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6F28CA" w14:textId="77777777" w:rsidR="008E0F74" w:rsidRPr="00FC3B7C" w:rsidRDefault="008E0F74">
      <w:pPr>
        <w:spacing w:line="200" w:lineRule="exact"/>
        <w:rPr>
          <w:szCs w:val="24"/>
        </w:rPr>
      </w:pPr>
      <w:bookmarkStart w:id="0" w:name="page1"/>
      <w:bookmarkEnd w:id="0"/>
    </w:p>
    <w:p w14:paraId="4A6F28CB" w14:textId="77777777" w:rsidR="008E0F74" w:rsidRPr="00FC3B7C" w:rsidRDefault="008E0F74">
      <w:pPr>
        <w:spacing w:line="200" w:lineRule="exact"/>
        <w:rPr>
          <w:szCs w:val="24"/>
        </w:rPr>
      </w:pPr>
    </w:p>
    <w:p w14:paraId="4A6F28CC" w14:textId="77777777" w:rsidR="008E0F74" w:rsidRPr="00FC3B7C" w:rsidRDefault="008E0F74">
      <w:pPr>
        <w:spacing w:line="209" w:lineRule="exact"/>
        <w:rPr>
          <w:szCs w:val="24"/>
        </w:rPr>
      </w:pPr>
    </w:p>
    <w:p w14:paraId="4A6F28CD" w14:textId="77777777" w:rsidR="008E0F74" w:rsidRPr="00FC3B7C" w:rsidRDefault="00256F29">
      <w:pPr>
        <w:ind w:right="-19"/>
        <w:jc w:val="center"/>
        <w:rPr>
          <w:sz w:val="20"/>
          <w:szCs w:val="20"/>
        </w:rPr>
      </w:pPr>
      <w:r w:rsidRPr="00FC3B7C">
        <w:rPr>
          <w:rFonts w:eastAsia="Times New Roman"/>
          <w:b/>
          <w:bCs/>
          <w:sz w:val="40"/>
          <w:szCs w:val="40"/>
        </w:rPr>
        <w:t>Skripta:</w:t>
      </w:r>
    </w:p>
    <w:p w14:paraId="4A6F28CE" w14:textId="77777777" w:rsidR="008E0F74" w:rsidRPr="00FC3B7C" w:rsidRDefault="008E0F74">
      <w:pPr>
        <w:spacing w:line="226" w:lineRule="exact"/>
        <w:rPr>
          <w:szCs w:val="24"/>
        </w:rPr>
      </w:pPr>
    </w:p>
    <w:p w14:paraId="4A6F28CF" w14:textId="77777777" w:rsidR="008E0F74" w:rsidRPr="00FC3B7C" w:rsidRDefault="00256F29">
      <w:pPr>
        <w:ind w:right="-19"/>
        <w:jc w:val="center"/>
        <w:rPr>
          <w:sz w:val="20"/>
          <w:szCs w:val="20"/>
        </w:rPr>
      </w:pPr>
      <w:r w:rsidRPr="00FC3B7C">
        <w:rPr>
          <w:rFonts w:eastAsia="Times New Roman"/>
          <w:b/>
          <w:bCs/>
          <w:sz w:val="40"/>
          <w:szCs w:val="40"/>
        </w:rPr>
        <w:t>5HP324</w:t>
      </w:r>
    </w:p>
    <w:p w14:paraId="4A6F28D0" w14:textId="77777777" w:rsidR="008E0F74" w:rsidRPr="00FC3B7C" w:rsidRDefault="008E0F74">
      <w:pPr>
        <w:spacing w:line="231" w:lineRule="exact"/>
        <w:rPr>
          <w:szCs w:val="24"/>
        </w:rPr>
      </w:pPr>
    </w:p>
    <w:p w14:paraId="4A6F28D1" w14:textId="77777777" w:rsidR="008E0F74" w:rsidRPr="00FC3B7C" w:rsidRDefault="00256F29">
      <w:pPr>
        <w:jc w:val="center"/>
        <w:rPr>
          <w:sz w:val="20"/>
          <w:szCs w:val="20"/>
        </w:rPr>
      </w:pPr>
      <w:r w:rsidRPr="00FC3B7C">
        <w:rPr>
          <w:rFonts w:eastAsia="Times New Roman"/>
          <w:b/>
          <w:bCs/>
          <w:sz w:val="40"/>
          <w:szCs w:val="40"/>
        </w:rPr>
        <w:t>Kondiční kurz z praktické hospodářské politiky</w:t>
      </w:r>
    </w:p>
    <w:p w14:paraId="4A6F28D2" w14:textId="77777777" w:rsidR="008E0F74" w:rsidRPr="00FC3B7C" w:rsidRDefault="008E0F74">
      <w:pPr>
        <w:spacing w:line="20" w:lineRule="exact"/>
        <w:rPr>
          <w:szCs w:val="24"/>
        </w:rPr>
      </w:pPr>
    </w:p>
    <w:p w14:paraId="4A6F28D3" w14:textId="77777777" w:rsidR="008E0F74" w:rsidRPr="00FC3B7C" w:rsidRDefault="008E0F74">
      <w:pPr>
        <w:spacing w:line="200" w:lineRule="exact"/>
        <w:rPr>
          <w:szCs w:val="24"/>
        </w:rPr>
      </w:pPr>
    </w:p>
    <w:p w14:paraId="4A6F28D4" w14:textId="77777777" w:rsidR="008E0F74" w:rsidRPr="00FC3B7C" w:rsidRDefault="008E0F74">
      <w:pPr>
        <w:spacing w:line="200" w:lineRule="exact"/>
        <w:rPr>
          <w:szCs w:val="24"/>
        </w:rPr>
      </w:pPr>
    </w:p>
    <w:p w14:paraId="4A6F28D5" w14:textId="77777777" w:rsidR="008E0F74" w:rsidRPr="00FC3B7C" w:rsidRDefault="008E0F74">
      <w:pPr>
        <w:spacing w:line="200" w:lineRule="exact"/>
        <w:rPr>
          <w:szCs w:val="24"/>
        </w:rPr>
      </w:pPr>
    </w:p>
    <w:p w14:paraId="4A6F28D6" w14:textId="77777777" w:rsidR="008E0F74" w:rsidRPr="00FC3B7C" w:rsidRDefault="00F44D52">
      <w:pPr>
        <w:spacing w:line="200" w:lineRule="exact"/>
        <w:rPr>
          <w:szCs w:val="24"/>
        </w:rPr>
      </w:pPr>
      <w:r w:rsidRPr="00FC3B7C">
        <w:rPr>
          <w:noProof/>
          <w:szCs w:val="24"/>
        </w:rPr>
        <w:drawing>
          <wp:anchor distT="0" distB="0" distL="114300" distR="114300" simplePos="0" relativeHeight="251648512" behindDoc="1" locked="0" layoutInCell="0" allowOverlap="1" wp14:anchorId="4A6F5C30" wp14:editId="5732043F">
            <wp:simplePos x="0" y="0"/>
            <wp:positionH relativeFrom="page">
              <wp:posOffset>2940050</wp:posOffset>
            </wp:positionH>
            <wp:positionV relativeFrom="paragraph">
              <wp:posOffset>15875</wp:posOffset>
            </wp:positionV>
            <wp:extent cx="1676400" cy="19418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676400" cy="1941830"/>
                    </a:xfrm>
                    <a:prstGeom prst="rect">
                      <a:avLst/>
                    </a:prstGeom>
                    <a:noFill/>
                  </pic:spPr>
                </pic:pic>
              </a:graphicData>
            </a:graphic>
          </wp:anchor>
        </w:drawing>
      </w:r>
    </w:p>
    <w:p w14:paraId="4A6F28D7" w14:textId="77777777" w:rsidR="008E0F74" w:rsidRPr="00FC3B7C" w:rsidRDefault="008E0F74">
      <w:pPr>
        <w:spacing w:line="200" w:lineRule="exact"/>
        <w:rPr>
          <w:szCs w:val="24"/>
        </w:rPr>
      </w:pPr>
    </w:p>
    <w:p w14:paraId="4A6F28D8" w14:textId="77777777" w:rsidR="008E0F74" w:rsidRPr="00FC3B7C" w:rsidRDefault="008E0F74">
      <w:pPr>
        <w:spacing w:line="200" w:lineRule="exact"/>
        <w:rPr>
          <w:szCs w:val="24"/>
        </w:rPr>
      </w:pPr>
    </w:p>
    <w:p w14:paraId="4A6F28D9" w14:textId="77777777" w:rsidR="008E0F74" w:rsidRPr="00FC3B7C" w:rsidRDefault="008E0F74">
      <w:pPr>
        <w:spacing w:line="200" w:lineRule="exact"/>
        <w:rPr>
          <w:szCs w:val="24"/>
        </w:rPr>
      </w:pPr>
    </w:p>
    <w:p w14:paraId="4A6F28DA" w14:textId="77777777" w:rsidR="008E0F74" w:rsidRPr="00FC3B7C" w:rsidRDefault="008E0F74">
      <w:pPr>
        <w:spacing w:line="200" w:lineRule="exact"/>
        <w:rPr>
          <w:szCs w:val="24"/>
        </w:rPr>
      </w:pPr>
    </w:p>
    <w:p w14:paraId="4A6F28DB" w14:textId="77777777" w:rsidR="008E0F74" w:rsidRPr="00FC3B7C" w:rsidRDefault="008E0F74">
      <w:pPr>
        <w:spacing w:line="200" w:lineRule="exact"/>
        <w:rPr>
          <w:szCs w:val="24"/>
        </w:rPr>
      </w:pPr>
    </w:p>
    <w:p w14:paraId="4A6F28DC" w14:textId="77777777" w:rsidR="008E0F74" w:rsidRPr="00FC3B7C" w:rsidRDefault="008E0F74">
      <w:pPr>
        <w:spacing w:line="200" w:lineRule="exact"/>
        <w:rPr>
          <w:szCs w:val="24"/>
        </w:rPr>
      </w:pPr>
    </w:p>
    <w:p w14:paraId="4A6F28DD" w14:textId="77777777" w:rsidR="008E0F74" w:rsidRPr="00FC3B7C" w:rsidRDefault="008E0F74">
      <w:pPr>
        <w:spacing w:line="200" w:lineRule="exact"/>
        <w:rPr>
          <w:szCs w:val="24"/>
        </w:rPr>
      </w:pPr>
    </w:p>
    <w:p w14:paraId="4A6F28DE" w14:textId="77777777" w:rsidR="008E0F74" w:rsidRPr="00FC3B7C" w:rsidRDefault="008E0F74">
      <w:pPr>
        <w:spacing w:line="200" w:lineRule="exact"/>
        <w:rPr>
          <w:szCs w:val="24"/>
        </w:rPr>
      </w:pPr>
    </w:p>
    <w:p w14:paraId="4A6F28DF" w14:textId="77777777" w:rsidR="008E0F74" w:rsidRPr="00FC3B7C" w:rsidRDefault="008E0F74">
      <w:pPr>
        <w:spacing w:line="200" w:lineRule="exact"/>
        <w:rPr>
          <w:szCs w:val="24"/>
        </w:rPr>
      </w:pPr>
    </w:p>
    <w:p w14:paraId="4A6F28E0" w14:textId="77777777" w:rsidR="008E0F74" w:rsidRPr="00FC3B7C" w:rsidRDefault="008E0F74">
      <w:pPr>
        <w:spacing w:line="200" w:lineRule="exact"/>
        <w:rPr>
          <w:szCs w:val="24"/>
        </w:rPr>
      </w:pPr>
    </w:p>
    <w:p w14:paraId="4A6F28E1" w14:textId="77777777" w:rsidR="008E0F74" w:rsidRPr="00FC3B7C" w:rsidRDefault="008E0F74">
      <w:pPr>
        <w:spacing w:line="200" w:lineRule="exact"/>
        <w:rPr>
          <w:szCs w:val="24"/>
        </w:rPr>
      </w:pPr>
    </w:p>
    <w:p w14:paraId="4A6F28E2" w14:textId="77777777" w:rsidR="008E0F74" w:rsidRPr="00FC3B7C" w:rsidRDefault="008E0F74">
      <w:pPr>
        <w:spacing w:line="200" w:lineRule="exact"/>
        <w:rPr>
          <w:szCs w:val="24"/>
        </w:rPr>
      </w:pPr>
    </w:p>
    <w:p w14:paraId="4A6F28E3" w14:textId="77777777" w:rsidR="008E0F74" w:rsidRPr="00FC3B7C" w:rsidRDefault="008E0F74">
      <w:pPr>
        <w:spacing w:line="200" w:lineRule="exact"/>
        <w:rPr>
          <w:szCs w:val="24"/>
        </w:rPr>
      </w:pPr>
    </w:p>
    <w:p w14:paraId="4A6F28E4" w14:textId="77777777" w:rsidR="008E0F74" w:rsidRPr="00FC3B7C" w:rsidRDefault="008E0F74">
      <w:pPr>
        <w:spacing w:line="200" w:lineRule="exact"/>
        <w:rPr>
          <w:szCs w:val="24"/>
        </w:rPr>
      </w:pPr>
    </w:p>
    <w:p w14:paraId="4A6F28E5" w14:textId="77777777" w:rsidR="008E0F74" w:rsidRPr="00FC3B7C" w:rsidRDefault="008E0F74">
      <w:pPr>
        <w:spacing w:line="200" w:lineRule="exact"/>
        <w:rPr>
          <w:szCs w:val="24"/>
        </w:rPr>
      </w:pPr>
    </w:p>
    <w:p w14:paraId="4A6F28E6" w14:textId="77777777" w:rsidR="008E0F74" w:rsidRPr="00FC3B7C" w:rsidRDefault="008E0F74">
      <w:pPr>
        <w:spacing w:line="200" w:lineRule="exact"/>
        <w:rPr>
          <w:szCs w:val="24"/>
        </w:rPr>
      </w:pPr>
    </w:p>
    <w:p w14:paraId="4A6F28E7" w14:textId="77777777" w:rsidR="008E0F74" w:rsidRPr="00FC3B7C" w:rsidRDefault="008E0F74">
      <w:pPr>
        <w:spacing w:line="200" w:lineRule="exact"/>
        <w:rPr>
          <w:szCs w:val="24"/>
        </w:rPr>
      </w:pPr>
    </w:p>
    <w:p w14:paraId="4A6F28E8" w14:textId="77777777" w:rsidR="008E0F74" w:rsidRPr="00FC3B7C" w:rsidRDefault="008E0F74">
      <w:pPr>
        <w:spacing w:line="302" w:lineRule="exact"/>
        <w:rPr>
          <w:szCs w:val="24"/>
        </w:rPr>
      </w:pPr>
    </w:p>
    <w:p w14:paraId="4A6F28E9" w14:textId="77777777" w:rsidR="008E0F74" w:rsidRPr="00FC3B7C" w:rsidRDefault="00256F29">
      <w:pPr>
        <w:rPr>
          <w:sz w:val="20"/>
          <w:szCs w:val="20"/>
        </w:rPr>
      </w:pPr>
      <w:r w:rsidRPr="00FC3B7C">
        <w:rPr>
          <w:rFonts w:eastAsia="Times New Roman"/>
          <w:b/>
          <w:bCs/>
          <w:szCs w:val="24"/>
        </w:rPr>
        <w:t>Vedoucí autorizovaného kolektivu:</w:t>
      </w:r>
    </w:p>
    <w:p w14:paraId="4A6F28EA" w14:textId="77777777" w:rsidR="008E0F74" w:rsidRPr="00FC3B7C" w:rsidRDefault="008E0F74">
      <w:pPr>
        <w:spacing w:line="143" w:lineRule="exact"/>
        <w:rPr>
          <w:szCs w:val="24"/>
        </w:rPr>
      </w:pPr>
    </w:p>
    <w:p w14:paraId="4A6F28EB" w14:textId="77777777" w:rsidR="008E0F74" w:rsidRPr="00FC3B7C" w:rsidRDefault="00256F29">
      <w:pPr>
        <w:rPr>
          <w:sz w:val="20"/>
          <w:szCs w:val="20"/>
        </w:rPr>
      </w:pPr>
      <w:r w:rsidRPr="00FC3B7C">
        <w:rPr>
          <w:rFonts w:eastAsia="Times New Roman"/>
          <w:szCs w:val="24"/>
        </w:rPr>
        <w:t>Ing. Zdenka Vostrovská, CSc.</w:t>
      </w:r>
    </w:p>
    <w:p w14:paraId="4A6F28EC" w14:textId="77777777" w:rsidR="008E0F74" w:rsidRPr="00FC3B7C" w:rsidRDefault="008E0F74">
      <w:pPr>
        <w:spacing w:line="136" w:lineRule="exact"/>
        <w:rPr>
          <w:szCs w:val="24"/>
        </w:rPr>
      </w:pPr>
    </w:p>
    <w:p w14:paraId="4A6F28ED" w14:textId="77777777" w:rsidR="008E0F74" w:rsidRPr="00FC3B7C" w:rsidRDefault="008E0F74">
      <w:pPr>
        <w:spacing w:line="3" w:lineRule="exact"/>
        <w:rPr>
          <w:szCs w:val="24"/>
        </w:rPr>
      </w:pPr>
    </w:p>
    <w:p w14:paraId="4A6F28EE" w14:textId="77777777" w:rsidR="008E0F74" w:rsidRPr="00FC3B7C" w:rsidRDefault="008E0F74">
      <w:pPr>
        <w:spacing w:line="200" w:lineRule="exact"/>
        <w:rPr>
          <w:szCs w:val="24"/>
        </w:rPr>
      </w:pPr>
    </w:p>
    <w:p w14:paraId="4A6F28EF" w14:textId="77777777" w:rsidR="008E0F74" w:rsidRPr="00FC3B7C" w:rsidRDefault="008E0F74">
      <w:pPr>
        <w:spacing w:line="273" w:lineRule="exact"/>
        <w:rPr>
          <w:szCs w:val="24"/>
        </w:rPr>
      </w:pPr>
    </w:p>
    <w:p w14:paraId="4A6F28F0" w14:textId="3EC3FBC9" w:rsidR="008E0F74" w:rsidRPr="00244BB9" w:rsidRDefault="00F90D0B">
      <w:pPr>
        <w:spacing w:line="200" w:lineRule="exact"/>
        <w:rPr>
          <w:sz w:val="20"/>
          <w:szCs w:val="20"/>
        </w:rPr>
      </w:pPr>
      <w:bookmarkStart w:id="1" w:name="page2"/>
      <w:bookmarkEnd w:id="1"/>
      <w:r w:rsidRPr="00FC3B7C">
        <w:rPr>
          <w:rFonts w:eastAsia="Times New Roman"/>
          <w:b/>
          <w:bCs/>
          <w:szCs w:val="24"/>
        </w:rPr>
        <w:t>Období</w:t>
      </w:r>
      <w:r w:rsidRPr="00FC3B7C">
        <w:rPr>
          <w:sz w:val="20"/>
          <w:szCs w:val="20"/>
        </w:rPr>
        <w:br/>
      </w:r>
      <w:r w:rsidR="006C264F" w:rsidRPr="00244BB9">
        <w:rPr>
          <w:rFonts w:eastAsia="Times New Roman"/>
          <w:szCs w:val="24"/>
        </w:rPr>
        <w:t>LS</w:t>
      </w:r>
      <w:r w:rsidRPr="00244BB9">
        <w:rPr>
          <w:rFonts w:eastAsia="Times New Roman"/>
          <w:szCs w:val="24"/>
        </w:rPr>
        <w:t xml:space="preserve"> 20</w:t>
      </w:r>
      <w:r w:rsidR="006C264F" w:rsidRPr="00244BB9">
        <w:rPr>
          <w:rFonts w:eastAsia="Times New Roman"/>
          <w:szCs w:val="24"/>
        </w:rPr>
        <w:t>20</w:t>
      </w:r>
    </w:p>
    <w:p w14:paraId="4A6F28F1" w14:textId="77777777" w:rsidR="008E0F74" w:rsidRPr="00FC3B7C" w:rsidRDefault="008E0F74">
      <w:pPr>
        <w:spacing w:line="200" w:lineRule="exact"/>
        <w:rPr>
          <w:sz w:val="20"/>
          <w:szCs w:val="20"/>
        </w:rPr>
      </w:pPr>
    </w:p>
    <w:p w14:paraId="4A6F28F2" w14:textId="77777777" w:rsidR="008E0F74" w:rsidRPr="00FC3B7C" w:rsidRDefault="008E0F74">
      <w:pPr>
        <w:spacing w:line="200" w:lineRule="exact"/>
        <w:rPr>
          <w:sz w:val="20"/>
          <w:szCs w:val="20"/>
        </w:rPr>
      </w:pPr>
    </w:p>
    <w:p w14:paraId="4A6F28F3" w14:textId="77777777" w:rsidR="008E0F74" w:rsidRPr="00FC3B7C" w:rsidRDefault="008E0F74">
      <w:pPr>
        <w:spacing w:line="200" w:lineRule="exact"/>
        <w:rPr>
          <w:sz w:val="20"/>
          <w:szCs w:val="20"/>
        </w:rPr>
      </w:pPr>
    </w:p>
    <w:p w14:paraId="4A6F28F4" w14:textId="77777777" w:rsidR="008E0F74" w:rsidRPr="00FC3B7C" w:rsidRDefault="008E0F74">
      <w:pPr>
        <w:spacing w:line="200" w:lineRule="exact"/>
        <w:rPr>
          <w:sz w:val="20"/>
          <w:szCs w:val="20"/>
        </w:rPr>
      </w:pPr>
    </w:p>
    <w:p w14:paraId="4A6F28F5" w14:textId="77777777" w:rsidR="008E0F74" w:rsidRPr="00FC3B7C" w:rsidRDefault="008E0F74">
      <w:pPr>
        <w:spacing w:line="200" w:lineRule="exact"/>
        <w:rPr>
          <w:sz w:val="20"/>
          <w:szCs w:val="20"/>
        </w:rPr>
      </w:pPr>
    </w:p>
    <w:p w14:paraId="4A6F28F6" w14:textId="77777777" w:rsidR="008E0F74" w:rsidRPr="00FC3B7C" w:rsidRDefault="008E0F74">
      <w:pPr>
        <w:spacing w:line="200" w:lineRule="exact"/>
        <w:rPr>
          <w:sz w:val="20"/>
          <w:szCs w:val="20"/>
        </w:rPr>
      </w:pPr>
    </w:p>
    <w:p w14:paraId="4A6F28F7" w14:textId="77777777" w:rsidR="008E0F74" w:rsidRPr="00FC3B7C" w:rsidRDefault="008E0F74">
      <w:pPr>
        <w:spacing w:line="200" w:lineRule="exact"/>
        <w:rPr>
          <w:sz w:val="20"/>
          <w:szCs w:val="20"/>
        </w:rPr>
      </w:pPr>
    </w:p>
    <w:p w14:paraId="4A6F28F8" w14:textId="77777777" w:rsidR="008E0F74" w:rsidRPr="00FC3B7C" w:rsidRDefault="008E0F74">
      <w:pPr>
        <w:spacing w:line="200" w:lineRule="exact"/>
        <w:rPr>
          <w:sz w:val="20"/>
          <w:szCs w:val="20"/>
        </w:rPr>
      </w:pPr>
    </w:p>
    <w:p w14:paraId="4A6F28F9" w14:textId="77777777" w:rsidR="008E0F74" w:rsidRPr="00FC3B7C" w:rsidRDefault="008E0F74">
      <w:pPr>
        <w:spacing w:line="200" w:lineRule="exact"/>
        <w:rPr>
          <w:sz w:val="20"/>
          <w:szCs w:val="20"/>
        </w:rPr>
      </w:pPr>
    </w:p>
    <w:p w14:paraId="4A6F28FA" w14:textId="77777777" w:rsidR="008E0F74" w:rsidRPr="00FC3B7C" w:rsidRDefault="008E0F74">
      <w:pPr>
        <w:spacing w:line="200" w:lineRule="exact"/>
        <w:rPr>
          <w:sz w:val="20"/>
          <w:szCs w:val="20"/>
        </w:rPr>
      </w:pPr>
    </w:p>
    <w:p w14:paraId="4A6F28FB" w14:textId="77777777" w:rsidR="008E0F74" w:rsidRPr="00FC3B7C" w:rsidRDefault="008E0F74">
      <w:pPr>
        <w:spacing w:line="200" w:lineRule="exact"/>
        <w:rPr>
          <w:sz w:val="20"/>
          <w:szCs w:val="20"/>
        </w:rPr>
      </w:pPr>
    </w:p>
    <w:p w14:paraId="4A6F28FC" w14:textId="77777777" w:rsidR="008E0F74" w:rsidRPr="00FC3B7C" w:rsidRDefault="008E0F74">
      <w:pPr>
        <w:spacing w:line="200" w:lineRule="exact"/>
        <w:rPr>
          <w:sz w:val="20"/>
          <w:szCs w:val="20"/>
        </w:rPr>
      </w:pPr>
    </w:p>
    <w:p w14:paraId="4A6F28FD" w14:textId="77777777" w:rsidR="008E0F74" w:rsidRPr="00FC3B7C" w:rsidRDefault="008E0F74">
      <w:pPr>
        <w:spacing w:line="200" w:lineRule="exact"/>
        <w:rPr>
          <w:sz w:val="20"/>
          <w:szCs w:val="20"/>
        </w:rPr>
      </w:pPr>
    </w:p>
    <w:p w14:paraId="4A6F28FE" w14:textId="77777777" w:rsidR="008E0F74" w:rsidRPr="00FC3B7C" w:rsidRDefault="008E0F74">
      <w:pPr>
        <w:spacing w:line="200" w:lineRule="exact"/>
        <w:rPr>
          <w:sz w:val="20"/>
          <w:szCs w:val="20"/>
        </w:rPr>
      </w:pPr>
    </w:p>
    <w:p w14:paraId="4A6F28FF" w14:textId="77777777" w:rsidR="008E0F74" w:rsidRPr="00FC3B7C" w:rsidRDefault="008E0F74">
      <w:pPr>
        <w:spacing w:line="200" w:lineRule="exact"/>
        <w:rPr>
          <w:sz w:val="20"/>
          <w:szCs w:val="20"/>
        </w:rPr>
      </w:pPr>
    </w:p>
    <w:p w14:paraId="4A6F2900" w14:textId="77777777" w:rsidR="008E0F74" w:rsidRPr="00FC3B7C" w:rsidRDefault="008E0F74">
      <w:pPr>
        <w:spacing w:line="200" w:lineRule="exact"/>
        <w:rPr>
          <w:sz w:val="20"/>
          <w:szCs w:val="20"/>
        </w:rPr>
      </w:pPr>
    </w:p>
    <w:p w14:paraId="4A6F2901" w14:textId="77777777" w:rsidR="008E0F74" w:rsidRPr="00FC3B7C" w:rsidRDefault="008E0F74">
      <w:pPr>
        <w:spacing w:line="200" w:lineRule="exact"/>
        <w:rPr>
          <w:sz w:val="20"/>
          <w:szCs w:val="20"/>
        </w:rPr>
      </w:pPr>
    </w:p>
    <w:p w14:paraId="4A6F2902" w14:textId="77777777" w:rsidR="008E0F74" w:rsidRPr="00FC3B7C" w:rsidRDefault="008E0F74">
      <w:pPr>
        <w:spacing w:line="200" w:lineRule="exact"/>
        <w:rPr>
          <w:sz w:val="20"/>
          <w:szCs w:val="20"/>
        </w:rPr>
      </w:pPr>
    </w:p>
    <w:p w14:paraId="4A6F2903" w14:textId="77777777" w:rsidR="008E0F74" w:rsidRPr="00FC3B7C" w:rsidRDefault="008E0F74">
      <w:pPr>
        <w:spacing w:line="200" w:lineRule="exact"/>
        <w:rPr>
          <w:sz w:val="20"/>
          <w:szCs w:val="20"/>
        </w:rPr>
      </w:pPr>
    </w:p>
    <w:p w14:paraId="4A6F2904" w14:textId="77777777" w:rsidR="008E0F74" w:rsidRPr="00FC3B7C" w:rsidRDefault="008E0F74">
      <w:pPr>
        <w:spacing w:line="200" w:lineRule="exact"/>
        <w:rPr>
          <w:sz w:val="20"/>
          <w:szCs w:val="20"/>
        </w:rPr>
      </w:pPr>
    </w:p>
    <w:p w14:paraId="4A6F2905" w14:textId="77777777" w:rsidR="008E0F74" w:rsidRPr="00FC3B7C" w:rsidRDefault="008E0F74">
      <w:pPr>
        <w:spacing w:line="200" w:lineRule="exact"/>
        <w:rPr>
          <w:sz w:val="20"/>
          <w:szCs w:val="20"/>
        </w:rPr>
      </w:pPr>
    </w:p>
    <w:p w14:paraId="4A6F2906" w14:textId="77777777" w:rsidR="008E0F74" w:rsidRPr="00FC3B7C" w:rsidRDefault="008E0F74">
      <w:pPr>
        <w:spacing w:line="200" w:lineRule="exact"/>
        <w:rPr>
          <w:sz w:val="20"/>
          <w:szCs w:val="20"/>
        </w:rPr>
      </w:pPr>
    </w:p>
    <w:p w14:paraId="4A6F2907" w14:textId="77777777" w:rsidR="008E0F74" w:rsidRPr="00FC3B7C" w:rsidRDefault="008E0F74">
      <w:pPr>
        <w:spacing w:line="200" w:lineRule="exact"/>
        <w:rPr>
          <w:sz w:val="20"/>
          <w:szCs w:val="20"/>
        </w:rPr>
      </w:pPr>
    </w:p>
    <w:p w14:paraId="4A6F2908" w14:textId="77777777" w:rsidR="008E0F74" w:rsidRPr="00FC3B7C" w:rsidRDefault="008E0F74">
      <w:pPr>
        <w:spacing w:line="200" w:lineRule="exact"/>
        <w:rPr>
          <w:sz w:val="20"/>
          <w:szCs w:val="20"/>
        </w:rPr>
      </w:pPr>
    </w:p>
    <w:p w14:paraId="4A6F2909" w14:textId="77777777" w:rsidR="00596FAC" w:rsidRDefault="00596FAC">
      <w:pPr>
        <w:spacing w:line="200" w:lineRule="exact"/>
        <w:rPr>
          <w:sz w:val="20"/>
          <w:szCs w:val="20"/>
        </w:rPr>
        <w:sectPr w:rsidR="00596FAC">
          <w:footerReference w:type="default" r:id="rId9"/>
          <w:pgSz w:w="11900" w:h="16840"/>
          <w:pgMar w:top="1311" w:right="1440" w:bottom="625" w:left="1280" w:header="0" w:footer="0" w:gutter="0"/>
          <w:cols w:space="708" w:equalWidth="0">
            <w:col w:w="9180"/>
          </w:cols>
        </w:sectPr>
      </w:pPr>
    </w:p>
    <w:p w14:paraId="4A6F290A" w14:textId="77777777" w:rsidR="008E0F74" w:rsidRPr="006C264F" w:rsidRDefault="00256F29">
      <w:pPr>
        <w:rPr>
          <w:rFonts w:eastAsia="Times New Roman"/>
          <w:b/>
          <w:bCs/>
          <w:color w:val="1F3864" w:themeColor="accent1" w:themeShade="80"/>
          <w:sz w:val="32"/>
          <w:szCs w:val="32"/>
        </w:rPr>
      </w:pPr>
      <w:bookmarkStart w:id="2" w:name="page3"/>
      <w:bookmarkEnd w:id="2"/>
      <w:r w:rsidRPr="006C264F">
        <w:rPr>
          <w:rFonts w:eastAsia="Times New Roman"/>
          <w:b/>
          <w:bCs/>
          <w:color w:val="1F3864" w:themeColor="accent1" w:themeShade="80"/>
          <w:sz w:val="32"/>
          <w:szCs w:val="32"/>
        </w:rPr>
        <w:lastRenderedPageBreak/>
        <w:t>Obsah</w:t>
      </w:r>
    </w:p>
    <w:p w14:paraId="276ADC87" w14:textId="77777777" w:rsidR="003B103A" w:rsidRDefault="00627DAC">
      <w:pPr>
        <w:pStyle w:val="Obsah1"/>
        <w:tabs>
          <w:tab w:val="left" w:pos="440"/>
          <w:tab w:val="right" w:leader="dot" w:pos="9170"/>
        </w:tabs>
        <w:rPr>
          <w:rFonts w:asciiTheme="minorHAnsi" w:hAnsiTheme="minorHAnsi" w:cstheme="minorBidi"/>
          <w:noProof/>
          <w:sz w:val="22"/>
        </w:rPr>
      </w:pPr>
      <w:r w:rsidRPr="003E4276">
        <w:rPr>
          <w:szCs w:val="24"/>
        </w:rPr>
        <w:fldChar w:fldCharType="begin"/>
      </w:r>
      <w:r w:rsidRPr="003E4276">
        <w:rPr>
          <w:szCs w:val="24"/>
        </w:rPr>
        <w:instrText xml:space="preserve"> TOC \o "1-1" \h \z \u </w:instrText>
      </w:r>
      <w:r w:rsidRPr="003E4276">
        <w:rPr>
          <w:szCs w:val="24"/>
        </w:rPr>
        <w:fldChar w:fldCharType="separate"/>
      </w:r>
      <w:hyperlink w:anchor="_Toc54254074" w:history="1">
        <w:r w:rsidR="003B103A" w:rsidRPr="008B1210">
          <w:rPr>
            <w:rStyle w:val="Hypertextovodkaz"/>
            <w:noProof/>
          </w:rPr>
          <w:t>1</w:t>
        </w:r>
        <w:r w:rsidR="003B103A">
          <w:rPr>
            <w:rFonts w:asciiTheme="minorHAnsi" w:hAnsiTheme="minorHAnsi" w:cstheme="minorBidi"/>
            <w:noProof/>
            <w:sz w:val="22"/>
          </w:rPr>
          <w:tab/>
        </w:r>
        <w:r w:rsidR="003B103A" w:rsidRPr="008B1210">
          <w:rPr>
            <w:rStyle w:val="Hypertextovodkaz"/>
            <w:noProof/>
          </w:rPr>
          <w:t>TEORETICKÉ A PRAKTICKÉ ZÁKLADY HOSPODÁŘSKÉ POLITIKY</w:t>
        </w:r>
        <w:r w:rsidR="003B103A">
          <w:rPr>
            <w:noProof/>
            <w:webHidden/>
          </w:rPr>
          <w:tab/>
        </w:r>
        <w:r w:rsidR="003B103A">
          <w:rPr>
            <w:noProof/>
            <w:webHidden/>
          </w:rPr>
          <w:fldChar w:fldCharType="begin"/>
        </w:r>
        <w:r w:rsidR="003B103A">
          <w:rPr>
            <w:noProof/>
            <w:webHidden/>
          </w:rPr>
          <w:instrText xml:space="preserve"> PAGEREF _Toc54254074 \h </w:instrText>
        </w:r>
        <w:r w:rsidR="003B103A">
          <w:rPr>
            <w:noProof/>
            <w:webHidden/>
          </w:rPr>
        </w:r>
        <w:r w:rsidR="003B103A">
          <w:rPr>
            <w:noProof/>
            <w:webHidden/>
          </w:rPr>
          <w:fldChar w:fldCharType="separate"/>
        </w:r>
        <w:r w:rsidR="003B103A">
          <w:rPr>
            <w:noProof/>
            <w:webHidden/>
          </w:rPr>
          <w:t>2</w:t>
        </w:r>
        <w:r w:rsidR="003B103A">
          <w:rPr>
            <w:noProof/>
            <w:webHidden/>
          </w:rPr>
          <w:fldChar w:fldCharType="end"/>
        </w:r>
      </w:hyperlink>
    </w:p>
    <w:p w14:paraId="499AF2F2" w14:textId="77777777" w:rsidR="003B103A" w:rsidRDefault="003B103A">
      <w:pPr>
        <w:pStyle w:val="Obsah1"/>
        <w:tabs>
          <w:tab w:val="left" w:pos="440"/>
          <w:tab w:val="right" w:leader="dot" w:pos="9170"/>
        </w:tabs>
        <w:rPr>
          <w:rFonts w:asciiTheme="minorHAnsi" w:hAnsiTheme="minorHAnsi" w:cstheme="minorBidi"/>
          <w:noProof/>
          <w:sz w:val="22"/>
        </w:rPr>
      </w:pPr>
      <w:hyperlink w:anchor="_Toc54254075" w:history="1">
        <w:r w:rsidRPr="008B1210">
          <w:rPr>
            <w:rStyle w:val="Hypertextovodkaz"/>
            <w:noProof/>
          </w:rPr>
          <w:t>2</w:t>
        </w:r>
        <w:r>
          <w:rPr>
            <w:rFonts w:asciiTheme="minorHAnsi" w:hAnsiTheme="minorHAnsi" w:cstheme="minorBidi"/>
            <w:noProof/>
            <w:sz w:val="22"/>
          </w:rPr>
          <w:tab/>
        </w:r>
        <w:r w:rsidRPr="008B1210">
          <w:rPr>
            <w:rStyle w:val="Hypertextovodkaz"/>
            <w:noProof/>
          </w:rPr>
          <w:t>CÍLE, NOSITELÉ A NÁSTROJE HOSPODÁŘSKÉ POLITIKY</w:t>
        </w:r>
        <w:r>
          <w:rPr>
            <w:noProof/>
            <w:webHidden/>
          </w:rPr>
          <w:tab/>
        </w:r>
        <w:r>
          <w:rPr>
            <w:noProof/>
            <w:webHidden/>
          </w:rPr>
          <w:fldChar w:fldCharType="begin"/>
        </w:r>
        <w:r>
          <w:rPr>
            <w:noProof/>
            <w:webHidden/>
          </w:rPr>
          <w:instrText xml:space="preserve"> PAGEREF _Toc54254075 \h </w:instrText>
        </w:r>
        <w:r>
          <w:rPr>
            <w:noProof/>
            <w:webHidden/>
          </w:rPr>
        </w:r>
        <w:r>
          <w:rPr>
            <w:noProof/>
            <w:webHidden/>
          </w:rPr>
          <w:fldChar w:fldCharType="separate"/>
        </w:r>
        <w:r>
          <w:rPr>
            <w:noProof/>
            <w:webHidden/>
          </w:rPr>
          <w:t>19</w:t>
        </w:r>
        <w:r>
          <w:rPr>
            <w:noProof/>
            <w:webHidden/>
          </w:rPr>
          <w:fldChar w:fldCharType="end"/>
        </w:r>
      </w:hyperlink>
    </w:p>
    <w:p w14:paraId="586707D4" w14:textId="77777777" w:rsidR="003B103A" w:rsidRDefault="003B103A">
      <w:pPr>
        <w:pStyle w:val="Obsah1"/>
        <w:tabs>
          <w:tab w:val="left" w:pos="440"/>
          <w:tab w:val="right" w:leader="dot" w:pos="9170"/>
        </w:tabs>
        <w:rPr>
          <w:rFonts w:asciiTheme="minorHAnsi" w:hAnsiTheme="minorHAnsi" w:cstheme="minorBidi"/>
          <w:noProof/>
          <w:sz w:val="22"/>
        </w:rPr>
      </w:pPr>
      <w:hyperlink w:anchor="_Toc54254076" w:history="1">
        <w:r w:rsidRPr="008B1210">
          <w:rPr>
            <w:rStyle w:val="Hypertextovodkaz"/>
            <w:noProof/>
          </w:rPr>
          <w:t>3</w:t>
        </w:r>
        <w:r>
          <w:rPr>
            <w:rFonts w:asciiTheme="minorHAnsi" w:hAnsiTheme="minorHAnsi" w:cstheme="minorBidi"/>
            <w:noProof/>
            <w:sz w:val="22"/>
          </w:rPr>
          <w:tab/>
        </w:r>
        <w:r w:rsidRPr="008B1210">
          <w:rPr>
            <w:rStyle w:val="Hypertextovodkaz"/>
            <w:noProof/>
          </w:rPr>
          <w:t>VÝVOJ EKONOMICKO-POLITICKÝCH KONCEPCÍ HOSPODÁŘSKÉ POLITIKY</w:t>
        </w:r>
        <w:r>
          <w:rPr>
            <w:noProof/>
            <w:webHidden/>
          </w:rPr>
          <w:tab/>
        </w:r>
        <w:r>
          <w:rPr>
            <w:noProof/>
            <w:webHidden/>
          </w:rPr>
          <w:fldChar w:fldCharType="begin"/>
        </w:r>
        <w:r>
          <w:rPr>
            <w:noProof/>
            <w:webHidden/>
          </w:rPr>
          <w:instrText xml:space="preserve"> PAGEREF _Toc54254076 \h </w:instrText>
        </w:r>
        <w:r>
          <w:rPr>
            <w:noProof/>
            <w:webHidden/>
          </w:rPr>
        </w:r>
        <w:r>
          <w:rPr>
            <w:noProof/>
            <w:webHidden/>
          </w:rPr>
          <w:fldChar w:fldCharType="separate"/>
        </w:r>
        <w:r>
          <w:rPr>
            <w:noProof/>
            <w:webHidden/>
          </w:rPr>
          <w:t>49</w:t>
        </w:r>
        <w:r>
          <w:rPr>
            <w:noProof/>
            <w:webHidden/>
          </w:rPr>
          <w:fldChar w:fldCharType="end"/>
        </w:r>
      </w:hyperlink>
    </w:p>
    <w:p w14:paraId="03A428A9" w14:textId="77777777" w:rsidR="003B103A" w:rsidRDefault="003B103A">
      <w:pPr>
        <w:pStyle w:val="Obsah1"/>
        <w:tabs>
          <w:tab w:val="left" w:pos="440"/>
          <w:tab w:val="right" w:leader="dot" w:pos="9170"/>
        </w:tabs>
        <w:rPr>
          <w:rFonts w:asciiTheme="minorHAnsi" w:hAnsiTheme="minorHAnsi" w:cstheme="minorBidi"/>
          <w:noProof/>
          <w:sz w:val="22"/>
        </w:rPr>
      </w:pPr>
      <w:hyperlink w:anchor="_Toc54254077" w:history="1">
        <w:r w:rsidRPr="008B1210">
          <w:rPr>
            <w:rStyle w:val="Hypertextovodkaz"/>
            <w:noProof/>
          </w:rPr>
          <w:t>4</w:t>
        </w:r>
        <w:r>
          <w:rPr>
            <w:rFonts w:asciiTheme="minorHAnsi" w:hAnsiTheme="minorHAnsi" w:cstheme="minorBidi"/>
            <w:noProof/>
            <w:sz w:val="22"/>
          </w:rPr>
          <w:tab/>
        </w:r>
        <w:r w:rsidRPr="008B1210">
          <w:rPr>
            <w:rStyle w:val="Hypertextovodkaz"/>
            <w:noProof/>
          </w:rPr>
          <w:t>ÚLOHA STÁTU PŘI STANOVOVANÍ HOSPODÁŘSKÉ POLITIKY</w:t>
        </w:r>
        <w:r>
          <w:rPr>
            <w:noProof/>
            <w:webHidden/>
          </w:rPr>
          <w:tab/>
        </w:r>
        <w:r>
          <w:rPr>
            <w:noProof/>
            <w:webHidden/>
          </w:rPr>
          <w:fldChar w:fldCharType="begin"/>
        </w:r>
        <w:r>
          <w:rPr>
            <w:noProof/>
            <w:webHidden/>
          </w:rPr>
          <w:instrText xml:space="preserve"> PAGEREF _Toc54254077 \h </w:instrText>
        </w:r>
        <w:r>
          <w:rPr>
            <w:noProof/>
            <w:webHidden/>
          </w:rPr>
        </w:r>
        <w:r>
          <w:rPr>
            <w:noProof/>
            <w:webHidden/>
          </w:rPr>
          <w:fldChar w:fldCharType="separate"/>
        </w:r>
        <w:r>
          <w:rPr>
            <w:noProof/>
            <w:webHidden/>
          </w:rPr>
          <w:t>74</w:t>
        </w:r>
        <w:r>
          <w:rPr>
            <w:noProof/>
            <w:webHidden/>
          </w:rPr>
          <w:fldChar w:fldCharType="end"/>
        </w:r>
      </w:hyperlink>
    </w:p>
    <w:p w14:paraId="4BB88A4D" w14:textId="77777777" w:rsidR="003B103A" w:rsidRDefault="003B103A">
      <w:pPr>
        <w:pStyle w:val="Obsah1"/>
        <w:tabs>
          <w:tab w:val="left" w:pos="440"/>
          <w:tab w:val="right" w:leader="dot" w:pos="9170"/>
        </w:tabs>
        <w:rPr>
          <w:rFonts w:asciiTheme="minorHAnsi" w:hAnsiTheme="minorHAnsi" w:cstheme="minorBidi"/>
          <w:noProof/>
          <w:sz w:val="22"/>
        </w:rPr>
      </w:pPr>
      <w:hyperlink w:anchor="_Toc54254078" w:history="1">
        <w:r w:rsidRPr="008B1210">
          <w:rPr>
            <w:rStyle w:val="Hypertextovodkaz"/>
            <w:noProof/>
          </w:rPr>
          <w:t>5</w:t>
        </w:r>
        <w:r>
          <w:rPr>
            <w:rFonts w:asciiTheme="minorHAnsi" w:hAnsiTheme="minorHAnsi" w:cstheme="minorBidi"/>
            <w:noProof/>
            <w:sz w:val="22"/>
          </w:rPr>
          <w:tab/>
        </w:r>
        <w:r w:rsidRPr="008B1210">
          <w:rPr>
            <w:rStyle w:val="Hypertextovodkaz"/>
            <w:noProof/>
          </w:rPr>
          <w:t>MAKROEKONOMICKÁ HOSPODÁŘSKÁ POLITIKA –FISKÁLNÍ</w:t>
        </w:r>
        <w:r>
          <w:rPr>
            <w:noProof/>
            <w:webHidden/>
          </w:rPr>
          <w:tab/>
        </w:r>
        <w:r>
          <w:rPr>
            <w:noProof/>
            <w:webHidden/>
          </w:rPr>
          <w:fldChar w:fldCharType="begin"/>
        </w:r>
        <w:r>
          <w:rPr>
            <w:noProof/>
            <w:webHidden/>
          </w:rPr>
          <w:instrText xml:space="preserve"> PAGEREF _Toc54254078 \h </w:instrText>
        </w:r>
        <w:r>
          <w:rPr>
            <w:noProof/>
            <w:webHidden/>
          </w:rPr>
        </w:r>
        <w:r>
          <w:rPr>
            <w:noProof/>
            <w:webHidden/>
          </w:rPr>
          <w:fldChar w:fldCharType="separate"/>
        </w:r>
        <w:r>
          <w:rPr>
            <w:noProof/>
            <w:webHidden/>
          </w:rPr>
          <w:t>90</w:t>
        </w:r>
        <w:r>
          <w:rPr>
            <w:noProof/>
            <w:webHidden/>
          </w:rPr>
          <w:fldChar w:fldCharType="end"/>
        </w:r>
      </w:hyperlink>
    </w:p>
    <w:p w14:paraId="019E7A94" w14:textId="77777777" w:rsidR="003B103A" w:rsidRDefault="003B103A">
      <w:pPr>
        <w:pStyle w:val="Obsah1"/>
        <w:tabs>
          <w:tab w:val="left" w:pos="440"/>
          <w:tab w:val="right" w:leader="dot" w:pos="9170"/>
        </w:tabs>
        <w:rPr>
          <w:rFonts w:asciiTheme="minorHAnsi" w:hAnsiTheme="minorHAnsi" w:cstheme="minorBidi"/>
          <w:noProof/>
          <w:sz w:val="22"/>
        </w:rPr>
      </w:pPr>
      <w:hyperlink w:anchor="_Toc54254079" w:history="1">
        <w:r w:rsidRPr="008B1210">
          <w:rPr>
            <w:rStyle w:val="Hypertextovodkaz"/>
            <w:noProof/>
          </w:rPr>
          <w:t>6</w:t>
        </w:r>
        <w:r>
          <w:rPr>
            <w:rFonts w:asciiTheme="minorHAnsi" w:hAnsiTheme="minorHAnsi" w:cstheme="minorBidi"/>
            <w:noProof/>
            <w:sz w:val="22"/>
          </w:rPr>
          <w:tab/>
        </w:r>
        <w:r w:rsidRPr="008B1210">
          <w:rPr>
            <w:rStyle w:val="Hypertextovodkaz"/>
            <w:noProof/>
          </w:rPr>
          <w:t>MAKROEKONOMICKÁ HOSPODÁŘSKÁ POLITIKA –MONETÁRNÍ</w:t>
        </w:r>
        <w:r>
          <w:rPr>
            <w:noProof/>
            <w:webHidden/>
          </w:rPr>
          <w:tab/>
        </w:r>
        <w:r>
          <w:rPr>
            <w:noProof/>
            <w:webHidden/>
          </w:rPr>
          <w:fldChar w:fldCharType="begin"/>
        </w:r>
        <w:r>
          <w:rPr>
            <w:noProof/>
            <w:webHidden/>
          </w:rPr>
          <w:instrText xml:space="preserve"> PAGEREF _Toc54254079 \h </w:instrText>
        </w:r>
        <w:r>
          <w:rPr>
            <w:noProof/>
            <w:webHidden/>
          </w:rPr>
        </w:r>
        <w:r>
          <w:rPr>
            <w:noProof/>
            <w:webHidden/>
          </w:rPr>
          <w:fldChar w:fldCharType="separate"/>
        </w:r>
        <w:r>
          <w:rPr>
            <w:noProof/>
            <w:webHidden/>
          </w:rPr>
          <w:t>117</w:t>
        </w:r>
        <w:r>
          <w:rPr>
            <w:noProof/>
            <w:webHidden/>
          </w:rPr>
          <w:fldChar w:fldCharType="end"/>
        </w:r>
      </w:hyperlink>
    </w:p>
    <w:p w14:paraId="37D121A2" w14:textId="77777777" w:rsidR="003B103A" w:rsidRDefault="003B103A">
      <w:pPr>
        <w:pStyle w:val="Obsah1"/>
        <w:tabs>
          <w:tab w:val="left" w:pos="440"/>
          <w:tab w:val="right" w:leader="dot" w:pos="9170"/>
        </w:tabs>
        <w:rPr>
          <w:rFonts w:asciiTheme="minorHAnsi" w:hAnsiTheme="minorHAnsi" w:cstheme="minorBidi"/>
          <w:noProof/>
          <w:sz w:val="22"/>
        </w:rPr>
      </w:pPr>
      <w:hyperlink w:anchor="_Toc54254080" w:history="1">
        <w:r w:rsidRPr="008B1210">
          <w:rPr>
            <w:rStyle w:val="Hypertextovodkaz"/>
            <w:noProof/>
          </w:rPr>
          <w:t>7</w:t>
        </w:r>
        <w:r>
          <w:rPr>
            <w:rFonts w:asciiTheme="minorHAnsi" w:hAnsiTheme="minorHAnsi" w:cstheme="minorBidi"/>
            <w:noProof/>
            <w:sz w:val="22"/>
          </w:rPr>
          <w:tab/>
        </w:r>
        <w:r w:rsidRPr="008B1210">
          <w:rPr>
            <w:rStyle w:val="Hypertextovodkaz"/>
            <w:noProof/>
          </w:rPr>
          <w:t>HOSPODÁŘSKÁ POLITIKA V OTEVŘENÉ EKONOMICE</w:t>
        </w:r>
        <w:r>
          <w:rPr>
            <w:noProof/>
            <w:webHidden/>
          </w:rPr>
          <w:tab/>
        </w:r>
        <w:r>
          <w:rPr>
            <w:noProof/>
            <w:webHidden/>
          </w:rPr>
          <w:fldChar w:fldCharType="begin"/>
        </w:r>
        <w:r>
          <w:rPr>
            <w:noProof/>
            <w:webHidden/>
          </w:rPr>
          <w:instrText xml:space="preserve"> PAGEREF _Toc54254080 \h </w:instrText>
        </w:r>
        <w:r>
          <w:rPr>
            <w:noProof/>
            <w:webHidden/>
          </w:rPr>
        </w:r>
        <w:r>
          <w:rPr>
            <w:noProof/>
            <w:webHidden/>
          </w:rPr>
          <w:fldChar w:fldCharType="separate"/>
        </w:r>
        <w:r>
          <w:rPr>
            <w:noProof/>
            <w:webHidden/>
          </w:rPr>
          <w:t>154</w:t>
        </w:r>
        <w:r>
          <w:rPr>
            <w:noProof/>
            <w:webHidden/>
          </w:rPr>
          <w:fldChar w:fldCharType="end"/>
        </w:r>
      </w:hyperlink>
    </w:p>
    <w:p w14:paraId="6D042196" w14:textId="77777777" w:rsidR="003B103A" w:rsidRDefault="003B103A">
      <w:pPr>
        <w:pStyle w:val="Obsah1"/>
        <w:tabs>
          <w:tab w:val="left" w:pos="440"/>
          <w:tab w:val="right" w:leader="dot" w:pos="9170"/>
        </w:tabs>
        <w:rPr>
          <w:rFonts w:asciiTheme="minorHAnsi" w:hAnsiTheme="minorHAnsi" w:cstheme="minorBidi"/>
          <w:noProof/>
          <w:sz w:val="22"/>
        </w:rPr>
      </w:pPr>
      <w:hyperlink w:anchor="_Toc54254081" w:history="1">
        <w:r w:rsidRPr="008B1210">
          <w:rPr>
            <w:rStyle w:val="Hypertextovodkaz"/>
            <w:noProof/>
          </w:rPr>
          <w:t>8</w:t>
        </w:r>
        <w:r>
          <w:rPr>
            <w:rFonts w:asciiTheme="minorHAnsi" w:hAnsiTheme="minorHAnsi" w:cstheme="minorBidi"/>
            <w:noProof/>
            <w:sz w:val="22"/>
          </w:rPr>
          <w:tab/>
        </w:r>
        <w:r w:rsidRPr="008B1210">
          <w:rPr>
            <w:rStyle w:val="Hypertextovodkaz"/>
            <w:noProof/>
          </w:rPr>
          <w:t>OBCHODNÍ POLITIKA</w:t>
        </w:r>
        <w:r>
          <w:rPr>
            <w:noProof/>
            <w:webHidden/>
          </w:rPr>
          <w:tab/>
        </w:r>
        <w:r>
          <w:rPr>
            <w:noProof/>
            <w:webHidden/>
          </w:rPr>
          <w:fldChar w:fldCharType="begin"/>
        </w:r>
        <w:r>
          <w:rPr>
            <w:noProof/>
            <w:webHidden/>
          </w:rPr>
          <w:instrText xml:space="preserve"> PAGEREF _Toc54254081 \h </w:instrText>
        </w:r>
        <w:r>
          <w:rPr>
            <w:noProof/>
            <w:webHidden/>
          </w:rPr>
        </w:r>
        <w:r>
          <w:rPr>
            <w:noProof/>
            <w:webHidden/>
          </w:rPr>
          <w:fldChar w:fldCharType="separate"/>
        </w:r>
        <w:r>
          <w:rPr>
            <w:noProof/>
            <w:webHidden/>
          </w:rPr>
          <w:t>172</w:t>
        </w:r>
        <w:r>
          <w:rPr>
            <w:noProof/>
            <w:webHidden/>
          </w:rPr>
          <w:fldChar w:fldCharType="end"/>
        </w:r>
      </w:hyperlink>
    </w:p>
    <w:p w14:paraId="528965B6" w14:textId="77777777" w:rsidR="003B103A" w:rsidRDefault="003B103A">
      <w:pPr>
        <w:pStyle w:val="Obsah1"/>
        <w:tabs>
          <w:tab w:val="left" w:pos="440"/>
          <w:tab w:val="right" w:leader="dot" w:pos="9170"/>
        </w:tabs>
        <w:rPr>
          <w:rFonts w:asciiTheme="minorHAnsi" w:hAnsiTheme="minorHAnsi" w:cstheme="minorBidi"/>
          <w:noProof/>
          <w:sz w:val="22"/>
        </w:rPr>
      </w:pPr>
      <w:hyperlink w:anchor="_Toc54254082" w:history="1">
        <w:r w:rsidRPr="008B1210">
          <w:rPr>
            <w:rStyle w:val="Hypertextovodkaz"/>
            <w:noProof/>
          </w:rPr>
          <w:t>9</w:t>
        </w:r>
        <w:r>
          <w:rPr>
            <w:rFonts w:asciiTheme="minorHAnsi" w:hAnsiTheme="minorHAnsi" w:cstheme="minorBidi"/>
            <w:noProof/>
            <w:sz w:val="22"/>
          </w:rPr>
          <w:tab/>
        </w:r>
        <w:r w:rsidRPr="008B1210">
          <w:rPr>
            <w:rStyle w:val="Hypertextovodkaz"/>
            <w:noProof/>
          </w:rPr>
          <w:t>POLITIKA OCHRANY HOSPODÁŘSKÉ SOUTĚŽE</w:t>
        </w:r>
        <w:r>
          <w:rPr>
            <w:noProof/>
            <w:webHidden/>
          </w:rPr>
          <w:tab/>
        </w:r>
        <w:r>
          <w:rPr>
            <w:noProof/>
            <w:webHidden/>
          </w:rPr>
          <w:fldChar w:fldCharType="begin"/>
        </w:r>
        <w:r>
          <w:rPr>
            <w:noProof/>
            <w:webHidden/>
          </w:rPr>
          <w:instrText xml:space="preserve"> PAGEREF _Toc54254082 \h </w:instrText>
        </w:r>
        <w:r>
          <w:rPr>
            <w:noProof/>
            <w:webHidden/>
          </w:rPr>
        </w:r>
        <w:r>
          <w:rPr>
            <w:noProof/>
            <w:webHidden/>
          </w:rPr>
          <w:fldChar w:fldCharType="separate"/>
        </w:r>
        <w:r>
          <w:rPr>
            <w:noProof/>
            <w:webHidden/>
          </w:rPr>
          <w:t>188</w:t>
        </w:r>
        <w:r>
          <w:rPr>
            <w:noProof/>
            <w:webHidden/>
          </w:rPr>
          <w:fldChar w:fldCharType="end"/>
        </w:r>
      </w:hyperlink>
    </w:p>
    <w:p w14:paraId="7C0FD872" w14:textId="77777777" w:rsidR="003B103A" w:rsidRDefault="003B103A">
      <w:pPr>
        <w:pStyle w:val="Obsah1"/>
        <w:tabs>
          <w:tab w:val="left" w:pos="660"/>
          <w:tab w:val="right" w:leader="dot" w:pos="9170"/>
        </w:tabs>
        <w:rPr>
          <w:rFonts w:asciiTheme="minorHAnsi" w:hAnsiTheme="minorHAnsi" w:cstheme="minorBidi"/>
          <w:noProof/>
          <w:sz w:val="22"/>
        </w:rPr>
      </w:pPr>
      <w:hyperlink w:anchor="_Toc54254083" w:history="1">
        <w:r w:rsidRPr="008B1210">
          <w:rPr>
            <w:rStyle w:val="Hypertextovodkaz"/>
            <w:noProof/>
          </w:rPr>
          <w:t>10</w:t>
        </w:r>
        <w:r>
          <w:rPr>
            <w:rFonts w:asciiTheme="minorHAnsi" w:hAnsiTheme="minorHAnsi" w:cstheme="minorBidi"/>
            <w:noProof/>
            <w:sz w:val="22"/>
          </w:rPr>
          <w:tab/>
        </w:r>
        <w:r w:rsidRPr="008B1210">
          <w:rPr>
            <w:rStyle w:val="Hypertextovodkaz"/>
            <w:noProof/>
          </w:rPr>
          <w:t>VEŘEJNÝ SEKTOR</w:t>
        </w:r>
        <w:r>
          <w:rPr>
            <w:noProof/>
            <w:webHidden/>
          </w:rPr>
          <w:tab/>
        </w:r>
        <w:r>
          <w:rPr>
            <w:noProof/>
            <w:webHidden/>
          </w:rPr>
          <w:fldChar w:fldCharType="begin"/>
        </w:r>
        <w:r>
          <w:rPr>
            <w:noProof/>
            <w:webHidden/>
          </w:rPr>
          <w:instrText xml:space="preserve"> PAGEREF _Toc54254083 \h </w:instrText>
        </w:r>
        <w:r>
          <w:rPr>
            <w:noProof/>
            <w:webHidden/>
          </w:rPr>
        </w:r>
        <w:r>
          <w:rPr>
            <w:noProof/>
            <w:webHidden/>
          </w:rPr>
          <w:fldChar w:fldCharType="separate"/>
        </w:r>
        <w:r>
          <w:rPr>
            <w:noProof/>
            <w:webHidden/>
          </w:rPr>
          <w:t>206</w:t>
        </w:r>
        <w:r>
          <w:rPr>
            <w:noProof/>
            <w:webHidden/>
          </w:rPr>
          <w:fldChar w:fldCharType="end"/>
        </w:r>
      </w:hyperlink>
    </w:p>
    <w:p w14:paraId="06EF8BBF" w14:textId="77777777" w:rsidR="003B103A" w:rsidRDefault="003B103A">
      <w:pPr>
        <w:pStyle w:val="Obsah1"/>
        <w:tabs>
          <w:tab w:val="left" w:pos="660"/>
          <w:tab w:val="right" w:leader="dot" w:pos="9170"/>
        </w:tabs>
        <w:rPr>
          <w:rFonts w:asciiTheme="minorHAnsi" w:hAnsiTheme="minorHAnsi" w:cstheme="minorBidi"/>
          <w:noProof/>
          <w:sz w:val="22"/>
        </w:rPr>
      </w:pPr>
      <w:hyperlink w:anchor="_Toc54254084" w:history="1">
        <w:r w:rsidRPr="008B1210">
          <w:rPr>
            <w:rStyle w:val="Hypertextovodkaz"/>
            <w:noProof/>
          </w:rPr>
          <w:t>11</w:t>
        </w:r>
        <w:r>
          <w:rPr>
            <w:rFonts w:asciiTheme="minorHAnsi" w:hAnsiTheme="minorHAnsi" w:cstheme="minorBidi"/>
            <w:noProof/>
            <w:sz w:val="22"/>
          </w:rPr>
          <w:tab/>
        </w:r>
        <w:r w:rsidRPr="008B1210">
          <w:rPr>
            <w:rStyle w:val="Hypertextovodkaz"/>
            <w:noProof/>
          </w:rPr>
          <w:t>POLITIKA PŘEROZDĚLOVÁNÍ</w:t>
        </w:r>
        <w:r>
          <w:rPr>
            <w:noProof/>
            <w:webHidden/>
          </w:rPr>
          <w:tab/>
        </w:r>
        <w:r>
          <w:rPr>
            <w:noProof/>
            <w:webHidden/>
          </w:rPr>
          <w:fldChar w:fldCharType="begin"/>
        </w:r>
        <w:r>
          <w:rPr>
            <w:noProof/>
            <w:webHidden/>
          </w:rPr>
          <w:instrText xml:space="preserve"> PAGEREF _Toc54254084 \h </w:instrText>
        </w:r>
        <w:r>
          <w:rPr>
            <w:noProof/>
            <w:webHidden/>
          </w:rPr>
        </w:r>
        <w:r>
          <w:rPr>
            <w:noProof/>
            <w:webHidden/>
          </w:rPr>
          <w:fldChar w:fldCharType="separate"/>
        </w:r>
        <w:r>
          <w:rPr>
            <w:noProof/>
            <w:webHidden/>
          </w:rPr>
          <w:t>226</w:t>
        </w:r>
        <w:r>
          <w:rPr>
            <w:noProof/>
            <w:webHidden/>
          </w:rPr>
          <w:fldChar w:fldCharType="end"/>
        </w:r>
      </w:hyperlink>
    </w:p>
    <w:p w14:paraId="2ED0DB74" w14:textId="77777777" w:rsidR="003B103A" w:rsidRDefault="003B103A">
      <w:pPr>
        <w:pStyle w:val="Obsah1"/>
        <w:tabs>
          <w:tab w:val="left" w:pos="660"/>
          <w:tab w:val="right" w:leader="dot" w:pos="9170"/>
        </w:tabs>
        <w:rPr>
          <w:rFonts w:asciiTheme="minorHAnsi" w:hAnsiTheme="minorHAnsi" w:cstheme="minorBidi"/>
          <w:noProof/>
          <w:sz w:val="22"/>
        </w:rPr>
      </w:pPr>
      <w:hyperlink w:anchor="_Toc54254085" w:history="1">
        <w:r w:rsidRPr="008B1210">
          <w:rPr>
            <w:rStyle w:val="Hypertextovodkaz"/>
            <w:noProof/>
          </w:rPr>
          <w:t>12</w:t>
        </w:r>
        <w:r>
          <w:rPr>
            <w:rFonts w:asciiTheme="minorHAnsi" w:hAnsiTheme="minorHAnsi" w:cstheme="minorBidi"/>
            <w:noProof/>
            <w:sz w:val="22"/>
          </w:rPr>
          <w:tab/>
        </w:r>
        <w:r w:rsidRPr="008B1210">
          <w:rPr>
            <w:rStyle w:val="Hypertextovodkaz"/>
            <w:noProof/>
          </w:rPr>
          <w:t>POLITIKA TRHU PRÁCE</w:t>
        </w:r>
        <w:r>
          <w:rPr>
            <w:noProof/>
            <w:webHidden/>
          </w:rPr>
          <w:tab/>
        </w:r>
        <w:r>
          <w:rPr>
            <w:noProof/>
            <w:webHidden/>
          </w:rPr>
          <w:fldChar w:fldCharType="begin"/>
        </w:r>
        <w:r>
          <w:rPr>
            <w:noProof/>
            <w:webHidden/>
          </w:rPr>
          <w:instrText xml:space="preserve"> PAGEREF _Toc54254085 \h </w:instrText>
        </w:r>
        <w:r>
          <w:rPr>
            <w:noProof/>
            <w:webHidden/>
          </w:rPr>
        </w:r>
        <w:r>
          <w:rPr>
            <w:noProof/>
            <w:webHidden/>
          </w:rPr>
          <w:fldChar w:fldCharType="separate"/>
        </w:r>
        <w:r>
          <w:rPr>
            <w:noProof/>
            <w:webHidden/>
          </w:rPr>
          <w:t>244</w:t>
        </w:r>
        <w:r>
          <w:rPr>
            <w:noProof/>
            <w:webHidden/>
          </w:rPr>
          <w:fldChar w:fldCharType="end"/>
        </w:r>
      </w:hyperlink>
    </w:p>
    <w:p w14:paraId="1D7FCC68" w14:textId="77777777" w:rsidR="003B103A" w:rsidRDefault="003B103A">
      <w:pPr>
        <w:pStyle w:val="Obsah1"/>
        <w:tabs>
          <w:tab w:val="left" w:pos="660"/>
          <w:tab w:val="right" w:leader="dot" w:pos="9170"/>
        </w:tabs>
        <w:rPr>
          <w:rFonts w:asciiTheme="minorHAnsi" w:hAnsiTheme="minorHAnsi" w:cstheme="minorBidi"/>
          <w:noProof/>
          <w:sz w:val="22"/>
        </w:rPr>
      </w:pPr>
      <w:hyperlink w:anchor="_Toc54254086" w:history="1">
        <w:r w:rsidRPr="008B1210">
          <w:rPr>
            <w:rStyle w:val="Hypertextovodkaz"/>
            <w:noProof/>
          </w:rPr>
          <w:t>13</w:t>
        </w:r>
        <w:r>
          <w:rPr>
            <w:rFonts w:asciiTheme="minorHAnsi" w:hAnsiTheme="minorHAnsi" w:cstheme="minorBidi"/>
            <w:noProof/>
            <w:sz w:val="22"/>
          </w:rPr>
          <w:tab/>
        </w:r>
        <w:r w:rsidRPr="008B1210">
          <w:rPr>
            <w:rStyle w:val="Hypertextovodkaz"/>
            <w:noProof/>
          </w:rPr>
          <w:t>EKOLOGICKÁ POLITIKA</w:t>
        </w:r>
        <w:r>
          <w:rPr>
            <w:noProof/>
            <w:webHidden/>
          </w:rPr>
          <w:tab/>
        </w:r>
        <w:r>
          <w:rPr>
            <w:noProof/>
            <w:webHidden/>
          </w:rPr>
          <w:fldChar w:fldCharType="begin"/>
        </w:r>
        <w:r>
          <w:rPr>
            <w:noProof/>
            <w:webHidden/>
          </w:rPr>
          <w:instrText xml:space="preserve"> PAGEREF _Toc54254086 \h </w:instrText>
        </w:r>
        <w:r>
          <w:rPr>
            <w:noProof/>
            <w:webHidden/>
          </w:rPr>
        </w:r>
        <w:r>
          <w:rPr>
            <w:noProof/>
            <w:webHidden/>
          </w:rPr>
          <w:fldChar w:fldCharType="separate"/>
        </w:r>
        <w:r>
          <w:rPr>
            <w:noProof/>
            <w:webHidden/>
          </w:rPr>
          <w:t>273</w:t>
        </w:r>
        <w:r>
          <w:rPr>
            <w:noProof/>
            <w:webHidden/>
          </w:rPr>
          <w:fldChar w:fldCharType="end"/>
        </w:r>
      </w:hyperlink>
    </w:p>
    <w:p w14:paraId="4AD16E66" w14:textId="77777777" w:rsidR="003B103A" w:rsidRDefault="003B103A">
      <w:pPr>
        <w:pStyle w:val="Obsah1"/>
        <w:tabs>
          <w:tab w:val="left" w:pos="660"/>
          <w:tab w:val="right" w:leader="dot" w:pos="9170"/>
        </w:tabs>
        <w:rPr>
          <w:rFonts w:asciiTheme="minorHAnsi" w:hAnsiTheme="minorHAnsi" w:cstheme="minorBidi"/>
          <w:noProof/>
          <w:sz w:val="22"/>
        </w:rPr>
      </w:pPr>
      <w:hyperlink w:anchor="_Toc54254087" w:history="1">
        <w:r w:rsidRPr="008B1210">
          <w:rPr>
            <w:rStyle w:val="Hypertextovodkaz"/>
            <w:noProof/>
          </w:rPr>
          <w:t>14</w:t>
        </w:r>
        <w:r>
          <w:rPr>
            <w:rFonts w:asciiTheme="minorHAnsi" w:hAnsiTheme="minorHAnsi" w:cstheme="minorBidi"/>
            <w:noProof/>
            <w:sz w:val="22"/>
          </w:rPr>
          <w:tab/>
        </w:r>
        <w:r w:rsidRPr="008B1210">
          <w:rPr>
            <w:rStyle w:val="Hypertextovodkaz"/>
            <w:noProof/>
          </w:rPr>
          <w:t>REGIONÁLNÍ POLITIKA</w:t>
        </w:r>
        <w:r>
          <w:rPr>
            <w:noProof/>
            <w:webHidden/>
          </w:rPr>
          <w:tab/>
        </w:r>
        <w:r>
          <w:rPr>
            <w:noProof/>
            <w:webHidden/>
          </w:rPr>
          <w:fldChar w:fldCharType="begin"/>
        </w:r>
        <w:r>
          <w:rPr>
            <w:noProof/>
            <w:webHidden/>
          </w:rPr>
          <w:instrText xml:space="preserve"> PAGEREF _Toc54254087 \h </w:instrText>
        </w:r>
        <w:r>
          <w:rPr>
            <w:noProof/>
            <w:webHidden/>
          </w:rPr>
        </w:r>
        <w:r>
          <w:rPr>
            <w:noProof/>
            <w:webHidden/>
          </w:rPr>
          <w:fldChar w:fldCharType="separate"/>
        </w:r>
        <w:r>
          <w:rPr>
            <w:noProof/>
            <w:webHidden/>
          </w:rPr>
          <w:t>285</w:t>
        </w:r>
        <w:r>
          <w:rPr>
            <w:noProof/>
            <w:webHidden/>
          </w:rPr>
          <w:fldChar w:fldCharType="end"/>
        </w:r>
      </w:hyperlink>
    </w:p>
    <w:p w14:paraId="5F8516DE" w14:textId="77777777" w:rsidR="003B103A" w:rsidRDefault="003B103A">
      <w:pPr>
        <w:pStyle w:val="Obsah1"/>
        <w:tabs>
          <w:tab w:val="left" w:pos="660"/>
          <w:tab w:val="right" w:leader="dot" w:pos="9170"/>
        </w:tabs>
        <w:rPr>
          <w:rFonts w:asciiTheme="minorHAnsi" w:hAnsiTheme="minorHAnsi" w:cstheme="minorBidi"/>
          <w:noProof/>
          <w:sz w:val="22"/>
        </w:rPr>
      </w:pPr>
      <w:hyperlink w:anchor="_Toc54254088" w:history="1">
        <w:r w:rsidRPr="008B1210">
          <w:rPr>
            <w:rStyle w:val="Hypertextovodkaz"/>
            <w:noProof/>
          </w:rPr>
          <w:t>15</w:t>
        </w:r>
        <w:r>
          <w:rPr>
            <w:rFonts w:asciiTheme="minorHAnsi" w:hAnsiTheme="minorHAnsi" w:cstheme="minorBidi"/>
            <w:noProof/>
            <w:sz w:val="22"/>
          </w:rPr>
          <w:tab/>
        </w:r>
        <w:r w:rsidRPr="008B1210">
          <w:rPr>
            <w:rStyle w:val="Hypertextovodkaz"/>
            <w:noProof/>
          </w:rPr>
          <w:t>TRŽNÍ A VLÁDNÍ SELHÁNÍ</w:t>
        </w:r>
        <w:r>
          <w:rPr>
            <w:noProof/>
            <w:webHidden/>
          </w:rPr>
          <w:tab/>
        </w:r>
        <w:r>
          <w:rPr>
            <w:noProof/>
            <w:webHidden/>
          </w:rPr>
          <w:fldChar w:fldCharType="begin"/>
        </w:r>
        <w:r>
          <w:rPr>
            <w:noProof/>
            <w:webHidden/>
          </w:rPr>
          <w:instrText xml:space="preserve"> PAGEREF _Toc54254088 \h </w:instrText>
        </w:r>
        <w:r>
          <w:rPr>
            <w:noProof/>
            <w:webHidden/>
          </w:rPr>
        </w:r>
        <w:r>
          <w:rPr>
            <w:noProof/>
            <w:webHidden/>
          </w:rPr>
          <w:fldChar w:fldCharType="separate"/>
        </w:r>
        <w:r>
          <w:rPr>
            <w:noProof/>
            <w:webHidden/>
          </w:rPr>
          <w:t>316</w:t>
        </w:r>
        <w:r>
          <w:rPr>
            <w:noProof/>
            <w:webHidden/>
          </w:rPr>
          <w:fldChar w:fldCharType="end"/>
        </w:r>
      </w:hyperlink>
    </w:p>
    <w:p w14:paraId="0FCB3E5C" w14:textId="77777777" w:rsidR="003B103A" w:rsidRDefault="003B103A">
      <w:pPr>
        <w:pStyle w:val="Obsah1"/>
        <w:tabs>
          <w:tab w:val="left" w:pos="660"/>
          <w:tab w:val="right" w:leader="dot" w:pos="9170"/>
        </w:tabs>
        <w:rPr>
          <w:rFonts w:asciiTheme="minorHAnsi" w:hAnsiTheme="minorHAnsi" w:cstheme="minorBidi"/>
          <w:noProof/>
          <w:sz w:val="22"/>
        </w:rPr>
      </w:pPr>
      <w:hyperlink w:anchor="_Toc54254089" w:history="1">
        <w:r w:rsidRPr="008B1210">
          <w:rPr>
            <w:rStyle w:val="Hypertextovodkaz"/>
            <w:noProof/>
          </w:rPr>
          <w:t>16</w:t>
        </w:r>
        <w:r>
          <w:rPr>
            <w:rFonts w:asciiTheme="minorHAnsi" w:hAnsiTheme="minorHAnsi" w:cstheme="minorBidi"/>
            <w:noProof/>
            <w:sz w:val="22"/>
          </w:rPr>
          <w:tab/>
        </w:r>
        <w:r w:rsidRPr="008B1210">
          <w:rPr>
            <w:rStyle w:val="Hypertextovodkaz"/>
            <w:noProof/>
          </w:rPr>
          <w:t>SOCIÁLNÍ POLITIKA A JEJÍ POJETÍ</w:t>
        </w:r>
        <w:r>
          <w:rPr>
            <w:noProof/>
            <w:webHidden/>
          </w:rPr>
          <w:tab/>
        </w:r>
        <w:r>
          <w:rPr>
            <w:noProof/>
            <w:webHidden/>
          </w:rPr>
          <w:fldChar w:fldCharType="begin"/>
        </w:r>
        <w:r>
          <w:rPr>
            <w:noProof/>
            <w:webHidden/>
          </w:rPr>
          <w:instrText xml:space="preserve"> PAGEREF _Toc54254089 \h </w:instrText>
        </w:r>
        <w:r>
          <w:rPr>
            <w:noProof/>
            <w:webHidden/>
          </w:rPr>
        </w:r>
        <w:r>
          <w:rPr>
            <w:noProof/>
            <w:webHidden/>
          </w:rPr>
          <w:fldChar w:fldCharType="separate"/>
        </w:r>
        <w:r>
          <w:rPr>
            <w:noProof/>
            <w:webHidden/>
          </w:rPr>
          <w:t>342</w:t>
        </w:r>
        <w:r>
          <w:rPr>
            <w:noProof/>
            <w:webHidden/>
          </w:rPr>
          <w:fldChar w:fldCharType="end"/>
        </w:r>
      </w:hyperlink>
    </w:p>
    <w:p w14:paraId="0323FEA1" w14:textId="77777777" w:rsidR="003B103A" w:rsidRDefault="003B103A">
      <w:pPr>
        <w:pStyle w:val="Obsah1"/>
        <w:tabs>
          <w:tab w:val="left" w:pos="660"/>
          <w:tab w:val="right" w:leader="dot" w:pos="9170"/>
        </w:tabs>
        <w:rPr>
          <w:rFonts w:asciiTheme="minorHAnsi" w:hAnsiTheme="minorHAnsi" w:cstheme="minorBidi"/>
          <w:noProof/>
          <w:sz w:val="22"/>
        </w:rPr>
      </w:pPr>
      <w:hyperlink w:anchor="_Toc54254090" w:history="1">
        <w:r w:rsidRPr="008B1210">
          <w:rPr>
            <w:rStyle w:val="Hypertextovodkaz"/>
            <w:noProof/>
          </w:rPr>
          <w:t>17</w:t>
        </w:r>
        <w:r>
          <w:rPr>
            <w:rFonts w:asciiTheme="minorHAnsi" w:hAnsiTheme="minorHAnsi" w:cstheme="minorBidi"/>
            <w:noProof/>
            <w:sz w:val="22"/>
          </w:rPr>
          <w:tab/>
        </w:r>
        <w:r w:rsidRPr="008B1210">
          <w:rPr>
            <w:rStyle w:val="Hypertextovodkaz"/>
            <w:noProof/>
          </w:rPr>
          <w:t>EKONOMICKÁ INTEGRACE</w:t>
        </w:r>
        <w:r>
          <w:rPr>
            <w:noProof/>
            <w:webHidden/>
          </w:rPr>
          <w:tab/>
        </w:r>
        <w:r>
          <w:rPr>
            <w:noProof/>
            <w:webHidden/>
          </w:rPr>
          <w:fldChar w:fldCharType="begin"/>
        </w:r>
        <w:r>
          <w:rPr>
            <w:noProof/>
            <w:webHidden/>
          </w:rPr>
          <w:instrText xml:space="preserve"> PAGEREF _Toc54254090 \h </w:instrText>
        </w:r>
        <w:r>
          <w:rPr>
            <w:noProof/>
            <w:webHidden/>
          </w:rPr>
        </w:r>
        <w:r>
          <w:rPr>
            <w:noProof/>
            <w:webHidden/>
          </w:rPr>
          <w:fldChar w:fldCharType="separate"/>
        </w:r>
        <w:r>
          <w:rPr>
            <w:noProof/>
            <w:webHidden/>
          </w:rPr>
          <w:t>375</w:t>
        </w:r>
        <w:r>
          <w:rPr>
            <w:noProof/>
            <w:webHidden/>
          </w:rPr>
          <w:fldChar w:fldCharType="end"/>
        </w:r>
      </w:hyperlink>
    </w:p>
    <w:p w14:paraId="16EC2A9A" w14:textId="77777777" w:rsidR="003B103A" w:rsidRDefault="003B103A">
      <w:pPr>
        <w:pStyle w:val="Obsah1"/>
        <w:tabs>
          <w:tab w:val="left" w:pos="660"/>
          <w:tab w:val="right" w:leader="dot" w:pos="9170"/>
        </w:tabs>
        <w:rPr>
          <w:rFonts w:asciiTheme="minorHAnsi" w:hAnsiTheme="minorHAnsi" w:cstheme="minorBidi"/>
          <w:noProof/>
          <w:sz w:val="22"/>
        </w:rPr>
      </w:pPr>
      <w:hyperlink w:anchor="_Toc54254091" w:history="1">
        <w:r w:rsidRPr="008B1210">
          <w:rPr>
            <w:rStyle w:val="Hypertextovodkaz"/>
            <w:noProof/>
          </w:rPr>
          <w:t>18</w:t>
        </w:r>
        <w:r>
          <w:rPr>
            <w:rFonts w:asciiTheme="minorHAnsi" w:hAnsiTheme="minorHAnsi" w:cstheme="minorBidi"/>
            <w:noProof/>
            <w:sz w:val="22"/>
          </w:rPr>
          <w:tab/>
        </w:r>
        <w:r w:rsidRPr="008B1210">
          <w:rPr>
            <w:rStyle w:val="Hypertextovodkaz"/>
            <w:noProof/>
          </w:rPr>
          <w:t>PROHLUBOVÁNÍ INTEGRAČNÍHO PROCESU V EU</w:t>
        </w:r>
        <w:r>
          <w:rPr>
            <w:noProof/>
            <w:webHidden/>
          </w:rPr>
          <w:tab/>
        </w:r>
        <w:r>
          <w:rPr>
            <w:noProof/>
            <w:webHidden/>
          </w:rPr>
          <w:fldChar w:fldCharType="begin"/>
        </w:r>
        <w:r>
          <w:rPr>
            <w:noProof/>
            <w:webHidden/>
          </w:rPr>
          <w:instrText xml:space="preserve"> PAGEREF _Toc54254091 \h </w:instrText>
        </w:r>
        <w:r>
          <w:rPr>
            <w:noProof/>
            <w:webHidden/>
          </w:rPr>
        </w:r>
        <w:r>
          <w:rPr>
            <w:noProof/>
            <w:webHidden/>
          </w:rPr>
          <w:fldChar w:fldCharType="separate"/>
        </w:r>
        <w:r>
          <w:rPr>
            <w:noProof/>
            <w:webHidden/>
          </w:rPr>
          <w:t>397</w:t>
        </w:r>
        <w:r>
          <w:rPr>
            <w:noProof/>
            <w:webHidden/>
          </w:rPr>
          <w:fldChar w:fldCharType="end"/>
        </w:r>
      </w:hyperlink>
    </w:p>
    <w:p w14:paraId="7D2B0DB1" w14:textId="77777777" w:rsidR="003B103A" w:rsidRDefault="003B103A">
      <w:pPr>
        <w:pStyle w:val="Obsah1"/>
        <w:tabs>
          <w:tab w:val="left" w:pos="660"/>
          <w:tab w:val="right" w:leader="dot" w:pos="9170"/>
        </w:tabs>
        <w:rPr>
          <w:rFonts w:asciiTheme="minorHAnsi" w:hAnsiTheme="minorHAnsi" w:cstheme="minorBidi"/>
          <w:noProof/>
          <w:sz w:val="22"/>
        </w:rPr>
      </w:pPr>
      <w:hyperlink w:anchor="_Toc54254092" w:history="1">
        <w:r w:rsidRPr="008B1210">
          <w:rPr>
            <w:rStyle w:val="Hypertextovodkaz"/>
            <w:noProof/>
          </w:rPr>
          <w:t>19</w:t>
        </w:r>
        <w:r>
          <w:rPr>
            <w:rFonts w:asciiTheme="minorHAnsi" w:hAnsiTheme="minorHAnsi" w:cstheme="minorBidi"/>
            <w:noProof/>
            <w:sz w:val="22"/>
          </w:rPr>
          <w:tab/>
        </w:r>
        <w:r w:rsidRPr="008B1210">
          <w:rPr>
            <w:rStyle w:val="Hypertextovodkaz"/>
            <w:noProof/>
          </w:rPr>
          <w:t>TRANSFORMACE NÁRODNÍHO HOSPODÁŘSTVÍ V ČR PO ROCE 1989</w:t>
        </w:r>
        <w:r>
          <w:rPr>
            <w:noProof/>
            <w:webHidden/>
          </w:rPr>
          <w:tab/>
        </w:r>
        <w:r>
          <w:rPr>
            <w:noProof/>
            <w:webHidden/>
          </w:rPr>
          <w:fldChar w:fldCharType="begin"/>
        </w:r>
        <w:r>
          <w:rPr>
            <w:noProof/>
            <w:webHidden/>
          </w:rPr>
          <w:instrText xml:space="preserve"> PAGEREF _Toc54254092 \h </w:instrText>
        </w:r>
        <w:r>
          <w:rPr>
            <w:noProof/>
            <w:webHidden/>
          </w:rPr>
        </w:r>
        <w:r>
          <w:rPr>
            <w:noProof/>
            <w:webHidden/>
          </w:rPr>
          <w:fldChar w:fldCharType="separate"/>
        </w:r>
        <w:r>
          <w:rPr>
            <w:noProof/>
            <w:webHidden/>
          </w:rPr>
          <w:t>411</w:t>
        </w:r>
        <w:r>
          <w:rPr>
            <w:noProof/>
            <w:webHidden/>
          </w:rPr>
          <w:fldChar w:fldCharType="end"/>
        </w:r>
      </w:hyperlink>
    </w:p>
    <w:p w14:paraId="77B93589" w14:textId="77777777" w:rsidR="003B103A" w:rsidRDefault="003B103A">
      <w:pPr>
        <w:pStyle w:val="Obsah1"/>
        <w:tabs>
          <w:tab w:val="left" w:pos="660"/>
          <w:tab w:val="right" w:leader="dot" w:pos="9170"/>
        </w:tabs>
        <w:rPr>
          <w:rFonts w:asciiTheme="minorHAnsi" w:hAnsiTheme="minorHAnsi" w:cstheme="minorBidi"/>
          <w:noProof/>
          <w:sz w:val="22"/>
        </w:rPr>
      </w:pPr>
      <w:hyperlink w:anchor="_Toc54254093" w:history="1">
        <w:r w:rsidRPr="008B1210">
          <w:rPr>
            <w:rStyle w:val="Hypertextovodkaz"/>
            <w:noProof/>
          </w:rPr>
          <w:t>20</w:t>
        </w:r>
        <w:r>
          <w:rPr>
            <w:rFonts w:asciiTheme="minorHAnsi" w:hAnsiTheme="minorHAnsi" w:cstheme="minorBidi"/>
            <w:noProof/>
            <w:sz w:val="22"/>
          </w:rPr>
          <w:tab/>
        </w:r>
        <w:r w:rsidRPr="008B1210">
          <w:rPr>
            <w:rStyle w:val="Hypertextovodkaz"/>
            <w:noProof/>
          </w:rPr>
          <w:t>CHARAKTERISTIKA VEŘEJNÝCH FINANCÍ</w:t>
        </w:r>
        <w:r>
          <w:rPr>
            <w:noProof/>
            <w:webHidden/>
          </w:rPr>
          <w:tab/>
        </w:r>
        <w:r>
          <w:rPr>
            <w:noProof/>
            <w:webHidden/>
          </w:rPr>
          <w:fldChar w:fldCharType="begin"/>
        </w:r>
        <w:r>
          <w:rPr>
            <w:noProof/>
            <w:webHidden/>
          </w:rPr>
          <w:instrText xml:space="preserve"> PAGEREF _Toc54254093 \h </w:instrText>
        </w:r>
        <w:r>
          <w:rPr>
            <w:noProof/>
            <w:webHidden/>
          </w:rPr>
        </w:r>
        <w:r>
          <w:rPr>
            <w:noProof/>
            <w:webHidden/>
          </w:rPr>
          <w:fldChar w:fldCharType="separate"/>
        </w:r>
        <w:r>
          <w:rPr>
            <w:noProof/>
            <w:webHidden/>
          </w:rPr>
          <w:t>446</w:t>
        </w:r>
        <w:r>
          <w:rPr>
            <w:noProof/>
            <w:webHidden/>
          </w:rPr>
          <w:fldChar w:fldCharType="end"/>
        </w:r>
      </w:hyperlink>
    </w:p>
    <w:p w14:paraId="1747BAE3" w14:textId="77777777" w:rsidR="003B103A" w:rsidRDefault="003B103A">
      <w:pPr>
        <w:pStyle w:val="Obsah1"/>
        <w:tabs>
          <w:tab w:val="left" w:pos="660"/>
          <w:tab w:val="right" w:leader="dot" w:pos="9170"/>
        </w:tabs>
        <w:rPr>
          <w:rFonts w:asciiTheme="minorHAnsi" w:hAnsiTheme="minorHAnsi" w:cstheme="minorBidi"/>
          <w:noProof/>
          <w:sz w:val="22"/>
        </w:rPr>
      </w:pPr>
      <w:hyperlink w:anchor="_Toc54254094" w:history="1">
        <w:r w:rsidRPr="008B1210">
          <w:rPr>
            <w:rStyle w:val="Hypertextovodkaz"/>
            <w:noProof/>
          </w:rPr>
          <w:t>21</w:t>
        </w:r>
        <w:r>
          <w:rPr>
            <w:rFonts w:asciiTheme="minorHAnsi" w:hAnsiTheme="minorHAnsi" w:cstheme="minorBidi"/>
            <w:noProof/>
            <w:sz w:val="22"/>
          </w:rPr>
          <w:tab/>
        </w:r>
        <w:r w:rsidRPr="008B1210">
          <w:rPr>
            <w:rStyle w:val="Hypertextovodkaz"/>
            <w:noProof/>
          </w:rPr>
          <w:t>AKTUALITY LS 2020</w:t>
        </w:r>
        <w:r>
          <w:rPr>
            <w:noProof/>
            <w:webHidden/>
          </w:rPr>
          <w:tab/>
        </w:r>
        <w:r>
          <w:rPr>
            <w:noProof/>
            <w:webHidden/>
          </w:rPr>
          <w:fldChar w:fldCharType="begin"/>
        </w:r>
        <w:r>
          <w:rPr>
            <w:noProof/>
            <w:webHidden/>
          </w:rPr>
          <w:instrText xml:space="preserve"> PAGEREF _Toc54254094 \h </w:instrText>
        </w:r>
        <w:r>
          <w:rPr>
            <w:noProof/>
            <w:webHidden/>
          </w:rPr>
        </w:r>
        <w:r>
          <w:rPr>
            <w:noProof/>
            <w:webHidden/>
          </w:rPr>
          <w:fldChar w:fldCharType="separate"/>
        </w:r>
        <w:r>
          <w:rPr>
            <w:noProof/>
            <w:webHidden/>
          </w:rPr>
          <w:t>470</w:t>
        </w:r>
        <w:r>
          <w:rPr>
            <w:noProof/>
            <w:webHidden/>
          </w:rPr>
          <w:fldChar w:fldCharType="end"/>
        </w:r>
      </w:hyperlink>
    </w:p>
    <w:p w14:paraId="4A6F2923" w14:textId="4D2FB5F5" w:rsidR="00596FAC" w:rsidRDefault="00627DAC" w:rsidP="003B103A">
      <w:pPr>
        <w:rPr>
          <w:sz w:val="20"/>
          <w:szCs w:val="20"/>
        </w:rPr>
        <w:sectPr w:rsidR="00596FAC">
          <w:footerReference w:type="default" r:id="rId10"/>
          <w:pgSz w:w="11900" w:h="16840"/>
          <w:pgMar w:top="1311" w:right="1440" w:bottom="625" w:left="1280" w:header="0" w:footer="0" w:gutter="0"/>
          <w:cols w:space="708" w:equalWidth="0">
            <w:col w:w="9180"/>
          </w:cols>
        </w:sectPr>
      </w:pPr>
      <w:r w:rsidRPr="003E4276">
        <w:rPr>
          <w:szCs w:val="24"/>
        </w:rPr>
        <w:fldChar w:fldCharType="end"/>
      </w:r>
      <w:bookmarkStart w:id="3" w:name="_GoBack"/>
      <w:bookmarkEnd w:id="3"/>
    </w:p>
    <w:p w14:paraId="4A6F2926" w14:textId="37D5B1F2" w:rsidR="008E0F74" w:rsidRPr="006C264F" w:rsidRDefault="00256F29" w:rsidP="00D46B53">
      <w:pPr>
        <w:pStyle w:val="Nadpis1"/>
        <w:numPr>
          <w:ilvl w:val="0"/>
          <w:numId w:val="592"/>
        </w:numPr>
        <w:ind w:left="0" w:firstLine="0"/>
        <w:rPr>
          <w:color w:val="1F3864" w:themeColor="accent1" w:themeShade="80"/>
        </w:rPr>
      </w:pPr>
      <w:bookmarkStart w:id="4" w:name="page4"/>
      <w:bookmarkStart w:id="5" w:name="_Toc54254074"/>
      <w:bookmarkEnd w:id="4"/>
      <w:r w:rsidRPr="006C264F">
        <w:rPr>
          <w:color w:val="1F3864" w:themeColor="accent1" w:themeShade="80"/>
        </w:rPr>
        <w:lastRenderedPageBreak/>
        <w:t>TEORETICKÉ A PRAKTICKÉ ZÁKLADY</w:t>
      </w:r>
      <w:r w:rsidR="00244780" w:rsidRPr="006C264F">
        <w:rPr>
          <w:color w:val="1F3864" w:themeColor="accent1" w:themeShade="80"/>
        </w:rPr>
        <w:t xml:space="preserve"> </w:t>
      </w:r>
      <w:r w:rsidRPr="006C264F">
        <w:rPr>
          <w:color w:val="1F3864" w:themeColor="accent1" w:themeShade="80"/>
        </w:rPr>
        <w:t>HOSPODÁŘSKÉ POLITIKY</w:t>
      </w:r>
      <w:bookmarkEnd w:id="5"/>
    </w:p>
    <w:p w14:paraId="4A6F2928" w14:textId="0E9B4715" w:rsidR="008E0F74" w:rsidRPr="00466189" w:rsidRDefault="00256F29" w:rsidP="006C264F">
      <w:pPr>
        <w:rPr>
          <w:sz w:val="20"/>
          <w:szCs w:val="20"/>
        </w:rPr>
      </w:pPr>
      <w:r w:rsidRPr="00466189">
        <w:rPr>
          <w:rFonts w:eastAsia="Times New Roman"/>
          <w:b/>
          <w:bCs/>
          <w:sz w:val="28"/>
          <w:szCs w:val="28"/>
        </w:rPr>
        <w:t>Slovníček pojmů:</w:t>
      </w:r>
    </w:p>
    <w:p w14:paraId="4A6F2929" w14:textId="0E927926" w:rsidR="008E0F74" w:rsidRPr="00AC6666" w:rsidRDefault="00256F29" w:rsidP="00FC3B7C">
      <w:pPr>
        <w:rPr>
          <w:rFonts w:eastAsia="Times New Roman"/>
        </w:rPr>
      </w:pPr>
      <w:r w:rsidRPr="00FC3B7C">
        <w:rPr>
          <w:rFonts w:eastAsia="Times New Roman"/>
          <w:i/>
          <w:iCs/>
          <w:u w:val="single"/>
        </w:rPr>
        <w:t>Hospodářská politika (HP)</w:t>
      </w:r>
      <w:r w:rsidRPr="00FC3B7C">
        <w:rPr>
          <w:rFonts w:eastAsia="Times New Roman"/>
          <w:i/>
          <w:iCs/>
        </w:rPr>
        <w:t xml:space="preserve"> </w:t>
      </w:r>
      <w:r w:rsidRPr="00FC3B7C">
        <w:rPr>
          <w:rFonts w:eastAsia="Times New Roman"/>
        </w:rPr>
        <w:t>- Politika státu, při níž</w:t>
      </w:r>
      <w:r w:rsidRPr="00FC3B7C">
        <w:rPr>
          <w:rFonts w:eastAsia="Times New Roman"/>
          <w:i/>
          <w:iCs/>
        </w:rPr>
        <w:t xml:space="preserve"> </w:t>
      </w:r>
      <w:r w:rsidRPr="00FC3B7C">
        <w:rPr>
          <w:rFonts w:eastAsia="Times New Roman"/>
        </w:rPr>
        <w:t>nositelé HP používají nástroje k ovlivňování</w:t>
      </w:r>
      <w:r w:rsidRPr="00FC3B7C">
        <w:rPr>
          <w:rFonts w:eastAsia="Times New Roman"/>
          <w:i/>
          <w:iCs/>
        </w:rPr>
        <w:t xml:space="preserve"> </w:t>
      </w:r>
      <w:r w:rsidRPr="00FC3B7C">
        <w:rPr>
          <w:rFonts w:eastAsia="Times New Roman"/>
        </w:rPr>
        <w:t>ekonomického a sociálního vývoje v zájmu širších společenských cílů;</w:t>
      </w:r>
      <w:r w:rsidR="00F8714C">
        <w:rPr>
          <w:rFonts w:eastAsia="Times New Roman"/>
        </w:rPr>
        <w:t xml:space="preserve"> </w:t>
      </w:r>
      <w:r w:rsidRPr="00FC3B7C">
        <w:rPr>
          <w:rFonts w:eastAsia="Times New Roman"/>
        </w:rPr>
        <w:t xml:space="preserve">lze ji dělit </w:t>
      </w:r>
      <w:r w:rsidR="00FC3B7C">
        <w:rPr>
          <w:rFonts w:eastAsia="Times New Roman"/>
        </w:rPr>
        <w:br/>
      </w:r>
      <w:r w:rsidRPr="00AC6666">
        <w:rPr>
          <w:rFonts w:eastAsia="Times New Roman"/>
        </w:rPr>
        <w:t>na mikroekonomickou a makroekonomickou HP.</w:t>
      </w:r>
    </w:p>
    <w:p w14:paraId="359910C5" w14:textId="06B8E28F" w:rsidR="006C597C" w:rsidRPr="00AC6666" w:rsidRDefault="00F8714C" w:rsidP="00FC3B7C">
      <w:pPr>
        <w:rPr>
          <w:rFonts w:eastAsia="Times New Roman"/>
        </w:rPr>
      </w:pPr>
      <w:r w:rsidRPr="00AC6666">
        <w:rPr>
          <w:rFonts w:eastAsia="Times New Roman"/>
          <w:i/>
          <w:iCs/>
          <w:u w:val="single"/>
        </w:rPr>
        <w:t>N</w:t>
      </w:r>
      <w:r w:rsidR="006C597C" w:rsidRPr="00AC6666">
        <w:rPr>
          <w:rFonts w:eastAsia="Times New Roman"/>
          <w:i/>
          <w:iCs/>
          <w:u w:val="single"/>
        </w:rPr>
        <w:t>ástroje HP</w:t>
      </w:r>
      <w:r w:rsidR="006C597C" w:rsidRPr="00AC6666">
        <w:rPr>
          <w:rFonts w:eastAsia="Times New Roman"/>
        </w:rPr>
        <w:t xml:space="preserve"> – </w:t>
      </w:r>
      <w:r w:rsidRPr="00AC6666">
        <w:rPr>
          <w:rFonts w:eastAsia="Times New Roman"/>
        </w:rPr>
        <w:t>F</w:t>
      </w:r>
      <w:r w:rsidR="006C597C" w:rsidRPr="00AC6666">
        <w:rPr>
          <w:rFonts w:eastAsia="Times New Roman"/>
        </w:rPr>
        <w:t xml:space="preserve">iskální a monetární politika </w:t>
      </w:r>
    </w:p>
    <w:p w14:paraId="7DD82AF0" w14:textId="11151520" w:rsidR="00F8714C" w:rsidRPr="00AC6666" w:rsidRDefault="00F8714C" w:rsidP="00FC3B7C">
      <w:pPr>
        <w:rPr>
          <w:rFonts w:eastAsia="Times New Roman"/>
        </w:rPr>
      </w:pPr>
      <w:r w:rsidRPr="00AC6666">
        <w:rPr>
          <w:rFonts w:eastAsia="Times New Roman"/>
          <w:i/>
          <w:iCs/>
          <w:u w:val="single"/>
        </w:rPr>
        <w:t xml:space="preserve">Fiskální </w:t>
      </w:r>
      <w:r w:rsidR="000A6D20" w:rsidRPr="00AC6666">
        <w:rPr>
          <w:rFonts w:eastAsia="Times New Roman"/>
          <w:i/>
          <w:iCs/>
          <w:u w:val="single"/>
        </w:rPr>
        <w:t xml:space="preserve">(rozpočtová) </w:t>
      </w:r>
      <w:r w:rsidRPr="00AC6666">
        <w:rPr>
          <w:rFonts w:eastAsia="Times New Roman"/>
          <w:i/>
          <w:iCs/>
          <w:u w:val="single"/>
        </w:rPr>
        <w:t>politika</w:t>
      </w:r>
      <w:r w:rsidR="000A6D20" w:rsidRPr="00AC6666">
        <w:rPr>
          <w:rFonts w:eastAsia="Times New Roman"/>
          <w:i/>
          <w:iCs/>
          <w:u w:val="single"/>
        </w:rPr>
        <w:t xml:space="preserve"> </w:t>
      </w:r>
      <w:r w:rsidR="000A6D20" w:rsidRPr="00AC6666">
        <w:rPr>
          <w:rFonts w:eastAsia="Times New Roman"/>
        </w:rPr>
        <w:t xml:space="preserve">- </w:t>
      </w:r>
      <w:r w:rsidR="00BB24E2" w:rsidRPr="00AC6666">
        <w:rPr>
          <w:rFonts w:eastAsia="Times New Roman"/>
        </w:rPr>
        <w:t>N</w:t>
      </w:r>
      <w:r w:rsidR="000D7962" w:rsidRPr="00AC6666">
        <w:rPr>
          <w:rFonts w:eastAsia="Times New Roman"/>
        </w:rPr>
        <w:t>ástroj aktivního zasahování státu do hospodářství</w:t>
      </w:r>
      <w:r w:rsidR="00BB24E2" w:rsidRPr="00AC6666">
        <w:rPr>
          <w:rFonts w:eastAsia="Times New Roman"/>
        </w:rPr>
        <w:t>. S</w:t>
      </w:r>
      <w:r w:rsidR="000D7962" w:rsidRPr="00AC6666">
        <w:rPr>
          <w:rFonts w:eastAsia="Times New Roman"/>
        </w:rPr>
        <w:t>na</w:t>
      </w:r>
      <w:r w:rsidR="00BB24E2" w:rsidRPr="00AC6666">
        <w:rPr>
          <w:rFonts w:eastAsia="Times New Roman"/>
        </w:rPr>
        <w:t>ha</w:t>
      </w:r>
      <w:r w:rsidR="000D7962" w:rsidRPr="00AC6666">
        <w:rPr>
          <w:rFonts w:eastAsia="Times New Roman"/>
        </w:rPr>
        <w:t xml:space="preserve"> ovlivnit vývoj </w:t>
      </w:r>
      <w:hyperlink r:id="rId11" w:tooltip="Ekonomika" w:history="1">
        <w:r w:rsidR="000D7962" w:rsidRPr="00AC6666">
          <w:rPr>
            <w:rFonts w:eastAsia="Times New Roman"/>
          </w:rPr>
          <w:t>ekonomiky</w:t>
        </w:r>
      </w:hyperlink>
      <w:r w:rsidR="000D7962" w:rsidRPr="00AC6666">
        <w:rPr>
          <w:rFonts w:eastAsia="Times New Roman"/>
        </w:rPr>
        <w:t> změnami výše a </w:t>
      </w:r>
      <w:hyperlink r:id="rId12" w:tooltip="Struktura" w:history="1">
        <w:r w:rsidR="000D7962" w:rsidRPr="00AC6666">
          <w:rPr>
            <w:rFonts w:eastAsia="Times New Roman"/>
          </w:rPr>
          <w:t>struktury</w:t>
        </w:r>
      </w:hyperlink>
      <w:r w:rsidR="000D7962" w:rsidRPr="00AC6666">
        <w:rPr>
          <w:rFonts w:eastAsia="Times New Roman"/>
        </w:rPr>
        <w:t> </w:t>
      </w:r>
      <w:hyperlink r:id="rId13" w:tooltip="Veřejné výdaje" w:history="1">
        <w:r w:rsidR="000D7962" w:rsidRPr="00AC6666">
          <w:rPr>
            <w:rFonts w:eastAsia="Times New Roman"/>
          </w:rPr>
          <w:t>veřejných výdajů</w:t>
        </w:r>
      </w:hyperlink>
      <w:r w:rsidR="000D7962" w:rsidRPr="00AC6666">
        <w:rPr>
          <w:rFonts w:eastAsia="Times New Roman"/>
        </w:rPr>
        <w:t> a </w:t>
      </w:r>
      <w:hyperlink r:id="rId14" w:tooltip="Daně" w:history="1">
        <w:r w:rsidR="000D7962" w:rsidRPr="00AC6666">
          <w:rPr>
            <w:rFonts w:eastAsia="Times New Roman"/>
          </w:rPr>
          <w:t>daní</w:t>
        </w:r>
      </w:hyperlink>
      <w:r w:rsidR="000D7962" w:rsidRPr="00AC6666">
        <w:rPr>
          <w:rFonts w:eastAsia="Times New Roman"/>
        </w:rPr>
        <w:t xml:space="preserve">. </w:t>
      </w:r>
    </w:p>
    <w:p w14:paraId="030C763A" w14:textId="2C41247C" w:rsidR="00F8714C" w:rsidRPr="00AC6666" w:rsidRDefault="00F8714C" w:rsidP="00FC3B7C">
      <w:pPr>
        <w:rPr>
          <w:rFonts w:eastAsia="Times New Roman"/>
        </w:rPr>
      </w:pPr>
      <w:r w:rsidRPr="00AC6666">
        <w:rPr>
          <w:rFonts w:eastAsia="Times New Roman"/>
          <w:i/>
          <w:iCs/>
          <w:u w:val="single"/>
        </w:rPr>
        <w:t>Monetární</w:t>
      </w:r>
      <w:r w:rsidR="000A6D20" w:rsidRPr="00AC6666">
        <w:rPr>
          <w:rFonts w:eastAsia="Times New Roman"/>
          <w:i/>
          <w:iCs/>
          <w:u w:val="single"/>
        </w:rPr>
        <w:t xml:space="preserve"> (měnová)</w:t>
      </w:r>
      <w:r w:rsidRPr="00AC6666">
        <w:rPr>
          <w:rFonts w:eastAsia="Times New Roman"/>
          <w:i/>
          <w:iCs/>
          <w:u w:val="single"/>
        </w:rPr>
        <w:t xml:space="preserve"> politika </w:t>
      </w:r>
      <w:r w:rsidR="00D43CA6" w:rsidRPr="00AC6666">
        <w:rPr>
          <w:rFonts w:eastAsia="Times New Roman"/>
          <w:i/>
          <w:iCs/>
          <w:u w:val="single"/>
        </w:rPr>
        <w:t>–</w:t>
      </w:r>
      <w:r w:rsidR="00D43CA6" w:rsidRPr="00AC6666">
        <w:rPr>
          <w:rFonts w:eastAsia="Times New Roman"/>
        </w:rPr>
        <w:t xml:space="preserve"> Proces</w:t>
      </w:r>
      <w:r w:rsidR="00FA3E50" w:rsidRPr="00AC6666">
        <w:rPr>
          <w:rFonts w:eastAsia="Times New Roman"/>
        </w:rPr>
        <w:t>,</w:t>
      </w:r>
      <w:r w:rsidR="00D43CA6" w:rsidRPr="00AC6666">
        <w:rPr>
          <w:rFonts w:eastAsia="Times New Roman"/>
        </w:rPr>
        <w:t xml:space="preserve"> ve kterém </w:t>
      </w:r>
      <w:r w:rsidR="00FA3E50" w:rsidRPr="00AC6666">
        <w:rPr>
          <w:rFonts w:eastAsia="Times New Roman"/>
        </w:rPr>
        <w:t>se CB snaží prostřednictvím svých nástrojů o dosažení předem stanovených cílů</w:t>
      </w:r>
      <w:r w:rsidR="000A6D20" w:rsidRPr="00AC6666">
        <w:rPr>
          <w:rFonts w:eastAsia="Times New Roman"/>
        </w:rPr>
        <w:t>.</w:t>
      </w:r>
    </w:p>
    <w:p w14:paraId="4A6F292A" w14:textId="77777777" w:rsidR="008E0F74" w:rsidRPr="00FC3B7C" w:rsidRDefault="00256F29" w:rsidP="00FC3B7C">
      <w:pPr>
        <w:rPr>
          <w:sz w:val="20"/>
          <w:szCs w:val="20"/>
        </w:rPr>
      </w:pPr>
      <w:r w:rsidRPr="00FC3B7C">
        <w:rPr>
          <w:rFonts w:eastAsia="Times New Roman"/>
          <w:i/>
          <w:iCs/>
          <w:szCs w:val="24"/>
          <w:u w:val="single"/>
        </w:rPr>
        <w:t>Pozitivní věda</w:t>
      </w:r>
      <w:r w:rsidRPr="00FC3B7C">
        <w:rPr>
          <w:rFonts w:eastAsia="Times New Roman"/>
          <w:i/>
          <w:iCs/>
          <w:szCs w:val="24"/>
        </w:rPr>
        <w:t xml:space="preserve"> </w:t>
      </w:r>
      <w:r w:rsidRPr="00FC3B7C">
        <w:rPr>
          <w:rFonts w:eastAsia="Times New Roman"/>
          <w:szCs w:val="24"/>
        </w:rPr>
        <w:t>- Popisuje a analyzuje „jaké něco je“, „jak to je“. Odpovídá na otázku, jak se</w:t>
      </w:r>
      <w:r w:rsidRPr="00FC3B7C">
        <w:rPr>
          <w:rFonts w:eastAsia="Times New Roman"/>
          <w:i/>
          <w:iCs/>
          <w:szCs w:val="24"/>
        </w:rPr>
        <w:t xml:space="preserve"> </w:t>
      </w:r>
      <w:r w:rsidRPr="00FC3B7C">
        <w:rPr>
          <w:rFonts w:eastAsia="Times New Roman"/>
          <w:szCs w:val="24"/>
        </w:rPr>
        <w:t>lidé v ekonomice chovají, proč reagují určitým způsobem, Nepoužívá hodnocení. Na základě předpokladů vyvozených z empirického zkoumání buduje abstraktně deduktivní teorie sloužící k vysvětlení ekonomických jevů a procesů a k predikci chování ekonomických subjektů.</w:t>
      </w:r>
    </w:p>
    <w:p w14:paraId="4A6F292B" w14:textId="240FBC33" w:rsidR="008E0F74" w:rsidRPr="00FC3B7C" w:rsidRDefault="00256F29" w:rsidP="00FC3B7C">
      <w:pPr>
        <w:rPr>
          <w:sz w:val="20"/>
          <w:szCs w:val="20"/>
        </w:rPr>
      </w:pPr>
      <w:r w:rsidRPr="00FC3B7C">
        <w:rPr>
          <w:rFonts w:eastAsia="Times New Roman"/>
          <w:i/>
          <w:iCs/>
          <w:szCs w:val="24"/>
          <w:u w:val="single"/>
        </w:rPr>
        <w:t>Normativní věda</w:t>
      </w:r>
      <w:r w:rsidRPr="00FC3B7C">
        <w:rPr>
          <w:rFonts w:eastAsia="Times New Roman"/>
          <w:i/>
          <w:iCs/>
          <w:szCs w:val="24"/>
        </w:rPr>
        <w:t xml:space="preserve"> </w:t>
      </w:r>
      <w:r w:rsidRPr="00FC3B7C">
        <w:rPr>
          <w:rFonts w:eastAsia="Times New Roman"/>
          <w:szCs w:val="24"/>
        </w:rPr>
        <w:t>- Na rozdíl od pozitivní vědy se normativní věda zabývá právě</w:t>
      </w:r>
      <w:r w:rsidRPr="00FC3B7C">
        <w:rPr>
          <w:rFonts w:eastAsia="Times New Roman"/>
          <w:i/>
          <w:iCs/>
          <w:szCs w:val="24"/>
        </w:rPr>
        <w:t xml:space="preserve"> </w:t>
      </w:r>
      <w:r w:rsidRPr="00FC3B7C">
        <w:rPr>
          <w:rFonts w:eastAsia="Times New Roman"/>
          <w:szCs w:val="24"/>
        </w:rPr>
        <w:t>hodnocením</w:t>
      </w:r>
      <w:r w:rsidRPr="00FC3B7C">
        <w:rPr>
          <w:rFonts w:eastAsia="Times New Roman"/>
          <w:i/>
          <w:iCs/>
          <w:szCs w:val="24"/>
        </w:rPr>
        <w:t xml:space="preserve"> </w:t>
      </w:r>
      <w:r w:rsidRPr="00FC3B7C">
        <w:rPr>
          <w:rFonts w:eastAsia="Times New Roman"/>
          <w:szCs w:val="24"/>
        </w:rPr>
        <w:t xml:space="preserve">dané problematiky a nalezením odpovědi na otázku „jaké by to mělo být“. Středem její pozornosti jsou vedle efektivního fungování ekonomiky rovněž otázky sociální, etické </w:t>
      </w:r>
      <w:r w:rsidR="00FC3B7C">
        <w:rPr>
          <w:rFonts w:eastAsia="Times New Roman"/>
          <w:szCs w:val="24"/>
        </w:rPr>
        <w:br/>
      </w:r>
      <w:r w:rsidRPr="00FC3B7C">
        <w:rPr>
          <w:rFonts w:eastAsia="Times New Roman"/>
          <w:szCs w:val="24"/>
        </w:rPr>
        <w:t>a všeobecně lidské.</w:t>
      </w:r>
    </w:p>
    <w:p w14:paraId="4A6F292C" w14:textId="77777777" w:rsidR="008E0F74" w:rsidRPr="00FC3B7C" w:rsidRDefault="00256F29" w:rsidP="00FC3B7C">
      <w:pPr>
        <w:rPr>
          <w:sz w:val="20"/>
          <w:szCs w:val="20"/>
        </w:rPr>
      </w:pPr>
      <w:r w:rsidRPr="00FC3B7C">
        <w:rPr>
          <w:rFonts w:eastAsia="Times New Roman"/>
          <w:i/>
          <w:iCs/>
          <w:szCs w:val="24"/>
          <w:u w:val="single"/>
        </w:rPr>
        <w:t>Obchodní bilance</w:t>
      </w:r>
      <w:r w:rsidRPr="00FC3B7C">
        <w:rPr>
          <w:rFonts w:eastAsia="Times New Roman"/>
          <w:i/>
          <w:iCs/>
          <w:szCs w:val="24"/>
        </w:rPr>
        <w:t xml:space="preserve"> </w:t>
      </w:r>
      <w:r w:rsidRPr="00FC3B7C">
        <w:rPr>
          <w:rFonts w:eastAsia="Times New Roman"/>
          <w:szCs w:val="24"/>
        </w:rPr>
        <w:t>- Jedná se o hlavní složku platební bilance zahrnující pohyb statků</w:t>
      </w:r>
      <w:r w:rsidRPr="00FC3B7C">
        <w:rPr>
          <w:rFonts w:eastAsia="Times New Roman"/>
          <w:i/>
          <w:iCs/>
          <w:szCs w:val="24"/>
        </w:rPr>
        <w:t xml:space="preserve"> </w:t>
      </w:r>
      <w:r w:rsidRPr="00FC3B7C">
        <w:rPr>
          <w:rFonts w:eastAsia="Times New Roman"/>
          <w:szCs w:val="24"/>
        </w:rPr>
        <w:t>a služeb</w:t>
      </w:r>
      <w:r w:rsidRPr="00FC3B7C">
        <w:rPr>
          <w:rFonts w:eastAsia="Times New Roman"/>
          <w:i/>
          <w:iCs/>
          <w:szCs w:val="24"/>
        </w:rPr>
        <w:t xml:space="preserve"> </w:t>
      </w:r>
      <w:r w:rsidRPr="00FC3B7C">
        <w:rPr>
          <w:rFonts w:eastAsia="Times New Roman"/>
          <w:szCs w:val="24"/>
        </w:rPr>
        <w:t>mezi státy (nezahrnuje pohyb investic, darů atd.).</w:t>
      </w:r>
    </w:p>
    <w:p w14:paraId="4A6F292D" w14:textId="77777777" w:rsidR="008E0F74" w:rsidRPr="00FC3B7C" w:rsidRDefault="00256F29" w:rsidP="00FC3B7C">
      <w:pPr>
        <w:rPr>
          <w:sz w:val="20"/>
          <w:szCs w:val="20"/>
        </w:rPr>
      </w:pPr>
      <w:r w:rsidRPr="00FC3B7C">
        <w:rPr>
          <w:rFonts w:eastAsia="Times New Roman"/>
          <w:i/>
          <w:iCs/>
          <w:szCs w:val="24"/>
          <w:u w:val="single"/>
        </w:rPr>
        <w:t>Agregátní poptávka (AD)</w:t>
      </w:r>
      <w:r w:rsidRPr="00FC3B7C">
        <w:rPr>
          <w:rFonts w:eastAsia="Times New Roman"/>
          <w:i/>
          <w:iCs/>
          <w:szCs w:val="24"/>
        </w:rPr>
        <w:t xml:space="preserve"> </w:t>
      </w:r>
      <w:r w:rsidRPr="00FC3B7C">
        <w:rPr>
          <w:rFonts w:eastAsia="Times New Roman"/>
          <w:szCs w:val="24"/>
        </w:rPr>
        <w:t>- Celkové neboli agregátní množství produktu, které bude při dané</w:t>
      </w:r>
      <w:r w:rsidRPr="00FC3B7C">
        <w:rPr>
          <w:rFonts w:eastAsia="Times New Roman"/>
          <w:i/>
          <w:iCs/>
          <w:szCs w:val="24"/>
        </w:rPr>
        <w:t xml:space="preserve"> </w:t>
      </w:r>
      <w:r w:rsidRPr="00FC3B7C">
        <w:rPr>
          <w:rFonts w:eastAsia="Times New Roman"/>
          <w:szCs w:val="24"/>
        </w:rPr>
        <w:t xml:space="preserve">úrovni cen dobrovolně nakoupeno. AD jsou celkové výdaje ve všech výrobních sektorech </w:t>
      </w:r>
      <w:r w:rsidR="00FC3B7C">
        <w:rPr>
          <w:rFonts w:eastAsia="Times New Roman"/>
          <w:szCs w:val="24"/>
        </w:rPr>
        <w:br/>
      </w:r>
      <w:r w:rsidRPr="00FC3B7C">
        <w:rPr>
          <w:rFonts w:eastAsia="Times New Roman"/>
          <w:szCs w:val="24"/>
        </w:rPr>
        <w:t>na spotřebu, soukromé investice, vládní nákupy statků a služeb a čisté vývozy.</w:t>
      </w:r>
    </w:p>
    <w:p w14:paraId="4A6F292E" w14:textId="77777777" w:rsidR="008E0F74" w:rsidRPr="00FC3B7C" w:rsidRDefault="00256F29" w:rsidP="00FC3B7C">
      <w:pPr>
        <w:rPr>
          <w:sz w:val="20"/>
          <w:szCs w:val="20"/>
        </w:rPr>
      </w:pPr>
      <w:r w:rsidRPr="00FC3B7C">
        <w:rPr>
          <w:rFonts w:eastAsia="Times New Roman"/>
          <w:i/>
          <w:iCs/>
          <w:szCs w:val="24"/>
          <w:u w:val="single"/>
        </w:rPr>
        <w:t>Kvantitativní teorie peněz</w:t>
      </w:r>
      <w:r w:rsidRPr="00FC3B7C">
        <w:rPr>
          <w:rFonts w:eastAsia="Times New Roman"/>
          <w:i/>
          <w:iCs/>
          <w:szCs w:val="24"/>
        </w:rPr>
        <w:t xml:space="preserve"> </w:t>
      </w:r>
      <w:r w:rsidRPr="00FC3B7C">
        <w:rPr>
          <w:rFonts w:eastAsia="Times New Roman"/>
          <w:szCs w:val="24"/>
        </w:rPr>
        <w:t>- Teorie vyjadřující poptávku po penězích. Fisherova verze</w:t>
      </w:r>
      <w:r w:rsidRPr="00FC3B7C">
        <w:rPr>
          <w:rFonts w:eastAsia="Times New Roman"/>
          <w:i/>
          <w:iCs/>
          <w:szCs w:val="24"/>
        </w:rPr>
        <w:t xml:space="preserve"> </w:t>
      </w:r>
      <w:r w:rsidRPr="00FC3B7C">
        <w:rPr>
          <w:rFonts w:eastAsia="Times New Roman"/>
          <w:szCs w:val="24"/>
        </w:rPr>
        <w:t>kvantitativní teorie peněz je následující: M*V = P*T, přičemž levá i pravá strana rovnice jsou identické – vždy vyjadřují rovnost.</w:t>
      </w:r>
    </w:p>
    <w:p w14:paraId="4A6F292F" w14:textId="77777777" w:rsidR="008E0F74" w:rsidRPr="00FC3B7C" w:rsidRDefault="00256F29" w:rsidP="00FC3B7C">
      <w:pPr>
        <w:rPr>
          <w:sz w:val="20"/>
          <w:szCs w:val="20"/>
        </w:rPr>
      </w:pPr>
      <w:r w:rsidRPr="00FC3B7C">
        <w:rPr>
          <w:rFonts w:eastAsia="Times New Roman"/>
          <w:i/>
          <w:iCs/>
          <w:szCs w:val="24"/>
          <w:u w:val="single"/>
        </w:rPr>
        <w:t>Metodologický</w:t>
      </w:r>
      <w:r w:rsidRPr="00FC3B7C">
        <w:rPr>
          <w:rFonts w:eastAsia="Times New Roman"/>
          <w:i/>
          <w:iCs/>
          <w:szCs w:val="24"/>
        </w:rPr>
        <w:t xml:space="preserve"> </w:t>
      </w:r>
      <w:r w:rsidRPr="00FC3B7C">
        <w:rPr>
          <w:rFonts w:eastAsia="Times New Roman"/>
          <w:i/>
          <w:iCs/>
          <w:szCs w:val="24"/>
          <w:u w:val="single"/>
        </w:rPr>
        <w:t>individualismus</w:t>
      </w:r>
      <w:r w:rsidRPr="00FC3B7C">
        <w:rPr>
          <w:rFonts w:eastAsia="Times New Roman"/>
          <w:i/>
          <w:iCs/>
          <w:szCs w:val="24"/>
        </w:rPr>
        <w:t xml:space="preserve"> </w:t>
      </w:r>
      <w:r w:rsidRPr="00FC3B7C">
        <w:rPr>
          <w:rFonts w:eastAsia="Times New Roman"/>
          <w:szCs w:val="24"/>
        </w:rPr>
        <w:t>- Metoda vysvětlení ekonomických jevů</w:t>
      </w:r>
      <w:r w:rsidRPr="00FC3B7C">
        <w:rPr>
          <w:rFonts w:eastAsia="Times New Roman"/>
          <w:i/>
          <w:iCs/>
          <w:szCs w:val="24"/>
        </w:rPr>
        <w:t xml:space="preserve"> </w:t>
      </w:r>
      <w:r w:rsidRPr="00FC3B7C">
        <w:rPr>
          <w:rFonts w:eastAsia="Times New Roman"/>
          <w:szCs w:val="24"/>
        </w:rPr>
        <w:t>z chování</w:t>
      </w:r>
      <w:r w:rsidRPr="00FC3B7C">
        <w:rPr>
          <w:rFonts w:eastAsia="Times New Roman"/>
          <w:i/>
          <w:iCs/>
          <w:szCs w:val="24"/>
        </w:rPr>
        <w:t xml:space="preserve"> </w:t>
      </w:r>
      <w:r w:rsidRPr="00FC3B7C">
        <w:rPr>
          <w:rFonts w:eastAsia="Times New Roman"/>
          <w:szCs w:val="24"/>
        </w:rPr>
        <w:t>jednotlivců, kteří se rozhodují.</w:t>
      </w:r>
    </w:p>
    <w:p w14:paraId="0B9A5DFA" w14:textId="77777777" w:rsidR="008E0F74" w:rsidRDefault="00256F29" w:rsidP="00A6765C">
      <w:pPr>
        <w:tabs>
          <w:tab w:val="center" w:pos="4590"/>
        </w:tabs>
        <w:rPr>
          <w:sz w:val="20"/>
          <w:szCs w:val="20"/>
        </w:rPr>
      </w:pPr>
      <w:r w:rsidRPr="00FC3B7C">
        <w:rPr>
          <w:rFonts w:eastAsia="Times New Roman"/>
          <w:i/>
          <w:iCs/>
          <w:szCs w:val="24"/>
          <w:u w:val="single"/>
        </w:rPr>
        <w:t>Veřejný</w:t>
      </w:r>
      <w:r w:rsidRPr="00FC3B7C">
        <w:rPr>
          <w:rFonts w:eastAsia="Times New Roman"/>
          <w:i/>
          <w:iCs/>
          <w:szCs w:val="24"/>
        </w:rPr>
        <w:t xml:space="preserve"> </w:t>
      </w:r>
      <w:r w:rsidRPr="00FC3B7C">
        <w:rPr>
          <w:rFonts w:eastAsia="Times New Roman"/>
          <w:i/>
          <w:iCs/>
          <w:szCs w:val="24"/>
          <w:u w:val="single"/>
        </w:rPr>
        <w:t>zájem</w:t>
      </w:r>
      <w:r w:rsidRPr="00FC3B7C">
        <w:rPr>
          <w:rFonts w:eastAsia="Times New Roman"/>
          <w:i/>
          <w:iCs/>
          <w:szCs w:val="24"/>
        </w:rPr>
        <w:t xml:space="preserve"> </w:t>
      </w:r>
      <w:r w:rsidRPr="00FC3B7C">
        <w:rPr>
          <w:rFonts w:eastAsia="Times New Roman"/>
          <w:szCs w:val="24"/>
        </w:rPr>
        <w:t>- Jde o souhrn veškerých individuálních zájmů členů</w:t>
      </w:r>
      <w:r w:rsidRPr="00FC3B7C">
        <w:rPr>
          <w:rFonts w:eastAsia="Times New Roman"/>
          <w:i/>
          <w:iCs/>
          <w:szCs w:val="24"/>
        </w:rPr>
        <w:t xml:space="preserve"> </w:t>
      </w:r>
      <w:r w:rsidRPr="00FC3B7C">
        <w:rPr>
          <w:rFonts w:eastAsia="Times New Roman"/>
          <w:szCs w:val="24"/>
        </w:rPr>
        <w:t>společnosti. Je postaven</w:t>
      </w:r>
      <w:r w:rsidRPr="00FC3B7C">
        <w:rPr>
          <w:rFonts w:eastAsia="Times New Roman"/>
          <w:i/>
          <w:iCs/>
          <w:szCs w:val="24"/>
        </w:rPr>
        <w:t xml:space="preserve"> </w:t>
      </w:r>
      <w:r w:rsidR="00FC3B7C">
        <w:rPr>
          <w:rFonts w:eastAsia="Times New Roman"/>
          <w:i/>
          <w:iCs/>
          <w:szCs w:val="24"/>
        </w:rPr>
        <w:br/>
      </w:r>
      <w:r w:rsidRPr="00FC3B7C">
        <w:rPr>
          <w:rFonts w:eastAsia="Times New Roman"/>
          <w:szCs w:val="24"/>
        </w:rPr>
        <w:t xml:space="preserve">na subjektivních preferencích, a proto je těžko definovatelný a naopak snadno zneužitelný. </w:t>
      </w:r>
      <w:r w:rsidRPr="00FC3B7C">
        <w:rPr>
          <w:rFonts w:eastAsia="Times New Roman"/>
          <w:i/>
          <w:iCs/>
          <w:szCs w:val="24"/>
          <w:u w:val="single"/>
        </w:rPr>
        <w:t>Kapitalismus</w:t>
      </w:r>
      <w:r w:rsidRPr="00FC3B7C">
        <w:rPr>
          <w:rFonts w:eastAsia="Times New Roman"/>
          <w:i/>
          <w:iCs/>
          <w:szCs w:val="24"/>
        </w:rPr>
        <w:t xml:space="preserve"> </w:t>
      </w:r>
      <w:r w:rsidRPr="00FC3B7C">
        <w:rPr>
          <w:rFonts w:eastAsia="Times New Roman"/>
          <w:szCs w:val="24"/>
        </w:rPr>
        <w:t>- Společenské zřízení, v němž</w:t>
      </w:r>
      <w:r w:rsidRPr="00FC3B7C">
        <w:rPr>
          <w:rFonts w:eastAsia="Times New Roman"/>
          <w:i/>
          <w:iCs/>
          <w:szCs w:val="24"/>
        </w:rPr>
        <w:t xml:space="preserve"> </w:t>
      </w:r>
      <w:r w:rsidRPr="00FC3B7C">
        <w:rPr>
          <w:rFonts w:eastAsia="Times New Roman"/>
          <w:szCs w:val="24"/>
        </w:rPr>
        <w:t>jsou výrobními faktory prostředky v soukromém</w:t>
      </w:r>
      <w:r w:rsidRPr="00FC3B7C">
        <w:rPr>
          <w:rFonts w:eastAsia="Times New Roman"/>
          <w:i/>
          <w:iCs/>
          <w:szCs w:val="24"/>
        </w:rPr>
        <w:t xml:space="preserve"> </w:t>
      </w:r>
      <w:r w:rsidRPr="00FC3B7C">
        <w:rPr>
          <w:rFonts w:eastAsia="Times New Roman"/>
          <w:szCs w:val="24"/>
        </w:rPr>
        <w:t xml:space="preserve">vlastnictví, které jsou využívány za účelem dosažení zisku. Ekonomické parametry (např. </w:t>
      </w:r>
      <w:r w:rsidRPr="00FC3B7C">
        <w:rPr>
          <w:rFonts w:eastAsia="Times New Roman"/>
          <w:szCs w:val="24"/>
        </w:rPr>
        <w:lastRenderedPageBreak/>
        <w:t>ceny) jsou určovány prostřednictvím volného trhu (nabídkou a poptávkou), a to i ceny práce, nikoli řízeny zásahy státu. Podle L. Missese je to společenský systém nadvlády spotřebitelů</w:t>
      </w:r>
      <w:r w:rsidR="00A6765C" w:rsidRPr="00A6765C">
        <w:rPr>
          <w:rFonts w:eastAsia="Times New Roman"/>
          <w:i/>
          <w:iCs/>
          <w:szCs w:val="24"/>
          <w:u w:val="single"/>
        </w:rPr>
        <w:t xml:space="preserve"> </w:t>
      </w:r>
      <w:r w:rsidR="00A6765C" w:rsidRPr="00FC3B7C">
        <w:rPr>
          <w:rFonts w:eastAsia="Times New Roman"/>
          <w:i/>
          <w:iCs/>
          <w:szCs w:val="24"/>
          <w:u w:val="single"/>
        </w:rPr>
        <w:t>Socialismus</w:t>
      </w:r>
      <w:r w:rsidR="00A6765C" w:rsidRPr="00FC3B7C">
        <w:rPr>
          <w:rFonts w:eastAsia="Times New Roman"/>
          <w:i/>
          <w:iCs/>
          <w:szCs w:val="24"/>
        </w:rPr>
        <w:t xml:space="preserve"> </w:t>
      </w:r>
      <w:r w:rsidR="00A6765C" w:rsidRPr="00FC3B7C">
        <w:rPr>
          <w:rFonts w:eastAsia="Times New Roman"/>
          <w:szCs w:val="24"/>
        </w:rPr>
        <w:t>- V užším slova smyslu je to „částečně</w:t>
      </w:r>
      <w:r w:rsidR="00A6765C" w:rsidRPr="00FC3B7C">
        <w:rPr>
          <w:rFonts w:eastAsia="Times New Roman"/>
          <w:i/>
          <w:iCs/>
          <w:szCs w:val="24"/>
        </w:rPr>
        <w:t xml:space="preserve"> </w:t>
      </w:r>
      <w:r w:rsidR="00A6765C" w:rsidRPr="00FC3B7C">
        <w:rPr>
          <w:rFonts w:eastAsia="Times New Roman"/>
          <w:szCs w:val="24"/>
        </w:rPr>
        <w:t>demokratická ideologie“, která klade</w:t>
      </w:r>
      <w:r w:rsidR="00A6765C" w:rsidRPr="00FC3B7C">
        <w:rPr>
          <w:rFonts w:eastAsia="Times New Roman"/>
          <w:i/>
          <w:iCs/>
          <w:szCs w:val="24"/>
        </w:rPr>
        <w:t xml:space="preserve"> </w:t>
      </w:r>
      <w:r w:rsidR="00A6765C" w:rsidRPr="00FC3B7C">
        <w:rPr>
          <w:rFonts w:eastAsia="Times New Roman"/>
          <w:szCs w:val="24"/>
        </w:rPr>
        <w:t xml:space="preserve">hlavní důraz na solidaritu a která věří, že by ekonomika i další odvětví společnosti měly být </w:t>
      </w:r>
      <w:r w:rsidR="00A6765C">
        <w:rPr>
          <w:rFonts w:eastAsia="Times New Roman"/>
          <w:szCs w:val="24"/>
        </w:rPr>
        <w:br/>
      </w:r>
      <w:r w:rsidR="00A6765C" w:rsidRPr="00FC3B7C">
        <w:rPr>
          <w:rFonts w:eastAsia="Times New Roman"/>
          <w:szCs w:val="24"/>
        </w:rPr>
        <w:t xml:space="preserve">do značné míry centrálně řízeny. V širším slova smyslu zahrnuje vedle demokratického socialismu též komunismus. Je definován společenským vlastnictvím výrobních faktorů. Socialisté usilují o zespolečenštění výrobních prostředků a likvidaci společenských tříd. </w:t>
      </w:r>
      <w:r w:rsidR="00A6765C" w:rsidRPr="00FC3B7C">
        <w:rPr>
          <w:rFonts w:eastAsia="Times New Roman"/>
          <w:i/>
          <w:iCs/>
          <w:szCs w:val="24"/>
          <w:u w:val="single"/>
        </w:rPr>
        <w:t>Komunismus</w:t>
      </w:r>
      <w:r w:rsidR="00A6765C" w:rsidRPr="00FC3B7C">
        <w:rPr>
          <w:rFonts w:eastAsia="Times New Roman"/>
          <w:i/>
          <w:iCs/>
          <w:szCs w:val="24"/>
        </w:rPr>
        <w:t xml:space="preserve"> </w:t>
      </w:r>
      <w:r w:rsidR="00A6765C" w:rsidRPr="00FC3B7C">
        <w:rPr>
          <w:rFonts w:eastAsia="Times New Roman"/>
          <w:szCs w:val="24"/>
        </w:rPr>
        <w:t xml:space="preserve">- Cílovým stavem společnost, kde každý člen přispívá podle svých možností </w:t>
      </w:r>
      <w:r w:rsidR="00A6765C">
        <w:rPr>
          <w:rFonts w:eastAsia="Times New Roman"/>
          <w:szCs w:val="24"/>
        </w:rPr>
        <w:br/>
      </w:r>
      <w:r w:rsidR="00A6765C" w:rsidRPr="00FC3B7C">
        <w:rPr>
          <w:rFonts w:eastAsia="Times New Roman"/>
          <w:szCs w:val="24"/>
        </w:rPr>
        <w:t>a</w:t>
      </w:r>
      <w:r w:rsidR="00A6765C" w:rsidRPr="00FC3B7C">
        <w:rPr>
          <w:rFonts w:eastAsia="Times New Roman"/>
          <w:i/>
          <w:iCs/>
          <w:szCs w:val="24"/>
        </w:rPr>
        <w:t xml:space="preserve"> </w:t>
      </w:r>
      <w:r w:rsidR="00A6765C" w:rsidRPr="00FC3B7C">
        <w:rPr>
          <w:rFonts w:eastAsia="Times New Roman"/>
          <w:szCs w:val="24"/>
        </w:rPr>
        <w:t>využívá společné zdroje podle svých potřeb.</w:t>
      </w:r>
      <w:r w:rsidR="00A6765C">
        <w:rPr>
          <w:sz w:val="20"/>
          <w:szCs w:val="20"/>
        </w:rPr>
        <w:t xml:space="preserve"> </w:t>
      </w:r>
    </w:p>
    <w:p w14:paraId="4A6F2931" w14:textId="1CBCA1DD" w:rsidR="00A6765C" w:rsidRPr="00A6765C" w:rsidRDefault="00A6765C" w:rsidP="00A6765C">
      <w:pPr>
        <w:tabs>
          <w:tab w:val="center" w:pos="4590"/>
        </w:tabs>
        <w:rPr>
          <w:sz w:val="20"/>
          <w:szCs w:val="20"/>
        </w:rPr>
        <w:sectPr w:rsidR="00A6765C" w:rsidRPr="00A6765C" w:rsidSect="00596FAC">
          <w:footerReference w:type="default" r:id="rId15"/>
          <w:pgSz w:w="11900" w:h="16840"/>
          <w:pgMar w:top="1311" w:right="1440" w:bottom="625" w:left="1280" w:header="0" w:footer="0" w:gutter="0"/>
          <w:pgNumType w:start="2"/>
          <w:cols w:space="708" w:equalWidth="0">
            <w:col w:w="9180"/>
          </w:cols>
        </w:sectPr>
      </w:pPr>
    </w:p>
    <w:p w14:paraId="4A6F2933" w14:textId="77777777" w:rsidR="008E0F74" w:rsidRPr="00FC3B7C" w:rsidRDefault="008E0F74">
      <w:pPr>
        <w:spacing w:line="200" w:lineRule="exact"/>
        <w:rPr>
          <w:sz w:val="20"/>
          <w:szCs w:val="20"/>
        </w:rPr>
      </w:pPr>
      <w:bookmarkStart w:id="6" w:name="page5"/>
      <w:bookmarkEnd w:id="6"/>
    </w:p>
    <w:p w14:paraId="4A6F2934" w14:textId="77777777" w:rsidR="008E0F74" w:rsidRPr="006C264F" w:rsidRDefault="00256F29" w:rsidP="00244780">
      <w:pPr>
        <w:pStyle w:val="Nadpis2"/>
        <w:rPr>
          <w:rFonts w:cs="Times New Roman"/>
          <w:color w:val="1F3864" w:themeColor="accent1" w:themeShade="80"/>
          <w:sz w:val="20"/>
          <w:szCs w:val="20"/>
        </w:rPr>
      </w:pPr>
      <w:r w:rsidRPr="006C264F">
        <w:rPr>
          <w:rFonts w:cs="Times New Roman"/>
          <w:color w:val="1F3864" w:themeColor="accent1" w:themeShade="80"/>
        </w:rPr>
        <w:t>HOSPODÁŘSKÁ</w:t>
      </w:r>
      <w:r w:rsidRPr="006C264F">
        <w:rPr>
          <w:rFonts w:eastAsia="Times New Roman" w:cs="Times New Roman"/>
          <w:color w:val="1F3864" w:themeColor="accent1" w:themeShade="80"/>
        </w:rPr>
        <w:t xml:space="preserve"> POLITIKA</w:t>
      </w:r>
    </w:p>
    <w:p w14:paraId="4A6F2935" w14:textId="77777777" w:rsidR="008E0F74" w:rsidRPr="00FC3B7C" w:rsidRDefault="008E0F74">
      <w:pPr>
        <w:spacing w:line="200" w:lineRule="exact"/>
        <w:rPr>
          <w:sz w:val="20"/>
          <w:szCs w:val="20"/>
        </w:rPr>
      </w:pPr>
    </w:p>
    <w:p w14:paraId="4A6F2936" w14:textId="61AF218A" w:rsidR="008E0F74" w:rsidRPr="00A6765C" w:rsidRDefault="00256F29" w:rsidP="00FC3B7C">
      <w:pPr>
        <w:rPr>
          <w:rFonts w:eastAsia="Times New Roman"/>
        </w:rPr>
      </w:pPr>
      <w:r w:rsidRPr="00FC3B7C">
        <w:rPr>
          <w:rFonts w:eastAsia="Times New Roman"/>
        </w:rPr>
        <w:t xml:space="preserve">Hospodářská politika je obecně přístup státu k ekonomice své země. Jde o činnost, při které nositelé hospodářské politiky používají určitých nástrojů a svěřených pravomocí k tomu, aby </w:t>
      </w:r>
      <w:r w:rsidRPr="00AC6666">
        <w:rPr>
          <w:rFonts w:eastAsia="Times New Roman"/>
        </w:rPr>
        <w:t xml:space="preserve">ovlivnily ekonomický a sociální vývoj, přičemž se snaží dosáhnout určitých ekonomických cílů. </w:t>
      </w:r>
      <w:r w:rsidR="00B030DD" w:rsidRPr="00AC6666">
        <w:rPr>
          <w:rFonts w:eastAsia="Times New Roman"/>
        </w:rPr>
        <w:t xml:space="preserve">HP tedy připravuje opatření, která by měla v hospodářství eliminovat negativní jevy. </w:t>
      </w:r>
      <w:r w:rsidRPr="00AC6666">
        <w:rPr>
          <w:rFonts w:eastAsia="Times New Roman"/>
        </w:rPr>
        <w:t>Jako vědní disciplína stojí na pomezí teorie a praxe.</w:t>
      </w:r>
      <w:r w:rsidR="00102348" w:rsidRPr="00AC6666">
        <w:rPr>
          <w:rFonts w:eastAsia="Times New Roman"/>
        </w:rPr>
        <w:t xml:space="preserve"> </w:t>
      </w:r>
    </w:p>
    <w:p w14:paraId="4A6F2937" w14:textId="77777777" w:rsidR="008E0F74" w:rsidRPr="0056338B" w:rsidRDefault="008E0F74">
      <w:pPr>
        <w:spacing w:line="183" w:lineRule="exact"/>
        <w:rPr>
          <w:color w:val="2F5496" w:themeColor="accent1" w:themeShade="BF"/>
          <w:sz w:val="20"/>
          <w:szCs w:val="20"/>
        </w:rPr>
      </w:pPr>
    </w:p>
    <w:p w14:paraId="4A6F2938" w14:textId="77777777" w:rsidR="008E0F74" w:rsidRPr="006C264F" w:rsidRDefault="00256F29" w:rsidP="00FC3B7C">
      <w:pPr>
        <w:pStyle w:val="Nadpis3"/>
        <w:rPr>
          <w:rFonts w:cs="Times New Roman"/>
          <w:color w:val="1F3864" w:themeColor="accent1" w:themeShade="80"/>
          <w:sz w:val="20"/>
          <w:szCs w:val="20"/>
        </w:rPr>
      </w:pPr>
      <w:r w:rsidRPr="006C264F">
        <w:rPr>
          <w:rFonts w:eastAsia="Times New Roman" w:cs="Times New Roman"/>
          <w:color w:val="1F3864" w:themeColor="accent1" w:themeShade="80"/>
        </w:rPr>
        <w:t>Teoretická HP</w:t>
      </w:r>
    </w:p>
    <w:p w14:paraId="1E0D7311" w14:textId="7D3F5881" w:rsidR="00EF6205" w:rsidRPr="0056338B" w:rsidRDefault="00256F29" w:rsidP="00FC3B7C">
      <w:pPr>
        <w:rPr>
          <w:rFonts w:eastAsia="Times New Roman"/>
        </w:rPr>
      </w:pPr>
      <w:r w:rsidRPr="00FC3B7C">
        <w:rPr>
          <w:rFonts w:eastAsia="Times New Roman"/>
        </w:rPr>
        <w:t xml:space="preserve">Hlavním obsahem teorie hospodářské politiky je vědecká analýza hospodářskopolitické činnosti a optimální určení hospodářsko-politických cílů a instrumentů. Na základě </w:t>
      </w:r>
      <w:r w:rsidRPr="00AC6666">
        <w:rPr>
          <w:rFonts w:eastAsia="Times New Roman"/>
        </w:rPr>
        <w:t xml:space="preserve">teoretických znalostí tedy nabízí hospodářské politice určitá řešení jako možná rozhodnutí. Tvůrci nepřebírají politickou zodpovědnost za rozhodnutí. Vytváří alternativy usnadňující rozhodování. Zabývá se racionální snahou utvářet konzistentní cíle, systémy a prostředky </w:t>
      </w:r>
      <w:r w:rsidR="00462BE7" w:rsidRPr="00AC6666">
        <w:rPr>
          <w:rFonts w:eastAsia="Times New Roman"/>
        </w:rPr>
        <w:br/>
      </w:r>
      <w:r w:rsidRPr="00AC6666">
        <w:rPr>
          <w:rFonts w:eastAsia="Times New Roman"/>
        </w:rPr>
        <w:t>k naplňování cílů HP. Nabízí alternativy možných rozhodnutí.</w:t>
      </w:r>
      <w:r w:rsidR="00711FDE" w:rsidRPr="00AC6666">
        <w:rPr>
          <w:rFonts w:eastAsia="Times New Roman"/>
        </w:rPr>
        <w:t xml:space="preserve"> Je dána hospodářskou úrovní daného systému.</w:t>
      </w:r>
      <w:r w:rsidRPr="00AC6666">
        <w:rPr>
          <w:rFonts w:eastAsia="Times New Roman"/>
        </w:rPr>
        <w:t xml:space="preserve"> Utvářejí se dva hlavní proudy teorie hospodářské politiky. První </w:t>
      </w:r>
      <w:r w:rsidR="00CE28AF">
        <w:rPr>
          <w:rFonts w:eastAsia="Times New Roman"/>
        </w:rPr>
        <w:br/>
      </w:r>
      <w:r w:rsidRPr="00AC6666">
        <w:rPr>
          <w:rFonts w:eastAsia="Times New Roman"/>
        </w:rPr>
        <w:t xml:space="preserve">anglo-americký chápe HP jako krátkodobý nástroj </w:t>
      </w:r>
      <w:r w:rsidRPr="00FC3B7C">
        <w:rPr>
          <w:rFonts w:eastAsia="Times New Roman"/>
        </w:rPr>
        <w:t>při řešení konkrétních problémů, druhý</w:t>
      </w:r>
      <w:r w:rsidR="0056338B">
        <w:rPr>
          <w:rFonts w:eastAsia="Times New Roman"/>
        </w:rPr>
        <w:t xml:space="preserve"> </w:t>
      </w:r>
      <w:r w:rsidRPr="00FC3B7C">
        <w:rPr>
          <w:rFonts w:eastAsia="Times New Roman"/>
        </w:rPr>
        <w:t>kontinentální pak jako systémovou činnost.</w:t>
      </w:r>
    </w:p>
    <w:p w14:paraId="4A6F293A" w14:textId="77777777" w:rsidR="008E0F74" w:rsidRPr="00FC3B7C" w:rsidRDefault="008E0F74">
      <w:pPr>
        <w:spacing w:line="200" w:lineRule="exact"/>
        <w:rPr>
          <w:sz w:val="20"/>
          <w:szCs w:val="20"/>
        </w:rPr>
      </w:pPr>
    </w:p>
    <w:p w14:paraId="5070235D" w14:textId="28E67785" w:rsidR="002719B7" w:rsidRPr="006C264F" w:rsidRDefault="00256F29" w:rsidP="002719B7">
      <w:pPr>
        <w:pStyle w:val="Nadpis3"/>
        <w:rPr>
          <w:rFonts w:eastAsia="Times New Roman" w:cs="Times New Roman"/>
          <w:color w:val="1F3864" w:themeColor="accent1" w:themeShade="80"/>
        </w:rPr>
      </w:pPr>
      <w:bookmarkStart w:id="7" w:name="page6"/>
      <w:bookmarkEnd w:id="7"/>
      <w:r w:rsidRPr="006C264F">
        <w:rPr>
          <w:rFonts w:eastAsia="Times New Roman" w:cs="Times New Roman"/>
          <w:color w:val="1F3864" w:themeColor="accent1" w:themeShade="80"/>
        </w:rPr>
        <w:t>Praktická HP</w:t>
      </w:r>
      <w:r w:rsidR="002719B7" w:rsidRPr="006C264F">
        <w:rPr>
          <w:rFonts w:eastAsia="Times New Roman" w:cs="Times New Roman"/>
          <w:color w:val="1F3864" w:themeColor="accent1" w:themeShade="80"/>
        </w:rPr>
        <w:t xml:space="preserve"> </w:t>
      </w:r>
    </w:p>
    <w:p w14:paraId="4CC3DF72" w14:textId="1BC34EEE" w:rsidR="00EE1A1E" w:rsidRPr="00AC6666" w:rsidRDefault="00256F29" w:rsidP="00FC3B7C">
      <w:pPr>
        <w:rPr>
          <w:rFonts w:eastAsia="Times New Roman"/>
        </w:rPr>
      </w:pPr>
      <w:r w:rsidRPr="00FC3B7C">
        <w:rPr>
          <w:rFonts w:eastAsia="Times New Roman"/>
        </w:rPr>
        <w:t xml:space="preserve">Vychází ze závěrů teoretické hospodářské politiky. Bere na zřetel domácí i mezinárodní situaci a sociální poměry v daném teritoriu jakož i názory voličů (souhlas či nesouhlas voličů). Nese plnou politickou zodpovědnost za svá rozhodnutí. Mezi základní oblasti praktické hospodářské </w:t>
      </w:r>
      <w:r w:rsidRPr="00AC6666">
        <w:rPr>
          <w:rFonts w:eastAsia="Times New Roman"/>
        </w:rPr>
        <w:t xml:space="preserve">politiky patří makroekonomická a mikroekonomická. </w:t>
      </w:r>
    </w:p>
    <w:p w14:paraId="27E084AB" w14:textId="77777777" w:rsidR="00EE1A1E" w:rsidRPr="00AC6666" w:rsidRDefault="00256F29" w:rsidP="00FC3B7C">
      <w:pPr>
        <w:rPr>
          <w:rFonts w:eastAsia="Times New Roman"/>
        </w:rPr>
      </w:pPr>
      <w:r w:rsidRPr="00AC6666">
        <w:rPr>
          <w:rFonts w:eastAsia="Times New Roman"/>
          <w:u w:val="single"/>
        </w:rPr>
        <w:t>Makroekonomická</w:t>
      </w:r>
      <w:r w:rsidRPr="00AC6666">
        <w:rPr>
          <w:rFonts w:eastAsia="Times New Roman"/>
        </w:rPr>
        <w:t xml:space="preserve"> se zabývá zabezpečením základních ekonomických cílů společnosti, jako je zachování relativní stability ekonomiky (stabilizační politika), dále politika rozpočtová, měnová, mezinárodní a důchodová. </w:t>
      </w:r>
    </w:p>
    <w:p w14:paraId="42810C81" w14:textId="1CDEB375" w:rsidR="007C3934" w:rsidRPr="00AC6666" w:rsidRDefault="00256F29" w:rsidP="00FC3B7C">
      <w:pPr>
        <w:rPr>
          <w:rFonts w:eastAsia="Times New Roman"/>
        </w:rPr>
      </w:pPr>
      <w:r w:rsidRPr="00AC6666">
        <w:rPr>
          <w:rFonts w:eastAsia="Times New Roman"/>
          <w:u w:val="single"/>
        </w:rPr>
        <w:t>Mikroekonomická</w:t>
      </w:r>
      <w:r w:rsidRPr="00AC6666">
        <w:rPr>
          <w:rFonts w:eastAsia="Times New Roman"/>
        </w:rPr>
        <w:t xml:space="preserve"> je zaměřena na zvyšování efektivnosti při alokaci zdrojů společnosti, spadá pod ni například ochrana hospodářské soutěže, strukturální politika či sociální politika. </w:t>
      </w:r>
      <w:r w:rsidR="00FC3B7C" w:rsidRPr="00AC6666">
        <w:rPr>
          <w:rFonts w:eastAsia="Times New Roman"/>
        </w:rPr>
        <w:br/>
      </w:r>
      <w:r w:rsidRPr="00AC6666">
        <w:rPr>
          <w:rFonts w:eastAsia="Times New Roman"/>
        </w:rPr>
        <w:t>Je bezprostředně ovlivňována politickou mocí, měla by být ovlivňována politickým oponováním a měla by brát v úvahu názory voličů (pokud chce být úspěšná).</w:t>
      </w:r>
      <w:r w:rsidR="006C3D80" w:rsidRPr="00AC6666">
        <w:rPr>
          <w:rFonts w:eastAsia="Times New Roman"/>
        </w:rPr>
        <w:t xml:space="preserve"> </w:t>
      </w:r>
      <w:r w:rsidR="00EB4C7D" w:rsidRPr="00AC6666">
        <w:rPr>
          <w:rFonts w:eastAsia="Times New Roman"/>
        </w:rPr>
        <w:t>Ve volebním systému kde převažují většinové prvky, dochází většinou k dynamičtějšímu vývoji než v systémech s poměrným zastoupením.</w:t>
      </w:r>
    </w:p>
    <w:p w14:paraId="2EACC3A0" w14:textId="77777777" w:rsidR="007C3934" w:rsidRPr="00FC3B7C" w:rsidRDefault="007C3934" w:rsidP="00FC3B7C">
      <w:pPr>
        <w:rPr>
          <w:sz w:val="20"/>
          <w:szCs w:val="20"/>
        </w:rPr>
      </w:pPr>
    </w:p>
    <w:p w14:paraId="4A332250" w14:textId="366F808D" w:rsidR="00837EF4" w:rsidRPr="006C264F" w:rsidRDefault="00256F29" w:rsidP="00837EF4">
      <w:pPr>
        <w:pStyle w:val="Nadpis3"/>
        <w:rPr>
          <w:rFonts w:eastAsia="Times New Roman" w:cs="Times New Roman"/>
          <w:color w:val="1F3864" w:themeColor="accent1" w:themeShade="80"/>
        </w:rPr>
      </w:pPr>
      <w:r w:rsidRPr="006C264F">
        <w:rPr>
          <w:rFonts w:eastAsia="Times New Roman" w:cs="Times New Roman"/>
          <w:color w:val="1F3864" w:themeColor="accent1" w:themeShade="80"/>
        </w:rPr>
        <w:lastRenderedPageBreak/>
        <w:t>Nositelé HP</w:t>
      </w:r>
    </w:p>
    <w:p w14:paraId="4A6F293E" w14:textId="31817086" w:rsidR="008E0F74" w:rsidRPr="00AC6666" w:rsidRDefault="00256F29" w:rsidP="00617E81">
      <w:pPr>
        <w:rPr>
          <w:sz w:val="20"/>
          <w:szCs w:val="20"/>
        </w:rPr>
      </w:pPr>
      <w:r w:rsidRPr="00FC3B7C">
        <w:rPr>
          <w:rFonts w:eastAsia="Times New Roman"/>
        </w:rPr>
        <w:t xml:space="preserve">Za nositele HP se považují všechny instituce, organizace i jednotlivci, </w:t>
      </w:r>
      <w:r w:rsidR="00617E81">
        <w:rPr>
          <w:rFonts w:eastAsia="Times New Roman"/>
        </w:rPr>
        <w:t xml:space="preserve">kteří mají </w:t>
      </w:r>
      <w:r w:rsidR="00837EF4" w:rsidRPr="00837EF4">
        <w:rPr>
          <w:rFonts w:eastAsia="Times New Roman"/>
        </w:rPr>
        <w:t>možnost a schopnost tvořit, ovlivňovat a stanovovat</w:t>
      </w:r>
      <w:r w:rsidR="00617E81">
        <w:rPr>
          <w:rFonts w:eastAsia="Times New Roman"/>
        </w:rPr>
        <w:t xml:space="preserve"> </w:t>
      </w:r>
      <w:r w:rsidRPr="00FC3B7C">
        <w:rPr>
          <w:rFonts w:eastAsia="Times New Roman"/>
        </w:rPr>
        <w:t xml:space="preserve">HP cíle a zároveň jsou schopni vytvářet (přímo i </w:t>
      </w:r>
      <w:r w:rsidRPr="00AC6666">
        <w:rPr>
          <w:rFonts w:eastAsia="Times New Roman"/>
        </w:rPr>
        <w:t>nepřímo) hospodářsko-politické podmínky.</w:t>
      </w:r>
    </w:p>
    <w:p w14:paraId="4A6F293F" w14:textId="77777777" w:rsidR="008E0F74" w:rsidRPr="00AC6666" w:rsidRDefault="008E0F74">
      <w:pPr>
        <w:spacing w:line="2" w:lineRule="exact"/>
        <w:rPr>
          <w:sz w:val="20"/>
          <w:szCs w:val="20"/>
        </w:rPr>
      </w:pPr>
    </w:p>
    <w:p w14:paraId="4A6F2940" w14:textId="77777777" w:rsidR="008E0F74" w:rsidRPr="00AC6666" w:rsidRDefault="00256F29">
      <w:pPr>
        <w:rPr>
          <w:sz w:val="20"/>
          <w:szCs w:val="20"/>
        </w:rPr>
      </w:pPr>
      <w:r w:rsidRPr="00AC6666">
        <w:rPr>
          <w:rFonts w:eastAsia="Times New Roman"/>
          <w:b/>
          <w:bCs/>
          <w:szCs w:val="24"/>
        </w:rPr>
        <w:t>Ekonomové rozlišují u nositelů HP dvě skupiny:</w:t>
      </w:r>
    </w:p>
    <w:p w14:paraId="4A6F2941" w14:textId="77777777" w:rsidR="008E0F74" w:rsidRPr="00AC6666" w:rsidRDefault="008E0F74">
      <w:pPr>
        <w:spacing w:line="157" w:lineRule="exact"/>
        <w:rPr>
          <w:sz w:val="20"/>
          <w:szCs w:val="20"/>
        </w:rPr>
      </w:pPr>
    </w:p>
    <w:p w14:paraId="634DEB0E" w14:textId="77777777" w:rsidR="007143F9" w:rsidRPr="00AC6666" w:rsidRDefault="000822F6" w:rsidP="007143F9">
      <w:pPr>
        <w:pStyle w:val="Odstavecseseznamem"/>
        <w:numPr>
          <w:ilvl w:val="0"/>
          <w:numId w:val="1"/>
        </w:numPr>
        <w:tabs>
          <w:tab w:val="left" w:pos="1140"/>
        </w:tabs>
        <w:rPr>
          <w:rFonts w:eastAsia="Arial"/>
          <w:b/>
          <w:bCs/>
          <w:szCs w:val="24"/>
        </w:rPr>
      </w:pPr>
      <w:r w:rsidRPr="00AC6666">
        <w:rPr>
          <w:rFonts w:eastAsia="Times New Roman"/>
          <w:b/>
          <w:bCs/>
          <w:szCs w:val="24"/>
        </w:rPr>
        <w:t xml:space="preserve">Decizná sféra </w:t>
      </w:r>
    </w:p>
    <w:p w14:paraId="0201374C" w14:textId="77777777" w:rsidR="007143F9" w:rsidRPr="00AC6666" w:rsidRDefault="00256F29" w:rsidP="00EA75A8">
      <w:pPr>
        <w:numPr>
          <w:ilvl w:val="0"/>
          <w:numId w:val="2"/>
        </w:numPr>
        <w:tabs>
          <w:tab w:val="left" w:pos="1140"/>
        </w:tabs>
        <w:spacing w:line="276" w:lineRule="auto"/>
        <w:ind w:left="1140" w:right="220" w:hanging="358"/>
        <w:rPr>
          <w:rFonts w:eastAsia="Arial"/>
          <w:b/>
          <w:bCs/>
          <w:szCs w:val="24"/>
        </w:rPr>
      </w:pPr>
      <w:r w:rsidRPr="00AC6666">
        <w:rPr>
          <w:rFonts w:eastAsia="Times New Roman"/>
          <w:szCs w:val="24"/>
        </w:rPr>
        <w:t xml:space="preserve">s kompetencí rozhodovat = nositelé praktické HP </w:t>
      </w:r>
    </w:p>
    <w:p w14:paraId="070704AE" w14:textId="5D4D8557" w:rsidR="007143F9" w:rsidRPr="00AC6666" w:rsidRDefault="007143F9" w:rsidP="00EA75A8">
      <w:pPr>
        <w:numPr>
          <w:ilvl w:val="0"/>
          <w:numId w:val="2"/>
        </w:numPr>
        <w:tabs>
          <w:tab w:val="left" w:pos="1140"/>
        </w:tabs>
        <w:spacing w:line="276" w:lineRule="auto"/>
        <w:ind w:left="1140" w:right="220" w:hanging="358"/>
        <w:rPr>
          <w:rFonts w:eastAsia="Arial"/>
          <w:b/>
          <w:bCs/>
          <w:szCs w:val="24"/>
        </w:rPr>
      </w:pPr>
      <w:r w:rsidRPr="00AC6666">
        <w:rPr>
          <w:rFonts w:eastAsia="Times New Roman"/>
          <w:szCs w:val="24"/>
        </w:rPr>
        <w:t>Vláda, prezident, parlament, CB</w:t>
      </w:r>
    </w:p>
    <w:p w14:paraId="40908455" w14:textId="334B3E36" w:rsidR="0024139A" w:rsidRPr="00AC6666" w:rsidRDefault="0024139A" w:rsidP="007143F9">
      <w:pPr>
        <w:tabs>
          <w:tab w:val="left" w:pos="1140"/>
        </w:tabs>
        <w:spacing w:line="240" w:lineRule="auto"/>
        <w:ind w:left="1140"/>
        <w:rPr>
          <w:rFonts w:eastAsia="Arial"/>
          <w:szCs w:val="24"/>
        </w:rPr>
      </w:pPr>
    </w:p>
    <w:p w14:paraId="05F0AE75" w14:textId="77777777" w:rsidR="007143F9" w:rsidRPr="00AC6666" w:rsidRDefault="007143F9" w:rsidP="007143F9">
      <w:pPr>
        <w:pStyle w:val="Odstavecseseznamem"/>
        <w:numPr>
          <w:ilvl w:val="0"/>
          <w:numId w:val="1"/>
        </w:numPr>
        <w:tabs>
          <w:tab w:val="left" w:pos="1140"/>
        </w:tabs>
        <w:rPr>
          <w:rFonts w:eastAsia="Arial"/>
          <w:b/>
          <w:bCs/>
          <w:szCs w:val="24"/>
        </w:rPr>
      </w:pPr>
      <w:r w:rsidRPr="00AC6666">
        <w:rPr>
          <w:rFonts w:eastAsia="Times New Roman"/>
          <w:b/>
          <w:bCs/>
          <w:szCs w:val="24"/>
        </w:rPr>
        <w:t xml:space="preserve">Vlivová sféra </w:t>
      </w:r>
    </w:p>
    <w:p w14:paraId="5FF22499" w14:textId="2B22FB63" w:rsidR="001F18D0" w:rsidRPr="00AC6666" w:rsidRDefault="00A6715F" w:rsidP="00EA75A8">
      <w:pPr>
        <w:numPr>
          <w:ilvl w:val="0"/>
          <w:numId w:val="2"/>
        </w:numPr>
        <w:tabs>
          <w:tab w:val="left" w:pos="1140"/>
        </w:tabs>
        <w:spacing w:line="276" w:lineRule="auto"/>
        <w:ind w:left="1140" w:right="220" w:hanging="358"/>
        <w:rPr>
          <w:rFonts w:eastAsia="Arial"/>
          <w:szCs w:val="24"/>
        </w:rPr>
      </w:pPr>
      <w:r w:rsidRPr="00AC6666">
        <w:rPr>
          <w:rFonts w:eastAsia="Times New Roman"/>
          <w:szCs w:val="24"/>
        </w:rPr>
        <w:t xml:space="preserve">může ovlivňovat </w:t>
      </w:r>
      <w:r w:rsidR="00CE28AF" w:rsidRPr="00AC6666">
        <w:rPr>
          <w:rFonts w:eastAsia="Times New Roman"/>
          <w:szCs w:val="24"/>
        </w:rPr>
        <w:t>HP, ale</w:t>
      </w:r>
      <w:r w:rsidRPr="00AC6666">
        <w:rPr>
          <w:rFonts w:eastAsia="Times New Roman"/>
          <w:szCs w:val="24"/>
        </w:rPr>
        <w:t xml:space="preserve"> nemůže rozhodovat </w:t>
      </w:r>
      <w:r w:rsidR="00256F29" w:rsidRPr="00AC6666">
        <w:rPr>
          <w:rFonts w:eastAsia="Times New Roman"/>
          <w:szCs w:val="24"/>
        </w:rPr>
        <w:t xml:space="preserve">= nositelé teoretické HP </w:t>
      </w:r>
    </w:p>
    <w:p w14:paraId="4A6F2943" w14:textId="00A687C5" w:rsidR="008E0F74" w:rsidRPr="00AC6666" w:rsidRDefault="005C7AAF" w:rsidP="00EA75A8">
      <w:pPr>
        <w:numPr>
          <w:ilvl w:val="0"/>
          <w:numId w:val="2"/>
        </w:numPr>
        <w:tabs>
          <w:tab w:val="left" w:pos="1140"/>
        </w:tabs>
        <w:spacing w:line="276" w:lineRule="auto"/>
        <w:ind w:left="1140" w:right="220" w:hanging="358"/>
        <w:rPr>
          <w:rFonts w:eastAsia="Arial"/>
          <w:szCs w:val="24"/>
        </w:rPr>
      </w:pPr>
      <w:r w:rsidRPr="00AC6666">
        <w:rPr>
          <w:rFonts w:eastAsia="Arial"/>
          <w:szCs w:val="24"/>
        </w:rPr>
        <w:t>Politické strany, odborové svazy, zájmové organizace a skupiny, vědecké instituce</w:t>
      </w:r>
    </w:p>
    <w:p w14:paraId="0FB3483E" w14:textId="77777777" w:rsidR="005C7AAF" w:rsidRPr="005C7AAF" w:rsidRDefault="005C7AAF" w:rsidP="005C7AAF">
      <w:pPr>
        <w:pStyle w:val="Odstavecseseznamem"/>
        <w:tabs>
          <w:tab w:val="left" w:pos="1140"/>
        </w:tabs>
        <w:spacing w:line="276" w:lineRule="auto"/>
        <w:ind w:left="1080"/>
        <w:rPr>
          <w:rFonts w:eastAsia="Arial"/>
          <w:szCs w:val="24"/>
        </w:rPr>
      </w:pPr>
    </w:p>
    <w:p w14:paraId="4A6F2944" w14:textId="77777777" w:rsidR="008E0F74" w:rsidRPr="00FC3B7C" w:rsidRDefault="00256F29">
      <w:pPr>
        <w:rPr>
          <w:sz w:val="20"/>
          <w:szCs w:val="20"/>
        </w:rPr>
      </w:pPr>
      <w:r w:rsidRPr="00FC3B7C">
        <w:rPr>
          <w:rFonts w:eastAsia="Times New Roman"/>
          <w:b/>
          <w:bCs/>
          <w:szCs w:val="24"/>
        </w:rPr>
        <w:t>Nejdůležitější nositelé HP:</w:t>
      </w:r>
    </w:p>
    <w:p w14:paraId="4A6F2945" w14:textId="77777777" w:rsidR="008E0F74" w:rsidRPr="00FC3B7C" w:rsidRDefault="008E0F74">
      <w:pPr>
        <w:spacing w:line="162" w:lineRule="exact"/>
        <w:rPr>
          <w:sz w:val="20"/>
          <w:szCs w:val="20"/>
        </w:rPr>
      </w:pPr>
    </w:p>
    <w:p w14:paraId="4A6F2947" w14:textId="0F6720CC" w:rsidR="008E0F74" w:rsidRPr="00EA75A8" w:rsidRDefault="00256F29" w:rsidP="00EA75A8">
      <w:pPr>
        <w:numPr>
          <w:ilvl w:val="0"/>
          <w:numId w:val="2"/>
        </w:numPr>
        <w:tabs>
          <w:tab w:val="left" w:pos="1140"/>
        </w:tabs>
        <w:spacing w:line="276" w:lineRule="auto"/>
        <w:ind w:left="1140" w:right="220" w:hanging="358"/>
        <w:rPr>
          <w:rFonts w:eastAsia="Arial"/>
          <w:szCs w:val="24"/>
        </w:rPr>
      </w:pPr>
      <w:r w:rsidRPr="00FC3B7C">
        <w:rPr>
          <w:rFonts w:eastAsia="Times New Roman"/>
          <w:szCs w:val="24"/>
        </w:rPr>
        <w:t xml:space="preserve">stát (vláda, CB, parlament, odborové organizace, svazy, státní úřady, výzkumné </w:t>
      </w:r>
      <w:r w:rsidR="00FC3B7C">
        <w:rPr>
          <w:rFonts w:eastAsia="Times New Roman"/>
          <w:szCs w:val="24"/>
        </w:rPr>
        <w:br/>
      </w:r>
      <w:r w:rsidRPr="00FC3B7C">
        <w:rPr>
          <w:rFonts w:eastAsia="Times New Roman"/>
          <w:szCs w:val="24"/>
        </w:rPr>
        <w:t>a expertní instituce, politické strany, zájmová seskupení a organizace, veřejné mínění)</w:t>
      </w:r>
    </w:p>
    <w:p w14:paraId="4A6F2948" w14:textId="06B7DD83" w:rsidR="008E0F74" w:rsidRPr="00FC3B7C" w:rsidRDefault="00256F29" w:rsidP="00EA75A8">
      <w:pPr>
        <w:numPr>
          <w:ilvl w:val="0"/>
          <w:numId w:val="2"/>
        </w:numPr>
        <w:tabs>
          <w:tab w:val="left" w:pos="1140"/>
        </w:tabs>
        <w:spacing w:line="276" w:lineRule="auto"/>
        <w:ind w:left="1140" w:hanging="358"/>
        <w:rPr>
          <w:rFonts w:eastAsia="Arial"/>
          <w:szCs w:val="24"/>
        </w:rPr>
      </w:pPr>
      <w:r w:rsidRPr="00FC3B7C">
        <w:rPr>
          <w:rFonts w:eastAsia="Times New Roman"/>
          <w:szCs w:val="24"/>
        </w:rPr>
        <w:t xml:space="preserve">mezinárodní a nadnárodní instituce (OSN, EU, OECD, ratingové </w:t>
      </w:r>
      <w:r w:rsidR="00CE28AF" w:rsidRPr="00FC3B7C">
        <w:rPr>
          <w:rFonts w:eastAsia="Times New Roman"/>
          <w:szCs w:val="24"/>
        </w:rPr>
        <w:t>instituce…)</w:t>
      </w:r>
    </w:p>
    <w:p w14:paraId="4A6F2949" w14:textId="0261E97C" w:rsidR="008E0F74" w:rsidRPr="00EA75A8" w:rsidRDefault="00256F29" w:rsidP="00EA75A8">
      <w:pPr>
        <w:numPr>
          <w:ilvl w:val="0"/>
          <w:numId w:val="2"/>
        </w:numPr>
        <w:tabs>
          <w:tab w:val="left" w:pos="1140"/>
        </w:tabs>
        <w:spacing w:line="276" w:lineRule="auto"/>
        <w:ind w:left="1140" w:hanging="358"/>
        <w:rPr>
          <w:rFonts w:eastAsia="Arial"/>
          <w:szCs w:val="24"/>
        </w:rPr>
      </w:pPr>
      <w:r w:rsidRPr="00FC3B7C">
        <w:rPr>
          <w:rFonts w:eastAsia="Times New Roman"/>
          <w:szCs w:val="24"/>
        </w:rPr>
        <w:t>vlivové organizace (politické strany)</w:t>
      </w:r>
    </w:p>
    <w:p w14:paraId="0146F671" w14:textId="77777777" w:rsidR="00EA75A8" w:rsidRPr="00FC3B7C" w:rsidRDefault="00EA75A8" w:rsidP="00EA75A8">
      <w:pPr>
        <w:tabs>
          <w:tab w:val="left" w:pos="1140"/>
        </w:tabs>
        <w:spacing w:line="276" w:lineRule="auto"/>
        <w:rPr>
          <w:rFonts w:eastAsia="Arial"/>
          <w:szCs w:val="24"/>
        </w:rPr>
      </w:pPr>
    </w:p>
    <w:p w14:paraId="4A6F294A" w14:textId="77777777" w:rsidR="008E0F74" w:rsidRPr="006C264F" w:rsidRDefault="00256F29" w:rsidP="00FC3B7C">
      <w:pPr>
        <w:pStyle w:val="Nadpis3"/>
        <w:rPr>
          <w:rFonts w:cs="Times New Roman"/>
          <w:color w:val="1F3864" w:themeColor="accent1" w:themeShade="80"/>
          <w:sz w:val="20"/>
          <w:szCs w:val="20"/>
        </w:rPr>
      </w:pPr>
      <w:r w:rsidRPr="006C264F">
        <w:rPr>
          <w:rFonts w:eastAsia="Times New Roman" w:cs="Times New Roman"/>
          <w:color w:val="1F3864" w:themeColor="accent1" w:themeShade="80"/>
        </w:rPr>
        <w:t>Nástroje HP</w:t>
      </w:r>
    </w:p>
    <w:p w14:paraId="4A6F294B" w14:textId="087F595F" w:rsidR="008E0F74" w:rsidRPr="00FC3B7C" w:rsidRDefault="00256F29" w:rsidP="00462BE7">
      <w:pPr>
        <w:rPr>
          <w:sz w:val="20"/>
          <w:szCs w:val="20"/>
        </w:rPr>
      </w:pPr>
      <w:r w:rsidRPr="00FC3B7C">
        <w:rPr>
          <w:rFonts w:eastAsia="Times New Roman"/>
        </w:rPr>
        <w:t xml:space="preserve">Nástroji rozumíme prostředky k dosažení jednotlivých cílů. Vybírají je nositelé praktické HP (decizní sféra) a jsou do značné míry subjektivní. Při použití nástroje je nutné jejich posloupnost a kvantita. Nástroje můžeme rozdělit </w:t>
      </w:r>
      <w:r w:rsidR="008E1408">
        <w:rPr>
          <w:rFonts w:eastAsia="Times New Roman"/>
        </w:rPr>
        <w:t xml:space="preserve">podle </w:t>
      </w:r>
      <w:r w:rsidR="008E1408" w:rsidRPr="004A52F1">
        <w:rPr>
          <w:rFonts w:eastAsia="Times New Roman"/>
          <w:u w:val="single"/>
        </w:rPr>
        <w:t>oblast</w:t>
      </w:r>
      <w:r w:rsidR="004A52F1">
        <w:rPr>
          <w:rFonts w:eastAsia="Times New Roman"/>
          <w:u w:val="single"/>
        </w:rPr>
        <w:t>i</w:t>
      </w:r>
      <w:r w:rsidR="008E1408">
        <w:rPr>
          <w:rFonts w:eastAsia="Times New Roman"/>
        </w:rPr>
        <w:t xml:space="preserve"> působení </w:t>
      </w:r>
      <w:r w:rsidRPr="00FC3B7C">
        <w:rPr>
          <w:rFonts w:eastAsia="Times New Roman"/>
        </w:rPr>
        <w:t>na:</w:t>
      </w:r>
    </w:p>
    <w:p w14:paraId="4A6F294C" w14:textId="77777777" w:rsidR="008E0F74" w:rsidRPr="00FC3B7C" w:rsidRDefault="008E0F74">
      <w:pPr>
        <w:spacing w:line="3" w:lineRule="exact"/>
        <w:rPr>
          <w:sz w:val="20"/>
          <w:szCs w:val="20"/>
        </w:rPr>
      </w:pPr>
    </w:p>
    <w:p w14:paraId="4A6F294D" w14:textId="3EC08D87" w:rsidR="008E0F74" w:rsidRPr="00FC3B7C" w:rsidRDefault="00256F29" w:rsidP="004A5F54">
      <w:pPr>
        <w:numPr>
          <w:ilvl w:val="0"/>
          <w:numId w:val="3"/>
        </w:numPr>
        <w:tabs>
          <w:tab w:val="left" w:pos="840"/>
        </w:tabs>
        <w:spacing w:line="365" w:lineRule="auto"/>
        <w:ind w:left="840" w:right="200" w:hanging="362"/>
        <w:rPr>
          <w:rFonts w:eastAsia="Arial"/>
          <w:szCs w:val="24"/>
        </w:rPr>
      </w:pPr>
      <w:r w:rsidRPr="00FC3B7C">
        <w:rPr>
          <w:rFonts w:eastAsia="Times New Roman"/>
          <w:b/>
          <w:bCs/>
          <w:szCs w:val="24"/>
        </w:rPr>
        <w:t>Fiskální politik</w:t>
      </w:r>
      <w:r w:rsidR="004A52F1">
        <w:rPr>
          <w:rFonts w:eastAsia="Times New Roman"/>
          <w:b/>
          <w:bCs/>
          <w:szCs w:val="24"/>
        </w:rPr>
        <w:t>u</w:t>
      </w:r>
      <w:r w:rsidRPr="00FC3B7C">
        <w:rPr>
          <w:rFonts w:eastAsia="Times New Roman"/>
          <w:b/>
          <w:bCs/>
          <w:szCs w:val="24"/>
        </w:rPr>
        <w:t xml:space="preserve"> </w:t>
      </w:r>
      <w:r w:rsidRPr="00FC3B7C">
        <w:rPr>
          <w:rFonts w:eastAsia="Times New Roman"/>
          <w:szCs w:val="24"/>
        </w:rPr>
        <w:t>– dosažení cílů</w:t>
      </w:r>
      <w:r w:rsidRPr="00FC3B7C">
        <w:rPr>
          <w:rFonts w:eastAsia="Times New Roman"/>
          <w:b/>
          <w:bCs/>
          <w:szCs w:val="24"/>
        </w:rPr>
        <w:t xml:space="preserve"> </w:t>
      </w:r>
      <w:r w:rsidRPr="00FC3B7C">
        <w:rPr>
          <w:rFonts w:eastAsia="Times New Roman"/>
          <w:szCs w:val="24"/>
        </w:rPr>
        <w:t>pomocí státního rozpočtu, spadá pod nástroje moci</w:t>
      </w:r>
      <w:r w:rsidRPr="00FC3B7C">
        <w:rPr>
          <w:rFonts w:eastAsia="Times New Roman"/>
          <w:b/>
          <w:bCs/>
          <w:szCs w:val="24"/>
        </w:rPr>
        <w:t xml:space="preserve"> </w:t>
      </w:r>
      <w:r w:rsidRPr="00FC3B7C">
        <w:rPr>
          <w:rFonts w:eastAsia="Times New Roman"/>
          <w:szCs w:val="24"/>
        </w:rPr>
        <w:t>výkonné a zákonodárné</w:t>
      </w:r>
    </w:p>
    <w:p w14:paraId="4A6F294E" w14:textId="7D4501DC" w:rsidR="008E0F74" w:rsidRPr="00754908" w:rsidRDefault="00256F29" w:rsidP="004A5F54">
      <w:pPr>
        <w:numPr>
          <w:ilvl w:val="0"/>
          <w:numId w:val="4"/>
        </w:numPr>
        <w:tabs>
          <w:tab w:val="left" w:pos="840"/>
        </w:tabs>
        <w:ind w:left="840" w:hanging="362"/>
        <w:rPr>
          <w:rFonts w:eastAsia="Arial"/>
          <w:szCs w:val="24"/>
        </w:rPr>
      </w:pPr>
      <w:bookmarkStart w:id="8" w:name="page7"/>
      <w:bookmarkEnd w:id="8"/>
      <w:r w:rsidRPr="00FC3B7C">
        <w:rPr>
          <w:rFonts w:eastAsia="Times New Roman"/>
          <w:b/>
          <w:bCs/>
          <w:szCs w:val="24"/>
        </w:rPr>
        <w:t>Monetární politik</w:t>
      </w:r>
      <w:r w:rsidR="004A52F1">
        <w:rPr>
          <w:rFonts w:eastAsia="Times New Roman"/>
          <w:b/>
          <w:bCs/>
          <w:szCs w:val="24"/>
        </w:rPr>
        <w:t>u</w:t>
      </w:r>
      <w:r w:rsidRPr="00FC3B7C">
        <w:rPr>
          <w:rFonts w:eastAsia="Times New Roman"/>
          <w:b/>
          <w:bCs/>
          <w:szCs w:val="24"/>
        </w:rPr>
        <w:t xml:space="preserve"> </w:t>
      </w:r>
      <w:r w:rsidRPr="00FC3B7C">
        <w:rPr>
          <w:rFonts w:eastAsia="Times New Roman"/>
          <w:szCs w:val="24"/>
        </w:rPr>
        <w:t>– regulování nabídky peněz, nositelem je CB</w:t>
      </w:r>
      <w:r w:rsidR="00FC3B7C">
        <w:rPr>
          <w:rFonts w:eastAsia="Arial"/>
          <w:szCs w:val="24"/>
        </w:rPr>
        <w:t xml:space="preserve"> </w:t>
      </w:r>
      <w:r w:rsidRPr="00FC3B7C">
        <w:rPr>
          <w:rFonts w:eastAsia="Times New Roman"/>
          <w:szCs w:val="24"/>
        </w:rPr>
        <w:t xml:space="preserve">popřípadě další: </w:t>
      </w:r>
      <w:r w:rsidRPr="00FC3B7C">
        <w:rPr>
          <w:rFonts w:eastAsia="Times New Roman"/>
          <w:b/>
          <w:bCs/>
          <w:szCs w:val="24"/>
        </w:rPr>
        <w:t>důchodová politika</w:t>
      </w:r>
      <w:r w:rsidRPr="00FC3B7C">
        <w:rPr>
          <w:rFonts w:eastAsia="Times New Roman"/>
          <w:szCs w:val="24"/>
        </w:rPr>
        <w:t xml:space="preserve"> či </w:t>
      </w:r>
      <w:r w:rsidRPr="00FC3B7C">
        <w:rPr>
          <w:rFonts w:eastAsia="Times New Roman"/>
          <w:b/>
          <w:bCs/>
          <w:szCs w:val="24"/>
        </w:rPr>
        <w:t>vnější obchodní a měnová politika</w:t>
      </w:r>
    </w:p>
    <w:p w14:paraId="5997D14D" w14:textId="2172F3A6" w:rsidR="00754908" w:rsidRPr="00AC6666" w:rsidRDefault="004A52F1" w:rsidP="006F1D8F">
      <w:pPr>
        <w:tabs>
          <w:tab w:val="left" w:pos="840"/>
        </w:tabs>
        <w:rPr>
          <w:rFonts w:eastAsia="Arial"/>
          <w:szCs w:val="24"/>
        </w:rPr>
      </w:pPr>
      <w:r w:rsidRPr="00AC6666">
        <w:rPr>
          <w:rFonts w:eastAsia="Arial"/>
          <w:szCs w:val="24"/>
        </w:rPr>
        <w:t xml:space="preserve">Dále </w:t>
      </w:r>
      <w:r w:rsidR="00E045BA" w:rsidRPr="00AC6666">
        <w:rPr>
          <w:rFonts w:eastAsia="Arial"/>
          <w:szCs w:val="24"/>
        </w:rPr>
        <w:t xml:space="preserve">můžeme </w:t>
      </w:r>
      <w:r w:rsidR="00E45CD4" w:rsidRPr="00AC6666">
        <w:rPr>
          <w:rFonts w:eastAsia="Arial"/>
          <w:szCs w:val="24"/>
        </w:rPr>
        <w:t xml:space="preserve">nástroje </w:t>
      </w:r>
      <w:r w:rsidR="00E045BA" w:rsidRPr="00AC6666">
        <w:rPr>
          <w:rFonts w:eastAsia="Arial"/>
          <w:szCs w:val="24"/>
        </w:rPr>
        <w:t xml:space="preserve">HP dělit </w:t>
      </w:r>
      <w:r w:rsidRPr="00AC6666">
        <w:rPr>
          <w:rFonts w:eastAsia="Arial"/>
          <w:szCs w:val="24"/>
        </w:rPr>
        <w:t xml:space="preserve">podle </w:t>
      </w:r>
      <w:r w:rsidRPr="00AC6666">
        <w:rPr>
          <w:rFonts w:eastAsia="Arial"/>
          <w:szCs w:val="24"/>
          <w:u w:val="single"/>
        </w:rPr>
        <w:t>ú</w:t>
      </w:r>
      <w:r w:rsidR="00754908" w:rsidRPr="00AC6666">
        <w:rPr>
          <w:rFonts w:eastAsia="Arial"/>
          <w:szCs w:val="24"/>
          <w:u w:val="single"/>
        </w:rPr>
        <w:t>rov</w:t>
      </w:r>
      <w:r w:rsidRPr="00AC6666">
        <w:rPr>
          <w:rFonts w:eastAsia="Arial"/>
          <w:szCs w:val="24"/>
          <w:u w:val="single"/>
        </w:rPr>
        <w:t>ně</w:t>
      </w:r>
      <w:r w:rsidR="00754908" w:rsidRPr="00AC6666">
        <w:rPr>
          <w:rFonts w:eastAsia="Arial"/>
          <w:szCs w:val="24"/>
        </w:rPr>
        <w:t xml:space="preserve"> působení</w:t>
      </w:r>
      <w:r w:rsidR="00046A8D" w:rsidRPr="00AC6666">
        <w:rPr>
          <w:rFonts w:eastAsia="Arial"/>
          <w:szCs w:val="24"/>
        </w:rPr>
        <w:t xml:space="preserve"> na </w:t>
      </w:r>
      <w:r w:rsidR="00754908" w:rsidRPr="00AC6666">
        <w:rPr>
          <w:rFonts w:eastAsia="Arial"/>
          <w:szCs w:val="24"/>
        </w:rPr>
        <w:t>makroekonomické x mikroekonomické</w:t>
      </w:r>
      <w:r w:rsidR="00E045BA" w:rsidRPr="00AC6666">
        <w:rPr>
          <w:rFonts w:eastAsia="Arial"/>
          <w:szCs w:val="24"/>
        </w:rPr>
        <w:t xml:space="preserve">, </w:t>
      </w:r>
      <w:r w:rsidR="00E045BA" w:rsidRPr="00AC6666">
        <w:rPr>
          <w:rFonts w:eastAsia="Arial"/>
          <w:szCs w:val="24"/>
          <w:u w:val="single"/>
        </w:rPr>
        <w:t>c</w:t>
      </w:r>
      <w:r w:rsidR="00754908" w:rsidRPr="00AC6666">
        <w:rPr>
          <w:rFonts w:eastAsia="Arial"/>
          <w:szCs w:val="24"/>
          <w:u w:val="single"/>
        </w:rPr>
        <w:t>harakter</w:t>
      </w:r>
      <w:r w:rsidR="006F1D8F" w:rsidRPr="00AC6666">
        <w:rPr>
          <w:rFonts w:eastAsia="Arial"/>
          <w:szCs w:val="24"/>
          <w:u w:val="single"/>
        </w:rPr>
        <w:t>u</w:t>
      </w:r>
      <w:r w:rsidR="00754908" w:rsidRPr="00AC6666">
        <w:rPr>
          <w:rFonts w:eastAsia="Arial"/>
          <w:szCs w:val="24"/>
          <w:u w:val="single"/>
        </w:rPr>
        <w:t xml:space="preserve"> vlivu</w:t>
      </w:r>
      <w:r w:rsidR="00046A8D" w:rsidRPr="00AC6666">
        <w:rPr>
          <w:rFonts w:eastAsia="Arial"/>
          <w:szCs w:val="24"/>
        </w:rPr>
        <w:t xml:space="preserve"> na</w:t>
      </w:r>
      <w:r w:rsidR="00754908" w:rsidRPr="00AC6666">
        <w:rPr>
          <w:rFonts w:eastAsia="Arial"/>
          <w:szCs w:val="24"/>
        </w:rPr>
        <w:t xml:space="preserve"> přímé x nepřímé</w:t>
      </w:r>
      <w:r w:rsidR="00E045BA" w:rsidRPr="00AC6666">
        <w:rPr>
          <w:rFonts w:eastAsia="Arial"/>
          <w:szCs w:val="24"/>
        </w:rPr>
        <w:t xml:space="preserve">, nebo </w:t>
      </w:r>
      <w:r w:rsidR="00E045BA" w:rsidRPr="00AC6666">
        <w:rPr>
          <w:rFonts w:eastAsia="Arial"/>
          <w:szCs w:val="24"/>
          <w:u w:val="single"/>
        </w:rPr>
        <w:t>z</w:t>
      </w:r>
      <w:r w:rsidR="00754908" w:rsidRPr="00AC6666">
        <w:rPr>
          <w:rFonts w:eastAsia="Arial"/>
          <w:szCs w:val="24"/>
          <w:u w:val="single"/>
        </w:rPr>
        <w:t>působu ovlivňování</w:t>
      </w:r>
      <w:r w:rsidR="00046A8D" w:rsidRPr="00AC6666">
        <w:rPr>
          <w:rFonts w:eastAsia="Arial"/>
          <w:szCs w:val="24"/>
        </w:rPr>
        <w:t xml:space="preserve"> na</w:t>
      </w:r>
      <w:r w:rsidR="00754908" w:rsidRPr="00AC6666">
        <w:rPr>
          <w:rFonts w:eastAsia="Arial"/>
          <w:szCs w:val="24"/>
        </w:rPr>
        <w:t xml:space="preserve"> globální x selektivní</w:t>
      </w:r>
    </w:p>
    <w:p w14:paraId="50BD81F0" w14:textId="0D64585C" w:rsidR="00754908" w:rsidRDefault="00754908" w:rsidP="00754908">
      <w:pPr>
        <w:tabs>
          <w:tab w:val="left" w:pos="840"/>
        </w:tabs>
        <w:rPr>
          <w:rFonts w:eastAsia="Arial"/>
          <w:szCs w:val="24"/>
        </w:rPr>
      </w:pPr>
    </w:p>
    <w:p w14:paraId="5D9E7A24" w14:textId="23C0A42D" w:rsidR="006C264F" w:rsidRDefault="006C264F" w:rsidP="00754908">
      <w:pPr>
        <w:tabs>
          <w:tab w:val="left" w:pos="840"/>
        </w:tabs>
        <w:rPr>
          <w:rFonts w:eastAsia="Arial"/>
          <w:szCs w:val="24"/>
        </w:rPr>
      </w:pPr>
    </w:p>
    <w:p w14:paraId="306717CF" w14:textId="77777777" w:rsidR="006C264F" w:rsidRPr="00FC3B7C" w:rsidRDefault="006C264F" w:rsidP="00754908">
      <w:pPr>
        <w:tabs>
          <w:tab w:val="left" w:pos="840"/>
        </w:tabs>
        <w:rPr>
          <w:rFonts w:eastAsia="Arial"/>
          <w:szCs w:val="24"/>
        </w:rPr>
      </w:pPr>
    </w:p>
    <w:p w14:paraId="4A6F294F" w14:textId="77777777" w:rsidR="008E0F74" w:rsidRPr="006C264F" w:rsidRDefault="00256F29" w:rsidP="00FC3B7C">
      <w:pPr>
        <w:pStyle w:val="Nadpis3"/>
        <w:rPr>
          <w:rFonts w:cs="Times New Roman"/>
          <w:color w:val="1F3864" w:themeColor="accent1" w:themeShade="80"/>
          <w:sz w:val="20"/>
          <w:szCs w:val="20"/>
        </w:rPr>
      </w:pPr>
      <w:r w:rsidRPr="006C264F">
        <w:rPr>
          <w:rFonts w:eastAsia="Times New Roman" w:cs="Times New Roman"/>
          <w:color w:val="1F3864" w:themeColor="accent1" w:themeShade="80"/>
        </w:rPr>
        <w:lastRenderedPageBreak/>
        <w:t>Cíle HP</w:t>
      </w:r>
    </w:p>
    <w:p w14:paraId="4A6F2950" w14:textId="29EC041C" w:rsidR="008E0F74" w:rsidRPr="00AC6666" w:rsidRDefault="00256F29" w:rsidP="006C264F">
      <w:pPr>
        <w:spacing w:line="276" w:lineRule="auto"/>
        <w:rPr>
          <w:rFonts w:eastAsia="Times New Roman"/>
          <w:szCs w:val="24"/>
        </w:rPr>
      </w:pPr>
      <w:r w:rsidRPr="00AC6666">
        <w:rPr>
          <w:rFonts w:eastAsia="Times New Roman"/>
          <w:szCs w:val="24"/>
        </w:rPr>
        <w:t xml:space="preserve">Nejlépe je vyjadřuje </w:t>
      </w:r>
      <w:r w:rsidRPr="00AC6666">
        <w:rPr>
          <w:rFonts w:eastAsia="Times New Roman"/>
          <w:szCs w:val="24"/>
          <w:u w:val="single"/>
        </w:rPr>
        <w:t>„magický</w:t>
      </w:r>
      <w:r w:rsidRPr="00AC6666">
        <w:rPr>
          <w:rFonts w:eastAsia="Times New Roman"/>
          <w:szCs w:val="24"/>
        </w:rPr>
        <w:t xml:space="preserve"> </w:t>
      </w:r>
      <w:r w:rsidRPr="00AC6666">
        <w:rPr>
          <w:rFonts w:eastAsia="Times New Roman"/>
          <w:szCs w:val="24"/>
          <w:u w:val="single"/>
        </w:rPr>
        <w:t>trojúhelník“</w:t>
      </w:r>
      <w:r w:rsidR="005168A1" w:rsidRPr="00AC6666">
        <w:rPr>
          <w:rFonts w:eastAsia="Times New Roman"/>
          <w:szCs w:val="24"/>
        </w:rPr>
        <w:t xml:space="preserve"> nebo </w:t>
      </w:r>
      <w:r w:rsidR="005168A1" w:rsidRPr="00AC6666">
        <w:rPr>
          <w:rFonts w:eastAsia="Times New Roman"/>
          <w:szCs w:val="24"/>
          <w:u w:val="single"/>
        </w:rPr>
        <w:t>„magický čtyřúhelník</w:t>
      </w:r>
      <w:r w:rsidR="005168A1" w:rsidRPr="00AC6666">
        <w:rPr>
          <w:rFonts w:eastAsia="Times New Roman"/>
          <w:szCs w:val="24"/>
        </w:rPr>
        <w:t>“</w:t>
      </w:r>
      <w:r w:rsidR="00973845" w:rsidRPr="00AC6666">
        <w:rPr>
          <w:rFonts w:eastAsia="Times New Roman"/>
          <w:szCs w:val="24"/>
        </w:rPr>
        <w:t xml:space="preserve"> </w:t>
      </w:r>
      <w:r w:rsidR="0098176B" w:rsidRPr="00AC6666">
        <w:rPr>
          <w:rFonts w:eastAsia="Times New Roman"/>
          <w:szCs w:val="24"/>
        </w:rPr>
        <w:t xml:space="preserve">– </w:t>
      </w:r>
      <w:r w:rsidR="00C428FA" w:rsidRPr="00AC6666">
        <w:rPr>
          <w:rFonts w:eastAsia="Times New Roman"/>
          <w:szCs w:val="24"/>
        </w:rPr>
        <w:t>přidává se měření ekonomického růstu</w:t>
      </w:r>
      <w:r w:rsidR="006A5908" w:rsidRPr="00AC6666">
        <w:rPr>
          <w:rFonts w:eastAsia="Times New Roman"/>
          <w:szCs w:val="24"/>
        </w:rPr>
        <w:t xml:space="preserve">. </w:t>
      </w:r>
      <w:r w:rsidR="006C264F" w:rsidRPr="00AC6666">
        <w:rPr>
          <w:rFonts w:eastAsia="Times New Roman"/>
          <w:szCs w:val="24"/>
        </w:rPr>
        <w:t>M</w:t>
      </w:r>
      <w:r w:rsidRPr="00AC6666">
        <w:rPr>
          <w:rFonts w:eastAsia="Times New Roman"/>
          <w:szCs w:val="24"/>
        </w:rPr>
        <w:t xml:space="preserve">ezi jednotlivými </w:t>
      </w:r>
      <w:r w:rsidR="00CE28AF" w:rsidRPr="00AC6666">
        <w:rPr>
          <w:rFonts w:eastAsia="Times New Roman"/>
          <w:szCs w:val="24"/>
        </w:rPr>
        <w:t>cíli</w:t>
      </w:r>
      <w:r w:rsidRPr="00AC6666">
        <w:rPr>
          <w:rFonts w:eastAsia="Times New Roman"/>
          <w:szCs w:val="24"/>
        </w:rPr>
        <w:t xml:space="preserve"> existuje trade-off</w:t>
      </w:r>
    </w:p>
    <w:p w14:paraId="6EF3E7A3" w14:textId="77777777" w:rsidR="005E2596" w:rsidRPr="00AC6666" w:rsidRDefault="005E2596" w:rsidP="005E2596">
      <w:pPr>
        <w:spacing w:line="240" w:lineRule="auto"/>
        <w:jc w:val="left"/>
        <w:rPr>
          <w:rFonts w:eastAsia="Times New Roman"/>
          <w:b/>
          <w:bCs/>
          <w:szCs w:val="24"/>
        </w:rPr>
      </w:pPr>
    </w:p>
    <w:p w14:paraId="4D68A9BF" w14:textId="0627CD19" w:rsidR="005E2596" w:rsidRPr="00AC6666" w:rsidRDefault="005E2596" w:rsidP="005E2596">
      <w:pPr>
        <w:spacing w:line="240" w:lineRule="auto"/>
        <w:jc w:val="left"/>
        <w:rPr>
          <w:sz w:val="20"/>
          <w:szCs w:val="20"/>
        </w:rPr>
      </w:pPr>
      <w:r w:rsidRPr="00AC6666">
        <w:rPr>
          <w:rFonts w:eastAsia="Times New Roman"/>
          <w:b/>
          <w:bCs/>
          <w:szCs w:val="24"/>
        </w:rPr>
        <w:t>Obr. č. 1: Magický čtyřúhelník</w:t>
      </w:r>
    </w:p>
    <w:p w14:paraId="0BCA8067" w14:textId="16AB3FA2" w:rsidR="005168A1" w:rsidRPr="00FC3B7C" w:rsidRDefault="005168A1" w:rsidP="00462BE7">
      <w:pPr>
        <w:spacing w:line="276" w:lineRule="auto"/>
        <w:rPr>
          <w:sz w:val="20"/>
          <w:szCs w:val="20"/>
        </w:rPr>
      </w:pPr>
    </w:p>
    <w:p w14:paraId="4A6F2951" w14:textId="42B4DFF3" w:rsidR="008E0F74" w:rsidRPr="00FC3B7C" w:rsidRDefault="005168A1" w:rsidP="00462BE7">
      <w:pPr>
        <w:spacing w:line="276" w:lineRule="auto"/>
        <w:rPr>
          <w:sz w:val="20"/>
          <w:szCs w:val="20"/>
        </w:rPr>
      </w:pPr>
      <w:r w:rsidRPr="005168A1">
        <w:rPr>
          <w:noProof/>
          <w:sz w:val="20"/>
          <w:szCs w:val="20"/>
        </w:rPr>
        <w:drawing>
          <wp:anchor distT="0" distB="0" distL="114300" distR="114300" simplePos="0" relativeHeight="251610624" behindDoc="1" locked="0" layoutInCell="1" allowOverlap="1" wp14:anchorId="19955181" wp14:editId="34D9C6BE">
            <wp:simplePos x="0" y="0"/>
            <wp:positionH relativeFrom="column">
              <wp:posOffset>0</wp:posOffset>
            </wp:positionH>
            <wp:positionV relativeFrom="paragraph">
              <wp:posOffset>12065</wp:posOffset>
            </wp:positionV>
            <wp:extent cx="5060950" cy="2844800"/>
            <wp:effectExtent l="0" t="0" r="6350" b="0"/>
            <wp:wrapTight wrapText="bothSides">
              <wp:wrapPolygon edited="0">
                <wp:start x="0" y="0"/>
                <wp:lineTo x="0" y="21407"/>
                <wp:lineTo x="21546" y="21407"/>
                <wp:lineTo x="21546" y="0"/>
                <wp:lineTo x="0" y="0"/>
              </wp:wrapPolygon>
            </wp:wrapTight>
            <wp:docPr id="16" name="Picture 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C2A6DDF-2E78-4726-B48D-1A463145EC3E}"/>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Picture 2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C2A6DDF-2E78-4726-B48D-1A463145EC3E}"/>
                        </a:ext>
                      </a:extLst>
                    </pic:cNvPr>
                    <pic:cNvPicPr>
                      <a:picLocks noGrp="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60950" cy="2844800"/>
                    </a:xfrm>
                    <a:prstGeom prst="rect">
                      <a:avLst/>
                    </a:prstGeom>
                    <a:noFill/>
                  </pic:spPr>
                </pic:pic>
              </a:graphicData>
            </a:graphic>
            <wp14:sizeRelH relativeFrom="margin">
              <wp14:pctWidth>0</wp14:pctWidth>
            </wp14:sizeRelH>
            <wp14:sizeRelV relativeFrom="margin">
              <wp14:pctHeight>0</wp14:pctHeight>
            </wp14:sizeRelV>
          </wp:anchor>
        </w:drawing>
      </w:r>
    </w:p>
    <w:p w14:paraId="096FEBBC" w14:textId="77777777" w:rsidR="004B360B" w:rsidRDefault="004B360B" w:rsidP="004B360B">
      <w:pPr>
        <w:tabs>
          <w:tab w:val="left" w:pos="1000"/>
        </w:tabs>
        <w:spacing w:line="276" w:lineRule="auto"/>
        <w:rPr>
          <w:rFonts w:eastAsia="Times New Roman"/>
          <w:b/>
          <w:bCs/>
          <w:szCs w:val="24"/>
        </w:rPr>
      </w:pPr>
    </w:p>
    <w:p w14:paraId="69B55581" w14:textId="77777777" w:rsidR="004B360B" w:rsidRDefault="004B360B" w:rsidP="004B360B">
      <w:pPr>
        <w:tabs>
          <w:tab w:val="left" w:pos="1000"/>
        </w:tabs>
        <w:spacing w:line="276" w:lineRule="auto"/>
        <w:rPr>
          <w:rFonts w:eastAsia="Times New Roman"/>
          <w:b/>
          <w:bCs/>
          <w:szCs w:val="24"/>
        </w:rPr>
      </w:pPr>
    </w:p>
    <w:p w14:paraId="08684B93" w14:textId="77777777" w:rsidR="004B360B" w:rsidRDefault="004B360B" w:rsidP="004B360B">
      <w:pPr>
        <w:tabs>
          <w:tab w:val="left" w:pos="1000"/>
        </w:tabs>
        <w:spacing w:line="276" w:lineRule="auto"/>
        <w:rPr>
          <w:rFonts w:eastAsia="Times New Roman"/>
          <w:b/>
          <w:bCs/>
          <w:szCs w:val="24"/>
        </w:rPr>
      </w:pPr>
    </w:p>
    <w:p w14:paraId="2A87D6FC" w14:textId="77777777" w:rsidR="004B360B" w:rsidRDefault="004B360B" w:rsidP="004B360B">
      <w:pPr>
        <w:tabs>
          <w:tab w:val="left" w:pos="1000"/>
        </w:tabs>
        <w:spacing w:line="276" w:lineRule="auto"/>
        <w:rPr>
          <w:rFonts w:eastAsia="Times New Roman"/>
          <w:b/>
          <w:bCs/>
          <w:szCs w:val="24"/>
        </w:rPr>
      </w:pPr>
    </w:p>
    <w:p w14:paraId="53FC5E78" w14:textId="77777777" w:rsidR="004B360B" w:rsidRDefault="004B360B" w:rsidP="004B360B">
      <w:pPr>
        <w:tabs>
          <w:tab w:val="left" w:pos="1000"/>
        </w:tabs>
        <w:spacing w:line="276" w:lineRule="auto"/>
        <w:rPr>
          <w:rFonts w:eastAsia="Times New Roman"/>
          <w:b/>
          <w:bCs/>
          <w:szCs w:val="24"/>
        </w:rPr>
      </w:pPr>
    </w:p>
    <w:p w14:paraId="6DE7DE14" w14:textId="77777777" w:rsidR="004B360B" w:rsidRDefault="004B360B" w:rsidP="004B360B">
      <w:pPr>
        <w:tabs>
          <w:tab w:val="left" w:pos="1000"/>
        </w:tabs>
        <w:spacing w:line="276" w:lineRule="auto"/>
        <w:rPr>
          <w:rFonts w:eastAsia="Times New Roman"/>
          <w:b/>
          <w:bCs/>
          <w:szCs w:val="24"/>
        </w:rPr>
      </w:pPr>
    </w:p>
    <w:p w14:paraId="6B31C48C" w14:textId="77777777" w:rsidR="004B360B" w:rsidRDefault="004B360B" w:rsidP="004B360B">
      <w:pPr>
        <w:tabs>
          <w:tab w:val="left" w:pos="1000"/>
        </w:tabs>
        <w:spacing w:line="276" w:lineRule="auto"/>
        <w:rPr>
          <w:rFonts w:eastAsia="Times New Roman"/>
          <w:b/>
          <w:bCs/>
          <w:szCs w:val="24"/>
        </w:rPr>
      </w:pPr>
    </w:p>
    <w:p w14:paraId="2193770D" w14:textId="77777777" w:rsidR="004B360B" w:rsidRDefault="004B360B" w:rsidP="004B360B">
      <w:pPr>
        <w:tabs>
          <w:tab w:val="left" w:pos="1000"/>
        </w:tabs>
        <w:spacing w:line="276" w:lineRule="auto"/>
        <w:rPr>
          <w:rFonts w:eastAsia="Times New Roman"/>
          <w:b/>
          <w:bCs/>
          <w:szCs w:val="24"/>
        </w:rPr>
      </w:pPr>
    </w:p>
    <w:p w14:paraId="21662AED" w14:textId="77777777" w:rsidR="004B360B" w:rsidRDefault="004B360B" w:rsidP="004B360B">
      <w:pPr>
        <w:tabs>
          <w:tab w:val="left" w:pos="1000"/>
        </w:tabs>
        <w:spacing w:line="276" w:lineRule="auto"/>
        <w:rPr>
          <w:rFonts w:eastAsia="Times New Roman"/>
          <w:b/>
          <w:bCs/>
          <w:szCs w:val="24"/>
        </w:rPr>
      </w:pPr>
    </w:p>
    <w:p w14:paraId="20B08693" w14:textId="77777777" w:rsidR="004B360B" w:rsidRDefault="004B360B" w:rsidP="004B360B">
      <w:pPr>
        <w:tabs>
          <w:tab w:val="left" w:pos="1000"/>
        </w:tabs>
        <w:spacing w:line="276" w:lineRule="auto"/>
        <w:rPr>
          <w:rFonts w:eastAsia="Times New Roman"/>
          <w:b/>
          <w:bCs/>
          <w:szCs w:val="24"/>
        </w:rPr>
      </w:pPr>
    </w:p>
    <w:p w14:paraId="1A4A9F3C" w14:textId="52250263" w:rsidR="004B360B" w:rsidRDefault="004B360B" w:rsidP="004B360B">
      <w:pPr>
        <w:tabs>
          <w:tab w:val="left" w:pos="1000"/>
        </w:tabs>
        <w:spacing w:line="276" w:lineRule="auto"/>
        <w:rPr>
          <w:rFonts w:eastAsia="Times New Roman"/>
          <w:b/>
          <w:bCs/>
          <w:szCs w:val="24"/>
        </w:rPr>
      </w:pPr>
    </w:p>
    <w:p w14:paraId="70D973FE" w14:textId="6143C3EB" w:rsidR="002A3B0C" w:rsidRDefault="002A3B0C" w:rsidP="004B360B">
      <w:pPr>
        <w:tabs>
          <w:tab w:val="left" w:pos="1000"/>
        </w:tabs>
        <w:spacing w:line="276" w:lineRule="auto"/>
        <w:rPr>
          <w:rFonts w:eastAsia="Times New Roman"/>
          <w:b/>
          <w:bCs/>
          <w:szCs w:val="24"/>
        </w:rPr>
      </w:pPr>
    </w:p>
    <w:p w14:paraId="7FBFF6E4" w14:textId="026F97F2" w:rsidR="002A3B0C" w:rsidRDefault="002A3B0C" w:rsidP="004B360B">
      <w:pPr>
        <w:tabs>
          <w:tab w:val="left" w:pos="1000"/>
        </w:tabs>
        <w:spacing w:line="276" w:lineRule="auto"/>
        <w:rPr>
          <w:rFonts w:eastAsia="Times New Roman"/>
          <w:b/>
          <w:bCs/>
          <w:szCs w:val="24"/>
        </w:rPr>
      </w:pPr>
    </w:p>
    <w:p w14:paraId="0E24CFFF" w14:textId="354C1C24" w:rsidR="002A3B0C" w:rsidRDefault="002A3B0C" w:rsidP="004B360B">
      <w:pPr>
        <w:tabs>
          <w:tab w:val="left" w:pos="1000"/>
        </w:tabs>
        <w:spacing w:line="276" w:lineRule="auto"/>
        <w:rPr>
          <w:rFonts w:eastAsia="Times New Roman"/>
          <w:b/>
          <w:bCs/>
          <w:szCs w:val="24"/>
        </w:rPr>
      </w:pPr>
    </w:p>
    <w:p w14:paraId="43E06BE4" w14:textId="73218A03" w:rsidR="002A3B0C" w:rsidRPr="00A54229" w:rsidRDefault="002A3B0C" w:rsidP="004B360B">
      <w:pPr>
        <w:tabs>
          <w:tab w:val="left" w:pos="1000"/>
        </w:tabs>
        <w:spacing w:line="276" w:lineRule="auto"/>
        <w:rPr>
          <w:rFonts w:eastAsia="Times New Roman"/>
          <w:b/>
          <w:bCs/>
          <w:szCs w:val="24"/>
        </w:rPr>
      </w:pPr>
      <w:r w:rsidRPr="00A54229">
        <w:rPr>
          <w:rFonts w:eastAsia="Times New Roman"/>
          <w:sz w:val="20"/>
          <w:szCs w:val="20"/>
        </w:rPr>
        <w:t>Zdroj:</w:t>
      </w:r>
      <w:r w:rsidR="00A54229" w:rsidRPr="00A54229">
        <w:rPr>
          <w:rFonts w:eastAsia="Times New Roman"/>
          <w:sz w:val="20"/>
          <w:szCs w:val="20"/>
        </w:rPr>
        <w:t xml:space="preserve"> </w:t>
      </w:r>
      <w:hyperlink r:id="rId17" w:history="1">
        <w:r w:rsidR="00A54229" w:rsidRPr="00A54229">
          <w:rPr>
            <w:rStyle w:val="Hypertextovodkaz"/>
            <w:rFonts w:eastAsia="Times New Roman"/>
            <w:color w:val="auto"/>
            <w:sz w:val="20"/>
            <w:szCs w:val="20"/>
          </w:rPr>
          <w:t>http://roana.blog.cz/1205/makroekonomicka-uloha-statu</w:t>
        </w:r>
      </w:hyperlink>
    </w:p>
    <w:p w14:paraId="1ECB4D08" w14:textId="77777777" w:rsidR="004B360B" w:rsidRPr="006C264F" w:rsidRDefault="004B360B" w:rsidP="004B360B">
      <w:pPr>
        <w:tabs>
          <w:tab w:val="left" w:pos="1000"/>
        </w:tabs>
        <w:spacing w:line="276" w:lineRule="auto"/>
        <w:rPr>
          <w:rFonts w:eastAsia="Times New Roman"/>
          <w:b/>
          <w:bCs/>
          <w:color w:val="FF0000"/>
          <w:szCs w:val="24"/>
        </w:rPr>
      </w:pPr>
    </w:p>
    <w:p w14:paraId="4A6F2952" w14:textId="372F0B00" w:rsidR="008E0F74" w:rsidRPr="00AC6666" w:rsidRDefault="004B360B" w:rsidP="004B360B">
      <w:pPr>
        <w:tabs>
          <w:tab w:val="left" w:pos="1000"/>
        </w:tabs>
        <w:spacing w:line="276" w:lineRule="auto"/>
        <w:rPr>
          <w:rFonts w:eastAsia="Arial"/>
          <w:b/>
          <w:bCs/>
          <w:szCs w:val="24"/>
        </w:rPr>
      </w:pPr>
      <w:r w:rsidRPr="00AC6666">
        <w:rPr>
          <w:rFonts w:eastAsia="Times New Roman"/>
          <w:b/>
          <w:bCs/>
          <w:szCs w:val="24"/>
        </w:rPr>
        <w:t>V</w:t>
      </w:r>
      <w:r w:rsidR="00256F29" w:rsidRPr="00AC6666">
        <w:rPr>
          <w:rFonts w:eastAsia="Times New Roman"/>
          <w:b/>
          <w:bCs/>
          <w:szCs w:val="24"/>
        </w:rPr>
        <w:t>nitřní stabilita</w:t>
      </w:r>
    </w:p>
    <w:p w14:paraId="4A6F2953" w14:textId="77777777" w:rsidR="008E0F74" w:rsidRPr="00AC6666" w:rsidRDefault="008E0F74" w:rsidP="00462BE7">
      <w:pPr>
        <w:spacing w:line="276" w:lineRule="auto"/>
        <w:rPr>
          <w:rFonts w:eastAsia="Arial"/>
          <w:szCs w:val="24"/>
        </w:rPr>
      </w:pPr>
    </w:p>
    <w:p w14:paraId="4A6F2955" w14:textId="693EC914" w:rsidR="008E0F74" w:rsidRPr="00AC6666" w:rsidRDefault="00256F29" w:rsidP="00462BE7">
      <w:pPr>
        <w:numPr>
          <w:ilvl w:val="1"/>
          <w:numId w:val="5"/>
        </w:numPr>
        <w:tabs>
          <w:tab w:val="left" w:pos="1500"/>
        </w:tabs>
        <w:spacing w:line="276" w:lineRule="auto"/>
        <w:ind w:left="1500" w:hanging="362"/>
        <w:rPr>
          <w:rFonts w:eastAsia="Times New Roman"/>
          <w:szCs w:val="24"/>
        </w:rPr>
      </w:pPr>
      <w:r w:rsidRPr="00AC6666">
        <w:rPr>
          <w:rFonts w:eastAsia="Times New Roman"/>
          <w:szCs w:val="24"/>
          <w:u w:val="single"/>
        </w:rPr>
        <w:t>zabezpečení plné zaměstnanosti</w:t>
      </w:r>
      <w:r w:rsidRPr="00AC6666">
        <w:rPr>
          <w:rFonts w:eastAsia="Times New Roman"/>
          <w:szCs w:val="24"/>
        </w:rPr>
        <w:t xml:space="preserve"> (tzn. na přirozené úrovni nezaměstnanosti)</w:t>
      </w:r>
    </w:p>
    <w:p w14:paraId="4A6F2957" w14:textId="38733C72" w:rsidR="008E0F74" w:rsidRPr="00AC6666" w:rsidRDefault="00256F29" w:rsidP="00350763">
      <w:pPr>
        <w:numPr>
          <w:ilvl w:val="1"/>
          <w:numId w:val="5"/>
        </w:numPr>
        <w:tabs>
          <w:tab w:val="left" w:pos="1500"/>
        </w:tabs>
        <w:spacing w:line="276" w:lineRule="auto"/>
        <w:ind w:left="1500" w:right="220" w:hanging="362"/>
        <w:rPr>
          <w:rFonts w:eastAsia="Times New Roman"/>
          <w:szCs w:val="24"/>
        </w:rPr>
      </w:pPr>
      <w:r w:rsidRPr="00AC6666">
        <w:rPr>
          <w:rFonts w:eastAsia="Times New Roman"/>
          <w:szCs w:val="24"/>
          <w:u w:val="single"/>
        </w:rPr>
        <w:t>udržení cenové stability</w:t>
      </w:r>
      <w:r w:rsidRPr="00AC6666">
        <w:rPr>
          <w:rFonts w:eastAsia="Times New Roman"/>
          <w:szCs w:val="24"/>
        </w:rPr>
        <w:t xml:space="preserve"> (</w:t>
      </w:r>
      <w:r w:rsidR="00875CCD" w:rsidRPr="00AC6666">
        <w:rPr>
          <w:rFonts w:eastAsia="Times New Roman"/>
          <w:szCs w:val="24"/>
        </w:rPr>
        <w:t xml:space="preserve">inflace 1-2%, růst produktivity práce) </w:t>
      </w:r>
    </w:p>
    <w:p w14:paraId="37E2B629" w14:textId="77777777" w:rsidR="00875CCD" w:rsidRPr="00AC6666" w:rsidRDefault="00875CCD" w:rsidP="00875CCD">
      <w:pPr>
        <w:tabs>
          <w:tab w:val="left" w:pos="1500"/>
        </w:tabs>
        <w:spacing w:line="276" w:lineRule="auto"/>
        <w:ind w:right="220"/>
        <w:rPr>
          <w:rFonts w:eastAsia="Times New Roman"/>
          <w:szCs w:val="24"/>
        </w:rPr>
      </w:pPr>
    </w:p>
    <w:p w14:paraId="4A6F2958" w14:textId="016B367E" w:rsidR="008E0F74" w:rsidRPr="00AC6666" w:rsidRDefault="004B360B" w:rsidP="00CA417E">
      <w:pPr>
        <w:tabs>
          <w:tab w:val="left" w:pos="1000"/>
        </w:tabs>
        <w:spacing w:line="276" w:lineRule="auto"/>
        <w:rPr>
          <w:rFonts w:eastAsia="Times New Roman"/>
          <w:szCs w:val="24"/>
        </w:rPr>
      </w:pPr>
      <w:r w:rsidRPr="00AC6666">
        <w:rPr>
          <w:rFonts w:eastAsia="Times New Roman"/>
          <w:b/>
          <w:bCs/>
          <w:szCs w:val="24"/>
        </w:rPr>
        <w:t>V</w:t>
      </w:r>
      <w:r w:rsidR="00256F29" w:rsidRPr="00AC6666">
        <w:rPr>
          <w:rFonts w:eastAsia="Times New Roman"/>
          <w:b/>
          <w:bCs/>
          <w:szCs w:val="24"/>
        </w:rPr>
        <w:t>nější stabilita</w:t>
      </w:r>
      <w:r w:rsidR="00CA417E" w:rsidRPr="00AC6666">
        <w:rPr>
          <w:rFonts w:eastAsia="Times New Roman"/>
          <w:szCs w:val="24"/>
        </w:rPr>
        <w:t xml:space="preserve"> - </w:t>
      </w:r>
      <w:r w:rsidR="00256F29" w:rsidRPr="00AC6666">
        <w:rPr>
          <w:rFonts w:eastAsia="Times New Roman"/>
          <w:szCs w:val="24"/>
        </w:rPr>
        <w:t xml:space="preserve">především udržení </w:t>
      </w:r>
      <w:r w:rsidR="00256F29" w:rsidRPr="00AC6666">
        <w:rPr>
          <w:rFonts w:eastAsia="Times New Roman"/>
          <w:szCs w:val="24"/>
          <w:u w:val="single"/>
        </w:rPr>
        <w:t>rovnovážné platební bilan</w:t>
      </w:r>
      <w:r w:rsidR="00CA417E" w:rsidRPr="00AC6666">
        <w:rPr>
          <w:rFonts w:eastAsia="Times New Roman"/>
          <w:szCs w:val="24"/>
          <w:u w:val="single"/>
        </w:rPr>
        <w:t xml:space="preserve">ce </w:t>
      </w:r>
      <w:r w:rsidRPr="00AC6666">
        <w:rPr>
          <w:rFonts w:eastAsia="Times New Roman"/>
          <w:szCs w:val="24"/>
        </w:rPr>
        <w:t>(obchodní bilance x bilance služeb x platební bilance)</w:t>
      </w:r>
    </w:p>
    <w:p w14:paraId="4A6F295B" w14:textId="77777777" w:rsidR="008E0F74" w:rsidRPr="00FC3B7C" w:rsidRDefault="008E0F74">
      <w:pPr>
        <w:spacing w:line="200" w:lineRule="exact"/>
        <w:rPr>
          <w:sz w:val="20"/>
          <w:szCs w:val="20"/>
        </w:rPr>
      </w:pPr>
    </w:p>
    <w:p w14:paraId="4A6F295C" w14:textId="77777777" w:rsidR="008E0F74" w:rsidRPr="00FC3B7C" w:rsidRDefault="008E0F74">
      <w:pPr>
        <w:spacing w:line="231" w:lineRule="exact"/>
        <w:rPr>
          <w:sz w:val="20"/>
          <w:szCs w:val="20"/>
        </w:rPr>
      </w:pPr>
    </w:p>
    <w:p w14:paraId="4A6F295D" w14:textId="77777777" w:rsidR="008E0F74" w:rsidRPr="006C264F" w:rsidRDefault="00256F29" w:rsidP="00FC3B7C">
      <w:pPr>
        <w:pStyle w:val="Nadpis2"/>
        <w:rPr>
          <w:rFonts w:cs="Times New Roman"/>
          <w:color w:val="1F3864" w:themeColor="accent1" w:themeShade="80"/>
          <w:sz w:val="20"/>
          <w:szCs w:val="20"/>
        </w:rPr>
      </w:pPr>
      <w:r w:rsidRPr="006C264F">
        <w:rPr>
          <w:rFonts w:eastAsia="Times New Roman" w:cs="Times New Roman"/>
          <w:color w:val="1F3864" w:themeColor="accent1" w:themeShade="80"/>
        </w:rPr>
        <w:t>HOSPODÁŘSKÉ SYSTÉMY</w:t>
      </w:r>
    </w:p>
    <w:p w14:paraId="4A6F295E" w14:textId="4E6B3C44" w:rsidR="008E0F74" w:rsidRPr="00AC6666" w:rsidRDefault="00256F29" w:rsidP="00AC6666">
      <w:pPr>
        <w:spacing w:line="240" w:lineRule="auto"/>
        <w:rPr>
          <w:rFonts w:eastAsia="Times New Roman"/>
        </w:rPr>
      </w:pPr>
      <w:r w:rsidRPr="00FC3B7C">
        <w:rPr>
          <w:rFonts w:eastAsia="Times New Roman"/>
        </w:rPr>
        <w:t xml:space="preserve">HP se vytváří v určitém prostředí té které země. V každé zemi jsou jiné zvyky, tradice, názory či náboženské vnímání – to všechno se promítá do hospodářské politiky. Kromě toho HP ovlivňuje i soustava institucionálních podmínek, především hospodářský systém </w:t>
      </w:r>
      <w:r w:rsidR="00462BE7">
        <w:rPr>
          <w:rFonts w:eastAsia="Times New Roman"/>
        </w:rPr>
        <w:br/>
      </w:r>
      <w:r w:rsidRPr="00FC3B7C">
        <w:rPr>
          <w:rFonts w:eastAsia="Times New Roman"/>
        </w:rPr>
        <w:t xml:space="preserve">(typ </w:t>
      </w:r>
      <w:r w:rsidRPr="00AC6666">
        <w:rPr>
          <w:rFonts w:eastAsia="Times New Roman"/>
        </w:rPr>
        <w:t>uspořádání ekonomiky):</w:t>
      </w:r>
    </w:p>
    <w:p w14:paraId="4A6F295F" w14:textId="5A1FFFB2" w:rsidR="008E0F74" w:rsidRPr="00AC6666" w:rsidRDefault="0012345A" w:rsidP="00AC6666">
      <w:pPr>
        <w:pStyle w:val="Odstavecseseznamem"/>
        <w:numPr>
          <w:ilvl w:val="0"/>
          <w:numId w:val="5"/>
        </w:numPr>
        <w:spacing w:line="276" w:lineRule="auto"/>
        <w:rPr>
          <w:rFonts w:eastAsia="Times New Roman"/>
          <w:u w:val="single"/>
        </w:rPr>
      </w:pPr>
      <w:r w:rsidRPr="00AC6666">
        <w:rPr>
          <w:rFonts w:eastAsia="Times New Roman"/>
          <w:u w:val="single"/>
        </w:rPr>
        <w:t xml:space="preserve">Institucionální podmínky </w:t>
      </w:r>
    </w:p>
    <w:p w14:paraId="5BDA60C9" w14:textId="77777777" w:rsidR="00BF5557" w:rsidRPr="00AC6666" w:rsidRDefault="00BF5557" w:rsidP="00AC6666">
      <w:pPr>
        <w:numPr>
          <w:ilvl w:val="0"/>
          <w:numId w:val="6"/>
        </w:numPr>
        <w:tabs>
          <w:tab w:val="left" w:pos="1420"/>
        </w:tabs>
        <w:spacing w:line="276" w:lineRule="auto"/>
        <w:ind w:left="1420" w:hanging="350"/>
        <w:rPr>
          <w:rFonts w:eastAsia="Arial"/>
          <w:szCs w:val="24"/>
        </w:rPr>
      </w:pPr>
      <w:r w:rsidRPr="00AC6666">
        <w:rPr>
          <w:rFonts w:eastAsia="Arial"/>
          <w:szCs w:val="24"/>
        </w:rPr>
        <w:t xml:space="preserve">hospodářský systém </w:t>
      </w:r>
    </w:p>
    <w:p w14:paraId="4A6F2960" w14:textId="77777777" w:rsidR="008E0F74" w:rsidRPr="00AC6666" w:rsidRDefault="00256F29" w:rsidP="00AC6666">
      <w:pPr>
        <w:numPr>
          <w:ilvl w:val="0"/>
          <w:numId w:val="6"/>
        </w:numPr>
        <w:tabs>
          <w:tab w:val="left" w:pos="1420"/>
        </w:tabs>
        <w:spacing w:line="276" w:lineRule="auto"/>
        <w:ind w:left="1420" w:hanging="350"/>
        <w:rPr>
          <w:rFonts w:eastAsia="Arial"/>
          <w:szCs w:val="24"/>
        </w:rPr>
      </w:pPr>
      <w:r w:rsidRPr="00AC6666">
        <w:rPr>
          <w:rFonts w:eastAsia="Times New Roman"/>
          <w:szCs w:val="24"/>
        </w:rPr>
        <w:t>politický systém (politické strany a politické síly)</w:t>
      </w:r>
    </w:p>
    <w:p w14:paraId="4A6F2961" w14:textId="5E4AE3F2" w:rsidR="008E0F74" w:rsidRPr="00AC6666" w:rsidRDefault="00256F29" w:rsidP="00AC6666">
      <w:pPr>
        <w:numPr>
          <w:ilvl w:val="0"/>
          <w:numId w:val="6"/>
        </w:numPr>
        <w:tabs>
          <w:tab w:val="left" w:pos="1420"/>
        </w:tabs>
        <w:spacing w:line="276" w:lineRule="auto"/>
        <w:ind w:left="1420" w:hanging="350"/>
        <w:rPr>
          <w:rFonts w:eastAsia="Arial"/>
          <w:szCs w:val="24"/>
        </w:rPr>
      </w:pPr>
      <w:r w:rsidRPr="00AC6666">
        <w:rPr>
          <w:rFonts w:eastAsia="Times New Roman"/>
          <w:szCs w:val="24"/>
        </w:rPr>
        <w:t>byrokracie</w:t>
      </w:r>
    </w:p>
    <w:p w14:paraId="7A179B32" w14:textId="2B8D78DC" w:rsidR="00BF5557" w:rsidRPr="00AC6666" w:rsidRDefault="00BF5557" w:rsidP="00AC6666">
      <w:pPr>
        <w:pStyle w:val="Odstavecseseznamem"/>
        <w:numPr>
          <w:ilvl w:val="0"/>
          <w:numId w:val="5"/>
        </w:numPr>
        <w:tabs>
          <w:tab w:val="left" w:pos="1420"/>
        </w:tabs>
        <w:spacing w:line="276" w:lineRule="auto"/>
        <w:rPr>
          <w:rFonts w:eastAsia="Arial"/>
          <w:szCs w:val="24"/>
          <w:u w:val="single"/>
        </w:rPr>
      </w:pPr>
      <w:r w:rsidRPr="00AC6666">
        <w:rPr>
          <w:rFonts w:eastAsia="Arial"/>
          <w:szCs w:val="24"/>
          <w:u w:val="single"/>
        </w:rPr>
        <w:t>další podmínky</w:t>
      </w:r>
    </w:p>
    <w:p w14:paraId="4A6F2962" w14:textId="5ED73FBB" w:rsidR="008E0F74" w:rsidRPr="00AC6666" w:rsidRDefault="00256F29" w:rsidP="00AC6666">
      <w:pPr>
        <w:numPr>
          <w:ilvl w:val="0"/>
          <w:numId w:val="6"/>
        </w:numPr>
        <w:tabs>
          <w:tab w:val="left" w:pos="1420"/>
        </w:tabs>
        <w:spacing w:line="276" w:lineRule="auto"/>
        <w:ind w:left="1420" w:hanging="350"/>
        <w:rPr>
          <w:rFonts w:eastAsia="Arial"/>
          <w:szCs w:val="24"/>
        </w:rPr>
      </w:pPr>
      <w:r w:rsidRPr="00AC6666">
        <w:rPr>
          <w:rFonts w:eastAsia="Times New Roman"/>
          <w:szCs w:val="24"/>
        </w:rPr>
        <w:t xml:space="preserve">velké </w:t>
      </w:r>
      <w:r w:rsidR="00C3065D" w:rsidRPr="00AC6666">
        <w:rPr>
          <w:rFonts w:eastAsia="Times New Roman"/>
          <w:szCs w:val="24"/>
        </w:rPr>
        <w:t>zájmové skupiny</w:t>
      </w:r>
    </w:p>
    <w:p w14:paraId="4A6F2963" w14:textId="7F32EB84" w:rsidR="008E0F74" w:rsidRPr="00AC6666" w:rsidRDefault="00256F29" w:rsidP="00AC6666">
      <w:pPr>
        <w:numPr>
          <w:ilvl w:val="0"/>
          <w:numId w:val="6"/>
        </w:numPr>
        <w:tabs>
          <w:tab w:val="left" w:pos="1420"/>
        </w:tabs>
        <w:spacing w:line="276" w:lineRule="auto"/>
        <w:ind w:left="1420" w:hanging="350"/>
        <w:rPr>
          <w:rFonts w:eastAsia="Arial"/>
          <w:szCs w:val="24"/>
        </w:rPr>
      </w:pPr>
      <w:r w:rsidRPr="00AC6666">
        <w:rPr>
          <w:rFonts w:eastAsia="Times New Roman"/>
          <w:szCs w:val="24"/>
        </w:rPr>
        <w:t>nadnárodní</w:t>
      </w:r>
      <w:r w:rsidR="00C3065D" w:rsidRPr="00AC6666">
        <w:rPr>
          <w:rFonts w:eastAsia="Times New Roman"/>
          <w:szCs w:val="24"/>
        </w:rPr>
        <w:t>,</w:t>
      </w:r>
      <w:r w:rsidRPr="00AC6666">
        <w:rPr>
          <w:rFonts w:eastAsia="Times New Roman"/>
          <w:szCs w:val="24"/>
        </w:rPr>
        <w:t xml:space="preserve"> mezinárodní organizace</w:t>
      </w:r>
      <w:r w:rsidR="00C3065D" w:rsidRPr="00AC6666">
        <w:rPr>
          <w:rFonts w:eastAsia="Times New Roman"/>
          <w:szCs w:val="24"/>
        </w:rPr>
        <w:t xml:space="preserve"> a </w:t>
      </w:r>
      <w:r w:rsidR="0012345A" w:rsidRPr="00AC6666">
        <w:rPr>
          <w:rFonts w:eastAsia="Arial"/>
          <w:szCs w:val="24"/>
        </w:rPr>
        <w:t>integrační uskupení</w:t>
      </w:r>
    </w:p>
    <w:p w14:paraId="7AE48D0B" w14:textId="77777777" w:rsidR="0012345A" w:rsidRPr="00FC3B7C" w:rsidRDefault="0012345A" w:rsidP="0012345A">
      <w:pPr>
        <w:tabs>
          <w:tab w:val="left" w:pos="1420"/>
        </w:tabs>
        <w:rPr>
          <w:rFonts w:eastAsia="Arial"/>
          <w:szCs w:val="24"/>
        </w:rPr>
      </w:pPr>
    </w:p>
    <w:p w14:paraId="4A6F2964" w14:textId="1A8D8F45" w:rsidR="008E0F74" w:rsidRPr="006C264F" w:rsidRDefault="00256F29" w:rsidP="00FC3B7C">
      <w:pPr>
        <w:pStyle w:val="Nadpis3"/>
        <w:rPr>
          <w:rFonts w:eastAsia="Times New Roman" w:cs="Times New Roman"/>
          <w:color w:val="1F3864" w:themeColor="accent1" w:themeShade="80"/>
        </w:rPr>
      </w:pPr>
      <w:r w:rsidRPr="006C264F">
        <w:rPr>
          <w:rFonts w:eastAsia="Times New Roman" w:cs="Times New Roman"/>
          <w:color w:val="1F3864" w:themeColor="accent1" w:themeShade="80"/>
        </w:rPr>
        <w:lastRenderedPageBreak/>
        <w:t>Tržně cenový koordinační systém</w:t>
      </w:r>
    </w:p>
    <w:p w14:paraId="79312F9E" w14:textId="77777777" w:rsidR="00710A04" w:rsidRPr="00AC6666" w:rsidRDefault="00710A04" w:rsidP="00710A04">
      <w:r>
        <w:t xml:space="preserve">Tržní systém představuje ekonomickou soustavu s decentralizovaným rozhodováním velkého počtu tržních subjektů (firem, domácností i států), která rozhoduje o ekonomické činnosti </w:t>
      </w:r>
      <w:r w:rsidRPr="00AC6666">
        <w:t xml:space="preserve">prostřednictvím nabídky, poptávky a tržní ceny. Jedná se o otevřený tržní systém, kde cena vzniká interakcemi velikého počtu tržních subjektů - mezi </w:t>
      </w:r>
      <w:r w:rsidRPr="00AC6666">
        <w:rPr>
          <w:i/>
        </w:rPr>
        <w:t xml:space="preserve">S </w:t>
      </w:r>
      <w:r w:rsidRPr="00AC6666">
        <w:t xml:space="preserve">a </w:t>
      </w:r>
      <w:r w:rsidRPr="00AC6666">
        <w:rPr>
          <w:i/>
        </w:rPr>
        <w:t>D</w:t>
      </w:r>
      <w:r w:rsidRPr="00AC6666">
        <w:t>. Volný pohyb cen poskytuje informace o vzácnosti faktorů, vede k jejich optimálnímu využívání a k maximalizaci požadovaných efektů. Zásadním úkolem HP je vytvoření funkčního hospodářského systému založeného na tržních principech - to mimo jiné znamená i zabezpečení volné tvorby cen bez zásahů státu</w:t>
      </w:r>
      <w:bookmarkStart w:id="9" w:name="4d34og8" w:colFirst="0" w:colLast="0"/>
      <w:bookmarkEnd w:id="9"/>
      <w:r w:rsidRPr="00AC6666">
        <w:t xml:space="preserve"> nebo podniků s dominantním postavením. Všem subjektům musí být zpřístupněny veškeré informace, které ovlivňují jejich rozhodování.</w:t>
      </w:r>
    </w:p>
    <w:p w14:paraId="6EFCBD4D" w14:textId="24669C70" w:rsidR="00710A04" w:rsidRPr="00AC6666" w:rsidRDefault="00710A04" w:rsidP="00710A04">
      <w:r w:rsidRPr="00AC6666">
        <w:t>Představitel: Adam Smith</w:t>
      </w:r>
    </w:p>
    <w:p w14:paraId="0F8C440A" w14:textId="77777777" w:rsidR="00D65149" w:rsidRDefault="00D65149" w:rsidP="00710A04"/>
    <w:p w14:paraId="4A6F2966" w14:textId="01ECD7D6" w:rsidR="008E0F74" w:rsidRPr="006C264F" w:rsidRDefault="00256F29" w:rsidP="00FC3B7C">
      <w:pPr>
        <w:pStyle w:val="Nadpis3"/>
        <w:rPr>
          <w:rFonts w:eastAsia="Times New Roman" w:cs="Times New Roman"/>
          <w:color w:val="1F3864" w:themeColor="accent1" w:themeShade="80"/>
        </w:rPr>
      </w:pPr>
      <w:r w:rsidRPr="006C264F">
        <w:rPr>
          <w:rFonts w:eastAsia="Times New Roman" w:cs="Times New Roman"/>
          <w:color w:val="1F3864" w:themeColor="accent1" w:themeShade="80"/>
        </w:rPr>
        <w:t>Organizačně příkazový koordinační mechanismus</w:t>
      </w:r>
    </w:p>
    <w:p w14:paraId="4A6F2967" w14:textId="77777777" w:rsidR="008E0F74" w:rsidRPr="00FC3B7C" w:rsidRDefault="00256F29" w:rsidP="00FC3B7C">
      <w:pPr>
        <w:rPr>
          <w:sz w:val="20"/>
          <w:szCs w:val="20"/>
        </w:rPr>
      </w:pPr>
      <w:r w:rsidRPr="00FC3B7C">
        <w:rPr>
          <w:rFonts w:eastAsia="Times New Roman"/>
        </w:rPr>
        <w:t>Je založen na existenci organizací, přičemž organizace je chápána jako soustava vědomě koordinovaných činností a sil dvou či více osob. Jednotliví členové organizace znají a vědomě do ní vstupují za účelem naplnění konkrétního cíle. Lidé musí dodržovat určitá ,,pravidla hry“</w:t>
      </w:r>
    </w:p>
    <w:p w14:paraId="4A6F2968" w14:textId="18B4F988" w:rsidR="008E0F74" w:rsidRPr="00AC6666" w:rsidRDefault="00256F29" w:rsidP="00FC3B7C">
      <w:pPr>
        <w:rPr>
          <w:rFonts w:eastAsia="Times New Roman"/>
        </w:rPr>
      </w:pPr>
      <w:r w:rsidRPr="00FC3B7C">
        <w:rPr>
          <w:rFonts w:eastAsia="Times New Roman"/>
          <w:szCs w:val="24"/>
        </w:rPr>
        <w:t>v organizaci mají jednotlivé vazby mezi členy převážně vertikální charakter a mají tedy povahu nadřízenosti a podřízenosti. Existují zde i vztahy horizontální, ty však mají jiný</w:t>
      </w:r>
      <w:r w:rsidR="00FC3B7C">
        <w:rPr>
          <w:rFonts w:eastAsia="Times New Roman"/>
          <w:szCs w:val="24"/>
        </w:rPr>
        <w:t xml:space="preserve"> </w:t>
      </w:r>
      <w:r w:rsidRPr="00FC3B7C">
        <w:rPr>
          <w:rFonts w:eastAsia="Times New Roman"/>
        </w:rPr>
        <w:t xml:space="preserve">charakter než </w:t>
      </w:r>
      <w:r w:rsidR="00FC3B7C">
        <w:rPr>
          <w:rFonts w:eastAsia="Times New Roman"/>
        </w:rPr>
        <w:br/>
      </w:r>
      <w:r w:rsidRPr="00FC3B7C">
        <w:rPr>
          <w:rFonts w:eastAsia="Times New Roman"/>
        </w:rPr>
        <w:t xml:space="preserve">v cenově tržním systému, protože jsou vždy konkrétně a závazně vymezeny. Můžeme tedy říci, že základním typem vztahu v organizaci je vztah autority. Mluvíme-li o organizaci, máme </w:t>
      </w:r>
      <w:r w:rsidRPr="00AC6666">
        <w:rPr>
          <w:rFonts w:eastAsia="Times New Roman"/>
        </w:rPr>
        <w:t>současně na mysli plánování. Jedná se o soustavnou, vědomou koordinaci jednotlivých činností. Všechny tyto skutečnosti zásadně odlišují organizačně příkazový koordinační mechanismus od cenově tržního systému.</w:t>
      </w:r>
      <w:r w:rsidR="00F14EC6" w:rsidRPr="00AC6666">
        <w:rPr>
          <w:rFonts w:eastAsia="Times New Roman"/>
        </w:rPr>
        <w:t xml:space="preserve"> Je to uzavřený systém. </w:t>
      </w:r>
      <w:r w:rsidR="000D3ADE" w:rsidRPr="00AC6666">
        <w:rPr>
          <w:rFonts w:eastAsia="Times New Roman"/>
        </w:rPr>
        <w:t xml:space="preserve">Koncepty </w:t>
      </w:r>
      <w:r w:rsidR="00CE28AF" w:rsidRPr="00AC6666">
        <w:rPr>
          <w:rFonts w:eastAsia="Times New Roman"/>
        </w:rPr>
        <w:t>řízení</w:t>
      </w:r>
      <w:r w:rsidR="000D3ADE" w:rsidRPr="00AC6666">
        <w:rPr>
          <w:rFonts w:eastAsia="Times New Roman"/>
        </w:rPr>
        <w:t xml:space="preserve"> velkých firem. </w:t>
      </w:r>
    </w:p>
    <w:p w14:paraId="359A896D" w14:textId="41FF22EC" w:rsidR="000D3ADE" w:rsidRPr="00AC6666" w:rsidRDefault="000D3ADE" w:rsidP="00FC3B7C">
      <w:pPr>
        <w:rPr>
          <w:rFonts w:eastAsia="Times New Roman"/>
        </w:rPr>
      </w:pPr>
      <w:r w:rsidRPr="00AC6666">
        <w:rPr>
          <w:rFonts w:eastAsia="Times New Roman"/>
        </w:rPr>
        <w:t>P</w:t>
      </w:r>
      <w:r w:rsidR="006F484C" w:rsidRPr="00AC6666">
        <w:rPr>
          <w:rFonts w:eastAsia="Times New Roman"/>
        </w:rPr>
        <w:t>ředstavitel: Karl Marx</w:t>
      </w:r>
    </w:p>
    <w:p w14:paraId="4A6F2969" w14:textId="77777777" w:rsidR="008E0F74" w:rsidRPr="00FC3B7C" w:rsidRDefault="008E0F74">
      <w:pPr>
        <w:spacing w:line="200" w:lineRule="exact"/>
        <w:rPr>
          <w:sz w:val="20"/>
          <w:szCs w:val="20"/>
        </w:rPr>
      </w:pPr>
    </w:p>
    <w:p w14:paraId="4A6F296A" w14:textId="77777777" w:rsidR="00462BE7" w:rsidRDefault="00462BE7">
      <w:pPr>
        <w:spacing w:line="240" w:lineRule="auto"/>
        <w:jc w:val="left"/>
        <w:rPr>
          <w:rFonts w:eastAsia="Times New Roman"/>
          <w:b/>
          <w:bCs/>
          <w:szCs w:val="24"/>
        </w:rPr>
      </w:pPr>
      <w:bookmarkStart w:id="10" w:name="page9"/>
      <w:bookmarkEnd w:id="10"/>
      <w:r>
        <w:rPr>
          <w:rFonts w:eastAsia="Times New Roman"/>
          <w:b/>
          <w:bCs/>
          <w:szCs w:val="24"/>
        </w:rPr>
        <w:br w:type="page"/>
      </w:r>
    </w:p>
    <w:p w14:paraId="4A6F296B" w14:textId="0E0D69A3" w:rsidR="008E0F74" w:rsidRPr="00FC3B7C" w:rsidRDefault="00FC3B7C" w:rsidP="00462BE7">
      <w:pPr>
        <w:spacing w:line="240" w:lineRule="auto"/>
        <w:jc w:val="left"/>
        <w:rPr>
          <w:sz w:val="20"/>
          <w:szCs w:val="20"/>
        </w:rPr>
      </w:pPr>
      <w:r>
        <w:rPr>
          <w:rFonts w:eastAsia="Times New Roman"/>
          <w:b/>
          <w:bCs/>
          <w:szCs w:val="24"/>
        </w:rPr>
        <w:lastRenderedPageBreak/>
        <w:t>O</w:t>
      </w:r>
      <w:r w:rsidR="00256F29" w:rsidRPr="00FC3B7C">
        <w:rPr>
          <w:rFonts w:eastAsia="Times New Roman"/>
          <w:b/>
          <w:bCs/>
          <w:szCs w:val="24"/>
        </w:rPr>
        <w:t xml:space="preserve">br. č. </w:t>
      </w:r>
      <w:r w:rsidR="005E2596">
        <w:rPr>
          <w:rFonts w:eastAsia="Times New Roman"/>
          <w:b/>
          <w:bCs/>
          <w:szCs w:val="24"/>
        </w:rPr>
        <w:t>2</w:t>
      </w:r>
      <w:r w:rsidR="00256F29" w:rsidRPr="00FC3B7C">
        <w:rPr>
          <w:rFonts w:eastAsia="Times New Roman"/>
          <w:b/>
          <w:bCs/>
          <w:szCs w:val="24"/>
        </w:rPr>
        <w:t>: Schéma rozdělení ekonomie:</w:t>
      </w:r>
    </w:p>
    <w:p w14:paraId="4A6F296C" w14:textId="77777777" w:rsidR="008E0F74" w:rsidRPr="00FC3B7C" w:rsidRDefault="008E0F74">
      <w:pPr>
        <w:spacing w:line="20" w:lineRule="exact"/>
        <w:rPr>
          <w:sz w:val="20"/>
          <w:szCs w:val="20"/>
        </w:rPr>
      </w:pPr>
    </w:p>
    <w:p w14:paraId="4A6F296D" w14:textId="77777777" w:rsidR="008E0F74" w:rsidRPr="00FC3B7C" w:rsidRDefault="008300B2">
      <w:pPr>
        <w:spacing w:line="200" w:lineRule="exact"/>
        <w:rPr>
          <w:sz w:val="20"/>
          <w:szCs w:val="20"/>
        </w:rPr>
      </w:pPr>
      <w:r w:rsidRPr="00FC3B7C">
        <w:rPr>
          <w:noProof/>
          <w:sz w:val="20"/>
          <w:szCs w:val="20"/>
        </w:rPr>
        <w:drawing>
          <wp:anchor distT="0" distB="0" distL="114300" distR="114300" simplePos="0" relativeHeight="251505152" behindDoc="1" locked="0" layoutInCell="0" allowOverlap="1" wp14:anchorId="4A6F5C32" wp14:editId="21AA4968">
            <wp:simplePos x="0" y="0"/>
            <wp:positionH relativeFrom="margin">
              <wp:align>left</wp:align>
            </wp:positionH>
            <wp:positionV relativeFrom="paragraph">
              <wp:posOffset>56515</wp:posOffset>
            </wp:positionV>
            <wp:extent cx="5272405" cy="4784657"/>
            <wp:effectExtent l="0" t="0" r="4445" b="0"/>
            <wp:wrapTight wrapText="bothSides">
              <wp:wrapPolygon edited="0">
                <wp:start x="0" y="0"/>
                <wp:lineTo x="0" y="21503"/>
                <wp:lineTo x="21540" y="21503"/>
                <wp:lineTo x="215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272405" cy="4784657"/>
                    </a:xfrm>
                    <a:prstGeom prst="rect">
                      <a:avLst/>
                    </a:prstGeom>
                    <a:noFill/>
                  </pic:spPr>
                </pic:pic>
              </a:graphicData>
            </a:graphic>
            <wp14:sizeRelH relativeFrom="margin">
              <wp14:pctWidth>0</wp14:pctWidth>
            </wp14:sizeRelH>
            <wp14:sizeRelV relativeFrom="margin">
              <wp14:pctHeight>0</wp14:pctHeight>
            </wp14:sizeRelV>
          </wp:anchor>
        </w:drawing>
      </w:r>
    </w:p>
    <w:p w14:paraId="4A6F296E" w14:textId="77777777" w:rsidR="008E0F74" w:rsidRPr="00FC3B7C" w:rsidRDefault="008E0F74">
      <w:pPr>
        <w:spacing w:line="200" w:lineRule="exact"/>
        <w:rPr>
          <w:sz w:val="20"/>
          <w:szCs w:val="20"/>
        </w:rPr>
      </w:pPr>
    </w:p>
    <w:p w14:paraId="4A6F296F" w14:textId="77777777" w:rsidR="008E0F74" w:rsidRPr="00FC3B7C" w:rsidRDefault="008E0F74">
      <w:pPr>
        <w:spacing w:line="200" w:lineRule="exact"/>
        <w:rPr>
          <w:sz w:val="20"/>
          <w:szCs w:val="20"/>
        </w:rPr>
      </w:pPr>
    </w:p>
    <w:p w14:paraId="4A6F2970" w14:textId="77777777" w:rsidR="008E0F74" w:rsidRPr="00FC3B7C" w:rsidRDefault="008E0F74">
      <w:pPr>
        <w:spacing w:line="200" w:lineRule="exact"/>
        <w:rPr>
          <w:sz w:val="20"/>
          <w:szCs w:val="20"/>
        </w:rPr>
      </w:pPr>
    </w:p>
    <w:p w14:paraId="4A6F2971" w14:textId="77777777" w:rsidR="008E0F74" w:rsidRPr="00FC3B7C" w:rsidRDefault="008E0F74">
      <w:pPr>
        <w:spacing w:line="200" w:lineRule="exact"/>
        <w:rPr>
          <w:sz w:val="20"/>
          <w:szCs w:val="20"/>
        </w:rPr>
      </w:pPr>
    </w:p>
    <w:p w14:paraId="4A6F2972" w14:textId="77777777" w:rsidR="008E0F74" w:rsidRPr="00FC3B7C" w:rsidRDefault="008E0F74">
      <w:pPr>
        <w:spacing w:line="200" w:lineRule="exact"/>
        <w:rPr>
          <w:sz w:val="20"/>
          <w:szCs w:val="20"/>
        </w:rPr>
      </w:pPr>
    </w:p>
    <w:p w14:paraId="4A6F2973" w14:textId="77777777" w:rsidR="008E0F74" w:rsidRPr="00FC3B7C" w:rsidRDefault="008E0F74">
      <w:pPr>
        <w:spacing w:line="200" w:lineRule="exact"/>
        <w:rPr>
          <w:sz w:val="20"/>
          <w:szCs w:val="20"/>
        </w:rPr>
      </w:pPr>
    </w:p>
    <w:p w14:paraId="4A6F2974" w14:textId="77777777" w:rsidR="008E0F74" w:rsidRPr="00FC3B7C" w:rsidRDefault="008E0F74">
      <w:pPr>
        <w:spacing w:line="200" w:lineRule="exact"/>
        <w:rPr>
          <w:sz w:val="20"/>
          <w:szCs w:val="20"/>
        </w:rPr>
      </w:pPr>
    </w:p>
    <w:p w14:paraId="4A6F2975" w14:textId="77777777" w:rsidR="008E0F74" w:rsidRPr="00FC3B7C" w:rsidRDefault="008E0F74">
      <w:pPr>
        <w:spacing w:line="200" w:lineRule="exact"/>
        <w:rPr>
          <w:sz w:val="20"/>
          <w:szCs w:val="20"/>
        </w:rPr>
      </w:pPr>
    </w:p>
    <w:p w14:paraId="4A6F2976" w14:textId="77777777" w:rsidR="008E0F74" w:rsidRPr="00FC3B7C" w:rsidRDefault="008E0F74">
      <w:pPr>
        <w:spacing w:line="200" w:lineRule="exact"/>
        <w:rPr>
          <w:sz w:val="20"/>
          <w:szCs w:val="20"/>
        </w:rPr>
      </w:pPr>
    </w:p>
    <w:p w14:paraId="4A6F2977" w14:textId="77777777" w:rsidR="008E0F74" w:rsidRPr="00FC3B7C" w:rsidRDefault="008E0F74">
      <w:pPr>
        <w:spacing w:line="200" w:lineRule="exact"/>
        <w:rPr>
          <w:sz w:val="20"/>
          <w:szCs w:val="20"/>
        </w:rPr>
      </w:pPr>
    </w:p>
    <w:p w14:paraId="4A6F2978" w14:textId="77777777" w:rsidR="008E0F74" w:rsidRPr="00FC3B7C" w:rsidRDefault="008E0F74">
      <w:pPr>
        <w:spacing w:line="200" w:lineRule="exact"/>
        <w:rPr>
          <w:sz w:val="20"/>
          <w:szCs w:val="20"/>
        </w:rPr>
      </w:pPr>
    </w:p>
    <w:p w14:paraId="4A6F2979" w14:textId="77777777" w:rsidR="008E0F74" w:rsidRPr="00FC3B7C" w:rsidRDefault="008E0F74">
      <w:pPr>
        <w:spacing w:line="200" w:lineRule="exact"/>
        <w:rPr>
          <w:sz w:val="20"/>
          <w:szCs w:val="20"/>
        </w:rPr>
      </w:pPr>
    </w:p>
    <w:p w14:paraId="4A6F297A" w14:textId="77777777" w:rsidR="008E0F74" w:rsidRPr="00FC3B7C" w:rsidRDefault="008E0F74">
      <w:pPr>
        <w:spacing w:line="200" w:lineRule="exact"/>
        <w:rPr>
          <w:sz w:val="20"/>
          <w:szCs w:val="20"/>
        </w:rPr>
      </w:pPr>
    </w:p>
    <w:p w14:paraId="4A6F297B" w14:textId="77777777" w:rsidR="008E0F74" w:rsidRPr="00FC3B7C" w:rsidRDefault="008E0F74">
      <w:pPr>
        <w:spacing w:line="200" w:lineRule="exact"/>
        <w:rPr>
          <w:sz w:val="20"/>
          <w:szCs w:val="20"/>
        </w:rPr>
      </w:pPr>
    </w:p>
    <w:p w14:paraId="4A6F297C" w14:textId="77777777" w:rsidR="008E0F74" w:rsidRPr="00FC3B7C" w:rsidRDefault="008E0F74">
      <w:pPr>
        <w:spacing w:line="200" w:lineRule="exact"/>
        <w:rPr>
          <w:sz w:val="20"/>
          <w:szCs w:val="20"/>
        </w:rPr>
      </w:pPr>
    </w:p>
    <w:p w14:paraId="4A6F297D" w14:textId="77777777" w:rsidR="008E0F74" w:rsidRPr="00FC3B7C" w:rsidRDefault="008E0F74">
      <w:pPr>
        <w:spacing w:line="200" w:lineRule="exact"/>
        <w:rPr>
          <w:sz w:val="20"/>
          <w:szCs w:val="20"/>
        </w:rPr>
      </w:pPr>
    </w:p>
    <w:p w14:paraId="4A6F297E" w14:textId="77777777" w:rsidR="008E0F74" w:rsidRPr="00FC3B7C" w:rsidRDefault="00FC3B7C" w:rsidP="00FC3B7C">
      <w:pPr>
        <w:tabs>
          <w:tab w:val="left" w:pos="3315"/>
        </w:tabs>
        <w:spacing w:line="200" w:lineRule="exact"/>
        <w:rPr>
          <w:sz w:val="20"/>
          <w:szCs w:val="20"/>
        </w:rPr>
      </w:pPr>
      <w:r>
        <w:rPr>
          <w:sz w:val="20"/>
          <w:szCs w:val="20"/>
        </w:rPr>
        <w:tab/>
      </w:r>
    </w:p>
    <w:p w14:paraId="4A6F297F" w14:textId="77777777" w:rsidR="008E0F74" w:rsidRPr="00FC3B7C" w:rsidRDefault="008E0F74">
      <w:pPr>
        <w:spacing w:line="200" w:lineRule="exact"/>
        <w:rPr>
          <w:sz w:val="20"/>
          <w:szCs w:val="20"/>
        </w:rPr>
      </w:pPr>
    </w:p>
    <w:p w14:paraId="4A6F2980" w14:textId="77777777" w:rsidR="008E0F74" w:rsidRPr="00FC3B7C" w:rsidRDefault="008E0F74">
      <w:pPr>
        <w:spacing w:line="200" w:lineRule="exact"/>
        <w:rPr>
          <w:sz w:val="20"/>
          <w:szCs w:val="20"/>
        </w:rPr>
      </w:pPr>
    </w:p>
    <w:p w14:paraId="4A6F2981" w14:textId="77777777" w:rsidR="008E0F74" w:rsidRPr="00FC3B7C" w:rsidRDefault="008E0F74">
      <w:pPr>
        <w:spacing w:line="200" w:lineRule="exact"/>
        <w:rPr>
          <w:sz w:val="20"/>
          <w:szCs w:val="20"/>
        </w:rPr>
      </w:pPr>
    </w:p>
    <w:p w14:paraId="4A6F2982" w14:textId="77777777" w:rsidR="008E0F74" w:rsidRPr="00FC3B7C" w:rsidRDefault="008E0F74">
      <w:pPr>
        <w:spacing w:line="200" w:lineRule="exact"/>
        <w:rPr>
          <w:sz w:val="20"/>
          <w:szCs w:val="20"/>
        </w:rPr>
      </w:pPr>
    </w:p>
    <w:p w14:paraId="4A6F2983" w14:textId="77777777" w:rsidR="008E0F74" w:rsidRPr="00FC3B7C" w:rsidRDefault="008E0F74">
      <w:pPr>
        <w:spacing w:line="200" w:lineRule="exact"/>
        <w:rPr>
          <w:sz w:val="20"/>
          <w:szCs w:val="20"/>
        </w:rPr>
      </w:pPr>
    </w:p>
    <w:p w14:paraId="4A6F2984" w14:textId="77777777" w:rsidR="008E0F74" w:rsidRPr="00FC3B7C" w:rsidRDefault="008E0F74">
      <w:pPr>
        <w:spacing w:line="200" w:lineRule="exact"/>
        <w:rPr>
          <w:sz w:val="20"/>
          <w:szCs w:val="20"/>
        </w:rPr>
      </w:pPr>
    </w:p>
    <w:p w14:paraId="4A6F2985" w14:textId="77777777" w:rsidR="008E0F74" w:rsidRPr="00FC3B7C" w:rsidRDefault="008E0F74">
      <w:pPr>
        <w:spacing w:line="200" w:lineRule="exact"/>
        <w:rPr>
          <w:sz w:val="20"/>
          <w:szCs w:val="20"/>
        </w:rPr>
      </w:pPr>
    </w:p>
    <w:p w14:paraId="4A6F2986" w14:textId="77777777" w:rsidR="008E0F74" w:rsidRPr="00FC3B7C" w:rsidRDefault="008E0F74">
      <w:pPr>
        <w:spacing w:line="200" w:lineRule="exact"/>
        <w:rPr>
          <w:sz w:val="20"/>
          <w:szCs w:val="20"/>
        </w:rPr>
      </w:pPr>
    </w:p>
    <w:p w14:paraId="4A6F2987" w14:textId="77777777" w:rsidR="008E0F74" w:rsidRPr="00FC3B7C" w:rsidRDefault="008E0F74">
      <w:pPr>
        <w:spacing w:line="200" w:lineRule="exact"/>
        <w:rPr>
          <w:sz w:val="20"/>
          <w:szCs w:val="20"/>
        </w:rPr>
      </w:pPr>
    </w:p>
    <w:p w14:paraId="4A6F2988" w14:textId="77777777" w:rsidR="008E0F74" w:rsidRPr="00FC3B7C" w:rsidRDefault="008E0F74">
      <w:pPr>
        <w:spacing w:line="200" w:lineRule="exact"/>
        <w:rPr>
          <w:sz w:val="20"/>
          <w:szCs w:val="20"/>
        </w:rPr>
      </w:pPr>
    </w:p>
    <w:p w14:paraId="4A6F2989" w14:textId="77777777" w:rsidR="008E0F74" w:rsidRPr="00FC3B7C" w:rsidRDefault="008E0F74">
      <w:pPr>
        <w:spacing w:line="200" w:lineRule="exact"/>
        <w:rPr>
          <w:sz w:val="20"/>
          <w:szCs w:val="20"/>
        </w:rPr>
      </w:pPr>
    </w:p>
    <w:p w14:paraId="4A6F298A" w14:textId="77777777" w:rsidR="008E0F74" w:rsidRPr="00FC3B7C" w:rsidRDefault="008E0F74">
      <w:pPr>
        <w:spacing w:line="200" w:lineRule="exact"/>
        <w:rPr>
          <w:sz w:val="20"/>
          <w:szCs w:val="20"/>
        </w:rPr>
      </w:pPr>
    </w:p>
    <w:p w14:paraId="4A6F298B" w14:textId="77777777" w:rsidR="008E0F74" w:rsidRPr="00FC3B7C" w:rsidRDefault="008E0F74">
      <w:pPr>
        <w:spacing w:line="200" w:lineRule="exact"/>
        <w:rPr>
          <w:sz w:val="20"/>
          <w:szCs w:val="20"/>
        </w:rPr>
      </w:pPr>
    </w:p>
    <w:p w14:paraId="4A6F298C" w14:textId="77777777" w:rsidR="008E0F74" w:rsidRPr="00FC3B7C" w:rsidRDefault="008E0F74">
      <w:pPr>
        <w:spacing w:line="200" w:lineRule="exact"/>
        <w:rPr>
          <w:sz w:val="20"/>
          <w:szCs w:val="20"/>
        </w:rPr>
      </w:pPr>
    </w:p>
    <w:p w14:paraId="4A6F298D" w14:textId="77777777" w:rsidR="008E0F74" w:rsidRPr="00FC3B7C" w:rsidRDefault="008E0F74">
      <w:pPr>
        <w:spacing w:line="200" w:lineRule="exact"/>
        <w:rPr>
          <w:sz w:val="20"/>
          <w:szCs w:val="20"/>
        </w:rPr>
      </w:pPr>
    </w:p>
    <w:p w14:paraId="4A6F298E" w14:textId="77777777" w:rsidR="008E0F74" w:rsidRPr="00FC3B7C" w:rsidRDefault="008E0F74">
      <w:pPr>
        <w:spacing w:line="200" w:lineRule="exact"/>
        <w:rPr>
          <w:sz w:val="20"/>
          <w:szCs w:val="20"/>
        </w:rPr>
      </w:pPr>
    </w:p>
    <w:p w14:paraId="4A6F298F" w14:textId="77777777" w:rsidR="008E0F74" w:rsidRPr="00FC3B7C" w:rsidRDefault="008E0F74">
      <w:pPr>
        <w:spacing w:line="200" w:lineRule="exact"/>
        <w:rPr>
          <w:sz w:val="20"/>
          <w:szCs w:val="20"/>
        </w:rPr>
      </w:pPr>
    </w:p>
    <w:p w14:paraId="4A6F2990" w14:textId="77777777" w:rsidR="008E0F74" w:rsidRPr="00FC3B7C" w:rsidRDefault="008E0F74">
      <w:pPr>
        <w:spacing w:line="200" w:lineRule="exact"/>
        <w:rPr>
          <w:sz w:val="20"/>
          <w:szCs w:val="20"/>
        </w:rPr>
      </w:pPr>
    </w:p>
    <w:p w14:paraId="4A6F2991" w14:textId="77777777" w:rsidR="008E0F74" w:rsidRPr="00FC3B7C" w:rsidRDefault="008E0F74">
      <w:pPr>
        <w:spacing w:line="200" w:lineRule="exact"/>
        <w:rPr>
          <w:sz w:val="20"/>
          <w:szCs w:val="20"/>
        </w:rPr>
      </w:pPr>
    </w:p>
    <w:p w14:paraId="4A6F2992" w14:textId="77777777" w:rsidR="008E0F74" w:rsidRPr="00FC3B7C" w:rsidRDefault="008E0F74">
      <w:pPr>
        <w:spacing w:line="200" w:lineRule="exact"/>
        <w:rPr>
          <w:sz w:val="20"/>
          <w:szCs w:val="20"/>
        </w:rPr>
      </w:pPr>
    </w:p>
    <w:p w14:paraId="4A6F2993" w14:textId="77777777" w:rsidR="008E0F74" w:rsidRPr="00FC3B7C" w:rsidRDefault="008E0F74">
      <w:pPr>
        <w:spacing w:line="200" w:lineRule="exact"/>
        <w:rPr>
          <w:sz w:val="20"/>
          <w:szCs w:val="20"/>
        </w:rPr>
      </w:pPr>
    </w:p>
    <w:p w14:paraId="4A6F2994" w14:textId="77777777" w:rsidR="008E0F74" w:rsidRPr="00FC3B7C" w:rsidRDefault="00256F29">
      <w:pPr>
        <w:rPr>
          <w:sz w:val="20"/>
          <w:szCs w:val="20"/>
        </w:rPr>
      </w:pPr>
      <w:r w:rsidRPr="00FC3B7C">
        <w:rPr>
          <w:rFonts w:eastAsia="Times New Roman"/>
          <w:sz w:val="20"/>
          <w:szCs w:val="20"/>
        </w:rPr>
        <w:t xml:space="preserve">Zdroj: </w:t>
      </w:r>
      <w:r w:rsidRPr="00FC3B7C">
        <w:rPr>
          <w:rFonts w:eastAsia="Times New Roman"/>
          <w:color w:val="0563C1"/>
          <w:sz w:val="20"/>
          <w:szCs w:val="20"/>
          <w:u w:val="single"/>
        </w:rPr>
        <w:t>http://www.investicneportfolio.info/2012/05/strom-zivota-ekonomie.html</w:t>
      </w:r>
    </w:p>
    <w:p w14:paraId="4A6F2995" w14:textId="77777777" w:rsidR="008E0F74" w:rsidRPr="00FC3B7C" w:rsidRDefault="008E0F74">
      <w:pPr>
        <w:spacing w:line="200" w:lineRule="exact"/>
        <w:rPr>
          <w:sz w:val="20"/>
          <w:szCs w:val="20"/>
        </w:rPr>
      </w:pPr>
    </w:p>
    <w:p w14:paraId="4A6F2996" w14:textId="77777777" w:rsidR="008E0F74" w:rsidRPr="00A25D52" w:rsidRDefault="00256F29" w:rsidP="00FC3B7C">
      <w:pPr>
        <w:pStyle w:val="Nadpis2"/>
        <w:rPr>
          <w:rFonts w:cs="Times New Roman"/>
          <w:color w:val="1F3864" w:themeColor="accent1" w:themeShade="80"/>
          <w:sz w:val="20"/>
          <w:szCs w:val="20"/>
        </w:rPr>
      </w:pPr>
      <w:r w:rsidRPr="00A25D52">
        <w:rPr>
          <w:rFonts w:eastAsia="Times New Roman" w:cs="Times New Roman"/>
          <w:color w:val="1F3864" w:themeColor="accent1" w:themeShade="80"/>
        </w:rPr>
        <w:t>VÝVOJ A FORMOVÁNÍ HOSPODÁŘSKÉ POLITIKY</w:t>
      </w:r>
    </w:p>
    <w:p w14:paraId="4A6F2997" w14:textId="77777777" w:rsidR="008E0F74" w:rsidRPr="006F7F71" w:rsidRDefault="00256F29" w:rsidP="00462BE7">
      <w:pPr>
        <w:rPr>
          <w:color w:val="FF0000"/>
          <w:sz w:val="20"/>
          <w:szCs w:val="20"/>
        </w:rPr>
      </w:pPr>
      <w:r w:rsidRPr="00FC3B7C">
        <w:rPr>
          <w:rFonts w:eastAsia="Times New Roman"/>
        </w:rPr>
        <w:t>Počátek vývoje teoretické základny hospodářské politiky se datuje mnohem později, než samotné uplatňování HP v praxi.</w:t>
      </w:r>
      <w:r w:rsidR="008300B2">
        <w:rPr>
          <w:rFonts w:eastAsia="Times New Roman"/>
          <w:sz w:val="31"/>
          <w:szCs w:val="31"/>
          <w:vertAlign w:val="superscript"/>
        </w:rPr>
        <w:t>1</w:t>
      </w:r>
      <w:r w:rsidRPr="00FC3B7C">
        <w:rPr>
          <w:rFonts w:eastAsia="Times New Roman"/>
        </w:rPr>
        <w:t xml:space="preserve"> Zatímco praktickou politiku uplatňovali již ve starověkém Řecku, počátek teoretických směrů sahá do období konce 1. světové války a Velké deprese - </w:t>
      </w:r>
      <w:r w:rsidR="008300B2">
        <w:rPr>
          <w:rFonts w:eastAsia="Times New Roman"/>
        </w:rPr>
        <w:br/>
      </w:r>
      <w:r w:rsidRPr="00FC3B7C">
        <w:rPr>
          <w:rFonts w:eastAsia="Times New Roman"/>
        </w:rPr>
        <w:t>30. léta 20. století. V HP rozlišujeme směry liberální a intervencionistické.</w:t>
      </w:r>
    </w:p>
    <w:p w14:paraId="4A6F2998" w14:textId="77777777" w:rsidR="008E0F74" w:rsidRPr="00FC3B7C" w:rsidRDefault="008300B2">
      <w:pPr>
        <w:spacing w:line="20" w:lineRule="exact"/>
        <w:rPr>
          <w:sz w:val="20"/>
          <w:szCs w:val="20"/>
        </w:rPr>
      </w:pPr>
      <w:r>
        <w:rPr>
          <w:rStyle w:val="Znakapoznpodarou"/>
          <w:sz w:val="20"/>
          <w:szCs w:val="20"/>
        </w:rPr>
        <w:footnoteReference w:id="1"/>
      </w:r>
    </w:p>
    <w:p w14:paraId="4A6F2999" w14:textId="77777777" w:rsidR="008E0F74" w:rsidRPr="00FC3B7C" w:rsidRDefault="008E0F74">
      <w:pPr>
        <w:spacing w:line="200" w:lineRule="exact"/>
        <w:rPr>
          <w:sz w:val="20"/>
          <w:szCs w:val="20"/>
        </w:rPr>
      </w:pPr>
    </w:p>
    <w:p w14:paraId="4A6F299A" w14:textId="77777777" w:rsidR="008E0F74" w:rsidRPr="00FC3B7C" w:rsidRDefault="00256F29">
      <w:pPr>
        <w:rPr>
          <w:sz w:val="20"/>
          <w:szCs w:val="20"/>
        </w:rPr>
      </w:pPr>
      <w:bookmarkStart w:id="11" w:name="page10"/>
      <w:bookmarkEnd w:id="11"/>
      <w:r w:rsidRPr="00FC3B7C">
        <w:rPr>
          <w:rFonts w:eastAsia="Times New Roman"/>
          <w:b/>
          <w:bCs/>
          <w:szCs w:val="24"/>
          <w:u w:val="single"/>
        </w:rPr>
        <w:t>Liberální</w:t>
      </w:r>
    </w:p>
    <w:p w14:paraId="4A6F299B" w14:textId="77777777" w:rsidR="008E0F74" w:rsidRPr="00FC3B7C" w:rsidRDefault="00256F29" w:rsidP="004A5F54">
      <w:pPr>
        <w:numPr>
          <w:ilvl w:val="0"/>
          <w:numId w:val="7"/>
        </w:numPr>
        <w:tabs>
          <w:tab w:val="left" w:pos="1080"/>
        </w:tabs>
        <w:ind w:left="1080" w:hanging="358"/>
        <w:rPr>
          <w:rFonts w:eastAsia="Arial"/>
          <w:szCs w:val="24"/>
        </w:rPr>
      </w:pPr>
      <w:r w:rsidRPr="00FC3B7C">
        <w:rPr>
          <w:rFonts w:eastAsia="Times New Roman"/>
          <w:szCs w:val="24"/>
        </w:rPr>
        <w:t>ekonomické učení fyziokratů</w:t>
      </w:r>
    </w:p>
    <w:p w14:paraId="4A6F299C" w14:textId="77777777" w:rsidR="008E0F74" w:rsidRPr="00FC3B7C" w:rsidRDefault="00256F29" w:rsidP="004A5F54">
      <w:pPr>
        <w:numPr>
          <w:ilvl w:val="0"/>
          <w:numId w:val="7"/>
        </w:numPr>
        <w:tabs>
          <w:tab w:val="left" w:pos="1080"/>
        </w:tabs>
        <w:ind w:left="1080" w:hanging="358"/>
        <w:rPr>
          <w:rFonts w:eastAsia="Arial"/>
          <w:szCs w:val="24"/>
        </w:rPr>
      </w:pPr>
      <w:r w:rsidRPr="00FC3B7C">
        <w:rPr>
          <w:rFonts w:eastAsia="Times New Roman"/>
          <w:szCs w:val="24"/>
        </w:rPr>
        <w:t>klasický liberalismus</w:t>
      </w:r>
    </w:p>
    <w:p w14:paraId="4A6F299D" w14:textId="77777777" w:rsidR="008E0F74" w:rsidRPr="00FC3B7C" w:rsidRDefault="00256F29" w:rsidP="004A5F54">
      <w:pPr>
        <w:numPr>
          <w:ilvl w:val="0"/>
          <w:numId w:val="7"/>
        </w:numPr>
        <w:tabs>
          <w:tab w:val="left" w:pos="1080"/>
        </w:tabs>
        <w:ind w:left="1080" w:hanging="358"/>
        <w:rPr>
          <w:rFonts w:eastAsia="Arial"/>
          <w:szCs w:val="24"/>
        </w:rPr>
      </w:pPr>
      <w:r w:rsidRPr="00FC3B7C">
        <w:rPr>
          <w:rFonts w:eastAsia="Times New Roman"/>
          <w:szCs w:val="24"/>
        </w:rPr>
        <w:t>ordoliberalismus</w:t>
      </w:r>
    </w:p>
    <w:p w14:paraId="4A6F299E" w14:textId="77777777" w:rsidR="00462BE7" w:rsidRDefault="00462BE7">
      <w:pPr>
        <w:spacing w:line="240" w:lineRule="auto"/>
        <w:jc w:val="left"/>
        <w:rPr>
          <w:rFonts w:eastAsia="Times New Roman"/>
          <w:b/>
          <w:bCs/>
          <w:szCs w:val="24"/>
          <w:u w:val="single"/>
        </w:rPr>
      </w:pPr>
      <w:r>
        <w:rPr>
          <w:rFonts w:eastAsia="Times New Roman"/>
          <w:b/>
          <w:bCs/>
          <w:szCs w:val="24"/>
          <w:u w:val="single"/>
        </w:rPr>
        <w:br w:type="page"/>
      </w:r>
    </w:p>
    <w:p w14:paraId="4A6F299F" w14:textId="77777777" w:rsidR="008E0F74" w:rsidRPr="00FC3B7C" w:rsidRDefault="00256F29">
      <w:pPr>
        <w:rPr>
          <w:sz w:val="20"/>
          <w:szCs w:val="20"/>
        </w:rPr>
      </w:pPr>
      <w:r w:rsidRPr="00FC3B7C">
        <w:rPr>
          <w:rFonts w:eastAsia="Times New Roman"/>
          <w:b/>
          <w:bCs/>
          <w:szCs w:val="24"/>
          <w:u w:val="single"/>
        </w:rPr>
        <w:lastRenderedPageBreak/>
        <w:t>Intervencionistické</w:t>
      </w:r>
    </w:p>
    <w:p w14:paraId="4A6F29A0" w14:textId="77777777" w:rsidR="008E0F74" w:rsidRPr="00FC3B7C" w:rsidRDefault="00256F29" w:rsidP="004A5F54">
      <w:pPr>
        <w:numPr>
          <w:ilvl w:val="0"/>
          <w:numId w:val="8"/>
        </w:numPr>
        <w:tabs>
          <w:tab w:val="left" w:pos="1080"/>
        </w:tabs>
        <w:ind w:left="1080" w:hanging="358"/>
        <w:rPr>
          <w:rFonts w:eastAsia="Arial"/>
          <w:szCs w:val="24"/>
        </w:rPr>
      </w:pPr>
      <w:r w:rsidRPr="00FC3B7C">
        <w:rPr>
          <w:rFonts w:eastAsia="Times New Roman"/>
          <w:szCs w:val="24"/>
        </w:rPr>
        <w:t>učení merkantilistů</w:t>
      </w:r>
    </w:p>
    <w:p w14:paraId="4A6F29A1" w14:textId="77777777" w:rsidR="008E0F74" w:rsidRPr="00FC3B7C" w:rsidRDefault="00256F29" w:rsidP="004A5F54">
      <w:pPr>
        <w:numPr>
          <w:ilvl w:val="0"/>
          <w:numId w:val="8"/>
        </w:numPr>
        <w:tabs>
          <w:tab w:val="left" w:pos="1080"/>
        </w:tabs>
        <w:ind w:left="1080" w:hanging="358"/>
        <w:rPr>
          <w:rFonts w:eastAsia="Arial"/>
          <w:szCs w:val="24"/>
        </w:rPr>
      </w:pPr>
      <w:r w:rsidRPr="00FC3B7C">
        <w:rPr>
          <w:rFonts w:eastAsia="Times New Roman"/>
          <w:szCs w:val="24"/>
        </w:rPr>
        <w:t>učení J. M. Keynese</w:t>
      </w:r>
    </w:p>
    <w:p w14:paraId="4A6F29A2" w14:textId="52C0ACE7" w:rsidR="008E0F74" w:rsidRPr="00D65149" w:rsidRDefault="00256F29" w:rsidP="004A5F54">
      <w:pPr>
        <w:numPr>
          <w:ilvl w:val="0"/>
          <w:numId w:val="8"/>
        </w:numPr>
        <w:tabs>
          <w:tab w:val="left" w:pos="1080"/>
        </w:tabs>
        <w:ind w:left="1080" w:hanging="358"/>
        <w:rPr>
          <w:rFonts w:eastAsia="Arial"/>
          <w:szCs w:val="24"/>
        </w:rPr>
      </w:pPr>
      <w:r w:rsidRPr="00FC3B7C">
        <w:rPr>
          <w:rFonts w:eastAsia="Times New Roman"/>
          <w:szCs w:val="24"/>
        </w:rPr>
        <w:t>řízení pomocí plánování</w:t>
      </w:r>
    </w:p>
    <w:p w14:paraId="44B5F10F" w14:textId="77777777" w:rsidR="00D65149" w:rsidRPr="00FC3B7C" w:rsidRDefault="00D65149" w:rsidP="00D65149">
      <w:pPr>
        <w:tabs>
          <w:tab w:val="left" w:pos="1080"/>
        </w:tabs>
        <w:ind w:left="1080"/>
        <w:rPr>
          <w:rFonts w:eastAsia="Arial"/>
          <w:szCs w:val="24"/>
        </w:rPr>
      </w:pPr>
    </w:p>
    <w:p w14:paraId="4A6F29A3" w14:textId="77777777" w:rsidR="008E0F74" w:rsidRPr="00A25D52" w:rsidRDefault="00256F29" w:rsidP="00FC3B7C">
      <w:pPr>
        <w:pStyle w:val="Nadpis3"/>
        <w:rPr>
          <w:rFonts w:cs="Times New Roman"/>
          <w:color w:val="1F3864" w:themeColor="accent1" w:themeShade="80"/>
          <w:sz w:val="20"/>
          <w:szCs w:val="20"/>
        </w:rPr>
      </w:pPr>
      <w:r w:rsidRPr="00A25D52">
        <w:rPr>
          <w:rFonts w:eastAsia="Times New Roman" w:cs="Times New Roman"/>
          <w:color w:val="1F3864" w:themeColor="accent1" w:themeShade="80"/>
        </w:rPr>
        <w:t>Merkantilisté (17. a 18. století)</w:t>
      </w:r>
    </w:p>
    <w:p w14:paraId="0C2EF72E" w14:textId="5AC13515" w:rsidR="00D65149" w:rsidRDefault="00256F29" w:rsidP="00462BE7">
      <w:pPr>
        <w:rPr>
          <w:rFonts w:eastAsia="Times New Roman"/>
        </w:rPr>
      </w:pPr>
      <w:r w:rsidRPr="00FC3B7C">
        <w:rPr>
          <w:rFonts w:eastAsia="Times New Roman"/>
        </w:rPr>
        <w:t xml:space="preserve">Merkantilismus považujeme za první </w:t>
      </w:r>
      <w:r w:rsidRPr="00B9067A">
        <w:rPr>
          <w:rFonts w:eastAsia="Times New Roman"/>
          <w:u w:val="single"/>
        </w:rPr>
        <w:t>intervencionistický směr</w:t>
      </w:r>
      <w:r w:rsidRPr="00FC3B7C">
        <w:rPr>
          <w:rFonts w:eastAsia="Times New Roman"/>
        </w:rPr>
        <w:t xml:space="preserve"> politiky. Je to souhrn doktrín </w:t>
      </w:r>
      <w:r w:rsidR="00462BE7">
        <w:rPr>
          <w:rFonts w:eastAsia="Times New Roman"/>
        </w:rPr>
        <w:br/>
      </w:r>
      <w:r w:rsidRPr="00FC3B7C">
        <w:rPr>
          <w:rFonts w:eastAsia="Times New Roman"/>
        </w:rPr>
        <w:t>o dominantní úloze státu. Zdrojem bohatství státu bylo dle učení merkantilistů hromadění drahých kovů prostřednictvím aktivní obchodní bilance. K jejímu zajištění užívali ochranářskou politiku – regulace, cla, potlačovali konkurenci a souhlasili s vývozními monopoly. Posunuli ekonomické myšlení od morálních úvah k praktickým problémům obchodníků a státníků. Rakouská varianta merkantilismu je kameralismus.</w:t>
      </w:r>
    </w:p>
    <w:p w14:paraId="44538275" w14:textId="02D6F412" w:rsidR="00D65149" w:rsidRPr="00AC6666" w:rsidRDefault="001B49C5" w:rsidP="00462BE7">
      <w:pPr>
        <w:rPr>
          <w:rFonts w:eastAsia="Times New Roman"/>
        </w:rPr>
      </w:pPr>
      <w:r w:rsidRPr="00AC6666">
        <w:rPr>
          <w:rFonts w:eastAsia="Times New Roman"/>
        </w:rPr>
        <w:t>Představitel: Thomas Mun</w:t>
      </w:r>
    </w:p>
    <w:p w14:paraId="0B5E04D9" w14:textId="77777777" w:rsidR="00D65149" w:rsidRPr="001B49C5" w:rsidRDefault="00D65149" w:rsidP="00462BE7">
      <w:pPr>
        <w:rPr>
          <w:rFonts w:eastAsia="Times New Roman"/>
        </w:rPr>
      </w:pPr>
    </w:p>
    <w:p w14:paraId="4A6F29A5" w14:textId="77777777" w:rsidR="008E0F74" w:rsidRPr="00A25D52" w:rsidRDefault="00256F29" w:rsidP="00FC3B7C">
      <w:pPr>
        <w:pStyle w:val="Nadpis3"/>
        <w:rPr>
          <w:rFonts w:cs="Times New Roman"/>
          <w:color w:val="1F3864" w:themeColor="accent1" w:themeShade="80"/>
          <w:sz w:val="20"/>
          <w:szCs w:val="20"/>
        </w:rPr>
      </w:pPr>
      <w:r w:rsidRPr="00A25D52">
        <w:rPr>
          <w:rFonts w:eastAsia="Times New Roman" w:cs="Times New Roman"/>
          <w:color w:val="1F3864" w:themeColor="accent1" w:themeShade="80"/>
        </w:rPr>
        <w:t>Fyziokraté (počátek 18. století)</w:t>
      </w:r>
    </w:p>
    <w:p w14:paraId="4A6F29A6" w14:textId="270940EF" w:rsidR="008E0F74" w:rsidRPr="00AC6666" w:rsidRDefault="00256F29" w:rsidP="00462BE7">
      <w:pPr>
        <w:rPr>
          <w:rFonts w:eastAsia="Times New Roman"/>
        </w:rPr>
      </w:pPr>
      <w:r w:rsidRPr="00AC6666">
        <w:rPr>
          <w:rFonts w:eastAsia="Times New Roman"/>
        </w:rPr>
        <w:t xml:space="preserve">Fyziokraté jsou považováni za průkopníky </w:t>
      </w:r>
      <w:r w:rsidRPr="00AC6666">
        <w:rPr>
          <w:rFonts w:eastAsia="Times New Roman"/>
          <w:u w:val="single"/>
        </w:rPr>
        <w:t>liberální koncepce</w:t>
      </w:r>
      <w:r w:rsidRPr="00AC6666">
        <w:rPr>
          <w:rFonts w:eastAsia="Times New Roman"/>
        </w:rPr>
        <w:t>.</w:t>
      </w:r>
      <w:r w:rsidR="00B675B9" w:rsidRPr="00AC6666">
        <w:rPr>
          <w:rFonts w:eastAsia="Times New Roman"/>
        </w:rPr>
        <w:t xml:space="preserve"> </w:t>
      </w:r>
      <w:r w:rsidR="00B675B9" w:rsidRPr="00AC6666">
        <w:t xml:space="preserve">Působily pouze </w:t>
      </w:r>
      <w:r w:rsidR="00CE28AF" w:rsidRPr="00AC6666">
        <w:t>ve Francii</w:t>
      </w:r>
      <w:r w:rsidR="00B675B9" w:rsidRPr="00AC6666">
        <w:t>. Fyziokraté tvoří jakousi podskupinu Filozofů přirozených zákonů, ale více se věnovali ekonomii a ekonomickým problémům.</w:t>
      </w:r>
      <w:r w:rsidRPr="00AC6666">
        <w:rPr>
          <w:rFonts w:eastAsia="Times New Roman"/>
        </w:rPr>
        <w:t xml:space="preserve"> Vytvořili první ekonomickou školu svého druhu a snažili se o osamostatnění ekonomie jako vědní disciplíny a vytvoření teoretického systému, který by se stal základem politiky státu. Stěžejním heslem je „laisser faire, laisser passer“, tedy oproštění spontánního řádu od státních intervencí. Stát měl pouze vytvořit a zaručovat pravidla, za nichž by se mohly ekonomické subjekty samostatně rozhodovat.</w:t>
      </w:r>
    </w:p>
    <w:p w14:paraId="437E4621" w14:textId="30ECB60D" w:rsidR="00D65149" w:rsidRPr="00AC6666" w:rsidRDefault="00E47F3B" w:rsidP="00462BE7">
      <w:r w:rsidRPr="00AC6666">
        <w:rPr>
          <w:rFonts w:eastAsia="Times New Roman"/>
        </w:rPr>
        <w:t>Představitel</w:t>
      </w:r>
      <w:r w:rsidR="001B49C5" w:rsidRPr="00AC6666">
        <w:rPr>
          <w:rFonts w:eastAsia="Times New Roman"/>
        </w:rPr>
        <w:t>:</w:t>
      </w:r>
      <w:r w:rsidRPr="00AC6666">
        <w:rPr>
          <w:rFonts w:eastAsia="Times New Roman"/>
        </w:rPr>
        <w:t xml:space="preserve"> </w:t>
      </w:r>
      <w:r w:rsidR="007560EF" w:rsidRPr="00AC6666">
        <w:t>François Quesnay</w:t>
      </w:r>
    </w:p>
    <w:p w14:paraId="0410EA8E" w14:textId="77777777" w:rsidR="00D65149" w:rsidRPr="00D65149" w:rsidRDefault="00D65149" w:rsidP="00462BE7"/>
    <w:p w14:paraId="4A6F29A7" w14:textId="77777777" w:rsidR="008E0F74" w:rsidRPr="00A25D52" w:rsidRDefault="00256F29" w:rsidP="00FC3B7C">
      <w:pPr>
        <w:pStyle w:val="Nadpis3"/>
        <w:rPr>
          <w:rFonts w:cs="Times New Roman"/>
          <w:color w:val="1F3864" w:themeColor="accent1" w:themeShade="80"/>
          <w:sz w:val="20"/>
          <w:szCs w:val="20"/>
        </w:rPr>
      </w:pPr>
      <w:r w:rsidRPr="00A25D52">
        <w:rPr>
          <w:rFonts w:eastAsia="Times New Roman" w:cs="Times New Roman"/>
          <w:color w:val="1F3864" w:themeColor="accent1" w:themeShade="80"/>
        </w:rPr>
        <w:t>Klasická politická ekonomie (konec 18. století)</w:t>
      </w:r>
    </w:p>
    <w:p w14:paraId="4A6F29A8" w14:textId="4FED6977" w:rsidR="00462BE7" w:rsidRPr="00AC6666" w:rsidRDefault="00256F29">
      <w:pPr>
        <w:rPr>
          <w:rFonts w:eastAsia="Times New Roman"/>
          <w:b/>
          <w:bCs/>
        </w:rPr>
      </w:pPr>
      <w:r w:rsidRPr="00FC3B7C">
        <w:rPr>
          <w:rFonts w:eastAsia="Times New Roman"/>
        </w:rPr>
        <w:t xml:space="preserve">Klasická politická ekonomie představuje tvorbu ekonomie jako vědy a navazuje na </w:t>
      </w:r>
      <w:r w:rsidRPr="00ED17F5">
        <w:rPr>
          <w:rFonts w:eastAsia="Times New Roman"/>
          <w:u w:val="single"/>
        </w:rPr>
        <w:t>liberální koncepci</w:t>
      </w:r>
      <w:r w:rsidRPr="00FC3B7C">
        <w:rPr>
          <w:rFonts w:eastAsia="Times New Roman"/>
        </w:rPr>
        <w:t xml:space="preserve"> fyziokratismu. Stěžejní je dílo „Bohatství národů“, jehož autorem je Adam Smith. Ten odmítá myšlenku aktivní obchodní bilance a státních intervencí. Za hlavní zdroj bohatství považuje A. Smith dělbu práce a svobodný obchod v mezinárodním měřítku. Dále hovoří </w:t>
      </w:r>
      <w:r w:rsidR="00462BE7">
        <w:rPr>
          <w:rFonts w:eastAsia="Times New Roman"/>
        </w:rPr>
        <w:br/>
      </w:r>
      <w:r w:rsidRPr="00FC3B7C">
        <w:rPr>
          <w:rFonts w:eastAsia="Times New Roman"/>
        </w:rPr>
        <w:t xml:space="preserve">o „neviditelné ruce trhu“, která má slaďovat individuální činnosti do přirozeného řádu, avšak </w:t>
      </w:r>
      <w:r w:rsidRPr="00AC6666">
        <w:rPr>
          <w:rFonts w:eastAsia="Times New Roman"/>
        </w:rPr>
        <w:t xml:space="preserve">neodmítá existenci státu a rámcuje jeho činnost třemi </w:t>
      </w:r>
      <w:r w:rsidRPr="00AC6666">
        <w:rPr>
          <w:rFonts w:eastAsia="Times New Roman"/>
          <w:b/>
          <w:bCs/>
        </w:rPr>
        <w:t>základními funkcemi.</w:t>
      </w:r>
      <w:bookmarkStart w:id="12" w:name="page11"/>
      <w:bookmarkEnd w:id="12"/>
    </w:p>
    <w:p w14:paraId="61F3EAFF" w14:textId="5E554717" w:rsidR="00B61384" w:rsidRPr="00AC6666" w:rsidRDefault="00B61384">
      <w:pPr>
        <w:rPr>
          <w:rFonts w:eastAsia="Times New Roman"/>
        </w:rPr>
      </w:pPr>
      <w:r w:rsidRPr="00AC6666">
        <w:rPr>
          <w:rFonts w:eastAsia="Times New Roman"/>
        </w:rPr>
        <w:t>Představitelé:</w:t>
      </w:r>
      <w:r w:rsidR="005079E9" w:rsidRPr="00AC6666">
        <w:rPr>
          <w:rFonts w:eastAsia="Times New Roman"/>
        </w:rPr>
        <w:t xml:space="preserve"> Adam Smith,</w:t>
      </w:r>
      <w:r w:rsidRPr="00AC6666">
        <w:rPr>
          <w:rFonts w:eastAsia="Times New Roman"/>
        </w:rPr>
        <w:t xml:space="preserve"> </w:t>
      </w:r>
      <w:r w:rsidR="005079E9" w:rsidRPr="00AC6666">
        <w:rPr>
          <w:rFonts w:eastAsia="Times New Roman"/>
        </w:rPr>
        <w:t>Jean-Baptiste Say</w:t>
      </w:r>
      <w:r w:rsidR="004E28A8" w:rsidRPr="00AC6666">
        <w:rPr>
          <w:rFonts w:eastAsia="Times New Roman"/>
        </w:rPr>
        <w:t>, John Stuart Mill</w:t>
      </w:r>
      <w:r w:rsidR="00A175D1" w:rsidRPr="00AC6666">
        <w:rPr>
          <w:rFonts w:eastAsia="Times New Roman"/>
        </w:rPr>
        <w:t xml:space="preserve">, </w:t>
      </w:r>
      <w:r w:rsidR="00053FF9" w:rsidRPr="00AC6666">
        <w:rPr>
          <w:rFonts w:eastAsia="Times New Roman"/>
        </w:rPr>
        <w:t xml:space="preserve">Thomas Malthus, </w:t>
      </w:r>
      <w:r w:rsidR="00BA3206" w:rsidRPr="00AC6666">
        <w:rPr>
          <w:rFonts w:eastAsia="Times New Roman"/>
        </w:rPr>
        <w:t>Thomas Malthus</w:t>
      </w:r>
    </w:p>
    <w:p w14:paraId="089514CD" w14:textId="77777777" w:rsidR="00D65149" w:rsidRPr="00B61384" w:rsidRDefault="00D65149">
      <w:pPr>
        <w:rPr>
          <w:rFonts w:eastAsia="Times New Roman"/>
        </w:rPr>
      </w:pPr>
    </w:p>
    <w:p w14:paraId="4A6F29AA" w14:textId="0BD867C3" w:rsidR="008E0F74" w:rsidRPr="00616819" w:rsidRDefault="00256F29" w:rsidP="00616819">
      <w:pPr>
        <w:spacing w:before="240"/>
        <w:rPr>
          <w:sz w:val="20"/>
          <w:szCs w:val="20"/>
        </w:rPr>
      </w:pPr>
      <w:r w:rsidRPr="00FC3B7C">
        <w:rPr>
          <w:rFonts w:eastAsia="Times New Roman"/>
          <w:b/>
          <w:bCs/>
          <w:szCs w:val="24"/>
        </w:rPr>
        <w:lastRenderedPageBreak/>
        <w:t>Základní funkce:</w:t>
      </w:r>
    </w:p>
    <w:p w14:paraId="1AA738B8" w14:textId="0811591E" w:rsidR="00616819" w:rsidRPr="00AC6666" w:rsidRDefault="00616819" w:rsidP="004A5F54">
      <w:pPr>
        <w:numPr>
          <w:ilvl w:val="0"/>
          <w:numId w:val="9"/>
        </w:numPr>
        <w:tabs>
          <w:tab w:val="left" w:pos="1080"/>
        </w:tabs>
        <w:spacing w:line="369" w:lineRule="auto"/>
        <w:ind w:left="1080" w:right="220" w:hanging="358"/>
        <w:rPr>
          <w:rFonts w:eastAsia="Arial"/>
          <w:szCs w:val="24"/>
        </w:rPr>
      </w:pPr>
      <w:r w:rsidRPr="00AC6666">
        <w:rPr>
          <w:rFonts w:eastAsia="Times New Roman"/>
          <w:szCs w:val="24"/>
        </w:rPr>
        <w:t>chránit společnost před násilím</w:t>
      </w:r>
    </w:p>
    <w:p w14:paraId="4A6F29AB" w14:textId="5312FE00" w:rsidR="006A7A30" w:rsidRPr="00AC6666" w:rsidRDefault="00256F29" w:rsidP="004A5F54">
      <w:pPr>
        <w:numPr>
          <w:ilvl w:val="0"/>
          <w:numId w:val="9"/>
        </w:numPr>
        <w:tabs>
          <w:tab w:val="left" w:pos="1080"/>
        </w:tabs>
        <w:spacing w:line="369" w:lineRule="auto"/>
        <w:ind w:left="1080" w:right="220" w:hanging="358"/>
        <w:rPr>
          <w:rFonts w:eastAsia="Arial"/>
          <w:szCs w:val="24"/>
        </w:rPr>
      </w:pPr>
      <w:r w:rsidRPr="00AC6666">
        <w:rPr>
          <w:rFonts w:eastAsia="Times New Roman"/>
          <w:szCs w:val="24"/>
        </w:rPr>
        <w:t>chránit každého člena společnosti před nespravedlností a útlakem ze strany druhého</w:t>
      </w:r>
    </w:p>
    <w:p w14:paraId="44A8CCA6" w14:textId="5A4BAEF9" w:rsidR="00616819" w:rsidRPr="00D65149" w:rsidRDefault="00256F29" w:rsidP="00616819">
      <w:pPr>
        <w:numPr>
          <w:ilvl w:val="0"/>
          <w:numId w:val="9"/>
        </w:numPr>
        <w:tabs>
          <w:tab w:val="left" w:pos="1080"/>
        </w:tabs>
        <w:spacing w:line="369" w:lineRule="auto"/>
        <w:ind w:left="1080" w:right="220" w:hanging="358"/>
        <w:rPr>
          <w:rFonts w:eastAsia="Arial"/>
          <w:szCs w:val="24"/>
        </w:rPr>
      </w:pPr>
      <w:r w:rsidRPr="006A7A30">
        <w:rPr>
          <w:rFonts w:eastAsia="Times New Roman"/>
          <w:szCs w:val="24"/>
        </w:rPr>
        <w:t>povinnost budovat a udržovat některé veřejné práce a díla a některé veřejné instituce, které by nikdy nemohly být budovány a udržovány v zájmu jednotlivce či skupiny.</w:t>
      </w:r>
      <w:r w:rsidR="00462BE7" w:rsidRPr="006A7A30">
        <w:rPr>
          <w:rFonts w:eastAsia="Calibri"/>
          <w:sz w:val="27"/>
          <w:szCs w:val="27"/>
          <w:vertAlign w:val="superscript"/>
        </w:rPr>
        <w:t xml:space="preserve"> </w:t>
      </w:r>
      <w:r w:rsidR="006A7A30">
        <w:rPr>
          <w:rStyle w:val="Znakapoznpodarou"/>
          <w:rFonts w:eastAsia="Calibri"/>
          <w:sz w:val="27"/>
          <w:szCs w:val="27"/>
        </w:rPr>
        <w:footnoteReference w:id="2"/>
      </w:r>
    </w:p>
    <w:p w14:paraId="248470A2" w14:textId="77777777" w:rsidR="00D65149" w:rsidRPr="00A25D52" w:rsidRDefault="00D65149" w:rsidP="00D65149">
      <w:pPr>
        <w:tabs>
          <w:tab w:val="left" w:pos="1080"/>
        </w:tabs>
        <w:spacing w:line="369" w:lineRule="auto"/>
        <w:ind w:left="1080" w:right="220"/>
        <w:rPr>
          <w:rFonts w:eastAsia="Arial"/>
          <w:color w:val="1F3864" w:themeColor="accent1" w:themeShade="80"/>
          <w:szCs w:val="24"/>
        </w:rPr>
      </w:pPr>
    </w:p>
    <w:p w14:paraId="4A6F29AD" w14:textId="77777777" w:rsidR="008E0F74" w:rsidRPr="00A25D52" w:rsidRDefault="00256F29" w:rsidP="00FC3B7C">
      <w:pPr>
        <w:pStyle w:val="Nadpis3"/>
        <w:rPr>
          <w:rFonts w:cs="Times New Roman"/>
          <w:color w:val="1F3864" w:themeColor="accent1" w:themeShade="80"/>
          <w:sz w:val="20"/>
          <w:szCs w:val="20"/>
        </w:rPr>
      </w:pPr>
      <w:r w:rsidRPr="00A25D52">
        <w:rPr>
          <w:rFonts w:eastAsia="Times New Roman" w:cs="Times New Roman"/>
          <w:color w:val="1F3864" w:themeColor="accent1" w:themeShade="80"/>
        </w:rPr>
        <w:t>Teorie plánování (19. stol a dále)</w:t>
      </w:r>
    </w:p>
    <w:p w14:paraId="4A6F29AE" w14:textId="77777777" w:rsidR="008E0F74" w:rsidRPr="00FC3B7C" w:rsidRDefault="00256F29" w:rsidP="00D65149">
      <w:pPr>
        <w:rPr>
          <w:sz w:val="20"/>
          <w:szCs w:val="20"/>
        </w:rPr>
      </w:pPr>
      <w:r w:rsidRPr="00FC3B7C">
        <w:rPr>
          <w:rFonts w:eastAsia="Times New Roman"/>
        </w:rPr>
        <w:t xml:space="preserve">Extrémně </w:t>
      </w:r>
      <w:r w:rsidRPr="00807152">
        <w:rPr>
          <w:rFonts w:eastAsia="Times New Roman"/>
          <w:u w:val="single"/>
        </w:rPr>
        <w:t>intervencionistický</w:t>
      </w:r>
      <w:r w:rsidRPr="00FC3B7C">
        <w:rPr>
          <w:rFonts w:eastAsia="Times New Roman"/>
        </w:rPr>
        <w:t xml:space="preserve"> případ je organizování ekonomiky jako „jediné dílny“. Tato teorie předpokládá převzetí veškeré moci dělnickou třídou a nastolení stavu společného vlastnictví. Centrálně se volí cíle, úkoly a prostředky k dosažení cílů. S tím, jak se ekonomika stává složitější, je i celý proces plánování složitý, dostává se do krize a následně zaniká.</w:t>
      </w:r>
    </w:p>
    <w:p w14:paraId="4A6F29AF" w14:textId="77777777" w:rsidR="008E0F74" w:rsidRPr="00A25D52" w:rsidRDefault="008E0F74" w:rsidP="00D65149">
      <w:pPr>
        <w:rPr>
          <w:color w:val="1F3864" w:themeColor="accent1" w:themeShade="80"/>
          <w:sz w:val="20"/>
          <w:szCs w:val="20"/>
        </w:rPr>
      </w:pPr>
    </w:p>
    <w:p w14:paraId="4A6F29B0" w14:textId="77777777" w:rsidR="008E0F74" w:rsidRPr="00A25D52" w:rsidRDefault="00256F29" w:rsidP="00D65149">
      <w:pPr>
        <w:pStyle w:val="Nadpis3"/>
        <w:rPr>
          <w:rFonts w:cs="Times New Roman"/>
          <w:color w:val="1F3864" w:themeColor="accent1" w:themeShade="80"/>
          <w:sz w:val="20"/>
          <w:szCs w:val="20"/>
        </w:rPr>
      </w:pPr>
      <w:r w:rsidRPr="00A25D52">
        <w:rPr>
          <w:rFonts w:eastAsia="Times New Roman" w:cs="Times New Roman"/>
          <w:color w:val="1F3864" w:themeColor="accent1" w:themeShade="80"/>
        </w:rPr>
        <w:t>Keynesiánská revoluce (30. léta 20. století)</w:t>
      </w:r>
    </w:p>
    <w:p w14:paraId="4A6F29B1" w14:textId="083ECEE0" w:rsidR="008E0F74" w:rsidRPr="00AC6666" w:rsidRDefault="00256F29" w:rsidP="00462BE7">
      <w:pPr>
        <w:rPr>
          <w:rFonts w:eastAsia="Times New Roman"/>
        </w:rPr>
      </w:pPr>
      <w:r w:rsidRPr="00FC3B7C">
        <w:rPr>
          <w:rFonts w:eastAsia="Times New Roman"/>
        </w:rPr>
        <w:t xml:space="preserve">Po dlouhé období se ekonomové v souvislosti se Sayovým zákonem „nabídka si tvoří svou poptávku“ nezabývají poptávkou. To se však mění po druhé světové válce. V té době vzniká nová ekonomická teorie moderní hospodářské politiky v díle „Obecná teorie zaměstnanosti, úroku a peněz“ (1936) J. M. Keynese. Odklání se zcela od klasického liberalismu a tvrdí, </w:t>
      </w:r>
      <w:r w:rsidR="00462BE7">
        <w:rPr>
          <w:rFonts w:eastAsia="Times New Roman"/>
        </w:rPr>
        <w:br/>
      </w:r>
      <w:r w:rsidRPr="00AC6666">
        <w:rPr>
          <w:rFonts w:eastAsia="Times New Roman"/>
        </w:rPr>
        <w:t xml:space="preserve">že zejména v krátkém období vytváří tržní mechanismus nechtěné alokační efekty a dochází </w:t>
      </w:r>
      <w:r w:rsidR="00462BE7" w:rsidRPr="00AC6666">
        <w:rPr>
          <w:rFonts w:eastAsia="Times New Roman"/>
        </w:rPr>
        <w:br/>
      </w:r>
      <w:r w:rsidRPr="00AC6666">
        <w:rPr>
          <w:rFonts w:eastAsia="Times New Roman"/>
        </w:rPr>
        <w:t xml:space="preserve">k nevyužití disponibilních zdrojů. Za těchto okolností doporučuje </w:t>
      </w:r>
      <w:r w:rsidRPr="00AC6666">
        <w:rPr>
          <w:rFonts w:eastAsia="Times New Roman"/>
          <w:u w:val="single"/>
        </w:rPr>
        <w:t>státní intervence v podobě fiskální politiky</w:t>
      </w:r>
      <w:r w:rsidRPr="00AC6666">
        <w:rPr>
          <w:rFonts w:eastAsia="Times New Roman"/>
        </w:rPr>
        <w:t>. Cílem je stimulace agregátní poptávky. S tím souvisí zvýšení vládních výdajů, financovaných zdaněním a státními půjčkami.</w:t>
      </w:r>
      <w:r w:rsidR="006F7F71" w:rsidRPr="00AC6666">
        <w:rPr>
          <w:rFonts w:eastAsia="Times New Roman"/>
        </w:rPr>
        <w:t xml:space="preserve"> </w:t>
      </w:r>
      <w:r w:rsidR="00987653" w:rsidRPr="00AC6666">
        <w:rPr>
          <w:rFonts w:eastAsia="Times New Roman"/>
        </w:rPr>
        <w:t>2 velký cíle: plná zaměstnanost</w:t>
      </w:r>
      <w:r w:rsidR="00DC5F11" w:rsidRPr="00AC6666">
        <w:rPr>
          <w:rFonts w:eastAsia="Times New Roman"/>
        </w:rPr>
        <w:t xml:space="preserve"> a </w:t>
      </w:r>
      <w:r w:rsidR="000B30A6" w:rsidRPr="00AC6666">
        <w:rPr>
          <w:rFonts w:eastAsia="Times New Roman"/>
        </w:rPr>
        <w:t>vysoká dynamik</w:t>
      </w:r>
      <w:r w:rsidR="001B6A8B" w:rsidRPr="00AC6666">
        <w:rPr>
          <w:rFonts w:eastAsia="Times New Roman"/>
        </w:rPr>
        <w:t>a ekonomického růstu</w:t>
      </w:r>
      <w:r w:rsidR="00A94E9E" w:rsidRPr="00AC6666">
        <w:rPr>
          <w:rFonts w:eastAsia="Times New Roman"/>
        </w:rPr>
        <w:t>.</w:t>
      </w:r>
    </w:p>
    <w:p w14:paraId="6C931F92" w14:textId="41035A7A" w:rsidR="00BB358C" w:rsidRPr="00AC6666" w:rsidRDefault="00BB358C" w:rsidP="00D65149">
      <w:pPr>
        <w:rPr>
          <w:rFonts w:eastAsia="Times New Roman"/>
        </w:rPr>
      </w:pPr>
      <w:r w:rsidRPr="00AC6666">
        <w:rPr>
          <w:rFonts w:eastAsia="Times New Roman"/>
        </w:rPr>
        <w:t>Představitel: John Maynard Keynes</w:t>
      </w:r>
    </w:p>
    <w:p w14:paraId="4A6F29B2" w14:textId="77777777" w:rsidR="008E0F74" w:rsidRPr="00FC3B7C" w:rsidRDefault="008E0F74" w:rsidP="00D65149">
      <w:pPr>
        <w:rPr>
          <w:sz w:val="20"/>
          <w:szCs w:val="20"/>
        </w:rPr>
      </w:pPr>
    </w:p>
    <w:p w14:paraId="4A6F29B3" w14:textId="77777777" w:rsidR="008E0F74" w:rsidRPr="00A25D52" w:rsidRDefault="00256F29" w:rsidP="00D65149">
      <w:pPr>
        <w:pStyle w:val="Nadpis3"/>
        <w:rPr>
          <w:rFonts w:cs="Times New Roman"/>
          <w:color w:val="1F3864" w:themeColor="accent1" w:themeShade="80"/>
          <w:sz w:val="20"/>
          <w:szCs w:val="20"/>
        </w:rPr>
      </w:pPr>
      <w:r w:rsidRPr="00A25D52">
        <w:rPr>
          <w:rFonts w:eastAsia="Times New Roman" w:cs="Times New Roman"/>
          <w:color w:val="1F3864" w:themeColor="accent1" w:themeShade="80"/>
        </w:rPr>
        <w:t>Monetarismus (60. léta 20. století)</w:t>
      </w:r>
    </w:p>
    <w:p w14:paraId="4A6F29B4" w14:textId="13DF4E48" w:rsidR="00462BE7" w:rsidRPr="00AC6666" w:rsidRDefault="00256F29" w:rsidP="00462BE7">
      <w:pPr>
        <w:rPr>
          <w:rFonts w:eastAsia="Times New Roman"/>
          <w:szCs w:val="24"/>
        </w:rPr>
      </w:pPr>
      <w:r w:rsidRPr="00FC3B7C">
        <w:rPr>
          <w:rFonts w:eastAsia="Times New Roman"/>
        </w:rPr>
        <w:t>Anglosaskou reakcí na keynesiánství je monetarismus. Křísí kvantitativní teorii peněz. Čelním představitelem monetarismu je Milton Friedman, který požaduje návrat k tradici vyrovnaného státního rozpočtu a neutrální monetární politiku.</w:t>
      </w:r>
      <w:r w:rsidR="006A7A30">
        <w:rPr>
          <w:rStyle w:val="Znakapoznpodarou"/>
          <w:rFonts w:eastAsia="Times New Roman"/>
        </w:rPr>
        <w:footnoteReference w:id="3"/>
      </w:r>
      <w:r w:rsidRPr="00FC3B7C">
        <w:rPr>
          <w:rFonts w:eastAsia="Times New Roman"/>
        </w:rPr>
        <w:t>Staví na myšlení Rakouské školy, jejíž představitelé jsou zastánci liberalismu a cenového systému. Monetarismus se stal mnohem pružnějším a citlivějším nástrojem hospodářské politiky díky rozvinutí kvantitativní teorie</w:t>
      </w:r>
      <w:bookmarkStart w:id="13" w:name="page12"/>
      <w:bookmarkEnd w:id="13"/>
      <w:r w:rsidR="00462BE7">
        <w:rPr>
          <w:sz w:val="20"/>
          <w:szCs w:val="20"/>
        </w:rPr>
        <w:t xml:space="preserve"> </w:t>
      </w:r>
      <w:r w:rsidRPr="00FC3B7C">
        <w:rPr>
          <w:rFonts w:eastAsia="Times New Roman"/>
          <w:szCs w:val="24"/>
        </w:rPr>
        <w:lastRenderedPageBreak/>
        <w:t xml:space="preserve">peněz do širších makroekonomických souvislostí. Monetaristé požadují garanci vlastnických </w:t>
      </w:r>
      <w:r w:rsidRPr="00AC6666">
        <w:rPr>
          <w:rFonts w:eastAsia="Times New Roman"/>
          <w:szCs w:val="24"/>
        </w:rPr>
        <w:t>práv a tvorbu konkurenčního prostředí. Zdanění má být proporcionální a měnové instituce co nejvíce nezávislé.</w:t>
      </w:r>
      <w:r w:rsidR="006A7A30" w:rsidRPr="00AC6666">
        <w:rPr>
          <w:rStyle w:val="Znakapoznpodarou"/>
          <w:rFonts w:eastAsia="Times New Roman"/>
          <w:szCs w:val="24"/>
        </w:rPr>
        <w:footnoteReference w:id="4"/>
      </w:r>
    </w:p>
    <w:p w14:paraId="57EC8E1D" w14:textId="531B5A23" w:rsidR="00D65149" w:rsidRPr="00AC6666" w:rsidRDefault="007F0449" w:rsidP="00D65149">
      <w:pPr>
        <w:rPr>
          <w:rFonts w:eastAsia="Times New Roman"/>
          <w:szCs w:val="24"/>
        </w:rPr>
      </w:pPr>
      <w:r w:rsidRPr="00AC6666">
        <w:rPr>
          <w:rFonts w:eastAsia="Times New Roman"/>
          <w:szCs w:val="24"/>
        </w:rPr>
        <w:t xml:space="preserve">Představitel: Milton Friedman </w:t>
      </w:r>
    </w:p>
    <w:p w14:paraId="5B5DDE8F" w14:textId="77777777" w:rsidR="00D65149" w:rsidRPr="00D65149" w:rsidRDefault="00D65149" w:rsidP="00D65149">
      <w:pPr>
        <w:rPr>
          <w:rFonts w:eastAsia="Times New Roman"/>
          <w:szCs w:val="24"/>
        </w:rPr>
      </w:pPr>
    </w:p>
    <w:p w14:paraId="4A6F29B7" w14:textId="77777777" w:rsidR="008E0F74" w:rsidRPr="00A25D52" w:rsidRDefault="00256F29" w:rsidP="00FC3B7C">
      <w:pPr>
        <w:pStyle w:val="Nadpis3"/>
        <w:rPr>
          <w:rFonts w:cs="Times New Roman"/>
          <w:color w:val="1F3864" w:themeColor="accent1" w:themeShade="80"/>
          <w:sz w:val="20"/>
          <w:szCs w:val="20"/>
        </w:rPr>
      </w:pPr>
      <w:r w:rsidRPr="00A25D52">
        <w:rPr>
          <w:rFonts w:eastAsia="Times New Roman" w:cs="Times New Roman"/>
          <w:color w:val="1F3864" w:themeColor="accent1" w:themeShade="80"/>
        </w:rPr>
        <w:t>Ordoliberalismus (30. léta 20. století a dále)</w:t>
      </w:r>
    </w:p>
    <w:p w14:paraId="4A6F29B8" w14:textId="21444430" w:rsidR="008E0F74" w:rsidRPr="00AC6666" w:rsidRDefault="00256F29" w:rsidP="006A7A30">
      <w:pPr>
        <w:rPr>
          <w:rFonts w:eastAsia="Times New Roman"/>
        </w:rPr>
      </w:pPr>
      <w:r w:rsidRPr="00FC3B7C">
        <w:rPr>
          <w:rFonts w:eastAsia="Times New Roman"/>
        </w:rPr>
        <w:t>Další opozicí ke keynesiánství je ordoliberalismus. Jedná se o reakci kontinentální a její kolébkou je Univerzita ve Freiburgu. Jedná se o směr, který položil teoretické základy poválečné obnovy západního Německa.</w:t>
      </w:r>
      <w:r w:rsidR="006A7A30">
        <w:rPr>
          <w:rStyle w:val="Znakapoznpodarou"/>
          <w:rFonts w:eastAsia="Times New Roman"/>
          <w:szCs w:val="24"/>
        </w:rPr>
        <w:footnoteReference w:id="5"/>
      </w:r>
      <w:r w:rsidR="00DF1EDE">
        <w:rPr>
          <w:rFonts w:eastAsia="Times New Roman"/>
        </w:rPr>
        <w:t xml:space="preserve"> </w:t>
      </w:r>
      <w:r w:rsidRPr="00FC3B7C">
        <w:rPr>
          <w:rFonts w:eastAsia="Times New Roman"/>
        </w:rPr>
        <w:t xml:space="preserve">Na hospodářskou politiku státu nahlíží ordoliberalisté jako na ručitele všeobecných rámcových podmínek pro fungování tržní ekonomiky. Stát musí vytvořit právní řád, zabezpečit hospodářské svobody jednotlivců, ochránit jejich vlastnická </w:t>
      </w:r>
      <w:r w:rsidRPr="00AC6666">
        <w:rPr>
          <w:rFonts w:eastAsia="Times New Roman"/>
        </w:rPr>
        <w:t>práva a zabezpečit dodržování smluv.</w:t>
      </w:r>
      <w:r w:rsidR="006A7A30" w:rsidRPr="00AC6666">
        <w:rPr>
          <w:rStyle w:val="Znakapoznpodarou"/>
          <w:rFonts w:eastAsia="Times New Roman"/>
          <w:szCs w:val="24"/>
        </w:rPr>
        <w:footnoteReference w:id="6"/>
      </w:r>
      <w:r w:rsidRPr="00AC6666">
        <w:rPr>
          <w:rFonts w:eastAsia="Times New Roman"/>
        </w:rPr>
        <w:t xml:space="preserve"> Představitelé ordoliberalismu v čele s Walterem Euckenem odmítají centrální regulace a kladou důraz na automatické přizpůsobování ekonomiky bez přímých zásahů státu. Ekonomický řád se má utvářet prostřednictvím pravidel a institucí.</w:t>
      </w:r>
      <w:r w:rsidR="006A7A30" w:rsidRPr="00AC6666">
        <w:rPr>
          <w:rStyle w:val="Znakapoznpodarou"/>
          <w:rFonts w:eastAsia="Times New Roman"/>
        </w:rPr>
        <w:footnoteReference w:id="7"/>
      </w:r>
    </w:p>
    <w:p w14:paraId="0D05D65F" w14:textId="58053EC2" w:rsidR="006B2B41" w:rsidRPr="00AC6666" w:rsidRDefault="006B2B41" w:rsidP="006A7A30">
      <w:pPr>
        <w:rPr>
          <w:rFonts w:eastAsia="Times New Roman"/>
        </w:rPr>
      </w:pPr>
      <w:r w:rsidRPr="00AC6666">
        <w:rPr>
          <w:rFonts w:eastAsia="Times New Roman"/>
        </w:rPr>
        <w:t>Představitelé: Ludwig Erhard</w:t>
      </w:r>
      <w:r w:rsidR="005731E6" w:rsidRPr="00AC6666">
        <w:rPr>
          <w:rFonts w:eastAsia="Times New Roman"/>
        </w:rPr>
        <w:t>, Walter Eucken</w:t>
      </w:r>
    </w:p>
    <w:p w14:paraId="4A6F29B9" w14:textId="77777777" w:rsidR="008E0F74" w:rsidRPr="00FC3B7C" w:rsidRDefault="008E0F74">
      <w:pPr>
        <w:spacing w:line="6" w:lineRule="exact"/>
        <w:rPr>
          <w:sz w:val="20"/>
          <w:szCs w:val="20"/>
        </w:rPr>
      </w:pPr>
    </w:p>
    <w:p w14:paraId="4A6F29BA" w14:textId="77777777" w:rsidR="008E0F74" w:rsidRPr="00FC3B7C" w:rsidRDefault="00256F29">
      <w:pPr>
        <w:rPr>
          <w:sz w:val="20"/>
          <w:szCs w:val="20"/>
        </w:rPr>
      </w:pPr>
      <w:r w:rsidRPr="00FC3B7C">
        <w:rPr>
          <w:rFonts w:eastAsia="Times New Roman"/>
          <w:b/>
          <w:bCs/>
          <w:i/>
          <w:iCs/>
          <w:szCs w:val="24"/>
          <w:u w:val="single"/>
        </w:rPr>
        <w:t>Uvedení do praxe</w:t>
      </w:r>
    </w:p>
    <w:p w14:paraId="4A6F29BB" w14:textId="77777777" w:rsidR="008E0F74" w:rsidRPr="00FC3B7C" w:rsidRDefault="00256F29">
      <w:pPr>
        <w:rPr>
          <w:sz w:val="20"/>
          <w:szCs w:val="20"/>
        </w:rPr>
      </w:pPr>
      <w:r w:rsidRPr="00FC3B7C">
        <w:rPr>
          <w:rFonts w:eastAsia="Times New Roman"/>
          <w:i/>
          <w:iCs/>
          <w:szCs w:val="24"/>
          <w:u w:val="single"/>
        </w:rPr>
        <w:t>Německý zázrak – liberálně konzervativní směr:</w:t>
      </w:r>
    </w:p>
    <w:p w14:paraId="4A6F29BC" w14:textId="77777777" w:rsidR="008E0F74" w:rsidRPr="006A7A30" w:rsidRDefault="00256F29" w:rsidP="006A7A30">
      <w:pPr>
        <w:rPr>
          <w:i/>
          <w:sz w:val="20"/>
          <w:szCs w:val="20"/>
        </w:rPr>
      </w:pPr>
      <w:r w:rsidRPr="006A7A30">
        <w:rPr>
          <w:rFonts w:eastAsia="Times New Roman"/>
          <w:i/>
        </w:rPr>
        <w:t xml:space="preserve">Co mu předcházelo: Druhá světová válka přinesla porážku a rozdělení Německa na východní zónu, pod správou SSSR a západní zónu kontrolovanou VB, USA a Francií. Převládal barter, černý trh, obrovská nezaměstnanost. Klíčovou roli na zlepšení situace sehrálo rozpoutání studené války, neboť USA začalo chápat Německo jako nejdůležitějšího spojence a umožnilo mu přístup na světový trh. Důležitou roli sehrál i proces evropské integrace, který našel </w:t>
      </w:r>
      <w:r w:rsidR="006A7A30">
        <w:rPr>
          <w:rFonts w:eastAsia="Times New Roman"/>
          <w:i/>
        </w:rPr>
        <w:br/>
      </w:r>
      <w:r w:rsidRPr="006A7A30">
        <w:rPr>
          <w:rFonts w:eastAsia="Times New Roman"/>
          <w:i/>
        </w:rPr>
        <w:t>u Německa velkou podporu. NSR (západní Německo) se tedy vydalo na cestu liberální ekonomiky a snahy o vytvoření perspektivního hospodářského modelu.</w:t>
      </w:r>
    </w:p>
    <w:p w14:paraId="4A6F29BD" w14:textId="77777777" w:rsidR="008E0F74" w:rsidRPr="00FC3B7C" w:rsidRDefault="008E0F74">
      <w:pPr>
        <w:spacing w:line="1" w:lineRule="exact"/>
        <w:rPr>
          <w:sz w:val="20"/>
          <w:szCs w:val="20"/>
        </w:rPr>
      </w:pPr>
    </w:p>
    <w:p w14:paraId="4A6F29BE" w14:textId="77777777" w:rsidR="008E0F74" w:rsidRPr="00FC3B7C" w:rsidRDefault="00256F29" w:rsidP="006A7A30">
      <w:pPr>
        <w:spacing w:before="240"/>
        <w:rPr>
          <w:sz w:val="20"/>
          <w:szCs w:val="20"/>
        </w:rPr>
      </w:pPr>
      <w:r w:rsidRPr="00FC3B7C">
        <w:rPr>
          <w:rFonts w:eastAsia="Times New Roman"/>
          <w:i/>
          <w:iCs/>
          <w:szCs w:val="24"/>
          <w:u w:val="single"/>
        </w:rPr>
        <w:t>Sociálně tržní hospodářství:</w:t>
      </w:r>
    </w:p>
    <w:p w14:paraId="4A6F29BF" w14:textId="77777777" w:rsidR="008E0F74" w:rsidRPr="00FC3B7C" w:rsidRDefault="00256F29" w:rsidP="006A7A30">
      <w:pPr>
        <w:rPr>
          <w:sz w:val="20"/>
          <w:szCs w:val="20"/>
        </w:rPr>
      </w:pPr>
      <w:r w:rsidRPr="006A7A30">
        <w:rPr>
          <w:rFonts w:eastAsia="Times New Roman"/>
          <w:i/>
        </w:rPr>
        <w:t xml:space="preserve">Bylo koncipováno tak, aby i soukromé vlastnictví mělo určitou společenskou zodpovědnost. Primárním zdrojem se stal ordoliberalismus, který kladl paralelně důraz na liberální část (uvolnění trhu, liberalizace cen, aj.) i na část ordo-právního řádu, tzn. základem je svobodný obchod v podmínkách právního prostředí. Stát zaručuje sociální jistoty a určuje mantinely </w:t>
      </w:r>
      <w:r w:rsidR="006A7A30">
        <w:rPr>
          <w:rFonts w:eastAsia="Times New Roman"/>
          <w:i/>
        </w:rPr>
        <w:br/>
      </w:r>
      <w:r w:rsidRPr="006A7A30">
        <w:rPr>
          <w:rFonts w:eastAsia="Times New Roman"/>
          <w:i/>
        </w:rPr>
        <w:t xml:space="preserve">pro obchod. Došlo ke zvyšování nezávislosti centrální banky. Byla dokončena měnová reforma </w:t>
      </w:r>
      <w:r w:rsidRPr="006A7A30">
        <w:rPr>
          <w:rFonts w:eastAsia="Times New Roman"/>
          <w:i/>
        </w:rPr>
        <w:lastRenderedPageBreak/>
        <w:t>a</w:t>
      </w:r>
      <w:bookmarkStart w:id="14" w:name="page13"/>
      <w:bookmarkEnd w:id="14"/>
      <w:r w:rsidR="006A7A30">
        <w:rPr>
          <w:rFonts w:eastAsia="Times New Roman"/>
          <w:i/>
        </w:rPr>
        <w:t xml:space="preserve"> </w:t>
      </w:r>
      <w:r w:rsidRPr="00FC3B7C">
        <w:rPr>
          <w:rFonts w:eastAsia="Times New Roman"/>
          <w:i/>
          <w:iCs/>
          <w:szCs w:val="24"/>
        </w:rPr>
        <w:t>stabilizovány ceny, což ukončilo barterový obchod a vrátilo důvěru v liberalizaci mezi obyvatelstvo.</w:t>
      </w:r>
    </w:p>
    <w:p w14:paraId="4A6F29C0" w14:textId="77777777" w:rsidR="008E0F74" w:rsidRPr="00FC3B7C" w:rsidRDefault="00256F29">
      <w:pPr>
        <w:rPr>
          <w:sz w:val="20"/>
          <w:szCs w:val="20"/>
        </w:rPr>
      </w:pPr>
      <w:r w:rsidRPr="00FC3B7C">
        <w:rPr>
          <w:rFonts w:eastAsia="Times New Roman"/>
          <w:i/>
          <w:iCs/>
          <w:szCs w:val="24"/>
          <w:u w:val="single"/>
        </w:rPr>
        <w:t>Dopady zavedení:</w:t>
      </w:r>
    </w:p>
    <w:p w14:paraId="4A6F29C1" w14:textId="77777777" w:rsidR="008E0F74" w:rsidRPr="00FC3B7C" w:rsidRDefault="00256F29" w:rsidP="004A5F54">
      <w:pPr>
        <w:numPr>
          <w:ilvl w:val="0"/>
          <w:numId w:val="10"/>
        </w:numPr>
        <w:tabs>
          <w:tab w:val="left" w:pos="1080"/>
        </w:tabs>
        <w:ind w:left="1080" w:hanging="358"/>
        <w:rPr>
          <w:rFonts w:eastAsia="Arial"/>
          <w:szCs w:val="24"/>
        </w:rPr>
      </w:pPr>
      <w:r w:rsidRPr="00FC3B7C">
        <w:rPr>
          <w:rFonts w:eastAsia="Times New Roman"/>
          <w:i/>
          <w:iCs/>
          <w:szCs w:val="24"/>
        </w:rPr>
        <w:t>stlačení inflace pomocí přísné měnové disciplíny</w:t>
      </w:r>
    </w:p>
    <w:p w14:paraId="4A6F29C2" w14:textId="77777777" w:rsidR="008E0F74" w:rsidRPr="00FC3B7C" w:rsidRDefault="00256F29" w:rsidP="004A5F54">
      <w:pPr>
        <w:numPr>
          <w:ilvl w:val="0"/>
          <w:numId w:val="10"/>
        </w:numPr>
        <w:tabs>
          <w:tab w:val="left" w:pos="1080"/>
        </w:tabs>
        <w:ind w:left="1080" w:hanging="358"/>
        <w:rPr>
          <w:rFonts w:eastAsia="Arial"/>
          <w:szCs w:val="24"/>
        </w:rPr>
      </w:pPr>
      <w:r w:rsidRPr="00FC3B7C">
        <w:rPr>
          <w:rFonts w:eastAsia="Times New Roman"/>
          <w:i/>
          <w:iCs/>
          <w:szCs w:val="24"/>
        </w:rPr>
        <w:t>výsledkem v 50. - 60. letech je až 8 % růst</w:t>
      </w:r>
    </w:p>
    <w:p w14:paraId="4A6F29C3" w14:textId="77777777" w:rsidR="006A7A30" w:rsidRPr="006A7A30" w:rsidRDefault="00256F29" w:rsidP="004A5F54">
      <w:pPr>
        <w:numPr>
          <w:ilvl w:val="0"/>
          <w:numId w:val="10"/>
        </w:numPr>
        <w:tabs>
          <w:tab w:val="left" w:pos="1080"/>
        </w:tabs>
        <w:ind w:left="1080" w:hanging="358"/>
        <w:rPr>
          <w:rFonts w:eastAsia="Arial"/>
          <w:szCs w:val="24"/>
        </w:rPr>
      </w:pPr>
      <w:r w:rsidRPr="006A7A30">
        <w:rPr>
          <w:rFonts w:eastAsia="Times New Roman"/>
          <w:i/>
          <w:iCs/>
          <w:szCs w:val="24"/>
        </w:rPr>
        <w:t>nízká inflace: pod 2%</w:t>
      </w:r>
    </w:p>
    <w:p w14:paraId="4A6F29C4" w14:textId="3B2FF8BA" w:rsidR="008E0F74" w:rsidRPr="00D65149" w:rsidRDefault="00256F29" w:rsidP="004A5F54">
      <w:pPr>
        <w:numPr>
          <w:ilvl w:val="0"/>
          <w:numId w:val="10"/>
        </w:numPr>
        <w:tabs>
          <w:tab w:val="left" w:pos="1080"/>
        </w:tabs>
        <w:ind w:left="1080" w:hanging="358"/>
        <w:rPr>
          <w:rFonts w:eastAsia="Arial"/>
          <w:szCs w:val="24"/>
        </w:rPr>
      </w:pPr>
      <w:r w:rsidRPr="006A7A30">
        <w:rPr>
          <w:rFonts w:eastAsia="Times New Roman"/>
          <w:i/>
          <w:iCs/>
          <w:szCs w:val="24"/>
        </w:rPr>
        <w:t>nízká nezaměstnanost: 1-2%</w:t>
      </w:r>
    </w:p>
    <w:p w14:paraId="3A65DD2C" w14:textId="77777777" w:rsidR="00D65149" w:rsidRPr="00A25D52" w:rsidRDefault="00D65149" w:rsidP="00D65149">
      <w:pPr>
        <w:tabs>
          <w:tab w:val="left" w:pos="1080"/>
        </w:tabs>
        <w:ind w:left="1080"/>
        <w:rPr>
          <w:rFonts w:eastAsia="Arial"/>
          <w:color w:val="1F3864" w:themeColor="accent1" w:themeShade="80"/>
          <w:szCs w:val="24"/>
        </w:rPr>
      </w:pPr>
    </w:p>
    <w:p w14:paraId="4A6F29C5" w14:textId="77777777" w:rsidR="008E0F74" w:rsidRPr="00A25D52" w:rsidRDefault="00256F29" w:rsidP="00FC3B7C">
      <w:pPr>
        <w:pStyle w:val="Nadpis3"/>
        <w:rPr>
          <w:rFonts w:cs="Times New Roman"/>
          <w:color w:val="1F3864" w:themeColor="accent1" w:themeShade="80"/>
          <w:sz w:val="20"/>
          <w:szCs w:val="20"/>
        </w:rPr>
      </w:pPr>
      <w:r w:rsidRPr="00A25D52">
        <w:rPr>
          <w:rFonts w:eastAsia="Times New Roman" w:cs="Times New Roman"/>
          <w:color w:val="1F3864" w:themeColor="accent1" w:themeShade="80"/>
        </w:rPr>
        <w:t>Teorie veřejné volby</w:t>
      </w:r>
    </w:p>
    <w:p w14:paraId="4A6F29C6" w14:textId="40BE8373" w:rsidR="008E0F74" w:rsidRDefault="00256F29" w:rsidP="006A7A30">
      <w:pPr>
        <w:rPr>
          <w:rFonts w:eastAsia="Times New Roman"/>
        </w:rPr>
      </w:pPr>
      <w:r w:rsidRPr="00FC3B7C">
        <w:rPr>
          <w:rFonts w:eastAsia="Times New Roman"/>
        </w:rPr>
        <w:t xml:space="preserve">Tato teorie striktně vychází z metodologického individualismu a poukazuje na to, že cílem jednotlivce je maximalizovat svůj vlastní prospěch. Stejně jako lidé v ekonomice, chovají se potom i političtí angažovaní jedinci a soustřeďují se na naplnění vlastních ambicí spíše než </w:t>
      </w:r>
      <w:r w:rsidR="005C0E1F">
        <w:rPr>
          <w:rFonts w:eastAsia="Times New Roman"/>
        </w:rPr>
        <w:br/>
      </w:r>
      <w:r w:rsidRPr="00FC3B7C">
        <w:rPr>
          <w:rFonts w:eastAsia="Times New Roman"/>
        </w:rPr>
        <w:t>na zajištění obecného blaha. To vše ústí v posílení argumentace proti státnímu intervencionismu. Škola veřejné volby prosazuje omezení moci státních úředníků zákonnou cestou, malou vládu a její pravomoci.</w:t>
      </w:r>
    </w:p>
    <w:p w14:paraId="67C5BB60" w14:textId="48CDFE8D" w:rsidR="00B520B0" w:rsidRPr="00FC3B7C" w:rsidRDefault="00B520B0" w:rsidP="006A7A30">
      <w:pPr>
        <w:rPr>
          <w:sz w:val="20"/>
          <w:szCs w:val="20"/>
        </w:rPr>
      </w:pPr>
      <w:r>
        <w:rPr>
          <w:rFonts w:eastAsia="Times New Roman"/>
        </w:rPr>
        <w:t>Představitel:</w:t>
      </w:r>
      <w:r w:rsidR="00621C29">
        <w:rPr>
          <w:rFonts w:eastAsia="Times New Roman"/>
        </w:rPr>
        <w:t xml:space="preserve"> James Buchanan</w:t>
      </w:r>
      <w:r>
        <w:rPr>
          <w:rFonts w:eastAsia="Times New Roman"/>
        </w:rPr>
        <w:t xml:space="preserve"> </w:t>
      </w:r>
    </w:p>
    <w:p w14:paraId="4A6F29C7" w14:textId="77777777" w:rsidR="008E0F74" w:rsidRPr="00FC3B7C" w:rsidRDefault="008E0F74">
      <w:pPr>
        <w:spacing w:line="228" w:lineRule="exact"/>
        <w:rPr>
          <w:sz w:val="20"/>
          <w:szCs w:val="20"/>
        </w:rPr>
      </w:pPr>
    </w:p>
    <w:p w14:paraId="4A6F29C8" w14:textId="77777777" w:rsidR="008E0F74" w:rsidRPr="00A25D52" w:rsidRDefault="00256F29" w:rsidP="00FC3B7C">
      <w:pPr>
        <w:pStyle w:val="Nadpis2"/>
        <w:rPr>
          <w:rFonts w:cs="Times New Roman"/>
          <w:color w:val="1F3864" w:themeColor="accent1" w:themeShade="80"/>
          <w:sz w:val="20"/>
          <w:szCs w:val="20"/>
        </w:rPr>
      </w:pPr>
      <w:r w:rsidRPr="00A25D52">
        <w:rPr>
          <w:rFonts w:eastAsia="Times New Roman" w:cs="Times New Roman"/>
          <w:color w:val="1F3864" w:themeColor="accent1" w:themeShade="80"/>
        </w:rPr>
        <w:t>HOSPODÁŘSKO-POLITICKÉ KONCEPCE</w:t>
      </w:r>
    </w:p>
    <w:p w14:paraId="34B0CAA2" w14:textId="77777777" w:rsidR="0031283C" w:rsidRPr="00AC6666" w:rsidRDefault="00B33445" w:rsidP="005C0E1F">
      <w:pPr>
        <w:rPr>
          <w:rFonts w:eastAsia="Times New Roman"/>
        </w:rPr>
      </w:pPr>
      <w:r>
        <w:rPr>
          <w:rFonts w:eastAsia="Times New Roman"/>
        </w:rPr>
        <w:t xml:space="preserve">Jedná se o širší soubor názorů. </w:t>
      </w:r>
      <w:r w:rsidR="00256F29" w:rsidRPr="00FC3B7C">
        <w:rPr>
          <w:rFonts w:eastAsia="Times New Roman"/>
        </w:rPr>
        <w:t>K řešením otázky výběru cílů HP a volby nástrojů k jejich dosažení přistupují jednotlivé</w:t>
      </w:r>
      <w:r w:rsidR="006A7A30">
        <w:rPr>
          <w:rFonts w:eastAsia="Times New Roman"/>
        </w:rPr>
        <w:t xml:space="preserve"> </w:t>
      </w:r>
      <w:r w:rsidR="006A7A30" w:rsidRPr="00A25D52">
        <w:rPr>
          <w:rFonts w:eastAsia="Times New Roman"/>
        </w:rPr>
        <w:t>hospodářskopolitické</w:t>
      </w:r>
      <w:r w:rsidR="006A7A30" w:rsidRPr="00A25D52">
        <w:rPr>
          <w:rFonts w:eastAsia="Times New Roman"/>
        </w:rPr>
        <w:tab/>
        <w:t xml:space="preserve">koncepce. </w:t>
      </w:r>
      <w:r w:rsidR="005C0E1F">
        <w:rPr>
          <w:rFonts w:eastAsia="Times New Roman"/>
        </w:rPr>
        <w:t xml:space="preserve">Jsou to teoreticko-orientační </w:t>
      </w:r>
      <w:r w:rsidR="00256F29" w:rsidRPr="00FC3B7C">
        <w:rPr>
          <w:rFonts w:eastAsia="Times New Roman"/>
        </w:rPr>
        <w:t>rámce</w:t>
      </w:r>
      <w:r w:rsidR="005C0E1F">
        <w:rPr>
          <w:rFonts w:eastAsia="Times New Roman"/>
        </w:rPr>
        <w:t xml:space="preserve"> </w:t>
      </w:r>
      <w:r w:rsidR="00256F29" w:rsidRPr="00FC3B7C">
        <w:rPr>
          <w:rFonts w:eastAsia="Times New Roman"/>
        </w:rPr>
        <w:t>pro</w:t>
      </w:r>
      <w:r w:rsidR="005C0E1F">
        <w:rPr>
          <w:rFonts w:eastAsia="Times New Roman"/>
        </w:rPr>
        <w:t xml:space="preserve"> h</w:t>
      </w:r>
      <w:r w:rsidR="00256F29" w:rsidRPr="00FC3B7C">
        <w:rPr>
          <w:rFonts w:eastAsia="Times New Roman"/>
        </w:rPr>
        <w:t>ospodářskou</w:t>
      </w:r>
      <w:r w:rsidR="006A7A30">
        <w:rPr>
          <w:rFonts w:eastAsia="Times New Roman"/>
        </w:rPr>
        <w:t xml:space="preserve"> </w:t>
      </w:r>
      <w:r w:rsidR="00256F29" w:rsidRPr="00FC3B7C">
        <w:rPr>
          <w:rFonts w:eastAsia="Times New Roman"/>
        </w:rPr>
        <w:t>činnost, jež mají své specifické</w:t>
      </w:r>
      <w:r w:rsidR="00051954">
        <w:rPr>
          <w:rFonts w:eastAsia="Times New Roman"/>
        </w:rPr>
        <w:t>,</w:t>
      </w:r>
      <w:r w:rsidR="00256F29" w:rsidRPr="00FC3B7C">
        <w:rPr>
          <w:rFonts w:eastAsia="Times New Roman"/>
        </w:rPr>
        <w:t xml:space="preserve"> filozofické, myšlenkové a ideologické kořeny.</w:t>
      </w:r>
      <w:r w:rsidR="005C0E1F">
        <w:rPr>
          <w:rStyle w:val="Znakapoznpodarou"/>
          <w:rFonts w:eastAsia="Times New Roman"/>
        </w:rPr>
        <w:footnoteReference w:id="8"/>
      </w:r>
      <w:r w:rsidR="006A7A30">
        <w:rPr>
          <w:sz w:val="20"/>
          <w:szCs w:val="20"/>
        </w:rPr>
        <w:t xml:space="preserve"> </w:t>
      </w:r>
      <w:r w:rsidR="00256F29" w:rsidRPr="00FC3B7C">
        <w:rPr>
          <w:rFonts w:eastAsia="Times New Roman"/>
        </w:rPr>
        <w:t xml:space="preserve">Teoretické pojetí způsobu chování a efektivnosti soukromého a státního </w:t>
      </w:r>
      <w:r w:rsidR="00256F29" w:rsidRPr="00AC6666">
        <w:rPr>
          <w:rFonts w:eastAsia="Times New Roman"/>
        </w:rPr>
        <w:t>sektoru je kritérium</w:t>
      </w:r>
      <w:r w:rsidR="006A7A30" w:rsidRPr="00AC6666">
        <w:rPr>
          <w:sz w:val="20"/>
          <w:szCs w:val="20"/>
        </w:rPr>
        <w:t xml:space="preserve"> </w:t>
      </w:r>
      <w:r w:rsidR="00256F29" w:rsidRPr="00AC6666">
        <w:rPr>
          <w:rFonts w:eastAsia="Times New Roman"/>
        </w:rPr>
        <w:t xml:space="preserve">k </w:t>
      </w:r>
      <w:r w:rsidR="005C0E1F" w:rsidRPr="00AC6666">
        <w:rPr>
          <w:rFonts w:eastAsia="Times New Roman"/>
        </w:rPr>
        <w:t xml:space="preserve">dělení tří základních koncepcí. </w:t>
      </w:r>
    </w:p>
    <w:p w14:paraId="4167A794" w14:textId="1C5B4265" w:rsidR="0031283C" w:rsidRPr="00AC6666" w:rsidRDefault="005C0E1F" w:rsidP="00D46B53">
      <w:pPr>
        <w:pStyle w:val="Odstavecseseznamem"/>
        <w:numPr>
          <w:ilvl w:val="0"/>
          <w:numId w:val="608"/>
        </w:numPr>
        <w:rPr>
          <w:sz w:val="20"/>
          <w:szCs w:val="20"/>
        </w:rPr>
      </w:pPr>
      <w:r w:rsidRPr="00AC6666">
        <w:rPr>
          <w:rFonts w:eastAsia="Times New Roman"/>
          <w:b/>
          <w:bCs/>
        </w:rPr>
        <w:t>Liberální</w:t>
      </w:r>
      <w:r w:rsidR="0015621F" w:rsidRPr="00AC6666">
        <w:rPr>
          <w:rFonts w:eastAsia="Times New Roman"/>
          <w:b/>
          <w:bCs/>
        </w:rPr>
        <w:t xml:space="preserve"> (tržně ko</w:t>
      </w:r>
      <w:r w:rsidR="00877CDA" w:rsidRPr="00AC6666">
        <w:rPr>
          <w:rFonts w:eastAsia="Times New Roman"/>
          <w:b/>
          <w:bCs/>
        </w:rPr>
        <w:t>n</w:t>
      </w:r>
      <w:r w:rsidR="0015621F" w:rsidRPr="00AC6666">
        <w:rPr>
          <w:rFonts w:eastAsia="Times New Roman"/>
          <w:b/>
          <w:bCs/>
        </w:rPr>
        <w:t xml:space="preserve">formní) </w:t>
      </w:r>
    </w:p>
    <w:p w14:paraId="720D7C44" w14:textId="68EB92D2" w:rsidR="0031283C" w:rsidRPr="00AC6666" w:rsidRDefault="0031283C" w:rsidP="00D46B53">
      <w:pPr>
        <w:pStyle w:val="Odstavecseseznamem"/>
        <w:numPr>
          <w:ilvl w:val="0"/>
          <w:numId w:val="608"/>
        </w:numPr>
        <w:rPr>
          <w:sz w:val="20"/>
          <w:szCs w:val="20"/>
        </w:rPr>
      </w:pPr>
      <w:r w:rsidRPr="00AC6666">
        <w:rPr>
          <w:rFonts w:eastAsia="Times New Roman"/>
          <w:b/>
          <w:bCs/>
        </w:rPr>
        <w:t>I</w:t>
      </w:r>
      <w:r w:rsidR="00256F29" w:rsidRPr="00AC6666">
        <w:rPr>
          <w:rFonts w:eastAsia="Times New Roman"/>
          <w:b/>
          <w:bCs/>
        </w:rPr>
        <w:t>ntervencionistick</w:t>
      </w:r>
      <w:r w:rsidR="005C0E1F" w:rsidRPr="00AC6666">
        <w:rPr>
          <w:rFonts w:eastAsia="Times New Roman"/>
          <w:b/>
          <w:bCs/>
        </w:rPr>
        <w:t>é</w:t>
      </w:r>
      <w:r w:rsidR="003376E1">
        <w:rPr>
          <w:rFonts w:eastAsia="Times New Roman"/>
          <w:b/>
          <w:bCs/>
        </w:rPr>
        <w:t xml:space="preserve"> </w:t>
      </w:r>
      <w:r w:rsidR="00877CDA" w:rsidRPr="00AC6666">
        <w:rPr>
          <w:rFonts w:eastAsia="Times New Roman"/>
          <w:b/>
          <w:bCs/>
        </w:rPr>
        <w:t xml:space="preserve">(státně paternalistická) </w:t>
      </w:r>
    </w:p>
    <w:p w14:paraId="4A6F29C9" w14:textId="3327EA3B" w:rsidR="008E0F74" w:rsidRPr="00AC6666" w:rsidRDefault="0031283C" w:rsidP="00D46B53">
      <w:pPr>
        <w:pStyle w:val="Odstavecseseznamem"/>
        <w:numPr>
          <w:ilvl w:val="0"/>
          <w:numId w:val="608"/>
        </w:numPr>
        <w:rPr>
          <w:sz w:val="20"/>
          <w:szCs w:val="20"/>
        </w:rPr>
      </w:pPr>
      <w:r w:rsidRPr="00AC6666">
        <w:rPr>
          <w:rFonts w:eastAsia="Times New Roman"/>
          <w:b/>
          <w:bCs/>
        </w:rPr>
        <w:t>O</w:t>
      </w:r>
      <w:r w:rsidR="00256F29" w:rsidRPr="00AC6666">
        <w:rPr>
          <w:rFonts w:eastAsia="Times New Roman"/>
          <w:b/>
          <w:bCs/>
        </w:rPr>
        <w:t>rganizačně</w:t>
      </w:r>
      <w:r w:rsidR="005C0E1F" w:rsidRPr="00AC6666">
        <w:rPr>
          <w:rFonts w:eastAsia="Times New Roman"/>
        </w:rPr>
        <w:t xml:space="preserve"> </w:t>
      </w:r>
      <w:r w:rsidR="00256F29" w:rsidRPr="00AC6666">
        <w:rPr>
          <w:rFonts w:eastAsia="Times New Roman"/>
          <w:b/>
          <w:bCs/>
        </w:rPr>
        <w:t>uspořádané</w:t>
      </w:r>
      <w:r w:rsidR="00256F29" w:rsidRPr="00AC6666">
        <w:rPr>
          <w:rFonts w:eastAsia="Times New Roman"/>
        </w:rPr>
        <w:t xml:space="preserve"> </w:t>
      </w:r>
      <w:r w:rsidR="00256F29" w:rsidRPr="00AC6666">
        <w:rPr>
          <w:rFonts w:eastAsia="Times New Roman"/>
          <w:b/>
          <w:bCs/>
        </w:rPr>
        <w:t>ekonomiky.</w:t>
      </w:r>
      <w:r w:rsidR="005C0E1F" w:rsidRPr="00AC6666">
        <w:rPr>
          <w:rStyle w:val="Znakapoznpodarou"/>
          <w:rFonts w:eastAsia="Times New Roman"/>
          <w:b/>
          <w:bCs/>
        </w:rPr>
        <w:footnoteReference w:id="9"/>
      </w:r>
      <w:r w:rsidR="003332D8" w:rsidRPr="00AC6666">
        <w:rPr>
          <w:rFonts w:eastAsia="Times New Roman"/>
          <w:b/>
          <w:bCs/>
        </w:rPr>
        <w:t xml:space="preserve"> (tradiční marxistická koncepce)</w:t>
      </w:r>
    </w:p>
    <w:p w14:paraId="4A6F29CA" w14:textId="77777777" w:rsidR="008E0F74" w:rsidRPr="00FC3B7C" w:rsidRDefault="008E0F74">
      <w:pPr>
        <w:spacing w:line="20" w:lineRule="exact"/>
        <w:rPr>
          <w:sz w:val="20"/>
          <w:szCs w:val="20"/>
        </w:rPr>
      </w:pPr>
    </w:p>
    <w:p w14:paraId="4A6F29CB" w14:textId="77777777" w:rsidR="008E0F74" w:rsidRPr="00FC3B7C" w:rsidRDefault="008E0F74">
      <w:pPr>
        <w:spacing w:line="200" w:lineRule="exact"/>
        <w:rPr>
          <w:sz w:val="20"/>
          <w:szCs w:val="20"/>
        </w:rPr>
      </w:pPr>
    </w:p>
    <w:p w14:paraId="626B8CE7" w14:textId="77777777" w:rsidR="0071085C" w:rsidRDefault="0071085C">
      <w:pPr>
        <w:rPr>
          <w:rFonts w:eastAsia="Times New Roman"/>
          <w:b/>
          <w:bCs/>
          <w:szCs w:val="24"/>
        </w:rPr>
      </w:pPr>
      <w:bookmarkStart w:id="15" w:name="page14"/>
      <w:bookmarkEnd w:id="15"/>
    </w:p>
    <w:p w14:paraId="28CAC08C" w14:textId="77777777" w:rsidR="0071085C" w:rsidRDefault="0071085C">
      <w:pPr>
        <w:rPr>
          <w:rFonts w:eastAsia="Times New Roman"/>
          <w:b/>
          <w:bCs/>
          <w:szCs w:val="24"/>
        </w:rPr>
      </w:pPr>
    </w:p>
    <w:p w14:paraId="6E231F03" w14:textId="77777777" w:rsidR="0071085C" w:rsidRDefault="0071085C">
      <w:pPr>
        <w:rPr>
          <w:rFonts w:eastAsia="Times New Roman"/>
          <w:b/>
          <w:bCs/>
          <w:szCs w:val="24"/>
        </w:rPr>
      </w:pPr>
    </w:p>
    <w:p w14:paraId="714A5D76" w14:textId="01212882" w:rsidR="0071085C" w:rsidRDefault="0071085C">
      <w:pPr>
        <w:rPr>
          <w:rFonts w:eastAsia="Times New Roman"/>
          <w:b/>
          <w:bCs/>
          <w:szCs w:val="24"/>
        </w:rPr>
      </w:pPr>
    </w:p>
    <w:p w14:paraId="701BB833" w14:textId="77777777" w:rsidR="00D65149" w:rsidRDefault="00D65149">
      <w:pPr>
        <w:rPr>
          <w:rFonts w:eastAsia="Times New Roman"/>
          <w:b/>
          <w:bCs/>
          <w:szCs w:val="24"/>
        </w:rPr>
      </w:pPr>
    </w:p>
    <w:p w14:paraId="3F43E769" w14:textId="77777777" w:rsidR="0071085C" w:rsidRDefault="0071085C">
      <w:pPr>
        <w:rPr>
          <w:rFonts w:eastAsia="Times New Roman"/>
          <w:b/>
          <w:bCs/>
          <w:szCs w:val="24"/>
        </w:rPr>
      </w:pPr>
    </w:p>
    <w:p w14:paraId="4A6F29CC" w14:textId="3C528603" w:rsidR="008E0F74" w:rsidRPr="00FC3B7C" w:rsidRDefault="00256F29">
      <w:pPr>
        <w:rPr>
          <w:sz w:val="20"/>
          <w:szCs w:val="20"/>
        </w:rPr>
      </w:pPr>
      <w:r w:rsidRPr="00FC3B7C">
        <w:rPr>
          <w:rFonts w:eastAsia="Times New Roman"/>
          <w:b/>
          <w:bCs/>
          <w:szCs w:val="24"/>
        </w:rPr>
        <w:lastRenderedPageBreak/>
        <w:t xml:space="preserve">Obr. č. </w:t>
      </w:r>
      <w:r w:rsidR="0071085C">
        <w:rPr>
          <w:rFonts w:eastAsia="Times New Roman"/>
          <w:b/>
          <w:bCs/>
          <w:szCs w:val="24"/>
        </w:rPr>
        <w:t>3</w:t>
      </w:r>
      <w:r w:rsidRPr="00FC3B7C">
        <w:rPr>
          <w:rFonts w:eastAsia="Times New Roman"/>
          <w:b/>
          <w:bCs/>
          <w:szCs w:val="24"/>
        </w:rPr>
        <w:t>: Schéma rozdělení hospodářské politiky:</w:t>
      </w:r>
    </w:p>
    <w:p w14:paraId="4A6F29CD" w14:textId="77777777" w:rsidR="008E0F74" w:rsidRPr="00FC3B7C" w:rsidRDefault="008E0F74">
      <w:pPr>
        <w:spacing w:line="20" w:lineRule="exact"/>
        <w:rPr>
          <w:sz w:val="20"/>
          <w:szCs w:val="20"/>
        </w:rPr>
      </w:pPr>
    </w:p>
    <w:p w14:paraId="4A6F29CE" w14:textId="77777777" w:rsidR="008E0F74" w:rsidRPr="00FC3B7C" w:rsidRDefault="005C0E1F">
      <w:pPr>
        <w:spacing w:line="200" w:lineRule="exact"/>
        <w:rPr>
          <w:sz w:val="20"/>
          <w:szCs w:val="20"/>
        </w:rPr>
      </w:pPr>
      <w:r w:rsidRPr="00FC3B7C">
        <w:rPr>
          <w:noProof/>
          <w:sz w:val="20"/>
          <w:szCs w:val="20"/>
        </w:rPr>
        <w:drawing>
          <wp:anchor distT="0" distB="0" distL="114300" distR="114300" simplePos="0" relativeHeight="251510272" behindDoc="1" locked="0" layoutInCell="0" allowOverlap="1" wp14:anchorId="4A6F5C34" wp14:editId="1CCEE137">
            <wp:simplePos x="0" y="0"/>
            <wp:positionH relativeFrom="column">
              <wp:posOffset>1111250</wp:posOffset>
            </wp:positionH>
            <wp:positionV relativeFrom="paragraph">
              <wp:posOffset>12700</wp:posOffset>
            </wp:positionV>
            <wp:extent cx="3924300" cy="3744619"/>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3924300" cy="3744619"/>
                    </a:xfrm>
                    <a:prstGeom prst="rect">
                      <a:avLst/>
                    </a:prstGeom>
                    <a:noFill/>
                  </pic:spPr>
                </pic:pic>
              </a:graphicData>
            </a:graphic>
            <wp14:sizeRelH relativeFrom="margin">
              <wp14:pctWidth>0</wp14:pctWidth>
            </wp14:sizeRelH>
            <wp14:sizeRelV relativeFrom="margin">
              <wp14:pctHeight>0</wp14:pctHeight>
            </wp14:sizeRelV>
          </wp:anchor>
        </w:drawing>
      </w:r>
    </w:p>
    <w:p w14:paraId="4A6F29CF" w14:textId="77777777" w:rsidR="008E0F74" w:rsidRPr="00FC3B7C" w:rsidRDefault="008E0F74">
      <w:pPr>
        <w:spacing w:line="200" w:lineRule="exact"/>
        <w:rPr>
          <w:sz w:val="20"/>
          <w:szCs w:val="20"/>
        </w:rPr>
      </w:pPr>
    </w:p>
    <w:p w14:paraId="4A6F29D0" w14:textId="77777777" w:rsidR="008E0F74" w:rsidRPr="00FC3B7C" w:rsidRDefault="008E0F74">
      <w:pPr>
        <w:spacing w:line="200" w:lineRule="exact"/>
        <w:rPr>
          <w:sz w:val="20"/>
          <w:szCs w:val="20"/>
        </w:rPr>
      </w:pPr>
    </w:p>
    <w:p w14:paraId="4A6F29D1" w14:textId="77777777" w:rsidR="008E0F74" w:rsidRPr="00FC3B7C" w:rsidRDefault="008E0F74">
      <w:pPr>
        <w:spacing w:line="200" w:lineRule="exact"/>
        <w:rPr>
          <w:sz w:val="20"/>
          <w:szCs w:val="20"/>
        </w:rPr>
      </w:pPr>
    </w:p>
    <w:p w14:paraId="4A6F29D2" w14:textId="77777777" w:rsidR="008E0F74" w:rsidRPr="00FC3B7C" w:rsidRDefault="008E0F74">
      <w:pPr>
        <w:spacing w:line="200" w:lineRule="exact"/>
        <w:rPr>
          <w:sz w:val="20"/>
          <w:szCs w:val="20"/>
        </w:rPr>
      </w:pPr>
    </w:p>
    <w:p w14:paraId="4A6F29D3" w14:textId="77777777" w:rsidR="008E0F74" w:rsidRPr="00FC3B7C" w:rsidRDefault="008E0F74">
      <w:pPr>
        <w:spacing w:line="200" w:lineRule="exact"/>
        <w:rPr>
          <w:sz w:val="20"/>
          <w:szCs w:val="20"/>
        </w:rPr>
      </w:pPr>
    </w:p>
    <w:p w14:paraId="4A6F29D4" w14:textId="77777777" w:rsidR="008E0F74" w:rsidRPr="00FC3B7C" w:rsidRDefault="008E0F74">
      <w:pPr>
        <w:spacing w:line="200" w:lineRule="exact"/>
        <w:rPr>
          <w:sz w:val="20"/>
          <w:szCs w:val="20"/>
        </w:rPr>
      </w:pPr>
    </w:p>
    <w:p w14:paraId="4A6F29D5" w14:textId="77777777" w:rsidR="008E0F74" w:rsidRPr="00FC3B7C" w:rsidRDefault="008E0F74">
      <w:pPr>
        <w:spacing w:line="200" w:lineRule="exact"/>
        <w:rPr>
          <w:sz w:val="20"/>
          <w:szCs w:val="20"/>
        </w:rPr>
      </w:pPr>
    </w:p>
    <w:p w14:paraId="4A6F29D6" w14:textId="77777777" w:rsidR="008E0F74" w:rsidRPr="00FC3B7C" w:rsidRDefault="008E0F74">
      <w:pPr>
        <w:spacing w:line="200" w:lineRule="exact"/>
        <w:rPr>
          <w:sz w:val="20"/>
          <w:szCs w:val="20"/>
        </w:rPr>
      </w:pPr>
    </w:p>
    <w:p w14:paraId="4A6F29D7" w14:textId="77777777" w:rsidR="008E0F74" w:rsidRPr="00FC3B7C" w:rsidRDefault="008E0F74">
      <w:pPr>
        <w:spacing w:line="200" w:lineRule="exact"/>
        <w:rPr>
          <w:sz w:val="20"/>
          <w:szCs w:val="20"/>
        </w:rPr>
      </w:pPr>
    </w:p>
    <w:p w14:paraId="4A6F29D8" w14:textId="77777777" w:rsidR="008E0F74" w:rsidRPr="00FC3B7C" w:rsidRDefault="008E0F74">
      <w:pPr>
        <w:spacing w:line="200" w:lineRule="exact"/>
        <w:rPr>
          <w:sz w:val="20"/>
          <w:szCs w:val="20"/>
        </w:rPr>
      </w:pPr>
    </w:p>
    <w:p w14:paraId="4A6F29D9" w14:textId="77777777" w:rsidR="008E0F74" w:rsidRPr="00FC3B7C" w:rsidRDefault="008E0F74">
      <w:pPr>
        <w:spacing w:line="200" w:lineRule="exact"/>
        <w:rPr>
          <w:sz w:val="20"/>
          <w:szCs w:val="20"/>
        </w:rPr>
      </w:pPr>
    </w:p>
    <w:p w14:paraId="4A6F29DA" w14:textId="77777777" w:rsidR="008E0F74" w:rsidRPr="00FC3B7C" w:rsidRDefault="008E0F74">
      <w:pPr>
        <w:spacing w:line="200" w:lineRule="exact"/>
        <w:rPr>
          <w:sz w:val="20"/>
          <w:szCs w:val="20"/>
        </w:rPr>
      </w:pPr>
    </w:p>
    <w:p w14:paraId="4A6F29DB" w14:textId="77777777" w:rsidR="008E0F74" w:rsidRPr="00FC3B7C" w:rsidRDefault="008E0F74">
      <w:pPr>
        <w:spacing w:line="200" w:lineRule="exact"/>
        <w:rPr>
          <w:sz w:val="20"/>
          <w:szCs w:val="20"/>
        </w:rPr>
      </w:pPr>
    </w:p>
    <w:p w14:paraId="4A6F29DC" w14:textId="77777777" w:rsidR="008E0F74" w:rsidRPr="00FC3B7C" w:rsidRDefault="008E0F74">
      <w:pPr>
        <w:spacing w:line="200" w:lineRule="exact"/>
        <w:rPr>
          <w:sz w:val="20"/>
          <w:szCs w:val="20"/>
        </w:rPr>
      </w:pPr>
    </w:p>
    <w:p w14:paraId="4A6F29DD" w14:textId="77777777" w:rsidR="008E0F74" w:rsidRPr="00FC3B7C" w:rsidRDefault="008E0F74">
      <w:pPr>
        <w:spacing w:line="200" w:lineRule="exact"/>
        <w:rPr>
          <w:sz w:val="20"/>
          <w:szCs w:val="20"/>
        </w:rPr>
      </w:pPr>
    </w:p>
    <w:p w14:paraId="4A6F29DE" w14:textId="77777777" w:rsidR="008E0F74" w:rsidRPr="00FC3B7C" w:rsidRDefault="008E0F74">
      <w:pPr>
        <w:spacing w:line="200" w:lineRule="exact"/>
        <w:rPr>
          <w:sz w:val="20"/>
          <w:szCs w:val="20"/>
        </w:rPr>
      </w:pPr>
    </w:p>
    <w:p w14:paraId="4A6F29DF" w14:textId="77777777" w:rsidR="008E0F74" w:rsidRPr="00FC3B7C" w:rsidRDefault="008E0F74">
      <w:pPr>
        <w:spacing w:line="200" w:lineRule="exact"/>
        <w:rPr>
          <w:sz w:val="20"/>
          <w:szCs w:val="20"/>
        </w:rPr>
      </w:pPr>
    </w:p>
    <w:p w14:paraId="4A6F29E0" w14:textId="77777777" w:rsidR="008E0F74" w:rsidRPr="00FC3B7C" w:rsidRDefault="008E0F74">
      <w:pPr>
        <w:spacing w:line="200" w:lineRule="exact"/>
        <w:rPr>
          <w:sz w:val="20"/>
          <w:szCs w:val="20"/>
        </w:rPr>
      </w:pPr>
    </w:p>
    <w:p w14:paraId="4A6F29E1" w14:textId="77777777" w:rsidR="008E0F74" w:rsidRPr="00FC3B7C" w:rsidRDefault="008E0F74">
      <w:pPr>
        <w:spacing w:line="200" w:lineRule="exact"/>
        <w:rPr>
          <w:sz w:val="20"/>
          <w:szCs w:val="20"/>
        </w:rPr>
      </w:pPr>
    </w:p>
    <w:p w14:paraId="4A6F29E2" w14:textId="77777777" w:rsidR="008E0F74" w:rsidRPr="00FC3B7C" w:rsidRDefault="008E0F74">
      <w:pPr>
        <w:spacing w:line="200" w:lineRule="exact"/>
        <w:rPr>
          <w:sz w:val="20"/>
          <w:szCs w:val="20"/>
        </w:rPr>
      </w:pPr>
    </w:p>
    <w:p w14:paraId="4A6F29E3" w14:textId="77777777" w:rsidR="008E0F74" w:rsidRPr="00FC3B7C" w:rsidRDefault="008E0F74">
      <w:pPr>
        <w:spacing w:line="200" w:lineRule="exact"/>
        <w:rPr>
          <w:sz w:val="20"/>
          <w:szCs w:val="20"/>
        </w:rPr>
      </w:pPr>
    </w:p>
    <w:p w14:paraId="4A6F29E4" w14:textId="77777777" w:rsidR="008E0F74" w:rsidRPr="00FC3B7C" w:rsidRDefault="008E0F74">
      <w:pPr>
        <w:spacing w:line="200" w:lineRule="exact"/>
        <w:rPr>
          <w:sz w:val="20"/>
          <w:szCs w:val="20"/>
        </w:rPr>
      </w:pPr>
    </w:p>
    <w:p w14:paraId="4A6F29EC" w14:textId="77777777" w:rsidR="008E0F74" w:rsidRPr="00FC3B7C" w:rsidRDefault="008E0F74">
      <w:pPr>
        <w:spacing w:line="200" w:lineRule="exact"/>
        <w:rPr>
          <w:sz w:val="20"/>
          <w:szCs w:val="20"/>
        </w:rPr>
      </w:pPr>
    </w:p>
    <w:p w14:paraId="0D883DA7" w14:textId="77777777" w:rsidR="0071085C" w:rsidRDefault="0071085C" w:rsidP="005C0E1F">
      <w:pPr>
        <w:rPr>
          <w:rFonts w:eastAsia="Times New Roman"/>
          <w:sz w:val="20"/>
          <w:szCs w:val="20"/>
        </w:rPr>
      </w:pPr>
    </w:p>
    <w:p w14:paraId="4B9FDA61" w14:textId="77777777" w:rsidR="0071085C" w:rsidRDefault="0071085C" w:rsidP="005C0E1F">
      <w:pPr>
        <w:rPr>
          <w:rFonts w:eastAsia="Times New Roman"/>
          <w:sz w:val="20"/>
          <w:szCs w:val="20"/>
        </w:rPr>
      </w:pPr>
    </w:p>
    <w:p w14:paraId="0CECEBAD" w14:textId="77777777" w:rsidR="0071085C" w:rsidRDefault="0071085C" w:rsidP="005C0E1F">
      <w:pPr>
        <w:rPr>
          <w:rFonts w:eastAsia="Times New Roman"/>
          <w:sz w:val="20"/>
          <w:szCs w:val="20"/>
        </w:rPr>
      </w:pPr>
    </w:p>
    <w:p w14:paraId="1A7E6CA5" w14:textId="77777777" w:rsidR="0071085C" w:rsidRDefault="0071085C" w:rsidP="005C0E1F">
      <w:pPr>
        <w:rPr>
          <w:rFonts w:eastAsia="Times New Roman"/>
          <w:sz w:val="20"/>
          <w:szCs w:val="20"/>
        </w:rPr>
      </w:pPr>
    </w:p>
    <w:p w14:paraId="4A6F29ED" w14:textId="781A0D55" w:rsidR="008E0F74" w:rsidRPr="00FC3B7C" w:rsidRDefault="00256F29" w:rsidP="005C0E1F">
      <w:pPr>
        <w:rPr>
          <w:sz w:val="20"/>
          <w:szCs w:val="20"/>
        </w:rPr>
      </w:pPr>
      <w:r w:rsidRPr="00FC3B7C">
        <w:rPr>
          <w:rFonts w:eastAsia="Times New Roman"/>
          <w:sz w:val="20"/>
          <w:szCs w:val="20"/>
        </w:rPr>
        <w:t>Zdroj:</w:t>
      </w:r>
      <w:r w:rsidR="005C0E1F">
        <w:rPr>
          <w:rFonts w:eastAsia="Times New Roman"/>
          <w:sz w:val="20"/>
          <w:szCs w:val="20"/>
        </w:rPr>
        <w:t xml:space="preserve"> </w:t>
      </w:r>
      <w:r w:rsidRPr="00FC3B7C">
        <w:rPr>
          <w:rFonts w:eastAsia="Times New Roman"/>
          <w:sz w:val="20"/>
          <w:szCs w:val="20"/>
        </w:rPr>
        <w:t>Slaný, A., 2003.</w:t>
      </w:r>
    </w:p>
    <w:p w14:paraId="4A6F29EE" w14:textId="77777777" w:rsidR="008E0F74" w:rsidRPr="0096098D" w:rsidRDefault="00256F29" w:rsidP="00FC3B7C">
      <w:pPr>
        <w:pStyle w:val="Nadpis3"/>
        <w:rPr>
          <w:rFonts w:cs="Times New Roman"/>
          <w:color w:val="1F3864" w:themeColor="accent1" w:themeShade="80"/>
          <w:sz w:val="20"/>
          <w:szCs w:val="20"/>
        </w:rPr>
      </w:pPr>
      <w:r w:rsidRPr="0096098D">
        <w:rPr>
          <w:rFonts w:eastAsia="Times New Roman" w:cs="Times New Roman"/>
          <w:color w:val="1F3864" w:themeColor="accent1" w:themeShade="80"/>
        </w:rPr>
        <w:t>Intervencionistická koncepce</w:t>
      </w:r>
    </w:p>
    <w:p w14:paraId="218172D8" w14:textId="77815D54" w:rsidR="00C41878" w:rsidRPr="00D65149" w:rsidRDefault="00256F29" w:rsidP="005C0E1F">
      <w:pPr>
        <w:rPr>
          <w:rFonts w:eastAsia="Times New Roman"/>
        </w:rPr>
      </w:pPr>
      <w:r w:rsidRPr="00FC3B7C">
        <w:rPr>
          <w:rFonts w:eastAsia="Times New Roman"/>
        </w:rPr>
        <w:t xml:space="preserve">Tato koncepce se snaží zdůvodnit potřebu státních zásahů do ekonomiky. V krátkém čase totiž dle intervencionistů nemá soukromý sektor dostatečné informace o budoucím hospodářském vývoji, a je proto nutné kompenzovat chybná rozhodnutí a vývoj soukromého sektoru státními </w:t>
      </w:r>
      <w:r w:rsidRPr="00AC6666">
        <w:rPr>
          <w:rFonts w:eastAsia="Times New Roman"/>
        </w:rPr>
        <w:t xml:space="preserve">zásahy. Hovoří o „selhání trhu“. Mezi přístupy hlásící se k této koncepci patří postkeynesiánství, neokeynesiánství, nová keynesiánská ekonomie, institucionální </w:t>
      </w:r>
      <w:r w:rsidR="005C0E1F" w:rsidRPr="00AC6666">
        <w:rPr>
          <w:rFonts w:eastAsia="Times New Roman"/>
        </w:rPr>
        <w:br/>
      </w:r>
      <w:r w:rsidRPr="00AC6666">
        <w:rPr>
          <w:rFonts w:eastAsia="Times New Roman"/>
        </w:rPr>
        <w:t>a neoinstitucionální ekonomie.</w:t>
      </w:r>
      <w:r w:rsidR="005B0399" w:rsidRPr="00AC6666">
        <w:rPr>
          <w:rFonts w:eastAsia="Times New Roman"/>
        </w:rPr>
        <w:t xml:space="preserve"> Intervencionistická koncepce se začala projevovat jako praktická hospodářská politika od 30. let 20. století do 70. let 20. století. Důležitá byla makroekonomická teorie J. M. Keynese.</w:t>
      </w:r>
    </w:p>
    <w:p w14:paraId="4A6F29F0" w14:textId="77777777" w:rsidR="008E0F74" w:rsidRPr="00FC3B7C" w:rsidRDefault="008E0F74">
      <w:pPr>
        <w:spacing w:line="190" w:lineRule="exact"/>
        <w:rPr>
          <w:sz w:val="20"/>
          <w:szCs w:val="20"/>
        </w:rPr>
      </w:pPr>
    </w:p>
    <w:p w14:paraId="4A6F29F1" w14:textId="77777777" w:rsidR="008E0F74" w:rsidRPr="004B61A2" w:rsidRDefault="00256F29" w:rsidP="00FC3B7C">
      <w:pPr>
        <w:pStyle w:val="Nadpis4"/>
        <w:rPr>
          <w:rFonts w:cs="Times New Roman"/>
          <w:color w:val="2F5496" w:themeColor="accent1" w:themeShade="BF"/>
          <w:sz w:val="20"/>
          <w:szCs w:val="20"/>
        </w:rPr>
      </w:pPr>
      <w:r w:rsidRPr="0096098D">
        <w:rPr>
          <w:rFonts w:eastAsia="Times New Roman" w:cs="Times New Roman"/>
          <w:color w:val="1F3864" w:themeColor="accent1" w:themeShade="80"/>
        </w:rPr>
        <w:t>New Deal (1933-37, USA, F. D. Roosevelt)</w:t>
      </w:r>
    </w:p>
    <w:p w14:paraId="4A6F29F2" w14:textId="38E64A10" w:rsidR="008E0F74" w:rsidRDefault="00256F29" w:rsidP="005C0E1F">
      <w:pPr>
        <w:rPr>
          <w:rFonts w:eastAsia="Times New Roman"/>
          <w:szCs w:val="24"/>
        </w:rPr>
      </w:pPr>
      <w:r w:rsidRPr="00FC3B7C">
        <w:rPr>
          <w:rFonts w:eastAsia="Times New Roman"/>
        </w:rPr>
        <w:t xml:space="preserve">Státně paternalistický systém, ve kterém existuje řada regulačních úřadů. Organizované je důchodové pojištění a pojištění v nezaměstnanosti. Existuje zde federální pojištění vkladů </w:t>
      </w:r>
      <w:r w:rsidR="005C0E1F">
        <w:rPr>
          <w:rFonts w:eastAsia="Times New Roman"/>
        </w:rPr>
        <w:br/>
      </w:r>
      <w:r w:rsidRPr="00FC3B7C">
        <w:rPr>
          <w:rFonts w:eastAsia="Times New Roman"/>
        </w:rPr>
        <w:t>a</w:t>
      </w:r>
      <w:r w:rsidR="005C0E1F">
        <w:rPr>
          <w:rFonts w:eastAsia="Times New Roman"/>
        </w:rPr>
        <w:t xml:space="preserve"> </w:t>
      </w:r>
      <w:r w:rsidRPr="00FC3B7C">
        <w:rPr>
          <w:rFonts w:eastAsia="Times New Roman"/>
          <w:szCs w:val="24"/>
        </w:rPr>
        <w:t>zvýšení regulace v bankovnictví. Jeho součástí je reform</w:t>
      </w:r>
      <w:r w:rsidR="00E44DAC" w:rsidRPr="00FC3B7C">
        <w:rPr>
          <w:rFonts w:eastAsia="Times New Roman"/>
          <w:szCs w:val="24"/>
        </w:rPr>
        <w:t xml:space="preserve">a bankovního sektoru v podobě </w:t>
      </w:r>
      <w:bookmarkStart w:id="16" w:name="page15"/>
      <w:bookmarkEnd w:id="16"/>
      <w:r w:rsidRPr="00FC3B7C">
        <w:rPr>
          <w:rFonts w:eastAsia="Times New Roman"/>
          <w:szCs w:val="24"/>
        </w:rPr>
        <w:t>diverzifikace investičního a komerčního bankovnictví. Dále potom daňová reforma, která zavádí dědickou a darovací daň, daně z dividend a progresivní</w:t>
      </w:r>
      <w:r w:rsidR="005C0E1F">
        <w:rPr>
          <w:rFonts w:eastAsia="Times New Roman"/>
          <w:szCs w:val="24"/>
        </w:rPr>
        <w:t xml:space="preserve"> osobní zdanění. Zavádí se také </w:t>
      </w:r>
      <w:r w:rsidRPr="00FC3B7C">
        <w:rPr>
          <w:rFonts w:eastAsia="Times New Roman"/>
          <w:szCs w:val="24"/>
        </w:rPr>
        <w:t>minimální mzda a právo na stávku, podporuje se účast v odborech.</w:t>
      </w:r>
    </w:p>
    <w:p w14:paraId="75B42D0A" w14:textId="77777777" w:rsidR="00D65149" w:rsidRPr="00FC3B7C" w:rsidRDefault="00D65149" w:rsidP="005C0E1F">
      <w:pPr>
        <w:rPr>
          <w:sz w:val="20"/>
          <w:szCs w:val="20"/>
        </w:rPr>
      </w:pPr>
    </w:p>
    <w:p w14:paraId="4A6F29F3" w14:textId="77777777" w:rsidR="008E0F74" w:rsidRPr="00FC3B7C" w:rsidRDefault="008E0F74">
      <w:pPr>
        <w:spacing w:line="2" w:lineRule="exact"/>
        <w:rPr>
          <w:sz w:val="20"/>
          <w:szCs w:val="20"/>
        </w:rPr>
      </w:pPr>
    </w:p>
    <w:p w14:paraId="4A6F29F4" w14:textId="77777777" w:rsidR="008E0F74" w:rsidRPr="00FC3B7C" w:rsidRDefault="00256F29" w:rsidP="005C0E1F">
      <w:pPr>
        <w:spacing w:before="240"/>
        <w:rPr>
          <w:sz w:val="20"/>
          <w:szCs w:val="20"/>
        </w:rPr>
      </w:pPr>
      <w:r w:rsidRPr="00FC3B7C">
        <w:rPr>
          <w:rFonts w:eastAsia="Times New Roman"/>
          <w:b/>
          <w:bCs/>
          <w:szCs w:val="24"/>
        </w:rPr>
        <w:lastRenderedPageBreak/>
        <w:t>Dopady New Dealu:</w:t>
      </w:r>
    </w:p>
    <w:p w14:paraId="4A6F29F5" w14:textId="77777777" w:rsidR="008E0F74" w:rsidRPr="005C0E1F" w:rsidRDefault="00256F29" w:rsidP="00D46B53">
      <w:pPr>
        <w:pStyle w:val="Odstavecseseznamem"/>
        <w:numPr>
          <w:ilvl w:val="0"/>
          <w:numId w:val="594"/>
        </w:numPr>
        <w:rPr>
          <w:rFonts w:eastAsia="Arial"/>
        </w:rPr>
      </w:pPr>
      <w:r w:rsidRPr="005C0E1F">
        <w:rPr>
          <w:rFonts w:eastAsia="Times New Roman"/>
        </w:rPr>
        <w:t>v důsledku růstu vládních výdajů došlo k růstu domácího produktu</w:t>
      </w:r>
    </w:p>
    <w:p w14:paraId="4A6F29F6" w14:textId="77777777" w:rsidR="008E0F74" w:rsidRPr="005C0E1F" w:rsidRDefault="00256F29" w:rsidP="00D46B53">
      <w:pPr>
        <w:pStyle w:val="Odstavecseseznamem"/>
        <w:numPr>
          <w:ilvl w:val="0"/>
          <w:numId w:val="594"/>
        </w:numPr>
        <w:rPr>
          <w:rFonts w:eastAsia="Arial"/>
          <w:sz w:val="23"/>
          <w:szCs w:val="23"/>
        </w:rPr>
      </w:pPr>
      <w:r w:rsidRPr="005C0E1F">
        <w:rPr>
          <w:rFonts w:eastAsia="Times New Roman"/>
          <w:sz w:val="23"/>
          <w:szCs w:val="23"/>
        </w:rPr>
        <w:t>finanční prostředky poskytované na podporu reformních programů byly získávány výnosy z daní. Během šesti let došlo ke zvýšení daně z příjmů o více než polovinu, což dopadlo především na podnikatele, kteří tak omezili svou činnost</w:t>
      </w:r>
    </w:p>
    <w:p w14:paraId="4A6F29F7" w14:textId="77777777" w:rsidR="008E0F74" w:rsidRPr="005C0E1F" w:rsidRDefault="00256F29" w:rsidP="00D46B53">
      <w:pPr>
        <w:pStyle w:val="Odstavecseseznamem"/>
        <w:numPr>
          <w:ilvl w:val="0"/>
          <w:numId w:val="594"/>
        </w:numPr>
        <w:rPr>
          <w:rFonts w:eastAsia="Arial"/>
        </w:rPr>
      </w:pPr>
      <w:r w:rsidRPr="005C0E1F">
        <w:rPr>
          <w:rFonts w:eastAsia="Times New Roman"/>
        </w:rPr>
        <w:t>v oblasti zaměstnanosti pouze krátkodobé zlepšení, jinak bez úspěchu. Projekty veřejných prací byly dlouhodobě neudržitelné</w:t>
      </w:r>
    </w:p>
    <w:p w14:paraId="4A6F29F8" w14:textId="77777777" w:rsidR="008E0F74" w:rsidRPr="005C0E1F" w:rsidRDefault="00256F29" w:rsidP="00D46B53">
      <w:pPr>
        <w:pStyle w:val="Odstavecseseznamem"/>
        <w:numPr>
          <w:ilvl w:val="0"/>
          <w:numId w:val="594"/>
        </w:numPr>
        <w:rPr>
          <w:rFonts w:eastAsia="Arial"/>
        </w:rPr>
      </w:pPr>
      <w:r w:rsidRPr="005C0E1F">
        <w:rPr>
          <w:rFonts w:eastAsia="Times New Roman"/>
        </w:rPr>
        <w:t xml:space="preserve">zavedl do americké ekonomiky sociální programy jako starobní důchod, či pojištění </w:t>
      </w:r>
      <w:r w:rsidR="005C0E1F">
        <w:rPr>
          <w:rFonts w:eastAsia="Times New Roman"/>
        </w:rPr>
        <w:br/>
      </w:r>
      <w:r w:rsidRPr="005C0E1F">
        <w:rPr>
          <w:rFonts w:eastAsia="Times New Roman"/>
        </w:rPr>
        <w:t>v nezaměstnanosti</w:t>
      </w:r>
    </w:p>
    <w:p w14:paraId="4A6F29F9" w14:textId="77777777" w:rsidR="008E0F74" w:rsidRPr="005C0E1F" w:rsidRDefault="00256F29" w:rsidP="00D46B53">
      <w:pPr>
        <w:pStyle w:val="Odstavecseseznamem"/>
        <w:numPr>
          <w:ilvl w:val="0"/>
          <w:numId w:val="594"/>
        </w:numPr>
        <w:rPr>
          <w:rFonts w:eastAsia="Arial"/>
        </w:rPr>
      </w:pPr>
      <w:r w:rsidRPr="005C0E1F">
        <w:rPr>
          <w:rFonts w:eastAsia="Times New Roman"/>
        </w:rPr>
        <w:t>podařilo se mu obnovit důvěru v bankovní systém, pomocí vyhlášení bankovních prázdnin a kontroly nad stavem jednotlivých bank</w:t>
      </w:r>
    </w:p>
    <w:p w14:paraId="1CD962C0" w14:textId="25DE2DEB" w:rsidR="004B61A2" w:rsidRPr="00D65149" w:rsidRDefault="00256F29" w:rsidP="00D46B53">
      <w:pPr>
        <w:pStyle w:val="Odstavecseseznamem"/>
        <w:numPr>
          <w:ilvl w:val="0"/>
          <w:numId w:val="594"/>
        </w:numPr>
        <w:rPr>
          <w:rFonts w:eastAsia="Arial"/>
        </w:rPr>
      </w:pPr>
      <w:r w:rsidRPr="005C0E1F">
        <w:rPr>
          <w:rFonts w:eastAsia="Times New Roman"/>
        </w:rPr>
        <w:t>od jeho dob se stal deficit státního rozpočtu běžným nástrojem sledování ekonomických cílů v USA.</w:t>
      </w:r>
    </w:p>
    <w:p w14:paraId="4A6F29FD" w14:textId="77777777" w:rsidR="008E0F74" w:rsidRPr="0096098D" w:rsidRDefault="00256F29" w:rsidP="00FC3B7C">
      <w:pPr>
        <w:pStyle w:val="Nadpis4"/>
        <w:rPr>
          <w:rFonts w:cs="Times New Roman"/>
          <w:color w:val="1F3864" w:themeColor="accent1" w:themeShade="80"/>
          <w:sz w:val="20"/>
          <w:szCs w:val="20"/>
        </w:rPr>
      </w:pPr>
      <w:r w:rsidRPr="0096098D">
        <w:rPr>
          <w:rFonts w:eastAsia="Times New Roman" w:cs="Times New Roman"/>
          <w:color w:val="1F3864" w:themeColor="accent1" w:themeShade="80"/>
        </w:rPr>
        <w:t>Reforma Mei-Ji (20. století, Japonsko)</w:t>
      </w:r>
    </w:p>
    <w:p w14:paraId="4A6F29FE" w14:textId="77777777" w:rsidR="008E0F74" w:rsidRPr="00FC3B7C" w:rsidRDefault="00256F29" w:rsidP="005C0E1F">
      <w:pPr>
        <w:rPr>
          <w:sz w:val="20"/>
          <w:szCs w:val="20"/>
        </w:rPr>
      </w:pPr>
      <w:r w:rsidRPr="00FC3B7C">
        <w:rPr>
          <w:rFonts w:eastAsia="Times New Roman"/>
        </w:rPr>
        <w:t xml:space="preserve">Přechod feudální země agrárního zaměření v rozvinutou tržní ekonomiku. Po 1. světové válce dochází k militarizaci hospodářství. Dominantní průmyslové podniky a banky se sdružují – </w:t>
      </w:r>
      <w:r w:rsidRPr="00FC3B7C">
        <w:rPr>
          <w:rFonts w:eastAsia="Times New Roman"/>
          <w:b/>
          <w:bCs/>
        </w:rPr>
        <w:t>zaibatsu</w:t>
      </w:r>
      <w:r w:rsidRPr="00FC3B7C">
        <w:rPr>
          <w:rFonts w:eastAsia="Times New Roman"/>
        </w:rPr>
        <w:t>. Následně</w:t>
      </w:r>
      <w:r w:rsidRPr="00FC3B7C">
        <w:rPr>
          <w:rFonts w:eastAsia="Times New Roman"/>
          <w:b/>
          <w:bCs/>
        </w:rPr>
        <w:t xml:space="preserve"> </w:t>
      </w:r>
      <w:r w:rsidRPr="00FC3B7C">
        <w:rPr>
          <w:rFonts w:eastAsia="Times New Roman"/>
        </w:rPr>
        <w:t xml:space="preserve">jsou však oligopolní konglomeráty oslabeny koncem 2. světové války </w:t>
      </w:r>
      <w:r w:rsidR="005C0E1F">
        <w:rPr>
          <w:rFonts w:eastAsia="Times New Roman"/>
        </w:rPr>
        <w:br/>
      </w:r>
      <w:r w:rsidRPr="00FC3B7C">
        <w:rPr>
          <w:rFonts w:eastAsia="Times New Roman"/>
        </w:rPr>
        <w:t>a</w:t>
      </w:r>
      <w:r w:rsidRPr="00FC3B7C">
        <w:rPr>
          <w:rFonts w:eastAsia="Times New Roman"/>
          <w:b/>
          <w:bCs/>
        </w:rPr>
        <w:t xml:space="preserve"> </w:t>
      </w:r>
      <w:r w:rsidRPr="00FC3B7C">
        <w:rPr>
          <w:rFonts w:eastAsia="Times New Roman"/>
        </w:rPr>
        <w:t xml:space="preserve">dochází ke kapitálovému propojení oslabujících podniků a bank </w:t>
      </w:r>
      <w:r w:rsidRPr="00FC3B7C">
        <w:rPr>
          <w:rFonts w:eastAsia="Times New Roman"/>
          <w:b/>
          <w:bCs/>
        </w:rPr>
        <w:t>– keiretru</w:t>
      </w:r>
      <w:r w:rsidRPr="00FC3B7C">
        <w:rPr>
          <w:rFonts w:eastAsia="Times New Roman"/>
        </w:rPr>
        <w:t>. Bankovnictví se rozděluje na komerční a investiční. Typický je institucionalismus a indikativní plánování, které má doporučující charakter. Ekonomika je založena na celoživotním zaměstnání, vysoké míře úspor, dlouhé pracovní době, investic do vzdělání a vysoké firemní kultuře.</w:t>
      </w:r>
    </w:p>
    <w:p w14:paraId="4A6F29FF" w14:textId="77777777" w:rsidR="008E0F74" w:rsidRPr="00FC3B7C" w:rsidRDefault="008E0F74">
      <w:pPr>
        <w:spacing w:line="186" w:lineRule="exact"/>
        <w:rPr>
          <w:sz w:val="20"/>
          <w:szCs w:val="20"/>
        </w:rPr>
      </w:pPr>
    </w:p>
    <w:p w14:paraId="4A6F2A00" w14:textId="77777777" w:rsidR="008E0F74" w:rsidRPr="0096098D" w:rsidRDefault="00256F29" w:rsidP="00FC3B7C">
      <w:pPr>
        <w:pStyle w:val="Nadpis4"/>
        <w:rPr>
          <w:rFonts w:cs="Times New Roman"/>
          <w:color w:val="1F3864" w:themeColor="accent1" w:themeShade="80"/>
          <w:sz w:val="20"/>
          <w:szCs w:val="20"/>
        </w:rPr>
      </w:pPr>
      <w:r w:rsidRPr="0096098D">
        <w:rPr>
          <w:rFonts w:eastAsia="Times New Roman" w:cs="Times New Roman"/>
          <w:color w:val="1F3864" w:themeColor="accent1" w:themeShade="80"/>
        </w:rPr>
        <w:t>Indikativní plánování ve Francii</w:t>
      </w:r>
    </w:p>
    <w:p w14:paraId="4A6F2A02" w14:textId="4AFB11A1" w:rsidR="008E0F74" w:rsidRPr="00FC3B7C" w:rsidRDefault="00256F29" w:rsidP="00D65149">
      <w:pPr>
        <w:rPr>
          <w:sz w:val="20"/>
          <w:szCs w:val="20"/>
        </w:rPr>
      </w:pPr>
      <w:r w:rsidRPr="00FC3B7C">
        <w:rPr>
          <w:rFonts w:eastAsia="Times New Roman"/>
        </w:rPr>
        <w:t xml:space="preserve">Francouzské indikativní plánování je jedním ze západoevropských způsobů tzv. měkkého plánování. Na rozdíl od východoevropského centrálního plánování nebylo závazně příkazové, ale stanovovalo všeobecné návody a finanční pomoc pro sektory národního hospodářství. Pokoušelo se usměrňovat ekonomickou aktivitu bez toho, aby soukromé subjekty skrze plány </w:t>
      </w:r>
      <w:r w:rsidR="005C0E1F">
        <w:rPr>
          <w:rFonts w:eastAsia="Times New Roman"/>
        </w:rPr>
        <w:br/>
      </w:r>
      <w:r w:rsidRPr="00FC3B7C">
        <w:rPr>
          <w:rFonts w:eastAsia="Times New Roman"/>
        </w:rPr>
        <w:t>k něčemu nutilo. Francie začala veřejně uvádět cíle hospodářské politiky a tím koordinovala hospodářskou aktivitu veřejného a soukromého sektoru. Množství jednotlivých subjektů tedy</w:t>
      </w:r>
      <w:r w:rsidR="005C0E1F">
        <w:rPr>
          <w:sz w:val="20"/>
          <w:szCs w:val="20"/>
        </w:rPr>
        <w:t xml:space="preserve"> </w:t>
      </w:r>
      <w:r w:rsidRPr="00FC3B7C">
        <w:rPr>
          <w:rFonts w:eastAsia="Times New Roman"/>
        </w:rPr>
        <w:t>m</w:t>
      </w:r>
      <w:r w:rsidRPr="005C0E1F">
        <w:t>ě</w:t>
      </w:r>
      <w:r w:rsidRPr="00FC3B7C">
        <w:rPr>
          <w:rFonts w:eastAsia="Times New Roman"/>
        </w:rPr>
        <w:t>lo poměrně dobré informace pro svá rozhodnutí. Indikativní plánování francouzského typu 15</w:t>
      </w:r>
      <w:r w:rsidR="005C0E1F">
        <w:rPr>
          <w:rFonts w:eastAsia="Times New Roman"/>
        </w:rPr>
        <w:t xml:space="preserve"> </w:t>
      </w:r>
      <w:bookmarkStart w:id="17" w:name="page16"/>
      <w:bookmarkEnd w:id="17"/>
      <w:r w:rsidRPr="00FC3B7C">
        <w:rPr>
          <w:rFonts w:eastAsia="Times New Roman"/>
          <w:szCs w:val="24"/>
        </w:rPr>
        <w:t xml:space="preserve">se začalo prosazovat během změn národního hospodářství, kdy se uvolnilo velké množství zaměstnanců ze zemědělství a dynamického hospodářského růstu, který však byl ve stínu hospodářského růstu sousedního Německa. Byla to také doba dekolonizace, která měla </w:t>
      </w:r>
      <w:r w:rsidR="005C0E1F">
        <w:rPr>
          <w:rFonts w:eastAsia="Times New Roman"/>
          <w:szCs w:val="24"/>
        </w:rPr>
        <w:br/>
      </w:r>
      <w:r w:rsidRPr="00FC3B7C">
        <w:rPr>
          <w:rFonts w:eastAsia="Times New Roman"/>
          <w:szCs w:val="24"/>
        </w:rPr>
        <w:t xml:space="preserve">na Francii smíšené dopady. Jeho nástupu však nejvíce pomohli komunističtí ministři a potřeba rozdělování prostředků z Marshallova plánu. Indikativní plánování bylo ve Francii možné provádět díky tradičnímu francouzskému centralismu, pomocí kterého mohla Francie </w:t>
      </w:r>
      <w:r w:rsidRPr="00FC3B7C">
        <w:rPr>
          <w:rFonts w:eastAsia="Times New Roman"/>
          <w:szCs w:val="24"/>
        </w:rPr>
        <w:lastRenderedPageBreak/>
        <w:t>soustředit zdroje na určitě cíle bez silné opozice zájmových skupin. Význam indikativního plánování ve Francii poklesl s nástupem slaďování hospodářských politik zemí Evropského společenství.</w:t>
      </w:r>
      <w:r w:rsidR="005C0E1F">
        <w:rPr>
          <w:rStyle w:val="Znakapoznpodarou"/>
          <w:rFonts w:eastAsia="Times New Roman"/>
          <w:szCs w:val="24"/>
        </w:rPr>
        <w:footnoteReference w:id="10"/>
      </w:r>
    </w:p>
    <w:p w14:paraId="4A6F2A03" w14:textId="5AAE3158" w:rsidR="005C0E1F" w:rsidRDefault="005C0E1F">
      <w:pPr>
        <w:spacing w:line="240" w:lineRule="auto"/>
        <w:jc w:val="left"/>
        <w:rPr>
          <w:rFonts w:eastAsia="Times New Roman"/>
          <w:b/>
          <w:sz w:val="28"/>
          <w:szCs w:val="24"/>
        </w:rPr>
      </w:pPr>
    </w:p>
    <w:p w14:paraId="4A6F2A04" w14:textId="77777777" w:rsidR="008E0F74" w:rsidRPr="0096098D" w:rsidRDefault="00256F29" w:rsidP="00FC3B7C">
      <w:pPr>
        <w:pStyle w:val="Nadpis3"/>
        <w:rPr>
          <w:rFonts w:cs="Times New Roman"/>
          <w:color w:val="1F3864" w:themeColor="accent1" w:themeShade="80"/>
          <w:sz w:val="20"/>
          <w:szCs w:val="20"/>
        </w:rPr>
      </w:pPr>
      <w:r w:rsidRPr="0096098D">
        <w:rPr>
          <w:rFonts w:eastAsia="Times New Roman" w:cs="Times New Roman"/>
          <w:color w:val="1F3864" w:themeColor="accent1" w:themeShade="80"/>
        </w:rPr>
        <w:t>Liberální koncepce</w:t>
      </w:r>
    </w:p>
    <w:p w14:paraId="4A6F2A05" w14:textId="42DA0419" w:rsidR="008E0F74" w:rsidRPr="00AC6666" w:rsidRDefault="00256F29" w:rsidP="00EB7396">
      <w:pPr>
        <w:ind w:right="220"/>
        <w:rPr>
          <w:rFonts w:eastAsia="Times New Roman"/>
          <w:szCs w:val="24"/>
        </w:rPr>
      </w:pPr>
      <w:r w:rsidRPr="00FC3B7C">
        <w:rPr>
          <w:rFonts w:eastAsia="Times New Roman"/>
          <w:szCs w:val="24"/>
        </w:rPr>
        <w:t xml:space="preserve">Opoziční názory k intervencionismu nalézáme právě v liberální koncepci, kde se bere státní, nikoliv soukromý sektor, jako zdroj chybných rozhodnutí. Problémem je stále se měnící </w:t>
      </w:r>
      <w:r w:rsidRPr="00AC6666">
        <w:rPr>
          <w:rFonts w:eastAsia="Times New Roman"/>
          <w:szCs w:val="24"/>
        </w:rPr>
        <w:t xml:space="preserve">rámec státního sektoru, který páchá ekonomické škody. Státní zásahy jsou proto nežádoucí. </w:t>
      </w:r>
      <w:r w:rsidR="00EB7396" w:rsidRPr="00AC6666">
        <w:rPr>
          <w:rFonts w:eastAsia="Times New Roman"/>
          <w:szCs w:val="24"/>
        </w:rPr>
        <w:t xml:space="preserve">Hovoří o „selhání státu“. </w:t>
      </w:r>
      <w:r w:rsidR="009D26AB" w:rsidRPr="00AC6666">
        <w:rPr>
          <w:rFonts w:eastAsia="Times New Roman"/>
          <w:szCs w:val="24"/>
        </w:rPr>
        <w:t>V</w:t>
      </w:r>
      <w:r w:rsidR="00392CAF" w:rsidRPr="00AC6666">
        <w:rPr>
          <w:rFonts w:eastAsia="Times New Roman"/>
          <w:szCs w:val="24"/>
        </w:rPr>
        <w:t> rámci liberální koncepce jsou v</w:t>
      </w:r>
      <w:r w:rsidR="00E613CF" w:rsidRPr="00AC6666">
        <w:rPr>
          <w:rFonts w:eastAsia="Times New Roman"/>
          <w:szCs w:val="24"/>
        </w:rPr>
        <w:t>šechny hlavní ekonomické otázky řešeny prostřednictvím tržního mechanismu</w:t>
      </w:r>
      <w:r w:rsidR="009D26AB" w:rsidRPr="00AC6666">
        <w:rPr>
          <w:rFonts w:eastAsia="Times New Roman"/>
          <w:szCs w:val="24"/>
        </w:rPr>
        <w:t>.</w:t>
      </w:r>
      <w:r w:rsidR="00EB7396" w:rsidRPr="00AC6666">
        <w:rPr>
          <w:rFonts w:eastAsia="Times New Roman"/>
          <w:szCs w:val="24"/>
        </w:rPr>
        <w:t xml:space="preserve"> </w:t>
      </w:r>
      <w:r w:rsidRPr="00AC6666">
        <w:rPr>
          <w:rFonts w:eastAsia="Times New Roman"/>
          <w:szCs w:val="24"/>
        </w:rPr>
        <w:t>Přístupy vyznávající tuto koncepci jsou klasická ekonomie, nová</w:t>
      </w:r>
      <w:r w:rsidR="005C0E1F" w:rsidRPr="00AC6666">
        <w:rPr>
          <w:rFonts w:eastAsia="Times New Roman"/>
          <w:szCs w:val="24"/>
        </w:rPr>
        <w:t xml:space="preserve"> </w:t>
      </w:r>
      <w:r w:rsidRPr="00AC6666">
        <w:rPr>
          <w:rFonts w:eastAsia="Times New Roman"/>
          <w:szCs w:val="24"/>
        </w:rPr>
        <w:t>konzervativní ekonomie, monetarismus, škola racionálního očekávání a škola strany nabídky.</w:t>
      </w:r>
    </w:p>
    <w:p w14:paraId="40DC1AC8" w14:textId="3AA8D31F" w:rsidR="007F2100" w:rsidRPr="00AC6666" w:rsidRDefault="007F2100" w:rsidP="00EB7396">
      <w:pPr>
        <w:ind w:right="220"/>
        <w:rPr>
          <w:rFonts w:eastAsia="Times New Roman"/>
          <w:b/>
          <w:bCs/>
          <w:szCs w:val="24"/>
        </w:rPr>
      </w:pPr>
      <w:r w:rsidRPr="00AC6666">
        <w:rPr>
          <w:rFonts w:eastAsia="Times New Roman"/>
          <w:b/>
          <w:bCs/>
          <w:szCs w:val="24"/>
        </w:rPr>
        <w:t>Předpoklady liberální koncepce:</w:t>
      </w:r>
    </w:p>
    <w:p w14:paraId="186D5836" w14:textId="77777777" w:rsidR="007F2100" w:rsidRPr="00AC6666" w:rsidRDefault="007F2100" w:rsidP="00D46B53">
      <w:pPr>
        <w:numPr>
          <w:ilvl w:val="0"/>
          <w:numId w:val="609"/>
        </w:numPr>
        <w:ind w:right="220"/>
        <w:rPr>
          <w:rFonts w:eastAsia="Times New Roman"/>
          <w:szCs w:val="24"/>
        </w:rPr>
      </w:pPr>
      <w:r w:rsidRPr="00AC6666">
        <w:rPr>
          <w:rFonts w:eastAsia="Times New Roman"/>
          <w:szCs w:val="24"/>
        </w:rPr>
        <w:t>tržní systém umožňuje díky cenovému mechanismu a konkurenčnímu prostředí zajišťovat optimální alokaci zdrojů a uspokojování potřeb jednotlivců</w:t>
      </w:r>
    </w:p>
    <w:p w14:paraId="35DDCB56" w14:textId="77777777" w:rsidR="007F2100" w:rsidRPr="00AC6666" w:rsidRDefault="007F2100" w:rsidP="00D46B53">
      <w:pPr>
        <w:numPr>
          <w:ilvl w:val="0"/>
          <w:numId w:val="609"/>
        </w:numPr>
        <w:ind w:right="220"/>
        <w:rPr>
          <w:rFonts w:eastAsia="Times New Roman"/>
          <w:szCs w:val="24"/>
        </w:rPr>
      </w:pPr>
      <w:r w:rsidRPr="00AC6666">
        <w:rPr>
          <w:rFonts w:eastAsia="Times New Roman"/>
          <w:szCs w:val="24"/>
        </w:rPr>
        <w:t>sledování vlastního zájmu každého subjektu přináší užitek celé společnosti díky harmonii individuálních a společenských zájmů</w:t>
      </w:r>
    </w:p>
    <w:p w14:paraId="37B0D810" w14:textId="05BF931C" w:rsidR="00E613CF" w:rsidRPr="00AC6666" w:rsidRDefault="007F2100" w:rsidP="00D46B53">
      <w:pPr>
        <w:numPr>
          <w:ilvl w:val="0"/>
          <w:numId w:val="609"/>
        </w:numPr>
        <w:ind w:right="220"/>
        <w:rPr>
          <w:rFonts w:eastAsia="Times New Roman"/>
          <w:szCs w:val="24"/>
        </w:rPr>
      </w:pPr>
      <w:r w:rsidRPr="00AC6666">
        <w:rPr>
          <w:rFonts w:eastAsia="Times New Roman"/>
          <w:szCs w:val="24"/>
        </w:rPr>
        <w:t>tržní orientace společnosti napomáhá vzniku a povzbuzuje podnikavost, iniciativu a dynamiku ekonomických subjektů</w:t>
      </w:r>
    </w:p>
    <w:p w14:paraId="4A6F2A06" w14:textId="77777777" w:rsidR="008E0F74" w:rsidRPr="00FC3B7C" w:rsidRDefault="008E0F74">
      <w:pPr>
        <w:spacing w:line="158" w:lineRule="exact"/>
        <w:rPr>
          <w:sz w:val="20"/>
          <w:szCs w:val="20"/>
        </w:rPr>
      </w:pPr>
    </w:p>
    <w:p w14:paraId="4A6F2A07" w14:textId="77777777" w:rsidR="008E0F74" w:rsidRPr="0096098D" w:rsidRDefault="00256F29" w:rsidP="00FC3B7C">
      <w:pPr>
        <w:pStyle w:val="Nadpis4"/>
        <w:rPr>
          <w:rFonts w:cs="Times New Roman"/>
          <w:color w:val="1F3864" w:themeColor="accent1" w:themeShade="80"/>
          <w:sz w:val="20"/>
          <w:szCs w:val="20"/>
        </w:rPr>
      </w:pPr>
      <w:r w:rsidRPr="0096098D">
        <w:rPr>
          <w:rFonts w:eastAsia="Times New Roman" w:cs="Times New Roman"/>
          <w:color w:val="1F3864" w:themeColor="accent1" w:themeShade="80"/>
        </w:rPr>
        <w:t>Reaganomika (1981-89, USA, prezident Ronald Reagan)</w:t>
      </w:r>
    </w:p>
    <w:p w14:paraId="4A6F2A08" w14:textId="77777777" w:rsidR="008E0F74" w:rsidRPr="00FC3B7C" w:rsidRDefault="00256F29" w:rsidP="005C0E1F">
      <w:pPr>
        <w:rPr>
          <w:sz w:val="20"/>
          <w:szCs w:val="20"/>
        </w:rPr>
      </w:pPr>
      <w:r w:rsidRPr="00FC3B7C">
        <w:rPr>
          <w:rFonts w:eastAsia="Times New Roman"/>
        </w:rPr>
        <w:t>Obecně se jedná o snahu zmenšit účast státu v ekonomice, požadavek nezávislosti centrální banky (FEDu) a cenové stability. Preferuje se tržní mechanismus a podporuje se strana nabídky. Ekonomika je deregulována a převládají snahy sn</w:t>
      </w:r>
      <w:r w:rsidR="005C0E1F">
        <w:rPr>
          <w:rFonts w:eastAsia="Times New Roman"/>
        </w:rPr>
        <w:t xml:space="preserve">ížit státní dluh. V tomto směru </w:t>
      </w:r>
      <w:r w:rsidRPr="00FC3B7C">
        <w:rPr>
          <w:rFonts w:eastAsia="Times New Roman"/>
        </w:rPr>
        <w:t xml:space="preserve">liberální koncepce existují </w:t>
      </w:r>
      <w:r w:rsidRPr="00FC3B7C">
        <w:rPr>
          <w:rFonts w:eastAsia="Times New Roman"/>
          <w:b/>
          <w:bCs/>
        </w:rPr>
        <w:t>4 stěžejní politiky:</w:t>
      </w:r>
    </w:p>
    <w:p w14:paraId="4A6F2A09" w14:textId="77777777" w:rsidR="008E0F74" w:rsidRPr="00FC3B7C" w:rsidRDefault="008E0F74">
      <w:pPr>
        <w:spacing w:line="5" w:lineRule="exact"/>
        <w:rPr>
          <w:sz w:val="20"/>
          <w:szCs w:val="20"/>
        </w:rPr>
      </w:pPr>
    </w:p>
    <w:p w14:paraId="4A6F2A0A" w14:textId="77777777" w:rsidR="008E0F74" w:rsidRPr="00FC3B7C" w:rsidRDefault="00256F29" w:rsidP="004A5F54">
      <w:pPr>
        <w:numPr>
          <w:ilvl w:val="0"/>
          <w:numId w:val="11"/>
        </w:numPr>
        <w:tabs>
          <w:tab w:val="left" w:pos="1140"/>
        </w:tabs>
        <w:ind w:left="1140" w:hanging="352"/>
        <w:rPr>
          <w:rFonts w:eastAsia="Arial"/>
          <w:szCs w:val="24"/>
        </w:rPr>
      </w:pPr>
      <w:r w:rsidRPr="00FC3B7C">
        <w:rPr>
          <w:rFonts w:eastAsia="Times New Roman"/>
          <w:szCs w:val="24"/>
        </w:rPr>
        <w:t>restriktivní monetární politika</w:t>
      </w:r>
      <w:r w:rsidR="005C0E1F">
        <w:rPr>
          <w:rFonts w:eastAsia="Times New Roman"/>
          <w:szCs w:val="24"/>
        </w:rPr>
        <w:t>,</w:t>
      </w:r>
    </w:p>
    <w:p w14:paraId="4A6F2A0B" w14:textId="77777777" w:rsidR="008E0F74" w:rsidRPr="00FC3B7C" w:rsidRDefault="00256F29" w:rsidP="004A5F54">
      <w:pPr>
        <w:numPr>
          <w:ilvl w:val="0"/>
          <w:numId w:val="11"/>
        </w:numPr>
        <w:tabs>
          <w:tab w:val="left" w:pos="1140"/>
        </w:tabs>
        <w:ind w:left="1140" w:hanging="352"/>
        <w:rPr>
          <w:rFonts w:eastAsia="Arial"/>
          <w:szCs w:val="24"/>
        </w:rPr>
      </w:pPr>
      <w:r w:rsidRPr="00FC3B7C">
        <w:rPr>
          <w:rFonts w:eastAsia="Times New Roman"/>
          <w:szCs w:val="24"/>
        </w:rPr>
        <w:t>pokles daní</w:t>
      </w:r>
      <w:r w:rsidR="005C0E1F">
        <w:rPr>
          <w:rFonts w:eastAsia="Times New Roman"/>
          <w:szCs w:val="24"/>
        </w:rPr>
        <w:t>,</w:t>
      </w:r>
    </w:p>
    <w:p w14:paraId="4A6F2A0C" w14:textId="77777777" w:rsidR="008E0F74" w:rsidRPr="00FC3B7C" w:rsidRDefault="00256F29" w:rsidP="004A5F54">
      <w:pPr>
        <w:numPr>
          <w:ilvl w:val="0"/>
          <w:numId w:val="11"/>
        </w:numPr>
        <w:tabs>
          <w:tab w:val="left" w:pos="1140"/>
        </w:tabs>
        <w:ind w:left="1140" w:hanging="352"/>
        <w:rPr>
          <w:rFonts w:eastAsia="Arial"/>
          <w:szCs w:val="24"/>
        </w:rPr>
      </w:pPr>
      <w:r w:rsidRPr="00FC3B7C">
        <w:rPr>
          <w:rFonts w:eastAsia="Times New Roman"/>
          <w:szCs w:val="24"/>
        </w:rPr>
        <w:t>snaha o vyrovnaný rozpočet</w:t>
      </w:r>
      <w:r w:rsidR="005C0E1F">
        <w:rPr>
          <w:rFonts w:eastAsia="Times New Roman"/>
          <w:szCs w:val="24"/>
        </w:rPr>
        <w:t>,</w:t>
      </w:r>
    </w:p>
    <w:p w14:paraId="4A6F2A0D" w14:textId="77777777" w:rsidR="008E0F74" w:rsidRPr="00FC3B7C" w:rsidRDefault="00256F29" w:rsidP="004A5F54">
      <w:pPr>
        <w:numPr>
          <w:ilvl w:val="0"/>
          <w:numId w:val="11"/>
        </w:numPr>
        <w:tabs>
          <w:tab w:val="left" w:pos="1140"/>
        </w:tabs>
        <w:ind w:left="1140" w:hanging="352"/>
        <w:rPr>
          <w:rFonts w:eastAsia="Arial"/>
          <w:szCs w:val="24"/>
        </w:rPr>
      </w:pPr>
      <w:r w:rsidRPr="00FC3B7C">
        <w:rPr>
          <w:rFonts w:eastAsia="Times New Roman"/>
          <w:szCs w:val="24"/>
        </w:rPr>
        <w:t>omezování vládních regulací.</w:t>
      </w:r>
    </w:p>
    <w:p w14:paraId="4A6F2A0E" w14:textId="77777777" w:rsidR="008E0F74" w:rsidRPr="0096098D" w:rsidRDefault="00256F29" w:rsidP="00FC3B7C">
      <w:pPr>
        <w:pStyle w:val="Nadpis4"/>
        <w:rPr>
          <w:rFonts w:cs="Times New Roman"/>
          <w:color w:val="1F3864" w:themeColor="accent1" w:themeShade="80"/>
          <w:sz w:val="20"/>
          <w:szCs w:val="20"/>
        </w:rPr>
      </w:pPr>
      <w:r w:rsidRPr="0096098D">
        <w:rPr>
          <w:rFonts w:eastAsia="Times New Roman" w:cs="Times New Roman"/>
          <w:color w:val="1F3864" w:themeColor="accent1" w:themeShade="80"/>
        </w:rPr>
        <w:t>Thatcherismus (1979-90, VB, premiérka Margaret Thatcherová)</w:t>
      </w:r>
    </w:p>
    <w:p w14:paraId="4A6F2A0F" w14:textId="77777777" w:rsidR="008E0F74" w:rsidRPr="00FC3B7C" w:rsidRDefault="00256F29" w:rsidP="005C0E1F">
      <w:pPr>
        <w:rPr>
          <w:sz w:val="20"/>
          <w:szCs w:val="20"/>
        </w:rPr>
      </w:pPr>
      <w:r w:rsidRPr="00FC3B7C">
        <w:rPr>
          <w:rFonts w:eastAsia="Times New Roman"/>
        </w:rPr>
        <w:t xml:space="preserve">Snaha vymanit se z nepříznivě působících tlaků odborů, které jsou v Británii mnohem silnější než v jiných zemí. Monetární politika se začíná orientovat na nastolení prostředí s nízkou inflací až neinflační prostředí. Nesleduje se již plná zaměstnanost. Odbourávají se dotace </w:t>
      </w:r>
      <w:r w:rsidR="005C0E1F">
        <w:rPr>
          <w:rFonts w:eastAsia="Times New Roman"/>
        </w:rPr>
        <w:br/>
      </w:r>
      <w:r w:rsidRPr="00FC3B7C">
        <w:rPr>
          <w:rFonts w:eastAsia="Times New Roman"/>
        </w:rPr>
        <w:lastRenderedPageBreak/>
        <w:t>a</w:t>
      </w:r>
      <w:bookmarkStart w:id="18" w:name="page17"/>
      <w:bookmarkEnd w:id="18"/>
      <w:r w:rsidR="005C0E1F">
        <w:rPr>
          <w:rFonts w:eastAsia="Times New Roman"/>
        </w:rPr>
        <w:t xml:space="preserve"> </w:t>
      </w:r>
      <w:r w:rsidRPr="00FC3B7C">
        <w:rPr>
          <w:rFonts w:eastAsia="Times New Roman"/>
          <w:szCs w:val="24"/>
        </w:rPr>
        <w:t xml:space="preserve">podpory. Privatizuje se (British Airways), dereguluje se (odstraňují se kontroly mezd </w:t>
      </w:r>
      <w:r w:rsidR="005C0E1F">
        <w:rPr>
          <w:rFonts w:eastAsia="Times New Roman"/>
          <w:szCs w:val="24"/>
        </w:rPr>
        <w:br/>
      </w:r>
      <w:r w:rsidRPr="00FC3B7C">
        <w:rPr>
          <w:rFonts w:eastAsia="Times New Roman"/>
          <w:szCs w:val="24"/>
        </w:rPr>
        <w:t>a úrokových sazeb). Sociální reforma se nese v duchu změny „peřiny“ v „trampolínu“.</w:t>
      </w:r>
    </w:p>
    <w:p w14:paraId="4A6F2A10" w14:textId="77777777" w:rsidR="008E0F74" w:rsidRPr="00FC3B7C" w:rsidRDefault="008E0F74">
      <w:pPr>
        <w:spacing w:line="162" w:lineRule="exact"/>
        <w:rPr>
          <w:sz w:val="20"/>
          <w:szCs w:val="20"/>
        </w:rPr>
      </w:pPr>
    </w:p>
    <w:p w14:paraId="4A6F2A11" w14:textId="0C10B075" w:rsidR="008E0F74" w:rsidRPr="00392CAF" w:rsidRDefault="00256F29" w:rsidP="00FC3B7C">
      <w:pPr>
        <w:pStyle w:val="Nadpis3"/>
        <w:rPr>
          <w:rFonts w:cs="Times New Roman"/>
          <w:color w:val="2F5496" w:themeColor="accent1" w:themeShade="BF"/>
          <w:sz w:val="20"/>
          <w:szCs w:val="20"/>
        </w:rPr>
      </w:pPr>
      <w:r w:rsidRPr="0096098D">
        <w:rPr>
          <w:rFonts w:eastAsia="Times New Roman" w:cs="Times New Roman"/>
          <w:color w:val="1F3864" w:themeColor="accent1" w:themeShade="80"/>
        </w:rPr>
        <w:t>Koncepce organizačně uspořádané ekonomiky</w:t>
      </w:r>
      <w:r w:rsidR="003332D8" w:rsidRPr="0096098D">
        <w:rPr>
          <w:rFonts w:eastAsia="Times New Roman" w:cs="Times New Roman"/>
          <w:color w:val="1F3864" w:themeColor="accent1" w:themeShade="80"/>
        </w:rPr>
        <w:t xml:space="preserve"> </w:t>
      </w:r>
    </w:p>
    <w:p w14:paraId="0DC4B385" w14:textId="0AF8C2C5" w:rsidR="00AF4B0F" w:rsidRPr="00214DC5" w:rsidRDefault="00256F29" w:rsidP="005C0E1F">
      <w:pPr>
        <w:rPr>
          <w:rFonts w:eastAsia="Times New Roman"/>
        </w:rPr>
      </w:pPr>
      <w:r w:rsidRPr="00FC3B7C">
        <w:rPr>
          <w:rFonts w:eastAsia="Times New Roman"/>
        </w:rPr>
        <w:t xml:space="preserve">Od předcházejících dvou se výrazně liší v pojetí trhu. Na rozdíl od liberalismu </w:t>
      </w:r>
      <w:r w:rsidR="005C0E1F">
        <w:rPr>
          <w:rFonts w:eastAsia="Times New Roman"/>
        </w:rPr>
        <w:br/>
      </w:r>
      <w:r w:rsidRPr="00FC3B7C">
        <w:rPr>
          <w:rFonts w:eastAsia="Times New Roman"/>
        </w:rPr>
        <w:t xml:space="preserve">a intervencionismu nepředpokládá totiž trh jako hlavní mechanismus ekonomiky a nahrazuje </w:t>
      </w:r>
      <w:r w:rsidRPr="00AC6666">
        <w:rPr>
          <w:rFonts w:eastAsia="Times New Roman"/>
        </w:rPr>
        <w:t>jej centrálním direktivním plánováním. Hospodářská politika je eliminována a rozepisuje se státní plán na jednotlivé články a stupně řízení.</w:t>
      </w:r>
      <w:r w:rsidR="00214DC5" w:rsidRPr="00AC6666">
        <w:rPr>
          <w:rFonts w:eastAsia="Times New Roman"/>
        </w:rPr>
        <w:t xml:space="preserve"> Potlačena svoboda jednání ekonomických subjektů. </w:t>
      </w:r>
    </w:p>
    <w:p w14:paraId="4A6F2A13" w14:textId="77777777" w:rsidR="008E0F74" w:rsidRPr="00FC3B7C" w:rsidRDefault="008E0F74">
      <w:pPr>
        <w:spacing w:line="200" w:lineRule="exact"/>
        <w:rPr>
          <w:sz w:val="20"/>
          <w:szCs w:val="20"/>
        </w:rPr>
      </w:pPr>
    </w:p>
    <w:p w14:paraId="4A6F2A15" w14:textId="18A77821" w:rsidR="005C0E1F" w:rsidRDefault="005C0E1F">
      <w:pPr>
        <w:spacing w:line="240" w:lineRule="auto"/>
        <w:jc w:val="left"/>
        <w:rPr>
          <w:rFonts w:eastAsia="Times New Roman"/>
          <w:b/>
          <w:sz w:val="28"/>
          <w:szCs w:val="26"/>
        </w:rPr>
      </w:pPr>
    </w:p>
    <w:p w14:paraId="4A6F2A16" w14:textId="77777777" w:rsidR="008E0F74" w:rsidRPr="0096098D" w:rsidRDefault="00256F29" w:rsidP="005C0E1F">
      <w:pPr>
        <w:pStyle w:val="Nadpis2"/>
        <w:rPr>
          <w:color w:val="1F3864" w:themeColor="accent1" w:themeShade="80"/>
          <w:sz w:val="20"/>
          <w:szCs w:val="20"/>
        </w:rPr>
      </w:pPr>
      <w:r w:rsidRPr="0096098D">
        <w:rPr>
          <w:rFonts w:eastAsia="Times New Roman"/>
          <w:color w:val="1F3864" w:themeColor="accent1" w:themeShade="80"/>
        </w:rPr>
        <w:t xml:space="preserve">SOUDOBÁ </w:t>
      </w:r>
      <w:r w:rsidRPr="0096098D">
        <w:rPr>
          <w:color w:val="1F3864" w:themeColor="accent1" w:themeShade="80"/>
        </w:rPr>
        <w:t>MAINSTREAMOVÁ</w:t>
      </w:r>
      <w:r w:rsidRPr="0096098D">
        <w:rPr>
          <w:rFonts w:eastAsia="Times New Roman"/>
          <w:color w:val="1F3864" w:themeColor="accent1" w:themeShade="80"/>
        </w:rPr>
        <w:t xml:space="preserve"> EKONOMIE A JEJÍ</w:t>
      </w:r>
      <w:r w:rsidR="005C0E1F" w:rsidRPr="0096098D">
        <w:rPr>
          <w:color w:val="1F3864" w:themeColor="accent1" w:themeShade="80"/>
          <w:sz w:val="20"/>
          <w:szCs w:val="20"/>
        </w:rPr>
        <w:t xml:space="preserve"> </w:t>
      </w:r>
      <w:r w:rsidRPr="0096098D">
        <w:rPr>
          <w:rFonts w:eastAsia="Times New Roman"/>
          <w:bCs/>
          <w:color w:val="1F3864" w:themeColor="accent1" w:themeShade="80"/>
          <w:szCs w:val="28"/>
        </w:rPr>
        <w:t>KRITIKA</w:t>
      </w:r>
    </w:p>
    <w:p w14:paraId="4A6F2A17" w14:textId="77777777" w:rsidR="008E0F74" w:rsidRPr="0096098D" w:rsidRDefault="008E0F74">
      <w:pPr>
        <w:spacing w:line="200" w:lineRule="exact"/>
        <w:rPr>
          <w:color w:val="1F3864" w:themeColor="accent1" w:themeShade="80"/>
          <w:sz w:val="20"/>
          <w:szCs w:val="20"/>
        </w:rPr>
      </w:pPr>
    </w:p>
    <w:p w14:paraId="4A6F2A18" w14:textId="77777777" w:rsidR="008E0F74" w:rsidRPr="0096098D" w:rsidRDefault="00256F29" w:rsidP="005C0E1F">
      <w:pPr>
        <w:pStyle w:val="Nadpis3"/>
        <w:rPr>
          <w:color w:val="1F3864" w:themeColor="accent1" w:themeShade="80"/>
          <w:sz w:val="20"/>
          <w:szCs w:val="20"/>
        </w:rPr>
      </w:pPr>
      <w:r w:rsidRPr="0096098D">
        <w:rPr>
          <w:rFonts w:eastAsia="Times New Roman"/>
          <w:color w:val="1F3864" w:themeColor="accent1" w:themeShade="80"/>
        </w:rPr>
        <w:t>Ekonomie hlavního proudu (mainstreamová ekonomie)</w:t>
      </w:r>
    </w:p>
    <w:p w14:paraId="4A6F2A19" w14:textId="77777777" w:rsidR="008E0F74" w:rsidRPr="00FC3B7C" w:rsidRDefault="00256F29" w:rsidP="005C0E1F">
      <w:pPr>
        <w:rPr>
          <w:sz w:val="20"/>
          <w:szCs w:val="20"/>
        </w:rPr>
      </w:pPr>
      <w:r w:rsidRPr="00FC3B7C">
        <w:rPr>
          <w:rFonts w:eastAsia="Times New Roman"/>
        </w:rPr>
        <w:t xml:space="preserve">Neexistuje jednotná definice soudobé ekonomie hlavního proudu. Obecně se však dá říci, že se jedná o </w:t>
      </w:r>
      <w:r w:rsidRPr="00FC3B7C">
        <w:rPr>
          <w:rFonts w:eastAsia="Times New Roman"/>
          <w:b/>
          <w:bCs/>
        </w:rPr>
        <w:t>syntézu neokeynesiánské a neoklasické ekonomie</w:t>
      </w:r>
      <w:r w:rsidRPr="00FC3B7C">
        <w:rPr>
          <w:rFonts w:eastAsia="Times New Roman"/>
        </w:rPr>
        <w:t xml:space="preserve">. Staví na konceptech jako je marginální analýza, individualismus, individuální racionalita, koncepce homo oeconomicus </w:t>
      </w:r>
      <w:r w:rsidR="005C0E1F">
        <w:rPr>
          <w:rFonts w:eastAsia="Times New Roman"/>
        </w:rPr>
        <w:br/>
      </w:r>
      <w:r w:rsidRPr="00FC3B7C">
        <w:rPr>
          <w:rFonts w:eastAsia="Times New Roman"/>
        </w:rPr>
        <w:t>a maximalizace užitku. V současnosti se v popředí ekonomických učebnic nachází neoklasická ekonomie neboli neoklasická syntéza. J</w:t>
      </w:r>
      <w:r w:rsidR="005C0E1F">
        <w:rPr>
          <w:rFonts w:eastAsia="Times New Roman"/>
        </w:rPr>
        <w:t>e zde snaha o pozitivismus.</w:t>
      </w:r>
    </w:p>
    <w:p w14:paraId="4A6F2A1A" w14:textId="77777777" w:rsidR="008E0F74" w:rsidRPr="00FC3B7C" w:rsidRDefault="00256F29" w:rsidP="005C0E1F">
      <w:pPr>
        <w:rPr>
          <w:sz w:val="20"/>
          <w:szCs w:val="20"/>
        </w:rPr>
      </w:pPr>
      <w:r w:rsidRPr="00FC3B7C">
        <w:rPr>
          <w:rFonts w:eastAsia="Times New Roman"/>
        </w:rPr>
        <w:t xml:space="preserve">Typickým znakem hlavního proudu je plná znalost trhu. Jednotlivci se zkrátka na základě plně dostupných informací zcela racionálně rozhodují mezi dvěma alternativami, přičemž jasně vědí, která z nich má pro ně větší užitek. Zcela se zde zanedbává problematika nejistoty </w:t>
      </w:r>
      <w:r w:rsidR="005C0E1F">
        <w:rPr>
          <w:rFonts w:eastAsia="Times New Roman"/>
        </w:rPr>
        <w:br/>
      </w:r>
      <w:r w:rsidRPr="00FC3B7C">
        <w:rPr>
          <w:rFonts w:eastAsia="Times New Roman"/>
        </w:rPr>
        <w:t>a transakčních nákladů, což bývá velice často terčem kritiky, především ze strany Nové institucionální ekonomie.</w:t>
      </w:r>
    </w:p>
    <w:p w14:paraId="4A6F2A1B" w14:textId="77777777" w:rsidR="008E0F74" w:rsidRPr="00FC3B7C" w:rsidRDefault="008E0F74">
      <w:pPr>
        <w:spacing w:line="188" w:lineRule="exact"/>
        <w:rPr>
          <w:sz w:val="20"/>
          <w:szCs w:val="20"/>
        </w:rPr>
      </w:pPr>
    </w:p>
    <w:p w14:paraId="4A6F2A1C" w14:textId="77777777" w:rsidR="008E0F74" w:rsidRPr="0096098D" w:rsidRDefault="00256F29" w:rsidP="00FC3B7C">
      <w:pPr>
        <w:pStyle w:val="Nadpis3"/>
        <w:rPr>
          <w:rFonts w:cs="Times New Roman"/>
          <w:color w:val="1F3864" w:themeColor="accent1" w:themeShade="80"/>
          <w:sz w:val="20"/>
          <w:szCs w:val="20"/>
        </w:rPr>
      </w:pPr>
      <w:r w:rsidRPr="0096098D">
        <w:rPr>
          <w:rFonts w:eastAsia="Times New Roman" w:cs="Times New Roman"/>
          <w:color w:val="1F3864" w:themeColor="accent1" w:themeShade="80"/>
        </w:rPr>
        <w:t>Kritika mainstreamové ekonomie:</w:t>
      </w:r>
    </w:p>
    <w:p w14:paraId="4A6F2A1D" w14:textId="77777777" w:rsidR="008E0F74" w:rsidRPr="00FC3B7C" w:rsidRDefault="008E0F74">
      <w:pPr>
        <w:spacing w:line="200" w:lineRule="exact"/>
        <w:rPr>
          <w:sz w:val="20"/>
          <w:szCs w:val="20"/>
        </w:rPr>
      </w:pPr>
    </w:p>
    <w:p w14:paraId="4A6F2A1E" w14:textId="77777777" w:rsidR="008E0F74" w:rsidRPr="0096098D" w:rsidRDefault="00256F29" w:rsidP="00C85388">
      <w:pPr>
        <w:pStyle w:val="Nadpis4"/>
        <w:rPr>
          <w:color w:val="1F3864" w:themeColor="accent1" w:themeShade="80"/>
          <w:sz w:val="20"/>
          <w:szCs w:val="20"/>
        </w:rPr>
      </w:pPr>
      <w:r w:rsidRPr="0096098D">
        <w:rPr>
          <w:rFonts w:eastAsia="Times New Roman"/>
          <w:color w:val="1F3864" w:themeColor="accent1" w:themeShade="80"/>
        </w:rPr>
        <w:t xml:space="preserve">Nová institucionální </w:t>
      </w:r>
      <w:r w:rsidRPr="0096098D">
        <w:rPr>
          <w:color w:val="1F3864" w:themeColor="accent1" w:themeShade="80"/>
        </w:rPr>
        <w:t>ekonomie</w:t>
      </w:r>
    </w:p>
    <w:p w14:paraId="4A6F2A1F" w14:textId="77777777" w:rsidR="005C0E1F" w:rsidRDefault="00256F29" w:rsidP="005C0E1F">
      <w:pPr>
        <w:rPr>
          <w:rFonts w:eastAsia="Times New Roman"/>
          <w:szCs w:val="24"/>
        </w:rPr>
      </w:pPr>
      <w:r w:rsidRPr="00FC3B7C">
        <w:rPr>
          <w:rFonts w:eastAsia="Times New Roman"/>
        </w:rPr>
        <w:t>Hlavními kritiky teoretických konceptů soudobé ekonomické syntézy jsou zástupci Nové institucionální ekonomie, kteří zdůrazňují nákladnost procesu vyhledávání možných alternativ</w:t>
      </w:r>
      <w:r w:rsidR="005C0E1F">
        <w:rPr>
          <w:sz w:val="20"/>
          <w:szCs w:val="20"/>
        </w:rPr>
        <w:t xml:space="preserve"> </w:t>
      </w:r>
      <w:r w:rsidRPr="00FC3B7C">
        <w:rPr>
          <w:rFonts w:eastAsia="Times New Roman"/>
          <w:szCs w:val="24"/>
        </w:rPr>
        <w:t>– transakční náklady. Hovoří dále o kognitivních schopnostech jednotlivců, nikoliv o jejich racionalitě. Důležitým faktorem je nejistota, ve které se jednotlivci pohybují, a která na sebe váže právě transakční náklady (=náklady na uzavření smlouvy) a informační asymetrii.</w:t>
      </w:r>
      <w:bookmarkStart w:id="19" w:name="page18"/>
      <w:bookmarkEnd w:id="19"/>
    </w:p>
    <w:p w14:paraId="4A6F2A20" w14:textId="77777777" w:rsidR="008E0F74" w:rsidRPr="00FC3B7C" w:rsidRDefault="00256F29" w:rsidP="005C0E1F">
      <w:pPr>
        <w:rPr>
          <w:sz w:val="20"/>
          <w:szCs w:val="20"/>
        </w:rPr>
      </w:pPr>
      <w:r w:rsidRPr="00FC3B7C">
        <w:rPr>
          <w:rFonts w:eastAsia="Times New Roman"/>
          <w:szCs w:val="24"/>
        </w:rPr>
        <w:t>Zástupci NIE se touto problematikou zabývají, neaspirují však na nahrazení hlavního ekonomického proudu, jako spíše na jeho rozšíření.</w:t>
      </w:r>
    </w:p>
    <w:p w14:paraId="4A6F2A21" w14:textId="77777777" w:rsidR="008E0F74" w:rsidRPr="00FC3B7C" w:rsidRDefault="008E0F74">
      <w:pPr>
        <w:spacing w:line="167" w:lineRule="exact"/>
        <w:rPr>
          <w:sz w:val="20"/>
          <w:szCs w:val="20"/>
        </w:rPr>
      </w:pPr>
    </w:p>
    <w:p w14:paraId="4A6F2A22" w14:textId="77777777" w:rsidR="00777E08" w:rsidRDefault="00777E08">
      <w:pPr>
        <w:spacing w:line="240" w:lineRule="auto"/>
        <w:jc w:val="left"/>
        <w:rPr>
          <w:rFonts w:eastAsia="Times New Roman"/>
          <w:b/>
          <w:i/>
          <w:iCs/>
        </w:rPr>
      </w:pPr>
      <w:r>
        <w:rPr>
          <w:rFonts w:eastAsia="Times New Roman"/>
        </w:rPr>
        <w:br w:type="page"/>
      </w:r>
    </w:p>
    <w:p w14:paraId="4A6F2A23" w14:textId="77777777" w:rsidR="008E0F74" w:rsidRPr="0096098D" w:rsidRDefault="00256F29" w:rsidP="00FC3B7C">
      <w:pPr>
        <w:pStyle w:val="Nadpis4"/>
        <w:rPr>
          <w:rFonts w:cs="Times New Roman"/>
          <w:color w:val="1F3864" w:themeColor="accent1" w:themeShade="80"/>
          <w:sz w:val="20"/>
          <w:szCs w:val="20"/>
        </w:rPr>
      </w:pPr>
      <w:r w:rsidRPr="0096098D">
        <w:rPr>
          <w:rFonts w:eastAsia="Times New Roman" w:cs="Times New Roman"/>
          <w:color w:val="1F3864" w:themeColor="accent1" w:themeShade="80"/>
        </w:rPr>
        <w:lastRenderedPageBreak/>
        <w:t>Klasický liberalismus</w:t>
      </w:r>
    </w:p>
    <w:p w14:paraId="4A6F2A24" w14:textId="77777777" w:rsidR="008E0F74" w:rsidRPr="00FC3B7C" w:rsidRDefault="00256F29" w:rsidP="00777E08">
      <w:pPr>
        <w:rPr>
          <w:sz w:val="20"/>
          <w:szCs w:val="20"/>
        </w:rPr>
      </w:pPr>
      <w:r w:rsidRPr="00FC3B7C">
        <w:rPr>
          <w:rFonts w:eastAsia="Times New Roman"/>
        </w:rPr>
        <w:t>Kritika „učebnicové“ ekonomie zesiluje v období krize, kdy na hlavy ekonomů dopadají požadavky řešit situaci počínající recese. V roce 2009 se takto snesla kritika na dogmatickou politiku boje proti deflaci, kterou mainstreamové ekonomie považuje za nesprávnou.</w:t>
      </w:r>
    </w:p>
    <w:p w14:paraId="4A6F2A25" w14:textId="77777777" w:rsidR="008E0F74" w:rsidRPr="00FC3B7C" w:rsidRDefault="00256F29" w:rsidP="00777E08">
      <w:pPr>
        <w:rPr>
          <w:sz w:val="20"/>
          <w:szCs w:val="20"/>
        </w:rPr>
      </w:pPr>
      <w:r w:rsidRPr="00FC3B7C">
        <w:rPr>
          <w:rFonts w:eastAsia="Times New Roman"/>
        </w:rPr>
        <w:t xml:space="preserve">Kritici jsou především nespokojeni s tím, že mainstreamová ekonomie k tomuto svému stanovisku nepodává dostatečné argumenty. Přichází pouze s teorií deflační spirály, kde klesající ceny způsobí pokles tržeb firem, které budou reagovat omezením produkce </w:t>
      </w:r>
      <w:r w:rsidR="00777E08">
        <w:rPr>
          <w:rFonts w:eastAsia="Times New Roman"/>
        </w:rPr>
        <w:br/>
      </w:r>
      <w:r w:rsidRPr="00FC3B7C">
        <w:rPr>
          <w:rFonts w:eastAsia="Times New Roman"/>
        </w:rPr>
        <w:t>a propouštěním. V důsledku toho dále klesne v ekonomice poptávka a ceny se budou dále snižovat. Celý scénář se opakuje a ekonomika je "uvězněna v deflační spirále".</w:t>
      </w:r>
    </w:p>
    <w:p w14:paraId="4A6F2A26" w14:textId="77777777" w:rsidR="008E0F74" w:rsidRPr="00FC3B7C" w:rsidRDefault="008E0F74" w:rsidP="00777E08">
      <w:pPr>
        <w:rPr>
          <w:sz w:val="20"/>
          <w:szCs w:val="20"/>
        </w:rPr>
      </w:pPr>
    </w:p>
    <w:p w14:paraId="4A6F2A27" w14:textId="77777777" w:rsidR="008E0F74" w:rsidRPr="00FC3B7C" w:rsidRDefault="00256F29" w:rsidP="00777E08">
      <w:pPr>
        <w:rPr>
          <w:sz w:val="20"/>
          <w:szCs w:val="20"/>
        </w:rPr>
      </w:pPr>
      <w:r w:rsidRPr="00FC3B7C">
        <w:rPr>
          <w:rFonts w:eastAsia="Times New Roman"/>
        </w:rPr>
        <w:t>Tento argument však zástupci soudobých klasických liberalistů považují za zcela lichý. Firmy se totiž neřídí objemem tržeb, ale reálným ziskem, který nezávisí na absolutní cenové hladině, ale na rozdílu mezi cenou výstupů a vstupů.</w:t>
      </w:r>
    </w:p>
    <w:p w14:paraId="4A6F2A28" w14:textId="77777777" w:rsidR="008E0F74" w:rsidRPr="00FC3B7C" w:rsidRDefault="00256F29" w:rsidP="00777E08">
      <w:pPr>
        <w:rPr>
          <w:sz w:val="20"/>
          <w:szCs w:val="20"/>
        </w:rPr>
      </w:pPr>
      <w:r w:rsidRPr="00FC3B7C">
        <w:rPr>
          <w:rFonts w:eastAsia="Times New Roman"/>
        </w:rPr>
        <w:t>Dalším bodem obhajoby mainstreamové ekonomie je zvýšení reálné hodnoty dluhu, které plyne z deflace. Oponenti jsou však zneklidněni jednostranným pohledem na tuto záležitost. Hlavní proud svou inflační strategií zvýhodňuje dlužníky a naopak poškozuje věřitele. Klasičtí liberalisté tedy tvrdí, že inflační východisko z krize není možné a strach z deflace je neoprávněný.</w:t>
      </w:r>
    </w:p>
    <w:p w14:paraId="4A6F2A29" w14:textId="77777777" w:rsidR="008E0F74" w:rsidRPr="00FC3B7C" w:rsidRDefault="008E0F74" w:rsidP="00777E08">
      <w:pPr>
        <w:sectPr w:rsidR="008E0F74" w:rsidRPr="00FC3B7C">
          <w:pgSz w:w="11900" w:h="16840"/>
          <w:pgMar w:top="1320" w:right="1440" w:bottom="625" w:left="1280" w:header="0" w:footer="0" w:gutter="0"/>
          <w:cols w:space="708" w:equalWidth="0">
            <w:col w:w="9180"/>
          </w:cols>
        </w:sectPr>
      </w:pPr>
    </w:p>
    <w:p w14:paraId="4A6F2A2A" w14:textId="77777777" w:rsidR="008E0F74" w:rsidRPr="00FC3B7C" w:rsidRDefault="008E0F74">
      <w:pPr>
        <w:spacing w:line="200" w:lineRule="exact"/>
        <w:rPr>
          <w:sz w:val="20"/>
          <w:szCs w:val="20"/>
        </w:rPr>
      </w:pPr>
    </w:p>
    <w:p w14:paraId="4A6F2A2B" w14:textId="77777777" w:rsidR="008E0F74" w:rsidRPr="00FC3B7C" w:rsidRDefault="008E0F74">
      <w:pPr>
        <w:spacing w:line="200" w:lineRule="exact"/>
        <w:rPr>
          <w:sz w:val="20"/>
          <w:szCs w:val="20"/>
        </w:rPr>
      </w:pPr>
    </w:p>
    <w:p w14:paraId="4A6F2A2C" w14:textId="77777777" w:rsidR="008E0F74" w:rsidRPr="00FC3B7C" w:rsidRDefault="008E0F74">
      <w:pPr>
        <w:spacing w:line="200" w:lineRule="exact"/>
        <w:rPr>
          <w:sz w:val="20"/>
          <w:szCs w:val="20"/>
        </w:rPr>
      </w:pPr>
    </w:p>
    <w:p w14:paraId="4A6F2A2D" w14:textId="77777777" w:rsidR="008E0F74" w:rsidRPr="00FC3B7C" w:rsidRDefault="008E0F74">
      <w:pPr>
        <w:spacing w:line="200" w:lineRule="exact"/>
        <w:rPr>
          <w:sz w:val="20"/>
          <w:szCs w:val="20"/>
        </w:rPr>
      </w:pPr>
    </w:p>
    <w:p w14:paraId="4A6F2A2E" w14:textId="77777777" w:rsidR="008E0F74" w:rsidRPr="00FC3B7C" w:rsidRDefault="008E0F74">
      <w:pPr>
        <w:spacing w:line="200" w:lineRule="exact"/>
        <w:rPr>
          <w:sz w:val="20"/>
          <w:szCs w:val="20"/>
        </w:rPr>
      </w:pPr>
    </w:p>
    <w:p w14:paraId="4A6F2A2F" w14:textId="77777777" w:rsidR="008E0F74" w:rsidRPr="00FC3B7C" w:rsidRDefault="008E0F74">
      <w:pPr>
        <w:spacing w:line="200" w:lineRule="exact"/>
        <w:rPr>
          <w:sz w:val="20"/>
          <w:szCs w:val="20"/>
        </w:rPr>
      </w:pPr>
    </w:p>
    <w:p w14:paraId="4A6F2A30" w14:textId="77777777" w:rsidR="008E0F74" w:rsidRPr="00FC3B7C" w:rsidRDefault="008E0F74">
      <w:pPr>
        <w:spacing w:line="200" w:lineRule="exact"/>
        <w:rPr>
          <w:sz w:val="20"/>
          <w:szCs w:val="20"/>
        </w:rPr>
      </w:pPr>
    </w:p>
    <w:p w14:paraId="4A6F2A31" w14:textId="77777777" w:rsidR="008E0F74" w:rsidRPr="00FC3B7C" w:rsidRDefault="008E0F74">
      <w:pPr>
        <w:spacing w:line="200" w:lineRule="exact"/>
        <w:rPr>
          <w:sz w:val="20"/>
          <w:szCs w:val="20"/>
        </w:rPr>
      </w:pPr>
    </w:p>
    <w:p w14:paraId="4A6F2A32" w14:textId="77777777" w:rsidR="008E0F74" w:rsidRPr="00FC3B7C" w:rsidRDefault="008E0F74">
      <w:pPr>
        <w:spacing w:line="200" w:lineRule="exact"/>
        <w:rPr>
          <w:sz w:val="20"/>
          <w:szCs w:val="20"/>
        </w:rPr>
      </w:pPr>
    </w:p>
    <w:p w14:paraId="4A6F2A33" w14:textId="77777777" w:rsidR="008E0F74" w:rsidRPr="00FC3B7C" w:rsidRDefault="008E0F74">
      <w:pPr>
        <w:spacing w:line="200" w:lineRule="exact"/>
        <w:rPr>
          <w:sz w:val="20"/>
          <w:szCs w:val="20"/>
        </w:rPr>
      </w:pPr>
    </w:p>
    <w:p w14:paraId="4A6F2A34" w14:textId="77777777" w:rsidR="008E0F74" w:rsidRPr="00FC3B7C" w:rsidRDefault="008E0F74">
      <w:pPr>
        <w:spacing w:line="200" w:lineRule="exact"/>
        <w:rPr>
          <w:sz w:val="20"/>
          <w:szCs w:val="20"/>
        </w:rPr>
      </w:pPr>
    </w:p>
    <w:p w14:paraId="4A6F2A35" w14:textId="77777777" w:rsidR="008E0F74" w:rsidRPr="00FC3B7C" w:rsidRDefault="008E0F74">
      <w:pPr>
        <w:spacing w:line="200" w:lineRule="exact"/>
        <w:rPr>
          <w:sz w:val="20"/>
          <w:szCs w:val="20"/>
        </w:rPr>
      </w:pPr>
    </w:p>
    <w:p w14:paraId="4A6F2A36" w14:textId="77777777" w:rsidR="008E0F74" w:rsidRPr="00FC3B7C" w:rsidRDefault="008E0F74">
      <w:pPr>
        <w:spacing w:line="200" w:lineRule="exact"/>
        <w:rPr>
          <w:sz w:val="20"/>
          <w:szCs w:val="20"/>
        </w:rPr>
      </w:pPr>
    </w:p>
    <w:p w14:paraId="4A6F2A37" w14:textId="77777777" w:rsidR="008E0F74" w:rsidRPr="00FC3B7C" w:rsidRDefault="008E0F74">
      <w:pPr>
        <w:spacing w:line="200" w:lineRule="exact"/>
        <w:rPr>
          <w:sz w:val="20"/>
          <w:szCs w:val="20"/>
        </w:rPr>
      </w:pPr>
    </w:p>
    <w:p w14:paraId="4A6F2A38" w14:textId="77777777" w:rsidR="008E0F74" w:rsidRPr="00FC3B7C" w:rsidRDefault="008E0F74">
      <w:pPr>
        <w:spacing w:line="200" w:lineRule="exact"/>
        <w:rPr>
          <w:sz w:val="20"/>
          <w:szCs w:val="20"/>
        </w:rPr>
      </w:pPr>
    </w:p>
    <w:p w14:paraId="4A6F2A39" w14:textId="77777777" w:rsidR="008E0F74" w:rsidRPr="00FC3B7C" w:rsidRDefault="008E0F74">
      <w:pPr>
        <w:spacing w:line="200" w:lineRule="exact"/>
        <w:rPr>
          <w:sz w:val="20"/>
          <w:szCs w:val="20"/>
        </w:rPr>
      </w:pPr>
    </w:p>
    <w:p w14:paraId="4A6F2A3A" w14:textId="77777777" w:rsidR="008E0F74" w:rsidRPr="00FC3B7C" w:rsidRDefault="008E0F74">
      <w:pPr>
        <w:spacing w:line="200" w:lineRule="exact"/>
        <w:rPr>
          <w:sz w:val="20"/>
          <w:szCs w:val="20"/>
        </w:rPr>
      </w:pPr>
    </w:p>
    <w:p w14:paraId="4A6F2A3B" w14:textId="77777777" w:rsidR="008E0F74" w:rsidRPr="00FC3B7C" w:rsidRDefault="008E0F74">
      <w:pPr>
        <w:spacing w:line="200" w:lineRule="exact"/>
        <w:rPr>
          <w:sz w:val="20"/>
          <w:szCs w:val="20"/>
        </w:rPr>
      </w:pPr>
    </w:p>
    <w:p w14:paraId="4A6F2A3C" w14:textId="77777777" w:rsidR="008E0F74" w:rsidRPr="00FC3B7C" w:rsidRDefault="008E0F74">
      <w:pPr>
        <w:spacing w:line="200" w:lineRule="exact"/>
        <w:rPr>
          <w:sz w:val="20"/>
          <w:szCs w:val="20"/>
        </w:rPr>
      </w:pPr>
    </w:p>
    <w:p w14:paraId="4A6F2A3D" w14:textId="77777777" w:rsidR="008E0F74" w:rsidRPr="00FC3B7C" w:rsidRDefault="008E0F74">
      <w:pPr>
        <w:spacing w:line="200" w:lineRule="exact"/>
        <w:rPr>
          <w:sz w:val="20"/>
          <w:szCs w:val="20"/>
        </w:rPr>
      </w:pPr>
    </w:p>
    <w:p w14:paraId="4A6F2A3E" w14:textId="77777777" w:rsidR="008E0F74" w:rsidRPr="00FC3B7C" w:rsidRDefault="008E0F74">
      <w:pPr>
        <w:spacing w:line="200" w:lineRule="exact"/>
        <w:rPr>
          <w:sz w:val="20"/>
          <w:szCs w:val="20"/>
        </w:rPr>
      </w:pPr>
    </w:p>
    <w:p w14:paraId="4A6F2A3F" w14:textId="77777777" w:rsidR="008E0F74" w:rsidRPr="00FC3B7C" w:rsidRDefault="008E0F74">
      <w:pPr>
        <w:spacing w:line="200" w:lineRule="exact"/>
        <w:rPr>
          <w:sz w:val="20"/>
          <w:szCs w:val="20"/>
        </w:rPr>
      </w:pPr>
    </w:p>
    <w:p w14:paraId="4A6F2A40" w14:textId="77777777" w:rsidR="008E0F74" w:rsidRPr="00FC3B7C" w:rsidRDefault="008E0F74">
      <w:pPr>
        <w:spacing w:line="200" w:lineRule="exact"/>
        <w:rPr>
          <w:sz w:val="20"/>
          <w:szCs w:val="20"/>
        </w:rPr>
      </w:pPr>
    </w:p>
    <w:p w14:paraId="4A6F2A41" w14:textId="77777777" w:rsidR="008E0F74" w:rsidRPr="00FC3B7C" w:rsidRDefault="008E0F74">
      <w:pPr>
        <w:spacing w:line="200" w:lineRule="exact"/>
        <w:rPr>
          <w:sz w:val="20"/>
          <w:szCs w:val="20"/>
        </w:rPr>
      </w:pPr>
    </w:p>
    <w:p w14:paraId="4A6F2A42" w14:textId="77777777" w:rsidR="008E0F74" w:rsidRPr="00FC3B7C" w:rsidRDefault="008E0F74">
      <w:pPr>
        <w:spacing w:line="200" w:lineRule="exact"/>
        <w:rPr>
          <w:sz w:val="20"/>
          <w:szCs w:val="20"/>
        </w:rPr>
      </w:pPr>
    </w:p>
    <w:p w14:paraId="4A6F2A43" w14:textId="77777777" w:rsidR="008E0F74" w:rsidRPr="00FC3B7C" w:rsidRDefault="008E0F74">
      <w:pPr>
        <w:spacing w:line="200" w:lineRule="exact"/>
        <w:rPr>
          <w:sz w:val="20"/>
          <w:szCs w:val="20"/>
        </w:rPr>
      </w:pPr>
    </w:p>
    <w:p w14:paraId="4A6F2A44" w14:textId="77777777" w:rsidR="008E0F74" w:rsidRPr="00FC3B7C" w:rsidRDefault="008E0F74">
      <w:pPr>
        <w:spacing w:line="226" w:lineRule="exact"/>
        <w:rPr>
          <w:sz w:val="20"/>
          <w:szCs w:val="20"/>
        </w:rPr>
      </w:pPr>
    </w:p>
    <w:p w14:paraId="4A6F2A45" w14:textId="77777777" w:rsidR="008E0F74" w:rsidRPr="00FC3B7C" w:rsidRDefault="008E0F74">
      <w:pPr>
        <w:ind w:left="8720"/>
        <w:rPr>
          <w:sz w:val="20"/>
          <w:szCs w:val="20"/>
        </w:rPr>
      </w:pPr>
    </w:p>
    <w:p w14:paraId="4A6F2A46" w14:textId="77777777" w:rsidR="008E0F74" w:rsidRPr="00FC3B7C" w:rsidRDefault="008E0F74">
      <w:pPr>
        <w:sectPr w:rsidR="008E0F74" w:rsidRPr="00FC3B7C">
          <w:type w:val="continuous"/>
          <w:pgSz w:w="11900" w:h="16840"/>
          <w:pgMar w:top="1320" w:right="1440" w:bottom="625" w:left="1280" w:header="0" w:footer="0" w:gutter="0"/>
          <w:cols w:space="708" w:equalWidth="0">
            <w:col w:w="9180"/>
          </w:cols>
        </w:sectPr>
      </w:pPr>
    </w:p>
    <w:p w14:paraId="4A6F2A47" w14:textId="77777777" w:rsidR="008E0F74" w:rsidRPr="00FC3B7C" w:rsidRDefault="00256F29">
      <w:pPr>
        <w:rPr>
          <w:sz w:val="20"/>
          <w:szCs w:val="20"/>
        </w:rPr>
      </w:pPr>
      <w:bookmarkStart w:id="20" w:name="page19"/>
      <w:bookmarkEnd w:id="20"/>
      <w:r w:rsidRPr="00FC3B7C">
        <w:rPr>
          <w:rFonts w:eastAsia="Times New Roman"/>
          <w:b/>
          <w:bCs/>
          <w:sz w:val="28"/>
          <w:szCs w:val="28"/>
        </w:rPr>
        <w:lastRenderedPageBreak/>
        <w:t>Zdroje:</w:t>
      </w:r>
    </w:p>
    <w:p w14:paraId="4A6F2A48" w14:textId="77777777" w:rsidR="008E0F74" w:rsidRPr="00FC3B7C" w:rsidRDefault="008E0F74">
      <w:pPr>
        <w:spacing w:line="200" w:lineRule="exact"/>
        <w:rPr>
          <w:sz w:val="20"/>
          <w:szCs w:val="20"/>
        </w:rPr>
      </w:pPr>
    </w:p>
    <w:p w14:paraId="4A6F2A49" w14:textId="77777777" w:rsidR="008E0F74" w:rsidRPr="00FC3B7C" w:rsidRDefault="00256F29" w:rsidP="00777E08">
      <w:pPr>
        <w:rPr>
          <w:sz w:val="20"/>
          <w:szCs w:val="20"/>
        </w:rPr>
      </w:pPr>
      <w:r w:rsidRPr="00FC3B7C">
        <w:rPr>
          <w:rFonts w:eastAsia="Times New Roman"/>
        </w:rPr>
        <w:t>HOLMAN, Robert: Dějiny ekonomického myšlení. 3. vydání. Praha: C. H. Beck, 2005.</w:t>
      </w:r>
    </w:p>
    <w:p w14:paraId="4A6F2A4A" w14:textId="77777777" w:rsidR="008E0F74" w:rsidRPr="00FC3B7C" w:rsidRDefault="00256F29" w:rsidP="00777E08">
      <w:pPr>
        <w:rPr>
          <w:sz w:val="20"/>
          <w:szCs w:val="20"/>
        </w:rPr>
      </w:pPr>
      <w:r w:rsidRPr="00FC3B7C">
        <w:rPr>
          <w:rFonts w:eastAsia="Times New Roman"/>
        </w:rPr>
        <w:t>KLIKOVÁ, Christiana; KOTLÁN, Igor: Hospodářská politika. [s.l.] : Institut vzdělávání.</w:t>
      </w:r>
    </w:p>
    <w:p w14:paraId="4A6F2A4B" w14:textId="77777777" w:rsidR="008E0F74" w:rsidRPr="00FC3B7C" w:rsidRDefault="00256F29" w:rsidP="00777E08">
      <w:pPr>
        <w:rPr>
          <w:sz w:val="20"/>
          <w:szCs w:val="20"/>
        </w:rPr>
      </w:pPr>
      <w:r w:rsidRPr="00FC3B7C">
        <w:rPr>
          <w:rFonts w:eastAsia="Times New Roman"/>
        </w:rPr>
        <w:t>SOKRATES, 2003. 275 s. ISBN 8086572048.</w:t>
      </w:r>
    </w:p>
    <w:p w14:paraId="4A6F2A4C" w14:textId="77777777" w:rsidR="008E0F74" w:rsidRPr="00FC3B7C" w:rsidRDefault="00256F29" w:rsidP="00777E08">
      <w:pPr>
        <w:rPr>
          <w:sz w:val="20"/>
          <w:szCs w:val="20"/>
        </w:rPr>
      </w:pPr>
      <w:r w:rsidRPr="00FC3B7C">
        <w:rPr>
          <w:rFonts w:eastAsia="Times New Roman"/>
        </w:rPr>
        <w:t>JAN, Kubíček: Hospodářská politika. Plzeň: Aleš Čeněk, 2006. 302 s. ISBN 8086898997.</w:t>
      </w:r>
    </w:p>
    <w:p w14:paraId="4A6F2A4D" w14:textId="77777777" w:rsidR="008E0F74" w:rsidRPr="00FC3B7C" w:rsidRDefault="00256F29" w:rsidP="00777E08">
      <w:pPr>
        <w:rPr>
          <w:sz w:val="20"/>
          <w:szCs w:val="20"/>
        </w:rPr>
      </w:pPr>
      <w:r w:rsidRPr="00FC3B7C">
        <w:rPr>
          <w:rFonts w:eastAsia="Times New Roman"/>
        </w:rPr>
        <w:t>ŠULC, Z.: Hospodářská politika. Consus, Praha 1993.</w:t>
      </w:r>
    </w:p>
    <w:p w14:paraId="4A6F2A4E" w14:textId="77777777" w:rsidR="008E0F74" w:rsidRPr="00FC3B7C" w:rsidRDefault="00256F29" w:rsidP="00777E08">
      <w:pPr>
        <w:rPr>
          <w:sz w:val="20"/>
          <w:szCs w:val="20"/>
        </w:rPr>
      </w:pPr>
      <w:r w:rsidRPr="00FC3B7C">
        <w:rPr>
          <w:rFonts w:eastAsia="Times New Roman"/>
        </w:rPr>
        <w:t>KASAN, J. – ŽÁK, M.: Hospodářská politika. Praha: ALEKO, 1991.</w:t>
      </w:r>
    </w:p>
    <w:p w14:paraId="4A6F2A4F" w14:textId="77777777" w:rsidR="008E0F74" w:rsidRPr="00FC3B7C" w:rsidRDefault="00256F29" w:rsidP="00777E08">
      <w:pPr>
        <w:rPr>
          <w:sz w:val="20"/>
          <w:szCs w:val="20"/>
        </w:rPr>
      </w:pPr>
      <w:r w:rsidRPr="00FC3B7C">
        <w:rPr>
          <w:rFonts w:eastAsia="Times New Roman"/>
        </w:rPr>
        <w:t>SLANÝ, Antonín. Makroekonomická analýza a hospodářská politika. 1. vyd. Praha: C. H.</w:t>
      </w:r>
    </w:p>
    <w:p w14:paraId="4A6F2A50" w14:textId="77777777" w:rsidR="008E0F74" w:rsidRPr="00FC3B7C" w:rsidRDefault="00256F29" w:rsidP="00777E08">
      <w:pPr>
        <w:rPr>
          <w:sz w:val="20"/>
          <w:szCs w:val="20"/>
        </w:rPr>
      </w:pPr>
      <w:r w:rsidRPr="00FC3B7C">
        <w:rPr>
          <w:rFonts w:eastAsia="Times New Roman"/>
        </w:rPr>
        <w:t>Beck, 2003. 380 s. EU 22. ISBN 80-7179-738-3.</w:t>
      </w:r>
    </w:p>
    <w:p w14:paraId="4A6F2A51" w14:textId="77777777" w:rsidR="008E0F74" w:rsidRPr="00FC3B7C" w:rsidRDefault="00256F29" w:rsidP="00777E08">
      <w:pPr>
        <w:rPr>
          <w:sz w:val="20"/>
          <w:szCs w:val="20"/>
        </w:rPr>
      </w:pPr>
      <w:r w:rsidRPr="00FC3B7C">
        <w:rPr>
          <w:rFonts w:eastAsia="Times New Roman"/>
        </w:rPr>
        <w:t>HOLMAN, R. a kol. Dějiny ekonomického myšlení. 3. vyd. Praha: C. H. Beck, 2005. ISBN 80-7179-380-9.</w:t>
      </w:r>
    </w:p>
    <w:p w14:paraId="4A6F2A52" w14:textId="77777777" w:rsidR="008E0F74" w:rsidRPr="00FC3B7C" w:rsidRDefault="00256F29" w:rsidP="00777E08">
      <w:pPr>
        <w:rPr>
          <w:sz w:val="20"/>
          <w:szCs w:val="20"/>
        </w:rPr>
      </w:pPr>
      <w:r w:rsidRPr="00FC3B7C">
        <w:rPr>
          <w:rFonts w:eastAsia="Times New Roman"/>
        </w:rPr>
        <w:t xml:space="preserve">ŠEVČÍK, M. Úvod do hospodářské a sociální politiky: Přednášky předmětu. Praha, 2010. ZAJÍČEK, M. Reaganomika bez pověr a iluzí [online]. 14. 6. 2004 [cit. 2013-02-25], Dostupné z: </w:t>
      </w:r>
      <w:r w:rsidRPr="00FC3B7C">
        <w:rPr>
          <w:rFonts w:eastAsia="Times New Roman"/>
          <w:color w:val="0563C1"/>
          <w:u w:val="single"/>
        </w:rPr>
        <w:t>http://www.libinst.cz/clanky-a-komentare/1199-reaganomika-bez-pover-a-iluzi/</w:t>
      </w:r>
      <w:r w:rsidRPr="00FC3B7C">
        <w:rPr>
          <w:rFonts w:eastAsia="Times New Roman"/>
          <w:color w:val="000000"/>
        </w:rPr>
        <w:t>.</w:t>
      </w:r>
    </w:p>
    <w:p w14:paraId="4A6F2A53" w14:textId="77777777" w:rsidR="008E0F74" w:rsidRPr="00FC3B7C" w:rsidRDefault="00256F29" w:rsidP="00777E08">
      <w:pPr>
        <w:rPr>
          <w:sz w:val="20"/>
          <w:szCs w:val="20"/>
        </w:rPr>
      </w:pPr>
      <w:r w:rsidRPr="00FC3B7C">
        <w:rPr>
          <w:rFonts w:eastAsia="Times New Roman"/>
        </w:rPr>
        <w:t xml:space="preserve">JOCH, R. Socialismus a komunismus [online]. [cit. 2013-02-25]. Dostupné z: </w:t>
      </w:r>
      <w:r w:rsidRPr="00FC3B7C">
        <w:rPr>
          <w:rFonts w:eastAsia="Times New Roman"/>
          <w:color w:val="0563C1"/>
          <w:u w:val="single"/>
        </w:rPr>
        <w:t>http://www.revuepolitika.cz/clanky/431/socialismus-a-komunismus-stycne-body-a-rozdily</w:t>
      </w:r>
      <w:r w:rsidRPr="00FC3B7C">
        <w:rPr>
          <w:rFonts w:eastAsia="Times New Roman"/>
          <w:color w:val="000000"/>
        </w:rPr>
        <w:t>.</w:t>
      </w:r>
    </w:p>
    <w:p w14:paraId="4A6F2A54" w14:textId="6A5209F4" w:rsidR="008E0F74" w:rsidRPr="00FC3B7C" w:rsidRDefault="00256F29" w:rsidP="00777E08">
      <w:pPr>
        <w:rPr>
          <w:sz w:val="20"/>
          <w:szCs w:val="20"/>
        </w:rPr>
      </w:pPr>
      <w:r w:rsidRPr="00FC3B7C">
        <w:rPr>
          <w:rFonts w:eastAsia="Times New Roman"/>
        </w:rPr>
        <w:t>WAWROSZ, P. Institucionální versus neoklasická ekonomie. Ekonomické listy: Odborný</w:t>
      </w:r>
      <w:r w:rsidR="00777E08">
        <w:rPr>
          <w:sz w:val="20"/>
          <w:szCs w:val="20"/>
        </w:rPr>
        <w:t xml:space="preserve"> </w:t>
      </w:r>
      <w:r w:rsidRPr="00FC3B7C">
        <w:rPr>
          <w:rFonts w:eastAsia="Times New Roman"/>
        </w:rPr>
        <w:t xml:space="preserve">vědecký časopis [online]. roč. 2012, č. 1 [cit. 2013 -02-25]. Dostupné z: </w:t>
      </w:r>
      <w:r w:rsidRPr="00FC3B7C">
        <w:rPr>
          <w:rFonts w:eastAsia="Times New Roman"/>
          <w:color w:val="0563C1"/>
          <w:u w:val="single"/>
        </w:rPr>
        <w:t>http://www.vsem.cz/data/data/cessoubory/ekonomicke_</w:t>
      </w:r>
      <w:r w:rsidR="00CE28AF">
        <w:rPr>
          <w:rFonts w:eastAsia="Times New Roman"/>
          <w:color w:val="0563C1"/>
          <w:u w:val="single"/>
        </w:rPr>
        <w:t>listy/Ekonomicke_listy_1_2012.p</w:t>
      </w:r>
      <w:r w:rsidRPr="00FC3B7C">
        <w:rPr>
          <w:rFonts w:eastAsia="Times New Roman"/>
          <w:color w:val="0563C1"/>
          <w:u w:val="single"/>
        </w:rPr>
        <w:t>df</w:t>
      </w:r>
      <w:r w:rsidRPr="00FC3B7C">
        <w:rPr>
          <w:rFonts w:eastAsia="Times New Roman"/>
          <w:color w:val="000000"/>
        </w:rPr>
        <w:t>.</w:t>
      </w:r>
    </w:p>
    <w:p w14:paraId="4A6F2A55" w14:textId="77777777" w:rsidR="008E0F74" w:rsidRPr="00FC3B7C" w:rsidRDefault="008E0F74" w:rsidP="00777E08">
      <w:pPr>
        <w:sectPr w:rsidR="008E0F74" w:rsidRPr="00FC3B7C">
          <w:pgSz w:w="11900" w:h="16840"/>
          <w:pgMar w:top="1309" w:right="1440" w:bottom="625" w:left="1280" w:header="0" w:footer="0" w:gutter="0"/>
          <w:cols w:space="708" w:equalWidth="0">
            <w:col w:w="9180"/>
          </w:cols>
        </w:sectPr>
      </w:pPr>
    </w:p>
    <w:p w14:paraId="4A6F2A56" w14:textId="77777777" w:rsidR="008E0F74" w:rsidRPr="00FC3B7C" w:rsidRDefault="008E0F74">
      <w:pPr>
        <w:spacing w:line="200" w:lineRule="exact"/>
        <w:rPr>
          <w:sz w:val="20"/>
          <w:szCs w:val="20"/>
        </w:rPr>
      </w:pPr>
    </w:p>
    <w:p w14:paraId="4A6F2A57" w14:textId="77777777" w:rsidR="008E0F74" w:rsidRPr="00FC3B7C" w:rsidRDefault="008E0F74">
      <w:pPr>
        <w:spacing w:line="200" w:lineRule="exact"/>
        <w:rPr>
          <w:sz w:val="20"/>
          <w:szCs w:val="20"/>
        </w:rPr>
      </w:pPr>
    </w:p>
    <w:p w14:paraId="4A6F2A58" w14:textId="77777777" w:rsidR="008E0F74" w:rsidRPr="00FC3B7C" w:rsidRDefault="008E0F74">
      <w:pPr>
        <w:spacing w:line="200" w:lineRule="exact"/>
        <w:rPr>
          <w:sz w:val="20"/>
          <w:szCs w:val="20"/>
        </w:rPr>
      </w:pPr>
    </w:p>
    <w:p w14:paraId="4A6F2A59" w14:textId="77777777" w:rsidR="008E0F74" w:rsidRPr="00FC3B7C" w:rsidRDefault="008E0F74">
      <w:pPr>
        <w:spacing w:line="200" w:lineRule="exact"/>
        <w:rPr>
          <w:sz w:val="20"/>
          <w:szCs w:val="20"/>
        </w:rPr>
      </w:pPr>
    </w:p>
    <w:p w14:paraId="4A6F2A5A" w14:textId="77777777" w:rsidR="008E0F74" w:rsidRPr="00FC3B7C" w:rsidRDefault="008E0F74">
      <w:pPr>
        <w:spacing w:line="200" w:lineRule="exact"/>
        <w:rPr>
          <w:sz w:val="20"/>
          <w:szCs w:val="20"/>
        </w:rPr>
      </w:pPr>
    </w:p>
    <w:p w14:paraId="4A6F2A5B" w14:textId="77777777" w:rsidR="008E0F74" w:rsidRPr="00FC3B7C" w:rsidRDefault="008E0F74">
      <w:pPr>
        <w:spacing w:line="200" w:lineRule="exact"/>
        <w:rPr>
          <w:sz w:val="20"/>
          <w:szCs w:val="20"/>
        </w:rPr>
      </w:pPr>
    </w:p>
    <w:p w14:paraId="4A6F2A5C" w14:textId="77777777" w:rsidR="008E0F74" w:rsidRPr="00FC3B7C" w:rsidRDefault="008E0F74">
      <w:pPr>
        <w:spacing w:line="200" w:lineRule="exact"/>
        <w:rPr>
          <w:sz w:val="20"/>
          <w:szCs w:val="20"/>
        </w:rPr>
      </w:pPr>
    </w:p>
    <w:p w14:paraId="4A6F2A5D" w14:textId="77777777" w:rsidR="008E0F74" w:rsidRPr="00FC3B7C" w:rsidRDefault="008E0F74">
      <w:pPr>
        <w:spacing w:line="200" w:lineRule="exact"/>
        <w:rPr>
          <w:sz w:val="20"/>
          <w:szCs w:val="20"/>
        </w:rPr>
      </w:pPr>
    </w:p>
    <w:p w14:paraId="4A6F2A5E" w14:textId="77777777" w:rsidR="008E0F74" w:rsidRPr="00FC3B7C" w:rsidRDefault="008E0F74">
      <w:pPr>
        <w:spacing w:line="200" w:lineRule="exact"/>
        <w:rPr>
          <w:sz w:val="20"/>
          <w:szCs w:val="20"/>
        </w:rPr>
      </w:pPr>
    </w:p>
    <w:p w14:paraId="4A6F2A5F" w14:textId="77777777" w:rsidR="008E0F74" w:rsidRPr="00FC3B7C" w:rsidRDefault="008E0F74">
      <w:pPr>
        <w:spacing w:line="200" w:lineRule="exact"/>
        <w:rPr>
          <w:sz w:val="20"/>
          <w:szCs w:val="20"/>
        </w:rPr>
      </w:pPr>
    </w:p>
    <w:p w14:paraId="4A6F2A60" w14:textId="77777777" w:rsidR="008E0F74" w:rsidRPr="00FC3B7C" w:rsidRDefault="008E0F74">
      <w:pPr>
        <w:spacing w:line="200" w:lineRule="exact"/>
        <w:rPr>
          <w:sz w:val="20"/>
          <w:szCs w:val="20"/>
        </w:rPr>
      </w:pPr>
    </w:p>
    <w:p w14:paraId="4A6F2A61" w14:textId="77777777" w:rsidR="008E0F74" w:rsidRPr="00FC3B7C" w:rsidRDefault="008E0F74">
      <w:pPr>
        <w:spacing w:line="200" w:lineRule="exact"/>
        <w:rPr>
          <w:sz w:val="20"/>
          <w:szCs w:val="20"/>
        </w:rPr>
      </w:pPr>
    </w:p>
    <w:p w14:paraId="4A6F2A62" w14:textId="77777777" w:rsidR="008E0F74" w:rsidRPr="00FC3B7C" w:rsidRDefault="008E0F74">
      <w:pPr>
        <w:spacing w:line="200" w:lineRule="exact"/>
        <w:rPr>
          <w:sz w:val="20"/>
          <w:szCs w:val="20"/>
        </w:rPr>
      </w:pPr>
    </w:p>
    <w:p w14:paraId="4A6F2A63" w14:textId="77777777" w:rsidR="008E0F74" w:rsidRPr="00FC3B7C" w:rsidRDefault="008E0F74">
      <w:pPr>
        <w:spacing w:line="200" w:lineRule="exact"/>
        <w:rPr>
          <w:sz w:val="20"/>
          <w:szCs w:val="20"/>
        </w:rPr>
      </w:pPr>
    </w:p>
    <w:p w14:paraId="4A6F2A64" w14:textId="77777777" w:rsidR="008E0F74" w:rsidRPr="00FC3B7C" w:rsidRDefault="008E0F74">
      <w:pPr>
        <w:spacing w:line="200" w:lineRule="exact"/>
        <w:rPr>
          <w:sz w:val="20"/>
          <w:szCs w:val="20"/>
        </w:rPr>
      </w:pPr>
    </w:p>
    <w:p w14:paraId="4A6F2A65" w14:textId="77777777" w:rsidR="008E0F74" w:rsidRPr="00FC3B7C" w:rsidRDefault="008E0F74">
      <w:pPr>
        <w:spacing w:line="200" w:lineRule="exact"/>
        <w:rPr>
          <w:sz w:val="20"/>
          <w:szCs w:val="20"/>
        </w:rPr>
      </w:pPr>
    </w:p>
    <w:p w14:paraId="4A6F2A66" w14:textId="77777777" w:rsidR="008E0F74" w:rsidRPr="00FC3B7C" w:rsidRDefault="008E0F74">
      <w:pPr>
        <w:spacing w:line="200" w:lineRule="exact"/>
        <w:rPr>
          <w:sz w:val="20"/>
          <w:szCs w:val="20"/>
        </w:rPr>
      </w:pPr>
    </w:p>
    <w:p w14:paraId="4A6F2A67" w14:textId="77777777" w:rsidR="008E0F74" w:rsidRPr="00FC3B7C" w:rsidRDefault="008E0F74">
      <w:pPr>
        <w:spacing w:line="200" w:lineRule="exact"/>
        <w:rPr>
          <w:sz w:val="20"/>
          <w:szCs w:val="20"/>
        </w:rPr>
      </w:pPr>
    </w:p>
    <w:p w14:paraId="4A6F2A68" w14:textId="77777777" w:rsidR="008E0F74" w:rsidRPr="00FC3B7C" w:rsidRDefault="008E0F74">
      <w:pPr>
        <w:spacing w:line="200" w:lineRule="exact"/>
        <w:rPr>
          <w:sz w:val="20"/>
          <w:szCs w:val="20"/>
        </w:rPr>
      </w:pPr>
    </w:p>
    <w:p w14:paraId="4A6F2A69" w14:textId="77777777" w:rsidR="008E0F74" w:rsidRPr="00FC3B7C" w:rsidRDefault="008E0F74">
      <w:pPr>
        <w:spacing w:line="200" w:lineRule="exact"/>
        <w:rPr>
          <w:sz w:val="20"/>
          <w:szCs w:val="20"/>
        </w:rPr>
      </w:pPr>
    </w:p>
    <w:p w14:paraId="4A6F2A6A" w14:textId="77777777" w:rsidR="008E0F74" w:rsidRPr="00FC3B7C" w:rsidRDefault="008E0F74">
      <w:pPr>
        <w:spacing w:line="200" w:lineRule="exact"/>
        <w:rPr>
          <w:sz w:val="20"/>
          <w:szCs w:val="20"/>
        </w:rPr>
      </w:pPr>
    </w:p>
    <w:p w14:paraId="4A6F2A6B" w14:textId="77777777" w:rsidR="008E0F74" w:rsidRPr="00FC3B7C" w:rsidRDefault="008E0F74">
      <w:pPr>
        <w:spacing w:line="383" w:lineRule="exact"/>
        <w:rPr>
          <w:sz w:val="20"/>
          <w:szCs w:val="20"/>
        </w:rPr>
      </w:pPr>
    </w:p>
    <w:p w14:paraId="4A6F2A6C" w14:textId="77777777" w:rsidR="008E0F74" w:rsidRPr="00FC3B7C" w:rsidRDefault="008E0F74" w:rsidP="00E44DAC">
      <w:pPr>
        <w:rPr>
          <w:sz w:val="20"/>
          <w:szCs w:val="20"/>
        </w:rPr>
      </w:pPr>
    </w:p>
    <w:p w14:paraId="4A6F2A6D" w14:textId="77777777" w:rsidR="008E0F74" w:rsidRPr="00FC3B7C" w:rsidRDefault="008E0F74">
      <w:pPr>
        <w:sectPr w:rsidR="008E0F74" w:rsidRPr="00FC3B7C">
          <w:type w:val="continuous"/>
          <w:pgSz w:w="11900" w:h="16840"/>
          <w:pgMar w:top="1309" w:right="1440" w:bottom="625" w:left="1280" w:header="0" w:footer="0" w:gutter="0"/>
          <w:cols w:space="708" w:equalWidth="0">
            <w:col w:w="9180"/>
          </w:cols>
        </w:sectPr>
      </w:pPr>
    </w:p>
    <w:p w14:paraId="4A6F2A6E" w14:textId="77777777" w:rsidR="008E0F74" w:rsidRPr="0096098D" w:rsidRDefault="00256F29" w:rsidP="0096098D">
      <w:pPr>
        <w:pStyle w:val="Nadpis1"/>
        <w:spacing w:after="0" w:afterAutospacing="0"/>
        <w:ind w:left="0" w:hanging="3"/>
        <w:rPr>
          <w:color w:val="1F3864" w:themeColor="accent1" w:themeShade="80"/>
        </w:rPr>
      </w:pPr>
      <w:bookmarkStart w:id="21" w:name="page20"/>
      <w:bookmarkStart w:id="22" w:name="_Toc54254075"/>
      <w:bookmarkEnd w:id="21"/>
      <w:r w:rsidRPr="0096098D">
        <w:rPr>
          <w:color w:val="1F3864" w:themeColor="accent1" w:themeShade="80"/>
        </w:rPr>
        <w:lastRenderedPageBreak/>
        <w:t>CÍLE, NOSITELÉ A NÁSTROJE HOSPODÁŘSKÉ</w:t>
      </w:r>
      <w:r w:rsidR="00DC7C7B" w:rsidRPr="0096098D">
        <w:rPr>
          <w:color w:val="1F3864" w:themeColor="accent1" w:themeShade="80"/>
        </w:rPr>
        <w:t xml:space="preserve"> </w:t>
      </w:r>
      <w:r w:rsidRPr="0096098D">
        <w:rPr>
          <w:color w:val="1F3864" w:themeColor="accent1" w:themeShade="80"/>
        </w:rPr>
        <w:t>POLITIKY</w:t>
      </w:r>
      <w:bookmarkEnd w:id="22"/>
    </w:p>
    <w:p w14:paraId="4A6F2A6F" w14:textId="77777777" w:rsidR="008E0F74" w:rsidRPr="00FC3B7C" w:rsidRDefault="00256F29" w:rsidP="00DC7C7B">
      <w:pPr>
        <w:rPr>
          <w:sz w:val="20"/>
          <w:szCs w:val="20"/>
        </w:rPr>
      </w:pPr>
      <w:r w:rsidRPr="00FC3B7C">
        <w:rPr>
          <w:rFonts w:eastAsia="Times New Roman"/>
        </w:rPr>
        <w:t xml:space="preserve">Podstata, způsoby dosahování a náklady společenského konsensu. Vztah cílů společnosti </w:t>
      </w:r>
      <w:r w:rsidR="00DC7C7B">
        <w:rPr>
          <w:rFonts w:eastAsia="Times New Roman"/>
        </w:rPr>
        <w:br/>
      </w:r>
      <w:r w:rsidRPr="00FC3B7C">
        <w:rPr>
          <w:rFonts w:eastAsia="Times New Roman"/>
        </w:rPr>
        <w:t>a hospodářské politiky. Charakteristika nositelů a nástrojů hospodářské politiky. Charakteristika nejvýznamnějších nositelů hospodářské politiky v České republice a jejich vztahů</w:t>
      </w:r>
    </w:p>
    <w:p w14:paraId="4A6F2A70" w14:textId="77777777" w:rsidR="008E0F74" w:rsidRPr="00FC3B7C" w:rsidRDefault="008E0F74">
      <w:pPr>
        <w:spacing w:line="183" w:lineRule="exact"/>
        <w:rPr>
          <w:sz w:val="20"/>
          <w:szCs w:val="20"/>
        </w:rPr>
      </w:pPr>
    </w:p>
    <w:p w14:paraId="4A6F2A71" w14:textId="77777777" w:rsidR="008E0F74" w:rsidRPr="00466189" w:rsidRDefault="00256F29">
      <w:pPr>
        <w:rPr>
          <w:sz w:val="20"/>
          <w:szCs w:val="20"/>
        </w:rPr>
      </w:pPr>
      <w:r w:rsidRPr="00466189">
        <w:rPr>
          <w:rFonts w:eastAsia="Times New Roman"/>
          <w:b/>
          <w:bCs/>
          <w:sz w:val="28"/>
          <w:szCs w:val="28"/>
        </w:rPr>
        <w:t>Slovníček pojmů:</w:t>
      </w:r>
    </w:p>
    <w:p w14:paraId="4A6F2A72" w14:textId="77777777" w:rsidR="008E0F74" w:rsidRPr="00FC3B7C" w:rsidRDefault="00256F29" w:rsidP="00DC7C7B">
      <w:pPr>
        <w:rPr>
          <w:sz w:val="20"/>
          <w:szCs w:val="20"/>
        </w:rPr>
      </w:pPr>
      <w:r w:rsidRPr="00FC3B7C">
        <w:rPr>
          <w:rFonts w:eastAsia="Times New Roman"/>
        </w:rPr>
        <w:t>ČNB = Česká národní banka (zal. r. 1993)</w:t>
      </w:r>
    </w:p>
    <w:p w14:paraId="4A6F2A73" w14:textId="77777777" w:rsidR="008E0F74" w:rsidRPr="00FC3B7C" w:rsidRDefault="00256F29" w:rsidP="00DC7C7B">
      <w:pPr>
        <w:rPr>
          <w:sz w:val="20"/>
          <w:szCs w:val="20"/>
        </w:rPr>
      </w:pPr>
      <w:r w:rsidRPr="00FC3B7C">
        <w:rPr>
          <w:rFonts w:eastAsia="Times New Roman"/>
        </w:rPr>
        <w:t xml:space="preserve">OECD = Organisation for Economic Co-operation and Development/Organizace </w:t>
      </w:r>
      <w:r w:rsidR="00A20CBC">
        <w:rPr>
          <w:rFonts w:eastAsia="Times New Roman"/>
        </w:rPr>
        <w:br/>
      </w:r>
      <w:r w:rsidRPr="00FC3B7C">
        <w:rPr>
          <w:rFonts w:eastAsia="Times New Roman"/>
        </w:rPr>
        <w:t>pro ekonomickou spolupráci a rozvoj (zal. 30. 9. 1961)</w:t>
      </w:r>
    </w:p>
    <w:p w14:paraId="4A6F2A74" w14:textId="6C4FFBBD" w:rsidR="008E0F74" w:rsidRPr="00FC3B7C" w:rsidRDefault="00256F29" w:rsidP="00DC7C7B">
      <w:pPr>
        <w:rPr>
          <w:sz w:val="20"/>
          <w:szCs w:val="20"/>
        </w:rPr>
      </w:pPr>
      <w:r w:rsidRPr="00FC3B7C">
        <w:rPr>
          <w:rFonts w:eastAsia="Times New Roman"/>
        </w:rPr>
        <w:t>UN/OSN</w:t>
      </w:r>
      <w:r w:rsidRPr="00FC3B7C">
        <w:rPr>
          <w:rFonts w:eastAsia="Times New Roman"/>
        </w:rPr>
        <w:tab/>
        <w:t>=</w:t>
      </w:r>
      <w:r w:rsidR="003376E1">
        <w:rPr>
          <w:rFonts w:eastAsia="Times New Roman"/>
        </w:rPr>
        <w:t xml:space="preserve"> </w:t>
      </w:r>
      <w:r w:rsidRPr="00FC3B7C">
        <w:rPr>
          <w:rFonts w:eastAsia="Times New Roman"/>
        </w:rPr>
        <w:t>United</w:t>
      </w:r>
      <w:r w:rsidR="003376E1">
        <w:rPr>
          <w:rFonts w:eastAsia="Times New Roman"/>
        </w:rPr>
        <w:t xml:space="preserve"> </w:t>
      </w:r>
      <w:r w:rsidRPr="00FC3B7C">
        <w:rPr>
          <w:rFonts w:eastAsia="Times New Roman"/>
        </w:rPr>
        <w:t>Nations/Organizace</w:t>
      </w:r>
      <w:r w:rsidR="003376E1">
        <w:rPr>
          <w:rFonts w:eastAsia="Times New Roman"/>
        </w:rPr>
        <w:t xml:space="preserve"> </w:t>
      </w:r>
      <w:r w:rsidR="00DC7C7B">
        <w:rPr>
          <w:rFonts w:eastAsia="Times New Roman"/>
        </w:rPr>
        <w:t>spojených</w:t>
      </w:r>
      <w:r w:rsidR="00DC7C7B">
        <w:rPr>
          <w:rFonts w:eastAsia="Times New Roman"/>
        </w:rPr>
        <w:tab/>
        <w:t>národů</w:t>
      </w:r>
      <w:r w:rsidR="00DC7C7B">
        <w:rPr>
          <w:rFonts w:eastAsia="Times New Roman"/>
        </w:rPr>
        <w:tab/>
        <w:t>OSVČ</w:t>
      </w:r>
      <w:r w:rsidR="00DC7C7B">
        <w:rPr>
          <w:rFonts w:eastAsia="Times New Roman"/>
        </w:rPr>
        <w:tab/>
        <w:t>=</w:t>
      </w:r>
      <w:r w:rsidR="003376E1">
        <w:rPr>
          <w:rFonts w:eastAsia="Times New Roman"/>
        </w:rPr>
        <w:t xml:space="preserve"> </w:t>
      </w:r>
      <w:r w:rsidR="00DC7C7B">
        <w:rPr>
          <w:rFonts w:eastAsia="Times New Roman"/>
        </w:rPr>
        <w:t xml:space="preserve">osoba </w:t>
      </w:r>
      <w:r w:rsidRPr="00FC3B7C">
        <w:rPr>
          <w:rFonts w:eastAsia="Times New Roman"/>
        </w:rPr>
        <w:t>samostatně</w:t>
      </w:r>
      <w:r w:rsidR="00DC7C7B">
        <w:rPr>
          <w:sz w:val="20"/>
          <w:szCs w:val="20"/>
        </w:rPr>
        <w:t xml:space="preserve"> </w:t>
      </w:r>
      <w:r w:rsidRPr="00FC3B7C">
        <w:rPr>
          <w:rFonts w:eastAsia="Times New Roman"/>
        </w:rPr>
        <w:t>výdělečně činná (zal. 24. 10. 1945</w:t>
      </w:r>
    </w:p>
    <w:p w14:paraId="4A6F2A75" w14:textId="77777777" w:rsidR="008E0F74" w:rsidRPr="00FC3B7C" w:rsidRDefault="00256F29" w:rsidP="00DC7C7B">
      <w:pPr>
        <w:rPr>
          <w:sz w:val="20"/>
          <w:szCs w:val="20"/>
        </w:rPr>
      </w:pPr>
      <w:r w:rsidRPr="00FC3B7C">
        <w:rPr>
          <w:rFonts w:eastAsia="Times New Roman"/>
        </w:rPr>
        <w:t>SSB = Skupina světových bank</w:t>
      </w:r>
    </w:p>
    <w:p w14:paraId="4A6F2A76" w14:textId="77777777" w:rsidR="008E0F74" w:rsidRPr="00FC3B7C" w:rsidRDefault="00256F29" w:rsidP="00DC7C7B">
      <w:pPr>
        <w:spacing w:after="240"/>
        <w:rPr>
          <w:sz w:val="20"/>
          <w:szCs w:val="20"/>
        </w:rPr>
      </w:pPr>
      <w:r w:rsidRPr="00FC3B7C">
        <w:rPr>
          <w:rFonts w:eastAsia="Times New Roman"/>
        </w:rPr>
        <w:t>WTO = World Trade Center/Světová obchodní organizace (zal. 1. 1. 1995)</w:t>
      </w:r>
    </w:p>
    <w:p w14:paraId="4A6F2A77" w14:textId="77777777" w:rsidR="008E0F74" w:rsidRPr="00FC3B7C" w:rsidRDefault="00256F29" w:rsidP="00DC7C7B">
      <w:pPr>
        <w:rPr>
          <w:sz w:val="20"/>
          <w:szCs w:val="20"/>
        </w:rPr>
      </w:pPr>
      <w:r w:rsidRPr="00FC3B7C">
        <w:rPr>
          <w:rFonts w:eastAsia="Times New Roman"/>
          <w:i/>
          <w:iCs/>
          <w:u w:val="single"/>
        </w:rPr>
        <w:t>Agregátní nabídka</w:t>
      </w:r>
      <w:r w:rsidRPr="00FC3B7C">
        <w:rPr>
          <w:rFonts w:eastAsia="Times New Roman"/>
          <w:i/>
          <w:iCs/>
        </w:rPr>
        <w:t xml:space="preserve"> </w:t>
      </w:r>
      <w:r w:rsidRPr="00FC3B7C">
        <w:rPr>
          <w:rFonts w:eastAsia="Times New Roman"/>
        </w:rPr>
        <w:t>- Celkový</w:t>
      </w:r>
      <w:r w:rsidRPr="00FC3B7C">
        <w:rPr>
          <w:rFonts w:eastAsia="Times New Roman"/>
          <w:i/>
          <w:iCs/>
        </w:rPr>
        <w:t xml:space="preserve"> </w:t>
      </w:r>
      <w:r w:rsidRPr="00FC3B7C">
        <w:rPr>
          <w:rFonts w:eastAsia="Times New Roman"/>
        </w:rPr>
        <w:t>národní produkt, který</w:t>
      </w:r>
      <w:r w:rsidRPr="00FC3B7C">
        <w:rPr>
          <w:rFonts w:eastAsia="Times New Roman"/>
          <w:i/>
          <w:iCs/>
        </w:rPr>
        <w:t xml:space="preserve"> </w:t>
      </w:r>
      <w:r w:rsidRPr="00FC3B7C">
        <w:rPr>
          <w:rFonts w:eastAsia="Times New Roman"/>
        </w:rPr>
        <w:t>podniky vyrobí a prodají v průběhu</w:t>
      </w:r>
      <w:r w:rsidRPr="00FC3B7C">
        <w:rPr>
          <w:rFonts w:eastAsia="Times New Roman"/>
          <w:i/>
          <w:iCs/>
        </w:rPr>
        <w:t xml:space="preserve"> </w:t>
      </w:r>
      <w:r w:rsidRPr="00FC3B7C">
        <w:rPr>
          <w:rFonts w:eastAsia="Times New Roman"/>
        </w:rPr>
        <w:t xml:space="preserve">určitého období. Křivka AS zobrazuje výši reálného produktu, které bude dosaženo </w:t>
      </w:r>
      <w:r w:rsidR="00A20CBC">
        <w:rPr>
          <w:rFonts w:eastAsia="Times New Roman"/>
        </w:rPr>
        <w:br/>
      </w:r>
      <w:r w:rsidRPr="00FC3B7C">
        <w:rPr>
          <w:rFonts w:eastAsia="Times New Roman"/>
        </w:rPr>
        <w:t>při kterékoliv možné cenové hladině.</w:t>
      </w:r>
    </w:p>
    <w:p w14:paraId="4A6F2A78" w14:textId="77777777" w:rsidR="008E0F74" w:rsidRPr="00FC3B7C" w:rsidRDefault="00256F29" w:rsidP="00DC7C7B">
      <w:pPr>
        <w:rPr>
          <w:sz w:val="20"/>
          <w:szCs w:val="20"/>
        </w:rPr>
      </w:pPr>
      <w:r w:rsidRPr="00FC3B7C">
        <w:rPr>
          <w:rFonts w:eastAsia="Times New Roman"/>
          <w:i/>
          <w:iCs/>
          <w:u w:val="single"/>
        </w:rPr>
        <w:t>Agregátní poptávka</w:t>
      </w:r>
      <w:r w:rsidRPr="00FC3B7C">
        <w:rPr>
          <w:rFonts w:eastAsia="Times New Roman"/>
          <w:i/>
          <w:iCs/>
        </w:rPr>
        <w:t xml:space="preserve"> </w:t>
      </w:r>
      <w:r w:rsidRPr="00FC3B7C">
        <w:rPr>
          <w:rFonts w:eastAsia="Times New Roman"/>
        </w:rPr>
        <w:t>- Celkové neboli agregátní množství produktu, které bude při dané úrovni</w:t>
      </w:r>
      <w:r w:rsidRPr="00FC3B7C">
        <w:rPr>
          <w:rFonts w:eastAsia="Times New Roman"/>
          <w:i/>
          <w:iCs/>
        </w:rPr>
        <w:t xml:space="preserve"> </w:t>
      </w:r>
      <w:r w:rsidRPr="00FC3B7C">
        <w:rPr>
          <w:rFonts w:eastAsia="Times New Roman"/>
        </w:rPr>
        <w:t>cen dobrovolně nakoupeno. AD jsou celkové výdaje ve všech výrobních sektorech na spotřebu, soukromé investice, na vládní výdaje a čisté vývozy. Můžeme též říci, že je to funkce vyjadřující závislost domácího reálného produktu, který lidé chtějí nakupovat, na cenové hladině.</w:t>
      </w:r>
    </w:p>
    <w:p w14:paraId="4A6F2A79" w14:textId="77777777" w:rsidR="008E0F74" w:rsidRPr="00FC3B7C" w:rsidRDefault="00256F29" w:rsidP="00DC7C7B">
      <w:pPr>
        <w:rPr>
          <w:sz w:val="20"/>
          <w:szCs w:val="20"/>
        </w:rPr>
      </w:pPr>
      <w:r w:rsidRPr="00FC3B7C">
        <w:rPr>
          <w:rFonts w:eastAsia="Times New Roman"/>
          <w:i/>
          <w:iCs/>
          <w:sz w:val="23"/>
          <w:szCs w:val="23"/>
          <w:u w:val="single"/>
        </w:rPr>
        <w:t>Cenný</w:t>
      </w:r>
      <w:r w:rsidRPr="00FC3B7C">
        <w:rPr>
          <w:rFonts w:eastAsia="Times New Roman"/>
          <w:i/>
          <w:iCs/>
          <w:sz w:val="23"/>
          <w:szCs w:val="23"/>
        </w:rPr>
        <w:t xml:space="preserve"> </w:t>
      </w:r>
      <w:r w:rsidRPr="00FC3B7C">
        <w:rPr>
          <w:rFonts w:eastAsia="Times New Roman"/>
          <w:i/>
          <w:iCs/>
          <w:sz w:val="23"/>
          <w:szCs w:val="23"/>
          <w:u w:val="single"/>
        </w:rPr>
        <w:t>papír</w:t>
      </w:r>
      <w:r w:rsidRPr="00FC3B7C">
        <w:rPr>
          <w:rFonts w:eastAsia="Times New Roman"/>
          <w:i/>
          <w:iCs/>
          <w:sz w:val="23"/>
          <w:szCs w:val="23"/>
        </w:rPr>
        <w:t xml:space="preserve"> </w:t>
      </w:r>
      <w:r w:rsidRPr="00FC3B7C">
        <w:rPr>
          <w:rFonts w:eastAsia="Times New Roman"/>
          <w:sz w:val="23"/>
          <w:szCs w:val="23"/>
        </w:rPr>
        <w:t>- Listina, která je bezprostředním nositelem práva. Představuje dokument, s</w:t>
      </w:r>
      <w:r w:rsidR="00DC7C7B">
        <w:rPr>
          <w:rFonts w:eastAsia="Times New Roman"/>
          <w:sz w:val="23"/>
          <w:szCs w:val="23"/>
        </w:rPr>
        <w:t> </w:t>
      </w:r>
      <w:r w:rsidRPr="00FC3B7C">
        <w:rPr>
          <w:rFonts w:eastAsia="Times New Roman"/>
          <w:sz w:val="23"/>
          <w:szCs w:val="23"/>
        </w:rPr>
        <w:t>nímž</w:t>
      </w:r>
      <w:r w:rsidR="00DC7C7B">
        <w:rPr>
          <w:sz w:val="20"/>
          <w:szCs w:val="20"/>
        </w:rPr>
        <w:t xml:space="preserve"> </w:t>
      </w:r>
      <w:r w:rsidRPr="00FC3B7C">
        <w:rPr>
          <w:rFonts w:eastAsia="Times New Roman"/>
        </w:rPr>
        <w:t>jsou svázány určité hodnoty, majetek a majetkový prospěch. Cennými papíry jsou akcie,</w:t>
      </w:r>
      <w:r w:rsidR="00DC7C7B">
        <w:rPr>
          <w:sz w:val="20"/>
          <w:szCs w:val="20"/>
        </w:rPr>
        <w:t xml:space="preserve"> </w:t>
      </w:r>
      <w:r w:rsidRPr="00FC3B7C">
        <w:rPr>
          <w:rFonts w:eastAsia="Times New Roman"/>
        </w:rPr>
        <w:t>dluhopisy, směnky, pokladní poukázky atd.</w:t>
      </w:r>
    </w:p>
    <w:p w14:paraId="4A6F2A7A" w14:textId="77777777" w:rsidR="008E0F74" w:rsidRPr="00FC3B7C" w:rsidRDefault="00256F29" w:rsidP="00DC7C7B">
      <w:pPr>
        <w:rPr>
          <w:sz w:val="20"/>
          <w:szCs w:val="20"/>
        </w:rPr>
      </w:pPr>
      <w:r w:rsidRPr="00FC3B7C">
        <w:rPr>
          <w:rFonts w:eastAsia="Times New Roman"/>
          <w:i/>
          <w:iCs/>
          <w:u w:val="single"/>
        </w:rPr>
        <w:t>Clo</w:t>
      </w:r>
      <w:r w:rsidRPr="00FC3B7C">
        <w:rPr>
          <w:rFonts w:eastAsia="Times New Roman"/>
          <w:i/>
          <w:iCs/>
        </w:rPr>
        <w:t xml:space="preserve"> </w:t>
      </w:r>
      <w:r w:rsidRPr="00FC3B7C">
        <w:rPr>
          <w:rFonts w:eastAsia="Times New Roman"/>
        </w:rPr>
        <w:t>- Dávka vybíraná státem při přechodu zboží přes celní hranici při dovozu nebo vývozu.</w:t>
      </w:r>
    </w:p>
    <w:p w14:paraId="4A6F2A7B" w14:textId="77777777" w:rsidR="008E0F74" w:rsidRPr="00FC3B7C" w:rsidRDefault="00256F29" w:rsidP="00DC7C7B">
      <w:pPr>
        <w:rPr>
          <w:sz w:val="20"/>
          <w:szCs w:val="20"/>
        </w:rPr>
      </w:pPr>
      <w:r w:rsidRPr="00FC3B7C">
        <w:rPr>
          <w:rFonts w:eastAsia="Times New Roman"/>
        </w:rPr>
        <w:t>V praxi převažují dovozní cla.</w:t>
      </w:r>
    </w:p>
    <w:p w14:paraId="4A6F2A7C" w14:textId="77777777" w:rsidR="008E0F74" w:rsidRPr="00FC3B7C" w:rsidRDefault="00256F29" w:rsidP="00DC7C7B">
      <w:pPr>
        <w:rPr>
          <w:sz w:val="20"/>
          <w:szCs w:val="20"/>
        </w:rPr>
      </w:pPr>
      <w:r w:rsidRPr="00FC3B7C">
        <w:rPr>
          <w:rFonts w:eastAsia="Times New Roman"/>
          <w:i/>
          <w:iCs/>
          <w:u w:val="single"/>
        </w:rPr>
        <w:t>Daň</w:t>
      </w:r>
      <w:r w:rsidRPr="00FC3B7C">
        <w:rPr>
          <w:rFonts w:eastAsia="Times New Roman"/>
          <w:i/>
          <w:iCs/>
        </w:rPr>
        <w:t xml:space="preserve"> </w:t>
      </w:r>
      <w:r w:rsidRPr="00FC3B7C">
        <w:rPr>
          <w:rFonts w:eastAsia="Times New Roman"/>
        </w:rPr>
        <w:t xml:space="preserve">- Zákonem stanovená povinná, neadresná a nenávratná platba, kterou stát vymáhá </w:t>
      </w:r>
      <w:r w:rsidR="00A20CBC">
        <w:rPr>
          <w:rFonts w:eastAsia="Times New Roman"/>
        </w:rPr>
        <w:br/>
      </w:r>
      <w:r w:rsidRPr="00FC3B7C">
        <w:rPr>
          <w:rFonts w:eastAsia="Times New Roman"/>
        </w:rPr>
        <w:t>od</w:t>
      </w:r>
      <w:r w:rsidRPr="00FC3B7C">
        <w:rPr>
          <w:rFonts w:eastAsia="Times New Roman"/>
          <w:i/>
          <w:iCs/>
        </w:rPr>
        <w:t xml:space="preserve"> </w:t>
      </w:r>
      <w:r w:rsidRPr="00FC3B7C">
        <w:rPr>
          <w:rFonts w:eastAsia="Times New Roman"/>
        </w:rPr>
        <w:t>různých subjektů - podniků, domácností, organizací, jednotlivců.</w:t>
      </w:r>
    </w:p>
    <w:p w14:paraId="4A6F2A7D" w14:textId="77777777" w:rsidR="008E0F74" w:rsidRPr="00FC3B7C" w:rsidRDefault="00256F29" w:rsidP="00DC7C7B">
      <w:pPr>
        <w:rPr>
          <w:sz w:val="20"/>
          <w:szCs w:val="20"/>
        </w:rPr>
      </w:pPr>
      <w:r w:rsidRPr="00FC3B7C">
        <w:rPr>
          <w:rFonts w:eastAsia="Times New Roman"/>
          <w:i/>
          <w:iCs/>
          <w:u w:val="single"/>
        </w:rPr>
        <w:t>Deficit (schodek)</w:t>
      </w:r>
      <w:r w:rsidRPr="00FC3B7C">
        <w:rPr>
          <w:rFonts w:eastAsia="Times New Roman"/>
          <w:i/>
          <w:iCs/>
        </w:rPr>
        <w:t xml:space="preserve"> </w:t>
      </w:r>
      <w:r w:rsidRPr="00FC3B7C">
        <w:rPr>
          <w:rFonts w:eastAsia="Times New Roman"/>
        </w:rPr>
        <w:t>- Záporný</w:t>
      </w:r>
      <w:r w:rsidRPr="00FC3B7C">
        <w:rPr>
          <w:rFonts w:eastAsia="Times New Roman"/>
          <w:i/>
          <w:iCs/>
        </w:rPr>
        <w:t xml:space="preserve"> </w:t>
      </w:r>
      <w:r w:rsidRPr="00FC3B7C">
        <w:rPr>
          <w:rFonts w:eastAsia="Times New Roman"/>
        </w:rPr>
        <w:t>zůstatek, který</w:t>
      </w:r>
      <w:r w:rsidRPr="00FC3B7C">
        <w:rPr>
          <w:rFonts w:eastAsia="Times New Roman"/>
          <w:i/>
          <w:iCs/>
        </w:rPr>
        <w:t xml:space="preserve"> </w:t>
      </w:r>
      <w:r w:rsidRPr="00FC3B7C">
        <w:rPr>
          <w:rFonts w:eastAsia="Times New Roman"/>
        </w:rPr>
        <w:t>představuje nerovnováhu. Vzniká tehdy, jsou-li</w:t>
      </w:r>
      <w:r w:rsidRPr="00FC3B7C">
        <w:rPr>
          <w:rFonts w:eastAsia="Times New Roman"/>
          <w:i/>
          <w:iCs/>
        </w:rPr>
        <w:t xml:space="preserve"> </w:t>
      </w:r>
      <w:r w:rsidRPr="00FC3B7C">
        <w:rPr>
          <w:rFonts w:eastAsia="Times New Roman"/>
        </w:rPr>
        <w:t>výdaje vyšší než příjmy.</w:t>
      </w:r>
    </w:p>
    <w:p w14:paraId="4A6F2A7E" w14:textId="77777777" w:rsidR="008E0F74" w:rsidRPr="00FC3B7C" w:rsidRDefault="008E0F74" w:rsidP="00DC7C7B">
      <w:pPr>
        <w:sectPr w:rsidR="008E0F74" w:rsidRPr="00FC3B7C">
          <w:pgSz w:w="11900" w:h="16840"/>
          <w:pgMar w:top="1311" w:right="1440" w:bottom="625" w:left="1280" w:header="0" w:footer="0" w:gutter="0"/>
          <w:cols w:space="708" w:equalWidth="0">
            <w:col w:w="9180"/>
          </w:cols>
        </w:sectPr>
      </w:pPr>
    </w:p>
    <w:p w14:paraId="4A6F2A7F" w14:textId="77777777" w:rsidR="008E0F74" w:rsidRPr="00FC3B7C" w:rsidRDefault="008E0F74" w:rsidP="00DC7C7B">
      <w:pPr>
        <w:rPr>
          <w:sz w:val="20"/>
          <w:szCs w:val="20"/>
        </w:rPr>
      </w:pPr>
    </w:p>
    <w:p w14:paraId="4A6F2A80" w14:textId="77777777" w:rsidR="008E0F74" w:rsidRPr="00FC3B7C" w:rsidRDefault="008E0F74" w:rsidP="00DC7C7B">
      <w:pPr>
        <w:rPr>
          <w:sz w:val="20"/>
          <w:szCs w:val="20"/>
        </w:rPr>
      </w:pPr>
    </w:p>
    <w:p w14:paraId="4A6F2A81" w14:textId="77777777" w:rsidR="008E0F74" w:rsidRPr="00FC3B7C" w:rsidRDefault="008E0F74" w:rsidP="00DC7C7B">
      <w:pPr>
        <w:sectPr w:rsidR="008E0F74" w:rsidRPr="00FC3B7C">
          <w:type w:val="continuous"/>
          <w:pgSz w:w="11900" w:h="16840"/>
          <w:pgMar w:top="1311" w:right="1440" w:bottom="625" w:left="1280" w:header="0" w:footer="0" w:gutter="0"/>
          <w:cols w:space="708" w:equalWidth="0">
            <w:col w:w="9180"/>
          </w:cols>
        </w:sectPr>
      </w:pPr>
    </w:p>
    <w:p w14:paraId="4A6F2A82" w14:textId="77777777" w:rsidR="008E0F74" w:rsidRPr="00FC3B7C" w:rsidRDefault="00256F29" w:rsidP="00A20CBC">
      <w:pPr>
        <w:rPr>
          <w:sz w:val="20"/>
          <w:szCs w:val="20"/>
        </w:rPr>
      </w:pPr>
      <w:bookmarkStart w:id="23" w:name="page21"/>
      <w:bookmarkEnd w:id="23"/>
      <w:r w:rsidRPr="00FC3B7C">
        <w:rPr>
          <w:rFonts w:eastAsia="Times New Roman"/>
          <w:i/>
          <w:iCs/>
          <w:u w:val="single"/>
        </w:rPr>
        <w:lastRenderedPageBreak/>
        <w:t>Inflace</w:t>
      </w:r>
      <w:r w:rsidRPr="00FC3B7C">
        <w:rPr>
          <w:rFonts w:eastAsia="Times New Roman"/>
          <w:i/>
          <w:iCs/>
        </w:rPr>
        <w:t xml:space="preserve"> </w:t>
      </w:r>
      <w:r w:rsidRPr="00FC3B7C">
        <w:rPr>
          <w:rFonts w:eastAsia="Times New Roman"/>
        </w:rPr>
        <w:t>- Projev nerovnováhy v ekonomice znamenající vzestup celkové cenové hladiny.</w:t>
      </w:r>
      <w:r w:rsidRPr="00FC3B7C">
        <w:rPr>
          <w:rFonts w:eastAsia="Times New Roman"/>
          <w:i/>
          <w:iCs/>
        </w:rPr>
        <w:t xml:space="preserve"> Magický trojúhelník </w:t>
      </w:r>
      <w:r w:rsidRPr="00FC3B7C">
        <w:rPr>
          <w:rFonts w:eastAsia="Times New Roman"/>
        </w:rPr>
        <w:t>- Symbolizuje nemožnost zároveň</w:t>
      </w:r>
      <w:r w:rsidRPr="00FC3B7C">
        <w:rPr>
          <w:rFonts w:eastAsia="Times New Roman"/>
          <w:i/>
          <w:iCs/>
        </w:rPr>
        <w:t xml:space="preserve"> </w:t>
      </w:r>
      <w:r w:rsidRPr="00FC3B7C">
        <w:rPr>
          <w:rFonts w:eastAsia="Times New Roman"/>
        </w:rPr>
        <w:t>naplnit nízkou inflaci, plnou</w:t>
      </w:r>
      <w:r w:rsidRPr="00FC3B7C">
        <w:rPr>
          <w:rFonts w:eastAsia="Times New Roman"/>
          <w:i/>
          <w:iCs/>
        </w:rPr>
        <w:t xml:space="preserve"> </w:t>
      </w:r>
      <w:r w:rsidRPr="00FC3B7C">
        <w:rPr>
          <w:rFonts w:eastAsia="Times New Roman"/>
        </w:rPr>
        <w:t>zaměstnanost a rovnováhu platební bilance.</w:t>
      </w:r>
    </w:p>
    <w:p w14:paraId="4A6F2A83" w14:textId="77777777" w:rsidR="008E0F74" w:rsidRPr="00FC3B7C" w:rsidRDefault="00256F29" w:rsidP="00A20CBC">
      <w:pPr>
        <w:rPr>
          <w:sz w:val="20"/>
          <w:szCs w:val="20"/>
        </w:rPr>
      </w:pPr>
      <w:r w:rsidRPr="00FC3B7C">
        <w:rPr>
          <w:rFonts w:eastAsia="Times New Roman"/>
          <w:i/>
          <w:iCs/>
          <w:u w:val="single"/>
        </w:rPr>
        <w:t>Mobilita kapitálu</w:t>
      </w:r>
      <w:r w:rsidRPr="00FC3B7C">
        <w:rPr>
          <w:rFonts w:eastAsia="Times New Roman"/>
          <w:i/>
          <w:iCs/>
        </w:rPr>
        <w:t xml:space="preserve"> </w:t>
      </w:r>
      <w:r w:rsidRPr="00FC3B7C">
        <w:rPr>
          <w:rFonts w:eastAsia="Times New Roman"/>
        </w:rPr>
        <w:t>- Pojem pro označení pohyblivosti kapitálu. Kapitálová mobilita je</w:t>
      </w:r>
      <w:r w:rsidRPr="00FC3B7C">
        <w:rPr>
          <w:rFonts w:eastAsia="Times New Roman"/>
          <w:i/>
          <w:iCs/>
        </w:rPr>
        <w:t xml:space="preserve"> </w:t>
      </w:r>
      <w:r w:rsidRPr="00FC3B7C">
        <w:rPr>
          <w:rFonts w:eastAsia="Times New Roman"/>
        </w:rPr>
        <w:t xml:space="preserve">dokonalá, pokud investoři mohou nakupovat nebo prodávat aktiva bez jakýchkoli omezení, </w:t>
      </w:r>
      <w:r w:rsidR="00A20CBC">
        <w:rPr>
          <w:rFonts w:eastAsia="Times New Roman"/>
        </w:rPr>
        <w:br/>
      </w:r>
      <w:r w:rsidRPr="00FC3B7C">
        <w:rPr>
          <w:rFonts w:eastAsia="Times New Roman"/>
        </w:rPr>
        <w:t>a to rychle a s nulovými transakčními náklady. Při dokonalé kapitálové mobilitě se domácí úroková míra rovná světové.</w:t>
      </w:r>
    </w:p>
    <w:p w14:paraId="4A6F2A84" w14:textId="77777777" w:rsidR="008E0F74" w:rsidRPr="00FC3B7C" w:rsidRDefault="00256F29" w:rsidP="00A20CBC">
      <w:pPr>
        <w:rPr>
          <w:sz w:val="20"/>
          <w:szCs w:val="20"/>
        </w:rPr>
      </w:pPr>
      <w:r w:rsidRPr="00FC3B7C">
        <w:rPr>
          <w:rFonts w:eastAsia="Times New Roman"/>
          <w:i/>
          <w:iCs/>
          <w:u w:val="single"/>
        </w:rPr>
        <w:t>Paretovo optimum</w:t>
      </w:r>
      <w:r w:rsidRPr="00FC3B7C">
        <w:rPr>
          <w:rFonts w:eastAsia="Times New Roman"/>
          <w:i/>
          <w:iCs/>
        </w:rPr>
        <w:t xml:space="preserve"> </w:t>
      </w:r>
      <w:r w:rsidRPr="00FC3B7C">
        <w:rPr>
          <w:rFonts w:eastAsia="Times New Roman"/>
        </w:rPr>
        <w:t>- Takový</w:t>
      </w:r>
      <w:r w:rsidRPr="00FC3B7C">
        <w:rPr>
          <w:rFonts w:eastAsia="Times New Roman"/>
          <w:i/>
          <w:iCs/>
        </w:rPr>
        <w:t xml:space="preserve"> </w:t>
      </w:r>
      <w:r w:rsidRPr="00FC3B7C">
        <w:rPr>
          <w:rFonts w:eastAsia="Times New Roman"/>
        </w:rPr>
        <w:t>stav společnosti (z hlediska ekonomického), kdy</w:t>
      </w:r>
      <w:r w:rsidRPr="00FC3B7C">
        <w:rPr>
          <w:rFonts w:eastAsia="Times New Roman"/>
          <w:i/>
          <w:iCs/>
        </w:rPr>
        <w:t xml:space="preserve"> </w:t>
      </w:r>
      <w:r w:rsidRPr="00FC3B7C">
        <w:rPr>
          <w:rFonts w:eastAsia="Times New Roman"/>
        </w:rPr>
        <w:t>žádný</w:t>
      </w:r>
      <w:r w:rsidRPr="00FC3B7C">
        <w:rPr>
          <w:rFonts w:eastAsia="Times New Roman"/>
          <w:i/>
          <w:iCs/>
        </w:rPr>
        <w:t xml:space="preserve"> </w:t>
      </w:r>
      <w:r w:rsidRPr="00FC3B7C">
        <w:rPr>
          <w:rFonts w:eastAsia="Times New Roman"/>
        </w:rPr>
        <w:t>jedinec</w:t>
      </w:r>
      <w:r w:rsidRPr="00FC3B7C">
        <w:rPr>
          <w:rFonts w:eastAsia="Times New Roman"/>
          <w:i/>
          <w:iCs/>
        </w:rPr>
        <w:t xml:space="preserve"> </w:t>
      </w:r>
      <w:r w:rsidRPr="00FC3B7C">
        <w:rPr>
          <w:rFonts w:eastAsia="Times New Roman"/>
        </w:rPr>
        <w:t>nebo skupina již nemůže dosáhnout zlepšení bez toho, že by se naopak postavení někoho jiného zhoršilo.</w:t>
      </w:r>
    </w:p>
    <w:p w14:paraId="4A6F2A85" w14:textId="77777777" w:rsidR="008E0F74" w:rsidRPr="00FC3B7C" w:rsidRDefault="00256F29" w:rsidP="00A20CBC">
      <w:pPr>
        <w:rPr>
          <w:sz w:val="20"/>
          <w:szCs w:val="20"/>
        </w:rPr>
      </w:pPr>
      <w:r w:rsidRPr="00FC3B7C">
        <w:rPr>
          <w:rFonts w:eastAsia="Times New Roman"/>
          <w:i/>
          <w:iCs/>
          <w:u w:val="single"/>
        </w:rPr>
        <w:t>Phillipsova křivka</w:t>
      </w:r>
      <w:r w:rsidRPr="00FC3B7C">
        <w:rPr>
          <w:rFonts w:eastAsia="Times New Roman"/>
          <w:i/>
          <w:iCs/>
        </w:rPr>
        <w:t xml:space="preserve"> </w:t>
      </w:r>
      <w:r w:rsidRPr="00FC3B7C">
        <w:rPr>
          <w:rFonts w:eastAsia="Times New Roman"/>
        </w:rPr>
        <w:t>- Popisuje nepřímo úměrný</w:t>
      </w:r>
      <w:r w:rsidRPr="00FC3B7C">
        <w:rPr>
          <w:rFonts w:eastAsia="Times New Roman"/>
          <w:i/>
          <w:iCs/>
        </w:rPr>
        <w:t xml:space="preserve"> </w:t>
      </w:r>
      <w:r w:rsidRPr="00FC3B7C">
        <w:rPr>
          <w:rFonts w:eastAsia="Times New Roman"/>
        </w:rPr>
        <w:t xml:space="preserve">kauzální vztah mezi mírou nezaměstnanosti </w:t>
      </w:r>
      <w:r w:rsidR="00A20CBC">
        <w:rPr>
          <w:rFonts w:eastAsia="Times New Roman"/>
        </w:rPr>
        <w:br/>
      </w:r>
      <w:r w:rsidRPr="00FC3B7C">
        <w:rPr>
          <w:rFonts w:eastAsia="Times New Roman"/>
        </w:rPr>
        <w:t>a</w:t>
      </w:r>
      <w:r w:rsidRPr="00FC3B7C">
        <w:rPr>
          <w:rFonts w:eastAsia="Times New Roman"/>
          <w:i/>
          <w:iCs/>
        </w:rPr>
        <w:t xml:space="preserve"> </w:t>
      </w:r>
      <w:r w:rsidRPr="00FC3B7C">
        <w:rPr>
          <w:rFonts w:eastAsia="Times New Roman"/>
        </w:rPr>
        <w:t>mírou inflace.</w:t>
      </w:r>
    </w:p>
    <w:p w14:paraId="4A6F2A86" w14:textId="77777777" w:rsidR="008E0F74" w:rsidRPr="00FC3B7C" w:rsidRDefault="00256F29" w:rsidP="00A20CBC">
      <w:pPr>
        <w:rPr>
          <w:sz w:val="20"/>
          <w:szCs w:val="20"/>
        </w:rPr>
      </w:pPr>
      <w:r w:rsidRPr="00FC3B7C">
        <w:rPr>
          <w:rFonts w:eastAsia="Times New Roman"/>
          <w:i/>
          <w:iCs/>
          <w:u w:val="single"/>
        </w:rPr>
        <w:t>Transfer</w:t>
      </w:r>
      <w:r w:rsidRPr="00FC3B7C">
        <w:rPr>
          <w:rFonts w:eastAsia="Times New Roman"/>
          <w:i/>
          <w:iCs/>
        </w:rPr>
        <w:t xml:space="preserve"> </w:t>
      </w:r>
      <w:r w:rsidRPr="00FC3B7C">
        <w:rPr>
          <w:rFonts w:eastAsia="Times New Roman"/>
        </w:rPr>
        <w:t>- Jednostranná platba – například podpory v nezaměstnanosti, sociální podpory,</w:t>
      </w:r>
      <w:r w:rsidRPr="00FC3B7C">
        <w:rPr>
          <w:rFonts w:eastAsia="Times New Roman"/>
          <w:i/>
          <w:iCs/>
        </w:rPr>
        <w:t xml:space="preserve"> </w:t>
      </w:r>
      <w:r w:rsidRPr="00FC3B7C">
        <w:rPr>
          <w:rFonts w:eastAsia="Times New Roman"/>
        </w:rPr>
        <w:t>důchody atd.</w:t>
      </w:r>
    </w:p>
    <w:p w14:paraId="4A6F2A87" w14:textId="77777777" w:rsidR="008E0F74" w:rsidRPr="00466189" w:rsidRDefault="00256F29" w:rsidP="00A20CBC">
      <w:pPr>
        <w:pStyle w:val="Nadpis2"/>
        <w:rPr>
          <w:color w:val="1F3864" w:themeColor="accent1" w:themeShade="80"/>
          <w:sz w:val="20"/>
          <w:szCs w:val="20"/>
        </w:rPr>
      </w:pPr>
      <w:r w:rsidRPr="00466189">
        <w:rPr>
          <w:rFonts w:eastAsia="Times New Roman"/>
          <w:color w:val="1F3864" w:themeColor="accent1" w:themeShade="80"/>
        </w:rPr>
        <w:t>SPOLEČENSKÝ KONSENSUS</w:t>
      </w:r>
    </w:p>
    <w:p w14:paraId="4A6F2A88" w14:textId="77777777" w:rsidR="008E0F74" w:rsidRPr="00A20CBC" w:rsidRDefault="00256F29" w:rsidP="00D46B53">
      <w:pPr>
        <w:pStyle w:val="Odstavecseseznamem"/>
        <w:numPr>
          <w:ilvl w:val="0"/>
          <w:numId w:val="595"/>
        </w:numPr>
        <w:rPr>
          <w:rFonts w:eastAsia="Arial"/>
        </w:rPr>
      </w:pPr>
      <w:r w:rsidRPr="00A20CBC">
        <w:rPr>
          <w:rFonts w:eastAsia="Times New Roman"/>
        </w:rPr>
        <w:t xml:space="preserve">Jednotlivec je základní jednotkou společnosti, jedná racionálně a sleduje své osobní </w:t>
      </w:r>
      <w:r w:rsidR="00A20CBC">
        <w:rPr>
          <w:rFonts w:eastAsia="Times New Roman"/>
        </w:rPr>
        <w:br/>
      </w:r>
      <w:r w:rsidRPr="00A20CBC">
        <w:rPr>
          <w:rFonts w:eastAsia="Times New Roman"/>
        </w:rPr>
        <w:t>i ekonomické cíle</w:t>
      </w:r>
      <w:r w:rsidR="00A20CBC">
        <w:rPr>
          <w:rFonts w:eastAsia="Times New Roman"/>
        </w:rPr>
        <w:t>.</w:t>
      </w:r>
    </w:p>
    <w:p w14:paraId="4A6F2A89" w14:textId="77777777" w:rsidR="008E0F74" w:rsidRPr="00A20CBC" w:rsidRDefault="00256F29" w:rsidP="00D46B53">
      <w:pPr>
        <w:pStyle w:val="Odstavecseseznamem"/>
        <w:numPr>
          <w:ilvl w:val="0"/>
          <w:numId w:val="595"/>
        </w:numPr>
        <w:rPr>
          <w:rFonts w:eastAsia="Arial"/>
          <w:sz w:val="23"/>
          <w:szCs w:val="23"/>
        </w:rPr>
      </w:pPr>
      <w:r w:rsidRPr="00A20CBC">
        <w:rPr>
          <w:rFonts w:eastAsia="Times New Roman"/>
          <w:sz w:val="23"/>
          <w:szCs w:val="23"/>
        </w:rPr>
        <w:t>Cíle se mohou shodovat s cíli ostatních jednotlivců úplně, částečně nebo vůbec</w:t>
      </w:r>
      <w:r w:rsidR="00A20CBC">
        <w:rPr>
          <w:rFonts w:eastAsia="Times New Roman"/>
          <w:sz w:val="23"/>
          <w:szCs w:val="23"/>
        </w:rPr>
        <w:t>.</w:t>
      </w:r>
    </w:p>
    <w:p w14:paraId="4A6F2A8A" w14:textId="77777777" w:rsidR="008E0F74" w:rsidRPr="00A20CBC" w:rsidRDefault="00256F29" w:rsidP="00D46B53">
      <w:pPr>
        <w:pStyle w:val="Odstavecseseznamem"/>
        <w:numPr>
          <w:ilvl w:val="0"/>
          <w:numId w:val="595"/>
        </w:numPr>
        <w:rPr>
          <w:rFonts w:eastAsia="Arial"/>
        </w:rPr>
      </w:pPr>
      <w:r w:rsidRPr="00A20CBC">
        <w:rPr>
          <w:rFonts w:eastAsia="Times New Roman"/>
        </w:rPr>
        <w:t>Pokud se zájmy jednotlivců vzájemně shodují, vznikají skupiny, které se snaží tyto cíle naplňovat společně</w:t>
      </w:r>
      <w:r w:rsidR="00A20CBC">
        <w:rPr>
          <w:rFonts w:eastAsia="Times New Roman"/>
        </w:rPr>
        <w:t>.</w:t>
      </w:r>
    </w:p>
    <w:p w14:paraId="4A6F2A8B" w14:textId="77777777" w:rsidR="008E0F74" w:rsidRPr="00FC3B7C" w:rsidRDefault="008E0F74">
      <w:pPr>
        <w:spacing w:line="163" w:lineRule="exact"/>
        <w:rPr>
          <w:sz w:val="20"/>
          <w:szCs w:val="20"/>
        </w:rPr>
      </w:pPr>
    </w:p>
    <w:p w14:paraId="4A6F2A8C" w14:textId="77777777" w:rsidR="008E0F74" w:rsidRPr="00466189" w:rsidRDefault="00256F29" w:rsidP="00A20CBC">
      <w:pPr>
        <w:pStyle w:val="Nadpis3"/>
        <w:rPr>
          <w:color w:val="1F3864" w:themeColor="accent1" w:themeShade="80"/>
          <w:sz w:val="20"/>
          <w:szCs w:val="20"/>
        </w:rPr>
      </w:pPr>
      <w:r w:rsidRPr="00466189">
        <w:rPr>
          <w:rFonts w:eastAsia="Times New Roman"/>
          <w:color w:val="1F3864" w:themeColor="accent1" w:themeShade="80"/>
        </w:rPr>
        <w:t>Obsah společenského konsensu</w:t>
      </w:r>
    </w:p>
    <w:p w14:paraId="4A6F2A8D" w14:textId="77777777" w:rsidR="008E0F74" w:rsidRPr="00A20CBC" w:rsidRDefault="00256F29" w:rsidP="00D46B53">
      <w:pPr>
        <w:pStyle w:val="Odstavecseseznamem"/>
        <w:numPr>
          <w:ilvl w:val="0"/>
          <w:numId w:val="596"/>
        </w:numPr>
        <w:rPr>
          <w:rFonts w:eastAsia="Times New Roman"/>
        </w:rPr>
      </w:pPr>
      <w:r w:rsidRPr="00A20CBC">
        <w:rPr>
          <w:rFonts w:eastAsia="Times New Roman"/>
        </w:rPr>
        <w:t>Obsahem je společenská dohoda o základních pravidlech a hodnotách společnosti</w:t>
      </w:r>
      <w:r w:rsidR="00A20CBC">
        <w:rPr>
          <w:rFonts w:eastAsia="Times New Roman"/>
        </w:rPr>
        <w:t>.</w:t>
      </w:r>
    </w:p>
    <w:p w14:paraId="4A6F2A8E" w14:textId="77777777" w:rsidR="008E0F74" w:rsidRPr="00A20CBC" w:rsidRDefault="00256F29" w:rsidP="00D46B53">
      <w:pPr>
        <w:pStyle w:val="Odstavecseseznamem"/>
        <w:numPr>
          <w:ilvl w:val="0"/>
          <w:numId w:val="596"/>
        </w:numPr>
        <w:rPr>
          <w:rFonts w:eastAsia="Times New Roman"/>
        </w:rPr>
      </w:pPr>
      <w:r w:rsidRPr="00A20CBC">
        <w:rPr>
          <w:rFonts w:eastAsia="Times New Roman"/>
        </w:rPr>
        <w:t>Hlavní pravidla tvorby konsensu obsahuje ústava a právní řád</w:t>
      </w:r>
      <w:r w:rsidR="00A20CBC">
        <w:rPr>
          <w:rFonts w:eastAsia="Times New Roman"/>
        </w:rPr>
        <w:t>.</w:t>
      </w:r>
    </w:p>
    <w:p w14:paraId="4A6F2A8F" w14:textId="77777777" w:rsidR="008E0F74" w:rsidRPr="00A20CBC" w:rsidRDefault="00256F29" w:rsidP="00D46B53">
      <w:pPr>
        <w:pStyle w:val="Odstavecseseznamem"/>
        <w:numPr>
          <w:ilvl w:val="0"/>
          <w:numId w:val="596"/>
        </w:numPr>
        <w:rPr>
          <w:rFonts w:eastAsia="Times New Roman"/>
        </w:rPr>
      </w:pPr>
      <w:r w:rsidRPr="00A20CBC">
        <w:rPr>
          <w:rFonts w:eastAsia="Times New Roman"/>
        </w:rPr>
        <w:t>Garantem jeho dodržování a vymahatelem je stát</w:t>
      </w:r>
      <w:r w:rsidR="00A20CBC">
        <w:rPr>
          <w:rFonts w:eastAsia="Times New Roman"/>
        </w:rPr>
        <w:t>.</w:t>
      </w:r>
    </w:p>
    <w:p w14:paraId="4A6F2A90" w14:textId="77777777" w:rsidR="008E0F74" w:rsidRPr="00A20CBC" w:rsidRDefault="00256F29" w:rsidP="00D46B53">
      <w:pPr>
        <w:pStyle w:val="Odstavecseseznamem"/>
        <w:numPr>
          <w:ilvl w:val="0"/>
          <w:numId w:val="596"/>
        </w:numPr>
        <w:rPr>
          <w:rFonts w:eastAsia="Times New Roman"/>
        </w:rPr>
      </w:pPr>
      <w:r w:rsidRPr="00A20CBC">
        <w:rPr>
          <w:rFonts w:eastAsia="Times New Roman"/>
        </w:rPr>
        <w:t>Příkladem jsou tzv. Generální dohody – dohody tripartity</w:t>
      </w:r>
      <w:r w:rsidR="00A20CBC">
        <w:rPr>
          <w:rFonts w:eastAsia="Times New Roman"/>
        </w:rPr>
        <w:t>.</w:t>
      </w:r>
    </w:p>
    <w:p w14:paraId="4A6F2A91" w14:textId="77777777" w:rsidR="008E0F74" w:rsidRPr="00A20CBC" w:rsidRDefault="00256F29" w:rsidP="00D46B53">
      <w:pPr>
        <w:pStyle w:val="Odstavecseseznamem"/>
        <w:numPr>
          <w:ilvl w:val="0"/>
          <w:numId w:val="596"/>
        </w:numPr>
        <w:rPr>
          <w:rFonts w:eastAsia="Times New Roman"/>
        </w:rPr>
      </w:pPr>
      <w:r w:rsidRPr="00A20CBC">
        <w:rPr>
          <w:rFonts w:eastAsia="Times New Roman"/>
        </w:rPr>
        <w:t>Právo je minimum morálky</w:t>
      </w:r>
      <w:r w:rsidR="00A20CBC">
        <w:rPr>
          <w:rFonts w:eastAsia="Times New Roman"/>
        </w:rPr>
        <w:t>.</w:t>
      </w:r>
    </w:p>
    <w:p w14:paraId="4A6F2A92" w14:textId="77777777" w:rsidR="008E0F74" w:rsidRPr="00A20CBC" w:rsidRDefault="00256F29" w:rsidP="00D46B53">
      <w:pPr>
        <w:pStyle w:val="Odstavecseseznamem"/>
        <w:numPr>
          <w:ilvl w:val="0"/>
          <w:numId w:val="596"/>
        </w:numPr>
        <w:rPr>
          <w:rFonts w:eastAsia="Times New Roman"/>
        </w:rPr>
      </w:pPr>
      <w:r w:rsidRPr="00A20CBC">
        <w:rPr>
          <w:rFonts w:eastAsia="Times New Roman"/>
        </w:rPr>
        <w:t>Dalšími formami konsensu je morálka a etika</w:t>
      </w:r>
      <w:r w:rsidR="00A20CBC">
        <w:rPr>
          <w:rFonts w:eastAsia="Times New Roman"/>
        </w:rPr>
        <w:t>.</w:t>
      </w:r>
    </w:p>
    <w:p w14:paraId="4A6F2A93" w14:textId="77777777" w:rsidR="00A20CBC" w:rsidRDefault="00256F29" w:rsidP="00D46B53">
      <w:pPr>
        <w:pStyle w:val="Odstavecseseznamem"/>
        <w:numPr>
          <w:ilvl w:val="0"/>
          <w:numId w:val="596"/>
        </w:numPr>
        <w:rPr>
          <w:rFonts w:eastAsia="Times New Roman"/>
        </w:rPr>
      </w:pPr>
      <w:r w:rsidRPr="00A20CBC">
        <w:rPr>
          <w:rFonts w:eastAsia="Times New Roman"/>
        </w:rPr>
        <w:t>Pro dosahování souhlasu se používají různé metody od přímé demokracie, přes dem</w:t>
      </w:r>
      <w:r w:rsidR="00A20CBC" w:rsidRPr="00A20CBC">
        <w:rPr>
          <w:rFonts w:eastAsia="Times New Roman"/>
        </w:rPr>
        <w:t>okracii nepřímou až po diktaturu</w:t>
      </w:r>
      <w:bookmarkStart w:id="24" w:name="page22"/>
      <w:bookmarkEnd w:id="24"/>
      <w:r w:rsidR="00A20CBC">
        <w:rPr>
          <w:rFonts w:eastAsia="Times New Roman"/>
        </w:rPr>
        <w:t>.</w:t>
      </w:r>
    </w:p>
    <w:p w14:paraId="4A6F2A94" w14:textId="77777777" w:rsidR="008E0F74" w:rsidRPr="00A20CBC" w:rsidRDefault="00256F29" w:rsidP="00D46B53">
      <w:pPr>
        <w:pStyle w:val="Odstavecseseznamem"/>
        <w:numPr>
          <w:ilvl w:val="0"/>
          <w:numId w:val="596"/>
        </w:numPr>
        <w:rPr>
          <w:rFonts w:eastAsia="Times New Roman"/>
        </w:rPr>
      </w:pPr>
      <w:r w:rsidRPr="00A20CBC">
        <w:rPr>
          <w:rFonts w:eastAsia="Times New Roman"/>
        </w:rPr>
        <w:t xml:space="preserve">Zvláštním případem je anarchie, situace kdy si každý jedinec dělá, co chce, </w:t>
      </w:r>
      <w:r w:rsidR="00A20CBC">
        <w:rPr>
          <w:rFonts w:eastAsia="Times New Roman"/>
        </w:rPr>
        <w:br/>
      </w:r>
      <w:r w:rsidRPr="00A20CBC">
        <w:rPr>
          <w:rFonts w:eastAsia="Times New Roman"/>
        </w:rPr>
        <w:t>a nedodržují se žádná společná pravidla</w:t>
      </w:r>
      <w:r w:rsidR="00A20CBC">
        <w:rPr>
          <w:rFonts w:eastAsia="Times New Roman"/>
        </w:rPr>
        <w:t>.</w:t>
      </w:r>
    </w:p>
    <w:p w14:paraId="4A6F2A95" w14:textId="77777777" w:rsidR="008E0F74" w:rsidRPr="00A20CBC" w:rsidRDefault="00256F29" w:rsidP="00D46B53">
      <w:pPr>
        <w:pStyle w:val="Odstavecseseznamem"/>
        <w:numPr>
          <w:ilvl w:val="0"/>
          <w:numId w:val="596"/>
        </w:numPr>
        <w:rPr>
          <w:rFonts w:eastAsia="Times New Roman"/>
        </w:rPr>
      </w:pPr>
      <w:r w:rsidRPr="00A20CBC">
        <w:rPr>
          <w:rFonts w:eastAsia="Times New Roman"/>
        </w:rPr>
        <w:t>Výsledky vyjednávání nejvíce ovlivňují čas, moc a informace</w:t>
      </w:r>
      <w:r w:rsidR="00A20CBC">
        <w:rPr>
          <w:rFonts w:eastAsia="Times New Roman"/>
        </w:rPr>
        <w:t>.</w:t>
      </w:r>
    </w:p>
    <w:p w14:paraId="4A6F2A96" w14:textId="77777777" w:rsidR="008E0F74" w:rsidRPr="00A20CBC" w:rsidRDefault="00256F29" w:rsidP="00D46B53">
      <w:pPr>
        <w:pStyle w:val="Odstavecseseznamem"/>
        <w:numPr>
          <w:ilvl w:val="0"/>
          <w:numId w:val="596"/>
        </w:numPr>
        <w:rPr>
          <w:rFonts w:eastAsia="Times New Roman"/>
        </w:rPr>
      </w:pPr>
      <w:r w:rsidRPr="00A20CBC">
        <w:rPr>
          <w:rFonts w:eastAsia="Times New Roman"/>
        </w:rPr>
        <w:t>Na to, jestli budou skupiny mezi sebou vyjednávat, můžeme použít model vězňova dilematu</w:t>
      </w:r>
      <w:r w:rsidR="00A20CBC">
        <w:rPr>
          <w:rFonts w:eastAsia="Times New Roman"/>
        </w:rPr>
        <w:t>.</w:t>
      </w:r>
    </w:p>
    <w:p w14:paraId="4A6F2A97" w14:textId="77777777" w:rsidR="008E0F74" w:rsidRPr="00FC3B7C" w:rsidRDefault="00256F29" w:rsidP="0073589D">
      <w:pPr>
        <w:tabs>
          <w:tab w:val="right" w:pos="9020"/>
        </w:tabs>
        <w:ind w:left="320"/>
        <w:rPr>
          <w:sz w:val="20"/>
          <w:szCs w:val="20"/>
        </w:rPr>
      </w:pPr>
      <w:r w:rsidRPr="00FC3B7C">
        <w:rPr>
          <w:rFonts w:eastAsia="Times New Roman"/>
          <w:b/>
          <w:bCs/>
          <w:szCs w:val="24"/>
        </w:rPr>
        <w:lastRenderedPageBreak/>
        <w:t>Důvod pro kolektivní vyjednávání – alokační efektivnost</w:t>
      </w:r>
      <w:r w:rsidR="0073589D">
        <w:rPr>
          <w:rFonts w:eastAsia="Times New Roman"/>
          <w:b/>
          <w:bCs/>
          <w:szCs w:val="24"/>
        </w:rPr>
        <w:tab/>
      </w:r>
    </w:p>
    <w:p w14:paraId="4A6F2A98" w14:textId="77777777" w:rsidR="008E0F74" w:rsidRPr="00FC3B7C" w:rsidRDefault="008E0F74">
      <w:pPr>
        <w:spacing w:line="143" w:lineRule="exact"/>
        <w:rPr>
          <w:sz w:val="20"/>
          <w:szCs w:val="20"/>
        </w:rPr>
      </w:pPr>
    </w:p>
    <w:p w14:paraId="4A6F2A99" w14:textId="77777777" w:rsidR="008E0F74" w:rsidRPr="00A20CBC" w:rsidRDefault="00256F29" w:rsidP="00D46B53">
      <w:pPr>
        <w:pStyle w:val="Odstavecseseznamem"/>
        <w:numPr>
          <w:ilvl w:val="0"/>
          <w:numId w:val="595"/>
        </w:numPr>
        <w:rPr>
          <w:rFonts w:eastAsia="Times New Roman"/>
        </w:rPr>
      </w:pPr>
      <w:r w:rsidRPr="00A20CBC">
        <w:rPr>
          <w:rFonts w:eastAsia="Times New Roman"/>
        </w:rPr>
        <w:t>Př. krádež jako vězňovo dilema</w:t>
      </w:r>
    </w:p>
    <w:p w14:paraId="4A6F2A9A" w14:textId="77777777" w:rsidR="008E0F74" w:rsidRPr="00FC3B7C" w:rsidRDefault="008E0F74">
      <w:pPr>
        <w:spacing w:line="20" w:lineRule="exact"/>
        <w:rPr>
          <w:sz w:val="20"/>
          <w:szCs w:val="20"/>
        </w:rPr>
      </w:pPr>
    </w:p>
    <w:tbl>
      <w:tblPr>
        <w:tblStyle w:val="Mkatabulky"/>
        <w:tblW w:w="4111" w:type="dxa"/>
        <w:tblInd w:w="2462" w:type="dxa"/>
        <w:tblLook w:val="04A0" w:firstRow="1" w:lastRow="0" w:firstColumn="1" w:lastColumn="0" w:noHBand="0" w:noVBand="1"/>
      </w:tblPr>
      <w:tblGrid>
        <w:gridCol w:w="1127"/>
        <w:gridCol w:w="857"/>
        <w:gridCol w:w="1134"/>
        <w:gridCol w:w="993"/>
      </w:tblGrid>
      <w:tr w:rsidR="0073589D" w14:paraId="4A6F2A9D" w14:textId="77777777" w:rsidTr="0073589D">
        <w:tc>
          <w:tcPr>
            <w:tcW w:w="1984" w:type="dxa"/>
            <w:gridSpan w:val="2"/>
            <w:vMerge w:val="restart"/>
          </w:tcPr>
          <w:p w14:paraId="4A6F2A9B" w14:textId="77777777" w:rsidR="0073589D" w:rsidRDefault="0073589D">
            <w:pPr>
              <w:spacing w:line="333" w:lineRule="exact"/>
              <w:rPr>
                <w:sz w:val="20"/>
                <w:szCs w:val="20"/>
              </w:rPr>
            </w:pPr>
          </w:p>
        </w:tc>
        <w:tc>
          <w:tcPr>
            <w:tcW w:w="2127" w:type="dxa"/>
            <w:gridSpan w:val="2"/>
          </w:tcPr>
          <w:p w14:paraId="4A6F2A9C" w14:textId="77777777" w:rsidR="0073589D" w:rsidRDefault="0073589D" w:rsidP="0073589D">
            <w:pPr>
              <w:spacing w:line="333" w:lineRule="exact"/>
              <w:jc w:val="center"/>
              <w:rPr>
                <w:sz w:val="20"/>
                <w:szCs w:val="20"/>
              </w:rPr>
            </w:pPr>
            <w:r>
              <w:rPr>
                <w:sz w:val="20"/>
                <w:szCs w:val="20"/>
              </w:rPr>
              <w:t>Subjekt B</w:t>
            </w:r>
          </w:p>
        </w:tc>
      </w:tr>
      <w:tr w:rsidR="0073589D" w14:paraId="4A6F2AA1" w14:textId="77777777" w:rsidTr="0073589D">
        <w:tc>
          <w:tcPr>
            <w:tcW w:w="1984" w:type="dxa"/>
            <w:gridSpan w:val="2"/>
            <w:vMerge/>
          </w:tcPr>
          <w:p w14:paraId="4A6F2A9E" w14:textId="77777777" w:rsidR="0073589D" w:rsidRDefault="0073589D">
            <w:pPr>
              <w:spacing w:line="333" w:lineRule="exact"/>
              <w:rPr>
                <w:sz w:val="20"/>
                <w:szCs w:val="20"/>
              </w:rPr>
            </w:pPr>
          </w:p>
        </w:tc>
        <w:tc>
          <w:tcPr>
            <w:tcW w:w="1134" w:type="dxa"/>
          </w:tcPr>
          <w:p w14:paraId="4A6F2A9F" w14:textId="77777777" w:rsidR="0073589D" w:rsidRDefault="0073589D">
            <w:pPr>
              <w:spacing w:line="333" w:lineRule="exact"/>
              <w:rPr>
                <w:sz w:val="20"/>
                <w:szCs w:val="20"/>
              </w:rPr>
            </w:pPr>
            <w:r>
              <w:rPr>
                <w:sz w:val="20"/>
                <w:szCs w:val="20"/>
              </w:rPr>
              <w:t>nekrade</w:t>
            </w:r>
          </w:p>
        </w:tc>
        <w:tc>
          <w:tcPr>
            <w:tcW w:w="993" w:type="dxa"/>
          </w:tcPr>
          <w:p w14:paraId="4A6F2AA0" w14:textId="77777777" w:rsidR="0073589D" w:rsidRDefault="0073589D">
            <w:pPr>
              <w:spacing w:line="333" w:lineRule="exact"/>
              <w:rPr>
                <w:sz w:val="20"/>
                <w:szCs w:val="20"/>
              </w:rPr>
            </w:pPr>
            <w:r>
              <w:rPr>
                <w:sz w:val="20"/>
                <w:szCs w:val="20"/>
              </w:rPr>
              <w:t>krade</w:t>
            </w:r>
          </w:p>
        </w:tc>
      </w:tr>
      <w:tr w:rsidR="0073589D" w14:paraId="4A6F2AA6" w14:textId="77777777" w:rsidTr="0073589D">
        <w:tc>
          <w:tcPr>
            <w:tcW w:w="1127" w:type="dxa"/>
            <w:vMerge w:val="restart"/>
            <w:vAlign w:val="center"/>
          </w:tcPr>
          <w:p w14:paraId="4A6F2AA2" w14:textId="77777777" w:rsidR="0073589D" w:rsidRDefault="0073589D" w:rsidP="0073589D">
            <w:pPr>
              <w:spacing w:line="333" w:lineRule="exact"/>
              <w:jc w:val="left"/>
              <w:rPr>
                <w:sz w:val="20"/>
                <w:szCs w:val="20"/>
              </w:rPr>
            </w:pPr>
            <w:r>
              <w:rPr>
                <w:sz w:val="20"/>
                <w:szCs w:val="20"/>
              </w:rPr>
              <w:t>Subjekt A</w:t>
            </w:r>
          </w:p>
        </w:tc>
        <w:tc>
          <w:tcPr>
            <w:tcW w:w="857" w:type="dxa"/>
          </w:tcPr>
          <w:p w14:paraId="4A6F2AA3" w14:textId="77777777" w:rsidR="0073589D" w:rsidRDefault="0073589D">
            <w:pPr>
              <w:spacing w:line="333" w:lineRule="exact"/>
              <w:rPr>
                <w:sz w:val="20"/>
                <w:szCs w:val="20"/>
              </w:rPr>
            </w:pPr>
            <w:r>
              <w:rPr>
                <w:sz w:val="20"/>
                <w:szCs w:val="20"/>
              </w:rPr>
              <w:t>nekrade</w:t>
            </w:r>
          </w:p>
        </w:tc>
        <w:tc>
          <w:tcPr>
            <w:tcW w:w="1134" w:type="dxa"/>
          </w:tcPr>
          <w:p w14:paraId="4A6F2AA4" w14:textId="77777777" w:rsidR="0073589D" w:rsidRDefault="0073589D">
            <w:pPr>
              <w:spacing w:line="333" w:lineRule="exact"/>
              <w:rPr>
                <w:sz w:val="20"/>
                <w:szCs w:val="20"/>
              </w:rPr>
            </w:pPr>
            <w:r>
              <w:rPr>
                <w:sz w:val="20"/>
                <w:szCs w:val="20"/>
              </w:rPr>
              <w:t>1 (10,9)</w:t>
            </w:r>
          </w:p>
        </w:tc>
        <w:tc>
          <w:tcPr>
            <w:tcW w:w="993" w:type="dxa"/>
          </w:tcPr>
          <w:p w14:paraId="4A6F2AA5" w14:textId="77777777" w:rsidR="0073589D" w:rsidRDefault="0073589D">
            <w:pPr>
              <w:spacing w:line="333" w:lineRule="exact"/>
              <w:rPr>
                <w:sz w:val="20"/>
                <w:szCs w:val="20"/>
              </w:rPr>
            </w:pPr>
            <w:r>
              <w:rPr>
                <w:sz w:val="20"/>
                <w:szCs w:val="20"/>
              </w:rPr>
              <w:t>4 (7,11)</w:t>
            </w:r>
          </w:p>
        </w:tc>
      </w:tr>
      <w:tr w:rsidR="0073589D" w14:paraId="4A6F2AAB" w14:textId="77777777" w:rsidTr="0073589D">
        <w:tc>
          <w:tcPr>
            <w:tcW w:w="1127" w:type="dxa"/>
            <w:vMerge/>
          </w:tcPr>
          <w:p w14:paraId="4A6F2AA7" w14:textId="77777777" w:rsidR="0073589D" w:rsidRDefault="0073589D">
            <w:pPr>
              <w:spacing w:line="333" w:lineRule="exact"/>
              <w:rPr>
                <w:sz w:val="20"/>
                <w:szCs w:val="20"/>
              </w:rPr>
            </w:pPr>
          </w:p>
        </w:tc>
        <w:tc>
          <w:tcPr>
            <w:tcW w:w="857" w:type="dxa"/>
          </w:tcPr>
          <w:p w14:paraId="4A6F2AA8" w14:textId="77777777" w:rsidR="0073589D" w:rsidRDefault="0073589D">
            <w:pPr>
              <w:spacing w:line="333" w:lineRule="exact"/>
              <w:rPr>
                <w:sz w:val="20"/>
                <w:szCs w:val="20"/>
              </w:rPr>
            </w:pPr>
            <w:r>
              <w:rPr>
                <w:sz w:val="20"/>
                <w:szCs w:val="20"/>
              </w:rPr>
              <w:t>krade</w:t>
            </w:r>
          </w:p>
        </w:tc>
        <w:tc>
          <w:tcPr>
            <w:tcW w:w="1134" w:type="dxa"/>
          </w:tcPr>
          <w:p w14:paraId="4A6F2AA9" w14:textId="77777777" w:rsidR="0073589D" w:rsidRDefault="0073589D">
            <w:pPr>
              <w:spacing w:line="333" w:lineRule="exact"/>
              <w:rPr>
                <w:sz w:val="20"/>
                <w:szCs w:val="20"/>
              </w:rPr>
            </w:pPr>
            <w:r>
              <w:rPr>
                <w:sz w:val="20"/>
                <w:szCs w:val="20"/>
              </w:rPr>
              <w:t>2 (12,6)</w:t>
            </w:r>
          </w:p>
        </w:tc>
        <w:tc>
          <w:tcPr>
            <w:tcW w:w="993" w:type="dxa"/>
          </w:tcPr>
          <w:p w14:paraId="4A6F2AAA" w14:textId="77777777" w:rsidR="0073589D" w:rsidRDefault="0073589D">
            <w:pPr>
              <w:spacing w:line="333" w:lineRule="exact"/>
              <w:rPr>
                <w:sz w:val="20"/>
                <w:szCs w:val="20"/>
              </w:rPr>
            </w:pPr>
            <w:r>
              <w:rPr>
                <w:sz w:val="20"/>
                <w:szCs w:val="20"/>
              </w:rPr>
              <w:t>3 (8,8)</w:t>
            </w:r>
          </w:p>
        </w:tc>
      </w:tr>
    </w:tbl>
    <w:p w14:paraId="4A6F2AAC" w14:textId="77777777" w:rsidR="008E0F74" w:rsidRPr="0073589D" w:rsidRDefault="008E0F74" w:rsidP="0073589D">
      <w:pPr>
        <w:rPr>
          <w:rFonts w:eastAsia="Times New Roman"/>
        </w:rPr>
      </w:pPr>
    </w:p>
    <w:p w14:paraId="4A6F2AAD" w14:textId="77777777" w:rsidR="008E0F74" w:rsidRPr="0073589D" w:rsidRDefault="00256F29" w:rsidP="00D46B53">
      <w:pPr>
        <w:pStyle w:val="Odstavecseseznamem"/>
        <w:numPr>
          <w:ilvl w:val="0"/>
          <w:numId w:val="595"/>
        </w:numPr>
        <w:rPr>
          <w:rFonts w:eastAsia="Times New Roman"/>
        </w:rPr>
      </w:pPr>
      <w:r w:rsidRPr="0073589D">
        <w:rPr>
          <w:rFonts w:eastAsia="Times New Roman"/>
        </w:rPr>
        <w:t xml:space="preserve">Pro oba je dominantní nekooperativní strategie, tzn., že nejlepší strategie jednotlivce </w:t>
      </w:r>
      <w:r w:rsidR="0073589D">
        <w:rPr>
          <w:rFonts w:eastAsia="Times New Roman"/>
        </w:rPr>
        <w:br/>
      </w:r>
      <w:r w:rsidRPr="0073589D">
        <w:rPr>
          <w:rFonts w:eastAsia="Times New Roman"/>
        </w:rPr>
        <w:t>v každé hře nezávisí na strategii jiného hráče</w:t>
      </w:r>
      <w:r w:rsidR="0073589D">
        <w:rPr>
          <w:rFonts w:eastAsia="Times New Roman"/>
        </w:rPr>
        <w:t>.</w:t>
      </w:r>
    </w:p>
    <w:p w14:paraId="4A6F2AAE" w14:textId="77777777" w:rsidR="008E0F74" w:rsidRPr="0073589D" w:rsidRDefault="00256F29" w:rsidP="00D46B53">
      <w:pPr>
        <w:pStyle w:val="Odstavecseseznamem"/>
        <w:numPr>
          <w:ilvl w:val="0"/>
          <w:numId w:val="595"/>
        </w:numPr>
        <w:rPr>
          <w:rFonts w:eastAsia="Times New Roman"/>
        </w:rPr>
      </w:pPr>
      <w:r w:rsidRPr="0073589D">
        <w:rPr>
          <w:rFonts w:eastAsia="Times New Roman"/>
        </w:rPr>
        <w:t>Výsledek je 3. kvadrant, tzn. Cournot-Nashova rovnováha, výsledek ve vězňově dilematu, který není pareto-optimální, protože posun z 3. do 1. kvadrantu vede ke zlepšení situace obou. V tomto případě by se vyplatilo oběma, aby nekradli a jejich celková situace by se zlepšila. Tato situace však není stabilní.</w:t>
      </w:r>
    </w:p>
    <w:p w14:paraId="4A6F2AAF" w14:textId="6854B985" w:rsidR="008E0F74" w:rsidRPr="0073589D" w:rsidRDefault="00256F29" w:rsidP="00D46B53">
      <w:pPr>
        <w:pStyle w:val="Odstavecseseznamem"/>
        <w:numPr>
          <w:ilvl w:val="0"/>
          <w:numId w:val="595"/>
        </w:numPr>
        <w:rPr>
          <w:rFonts w:eastAsia="Times New Roman"/>
        </w:rPr>
      </w:pPr>
      <w:r w:rsidRPr="0073589D">
        <w:rPr>
          <w:rFonts w:eastAsia="Times New Roman"/>
        </w:rPr>
        <w:t>Matice se subjekty A B, kdy se každý z nich rozhoduje, zda bude krást či nekrást. Tyto subjekty nekoordinují své činnosti, kvadranty ilustrují čísla, která oceňují pozici subjektů v závislosti na tom, co dělá druhů subjekt.</w:t>
      </w:r>
    </w:p>
    <w:p w14:paraId="4A6F2AB0" w14:textId="77777777" w:rsidR="008E0F74" w:rsidRPr="0073589D" w:rsidRDefault="00256F29" w:rsidP="00D46B53">
      <w:pPr>
        <w:pStyle w:val="Odstavecseseznamem"/>
        <w:numPr>
          <w:ilvl w:val="0"/>
          <w:numId w:val="595"/>
        </w:numPr>
        <w:rPr>
          <w:rFonts w:eastAsia="Times New Roman"/>
        </w:rPr>
      </w:pPr>
      <w:r w:rsidRPr="0073589D">
        <w:rPr>
          <w:rFonts w:eastAsia="Times New Roman"/>
        </w:rPr>
        <w:t>1. kvadrant – v součtu pro společnost jsou na tom nejlépe, ale zároveň jsou na tom oba hůře, než kdyby kradli a ten druhý nekradl.</w:t>
      </w:r>
    </w:p>
    <w:p w14:paraId="4A6F2AB1" w14:textId="77777777" w:rsidR="008E0F74" w:rsidRPr="0073589D" w:rsidRDefault="00256F29" w:rsidP="00D46B53">
      <w:pPr>
        <w:pStyle w:val="Odstavecseseznamem"/>
        <w:numPr>
          <w:ilvl w:val="0"/>
          <w:numId w:val="595"/>
        </w:numPr>
        <w:rPr>
          <w:rFonts w:eastAsia="Times New Roman"/>
        </w:rPr>
      </w:pPr>
      <w:r w:rsidRPr="0073589D">
        <w:rPr>
          <w:rFonts w:eastAsia="Times New Roman"/>
        </w:rPr>
        <w:t>2. kvadrant – máme situaci, A krade, B nekrade. A je na tom lépe, než kdyby oba kradli, a tak A sklízí pozitivní výsledky z toho, že B nekrade, ale B je na tom hůře než ve 3. kvadrantu, kdy kradou oba.</w:t>
      </w:r>
    </w:p>
    <w:p w14:paraId="4A6F2AB2" w14:textId="77777777" w:rsidR="008E0F74" w:rsidRPr="0073589D" w:rsidRDefault="00256F29" w:rsidP="00D46B53">
      <w:pPr>
        <w:pStyle w:val="Odstavecseseznamem"/>
        <w:numPr>
          <w:ilvl w:val="0"/>
          <w:numId w:val="595"/>
        </w:numPr>
        <w:rPr>
          <w:rFonts w:eastAsia="Times New Roman"/>
        </w:rPr>
      </w:pPr>
      <w:r w:rsidRPr="0073589D">
        <w:rPr>
          <w:rFonts w:eastAsia="Times New Roman"/>
        </w:rPr>
        <w:t>3. kvadrant – Nejhorší pozice – oba kradou. Oba ty subjekty se musí pojišťovat proti krádeži. Musí věnovat část prostředků na ochranu a o tuto část prostředků jsou menší jejich investice do produktivní činnosti.</w:t>
      </w:r>
    </w:p>
    <w:p w14:paraId="4A6F2AB3" w14:textId="77777777" w:rsidR="008E0F74" w:rsidRPr="0073589D" w:rsidRDefault="00256F29" w:rsidP="00D46B53">
      <w:pPr>
        <w:pStyle w:val="Odstavecseseznamem"/>
        <w:numPr>
          <w:ilvl w:val="0"/>
          <w:numId w:val="595"/>
        </w:numPr>
        <w:rPr>
          <w:rFonts w:eastAsia="Times New Roman"/>
        </w:rPr>
      </w:pPr>
      <w:r w:rsidRPr="0073589D">
        <w:rPr>
          <w:rFonts w:eastAsia="Times New Roman"/>
        </w:rPr>
        <w:t>Nekrást není dominantní strategií, dominantní strategií ve vězňově dilematu je krást.</w:t>
      </w:r>
    </w:p>
    <w:p w14:paraId="4A6F2AB4" w14:textId="77777777" w:rsidR="008E0F74" w:rsidRPr="0073589D" w:rsidRDefault="00256F29" w:rsidP="00D46B53">
      <w:pPr>
        <w:pStyle w:val="Odstavecseseznamem"/>
        <w:numPr>
          <w:ilvl w:val="0"/>
          <w:numId w:val="595"/>
        </w:numPr>
        <w:rPr>
          <w:rFonts w:eastAsia="Times New Roman"/>
        </w:rPr>
      </w:pPr>
      <w:r w:rsidRPr="0073589D">
        <w:rPr>
          <w:rFonts w:eastAsia="Times New Roman"/>
        </w:rPr>
        <w:t>Oba jsou na tom lépe, když nekradou, ale každý je na tom lépe, když krade a ten druhý nekrade.</w:t>
      </w:r>
    </w:p>
    <w:p w14:paraId="4A6F2AB5" w14:textId="77777777" w:rsidR="008E0F74" w:rsidRPr="0073589D" w:rsidRDefault="00256F29" w:rsidP="00D46B53">
      <w:pPr>
        <w:pStyle w:val="Odstavecseseznamem"/>
        <w:numPr>
          <w:ilvl w:val="0"/>
          <w:numId w:val="595"/>
        </w:numPr>
        <w:rPr>
          <w:rFonts w:eastAsia="Times New Roman"/>
        </w:rPr>
      </w:pPr>
      <w:r w:rsidRPr="0073589D">
        <w:rPr>
          <w:rFonts w:eastAsia="Times New Roman"/>
        </w:rPr>
        <w:t>Pokud spolu subjekty nemohou vyjednávat, automaticky je to bude táhnout k tomu, aby kradli.</w:t>
      </w:r>
    </w:p>
    <w:p w14:paraId="4A6F2AB6" w14:textId="77777777" w:rsidR="008E0F74" w:rsidRPr="0073589D" w:rsidRDefault="00256F29" w:rsidP="00D46B53">
      <w:pPr>
        <w:pStyle w:val="Odstavecseseznamem"/>
        <w:numPr>
          <w:ilvl w:val="0"/>
          <w:numId w:val="595"/>
        </w:numPr>
        <w:rPr>
          <w:rFonts w:eastAsia="Times New Roman"/>
        </w:rPr>
      </w:pPr>
      <w:r w:rsidRPr="0073589D">
        <w:rPr>
          <w:rFonts w:eastAsia="Times New Roman"/>
        </w:rPr>
        <w:t>Stejně se lze dívat na spotřebu veřejných statků.</w:t>
      </w:r>
    </w:p>
    <w:p w14:paraId="4A6F2AB7" w14:textId="77777777" w:rsidR="008E0F74" w:rsidRPr="00FC3B7C" w:rsidRDefault="008E0F74">
      <w:pPr>
        <w:sectPr w:rsidR="008E0F74" w:rsidRPr="00FC3B7C">
          <w:pgSz w:w="11900" w:h="16840"/>
          <w:pgMar w:top="1334" w:right="1440" w:bottom="625" w:left="1440" w:header="0" w:footer="0" w:gutter="0"/>
          <w:cols w:space="708" w:equalWidth="0">
            <w:col w:w="9020"/>
          </w:cols>
        </w:sectPr>
      </w:pPr>
    </w:p>
    <w:p w14:paraId="4A6F2AB8" w14:textId="77777777" w:rsidR="008E0F74" w:rsidRPr="00FC3B7C" w:rsidRDefault="008E0F74">
      <w:pPr>
        <w:spacing w:line="150" w:lineRule="exact"/>
        <w:rPr>
          <w:sz w:val="20"/>
          <w:szCs w:val="20"/>
        </w:rPr>
      </w:pPr>
    </w:p>
    <w:p w14:paraId="4A6F2AB9" w14:textId="77777777" w:rsidR="008E0F74" w:rsidRPr="00FC3B7C" w:rsidRDefault="008E0F74">
      <w:pPr>
        <w:ind w:left="8560"/>
        <w:rPr>
          <w:sz w:val="20"/>
          <w:szCs w:val="20"/>
        </w:rPr>
      </w:pPr>
    </w:p>
    <w:p w14:paraId="4A6F2ABA" w14:textId="77777777" w:rsidR="008E0F74" w:rsidRPr="00FC3B7C" w:rsidRDefault="008E0F74">
      <w:pPr>
        <w:sectPr w:rsidR="008E0F74" w:rsidRPr="00FC3B7C">
          <w:type w:val="continuous"/>
          <w:pgSz w:w="11900" w:h="16840"/>
          <w:pgMar w:top="1334" w:right="1440" w:bottom="625" w:left="1440" w:header="0" w:footer="0" w:gutter="0"/>
          <w:cols w:space="708" w:equalWidth="0">
            <w:col w:w="9020"/>
          </w:cols>
        </w:sectPr>
      </w:pPr>
    </w:p>
    <w:p w14:paraId="4A6F2ABB" w14:textId="77777777" w:rsidR="008E0F74" w:rsidRPr="00FC3B7C" w:rsidRDefault="00256F29" w:rsidP="0073589D">
      <w:pPr>
        <w:rPr>
          <w:sz w:val="20"/>
          <w:szCs w:val="20"/>
        </w:rPr>
      </w:pPr>
      <w:bookmarkStart w:id="25" w:name="page23"/>
      <w:bookmarkEnd w:id="25"/>
      <w:r w:rsidRPr="00FC3B7C">
        <w:rPr>
          <w:rFonts w:eastAsia="Times New Roman"/>
        </w:rPr>
        <w:lastRenderedPageBreak/>
        <w:t>Shrnutí:</w:t>
      </w:r>
    </w:p>
    <w:p w14:paraId="4A6F2ABC" w14:textId="77777777" w:rsidR="008E0F74" w:rsidRPr="00FC3B7C" w:rsidRDefault="008E0F74">
      <w:pPr>
        <w:spacing w:line="176" w:lineRule="exact"/>
        <w:rPr>
          <w:sz w:val="20"/>
          <w:szCs w:val="20"/>
        </w:rPr>
      </w:pPr>
    </w:p>
    <w:p w14:paraId="4A6F2ABD" w14:textId="77777777" w:rsidR="008E0F74" w:rsidRPr="0073589D" w:rsidRDefault="00256F29" w:rsidP="00D46B53">
      <w:pPr>
        <w:pStyle w:val="Odstavecseseznamem"/>
        <w:numPr>
          <w:ilvl w:val="0"/>
          <w:numId w:val="595"/>
        </w:numPr>
        <w:rPr>
          <w:rFonts w:eastAsia="Times New Roman"/>
        </w:rPr>
      </w:pPr>
      <w:r w:rsidRPr="00FC3B7C">
        <w:rPr>
          <w:rFonts w:eastAsia="Times New Roman"/>
        </w:rPr>
        <w:t xml:space="preserve">Pole 2,4 - v dané chvíli si oba polepší </w:t>
      </w:r>
      <w:r w:rsidRPr="0073589D">
        <w:rPr>
          <w:rFonts w:eastAsia="Times New Roman"/>
        </w:rPr>
        <w:t></w:t>
      </w:r>
      <w:r w:rsidRPr="00FC3B7C">
        <w:rPr>
          <w:rFonts w:eastAsia="Times New Roman"/>
        </w:rPr>
        <w:t xml:space="preserve"> mají tendenci krást oba a dostanou se </w:t>
      </w:r>
      <w:r w:rsidR="0073589D">
        <w:rPr>
          <w:rFonts w:eastAsia="Times New Roman"/>
        </w:rPr>
        <w:br/>
      </w:r>
      <w:r w:rsidRPr="0073589D">
        <w:rPr>
          <w:rFonts w:eastAsia="Times New Roman"/>
        </w:rPr>
        <w:t>do buňky 3</w:t>
      </w:r>
      <w:r w:rsidR="0073589D">
        <w:rPr>
          <w:rFonts w:eastAsia="Times New Roman"/>
        </w:rPr>
        <w:t>.</w:t>
      </w:r>
    </w:p>
    <w:p w14:paraId="4A6F2ABE" w14:textId="77777777" w:rsidR="008E0F74" w:rsidRPr="0073589D" w:rsidRDefault="00256F29" w:rsidP="00D46B53">
      <w:pPr>
        <w:pStyle w:val="Odstavecseseznamem"/>
        <w:numPr>
          <w:ilvl w:val="0"/>
          <w:numId w:val="595"/>
        </w:numPr>
        <w:rPr>
          <w:rFonts w:eastAsia="Times New Roman"/>
        </w:rPr>
      </w:pPr>
      <w:r w:rsidRPr="00FC3B7C">
        <w:rPr>
          <w:rFonts w:eastAsia="Times New Roman"/>
        </w:rPr>
        <w:t xml:space="preserve">Pole 3 </w:t>
      </w:r>
      <w:r w:rsidRPr="0073589D">
        <w:rPr>
          <w:rFonts w:eastAsia="Times New Roman"/>
        </w:rPr>
        <w:t>-</w:t>
      </w:r>
      <w:r w:rsidRPr="00FC3B7C">
        <w:rPr>
          <w:rFonts w:eastAsia="Times New Roman"/>
        </w:rPr>
        <w:t xml:space="preserve"> představuje přirozenou distribuci (</w:t>
      </w:r>
      <w:r w:rsidRPr="0073589D">
        <w:rPr>
          <w:rFonts w:eastAsia="Times New Roman"/>
        </w:rPr>
        <w:t>Hobbesův přirozený</w:t>
      </w:r>
      <w:r w:rsidRPr="00FC3B7C">
        <w:rPr>
          <w:rFonts w:eastAsia="Times New Roman"/>
        </w:rPr>
        <w:t xml:space="preserve"> </w:t>
      </w:r>
      <w:r w:rsidRPr="0073589D">
        <w:rPr>
          <w:rFonts w:eastAsia="Times New Roman"/>
        </w:rPr>
        <w:t>stav</w:t>
      </w:r>
      <w:r w:rsidRPr="00FC3B7C">
        <w:rPr>
          <w:rFonts w:eastAsia="Times New Roman"/>
        </w:rPr>
        <w:t xml:space="preserve"> – kdyby nikdo nic nevěděl)</w:t>
      </w:r>
      <w:r w:rsidR="0073589D">
        <w:rPr>
          <w:rFonts w:eastAsia="Times New Roman"/>
        </w:rPr>
        <w:t>.</w:t>
      </w:r>
    </w:p>
    <w:p w14:paraId="4A6F2ABF" w14:textId="77777777" w:rsidR="008E0F74" w:rsidRPr="0073589D" w:rsidRDefault="00256F29" w:rsidP="00D46B53">
      <w:pPr>
        <w:pStyle w:val="Odstavecseseznamem"/>
        <w:numPr>
          <w:ilvl w:val="0"/>
          <w:numId w:val="595"/>
        </w:numPr>
        <w:rPr>
          <w:rFonts w:eastAsia="Times New Roman"/>
        </w:rPr>
      </w:pPr>
      <w:r w:rsidRPr="00FC3B7C">
        <w:rPr>
          <w:rFonts w:eastAsia="Times New Roman"/>
        </w:rPr>
        <w:t xml:space="preserve">Pole 1- </w:t>
      </w:r>
      <w:r w:rsidRPr="0073589D">
        <w:rPr>
          <w:rFonts w:eastAsia="Times New Roman"/>
        </w:rPr>
        <w:t>Cournot-Nashova</w:t>
      </w:r>
      <w:r w:rsidRPr="00FC3B7C">
        <w:rPr>
          <w:rFonts w:eastAsia="Times New Roman"/>
        </w:rPr>
        <w:t xml:space="preserve"> rovnováha – jediné políčko, které je Pareto optimální</w:t>
      </w:r>
      <w:r w:rsidR="0073589D">
        <w:rPr>
          <w:rFonts w:eastAsia="Times New Roman"/>
        </w:rPr>
        <w:t>.</w:t>
      </w:r>
    </w:p>
    <w:p w14:paraId="4A6F2AC0" w14:textId="77777777" w:rsidR="008E0F74" w:rsidRPr="00FC3B7C" w:rsidRDefault="008E0F74">
      <w:pPr>
        <w:spacing w:line="350" w:lineRule="exact"/>
        <w:rPr>
          <w:sz w:val="20"/>
          <w:szCs w:val="20"/>
        </w:rPr>
      </w:pPr>
    </w:p>
    <w:p w14:paraId="4A6F2AC1" w14:textId="77777777" w:rsidR="008E0F74" w:rsidRPr="00466189" w:rsidRDefault="00256F29" w:rsidP="0073589D">
      <w:pPr>
        <w:pStyle w:val="Nadpis3"/>
        <w:rPr>
          <w:color w:val="1F3864" w:themeColor="accent1" w:themeShade="80"/>
          <w:sz w:val="20"/>
          <w:szCs w:val="20"/>
        </w:rPr>
      </w:pPr>
      <w:r w:rsidRPr="00466189">
        <w:rPr>
          <w:rFonts w:eastAsia="Times New Roman"/>
          <w:color w:val="1F3864" w:themeColor="accent1" w:themeShade="80"/>
        </w:rPr>
        <w:t>Náklady společného konsensu</w:t>
      </w:r>
    </w:p>
    <w:p w14:paraId="4A6F2AC2" w14:textId="77777777" w:rsidR="008E0F74" w:rsidRPr="0073589D" w:rsidRDefault="00256F29" w:rsidP="00D46B53">
      <w:pPr>
        <w:pStyle w:val="Odstavecseseznamem"/>
        <w:numPr>
          <w:ilvl w:val="0"/>
          <w:numId w:val="596"/>
        </w:numPr>
        <w:rPr>
          <w:rFonts w:eastAsia="Times New Roman"/>
        </w:rPr>
      </w:pPr>
      <w:r w:rsidRPr="0073589D">
        <w:rPr>
          <w:rFonts w:eastAsia="Times New Roman"/>
        </w:rPr>
        <w:t>Externí náklady jsou náklady na dosažení konsensu</w:t>
      </w:r>
      <w:r w:rsidR="00C85388">
        <w:rPr>
          <w:rFonts w:eastAsia="Times New Roman"/>
        </w:rPr>
        <w:t>.</w:t>
      </w:r>
    </w:p>
    <w:p w14:paraId="4A6F2AC3" w14:textId="77777777" w:rsidR="008E0F74" w:rsidRPr="0073589D" w:rsidRDefault="00256F29" w:rsidP="00D46B53">
      <w:pPr>
        <w:pStyle w:val="Odstavecseseznamem"/>
        <w:numPr>
          <w:ilvl w:val="0"/>
          <w:numId w:val="596"/>
        </w:numPr>
        <w:rPr>
          <w:rFonts w:eastAsia="Times New Roman"/>
        </w:rPr>
      </w:pPr>
      <w:r w:rsidRPr="0073589D">
        <w:rPr>
          <w:rFonts w:eastAsia="Times New Roman"/>
        </w:rPr>
        <w:t>Do teorie je vnesli J. Buchanann a G. Tullok</w:t>
      </w:r>
      <w:r w:rsidR="00C85388">
        <w:rPr>
          <w:rFonts w:eastAsia="Times New Roman"/>
        </w:rPr>
        <w:t>.</w:t>
      </w:r>
    </w:p>
    <w:p w14:paraId="4A6F2AC4" w14:textId="77777777" w:rsidR="008E0F74" w:rsidRPr="0073589D" w:rsidRDefault="00256F29" w:rsidP="00D46B53">
      <w:pPr>
        <w:pStyle w:val="Odstavecseseznamem"/>
        <w:numPr>
          <w:ilvl w:val="0"/>
          <w:numId w:val="596"/>
        </w:numPr>
        <w:rPr>
          <w:rFonts w:eastAsia="Times New Roman"/>
        </w:rPr>
      </w:pPr>
      <w:r w:rsidRPr="0073589D">
        <w:rPr>
          <w:rFonts w:eastAsia="Times New Roman"/>
        </w:rPr>
        <w:t>Jedná se o náklady, které vznikají jednotlivcům či skupinám díky jednáním ostatních členů společnosti, které nemohou ovlivnit</w:t>
      </w:r>
      <w:r w:rsidR="00C85388">
        <w:rPr>
          <w:rFonts w:eastAsia="Times New Roman"/>
        </w:rPr>
        <w:t>.</w:t>
      </w:r>
    </w:p>
    <w:p w14:paraId="4A6F2AC5" w14:textId="77777777" w:rsidR="008E0F74" w:rsidRPr="00C85388" w:rsidRDefault="00256F29" w:rsidP="00D46B53">
      <w:pPr>
        <w:pStyle w:val="Odstavecseseznamem"/>
        <w:numPr>
          <w:ilvl w:val="0"/>
          <w:numId w:val="596"/>
        </w:numPr>
        <w:rPr>
          <w:rFonts w:eastAsia="Times New Roman"/>
        </w:rPr>
      </w:pPr>
      <w:r w:rsidRPr="0073589D">
        <w:rPr>
          <w:rFonts w:eastAsia="Times New Roman"/>
        </w:rPr>
        <w:t>Náklady souhlasu</w:t>
      </w:r>
      <w:r w:rsidR="00C85388">
        <w:rPr>
          <w:rFonts w:eastAsia="Times New Roman"/>
        </w:rPr>
        <w:t>:</w:t>
      </w:r>
    </w:p>
    <w:p w14:paraId="4A6F2AC6" w14:textId="77777777" w:rsidR="008E0F74" w:rsidRPr="00C85388" w:rsidRDefault="00256F29" w:rsidP="00D46B53">
      <w:pPr>
        <w:pStyle w:val="Odstavecseseznamem"/>
        <w:numPr>
          <w:ilvl w:val="1"/>
          <w:numId w:val="596"/>
        </w:numPr>
        <w:ind w:left="1276" w:hanging="196"/>
        <w:rPr>
          <w:rFonts w:eastAsia="Times New Roman"/>
        </w:rPr>
      </w:pPr>
      <w:r w:rsidRPr="00C85388">
        <w:rPr>
          <w:rFonts w:eastAsia="Times New Roman"/>
        </w:rPr>
        <w:t>Jedná se o náklady, které jsou spojeny s vyjednáním souhlasu a s jeho realizací</w:t>
      </w:r>
      <w:r w:rsidR="00C85388">
        <w:rPr>
          <w:rFonts w:eastAsia="Times New Roman"/>
        </w:rPr>
        <w:t>.</w:t>
      </w:r>
    </w:p>
    <w:p w14:paraId="4A6F2AC7" w14:textId="77777777" w:rsidR="008E0F74" w:rsidRPr="00C85388" w:rsidRDefault="00256F29" w:rsidP="00D46B53">
      <w:pPr>
        <w:pStyle w:val="Odstavecseseznamem"/>
        <w:numPr>
          <w:ilvl w:val="1"/>
          <w:numId w:val="596"/>
        </w:numPr>
        <w:ind w:left="1276" w:hanging="196"/>
        <w:rPr>
          <w:rFonts w:eastAsia="Times New Roman"/>
        </w:rPr>
      </w:pPr>
      <w:r w:rsidRPr="00C85388">
        <w:rPr>
          <w:rFonts w:eastAsia="Times New Roman"/>
        </w:rPr>
        <w:t>Externí náklady klesají s počtem souhlasících, naopak za této situace rostou náklady souhlasu</w:t>
      </w:r>
      <w:r w:rsidR="00C85388">
        <w:rPr>
          <w:rFonts w:eastAsia="Times New Roman"/>
        </w:rPr>
        <w:t>.</w:t>
      </w:r>
    </w:p>
    <w:p w14:paraId="4A6F2AC8" w14:textId="77777777" w:rsidR="008E0F74" w:rsidRPr="00C85388" w:rsidRDefault="00256F29" w:rsidP="00D46B53">
      <w:pPr>
        <w:pStyle w:val="Odstavecseseznamem"/>
        <w:numPr>
          <w:ilvl w:val="1"/>
          <w:numId w:val="596"/>
        </w:numPr>
        <w:ind w:left="1276" w:hanging="196"/>
        <w:rPr>
          <w:rFonts w:eastAsia="Times New Roman"/>
        </w:rPr>
      </w:pPr>
      <w:r w:rsidRPr="00C85388">
        <w:rPr>
          <w:rFonts w:eastAsia="Times New Roman"/>
        </w:rPr>
        <w:t xml:space="preserve">Hledá se optimální většina (= optima majority): K/N (je podíl z počtu lidí N, který je potřebný k získání většiny ke schválení kolektivního rozhodnutí) </w:t>
      </w:r>
      <w:r w:rsidRPr="00C85388">
        <w:rPr>
          <w:rFonts w:eastAsia="Times New Roman"/>
        </w:rPr>
        <w:t> očekávaný výnos užitečnost při redefinici návrhu (zákona), aby získal ještě jeden dodatečný hlas, je rovný očekávané ztrátě nákladů času úsilí z této činnosti</w:t>
      </w:r>
      <w:r w:rsidR="00C85388">
        <w:rPr>
          <w:rFonts w:eastAsia="Times New Roman"/>
        </w:rPr>
        <w:t>.</w:t>
      </w:r>
    </w:p>
    <w:p w14:paraId="4A6F2AC9" w14:textId="77777777" w:rsidR="008E0F74" w:rsidRPr="00C85388" w:rsidRDefault="00256F29" w:rsidP="00D46B53">
      <w:pPr>
        <w:pStyle w:val="Odstavecseseznamem"/>
        <w:numPr>
          <w:ilvl w:val="1"/>
          <w:numId w:val="596"/>
        </w:numPr>
        <w:ind w:left="1276" w:hanging="196"/>
        <w:rPr>
          <w:rFonts w:eastAsia="Times New Roman"/>
        </w:rPr>
      </w:pPr>
      <w:r w:rsidRPr="00C85388">
        <w:rPr>
          <w:rFonts w:eastAsia="Times New Roman"/>
        </w:rPr>
        <w:t>Graf optimální většiny</w:t>
      </w:r>
      <w:r w:rsidR="00C85388">
        <w:rPr>
          <w:rFonts w:eastAsia="Times New Roman"/>
        </w:rPr>
        <w:t>:</w:t>
      </w:r>
      <w:r w:rsidR="00C85388">
        <w:rPr>
          <w:rStyle w:val="Znakapoznpodarou"/>
          <w:rFonts w:eastAsia="Times New Roman"/>
        </w:rPr>
        <w:footnoteReference w:id="11"/>
      </w:r>
    </w:p>
    <w:p w14:paraId="4A6F2ACA" w14:textId="77777777" w:rsidR="008E0F74" w:rsidRPr="00FC3B7C" w:rsidRDefault="008E0F74">
      <w:pPr>
        <w:spacing w:line="20" w:lineRule="exact"/>
        <w:rPr>
          <w:sz w:val="20"/>
          <w:szCs w:val="20"/>
        </w:rPr>
      </w:pPr>
    </w:p>
    <w:p w14:paraId="4A6F2ACB" w14:textId="77777777" w:rsidR="008E0F74" w:rsidRPr="00FC3B7C" w:rsidRDefault="00C85388">
      <w:pPr>
        <w:spacing w:line="200" w:lineRule="exact"/>
        <w:rPr>
          <w:sz w:val="20"/>
          <w:szCs w:val="20"/>
        </w:rPr>
      </w:pPr>
      <w:r w:rsidRPr="00FC3B7C">
        <w:rPr>
          <w:noProof/>
          <w:sz w:val="20"/>
          <w:szCs w:val="20"/>
        </w:rPr>
        <w:drawing>
          <wp:anchor distT="0" distB="0" distL="114300" distR="114300" simplePos="0" relativeHeight="251512320" behindDoc="1" locked="0" layoutInCell="0" allowOverlap="1" wp14:anchorId="4A6F5C36" wp14:editId="47A2CAEE">
            <wp:simplePos x="0" y="0"/>
            <wp:positionH relativeFrom="page">
              <wp:posOffset>1685925</wp:posOffset>
            </wp:positionH>
            <wp:positionV relativeFrom="page">
              <wp:posOffset>6562725</wp:posOffset>
            </wp:positionV>
            <wp:extent cx="3981450" cy="2858770"/>
            <wp:effectExtent l="0" t="0" r="0" b="0"/>
            <wp:wrapTight wrapText="bothSides">
              <wp:wrapPolygon edited="0">
                <wp:start x="0" y="0"/>
                <wp:lineTo x="0" y="1439"/>
                <wp:lineTo x="1137" y="2591"/>
                <wp:lineTo x="1137" y="16409"/>
                <wp:lineTo x="620" y="18136"/>
                <wp:lineTo x="930" y="18280"/>
                <wp:lineTo x="13539" y="18856"/>
                <wp:lineTo x="13745" y="21446"/>
                <wp:lineTo x="18189" y="21446"/>
                <wp:lineTo x="18189" y="21015"/>
                <wp:lineTo x="21083" y="20151"/>
                <wp:lineTo x="21393" y="19000"/>
                <wp:lineTo x="20980" y="18712"/>
                <wp:lineTo x="21393" y="17704"/>
                <wp:lineTo x="21497" y="1439"/>
                <wp:lineTo x="20256" y="1295"/>
                <wp:lineTo x="227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3981450" cy="2858770"/>
                    </a:xfrm>
                    <a:prstGeom prst="rect">
                      <a:avLst/>
                    </a:prstGeom>
                    <a:noFill/>
                  </pic:spPr>
                </pic:pic>
              </a:graphicData>
            </a:graphic>
            <wp14:sizeRelH relativeFrom="margin">
              <wp14:pctWidth>0</wp14:pctWidth>
            </wp14:sizeRelH>
            <wp14:sizeRelV relativeFrom="margin">
              <wp14:pctHeight>0</wp14:pctHeight>
            </wp14:sizeRelV>
          </wp:anchor>
        </w:drawing>
      </w:r>
    </w:p>
    <w:p w14:paraId="4A6F2ACC" w14:textId="77777777" w:rsidR="008E0F74" w:rsidRPr="00FC3B7C" w:rsidRDefault="008E0F74">
      <w:pPr>
        <w:spacing w:line="200" w:lineRule="exact"/>
        <w:rPr>
          <w:sz w:val="20"/>
          <w:szCs w:val="20"/>
        </w:rPr>
      </w:pPr>
    </w:p>
    <w:p w14:paraId="4A6F2ACD" w14:textId="77777777" w:rsidR="008E0F74" w:rsidRPr="00FC3B7C" w:rsidRDefault="008E0F74">
      <w:pPr>
        <w:spacing w:line="200" w:lineRule="exact"/>
        <w:rPr>
          <w:sz w:val="20"/>
          <w:szCs w:val="20"/>
        </w:rPr>
      </w:pPr>
    </w:p>
    <w:p w14:paraId="4A6F2ACE" w14:textId="77777777" w:rsidR="008E0F74" w:rsidRPr="00FC3B7C" w:rsidRDefault="008E0F74">
      <w:pPr>
        <w:spacing w:line="200" w:lineRule="exact"/>
        <w:rPr>
          <w:sz w:val="20"/>
          <w:szCs w:val="20"/>
        </w:rPr>
      </w:pPr>
    </w:p>
    <w:p w14:paraId="4A6F2ACF" w14:textId="77777777" w:rsidR="008E0F74" w:rsidRPr="00FC3B7C" w:rsidRDefault="008E0F74">
      <w:pPr>
        <w:sectPr w:rsidR="008E0F74" w:rsidRPr="00FC3B7C">
          <w:pgSz w:w="11900" w:h="16840"/>
          <w:pgMar w:top="1320" w:right="1440" w:bottom="589" w:left="1280" w:header="0" w:footer="0" w:gutter="0"/>
          <w:cols w:space="708" w:equalWidth="0">
            <w:col w:w="9180"/>
          </w:cols>
        </w:sectPr>
      </w:pPr>
    </w:p>
    <w:p w14:paraId="4A6F2AD0" w14:textId="77777777" w:rsidR="008E0F74" w:rsidRPr="00466189" w:rsidRDefault="00256F29" w:rsidP="00C85388">
      <w:pPr>
        <w:pStyle w:val="Nadpis2"/>
        <w:rPr>
          <w:color w:val="1F3864" w:themeColor="accent1" w:themeShade="80"/>
          <w:sz w:val="20"/>
          <w:szCs w:val="20"/>
        </w:rPr>
      </w:pPr>
      <w:bookmarkStart w:id="26" w:name="page24"/>
      <w:bookmarkEnd w:id="26"/>
      <w:r w:rsidRPr="00466189">
        <w:rPr>
          <w:rFonts w:eastAsia="Times New Roman"/>
          <w:color w:val="1F3864" w:themeColor="accent1" w:themeShade="80"/>
        </w:rPr>
        <w:lastRenderedPageBreak/>
        <w:t>VZTAH CÍLŮ HP A SPOLEČNOSTI</w:t>
      </w:r>
    </w:p>
    <w:p w14:paraId="4A6F2AD1" w14:textId="77777777" w:rsidR="008E0F74" w:rsidRPr="00FC3B7C" w:rsidRDefault="008E0F74">
      <w:pPr>
        <w:spacing w:line="200" w:lineRule="exact"/>
        <w:rPr>
          <w:sz w:val="20"/>
          <w:szCs w:val="20"/>
        </w:rPr>
      </w:pPr>
    </w:p>
    <w:p w14:paraId="4A6F2AD2" w14:textId="77777777" w:rsidR="008E0F74" w:rsidRPr="00466189" w:rsidRDefault="00256F29" w:rsidP="00C85388">
      <w:pPr>
        <w:pStyle w:val="Nadpis3"/>
        <w:rPr>
          <w:color w:val="1F3864" w:themeColor="accent1" w:themeShade="80"/>
        </w:rPr>
      </w:pPr>
      <w:r w:rsidRPr="00466189">
        <w:rPr>
          <w:color w:val="1F3864" w:themeColor="accent1" w:themeShade="80"/>
        </w:rPr>
        <w:t>Cíle hospodářské politiky</w:t>
      </w:r>
    </w:p>
    <w:p w14:paraId="4A6F2AD3" w14:textId="77777777" w:rsidR="008E0F74" w:rsidRPr="00C85388" w:rsidRDefault="00256F29" w:rsidP="00D46B53">
      <w:pPr>
        <w:pStyle w:val="Odstavecseseznamem"/>
        <w:numPr>
          <w:ilvl w:val="0"/>
          <w:numId w:val="596"/>
        </w:numPr>
        <w:rPr>
          <w:rFonts w:eastAsia="Times New Roman"/>
        </w:rPr>
      </w:pPr>
      <w:r w:rsidRPr="00C85388">
        <w:rPr>
          <w:rFonts w:eastAsia="Times New Roman"/>
        </w:rPr>
        <w:t>Stanovuje je teoretická HP.</w:t>
      </w:r>
    </w:p>
    <w:p w14:paraId="4A6F2AD4" w14:textId="77777777" w:rsidR="008E0F74" w:rsidRPr="00C85388" w:rsidRDefault="00256F29" w:rsidP="00D46B53">
      <w:pPr>
        <w:pStyle w:val="Odstavecseseznamem"/>
        <w:numPr>
          <w:ilvl w:val="0"/>
          <w:numId w:val="596"/>
        </w:numPr>
        <w:rPr>
          <w:rFonts w:eastAsia="Times New Roman"/>
        </w:rPr>
      </w:pPr>
      <w:r w:rsidRPr="00C85388">
        <w:rPr>
          <w:rFonts w:eastAsia="Times New Roman"/>
        </w:rPr>
        <w:t>Hospodářské cíle mohou být stanoveny pro jednotlivé oblasti, státy, teritoria, kontinenty nebo integrační uskupení.</w:t>
      </w:r>
    </w:p>
    <w:p w14:paraId="4A6F2AD5" w14:textId="77777777" w:rsidR="008E0F74" w:rsidRPr="00C85388" w:rsidRDefault="00256F29" w:rsidP="00D46B53">
      <w:pPr>
        <w:pStyle w:val="Odstavecseseznamem"/>
        <w:numPr>
          <w:ilvl w:val="0"/>
          <w:numId w:val="596"/>
        </w:numPr>
        <w:rPr>
          <w:rFonts w:eastAsia="Times New Roman"/>
        </w:rPr>
      </w:pPr>
      <w:r w:rsidRPr="00C85388">
        <w:rPr>
          <w:rFonts w:eastAsia="Times New Roman"/>
        </w:rPr>
        <w:t>HP je souhrnem cílů, nástrojů, rozhodovacích procesů a opatření státu prostřednictvím, kterých je možno působit na makroekonomickou a mikroekonomickou oblast národního hospodářství.</w:t>
      </w:r>
    </w:p>
    <w:p w14:paraId="4A6F2AD6" w14:textId="77777777" w:rsidR="008E0F74" w:rsidRPr="00C85388" w:rsidRDefault="00256F29" w:rsidP="00D46B53">
      <w:pPr>
        <w:pStyle w:val="Odstavecseseznamem"/>
        <w:numPr>
          <w:ilvl w:val="0"/>
          <w:numId w:val="596"/>
        </w:numPr>
        <w:rPr>
          <w:rFonts w:eastAsia="Times New Roman"/>
        </w:rPr>
      </w:pPr>
      <w:r w:rsidRPr="00C85388">
        <w:rPr>
          <w:rFonts w:eastAsia="Times New Roman"/>
        </w:rPr>
        <w:t>Cíl je žádoucí stav věcí, jehož chceme dosáhnout.</w:t>
      </w:r>
    </w:p>
    <w:p w14:paraId="4A6F2AD7" w14:textId="77777777" w:rsidR="008E0F74" w:rsidRPr="00C85388" w:rsidRDefault="00256F29" w:rsidP="00D46B53">
      <w:pPr>
        <w:pStyle w:val="Odstavecseseznamem"/>
        <w:numPr>
          <w:ilvl w:val="0"/>
          <w:numId w:val="596"/>
        </w:numPr>
        <w:rPr>
          <w:rFonts w:eastAsia="Times New Roman"/>
        </w:rPr>
      </w:pPr>
      <w:r w:rsidRPr="00C85388">
        <w:rPr>
          <w:rFonts w:eastAsia="Times New Roman"/>
        </w:rPr>
        <w:t>Pro dobře fungující politiku je třeba vytvořit hierarchii cílů, k tomu slouží např.: pyramida cílů, či magický trojúhelník, čtyřúhelník (navíc dynamický ekonomický růst) nebo pentagonála cílů (spočívá ještě v zabezpečení zdravého životního prostředí).</w:t>
      </w:r>
    </w:p>
    <w:p w14:paraId="4A6F2AD8" w14:textId="77777777" w:rsidR="008E0F74" w:rsidRPr="00C85388" w:rsidRDefault="00256F29" w:rsidP="00D46B53">
      <w:pPr>
        <w:pStyle w:val="Odstavecseseznamem"/>
        <w:numPr>
          <w:ilvl w:val="0"/>
          <w:numId w:val="596"/>
        </w:numPr>
        <w:rPr>
          <w:rFonts w:eastAsia="Times New Roman"/>
        </w:rPr>
      </w:pPr>
      <w:r w:rsidRPr="00C85388">
        <w:rPr>
          <w:rFonts w:eastAsia="Times New Roman"/>
        </w:rPr>
        <w:t>Je třeba též vyřadit nižší cíle, které by bránily naplnění vyšších cílů.</w:t>
      </w:r>
    </w:p>
    <w:p w14:paraId="4A6F2AD9" w14:textId="77777777" w:rsidR="008E0F74" w:rsidRPr="00C85388" w:rsidRDefault="00256F29" w:rsidP="00D46B53">
      <w:pPr>
        <w:pStyle w:val="Odstavecseseznamem"/>
        <w:numPr>
          <w:ilvl w:val="0"/>
          <w:numId w:val="596"/>
        </w:numPr>
        <w:rPr>
          <w:rFonts w:eastAsia="Times New Roman"/>
        </w:rPr>
      </w:pPr>
      <w:r w:rsidRPr="00C85388">
        <w:rPr>
          <w:rFonts w:eastAsia="Times New Roman"/>
        </w:rPr>
        <w:t>Cíle z hlediska času dělíme na: krátkodobé, střednědobé a dlouhodobé.</w:t>
      </w:r>
    </w:p>
    <w:p w14:paraId="4A6F2ADA" w14:textId="77777777" w:rsidR="008E0F74" w:rsidRPr="00466189" w:rsidRDefault="00256F29" w:rsidP="00C85388">
      <w:pPr>
        <w:pStyle w:val="Nadpis4"/>
        <w:rPr>
          <w:color w:val="1F3864" w:themeColor="accent1" w:themeShade="80"/>
        </w:rPr>
      </w:pPr>
      <w:bookmarkStart w:id="27" w:name="page25"/>
      <w:bookmarkEnd w:id="27"/>
      <w:r w:rsidRPr="00466189">
        <w:rPr>
          <w:color w:val="1F3864" w:themeColor="accent1" w:themeShade="80"/>
        </w:rPr>
        <w:t>Obecné cíle</w:t>
      </w:r>
    </w:p>
    <w:p w14:paraId="4A6F2ADB" w14:textId="77777777" w:rsidR="008E0F74" w:rsidRPr="00FC3B7C" w:rsidRDefault="008E0F74">
      <w:pPr>
        <w:spacing w:line="271" w:lineRule="exact"/>
        <w:rPr>
          <w:sz w:val="20"/>
          <w:szCs w:val="20"/>
        </w:rPr>
      </w:pPr>
    </w:p>
    <w:p w14:paraId="4A6F2ADC" w14:textId="77777777" w:rsidR="008E0F74" w:rsidRPr="00C85388" w:rsidRDefault="00256F29" w:rsidP="00D46B53">
      <w:pPr>
        <w:pStyle w:val="Odstavecseseznamem"/>
        <w:numPr>
          <w:ilvl w:val="0"/>
          <w:numId w:val="596"/>
        </w:numPr>
        <w:rPr>
          <w:rFonts w:eastAsia="Times New Roman"/>
        </w:rPr>
      </w:pPr>
      <w:r w:rsidRPr="00C85388">
        <w:rPr>
          <w:rFonts w:eastAsia="Times New Roman"/>
        </w:rPr>
        <w:t xml:space="preserve">Pro naplnění jakýchkoliv cílů je nejdůležitější </w:t>
      </w:r>
      <w:r w:rsidRPr="00C85388">
        <w:rPr>
          <w:rFonts w:eastAsia="Times New Roman"/>
          <w:b/>
        </w:rPr>
        <w:t>mír, svoboda a demokracie</w:t>
      </w:r>
      <w:r w:rsidRPr="00C85388">
        <w:rPr>
          <w:rFonts w:eastAsia="Times New Roman"/>
        </w:rPr>
        <w:t>, proto jsou tyto tři stavy nejdůležitějšími cíli</w:t>
      </w:r>
      <w:r w:rsidR="00C85388">
        <w:rPr>
          <w:rFonts w:eastAsia="Times New Roman"/>
        </w:rPr>
        <w:t>.</w:t>
      </w:r>
    </w:p>
    <w:p w14:paraId="4A6F2ADD" w14:textId="77777777" w:rsidR="008E0F74" w:rsidRPr="00C85388" w:rsidRDefault="00256F29" w:rsidP="00D46B53">
      <w:pPr>
        <w:pStyle w:val="Odstavecseseznamem"/>
        <w:numPr>
          <w:ilvl w:val="0"/>
          <w:numId w:val="596"/>
        </w:numPr>
        <w:rPr>
          <w:rFonts w:eastAsia="Times New Roman"/>
          <w:b/>
        </w:rPr>
      </w:pPr>
      <w:r w:rsidRPr="00C85388">
        <w:rPr>
          <w:rFonts w:eastAsia="Times New Roman"/>
        </w:rPr>
        <w:t xml:space="preserve">Pokud jsou naplněny tyty cíle, tak mezi další obecné cíle společnosti patří: </w:t>
      </w:r>
      <w:r w:rsidRPr="00C85388">
        <w:rPr>
          <w:rFonts w:eastAsia="Times New Roman"/>
          <w:b/>
        </w:rPr>
        <w:t>spravedlnost, jistota, pokrok, blahobyt a bezpečnost</w:t>
      </w:r>
      <w:r w:rsidR="00C85388">
        <w:rPr>
          <w:rFonts w:eastAsia="Times New Roman"/>
          <w:b/>
        </w:rPr>
        <w:t>.</w:t>
      </w:r>
    </w:p>
    <w:p w14:paraId="4A6F2ADE" w14:textId="77777777" w:rsidR="008E0F74" w:rsidRPr="00FC3B7C" w:rsidRDefault="008E0F74">
      <w:pPr>
        <w:spacing w:line="141" w:lineRule="exact"/>
        <w:rPr>
          <w:sz w:val="20"/>
          <w:szCs w:val="20"/>
        </w:rPr>
      </w:pPr>
    </w:p>
    <w:p w14:paraId="4A6F2ADF" w14:textId="6546C9A9" w:rsidR="008E0F74" w:rsidRPr="00466189" w:rsidRDefault="00256F29" w:rsidP="00C85388">
      <w:pPr>
        <w:pStyle w:val="Nadpis4"/>
        <w:rPr>
          <w:color w:val="1F3864" w:themeColor="accent1" w:themeShade="80"/>
        </w:rPr>
      </w:pPr>
      <w:r w:rsidRPr="00466189">
        <w:rPr>
          <w:color w:val="1F3864" w:themeColor="accent1" w:themeShade="80"/>
        </w:rPr>
        <w:t>Základní (tradiční cíle) HP</w:t>
      </w:r>
      <w:r w:rsidR="00466189">
        <w:rPr>
          <w:color w:val="1F3864" w:themeColor="accent1" w:themeShade="80"/>
        </w:rPr>
        <w:t xml:space="preserve"> </w:t>
      </w:r>
      <w:r w:rsidR="00C85388" w:rsidRPr="00466189">
        <w:rPr>
          <w:rStyle w:val="Znakapoznpodarou"/>
          <w:color w:val="1F3864" w:themeColor="accent1" w:themeShade="80"/>
        </w:rPr>
        <w:footnoteReference w:id="12"/>
      </w:r>
    </w:p>
    <w:p w14:paraId="4A6F2AE0" w14:textId="77777777" w:rsidR="008E0F74" w:rsidRPr="00FC3B7C" w:rsidRDefault="008E0F74">
      <w:pPr>
        <w:spacing w:line="240" w:lineRule="exact"/>
        <w:rPr>
          <w:sz w:val="20"/>
          <w:szCs w:val="20"/>
        </w:rPr>
      </w:pPr>
    </w:p>
    <w:p w14:paraId="4A6F2AE1" w14:textId="77777777" w:rsidR="008E0F74" w:rsidRPr="00C85388" w:rsidRDefault="00256F29" w:rsidP="00D46B53">
      <w:pPr>
        <w:pStyle w:val="Odstavecseseznamem"/>
        <w:numPr>
          <w:ilvl w:val="0"/>
          <w:numId w:val="596"/>
        </w:numPr>
        <w:rPr>
          <w:rFonts w:eastAsia="Times New Roman"/>
        </w:rPr>
      </w:pPr>
      <w:r w:rsidRPr="00C85388">
        <w:rPr>
          <w:rFonts w:eastAsia="Times New Roman"/>
        </w:rPr>
        <w:t>Dělí se na cíle zaručující vnější a vnitřní stabilitu</w:t>
      </w:r>
      <w:r w:rsidR="00C85388">
        <w:rPr>
          <w:rFonts w:eastAsia="Times New Roman"/>
        </w:rPr>
        <w:t>.</w:t>
      </w:r>
    </w:p>
    <w:p w14:paraId="4A6F2AE2" w14:textId="77777777" w:rsidR="008E0F74" w:rsidRPr="00C85388" w:rsidRDefault="00256F29" w:rsidP="00D46B53">
      <w:pPr>
        <w:pStyle w:val="Odstavecseseznamem"/>
        <w:numPr>
          <w:ilvl w:val="0"/>
          <w:numId w:val="596"/>
        </w:numPr>
        <w:rPr>
          <w:rFonts w:eastAsia="Times New Roman"/>
        </w:rPr>
      </w:pPr>
      <w:r w:rsidRPr="00C85388">
        <w:rPr>
          <w:rFonts w:eastAsia="Times New Roman"/>
        </w:rPr>
        <w:t>Za základní cíle jsou považovány:</w:t>
      </w:r>
    </w:p>
    <w:p w14:paraId="4A6F2AE3" w14:textId="77777777" w:rsidR="008E0F74" w:rsidRPr="00FC3B7C" w:rsidRDefault="00256F29" w:rsidP="004A5F54">
      <w:pPr>
        <w:numPr>
          <w:ilvl w:val="1"/>
          <w:numId w:val="12"/>
        </w:numPr>
        <w:tabs>
          <w:tab w:val="left" w:pos="1418"/>
        </w:tabs>
        <w:ind w:left="1418" w:hanging="360"/>
        <w:rPr>
          <w:rFonts w:eastAsia="Times New Roman"/>
          <w:b/>
          <w:bCs/>
          <w:szCs w:val="24"/>
        </w:rPr>
      </w:pPr>
      <w:r w:rsidRPr="00FC3B7C">
        <w:rPr>
          <w:rFonts w:eastAsia="Times New Roman"/>
          <w:b/>
          <w:bCs/>
          <w:szCs w:val="24"/>
        </w:rPr>
        <w:t>Vyvážený a stabilní ekonomický růst</w:t>
      </w:r>
      <w:r w:rsidR="00C85388">
        <w:rPr>
          <w:rFonts w:eastAsia="Times New Roman"/>
          <w:b/>
          <w:bCs/>
          <w:szCs w:val="24"/>
        </w:rPr>
        <w:t>.</w:t>
      </w:r>
    </w:p>
    <w:p w14:paraId="4A6F2AE4" w14:textId="77777777" w:rsidR="008E0F74" w:rsidRPr="00C85388" w:rsidRDefault="00C85388" w:rsidP="004A5F54">
      <w:pPr>
        <w:numPr>
          <w:ilvl w:val="1"/>
          <w:numId w:val="12"/>
        </w:numPr>
        <w:tabs>
          <w:tab w:val="left" w:pos="1418"/>
        </w:tabs>
        <w:ind w:left="1418" w:hanging="360"/>
        <w:rPr>
          <w:rFonts w:eastAsia="Times New Roman"/>
          <w:b/>
          <w:bCs/>
          <w:szCs w:val="24"/>
        </w:rPr>
      </w:pPr>
      <w:r>
        <w:rPr>
          <w:rFonts w:eastAsia="Times New Roman"/>
          <w:b/>
          <w:bCs/>
          <w:szCs w:val="24"/>
        </w:rPr>
        <w:t>N</w:t>
      </w:r>
      <w:r w:rsidR="00256F29" w:rsidRPr="00FC3B7C">
        <w:rPr>
          <w:rFonts w:eastAsia="Times New Roman"/>
          <w:b/>
          <w:bCs/>
          <w:szCs w:val="24"/>
        </w:rPr>
        <w:t>ízká míra nezaměstnanosti</w:t>
      </w:r>
      <w:r>
        <w:rPr>
          <w:rFonts w:eastAsia="Times New Roman"/>
          <w:b/>
          <w:bCs/>
          <w:szCs w:val="24"/>
        </w:rPr>
        <w:t>.</w:t>
      </w:r>
    </w:p>
    <w:p w14:paraId="4A6F2AE5" w14:textId="77777777" w:rsidR="008E0F74" w:rsidRPr="00FC3B7C" w:rsidRDefault="00256F29" w:rsidP="004A5F54">
      <w:pPr>
        <w:numPr>
          <w:ilvl w:val="1"/>
          <w:numId w:val="12"/>
        </w:numPr>
        <w:tabs>
          <w:tab w:val="left" w:pos="1418"/>
        </w:tabs>
        <w:ind w:left="1418" w:hanging="360"/>
        <w:rPr>
          <w:rFonts w:eastAsia="Times New Roman"/>
          <w:b/>
          <w:bCs/>
          <w:szCs w:val="24"/>
        </w:rPr>
      </w:pPr>
      <w:r w:rsidRPr="00FC3B7C">
        <w:rPr>
          <w:rFonts w:eastAsia="Times New Roman"/>
          <w:b/>
          <w:bCs/>
          <w:szCs w:val="24"/>
        </w:rPr>
        <w:t>Nízká a stabilní inflace</w:t>
      </w:r>
      <w:r w:rsidR="00C85388">
        <w:rPr>
          <w:rFonts w:eastAsia="Times New Roman"/>
          <w:b/>
          <w:bCs/>
          <w:szCs w:val="24"/>
        </w:rPr>
        <w:t>.</w:t>
      </w:r>
    </w:p>
    <w:p w14:paraId="4A6F2AE6" w14:textId="77777777" w:rsidR="008E0F74" w:rsidRPr="00FC3B7C" w:rsidRDefault="00256F29" w:rsidP="004A5F54">
      <w:pPr>
        <w:numPr>
          <w:ilvl w:val="1"/>
          <w:numId w:val="12"/>
        </w:numPr>
        <w:tabs>
          <w:tab w:val="left" w:pos="1418"/>
        </w:tabs>
        <w:ind w:left="1418" w:hanging="360"/>
        <w:rPr>
          <w:rFonts w:eastAsia="Times New Roman"/>
          <w:b/>
          <w:bCs/>
          <w:szCs w:val="24"/>
        </w:rPr>
      </w:pPr>
      <w:r w:rsidRPr="00FC3B7C">
        <w:rPr>
          <w:rFonts w:eastAsia="Times New Roman"/>
          <w:b/>
          <w:bCs/>
          <w:szCs w:val="24"/>
        </w:rPr>
        <w:t>Rovnováha vnějších ekonomických jevů</w:t>
      </w:r>
      <w:r w:rsidR="00C85388">
        <w:rPr>
          <w:rFonts w:eastAsia="Times New Roman"/>
          <w:b/>
          <w:bCs/>
          <w:szCs w:val="24"/>
        </w:rPr>
        <w:t>.</w:t>
      </w:r>
    </w:p>
    <w:p w14:paraId="4A6F2AE7" w14:textId="77777777" w:rsidR="008E0F74" w:rsidRPr="00FC3B7C" w:rsidRDefault="008E0F74">
      <w:pPr>
        <w:spacing w:line="343" w:lineRule="exact"/>
        <w:rPr>
          <w:sz w:val="20"/>
          <w:szCs w:val="20"/>
        </w:rPr>
      </w:pPr>
    </w:p>
    <w:p w14:paraId="4A6F2AE8" w14:textId="77777777" w:rsidR="00C85388" w:rsidRDefault="00C85388">
      <w:pPr>
        <w:spacing w:line="240" w:lineRule="auto"/>
        <w:jc w:val="left"/>
        <w:rPr>
          <w:rFonts w:eastAsia="Times New Roman"/>
          <w:b/>
          <w:bCs/>
          <w:szCs w:val="24"/>
          <w:u w:val="single"/>
        </w:rPr>
      </w:pPr>
      <w:r>
        <w:rPr>
          <w:rFonts w:eastAsia="Times New Roman"/>
          <w:b/>
          <w:bCs/>
          <w:szCs w:val="24"/>
          <w:u w:val="single"/>
        </w:rPr>
        <w:br w:type="page"/>
      </w:r>
    </w:p>
    <w:p w14:paraId="4A6F2AE9" w14:textId="77777777" w:rsidR="008E0F74" w:rsidRPr="00FC3B7C" w:rsidRDefault="00256F29">
      <w:pPr>
        <w:ind w:left="138"/>
        <w:rPr>
          <w:sz w:val="20"/>
          <w:szCs w:val="20"/>
        </w:rPr>
      </w:pPr>
      <w:r w:rsidRPr="00FC3B7C">
        <w:rPr>
          <w:rFonts w:eastAsia="Times New Roman"/>
          <w:b/>
          <w:bCs/>
          <w:szCs w:val="24"/>
          <w:u w:val="single"/>
        </w:rPr>
        <w:lastRenderedPageBreak/>
        <w:t>Vnitřní stabilita:</w:t>
      </w:r>
    </w:p>
    <w:p w14:paraId="4A6F2AEA" w14:textId="77777777" w:rsidR="008E0F74" w:rsidRPr="00FC3B7C" w:rsidRDefault="00256F29" w:rsidP="004A5F54">
      <w:pPr>
        <w:numPr>
          <w:ilvl w:val="0"/>
          <w:numId w:val="13"/>
        </w:numPr>
        <w:tabs>
          <w:tab w:val="left" w:pos="858"/>
        </w:tabs>
        <w:ind w:left="858" w:hanging="367"/>
        <w:rPr>
          <w:rFonts w:eastAsia="Times New Roman"/>
          <w:szCs w:val="24"/>
        </w:rPr>
      </w:pPr>
      <w:r w:rsidRPr="00FC3B7C">
        <w:rPr>
          <w:rFonts w:eastAsia="Times New Roman"/>
          <w:szCs w:val="24"/>
          <w:u w:val="single"/>
        </w:rPr>
        <w:t>Zabezpečení plné zaměstnanosti</w:t>
      </w:r>
    </w:p>
    <w:p w14:paraId="4A6F2AEB" w14:textId="77777777" w:rsidR="008E0F74" w:rsidRPr="00C85388" w:rsidRDefault="00256F29" w:rsidP="00D46B53">
      <w:pPr>
        <w:pStyle w:val="Odstavecseseznamem"/>
        <w:numPr>
          <w:ilvl w:val="0"/>
          <w:numId w:val="597"/>
        </w:numPr>
        <w:ind w:left="1418"/>
        <w:rPr>
          <w:rFonts w:eastAsia="Calibri"/>
        </w:rPr>
      </w:pPr>
      <w:r w:rsidRPr="00C85388">
        <w:rPr>
          <w:rFonts w:eastAsia="Times New Roman"/>
        </w:rPr>
        <w:t xml:space="preserve">plná zaměstnanost - nepočítá se dobrovolná nezaměstnanost (DN) - dochází </w:t>
      </w:r>
      <w:r w:rsidR="00C85388">
        <w:rPr>
          <w:rFonts w:eastAsia="Times New Roman"/>
        </w:rPr>
        <w:br/>
      </w:r>
      <w:r w:rsidRPr="00C85388">
        <w:rPr>
          <w:rFonts w:eastAsia="Times New Roman"/>
        </w:rPr>
        <w:t>k vyrovnávání nabídky a poptávky na trhu, existuje DN - v každém režimu existuje 2-3% hranice lidí, kteří nikdy nebudou pracovat (nezaměstnatelní aupéři) - v různém prostoru a čase se procento DN může lišit a vyvíjet</w:t>
      </w:r>
      <w:r w:rsidR="00C85388">
        <w:rPr>
          <w:rFonts w:eastAsia="Times New Roman"/>
        </w:rPr>
        <w:t>,</w:t>
      </w:r>
    </w:p>
    <w:p w14:paraId="4A6F2AEC" w14:textId="77777777" w:rsidR="008E0F74" w:rsidRPr="00C85388" w:rsidRDefault="00256F29" w:rsidP="00D46B53">
      <w:pPr>
        <w:pStyle w:val="Odstavecseseznamem"/>
        <w:numPr>
          <w:ilvl w:val="0"/>
          <w:numId w:val="597"/>
        </w:numPr>
        <w:ind w:left="1418"/>
        <w:rPr>
          <w:rFonts w:eastAsia="Calibri"/>
        </w:rPr>
      </w:pPr>
      <w:r w:rsidRPr="00C85388">
        <w:rPr>
          <w:rFonts w:eastAsia="Times New Roman"/>
        </w:rPr>
        <w:t>souvisí s pojištěním v nezaměstnanosti a systémem sociálních podpor - pojištění v nezaměstnanosti je automatický stabilizátor - nárok jen lidé, kteří určitou dobu pracovali a byli pojištěni</w:t>
      </w:r>
      <w:r w:rsidR="00C85388">
        <w:rPr>
          <w:rFonts w:eastAsia="Times New Roman"/>
        </w:rPr>
        <w:t>,</w:t>
      </w:r>
    </w:p>
    <w:p w14:paraId="4A6F2AED" w14:textId="77777777" w:rsidR="008E0F74" w:rsidRPr="00C85388" w:rsidRDefault="00256F29" w:rsidP="00D46B53">
      <w:pPr>
        <w:pStyle w:val="Odstavecseseznamem"/>
        <w:numPr>
          <w:ilvl w:val="0"/>
          <w:numId w:val="597"/>
        </w:numPr>
        <w:ind w:left="1418"/>
        <w:rPr>
          <w:rFonts w:eastAsia="Calibri"/>
        </w:rPr>
      </w:pPr>
      <w:r w:rsidRPr="00C85388">
        <w:rPr>
          <w:rFonts w:eastAsia="Times New Roman"/>
        </w:rPr>
        <w:t>nejhorší je DN hned vystudovaných, vyučených lidí (mladí do 25, nezaměstnanost delší než 6 měsíců)</w:t>
      </w:r>
      <w:r w:rsidR="00C85388">
        <w:rPr>
          <w:rFonts w:eastAsia="Times New Roman"/>
        </w:rPr>
        <w:t>,</w:t>
      </w:r>
    </w:p>
    <w:p w14:paraId="4A6F2AEE" w14:textId="77777777" w:rsidR="008E0F74" w:rsidRPr="00C85388" w:rsidRDefault="00256F29" w:rsidP="00D46B53">
      <w:pPr>
        <w:pStyle w:val="Odstavecseseznamem"/>
        <w:numPr>
          <w:ilvl w:val="0"/>
          <w:numId w:val="597"/>
        </w:numPr>
        <w:ind w:left="1418"/>
        <w:rPr>
          <w:rFonts w:eastAsia="Calibri"/>
        </w:rPr>
      </w:pPr>
      <w:r w:rsidRPr="00C85388">
        <w:rPr>
          <w:rFonts w:eastAsia="Times New Roman"/>
        </w:rPr>
        <w:t>pohled na nezaměstnanost se u ekonomů může lišit</w:t>
      </w:r>
      <w:r w:rsidR="00C85388">
        <w:rPr>
          <w:rFonts w:eastAsia="Times New Roman"/>
        </w:rPr>
        <w:t>.</w:t>
      </w:r>
    </w:p>
    <w:p w14:paraId="4A6F2AEF" w14:textId="77777777" w:rsidR="008E0F74" w:rsidRPr="00FC3B7C" w:rsidRDefault="00256F29" w:rsidP="004A5F54">
      <w:pPr>
        <w:numPr>
          <w:ilvl w:val="0"/>
          <w:numId w:val="13"/>
        </w:numPr>
        <w:tabs>
          <w:tab w:val="left" w:pos="858"/>
        </w:tabs>
        <w:spacing w:before="240"/>
        <w:ind w:left="858" w:hanging="367"/>
        <w:rPr>
          <w:rFonts w:eastAsia="Times New Roman"/>
          <w:szCs w:val="24"/>
        </w:rPr>
      </w:pPr>
      <w:r w:rsidRPr="00FC3B7C">
        <w:rPr>
          <w:rFonts w:eastAsia="Times New Roman"/>
          <w:szCs w:val="24"/>
          <w:u w:val="single"/>
        </w:rPr>
        <w:t>Udržení celkové cenové stability</w:t>
      </w:r>
    </w:p>
    <w:p w14:paraId="4A6F2AF0" w14:textId="77777777" w:rsidR="008E0F74" w:rsidRPr="00C85388" w:rsidRDefault="00256F29" w:rsidP="00D46B53">
      <w:pPr>
        <w:pStyle w:val="Odstavecseseznamem"/>
        <w:numPr>
          <w:ilvl w:val="0"/>
          <w:numId w:val="597"/>
        </w:numPr>
        <w:ind w:left="1418"/>
        <w:rPr>
          <w:rFonts w:eastAsia="Times New Roman"/>
        </w:rPr>
      </w:pPr>
      <w:r w:rsidRPr="00C85388">
        <w:rPr>
          <w:rFonts w:eastAsia="Times New Roman"/>
        </w:rPr>
        <w:t>základním předpokladem je umět měřit inflaci → normální inflace 1-2% cenový růst ročně = cenová stabilita</w:t>
      </w:r>
      <w:r w:rsidR="00C85388">
        <w:rPr>
          <w:rFonts w:eastAsia="Times New Roman"/>
        </w:rPr>
        <w:t>,</w:t>
      </w:r>
    </w:p>
    <w:p w14:paraId="4A6F2AF1" w14:textId="77777777" w:rsidR="00712250" w:rsidRPr="00712250" w:rsidRDefault="00256F29" w:rsidP="00D46B53">
      <w:pPr>
        <w:pStyle w:val="Odstavecseseznamem"/>
        <w:numPr>
          <w:ilvl w:val="0"/>
          <w:numId w:val="597"/>
        </w:numPr>
        <w:tabs>
          <w:tab w:val="left" w:pos="940"/>
        </w:tabs>
        <w:ind w:left="1418"/>
        <w:rPr>
          <w:rFonts w:eastAsia="Calibri"/>
          <w:szCs w:val="24"/>
        </w:rPr>
      </w:pPr>
      <w:r w:rsidRPr="00712250">
        <w:rPr>
          <w:rFonts w:eastAsia="Times New Roman"/>
        </w:rPr>
        <w:t>předpokladem udržení stability je udržení rozvoje zaměstnanosti a práce → domácnosti dostávají prachy ze zaměstnání a ne následkem přerozdělováním</w:t>
      </w:r>
      <w:r w:rsidR="00712250" w:rsidRPr="00712250">
        <w:rPr>
          <w:rFonts w:eastAsia="Times New Roman"/>
        </w:rPr>
        <w:t>,</w:t>
      </w:r>
      <w:bookmarkStart w:id="28" w:name="page26"/>
      <w:bookmarkEnd w:id="28"/>
    </w:p>
    <w:p w14:paraId="4A6F2AF2" w14:textId="77777777" w:rsidR="008E0F74" w:rsidRPr="00712250" w:rsidRDefault="00256F29" w:rsidP="00D46B53">
      <w:pPr>
        <w:pStyle w:val="Odstavecseseznamem"/>
        <w:numPr>
          <w:ilvl w:val="0"/>
          <w:numId w:val="597"/>
        </w:numPr>
        <w:tabs>
          <w:tab w:val="left" w:pos="940"/>
        </w:tabs>
        <w:ind w:left="1418"/>
        <w:rPr>
          <w:rFonts w:eastAsia="Calibri"/>
          <w:szCs w:val="24"/>
        </w:rPr>
      </w:pPr>
      <w:r w:rsidRPr="00712250">
        <w:rPr>
          <w:rFonts w:eastAsia="Times New Roman"/>
          <w:szCs w:val="24"/>
        </w:rPr>
        <w:t>předpokladem je růst produktivity práce</w:t>
      </w:r>
      <w:r w:rsidR="00712250">
        <w:rPr>
          <w:rFonts w:eastAsia="Times New Roman"/>
          <w:szCs w:val="24"/>
        </w:rPr>
        <w:t>,</w:t>
      </w:r>
    </w:p>
    <w:p w14:paraId="4A6F2AF3" w14:textId="77777777" w:rsidR="008E0F74" w:rsidRPr="00FC3B7C" w:rsidRDefault="008E0F74">
      <w:pPr>
        <w:spacing w:line="124" w:lineRule="exact"/>
        <w:rPr>
          <w:rFonts w:eastAsia="Calibri"/>
          <w:szCs w:val="24"/>
        </w:rPr>
      </w:pPr>
    </w:p>
    <w:p w14:paraId="4A6F2AF4" w14:textId="77777777" w:rsidR="008E0F74" w:rsidRPr="00712250" w:rsidRDefault="00256F29" w:rsidP="00D46B53">
      <w:pPr>
        <w:pStyle w:val="Odstavecseseznamem"/>
        <w:numPr>
          <w:ilvl w:val="0"/>
          <w:numId w:val="597"/>
        </w:numPr>
        <w:tabs>
          <w:tab w:val="left" w:pos="940"/>
        </w:tabs>
        <w:ind w:left="1418"/>
        <w:rPr>
          <w:rFonts w:eastAsia="Times New Roman"/>
          <w:szCs w:val="24"/>
        </w:rPr>
      </w:pPr>
      <w:r w:rsidRPr="00FC3B7C">
        <w:rPr>
          <w:rFonts w:eastAsia="Times New Roman"/>
          <w:szCs w:val="24"/>
        </w:rPr>
        <w:t>vysoká míra inflace bývá považována za horší pro hospodářství než vysoká nezaměstnanost → postihuje všechny ekonomické subjekty</w:t>
      </w:r>
      <w:r w:rsidR="00712250">
        <w:rPr>
          <w:rFonts w:eastAsia="Times New Roman"/>
          <w:szCs w:val="24"/>
        </w:rPr>
        <w:t>,</w:t>
      </w:r>
    </w:p>
    <w:p w14:paraId="4A6F2AF5" w14:textId="77777777" w:rsidR="008E0F74" w:rsidRPr="00712250" w:rsidRDefault="00256F29" w:rsidP="00D46B53">
      <w:pPr>
        <w:pStyle w:val="Odstavecseseznamem"/>
        <w:numPr>
          <w:ilvl w:val="0"/>
          <w:numId w:val="597"/>
        </w:numPr>
        <w:tabs>
          <w:tab w:val="left" w:pos="940"/>
        </w:tabs>
        <w:ind w:left="1418"/>
        <w:rPr>
          <w:rFonts w:eastAsia="Times New Roman"/>
          <w:szCs w:val="24"/>
        </w:rPr>
      </w:pPr>
      <w:r w:rsidRPr="00FC3B7C">
        <w:rPr>
          <w:rFonts w:eastAsia="Times New Roman"/>
          <w:szCs w:val="24"/>
        </w:rPr>
        <w:t>velmi nebezpečná vysoká neanticipovaná inflace</w:t>
      </w:r>
      <w:r w:rsidR="00712250">
        <w:rPr>
          <w:rFonts w:eastAsia="Times New Roman"/>
          <w:szCs w:val="24"/>
        </w:rPr>
        <w:t>,</w:t>
      </w:r>
    </w:p>
    <w:p w14:paraId="4A6F2AF6" w14:textId="4944E5C0" w:rsidR="008E0F74" w:rsidRPr="00712250" w:rsidRDefault="00256F29" w:rsidP="00D46B53">
      <w:pPr>
        <w:pStyle w:val="Odstavecseseznamem"/>
        <w:numPr>
          <w:ilvl w:val="0"/>
          <w:numId w:val="597"/>
        </w:numPr>
        <w:tabs>
          <w:tab w:val="left" w:pos="940"/>
        </w:tabs>
        <w:ind w:left="1418"/>
        <w:rPr>
          <w:rFonts w:eastAsia="Times New Roman"/>
          <w:szCs w:val="24"/>
        </w:rPr>
      </w:pPr>
      <w:r w:rsidRPr="00FC3B7C">
        <w:rPr>
          <w:rFonts w:eastAsia="Times New Roman"/>
          <w:szCs w:val="24"/>
        </w:rPr>
        <w:t>vysoká inflace ničí</w:t>
      </w:r>
      <w:r w:rsidR="003376E1">
        <w:rPr>
          <w:rFonts w:eastAsia="Times New Roman"/>
          <w:szCs w:val="24"/>
        </w:rPr>
        <w:t xml:space="preserve"> </w:t>
      </w:r>
      <w:r w:rsidRPr="00FC3B7C">
        <w:rPr>
          <w:rFonts w:eastAsia="Times New Roman"/>
          <w:szCs w:val="24"/>
        </w:rPr>
        <w:t>informace</w:t>
      </w:r>
      <w:r w:rsidR="003376E1">
        <w:rPr>
          <w:rFonts w:eastAsia="Times New Roman"/>
          <w:szCs w:val="24"/>
        </w:rPr>
        <w:t xml:space="preserve"> </w:t>
      </w:r>
      <w:r w:rsidRPr="00FC3B7C">
        <w:rPr>
          <w:rFonts w:eastAsia="Times New Roman"/>
          <w:szCs w:val="24"/>
        </w:rPr>
        <w:t>-</w:t>
      </w:r>
      <w:r w:rsidR="003376E1">
        <w:rPr>
          <w:rFonts w:eastAsia="Times New Roman"/>
          <w:szCs w:val="24"/>
        </w:rPr>
        <w:t xml:space="preserve"> </w:t>
      </w:r>
      <w:r w:rsidRPr="00FC3B7C">
        <w:rPr>
          <w:rFonts w:eastAsia="Times New Roman"/>
          <w:szCs w:val="24"/>
        </w:rPr>
        <w:t>subjekty v</w:t>
      </w:r>
      <w:r w:rsidR="003376E1">
        <w:rPr>
          <w:rFonts w:eastAsia="Times New Roman"/>
          <w:szCs w:val="24"/>
        </w:rPr>
        <w:t xml:space="preserve"> </w:t>
      </w:r>
      <w:r w:rsidRPr="00FC3B7C">
        <w:rPr>
          <w:rFonts w:eastAsia="Times New Roman"/>
          <w:szCs w:val="24"/>
        </w:rPr>
        <w:t>ekonomice</w:t>
      </w:r>
      <w:r w:rsidR="003376E1">
        <w:rPr>
          <w:rFonts w:eastAsia="Times New Roman"/>
          <w:szCs w:val="24"/>
        </w:rPr>
        <w:t xml:space="preserve"> </w:t>
      </w:r>
      <w:r w:rsidRPr="00FC3B7C">
        <w:rPr>
          <w:rFonts w:eastAsia="Times New Roman"/>
          <w:szCs w:val="24"/>
        </w:rPr>
        <w:t>mají určitá očekávání</w:t>
      </w:r>
    </w:p>
    <w:p w14:paraId="4A6F2AF7" w14:textId="466FAFF4" w:rsidR="008E0F74" w:rsidRPr="00712250" w:rsidRDefault="00256F29" w:rsidP="00D46B53">
      <w:pPr>
        <w:pStyle w:val="Odstavecseseznamem"/>
        <w:numPr>
          <w:ilvl w:val="0"/>
          <w:numId w:val="597"/>
        </w:numPr>
        <w:tabs>
          <w:tab w:val="left" w:pos="940"/>
        </w:tabs>
        <w:ind w:left="1418"/>
        <w:rPr>
          <w:rFonts w:eastAsia="Times New Roman"/>
          <w:szCs w:val="24"/>
        </w:rPr>
      </w:pPr>
      <w:r w:rsidRPr="00FC3B7C">
        <w:rPr>
          <w:rFonts w:eastAsia="Times New Roman"/>
          <w:szCs w:val="24"/>
        </w:rPr>
        <w:t xml:space="preserve">cenového vývoje → vysoká inflace ničí informace </w:t>
      </w:r>
      <w:r w:rsidR="00CE28AF" w:rsidRPr="00FC3B7C">
        <w:rPr>
          <w:rFonts w:eastAsia="Times New Roman"/>
          <w:szCs w:val="24"/>
        </w:rPr>
        <w:t>nutné</w:t>
      </w:r>
      <w:r w:rsidR="00CE28AF">
        <w:rPr>
          <w:rFonts w:eastAsia="Times New Roman"/>
          <w:szCs w:val="24"/>
        </w:rPr>
        <w:t xml:space="preserve"> </w:t>
      </w:r>
      <w:r w:rsidRPr="00FC3B7C">
        <w:rPr>
          <w:rFonts w:eastAsia="Times New Roman"/>
          <w:szCs w:val="24"/>
        </w:rPr>
        <w:t xml:space="preserve">pro rozhodování </w:t>
      </w:r>
      <w:r w:rsidR="00712250">
        <w:rPr>
          <w:rFonts w:eastAsia="Times New Roman"/>
          <w:szCs w:val="24"/>
        </w:rPr>
        <w:br/>
      </w:r>
      <w:r w:rsidRPr="00FC3B7C">
        <w:rPr>
          <w:rFonts w:eastAsia="Times New Roman"/>
          <w:szCs w:val="24"/>
        </w:rPr>
        <w:t>v ekonomických procesech</w:t>
      </w:r>
      <w:r w:rsidR="00712250">
        <w:rPr>
          <w:rFonts w:eastAsia="Times New Roman"/>
          <w:szCs w:val="24"/>
        </w:rPr>
        <w:t>.</w:t>
      </w:r>
    </w:p>
    <w:p w14:paraId="4A6F2AF8" w14:textId="77777777" w:rsidR="008E0F74" w:rsidRPr="00FC3B7C" w:rsidRDefault="008E0F74">
      <w:pPr>
        <w:spacing w:line="136" w:lineRule="exact"/>
        <w:rPr>
          <w:sz w:val="20"/>
          <w:szCs w:val="20"/>
        </w:rPr>
      </w:pPr>
    </w:p>
    <w:p w14:paraId="4A6F2AF9" w14:textId="77777777" w:rsidR="00712250" w:rsidRDefault="00712250">
      <w:pPr>
        <w:spacing w:line="240" w:lineRule="auto"/>
        <w:jc w:val="left"/>
        <w:rPr>
          <w:rFonts w:eastAsia="Times New Roman"/>
          <w:b/>
          <w:bCs/>
          <w:szCs w:val="24"/>
          <w:u w:val="single"/>
        </w:rPr>
      </w:pPr>
      <w:r>
        <w:rPr>
          <w:rFonts w:eastAsia="Times New Roman"/>
          <w:b/>
          <w:bCs/>
          <w:szCs w:val="24"/>
          <w:u w:val="single"/>
        </w:rPr>
        <w:br w:type="page"/>
      </w:r>
    </w:p>
    <w:p w14:paraId="4A6F2AFA" w14:textId="77777777" w:rsidR="008E0F74" w:rsidRPr="00FC3B7C" w:rsidRDefault="00256F29">
      <w:pPr>
        <w:rPr>
          <w:sz w:val="20"/>
          <w:szCs w:val="20"/>
        </w:rPr>
      </w:pPr>
      <w:r w:rsidRPr="00FC3B7C">
        <w:rPr>
          <w:rFonts w:eastAsia="Times New Roman"/>
          <w:b/>
          <w:bCs/>
          <w:szCs w:val="24"/>
          <w:u w:val="single"/>
        </w:rPr>
        <w:lastRenderedPageBreak/>
        <w:t>Vnější stabilita:</w:t>
      </w:r>
    </w:p>
    <w:p w14:paraId="4A6F2AFB" w14:textId="77777777" w:rsidR="008E0F74" w:rsidRPr="00FC3B7C" w:rsidRDefault="008E0F74">
      <w:pPr>
        <w:spacing w:line="143" w:lineRule="exact"/>
        <w:rPr>
          <w:sz w:val="20"/>
          <w:szCs w:val="20"/>
        </w:rPr>
      </w:pPr>
    </w:p>
    <w:p w14:paraId="4A6F2AFC" w14:textId="77777777" w:rsidR="008E0F74" w:rsidRPr="00712250" w:rsidRDefault="00256F29" w:rsidP="00D46B53">
      <w:pPr>
        <w:numPr>
          <w:ilvl w:val="0"/>
          <w:numId w:val="598"/>
        </w:numPr>
        <w:tabs>
          <w:tab w:val="left" w:pos="858"/>
        </w:tabs>
        <w:ind w:left="720" w:hanging="367"/>
        <w:rPr>
          <w:rFonts w:eastAsia="Times New Roman"/>
          <w:szCs w:val="24"/>
          <w:u w:val="single"/>
        </w:rPr>
      </w:pPr>
      <w:r w:rsidRPr="00712250">
        <w:rPr>
          <w:rFonts w:eastAsia="Times New Roman"/>
          <w:szCs w:val="24"/>
          <w:u w:val="single"/>
        </w:rPr>
        <w:t>Především udržení rovnovážné platební bilance (PB)</w:t>
      </w:r>
    </w:p>
    <w:p w14:paraId="4A6F2AFD" w14:textId="77777777" w:rsidR="008E0F74" w:rsidRPr="00712250" w:rsidRDefault="00256F29" w:rsidP="00D46B53">
      <w:pPr>
        <w:pStyle w:val="Odstavecseseznamem"/>
        <w:numPr>
          <w:ilvl w:val="0"/>
          <w:numId w:val="597"/>
        </w:numPr>
        <w:ind w:left="1418"/>
        <w:rPr>
          <w:rFonts w:eastAsia="Times New Roman"/>
        </w:rPr>
      </w:pPr>
      <w:r w:rsidRPr="00712250">
        <w:rPr>
          <w:rFonts w:eastAsia="Times New Roman"/>
        </w:rPr>
        <w:t>vedou se debaty, že příčinou krize nebylo zrušení zlatého standardu</w:t>
      </w:r>
      <w:r w:rsidR="00712250">
        <w:rPr>
          <w:rFonts w:eastAsia="Times New Roman"/>
        </w:rPr>
        <w:t>,</w:t>
      </w:r>
    </w:p>
    <w:p w14:paraId="4A6F2AFE" w14:textId="77777777" w:rsidR="008E0F74" w:rsidRPr="00712250" w:rsidRDefault="00256F29" w:rsidP="00D46B53">
      <w:pPr>
        <w:pStyle w:val="Odstavecseseznamem"/>
        <w:numPr>
          <w:ilvl w:val="0"/>
          <w:numId w:val="597"/>
        </w:numPr>
        <w:ind w:left="1418"/>
        <w:rPr>
          <w:rFonts w:eastAsia="Times New Roman"/>
        </w:rPr>
      </w:pPr>
      <w:r w:rsidRPr="00712250">
        <w:rPr>
          <w:rFonts w:eastAsia="Times New Roman"/>
        </w:rPr>
        <w:t>dříve bylo předpokladem držení zásob rezerv zlata nebo volně směnitelných měn</w:t>
      </w:r>
      <w:r w:rsidR="00712250">
        <w:rPr>
          <w:rFonts w:eastAsia="Times New Roman"/>
        </w:rPr>
        <w:t>,</w:t>
      </w:r>
    </w:p>
    <w:p w14:paraId="4A6F2AFF" w14:textId="77777777" w:rsidR="008E0F74" w:rsidRPr="00FC3B7C" w:rsidRDefault="008E0F74">
      <w:pPr>
        <w:spacing w:line="5" w:lineRule="exact"/>
        <w:rPr>
          <w:sz w:val="20"/>
          <w:szCs w:val="20"/>
        </w:rPr>
      </w:pPr>
    </w:p>
    <w:p w14:paraId="4A6F2B00" w14:textId="77777777" w:rsidR="008E0F74" w:rsidRPr="00712250" w:rsidRDefault="00256F29" w:rsidP="00D46B53">
      <w:pPr>
        <w:pStyle w:val="Odstavecseseznamem"/>
        <w:numPr>
          <w:ilvl w:val="1"/>
          <w:numId w:val="597"/>
        </w:numPr>
        <w:ind w:left="1701"/>
        <w:rPr>
          <w:rFonts w:eastAsia="Times New Roman"/>
        </w:rPr>
      </w:pPr>
      <w:r w:rsidRPr="00712250">
        <w:rPr>
          <w:rFonts w:eastAsia="Times New Roman"/>
        </w:rPr>
        <w:t>dlouho tuto roli hrál dolar, potom libra, jen a západoněmecká marka</w:t>
      </w:r>
      <w:r w:rsidR="00712250">
        <w:rPr>
          <w:rFonts w:eastAsia="Times New Roman"/>
        </w:rPr>
        <w:t>,</w:t>
      </w:r>
    </w:p>
    <w:p w14:paraId="4A6F2B01" w14:textId="77777777" w:rsidR="008E0F74" w:rsidRPr="00712250" w:rsidRDefault="00256F29" w:rsidP="00D46B53">
      <w:pPr>
        <w:pStyle w:val="Odstavecseseznamem"/>
        <w:numPr>
          <w:ilvl w:val="1"/>
          <w:numId w:val="597"/>
        </w:numPr>
        <w:ind w:left="1701"/>
        <w:rPr>
          <w:rFonts w:eastAsia="Times New Roman"/>
        </w:rPr>
      </w:pPr>
      <w:r w:rsidRPr="00712250">
        <w:rPr>
          <w:rFonts w:eastAsia="Times New Roman"/>
        </w:rPr>
        <w:t>po zavedení unie se rezervními měnami staly umělé měny ecue (předchůdce eura)</w:t>
      </w:r>
      <w:r w:rsidR="00712250">
        <w:rPr>
          <w:rFonts w:eastAsia="Times New Roman"/>
        </w:rPr>
        <w:t>,</w:t>
      </w:r>
    </w:p>
    <w:p w14:paraId="4A6F2B02" w14:textId="77777777" w:rsidR="008E0F74" w:rsidRPr="00FC3B7C" w:rsidRDefault="008E0F74">
      <w:pPr>
        <w:spacing w:line="5" w:lineRule="exact"/>
        <w:rPr>
          <w:rFonts w:eastAsia="Courier New"/>
          <w:szCs w:val="24"/>
        </w:rPr>
      </w:pPr>
    </w:p>
    <w:p w14:paraId="4A6F2B03" w14:textId="77777777" w:rsidR="008E0F74" w:rsidRPr="00712250" w:rsidRDefault="00256F29" w:rsidP="00D46B53">
      <w:pPr>
        <w:pStyle w:val="Odstavecseseznamem"/>
        <w:numPr>
          <w:ilvl w:val="0"/>
          <w:numId w:val="597"/>
        </w:numPr>
        <w:ind w:left="1418"/>
        <w:rPr>
          <w:rFonts w:eastAsia="Times New Roman"/>
        </w:rPr>
      </w:pPr>
      <w:r w:rsidRPr="00712250">
        <w:rPr>
          <w:rFonts w:eastAsia="Times New Roman"/>
        </w:rPr>
        <w:t>rozdíl mezi obchodní bilancí a platební bilancí</w:t>
      </w:r>
      <w:r w:rsidR="00712250">
        <w:rPr>
          <w:rFonts w:eastAsia="Times New Roman"/>
        </w:rPr>
        <w:t>:</w:t>
      </w:r>
    </w:p>
    <w:p w14:paraId="4A6F2B04" w14:textId="77777777" w:rsidR="008E0F74" w:rsidRPr="00FC3B7C" w:rsidRDefault="008E0F74">
      <w:pPr>
        <w:spacing w:line="119" w:lineRule="exact"/>
        <w:rPr>
          <w:rFonts w:eastAsia="Calibri"/>
          <w:szCs w:val="24"/>
        </w:rPr>
      </w:pPr>
    </w:p>
    <w:p w14:paraId="4A6F2B05" w14:textId="77777777" w:rsidR="008E0F74" w:rsidRPr="00712250" w:rsidRDefault="00256F29" w:rsidP="00D46B53">
      <w:pPr>
        <w:pStyle w:val="Odstavecseseznamem"/>
        <w:numPr>
          <w:ilvl w:val="1"/>
          <w:numId w:val="597"/>
        </w:numPr>
        <w:ind w:left="1701"/>
        <w:rPr>
          <w:rFonts w:eastAsia="Times New Roman"/>
        </w:rPr>
      </w:pPr>
      <w:r w:rsidRPr="00712250">
        <w:rPr>
          <w:rFonts w:eastAsia="Times New Roman"/>
        </w:rPr>
        <w:t>obchodní bilance – rozdíl ve vývozech a dovozech zboží</w:t>
      </w:r>
      <w:r w:rsidR="00712250">
        <w:rPr>
          <w:rFonts w:eastAsia="Times New Roman"/>
        </w:rPr>
        <w:t>,</w:t>
      </w:r>
    </w:p>
    <w:p w14:paraId="4A6F2B06" w14:textId="77777777" w:rsidR="008E0F74" w:rsidRPr="00712250" w:rsidRDefault="00256F29" w:rsidP="00D46B53">
      <w:pPr>
        <w:pStyle w:val="Odstavecseseznamem"/>
        <w:numPr>
          <w:ilvl w:val="1"/>
          <w:numId w:val="597"/>
        </w:numPr>
        <w:ind w:left="1701"/>
        <w:rPr>
          <w:rFonts w:eastAsia="Times New Roman"/>
        </w:rPr>
      </w:pPr>
      <w:r w:rsidRPr="00712250">
        <w:rPr>
          <w:rFonts w:eastAsia="Times New Roman"/>
        </w:rPr>
        <w:t>bilance služeb – rozdíl ve vývozech a dovozech služeb</w:t>
      </w:r>
      <w:r w:rsidR="00712250">
        <w:rPr>
          <w:rFonts w:eastAsia="Times New Roman"/>
        </w:rPr>
        <w:t>,</w:t>
      </w:r>
    </w:p>
    <w:p w14:paraId="4A6F2B07" w14:textId="77777777" w:rsidR="008E0F74" w:rsidRPr="00712250" w:rsidRDefault="00256F29" w:rsidP="00D46B53">
      <w:pPr>
        <w:pStyle w:val="Odstavecseseznamem"/>
        <w:numPr>
          <w:ilvl w:val="1"/>
          <w:numId w:val="597"/>
        </w:numPr>
        <w:ind w:left="1701"/>
        <w:rPr>
          <w:rFonts w:eastAsia="Times New Roman"/>
        </w:rPr>
      </w:pPr>
      <w:r w:rsidRPr="00712250">
        <w:rPr>
          <w:rFonts w:eastAsia="Times New Roman"/>
        </w:rPr>
        <w:t>obchodní bilance a bilance služeb dává dohromady</w:t>
      </w:r>
      <w:r w:rsidR="00712250">
        <w:rPr>
          <w:rFonts w:eastAsia="Times New Roman"/>
        </w:rPr>
        <w:t>,</w:t>
      </w:r>
    </w:p>
    <w:p w14:paraId="4A6F2B08" w14:textId="77777777" w:rsidR="008E0F74" w:rsidRPr="00FC3B7C" w:rsidRDefault="008E0F74">
      <w:pPr>
        <w:spacing w:line="116" w:lineRule="exact"/>
        <w:rPr>
          <w:rFonts w:eastAsia="Courier New"/>
          <w:szCs w:val="24"/>
        </w:rPr>
      </w:pPr>
    </w:p>
    <w:p w14:paraId="4A6F2B09" w14:textId="77777777" w:rsidR="008E0F74" w:rsidRPr="00712250" w:rsidRDefault="00256F29" w:rsidP="00D46B53">
      <w:pPr>
        <w:pStyle w:val="Odstavecseseznamem"/>
        <w:numPr>
          <w:ilvl w:val="0"/>
          <w:numId w:val="597"/>
        </w:numPr>
        <w:ind w:left="1418"/>
        <w:rPr>
          <w:rFonts w:eastAsia="Times New Roman"/>
        </w:rPr>
      </w:pPr>
      <w:r w:rsidRPr="00712250">
        <w:rPr>
          <w:rFonts w:eastAsia="Times New Roman"/>
        </w:rPr>
        <w:t>platební bilance - je širší pojem, zahrnující více než pouze hod</w:t>
      </w:r>
      <w:r w:rsidR="00712250">
        <w:rPr>
          <w:rFonts w:eastAsia="Times New Roman"/>
        </w:rPr>
        <w:t>not</w:t>
      </w:r>
      <w:r w:rsidRPr="00712250">
        <w:rPr>
          <w:rFonts w:eastAsia="Times New Roman"/>
        </w:rPr>
        <w:t>ové porovnávání vývozu a dovozu zboží a služeb.</w:t>
      </w:r>
    </w:p>
    <w:p w14:paraId="4A6F2B0A" w14:textId="77777777" w:rsidR="008E0F74" w:rsidRPr="00FC3B7C" w:rsidRDefault="008E0F74">
      <w:pPr>
        <w:sectPr w:rsidR="008E0F74" w:rsidRPr="00FC3B7C">
          <w:pgSz w:w="11900" w:h="16840"/>
          <w:pgMar w:top="1325" w:right="1440" w:bottom="625" w:left="1420" w:header="0" w:footer="0" w:gutter="0"/>
          <w:cols w:space="708" w:equalWidth="0">
            <w:col w:w="9040"/>
          </w:cols>
        </w:sectPr>
      </w:pPr>
    </w:p>
    <w:p w14:paraId="4A6F2B0B" w14:textId="77777777" w:rsidR="008E0F74" w:rsidRPr="00FC3B7C" w:rsidRDefault="008E0F74">
      <w:pPr>
        <w:spacing w:line="200" w:lineRule="exact"/>
        <w:rPr>
          <w:sz w:val="20"/>
          <w:szCs w:val="20"/>
        </w:rPr>
      </w:pPr>
    </w:p>
    <w:p w14:paraId="4A6F2B0C" w14:textId="77777777" w:rsidR="008E0F74" w:rsidRPr="00FC3B7C" w:rsidRDefault="008E0F74">
      <w:pPr>
        <w:spacing w:line="200" w:lineRule="exact"/>
        <w:rPr>
          <w:sz w:val="20"/>
          <w:szCs w:val="20"/>
        </w:rPr>
      </w:pPr>
    </w:p>
    <w:p w14:paraId="4A6F2B0D" w14:textId="77777777" w:rsidR="008E0F74" w:rsidRPr="00FC3B7C" w:rsidRDefault="008E0F74">
      <w:pPr>
        <w:spacing w:line="200" w:lineRule="exact"/>
        <w:rPr>
          <w:sz w:val="20"/>
          <w:szCs w:val="20"/>
        </w:rPr>
      </w:pPr>
    </w:p>
    <w:p w14:paraId="4A6F2B0E" w14:textId="77777777" w:rsidR="008E0F74" w:rsidRPr="00FC3B7C" w:rsidRDefault="008E0F74">
      <w:pPr>
        <w:spacing w:line="200" w:lineRule="exact"/>
        <w:rPr>
          <w:sz w:val="20"/>
          <w:szCs w:val="20"/>
        </w:rPr>
      </w:pPr>
    </w:p>
    <w:p w14:paraId="4A6F2B0F" w14:textId="77777777" w:rsidR="008E0F74" w:rsidRPr="00FC3B7C" w:rsidRDefault="008E0F74">
      <w:pPr>
        <w:spacing w:line="200" w:lineRule="exact"/>
        <w:rPr>
          <w:sz w:val="20"/>
          <w:szCs w:val="20"/>
        </w:rPr>
      </w:pPr>
    </w:p>
    <w:p w14:paraId="4A6F2B10" w14:textId="77777777" w:rsidR="008E0F74" w:rsidRPr="00FC3B7C" w:rsidRDefault="008E0F74">
      <w:pPr>
        <w:spacing w:line="200" w:lineRule="exact"/>
        <w:rPr>
          <w:sz w:val="20"/>
          <w:szCs w:val="20"/>
        </w:rPr>
      </w:pPr>
    </w:p>
    <w:p w14:paraId="4A6F2B11" w14:textId="77777777" w:rsidR="008E0F74" w:rsidRPr="00FC3B7C" w:rsidRDefault="008E0F74">
      <w:pPr>
        <w:spacing w:line="200" w:lineRule="exact"/>
        <w:rPr>
          <w:sz w:val="20"/>
          <w:szCs w:val="20"/>
        </w:rPr>
      </w:pPr>
    </w:p>
    <w:p w14:paraId="4A6F2B12" w14:textId="77777777" w:rsidR="008E0F74" w:rsidRPr="00FC3B7C" w:rsidRDefault="008E0F74">
      <w:pPr>
        <w:spacing w:line="200" w:lineRule="exact"/>
        <w:rPr>
          <w:sz w:val="20"/>
          <w:szCs w:val="20"/>
        </w:rPr>
      </w:pPr>
    </w:p>
    <w:p w14:paraId="4A6F2B13" w14:textId="77777777" w:rsidR="008E0F74" w:rsidRPr="00FC3B7C" w:rsidRDefault="008E0F74">
      <w:pPr>
        <w:spacing w:line="200" w:lineRule="exact"/>
        <w:rPr>
          <w:sz w:val="20"/>
          <w:szCs w:val="20"/>
        </w:rPr>
      </w:pPr>
    </w:p>
    <w:p w14:paraId="4A6F2B14" w14:textId="77777777" w:rsidR="008E0F74" w:rsidRPr="00FC3B7C" w:rsidRDefault="008E0F74">
      <w:pPr>
        <w:spacing w:line="200" w:lineRule="exact"/>
        <w:rPr>
          <w:sz w:val="20"/>
          <w:szCs w:val="20"/>
        </w:rPr>
      </w:pPr>
    </w:p>
    <w:p w14:paraId="4A6F2B15" w14:textId="77777777" w:rsidR="008E0F74" w:rsidRPr="00FC3B7C" w:rsidRDefault="008E0F74">
      <w:pPr>
        <w:spacing w:line="200" w:lineRule="exact"/>
        <w:rPr>
          <w:sz w:val="20"/>
          <w:szCs w:val="20"/>
        </w:rPr>
      </w:pPr>
    </w:p>
    <w:p w14:paraId="4A6F2B16" w14:textId="77777777" w:rsidR="008E0F74" w:rsidRPr="00FC3B7C" w:rsidRDefault="008E0F74">
      <w:pPr>
        <w:spacing w:line="200" w:lineRule="exact"/>
        <w:rPr>
          <w:sz w:val="20"/>
          <w:szCs w:val="20"/>
        </w:rPr>
      </w:pPr>
    </w:p>
    <w:p w14:paraId="4A6F2B17" w14:textId="77777777" w:rsidR="008E0F74" w:rsidRPr="00FC3B7C" w:rsidRDefault="008E0F74">
      <w:pPr>
        <w:spacing w:line="200" w:lineRule="exact"/>
        <w:rPr>
          <w:sz w:val="20"/>
          <w:szCs w:val="20"/>
        </w:rPr>
      </w:pPr>
    </w:p>
    <w:p w14:paraId="4A6F2B18" w14:textId="77777777" w:rsidR="008E0F74" w:rsidRPr="00FC3B7C" w:rsidRDefault="008E0F74">
      <w:pPr>
        <w:spacing w:line="200" w:lineRule="exact"/>
        <w:rPr>
          <w:sz w:val="20"/>
          <w:szCs w:val="20"/>
        </w:rPr>
      </w:pPr>
    </w:p>
    <w:p w14:paraId="4A6F2B19" w14:textId="77777777" w:rsidR="008E0F74" w:rsidRPr="00FC3B7C" w:rsidRDefault="008E0F74">
      <w:pPr>
        <w:spacing w:line="200" w:lineRule="exact"/>
        <w:rPr>
          <w:sz w:val="20"/>
          <w:szCs w:val="20"/>
        </w:rPr>
      </w:pPr>
    </w:p>
    <w:p w14:paraId="4A6F2B1A" w14:textId="77777777" w:rsidR="008E0F74" w:rsidRPr="00FC3B7C" w:rsidRDefault="008E0F74">
      <w:pPr>
        <w:spacing w:line="200" w:lineRule="exact"/>
        <w:rPr>
          <w:sz w:val="20"/>
          <w:szCs w:val="20"/>
        </w:rPr>
      </w:pPr>
    </w:p>
    <w:p w14:paraId="4A6F2B1B" w14:textId="77777777" w:rsidR="008E0F74" w:rsidRPr="00FC3B7C" w:rsidRDefault="008E0F74">
      <w:pPr>
        <w:spacing w:line="200" w:lineRule="exact"/>
        <w:rPr>
          <w:sz w:val="20"/>
          <w:szCs w:val="20"/>
        </w:rPr>
      </w:pPr>
    </w:p>
    <w:p w14:paraId="4A6F2B1C" w14:textId="77777777" w:rsidR="008E0F74" w:rsidRPr="00FC3B7C" w:rsidRDefault="008E0F74">
      <w:pPr>
        <w:spacing w:line="200" w:lineRule="exact"/>
        <w:rPr>
          <w:sz w:val="20"/>
          <w:szCs w:val="20"/>
        </w:rPr>
      </w:pPr>
    </w:p>
    <w:p w14:paraId="4A6F2B1D" w14:textId="77777777" w:rsidR="008E0F74" w:rsidRPr="00FC3B7C" w:rsidRDefault="008E0F74">
      <w:pPr>
        <w:spacing w:line="200" w:lineRule="exact"/>
        <w:rPr>
          <w:sz w:val="20"/>
          <w:szCs w:val="20"/>
        </w:rPr>
      </w:pPr>
    </w:p>
    <w:p w14:paraId="4A6F2B1E" w14:textId="77777777" w:rsidR="008E0F74" w:rsidRPr="00FC3B7C" w:rsidRDefault="008E0F74">
      <w:pPr>
        <w:spacing w:line="200" w:lineRule="exact"/>
        <w:rPr>
          <w:sz w:val="20"/>
          <w:szCs w:val="20"/>
        </w:rPr>
      </w:pPr>
    </w:p>
    <w:p w14:paraId="4A6F2B1F" w14:textId="77777777" w:rsidR="008E0F74" w:rsidRPr="00FC3B7C" w:rsidRDefault="008E0F74">
      <w:pPr>
        <w:spacing w:line="200" w:lineRule="exact"/>
        <w:rPr>
          <w:sz w:val="20"/>
          <w:szCs w:val="20"/>
        </w:rPr>
      </w:pPr>
    </w:p>
    <w:p w14:paraId="4A6F2B20" w14:textId="77777777" w:rsidR="008E0F74" w:rsidRPr="00FC3B7C" w:rsidRDefault="008E0F74">
      <w:pPr>
        <w:spacing w:line="200" w:lineRule="exact"/>
        <w:rPr>
          <w:sz w:val="20"/>
          <w:szCs w:val="20"/>
        </w:rPr>
      </w:pPr>
    </w:p>
    <w:p w14:paraId="4A6F2B21" w14:textId="77777777" w:rsidR="008E0F74" w:rsidRPr="00FC3B7C" w:rsidRDefault="008E0F74">
      <w:pPr>
        <w:spacing w:line="200" w:lineRule="exact"/>
        <w:rPr>
          <w:sz w:val="20"/>
          <w:szCs w:val="20"/>
        </w:rPr>
      </w:pPr>
    </w:p>
    <w:p w14:paraId="4A6F2B22" w14:textId="77777777" w:rsidR="008E0F74" w:rsidRPr="00FC3B7C" w:rsidRDefault="008E0F74">
      <w:pPr>
        <w:spacing w:line="200" w:lineRule="exact"/>
        <w:rPr>
          <w:sz w:val="20"/>
          <w:szCs w:val="20"/>
        </w:rPr>
      </w:pPr>
    </w:p>
    <w:p w14:paraId="4A6F2B23" w14:textId="77777777" w:rsidR="008E0F74" w:rsidRPr="00FC3B7C" w:rsidRDefault="008E0F74">
      <w:pPr>
        <w:spacing w:line="274" w:lineRule="exact"/>
        <w:rPr>
          <w:sz w:val="20"/>
          <w:szCs w:val="20"/>
        </w:rPr>
      </w:pPr>
    </w:p>
    <w:p w14:paraId="4A6F2B24" w14:textId="77777777" w:rsidR="008E0F74" w:rsidRPr="00FC3B7C" w:rsidRDefault="008E0F74">
      <w:pPr>
        <w:ind w:left="8580"/>
        <w:rPr>
          <w:sz w:val="20"/>
          <w:szCs w:val="20"/>
        </w:rPr>
      </w:pPr>
    </w:p>
    <w:p w14:paraId="4A6F2B25" w14:textId="77777777" w:rsidR="008E0F74" w:rsidRPr="00FC3B7C" w:rsidRDefault="008E0F74">
      <w:pPr>
        <w:sectPr w:rsidR="008E0F74" w:rsidRPr="00FC3B7C">
          <w:type w:val="continuous"/>
          <w:pgSz w:w="11900" w:h="16840"/>
          <w:pgMar w:top="1325" w:right="1440" w:bottom="625" w:left="1420" w:header="0" w:footer="0" w:gutter="0"/>
          <w:cols w:space="708" w:equalWidth="0">
            <w:col w:w="9040"/>
          </w:cols>
        </w:sectPr>
      </w:pPr>
    </w:p>
    <w:p w14:paraId="4A6F2B26" w14:textId="2CD99C1C" w:rsidR="008E0F74" w:rsidRPr="00FC3B7C" w:rsidRDefault="00CE28AF">
      <w:pPr>
        <w:rPr>
          <w:sz w:val="20"/>
          <w:szCs w:val="20"/>
        </w:rPr>
      </w:pPr>
      <w:bookmarkStart w:id="29" w:name="page27"/>
      <w:bookmarkEnd w:id="29"/>
      <w:r>
        <w:rPr>
          <w:rFonts w:eastAsia="Times New Roman"/>
          <w:b/>
          <w:bCs/>
          <w:szCs w:val="24"/>
        </w:rPr>
        <w:lastRenderedPageBreak/>
        <w:t>Pyramida cílů</w:t>
      </w:r>
      <w:r w:rsidR="00256F29" w:rsidRPr="00FC3B7C">
        <w:rPr>
          <w:rFonts w:eastAsia="Times New Roman"/>
          <w:b/>
          <w:bCs/>
          <w:szCs w:val="24"/>
        </w:rPr>
        <w:t xml:space="preserve"> </w:t>
      </w:r>
      <w:r w:rsidRPr="00FC3B7C">
        <w:rPr>
          <w:rFonts w:eastAsia="Times New Roman"/>
          <w:b/>
          <w:bCs/>
          <w:szCs w:val="24"/>
        </w:rPr>
        <w:t>hospodářské politiky</w:t>
      </w:r>
    </w:p>
    <w:p w14:paraId="4A6F2B27" w14:textId="77777777" w:rsidR="008E0F74" w:rsidRPr="00FC3B7C" w:rsidRDefault="00256F29">
      <w:pPr>
        <w:spacing w:line="20" w:lineRule="exact"/>
        <w:rPr>
          <w:sz w:val="20"/>
          <w:szCs w:val="20"/>
        </w:rPr>
      </w:pPr>
      <w:r w:rsidRPr="00FC3B7C">
        <w:rPr>
          <w:noProof/>
          <w:sz w:val="20"/>
          <w:szCs w:val="20"/>
        </w:rPr>
        <w:drawing>
          <wp:anchor distT="0" distB="0" distL="114300" distR="114300" simplePos="0" relativeHeight="251514368" behindDoc="1" locked="0" layoutInCell="0" allowOverlap="1" wp14:anchorId="4A6F5C38" wp14:editId="4B4FDF08">
            <wp:simplePos x="0" y="0"/>
            <wp:positionH relativeFrom="column">
              <wp:posOffset>1270</wp:posOffset>
            </wp:positionH>
            <wp:positionV relativeFrom="paragraph">
              <wp:posOffset>102870</wp:posOffset>
            </wp:positionV>
            <wp:extent cx="5468620" cy="687324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5468620" cy="6873240"/>
                    </a:xfrm>
                    <a:prstGeom prst="rect">
                      <a:avLst/>
                    </a:prstGeom>
                    <a:noFill/>
                  </pic:spPr>
                </pic:pic>
              </a:graphicData>
            </a:graphic>
          </wp:anchor>
        </w:drawing>
      </w:r>
    </w:p>
    <w:p w14:paraId="4A6F2B28" w14:textId="77777777" w:rsidR="008E0F74" w:rsidRPr="00FC3B7C" w:rsidRDefault="008E0F74">
      <w:pPr>
        <w:spacing w:line="200" w:lineRule="exact"/>
        <w:rPr>
          <w:sz w:val="20"/>
          <w:szCs w:val="20"/>
        </w:rPr>
      </w:pPr>
    </w:p>
    <w:p w14:paraId="4A6F2B29" w14:textId="77777777" w:rsidR="008E0F74" w:rsidRPr="00FC3B7C" w:rsidRDefault="008E0F74">
      <w:pPr>
        <w:spacing w:line="200" w:lineRule="exact"/>
        <w:rPr>
          <w:sz w:val="20"/>
          <w:szCs w:val="20"/>
        </w:rPr>
      </w:pPr>
    </w:p>
    <w:p w14:paraId="4A6F2B2A" w14:textId="77777777" w:rsidR="008E0F74" w:rsidRPr="00FC3B7C" w:rsidRDefault="008E0F74">
      <w:pPr>
        <w:spacing w:line="200" w:lineRule="exact"/>
        <w:rPr>
          <w:sz w:val="20"/>
          <w:szCs w:val="20"/>
        </w:rPr>
      </w:pPr>
    </w:p>
    <w:p w14:paraId="4A6F2B2B" w14:textId="77777777" w:rsidR="008E0F74" w:rsidRPr="00FC3B7C" w:rsidRDefault="008E0F74">
      <w:pPr>
        <w:spacing w:line="200" w:lineRule="exact"/>
        <w:rPr>
          <w:sz w:val="20"/>
          <w:szCs w:val="20"/>
        </w:rPr>
      </w:pPr>
    </w:p>
    <w:p w14:paraId="4A6F2B2C" w14:textId="77777777" w:rsidR="008E0F74" w:rsidRPr="00FC3B7C" w:rsidRDefault="008E0F74">
      <w:pPr>
        <w:spacing w:line="200" w:lineRule="exact"/>
        <w:rPr>
          <w:sz w:val="20"/>
          <w:szCs w:val="20"/>
        </w:rPr>
      </w:pPr>
    </w:p>
    <w:p w14:paraId="4A6F2B2D" w14:textId="77777777" w:rsidR="008E0F74" w:rsidRPr="00FC3B7C" w:rsidRDefault="008E0F74">
      <w:pPr>
        <w:spacing w:line="200" w:lineRule="exact"/>
        <w:rPr>
          <w:sz w:val="20"/>
          <w:szCs w:val="20"/>
        </w:rPr>
      </w:pPr>
    </w:p>
    <w:p w14:paraId="4A6F2B2E" w14:textId="77777777" w:rsidR="008E0F74" w:rsidRPr="00FC3B7C" w:rsidRDefault="008E0F74">
      <w:pPr>
        <w:spacing w:line="200" w:lineRule="exact"/>
        <w:rPr>
          <w:sz w:val="20"/>
          <w:szCs w:val="20"/>
        </w:rPr>
      </w:pPr>
    </w:p>
    <w:p w14:paraId="4A6F2B2F" w14:textId="77777777" w:rsidR="008E0F74" w:rsidRPr="00FC3B7C" w:rsidRDefault="008E0F74">
      <w:pPr>
        <w:spacing w:line="200" w:lineRule="exact"/>
        <w:rPr>
          <w:sz w:val="20"/>
          <w:szCs w:val="20"/>
        </w:rPr>
      </w:pPr>
    </w:p>
    <w:p w14:paraId="4A6F2B30" w14:textId="77777777" w:rsidR="008E0F74" w:rsidRPr="00FC3B7C" w:rsidRDefault="008E0F74">
      <w:pPr>
        <w:spacing w:line="200" w:lineRule="exact"/>
        <w:rPr>
          <w:sz w:val="20"/>
          <w:szCs w:val="20"/>
        </w:rPr>
      </w:pPr>
    </w:p>
    <w:p w14:paraId="4A6F2B31" w14:textId="77777777" w:rsidR="008E0F74" w:rsidRPr="00FC3B7C" w:rsidRDefault="008E0F74">
      <w:pPr>
        <w:spacing w:line="200" w:lineRule="exact"/>
        <w:rPr>
          <w:sz w:val="20"/>
          <w:szCs w:val="20"/>
        </w:rPr>
      </w:pPr>
    </w:p>
    <w:p w14:paraId="4A6F2B32" w14:textId="77777777" w:rsidR="008E0F74" w:rsidRPr="00FC3B7C" w:rsidRDefault="008E0F74">
      <w:pPr>
        <w:spacing w:line="200" w:lineRule="exact"/>
        <w:rPr>
          <w:sz w:val="20"/>
          <w:szCs w:val="20"/>
        </w:rPr>
      </w:pPr>
    </w:p>
    <w:p w14:paraId="4A6F2B33" w14:textId="77777777" w:rsidR="008E0F74" w:rsidRPr="00FC3B7C" w:rsidRDefault="008E0F74">
      <w:pPr>
        <w:spacing w:line="200" w:lineRule="exact"/>
        <w:rPr>
          <w:sz w:val="20"/>
          <w:szCs w:val="20"/>
        </w:rPr>
      </w:pPr>
    </w:p>
    <w:p w14:paraId="4A6F2B34" w14:textId="77777777" w:rsidR="008E0F74" w:rsidRPr="00FC3B7C" w:rsidRDefault="008E0F74">
      <w:pPr>
        <w:spacing w:line="200" w:lineRule="exact"/>
        <w:rPr>
          <w:sz w:val="20"/>
          <w:szCs w:val="20"/>
        </w:rPr>
      </w:pPr>
    </w:p>
    <w:p w14:paraId="4A6F2B35" w14:textId="77777777" w:rsidR="008E0F74" w:rsidRPr="00FC3B7C" w:rsidRDefault="008E0F74">
      <w:pPr>
        <w:spacing w:line="200" w:lineRule="exact"/>
        <w:rPr>
          <w:sz w:val="20"/>
          <w:szCs w:val="20"/>
        </w:rPr>
      </w:pPr>
    </w:p>
    <w:p w14:paraId="4A6F2B36" w14:textId="77777777" w:rsidR="008E0F74" w:rsidRPr="00FC3B7C" w:rsidRDefault="008E0F74">
      <w:pPr>
        <w:spacing w:line="200" w:lineRule="exact"/>
        <w:rPr>
          <w:sz w:val="20"/>
          <w:szCs w:val="20"/>
        </w:rPr>
      </w:pPr>
    </w:p>
    <w:p w14:paraId="4A6F2B37" w14:textId="77777777" w:rsidR="008E0F74" w:rsidRPr="00FC3B7C" w:rsidRDefault="008E0F74">
      <w:pPr>
        <w:spacing w:line="200" w:lineRule="exact"/>
        <w:rPr>
          <w:sz w:val="20"/>
          <w:szCs w:val="20"/>
        </w:rPr>
      </w:pPr>
    </w:p>
    <w:p w14:paraId="4A6F2B38" w14:textId="77777777" w:rsidR="008E0F74" w:rsidRPr="00FC3B7C" w:rsidRDefault="008E0F74">
      <w:pPr>
        <w:spacing w:line="200" w:lineRule="exact"/>
        <w:rPr>
          <w:sz w:val="20"/>
          <w:szCs w:val="20"/>
        </w:rPr>
      </w:pPr>
    </w:p>
    <w:p w14:paraId="4A6F2B39" w14:textId="77777777" w:rsidR="008E0F74" w:rsidRPr="00FC3B7C" w:rsidRDefault="008E0F74">
      <w:pPr>
        <w:spacing w:line="200" w:lineRule="exact"/>
        <w:rPr>
          <w:sz w:val="20"/>
          <w:szCs w:val="20"/>
        </w:rPr>
      </w:pPr>
    </w:p>
    <w:p w14:paraId="4A6F2B3A" w14:textId="77777777" w:rsidR="008E0F74" w:rsidRPr="00FC3B7C" w:rsidRDefault="008E0F74">
      <w:pPr>
        <w:spacing w:line="200" w:lineRule="exact"/>
        <w:rPr>
          <w:sz w:val="20"/>
          <w:szCs w:val="20"/>
        </w:rPr>
      </w:pPr>
    </w:p>
    <w:p w14:paraId="4A6F2B3B" w14:textId="77777777" w:rsidR="008E0F74" w:rsidRPr="00FC3B7C" w:rsidRDefault="008E0F74">
      <w:pPr>
        <w:spacing w:line="200" w:lineRule="exact"/>
        <w:rPr>
          <w:sz w:val="20"/>
          <w:szCs w:val="20"/>
        </w:rPr>
      </w:pPr>
    </w:p>
    <w:p w14:paraId="4A6F2B3C" w14:textId="77777777" w:rsidR="008E0F74" w:rsidRPr="00FC3B7C" w:rsidRDefault="008E0F74">
      <w:pPr>
        <w:spacing w:line="200" w:lineRule="exact"/>
        <w:rPr>
          <w:sz w:val="20"/>
          <w:szCs w:val="20"/>
        </w:rPr>
      </w:pPr>
    </w:p>
    <w:p w14:paraId="4A6F2B3D" w14:textId="77777777" w:rsidR="008E0F74" w:rsidRPr="00FC3B7C" w:rsidRDefault="008E0F74">
      <w:pPr>
        <w:spacing w:line="200" w:lineRule="exact"/>
        <w:rPr>
          <w:sz w:val="20"/>
          <w:szCs w:val="20"/>
        </w:rPr>
      </w:pPr>
    </w:p>
    <w:p w14:paraId="4A6F2B3E" w14:textId="77777777" w:rsidR="008E0F74" w:rsidRPr="00FC3B7C" w:rsidRDefault="008E0F74">
      <w:pPr>
        <w:spacing w:line="200" w:lineRule="exact"/>
        <w:rPr>
          <w:sz w:val="20"/>
          <w:szCs w:val="20"/>
        </w:rPr>
      </w:pPr>
    </w:p>
    <w:p w14:paraId="4A6F2B3F" w14:textId="77777777" w:rsidR="008E0F74" w:rsidRPr="00FC3B7C" w:rsidRDefault="008E0F74">
      <w:pPr>
        <w:spacing w:line="200" w:lineRule="exact"/>
        <w:rPr>
          <w:sz w:val="20"/>
          <w:szCs w:val="20"/>
        </w:rPr>
      </w:pPr>
    </w:p>
    <w:p w14:paraId="4A6F2B40" w14:textId="77777777" w:rsidR="008E0F74" w:rsidRPr="00FC3B7C" w:rsidRDefault="008E0F74">
      <w:pPr>
        <w:spacing w:line="200" w:lineRule="exact"/>
        <w:rPr>
          <w:sz w:val="20"/>
          <w:szCs w:val="20"/>
        </w:rPr>
      </w:pPr>
    </w:p>
    <w:p w14:paraId="4A6F2B41" w14:textId="77777777" w:rsidR="008E0F74" w:rsidRPr="00FC3B7C" w:rsidRDefault="008E0F74">
      <w:pPr>
        <w:spacing w:line="200" w:lineRule="exact"/>
        <w:rPr>
          <w:sz w:val="20"/>
          <w:szCs w:val="20"/>
        </w:rPr>
      </w:pPr>
    </w:p>
    <w:p w14:paraId="4A6F2B42" w14:textId="77777777" w:rsidR="008E0F74" w:rsidRPr="00FC3B7C" w:rsidRDefault="008E0F74">
      <w:pPr>
        <w:spacing w:line="200" w:lineRule="exact"/>
        <w:rPr>
          <w:sz w:val="20"/>
          <w:szCs w:val="20"/>
        </w:rPr>
      </w:pPr>
    </w:p>
    <w:p w14:paraId="4A6F2B43" w14:textId="77777777" w:rsidR="008E0F74" w:rsidRPr="00FC3B7C" w:rsidRDefault="008E0F74">
      <w:pPr>
        <w:spacing w:line="200" w:lineRule="exact"/>
        <w:rPr>
          <w:sz w:val="20"/>
          <w:szCs w:val="20"/>
        </w:rPr>
      </w:pPr>
    </w:p>
    <w:p w14:paraId="4A6F2B44" w14:textId="77777777" w:rsidR="008E0F74" w:rsidRPr="00FC3B7C" w:rsidRDefault="008E0F74">
      <w:pPr>
        <w:spacing w:line="200" w:lineRule="exact"/>
        <w:rPr>
          <w:sz w:val="20"/>
          <w:szCs w:val="20"/>
        </w:rPr>
      </w:pPr>
    </w:p>
    <w:p w14:paraId="4A6F2B45" w14:textId="77777777" w:rsidR="008E0F74" w:rsidRPr="00FC3B7C" w:rsidRDefault="008E0F74">
      <w:pPr>
        <w:spacing w:line="200" w:lineRule="exact"/>
        <w:rPr>
          <w:sz w:val="20"/>
          <w:szCs w:val="20"/>
        </w:rPr>
      </w:pPr>
    </w:p>
    <w:p w14:paraId="4A6F2B46" w14:textId="77777777" w:rsidR="008E0F74" w:rsidRPr="00FC3B7C" w:rsidRDefault="008E0F74">
      <w:pPr>
        <w:spacing w:line="200" w:lineRule="exact"/>
        <w:rPr>
          <w:sz w:val="20"/>
          <w:szCs w:val="20"/>
        </w:rPr>
      </w:pPr>
    </w:p>
    <w:p w14:paraId="4A6F2B47" w14:textId="77777777" w:rsidR="008E0F74" w:rsidRPr="00FC3B7C" w:rsidRDefault="008E0F74">
      <w:pPr>
        <w:spacing w:line="200" w:lineRule="exact"/>
        <w:rPr>
          <w:sz w:val="20"/>
          <w:szCs w:val="20"/>
        </w:rPr>
      </w:pPr>
    </w:p>
    <w:p w14:paraId="4A6F2B48" w14:textId="77777777" w:rsidR="008E0F74" w:rsidRPr="00FC3B7C" w:rsidRDefault="008E0F74">
      <w:pPr>
        <w:spacing w:line="200" w:lineRule="exact"/>
        <w:rPr>
          <w:sz w:val="20"/>
          <w:szCs w:val="20"/>
        </w:rPr>
      </w:pPr>
    </w:p>
    <w:p w14:paraId="4A6F2B49" w14:textId="77777777" w:rsidR="008E0F74" w:rsidRPr="00FC3B7C" w:rsidRDefault="008E0F74">
      <w:pPr>
        <w:spacing w:line="200" w:lineRule="exact"/>
        <w:rPr>
          <w:sz w:val="20"/>
          <w:szCs w:val="20"/>
        </w:rPr>
      </w:pPr>
    </w:p>
    <w:p w14:paraId="4A6F2B4A" w14:textId="77777777" w:rsidR="008E0F74" w:rsidRPr="00FC3B7C" w:rsidRDefault="008E0F74">
      <w:pPr>
        <w:spacing w:line="200" w:lineRule="exact"/>
        <w:rPr>
          <w:sz w:val="20"/>
          <w:szCs w:val="20"/>
        </w:rPr>
      </w:pPr>
    </w:p>
    <w:p w14:paraId="4A6F2B4B" w14:textId="77777777" w:rsidR="008E0F74" w:rsidRPr="00FC3B7C" w:rsidRDefault="008E0F74">
      <w:pPr>
        <w:spacing w:line="200" w:lineRule="exact"/>
        <w:rPr>
          <w:sz w:val="20"/>
          <w:szCs w:val="20"/>
        </w:rPr>
      </w:pPr>
    </w:p>
    <w:p w14:paraId="4A6F2B4C" w14:textId="77777777" w:rsidR="008E0F74" w:rsidRPr="00FC3B7C" w:rsidRDefault="008E0F74">
      <w:pPr>
        <w:spacing w:line="200" w:lineRule="exact"/>
        <w:rPr>
          <w:sz w:val="20"/>
          <w:szCs w:val="20"/>
        </w:rPr>
      </w:pPr>
    </w:p>
    <w:p w14:paraId="4A6F2B4D" w14:textId="77777777" w:rsidR="008E0F74" w:rsidRPr="00FC3B7C" w:rsidRDefault="008E0F74">
      <w:pPr>
        <w:spacing w:line="200" w:lineRule="exact"/>
        <w:rPr>
          <w:sz w:val="20"/>
          <w:szCs w:val="20"/>
        </w:rPr>
      </w:pPr>
    </w:p>
    <w:p w14:paraId="4A6F2B4E" w14:textId="77777777" w:rsidR="008E0F74" w:rsidRPr="00FC3B7C" w:rsidRDefault="008E0F74">
      <w:pPr>
        <w:spacing w:line="200" w:lineRule="exact"/>
        <w:rPr>
          <w:sz w:val="20"/>
          <w:szCs w:val="20"/>
        </w:rPr>
      </w:pPr>
    </w:p>
    <w:p w14:paraId="4A6F2B4F" w14:textId="77777777" w:rsidR="008E0F74" w:rsidRPr="00FC3B7C" w:rsidRDefault="008E0F74">
      <w:pPr>
        <w:spacing w:line="200" w:lineRule="exact"/>
        <w:rPr>
          <w:sz w:val="20"/>
          <w:szCs w:val="20"/>
        </w:rPr>
      </w:pPr>
    </w:p>
    <w:p w14:paraId="4A6F2B50" w14:textId="77777777" w:rsidR="008E0F74" w:rsidRPr="00FC3B7C" w:rsidRDefault="008E0F74">
      <w:pPr>
        <w:spacing w:line="200" w:lineRule="exact"/>
        <w:rPr>
          <w:sz w:val="20"/>
          <w:szCs w:val="20"/>
        </w:rPr>
      </w:pPr>
    </w:p>
    <w:p w14:paraId="4A6F2B51" w14:textId="77777777" w:rsidR="008E0F74" w:rsidRPr="00FC3B7C" w:rsidRDefault="008E0F74">
      <w:pPr>
        <w:spacing w:line="200" w:lineRule="exact"/>
        <w:rPr>
          <w:sz w:val="20"/>
          <w:szCs w:val="20"/>
        </w:rPr>
      </w:pPr>
    </w:p>
    <w:p w14:paraId="4A6F2B52" w14:textId="77777777" w:rsidR="008E0F74" w:rsidRPr="00FC3B7C" w:rsidRDefault="008E0F74">
      <w:pPr>
        <w:spacing w:line="200" w:lineRule="exact"/>
        <w:rPr>
          <w:sz w:val="20"/>
          <w:szCs w:val="20"/>
        </w:rPr>
      </w:pPr>
    </w:p>
    <w:p w14:paraId="4A6F2B53" w14:textId="77777777" w:rsidR="008E0F74" w:rsidRPr="00FC3B7C" w:rsidRDefault="008E0F74">
      <w:pPr>
        <w:spacing w:line="200" w:lineRule="exact"/>
        <w:rPr>
          <w:sz w:val="20"/>
          <w:szCs w:val="20"/>
        </w:rPr>
      </w:pPr>
    </w:p>
    <w:p w14:paraId="4A6F2B54" w14:textId="77777777" w:rsidR="008E0F74" w:rsidRPr="00FC3B7C" w:rsidRDefault="008E0F74">
      <w:pPr>
        <w:spacing w:line="200" w:lineRule="exact"/>
        <w:rPr>
          <w:sz w:val="20"/>
          <w:szCs w:val="20"/>
        </w:rPr>
      </w:pPr>
    </w:p>
    <w:p w14:paraId="4A6F2B55" w14:textId="77777777" w:rsidR="008E0F74" w:rsidRPr="00FC3B7C" w:rsidRDefault="008E0F74">
      <w:pPr>
        <w:spacing w:line="200" w:lineRule="exact"/>
        <w:rPr>
          <w:sz w:val="20"/>
          <w:szCs w:val="20"/>
        </w:rPr>
      </w:pPr>
    </w:p>
    <w:p w14:paraId="4A6F2B56" w14:textId="77777777" w:rsidR="008E0F74" w:rsidRPr="00FC3B7C" w:rsidRDefault="008E0F74">
      <w:pPr>
        <w:spacing w:line="200" w:lineRule="exact"/>
        <w:rPr>
          <w:sz w:val="20"/>
          <w:szCs w:val="20"/>
        </w:rPr>
      </w:pPr>
    </w:p>
    <w:p w14:paraId="4A6F2B57" w14:textId="77777777" w:rsidR="008E0F74" w:rsidRPr="00FC3B7C" w:rsidRDefault="008E0F74">
      <w:pPr>
        <w:spacing w:line="200" w:lineRule="exact"/>
        <w:rPr>
          <w:sz w:val="20"/>
          <w:szCs w:val="20"/>
        </w:rPr>
      </w:pPr>
    </w:p>
    <w:p w14:paraId="4A6F2B58" w14:textId="77777777" w:rsidR="008E0F74" w:rsidRPr="00FC3B7C" w:rsidRDefault="008E0F74">
      <w:pPr>
        <w:spacing w:line="200" w:lineRule="exact"/>
        <w:rPr>
          <w:sz w:val="20"/>
          <w:szCs w:val="20"/>
        </w:rPr>
      </w:pPr>
    </w:p>
    <w:p w14:paraId="4A6F2B59" w14:textId="77777777" w:rsidR="008E0F74" w:rsidRPr="00FC3B7C" w:rsidRDefault="008E0F74">
      <w:pPr>
        <w:spacing w:line="200" w:lineRule="exact"/>
        <w:rPr>
          <w:sz w:val="20"/>
          <w:szCs w:val="20"/>
        </w:rPr>
      </w:pPr>
    </w:p>
    <w:p w14:paraId="4A6F2B5A" w14:textId="77777777" w:rsidR="008E0F74" w:rsidRPr="00FC3B7C" w:rsidRDefault="008E0F74">
      <w:pPr>
        <w:spacing w:line="200" w:lineRule="exact"/>
        <w:rPr>
          <w:sz w:val="20"/>
          <w:szCs w:val="20"/>
        </w:rPr>
      </w:pPr>
    </w:p>
    <w:p w14:paraId="4A6F2B5B" w14:textId="77777777" w:rsidR="008E0F74" w:rsidRPr="00FC3B7C" w:rsidRDefault="008E0F74">
      <w:pPr>
        <w:spacing w:line="200" w:lineRule="exact"/>
        <w:rPr>
          <w:sz w:val="20"/>
          <w:szCs w:val="20"/>
        </w:rPr>
      </w:pPr>
    </w:p>
    <w:p w14:paraId="4A6F2B5C" w14:textId="77777777" w:rsidR="008E0F74" w:rsidRPr="00FC3B7C" w:rsidRDefault="008E0F74">
      <w:pPr>
        <w:spacing w:line="200" w:lineRule="exact"/>
        <w:rPr>
          <w:sz w:val="20"/>
          <w:szCs w:val="20"/>
        </w:rPr>
      </w:pPr>
    </w:p>
    <w:p w14:paraId="4A6F2B5D" w14:textId="77777777" w:rsidR="008E0F74" w:rsidRPr="00FC3B7C" w:rsidRDefault="008E0F74">
      <w:pPr>
        <w:spacing w:line="200" w:lineRule="exact"/>
        <w:rPr>
          <w:sz w:val="20"/>
          <w:szCs w:val="20"/>
        </w:rPr>
      </w:pPr>
    </w:p>
    <w:p w14:paraId="4A6F2B5E" w14:textId="77777777" w:rsidR="008E0F74" w:rsidRPr="00FC3B7C" w:rsidRDefault="008E0F74">
      <w:pPr>
        <w:spacing w:line="200" w:lineRule="exact"/>
        <w:rPr>
          <w:sz w:val="20"/>
          <w:szCs w:val="20"/>
        </w:rPr>
      </w:pPr>
    </w:p>
    <w:p w14:paraId="4A6F2B5F" w14:textId="77777777" w:rsidR="008E0F74" w:rsidRPr="00FC3B7C" w:rsidRDefault="008E0F74">
      <w:pPr>
        <w:spacing w:line="200" w:lineRule="exact"/>
        <w:rPr>
          <w:sz w:val="20"/>
          <w:szCs w:val="20"/>
        </w:rPr>
      </w:pPr>
    </w:p>
    <w:p w14:paraId="4A6F2B60" w14:textId="77777777" w:rsidR="008E0F74" w:rsidRPr="00FC3B7C" w:rsidRDefault="008E0F74">
      <w:pPr>
        <w:spacing w:line="200" w:lineRule="exact"/>
        <w:rPr>
          <w:sz w:val="20"/>
          <w:szCs w:val="20"/>
        </w:rPr>
      </w:pPr>
    </w:p>
    <w:p w14:paraId="4A6F2B61" w14:textId="77777777" w:rsidR="008E0F74" w:rsidRPr="00FC3B7C" w:rsidRDefault="008E0F74">
      <w:pPr>
        <w:spacing w:line="200" w:lineRule="exact"/>
        <w:rPr>
          <w:sz w:val="20"/>
          <w:szCs w:val="20"/>
        </w:rPr>
      </w:pPr>
    </w:p>
    <w:p w14:paraId="4A6F2B62" w14:textId="77777777" w:rsidR="008E0F74" w:rsidRPr="00FC3B7C" w:rsidRDefault="008E0F74">
      <w:pPr>
        <w:spacing w:line="200" w:lineRule="exact"/>
        <w:rPr>
          <w:sz w:val="20"/>
          <w:szCs w:val="20"/>
        </w:rPr>
      </w:pPr>
    </w:p>
    <w:p w14:paraId="4A6F2B63" w14:textId="77777777" w:rsidR="008E0F74" w:rsidRPr="00FC3B7C" w:rsidRDefault="008E0F74">
      <w:pPr>
        <w:spacing w:line="200" w:lineRule="exact"/>
        <w:rPr>
          <w:sz w:val="20"/>
          <w:szCs w:val="20"/>
        </w:rPr>
      </w:pPr>
    </w:p>
    <w:p w14:paraId="4A6F2B64" w14:textId="77777777" w:rsidR="008E0F74" w:rsidRPr="00FC3B7C" w:rsidRDefault="008E0F74">
      <w:pPr>
        <w:spacing w:line="200" w:lineRule="exact"/>
        <w:rPr>
          <w:sz w:val="20"/>
          <w:szCs w:val="20"/>
        </w:rPr>
      </w:pPr>
    </w:p>
    <w:p w14:paraId="4A6F2B65" w14:textId="77777777" w:rsidR="008E0F74" w:rsidRPr="00FC3B7C" w:rsidRDefault="008E0F74">
      <w:pPr>
        <w:spacing w:line="200" w:lineRule="exact"/>
        <w:rPr>
          <w:sz w:val="20"/>
          <w:szCs w:val="20"/>
        </w:rPr>
      </w:pPr>
    </w:p>
    <w:p w14:paraId="4A6F2B66" w14:textId="77777777" w:rsidR="008E0F74" w:rsidRPr="00FC3B7C" w:rsidRDefault="008E0F74">
      <w:pPr>
        <w:spacing w:line="200" w:lineRule="exact"/>
        <w:rPr>
          <w:sz w:val="20"/>
          <w:szCs w:val="20"/>
        </w:rPr>
      </w:pPr>
    </w:p>
    <w:p w14:paraId="4A6F2B67" w14:textId="77777777" w:rsidR="008E0F74" w:rsidRPr="00FC3B7C" w:rsidRDefault="008E0F74">
      <w:pPr>
        <w:spacing w:line="200" w:lineRule="exact"/>
        <w:rPr>
          <w:sz w:val="20"/>
          <w:szCs w:val="20"/>
        </w:rPr>
      </w:pPr>
    </w:p>
    <w:p w14:paraId="4A6F2B68" w14:textId="77777777" w:rsidR="008E0F74" w:rsidRPr="00FC3B7C" w:rsidRDefault="008E0F74">
      <w:pPr>
        <w:spacing w:line="200" w:lineRule="exact"/>
        <w:rPr>
          <w:sz w:val="20"/>
          <w:szCs w:val="20"/>
        </w:rPr>
      </w:pPr>
    </w:p>
    <w:p w14:paraId="4A6F2B69" w14:textId="77777777" w:rsidR="008E0F74" w:rsidRPr="00FC3B7C" w:rsidRDefault="008E0F74">
      <w:pPr>
        <w:spacing w:line="200" w:lineRule="exact"/>
        <w:rPr>
          <w:sz w:val="20"/>
          <w:szCs w:val="20"/>
        </w:rPr>
      </w:pPr>
    </w:p>
    <w:p w14:paraId="4A6F2B6A" w14:textId="77777777" w:rsidR="008E0F74" w:rsidRPr="00FC3B7C" w:rsidRDefault="008E0F74">
      <w:pPr>
        <w:spacing w:line="200" w:lineRule="exact"/>
        <w:rPr>
          <w:sz w:val="20"/>
          <w:szCs w:val="20"/>
        </w:rPr>
      </w:pPr>
    </w:p>
    <w:p w14:paraId="4A6F2B6B" w14:textId="77777777" w:rsidR="008E0F74" w:rsidRPr="00FC3B7C" w:rsidRDefault="008E0F74">
      <w:pPr>
        <w:spacing w:line="364" w:lineRule="exact"/>
        <w:rPr>
          <w:sz w:val="20"/>
          <w:szCs w:val="20"/>
        </w:rPr>
      </w:pPr>
    </w:p>
    <w:p w14:paraId="4A6F2B6C" w14:textId="77777777" w:rsidR="008E0F74" w:rsidRPr="00FC3B7C" w:rsidRDefault="008E0F74">
      <w:pPr>
        <w:ind w:right="220"/>
        <w:jc w:val="right"/>
        <w:rPr>
          <w:sz w:val="20"/>
          <w:szCs w:val="20"/>
        </w:rPr>
      </w:pPr>
    </w:p>
    <w:p w14:paraId="4A6F2B6D" w14:textId="77777777" w:rsidR="008E0F74" w:rsidRPr="00FC3B7C" w:rsidRDefault="008E0F74">
      <w:pPr>
        <w:sectPr w:rsidR="008E0F74" w:rsidRPr="00FC3B7C">
          <w:pgSz w:w="11900" w:h="16840"/>
          <w:pgMar w:top="1314" w:right="1440" w:bottom="625" w:left="1280" w:header="0" w:footer="0" w:gutter="0"/>
          <w:cols w:space="708" w:equalWidth="0">
            <w:col w:w="9180"/>
          </w:cols>
        </w:sectPr>
      </w:pPr>
    </w:p>
    <w:p w14:paraId="4A6F2B6E" w14:textId="77777777" w:rsidR="008E0F74" w:rsidRPr="00466189" w:rsidRDefault="00256F29" w:rsidP="00712250">
      <w:pPr>
        <w:pStyle w:val="Nadpis4"/>
        <w:rPr>
          <w:color w:val="1F3864" w:themeColor="accent1" w:themeShade="80"/>
          <w:sz w:val="20"/>
          <w:szCs w:val="20"/>
        </w:rPr>
      </w:pPr>
      <w:bookmarkStart w:id="30" w:name="page28"/>
      <w:bookmarkEnd w:id="30"/>
      <w:r w:rsidRPr="00466189">
        <w:rPr>
          <w:rFonts w:eastAsia="Times New Roman"/>
          <w:color w:val="1F3864" w:themeColor="accent1" w:themeShade="80"/>
        </w:rPr>
        <w:lastRenderedPageBreak/>
        <w:t>Dílčí cíle HP v oblasti růstu hospodářství</w:t>
      </w:r>
      <w:r w:rsidR="00712250" w:rsidRPr="00466189">
        <w:rPr>
          <w:rStyle w:val="Znakapoznpodarou"/>
          <w:rFonts w:eastAsia="Times New Roman"/>
          <w:color w:val="1F3864" w:themeColor="accent1" w:themeShade="80"/>
        </w:rPr>
        <w:footnoteReference w:id="13"/>
      </w:r>
    </w:p>
    <w:p w14:paraId="4A6F2B6F" w14:textId="77777777" w:rsidR="008E0F74" w:rsidRPr="00FC3B7C" w:rsidRDefault="008E0F74">
      <w:pPr>
        <w:spacing w:line="101" w:lineRule="exact"/>
        <w:rPr>
          <w:sz w:val="20"/>
          <w:szCs w:val="20"/>
        </w:rPr>
      </w:pPr>
    </w:p>
    <w:p w14:paraId="4A6F2B70" w14:textId="77777777" w:rsidR="008E0F74" w:rsidRPr="00FC3B7C" w:rsidRDefault="00256F29" w:rsidP="00D46B53">
      <w:pPr>
        <w:pStyle w:val="Odstavecseseznamem"/>
        <w:numPr>
          <w:ilvl w:val="0"/>
          <w:numId w:val="597"/>
        </w:numPr>
        <w:ind w:left="709" w:hanging="218"/>
        <w:rPr>
          <w:rFonts w:eastAsia="Calibri"/>
          <w:szCs w:val="24"/>
        </w:rPr>
      </w:pPr>
      <w:r w:rsidRPr="00FC3B7C">
        <w:rPr>
          <w:rFonts w:eastAsia="Times New Roman"/>
          <w:szCs w:val="24"/>
        </w:rPr>
        <w:t xml:space="preserve">do </w:t>
      </w:r>
      <w:r w:rsidRPr="00712250">
        <w:rPr>
          <w:rFonts w:eastAsia="Times New Roman"/>
        </w:rPr>
        <w:t>mnohých</w:t>
      </w:r>
      <w:r w:rsidRPr="00FC3B7C">
        <w:rPr>
          <w:rFonts w:eastAsia="Times New Roman"/>
          <w:szCs w:val="24"/>
        </w:rPr>
        <w:t xml:space="preserve"> z těchto cílů by se mělo zasahovat co nejméně</w:t>
      </w:r>
    </w:p>
    <w:p w14:paraId="4A6F2B71" w14:textId="77777777" w:rsidR="008E0F74" w:rsidRPr="00FC3B7C" w:rsidRDefault="008E0F74">
      <w:pPr>
        <w:spacing w:line="320" w:lineRule="exact"/>
        <w:rPr>
          <w:sz w:val="20"/>
          <w:szCs w:val="20"/>
        </w:rPr>
      </w:pPr>
    </w:p>
    <w:p w14:paraId="4A6F2B72" w14:textId="77777777" w:rsidR="008E0F74" w:rsidRPr="00712250" w:rsidRDefault="00712250" w:rsidP="00712250">
      <w:pPr>
        <w:ind w:left="4"/>
        <w:rPr>
          <w:sz w:val="20"/>
          <w:szCs w:val="20"/>
        </w:rPr>
      </w:pPr>
      <w:r>
        <w:rPr>
          <w:rFonts w:eastAsia="Times New Roman"/>
          <w:b/>
          <w:bCs/>
          <w:szCs w:val="24"/>
          <w:u w:val="single"/>
        </w:rPr>
        <w:t>Cíle v odvětvové struktuře:</w:t>
      </w:r>
    </w:p>
    <w:p w14:paraId="4A6F2B73"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podpora tuzemské soutěže mezi jednotlivými firmami a podnikateli</w:t>
      </w:r>
      <w:r w:rsidR="00712250">
        <w:rPr>
          <w:rFonts w:eastAsia="Times New Roman"/>
          <w:szCs w:val="24"/>
        </w:rPr>
        <w:t>,</w:t>
      </w:r>
    </w:p>
    <w:p w14:paraId="4A6F2B74"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ochran</w:t>
      </w:r>
      <w:r w:rsidR="00712250">
        <w:rPr>
          <w:rFonts w:eastAsia="Times New Roman"/>
          <w:szCs w:val="24"/>
        </w:rPr>
        <w:t>a firem před vytvářením monopolů,</w:t>
      </w:r>
    </w:p>
    <w:p w14:paraId="4A6F2B75"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oblast veřejných statků (poskytování hromadné dopravy, distribuce vody, plynu, elektřiny, kanalizace,…) – tato činnost se stává předmětem soukromého podnikání</w:t>
      </w:r>
    </w:p>
    <w:p w14:paraId="4A6F2B76"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snahy o zvýšení mobility pracovní síly</w:t>
      </w:r>
      <w:r w:rsidR="00712250">
        <w:rPr>
          <w:rFonts w:eastAsia="Times New Roman"/>
          <w:szCs w:val="24"/>
        </w:rPr>
        <w:t>,</w:t>
      </w:r>
    </w:p>
    <w:p w14:paraId="4A6F2B77"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podpora mezinárodní dělby práce, specializace – v některých zemích jsou kladeny překážky; volný pohyb zboží, služeb, kapitálu</w:t>
      </w:r>
      <w:r w:rsidR="00712250">
        <w:rPr>
          <w:rFonts w:eastAsia="Times New Roman"/>
          <w:szCs w:val="24"/>
        </w:rPr>
        <w:t>,</w:t>
      </w:r>
    </w:p>
    <w:p w14:paraId="4A6F2B78"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zvýšení mobility kapitálu – bývá používán na výrobu</w:t>
      </w:r>
      <w:r w:rsidR="00712250">
        <w:rPr>
          <w:rFonts w:eastAsia="Times New Roman"/>
          <w:szCs w:val="24"/>
        </w:rPr>
        <w:t>.</w:t>
      </w:r>
    </w:p>
    <w:p w14:paraId="4A6F2B79" w14:textId="77777777" w:rsidR="008E0F74" w:rsidRPr="00FC3B7C" w:rsidRDefault="008E0F74">
      <w:pPr>
        <w:spacing w:line="320" w:lineRule="exact"/>
        <w:rPr>
          <w:sz w:val="20"/>
          <w:szCs w:val="20"/>
        </w:rPr>
      </w:pPr>
    </w:p>
    <w:p w14:paraId="4A6F2B7A" w14:textId="77777777" w:rsidR="008E0F74" w:rsidRPr="00FC3B7C" w:rsidRDefault="00256F29">
      <w:pPr>
        <w:ind w:left="4"/>
        <w:rPr>
          <w:sz w:val="20"/>
          <w:szCs w:val="20"/>
        </w:rPr>
      </w:pPr>
      <w:r w:rsidRPr="00FC3B7C">
        <w:rPr>
          <w:rFonts w:eastAsia="Times New Roman"/>
          <w:b/>
          <w:bCs/>
          <w:szCs w:val="24"/>
          <w:u w:val="single"/>
        </w:rPr>
        <w:t>Cíle v regionální struktuře</w:t>
      </w:r>
      <w:r w:rsidR="00712250">
        <w:rPr>
          <w:rFonts w:eastAsia="Times New Roman"/>
          <w:b/>
          <w:bCs/>
          <w:szCs w:val="24"/>
          <w:u w:val="single"/>
        </w:rPr>
        <w:t>:</w:t>
      </w:r>
    </w:p>
    <w:p w14:paraId="4A6F2B7B"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mělo by se jednat o úzkou oblast, kde je možné, že selže trh</w:t>
      </w:r>
      <w:r w:rsidR="00712250">
        <w:rPr>
          <w:rFonts w:eastAsia="Times New Roman"/>
          <w:szCs w:val="24"/>
        </w:rPr>
        <w:t>,</w:t>
      </w:r>
    </w:p>
    <w:p w14:paraId="4A6F2B7C"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prosperující vnější obrana včetně vnitřní bezpečnosti státu, dobré vztahy se zahraničím, fungující justiční služby, administrativní služby, vzdělání, kultura, věda, sport, …</w:t>
      </w:r>
    </w:p>
    <w:p w14:paraId="4A6F2B7D"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pokud je dlouhodobý schodek státního rozpočtu →stát se nechová racionálně</w:t>
      </w:r>
      <w:r w:rsidR="00712250">
        <w:rPr>
          <w:rFonts w:eastAsia="Times New Roman"/>
          <w:szCs w:val="24"/>
        </w:rPr>
        <w:t>,</w:t>
      </w:r>
    </w:p>
    <w:p w14:paraId="4A6F2B7E"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někteří ekonomové tvrdí, že je nutné vyrovnávat schodky rozpočtu bez ohledu na hospodářský cyklus</w:t>
      </w:r>
      <w:r w:rsidR="00712250">
        <w:rPr>
          <w:rFonts w:eastAsia="Times New Roman"/>
          <w:szCs w:val="24"/>
        </w:rPr>
        <w:t>.</w:t>
      </w:r>
    </w:p>
    <w:p w14:paraId="4A6F2B7F" w14:textId="77777777" w:rsidR="008E0F74" w:rsidRPr="00FC3B7C" w:rsidRDefault="008E0F74">
      <w:pPr>
        <w:spacing w:line="142" w:lineRule="exact"/>
        <w:rPr>
          <w:sz w:val="20"/>
          <w:szCs w:val="20"/>
        </w:rPr>
      </w:pPr>
    </w:p>
    <w:p w14:paraId="4A6F2B80" w14:textId="77777777" w:rsidR="008E0F74" w:rsidRPr="00FC3B7C" w:rsidRDefault="00256F29">
      <w:pPr>
        <w:ind w:left="4"/>
        <w:rPr>
          <w:sz w:val="20"/>
          <w:szCs w:val="20"/>
        </w:rPr>
      </w:pPr>
      <w:r w:rsidRPr="00FC3B7C">
        <w:rPr>
          <w:rFonts w:eastAsia="Times New Roman"/>
          <w:b/>
          <w:bCs/>
          <w:szCs w:val="24"/>
          <w:u w:val="single"/>
        </w:rPr>
        <w:t>Cíle v oblasti infrastruktury</w:t>
      </w:r>
      <w:r w:rsidR="00712250">
        <w:rPr>
          <w:rFonts w:eastAsia="Times New Roman"/>
          <w:b/>
          <w:bCs/>
          <w:szCs w:val="24"/>
          <w:u w:val="single"/>
        </w:rPr>
        <w:t>:</w:t>
      </w:r>
    </w:p>
    <w:p w14:paraId="4A6F2B81" w14:textId="77777777" w:rsidR="008E0F74" w:rsidRPr="00FC3B7C" w:rsidRDefault="008E0F74">
      <w:pPr>
        <w:spacing w:line="143" w:lineRule="exact"/>
        <w:rPr>
          <w:sz w:val="20"/>
          <w:szCs w:val="20"/>
        </w:rPr>
      </w:pPr>
    </w:p>
    <w:p w14:paraId="4A6F2B82"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zabezpečení dopravní obslužnosti</w:t>
      </w:r>
      <w:r w:rsidR="00712250">
        <w:rPr>
          <w:rFonts w:eastAsia="Times New Roman"/>
          <w:szCs w:val="24"/>
        </w:rPr>
        <w:t>.</w:t>
      </w:r>
    </w:p>
    <w:p w14:paraId="4A6F2B83" w14:textId="77777777" w:rsidR="008E0F74" w:rsidRPr="00FC3B7C" w:rsidRDefault="008E0F74">
      <w:pPr>
        <w:spacing w:line="320" w:lineRule="exact"/>
        <w:rPr>
          <w:sz w:val="20"/>
          <w:szCs w:val="20"/>
        </w:rPr>
      </w:pPr>
    </w:p>
    <w:p w14:paraId="4A6F2B84" w14:textId="77777777" w:rsidR="008E0F74" w:rsidRPr="00FC3B7C" w:rsidRDefault="00256F29">
      <w:pPr>
        <w:ind w:left="4"/>
        <w:rPr>
          <w:sz w:val="20"/>
          <w:szCs w:val="20"/>
        </w:rPr>
      </w:pPr>
      <w:r w:rsidRPr="00FC3B7C">
        <w:rPr>
          <w:rFonts w:eastAsia="Times New Roman"/>
          <w:b/>
          <w:bCs/>
          <w:szCs w:val="24"/>
          <w:u w:val="single"/>
        </w:rPr>
        <w:t>Cíle pro žádoucí tržní struktury</w:t>
      </w:r>
      <w:r w:rsidR="00712250">
        <w:rPr>
          <w:rFonts w:eastAsia="Times New Roman"/>
          <w:b/>
          <w:bCs/>
          <w:szCs w:val="24"/>
          <w:u w:val="single"/>
        </w:rPr>
        <w:t>:</w:t>
      </w:r>
    </w:p>
    <w:p w14:paraId="4A6F2B85" w14:textId="77777777" w:rsidR="008E0F74" w:rsidRPr="00FC3B7C" w:rsidRDefault="008E0F74">
      <w:pPr>
        <w:spacing w:line="148" w:lineRule="exact"/>
        <w:rPr>
          <w:sz w:val="20"/>
          <w:szCs w:val="20"/>
        </w:rPr>
      </w:pPr>
    </w:p>
    <w:p w14:paraId="4A6F2B86"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zamezení nekalé soutěže → fungující konkurence</w:t>
      </w:r>
      <w:r w:rsidR="00712250">
        <w:rPr>
          <w:rFonts w:eastAsia="Times New Roman"/>
          <w:szCs w:val="24"/>
        </w:rPr>
        <w:t>,</w:t>
      </w:r>
    </w:p>
    <w:p w14:paraId="4A6F2B87"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důraz na institucionální rámec a antimonopolní politiku</w:t>
      </w:r>
      <w:r w:rsidR="00712250">
        <w:rPr>
          <w:rFonts w:eastAsia="Times New Roman"/>
          <w:szCs w:val="24"/>
        </w:rPr>
        <w:t>,</w:t>
      </w:r>
    </w:p>
    <w:p w14:paraId="4A6F2B88"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úzce souvisí s právní úpravou</w:t>
      </w:r>
      <w:r w:rsidR="00712250">
        <w:rPr>
          <w:rFonts w:eastAsia="Times New Roman"/>
          <w:szCs w:val="24"/>
        </w:rPr>
        <w:t>.</w:t>
      </w:r>
    </w:p>
    <w:p w14:paraId="4A6F2B89" w14:textId="77777777" w:rsidR="008E0F74" w:rsidRPr="00FC3B7C" w:rsidRDefault="008E0F74">
      <w:pPr>
        <w:spacing w:line="20" w:lineRule="exact"/>
        <w:rPr>
          <w:sz w:val="20"/>
          <w:szCs w:val="20"/>
        </w:rPr>
      </w:pPr>
    </w:p>
    <w:p w14:paraId="4A6F2B8A" w14:textId="77777777" w:rsidR="008E0F74" w:rsidRPr="00FC3B7C" w:rsidRDefault="008E0F74">
      <w:pPr>
        <w:spacing w:line="200" w:lineRule="exact"/>
        <w:rPr>
          <w:sz w:val="20"/>
          <w:szCs w:val="20"/>
        </w:rPr>
      </w:pPr>
    </w:p>
    <w:p w14:paraId="4A6F2B8B" w14:textId="77777777" w:rsidR="008E0F74" w:rsidRPr="00FC3B7C" w:rsidRDefault="008E0F74">
      <w:pPr>
        <w:spacing w:line="200" w:lineRule="exact"/>
        <w:rPr>
          <w:sz w:val="20"/>
          <w:szCs w:val="20"/>
        </w:rPr>
      </w:pPr>
    </w:p>
    <w:p w14:paraId="4A6F2B8C" w14:textId="77777777" w:rsidR="008E0F74" w:rsidRPr="00FC3B7C" w:rsidRDefault="008E0F74">
      <w:pPr>
        <w:spacing w:line="200" w:lineRule="exact"/>
        <w:rPr>
          <w:sz w:val="20"/>
          <w:szCs w:val="20"/>
        </w:rPr>
      </w:pPr>
    </w:p>
    <w:p w14:paraId="4A6F2B8D" w14:textId="77777777" w:rsidR="008E0F74" w:rsidRPr="00FC3B7C" w:rsidRDefault="008E0F74">
      <w:pPr>
        <w:spacing w:line="200" w:lineRule="exact"/>
        <w:rPr>
          <w:sz w:val="20"/>
          <w:szCs w:val="20"/>
        </w:rPr>
      </w:pPr>
    </w:p>
    <w:p w14:paraId="4A6F2B8E" w14:textId="77777777" w:rsidR="008E0F74" w:rsidRPr="00FC3B7C" w:rsidRDefault="008E0F74">
      <w:pPr>
        <w:sectPr w:rsidR="008E0F74" w:rsidRPr="00FC3B7C">
          <w:pgSz w:w="11900" w:h="16840"/>
          <w:pgMar w:top="1363" w:right="1420" w:bottom="1440" w:left="1416" w:header="0" w:footer="0" w:gutter="0"/>
          <w:cols w:space="708" w:equalWidth="0">
            <w:col w:w="9064"/>
          </w:cols>
        </w:sectPr>
      </w:pPr>
    </w:p>
    <w:p w14:paraId="4A6F2B8F" w14:textId="77777777" w:rsidR="008E0F74" w:rsidRPr="00FC3B7C" w:rsidRDefault="00256F29">
      <w:pPr>
        <w:rPr>
          <w:sz w:val="20"/>
          <w:szCs w:val="20"/>
        </w:rPr>
      </w:pPr>
      <w:bookmarkStart w:id="31" w:name="page29"/>
      <w:bookmarkEnd w:id="31"/>
      <w:r w:rsidRPr="00FC3B7C">
        <w:rPr>
          <w:rFonts w:eastAsia="Times New Roman"/>
          <w:b/>
          <w:bCs/>
          <w:szCs w:val="24"/>
          <w:u w:val="single"/>
        </w:rPr>
        <w:lastRenderedPageBreak/>
        <w:t>Cíle v oblasti struktury zahraničního obchodu</w:t>
      </w:r>
      <w:r w:rsidR="00712250">
        <w:rPr>
          <w:rFonts w:eastAsia="Times New Roman"/>
          <w:b/>
          <w:bCs/>
          <w:szCs w:val="24"/>
          <w:u w:val="single"/>
        </w:rPr>
        <w:t>:</w:t>
      </w:r>
    </w:p>
    <w:p w14:paraId="4A6F2B90"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snaha odbourávat bariéry zahraničního obchodu</w:t>
      </w:r>
      <w:r w:rsidR="00712250">
        <w:rPr>
          <w:rFonts w:eastAsia="Times New Roman"/>
          <w:szCs w:val="24"/>
        </w:rPr>
        <w:t>,</w:t>
      </w:r>
    </w:p>
    <w:p w14:paraId="4A6F2B91"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neefektivní jsou cla apod.</w:t>
      </w:r>
      <w:r w:rsidR="00712250">
        <w:rPr>
          <w:rFonts w:eastAsia="Times New Roman"/>
          <w:szCs w:val="24"/>
        </w:rPr>
        <w:t>,</w:t>
      </w:r>
    </w:p>
    <w:p w14:paraId="4A6F2B92"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souvisí s vnější stabilitou =&gt; proexportní politika, snaha podpořit domácí výrobce, získat zahraniční investory (dotace, subvence)</w:t>
      </w:r>
      <w:r w:rsidR="00712250">
        <w:rPr>
          <w:rFonts w:eastAsia="Times New Roman"/>
          <w:szCs w:val="24"/>
        </w:rPr>
        <w:t>.</w:t>
      </w:r>
    </w:p>
    <w:p w14:paraId="4A6F2B93" w14:textId="77777777" w:rsidR="008E0F74" w:rsidRPr="00FC3B7C" w:rsidRDefault="008E0F74">
      <w:pPr>
        <w:spacing w:line="142" w:lineRule="exact"/>
        <w:rPr>
          <w:sz w:val="20"/>
          <w:szCs w:val="20"/>
        </w:rPr>
      </w:pPr>
    </w:p>
    <w:p w14:paraId="4A6F2B94" w14:textId="77777777" w:rsidR="008E0F74" w:rsidRPr="00FC3B7C" w:rsidRDefault="00256F29">
      <w:pPr>
        <w:rPr>
          <w:sz w:val="20"/>
          <w:szCs w:val="20"/>
        </w:rPr>
      </w:pPr>
      <w:r w:rsidRPr="00FC3B7C">
        <w:rPr>
          <w:rFonts w:eastAsia="Times New Roman"/>
          <w:b/>
          <w:bCs/>
          <w:szCs w:val="24"/>
          <w:u w:val="single"/>
        </w:rPr>
        <w:t>Cíle „spravedlivého“ rozdělení</w:t>
      </w:r>
      <w:r w:rsidR="00712250">
        <w:rPr>
          <w:rFonts w:eastAsia="Times New Roman"/>
          <w:b/>
          <w:bCs/>
          <w:szCs w:val="24"/>
          <w:u w:val="single"/>
        </w:rPr>
        <w:t>:</w:t>
      </w:r>
    </w:p>
    <w:p w14:paraId="4A6F2B95"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přerozdělování - děje se pomocí daňové soustavy (hraje důležitou roli)</w:t>
      </w:r>
      <w:r w:rsidR="00712250">
        <w:rPr>
          <w:rFonts w:eastAsia="Times New Roman"/>
          <w:szCs w:val="24"/>
        </w:rPr>
        <w:t>,</w:t>
      </w:r>
    </w:p>
    <w:p w14:paraId="4A6F2B96"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spravedlnost je kategorie, na kterou lze nahlížet velmi individuálně</w:t>
      </w:r>
      <w:r w:rsidR="00712250">
        <w:rPr>
          <w:rFonts w:eastAsia="Times New Roman"/>
          <w:szCs w:val="24"/>
        </w:rPr>
        <w:t>,</w:t>
      </w:r>
    </w:p>
    <w:p w14:paraId="4A6F2B97"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týká se to důchodů (příjmů ve společnosti)</w:t>
      </w:r>
      <w:r w:rsidR="00712250">
        <w:rPr>
          <w:rFonts w:eastAsia="Times New Roman"/>
          <w:szCs w:val="24"/>
        </w:rPr>
        <w:t>,</w:t>
      </w:r>
    </w:p>
    <w:p w14:paraId="4A6F2B98"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 xml:space="preserve">bývá ovlivněna sociálním zajištěním (příp. zdravotním) →zdravotní a sociální pojištění → naše soustava nemá pojišťovací princip, jedná se vlastně o zdravotní </w:t>
      </w:r>
      <w:r w:rsidR="00712250">
        <w:rPr>
          <w:rFonts w:eastAsia="Times New Roman"/>
          <w:szCs w:val="24"/>
        </w:rPr>
        <w:br/>
      </w:r>
      <w:r w:rsidRPr="00FC3B7C">
        <w:rPr>
          <w:rFonts w:eastAsia="Times New Roman"/>
          <w:szCs w:val="24"/>
        </w:rPr>
        <w:t>a sociální daň</w:t>
      </w:r>
      <w:r w:rsidR="00712250">
        <w:rPr>
          <w:rFonts w:eastAsia="Times New Roman"/>
          <w:szCs w:val="24"/>
        </w:rPr>
        <w:t>.</w:t>
      </w:r>
    </w:p>
    <w:p w14:paraId="4A6F2B99" w14:textId="77777777" w:rsidR="008E0F74" w:rsidRPr="00FC3B7C" w:rsidRDefault="008E0F74">
      <w:pPr>
        <w:spacing w:line="163" w:lineRule="exact"/>
        <w:rPr>
          <w:sz w:val="20"/>
          <w:szCs w:val="20"/>
        </w:rPr>
      </w:pPr>
    </w:p>
    <w:p w14:paraId="4A6F2B9A" w14:textId="77777777" w:rsidR="008E0F74" w:rsidRPr="00FC3B7C" w:rsidRDefault="00256F29">
      <w:pPr>
        <w:rPr>
          <w:sz w:val="20"/>
          <w:szCs w:val="20"/>
        </w:rPr>
      </w:pPr>
      <w:r w:rsidRPr="00FC3B7C">
        <w:rPr>
          <w:rFonts w:eastAsia="Times New Roman"/>
          <w:b/>
          <w:bCs/>
          <w:szCs w:val="24"/>
          <w:u w:val="single"/>
        </w:rPr>
        <w:t>Cíle pro oblast životního prostředí</w:t>
      </w:r>
    </w:p>
    <w:p w14:paraId="4A6F2B9B"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měl by tam být pohled ekonoma, propočítání důsledků opatření</w:t>
      </w:r>
      <w:r w:rsidR="00712250">
        <w:rPr>
          <w:rFonts w:eastAsia="Times New Roman"/>
          <w:szCs w:val="24"/>
        </w:rPr>
        <w:t>,</w:t>
      </w:r>
    </w:p>
    <w:p w14:paraId="4A6F2B9C"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není pravda, že co je ekologické, je ekonomické</w:t>
      </w:r>
      <w:r w:rsidR="00712250">
        <w:rPr>
          <w:rFonts w:eastAsia="Times New Roman"/>
          <w:szCs w:val="24"/>
        </w:rPr>
        <w:t>.</w:t>
      </w:r>
    </w:p>
    <w:p w14:paraId="4A6F2B9D" w14:textId="77777777" w:rsidR="008E0F74" w:rsidRPr="00FC3B7C" w:rsidRDefault="008E0F74">
      <w:pPr>
        <w:spacing w:line="320" w:lineRule="exact"/>
        <w:rPr>
          <w:sz w:val="20"/>
          <w:szCs w:val="20"/>
        </w:rPr>
      </w:pPr>
    </w:p>
    <w:p w14:paraId="4A6F2B9E" w14:textId="77777777" w:rsidR="008E0F74" w:rsidRPr="00FC3B7C" w:rsidRDefault="00256F29">
      <w:pPr>
        <w:rPr>
          <w:sz w:val="20"/>
          <w:szCs w:val="20"/>
        </w:rPr>
      </w:pPr>
      <w:r w:rsidRPr="00FC3B7C">
        <w:rPr>
          <w:rFonts w:eastAsia="Times New Roman"/>
          <w:b/>
          <w:bCs/>
          <w:szCs w:val="24"/>
          <w:u w:val="single"/>
        </w:rPr>
        <w:t>Cíle pro zachování suverenity spotřebitele</w:t>
      </w:r>
    </w:p>
    <w:p w14:paraId="4A6F2B9F" w14:textId="77777777" w:rsidR="008E0F74" w:rsidRPr="00FC3B7C" w:rsidRDefault="008E0F74">
      <w:pPr>
        <w:spacing w:line="143" w:lineRule="exact"/>
        <w:rPr>
          <w:sz w:val="20"/>
          <w:szCs w:val="20"/>
        </w:rPr>
      </w:pPr>
    </w:p>
    <w:p w14:paraId="4A6F2BA0" w14:textId="3346B1A5" w:rsidR="008E0F74" w:rsidRPr="00712250" w:rsidRDefault="00256F29" w:rsidP="00D46B53">
      <w:pPr>
        <w:pStyle w:val="Odstavecseseznamem"/>
        <w:numPr>
          <w:ilvl w:val="0"/>
          <w:numId w:val="597"/>
        </w:numPr>
        <w:spacing w:after="240"/>
        <w:ind w:left="709" w:hanging="218"/>
        <w:rPr>
          <w:rFonts w:eastAsia="Times New Roman"/>
          <w:szCs w:val="24"/>
        </w:rPr>
      </w:pPr>
      <w:r w:rsidRPr="00FC3B7C">
        <w:rPr>
          <w:rFonts w:eastAsia="Times New Roman"/>
          <w:szCs w:val="24"/>
        </w:rPr>
        <w:t>ochrana spotřebitele (opatření existují v každé eko</w:t>
      </w:r>
      <w:r w:rsidR="00CE28AF">
        <w:rPr>
          <w:rFonts w:eastAsia="Times New Roman"/>
          <w:szCs w:val="24"/>
        </w:rPr>
        <w:t>nomice</w:t>
      </w:r>
      <w:r w:rsidRPr="00FC3B7C">
        <w:rPr>
          <w:rFonts w:eastAsia="Times New Roman"/>
          <w:szCs w:val="24"/>
        </w:rPr>
        <w:t>) – Úřad na ochranu spotřebitele</w:t>
      </w:r>
      <w:r w:rsidR="00712250">
        <w:rPr>
          <w:rFonts w:eastAsia="Times New Roman"/>
          <w:szCs w:val="24"/>
        </w:rPr>
        <w:t>.</w:t>
      </w:r>
    </w:p>
    <w:p w14:paraId="4A6F2BA1" w14:textId="77777777" w:rsidR="008E0F74" w:rsidRPr="00466189" w:rsidRDefault="00256F29" w:rsidP="00712250">
      <w:pPr>
        <w:pStyle w:val="Nadpis4"/>
        <w:spacing w:before="0"/>
        <w:rPr>
          <w:color w:val="1F3864" w:themeColor="accent1" w:themeShade="80"/>
          <w:sz w:val="20"/>
          <w:szCs w:val="20"/>
        </w:rPr>
      </w:pPr>
      <w:r w:rsidRPr="00466189">
        <w:rPr>
          <w:rFonts w:eastAsia="Times New Roman"/>
          <w:color w:val="1F3864" w:themeColor="accent1" w:themeShade="80"/>
        </w:rPr>
        <w:t>Méně důležité cíle HP</w:t>
      </w:r>
    </w:p>
    <w:p w14:paraId="4A6F2BA2" w14:textId="77777777" w:rsidR="008E0F74" w:rsidRPr="00FC3B7C" w:rsidRDefault="00256F29" w:rsidP="004A5F54">
      <w:pPr>
        <w:numPr>
          <w:ilvl w:val="0"/>
          <w:numId w:val="15"/>
        </w:numPr>
        <w:tabs>
          <w:tab w:val="left" w:pos="700"/>
        </w:tabs>
        <w:ind w:left="700" w:hanging="355"/>
        <w:rPr>
          <w:rFonts w:eastAsia="Calibri"/>
          <w:szCs w:val="24"/>
        </w:rPr>
      </w:pPr>
      <w:r w:rsidRPr="00FC3B7C">
        <w:rPr>
          <w:rFonts w:eastAsia="Times New Roman"/>
          <w:szCs w:val="24"/>
        </w:rPr>
        <w:t>pozn. Nadměrná regulace postihuje vždy sociálně nejslabší skupiny</w:t>
      </w:r>
    </w:p>
    <w:p w14:paraId="4A6F2BA3" w14:textId="77777777" w:rsidR="008E0F74" w:rsidRPr="00FC3B7C" w:rsidRDefault="00256F29">
      <w:pPr>
        <w:rPr>
          <w:sz w:val="20"/>
          <w:szCs w:val="20"/>
        </w:rPr>
      </w:pPr>
      <w:r w:rsidRPr="00FC3B7C">
        <w:rPr>
          <w:rFonts w:eastAsia="Times New Roman"/>
          <w:b/>
          <w:bCs/>
          <w:szCs w:val="24"/>
          <w:u w:val="single"/>
        </w:rPr>
        <w:t>Cíle pro oblast struktury osobní spotřeby a její změny</w:t>
      </w:r>
    </w:p>
    <w:p w14:paraId="4A6F2BA4" w14:textId="77777777" w:rsidR="008E0F74" w:rsidRPr="00712250" w:rsidRDefault="00256F29" w:rsidP="00D46B53">
      <w:pPr>
        <w:pStyle w:val="Odstavecseseznamem"/>
        <w:numPr>
          <w:ilvl w:val="0"/>
          <w:numId w:val="597"/>
        </w:numPr>
        <w:spacing w:after="240"/>
        <w:ind w:left="709" w:hanging="218"/>
        <w:rPr>
          <w:rFonts w:eastAsia="Times New Roman"/>
          <w:szCs w:val="24"/>
        </w:rPr>
      </w:pPr>
      <w:r w:rsidRPr="00FC3B7C">
        <w:rPr>
          <w:rFonts w:eastAsia="Times New Roman"/>
          <w:szCs w:val="24"/>
        </w:rPr>
        <w:t>regulační opatření – mají omezovat spotřebu určitých statků (drogy, prostituce)</w:t>
      </w:r>
      <w:r w:rsidR="00712250">
        <w:rPr>
          <w:rFonts w:eastAsia="Times New Roman"/>
          <w:szCs w:val="24"/>
        </w:rPr>
        <w:t>,</w:t>
      </w:r>
    </w:p>
    <w:p w14:paraId="4A6F2BA5" w14:textId="77777777" w:rsidR="008E0F74" w:rsidRPr="00712250" w:rsidRDefault="00256F29" w:rsidP="00D46B53">
      <w:pPr>
        <w:pStyle w:val="Odstavecseseznamem"/>
        <w:numPr>
          <w:ilvl w:val="0"/>
          <w:numId w:val="597"/>
        </w:numPr>
        <w:spacing w:after="240"/>
        <w:ind w:left="709" w:hanging="218"/>
        <w:rPr>
          <w:rFonts w:eastAsia="Times New Roman"/>
          <w:szCs w:val="24"/>
        </w:rPr>
      </w:pPr>
      <w:r w:rsidRPr="00FC3B7C">
        <w:rPr>
          <w:rFonts w:eastAsia="Times New Roman"/>
          <w:szCs w:val="24"/>
        </w:rPr>
        <w:t>vyšší daňové zatížení určitého zboží (cigarety, alkohol, benzín) – nemá to výchovný efekt a snižuje to příjmy SR (lidé přecházejí z cigaret na tabák)</w:t>
      </w:r>
      <w:r w:rsidR="00712250">
        <w:rPr>
          <w:rFonts w:eastAsia="Times New Roman"/>
          <w:szCs w:val="24"/>
        </w:rPr>
        <w:t>,</w:t>
      </w:r>
    </w:p>
    <w:p w14:paraId="4A6F2BA6" w14:textId="77777777" w:rsidR="008E0F74" w:rsidRPr="00712250" w:rsidRDefault="00256F29" w:rsidP="00D46B53">
      <w:pPr>
        <w:pStyle w:val="Odstavecseseznamem"/>
        <w:numPr>
          <w:ilvl w:val="0"/>
          <w:numId w:val="597"/>
        </w:numPr>
        <w:spacing w:after="240"/>
        <w:ind w:left="709" w:hanging="218"/>
        <w:rPr>
          <w:rFonts w:eastAsia="Times New Roman"/>
          <w:szCs w:val="24"/>
        </w:rPr>
      </w:pPr>
      <w:r w:rsidRPr="00FC3B7C">
        <w:rPr>
          <w:rFonts w:eastAsia="Times New Roman"/>
          <w:szCs w:val="24"/>
        </w:rPr>
        <w:t>stát by neměl regulovat osobní spotřebu jednotlivců</w:t>
      </w:r>
      <w:r w:rsidR="00712250">
        <w:rPr>
          <w:rFonts w:eastAsia="Times New Roman"/>
          <w:szCs w:val="24"/>
        </w:rPr>
        <w:t>.</w:t>
      </w:r>
    </w:p>
    <w:p w14:paraId="4A6F2BA7" w14:textId="77777777" w:rsidR="008E0F74" w:rsidRPr="00FC3B7C" w:rsidRDefault="00256F29">
      <w:pPr>
        <w:rPr>
          <w:sz w:val="20"/>
          <w:szCs w:val="20"/>
        </w:rPr>
      </w:pPr>
      <w:r w:rsidRPr="00FC3B7C">
        <w:rPr>
          <w:rFonts w:eastAsia="Times New Roman"/>
          <w:b/>
          <w:bCs/>
          <w:szCs w:val="24"/>
          <w:u w:val="single"/>
        </w:rPr>
        <w:t>Cíle pro zajištění bezporuchového zásobování</w:t>
      </w:r>
    </w:p>
    <w:p w14:paraId="4A6F2BA8" w14:textId="77777777" w:rsidR="008E0F74" w:rsidRPr="00712250" w:rsidRDefault="00256F29" w:rsidP="00D46B53">
      <w:pPr>
        <w:pStyle w:val="Odstavecseseznamem"/>
        <w:numPr>
          <w:ilvl w:val="0"/>
          <w:numId w:val="597"/>
        </w:numPr>
        <w:spacing w:after="240"/>
        <w:ind w:left="709" w:hanging="218"/>
        <w:rPr>
          <w:rFonts w:eastAsia="Times New Roman"/>
          <w:szCs w:val="24"/>
        </w:rPr>
      </w:pPr>
      <w:r w:rsidRPr="00FC3B7C">
        <w:rPr>
          <w:rFonts w:eastAsia="Times New Roman"/>
          <w:szCs w:val="24"/>
        </w:rPr>
        <w:t>stát to omezí pouze v okamžicích vnějšího ohrožení nebo živelných pohrom</w:t>
      </w:r>
      <w:r w:rsidR="00712250">
        <w:rPr>
          <w:rFonts w:eastAsia="Times New Roman"/>
          <w:szCs w:val="24"/>
        </w:rPr>
        <w:t>,</w:t>
      </w:r>
    </w:p>
    <w:p w14:paraId="4A6F2BA9" w14:textId="77777777" w:rsidR="008E0F74" w:rsidRPr="00712250" w:rsidRDefault="00256F29" w:rsidP="00D46B53">
      <w:pPr>
        <w:pStyle w:val="Odstavecseseznamem"/>
        <w:numPr>
          <w:ilvl w:val="0"/>
          <w:numId w:val="597"/>
        </w:numPr>
        <w:spacing w:after="240"/>
        <w:ind w:left="709" w:hanging="218"/>
        <w:rPr>
          <w:rFonts w:eastAsia="Times New Roman"/>
          <w:szCs w:val="24"/>
        </w:rPr>
      </w:pPr>
      <w:r w:rsidRPr="00FC3B7C">
        <w:rPr>
          <w:rFonts w:eastAsia="Times New Roman"/>
          <w:szCs w:val="24"/>
        </w:rPr>
        <w:t xml:space="preserve">např. zásoby strategických surovin, přenos plynu a elektrické energie (dnes většinou </w:t>
      </w:r>
      <w:r w:rsidR="00712250">
        <w:rPr>
          <w:rFonts w:eastAsia="Times New Roman"/>
          <w:szCs w:val="24"/>
        </w:rPr>
        <w:br/>
      </w:r>
      <w:r w:rsidRPr="00FC3B7C">
        <w:rPr>
          <w:rFonts w:eastAsia="Times New Roman"/>
          <w:szCs w:val="24"/>
        </w:rPr>
        <w:t>v soukromých rukou)</w:t>
      </w:r>
      <w:r w:rsidR="00712250">
        <w:rPr>
          <w:rFonts w:eastAsia="Times New Roman"/>
          <w:szCs w:val="24"/>
        </w:rPr>
        <w:t>,</w:t>
      </w:r>
    </w:p>
    <w:p w14:paraId="4A6F2BAA" w14:textId="77777777" w:rsidR="008E0F74" w:rsidRPr="00712250" w:rsidRDefault="00256F29" w:rsidP="00D46B53">
      <w:pPr>
        <w:pStyle w:val="Odstavecseseznamem"/>
        <w:numPr>
          <w:ilvl w:val="0"/>
          <w:numId w:val="597"/>
        </w:numPr>
        <w:spacing w:after="240"/>
        <w:ind w:left="709" w:hanging="218"/>
        <w:rPr>
          <w:rFonts w:eastAsia="Times New Roman"/>
          <w:szCs w:val="24"/>
        </w:rPr>
        <w:sectPr w:rsidR="008E0F74" w:rsidRPr="00712250">
          <w:pgSz w:w="11900" w:h="16840"/>
          <w:pgMar w:top="1391" w:right="1420" w:bottom="1440" w:left="1420" w:header="0" w:footer="0" w:gutter="0"/>
          <w:cols w:space="708" w:equalWidth="0">
            <w:col w:w="9060"/>
          </w:cols>
        </w:sectPr>
      </w:pPr>
      <w:r w:rsidRPr="00FC3B7C">
        <w:rPr>
          <w:rFonts w:eastAsia="Times New Roman"/>
          <w:szCs w:val="24"/>
        </w:rPr>
        <w:t>některá opatření přijímaná dnes mohou ovlivnit příjem energie až za několik let</w:t>
      </w:r>
      <w:r w:rsidR="00712250">
        <w:rPr>
          <w:rFonts w:eastAsia="Times New Roman"/>
          <w:szCs w:val="24"/>
        </w:rPr>
        <w:t>.</w:t>
      </w:r>
    </w:p>
    <w:p w14:paraId="4A6F2BAB" w14:textId="77777777" w:rsidR="008E0F74" w:rsidRPr="00FC3B7C" w:rsidRDefault="00256F29">
      <w:pPr>
        <w:rPr>
          <w:sz w:val="20"/>
          <w:szCs w:val="20"/>
        </w:rPr>
      </w:pPr>
      <w:bookmarkStart w:id="32" w:name="page30"/>
      <w:bookmarkEnd w:id="32"/>
      <w:r w:rsidRPr="00FC3B7C">
        <w:rPr>
          <w:rFonts w:eastAsia="Times New Roman"/>
          <w:b/>
          <w:bCs/>
          <w:szCs w:val="24"/>
          <w:u w:val="single"/>
        </w:rPr>
        <w:lastRenderedPageBreak/>
        <w:t>Cíle pro změny počtu a struktury obyvatelstva (demografická struktura obyvatelstva)</w:t>
      </w:r>
    </w:p>
    <w:p w14:paraId="4A6F2BAC" w14:textId="77777777" w:rsidR="008E0F74" w:rsidRPr="00712250" w:rsidRDefault="00256F29" w:rsidP="00D46B53">
      <w:pPr>
        <w:pStyle w:val="Odstavecseseznamem"/>
        <w:numPr>
          <w:ilvl w:val="0"/>
          <w:numId w:val="597"/>
        </w:numPr>
        <w:spacing w:after="240"/>
        <w:ind w:left="709" w:hanging="218"/>
        <w:rPr>
          <w:rFonts w:eastAsia="Times New Roman"/>
          <w:szCs w:val="24"/>
        </w:rPr>
      </w:pPr>
      <w:r w:rsidRPr="00FC3B7C">
        <w:rPr>
          <w:rFonts w:eastAsia="Times New Roman"/>
          <w:szCs w:val="24"/>
        </w:rPr>
        <w:t>sledování je důležité (kolik je pracujících, kolik důchodců)</w:t>
      </w:r>
      <w:r w:rsidR="00712250">
        <w:rPr>
          <w:rFonts w:eastAsia="Times New Roman"/>
          <w:szCs w:val="24"/>
        </w:rPr>
        <w:t>,</w:t>
      </w:r>
    </w:p>
    <w:p w14:paraId="4A6F2BAD" w14:textId="77777777" w:rsidR="008E0F74" w:rsidRPr="00712250" w:rsidRDefault="00256F29" w:rsidP="00D46B53">
      <w:pPr>
        <w:pStyle w:val="Odstavecseseznamem"/>
        <w:numPr>
          <w:ilvl w:val="0"/>
          <w:numId w:val="597"/>
        </w:numPr>
        <w:spacing w:after="240"/>
        <w:ind w:left="709" w:hanging="218"/>
        <w:rPr>
          <w:rFonts w:eastAsia="Times New Roman"/>
          <w:szCs w:val="24"/>
        </w:rPr>
      </w:pPr>
      <w:r w:rsidRPr="00FC3B7C">
        <w:rPr>
          <w:rFonts w:eastAsia="Times New Roman"/>
          <w:szCs w:val="24"/>
        </w:rPr>
        <w:t>dělá se to kvůli peněžnímu systému</w:t>
      </w:r>
      <w:r w:rsidR="00712250">
        <w:rPr>
          <w:rFonts w:eastAsia="Times New Roman"/>
          <w:szCs w:val="24"/>
        </w:rPr>
        <w:t>,</w:t>
      </w:r>
    </w:p>
    <w:p w14:paraId="4A6F2BAE" w14:textId="77777777" w:rsidR="008E0F74" w:rsidRPr="00712250" w:rsidRDefault="00256F29" w:rsidP="00D46B53">
      <w:pPr>
        <w:pStyle w:val="Odstavecseseznamem"/>
        <w:numPr>
          <w:ilvl w:val="0"/>
          <w:numId w:val="597"/>
        </w:numPr>
        <w:ind w:left="709" w:hanging="218"/>
        <w:rPr>
          <w:rFonts w:eastAsia="Times New Roman"/>
          <w:szCs w:val="24"/>
        </w:rPr>
      </w:pPr>
      <w:r w:rsidRPr="00FC3B7C">
        <w:rPr>
          <w:rFonts w:eastAsia="Times New Roman"/>
          <w:szCs w:val="24"/>
        </w:rPr>
        <w:t>nutná dlouhodobá a pružná politika</w:t>
      </w:r>
      <w:r w:rsidR="00712250">
        <w:rPr>
          <w:rFonts w:eastAsia="Times New Roman"/>
          <w:szCs w:val="24"/>
        </w:rPr>
        <w:t>.</w:t>
      </w:r>
    </w:p>
    <w:p w14:paraId="4A6F2BAF" w14:textId="77777777" w:rsidR="008E0F74" w:rsidRPr="00FC3B7C" w:rsidRDefault="00256F29">
      <w:pPr>
        <w:rPr>
          <w:sz w:val="20"/>
          <w:szCs w:val="20"/>
        </w:rPr>
      </w:pPr>
      <w:r w:rsidRPr="00FC3B7C">
        <w:rPr>
          <w:rFonts w:eastAsia="Times New Roman"/>
          <w:b/>
          <w:bCs/>
          <w:szCs w:val="24"/>
          <w:u w:val="single"/>
        </w:rPr>
        <w:t>Cíle pro zabezpečení zkrácení délky pracovní doby</w:t>
      </w:r>
    </w:p>
    <w:p w14:paraId="4A6F2BB0" w14:textId="77777777" w:rsidR="008E0F74" w:rsidRPr="00FC3B7C" w:rsidRDefault="008E0F74">
      <w:pPr>
        <w:spacing w:line="143" w:lineRule="exact"/>
        <w:rPr>
          <w:sz w:val="20"/>
          <w:szCs w:val="20"/>
        </w:rPr>
      </w:pPr>
    </w:p>
    <w:p w14:paraId="4A6F2BB1" w14:textId="77777777" w:rsidR="008E0F74" w:rsidRPr="00712250" w:rsidRDefault="00256F29" w:rsidP="00D46B53">
      <w:pPr>
        <w:pStyle w:val="Odstavecseseznamem"/>
        <w:numPr>
          <w:ilvl w:val="0"/>
          <w:numId w:val="597"/>
        </w:numPr>
        <w:spacing w:after="240"/>
        <w:ind w:left="709" w:hanging="218"/>
        <w:rPr>
          <w:rFonts w:eastAsia="Times New Roman"/>
          <w:szCs w:val="24"/>
        </w:rPr>
      </w:pPr>
      <w:r w:rsidRPr="00FC3B7C">
        <w:rPr>
          <w:rFonts w:eastAsia="Times New Roman"/>
          <w:szCs w:val="24"/>
        </w:rPr>
        <w:t>tento cíl nesmí být v rozporu s produktivitou v dané ekonomice</w:t>
      </w:r>
    </w:p>
    <w:p w14:paraId="4A6F2BB2" w14:textId="77777777" w:rsidR="008E0F74" w:rsidRPr="00466189" w:rsidRDefault="00256F29" w:rsidP="00712250">
      <w:pPr>
        <w:pStyle w:val="Nadpis3"/>
        <w:rPr>
          <w:color w:val="1F3864" w:themeColor="accent1" w:themeShade="80"/>
          <w:sz w:val="20"/>
          <w:szCs w:val="20"/>
        </w:rPr>
      </w:pPr>
      <w:r w:rsidRPr="00466189">
        <w:rPr>
          <w:rFonts w:eastAsia="Times New Roman"/>
          <w:color w:val="1F3864" w:themeColor="accent1" w:themeShade="80"/>
        </w:rPr>
        <w:t>Měření jednotlivých cílů</w:t>
      </w:r>
    </w:p>
    <w:p w14:paraId="4A6F2BB3" w14:textId="77777777" w:rsidR="008E0F74" w:rsidRPr="00466189" w:rsidRDefault="00256F29" w:rsidP="00712250">
      <w:pPr>
        <w:pStyle w:val="Nadpis4"/>
        <w:rPr>
          <w:color w:val="1F3864" w:themeColor="accent1" w:themeShade="80"/>
          <w:sz w:val="20"/>
          <w:szCs w:val="20"/>
        </w:rPr>
      </w:pPr>
      <w:r w:rsidRPr="00466189">
        <w:rPr>
          <w:rFonts w:eastAsia="Times New Roman"/>
          <w:color w:val="1F3864" w:themeColor="accent1" w:themeShade="80"/>
        </w:rPr>
        <w:t>Hrubý domácí produkt (HDP)</w:t>
      </w:r>
    </w:p>
    <w:p w14:paraId="6CCCD5EA" w14:textId="77777777" w:rsidR="000C1B71" w:rsidRDefault="000C1B71" w:rsidP="00D46B53">
      <w:pPr>
        <w:pStyle w:val="Odstavecseseznamem"/>
        <w:numPr>
          <w:ilvl w:val="0"/>
          <w:numId w:val="716"/>
        </w:numPr>
        <w:rPr>
          <w:rFonts w:eastAsia="Times New Roman"/>
        </w:rPr>
      </w:pPr>
      <w:r>
        <w:rPr>
          <w:rFonts w:eastAsia="Times New Roman"/>
        </w:rPr>
        <w:t>Základní makroekonomický a národohospodářský agregát, pomocí něhož se měří výkonnost ekonomiky daného státu.</w:t>
      </w:r>
    </w:p>
    <w:p w14:paraId="093771A0" w14:textId="77777777" w:rsidR="000C1B71" w:rsidRDefault="000C1B71" w:rsidP="00D46B53">
      <w:pPr>
        <w:pStyle w:val="Odstavecseseznamem"/>
        <w:numPr>
          <w:ilvl w:val="0"/>
          <w:numId w:val="716"/>
        </w:numPr>
        <w:rPr>
          <w:rFonts w:eastAsia="Times New Roman"/>
        </w:rPr>
      </w:pPr>
      <w:r>
        <w:rPr>
          <w:rFonts w:eastAsia="Times New Roman"/>
        </w:rPr>
        <w:t>Jde z něj vyčíst i životní úroveň obyvatelstva dané země</w:t>
      </w:r>
    </w:p>
    <w:p w14:paraId="2F0EB069" w14:textId="77777777" w:rsidR="000C1B71" w:rsidRDefault="000C1B71" w:rsidP="00D46B53">
      <w:pPr>
        <w:pStyle w:val="Odstavecseseznamem"/>
        <w:numPr>
          <w:ilvl w:val="0"/>
          <w:numId w:val="716"/>
        </w:numPr>
        <w:rPr>
          <w:rFonts w:eastAsia="Times New Roman"/>
        </w:rPr>
      </w:pPr>
      <w:r>
        <w:rPr>
          <w:rFonts w:eastAsia="Times New Roman"/>
        </w:rPr>
        <w:t>Je prokázána přímá souvislost mezi výší HDP a dětskou úmrtností (čím vyšší HDP, tím nižší úmrtnost).</w:t>
      </w:r>
    </w:p>
    <w:p w14:paraId="61928934" w14:textId="77777777" w:rsidR="000C1B71" w:rsidRDefault="000C1B71" w:rsidP="00D46B53">
      <w:pPr>
        <w:pStyle w:val="Odstavecseseznamem"/>
        <w:numPr>
          <w:ilvl w:val="0"/>
          <w:numId w:val="716"/>
        </w:numPr>
        <w:rPr>
          <w:rFonts w:eastAsia="Times New Roman"/>
        </w:rPr>
      </w:pPr>
      <w:r>
        <w:rPr>
          <w:rFonts w:eastAsia="Times New Roman"/>
        </w:rPr>
        <w:t xml:space="preserve">HDP udává tok zboží a služeb vyrobených na daném území za časovou jednotku (většinou jeden rok), </w:t>
      </w:r>
    </w:p>
    <w:p w14:paraId="4DA680A8" w14:textId="77777777" w:rsidR="000C1B71" w:rsidRPr="00AC6666" w:rsidRDefault="000C1B71" w:rsidP="00D46B53">
      <w:pPr>
        <w:pStyle w:val="Odstavecseseznamem"/>
        <w:numPr>
          <w:ilvl w:val="0"/>
          <w:numId w:val="716"/>
        </w:numPr>
        <w:rPr>
          <w:rFonts w:eastAsia="Times New Roman"/>
        </w:rPr>
      </w:pPr>
      <w:r>
        <w:rPr>
          <w:rFonts w:eastAsia="Times New Roman"/>
        </w:rPr>
        <w:t xml:space="preserve">spoustu věcí nám ale HDP neřekne, např.: úroveň života lidí, spokojenost </w:t>
      </w:r>
      <w:r w:rsidRPr="00AC6666">
        <w:rPr>
          <w:rFonts w:eastAsia="Times New Roman"/>
        </w:rPr>
        <w:t>obyvatelstva, kvalitu vzdělání, apod.,</w:t>
      </w:r>
    </w:p>
    <w:p w14:paraId="07A29509" w14:textId="77777777" w:rsidR="000C1B71" w:rsidRPr="00AC6666" w:rsidRDefault="000C1B71" w:rsidP="00D46B53">
      <w:pPr>
        <w:pStyle w:val="Odstavecseseznamem"/>
        <w:numPr>
          <w:ilvl w:val="0"/>
          <w:numId w:val="716"/>
        </w:numPr>
        <w:rPr>
          <w:rFonts w:eastAsia="Times New Roman"/>
        </w:rPr>
      </w:pPr>
      <w:r w:rsidRPr="00AC6666">
        <w:rPr>
          <w:rFonts w:eastAsia="Times New Roman"/>
        </w:rPr>
        <w:t>za rok 2019 činil HDP ČR 5 647 181 mld. Kč, vývoj HDP meziročně 2, 4%</w:t>
      </w:r>
      <w:r w:rsidRPr="00AC6666">
        <w:rPr>
          <w:rStyle w:val="Znakapoznpodarou"/>
          <w:rFonts w:eastAsia="Times New Roman"/>
        </w:rPr>
        <w:footnoteReference w:id="14"/>
      </w:r>
      <w:r w:rsidRPr="00AC6666">
        <w:rPr>
          <w:rFonts w:eastAsia="Times New Roman"/>
        </w:rPr>
        <w:t>.</w:t>
      </w:r>
    </w:p>
    <w:p w14:paraId="3760424D" w14:textId="77777777" w:rsidR="000C1B71" w:rsidRDefault="000C1B71" w:rsidP="000C1B71">
      <w:pPr>
        <w:spacing w:line="200" w:lineRule="exact"/>
        <w:rPr>
          <w:noProof/>
        </w:rPr>
      </w:pPr>
    </w:p>
    <w:p w14:paraId="02DC4C49" w14:textId="77777777" w:rsidR="000C1B71" w:rsidRDefault="000C1B71" w:rsidP="000C1B71">
      <w:pPr>
        <w:spacing w:line="200" w:lineRule="exact"/>
        <w:rPr>
          <w:noProof/>
        </w:rPr>
      </w:pPr>
    </w:p>
    <w:p w14:paraId="58673B80" w14:textId="77777777" w:rsidR="000C1B71" w:rsidRDefault="000C1B71" w:rsidP="000C1B71">
      <w:pPr>
        <w:spacing w:line="200" w:lineRule="exact"/>
        <w:rPr>
          <w:noProof/>
        </w:rPr>
      </w:pPr>
    </w:p>
    <w:p w14:paraId="0B627313" w14:textId="77777777" w:rsidR="000C1B71" w:rsidRDefault="000C1B71" w:rsidP="000C1B71">
      <w:pPr>
        <w:spacing w:line="200" w:lineRule="exact"/>
        <w:rPr>
          <w:noProof/>
        </w:rPr>
      </w:pPr>
    </w:p>
    <w:p w14:paraId="5AE554A7" w14:textId="41FF3A98" w:rsidR="000C1B71" w:rsidRDefault="000C1B71" w:rsidP="000C1B71">
      <w:pPr>
        <w:spacing w:line="200" w:lineRule="exact"/>
        <w:rPr>
          <w:noProof/>
        </w:rPr>
      </w:pPr>
    </w:p>
    <w:p w14:paraId="2AED5FB7" w14:textId="58E4E64D" w:rsidR="000C1B71" w:rsidRDefault="000C1B71" w:rsidP="000C1B71">
      <w:pPr>
        <w:spacing w:line="200" w:lineRule="exact"/>
        <w:rPr>
          <w:noProof/>
        </w:rPr>
      </w:pPr>
    </w:p>
    <w:p w14:paraId="6F7DA92C" w14:textId="2560D3C9" w:rsidR="000C1B71" w:rsidRDefault="000C1B71" w:rsidP="000C1B71">
      <w:pPr>
        <w:spacing w:line="200" w:lineRule="exact"/>
        <w:rPr>
          <w:noProof/>
        </w:rPr>
      </w:pPr>
    </w:p>
    <w:p w14:paraId="42CFF7F1" w14:textId="1AEF3E16" w:rsidR="000C1B71" w:rsidRDefault="000C1B71" w:rsidP="000C1B71">
      <w:pPr>
        <w:spacing w:line="200" w:lineRule="exact"/>
        <w:rPr>
          <w:noProof/>
        </w:rPr>
      </w:pPr>
    </w:p>
    <w:p w14:paraId="3F67B53D" w14:textId="6EC591DC" w:rsidR="000C1B71" w:rsidRDefault="000C1B71" w:rsidP="000C1B71">
      <w:pPr>
        <w:spacing w:line="200" w:lineRule="exact"/>
        <w:rPr>
          <w:noProof/>
        </w:rPr>
      </w:pPr>
    </w:p>
    <w:p w14:paraId="2C79879B" w14:textId="26774AC2" w:rsidR="000C1B71" w:rsidRDefault="000C1B71" w:rsidP="000C1B71">
      <w:pPr>
        <w:spacing w:line="200" w:lineRule="exact"/>
        <w:rPr>
          <w:noProof/>
        </w:rPr>
      </w:pPr>
    </w:p>
    <w:p w14:paraId="497BBA76" w14:textId="2AAD0D5F" w:rsidR="00AC6666" w:rsidRDefault="00AC6666" w:rsidP="000C1B71">
      <w:pPr>
        <w:spacing w:line="200" w:lineRule="exact"/>
        <w:rPr>
          <w:noProof/>
        </w:rPr>
      </w:pPr>
    </w:p>
    <w:p w14:paraId="4BE6BA72" w14:textId="6D8B8572" w:rsidR="00AC6666" w:rsidRDefault="00AC6666" w:rsidP="000C1B71">
      <w:pPr>
        <w:spacing w:line="200" w:lineRule="exact"/>
        <w:rPr>
          <w:noProof/>
        </w:rPr>
      </w:pPr>
    </w:p>
    <w:p w14:paraId="1C8B650C" w14:textId="77777777" w:rsidR="00AC6666" w:rsidRDefault="00AC6666" w:rsidP="000C1B71">
      <w:pPr>
        <w:spacing w:line="200" w:lineRule="exact"/>
        <w:rPr>
          <w:noProof/>
        </w:rPr>
      </w:pPr>
    </w:p>
    <w:p w14:paraId="2AC3B9F3" w14:textId="31C16F3A" w:rsidR="000C1B71" w:rsidRDefault="000C1B71" w:rsidP="000C1B71">
      <w:pPr>
        <w:spacing w:line="200" w:lineRule="exact"/>
        <w:rPr>
          <w:noProof/>
        </w:rPr>
      </w:pPr>
    </w:p>
    <w:p w14:paraId="64D4D6A4" w14:textId="543B31DC" w:rsidR="000C1B71" w:rsidRDefault="000C1B71" w:rsidP="000C1B71">
      <w:pPr>
        <w:spacing w:line="200" w:lineRule="exact"/>
        <w:rPr>
          <w:noProof/>
        </w:rPr>
      </w:pPr>
    </w:p>
    <w:p w14:paraId="7DF4AE6B" w14:textId="2ED4357C" w:rsidR="000C1B71" w:rsidRDefault="000C1B71" w:rsidP="000C1B71">
      <w:pPr>
        <w:spacing w:line="200" w:lineRule="exact"/>
        <w:rPr>
          <w:noProof/>
        </w:rPr>
      </w:pPr>
    </w:p>
    <w:p w14:paraId="1E149E35" w14:textId="180607A9" w:rsidR="000C1B71" w:rsidRDefault="000C1B71" w:rsidP="000C1B71">
      <w:pPr>
        <w:spacing w:line="200" w:lineRule="exact"/>
        <w:rPr>
          <w:noProof/>
        </w:rPr>
      </w:pPr>
    </w:p>
    <w:p w14:paraId="3A609EE9" w14:textId="27BD132F" w:rsidR="000C1B71" w:rsidRDefault="000C1B71" w:rsidP="000C1B71">
      <w:pPr>
        <w:spacing w:line="200" w:lineRule="exact"/>
        <w:rPr>
          <w:noProof/>
        </w:rPr>
      </w:pPr>
    </w:p>
    <w:p w14:paraId="1B95B0F1" w14:textId="58B1D03C" w:rsidR="000C1B71" w:rsidRDefault="000C1B71" w:rsidP="000C1B71">
      <w:pPr>
        <w:spacing w:line="200" w:lineRule="exact"/>
        <w:rPr>
          <w:noProof/>
        </w:rPr>
      </w:pPr>
    </w:p>
    <w:p w14:paraId="7ABC11E5" w14:textId="77777777" w:rsidR="000C1B71" w:rsidRDefault="000C1B71" w:rsidP="000C1B71">
      <w:pPr>
        <w:spacing w:line="200" w:lineRule="exact"/>
        <w:rPr>
          <w:noProof/>
        </w:rPr>
      </w:pPr>
    </w:p>
    <w:p w14:paraId="08A0B317" w14:textId="77777777" w:rsidR="000C1B71" w:rsidRDefault="000C1B71" w:rsidP="000C1B71">
      <w:pPr>
        <w:spacing w:line="200" w:lineRule="exact"/>
        <w:rPr>
          <w:noProof/>
        </w:rPr>
      </w:pPr>
    </w:p>
    <w:p w14:paraId="1803293D" w14:textId="38167AD7" w:rsidR="000C1B71" w:rsidRDefault="000C1B71" w:rsidP="000C1B71">
      <w:pPr>
        <w:spacing w:line="200" w:lineRule="exact"/>
        <w:rPr>
          <w:noProof/>
        </w:rPr>
      </w:pPr>
    </w:p>
    <w:p w14:paraId="4C51BF42" w14:textId="77777777" w:rsidR="000C1B71" w:rsidRDefault="000C1B71" w:rsidP="000C1B71">
      <w:pPr>
        <w:spacing w:line="200" w:lineRule="exact"/>
        <w:rPr>
          <w:noProof/>
        </w:rPr>
      </w:pPr>
    </w:p>
    <w:p w14:paraId="7723265B" w14:textId="2AF44E67" w:rsidR="000C1B71" w:rsidRDefault="000C1B71" w:rsidP="000C1B71">
      <w:pPr>
        <w:spacing w:line="200" w:lineRule="exact"/>
        <w:rPr>
          <w:noProof/>
        </w:rPr>
      </w:pPr>
    </w:p>
    <w:p w14:paraId="1A837A08" w14:textId="63CA9658" w:rsidR="000C1B71" w:rsidRPr="00AC6666" w:rsidRDefault="000C1B71" w:rsidP="000C1B71">
      <w:pPr>
        <w:spacing w:line="200" w:lineRule="exact"/>
        <w:rPr>
          <w:b/>
          <w:bCs/>
          <w:noProof/>
        </w:rPr>
      </w:pPr>
      <w:r w:rsidRPr="00AC6666">
        <w:rPr>
          <w:b/>
          <w:bCs/>
          <w:noProof/>
        </w:rPr>
        <w:lastRenderedPageBreak/>
        <w:t xml:space="preserve">Graf: Meziroční vývoj HDP </w:t>
      </w:r>
    </w:p>
    <w:p w14:paraId="40ED39E1" w14:textId="77777777" w:rsidR="000C1B71" w:rsidRDefault="000C1B71" w:rsidP="000C1B71">
      <w:pPr>
        <w:spacing w:line="200" w:lineRule="exact"/>
        <w:rPr>
          <w:noProof/>
        </w:rPr>
      </w:pPr>
    </w:p>
    <w:p w14:paraId="67D256AF" w14:textId="6F0B738F" w:rsidR="000C1B71" w:rsidRDefault="000C1B71" w:rsidP="000C1B71">
      <w:pPr>
        <w:spacing w:line="200" w:lineRule="exact"/>
        <w:rPr>
          <w:noProof/>
        </w:rPr>
      </w:pPr>
      <w:r>
        <w:rPr>
          <w:noProof/>
        </w:rPr>
        <w:drawing>
          <wp:anchor distT="0" distB="0" distL="114300" distR="114300" simplePos="0" relativeHeight="251634176" behindDoc="1" locked="0" layoutInCell="1" allowOverlap="1" wp14:anchorId="04E8A9F5" wp14:editId="3A7E44B4">
            <wp:simplePos x="0" y="0"/>
            <wp:positionH relativeFrom="column">
              <wp:posOffset>578576</wp:posOffset>
            </wp:positionH>
            <wp:positionV relativeFrom="paragraph">
              <wp:posOffset>12065</wp:posOffset>
            </wp:positionV>
            <wp:extent cx="4585970" cy="4890135"/>
            <wp:effectExtent l="0" t="0" r="5080" b="5715"/>
            <wp:wrapTight wrapText="bothSides">
              <wp:wrapPolygon edited="0">
                <wp:start x="0" y="0"/>
                <wp:lineTo x="0" y="21541"/>
                <wp:lineTo x="21534" y="21541"/>
                <wp:lineTo x="21534"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22">
                      <a:extLst>
                        <a:ext uri="{28A0092B-C50C-407E-A947-70E740481C1C}">
                          <a14:useLocalDpi xmlns:a14="http://schemas.microsoft.com/office/drawing/2010/main" val="0"/>
                        </a:ext>
                      </a:extLst>
                    </a:blip>
                    <a:srcRect l="18501" t="12453" r="37753" b="4620"/>
                    <a:stretch>
                      <a:fillRect/>
                    </a:stretch>
                  </pic:blipFill>
                  <pic:spPr bwMode="auto">
                    <a:xfrm>
                      <a:off x="0" y="0"/>
                      <a:ext cx="4585970" cy="4890135"/>
                    </a:xfrm>
                    <a:prstGeom prst="rect">
                      <a:avLst/>
                    </a:prstGeom>
                    <a:noFill/>
                  </pic:spPr>
                </pic:pic>
              </a:graphicData>
            </a:graphic>
            <wp14:sizeRelH relativeFrom="margin">
              <wp14:pctWidth>0</wp14:pctWidth>
            </wp14:sizeRelH>
            <wp14:sizeRelV relativeFrom="margin">
              <wp14:pctHeight>0</wp14:pctHeight>
            </wp14:sizeRelV>
          </wp:anchor>
        </w:drawing>
      </w:r>
    </w:p>
    <w:p w14:paraId="0B5471A3" w14:textId="77777777" w:rsidR="000C1B71" w:rsidRDefault="000C1B71" w:rsidP="000C1B71">
      <w:pPr>
        <w:spacing w:line="200" w:lineRule="exact"/>
        <w:rPr>
          <w:noProof/>
        </w:rPr>
      </w:pPr>
    </w:p>
    <w:p w14:paraId="41982992" w14:textId="167E578C" w:rsidR="000C1B71" w:rsidRDefault="000C1B71" w:rsidP="000C1B71">
      <w:pPr>
        <w:spacing w:line="200" w:lineRule="exact"/>
        <w:rPr>
          <w:noProof/>
        </w:rPr>
      </w:pPr>
    </w:p>
    <w:p w14:paraId="057F9817" w14:textId="2A38166C" w:rsidR="000C1B71" w:rsidRDefault="000C1B71" w:rsidP="000C1B71">
      <w:pPr>
        <w:spacing w:line="200" w:lineRule="exact"/>
        <w:rPr>
          <w:noProof/>
        </w:rPr>
      </w:pPr>
    </w:p>
    <w:p w14:paraId="0AFA59DD" w14:textId="77777777" w:rsidR="000C1B71" w:rsidRDefault="000C1B71" w:rsidP="000C1B71">
      <w:pPr>
        <w:spacing w:line="200" w:lineRule="exact"/>
        <w:rPr>
          <w:noProof/>
        </w:rPr>
      </w:pPr>
    </w:p>
    <w:p w14:paraId="41562CE8" w14:textId="77777777" w:rsidR="000C1B71" w:rsidRDefault="000C1B71" w:rsidP="000C1B71">
      <w:pPr>
        <w:spacing w:line="200" w:lineRule="exact"/>
        <w:rPr>
          <w:noProof/>
        </w:rPr>
      </w:pPr>
    </w:p>
    <w:p w14:paraId="22058DE9" w14:textId="3FFB074C" w:rsidR="000C1B71" w:rsidRDefault="000C1B71" w:rsidP="000C1B71">
      <w:pPr>
        <w:spacing w:line="200" w:lineRule="exact"/>
        <w:rPr>
          <w:noProof/>
        </w:rPr>
      </w:pPr>
    </w:p>
    <w:p w14:paraId="4A21DE03" w14:textId="77777777" w:rsidR="000C1B71" w:rsidRDefault="000C1B71" w:rsidP="000C1B71">
      <w:pPr>
        <w:spacing w:line="200" w:lineRule="exact"/>
        <w:rPr>
          <w:noProof/>
        </w:rPr>
      </w:pPr>
    </w:p>
    <w:p w14:paraId="104F060A" w14:textId="77777777" w:rsidR="000C1B71" w:rsidRDefault="000C1B71" w:rsidP="000C1B71">
      <w:pPr>
        <w:spacing w:line="200" w:lineRule="exact"/>
        <w:rPr>
          <w:noProof/>
        </w:rPr>
      </w:pPr>
    </w:p>
    <w:p w14:paraId="42A76528" w14:textId="77777777" w:rsidR="000C1B71" w:rsidRDefault="000C1B71" w:rsidP="000C1B71">
      <w:pPr>
        <w:spacing w:line="200" w:lineRule="exact"/>
        <w:rPr>
          <w:noProof/>
        </w:rPr>
      </w:pPr>
    </w:p>
    <w:p w14:paraId="2AE079DD" w14:textId="77777777" w:rsidR="000C1B71" w:rsidRDefault="000C1B71" w:rsidP="000C1B71">
      <w:pPr>
        <w:spacing w:line="200" w:lineRule="exact"/>
        <w:rPr>
          <w:noProof/>
        </w:rPr>
      </w:pPr>
    </w:p>
    <w:p w14:paraId="00AFCDF5" w14:textId="3D6E024F" w:rsidR="000C1B71" w:rsidRDefault="000C1B71" w:rsidP="000C1B71">
      <w:pPr>
        <w:spacing w:line="200" w:lineRule="exact"/>
        <w:rPr>
          <w:noProof/>
        </w:rPr>
      </w:pPr>
    </w:p>
    <w:p w14:paraId="737CEC18" w14:textId="77777777" w:rsidR="000C1B71" w:rsidRDefault="000C1B71" w:rsidP="000C1B71">
      <w:pPr>
        <w:spacing w:line="200" w:lineRule="exact"/>
        <w:rPr>
          <w:noProof/>
        </w:rPr>
      </w:pPr>
    </w:p>
    <w:p w14:paraId="1A7A487D" w14:textId="43A0F5AF" w:rsidR="000C1B71" w:rsidRDefault="000C1B71" w:rsidP="000C1B71">
      <w:pPr>
        <w:spacing w:line="200" w:lineRule="exact"/>
        <w:rPr>
          <w:noProof/>
        </w:rPr>
      </w:pPr>
    </w:p>
    <w:p w14:paraId="603B947D" w14:textId="3EDB667C" w:rsidR="000C1B71" w:rsidRDefault="000C1B71" w:rsidP="000C1B71">
      <w:pPr>
        <w:spacing w:line="200" w:lineRule="exact"/>
        <w:rPr>
          <w:noProof/>
        </w:rPr>
      </w:pPr>
    </w:p>
    <w:p w14:paraId="68BC5846" w14:textId="36CFA2F5" w:rsidR="000C1B71" w:rsidRDefault="000C1B71" w:rsidP="000C1B71">
      <w:pPr>
        <w:spacing w:line="200" w:lineRule="exact"/>
        <w:rPr>
          <w:noProof/>
        </w:rPr>
      </w:pPr>
    </w:p>
    <w:p w14:paraId="1C935F9B" w14:textId="77777777" w:rsidR="000C1B71" w:rsidRDefault="000C1B71" w:rsidP="000C1B71">
      <w:pPr>
        <w:spacing w:line="200" w:lineRule="exact"/>
        <w:rPr>
          <w:sz w:val="20"/>
          <w:szCs w:val="20"/>
        </w:rPr>
      </w:pPr>
    </w:p>
    <w:p w14:paraId="5CC77F8B" w14:textId="58DB846F" w:rsidR="000C1B71" w:rsidRDefault="000C1B71" w:rsidP="000C1B71">
      <w:pPr>
        <w:spacing w:line="200" w:lineRule="exact"/>
        <w:rPr>
          <w:sz w:val="20"/>
          <w:szCs w:val="20"/>
        </w:rPr>
      </w:pPr>
    </w:p>
    <w:p w14:paraId="6C74E736" w14:textId="239A3C63" w:rsidR="000C1B71" w:rsidRDefault="000C1B71" w:rsidP="000C1B71">
      <w:pPr>
        <w:rPr>
          <w:rFonts w:eastAsia="Times New Roman"/>
          <w:b/>
          <w:bCs/>
          <w:szCs w:val="24"/>
        </w:rPr>
      </w:pPr>
    </w:p>
    <w:p w14:paraId="5BD6FC26" w14:textId="77777777" w:rsidR="000C1B71" w:rsidRDefault="000C1B71" w:rsidP="000C1B71">
      <w:pPr>
        <w:rPr>
          <w:rFonts w:eastAsia="Times New Roman"/>
          <w:b/>
          <w:bCs/>
          <w:szCs w:val="24"/>
        </w:rPr>
      </w:pPr>
    </w:p>
    <w:p w14:paraId="61942F9E" w14:textId="77777777" w:rsidR="000C1B71" w:rsidRDefault="000C1B71" w:rsidP="000C1B71">
      <w:pPr>
        <w:rPr>
          <w:rFonts w:eastAsia="Times New Roman"/>
          <w:b/>
          <w:bCs/>
          <w:szCs w:val="24"/>
        </w:rPr>
      </w:pPr>
    </w:p>
    <w:p w14:paraId="0CF3BD3B" w14:textId="77777777" w:rsidR="000C1B71" w:rsidRDefault="000C1B71" w:rsidP="000C1B71">
      <w:pPr>
        <w:rPr>
          <w:rFonts w:eastAsia="Times New Roman"/>
          <w:b/>
          <w:bCs/>
          <w:szCs w:val="24"/>
        </w:rPr>
      </w:pPr>
    </w:p>
    <w:p w14:paraId="7DAF4B6F" w14:textId="77777777" w:rsidR="000C1B71" w:rsidRDefault="000C1B71" w:rsidP="000C1B71">
      <w:pPr>
        <w:rPr>
          <w:rFonts w:eastAsia="Times New Roman"/>
          <w:b/>
          <w:bCs/>
          <w:szCs w:val="24"/>
        </w:rPr>
      </w:pPr>
    </w:p>
    <w:p w14:paraId="1C9AA8E1" w14:textId="77777777" w:rsidR="000C1B71" w:rsidRDefault="000C1B71" w:rsidP="000C1B71">
      <w:pPr>
        <w:pStyle w:val="Odstavecseseznamem"/>
        <w:rPr>
          <w:rFonts w:eastAsia="Times New Roman"/>
          <w:color w:val="FF0000"/>
          <w:szCs w:val="24"/>
        </w:rPr>
      </w:pPr>
    </w:p>
    <w:p w14:paraId="5F239EC8" w14:textId="77777777" w:rsidR="000C1B71" w:rsidRDefault="000C1B71" w:rsidP="000C1B71">
      <w:pPr>
        <w:pStyle w:val="Odstavecseseznamem"/>
        <w:rPr>
          <w:rFonts w:eastAsia="Times New Roman"/>
          <w:color w:val="FF0000"/>
          <w:szCs w:val="24"/>
        </w:rPr>
      </w:pPr>
    </w:p>
    <w:p w14:paraId="38D58B03" w14:textId="77777777" w:rsidR="000C1B71" w:rsidRDefault="000C1B71" w:rsidP="000C1B71">
      <w:pPr>
        <w:pStyle w:val="Odstavecseseznamem"/>
        <w:rPr>
          <w:rFonts w:eastAsia="Times New Roman"/>
          <w:color w:val="FF0000"/>
          <w:szCs w:val="24"/>
        </w:rPr>
      </w:pPr>
    </w:p>
    <w:p w14:paraId="633D4AA6" w14:textId="26B1D79E" w:rsidR="000C1B71" w:rsidRDefault="000C1B71" w:rsidP="000C1B71">
      <w:pPr>
        <w:pStyle w:val="Odstavecseseznamem"/>
        <w:rPr>
          <w:rFonts w:eastAsia="Times New Roman"/>
          <w:color w:val="FF0000"/>
          <w:szCs w:val="24"/>
        </w:rPr>
      </w:pPr>
    </w:p>
    <w:p w14:paraId="0FA98ADD" w14:textId="7640F82E" w:rsidR="000C1B71" w:rsidRPr="00AC6666" w:rsidRDefault="000C1B71" w:rsidP="000C1B71">
      <w:pPr>
        <w:pStyle w:val="Odstavecseseznamem"/>
        <w:rPr>
          <w:rFonts w:eastAsia="Times New Roman"/>
          <w:color w:val="FF0000"/>
          <w:sz w:val="20"/>
          <w:szCs w:val="20"/>
        </w:rPr>
      </w:pPr>
    </w:p>
    <w:p w14:paraId="357DE9E2" w14:textId="2A4CE8E7" w:rsidR="000C1B71" w:rsidRPr="00AC6666" w:rsidRDefault="000C1B71" w:rsidP="000C1B71">
      <w:pPr>
        <w:rPr>
          <w:rFonts w:eastAsia="Times New Roman"/>
          <w:i/>
          <w:iCs/>
          <w:sz w:val="20"/>
          <w:szCs w:val="20"/>
        </w:rPr>
      </w:pPr>
      <w:r w:rsidRPr="00AC6666">
        <w:rPr>
          <w:rFonts w:eastAsia="Times New Roman"/>
          <w:i/>
          <w:iCs/>
          <w:sz w:val="20"/>
          <w:szCs w:val="20"/>
        </w:rPr>
        <w:t>Zdroj:https://www.kurzy.cz/makroekonomika/hdp/</w:t>
      </w:r>
    </w:p>
    <w:p w14:paraId="4A6F2BBD" w14:textId="77777777" w:rsidR="008E0F74" w:rsidRPr="00FC3B7C" w:rsidRDefault="008E0F74">
      <w:pPr>
        <w:spacing w:line="200" w:lineRule="exact"/>
        <w:rPr>
          <w:sz w:val="20"/>
          <w:szCs w:val="20"/>
        </w:rPr>
      </w:pPr>
    </w:p>
    <w:p w14:paraId="4A6F2BBE" w14:textId="77777777" w:rsidR="008E0F74" w:rsidRPr="00FC3B7C" w:rsidRDefault="00256F29" w:rsidP="000550CE">
      <w:pPr>
        <w:rPr>
          <w:sz w:val="20"/>
          <w:szCs w:val="20"/>
        </w:rPr>
      </w:pPr>
      <w:r w:rsidRPr="00FC3B7C">
        <w:rPr>
          <w:rFonts w:eastAsia="Times New Roman"/>
          <w:b/>
          <w:bCs/>
          <w:szCs w:val="24"/>
        </w:rPr>
        <w:t>Měření HDP:</w:t>
      </w:r>
    </w:p>
    <w:p w14:paraId="4A6F2BBF" w14:textId="77777777" w:rsidR="008E0F74" w:rsidRPr="00BB088E" w:rsidRDefault="00256F29" w:rsidP="00D46B53">
      <w:pPr>
        <w:pStyle w:val="Odstavecseseznamem"/>
        <w:numPr>
          <w:ilvl w:val="0"/>
          <w:numId w:val="595"/>
        </w:numPr>
        <w:rPr>
          <w:rFonts w:eastAsia="Times New Roman"/>
        </w:rPr>
      </w:pPr>
      <w:r w:rsidRPr="00BB088E">
        <w:rPr>
          <w:rFonts w:eastAsia="Times New Roman"/>
          <w:b/>
        </w:rPr>
        <w:t>Výrobková metoda:</w:t>
      </w:r>
      <w:r w:rsidRPr="00BB088E">
        <w:rPr>
          <w:rFonts w:eastAsia="Times New Roman"/>
        </w:rPr>
        <w:t xml:space="preserve"> sečtení přidaných hodnot všech výrobků a služeb vyrobených </w:t>
      </w:r>
      <w:r w:rsidR="00BB088E">
        <w:rPr>
          <w:rFonts w:eastAsia="Times New Roman"/>
        </w:rPr>
        <w:br/>
      </w:r>
      <w:r w:rsidRPr="00BB088E">
        <w:rPr>
          <w:rFonts w:eastAsia="Times New Roman"/>
        </w:rPr>
        <w:t>za jeden rok</w:t>
      </w:r>
      <w:r w:rsidR="00BB088E">
        <w:rPr>
          <w:rFonts w:eastAsia="Times New Roman"/>
        </w:rPr>
        <w:t>.</w:t>
      </w:r>
    </w:p>
    <w:p w14:paraId="4A6F2BC0" w14:textId="77777777" w:rsidR="008E0F74" w:rsidRPr="00BB088E" w:rsidRDefault="00256F29" w:rsidP="00D46B53">
      <w:pPr>
        <w:pStyle w:val="Odstavecseseznamem"/>
        <w:numPr>
          <w:ilvl w:val="0"/>
          <w:numId w:val="595"/>
        </w:numPr>
        <w:rPr>
          <w:rFonts w:eastAsia="Times New Roman"/>
        </w:rPr>
      </w:pPr>
      <w:r w:rsidRPr="00BB088E">
        <w:rPr>
          <w:rFonts w:eastAsia="Times New Roman"/>
          <w:b/>
        </w:rPr>
        <w:t>Výdajová metoda:</w:t>
      </w:r>
      <w:r w:rsidRPr="00BB088E">
        <w:rPr>
          <w:rFonts w:eastAsia="Times New Roman"/>
        </w:rPr>
        <w:t xml:space="preserve"> Výdaje všech subjektů na nákup zboží a služeb za jeden rok (započítávají se jen náklady na konečné zboží a služby za jeden rok)</w:t>
      </w:r>
      <w:r w:rsidR="00BB088E">
        <w:rPr>
          <w:rFonts w:eastAsia="Times New Roman"/>
        </w:rPr>
        <w:t>.</w:t>
      </w:r>
    </w:p>
    <w:p w14:paraId="4A6F2BC1" w14:textId="77777777" w:rsidR="008E0F74" w:rsidRPr="00BB088E" w:rsidRDefault="00256F29" w:rsidP="00D46B53">
      <w:pPr>
        <w:pStyle w:val="Odstavecseseznamem"/>
        <w:numPr>
          <w:ilvl w:val="1"/>
          <w:numId w:val="595"/>
        </w:numPr>
        <w:rPr>
          <w:rFonts w:eastAsia="Times New Roman"/>
        </w:rPr>
      </w:pPr>
      <w:r w:rsidRPr="00BB088E">
        <w:rPr>
          <w:rFonts w:eastAsia="Times New Roman"/>
        </w:rPr>
        <w:t>U HDP rozeznáváme výdaje na spotřebu, investice, veřejné výdaje a čistý vývoz</w:t>
      </w:r>
    </w:p>
    <w:p w14:paraId="4A6F2BC2" w14:textId="77777777" w:rsidR="008E0F74" w:rsidRPr="00FC3B7C" w:rsidRDefault="008E0F74">
      <w:pPr>
        <w:spacing w:line="20" w:lineRule="exact"/>
        <w:rPr>
          <w:sz w:val="20"/>
          <w:szCs w:val="20"/>
        </w:rPr>
      </w:pPr>
    </w:p>
    <w:p w14:paraId="4A6F2BC3" w14:textId="77777777" w:rsidR="008E0F74" w:rsidRPr="00FC3B7C" w:rsidRDefault="00256F29">
      <w:pPr>
        <w:ind w:left="2940"/>
        <w:rPr>
          <w:sz w:val="20"/>
          <w:szCs w:val="20"/>
        </w:rPr>
      </w:pPr>
      <w:bookmarkStart w:id="33" w:name="page31"/>
      <w:bookmarkEnd w:id="33"/>
      <w:r w:rsidRPr="00FC3B7C">
        <w:rPr>
          <w:rFonts w:eastAsia="Times New Roman"/>
          <w:b/>
          <w:bCs/>
          <w:szCs w:val="24"/>
        </w:rPr>
        <w:t>Y = C + I + G + NX</w:t>
      </w:r>
    </w:p>
    <w:p w14:paraId="4A6F2BC4" w14:textId="77777777" w:rsidR="008E0F74" w:rsidRPr="00FC3B7C" w:rsidRDefault="008E0F74">
      <w:pPr>
        <w:spacing w:line="170" w:lineRule="exact"/>
        <w:rPr>
          <w:sz w:val="20"/>
          <w:szCs w:val="20"/>
        </w:rPr>
      </w:pPr>
    </w:p>
    <w:p w14:paraId="4A6F2BC5" w14:textId="77777777" w:rsidR="008E0F74" w:rsidRPr="00BB088E" w:rsidRDefault="00256F29" w:rsidP="00D46B53">
      <w:pPr>
        <w:pStyle w:val="Odstavecseseznamem"/>
        <w:numPr>
          <w:ilvl w:val="0"/>
          <w:numId w:val="595"/>
        </w:numPr>
        <w:rPr>
          <w:rFonts w:eastAsia="Times New Roman"/>
        </w:rPr>
      </w:pPr>
      <w:r w:rsidRPr="00BB088E">
        <w:rPr>
          <w:rFonts w:eastAsia="Times New Roman"/>
          <w:b/>
        </w:rPr>
        <w:t>Důchodová metoda</w:t>
      </w:r>
      <w:r w:rsidRPr="00BB088E">
        <w:rPr>
          <w:rFonts w:eastAsia="Times New Roman"/>
        </w:rPr>
        <w:t>: Předpokládá, že agregátní výdaje se rovnají agregátním nákladům</w:t>
      </w:r>
      <w:r w:rsidR="00BB088E">
        <w:rPr>
          <w:rFonts w:eastAsia="Times New Roman"/>
        </w:rPr>
        <w:t>.</w:t>
      </w:r>
    </w:p>
    <w:p w14:paraId="4A6F2BC6" w14:textId="442BD4F7" w:rsidR="008E0F74" w:rsidRPr="00BB088E" w:rsidRDefault="00256F29" w:rsidP="00D46B53">
      <w:pPr>
        <w:pStyle w:val="Odstavecseseznamem"/>
        <w:numPr>
          <w:ilvl w:val="1"/>
          <w:numId w:val="595"/>
        </w:numPr>
        <w:rPr>
          <w:rFonts w:eastAsia="Times New Roman"/>
        </w:rPr>
      </w:pPr>
      <w:r w:rsidRPr="00BB088E">
        <w:rPr>
          <w:rFonts w:eastAsia="Times New Roman"/>
        </w:rPr>
        <w:lastRenderedPageBreak/>
        <w:t>Do důchodů se započítávají: Mzdy (včetně ostatních náhrad), nájemné (důchody z pronajatých pozemků a nemovitostí, včetně imputovaného nájemného), úroky a zisky firem a OSVČ</w:t>
      </w:r>
      <w:r w:rsidR="00BB088E">
        <w:rPr>
          <w:rFonts w:eastAsia="Times New Roman"/>
        </w:rPr>
        <w:t>.</w:t>
      </w:r>
    </w:p>
    <w:p w14:paraId="4A6F2BC7" w14:textId="77777777" w:rsidR="008E0F74" w:rsidRPr="00FC3B7C" w:rsidRDefault="008E0F74">
      <w:pPr>
        <w:spacing w:line="164" w:lineRule="exact"/>
        <w:rPr>
          <w:sz w:val="20"/>
          <w:szCs w:val="20"/>
        </w:rPr>
      </w:pPr>
    </w:p>
    <w:p w14:paraId="4A6F2BC8" w14:textId="77777777" w:rsidR="008E0F74" w:rsidRPr="00FC3B7C" w:rsidRDefault="00256F29" w:rsidP="00BB088E">
      <w:pPr>
        <w:rPr>
          <w:sz w:val="20"/>
          <w:szCs w:val="20"/>
        </w:rPr>
      </w:pPr>
      <w:r w:rsidRPr="00FC3B7C">
        <w:rPr>
          <w:rFonts w:eastAsia="Times New Roman"/>
        </w:rPr>
        <w:t>HDP se počítá na územním principu a je používán hlavně v Evropě. Většinou se používá HDP převedeno na obyvatele</w:t>
      </w:r>
    </w:p>
    <w:p w14:paraId="4A6F2BC9" w14:textId="77777777" w:rsidR="008E0F74" w:rsidRPr="00FC3B7C" w:rsidRDefault="008E0F74">
      <w:pPr>
        <w:spacing w:line="158" w:lineRule="exact"/>
        <w:rPr>
          <w:sz w:val="20"/>
          <w:szCs w:val="20"/>
        </w:rPr>
      </w:pPr>
    </w:p>
    <w:p w14:paraId="4A6F2BCA" w14:textId="77777777" w:rsidR="008E0F74" w:rsidRPr="000C1B71" w:rsidRDefault="00256F29" w:rsidP="00BB088E">
      <w:pPr>
        <w:pStyle w:val="Nadpis4"/>
        <w:rPr>
          <w:color w:val="1F3864" w:themeColor="accent1" w:themeShade="80"/>
          <w:sz w:val="20"/>
          <w:szCs w:val="20"/>
        </w:rPr>
      </w:pPr>
      <w:r w:rsidRPr="000C1B71">
        <w:rPr>
          <w:rFonts w:eastAsia="Times New Roman"/>
          <w:color w:val="1F3864" w:themeColor="accent1" w:themeShade="80"/>
        </w:rPr>
        <w:t>Hrubý národní produkt</w:t>
      </w:r>
    </w:p>
    <w:p w14:paraId="4A6F2BCB" w14:textId="77777777" w:rsidR="008E0F74" w:rsidRPr="00BB088E" w:rsidRDefault="00256F29" w:rsidP="00D46B53">
      <w:pPr>
        <w:pStyle w:val="Odstavecseseznamem"/>
        <w:numPr>
          <w:ilvl w:val="0"/>
          <w:numId w:val="595"/>
        </w:numPr>
        <w:rPr>
          <w:rFonts w:eastAsia="Times New Roman"/>
        </w:rPr>
      </w:pPr>
      <w:r w:rsidRPr="00BB088E">
        <w:rPr>
          <w:rFonts w:eastAsia="Times New Roman"/>
        </w:rPr>
        <w:t>Vyjadřuje celkovou peněžní hodnotu toku zboží a služeb vytvořenou výrobními faktory ve vlastnictví subjektů národní ekonomiky (residenty) za dané období</w:t>
      </w:r>
      <w:r w:rsidR="00BB088E">
        <w:rPr>
          <w:rFonts w:eastAsia="Times New Roman"/>
        </w:rPr>
        <w:t>.</w:t>
      </w:r>
    </w:p>
    <w:p w14:paraId="4A6F2BCC" w14:textId="77777777" w:rsidR="008E0F74" w:rsidRPr="00BB088E" w:rsidRDefault="00256F29" w:rsidP="00D46B53">
      <w:pPr>
        <w:pStyle w:val="Odstavecseseznamem"/>
        <w:numPr>
          <w:ilvl w:val="0"/>
          <w:numId w:val="595"/>
        </w:numPr>
        <w:rPr>
          <w:rFonts w:eastAsia="Times New Roman"/>
        </w:rPr>
      </w:pPr>
      <w:r w:rsidRPr="00BB088E">
        <w:rPr>
          <w:rFonts w:eastAsia="Times New Roman"/>
        </w:rPr>
        <w:t>Tento ukazatel je počítán na národním principu a započítávají se sem i produkty vyrobené v zahraničí výrobními faktory daného státu.</w:t>
      </w:r>
    </w:p>
    <w:p w14:paraId="4A6F2BCD" w14:textId="77777777" w:rsidR="008E0F74" w:rsidRPr="00BB088E" w:rsidRDefault="00256F29" w:rsidP="00D46B53">
      <w:pPr>
        <w:pStyle w:val="Odstavecseseznamem"/>
        <w:numPr>
          <w:ilvl w:val="0"/>
          <w:numId w:val="595"/>
        </w:numPr>
        <w:rPr>
          <w:rFonts w:eastAsia="Times New Roman"/>
        </w:rPr>
      </w:pPr>
      <w:r w:rsidRPr="00BB088E">
        <w:rPr>
          <w:rFonts w:eastAsia="Times New Roman"/>
        </w:rPr>
        <w:t>Nezahrnuje zahraniční výrobu na domácím území</w:t>
      </w:r>
      <w:r w:rsidR="00BB088E">
        <w:rPr>
          <w:rFonts w:eastAsia="Times New Roman"/>
        </w:rPr>
        <w:t>.</w:t>
      </w:r>
    </w:p>
    <w:p w14:paraId="4A6F2BCE" w14:textId="77777777" w:rsidR="008E0F74" w:rsidRPr="00BB088E" w:rsidRDefault="00256F29" w:rsidP="00D46B53">
      <w:pPr>
        <w:pStyle w:val="Odstavecseseznamem"/>
        <w:numPr>
          <w:ilvl w:val="0"/>
          <w:numId w:val="595"/>
        </w:numPr>
        <w:rPr>
          <w:rFonts w:eastAsia="Times New Roman"/>
        </w:rPr>
      </w:pPr>
      <w:r w:rsidRPr="00BB088E">
        <w:rPr>
          <w:rFonts w:eastAsia="Times New Roman"/>
        </w:rPr>
        <w:t>HDP versus HNP =&gt; HDP – teritoriální přístup, HNP – rezidenční přístup</w:t>
      </w:r>
      <w:r w:rsidR="00BB088E">
        <w:rPr>
          <w:rFonts w:eastAsia="Times New Roman"/>
        </w:rPr>
        <w:t>.</w:t>
      </w:r>
    </w:p>
    <w:p w14:paraId="4A6F2BCF" w14:textId="77777777" w:rsidR="008E0F74" w:rsidRPr="000C1B71" w:rsidRDefault="00256F29" w:rsidP="00BB088E">
      <w:pPr>
        <w:pStyle w:val="Nadpis4"/>
        <w:rPr>
          <w:color w:val="1F3864" w:themeColor="accent1" w:themeShade="80"/>
          <w:sz w:val="20"/>
          <w:szCs w:val="20"/>
        </w:rPr>
      </w:pPr>
      <w:r w:rsidRPr="000C1B71">
        <w:rPr>
          <w:rFonts w:eastAsia="Times New Roman"/>
          <w:color w:val="1F3864" w:themeColor="accent1" w:themeShade="80"/>
        </w:rPr>
        <w:t>Čistý domácí produkt</w:t>
      </w:r>
    </w:p>
    <w:p w14:paraId="4A6F2BD0" w14:textId="77777777" w:rsidR="008E0F74" w:rsidRPr="00BB088E" w:rsidRDefault="00256F29" w:rsidP="00D46B53">
      <w:pPr>
        <w:pStyle w:val="Odstavecseseznamem"/>
        <w:numPr>
          <w:ilvl w:val="0"/>
          <w:numId w:val="595"/>
        </w:numPr>
        <w:spacing w:after="240"/>
        <w:rPr>
          <w:rFonts w:eastAsia="Times New Roman"/>
        </w:rPr>
      </w:pPr>
      <w:r w:rsidRPr="00BB088E">
        <w:rPr>
          <w:rFonts w:eastAsia="Times New Roman"/>
        </w:rPr>
        <w:t>spočítá se jako HDP minus opotřebení kapitálu</w:t>
      </w:r>
      <w:r w:rsidR="00BB088E">
        <w:rPr>
          <w:rFonts w:eastAsia="Times New Roman"/>
        </w:rPr>
        <w:t>.</w:t>
      </w:r>
    </w:p>
    <w:p w14:paraId="4A6F2BD1" w14:textId="77777777" w:rsidR="008E0F74" w:rsidRPr="000C1B71" w:rsidRDefault="00256F29" w:rsidP="00BB088E">
      <w:pPr>
        <w:pStyle w:val="Nadpis4"/>
        <w:rPr>
          <w:color w:val="1F3864" w:themeColor="accent1" w:themeShade="80"/>
          <w:sz w:val="20"/>
          <w:szCs w:val="20"/>
        </w:rPr>
      </w:pPr>
      <w:r w:rsidRPr="000C1B71">
        <w:rPr>
          <w:rFonts w:eastAsia="Times New Roman"/>
          <w:color w:val="1F3864" w:themeColor="accent1" w:themeShade="80"/>
        </w:rPr>
        <w:t>Nominální produkt</w:t>
      </w:r>
    </w:p>
    <w:p w14:paraId="4A6F2BD2" w14:textId="77777777" w:rsidR="008E0F74" w:rsidRPr="00BB088E" w:rsidRDefault="00256F29" w:rsidP="00D46B53">
      <w:pPr>
        <w:pStyle w:val="Odstavecseseznamem"/>
        <w:numPr>
          <w:ilvl w:val="0"/>
          <w:numId w:val="595"/>
        </w:numPr>
        <w:spacing w:after="240"/>
        <w:rPr>
          <w:rFonts w:eastAsia="Times New Roman"/>
        </w:rPr>
      </w:pPr>
      <w:r w:rsidRPr="00BB088E">
        <w:rPr>
          <w:rFonts w:eastAsia="Times New Roman"/>
        </w:rPr>
        <w:t>Je produkt vyjádřený v běžných cenách (cenách běžného období). V jeho změně se odráží nejen změny produ</w:t>
      </w:r>
      <w:r w:rsidR="00BB088E">
        <w:rPr>
          <w:rFonts w:eastAsia="Times New Roman"/>
        </w:rPr>
        <w:t>kce, ale i změny cenové hladiny.</w:t>
      </w:r>
    </w:p>
    <w:p w14:paraId="4A6F2BD3" w14:textId="77777777" w:rsidR="008E0F74" w:rsidRPr="000C1B71" w:rsidRDefault="00256F29" w:rsidP="00BB088E">
      <w:pPr>
        <w:pStyle w:val="Nadpis4"/>
        <w:rPr>
          <w:color w:val="1F3864" w:themeColor="accent1" w:themeShade="80"/>
          <w:sz w:val="20"/>
          <w:szCs w:val="20"/>
        </w:rPr>
      </w:pPr>
      <w:r w:rsidRPr="000C1B71">
        <w:rPr>
          <w:rFonts w:eastAsia="Times New Roman"/>
          <w:color w:val="1F3864" w:themeColor="accent1" w:themeShade="80"/>
        </w:rPr>
        <w:t>Reálný produkt</w:t>
      </w:r>
    </w:p>
    <w:p w14:paraId="4A6F2BD4" w14:textId="77777777" w:rsidR="008E0F74" w:rsidRPr="00BB088E" w:rsidRDefault="00256F29" w:rsidP="00D46B53">
      <w:pPr>
        <w:pStyle w:val="Odstavecseseznamem"/>
        <w:numPr>
          <w:ilvl w:val="0"/>
          <w:numId w:val="595"/>
        </w:numPr>
        <w:spacing w:after="240"/>
        <w:rPr>
          <w:rFonts w:eastAsia="Times New Roman"/>
        </w:rPr>
      </w:pPr>
      <w:r w:rsidRPr="00BB088E">
        <w:rPr>
          <w:rFonts w:eastAsia="Times New Roman"/>
        </w:rPr>
        <w:t>Je produkt vyjádřený ve stálých cenách. To znamená v cenách minulého období</w:t>
      </w:r>
      <w:r w:rsidR="00BB088E">
        <w:rPr>
          <w:rFonts w:eastAsia="Times New Roman"/>
        </w:rPr>
        <w:t>.</w:t>
      </w:r>
    </w:p>
    <w:p w14:paraId="4A6F2BD5" w14:textId="77777777" w:rsidR="008E0F74" w:rsidRPr="00BB088E" w:rsidRDefault="00256F29" w:rsidP="00D46B53">
      <w:pPr>
        <w:pStyle w:val="Odstavecseseznamem"/>
        <w:numPr>
          <w:ilvl w:val="0"/>
          <w:numId w:val="595"/>
        </w:numPr>
        <w:spacing w:after="240"/>
        <w:rPr>
          <w:rFonts w:eastAsia="Times New Roman"/>
        </w:rPr>
      </w:pPr>
      <w:r w:rsidRPr="00BB088E">
        <w:rPr>
          <w:rFonts w:eastAsia="Times New Roman"/>
        </w:rPr>
        <w:t>Je očištěn o inflaci, díky tomu odráží pouze změnu produkce, a tak můžeme vidět, zda rostl produkt nebo pouze inflace</w:t>
      </w:r>
      <w:r w:rsidR="00BB088E">
        <w:rPr>
          <w:rFonts w:eastAsia="Times New Roman"/>
        </w:rPr>
        <w:t>.</w:t>
      </w:r>
    </w:p>
    <w:p w14:paraId="23206F12" w14:textId="77777777" w:rsidR="00AC6666" w:rsidRPr="000C1B71" w:rsidRDefault="00AC6666" w:rsidP="00AC6666">
      <w:pPr>
        <w:pStyle w:val="Nadpis4"/>
        <w:rPr>
          <w:color w:val="1F3864" w:themeColor="accent1" w:themeShade="80"/>
          <w:sz w:val="20"/>
          <w:szCs w:val="20"/>
        </w:rPr>
      </w:pPr>
      <w:r w:rsidRPr="000C1B71">
        <w:rPr>
          <w:rFonts w:eastAsia="Times New Roman"/>
          <w:color w:val="1F3864" w:themeColor="accent1" w:themeShade="80"/>
        </w:rPr>
        <w:t>Potencionální produkt</w:t>
      </w:r>
    </w:p>
    <w:p w14:paraId="2E51BBB7" w14:textId="77777777" w:rsidR="00AC6666" w:rsidRPr="00BB088E" w:rsidRDefault="00AC6666" w:rsidP="00D46B53">
      <w:pPr>
        <w:pStyle w:val="Odstavecseseznamem"/>
        <w:numPr>
          <w:ilvl w:val="0"/>
          <w:numId w:val="595"/>
        </w:numPr>
        <w:spacing w:after="240"/>
        <w:rPr>
          <w:rFonts w:eastAsia="Times New Roman"/>
        </w:rPr>
      </w:pPr>
      <w:r w:rsidRPr="00BB088E">
        <w:rPr>
          <w:rFonts w:eastAsia="Times New Roman"/>
        </w:rPr>
        <w:t>Teoretická výše produktu, kterého by bylo dosaženo, kdyby byly využity všechny výrobní faktory na maximum</w:t>
      </w:r>
      <w:r>
        <w:rPr>
          <w:rFonts w:eastAsia="Times New Roman"/>
        </w:rPr>
        <w:t>.</w:t>
      </w:r>
    </w:p>
    <w:p w14:paraId="109B327A" w14:textId="77777777" w:rsidR="00AC6666" w:rsidRPr="00BB088E" w:rsidRDefault="00AC6666" w:rsidP="00D46B53">
      <w:pPr>
        <w:pStyle w:val="Odstavecseseznamem"/>
        <w:numPr>
          <w:ilvl w:val="0"/>
          <w:numId w:val="595"/>
        </w:numPr>
        <w:spacing w:after="240"/>
        <w:rPr>
          <w:rFonts w:eastAsia="Times New Roman"/>
        </w:rPr>
      </w:pPr>
      <w:bookmarkStart w:id="34" w:name="page32"/>
      <w:bookmarkEnd w:id="34"/>
      <w:r w:rsidRPr="00BB088E">
        <w:rPr>
          <w:rFonts w:eastAsia="Times New Roman"/>
        </w:rPr>
        <w:t>Potencionální produkt je produkt vytvořený při přirozené míře nezaměstnanosti</w:t>
      </w:r>
      <w:r>
        <w:rPr>
          <w:rFonts w:eastAsia="Times New Roman"/>
        </w:rPr>
        <w:t>.</w:t>
      </w:r>
    </w:p>
    <w:p w14:paraId="2CEC2160" w14:textId="77777777" w:rsidR="00AC6666" w:rsidRPr="00BB088E" w:rsidRDefault="00AC6666" w:rsidP="00D46B53">
      <w:pPr>
        <w:pStyle w:val="Odstavecseseznamem"/>
        <w:numPr>
          <w:ilvl w:val="0"/>
          <w:numId w:val="595"/>
        </w:numPr>
        <w:spacing w:after="240"/>
        <w:rPr>
          <w:rFonts w:eastAsia="Times New Roman"/>
        </w:rPr>
      </w:pPr>
      <w:r w:rsidRPr="00BB088E">
        <w:rPr>
          <w:rFonts w:eastAsia="Times New Roman"/>
        </w:rPr>
        <w:t>HDP osciluje kolem potencionálního produktu, pokud je HDP pod potencionálním produktem, nejsou využity všechny výrobní kapacity, pokud je nad potencionálním produktem, dochází k přehřívání produktu</w:t>
      </w:r>
      <w:r>
        <w:rPr>
          <w:rFonts w:eastAsia="Times New Roman"/>
        </w:rPr>
        <w:t>.</w:t>
      </w:r>
    </w:p>
    <w:p w14:paraId="4A6F2BD6" w14:textId="77777777" w:rsidR="00BB088E" w:rsidRDefault="00BB088E">
      <w:pPr>
        <w:spacing w:line="240" w:lineRule="auto"/>
        <w:jc w:val="left"/>
        <w:rPr>
          <w:rFonts w:eastAsia="Times New Roman" w:cstheme="majorBidi"/>
          <w:b/>
          <w:i/>
          <w:iCs/>
        </w:rPr>
      </w:pPr>
      <w:r>
        <w:rPr>
          <w:rFonts w:eastAsia="Times New Roman"/>
        </w:rPr>
        <w:br w:type="page"/>
      </w:r>
    </w:p>
    <w:p w14:paraId="4A6F2BDB" w14:textId="77777777" w:rsidR="00430FAF" w:rsidRPr="000C1B71" w:rsidRDefault="00430FAF" w:rsidP="00BB088E">
      <w:pPr>
        <w:pStyle w:val="Nadpis4"/>
        <w:rPr>
          <w:color w:val="1F3864" w:themeColor="accent1" w:themeShade="80"/>
          <w:sz w:val="20"/>
          <w:szCs w:val="20"/>
        </w:rPr>
      </w:pPr>
      <w:r w:rsidRPr="000C1B71">
        <w:rPr>
          <w:rFonts w:eastAsia="Times New Roman"/>
          <w:color w:val="1F3864" w:themeColor="accent1" w:themeShade="80"/>
          <w:sz w:val="23"/>
          <w:szCs w:val="23"/>
        </w:rPr>
        <w:lastRenderedPageBreak/>
        <w:t>Inflace</w:t>
      </w:r>
    </w:p>
    <w:p w14:paraId="03F5E040" w14:textId="77777777" w:rsidR="000C1B71" w:rsidRDefault="000C1B71" w:rsidP="00D46B53">
      <w:pPr>
        <w:pStyle w:val="Odstavecseseznamem"/>
        <w:numPr>
          <w:ilvl w:val="0"/>
          <w:numId w:val="716"/>
        </w:numPr>
        <w:spacing w:after="240"/>
        <w:rPr>
          <w:rFonts w:eastAsia="Times New Roman"/>
        </w:rPr>
      </w:pPr>
      <w:bookmarkStart w:id="35" w:name="page33"/>
      <w:bookmarkEnd w:id="35"/>
      <w:r>
        <w:rPr>
          <w:rFonts w:eastAsia="Times New Roman"/>
        </w:rPr>
        <w:t>Jedná se o růst cenové hladiny, neboli znehodnocení kupní síly peněz.</w:t>
      </w:r>
    </w:p>
    <w:p w14:paraId="0AA8A449" w14:textId="77777777" w:rsidR="000C1B71" w:rsidRDefault="000C1B71" w:rsidP="00D46B53">
      <w:pPr>
        <w:pStyle w:val="Odstavecseseznamem"/>
        <w:numPr>
          <w:ilvl w:val="0"/>
          <w:numId w:val="716"/>
        </w:numPr>
        <w:spacing w:after="240"/>
        <w:rPr>
          <w:rFonts w:eastAsia="Times New Roman"/>
        </w:rPr>
      </w:pPr>
      <w:r>
        <w:rPr>
          <w:rFonts w:eastAsia="Times New Roman"/>
        </w:rPr>
        <w:t>Inflace 1 až 2 procenta je brána za normální. Je to stav, který nazýváme cenová stabilita.</w:t>
      </w:r>
    </w:p>
    <w:p w14:paraId="02B33E5E" w14:textId="77777777" w:rsidR="000C1B71" w:rsidRDefault="000C1B71" w:rsidP="00D46B53">
      <w:pPr>
        <w:pStyle w:val="Odstavecseseznamem"/>
        <w:numPr>
          <w:ilvl w:val="0"/>
          <w:numId w:val="716"/>
        </w:numPr>
        <w:spacing w:after="240"/>
        <w:rPr>
          <w:rFonts w:eastAsia="Times New Roman"/>
        </w:rPr>
      </w:pPr>
      <w:r>
        <w:rPr>
          <w:rFonts w:eastAsia="Times New Roman"/>
        </w:rPr>
        <w:t>Inflaci do 10% nazýváme mírnou inflací.</w:t>
      </w:r>
    </w:p>
    <w:p w14:paraId="316C5851" w14:textId="77777777" w:rsidR="000C1B71" w:rsidRDefault="000C1B71" w:rsidP="00D46B53">
      <w:pPr>
        <w:pStyle w:val="Odstavecseseznamem"/>
        <w:numPr>
          <w:ilvl w:val="0"/>
          <w:numId w:val="716"/>
        </w:numPr>
        <w:spacing w:after="240"/>
        <w:rPr>
          <w:rFonts w:eastAsia="Times New Roman"/>
        </w:rPr>
      </w:pPr>
      <w:r>
        <w:rPr>
          <w:rFonts w:eastAsia="Times New Roman"/>
        </w:rPr>
        <w:t>Do 100% se jedná o pádivou inflaci.</w:t>
      </w:r>
    </w:p>
    <w:p w14:paraId="2484EFCD" w14:textId="14F8980A" w:rsidR="000C1B71" w:rsidRPr="00AC6666" w:rsidRDefault="000C1B71" w:rsidP="00D46B53">
      <w:pPr>
        <w:pStyle w:val="Odstavecseseznamem"/>
        <w:numPr>
          <w:ilvl w:val="0"/>
          <w:numId w:val="716"/>
        </w:numPr>
        <w:spacing w:after="240"/>
        <w:rPr>
          <w:rFonts w:eastAsia="Times New Roman"/>
        </w:rPr>
      </w:pPr>
      <w:r w:rsidRPr="00AC6666">
        <w:rPr>
          <w:rFonts w:eastAsia="Times New Roman"/>
        </w:rPr>
        <w:t>Nad 100% hovoříme o hyperinflaci (např.: v Německu po 1. světové válce).</w:t>
      </w:r>
    </w:p>
    <w:p w14:paraId="1AF043D2" w14:textId="2D39E022" w:rsidR="000C1B71" w:rsidRPr="00AC6666" w:rsidRDefault="000C1B71" w:rsidP="00D46B53">
      <w:pPr>
        <w:pStyle w:val="Odstavecseseznamem"/>
        <w:numPr>
          <w:ilvl w:val="0"/>
          <w:numId w:val="716"/>
        </w:numPr>
        <w:rPr>
          <w:rFonts w:eastAsia="Times New Roman"/>
        </w:rPr>
      </w:pPr>
      <w:r w:rsidRPr="00AC6666">
        <w:rPr>
          <w:rFonts w:eastAsia="Times New Roman"/>
        </w:rPr>
        <w:t>Průměrná roční míra inflace – jedná se o hodnotu téhož ukazatele v prosinci daného roku – v ČR v prosinci 2019 – 2,8 %, což bylo o 0,7 procentního bodu více než v roce 2018</w:t>
      </w:r>
    </w:p>
    <w:p w14:paraId="0E66998C" w14:textId="107CFD08" w:rsidR="000C1B71" w:rsidRPr="00AC6666" w:rsidRDefault="000C1B71" w:rsidP="000C1B71">
      <w:pPr>
        <w:spacing w:line="1" w:lineRule="exact"/>
        <w:rPr>
          <w:rFonts w:eastAsia="Times New Roman"/>
          <w:szCs w:val="24"/>
        </w:rPr>
      </w:pPr>
    </w:p>
    <w:p w14:paraId="426A3D7E" w14:textId="7DAE960D" w:rsidR="000C1B71" w:rsidRPr="00AC6666" w:rsidRDefault="000C1B71" w:rsidP="00D46B53">
      <w:pPr>
        <w:pStyle w:val="Odstavecseseznamem"/>
        <w:numPr>
          <w:ilvl w:val="0"/>
          <w:numId w:val="716"/>
        </w:numPr>
        <w:rPr>
          <w:rFonts w:eastAsia="Times New Roman"/>
        </w:rPr>
      </w:pPr>
      <w:r w:rsidRPr="00AC6666">
        <w:rPr>
          <w:rFonts w:eastAsia="Times New Roman"/>
        </w:rPr>
        <w:t xml:space="preserve">Meziroční inflace v %, leden 2020 = 3,6 % </w:t>
      </w:r>
      <w:r w:rsidRPr="00AC6666">
        <w:rPr>
          <w:rStyle w:val="Znakapoznpodarou"/>
          <w:rFonts w:eastAsia="Times New Roman"/>
        </w:rPr>
        <w:footnoteReference w:id="15"/>
      </w:r>
    </w:p>
    <w:p w14:paraId="15A3A7D4" w14:textId="0A111587" w:rsidR="000C1B71" w:rsidRPr="00AC6666" w:rsidRDefault="00AC6666" w:rsidP="000C1B71">
      <w:pPr>
        <w:spacing w:after="240"/>
        <w:rPr>
          <w:rFonts w:eastAsia="Times New Roman"/>
          <w:b/>
          <w:bCs/>
        </w:rPr>
      </w:pPr>
      <w:r w:rsidRPr="00AC6666">
        <w:rPr>
          <w:noProof/>
        </w:rPr>
        <w:drawing>
          <wp:anchor distT="0" distB="0" distL="114300" distR="114300" simplePos="0" relativeHeight="251660800" behindDoc="1" locked="0" layoutInCell="1" allowOverlap="1" wp14:anchorId="13B78F01" wp14:editId="191E856F">
            <wp:simplePos x="0" y="0"/>
            <wp:positionH relativeFrom="column">
              <wp:posOffset>88900</wp:posOffset>
            </wp:positionH>
            <wp:positionV relativeFrom="paragraph">
              <wp:posOffset>200660</wp:posOffset>
            </wp:positionV>
            <wp:extent cx="5129530" cy="4754880"/>
            <wp:effectExtent l="0" t="0" r="0" b="7620"/>
            <wp:wrapTight wrapText="bothSides">
              <wp:wrapPolygon edited="0">
                <wp:start x="0" y="0"/>
                <wp:lineTo x="0" y="21548"/>
                <wp:lineTo x="21498" y="21548"/>
                <wp:lineTo x="21498"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23">
                      <a:extLst>
                        <a:ext uri="{28A0092B-C50C-407E-A947-70E740481C1C}">
                          <a14:useLocalDpi xmlns:a14="http://schemas.microsoft.com/office/drawing/2010/main" val="0"/>
                        </a:ext>
                      </a:extLst>
                    </a:blip>
                    <a:srcRect l="49162" t="13155" r="7225" b="6735"/>
                    <a:stretch>
                      <a:fillRect/>
                    </a:stretch>
                  </pic:blipFill>
                  <pic:spPr bwMode="auto">
                    <a:xfrm>
                      <a:off x="0" y="0"/>
                      <a:ext cx="5129530" cy="4754880"/>
                    </a:xfrm>
                    <a:prstGeom prst="rect">
                      <a:avLst/>
                    </a:prstGeom>
                    <a:noFill/>
                  </pic:spPr>
                </pic:pic>
              </a:graphicData>
            </a:graphic>
            <wp14:sizeRelH relativeFrom="margin">
              <wp14:pctWidth>0</wp14:pctWidth>
            </wp14:sizeRelH>
            <wp14:sizeRelV relativeFrom="margin">
              <wp14:pctHeight>0</wp14:pctHeight>
            </wp14:sizeRelV>
          </wp:anchor>
        </w:drawing>
      </w:r>
      <w:r w:rsidR="000C1B71" w:rsidRPr="00AC6666">
        <w:rPr>
          <w:rFonts w:eastAsia="Times New Roman"/>
          <w:b/>
          <w:bCs/>
        </w:rPr>
        <w:t xml:space="preserve">Graf: </w:t>
      </w:r>
      <w:r w:rsidR="00CE28AF" w:rsidRPr="00AC6666">
        <w:rPr>
          <w:rFonts w:eastAsia="Times New Roman"/>
          <w:b/>
          <w:bCs/>
        </w:rPr>
        <w:t>Meziroční</w:t>
      </w:r>
      <w:r w:rsidR="000C1B71" w:rsidRPr="00AC6666">
        <w:rPr>
          <w:rFonts w:eastAsia="Times New Roman"/>
          <w:b/>
          <w:bCs/>
        </w:rPr>
        <w:t xml:space="preserve"> inflace </w:t>
      </w:r>
    </w:p>
    <w:p w14:paraId="19C07379" w14:textId="77777777" w:rsidR="00AC6666" w:rsidRDefault="00AC6666" w:rsidP="00AC6666">
      <w:pPr>
        <w:rPr>
          <w:rFonts w:eastAsia="Times New Roman"/>
          <w:i/>
          <w:iCs/>
          <w:color w:val="FF0000"/>
        </w:rPr>
      </w:pPr>
    </w:p>
    <w:p w14:paraId="252386A6" w14:textId="77777777" w:rsidR="00AC6666" w:rsidRDefault="00AC6666" w:rsidP="00AC6666">
      <w:pPr>
        <w:rPr>
          <w:rFonts w:eastAsia="Times New Roman"/>
          <w:i/>
          <w:iCs/>
          <w:color w:val="FF0000"/>
        </w:rPr>
      </w:pPr>
    </w:p>
    <w:p w14:paraId="6DD36982" w14:textId="77777777" w:rsidR="00AC6666" w:rsidRDefault="00AC6666" w:rsidP="00AC6666">
      <w:pPr>
        <w:rPr>
          <w:rFonts w:eastAsia="Times New Roman"/>
          <w:i/>
          <w:iCs/>
          <w:color w:val="FF0000"/>
        </w:rPr>
      </w:pPr>
    </w:p>
    <w:p w14:paraId="6C9D8580" w14:textId="77777777" w:rsidR="00AC6666" w:rsidRDefault="00AC6666" w:rsidP="00AC6666">
      <w:pPr>
        <w:rPr>
          <w:rFonts w:eastAsia="Times New Roman"/>
          <w:i/>
          <w:iCs/>
          <w:color w:val="FF0000"/>
        </w:rPr>
      </w:pPr>
    </w:p>
    <w:p w14:paraId="0A2C127C" w14:textId="77777777" w:rsidR="00AC6666" w:rsidRDefault="00AC6666" w:rsidP="00AC6666">
      <w:pPr>
        <w:rPr>
          <w:rFonts w:eastAsia="Times New Roman"/>
          <w:i/>
          <w:iCs/>
          <w:color w:val="FF0000"/>
        </w:rPr>
      </w:pPr>
    </w:p>
    <w:p w14:paraId="0D7CB714" w14:textId="77777777" w:rsidR="00AC6666" w:rsidRDefault="00AC6666" w:rsidP="00AC6666">
      <w:pPr>
        <w:rPr>
          <w:rFonts w:eastAsia="Times New Roman"/>
          <w:i/>
          <w:iCs/>
          <w:color w:val="FF0000"/>
        </w:rPr>
      </w:pPr>
    </w:p>
    <w:p w14:paraId="7A9CBDAC" w14:textId="77777777" w:rsidR="00AC6666" w:rsidRDefault="00AC6666" w:rsidP="00AC6666">
      <w:pPr>
        <w:rPr>
          <w:rFonts w:eastAsia="Times New Roman"/>
          <w:i/>
          <w:iCs/>
          <w:color w:val="FF0000"/>
        </w:rPr>
      </w:pPr>
    </w:p>
    <w:p w14:paraId="35D0AC00" w14:textId="77777777" w:rsidR="00AC6666" w:rsidRDefault="00AC6666" w:rsidP="00AC6666">
      <w:pPr>
        <w:rPr>
          <w:rFonts w:eastAsia="Times New Roman"/>
          <w:i/>
          <w:iCs/>
          <w:color w:val="FF0000"/>
        </w:rPr>
      </w:pPr>
    </w:p>
    <w:p w14:paraId="79E11649" w14:textId="77777777" w:rsidR="00AC6666" w:rsidRDefault="00AC6666" w:rsidP="00AC6666">
      <w:pPr>
        <w:rPr>
          <w:rFonts w:eastAsia="Times New Roman"/>
          <w:i/>
          <w:iCs/>
          <w:color w:val="FF0000"/>
        </w:rPr>
      </w:pPr>
    </w:p>
    <w:p w14:paraId="46DAFEC1" w14:textId="77777777" w:rsidR="00AC6666" w:rsidRDefault="00AC6666" w:rsidP="00AC6666">
      <w:pPr>
        <w:rPr>
          <w:rFonts w:eastAsia="Times New Roman"/>
          <w:i/>
          <w:iCs/>
          <w:color w:val="FF0000"/>
        </w:rPr>
      </w:pPr>
    </w:p>
    <w:p w14:paraId="7CF10E5F" w14:textId="77777777" w:rsidR="00AC6666" w:rsidRDefault="00AC6666" w:rsidP="00AC6666">
      <w:pPr>
        <w:rPr>
          <w:rFonts w:eastAsia="Times New Roman"/>
          <w:i/>
          <w:iCs/>
          <w:color w:val="FF0000"/>
        </w:rPr>
      </w:pPr>
    </w:p>
    <w:p w14:paraId="00A072E4" w14:textId="77777777" w:rsidR="00AC6666" w:rsidRDefault="00AC6666" w:rsidP="00AC6666">
      <w:pPr>
        <w:rPr>
          <w:rFonts w:eastAsia="Times New Roman"/>
          <w:i/>
          <w:iCs/>
          <w:color w:val="FF0000"/>
        </w:rPr>
      </w:pPr>
    </w:p>
    <w:p w14:paraId="6FA9D058" w14:textId="77777777" w:rsidR="00AC6666" w:rsidRDefault="00AC6666" w:rsidP="00AC6666">
      <w:pPr>
        <w:rPr>
          <w:rFonts w:eastAsia="Times New Roman"/>
          <w:i/>
          <w:iCs/>
          <w:color w:val="FF0000"/>
        </w:rPr>
      </w:pPr>
    </w:p>
    <w:p w14:paraId="0F077761" w14:textId="77777777" w:rsidR="00AC6666" w:rsidRDefault="00AC6666" w:rsidP="00AC6666">
      <w:pPr>
        <w:rPr>
          <w:rFonts w:eastAsia="Times New Roman"/>
          <w:i/>
          <w:iCs/>
          <w:color w:val="FF0000"/>
        </w:rPr>
      </w:pPr>
    </w:p>
    <w:p w14:paraId="1622AADF" w14:textId="77777777" w:rsidR="00AC6666" w:rsidRDefault="00AC6666" w:rsidP="00AC6666">
      <w:pPr>
        <w:rPr>
          <w:rFonts w:eastAsia="Times New Roman"/>
          <w:i/>
          <w:iCs/>
          <w:color w:val="FF0000"/>
        </w:rPr>
      </w:pPr>
    </w:p>
    <w:p w14:paraId="261B9E66" w14:textId="77777777" w:rsidR="00AC6666" w:rsidRDefault="00AC6666" w:rsidP="00AC6666">
      <w:pPr>
        <w:rPr>
          <w:rFonts w:eastAsia="Times New Roman"/>
          <w:i/>
          <w:iCs/>
          <w:color w:val="FF0000"/>
        </w:rPr>
      </w:pPr>
    </w:p>
    <w:p w14:paraId="4E3C5F3D" w14:textId="77777777" w:rsidR="00AC6666" w:rsidRDefault="00AC6666" w:rsidP="00AC6666">
      <w:pPr>
        <w:rPr>
          <w:rFonts w:eastAsia="Times New Roman"/>
          <w:i/>
          <w:iCs/>
          <w:color w:val="FF0000"/>
        </w:rPr>
      </w:pPr>
    </w:p>
    <w:p w14:paraId="191EEDF5" w14:textId="77777777" w:rsidR="00AC6666" w:rsidRDefault="00AC6666" w:rsidP="00AC6666">
      <w:pPr>
        <w:rPr>
          <w:rFonts w:eastAsia="Times New Roman"/>
          <w:i/>
          <w:iCs/>
          <w:color w:val="FF0000"/>
        </w:rPr>
      </w:pPr>
    </w:p>
    <w:p w14:paraId="1A21ACE4" w14:textId="7D1E93F4" w:rsidR="000C1B71" w:rsidRPr="00AC6666" w:rsidRDefault="000C1B71" w:rsidP="00AC6666">
      <w:pPr>
        <w:rPr>
          <w:rFonts w:eastAsia="Times New Roman"/>
          <w:i/>
          <w:iCs/>
          <w:sz w:val="20"/>
          <w:szCs w:val="20"/>
        </w:rPr>
      </w:pPr>
      <w:r w:rsidRPr="00AC6666">
        <w:rPr>
          <w:rFonts w:eastAsia="Times New Roman"/>
          <w:i/>
          <w:iCs/>
          <w:sz w:val="20"/>
          <w:szCs w:val="20"/>
        </w:rPr>
        <w:t xml:space="preserve">Zdroj: </w:t>
      </w:r>
      <w:r w:rsidRPr="00AC6666">
        <w:rPr>
          <w:rFonts w:eastAsia="Calibri"/>
          <w:i/>
          <w:iCs/>
          <w:sz w:val="20"/>
          <w:szCs w:val="20"/>
        </w:rPr>
        <w:t>https://www.kurzy.cz/makroekonomika/inflace/</w:t>
      </w:r>
    </w:p>
    <w:p w14:paraId="18F26805" w14:textId="77777777" w:rsidR="000C1B71" w:rsidRDefault="000C1B71" w:rsidP="000C1B71">
      <w:pPr>
        <w:rPr>
          <w:sz w:val="20"/>
          <w:szCs w:val="20"/>
        </w:rPr>
      </w:pPr>
      <w:r>
        <w:rPr>
          <w:rFonts w:eastAsia="Times New Roman"/>
          <w:b/>
          <w:bCs/>
          <w:szCs w:val="24"/>
        </w:rPr>
        <w:lastRenderedPageBreak/>
        <w:t>Pojmy související s inflací:</w:t>
      </w:r>
    </w:p>
    <w:p w14:paraId="268D3C58" w14:textId="07923BC9" w:rsidR="000C1B71" w:rsidRDefault="000C1B71" w:rsidP="00D46B53">
      <w:pPr>
        <w:pStyle w:val="Odstavecseseznamem"/>
        <w:numPr>
          <w:ilvl w:val="0"/>
          <w:numId w:val="716"/>
        </w:numPr>
        <w:spacing w:after="240"/>
        <w:rPr>
          <w:rFonts w:eastAsia="Times New Roman"/>
        </w:rPr>
      </w:pPr>
      <w:r>
        <w:rPr>
          <w:rFonts w:eastAsia="Times New Roman"/>
          <w:b/>
        </w:rPr>
        <w:t>Stagflace</w:t>
      </w:r>
      <w:r>
        <w:rPr>
          <w:rFonts w:eastAsia="Times New Roman"/>
        </w:rPr>
        <w:t xml:space="preserve"> - stav stagnujícího HDP a ros</w:t>
      </w:r>
      <w:r w:rsidR="00CE28AF">
        <w:rPr>
          <w:rFonts w:eastAsia="Times New Roman"/>
        </w:rPr>
        <w:t xml:space="preserve">toucích cen. Jinými slovy stav, </w:t>
      </w:r>
      <w:r>
        <w:rPr>
          <w:rFonts w:eastAsia="Times New Roman"/>
        </w:rPr>
        <w:t>kdy inflace stoupá a ekonomika stagnuje. Za této situace roste nezaměstnanost. Tím byla v 70. letech vyvrácena teorie Philipsovy křivky.</w:t>
      </w:r>
    </w:p>
    <w:p w14:paraId="1350BC1C" w14:textId="77777777" w:rsidR="000C1B71" w:rsidRDefault="000C1B71" w:rsidP="00D46B53">
      <w:pPr>
        <w:pStyle w:val="Odstavecseseznamem"/>
        <w:numPr>
          <w:ilvl w:val="0"/>
          <w:numId w:val="716"/>
        </w:numPr>
        <w:rPr>
          <w:rFonts w:eastAsia="Times New Roman"/>
        </w:rPr>
      </w:pPr>
      <w:r>
        <w:rPr>
          <w:rFonts w:eastAsia="Times New Roman"/>
          <w:b/>
        </w:rPr>
        <w:t>Slumflace</w:t>
      </w:r>
      <w:r>
        <w:rPr>
          <w:rFonts w:eastAsia="Times New Roman"/>
        </w:rPr>
        <w:t xml:space="preserve"> – stav snižujícího se HDP a rostoucích cen. Jinými slovy stav upadající ekonomiky a růstu inflace. Extrémní případ stagflace.</w:t>
      </w:r>
    </w:p>
    <w:p w14:paraId="1B4D443B" w14:textId="77777777" w:rsidR="000C1B71" w:rsidRDefault="000C1B71" w:rsidP="000C1B71">
      <w:pPr>
        <w:spacing w:line="1" w:lineRule="exact"/>
        <w:rPr>
          <w:rFonts w:eastAsia="Arial"/>
          <w:szCs w:val="24"/>
        </w:rPr>
      </w:pPr>
    </w:p>
    <w:p w14:paraId="7E3F5EE6" w14:textId="77777777" w:rsidR="000C1B71" w:rsidRDefault="000C1B71" w:rsidP="00D46B53">
      <w:pPr>
        <w:pStyle w:val="Odstavecseseznamem"/>
        <w:numPr>
          <w:ilvl w:val="0"/>
          <w:numId w:val="716"/>
        </w:numPr>
        <w:spacing w:after="240"/>
        <w:rPr>
          <w:rFonts w:eastAsia="Times New Roman"/>
        </w:rPr>
      </w:pPr>
      <w:r>
        <w:rPr>
          <w:rFonts w:eastAsia="Times New Roman"/>
          <w:b/>
        </w:rPr>
        <w:t>Deflace</w:t>
      </w:r>
      <w:r>
        <w:rPr>
          <w:rFonts w:eastAsia="Times New Roman"/>
        </w:rPr>
        <w:t xml:space="preserve"> - Opak inflace, snižování cenové hladiny</w:t>
      </w:r>
    </w:p>
    <w:p w14:paraId="6028AB18" w14:textId="77777777" w:rsidR="000C1B71" w:rsidRDefault="000C1B71" w:rsidP="00D46B53">
      <w:pPr>
        <w:pStyle w:val="Odstavecseseznamem"/>
        <w:numPr>
          <w:ilvl w:val="0"/>
          <w:numId w:val="716"/>
        </w:numPr>
        <w:rPr>
          <w:rFonts w:eastAsia="Times New Roman"/>
        </w:rPr>
      </w:pPr>
      <w:r>
        <w:rPr>
          <w:rFonts w:eastAsia="Times New Roman"/>
          <w:b/>
        </w:rPr>
        <w:t>Dezinflace</w:t>
      </w:r>
      <w:r>
        <w:rPr>
          <w:rFonts w:eastAsia="Times New Roman"/>
        </w:rPr>
        <w:t xml:space="preserve"> - Opak akcelerující inflace (zpomalující se inflace)</w:t>
      </w:r>
    </w:p>
    <w:p w14:paraId="13389635" w14:textId="77777777" w:rsidR="000C1B71" w:rsidRDefault="000C1B71" w:rsidP="00D46B53">
      <w:pPr>
        <w:pStyle w:val="Odstavecseseznamem"/>
        <w:numPr>
          <w:ilvl w:val="0"/>
          <w:numId w:val="716"/>
        </w:numPr>
        <w:rPr>
          <w:rFonts w:eastAsia="Times New Roman"/>
        </w:rPr>
      </w:pPr>
      <w:r>
        <w:rPr>
          <w:rFonts w:eastAsia="Times New Roman"/>
          <w:b/>
        </w:rPr>
        <w:t>Inflační impuls</w:t>
      </w:r>
      <w:r>
        <w:rPr>
          <w:rFonts w:eastAsia="Times New Roman"/>
        </w:rPr>
        <w:t xml:space="preserve"> - Může vzniknout, jak ze strany nabídky, tak i poptávky </w:t>
      </w:r>
      <w:r>
        <w:rPr>
          <w:rFonts w:eastAsia="Times New Roman"/>
        </w:rPr>
        <w:br/>
        <w:t>(Např.: zvýšení ceny základní suroviny, mezd, investiční optimismus)</w:t>
      </w:r>
    </w:p>
    <w:p w14:paraId="7CE72499" w14:textId="77777777" w:rsidR="000C1B71" w:rsidRDefault="000C1B71" w:rsidP="000C1B71">
      <w:pPr>
        <w:rPr>
          <w:sz w:val="20"/>
          <w:szCs w:val="20"/>
        </w:rPr>
      </w:pPr>
      <w:r>
        <w:rPr>
          <w:rFonts w:eastAsia="Times New Roman"/>
          <w:b/>
          <w:bCs/>
          <w:szCs w:val="24"/>
        </w:rPr>
        <w:t>Měření inflace:</w:t>
      </w:r>
    </w:p>
    <w:p w14:paraId="4A740E5F" w14:textId="77777777" w:rsidR="000C1B71" w:rsidRDefault="000C1B71" w:rsidP="000C1B71">
      <w:pPr>
        <w:spacing w:line="156" w:lineRule="exact"/>
        <w:rPr>
          <w:sz w:val="20"/>
          <w:szCs w:val="20"/>
        </w:rPr>
      </w:pPr>
    </w:p>
    <w:p w14:paraId="6158380A" w14:textId="77777777" w:rsidR="000C1B71" w:rsidRDefault="000C1B71" w:rsidP="00D46B53">
      <w:pPr>
        <w:pStyle w:val="Odstavecseseznamem"/>
        <w:numPr>
          <w:ilvl w:val="0"/>
          <w:numId w:val="716"/>
        </w:numPr>
        <w:spacing w:after="240"/>
        <w:rPr>
          <w:rFonts w:eastAsia="Times New Roman"/>
        </w:rPr>
      </w:pPr>
      <w:r>
        <w:rPr>
          <w:rFonts w:eastAsia="Times New Roman"/>
          <w:b/>
        </w:rPr>
        <w:t>Deflátor HDP:</w:t>
      </w:r>
      <w:r>
        <w:rPr>
          <w:rFonts w:eastAsia="Times New Roman"/>
        </w:rPr>
        <w:t xml:space="preserve"> Podíl HDP v cenách běžného roku a HDP v cenách minulého roku, vyjadřující změnu cenové hladiny oproti loňskému roku.</w:t>
      </w:r>
    </w:p>
    <w:p w14:paraId="106AB632" w14:textId="77777777" w:rsidR="000C1B71" w:rsidRDefault="000C1B71" w:rsidP="00D46B53">
      <w:pPr>
        <w:pStyle w:val="Odstavecseseznamem"/>
        <w:numPr>
          <w:ilvl w:val="0"/>
          <w:numId w:val="716"/>
        </w:numPr>
        <w:spacing w:after="240"/>
        <w:rPr>
          <w:rFonts w:eastAsia="Times New Roman"/>
        </w:rPr>
      </w:pPr>
      <w:r>
        <w:rPr>
          <w:rFonts w:eastAsia="Times New Roman"/>
          <w:b/>
        </w:rPr>
        <w:t>CPI:</w:t>
      </w:r>
      <w:r>
        <w:rPr>
          <w:rFonts w:eastAsia="Times New Roman"/>
        </w:rPr>
        <w:t xml:space="preserve"> index spotřebitelských cen, vyjadřuje cenovou hladinu jako průměrnou úroveň cen souboru výrobků a služeb, spotřebovávaných průměrnou domácností.</w:t>
      </w:r>
    </w:p>
    <w:p w14:paraId="68DC587B" w14:textId="77777777" w:rsidR="000C1B71" w:rsidRDefault="000C1B71" w:rsidP="00D46B53">
      <w:pPr>
        <w:pStyle w:val="Odstavecseseznamem"/>
        <w:numPr>
          <w:ilvl w:val="0"/>
          <w:numId w:val="716"/>
        </w:numPr>
        <w:spacing w:after="240"/>
        <w:rPr>
          <w:rFonts w:eastAsia="Times New Roman"/>
        </w:rPr>
      </w:pPr>
      <w:r>
        <w:rPr>
          <w:rFonts w:eastAsia="Times New Roman"/>
          <w:b/>
        </w:rPr>
        <w:t>PPI:</w:t>
      </w:r>
      <w:r>
        <w:rPr>
          <w:rFonts w:eastAsia="Times New Roman"/>
        </w:rPr>
        <w:t xml:space="preserve"> index cen výrobců, bývá specifikován pro různá odvětví a obory jako index cen průmyslových výrobců, zemědělských výrobců, stavebních atd.</w:t>
      </w:r>
    </w:p>
    <w:p w14:paraId="4A6F2BE6" w14:textId="77777777" w:rsidR="008E0F74" w:rsidRPr="00FC3B7C" w:rsidRDefault="00256F29">
      <w:pPr>
        <w:rPr>
          <w:sz w:val="20"/>
          <w:szCs w:val="20"/>
        </w:rPr>
      </w:pPr>
      <w:r w:rsidRPr="00FC3B7C">
        <w:rPr>
          <w:rFonts w:eastAsia="Times New Roman"/>
          <w:b/>
          <w:bCs/>
          <w:szCs w:val="24"/>
        </w:rPr>
        <w:t>Pojmy související s inflací:</w:t>
      </w:r>
    </w:p>
    <w:p w14:paraId="4A6F2BE7" w14:textId="42E8A369" w:rsidR="008E0F74" w:rsidRPr="00BB088E" w:rsidRDefault="00256F29" w:rsidP="00D46B53">
      <w:pPr>
        <w:pStyle w:val="Odstavecseseznamem"/>
        <w:numPr>
          <w:ilvl w:val="0"/>
          <w:numId w:val="595"/>
        </w:numPr>
        <w:spacing w:after="240"/>
        <w:rPr>
          <w:rFonts w:eastAsia="Times New Roman"/>
        </w:rPr>
      </w:pPr>
      <w:r w:rsidRPr="00BB088E">
        <w:rPr>
          <w:rFonts w:eastAsia="Times New Roman"/>
          <w:b/>
        </w:rPr>
        <w:t>Stagflace</w:t>
      </w:r>
      <w:r w:rsidRPr="00BB088E">
        <w:rPr>
          <w:rFonts w:eastAsia="Times New Roman"/>
        </w:rPr>
        <w:t xml:space="preserve"> - stav stagnujícího HDP a ros</w:t>
      </w:r>
      <w:r w:rsidR="00CE28AF">
        <w:rPr>
          <w:rFonts w:eastAsia="Times New Roman"/>
        </w:rPr>
        <w:t xml:space="preserve">toucích cen. Jinými slovy stav, </w:t>
      </w:r>
      <w:r w:rsidRPr="00BB088E">
        <w:rPr>
          <w:rFonts w:eastAsia="Times New Roman"/>
        </w:rPr>
        <w:t>kdy inflace stoupá a ekonomika stagnuje. Za této situace roste nezaměstnanost. Tím byla v 70. letech vyvrácena teorie Philipsovy křivky.</w:t>
      </w:r>
    </w:p>
    <w:p w14:paraId="4A6F2BE8" w14:textId="77777777" w:rsidR="008E0F74" w:rsidRPr="00BB088E" w:rsidRDefault="00256F29" w:rsidP="00D46B53">
      <w:pPr>
        <w:pStyle w:val="Odstavecseseznamem"/>
        <w:numPr>
          <w:ilvl w:val="0"/>
          <w:numId w:val="595"/>
        </w:numPr>
        <w:rPr>
          <w:rFonts w:eastAsia="Times New Roman"/>
        </w:rPr>
      </w:pPr>
      <w:r w:rsidRPr="00BB088E">
        <w:rPr>
          <w:rFonts w:eastAsia="Times New Roman"/>
          <w:b/>
        </w:rPr>
        <w:t>Slumflace</w:t>
      </w:r>
      <w:r w:rsidRPr="00BB088E">
        <w:rPr>
          <w:rFonts w:eastAsia="Times New Roman"/>
        </w:rPr>
        <w:t xml:space="preserve"> – stav snižujícího se HDP a rostoucích cen. Jinými slovy stav upadající ekonomiky a růstu inflace. Extrémní případ stagflace.</w:t>
      </w:r>
    </w:p>
    <w:p w14:paraId="4A6F2BE9" w14:textId="77777777" w:rsidR="008E0F74" w:rsidRPr="00FC3B7C" w:rsidRDefault="008E0F74">
      <w:pPr>
        <w:spacing w:line="1" w:lineRule="exact"/>
        <w:rPr>
          <w:rFonts w:eastAsia="Arial"/>
          <w:szCs w:val="24"/>
        </w:rPr>
      </w:pPr>
    </w:p>
    <w:p w14:paraId="4A6F2BEA" w14:textId="77777777" w:rsidR="008E0F74" w:rsidRPr="00BB088E" w:rsidRDefault="00256F29" w:rsidP="00D46B53">
      <w:pPr>
        <w:pStyle w:val="Odstavecseseznamem"/>
        <w:numPr>
          <w:ilvl w:val="0"/>
          <w:numId w:val="595"/>
        </w:numPr>
        <w:spacing w:after="240"/>
        <w:rPr>
          <w:rFonts w:eastAsia="Times New Roman"/>
        </w:rPr>
      </w:pPr>
      <w:r w:rsidRPr="00BB088E">
        <w:rPr>
          <w:rFonts w:eastAsia="Times New Roman"/>
          <w:b/>
        </w:rPr>
        <w:t>Deflace</w:t>
      </w:r>
      <w:r w:rsidRPr="00BB088E">
        <w:rPr>
          <w:rFonts w:eastAsia="Times New Roman"/>
        </w:rPr>
        <w:t xml:space="preserve"> - Opak inflace, snižování cenové hladiny</w:t>
      </w:r>
    </w:p>
    <w:p w14:paraId="4A6F2BEB" w14:textId="77777777" w:rsidR="008E0F74" w:rsidRPr="00BB088E" w:rsidRDefault="00256F29" w:rsidP="00D46B53">
      <w:pPr>
        <w:pStyle w:val="Odstavecseseznamem"/>
        <w:numPr>
          <w:ilvl w:val="0"/>
          <w:numId w:val="595"/>
        </w:numPr>
        <w:rPr>
          <w:rFonts w:eastAsia="Times New Roman"/>
        </w:rPr>
      </w:pPr>
      <w:r w:rsidRPr="00BB088E">
        <w:rPr>
          <w:rFonts w:eastAsia="Times New Roman"/>
          <w:b/>
        </w:rPr>
        <w:t>Dezinflace</w:t>
      </w:r>
      <w:r w:rsidRPr="00BB088E">
        <w:rPr>
          <w:rFonts w:eastAsia="Times New Roman"/>
        </w:rPr>
        <w:t xml:space="preserve"> - Opak akcelerující inflace (zpomalující se inflace)</w:t>
      </w:r>
    </w:p>
    <w:p w14:paraId="4A6F2BEC" w14:textId="77777777" w:rsidR="008E0F74" w:rsidRPr="00BB088E" w:rsidRDefault="00256F29" w:rsidP="00D46B53">
      <w:pPr>
        <w:pStyle w:val="Odstavecseseznamem"/>
        <w:numPr>
          <w:ilvl w:val="0"/>
          <w:numId w:val="595"/>
        </w:numPr>
        <w:rPr>
          <w:rFonts w:eastAsia="Times New Roman"/>
        </w:rPr>
      </w:pPr>
      <w:r w:rsidRPr="00BB088E">
        <w:rPr>
          <w:rFonts w:eastAsia="Times New Roman"/>
          <w:b/>
        </w:rPr>
        <w:t>Inflační impuls</w:t>
      </w:r>
      <w:r w:rsidRPr="00BB088E">
        <w:rPr>
          <w:rFonts w:eastAsia="Times New Roman"/>
        </w:rPr>
        <w:t xml:space="preserve"> - Může vzniknout, jak ze strany nabídky, tak i poptávky </w:t>
      </w:r>
      <w:r w:rsidR="00BB088E">
        <w:rPr>
          <w:rFonts w:eastAsia="Times New Roman"/>
        </w:rPr>
        <w:br/>
      </w:r>
      <w:r w:rsidRPr="00BB088E">
        <w:rPr>
          <w:rFonts w:eastAsia="Times New Roman"/>
        </w:rPr>
        <w:t>(Např.: zvýšení ceny základní suroviny, mezd, investiční optimismus)</w:t>
      </w:r>
    </w:p>
    <w:p w14:paraId="4A6F2BED" w14:textId="77777777" w:rsidR="008E0F74" w:rsidRPr="00FC3B7C" w:rsidRDefault="00256F29">
      <w:pPr>
        <w:rPr>
          <w:sz w:val="20"/>
          <w:szCs w:val="20"/>
        </w:rPr>
      </w:pPr>
      <w:r w:rsidRPr="00FC3B7C">
        <w:rPr>
          <w:rFonts w:eastAsia="Times New Roman"/>
          <w:b/>
          <w:bCs/>
          <w:szCs w:val="24"/>
        </w:rPr>
        <w:t>Měření inflace:</w:t>
      </w:r>
    </w:p>
    <w:p w14:paraId="4A6F2BEE" w14:textId="77777777" w:rsidR="008E0F74" w:rsidRPr="00FC3B7C" w:rsidRDefault="008E0F74">
      <w:pPr>
        <w:spacing w:line="156" w:lineRule="exact"/>
        <w:rPr>
          <w:sz w:val="20"/>
          <w:szCs w:val="20"/>
        </w:rPr>
      </w:pPr>
    </w:p>
    <w:p w14:paraId="4A6F2BEF" w14:textId="77777777" w:rsidR="008E0F74" w:rsidRPr="00BB088E" w:rsidRDefault="00256F29" w:rsidP="00D46B53">
      <w:pPr>
        <w:pStyle w:val="Odstavecseseznamem"/>
        <w:numPr>
          <w:ilvl w:val="0"/>
          <w:numId w:val="595"/>
        </w:numPr>
        <w:spacing w:after="240"/>
        <w:rPr>
          <w:rFonts w:eastAsia="Times New Roman"/>
        </w:rPr>
      </w:pPr>
      <w:r w:rsidRPr="00BB088E">
        <w:rPr>
          <w:rFonts w:eastAsia="Times New Roman"/>
          <w:b/>
        </w:rPr>
        <w:t>Deflátor HDP:</w:t>
      </w:r>
      <w:r w:rsidRPr="00BB088E">
        <w:rPr>
          <w:rFonts w:eastAsia="Times New Roman"/>
        </w:rPr>
        <w:t xml:space="preserve"> Podíl HDP v cenách běžného roku a HDP v cenách minulého roku, vyjadřující změnu cenové hladiny oproti loňskému roku</w:t>
      </w:r>
      <w:r w:rsidR="00BB088E">
        <w:rPr>
          <w:rFonts w:eastAsia="Times New Roman"/>
        </w:rPr>
        <w:t>.</w:t>
      </w:r>
    </w:p>
    <w:p w14:paraId="4A6F2BF0" w14:textId="77777777" w:rsidR="008E0F74" w:rsidRPr="00BB088E" w:rsidRDefault="00256F29" w:rsidP="00D46B53">
      <w:pPr>
        <w:pStyle w:val="Odstavecseseznamem"/>
        <w:numPr>
          <w:ilvl w:val="0"/>
          <w:numId w:val="595"/>
        </w:numPr>
        <w:spacing w:after="240"/>
        <w:rPr>
          <w:rFonts w:eastAsia="Times New Roman"/>
        </w:rPr>
      </w:pPr>
      <w:r w:rsidRPr="00BB088E">
        <w:rPr>
          <w:rFonts w:eastAsia="Times New Roman"/>
          <w:b/>
        </w:rPr>
        <w:t>CPI:</w:t>
      </w:r>
      <w:r w:rsidRPr="00BB088E">
        <w:rPr>
          <w:rFonts w:eastAsia="Times New Roman"/>
        </w:rPr>
        <w:t xml:space="preserve"> index spotřebitelských cen, vyjadřuje cenovou hladinu jako průměrnou úroveň cen souboru výrobků a služeb, spotřebovávaných průměrnou domácností</w:t>
      </w:r>
      <w:r w:rsidR="00BB088E">
        <w:rPr>
          <w:rFonts w:eastAsia="Times New Roman"/>
        </w:rPr>
        <w:t>.</w:t>
      </w:r>
    </w:p>
    <w:p w14:paraId="4A6F2BF1" w14:textId="77777777" w:rsidR="008E0F74" w:rsidRPr="00BB088E" w:rsidRDefault="00256F29" w:rsidP="00D46B53">
      <w:pPr>
        <w:pStyle w:val="Odstavecseseznamem"/>
        <w:numPr>
          <w:ilvl w:val="0"/>
          <w:numId w:val="595"/>
        </w:numPr>
        <w:spacing w:after="240"/>
        <w:rPr>
          <w:rFonts w:eastAsia="Times New Roman"/>
        </w:rPr>
      </w:pPr>
      <w:r w:rsidRPr="00BB088E">
        <w:rPr>
          <w:rFonts w:eastAsia="Times New Roman"/>
          <w:b/>
        </w:rPr>
        <w:lastRenderedPageBreak/>
        <w:t>PPI:</w:t>
      </w:r>
      <w:r w:rsidRPr="00BB088E">
        <w:rPr>
          <w:rFonts w:eastAsia="Times New Roman"/>
        </w:rPr>
        <w:t xml:space="preserve"> index cen výrobců, bývá specifikován pro různá odvětví a obory jako index cen průmyslových výrobců, zemědělských výrobců, stavebních atd.</w:t>
      </w:r>
    </w:p>
    <w:p w14:paraId="4A6F2BF2" w14:textId="77777777" w:rsidR="008E0F74" w:rsidRPr="000C1B71" w:rsidRDefault="00256F29" w:rsidP="00BB088E">
      <w:pPr>
        <w:pStyle w:val="Nadpis4"/>
        <w:rPr>
          <w:color w:val="1F3864" w:themeColor="accent1" w:themeShade="80"/>
          <w:sz w:val="20"/>
          <w:szCs w:val="20"/>
        </w:rPr>
      </w:pPr>
      <w:r w:rsidRPr="000C1B71">
        <w:rPr>
          <w:rFonts w:eastAsia="Times New Roman"/>
          <w:color w:val="1F3864" w:themeColor="accent1" w:themeShade="80"/>
        </w:rPr>
        <w:t>Nezaměstnanost</w:t>
      </w:r>
    </w:p>
    <w:p w14:paraId="46AD7C3F" w14:textId="77777777" w:rsidR="000C1B71" w:rsidRDefault="000C1B71" w:rsidP="00D46B53">
      <w:pPr>
        <w:pStyle w:val="Odstavecseseznamem"/>
        <w:numPr>
          <w:ilvl w:val="0"/>
          <w:numId w:val="716"/>
        </w:numPr>
        <w:rPr>
          <w:rFonts w:eastAsia="Times New Roman"/>
        </w:rPr>
      </w:pPr>
      <w:r>
        <w:rPr>
          <w:rFonts w:eastAsia="Times New Roman"/>
        </w:rPr>
        <w:t>Jako nezaměstnaného označujeme člověka, který je v produktivním věku, nemá práci, aktivně práci hledá a může do zaměstnání nastoupit ihned (respektive do 14 dní).</w:t>
      </w:r>
    </w:p>
    <w:p w14:paraId="0884463F" w14:textId="77777777" w:rsidR="000C1B71" w:rsidRDefault="000C1B71" w:rsidP="000C1B71">
      <w:pPr>
        <w:spacing w:line="20" w:lineRule="exact"/>
        <w:rPr>
          <w:sz w:val="20"/>
          <w:szCs w:val="20"/>
        </w:rPr>
      </w:pPr>
    </w:p>
    <w:p w14:paraId="55878BB1" w14:textId="77777777" w:rsidR="000C1B71" w:rsidRPr="00AC6666" w:rsidRDefault="000C1B71" w:rsidP="00D46B53">
      <w:pPr>
        <w:pStyle w:val="Odstavecseseznamem"/>
        <w:numPr>
          <w:ilvl w:val="0"/>
          <w:numId w:val="716"/>
        </w:numPr>
        <w:spacing w:after="240"/>
        <w:rPr>
          <w:rFonts w:eastAsia="Arial"/>
          <w:szCs w:val="24"/>
        </w:rPr>
      </w:pPr>
      <w:bookmarkStart w:id="36" w:name="page34"/>
      <w:bookmarkEnd w:id="36"/>
      <w:r>
        <w:rPr>
          <w:rFonts w:eastAsia="Times New Roman"/>
          <w:szCs w:val="24"/>
        </w:rPr>
        <w:t xml:space="preserve">Je měřena pomocí </w:t>
      </w:r>
      <w:r>
        <w:rPr>
          <w:rFonts w:eastAsia="Times New Roman"/>
        </w:rPr>
        <w:t>míry</w:t>
      </w:r>
      <w:r>
        <w:rPr>
          <w:rFonts w:eastAsia="Times New Roman"/>
          <w:szCs w:val="24"/>
        </w:rPr>
        <w:t xml:space="preserve"> </w:t>
      </w:r>
      <w:r w:rsidRPr="00AC6666">
        <w:rPr>
          <w:rFonts w:eastAsia="Times New Roman"/>
          <w:szCs w:val="24"/>
        </w:rPr>
        <w:t>nezaměstnanosti. Ta je vyjadřována v procentech.</w:t>
      </w:r>
    </w:p>
    <w:p w14:paraId="4C06F6F7" w14:textId="77777777" w:rsidR="000C1B71" w:rsidRPr="00AC6666" w:rsidRDefault="000C1B71" w:rsidP="00D46B53">
      <w:pPr>
        <w:pStyle w:val="Odstavecseseznamem"/>
        <w:numPr>
          <w:ilvl w:val="1"/>
          <w:numId w:val="716"/>
        </w:numPr>
        <w:spacing w:after="240"/>
        <w:rPr>
          <w:rFonts w:eastAsia="Times New Roman"/>
        </w:rPr>
      </w:pPr>
      <w:r w:rsidRPr="00AC6666">
        <w:rPr>
          <w:rFonts w:eastAsia="Times New Roman"/>
        </w:rPr>
        <w:t>Aktuální obecná míra nezaměstnanosti v ČR: 2,0% (leden 2020)</w:t>
      </w:r>
      <w:r w:rsidRPr="00AC6666">
        <w:rPr>
          <w:rStyle w:val="Znakapoznpodarou"/>
          <w:rFonts w:eastAsia="Times New Roman"/>
        </w:rPr>
        <w:footnoteReference w:id="16"/>
      </w:r>
    </w:p>
    <w:p w14:paraId="423D50A0" w14:textId="77777777" w:rsidR="000C1B71" w:rsidRDefault="000C1B71" w:rsidP="00D46B53">
      <w:pPr>
        <w:pStyle w:val="Odstavecseseznamem"/>
        <w:numPr>
          <w:ilvl w:val="0"/>
          <w:numId w:val="716"/>
        </w:numPr>
        <w:spacing w:after="240"/>
        <w:rPr>
          <w:rFonts w:eastAsia="Times New Roman"/>
          <w:szCs w:val="24"/>
        </w:rPr>
      </w:pPr>
      <w:r>
        <w:rPr>
          <w:rFonts w:eastAsia="Times New Roman"/>
          <w:szCs w:val="24"/>
        </w:rPr>
        <w:t xml:space="preserve">Osoby, které nechtějí pracovat, nepočítáme jako nezaměstnané, jelikož se jedná </w:t>
      </w:r>
      <w:r>
        <w:rPr>
          <w:rFonts w:eastAsia="Times New Roman"/>
          <w:szCs w:val="24"/>
        </w:rPr>
        <w:br/>
        <w:t>o dobrovolnou nezaměstnanost</w:t>
      </w:r>
    </w:p>
    <w:p w14:paraId="454ADD5F" w14:textId="77777777" w:rsidR="000C1B71" w:rsidRDefault="000C1B71" w:rsidP="00D46B53">
      <w:pPr>
        <w:pStyle w:val="Odstavecseseznamem"/>
        <w:numPr>
          <w:ilvl w:val="0"/>
          <w:numId w:val="716"/>
        </w:numPr>
        <w:spacing w:after="240"/>
        <w:rPr>
          <w:rFonts w:eastAsia="Times New Roman"/>
          <w:szCs w:val="24"/>
        </w:rPr>
      </w:pPr>
      <w:r>
        <w:rPr>
          <w:rFonts w:eastAsia="Times New Roman"/>
          <w:szCs w:val="24"/>
        </w:rPr>
        <w:t>V každé zem existují 2 až 3% lidí, kteří jsou dobrovolně nezaměstnaní. Proto je přirozená míra nezaměstnanosti právě kolem 3%, nicméně může být v každé zemi jiná.</w:t>
      </w:r>
    </w:p>
    <w:p w14:paraId="641B57C8" w14:textId="71D1C82F" w:rsidR="000C1B71" w:rsidRDefault="000C1B71" w:rsidP="00D46B53">
      <w:pPr>
        <w:pStyle w:val="Odstavecseseznamem"/>
        <w:numPr>
          <w:ilvl w:val="0"/>
          <w:numId w:val="716"/>
        </w:numPr>
        <w:rPr>
          <w:rFonts w:eastAsia="Times New Roman"/>
          <w:szCs w:val="24"/>
        </w:rPr>
      </w:pPr>
      <w:r>
        <w:rPr>
          <w:rFonts w:eastAsia="Times New Roman"/>
          <w:szCs w:val="24"/>
        </w:rPr>
        <w:t>S pojmem přirozená míra nezaměstnanosti přišel Friedman a Phelps. Chtěl tím vyvrátit teorii Phili</w:t>
      </w:r>
      <w:r w:rsidR="00CE28AF">
        <w:rPr>
          <w:rFonts w:eastAsia="Times New Roman"/>
          <w:szCs w:val="24"/>
        </w:rPr>
        <w:t>p</w:t>
      </w:r>
      <w:r>
        <w:rPr>
          <w:rFonts w:eastAsia="Times New Roman"/>
          <w:szCs w:val="24"/>
        </w:rPr>
        <w:t xml:space="preserve">sovy křivky (Možnost ovlivňovat nezaměstnanost pomocí míry inflace </w:t>
      </w:r>
      <w:r>
        <w:rPr>
          <w:rFonts w:eastAsia="Times New Roman"/>
          <w:szCs w:val="24"/>
        </w:rPr>
        <w:br/>
        <w:t>a naopak).</w:t>
      </w:r>
    </w:p>
    <w:p w14:paraId="08037E6F" w14:textId="77777777" w:rsidR="000C1B71" w:rsidRDefault="000C1B71" w:rsidP="000C1B71">
      <w:pPr>
        <w:spacing w:before="240"/>
        <w:rPr>
          <w:sz w:val="20"/>
          <w:szCs w:val="20"/>
        </w:rPr>
      </w:pPr>
      <w:r>
        <w:rPr>
          <w:rFonts w:eastAsia="Times New Roman"/>
          <w:b/>
          <w:bCs/>
          <w:szCs w:val="24"/>
        </w:rPr>
        <w:t>Nezaměstnanost dělíme na:</w:t>
      </w:r>
    </w:p>
    <w:p w14:paraId="09161596" w14:textId="77777777" w:rsidR="000C1B71" w:rsidRDefault="000C1B71" w:rsidP="00D46B53">
      <w:pPr>
        <w:pStyle w:val="Odstavecseseznamem"/>
        <w:numPr>
          <w:ilvl w:val="0"/>
          <w:numId w:val="716"/>
        </w:numPr>
        <w:rPr>
          <w:rFonts w:eastAsia="Times New Roman"/>
          <w:szCs w:val="24"/>
        </w:rPr>
      </w:pPr>
      <w:r>
        <w:rPr>
          <w:rFonts w:eastAsia="Times New Roman"/>
          <w:b/>
          <w:szCs w:val="24"/>
        </w:rPr>
        <w:t>Frikční:</w:t>
      </w:r>
      <w:r>
        <w:rPr>
          <w:rFonts w:eastAsia="Times New Roman"/>
          <w:szCs w:val="24"/>
        </w:rPr>
        <w:t xml:space="preserve"> člověk opustí práci a chvíli trvá, než si najde novou a tedy je nezaměstnán.</w:t>
      </w:r>
    </w:p>
    <w:p w14:paraId="2F46C3E1" w14:textId="689D04A7" w:rsidR="000C1B71" w:rsidRDefault="000C1B71" w:rsidP="00D46B53">
      <w:pPr>
        <w:pStyle w:val="Odstavecseseznamem"/>
        <w:numPr>
          <w:ilvl w:val="0"/>
          <w:numId w:val="716"/>
        </w:numPr>
        <w:rPr>
          <w:rFonts w:eastAsia="Times New Roman"/>
          <w:szCs w:val="24"/>
        </w:rPr>
      </w:pPr>
      <w:r>
        <w:rPr>
          <w:rFonts w:eastAsia="Times New Roman"/>
          <w:b/>
          <w:szCs w:val="24"/>
        </w:rPr>
        <w:t>Strukturální:</w:t>
      </w:r>
      <w:r w:rsidR="00CE28AF">
        <w:rPr>
          <w:rFonts w:eastAsia="Times New Roman"/>
          <w:szCs w:val="24"/>
        </w:rPr>
        <w:t xml:space="preserve"> nezaměstnaný nemůže sehnat práci ve svém oboru, </w:t>
      </w:r>
      <w:r>
        <w:rPr>
          <w:rFonts w:eastAsia="Times New Roman"/>
          <w:szCs w:val="24"/>
        </w:rPr>
        <w:t>souvisí</w:t>
      </w:r>
      <w:r w:rsidR="003376E1">
        <w:rPr>
          <w:rFonts w:eastAsia="Times New Roman"/>
          <w:szCs w:val="24"/>
        </w:rPr>
        <w:t xml:space="preserve"> </w:t>
      </w:r>
      <w:r>
        <w:rPr>
          <w:rFonts w:eastAsia="Times New Roman"/>
          <w:szCs w:val="24"/>
        </w:rPr>
        <w:br/>
        <w:t>s nesouladem nabídky práce a poptávky po práci v určitém odvětví (např.: nadbytek horníků po uzavření dolů v regionu, př. Ostrava, Most).</w:t>
      </w:r>
    </w:p>
    <w:p w14:paraId="48D564E8" w14:textId="77777777" w:rsidR="000C1B71" w:rsidRDefault="000C1B71" w:rsidP="00D46B53">
      <w:pPr>
        <w:pStyle w:val="Odstavecseseznamem"/>
        <w:numPr>
          <w:ilvl w:val="0"/>
          <w:numId w:val="716"/>
        </w:numPr>
        <w:rPr>
          <w:rFonts w:eastAsia="Times New Roman"/>
          <w:szCs w:val="24"/>
        </w:rPr>
      </w:pPr>
      <w:r>
        <w:rPr>
          <w:rFonts w:eastAsia="Times New Roman"/>
          <w:b/>
          <w:szCs w:val="24"/>
        </w:rPr>
        <w:t>Cyklická:</w:t>
      </w:r>
      <w:r>
        <w:rPr>
          <w:rFonts w:eastAsia="Times New Roman"/>
          <w:szCs w:val="24"/>
        </w:rPr>
        <w:t xml:space="preserve"> souvisí s průběhem hospodářského cyklu, v době, kdy se ekonomika nachází v recesi, je zaměstnáno méně lidí než v době konjunktury.</w:t>
      </w:r>
    </w:p>
    <w:p w14:paraId="3D8CEDC6" w14:textId="77777777" w:rsidR="000C1B71" w:rsidRDefault="000C1B71" w:rsidP="000C1B71">
      <w:pPr>
        <w:spacing w:line="100" w:lineRule="exact"/>
        <w:rPr>
          <w:sz w:val="20"/>
          <w:szCs w:val="20"/>
        </w:rPr>
      </w:pPr>
    </w:p>
    <w:p w14:paraId="628AA86F" w14:textId="77777777" w:rsidR="000C1B71" w:rsidRDefault="000C1B71" w:rsidP="000C1B71">
      <w:pPr>
        <w:spacing w:line="20" w:lineRule="exact"/>
        <w:rPr>
          <w:sz w:val="20"/>
          <w:szCs w:val="20"/>
        </w:rPr>
      </w:pPr>
    </w:p>
    <w:p w14:paraId="7C6C8C8D" w14:textId="77777777" w:rsidR="000C1B71" w:rsidRDefault="000C1B71" w:rsidP="000C1B71">
      <w:pPr>
        <w:spacing w:line="200" w:lineRule="exact"/>
        <w:rPr>
          <w:sz w:val="20"/>
          <w:szCs w:val="20"/>
        </w:rPr>
      </w:pPr>
    </w:p>
    <w:p w14:paraId="6B590271" w14:textId="77777777" w:rsidR="000C1B71" w:rsidRDefault="000C1B71" w:rsidP="000C1B71">
      <w:pPr>
        <w:spacing w:line="200" w:lineRule="exact"/>
        <w:rPr>
          <w:sz w:val="20"/>
          <w:szCs w:val="20"/>
        </w:rPr>
      </w:pPr>
    </w:p>
    <w:p w14:paraId="50BFA7C1" w14:textId="77777777" w:rsidR="000C1B71" w:rsidRDefault="000C1B71" w:rsidP="000C1B71">
      <w:pPr>
        <w:spacing w:line="200" w:lineRule="exact"/>
        <w:rPr>
          <w:sz w:val="20"/>
          <w:szCs w:val="20"/>
        </w:rPr>
      </w:pPr>
    </w:p>
    <w:p w14:paraId="639376F2" w14:textId="77777777" w:rsidR="000C1B71" w:rsidRDefault="000C1B71" w:rsidP="000C1B71">
      <w:pPr>
        <w:spacing w:line="200" w:lineRule="exact"/>
        <w:rPr>
          <w:sz w:val="20"/>
          <w:szCs w:val="20"/>
        </w:rPr>
      </w:pPr>
      <w:bookmarkStart w:id="37" w:name="page35"/>
      <w:bookmarkEnd w:id="37"/>
    </w:p>
    <w:p w14:paraId="2B4707F8" w14:textId="77777777" w:rsidR="000C1B71" w:rsidRDefault="000C1B71" w:rsidP="000C1B71">
      <w:pPr>
        <w:spacing w:line="200" w:lineRule="exact"/>
        <w:rPr>
          <w:sz w:val="20"/>
          <w:szCs w:val="20"/>
        </w:rPr>
      </w:pPr>
    </w:p>
    <w:p w14:paraId="5F0977B4" w14:textId="77777777" w:rsidR="000C1B71" w:rsidRDefault="000C1B71" w:rsidP="000C1B71">
      <w:pPr>
        <w:spacing w:line="200" w:lineRule="exact"/>
        <w:rPr>
          <w:noProof/>
          <w:sz w:val="20"/>
          <w:szCs w:val="20"/>
        </w:rPr>
      </w:pPr>
    </w:p>
    <w:p w14:paraId="09422097" w14:textId="77777777" w:rsidR="000C1B71" w:rsidRDefault="000C1B71" w:rsidP="000C1B71">
      <w:pPr>
        <w:spacing w:line="200" w:lineRule="exact"/>
        <w:rPr>
          <w:sz w:val="20"/>
          <w:szCs w:val="20"/>
        </w:rPr>
      </w:pPr>
    </w:p>
    <w:p w14:paraId="48E8FF6C" w14:textId="77777777" w:rsidR="000C1B71" w:rsidRDefault="000C1B71" w:rsidP="000C1B71">
      <w:pPr>
        <w:spacing w:line="200" w:lineRule="exact"/>
        <w:rPr>
          <w:sz w:val="20"/>
          <w:szCs w:val="20"/>
        </w:rPr>
      </w:pPr>
    </w:p>
    <w:p w14:paraId="2D9B9F69" w14:textId="77777777" w:rsidR="000C1B71" w:rsidRDefault="000C1B71" w:rsidP="000C1B71">
      <w:pPr>
        <w:spacing w:line="200" w:lineRule="exact"/>
        <w:rPr>
          <w:sz w:val="20"/>
          <w:szCs w:val="20"/>
        </w:rPr>
      </w:pPr>
    </w:p>
    <w:p w14:paraId="463F5C6E" w14:textId="77777777" w:rsidR="000C1B71" w:rsidRDefault="000C1B71" w:rsidP="000C1B71">
      <w:pPr>
        <w:spacing w:line="200" w:lineRule="exact"/>
        <w:rPr>
          <w:sz w:val="20"/>
          <w:szCs w:val="20"/>
        </w:rPr>
      </w:pPr>
    </w:p>
    <w:p w14:paraId="07C9C746" w14:textId="072E2495" w:rsidR="000C1B71" w:rsidRPr="004A43AA" w:rsidRDefault="000C1B71" w:rsidP="000C1B71">
      <w:pPr>
        <w:spacing w:line="200" w:lineRule="exact"/>
        <w:rPr>
          <w:rFonts w:eastAsia="Times New Roman"/>
          <w:i/>
          <w:iCs/>
          <w:sz w:val="20"/>
          <w:szCs w:val="20"/>
        </w:rPr>
      </w:pPr>
      <w:r w:rsidRPr="004A43AA">
        <w:rPr>
          <w:noProof/>
          <w:sz w:val="20"/>
          <w:szCs w:val="20"/>
        </w:rPr>
        <w:lastRenderedPageBreak/>
        <w:drawing>
          <wp:anchor distT="0" distB="0" distL="114300" distR="114300" simplePos="0" relativeHeight="251781632" behindDoc="1" locked="0" layoutInCell="1" allowOverlap="1" wp14:anchorId="2327BDEA" wp14:editId="42F1B736">
            <wp:simplePos x="0" y="0"/>
            <wp:positionH relativeFrom="column">
              <wp:posOffset>-2540</wp:posOffset>
            </wp:positionH>
            <wp:positionV relativeFrom="paragraph">
              <wp:posOffset>-3810</wp:posOffset>
            </wp:positionV>
            <wp:extent cx="5765800" cy="4635500"/>
            <wp:effectExtent l="0" t="0" r="6350" b="0"/>
            <wp:wrapTight wrapText="bothSides">
              <wp:wrapPolygon edited="0">
                <wp:start x="0" y="0"/>
                <wp:lineTo x="0" y="21482"/>
                <wp:lineTo x="21552" y="21482"/>
                <wp:lineTo x="21552" y="0"/>
                <wp:lineTo x="0" y="0"/>
              </wp:wrapPolygon>
            </wp:wrapTight>
            <wp:docPr id="40" name="Obrázek 40"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Obsah obrázku snímek obrazovky&#10;&#10;Popis byl vytvořen automatick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5800" cy="4635500"/>
                    </a:xfrm>
                    <a:prstGeom prst="rect">
                      <a:avLst/>
                    </a:prstGeom>
                    <a:noFill/>
                  </pic:spPr>
                </pic:pic>
              </a:graphicData>
            </a:graphic>
            <wp14:sizeRelH relativeFrom="page">
              <wp14:pctWidth>0</wp14:pctWidth>
            </wp14:sizeRelH>
            <wp14:sizeRelV relativeFrom="page">
              <wp14:pctHeight>0</wp14:pctHeight>
            </wp14:sizeRelV>
          </wp:anchor>
        </w:drawing>
      </w:r>
      <w:r w:rsidR="00AC6666" w:rsidRPr="004A43AA">
        <w:rPr>
          <w:rFonts w:eastAsia="Times New Roman"/>
          <w:i/>
          <w:iCs/>
          <w:sz w:val="20"/>
          <w:szCs w:val="20"/>
        </w:rPr>
        <w:t>Z</w:t>
      </w:r>
      <w:r w:rsidRPr="004A43AA">
        <w:rPr>
          <w:rFonts w:eastAsia="Times New Roman"/>
          <w:i/>
          <w:iCs/>
          <w:sz w:val="20"/>
          <w:szCs w:val="20"/>
        </w:rPr>
        <w:t xml:space="preserve">droj: EUROSTAT </w:t>
      </w:r>
    </w:p>
    <w:p w14:paraId="62EE7DB4" w14:textId="77777777" w:rsidR="000C1B71" w:rsidRDefault="000C1B71" w:rsidP="000C1B71">
      <w:pPr>
        <w:spacing w:line="200" w:lineRule="exact"/>
        <w:rPr>
          <w:sz w:val="20"/>
          <w:szCs w:val="20"/>
        </w:rPr>
      </w:pPr>
    </w:p>
    <w:p w14:paraId="725941D9" w14:textId="77777777" w:rsidR="000C1B71" w:rsidRPr="000C1B71" w:rsidRDefault="000C1B71" w:rsidP="00D46B53">
      <w:pPr>
        <w:pStyle w:val="Nadpis4"/>
        <w:numPr>
          <w:ilvl w:val="3"/>
          <w:numId w:val="717"/>
        </w:numPr>
        <w:rPr>
          <w:color w:val="1F3864" w:themeColor="accent1" w:themeShade="80"/>
          <w:sz w:val="20"/>
          <w:szCs w:val="20"/>
        </w:rPr>
      </w:pPr>
      <w:bookmarkStart w:id="38" w:name="page36"/>
      <w:bookmarkEnd w:id="38"/>
      <w:r w:rsidRPr="000C1B71">
        <w:rPr>
          <w:rFonts w:eastAsia="Times New Roman"/>
          <w:color w:val="1F3864" w:themeColor="accent1" w:themeShade="80"/>
        </w:rPr>
        <w:t>Platební bilance</w:t>
      </w:r>
    </w:p>
    <w:p w14:paraId="65400B67" w14:textId="77777777" w:rsidR="000C1B71" w:rsidRDefault="000C1B71" w:rsidP="00D46B53">
      <w:pPr>
        <w:pStyle w:val="Odstavecseseznamem"/>
        <w:numPr>
          <w:ilvl w:val="0"/>
          <w:numId w:val="716"/>
        </w:numPr>
        <w:spacing w:after="240"/>
        <w:rPr>
          <w:rFonts w:eastAsia="Times New Roman"/>
          <w:szCs w:val="24"/>
        </w:rPr>
      </w:pPr>
      <w:r>
        <w:rPr>
          <w:rFonts w:eastAsia="Times New Roman"/>
          <w:szCs w:val="24"/>
        </w:rPr>
        <w:t>Zachycuje finanční tok země se zahraničními zeměmi.</w:t>
      </w:r>
    </w:p>
    <w:p w14:paraId="65026C12" w14:textId="77777777" w:rsidR="000C1B71" w:rsidRDefault="000C1B71" w:rsidP="00D46B53">
      <w:pPr>
        <w:pStyle w:val="Odstavecseseznamem"/>
        <w:numPr>
          <w:ilvl w:val="0"/>
          <w:numId w:val="716"/>
        </w:numPr>
        <w:spacing w:after="240"/>
        <w:rPr>
          <w:rFonts w:eastAsia="Times New Roman"/>
          <w:szCs w:val="24"/>
        </w:rPr>
      </w:pPr>
      <w:r>
        <w:rPr>
          <w:rFonts w:eastAsia="Times New Roman"/>
          <w:szCs w:val="24"/>
        </w:rPr>
        <w:t>Pokud je kladná, tak země více vyváží, než dováží (Cíl merkantilistů).</w:t>
      </w:r>
    </w:p>
    <w:p w14:paraId="28F8DFD5" w14:textId="77777777" w:rsidR="000C1B71" w:rsidRDefault="000C1B71" w:rsidP="00D46B53">
      <w:pPr>
        <w:pStyle w:val="Odstavecseseznamem"/>
        <w:numPr>
          <w:ilvl w:val="0"/>
          <w:numId w:val="716"/>
        </w:numPr>
        <w:spacing w:after="240"/>
        <w:rPr>
          <w:rFonts w:eastAsia="Times New Roman"/>
          <w:szCs w:val="24"/>
        </w:rPr>
      </w:pPr>
      <w:r>
        <w:rPr>
          <w:rFonts w:eastAsia="Times New Roman"/>
          <w:szCs w:val="24"/>
        </w:rPr>
        <w:t xml:space="preserve">Pokud je platební bilance záporná země více dováží, než vyváží, nemusí se jednat </w:t>
      </w:r>
      <w:r>
        <w:rPr>
          <w:rFonts w:eastAsia="Times New Roman"/>
          <w:szCs w:val="24"/>
        </w:rPr>
        <w:br/>
        <w:t>o špatný jev. Může se například jednat o příliv investic ze zahraničí.</w:t>
      </w:r>
    </w:p>
    <w:p w14:paraId="6EAFBA6E" w14:textId="77777777" w:rsidR="000C1B71" w:rsidRDefault="000C1B71" w:rsidP="00D46B53">
      <w:pPr>
        <w:pStyle w:val="Odstavecseseznamem"/>
        <w:numPr>
          <w:ilvl w:val="0"/>
          <w:numId w:val="716"/>
        </w:numPr>
        <w:spacing w:after="240"/>
        <w:rPr>
          <w:rFonts w:eastAsia="Times New Roman"/>
          <w:szCs w:val="24"/>
        </w:rPr>
      </w:pPr>
      <w:r>
        <w:rPr>
          <w:rFonts w:eastAsia="Times New Roman"/>
          <w:szCs w:val="24"/>
        </w:rPr>
        <w:t>Platební bilance musí být vždy účetně vyrovnaná. Vnější rovnováhy je dosaženo, když saldo běžného účtu je vyrovnáno opačným saldem finančního účtu.</w:t>
      </w:r>
    </w:p>
    <w:p w14:paraId="668FF5CF" w14:textId="77777777" w:rsidR="000C1B71" w:rsidRDefault="000C1B71" w:rsidP="000C1B71">
      <w:pPr>
        <w:ind w:left="4"/>
        <w:rPr>
          <w:sz w:val="20"/>
          <w:szCs w:val="20"/>
        </w:rPr>
      </w:pPr>
      <w:r>
        <w:rPr>
          <w:rFonts w:eastAsia="Times New Roman"/>
          <w:b/>
          <w:bCs/>
          <w:szCs w:val="24"/>
        </w:rPr>
        <w:t>Složení platební bilance:</w:t>
      </w:r>
    </w:p>
    <w:p w14:paraId="3BD5FD1C" w14:textId="77777777" w:rsidR="000C1B71" w:rsidRDefault="000C1B71" w:rsidP="00D46B53">
      <w:pPr>
        <w:pStyle w:val="Odstavecseseznamem"/>
        <w:numPr>
          <w:ilvl w:val="0"/>
          <w:numId w:val="716"/>
        </w:numPr>
        <w:spacing w:after="240"/>
        <w:rPr>
          <w:rFonts w:eastAsia="Times New Roman"/>
          <w:szCs w:val="24"/>
        </w:rPr>
      </w:pPr>
      <w:r>
        <w:rPr>
          <w:rFonts w:eastAsia="Times New Roman"/>
          <w:b/>
          <w:szCs w:val="24"/>
        </w:rPr>
        <w:t>Běžný účet:</w:t>
      </w:r>
      <w:r>
        <w:rPr>
          <w:rFonts w:eastAsia="Times New Roman"/>
          <w:szCs w:val="24"/>
        </w:rPr>
        <w:t xml:space="preserve"> Znázorňuje tok zboží, služeb a. Jedná se o největší položku platební bilance. Zachycuje vývoz a dovoz zboží a služeb, výnosy a důchody plynoucí </w:t>
      </w:r>
      <w:r>
        <w:rPr>
          <w:rFonts w:eastAsia="Times New Roman"/>
          <w:szCs w:val="24"/>
        </w:rPr>
        <w:br/>
        <w:t>ze zahraničí a do zahraničí a jednostranné převody (např.: dary, nebo dědictví). Bývá ztotožňována s NX.</w:t>
      </w:r>
    </w:p>
    <w:p w14:paraId="1B5BFF21" w14:textId="77777777" w:rsidR="000C1B71" w:rsidRDefault="000C1B71" w:rsidP="00D46B53">
      <w:pPr>
        <w:pStyle w:val="Odstavecseseznamem"/>
        <w:numPr>
          <w:ilvl w:val="0"/>
          <w:numId w:val="716"/>
        </w:numPr>
        <w:spacing w:after="240"/>
        <w:rPr>
          <w:rFonts w:eastAsia="Times New Roman"/>
          <w:szCs w:val="24"/>
        </w:rPr>
      </w:pPr>
      <w:r>
        <w:rPr>
          <w:rFonts w:eastAsia="Times New Roman"/>
          <w:b/>
          <w:szCs w:val="24"/>
        </w:rPr>
        <w:lastRenderedPageBreak/>
        <w:t>Finanční účet:</w:t>
      </w:r>
      <w:r>
        <w:rPr>
          <w:rFonts w:eastAsia="Times New Roman"/>
          <w:szCs w:val="24"/>
        </w:rPr>
        <w:t xml:space="preserve"> investice ze zahraničí (přímé, portfoliové, ostatní) mínus investice </w:t>
      </w:r>
      <w:r>
        <w:rPr>
          <w:rFonts w:eastAsia="Times New Roman"/>
          <w:szCs w:val="24"/>
        </w:rPr>
        <w:br/>
        <w:t>do zahraničí. Zachycuje vývoz kapitálu (nákupy zahraničních aktiv domácími osobami) a dovoz kapitálu (nákupy domácích aktiv zahraničními osobami).</w:t>
      </w:r>
    </w:p>
    <w:p w14:paraId="3357544E" w14:textId="77777777" w:rsidR="000C1B71" w:rsidRDefault="000C1B71" w:rsidP="000C1B71">
      <w:pPr>
        <w:spacing w:line="3" w:lineRule="exact"/>
        <w:rPr>
          <w:rFonts w:eastAsia="Arial"/>
          <w:szCs w:val="24"/>
        </w:rPr>
      </w:pPr>
    </w:p>
    <w:p w14:paraId="3849FA78" w14:textId="77777777" w:rsidR="000C1B71" w:rsidRPr="00AC6666" w:rsidRDefault="000C1B71" w:rsidP="00D46B53">
      <w:pPr>
        <w:pStyle w:val="Odstavecseseznamem"/>
        <w:numPr>
          <w:ilvl w:val="0"/>
          <w:numId w:val="716"/>
        </w:numPr>
        <w:spacing w:after="240"/>
        <w:rPr>
          <w:rFonts w:eastAsia="Times New Roman"/>
          <w:szCs w:val="24"/>
        </w:rPr>
      </w:pPr>
      <w:r>
        <w:rPr>
          <w:rFonts w:eastAsia="Times New Roman"/>
          <w:b/>
          <w:szCs w:val="24"/>
        </w:rPr>
        <w:t>Změna devizových rezerv:</w:t>
      </w:r>
      <w:r>
        <w:rPr>
          <w:rFonts w:eastAsia="Times New Roman"/>
          <w:szCs w:val="24"/>
        </w:rPr>
        <w:t xml:space="preserve"> Vnitřní vyrovnávací mechanismus. V praxi se jedná pouze o účetní vyrovnání. Platební bilance při plovoucím kurzu (floating) se devizové rezervy příliš nemění. Vyrovnání platební bilance je prováděno přes měnový kurz. </w:t>
      </w:r>
      <w:r>
        <w:rPr>
          <w:rFonts w:eastAsia="Times New Roman"/>
          <w:szCs w:val="24"/>
        </w:rPr>
        <w:br/>
      </w:r>
      <w:r w:rsidRPr="00AC6666">
        <w:rPr>
          <w:rFonts w:eastAsia="Times New Roman"/>
          <w:szCs w:val="24"/>
        </w:rPr>
        <w:t>Při fixním měnovém kurzu dochází k velkým změnám platební bilance.</w:t>
      </w:r>
    </w:p>
    <w:p w14:paraId="091AA809" w14:textId="77777777" w:rsidR="000C1B71" w:rsidRPr="00AC6666" w:rsidRDefault="000C1B71" w:rsidP="000C1B71">
      <w:pPr>
        <w:spacing w:line="145" w:lineRule="exact"/>
        <w:rPr>
          <w:rFonts w:eastAsia="Arial"/>
          <w:szCs w:val="24"/>
        </w:rPr>
      </w:pPr>
    </w:p>
    <w:p w14:paraId="5EAD1DF6" w14:textId="77777777" w:rsidR="000C1B71" w:rsidRPr="00AC6666" w:rsidRDefault="000C1B71" w:rsidP="00D46B53">
      <w:pPr>
        <w:pStyle w:val="Odstavecseseznamem"/>
        <w:numPr>
          <w:ilvl w:val="0"/>
          <w:numId w:val="716"/>
        </w:numPr>
        <w:spacing w:after="240"/>
        <w:jc w:val="left"/>
        <w:rPr>
          <w:rFonts w:eastAsia="Times New Roman"/>
          <w:b/>
          <w:szCs w:val="24"/>
        </w:rPr>
      </w:pPr>
      <w:r w:rsidRPr="00AC6666">
        <w:rPr>
          <w:rFonts w:eastAsia="Times New Roman"/>
          <w:b/>
          <w:szCs w:val="24"/>
        </w:rPr>
        <w:t xml:space="preserve">Platební bilance ČR: </w:t>
      </w:r>
      <w:hyperlink r:id="rId25" w:history="1">
        <w:r w:rsidRPr="00AC6666">
          <w:rPr>
            <w:rStyle w:val="Hypertextovodkaz"/>
            <w:rFonts w:eastAsia="Calibri"/>
            <w:color w:val="auto"/>
            <w:szCs w:val="24"/>
          </w:rPr>
          <w:t>http://www.cnb.cz/cs/statistika/platebni_bilance_stat/platebni_bilance_q/bop_q_czk.htm</w:t>
        </w:r>
      </w:hyperlink>
    </w:p>
    <w:p w14:paraId="4A6F2C38" w14:textId="77777777" w:rsidR="008E0F74" w:rsidRPr="000C1B71" w:rsidRDefault="00256F29" w:rsidP="00F637A9">
      <w:pPr>
        <w:pStyle w:val="Nadpis2"/>
        <w:rPr>
          <w:color w:val="1F3864" w:themeColor="accent1" w:themeShade="80"/>
          <w:sz w:val="20"/>
          <w:szCs w:val="20"/>
        </w:rPr>
      </w:pPr>
      <w:r w:rsidRPr="000C1B71">
        <w:rPr>
          <w:rFonts w:eastAsia="Times New Roman"/>
          <w:color w:val="1F3864" w:themeColor="accent1" w:themeShade="80"/>
        </w:rPr>
        <w:t>CHARAKTERISTIKA NOSITELŮ A NÁSTROJŮ HP</w:t>
      </w:r>
    </w:p>
    <w:p w14:paraId="2A1A850D" w14:textId="77777777" w:rsidR="004236C6" w:rsidRPr="00413472" w:rsidRDefault="004236C6" w:rsidP="004236C6">
      <w:pPr>
        <w:pStyle w:val="Nadpis3"/>
        <w:rPr>
          <w:color w:val="1F3864" w:themeColor="accent1" w:themeShade="80"/>
          <w:sz w:val="20"/>
          <w:szCs w:val="20"/>
        </w:rPr>
      </w:pPr>
      <w:r w:rsidRPr="00413472">
        <w:rPr>
          <w:rFonts w:eastAsia="Times New Roman"/>
          <w:color w:val="1F3864" w:themeColor="accent1" w:themeShade="80"/>
        </w:rPr>
        <w:t>Funkce hospodářské politiky</w:t>
      </w:r>
    </w:p>
    <w:p w14:paraId="566F1DC9" w14:textId="77777777" w:rsidR="004236C6" w:rsidRPr="00FC3B7C" w:rsidRDefault="004236C6" w:rsidP="004236C6">
      <w:pPr>
        <w:spacing w:line="200" w:lineRule="exact"/>
        <w:rPr>
          <w:sz w:val="20"/>
          <w:szCs w:val="20"/>
        </w:rPr>
      </w:pPr>
    </w:p>
    <w:p w14:paraId="7FD68E98" w14:textId="77777777" w:rsidR="004236C6" w:rsidRPr="00413472" w:rsidRDefault="004236C6" w:rsidP="004236C6">
      <w:pPr>
        <w:pStyle w:val="Nadpis4"/>
        <w:rPr>
          <w:color w:val="1F3864" w:themeColor="accent1" w:themeShade="80"/>
          <w:sz w:val="20"/>
          <w:szCs w:val="20"/>
        </w:rPr>
      </w:pPr>
      <w:r w:rsidRPr="00413472">
        <w:rPr>
          <w:rFonts w:eastAsia="Times New Roman"/>
          <w:color w:val="1F3864" w:themeColor="accent1" w:themeShade="80"/>
        </w:rPr>
        <w:t>Funkce právní jistoty a bezpečnosti</w:t>
      </w:r>
    </w:p>
    <w:p w14:paraId="6529509B" w14:textId="77777777" w:rsidR="004236C6" w:rsidRPr="00F637A9" w:rsidRDefault="004236C6" w:rsidP="00D46B53">
      <w:pPr>
        <w:pStyle w:val="Odstavecseseznamem"/>
        <w:numPr>
          <w:ilvl w:val="0"/>
          <w:numId w:val="599"/>
        </w:numPr>
        <w:rPr>
          <w:rFonts w:eastAsia="Arial"/>
        </w:rPr>
      </w:pPr>
      <w:r w:rsidRPr="00F637A9">
        <w:rPr>
          <w:rFonts w:eastAsia="Times New Roman"/>
        </w:rPr>
        <w:t xml:space="preserve">Některé vybrané státní instituce zajišťují tvorbu a dodržování práva jako jedné </w:t>
      </w:r>
      <w:r>
        <w:rPr>
          <w:rFonts w:eastAsia="Times New Roman"/>
        </w:rPr>
        <w:br/>
      </w:r>
      <w:r w:rsidRPr="00F637A9">
        <w:rPr>
          <w:rFonts w:eastAsia="Times New Roman"/>
        </w:rPr>
        <w:t>ze základních podmínek řádného fungování společnosti, a tím i ekonomiky</w:t>
      </w:r>
      <w:r>
        <w:rPr>
          <w:rFonts w:eastAsia="Times New Roman"/>
        </w:rPr>
        <w:t>.</w:t>
      </w:r>
    </w:p>
    <w:p w14:paraId="7D064004" w14:textId="77777777" w:rsidR="004236C6" w:rsidRPr="00F637A9" w:rsidRDefault="004236C6" w:rsidP="00D46B53">
      <w:pPr>
        <w:pStyle w:val="Odstavecseseznamem"/>
        <w:numPr>
          <w:ilvl w:val="0"/>
          <w:numId w:val="599"/>
        </w:numPr>
        <w:rPr>
          <w:rFonts w:eastAsia="Arial"/>
        </w:rPr>
      </w:pPr>
      <w:r w:rsidRPr="00F637A9">
        <w:rPr>
          <w:rFonts w:eastAsia="Times New Roman"/>
        </w:rPr>
        <w:t>Zajišťují bezpečnost vnitrostátní a mezinárodní obranou státu, mezinárodními dohodami</w:t>
      </w:r>
      <w:r>
        <w:rPr>
          <w:rFonts w:eastAsia="Times New Roman"/>
        </w:rPr>
        <w:t>.</w:t>
      </w:r>
    </w:p>
    <w:p w14:paraId="73D2E75D" w14:textId="77777777" w:rsidR="004236C6" w:rsidRPr="00F637A9" w:rsidRDefault="004236C6" w:rsidP="00D46B53">
      <w:pPr>
        <w:pStyle w:val="Odstavecseseznamem"/>
        <w:numPr>
          <w:ilvl w:val="0"/>
          <w:numId w:val="599"/>
        </w:numPr>
        <w:rPr>
          <w:rFonts w:eastAsia="Arial"/>
        </w:rPr>
      </w:pPr>
      <w:r w:rsidRPr="00F637A9">
        <w:rPr>
          <w:rFonts w:eastAsia="Times New Roman"/>
        </w:rPr>
        <w:t>Existují nástroje, které mají v rukách vybrané státní instituce, pomocí nichž je možno dodržování práva vymáhat</w:t>
      </w:r>
      <w:r>
        <w:rPr>
          <w:rFonts w:eastAsia="Times New Roman"/>
        </w:rPr>
        <w:t>.</w:t>
      </w:r>
    </w:p>
    <w:p w14:paraId="7D02DC2F" w14:textId="77777777" w:rsidR="004236C6" w:rsidRPr="00FC3B7C" w:rsidRDefault="004236C6" w:rsidP="004236C6">
      <w:pPr>
        <w:spacing w:line="168" w:lineRule="exact"/>
        <w:rPr>
          <w:sz w:val="20"/>
          <w:szCs w:val="20"/>
        </w:rPr>
      </w:pPr>
    </w:p>
    <w:p w14:paraId="71C5EB96" w14:textId="77777777" w:rsidR="004236C6" w:rsidRPr="00413472" w:rsidRDefault="004236C6" w:rsidP="004236C6">
      <w:pPr>
        <w:pStyle w:val="Nadpis4"/>
        <w:rPr>
          <w:color w:val="1F3864" w:themeColor="accent1" w:themeShade="80"/>
          <w:sz w:val="20"/>
          <w:szCs w:val="20"/>
        </w:rPr>
      </w:pPr>
      <w:r w:rsidRPr="00413472">
        <w:rPr>
          <w:rFonts w:eastAsia="Times New Roman"/>
          <w:color w:val="1F3864" w:themeColor="accent1" w:themeShade="80"/>
        </w:rPr>
        <w:t>Funkce sociální</w:t>
      </w:r>
    </w:p>
    <w:p w14:paraId="50EBC4B7" w14:textId="778232C1" w:rsidR="004236C6" w:rsidRPr="00F637A9" w:rsidRDefault="004236C6" w:rsidP="00D46B53">
      <w:pPr>
        <w:pStyle w:val="Odstavecseseznamem"/>
        <w:numPr>
          <w:ilvl w:val="0"/>
          <w:numId w:val="599"/>
        </w:numPr>
        <w:rPr>
          <w:rFonts w:eastAsia="Times New Roman"/>
        </w:rPr>
      </w:pPr>
      <w:r w:rsidRPr="00F637A9">
        <w:rPr>
          <w:rFonts w:eastAsia="Times New Roman"/>
        </w:rPr>
        <w:t xml:space="preserve">Stát mimo jiné přerozděluje dle předem dané dohody a dle zákona (např.: nemocným, důchodcům, sociálně </w:t>
      </w:r>
      <w:r w:rsidR="00CE28AF" w:rsidRPr="00F637A9">
        <w:rPr>
          <w:rFonts w:eastAsia="Times New Roman"/>
        </w:rPr>
        <w:t>slabším</w:t>
      </w:r>
      <w:r w:rsidRPr="00F637A9">
        <w:rPr>
          <w:rFonts w:eastAsia="Times New Roman"/>
        </w:rPr>
        <w:t xml:space="preserve"> atd.)</w:t>
      </w:r>
      <w:r>
        <w:rPr>
          <w:rFonts w:eastAsia="Times New Roman"/>
        </w:rPr>
        <w:t>.</w:t>
      </w:r>
    </w:p>
    <w:p w14:paraId="7FE6779E" w14:textId="77777777" w:rsidR="004236C6" w:rsidRPr="00F637A9" w:rsidRDefault="004236C6" w:rsidP="00D46B53">
      <w:pPr>
        <w:pStyle w:val="Odstavecseseznamem"/>
        <w:numPr>
          <w:ilvl w:val="0"/>
          <w:numId w:val="599"/>
        </w:numPr>
        <w:rPr>
          <w:rFonts w:eastAsia="Times New Roman"/>
        </w:rPr>
      </w:pPr>
      <w:r w:rsidRPr="00F637A9">
        <w:rPr>
          <w:rFonts w:eastAsia="Times New Roman"/>
        </w:rPr>
        <w:t>Stát též zajišťuje některé veřejné statky, i když u některých je více než diskutabilní, zda se jedná o veřejný statek v pravém slova smyslu, jelikož nesplňují definici veřejného statku.</w:t>
      </w:r>
    </w:p>
    <w:p w14:paraId="4787F21E" w14:textId="77777777" w:rsidR="004236C6" w:rsidRPr="00F637A9" w:rsidRDefault="004236C6" w:rsidP="00D46B53">
      <w:pPr>
        <w:pStyle w:val="Odstavecseseznamem"/>
        <w:numPr>
          <w:ilvl w:val="0"/>
          <w:numId w:val="599"/>
        </w:numPr>
        <w:rPr>
          <w:rFonts w:eastAsia="Times New Roman"/>
        </w:rPr>
      </w:pPr>
      <w:r w:rsidRPr="00F637A9">
        <w:rPr>
          <w:rFonts w:eastAsia="Times New Roman"/>
        </w:rPr>
        <w:t>Mezi statky poskytované státem se řadí např.: Školství, zdravotnictví nebo silnice</w:t>
      </w:r>
      <w:r>
        <w:rPr>
          <w:rFonts w:eastAsia="Times New Roman"/>
        </w:rPr>
        <w:t>.</w:t>
      </w:r>
    </w:p>
    <w:p w14:paraId="45603D58" w14:textId="77777777" w:rsidR="004236C6" w:rsidRPr="00F637A9" w:rsidRDefault="004236C6" w:rsidP="00D46B53">
      <w:pPr>
        <w:pStyle w:val="Odstavecseseznamem"/>
        <w:numPr>
          <w:ilvl w:val="0"/>
          <w:numId w:val="599"/>
        </w:numPr>
        <w:rPr>
          <w:rFonts w:eastAsia="Times New Roman"/>
        </w:rPr>
      </w:pPr>
      <w:r w:rsidRPr="00F637A9">
        <w:rPr>
          <w:rFonts w:eastAsia="Times New Roman"/>
        </w:rPr>
        <w:t>Stát též vynakládá peníze na politiku zaměstnanosti (podpora v nezaměstnanosti, úřady práce, rekvalifikace)</w:t>
      </w:r>
      <w:r>
        <w:rPr>
          <w:rFonts w:eastAsia="Times New Roman"/>
        </w:rPr>
        <w:t>.</w:t>
      </w:r>
    </w:p>
    <w:p w14:paraId="181E27A5" w14:textId="77777777" w:rsidR="004236C6" w:rsidRPr="00F637A9" w:rsidRDefault="004236C6" w:rsidP="00D46B53">
      <w:pPr>
        <w:pStyle w:val="Odstavecseseznamem"/>
        <w:numPr>
          <w:ilvl w:val="0"/>
          <w:numId w:val="599"/>
        </w:numPr>
        <w:rPr>
          <w:rFonts w:eastAsia="Times New Roman"/>
        </w:rPr>
      </w:pPr>
      <w:r w:rsidRPr="00F637A9">
        <w:rPr>
          <w:rFonts w:eastAsia="Times New Roman"/>
        </w:rPr>
        <w:t>Tyto funkce platí do neziskového sektoru a jsou potřebné pro fungování ekonomiky, měly by být pružné a dynamické</w:t>
      </w:r>
      <w:r>
        <w:rPr>
          <w:rFonts w:eastAsia="Times New Roman"/>
        </w:rPr>
        <w:t>.</w:t>
      </w:r>
    </w:p>
    <w:p w14:paraId="57E3B424" w14:textId="77777777" w:rsidR="004236C6" w:rsidRPr="00FC3B7C" w:rsidRDefault="004236C6" w:rsidP="004236C6">
      <w:pPr>
        <w:spacing w:line="168" w:lineRule="exact"/>
        <w:rPr>
          <w:sz w:val="20"/>
          <w:szCs w:val="20"/>
        </w:rPr>
      </w:pPr>
    </w:p>
    <w:p w14:paraId="5582A2B1" w14:textId="77777777" w:rsidR="004236C6" w:rsidRPr="00413472" w:rsidRDefault="004236C6" w:rsidP="004236C6">
      <w:pPr>
        <w:pStyle w:val="Nadpis4"/>
        <w:rPr>
          <w:color w:val="1F3864" w:themeColor="accent1" w:themeShade="80"/>
          <w:sz w:val="20"/>
          <w:szCs w:val="20"/>
        </w:rPr>
      </w:pPr>
      <w:r w:rsidRPr="00413472">
        <w:rPr>
          <w:rFonts w:eastAsia="Times New Roman"/>
          <w:color w:val="1F3864" w:themeColor="accent1" w:themeShade="80"/>
        </w:rPr>
        <w:t>Funkce hospodářská</w:t>
      </w:r>
    </w:p>
    <w:p w14:paraId="0FA8436F" w14:textId="77777777" w:rsidR="004236C6" w:rsidRPr="00F637A9" w:rsidRDefault="004236C6" w:rsidP="00D46B53">
      <w:pPr>
        <w:pStyle w:val="Odstavecseseznamem"/>
        <w:numPr>
          <w:ilvl w:val="0"/>
          <w:numId w:val="599"/>
        </w:numPr>
        <w:rPr>
          <w:rFonts w:eastAsia="Times New Roman"/>
        </w:rPr>
      </w:pPr>
      <w:r w:rsidRPr="00F637A9">
        <w:rPr>
          <w:rFonts w:eastAsia="Times New Roman"/>
        </w:rPr>
        <w:t>Stát sám podniká a provozuje podniky za účelem zisku. S tím nesouhlasí hlavně liberální ekonomové, obzvláště rakouská škola</w:t>
      </w:r>
      <w:r>
        <w:rPr>
          <w:rFonts w:eastAsia="Times New Roman"/>
        </w:rPr>
        <w:t>.</w:t>
      </w:r>
    </w:p>
    <w:p w14:paraId="452FB8B7" w14:textId="77777777" w:rsidR="004236C6" w:rsidRPr="00F637A9" w:rsidRDefault="004236C6" w:rsidP="00D46B53">
      <w:pPr>
        <w:pStyle w:val="Odstavecseseznamem"/>
        <w:numPr>
          <w:ilvl w:val="0"/>
          <w:numId w:val="599"/>
        </w:numPr>
        <w:rPr>
          <w:rFonts w:eastAsia="Times New Roman"/>
        </w:rPr>
      </w:pPr>
      <w:r w:rsidRPr="00F637A9">
        <w:rPr>
          <w:rFonts w:eastAsia="Times New Roman"/>
        </w:rPr>
        <w:t>Mezi státní či polostátní podniky v ČR patří: České dráhy a.s. Budějovický Budvar nebo Lesy ČR</w:t>
      </w:r>
      <w:r>
        <w:rPr>
          <w:rFonts w:eastAsia="Times New Roman"/>
        </w:rPr>
        <w:t>.</w:t>
      </w:r>
    </w:p>
    <w:p w14:paraId="52CE1195" w14:textId="04EBBA5C" w:rsidR="004236C6" w:rsidRDefault="004236C6" w:rsidP="00D46B53">
      <w:pPr>
        <w:pStyle w:val="Odstavecseseznamem"/>
        <w:numPr>
          <w:ilvl w:val="0"/>
          <w:numId w:val="599"/>
        </w:numPr>
        <w:rPr>
          <w:rFonts w:eastAsia="Times New Roman"/>
        </w:rPr>
      </w:pPr>
      <w:r w:rsidRPr="00F637A9">
        <w:rPr>
          <w:rFonts w:eastAsia="Times New Roman"/>
        </w:rPr>
        <w:t>Stát má vytvářet podmínky pro podnikání soukromých subjektů, které díky úspěchu odvedou na daních (viz. ordoliberalismus)</w:t>
      </w:r>
      <w:bookmarkStart w:id="39" w:name="page39"/>
      <w:bookmarkEnd w:id="39"/>
      <w:r>
        <w:rPr>
          <w:rFonts w:eastAsia="Times New Roman"/>
        </w:rPr>
        <w:t>.</w:t>
      </w:r>
    </w:p>
    <w:p w14:paraId="62591ACF" w14:textId="77777777" w:rsidR="00AC6666" w:rsidRPr="00AC6666" w:rsidRDefault="00AC6666" w:rsidP="00AC6666">
      <w:pPr>
        <w:ind w:left="360"/>
        <w:rPr>
          <w:rFonts w:eastAsia="Times New Roman"/>
        </w:rPr>
      </w:pPr>
    </w:p>
    <w:p w14:paraId="476552C3" w14:textId="77777777" w:rsidR="00AC6666" w:rsidRPr="00413472" w:rsidRDefault="00AC6666" w:rsidP="00AC6666">
      <w:pPr>
        <w:pStyle w:val="Nadpis3"/>
        <w:rPr>
          <w:color w:val="1F3864" w:themeColor="accent1" w:themeShade="80"/>
          <w:sz w:val="20"/>
          <w:szCs w:val="20"/>
        </w:rPr>
      </w:pPr>
      <w:r w:rsidRPr="00413472">
        <w:rPr>
          <w:rFonts w:eastAsia="Times New Roman"/>
          <w:color w:val="1F3864" w:themeColor="accent1" w:themeShade="80"/>
        </w:rPr>
        <w:t>Nástroje hospodářské politiky</w:t>
      </w:r>
    </w:p>
    <w:p w14:paraId="1524CCA6" w14:textId="77777777" w:rsidR="00AC6666" w:rsidRPr="000D2ED5" w:rsidRDefault="00AC6666" w:rsidP="00D46B53">
      <w:pPr>
        <w:pStyle w:val="Odstavecseseznamem"/>
        <w:numPr>
          <w:ilvl w:val="0"/>
          <w:numId w:val="599"/>
        </w:numPr>
        <w:rPr>
          <w:rFonts w:eastAsia="Times New Roman"/>
        </w:rPr>
      </w:pPr>
      <w:r w:rsidRPr="000D2ED5">
        <w:rPr>
          <w:rFonts w:eastAsia="Times New Roman"/>
        </w:rPr>
        <w:t>Nástroje jsou takové ekonomické veličiny, které mohou ovlivnit konečné cíle ekonomiky</w:t>
      </w:r>
      <w:r>
        <w:rPr>
          <w:rFonts w:eastAsia="Times New Roman"/>
        </w:rPr>
        <w:t>.</w:t>
      </w:r>
    </w:p>
    <w:p w14:paraId="3FCBAC8F" w14:textId="77777777" w:rsidR="00AC6666" w:rsidRPr="000D2ED5" w:rsidRDefault="00AC6666" w:rsidP="00D46B53">
      <w:pPr>
        <w:pStyle w:val="Odstavecseseznamem"/>
        <w:numPr>
          <w:ilvl w:val="0"/>
          <w:numId w:val="599"/>
        </w:numPr>
        <w:rPr>
          <w:rFonts w:eastAsia="Times New Roman"/>
        </w:rPr>
      </w:pPr>
      <w:r w:rsidRPr="000D2ED5">
        <w:rPr>
          <w:rFonts w:eastAsia="Times New Roman"/>
        </w:rPr>
        <w:t>Mezi ekonomické veličiny se řadí např.: cena nebo daňová sazba</w:t>
      </w:r>
      <w:r>
        <w:rPr>
          <w:rFonts w:eastAsia="Times New Roman"/>
        </w:rPr>
        <w:t>.</w:t>
      </w:r>
    </w:p>
    <w:p w14:paraId="03A7C2E5" w14:textId="77777777" w:rsidR="00AC6666" w:rsidRPr="00FC3B7C" w:rsidRDefault="00AC6666" w:rsidP="00AC6666">
      <w:pPr>
        <w:spacing w:line="320" w:lineRule="exact"/>
        <w:rPr>
          <w:sz w:val="20"/>
          <w:szCs w:val="20"/>
        </w:rPr>
      </w:pPr>
    </w:p>
    <w:p w14:paraId="55EC6F9B" w14:textId="77777777" w:rsidR="00AC6666" w:rsidRPr="00FC3B7C" w:rsidRDefault="00AC6666" w:rsidP="00AC6666">
      <w:pPr>
        <w:rPr>
          <w:sz w:val="20"/>
          <w:szCs w:val="20"/>
        </w:rPr>
      </w:pPr>
      <w:r w:rsidRPr="00FC3B7C">
        <w:rPr>
          <w:rFonts w:eastAsia="Times New Roman"/>
          <w:b/>
          <w:bCs/>
          <w:szCs w:val="24"/>
        </w:rPr>
        <w:t>Dělení nástrojů:</w:t>
      </w:r>
    </w:p>
    <w:p w14:paraId="6A8271C9" w14:textId="77777777" w:rsidR="00AC6666" w:rsidRPr="00FC3B7C" w:rsidRDefault="00AC6666" w:rsidP="00AC6666">
      <w:pPr>
        <w:numPr>
          <w:ilvl w:val="0"/>
          <w:numId w:val="16"/>
        </w:numPr>
        <w:tabs>
          <w:tab w:val="left" w:pos="1140"/>
        </w:tabs>
        <w:ind w:left="1140" w:hanging="370"/>
        <w:rPr>
          <w:rFonts w:eastAsia="Arial"/>
          <w:szCs w:val="24"/>
        </w:rPr>
      </w:pPr>
      <w:r w:rsidRPr="00FC3B7C">
        <w:rPr>
          <w:rFonts w:eastAsia="Times New Roman"/>
          <w:b/>
          <w:bCs/>
          <w:szCs w:val="24"/>
        </w:rPr>
        <w:t>Podle úrovně působení</w:t>
      </w:r>
    </w:p>
    <w:p w14:paraId="29541C1D" w14:textId="77777777" w:rsidR="00AC6666" w:rsidRPr="00FC3B7C" w:rsidRDefault="00AC6666" w:rsidP="00AC6666">
      <w:pPr>
        <w:spacing w:line="146" w:lineRule="exact"/>
        <w:rPr>
          <w:rFonts w:eastAsia="Arial"/>
          <w:szCs w:val="24"/>
        </w:rPr>
      </w:pPr>
    </w:p>
    <w:p w14:paraId="1AC75430" w14:textId="77777777" w:rsidR="00AC6666" w:rsidRPr="00FC3B7C" w:rsidRDefault="00AC6666" w:rsidP="00AC6666">
      <w:pPr>
        <w:numPr>
          <w:ilvl w:val="1"/>
          <w:numId w:val="16"/>
        </w:numPr>
        <w:tabs>
          <w:tab w:val="left" w:pos="1985"/>
        </w:tabs>
        <w:ind w:left="1560" w:hanging="368"/>
        <w:rPr>
          <w:rFonts w:eastAsia="Times New Roman"/>
          <w:szCs w:val="24"/>
        </w:rPr>
      </w:pPr>
      <w:r w:rsidRPr="00FC3B7C">
        <w:rPr>
          <w:rFonts w:eastAsia="Times New Roman"/>
          <w:szCs w:val="24"/>
        </w:rPr>
        <w:t>Makroekonomické</w:t>
      </w:r>
    </w:p>
    <w:p w14:paraId="6BF56C22" w14:textId="77777777" w:rsidR="00AC6666" w:rsidRPr="00FC3B7C" w:rsidRDefault="00AC6666" w:rsidP="00AC6666">
      <w:pPr>
        <w:numPr>
          <w:ilvl w:val="1"/>
          <w:numId w:val="16"/>
        </w:numPr>
        <w:tabs>
          <w:tab w:val="left" w:pos="1985"/>
        </w:tabs>
        <w:ind w:left="1560" w:hanging="368"/>
        <w:rPr>
          <w:rFonts w:eastAsia="Times New Roman"/>
          <w:szCs w:val="24"/>
        </w:rPr>
      </w:pPr>
      <w:r w:rsidRPr="00FC3B7C">
        <w:rPr>
          <w:rFonts w:eastAsia="Times New Roman"/>
          <w:szCs w:val="24"/>
        </w:rPr>
        <w:t>Mikroekonomické</w:t>
      </w:r>
    </w:p>
    <w:p w14:paraId="4142451E" w14:textId="77777777" w:rsidR="00AC6666" w:rsidRPr="00FC3B7C" w:rsidRDefault="00AC6666" w:rsidP="00AC6666">
      <w:pPr>
        <w:spacing w:line="150" w:lineRule="exact"/>
        <w:rPr>
          <w:rFonts w:eastAsia="Times New Roman"/>
          <w:szCs w:val="24"/>
        </w:rPr>
      </w:pPr>
    </w:p>
    <w:p w14:paraId="266277FA" w14:textId="77777777" w:rsidR="00AC6666" w:rsidRPr="00FC3B7C" w:rsidRDefault="00AC6666" w:rsidP="00AC6666">
      <w:pPr>
        <w:numPr>
          <w:ilvl w:val="0"/>
          <w:numId w:val="16"/>
        </w:numPr>
        <w:tabs>
          <w:tab w:val="left" w:pos="1140"/>
        </w:tabs>
        <w:ind w:left="1140" w:hanging="370"/>
        <w:rPr>
          <w:rFonts w:eastAsia="Arial"/>
          <w:szCs w:val="24"/>
        </w:rPr>
      </w:pPr>
      <w:r w:rsidRPr="00FC3B7C">
        <w:rPr>
          <w:rFonts w:eastAsia="Times New Roman"/>
          <w:b/>
          <w:bCs/>
          <w:szCs w:val="24"/>
        </w:rPr>
        <w:t>Podle charakteru vlivu</w:t>
      </w:r>
    </w:p>
    <w:p w14:paraId="2AA170C3" w14:textId="77777777" w:rsidR="00AC6666" w:rsidRPr="00FC3B7C" w:rsidRDefault="00AC6666" w:rsidP="00AC6666">
      <w:pPr>
        <w:numPr>
          <w:ilvl w:val="1"/>
          <w:numId w:val="16"/>
        </w:numPr>
        <w:tabs>
          <w:tab w:val="left" w:pos="1985"/>
        </w:tabs>
        <w:ind w:left="1560" w:hanging="368"/>
        <w:rPr>
          <w:rFonts w:eastAsia="Times New Roman"/>
          <w:szCs w:val="24"/>
        </w:rPr>
      </w:pPr>
      <w:r w:rsidRPr="00FC3B7C">
        <w:rPr>
          <w:rFonts w:eastAsia="Times New Roman"/>
          <w:szCs w:val="24"/>
        </w:rPr>
        <w:t>Přímé</w:t>
      </w:r>
    </w:p>
    <w:p w14:paraId="0E6FB27F" w14:textId="77777777" w:rsidR="00AC6666" w:rsidRPr="00FC3B7C" w:rsidRDefault="00AC6666" w:rsidP="00AC6666">
      <w:pPr>
        <w:numPr>
          <w:ilvl w:val="1"/>
          <w:numId w:val="16"/>
        </w:numPr>
        <w:tabs>
          <w:tab w:val="left" w:pos="1985"/>
        </w:tabs>
        <w:ind w:left="1560" w:hanging="368"/>
        <w:rPr>
          <w:rFonts w:eastAsia="Times New Roman"/>
          <w:szCs w:val="24"/>
        </w:rPr>
      </w:pPr>
      <w:r w:rsidRPr="00FC3B7C">
        <w:rPr>
          <w:rFonts w:eastAsia="Times New Roman"/>
          <w:szCs w:val="24"/>
        </w:rPr>
        <w:t>Nepřímé</w:t>
      </w:r>
    </w:p>
    <w:p w14:paraId="6E1F7AD1" w14:textId="77777777" w:rsidR="00AC6666" w:rsidRPr="00FC3B7C" w:rsidRDefault="00AC6666" w:rsidP="00AC6666">
      <w:pPr>
        <w:spacing w:line="145" w:lineRule="exact"/>
        <w:rPr>
          <w:rFonts w:eastAsia="Times New Roman"/>
          <w:szCs w:val="24"/>
        </w:rPr>
      </w:pPr>
    </w:p>
    <w:p w14:paraId="48B7851C" w14:textId="77777777" w:rsidR="00AC6666" w:rsidRPr="00FC3B7C" w:rsidRDefault="00AC6666" w:rsidP="00AC6666">
      <w:pPr>
        <w:numPr>
          <w:ilvl w:val="0"/>
          <w:numId w:val="16"/>
        </w:numPr>
        <w:tabs>
          <w:tab w:val="left" w:pos="1140"/>
        </w:tabs>
        <w:ind w:left="1140" w:hanging="370"/>
        <w:rPr>
          <w:rFonts w:eastAsia="Arial"/>
          <w:szCs w:val="24"/>
        </w:rPr>
      </w:pPr>
      <w:r w:rsidRPr="00FC3B7C">
        <w:rPr>
          <w:rFonts w:eastAsia="Times New Roman"/>
          <w:b/>
          <w:bCs/>
          <w:szCs w:val="24"/>
        </w:rPr>
        <w:t>Podle oblasti působení</w:t>
      </w:r>
    </w:p>
    <w:p w14:paraId="437A4D47" w14:textId="77777777" w:rsidR="00AC6666" w:rsidRPr="00FC3B7C" w:rsidRDefault="00AC6666" w:rsidP="00AC6666">
      <w:pPr>
        <w:spacing w:line="146" w:lineRule="exact"/>
        <w:rPr>
          <w:rFonts w:eastAsia="Arial"/>
          <w:szCs w:val="24"/>
        </w:rPr>
      </w:pPr>
    </w:p>
    <w:p w14:paraId="45F368EC" w14:textId="77777777" w:rsidR="00AC6666" w:rsidRPr="00FC3B7C" w:rsidRDefault="00AC6666" w:rsidP="00AC6666">
      <w:pPr>
        <w:numPr>
          <w:ilvl w:val="1"/>
          <w:numId w:val="16"/>
        </w:numPr>
        <w:tabs>
          <w:tab w:val="left" w:pos="1985"/>
        </w:tabs>
        <w:ind w:left="1560" w:hanging="368"/>
        <w:rPr>
          <w:rFonts w:eastAsia="Times New Roman"/>
          <w:szCs w:val="24"/>
        </w:rPr>
      </w:pPr>
      <w:r w:rsidRPr="00FC3B7C">
        <w:rPr>
          <w:rFonts w:eastAsia="Times New Roman"/>
          <w:szCs w:val="24"/>
        </w:rPr>
        <w:t>Měnové</w:t>
      </w:r>
    </w:p>
    <w:p w14:paraId="260CEE31" w14:textId="77777777" w:rsidR="00AC6666" w:rsidRPr="00FC3B7C" w:rsidRDefault="00AC6666" w:rsidP="00AC6666">
      <w:pPr>
        <w:numPr>
          <w:ilvl w:val="1"/>
          <w:numId w:val="16"/>
        </w:numPr>
        <w:tabs>
          <w:tab w:val="left" w:pos="1985"/>
        </w:tabs>
        <w:ind w:left="1560" w:hanging="368"/>
        <w:rPr>
          <w:rFonts w:eastAsia="Times New Roman"/>
          <w:szCs w:val="24"/>
        </w:rPr>
      </w:pPr>
      <w:r w:rsidRPr="00FC3B7C">
        <w:rPr>
          <w:rFonts w:eastAsia="Times New Roman"/>
          <w:szCs w:val="24"/>
        </w:rPr>
        <w:t>Fiskální</w:t>
      </w:r>
    </w:p>
    <w:p w14:paraId="591A9A14" w14:textId="77777777" w:rsidR="00AC6666" w:rsidRPr="00FC3B7C" w:rsidRDefault="00AC6666" w:rsidP="00AC6666">
      <w:pPr>
        <w:spacing w:line="145" w:lineRule="exact"/>
        <w:rPr>
          <w:rFonts w:eastAsia="Times New Roman"/>
          <w:szCs w:val="24"/>
        </w:rPr>
      </w:pPr>
    </w:p>
    <w:p w14:paraId="6C95C7A8" w14:textId="77777777" w:rsidR="00AC6666" w:rsidRPr="00FC3B7C" w:rsidRDefault="00AC6666" w:rsidP="00AC6666">
      <w:pPr>
        <w:numPr>
          <w:ilvl w:val="0"/>
          <w:numId w:val="16"/>
        </w:numPr>
        <w:tabs>
          <w:tab w:val="left" w:pos="1140"/>
        </w:tabs>
        <w:ind w:left="1140" w:hanging="370"/>
        <w:rPr>
          <w:rFonts w:eastAsia="Arial"/>
          <w:szCs w:val="24"/>
        </w:rPr>
      </w:pPr>
      <w:r w:rsidRPr="00FC3B7C">
        <w:rPr>
          <w:rFonts w:eastAsia="Times New Roman"/>
          <w:b/>
          <w:bCs/>
          <w:szCs w:val="24"/>
        </w:rPr>
        <w:t>Podle způsobu ovlivňování</w:t>
      </w:r>
    </w:p>
    <w:p w14:paraId="4919626E" w14:textId="77777777" w:rsidR="00AC6666" w:rsidRPr="00FC3B7C" w:rsidRDefault="00AC6666" w:rsidP="00AC6666">
      <w:pPr>
        <w:numPr>
          <w:ilvl w:val="1"/>
          <w:numId w:val="16"/>
        </w:numPr>
        <w:tabs>
          <w:tab w:val="left" w:pos="1985"/>
        </w:tabs>
        <w:ind w:left="1560" w:hanging="368"/>
        <w:rPr>
          <w:rFonts w:eastAsia="Times New Roman"/>
          <w:szCs w:val="24"/>
        </w:rPr>
      </w:pPr>
      <w:r w:rsidRPr="00FC3B7C">
        <w:rPr>
          <w:rFonts w:eastAsia="Times New Roman"/>
          <w:szCs w:val="24"/>
        </w:rPr>
        <w:t>Globální</w:t>
      </w:r>
    </w:p>
    <w:p w14:paraId="6DE1ED1A" w14:textId="77777777" w:rsidR="00AC6666" w:rsidRPr="00FC3B7C" w:rsidRDefault="00AC6666" w:rsidP="00AC6666">
      <w:pPr>
        <w:numPr>
          <w:ilvl w:val="1"/>
          <w:numId w:val="16"/>
        </w:numPr>
        <w:tabs>
          <w:tab w:val="left" w:pos="1985"/>
        </w:tabs>
        <w:ind w:left="1560" w:hanging="368"/>
        <w:rPr>
          <w:rFonts w:eastAsia="Times New Roman"/>
          <w:szCs w:val="24"/>
        </w:rPr>
      </w:pPr>
      <w:r w:rsidRPr="00FC3B7C">
        <w:rPr>
          <w:rFonts w:eastAsia="Times New Roman"/>
          <w:szCs w:val="24"/>
        </w:rPr>
        <w:t>Selektivní</w:t>
      </w:r>
    </w:p>
    <w:p w14:paraId="0F51E1CE" w14:textId="77777777" w:rsidR="00AC6666" w:rsidRPr="00FC3B7C" w:rsidRDefault="00AC6666" w:rsidP="00AC6666">
      <w:pPr>
        <w:rPr>
          <w:sz w:val="20"/>
          <w:szCs w:val="20"/>
        </w:rPr>
      </w:pPr>
      <w:r w:rsidRPr="00FC3B7C">
        <w:rPr>
          <w:rFonts w:eastAsia="Times New Roman"/>
          <w:b/>
          <w:bCs/>
          <w:szCs w:val="24"/>
        </w:rPr>
        <w:t>Rozlišujeme také nástroje podle působení na vývoj mezi účastníky trhu</w:t>
      </w:r>
    </w:p>
    <w:p w14:paraId="535049EA" w14:textId="77777777" w:rsidR="00AC6666" w:rsidRPr="000D2ED5" w:rsidRDefault="00AC6666" w:rsidP="00D46B53">
      <w:pPr>
        <w:pStyle w:val="Odstavecseseznamem"/>
        <w:numPr>
          <w:ilvl w:val="0"/>
          <w:numId w:val="600"/>
        </w:numPr>
        <w:tabs>
          <w:tab w:val="left" w:pos="1420"/>
        </w:tabs>
        <w:ind w:left="1560"/>
        <w:rPr>
          <w:rFonts w:eastAsia="Arial"/>
          <w:szCs w:val="24"/>
        </w:rPr>
      </w:pPr>
      <w:r w:rsidRPr="000D2ED5">
        <w:rPr>
          <w:rFonts w:eastAsia="Times New Roman"/>
          <w:b/>
          <w:bCs/>
          <w:szCs w:val="24"/>
        </w:rPr>
        <w:t>Systémová (kvalitativní) pravidla</w:t>
      </w:r>
    </w:p>
    <w:p w14:paraId="4A308B0C" w14:textId="77777777" w:rsidR="00AC6666" w:rsidRPr="000D2ED5" w:rsidRDefault="00AC6666" w:rsidP="00D46B53">
      <w:pPr>
        <w:pStyle w:val="Odstavecseseznamem"/>
        <w:numPr>
          <w:ilvl w:val="0"/>
          <w:numId w:val="599"/>
        </w:numPr>
        <w:ind w:left="1985"/>
        <w:rPr>
          <w:rFonts w:eastAsia="Times New Roman"/>
        </w:rPr>
      </w:pPr>
      <w:r w:rsidRPr="000D2ED5">
        <w:rPr>
          <w:rFonts w:eastAsia="Times New Roman"/>
        </w:rPr>
        <w:t>Pravidla chování pro ekonomické subjekty (nositele rozhodování)</w:t>
      </w:r>
      <w:r>
        <w:rPr>
          <w:rFonts w:eastAsia="Times New Roman"/>
        </w:rPr>
        <w:t>.</w:t>
      </w:r>
    </w:p>
    <w:p w14:paraId="43531A8F" w14:textId="77777777" w:rsidR="00AC6666" w:rsidRPr="000D2ED5" w:rsidRDefault="00AC6666" w:rsidP="00D46B53">
      <w:pPr>
        <w:pStyle w:val="Odstavecseseznamem"/>
        <w:numPr>
          <w:ilvl w:val="0"/>
          <w:numId w:val="599"/>
        </w:numPr>
        <w:ind w:left="1985"/>
        <w:rPr>
          <w:rFonts w:eastAsia="Times New Roman"/>
        </w:rPr>
      </w:pPr>
      <w:r w:rsidRPr="000D2ED5">
        <w:rPr>
          <w:rFonts w:eastAsia="Times New Roman"/>
        </w:rPr>
        <w:t>Patří sem například spor o liberalizaci cen či regulaci</w:t>
      </w:r>
      <w:r>
        <w:rPr>
          <w:rFonts w:eastAsia="Times New Roman"/>
        </w:rPr>
        <w:t>.</w:t>
      </w:r>
    </w:p>
    <w:p w14:paraId="662EB990" w14:textId="77777777" w:rsidR="00AC6666" w:rsidRPr="000D2ED5" w:rsidRDefault="00AC6666" w:rsidP="00D46B53">
      <w:pPr>
        <w:pStyle w:val="Odstavecseseznamem"/>
        <w:numPr>
          <w:ilvl w:val="0"/>
          <w:numId w:val="599"/>
        </w:numPr>
        <w:ind w:left="1985"/>
        <w:rPr>
          <w:rFonts w:eastAsia="Times New Roman"/>
        </w:rPr>
      </w:pPr>
      <w:r w:rsidRPr="000D2ED5">
        <w:rPr>
          <w:rFonts w:eastAsia="Times New Roman"/>
        </w:rPr>
        <w:lastRenderedPageBreak/>
        <w:t>Tyto nařízení jsou časově neomezená a mají podobu zákonných norem nebo doporučení</w:t>
      </w:r>
      <w:r>
        <w:rPr>
          <w:rFonts w:eastAsia="Times New Roman"/>
        </w:rPr>
        <w:t>.</w:t>
      </w:r>
    </w:p>
    <w:p w14:paraId="2991AC72" w14:textId="77777777" w:rsidR="00AC6666" w:rsidRPr="000D2ED5" w:rsidRDefault="00AC6666" w:rsidP="00D46B53">
      <w:pPr>
        <w:pStyle w:val="Odstavecseseznamem"/>
        <w:numPr>
          <w:ilvl w:val="0"/>
          <w:numId w:val="599"/>
        </w:numPr>
        <w:ind w:left="1985"/>
        <w:rPr>
          <w:rFonts w:eastAsia="Times New Roman"/>
        </w:rPr>
      </w:pPr>
      <w:r w:rsidRPr="000D2ED5">
        <w:rPr>
          <w:rFonts w:eastAsia="Times New Roman"/>
        </w:rPr>
        <w:t>Jsou to například zákony o soukromém vlastnictví, regulaci nájemného či konkurenci a kartelových dohodách</w:t>
      </w:r>
      <w:r>
        <w:rPr>
          <w:rFonts w:eastAsia="Times New Roman"/>
        </w:rPr>
        <w:t>.</w:t>
      </w:r>
    </w:p>
    <w:p w14:paraId="549150CD" w14:textId="77777777" w:rsidR="00AC6666" w:rsidRPr="00FC3B7C" w:rsidRDefault="00AC6666" w:rsidP="00AC6666">
      <w:pPr>
        <w:spacing w:line="156" w:lineRule="exact"/>
        <w:rPr>
          <w:rFonts w:eastAsia="Calibri"/>
          <w:szCs w:val="24"/>
        </w:rPr>
      </w:pPr>
    </w:p>
    <w:p w14:paraId="65D5BBEF" w14:textId="77777777" w:rsidR="00AC6666" w:rsidRPr="000D2ED5" w:rsidRDefault="00AC6666" w:rsidP="00D46B53">
      <w:pPr>
        <w:pStyle w:val="Odstavecseseznamem"/>
        <w:numPr>
          <w:ilvl w:val="0"/>
          <w:numId w:val="600"/>
        </w:numPr>
        <w:tabs>
          <w:tab w:val="left" w:pos="1420"/>
        </w:tabs>
        <w:ind w:left="1560"/>
        <w:rPr>
          <w:rFonts w:eastAsia="Times New Roman"/>
          <w:b/>
          <w:bCs/>
          <w:szCs w:val="24"/>
        </w:rPr>
      </w:pPr>
      <w:r w:rsidRPr="00FC3B7C">
        <w:rPr>
          <w:rFonts w:eastAsia="Times New Roman"/>
          <w:b/>
          <w:bCs/>
          <w:szCs w:val="24"/>
        </w:rPr>
        <w:t>Kvantitativní nástroje běžné HP</w:t>
      </w:r>
    </w:p>
    <w:p w14:paraId="5397BC81" w14:textId="77777777" w:rsidR="00AC6666" w:rsidRPr="000D2ED5" w:rsidRDefault="00AC6666" w:rsidP="00D46B53">
      <w:pPr>
        <w:pStyle w:val="Odstavecseseznamem"/>
        <w:numPr>
          <w:ilvl w:val="0"/>
          <w:numId w:val="599"/>
        </w:numPr>
        <w:ind w:left="1985"/>
        <w:rPr>
          <w:rFonts w:eastAsia="Times New Roman"/>
        </w:rPr>
      </w:pPr>
      <w:r w:rsidRPr="000D2ED5">
        <w:rPr>
          <w:rFonts w:eastAsia="Times New Roman"/>
        </w:rPr>
        <w:t>Pouze koordinuje ekonomické aktivity</w:t>
      </w:r>
    </w:p>
    <w:p w14:paraId="7F27844A" w14:textId="77777777" w:rsidR="00AC6666" w:rsidRPr="000D2ED5" w:rsidRDefault="00AC6666" w:rsidP="00D46B53">
      <w:pPr>
        <w:pStyle w:val="Odstavecseseznamem"/>
        <w:numPr>
          <w:ilvl w:val="0"/>
          <w:numId w:val="599"/>
        </w:numPr>
        <w:ind w:left="1985"/>
        <w:rPr>
          <w:rFonts w:eastAsia="Times New Roman"/>
        </w:rPr>
      </w:pPr>
      <w:r w:rsidRPr="000D2ED5">
        <w:rPr>
          <w:rFonts w:eastAsia="Times New Roman"/>
        </w:rPr>
        <w:t>Mění pouze kvantitativní data např.: úrokovou míru</w:t>
      </w:r>
    </w:p>
    <w:p w14:paraId="2A0B0C83" w14:textId="77777777" w:rsidR="00AC6666" w:rsidRPr="000D2ED5" w:rsidRDefault="00AC6666" w:rsidP="00D46B53">
      <w:pPr>
        <w:pStyle w:val="Odstavecseseznamem"/>
        <w:numPr>
          <w:ilvl w:val="0"/>
          <w:numId w:val="599"/>
        </w:numPr>
        <w:ind w:left="1985"/>
        <w:rPr>
          <w:rFonts w:eastAsia="Times New Roman"/>
        </w:rPr>
      </w:pPr>
      <w:r w:rsidRPr="000D2ED5">
        <w:rPr>
          <w:rFonts w:eastAsia="Times New Roman"/>
          <w:b/>
        </w:rPr>
        <w:t>Euckenovo pravidlo:</w:t>
      </w:r>
      <w:r w:rsidRPr="000D2ED5">
        <w:rPr>
          <w:rFonts w:eastAsia="Times New Roman"/>
        </w:rPr>
        <w:t xml:space="preserve"> požaduje co největší stálost a kompatibilitu hospodářské politiky s existujícím systémem</w:t>
      </w:r>
    </w:p>
    <w:p w14:paraId="0A5FFB79" w14:textId="77777777" w:rsidR="004236C6" w:rsidRDefault="004236C6" w:rsidP="00AC6666">
      <w:pPr>
        <w:pStyle w:val="Nadpis3"/>
        <w:numPr>
          <w:ilvl w:val="0"/>
          <w:numId w:val="0"/>
        </w:numPr>
        <w:rPr>
          <w:rFonts w:eastAsia="Times New Roman"/>
          <w:b w:val="0"/>
          <w:bCs/>
          <w:szCs w:val="28"/>
        </w:rPr>
      </w:pPr>
    </w:p>
    <w:p w14:paraId="1E66C174" w14:textId="77777777" w:rsidR="004236C6" w:rsidRPr="00413472" w:rsidRDefault="004236C6" w:rsidP="004236C6">
      <w:pPr>
        <w:pStyle w:val="Nadpis3"/>
        <w:rPr>
          <w:color w:val="1F3864" w:themeColor="accent1" w:themeShade="80"/>
          <w:sz w:val="20"/>
          <w:szCs w:val="20"/>
        </w:rPr>
      </w:pPr>
      <w:bookmarkStart w:id="40" w:name="page40"/>
      <w:bookmarkEnd w:id="40"/>
      <w:r w:rsidRPr="00413472">
        <w:rPr>
          <w:rFonts w:eastAsia="Times New Roman"/>
          <w:color w:val="1F3864" w:themeColor="accent1" w:themeShade="80"/>
        </w:rPr>
        <w:t>Hodnocení účinnosti HP</w:t>
      </w:r>
    </w:p>
    <w:p w14:paraId="671845CC" w14:textId="77777777" w:rsidR="004236C6" w:rsidRPr="000D2ED5" w:rsidRDefault="004236C6" w:rsidP="00D46B53">
      <w:pPr>
        <w:pStyle w:val="Odstavecseseznamem"/>
        <w:numPr>
          <w:ilvl w:val="0"/>
          <w:numId w:val="599"/>
        </w:numPr>
        <w:rPr>
          <w:rFonts w:eastAsia="Times New Roman"/>
        </w:rPr>
      </w:pPr>
      <w:r w:rsidRPr="000D2ED5">
        <w:rPr>
          <w:rFonts w:eastAsia="Times New Roman"/>
        </w:rPr>
        <w:t>Hodnocení účinnosti je vyjádřením míry jejího úspěchu při plnění cílů</w:t>
      </w:r>
    </w:p>
    <w:p w14:paraId="293A87F7" w14:textId="77777777" w:rsidR="004236C6" w:rsidRPr="000D2ED5" w:rsidRDefault="004236C6" w:rsidP="00D46B53">
      <w:pPr>
        <w:pStyle w:val="Odstavecseseznamem"/>
        <w:numPr>
          <w:ilvl w:val="0"/>
          <w:numId w:val="599"/>
        </w:numPr>
        <w:rPr>
          <w:rFonts w:eastAsia="Times New Roman"/>
        </w:rPr>
      </w:pPr>
      <w:r w:rsidRPr="000D2ED5">
        <w:rPr>
          <w:rFonts w:eastAsia="Times New Roman"/>
        </w:rPr>
        <w:t>Nejjednodušším způsobem pro měření jsou tzv. „</w:t>
      </w:r>
      <w:r w:rsidRPr="000D2ED5">
        <w:rPr>
          <w:rFonts w:eastAsia="Times New Roman"/>
          <w:b/>
        </w:rPr>
        <w:t>Magické úhelníky</w:t>
      </w:r>
      <w:r w:rsidRPr="000D2ED5">
        <w:rPr>
          <w:rFonts w:eastAsia="Times New Roman"/>
        </w:rPr>
        <w:t>“</w:t>
      </w:r>
    </w:p>
    <w:p w14:paraId="457ED4F0" w14:textId="77777777" w:rsidR="004236C6" w:rsidRPr="00FC3B7C" w:rsidRDefault="004236C6" w:rsidP="004236C6">
      <w:pPr>
        <w:spacing w:line="124" w:lineRule="exact"/>
        <w:rPr>
          <w:rFonts w:eastAsia="Calibri"/>
          <w:szCs w:val="24"/>
        </w:rPr>
      </w:pPr>
    </w:p>
    <w:p w14:paraId="2DBBDC99" w14:textId="77777777" w:rsidR="004236C6" w:rsidRPr="00FC3B7C" w:rsidRDefault="004236C6" w:rsidP="004236C6">
      <w:pPr>
        <w:numPr>
          <w:ilvl w:val="0"/>
          <w:numId w:val="17"/>
        </w:numPr>
        <w:tabs>
          <w:tab w:val="left" w:pos="1134"/>
        </w:tabs>
        <w:ind w:left="993" w:hanging="366"/>
        <w:rPr>
          <w:rFonts w:eastAsia="Calibri"/>
          <w:szCs w:val="24"/>
        </w:rPr>
      </w:pPr>
      <w:r w:rsidRPr="00FC3B7C">
        <w:rPr>
          <w:rFonts w:eastAsia="Times New Roman"/>
          <w:b/>
          <w:bCs/>
          <w:szCs w:val="24"/>
        </w:rPr>
        <w:t>Magický čtyřúhelník</w:t>
      </w:r>
    </w:p>
    <w:p w14:paraId="1B0A9228" w14:textId="77777777" w:rsidR="004236C6" w:rsidRPr="000D2ED5" w:rsidRDefault="004236C6" w:rsidP="00D46B53">
      <w:pPr>
        <w:pStyle w:val="Odstavecseseznamem"/>
        <w:numPr>
          <w:ilvl w:val="0"/>
          <w:numId w:val="599"/>
        </w:numPr>
        <w:ind w:left="1418"/>
        <w:rPr>
          <w:rFonts w:eastAsia="Times New Roman"/>
        </w:rPr>
      </w:pPr>
      <w:r w:rsidRPr="000D2ED5">
        <w:rPr>
          <w:rFonts w:eastAsia="Times New Roman"/>
        </w:rPr>
        <w:t>Snaha o naplnění základních cílů HP se někdy (hlavně u keynesiánců)</w:t>
      </w:r>
      <w:r>
        <w:rPr>
          <w:rFonts w:eastAsia="Times New Roman"/>
        </w:rPr>
        <w:t>,</w:t>
      </w:r>
    </w:p>
    <w:p w14:paraId="7F95C153" w14:textId="77777777" w:rsidR="004236C6" w:rsidRPr="000D2ED5" w:rsidRDefault="004236C6" w:rsidP="00D46B53">
      <w:pPr>
        <w:pStyle w:val="Odstavecseseznamem"/>
        <w:numPr>
          <w:ilvl w:val="0"/>
          <w:numId w:val="599"/>
        </w:numPr>
        <w:ind w:left="1418"/>
        <w:rPr>
          <w:rFonts w:eastAsia="Times New Roman"/>
        </w:rPr>
      </w:pPr>
      <w:r w:rsidRPr="000D2ED5">
        <w:rPr>
          <w:rFonts w:eastAsia="Times New Roman"/>
        </w:rPr>
        <w:t>nazývá magický čtyřúhelník → magický protože nelze tyto cíle naplnit najednou</w:t>
      </w:r>
      <w:r>
        <w:rPr>
          <w:rFonts w:eastAsia="Times New Roman"/>
        </w:rPr>
        <w:t>.</w:t>
      </w:r>
    </w:p>
    <w:p w14:paraId="2F268138" w14:textId="77777777" w:rsidR="004236C6" w:rsidRPr="000D2ED5" w:rsidRDefault="004236C6" w:rsidP="00D46B53">
      <w:pPr>
        <w:pStyle w:val="Odstavecseseznamem"/>
        <w:numPr>
          <w:ilvl w:val="1"/>
          <w:numId w:val="599"/>
        </w:numPr>
        <w:ind w:left="1560"/>
        <w:rPr>
          <w:rFonts w:eastAsia="Times New Roman"/>
        </w:rPr>
      </w:pPr>
      <w:r>
        <w:rPr>
          <w:rFonts w:eastAsia="Times New Roman"/>
        </w:rPr>
        <w:t>O</w:t>
      </w:r>
      <w:r w:rsidRPr="000D2ED5">
        <w:rPr>
          <w:rFonts w:eastAsia="Times New Roman"/>
        </w:rPr>
        <w:t>bsahuje: zajištění cenové stability, dosažení plné zaměstnanosti, ekonomického růstu a vyrovnané platební bilance</w:t>
      </w:r>
      <w:r>
        <w:rPr>
          <w:rFonts w:eastAsia="Times New Roman"/>
        </w:rPr>
        <w:t>.</w:t>
      </w:r>
    </w:p>
    <w:p w14:paraId="733802C1" w14:textId="77777777" w:rsidR="004236C6" w:rsidRPr="000D2ED5" w:rsidRDefault="004236C6" w:rsidP="00D46B53">
      <w:pPr>
        <w:pStyle w:val="Odstavecseseznamem"/>
        <w:numPr>
          <w:ilvl w:val="0"/>
          <w:numId w:val="599"/>
        </w:numPr>
        <w:ind w:left="1418"/>
        <w:rPr>
          <w:rFonts w:eastAsia="Times New Roman"/>
        </w:rPr>
      </w:pPr>
      <w:r w:rsidRPr="000D2ED5">
        <w:rPr>
          <w:rFonts w:eastAsia="Times New Roman"/>
        </w:rPr>
        <w:t>Čím je plocha čtyřúhelníku větší, tím je HP dané země účinnější</w:t>
      </w:r>
      <w:r>
        <w:rPr>
          <w:rFonts w:eastAsia="Times New Roman"/>
        </w:rPr>
        <w:t>.</w:t>
      </w:r>
    </w:p>
    <w:p w14:paraId="46CE95E8" w14:textId="4BEA89B1" w:rsidR="004236C6" w:rsidRDefault="004236C6" w:rsidP="00D46B53">
      <w:pPr>
        <w:pStyle w:val="Odstavecseseznamem"/>
        <w:numPr>
          <w:ilvl w:val="1"/>
          <w:numId w:val="599"/>
        </w:numPr>
        <w:ind w:left="1560"/>
        <w:rPr>
          <w:rFonts w:eastAsia="Times New Roman"/>
        </w:rPr>
      </w:pPr>
      <w:r w:rsidRPr="000D2ED5">
        <w:rPr>
          <w:rFonts w:eastAsia="Times New Roman"/>
        </w:rPr>
        <w:t>Optimální magický čtyřúhelník obsahuje: tempo růstu rovno potencionálnímu produktu, míru nezaměstnanosti na své přirozené míře, platební bilanci rovnu nule a míru inflace kolem 2%</w:t>
      </w:r>
      <w:r>
        <w:rPr>
          <w:rFonts w:eastAsia="Times New Roman"/>
        </w:rPr>
        <w:t>.</w:t>
      </w:r>
    </w:p>
    <w:p w14:paraId="7FB11973" w14:textId="482A3BED" w:rsidR="004B6CDE" w:rsidRDefault="004B6CDE" w:rsidP="004B6CDE">
      <w:pPr>
        <w:pStyle w:val="Odstavecseseznamem"/>
        <w:ind w:left="1560"/>
        <w:rPr>
          <w:rFonts w:eastAsia="Times New Roman"/>
        </w:rPr>
      </w:pPr>
    </w:p>
    <w:p w14:paraId="1749C359" w14:textId="03D7F56B" w:rsidR="004B6CDE" w:rsidRDefault="004B6CDE" w:rsidP="004B6CDE">
      <w:pPr>
        <w:pStyle w:val="Odstavecseseznamem"/>
        <w:ind w:left="1560"/>
        <w:rPr>
          <w:rFonts w:eastAsia="Times New Roman"/>
        </w:rPr>
      </w:pPr>
    </w:p>
    <w:p w14:paraId="0EEEB34F" w14:textId="7661A255" w:rsidR="004B6CDE" w:rsidRDefault="004B6CDE" w:rsidP="004B6CDE">
      <w:pPr>
        <w:pStyle w:val="Odstavecseseznamem"/>
        <w:ind w:left="1560"/>
        <w:rPr>
          <w:rFonts w:eastAsia="Times New Roman"/>
        </w:rPr>
      </w:pPr>
    </w:p>
    <w:p w14:paraId="1A9D7F68" w14:textId="272D7B3F" w:rsidR="004B6CDE" w:rsidRDefault="004B6CDE" w:rsidP="004B6CDE">
      <w:pPr>
        <w:pStyle w:val="Odstavecseseznamem"/>
        <w:ind w:left="1560"/>
        <w:rPr>
          <w:rFonts w:eastAsia="Times New Roman"/>
        </w:rPr>
      </w:pPr>
    </w:p>
    <w:p w14:paraId="16DDD7C9" w14:textId="57AC00D3" w:rsidR="004B6CDE" w:rsidRDefault="004B6CDE" w:rsidP="004B6CDE">
      <w:pPr>
        <w:pStyle w:val="Odstavecseseznamem"/>
        <w:ind w:left="1560"/>
        <w:rPr>
          <w:rFonts w:eastAsia="Times New Roman"/>
        </w:rPr>
      </w:pPr>
    </w:p>
    <w:p w14:paraId="7CA89170" w14:textId="69E08061" w:rsidR="004B6CDE" w:rsidRDefault="004B6CDE" w:rsidP="004B6CDE">
      <w:pPr>
        <w:pStyle w:val="Odstavecseseznamem"/>
        <w:ind w:left="1560"/>
        <w:rPr>
          <w:rFonts w:eastAsia="Times New Roman"/>
        </w:rPr>
      </w:pPr>
    </w:p>
    <w:p w14:paraId="64A9EB78" w14:textId="77777777" w:rsidR="004B6CDE" w:rsidRPr="000D2ED5" w:rsidRDefault="004B6CDE" w:rsidP="004B6CDE">
      <w:pPr>
        <w:pStyle w:val="Odstavecseseznamem"/>
        <w:ind w:left="1560"/>
        <w:rPr>
          <w:rFonts w:eastAsia="Times New Roman"/>
        </w:rPr>
      </w:pPr>
    </w:p>
    <w:p w14:paraId="7E59BF6B" w14:textId="0B964E94" w:rsidR="004236C6" w:rsidRPr="000D2ED5" w:rsidRDefault="004236C6" w:rsidP="00D46B53">
      <w:pPr>
        <w:pStyle w:val="Odstavecseseznamem"/>
        <w:numPr>
          <w:ilvl w:val="0"/>
          <w:numId w:val="599"/>
        </w:numPr>
        <w:ind w:left="1418"/>
        <w:rPr>
          <w:rFonts w:eastAsia="Times New Roman"/>
        </w:rPr>
      </w:pPr>
      <w:r w:rsidRPr="000D2ED5">
        <w:rPr>
          <w:rFonts w:eastAsia="Times New Roman"/>
        </w:rPr>
        <w:lastRenderedPageBreak/>
        <w:t>Schéma:</w:t>
      </w:r>
      <w:r>
        <w:rPr>
          <w:rStyle w:val="Znakapoznpodarou"/>
          <w:rFonts w:eastAsia="Times New Roman"/>
        </w:rPr>
        <w:footnoteReference w:id="17"/>
      </w:r>
    </w:p>
    <w:p w14:paraId="5411596A" w14:textId="420D5F7B" w:rsidR="004236C6" w:rsidRPr="00FC3B7C" w:rsidRDefault="004B6CDE" w:rsidP="004236C6">
      <w:pPr>
        <w:spacing w:line="20" w:lineRule="exact"/>
        <w:rPr>
          <w:sz w:val="20"/>
          <w:szCs w:val="20"/>
        </w:rPr>
      </w:pPr>
      <w:r w:rsidRPr="00FC3B7C">
        <w:rPr>
          <w:noProof/>
          <w:sz w:val="20"/>
          <w:szCs w:val="20"/>
        </w:rPr>
        <w:drawing>
          <wp:anchor distT="0" distB="0" distL="114300" distR="114300" simplePos="0" relativeHeight="251667968" behindDoc="1" locked="0" layoutInCell="0" allowOverlap="1" wp14:anchorId="6F7753A2" wp14:editId="4E0E5BD2">
            <wp:simplePos x="0" y="0"/>
            <wp:positionH relativeFrom="column">
              <wp:posOffset>1095375</wp:posOffset>
            </wp:positionH>
            <wp:positionV relativeFrom="paragraph">
              <wp:posOffset>10795</wp:posOffset>
            </wp:positionV>
            <wp:extent cx="3552825" cy="2049145"/>
            <wp:effectExtent l="0" t="0" r="9525" b="8255"/>
            <wp:wrapTight wrapText="bothSides">
              <wp:wrapPolygon edited="0">
                <wp:start x="0" y="0"/>
                <wp:lineTo x="0" y="21486"/>
                <wp:lineTo x="21542" y="21486"/>
                <wp:lineTo x="2154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3552825" cy="2049145"/>
                    </a:xfrm>
                    <a:prstGeom prst="rect">
                      <a:avLst/>
                    </a:prstGeom>
                    <a:noFill/>
                  </pic:spPr>
                </pic:pic>
              </a:graphicData>
            </a:graphic>
            <wp14:sizeRelH relativeFrom="margin">
              <wp14:pctWidth>0</wp14:pctWidth>
            </wp14:sizeRelH>
            <wp14:sizeRelV relativeFrom="margin">
              <wp14:pctHeight>0</wp14:pctHeight>
            </wp14:sizeRelV>
          </wp:anchor>
        </w:drawing>
      </w:r>
    </w:p>
    <w:p w14:paraId="38A026ED" w14:textId="1ADF5033" w:rsidR="004236C6" w:rsidRPr="00FC3B7C" w:rsidRDefault="004236C6" w:rsidP="004236C6">
      <w:pPr>
        <w:spacing w:line="200" w:lineRule="exact"/>
        <w:rPr>
          <w:sz w:val="20"/>
          <w:szCs w:val="20"/>
        </w:rPr>
      </w:pPr>
    </w:p>
    <w:p w14:paraId="73022FC1" w14:textId="77777777" w:rsidR="004236C6" w:rsidRPr="00FC3B7C" w:rsidRDefault="004236C6" w:rsidP="004236C6">
      <w:pPr>
        <w:spacing w:line="200" w:lineRule="exact"/>
        <w:rPr>
          <w:sz w:val="20"/>
          <w:szCs w:val="20"/>
        </w:rPr>
      </w:pPr>
    </w:p>
    <w:p w14:paraId="35EF0144" w14:textId="4D03ED8D" w:rsidR="004236C6" w:rsidRPr="00FC3B7C" w:rsidRDefault="004236C6" w:rsidP="004236C6">
      <w:pPr>
        <w:spacing w:line="200" w:lineRule="exact"/>
        <w:rPr>
          <w:sz w:val="20"/>
          <w:szCs w:val="20"/>
        </w:rPr>
      </w:pPr>
    </w:p>
    <w:p w14:paraId="2D1054D0" w14:textId="77777777" w:rsidR="004236C6" w:rsidRPr="00FC3B7C" w:rsidRDefault="004236C6" w:rsidP="004236C6">
      <w:pPr>
        <w:spacing w:line="200" w:lineRule="exact"/>
        <w:rPr>
          <w:sz w:val="20"/>
          <w:szCs w:val="20"/>
        </w:rPr>
      </w:pPr>
    </w:p>
    <w:p w14:paraId="6692717F" w14:textId="77777777" w:rsidR="004236C6" w:rsidRPr="00FC3B7C" w:rsidRDefault="004236C6" w:rsidP="004236C6">
      <w:pPr>
        <w:spacing w:line="200" w:lineRule="exact"/>
        <w:rPr>
          <w:sz w:val="20"/>
          <w:szCs w:val="20"/>
        </w:rPr>
      </w:pPr>
    </w:p>
    <w:p w14:paraId="1B190F59" w14:textId="77777777" w:rsidR="004236C6" w:rsidRPr="00FC3B7C" w:rsidRDefault="004236C6" w:rsidP="004236C6">
      <w:pPr>
        <w:spacing w:line="200" w:lineRule="exact"/>
        <w:rPr>
          <w:sz w:val="20"/>
          <w:szCs w:val="20"/>
        </w:rPr>
      </w:pPr>
    </w:p>
    <w:p w14:paraId="2B6E86A0" w14:textId="76E5679E" w:rsidR="004236C6" w:rsidRPr="00FC3B7C" w:rsidRDefault="004236C6" w:rsidP="004236C6">
      <w:pPr>
        <w:spacing w:line="200" w:lineRule="exact"/>
        <w:rPr>
          <w:sz w:val="20"/>
          <w:szCs w:val="20"/>
        </w:rPr>
      </w:pPr>
    </w:p>
    <w:p w14:paraId="4A2F71EE" w14:textId="77777777" w:rsidR="004236C6" w:rsidRPr="00FC3B7C" w:rsidRDefault="004236C6" w:rsidP="004236C6">
      <w:pPr>
        <w:spacing w:line="200" w:lineRule="exact"/>
        <w:rPr>
          <w:sz w:val="20"/>
          <w:szCs w:val="20"/>
        </w:rPr>
      </w:pPr>
    </w:p>
    <w:p w14:paraId="19328E15" w14:textId="77777777" w:rsidR="004236C6" w:rsidRPr="00FC3B7C" w:rsidRDefault="004236C6" w:rsidP="004236C6">
      <w:pPr>
        <w:spacing w:line="200" w:lineRule="exact"/>
        <w:rPr>
          <w:sz w:val="20"/>
          <w:szCs w:val="20"/>
        </w:rPr>
      </w:pPr>
    </w:p>
    <w:p w14:paraId="43816E35" w14:textId="77777777" w:rsidR="004236C6" w:rsidRPr="00FC3B7C" w:rsidRDefault="004236C6" w:rsidP="004236C6">
      <w:pPr>
        <w:spacing w:line="200" w:lineRule="exact"/>
        <w:rPr>
          <w:sz w:val="20"/>
          <w:szCs w:val="20"/>
        </w:rPr>
      </w:pPr>
    </w:p>
    <w:p w14:paraId="576DB208" w14:textId="77777777" w:rsidR="004236C6" w:rsidRPr="00FC3B7C" w:rsidRDefault="004236C6" w:rsidP="004236C6">
      <w:pPr>
        <w:spacing w:line="200" w:lineRule="exact"/>
        <w:rPr>
          <w:sz w:val="20"/>
          <w:szCs w:val="20"/>
        </w:rPr>
      </w:pPr>
    </w:p>
    <w:p w14:paraId="2653C163" w14:textId="7A163C1F" w:rsidR="004236C6" w:rsidRPr="00FC3B7C" w:rsidRDefault="004236C6" w:rsidP="004236C6">
      <w:pPr>
        <w:spacing w:line="200" w:lineRule="exact"/>
        <w:rPr>
          <w:sz w:val="20"/>
          <w:szCs w:val="20"/>
        </w:rPr>
      </w:pPr>
    </w:p>
    <w:p w14:paraId="762EBCB1" w14:textId="77777777" w:rsidR="004236C6" w:rsidRPr="00FC3B7C" w:rsidRDefault="004236C6" w:rsidP="004236C6">
      <w:pPr>
        <w:spacing w:line="200" w:lineRule="exact"/>
        <w:rPr>
          <w:sz w:val="20"/>
          <w:szCs w:val="20"/>
        </w:rPr>
      </w:pPr>
    </w:p>
    <w:p w14:paraId="7A09C84F" w14:textId="77777777" w:rsidR="004236C6" w:rsidRPr="00FC3B7C" w:rsidRDefault="004236C6" w:rsidP="004236C6">
      <w:pPr>
        <w:spacing w:line="200" w:lineRule="exact"/>
        <w:rPr>
          <w:sz w:val="20"/>
          <w:szCs w:val="20"/>
        </w:rPr>
      </w:pPr>
    </w:p>
    <w:p w14:paraId="64568232" w14:textId="77777777" w:rsidR="004236C6" w:rsidRPr="00FC3B7C" w:rsidRDefault="004236C6" w:rsidP="004236C6">
      <w:pPr>
        <w:spacing w:line="200" w:lineRule="exact"/>
        <w:rPr>
          <w:sz w:val="20"/>
          <w:szCs w:val="20"/>
        </w:rPr>
      </w:pPr>
    </w:p>
    <w:p w14:paraId="65CDAFF9" w14:textId="77777777" w:rsidR="004236C6" w:rsidRPr="00FC3B7C" w:rsidRDefault="004236C6" w:rsidP="004236C6">
      <w:pPr>
        <w:spacing w:line="200" w:lineRule="exact"/>
        <w:rPr>
          <w:sz w:val="20"/>
          <w:szCs w:val="20"/>
        </w:rPr>
      </w:pPr>
    </w:p>
    <w:p w14:paraId="1EE4CE4F" w14:textId="77777777" w:rsidR="004236C6" w:rsidRPr="00FC3B7C" w:rsidRDefault="004236C6" w:rsidP="004236C6">
      <w:pPr>
        <w:spacing w:line="200" w:lineRule="exact"/>
        <w:rPr>
          <w:sz w:val="20"/>
          <w:szCs w:val="20"/>
        </w:rPr>
      </w:pPr>
    </w:p>
    <w:p w14:paraId="4ACB60ED" w14:textId="77777777" w:rsidR="004236C6" w:rsidRPr="00FC3B7C" w:rsidRDefault="004236C6" w:rsidP="004236C6">
      <w:pPr>
        <w:spacing w:line="200" w:lineRule="exact"/>
        <w:rPr>
          <w:sz w:val="20"/>
          <w:szCs w:val="20"/>
        </w:rPr>
      </w:pPr>
    </w:p>
    <w:p w14:paraId="77522EB9" w14:textId="77777777" w:rsidR="004236C6" w:rsidRPr="000D2ED5" w:rsidRDefault="004236C6" w:rsidP="004236C6">
      <w:pPr>
        <w:numPr>
          <w:ilvl w:val="0"/>
          <w:numId w:val="17"/>
        </w:numPr>
        <w:tabs>
          <w:tab w:val="left" w:pos="1134"/>
        </w:tabs>
        <w:ind w:left="993" w:hanging="366"/>
        <w:rPr>
          <w:rFonts w:eastAsia="Times New Roman"/>
          <w:bCs/>
          <w:szCs w:val="24"/>
        </w:rPr>
      </w:pPr>
      <w:r w:rsidRPr="00FC3B7C">
        <w:rPr>
          <w:rFonts w:eastAsia="Times New Roman"/>
          <w:b/>
          <w:bCs/>
          <w:szCs w:val="24"/>
        </w:rPr>
        <w:t xml:space="preserve">Magická pentagonála cílů: </w:t>
      </w:r>
      <w:r w:rsidRPr="000D2ED5">
        <w:rPr>
          <w:rFonts w:eastAsia="Times New Roman"/>
          <w:bCs/>
          <w:szCs w:val="24"/>
        </w:rPr>
        <w:t>obsahuje ještě navíc zdravé životní prostředí</w:t>
      </w:r>
    </w:p>
    <w:p w14:paraId="26D76C1D" w14:textId="77777777" w:rsidR="004236C6" w:rsidRPr="00FC3B7C" w:rsidRDefault="004236C6" w:rsidP="004236C6">
      <w:pPr>
        <w:spacing w:line="124" w:lineRule="exact"/>
        <w:rPr>
          <w:rFonts w:eastAsia="Calibri"/>
          <w:szCs w:val="24"/>
        </w:rPr>
      </w:pPr>
    </w:p>
    <w:p w14:paraId="315B6695" w14:textId="77777777" w:rsidR="004236C6" w:rsidRPr="000D2ED5" w:rsidRDefault="004236C6" w:rsidP="00D46B53">
      <w:pPr>
        <w:pStyle w:val="Odstavecseseznamem"/>
        <w:numPr>
          <w:ilvl w:val="0"/>
          <w:numId w:val="599"/>
        </w:numPr>
        <w:ind w:left="1418"/>
        <w:rPr>
          <w:rFonts w:eastAsia="Times New Roman"/>
          <w:b/>
        </w:rPr>
      </w:pPr>
      <w:r w:rsidRPr="000D2ED5">
        <w:rPr>
          <w:rFonts w:eastAsia="Times New Roman"/>
        </w:rPr>
        <w:t xml:space="preserve">Dalším měřítkem úspěchů HP je </w:t>
      </w:r>
      <w:r w:rsidRPr="000D2ED5">
        <w:rPr>
          <w:rFonts w:eastAsia="Times New Roman"/>
          <w:b/>
        </w:rPr>
        <w:t>ratingové hodnocení agentur</w:t>
      </w:r>
    </w:p>
    <w:p w14:paraId="1A7B3800" w14:textId="77777777" w:rsidR="004236C6" w:rsidRPr="00FC3B7C" w:rsidRDefault="004236C6" w:rsidP="004236C6">
      <w:pPr>
        <w:spacing w:line="125" w:lineRule="exact"/>
        <w:rPr>
          <w:rFonts w:eastAsia="Calibri"/>
          <w:szCs w:val="24"/>
        </w:rPr>
      </w:pPr>
    </w:p>
    <w:p w14:paraId="042011A0" w14:textId="77777777" w:rsidR="004236C6" w:rsidRPr="000D2ED5" w:rsidRDefault="004236C6" w:rsidP="00D46B53">
      <w:pPr>
        <w:pStyle w:val="Odstavecseseznamem"/>
        <w:numPr>
          <w:ilvl w:val="1"/>
          <w:numId w:val="599"/>
        </w:numPr>
        <w:ind w:left="1560"/>
        <w:rPr>
          <w:rFonts w:eastAsia="Times New Roman"/>
        </w:rPr>
      </w:pPr>
      <w:r w:rsidRPr="000D2ED5">
        <w:rPr>
          <w:rFonts w:eastAsia="Times New Roman"/>
        </w:rPr>
        <w:t>Je jedním ze základních ukazatelů ekonomické úrovně státu</w:t>
      </w:r>
      <w:r>
        <w:rPr>
          <w:rFonts w:eastAsia="Times New Roman"/>
        </w:rPr>
        <w:t>.</w:t>
      </w:r>
    </w:p>
    <w:p w14:paraId="5D50CE63" w14:textId="77777777" w:rsidR="004236C6" w:rsidRPr="000D2ED5" w:rsidRDefault="004236C6" w:rsidP="00D46B53">
      <w:pPr>
        <w:pStyle w:val="Odstavecseseznamem"/>
        <w:numPr>
          <w:ilvl w:val="1"/>
          <w:numId w:val="599"/>
        </w:numPr>
        <w:ind w:left="1560"/>
        <w:rPr>
          <w:rFonts w:eastAsia="Times New Roman"/>
        </w:rPr>
      </w:pPr>
      <w:r w:rsidRPr="000D2ED5">
        <w:rPr>
          <w:rFonts w:eastAsia="Times New Roman"/>
        </w:rPr>
        <w:t>Ratingové agentury dávají signály, zda do dané země investovat a říkají, jak jsou dané země ochotny splácet své závazky</w:t>
      </w:r>
      <w:r>
        <w:rPr>
          <w:rFonts w:eastAsia="Times New Roman"/>
        </w:rPr>
        <w:t>.</w:t>
      </w:r>
    </w:p>
    <w:p w14:paraId="000A8CB4" w14:textId="77777777" w:rsidR="004236C6" w:rsidRPr="00FC3B7C" w:rsidRDefault="004236C6" w:rsidP="004236C6">
      <w:pPr>
        <w:spacing w:line="20" w:lineRule="exact"/>
        <w:rPr>
          <w:sz w:val="20"/>
          <w:szCs w:val="20"/>
        </w:rPr>
      </w:pPr>
    </w:p>
    <w:p w14:paraId="2FC4759C" w14:textId="1614D305" w:rsidR="004236C6" w:rsidRDefault="004236C6" w:rsidP="00D46B53">
      <w:pPr>
        <w:pStyle w:val="Odstavecseseznamem"/>
        <w:numPr>
          <w:ilvl w:val="1"/>
          <w:numId w:val="599"/>
        </w:numPr>
        <w:ind w:left="1560"/>
        <w:rPr>
          <w:rFonts w:eastAsia="Times New Roman"/>
        </w:rPr>
      </w:pPr>
      <w:bookmarkStart w:id="41" w:name="page41"/>
      <w:bookmarkEnd w:id="41"/>
      <w:r w:rsidRPr="000D2ED5">
        <w:rPr>
          <w:rFonts w:eastAsia="Times New Roman"/>
        </w:rPr>
        <w:t>Dle některých ekonomů stojí za poslední hospodářskou krizí, jelikož dávaly špatné doporučení</w:t>
      </w:r>
    </w:p>
    <w:p w14:paraId="3718EAB4" w14:textId="77777777" w:rsidR="004B6CDE" w:rsidRPr="004B6CDE" w:rsidRDefault="004B6CDE" w:rsidP="004B6CDE">
      <w:pPr>
        <w:pStyle w:val="Odstavecseseznamem"/>
        <w:rPr>
          <w:rFonts w:eastAsia="Times New Roman"/>
        </w:rPr>
      </w:pPr>
    </w:p>
    <w:p w14:paraId="37F0186B" w14:textId="1C979372" w:rsidR="004B6CDE" w:rsidRDefault="004B6CDE" w:rsidP="004B6CDE">
      <w:pPr>
        <w:pStyle w:val="Odstavecseseznamem"/>
        <w:ind w:left="1560"/>
        <w:rPr>
          <w:rFonts w:eastAsia="Times New Roman"/>
        </w:rPr>
      </w:pPr>
    </w:p>
    <w:p w14:paraId="7E005041" w14:textId="6D13D7A1" w:rsidR="004B6CDE" w:rsidRDefault="004B6CDE" w:rsidP="004B6CDE">
      <w:pPr>
        <w:pStyle w:val="Odstavecseseznamem"/>
        <w:ind w:left="1560"/>
        <w:rPr>
          <w:rFonts w:eastAsia="Times New Roman"/>
        </w:rPr>
      </w:pPr>
    </w:p>
    <w:p w14:paraId="2D442BCF" w14:textId="2B516277" w:rsidR="004B6CDE" w:rsidRDefault="004B6CDE" w:rsidP="004B6CDE">
      <w:pPr>
        <w:pStyle w:val="Odstavecseseznamem"/>
        <w:ind w:left="1560"/>
        <w:rPr>
          <w:rFonts w:eastAsia="Times New Roman"/>
        </w:rPr>
      </w:pPr>
    </w:p>
    <w:p w14:paraId="6C3B46E5" w14:textId="391BACF6" w:rsidR="004B6CDE" w:rsidRDefault="004B6CDE" w:rsidP="004B6CDE">
      <w:pPr>
        <w:pStyle w:val="Odstavecseseznamem"/>
        <w:ind w:left="1560"/>
        <w:rPr>
          <w:rFonts w:eastAsia="Times New Roman"/>
        </w:rPr>
      </w:pPr>
    </w:p>
    <w:p w14:paraId="75C73740" w14:textId="769F82F0" w:rsidR="004B6CDE" w:rsidRDefault="004B6CDE" w:rsidP="004B6CDE">
      <w:pPr>
        <w:pStyle w:val="Odstavecseseznamem"/>
        <w:ind w:left="1560"/>
        <w:rPr>
          <w:rFonts w:eastAsia="Times New Roman"/>
        </w:rPr>
      </w:pPr>
    </w:p>
    <w:p w14:paraId="606F3895" w14:textId="25DA8EA9" w:rsidR="004B6CDE" w:rsidRDefault="004B6CDE" w:rsidP="004B6CDE">
      <w:pPr>
        <w:pStyle w:val="Odstavecseseznamem"/>
        <w:ind w:left="1560"/>
        <w:rPr>
          <w:rFonts w:eastAsia="Times New Roman"/>
        </w:rPr>
      </w:pPr>
    </w:p>
    <w:p w14:paraId="4C9FBDC3" w14:textId="273FCFE9" w:rsidR="004B6CDE" w:rsidRDefault="004B6CDE" w:rsidP="004B6CDE">
      <w:pPr>
        <w:pStyle w:val="Odstavecseseznamem"/>
        <w:ind w:left="1560"/>
        <w:rPr>
          <w:rFonts w:eastAsia="Times New Roman"/>
        </w:rPr>
      </w:pPr>
    </w:p>
    <w:p w14:paraId="5617F0F7" w14:textId="6F840CF8" w:rsidR="004B6CDE" w:rsidRDefault="004B6CDE" w:rsidP="004B6CDE">
      <w:pPr>
        <w:pStyle w:val="Odstavecseseznamem"/>
        <w:ind w:left="1560"/>
        <w:rPr>
          <w:rFonts w:eastAsia="Times New Roman"/>
        </w:rPr>
      </w:pPr>
    </w:p>
    <w:p w14:paraId="37F26CBF" w14:textId="6A42AF87" w:rsidR="004B6CDE" w:rsidRDefault="004B6CDE" w:rsidP="004B6CDE">
      <w:pPr>
        <w:pStyle w:val="Odstavecseseznamem"/>
        <w:ind w:left="1560"/>
        <w:rPr>
          <w:rFonts w:eastAsia="Times New Roman"/>
        </w:rPr>
      </w:pPr>
    </w:p>
    <w:p w14:paraId="1B54CD93" w14:textId="1F5F39BA" w:rsidR="004B6CDE" w:rsidRDefault="004B6CDE" w:rsidP="004B6CDE">
      <w:pPr>
        <w:pStyle w:val="Odstavecseseznamem"/>
        <w:ind w:left="1560"/>
        <w:rPr>
          <w:rFonts w:eastAsia="Times New Roman"/>
        </w:rPr>
      </w:pPr>
    </w:p>
    <w:p w14:paraId="23364653" w14:textId="7434A901" w:rsidR="004B6CDE" w:rsidRDefault="004B6CDE" w:rsidP="004B6CDE">
      <w:pPr>
        <w:pStyle w:val="Odstavecseseznamem"/>
        <w:ind w:left="1560"/>
        <w:rPr>
          <w:rFonts w:eastAsia="Times New Roman"/>
        </w:rPr>
      </w:pPr>
    </w:p>
    <w:p w14:paraId="234476D0" w14:textId="148ECF53" w:rsidR="004B6CDE" w:rsidRDefault="004B6CDE" w:rsidP="004B6CDE">
      <w:pPr>
        <w:pStyle w:val="Odstavecseseznamem"/>
        <w:ind w:left="1560"/>
        <w:rPr>
          <w:rFonts w:eastAsia="Times New Roman"/>
        </w:rPr>
      </w:pPr>
    </w:p>
    <w:p w14:paraId="45B45AC0" w14:textId="77777777" w:rsidR="004B6CDE" w:rsidRPr="000D2ED5" w:rsidRDefault="004B6CDE" w:rsidP="004B6CDE">
      <w:pPr>
        <w:pStyle w:val="Odstavecseseznamem"/>
        <w:ind w:left="1560"/>
        <w:rPr>
          <w:rFonts w:eastAsia="Times New Roman"/>
        </w:rPr>
      </w:pPr>
    </w:p>
    <w:p w14:paraId="1EE0BF90" w14:textId="77777777" w:rsidR="004236C6" w:rsidRPr="00FC3B7C" w:rsidRDefault="004236C6" w:rsidP="004236C6">
      <w:pPr>
        <w:ind w:left="84"/>
        <w:rPr>
          <w:sz w:val="20"/>
          <w:szCs w:val="20"/>
        </w:rPr>
      </w:pPr>
      <w:r w:rsidRPr="00FC3B7C">
        <w:rPr>
          <w:rFonts w:eastAsia="Times New Roman"/>
          <w:b/>
          <w:bCs/>
          <w:szCs w:val="24"/>
        </w:rPr>
        <w:lastRenderedPageBreak/>
        <w:t>Tabulka ratingové stupnice:</w:t>
      </w:r>
      <w:r>
        <w:rPr>
          <w:rStyle w:val="Znakapoznpodarou"/>
          <w:rFonts w:eastAsia="Times New Roman"/>
          <w:b/>
          <w:bCs/>
          <w:szCs w:val="24"/>
        </w:rPr>
        <w:footnoteReference w:id="18"/>
      </w:r>
    </w:p>
    <w:p w14:paraId="2F21A8EB" w14:textId="77777777" w:rsidR="004236C6" w:rsidRPr="00FC3B7C" w:rsidRDefault="004236C6" w:rsidP="004236C6">
      <w:pPr>
        <w:spacing w:line="20" w:lineRule="exact"/>
        <w:rPr>
          <w:sz w:val="20"/>
          <w:szCs w:val="20"/>
        </w:rPr>
      </w:pPr>
      <w:r w:rsidRPr="00FC3B7C">
        <w:rPr>
          <w:noProof/>
          <w:sz w:val="20"/>
          <w:szCs w:val="20"/>
        </w:rPr>
        <w:drawing>
          <wp:anchor distT="0" distB="0" distL="114300" distR="114300" simplePos="0" relativeHeight="251671040" behindDoc="1" locked="0" layoutInCell="0" allowOverlap="1" wp14:anchorId="09C1C4C5" wp14:editId="17E572E4">
            <wp:simplePos x="0" y="0"/>
            <wp:positionH relativeFrom="column">
              <wp:posOffset>240665</wp:posOffset>
            </wp:positionH>
            <wp:positionV relativeFrom="paragraph">
              <wp:posOffset>-18415</wp:posOffset>
            </wp:positionV>
            <wp:extent cx="5965190" cy="596201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srcRect/>
                    <a:stretch>
                      <a:fillRect/>
                    </a:stretch>
                  </pic:blipFill>
                  <pic:spPr bwMode="auto">
                    <a:xfrm>
                      <a:off x="0" y="0"/>
                      <a:ext cx="5965190" cy="5962015"/>
                    </a:xfrm>
                    <a:prstGeom prst="rect">
                      <a:avLst/>
                    </a:prstGeom>
                    <a:noFill/>
                  </pic:spPr>
                </pic:pic>
              </a:graphicData>
            </a:graphic>
          </wp:anchor>
        </w:drawing>
      </w:r>
    </w:p>
    <w:p w14:paraId="3959FC4A" w14:textId="77777777" w:rsidR="004236C6" w:rsidRPr="00FC3B7C" w:rsidRDefault="004236C6" w:rsidP="004236C6">
      <w:pPr>
        <w:spacing w:line="200" w:lineRule="exact"/>
        <w:rPr>
          <w:sz w:val="20"/>
          <w:szCs w:val="20"/>
        </w:rPr>
      </w:pPr>
    </w:p>
    <w:p w14:paraId="4C307035" w14:textId="77777777" w:rsidR="004236C6" w:rsidRPr="00FC3B7C" w:rsidRDefault="004236C6" w:rsidP="004236C6">
      <w:pPr>
        <w:spacing w:line="200" w:lineRule="exact"/>
        <w:rPr>
          <w:sz w:val="20"/>
          <w:szCs w:val="20"/>
        </w:rPr>
      </w:pPr>
    </w:p>
    <w:p w14:paraId="794D8C79" w14:textId="77777777" w:rsidR="004236C6" w:rsidRPr="00FC3B7C" w:rsidRDefault="004236C6" w:rsidP="004236C6">
      <w:pPr>
        <w:spacing w:line="200" w:lineRule="exact"/>
        <w:rPr>
          <w:sz w:val="20"/>
          <w:szCs w:val="20"/>
        </w:rPr>
      </w:pPr>
    </w:p>
    <w:p w14:paraId="2F12FB63" w14:textId="77777777" w:rsidR="004236C6" w:rsidRPr="00FC3B7C" w:rsidRDefault="004236C6" w:rsidP="004236C6">
      <w:pPr>
        <w:spacing w:line="200" w:lineRule="exact"/>
        <w:rPr>
          <w:sz w:val="20"/>
          <w:szCs w:val="20"/>
        </w:rPr>
      </w:pPr>
    </w:p>
    <w:p w14:paraId="0642E181" w14:textId="77777777" w:rsidR="004236C6" w:rsidRPr="00FC3B7C" w:rsidRDefault="004236C6" w:rsidP="004236C6">
      <w:pPr>
        <w:spacing w:line="200" w:lineRule="exact"/>
        <w:rPr>
          <w:sz w:val="20"/>
          <w:szCs w:val="20"/>
        </w:rPr>
      </w:pPr>
    </w:p>
    <w:p w14:paraId="4ED1D1DA" w14:textId="77777777" w:rsidR="004236C6" w:rsidRPr="00FC3B7C" w:rsidRDefault="004236C6" w:rsidP="004236C6">
      <w:pPr>
        <w:spacing w:line="200" w:lineRule="exact"/>
        <w:rPr>
          <w:sz w:val="20"/>
          <w:szCs w:val="20"/>
        </w:rPr>
      </w:pPr>
    </w:p>
    <w:p w14:paraId="626C76AE" w14:textId="77777777" w:rsidR="004236C6" w:rsidRPr="00FC3B7C" w:rsidRDefault="004236C6" w:rsidP="004236C6">
      <w:pPr>
        <w:spacing w:line="200" w:lineRule="exact"/>
        <w:rPr>
          <w:sz w:val="20"/>
          <w:szCs w:val="20"/>
        </w:rPr>
      </w:pPr>
    </w:p>
    <w:p w14:paraId="7611CCEC" w14:textId="77777777" w:rsidR="004236C6" w:rsidRPr="00FC3B7C" w:rsidRDefault="004236C6" w:rsidP="004236C6">
      <w:pPr>
        <w:spacing w:line="200" w:lineRule="exact"/>
        <w:rPr>
          <w:sz w:val="20"/>
          <w:szCs w:val="20"/>
        </w:rPr>
      </w:pPr>
    </w:p>
    <w:p w14:paraId="23EF602A" w14:textId="77777777" w:rsidR="004236C6" w:rsidRPr="00FC3B7C" w:rsidRDefault="004236C6" w:rsidP="004236C6">
      <w:pPr>
        <w:spacing w:line="200" w:lineRule="exact"/>
        <w:rPr>
          <w:sz w:val="20"/>
          <w:szCs w:val="20"/>
        </w:rPr>
      </w:pPr>
    </w:p>
    <w:p w14:paraId="3148EA6C" w14:textId="77777777" w:rsidR="004236C6" w:rsidRPr="00FC3B7C" w:rsidRDefault="004236C6" w:rsidP="004236C6">
      <w:pPr>
        <w:spacing w:line="200" w:lineRule="exact"/>
        <w:rPr>
          <w:sz w:val="20"/>
          <w:szCs w:val="20"/>
        </w:rPr>
      </w:pPr>
    </w:p>
    <w:p w14:paraId="55560FCB" w14:textId="77777777" w:rsidR="004236C6" w:rsidRPr="00FC3B7C" w:rsidRDefault="004236C6" w:rsidP="004236C6">
      <w:pPr>
        <w:spacing w:line="200" w:lineRule="exact"/>
        <w:rPr>
          <w:sz w:val="20"/>
          <w:szCs w:val="20"/>
        </w:rPr>
      </w:pPr>
    </w:p>
    <w:p w14:paraId="61A8C16D" w14:textId="77777777" w:rsidR="004236C6" w:rsidRPr="00FC3B7C" w:rsidRDefault="004236C6" w:rsidP="004236C6">
      <w:pPr>
        <w:spacing w:line="200" w:lineRule="exact"/>
        <w:rPr>
          <w:sz w:val="20"/>
          <w:szCs w:val="20"/>
        </w:rPr>
      </w:pPr>
    </w:p>
    <w:p w14:paraId="221154E8" w14:textId="77777777" w:rsidR="004236C6" w:rsidRPr="00FC3B7C" w:rsidRDefault="004236C6" w:rsidP="004236C6">
      <w:pPr>
        <w:spacing w:line="200" w:lineRule="exact"/>
        <w:rPr>
          <w:sz w:val="20"/>
          <w:szCs w:val="20"/>
        </w:rPr>
      </w:pPr>
    </w:p>
    <w:p w14:paraId="0DF307C0" w14:textId="77777777" w:rsidR="004236C6" w:rsidRPr="00FC3B7C" w:rsidRDefault="004236C6" w:rsidP="004236C6">
      <w:pPr>
        <w:spacing w:line="200" w:lineRule="exact"/>
        <w:rPr>
          <w:sz w:val="20"/>
          <w:szCs w:val="20"/>
        </w:rPr>
      </w:pPr>
    </w:p>
    <w:p w14:paraId="3F7CFE75" w14:textId="77777777" w:rsidR="004236C6" w:rsidRPr="00FC3B7C" w:rsidRDefault="004236C6" w:rsidP="004236C6">
      <w:pPr>
        <w:spacing w:line="200" w:lineRule="exact"/>
        <w:rPr>
          <w:sz w:val="20"/>
          <w:szCs w:val="20"/>
        </w:rPr>
      </w:pPr>
    </w:p>
    <w:p w14:paraId="393AA0B3" w14:textId="77777777" w:rsidR="004236C6" w:rsidRPr="00FC3B7C" w:rsidRDefault="004236C6" w:rsidP="004236C6">
      <w:pPr>
        <w:spacing w:line="200" w:lineRule="exact"/>
        <w:rPr>
          <w:sz w:val="20"/>
          <w:szCs w:val="20"/>
        </w:rPr>
      </w:pPr>
    </w:p>
    <w:p w14:paraId="1933D6D6" w14:textId="77777777" w:rsidR="004236C6" w:rsidRPr="00FC3B7C" w:rsidRDefault="004236C6" w:rsidP="004236C6">
      <w:pPr>
        <w:spacing w:line="200" w:lineRule="exact"/>
        <w:rPr>
          <w:sz w:val="20"/>
          <w:szCs w:val="20"/>
        </w:rPr>
      </w:pPr>
    </w:p>
    <w:p w14:paraId="74C5811E" w14:textId="77777777" w:rsidR="004236C6" w:rsidRPr="00FC3B7C" w:rsidRDefault="004236C6" w:rsidP="004236C6">
      <w:pPr>
        <w:spacing w:line="200" w:lineRule="exact"/>
        <w:rPr>
          <w:sz w:val="20"/>
          <w:szCs w:val="20"/>
        </w:rPr>
      </w:pPr>
    </w:p>
    <w:p w14:paraId="57F750A3" w14:textId="77777777" w:rsidR="004236C6" w:rsidRPr="00FC3B7C" w:rsidRDefault="004236C6" w:rsidP="004236C6">
      <w:pPr>
        <w:spacing w:line="200" w:lineRule="exact"/>
        <w:rPr>
          <w:sz w:val="20"/>
          <w:szCs w:val="20"/>
        </w:rPr>
      </w:pPr>
    </w:p>
    <w:p w14:paraId="45DD570E" w14:textId="77777777" w:rsidR="004236C6" w:rsidRPr="00FC3B7C" w:rsidRDefault="004236C6" w:rsidP="004236C6">
      <w:pPr>
        <w:spacing w:line="200" w:lineRule="exact"/>
        <w:rPr>
          <w:sz w:val="20"/>
          <w:szCs w:val="20"/>
        </w:rPr>
      </w:pPr>
    </w:p>
    <w:p w14:paraId="576185C2" w14:textId="77777777" w:rsidR="004236C6" w:rsidRPr="00FC3B7C" w:rsidRDefault="004236C6" w:rsidP="004236C6">
      <w:pPr>
        <w:spacing w:line="200" w:lineRule="exact"/>
        <w:rPr>
          <w:sz w:val="20"/>
          <w:szCs w:val="20"/>
        </w:rPr>
      </w:pPr>
    </w:p>
    <w:p w14:paraId="53553CDD" w14:textId="77777777" w:rsidR="004236C6" w:rsidRPr="00FC3B7C" w:rsidRDefault="004236C6" w:rsidP="004236C6">
      <w:pPr>
        <w:spacing w:line="200" w:lineRule="exact"/>
        <w:rPr>
          <w:sz w:val="20"/>
          <w:szCs w:val="20"/>
        </w:rPr>
      </w:pPr>
    </w:p>
    <w:p w14:paraId="080CDEE1" w14:textId="77777777" w:rsidR="004236C6" w:rsidRPr="00FC3B7C" w:rsidRDefault="004236C6" w:rsidP="004236C6">
      <w:pPr>
        <w:spacing w:line="200" w:lineRule="exact"/>
        <w:rPr>
          <w:sz w:val="20"/>
          <w:szCs w:val="20"/>
        </w:rPr>
      </w:pPr>
    </w:p>
    <w:p w14:paraId="70CF0320" w14:textId="77777777" w:rsidR="004236C6" w:rsidRPr="00FC3B7C" w:rsidRDefault="004236C6" w:rsidP="004236C6">
      <w:pPr>
        <w:spacing w:line="200" w:lineRule="exact"/>
        <w:rPr>
          <w:sz w:val="20"/>
          <w:szCs w:val="20"/>
        </w:rPr>
      </w:pPr>
    </w:p>
    <w:p w14:paraId="50B7D4F7" w14:textId="77777777" w:rsidR="004236C6" w:rsidRPr="00FC3B7C" w:rsidRDefault="004236C6" w:rsidP="004236C6">
      <w:pPr>
        <w:spacing w:line="200" w:lineRule="exact"/>
        <w:rPr>
          <w:sz w:val="20"/>
          <w:szCs w:val="20"/>
        </w:rPr>
      </w:pPr>
    </w:p>
    <w:p w14:paraId="3771E8C3" w14:textId="77777777" w:rsidR="004236C6" w:rsidRPr="00FC3B7C" w:rsidRDefault="004236C6" w:rsidP="004236C6">
      <w:pPr>
        <w:spacing w:line="200" w:lineRule="exact"/>
        <w:rPr>
          <w:sz w:val="20"/>
          <w:szCs w:val="20"/>
        </w:rPr>
      </w:pPr>
    </w:p>
    <w:p w14:paraId="27FB634C" w14:textId="77777777" w:rsidR="004236C6" w:rsidRPr="00FC3B7C" w:rsidRDefault="004236C6" w:rsidP="004236C6">
      <w:pPr>
        <w:spacing w:line="200" w:lineRule="exact"/>
        <w:rPr>
          <w:sz w:val="20"/>
          <w:szCs w:val="20"/>
        </w:rPr>
      </w:pPr>
    </w:p>
    <w:p w14:paraId="721D2802" w14:textId="77777777" w:rsidR="004236C6" w:rsidRPr="00FC3B7C" w:rsidRDefault="004236C6" w:rsidP="004236C6">
      <w:pPr>
        <w:spacing w:line="200" w:lineRule="exact"/>
        <w:rPr>
          <w:sz w:val="20"/>
          <w:szCs w:val="20"/>
        </w:rPr>
      </w:pPr>
    </w:p>
    <w:p w14:paraId="6394C6EA" w14:textId="77777777" w:rsidR="004236C6" w:rsidRPr="00FC3B7C" w:rsidRDefault="004236C6" w:rsidP="004236C6">
      <w:pPr>
        <w:spacing w:line="200" w:lineRule="exact"/>
        <w:rPr>
          <w:sz w:val="20"/>
          <w:szCs w:val="20"/>
        </w:rPr>
      </w:pPr>
    </w:p>
    <w:p w14:paraId="5D9FF851" w14:textId="77777777" w:rsidR="004236C6" w:rsidRPr="00FC3B7C" w:rsidRDefault="004236C6" w:rsidP="004236C6">
      <w:pPr>
        <w:spacing w:line="200" w:lineRule="exact"/>
        <w:rPr>
          <w:sz w:val="20"/>
          <w:szCs w:val="20"/>
        </w:rPr>
      </w:pPr>
    </w:p>
    <w:p w14:paraId="5D061830" w14:textId="77777777" w:rsidR="004236C6" w:rsidRPr="00FC3B7C" w:rsidRDefault="004236C6" w:rsidP="004236C6">
      <w:pPr>
        <w:spacing w:line="200" w:lineRule="exact"/>
        <w:rPr>
          <w:sz w:val="20"/>
          <w:szCs w:val="20"/>
        </w:rPr>
      </w:pPr>
    </w:p>
    <w:p w14:paraId="4DDABE55" w14:textId="77777777" w:rsidR="004236C6" w:rsidRPr="00FC3B7C" w:rsidRDefault="004236C6" w:rsidP="004236C6">
      <w:pPr>
        <w:spacing w:line="200" w:lineRule="exact"/>
        <w:rPr>
          <w:sz w:val="20"/>
          <w:szCs w:val="20"/>
        </w:rPr>
      </w:pPr>
    </w:p>
    <w:p w14:paraId="5BC49500" w14:textId="77777777" w:rsidR="004236C6" w:rsidRPr="00FC3B7C" w:rsidRDefault="004236C6" w:rsidP="004236C6">
      <w:pPr>
        <w:spacing w:line="200" w:lineRule="exact"/>
        <w:rPr>
          <w:sz w:val="20"/>
          <w:szCs w:val="20"/>
        </w:rPr>
      </w:pPr>
    </w:p>
    <w:p w14:paraId="1F94FDD7" w14:textId="77777777" w:rsidR="004236C6" w:rsidRPr="00FC3B7C" w:rsidRDefault="004236C6" w:rsidP="004236C6">
      <w:pPr>
        <w:spacing w:line="200" w:lineRule="exact"/>
        <w:rPr>
          <w:sz w:val="20"/>
          <w:szCs w:val="20"/>
        </w:rPr>
      </w:pPr>
    </w:p>
    <w:p w14:paraId="31DAD69B" w14:textId="77777777" w:rsidR="004236C6" w:rsidRPr="00FC3B7C" w:rsidRDefault="004236C6" w:rsidP="004236C6">
      <w:pPr>
        <w:spacing w:line="200" w:lineRule="exact"/>
        <w:rPr>
          <w:sz w:val="20"/>
          <w:szCs w:val="20"/>
        </w:rPr>
      </w:pPr>
    </w:p>
    <w:p w14:paraId="3367C64F" w14:textId="77777777" w:rsidR="004236C6" w:rsidRPr="00FC3B7C" w:rsidRDefault="004236C6" w:rsidP="004236C6">
      <w:pPr>
        <w:spacing w:line="200" w:lineRule="exact"/>
        <w:rPr>
          <w:sz w:val="20"/>
          <w:szCs w:val="20"/>
        </w:rPr>
      </w:pPr>
    </w:p>
    <w:p w14:paraId="2F2FA1E9" w14:textId="77777777" w:rsidR="004236C6" w:rsidRPr="00FC3B7C" w:rsidRDefault="004236C6" w:rsidP="004236C6">
      <w:pPr>
        <w:spacing w:line="200" w:lineRule="exact"/>
        <w:rPr>
          <w:sz w:val="20"/>
          <w:szCs w:val="20"/>
        </w:rPr>
      </w:pPr>
    </w:p>
    <w:p w14:paraId="51633FFC" w14:textId="77777777" w:rsidR="004236C6" w:rsidRPr="00FC3B7C" w:rsidRDefault="004236C6" w:rsidP="004236C6">
      <w:pPr>
        <w:spacing w:line="200" w:lineRule="exact"/>
        <w:rPr>
          <w:sz w:val="20"/>
          <w:szCs w:val="20"/>
        </w:rPr>
      </w:pPr>
    </w:p>
    <w:p w14:paraId="679A864E" w14:textId="77777777" w:rsidR="004236C6" w:rsidRPr="00FC3B7C" w:rsidRDefault="004236C6" w:rsidP="004236C6">
      <w:pPr>
        <w:spacing w:line="200" w:lineRule="exact"/>
        <w:rPr>
          <w:sz w:val="20"/>
          <w:szCs w:val="20"/>
        </w:rPr>
      </w:pPr>
    </w:p>
    <w:p w14:paraId="2E1F3D6C" w14:textId="77777777" w:rsidR="004236C6" w:rsidRPr="00FC3B7C" w:rsidRDefault="004236C6" w:rsidP="004236C6">
      <w:pPr>
        <w:spacing w:line="200" w:lineRule="exact"/>
        <w:rPr>
          <w:sz w:val="20"/>
          <w:szCs w:val="20"/>
        </w:rPr>
      </w:pPr>
    </w:p>
    <w:p w14:paraId="7F841EF7" w14:textId="77777777" w:rsidR="004236C6" w:rsidRPr="00FC3B7C" w:rsidRDefault="004236C6" w:rsidP="004236C6">
      <w:pPr>
        <w:spacing w:line="200" w:lineRule="exact"/>
        <w:rPr>
          <w:sz w:val="20"/>
          <w:szCs w:val="20"/>
        </w:rPr>
      </w:pPr>
    </w:p>
    <w:p w14:paraId="0AA4D58E" w14:textId="12619AE7" w:rsidR="004236C6" w:rsidRPr="00FC3B7C" w:rsidRDefault="004236C6" w:rsidP="004236C6">
      <w:pPr>
        <w:spacing w:line="200" w:lineRule="exact"/>
        <w:rPr>
          <w:sz w:val="20"/>
          <w:szCs w:val="20"/>
        </w:rPr>
      </w:pPr>
    </w:p>
    <w:p w14:paraId="70A16ABF" w14:textId="77777777" w:rsidR="004236C6" w:rsidRPr="00FC3B7C" w:rsidRDefault="004236C6" w:rsidP="004236C6">
      <w:pPr>
        <w:spacing w:line="200" w:lineRule="exact"/>
        <w:rPr>
          <w:sz w:val="20"/>
          <w:szCs w:val="20"/>
        </w:rPr>
      </w:pPr>
    </w:p>
    <w:p w14:paraId="7B890A22" w14:textId="77777777" w:rsidR="004236C6" w:rsidRPr="00FC3B7C" w:rsidRDefault="004236C6" w:rsidP="004236C6">
      <w:pPr>
        <w:spacing w:line="200" w:lineRule="exact"/>
        <w:rPr>
          <w:sz w:val="20"/>
          <w:szCs w:val="20"/>
        </w:rPr>
      </w:pPr>
    </w:p>
    <w:p w14:paraId="5356B828" w14:textId="77777777" w:rsidR="004236C6" w:rsidRPr="00FC3B7C" w:rsidRDefault="004236C6" w:rsidP="004236C6">
      <w:pPr>
        <w:spacing w:line="200" w:lineRule="exact"/>
        <w:rPr>
          <w:sz w:val="20"/>
          <w:szCs w:val="20"/>
        </w:rPr>
      </w:pPr>
    </w:p>
    <w:p w14:paraId="40E3AF79" w14:textId="77777777" w:rsidR="004236C6" w:rsidRPr="00FC3B7C" w:rsidRDefault="004236C6" w:rsidP="004236C6">
      <w:pPr>
        <w:spacing w:line="200" w:lineRule="exact"/>
        <w:rPr>
          <w:sz w:val="20"/>
          <w:szCs w:val="20"/>
        </w:rPr>
      </w:pPr>
    </w:p>
    <w:p w14:paraId="79CF7FBB" w14:textId="77777777" w:rsidR="004236C6" w:rsidRPr="00FC3B7C" w:rsidRDefault="004236C6" w:rsidP="004236C6">
      <w:pPr>
        <w:spacing w:line="215" w:lineRule="exact"/>
        <w:rPr>
          <w:sz w:val="20"/>
          <w:szCs w:val="20"/>
        </w:rPr>
      </w:pPr>
    </w:p>
    <w:p w14:paraId="286433C7" w14:textId="77777777" w:rsidR="004236C6" w:rsidRPr="000D2ED5" w:rsidRDefault="004236C6" w:rsidP="004236C6">
      <w:pPr>
        <w:numPr>
          <w:ilvl w:val="0"/>
          <w:numId w:val="17"/>
        </w:numPr>
        <w:tabs>
          <w:tab w:val="left" w:pos="1134"/>
        </w:tabs>
        <w:ind w:left="993" w:hanging="366"/>
        <w:rPr>
          <w:rFonts w:eastAsia="Times New Roman"/>
          <w:b/>
          <w:bCs/>
          <w:szCs w:val="24"/>
        </w:rPr>
      </w:pPr>
      <w:r w:rsidRPr="00FC3B7C">
        <w:rPr>
          <w:rFonts w:eastAsia="Times New Roman"/>
          <w:b/>
          <w:bCs/>
          <w:szCs w:val="24"/>
        </w:rPr>
        <w:t>Ratingové agentury:</w:t>
      </w:r>
    </w:p>
    <w:p w14:paraId="27232319" w14:textId="77777777" w:rsidR="004236C6" w:rsidRPr="000D2ED5" w:rsidRDefault="004236C6" w:rsidP="00D46B53">
      <w:pPr>
        <w:pStyle w:val="Odstavecseseznamem"/>
        <w:numPr>
          <w:ilvl w:val="0"/>
          <w:numId w:val="599"/>
        </w:numPr>
        <w:ind w:left="1418"/>
        <w:rPr>
          <w:rFonts w:eastAsia="Times New Roman"/>
        </w:rPr>
      </w:pPr>
      <w:r w:rsidRPr="000D2ED5">
        <w:rPr>
          <w:rFonts w:eastAsia="Times New Roman"/>
        </w:rPr>
        <w:t>Moody´s (ČR má rating A1 stejně jako např.: Izrael, Japonsko, Čína)</w:t>
      </w:r>
    </w:p>
    <w:p w14:paraId="0A064CB4" w14:textId="77777777" w:rsidR="004236C6" w:rsidRPr="000D2ED5" w:rsidRDefault="004236C6" w:rsidP="00D46B53">
      <w:pPr>
        <w:pStyle w:val="Odstavecseseznamem"/>
        <w:numPr>
          <w:ilvl w:val="0"/>
          <w:numId w:val="599"/>
        </w:numPr>
        <w:ind w:left="1418"/>
        <w:rPr>
          <w:rFonts w:eastAsia="Times New Roman"/>
        </w:rPr>
      </w:pPr>
      <w:r w:rsidRPr="000D2ED5">
        <w:rPr>
          <w:rFonts w:eastAsia="Times New Roman"/>
        </w:rPr>
        <w:t>Standard &amp; Poors (ČR má aktuální rating AA- stejně jako Čína, Chile)</w:t>
      </w:r>
    </w:p>
    <w:p w14:paraId="2EB947F8" w14:textId="77777777" w:rsidR="004236C6" w:rsidRPr="000D2ED5" w:rsidRDefault="004236C6" w:rsidP="00D46B53">
      <w:pPr>
        <w:pStyle w:val="Odstavecseseznamem"/>
        <w:numPr>
          <w:ilvl w:val="0"/>
          <w:numId w:val="599"/>
        </w:numPr>
        <w:ind w:left="1418"/>
        <w:rPr>
          <w:rFonts w:eastAsia="Courier New"/>
          <w:szCs w:val="24"/>
        </w:rPr>
      </w:pPr>
      <w:r w:rsidRPr="000D2ED5">
        <w:rPr>
          <w:rFonts w:eastAsia="Times New Roman"/>
        </w:rPr>
        <w:t>Fitch (ČR má aktuální rating u ní A+, stejně jako např. Čína, Chile, Slovensko)</w:t>
      </w:r>
      <w:bookmarkStart w:id="42" w:name="page42"/>
      <w:bookmarkEnd w:id="42"/>
    </w:p>
    <w:p w14:paraId="150ABFE0" w14:textId="77777777" w:rsidR="004236C6" w:rsidRPr="000D2ED5" w:rsidRDefault="004236C6" w:rsidP="00D46B53">
      <w:pPr>
        <w:pStyle w:val="Odstavecseseznamem"/>
        <w:numPr>
          <w:ilvl w:val="0"/>
          <w:numId w:val="599"/>
        </w:numPr>
        <w:ind w:left="1418"/>
        <w:rPr>
          <w:rFonts w:eastAsia="Courier New"/>
          <w:szCs w:val="24"/>
        </w:rPr>
      </w:pPr>
      <w:r w:rsidRPr="000D2ED5">
        <w:rPr>
          <w:rFonts w:eastAsia="Times New Roman"/>
          <w:b/>
          <w:bCs/>
          <w:szCs w:val="24"/>
        </w:rPr>
        <w:t xml:space="preserve">Aktuální rating </w:t>
      </w:r>
      <w:r w:rsidRPr="000D2ED5">
        <w:rPr>
          <w:rFonts w:eastAsia="Times New Roman"/>
          <w:b/>
        </w:rPr>
        <w:t>vybraných</w:t>
      </w:r>
      <w:r w:rsidRPr="000D2ED5">
        <w:rPr>
          <w:rFonts w:eastAsia="Times New Roman"/>
          <w:b/>
          <w:bCs/>
          <w:szCs w:val="24"/>
        </w:rPr>
        <w:t xml:space="preserve"> států a vývoj ratingu ČR</w:t>
      </w:r>
      <w:r>
        <w:rPr>
          <w:rStyle w:val="Znakapoznpodarou"/>
          <w:rFonts w:eastAsia="Times New Roman"/>
          <w:b/>
          <w:bCs/>
          <w:szCs w:val="24"/>
        </w:rPr>
        <w:footnoteReference w:id="19"/>
      </w:r>
    </w:p>
    <w:p w14:paraId="586FB27D" w14:textId="77777777" w:rsidR="004236C6" w:rsidRPr="00FC3B7C" w:rsidRDefault="004236C6" w:rsidP="004236C6">
      <w:pPr>
        <w:spacing w:line="113" w:lineRule="exact"/>
        <w:rPr>
          <w:rFonts w:eastAsia="Courier New"/>
          <w:szCs w:val="24"/>
        </w:rPr>
      </w:pPr>
    </w:p>
    <w:p w14:paraId="501F5581" w14:textId="77777777" w:rsidR="004236C6" w:rsidRPr="000D2ED5" w:rsidRDefault="004236C6" w:rsidP="004236C6">
      <w:pPr>
        <w:numPr>
          <w:ilvl w:val="0"/>
          <w:numId w:val="18"/>
        </w:numPr>
        <w:tabs>
          <w:tab w:val="left" w:pos="724"/>
        </w:tabs>
        <w:ind w:left="724" w:hanging="367"/>
        <w:rPr>
          <w:rFonts w:eastAsia="Arial"/>
          <w:sz w:val="23"/>
          <w:szCs w:val="23"/>
        </w:rPr>
      </w:pPr>
      <w:r w:rsidRPr="00FC3B7C">
        <w:rPr>
          <w:rFonts w:eastAsia="Times New Roman"/>
          <w:sz w:val="23"/>
          <w:szCs w:val="23"/>
        </w:rPr>
        <w:t>Rating je založen na předem známých ekonomických, politických a jiných faktorech</w:t>
      </w:r>
      <w:r w:rsidRPr="00FC3B7C">
        <w:rPr>
          <w:noProof/>
          <w:sz w:val="20"/>
          <w:szCs w:val="20"/>
        </w:rPr>
        <w:drawing>
          <wp:anchor distT="0" distB="0" distL="114300" distR="114300" simplePos="0" relativeHeight="251676160" behindDoc="1" locked="0" layoutInCell="0" allowOverlap="1" wp14:anchorId="32869B97" wp14:editId="58754202">
            <wp:simplePos x="0" y="0"/>
            <wp:positionH relativeFrom="column">
              <wp:posOffset>0</wp:posOffset>
            </wp:positionH>
            <wp:positionV relativeFrom="paragraph">
              <wp:posOffset>7887335</wp:posOffset>
            </wp:positionV>
            <wp:extent cx="1828800" cy="63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srcRect/>
                    <a:stretch>
                      <a:fillRect/>
                    </a:stretch>
                  </pic:blipFill>
                  <pic:spPr bwMode="auto">
                    <a:xfrm>
                      <a:off x="0" y="0"/>
                      <a:ext cx="1828800" cy="6350"/>
                    </a:xfrm>
                    <a:prstGeom prst="rect">
                      <a:avLst/>
                    </a:prstGeom>
                    <a:noFill/>
                  </pic:spPr>
                </pic:pic>
              </a:graphicData>
            </a:graphic>
          </wp:anchor>
        </w:drawing>
      </w:r>
    </w:p>
    <w:p w14:paraId="5D200583" w14:textId="77777777" w:rsidR="004236C6" w:rsidRPr="00FC3B7C" w:rsidRDefault="004236C6" w:rsidP="004236C6">
      <w:pPr>
        <w:sectPr w:rsidR="004236C6" w:rsidRPr="00FC3B7C">
          <w:pgSz w:w="11900" w:h="16840"/>
          <w:pgMar w:top="1391" w:right="1440" w:bottom="1440" w:left="1416" w:header="0" w:footer="0" w:gutter="0"/>
          <w:cols w:space="708" w:equalWidth="0">
            <w:col w:w="9044"/>
          </w:cols>
        </w:sectPr>
      </w:pPr>
    </w:p>
    <w:p w14:paraId="30804FA7" w14:textId="77777777" w:rsidR="004236C6" w:rsidRPr="000D2ED5" w:rsidRDefault="004236C6" w:rsidP="00D46B53">
      <w:pPr>
        <w:pStyle w:val="Odstavecseseznamem"/>
        <w:numPr>
          <w:ilvl w:val="0"/>
          <w:numId w:val="599"/>
        </w:numPr>
        <w:rPr>
          <w:rFonts w:eastAsia="Times New Roman"/>
          <w:b/>
        </w:rPr>
      </w:pPr>
      <w:bookmarkStart w:id="43" w:name="page43"/>
      <w:bookmarkEnd w:id="43"/>
      <w:r w:rsidRPr="000D2ED5">
        <w:rPr>
          <w:rFonts w:eastAsia="Times New Roman"/>
          <w:b/>
        </w:rPr>
        <w:lastRenderedPageBreak/>
        <w:t>Mezi alternativní hodnoty HP patří:</w:t>
      </w:r>
    </w:p>
    <w:p w14:paraId="457C8412" w14:textId="77777777" w:rsidR="004236C6" w:rsidRPr="000D2ED5" w:rsidRDefault="004236C6" w:rsidP="00D46B53">
      <w:pPr>
        <w:pStyle w:val="Odstavecseseznamem"/>
        <w:numPr>
          <w:ilvl w:val="1"/>
          <w:numId w:val="599"/>
        </w:numPr>
        <w:rPr>
          <w:rFonts w:eastAsia="Times New Roman"/>
        </w:rPr>
      </w:pPr>
      <w:r w:rsidRPr="000D2ED5">
        <w:rPr>
          <w:rFonts w:eastAsia="Times New Roman"/>
          <w:b/>
        </w:rPr>
        <w:t xml:space="preserve">Index útrap (misery index): </w:t>
      </w:r>
      <w:r w:rsidRPr="000D2ED5">
        <w:rPr>
          <w:rFonts w:eastAsia="Times New Roman"/>
        </w:rPr>
        <w:t>Součet míry inflace a míry nezaměstnanosti</w:t>
      </w:r>
      <w:r>
        <w:rPr>
          <w:rFonts w:eastAsia="Times New Roman"/>
        </w:rPr>
        <w:t>.</w:t>
      </w:r>
    </w:p>
    <w:p w14:paraId="54E38E8A" w14:textId="77777777" w:rsidR="004236C6" w:rsidRPr="000D2ED5" w:rsidRDefault="004236C6" w:rsidP="00D46B53">
      <w:pPr>
        <w:pStyle w:val="Odstavecseseznamem"/>
        <w:numPr>
          <w:ilvl w:val="1"/>
          <w:numId w:val="599"/>
        </w:numPr>
        <w:rPr>
          <w:rFonts w:eastAsia="Times New Roman"/>
        </w:rPr>
      </w:pPr>
      <w:r w:rsidRPr="000D2ED5">
        <w:rPr>
          <w:rFonts w:eastAsia="Times New Roman"/>
          <w:b/>
        </w:rPr>
        <w:t xml:space="preserve">Index stabilizace: </w:t>
      </w:r>
      <w:r w:rsidRPr="000D2ED5">
        <w:rPr>
          <w:rFonts w:eastAsia="Times New Roman"/>
        </w:rPr>
        <w:t>Sčítá se index stabilizace a 2krát míra nezaměstnanosti</w:t>
      </w:r>
      <w:r>
        <w:rPr>
          <w:rFonts w:eastAsia="Times New Roman"/>
        </w:rPr>
        <w:t>.</w:t>
      </w:r>
    </w:p>
    <w:p w14:paraId="38E02278" w14:textId="77777777" w:rsidR="004236C6" w:rsidRPr="000D2ED5" w:rsidRDefault="004236C6" w:rsidP="00D46B53">
      <w:pPr>
        <w:pStyle w:val="Odstavecseseznamem"/>
        <w:numPr>
          <w:ilvl w:val="1"/>
          <w:numId w:val="599"/>
        </w:numPr>
        <w:rPr>
          <w:rFonts w:eastAsia="Times New Roman"/>
        </w:rPr>
      </w:pPr>
      <w:r w:rsidRPr="000D2ED5">
        <w:rPr>
          <w:rFonts w:eastAsia="Times New Roman"/>
          <w:b/>
        </w:rPr>
        <w:t xml:space="preserve">Index neoblíbenosti: </w:t>
      </w:r>
      <w:r w:rsidRPr="000D2ED5">
        <w:rPr>
          <w:rFonts w:eastAsia="Times New Roman"/>
        </w:rPr>
        <w:t>Rozdíl inflace a trojnásobku růstu HDP</w:t>
      </w:r>
      <w:r>
        <w:rPr>
          <w:rFonts w:eastAsia="Times New Roman"/>
        </w:rPr>
        <w:t>.</w:t>
      </w:r>
    </w:p>
    <w:p w14:paraId="0997235F" w14:textId="77777777" w:rsidR="004236C6" w:rsidRPr="00FC3B7C" w:rsidRDefault="004236C6" w:rsidP="004236C6">
      <w:pPr>
        <w:spacing w:line="151" w:lineRule="exact"/>
        <w:rPr>
          <w:rFonts w:eastAsia="Wingdings"/>
          <w:szCs w:val="24"/>
        </w:rPr>
      </w:pPr>
    </w:p>
    <w:p w14:paraId="0634BBD2" w14:textId="77777777" w:rsidR="004236C6" w:rsidRPr="000D2ED5" w:rsidRDefault="004236C6" w:rsidP="00D46B53">
      <w:pPr>
        <w:pStyle w:val="Odstavecseseznamem"/>
        <w:numPr>
          <w:ilvl w:val="0"/>
          <w:numId w:val="599"/>
        </w:numPr>
        <w:rPr>
          <w:rFonts w:eastAsia="Times New Roman"/>
          <w:b/>
        </w:rPr>
      </w:pPr>
      <w:r w:rsidRPr="000D2ED5">
        <w:rPr>
          <w:rFonts w:eastAsia="Times New Roman"/>
          <w:b/>
        </w:rPr>
        <w:t>Pravidla pro určování nástrojů HP:</w:t>
      </w:r>
    </w:p>
    <w:p w14:paraId="301625A1" w14:textId="77777777" w:rsidR="004236C6" w:rsidRPr="000D2ED5" w:rsidRDefault="004236C6" w:rsidP="00D46B53">
      <w:pPr>
        <w:pStyle w:val="Odstavecseseznamem"/>
        <w:numPr>
          <w:ilvl w:val="1"/>
          <w:numId w:val="599"/>
        </w:numPr>
        <w:rPr>
          <w:rFonts w:eastAsia="Times New Roman"/>
        </w:rPr>
      </w:pPr>
      <w:r w:rsidRPr="000D2ED5">
        <w:rPr>
          <w:rFonts w:eastAsia="Times New Roman"/>
          <w:b/>
        </w:rPr>
        <w:t xml:space="preserve">Tinbergenovo pravidlo – </w:t>
      </w:r>
      <w:r w:rsidRPr="000D2ED5">
        <w:rPr>
          <w:rFonts w:eastAsia="Times New Roman"/>
        </w:rPr>
        <w:t>je nutné mít tolik nástrojů HP, kolik je cílů</w:t>
      </w:r>
      <w:r>
        <w:rPr>
          <w:rFonts w:eastAsia="Times New Roman"/>
        </w:rPr>
        <w:t>.</w:t>
      </w:r>
    </w:p>
    <w:p w14:paraId="5CAE701F" w14:textId="77777777" w:rsidR="004236C6" w:rsidRPr="000D2ED5" w:rsidRDefault="004236C6" w:rsidP="00D46B53">
      <w:pPr>
        <w:pStyle w:val="Odstavecseseznamem"/>
        <w:numPr>
          <w:ilvl w:val="1"/>
          <w:numId w:val="599"/>
        </w:numPr>
        <w:rPr>
          <w:rFonts w:eastAsia="Times New Roman"/>
        </w:rPr>
      </w:pPr>
      <w:r w:rsidRPr="000D2ED5">
        <w:rPr>
          <w:rFonts w:eastAsia="Times New Roman"/>
          <w:b/>
        </w:rPr>
        <w:t xml:space="preserve">Mundellův princip – </w:t>
      </w:r>
      <w:r w:rsidRPr="000D2ED5">
        <w:rPr>
          <w:rFonts w:eastAsia="Times New Roman"/>
        </w:rPr>
        <w:t>každému cíli je přiřazen ten nástroj, který má největší vliv na daný cíl</w:t>
      </w:r>
      <w:r>
        <w:rPr>
          <w:rFonts w:eastAsia="Times New Roman"/>
        </w:rPr>
        <w:t>.</w:t>
      </w:r>
    </w:p>
    <w:p w14:paraId="2B103EEA" w14:textId="77777777" w:rsidR="004236C6" w:rsidRPr="000D2ED5" w:rsidRDefault="004236C6" w:rsidP="00D46B53">
      <w:pPr>
        <w:pStyle w:val="Odstavecseseznamem"/>
        <w:numPr>
          <w:ilvl w:val="1"/>
          <w:numId w:val="599"/>
        </w:numPr>
        <w:rPr>
          <w:rFonts w:eastAsia="Times New Roman"/>
        </w:rPr>
      </w:pPr>
      <w:r w:rsidRPr="000D2ED5">
        <w:rPr>
          <w:rFonts w:eastAsia="Times New Roman"/>
          <w:b/>
        </w:rPr>
        <w:t xml:space="preserve">Meadeho princip zodpovědnosti – </w:t>
      </w:r>
      <w:r w:rsidRPr="000D2ED5">
        <w:rPr>
          <w:rFonts w:eastAsia="Times New Roman"/>
        </w:rPr>
        <w:t>za každý makroekonomický cíl má být zodpovědná jedna instituce, která má na použitý cíl největší vliv</w:t>
      </w:r>
      <w:r>
        <w:rPr>
          <w:rFonts w:eastAsia="Times New Roman"/>
        </w:rPr>
        <w:t>.</w:t>
      </w:r>
    </w:p>
    <w:p w14:paraId="294A4ED5" w14:textId="77777777" w:rsidR="004236C6" w:rsidRPr="00FC3B7C" w:rsidRDefault="004236C6" w:rsidP="004236C6">
      <w:pPr>
        <w:spacing w:line="161" w:lineRule="exact"/>
        <w:rPr>
          <w:sz w:val="20"/>
          <w:szCs w:val="20"/>
        </w:rPr>
      </w:pPr>
    </w:p>
    <w:p w14:paraId="22BF0138" w14:textId="77777777" w:rsidR="004236C6" w:rsidRPr="00413472" w:rsidRDefault="004236C6" w:rsidP="004236C6">
      <w:pPr>
        <w:pStyle w:val="Nadpis3"/>
        <w:rPr>
          <w:color w:val="1F3864" w:themeColor="accent1" w:themeShade="80"/>
          <w:sz w:val="20"/>
          <w:szCs w:val="20"/>
        </w:rPr>
      </w:pPr>
      <w:r w:rsidRPr="00413472">
        <w:rPr>
          <w:rFonts w:eastAsia="Times New Roman"/>
          <w:color w:val="1F3864" w:themeColor="accent1" w:themeShade="80"/>
        </w:rPr>
        <w:t>Nositelé hospodářské politiky a jejich rozdělení</w:t>
      </w:r>
    </w:p>
    <w:p w14:paraId="149E91E5" w14:textId="7200CFE1" w:rsidR="004236C6" w:rsidRPr="004B6CDE" w:rsidRDefault="004236C6" w:rsidP="004236C6">
      <w:pPr>
        <w:rPr>
          <w:rFonts w:eastAsia="Times New Roman"/>
        </w:rPr>
      </w:pPr>
      <w:r w:rsidRPr="004B6CDE">
        <w:rPr>
          <w:rFonts w:eastAsia="Times New Roman"/>
        </w:rPr>
        <w:t>Nositeli HP může být státní i nestátní instituce případně neformalizovaná skupina či jednotlivec, který hraje aktivní roli v </w:t>
      </w:r>
      <w:r w:rsidR="00CE28AF" w:rsidRPr="004B6CDE">
        <w:rPr>
          <w:rFonts w:eastAsia="Times New Roman"/>
        </w:rPr>
        <w:t>tvorbě</w:t>
      </w:r>
      <w:r w:rsidRPr="004B6CDE">
        <w:rPr>
          <w:rFonts w:eastAsia="Times New Roman"/>
        </w:rPr>
        <w:t xml:space="preserve">, provádění a kontrole hospodářské politiky. </w:t>
      </w:r>
    </w:p>
    <w:p w14:paraId="224FBBC9" w14:textId="77777777" w:rsidR="004236C6" w:rsidRPr="00FC3B7C" w:rsidRDefault="004236C6" w:rsidP="004236C6">
      <w:pPr>
        <w:rPr>
          <w:sz w:val="20"/>
          <w:szCs w:val="20"/>
        </w:rPr>
      </w:pPr>
      <w:r>
        <w:rPr>
          <w:rFonts w:eastAsia="Times New Roman"/>
        </w:rPr>
        <w:t xml:space="preserve">Jsou to </w:t>
      </w:r>
      <w:r w:rsidRPr="00FC3B7C">
        <w:rPr>
          <w:rFonts w:eastAsia="Times New Roman"/>
        </w:rPr>
        <w:t xml:space="preserve">subjekty mající na základě právních norem, zvykového práva </w:t>
      </w:r>
      <w:r>
        <w:rPr>
          <w:rFonts w:eastAsia="Times New Roman"/>
        </w:rPr>
        <w:br/>
      </w:r>
      <w:r w:rsidRPr="00FC3B7C">
        <w:rPr>
          <w:rFonts w:eastAsia="Times New Roman"/>
        </w:rPr>
        <w:t>či jiných atributů státní moci možnost a schopnost tvořit, ovlivňovat a stanovovat hospodářského politické cíle</w:t>
      </w:r>
      <w:r>
        <w:rPr>
          <w:rFonts w:eastAsia="Times New Roman"/>
        </w:rPr>
        <w:t>.</w:t>
      </w:r>
    </w:p>
    <w:p w14:paraId="67E3CD55" w14:textId="77777777" w:rsidR="004236C6" w:rsidRPr="00FC3B7C" w:rsidRDefault="004236C6" w:rsidP="004236C6">
      <w:pPr>
        <w:spacing w:line="1" w:lineRule="exact"/>
        <w:rPr>
          <w:sz w:val="20"/>
          <w:szCs w:val="20"/>
        </w:rPr>
      </w:pPr>
    </w:p>
    <w:p w14:paraId="29492260" w14:textId="77777777" w:rsidR="004236C6" w:rsidRPr="00FC3B7C" w:rsidRDefault="004236C6" w:rsidP="004236C6">
      <w:pPr>
        <w:rPr>
          <w:sz w:val="20"/>
          <w:szCs w:val="20"/>
        </w:rPr>
      </w:pPr>
      <w:r w:rsidRPr="00FC3B7C">
        <w:rPr>
          <w:rFonts w:eastAsia="Times New Roman"/>
        </w:rPr>
        <w:t>Základním znakem těchto institucí jsou legitimita, moc přijímat rozhodnutí a jednat jako subjekty hospodářské politiky ve vymezené sféře</w:t>
      </w:r>
      <w:r>
        <w:rPr>
          <w:rFonts w:eastAsia="Times New Roman"/>
        </w:rPr>
        <w:t>.</w:t>
      </w:r>
    </w:p>
    <w:p w14:paraId="75B8974F" w14:textId="77777777" w:rsidR="004236C6" w:rsidRPr="00FC3B7C" w:rsidRDefault="004236C6" w:rsidP="004236C6">
      <w:pPr>
        <w:spacing w:line="1" w:lineRule="exact"/>
        <w:rPr>
          <w:sz w:val="20"/>
          <w:szCs w:val="20"/>
        </w:rPr>
      </w:pPr>
    </w:p>
    <w:p w14:paraId="4591BB1E" w14:textId="77777777" w:rsidR="004236C6" w:rsidRPr="00FC3B7C" w:rsidRDefault="004236C6" w:rsidP="004236C6">
      <w:pPr>
        <w:rPr>
          <w:sz w:val="20"/>
          <w:szCs w:val="20"/>
        </w:rPr>
      </w:pPr>
      <w:r w:rsidRPr="00FC3B7C">
        <w:rPr>
          <w:rFonts w:eastAsia="Times New Roman"/>
          <w:b/>
          <w:bCs/>
          <w:szCs w:val="24"/>
        </w:rPr>
        <w:t>Instituce:</w:t>
      </w:r>
    </w:p>
    <w:p w14:paraId="02C44CD6" w14:textId="77777777" w:rsidR="004236C6" w:rsidRPr="004B6CDE" w:rsidRDefault="004236C6" w:rsidP="00D46B53">
      <w:pPr>
        <w:pStyle w:val="Odstavecseseznamem"/>
        <w:numPr>
          <w:ilvl w:val="0"/>
          <w:numId w:val="599"/>
        </w:numPr>
        <w:rPr>
          <w:rFonts w:eastAsia="Times New Roman"/>
          <w:b/>
        </w:rPr>
      </w:pPr>
      <w:r w:rsidRPr="004B6CDE">
        <w:rPr>
          <w:rFonts w:eastAsia="Times New Roman"/>
          <w:b/>
        </w:rPr>
        <w:t xml:space="preserve">Zákonodárné instituce </w:t>
      </w:r>
      <w:r w:rsidRPr="004B6CDE">
        <w:rPr>
          <w:rFonts w:eastAsia="Times New Roman"/>
          <w:bCs/>
        </w:rPr>
        <w:t>(parlament)</w:t>
      </w:r>
    </w:p>
    <w:p w14:paraId="3FC4668A" w14:textId="77777777" w:rsidR="004236C6" w:rsidRPr="004B6CDE" w:rsidRDefault="004236C6" w:rsidP="00D46B53">
      <w:pPr>
        <w:pStyle w:val="Odstavecseseznamem"/>
        <w:numPr>
          <w:ilvl w:val="0"/>
          <w:numId w:val="599"/>
        </w:numPr>
        <w:rPr>
          <w:rFonts w:eastAsia="Times New Roman"/>
        </w:rPr>
      </w:pPr>
      <w:r w:rsidRPr="004B6CDE">
        <w:rPr>
          <w:rFonts w:eastAsia="Times New Roman"/>
          <w:b/>
        </w:rPr>
        <w:t xml:space="preserve">Vládní instituce </w:t>
      </w:r>
      <w:r w:rsidRPr="004B6CDE">
        <w:rPr>
          <w:rFonts w:eastAsia="Times New Roman"/>
        </w:rPr>
        <w:t>(ministerstva, vláda, celní a daňové orgány, živnostenské úřady).</w:t>
      </w:r>
    </w:p>
    <w:p w14:paraId="6C9E89D5" w14:textId="77777777" w:rsidR="004236C6" w:rsidRPr="004B6CDE" w:rsidRDefault="004236C6" w:rsidP="00D46B53">
      <w:pPr>
        <w:pStyle w:val="Odstavecseseznamem"/>
        <w:numPr>
          <w:ilvl w:val="0"/>
          <w:numId w:val="599"/>
        </w:numPr>
        <w:rPr>
          <w:rFonts w:eastAsia="Times New Roman"/>
        </w:rPr>
      </w:pPr>
      <w:r w:rsidRPr="004B6CDE">
        <w:rPr>
          <w:rFonts w:eastAsia="Times New Roman"/>
          <w:b/>
        </w:rPr>
        <w:t xml:space="preserve">Centrální banka </w:t>
      </w:r>
      <w:r w:rsidRPr="004B6CDE">
        <w:rPr>
          <w:rFonts w:eastAsia="Times New Roman"/>
        </w:rPr>
        <w:t>(nositel měnové politiky)</w:t>
      </w:r>
    </w:p>
    <w:p w14:paraId="191AAF16" w14:textId="290EEC49" w:rsidR="004236C6" w:rsidRPr="004B6CDE" w:rsidRDefault="004236C6" w:rsidP="00D46B53">
      <w:pPr>
        <w:pStyle w:val="Odstavecseseznamem"/>
        <w:numPr>
          <w:ilvl w:val="0"/>
          <w:numId w:val="599"/>
        </w:numPr>
        <w:rPr>
          <w:rFonts w:eastAsia="Times New Roman"/>
          <w:b/>
        </w:rPr>
      </w:pPr>
      <w:r w:rsidRPr="004B6CDE">
        <w:rPr>
          <w:rFonts w:eastAsia="Times New Roman"/>
          <w:b/>
        </w:rPr>
        <w:t xml:space="preserve">Soudní instituce </w:t>
      </w:r>
      <w:r w:rsidRPr="004B6CDE">
        <w:rPr>
          <w:rFonts w:eastAsia="Times New Roman"/>
          <w:bCs/>
        </w:rPr>
        <w:t xml:space="preserve">(zaručují </w:t>
      </w:r>
      <w:r w:rsidR="003376E1" w:rsidRPr="004B6CDE">
        <w:rPr>
          <w:rFonts w:eastAsia="Times New Roman"/>
          <w:bCs/>
        </w:rPr>
        <w:t>vymahatelnost</w:t>
      </w:r>
      <w:r w:rsidRPr="004B6CDE">
        <w:rPr>
          <w:rFonts w:eastAsia="Times New Roman"/>
          <w:bCs/>
        </w:rPr>
        <w:t xml:space="preserve"> zákonem stanovených pravidel) </w:t>
      </w:r>
    </w:p>
    <w:p w14:paraId="2FBB9877" w14:textId="77777777" w:rsidR="004236C6" w:rsidRPr="004B6CDE" w:rsidRDefault="004236C6" w:rsidP="00D46B53">
      <w:pPr>
        <w:pStyle w:val="Odstavecseseznamem"/>
        <w:numPr>
          <w:ilvl w:val="0"/>
          <w:numId w:val="599"/>
        </w:numPr>
        <w:rPr>
          <w:rFonts w:eastAsia="Times New Roman"/>
        </w:rPr>
      </w:pPr>
      <w:r w:rsidRPr="004B6CDE">
        <w:rPr>
          <w:rFonts w:eastAsia="Times New Roman"/>
          <w:b/>
        </w:rPr>
        <w:t xml:space="preserve">Instituce vytvářející tržní prostředí </w:t>
      </w:r>
      <w:r w:rsidRPr="004B6CDE">
        <w:rPr>
          <w:rFonts w:eastAsia="Times New Roman"/>
        </w:rPr>
        <w:t>(dohlížejí na kvalitu, např.: antimonopolní úřad).</w:t>
      </w:r>
    </w:p>
    <w:p w14:paraId="4AD4CCEB" w14:textId="77777777" w:rsidR="004236C6" w:rsidRPr="004B6CDE" w:rsidRDefault="004236C6" w:rsidP="00D46B53">
      <w:pPr>
        <w:pStyle w:val="Odstavecseseznamem"/>
        <w:numPr>
          <w:ilvl w:val="0"/>
          <w:numId w:val="599"/>
        </w:numPr>
        <w:rPr>
          <w:rFonts w:eastAsia="Times New Roman"/>
        </w:rPr>
      </w:pPr>
      <w:r w:rsidRPr="004B6CDE">
        <w:rPr>
          <w:rFonts w:eastAsia="Times New Roman"/>
          <w:b/>
        </w:rPr>
        <w:t xml:space="preserve">Instituce protivažných sil </w:t>
      </w:r>
      <w:r w:rsidRPr="004B6CDE">
        <w:rPr>
          <w:rFonts w:eastAsia="Times New Roman"/>
        </w:rPr>
        <w:t>(nepatří k formální organizaci HP, ale přímo či nepřímo ji ovlivňují, např. odbory, organizace zaměstnavatelů, politické strany)</w:t>
      </w:r>
    </w:p>
    <w:p w14:paraId="60C63C58" w14:textId="77777777" w:rsidR="004236C6" w:rsidRPr="004B6CDE" w:rsidRDefault="004236C6" w:rsidP="004236C6">
      <w:pPr>
        <w:spacing w:line="240" w:lineRule="auto"/>
        <w:jc w:val="left"/>
        <w:rPr>
          <w:rFonts w:eastAsia="Times New Roman" w:cstheme="majorBidi"/>
          <w:b/>
          <w:i/>
          <w:iCs/>
        </w:rPr>
      </w:pPr>
      <w:r w:rsidRPr="004B6CDE">
        <w:rPr>
          <w:rFonts w:eastAsia="Times New Roman"/>
        </w:rPr>
        <w:br w:type="page"/>
      </w:r>
    </w:p>
    <w:p w14:paraId="3005E82B" w14:textId="77777777" w:rsidR="004236C6" w:rsidRDefault="004236C6" w:rsidP="004236C6">
      <w:pPr>
        <w:pStyle w:val="Nadpis4"/>
        <w:rPr>
          <w:rFonts w:eastAsia="Times New Roman"/>
          <w:color w:val="2F5496" w:themeColor="accent1" w:themeShade="BF"/>
        </w:rPr>
      </w:pPr>
      <w:r w:rsidRPr="00413472">
        <w:rPr>
          <w:rFonts w:eastAsia="Times New Roman"/>
          <w:color w:val="1F3864" w:themeColor="accent1" w:themeShade="80"/>
        </w:rPr>
        <w:lastRenderedPageBreak/>
        <w:t>Rozdělení nositelů hospodářské politiky</w:t>
      </w:r>
    </w:p>
    <w:p w14:paraId="6DA8782F" w14:textId="77777777" w:rsidR="004236C6" w:rsidRPr="00205A45" w:rsidRDefault="004236C6" w:rsidP="004236C6"/>
    <w:p w14:paraId="7317969C" w14:textId="77777777" w:rsidR="004236C6" w:rsidRPr="00FC3B7C" w:rsidRDefault="004236C6" w:rsidP="004236C6">
      <w:pPr>
        <w:rPr>
          <w:sz w:val="20"/>
          <w:szCs w:val="20"/>
        </w:rPr>
      </w:pPr>
      <w:r w:rsidRPr="00FC3B7C">
        <w:rPr>
          <w:rFonts w:eastAsia="Times New Roman"/>
          <w:b/>
          <w:bCs/>
          <w:szCs w:val="24"/>
        </w:rPr>
        <w:t>Podle podílu na hospodářsko-politickém rozhodování:</w:t>
      </w:r>
    </w:p>
    <w:p w14:paraId="6AF9E278" w14:textId="77777777" w:rsidR="004236C6" w:rsidRPr="00FC3B7C" w:rsidRDefault="004236C6" w:rsidP="004236C6">
      <w:pPr>
        <w:spacing w:line="151" w:lineRule="exact"/>
        <w:rPr>
          <w:sz w:val="20"/>
          <w:szCs w:val="20"/>
        </w:rPr>
      </w:pPr>
    </w:p>
    <w:p w14:paraId="0F7202EB" w14:textId="77777777" w:rsidR="004236C6" w:rsidRPr="004B6CDE" w:rsidRDefault="004236C6" w:rsidP="00D46B53">
      <w:pPr>
        <w:pStyle w:val="Odstavecseseznamem"/>
        <w:numPr>
          <w:ilvl w:val="0"/>
          <w:numId w:val="599"/>
        </w:numPr>
        <w:rPr>
          <w:rFonts w:eastAsia="Times New Roman"/>
        </w:rPr>
      </w:pPr>
      <w:r w:rsidRPr="004B6CDE">
        <w:rPr>
          <w:rFonts w:eastAsia="Times New Roman"/>
          <w:b/>
        </w:rPr>
        <w:t xml:space="preserve">Decizní sféra – </w:t>
      </w:r>
      <w:r w:rsidRPr="004B6CDE">
        <w:rPr>
          <w:rFonts w:eastAsia="Times New Roman"/>
          <w:bCs/>
        </w:rPr>
        <w:t xml:space="preserve">Nositelé hospodářsko-politického </w:t>
      </w:r>
      <w:r w:rsidRPr="004B6CDE">
        <w:rPr>
          <w:rFonts w:eastAsia="Times New Roman"/>
          <w:bCs/>
          <w:u w:val="single"/>
        </w:rPr>
        <w:t>rozhodování.</w:t>
      </w:r>
      <w:r w:rsidRPr="004B6CDE">
        <w:rPr>
          <w:rFonts w:eastAsia="Times New Roman"/>
          <w:bCs/>
        </w:rPr>
        <w:t xml:space="preserve"> </w:t>
      </w:r>
      <w:r w:rsidRPr="004B6CDE">
        <w:rPr>
          <w:rFonts w:eastAsia="Times New Roman"/>
        </w:rPr>
        <w:t xml:space="preserve">Řadíme sem instituce a osoby, které mají pravomoc rozhodnutí přijímat, vykonávat a prosazovat; tato pravomoc je jim dána ze zákona. K hlavním nositelům této skupiny patří vláda, parlament a centrální banka (tvůrci hospodářské politiky). </w:t>
      </w:r>
    </w:p>
    <w:p w14:paraId="23E6A573" w14:textId="4AEB7FED" w:rsidR="004236C6" w:rsidRPr="004B6CDE" w:rsidRDefault="004236C6" w:rsidP="00D46B53">
      <w:pPr>
        <w:pStyle w:val="Odstavecseseznamem"/>
        <w:numPr>
          <w:ilvl w:val="0"/>
          <w:numId w:val="599"/>
        </w:numPr>
        <w:rPr>
          <w:rFonts w:eastAsia="Times New Roman"/>
        </w:rPr>
      </w:pPr>
      <w:r w:rsidRPr="004B6CDE">
        <w:rPr>
          <w:rFonts w:eastAsia="Times New Roman"/>
          <w:b/>
        </w:rPr>
        <w:t xml:space="preserve">Vlivová sféra – </w:t>
      </w:r>
      <w:r w:rsidRPr="004B6CDE">
        <w:rPr>
          <w:rFonts w:eastAsia="Times New Roman"/>
          <w:bCs/>
        </w:rPr>
        <w:t xml:space="preserve">Nositelé hospodářsko-politického </w:t>
      </w:r>
      <w:r w:rsidRPr="004B6CDE">
        <w:rPr>
          <w:rFonts w:eastAsia="Times New Roman"/>
          <w:bCs/>
          <w:u w:val="single"/>
        </w:rPr>
        <w:t>vlivu</w:t>
      </w:r>
      <w:r w:rsidRPr="004B6CDE">
        <w:rPr>
          <w:rFonts w:eastAsia="Times New Roman"/>
          <w:bCs/>
        </w:rPr>
        <w:t xml:space="preserve">, což jsou instituce a osoby, které mají možnost hospodářsko-politické rozhodování ovlivňovat, ale nemají rozhodovací a výkonné </w:t>
      </w:r>
      <w:r w:rsidR="003376E1" w:rsidRPr="004B6CDE">
        <w:rPr>
          <w:rFonts w:eastAsia="Times New Roman"/>
          <w:bCs/>
        </w:rPr>
        <w:t>pravomoci</w:t>
      </w:r>
      <w:r w:rsidRPr="004B6CDE">
        <w:rPr>
          <w:rFonts w:eastAsia="Times New Roman"/>
          <w:bCs/>
        </w:rPr>
        <w:t>. Sem patří velké podniky, politické strany, odbory, tisk apod</w:t>
      </w:r>
      <w:r w:rsidRPr="004B6CDE">
        <w:rPr>
          <w:rFonts w:eastAsia="Times New Roman"/>
        </w:rPr>
        <w:t>.</w:t>
      </w:r>
    </w:p>
    <w:p w14:paraId="6265E978" w14:textId="77777777" w:rsidR="004236C6" w:rsidRPr="000D2ED5" w:rsidRDefault="004236C6" w:rsidP="00D46B53">
      <w:pPr>
        <w:pStyle w:val="Odstavecseseznamem"/>
        <w:numPr>
          <w:ilvl w:val="0"/>
          <w:numId w:val="599"/>
        </w:numPr>
        <w:rPr>
          <w:rFonts w:eastAsia="Times New Roman"/>
        </w:rPr>
      </w:pPr>
      <w:bookmarkStart w:id="44" w:name="page44"/>
      <w:bookmarkEnd w:id="44"/>
      <w:r w:rsidRPr="004B6CDE">
        <w:rPr>
          <w:rFonts w:eastAsia="Times New Roman"/>
          <w:b/>
        </w:rPr>
        <w:t xml:space="preserve">Nadnárodní organizace – </w:t>
      </w:r>
      <w:r w:rsidRPr="004B6CDE">
        <w:rPr>
          <w:rFonts w:eastAsia="Times New Roman"/>
        </w:rPr>
        <w:t xml:space="preserve">Představuje vnější podmínky hospodářsko-politického rozhodování. Tato skupina je aktuální v ekonomicky integrovaných celcích, čím vyšší je stupeň dosažení </w:t>
      </w:r>
      <w:r w:rsidRPr="000D2ED5">
        <w:rPr>
          <w:rFonts w:eastAsia="Times New Roman"/>
        </w:rPr>
        <w:t>integrace, tím je zpravidla více omezována autonomní národní hospodářská politika, která musí respektovat závazná rozhodnutí nadnárodních orgánů.</w:t>
      </w:r>
    </w:p>
    <w:p w14:paraId="7ABA7F60" w14:textId="77777777" w:rsidR="004236C6" w:rsidRPr="00FC3B7C" w:rsidRDefault="004236C6" w:rsidP="004236C6">
      <w:pPr>
        <w:spacing w:line="158" w:lineRule="exact"/>
        <w:rPr>
          <w:sz w:val="20"/>
          <w:szCs w:val="20"/>
        </w:rPr>
      </w:pPr>
    </w:p>
    <w:p w14:paraId="5FB57D75" w14:textId="77777777" w:rsidR="004236C6" w:rsidRPr="00FC3B7C" w:rsidRDefault="004236C6" w:rsidP="004236C6">
      <w:pPr>
        <w:rPr>
          <w:sz w:val="20"/>
          <w:szCs w:val="20"/>
        </w:rPr>
      </w:pPr>
      <w:r w:rsidRPr="00FC3B7C">
        <w:rPr>
          <w:rFonts w:eastAsia="Times New Roman"/>
          <w:b/>
          <w:bCs/>
          <w:szCs w:val="24"/>
        </w:rPr>
        <w:t>Podle činnosti:</w:t>
      </w:r>
    </w:p>
    <w:p w14:paraId="509AEDCF" w14:textId="77777777" w:rsidR="004236C6" w:rsidRPr="00322B52" w:rsidRDefault="004236C6" w:rsidP="00D46B53">
      <w:pPr>
        <w:pStyle w:val="Odstavecseseznamem"/>
        <w:numPr>
          <w:ilvl w:val="0"/>
          <w:numId w:val="599"/>
        </w:numPr>
        <w:rPr>
          <w:rFonts w:eastAsia="Times New Roman"/>
        </w:rPr>
      </w:pPr>
      <w:r w:rsidRPr="00322B52">
        <w:rPr>
          <w:rFonts w:eastAsia="Times New Roman"/>
          <w:b/>
        </w:rPr>
        <w:t xml:space="preserve">Proces formování HP - </w:t>
      </w:r>
      <w:r w:rsidRPr="00322B52">
        <w:rPr>
          <w:rFonts w:eastAsia="Times New Roman"/>
        </w:rPr>
        <w:t>do této skupiny patří politické strany, vláda, parlament, zájmové skupiny a svazy a odborný a státní aparát.</w:t>
      </w:r>
    </w:p>
    <w:p w14:paraId="62A20526" w14:textId="77777777" w:rsidR="004236C6" w:rsidRPr="00322B52" w:rsidRDefault="004236C6" w:rsidP="00D46B53">
      <w:pPr>
        <w:pStyle w:val="Odstavecseseznamem"/>
        <w:numPr>
          <w:ilvl w:val="0"/>
          <w:numId w:val="599"/>
        </w:numPr>
        <w:rPr>
          <w:rFonts w:eastAsia="Times New Roman"/>
        </w:rPr>
      </w:pPr>
      <w:r w:rsidRPr="00322B52">
        <w:rPr>
          <w:rFonts w:eastAsia="Times New Roman"/>
          <w:b/>
        </w:rPr>
        <w:t xml:space="preserve">Proces provádění a realizace HP - </w:t>
      </w:r>
      <w:r w:rsidRPr="00322B52">
        <w:rPr>
          <w:rFonts w:eastAsia="Times New Roman"/>
        </w:rPr>
        <w:t>patří sem moc výkonná, tedy vláda, soudy nebo státní správa.</w:t>
      </w:r>
    </w:p>
    <w:p w14:paraId="7CAC72AB" w14:textId="77777777" w:rsidR="004236C6" w:rsidRPr="00322B52" w:rsidRDefault="004236C6" w:rsidP="00D46B53">
      <w:pPr>
        <w:pStyle w:val="Odstavecseseznamem"/>
        <w:numPr>
          <w:ilvl w:val="0"/>
          <w:numId w:val="599"/>
        </w:numPr>
        <w:rPr>
          <w:rFonts w:eastAsia="Times New Roman"/>
        </w:rPr>
      </w:pPr>
      <w:r w:rsidRPr="00322B52">
        <w:rPr>
          <w:rFonts w:eastAsia="Times New Roman"/>
          <w:b/>
        </w:rPr>
        <w:t xml:space="preserve">Proces kontroly - </w:t>
      </w:r>
      <w:r w:rsidRPr="00322B52">
        <w:rPr>
          <w:rFonts w:eastAsia="Times New Roman"/>
        </w:rPr>
        <w:t>Nejvyšší kontrolní úřad</w:t>
      </w:r>
      <w:r>
        <w:rPr>
          <w:rFonts w:eastAsia="Times New Roman"/>
        </w:rPr>
        <w:t>.</w:t>
      </w:r>
    </w:p>
    <w:p w14:paraId="7EB81197" w14:textId="5616A463" w:rsidR="004236C6" w:rsidRPr="00413472" w:rsidRDefault="003376E1" w:rsidP="004236C6">
      <w:pPr>
        <w:pStyle w:val="Nadpis3"/>
        <w:rPr>
          <w:color w:val="1F3864" w:themeColor="accent1" w:themeShade="80"/>
          <w:sz w:val="20"/>
          <w:szCs w:val="20"/>
        </w:rPr>
      </w:pPr>
      <w:r>
        <w:rPr>
          <w:rFonts w:eastAsia="Times New Roman"/>
          <w:color w:val="1F3864" w:themeColor="accent1" w:themeShade="80"/>
        </w:rPr>
        <w:t xml:space="preserve">Charakteristika nejvýznamnějších nositelů HP </w:t>
      </w:r>
      <w:r w:rsidR="004236C6" w:rsidRPr="00413472">
        <w:rPr>
          <w:rFonts w:eastAsia="Times New Roman"/>
          <w:color w:val="1F3864" w:themeColor="accent1" w:themeShade="80"/>
        </w:rPr>
        <w:t>v ČR</w:t>
      </w:r>
      <w:r>
        <w:rPr>
          <w:rFonts w:eastAsia="Times New Roman"/>
          <w:color w:val="1F3864" w:themeColor="accent1" w:themeShade="80"/>
        </w:rPr>
        <w:t xml:space="preserve"> </w:t>
      </w:r>
      <w:r w:rsidR="004236C6" w:rsidRPr="00413472">
        <w:rPr>
          <w:rFonts w:eastAsia="Times New Roman"/>
          <w:color w:val="1F3864" w:themeColor="accent1" w:themeShade="80"/>
        </w:rPr>
        <w:t>a</w:t>
      </w:r>
      <w:r>
        <w:rPr>
          <w:rFonts w:eastAsia="Times New Roman"/>
          <w:color w:val="1F3864" w:themeColor="accent1" w:themeShade="80"/>
        </w:rPr>
        <w:t xml:space="preserve"> </w:t>
      </w:r>
      <w:r w:rsidR="004236C6" w:rsidRPr="00413472">
        <w:rPr>
          <w:rFonts w:eastAsia="Times New Roman"/>
          <w:color w:val="1F3864" w:themeColor="accent1" w:themeShade="80"/>
        </w:rPr>
        <w:t>jejich</w:t>
      </w:r>
      <w:r w:rsidR="004236C6" w:rsidRPr="00413472">
        <w:rPr>
          <w:color w:val="1F3864" w:themeColor="accent1" w:themeShade="80"/>
          <w:sz w:val="20"/>
          <w:szCs w:val="20"/>
        </w:rPr>
        <w:t xml:space="preserve"> </w:t>
      </w:r>
      <w:r w:rsidR="004236C6" w:rsidRPr="00413472">
        <w:rPr>
          <w:rFonts w:eastAsia="Times New Roman"/>
          <w:color w:val="1F3864" w:themeColor="accent1" w:themeShade="80"/>
        </w:rPr>
        <w:t>vztahů</w:t>
      </w:r>
    </w:p>
    <w:p w14:paraId="7687B747" w14:textId="77777777" w:rsidR="004236C6" w:rsidRPr="00413472" w:rsidRDefault="004236C6" w:rsidP="004236C6">
      <w:pPr>
        <w:pStyle w:val="Nadpis4"/>
        <w:rPr>
          <w:color w:val="1F3864" w:themeColor="accent1" w:themeShade="80"/>
          <w:sz w:val="20"/>
          <w:szCs w:val="20"/>
        </w:rPr>
      </w:pPr>
      <w:r w:rsidRPr="00413472">
        <w:rPr>
          <w:rFonts w:eastAsia="Times New Roman"/>
          <w:color w:val="1F3864" w:themeColor="accent1" w:themeShade="80"/>
        </w:rPr>
        <w:t>Decizní sféra</w:t>
      </w:r>
    </w:p>
    <w:p w14:paraId="4F8F0E83" w14:textId="77777777" w:rsidR="004236C6" w:rsidRPr="00FC3B7C" w:rsidRDefault="004236C6" w:rsidP="004236C6">
      <w:pPr>
        <w:rPr>
          <w:sz w:val="20"/>
          <w:szCs w:val="20"/>
        </w:rPr>
      </w:pPr>
      <w:r w:rsidRPr="00FC3B7C">
        <w:rPr>
          <w:rFonts w:eastAsia="Times New Roman"/>
        </w:rPr>
        <w:t>Skupiny, které mají v kompetenci přímé rozhodnutí. Stát jako nositel HP je spojením více subjektů s možností aktivně zasahovat do HP.</w:t>
      </w:r>
    </w:p>
    <w:p w14:paraId="3E2C8AD6" w14:textId="77777777" w:rsidR="004236C6" w:rsidRPr="00FC3B7C" w:rsidRDefault="004236C6" w:rsidP="004236C6">
      <w:pPr>
        <w:spacing w:line="2" w:lineRule="exact"/>
        <w:rPr>
          <w:sz w:val="20"/>
          <w:szCs w:val="20"/>
        </w:rPr>
      </w:pPr>
    </w:p>
    <w:p w14:paraId="4DD70603" w14:textId="77777777" w:rsidR="004236C6" w:rsidRPr="00FC3B7C" w:rsidRDefault="004236C6" w:rsidP="004236C6">
      <w:pPr>
        <w:rPr>
          <w:sz w:val="20"/>
          <w:szCs w:val="20"/>
        </w:rPr>
      </w:pPr>
      <w:r w:rsidRPr="00FC3B7C">
        <w:rPr>
          <w:rFonts w:eastAsia="Times New Roman"/>
          <w:b/>
          <w:bCs/>
          <w:szCs w:val="24"/>
        </w:rPr>
        <w:t>Do decizní sféry patří:</w:t>
      </w:r>
    </w:p>
    <w:p w14:paraId="4D0E8BDD" w14:textId="77777777" w:rsidR="004236C6" w:rsidRPr="00FC3B7C" w:rsidRDefault="004236C6" w:rsidP="004236C6">
      <w:pPr>
        <w:spacing w:line="151" w:lineRule="exact"/>
        <w:rPr>
          <w:sz w:val="20"/>
          <w:szCs w:val="20"/>
        </w:rPr>
      </w:pPr>
    </w:p>
    <w:p w14:paraId="421870E8" w14:textId="77777777" w:rsidR="004236C6" w:rsidRPr="00322B52" w:rsidRDefault="004236C6" w:rsidP="00D46B53">
      <w:pPr>
        <w:pStyle w:val="Odstavecseseznamem"/>
        <w:numPr>
          <w:ilvl w:val="0"/>
          <w:numId w:val="599"/>
        </w:numPr>
        <w:rPr>
          <w:rFonts w:eastAsia="Times New Roman"/>
        </w:rPr>
      </w:pPr>
      <w:r w:rsidRPr="00322B52">
        <w:rPr>
          <w:rFonts w:eastAsia="Times New Roman"/>
          <w:b/>
        </w:rPr>
        <w:t xml:space="preserve">Vláda: </w:t>
      </w:r>
      <w:r w:rsidRPr="00322B52">
        <w:rPr>
          <w:rFonts w:eastAsia="Times New Roman"/>
        </w:rPr>
        <w:t>Nejdůležitější instituce HP. Nejvyšší subjekt výkonné moci.</w:t>
      </w:r>
    </w:p>
    <w:p w14:paraId="3EB04308" w14:textId="77777777" w:rsidR="004236C6" w:rsidRPr="00322B52" w:rsidRDefault="004236C6" w:rsidP="00D46B53">
      <w:pPr>
        <w:pStyle w:val="Odstavecseseznamem"/>
        <w:numPr>
          <w:ilvl w:val="0"/>
          <w:numId w:val="599"/>
        </w:numPr>
        <w:rPr>
          <w:rFonts w:eastAsia="Times New Roman"/>
        </w:rPr>
      </w:pPr>
      <w:r w:rsidRPr="00322B52">
        <w:rPr>
          <w:rFonts w:eastAsia="Times New Roman"/>
          <w:b/>
        </w:rPr>
        <w:t xml:space="preserve">Prezident: </w:t>
      </w:r>
      <w:r w:rsidRPr="00322B52">
        <w:rPr>
          <w:rFonts w:eastAsia="Times New Roman"/>
        </w:rPr>
        <w:t xml:space="preserve">Pojistka pro zabezpečení HP. V ČR jmenuje členy bankovní rady ČNB </w:t>
      </w:r>
      <w:r>
        <w:rPr>
          <w:rFonts w:eastAsia="Times New Roman"/>
        </w:rPr>
        <w:br/>
      </w:r>
      <w:r w:rsidRPr="00322B52">
        <w:rPr>
          <w:rFonts w:eastAsia="Times New Roman"/>
        </w:rPr>
        <w:t>a ústavní soudce.</w:t>
      </w:r>
    </w:p>
    <w:p w14:paraId="0B086014" w14:textId="77777777" w:rsidR="004236C6" w:rsidRPr="00322B52" w:rsidRDefault="004236C6" w:rsidP="00D46B53">
      <w:pPr>
        <w:pStyle w:val="Odstavecseseznamem"/>
        <w:numPr>
          <w:ilvl w:val="0"/>
          <w:numId w:val="599"/>
        </w:numPr>
        <w:rPr>
          <w:rFonts w:eastAsia="Times New Roman"/>
        </w:rPr>
      </w:pPr>
      <w:r w:rsidRPr="00322B52">
        <w:rPr>
          <w:rFonts w:eastAsia="Times New Roman"/>
          <w:b/>
        </w:rPr>
        <w:t xml:space="preserve">Parlament: </w:t>
      </w:r>
      <w:r w:rsidRPr="00322B52">
        <w:rPr>
          <w:rFonts w:eastAsia="Times New Roman"/>
        </w:rPr>
        <w:t xml:space="preserve">Stanovuje dlouhodobá pravidla pro fungování ekonomiky. Dělí se </w:t>
      </w:r>
      <w:r>
        <w:rPr>
          <w:rFonts w:eastAsia="Times New Roman"/>
        </w:rPr>
        <w:br/>
      </w:r>
      <w:r w:rsidRPr="00322B52">
        <w:rPr>
          <w:rFonts w:eastAsia="Times New Roman"/>
        </w:rPr>
        <w:t>na poslaneckou sněmovnu (dolní komora, 200 poslanců) a senát (horní k., 81 senátorů)</w:t>
      </w:r>
    </w:p>
    <w:p w14:paraId="5B5A8E65" w14:textId="77777777" w:rsidR="004236C6" w:rsidRPr="00FC3B7C" w:rsidRDefault="004236C6" w:rsidP="004236C6">
      <w:pPr>
        <w:spacing w:line="1" w:lineRule="exact"/>
        <w:rPr>
          <w:rFonts w:eastAsia="Arial"/>
          <w:szCs w:val="24"/>
        </w:rPr>
      </w:pPr>
    </w:p>
    <w:p w14:paraId="3C159C32" w14:textId="77777777" w:rsidR="004236C6" w:rsidRPr="00322B52" w:rsidRDefault="004236C6" w:rsidP="00D46B53">
      <w:pPr>
        <w:pStyle w:val="Odstavecseseznamem"/>
        <w:numPr>
          <w:ilvl w:val="0"/>
          <w:numId w:val="599"/>
        </w:numPr>
        <w:rPr>
          <w:rFonts w:eastAsia="Times New Roman"/>
        </w:rPr>
      </w:pPr>
      <w:r w:rsidRPr="00322B52">
        <w:rPr>
          <w:rFonts w:eastAsia="Times New Roman"/>
          <w:b/>
        </w:rPr>
        <w:t xml:space="preserve">Centrální banka: </w:t>
      </w:r>
      <w:r w:rsidRPr="00322B52">
        <w:rPr>
          <w:rFonts w:eastAsia="Times New Roman"/>
        </w:rPr>
        <w:t xml:space="preserve">Určuje peněžní a úrokovou politiku země. Má dohled </w:t>
      </w:r>
      <w:r>
        <w:rPr>
          <w:rFonts w:eastAsia="Times New Roman"/>
        </w:rPr>
        <w:br/>
      </w:r>
      <w:r w:rsidRPr="00322B52">
        <w:rPr>
          <w:rFonts w:eastAsia="Times New Roman"/>
        </w:rPr>
        <w:t>nad bankovním sektorem. Je nezávislá na vládě. Primárním úkolem CB je měnová stabilita.</w:t>
      </w:r>
    </w:p>
    <w:p w14:paraId="1AE5C219" w14:textId="77777777" w:rsidR="004B6CDE" w:rsidRPr="00413472" w:rsidRDefault="004B6CDE" w:rsidP="004B6CDE">
      <w:pPr>
        <w:pStyle w:val="Nadpis4"/>
        <w:rPr>
          <w:color w:val="1F3864" w:themeColor="accent1" w:themeShade="80"/>
          <w:sz w:val="20"/>
          <w:szCs w:val="20"/>
        </w:rPr>
      </w:pPr>
      <w:r w:rsidRPr="00413472">
        <w:rPr>
          <w:rFonts w:eastAsia="Times New Roman"/>
          <w:color w:val="1F3864" w:themeColor="accent1" w:themeShade="80"/>
        </w:rPr>
        <w:t>Vlivová sféra</w:t>
      </w:r>
    </w:p>
    <w:p w14:paraId="7B5409A0" w14:textId="77777777" w:rsidR="004B6CDE" w:rsidRDefault="004B6CDE" w:rsidP="004B6CDE">
      <w:pPr>
        <w:rPr>
          <w:rFonts w:eastAsia="Times New Roman"/>
        </w:rPr>
      </w:pPr>
      <w:r w:rsidRPr="00FC3B7C">
        <w:rPr>
          <w:rFonts w:eastAsia="Times New Roman"/>
        </w:rPr>
        <w:t>Skupina, která může ovlivňov</w:t>
      </w:r>
      <w:r>
        <w:rPr>
          <w:rFonts w:eastAsia="Times New Roman"/>
        </w:rPr>
        <w:t>at HP, ale nemůže rozhodovat.</w:t>
      </w:r>
    </w:p>
    <w:p w14:paraId="62024971" w14:textId="77777777" w:rsidR="004B6CDE" w:rsidRPr="00FC3B7C" w:rsidRDefault="004B6CDE" w:rsidP="004B6CDE">
      <w:pPr>
        <w:rPr>
          <w:sz w:val="20"/>
          <w:szCs w:val="20"/>
        </w:rPr>
      </w:pPr>
      <w:r w:rsidRPr="00FC3B7C">
        <w:rPr>
          <w:rFonts w:eastAsia="Times New Roman"/>
          <w:b/>
          <w:bCs/>
        </w:rPr>
        <w:t>Řadíme sem:</w:t>
      </w:r>
    </w:p>
    <w:p w14:paraId="0CC859E2" w14:textId="77777777" w:rsidR="004B6CDE" w:rsidRPr="00FC3B7C" w:rsidRDefault="004B6CDE" w:rsidP="004B6CDE">
      <w:pPr>
        <w:spacing w:line="2" w:lineRule="exact"/>
        <w:rPr>
          <w:sz w:val="20"/>
          <w:szCs w:val="20"/>
        </w:rPr>
      </w:pPr>
    </w:p>
    <w:p w14:paraId="7D2CE0CE" w14:textId="77777777" w:rsidR="004B6CDE" w:rsidRPr="00322B52" w:rsidRDefault="004B6CDE" w:rsidP="00D46B53">
      <w:pPr>
        <w:pStyle w:val="Odstavecseseznamem"/>
        <w:numPr>
          <w:ilvl w:val="0"/>
          <w:numId w:val="599"/>
        </w:numPr>
        <w:rPr>
          <w:rFonts w:eastAsia="Times New Roman"/>
        </w:rPr>
      </w:pPr>
      <w:r w:rsidRPr="00322B52">
        <w:rPr>
          <w:rFonts w:eastAsia="Times New Roman"/>
          <w:b/>
        </w:rPr>
        <w:t xml:space="preserve">Politické strany: </w:t>
      </w:r>
      <w:r w:rsidRPr="00322B52">
        <w:rPr>
          <w:rFonts w:eastAsia="Times New Roman"/>
        </w:rPr>
        <w:t>Reprezentují hospodářské cíle svých voličů a členů</w:t>
      </w:r>
      <w:r>
        <w:rPr>
          <w:rFonts w:eastAsia="Times New Roman"/>
        </w:rPr>
        <w:t>.</w:t>
      </w:r>
    </w:p>
    <w:p w14:paraId="3DB93765" w14:textId="77777777" w:rsidR="004B6CDE" w:rsidRPr="00322B52" w:rsidRDefault="004B6CDE" w:rsidP="00D46B53">
      <w:pPr>
        <w:pStyle w:val="Odstavecseseznamem"/>
        <w:numPr>
          <w:ilvl w:val="0"/>
          <w:numId w:val="599"/>
        </w:numPr>
        <w:rPr>
          <w:rFonts w:eastAsia="Times New Roman"/>
        </w:rPr>
      </w:pPr>
      <w:r w:rsidRPr="00322B52">
        <w:rPr>
          <w:rFonts w:eastAsia="Times New Roman"/>
          <w:b/>
        </w:rPr>
        <w:t xml:space="preserve">Odborové svazy: </w:t>
      </w:r>
      <w:r w:rsidRPr="00322B52">
        <w:rPr>
          <w:rFonts w:eastAsia="Times New Roman"/>
        </w:rPr>
        <w:t>Hájí zaměstnance. Někdy jsou jimi vyjednané dohody kontraproduktivní a v konečném důsledku jsou spíše proti zaměstnancům.</w:t>
      </w:r>
    </w:p>
    <w:p w14:paraId="058F0193" w14:textId="77777777" w:rsidR="004B6CDE" w:rsidRPr="00322B52" w:rsidRDefault="004B6CDE" w:rsidP="00D46B53">
      <w:pPr>
        <w:pStyle w:val="Odstavecseseznamem"/>
        <w:numPr>
          <w:ilvl w:val="0"/>
          <w:numId w:val="599"/>
        </w:numPr>
        <w:rPr>
          <w:rFonts w:eastAsia="Times New Roman"/>
        </w:rPr>
      </w:pPr>
      <w:r w:rsidRPr="00322B52">
        <w:rPr>
          <w:rFonts w:eastAsia="Times New Roman"/>
          <w:b/>
        </w:rPr>
        <w:t xml:space="preserve">Zájmové organizace a skupiny: </w:t>
      </w:r>
      <w:r w:rsidRPr="00322B52">
        <w:rPr>
          <w:rFonts w:eastAsia="Times New Roman"/>
        </w:rPr>
        <w:t>Usilují o dosažení dílčích cílů. Ty mohou být většinou v rozporu s cíli ostatních členů společnosti. Například zemědělci chtějí dotace a omezit dovoz levných potravin ze zahraničí</w:t>
      </w:r>
      <w:r>
        <w:rPr>
          <w:rFonts w:eastAsia="Times New Roman"/>
        </w:rPr>
        <w:t>.</w:t>
      </w:r>
    </w:p>
    <w:p w14:paraId="5A3C1CBF" w14:textId="77777777" w:rsidR="004B6CDE" w:rsidRPr="00322B52" w:rsidRDefault="004B6CDE" w:rsidP="00D46B53">
      <w:pPr>
        <w:pStyle w:val="Odstavecseseznamem"/>
        <w:numPr>
          <w:ilvl w:val="0"/>
          <w:numId w:val="599"/>
        </w:numPr>
        <w:rPr>
          <w:rFonts w:eastAsia="Times New Roman"/>
        </w:rPr>
      </w:pPr>
      <w:r w:rsidRPr="00322B52">
        <w:rPr>
          <w:rFonts w:eastAsia="Times New Roman"/>
          <w:b/>
        </w:rPr>
        <w:t xml:space="preserve">Vědecké instituce: </w:t>
      </w:r>
      <w:r w:rsidRPr="00322B52">
        <w:rPr>
          <w:rFonts w:eastAsia="Times New Roman"/>
        </w:rPr>
        <w:t>Vysoké školy a akademie</w:t>
      </w:r>
      <w:r>
        <w:rPr>
          <w:rFonts w:eastAsia="Times New Roman"/>
        </w:rPr>
        <w:t>.</w:t>
      </w:r>
    </w:p>
    <w:p w14:paraId="4F27BC01" w14:textId="77777777" w:rsidR="004B6CDE" w:rsidRPr="00322B52" w:rsidRDefault="004B6CDE" w:rsidP="00D46B53">
      <w:pPr>
        <w:pStyle w:val="Odstavecseseznamem"/>
        <w:numPr>
          <w:ilvl w:val="0"/>
          <w:numId w:val="599"/>
        </w:numPr>
        <w:rPr>
          <w:rFonts w:eastAsia="Times New Roman"/>
        </w:rPr>
      </w:pPr>
      <w:r w:rsidRPr="00322B52">
        <w:rPr>
          <w:rFonts w:eastAsia="Times New Roman"/>
          <w:b/>
        </w:rPr>
        <w:t>Instituce ovlivňující veřejné mínění</w:t>
      </w:r>
      <w:r w:rsidRPr="00322B52">
        <w:rPr>
          <w:rFonts w:eastAsia="Times New Roman"/>
        </w:rPr>
        <w:t>: Všechna média</w:t>
      </w:r>
      <w:r>
        <w:rPr>
          <w:rFonts w:eastAsia="Times New Roman"/>
        </w:rPr>
        <w:t>.</w:t>
      </w:r>
    </w:p>
    <w:p w14:paraId="42644C6D" w14:textId="77777777" w:rsidR="004B6CDE" w:rsidRPr="00322B52" w:rsidRDefault="004B6CDE" w:rsidP="00D46B53">
      <w:pPr>
        <w:pStyle w:val="Odstavecseseznamem"/>
        <w:numPr>
          <w:ilvl w:val="0"/>
          <w:numId w:val="599"/>
        </w:numPr>
        <w:rPr>
          <w:rFonts w:eastAsia="Times New Roman"/>
        </w:rPr>
      </w:pPr>
      <w:r w:rsidRPr="00322B52">
        <w:rPr>
          <w:rFonts w:eastAsia="Times New Roman"/>
          <w:b/>
        </w:rPr>
        <w:t xml:space="preserve">Mezinárodní a nadnárodní instituce: </w:t>
      </w:r>
      <w:r w:rsidRPr="00322B52">
        <w:rPr>
          <w:rFonts w:eastAsia="Times New Roman"/>
        </w:rPr>
        <w:t xml:space="preserve">V poslední době mají stále větší vliv </w:t>
      </w:r>
      <w:r>
        <w:rPr>
          <w:rFonts w:eastAsia="Times New Roman"/>
        </w:rPr>
        <w:br/>
      </w:r>
      <w:r w:rsidRPr="00322B52">
        <w:rPr>
          <w:rFonts w:eastAsia="Times New Roman"/>
        </w:rPr>
        <w:t>na domácí HP. Patří sem např.: EU, OECD, OSN, WTO nebo ratingové agentury</w:t>
      </w:r>
      <w:r>
        <w:rPr>
          <w:rFonts w:eastAsia="Times New Roman"/>
        </w:rPr>
        <w:t>.</w:t>
      </w:r>
    </w:p>
    <w:p w14:paraId="1CD4D82D" w14:textId="77777777" w:rsidR="004B6CDE" w:rsidRPr="00FC3B7C" w:rsidRDefault="004B6CDE" w:rsidP="004B6CDE">
      <w:pPr>
        <w:spacing w:line="169" w:lineRule="exact"/>
        <w:rPr>
          <w:sz w:val="20"/>
          <w:szCs w:val="20"/>
        </w:rPr>
      </w:pPr>
    </w:p>
    <w:p w14:paraId="2C760360" w14:textId="77777777" w:rsidR="004B6CDE" w:rsidRPr="00413472" w:rsidRDefault="004B6CDE" w:rsidP="004B6CDE">
      <w:pPr>
        <w:pStyle w:val="Nadpis3"/>
        <w:rPr>
          <w:color w:val="1F3864" w:themeColor="accent1" w:themeShade="80"/>
          <w:sz w:val="20"/>
          <w:szCs w:val="20"/>
        </w:rPr>
      </w:pPr>
      <w:r w:rsidRPr="00413472">
        <w:rPr>
          <w:rFonts w:eastAsia="Times New Roman"/>
          <w:color w:val="1F3864" w:themeColor="accent1" w:themeShade="80"/>
        </w:rPr>
        <w:t>Institucionální rámec HP</w:t>
      </w:r>
    </w:p>
    <w:p w14:paraId="466C4939" w14:textId="77777777" w:rsidR="004B6CDE" w:rsidRPr="00FC3B7C" w:rsidRDefault="004B6CDE" w:rsidP="004B6CDE">
      <w:pPr>
        <w:rPr>
          <w:sz w:val="20"/>
          <w:szCs w:val="20"/>
        </w:rPr>
      </w:pPr>
      <w:r w:rsidRPr="00FC3B7C">
        <w:rPr>
          <w:rFonts w:eastAsia="Times New Roman"/>
          <w:b/>
          <w:bCs/>
          <w:szCs w:val="24"/>
        </w:rPr>
        <w:t>Zákonodárná moc</w:t>
      </w:r>
    </w:p>
    <w:p w14:paraId="4341F742" w14:textId="77777777" w:rsidR="004B6CDE" w:rsidRPr="00322B52" w:rsidRDefault="004B6CDE" w:rsidP="00D46B53">
      <w:pPr>
        <w:pStyle w:val="Odstavecseseznamem"/>
        <w:numPr>
          <w:ilvl w:val="0"/>
          <w:numId w:val="599"/>
        </w:numPr>
        <w:ind w:left="1418"/>
        <w:rPr>
          <w:rFonts w:eastAsia="Times New Roman"/>
        </w:rPr>
      </w:pPr>
      <w:r w:rsidRPr="00322B52">
        <w:rPr>
          <w:rFonts w:eastAsia="Times New Roman"/>
        </w:rPr>
        <w:t>Parlament složený ze dvou komor: dolní a horní komora</w:t>
      </w:r>
      <w:r>
        <w:rPr>
          <w:rFonts w:eastAsia="Times New Roman"/>
        </w:rPr>
        <w:t>.</w:t>
      </w:r>
    </w:p>
    <w:p w14:paraId="54B779DD" w14:textId="77777777" w:rsidR="004B6CDE" w:rsidRPr="00322B52" w:rsidRDefault="004B6CDE" w:rsidP="00D46B53">
      <w:pPr>
        <w:pStyle w:val="Odstavecseseznamem"/>
        <w:numPr>
          <w:ilvl w:val="0"/>
          <w:numId w:val="599"/>
        </w:numPr>
        <w:ind w:left="1418"/>
        <w:rPr>
          <w:rFonts w:eastAsia="Times New Roman"/>
        </w:rPr>
      </w:pPr>
      <w:r>
        <w:rPr>
          <w:rFonts w:eastAsia="Times New Roman"/>
        </w:rPr>
        <w:t>D</w:t>
      </w:r>
      <w:r w:rsidRPr="00322B52">
        <w:rPr>
          <w:rFonts w:eastAsia="Times New Roman"/>
        </w:rPr>
        <w:t>olní komora: poslanecké sněmovna (200 poslanců)</w:t>
      </w:r>
      <w:r>
        <w:rPr>
          <w:rFonts w:eastAsia="Times New Roman"/>
        </w:rPr>
        <w:t>.</w:t>
      </w:r>
    </w:p>
    <w:p w14:paraId="1DCAF9CA" w14:textId="77777777" w:rsidR="004B6CDE" w:rsidRPr="00322B52" w:rsidRDefault="004B6CDE" w:rsidP="00D46B53">
      <w:pPr>
        <w:pStyle w:val="Odstavecseseznamem"/>
        <w:numPr>
          <w:ilvl w:val="0"/>
          <w:numId w:val="599"/>
        </w:numPr>
        <w:ind w:left="1418"/>
        <w:rPr>
          <w:rFonts w:eastAsia="Times New Roman"/>
        </w:rPr>
      </w:pPr>
      <w:r w:rsidRPr="00322B52">
        <w:rPr>
          <w:rFonts w:eastAsia="Times New Roman"/>
        </w:rPr>
        <w:t>Horní komora: senát (81 senátorů)</w:t>
      </w:r>
      <w:r>
        <w:rPr>
          <w:rFonts w:eastAsia="Times New Roman"/>
        </w:rPr>
        <w:t>.</w:t>
      </w:r>
    </w:p>
    <w:p w14:paraId="0EDD8072" w14:textId="77777777" w:rsidR="004B6CDE" w:rsidRPr="00FC3B7C" w:rsidRDefault="004B6CDE" w:rsidP="004B6CDE">
      <w:pPr>
        <w:rPr>
          <w:sz w:val="20"/>
          <w:szCs w:val="20"/>
        </w:rPr>
      </w:pPr>
      <w:r w:rsidRPr="00FC3B7C">
        <w:rPr>
          <w:rFonts w:eastAsia="Times New Roman"/>
          <w:b/>
          <w:bCs/>
          <w:szCs w:val="24"/>
        </w:rPr>
        <w:t>Soudní moc</w:t>
      </w:r>
    </w:p>
    <w:p w14:paraId="62954285" w14:textId="77777777" w:rsidR="004B6CDE" w:rsidRPr="00322B52" w:rsidRDefault="004B6CDE" w:rsidP="00D46B53">
      <w:pPr>
        <w:pStyle w:val="Odstavecseseznamem"/>
        <w:numPr>
          <w:ilvl w:val="0"/>
          <w:numId w:val="599"/>
        </w:numPr>
        <w:ind w:left="1418"/>
        <w:rPr>
          <w:rFonts w:eastAsia="Times New Roman"/>
        </w:rPr>
      </w:pPr>
      <w:r w:rsidRPr="00322B52">
        <w:rPr>
          <w:rFonts w:eastAsia="Times New Roman"/>
        </w:rPr>
        <w:t>Ústavní soud, nejvyšší soud, nejvyšší správní soud, nejvyšší státní zastupitelé (JUDr. Pavel Zeman)</w:t>
      </w:r>
    </w:p>
    <w:p w14:paraId="1325CF7F" w14:textId="77777777" w:rsidR="004B6CDE" w:rsidRPr="00322B52" w:rsidRDefault="004B6CDE" w:rsidP="00D46B53">
      <w:pPr>
        <w:pStyle w:val="Odstavecseseznamem"/>
        <w:numPr>
          <w:ilvl w:val="0"/>
          <w:numId w:val="599"/>
        </w:numPr>
        <w:ind w:left="1418"/>
        <w:rPr>
          <w:rFonts w:eastAsia="Times New Roman"/>
        </w:rPr>
      </w:pPr>
      <w:r w:rsidRPr="00322B52">
        <w:rPr>
          <w:rFonts w:eastAsia="Times New Roman"/>
        </w:rPr>
        <w:t xml:space="preserve">Veřejný ochránce práv (ombudsman) – </w:t>
      </w:r>
      <w:r w:rsidRPr="00C17569">
        <w:rPr>
          <w:rFonts w:eastAsia="Times New Roman"/>
        </w:rPr>
        <w:t>Stanislav Křeček</w:t>
      </w:r>
    </w:p>
    <w:p w14:paraId="2C95F32F" w14:textId="77777777" w:rsidR="004B6CDE" w:rsidRPr="00FC3B7C" w:rsidRDefault="004B6CDE" w:rsidP="004B6CDE">
      <w:pPr>
        <w:rPr>
          <w:sz w:val="20"/>
          <w:szCs w:val="20"/>
        </w:rPr>
      </w:pPr>
      <w:r w:rsidRPr="00FC3B7C">
        <w:rPr>
          <w:rFonts w:eastAsia="Times New Roman"/>
          <w:b/>
          <w:bCs/>
          <w:szCs w:val="24"/>
        </w:rPr>
        <w:t>Výkonná moc</w:t>
      </w:r>
    </w:p>
    <w:p w14:paraId="0F9F26D2" w14:textId="77777777" w:rsidR="004B6CDE" w:rsidRPr="00322B52" w:rsidRDefault="004B6CDE" w:rsidP="00D46B53">
      <w:pPr>
        <w:pStyle w:val="Odstavecseseznamem"/>
        <w:numPr>
          <w:ilvl w:val="0"/>
          <w:numId w:val="599"/>
        </w:numPr>
        <w:ind w:left="1418"/>
        <w:rPr>
          <w:rFonts w:eastAsia="Times New Roman"/>
        </w:rPr>
      </w:pPr>
      <w:r w:rsidRPr="00322B52">
        <w:rPr>
          <w:rFonts w:eastAsia="Times New Roman"/>
        </w:rPr>
        <w:t>prezident a vláda</w:t>
      </w:r>
      <w:bookmarkStart w:id="45" w:name="page46"/>
      <w:bookmarkEnd w:id="45"/>
      <w:r>
        <w:rPr>
          <w:rFonts w:eastAsia="Times New Roman"/>
        </w:rPr>
        <w:t>.</w:t>
      </w:r>
    </w:p>
    <w:p w14:paraId="67A10A79" w14:textId="77777777" w:rsidR="004B6CDE" w:rsidRDefault="004B6CDE" w:rsidP="004B6CDE">
      <w:pPr>
        <w:spacing w:line="240" w:lineRule="auto"/>
        <w:jc w:val="left"/>
        <w:rPr>
          <w:rFonts w:eastAsia="Times New Roman" w:cstheme="majorBidi"/>
          <w:b/>
          <w:sz w:val="28"/>
          <w:szCs w:val="24"/>
        </w:rPr>
      </w:pPr>
      <w:r>
        <w:rPr>
          <w:rFonts w:eastAsia="Times New Roman"/>
        </w:rPr>
        <w:br w:type="page"/>
      </w:r>
    </w:p>
    <w:p w14:paraId="24160C66" w14:textId="77777777" w:rsidR="004236C6" w:rsidRPr="00FC3B7C" w:rsidRDefault="004236C6" w:rsidP="004236C6">
      <w:pPr>
        <w:sectPr w:rsidR="004236C6" w:rsidRPr="00FC3B7C">
          <w:pgSz w:w="11900" w:h="16840"/>
          <w:pgMar w:top="1405" w:right="1400" w:bottom="1440" w:left="1420" w:header="0" w:footer="0" w:gutter="0"/>
          <w:cols w:space="708" w:equalWidth="0">
            <w:col w:w="9080"/>
          </w:cols>
        </w:sectPr>
      </w:pPr>
    </w:p>
    <w:p w14:paraId="371F19E1" w14:textId="77777777" w:rsidR="004236C6" w:rsidRPr="00413472" w:rsidRDefault="004236C6" w:rsidP="004236C6">
      <w:pPr>
        <w:pStyle w:val="Nadpis3"/>
        <w:rPr>
          <w:color w:val="1F3864" w:themeColor="accent1" w:themeShade="80"/>
          <w:sz w:val="20"/>
          <w:szCs w:val="20"/>
        </w:rPr>
      </w:pPr>
      <w:bookmarkStart w:id="46" w:name="page45"/>
      <w:bookmarkEnd w:id="46"/>
      <w:r w:rsidRPr="00413472">
        <w:rPr>
          <w:rFonts w:eastAsia="Times New Roman"/>
          <w:color w:val="1F3864" w:themeColor="accent1" w:themeShade="80"/>
        </w:rPr>
        <w:lastRenderedPageBreak/>
        <w:t>Vláda ČR</w:t>
      </w:r>
    </w:p>
    <w:p w14:paraId="3F309C16" w14:textId="77777777" w:rsidR="004236C6" w:rsidRPr="004B6CDE" w:rsidRDefault="004236C6" w:rsidP="004236C6">
      <w:pPr>
        <w:spacing w:line="122" w:lineRule="exact"/>
        <w:rPr>
          <w:sz w:val="20"/>
          <w:szCs w:val="20"/>
        </w:rPr>
      </w:pPr>
    </w:p>
    <w:p w14:paraId="46E0DF8B" w14:textId="77777777" w:rsidR="004236C6" w:rsidRPr="004B6CDE" w:rsidRDefault="004236C6" w:rsidP="004236C6">
      <w:pPr>
        <w:ind w:left="4"/>
        <w:rPr>
          <w:sz w:val="20"/>
          <w:szCs w:val="20"/>
        </w:rPr>
      </w:pPr>
      <w:r w:rsidRPr="004B6CDE">
        <w:rPr>
          <w:rFonts w:eastAsia="Times New Roman"/>
          <w:b/>
          <w:bCs/>
          <w:szCs w:val="24"/>
        </w:rPr>
        <w:t xml:space="preserve">Členové vlády </w:t>
      </w:r>
      <w:r w:rsidRPr="004B6CDE">
        <w:rPr>
          <w:rStyle w:val="Znakapoznpodarou"/>
          <w:rFonts w:eastAsia="Times New Roman"/>
          <w:b/>
          <w:bCs/>
          <w:szCs w:val="24"/>
        </w:rPr>
        <w:footnoteReference w:id="20"/>
      </w:r>
      <w:r w:rsidRPr="004B6CDE">
        <w:rPr>
          <w:rFonts w:eastAsia="Times New Roman"/>
          <w:b/>
          <w:bCs/>
          <w:szCs w:val="24"/>
        </w:rPr>
        <w:t>:</w:t>
      </w:r>
    </w:p>
    <w:p w14:paraId="3BECB262" w14:textId="77777777" w:rsidR="004236C6" w:rsidRPr="004B6CDE" w:rsidRDefault="004236C6" w:rsidP="004236C6">
      <w:pPr>
        <w:spacing w:line="171" w:lineRule="exact"/>
        <w:rPr>
          <w:sz w:val="20"/>
          <w:szCs w:val="20"/>
        </w:rPr>
      </w:pPr>
    </w:p>
    <w:p w14:paraId="0284401C" w14:textId="77777777" w:rsidR="004236C6" w:rsidRPr="004B6CDE" w:rsidRDefault="004236C6" w:rsidP="004236C6">
      <w:pPr>
        <w:ind w:left="4"/>
        <w:rPr>
          <w:sz w:val="20"/>
          <w:szCs w:val="20"/>
        </w:rPr>
      </w:pPr>
      <w:r w:rsidRPr="004B6CDE">
        <w:rPr>
          <w:rFonts w:eastAsia="Times New Roman"/>
          <w:szCs w:val="24"/>
        </w:rPr>
        <w:t xml:space="preserve">Předseda vlády: </w:t>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t>Andrej Babiš</w:t>
      </w:r>
    </w:p>
    <w:p w14:paraId="269C11DE" w14:textId="77777777" w:rsidR="004236C6" w:rsidRPr="004B6CDE" w:rsidRDefault="004236C6" w:rsidP="004236C6">
      <w:pPr>
        <w:spacing w:line="137" w:lineRule="exact"/>
        <w:rPr>
          <w:sz w:val="20"/>
          <w:szCs w:val="20"/>
        </w:rPr>
      </w:pPr>
    </w:p>
    <w:p w14:paraId="4C66451F" w14:textId="77777777" w:rsidR="004236C6" w:rsidRPr="004B6CDE" w:rsidRDefault="004236C6" w:rsidP="004236C6">
      <w:pPr>
        <w:rPr>
          <w:sz w:val="20"/>
          <w:szCs w:val="20"/>
        </w:rPr>
      </w:pPr>
      <w:r w:rsidRPr="004B6CDE">
        <w:rPr>
          <w:rFonts w:eastAsia="Times New Roman"/>
          <w:sz w:val="23"/>
          <w:szCs w:val="23"/>
        </w:rPr>
        <w:t xml:space="preserve">1. místopředseda vlády pro a ministr vnitra: </w:t>
      </w:r>
      <w:r w:rsidRPr="004B6CDE">
        <w:rPr>
          <w:rFonts w:eastAsia="Times New Roman"/>
          <w:sz w:val="23"/>
          <w:szCs w:val="23"/>
        </w:rPr>
        <w:tab/>
      </w:r>
      <w:r w:rsidRPr="004B6CDE">
        <w:rPr>
          <w:rFonts w:eastAsia="Times New Roman"/>
          <w:sz w:val="23"/>
          <w:szCs w:val="23"/>
        </w:rPr>
        <w:tab/>
      </w:r>
      <w:r w:rsidRPr="004B6CDE">
        <w:rPr>
          <w:rFonts w:eastAsia="Times New Roman"/>
          <w:sz w:val="23"/>
          <w:szCs w:val="23"/>
        </w:rPr>
        <w:tab/>
      </w:r>
      <w:r w:rsidRPr="004B6CDE">
        <w:rPr>
          <w:rFonts w:eastAsia="Times New Roman"/>
          <w:sz w:val="23"/>
          <w:szCs w:val="23"/>
        </w:rPr>
        <w:tab/>
      </w:r>
      <w:r w:rsidRPr="004B6CDE">
        <w:rPr>
          <w:rFonts w:eastAsia="Times New Roman"/>
          <w:szCs w:val="24"/>
        </w:rPr>
        <w:t>Jan Hamáček</w:t>
      </w:r>
    </w:p>
    <w:p w14:paraId="0A768E15" w14:textId="77777777" w:rsidR="004236C6" w:rsidRPr="004B6CDE" w:rsidRDefault="004236C6" w:rsidP="004236C6">
      <w:pPr>
        <w:spacing w:line="137" w:lineRule="exact"/>
        <w:rPr>
          <w:sz w:val="20"/>
          <w:szCs w:val="20"/>
        </w:rPr>
      </w:pPr>
    </w:p>
    <w:p w14:paraId="01356A9D" w14:textId="77777777" w:rsidR="004236C6" w:rsidRPr="004B6CDE" w:rsidRDefault="004236C6" w:rsidP="004236C6">
      <w:pPr>
        <w:rPr>
          <w:rFonts w:eastAsia="Times New Roman"/>
          <w:szCs w:val="24"/>
        </w:rPr>
      </w:pPr>
      <w:r w:rsidRPr="004B6CDE">
        <w:rPr>
          <w:rFonts w:eastAsia="Times New Roman"/>
          <w:szCs w:val="24"/>
        </w:rPr>
        <w:t xml:space="preserve">Místopředsedkyně vlády a ministryně financí: </w:t>
      </w:r>
      <w:r w:rsidRPr="004B6CDE">
        <w:rPr>
          <w:rFonts w:eastAsia="Times New Roman"/>
          <w:szCs w:val="24"/>
        </w:rPr>
        <w:tab/>
      </w:r>
      <w:r w:rsidRPr="004B6CDE">
        <w:rPr>
          <w:rFonts w:eastAsia="Times New Roman"/>
          <w:szCs w:val="24"/>
        </w:rPr>
        <w:tab/>
      </w:r>
      <w:r w:rsidRPr="004B6CDE">
        <w:rPr>
          <w:rFonts w:eastAsia="Times New Roman"/>
          <w:szCs w:val="24"/>
        </w:rPr>
        <w:tab/>
        <w:t>Alena Schillerová</w:t>
      </w:r>
    </w:p>
    <w:p w14:paraId="7947B83D" w14:textId="77777777" w:rsidR="004236C6" w:rsidRPr="004B6CDE" w:rsidRDefault="004236C6" w:rsidP="004236C6">
      <w:pPr>
        <w:rPr>
          <w:rFonts w:eastAsia="Times New Roman"/>
          <w:szCs w:val="24"/>
        </w:rPr>
      </w:pPr>
      <w:r w:rsidRPr="004B6CDE">
        <w:rPr>
          <w:rFonts w:eastAsia="Times New Roman"/>
          <w:szCs w:val="24"/>
        </w:rPr>
        <w:t xml:space="preserve">Místopředseda vlády, ministr průmyslu a obchodu </w:t>
      </w:r>
      <w:r w:rsidRPr="004B6CDE">
        <w:rPr>
          <w:rFonts w:eastAsia="Times New Roman"/>
          <w:szCs w:val="24"/>
        </w:rPr>
        <w:tab/>
      </w:r>
      <w:r w:rsidRPr="004B6CDE">
        <w:rPr>
          <w:rFonts w:eastAsia="Times New Roman"/>
          <w:szCs w:val="24"/>
        </w:rPr>
        <w:tab/>
      </w:r>
      <w:r w:rsidRPr="004B6CDE">
        <w:rPr>
          <w:rFonts w:eastAsia="Times New Roman"/>
          <w:szCs w:val="24"/>
        </w:rPr>
        <w:tab/>
        <w:t>Karel Havlíček</w:t>
      </w:r>
    </w:p>
    <w:p w14:paraId="4F73E6A2" w14:textId="77777777" w:rsidR="004236C6" w:rsidRPr="004B6CDE" w:rsidRDefault="004236C6" w:rsidP="004236C6">
      <w:pPr>
        <w:spacing w:line="240" w:lineRule="auto"/>
        <w:rPr>
          <w:sz w:val="20"/>
          <w:szCs w:val="20"/>
        </w:rPr>
      </w:pPr>
      <w:r w:rsidRPr="004B6CDE">
        <w:rPr>
          <w:rFonts w:eastAsia="Times New Roman"/>
          <w:szCs w:val="24"/>
        </w:rPr>
        <w:t>a ministr dopravy</w:t>
      </w:r>
    </w:p>
    <w:p w14:paraId="2C63BE94" w14:textId="77777777" w:rsidR="004236C6" w:rsidRPr="004B6CDE" w:rsidRDefault="004236C6" w:rsidP="004236C6">
      <w:pPr>
        <w:spacing w:line="240" w:lineRule="auto"/>
        <w:rPr>
          <w:sz w:val="20"/>
          <w:szCs w:val="20"/>
        </w:rPr>
      </w:pPr>
    </w:p>
    <w:p w14:paraId="0992F28F" w14:textId="77777777" w:rsidR="004236C6" w:rsidRPr="004B6CDE" w:rsidRDefault="004236C6" w:rsidP="004236C6">
      <w:pPr>
        <w:spacing w:line="240" w:lineRule="auto"/>
        <w:rPr>
          <w:sz w:val="20"/>
          <w:szCs w:val="20"/>
        </w:rPr>
      </w:pPr>
      <w:r w:rsidRPr="004B6CDE">
        <w:rPr>
          <w:rFonts w:eastAsia="Times New Roman"/>
          <w:szCs w:val="24"/>
        </w:rPr>
        <w:t xml:space="preserve">Ministr obrany: </w:t>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t>Lubomír Metnar</w:t>
      </w:r>
    </w:p>
    <w:p w14:paraId="657013AA" w14:textId="77777777" w:rsidR="004236C6" w:rsidRPr="004B6CDE" w:rsidRDefault="004236C6" w:rsidP="004236C6">
      <w:pPr>
        <w:spacing w:line="240" w:lineRule="auto"/>
        <w:rPr>
          <w:sz w:val="20"/>
          <w:szCs w:val="20"/>
        </w:rPr>
      </w:pPr>
    </w:p>
    <w:p w14:paraId="17AF580C" w14:textId="77777777" w:rsidR="004236C6" w:rsidRPr="004B6CDE" w:rsidRDefault="004236C6" w:rsidP="004236C6">
      <w:pPr>
        <w:spacing w:line="240" w:lineRule="auto"/>
        <w:rPr>
          <w:sz w:val="20"/>
          <w:szCs w:val="20"/>
        </w:rPr>
      </w:pPr>
      <w:r w:rsidRPr="004B6CDE">
        <w:rPr>
          <w:rFonts w:eastAsia="Times New Roman"/>
          <w:szCs w:val="24"/>
        </w:rPr>
        <w:t xml:space="preserve">Ministr spravedlnosti: </w:t>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t>Marie Benešová</w:t>
      </w:r>
    </w:p>
    <w:p w14:paraId="3CD17E6E" w14:textId="77777777" w:rsidR="004236C6" w:rsidRPr="004B6CDE" w:rsidRDefault="004236C6" w:rsidP="004236C6">
      <w:pPr>
        <w:spacing w:line="240" w:lineRule="auto"/>
        <w:rPr>
          <w:sz w:val="20"/>
          <w:szCs w:val="20"/>
        </w:rPr>
      </w:pPr>
    </w:p>
    <w:p w14:paraId="4BEC1308" w14:textId="77777777" w:rsidR="004236C6" w:rsidRPr="004B6CDE" w:rsidRDefault="004236C6" w:rsidP="004236C6">
      <w:pPr>
        <w:spacing w:line="240" w:lineRule="auto"/>
        <w:rPr>
          <w:sz w:val="20"/>
          <w:szCs w:val="20"/>
        </w:rPr>
      </w:pPr>
      <w:r w:rsidRPr="004B6CDE">
        <w:rPr>
          <w:rFonts w:eastAsia="Times New Roman"/>
          <w:szCs w:val="24"/>
        </w:rPr>
        <w:t xml:space="preserve">Ministryně práce a sociálních věcí: </w:t>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t>Jana Maláčová</w:t>
      </w:r>
    </w:p>
    <w:p w14:paraId="3AA30847" w14:textId="77777777" w:rsidR="004236C6" w:rsidRPr="004B6CDE" w:rsidRDefault="004236C6" w:rsidP="004236C6">
      <w:pPr>
        <w:spacing w:line="240" w:lineRule="auto"/>
        <w:rPr>
          <w:sz w:val="20"/>
          <w:szCs w:val="20"/>
        </w:rPr>
      </w:pPr>
    </w:p>
    <w:p w14:paraId="1B8154A0" w14:textId="77777777" w:rsidR="004236C6" w:rsidRPr="004B6CDE" w:rsidRDefault="004236C6" w:rsidP="004236C6">
      <w:pPr>
        <w:spacing w:line="240" w:lineRule="auto"/>
        <w:rPr>
          <w:sz w:val="20"/>
          <w:szCs w:val="20"/>
        </w:rPr>
      </w:pPr>
      <w:r w:rsidRPr="004B6CDE">
        <w:rPr>
          <w:rFonts w:eastAsia="Times New Roman"/>
          <w:szCs w:val="24"/>
        </w:rPr>
        <w:t xml:space="preserve">Ministr zemědělství: </w:t>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t>Miroslav Toman</w:t>
      </w:r>
    </w:p>
    <w:p w14:paraId="4B9846E1" w14:textId="77777777" w:rsidR="004236C6" w:rsidRPr="004B6CDE" w:rsidRDefault="004236C6" w:rsidP="004236C6">
      <w:pPr>
        <w:spacing w:line="240" w:lineRule="auto"/>
        <w:rPr>
          <w:sz w:val="20"/>
          <w:szCs w:val="20"/>
        </w:rPr>
      </w:pPr>
    </w:p>
    <w:p w14:paraId="2BE40DE4" w14:textId="77777777" w:rsidR="004236C6" w:rsidRPr="004B6CDE" w:rsidRDefault="004236C6" w:rsidP="004236C6">
      <w:pPr>
        <w:spacing w:line="240" w:lineRule="auto"/>
        <w:rPr>
          <w:rFonts w:eastAsia="Times New Roman"/>
          <w:szCs w:val="24"/>
        </w:rPr>
      </w:pPr>
      <w:r w:rsidRPr="004B6CDE">
        <w:rPr>
          <w:rFonts w:eastAsia="Times New Roman"/>
          <w:szCs w:val="24"/>
        </w:rPr>
        <w:t>Ministr zdravotnictví:</w:t>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t>Adam Vojtěch</w:t>
      </w:r>
    </w:p>
    <w:p w14:paraId="66F5A9BC" w14:textId="77777777" w:rsidR="004236C6" w:rsidRPr="004B6CDE" w:rsidRDefault="004236C6" w:rsidP="004236C6">
      <w:pPr>
        <w:spacing w:line="240" w:lineRule="auto"/>
        <w:rPr>
          <w:sz w:val="20"/>
          <w:szCs w:val="20"/>
        </w:rPr>
      </w:pPr>
    </w:p>
    <w:p w14:paraId="797D7D31" w14:textId="77777777" w:rsidR="004236C6" w:rsidRPr="004B6CDE" w:rsidRDefault="004236C6" w:rsidP="004236C6">
      <w:pPr>
        <w:spacing w:line="240" w:lineRule="auto"/>
        <w:ind w:left="4"/>
        <w:rPr>
          <w:sz w:val="20"/>
          <w:szCs w:val="20"/>
        </w:rPr>
      </w:pPr>
      <w:r w:rsidRPr="004B6CDE">
        <w:rPr>
          <w:rFonts w:eastAsia="Times New Roman"/>
          <w:szCs w:val="24"/>
        </w:rPr>
        <w:t xml:space="preserve">Ministr školství, mládeže a tělovýchovy: </w:t>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t>Robert Plaga</w:t>
      </w:r>
    </w:p>
    <w:p w14:paraId="5E38B038" w14:textId="77777777" w:rsidR="004236C6" w:rsidRPr="004B6CDE" w:rsidRDefault="004236C6" w:rsidP="004236C6">
      <w:pPr>
        <w:spacing w:line="240" w:lineRule="auto"/>
        <w:rPr>
          <w:sz w:val="20"/>
          <w:szCs w:val="20"/>
        </w:rPr>
      </w:pPr>
    </w:p>
    <w:p w14:paraId="3FCD3214" w14:textId="77777777" w:rsidR="004236C6" w:rsidRPr="004B6CDE" w:rsidRDefault="004236C6" w:rsidP="004236C6">
      <w:pPr>
        <w:spacing w:line="240" w:lineRule="auto"/>
        <w:rPr>
          <w:sz w:val="20"/>
          <w:szCs w:val="20"/>
        </w:rPr>
      </w:pPr>
      <w:r w:rsidRPr="004B6CDE">
        <w:rPr>
          <w:rFonts w:eastAsia="Times New Roman"/>
          <w:szCs w:val="24"/>
        </w:rPr>
        <w:t>Ministr kultury:</w:t>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t>Lubomír Zaorálek</w:t>
      </w:r>
    </w:p>
    <w:p w14:paraId="3E070C06" w14:textId="77777777" w:rsidR="004236C6" w:rsidRPr="004B6CDE" w:rsidRDefault="004236C6" w:rsidP="004236C6">
      <w:pPr>
        <w:spacing w:line="240" w:lineRule="auto"/>
        <w:rPr>
          <w:sz w:val="20"/>
          <w:szCs w:val="20"/>
        </w:rPr>
      </w:pPr>
    </w:p>
    <w:p w14:paraId="2F650518" w14:textId="77777777" w:rsidR="004236C6" w:rsidRPr="004B6CDE" w:rsidRDefault="004236C6" w:rsidP="004236C6">
      <w:pPr>
        <w:spacing w:line="240" w:lineRule="auto"/>
        <w:rPr>
          <w:rFonts w:eastAsia="Times New Roman"/>
          <w:szCs w:val="24"/>
        </w:rPr>
      </w:pPr>
      <w:r w:rsidRPr="004B6CDE">
        <w:rPr>
          <w:rFonts w:eastAsia="Times New Roman"/>
          <w:szCs w:val="24"/>
        </w:rPr>
        <w:t xml:space="preserve">Ministr zahraničních věcí: </w:t>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t>Tomáš Petříček</w:t>
      </w:r>
    </w:p>
    <w:p w14:paraId="51812510" w14:textId="77777777" w:rsidR="004236C6" w:rsidRPr="004B6CDE" w:rsidRDefault="004236C6" w:rsidP="004236C6">
      <w:pPr>
        <w:spacing w:line="240" w:lineRule="auto"/>
        <w:rPr>
          <w:sz w:val="20"/>
          <w:szCs w:val="20"/>
        </w:rPr>
      </w:pPr>
    </w:p>
    <w:p w14:paraId="6277AB41" w14:textId="77777777" w:rsidR="004236C6" w:rsidRPr="004B6CDE" w:rsidRDefault="004236C6" w:rsidP="004236C6">
      <w:pPr>
        <w:rPr>
          <w:rFonts w:eastAsia="Times New Roman"/>
          <w:szCs w:val="24"/>
        </w:rPr>
      </w:pPr>
      <w:r w:rsidRPr="004B6CDE">
        <w:rPr>
          <w:rFonts w:eastAsia="Times New Roman"/>
          <w:szCs w:val="24"/>
        </w:rPr>
        <w:t xml:space="preserve">Ministryně pro místní rozvoj: </w:t>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t>Klára Dostálová</w:t>
      </w:r>
    </w:p>
    <w:p w14:paraId="23F1D1A7" w14:textId="77777777" w:rsidR="004236C6" w:rsidRPr="004B6CDE" w:rsidRDefault="004236C6" w:rsidP="004236C6">
      <w:pPr>
        <w:rPr>
          <w:sz w:val="20"/>
          <w:szCs w:val="20"/>
        </w:rPr>
      </w:pPr>
      <w:r w:rsidRPr="004B6CDE">
        <w:rPr>
          <w:rFonts w:eastAsia="Times New Roman"/>
          <w:szCs w:val="24"/>
        </w:rPr>
        <w:t xml:space="preserve">Ministr životního prostředí </w:t>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r>
      <w:r w:rsidRPr="004B6CDE">
        <w:rPr>
          <w:rFonts w:eastAsia="Times New Roman"/>
          <w:szCs w:val="24"/>
        </w:rPr>
        <w:tab/>
        <w:t xml:space="preserve">Richard Brabec </w:t>
      </w:r>
    </w:p>
    <w:p w14:paraId="0F04C2DF" w14:textId="77777777" w:rsidR="004236C6" w:rsidRPr="004B6CDE" w:rsidRDefault="004236C6" w:rsidP="004236C6">
      <w:pPr>
        <w:rPr>
          <w:sz w:val="20"/>
          <w:szCs w:val="20"/>
        </w:rPr>
      </w:pPr>
      <w:r w:rsidRPr="004B6CDE">
        <w:rPr>
          <w:rFonts w:eastAsia="Times New Roman"/>
          <w:szCs w:val="24"/>
        </w:rPr>
        <w:tab/>
      </w:r>
    </w:p>
    <w:p w14:paraId="44B49843" w14:textId="77777777" w:rsidR="004236C6" w:rsidRPr="00FC3B7C" w:rsidRDefault="004236C6" w:rsidP="004236C6">
      <w:pPr>
        <w:ind w:left="4"/>
        <w:rPr>
          <w:sz w:val="20"/>
          <w:szCs w:val="20"/>
        </w:rPr>
      </w:pPr>
    </w:p>
    <w:p w14:paraId="5F422578" w14:textId="77777777" w:rsidR="004236C6" w:rsidRPr="00FC3B7C" w:rsidRDefault="004236C6" w:rsidP="004236C6">
      <w:pPr>
        <w:spacing w:line="20" w:lineRule="exact"/>
        <w:rPr>
          <w:sz w:val="20"/>
          <w:szCs w:val="20"/>
        </w:rPr>
      </w:pPr>
      <w:r w:rsidRPr="00FC3B7C">
        <w:rPr>
          <w:sz w:val="20"/>
          <w:szCs w:val="20"/>
        </w:rPr>
        <w:br w:type="column"/>
      </w:r>
    </w:p>
    <w:p w14:paraId="07A4525A" w14:textId="77777777" w:rsidR="004236C6" w:rsidRPr="00FC3B7C" w:rsidRDefault="004236C6" w:rsidP="004236C6">
      <w:pPr>
        <w:spacing w:line="151" w:lineRule="exact"/>
        <w:rPr>
          <w:sz w:val="20"/>
          <w:szCs w:val="20"/>
        </w:rPr>
      </w:pPr>
    </w:p>
    <w:p w14:paraId="45F7ED6F" w14:textId="77777777" w:rsidR="004236C6" w:rsidRPr="00565BC7" w:rsidRDefault="004236C6" w:rsidP="004236C6">
      <w:pPr>
        <w:pStyle w:val="Nadpis3"/>
        <w:rPr>
          <w:color w:val="1F3864" w:themeColor="accent1" w:themeShade="80"/>
          <w:sz w:val="20"/>
          <w:szCs w:val="20"/>
        </w:rPr>
      </w:pPr>
      <w:r w:rsidRPr="00565BC7">
        <w:rPr>
          <w:rFonts w:eastAsia="Times New Roman"/>
          <w:color w:val="1F3864" w:themeColor="accent1" w:themeShade="80"/>
        </w:rPr>
        <w:t>Ministerstva a jejich působnost</w:t>
      </w:r>
    </w:p>
    <w:p w14:paraId="535C91A4" w14:textId="77777777" w:rsidR="004236C6" w:rsidRPr="00565BC7" w:rsidRDefault="004236C6" w:rsidP="004236C6">
      <w:pPr>
        <w:pStyle w:val="Nadpis4"/>
        <w:rPr>
          <w:color w:val="1F3864" w:themeColor="accent1" w:themeShade="80"/>
          <w:sz w:val="20"/>
          <w:szCs w:val="20"/>
        </w:rPr>
      </w:pPr>
      <w:r w:rsidRPr="00565BC7">
        <w:rPr>
          <w:rFonts w:eastAsia="Times New Roman"/>
          <w:color w:val="1F3864" w:themeColor="accent1" w:themeShade="80"/>
        </w:rPr>
        <w:t>Ministerstvo pro místní rozvoj</w:t>
      </w:r>
    </w:p>
    <w:p w14:paraId="214C2403" w14:textId="77777777" w:rsidR="004236C6" w:rsidRPr="00FC3B7C" w:rsidRDefault="004236C6" w:rsidP="004236C6">
      <w:pPr>
        <w:rPr>
          <w:sz w:val="20"/>
          <w:szCs w:val="20"/>
        </w:rPr>
      </w:pPr>
      <w:r w:rsidRPr="00FC3B7C">
        <w:rPr>
          <w:rFonts w:eastAsia="Times New Roman"/>
        </w:rPr>
        <w:t>Bytová politika, rozvoj domovního a bytového fondu, regionální politika a podpora regionálního podnikání, strukturální politika, územní plánování a stavební řád, cestovní ruch, veřejné dražby.</w:t>
      </w:r>
    </w:p>
    <w:p w14:paraId="010E3BFE" w14:textId="77777777" w:rsidR="004236C6" w:rsidRPr="00565BC7" w:rsidRDefault="004236C6" w:rsidP="004236C6">
      <w:pPr>
        <w:pStyle w:val="Nadpis4"/>
        <w:rPr>
          <w:color w:val="1F3864" w:themeColor="accent1" w:themeShade="80"/>
          <w:sz w:val="20"/>
          <w:szCs w:val="20"/>
        </w:rPr>
      </w:pPr>
      <w:bookmarkStart w:id="47" w:name="page47"/>
      <w:bookmarkEnd w:id="47"/>
      <w:r w:rsidRPr="00565BC7">
        <w:rPr>
          <w:rFonts w:eastAsia="Times New Roman"/>
          <w:color w:val="1F3864" w:themeColor="accent1" w:themeShade="80"/>
        </w:rPr>
        <w:t>Ministerstvo životního prostředí</w:t>
      </w:r>
    </w:p>
    <w:p w14:paraId="1A203BE5" w14:textId="77777777" w:rsidR="004236C6" w:rsidRPr="00FC3B7C" w:rsidRDefault="004236C6" w:rsidP="004236C6">
      <w:pPr>
        <w:rPr>
          <w:sz w:val="20"/>
          <w:szCs w:val="20"/>
        </w:rPr>
      </w:pPr>
      <w:r w:rsidRPr="00FC3B7C">
        <w:rPr>
          <w:rFonts w:eastAsia="Times New Roman"/>
        </w:rPr>
        <w:t>Ochrana vodních zdrojů, podzemních a povrchových vod, ovzduší, přírody a krajiny, zemědělského půdního fondu, odpadové hospodářství, státní ekologická politika, myslivost, rybářství a lesní hospodářství.</w:t>
      </w:r>
    </w:p>
    <w:p w14:paraId="61A671A5" w14:textId="77777777" w:rsidR="004236C6" w:rsidRPr="00565BC7" w:rsidRDefault="004236C6" w:rsidP="004236C6">
      <w:pPr>
        <w:pStyle w:val="Nadpis4"/>
        <w:rPr>
          <w:color w:val="1F3864" w:themeColor="accent1" w:themeShade="80"/>
          <w:sz w:val="20"/>
          <w:szCs w:val="20"/>
        </w:rPr>
      </w:pPr>
      <w:r w:rsidRPr="00565BC7">
        <w:rPr>
          <w:rFonts w:eastAsia="Times New Roman"/>
          <w:color w:val="1F3864" w:themeColor="accent1" w:themeShade="80"/>
        </w:rPr>
        <w:t>Ministerstvo práce a sociálních věcí</w:t>
      </w:r>
    </w:p>
    <w:p w14:paraId="4962A7C9" w14:textId="77777777" w:rsidR="004236C6" w:rsidRPr="00FC3B7C" w:rsidRDefault="004236C6" w:rsidP="004236C6">
      <w:pPr>
        <w:rPr>
          <w:sz w:val="20"/>
          <w:szCs w:val="20"/>
        </w:rPr>
      </w:pPr>
      <w:r w:rsidRPr="00FC3B7C">
        <w:rPr>
          <w:rFonts w:eastAsia="Times New Roman"/>
        </w:rPr>
        <w:t xml:space="preserve">Důchodové zabezpečení, nemocenské pojištění, nemocenské zabezpečení, pracovněprávní vztahy, bezpečnost práce, zaměstnanost a rekvalifikace, kolektivní vyjednávání, péče </w:t>
      </w:r>
      <w:r>
        <w:rPr>
          <w:rFonts w:eastAsia="Times New Roman"/>
        </w:rPr>
        <w:br/>
      </w:r>
      <w:r w:rsidRPr="00FC3B7C">
        <w:rPr>
          <w:rFonts w:eastAsia="Times New Roman"/>
        </w:rPr>
        <w:t>o rodinu, děti a občany, kteří potřebují pomoc, právní ochrana mateřství.</w:t>
      </w:r>
    </w:p>
    <w:p w14:paraId="68CBAE45" w14:textId="77777777" w:rsidR="004236C6" w:rsidRPr="00565BC7" w:rsidRDefault="004236C6" w:rsidP="004236C6">
      <w:pPr>
        <w:pStyle w:val="Nadpis4"/>
        <w:rPr>
          <w:color w:val="1F3864" w:themeColor="accent1" w:themeShade="80"/>
          <w:sz w:val="20"/>
          <w:szCs w:val="20"/>
        </w:rPr>
      </w:pPr>
      <w:r w:rsidRPr="00565BC7">
        <w:rPr>
          <w:rFonts w:eastAsia="Times New Roman"/>
          <w:color w:val="1F3864" w:themeColor="accent1" w:themeShade="80"/>
        </w:rPr>
        <w:t>Ministerstvo vnitra</w:t>
      </w:r>
    </w:p>
    <w:p w14:paraId="68E98E9E" w14:textId="77777777" w:rsidR="004236C6" w:rsidRPr="00FC3B7C" w:rsidRDefault="004236C6" w:rsidP="004236C6">
      <w:pPr>
        <w:rPr>
          <w:sz w:val="20"/>
          <w:szCs w:val="20"/>
        </w:rPr>
      </w:pPr>
      <w:r w:rsidRPr="00FC3B7C">
        <w:rPr>
          <w:rFonts w:eastAsia="Times New Roman"/>
        </w:rPr>
        <w:t xml:space="preserve">Dohlíží na činnost Policie ČR a Hasičského záchranného sboru ČR, zajišťuje spolupráci </w:t>
      </w:r>
      <w:r>
        <w:rPr>
          <w:rFonts w:eastAsia="Times New Roman"/>
        </w:rPr>
        <w:br/>
      </w:r>
      <w:r w:rsidRPr="00FC3B7C">
        <w:rPr>
          <w:rFonts w:eastAsia="Times New Roman"/>
        </w:rPr>
        <w:t xml:space="preserve">v rámci mezinárodní organizace Interpol, veřejný pořádek, jména a příjmení, matriky, státního občanství, občanské průkazy, hlášení pobytu a evidence obyvatel, sdružovací </w:t>
      </w:r>
      <w:r>
        <w:rPr>
          <w:rFonts w:eastAsia="Times New Roman"/>
        </w:rPr>
        <w:br/>
      </w:r>
      <w:r w:rsidRPr="00FC3B7C">
        <w:rPr>
          <w:rFonts w:eastAsia="Times New Roman"/>
        </w:rPr>
        <w:t>a shromažďovací právo a povolování organizací s mezinárodním prvkem, požární ochranu, cestovní doklady, povolování pobytu cizinců a postavení uprchlíků, územní členěn státu, státní hranice, jejich vyměřování, státní symboly.</w:t>
      </w:r>
    </w:p>
    <w:p w14:paraId="63111F69" w14:textId="77777777" w:rsidR="004236C6" w:rsidRPr="00565BC7" w:rsidRDefault="004236C6" w:rsidP="004236C6">
      <w:pPr>
        <w:pStyle w:val="Nadpis4"/>
        <w:rPr>
          <w:color w:val="1F3864" w:themeColor="accent1" w:themeShade="80"/>
          <w:sz w:val="20"/>
          <w:szCs w:val="20"/>
        </w:rPr>
      </w:pPr>
      <w:r w:rsidRPr="00565BC7">
        <w:rPr>
          <w:rFonts w:eastAsia="Times New Roman"/>
          <w:color w:val="1F3864" w:themeColor="accent1" w:themeShade="80"/>
        </w:rPr>
        <w:t>Ministerstvo zahraničních věcí</w:t>
      </w:r>
    </w:p>
    <w:p w14:paraId="22EEDB15" w14:textId="77777777" w:rsidR="004236C6" w:rsidRPr="00FC3B7C" w:rsidRDefault="004236C6" w:rsidP="004236C6">
      <w:pPr>
        <w:rPr>
          <w:sz w:val="20"/>
          <w:szCs w:val="20"/>
        </w:rPr>
      </w:pPr>
      <w:r w:rsidRPr="00FC3B7C">
        <w:rPr>
          <w:rFonts w:eastAsia="Times New Roman"/>
        </w:rPr>
        <w:t>Zabývá se zahraničními vztahy státu s ostatními zeměmi a ostatními organizacemi, zajišťuje ochranu práv a zájmů ČR a jejích občanů v zahraničí, řídí zastupitelské úřady v jiných zemích.</w:t>
      </w:r>
    </w:p>
    <w:p w14:paraId="40578999" w14:textId="77777777" w:rsidR="004236C6" w:rsidRPr="00565BC7" w:rsidRDefault="004236C6" w:rsidP="004236C6">
      <w:pPr>
        <w:pStyle w:val="Nadpis4"/>
        <w:rPr>
          <w:color w:val="1F3864" w:themeColor="accent1" w:themeShade="80"/>
          <w:sz w:val="20"/>
          <w:szCs w:val="20"/>
        </w:rPr>
      </w:pPr>
      <w:r w:rsidRPr="00565BC7">
        <w:rPr>
          <w:rFonts w:eastAsia="Times New Roman"/>
          <w:color w:val="1F3864" w:themeColor="accent1" w:themeShade="80"/>
        </w:rPr>
        <w:t>Ministerstvo obrany</w:t>
      </w:r>
    </w:p>
    <w:p w14:paraId="79468BAB" w14:textId="77777777" w:rsidR="004236C6" w:rsidRPr="00FC3B7C" w:rsidRDefault="004236C6" w:rsidP="004236C6">
      <w:pPr>
        <w:rPr>
          <w:sz w:val="20"/>
          <w:szCs w:val="20"/>
        </w:rPr>
      </w:pPr>
      <w:r w:rsidRPr="00FC3B7C">
        <w:rPr>
          <w:rFonts w:eastAsia="Times New Roman"/>
        </w:rPr>
        <w:t>Řízení Armády ČR, zabezpečení ochrany ČR, podílí se na zpracování vojenské obranné politiky státu, navrhuje potřebná opatření k zajištění obrany země, zabezpečuje vzdušný prostor nad ČR, organizuje součinnost s armádami ostatních států v rámci bezpečnostních struktur.</w:t>
      </w:r>
    </w:p>
    <w:p w14:paraId="22691E34" w14:textId="77777777" w:rsidR="004236C6" w:rsidRDefault="004236C6" w:rsidP="004236C6">
      <w:pPr>
        <w:spacing w:line="240" w:lineRule="auto"/>
        <w:jc w:val="left"/>
        <w:rPr>
          <w:rFonts w:eastAsia="Times New Roman" w:cstheme="majorBidi"/>
          <w:b/>
          <w:i/>
          <w:iCs/>
        </w:rPr>
      </w:pPr>
      <w:r>
        <w:rPr>
          <w:rFonts w:eastAsia="Times New Roman"/>
        </w:rPr>
        <w:br w:type="page"/>
      </w:r>
    </w:p>
    <w:p w14:paraId="35B866C4" w14:textId="77777777" w:rsidR="004236C6" w:rsidRPr="00565BC7" w:rsidRDefault="004236C6" w:rsidP="004236C6">
      <w:pPr>
        <w:pStyle w:val="Nadpis4"/>
        <w:rPr>
          <w:color w:val="1F3864" w:themeColor="accent1" w:themeShade="80"/>
          <w:sz w:val="20"/>
          <w:szCs w:val="20"/>
        </w:rPr>
      </w:pPr>
      <w:r w:rsidRPr="00565BC7">
        <w:rPr>
          <w:rFonts w:eastAsia="Times New Roman"/>
          <w:color w:val="1F3864" w:themeColor="accent1" w:themeShade="80"/>
        </w:rPr>
        <w:lastRenderedPageBreak/>
        <w:t>Ministerstvo průmyslu a obchodu</w:t>
      </w:r>
    </w:p>
    <w:p w14:paraId="7E4B37AE" w14:textId="77777777" w:rsidR="004236C6" w:rsidRPr="00FC3B7C" w:rsidRDefault="004236C6" w:rsidP="004236C6">
      <w:pPr>
        <w:rPr>
          <w:sz w:val="20"/>
          <w:szCs w:val="20"/>
        </w:rPr>
      </w:pPr>
      <w:r w:rsidRPr="00FC3B7C">
        <w:rPr>
          <w:rFonts w:eastAsia="Times New Roman"/>
        </w:rPr>
        <w:t>Státní průmyslová politika, obchodní politika, zahraničně ekonomická politika, surovinová politika, energetika, plynárenství, teplárenství, posuzuje dovoz dumpingových výrobků, nadřízený orgán České obchodní inspekce, České energetické inspekce, Licenčního úřadu, realizace obchodní spolupráce s mezinárodními institucemi, zajišťuje sjednávání dvoustranných a mnohostranných obchodních a ekonomických dohod.</w:t>
      </w:r>
    </w:p>
    <w:p w14:paraId="26A3FD2E" w14:textId="77777777" w:rsidR="004236C6" w:rsidRPr="00565BC7" w:rsidRDefault="004236C6" w:rsidP="004236C6">
      <w:pPr>
        <w:pStyle w:val="Nadpis4"/>
        <w:rPr>
          <w:color w:val="1F3864" w:themeColor="accent1" w:themeShade="80"/>
          <w:sz w:val="20"/>
          <w:szCs w:val="20"/>
        </w:rPr>
      </w:pPr>
      <w:bookmarkStart w:id="48" w:name="page48"/>
      <w:bookmarkEnd w:id="48"/>
      <w:r w:rsidRPr="00565BC7">
        <w:rPr>
          <w:rFonts w:eastAsia="Times New Roman"/>
          <w:color w:val="1F3864" w:themeColor="accent1" w:themeShade="80"/>
        </w:rPr>
        <w:t>Ministerstvo zdravotnictví</w:t>
      </w:r>
    </w:p>
    <w:p w14:paraId="7C34A7FF" w14:textId="77777777" w:rsidR="004236C6" w:rsidRPr="00FC3B7C" w:rsidRDefault="004236C6" w:rsidP="004236C6">
      <w:pPr>
        <w:spacing w:line="394" w:lineRule="auto"/>
        <w:ind w:right="20"/>
        <w:rPr>
          <w:sz w:val="20"/>
          <w:szCs w:val="20"/>
        </w:rPr>
      </w:pPr>
      <w:r w:rsidRPr="00FC3B7C">
        <w:rPr>
          <w:rFonts w:eastAsia="Times New Roman"/>
          <w:szCs w:val="24"/>
        </w:rPr>
        <w:t>Zdravotní péče a ochrana zdraví, zdravotní pojištění, zdravotnický a informační systém, zdravotnická vědeckovýzkumná činnost, přímo řídí některá zdravotnická zařízení.</w:t>
      </w:r>
    </w:p>
    <w:p w14:paraId="0B1DDD1F" w14:textId="77777777" w:rsidR="004236C6" w:rsidRPr="00565BC7" w:rsidRDefault="004236C6" w:rsidP="004236C6">
      <w:pPr>
        <w:pStyle w:val="Nadpis4"/>
        <w:rPr>
          <w:color w:val="1F3864" w:themeColor="accent1" w:themeShade="80"/>
          <w:sz w:val="20"/>
          <w:szCs w:val="20"/>
        </w:rPr>
      </w:pPr>
      <w:r w:rsidRPr="00565BC7">
        <w:rPr>
          <w:rFonts w:eastAsia="Times New Roman"/>
          <w:color w:val="1F3864" w:themeColor="accent1" w:themeShade="80"/>
        </w:rPr>
        <w:t>Ministerstvo spravedlnosti</w:t>
      </w:r>
    </w:p>
    <w:p w14:paraId="13B8AEEE" w14:textId="77777777" w:rsidR="004236C6" w:rsidRPr="00FC3B7C" w:rsidRDefault="004236C6" w:rsidP="004236C6">
      <w:pPr>
        <w:rPr>
          <w:sz w:val="20"/>
          <w:szCs w:val="20"/>
        </w:rPr>
      </w:pPr>
      <w:r w:rsidRPr="00FC3B7C">
        <w:rPr>
          <w:rFonts w:eastAsia="Times New Roman"/>
        </w:rPr>
        <w:t xml:space="preserve">Nadřízený orgán soudů, státního zastupitelství, vězeňství, nadřízený Vězeňské služby ČR, vystavuje právní posudky k úvěrovým a garančním dohodám, v nichž je smluvní stranou ČR, zastupuje ČR při vyřizování stížností na porušení Úmluvy o ochraně lidských práv </w:t>
      </w:r>
      <w:r>
        <w:rPr>
          <w:rFonts w:eastAsia="Times New Roman"/>
        </w:rPr>
        <w:br/>
      </w:r>
      <w:r w:rsidRPr="00FC3B7C">
        <w:rPr>
          <w:rFonts w:eastAsia="Times New Roman"/>
        </w:rPr>
        <w:t>a základních svobod a jejích Protokolů a Mezinárodního paktu o občanských a politických právech a koordinuje provádění rozhodnutí příslušných mezinárodních orgánů.</w:t>
      </w:r>
    </w:p>
    <w:p w14:paraId="2F1B8A92" w14:textId="77777777" w:rsidR="004236C6" w:rsidRPr="00565BC7" w:rsidRDefault="004236C6" w:rsidP="004236C6">
      <w:pPr>
        <w:pStyle w:val="Nadpis4"/>
        <w:rPr>
          <w:color w:val="1F3864" w:themeColor="accent1" w:themeShade="80"/>
          <w:sz w:val="20"/>
          <w:szCs w:val="20"/>
        </w:rPr>
      </w:pPr>
      <w:r w:rsidRPr="00565BC7">
        <w:rPr>
          <w:rFonts w:eastAsia="Times New Roman"/>
          <w:color w:val="1F3864" w:themeColor="accent1" w:themeShade="80"/>
        </w:rPr>
        <w:t>Ministerstvo financí</w:t>
      </w:r>
    </w:p>
    <w:p w14:paraId="4E9FE006" w14:textId="77777777" w:rsidR="004236C6" w:rsidRPr="00FC3B7C" w:rsidRDefault="004236C6" w:rsidP="004236C6">
      <w:pPr>
        <w:rPr>
          <w:sz w:val="20"/>
          <w:szCs w:val="20"/>
        </w:rPr>
      </w:pPr>
      <w:r w:rsidRPr="00FC3B7C">
        <w:rPr>
          <w:rFonts w:eastAsia="Times New Roman"/>
        </w:rPr>
        <w:t>Státní rozpočet republiky, daně, poplatky a clo, finanční hospodaření, finanční kontrola, účetnictví, audit a daňové poradenství, věci devizové včetně pohledávek a závazků státu vůči zahraničí, ochrana zahraničních investic, zajišťuje členství v mezinárodních finančních institucích a finančních orgánem OECD, EU a dalších mezinárodních hospodářských seskupení, pokud toto členství nepřísluší výlučně ČNB, fond národního majetku.</w:t>
      </w:r>
    </w:p>
    <w:p w14:paraId="66622FFA" w14:textId="77777777" w:rsidR="004236C6" w:rsidRPr="00565BC7" w:rsidRDefault="004236C6" w:rsidP="004236C6">
      <w:pPr>
        <w:pStyle w:val="Nadpis4"/>
        <w:rPr>
          <w:color w:val="1F3864" w:themeColor="accent1" w:themeShade="80"/>
          <w:sz w:val="20"/>
          <w:szCs w:val="20"/>
        </w:rPr>
      </w:pPr>
      <w:r w:rsidRPr="00565BC7">
        <w:rPr>
          <w:rFonts w:eastAsia="Times New Roman"/>
          <w:color w:val="1F3864" w:themeColor="accent1" w:themeShade="80"/>
        </w:rPr>
        <w:t>Ministerstvo školství, mládeže a tělovýchovy</w:t>
      </w:r>
    </w:p>
    <w:p w14:paraId="5FD775F1" w14:textId="5189A657" w:rsidR="004236C6" w:rsidRPr="00FC3B7C" w:rsidRDefault="004236C6" w:rsidP="004236C6">
      <w:pPr>
        <w:rPr>
          <w:sz w:val="20"/>
          <w:szCs w:val="20"/>
        </w:rPr>
      </w:pPr>
      <w:r w:rsidRPr="00FC3B7C">
        <w:rPr>
          <w:rFonts w:eastAsia="Times New Roman"/>
        </w:rPr>
        <w:t>Spravuje předškolní zařízení,</w:t>
      </w:r>
      <w:r w:rsidR="003376E1">
        <w:rPr>
          <w:rFonts w:eastAsia="Times New Roman"/>
        </w:rPr>
        <w:t xml:space="preserve"> školská zařízení, základní školy, střední ško</w:t>
      </w:r>
      <w:r w:rsidRPr="00FC3B7C">
        <w:rPr>
          <w:rFonts w:eastAsia="Times New Roman"/>
        </w:rPr>
        <w:t>ly a vysoké školy, ústřední orgán pro vědní politiku, výzkum a vývoj (včetně mezinárodní spolupráce v této oblasti), pro vědecké hodnosti, pro státní péči o děti, mládež, tělesnou výchovu, sport, turistiku a sportovní reprezentaci státu, nadřízený orgán České obchodní inspekce.</w:t>
      </w:r>
    </w:p>
    <w:p w14:paraId="67D47C82" w14:textId="77777777" w:rsidR="004236C6" w:rsidRPr="00565BC7" w:rsidRDefault="004236C6" w:rsidP="004236C6">
      <w:pPr>
        <w:pStyle w:val="Nadpis4"/>
        <w:rPr>
          <w:color w:val="1F3864" w:themeColor="accent1" w:themeShade="80"/>
          <w:sz w:val="20"/>
          <w:szCs w:val="20"/>
        </w:rPr>
      </w:pPr>
      <w:r w:rsidRPr="00565BC7">
        <w:rPr>
          <w:rFonts w:eastAsia="Times New Roman"/>
          <w:color w:val="1F3864" w:themeColor="accent1" w:themeShade="80"/>
        </w:rPr>
        <w:t>Ministerstvo dopravy</w:t>
      </w:r>
    </w:p>
    <w:p w14:paraId="5DB97EE3" w14:textId="77777777" w:rsidR="004236C6" w:rsidRPr="00FC3B7C" w:rsidRDefault="004236C6" w:rsidP="004236C6">
      <w:pPr>
        <w:rPr>
          <w:sz w:val="20"/>
          <w:szCs w:val="20"/>
        </w:rPr>
      </w:pPr>
      <w:r w:rsidRPr="00FC3B7C">
        <w:rPr>
          <w:rFonts w:eastAsia="Times New Roman"/>
        </w:rPr>
        <w:t>Silniční, drážní, letecká a vodní doprava, zajišťuje přípravu, tvorbu a monitorování dopravní politiky ČR, vytváří dokumenty rozvoje dopravních sítí v ČR a zpracovává návrhy priorit výstavby dopravních sítí na základě ekonomické efektivnosti, rizikové analýzy a analýzy přínosů; vytváří dopravní prognózy.</w:t>
      </w:r>
    </w:p>
    <w:p w14:paraId="3045A761" w14:textId="77777777" w:rsidR="004236C6" w:rsidRPr="00FC3B7C" w:rsidRDefault="004236C6" w:rsidP="004236C6">
      <w:pPr>
        <w:spacing w:line="188" w:lineRule="exact"/>
        <w:rPr>
          <w:sz w:val="20"/>
          <w:szCs w:val="20"/>
        </w:rPr>
      </w:pPr>
    </w:p>
    <w:p w14:paraId="7B32F0B4" w14:textId="77777777" w:rsidR="004236C6" w:rsidRPr="00565BC7" w:rsidRDefault="004236C6" w:rsidP="004236C6">
      <w:pPr>
        <w:pStyle w:val="Nadpis4"/>
        <w:rPr>
          <w:color w:val="1F3864" w:themeColor="accent1" w:themeShade="80"/>
          <w:sz w:val="20"/>
          <w:szCs w:val="20"/>
        </w:rPr>
      </w:pPr>
      <w:r w:rsidRPr="00565BC7">
        <w:rPr>
          <w:rFonts w:eastAsia="Times New Roman"/>
          <w:color w:val="1F3864" w:themeColor="accent1" w:themeShade="80"/>
        </w:rPr>
        <w:lastRenderedPageBreak/>
        <w:t>Ministerstvo zemědělství</w:t>
      </w:r>
    </w:p>
    <w:p w14:paraId="6C4919A1" w14:textId="77777777" w:rsidR="004236C6" w:rsidRPr="00FC3B7C" w:rsidRDefault="004236C6" w:rsidP="004236C6">
      <w:pPr>
        <w:rPr>
          <w:sz w:val="20"/>
          <w:szCs w:val="20"/>
        </w:rPr>
      </w:pPr>
      <w:r w:rsidRPr="00FC3B7C">
        <w:rPr>
          <w:rFonts w:eastAsia="Times New Roman"/>
        </w:rPr>
        <w:t xml:space="preserve">Zemědělství (s výjimkou ochrany zemědělského půdního fondu), vodní hospodářství </w:t>
      </w:r>
      <w:r>
        <w:rPr>
          <w:rFonts w:eastAsia="Times New Roman"/>
        </w:rPr>
        <w:br/>
      </w:r>
      <w:r w:rsidRPr="00FC3B7C">
        <w:rPr>
          <w:rFonts w:eastAsia="Times New Roman"/>
        </w:rPr>
        <w:t>(s výjimkou působnosti Ministerstva životního prostředí), ochrana zvířat proti týrání, ochrana</w:t>
      </w:r>
      <w:bookmarkStart w:id="49" w:name="page49"/>
      <w:bookmarkEnd w:id="49"/>
      <w:r>
        <w:rPr>
          <w:sz w:val="20"/>
          <w:szCs w:val="20"/>
        </w:rPr>
        <w:t xml:space="preserve"> </w:t>
      </w:r>
      <w:r w:rsidRPr="00FC3B7C">
        <w:rPr>
          <w:rFonts w:eastAsia="Times New Roman"/>
          <w:szCs w:val="24"/>
        </w:rPr>
        <w:t>práv k novým odrůdám rostlin a plemenných zvířat, potravinářský průmysl, věci komoditních burz, které organizují obchody se zbožím pocházející ze zemědělské a lesní výroby, řídí Státní zemědělkou a potravinářskou inspekci, Státní veterinární správu ČR, Českou plemenářskou inspekci, Ústřední kontrolní a zkušební ústav zemědělský.</w:t>
      </w:r>
    </w:p>
    <w:p w14:paraId="4B693996" w14:textId="77777777" w:rsidR="004236C6" w:rsidRPr="00FC3B7C" w:rsidRDefault="004236C6" w:rsidP="004236C6">
      <w:pPr>
        <w:spacing w:line="200" w:lineRule="exact"/>
        <w:rPr>
          <w:sz w:val="20"/>
          <w:szCs w:val="20"/>
        </w:rPr>
      </w:pPr>
    </w:p>
    <w:p w14:paraId="1ED31253" w14:textId="77777777" w:rsidR="004236C6" w:rsidRPr="00FC3B7C" w:rsidRDefault="004236C6" w:rsidP="004236C6">
      <w:pPr>
        <w:spacing w:line="396" w:lineRule="exact"/>
        <w:rPr>
          <w:sz w:val="20"/>
          <w:szCs w:val="20"/>
        </w:rPr>
      </w:pPr>
    </w:p>
    <w:p w14:paraId="2272C409" w14:textId="77777777" w:rsidR="004236C6" w:rsidRDefault="004236C6" w:rsidP="004236C6">
      <w:pPr>
        <w:rPr>
          <w:rFonts w:eastAsia="Times New Roman"/>
          <w:b/>
          <w:bCs/>
          <w:sz w:val="28"/>
          <w:szCs w:val="28"/>
        </w:rPr>
      </w:pPr>
    </w:p>
    <w:p w14:paraId="27D7447E" w14:textId="77777777" w:rsidR="004236C6" w:rsidRDefault="004236C6" w:rsidP="004236C6">
      <w:pPr>
        <w:rPr>
          <w:rFonts w:eastAsia="Times New Roman"/>
          <w:b/>
          <w:bCs/>
          <w:sz w:val="28"/>
          <w:szCs w:val="28"/>
        </w:rPr>
      </w:pPr>
    </w:p>
    <w:p w14:paraId="086B6A99" w14:textId="77777777" w:rsidR="004236C6" w:rsidRDefault="004236C6" w:rsidP="004236C6">
      <w:pPr>
        <w:rPr>
          <w:rFonts w:eastAsia="Times New Roman"/>
          <w:b/>
          <w:bCs/>
          <w:sz w:val="28"/>
          <w:szCs w:val="28"/>
        </w:rPr>
      </w:pPr>
    </w:p>
    <w:p w14:paraId="1BE51460" w14:textId="77777777" w:rsidR="004236C6" w:rsidRDefault="004236C6" w:rsidP="004236C6">
      <w:pPr>
        <w:rPr>
          <w:rFonts w:eastAsia="Times New Roman"/>
          <w:b/>
          <w:bCs/>
          <w:sz w:val="28"/>
          <w:szCs w:val="28"/>
        </w:rPr>
      </w:pPr>
    </w:p>
    <w:p w14:paraId="3E4B6178" w14:textId="77777777" w:rsidR="004236C6" w:rsidRDefault="004236C6" w:rsidP="004236C6">
      <w:pPr>
        <w:rPr>
          <w:rFonts w:eastAsia="Times New Roman"/>
          <w:b/>
          <w:bCs/>
          <w:sz w:val="28"/>
          <w:szCs w:val="28"/>
        </w:rPr>
      </w:pPr>
    </w:p>
    <w:p w14:paraId="6CE71414" w14:textId="77777777" w:rsidR="004236C6" w:rsidRDefault="004236C6" w:rsidP="004236C6">
      <w:pPr>
        <w:rPr>
          <w:rFonts w:eastAsia="Times New Roman"/>
          <w:b/>
          <w:bCs/>
          <w:sz w:val="28"/>
          <w:szCs w:val="28"/>
        </w:rPr>
      </w:pPr>
    </w:p>
    <w:p w14:paraId="77FA3B26" w14:textId="77777777" w:rsidR="004236C6" w:rsidRDefault="004236C6" w:rsidP="004236C6">
      <w:pPr>
        <w:rPr>
          <w:rFonts w:eastAsia="Times New Roman"/>
          <w:b/>
          <w:bCs/>
          <w:sz w:val="28"/>
          <w:szCs w:val="28"/>
        </w:rPr>
      </w:pPr>
    </w:p>
    <w:p w14:paraId="55BC129F" w14:textId="77777777" w:rsidR="004236C6" w:rsidRDefault="004236C6" w:rsidP="004236C6">
      <w:pPr>
        <w:rPr>
          <w:rFonts w:eastAsia="Times New Roman"/>
          <w:b/>
          <w:bCs/>
          <w:sz w:val="28"/>
          <w:szCs w:val="28"/>
        </w:rPr>
      </w:pPr>
    </w:p>
    <w:p w14:paraId="2B23344E" w14:textId="77777777" w:rsidR="004236C6" w:rsidRDefault="004236C6" w:rsidP="004236C6">
      <w:pPr>
        <w:rPr>
          <w:rFonts w:eastAsia="Times New Roman"/>
          <w:b/>
          <w:bCs/>
          <w:sz w:val="28"/>
          <w:szCs w:val="28"/>
        </w:rPr>
      </w:pPr>
    </w:p>
    <w:p w14:paraId="009A6650" w14:textId="77777777" w:rsidR="004236C6" w:rsidRDefault="004236C6" w:rsidP="004236C6">
      <w:pPr>
        <w:rPr>
          <w:rFonts w:eastAsia="Times New Roman"/>
          <w:b/>
          <w:bCs/>
          <w:sz w:val="28"/>
          <w:szCs w:val="28"/>
        </w:rPr>
      </w:pPr>
    </w:p>
    <w:p w14:paraId="3E53B399" w14:textId="77777777" w:rsidR="004236C6" w:rsidRDefault="004236C6" w:rsidP="004236C6">
      <w:pPr>
        <w:rPr>
          <w:rFonts w:eastAsia="Times New Roman"/>
          <w:b/>
          <w:bCs/>
          <w:sz w:val="28"/>
          <w:szCs w:val="28"/>
        </w:rPr>
      </w:pPr>
    </w:p>
    <w:p w14:paraId="2C1DD8B0" w14:textId="77777777" w:rsidR="004236C6" w:rsidRDefault="004236C6" w:rsidP="004236C6">
      <w:pPr>
        <w:rPr>
          <w:rFonts w:eastAsia="Times New Roman"/>
          <w:b/>
          <w:bCs/>
          <w:sz w:val="28"/>
          <w:szCs w:val="28"/>
        </w:rPr>
      </w:pPr>
    </w:p>
    <w:p w14:paraId="100EB0A8" w14:textId="77777777" w:rsidR="004236C6" w:rsidRDefault="004236C6" w:rsidP="004236C6">
      <w:pPr>
        <w:rPr>
          <w:rFonts w:eastAsia="Times New Roman"/>
          <w:b/>
          <w:bCs/>
          <w:sz w:val="28"/>
          <w:szCs w:val="28"/>
        </w:rPr>
      </w:pPr>
    </w:p>
    <w:p w14:paraId="1E9BD2E8" w14:textId="77777777" w:rsidR="004236C6" w:rsidRDefault="004236C6" w:rsidP="004236C6">
      <w:pPr>
        <w:rPr>
          <w:rFonts w:eastAsia="Times New Roman"/>
          <w:b/>
          <w:bCs/>
          <w:sz w:val="28"/>
          <w:szCs w:val="28"/>
        </w:rPr>
      </w:pPr>
    </w:p>
    <w:p w14:paraId="5AF6D8C2" w14:textId="77777777" w:rsidR="004236C6" w:rsidRDefault="004236C6" w:rsidP="004236C6">
      <w:pPr>
        <w:rPr>
          <w:rFonts w:eastAsia="Times New Roman"/>
          <w:b/>
          <w:bCs/>
          <w:sz w:val="28"/>
          <w:szCs w:val="28"/>
        </w:rPr>
      </w:pPr>
    </w:p>
    <w:p w14:paraId="4AE67972" w14:textId="77777777" w:rsidR="004236C6" w:rsidRDefault="004236C6" w:rsidP="004236C6">
      <w:pPr>
        <w:rPr>
          <w:rFonts w:eastAsia="Times New Roman"/>
          <w:b/>
          <w:bCs/>
          <w:sz w:val="28"/>
          <w:szCs w:val="28"/>
        </w:rPr>
      </w:pPr>
    </w:p>
    <w:p w14:paraId="06CDE4A2" w14:textId="77777777" w:rsidR="004236C6" w:rsidRDefault="004236C6" w:rsidP="004236C6">
      <w:pPr>
        <w:rPr>
          <w:rFonts w:eastAsia="Times New Roman"/>
          <w:b/>
          <w:bCs/>
          <w:sz w:val="28"/>
          <w:szCs w:val="28"/>
        </w:rPr>
      </w:pPr>
    </w:p>
    <w:p w14:paraId="23C8C2A4" w14:textId="77777777" w:rsidR="004236C6" w:rsidRDefault="004236C6" w:rsidP="004236C6">
      <w:pPr>
        <w:rPr>
          <w:rFonts w:eastAsia="Times New Roman"/>
          <w:b/>
          <w:bCs/>
          <w:sz w:val="28"/>
          <w:szCs w:val="28"/>
        </w:rPr>
      </w:pPr>
    </w:p>
    <w:p w14:paraId="67DFD25C" w14:textId="77777777" w:rsidR="004236C6" w:rsidRDefault="004236C6" w:rsidP="004236C6">
      <w:pPr>
        <w:rPr>
          <w:rFonts w:eastAsia="Times New Roman"/>
          <w:b/>
          <w:bCs/>
          <w:sz w:val="28"/>
          <w:szCs w:val="28"/>
        </w:rPr>
      </w:pPr>
    </w:p>
    <w:p w14:paraId="109609E3" w14:textId="77777777" w:rsidR="004236C6" w:rsidRDefault="004236C6" w:rsidP="004236C6">
      <w:pPr>
        <w:rPr>
          <w:rFonts w:eastAsia="Times New Roman"/>
          <w:b/>
          <w:bCs/>
          <w:sz w:val="28"/>
          <w:szCs w:val="28"/>
        </w:rPr>
      </w:pPr>
    </w:p>
    <w:p w14:paraId="6706039B" w14:textId="77777777" w:rsidR="004236C6" w:rsidRDefault="004236C6" w:rsidP="004236C6">
      <w:pPr>
        <w:rPr>
          <w:rFonts w:eastAsia="Times New Roman"/>
          <w:b/>
          <w:bCs/>
          <w:sz w:val="28"/>
          <w:szCs w:val="28"/>
        </w:rPr>
      </w:pPr>
    </w:p>
    <w:p w14:paraId="6CC54FB6" w14:textId="77777777" w:rsidR="004236C6" w:rsidRDefault="004236C6" w:rsidP="004236C6">
      <w:pPr>
        <w:rPr>
          <w:rFonts w:eastAsia="Times New Roman"/>
          <w:b/>
          <w:bCs/>
          <w:sz w:val="28"/>
          <w:szCs w:val="28"/>
        </w:rPr>
      </w:pPr>
    </w:p>
    <w:p w14:paraId="688FE35D" w14:textId="77777777" w:rsidR="004236C6" w:rsidRPr="00FC3B7C" w:rsidRDefault="004236C6" w:rsidP="004236C6">
      <w:pPr>
        <w:rPr>
          <w:sz w:val="20"/>
          <w:szCs w:val="20"/>
        </w:rPr>
      </w:pPr>
      <w:r w:rsidRPr="00FC3B7C">
        <w:rPr>
          <w:rFonts w:eastAsia="Times New Roman"/>
          <w:b/>
          <w:bCs/>
          <w:sz w:val="28"/>
          <w:szCs w:val="28"/>
        </w:rPr>
        <w:lastRenderedPageBreak/>
        <w:t>Zdroje:</w:t>
      </w:r>
    </w:p>
    <w:p w14:paraId="73125680" w14:textId="77777777" w:rsidR="004236C6" w:rsidRPr="00322B52" w:rsidRDefault="004236C6" w:rsidP="004236C6">
      <w:pPr>
        <w:spacing w:line="385" w:lineRule="auto"/>
        <w:ind w:left="280" w:right="1060"/>
        <w:rPr>
          <w:sz w:val="20"/>
          <w:szCs w:val="20"/>
        </w:rPr>
      </w:pPr>
      <w:r w:rsidRPr="00322B52">
        <w:rPr>
          <w:rFonts w:eastAsia="Times New Roman"/>
          <w:szCs w:val="24"/>
        </w:rPr>
        <w:t>HOLMAN, Robert: Dějiny ekonomického myšlení 3. vydání, Praha: Beck 2005, ISBN 978-807-179-380-9</w:t>
      </w:r>
    </w:p>
    <w:p w14:paraId="218D6609" w14:textId="77777777" w:rsidR="004236C6" w:rsidRPr="00322B52" w:rsidRDefault="004236C6" w:rsidP="004236C6">
      <w:pPr>
        <w:spacing w:line="142" w:lineRule="exact"/>
        <w:rPr>
          <w:sz w:val="20"/>
          <w:szCs w:val="20"/>
        </w:rPr>
      </w:pPr>
    </w:p>
    <w:p w14:paraId="489032B9" w14:textId="77777777" w:rsidR="004236C6" w:rsidRPr="00322B52" w:rsidRDefault="004236C6" w:rsidP="004236C6">
      <w:pPr>
        <w:spacing w:line="385" w:lineRule="auto"/>
        <w:ind w:left="280" w:right="2420"/>
        <w:rPr>
          <w:sz w:val="20"/>
          <w:szCs w:val="20"/>
        </w:rPr>
      </w:pPr>
      <w:r w:rsidRPr="00322B52">
        <w:rPr>
          <w:rFonts w:eastAsia="Times New Roman"/>
          <w:szCs w:val="24"/>
        </w:rPr>
        <w:t>HOLMAN, Robert: Makroekonomie 2. vydání, Praha: Beck 2010, ISBN 978-807-179-861-3</w:t>
      </w:r>
    </w:p>
    <w:p w14:paraId="5EF6B9AC" w14:textId="77777777" w:rsidR="004236C6" w:rsidRPr="00322B52" w:rsidRDefault="004236C6" w:rsidP="004236C6">
      <w:pPr>
        <w:spacing w:line="142" w:lineRule="exact"/>
        <w:rPr>
          <w:sz w:val="20"/>
          <w:szCs w:val="20"/>
        </w:rPr>
      </w:pPr>
    </w:p>
    <w:p w14:paraId="3A3DECDA" w14:textId="77777777" w:rsidR="004236C6" w:rsidRPr="00322B52" w:rsidRDefault="004236C6" w:rsidP="004236C6">
      <w:pPr>
        <w:spacing w:line="374" w:lineRule="auto"/>
        <w:ind w:left="280"/>
        <w:rPr>
          <w:sz w:val="20"/>
          <w:szCs w:val="20"/>
        </w:rPr>
      </w:pPr>
      <w:r w:rsidRPr="00322B52">
        <w:rPr>
          <w:rFonts w:eastAsia="Times New Roman"/>
          <w:szCs w:val="24"/>
        </w:rPr>
        <w:t xml:space="preserve">Finweb: Ratingovky doplacajú na to, že Europa nechce počuť pravdu, aktualizované 25. 11. 2011, dostupné z: </w:t>
      </w:r>
      <w:r w:rsidRPr="00322B52">
        <w:rPr>
          <w:rFonts w:eastAsia="Times New Roman"/>
          <w:color w:val="0563C1"/>
          <w:szCs w:val="24"/>
          <w:u w:val="single"/>
        </w:rPr>
        <w:t>http://finweb.hnonline.sk/spravy-zo-sveta-financii-126/ratingovky-doplacaju-na-to-ze-europa-nechce-pocut-pravdu-454888</w:t>
      </w:r>
    </w:p>
    <w:p w14:paraId="74B43A37" w14:textId="77777777" w:rsidR="004236C6" w:rsidRPr="00322B52" w:rsidRDefault="004236C6" w:rsidP="004236C6">
      <w:pPr>
        <w:spacing w:line="150" w:lineRule="exact"/>
        <w:rPr>
          <w:sz w:val="20"/>
          <w:szCs w:val="20"/>
        </w:rPr>
      </w:pPr>
    </w:p>
    <w:p w14:paraId="412A33B6" w14:textId="77777777" w:rsidR="004236C6" w:rsidRPr="00322B52" w:rsidRDefault="004236C6" w:rsidP="004236C6">
      <w:pPr>
        <w:ind w:left="280"/>
        <w:rPr>
          <w:sz w:val="20"/>
          <w:szCs w:val="20"/>
        </w:rPr>
      </w:pPr>
      <w:r w:rsidRPr="00322B52">
        <w:rPr>
          <w:rFonts w:eastAsia="Times New Roman"/>
          <w:szCs w:val="24"/>
        </w:rPr>
        <w:t xml:space="preserve">Vláda ČR, Členové vlády, dostupné z: </w:t>
      </w:r>
      <w:r w:rsidRPr="00322B52">
        <w:rPr>
          <w:rFonts w:eastAsia="Times New Roman"/>
          <w:color w:val="0563C1"/>
          <w:szCs w:val="24"/>
          <w:u w:val="single"/>
        </w:rPr>
        <w:t>http://www.vlada.cz/cz/vlada/</w:t>
      </w:r>
    </w:p>
    <w:p w14:paraId="0B0E9DF8" w14:textId="77777777" w:rsidR="004236C6" w:rsidRPr="00322B52" w:rsidRDefault="004236C6" w:rsidP="004236C6">
      <w:pPr>
        <w:spacing w:line="338" w:lineRule="exact"/>
        <w:rPr>
          <w:sz w:val="20"/>
          <w:szCs w:val="20"/>
        </w:rPr>
      </w:pPr>
    </w:p>
    <w:p w14:paraId="4ACEE632" w14:textId="77777777" w:rsidR="004236C6" w:rsidRPr="00322B52" w:rsidRDefault="004236C6" w:rsidP="004236C6">
      <w:pPr>
        <w:ind w:left="280"/>
        <w:rPr>
          <w:sz w:val="20"/>
          <w:szCs w:val="20"/>
        </w:rPr>
      </w:pPr>
      <w:r w:rsidRPr="00322B52">
        <w:rPr>
          <w:rFonts w:eastAsia="Times New Roman"/>
          <w:szCs w:val="24"/>
        </w:rPr>
        <w:t>ŽÁK, Milan: Hospodářská politika, Praha: VŠEM 2006, ISBN: 978-808-673-004-2</w:t>
      </w:r>
    </w:p>
    <w:p w14:paraId="7E61E15B" w14:textId="77777777" w:rsidR="004236C6" w:rsidRPr="00322B52" w:rsidRDefault="004236C6" w:rsidP="004236C6">
      <w:pPr>
        <w:spacing w:line="338" w:lineRule="exact"/>
        <w:rPr>
          <w:sz w:val="20"/>
          <w:szCs w:val="20"/>
        </w:rPr>
      </w:pPr>
    </w:p>
    <w:p w14:paraId="6870A483" w14:textId="77777777" w:rsidR="004236C6" w:rsidRDefault="004236C6" w:rsidP="004236C6">
      <w:pPr>
        <w:ind w:left="280"/>
        <w:rPr>
          <w:sz w:val="20"/>
          <w:szCs w:val="20"/>
        </w:rPr>
      </w:pPr>
      <w:r w:rsidRPr="00322B52">
        <w:rPr>
          <w:rFonts w:eastAsia="Times New Roman"/>
          <w:szCs w:val="24"/>
        </w:rPr>
        <w:t>Přednášky z Úvodu do hospodářské politiky od Doc. Ing. Miroslav Ševčík, CSc.</w:t>
      </w:r>
    </w:p>
    <w:p w14:paraId="726B958B" w14:textId="2843F240" w:rsidR="004236C6" w:rsidRDefault="004236C6" w:rsidP="004236C6">
      <w:pPr>
        <w:ind w:left="280"/>
        <w:rPr>
          <w:rFonts w:eastAsia="Times New Roman"/>
          <w:szCs w:val="24"/>
        </w:rPr>
      </w:pPr>
      <w:r w:rsidRPr="00322B52">
        <w:rPr>
          <w:rFonts w:eastAsia="Times New Roman"/>
          <w:szCs w:val="24"/>
        </w:rPr>
        <w:t>Přednášky</w:t>
      </w:r>
      <w:r>
        <w:rPr>
          <w:rFonts w:eastAsia="Times New Roman"/>
          <w:szCs w:val="24"/>
        </w:rPr>
        <w:t xml:space="preserve"> </w:t>
      </w:r>
      <w:r w:rsidRPr="00322B52">
        <w:rPr>
          <w:rFonts w:eastAsia="Times New Roman"/>
          <w:szCs w:val="24"/>
        </w:rPr>
        <w:t>z</w:t>
      </w:r>
      <w:r>
        <w:rPr>
          <w:rFonts w:eastAsia="Times New Roman"/>
          <w:szCs w:val="24"/>
        </w:rPr>
        <w:t xml:space="preserve"> </w:t>
      </w:r>
      <w:r w:rsidRPr="00322B52">
        <w:rPr>
          <w:rFonts w:eastAsia="Times New Roman"/>
          <w:szCs w:val="24"/>
        </w:rPr>
        <w:t>Ekonomie veřejného</w:t>
      </w:r>
      <w:r>
        <w:rPr>
          <w:rFonts w:eastAsia="Times New Roman"/>
          <w:szCs w:val="24"/>
        </w:rPr>
        <w:t xml:space="preserve"> </w:t>
      </w:r>
      <w:r w:rsidRPr="00322B52">
        <w:rPr>
          <w:rFonts w:eastAsia="Times New Roman"/>
          <w:szCs w:val="24"/>
        </w:rPr>
        <w:t>sektoru</w:t>
      </w:r>
    </w:p>
    <w:p w14:paraId="4A6F2D6C" w14:textId="696D7C3C" w:rsidR="004236C6" w:rsidRPr="004236C6" w:rsidRDefault="004236C6" w:rsidP="004236C6">
      <w:pPr>
        <w:tabs>
          <w:tab w:val="center" w:pos="4540"/>
        </w:tabs>
        <w:rPr>
          <w:sz w:val="20"/>
          <w:szCs w:val="20"/>
        </w:rPr>
        <w:sectPr w:rsidR="004236C6" w:rsidRPr="004236C6">
          <w:pgSz w:w="11900" w:h="16840"/>
          <w:pgMar w:top="1397" w:right="1400" w:bottom="1440" w:left="1420" w:header="0" w:footer="0" w:gutter="0"/>
          <w:cols w:space="708" w:equalWidth="0">
            <w:col w:w="9080"/>
          </w:cols>
        </w:sectPr>
      </w:pPr>
      <w:r>
        <w:rPr>
          <w:sz w:val="20"/>
          <w:szCs w:val="20"/>
        </w:rPr>
        <w:tab/>
      </w:r>
    </w:p>
    <w:p w14:paraId="35D9854A" w14:textId="77777777" w:rsidR="004236C6" w:rsidRPr="004236C6" w:rsidRDefault="004236C6" w:rsidP="004236C6">
      <w:pPr>
        <w:pStyle w:val="Nadpis1"/>
        <w:ind w:left="0" w:hanging="6"/>
        <w:rPr>
          <w:color w:val="1F3864" w:themeColor="accent1" w:themeShade="80"/>
        </w:rPr>
      </w:pPr>
      <w:bookmarkStart w:id="50" w:name="page50"/>
      <w:bookmarkStart w:id="51" w:name="_Toc535504901"/>
      <w:bookmarkStart w:id="52" w:name="_Toc54254076"/>
      <w:bookmarkEnd w:id="50"/>
      <w:r w:rsidRPr="004236C6">
        <w:rPr>
          <w:color w:val="1F3864" w:themeColor="accent1" w:themeShade="80"/>
        </w:rPr>
        <w:lastRenderedPageBreak/>
        <w:t>VÝVOJ EKONOMICKO-POLITICKÝCH KONCEPCÍ HOSPODÁŘSKÉ POLITIKY</w:t>
      </w:r>
      <w:bookmarkEnd w:id="51"/>
      <w:bookmarkEnd w:id="52"/>
    </w:p>
    <w:p w14:paraId="74DB476A" w14:textId="77777777" w:rsidR="004236C6" w:rsidRPr="00FC3B7C" w:rsidRDefault="004236C6" w:rsidP="004236C6">
      <w:pPr>
        <w:spacing w:line="138" w:lineRule="exact"/>
        <w:rPr>
          <w:sz w:val="20"/>
          <w:szCs w:val="20"/>
        </w:rPr>
      </w:pPr>
    </w:p>
    <w:p w14:paraId="1B4F9E0D" w14:textId="77777777" w:rsidR="004236C6" w:rsidRPr="00FC3B7C" w:rsidRDefault="004236C6" w:rsidP="004236C6">
      <w:pPr>
        <w:rPr>
          <w:sz w:val="20"/>
          <w:szCs w:val="20"/>
        </w:rPr>
      </w:pPr>
      <w:r w:rsidRPr="00FC3B7C">
        <w:rPr>
          <w:rFonts w:eastAsia="Times New Roman"/>
          <w:b/>
          <w:bCs/>
          <w:sz w:val="28"/>
          <w:szCs w:val="28"/>
        </w:rPr>
        <w:t>Slovníček pojmů:</w:t>
      </w:r>
    </w:p>
    <w:p w14:paraId="586F2BF8" w14:textId="77777777" w:rsidR="004236C6" w:rsidRPr="00FC3B7C" w:rsidRDefault="004236C6" w:rsidP="004236C6">
      <w:pPr>
        <w:rPr>
          <w:sz w:val="20"/>
          <w:szCs w:val="20"/>
        </w:rPr>
      </w:pPr>
      <w:r w:rsidRPr="00FC3B7C">
        <w:rPr>
          <w:rFonts w:eastAsia="Times New Roman"/>
          <w:i/>
          <w:iCs/>
          <w:u w:val="single"/>
        </w:rPr>
        <w:t>Redistribuce v hospodářství</w:t>
      </w:r>
      <w:r w:rsidRPr="00FC3B7C">
        <w:rPr>
          <w:rFonts w:eastAsia="Times New Roman"/>
          <w:i/>
          <w:iCs/>
        </w:rPr>
        <w:t xml:space="preserve"> </w:t>
      </w:r>
      <w:r w:rsidRPr="00FC3B7C">
        <w:rPr>
          <w:rFonts w:eastAsia="Times New Roman"/>
        </w:rPr>
        <w:t>– Přerozdělení zdrojů</w:t>
      </w:r>
      <w:r w:rsidRPr="00FC3B7C">
        <w:rPr>
          <w:rFonts w:eastAsia="Times New Roman"/>
          <w:i/>
          <w:iCs/>
        </w:rPr>
        <w:t xml:space="preserve"> </w:t>
      </w:r>
      <w:r w:rsidRPr="00FC3B7C">
        <w:rPr>
          <w:rFonts w:eastAsia="Times New Roman"/>
        </w:rPr>
        <w:t>za účelem snížení rozdílu nerovnosti mezi</w:t>
      </w:r>
      <w:r w:rsidRPr="00FC3B7C">
        <w:rPr>
          <w:rFonts w:eastAsia="Times New Roman"/>
          <w:i/>
          <w:iCs/>
        </w:rPr>
        <w:t xml:space="preserve"> </w:t>
      </w:r>
      <w:r w:rsidRPr="00FC3B7C">
        <w:rPr>
          <w:rFonts w:eastAsia="Times New Roman"/>
        </w:rPr>
        <w:t>subjekty.</w:t>
      </w:r>
    </w:p>
    <w:p w14:paraId="3BF69B5E" w14:textId="77777777" w:rsidR="004236C6" w:rsidRPr="00FC3B7C" w:rsidRDefault="004236C6" w:rsidP="004236C6">
      <w:pPr>
        <w:rPr>
          <w:sz w:val="20"/>
          <w:szCs w:val="20"/>
        </w:rPr>
      </w:pPr>
      <w:r w:rsidRPr="00FC3B7C">
        <w:rPr>
          <w:rFonts w:eastAsia="Times New Roman"/>
          <w:i/>
          <w:iCs/>
          <w:u w:val="single"/>
        </w:rPr>
        <w:t>Welfare state (stát blahobytu)</w:t>
      </w:r>
      <w:r w:rsidRPr="00FC3B7C">
        <w:rPr>
          <w:rFonts w:eastAsia="Times New Roman"/>
          <w:i/>
          <w:iCs/>
        </w:rPr>
        <w:t xml:space="preserve"> </w:t>
      </w:r>
      <w:r w:rsidRPr="00FC3B7C">
        <w:rPr>
          <w:rFonts w:eastAsia="Times New Roman"/>
        </w:rPr>
        <w:t>– Koncept státu, který</w:t>
      </w:r>
      <w:r w:rsidRPr="00FC3B7C">
        <w:rPr>
          <w:rFonts w:eastAsia="Times New Roman"/>
          <w:i/>
          <w:iCs/>
        </w:rPr>
        <w:t xml:space="preserve"> </w:t>
      </w:r>
      <w:r w:rsidRPr="00FC3B7C">
        <w:rPr>
          <w:rFonts w:eastAsia="Times New Roman"/>
        </w:rPr>
        <w:t>přebírá odpovědnost za blahobyt občanů</w:t>
      </w:r>
      <w:r w:rsidRPr="00FC3B7C">
        <w:rPr>
          <w:rFonts w:eastAsia="Times New Roman"/>
          <w:i/>
          <w:iCs/>
        </w:rPr>
        <w:t xml:space="preserve"> </w:t>
      </w:r>
      <w:r w:rsidRPr="00FC3B7C">
        <w:rPr>
          <w:rFonts w:eastAsia="Times New Roman"/>
        </w:rPr>
        <w:t>a tomuto uzpůsobuje hospodářskou a sociální politiku.</w:t>
      </w:r>
    </w:p>
    <w:p w14:paraId="7EB3298E" w14:textId="77777777" w:rsidR="004236C6" w:rsidRPr="00FC3B7C" w:rsidRDefault="004236C6" w:rsidP="004236C6">
      <w:pPr>
        <w:rPr>
          <w:sz w:val="20"/>
          <w:szCs w:val="20"/>
        </w:rPr>
      </w:pPr>
      <w:r w:rsidRPr="00FC3B7C">
        <w:rPr>
          <w:rFonts w:eastAsia="Times New Roman"/>
          <w:i/>
          <w:iCs/>
          <w:u w:val="single"/>
        </w:rPr>
        <w:t>Diskreční politika</w:t>
      </w:r>
      <w:r w:rsidRPr="00FC3B7C">
        <w:rPr>
          <w:rFonts w:eastAsia="Times New Roman"/>
          <w:i/>
          <w:iCs/>
        </w:rPr>
        <w:t xml:space="preserve"> </w:t>
      </w:r>
      <w:r w:rsidRPr="00FC3B7C">
        <w:rPr>
          <w:rFonts w:eastAsia="Times New Roman"/>
        </w:rPr>
        <w:t>– Dolaďování stavu ekonomiky prostřednictvím operativních korekcí.</w:t>
      </w:r>
    </w:p>
    <w:p w14:paraId="3A4E2692" w14:textId="77777777" w:rsidR="004236C6" w:rsidRPr="00FC3B7C" w:rsidRDefault="004236C6" w:rsidP="004236C6">
      <w:pPr>
        <w:rPr>
          <w:sz w:val="20"/>
          <w:szCs w:val="20"/>
        </w:rPr>
      </w:pPr>
      <w:r w:rsidRPr="00FC3B7C">
        <w:rPr>
          <w:rFonts w:eastAsia="Times New Roman"/>
          <w:i/>
          <w:iCs/>
          <w:sz w:val="23"/>
          <w:szCs w:val="23"/>
          <w:u w:val="single"/>
        </w:rPr>
        <w:t>Recese</w:t>
      </w:r>
      <w:r w:rsidRPr="00FC3B7C">
        <w:rPr>
          <w:rFonts w:eastAsia="Times New Roman"/>
          <w:i/>
          <w:iCs/>
          <w:sz w:val="23"/>
          <w:szCs w:val="23"/>
        </w:rPr>
        <w:t xml:space="preserve"> </w:t>
      </w:r>
      <w:r w:rsidRPr="00FC3B7C">
        <w:rPr>
          <w:rFonts w:eastAsia="Times New Roman"/>
          <w:sz w:val="23"/>
          <w:szCs w:val="23"/>
        </w:rPr>
        <w:t>– Stav v ekonomice, kdy HDP státu pokleslo ve dvou a více po sobě</w:t>
      </w:r>
      <w:r w:rsidRPr="00FC3B7C">
        <w:rPr>
          <w:rFonts w:eastAsia="Times New Roman"/>
          <w:i/>
          <w:iCs/>
          <w:sz w:val="23"/>
          <w:szCs w:val="23"/>
        </w:rPr>
        <w:t xml:space="preserve"> </w:t>
      </w:r>
      <w:r w:rsidRPr="00FC3B7C">
        <w:rPr>
          <w:rFonts w:eastAsia="Times New Roman"/>
          <w:sz w:val="23"/>
          <w:szCs w:val="23"/>
        </w:rPr>
        <w:t>jdoucích</w:t>
      </w:r>
      <w:r w:rsidRPr="00FC3B7C">
        <w:rPr>
          <w:rFonts w:eastAsia="Times New Roman"/>
          <w:i/>
          <w:iCs/>
          <w:sz w:val="23"/>
          <w:szCs w:val="23"/>
        </w:rPr>
        <w:t xml:space="preserve"> </w:t>
      </w:r>
      <w:r w:rsidRPr="00FC3B7C">
        <w:rPr>
          <w:rFonts w:eastAsia="Times New Roman"/>
          <w:sz w:val="23"/>
          <w:szCs w:val="23"/>
        </w:rPr>
        <w:t>čtvrtletích.</w:t>
      </w:r>
    </w:p>
    <w:p w14:paraId="632A7DC9" w14:textId="77777777" w:rsidR="004236C6" w:rsidRPr="00FC3B7C" w:rsidRDefault="004236C6" w:rsidP="004236C6">
      <w:pPr>
        <w:rPr>
          <w:sz w:val="20"/>
          <w:szCs w:val="20"/>
        </w:rPr>
      </w:pPr>
      <w:r w:rsidRPr="00FC3B7C">
        <w:rPr>
          <w:rFonts w:eastAsia="Times New Roman"/>
          <w:i/>
          <w:iCs/>
          <w:u w:val="single"/>
        </w:rPr>
        <w:t>Inflace</w:t>
      </w:r>
      <w:r w:rsidRPr="00FC3B7C">
        <w:rPr>
          <w:rFonts w:eastAsia="Times New Roman"/>
          <w:i/>
          <w:iCs/>
        </w:rPr>
        <w:t xml:space="preserve"> </w:t>
      </w:r>
      <w:r w:rsidRPr="00FC3B7C">
        <w:rPr>
          <w:rFonts w:eastAsia="Times New Roman"/>
        </w:rPr>
        <w:t>– Všeobecný</w:t>
      </w:r>
      <w:r w:rsidRPr="00FC3B7C">
        <w:rPr>
          <w:rFonts w:eastAsia="Times New Roman"/>
          <w:i/>
          <w:iCs/>
        </w:rPr>
        <w:t xml:space="preserve"> </w:t>
      </w:r>
      <w:r w:rsidRPr="00FC3B7C">
        <w:rPr>
          <w:rFonts w:eastAsia="Times New Roman"/>
        </w:rPr>
        <w:t>vzestup celkové cenové hladiny (měřeno např. indexem spotř. cen CPI).</w:t>
      </w:r>
    </w:p>
    <w:p w14:paraId="7028848C" w14:textId="77777777" w:rsidR="004236C6" w:rsidRPr="00FC3B7C" w:rsidRDefault="004236C6" w:rsidP="004236C6">
      <w:pPr>
        <w:rPr>
          <w:sz w:val="20"/>
          <w:szCs w:val="20"/>
        </w:rPr>
      </w:pPr>
      <w:r w:rsidRPr="00FC3B7C">
        <w:rPr>
          <w:rFonts w:eastAsia="Times New Roman"/>
          <w:i/>
          <w:iCs/>
          <w:u w:val="single"/>
        </w:rPr>
        <w:t>Deflace</w:t>
      </w:r>
      <w:r w:rsidRPr="00FC3B7C">
        <w:rPr>
          <w:rFonts w:eastAsia="Times New Roman"/>
          <w:i/>
          <w:iCs/>
        </w:rPr>
        <w:t xml:space="preserve"> </w:t>
      </w:r>
      <w:r w:rsidRPr="00FC3B7C">
        <w:rPr>
          <w:rFonts w:eastAsia="Times New Roman"/>
        </w:rPr>
        <w:t>– Déle trvající pokles celkové cenové hladiny.</w:t>
      </w:r>
    </w:p>
    <w:p w14:paraId="5D71EAB7" w14:textId="77777777" w:rsidR="004236C6" w:rsidRPr="00FC3B7C" w:rsidRDefault="004236C6" w:rsidP="004236C6">
      <w:pPr>
        <w:rPr>
          <w:sz w:val="20"/>
          <w:szCs w:val="20"/>
        </w:rPr>
      </w:pPr>
      <w:r w:rsidRPr="00FC3B7C">
        <w:rPr>
          <w:rFonts w:eastAsia="Times New Roman"/>
          <w:i/>
          <w:iCs/>
          <w:u w:val="single"/>
        </w:rPr>
        <w:t>Stagflace</w:t>
      </w:r>
      <w:r w:rsidRPr="00FC3B7C">
        <w:rPr>
          <w:rFonts w:eastAsia="Times New Roman"/>
          <w:i/>
          <w:iCs/>
        </w:rPr>
        <w:t xml:space="preserve"> </w:t>
      </w:r>
      <w:r w:rsidRPr="00FC3B7C">
        <w:rPr>
          <w:rFonts w:eastAsia="Times New Roman"/>
        </w:rPr>
        <w:t>– Propojení stagnace ekonomiky (nulový,</w:t>
      </w:r>
      <w:r w:rsidRPr="00FC3B7C">
        <w:rPr>
          <w:rFonts w:eastAsia="Times New Roman"/>
          <w:i/>
          <w:iCs/>
        </w:rPr>
        <w:t xml:space="preserve"> </w:t>
      </w:r>
      <w:r w:rsidRPr="00FC3B7C">
        <w:rPr>
          <w:rFonts w:eastAsia="Times New Roman"/>
        </w:rPr>
        <w:t>či záporný</w:t>
      </w:r>
      <w:r w:rsidRPr="00FC3B7C">
        <w:rPr>
          <w:rFonts w:eastAsia="Times New Roman"/>
          <w:i/>
          <w:iCs/>
        </w:rPr>
        <w:t xml:space="preserve"> </w:t>
      </w:r>
      <w:r w:rsidRPr="00FC3B7C">
        <w:rPr>
          <w:rFonts w:eastAsia="Times New Roman"/>
        </w:rPr>
        <w:t>růst HDP) a vysoké</w:t>
      </w:r>
      <w:r w:rsidRPr="00FC3B7C">
        <w:rPr>
          <w:rFonts w:eastAsia="Times New Roman"/>
          <w:i/>
          <w:iCs/>
        </w:rPr>
        <w:t xml:space="preserve"> </w:t>
      </w:r>
      <w:r w:rsidRPr="00FC3B7C">
        <w:rPr>
          <w:rFonts w:eastAsia="Times New Roman"/>
        </w:rPr>
        <w:t>nezaměstnanosti s inflací.</w:t>
      </w:r>
    </w:p>
    <w:p w14:paraId="7646520F" w14:textId="77777777" w:rsidR="004236C6" w:rsidRPr="00FC3B7C" w:rsidRDefault="004236C6" w:rsidP="004236C6">
      <w:pPr>
        <w:rPr>
          <w:sz w:val="20"/>
          <w:szCs w:val="20"/>
        </w:rPr>
      </w:pPr>
      <w:r w:rsidRPr="00FC3B7C">
        <w:rPr>
          <w:rFonts w:eastAsia="Times New Roman"/>
          <w:i/>
          <w:iCs/>
          <w:u w:val="single"/>
        </w:rPr>
        <w:t>Sayův zákon trhů</w:t>
      </w:r>
      <w:r w:rsidRPr="00FC3B7C">
        <w:rPr>
          <w:rFonts w:eastAsia="Times New Roman"/>
          <w:i/>
          <w:iCs/>
        </w:rPr>
        <w:t xml:space="preserve"> </w:t>
      </w:r>
      <w:r w:rsidRPr="00FC3B7C">
        <w:rPr>
          <w:rFonts w:eastAsia="Times New Roman"/>
        </w:rPr>
        <w:t>– Teorém samoregulační schopnosti trhu, tvorba poptávky nabídkou, což</w:t>
      </w:r>
      <w:r w:rsidRPr="00FC3B7C">
        <w:rPr>
          <w:rFonts w:eastAsia="Times New Roman"/>
          <w:i/>
          <w:iCs/>
        </w:rPr>
        <w:t xml:space="preserve"> </w:t>
      </w:r>
      <w:r w:rsidRPr="00FC3B7C">
        <w:rPr>
          <w:rFonts w:eastAsia="Times New Roman"/>
        </w:rPr>
        <w:t>vyvrací existenci nadvýroby a masové nezaměstnanosti.</w:t>
      </w:r>
    </w:p>
    <w:p w14:paraId="02C6F2A7" w14:textId="77777777" w:rsidR="004236C6" w:rsidRPr="00FC3B7C" w:rsidRDefault="004236C6" w:rsidP="004236C6">
      <w:pPr>
        <w:rPr>
          <w:sz w:val="20"/>
          <w:szCs w:val="20"/>
        </w:rPr>
      </w:pPr>
      <w:r w:rsidRPr="00FC3B7C">
        <w:rPr>
          <w:rFonts w:eastAsia="Times New Roman"/>
          <w:i/>
          <w:iCs/>
          <w:u w:val="single"/>
        </w:rPr>
        <w:t>Vyčišťování trhů</w:t>
      </w:r>
      <w:r w:rsidRPr="00FC3B7C">
        <w:rPr>
          <w:rFonts w:eastAsia="Times New Roman"/>
          <w:i/>
          <w:iCs/>
        </w:rPr>
        <w:t xml:space="preserve"> </w:t>
      </w:r>
      <w:r w:rsidRPr="00FC3B7C">
        <w:rPr>
          <w:rFonts w:eastAsia="Times New Roman"/>
        </w:rPr>
        <w:t xml:space="preserve">– Koncept neustálého proměňování poptávek a nabídek, které se ustálí </w:t>
      </w:r>
      <w:r>
        <w:rPr>
          <w:rFonts w:eastAsia="Times New Roman"/>
        </w:rPr>
        <w:br/>
      </w:r>
      <w:r w:rsidRPr="00FC3B7C">
        <w:rPr>
          <w:rFonts w:eastAsia="Times New Roman"/>
        </w:rPr>
        <w:t>v</w:t>
      </w:r>
      <w:r w:rsidRPr="00FC3B7C">
        <w:rPr>
          <w:rFonts w:eastAsia="Times New Roman"/>
          <w:i/>
          <w:iCs/>
        </w:rPr>
        <w:t xml:space="preserve"> </w:t>
      </w:r>
      <w:r w:rsidRPr="00FC3B7C">
        <w:rPr>
          <w:rFonts w:eastAsia="Times New Roman"/>
        </w:rPr>
        <w:t>rovnovážných bodech.</w:t>
      </w:r>
    </w:p>
    <w:p w14:paraId="2557A50B" w14:textId="77777777" w:rsidR="004236C6" w:rsidRPr="00FC3B7C" w:rsidRDefault="004236C6" w:rsidP="004236C6">
      <w:pPr>
        <w:rPr>
          <w:sz w:val="20"/>
          <w:szCs w:val="20"/>
        </w:rPr>
      </w:pPr>
      <w:r w:rsidRPr="00FC3B7C">
        <w:rPr>
          <w:rFonts w:eastAsia="Times New Roman"/>
          <w:i/>
          <w:iCs/>
          <w:u w:val="single"/>
        </w:rPr>
        <w:t>Autonomní spotřeba</w:t>
      </w:r>
      <w:r w:rsidRPr="00FC3B7C">
        <w:rPr>
          <w:rFonts w:eastAsia="Times New Roman"/>
          <w:i/>
          <w:iCs/>
        </w:rPr>
        <w:t xml:space="preserve"> </w:t>
      </w:r>
      <w:r w:rsidRPr="00FC3B7C">
        <w:rPr>
          <w:rFonts w:eastAsia="Times New Roman"/>
        </w:rPr>
        <w:t>– Neodvratitelná spotřeba nezávislá na důchodu.</w:t>
      </w:r>
    </w:p>
    <w:p w14:paraId="2E636F91" w14:textId="77777777" w:rsidR="004236C6" w:rsidRPr="00FC3B7C" w:rsidRDefault="004236C6" w:rsidP="004236C6">
      <w:pPr>
        <w:rPr>
          <w:sz w:val="20"/>
          <w:szCs w:val="20"/>
        </w:rPr>
      </w:pPr>
      <w:r w:rsidRPr="00FC3B7C">
        <w:rPr>
          <w:rFonts w:eastAsia="Times New Roman"/>
          <w:i/>
          <w:iCs/>
          <w:u w:val="single"/>
        </w:rPr>
        <w:t>Multiplikátor vládních výdajů</w:t>
      </w:r>
      <w:r w:rsidRPr="00FC3B7C">
        <w:rPr>
          <w:rFonts w:eastAsia="Times New Roman"/>
          <w:i/>
          <w:iCs/>
        </w:rPr>
        <w:t xml:space="preserve"> </w:t>
      </w:r>
      <w:r w:rsidRPr="00FC3B7C">
        <w:rPr>
          <w:rFonts w:eastAsia="Times New Roman"/>
        </w:rPr>
        <w:t>- Koncepce několikanásobného kladného dopadu vládních</w:t>
      </w:r>
      <w:r w:rsidRPr="00FC3B7C">
        <w:rPr>
          <w:rFonts w:eastAsia="Times New Roman"/>
          <w:i/>
          <w:iCs/>
        </w:rPr>
        <w:t xml:space="preserve"> </w:t>
      </w:r>
      <w:r w:rsidRPr="00FC3B7C">
        <w:rPr>
          <w:rFonts w:eastAsia="Times New Roman"/>
        </w:rPr>
        <w:t>investic na ekonomiku svou tvorbou příležitostí.</w:t>
      </w:r>
    </w:p>
    <w:p w14:paraId="37BBCC9E" w14:textId="77777777" w:rsidR="004236C6" w:rsidRPr="00FC3B7C" w:rsidRDefault="004236C6" w:rsidP="004236C6">
      <w:pPr>
        <w:rPr>
          <w:sz w:val="20"/>
          <w:szCs w:val="20"/>
        </w:rPr>
      </w:pPr>
      <w:r w:rsidRPr="00FC3B7C">
        <w:rPr>
          <w:rFonts w:eastAsia="Times New Roman"/>
          <w:i/>
          <w:iCs/>
          <w:u w:val="single"/>
        </w:rPr>
        <w:t>Keynesiánský</w:t>
      </w:r>
      <w:r w:rsidRPr="00FC3B7C">
        <w:rPr>
          <w:rFonts w:eastAsia="Times New Roman"/>
          <w:i/>
          <w:iCs/>
        </w:rPr>
        <w:t xml:space="preserve"> </w:t>
      </w:r>
      <w:r w:rsidRPr="00FC3B7C">
        <w:rPr>
          <w:rFonts w:eastAsia="Times New Roman"/>
          <w:i/>
          <w:iCs/>
          <w:u w:val="single"/>
        </w:rPr>
        <w:t>psychologický</w:t>
      </w:r>
      <w:r w:rsidRPr="00FC3B7C">
        <w:rPr>
          <w:rFonts w:eastAsia="Times New Roman"/>
          <w:i/>
          <w:iCs/>
        </w:rPr>
        <w:t xml:space="preserve"> </w:t>
      </w:r>
      <w:r w:rsidRPr="00FC3B7C">
        <w:rPr>
          <w:rFonts w:eastAsia="Times New Roman"/>
          <w:i/>
          <w:iCs/>
          <w:u w:val="single"/>
        </w:rPr>
        <w:t>zákon</w:t>
      </w:r>
      <w:r w:rsidRPr="00FC3B7C">
        <w:rPr>
          <w:rFonts w:eastAsia="Times New Roman"/>
          <w:i/>
          <w:iCs/>
        </w:rPr>
        <w:t xml:space="preserve"> </w:t>
      </w:r>
      <w:r w:rsidRPr="00FC3B7C">
        <w:rPr>
          <w:rFonts w:eastAsia="Times New Roman"/>
        </w:rPr>
        <w:t>– Teoretický</w:t>
      </w:r>
      <w:r w:rsidRPr="00FC3B7C">
        <w:rPr>
          <w:rFonts w:eastAsia="Times New Roman"/>
          <w:i/>
          <w:iCs/>
        </w:rPr>
        <w:t xml:space="preserve"> </w:t>
      </w:r>
      <w:r w:rsidRPr="00FC3B7C">
        <w:rPr>
          <w:rFonts w:eastAsia="Times New Roman"/>
        </w:rPr>
        <w:t xml:space="preserve">přístup klesajícího průměrného sklonu </w:t>
      </w:r>
      <w:r>
        <w:rPr>
          <w:rFonts w:eastAsia="Times New Roman"/>
        </w:rPr>
        <w:br/>
      </w:r>
      <w:r w:rsidRPr="00FC3B7C">
        <w:rPr>
          <w:rFonts w:eastAsia="Times New Roman"/>
        </w:rPr>
        <w:t>ke</w:t>
      </w:r>
      <w:r w:rsidRPr="00FC3B7C">
        <w:rPr>
          <w:rFonts w:eastAsia="Times New Roman"/>
          <w:i/>
          <w:iCs/>
        </w:rPr>
        <w:t xml:space="preserve"> </w:t>
      </w:r>
      <w:r w:rsidRPr="00FC3B7C">
        <w:rPr>
          <w:rFonts w:eastAsia="Times New Roman"/>
        </w:rPr>
        <w:t>spotřebě při růstu důchodu.</w:t>
      </w:r>
    </w:p>
    <w:p w14:paraId="3AA5930E" w14:textId="77777777" w:rsidR="004236C6" w:rsidRPr="00FC3B7C" w:rsidRDefault="004236C6" w:rsidP="004236C6">
      <w:pPr>
        <w:rPr>
          <w:sz w:val="20"/>
          <w:szCs w:val="20"/>
        </w:rPr>
      </w:pPr>
      <w:r w:rsidRPr="00FC3B7C">
        <w:rPr>
          <w:rFonts w:eastAsia="Times New Roman"/>
          <w:i/>
          <w:iCs/>
          <w:u w:val="single"/>
        </w:rPr>
        <w:t>Friedmanovský</w:t>
      </w:r>
      <w:r w:rsidRPr="00FC3B7C">
        <w:rPr>
          <w:rFonts w:eastAsia="Times New Roman"/>
          <w:i/>
          <w:iCs/>
        </w:rPr>
        <w:t xml:space="preserve"> </w:t>
      </w:r>
      <w:r w:rsidRPr="00FC3B7C">
        <w:rPr>
          <w:rFonts w:eastAsia="Times New Roman"/>
          <w:i/>
          <w:iCs/>
          <w:u w:val="single"/>
        </w:rPr>
        <w:t>monetarismus</w:t>
      </w:r>
      <w:r w:rsidRPr="00FC3B7C">
        <w:rPr>
          <w:rFonts w:eastAsia="Times New Roman"/>
          <w:i/>
          <w:iCs/>
        </w:rPr>
        <w:t xml:space="preserve"> </w:t>
      </w:r>
      <w:r w:rsidRPr="00FC3B7C">
        <w:rPr>
          <w:rFonts w:eastAsia="Times New Roman"/>
        </w:rPr>
        <w:t>– Teorie vznikající mezi ekonomy nové kvantitativní teorie</w:t>
      </w:r>
      <w:r w:rsidRPr="00FC3B7C">
        <w:rPr>
          <w:rFonts w:eastAsia="Times New Roman"/>
          <w:i/>
          <w:iCs/>
        </w:rPr>
        <w:t xml:space="preserve"> </w:t>
      </w:r>
      <w:r w:rsidRPr="00FC3B7C">
        <w:rPr>
          <w:rFonts w:eastAsia="Times New Roman"/>
        </w:rPr>
        <w:t>peněž vznikající jako kontra-teorie keynesiánství.</w:t>
      </w:r>
    </w:p>
    <w:p w14:paraId="7D0748C3" w14:textId="77777777" w:rsidR="004236C6" w:rsidRPr="00FC3B7C" w:rsidRDefault="004236C6" w:rsidP="004236C6">
      <w:pPr>
        <w:rPr>
          <w:sz w:val="20"/>
          <w:szCs w:val="20"/>
        </w:rPr>
      </w:pPr>
      <w:r w:rsidRPr="00FC3B7C">
        <w:rPr>
          <w:rFonts w:eastAsia="Times New Roman"/>
          <w:i/>
          <w:iCs/>
          <w:u w:val="single"/>
        </w:rPr>
        <w:t>Paradox spořivosti</w:t>
      </w:r>
      <w:r w:rsidRPr="00FC3B7C">
        <w:rPr>
          <w:rFonts w:eastAsia="Times New Roman"/>
          <w:i/>
          <w:iCs/>
        </w:rPr>
        <w:t xml:space="preserve"> </w:t>
      </w:r>
      <w:r w:rsidRPr="00FC3B7C">
        <w:rPr>
          <w:rFonts w:eastAsia="Times New Roman"/>
        </w:rPr>
        <w:t>– Keynesiánská teorie snížení úspor v následku původní spořivosti, která</w:t>
      </w:r>
      <w:r w:rsidRPr="00FC3B7C">
        <w:rPr>
          <w:rFonts w:eastAsia="Times New Roman"/>
          <w:i/>
          <w:iCs/>
        </w:rPr>
        <w:t xml:space="preserve"> </w:t>
      </w:r>
      <w:r w:rsidRPr="00FC3B7C">
        <w:rPr>
          <w:rFonts w:eastAsia="Times New Roman"/>
        </w:rPr>
        <w:t xml:space="preserve">následně snížila agregátní poptávku a následně i produkt, který dále tvoří právě spotřebu </w:t>
      </w:r>
      <w:r>
        <w:rPr>
          <w:rFonts w:eastAsia="Times New Roman"/>
        </w:rPr>
        <w:br/>
      </w:r>
      <w:r w:rsidRPr="00FC3B7C">
        <w:rPr>
          <w:rFonts w:eastAsia="Times New Roman"/>
        </w:rPr>
        <w:t>a úspory.</w:t>
      </w:r>
    </w:p>
    <w:p w14:paraId="1B7F6863" w14:textId="77777777" w:rsidR="004236C6" w:rsidRPr="00FC3B7C" w:rsidRDefault="004236C6" w:rsidP="004236C6">
      <w:pPr>
        <w:rPr>
          <w:sz w:val="20"/>
          <w:szCs w:val="20"/>
        </w:rPr>
      </w:pPr>
      <w:r w:rsidRPr="00FC3B7C">
        <w:rPr>
          <w:rFonts w:eastAsia="Times New Roman"/>
          <w:i/>
          <w:iCs/>
          <w:u w:val="single"/>
        </w:rPr>
        <w:t>Tržní selhání</w:t>
      </w:r>
      <w:r w:rsidRPr="00FC3B7C">
        <w:rPr>
          <w:rFonts w:eastAsia="Times New Roman"/>
          <w:i/>
          <w:iCs/>
        </w:rPr>
        <w:t xml:space="preserve"> </w:t>
      </w:r>
      <w:r w:rsidRPr="00FC3B7C">
        <w:rPr>
          <w:rFonts w:eastAsia="Times New Roman"/>
        </w:rPr>
        <w:t>– Hlavní body kritiky proti liberálnímu konceptu ekonomie vyzdvihující</w:t>
      </w:r>
      <w:r w:rsidRPr="00FC3B7C">
        <w:rPr>
          <w:rFonts w:eastAsia="Times New Roman"/>
          <w:i/>
          <w:iCs/>
        </w:rPr>
        <w:t xml:space="preserve"> </w:t>
      </w:r>
      <w:r w:rsidRPr="00FC3B7C">
        <w:rPr>
          <w:rFonts w:eastAsia="Times New Roman"/>
        </w:rPr>
        <w:t>neefektivnosti trhu.</w:t>
      </w:r>
    </w:p>
    <w:p w14:paraId="01D46813" w14:textId="77777777" w:rsidR="004236C6" w:rsidRPr="00FC3B7C" w:rsidRDefault="004236C6" w:rsidP="004236C6">
      <w:pPr>
        <w:rPr>
          <w:sz w:val="20"/>
          <w:szCs w:val="20"/>
        </w:rPr>
      </w:pPr>
      <w:r w:rsidRPr="00FC3B7C">
        <w:rPr>
          <w:rFonts w:eastAsia="Times New Roman"/>
          <w:i/>
          <w:iCs/>
          <w:u w:val="single"/>
        </w:rPr>
        <w:t>Vládní selhání</w:t>
      </w:r>
      <w:r w:rsidRPr="00FC3B7C">
        <w:rPr>
          <w:rFonts w:eastAsia="Times New Roman"/>
          <w:i/>
          <w:iCs/>
        </w:rPr>
        <w:t xml:space="preserve"> </w:t>
      </w:r>
      <w:r w:rsidRPr="00FC3B7C">
        <w:rPr>
          <w:rFonts w:eastAsia="Times New Roman"/>
        </w:rPr>
        <w:t>– Obranné teorie proti kritice tržního liberalismu směřované na zastánce státního</w:t>
      </w:r>
      <w:r w:rsidRPr="00FC3B7C">
        <w:rPr>
          <w:rFonts w:eastAsia="Times New Roman"/>
          <w:i/>
          <w:iCs/>
        </w:rPr>
        <w:t xml:space="preserve"> </w:t>
      </w:r>
      <w:r w:rsidRPr="00FC3B7C">
        <w:rPr>
          <w:rFonts w:eastAsia="Times New Roman"/>
        </w:rPr>
        <w:t>paternalismu.</w:t>
      </w:r>
    </w:p>
    <w:p w14:paraId="4CA946AA" w14:textId="77777777" w:rsidR="004236C6" w:rsidRPr="00FC3B7C" w:rsidRDefault="004236C6" w:rsidP="004236C6">
      <w:pPr>
        <w:sectPr w:rsidR="004236C6" w:rsidRPr="00FC3B7C">
          <w:pgSz w:w="11900" w:h="16840"/>
          <w:pgMar w:top="1388" w:right="1420" w:bottom="1440" w:left="1420" w:header="0" w:footer="0" w:gutter="0"/>
          <w:cols w:space="708" w:equalWidth="0">
            <w:col w:w="9060"/>
          </w:cols>
        </w:sectPr>
      </w:pPr>
    </w:p>
    <w:p w14:paraId="1508D695" w14:textId="77777777" w:rsidR="004236C6" w:rsidRPr="00FC3B7C" w:rsidRDefault="004236C6" w:rsidP="004236C6">
      <w:pPr>
        <w:spacing w:line="363" w:lineRule="auto"/>
        <w:rPr>
          <w:sz w:val="20"/>
          <w:szCs w:val="20"/>
        </w:rPr>
      </w:pPr>
      <w:bookmarkStart w:id="53" w:name="page51"/>
      <w:bookmarkEnd w:id="53"/>
      <w:r w:rsidRPr="00FC3B7C">
        <w:rPr>
          <w:rFonts w:eastAsia="Times New Roman"/>
          <w:i/>
          <w:iCs/>
          <w:szCs w:val="24"/>
          <w:u w:val="single"/>
        </w:rPr>
        <w:lastRenderedPageBreak/>
        <w:t>Státní paternalismus</w:t>
      </w:r>
      <w:r w:rsidRPr="00FC3B7C">
        <w:rPr>
          <w:rFonts w:eastAsia="Times New Roman"/>
          <w:i/>
          <w:iCs/>
          <w:szCs w:val="24"/>
        </w:rPr>
        <w:t xml:space="preserve"> </w:t>
      </w:r>
      <w:r w:rsidRPr="00FC3B7C">
        <w:rPr>
          <w:rFonts w:eastAsia="Times New Roman"/>
          <w:szCs w:val="24"/>
        </w:rPr>
        <w:t>– Situace v ekonomice, kdy stát určitým subjektům odepírá svou</w:t>
      </w:r>
      <w:r w:rsidRPr="00FC3B7C">
        <w:rPr>
          <w:rFonts w:eastAsia="Times New Roman"/>
          <w:i/>
          <w:iCs/>
          <w:szCs w:val="24"/>
        </w:rPr>
        <w:t xml:space="preserve"> </w:t>
      </w:r>
      <w:r w:rsidRPr="00FC3B7C">
        <w:rPr>
          <w:rFonts w:eastAsia="Times New Roman"/>
          <w:szCs w:val="24"/>
        </w:rPr>
        <w:t>autonomii a činí aktivity „ve veřejném zájmu“.</w:t>
      </w:r>
    </w:p>
    <w:p w14:paraId="0F1CCF0D" w14:textId="77777777" w:rsidR="004236C6" w:rsidRPr="00FC3B7C" w:rsidRDefault="004236C6" w:rsidP="004236C6">
      <w:pPr>
        <w:spacing w:line="378" w:lineRule="auto"/>
        <w:rPr>
          <w:sz w:val="20"/>
          <w:szCs w:val="20"/>
        </w:rPr>
      </w:pPr>
      <w:r w:rsidRPr="00FC3B7C">
        <w:rPr>
          <w:rFonts w:eastAsia="Times New Roman"/>
          <w:i/>
          <w:iCs/>
          <w:szCs w:val="24"/>
          <w:u w:val="single"/>
        </w:rPr>
        <w:t>Intervencionismus</w:t>
      </w:r>
      <w:r w:rsidRPr="00FC3B7C">
        <w:rPr>
          <w:rFonts w:eastAsia="Times New Roman"/>
          <w:i/>
          <w:iCs/>
          <w:szCs w:val="24"/>
        </w:rPr>
        <w:t xml:space="preserve"> </w:t>
      </w:r>
      <w:r w:rsidRPr="00FC3B7C">
        <w:rPr>
          <w:rFonts w:eastAsia="Times New Roman"/>
          <w:szCs w:val="24"/>
        </w:rPr>
        <w:t>– Přístup státu k trhu - zasahování státu do tržního systému ekonomiky.</w:t>
      </w:r>
      <w:r w:rsidRPr="00FC3B7C">
        <w:rPr>
          <w:rFonts w:eastAsia="Times New Roman"/>
          <w:i/>
          <w:iCs/>
          <w:szCs w:val="24"/>
        </w:rPr>
        <w:t xml:space="preserve"> </w:t>
      </w:r>
      <w:r w:rsidRPr="00FC3B7C">
        <w:rPr>
          <w:rFonts w:eastAsia="Times New Roman"/>
          <w:i/>
          <w:iCs/>
          <w:szCs w:val="24"/>
          <w:u w:val="single"/>
        </w:rPr>
        <w:t>Regulace trhu</w:t>
      </w:r>
      <w:r w:rsidRPr="00FC3B7C">
        <w:rPr>
          <w:rFonts w:eastAsia="Times New Roman"/>
          <w:i/>
          <w:iCs/>
          <w:szCs w:val="24"/>
        </w:rPr>
        <w:t xml:space="preserve"> </w:t>
      </w:r>
      <w:r w:rsidRPr="00FC3B7C">
        <w:rPr>
          <w:rFonts w:eastAsia="Times New Roman"/>
          <w:szCs w:val="24"/>
        </w:rPr>
        <w:t>–</w:t>
      </w:r>
      <w:r w:rsidRPr="00FC3B7C">
        <w:rPr>
          <w:rFonts w:eastAsia="Times New Roman"/>
          <w:i/>
          <w:iCs/>
          <w:szCs w:val="24"/>
        </w:rPr>
        <w:t xml:space="preserve"> </w:t>
      </w:r>
      <w:r w:rsidRPr="00FC3B7C">
        <w:rPr>
          <w:rFonts w:eastAsia="Times New Roman"/>
          <w:szCs w:val="24"/>
        </w:rPr>
        <w:t>Řízení, usměrňování trhu státními orgány (omezování fungování</w:t>
      </w:r>
      <w:r w:rsidRPr="00FC3B7C">
        <w:rPr>
          <w:rFonts w:eastAsia="Times New Roman"/>
          <w:i/>
          <w:iCs/>
          <w:szCs w:val="24"/>
        </w:rPr>
        <w:t xml:space="preserve"> </w:t>
      </w:r>
      <w:r w:rsidRPr="00FC3B7C">
        <w:rPr>
          <w:rFonts w:eastAsia="Times New Roman"/>
          <w:szCs w:val="24"/>
        </w:rPr>
        <w:t>samostatných tržních sil) legislativou.</w:t>
      </w:r>
    </w:p>
    <w:p w14:paraId="5F3FCCAF" w14:textId="77777777" w:rsidR="004236C6" w:rsidRPr="00FC3B7C" w:rsidRDefault="004236C6" w:rsidP="004236C6">
      <w:pPr>
        <w:spacing w:line="200" w:lineRule="exact"/>
        <w:rPr>
          <w:sz w:val="20"/>
          <w:szCs w:val="20"/>
        </w:rPr>
      </w:pPr>
    </w:p>
    <w:p w14:paraId="2D9C40CC" w14:textId="77777777" w:rsidR="004236C6" w:rsidRPr="002144A1" w:rsidRDefault="004236C6" w:rsidP="004236C6">
      <w:pPr>
        <w:spacing w:line="211" w:lineRule="exact"/>
        <w:rPr>
          <w:color w:val="2F5496" w:themeColor="accent1" w:themeShade="BF"/>
          <w:sz w:val="20"/>
          <w:szCs w:val="20"/>
        </w:rPr>
      </w:pPr>
    </w:p>
    <w:p w14:paraId="5E6EA92D" w14:textId="77777777" w:rsidR="004236C6" w:rsidRPr="004236C6" w:rsidRDefault="004236C6" w:rsidP="004236C6">
      <w:pPr>
        <w:pStyle w:val="Nadpis2"/>
        <w:rPr>
          <w:color w:val="1F3864" w:themeColor="accent1" w:themeShade="80"/>
          <w:sz w:val="20"/>
          <w:szCs w:val="20"/>
        </w:rPr>
      </w:pPr>
      <w:r w:rsidRPr="004236C6">
        <w:rPr>
          <w:rFonts w:eastAsia="Times New Roman"/>
          <w:color w:val="1F3864" w:themeColor="accent1" w:themeShade="80"/>
        </w:rPr>
        <w:t>HOSPODÁŘSKO-POLITICKÉ KONCEPCE A JEJICH</w:t>
      </w:r>
      <w:r w:rsidRPr="004236C6">
        <w:rPr>
          <w:color w:val="1F3864" w:themeColor="accent1" w:themeShade="80"/>
          <w:sz w:val="20"/>
          <w:szCs w:val="20"/>
        </w:rPr>
        <w:t xml:space="preserve"> </w:t>
      </w:r>
      <w:r w:rsidRPr="004236C6">
        <w:rPr>
          <w:color w:val="1F3864" w:themeColor="accent1" w:themeShade="80"/>
        </w:rPr>
        <w:t>VÝVOJ</w:t>
      </w:r>
    </w:p>
    <w:p w14:paraId="565CFFBC" w14:textId="482C675B" w:rsidR="004236C6" w:rsidRPr="00FC3B7C" w:rsidRDefault="004236C6" w:rsidP="004236C6">
      <w:pPr>
        <w:rPr>
          <w:sz w:val="20"/>
          <w:szCs w:val="20"/>
        </w:rPr>
      </w:pPr>
      <w:r w:rsidRPr="00FC3B7C">
        <w:rPr>
          <w:rFonts w:eastAsia="Times New Roman"/>
        </w:rPr>
        <w:t>Vláda zpravidla vychází ve svém hospodářsko-politickém rozhodování z určité koncepce. Hospodářsko-politi</w:t>
      </w:r>
      <w:r w:rsidR="003376E1">
        <w:rPr>
          <w:rFonts w:eastAsia="Times New Roman"/>
        </w:rPr>
        <w:t>ckou koncepcí rozumíme širší so</w:t>
      </w:r>
      <w:r w:rsidRPr="00FC3B7C">
        <w:rPr>
          <w:rFonts w:eastAsia="Times New Roman"/>
        </w:rPr>
        <w:t>ubor názorů, určitou myšlenkovou konstrukci, obsahující nejen ekonomické, ale i filozofické prvky, které orientují aktéry hospodářské politiky při výběru cílů a nástrojů. Existují tři základní hospodářsko-politické koncepce:</w:t>
      </w:r>
    </w:p>
    <w:p w14:paraId="48CBA7B6" w14:textId="77777777" w:rsidR="004236C6" w:rsidRPr="00FC3B7C" w:rsidRDefault="004236C6" w:rsidP="004236C6">
      <w:pPr>
        <w:spacing w:line="4" w:lineRule="exact"/>
        <w:rPr>
          <w:sz w:val="20"/>
          <w:szCs w:val="20"/>
        </w:rPr>
      </w:pPr>
    </w:p>
    <w:p w14:paraId="47EDD7D8" w14:textId="77777777" w:rsidR="004236C6" w:rsidRPr="00FC3B7C" w:rsidRDefault="004236C6" w:rsidP="004236C6">
      <w:pPr>
        <w:numPr>
          <w:ilvl w:val="0"/>
          <w:numId w:val="19"/>
        </w:numPr>
        <w:tabs>
          <w:tab w:val="left" w:pos="1060"/>
        </w:tabs>
        <w:ind w:left="1060" w:hanging="353"/>
        <w:rPr>
          <w:rFonts w:eastAsia="Times New Roman"/>
          <w:szCs w:val="24"/>
        </w:rPr>
      </w:pPr>
      <w:r w:rsidRPr="00FC3B7C">
        <w:rPr>
          <w:rFonts w:eastAsia="Times New Roman"/>
          <w:b/>
          <w:bCs/>
          <w:i/>
          <w:iCs/>
          <w:szCs w:val="24"/>
        </w:rPr>
        <w:t>liberální koncepce (tržně-konformní)</w:t>
      </w:r>
    </w:p>
    <w:p w14:paraId="0A7E546F" w14:textId="77777777" w:rsidR="004236C6" w:rsidRPr="00FC3B7C" w:rsidRDefault="004236C6" w:rsidP="004236C6">
      <w:pPr>
        <w:spacing w:line="136" w:lineRule="exact"/>
        <w:rPr>
          <w:rFonts w:eastAsia="Times New Roman"/>
          <w:szCs w:val="24"/>
        </w:rPr>
      </w:pPr>
    </w:p>
    <w:p w14:paraId="2B79ED6F" w14:textId="77777777" w:rsidR="004236C6" w:rsidRPr="00FC3B7C" w:rsidRDefault="004236C6" w:rsidP="004236C6">
      <w:pPr>
        <w:numPr>
          <w:ilvl w:val="0"/>
          <w:numId w:val="19"/>
        </w:numPr>
        <w:tabs>
          <w:tab w:val="left" w:pos="1060"/>
        </w:tabs>
        <w:ind w:left="1060" w:hanging="353"/>
        <w:rPr>
          <w:rFonts w:eastAsia="Times New Roman"/>
          <w:szCs w:val="24"/>
        </w:rPr>
      </w:pPr>
      <w:r w:rsidRPr="00FC3B7C">
        <w:rPr>
          <w:rFonts w:eastAsia="Times New Roman"/>
          <w:b/>
          <w:bCs/>
          <w:i/>
          <w:iCs/>
          <w:szCs w:val="24"/>
        </w:rPr>
        <w:t>intervencionistická koncepce (státně-paternalistická)</w:t>
      </w:r>
    </w:p>
    <w:p w14:paraId="7F967D42" w14:textId="77777777" w:rsidR="004236C6" w:rsidRPr="00FC3B7C" w:rsidRDefault="004236C6" w:rsidP="004236C6">
      <w:pPr>
        <w:spacing w:line="141" w:lineRule="exact"/>
        <w:rPr>
          <w:rFonts w:eastAsia="Times New Roman"/>
          <w:szCs w:val="24"/>
        </w:rPr>
      </w:pPr>
    </w:p>
    <w:p w14:paraId="4B50472F" w14:textId="77777777" w:rsidR="004236C6" w:rsidRPr="00FC3B7C" w:rsidRDefault="004236C6" w:rsidP="004236C6">
      <w:pPr>
        <w:numPr>
          <w:ilvl w:val="0"/>
          <w:numId w:val="19"/>
        </w:numPr>
        <w:tabs>
          <w:tab w:val="left" w:pos="1060"/>
        </w:tabs>
        <w:spacing w:line="361" w:lineRule="auto"/>
        <w:ind w:left="1060" w:hanging="353"/>
        <w:rPr>
          <w:rFonts w:eastAsia="Times New Roman"/>
          <w:szCs w:val="24"/>
        </w:rPr>
      </w:pPr>
      <w:r w:rsidRPr="00FC3B7C">
        <w:rPr>
          <w:rFonts w:eastAsia="Times New Roman"/>
          <w:b/>
          <w:bCs/>
          <w:i/>
          <w:iCs/>
          <w:szCs w:val="24"/>
        </w:rPr>
        <w:t xml:space="preserve">tradiční marxistická koncepce </w:t>
      </w:r>
      <w:r w:rsidRPr="00FC3B7C">
        <w:rPr>
          <w:rFonts w:eastAsia="Times New Roman"/>
          <w:b/>
          <w:bCs/>
          <w:szCs w:val="24"/>
        </w:rPr>
        <w:t>-</w:t>
      </w:r>
      <w:r w:rsidRPr="00FC3B7C">
        <w:rPr>
          <w:rFonts w:eastAsia="Times New Roman"/>
          <w:b/>
          <w:bCs/>
          <w:i/>
          <w:iCs/>
          <w:szCs w:val="24"/>
        </w:rPr>
        <w:t xml:space="preserve"> </w:t>
      </w:r>
      <w:r w:rsidRPr="00FC3B7C">
        <w:rPr>
          <w:rFonts w:eastAsia="Times New Roman"/>
          <w:szCs w:val="24"/>
        </w:rPr>
        <w:t>Signály trhu nahrazeny příkazovým systémem,</w:t>
      </w:r>
      <w:r w:rsidRPr="00FC3B7C">
        <w:rPr>
          <w:rFonts w:eastAsia="Times New Roman"/>
          <w:b/>
          <w:bCs/>
          <w:i/>
          <w:iCs/>
          <w:szCs w:val="24"/>
        </w:rPr>
        <w:t xml:space="preserve"> </w:t>
      </w:r>
      <w:r w:rsidRPr="00FC3B7C">
        <w:rPr>
          <w:rFonts w:eastAsia="Times New Roman"/>
          <w:szCs w:val="24"/>
        </w:rPr>
        <w:t xml:space="preserve">čímž je zcela potlačena svoboda jednání hospodářských subjektů. Výběr cílů </w:t>
      </w:r>
      <w:r>
        <w:rPr>
          <w:rFonts w:eastAsia="Times New Roman"/>
          <w:szCs w:val="24"/>
        </w:rPr>
        <w:br/>
      </w:r>
      <w:r w:rsidRPr="00FC3B7C">
        <w:rPr>
          <w:rFonts w:eastAsia="Times New Roman"/>
          <w:szCs w:val="24"/>
        </w:rPr>
        <w:t>a nástrojů hospodářské politiky, stejně jako pravomoc jejich nositelů je výlučnou doménou centra, kterým je vláda (nejvyšší stranické vedení). Dochází tedy k</w:t>
      </w:r>
    </w:p>
    <w:p w14:paraId="61C7B9CD" w14:textId="77777777" w:rsidR="004236C6" w:rsidRPr="00FC3B7C" w:rsidRDefault="004236C6" w:rsidP="004236C6">
      <w:pPr>
        <w:spacing w:line="2" w:lineRule="exact"/>
        <w:rPr>
          <w:sz w:val="20"/>
          <w:szCs w:val="20"/>
        </w:rPr>
      </w:pPr>
    </w:p>
    <w:p w14:paraId="462FE49C" w14:textId="77777777" w:rsidR="004236C6" w:rsidRPr="00FC3B7C" w:rsidRDefault="004236C6" w:rsidP="004236C6">
      <w:pPr>
        <w:spacing w:line="358" w:lineRule="auto"/>
        <w:ind w:left="1060"/>
        <w:rPr>
          <w:sz w:val="20"/>
          <w:szCs w:val="20"/>
        </w:rPr>
      </w:pPr>
      <w:r w:rsidRPr="00FC3B7C">
        <w:rPr>
          <w:rFonts w:eastAsia="Times New Roman"/>
          <w:szCs w:val="24"/>
        </w:rPr>
        <w:t>eliminaci hospodářské politiky v tradičním pojetí (hospodářská politika jako proces rozhodování, jehož se účastní celá řada subjektů zastupujících různé sociální skupiny a vyjadřujících jejich zájmy).</w:t>
      </w:r>
    </w:p>
    <w:p w14:paraId="3662072B" w14:textId="77777777" w:rsidR="004236C6" w:rsidRPr="00FC3B7C" w:rsidRDefault="004236C6" w:rsidP="004236C6">
      <w:pPr>
        <w:spacing w:line="2" w:lineRule="exact"/>
        <w:rPr>
          <w:sz w:val="20"/>
          <w:szCs w:val="20"/>
        </w:rPr>
      </w:pPr>
    </w:p>
    <w:p w14:paraId="69B9D5EF" w14:textId="77777777" w:rsidR="004236C6" w:rsidRPr="00FC3B7C" w:rsidRDefault="004236C6" w:rsidP="004236C6">
      <w:pPr>
        <w:ind w:left="280"/>
        <w:rPr>
          <w:sz w:val="20"/>
          <w:szCs w:val="20"/>
        </w:rPr>
      </w:pPr>
      <w:r w:rsidRPr="00FC3B7C">
        <w:rPr>
          <w:noProof/>
          <w:sz w:val="20"/>
          <w:szCs w:val="20"/>
        </w:rPr>
        <w:drawing>
          <wp:anchor distT="0" distB="0" distL="114300" distR="114300" simplePos="0" relativeHeight="251679232" behindDoc="1" locked="0" layoutInCell="0" allowOverlap="1" wp14:anchorId="00F8E45E" wp14:editId="257234E0">
            <wp:simplePos x="0" y="0"/>
            <wp:positionH relativeFrom="page">
              <wp:posOffset>1714500</wp:posOffset>
            </wp:positionH>
            <wp:positionV relativeFrom="page">
              <wp:posOffset>6915150</wp:posOffset>
            </wp:positionV>
            <wp:extent cx="3762375" cy="2895600"/>
            <wp:effectExtent l="0" t="0" r="0" b="0"/>
            <wp:wrapTight wrapText="bothSides">
              <wp:wrapPolygon edited="0">
                <wp:start x="6890" y="0"/>
                <wp:lineTo x="6562" y="142"/>
                <wp:lineTo x="6562" y="2274"/>
                <wp:lineTo x="1094" y="3553"/>
                <wp:lineTo x="547" y="3837"/>
                <wp:lineTo x="547" y="5968"/>
                <wp:lineTo x="1750" y="6821"/>
                <wp:lineTo x="3828" y="6821"/>
                <wp:lineTo x="656" y="8242"/>
                <wp:lineTo x="656" y="21458"/>
                <wp:lineTo x="8859" y="21458"/>
                <wp:lineTo x="8968" y="21458"/>
                <wp:lineTo x="9077" y="18189"/>
                <wp:lineTo x="10171" y="18189"/>
                <wp:lineTo x="20233" y="15916"/>
                <wp:lineTo x="21327" y="14495"/>
                <wp:lineTo x="21436" y="8242"/>
                <wp:lineTo x="20670" y="7816"/>
                <wp:lineTo x="17608" y="6821"/>
                <wp:lineTo x="20124" y="6821"/>
                <wp:lineTo x="21327" y="6111"/>
                <wp:lineTo x="21436" y="3837"/>
                <wp:lineTo x="20780" y="3553"/>
                <wp:lineTo x="14983" y="2274"/>
                <wp:lineTo x="14874" y="0"/>
                <wp:lineTo x="689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3762375" cy="2895600"/>
                    </a:xfrm>
                    <a:prstGeom prst="rect">
                      <a:avLst/>
                    </a:prstGeom>
                    <a:noFill/>
                  </pic:spPr>
                </pic:pic>
              </a:graphicData>
            </a:graphic>
            <wp14:sizeRelH relativeFrom="margin">
              <wp14:pctWidth>0</wp14:pctWidth>
            </wp14:sizeRelH>
            <wp14:sizeRelV relativeFrom="margin">
              <wp14:pctHeight>0</wp14:pctHeight>
            </wp14:sizeRelV>
          </wp:anchor>
        </w:drawing>
      </w:r>
      <w:r w:rsidRPr="00FC3B7C">
        <w:rPr>
          <w:rFonts w:eastAsia="Times New Roman"/>
          <w:b/>
          <w:bCs/>
          <w:szCs w:val="24"/>
        </w:rPr>
        <w:t>Obr. č. 1: Schéma vývoje ekonomicko-politických koncepcí:</w:t>
      </w:r>
    </w:p>
    <w:p w14:paraId="19511F72" w14:textId="77777777" w:rsidR="004236C6" w:rsidRDefault="004236C6" w:rsidP="004236C6">
      <w:pPr>
        <w:ind w:left="280"/>
        <w:rPr>
          <w:rFonts w:eastAsia="Times New Roman"/>
          <w:sz w:val="20"/>
          <w:szCs w:val="20"/>
        </w:rPr>
      </w:pPr>
    </w:p>
    <w:p w14:paraId="58302849" w14:textId="77777777" w:rsidR="004236C6" w:rsidRDefault="004236C6" w:rsidP="004236C6">
      <w:pPr>
        <w:ind w:left="280"/>
        <w:rPr>
          <w:rFonts w:eastAsia="Times New Roman"/>
          <w:sz w:val="20"/>
          <w:szCs w:val="20"/>
        </w:rPr>
      </w:pPr>
    </w:p>
    <w:p w14:paraId="4A866A7C" w14:textId="77777777" w:rsidR="004236C6" w:rsidRDefault="004236C6" w:rsidP="004236C6">
      <w:pPr>
        <w:ind w:left="280"/>
        <w:rPr>
          <w:rFonts w:eastAsia="Times New Roman"/>
          <w:sz w:val="20"/>
          <w:szCs w:val="20"/>
        </w:rPr>
      </w:pPr>
    </w:p>
    <w:p w14:paraId="21AFFB74" w14:textId="77777777" w:rsidR="004236C6" w:rsidRDefault="004236C6" w:rsidP="004236C6">
      <w:pPr>
        <w:ind w:left="280"/>
        <w:rPr>
          <w:rFonts w:eastAsia="Times New Roman"/>
          <w:sz w:val="20"/>
          <w:szCs w:val="20"/>
        </w:rPr>
      </w:pPr>
    </w:p>
    <w:p w14:paraId="774E53E6" w14:textId="77777777" w:rsidR="004236C6" w:rsidRDefault="004236C6" w:rsidP="004236C6">
      <w:pPr>
        <w:ind w:left="280"/>
        <w:rPr>
          <w:rFonts w:eastAsia="Times New Roman"/>
          <w:sz w:val="20"/>
          <w:szCs w:val="20"/>
        </w:rPr>
      </w:pPr>
    </w:p>
    <w:p w14:paraId="12F598B1" w14:textId="77777777" w:rsidR="004236C6" w:rsidRDefault="004236C6" w:rsidP="004236C6">
      <w:pPr>
        <w:ind w:left="280"/>
        <w:rPr>
          <w:rFonts w:eastAsia="Times New Roman"/>
          <w:sz w:val="20"/>
          <w:szCs w:val="20"/>
        </w:rPr>
      </w:pPr>
    </w:p>
    <w:p w14:paraId="72EF74C5" w14:textId="77777777" w:rsidR="004236C6" w:rsidRDefault="004236C6" w:rsidP="004236C6">
      <w:pPr>
        <w:ind w:left="280"/>
        <w:rPr>
          <w:rFonts w:eastAsia="Times New Roman"/>
          <w:sz w:val="20"/>
          <w:szCs w:val="20"/>
        </w:rPr>
      </w:pPr>
    </w:p>
    <w:p w14:paraId="675FABCA" w14:textId="77777777" w:rsidR="004236C6" w:rsidRDefault="004236C6" w:rsidP="004236C6">
      <w:pPr>
        <w:ind w:left="280"/>
        <w:rPr>
          <w:rFonts w:eastAsia="Times New Roman"/>
          <w:sz w:val="20"/>
          <w:szCs w:val="20"/>
        </w:rPr>
      </w:pPr>
    </w:p>
    <w:p w14:paraId="5C4E58E5" w14:textId="77777777" w:rsidR="004236C6" w:rsidRDefault="004236C6" w:rsidP="004236C6">
      <w:pPr>
        <w:ind w:left="280"/>
        <w:rPr>
          <w:rFonts w:eastAsia="Times New Roman"/>
          <w:sz w:val="20"/>
          <w:szCs w:val="20"/>
        </w:rPr>
      </w:pPr>
    </w:p>
    <w:p w14:paraId="44B53457" w14:textId="77777777" w:rsidR="004236C6" w:rsidRDefault="004236C6" w:rsidP="004236C6">
      <w:pPr>
        <w:ind w:left="280"/>
        <w:rPr>
          <w:rFonts w:eastAsia="Times New Roman"/>
          <w:sz w:val="20"/>
          <w:szCs w:val="20"/>
        </w:rPr>
      </w:pPr>
    </w:p>
    <w:p w14:paraId="76A5BDB3" w14:textId="77777777" w:rsidR="004236C6" w:rsidRDefault="004236C6" w:rsidP="004236C6">
      <w:pPr>
        <w:ind w:left="280"/>
        <w:rPr>
          <w:rFonts w:eastAsia="Times New Roman"/>
          <w:sz w:val="20"/>
          <w:szCs w:val="20"/>
        </w:rPr>
      </w:pPr>
    </w:p>
    <w:p w14:paraId="4F6B82E6" w14:textId="77777777" w:rsidR="004236C6" w:rsidRPr="00FC3B7C" w:rsidRDefault="004236C6" w:rsidP="004236C6">
      <w:pPr>
        <w:ind w:left="4320" w:firstLine="720"/>
        <w:rPr>
          <w:sz w:val="20"/>
          <w:szCs w:val="20"/>
        </w:rPr>
      </w:pPr>
      <w:r w:rsidRPr="00FC3B7C">
        <w:rPr>
          <w:rFonts w:eastAsia="Times New Roman"/>
          <w:sz w:val="20"/>
          <w:szCs w:val="20"/>
        </w:rPr>
        <w:t>Zdroj: Slaný, A., 2003.</w:t>
      </w:r>
    </w:p>
    <w:p w14:paraId="6A898998" w14:textId="77777777" w:rsidR="004236C6" w:rsidRPr="00FC3B7C" w:rsidRDefault="004236C6" w:rsidP="004236C6">
      <w:pPr>
        <w:sectPr w:rsidR="004236C6" w:rsidRPr="00FC3B7C">
          <w:pgSz w:w="11900" w:h="16840"/>
          <w:pgMar w:top="1393" w:right="1420" w:bottom="1440" w:left="1420" w:header="0" w:footer="0" w:gutter="0"/>
          <w:cols w:space="708" w:equalWidth="0">
            <w:col w:w="9060"/>
          </w:cols>
        </w:sectPr>
      </w:pPr>
    </w:p>
    <w:p w14:paraId="39707678" w14:textId="77777777" w:rsidR="004236C6" w:rsidRPr="004236C6" w:rsidRDefault="004236C6" w:rsidP="004236C6">
      <w:pPr>
        <w:pStyle w:val="Nadpis3"/>
        <w:rPr>
          <w:color w:val="1F3864" w:themeColor="accent1" w:themeShade="80"/>
          <w:sz w:val="20"/>
          <w:szCs w:val="20"/>
        </w:rPr>
      </w:pPr>
      <w:bookmarkStart w:id="54" w:name="page52"/>
      <w:bookmarkEnd w:id="54"/>
      <w:r w:rsidRPr="004236C6">
        <w:rPr>
          <w:rFonts w:eastAsia="Times New Roman"/>
          <w:color w:val="1F3864" w:themeColor="accent1" w:themeShade="80"/>
        </w:rPr>
        <w:lastRenderedPageBreak/>
        <w:t>Intervencionistická ekonomicko-politická koncepce</w:t>
      </w:r>
    </w:p>
    <w:p w14:paraId="2A7DA2CD" w14:textId="77777777" w:rsidR="004236C6" w:rsidRPr="004236C6" w:rsidRDefault="004236C6" w:rsidP="004236C6">
      <w:pPr>
        <w:pStyle w:val="Nadpis4"/>
        <w:rPr>
          <w:color w:val="1F3864" w:themeColor="accent1" w:themeShade="80"/>
          <w:sz w:val="20"/>
          <w:szCs w:val="20"/>
        </w:rPr>
      </w:pPr>
      <w:r w:rsidRPr="004236C6">
        <w:rPr>
          <w:rFonts w:eastAsia="Times New Roman"/>
          <w:color w:val="1F3864" w:themeColor="accent1" w:themeShade="80"/>
        </w:rPr>
        <w:t>Předchůdci</w:t>
      </w:r>
    </w:p>
    <w:p w14:paraId="30DB57B5" w14:textId="77777777" w:rsidR="004236C6" w:rsidRPr="00FC3B7C" w:rsidRDefault="004236C6" w:rsidP="004236C6">
      <w:pPr>
        <w:rPr>
          <w:sz w:val="20"/>
          <w:szCs w:val="20"/>
        </w:rPr>
      </w:pPr>
      <w:r w:rsidRPr="00FC3B7C">
        <w:rPr>
          <w:rFonts w:eastAsia="Times New Roman"/>
          <w:b/>
          <w:bCs/>
          <w:i/>
          <w:iCs/>
        </w:rPr>
        <w:t xml:space="preserve">Merkantilismus </w:t>
      </w:r>
      <w:r w:rsidRPr="00FC3B7C">
        <w:rPr>
          <w:rFonts w:eastAsia="Times New Roman"/>
        </w:rPr>
        <w:t>– způsob ekonomického myšlení, charakterizovaný</w:t>
      </w:r>
      <w:r w:rsidRPr="00FC3B7C">
        <w:rPr>
          <w:rFonts w:eastAsia="Times New Roman"/>
          <w:b/>
          <w:bCs/>
          <w:i/>
          <w:iCs/>
        </w:rPr>
        <w:t xml:space="preserve"> </w:t>
      </w:r>
      <w:r w:rsidRPr="00FC3B7C">
        <w:rPr>
          <w:rFonts w:eastAsia="Times New Roman"/>
        </w:rPr>
        <w:t>doktrínou obchodní</w:t>
      </w:r>
      <w:r w:rsidRPr="00FC3B7C">
        <w:rPr>
          <w:rFonts w:eastAsia="Times New Roman"/>
          <w:b/>
          <w:bCs/>
          <w:i/>
          <w:iCs/>
        </w:rPr>
        <w:t xml:space="preserve"> </w:t>
      </w:r>
      <w:r w:rsidRPr="00FC3B7C">
        <w:rPr>
          <w:rFonts w:eastAsia="Times New Roman"/>
        </w:rPr>
        <w:t>bilance. Hlavním cílem je růst národního bohatství (suma peněz, zlata). Typická byla ochranářská politika</w:t>
      </w:r>
    </w:p>
    <w:p w14:paraId="69C08E4C" w14:textId="77777777" w:rsidR="004236C6" w:rsidRPr="00FC3B7C" w:rsidRDefault="004236C6" w:rsidP="004236C6">
      <w:pPr>
        <w:rPr>
          <w:sz w:val="20"/>
          <w:szCs w:val="20"/>
        </w:rPr>
      </w:pPr>
      <w:r w:rsidRPr="00FC3B7C">
        <w:rPr>
          <w:rFonts w:eastAsia="Times New Roman"/>
          <w:b/>
          <w:bCs/>
          <w:i/>
          <w:iCs/>
        </w:rPr>
        <w:t xml:space="preserve">Kameralismus </w:t>
      </w:r>
      <w:r w:rsidRPr="00FC3B7C">
        <w:rPr>
          <w:rFonts w:eastAsia="Times New Roman"/>
        </w:rPr>
        <w:t>– ekonomické myšlení v Německu a Rakousku v 18. a 19. století („odrůda“</w:t>
      </w:r>
      <w:r w:rsidRPr="00FC3B7C">
        <w:rPr>
          <w:rFonts w:eastAsia="Times New Roman"/>
          <w:b/>
          <w:bCs/>
          <w:i/>
          <w:iCs/>
        </w:rPr>
        <w:t xml:space="preserve"> </w:t>
      </w:r>
      <w:r w:rsidRPr="00FC3B7C">
        <w:rPr>
          <w:rFonts w:eastAsia="Times New Roman"/>
        </w:rPr>
        <w:t>merkantilismu). Cílem kameralistů byl populační růst. Prostředkem k jeho dosažení byla aktivní obchodní bilance představující aktivní bilanci práce se zahraničím.</w:t>
      </w:r>
    </w:p>
    <w:p w14:paraId="1B1FE7C2" w14:textId="77777777" w:rsidR="004236C6" w:rsidRPr="00FC3B7C" w:rsidRDefault="004236C6" w:rsidP="004236C6">
      <w:pPr>
        <w:rPr>
          <w:sz w:val="20"/>
          <w:szCs w:val="20"/>
        </w:rPr>
      </w:pPr>
      <w:r w:rsidRPr="00FC3B7C">
        <w:rPr>
          <w:rFonts w:eastAsia="Times New Roman"/>
          <w:b/>
          <w:bCs/>
          <w:i/>
          <w:iCs/>
        </w:rPr>
        <w:t xml:space="preserve">Německá historická škola </w:t>
      </w:r>
      <w:r w:rsidRPr="00FC3B7C">
        <w:rPr>
          <w:rFonts w:eastAsia="Times New Roman"/>
        </w:rPr>
        <w:t>– používá historickou metodu, historicismus – je potřeba studovat</w:t>
      </w:r>
      <w:r w:rsidRPr="00FC3B7C">
        <w:rPr>
          <w:rFonts w:eastAsia="Times New Roman"/>
          <w:b/>
          <w:bCs/>
          <w:i/>
          <w:iCs/>
        </w:rPr>
        <w:t xml:space="preserve"> </w:t>
      </w:r>
      <w:r w:rsidRPr="00FC3B7C">
        <w:rPr>
          <w:rFonts w:eastAsia="Times New Roman"/>
        </w:rPr>
        <w:t>historické prameny, historická data. Listova teorie nezralého průmyslu – nezralý průmysl potřebuje ochranářskou politiku.</w:t>
      </w:r>
    </w:p>
    <w:p w14:paraId="320AB167" w14:textId="77777777" w:rsidR="004236C6" w:rsidRPr="00FC3B7C" w:rsidRDefault="004236C6" w:rsidP="004236C6">
      <w:pPr>
        <w:rPr>
          <w:sz w:val="20"/>
          <w:szCs w:val="20"/>
        </w:rPr>
      </w:pPr>
      <w:r w:rsidRPr="00FC3B7C">
        <w:rPr>
          <w:rFonts w:eastAsia="Times New Roman"/>
          <w:b/>
          <w:bCs/>
          <w:i/>
          <w:iCs/>
        </w:rPr>
        <w:t xml:space="preserve">Institucionalismus </w:t>
      </w:r>
      <w:r w:rsidRPr="00FC3B7C">
        <w:rPr>
          <w:rFonts w:eastAsia="Times New Roman"/>
        </w:rPr>
        <w:t>– ekonomické instituce jsou výsledkem vývoje, využívá empiricko-induktivní metody. Instituce mohou snižovat transakční náklady, pokud jsou správně vymezené.</w:t>
      </w:r>
    </w:p>
    <w:p w14:paraId="5F449189" w14:textId="77777777" w:rsidR="004236C6" w:rsidRPr="004236C6" w:rsidRDefault="004236C6" w:rsidP="004236C6">
      <w:pPr>
        <w:pStyle w:val="Nadpis4"/>
        <w:rPr>
          <w:color w:val="1F3864" w:themeColor="accent1" w:themeShade="80"/>
          <w:sz w:val="20"/>
          <w:szCs w:val="20"/>
        </w:rPr>
      </w:pPr>
      <w:bookmarkStart w:id="55" w:name="page53"/>
      <w:bookmarkEnd w:id="55"/>
      <w:r w:rsidRPr="004236C6">
        <w:rPr>
          <w:rFonts w:eastAsia="Times New Roman"/>
          <w:color w:val="1F3864" w:themeColor="accent1" w:themeShade="80"/>
        </w:rPr>
        <w:t>Obecná charakteristika</w:t>
      </w:r>
    </w:p>
    <w:p w14:paraId="64901BCB" w14:textId="654530D3" w:rsidR="004236C6" w:rsidRPr="00FC3B7C" w:rsidRDefault="004236C6" w:rsidP="004236C6">
      <w:r w:rsidRPr="00FC3B7C">
        <w:rPr>
          <w:rFonts w:eastAsia="Times New Roman"/>
          <w:sz w:val="23"/>
          <w:szCs w:val="23"/>
        </w:rPr>
        <w:t>Koncepce vznikla na základech liberálních, tržních ekonomických teorií. Určité problematické</w:t>
      </w:r>
      <w:r>
        <w:t xml:space="preserve"> </w:t>
      </w:r>
      <w:r w:rsidR="003376E1">
        <w:rPr>
          <w:rFonts w:eastAsia="Times New Roman"/>
          <w:szCs w:val="24"/>
        </w:rPr>
        <w:t>jevy, které se ovšem v liberálně-orientovaných systémech hospodářství objevovaly,</w:t>
      </w:r>
      <w:r w:rsidRPr="00FC3B7C">
        <w:rPr>
          <w:rFonts w:eastAsia="Times New Roman"/>
          <w:szCs w:val="24"/>
        </w:rPr>
        <w:t xml:space="preserve"> daly</w:t>
      </w:r>
      <w:r>
        <w:t xml:space="preserve"> </w:t>
      </w:r>
      <w:r w:rsidRPr="00FC3B7C">
        <w:rPr>
          <w:rFonts w:eastAsia="Times New Roman"/>
          <w:szCs w:val="24"/>
        </w:rPr>
        <w:t>vzniknout koncepci, ve které stát dokáže tato „tržní selhávání“ minimalizovat svými zásahy,</w:t>
      </w:r>
      <w:r>
        <w:t xml:space="preserve"> </w:t>
      </w:r>
      <w:r w:rsidRPr="00FC3B7C">
        <w:rPr>
          <w:rFonts w:eastAsia="Times New Roman"/>
          <w:szCs w:val="24"/>
        </w:rPr>
        <w:t>které jsou vedeny „veřejným zájmem“.</w:t>
      </w:r>
    </w:p>
    <w:p w14:paraId="07873196" w14:textId="77777777" w:rsidR="004236C6" w:rsidRPr="00FC3B7C" w:rsidRDefault="004236C6" w:rsidP="004236C6">
      <w:pPr>
        <w:rPr>
          <w:sz w:val="20"/>
          <w:szCs w:val="20"/>
        </w:rPr>
      </w:pPr>
      <w:r w:rsidRPr="00FC3B7C">
        <w:rPr>
          <w:rFonts w:eastAsia="Times New Roman"/>
          <w:szCs w:val="24"/>
        </w:rPr>
        <w:t>Stát tedy obecně:</w:t>
      </w:r>
    </w:p>
    <w:p w14:paraId="6885FE1D" w14:textId="77777777" w:rsidR="004236C6" w:rsidRPr="00FC3B7C" w:rsidRDefault="004236C6" w:rsidP="004236C6">
      <w:pPr>
        <w:numPr>
          <w:ilvl w:val="0"/>
          <w:numId w:val="20"/>
        </w:numPr>
        <w:tabs>
          <w:tab w:val="left" w:pos="1000"/>
        </w:tabs>
        <w:ind w:left="1000" w:hanging="360"/>
        <w:rPr>
          <w:rFonts w:eastAsia="Times New Roman"/>
          <w:szCs w:val="24"/>
        </w:rPr>
      </w:pPr>
      <w:r w:rsidRPr="00FC3B7C">
        <w:rPr>
          <w:rFonts w:eastAsia="Times New Roman"/>
          <w:szCs w:val="24"/>
        </w:rPr>
        <w:t>vstupuje do hospodářských procesů</w:t>
      </w:r>
    </w:p>
    <w:p w14:paraId="77728855" w14:textId="77777777" w:rsidR="004236C6" w:rsidRPr="00FC3B7C" w:rsidRDefault="004236C6" w:rsidP="004236C6">
      <w:pPr>
        <w:numPr>
          <w:ilvl w:val="0"/>
          <w:numId w:val="20"/>
        </w:numPr>
        <w:tabs>
          <w:tab w:val="left" w:pos="1000"/>
        </w:tabs>
        <w:ind w:left="1000" w:hanging="360"/>
        <w:rPr>
          <w:rFonts w:eastAsia="Times New Roman"/>
          <w:szCs w:val="24"/>
        </w:rPr>
      </w:pPr>
      <w:r w:rsidRPr="00FC3B7C">
        <w:rPr>
          <w:rFonts w:eastAsia="Times New Roman"/>
          <w:szCs w:val="24"/>
        </w:rPr>
        <w:t>svým zásahem ovlivňuje:</w:t>
      </w:r>
    </w:p>
    <w:p w14:paraId="7FE510FF" w14:textId="77777777" w:rsidR="004236C6" w:rsidRPr="00FC3B7C" w:rsidRDefault="004236C6" w:rsidP="004236C6">
      <w:pPr>
        <w:numPr>
          <w:ilvl w:val="1"/>
          <w:numId w:val="20"/>
        </w:numPr>
        <w:tabs>
          <w:tab w:val="left" w:pos="1540"/>
        </w:tabs>
        <w:ind w:left="1540" w:hanging="487"/>
        <w:rPr>
          <w:rFonts w:eastAsia="Times New Roman"/>
          <w:szCs w:val="24"/>
        </w:rPr>
      </w:pPr>
      <w:r w:rsidRPr="00FC3B7C">
        <w:rPr>
          <w:rFonts w:eastAsia="Times New Roman"/>
          <w:szCs w:val="24"/>
        </w:rPr>
        <w:t>hospodářské procesy a jejich průběh</w:t>
      </w:r>
    </w:p>
    <w:p w14:paraId="11CA0B0A" w14:textId="77777777" w:rsidR="004236C6" w:rsidRPr="00FC3B7C" w:rsidRDefault="004236C6" w:rsidP="004236C6">
      <w:pPr>
        <w:numPr>
          <w:ilvl w:val="1"/>
          <w:numId w:val="20"/>
        </w:numPr>
        <w:tabs>
          <w:tab w:val="left" w:pos="1540"/>
        </w:tabs>
        <w:ind w:left="1540" w:hanging="553"/>
        <w:rPr>
          <w:rFonts w:eastAsia="Times New Roman"/>
          <w:szCs w:val="24"/>
        </w:rPr>
      </w:pPr>
      <w:r w:rsidRPr="00FC3B7C">
        <w:rPr>
          <w:rFonts w:eastAsia="Times New Roman"/>
          <w:szCs w:val="24"/>
        </w:rPr>
        <w:t>prostředí, ve kterém dochází k rozhodování tržních subjektů</w:t>
      </w:r>
    </w:p>
    <w:p w14:paraId="0F16309D" w14:textId="77777777" w:rsidR="004236C6" w:rsidRPr="00FC3B7C" w:rsidRDefault="004236C6" w:rsidP="004236C6">
      <w:pPr>
        <w:numPr>
          <w:ilvl w:val="1"/>
          <w:numId w:val="20"/>
        </w:numPr>
        <w:tabs>
          <w:tab w:val="left" w:pos="1540"/>
        </w:tabs>
        <w:ind w:left="1540" w:hanging="619"/>
        <w:rPr>
          <w:rFonts w:eastAsia="Times New Roman"/>
          <w:szCs w:val="24"/>
        </w:rPr>
      </w:pPr>
      <w:r w:rsidRPr="00FC3B7C">
        <w:rPr>
          <w:rFonts w:eastAsia="Times New Roman"/>
          <w:szCs w:val="24"/>
        </w:rPr>
        <w:t>očekávání tržních subjektů</w:t>
      </w:r>
    </w:p>
    <w:p w14:paraId="6153B06E" w14:textId="77777777" w:rsidR="004236C6" w:rsidRPr="00FC3B7C" w:rsidRDefault="004236C6" w:rsidP="004236C6">
      <w:pPr>
        <w:rPr>
          <w:sz w:val="20"/>
          <w:szCs w:val="20"/>
        </w:rPr>
      </w:pPr>
      <w:r w:rsidRPr="00FC3B7C">
        <w:rPr>
          <w:rFonts w:eastAsia="Times New Roman"/>
        </w:rPr>
        <w:t>V podmínkách tržní ekonomiky se zásahy státu je obvyklé rozdělovat činnost vlády na:</w:t>
      </w:r>
    </w:p>
    <w:p w14:paraId="62A44B0B" w14:textId="77777777" w:rsidR="004236C6" w:rsidRPr="00FC3B7C" w:rsidRDefault="004236C6" w:rsidP="004236C6">
      <w:pPr>
        <w:numPr>
          <w:ilvl w:val="0"/>
          <w:numId w:val="21"/>
        </w:numPr>
        <w:tabs>
          <w:tab w:val="left" w:pos="1060"/>
        </w:tabs>
        <w:ind w:left="1060" w:hanging="353"/>
        <w:rPr>
          <w:rFonts w:eastAsia="Times New Roman"/>
          <w:szCs w:val="24"/>
        </w:rPr>
      </w:pPr>
      <w:r w:rsidRPr="00FC3B7C">
        <w:rPr>
          <w:rFonts w:eastAsia="Times New Roman"/>
          <w:szCs w:val="24"/>
        </w:rPr>
        <w:t>alokační činnost – má odstraňovat (domnělá) tržní selhání v oblasti alokace zdrojů</w:t>
      </w:r>
    </w:p>
    <w:p w14:paraId="53DFD217" w14:textId="77777777" w:rsidR="004236C6" w:rsidRPr="00FC3B7C" w:rsidRDefault="004236C6" w:rsidP="004236C6">
      <w:pPr>
        <w:numPr>
          <w:ilvl w:val="0"/>
          <w:numId w:val="21"/>
        </w:numPr>
        <w:tabs>
          <w:tab w:val="left" w:pos="1060"/>
        </w:tabs>
        <w:ind w:left="1060" w:hanging="353"/>
        <w:rPr>
          <w:rFonts w:eastAsia="Times New Roman"/>
          <w:szCs w:val="24"/>
        </w:rPr>
      </w:pPr>
      <w:r w:rsidRPr="00FC3B7C">
        <w:rPr>
          <w:rFonts w:eastAsia="Times New Roman"/>
          <w:szCs w:val="24"/>
        </w:rPr>
        <w:t>stabilizační činnost – zajišťování stability v hospodářství (makroekonomie)</w:t>
      </w:r>
    </w:p>
    <w:p w14:paraId="4C8BA82D" w14:textId="77777777" w:rsidR="004236C6" w:rsidRPr="00FC3B7C" w:rsidRDefault="004236C6" w:rsidP="004236C6">
      <w:pPr>
        <w:numPr>
          <w:ilvl w:val="0"/>
          <w:numId w:val="21"/>
        </w:numPr>
        <w:tabs>
          <w:tab w:val="left" w:pos="1060"/>
        </w:tabs>
        <w:ind w:left="1060" w:hanging="353"/>
        <w:rPr>
          <w:rFonts w:eastAsia="Times New Roman"/>
          <w:szCs w:val="24"/>
        </w:rPr>
      </w:pPr>
      <w:r w:rsidRPr="00FC3B7C">
        <w:rPr>
          <w:rFonts w:eastAsia="Times New Roman"/>
          <w:szCs w:val="24"/>
        </w:rPr>
        <w:t>redistribuční činnost – odstraňování výrazných rozdílů mezi lidmi</w:t>
      </w:r>
    </w:p>
    <w:p w14:paraId="24BFAECD" w14:textId="77777777" w:rsidR="004236C6" w:rsidRPr="00FC3B7C" w:rsidRDefault="004236C6" w:rsidP="004236C6">
      <w:pPr>
        <w:spacing w:line="337" w:lineRule="exact"/>
        <w:rPr>
          <w:sz w:val="20"/>
          <w:szCs w:val="20"/>
        </w:rPr>
      </w:pPr>
    </w:p>
    <w:p w14:paraId="68A1A9E3" w14:textId="77777777" w:rsidR="004236C6" w:rsidRDefault="004236C6" w:rsidP="004236C6">
      <w:pPr>
        <w:spacing w:line="240" w:lineRule="auto"/>
        <w:jc w:val="left"/>
        <w:rPr>
          <w:rFonts w:eastAsia="Times New Roman"/>
          <w:b/>
          <w:bCs/>
          <w:i/>
          <w:iCs/>
          <w:szCs w:val="24"/>
        </w:rPr>
      </w:pPr>
      <w:r>
        <w:rPr>
          <w:rFonts w:eastAsia="Times New Roman"/>
          <w:b/>
          <w:bCs/>
          <w:i/>
          <w:iCs/>
          <w:szCs w:val="24"/>
        </w:rPr>
        <w:br w:type="page"/>
      </w:r>
    </w:p>
    <w:p w14:paraId="1CFF6B3E" w14:textId="77777777" w:rsidR="004236C6" w:rsidRPr="004236C6" w:rsidRDefault="004236C6" w:rsidP="004236C6">
      <w:pPr>
        <w:pStyle w:val="Nadpis4"/>
        <w:rPr>
          <w:color w:val="1F3864" w:themeColor="accent1" w:themeShade="80"/>
          <w:sz w:val="20"/>
          <w:szCs w:val="20"/>
        </w:rPr>
      </w:pPr>
      <w:r w:rsidRPr="004236C6">
        <w:rPr>
          <w:rFonts w:eastAsia="Times New Roman"/>
          <w:color w:val="1F3864" w:themeColor="accent1" w:themeShade="80"/>
        </w:rPr>
        <w:lastRenderedPageBreak/>
        <w:t>Intervencionistická ekonomicko-politická koncepce - tržní selhání:</w:t>
      </w:r>
    </w:p>
    <w:p w14:paraId="0DC1F415" w14:textId="77777777" w:rsidR="004236C6" w:rsidRPr="00FC3B7C" w:rsidRDefault="004236C6" w:rsidP="004236C6">
      <w:pPr>
        <w:spacing w:line="143" w:lineRule="exact"/>
        <w:rPr>
          <w:sz w:val="20"/>
          <w:szCs w:val="20"/>
        </w:rPr>
      </w:pPr>
    </w:p>
    <w:p w14:paraId="64BD72D6" w14:textId="77777777" w:rsidR="004236C6" w:rsidRPr="00FC3B7C" w:rsidRDefault="004236C6" w:rsidP="00D46B53">
      <w:pPr>
        <w:numPr>
          <w:ilvl w:val="0"/>
          <w:numId w:val="601"/>
        </w:numPr>
        <w:tabs>
          <w:tab w:val="left" w:pos="1060"/>
        </w:tabs>
        <w:ind w:left="709"/>
        <w:rPr>
          <w:rFonts w:eastAsia="Times New Roman"/>
          <w:szCs w:val="24"/>
        </w:rPr>
      </w:pPr>
      <w:r w:rsidRPr="00FC3B7C">
        <w:rPr>
          <w:rFonts w:eastAsia="Times New Roman"/>
          <w:szCs w:val="24"/>
        </w:rPr>
        <w:t>selhání konkurence (monopolizace, fúzování, kartelové dohody, …)</w:t>
      </w:r>
      <w:r>
        <w:rPr>
          <w:rFonts w:eastAsia="Times New Roman"/>
          <w:szCs w:val="24"/>
        </w:rPr>
        <w:t>,</w:t>
      </w:r>
    </w:p>
    <w:p w14:paraId="52EB7832" w14:textId="77777777" w:rsidR="004236C6" w:rsidRPr="00FC3B7C" w:rsidRDefault="004236C6" w:rsidP="00D46B53">
      <w:pPr>
        <w:numPr>
          <w:ilvl w:val="0"/>
          <w:numId w:val="601"/>
        </w:numPr>
        <w:tabs>
          <w:tab w:val="left" w:pos="1060"/>
        </w:tabs>
        <w:ind w:left="1060" w:hanging="353"/>
        <w:rPr>
          <w:rFonts w:eastAsia="Times New Roman"/>
          <w:szCs w:val="24"/>
        </w:rPr>
      </w:pPr>
      <w:r w:rsidRPr="00FC3B7C">
        <w:rPr>
          <w:rFonts w:eastAsia="Times New Roman"/>
          <w:szCs w:val="24"/>
        </w:rPr>
        <w:t>existence veřejných statků (nevylučitelnost ze spotřeby)</w:t>
      </w:r>
      <w:r>
        <w:rPr>
          <w:rFonts w:eastAsia="Times New Roman"/>
          <w:szCs w:val="24"/>
        </w:rPr>
        <w:t>,</w:t>
      </w:r>
    </w:p>
    <w:p w14:paraId="2E6F0B0E" w14:textId="77777777" w:rsidR="004236C6" w:rsidRPr="00FC3B7C" w:rsidRDefault="004236C6" w:rsidP="00D46B53">
      <w:pPr>
        <w:numPr>
          <w:ilvl w:val="0"/>
          <w:numId w:val="601"/>
        </w:numPr>
        <w:tabs>
          <w:tab w:val="left" w:pos="1060"/>
        </w:tabs>
        <w:ind w:left="1060" w:hanging="353"/>
        <w:rPr>
          <w:rFonts w:eastAsia="Times New Roman"/>
          <w:szCs w:val="24"/>
        </w:rPr>
      </w:pPr>
      <w:r w:rsidRPr="00FC3B7C">
        <w:rPr>
          <w:rFonts w:eastAsia="Times New Roman"/>
          <w:szCs w:val="24"/>
        </w:rPr>
        <w:t>externality</w:t>
      </w:r>
      <w:r>
        <w:rPr>
          <w:rFonts w:eastAsia="Times New Roman"/>
          <w:szCs w:val="24"/>
        </w:rPr>
        <w:t>,</w:t>
      </w:r>
    </w:p>
    <w:p w14:paraId="7507D958" w14:textId="77777777" w:rsidR="004236C6" w:rsidRDefault="004236C6" w:rsidP="00D46B53">
      <w:pPr>
        <w:numPr>
          <w:ilvl w:val="0"/>
          <w:numId w:val="601"/>
        </w:numPr>
        <w:tabs>
          <w:tab w:val="left" w:pos="1060"/>
        </w:tabs>
        <w:ind w:left="1060" w:hanging="353"/>
        <w:rPr>
          <w:rFonts w:eastAsia="Times New Roman"/>
          <w:szCs w:val="24"/>
        </w:rPr>
      </w:pPr>
      <w:r w:rsidRPr="00FC3B7C">
        <w:rPr>
          <w:rFonts w:eastAsia="Times New Roman"/>
          <w:szCs w:val="24"/>
        </w:rPr>
        <w:t>neúplnost trhů (nedostatečná nabídka určitého statku)</w:t>
      </w:r>
      <w:r>
        <w:rPr>
          <w:rFonts w:eastAsia="Times New Roman"/>
          <w:szCs w:val="24"/>
        </w:rPr>
        <w:t>,</w:t>
      </w:r>
    </w:p>
    <w:p w14:paraId="492A0D30" w14:textId="77777777" w:rsidR="004236C6" w:rsidRDefault="004236C6" w:rsidP="00D46B53">
      <w:pPr>
        <w:numPr>
          <w:ilvl w:val="0"/>
          <w:numId w:val="601"/>
        </w:numPr>
        <w:tabs>
          <w:tab w:val="left" w:pos="1060"/>
        </w:tabs>
        <w:ind w:left="1060" w:hanging="353"/>
        <w:rPr>
          <w:rFonts w:eastAsia="Times New Roman"/>
          <w:szCs w:val="24"/>
        </w:rPr>
      </w:pPr>
      <w:r w:rsidRPr="009748C4">
        <w:rPr>
          <w:rFonts w:eastAsia="Times New Roman"/>
          <w:szCs w:val="24"/>
        </w:rPr>
        <w:t>nedostatek informací (trh neposkytuje dostatečné informace</w:t>
      </w:r>
      <w:r w:rsidRPr="009748C4">
        <w:rPr>
          <w:rFonts w:eastAsia="Times New Roman"/>
          <w:szCs w:val="24"/>
        </w:rPr>
        <w:tab/>
        <w:t>–</w:t>
      </w:r>
      <w:r w:rsidRPr="009748C4">
        <w:rPr>
          <w:rFonts w:eastAsia="Times New Roman"/>
          <w:szCs w:val="24"/>
        </w:rPr>
        <w:tab/>
        <w:t>dáno</w:t>
      </w:r>
      <w:r>
        <w:rPr>
          <w:rFonts w:eastAsia="Times New Roman"/>
          <w:szCs w:val="24"/>
        </w:rPr>
        <w:t xml:space="preserve"> </w:t>
      </w:r>
      <w:r w:rsidRPr="009748C4">
        <w:rPr>
          <w:rFonts w:eastAsia="Times New Roman"/>
          <w:szCs w:val="24"/>
        </w:rPr>
        <w:t>např. heterogenitou produktů apod.)</w:t>
      </w:r>
      <w:r>
        <w:rPr>
          <w:rFonts w:eastAsia="Times New Roman"/>
          <w:szCs w:val="24"/>
        </w:rPr>
        <w:t>,</w:t>
      </w:r>
    </w:p>
    <w:p w14:paraId="6D48CCF7" w14:textId="77777777" w:rsidR="004236C6" w:rsidRPr="009748C4" w:rsidRDefault="004236C6" w:rsidP="00D46B53">
      <w:pPr>
        <w:numPr>
          <w:ilvl w:val="0"/>
          <w:numId w:val="601"/>
        </w:numPr>
        <w:tabs>
          <w:tab w:val="left" w:pos="1060"/>
        </w:tabs>
        <w:ind w:left="1060" w:hanging="353"/>
        <w:rPr>
          <w:rFonts w:eastAsia="Times New Roman"/>
          <w:szCs w:val="24"/>
        </w:rPr>
      </w:pPr>
      <w:r w:rsidRPr="009748C4">
        <w:rPr>
          <w:rFonts w:eastAsia="Times New Roman"/>
          <w:szCs w:val="24"/>
        </w:rPr>
        <w:t>nezaměstnanost, inflace, nerovnováha jako faktory nefunkčnosti trhu</w:t>
      </w:r>
      <w:r>
        <w:rPr>
          <w:rFonts w:eastAsia="Times New Roman"/>
          <w:szCs w:val="24"/>
        </w:rPr>
        <w:t>.</w:t>
      </w:r>
    </w:p>
    <w:p w14:paraId="1CEC1A77" w14:textId="77777777" w:rsidR="004236C6" w:rsidRPr="00FC3B7C" w:rsidRDefault="004236C6" w:rsidP="004236C6">
      <w:pPr>
        <w:rPr>
          <w:sz w:val="20"/>
          <w:szCs w:val="20"/>
        </w:rPr>
      </w:pPr>
      <w:r w:rsidRPr="00FC3B7C">
        <w:rPr>
          <w:rFonts w:eastAsia="Times New Roman"/>
        </w:rPr>
        <w:t>Intervencionistická koncepce se v podobě praktické hospodářské politiky projevovala zhruba od 30. let do 70. let 20. století a čerpala převážně z makroekonomické teorie J. M. Keynese</w:t>
      </w:r>
      <w:r>
        <w:rPr>
          <w:rFonts w:eastAsia="Times New Roman"/>
        </w:rPr>
        <w:br/>
      </w:r>
      <w:r w:rsidRPr="00FC3B7C">
        <w:rPr>
          <w:rFonts w:eastAsia="Times New Roman"/>
        </w:rPr>
        <w:t>a jeho následovníků – N. Kaldor, J. Robinsonová, P. A. Samuelson a další.</w:t>
      </w:r>
    </w:p>
    <w:p w14:paraId="28C00F17" w14:textId="77777777" w:rsidR="004236C6" w:rsidRPr="004236C6" w:rsidRDefault="004236C6" w:rsidP="004236C6">
      <w:pPr>
        <w:rPr>
          <w:color w:val="1F3864" w:themeColor="accent1" w:themeShade="80"/>
        </w:rPr>
      </w:pPr>
    </w:p>
    <w:p w14:paraId="6B0FA03F" w14:textId="77777777" w:rsidR="004236C6" w:rsidRPr="004236C6" w:rsidRDefault="004236C6" w:rsidP="004236C6">
      <w:pPr>
        <w:pStyle w:val="Nadpis4"/>
        <w:rPr>
          <w:color w:val="1F3864" w:themeColor="accent1" w:themeShade="80"/>
          <w:sz w:val="20"/>
          <w:szCs w:val="20"/>
        </w:rPr>
      </w:pPr>
      <w:bookmarkStart w:id="56" w:name="page54"/>
      <w:bookmarkEnd w:id="56"/>
      <w:r w:rsidRPr="004236C6">
        <w:rPr>
          <w:rFonts w:eastAsia="Times New Roman"/>
          <w:color w:val="1F3864" w:themeColor="accent1" w:themeShade="80"/>
        </w:rPr>
        <w:t>Praktická hospodářská politika – keynesiánství</w:t>
      </w:r>
    </w:p>
    <w:p w14:paraId="5183883F" w14:textId="77777777" w:rsidR="004236C6" w:rsidRPr="00FC3B7C" w:rsidRDefault="004236C6" w:rsidP="004236C6">
      <w:pPr>
        <w:rPr>
          <w:sz w:val="20"/>
          <w:szCs w:val="20"/>
        </w:rPr>
      </w:pPr>
      <w:r w:rsidRPr="00FC3B7C">
        <w:rPr>
          <w:rFonts w:eastAsia="Times New Roman"/>
          <w:szCs w:val="24"/>
        </w:rPr>
        <w:t>Hlavními rysy praktické HP navazující na intervencionistickou koncepci jsou:</w:t>
      </w:r>
    </w:p>
    <w:p w14:paraId="3E0EC05D" w14:textId="77777777" w:rsidR="004236C6" w:rsidRPr="00FC3B7C" w:rsidRDefault="004236C6" w:rsidP="004236C6">
      <w:pPr>
        <w:numPr>
          <w:ilvl w:val="0"/>
          <w:numId w:val="22"/>
        </w:numPr>
        <w:tabs>
          <w:tab w:val="left" w:pos="1000"/>
        </w:tabs>
        <w:ind w:left="1000" w:hanging="358"/>
        <w:rPr>
          <w:rFonts w:eastAsia="Times New Roman"/>
          <w:szCs w:val="24"/>
        </w:rPr>
      </w:pPr>
      <w:r w:rsidRPr="00FC3B7C">
        <w:rPr>
          <w:rFonts w:eastAsia="Times New Roman"/>
          <w:szCs w:val="24"/>
        </w:rPr>
        <w:t>plná (vysoká) zaměstnanost podporující hospodářský růst</w:t>
      </w:r>
      <w:r>
        <w:rPr>
          <w:rFonts w:eastAsia="Times New Roman"/>
          <w:szCs w:val="24"/>
        </w:rPr>
        <w:t>,</w:t>
      </w:r>
    </w:p>
    <w:p w14:paraId="56F683B4" w14:textId="77777777" w:rsidR="004236C6" w:rsidRPr="00FC3B7C" w:rsidRDefault="004236C6" w:rsidP="004236C6">
      <w:pPr>
        <w:numPr>
          <w:ilvl w:val="0"/>
          <w:numId w:val="22"/>
        </w:numPr>
        <w:tabs>
          <w:tab w:val="left" w:pos="1000"/>
        </w:tabs>
        <w:ind w:left="1000" w:hanging="358"/>
        <w:rPr>
          <w:rFonts w:eastAsia="Times New Roman"/>
          <w:szCs w:val="24"/>
        </w:rPr>
      </w:pPr>
      <w:r w:rsidRPr="00FC3B7C">
        <w:rPr>
          <w:rFonts w:eastAsia="Times New Roman"/>
          <w:szCs w:val="24"/>
        </w:rPr>
        <w:t>regulace agregátní poptávky (i přes hrozbu deficitních rozpočtů)</w:t>
      </w:r>
      <w:r>
        <w:rPr>
          <w:rFonts w:eastAsia="Times New Roman"/>
          <w:szCs w:val="24"/>
        </w:rPr>
        <w:t>,</w:t>
      </w:r>
    </w:p>
    <w:p w14:paraId="4A277B03" w14:textId="77777777" w:rsidR="004236C6" w:rsidRPr="00FC3B7C" w:rsidRDefault="004236C6" w:rsidP="004236C6">
      <w:pPr>
        <w:numPr>
          <w:ilvl w:val="0"/>
          <w:numId w:val="22"/>
        </w:numPr>
        <w:tabs>
          <w:tab w:val="left" w:pos="1000"/>
        </w:tabs>
        <w:ind w:left="1000" w:hanging="358"/>
        <w:rPr>
          <w:rFonts w:eastAsia="Times New Roman"/>
          <w:szCs w:val="24"/>
        </w:rPr>
      </w:pPr>
      <w:r w:rsidRPr="00FC3B7C">
        <w:rPr>
          <w:rFonts w:eastAsia="Times New Roman"/>
          <w:szCs w:val="24"/>
        </w:rPr>
        <w:t>hlavním nástrojem je fiskální politika (monetární je jí podřízena)</w:t>
      </w:r>
      <w:r>
        <w:rPr>
          <w:rFonts w:eastAsia="Times New Roman"/>
          <w:szCs w:val="24"/>
        </w:rPr>
        <w:t>,</w:t>
      </w:r>
    </w:p>
    <w:p w14:paraId="67A70E22" w14:textId="77777777" w:rsidR="004236C6" w:rsidRPr="00FC3B7C" w:rsidRDefault="004236C6" w:rsidP="004236C6">
      <w:pPr>
        <w:numPr>
          <w:ilvl w:val="0"/>
          <w:numId w:val="22"/>
        </w:numPr>
        <w:tabs>
          <w:tab w:val="left" w:pos="1000"/>
        </w:tabs>
        <w:ind w:left="1000" w:hanging="358"/>
        <w:rPr>
          <w:rFonts w:eastAsia="Times New Roman"/>
          <w:szCs w:val="24"/>
        </w:rPr>
      </w:pPr>
      <w:r w:rsidRPr="00FC3B7C">
        <w:rPr>
          <w:rFonts w:eastAsia="Times New Roman"/>
          <w:szCs w:val="24"/>
        </w:rPr>
        <w:t>krátkodobá povaha cílů – provádí se diskreční politika</w:t>
      </w:r>
      <w:r>
        <w:rPr>
          <w:rFonts w:eastAsia="Times New Roman"/>
          <w:szCs w:val="24"/>
        </w:rPr>
        <w:t>.</w:t>
      </w:r>
    </w:p>
    <w:p w14:paraId="0ED62BB6" w14:textId="77777777" w:rsidR="004236C6" w:rsidRPr="00FC3B7C" w:rsidRDefault="004236C6" w:rsidP="004236C6">
      <w:pPr>
        <w:rPr>
          <w:sz w:val="20"/>
          <w:szCs w:val="20"/>
        </w:rPr>
      </w:pPr>
      <w:r w:rsidRPr="00FC3B7C">
        <w:rPr>
          <w:rFonts w:eastAsia="Times New Roman"/>
        </w:rPr>
        <w:t>Součástí praktické hospodářské politiky bylo v některých případech i využití plánování, jímž vláda vstupuje do hospodářského procesu. Existují dva rozdílné typy plánování jako koordinace ekonomiky:</w:t>
      </w:r>
    </w:p>
    <w:p w14:paraId="4957942C" w14:textId="77777777" w:rsidR="004236C6" w:rsidRPr="00FC3B7C" w:rsidRDefault="004236C6" w:rsidP="004236C6">
      <w:pPr>
        <w:spacing w:line="1" w:lineRule="exact"/>
        <w:rPr>
          <w:sz w:val="20"/>
          <w:szCs w:val="20"/>
        </w:rPr>
      </w:pPr>
    </w:p>
    <w:p w14:paraId="3FDC3885" w14:textId="77777777" w:rsidR="004236C6" w:rsidRPr="00FC3B7C" w:rsidRDefault="004236C6" w:rsidP="004236C6">
      <w:pPr>
        <w:numPr>
          <w:ilvl w:val="0"/>
          <w:numId w:val="23"/>
        </w:numPr>
        <w:tabs>
          <w:tab w:val="left" w:pos="1000"/>
        </w:tabs>
        <w:ind w:left="1000" w:hanging="358"/>
        <w:rPr>
          <w:rFonts w:eastAsia="Times New Roman"/>
          <w:szCs w:val="24"/>
        </w:rPr>
      </w:pPr>
      <w:r w:rsidRPr="00FC3B7C">
        <w:rPr>
          <w:rFonts w:eastAsia="Times New Roman"/>
          <w:szCs w:val="24"/>
        </w:rPr>
        <w:t>imperativní – závazná povaha (plánování sovětského typu),</w:t>
      </w:r>
    </w:p>
    <w:p w14:paraId="7E712CAA" w14:textId="77777777" w:rsidR="004236C6" w:rsidRPr="00FC3B7C" w:rsidRDefault="004236C6" w:rsidP="004236C6">
      <w:pPr>
        <w:numPr>
          <w:ilvl w:val="0"/>
          <w:numId w:val="23"/>
        </w:numPr>
        <w:tabs>
          <w:tab w:val="left" w:pos="1000"/>
        </w:tabs>
        <w:spacing w:line="390" w:lineRule="auto"/>
        <w:ind w:left="1000" w:hanging="358"/>
        <w:rPr>
          <w:rFonts w:eastAsia="Times New Roman"/>
          <w:szCs w:val="24"/>
        </w:rPr>
      </w:pPr>
      <w:r w:rsidRPr="00FC3B7C">
        <w:rPr>
          <w:rFonts w:eastAsia="Times New Roman"/>
          <w:szCs w:val="24"/>
        </w:rPr>
        <w:t>indikativní – informativní funkce, monitoruje směry možného vývoje, doporučuje „chování“, čímž ekonomickým subjektům snižuje nejistotu.</w:t>
      </w:r>
    </w:p>
    <w:p w14:paraId="56CB7A9B" w14:textId="77777777" w:rsidR="004236C6" w:rsidRPr="00FC3B7C" w:rsidRDefault="004236C6" w:rsidP="004236C6">
      <w:pPr>
        <w:spacing w:line="130" w:lineRule="exact"/>
        <w:rPr>
          <w:sz w:val="20"/>
          <w:szCs w:val="20"/>
        </w:rPr>
      </w:pPr>
    </w:p>
    <w:p w14:paraId="572B6818" w14:textId="77777777" w:rsidR="004236C6" w:rsidRPr="00FC3B7C" w:rsidRDefault="004236C6" w:rsidP="004236C6">
      <w:pPr>
        <w:spacing w:line="361" w:lineRule="auto"/>
        <w:rPr>
          <w:sz w:val="20"/>
          <w:szCs w:val="20"/>
        </w:rPr>
      </w:pPr>
      <w:r w:rsidRPr="00FC3B7C">
        <w:rPr>
          <w:rFonts w:eastAsia="Times New Roman"/>
          <w:szCs w:val="24"/>
        </w:rPr>
        <w:t>Několika z mnoha příkladů státních zásahů (intervencí) do tržní povahy ekonomiky za účelem předejití nežádoucího vývoje jsou např.:</w:t>
      </w:r>
    </w:p>
    <w:p w14:paraId="37454E1D" w14:textId="77777777" w:rsidR="004236C6" w:rsidRPr="00FC3B7C" w:rsidRDefault="004236C6" w:rsidP="004236C6">
      <w:pPr>
        <w:numPr>
          <w:ilvl w:val="0"/>
          <w:numId w:val="24"/>
        </w:numPr>
        <w:tabs>
          <w:tab w:val="left" w:pos="1000"/>
        </w:tabs>
        <w:ind w:left="1000" w:hanging="358"/>
        <w:rPr>
          <w:rFonts w:eastAsia="Times New Roman"/>
          <w:szCs w:val="24"/>
        </w:rPr>
      </w:pPr>
      <w:r w:rsidRPr="00FC3B7C">
        <w:rPr>
          <w:rFonts w:eastAsia="Times New Roman"/>
          <w:szCs w:val="24"/>
        </w:rPr>
        <w:t>cenový strop (maximální cena),</w:t>
      </w:r>
    </w:p>
    <w:p w14:paraId="78D28FDD" w14:textId="77777777" w:rsidR="004236C6" w:rsidRPr="00FC3B7C" w:rsidRDefault="004236C6" w:rsidP="004236C6">
      <w:pPr>
        <w:numPr>
          <w:ilvl w:val="0"/>
          <w:numId w:val="24"/>
        </w:numPr>
        <w:tabs>
          <w:tab w:val="left" w:pos="1000"/>
        </w:tabs>
        <w:ind w:left="1000" w:hanging="358"/>
        <w:rPr>
          <w:rFonts w:eastAsia="Times New Roman"/>
          <w:szCs w:val="24"/>
        </w:rPr>
      </w:pPr>
      <w:r w:rsidRPr="00FC3B7C">
        <w:rPr>
          <w:rFonts w:eastAsia="Times New Roman"/>
          <w:szCs w:val="24"/>
        </w:rPr>
        <w:t>spotřební daň,</w:t>
      </w:r>
    </w:p>
    <w:p w14:paraId="40E60F9D" w14:textId="77777777" w:rsidR="004236C6" w:rsidRPr="00FC3B7C" w:rsidRDefault="004236C6" w:rsidP="004236C6">
      <w:pPr>
        <w:numPr>
          <w:ilvl w:val="0"/>
          <w:numId w:val="24"/>
        </w:numPr>
        <w:tabs>
          <w:tab w:val="left" w:pos="1000"/>
        </w:tabs>
        <w:ind w:left="1000" w:hanging="358"/>
        <w:rPr>
          <w:rFonts w:eastAsia="Times New Roman"/>
          <w:szCs w:val="24"/>
        </w:rPr>
      </w:pPr>
      <w:r w:rsidRPr="00FC3B7C">
        <w:rPr>
          <w:rFonts w:eastAsia="Times New Roman"/>
          <w:szCs w:val="24"/>
        </w:rPr>
        <w:t>subvence (dotace snižující náklady),</w:t>
      </w:r>
    </w:p>
    <w:p w14:paraId="54F1DD77" w14:textId="77777777" w:rsidR="004236C6" w:rsidRPr="00FC3B7C" w:rsidRDefault="004236C6" w:rsidP="004236C6">
      <w:pPr>
        <w:numPr>
          <w:ilvl w:val="0"/>
          <w:numId w:val="24"/>
        </w:numPr>
        <w:tabs>
          <w:tab w:val="left" w:pos="1000"/>
        </w:tabs>
        <w:ind w:left="1000" w:hanging="358"/>
        <w:rPr>
          <w:rFonts w:eastAsia="Times New Roman"/>
          <w:szCs w:val="24"/>
        </w:rPr>
      </w:pPr>
      <w:r w:rsidRPr="00FC3B7C">
        <w:rPr>
          <w:rFonts w:eastAsia="Times New Roman"/>
          <w:szCs w:val="24"/>
        </w:rPr>
        <w:t>minimální cena, minimální mzda,</w:t>
      </w:r>
    </w:p>
    <w:p w14:paraId="5DC9F97E" w14:textId="77777777" w:rsidR="004236C6" w:rsidRPr="00FC3B7C" w:rsidRDefault="004236C6" w:rsidP="004236C6">
      <w:pPr>
        <w:numPr>
          <w:ilvl w:val="0"/>
          <w:numId w:val="24"/>
        </w:numPr>
        <w:tabs>
          <w:tab w:val="left" w:pos="1000"/>
        </w:tabs>
        <w:ind w:left="1000" w:hanging="360"/>
        <w:rPr>
          <w:rFonts w:eastAsia="Times New Roman"/>
          <w:szCs w:val="24"/>
        </w:rPr>
      </w:pPr>
      <w:r w:rsidRPr="00FC3B7C">
        <w:rPr>
          <w:rFonts w:eastAsia="Times New Roman"/>
          <w:szCs w:val="24"/>
        </w:rPr>
        <w:t>produkční kvóty a další.</w:t>
      </w:r>
    </w:p>
    <w:p w14:paraId="287539C1" w14:textId="77777777" w:rsidR="004236C6" w:rsidRPr="00FC3B7C" w:rsidRDefault="004236C6" w:rsidP="004236C6">
      <w:pPr>
        <w:spacing w:line="376" w:lineRule="exact"/>
        <w:rPr>
          <w:sz w:val="20"/>
          <w:szCs w:val="20"/>
        </w:rPr>
      </w:pPr>
    </w:p>
    <w:p w14:paraId="343578EE" w14:textId="77777777" w:rsidR="004236C6" w:rsidRDefault="004236C6" w:rsidP="004236C6">
      <w:pPr>
        <w:spacing w:line="240" w:lineRule="auto"/>
        <w:jc w:val="left"/>
        <w:rPr>
          <w:rFonts w:eastAsia="Times New Roman"/>
          <w:b/>
          <w:bCs/>
          <w:i/>
          <w:iCs/>
          <w:szCs w:val="24"/>
        </w:rPr>
      </w:pPr>
      <w:r>
        <w:rPr>
          <w:rFonts w:eastAsia="Times New Roman"/>
          <w:b/>
          <w:bCs/>
          <w:i/>
          <w:iCs/>
          <w:szCs w:val="24"/>
        </w:rPr>
        <w:br w:type="page"/>
      </w:r>
    </w:p>
    <w:p w14:paraId="026D17CF" w14:textId="77777777" w:rsidR="004236C6" w:rsidRPr="004236C6" w:rsidRDefault="004236C6" w:rsidP="004236C6">
      <w:pPr>
        <w:pStyle w:val="Nadpis4"/>
        <w:rPr>
          <w:color w:val="1F3864" w:themeColor="accent1" w:themeShade="80"/>
          <w:sz w:val="20"/>
          <w:szCs w:val="20"/>
        </w:rPr>
      </w:pPr>
      <w:r w:rsidRPr="004236C6">
        <w:rPr>
          <w:rFonts w:eastAsia="Times New Roman"/>
          <w:color w:val="1F3864" w:themeColor="accent1" w:themeShade="80"/>
        </w:rPr>
        <w:lastRenderedPageBreak/>
        <w:t xml:space="preserve">Využití </w:t>
      </w:r>
      <w:r w:rsidRPr="004236C6">
        <w:rPr>
          <w:color w:val="1F3864" w:themeColor="accent1" w:themeShade="80"/>
        </w:rPr>
        <w:t>intervencionistické</w:t>
      </w:r>
      <w:r w:rsidRPr="004236C6">
        <w:rPr>
          <w:rFonts w:eastAsia="Times New Roman"/>
          <w:color w:val="1F3864" w:themeColor="accent1" w:themeShade="80"/>
        </w:rPr>
        <w:t xml:space="preserve"> ekonomicko-politické koncepce</w:t>
      </w:r>
    </w:p>
    <w:p w14:paraId="2E370F68" w14:textId="77777777" w:rsidR="004236C6" w:rsidRPr="009748C4" w:rsidRDefault="004236C6" w:rsidP="004236C6">
      <w:pPr>
        <w:rPr>
          <w:rFonts w:eastAsia="Times New Roman"/>
        </w:rPr>
      </w:pPr>
      <w:r w:rsidRPr="00FC3B7C">
        <w:rPr>
          <w:rFonts w:eastAsia="Times New Roman"/>
        </w:rPr>
        <w:t xml:space="preserve">Po velmi nepříznivých projevech Velké hospodářské krize v roce 1930 docházelo postupně </w:t>
      </w:r>
      <w:r>
        <w:rPr>
          <w:rFonts w:eastAsia="Times New Roman"/>
        </w:rPr>
        <w:br/>
      </w:r>
      <w:r w:rsidRPr="00FC3B7C">
        <w:rPr>
          <w:rFonts w:eastAsia="Times New Roman"/>
        </w:rPr>
        <w:t>k výraznému přiklonění ke keynesiánským myšlenkám a jejich aplikace do praktické hospodářské politiky, těmi nejčastěji jmenovanými případy jsou:</w:t>
      </w:r>
    </w:p>
    <w:p w14:paraId="1156CCE6" w14:textId="77777777" w:rsidR="004236C6" w:rsidRPr="00FC3B7C" w:rsidRDefault="004236C6" w:rsidP="004236C6">
      <w:pPr>
        <w:spacing w:line="66" w:lineRule="exact"/>
        <w:rPr>
          <w:sz w:val="20"/>
          <w:szCs w:val="20"/>
        </w:rPr>
      </w:pPr>
    </w:p>
    <w:p w14:paraId="49FF3BF1" w14:textId="77777777" w:rsidR="004236C6" w:rsidRPr="00FC3B7C" w:rsidRDefault="004236C6" w:rsidP="004236C6">
      <w:pPr>
        <w:numPr>
          <w:ilvl w:val="0"/>
          <w:numId w:val="25"/>
        </w:numPr>
        <w:tabs>
          <w:tab w:val="left" w:pos="1000"/>
        </w:tabs>
        <w:ind w:left="1000" w:hanging="358"/>
        <w:rPr>
          <w:rFonts w:eastAsia="Times New Roman"/>
          <w:szCs w:val="24"/>
        </w:rPr>
      </w:pPr>
      <w:r w:rsidRPr="00FC3B7C">
        <w:rPr>
          <w:rFonts w:eastAsia="Times New Roman"/>
          <w:szCs w:val="24"/>
        </w:rPr>
        <w:t>New Deal (30. léta 20. století – F. D. Roosevelt – USA) – zde se nejedná o politiku založenou na teoriích J. M. Keynese, ale je uvedena jako výrazný příklad intervencionistu.</w:t>
      </w:r>
    </w:p>
    <w:p w14:paraId="5FAB62B7" w14:textId="77777777" w:rsidR="004236C6" w:rsidRPr="00FC3B7C" w:rsidRDefault="004236C6" w:rsidP="004236C6">
      <w:pPr>
        <w:spacing w:line="1" w:lineRule="exact"/>
        <w:rPr>
          <w:rFonts w:eastAsia="Times New Roman"/>
          <w:szCs w:val="24"/>
        </w:rPr>
      </w:pPr>
    </w:p>
    <w:p w14:paraId="4CF70256" w14:textId="1C51C614" w:rsidR="004236C6" w:rsidRPr="009748C4" w:rsidRDefault="004236C6" w:rsidP="004236C6">
      <w:pPr>
        <w:numPr>
          <w:ilvl w:val="0"/>
          <w:numId w:val="25"/>
        </w:numPr>
        <w:tabs>
          <w:tab w:val="left" w:pos="1000"/>
        </w:tabs>
        <w:ind w:left="1000" w:hanging="358"/>
        <w:rPr>
          <w:rFonts w:eastAsia="Times New Roman"/>
          <w:szCs w:val="24"/>
        </w:rPr>
      </w:pPr>
      <w:r w:rsidRPr="00FC3B7C">
        <w:rPr>
          <w:rFonts w:eastAsia="Times New Roman"/>
          <w:szCs w:val="24"/>
        </w:rPr>
        <w:t>Keynesiánská</w:t>
      </w:r>
      <w:r w:rsidR="003376E1">
        <w:rPr>
          <w:rFonts w:eastAsia="Times New Roman"/>
          <w:szCs w:val="24"/>
        </w:rPr>
        <w:t xml:space="preserve"> </w:t>
      </w:r>
      <w:r w:rsidRPr="00FC3B7C">
        <w:rPr>
          <w:rFonts w:eastAsia="Times New Roman"/>
          <w:szCs w:val="24"/>
        </w:rPr>
        <w:t>etapa</w:t>
      </w:r>
      <w:r w:rsidR="003376E1">
        <w:rPr>
          <w:rFonts w:eastAsia="Times New Roman"/>
          <w:szCs w:val="24"/>
        </w:rPr>
        <w:t xml:space="preserve"> </w:t>
      </w:r>
      <w:r w:rsidRPr="00FC3B7C">
        <w:rPr>
          <w:rFonts w:eastAsia="Times New Roman"/>
          <w:szCs w:val="24"/>
        </w:rPr>
        <w:t>–</w:t>
      </w:r>
      <w:r w:rsidR="003376E1">
        <w:rPr>
          <w:rFonts w:eastAsia="Times New Roman"/>
          <w:szCs w:val="24"/>
        </w:rPr>
        <w:t xml:space="preserve"> </w:t>
      </w:r>
      <w:r w:rsidRPr="00FC3B7C">
        <w:rPr>
          <w:rFonts w:eastAsia="Times New Roman"/>
          <w:szCs w:val="24"/>
        </w:rPr>
        <w:t>politiky Stop-and-Go</w:t>
      </w:r>
      <w:r w:rsidR="003376E1">
        <w:rPr>
          <w:rFonts w:eastAsia="Times New Roman"/>
          <w:szCs w:val="24"/>
        </w:rPr>
        <w:t xml:space="preserve"> a New Economics (60. - 70. </w:t>
      </w:r>
      <w:r>
        <w:rPr>
          <w:rFonts w:eastAsia="Times New Roman"/>
          <w:szCs w:val="24"/>
        </w:rPr>
        <w:t>l</w:t>
      </w:r>
      <w:r w:rsidRPr="00FC3B7C">
        <w:rPr>
          <w:rFonts w:eastAsia="Times New Roman"/>
          <w:szCs w:val="24"/>
        </w:rPr>
        <w:t>éta</w:t>
      </w:r>
      <w:r>
        <w:rPr>
          <w:rFonts w:eastAsia="Times New Roman"/>
          <w:szCs w:val="24"/>
        </w:rPr>
        <w:t xml:space="preserve"> 20. </w:t>
      </w:r>
      <w:r w:rsidRPr="009748C4">
        <w:rPr>
          <w:rFonts w:eastAsia="Times New Roman"/>
          <w:szCs w:val="24"/>
        </w:rPr>
        <w:t>století).</w:t>
      </w:r>
    </w:p>
    <w:p w14:paraId="3B2180BF" w14:textId="77777777" w:rsidR="004236C6" w:rsidRPr="00FC3B7C" w:rsidRDefault="004236C6" w:rsidP="004236C6">
      <w:pPr>
        <w:numPr>
          <w:ilvl w:val="0"/>
          <w:numId w:val="25"/>
        </w:numPr>
        <w:tabs>
          <w:tab w:val="left" w:pos="1000"/>
        </w:tabs>
        <w:ind w:left="1000" w:hanging="358"/>
        <w:rPr>
          <w:rFonts w:eastAsia="Times New Roman"/>
          <w:szCs w:val="24"/>
        </w:rPr>
      </w:pPr>
      <w:r w:rsidRPr="00FC3B7C">
        <w:rPr>
          <w:rFonts w:eastAsia="Times New Roman"/>
          <w:szCs w:val="24"/>
        </w:rPr>
        <w:t>Makro-plánovací přístup průmyslové politiky v Japonsku (50. - 90. léta 20. století)</w:t>
      </w:r>
      <w:r>
        <w:rPr>
          <w:rFonts w:eastAsia="Times New Roman"/>
          <w:szCs w:val="24"/>
        </w:rPr>
        <w:t>,</w:t>
      </w:r>
    </w:p>
    <w:p w14:paraId="0F55019F" w14:textId="77777777" w:rsidR="004236C6" w:rsidRPr="00FC3B7C" w:rsidRDefault="004236C6" w:rsidP="004236C6">
      <w:pPr>
        <w:spacing w:line="141" w:lineRule="exact"/>
        <w:rPr>
          <w:rFonts w:eastAsia="Times New Roman"/>
          <w:szCs w:val="24"/>
        </w:rPr>
      </w:pPr>
    </w:p>
    <w:p w14:paraId="4B2BE942" w14:textId="77777777" w:rsidR="004236C6" w:rsidRPr="009748C4" w:rsidRDefault="004236C6" w:rsidP="004236C6">
      <w:pPr>
        <w:numPr>
          <w:ilvl w:val="0"/>
          <w:numId w:val="25"/>
        </w:numPr>
        <w:tabs>
          <w:tab w:val="left" w:pos="1000"/>
        </w:tabs>
        <w:ind w:left="1000" w:hanging="358"/>
        <w:rPr>
          <w:rFonts w:eastAsia="Times New Roman"/>
          <w:szCs w:val="24"/>
        </w:rPr>
      </w:pPr>
      <w:r w:rsidRPr="009748C4">
        <w:rPr>
          <w:rFonts w:eastAsia="Times New Roman"/>
          <w:szCs w:val="24"/>
        </w:rPr>
        <w:t>indikativní plánování Francie (60. léta 20. stol.)</w:t>
      </w:r>
      <w:bookmarkStart w:id="57" w:name="page55"/>
      <w:bookmarkEnd w:id="57"/>
      <w:r>
        <w:rPr>
          <w:rFonts w:eastAsia="Times New Roman"/>
          <w:szCs w:val="24"/>
        </w:rPr>
        <w:t>.</w:t>
      </w:r>
    </w:p>
    <w:p w14:paraId="6EA0612A" w14:textId="77777777" w:rsidR="004236C6" w:rsidRPr="009748C4" w:rsidRDefault="004236C6" w:rsidP="004236C6">
      <w:pPr>
        <w:numPr>
          <w:ilvl w:val="0"/>
          <w:numId w:val="25"/>
        </w:numPr>
        <w:tabs>
          <w:tab w:val="left" w:pos="1000"/>
        </w:tabs>
        <w:ind w:left="1000" w:hanging="358"/>
        <w:rPr>
          <w:rFonts w:eastAsia="Times New Roman"/>
          <w:szCs w:val="24"/>
        </w:rPr>
      </w:pPr>
      <w:r w:rsidRPr="009748C4">
        <w:rPr>
          <w:rFonts w:eastAsia="Times New Roman"/>
          <w:szCs w:val="24"/>
        </w:rPr>
        <w:t>Švédský model „třetí cesty“ (40. léta 20. stol.)</w:t>
      </w:r>
      <w:r>
        <w:rPr>
          <w:rFonts w:eastAsia="Times New Roman"/>
          <w:szCs w:val="24"/>
        </w:rPr>
        <w:t>.</w:t>
      </w:r>
    </w:p>
    <w:p w14:paraId="19BC8072" w14:textId="77777777" w:rsidR="004236C6" w:rsidRPr="00FC3B7C" w:rsidRDefault="004236C6" w:rsidP="004236C6">
      <w:pPr>
        <w:spacing w:line="380" w:lineRule="exact"/>
        <w:rPr>
          <w:sz w:val="20"/>
          <w:szCs w:val="20"/>
        </w:rPr>
      </w:pPr>
    </w:p>
    <w:p w14:paraId="6F985660" w14:textId="77777777" w:rsidR="004236C6" w:rsidRPr="004236C6" w:rsidRDefault="004236C6" w:rsidP="004236C6">
      <w:pPr>
        <w:pStyle w:val="Nadpis4"/>
        <w:ind w:left="1560" w:hanging="993"/>
        <w:rPr>
          <w:color w:val="1F3864" w:themeColor="accent1" w:themeShade="80"/>
          <w:sz w:val="20"/>
          <w:szCs w:val="20"/>
        </w:rPr>
      </w:pPr>
      <w:r w:rsidRPr="004236C6">
        <w:rPr>
          <w:rFonts w:eastAsia="Times New Roman"/>
          <w:color w:val="1F3864" w:themeColor="accent1" w:themeShade="80"/>
        </w:rPr>
        <w:t>Charakteristika vývoje vybraných aplikací intervencionistické ekonomicko-</w:t>
      </w:r>
      <w:r w:rsidRPr="004236C6">
        <w:rPr>
          <w:rFonts w:eastAsia="Times New Roman"/>
          <w:bCs/>
          <w:color w:val="1F3864" w:themeColor="accent1" w:themeShade="80"/>
          <w:szCs w:val="24"/>
        </w:rPr>
        <w:t xml:space="preserve">politické </w:t>
      </w:r>
      <w:r w:rsidRPr="004236C6">
        <w:rPr>
          <w:color w:val="1F3864" w:themeColor="accent1" w:themeShade="80"/>
        </w:rPr>
        <w:t>koncepce</w:t>
      </w:r>
    </w:p>
    <w:p w14:paraId="42368D39" w14:textId="77777777" w:rsidR="004236C6" w:rsidRPr="00FC3B7C" w:rsidRDefault="004236C6" w:rsidP="004236C6">
      <w:pPr>
        <w:spacing w:line="200" w:lineRule="exact"/>
        <w:rPr>
          <w:sz w:val="20"/>
          <w:szCs w:val="20"/>
        </w:rPr>
      </w:pPr>
    </w:p>
    <w:p w14:paraId="41D4905C" w14:textId="77777777" w:rsidR="004236C6" w:rsidRPr="00FC3B7C" w:rsidRDefault="004236C6" w:rsidP="004236C6">
      <w:pPr>
        <w:rPr>
          <w:sz w:val="20"/>
          <w:szCs w:val="20"/>
        </w:rPr>
      </w:pPr>
      <w:r w:rsidRPr="00FC3B7C">
        <w:rPr>
          <w:rFonts w:eastAsia="Times New Roman"/>
          <w:b/>
          <w:bCs/>
          <w:szCs w:val="24"/>
        </w:rPr>
        <w:t>New Deal</w:t>
      </w:r>
    </w:p>
    <w:p w14:paraId="12B2EC4C" w14:textId="77777777" w:rsidR="004236C6" w:rsidRPr="00FC3B7C" w:rsidRDefault="004236C6" w:rsidP="004236C6">
      <w:pPr>
        <w:rPr>
          <w:sz w:val="20"/>
          <w:szCs w:val="20"/>
        </w:rPr>
      </w:pPr>
      <w:r w:rsidRPr="00FC3B7C">
        <w:rPr>
          <w:rFonts w:eastAsia="Times New Roman"/>
        </w:rPr>
        <w:t xml:space="preserve">New Deal byl rozsáhlý protikrizový a stabilizační program uplatňovaný v USA od r. 1933 </w:t>
      </w:r>
      <w:r>
        <w:rPr>
          <w:rFonts w:eastAsia="Times New Roman"/>
        </w:rPr>
        <w:br/>
      </w:r>
      <w:r w:rsidRPr="00FC3B7C">
        <w:rPr>
          <w:rFonts w:eastAsia="Times New Roman"/>
        </w:rPr>
        <w:t xml:space="preserve">do začátku 2. světové války. Prezidentem byl v té době F. D. Roosevelt. Jeho předchůdce </w:t>
      </w:r>
      <w:r>
        <w:rPr>
          <w:rFonts w:eastAsia="Times New Roman"/>
        </w:rPr>
        <w:br/>
      </w:r>
      <w:r w:rsidRPr="00FC3B7C">
        <w:rPr>
          <w:rFonts w:eastAsia="Times New Roman"/>
        </w:rPr>
        <w:t xml:space="preserve">H. Hoover ke krizi přistupoval podle liberalistických představ, krize měla být překonána působením vlastních sil, zásahy vlády byly odmítány. Důsledkem bylo přispění k délce </w:t>
      </w:r>
      <w:r>
        <w:rPr>
          <w:rFonts w:eastAsia="Times New Roman"/>
        </w:rPr>
        <w:br/>
      </w:r>
      <w:r w:rsidRPr="00FC3B7C">
        <w:rPr>
          <w:rFonts w:eastAsia="Times New Roman"/>
        </w:rPr>
        <w:t xml:space="preserve">a hloubce krize. Politika New Dealu nebyla vždy konzistentní a důsledná, ale New Deal přesto zasáhl všechny hlavní sféry americké ekonomiky. Nejdůležitějšími dokumenty jsou zákon o obnově národního průmyslu (National Industrial Recovery Act = NIRA) a zákon </w:t>
      </w:r>
      <w:r>
        <w:rPr>
          <w:rFonts w:eastAsia="Times New Roman"/>
        </w:rPr>
        <w:br/>
      </w:r>
      <w:r w:rsidRPr="00FC3B7C">
        <w:rPr>
          <w:rFonts w:eastAsia="Times New Roman"/>
        </w:rPr>
        <w:t>o obnově zemědělství (Agricultural Adjustment Act = AAA). Program New Dealu znamenal obrat v chápání ekonomické funkce vlády, která poprvé v takovém rozsahu v mírových podmínkách převzala v krizovém období zodpovědnost za chod ekonomického života. Průlomem bylo rozhodnutí, že vláda je spoluodpovědná za situaci na trhu práce, za vytváření pracovních příležitostí. Program poprvé prosadil zásahy ke stabilizaci bankovní sféry, využití státních výdajů k podpoře celkové poptávky při recesní mezeře, program veřejných prací, progresivní zdanění, přístupy ke stabilizaci zemědělství, změny týkající se mezd, sociálního pojištění a postavení odborů.</w:t>
      </w:r>
    </w:p>
    <w:p w14:paraId="751FCF09" w14:textId="77777777" w:rsidR="004236C6" w:rsidRPr="00FC3B7C" w:rsidRDefault="004236C6" w:rsidP="004236C6">
      <w:pPr>
        <w:spacing w:line="369" w:lineRule="exact"/>
        <w:rPr>
          <w:sz w:val="20"/>
          <w:szCs w:val="20"/>
        </w:rPr>
      </w:pPr>
    </w:p>
    <w:p w14:paraId="60568BA5" w14:textId="77777777" w:rsidR="004236C6" w:rsidRDefault="004236C6" w:rsidP="004236C6">
      <w:pPr>
        <w:spacing w:line="240" w:lineRule="auto"/>
        <w:jc w:val="left"/>
        <w:rPr>
          <w:rFonts w:eastAsia="Times New Roman"/>
          <w:b/>
          <w:bCs/>
          <w:szCs w:val="24"/>
        </w:rPr>
      </w:pPr>
      <w:r>
        <w:rPr>
          <w:rFonts w:eastAsia="Times New Roman"/>
          <w:b/>
          <w:bCs/>
          <w:szCs w:val="24"/>
        </w:rPr>
        <w:br w:type="page"/>
      </w:r>
    </w:p>
    <w:p w14:paraId="7338310C" w14:textId="77777777" w:rsidR="004236C6" w:rsidRPr="00FC3B7C" w:rsidRDefault="004236C6" w:rsidP="004236C6">
      <w:pPr>
        <w:rPr>
          <w:sz w:val="20"/>
          <w:szCs w:val="20"/>
        </w:rPr>
      </w:pPr>
      <w:r w:rsidRPr="00FC3B7C">
        <w:rPr>
          <w:rFonts w:eastAsia="Times New Roman"/>
          <w:b/>
          <w:bCs/>
          <w:szCs w:val="24"/>
        </w:rPr>
        <w:lastRenderedPageBreak/>
        <w:t>Politika STOP-GO</w:t>
      </w:r>
    </w:p>
    <w:p w14:paraId="4DBEA014" w14:textId="77777777" w:rsidR="004236C6" w:rsidRPr="00FC3B7C" w:rsidRDefault="004236C6" w:rsidP="004236C6">
      <w:pPr>
        <w:spacing w:line="148" w:lineRule="exact"/>
        <w:rPr>
          <w:sz w:val="20"/>
          <w:szCs w:val="20"/>
        </w:rPr>
      </w:pPr>
    </w:p>
    <w:p w14:paraId="25100FE3" w14:textId="77777777" w:rsidR="004236C6" w:rsidRPr="00FC3B7C" w:rsidRDefault="004236C6" w:rsidP="004236C6">
      <w:pPr>
        <w:rPr>
          <w:sz w:val="20"/>
          <w:szCs w:val="20"/>
        </w:rPr>
      </w:pPr>
      <w:r w:rsidRPr="00FC3B7C">
        <w:rPr>
          <w:rFonts w:eastAsia="Times New Roman"/>
        </w:rPr>
        <w:t>Do začátku 60. let měla intervencionistická politika podobu krátkodobé (proticyklické) stabilizační politiky. Pojmy stop a go byly převzaty z řízení pouliční dopravy.</w:t>
      </w:r>
    </w:p>
    <w:p w14:paraId="743E2B2A" w14:textId="77777777" w:rsidR="004236C6" w:rsidRPr="00FC3B7C" w:rsidRDefault="004236C6" w:rsidP="004236C6">
      <w:pPr>
        <w:spacing w:line="3" w:lineRule="exact"/>
        <w:rPr>
          <w:sz w:val="20"/>
          <w:szCs w:val="20"/>
        </w:rPr>
      </w:pPr>
    </w:p>
    <w:p w14:paraId="100AD0D7" w14:textId="77777777" w:rsidR="004236C6" w:rsidRPr="00FC3B7C" w:rsidRDefault="004236C6" w:rsidP="004236C6">
      <w:pPr>
        <w:numPr>
          <w:ilvl w:val="0"/>
          <w:numId w:val="26"/>
        </w:numPr>
        <w:tabs>
          <w:tab w:val="left" w:pos="720"/>
        </w:tabs>
        <w:spacing w:line="362" w:lineRule="auto"/>
        <w:ind w:left="720" w:hanging="364"/>
        <w:rPr>
          <w:rFonts w:eastAsia="Arial"/>
          <w:szCs w:val="24"/>
        </w:rPr>
      </w:pPr>
      <w:r w:rsidRPr="00FC3B7C">
        <w:rPr>
          <w:rFonts w:eastAsia="Times New Roman"/>
          <w:szCs w:val="24"/>
        </w:rPr>
        <w:t xml:space="preserve">Princip GO se uplatňoval, pokud byla celková poptávka nedostatečná. Měla se používat expanzivní fiskální a měnová politika. Fiskální politika mohla zvýšit vládní výdaje nebo snížit daně, měnová politika měla podporovat růst peněžní zásoby </w:t>
      </w:r>
      <w:r>
        <w:rPr>
          <w:rFonts w:eastAsia="Times New Roman"/>
          <w:szCs w:val="24"/>
        </w:rPr>
        <w:br/>
      </w:r>
      <w:r w:rsidRPr="00FC3B7C">
        <w:rPr>
          <w:rFonts w:eastAsia="Times New Roman"/>
          <w:szCs w:val="24"/>
        </w:rPr>
        <w:t>a přispívat ke snížení úrokové sazby, možností bylo také snížit diskontní sazby, snížit povinné rezervy nebo provádět aktivní operace na volném trhu.</w:t>
      </w:r>
    </w:p>
    <w:p w14:paraId="09FA6ED9" w14:textId="77777777" w:rsidR="004236C6" w:rsidRPr="00FC3B7C" w:rsidRDefault="004236C6" w:rsidP="004236C6">
      <w:pPr>
        <w:spacing w:line="5" w:lineRule="exact"/>
        <w:rPr>
          <w:rFonts w:eastAsia="Arial"/>
          <w:szCs w:val="24"/>
        </w:rPr>
      </w:pPr>
    </w:p>
    <w:p w14:paraId="677B2AC9" w14:textId="77777777" w:rsidR="004236C6" w:rsidRPr="009748C4" w:rsidRDefault="004236C6" w:rsidP="004236C6">
      <w:pPr>
        <w:numPr>
          <w:ilvl w:val="0"/>
          <w:numId w:val="26"/>
        </w:numPr>
        <w:tabs>
          <w:tab w:val="left" w:pos="720"/>
        </w:tabs>
        <w:spacing w:line="393" w:lineRule="auto"/>
        <w:ind w:left="720" w:hanging="364"/>
        <w:rPr>
          <w:rFonts w:eastAsia="Arial"/>
          <w:szCs w:val="24"/>
        </w:rPr>
      </w:pPr>
      <w:r w:rsidRPr="00FC3B7C">
        <w:rPr>
          <w:rFonts w:eastAsia="Times New Roman"/>
          <w:szCs w:val="24"/>
        </w:rPr>
        <w:t>Princip STOP byl uplatňován, pokud se poptávka zvyšovala příliš vysokým tempem, prováděla se restriktivní politika. Fiskální politika měla omezit vládní výdaje a zvýšit</w:t>
      </w:r>
      <w:bookmarkStart w:id="58" w:name="page56"/>
      <w:bookmarkEnd w:id="58"/>
      <w:r>
        <w:rPr>
          <w:rFonts w:eastAsia="Arial"/>
          <w:szCs w:val="24"/>
        </w:rPr>
        <w:t xml:space="preserve"> </w:t>
      </w:r>
      <w:r w:rsidRPr="009748C4">
        <w:rPr>
          <w:rFonts w:eastAsia="Times New Roman"/>
          <w:szCs w:val="24"/>
        </w:rPr>
        <w:t>daně, měnová politika měla udržovat úrokovou míru na vyšší úrovni redukcí peněžní zásoby.</w:t>
      </w:r>
    </w:p>
    <w:p w14:paraId="7B254472" w14:textId="77777777" w:rsidR="004236C6" w:rsidRPr="00FC3B7C" w:rsidRDefault="004236C6" w:rsidP="004236C6">
      <w:pPr>
        <w:spacing w:line="142" w:lineRule="exact"/>
        <w:rPr>
          <w:sz w:val="20"/>
          <w:szCs w:val="20"/>
        </w:rPr>
      </w:pPr>
    </w:p>
    <w:p w14:paraId="5FBFCB0A" w14:textId="77777777" w:rsidR="004236C6" w:rsidRPr="00FC3B7C" w:rsidRDefault="004236C6" w:rsidP="004236C6">
      <w:pPr>
        <w:rPr>
          <w:sz w:val="20"/>
          <w:szCs w:val="20"/>
        </w:rPr>
      </w:pPr>
      <w:r w:rsidRPr="00FC3B7C">
        <w:rPr>
          <w:rFonts w:eastAsia="Times New Roman"/>
        </w:rPr>
        <w:t xml:space="preserve">Výhodou této politiky bylo to, že obsahovala zabudované stabilizátory, které automaticky vyrovnávaly kolísání hospodářského cyklu. Krátkodobá stabilizační politika se realizovala prostřednictvím zabudovaných automatických stabilizátorů a prostřednictvím záměrné stabilizační politiky, která se snažila povzbuzovat hospodářskou aktivitu v době jejího útlumu a brzdit ji v době jejího rozmachu. Tato politika se snažila neustále korigovat ekonomický vývoj tak, aby se přiblížil optimální vzestupné linii. Tato politika se nazývá diskreční (záměrnou) politikou, tzv. fine tuning. Politika narážela na řadu překážek: kvalitu informací </w:t>
      </w:r>
      <w:r>
        <w:rPr>
          <w:rFonts w:eastAsia="Times New Roman"/>
        </w:rPr>
        <w:br/>
      </w:r>
      <w:r w:rsidRPr="00FC3B7C">
        <w:rPr>
          <w:rFonts w:eastAsia="Times New Roman"/>
        </w:rPr>
        <w:t>o stavu ekonomiky (poznávací bariéry a časová zpoždění), včasnost vládního zásahu (bariéry při realizaci zásahu a časová zpoždění), institucionální bariéry (zdlouhavé projednávání vládních návrhů). Poznávací bariéra je jednak v potížích přesného odhadu fáze cyklu, ale hlavně v krátkodobé prognóze ekonomického vývoje. Vláda má dále při tzv. rozpočtovém plánování dost svázané ruce, možnost pohybovat rozpočtovými výdaji podle fáze cyklu je velmi omezená. Výdaje je možné spíše jen zvyšovat a daně jen snižovat.</w:t>
      </w:r>
    </w:p>
    <w:p w14:paraId="5BDD21C3" w14:textId="77777777" w:rsidR="004236C6" w:rsidRPr="00FC3B7C" w:rsidRDefault="004236C6" w:rsidP="004236C6">
      <w:pPr>
        <w:spacing w:line="4" w:lineRule="exact"/>
        <w:rPr>
          <w:sz w:val="20"/>
          <w:szCs w:val="20"/>
        </w:rPr>
      </w:pPr>
    </w:p>
    <w:p w14:paraId="4D651B98" w14:textId="77777777" w:rsidR="004236C6" w:rsidRPr="00FC3B7C" w:rsidRDefault="004236C6" w:rsidP="004236C6">
      <w:pPr>
        <w:spacing w:line="369" w:lineRule="auto"/>
        <w:rPr>
          <w:sz w:val="20"/>
          <w:szCs w:val="20"/>
        </w:rPr>
      </w:pPr>
      <w:r w:rsidRPr="00FC3B7C">
        <w:rPr>
          <w:rFonts w:eastAsia="Times New Roman"/>
          <w:szCs w:val="24"/>
        </w:rPr>
        <w:t>Tato politika plodila trvalé rozpočtové deficity s rostoucím státním dluhem a rostoucí inflační tlaky, což omezovalo její účinnost. Politika stop-go přispěla ke zvýraznění tzv. politického cyklu, vytváří totiž podmínky pro subjektivní ekonomickou intervenci vlády podřízenou krátkodobým politikám a předvolebním potřebám.</w:t>
      </w:r>
    </w:p>
    <w:p w14:paraId="3AE06352" w14:textId="77777777" w:rsidR="004236C6" w:rsidRPr="00FC3B7C" w:rsidRDefault="004236C6" w:rsidP="004236C6">
      <w:pPr>
        <w:spacing w:line="366" w:lineRule="exact"/>
        <w:rPr>
          <w:sz w:val="20"/>
          <w:szCs w:val="20"/>
        </w:rPr>
      </w:pPr>
    </w:p>
    <w:p w14:paraId="4D4F171B" w14:textId="77777777" w:rsidR="004236C6" w:rsidRDefault="004236C6" w:rsidP="004236C6">
      <w:pPr>
        <w:spacing w:line="240" w:lineRule="auto"/>
        <w:jc w:val="left"/>
        <w:rPr>
          <w:rFonts w:eastAsia="Times New Roman"/>
          <w:b/>
          <w:bCs/>
          <w:szCs w:val="24"/>
        </w:rPr>
      </w:pPr>
      <w:r>
        <w:rPr>
          <w:rFonts w:eastAsia="Times New Roman"/>
          <w:b/>
          <w:bCs/>
          <w:szCs w:val="24"/>
        </w:rPr>
        <w:br w:type="page"/>
      </w:r>
    </w:p>
    <w:p w14:paraId="6E364A3C" w14:textId="77777777" w:rsidR="004236C6" w:rsidRPr="004236C6" w:rsidRDefault="004236C6" w:rsidP="004236C6">
      <w:pPr>
        <w:rPr>
          <w:color w:val="1F3864" w:themeColor="accent1" w:themeShade="80"/>
          <w:sz w:val="20"/>
          <w:szCs w:val="20"/>
        </w:rPr>
      </w:pPr>
      <w:r w:rsidRPr="004236C6">
        <w:rPr>
          <w:rFonts w:eastAsia="Times New Roman"/>
          <w:b/>
          <w:bCs/>
          <w:color w:val="1F3864" w:themeColor="accent1" w:themeShade="80"/>
          <w:szCs w:val="24"/>
        </w:rPr>
        <w:lastRenderedPageBreak/>
        <w:t>New Economics</w:t>
      </w:r>
    </w:p>
    <w:p w14:paraId="33CAE16D" w14:textId="77777777" w:rsidR="004236C6" w:rsidRPr="00FC3B7C" w:rsidRDefault="004236C6" w:rsidP="004236C6">
      <w:pPr>
        <w:rPr>
          <w:sz w:val="20"/>
          <w:szCs w:val="20"/>
        </w:rPr>
      </w:pPr>
      <w:r w:rsidRPr="00FC3B7C">
        <w:rPr>
          <w:rFonts w:eastAsia="Times New Roman"/>
        </w:rPr>
        <w:t xml:space="preserve">Na začátku 60. let se ve Velké Británii a v USA objevuje snaha přesunout se od krátkodobé, proticyklické stabilizační politiky (používané hlavně v 50. letech) spojené s neustálým dolaďováním ekonomického vývoje k dlouhodobé stabilizační politice. Jejím úkolem bylo oslabit cyklické výkyvy a dlouhodobě udržovat poptávku na úrovni odpovídající plné zaměstnanosti. Teoretickým základem se stala tzv. neoklasická syntéza (P. A. Samuelson). Hospodářská politika se má opírat o keynesiánství při neúplném využití zdrojů anebo </w:t>
      </w:r>
      <w:r>
        <w:rPr>
          <w:rFonts w:eastAsia="Times New Roman"/>
        </w:rPr>
        <w:br/>
      </w:r>
      <w:r w:rsidRPr="00FC3B7C">
        <w:rPr>
          <w:rFonts w:eastAsia="Times New Roman"/>
        </w:rPr>
        <w:t>o neoklasickou teorii po dosažení plné zaměstnanosti a má využívat nejen fiskální nástroje, ale i měnovou politiku a nacházet jejich optimální kombinaci (policy mix). New Economics je spojena se jmény jako: Kennedy, Johnson, Heller (předseda Rady ekonomických poradců), Klein, Okun, Samuelson, Sollow, Tobin atd. V období New Economics slaví intervencionistická hospodářská politika největší úspěchy.</w:t>
      </w:r>
    </w:p>
    <w:p w14:paraId="0936CF5E" w14:textId="77777777" w:rsidR="004236C6" w:rsidRPr="00FC3B7C" w:rsidRDefault="004236C6" w:rsidP="004236C6">
      <w:pPr>
        <w:rPr>
          <w:sz w:val="20"/>
          <w:szCs w:val="20"/>
        </w:rPr>
      </w:pPr>
      <w:bookmarkStart w:id="59" w:name="page57"/>
      <w:bookmarkEnd w:id="59"/>
      <w:r w:rsidRPr="00FC3B7C">
        <w:rPr>
          <w:rFonts w:eastAsia="Times New Roman"/>
          <w:szCs w:val="24"/>
          <w:u w:val="single"/>
        </w:rPr>
        <w:t>Hlavní rysy New Economics:</w:t>
      </w:r>
    </w:p>
    <w:p w14:paraId="16BE088A" w14:textId="1C65EB46" w:rsidR="004236C6" w:rsidRPr="009748C4" w:rsidRDefault="003376E1" w:rsidP="004236C6">
      <w:pPr>
        <w:numPr>
          <w:ilvl w:val="0"/>
          <w:numId w:val="27"/>
        </w:numPr>
        <w:tabs>
          <w:tab w:val="left" w:pos="1140"/>
        </w:tabs>
        <w:spacing w:line="276" w:lineRule="auto"/>
        <w:ind w:left="1140" w:hanging="715"/>
        <w:rPr>
          <w:rFonts w:eastAsia="Times New Roman"/>
          <w:szCs w:val="24"/>
        </w:rPr>
      </w:pPr>
      <w:r>
        <w:rPr>
          <w:rFonts w:eastAsia="Times New Roman"/>
          <w:szCs w:val="24"/>
        </w:rPr>
        <w:t>Mezi potenciálním</w:t>
      </w:r>
      <w:r w:rsidR="004236C6" w:rsidRPr="00FC3B7C">
        <w:rPr>
          <w:rFonts w:eastAsia="Times New Roman"/>
          <w:szCs w:val="24"/>
        </w:rPr>
        <w:t xml:space="preserve"> produktem</w:t>
      </w:r>
      <w:r>
        <w:rPr>
          <w:rFonts w:eastAsia="Times New Roman"/>
          <w:szCs w:val="24"/>
        </w:rPr>
        <w:t xml:space="preserve"> </w:t>
      </w:r>
      <w:r w:rsidR="004236C6" w:rsidRPr="00FC3B7C">
        <w:rPr>
          <w:rFonts w:eastAsia="Times New Roman"/>
          <w:szCs w:val="24"/>
        </w:rPr>
        <w:t>(vzniká</w:t>
      </w:r>
      <w:r>
        <w:rPr>
          <w:rFonts w:eastAsia="Times New Roman"/>
          <w:szCs w:val="24"/>
        </w:rPr>
        <w:t xml:space="preserve"> </w:t>
      </w:r>
      <w:r w:rsidR="004236C6" w:rsidRPr="00FC3B7C">
        <w:rPr>
          <w:rFonts w:eastAsia="Times New Roman"/>
          <w:szCs w:val="24"/>
        </w:rPr>
        <w:t>při</w:t>
      </w:r>
      <w:r>
        <w:rPr>
          <w:rFonts w:eastAsia="Times New Roman"/>
          <w:szCs w:val="24"/>
        </w:rPr>
        <w:t xml:space="preserve"> </w:t>
      </w:r>
      <w:r w:rsidR="004236C6" w:rsidRPr="00FC3B7C">
        <w:rPr>
          <w:rFonts w:eastAsia="Times New Roman"/>
          <w:szCs w:val="24"/>
        </w:rPr>
        <w:t>plném</w:t>
      </w:r>
      <w:r>
        <w:rPr>
          <w:rFonts w:eastAsia="Times New Roman"/>
          <w:szCs w:val="24"/>
        </w:rPr>
        <w:t xml:space="preserve"> </w:t>
      </w:r>
      <w:r w:rsidR="004236C6" w:rsidRPr="00FC3B7C">
        <w:rPr>
          <w:rFonts w:eastAsia="Times New Roman"/>
          <w:szCs w:val="24"/>
        </w:rPr>
        <w:t>využití</w:t>
      </w:r>
      <w:r>
        <w:rPr>
          <w:rFonts w:eastAsia="Times New Roman"/>
          <w:szCs w:val="24"/>
        </w:rPr>
        <w:t xml:space="preserve"> </w:t>
      </w:r>
      <w:r w:rsidR="004236C6" w:rsidRPr="00FC3B7C">
        <w:rPr>
          <w:rFonts w:eastAsia="Times New Roman"/>
          <w:szCs w:val="24"/>
        </w:rPr>
        <w:t>zdrojů</w:t>
      </w:r>
      <w:r>
        <w:rPr>
          <w:rFonts w:eastAsia="Times New Roman"/>
          <w:szCs w:val="24"/>
        </w:rPr>
        <w:t xml:space="preserve"> </w:t>
      </w:r>
      <w:r w:rsidR="004236C6" w:rsidRPr="00FC3B7C">
        <w:rPr>
          <w:rFonts w:eastAsia="Times New Roman"/>
          <w:szCs w:val="24"/>
        </w:rPr>
        <w:t>a</w:t>
      </w:r>
      <w:r>
        <w:rPr>
          <w:rFonts w:eastAsia="Times New Roman"/>
          <w:szCs w:val="24"/>
        </w:rPr>
        <w:t xml:space="preserve"> </w:t>
      </w:r>
      <w:r w:rsidR="004236C6" w:rsidRPr="00FC3B7C">
        <w:rPr>
          <w:rFonts w:eastAsia="Times New Roman"/>
          <w:szCs w:val="24"/>
        </w:rPr>
        <w:t>plné</w:t>
      </w:r>
      <w:r w:rsidR="004236C6">
        <w:rPr>
          <w:rFonts w:eastAsia="Times New Roman"/>
          <w:szCs w:val="24"/>
        </w:rPr>
        <w:t xml:space="preserve"> </w:t>
      </w:r>
      <w:r w:rsidR="004236C6" w:rsidRPr="009748C4">
        <w:rPr>
          <w:rFonts w:eastAsia="Times New Roman"/>
          <w:szCs w:val="24"/>
        </w:rPr>
        <w:t xml:space="preserve">zaměstnanosti) a reálným produktem může vzniknout mezera v produktu, která vyjadřuje ztrátu produktu vyvolanou nevyužitím výrobních činitelů. Ukazuje, </w:t>
      </w:r>
      <w:r w:rsidR="004236C6">
        <w:rPr>
          <w:rFonts w:eastAsia="Times New Roman"/>
          <w:szCs w:val="24"/>
        </w:rPr>
        <w:br/>
      </w:r>
      <w:r w:rsidR="004236C6" w:rsidRPr="009748C4">
        <w:rPr>
          <w:rFonts w:eastAsia="Times New Roman"/>
          <w:szCs w:val="24"/>
        </w:rPr>
        <w:t>v jakém rozsahu a jakým směrem by se měla angažovat vláda. Okunův zákon: klesne-li reálný produkt vůči potenciálnímu o 2 %, míra nezaměstnanosti vzroste zhruba o 1 %.</w:t>
      </w:r>
    </w:p>
    <w:p w14:paraId="135A633D" w14:textId="77777777" w:rsidR="004236C6" w:rsidRPr="00FC3B7C" w:rsidRDefault="004236C6" w:rsidP="004236C6">
      <w:pPr>
        <w:numPr>
          <w:ilvl w:val="0"/>
          <w:numId w:val="28"/>
        </w:numPr>
        <w:tabs>
          <w:tab w:val="left" w:pos="1140"/>
        </w:tabs>
        <w:spacing w:line="276" w:lineRule="auto"/>
        <w:ind w:left="1140" w:hanging="715"/>
        <w:rPr>
          <w:rFonts w:eastAsia="Times New Roman"/>
          <w:szCs w:val="24"/>
        </w:rPr>
      </w:pPr>
      <w:r w:rsidRPr="00FC3B7C">
        <w:rPr>
          <w:rFonts w:eastAsia="Times New Roman"/>
          <w:szCs w:val="24"/>
        </w:rPr>
        <w:t>Rozpočet může být deficitní, dokud se neodstraní mezera v produktu, dokud se nedosáhne plné zaměstnanosti.</w:t>
      </w:r>
    </w:p>
    <w:p w14:paraId="0D9DCB1E" w14:textId="77777777" w:rsidR="004236C6" w:rsidRPr="00FC3B7C" w:rsidRDefault="004236C6" w:rsidP="004236C6">
      <w:pPr>
        <w:numPr>
          <w:ilvl w:val="0"/>
          <w:numId w:val="28"/>
        </w:numPr>
        <w:tabs>
          <w:tab w:val="left" w:pos="1140"/>
        </w:tabs>
        <w:spacing w:line="276" w:lineRule="auto"/>
        <w:ind w:left="1140" w:hanging="715"/>
        <w:rPr>
          <w:rFonts w:eastAsia="Times New Roman"/>
          <w:szCs w:val="24"/>
        </w:rPr>
      </w:pPr>
      <w:r w:rsidRPr="00FC3B7C">
        <w:rPr>
          <w:rFonts w:eastAsia="Times New Roman"/>
          <w:szCs w:val="24"/>
        </w:rPr>
        <w:t>Vládní výdaje už nejsou v popředí, daně se stávají rovnocenným nástrojem stabilizační politiky.</w:t>
      </w:r>
    </w:p>
    <w:p w14:paraId="7985FAF6" w14:textId="77777777" w:rsidR="004236C6" w:rsidRPr="00FC3B7C" w:rsidRDefault="004236C6" w:rsidP="004236C6">
      <w:pPr>
        <w:numPr>
          <w:ilvl w:val="0"/>
          <w:numId w:val="28"/>
        </w:numPr>
        <w:tabs>
          <w:tab w:val="left" w:pos="1140"/>
        </w:tabs>
        <w:spacing w:line="276" w:lineRule="auto"/>
        <w:ind w:left="1140" w:hanging="715"/>
        <w:rPr>
          <w:rFonts w:eastAsia="Times New Roman"/>
          <w:szCs w:val="24"/>
        </w:rPr>
      </w:pPr>
      <w:r w:rsidRPr="00FC3B7C">
        <w:rPr>
          <w:rFonts w:eastAsia="Times New Roman"/>
          <w:szCs w:val="24"/>
        </w:rPr>
        <w:t>Peněžní politika byla velmi liberální a uvolněná, důsledkem bylo posilování inflačních tendencí.</w:t>
      </w:r>
    </w:p>
    <w:p w14:paraId="23F9B0FF" w14:textId="77777777" w:rsidR="004236C6" w:rsidRPr="00FC3B7C" w:rsidRDefault="004236C6" w:rsidP="004236C6">
      <w:pPr>
        <w:numPr>
          <w:ilvl w:val="0"/>
          <w:numId w:val="28"/>
        </w:numPr>
        <w:tabs>
          <w:tab w:val="left" w:pos="1140"/>
        </w:tabs>
        <w:spacing w:line="276" w:lineRule="auto"/>
        <w:ind w:left="1140" w:hanging="715"/>
        <w:rPr>
          <w:rFonts w:eastAsia="Times New Roman"/>
          <w:szCs w:val="24"/>
        </w:rPr>
      </w:pPr>
      <w:r w:rsidRPr="00FC3B7C">
        <w:rPr>
          <w:rFonts w:eastAsia="Times New Roman"/>
          <w:szCs w:val="24"/>
        </w:rPr>
        <w:t>New Economics se věnuje nejen straně poptávky, ale i straně nabídky (vládní výdaje na podporu výzkumu a vzdělání).</w:t>
      </w:r>
    </w:p>
    <w:p w14:paraId="3D07E367" w14:textId="77777777" w:rsidR="004236C6" w:rsidRPr="00FC3B7C" w:rsidRDefault="004236C6" w:rsidP="004236C6">
      <w:pPr>
        <w:numPr>
          <w:ilvl w:val="0"/>
          <w:numId w:val="28"/>
        </w:numPr>
        <w:tabs>
          <w:tab w:val="left" w:pos="1140"/>
        </w:tabs>
        <w:spacing w:line="276" w:lineRule="auto"/>
        <w:ind w:left="1140" w:hanging="715"/>
        <w:rPr>
          <w:rFonts w:eastAsia="Times New Roman"/>
          <w:szCs w:val="24"/>
        </w:rPr>
      </w:pPr>
      <w:r w:rsidRPr="00FC3B7C">
        <w:rPr>
          <w:rFonts w:eastAsia="Times New Roman"/>
          <w:szCs w:val="24"/>
        </w:rPr>
        <w:t>Zájem o vnější rovnováhu, který zůstal spíše u příslibů.</w:t>
      </w:r>
    </w:p>
    <w:p w14:paraId="72ABCC2B" w14:textId="77777777" w:rsidR="004236C6" w:rsidRDefault="004236C6" w:rsidP="004236C6">
      <w:pPr>
        <w:numPr>
          <w:ilvl w:val="0"/>
          <w:numId w:val="28"/>
        </w:numPr>
        <w:tabs>
          <w:tab w:val="left" w:pos="1140"/>
        </w:tabs>
        <w:spacing w:line="276" w:lineRule="auto"/>
        <w:ind w:left="1140" w:hanging="715"/>
        <w:rPr>
          <w:rFonts w:eastAsia="Times New Roman"/>
          <w:szCs w:val="24"/>
        </w:rPr>
      </w:pPr>
      <w:r w:rsidRPr="009748C4">
        <w:rPr>
          <w:rFonts w:eastAsia="Times New Roman"/>
          <w:szCs w:val="24"/>
        </w:rPr>
        <w:t>Zájem o přerozdělování národního důchodu (podobně jako New Deal), hesla jako „War on Poverty“ nebo „Great Society“.</w:t>
      </w:r>
    </w:p>
    <w:p w14:paraId="43C48116" w14:textId="77777777" w:rsidR="004236C6" w:rsidRPr="009748C4" w:rsidRDefault="004236C6" w:rsidP="004236C6">
      <w:pPr>
        <w:numPr>
          <w:ilvl w:val="0"/>
          <w:numId w:val="28"/>
        </w:numPr>
        <w:tabs>
          <w:tab w:val="left" w:pos="1140"/>
        </w:tabs>
        <w:spacing w:line="276" w:lineRule="auto"/>
        <w:ind w:left="1140" w:hanging="715"/>
        <w:rPr>
          <w:rFonts w:eastAsia="Times New Roman"/>
          <w:szCs w:val="24"/>
        </w:rPr>
      </w:pPr>
      <w:r w:rsidRPr="009748C4">
        <w:rPr>
          <w:rFonts w:eastAsia="Times New Roman"/>
          <w:szCs w:val="24"/>
        </w:rPr>
        <w:t>Aplikace Phillipsovy křivky, která měla kvantifikovat vztah mezi nezaměstnaností a dynamikou mezd a cen.</w:t>
      </w:r>
      <w:r>
        <w:rPr>
          <w:rStyle w:val="Znakapoznpodarou"/>
          <w:rFonts w:eastAsia="Times New Roman"/>
          <w:szCs w:val="24"/>
        </w:rPr>
        <w:footnoteReference w:id="21"/>
      </w:r>
    </w:p>
    <w:p w14:paraId="6498FF62" w14:textId="77777777" w:rsidR="004236C6" w:rsidRPr="00FC3B7C" w:rsidRDefault="004236C6" w:rsidP="004236C6">
      <w:pPr>
        <w:spacing w:line="77" w:lineRule="exact"/>
        <w:rPr>
          <w:sz w:val="20"/>
          <w:szCs w:val="20"/>
        </w:rPr>
      </w:pPr>
    </w:p>
    <w:p w14:paraId="5C8A3D00" w14:textId="77777777" w:rsidR="004236C6" w:rsidRDefault="004236C6" w:rsidP="004236C6">
      <w:pPr>
        <w:spacing w:line="240" w:lineRule="auto"/>
        <w:jc w:val="left"/>
        <w:rPr>
          <w:rFonts w:eastAsia="Times New Roman"/>
          <w:b/>
          <w:bCs/>
          <w:szCs w:val="24"/>
        </w:rPr>
      </w:pPr>
      <w:r>
        <w:rPr>
          <w:rFonts w:eastAsia="Times New Roman"/>
          <w:b/>
          <w:bCs/>
          <w:szCs w:val="24"/>
        </w:rPr>
        <w:br w:type="page"/>
      </w:r>
    </w:p>
    <w:p w14:paraId="3E530024" w14:textId="77777777" w:rsidR="004236C6" w:rsidRPr="004236C6" w:rsidRDefault="004236C6" w:rsidP="004236C6">
      <w:pPr>
        <w:rPr>
          <w:color w:val="1F3864" w:themeColor="accent1" w:themeShade="80"/>
          <w:sz w:val="20"/>
          <w:szCs w:val="20"/>
        </w:rPr>
      </w:pPr>
      <w:r w:rsidRPr="004236C6">
        <w:rPr>
          <w:rFonts w:eastAsia="Times New Roman"/>
          <w:b/>
          <w:bCs/>
          <w:color w:val="1F3864" w:themeColor="accent1" w:themeShade="80"/>
          <w:szCs w:val="24"/>
        </w:rPr>
        <w:lastRenderedPageBreak/>
        <w:t>Švédský model „třetí cesty“ (= Skandinávský model):</w:t>
      </w:r>
    </w:p>
    <w:p w14:paraId="11394870" w14:textId="77777777" w:rsidR="004236C6" w:rsidRPr="00FC3B7C" w:rsidRDefault="004236C6" w:rsidP="004236C6">
      <w:pPr>
        <w:spacing w:line="143" w:lineRule="exact"/>
        <w:rPr>
          <w:sz w:val="20"/>
          <w:szCs w:val="20"/>
        </w:rPr>
      </w:pPr>
    </w:p>
    <w:p w14:paraId="5D9C9E9E" w14:textId="4296F095" w:rsidR="004236C6" w:rsidRPr="00FC3B7C" w:rsidRDefault="004236C6" w:rsidP="004236C6">
      <w:pPr>
        <w:rPr>
          <w:sz w:val="20"/>
          <w:szCs w:val="20"/>
        </w:rPr>
      </w:pPr>
      <w:r w:rsidRPr="00FC3B7C">
        <w:rPr>
          <w:rFonts w:eastAsia="Times New Roman"/>
        </w:rPr>
        <w:t xml:space="preserve">Švédsko jako první prakticky aplikovalo koncepci státu blahobytu. Pokusilo se o nalezení střední (třetí) cesty mezi liberální tržní ekonomikou (laissez-faire, nedostatečná ekonomická stabilita, značná sociální nerovnost) a centrálně řízenou ekonomikou (všeobecná neefektivnost, potlačení lidských svobod). </w:t>
      </w:r>
      <w:r w:rsidR="003376E1">
        <w:rPr>
          <w:rFonts w:eastAsia="Times New Roman"/>
        </w:rPr>
        <w:t>Největšího rozvoje dosáhl švéds</w:t>
      </w:r>
      <w:r w:rsidRPr="00FC3B7C">
        <w:rPr>
          <w:rFonts w:eastAsia="Times New Roman"/>
        </w:rPr>
        <w:t xml:space="preserve">ký model </w:t>
      </w:r>
      <w:r>
        <w:rPr>
          <w:rFonts w:eastAsia="Times New Roman"/>
        </w:rPr>
        <w:br/>
      </w:r>
      <w:r w:rsidRPr="00FC3B7C">
        <w:rPr>
          <w:rFonts w:eastAsia="Times New Roman"/>
        </w:rPr>
        <w:t>po 2. světové válce. Bohaté výdaje státu na udržení vysoké zaměstnanosti (první hospodářsko- politický cíl) a rozsáhlé transfery sociálního rázu si vynucovaly vysokou míru zdaňování – v 80. letech daněmi přerozdělováno zhruba 60% národního důchodu.</w:t>
      </w:r>
    </w:p>
    <w:p w14:paraId="5C7DFA80" w14:textId="77777777" w:rsidR="004236C6" w:rsidRPr="00FC3B7C" w:rsidRDefault="004236C6" w:rsidP="004236C6">
      <w:pPr>
        <w:spacing w:line="20" w:lineRule="exact"/>
        <w:rPr>
          <w:sz w:val="20"/>
          <w:szCs w:val="20"/>
        </w:rPr>
      </w:pPr>
    </w:p>
    <w:p w14:paraId="67FFD7F0" w14:textId="77777777" w:rsidR="004236C6" w:rsidRPr="00FC3B7C" w:rsidRDefault="004236C6" w:rsidP="004236C6">
      <w:pPr>
        <w:spacing w:line="274" w:lineRule="exact"/>
        <w:rPr>
          <w:sz w:val="20"/>
          <w:szCs w:val="20"/>
        </w:rPr>
      </w:pPr>
    </w:p>
    <w:p w14:paraId="5D0C116A" w14:textId="77777777" w:rsidR="004236C6" w:rsidRPr="00FC3B7C" w:rsidRDefault="004236C6" w:rsidP="004236C6">
      <w:pPr>
        <w:spacing w:line="358" w:lineRule="auto"/>
        <w:rPr>
          <w:sz w:val="20"/>
          <w:szCs w:val="20"/>
        </w:rPr>
      </w:pPr>
      <w:bookmarkStart w:id="60" w:name="page58"/>
      <w:bookmarkEnd w:id="60"/>
      <w:r w:rsidRPr="00FC3B7C">
        <w:rPr>
          <w:rFonts w:eastAsia="Times New Roman"/>
          <w:szCs w:val="24"/>
        </w:rPr>
        <w:t xml:space="preserve">Švédsko se v důsledku své hospodářské politiky vyšvihlo mezi země s nejvyšším HDP </w:t>
      </w:r>
      <w:r>
        <w:rPr>
          <w:rFonts w:eastAsia="Times New Roman"/>
          <w:szCs w:val="24"/>
        </w:rPr>
        <w:br/>
      </w:r>
      <w:r w:rsidRPr="00FC3B7C">
        <w:rPr>
          <w:rFonts w:eastAsia="Times New Roman"/>
          <w:szCs w:val="24"/>
        </w:rPr>
        <w:t>na obyvatele, prakticky odstranilo chudobu a zmírnilo intenzitu sociálních konfliktů. Kritika tohoto modelu spočívá v podlamování pracovní iniciativy a podnikavosti. Hlavní rysy švédského modelu:</w:t>
      </w:r>
    </w:p>
    <w:p w14:paraId="3304F9AF" w14:textId="77777777" w:rsidR="004236C6" w:rsidRPr="00FC3B7C" w:rsidRDefault="004236C6" w:rsidP="004236C6">
      <w:pPr>
        <w:spacing w:line="3" w:lineRule="exact"/>
        <w:rPr>
          <w:sz w:val="20"/>
          <w:szCs w:val="20"/>
        </w:rPr>
      </w:pPr>
    </w:p>
    <w:p w14:paraId="60EB70CF" w14:textId="7939CF2A" w:rsidR="004236C6" w:rsidRPr="00FC3B7C" w:rsidRDefault="004236C6" w:rsidP="004236C6">
      <w:pPr>
        <w:numPr>
          <w:ilvl w:val="0"/>
          <w:numId w:val="29"/>
        </w:numPr>
        <w:tabs>
          <w:tab w:val="left" w:pos="1020"/>
        </w:tabs>
        <w:ind w:left="1020" w:hanging="366"/>
        <w:rPr>
          <w:rFonts w:eastAsia="Times New Roman"/>
          <w:szCs w:val="24"/>
        </w:rPr>
      </w:pPr>
      <w:r w:rsidRPr="00FC3B7C">
        <w:rPr>
          <w:rFonts w:eastAsia="Times New Roman"/>
          <w:b/>
          <w:bCs/>
          <w:i/>
          <w:iCs/>
          <w:szCs w:val="24"/>
        </w:rPr>
        <w:t xml:space="preserve">Negociační ekonomika </w:t>
      </w:r>
      <w:r w:rsidRPr="00FC3B7C">
        <w:rPr>
          <w:rFonts w:eastAsia="Times New Roman"/>
          <w:szCs w:val="24"/>
        </w:rPr>
        <w:t>– podstatná</w:t>
      </w:r>
      <w:r w:rsidRPr="00FC3B7C">
        <w:rPr>
          <w:rFonts w:eastAsia="Times New Roman"/>
          <w:b/>
          <w:bCs/>
          <w:i/>
          <w:iCs/>
          <w:szCs w:val="24"/>
        </w:rPr>
        <w:t xml:space="preserve"> </w:t>
      </w:r>
      <w:r w:rsidRPr="00FC3B7C">
        <w:rPr>
          <w:rFonts w:eastAsia="Times New Roman"/>
          <w:szCs w:val="24"/>
        </w:rPr>
        <w:t>část alokace zdrojů</w:t>
      </w:r>
      <w:r w:rsidRPr="00FC3B7C">
        <w:rPr>
          <w:rFonts w:eastAsia="Times New Roman"/>
          <w:b/>
          <w:bCs/>
          <w:i/>
          <w:iCs/>
          <w:szCs w:val="24"/>
        </w:rPr>
        <w:t xml:space="preserve"> </w:t>
      </w:r>
      <w:r w:rsidRPr="00FC3B7C">
        <w:rPr>
          <w:rFonts w:eastAsia="Times New Roman"/>
          <w:szCs w:val="24"/>
        </w:rPr>
        <w:t>probíhá prostřednictvím</w:t>
      </w:r>
      <w:r w:rsidRPr="00FC3B7C">
        <w:rPr>
          <w:rFonts w:eastAsia="Times New Roman"/>
          <w:b/>
          <w:bCs/>
          <w:i/>
          <w:iCs/>
          <w:szCs w:val="24"/>
        </w:rPr>
        <w:t xml:space="preserve"> </w:t>
      </w:r>
      <w:r w:rsidRPr="00FC3B7C">
        <w:rPr>
          <w:rFonts w:eastAsia="Times New Roman"/>
          <w:szCs w:val="24"/>
        </w:rPr>
        <w:t>jednání (negoc</w:t>
      </w:r>
      <w:r w:rsidR="003376E1">
        <w:rPr>
          <w:rFonts w:eastAsia="Times New Roman"/>
          <w:szCs w:val="24"/>
        </w:rPr>
        <w:t xml:space="preserve">iací), tzn., </w:t>
      </w:r>
      <w:r w:rsidRPr="00FC3B7C">
        <w:rPr>
          <w:rFonts w:eastAsia="Times New Roman"/>
          <w:szCs w:val="24"/>
        </w:rPr>
        <w:t xml:space="preserve">značná část alokace se uskutečňuje prostřednictvím komunikace, kooperace a koordinace mezi autonomními, nezávislými subjekty, jimiž jsou zájmové organizace zaměstnavatelů a zaměstnanců a orgány veřejné správy. Výsledkem těchto jednání jsou dohody dosažené politickými metodami </w:t>
      </w:r>
      <w:r>
        <w:rPr>
          <w:rFonts w:eastAsia="Times New Roman"/>
          <w:szCs w:val="24"/>
        </w:rPr>
        <w:br/>
      </w:r>
      <w:r w:rsidRPr="00FC3B7C">
        <w:rPr>
          <w:rFonts w:eastAsia="Times New Roman"/>
          <w:szCs w:val="24"/>
        </w:rPr>
        <w:t>v rámci tržního prostředí. Proces negociací proběhl nejdříve na trhu práce, poté se začal šířit i do dalších sfér ekonomiky.</w:t>
      </w:r>
    </w:p>
    <w:p w14:paraId="4353A4EB" w14:textId="77777777" w:rsidR="004236C6" w:rsidRPr="00FC3B7C" w:rsidRDefault="004236C6" w:rsidP="004236C6">
      <w:pPr>
        <w:spacing w:line="1" w:lineRule="exact"/>
        <w:rPr>
          <w:rFonts w:eastAsia="Times New Roman"/>
          <w:szCs w:val="24"/>
        </w:rPr>
      </w:pPr>
    </w:p>
    <w:p w14:paraId="7AEA9E8A" w14:textId="77777777" w:rsidR="004236C6" w:rsidRPr="00FC3B7C" w:rsidRDefault="004236C6" w:rsidP="004236C6">
      <w:pPr>
        <w:numPr>
          <w:ilvl w:val="0"/>
          <w:numId w:val="29"/>
        </w:numPr>
        <w:tabs>
          <w:tab w:val="left" w:pos="1020"/>
        </w:tabs>
        <w:spacing w:line="361" w:lineRule="auto"/>
        <w:ind w:left="1020" w:hanging="362"/>
        <w:rPr>
          <w:rFonts w:eastAsia="Times New Roman"/>
          <w:szCs w:val="24"/>
        </w:rPr>
      </w:pPr>
      <w:r w:rsidRPr="00FC3B7C">
        <w:rPr>
          <w:rFonts w:eastAsia="Times New Roman"/>
          <w:b/>
          <w:bCs/>
          <w:i/>
          <w:iCs/>
          <w:szCs w:val="24"/>
        </w:rPr>
        <w:t xml:space="preserve">Stát blahobytu </w:t>
      </w:r>
      <w:r w:rsidRPr="00FC3B7C">
        <w:rPr>
          <w:rFonts w:eastAsia="Times New Roman"/>
          <w:szCs w:val="24"/>
        </w:rPr>
        <w:t>– sociálně-politická koncepce, která byla nejdetailněji rozpracována</w:t>
      </w:r>
      <w:r w:rsidRPr="00FC3B7C">
        <w:rPr>
          <w:rFonts w:eastAsia="Times New Roman"/>
          <w:b/>
          <w:bCs/>
          <w:i/>
          <w:iCs/>
          <w:szCs w:val="24"/>
        </w:rPr>
        <w:t xml:space="preserve"> </w:t>
      </w:r>
      <w:r w:rsidRPr="00FC3B7C">
        <w:rPr>
          <w:rFonts w:eastAsia="Times New Roman"/>
          <w:szCs w:val="24"/>
        </w:rPr>
        <w:t>a realizována ve Švédsku. Klade si tři hlavní cíle:</w:t>
      </w:r>
    </w:p>
    <w:p w14:paraId="15D105CD" w14:textId="77777777" w:rsidR="004236C6" w:rsidRPr="00FC3B7C" w:rsidRDefault="004236C6" w:rsidP="004236C6">
      <w:pPr>
        <w:spacing w:line="1" w:lineRule="exact"/>
        <w:rPr>
          <w:rFonts w:eastAsia="Times New Roman"/>
          <w:szCs w:val="24"/>
        </w:rPr>
      </w:pPr>
    </w:p>
    <w:p w14:paraId="0ED85215" w14:textId="77777777" w:rsidR="004236C6" w:rsidRPr="00FC3B7C" w:rsidRDefault="004236C6" w:rsidP="004236C6">
      <w:pPr>
        <w:numPr>
          <w:ilvl w:val="1"/>
          <w:numId w:val="29"/>
        </w:numPr>
        <w:tabs>
          <w:tab w:val="left" w:pos="2560"/>
        </w:tabs>
        <w:ind w:left="2560" w:hanging="358"/>
        <w:rPr>
          <w:rFonts w:eastAsia="Wingdings"/>
          <w:szCs w:val="24"/>
        </w:rPr>
      </w:pPr>
      <w:r w:rsidRPr="00FC3B7C">
        <w:rPr>
          <w:rFonts w:eastAsia="Times New Roman"/>
          <w:szCs w:val="24"/>
        </w:rPr>
        <w:t>zajistit plnou zaměstnanost</w:t>
      </w:r>
      <w:r>
        <w:rPr>
          <w:rFonts w:eastAsia="Times New Roman"/>
          <w:szCs w:val="24"/>
        </w:rPr>
        <w:t>,</w:t>
      </w:r>
    </w:p>
    <w:p w14:paraId="1BD1A37B" w14:textId="77777777" w:rsidR="004236C6" w:rsidRPr="00FC3B7C" w:rsidRDefault="004236C6" w:rsidP="004236C6">
      <w:pPr>
        <w:numPr>
          <w:ilvl w:val="1"/>
          <w:numId w:val="29"/>
        </w:numPr>
        <w:tabs>
          <w:tab w:val="left" w:pos="2560"/>
        </w:tabs>
        <w:ind w:left="2560" w:hanging="358"/>
        <w:rPr>
          <w:rFonts w:eastAsia="Wingdings"/>
          <w:szCs w:val="24"/>
        </w:rPr>
      </w:pPr>
      <w:r w:rsidRPr="00FC3B7C">
        <w:rPr>
          <w:rFonts w:eastAsia="Times New Roman"/>
          <w:szCs w:val="24"/>
        </w:rPr>
        <w:t>dosáhnout optimální sociální rovnosti občanů</w:t>
      </w:r>
      <w:r>
        <w:rPr>
          <w:rFonts w:eastAsia="Times New Roman"/>
          <w:szCs w:val="24"/>
        </w:rPr>
        <w:t>,</w:t>
      </w:r>
    </w:p>
    <w:p w14:paraId="547973D5" w14:textId="77777777" w:rsidR="004236C6" w:rsidRPr="00FC3B7C" w:rsidRDefault="004236C6" w:rsidP="004236C6">
      <w:pPr>
        <w:numPr>
          <w:ilvl w:val="1"/>
          <w:numId w:val="29"/>
        </w:numPr>
        <w:tabs>
          <w:tab w:val="left" w:pos="2560"/>
        </w:tabs>
        <w:spacing w:line="356" w:lineRule="auto"/>
        <w:ind w:left="2560" w:hanging="358"/>
        <w:rPr>
          <w:rFonts w:eastAsia="Wingdings"/>
          <w:szCs w:val="24"/>
        </w:rPr>
      </w:pPr>
      <w:r w:rsidRPr="00FC3B7C">
        <w:rPr>
          <w:rFonts w:eastAsia="Times New Roman"/>
          <w:szCs w:val="24"/>
        </w:rPr>
        <w:t>dospět k co nejširšímu sociálnímu a zdravotnímu zabezpečení obyvatel prostřednictvím sektoru veřejných služeb</w:t>
      </w:r>
      <w:r>
        <w:rPr>
          <w:rFonts w:eastAsia="Times New Roman"/>
          <w:szCs w:val="24"/>
        </w:rPr>
        <w:t>.</w:t>
      </w:r>
    </w:p>
    <w:p w14:paraId="525D9D87" w14:textId="77777777" w:rsidR="004236C6" w:rsidRPr="00FC3B7C" w:rsidRDefault="004236C6" w:rsidP="004236C6">
      <w:pPr>
        <w:numPr>
          <w:ilvl w:val="0"/>
          <w:numId w:val="29"/>
        </w:numPr>
        <w:tabs>
          <w:tab w:val="left" w:pos="1020"/>
        </w:tabs>
        <w:spacing w:line="368" w:lineRule="auto"/>
        <w:ind w:left="1020" w:hanging="365"/>
        <w:rPr>
          <w:rFonts w:eastAsia="Times New Roman"/>
          <w:szCs w:val="24"/>
        </w:rPr>
      </w:pPr>
      <w:r w:rsidRPr="00FC3B7C">
        <w:rPr>
          <w:rFonts w:eastAsia="Times New Roman"/>
          <w:b/>
          <w:bCs/>
          <w:i/>
          <w:iCs/>
          <w:szCs w:val="24"/>
        </w:rPr>
        <w:t xml:space="preserve">Makroekonomická stabilizační politika </w:t>
      </w:r>
      <w:r w:rsidRPr="00FC3B7C">
        <w:rPr>
          <w:rFonts w:eastAsia="Times New Roman"/>
          <w:szCs w:val="24"/>
        </w:rPr>
        <w:t>– od začátku 30. let si klade stabilizační</w:t>
      </w:r>
      <w:r w:rsidRPr="00FC3B7C">
        <w:rPr>
          <w:rFonts w:eastAsia="Times New Roman"/>
          <w:b/>
          <w:bCs/>
          <w:i/>
          <w:iCs/>
          <w:szCs w:val="24"/>
        </w:rPr>
        <w:t xml:space="preserve"> </w:t>
      </w:r>
      <w:r w:rsidRPr="00FC3B7C">
        <w:rPr>
          <w:rFonts w:eastAsia="Times New Roman"/>
          <w:szCs w:val="24"/>
        </w:rPr>
        <w:t>cíle. Ve 30. letech (Velká Deprese) se do popředí dostávají protikrizová opatření (politika plné zaměstnanosti). V poválečném období se stabilizační politika zaměřuje na udržování nízké míry nezaměstnanosti a nízké míry inflace. Makroekonomická politika se zaměřuje převážně na stabilizaci, nikoliv na expanzi.</w:t>
      </w:r>
    </w:p>
    <w:p w14:paraId="6C711424" w14:textId="77777777" w:rsidR="004236C6" w:rsidRPr="00FC3B7C" w:rsidRDefault="004236C6" w:rsidP="004236C6">
      <w:pPr>
        <w:spacing w:line="155" w:lineRule="exact"/>
        <w:rPr>
          <w:sz w:val="20"/>
          <w:szCs w:val="20"/>
        </w:rPr>
      </w:pPr>
    </w:p>
    <w:p w14:paraId="491E8996" w14:textId="77777777" w:rsidR="004236C6" w:rsidRDefault="004236C6" w:rsidP="004236C6">
      <w:pPr>
        <w:spacing w:line="240" w:lineRule="auto"/>
        <w:jc w:val="left"/>
        <w:rPr>
          <w:rFonts w:eastAsia="Times New Roman"/>
          <w:b/>
          <w:bCs/>
          <w:szCs w:val="24"/>
        </w:rPr>
      </w:pPr>
      <w:r>
        <w:rPr>
          <w:rFonts w:eastAsia="Times New Roman"/>
          <w:b/>
          <w:bCs/>
          <w:szCs w:val="24"/>
        </w:rPr>
        <w:br w:type="page"/>
      </w:r>
    </w:p>
    <w:p w14:paraId="33911789" w14:textId="77777777" w:rsidR="004236C6" w:rsidRPr="004236C6" w:rsidRDefault="004236C6" w:rsidP="004236C6">
      <w:pPr>
        <w:rPr>
          <w:color w:val="1F3864" w:themeColor="accent1" w:themeShade="80"/>
          <w:sz w:val="20"/>
          <w:szCs w:val="20"/>
        </w:rPr>
      </w:pPr>
      <w:r w:rsidRPr="004236C6">
        <w:rPr>
          <w:rFonts w:eastAsia="Times New Roman"/>
          <w:b/>
          <w:bCs/>
          <w:color w:val="1F3864" w:themeColor="accent1" w:themeShade="80"/>
          <w:szCs w:val="24"/>
        </w:rPr>
        <w:lastRenderedPageBreak/>
        <w:t>Vývoj japonské praktické hospodářské politiky:</w:t>
      </w:r>
    </w:p>
    <w:p w14:paraId="6040A6A7" w14:textId="5B744CCA" w:rsidR="004236C6" w:rsidRPr="00FC3B7C" w:rsidRDefault="004236C6" w:rsidP="004236C6">
      <w:pPr>
        <w:rPr>
          <w:sz w:val="20"/>
          <w:szCs w:val="20"/>
        </w:rPr>
      </w:pPr>
      <w:r w:rsidRPr="00FC3B7C">
        <w:rPr>
          <w:rFonts w:eastAsia="Times New Roman"/>
        </w:rPr>
        <w:t xml:space="preserve">Hlavním milníkem v historickém vývoji Japonska byla reforma Meidži v 60. letech </w:t>
      </w:r>
      <w:r>
        <w:rPr>
          <w:rFonts w:eastAsia="Times New Roman"/>
        </w:rPr>
        <w:br/>
      </w:r>
      <w:r w:rsidRPr="00FC3B7C">
        <w:rPr>
          <w:rFonts w:eastAsia="Times New Roman"/>
        </w:rPr>
        <w:t xml:space="preserve">19. století, jež nastartovala industriální rozvoj země a přeměnu v průmyslovou tržní ekonomiku. I. světová válka posílila vliv (ekonomicky i politicky) Japonska a docházelo </w:t>
      </w:r>
      <w:r>
        <w:rPr>
          <w:rFonts w:eastAsia="Times New Roman"/>
        </w:rPr>
        <w:br/>
      </w:r>
      <w:r w:rsidRPr="00FC3B7C">
        <w:rPr>
          <w:rFonts w:eastAsia="Times New Roman"/>
        </w:rPr>
        <w:t>k silné militarizaci. 2. světová válka ovšem přinesla zlom a katastrofální důsledky pro japonské obyvatelstvo i hospodářství. Proměna Japonska z prakticky zdevastované poválečné země, zatížené reparacemi, bez využitelných surovinových zdrojů a potenciálu zahraničních investic, na obchodní velmoc byla dílem specifického přístupu k hospodářství a přijetí demokratické politiky, jejíž základy byly položeny americkou poválečnou správou.</w:t>
      </w:r>
      <w:r w:rsidR="003376E1">
        <w:rPr>
          <w:rFonts w:eastAsia="Times New Roman"/>
        </w:rPr>
        <w:t xml:space="preserve"> Existují spory do jaké míry, je </w:t>
      </w:r>
      <w:r w:rsidRPr="00FC3B7C">
        <w:rPr>
          <w:rFonts w:eastAsia="Times New Roman"/>
        </w:rPr>
        <w:t>„hospodářský zázrak Japonska“ dílem liberalismu tržních sil, či osvícených odborných zásahů státu na bázi</w:t>
      </w:r>
      <w:bookmarkStart w:id="61" w:name="page59"/>
      <w:bookmarkEnd w:id="61"/>
      <w:r>
        <w:rPr>
          <w:sz w:val="20"/>
          <w:szCs w:val="20"/>
        </w:rPr>
        <w:t xml:space="preserve"> </w:t>
      </w:r>
      <w:r w:rsidRPr="00FC3B7C">
        <w:rPr>
          <w:rFonts w:eastAsia="Times New Roman"/>
          <w:szCs w:val="24"/>
        </w:rPr>
        <w:t xml:space="preserve">indikativního plánování. Jisté je, že došlo </w:t>
      </w:r>
      <w:r>
        <w:rPr>
          <w:rFonts w:eastAsia="Times New Roman"/>
          <w:szCs w:val="24"/>
        </w:rPr>
        <w:br/>
      </w:r>
      <w:r w:rsidRPr="00FC3B7C">
        <w:rPr>
          <w:rFonts w:eastAsia="Times New Roman"/>
          <w:szCs w:val="24"/>
        </w:rPr>
        <w:t>k nalezení harmonického vztahu těchto dvou konceptů a od roku 1952 do 90. let 20. století bylo Japonsko jednou z nejdynamičtěji se rozvíjejících zemí na světě. Příkladu Japonska se snažilo ujmout mnoho zemí, specifikum oblasti a kulturních zvyklostí ovšem neumožnilo těmto státům dosáhnout kýžených výsledků. Za následovníky se dají považovat Jižní Korea, Tchaj- wan, Hong-Kong, Singapur. Dále také Indonésie, Filipíny a další.</w:t>
      </w:r>
    </w:p>
    <w:p w14:paraId="2B46443D" w14:textId="77777777" w:rsidR="004236C6" w:rsidRPr="00FC3B7C" w:rsidRDefault="004236C6" w:rsidP="004236C6">
      <w:pPr>
        <w:spacing w:line="1" w:lineRule="exact"/>
        <w:rPr>
          <w:sz w:val="20"/>
          <w:szCs w:val="20"/>
        </w:rPr>
      </w:pPr>
    </w:p>
    <w:p w14:paraId="41B49D65" w14:textId="77777777" w:rsidR="004236C6" w:rsidRPr="00FC3B7C" w:rsidRDefault="004236C6" w:rsidP="004236C6">
      <w:pPr>
        <w:rPr>
          <w:sz w:val="20"/>
          <w:szCs w:val="20"/>
        </w:rPr>
      </w:pPr>
      <w:r w:rsidRPr="00FC3B7C">
        <w:rPr>
          <w:rFonts w:eastAsia="Times New Roman"/>
          <w:szCs w:val="24"/>
        </w:rPr>
        <w:t>Hlavními rysy japonského institucionálního rámce trhu práce a společnosti obecně jsou:</w:t>
      </w:r>
    </w:p>
    <w:p w14:paraId="4906FF3C" w14:textId="77777777" w:rsidR="004236C6" w:rsidRPr="00FC3B7C" w:rsidRDefault="004236C6" w:rsidP="004236C6">
      <w:pPr>
        <w:numPr>
          <w:ilvl w:val="0"/>
          <w:numId w:val="30"/>
        </w:numPr>
        <w:tabs>
          <w:tab w:val="left" w:pos="1020"/>
        </w:tabs>
        <w:ind w:left="1020" w:hanging="365"/>
        <w:rPr>
          <w:rFonts w:eastAsia="Times New Roman"/>
          <w:szCs w:val="24"/>
        </w:rPr>
      </w:pPr>
      <w:r w:rsidRPr="00FC3B7C">
        <w:rPr>
          <w:rFonts w:eastAsia="Times New Roman"/>
          <w:b/>
          <w:bCs/>
          <w:szCs w:val="24"/>
        </w:rPr>
        <w:t xml:space="preserve">uznávání autorit </w:t>
      </w:r>
      <w:r w:rsidRPr="00FC3B7C">
        <w:rPr>
          <w:rFonts w:eastAsia="Times New Roman"/>
          <w:szCs w:val="24"/>
        </w:rPr>
        <w:t>– podřízení, loajalita, ale zároveň</w:t>
      </w:r>
      <w:r w:rsidRPr="00FC3B7C">
        <w:rPr>
          <w:rFonts w:eastAsia="Times New Roman"/>
          <w:b/>
          <w:bCs/>
          <w:szCs w:val="24"/>
        </w:rPr>
        <w:t xml:space="preserve"> </w:t>
      </w:r>
      <w:r w:rsidRPr="00FC3B7C">
        <w:rPr>
          <w:rFonts w:eastAsia="Times New Roman"/>
          <w:szCs w:val="24"/>
        </w:rPr>
        <w:t>úsilí o spolupráci ze strany</w:t>
      </w:r>
      <w:r w:rsidRPr="00FC3B7C">
        <w:rPr>
          <w:rFonts w:eastAsia="Times New Roman"/>
          <w:b/>
          <w:bCs/>
          <w:szCs w:val="24"/>
        </w:rPr>
        <w:t xml:space="preserve"> </w:t>
      </w:r>
      <w:r w:rsidRPr="00FC3B7C">
        <w:rPr>
          <w:rFonts w:eastAsia="Times New Roman"/>
          <w:szCs w:val="24"/>
        </w:rPr>
        <w:t>autority a hledání konsenzu (týká se jak fyzických osob, tak vztahu státu k podnikům)</w:t>
      </w:r>
    </w:p>
    <w:p w14:paraId="2C7A8EF1" w14:textId="77777777" w:rsidR="004236C6" w:rsidRPr="00FC3B7C" w:rsidRDefault="004236C6" w:rsidP="004236C6">
      <w:pPr>
        <w:spacing w:line="1" w:lineRule="exact"/>
        <w:rPr>
          <w:rFonts w:eastAsia="Times New Roman"/>
          <w:szCs w:val="24"/>
        </w:rPr>
      </w:pPr>
    </w:p>
    <w:p w14:paraId="74CA8DD6" w14:textId="77777777" w:rsidR="004236C6" w:rsidRPr="00FC3B7C" w:rsidRDefault="004236C6" w:rsidP="004236C6">
      <w:pPr>
        <w:numPr>
          <w:ilvl w:val="0"/>
          <w:numId w:val="30"/>
        </w:numPr>
        <w:tabs>
          <w:tab w:val="left" w:pos="1020"/>
        </w:tabs>
        <w:spacing w:line="359" w:lineRule="auto"/>
        <w:ind w:left="1020" w:hanging="365"/>
        <w:rPr>
          <w:rFonts w:eastAsia="Times New Roman"/>
          <w:szCs w:val="24"/>
        </w:rPr>
      </w:pPr>
      <w:r w:rsidRPr="00FC3B7C">
        <w:rPr>
          <w:rFonts w:eastAsia="Times New Roman"/>
          <w:b/>
          <w:bCs/>
          <w:szCs w:val="24"/>
        </w:rPr>
        <w:t xml:space="preserve">zaměstnanecké vztahy </w:t>
      </w:r>
      <w:r w:rsidRPr="00FC3B7C">
        <w:rPr>
          <w:rFonts w:eastAsia="Times New Roman"/>
          <w:szCs w:val="24"/>
        </w:rPr>
        <w:t>– manažeři podniku bráni jako „hlava rodinného podniku“,</w:t>
      </w:r>
      <w:r w:rsidRPr="00FC3B7C">
        <w:rPr>
          <w:rFonts w:eastAsia="Times New Roman"/>
          <w:b/>
          <w:bCs/>
          <w:szCs w:val="24"/>
        </w:rPr>
        <w:t xml:space="preserve"> </w:t>
      </w:r>
      <w:r w:rsidRPr="00FC3B7C">
        <w:rPr>
          <w:rFonts w:eastAsia="Times New Roman"/>
          <w:szCs w:val="24"/>
        </w:rPr>
        <w:t>toto souvisí s principem celoživotního zaměstnání a utužování loajality (netýká se žen a menších podniků) – zajímavost – „kroužky kvality“ – dobrovolně vznikající skupiny zaměstnanců hledající nové cesty efektivnější organizace práce, ergonomie atd.</w:t>
      </w:r>
    </w:p>
    <w:p w14:paraId="19B0463A" w14:textId="77777777" w:rsidR="004236C6" w:rsidRPr="00FC3B7C" w:rsidRDefault="004236C6" w:rsidP="004236C6">
      <w:pPr>
        <w:spacing w:line="4" w:lineRule="exact"/>
        <w:rPr>
          <w:rFonts w:eastAsia="Times New Roman"/>
          <w:szCs w:val="24"/>
        </w:rPr>
      </w:pPr>
    </w:p>
    <w:p w14:paraId="1A82DFBC" w14:textId="77777777" w:rsidR="004236C6" w:rsidRPr="00FC3B7C" w:rsidRDefault="004236C6" w:rsidP="004236C6">
      <w:pPr>
        <w:numPr>
          <w:ilvl w:val="0"/>
          <w:numId w:val="30"/>
        </w:numPr>
        <w:tabs>
          <w:tab w:val="left" w:pos="1020"/>
        </w:tabs>
        <w:ind w:left="1020" w:hanging="365"/>
        <w:rPr>
          <w:rFonts w:eastAsia="Times New Roman"/>
          <w:szCs w:val="24"/>
        </w:rPr>
      </w:pPr>
      <w:r w:rsidRPr="00FC3B7C">
        <w:rPr>
          <w:rFonts w:eastAsia="Times New Roman"/>
          <w:b/>
          <w:bCs/>
          <w:szCs w:val="24"/>
        </w:rPr>
        <w:t>velké firemní investice do vzdělávání zaměstnanců</w:t>
      </w:r>
    </w:p>
    <w:p w14:paraId="29CDFFC6" w14:textId="77777777" w:rsidR="004236C6" w:rsidRPr="00FC3B7C" w:rsidRDefault="004236C6" w:rsidP="004236C6">
      <w:pPr>
        <w:spacing w:line="141" w:lineRule="exact"/>
        <w:rPr>
          <w:rFonts w:eastAsia="Times New Roman"/>
          <w:szCs w:val="24"/>
        </w:rPr>
      </w:pPr>
    </w:p>
    <w:p w14:paraId="5EDA058D" w14:textId="77777777" w:rsidR="004236C6" w:rsidRPr="00FC3B7C" w:rsidRDefault="004236C6" w:rsidP="004236C6">
      <w:pPr>
        <w:numPr>
          <w:ilvl w:val="0"/>
          <w:numId w:val="30"/>
        </w:numPr>
        <w:tabs>
          <w:tab w:val="left" w:pos="1020"/>
        </w:tabs>
        <w:ind w:left="1020" w:hanging="365"/>
        <w:rPr>
          <w:rFonts w:eastAsia="Times New Roman"/>
          <w:szCs w:val="24"/>
        </w:rPr>
      </w:pPr>
      <w:r w:rsidRPr="00FC3B7C">
        <w:rPr>
          <w:rFonts w:eastAsia="Times New Roman"/>
          <w:b/>
          <w:bCs/>
          <w:szCs w:val="24"/>
        </w:rPr>
        <w:t xml:space="preserve">zásada seniority </w:t>
      </w:r>
      <w:r w:rsidRPr="00FC3B7C">
        <w:rPr>
          <w:rFonts w:eastAsia="Times New Roman"/>
          <w:szCs w:val="24"/>
        </w:rPr>
        <w:t>– růst mezd v závislosti na délce zaměstnání v daném podniku</w:t>
      </w:r>
    </w:p>
    <w:p w14:paraId="6D13DC05" w14:textId="77777777" w:rsidR="004236C6" w:rsidRPr="00FC3B7C" w:rsidRDefault="004236C6" w:rsidP="004236C6">
      <w:pPr>
        <w:spacing w:line="141" w:lineRule="exact"/>
        <w:rPr>
          <w:rFonts w:eastAsia="Times New Roman"/>
          <w:szCs w:val="24"/>
        </w:rPr>
      </w:pPr>
    </w:p>
    <w:p w14:paraId="2DEC97F0" w14:textId="77777777" w:rsidR="004236C6" w:rsidRPr="00FC3B7C" w:rsidRDefault="004236C6" w:rsidP="004236C6">
      <w:pPr>
        <w:numPr>
          <w:ilvl w:val="0"/>
          <w:numId w:val="30"/>
        </w:numPr>
        <w:tabs>
          <w:tab w:val="left" w:pos="1020"/>
        </w:tabs>
        <w:spacing w:line="363" w:lineRule="auto"/>
        <w:ind w:left="1020" w:hanging="365"/>
        <w:rPr>
          <w:rFonts w:eastAsia="Times New Roman"/>
          <w:szCs w:val="24"/>
        </w:rPr>
      </w:pPr>
      <w:r w:rsidRPr="00FC3B7C">
        <w:rPr>
          <w:rFonts w:eastAsia="Times New Roman"/>
          <w:b/>
          <w:bCs/>
          <w:szCs w:val="24"/>
        </w:rPr>
        <w:t xml:space="preserve">systém keiretsu </w:t>
      </w:r>
      <w:r w:rsidRPr="00FC3B7C">
        <w:rPr>
          <w:rFonts w:eastAsia="Times New Roman"/>
          <w:szCs w:val="24"/>
        </w:rPr>
        <w:t>– seskupení podniků</w:t>
      </w:r>
      <w:r w:rsidRPr="00FC3B7C">
        <w:rPr>
          <w:rFonts w:eastAsia="Times New Roman"/>
          <w:b/>
          <w:bCs/>
          <w:szCs w:val="24"/>
        </w:rPr>
        <w:t xml:space="preserve"> </w:t>
      </w:r>
      <w:r w:rsidRPr="00FC3B7C">
        <w:rPr>
          <w:rFonts w:eastAsia="Times New Roman"/>
          <w:szCs w:val="24"/>
        </w:rPr>
        <w:t>a bank bez nutnosti majetkové provázanosti,</w:t>
      </w:r>
      <w:r w:rsidRPr="00FC3B7C">
        <w:rPr>
          <w:rFonts w:eastAsia="Times New Roman"/>
          <w:b/>
          <w:bCs/>
          <w:szCs w:val="24"/>
        </w:rPr>
        <w:t xml:space="preserve"> </w:t>
      </w:r>
      <w:r w:rsidRPr="00FC3B7C">
        <w:rPr>
          <w:rFonts w:eastAsia="Times New Roman"/>
          <w:szCs w:val="24"/>
        </w:rPr>
        <w:t>důležitá je horizontální spolupráce a oligopolní povaha uskupení</w:t>
      </w:r>
    </w:p>
    <w:p w14:paraId="688DB038" w14:textId="77777777" w:rsidR="004236C6" w:rsidRPr="00FC3B7C" w:rsidRDefault="004236C6" w:rsidP="004236C6">
      <w:pPr>
        <w:spacing w:line="5" w:lineRule="exact"/>
        <w:rPr>
          <w:rFonts w:eastAsia="Times New Roman"/>
          <w:szCs w:val="24"/>
        </w:rPr>
      </w:pPr>
    </w:p>
    <w:p w14:paraId="1EAE52FA" w14:textId="77777777" w:rsidR="004236C6" w:rsidRPr="00FC3B7C" w:rsidRDefault="004236C6" w:rsidP="004236C6">
      <w:pPr>
        <w:numPr>
          <w:ilvl w:val="0"/>
          <w:numId w:val="30"/>
        </w:numPr>
        <w:tabs>
          <w:tab w:val="left" w:pos="1020"/>
        </w:tabs>
        <w:ind w:left="1020" w:hanging="365"/>
        <w:rPr>
          <w:rFonts w:eastAsia="Times New Roman"/>
          <w:szCs w:val="24"/>
        </w:rPr>
      </w:pPr>
      <w:r w:rsidRPr="00FC3B7C">
        <w:rPr>
          <w:rFonts w:eastAsia="Times New Roman"/>
          <w:b/>
          <w:bCs/>
          <w:szCs w:val="24"/>
        </w:rPr>
        <w:t xml:space="preserve">velmi vysoká míra úspor </w:t>
      </w:r>
      <w:r w:rsidRPr="00FC3B7C">
        <w:rPr>
          <w:rFonts w:eastAsia="Times New Roman"/>
          <w:szCs w:val="24"/>
        </w:rPr>
        <w:t>– dáno pracovitostí a skromností obyvatelstva</w:t>
      </w:r>
    </w:p>
    <w:p w14:paraId="20B1F340" w14:textId="77777777" w:rsidR="004236C6" w:rsidRPr="00FC3B7C" w:rsidRDefault="004236C6" w:rsidP="004236C6">
      <w:pPr>
        <w:spacing w:line="141" w:lineRule="exact"/>
        <w:rPr>
          <w:rFonts w:eastAsia="Times New Roman"/>
          <w:szCs w:val="24"/>
        </w:rPr>
      </w:pPr>
    </w:p>
    <w:p w14:paraId="65CD9B17" w14:textId="77777777" w:rsidR="004236C6" w:rsidRPr="00FC3B7C" w:rsidRDefault="004236C6" w:rsidP="004236C6">
      <w:pPr>
        <w:numPr>
          <w:ilvl w:val="0"/>
          <w:numId w:val="30"/>
        </w:numPr>
        <w:tabs>
          <w:tab w:val="left" w:pos="1020"/>
        </w:tabs>
        <w:ind w:left="1020" w:hanging="365"/>
        <w:rPr>
          <w:rFonts w:eastAsia="Times New Roman"/>
          <w:szCs w:val="24"/>
        </w:rPr>
      </w:pPr>
      <w:r w:rsidRPr="00FC3B7C">
        <w:rPr>
          <w:rFonts w:eastAsia="Times New Roman"/>
          <w:b/>
          <w:bCs/>
          <w:szCs w:val="24"/>
        </w:rPr>
        <w:t xml:space="preserve">workaholismus </w:t>
      </w:r>
      <w:r w:rsidRPr="00FC3B7C">
        <w:rPr>
          <w:rFonts w:eastAsia="Times New Roman"/>
          <w:szCs w:val="24"/>
        </w:rPr>
        <w:t>– posedlost prací</w:t>
      </w:r>
    </w:p>
    <w:p w14:paraId="1BC3AE14" w14:textId="77777777" w:rsidR="004236C6" w:rsidRPr="00FC3B7C" w:rsidRDefault="004236C6" w:rsidP="004236C6">
      <w:pPr>
        <w:sectPr w:rsidR="004236C6" w:rsidRPr="00FC3B7C">
          <w:pgSz w:w="11900" w:h="16840"/>
          <w:pgMar w:top="1397" w:right="1420" w:bottom="1440" w:left="1420" w:header="0" w:footer="0" w:gutter="0"/>
          <w:cols w:space="708" w:equalWidth="0">
            <w:col w:w="9060"/>
          </w:cols>
        </w:sectPr>
      </w:pPr>
    </w:p>
    <w:p w14:paraId="3CF9FE3F" w14:textId="77777777" w:rsidR="004236C6" w:rsidRPr="00FC3B7C" w:rsidRDefault="004236C6" w:rsidP="004236C6">
      <w:pPr>
        <w:rPr>
          <w:sz w:val="20"/>
          <w:szCs w:val="20"/>
        </w:rPr>
      </w:pPr>
      <w:bookmarkStart w:id="62" w:name="page60"/>
      <w:bookmarkEnd w:id="62"/>
      <w:r w:rsidRPr="00FC3B7C">
        <w:rPr>
          <w:rFonts w:eastAsia="Times New Roman"/>
          <w:b/>
          <w:bCs/>
          <w:szCs w:val="24"/>
        </w:rPr>
        <w:lastRenderedPageBreak/>
        <w:t>Strukturální politika:</w:t>
      </w:r>
    </w:p>
    <w:p w14:paraId="5D9B8D94" w14:textId="77777777" w:rsidR="004236C6" w:rsidRPr="00FC3B7C" w:rsidRDefault="004236C6" w:rsidP="004236C6">
      <w:pPr>
        <w:rPr>
          <w:sz w:val="20"/>
          <w:szCs w:val="20"/>
        </w:rPr>
      </w:pPr>
      <w:r w:rsidRPr="00FC3B7C">
        <w:rPr>
          <w:rFonts w:eastAsia="Times New Roman"/>
        </w:rPr>
        <w:t>Důležitým rysem japonského hospodářství je nízký podíl sociálních výdajů – princip individuálního přístupu a odpovědnosti podnikové sféry. Dalším je proexportní politika – dáno obrovskou závislostí na dovozu surovin a potravin (pouze 1/5 půdy je obdělávatelná). Pro provádění strukturální politiky jsou klíčové dvě instituce:</w:t>
      </w:r>
    </w:p>
    <w:p w14:paraId="339346AD" w14:textId="77777777" w:rsidR="004236C6" w:rsidRPr="00FC3B7C" w:rsidRDefault="004236C6" w:rsidP="004236C6">
      <w:pPr>
        <w:numPr>
          <w:ilvl w:val="0"/>
          <w:numId w:val="31"/>
        </w:numPr>
        <w:tabs>
          <w:tab w:val="left" w:pos="1020"/>
        </w:tabs>
        <w:ind w:left="1020" w:hanging="366"/>
        <w:rPr>
          <w:rFonts w:eastAsia="Times New Roman"/>
          <w:szCs w:val="24"/>
        </w:rPr>
      </w:pPr>
      <w:r w:rsidRPr="00FC3B7C">
        <w:rPr>
          <w:rFonts w:eastAsia="Times New Roman"/>
          <w:szCs w:val="24"/>
        </w:rPr>
        <w:t>Úřad pro ekonomické plánování (EPA),</w:t>
      </w:r>
    </w:p>
    <w:p w14:paraId="340B2182" w14:textId="77777777" w:rsidR="004236C6" w:rsidRPr="00FC3B7C" w:rsidRDefault="004236C6" w:rsidP="004236C6">
      <w:pPr>
        <w:spacing w:line="141" w:lineRule="exact"/>
        <w:rPr>
          <w:rFonts w:eastAsia="Times New Roman"/>
          <w:szCs w:val="24"/>
        </w:rPr>
      </w:pPr>
    </w:p>
    <w:p w14:paraId="2A1136B8" w14:textId="77777777" w:rsidR="004236C6" w:rsidRPr="00FC3B7C" w:rsidRDefault="004236C6" w:rsidP="004236C6">
      <w:pPr>
        <w:numPr>
          <w:ilvl w:val="0"/>
          <w:numId w:val="31"/>
        </w:numPr>
        <w:tabs>
          <w:tab w:val="left" w:pos="1020"/>
        </w:tabs>
        <w:ind w:left="1020" w:hanging="366"/>
        <w:rPr>
          <w:rFonts w:eastAsia="Times New Roman"/>
          <w:szCs w:val="24"/>
        </w:rPr>
      </w:pPr>
      <w:r w:rsidRPr="00FC3B7C">
        <w:rPr>
          <w:rFonts w:eastAsia="Times New Roman"/>
          <w:szCs w:val="24"/>
        </w:rPr>
        <w:t>Ministerstvo průmyslu a obchodu (MITI),</w:t>
      </w:r>
    </w:p>
    <w:p w14:paraId="716CF70D" w14:textId="77777777" w:rsidR="004236C6" w:rsidRPr="00FC3B7C" w:rsidRDefault="004236C6" w:rsidP="004236C6">
      <w:pPr>
        <w:spacing w:line="132" w:lineRule="exact"/>
        <w:rPr>
          <w:rFonts w:eastAsia="Times New Roman"/>
          <w:szCs w:val="24"/>
        </w:rPr>
      </w:pPr>
    </w:p>
    <w:p w14:paraId="7C4E8F20" w14:textId="77777777" w:rsidR="004236C6" w:rsidRPr="00FC3B7C" w:rsidRDefault="004236C6" w:rsidP="004236C6">
      <w:pPr>
        <w:numPr>
          <w:ilvl w:val="0"/>
          <w:numId w:val="31"/>
        </w:numPr>
        <w:tabs>
          <w:tab w:val="left" w:pos="1020"/>
        </w:tabs>
        <w:ind w:left="1020" w:hanging="365"/>
        <w:rPr>
          <w:rFonts w:eastAsia="Times New Roman"/>
          <w:szCs w:val="24"/>
        </w:rPr>
      </w:pPr>
      <w:r w:rsidRPr="00FC3B7C">
        <w:rPr>
          <w:rFonts w:eastAsia="Times New Roman"/>
          <w:szCs w:val="24"/>
        </w:rPr>
        <w:t>Japonská rozvojová banka a Japonská exportní a importní banka.</w:t>
      </w:r>
    </w:p>
    <w:p w14:paraId="6CD5C3EC" w14:textId="77777777" w:rsidR="004236C6" w:rsidRPr="00FC3B7C" w:rsidRDefault="004236C6" w:rsidP="004236C6">
      <w:pPr>
        <w:rPr>
          <w:sz w:val="20"/>
          <w:szCs w:val="20"/>
        </w:rPr>
      </w:pPr>
      <w:r w:rsidRPr="00FC3B7C">
        <w:rPr>
          <w:rFonts w:eastAsia="Times New Roman"/>
        </w:rPr>
        <w:t>Ministerstvo průmyslu a obchodu (MITI) = superministerstvo - působí jako hlavní činitel aktivní strukturální politiky, zejména těmito funkcemi:</w:t>
      </w:r>
    </w:p>
    <w:p w14:paraId="5FCA13F7" w14:textId="77777777" w:rsidR="004236C6" w:rsidRPr="00FC3B7C" w:rsidRDefault="004236C6" w:rsidP="004236C6">
      <w:pPr>
        <w:spacing w:line="2" w:lineRule="exact"/>
        <w:rPr>
          <w:sz w:val="20"/>
          <w:szCs w:val="20"/>
        </w:rPr>
      </w:pPr>
    </w:p>
    <w:p w14:paraId="666CE5D6" w14:textId="77777777" w:rsidR="004236C6" w:rsidRPr="00FC3B7C" w:rsidRDefault="004236C6" w:rsidP="004236C6">
      <w:pPr>
        <w:numPr>
          <w:ilvl w:val="0"/>
          <w:numId w:val="32"/>
        </w:numPr>
        <w:tabs>
          <w:tab w:val="left" w:pos="1000"/>
        </w:tabs>
        <w:spacing w:line="361" w:lineRule="auto"/>
        <w:ind w:left="1000" w:hanging="360"/>
        <w:rPr>
          <w:rFonts w:eastAsia="Times New Roman"/>
          <w:szCs w:val="24"/>
        </w:rPr>
      </w:pPr>
      <w:r w:rsidRPr="00FC3B7C">
        <w:rPr>
          <w:rFonts w:eastAsia="Times New Roman"/>
          <w:szCs w:val="24"/>
        </w:rPr>
        <w:t xml:space="preserve">vytváří dlouhodobé prognózy a strategie, v nichž jsou vytipována perspektivní </w:t>
      </w:r>
      <w:r>
        <w:rPr>
          <w:rFonts w:eastAsia="Times New Roman"/>
          <w:szCs w:val="24"/>
        </w:rPr>
        <w:br/>
      </w:r>
      <w:r w:rsidRPr="00FC3B7C">
        <w:rPr>
          <w:rFonts w:eastAsia="Times New Roman"/>
          <w:szCs w:val="24"/>
        </w:rPr>
        <w:t>a neperspektivní odvětví (spolupracuje na plánování s EPA)</w:t>
      </w:r>
      <w:r>
        <w:rPr>
          <w:rFonts w:eastAsia="Times New Roman"/>
          <w:szCs w:val="24"/>
        </w:rPr>
        <w:t>,</w:t>
      </w:r>
    </w:p>
    <w:p w14:paraId="7ABA2D49" w14:textId="77777777" w:rsidR="004236C6" w:rsidRPr="00FC3B7C" w:rsidRDefault="004236C6" w:rsidP="004236C6">
      <w:pPr>
        <w:numPr>
          <w:ilvl w:val="0"/>
          <w:numId w:val="32"/>
        </w:numPr>
        <w:tabs>
          <w:tab w:val="left" w:pos="1000"/>
        </w:tabs>
        <w:spacing w:line="358" w:lineRule="auto"/>
        <w:ind w:left="1000" w:hanging="360"/>
        <w:rPr>
          <w:rFonts w:eastAsia="Times New Roman"/>
          <w:szCs w:val="24"/>
        </w:rPr>
      </w:pPr>
      <w:r w:rsidRPr="00FC3B7C">
        <w:rPr>
          <w:rFonts w:eastAsia="Times New Roman"/>
          <w:szCs w:val="24"/>
        </w:rPr>
        <w:t>na základě těchto analýz je rozhodováno o podpoře odvětví, či řízení jeho útlumu (tzv. preferenční přidělování kapitálu)</w:t>
      </w:r>
      <w:r>
        <w:rPr>
          <w:rFonts w:eastAsia="Times New Roman"/>
          <w:szCs w:val="24"/>
        </w:rPr>
        <w:t>,</w:t>
      </w:r>
    </w:p>
    <w:p w14:paraId="536854F6" w14:textId="77777777" w:rsidR="004236C6" w:rsidRPr="00FC3B7C" w:rsidRDefault="004236C6" w:rsidP="004236C6">
      <w:pPr>
        <w:spacing w:line="2" w:lineRule="exact"/>
        <w:rPr>
          <w:rFonts w:eastAsia="Times New Roman"/>
          <w:szCs w:val="24"/>
        </w:rPr>
      </w:pPr>
    </w:p>
    <w:p w14:paraId="64903C8E" w14:textId="77777777" w:rsidR="004236C6" w:rsidRPr="00FC3B7C" w:rsidRDefault="004236C6" w:rsidP="004236C6">
      <w:pPr>
        <w:numPr>
          <w:ilvl w:val="0"/>
          <w:numId w:val="32"/>
        </w:numPr>
        <w:tabs>
          <w:tab w:val="left" w:pos="1000"/>
        </w:tabs>
        <w:ind w:left="1000" w:hanging="360"/>
        <w:rPr>
          <w:rFonts w:eastAsia="Times New Roman"/>
          <w:szCs w:val="24"/>
        </w:rPr>
      </w:pPr>
      <w:r w:rsidRPr="00FC3B7C">
        <w:rPr>
          <w:rFonts w:eastAsia="Times New Roman"/>
          <w:szCs w:val="24"/>
        </w:rPr>
        <w:t>je prováděna koordinace výzkumu s vysokým poměrem investic do tohoto odvětví</w:t>
      </w:r>
      <w:r>
        <w:rPr>
          <w:rFonts w:eastAsia="Times New Roman"/>
          <w:szCs w:val="24"/>
        </w:rPr>
        <w:t>,</w:t>
      </w:r>
    </w:p>
    <w:p w14:paraId="0C6FEF9A" w14:textId="77777777" w:rsidR="004236C6" w:rsidRPr="00FC3B7C" w:rsidRDefault="004236C6" w:rsidP="004236C6">
      <w:pPr>
        <w:spacing w:line="141" w:lineRule="exact"/>
        <w:rPr>
          <w:rFonts w:eastAsia="Times New Roman"/>
          <w:szCs w:val="24"/>
        </w:rPr>
      </w:pPr>
    </w:p>
    <w:p w14:paraId="3D479C85" w14:textId="77777777" w:rsidR="004236C6" w:rsidRPr="00FC3B7C" w:rsidRDefault="004236C6" w:rsidP="004236C6">
      <w:pPr>
        <w:numPr>
          <w:ilvl w:val="0"/>
          <w:numId w:val="32"/>
        </w:numPr>
        <w:tabs>
          <w:tab w:val="left" w:pos="1000"/>
        </w:tabs>
        <w:ind w:left="1000" w:hanging="360"/>
        <w:rPr>
          <w:rFonts w:eastAsia="Times New Roman"/>
          <w:szCs w:val="24"/>
        </w:rPr>
      </w:pPr>
      <w:r w:rsidRPr="00FC3B7C">
        <w:rPr>
          <w:rFonts w:eastAsia="Times New Roman"/>
          <w:szCs w:val="24"/>
        </w:rPr>
        <w:t>je prováděna (v kooperaci s ministerstvem financí) selektivní daňová politika</w:t>
      </w:r>
      <w:r>
        <w:rPr>
          <w:rFonts w:eastAsia="Times New Roman"/>
          <w:szCs w:val="24"/>
        </w:rPr>
        <w:t>,</w:t>
      </w:r>
    </w:p>
    <w:p w14:paraId="7F4C6F48" w14:textId="77777777" w:rsidR="004236C6" w:rsidRPr="00FC3B7C" w:rsidRDefault="004236C6" w:rsidP="004236C6">
      <w:pPr>
        <w:spacing w:line="136" w:lineRule="exact"/>
        <w:rPr>
          <w:rFonts w:eastAsia="Times New Roman"/>
          <w:szCs w:val="24"/>
        </w:rPr>
      </w:pPr>
    </w:p>
    <w:p w14:paraId="32561C9C" w14:textId="77777777" w:rsidR="004236C6" w:rsidRPr="00FC3B7C" w:rsidRDefault="004236C6" w:rsidP="004236C6">
      <w:pPr>
        <w:numPr>
          <w:ilvl w:val="0"/>
          <w:numId w:val="32"/>
        </w:numPr>
        <w:tabs>
          <w:tab w:val="left" w:pos="1000"/>
        </w:tabs>
        <w:spacing w:line="358" w:lineRule="auto"/>
        <w:ind w:left="1000" w:hanging="358"/>
        <w:rPr>
          <w:rFonts w:eastAsia="Times New Roman"/>
          <w:szCs w:val="24"/>
        </w:rPr>
      </w:pPr>
      <w:r w:rsidRPr="00FC3B7C">
        <w:rPr>
          <w:rFonts w:eastAsia="Times New Roman"/>
          <w:szCs w:val="24"/>
        </w:rPr>
        <w:t xml:space="preserve">je prováděna protekcionistická politika mezinárodního obchodu (kontrola vývozu </w:t>
      </w:r>
      <w:r>
        <w:rPr>
          <w:rFonts w:eastAsia="Times New Roman"/>
          <w:szCs w:val="24"/>
        </w:rPr>
        <w:br/>
      </w:r>
      <w:r w:rsidRPr="00FC3B7C">
        <w:rPr>
          <w:rFonts w:eastAsia="Times New Roman"/>
          <w:szCs w:val="24"/>
        </w:rPr>
        <w:t xml:space="preserve">a dovozu kapitálu – do r. 1970, kontrola dovozu zahraniční technologie – </w:t>
      </w:r>
      <w:r>
        <w:rPr>
          <w:rFonts w:eastAsia="Times New Roman"/>
          <w:szCs w:val="24"/>
        </w:rPr>
        <w:br/>
      </w:r>
      <w:r w:rsidRPr="00FC3B7C">
        <w:rPr>
          <w:rFonts w:eastAsia="Times New Roman"/>
          <w:szCs w:val="24"/>
        </w:rPr>
        <w:t>do r. 1980)</w:t>
      </w:r>
      <w:r>
        <w:rPr>
          <w:rFonts w:eastAsia="Times New Roman"/>
          <w:szCs w:val="24"/>
        </w:rPr>
        <w:t>,</w:t>
      </w:r>
    </w:p>
    <w:p w14:paraId="2C946577" w14:textId="77777777" w:rsidR="004236C6" w:rsidRPr="00FC3B7C" w:rsidRDefault="004236C6" w:rsidP="004236C6">
      <w:pPr>
        <w:spacing w:line="2" w:lineRule="exact"/>
        <w:rPr>
          <w:rFonts w:eastAsia="Times New Roman"/>
          <w:szCs w:val="24"/>
        </w:rPr>
      </w:pPr>
    </w:p>
    <w:p w14:paraId="54054312" w14:textId="77777777" w:rsidR="004236C6" w:rsidRPr="00FC3B7C" w:rsidRDefault="004236C6" w:rsidP="004236C6">
      <w:pPr>
        <w:numPr>
          <w:ilvl w:val="0"/>
          <w:numId w:val="32"/>
        </w:numPr>
        <w:tabs>
          <w:tab w:val="left" w:pos="1000"/>
        </w:tabs>
        <w:ind w:left="1000" w:hanging="358"/>
        <w:rPr>
          <w:rFonts w:eastAsia="Times New Roman"/>
          <w:szCs w:val="24"/>
        </w:rPr>
      </w:pPr>
      <w:r w:rsidRPr="00FC3B7C">
        <w:rPr>
          <w:rFonts w:eastAsia="Times New Roman"/>
          <w:szCs w:val="24"/>
        </w:rPr>
        <w:t>efektivně propojuje malé a střední podniky</w:t>
      </w:r>
      <w:r>
        <w:rPr>
          <w:rFonts w:eastAsia="Times New Roman"/>
          <w:szCs w:val="24"/>
        </w:rPr>
        <w:t>.</w:t>
      </w:r>
    </w:p>
    <w:p w14:paraId="68EAF642" w14:textId="77777777" w:rsidR="004236C6" w:rsidRPr="00FC3B7C" w:rsidRDefault="004236C6" w:rsidP="004236C6">
      <w:pPr>
        <w:spacing w:line="257" w:lineRule="exact"/>
        <w:rPr>
          <w:sz w:val="20"/>
          <w:szCs w:val="20"/>
        </w:rPr>
      </w:pPr>
    </w:p>
    <w:p w14:paraId="18F63153" w14:textId="77777777" w:rsidR="004236C6" w:rsidRPr="00FC3B7C" w:rsidRDefault="004236C6" w:rsidP="004236C6">
      <w:pPr>
        <w:rPr>
          <w:sz w:val="20"/>
          <w:szCs w:val="20"/>
        </w:rPr>
      </w:pPr>
      <w:r w:rsidRPr="00FC3B7C">
        <w:rPr>
          <w:rFonts w:eastAsia="Times New Roman"/>
          <w:szCs w:val="24"/>
        </w:rPr>
        <w:t xml:space="preserve">Úřad ekonomického plánování (EPA) – indikativní plány - tato instituce je součástí vlády, </w:t>
      </w:r>
      <w:r>
        <w:rPr>
          <w:rFonts w:eastAsia="Times New Roman"/>
          <w:szCs w:val="24"/>
        </w:rPr>
        <w:br/>
      </w:r>
      <w:r w:rsidRPr="00FC3B7C">
        <w:rPr>
          <w:rFonts w:eastAsia="Times New Roman"/>
          <w:szCs w:val="24"/>
        </w:rPr>
        <w:t>v jejím vedení jsou členové parlamentu, japonské banky apod. Jeho funkcí je vytváření plánů, které se týkají především:</w:t>
      </w:r>
    </w:p>
    <w:p w14:paraId="37CEED7B" w14:textId="77777777" w:rsidR="004236C6" w:rsidRPr="00FC3B7C" w:rsidRDefault="004236C6" w:rsidP="004236C6">
      <w:pPr>
        <w:spacing w:line="1" w:lineRule="exact"/>
        <w:rPr>
          <w:sz w:val="20"/>
          <w:szCs w:val="20"/>
        </w:rPr>
      </w:pPr>
    </w:p>
    <w:p w14:paraId="18796798" w14:textId="77777777" w:rsidR="004236C6" w:rsidRPr="00FC3B7C" w:rsidRDefault="004236C6" w:rsidP="004236C6">
      <w:pPr>
        <w:numPr>
          <w:ilvl w:val="0"/>
          <w:numId w:val="33"/>
        </w:numPr>
        <w:tabs>
          <w:tab w:val="left" w:pos="1000"/>
        </w:tabs>
        <w:ind w:left="1000" w:hanging="360"/>
        <w:rPr>
          <w:rFonts w:eastAsia="Times New Roman"/>
          <w:szCs w:val="24"/>
        </w:rPr>
      </w:pPr>
      <w:r w:rsidRPr="00FC3B7C">
        <w:rPr>
          <w:rFonts w:eastAsia="Times New Roman"/>
          <w:szCs w:val="24"/>
        </w:rPr>
        <w:t>míra růstu</w:t>
      </w:r>
      <w:r>
        <w:rPr>
          <w:rFonts w:eastAsia="Times New Roman"/>
          <w:szCs w:val="24"/>
        </w:rPr>
        <w:t>,</w:t>
      </w:r>
    </w:p>
    <w:p w14:paraId="0487F8E1" w14:textId="77777777" w:rsidR="004236C6" w:rsidRPr="00FC3B7C" w:rsidRDefault="004236C6" w:rsidP="004236C6">
      <w:pPr>
        <w:numPr>
          <w:ilvl w:val="0"/>
          <w:numId w:val="33"/>
        </w:numPr>
        <w:tabs>
          <w:tab w:val="left" w:pos="1000"/>
        </w:tabs>
        <w:ind w:left="1000" w:hanging="360"/>
        <w:rPr>
          <w:rFonts w:eastAsia="Times New Roman"/>
          <w:szCs w:val="24"/>
        </w:rPr>
      </w:pPr>
      <w:r w:rsidRPr="00FC3B7C">
        <w:rPr>
          <w:rFonts w:eastAsia="Times New Roman"/>
          <w:szCs w:val="24"/>
        </w:rPr>
        <w:t>vývoj exportu a importu</w:t>
      </w:r>
      <w:r>
        <w:rPr>
          <w:rFonts w:eastAsia="Times New Roman"/>
          <w:szCs w:val="24"/>
        </w:rPr>
        <w:t>,</w:t>
      </w:r>
    </w:p>
    <w:p w14:paraId="6F638E3A" w14:textId="77777777" w:rsidR="004236C6" w:rsidRPr="00FC3B7C" w:rsidRDefault="004236C6" w:rsidP="004236C6">
      <w:pPr>
        <w:numPr>
          <w:ilvl w:val="0"/>
          <w:numId w:val="33"/>
        </w:numPr>
        <w:tabs>
          <w:tab w:val="left" w:pos="1000"/>
        </w:tabs>
        <w:ind w:left="1000" w:hanging="360"/>
        <w:rPr>
          <w:rFonts w:eastAsia="Times New Roman"/>
          <w:szCs w:val="24"/>
        </w:rPr>
      </w:pPr>
      <w:r w:rsidRPr="00FC3B7C">
        <w:rPr>
          <w:rFonts w:eastAsia="Times New Roman"/>
          <w:szCs w:val="24"/>
        </w:rPr>
        <w:t>vývoj úspor, investic a příjmů</w:t>
      </w:r>
      <w:r>
        <w:rPr>
          <w:rFonts w:eastAsia="Times New Roman"/>
          <w:szCs w:val="24"/>
        </w:rPr>
        <w:t>,</w:t>
      </w:r>
    </w:p>
    <w:p w14:paraId="595433A4" w14:textId="77777777" w:rsidR="004236C6" w:rsidRPr="00FC3B7C" w:rsidRDefault="004236C6" w:rsidP="004236C6">
      <w:pPr>
        <w:numPr>
          <w:ilvl w:val="0"/>
          <w:numId w:val="33"/>
        </w:numPr>
        <w:tabs>
          <w:tab w:val="left" w:pos="1000"/>
        </w:tabs>
        <w:ind w:left="1000" w:hanging="360"/>
        <w:rPr>
          <w:rFonts w:eastAsia="Times New Roman"/>
          <w:szCs w:val="24"/>
        </w:rPr>
      </w:pPr>
      <w:r w:rsidRPr="00FC3B7C">
        <w:rPr>
          <w:rFonts w:eastAsia="Times New Roman"/>
          <w:szCs w:val="24"/>
        </w:rPr>
        <w:t>růst nejvýznamnějších odvětví ekonomiky apod.</w:t>
      </w:r>
    </w:p>
    <w:p w14:paraId="0E4DFC10" w14:textId="77777777" w:rsidR="004236C6" w:rsidRPr="00FC3B7C" w:rsidRDefault="004236C6" w:rsidP="004236C6">
      <w:pPr>
        <w:sectPr w:rsidR="004236C6" w:rsidRPr="00FC3B7C">
          <w:pgSz w:w="11900" w:h="16840"/>
          <w:pgMar w:top="1391" w:right="1420" w:bottom="1440" w:left="1420" w:header="0" w:footer="0" w:gutter="0"/>
          <w:cols w:space="708" w:equalWidth="0">
            <w:col w:w="9060"/>
          </w:cols>
        </w:sectPr>
      </w:pPr>
    </w:p>
    <w:p w14:paraId="60CBB15A" w14:textId="77777777" w:rsidR="004236C6" w:rsidRPr="00FC3B7C" w:rsidRDefault="004236C6" w:rsidP="004236C6">
      <w:pPr>
        <w:spacing w:line="361" w:lineRule="auto"/>
        <w:ind w:left="4"/>
        <w:rPr>
          <w:sz w:val="20"/>
          <w:szCs w:val="20"/>
        </w:rPr>
      </w:pPr>
      <w:bookmarkStart w:id="63" w:name="page61"/>
      <w:bookmarkEnd w:id="63"/>
      <w:r>
        <w:rPr>
          <w:rFonts w:eastAsia="Times New Roman"/>
          <w:szCs w:val="24"/>
        </w:rPr>
        <w:lastRenderedPageBreak/>
        <w:t>Tyto plány maj</w:t>
      </w:r>
      <w:r w:rsidRPr="00FC3B7C">
        <w:rPr>
          <w:rFonts w:eastAsia="Times New Roman"/>
          <w:szCs w:val="24"/>
        </w:rPr>
        <w:t>í indikativní (doporučující) povahu, ale jsou velmi respektovanou součástí organizace ekonomiky. Plány mají povahu:</w:t>
      </w:r>
    </w:p>
    <w:p w14:paraId="015FA4BD" w14:textId="77777777" w:rsidR="004236C6" w:rsidRPr="00FC3B7C" w:rsidRDefault="004236C6" w:rsidP="004236C6">
      <w:pPr>
        <w:numPr>
          <w:ilvl w:val="0"/>
          <w:numId w:val="34"/>
        </w:numPr>
        <w:tabs>
          <w:tab w:val="left" w:pos="1004"/>
        </w:tabs>
        <w:ind w:left="1004" w:hanging="360"/>
        <w:rPr>
          <w:rFonts w:eastAsia="Times New Roman"/>
          <w:szCs w:val="24"/>
        </w:rPr>
      </w:pPr>
      <w:r w:rsidRPr="00FC3B7C">
        <w:rPr>
          <w:rFonts w:eastAsia="Times New Roman"/>
          <w:szCs w:val="24"/>
        </w:rPr>
        <w:t>krátkodobou – na rozpočtový rok – fórum vlády a zástupci odvětví</w:t>
      </w:r>
    </w:p>
    <w:p w14:paraId="4D3F8E5F" w14:textId="77777777" w:rsidR="004236C6" w:rsidRPr="00FC3B7C" w:rsidRDefault="004236C6" w:rsidP="004236C6">
      <w:pPr>
        <w:numPr>
          <w:ilvl w:val="0"/>
          <w:numId w:val="34"/>
        </w:numPr>
        <w:tabs>
          <w:tab w:val="left" w:pos="1004"/>
        </w:tabs>
        <w:ind w:left="1004" w:hanging="360"/>
        <w:rPr>
          <w:rFonts w:eastAsia="Times New Roman"/>
          <w:szCs w:val="24"/>
        </w:rPr>
      </w:pPr>
      <w:r w:rsidRPr="00FC3B7C">
        <w:rPr>
          <w:rFonts w:eastAsia="Times New Roman"/>
          <w:szCs w:val="24"/>
        </w:rPr>
        <w:t>střednědobou – pětiletý horizont</w:t>
      </w:r>
    </w:p>
    <w:p w14:paraId="1A45B6B2" w14:textId="77777777" w:rsidR="004236C6" w:rsidRPr="00FC3B7C" w:rsidRDefault="004236C6" w:rsidP="004236C6">
      <w:pPr>
        <w:numPr>
          <w:ilvl w:val="0"/>
          <w:numId w:val="34"/>
        </w:numPr>
        <w:tabs>
          <w:tab w:val="left" w:pos="1004"/>
        </w:tabs>
        <w:spacing w:line="385" w:lineRule="auto"/>
        <w:ind w:left="1004" w:hanging="360"/>
        <w:rPr>
          <w:rFonts w:eastAsia="Times New Roman"/>
          <w:szCs w:val="24"/>
        </w:rPr>
      </w:pPr>
      <w:r w:rsidRPr="00FC3B7C">
        <w:rPr>
          <w:rFonts w:eastAsia="Times New Roman"/>
          <w:szCs w:val="24"/>
        </w:rPr>
        <w:t>dlouhodobou – až desetileté – mají informativní a prognostický charakter, jedná se o strukturální modely vývoje</w:t>
      </w:r>
    </w:p>
    <w:p w14:paraId="7F7E83FB" w14:textId="77777777" w:rsidR="004236C6" w:rsidRPr="00FC3B7C" w:rsidRDefault="004236C6" w:rsidP="004236C6">
      <w:pPr>
        <w:numPr>
          <w:ilvl w:val="0"/>
          <w:numId w:val="35"/>
        </w:numPr>
        <w:tabs>
          <w:tab w:val="left" w:pos="169"/>
        </w:tabs>
        <w:spacing w:line="361" w:lineRule="auto"/>
        <w:ind w:left="4" w:hanging="4"/>
        <w:rPr>
          <w:rFonts w:eastAsia="Times New Roman"/>
          <w:szCs w:val="24"/>
        </w:rPr>
      </w:pPr>
      <w:r w:rsidRPr="00FC3B7C">
        <w:rPr>
          <w:rFonts w:eastAsia="Times New Roman"/>
          <w:szCs w:val="24"/>
        </w:rPr>
        <w:t>přes časté omyly a nepřesnosti v odhadech vývoje je obecně oceňován dvojí efekt tohoto způsobu koordinace hospodářství:</w:t>
      </w:r>
    </w:p>
    <w:p w14:paraId="339A32AA" w14:textId="77777777" w:rsidR="004236C6" w:rsidRPr="00FC3B7C" w:rsidRDefault="004236C6" w:rsidP="004236C6">
      <w:pPr>
        <w:numPr>
          <w:ilvl w:val="1"/>
          <w:numId w:val="35"/>
        </w:numPr>
        <w:tabs>
          <w:tab w:val="left" w:pos="1024"/>
        </w:tabs>
        <w:spacing w:line="358" w:lineRule="auto"/>
        <w:ind w:left="1024" w:hanging="365"/>
        <w:rPr>
          <w:rFonts w:eastAsia="Times New Roman"/>
          <w:szCs w:val="24"/>
        </w:rPr>
      </w:pPr>
      <w:r w:rsidRPr="00FC3B7C">
        <w:rPr>
          <w:rFonts w:eastAsia="Times New Roman"/>
          <w:szCs w:val="24"/>
        </w:rPr>
        <w:t>kooperativní efekt – konsenzuální pojetí tvorby plánu působící v období jeho sestavování</w:t>
      </w:r>
    </w:p>
    <w:p w14:paraId="3D966E9D" w14:textId="77777777" w:rsidR="004236C6" w:rsidRPr="00FC3B7C" w:rsidRDefault="004236C6" w:rsidP="004236C6">
      <w:pPr>
        <w:spacing w:line="2" w:lineRule="exact"/>
        <w:rPr>
          <w:rFonts w:eastAsia="Times New Roman"/>
          <w:szCs w:val="24"/>
        </w:rPr>
      </w:pPr>
    </w:p>
    <w:p w14:paraId="4F1E421E" w14:textId="77777777" w:rsidR="004236C6" w:rsidRPr="00FC3B7C" w:rsidRDefault="004236C6" w:rsidP="004236C6">
      <w:pPr>
        <w:numPr>
          <w:ilvl w:val="1"/>
          <w:numId w:val="35"/>
        </w:numPr>
        <w:tabs>
          <w:tab w:val="left" w:pos="1024"/>
        </w:tabs>
        <w:ind w:left="1024" w:hanging="365"/>
        <w:rPr>
          <w:rFonts w:eastAsia="Times New Roman"/>
          <w:szCs w:val="24"/>
        </w:rPr>
      </w:pPr>
      <w:r w:rsidRPr="00FC3B7C">
        <w:rPr>
          <w:rFonts w:eastAsia="Times New Roman"/>
          <w:szCs w:val="24"/>
        </w:rPr>
        <w:t>informativní efekt – obecný vliv na ekonomické prostředí po vyhlášení plánu</w:t>
      </w:r>
    </w:p>
    <w:p w14:paraId="56DB64DE" w14:textId="77777777" w:rsidR="004236C6" w:rsidRPr="00FC3B7C" w:rsidRDefault="004236C6" w:rsidP="004236C6">
      <w:pPr>
        <w:rPr>
          <w:sz w:val="20"/>
          <w:szCs w:val="20"/>
        </w:rPr>
      </w:pPr>
      <w:r w:rsidRPr="00FC3B7C">
        <w:rPr>
          <w:rFonts w:eastAsia="Times New Roman"/>
        </w:rPr>
        <w:t>Dá se říci, že v období mezi 50. léty a 90. léty 20. století mělo Japonsko dominantní postavení v hospodářském růstu v porovnání s dalšími zeměmi a stalo se světovým finančním centrem. Rapidní vzestup dalších zemí v regionu, které Japonsko napodobily, ovšem dal vzniknout problému nástupu konkurence s nižšími náklady práce – zejména v odvětvích jako výroba textilu, hraček, loďařství a částečně i výroba automobilů.</w:t>
      </w:r>
    </w:p>
    <w:p w14:paraId="39B98F09" w14:textId="77777777" w:rsidR="004236C6" w:rsidRPr="00FC3B7C" w:rsidRDefault="004236C6" w:rsidP="004236C6">
      <w:pPr>
        <w:spacing w:line="4" w:lineRule="exact"/>
        <w:rPr>
          <w:sz w:val="20"/>
          <w:szCs w:val="20"/>
        </w:rPr>
      </w:pPr>
    </w:p>
    <w:p w14:paraId="1EB125D0" w14:textId="77777777" w:rsidR="004236C6" w:rsidRPr="00FC3B7C" w:rsidRDefault="004236C6" w:rsidP="004236C6">
      <w:pPr>
        <w:ind w:left="4"/>
        <w:rPr>
          <w:sz w:val="20"/>
          <w:szCs w:val="20"/>
        </w:rPr>
      </w:pPr>
      <w:r w:rsidRPr="00FC3B7C">
        <w:rPr>
          <w:rFonts w:eastAsia="Times New Roman"/>
          <w:b/>
          <w:bCs/>
          <w:szCs w:val="24"/>
        </w:rPr>
        <w:t>Indikativní plánování</w:t>
      </w:r>
      <w:r>
        <w:rPr>
          <w:rFonts w:eastAsia="Times New Roman"/>
          <w:b/>
          <w:bCs/>
          <w:szCs w:val="24"/>
        </w:rPr>
        <w:t xml:space="preserve"> </w:t>
      </w:r>
      <w:r>
        <w:rPr>
          <w:rStyle w:val="Znakapoznpodarou"/>
          <w:rFonts w:eastAsia="Times New Roman"/>
          <w:b/>
          <w:bCs/>
          <w:szCs w:val="24"/>
        </w:rPr>
        <w:footnoteReference w:id="22"/>
      </w:r>
    </w:p>
    <w:p w14:paraId="0D04525D" w14:textId="77777777" w:rsidR="004236C6" w:rsidRPr="00FC3B7C" w:rsidRDefault="004236C6" w:rsidP="004236C6">
      <w:pPr>
        <w:spacing w:line="85" w:lineRule="exact"/>
        <w:rPr>
          <w:sz w:val="20"/>
          <w:szCs w:val="20"/>
        </w:rPr>
      </w:pPr>
    </w:p>
    <w:p w14:paraId="79D87D4B" w14:textId="45A938E8" w:rsidR="004236C6" w:rsidRPr="00FC3B7C" w:rsidRDefault="004236C6" w:rsidP="004236C6">
      <w:pPr>
        <w:spacing w:line="380" w:lineRule="auto"/>
        <w:ind w:left="4"/>
        <w:rPr>
          <w:sz w:val="20"/>
          <w:szCs w:val="20"/>
        </w:rPr>
      </w:pPr>
      <w:r w:rsidRPr="00FC3B7C">
        <w:rPr>
          <w:rFonts w:eastAsia="Times New Roman"/>
          <w:sz w:val="23"/>
          <w:szCs w:val="23"/>
        </w:rPr>
        <w:t xml:space="preserve">Indikativní plánování je pokusem o usměrnění hospodářské aktivity v zemi. Jde o plánování </w:t>
      </w:r>
      <w:r>
        <w:rPr>
          <w:rFonts w:eastAsia="Times New Roman"/>
          <w:sz w:val="23"/>
          <w:szCs w:val="23"/>
        </w:rPr>
        <w:br/>
      </w:r>
      <w:r w:rsidRPr="00FC3B7C">
        <w:rPr>
          <w:rFonts w:eastAsia="Times New Roman"/>
          <w:sz w:val="23"/>
          <w:szCs w:val="23"/>
        </w:rPr>
        <w:t xml:space="preserve">na vládní úrovni, které se rozšířilo především v Nizozemí, Francii a Japonsku. Podnětem pro vznik byly ekonomické důsledky 2. světové války a pozůstatky traumatu Velké Deprese. Indikativní plánování představuje ex ante koordinaci činnosti vládních institucí </w:t>
      </w:r>
      <w:r w:rsidR="003376E1" w:rsidRPr="00FC3B7C">
        <w:rPr>
          <w:rFonts w:eastAsia="Times New Roman"/>
          <w:sz w:val="23"/>
          <w:szCs w:val="23"/>
        </w:rPr>
        <w:t>zabývajících</w:t>
      </w:r>
      <w:r w:rsidRPr="00FC3B7C">
        <w:rPr>
          <w:rFonts w:eastAsia="Times New Roman"/>
          <w:sz w:val="23"/>
          <w:szCs w:val="23"/>
        </w:rPr>
        <w:t xml:space="preserve"> se hospodářskou politikou, jež je podřízena střednědobému nebo dlouhodobému záměru. Vláda stanoví své priority (cíle hospodářské politiky) a cesty k jejich dosažení (sled nezbytných kroků v budoucím období) ve střednědobém (4-5 let) nebo dlouhodobém (10 let) programu, který veřejně ohlásí. Na přípravě plánů se podílí odborná a politická složka. Plány jsou měkké, k ničemu subjekty nenutí, jsou pouze rámcovým programem činnosti vlády na delší období, nikoli všezahrnujícím příkazem. Redukují nejistotu v ekonomice, protože veřejně uvádějí cíle hospodářské politiky, jsou tak schopny koordinovat a slaďovat hospodářskou aktivitu </w:t>
      </w:r>
      <w:r>
        <w:rPr>
          <w:rFonts w:eastAsia="Times New Roman"/>
          <w:sz w:val="23"/>
          <w:szCs w:val="23"/>
        </w:rPr>
        <w:br/>
      </w:r>
      <w:r w:rsidRPr="00FC3B7C">
        <w:rPr>
          <w:rFonts w:eastAsia="Times New Roman"/>
          <w:sz w:val="23"/>
          <w:szCs w:val="23"/>
        </w:rPr>
        <w:t>ve</w:t>
      </w:r>
      <w:bookmarkStart w:id="64" w:name="page62"/>
      <w:bookmarkEnd w:id="64"/>
      <w:r>
        <w:rPr>
          <w:sz w:val="20"/>
          <w:szCs w:val="20"/>
        </w:rPr>
        <w:t xml:space="preserve"> </w:t>
      </w:r>
      <w:r w:rsidRPr="00FC3B7C">
        <w:rPr>
          <w:rFonts w:eastAsia="Times New Roman"/>
          <w:szCs w:val="24"/>
        </w:rPr>
        <w:t>veřejném i soukromém sektoru. Existence trhu není zpochybňována, preferuje se nabídková strana. Zlaté období indikativního plánování bylo v 50. a 60. letech 20. století.</w:t>
      </w:r>
    </w:p>
    <w:p w14:paraId="014B9957" w14:textId="77777777" w:rsidR="004236C6" w:rsidRPr="00FC3B7C" w:rsidRDefault="004236C6" w:rsidP="004236C6">
      <w:pPr>
        <w:spacing w:line="363" w:lineRule="auto"/>
        <w:rPr>
          <w:sz w:val="20"/>
          <w:szCs w:val="20"/>
        </w:rPr>
      </w:pPr>
      <w:r w:rsidRPr="00FC3B7C">
        <w:rPr>
          <w:rFonts w:eastAsia="Times New Roman"/>
          <w:szCs w:val="24"/>
        </w:rPr>
        <w:lastRenderedPageBreak/>
        <w:t xml:space="preserve">Ve Francii se začalo indikativní plánování uplatňovat kvůli komunistickým ministrům </w:t>
      </w:r>
      <w:r>
        <w:rPr>
          <w:rFonts w:eastAsia="Times New Roman"/>
          <w:szCs w:val="24"/>
        </w:rPr>
        <w:br/>
      </w:r>
      <w:r w:rsidRPr="00FC3B7C">
        <w:rPr>
          <w:rFonts w:eastAsia="Times New Roman"/>
          <w:szCs w:val="24"/>
        </w:rPr>
        <w:t xml:space="preserve">ve vládě a nutnosti koordinovat rozdělování prostředků z Marshallova plánu. Rozvoj indikativního plánování byl podpořen silným centralismem. Nevýhodou bylo to, že docházelo k nerovnoměrnému rozvoji některých odvětví. Mezi nástroje patřilo financování investic </w:t>
      </w:r>
      <w:r>
        <w:rPr>
          <w:rFonts w:eastAsia="Times New Roman"/>
          <w:szCs w:val="24"/>
        </w:rPr>
        <w:br/>
      </w:r>
      <w:r w:rsidRPr="00FC3B7C">
        <w:rPr>
          <w:rFonts w:eastAsia="Times New Roman"/>
          <w:szCs w:val="24"/>
        </w:rPr>
        <w:t xml:space="preserve">z prostředků státního rozpočtu, fiskální dohody (daňové úlevy podnikům po prokázání uskutečnění dohodnutého záměru), „programy prioritních aktivit“ financované státem, zestátnění některých podniků, bank apod. Význam indikativního plánování poklesl </w:t>
      </w:r>
      <w:r>
        <w:rPr>
          <w:rFonts w:eastAsia="Times New Roman"/>
          <w:szCs w:val="24"/>
        </w:rPr>
        <w:br/>
      </w:r>
      <w:r w:rsidRPr="00FC3B7C">
        <w:rPr>
          <w:rFonts w:eastAsia="Times New Roman"/>
          <w:szCs w:val="24"/>
        </w:rPr>
        <w:t xml:space="preserve">v důsledku otřesů způsobených ropnými šoky a slaďování hospodářské politiky Francie </w:t>
      </w:r>
      <w:r>
        <w:rPr>
          <w:rFonts w:eastAsia="Times New Roman"/>
          <w:szCs w:val="24"/>
        </w:rPr>
        <w:br/>
      </w:r>
      <w:r w:rsidRPr="00FC3B7C">
        <w:rPr>
          <w:rFonts w:eastAsia="Times New Roman"/>
          <w:szCs w:val="24"/>
        </w:rPr>
        <w:t xml:space="preserve">s Evropským společenstvím. Účinnost indikativního plánování klesá s otevíráním </w:t>
      </w:r>
      <w:r>
        <w:rPr>
          <w:rFonts w:eastAsia="Times New Roman"/>
          <w:szCs w:val="24"/>
        </w:rPr>
        <w:br/>
      </w:r>
      <w:r w:rsidRPr="00FC3B7C">
        <w:rPr>
          <w:rFonts w:eastAsia="Times New Roman"/>
          <w:szCs w:val="24"/>
        </w:rPr>
        <w:t>a internacionalizací ekonomiky.</w:t>
      </w:r>
    </w:p>
    <w:p w14:paraId="4C465215" w14:textId="77777777" w:rsidR="004236C6" w:rsidRPr="00FC3B7C" w:rsidRDefault="004236C6" w:rsidP="004236C6">
      <w:pPr>
        <w:spacing w:line="205" w:lineRule="exact"/>
        <w:rPr>
          <w:sz w:val="20"/>
          <w:szCs w:val="20"/>
        </w:rPr>
      </w:pPr>
    </w:p>
    <w:p w14:paraId="40C7C14D" w14:textId="77777777" w:rsidR="004236C6" w:rsidRPr="004236C6" w:rsidRDefault="004236C6" w:rsidP="004236C6">
      <w:pPr>
        <w:pStyle w:val="Nadpis3"/>
        <w:rPr>
          <w:color w:val="1F3864" w:themeColor="accent1" w:themeShade="80"/>
          <w:sz w:val="20"/>
          <w:szCs w:val="20"/>
        </w:rPr>
      </w:pPr>
      <w:r w:rsidRPr="004236C6">
        <w:rPr>
          <w:rFonts w:eastAsia="Times New Roman"/>
          <w:color w:val="1F3864" w:themeColor="accent1" w:themeShade="80"/>
        </w:rPr>
        <w:t>Liberální hospodářsko-politická koncepce</w:t>
      </w:r>
    </w:p>
    <w:p w14:paraId="4A4F8BD3" w14:textId="77777777" w:rsidR="004236C6" w:rsidRPr="004236C6" w:rsidRDefault="004236C6" w:rsidP="004236C6">
      <w:pPr>
        <w:pStyle w:val="Nadpis4"/>
        <w:rPr>
          <w:color w:val="1F3864" w:themeColor="accent1" w:themeShade="80"/>
          <w:sz w:val="20"/>
          <w:szCs w:val="20"/>
        </w:rPr>
      </w:pPr>
      <w:r w:rsidRPr="004236C6">
        <w:rPr>
          <w:rFonts w:eastAsia="Times New Roman"/>
          <w:color w:val="1F3864" w:themeColor="accent1" w:themeShade="80"/>
        </w:rPr>
        <w:t>Předchůdci</w:t>
      </w:r>
    </w:p>
    <w:p w14:paraId="68B40A39" w14:textId="77777777" w:rsidR="004236C6" w:rsidRPr="00FC3B7C" w:rsidRDefault="004236C6" w:rsidP="004236C6">
      <w:pPr>
        <w:rPr>
          <w:sz w:val="20"/>
          <w:szCs w:val="20"/>
        </w:rPr>
      </w:pPr>
      <w:r w:rsidRPr="00FC3B7C">
        <w:rPr>
          <w:rFonts w:eastAsia="Times New Roman"/>
          <w:b/>
          <w:bCs/>
          <w:i/>
          <w:iCs/>
        </w:rPr>
        <w:t xml:space="preserve">Fyziokraté </w:t>
      </w:r>
      <w:r w:rsidRPr="00FC3B7C">
        <w:rPr>
          <w:rFonts w:eastAsia="Times New Roman"/>
        </w:rPr>
        <w:t>– systém ekonomického myšlení založený</w:t>
      </w:r>
      <w:r w:rsidRPr="00FC3B7C">
        <w:rPr>
          <w:rFonts w:eastAsia="Times New Roman"/>
          <w:b/>
          <w:bCs/>
          <w:i/>
          <w:iCs/>
        </w:rPr>
        <w:t xml:space="preserve"> </w:t>
      </w:r>
      <w:r w:rsidRPr="00FC3B7C">
        <w:rPr>
          <w:rFonts w:eastAsia="Times New Roman"/>
        </w:rPr>
        <w:t>na představě,</w:t>
      </w:r>
      <w:r w:rsidRPr="00FC3B7C">
        <w:rPr>
          <w:rFonts w:eastAsia="Times New Roman"/>
          <w:b/>
          <w:bCs/>
          <w:i/>
          <w:iCs/>
        </w:rPr>
        <w:t xml:space="preserve"> </w:t>
      </w:r>
      <w:r w:rsidRPr="00FC3B7C">
        <w:rPr>
          <w:rFonts w:eastAsia="Times New Roman"/>
        </w:rPr>
        <w:t>že zemědělství je jediným</w:t>
      </w:r>
      <w:r w:rsidRPr="00FC3B7C">
        <w:rPr>
          <w:rFonts w:eastAsia="Times New Roman"/>
          <w:b/>
          <w:bCs/>
          <w:i/>
          <w:iCs/>
        </w:rPr>
        <w:t xml:space="preserve"> </w:t>
      </w:r>
      <w:r w:rsidRPr="00FC3B7C">
        <w:rPr>
          <w:rFonts w:eastAsia="Times New Roman"/>
        </w:rPr>
        <w:t>produktivním sektorem, kde se tvoří národní bohatství. Řemesla, obchod a služby jsou sterilní. Idea „přirozeného řádu“ – člověk jedná podle svých přirozených osobních zájmů a je omezován jedině zájmy a právy ostatních svobodných jedinců, a nikoli vůlí státníků a vládců. Heslo „laissez faire, laissez passer“.</w:t>
      </w:r>
    </w:p>
    <w:p w14:paraId="5DF90E1D" w14:textId="77777777" w:rsidR="004236C6" w:rsidRPr="00FC3B7C" w:rsidRDefault="004236C6" w:rsidP="004236C6">
      <w:pPr>
        <w:spacing w:line="5" w:lineRule="exact"/>
        <w:rPr>
          <w:sz w:val="20"/>
          <w:szCs w:val="20"/>
        </w:rPr>
      </w:pPr>
    </w:p>
    <w:p w14:paraId="369F4D78" w14:textId="77777777" w:rsidR="004236C6" w:rsidRPr="00FC3B7C" w:rsidRDefault="004236C6" w:rsidP="004236C6">
      <w:pPr>
        <w:spacing w:after="240"/>
        <w:rPr>
          <w:sz w:val="20"/>
          <w:szCs w:val="20"/>
        </w:rPr>
      </w:pPr>
      <w:r w:rsidRPr="00FC3B7C">
        <w:rPr>
          <w:rFonts w:eastAsia="Times New Roman"/>
          <w:b/>
          <w:bCs/>
          <w:i/>
          <w:iCs/>
          <w:szCs w:val="24"/>
        </w:rPr>
        <w:t xml:space="preserve">Klasická politická ekonomie </w:t>
      </w:r>
      <w:r w:rsidRPr="00FC3B7C">
        <w:rPr>
          <w:rFonts w:eastAsia="Times New Roman"/>
          <w:szCs w:val="24"/>
        </w:rPr>
        <w:t>– A. Smith, T. Malthus, D. Ricardo, J. B. Say, J. S. Mill.</w:t>
      </w:r>
    </w:p>
    <w:p w14:paraId="186BD3C1" w14:textId="77777777" w:rsidR="004236C6" w:rsidRPr="004236C6" w:rsidRDefault="004236C6" w:rsidP="004236C6">
      <w:pPr>
        <w:pStyle w:val="Nadpis4"/>
        <w:rPr>
          <w:color w:val="1F3864" w:themeColor="accent1" w:themeShade="80"/>
          <w:sz w:val="20"/>
          <w:szCs w:val="20"/>
        </w:rPr>
      </w:pPr>
      <w:r w:rsidRPr="004236C6">
        <w:rPr>
          <w:rFonts w:eastAsia="Times New Roman"/>
          <w:color w:val="1F3864" w:themeColor="accent1" w:themeShade="80"/>
        </w:rPr>
        <w:t>Obecná charakteristika</w:t>
      </w:r>
    </w:p>
    <w:p w14:paraId="7BA760D0" w14:textId="77777777" w:rsidR="004236C6" w:rsidRPr="00FC3B7C" w:rsidRDefault="004236C6" w:rsidP="004236C6">
      <w:pPr>
        <w:rPr>
          <w:sz w:val="20"/>
          <w:szCs w:val="20"/>
        </w:rPr>
      </w:pPr>
      <w:r w:rsidRPr="00FC3B7C">
        <w:rPr>
          <w:rFonts w:eastAsia="Times New Roman"/>
        </w:rPr>
        <w:t>Tato koncepce je založena na přesvědčení, že všechny hlavní ekonomické otázky (základní ekonomický problém L. Robbinse – co, jak a pro koho vyrábět) jsou řešeny prostřednictvím tržního mechanismu. Hlavními předchůdci této koncepce jsou fyziokraté, „klasikové“, monetaristé a neoklasici obecně. Zásahy státu jsou ve smyslu jejich teorií chápány jako neobhajitelné. Koncepce vychází z předpokladů:</w:t>
      </w:r>
    </w:p>
    <w:p w14:paraId="5F39F343" w14:textId="77777777" w:rsidR="004236C6" w:rsidRPr="00FC3B7C" w:rsidRDefault="004236C6" w:rsidP="004236C6">
      <w:pPr>
        <w:spacing w:line="1" w:lineRule="exact"/>
        <w:rPr>
          <w:sz w:val="20"/>
          <w:szCs w:val="20"/>
        </w:rPr>
      </w:pPr>
    </w:p>
    <w:p w14:paraId="4D363A2A" w14:textId="77777777" w:rsidR="004236C6" w:rsidRDefault="004236C6" w:rsidP="004236C6">
      <w:pPr>
        <w:numPr>
          <w:ilvl w:val="0"/>
          <w:numId w:val="36"/>
        </w:numPr>
        <w:tabs>
          <w:tab w:val="left" w:pos="1200"/>
        </w:tabs>
        <w:spacing w:line="361" w:lineRule="auto"/>
        <w:ind w:left="1200" w:hanging="368"/>
        <w:rPr>
          <w:rFonts w:eastAsia="Times New Roman"/>
          <w:szCs w:val="24"/>
        </w:rPr>
      </w:pPr>
      <w:r w:rsidRPr="00B329A2">
        <w:rPr>
          <w:rFonts w:eastAsia="Times New Roman"/>
          <w:szCs w:val="24"/>
        </w:rPr>
        <w:t>tržní systém umožňuje díky cenovému mechanismu a konkurenčnímu prostředí zajišťovat optimální alokaci zdrojů a uspokojování potřeb jednotlivců.</w:t>
      </w:r>
      <w:bookmarkStart w:id="65" w:name="page63"/>
      <w:bookmarkEnd w:id="65"/>
    </w:p>
    <w:p w14:paraId="34623B85" w14:textId="77777777" w:rsidR="004236C6" w:rsidRPr="00B329A2" w:rsidRDefault="004236C6" w:rsidP="004236C6">
      <w:pPr>
        <w:numPr>
          <w:ilvl w:val="0"/>
          <w:numId w:val="36"/>
        </w:numPr>
        <w:tabs>
          <w:tab w:val="left" w:pos="1200"/>
        </w:tabs>
        <w:spacing w:line="361" w:lineRule="auto"/>
        <w:ind w:left="1200" w:hanging="368"/>
        <w:rPr>
          <w:rFonts w:eastAsia="Times New Roman"/>
          <w:szCs w:val="24"/>
        </w:rPr>
      </w:pPr>
      <w:r w:rsidRPr="00B329A2">
        <w:rPr>
          <w:rFonts w:eastAsia="Times New Roman"/>
          <w:szCs w:val="24"/>
        </w:rPr>
        <w:t>sledování vlastního zájmu každého subjektu přináší užitek celé společnosti díky harmonii individuálních a společenských zájmů</w:t>
      </w:r>
      <w:r>
        <w:rPr>
          <w:rFonts w:eastAsia="Times New Roman"/>
          <w:szCs w:val="24"/>
        </w:rPr>
        <w:t>.</w:t>
      </w:r>
    </w:p>
    <w:p w14:paraId="37922420" w14:textId="77777777" w:rsidR="004236C6" w:rsidRPr="00FC3B7C" w:rsidRDefault="004236C6" w:rsidP="004236C6">
      <w:pPr>
        <w:numPr>
          <w:ilvl w:val="0"/>
          <w:numId w:val="36"/>
        </w:numPr>
        <w:tabs>
          <w:tab w:val="left" w:pos="1200"/>
        </w:tabs>
        <w:spacing w:line="390" w:lineRule="auto"/>
        <w:ind w:left="1200" w:hanging="368"/>
        <w:rPr>
          <w:rFonts w:eastAsia="Times New Roman"/>
          <w:szCs w:val="24"/>
        </w:rPr>
      </w:pPr>
      <w:r w:rsidRPr="00FC3B7C">
        <w:rPr>
          <w:rFonts w:eastAsia="Times New Roman"/>
          <w:szCs w:val="24"/>
        </w:rPr>
        <w:t>tržní orientace společnosti napomáhá vzniku a povzbuzuje podnikavost, iniciativu, dynamiku ekonomických subjektů</w:t>
      </w:r>
      <w:r>
        <w:rPr>
          <w:rFonts w:eastAsia="Times New Roman"/>
          <w:szCs w:val="24"/>
        </w:rPr>
        <w:t>.</w:t>
      </w:r>
    </w:p>
    <w:p w14:paraId="7C80AC0C" w14:textId="77777777" w:rsidR="004236C6" w:rsidRPr="00FC3B7C" w:rsidRDefault="004236C6" w:rsidP="004236C6">
      <w:pPr>
        <w:spacing w:line="130" w:lineRule="exact"/>
        <w:rPr>
          <w:sz w:val="20"/>
          <w:szCs w:val="20"/>
        </w:rPr>
      </w:pPr>
    </w:p>
    <w:p w14:paraId="6F55530D" w14:textId="77777777" w:rsidR="004236C6" w:rsidRDefault="004236C6" w:rsidP="004236C6">
      <w:pPr>
        <w:spacing w:line="240" w:lineRule="auto"/>
        <w:jc w:val="left"/>
        <w:rPr>
          <w:rFonts w:eastAsia="Times New Roman"/>
          <w:szCs w:val="24"/>
        </w:rPr>
      </w:pPr>
      <w:r>
        <w:rPr>
          <w:rFonts w:eastAsia="Times New Roman"/>
          <w:szCs w:val="24"/>
        </w:rPr>
        <w:br w:type="page"/>
      </w:r>
    </w:p>
    <w:p w14:paraId="375FFBF4" w14:textId="77777777" w:rsidR="004236C6" w:rsidRPr="00FC3B7C" w:rsidRDefault="004236C6" w:rsidP="004236C6">
      <w:pPr>
        <w:rPr>
          <w:sz w:val="20"/>
          <w:szCs w:val="20"/>
        </w:rPr>
      </w:pPr>
      <w:r w:rsidRPr="00FC3B7C">
        <w:rPr>
          <w:rFonts w:eastAsia="Times New Roman"/>
          <w:szCs w:val="24"/>
        </w:rPr>
        <w:lastRenderedPageBreak/>
        <w:t>Liberální koncepce tedy z definice neodmítá existenci státu, ale redukuje jeho činnost na:</w:t>
      </w:r>
    </w:p>
    <w:p w14:paraId="78519E92" w14:textId="77777777" w:rsidR="004236C6" w:rsidRPr="00FC3B7C" w:rsidRDefault="004236C6" w:rsidP="004236C6">
      <w:pPr>
        <w:numPr>
          <w:ilvl w:val="0"/>
          <w:numId w:val="37"/>
        </w:numPr>
        <w:tabs>
          <w:tab w:val="left" w:pos="1000"/>
        </w:tabs>
        <w:ind w:left="1000" w:hanging="360"/>
        <w:rPr>
          <w:rFonts w:eastAsia="Times New Roman"/>
          <w:szCs w:val="24"/>
        </w:rPr>
      </w:pPr>
      <w:r w:rsidRPr="00FC3B7C">
        <w:rPr>
          <w:rFonts w:eastAsia="Times New Roman"/>
          <w:szCs w:val="24"/>
        </w:rPr>
        <w:t>vnější a vnitřní zabezpečení (armáda a policie),</w:t>
      </w:r>
    </w:p>
    <w:p w14:paraId="6E3D4C8F" w14:textId="77777777" w:rsidR="004236C6" w:rsidRPr="00FC3B7C" w:rsidRDefault="004236C6" w:rsidP="004236C6">
      <w:pPr>
        <w:numPr>
          <w:ilvl w:val="0"/>
          <w:numId w:val="37"/>
        </w:numPr>
        <w:tabs>
          <w:tab w:val="left" w:pos="1000"/>
        </w:tabs>
        <w:ind w:left="1000" w:hanging="360"/>
        <w:rPr>
          <w:rFonts w:eastAsia="Times New Roman"/>
          <w:szCs w:val="24"/>
        </w:rPr>
      </w:pPr>
      <w:r w:rsidRPr="00FC3B7C">
        <w:rPr>
          <w:rFonts w:eastAsia="Times New Roman"/>
          <w:szCs w:val="24"/>
        </w:rPr>
        <w:t>ochrana vlastnických práv (efektivní kontrola dodržování a vynucování práva),</w:t>
      </w:r>
    </w:p>
    <w:p w14:paraId="40AEFE2A" w14:textId="77777777" w:rsidR="004236C6" w:rsidRPr="00FC3B7C" w:rsidRDefault="004236C6" w:rsidP="004236C6">
      <w:pPr>
        <w:numPr>
          <w:ilvl w:val="0"/>
          <w:numId w:val="37"/>
        </w:numPr>
        <w:tabs>
          <w:tab w:val="left" w:pos="1000"/>
        </w:tabs>
        <w:spacing w:after="240" w:line="385" w:lineRule="auto"/>
        <w:ind w:left="1000" w:hanging="360"/>
        <w:rPr>
          <w:rFonts w:eastAsia="Times New Roman"/>
          <w:szCs w:val="24"/>
        </w:rPr>
      </w:pPr>
      <w:r w:rsidRPr="00FC3B7C">
        <w:rPr>
          <w:rFonts w:eastAsia="Times New Roman"/>
          <w:szCs w:val="24"/>
        </w:rPr>
        <w:t>ochrana podmínek fungování trhu (ochrana kon</w:t>
      </w:r>
      <w:r>
        <w:rPr>
          <w:rFonts w:eastAsia="Times New Roman"/>
          <w:szCs w:val="24"/>
        </w:rPr>
        <w:t xml:space="preserve">kurence, fungující peněžní trh, </w:t>
      </w:r>
      <w:r w:rsidRPr="00FC3B7C">
        <w:rPr>
          <w:rFonts w:eastAsia="Times New Roman"/>
          <w:szCs w:val="24"/>
        </w:rPr>
        <w:t>veřejné statky – např. školství).</w:t>
      </w:r>
    </w:p>
    <w:p w14:paraId="1459609C" w14:textId="77777777" w:rsidR="004236C6" w:rsidRPr="004236C6" w:rsidRDefault="004236C6" w:rsidP="004236C6">
      <w:pPr>
        <w:pStyle w:val="Nadpis4"/>
        <w:rPr>
          <w:color w:val="1F3864" w:themeColor="accent1" w:themeShade="80"/>
          <w:sz w:val="20"/>
          <w:szCs w:val="20"/>
        </w:rPr>
      </w:pPr>
      <w:bookmarkStart w:id="66" w:name="page64"/>
      <w:bookmarkEnd w:id="66"/>
      <w:r w:rsidRPr="004236C6">
        <w:rPr>
          <w:rFonts w:eastAsia="Times New Roman"/>
          <w:color w:val="1F3864" w:themeColor="accent1" w:themeShade="80"/>
        </w:rPr>
        <w:t>Postoj liberální ekonomicko-politické koncepce k vládním selháním</w:t>
      </w:r>
    </w:p>
    <w:p w14:paraId="43DC01DC" w14:textId="65A3D4C9" w:rsidR="004236C6" w:rsidRPr="00FC3B7C" w:rsidRDefault="004236C6" w:rsidP="004236C6">
      <w:pPr>
        <w:rPr>
          <w:sz w:val="20"/>
          <w:szCs w:val="20"/>
        </w:rPr>
      </w:pPr>
      <w:r w:rsidRPr="00FC3B7C">
        <w:rPr>
          <w:rFonts w:eastAsia="Times New Roman"/>
        </w:rPr>
        <w:t>V 70. letech se po několika desetiletích „keynesiánsky“ orientované hospodářské ekonomiky v</w:t>
      </w:r>
      <w:r>
        <w:rPr>
          <w:rFonts w:eastAsia="Times New Roman"/>
        </w:rPr>
        <w:t xml:space="preserve"> </w:t>
      </w:r>
      <w:r w:rsidRPr="00FC3B7C">
        <w:rPr>
          <w:rFonts w:eastAsia="Times New Roman"/>
          <w:szCs w:val="24"/>
        </w:rPr>
        <w:t>mnoha</w:t>
      </w:r>
      <w:r w:rsidR="003376E1">
        <w:rPr>
          <w:rFonts w:eastAsia="Times New Roman"/>
          <w:szCs w:val="24"/>
        </w:rPr>
        <w:t xml:space="preserve"> </w:t>
      </w:r>
      <w:r w:rsidRPr="00FC3B7C">
        <w:rPr>
          <w:rFonts w:eastAsia="Times New Roman"/>
          <w:szCs w:val="24"/>
        </w:rPr>
        <w:t>státech</w:t>
      </w:r>
      <w:r w:rsidR="003376E1">
        <w:rPr>
          <w:rFonts w:eastAsia="Times New Roman"/>
          <w:szCs w:val="24"/>
        </w:rPr>
        <w:t xml:space="preserve"> </w:t>
      </w:r>
      <w:r w:rsidRPr="00FC3B7C">
        <w:rPr>
          <w:rFonts w:eastAsia="Times New Roman"/>
          <w:szCs w:val="24"/>
        </w:rPr>
        <w:t>objevily</w:t>
      </w:r>
      <w:r w:rsidR="003376E1">
        <w:rPr>
          <w:rFonts w:eastAsia="Times New Roman"/>
          <w:szCs w:val="24"/>
        </w:rPr>
        <w:t xml:space="preserve"> </w:t>
      </w:r>
      <w:r w:rsidRPr="00FC3B7C">
        <w:rPr>
          <w:rFonts w:eastAsia="Times New Roman"/>
          <w:szCs w:val="24"/>
        </w:rPr>
        <w:t>problémy,</w:t>
      </w:r>
      <w:r w:rsidR="003376E1">
        <w:rPr>
          <w:rFonts w:eastAsia="Times New Roman"/>
          <w:szCs w:val="24"/>
        </w:rPr>
        <w:t xml:space="preserve"> </w:t>
      </w:r>
      <w:r w:rsidRPr="00FC3B7C">
        <w:rPr>
          <w:rFonts w:eastAsia="Times New Roman"/>
          <w:szCs w:val="24"/>
        </w:rPr>
        <w:t>které</w:t>
      </w:r>
      <w:r w:rsidR="003376E1">
        <w:rPr>
          <w:rFonts w:eastAsia="Times New Roman"/>
          <w:szCs w:val="24"/>
        </w:rPr>
        <w:t xml:space="preserve"> </w:t>
      </w:r>
      <w:r w:rsidRPr="00FC3B7C">
        <w:rPr>
          <w:rFonts w:eastAsia="Times New Roman"/>
          <w:szCs w:val="24"/>
        </w:rPr>
        <w:t>prezentovaly</w:t>
      </w:r>
      <w:r w:rsidR="003376E1">
        <w:rPr>
          <w:rFonts w:eastAsia="Times New Roman"/>
          <w:szCs w:val="24"/>
        </w:rPr>
        <w:t xml:space="preserve"> </w:t>
      </w:r>
      <w:r w:rsidRPr="00FC3B7C">
        <w:rPr>
          <w:rFonts w:eastAsia="Times New Roman"/>
          <w:szCs w:val="24"/>
        </w:rPr>
        <w:t>vládní</w:t>
      </w:r>
      <w:r w:rsidRPr="00FC3B7C">
        <w:rPr>
          <w:rFonts w:eastAsia="Times New Roman"/>
          <w:szCs w:val="24"/>
        </w:rPr>
        <w:tab/>
        <w:t>aktivitu</w:t>
      </w:r>
      <w:r w:rsidR="003376E1">
        <w:rPr>
          <w:rFonts w:eastAsia="Times New Roman"/>
          <w:szCs w:val="24"/>
        </w:rPr>
        <w:t xml:space="preserve"> </w:t>
      </w:r>
      <w:r w:rsidRPr="00FC3B7C">
        <w:rPr>
          <w:rFonts w:eastAsia="Times New Roman"/>
          <w:szCs w:val="24"/>
        </w:rPr>
        <w:t>a</w:t>
      </w:r>
      <w:r w:rsidR="003376E1">
        <w:rPr>
          <w:rFonts w:eastAsia="Times New Roman"/>
          <w:szCs w:val="24"/>
        </w:rPr>
        <w:t xml:space="preserve"> </w:t>
      </w:r>
      <w:r w:rsidRPr="00FC3B7C">
        <w:rPr>
          <w:rFonts w:eastAsia="Times New Roman"/>
          <w:szCs w:val="24"/>
        </w:rPr>
        <w:t>intervence</w:t>
      </w:r>
      <w:r w:rsidR="003376E1">
        <w:rPr>
          <w:rFonts w:eastAsia="Times New Roman"/>
          <w:szCs w:val="24"/>
        </w:rPr>
        <w:t xml:space="preserve"> </w:t>
      </w:r>
      <w:r w:rsidRPr="00FC3B7C">
        <w:rPr>
          <w:rFonts w:eastAsia="Times New Roman"/>
          <w:szCs w:val="24"/>
        </w:rPr>
        <w:t>jako</w:t>
      </w:r>
      <w:r>
        <w:rPr>
          <w:rFonts w:eastAsia="Times New Roman"/>
          <w:szCs w:val="24"/>
        </w:rPr>
        <w:t xml:space="preserve"> </w:t>
      </w:r>
      <w:r w:rsidRPr="00FC3B7C">
        <w:rPr>
          <w:rFonts w:eastAsia="Times New Roman"/>
          <w:szCs w:val="24"/>
        </w:rPr>
        <w:t>neefektivní.</w:t>
      </w:r>
      <w:r w:rsidR="003376E1">
        <w:rPr>
          <w:rFonts w:eastAsia="Times New Roman"/>
          <w:szCs w:val="24"/>
        </w:rPr>
        <w:t xml:space="preserve"> </w:t>
      </w:r>
      <w:r w:rsidRPr="00FC3B7C">
        <w:rPr>
          <w:rFonts w:eastAsia="Times New Roman"/>
          <w:szCs w:val="24"/>
        </w:rPr>
        <w:t>Na</w:t>
      </w:r>
      <w:r w:rsidR="003376E1">
        <w:rPr>
          <w:rFonts w:eastAsia="Times New Roman"/>
          <w:szCs w:val="24"/>
        </w:rPr>
        <w:t xml:space="preserve"> </w:t>
      </w:r>
      <w:r w:rsidRPr="00FC3B7C">
        <w:rPr>
          <w:rFonts w:eastAsia="Times New Roman"/>
          <w:szCs w:val="24"/>
        </w:rPr>
        <w:t>tyto</w:t>
      </w:r>
      <w:r w:rsidR="003376E1">
        <w:rPr>
          <w:rFonts w:eastAsia="Times New Roman"/>
          <w:szCs w:val="24"/>
        </w:rPr>
        <w:t xml:space="preserve"> </w:t>
      </w:r>
      <w:r w:rsidRPr="00FC3B7C">
        <w:rPr>
          <w:rFonts w:eastAsia="Times New Roman"/>
          <w:szCs w:val="24"/>
        </w:rPr>
        <w:t>problémy</w:t>
      </w:r>
      <w:r w:rsidR="003376E1">
        <w:rPr>
          <w:rFonts w:eastAsia="Times New Roman"/>
          <w:szCs w:val="24"/>
        </w:rPr>
        <w:t xml:space="preserve"> </w:t>
      </w:r>
      <w:r w:rsidRPr="00FC3B7C">
        <w:rPr>
          <w:rFonts w:eastAsia="Times New Roman"/>
          <w:szCs w:val="24"/>
        </w:rPr>
        <w:t>poukazovaly</w:t>
      </w:r>
      <w:r w:rsidR="003376E1">
        <w:rPr>
          <w:rFonts w:eastAsia="Times New Roman"/>
          <w:szCs w:val="24"/>
        </w:rPr>
        <w:t xml:space="preserve"> </w:t>
      </w:r>
      <w:r w:rsidRPr="00FC3B7C">
        <w:rPr>
          <w:rFonts w:eastAsia="Times New Roman"/>
          <w:szCs w:val="24"/>
        </w:rPr>
        <w:t>především</w:t>
      </w:r>
      <w:r w:rsidR="003376E1">
        <w:rPr>
          <w:rFonts w:eastAsia="Times New Roman"/>
          <w:szCs w:val="24"/>
        </w:rPr>
        <w:t xml:space="preserve"> </w:t>
      </w:r>
      <w:r w:rsidRPr="00FC3B7C">
        <w:rPr>
          <w:rFonts w:eastAsia="Times New Roman"/>
          <w:szCs w:val="24"/>
        </w:rPr>
        <w:t>ty</w:t>
      </w:r>
      <w:r w:rsidR="003376E1">
        <w:rPr>
          <w:rFonts w:eastAsia="Times New Roman"/>
          <w:szCs w:val="24"/>
        </w:rPr>
        <w:t xml:space="preserve"> </w:t>
      </w:r>
      <w:r w:rsidRPr="00FC3B7C">
        <w:rPr>
          <w:rFonts w:eastAsia="Times New Roman"/>
          <w:szCs w:val="24"/>
        </w:rPr>
        <w:t>ekonomické</w:t>
      </w:r>
      <w:r w:rsidR="003376E1">
        <w:rPr>
          <w:rFonts w:eastAsia="Times New Roman"/>
          <w:szCs w:val="24"/>
        </w:rPr>
        <w:t xml:space="preserve"> </w:t>
      </w:r>
      <w:r w:rsidRPr="00FC3B7C">
        <w:rPr>
          <w:rFonts w:eastAsia="Times New Roman"/>
          <w:szCs w:val="24"/>
        </w:rPr>
        <w:t>školy,</w:t>
      </w:r>
      <w:r w:rsidR="003376E1">
        <w:rPr>
          <w:rFonts w:eastAsia="Times New Roman"/>
          <w:szCs w:val="24"/>
        </w:rPr>
        <w:t xml:space="preserve"> </w:t>
      </w:r>
      <w:r w:rsidRPr="00FC3B7C">
        <w:rPr>
          <w:rFonts w:eastAsia="Times New Roman"/>
          <w:szCs w:val="24"/>
        </w:rPr>
        <w:t>které</w:t>
      </w:r>
      <w:r w:rsidR="003376E1">
        <w:rPr>
          <w:rFonts w:eastAsia="Times New Roman"/>
          <w:szCs w:val="24"/>
        </w:rPr>
        <w:t xml:space="preserve"> </w:t>
      </w:r>
      <w:r w:rsidRPr="00FC3B7C">
        <w:rPr>
          <w:rFonts w:eastAsia="Times New Roman"/>
          <w:szCs w:val="24"/>
        </w:rPr>
        <w:t>byly</w:t>
      </w:r>
      <w:r>
        <w:rPr>
          <w:rFonts w:eastAsia="Times New Roman"/>
          <w:szCs w:val="24"/>
        </w:rPr>
        <w:t xml:space="preserve"> </w:t>
      </w:r>
      <w:r w:rsidRPr="00FC3B7C">
        <w:rPr>
          <w:rFonts w:eastAsia="Times New Roman"/>
          <w:sz w:val="23"/>
          <w:szCs w:val="23"/>
        </w:rPr>
        <w:t>založené na liberálním konceptu – chicagská škola (a později monetaristé), nová institucionální</w:t>
      </w:r>
      <w:r>
        <w:rPr>
          <w:rFonts w:eastAsia="Times New Roman"/>
          <w:sz w:val="23"/>
          <w:szCs w:val="23"/>
        </w:rPr>
        <w:t xml:space="preserve"> </w:t>
      </w:r>
      <w:r w:rsidRPr="00FC3B7C">
        <w:rPr>
          <w:rFonts w:eastAsia="Times New Roman"/>
          <w:szCs w:val="24"/>
        </w:rPr>
        <w:t>ekonomie, škola veřejné volby a další.</w:t>
      </w:r>
    </w:p>
    <w:p w14:paraId="6A402FCF" w14:textId="77777777" w:rsidR="004236C6" w:rsidRPr="00FC3B7C" w:rsidRDefault="004236C6" w:rsidP="004236C6">
      <w:pPr>
        <w:spacing w:line="142" w:lineRule="exact"/>
        <w:rPr>
          <w:sz w:val="20"/>
          <w:szCs w:val="20"/>
        </w:rPr>
      </w:pPr>
    </w:p>
    <w:p w14:paraId="3B76FEB4" w14:textId="77777777" w:rsidR="004236C6" w:rsidRPr="00FC3B7C" w:rsidRDefault="004236C6" w:rsidP="004236C6">
      <w:pPr>
        <w:rPr>
          <w:sz w:val="20"/>
          <w:szCs w:val="20"/>
        </w:rPr>
      </w:pPr>
      <w:r w:rsidRPr="00FC3B7C">
        <w:rPr>
          <w:rFonts w:eastAsia="Times New Roman"/>
          <w:szCs w:val="24"/>
        </w:rPr>
        <w:t>Mezi vládní selhání patří:</w:t>
      </w:r>
    </w:p>
    <w:p w14:paraId="5F160572" w14:textId="77777777" w:rsidR="004236C6" w:rsidRPr="00FC3B7C" w:rsidRDefault="004236C6" w:rsidP="004236C6">
      <w:pPr>
        <w:numPr>
          <w:ilvl w:val="0"/>
          <w:numId w:val="38"/>
        </w:numPr>
        <w:tabs>
          <w:tab w:val="left" w:pos="1000"/>
        </w:tabs>
        <w:spacing w:line="358" w:lineRule="auto"/>
        <w:ind w:left="1000" w:hanging="360"/>
        <w:rPr>
          <w:rFonts w:eastAsia="Times New Roman"/>
          <w:szCs w:val="24"/>
        </w:rPr>
      </w:pPr>
      <w:r w:rsidRPr="00FC3B7C">
        <w:rPr>
          <w:rFonts w:eastAsia="Times New Roman"/>
          <w:szCs w:val="24"/>
        </w:rPr>
        <w:t xml:space="preserve">zájmy a schopnosti politiků a byrokracie (nekompetence, nedisciplinovanost </w:t>
      </w:r>
      <w:r>
        <w:rPr>
          <w:rFonts w:eastAsia="Times New Roman"/>
          <w:szCs w:val="24"/>
        </w:rPr>
        <w:br/>
      </w:r>
      <w:r w:rsidRPr="00FC3B7C">
        <w:rPr>
          <w:rFonts w:eastAsia="Times New Roman"/>
          <w:szCs w:val="24"/>
        </w:rPr>
        <w:t>a snaha maximalizovat svou užitkovou funkci, rent-seeking, log-rolling apod.),</w:t>
      </w:r>
    </w:p>
    <w:p w14:paraId="6ADBE03F" w14:textId="77777777" w:rsidR="004236C6" w:rsidRPr="00FC3B7C" w:rsidRDefault="004236C6" w:rsidP="004236C6">
      <w:pPr>
        <w:spacing w:line="2" w:lineRule="exact"/>
        <w:rPr>
          <w:rFonts w:eastAsia="Times New Roman"/>
          <w:szCs w:val="24"/>
        </w:rPr>
      </w:pPr>
    </w:p>
    <w:p w14:paraId="1036B811" w14:textId="77777777" w:rsidR="004236C6" w:rsidRPr="00FC3B7C" w:rsidRDefault="004236C6" w:rsidP="004236C6">
      <w:pPr>
        <w:numPr>
          <w:ilvl w:val="0"/>
          <w:numId w:val="38"/>
        </w:numPr>
        <w:tabs>
          <w:tab w:val="left" w:pos="1000"/>
        </w:tabs>
        <w:spacing w:line="361" w:lineRule="auto"/>
        <w:ind w:left="1000" w:hanging="360"/>
        <w:rPr>
          <w:rFonts w:eastAsia="Times New Roman"/>
          <w:szCs w:val="24"/>
        </w:rPr>
      </w:pPr>
      <w:r w:rsidRPr="00FC3B7C">
        <w:rPr>
          <w:rFonts w:eastAsia="Times New Roman"/>
          <w:szCs w:val="24"/>
        </w:rPr>
        <w:t>časová zpoždění v hospodářské politice (malá flexibilita, administrativa, dlouhý časový interval mezi identifikací problému a aplikací nástrojů pro jeho vyřešení),</w:t>
      </w:r>
    </w:p>
    <w:p w14:paraId="1E401C4D" w14:textId="77777777" w:rsidR="004236C6" w:rsidRPr="00FC3B7C" w:rsidRDefault="004236C6" w:rsidP="004236C6">
      <w:pPr>
        <w:numPr>
          <w:ilvl w:val="0"/>
          <w:numId w:val="38"/>
        </w:numPr>
        <w:tabs>
          <w:tab w:val="left" w:pos="1000"/>
        </w:tabs>
        <w:ind w:left="1000" w:hanging="360"/>
        <w:rPr>
          <w:rFonts w:eastAsia="Times New Roman"/>
          <w:szCs w:val="24"/>
        </w:rPr>
      </w:pPr>
      <w:r w:rsidRPr="00FC3B7C">
        <w:rPr>
          <w:rFonts w:eastAsia="Times New Roman"/>
          <w:szCs w:val="24"/>
        </w:rPr>
        <w:t>souvislost politického a hospodářského cyklu (předvolební strategie atd.),</w:t>
      </w:r>
    </w:p>
    <w:p w14:paraId="1C8A6B53" w14:textId="77777777" w:rsidR="004236C6" w:rsidRPr="00FC3B7C" w:rsidRDefault="004236C6" w:rsidP="004236C6">
      <w:pPr>
        <w:spacing w:line="136" w:lineRule="exact"/>
        <w:rPr>
          <w:rFonts w:eastAsia="Times New Roman"/>
          <w:szCs w:val="24"/>
        </w:rPr>
      </w:pPr>
    </w:p>
    <w:p w14:paraId="05440F38" w14:textId="77777777" w:rsidR="004236C6" w:rsidRPr="00FC3B7C" w:rsidRDefault="004236C6" w:rsidP="004236C6">
      <w:pPr>
        <w:numPr>
          <w:ilvl w:val="0"/>
          <w:numId w:val="38"/>
        </w:numPr>
        <w:tabs>
          <w:tab w:val="left" w:pos="1000"/>
        </w:tabs>
        <w:spacing w:line="363" w:lineRule="auto"/>
        <w:ind w:left="1000" w:hanging="360"/>
        <w:rPr>
          <w:rFonts w:eastAsia="Times New Roman"/>
          <w:szCs w:val="24"/>
        </w:rPr>
      </w:pPr>
      <w:r w:rsidRPr="00FC3B7C">
        <w:rPr>
          <w:rFonts w:eastAsia="Times New Roman"/>
          <w:szCs w:val="24"/>
        </w:rPr>
        <w:t>nevyužití politického kapitálu a vztah politiků k ekonomické teorii (averze vlád k provádění závažných institucionálních opatření),</w:t>
      </w:r>
    </w:p>
    <w:p w14:paraId="1F089670" w14:textId="77777777" w:rsidR="004236C6" w:rsidRPr="00FC3B7C" w:rsidRDefault="004236C6" w:rsidP="004236C6">
      <w:pPr>
        <w:numPr>
          <w:ilvl w:val="0"/>
          <w:numId w:val="38"/>
        </w:numPr>
        <w:tabs>
          <w:tab w:val="left" w:pos="1000"/>
        </w:tabs>
        <w:ind w:left="1000" w:hanging="360"/>
        <w:rPr>
          <w:rFonts w:eastAsia="Times New Roman"/>
          <w:szCs w:val="24"/>
        </w:rPr>
      </w:pPr>
      <w:r w:rsidRPr="00FC3B7C">
        <w:rPr>
          <w:rFonts w:eastAsia="Times New Roman"/>
          <w:szCs w:val="24"/>
        </w:rPr>
        <w:t>nedokonalá informovanost</w:t>
      </w:r>
    </w:p>
    <w:p w14:paraId="277FF7EB" w14:textId="77777777" w:rsidR="004236C6" w:rsidRDefault="004236C6" w:rsidP="004236C6">
      <w:pPr>
        <w:spacing w:line="240" w:lineRule="auto"/>
        <w:jc w:val="left"/>
        <w:rPr>
          <w:rFonts w:eastAsia="Times New Roman" w:cstheme="majorBidi"/>
          <w:b/>
          <w:i/>
          <w:iCs/>
        </w:rPr>
      </w:pPr>
      <w:r>
        <w:rPr>
          <w:rFonts w:eastAsia="Times New Roman"/>
        </w:rPr>
        <w:br w:type="page"/>
      </w:r>
    </w:p>
    <w:p w14:paraId="7356B2CE" w14:textId="77777777" w:rsidR="004236C6" w:rsidRPr="004236C6" w:rsidRDefault="004236C6" w:rsidP="004236C6">
      <w:pPr>
        <w:pStyle w:val="Nadpis4"/>
        <w:rPr>
          <w:color w:val="1F3864" w:themeColor="accent1" w:themeShade="80"/>
          <w:sz w:val="20"/>
          <w:szCs w:val="20"/>
        </w:rPr>
      </w:pPr>
      <w:r w:rsidRPr="004236C6">
        <w:rPr>
          <w:rFonts w:eastAsia="Times New Roman"/>
          <w:color w:val="1F3864" w:themeColor="accent1" w:themeShade="80"/>
        </w:rPr>
        <w:lastRenderedPageBreak/>
        <w:t>Praktická konzervativní hospodářská politika - monetarismus</w:t>
      </w:r>
    </w:p>
    <w:p w14:paraId="60169121" w14:textId="77777777" w:rsidR="004236C6" w:rsidRPr="00FC3B7C" w:rsidRDefault="004236C6" w:rsidP="004236C6">
      <w:pPr>
        <w:rPr>
          <w:sz w:val="20"/>
          <w:szCs w:val="20"/>
        </w:rPr>
      </w:pPr>
      <w:r w:rsidRPr="00FC3B7C">
        <w:rPr>
          <w:rFonts w:eastAsia="Times New Roman"/>
        </w:rPr>
        <w:t xml:space="preserve">Klasická politická ekonomie, která v průběhu dějin ekonomického myšlení mnohými úpravami vykrystalizovala v syntetické dílo neoklasiků, velmi ovlivnila právě liberální koncepci praktické hospodářské politiky. Postoj k vládě je charakterizován heslem „nechte nás konat“. Ekonomické školy, jež jsou hlavními přispěvovateli teorii monetarismu jsou škola racionálních očekávání (R. E. Lucas), škola strany nabídky (A. Laffer) a další. Ústředním zástupcem je ovšem friedmanovský monetarismus (70. léta 20. století) v čele s teoriemi </w:t>
      </w:r>
      <w:r>
        <w:rPr>
          <w:rFonts w:eastAsia="Times New Roman"/>
        </w:rPr>
        <w:br/>
      </w:r>
      <w:r w:rsidRPr="00FC3B7C">
        <w:rPr>
          <w:rFonts w:eastAsia="Times New Roman"/>
        </w:rPr>
        <w:t xml:space="preserve">M. Friedmana (jež navazoval z velké části na F. A. Hayeka a jeho teorii spontánního řádu) </w:t>
      </w:r>
      <w:r>
        <w:rPr>
          <w:rFonts w:eastAsia="Times New Roman"/>
        </w:rPr>
        <w:br/>
      </w:r>
      <w:r w:rsidRPr="00FC3B7C">
        <w:rPr>
          <w:rFonts w:eastAsia="Times New Roman"/>
        </w:rPr>
        <w:t>a dalších. Důležitým aspektem kritiky monetaristů byl faktor vytěsňovacího efektu vládních investic. Hlavními body, na které by se hospodářská politika měla soustřeďovat:</w:t>
      </w:r>
    </w:p>
    <w:p w14:paraId="5CCA8869" w14:textId="77777777" w:rsidR="004236C6" w:rsidRPr="00FC3B7C" w:rsidRDefault="004236C6" w:rsidP="004236C6">
      <w:pPr>
        <w:spacing w:line="9" w:lineRule="exact"/>
        <w:rPr>
          <w:sz w:val="20"/>
          <w:szCs w:val="20"/>
        </w:rPr>
      </w:pPr>
    </w:p>
    <w:p w14:paraId="60E013C9" w14:textId="77777777" w:rsidR="004236C6" w:rsidRPr="00FC3B7C" w:rsidRDefault="004236C6" w:rsidP="004236C6">
      <w:pPr>
        <w:numPr>
          <w:ilvl w:val="0"/>
          <w:numId w:val="39"/>
        </w:numPr>
        <w:tabs>
          <w:tab w:val="left" w:pos="1000"/>
        </w:tabs>
        <w:ind w:left="1000" w:hanging="360"/>
        <w:rPr>
          <w:rFonts w:eastAsia="Times New Roman"/>
          <w:szCs w:val="24"/>
        </w:rPr>
      </w:pPr>
      <w:r w:rsidRPr="00FC3B7C">
        <w:rPr>
          <w:rFonts w:eastAsia="Times New Roman"/>
          <w:szCs w:val="24"/>
        </w:rPr>
        <w:t>udržení stabilní cenové hladiny a udržení vnější rovnováhy,</w:t>
      </w:r>
    </w:p>
    <w:p w14:paraId="0F63F897" w14:textId="77777777" w:rsidR="004236C6" w:rsidRPr="00FC3B7C" w:rsidRDefault="004236C6" w:rsidP="004236C6">
      <w:pPr>
        <w:numPr>
          <w:ilvl w:val="0"/>
          <w:numId w:val="39"/>
        </w:numPr>
        <w:tabs>
          <w:tab w:val="left" w:pos="1000"/>
        </w:tabs>
        <w:ind w:left="1000" w:hanging="360"/>
        <w:rPr>
          <w:rFonts w:eastAsia="Times New Roman"/>
          <w:szCs w:val="24"/>
        </w:rPr>
      </w:pPr>
      <w:r w:rsidRPr="00FC3B7C">
        <w:rPr>
          <w:rFonts w:eastAsia="Times New Roman"/>
          <w:szCs w:val="24"/>
        </w:rPr>
        <w:t>monetární politika – regulace nabídky peněz,</w:t>
      </w:r>
    </w:p>
    <w:p w14:paraId="094461EB" w14:textId="77777777" w:rsidR="004236C6" w:rsidRPr="00FC3B7C" w:rsidRDefault="004236C6" w:rsidP="004236C6">
      <w:pPr>
        <w:numPr>
          <w:ilvl w:val="0"/>
          <w:numId w:val="39"/>
        </w:numPr>
        <w:tabs>
          <w:tab w:val="left" w:pos="1000"/>
        </w:tabs>
        <w:ind w:left="1000" w:hanging="360"/>
        <w:rPr>
          <w:rFonts w:eastAsia="Times New Roman"/>
          <w:szCs w:val="24"/>
        </w:rPr>
      </w:pPr>
      <w:r w:rsidRPr="00FC3B7C">
        <w:rPr>
          <w:rFonts w:eastAsia="Times New Roman"/>
          <w:szCs w:val="24"/>
        </w:rPr>
        <w:t>orientace hospodářské politiky střednědobě až dlouhodobě,</w:t>
      </w:r>
    </w:p>
    <w:p w14:paraId="1F6D3C88" w14:textId="77777777" w:rsidR="004236C6" w:rsidRPr="00FC3B7C" w:rsidRDefault="004236C6" w:rsidP="004236C6">
      <w:pPr>
        <w:numPr>
          <w:ilvl w:val="0"/>
          <w:numId w:val="39"/>
        </w:numPr>
        <w:tabs>
          <w:tab w:val="left" w:pos="1000"/>
        </w:tabs>
        <w:ind w:left="1000" w:hanging="360"/>
        <w:rPr>
          <w:rFonts w:eastAsia="Times New Roman"/>
          <w:szCs w:val="24"/>
        </w:rPr>
      </w:pPr>
      <w:r w:rsidRPr="00FC3B7C">
        <w:rPr>
          <w:rFonts w:eastAsia="Times New Roman"/>
          <w:szCs w:val="24"/>
        </w:rPr>
        <w:t>vyrovnanost státního rozpočtu, konstantní míra růstu nabídky peněz,</w:t>
      </w:r>
    </w:p>
    <w:p w14:paraId="3CB7DDCF" w14:textId="77777777" w:rsidR="004236C6" w:rsidRPr="00FC3B7C" w:rsidRDefault="004236C6" w:rsidP="004236C6">
      <w:pPr>
        <w:numPr>
          <w:ilvl w:val="0"/>
          <w:numId w:val="39"/>
        </w:numPr>
        <w:tabs>
          <w:tab w:val="left" w:pos="1000"/>
        </w:tabs>
        <w:ind w:left="1000" w:hanging="360"/>
        <w:rPr>
          <w:rFonts w:eastAsia="Times New Roman"/>
          <w:szCs w:val="24"/>
        </w:rPr>
      </w:pPr>
      <w:r w:rsidRPr="00FC3B7C">
        <w:rPr>
          <w:rFonts w:eastAsia="Times New Roman"/>
          <w:szCs w:val="24"/>
        </w:rPr>
        <w:t>jasná formulace stabilních pravidel, minimalizace neočekávaných změn.</w:t>
      </w:r>
    </w:p>
    <w:p w14:paraId="74C53513" w14:textId="77777777" w:rsidR="004236C6" w:rsidRPr="00FC3B7C" w:rsidRDefault="004236C6" w:rsidP="004236C6">
      <w:pPr>
        <w:rPr>
          <w:sz w:val="20"/>
          <w:szCs w:val="20"/>
        </w:rPr>
      </w:pPr>
      <w:bookmarkStart w:id="67" w:name="page65"/>
      <w:bookmarkEnd w:id="67"/>
      <w:r w:rsidRPr="00FC3B7C">
        <w:rPr>
          <w:rFonts w:eastAsia="Times New Roman"/>
        </w:rPr>
        <w:t>Společně s těmito cíli byla určena pravidla, podle kterých by se hospodářská politika měla řídit, aby byla efektivní. Tato pravidla se týkají zejména obejití problému časové nekonzistence a peněz jako exogenní veličiny:</w:t>
      </w:r>
    </w:p>
    <w:p w14:paraId="4C9202CD" w14:textId="77777777" w:rsidR="004236C6" w:rsidRPr="00FC3B7C" w:rsidRDefault="004236C6" w:rsidP="004236C6">
      <w:pPr>
        <w:spacing w:line="1" w:lineRule="exact"/>
        <w:rPr>
          <w:sz w:val="20"/>
          <w:szCs w:val="20"/>
        </w:rPr>
      </w:pPr>
    </w:p>
    <w:p w14:paraId="188257B4" w14:textId="77777777" w:rsidR="004236C6" w:rsidRPr="00FC3B7C" w:rsidRDefault="004236C6" w:rsidP="004236C6">
      <w:pPr>
        <w:numPr>
          <w:ilvl w:val="0"/>
          <w:numId w:val="40"/>
        </w:numPr>
        <w:tabs>
          <w:tab w:val="left" w:pos="1000"/>
        </w:tabs>
        <w:ind w:left="1000" w:hanging="360"/>
        <w:rPr>
          <w:rFonts w:eastAsia="Times New Roman"/>
          <w:szCs w:val="24"/>
        </w:rPr>
      </w:pPr>
      <w:r w:rsidRPr="00FC3B7C">
        <w:rPr>
          <w:rFonts w:eastAsia="Times New Roman"/>
          <w:szCs w:val="24"/>
        </w:rPr>
        <w:t>odclonění centrální banky od politických tlaků, např. v souvislosti s volbami,</w:t>
      </w:r>
    </w:p>
    <w:p w14:paraId="5B6B5713" w14:textId="77777777" w:rsidR="004236C6" w:rsidRPr="00FC3B7C" w:rsidRDefault="004236C6" w:rsidP="004236C6">
      <w:pPr>
        <w:numPr>
          <w:ilvl w:val="0"/>
          <w:numId w:val="40"/>
        </w:numPr>
        <w:tabs>
          <w:tab w:val="left" w:pos="1000"/>
        </w:tabs>
        <w:ind w:left="1000" w:hanging="360"/>
        <w:rPr>
          <w:rFonts w:eastAsia="Times New Roman"/>
          <w:szCs w:val="24"/>
        </w:rPr>
      </w:pPr>
      <w:r w:rsidRPr="00FC3B7C">
        <w:rPr>
          <w:rFonts w:eastAsia="Times New Roman"/>
          <w:szCs w:val="24"/>
        </w:rPr>
        <w:t>poskytnutí kritéria pro snadné hodnocení centrální banky veřejností,</w:t>
      </w:r>
    </w:p>
    <w:p w14:paraId="3FF86711" w14:textId="77777777" w:rsidR="004236C6" w:rsidRPr="00FC3B7C" w:rsidRDefault="004236C6" w:rsidP="004236C6">
      <w:pPr>
        <w:numPr>
          <w:ilvl w:val="0"/>
          <w:numId w:val="40"/>
        </w:numPr>
        <w:tabs>
          <w:tab w:val="left" w:pos="1000"/>
        </w:tabs>
        <w:ind w:left="1000" w:hanging="360"/>
        <w:rPr>
          <w:rFonts w:eastAsia="Times New Roman"/>
          <w:szCs w:val="24"/>
        </w:rPr>
      </w:pPr>
      <w:r w:rsidRPr="00FC3B7C">
        <w:rPr>
          <w:rFonts w:eastAsia="Times New Roman"/>
          <w:szCs w:val="24"/>
        </w:rPr>
        <w:t>zajištění jistoty pro ekonomické subjekty ohledně budoucí měnové politiky.</w:t>
      </w:r>
    </w:p>
    <w:p w14:paraId="3796D7FC" w14:textId="77777777" w:rsidR="004236C6" w:rsidRPr="00FC3B7C" w:rsidRDefault="004236C6" w:rsidP="004236C6">
      <w:pPr>
        <w:ind w:left="280"/>
        <w:rPr>
          <w:sz w:val="20"/>
          <w:szCs w:val="20"/>
        </w:rPr>
      </w:pPr>
      <w:r w:rsidRPr="00FC3B7C">
        <w:rPr>
          <w:noProof/>
          <w:sz w:val="20"/>
          <w:szCs w:val="20"/>
        </w:rPr>
        <w:drawing>
          <wp:anchor distT="0" distB="0" distL="114300" distR="114300" simplePos="0" relativeHeight="251682304" behindDoc="1" locked="0" layoutInCell="0" allowOverlap="1" wp14:anchorId="0DB42054" wp14:editId="2963294D">
            <wp:simplePos x="0" y="0"/>
            <wp:positionH relativeFrom="column">
              <wp:posOffset>765175</wp:posOffset>
            </wp:positionH>
            <wp:positionV relativeFrom="paragraph">
              <wp:posOffset>153670</wp:posOffset>
            </wp:positionV>
            <wp:extent cx="4371975" cy="2876633"/>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srcRect/>
                    <a:stretch>
                      <a:fillRect/>
                    </a:stretch>
                  </pic:blipFill>
                  <pic:spPr bwMode="auto">
                    <a:xfrm>
                      <a:off x="0" y="0"/>
                      <a:ext cx="4371975" cy="2876633"/>
                    </a:xfrm>
                    <a:prstGeom prst="rect">
                      <a:avLst/>
                    </a:prstGeom>
                    <a:noFill/>
                  </pic:spPr>
                </pic:pic>
              </a:graphicData>
            </a:graphic>
            <wp14:sizeRelH relativeFrom="margin">
              <wp14:pctWidth>0</wp14:pctWidth>
            </wp14:sizeRelH>
            <wp14:sizeRelV relativeFrom="margin">
              <wp14:pctHeight>0</wp14:pctHeight>
            </wp14:sizeRelV>
          </wp:anchor>
        </w:drawing>
      </w:r>
      <w:r w:rsidRPr="00FC3B7C">
        <w:rPr>
          <w:rFonts w:eastAsia="Times New Roman"/>
          <w:b/>
          <w:bCs/>
          <w:szCs w:val="24"/>
        </w:rPr>
        <w:t>Obr. č. 2: Hlavní rozdíly mezi Keynesiánci a Monetaristy</w:t>
      </w:r>
    </w:p>
    <w:p w14:paraId="30E8AC19" w14:textId="77777777" w:rsidR="004236C6" w:rsidRPr="00FC3B7C" w:rsidRDefault="004236C6" w:rsidP="004236C6">
      <w:pPr>
        <w:spacing w:line="20" w:lineRule="exact"/>
        <w:rPr>
          <w:sz w:val="20"/>
          <w:szCs w:val="20"/>
        </w:rPr>
      </w:pPr>
    </w:p>
    <w:p w14:paraId="691F14D8" w14:textId="77777777" w:rsidR="004236C6" w:rsidRPr="00FC3B7C" w:rsidRDefault="004236C6" w:rsidP="004236C6">
      <w:pPr>
        <w:spacing w:line="200" w:lineRule="exact"/>
        <w:rPr>
          <w:sz w:val="20"/>
          <w:szCs w:val="20"/>
        </w:rPr>
      </w:pPr>
    </w:p>
    <w:p w14:paraId="686F9389" w14:textId="77777777" w:rsidR="004236C6" w:rsidRPr="00FC3B7C" w:rsidRDefault="004236C6" w:rsidP="004236C6">
      <w:pPr>
        <w:spacing w:line="200" w:lineRule="exact"/>
        <w:rPr>
          <w:sz w:val="20"/>
          <w:szCs w:val="20"/>
        </w:rPr>
      </w:pPr>
    </w:p>
    <w:p w14:paraId="1B7BCC48" w14:textId="77777777" w:rsidR="004236C6" w:rsidRPr="00FC3B7C" w:rsidRDefault="004236C6" w:rsidP="004236C6">
      <w:pPr>
        <w:spacing w:line="200" w:lineRule="exact"/>
        <w:rPr>
          <w:sz w:val="20"/>
          <w:szCs w:val="20"/>
        </w:rPr>
      </w:pPr>
    </w:p>
    <w:p w14:paraId="7758B401" w14:textId="77777777" w:rsidR="004236C6" w:rsidRPr="00FC3B7C" w:rsidRDefault="004236C6" w:rsidP="004236C6">
      <w:pPr>
        <w:spacing w:line="200" w:lineRule="exact"/>
        <w:rPr>
          <w:sz w:val="20"/>
          <w:szCs w:val="20"/>
        </w:rPr>
      </w:pPr>
    </w:p>
    <w:p w14:paraId="20FE8001" w14:textId="77777777" w:rsidR="004236C6" w:rsidRPr="00FC3B7C" w:rsidRDefault="004236C6" w:rsidP="004236C6">
      <w:pPr>
        <w:spacing w:line="200" w:lineRule="exact"/>
        <w:rPr>
          <w:sz w:val="20"/>
          <w:szCs w:val="20"/>
        </w:rPr>
      </w:pPr>
    </w:p>
    <w:p w14:paraId="5E8160BB" w14:textId="77777777" w:rsidR="004236C6" w:rsidRPr="00FC3B7C" w:rsidRDefault="004236C6" w:rsidP="004236C6">
      <w:pPr>
        <w:spacing w:line="200" w:lineRule="exact"/>
        <w:rPr>
          <w:sz w:val="20"/>
          <w:szCs w:val="20"/>
        </w:rPr>
      </w:pPr>
    </w:p>
    <w:p w14:paraId="2468D2E2" w14:textId="77777777" w:rsidR="004236C6" w:rsidRPr="00FC3B7C" w:rsidRDefault="004236C6" w:rsidP="004236C6">
      <w:pPr>
        <w:spacing w:line="200" w:lineRule="exact"/>
        <w:rPr>
          <w:sz w:val="20"/>
          <w:szCs w:val="20"/>
        </w:rPr>
      </w:pPr>
    </w:p>
    <w:p w14:paraId="646EDF9F" w14:textId="77777777" w:rsidR="004236C6" w:rsidRPr="00FC3B7C" w:rsidRDefault="004236C6" w:rsidP="004236C6">
      <w:pPr>
        <w:spacing w:line="200" w:lineRule="exact"/>
        <w:rPr>
          <w:sz w:val="20"/>
          <w:szCs w:val="20"/>
        </w:rPr>
      </w:pPr>
    </w:p>
    <w:p w14:paraId="0C85C775" w14:textId="77777777" w:rsidR="004236C6" w:rsidRPr="00FC3B7C" w:rsidRDefault="004236C6" w:rsidP="004236C6">
      <w:pPr>
        <w:spacing w:line="200" w:lineRule="exact"/>
        <w:rPr>
          <w:sz w:val="20"/>
          <w:szCs w:val="20"/>
        </w:rPr>
      </w:pPr>
    </w:p>
    <w:p w14:paraId="03418E2D" w14:textId="77777777" w:rsidR="004236C6" w:rsidRPr="00FC3B7C" w:rsidRDefault="004236C6" w:rsidP="004236C6">
      <w:pPr>
        <w:spacing w:line="200" w:lineRule="exact"/>
        <w:rPr>
          <w:sz w:val="20"/>
          <w:szCs w:val="20"/>
        </w:rPr>
      </w:pPr>
    </w:p>
    <w:p w14:paraId="04F81072" w14:textId="77777777" w:rsidR="004236C6" w:rsidRPr="00FC3B7C" w:rsidRDefault="004236C6" w:rsidP="004236C6">
      <w:pPr>
        <w:spacing w:line="200" w:lineRule="exact"/>
        <w:rPr>
          <w:sz w:val="20"/>
          <w:szCs w:val="20"/>
        </w:rPr>
      </w:pPr>
    </w:p>
    <w:p w14:paraId="3B9B8C74" w14:textId="77777777" w:rsidR="004236C6" w:rsidRPr="00FC3B7C" w:rsidRDefault="004236C6" w:rsidP="004236C6">
      <w:pPr>
        <w:spacing w:line="200" w:lineRule="exact"/>
        <w:rPr>
          <w:sz w:val="20"/>
          <w:szCs w:val="20"/>
        </w:rPr>
      </w:pPr>
    </w:p>
    <w:p w14:paraId="596820F6" w14:textId="77777777" w:rsidR="004236C6" w:rsidRPr="00FC3B7C" w:rsidRDefault="004236C6" w:rsidP="004236C6">
      <w:pPr>
        <w:spacing w:line="200" w:lineRule="exact"/>
        <w:rPr>
          <w:sz w:val="20"/>
          <w:szCs w:val="20"/>
        </w:rPr>
      </w:pPr>
    </w:p>
    <w:p w14:paraId="0AC55E54" w14:textId="77777777" w:rsidR="004236C6" w:rsidRPr="00FC3B7C" w:rsidRDefault="004236C6" w:rsidP="004236C6">
      <w:pPr>
        <w:spacing w:line="200" w:lineRule="exact"/>
        <w:rPr>
          <w:sz w:val="20"/>
          <w:szCs w:val="20"/>
        </w:rPr>
      </w:pPr>
    </w:p>
    <w:p w14:paraId="50C071A4" w14:textId="77777777" w:rsidR="004236C6" w:rsidRPr="00FC3B7C" w:rsidRDefault="004236C6" w:rsidP="004236C6">
      <w:pPr>
        <w:spacing w:line="200" w:lineRule="exact"/>
        <w:rPr>
          <w:sz w:val="20"/>
          <w:szCs w:val="20"/>
        </w:rPr>
      </w:pPr>
    </w:p>
    <w:p w14:paraId="01D4721B" w14:textId="77777777" w:rsidR="004236C6" w:rsidRPr="00FC3B7C" w:rsidRDefault="004236C6" w:rsidP="004236C6">
      <w:pPr>
        <w:spacing w:line="200" w:lineRule="exact"/>
        <w:rPr>
          <w:sz w:val="20"/>
          <w:szCs w:val="20"/>
        </w:rPr>
      </w:pPr>
    </w:p>
    <w:p w14:paraId="4E2A1AE6" w14:textId="77777777" w:rsidR="004236C6" w:rsidRPr="00FC3B7C" w:rsidRDefault="004236C6" w:rsidP="004236C6">
      <w:pPr>
        <w:spacing w:line="200" w:lineRule="exact"/>
        <w:rPr>
          <w:sz w:val="20"/>
          <w:szCs w:val="20"/>
        </w:rPr>
      </w:pPr>
    </w:p>
    <w:p w14:paraId="4056C006" w14:textId="77777777" w:rsidR="004236C6" w:rsidRPr="00FC3B7C" w:rsidRDefault="004236C6" w:rsidP="004236C6">
      <w:pPr>
        <w:spacing w:line="200" w:lineRule="exact"/>
        <w:rPr>
          <w:sz w:val="20"/>
          <w:szCs w:val="20"/>
        </w:rPr>
      </w:pPr>
    </w:p>
    <w:p w14:paraId="5B11882F" w14:textId="77777777" w:rsidR="004236C6" w:rsidRPr="00FC3B7C" w:rsidRDefault="004236C6" w:rsidP="004236C6">
      <w:pPr>
        <w:spacing w:line="200" w:lineRule="exact"/>
        <w:rPr>
          <w:sz w:val="20"/>
          <w:szCs w:val="20"/>
        </w:rPr>
      </w:pPr>
    </w:p>
    <w:p w14:paraId="4AA26364" w14:textId="77777777" w:rsidR="004236C6" w:rsidRPr="00FC3B7C" w:rsidRDefault="004236C6" w:rsidP="004236C6">
      <w:pPr>
        <w:spacing w:line="200" w:lineRule="exact"/>
        <w:rPr>
          <w:sz w:val="20"/>
          <w:szCs w:val="20"/>
        </w:rPr>
      </w:pPr>
    </w:p>
    <w:p w14:paraId="52CBD7E2" w14:textId="77777777" w:rsidR="004236C6" w:rsidRPr="00FC3B7C" w:rsidRDefault="004236C6" w:rsidP="004236C6">
      <w:pPr>
        <w:spacing w:line="200" w:lineRule="exact"/>
        <w:rPr>
          <w:sz w:val="20"/>
          <w:szCs w:val="20"/>
        </w:rPr>
      </w:pPr>
    </w:p>
    <w:p w14:paraId="7125C9CC" w14:textId="77777777" w:rsidR="004236C6" w:rsidRPr="00FC3B7C" w:rsidRDefault="004236C6" w:rsidP="004236C6">
      <w:pPr>
        <w:spacing w:line="200" w:lineRule="exact"/>
        <w:rPr>
          <w:sz w:val="20"/>
          <w:szCs w:val="20"/>
        </w:rPr>
      </w:pPr>
    </w:p>
    <w:p w14:paraId="51BB8900" w14:textId="77777777" w:rsidR="004236C6" w:rsidRPr="00FC3B7C" w:rsidRDefault="004236C6" w:rsidP="004236C6">
      <w:pPr>
        <w:ind w:left="280"/>
        <w:rPr>
          <w:sz w:val="20"/>
          <w:szCs w:val="20"/>
        </w:rPr>
      </w:pPr>
      <w:r w:rsidRPr="00FC3B7C">
        <w:rPr>
          <w:rFonts w:eastAsia="Times New Roman"/>
          <w:sz w:val="20"/>
          <w:szCs w:val="20"/>
        </w:rPr>
        <w:t>Zdroj: Slaný, A., 2003</w:t>
      </w:r>
    </w:p>
    <w:p w14:paraId="2283A270" w14:textId="77777777" w:rsidR="004236C6" w:rsidRPr="004236C6" w:rsidRDefault="004236C6" w:rsidP="004236C6">
      <w:pPr>
        <w:pStyle w:val="Nadpis4"/>
        <w:rPr>
          <w:color w:val="1F3864" w:themeColor="accent1" w:themeShade="80"/>
          <w:sz w:val="20"/>
          <w:szCs w:val="20"/>
        </w:rPr>
      </w:pPr>
      <w:r w:rsidRPr="004236C6">
        <w:rPr>
          <w:rFonts w:eastAsia="Times New Roman"/>
          <w:color w:val="1F3864" w:themeColor="accent1" w:themeShade="80"/>
        </w:rPr>
        <w:lastRenderedPageBreak/>
        <w:t>Využití liberální hospodářsko-politické koncepce – příklady:</w:t>
      </w:r>
    </w:p>
    <w:p w14:paraId="2EFB6992" w14:textId="77777777" w:rsidR="004236C6" w:rsidRPr="00FC3B7C" w:rsidRDefault="004236C6" w:rsidP="004236C6">
      <w:pPr>
        <w:rPr>
          <w:sz w:val="20"/>
          <w:szCs w:val="20"/>
        </w:rPr>
      </w:pPr>
      <w:r w:rsidRPr="00FC3B7C">
        <w:rPr>
          <w:rFonts w:eastAsia="Times New Roman"/>
        </w:rPr>
        <w:t xml:space="preserve">Po roce 1930, ve kterém Spojené státy (a poté díky globalizaci celý svět) poznaly fatálnost Velké deprese, bylo ústřední inspirací pro hospodářskou politiku dílo J. M. Keynese, ale </w:t>
      </w:r>
      <w:r>
        <w:rPr>
          <w:rFonts w:eastAsia="Times New Roman"/>
        </w:rPr>
        <w:br/>
      </w:r>
      <w:r w:rsidRPr="00FC3B7C">
        <w:rPr>
          <w:rFonts w:eastAsia="Times New Roman"/>
        </w:rPr>
        <w:t>v průběhu let se teorie navazující na jeho dílo ukázaly jako nepřesné a kontraproduktivní. Zejména od 70. let docházelo tedy k tendenci liberalizovat hospodářskou politiku v mnoha zemích, nejčastěji uváděnými příklady jsou:</w:t>
      </w:r>
    </w:p>
    <w:p w14:paraId="7E0DD96E" w14:textId="77777777" w:rsidR="004236C6" w:rsidRPr="00FC3B7C" w:rsidRDefault="004236C6" w:rsidP="004236C6">
      <w:pPr>
        <w:spacing w:line="5" w:lineRule="exact"/>
        <w:rPr>
          <w:sz w:val="20"/>
          <w:szCs w:val="20"/>
        </w:rPr>
      </w:pPr>
    </w:p>
    <w:p w14:paraId="745B5787" w14:textId="77777777" w:rsidR="004236C6" w:rsidRPr="00FC3B7C" w:rsidRDefault="004236C6" w:rsidP="004236C6">
      <w:pPr>
        <w:numPr>
          <w:ilvl w:val="0"/>
          <w:numId w:val="41"/>
        </w:numPr>
        <w:tabs>
          <w:tab w:val="left" w:pos="1000"/>
        </w:tabs>
        <w:ind w:left="1000" w:hanging="360"/>
        <w:rPr>
          <w:rFonts w:eastAsia="Times New Roman"/>
          <w:szCs w:val="24"/>
        </w:rPr>
      </w:pPr>
      <w:r w:rsidRPr="00FC3B7C">
        <w:rPr>
          <w:rFonts w:eastAsia="Times New Roman"/>
          <w:szCs w:val="24"/>
        </w:rPr>
        <w:t>thatcherismus (80. léta 20. století),</w:t>
      </w:r>
    </w:p>
    <w:p w14:paraId="6F39DEEF" w14:textId="77777777" w:rsidR="004236C6" w:rsidRPr="00FC3B7C" w:rsidRDefault="004236C6" w:rsidP="004236C6">
      <w:pPr>
        <w:numPr>
          <w:ilvl w:val="0"/>
          <w:numId w:val="41"/>
        </w:numPr>
        <w:tabs>
          <w:tab w:val="left" w:pos="1000"/>
        </w:tabs>
        <w:ind w:left="1000" w:hanging="360"/>
        <w:rPr>
          <w:rFonts w:eastAsia="Times New Roman"/>
          <w:szCs w:val="24"/>
        </w:rPr>
      </w:pPr>
      <w:r w:rsidRPr="00FC3B7C">
        <w:rPr>
          <w:rFonts w:eastAsia="Times New Roman"/>
          <w:szCs w:val="24"/>
        </w:rPr>
        <w:t>reaganomika (80. léta 20. století),</w:t>
      </w:r>
    </w:p>
    <w:p w14:paraId="1A2A71A2" w14:textId="77777777" w:rsidR="004236C6" w:rsidRPr="00FC3B7C" w:rsidRDefault="004236C6" w:rsidP="004236C6">
      <w:pPr>
        <w:numPr>
          <w:ilvl w:val="0"/>
          <w:numId w:val="41"/>
        </w:numPr>
        <w:tabs>
          <w:tab w:val="left" w:pos="1000"/>
        </w:tabs>
        <w:ind w:left="1000" w:hanging="360"/>
        <w:rPr>
          <w:rFonts w:eastAsia="Times New Roman"/>
          <w:szCs w:val="24"/>
        </w:rPr>
      </w:pPr>
      <w:r w:rsidRPr="00FC3B7C">
        <w:rPr>
          <w:rFonts w:eastAsia="Times New Roman"/>
          <w:szCs w:val="24"/>
        </w:rPr>
        <w:t>sociálně-tržní hospodářství (konec 40. let 20. století – s výjimkami po současnost),</w:t>
      </w:r>
    </w:p>
    <w:p w14:paraId="69562299" w14:textId="77777777" w:rsidR="004236C6" w:rsidRPr="00FC3B7C" w:rsidRDefault="004236C6" w:rsidP="004236C6">
      <w:pPr>
        <w:numPr>
          <w:ilvl w:val="0"/>
          <w:numId w:val="41"/>
        </w:numPr>
        <w:tabs>
          <w:tab w:val="left" w:pos="1000"/>
        </w:tabs>
        <w:ind w:left="1000" w:hanging="360"/>
        <w:rPr>
          <w:rFonts w:eastAsia="Times New Roman"/>
          <w:szCs w:val="24"/>
        </w:rPr>
      </w:pPr>
      <w:r w:rsidRPr="00FC3B7C">
        <w:rPr>
          <w:rFonts w:eastAsia="Times New Roman"/>
          <w:szCs w:val="24"/>
        </w:rPr>
        <w:t>rogeronomika (80. léta 20. století),</w:t>
      </w:r>
    </w:p>
    <w:p w14:paraId="287A441D" w14:textId="77777777" w:rsidR="004236C6" w:rsidRPr="00FC3B7C" w:rsidRDefault="004236C6" w:rsidP="004236C6">
      <w:pPr>
        <w:numPr>
          <w:ilvl w:val="0"/>
          <w:numId w:val="41"/>
        </w:numPr>
        <w:tabs>
          <w:tab w:val="left" w:pos="1000"/>
        </w:tabs>
        <w:ind w:left="1000" w:hanging="360"/>
        <w:rPr>
          <w:rFonts w:eastAsia="Times New Roman"/>
          <w:szCs w:val="24"/>
        </w:rPr>
      </w:pPr>
      <w:r w:rsidRPr="00FC3B7C">
        <w:rPr>
          <w:rFonts w:eastAsia="Times New Roman"/>
          <w:szCs w:val="24"/>
        </w:rPr>
        <w:t>transformační proces ČR (90. léta 20. století).</w:t>
      </w:r>
    </w:p>
    <w:p w14:paraId="7593E207" w14:textId="77777777" w:rsidR="004236C6" w:rsidRPr="00FC3B7C" w:rsidRDefault="004236C6" w:rsidP="004236C6">
      <w:pPr>
        <w:spacing w:line="390" w:lineRule="auto"/>
        <w:rPr>
          <w:sz w:val="20"/>
          <w:szCs w:val="20"/>
        </w:rPr>
      </w:pPr>
      <w:bookmarkStart w:id="68" w:name="page66"/>
      <w:bookmarkEnd w:id="68"/>
      <w:r w:rsidRPr="00FC3B7C">
        <w:rPr>
          <w:rFonts w:eastAsia="Times New Roman"/>
          <w:szCs w:val="24"/>
        </w:rPr>
        <w:t>Tato období hospodářsko-politických proměn jsou velmi důležitá pro sledování komplexnosti ekonomického systému, jeho vazbě na politickou vůli a ideologický vývoj společnosti.</w:t>
      </w:r>
    </w:p>
    <w:p w14:paraId="45530A0C" w14:textId="77777777" w:rsidR="004236C6" w:rsidRPr="002144A1" w:rsidRDefault="004236C6" w:rsidP="004236C6">
      <w:pPr>
        <w:spacing w:line="167" w:lineRule="exact"/>
        <w:rPr>
          <w:color w:val="2F5496" w:themeColor="accent1" w:themeShade="BF"/>
          <w:sz w:val="20"/>
          <w:szCs w:val="20"/>
        </w:rPr>
      </w:pPr>
    </w:p>
    <w:p w14:paraId="1DB55098" w14:textId="77777777" w:rsidR="004236C6" w:rsidRPr="002144A1" w:rsidRDefault="004236C6" w:rsidP="004236C6">
      <w:pPr>
        <w:pStyle w:val="Nadpis4"/>
        <w:rPr>
          <w:color w:val="2F5496" w:themeColor="accent1" w:themeShade="BF"/>
          <w:sz w:val="20"/>
          <w:szCs w:val="20"/>
        </w:rPr>
      </w:pPr>
      <w:r w:rsidRPr="004236C6">
        <w:rPr>
          <w:rFonts w:eastAsia="Times New Roman"/>
          <w:color w:val="1F3864" w:themeColor="accent1" w:themeShade="80"/>
        </w:rPr>
        <w:t>Charakteristika vybraných tržně-konformních koncepcí:</w:t>
      </w:r>
    </w:p>
    <w:p w14:paraId="4FE18FB7" w14:textId="77777777" w:rsidR="004236C6" w:rsidRPr="00FC3B7C" w:rsidRDefault="004236C6" w:rsidP="004236C6">
      <w:pPr>
        <w:rPr>
          <w:sz w:val="20"/>
          <w:szCs w:val="20"/>
        </w:rPr>
      </w:pPr>
      <w:r w:rsidRPr="00FC3B7C">
        <w:rPr>
          <w:rFonts w:eastAsia="Times New Roman"/>
          <w:b/>
          <w:bCs/>
          <w:szCs w:val="24"/>
        </w:rPr>
        <w:t>Thatcherismus</w:t>
      </w:r>
      <w:r>
        <w:rPr>
          <w:rStyle w:val="Znakapoznpodarou"/>
          <w:sz w:val="20"/>
          <w:szCs w:val="20"/>
        </w:rPr>
        <w:footnoteReference w:id="23"/>
      </w:r>
    </w:p>
    <w:p w14:paraId="1B5337AC" w14:textId="77777777" w:rsidR="004236C6" w:rsidRPr="00FC3B7C" w:rsidRDefault="004236C6" w:rsidP="004236C6">
      <w:pPr>
        <w:spacing w:line="85" w:lineRule="exact"/>
        <w:rPr>
          <w:sz w:val="20"/>
          <w:szCs w:val="20"/>
        </w:rPr>
      </w:pPr>
    </w:p>
    <w:p w14:paraId="628B934E" w14:textId="77777777" w:rsidR="004236C6" w:rsidRPr="00FC3B7C" w:rsidRDefault="004236C6" w:rsidP="004236C6">
      <w:pPr>
        <w:spacing w:line="362" w:lineRule="auto"/>
        <w:rPr>
          <w:sz w:val="20"/>
          <w:szCs w:val="20"/>
        </w:rPr>
      </w:pPr>
      <w:r w:rsidRPr="00FC3B7C">
        <w:rPr>
          <w:rFonts w:eastAsia="Times New Roman"/>
          <w:szCs w:val="24"/>
        </w:rPr>
        <w:t xml:space="preserve">Margaret Thatcherová se stala britskou premiérkou v roce 1979. Změny, které proběhly, jsou označovány za neokonzervativní obrat hospodářské politiky. Šlo o ustoupení </w:t>
      </w:r>
      <w:r>
        <w:rPr>
          <w:rFonts w:eastAsia="Times New Roman"/>
          <w:szCs w:val="24"/>
        </w:rPr>
        <w:br/>
      </w:r>
      <w:r w:rsidRPr="00FC3B7C">
        <w:rPr>
          <w:rFonts w:eastAsia="Times New Roman"/>
          <w:szCs w:val="24"/>
        </w:rPr>
        <w:t xml:space="preserve">od intervencionismu, který byl považován za jednu z hlavních příčin ekonomických problémů 70. let. Prioritou hospodářské politiky se stalo dosažení neinflačního vývoje prostřednictvím disciplinované monetární politiky. Přestala se používat fiskální politika ke stimulaci poptávky, cíl plné zaměstnanosti se považoval za hlavní faktor inflace. Inspirací byl monetarismus. Vláda usilovala o omezení role státu na makroekonomické i mikroekonomické úrovni. Probíhala deregulace (kvůli posílení konkurence), privatizace a snižování daní. Daňová reforma měla zvýšit stimuly k pracovní aktivitě a podnítit podnikatelskou aktivitu. Privatizace měla snížit roli státu v ekonomice a snížit výdaje státního rozpočtu, příjmy </w:t>
      </w:r>
      <w:r>
        <w:rPr>
          <w:rFonts w:eastAsia="Times New Roman"/>
          <w:szCs w:val="24"/>
        </w:rPr>
        <w:br/>
      </w:r>
      <w:r w:rsidRPr="00FC3B7C">
        <w:rPr>
          <w:rFonts w:eastAsia="Times New Roman"/>
          <w:szCs w:val="24"/>
        </w:rPr>
        <w:t xml:space="preserve">z privatizace pomohly ve snaze o snižování deficitu státního rozpočtu. Politickým důvodem privatizace byla snaha o omezení vlivu odborových svazů ve znárodněných odvětvích. Během konzervativní vlády byla omezena štědrost sociálního systému. Cenou za zkrocení inflace </w:t>
      </w:r>
      <w:r>
        <w:rPr>
          <w:rFonts w:eastAsia="Times New Roman"/>
          <w:szCs w:val="24"/>
        </w:rPr>
        <w:br/>
      </w:r>
      <w:r w:rsidRPr="00FC3B7C">
        <w:rPr>
          <w:rFonts w:eastAsia="Times New Roman"/>
          <w:szCs w:val="24"/>
        </w:rPr>
        <w:t xml:space="preserve">a zvýšení produktivity práce byla vysoká nezaměstnanost. Na přelomu 80. a 90. let došlo </w:t>
      </w:r>
      <w:r>
        <w:rPr>
          <w:rFonts w:eastAsia="Times New Roman"/>
          <w:szCs w:val="24"/>
        </w:rPr>
        <w:br/>
      </w:r>
      <w:r w:rsidRPr="00FC3B7C">
        <w:rPr>
          <w:rFonts w:eastAsia="Times New Roman"/>
          <w:szCs w:val="24"/>
        </w:rPr>
        <w:t xml:space="preserve">k prohloubení makroekonomické nerovnováhy. Obtížná kontrola peněžní nabídky a peněžní </w:t>
      </w:r>
      <w:r w:rsidRPr="00FC3B7C">
        <w:rPr>
          <w:rFonts w:eastAsia="Times New Roman"/>
          <w:szCs w:val="24"/>
        </w:rPr>
        <w:lastRenderedPageBreak/>
        <w:t xml:space="preserve">expanze vedla ke zvyšování míry inflace, zároveň se zhoršoval stav státního rozpočtu </w:t>
      </w:r>
      <w:r>
        <w:rPr>
          <w:rFonts w:eastAsia="Times New Roman"/>
          <w:szCs w:val="24"/>
        </w:rPr>
        <w:br/>
      </w:r>
      <w:r w:rsidRPr="00FC3B7C">
        <w:rPr>
          <w:rFonts w:eastAsia="Times New Roman"/>
          <w:szCs w:val="24"/>
        </w:rPr>
        <w:t>a běžného účtu platební bilance. Nutné restriktivní zásahy vyvolaly recesi a nárůst nezaměstnanosti. V roce 1990 musela Thatcherová na nátlak opozice rezignovat.</w:t>
      </w:r>
    </w:p>
    <w:p w14:paraId="1F9EFEAA" w14:textId="77777777" w:rsidR="004236C6" w:rsidRDefault="004236C6" w:rsidP="004236C6">
      <w:pPr>
        <w:rPr>
          <w:rFonts w:eastAsia="Times New Roman"/>
          <w:b/>
          <w:bCs/>
          <w:szCs w:val="24"/>
        </w:rPr>
      </w:pPr>
    </w:p>
    <w:p w14:paraId="319C85BE" w14:textId="77777777" w:rsidR="004236C6" w:rsidRPr="00FC3B7C" w:rsidRDefault="004236C6" w:rsidP="004236C6">
      <w:pPr>
        <w:rPr>
          <w:sz w:val="20"/>
          <w:szCs w:val="20"/>
        </w:rPr>
      </w:pPr>
      <w:r w:rsidRPr="00FC3B7C">
        <w:rPr>
          <w:rFonts w:eastAsia="Times New Roman"/>
          <w:b/>
          <w:bCs/>
          <w:szCs w:val="24"/>
        </w:rPr>
        <w:t>Reaganomika (80. léta 20. století)</w:t>
      </w:r>
    </w:p>
    <w:p w14:paraId="5CC39686" w14:textId="7759DA29" w:rsidR="004236C6" w:rsidRPr="00FC3B7C" w:rsidRDefault="004236C6" w:rsidP="004236C6">
      <w:pPr>
        <w:spacing w:line="398" w:lineRule="auto"/>
        <w:rPr>
          <w:sz w:val="20"/>
          <w:szCs w:val="20"/>
        </w:rPr>
      </w:pPr>
      <w:r w:rsidRPr="00FC3B7C">
        <w:rPr>
          <w:rFonts w:eastAsia="Times New Roman"/>
          <w:sz w:val="23"/>
          <w:szCs w:val="23"/>
        </w:rPr>
        <w:t xml:space="preserve">Jedná se o konzervativní obrat v hospodářské politice po zvolení R. Reagana prezidentem v USA. Podstata obratu </w:t>
      </w:r>
      <w:r w:rsidRPr="00FC3B7C">
        <w:rPr>
          <w:rFonts w:eastAsia="Times New Roman"/>
          <w:b/>
          <w:bCs/>
          <w:sz w:val="23"/>
          <w:szCs w:val="23"/>
        </w:rPr>
        <w:t>spočívá v odklonu od keynesiánské poptávkově</w:t>
      </w:r>
      <w:r w:rsidRPr="00FC3B7C">
        <w:rPr>
          <w:rFonts w:eastAsia="Times New Roman"/>
          <w:sz w:val="23"/>
          <w:szCs w:val="23"/>
        </w:rPr>
        <w:t xml:space="preserve"> </w:t>
      </w:r>
      <w:r w:rsidRPr="00FC3B7C">
        <w:rPr>
          <w:rFonts w:eastAsia="Times New Roman"/>
          <w:b/>
          <w:bCs/>
          <w:sz w:val="23"/>
          <w:szCs w:val="23"/>
        </w:rPr>
        <w:t>orientované politiky</w:t>
      </w:r>
      <w:r w:rsidRPr="00FC3B7C">
        <w:rPr>
          <w:rFonts w:eastAsia="Times New Roman"/>
          <w:sz w:val="23"/>
          <w:szCs w:val="23"/>
        </w:rPr>
        <w:t xml:space="preserve"> a návratu k liberálnímu pojetí. K tomuto došlo jako k následku hospodářských problémů v 70.</w:t>
      </w:r>
      <w:bookmarkStart w:id="69" w:name="page67"/>
      <w:bookmarkEnd w:id="69"/>
      <w:r>
        <w:rPr>
          <w:rFonts w:eastAsia="Times New Roman"/>
          <w:sz w:val="23"/>
          <w:szCs w:val="23"/>
        </w:rPr>
        <w:t xml:space="preserve"> </w:t>
      </w:r>
      <w:r w:rsidRPr="00FC3B7C">
        <w:rPr>
          <w:rFonts w:eastAsia="Times New Roman"/>
          <w:szCs w:val="24"/>
        </w:rPr>
        <w:t xml:space="preserve">letech způsobených výraznou stagflací a inflační spirálou, na kterou nebylo z keynesiánské teorie léku (restriktivní politika brzdila růst a zvyšovala nezaměstnanost, expanzivní zvyšovala inflaci). Dalším faktorem bylo ukončení brettonwoodského měnového systému a počátek pohyblivých měnových kurzů. Nejdůležitější změny v hospodářské politice byly zakotveny </w:t>
      </w:r>
      <w:r>
        <w:rPr>
          <w:rFonts w:eastAsia="Times New Roman"/>
          <w:szCs w:val="24"/>
        </w:rPr>
        <w:br/>
      </w:r>
      <w:r w:rsidRPr="00FC3B7C">
        <w:rPr>
          <w:rFonts w:eastAsia="Times New Roman"/>
          <w:szCs w:val="24"/>
        </w:rPr>
        <w:t xml:space="preserve">v Reaganově programovém dokumentu „Nový začátek Ameriky: program hospodářského ozdravění.“ Z tohoto citace: </w:t>
      </w:r>
      <w:r w:rsidRPr="00FC3B7C">
        <w:rPr>
          <w:rFonts w:eastAsia="Times New Roman"/>
          <w:i/>
          <w:iCs/>
          <w:szCs w:val="24"/>
        </w:rPr>
        <w:t>„Nejdůležitější příčinou našich hospodářských potíží byla samotná</w:t>
      </w:r>
      <w:r w:rsidRPr="00FC3B7C">
        <w:rPr>
          <w:rFonts w:eastAsia="Times New Roman"/>
          <w:szCs w:val="24"/>
        </w:rPr>
        <w:t xml:space="preserve"> </w:t>
      </w:r>
      <w:r w:rsidRPr="00FC3B7C">
        <w:rPr>
          <w:rFonts w:eastAsia="Times New Roman"/>
          <w:i/>
          <w:iCs/>
          <w:szCs w:val="24"/>
        </w:rPr>
        <w:t xml:space="preserve">vláda. Federální vláda, prostřednictvím daňové, výdajové, regulační a peněžní politiky obětovala dlouhodobý růst a cenovou stabilitu krátkodobým cílům. Zvláště nadměrné vládní výdaje a příliš přizpůsobivá peněžní politika vytvořila klima přetrvávající inflace...vysoké mezní daňové sazby pro podnikatele a jednotlivce jsou antistimulem pro práci, inovace a </w:t>
      </w:r>
      <w:r w:rsidR="003376E1" w:rsidRPr="00FC3B7C">
        <w:rPr>
          <w:rFonts w:eastAsia="Times New Roman"/>
          <w:i/>
          <w:iCs/>
          <w:szCs w:val="24"/>
        </w:rPr>
        <w:t>investice…“</w:t>
      </w:r>
    </w:p>
    <w:p w14:paraId="56727DFA" w14:textId="77777777" w:rsidR="004236C6" w:rsidRPr="00FC3B7C" w:rsidRDefault="004236C6" w:rsidP="004236C6">
      <w:pPr>
        <w:spacing w:line="6" w:lineRule="exact"/>
        <w:rPr>
          <w:sz w:val="20"/>
          <w:szCs w:val="20"/>
        </w:rPr>
      </w:pPr>
    </w:p>
    <w:p w14:paraId="0157BDDC" w14:textId="77777777" w:rsidR="004236C6" w:rsidRPr="00FC3B7C" w:rsidRDefault="004236C6" w:rsidP="004236C6">
      <w:pPr>
        <w:rPr>
          <w:sz w:val="20"/>
          <w:szCs w:val="20"/>
        </w:rPr>
      </w:pPr>
      <w:r w:rsidRPr="00FC3B7C">
        <w:rPr>
          <w:rFonts w:eastAsia="Times New Roman"/>
          <w:szCs w:val="24"/>
        </w:rPr>
        <w:t>Praktické kroky, které navazovaly na tento dokument, byly zejména:</w:t>
      </w:r>
    </w:p>
    <w:p w14:paraId="1E1B52D4" w14:textId="77777777" w:rsidR="004236C6" w:rsidRPr="00FC3B7C" w:rsidRDefault="004236C6" w:rsidP="004236C6">
      <w:pPr>
        <w:numPr>
          <w:ilvl w:val="0"/>
          <w:numId w:val="42"/>
        </w:numPr>
        <w:tabs>
          <w:tab w:val="left" w:pos="1000"/>
        </w:tabs>
        <w:ind w:left="1000" w:hanging="360"/>
        <w:rPr>
          <w:rFonts w:eastAsia="Times New Roman"/>
          <w:szCs w:val="24"/>
        </w:rPr>
      </w:pPr>
      <w:r w:rsidRPr="00FC3B7C">
        <w:rPr>
          <w:rFonts w:eastAsia="Times New Roman"/>
          <w:szCs w:val="24"/>
        </w:rPr>
        <w:t>podstatné snížení růstu federálních výdajů,</w:t>
      </w:r>
    </w:p>
    <w:p w14:paraId="19454172" w14:textId="77777777" w:rsidR="004236C6" w:rsidRPr="00FC3B7C" w:rsidRDefault="004236C6" w:rsidP="004236C6">
      <w:pPr>
        <w:numPr>
          <w:ilvl w:val="0"/>
          <w:numId w:val="42"/>
        </w:numPr>
        <w:tabs>
          <w:tab w:val="left" w:pos="1000"/>
        </w:tabs>
        <w:ind w:left="1000" w:hanging="360"/>
        <w:rPr>
          <w:rFonts w:eastAsia="Times New Roman"/>
          <w:sz w:val="23"/>
          <w:szCs w:val="23"/>
        </w:rPr>
      </w:pPr>
      <w:r w:rsidRPr="00FC3B7C">
        <w:rPr>
          <w:rFonts w:eastAsia="Times New Roman"/>
          <w:sz w:val="23"/>
          <w:szCs w:val="23"/>
        </w:rPr>
        <w:t>výrazné snížení federálních daňových sazeb (z 50 % (!!!) na 28% u fyzických osob),</w:t>
      </w:r>
    </w:p>
    <w:p w14:paraId="10EC7AC3" w14:textId="77777777" w:rsidR="004236C6" w:rsidRPr="00FC3B7C" w:rsidRDefault="004236C6" w:rsidP="004236C6">
      <w:pPr>
        <w:numPr>
          <w:ilvl w:val="0"/>
          <w:numId w:val="42"/>
        </w:numPr>
        <w:tabs>
          <w:tab w:val="left" w:pos="1000"/>
        </w:tabs>
        <w:ind w:left="1000" w:hanging="360"/>
        <w:rPr>
          <w:rFonts w:eastAsia="Times New Roman"/>
          <w:szCs w:val="24"/>
        </w:rPr>
      </w:pPr>
      <w:r w:rsidRPr="00FC3B7C">
        <w:rPr>
          <w:rFonts w:eastAsia="Times New Roman"/>
          <w:szCs w:val="24"/>
        </w:rPr>
        <w:t>uvolnění federálních regulačních opatření,</w:t>
      </w:r>
    </w:p>
    <w:p w14:paraId="5B2E397B" w14:textId="77777777" w:rsidR="004236C6" w:rsidRDefault="004236C6" w:rsidP="004236C6">
      <w:pPr>
        <w:numPr>
          <w:ilvl w:val="0"/>
          <w:numId w:val="42"/>
        </w:numPr>
        <w:tabs>
          <w:tab w:val="left" w:pos="1000"/>
        </w:tabs>
        <w:ind w:left="1000" w:hanging="360"/>
        <w:rPr>
          <w:rFonts w:eastAsia="Times New Roman"/>
          <w:szCs w:val="24"/>
        </w:rPr>
      </w:pPr>
      <w:r w:rsidRPr="00FC3B7C">
        <w:rPr>
          <w:rFonts w:eastAsia="Times New Roman"/>
          <w:szCs w:val="24"/>
        </w:rPr>
        <w:t>sledování peněžní politiky a její konzistence s kroky a), b), c).</w:t>
      </w:r>
    </w:p>
    <w:p w14:paraId="17601371" w14:textId="77777777" w:rsidR="004236C6" w:rsidRPr="00FC3B7C" w:rsidRDefault="004236C6" w:rsidP="004236C6">
      <w:pPr>
        <w:tabs>
          <w:tab w:val="left" w:pos="1000"/>
        </w:tabs>
        <w:ind w:left="1000"/>
        <w:rPr>
          <w:rFonts w:eastAsia="Times New Roman"/>
          <w:szCs w:val="24"/>
        </w:rPr>
      </w:pPr>
    </w:p>
    <w:p w14:paraId="5BD6997C" w14:textId="77777777" w:rsidR="004236C6" w:rsidRPr="00FC3B7C" w:rsidRDefault="004236C6" w:rsidP="004236C6">
      <w:pPr>
        <w:spacing w:line="358" w:lineRule="auto"/>
        <w:rPr>
          <w:sz w:val="20"/>
          <w:szCs w:val="20"/>
        </w:rPr>
      </w:pPr>
      <w:r w:rsidRPr="00FC3B7C">
        <w:rPr>
          <w:rFonts w:eastAsia="Times New Roman"/>
          <w:szCs w:val="24"/>
        </w:rPr>
        <w:t>Z výčtu kroků jasně vyplývá odklon od strategie stimulace agregátní poptávky, která byla součástí teorií keynesiánství. Pro pochopení radikální proměny hospodářské politiky následuje několik faktorů, na něž byl kladen důraz:</w:t>
      </w:r>
    </w:p>
    <w:p w14:paraId="52CB162B" w14:textId="77777777" w:rsidR="004236C6" w:rsidRPr="00FC3B7C" w:rsidRDefault="004236C6" w:rsidP="004236C6">
      <w:pPr>
        <w:spacing w:line="3" w:lineRule="exact"/>
        <w:rPr>
          <w:sz w:val="20"/>
          <w:szCs w:val="20"/>
        </w:rPr>
      </w:pPr>
    </w:p>
    <w:p w14:paraId="541E4D95" w14:textId="77777777" w:rsidR="004236C6" w:rsidRPr="00FC3B7C" w:rsidRDefault="004236C6" w:rsidP="004236C6">
      <w:pPr>
        <w:numPr>
          <w:ilvl w:val="0"/>
          <w:numId w:val="43"/>
        </w:numPr>
        <w:tabs>
          <w:tab w:val="left" w:pos="1000"/>
        </w:tabs>
        <w:ind w:left="1000" w:hanging="360"/>
        <w:rPr>
          <w:rFonts w:eastAsia="Times New Roman"/>
          <w:szCs w:val="24"/>
        </w:rPr>
      </w:pPr>
      <w:r w:rsidRPr="00FC3B7C">
        <w:rPr>
          <w:rFonts w:eastAsia="Times New Roman"/>
          <w:szCs w:val="24"/>
        </w:rPr>
        <w:t>podněcování ekonomických subjektů a jejich motivace k práci,</w:t>
      </w:r>
    </w:p>
    <w:p w14:paraId="29931E6E" w14:textId="77777777" w:rsidR="004236C6" w:rsidRPr="00FC3B7C" w:rsidRDefault="004236C6" w:rsidP="004236C6">
      <w:pPr>
        <w:numPr>
          <w:ilvl w:val="0"/>
          <w:numId w:val="43"/>
        </w:numPr>
        <w:tabs>
          <w:tab w:val="left" w:pos="1000"/>
        </w:tabs>
        <w:ind w:left="1000" w:hanging="360"/>
        <w:rPr>
          <w:rFonts w:eastAsia="Times New Roman"/>
          <w:szCs w:val="24"/>
        </w:rPr>
      </w:pPr>
      <w:r w:rsidRPr="00FC3B7C">
        <w:rPr>
          <w:rFonts w:eastAsia="Times New Roman"/>
          <w:szCs w:val="24"/>
        </w:rPr>
        <w:t>orientace na nabídkovou stranu ekonomiky a důraz na mikroekonomii,</w:t>
      </w:r>
    </w:p>
    <w:p w14:paraId="0C031883" w14:textId="77777777" w:rsidR="004236C6" w:rsidRPr="00FC3B7C" w:rsidRDefault="004236C6" w:rsidP="004236C6">
      <w:pPr>
        <w:numPr>
          <w:ilvl w:val="0"/>
          <w:numId w:val="43"/>
        </w:numPr>
        <w:tabs>
          <w:tab w:val="left" w:pos="1000"/>
        </w:tabs>
        <w:ind w:left="1000" w:hanging="360"/>
        <w:rPr>
          <w:rFonts w:eastAsia="Times New Roman"/>
          <w:szCs w:val="24"/>
        </w:rPr>
      </w:pPr>
      <w:r w:rsidRPr="00FC3B7C">
        <w:rPr>
          <w:rFonts w:eastAsia="Times New Roman"/>
          <w:szCs w:val="24"/>
        </w:rPr>
        <w:t>potlačování nadměrného rozsahu státních zásahů (snaha o „stát s malou vládou“).</w:t>
      </w:r>
    </w:p>
    <w:p w14:paraId="6DD0160E" w14:textId="77777777" w:rsidR="004236C6" w:rsidRPr="00FC3B7C" w:rsidRDefault="004236C6" w:rsidP="004236C6">
      <w:pPr>
        <w:sectPr w:rsidR="004236C6" w:rsidRPr="00FC3B7C">
          <w:pgSz w:w="11900" w:h="16840"/>
          <w:pgMar w:top="1397" w:right="1420" w:bottom="1440" w:left="1420" w:header="0" w:footer="0" w:gutter="0"/>
          <w:cols w:space="708" w:equalWidth="0">
            <w:col w:w="9060"/>
          </w:cols>
        </w:sectPr>
      </w:pPr>
    </w:p>
    <w:p w14:paraId="62EB0754" w14:textId="77777777" w:rsidR="004236C6" w:rsidRPr="00FC3B7C" w:rsidRDefault="004236C6" w:rsidP="004236C6">
      <w:pPr>
        <w:ind w:left="4"/>
        <w:rPr>
          <w:sz w:val="20"/>
          <w:szCs w:val="20"/>
        </w:rPr>
      </w:pPr>
      <w:bookmarkStart w:id="70" w:name="page68"/>
      <w:bookmarkEnd w:id="70"/>
      <w:r w:rsidRPr="00FC3B7C">
        <w:rPr>
          <w:rFonts w:eastAsia="Times New Roman"/>
          <w:b/>
          <w:bCs/>
          <w:szCs w:val="24"/>
        </w:rPr>
        <w:lastRenderedPageBreak/>
        <w:t>Zhodnocení Reaganova období:</w:t>
      </w:r>
    </w:p>
    <w:p w14:paraId="6D84FF40" w14:textId="77777777" w:rsidR="004236C6" w:rsidRDefault="004236C6" w:rsidP="004236C6">
      <w:pPr>
        <w:rPr>
          <w:rFonts w:eastAsia="Times New Roman"/>
        </w:rPr>
      </w:pPr>
      <w:r w:rsidRPr="00FC3B7C">
        <w:rPr>
          <w:rFonts w:eastAsia="Times New Roman"/>
        </w:rPr>
        <w:t>Realizace zjednodušení a snížení daní vedla k efektivnějšímu daňovému systému. Snížení míry inflace a rozsáhlá deregulace vedly k pozitivním výsledkům ekonomiky USA. Výrazným problémem ovšem zůstávala nemožnost snížení federálních výdajů z politických důvodů a výrazná proměna americké ekonomiky z všeobecného věřitele na dlužníka – rozsáhlý deficit platební bilance.</w:t>
      </w:r>
    </w:p>
    <w:p w14:paraId="22411D02" w14:textId="77777777" w:rsidR="004236C6" w:rsidRPr="00B329A2" w:rsidRDefault="004236C6" w:rsidP="004236C6">
      <w:pPr>
        <w:rPr>
          <w:sz w:val="6"/>
          <w:szCs w:val="6"/>
        </w:rPr>
      </w:pPr>
    </w:p>
    <w:p w14:paraId="370298CA" w14:textId="77777777" w:rsidR="004236C6" w:rsidRPr="00FC3B7C" w:rsidRDefault="004236C6" w:rsidP="004236C6">
      <w:pPr>
        <w:spacing w:line="4" w:lineRule="exact"/>
        <w:rPr>
          <w:sz w:val="20"/>
          <w:szCs w:val="20"/>
        </w:rPr>
      </w:pPr>
    </w:p>
    <w:p w14:paraId="79AC46A9" w14:textId="77777777" w:rsidR="004236C6" w:rsidRPr="00FC3B7C" w:rsidRDefault="004236C6" w:rsidP="004236C6">
      <w:pPr>
        <w:ind w:left="4"/>
        <w:rPr>
          <w:sz w:val="20"/>
          <w:szCs w:val="20"/>
        </w:rPr>
      </w:pPr>
      <w:r w:rsidRPr="00FC3B7C">
        <w:rPr>
          <w:rFonts w:eastAsia="Times New Roman"/>
          <w:b/>
          <w:bCs/>
          <w:szCs w:val="24"/>
        </w:rPr>
        <w:t>Sociálně tržní hospodářství Německa</w:t>
      </w:r>
    </w:p>
    <w:p w14:paraId="611FB3F5" w14:textId="77777777" w:rsidR="004236C6" w:rsidRPr="00FC3B7C" w:rsidRDefault="004236C6" w:rsidP="004236C6">
      <w:pPr>
        <w:rPr>
          <w:sz w:val="20"/>
          <w:szCs w:val="20"/>
        </w:rPr>
      </w:pPr>
      <w:r w:rsidRPr="00FC3B7C">
        <w:rPr>
          <w:rFonts w:eastAsia="Times New Roman"/>
        </w:rPr>
        <w:t xml:space="preserve">Tento koncept hospodářské politiky vznikl jako produkt ordoliberalismu – myšlenkového směru, který byl následkem vnitřního kulturně-historického ideového vývoje, kombinace tradičních sociálně-solidárních myšlenek (návaznost na Bismarckovy reformy) a teoretické základny tržního hospodářství W. Euckena a dalších). Hlavním strůjcem ekonomické revoluce v poválečném Německu byl Ludwig Erhard, profesor univerzity v Mnichově. </w:t>
      </w:r>
      <w:r>
        <w:rPr>
          <w:rFonts w:eastAsia="Times New Roman"/>
        </w:rPr>
        <w:br/>
      </w:r>
      <w:r w:rsidRPr="00FC3B7C">
        <w:rPr>
          <w:rFonts w:eastAsia="Times New Roman"/>
        </w:rPr>
        <w:t>Po 2. světové válce čelilo Německo výrazným problémům s obrovskou inflací, institucionální absencí a tlakem mnoha evropských států na drastická proti-průmyslová opatření (ze strachu opětovného vzniku diktátorského režimu). Hlavními faktory, které bylo třeba transformovat, byly např.:</w:t>
      </w:r>
    </w:p>
    <w:p w14:paraId="1847B3DE" w14:textId="77777777" w:rsidR="004236C6" w:rsidRPr="00FC3B7C" w:rsidRDefault="004236C6" w:rsidP="004236C6">
      <w:pPr>
        <w:spacing w:line="6" w:lineRule="exact"/>
        <w:rPr>
          <w:sz w:val="20"/>
          <w:szCs w:val="20"/>
        </w:rPr>
      </w:pPr>
    </w:p>
    <w:p w14:paraId="11CC1AC7" w14:textId="77777777" w:rsidR="004236C6" w:rsidRPr="00FC3B7C" w:rsidRDefault="004236C6" w:rsidP="004236C6">
      <w:pPr>
        <w:numPr>
          <w:ilvl w:val="0"/>
          <w:numId w:val="44"/>
        </w:numPr>
        <w:tabs>
          <w:tab w:val="left" w:pos="1004"/>
        </w:tabs>
        <w:ind w:left="1004" w:hanging="360"/>
        <w:rPr>
          <w:rFonts w:eastAsia="Times New Roman"/>
          <w:sz w:val="23"/>
          <w:szCs w:val="23"/>
        </w:rPr>
      </w:pPr>
      <w:r w:rsidRPr="00FC3B7C">
        <w:rPr>
          <w:rFonts w:eastAsia="Times New Roman"/>
          <w:sz w:val="23"/>
          <w:szCs w:val="23"/>
        </w:rPr>
        <w:t>nucená kartelizace (syndikátní skupiny podniků – absence konkurenčního prostředí),</w:t>
      </w:r>
    </w:p>
    <w:p w14:paraId="5E2BF093" w14:textId="77777777" w:rsidR="004236C6" w:rsidRPr="00FC3B7C" w:rsidRDefault="004236C6" w:rsidP="004236C6">
      <w:pPr>
        <w:numPr>
          <w:ilvl w:val="0"/>
          <w:numId w:val="44"/>
        </w:numPr>
        <w:tabs>
          <w:tab w:val="left" w:pos="1004"/>
        </w:tabs>
        <w:ind w:left="1004" w:hanging="360"/>
        <w:rPr>
          <w:rFonts w:eastAsia="Times New Roman"/>
          <w:sz w:val="23"/>
          <w:szCs w:val="23"/>
        </w:rPr>
      </w:pPr>
      <w:r w:rsidRPr="00FC3B7C">
        <w:rPr>
          <w:rFonts w:eastAsia="Times New Roman"/>
          <w:sz w:val="23"/>
          <w:szCs w:val="23"/>
        </w:rPr>
        <w:t>zmrazení mezd a cen (absence informační funkce ceny pro efektivní alokaci zdrojů),</w:t>
      </w:r>
    </w:p>
    <w:p w14:paraId="56B91EA7" w14:textId="77777777" w:rsidR="004236C6" w:rsidRPr="00FC3B7C" w:rsidRDefault="004236C6" w:rsidP="004236C6">
      <w:pPr>
        <w:numPr>
          <w:ilvl w:val="0"/>
          <w:numId w:val="44"/>
        </w:numPr>
        <w:tabs>
          <w:tab w:val="left" w:pos="1004"/>
        </w:tabs>
        <w:ind w:left="1004" w:hanging="360"/>
        <w:rPr>
          <w:rFonts w:eastAsia="Times New Roman"/>
          <w:szCs w:val="24"/>
        </w:rPr>
      </w:pPr>
      <w:r w:rsidRPr="00FC3B7C">
        <w:rPr>
          <w:rFonts w:eastAsia="Times New Roman"/>
          <w:szCs w:val="24"/>
        </w:rPr>
        <w:t>přídělové hospodářství,</w:t>
      </w:r>
    </w:p>
    <w:p w14:paraId="16D9D20C" w14:textId="77777777" w:rsidR="004236C6" w:rsidRPr="00FC3B7C" w:rsidRDefault="004236C6" w:rsidP="004236C6">
      <w:pPr>
        <w:numPr>
          <w:ilvl w:val="0"/>
          <w:numId w:val="44"/>
        </w:numPr>
        <w:tabs>
          <w:tab w:val="left" w:pos="1004"/>
        </w:tabs>
        <w:ind w:left="1004" w:hanging="360"/>
        <w:rPr>
          <w:rFonts w:eastAsia="Times New Roman"/>
          <w:szCs w:val="24"/>
        </w:rPr>
      </w:pPr>
      <w:r w:rsidRPr="00FC3B7C">
        <w:rPr>
          <w:rFonts w:eastAsia="Times New Roman"/>
          <w:szCs w:val="24"/>
        </w:rPr>
        <w:t>pozůstatek velmi expanzivní fiskální politiky (veřejné práce na stavbách atd.),</w:t>
      </w:r>
    </w:p>
    <w:p w14:paraId="3D5BE6FC" w14:textId="77777777" w:rsidR="004236C6" w:rsidRPr="00FC3B7C" w:rsidRDefault="004236C6" w:rsidP="004236C6">
      <w:pPr>
        <w:numPr>
          <w:ilvl w:val="0"/>
          <w:numId w:val="44"/>
        </w:numPr>
        <w:tabs>
          <w:tab w:val="left" w:pos="1004"/>
        </w:tabs>
        <w:ind w:left="1004" w:hanging="360"/>
        <w:rPr>
          <w:rFonts w:eastAsia="Times New Roman"/>
          <w:szCs w:val="24"/>
        </w:rPr>
      </w:pPr>
      <w:r w:rsidRPr="00FC3B7C">
        <w:rPr>
          <w:rFonts w:eastAsia="Times New Roman"/>
          <w:szCs w:val="24"/>
        </w:rPr>
        <w:t>pouhé formální vlastnické právo (nemožnost flexibilně směňovat vlast. práva).</w:t>
      </w:r>
    </w:p>
    <w:p w14:paraId="09B9161C" w14:textId="77777777" w:rsidR="004236C6" w:rsidRPr="00FC3B7C" w:rsidRDefault="004236C6" w:rsidP="004236C6">
      <w:pPr>
        <w:spacing w:line="376" w:lineRule="auto"/>
        <w:ind w:left="4"/>
        <w:rPr>
          <w:sz w:val="20"/>
          <w:szCs w:val="20"/>
        </w:rPr>
      </w:pPr>
      <w:r w:rsidRPr="00FC3B7C">
        <w:rPr>
          <w:rFonts w:eastAsia="Times New Roman"/>
          <w:sz w:val="23"/>
          <w:szCs w:val="23"/>
        </w:rPr>
        <w:t>Budoucí směřování ekonomiky po měnové reformě v r. 1948 bylo založeno na dvou pohledech, které navazovaly na plán poválečné obnovy (v souladu s využitím nabídky USA k přistoupení</w:t>
      </w:r>
    </w:p>
    <w:p w14:paraId="1C91EB5E" w14:textId="77777777" w:rsidR="004236C6" w:rsidRPr="00FC3B7C" w:rsidRDefault="004236C6" w:rsidP="004236C6">
      <w:pPr>
        <w:spacing w:line="2" w:lineRule="exact"/>
        <w:rPr>
          <w:sz w:val="20"/>
          <w:szCs w:val="20"/>
        </w:rPr>
      </w:pPr>
    </w:p>
    <w:p w14:paraId="24FF3BA8" w14:textId="77777777" w:rsidR="004236C6" w:rsidRPr="00FC3B7C" w:rsidRDefault="004236C6" w:rsidP="004236C6">
      <w:pPr>
        <w:numPr>
          <w:ilvl w:val="0"/>
          <w:numId w:val="45"/>
        </w:numPr>
        <w:tabs>
          <w:tab w:val="left" w:pos="184"/>
        </w:tabs>
        <w:ind w:left="184" w:hanging="184"/>
        <w:rPr>
          <w:rFonts w:eastAsia="Times New Roman"/>
          <w:szCs w:val="24"/>
        </w:rPr>
      </w:pPr>
      <w:r w:rsidRPr="00FC3B7C">
        <w:rPr>
          <w:rFonts w:eastAsia="Times New Roman"/>
          <w:szCs w:val="24"/>
        </w:rPr>
        <w:t>Marshallově plánu):</w:t>
      </w:r>
    </w:p>
    <w:p w14:paraId="6EA072F2" w14:textId="77777777" w:rsidR="004236C6" w:rsidRPr="00FC3B7C" w:rsidRDefault="004236C6" w:rsidP="004236C6">
      <w:pPr>
        <w:numPr>
          <w:ilvl w:val="1"/>
          <w:numId w:val="45"/>
        </w:numPr>
        <w:tabs>
          <w:tab w:val="left" w:pos="1064"/>
        </w:tabs>
        <w:ind w:left="1064" w:hanging="353"/>
        <w:rPr>
          <w:rFonts w:eastAsia="Times New Roman"/>
          <w:szCs w:val="24"/>
        </w:rPr>
      </w:pPr>
      <w:r w:rsidRPr="00FC3B7C">
        <w:rPr>
          <w:rFonts w:eastAsia="Times New Roman"/>
          <w:szCs w:val="24"/>
        </w:rPr>
        <w:t>zachovat plánované hospodářství a přídělový systém a postupně od něj ustupovat, udržet zestátněný průmysl (měl rozsáhlou skupinu zastánců, ale nebyl uskutečněn),</w:t>
      </w:r>
    </w:p>
    <w:p w14:paraId="1C66A2BB" w14:textId="77777777" w:rsidR="004236C6" w:rsidRPr="00B329A2" w:rsidRDefault="004236C6" w:rsidP="004236C6">
      <w:pPr>
        <w:numPr>
          <w:ilvl w:val="1"/>
          <w:numId w:val="45"/>
        </w:numPr>
        <w:tabs>
          <w:tab w:val="left" w:pos="1064"/>
        </w:tabs>
        <w:ind w:left="1064" w:hanging="353"/>
        <w:rPr>
          <w:rFonts w:eastAsia="Times New Roman"/>
          <w:szCs w:val="24"/>
        </w:rPr>
      </w:pPr>
      <w:r w:rsidRPr="00FC3B7C">
        <w:rPr>
          <w:rFonts w:eastAsia="Times New Roman"/>
          <w:b/>
          <w:bCs/>
          <w:szCs w:val="24"/>
        </w:rPr>
        <w:t xml:space="preserve">spojení měnové reformy s okamžitým přechodem z centrálně-řízené ekonomiky k plnokrevnému státu tržního hospodářství bez regulujících státních zásahů, s otevřeným mezinárodním obchodem a zároveň státu </w:t>
      </w:r>
      <w:r>
        <w:rPr>
          <w:rFonts w:eastAsia="Times New Roman"/>
          <w:b/>
          <w:bCs/>
          <w:szCs w:val="24"/>
        </w:rPr>
        <w:br/>
      </w:r>
      <w:r w:rsidRPr="00FC3B7C">
        <w:rPr>
          <w:rFonts w:eastAsia="Times New Roman"/>
          <w:b/>
          <w:bCs/>
          <w:szCs w:val="24"/>
        </w:rPr>
        <w:t xml:space="preserve">s důraznou sociální politikou </w:t>
      </w:r>
      <w:r w:rsidRPr="00FC3B7C">
        <w:rPr>
          <w:rFonts w:eastAsia="Times New Roman"/>
          <w:szCs w:val="24"/>
        </w:rPr>
        <w:t>(což</w:t>
      </w:r>
      <w:r w:rsidRPr="00FC3B7C">
        <w:rPr>
          <w:rFonts w:eastAsia="Times New Roman"/>
          <w:b/>
          <w:bCs/>
          <w:szCs w:val="24"/>
        </w:rPr>
        <w:t xml:space="preserve"> </w:t>
      </w:r>
      <w:r w:rsidRPr="00FC3B7C">
        <w:rPr>
          <w:rFonts w:eastAsia="Times New Roman"/>
          <w:szCs w:val="24"/>
        </w:rPr>
        <w:t>mělo reálný</w:t>
      </w:r>
      <w:r w:rsidRPr="00FC3B7C">
        <w:rPr>
          <w:rFonts w:eastAsia="Times New Roman"/>
          <w:b/>
          <w:bCs/>
          <w:szCs w:val="24"/>
        </w:rPr>
        <w:t xml:space="preserve"> </w:t>
      </w:r>
      <w:r w:rsidRPr="00FC3B7C">
        <w:rPr>
          <w:rFonts w:eastAsia="Times New Roman"/>
          <w:szCs w:val="24"/>
        </w:rPr>
        <w:t>efekt na zachování několika prvků</w:t>
      </w:r>
      <w:r w:rsidRPr="00FC3B7C">
        <w:rPr>
          <w:rFonts w:eastAsia="Times New Roman"/>
          <w:b/>
          <w:bCs/>
          <w:szCs w:val="24"/>
        </w:rPr>
        <w:t xml:space="preserve"> </w:t>
      </w:r>
      <w:r w:rsidRPr="00FC3B7C">
        <w:rPr>
          <w:rFonts w:eastAsia="Times New Roman"/>
          <w:szCs w:val="24"/>
        </w:rPr>
        <w:t>původního systému – přídělový systém základních potravin a energie, regulovaná</w:t>
      </w:r>
      <w:bookmarkStart w:id="71" w:name="page69"/>
      <w:bookmarkEnd w:id="71"/>
      <w:r>
        <w:rPr>
          <w:rFonts w:eastAsia="Times New Roman"/>
          <w:szCs w:val="24"/>
        </w:rPr>
        <w:t xml:space="preserve"> </w:t>
      </w:r>
      <w:r w:rsidRPr="00B329A2">
        <w:rPr>
          <w:rFonts w:eastAsia="Times New Roman"/>
          <w:szCs w:val="24"/>
        </w:rPr>
        <w:t xml:space="preserve">cena nájemného apod. – ve jménu zachování sociálního míru) = </w:t>
      </w:r>
      <w:r w:rsidRPr="00B329A2">
        <w:rPr>
          <w:rFonts w:eastAsia="Times New Roman"/>
          <w:b/>
          <w:bCs/>
          <w:szCs w:val="24"/>
        </w:rPr>
        <w:t>Erhardova</w:t>
      </w:r>
      <w:r w:rsidRPr="00B329A2">
        <w:rPr>
          <w:rFonts w:eastAsia="Times New Roman"/>
          <w:szCs w:val="24"/>
        </w:rPr>
        <w:t xml:space="preserve"> </w:t>
      </w:r>
      <w:r w:rsidRPr="00B329A2">
        <w:rPr>
          <w:rFonts w:eastAsia="Times New Roman"/>
          <w:b/>
          <w:bCs/>
          <w:szCs w:val="24"/>
        </w:rPr>
        <w:t>reforma.</w:t>
      </w:r>
    </w:p>
    <w:p w14:paraId="287D9A4E" w14:textId="77777777" w:rsidR="004236C6" w:rsidRPr="00FC3B7C" w:rsidRDefault="004236C6" w:rsidP="004236C6">
      <w:pPr>
        <w:spacing w:line="48" w:lineRule="exact"/>
        <w:rPr>
          <w:sz w:val="20"/>
          <w:szCs w:val="20"/>
        </w:rPr>
      </w:pPr>
    </w:p>
    <w:p w14:paraId="759568EA" w14:textId="77777777" w:rsidR="004236C6" w:rsidRPr="00FC3B7C" w:rsidRDefault="004236C6" w:rsidP="004236C6">
      <w:pPr>
        <w:rPr>
          <w:sz w:val="20"/>
          <w:szCs w:val="20"/>
        </w:rPr>
      </w:pPr>
      <w:r w:rsidRPr="00FC3B7C">
        <w:rPr>
          <w:rFonts w:eastAsia="Times New Roman"/>
          <w:szCs w:val="24"/>
        </w:rPr>
        <w:lastRenderedPageBreak/>
        <w:t>Hlavní důraz ordoliberální koncepce hospodářské politiky byl kladen na:</w:t>
      </w:r>
    </w:p>
    <w:p w14:paraId="7FE6DD41" w14:textId="77777777" w:rsidR="004236C6" w:rsidRPr="00FC3B7C" w:rsidRDefault="004236C6" w:rsidP="004236C6">
      <w:pPr>
        <w:numPr>
          <w:ilvl w:val="0"/>
          <w:numId w:val="46"/>
        </w:numPr>
        <w:tabs>
          <w:tab w:val="left" w:pos="1000"/>
        </w:tabs>
        <w:ind w:left="1000" w:hanging="358"/>
        <w:rPr>
          <w:rFonts w:eastAsia="Times New Roman"/>
          <w:szCs w:val="24"/>
        </w:rPr>
      </w:pPr>
      <w:r w:rsidRPr="00FC3B7C">
        <w:rPr>
          <w:rFonts w:eastAsia="Times New Roman"/>
          <w:szCs w:val="24"/>
        </w:rPr>
        <w:t>ochranu hospodářské soutěže,</w:t>
      </w:r>
    </w:p>
    <w:p w14:paraId="56C2F761" w14:textId="77777777" w:rsidR="004236C6" w:rsidRPr="00FC3B7C" w:rsidRDefault="004236C6" w:rsidP="004236C6">
      <w:pPr>
        <w:numPr>
          <w:ilvl w:val="0"/>
          <w:numId w:val="46"/>
        </w:numPr>
        <w:tabs>
          <w:tab w:val="left" w:pos="1000"/>
        </w:tabs>
        <w:spacing w:line="361" w:lineRule="auto"/>
        <w:ind w:left="1000" w:hanging="360"/>
        <w:rPr>
          <w:rFonts w:eastAsia="Times New Roman"/>
          <w:szCs w:val="24"/>
        </w:rPr>
      </w:pPr>
      <w:r w:rsidRPr="00FC3B7C">
        <w:rPr>
          <w:rFonts w:eastAsia="Times New Roman"/>
          <w:szCs w:val="24"/>
        </w:rPr>
        <w:t>stabilitu měny (nezávislost centrální banky – Bundesbank – na vládě, přísná protiinflační měnová politika, určování cílů hospodářské politiky),</w:t>
      </w:r>
    </w:p>
    <w:p w14:paraId="10992C51" w14:textId="77777777" w:rsidR="004236C6" w:rsidRPr="00FC3B7C" w:rsidRDefault="004236C6" w:rsidP="004236C6">
      <w:pPr>
        <w:numPr>
          <w:ilvl w:val="0"/>
          <w:numId w:val="46"/>
        </w:numPr>
        <w:tabs>
          <w:tab w:val="left" w:pos="1000"/>
        </w:tabs>
        <w:ind w:left="1000" w:hanging="360"/>
        <w:rPr>
          <w:rFonts w:eastAsia="Times New Roman"/>
          <w:szCs w:val="24"/>
        </w:rPr>
      </w:pPr>
      <w:r w:rsidRPr="00FC3B7C">
        <w:rPr>
          <w:rFonts w:eastAsia="Times New Roman"/>
          <w:szCs w:val="24"/>
        </w:rPr>
        <w:t xml:space="preserve">sociální konsenzus (sociálně odpovědná společnost bez konfliktů a bez růstu nerovnosti; hospodářská politika přijímána v rámci konsenzuální diskuze tripartity: vláda – odbory – podnikatelé; zásada subsidiarity a solidarity v přístupu </w:t>
      </w:r>
      <w:r>
        <w:rPr>
          <w:rFonts w:eastAsia="Times New Roman"/>
          <w:szCs w:val="24"/>
        </w:rPr>
        <w:br/>
      </w:r>
      <w:r w:rsidRPr="00FC3B7C">
        <w:rPr>
          <w:rFonts w:eastAsia="Times New Roman"/>
          <w:szCs w:val="24"/>
        </w:rPr>
        <w:t>k jednotlivci),</w:t>
      </w:r>
    </w:p>
    <w:p w14:paraId="5F45DE5D" w14:textId="4658AD7D" w:rsidR="004236C6" w:rsidRPr="00FC3B7C" w:rsidRDefault="004236C6" w:rsidP="004236C6">
      <w:pPr>
        <w:numPr>
          <w:ilvl w:val="0"/>
          <w:numId w:val="46"/>
        </w:numPr>
        <w:tabs>
          <w:tab w:val="left" w:pos="1000"/>
        </w:tabs>
        <w:spacing w:line="390" w:lineRule="auto"/>
        <w:ind w:left="1000" w:hanging="360"/>
        <w:rPr>
          <w:rFonts w:eastAsia="Times New Roman"/>
          <w:szCs w:val="24"/>
        </w:rPr>
      </w:pPr>
      <w:r w:rsidRPr="00FC3B7C">
        <w:rPr>
          <w:rFonts w:eastAsia="Times New Roman"/>
          <w:szCs w:val="24"/>
        </w:rPr>
        <w:t xml:space="preserve">systémová konformita hospodářské politiky (transparentnost, nekonfliktnost nástrojů s </w:t>
      </w:r>
      <w:r w:rsidR="003376E1" w:rsidRPr="00FC3B7C">
        <w:rPr>
          <w:rFonts w:eastAsia="Times New Roman"/>
          <w:szCs w:val="24"/>
        </w:rPr>
        <w:t>cíli</w:t>
      </w:r>
      <w:r w:rsidRPr="00FC3B7C">
        <w:rPr>
          <w:rFonts w:eastAsia="Times New Roman"/>
          <w:szCs w:val="24"/>
        </w:rPr>
        <w:t xml:space="preserve">, jasná </w:t>
      </w:r>
      <w:r w:rsidR="003376E1" w:rsidRPr="00FC3B7C">
        <w:rPr>
          <w:rFonts w:eastAsia="Times New Roman"/>
          <w:szCs w:val="24"/>
        </w:rPr>
        <w:t>pravidla.).</w:t>
      </w:r>
    </w:p>
    <w:p w14:paraId="167085CE" w14:textId="77777777" w:rsidR="004236C6" w:rsidRPr="00FC3B7C" w:rsidRDefault="004236C6" w:rsidP="004236C6">
      <w:pPr>
        <w:spacing w:line="49" w:lineRule="exact"/>
        <w:rPr>
          <w:sz w:val="20"/>
          <w:szCs w:val="20"/>
        </w:rPr>
      </w:pPr>
    </w:p>
    <w:p w14:paraId="75C9F883" w14:textId="77777777" w:rsidR="004236C6" w:rsidRPr="00FC3B7C" w:rsidRDefault="004236C6" w:rsidP="004236C6">
      <w:pPr>
        <w:spacing w:line="361" w:lineRule="auto"/>
        <w:rPr>
          <w:sz w:val="20"/>
          <w:szCs w:val="20"/>
        </w:rPr>
      </w:pPr>
      <w:r w:rsidRPr="00FC3B7C">
        <w:rPr>
          <w:rFonts w:eastAsia="Times New Roman"/>
          <w:szCs w:val="24"/>
        </w:rPr>
        <w:t>(V roce 1963 byla založena tzv. Rada moudrých (Sachverständigenrat), která sestávala z pěti předních ekonomických odborníků sestavujících každoročně tzv. dobrozdání, kritické hodnocení hospodářské politiky vlády.)</w:t>
      </w:r>
    </w:p>
    <w:p w14:paraId="604FC122" w14:textId="77777777" w:rsidR="004236C6" w:rsidRPr="00FC3B7C" w:rsidRDefault="004236C6" w:rsidP="004236C6">
      <w:pPr>
        <w:spacing w:line="3" w:lineRule="exact"/>
        <w:rPr>
          <w:sz w:val="20"/>
          <w:szCs w:val="20"/>
        </w:rPr>
      </w:pPr>
    </w:p>
    <w:p w14:paraId="6EB125D1" w14:textId="77777777" w:rsidR="004236C6" w:rsidRPr="00FC3B7C" w:rsidRDefault="004236C6" w:rsidP="004236C6">
      <w:pPr>
        <w:spacing w:line="358" w:lineRule="auto"/>
        <w:rPr>
          <w:sz w:val="20"/>
          <w:szCs w:val="20"/>
        </w:rPr>
      </w:pPr>
      <w:r w:rsidRPr="00FC3B7C">
        <w:rPr>
          <w:rFonts w:eastAsia="Times New Roman"/>
          <w:szCs w:val="24"/>
        </w:rPr>
        <w:t>Období navazující na Erhardovu reformu lze nazývat hospodářským zázrakem (vysoký růst, nízká inflace, vysoká zaměstnanost).</w:t>
      </w:r>
    </w:p>
    <w:p w14:paraId="1D04B56B" w14:textId="77777777" w:rsidR="004236C6" w:rsidRPr="00FC3B7C" w:rsidRDefault="004236C6" w:rsidP="004236C6">
      <w:pPr>
        <w:spacing w:line="1" w:lineRule="exact"/>
        <w:rPr>
          <w:sz w:val="20"/>
          <w:szCs w:val="20"/>
        </w:rPr>
      </w:pPr>
    </w:p>
    <w:p w14:paraId="58B09253" w14:textId="77777777" w:rsidR="004236C6" w:rsidRPr="00FC3B7C" w:rsidRDefault="004236C6" w:rsidP="004236C6">
      <w:pPr>
        <w:spacing w:line="365" w:lineRule="auto"/>
        <w:rPr>
          <w:sz w:val="20"/>
          <w:szCs w:val="20"/>
        </w:rPr>
      </w:pPr>
      <w:r w:rsidRPr="00FC3B7C">
        <w:rPr>
          <w:rFonts w:eastAsia="Times New Roman"/>
          <w:szCs w:val="24"/>
        </w:rPr>
        <w:t xml:space="preserve">Počátkem 70. let došlo k výrazné změně, která je nazývána tzv. </w:t>
      </w:r>
      <w:r w:rsidRPr="00FC3B7C">
        <w:rPr>
          <w:rFonts w:eastAsia="Times New Roman"/>
          <w:b/>
          <w:bCs/>
          <w:szCs w:val="24"/>
        </w:rPr>
        <w:t>keynesiánským obratem.</w:t>
      </w:r>
      <w:r w:rsidRPr="00FC3B7C">
        <w:rPr>
          <w:rFonts w:eastAsia="Times New Roman"/>
          <w:szCs w:val="24"/>
        </w:rPr>
        <w:t xml:space="preserve"> Jednalo se o následek nástupu sociální demokracie k moci (a jí přijímané keynesiánské poptávkové ekonomické teorie) a globálních problémů 70. let (ropné šoky). Hlavní důraz byl kladen na rozpočtovou politiku, praktikování makroekonomie a prvky indikativního plánování se stálou nezávislostí centrální banky, která v r. 1975 započala tzv. roční kvantitativní cíle monetárního růstu (obrana proti expanzivní monetární politice vedoucí k inflačnímu růstu). Jako velmi negativní se ovšem ukázalo narůstání pro-sociální povahy hospodářské politiky, které navyšovalo deficit a vedlo k nadměrnému růstu státního sektoru.</w:t>
      </w:r>
    </w:p>
    <w:p w14:paraId="08EA6CCC" w14:textId="77777777" w:rsidR="004236C6" w:rsidRPr="00FC3B7C" w:rsidRDefault="004236C6" w:rsidP="004236C6">
      <w:pPr>
        <w:spacing w:line="42" w:lineRule="exact"/>
        <w:rPr>
          <w:sz w:val="20"/>
          <w:szCs w:val="20"/>
        </w:rPr>
      </w:pPr>
    </w:p>
    <w:p w14:paraId="245C7E24" w14:textId="77777777" w:rsidR="004236C6" w:rsidRPr="00FC3B7C" w:rsidRDefault="004236C6" w:rsidP="004236C6">
      <w:pPr>
        <w:spacing w:line="374" w:lineRule="auto"/>
        <w:rPr>
          <w:sz w:val="20"/>
          <w:szCs w:val="20"/>
        </w:rPr>
      </w:pPr>
      <w:r w:rsidRPr="00FC3B7C">
        <w:rPr>
          <w:rFonts w:eastAsia="Times New Roman"/>
          <w:szCs w:val="24"/>
        </w:rPr>
        <w:t xml:space="preserve">Hospodářská krize na počátku 80. let navrátila určování hospodářské politiky do rukou konzervativců vedených </w:t>
      </w:r>
      <w:r w:rsidRPr="00FC3B7C">
        <w:rPr>
          <w:rFonts w:eastAsia="Times New Roman"/>
          <w:b/>
          <w:bCs/>
          <w:szCs w:val="24"/>
        </w:rPr>
        <w:t>H. Kohlem</w:t>
      </w:r>
      <w:r w:rsidRPr="00FC3B7C">
        <w:rPr>
          <w:rFonts w:eastAsia="Times New Roman"/>
          <w:szCs w:val="24"/>
        </w:rPr>
        <w:t xml:space="preserve"> a jeho koncentrace na koncept sociálně-tržního hospodářství, který byl započat L. Erhardem koncem 40. let.</w:t>
      </w:r>
    </w:p>
    <w:p w14:paraId="0B5FEF1E" w14:textId="77777777" w:rsidR="004236C6" w:rsidRPr="00FC3B7C" w:rsidRDefault="004236C6" w:rsidP="004236C6">
      <w:pPr>
        <w:sectPr w:rsidR="004236C6" w:rsidRPr="00FC3B7C">
          <w:pgSz w:w="11900" w:h="16840"/>
          <w:pgMar w:top="1391" w:right="1420" w:bottom="1440" w:left="1420" w:header="0" w:footer="0" w:gutter="0"/>
          <w:cols w:space="708" w:equalWidth="0">
            <w:col w:w="9060"/>
          </w:cols>
        </w:sectPr>
      </w:pPr>
    </w:p>
    <w:p w14:paraId="7A6502AC" w14:textId="77777777" w:rsidR="004236C6" w:rsidRPr="004236C6" w:rsidRDefault="004236C6" w:rsidP="004236C6">
      <w:pPr>
        <w:pStyle w:val="Nadpis2"/>
        <w:rPr>
          <w:color w:val="1F3864" w:themeColor="accent1" w:themeShade="80"/>
          <w:sz w:val="20"/>
          <w:szCs w:val="20"/>
        </w:rPr>
      </w:pPr>
      <w:bookmarkStart w:id="72" w:name="page70"/>
      <w:bookmarkEnd w:id="72"/>
      <w:r w:rsidRPr="004236C6">
        <w:rPr>
          <w:rFonts w:eastAsia="Times New Roman"/>
          <w:color w:val="1F3864" w:themeColor="accent1" w:themeShade="80"/>
        </w:rPr>
        <w:lastRenderedPageBreak/>
        <w:t>FORMOVÁNÍ EKONOMICKO-</w:t>
      </w:r>
      <w:r w:rsidRPr="004236C6">
        <w:rPr>
          <w:color w:val="1F3864" w:themeColor="accent1" w:themeShade="80"/>
        </w:rPr>
        <w:t>POLITICKÝCH ZÁJMŮ V HP</w:t>
      </w:r>
    </w:p>
    <w:p w14:paraId="10248A35" w14:textId="77777777" w:rsidR="004236C6" w:rsidRPr="00344B27" w:rsidRDefault="004236C6" w:rsidP="004236C6">
      <w:pPr>
        <w:spacing w:line="376" w:lineRule="auto"/>
        <w:ind w:left="4"/>
        <w:rPr>
          <w:sz w:val="20"/>
          <w:szCs w:val="20"/>
        </w:rPr>
      </w:pPr>
      <w:r w:rsidRPr="00FC3B7C">
        <w:rPr>
          <w:rFonts w:eastAsia="Times New Roman"/>
          <w:sz w:val="23"/>
          <w:szCs w:val="23"/>
        </w:rPr>
        <w:t xml:space="preserve">Subjekty, které se podílí na procesu formulování hospodářské politiky, na jejím provádění </w:t>
      </w:r>
      <w:r>
        <w:rPr>
          <w:rFonts w:eastAsia="Times New Roman"/>
          <w:sz w:val="23"/>
          <w:szCs w:val="23"/>
        </w:rPr>
        <w:br/>
      </w:r>
      <w:r w:rsidRPr="00FC3B7C">
        <w:rPr>
          <w:rFonts w:eastAsia="Times New Roman"/>
          <w:sz w:val="23"/>
          <w:szCs w:val="23"/>
        </w:rPr>
        <w:t>a kontrole jak přímo, či nepřímo se dají rozdělit na tři skupiny. Tyto skupiny jsou dány politickým</w:t>
      </w:r>
      <w:r>
        <w:rPr>
          <w:sz w:val="20"/>
          <w:szCs w:val="20"/>
        </w:rPr>
        <w:t xml:space="preserve"> a </w:t>
      </w:r>
      <w:r w:rsidRPr="00FC3B7C">
        <w:rPr>
          <w:rFonts w:eastAsia="Times New Roman"/>
          <w:szCs w:val="24"/>
        </w:rPr>
        <w:t>ústavně-právním uspořádáním státu a vyjádřením určité konstelace a konsenzu politických sil. Je možné je rozdělit na:</w:t>
      </w:r>
    </w:p>
    <w:p w14:paraId="64D6C155" w14:textId="77777777" w:rsidR="004236C6" w:rsidRPr="00FC3B7C" w:rsidRDefault="004236C6" w:rsidP="004236C6">
      <w:pPr>
        <w:numPr>
          <w:ilvl w:val="1"/>
          <w:numId w:val="47"/>
        </w:numPr>
        <w:tabs>
          <w:tab w:val="left" w:pos="1004"/>
        </w:tabs>
        <w:ind w:left="1004" w:hanging="360"/>
        <w:rPr>
          <w:rFonts w:eastAsia="Times New Roman"/>
          <w:szCs w:val="24"/>
        </w:rPr>
      </w:pPr>
      <w:r w:rsidRPr="00FC3B7C">
        <w:rPr>
          <w:rFonts w:eastAsia="Times New Roman"/>
          <w:szCs w:val="24"/>
        </w:rPr>
        <w:t>decizní sféru</w:t>
      </w:r>
    </w:p>
    <w:p w14:paraId="1DC3CEEB" w14:textId="77777777" w:rsidR="004236C6" w:rsidRPr="00FC3B7C" w:rsidRDefault="004236C6" w:rsidP="004236C6">
      <w:pPr>
        <w:numPr>
          <w:ilvl w:val="1"/>
          <w:numId w:val="47"/>
        </w:numPr>
        <w:tabs>
          <w:tab w:val="left" w:pos="1004"/>
        </w:tabs>
        <w:ind w:left="1004" w:hanging="360"/>
        <w:rPr>
          <w:rFonts w:eastAsia="Times New Roman"/>
          <w:szCs w:val="24"/>
        </w:rPr>
      </w:pPr>
      <w:r w:rsidRPr="00FC3B7C">
        <w:rPr>
          <w:rFonts w:eastAsia="Times New Roman"/>
          <w:szCs w:val="24"/>
        </w:rPr>
        <w:t>vlivovou sféru</w:t>
      </w:r>
    </w:p>
    <w:p w14:paraId="7BE5DC91" w14:textId="77777777" w:rsidR="004236C6" w:rsidRPr="00FC3B7C" w:rsidRDefault="004236C6" w:rsidP="004236C6">
      <w:pPr>
        <w:numPr>
          <w:ilvl w:val="1"/>
          <w:numId w:val="47"/>
        </w:numPr>
        <w:tabs>
          <w:tab w:val="left" w:pos="1004"/>
        </w:tabs>
        <w:ind w:left="1004" w:hanging="360"/>
        <w:rPr>
          <w:rFonts w:eastAsia="Times New Roman"/>
          <w:szCs w:val="24"/>
        </w:rPr>
      </w:pPr>
      <w:r w:rsidRPr="00FC3B7C">
        <w:rPr>
          <w:rFonts w:eastAsia="Times New Roman"/>
          <w:szCs w:val="24"/>
        </w:rPr>
        <w:t>nadnárodní organizace</w:t>
      </w:r>
    </w:p>
    <w:p w14:paraId="3C4BA6A7" w14:textId="77777777" w:rsidR="004236C6" w:rsidRPr="004236C6" w:rsidRDefault="004236C6" w:rsidP="004236C6">
      <w:pPr>
        <w:pStyle w:val="Nadpis3"/>
        <w:rPr>
          <w:color w:val="1F3864" w:themeColor="accent1" w:themeShade="80"/>
          <w:sz w:val="20"/>
          <w:szCs w:val="20"/>
        </w:rPr>
      </w:pPr>
      <w:r w:rsidRPr="004236C6">
        <w:rPr>
          <w:rFonts w:eastAsia="Times New Roman"/>
          <w:color w:val="1F3864" w:themeColor="accent1" w:themeShade="80"/>
        </w:rPr>
        <w:t>Decizní sféra</w:t>
      </w:r>
    </w:p>
    <w:p w14:paraId="3D4537CC" w14:textId="77777777" w:rsidR="004236C6" w:rsidRPr="00FC3B7C" w:rsidRDefault="004236C6" w:rsidP="004236C6">
      <w:pPr>
        <w:spacing w:line="357" w:lineRule="auto"/>
        <w:ind w:left="4"/>
        <w:rPr>
          <w:sz w:val="20"/>
          <w:szCs w:val="20"/>
        </w:rPr>
      </w:pPr>
      <w:r w:rsidRPr="00FC3B7C">
        <w:rPr>
          <w:rFonts w:eastAsia="Times New Roman"/>
          <w:szCs w:val="24"/>
        </w:rPr>
        <w:t>Do této skupiny patří obecně stát jako nejvyšší subjekt hospodářské politiky ve své rozložené podobě na jednotlivé složky státní správy a moci. Státu je ze zákona dána pravomoc vykonávat, ale také prosazovat svá rozhodnutí. Dále rozdělenými subjekty decizní sféry jsou:</w:t>
      </w:r>
    </w:p>
    <w:p w14:paraId="237A72DD" w14:textId="77777777" w:rsidR="004236C6" w:rsidRPr="00FC3B7C" w:rsidRDefault="004236C6" w:rsidP="004236C6">
      <w:pPr>
        <w:spacing w:line="1" w:lineRule="exact"/>
        <w:rPr>
          <w:sz w:val="20"/>
          <w:szCs w:val="20"/>
        </w:rPr>
      </w:pPr>
    </w:p>
    <w:p w14:paraId="2B955563" w14:textId="77777777" w:rsidR="004236C6" w:rsidRPr="00FC3B7C" w:rsidRDefault="004236C6" w:rsidP="004236C6">
      <w:pPr>
        <w:numPr>
          <w:ilvl w:val="0"/>
          <w:numId w:val="48"/>
        </w:numPr>
        <w:tabs>
          <w:tab w:val="left" w:pos="1004"/>
        </w:tabs>
        <w:spacing w:line="361" w:lineRule="auto"/>
        <w:ind w:left="1004" w:right="80" w:hanging="360"/>
        <w:rPr>
          <w:rFonts w:eastAsia="Times New Roman"/>
          <w:b/>
          <w:bCs/>
          <w:szCs w:val="24"/>
        </w:rPr>
      </w:pPr>
      <w:r w:rsidRPr="00FC3B7C">
        <w:rPr>
          <w:rFonts w:eastAsia="Times New Roman"/>
          <w:b/>
          <w:bCs/>
          <w:szCs w:val="24"/>
        </w:rPr>
        <w:t xml:space="preserve">parlament (jako legislativní složka) </w:t>
      </w:r>
      <w:r w:rsidRPr="00FC3B7C">
        <w:rPr>
          <w:rFonts w:eastAsia="Times New Roman"/>
          <w:szCs w:val="24"/>
        </w:rPr>
        <w:t>– stanovuje základní pravidla fungování</w:t>
      </w:r>
      <w:r w:rsidRPr="00FC3B7C">
        <w:rPr>
          <w:rFonts w:eastAsia="Times New Roman"/>
          <w:b/>
          <w:bCs/>
          <w:szCs w:val="24"/>
        </w:rPr>
        <w:t xml:space="preserve"> </w:t>
      </w:r>
      <w:r w:rsidRPr="00FC3B7C">
        <w:rPr>
          <w:rFonts w:eastAsia="Times New Roman"/>
          <w:szCs w:val="24"/>
        </w:rPr>
        <w:t>ekonomického mechanismu (právní úprava vlastnických práv, pracovní a sociální zákonodárství, rozpočtová omezení výkonné vládní moci),</w:t>
      </w:r>
    </w:p>
    <w:p w14:paraId="1AF98D49" w14:textId="77777777" w:rsidR="004236C6" w:rsidRPr="00FC3B7C" w:rsidRDefault="004236C6" w:rsidP="004236C6">
      <w:pPr>
        <w:spacing w:line="2" w:lineRule="exact"/>
        <w:rPr>
          <w:rFonts w:eastAsia="Times New Roman"/>
          <w:b/>
          <w:bCs/>
          <w:szCs w:val="24"/>
        </w:rPr>
      </w:pPr>
    </w:p>
    <w:p w14:paraId="72ADE695" w14:textId="77777777" w:rsidR="004236C6" w:rsidRPr="00FC3B7C" w:rsidRDefault="004236C6" w:rsidP="004236C6">
      <w:pPr>
        <w:numPr>
          <w:ilvl w:val="0"/>
          <w:numId w:val="48"/>
        </w:numPr>
        <w:tabs>
          <w:tab w:val="left" w:pos="1004"/>
        </w:tabs>
        <w:spacing w:line="363" w:lineRule="auto"/>
        <w:ind w:left="1004" w:hanging="360"/>
        <w:rPr>
          <w:rFonts w:eastAsia="Times New Roman"/>
          <w:b/>
          <w:bCs/>
          <w:szCs w:val="24"/>
        </w:rPr>
      </w:pPr>
      <w:r w:rsidRPr="00FC3B7C">
        <w:rPr>
          <w:rFonts w:eastAsia="Times New Roman"/>
          <w:b/>
          <w:bCs/>
          <w:szCs w:val="24"/>
        </w:rPr>
        <w:t xml:space="preserve">vláda </w:t>
      </w:r>
      <w:r w:rsidRPr="00FC3B7C">
        <w:rPr>
          <w:rFonts w:eastAsia="Times New Roman"/>
          <w:szCs w:val="24"/>
        </w:rPr>
        <w:t>– exekutiva parlamentu, výkonný</w:t>
      </w:r>
      <w:r w:rsidRPr="00FC3B7C">
        <w:rPr>
          <w:rFonts w:eastAsia="Times New Roman"/>
          <w:b/>
          <w:bCs/>
          <w:szCs w:val="24"/>
        </w:rPr>
        <w:t xml:space="preserve"> </w:t>
      </w:r>
      <w:r w:rsidRPr="00FC3B7C">
        <w:rPr>
          <w:rFonts w:eastAsia="Times New Roman"/>
          <w:szCs w:val="24"/>
        </w:rPr>
        <w:t>orgán a základní nositel hospodářské</w:t>
      </w:r>
      <w:r w:rsidRPr="00FC3B7C">
        <w:rPr>
          <w:rFonts w:eastAsia="Times New Roman"/>
          <w:b/>
          <w:bCs/>
          <w:szCs w:val="24"/>
        </w:rPr>
        <w:t xml:space="preserve"> </w:t>
      </w:r>
      <w:r w:rsidRPr="00FC3B7C">
        <w:rPr>
          <w:rFonts w:eastAsia="Times New Roman"/>
          <w:szCs w:val="24"/>
        </w:rPr>
        <w:t>politiky (nejvyšší instance utváření hospodářsko-politických podmínek a cílů),</w:t>
      </w:r>
    </w:p>
    <w:p w14:paraId="1473E3C2" w14:textId="77777777" w:rsidR="004236C6" w:rsidRPr="00FC3B7C" w:rsidRDefault="004236C6" w:rsidP="004236C6">
      <w:pPr>
        <w:numPr>
          <w:ilvl w:val="0"/>
          <w:numId w:val="48"/>
        </w:numPr>
        <w:tabs>
          <w:tab w:val="left" w:pos="1004"/>
        </w:tabs>
        <w:ind w:left="1004" w:hanging="360"/>
        <w:rPr>
          <w:rFonts w:eastAsia="Times New Roman"/>
          <w:b/>
          <w:bCs/>
          <w:szCs w:val="24"/>
        </w:rPr>
      </w:pPr>
      <w:r w:rsidRPr="00FC3B7C">
        <w:rPr>
          <w:rFonts w:eastAsia="Times New Roman"/>
          <w:b/>
          <w:bCs/>
          <w:szCs w:val="24"/>
        </w:rPr>
        <w:t>centrální banka, ÚOHS, NKÚ</w:t>
      </w:r>
      <w:r>
        <w:rPr>
          <w:rFonts w:eastAsia="Times New Roman"/>
          <w:b/>
          <w:bCs/>
          <w:szCs w:val="24"/>
        </w:rPr>
        <w:t>,</w:t>
      </w:r>
    </w:p>
    <w:p w14:paraId="3CF5463E" w14:textId="77777777" w:rsidR="004236C6" w:rsidRPr="00FC3B7C" w:rsidRDefault="004236C6" w:rsidP="004236C6">
      <w:pPr>
        <w:spacing w:line="141" w:lineRule="exact"/>
        <w:rPr>
          <w:rFonts w:eastAsia="Times New Roman"/>
          <w:b/>
          <w:bCs/>
          <w:szCs w:val="24"/>
        </w:rPr>
      </w:pPr>
    </w:p>
    <w:p w14:paraId="28949E47" w14:textId="77777777" w:rsidR="004236C6" w:rsidRDefault="004236C6" w:rsidP="004236C6">
      <w:pPr>
        <w:numPr>
          <w:ilvl w:val="0"/>
          <w:numId w:val="48"/>
        </w:numPr>
        <w:tabs>
          <w:tab w:val="left" w:pos="1004"/>
        </w:tabs>
        <w:ind w:left="1004" w:hanging="360"/>
        <w:rPr>
          <w:rFonts w:eastAsia="Times New Roman"/>
          <w:b/>
          <w:bCs/>
          <w:szCs w:val="24"/>
        </w:rPr>
      </w:pPr>
      <w:r w:rsidRPr="00FC3B7C">
        <w:rPr>
          <w:rFonts w:eastAsia="Times New Roman"/>
          <w:b/>
          <w:bCs/>
          <w:szCs w:val="24"/>
        </w:rPr>
        <w:t xml:space="preserve">další instituce </w:t>
      </w:r>
      <w:r w:rsidRPr="00FC3B7C">
        <w:rPr>
          <w:rFonts w:eastAsia="Times New Roman"/>
          <w:szCs w:val="24"/>
        </w:rPr>
        <w:t>– státní úřady, soudní instituce, výzkumné, expertní a poradenské</w:t>
      </w:r>
      <w:r>
        <w:rPr>
          <w:rFonts w:eastAsia="Times New Roman"/>
          <w:b/>
          <w:bCs/>
          <w:szCs w:val="24"/>
        </w:rPr>
        <w:t>.</w:t>
      </w:r>
    </w:p>
    <w:p w14:paraId="6888D6E4" w14:textId="77777777" w:rsidR="004236C6" w:rsidRDefault="004236C6" w:rsidP="004236C6">
      <w:pPr>
        <w:spacing w:line="240" w:lineRule="auto"/>
        <w:jc w:val="left"/>
        <w:rPr>
          <w:rFonts w:eastAsia="Times New Roman"/>
          <w:b/>
          <w:bCs/>
          <w:szCs w:val="24"/>
        </w:rPr>
      </w:pPr>
      <w:bookmarkStart w:id="73" w:name="page71"/>
      <w:bookmarkEnd w:id="73"/>
      <w:r>
        <w:rPr>
          <w:rFonts w:eastAsia="Times New Roman"/>
          <w:b/>
          <w:bCs/>
          <w:szCs w:val="24"/>
        </w:rPr>
        <w:br w:type="page"/>
      </w:r>
    </w:p>
    <w:p w14:paraId="64A8E582" w14:textId="77777777" w:rsidR="004236C6" w:rsidRPr="00FC3B7C" w:rsidRDefault="004236C6" w:rsidP="004236C6">
      <w:pPr>
        <w:ind w:left="280"/>
        <w:rPr>
          <w:sz w:val="20"/>
          <w:szCs w:val="20"/>
        </w:rPr>
      </w:pPr>
      <w:r w:rsidRPr="00FC3B7C">
        <w:rPr>
          <w:rFonts w:eastAsia="Times New Roman"/>
          <w:b/>
          <w:bCs/>
          <w:szCs w:val="24"/>
        </w:rPr>
        <w:lastRenderedPageBreak/>
        <w:t>Obr. č. 3: Přehled státních institucí v ČR:</w:t>
      </w:r>
    </w:p>
    <w:p w14:paraId="3E798FA8" w14:textId="77777777" w:rsidR="004236C6" w:rsidRPr="00FC3B7C" w:rsidRDefault="004236C6" w:rsidP="004236C6">
      <w:pPr>
        <w:spacing w:line="20" w:lineRule="exact"/>
        <w:rPr>
          <w:sz w:val="20"/>
          <w:szCs w:val="20"/>
        </w:rPr>
      </w:pPr>
      <w:r w:rsidRPr="00FC3B7C">
        <w:rPr>
          <w:noProof/>
          <w:sz w:val="20"/>
          <w:szCs w:val="20"/>
        </w:rPr>
        <w:drawing>
          <wp:anchor distT="0" distB="0" distL="114300" distR="114300" simplePos="0" relativeHeight="251685376" behindDoc="1" locked="0" layoutInCell="0" allowOverlap="1" wp14:anchorId="5370797F" wp14:editId="5C344417">
            <wp:simplePos x="0" y="0"/>
            <wp:positionH relativeFrom="column">
              <wp:posOffset>-1905</wp:posOffset>
            </wp:positionH>
            <wp:positionV relativeFrom="paragraph">
              <wp:posOffset>102870</wp:posOffset>
            </wp:positionV>
            <wp:extent cx="5190490" cy="393827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srcRect/>
                    <a:stretch>
                      <a:fillRect/>
                    </a:stretch>
                  </pic:blipFill>
                  <pic:spPr bwMode="auto">
                    <a:xfrm>
                      <a:off x="0" y="0"/>
                      <a:ext cx="5190490" cy="3938270"/>
                    </a:xfrm>
                    <a:prstGeom prst="rect">
                      <a:avLst/>
                    </a:prstGeom>
                    <a:noFill/>
                  </pic:spPr>
                </pic:pic>
              </a:graphicData>
            </a:graphic>
          </wp:anchor>
        </w:drawing>
      </w:r>
    </w:p>
    <w:p w14:paraId="5888FB4B" w14:textId="77777777" w:rsidR="004236C6" w:rsidRPr="00FC3B7C" w:rsidRDefault="004236C6" w:rsidP="004236C6">
      <w:pPr>
        <w:spacing w:line="200" w:lineRule="exact"/>
        <w:rPr>
          <w:sz w:val="20"/>
          <w:szCs w:val="20"/>
        </w:rPr>
      </w:pPr>
    </w:p>
    <w:p w14:paraId="1A1D4F3B" w14:textId="77777777" w:rsidR="004236C6" w:rsidRPr="00FC3B7C" w:rsidRDefault="004236C6" w:rsidP="004236C6">
      <w:pPr>
        <w:spacing w:line="200" w:lineRule="exact"/>
        <w:rPr>
          <w:sz w:val="20"/>
          <w:szCs w:val="20"/>
        </w:rPr>
      </w:pPr>
    </w:p>
    <w:p w14:paraId="71753BE2" w14:textId="77777777" w:rsidR="004236C6" w:rsidRPr="00FC3B7C" w:rsidRDefault="004236C6" w:rsidP="004236C6">
      <w:pPr>
        <w:spacing w:line="200" w:lineRule="exact"/>
        <w:rPr>
          <w:sz w:val="20"/>
          <w:szCs w:val="20"/>
        </w:rPr>
      </w:pPr>
    </w:p>
    <w:p w14:paraId="398748CF" w14:textId="77777777" w:rsidR="004236C6" w:rsidRPr="00FC3B7C" w:rsidRDefault="004236C6" w:rsidP="004236C6">
      <w:pPr>
        <w:spacing w:line="200" w:lineRule="exact"/>
        <w:rPr>
          <w:sz w:val="20"/>
          <w:szCs w:val="20"/>
        </w:rPr>
      </w:pPr>
    </w:p>
    <w:p w14:paraId="160102D8" w14:textId="77777777" w:rsidR="004236C6" w:rsidRPr="00FC3B7C" w:rsidRDefault="004236C6" w:rsidP="004236C6">
      <w:pPr>
        <w:spacing w:line="200" w:lineRule="exact"/>
        <w:rPr>
          <w:sz w:val="20"/>
          <w:szCs w:val="20"/>
        </w:rPr>
      </w:pPr>
    </w:p>
    <w:p w14:paraId="3FD6E38C" w14:textId="77777777" w:rsidR="004236C6" w:rsidRPr="00FC3B7C" w:rsidRDefault="004236C6" w:rsidP="004236C6">
      <w:pPr>
        <w:spacing w:line="200" w:lineRule="exact"/>
        <w:rPr>
          <w:sz w:val="20"/>
          <w:szCs w:val="20"/>
        </w:rPr>
      </w:pPr>
    </w:p>
    <w:p w14:paraId="31E44BD9" w14:textId="77777777" w:rsidR="004236C6" w:rsidRPr="00FC3B7C" w:rsidRDefault="004236C6" w:rsidP="004236C6">
      <w:pPr>
        <w:spacing w:line="200" w:lineRule="exact"/>
        <w:rPr>
          <w:sz w:val="20"/>
          <w:szCs w:val="20"/>
        </w:rPr>
      </w:pPr>
    </w:p>
    <w:p w14:paraId="1E3EA371" w14:textId="77777777" w:rsidR="004236C6" w:rsidRPr="00FC3B7C" w:rsidRDefault="004236C6" w:rsidP="004236C6">
      <w:pPr>
        <w:spacing w:line="200" w:lineRule="exact"/>
        <w:rPr>
          <w:sz w:val="20"/>
          <w:szCs w:val="20"/>
        </w:rPr>
      </w:pPr>
    </w:p>
    <w:p w14:paraId="6410F732" w14:textId="77777777" w:rsidR="004236C6" w:rsidRPr="00FC3B7C" w:rsidRDefault="004236C6" w:rsidP="004236C6">
      <w:pPr>
        <w:spacing w:line="200" w:lineRule="exact"/>
        <w:rPr>
          <w:sz w:val="20"/>
          <w:szCs w:val="20"/>
        </w:rPr>
      </w:pPr>
    </w:p>
    <w:p w14:paraId="79E82E80" w14:textId="77777777" w:rsidR="004236C6" w:rsidRPr="00FC3B7C" w:rsidRDefault="004236C6" w:rsidP="004236C6">
      <w:pPr>
        <w:spacing w:line="200" w:lineRule="exact"/>
        <w:rPr>
          <w:sz w:val="20"/>
          <w:szCs w:val="20"/>
        </w:rPr>
      </w:pPr>
    </w:p>
    <w:p w14:paraId="5B4CCF92" w14:textId="77777777" w:rsidR="004236C6" w:rsidRPr="00FC3B7C" w:rsidRDefault="004236C6" w:rsidP="004236C6">
      <w:pPr>
        <w:spacing w:line="200" w:lineRule="exact"/>
        <w:rPr>
          <w:sz w:val="20"/>
          <w:szCs w:val="20"/>
        </w:rPr>
      </w:pPr>
    </w:p>
    <w:p w14:paraId="2CC4039C" w14:textId="77777777" w:rsidR="004236C6" w:rsidRPr="00FC3B7C" w:rsidRDefault="004236C6" w:rsidP="004236C6">
      <w:pPr>
        <w:spacing w:line="200" w:lineRule="exact"/>
        <w:rPr>
          <w:sz w:val="20"/>
          <w:szCs w:val="20"/>
        </w:rPr>
      </w:pPr>
    </w:p>
    <w:p w14:paraId="76CB3CE7" w14:textId="77777777" w:rsidR="004236C6" w:rsidRPr="00FC3B7C" w:rsidRDefault="004236C6" w:rsidP="004236C6">
      <w:pPr>
        <w:spacing w:line="200" w:lineRule="exact"/>
        <w:rPr>
          <w:sz w:val="20"/>
          <w:szCs w:val="20"/>
        </w:rPr>
      </w:pPr>
    </w:p>
    <w:p w14:paraId="6DEC63D3" w14:textId="77777777" w:rsidR="004236C6" w:rsidRPr="00FC3B7C" w:rsidRDefault="004236C6" w:rsidP="004236C6">
      <w:pPr>
        <w:spacing w:line="200" w:lineRule="exact"/>
        <w:rPr>
          <w:sz w:val="20"/>
          <w:szCs w:val="20"/>
        </w:rPr>
      </w:pPr>
    </w:p>
    <w:p w14:paraId="20BE83E0" w14:textId="77777777" w:rsidR="004236C6" w:rsidRPr="00FC3B7C" w:rsidRDefault="004236C6" w:rsidP="004236C6">
      <w:pPr>
        <w:spacing w:line="200" w:lineRule="exact"/>
        <w:rPr>
          <w:sz w:val="20"/>
          <w:szCs w:val="20"/>
        </w:rPr>
      </w:pPr>
    </w:p>
    <w:p w14:paraId="47D5E358" w14:textId="77777777" w:rsidR="004236C6" w:rsidRPr="00FC3B7C" w:rsidRDefault="004236C6" w:rsidP="004236C6">
      <w:pPr>
        <w:spacing w:line="200" w:lineRule="exact"/>
        <w:rPr>
          <w:sz w:val="20"/>
          <w:szCs w:val="20"/>
        </w:rPr>
      </w:pPr>
    </w:p>
    <w:p w14:paraId="737F7EEF" w14:textId="77777777" w:rsidR="004236C6" w:rsidRPr="00FC3B7C" w:rsidRDefault="004236C6" w:rsidP="004236C6">
      <w:pPr>
        <w:spacing w:line="200" w:lineRule="exact"/>
        <w:rPr>
          <w:sz w:val="20"/>
          <w:szCs w:val="20"/>
        </w:rPr>
      </w:pPr>
    </w:p>
    <w:p w14:paraId="7D357A1A" w14:textId="77777777" w:rsidR="004236C6" w:rsidRPr="00FC3B7C" w:rsidRDefault="004236C6" w:rsidP="004236C6">
      <w:pPr>
        <w:spacing w:line="200" w:lineRule="exact"/>
        <w:rPr>
          <w:sz w:val="20"/>
          <w:szCs w:val="20"/>
        </w:rPr>
      </w:pPr>
    </w:p>
    <w:p w14:paraId="079A2B37" w14:textId="77777777" w:rsidR="004236C6" w:rsidRPr="00FC3B7C" w:rsidRDefault="004236C6" w:rsidP="004236C6">
      <w:pPr>
        <w:spacing w:line="200" w:lineRule="exact"/>
        <w:rPr>
          <w:sz w:val="20"/>
          <w:szCs w:val="20"/>
        </w:rPr>
      </w:pPr>
    </w:p>
    <w:p w14:paraId="40788285" w14:textId="77777777" w:rsidR="004236C6" w:rsidRPr="00FC3B7C" w:rsidRDefault="004236C6" w:rsidP="004236C6">
      <w:pPr>
        <w:spacing w:line="200" w:lineRule="exact"/>
        <w:rPr>
          <w:sz w:val="20"/>
          <w:szCs w:val="20"/>
        </w:rPr>
      </w:pPr>
    </w:p>
    <w:p w14:paraId="6A34023A" w14:textId="77777777" w:rsidR="004236C6" w:rsidRPr="00FC3B7C" w:rsidRDefault="004236C6" w:rsidP="004236C6">
      <w:pPr>
        <w:spacing w:line="200" w:lineRule="exact"/>
        <w:rPr>
          <w:sz w:val="20"/>
          <w:szCs w:val="20"/>
        </w:rPr>
      </w:pPr>
    </w:p>
    <w:p w14:paraId="68466A12" w14:textId="77777777" w:rsidR="004236C6" w:rsidRPr="00FC3B7C" w:rsidRDefault="004236C6" w:rsidP="004236C6">
      <w:pPr>
        <w:spacing w:line="200" w:lineRule="exact"/>
        <w:rPr>
          <w:sz w:val="20"/>
          <w:szCs w:val="20"/>
        </w:rPr>
      </w:pPr>
    </w:p>
    <w:p w14:paraId="7060302B" w14:textId="77777777" w:rsidR="004236C6" w:rsidRPr="00FC3B7C" w:rsidRDefault="004236C6" w:rsidP="004236C6">
      <w:pPr>
        <w:spacing w:line="200" w:lineRule="exact"/>
        <w:rPr>
          <w:sz w:val="20"/>
          <w:szCs w:val="20"/>
        </w:rPr>
      </w:pPr>
    </w:p>
    <w:p w14:paraId="3524D696" w14:textId="77777777" w:rsidR="004236C6" w:rsidRPr="00FC3B7C" w:rsidRDefault="004236C6" w:rsidP="004236C6">
      <w:pPr>
        <w:spacing w:line="200" w:lineRule="exact"/>
        <w:rPr>
          <w:sz w:val="20"/>
          <w:szCs w:val="20"/>
        </w:rPr>
      </w:pPr>
    </w:p>
    <w:p w14:paraId="614900CC" w14:textId="77777777" w:rsidR="004236C6" w:rsidRPr="00FC3B7C" w:rsidRDefault="004236C6" w:rsidP="004236C6">
      <w:pPr>
        <w:spacing w:line="200" w:lineRule="exact"/>
        <w:rPr>
          <w:sz w:val="20"/>
          <w:szCs w:val="20"/>
        </w:rPr>
      </w:pPr>
    </w:p>
    <w:p w14:paraId="48B076D0" w14:textId="77777777" w:rsidR="004236C6" w:rsidRPr="00FC3B7C" w:rsidRDefault="004236C6" w:rsidP="004236C6">
      <w:pPr>
        <w:spacing w:line="200" w:lineRule="exact"/>
        <w:rPr>
          <w:sz w:val="20"/>
          <w:szCs w:val="20"/>
        </w:rPr>
      </w:pPr>
    </w:p>
    <w:p w14:paraId="34CAE833" w14:textId="77777777" w:rsidR="004236C6" w:rsidRPr="00FC3B7C" w:rsidRDefault="004236C6" w:rsidP="004236C6">
      <w:pPr>
        <w:spacing w:line="200" w:lineRule="exact"/>
        <w:rPr>
          <w:sz w:val="20"/>
          <w:szCs w:val="20"/>
        </w:rPr>
      </w:pPr>
    </w:p>
    <w:p w14:paraId="673AAFD0" w14:textId="77777777" w:rsidR="004236C6" w:rsidRPr="00FC3B7C" w:rsidRDefault="004236C6" w:rsidP="004236C6">
      <w:pPr>
        <w:spacing w:line="200" w:lineRule="exact"/>
        <w:rPr>
          <w:sz w:val="20"/>
          <w:szCs w:val="20"/>
        </w:rPr>
      </w:pPr>
    </w:p>
    <w:p w14:paraId="51779CBF" w14:textId="77777777" w:rsidR="004236C6" w:rsidRPr="00FC3B7C" w:rsidRDefault="004236C6" w:rsidP="004236C6">
      <w:pPr>
        <w:spacing w:line="200" w:lineRule="exact"/>
        <w:rPr>
          <w:sz w:val="20"/>
          <w:szCs w:val="20"/>
        </w:rPr>
      </w:pPr>
    </w:p>
    <w:p w14:paraId="74C53196" w14:textId="77777777" w:rsidR="004236C6" w:rsidRPr="00FC3B7C" w:rsidRDefault="004236C6" w:rsidP="004236C6">
      <w:pPr>
        <w:spacing w:line="200" w:lineRule="exact"/>
        <w:rPr>
          <w:sz w:val="20"/>
          <w:szCs w:val="20"/>
        </w:rPr>
      </w:pPr>
    </w:p>
    <w:p w14:paraId="4C0C3E67" w14:textId="77777777" w:rsidR="004236C6" w:rsidRPr="00FC3B7C" w:rsidRDefault="004236C6" w:rsidP="004236C6">
      <w:pPr>
        <w:spacing w:line="200" w:lineRule="exact"/>
        <w:rPr>
          <w:sz w:val="20"/>
          <w:szCs w:val="20"/>
        </w:rPr>
      </w:pPr>
    </w:p>
    <w:p w14:paraId="0CC2D973" w14:textId="77777777" w:rsidR="004236C6" w:rsidRPr="00FC3B7C" w:rsidRDefault="004236C6" w:rsidP="004236C6">
      <w:pPr>
        <w:spacing w:line="278" w:lineRule="exact"/>
        <w:rPr>
          <w:sz w:val="20"/>
          <w:szCs w:val="20"/>
        </w:rPr>
      </w:pPr>
    </w:p>
    <w:p w14:paraId="2A1CD710" w14:textId="77777777" w:rsidR="004236C6" w:rsidRPr="00FC3B7C" w:rsidRDefault="004236C6" w:rsidP="004236C6">
      <w:pPr>
        <w:rPr>
          <w:sz w:val="20"/>
          <w:szCs w:val="20"/>
        </w:rPr>
      </w:pPr>
      <w:r w:rsidRPr="00FC3B7C">
        <w:rPr>
          <w:rFonts w:eastAsia="Times New Roman"/>
          <w:sz w:val="20"/>
          <w:szCs w:val="20"/>
        </w:rPr>
        <w:t>Zdroj: Ševčík, M., 2009</w:t>
      </w:r>
    </w:p>
    <w:p w14:paraId="2F7342D3" w14:textId="77777777" w:rsidR="004236C6" w:rsidRPr="00FC3B7C" w:rsidRDefault="004236C6" w:rsidP="004236C6">
      <w:pPr>
        <w:spacing w:line="340" w:lineRule="exact"/>
        <w:rPr>
          <w:sz w:val="20"/>
          <w:szCs w:val="20"/>
        </w:rPr>
      </w:pPr>
    </w:p>
    <w:p w14:paraId="73D77376" w14:textId="77777777" w:rsidR="004236C6" w:rsidRPr="004236C6" w:rsidRDefault="004236C6" w:rsidP="004236C6">
      <w:pPr>
        <w:pStyle w:val="Nadpis3"/>
        <w:rPr>
          <w:color w:val="1F3864" w:themeColor="accent1" w:themeShade="80"/>
          <w:sz w:val="20"/>
          <w:szCs w:val="20"/>
        </w:rPr>
      </w:pPr>
      <w:r w:rsidRPr="004236C6">
        <w:rPr>
          <w:color w:val="1F3864" w:themeColor="accent1" w:themeShade="80"/>
        </w:rPr>
        <w:t>Vlivové</w:t>
      </w:r>
      <w:r w:rsidRPr="004236C6">
        <w:rPr>
          <w:rFonts w:eastAsia="Times New Roman"/>
          <w:color w:val="1F3864" w:themeColor="accent1" w:themeShade="80"/>
        </w:rPr>
        <w:t xml:space="preserve"> instituce</w:t>
      </w:r>
    </w:p>
    <w:p w14:paraId="2B757BC4" w14:textId="77777777" w:rsidR="004236C6" w:rsidRPr="00FC3B7C" w:rsidRDefault="004236C6" w:rsidP="004236C6">
      <w:pPr>
        <w:rPr>
          <w:sz w:val="20"/>
          <w:szCs w:val="20"/>
        </w:rPr>
      </w:pPr>
      <w:r w:rsidRPr="00FC3B7C">
        <w:rPr>
          <w:rFonts w:eastAsia="Times New Roman"/>
          <w:sz w:val="23"/>
          <w:szCs w:val="23"/>
        </w:rPr>
        <w:t>Do této skupiny patří subjekty, jež jsou protiváhou hospodářské politice. Jedná se například o:</w:t>
      </w:r>
    </w:p>
    <w:p w14:paraId="5519D875" w14:textId="77777777" w:rsidR="004236C6" w:rsidRPr="00FC3B7C" w:rsidRDefault="004236C6" w:rsidP="004236C6">
      <w:pPr>
        <w:numPr>
          <w:ilvl w:val="0"/>
          <w:numId w:val="49"/>
        </w:numPr>
        <w:tabs>
          <w:tab w:val="left" w:pos="1200"/>
        </w:tabs>
        <w:ind w:left="1200" w:hanging="368"/>
        <w:rPr>
          <w:rFonts w:eastAsia="Arial"/>
          <w:szCs w:val="24"/>
        </w:rPr>
      </w:pPr>
      <w:r w:rsidRPr="00FC3B7C">
        <w:rPr>
          <w:rFonts w:eastAsia="Times New Roman"/>
          <w:szCs w:val="24"/>
        </w:rPr>
        <w:t>velké podniky</w:t>
      </w:r>
      <w:r>
        <w:rPr>
          <w:rFonts w:eastAsia="Times New Roman"/>
          <w:szCs w:val="24"/>
        </w:rPr>
        <w:t>,</w:t>
      </w:r>
    </w:p>
    <w:p w14:paraId="5B91DA91" w14:textId="77777777" w:rsidR="004236C6" w:rsidRPr="00FC3B7C" w:rsidRDefault="004236C6" w:rsidP="004236C6">
      <w:pPr>
        <w:numPr>
          <w:ilvl w:val="0"/>
          <w:numId w:val="49"/>
        </w:numPr>
        <w:tabs>
          <w:tab w:val="left" w:pos="1200"/>
        </w:tabs>
        <w:ind w:left="1200" w:hanging="368"/>
        <w:rPr>
          <w:rFonts w:eastAsia="Arial"/>
          <w:szCs w:val="24"/>
        </w:rPr>
      </w:pPr>
      <w:r w:rsidRPr="00FC3B7C">
        <w:rPr>
          <w:rFonts w:eastAsia="Times New Roman"/>
          <w:szCs w:val="24"/>
        </w:rPr>
        <w:t>politické strany a odbory</w:t>
      </w:r>
      <w:r>
        <w:rPr>
          <w:rFonts w:eastAsia="Times New Roman"/>
          <w:szCs w:val="24"/>
        </w:rPr>
        <w:t>,</w:t>
      </w:r>
    </w:p>
    <w:p w14:paraId="057AD342" w14:textId="77777777" w:rsidR="004236C6" w:rsidRPr="00FC3B7C" w:rsidRDefault="004236C6" w:rsidP="004236C6">
      <w:pPr>
        <w:numPr>
          <w:ilvl w:val="0"/>
          <w:numId w:val="49"/>
        </w:numPr>
        <w:tabs>
          <w:tab w:val="left" w:pos="1200"/>
        </w:tabs>
        <w:ind w:left="1200" w:hanging="368"/>
        <w:rPr>
          <w:rFonts w:eastAsia="Arial"/>
          <w:szCs w:val="24"/>
        </w:rPr>
      </w:pPr>
      <w:r w:rsidRPr="00FC3B7C">
        <w:rPr>
          <w:rFonts w:eastAsia="Times New Roman"/>
          <w:szCs w:val="24"/>
        </w:rPr>
        <w:t>lobby</w:t>
      </w:r>
      <w:r>
        <w:rPr>
          <w:rFonts w:eastAsia="Times New Roman"/>
          <w:szCs w:val="24"/>
        </w:rPr>
        <w:t>,</w:t>
      </w:r>
    </w:p>
    <w:p w14:paraId="540731A3" w14:textId="77777777" w:rsidR="004236C6" w:rsidRPr="00FC3B7C" w:rsidRDefault="004236C6" w:rsidP="004236C6">
      <w:pPr>
        <w:numPr>
          <w:ilvl w:val="0"/>
          <w:numId w:val="49"/>
        </w:numPr>
        <w:tabs>
          <w:tab w:val="left" w:pos="1200"/>
        </w:tabs>
        <w:ind w:left="1200" w:hanging="368"/>
        <w:rPr>
          <w:rFonts w:eastAsia="Arial"/>
          <w:szCs w:val="24"/>
        </w:rPr>
      </w:pPr>
      <w:r w:rsidRPr="00FC3B7C">
        <w:rPr>
          <w:rFonts w:eastAsia="Times New Roman"/>
          <w:szCs w:val="24"/>
        </w:rPr>
        <w:t>hospodářské svazy</w:t>
      </w:r>
      <w:r>
        <w:rPr>
          <w:rFonts w:eastAsia="Times New Roman"/>
          <w:szCs w:val="24"/>
        </w:rPr>
        <w:t>.</w:t>
      </w:r>
    </w:p>
    <w:p w14:paraId="33082FEE" w14:textId="77777777" w:rsidR="004236C6" w:rsidRPr="00FC3B7C" w:rsidRDefault="004236C6" w:rsidP="004236C6">
      <w:pPr>
        <w:rPr>
          <w:sz w:val="20"/>
          <w:szCs w:val="20"/>
        </w:rPr>
      </w:pPr>
      <w:r w:rsidRPr="00FC3B7C">
        <w:rPr>
          <w:rFonts w:eastAsia="Times New Roman"/>
          <w:szCs w:val="24"/>
        </w:rPr>
        <w:t>K ovlivňování formování hospodářské politiky dochází zejména:</w:t>
      </w:r>
    </w:p>
    <w:p w14:paraId="5C237EA6" w14:textId="77777777" w:rsidR="004236C6" w:rsidRPr="00FC3B7C" w:rsidRDefault="004236C6" w:rsidP="004236C6">
      <w:pPr>
        <w:numPr>
          <w:ilvl w:val="0"/>
          <w:numId w:val="50"/>
        </w:numPr>
        <w:tabs>
          <w:tab w:val="left" w:pos="1200"/>
        </w:tabs>
        <w:ind w:left="1200" w:hanging="368"/>
        <w:rPr>
          <w:rFonts w:eastAsia="Arial"/>
          <w:szCs w:val="24"/>
        </w:rPr>
      </w:pPr>
      <w:r w:rsidRPr="00FC3B7C">
        <w:rPr>
          <w:rFonts w:eastAsia="Times New Roman"/>
          <w:szCs w:val="24"/>
        </w:rPr>
        <w:t>sdělovacími prostředky</w:t>
      </w:r>
      <w:r>
        <w:rPr>
          <w:rFonts w:eastAsia="Times New Roman"/>
          <w:szCs w:val="24"/>
        </w:rPr>
        <w:t>,</w:t>
      </w:r>
    </w:p>
    <w:p w14:paraId="58BE8131" w14:textId="77777777" w:rsidR="004236C6" w:rsidRPr="00FC3B7C" w:rsidRDefault="004236C6" w:rsidP="004236C6">
      <w:pPr>
        <w:numPr>
          <w:ilvl w:val="0"/>
          <w:numId w:val="50"/>
        </w:numPr>
        <w:tabs>
          <w:tab w:val="left" w:pos="1200"/>
        </w:tabs>
        <w:ind w:left="1200" w:hanging="368"/>
        <w:rPr>
          <w:rFonts w:eastAsia="Arial"/>
          <w:szCs w:val="24"/>
        </w:rPr>
      </w:pPr>
      <w:r w:rsidRPr="00FC3B7C">
        <w:rPr>
          <w:rFonts w:eastAsia="Times New Roman"/>
          <w:szCs w:val="24"/>
        </w:rPr>
        <w:t>ovlivňováním parlamentu</w:t>
      </w:r>
      <w:r>
        <w:rPr>
          <w:rFonts w:eastAsia="Times New Roman"/>
          <w:szCs w:val="24"/>
        </w:rPr>
        <w:t>,</w:t>
      </w:r>
    </w:p>
    <w:p w14:paraId="1F6F1B4E" w14:textId="77777777" w:rsidR="004236C6" w:rsidRPr="00FC3B7C" w:rsidRDefault="004236C6" w:rsidP="004236C6">
      <w:pPr>
        <w:numPr>
          <w:ilvl w:val="0"/>
          <w:numId w:val="50"/>
        </w:numPr>
        <w:tabs>
          <w:tab w:val="left" w:pos="1200"/>
        </w:tabs>
        <w:ind w:left="1200" w:hanging="368"/>
        <w:rPr>
          <w:rFonts w:eastAsia="Arial"/>
          <w:szCs w:val="24"/>
        </w:rPr>
      </w:pPr>
      <w:r w:rsidRPr="00FC3B7C">
        <w:rPr>
          <w:rFonts w:eastAsia="Times New Roman"/>
          <w:szCs w:val="24"/>
        </w:rPr>
        <w:t>ovlivňováním politických stran</w:t>
      </w:r>
      <w:r>
        <w:rPr>
          <w:rFonts w:eastAsia="Times New Roman"/>
          <w:szCs w:val="24"/>
        </w:rPr>
        <w:t>,</w:t>
      </w:r>
    </w:p>
    <w:p w14:paraId="04774566" w14:textId="77777777" w:rsidR="004236C6" w:rsidRPr="00FC3B7C" w:rsidRDefault="004236C6" w:rsidP="004236C6">
      <w:pPr>
        <w:numPr>
          <w:ilvl w:val="0"/>
          <w:numId w:val="50"/>
        </w:numPr>
        <w:tabs>
          <w:tab w:val="left" w:pos="1200"/>
        </w:tabs>
        <w:ind w:left="1200" w:hanging="368"/>
        <w:rPr>
          <w:rFonts w:eastAsia="Arial"/>
          <w:szCs w:val="24"/>
        </w:rPr>
      </w:pPr>
      <w:r w:rsidRPr="00FC3B7C">
        <w:rPr>
          <w:rFonts w:eastAsia="Times New Roman"/>
          <w:szCs w:val="24"/>
        </w:rPr>
        <w:t>informativními kontakty s</w:t>
      </w:r>
      <w:r>
        <w:rPr>
          <w:rFonts w:eastAsia="Times New Roman"/>
          <w:szCs w:val="24"/>
        </w:rPr>
        <w:t> </w:t>
      </w:r>
      <w:r w:rsidRPr="00FC3B7C">
        <w:rPr>
          <w:rFonts w:eastAsia="Times New Roman"/>
          <w:szCs w:val="24"/>
        </w:rPr>
        <w:t>vládou</w:t>
      </w:r>
      <w:r>
        <w:rPr>
          <w:rFonts w:eastAsia="Times New Roman"/>
          <w:szCs w:val="24"/>
        </w:rPr>
        <w:t>,</w:t>
      </w:r>
    </w:p>
    <w:p w14:paraId="6EAE0729" w14:textId="77777777" w:rsidR="004236C6" w:rsidRPr="00FC3B7C" w:rsidRDefault="004236C6" w:rsidP="004236C6">
      <w:pPr>
        <w:numPr>
          <w:ilvl w:val="0"/>
          <w:numId w:val="50"/>
        </w:numPr>
        <w:tabs>
          <w:tab w:val="left" w:pos="1200"/>
        </w:tabs>
        <w:ind w:left="1200" w:hanging="368"/>
        <w:rPr>
          <w:rFonts w:eastAsia="Arial"/>
          <w:szCs w:val="24"/>
        </w:rPr>
      </w:pPr>
      <w:r w:rsidRPr="00FC3B7C">
        <w:rPr>
          <w:rFonts w:eastAsia="Times New Roman"/>
          <w:szCs w:val="24"/>
        </w:rPr>
        <w:t>oficiálním zastoupením ve veřejných organizacích aj.</w:t>
      </w:r>
    </w:p>
    <w:p w14:paraId="25559713" w14:textId="77777777" w:rsidR="004236C6" w:rsidRPr="00FC3B7C" w:rsidRDefault="004236C6" w:rsidP="004236C6">
      <w:pPr>
        <w:sectPr w:rsidR="004236C6" w:rsidRPr="00FC3B7C">
          <w:pgSz w:w="11900" w:h="16840"/>
          <w:pgMar w:top="1391" w:right="1440" w:bottom="1440" w:left="1420" w:header="0" w:footer="0" w:gutter="0"/>
          <w:cols w:space="708" w:equalWidth="0">
            <w:col w:w="9040"/>
          </w:cols>
        </w:sectPr>
      </w:pPr>
    </w:p>
    <w:p w14:paraId="5F916C06" w14:textId="77777777" w:rsidR="004236C6" w:rsidRPr="004236C6" w:rsidRDefault="004236C6" w:rsidP="004236C6">
      <w:pPr>
        <w:pStyle w:val="Nadpis3"/>
        <w:rPr>
          <w:color w:val="1F3864" w:themeColor="accent1" w:themeShade="80"/>
          <w:sz w:val="20"/>
          <w:szCs w:val="20"/>
        </w:rPr>
      </w:pPr>
      <w:bookmarkStart w:id="74" w:name="page72"/>
      <w:bookmarkEnd w:id="74"/>
      <w:r w:rsidRPr="004236C6">
        <w:rPr>
          <w:rFonts w:eastAsia="Times New Roman"/>
          <w:color w:val="1F3864" w:themeColor="accent1" w:themeShade="80"/>
        </w:rPr>
        <w:lastRenderedPageBreak/>
        <w:t>Nadnárodní organizace</w:t>
      </w:r>
    </w:p>
    <w:p w14:paraId="68E9FDE4" w14:textId="77777777" w:rsidR="004236C6" w:rsidRPr="00FC3B7C" w:rsidRDefault="004236C6" w:rsidP="004236C6">
      <w:pPr>
        <w:rPr>
          <w:sz w:val="20"/>
          <w:szCs w:val="20"/>
        </w:rPr>
      </w:pPr>
      <w:r w:rsidRPr="00FC3B7C">
        <w:rPr>
          <w:rFonts w:eastAsia="Times New Roman"/>
        </w:rPr>
        <w:t xml:space="preserve">Tato skupina představuje podmínky spolupráce v integrovaných hospodářsko-politických celcích, které mají často silnou decizní pozici v silně provázaných integracích. Čím vyšší je dosažený stupeň integrace, tím více je omezována autonomní národní hospodářská politika, která musí respektovat závazná rozhodnutí nadnárodních orgánů. Jedná se např. </w:t>
      </w:r>
      <w:r>
        <w:rPr>
          <w:rFonts w:eastAsia="Times New Roman"/>
        </w:rPr>
        <w:br/>
      </w:r>
      <w:r w:rsidRPr="00FC3B7C">
        <w:rPr>
          <w:rFonts w:eastAsia="Times New Roman"/>
        </w:rPr>
        <w:t>o organizace – OSN, EU, OECD, ratingové instituce (Moody´s, Fitch...), ECB, MMF atd.</w:t>
      </w:r>
    </w:p>
    <w:p w14:paraId="73BDFA41" w14:textId="77777777" w:rsidR="004236C6" w:rsidRPr="00FC3B7C" w:rsidRDefault="004236C6" w:rsidP="004236C6">
      <w:pPr>
        <w:spacing w:line="200" w:lineRule="exact"/>
        <w:rPr>
          <w:sz w:val="20"/>
          <w:szCs w:val="20"/>
        </w:rPr>
      </w:pPr>
    </w:p>
    <w:p w14:paraId="5A367511" w14:textId="77777777" w:rsidR="004236C6" w:rsidRPr="004236C6" w:rsidRDefault="004236C6" w:rsidP="004236C6">
      <w:pPr>
        <w:pStyle w:val="Nadpis2"/>
        <w:rPr>
          <w:color w:val="1F3864" w:themeColor="accent1" w:themeShade="80"/>
        </w:rPr>
      </w:pPr>
      <w:r w:rsidRPr="004236C6">
        <w:rPr>
          <w:rFonts w:eastAsia="Times New Roman"/>
          <w:color w:val="1F3864" w:themeColor="accent1" w:themeShade="80"/>
        </w:rPr>
        <w:t>INSTITUCIONÁLNÍ RÁMEC PRAKTICKÉ HP (TYPY</w:t>
      </w:r>
      <w:r w:rsidRPr="004236C6">
        <w:rPr>
          <w:color w:val="1F3864" w:themeColor="accent1" w:themeShade="80"/>
        </w:rPr>
        <w:t xml:space="preserve"> KOORDINAČNÍCH SYSTÉMŮ)</w:t>
      </w:r>
    </w:p>
    <w:p w14:paraId="7635E4EA" w14:textId="77777777" w:rsidR="004236C6" w:rsidRPr="00FC3B7C" w:rsidRDefault="004236C6" w:rsidP="004236C6">
      <w:pPr>
        <w:spacing w:line="362" w:lineRule="auto"/>
        <w:ind w:right="80"/>
        <w:rPr>
          <w:sz w:val="20"/>
          <w:szCs w:val="20"/>
        </w:rPr>
      </w:pPr>
      <w:r w:rsidRPr="00FC3B7C">
        <w:rPr>
          <w:rFonts w:eastAsia="Times New Roman"/>
          <w:szCs w:val="24"/>
        </w:rPr>
        <w:t>Odlišnost podmínek pro hospodářskou politiku mezi jednotlivými zeměmi je dána tradicemi, náboženským vnímáním, sociálním cítěním, kulturou, převažujícími zvyklostmi, historickým vývojem, zkušenostmi, konvencemi, atd. Hospodářská politika v každé zemi je ovlivňována určitou soustavou institucionálních podmínek (prvky soustavy mohou mít v jednotlivých zemích odlišnou váhu):</w:t>
      </w:r>
    </w:p>
    <w:p w14:paraId="0C9BD9C0" w14:textId="77777777" w:rsidR="004236C6" w:rsidRPr="00FC3B7C" w:rsidRDefault="004236C6" w:rsidP="004236C6">
      <w:pPr>
        <w:spacing w:line="7" w:lineRule="exact"/>
        <w:rPr>
          <w:sz w:val="20"/>
          <w:szCs w:val="20"/>
        </w:rPr>
      </w:pPr>
    </w:p>
    <w:p w14:paraId="51FD4E3A" w14:textId="77777777" w:rsidR="004236C6" w:rsidRPr="00FC3B7C" w:rsidRDefault="004236C6" w:rsidP="004236C6">
      <w:pPr>
        <w:numPr>
          <w:ilvl w:val="0"/>
          <w:numId w:val="51"/>
        </w:numPr>
        <w:tabs>
          <w:tab w:val="left" w:pos="1920"/>
        </w:tabs>
        <w:spacing w:line="368" w:lineRule="auto"/>
        <w:ind w:left="1920" w:hanging="368"/>
        <w:rPr>
          <w:rFonts w:eastAsia="Arial"/>
          <w:szCs w:val="24"/>
        </w:rPr>
      </w:pPr>
      <w:r w:rsidRPr="00FC3B7C">
        <w:rPr>
          <w:rFonts w:eastAsia="Times New Roman"/>
          <w:szCs w:val="24"/>
        </w:rPr>
        <w:t>hospodářský systém (typ uspořádání ekonomiky) o politický systém (státní instituce, politické strany) o byrokracie</w:t>
      </w:r>
    </w:p>
    <w:p w14:paraId="7DAED8BD" w14:textId="77777777" w:rsidR="004236C6" w:rsidRPr="00FC3B7C" w:rsidRDefault="004236C6" w:rsidP="004236C6">
      <w:pPr>
        <w:spacing w:line="1" w:lineRule="exact"/>
        <w:rPr>
          <w:rFonts w:eastAsia="Arial"/>
          <w:szCs w:val="24"/>
        </w:rPr>
      </w:pPr>
    </w:p>
    <w:p w14:paraId="37BDCA6A" w14:textId="77777777" w:rsidR="004236C6" w:rsidRPr="00FC3B7C" w:rsidRDefault="004236C6" w:rsidP="004236C6">
      <w:pPr>
        <w:numPr>
          <w:ilvl w:val="0"/>
          <w:numId w:val="51"/>
        </w:numPr>
        <w:tabs>
          <w:tab w:val="left" w:pos="1920"/>
        </w:tabs>
        <w:ind w:left="1920" w:hanging="368"/>
        <w:rPr>
          <w:rFonts w:eastAsia="Arial"/>
          <w:szCs w:val="24"/>
        </w:rPr>
      </w:pPr>
      <w:r w:rsidRPr="00FC3B7C">
        <w:rPr>
          <w:rFonts w:eastAsia="Times New Roman"/>
          <w:szCs w:val="24"/>
        </w:rPr>
        <w:t>velké zájmové skupiny (důchodci, studenti)</w:t>
      </w:r>
    </w:p>
    <w:p w14:paraId="070B12D0" w14:textId="77777777" w:rsidR="004236C6" w:rsidRPr="00FC3B7C" w:rsidRDefault="004236C6" w:rsidP="004236C6">
      <w:pPr>
        <w:numPr>
          <w:ilvl w:val="0"/>
          <w:numId w:val="51"/>
        </w:numPr>
        <w:tabs>
          <w:tab w:val="left" w:pos="1920"/>
        </w:tabs>
        <w:spacing w:after="240"/>
        <w:ind w:left="1920" w:hanging="368"/>
        <w:rPr>
          <w:rFonts w:eastAsia="Arial"/>
          <w:szCs w:val="24"/>
        </w:rPr>
      </w:pPr>
      <w:r w:rsidRPr="00FC3B7C">
        <w:rPr>
          <w:rFonts w:eastAsia="Times New Roman"/>
          <w:szCs w:val="24"/>
        </w:rPr>
        <w:t>nadnárodní a mezinárodní organizace a integrační uskupení</w:t>
      </w:r>
    </w:p>
    <w:p w14:paraId="4EDD61EB" w14:textId="77777777" w:rsidR="004236C6" w:rsidRPr="004236C6" w:rsidRDefault="004236C6" w:rsidP="004236C6">
      <w:pPr>
        <w:pStyle w:val="Nadpis3"/>
        <w:rPr>
          <w:color w:val="1F3864" w:themeColor="accent1" w:themeShade="80"/>
          <w:sz w:val="20"/>
          <w:szCs w:val="20"/>
        </w:rPr>
      </w:pPr>
      <w:r w:rsidRPr="004236C6">
        <w:rPr>
          <w:rFonts w:eastAsia="Times New Roman"/>
          <w:color w:val="1F3864" w:themeColor="accent1" w:themeShade="80"/>
        </w:rPr>
        <w:t>Hospodářský systém</w:t>
      </w:r>
    </w:p>
    <w:p w14:paraId="1E026298" w14:textId="77777777" w:rsidR="004236C6" w:rsidRPr="00FC3B7C" w:rsidRDefault="004236C6" w:rsidP="004236C6">
      <w:pPr>
        <w:spacing w:line="370" w:lineRule="auto"/>
        <w:ind w:right="200"/>
        <w:rPr>
          <w:sz w:val="20"/>
          <w:szCs w:val="20"/>
        </w:rPr>
      </w:pPr>
      <w:r w:rsidRPr="00FC3B7C">
        <w:rPr>
          <w:rFonts w:eastAsia="Times New Roman"/>
          <w:szCs w:val="24"/>
        </w:rPr>
        <w:t>Z historického pohledu existovalo v průběhu dějin několik typů koordinace hospodářství určitého území, ve kterém dochází k ekonomickým transakcím, dělbě práce a mezilidské kooperaci spojené se společenskou povahou člověka. Těmi všeobecně uznávanými vědeckou veřejností jsou:</w:t>
      </w:r>
    </w:p>
    <w:p w14:paraId="5C8D1C1C" w14:textId="77777777" w:rsidR="004236C6" w:rsidRPr="00FC3B7C" w:rsidRDefault="004236C6" w:rsidP="004236C6">
      <w:pPr>
        <w:spacing w:line="145" w:lineRule="exact"/>
        <w:rPr>
          <w:sz w:val="20"/>
          <w:szCs w:val="20"/>
        </w:rPr>
      </w:pPr>
    </w:p>
    <w:p w14:paraId="2C7C5589" w14:textId="77777777" w:rsidR="004236C6" w:rsidRPr="004236C6" w:rsidRDefault="004236C6" w:rsidP="004236C6">
      <w:pPr>
        <w:pStyle w:val="Nadpis4"/>
        <w:rPr>
          <w:color w:val="1F3864" w:themeColor="accent1" w:themeShade="80"/>
          <w:sz w:val="20"/>
          <w:szCs w:val="20"/>
        </w:rPr>
      </w:pPr>
      <w:r w:rsidRPr="004236C6">
        <w:rPr>
          <w:rFonts w:eastAsia="Times New Roman"/>
          <w:color w:val="1F3864" w:themeColor="accent1" w:themeShade="80"/>
        </w:rPr>
        <w:t>Systém dědičného přinucení</w:t>
      </w:r>
    </w:p>
    <w:p w14:paraId="38EA29CF" w14:textId="77777777" w:rsidR="004236C6" w:rsidRPr="00FC3B7C" w:rsidRDefault="004236C6" w:rsidP="004236C6">
      <w:pPr>
        <w:spacing w:line="370" w:lineRule="auto"/>
        <w:ind w:right="220"/>
        <w:rPr>
          <w:sz w:val="20"/>
          <w:szCs w:val="20"/>
        </w:rPr>
      </w:pPr>
      <w:r w:rsidRPr="00FC3B7C">
        <w:rPr>
          <w:rFonts w:eastAsia="Times New Roman"/>
          <w:szCs w:val="24"/>
        </w:rPr>
        <w:t xml:space="preserve">Jeden z nejstarších přístupů přesně vymezených pravidel. Vyvinul se spontánně s tím, jak docházelo k růstu náboženské, ekonomické a mocenské síly určité skupiny společnosti nezávisle na jejich výkonu, tvorbě produktu – příkladem je </w:t>
      </w:r>
      <w:r w:rsidRPr="00FC3B7C">
        <w:rPr>
          <w:rFonts w:eastAsia="Times New Roman"/>
          <w:b/>
          <w:bCs/>
          <w:szCs w:val="24"/>
        </w:rPr>
        <w:t>kastovní systém</w:t>
      </w:r>
      <w:r w:rsidRPr="00FC3B7C">
        <w:rPr>
          <w:rFonts w:eastAsia="Times New Roman"/>
          <w:szCs w:val="24"/>
        </w:rPr>
        <w:t>, systém dědičné příslušnosti ke skupině společnosti.</w:t>
      </w:r>
    </w:p>
    <w:p w14:paraId="0A52B727" w14:textId="77777777" w:rsidR="004236C6" w:rsidRPr="00FC3B7C" w:rsidRDefault="004236C6" w:rsidP="004236C6">
      <w:pPr>
        <w:sectPr w:rsidR="004236C6" w:rsidRPr="00FC3B7C">
          <w:pgSz w:w="11900" w:h="16840"/>
          <w:pgMar w:top="1386" w:right="1400" w:bottom="1440" w:left="1420" w:header="0" w:footer="0" w:gutter="0"/>
          <w:cols w:space="708" w:equalWidth="0">
            <w:col w:w="9080"/>
          </w:cols>
        </w:sectPr>
      </w:pPr>
    </w:p>
    <w:p w14:paraId="22491B8D" w14:textId="77777777" w:rsidR="004236C6" w:rsidRPr="004236C6" w:rsidRDefault="004236C6" w:rsidP="004236C6">
      <w:pPr>
        <w:pStyle w:val="Nadpis4"/>
        <w:rPr>
          <w:color w:val="1F3864" w:themeColor="accent1" w:themeShade="80"/>
          <w:sz w:val="20"/>
          <w:szCs w:val="20"/>
        </w:rPr>
      </w:pPr>
      <w:bookmarkStart w:id="75" w:name="page73"/>
      <w:bookmarkEnd w:id="75"/>
      <w:r w:rsidRPr="004236C6">
        <w:rPr>
          <w:rFonts w:eastAsia="Times New Roman"/>
          <w:color w:val="1F3864" w:themeColor="accent1" w:themeShade="80"/>
        </w:rPr>
        <w:lastRenderedPageBreak/>
        <w:t>Tržně-cenový koordinační systém (tržní ekonomika)</w:t>
      </w:r>
    </w:p>
    <w:p w14:paraId="69B2B587" w14:textId="77777777" w:rsidR="004236C6" w:rsidRPr="00FC3B7C" w:rsidRDefault="004236C6" w:rsidP="004236C6">
      <w:pPr>
        <w:spacing w:line="387" w:lineRule="auto"/>
        <w:ind w:left="4" w:right="60"/>
        <w:rPr>
          <w:sz w:val="20"/>
          <w:szCs w:val="20"/>
        </w:rPr>
      </w:pPr>
      <w:r w:rsidRPr="00FC3B7C">
        <w:rPr>
          <w:rFonts w:eastAsia="Times New Roman"/>
          <w:b/>
          <w:bCs/>
          <w:sz w:val="23"/>
          <w:szCs w:val="23"/>
        </w:rPr>
        <w:t>Tržní systém</w:t>
      </w:r>
      <w:r w:rsidRPr="00FC3B7C">
        <w:rPr>
          <w:rFonts w:eastAsia="Times New Roman"/>
          <w:sz w:val="23"/>
          <w:szCs w:val="23"/>
        </w:rPr>
        <w:t>, kde hlavním koordinačním systémem společnosti je svobodné,</w:t>
      </w:r>
      <w:r w:rsidRPr="00FC3B7C">
        <w:rPr>
          <w:rFonts w:eastAsia="Times New Roman"/>
          <w:b/>
          <w:bCs/>
          <w:sz w:val="23"/>
          <w:szCs w:val="23"/>
        </w:rPr>
        <w:t xml:space="preserve"> </w:t>
      </w:r>
      <w:r w:rsidRPr="00FC3B7C">
        <w:rPr>
          <w:rFonts w:eastAsia="Times New Roman"/>
          <w:sz w:val="23"/>
          <w:szCs w:val="23"/>
        </w:rPr>
        <w:t xml:space="preserve">decentralizované rozhodování jednotlivců o příslušnosti k trhu (domácnosti, firmy, stát a další organizace). </w:t>
      </w:r>
      <w:r>
        <w:rPr>
          <w:rFonts w:eastAsia="Times New Roman"/>
          <w:sz w:val="23"/>
          <w:szCs w:val="23"/>
        </w:rPr>
        <w:br/>
      </w:r>
      <w:r w:rsidRPr="00FC3B7C">
        <w:rPr>
          <w:rFonts w:eastAsia="Times New Roman"/>
          <w:sz w:val="23"/>
          <w:szCs w:val="23"/>
        </w:rPr>
        <w:t>V tomto systému dochází ke střetávání potřeb s alternativami jejich uspokojení prostřednictvím hlavního informačního zdroje – ceny. Hlavní snahou účastníků trhu je maximalizace užitku. Vztahy mezi subjekty v tomto systému jsou horizontální povahy.</w:t>
      </w:r>
    </w:p>
    <w:p w14:paraId="07EAFCEC" w14:textId="77777777" w:rsidR="004236C6" w:rsidRPr="00FC3B7C" w:rsidRDefault="004236C6" w:rsidP="004236C6">
      <w:pPr>
        <w:spacing w:line="133" w:lineRule="exact"/>
        <w:rPr>
          <w:sz w:val="20"/>
          <w:szCs w:val="20"/>
        </w:rPr>
      </w:pPr>
    </w:p>
    <w:p w14:paraId="5CF5AD65" w14:textId="77777777" w:rsidR="004236C6" w:rsidRPr="004236C6" w:rsidRDefault="004236C6" w:rsidP="004236C6">
      <w:pPr>
        <w:pStyle w:val="Nadpis4"/>
        <w:rPr>
          <w:color w:val="1F3864" w:themeColor="accent1" w:themeShade="80"/>
          <w:sz w:val="20"/>
          <w:szCs w:val="20"/>
        </w:rPr>
      </w:pPr>
      <w:r w:rsidRPr="004236C6">
        <w:rPr>
          <w:rFonts w:eastAsia="Times New Roman"/>
          <w:color w:val="1F3864" w:themeColor="accent1" w:themeShade="80"/>
        </w:rPr>
        <w:t>Systém organizačně příkazový</w:t>
      </w:r>
    </w:p>
    <w:p w14:paraId="5809D65A" w14:textId="77777777" w:rsidR="004236C6" w:rsidRPr="00FC3B7C" w:rsidRDefault="004236C6" w:rsidP="004236C6">
      <w:pPr>
        <w:ind w:left="4" w:right="80"/>
        <w:rPr>
          <w:sz w:val="20"/>
          <w:szCs w:val="20"/>
        </w:rPr>
      </w:pPr>
      <w:r w:rsidRPr="00FC3B7C">
        <w:rPr>
          <w:rFonts w:eastAsia="Times New Roman"/>
          <w:szCs w:val="24"/>
        </w:rPr>
        <w:t>Základním koordinačním prvkem je plán, který vychází centrální povahy organizace hospodářství. Hlavním subjektem je nejčastěji stát (nebo jakákoli dominantní instituce</w:t>
      </w:r>
      <w:r>
        <w:rPr>
          <w:rFonts w:eastAsia="Times New Roman"/>
          <w:szCs w:val="24"/>
        </w:rPr>
        <w:br/>
      </w:r>
      <w:r w:rsidRPr="00FC3B7C">
        <w:rPr>
          <w:rFonts w:eastAsia="Times New Roman"/>
          <w:szCs w:val="24"/>
        </w:rPr>
        <w:t>v dané společnosti). Ekonomická kalkulace jednotlivců je nahrazena autoritářským přístupem státu, který vytváří systém plánování a jasně vymezených pravidel podle kterých se řídí celý hospodářský systém. Vztah mezi státem a ostatními subjekty hospodářství je vertikální. Souběžné působení koordinačních mechanismů „trhu“ a „plánu“ vede v</w:t>
      </w:r>
      <w:r>
        <w:rPr>
          <w:rFonts w:eastAsia="Times New Roman"/>
          <w:szCs w:val="24"/>
        </w:rPr>
        <w:t> </w:t>
      </w:r>
      <w:r w:rsidRPr="00FC3B7C">
        <w:rPr>
          <w:rFonts w:eastAsia="Times New Roman"/>
          <w:szCs w:val="24"/>
        </w:rPr>
        <w:t>teorii</w:t>
      </w:r>
      <w:r>
        <w:rPr>
          <w:rFonts w:eastAsia="Times New Roman"/>
          <w:szCs w:val="24"/>
        </w:rPr>
        <w:br/>
      </w:r>
      <w:r w:rsidRPr="00FC3B7C">
        <w:rPr>
          <w:rFonts w:eastAsia="Times New Roman"/>
          <w:szCs w:val="24"/>
        </w:rPr>
        <w:t xml:space="preserve">k pokusům o spojení pozitivních prvků obou mechanismů – tento přístup je nazvaný jako tzv. </w:t>
      </w:r>
      <w:r w:rsidRPr="00FC3B7C">
        <w:rPr>
          <w:rFonts w:eastAsia="Times New Roman"/>
          <w:b/>
          <w:bCs/>
          <w:szCs w:val="24"/>
        </w:rPr>
        <w:t>hledání třetí</w:t>
      </w:r>
      <w:r w:rsidRPr="00FC3B7C">
        <w:rPr>
          <w:rFonts w:eastAsia="Times New Roman"/>
          <w:szCs w:val="24"/>
        </w:rPr>
        <w:t xml:space="preserve"> </w:t>
      </w:r>
      <w:r w:rsidRPr="00FC3B7C">
        <w:rPr>
          <w:rFonts w:eastAsia="Times New Roman"/>
          <w:b/>
          <w:bCs/>
          <w:szCs w:val="24"/>
        </w:rPr>
        <w:t>cesty</w:t>
      </w:r>
      <w:r w:rsidRPr="00FC3B7C">
        <w:rPr>
          <w:rFonts w:eastAsia="Times New Roman"/>
          <w:szCs w:val="24"/>
        </w:rPr>
        <w:t>.</w:t>
      </w:r>
    </w:p>
    <w:p w14:paraId="0C7132A9" w14:textId="77777777" w:rsidR="004236C6" w:rsidRPr="00FC3B7C" w:rsidRDefault="004236C6" w:rsidP="004236C6">
      <w:pPr>
        <w:numPr>
          <w:ilvl w:val="0"/>
          <w:numId w:val="52"/>
        </w:numPr>
        <w:tabs>
          <w:tab w:val="left" w:pos="305"/>
        </w:tabs>
        <w:spacing w:line="358" w:lineRule="auto"/>
        <w:ind w:left="4" w:right="80" w:hanging="4"/>
        <w:rPr>
          <w:rFonts w:eastAsia="Times New Roman"/>
          <w:szCs w:val="24"/>
        </w:rPr>
      </w:pPr>
      <w:r w:rsidRPr="00FC3B7C">
        <w:rPr>
          <w:rFonts w:eastAsia="Times New Roman"/>
          <w:szCs w:val="24"/>
        </w:rPr>
        <w:t xml:space="preserve">rámci organizačně-příkazového i tržně-cenového systému je možné provádět změny. Změna, která upravuje koordinační mechanismus, je </w:t>
      </w:r>
      <w:r w:rsidRPr="00FC3B7C">
        <w:rPr>
          <w:rFonts w:eastAsia="Times New Roman"/>
          <w:b/>
          <w:bCs/>
          <w:szCs w:val="24"/>
        </w:rPr>
        <w:t>reformou</w:t>
      </w:r>
      <w:r w:rsidRPr="00FC3B7C">
        <w:rPr>
          <w:rFonts w:eastAsia="Times New Roman"/>
          <w:szCs w:val="24"/>
        </w:rPr>
        <w:t xml:space="preserve">. Změna, jež mění jeden koordinační mechanismus na druhý, je </w:t>
      </w:r>
      <w:r w:rsidRPr="00FC3B7C">
        <w:rPr>
          <w:rFonts w:eastAsia="Times New Roman"/>
          <w:b/>
          <w:bCs/>
          <w:szCs w:val="24"/>
        </w:rPr>
        <w:t>transformací</w:t>
      </w:r>
      <w:r w:rsidRPr="00FC3B7C">
        <w:rPr>
          <w:rFonts w:eastAsia="Times New Roman"/>
          <w:szCs w:val="24"/>
        </w:rPr>
        <w:t>. Transformaci je možno uskutečnit</w:t>
      </w:r>
    </w:p>
    <w:p w14:paraId="6DB12973" w14:textId="77777777" w:rsidR="004236C6" w:rsidRPr="00FC3B7C" w:rsidRDefault="004236C6" w:rsidP="004236C6">
      <w:pPr>
        <w:spacing w:line="2" w:lineRule="exact"/>
        <w:rPr>
          <w:sz w:val="20"/>
          <w:szCs w:val="20"/>
        </w:rPr>
      </w:pPr>
    </w:p>
    <w:p w14:paraId="4090197D" w14:textId="77777777" w:rsidR="004236C6" w:rsidRPr="00FC3B7C" w:rsidRDefault="004236C6" w:rsidP="004236C6">
      <w:pPr>
        <w:ind w:left="4"/>
        <w:rPr>
          <w:sz w:val="20"/>
          <w:szCs w:val="20"/>
        </w:rPr>
      </w:pPr>
      <w:r w:rsidRPr="00FC3B7C">
        <w:rPr>
          <w:rFonts w:eastAsia="Times New Roman"/>
          <w:b/>
          <w:bCs/>
          <w:szCs w:val="24"/>
        </w:rPr>
        <w:t xml:space="preserve">metodou postupnou </w:t>
      </w:r>
      <w:r w:rsidRPr="00FC3B7C">
        <w:rPr>
          <w:rFonts w:eastAsia="Times New Roman"/>
          <w:szCs w:val="24"/>
        </w:rPr>
        <w:t>(v průběhu např. u</w:t>
      </w:r>
      <w:r w:rsidRPr="00FC3B7C">
        <w:rPr>
          <w:rFonts w:eastAsia="Times New Roman"/>
          <w:b/>
          <w:bCs/>
          <w:szCs w:val="24"/>
        </w:rPr>
        <w:t xml:space="preserve"> </w:t>
      </w:r>
      <w:r w:rsidRPr="00FC3B7C">
        <w:rPr>
          <w:rFonts w:eastAsia="Times New Roman"/>
          <w:szCs w:val="24"/>
        </w:rPr>
        <w:t>Číny),</w:t>
      </w:r>
      <w:r w:rsidRPr="00FC3B7C">
        <w:rPr>
          <w:rFonts w:eastAsia="Times New Roman"/>
          <w:b/>
          <w:bCs/>
          <w:szCs w:val="24"/>
        </w:rPr>
        <w:t xml:space="preserve"> </w:t>
      </w:r>
      <w:r w:rsidRPr="00FC3B7C">
        <w:rPr>
          <w:rFonts w:eastAsia="Times New Roman"/>
          <w:szCs w:val="24"/>
        </w:rPr>
        <w:t>či</w:t>
      </w:r>
      <w:r w:rsidRPr="00FC3B7C">
        <w:rPr>
          <w:rFonts w:eastAsia="Times New Roman"/>
          <w:b/>
          <w:bCs/>
          <w:szCs w:val="24"/>
        </w:rPr>
        <w:t xml:space="preserve"> metodou šokové terapie </w:t>
      </w:r>
      <w:r w:rsidRPr="00FC3B7C">
        <w:rPr>
          <w:rFonts w:eastAsia="Times New Roman"/>
          <w:szCs w:val="24"/>
        </w:rPr>
        <w:t>(Německo,</w:t>
      </w:r>
      <w:r w:rsidRPr="00FC3B7C">
        <w:rPr>
          <w:rFonts w:eastAsia="Times New Roman"/>
          <w:b/>
          <w:bCs/>
          <w:szCs w:val="24"/>
        </w:rPr>
        <w:t xml:space="preserve"> </w:t>
      </w:r>
      <w:r w:rsidRPr="00FC3B7C">
        <w:rPr>
          <w:rFonts w:eastAsia="Times New Roman"/>
          <w:szCs w:val="24"/>
        </w:rPr>
        <w:t>ČR).</w:t>
      </w:r>
    </w:p>
    <w:p w14:paraId="732E9BDC" w14:textId="77777777" w:rsidR="004236C6" w:rsidRPr="00FC3B7C" w:rsidRDefault="004236C6" w:rsidP="004236C6">
      <w:pPr>
        <w:spacing w:line="143" w:lineRule="exact"/>
        <w:rPr>
          <w:sz w:val="20"/>
          <w:szCs w:val="20"/>
        </w:rPr>
      </w:pPr>
    </w:p>
    <w:p w14:paraId="5E1E43C0" w14:textId="77777777" w:rsidR="004236C6" w:rsidRPr="00FC3B7C" w:rsidRDefault="004236C6" w:rsidP="004236C6">
      <w:pPr>
        <w:ind w:left="4"/>
        <w:rPr>
          <w:sz w:val="20"/>
          <w:szCs w:val="20"/>
        </w:rPr>
      </w:pPr>
      <w:r w:rsidRPr="00FC3B7C">
        <w:rPr>
          <w:rFonts w:eastAsia="Times New Roman"/>
          <w:szCs w:val="24"/>
        </w:rPr>
        <w:t>Úspěšná transformace (z centrálně-řízených na tržní systémy) musí sestávat z těchto kroků:</w:t>
      </w:r>
    </w:p>
    <w:p w14:paraId="4A1A0E44" w14:textId="77777777" w:rsidR="004236C6" w:rsidRPr="00FC3B7C" w:rsidRDefault="004236C6" w:rsidP="004236C6">
      <w:pPr>
        <w:numPr>
          <w:ilvl w:val="0"/>
          <w:numId w:val="53"/>
        </w:numPr>
        <w:tabs>
          <w:tab w:val="left" w:pos="1004"/>
        </w:tabs>
        <w:ind w:left="1004" w:hanging="360"/>
        <w:rPr>
          <w:rFonts w:eastAsia="Times New Roman"/>
          <w:szCs w:val="24"/>
        </w:rPr>
      </w:pPr>
      <w:r w:rsidRPr="00FC3B7C">
        <w:rPr>
          <w:rFonts w:eastAsia="Times New Roman"/>
          <w:szCs w:val="24"/>
        </w:rPr>
        <w:t>privatizace</w:t>
      </w:r>
      <w:r>
        <w:rPr>
          <w:rFonts w:eastAsia="Times New Roman"/>
          <w:szCs w:val="24"/>
        </w:rPr>
        <w:t>,</w:t>
      </w:r>
    </w:p>
    <w:p w14:paraId="64A227A9" w14:textId="77777777" w:rsidR="004236C6" w:rsidRPr="00FC3B7C" w:rsidRDefault="004236C6" w:rsidP="004236C6">
      <w:pPr>
        <w:numPr>
          <w:ilvl w:val="0"/>
          <w:numId w:val="53"/>
        </w:numPr>
        <w:tabs>
          <w:tab w:val="left" w:pos="1004"/>
        </w:tabs>
        <w:ind w:left="1004" w:hanging="360"/>
        <w:rPr>
          <w:rFonts w:eastAsia="Times New Roman"/>
          <w:szCs w:val="24"/>
        </w:rPr>
      </w:pPr>
      <w:r w:rsidRPr="00FC3B7C">
        <w:rPr>
          <w:rFonts w:eastAsia="Times New Roman"/>
          <w:szCs w:val="24"/>
        </w:rPr>
        <w:t>liberalizace cen</w:t>
      </w:r>
      <w:r>
        <w:rPr>
          <w:rFonts w:eastAsia="Times New Roman"/>
          <w:szCs w:val="24"/>
        </w:rPr>
        <w:t>,</w:t>
      </w:r>
    </w:p>
    <w:p w14:paraId="3BD859E2" w14:textId="77777777" w:rsidR="004236C6" w:rsidRPr="00FC3B7C" w:rsidRDefault="004236C6" w:rsidP="004236C6">
      <w:pPr>
        <w:numPr>
          <w:ilvl w:val="0"/>
          <w:numId w:val="53"/>
        </w:numPr>
        <w:tabs>
          <w:tab w:val="left" w:pos="1004"/>
        </w:tabs>
        <w:ind w:left="1004" w:hanging="360"/>
        <w:rPr>
          <w:rFonts w:eastAsia="Times New Roman"/>
          <w:szCs w:val="24"/>
        </w:rPr>
      </w:pPr>
      <w:r>
        <w:rPr>
          <w:rFonts w:eastAsia="Times New Roman"/>
          <w:szCs w:val="24"/>
        </w:rPr>
        <w:t>l</w:t>
      </w:r>
      <w:r w:rsidRPr="00FC3B7C">
        <w:rPr>
          <w:rFonts w:eastAsia="Times New Roman"/>
          <w:szCs w:val="24"/>
        </w:rPr>
        <w:t>iberalizace zahraničního obchodu</w:t>
      </w:r>
      <w:r>
        <w:rPr>
          <w:rFonts w:eastAsia="Times New Roman"/>
          <w:szCs w:val="24"/>
        </w:rPr>
        <w:t>,</w:t>
      </w:r>
    </w:p>
    <w:p w14:paraId="75FD049F" w14:textId="00DD4052" w:rsidR="004236C6" w:rsidRDefault="004236C6" w:rsidP="004236C6">
      <w:pPr>
        <w:numPr>
          <w:ilvl w:val="0"/>
          <w:numId w:val="53"/>
        </w:numPr>
        <w:tabs>
          <w:tab w:val="left" w:pos="1004"/>
        </w:tabs>
        <w:ind w:left="1004" w:hanging="360"/>
        <w:rPr>
          <w:rFonts w:eastAsia="Times New Roman"/>
          <w:szCs w:val="24"/>
        </w:rPr>
      </w:pPr>
      <w:r w:rsidRPr="00FC3B7C">
        <w:rPr>
          <w:rFonts w:eastAsia="Times New Roman"/>
          <w:szCs w:val="24"/>
        </w:rPr>
        <w:t>změny ve fiskální a monetární politice státu a v úsilí o stabilizaci ekonomiky</w:t>
      </w:r>
      <w:r>
        <w:rPr>
          <w:rFonts w:eastAsia="Times New Roman"/>
          <w:szCs w:val="24"/>
        </w:rPr>
        <w:t>.</w:t>
      </w:r>
    </w:p>
    <w:p w14:paraId="06A73995" w14:textId="7087962A" w:rsidR="004236C6" w:rsidRDefault="004236C6" w:rsidP="004236C6">
      <w:pPr>
        <w:spacing w:line="240" w:lineRule="auto"/>
        <w:jc w:val="left"/>
        <w:rPr>
          <w:rFonts w:eastAsia="Times New Roman" w:cstheme="majorBidi"/>
          <w:b/>
          <w:sz w:val="28"/>
          <w:szCs w:val="24"/>
        </w:rPr>
      </w:pPr>
    </w:p>
    <w:p w14:paraId="5858B94F" w14:textId="77777777" w:rsidR="004236C6" w:rsidRPr="004236C6" w:rsidRDefault="004236C6" w:rsidP="004236C6">
      <w:pPr>
        <w:pStyle w:val="Nadpis3"/>
        <w:rPr>
          <w:color w:val="1F3864" w:themeColor="accent1" w:themeShade="80"/>
          <w:sz w:val="20"/>
          <w:szCs w:val="20"/>
        </w:rPr>
      </w:pPr>
      <w:r w:rsidRPr="004236C6">
        <w:rPr>
          <w:rFonts w:eastAsia="Times New Roman"/>
          <w:color w:val="1F3864" w:themeColor="accent1" w:themeShade="80"/>
        </w:rPr>
        <w:t>Politický systém</w:t>
      </w:r>
    </w:p>
    <w:p w14:paraId="5EC9DDAB" w14:textId="77777777" w:rsidR="004236C6" w:rsidRPr="00FC3B7C" w:rsidRDefault="004236C6" w:rsidP="004236C6">
      <w:pPr>
        <w:spacing w:line="394" w:lineRule="auto"/>
        <w:ind w:left="4" w:right="20"/>
        <w:rPr>
          <w:sz w:val="20"/>
          <w:szCs w:val="20"/>
        </w:rPr>
      </w:pPr>
      <w:r w:rsidRPr="00FC3B7C">
        <w:rPr>
          <w:rFonts w:eastAsia="Times New Roman"/>
          <w:sz w:val="23"/>
          <w:szCs w:val="23"/>
        </w:rPr>
        <w:t>Mezi základní znaky politického systému patří jeho svrchovanost, podmíněnost společenským prostředím a relativní samostatnost. Struktura politického systému je charakterizována jeho prvky a vazbami mezi nimi. Prvky politického systému tvoří: státní orgány a instituce, zájmová sdružení, jednotlivci, politické vztahy a politické strany, které jsou nejdůležitějším prvkem.</w:t>
      </w:r>
    </w:p>
    <w:p w14:paraId="0149DE63" w14:textId="77777777" w:rsidR="004236C6" w:rsidRPr="00FC3B7C" w:rsidRDefault="004236C6" w:rsidP="004236C6">
      <w:pPr>
        <w:spacing w:line="390" w:lineRule="auto"/>
        <w:ind w:right="60"/>
        <w:rPr>
          <w:sz w:val="20"/>
          <w:szCs w:val="20"/>
        </w:rPr>
      </w:pPr>
      <w:bookmarkStart w:id="76" w:name="page74"/>
      <w:bookmarkEnd w:id="76"/>
      <w:r w:rsidRPr="00FC3B7C">
        <w:rPr>
          <w:rFonts w:eastAsia="Times New Roman"/>
          <w:szCs w:val="24"/>
        </w:rPr>
        <w:t>Jedná se o dobrovolné a otevřené organizace, které usilují o politickou moc a snaží se jí dosáhnout prostřednictvím voleb.</w:t>
      </w:r>
    </w:p>
    <w:p w14:paraId="09E539B6" w14:textId="77777777" w:rsidR="004236C6" w:rsidRPr="004236C6" w:rsidRDefault="004236C6" w:rsidP="004236C6">
      <w:pPr>
        <w:spacing w:line="162" w:lineRule="exact"/>
        <w:rPr>
          <w:color w:val="1F3864" w:themeColor="accent1" w:themeShade="80"/>
          <w:sz w:val="20"/>
          <w:szCs w:val="20"/>
        </w:rPr>
      </w:pPr>
    </w:p>
    <w:p w14:paraId="39E3A202" w14:textId="77777777" w:rsidR="004236C6" w:rsidRPr="004236C6" w:rsidRDefault="004236C6" w:rsidP="004236C6">
      <w:pPr>
        <w:pStyle w:val="Nadpis3"/>
        <w:rPr>
          <w:color w:val="1F3864" w:themeColor="accent1" w:themeShade="80"/>
          <w:sz w:val="20"/>
          <w:szCs w:val="20"/>
        </w:rPr>
      </w:pPr>
      <w:r w:rsidRPr="004236C6">
        <w:rPr>
          <w:rFonts w:eastAsia="Times New Roman"/>
          <w:color w:val="1F3864" w:themeColor="accent1" w:themeShade="80"/>
        </w:rPr>
        <w:lastRenderedPageBreak/>
        <w:t>Byrokracie</w:t>
      </w:r>
    </w:p>
    <w:p w14:paraId="6CCAF01E" w14:textId="77777777" w:rsidR="004236C6" w:rsidRPr="00FC3B7C" w:rsidRDefault="004236C6" w:rsidP="004236C6">
      <w:pPr>
        <w:spacing w:line="362" w:lineRule="auto"/>
        <w:ind w:right="80"/>
        <w:rPr>
          <w:sz w:val="20"/>
          <w:szCs w:val="20"/>
        </w:rPr>
      </w:pPr>
      <w:r w:rsidRPr="00FC3B7C">
        <w:rPr>
          <w:rFonts w:eastAsia="Times New Roman"/>
          <w:szCs w:val="24"/>
        </w:rPr>
        <w:t xml:space="preserve">Hospodářsko-politická rozhodnutí přijatá parlamentem a vládou uvádí do života „výkonný aparát“, jehož úkolem je realizovat rozhodnutí volených orgánů. Vyskytuje se ve všech velkých organizacích (ve velkých podnicích, institucích, odborech, především u vlády). </w:t>
      </w:r>
      <w:r>
        <w:rPr>
          <w:rFonts w:eastAsia="Times New Roman"/>
          <w:szCs w:val="24"/>
        </w:rPr>
        <w:br/>
      </w:r>
      <w:r w:rsidRPr="00FC3B7C">
        <w:rPr>
          <w:rFonts w:eastAsia="Times New Roman"/>
          <w:szCs w:val="24"/>
        </w:rPr>
        <w:t>Je pro něj příznačná hierarchická struktura ovládaná příkazy „shora“. Aparát se postupně stává byrokratickým a nepodléhá tržním sankcím. Nemusí respektovat individuální potřeby těch, kterým jsou určeny jeho služby. Nenese náklady svých rozhodnutí, disponuje zdroji, které nejsou jeho vlastnictvím. A proto může nastat situace (při nedostatečné kontrole) relativního osamostatnění úřednické složky a prosazování jejích vlastních zájmů, což může vyústit v chování, které nazýváme „vyhledávání renty“ (rent-seeking behaviour) – úředník usiluje o maximalizaci svého zisku. Obranou před tímto nebezpečím je v demokratických systémech legislativní úprava určitých zájmů, veřejná kontrola, vytváření společenského klimatu, který tyto praktiky odsuzuje a je s nimi neslučitelný. Velkou roli hrají i nezávislé sdělovací prostředky a tisk.</w:t>
      </w:r>
    </w:p>
    <w:p w14:paraId="406A98B3" w14:textId="77777777" w:rsidR="004236C6" w:rsidRPr="00FC3B7C" w:rsidRDefault="004236C6" w:rsidP="004236C6">
      <w:pPr>
        <w:spacing w:line="198" w:lineRule="exact"/>
        <w:rPr>
          <w:sz w:val="20"/>
          <w:szCs w:val="20"/>
        </w:rPr>
      </w:pPr>
    </w:p>
    <w:p w14:paraId="5470D0C9" w14:textId="77777777" w:rsidR="004236C6" w:rsidRPr="004236C6" w:rsidRDefault="004236C6" w:rsidP="004236C6">
      <w:pPr>
        <w:pStyle w:val="Nadpis3"/>
        <w:rPr>
          <w:color w:val="1F3864" w:themeColor="accent1" w:themeShade="80"/>
          <w:sz w:val="20"/>
          <w:szCs w:val="20"/>
        </w:rPr>
      </w:pPr>
      <w:r w:rsidRPr="004236C6">
        <w:rPr>
          <w:rFonts w:eastAsia="Times New Roman"/>
          <w:color w:val="1F3864" w:themeColor="accent1" w:themeShade="80"/>
        </w:rPr>
        <w:t>Velké zájmové skupiny</w:t>
      </w:r>
    </w:p>
    <w:p w14:paraId="07068CFC" w14:textId="77777777" w:rsidR="004236C6" w:rsidRPr="00FC3B7C" w:rsidRDefault="004236C6" w:rsidP="004236C6">
      <w:pPr>
        <w:spacing w:line="364" w:lineRule="auto"/>
        <w:ind w:right="80"/>
        <w:rPr>
          <w:sz w:val="20"/>
          <w:szCs w:val="20"/>
        </w:rPr>
      </w:pPr>
      <w:r w:rsidRPr="00FC3B7C">
        <w:rPr>
          <w:rFonts w:eastAsia="Times New Roman"/>
          <w:szCs w:val="24"/>
        </w:rPr>
        <w:t>Zájmové skupiny jsou založeny na poznání, že i když každý subjekt má svou vlastní strukturu zájmů, jsou některé jeho zájmy společné s větší či menší skupinou jiných subjektů. To vytváří předpoklad pro sdružování lidí se stejnými zájmy do zájmových skupin. Zájmové skupiny pak sledují svůj vlastní cíl organizovaně (zaměstnanecké svazy, odbory apod.) nebo neorganizovaně (důchodci, studenti atd.). Zájmové skupiny se snaží ovlivňovat hospodářsko-politická rozhodování vlády tak, aby z nich měly přímo prospěch, anebo aby rozhodování vlády alespoň neohrožovalo jejich zájmy. Do jednání vstupují pouze dobře organizované skupiny.</w:t>
      </w:r>
    </w:p>
    <w:p w14:paraId="215B4A7C" w14:textId="77777777" w:rsidR="004236C6" w:rsidRPr="00FC3B7C" w:rsidRDefault="004236C6" w:rsidP="004236C6">
      <w:pPr>
        <w:spacing w:line="192" w:lineRule="exact"/>
        <w:rPr>
          <w:sz w:val="20"/>
          <w:szCs w:val="20"/>
        </w:rPr>
      </w:pPr>
    </w:p>
    <w:p w14:paraId="66F3030C" w14:textId="77777777" w:rsidR="004236C6" w:rsidRPr="004236C6" w:rsidRDefault="004236C6" w:rsidP="004236C6">
      <w:pPr>
        <w:pStyle w:val="Nadpis3"/>
        <w:rPr>
          <w:color w:val="1F3864" w:themeColor="accent1" w:themeShade="80"/>
          <w:sz w:val="20"/>
          <w:szCs w:val="20"/>
        </w:rPr>
      </w:pPr>
      <w:r w:rsidRPr="004236C6">
        <w:rPr>
          <w:rFonts w:eastAsia="Times New Roman"/>
          <w:color w:val="1F3864" w:themeColor="accent1" w:themeShade="80"/>
        </w:rPr>
        <w:t>Nadnárodní a mezinárodní organizace</w:t>
      </w:r>
    </w:p>
    <w:p w14:paraId="13C8D39B" w14:textId="77777777" w:rsidR="004236C6" w:rsidRPr="00FC3B7C" w:rsidRDefault="004236C6" w:rsidP="004236C6">
      <w:pPr>
        <w:rPr>
          <w:sz w:val="20"/>
          <w:szCs w:val="20"/>
        </w:rPr>
      </w:pPr>
      <w:r w:rsidRPr="00FC3B7C">
        <w:rPr>
          <w:rFonts w:eastAsia="Times New Roman"/>
        </w:rPr>
        <w:t>Tato skupina představuje podmínky spolupráce v integrovaných hospodářsko-politických celcích, které mají často silnou decizní pozici v silně provázaných integracích. Čím vyšší je</w:t>
      </w:r>
      <w:bookmarkStart w:id="77" w:name="page75"/>
      <w:bookmarkEnd w:id="77"/>
      <w:r>
        <w:rPr>
          <w:sz w:val="20"/>
          <w:szCs w:val="20"/>
        </w:rPr>
        <w:t xml:space="preserve"> </w:t>
      </w:r>
      <w:r w:rsidRPr="00FC3B7C">
        <w:rPr>
          <w:rFonts w:eastAsia="Times New Roman"/>
        </w:rPr>
        <w:t xml:space="preserve">dosažený stupeň integrace, tím více je omezována autonomní národní hospodářská politika, která musí respektovat závazná rozhodnuti nadnárodních orgánu. Jedná se například </w:t>
      </w:r>
      <w:r>
        <w:rPr>
          <w:rFonts w:eastAsia="Times New Roman"/>
        </w:rPr>
        <w:br/>
      </w:r>
      <w:r w:rsidRPr="00FC3B7C">
        <w:rPr>
          <w:rFonts w:eastAsia="Times New Roman"/>
        </w:rPr>
        <w:t>o organizace: OSN, EU, OECD, ratingové instituce (Moody" s,Fitch...), ECB, MMF atd.</w:t>
      </w:r>
    </w:p>
    <w:p w14:paraId="1A6A9889" w14:textId="77777777" w:rsidR="004236C6" w:rsidRPr="00FC3B7C" w:rsidRDefault="004236C6" w:rsidP="004236C6">
      <w:pPr>
        <w:rPr>
          <w:sz w:val="20"/>
          <w:szCs w:val="20"/>
        </w:rPr>
      </w:pPr>
    </w:p>
    <w:p w14:paraId="066A6E3B" w14:textId="77777777" w:rsidR="004236C6" w:rsidRDefault="004236C6" w:rsidP="004236C6">
      <w:pPr>
        <w:spacing w:line="240" w:lineRule="auto"/>
        <w:jc w:val="left"/>
        <w:rPr>
          <w:rFonts w:eastAsia="Times New Roman"/>
          <w:b/>
          <w:bCs/>
          <w:sz w:val="28"/>
          <w:szCs w:val="28"/>
        </w:rPr>
      </w:pPr>
      <w:r>
        <w:rPr>
          <w:rFonts w:eastAsia="Times New Roman"/>
          <w:b/>
          <w:bCs/>
          <w:sz w:val="28"/>
          <w:szCs w:val="28"/>
        </w:rPr>
        <w:br w:type="page"/>
      </w:r>
    </w:p>
    <w:p w14:paraId="3C137239" w14:textId="77777777" w:rsidR="004236C6" w:rsidRPr="00FC3B7C" w:rsidRDefault="004236C6" w:rsidP="004236C6">
      <w:pPr>
        <w:rPr>
          <w:sz w:val="20"/>
          <w:szCs w:val="20"/>
        </w:rPr>
      </w:pPr>
      <w:r w:rsidRPr="00FC3B7C">
        <w:rPr>
          <w:rFonts w:eastAsia="Times New Roman"/>
          <w:b/>
          <w:bCs/>
          <w:sz w:val="28"/>
          <w:szCs w:val="28"/>
        </w:rPr>
        <w:lastRenderedPageBreak/>
        <w:t>Zdroje:</w:t>
      </w:r>
    </w:p>
    <w:p w14:paraId="5111D5AA" w14:textId="77777777" w:rsidR="004236C6" w:rsidRPr="00FC3B7C" w:rsidRDefault="004236C6" w:rsidP="004236C6">
      <w:pPr>
        <w:spacing w:line="200" w:lineRule="exact"/>
        <w:rPr>
          <w:sz w:val="20"/>
          <w:szCs w:val="20"/>
        </w:rPr>
      </w:pPr>
    </w:p>
    <w:p w14:paraId="343EB63F" w14:textId="77777777" w:rsidR="004236C6" w:rsidRPr="00FC3B7C" w:rsidRDefault="004236C6" w:rsidP="004236C6">
      <w:pPr>
        <w:spacing w:line="210" w:lineRule="exact"/>
        <w:rPr>
          <w:sz w:val="20"/>
          <w:szCs w:val="20"/>
        </w:rPr>
      </w:pPr>
    </w:p>
    <w:p w14:paraId="64E26068" w14:textId="77777777" w:rsidR="004236C6" w:rsidRPr="00FC3B7C" w:rsidRDefault="004236C6" w:rsidP="004236C6">
      <w:pPr>
        <w:ind w:left="280"/>
        <w:rPr>
          <w:sz w:val="20"/>
          <w:szCs w:val="20"/>
        </w:rPr>
      </w:pPr>
      <w:r w:rsidRPr="00FC3B7C">
        <w:rPr>
          <w:rFonts w:eastAsia="Times New Roman"/>
          <w:szCs w:val="24"/>
        </w:rPr>
        <w:t xml:space="preserve">SLANÝ, A. a kol. – 2003 – </w:t>
      </w:r>
      <w:r w:rsidRPr="00FC3B7C">
        <w:rPr>
          <w:rFonts w:eastAsia="Times New Roman"/>
          <w:i/>
          <w:iCs/>
          <w:szCs w:val="24"/>
        </w:rPr>
        <w:t>Makroekonomická analýza a hospodářská politika</w:t>
      </w:r>
      <w:r w:rsidRPr="00FC3B7C">
        <w:rPr>
          <w:rFonts w:eastAsia="Times New Roman"/>
          <w:szCs w:val="24"/>
        </w:rPr>
        <w:t xml:space="preserve"> (1.</w:t>
      </w:r>
    </w:p>
    <w:p w14:paraId="5B996799" w14:textId="77777777" w:rsidR="004236C6" w:rsidRPr="00FC3B7C" w:rsidRDefault="004236C6" w:rsidP="004236C6">
      <w:pPr>
        <w:spacing w:line="136" w:lineRule="exact"/>
        <w:rPr>
          <w:sz w:val="20"/>
          <w:szCs w:val="20"/>
        </w:rPr>
      </w:pPr>
    </w:p>
    <w:p w14:paraId="27282F0D" w14:textId="77777777" w:rsidR="004236C6" w:rsidRPr="00FC3B7C" w:rsidRDefault="004236C6" w:rsidP="004236C6">
      <w:pPr>
        <w:ind w:left="280"/>
        <w:rPr>
          <w:sz w:val="20"/>
          <w:szCs w:val="20"/>
        </w:rPr>
      </w:pPr>
      <w:r w:rsidRPr="00FC3B7C">
        <w:rPr>
          <w:rFonts w:eastAsia="Times New Roman"/>
          <w:szCs w:val="24"/>
        </w:rPr>
        <w:t>vyd.), Praha: C. H. Beck; (375 str.); ISBN 80-7179-738-3.</w:t>
      </w:r>
    </w:p>
    <w:p w14:paraId="4BA1D0BA" w14:textId="77777777" w:rsidR="004236C6" w:rsidRPr="00FC3B7C" w:rsidRDefault="004236C6" w:rsidP="004236C6">
      <w:pPr>
        <w:spacing w:line="339" w:lineRule="exact"/>
        <w:rPr>
          <w:sz w:val="20"/>
          <w:szCs w:val="20"/>
        </w:rPr>
      </w:pPr>
    </w:p>
    <w:p w14:paraId="19D14298" w14:textId="77777777" w:rsidR="004236C6" w:rsidRPr="00FC3B7C" w:rsidRDefault="004236C6" w:rsidP="004236C6">
      <w:pPr>
        <w:spacing w:line="389" w:lineRule="auto"/>
        <w:ind w:left="280" w:right="80"/>
        <w:rPr>
          <w:sz w:val="20"/>
          <w:szCs w:val="20"/>
        </w:rPr>
      </w:pPr>
      <w:r w:rsidRPr="00FC3B7C">
        <w:rPr>
          <w:rFonts w:eastAsia="Times New Roman"/>
          <w:szCs w:val="24"/>
        </w:rPr>
        <w:t xml:space="preserve">HOLMAN, R. a kol. – 2005 – </w:t>
      </w:r>
      <w:r w:rsidRPr="00FC3B7C">
        <w:rPr>
          <w:rFonts w:eastAsia="Times New Roman"/>
          <w:i/>
          <w:iCs/>
          <w:szCs w:val="24"/>
        </w:rPr>
        <w:t>Dějiny ekonomického myšlení</w:t>
      </w:r>
      <w:r w:rsidRPr="00FC3B7C">
        <w:rPr>
          <w:rFonts w:eastAsia="Times New Roman"/>
          <w:szCs w:val="24"/>
        </w:rPr>
        <w:t xml:space="preserve"> (3. vyd.), Praha: C. H. Beck (539 str.); ISBN 80-7179-380-9.</w:t>
      </w:r>
    </w:p>
    <w:p w14:paraId="0BF47E97" w14:textId="77777777" w:rsidR="004236C6" w:rsidRPr="00FC3B7C" w:rsidRDefault="004236C6" w:rsidP="004236C6">
      <w:pPr>
        <w:spacing w:line="133" w:lineRule="exact"/>
        <w:rPr>
          <w:sz w:val="20"/>
          <w:szCs w:val="20"/>
        </w:rPr>
      </w:pPr>
    </w:p>
    <w:p w14:paraId="3DA91144" w14:textId="77777777" w:rsidR="004236C6" w:rsidRPr="00FC3B7C" w:rsidRDefault="004236C6" w:rsidP="004236C6">
      <w:pPr>
        <w:spacing w:line="389" w:lineRule="auto"/>
        <w:ind w:left="280"/>
        <w:rPr>
          <w:sz w:val="20"/>
          <w:szCs w:val="20"/>
        </w:rPr>
      </w:pPr>
      <w:r w:rsidRPr="00FC3B7C">
        <w:rPr>
          <w:rFonts w:eastAsia="Times New Roman"/>
          <w:szCs w:val="24"/>
        </w:rPr>
        <w:t xml:space="preserve">HOLMAN, R. – 2002 – </w:t>
      </w:r>
      <w:r w:rsidRPr="00FC3B7C">
        <w:rPr>
          <w:rFonts w:eastAsia="Times New Roman"/>
          <w:i/>
          <w:iCs/>
          <w:szCs w:val="24"/>
        </w:rPr>
        <w:t>Ekonomie</w:t>
      </w:r>
      <w:r w:rsidRPr="00FC3B7C">
        <w:rPr>
          <w:rFonts w:eastAsia="Times New Roman"/>
          <w:szCs w:val="24"/>
        </w:rPr>
        <w:t xml:space="preserve"> (3.vyd.), Praha: C. H. Beck (714 str.); ISBN 80-7179-681-8.</w:t>
      </w:r>
    </w:p>
    <w:p w14:paraId="1A083034" w14:textId="77777777" w:rsidR="004236C6" w:rsidRPr="00FC3B7C" w:rsidRDefault="004236C6" w:rsidP="004236C6">
      <w:pPr>
        <w:spacing w:line="133" w:lineRule="exact"/>
        <w:rPr>
          <w:sz w:val="20"/>
          <w:szCs w:val="20"/>
        </w:rPr>
      </w:pPr>
    </w:p>
    <w:p w14:paraId="472DEDD7" w14:textId="77777777" w:rsidR="004236C6" w:rsidRPr="00FC3B7C" w:rsidRDefault="004236C6" w:rsidP="004236C6">
      <w:pPr>
        <w:spacing w:line="389" w:lineRule="auto"/>
        <w:ind w:left="280" w:right="840"/>
        <w:rPr>
          <w:sz w:val="20"/>
          <w:szCs w:val="20"/>
        </w:rPr>
      </w:pPr>
      <w:r w:rsidRPr="00FC3B7C">
        <w:rPr>
          <w:rFonts w:eastAsia="Times New Roman"/>
          <w:szCs w:val="24"/>
        </w:rPr>
        <w:t xml:space="preserve">FIALOVÁ, H., FIALA, J. – 2009 – </w:t>
      </w:r>
      <w:r w:rsidRPr="00FC3B7C">
        <w:rPr>
          <w:rFonts w:eastAsia="Times New Roman"/>
          <w:i/>
          <w:iCs/>
          <w:szCs w:val="24"/>
        </w:rPr>
        <w:t>Ekonomický</w:t>
      </w:r>
      <w:r w:rsidRPr="00FC3B7C">
        <w:rPr>
          <w:rFonts w:eastAsia="Times New Roman"/>
          <w:szCs w:val="24"/>
        </w:rPr>
        <w:t xml:space="preserve"> </w:t>
      </w:r>
      <w:r w:rsidRPr="00FC3B7C">
        <w:rPr>
          <w:rFonts w:eastAsia="Times New Roman"/>
          <w:i/>
          <w:iCs/>
          <w:szCs w:val="24"/>
        </w:rPr>
        <w:t>slovník s odborným výkladem</w:t>
      </w:r>
      <w:r w:rsidRPr="00FC3B7C">
        <w:rPr>
          <w:rFonts w:eastAsia="Times New Roman"/>
          <w:szCs w:val="24"/>
        </w:rPr>
        <w:t xml:space="preserve"> </w:t>
      </w:r>
      <w:r w:rsidRPr="00FC3B7C">
        <w:rPr>
          <w:rFonts w:eastAsia="Times New Roman"/>
          <w:i/>
          <w:iCs/>
          <w:szCs w:val="24"/>
        </w:rPr>
        <w:t>česky</w:t>
      </w:r>
      <w:r w:rsidRPr="00FC3B7C">
        <w:rPr>
          <w:rFonts w:eastAsia="Times New Roman"/>
          <w:szCs w:val="24"/>
        </w:rPr>
        <w:t xml:space="preserve"> </w:t>
      </w:r>
      <w:r w:rsidRPr="00FC3B7C">
        <w:rPr>
          <w:rFonts w:eastAsia="Times New Roman"/>
          <w:i/>
          <w:iCs/>
          <w:szCs w:val="24"/>
        </w:rPr>
        <w:t xml:space="preserve">a anglicky </w:t>
      </w:r>
      <w:r w:rsidRPr="00FC3B7C">
        <w:rPr>
          <w:rFonts w:eastAsia="Times New Roman"/>
          <w:szCs w:val="24"/>
        </w:rPr>
        <w:t>(2. vyd.), Praha: A Plus (314 str.); ISBN 978-80-903804-4-8.</w:t>
      </w:r>
    </w:p>
    <w:p w14:paraId="480A3EBA" w14:textId="77777777" w:rsidR="004236C6" w:rsidRPr="00FC3B7C" w:rsidRDefault="004236C6" w:rsidP="004236C6">
      <w:pPr>
        <w:spacing w:line="133" w:lineRule="exact"/>
        <w:rPr>
          <w:sz w:val="20"/>
          <w:szCs w:val="20"/>
        </w:rPr>
      </w:pPr>
    </w:p>
    <w:p w14:paraId="4C153572" w14:textId="77777777" w:rsidR="004236C6" w:rsidRPr="00FC3B7C" w:rsidRDefault="004236C6" w:rsidP="004236C6">
      <w:pPr>
        <w:ind w:left="280"/>
        <w:rPr>
          <w:sz w:val="20"/>
          <w:szCs w:val="20"/>
        </w:rPr>
      </w:pPr>
      <w:r w:rsidRPr="00FC3B7C">
        <w:rPr>
          <w:rFonts w:eastAsia="Times New Roman"/>
          <w:szCs w:val="24"/>
        </w:rPr>
        <w:t xml:space="preserve">VORLÍČEK, J. – 2008 – </w:t>
      </w:r>
      <w:r w:rsidRPr="00FC3B7C">
        <w:rPr>
          <w:rFonts w:eastAsia="Times New Roman"/>
          <w:i/>
          <w:iCs/>
          <w:szCs w:val="24"/>
        </w:rPr>
        <w:t>Úvod do ekonomie veřejného sektoru</w:t>
      </w:r>
      <w:r w:rsidRPr="00FC3B7C">
        <w:rPr>
          <w:rFonts w:eastAsia="Times New Roman"/>
          <w:szCs w:val="24"/>
        </w:rPr>
        <w:t xml:space="preserve"> (1. vyd.), Praha:</w:t>
      </w:r>
    </w:p>
    <w:p w14:paraId="64B02204" w14:textId="77777777" w:rsidR="004236C6" w:rsidRPr="00FC3B7C" w:rsidRDefault="004236C6" w:rsidP="004236C6">
      <w:pPr>
        <w:spacing w:line="136" w:lineRule="exact"/>
        <w:rPr>
          <w:sz w:val="20"/>
          <w:szCs w:val="20"/>
        </w:rPr>
      </w:pPr>
    </w:p>
    <w:p w14:paraId="6506D5AE" w14:textId="07F90199" w:rsidR="004236C6" w:rsidRPr="00FC3B7C" w:rsidRDefault="004236C6" w:rsidP="004A43AA">
      <w:pPr>
        <w:ind w:left="280"/>
        <w:rPr>
          <w:sz w:val="20"/>
          <w:szCs w:val="20"/>
        </w:rPr>
      </w:pPr>
      <w:r w:rsidRPr="00FC3B7C">
        <w:rPr>
          <w:rFonts w:eastAsia="Times New Roman"/>
          <w:szCs w:val="24"/>
        </w:rPr>
        <w:t>Nakl. Oeconomica (384 str.); ISBN 978-80-245-1419-2.</w:t>
      </w:r>
    </w:p>
    <w:p w14:paraId="52406E58" w14:textId="77777777" w:rsidR="004236C6" w:rsidRPr="00FC3B7C" w:rsidRDefault="004236C6" w:rsidP="004236C6">
      <w:pPr>
        <w:spacing w:line="393" w:lineRule="auto"/>
        <w:ind w:left="280"/>
        <w:rPr>
          <w:sz w:val="20"/>
          <w:szCs w:val="20"/>
        </w:rPr>
      </w:pPr>
      <w:r w:rsidRPr="00FC3B7C">
        <w:rPr>
          <w:rFonts w:eastAsia="Times New Roman"/>
          <w:szCs w:val="24"/>
        </w:rPr>
        <w:t xml:space="preserve">KLIKOVÁ, CH., KOTLÁN, I. – 2003 – </w:t>
      </w:r>
      <w:r w:rsidRPr="00FC3B7C">
        <w:rPr>
          <w:rFonts w:eastAsia="Times New Roman"/>
          <w:i/>
          <w:iCs/>
          <w:szCs w:val="24"/>
        </w:rPr>
        <w:t>Hospodářská politika</w:t>
      </w:r>
      <w:r w:rsidRPr="00FC3B7C">
        <w:rPr>
          <w:rFonts w:eastAsia="Times New Roman"/>
          <w:szCs w:val="24"/>
        </w:rPr>
        <w:t xml:space="preserve"> (1. vyd.), Ostrava: Sokrates (275 str.); ISBN 80-86572-04-8.</w:t>
      </w:r>
    </w:p>
    <w:p w14:paraId="0CD602A9" w14:textId="77777777" w:rsidR="004236C6" w:rsidRPr="00FC3B7C" w:rsidRDefault="004236C6" w:rsidP="004236C6">
      <w:pPr>
        <w:spacing w:line="119" w:lineRule="exact"/>
        <w:rPr>
          <w:sz w:val="20"/>
          <w:szCs w:val="20"/>
        </w:rPr>
      </w:pPr>
    </w:p>
    <w:p w14:paraId="2C9AF13F" w14:textId="36481FCE" w:rsidR="004236C6" w:rsidRPr="00FC3B7C" w:rsidRDefault="004236C6" w:rsidP="004A43AA">
      <w:pPr>
        <w:ind w:left="280"/>
        <w:rPr>
          <w:sz w:val="20"/>
          <w:szCs w:val="20"/>
        </w:rPr>
      </w:pPr>
      <w:r w:rsidRPr="00FC3B7C">
        <w:rPr>
          <w:rFonts w:eastAsia="Times New Roman"/>
          <w:szCs w:val="24"/>
        </w:rPr>
        <w:t xml:space="preserve">KLIKOVÁ, CH. a kol. – 2012 – </w:t>
      </w:r>
      <w:r w:rsidRPr="00FC3B7C">
        <w:rPr>
          <w:rFonts w:eastAsia="Times New Roman"/>
          <w:i/>
          <w:iCs/>
          <w:szCs w:val="24"/>
        </w:rPr>
        <w:t>Hospodářská politika</w:t>
      </w:r>
      <w:r w:rsidRPr="00FC3B7C">
        <w:rPr>
          <w:rFonts w:eastAsia="Times New Roman"/>
          <w:szCs w:val="24"/>
        </w:rPr>
        <w:t>. 3. vyd. Ostrava: Institut vzdělávání.</w:t>
      </w:r>
    </w:p>
    <w:p w14:paraId="7A3667B6" w14:textId="21041FE4" w:rsidR="004236C6" w:rsidRPr="00FC3B7C" w:rsidRDefault="004236C6" w:rsidP="004A43AA">
      <w:pPr>
        <w:ind w:left="280"/>
        <w:rPr>
          <w:sz w:val="20"/>
          <w:szCs w:val="20"/>
        </w:rPr>
      </w:pPr>
      <w:r w:rsidRPr="00FC3B7C">
        <w:rPr>
          <w:rFonts w:eastAsia="Times New Roman"/>
          <w:szCs w:val="24"/>
        </w:rPr>
        <w:t>SOKRATES ( 293 str.) ISBN 978-80-86572-76-5.</w:t>
      </w:r>
    </w:p>
    <w:p w14:paraId="1435BA17" w14:textId="77777777" w:rsidR="004236C6" w:rsidRPr="00FC3B7C" w:rsidRDefault="004236C6" w:rsidP="004236C6">
      <w:pPr>
        <w:spacing w:line="393" w:lineRule="auto"/>
        <w:ind w:left="280"/>
        <w:rPr>
          <w:sz w:val="20"/>
          <w:szCs w:val="20"/>
        </w:rPr>
      </w:pPr>
      <w:r w:rsidRPr="00FC3B7C">
        <w:rPr>
          <w:rFonts w:eastAsia="Times New Roman"/>
          <w:szCs w:val="24"/>
        </w:rPr>
        <w:t xml:space="preserve">EUCKEN, W. – 2004 – </w:t>
      </w:r>
      <w:r w:rsidRPr="00FC3B7C">
        <w:rPr>
          <w:rFonts w:eastAsia="Times New Roman"/>
          <w:i/>
          <w:iCs/>
          <w:szCs w:val="24"/>
        </w:rPr>
        <w:t>Zásady hospodářského</w:t>
      </w:r>
      <w:r w:rsidRPr="00FC3B7C">
        <w:rPr>
          <w:rFonts w:eastAsia="Times New Roman"/>
          <w:szCs w:val="24"/>
        </w:rPr>
        <w:t xml:space="preserve"> </w:t>
      </w:r>
      <w:r w:rsidRPr="00FC3B7C">
        <w:rPr>
          <w:rFonts w:eastAsia="Times New Roman"/>
          <w:i/>
          <w:iCs/>
          <w:szCs w:val="24"/>
        </w:rPr>
        <w:t>řádu</w:t>
      </w:r>
      <w:r w:rsidRPr="00FC3B7C">
        <w:rPr>
          <w:rFonts w:eastAsia="Times New Roman"/>
          <w:szCs w:val="24"/>
        </w:rPr>
        <w:t xml:space="preserve"> (6. vyd.), Praha: Liberální institut (500 str.); ISNB 80-86389-32-4.</w:t>
      </w:r>
    </w:p>
    <w:p w14:paraId="6C30B954" w14:textId="77777777" w:rsidR="004236C6" w:rsidRPr="00FC3B7C" w:rsidRDefault="004236C6" w:rsidP="004236C6">
      <w:pPr>
        <w:spacing w:line="123" w:lineRule="exact"/>
        <w:rPr>
          <w:sz w:val="20"/>
          <w:szCs w:val="20"/>
        </w:rPr>
      </w:pPr>
    </w:p>
    <w:p w14:paraId="62C361CF" w14:textId="5B3F2891" w:rsidR="00332556" w:rsidRPr="004A43AA" w:rsidRDefault="004236C6" w:rsidP="004A43AA">
      <w:pPr>
        <w:spacing w:line="393" w:lineRule="auto"/>
        <w:ind w:left="280"/>
        <w:rPr>
          <w:sz w:val="20"/>
          <w:szCs w:val="20"/>
        </w:rPr>
      </w:pPr>
      <w:r w:rsidRPr="00FC3B7C">
        <w:rPr>
          <w:rFonts w:eastAsia="Times New Roman"/>
          <w:szCs w:val="24"/>
        </w:rPr>
        <w:t xml:space="preserve">URBAN, L. – 1997 – </w:t>
      </w:r>
      <w:r w:rsidRPr="00FC3B7C">
        <w:rPr>
          <w:rFonts w:eastAsia="Times New Roman"/>
          <w:i/>
          <w:iCs/>
          <w:szCs w:val="24"/>
        </w:rPr>
        <w:t>Praktická hospodářská politika</w:t>
      </w:r>
      <w:r w:rsidRPr="00FC3B7C">
        <w:rPr>
          <w:rFonts w:eastAsia="Times New Roman"/>
          <w:szCs w:val="24"/>
        </w:rPr>
        <w:t xml:space="preserve"> (1. vyd.), Praha: VŠE (190 str.); ISBN 80-7079-941-2.</w:t>
      </w:r>
    </w:p>
    <w:p w14:paraId="35F4B76B" w14:textId="39B152D4" w:rsidR="00332556" w:rsidRPr="00FC3B7C" w:rsidRDefault="00332556" w:rsidP="00332556">
      <w:pPr>
        <w:spacing w:line="389" w:lineRule="auto"/>
        <w:ind w:left="260"/>
        <w:rPr>
          <w:sz w:val="20"/>
          <w:szCs w:val="20"/>
        </w:rPr>
      </w:pPr>
      <w:r w:rsidRPr="00FC3B7C">
        <w:rPr>
          <w:rFonts w:eastAsia="Times New Roman"/>
          <w:szCs w:val="24"/>
        </w:rPr>
        <w:t xml:space="preserve">URBAN, L. et al. </w:t>
      </w:r>
      <w:r w:rsidRPr="00FC3B7C">
        <w:rPr>
          <w:rFonts w:eastAsia="Times New Roman"/>
          <w:i/>
          <w:iCs/>
          <w:szCs w:val="24"/>
        </w:rPr>
        <w:t>Hospodářská politika</w:t>
      </w:r>
      <w:r w:rsidRPr="00FC3B7C">
        <w:rPr>
          <w:rFonts w:eastAsia="Times New Roman"/>
          <w:szCs w:val="24"/>
        </w:rPr>
        <w:t>. Praha: Victoria Publishing, 1994. 155 s. ISBN 80-85865-01-7.</w:t>
      </w:r>
    </w:p>
    <w:p w14:paraId="082D5240" w14:textId="77777777" w:rsidR="00332556" w:rsidRPr="00FC3B7C" w:rsidRDefault="00332556" w:rsidP="00332556">
      <w:pPr>
        <w:spacing w:line="133" w:lineRule="exact"/>
        <w:rPr>
          <w:sz w:val="20"/>
          <w:szCs w:val="20"/>
        </w:rPr>
      </w:pPr>
    </w:p>
    <w:p w14:paraId="4DB91493" w14:textId="77777777" w:rsidR="00332556" w:rsidRPr="00FC3B7C" w:rsidRDefault="00332556" w:rsidP="00332556">
      <w:pPr>
        <w:spacing w:line="393" w:lineRule="auto"/>
        <w:ind w:left="260"/>
        <w:rPr>
          <w:sz w:val="20"/>
          <w:szCs w:val="20"/>
        </w:rPr>
      </w:pPr>
      <w:r w:rsidRPr="00FC3B7C">
        <w:rPr>
          <w:rFonts w:eastAsia="Times New Roman"/>
          <w:szCs w:val="24"/>
        </w:rPr>
        <w:t xml:space="preserve">KUBÍČEK, J. – 2006 – </w:t>
      </w:r>
      <w:r w:rsidRPr="00FC3B7C">
        <w:rPr>
          <w:rFonts w:eastAsia="Times New Roman"/>
          <w:i/>
          <w:iCs/>
          <w:szCs w:val="24"/>
        </w:rPr>
        <w:t>Hospodářská politika</w:t>
      </w:r>
      <w:r w:rsidRPr="00FC3B7C">
        <w:rPr>
          <w:rFonts w:eastAsia="Times New Roman"/>
          <w:szCs w:val="24"/>
        </w:rPr>
        <w:t xml:space="preserve"> (1. vyd.), Plzeň: Aleš Čeněk (302 str.); ISBN 80-86898-99-7.</w:t>
      </w:r>
    </w:p>
    <w:p w14:paraId="2E386A14" w14:textId="50573580" w:rsidR="00332556" w:rsidRPr="00332556" w:rsidRDefault="00332556" w:rsidP="00332556">
      <w:pPr>
        <w:tabs>
          <w:tab w:val="left" w:pos="2980"/>
        </w:tabs>
        <w:sectPr w:rsidR="00332556" w:rsidRPr="00332556">
          <w:pgSz w:w="11900" w:h="16840"/>
          <w:pgMar w:top="1397" w:right="1400" w:bottom="1440" w:left="1420" w:header="0" w:footer="0" w:gutter="0"/>
          <w:cols w:space="708" w:equalWidth="0">
            <w:col w:w="9080"/>
          </w:cols>
        </w:sectPr>
      </w:pPr>
    </w:p>
    <w:p w14:paraId="3A7BBDE0" w14:textId="77777777" w:rsidR="004236C6" w:rsidRPr="00FC3B7C" w:rsidRDefault="004236C6" w:rsidP="004236C6">
      <w:pPr>
        <w:spacing w:line="128" w:lineRule="exact"/>
        <w:rPr>
          <w:sz w:val="20"/>
          <w:szCs w:val="20"/>
        </w:rPr>
      </w:pPr>
      <w:bookmarkStart w:id="78" w:name="page76"/>
      <w:bookmarkEnd w:id="78"/>
    </w:p>
    <w:p w14:paraId="38300527" w14:textId="77777777" w:rsidR="004236C6" w:rsidRPr="00FC3B7C" w:rsidRDefault="004236C6" w:rsidP="004236C6">
      <w:pPr>
        <w:spacing w:line="389" w:lineRule="auto"/>
        <w:ind w:left="260" w:right="180"/>
        <w:rPr>
          <w:sz w:val="20"/>
          <w:szCs w:val="20"/>
        </w:rPr>
      </w:pPr>
      <w:r w:rsidRPr="00FC3B7C">
        <w:rPr>
          <w:rFonts w:eastAsia="Times New Roman"/>
          <w:szCs w:val="24"/>
        </w:rPr>
        <w:t xml:space="preserve">ŠAROCH, S., ŽÁK, M. (kolektiv autorů) – 2004 – </w:t>
      </w:r>
      <w:r w:rsidRPr="00FC3B7C">
        <w:rPr>
          <w:rFonts w:eastAsia="Times New Roman"/>
          <w:i/>
          <w:iCs/>
          <w:szCs w:val="24"/>
        </w:rPr>
        <w:t>Česká ekonomika a ekonomická teorie</w:t>
      </w:r>
      <w:r w:rsidRPr="00FC3B7C">
        <w:rPr>
          <w:rFonts w:eastAsia="Times New Roman"/>
          <w:szCs w:val="24"/>
        </w:rPr>
        <w:t xml:space="preserve"> (1. vyd.), Praha: Academia (267 str.); ISBN 80-200-1129-3.</w:t>
      </w:r>
    </w:p>
    <w:p w14:paraId="25428DA6" w14:textId="77777777" w:rsidR="004236C6" w:rsidRPr="00FC3B7C" w:rsidRDefault="004236C6" w:rsidP="004236C6">
      <w:pPr>
        <w:spacing w:line="133" w:lineRule="exact"/>
        <w:rPr>
          <w:sz w:val="20"/>
          <w:szCs w:val="20"/>
        </w:rPr>
      </w:pPr>
    </w:p>
    <w:p w14:paraId="0540E30A" w14:textId="77777777" w:rsidR="004236C6" w:rsidRPr="00FC3B7C" w:rsidRDefault="004236C6" w:rsidP="004236C6">
      <w:pPr>
        <w:spacing w:line="389" w:lineRule="auto"/>
        <w:ind w:left="260"/>
        <w:rPr>
          <w:sz w:val="20"/>
          <w:szCs w:val="20"/>
        </w:rPr>
      </w:pPr>
      <w:r w:rsidRPr="00FC3B7C">
        <w:rPr>
          <w:rFonts w:eastAsia="Times New Roman"/>
          <w:szCs w:val="24"/>
        </w:rPr>
        <w:t xml:space="preserve">ŠEVČÍK, M. – VŠE Praha 2009 – přednášky k předmětu </w:t>
      </w:r>
      <w:r w:rsidRPr="00FC3B7C">
        <w:rPr>
          <w:rFonts w:eastAsia="Times New Roman"/>
          <w:i/>
          <w:iCs/>
          <w:szCs w:val="24"/>
        </w:rPr>
        <w:t>Úvod do hospodářské a sociální</w:t>
      </w:r>
      <w:r w:rsidRPr="00FC3B7C">
        <w:rPr>
          <w:rFonts w:eastAsia="Times New Roman"/>
          <w:szCs w:val="24"/>
        </w:rPr>
        <w:t xml:space="preserve"> </w:t>
      </w:r>
      <w:r w:rsidRPr="00FC3B7C">
        <w:rPr>
          <w:rFonts w:eastAsia="Times New Roman"/>
          <w:i/>
          <w:iCs/>
          <w:szCs w:val="24"/>
        </w:rPr>
        <w:t>politiky.</w:t>
      </w:r>
    </w:p>
    <w:p w14:paraId="25529FEC" w14:textId="77777777" w:rsidR="004236C6" w:rsidRPr="00FC3B7C" w:rsidRDefault="004236C6" w:rsidP="004236C6">
      <w:pPr>
        <w:spacing w:line="128" w:lineRule="exact"/>
        <w:rPr>
          <w:sz w:val="20"/>
          <w:szCs w:val="20"/>
        </w:rPr>
      </w:pPr>
    </w:p>
    <w:p w14:paraId="0CCE87BB" w14:textId="76BF034D" w:rsidR="004236C6" w:rsidRPr="00FC3B7C" w:rsidRDefault="004236C6" w:rsidP="004A43AA">
      <w:pPr>
        <w:ind w:left="260"/>
        <w:rPr>
          <w:sz w:val="20"/>
          <w:szCs w:val="20"/>
        </w:rPr>
      </w:pPr>
      <w:r w:rsidRPr="00FC3B7C">
        <w:rPr>
          <w:rFonts w:eastAsia="Times New Roman"/>
          <w:szCs w:val="24"/>
        </w:rPr>
        <w:t xml:space="preserve">SCHWARZ, J. – VŠE Praha 2011 – přednášky k předmětu </w:t>
      </w:r>
      <w:r w:rsidRPr="00FC3B7C">
        <w:rPr>
          <w:rFonts w:eastAsia="Times New Roman"/>
          <w:i/>
          <w:iCs/>
          <w:szCs w:val="24"/>
        </w:rPr>
        <w:t>Ekonomie veřejného sektoru.</w:t>
      </w:r>
    </w:p>
    <w:p w14:paraId="6A39D2A5" w14:textId="77777777" w:rsidR="004236C6" w:rsidRPr="00FC3B7C" w:rsidRDefault="004236C6" w:rsidP="004236C6">
      <w:pPr>
        <w:spacing w:line="389" w:lineRule="auto"/>
        <w:ind w:left="260"/>
        <w:rPr>
          <w:sz w:val="20"/>
          <w:szCs w:val="20"/>
        </w:rPr>
      </w:pPr>
      <w:r w:rsidRPr="00FC3B7C">
        <w:rPr>
          <w:rFonts w:eastAsia="Times New Roman"/>
          <w:szCs w:val="24"/>
        </w:rPr>
        <w:t xml:space="preserve">Skripta předmětu 5HP324 – </w:t>
      </w:r>
      <w:r w:rsidRPr="00FC3B7C">
        <w:rPr>
          <w:rFonts w:eastAsia="Times New Roman"/>
          <w:i/>
          <w:iCs/>
          <w:szCs w:val="24"/>
        </w:rPr>
        <w:t>Kondiční kurz z praktické hospodářské politiky</w:t>
      </w:r>
      <w:r w:rsidRPr="00FC3B7C">
        <w:rPr>
          <w:rFonts w:eastAsia="Times New Roman"/>
          <w:szCs w:val="24"/>
        </w:rPr>
        <w:t>, ZS 2012/13, LS 2012/2013.</w:t>
      </w:r>
    </w:p>
    <w:p w14:paraId="4752E93F" w14:textId="77777777" w:rsidR="004236C6" w:rsidRPr="00FC3B7C" w:rsidRDefault="004236C6" w:rsidP="004236C6">
      <w:pPr>
        <w:spacing w:line="133" w:lineRule="exact"/>
        <w:rPr>
          <w:sz w:val="20"/>
          <w:szCs w:val="20"/>
        </w:rPr>
      </w:pPr>
    </w:p>
    <w:p w14:paraId="52CADF8A" w14:textId="77777777" w:rsidR="004236C6" w:rsidRPr="00FC3B7C" w:rsidRDefault="004236C6" w:rsidP="004236C6">
      <w:pPr>
        <w:ind w:left="260"/>
        <w:rPr>
          <w:sz w:val="20"/>
          <w:szCs w:val="20"/>
        </w:rPr>
      </w:pPr>
      <w:r w:rsidRPr="00FC3B7C">
        <w:rPr>
          <w:rFonts w:eastAsia="Times New Roman"/>
          <w:szCs w:val="24"/>
        </w:rPr>
        <w:t xml:space="preserve">TOMEŠ, Z., 2008. </w:t>
      </w:r>
      <w:r w:rsidRPr="00FC3B7C">
        <w:rPr>
          <w:rFonts w:eastAsia="Times New Roman"/>
          <w:i/>
          <w:iCs/>
          <w:szCs w:val="24"/>
        </w:rPr>
        <w:t>Hospodářská politika. 1900-2007</w:t>
      </w:r>
      <w:r w:rsidRPr="00FC3B7C">
        <w:rPr>
          <w:rFonts w:eastAsia="Times New Roman"/>
          <w:szCs w:val="24"/>
        </w:rPr>
        <w:t>. B.m.: Nakladatelství C H Beck.</w:t>
      </w:r>
    </w:p>
    <w:p w14:paraId="4BEEA02D" w14:textId="77777777" w:rsidR="004236C6" w:rsidRPr="00FC3B7C" w:rsidRDefault="004236C6" w:rsidP="004236C6">
      <w:pPr>
        <w:spacing w:line="136" w:lineRule="exact"/>
        <w:rPr>
          <w:sz w:val="20"/>
          <w:szCs w:val="20"/>
        </w:rPr>
      </w:pPr>
    </w:p>
    <w:p w14:paraId="1C83BF88" w14:textId="77777777" w:rsidR="004236C6" w:rsidRPr="00FC3B7C" w:rsidRDefault="004236C6" w:rsidP="004236C6">
      <w:pPr>
        <w:ind w:left="260"/>
        <w:rPr>
          <w:sz w:val="20"/>
          <w:szCs w:val="20"/>
        </w:rPr>
      </w:pPr>
      <w:r w:rsidRPr="00FC3B7C">
        <w:rPr>
          <w:rFonts w:eastAsia="Times New Roman"/>
          <w:szCs w:val="24"/>
        </w:rPr>
        <w:t>ISBN 978-80-7400-002-7.</w:t>
      </w:r>
    </w:p>
    <w:p w14:paraId="05578E70" w14:textId="77777777" w:rsidR="004236C6" w:rsidRPr="00FC3B7C" w:rsidRDefault="004236C6" w:rsidP="004236C6">
      <w:pPr>
        <w:sectPr w:rsidR="004236C6" w:rsidRPr="00FC3B7C">
          <w:pgSz w:w="11900" w:h="16840"/>
          <w:pgMar w:top="1393" w:right="1400" w:bottom="1440" w:left="1440" w:header="0" w:footer="0" w:gutter="0"/>
          <w:cols w:space="708" w:equalWidth="0">
            <w:col w:w="9060"/>
          </w:cols>
        </w:sectPr>
      </w:pPr>
    </w:p>
    <w:p w14:paraId="0B0023DA" w14:textId="77777777" w:rsidR="004236C6" w:rsidRPr="004236C6" w:rsidRDefault="004236C6" w:rsidP="00332556">
      <w:pPr>
        <w:pStyle w:val="Nadpis1"/>
        <w:ind w:left="0" w:hanging="6"/>
        <w:rPr>
          <w:color w:val="1F3864" w:themeColor="accent1" w:themeShade="80"/>
        </w:rPr>
      </w:pPr>
      <w:bookmarkStart w:id="79" w:name="page77"/>
      <w:bookmarkStart w:id="80" w:name="_Toc535504902"/>
      <w:bookmarkStart w:id="81" w:name="_Toc54254077"/>
      <w:bookmarkEnd w:id="79"/>
      <w:r w:rsidRPr="004236C6">
        <w:rPr>
          <w:color w:val="1F3864" w:themeColor="accent1" w:themeShade="80"/>
        </w:rPr>
        <w:lastRenderedPageBreak/>
        <w:t>ÚLOHA STÁTU PŘI STANOVOVANÍ HOSPODÁŘSKÉ POLITIKY</w:t>
      </w:r>
      <w:bookmarkEnd w:id="80"/>
      <w:bookmarkEnd w:id="81"/>
    </w:p>
    <w:p w14:paraId="1F6C0869" w14:textId="77777777" w:rsidR="004236C6" w:rsidRPr="00FC3B7C" w:rsidRDefault="004236C6" w:rsidP="004236C6">
      <w:pPr>
        <w:rPr>
          <w:sz w:val="20"/>
          <w:szCs w:val="20"/>
        </w:rPr>
      </w:pPr>
      <w:r w:rsidRPr="00FC3B7C">
        <w:rPr>
          <w:rFonts w:eastAsia="Times New Roman"/>
          <w:b/>
          <w:bCs/>
          <w:sz w:val="28"/>
          <w:szCs w:val="28"/>
        </w:rPr>
        <w:t>Slovníček pojmů:</w:t>
      </w:r>
    </w:p>
    <w:p w14:paraId="0E8B700D" w14:textId="77777777" w:rsidR="004236C6" w:rsidRPr="00FC3B7C" w:rsidRDefault="004236C6" w:rsidP="004236C6">
      <w:pPr>
        <w:rPr>
          <w:sz w:val="20"/>
          <w:szCs w:val="20"/>
        </w:rPr>
      </w:pPr>
      <w:r w:rsidRPr="00FC3B7C">
        <w:rPr>
          <w:rFonts w:eastAsia="Times New Roman"/>
          <w:i/>
          <w:iCs/>
          <w:u w:val="single"/>
        </w:rPr>
        <w:t>Hospodářská politika</w:t>
      </w:r>
      <w:r w:rsidRPr="00FC3B7C">
        <w:rPr>
          <w:rFonts w:eastAsia="Times New Roman"/>
          <w:i/>
          <w:iCs/>
        </w:rPr>
        <w:t xml:space="preserve"> </w:t>
      </w:r>
      <w:r w:rsidRPr="00FC3B7C">
        <w:rPr>
          <w:rFonts w:eastAsia="Times New Roman"/>
        </w:rPr>
        <w:t>– souhrn nástrojů, opatření a procesů, prostřednictvím nichž</w:t>
      </w:r>
      <w:r w:rsidRPr="00FC3B7C">
        <w:rPr>
          <w:rFonts w:eastAsia="Times New Roman"/>
          <w:i/>
          <w:iCs/>
        </w:rPr>
        <w:t xml:space="preserve"> </w:t>
      </w:r>
      <w:r w:rsidRPr="00FC3B7C">
        <w:rPr>
          <w:rFonts w:eastAsia="Times New Roman"/>
        </w:rPr>
        <w:t>je možno</w:t>
      </w:r>
      <w:r w:rsidRPr="00FC3B7C">
        <w:rPr>
          <w:rFonts w:eastAsia="Times New Roman"/>
          <w:i/>
          <w:iCs/>
        </w:rPr>
        <w:t xml:space="preserve"> </w:t>
      </w:r>
      <w:r w:rsidRPr="00FC3B7C">
        <w:rPr>
          <w:rFonts w:eastAsia="Times New Roman"/>
        </w:rPr>
        <w:t>působit na makroekonomickou a mikroekonomickou oblast národního hospodářství. Vykonávají ji subjekty HP. Sleduje určité hospodářské a sociální cíle.</w:t>
      </w:r>
    </w:p>
    <w:p w14:paraId="16565647" w14:textId="77777777" w:rsidR="004236C6" w:rsidRPr="00FC3B7C" w:rsidRDefault="004236C6" w:rsidP="004236C6">
      <w:pPr>
        <w:rPr>
          <w:sz w:val="20"/>
          <w:szCs w:val="20"/>
        </w:rPr>
      </w:pPr>
      <w:r w:rsidRPr="00FC3B7C">
        <w:rPr>
          <w:rFonts w:eastAsia="Times New Roman"/>
          <w:i/>
          <w:iCs/>
          <w:u w:val="single"/>
        </w:rPr>
        <w:t>Moc výkonná</w:t>
      </w:r>
      <w:r w:rsidRPr="00FC3B7C">
        <w:rPr>
          <w:rFonts w:eastAsia="Times New Roman"/>
          <w:i/>
          <w:iCs/>
        </w:rPr>
        <w:t xml:space="preserve"> </w:t>
      </w:r>
      <w:r w:rsidRPr="00FC3B7C">
        <w:rPr>
          <w:rFonts w:eastAsia="Times New Roman"/>
        </w:rPr>
        <w:t>– neboli exekutiva je složka polit. moci, reprezentováno prezidentem a vládou.</w:t>
      </w:r>
    </w:p>
    <w:p w14:paraId="09389413" w14:textId="77777777" w:rsidR="004236C6" w:rsidRPr="00FC3B7C" w:rsidRDefault="004236C6" w:rsidP="004236C6">
      <w:pPr>
        <w:rPr>
          <w:sz w:val="20"/>
          <w:szCs w:val="20"/>
        </w:rPr>
      </w:pPr>
      <w:r w:rsidRPr="00FC3B7C">
        <w:rPr>
          <w:rFonts w:eastAsia="Times New Roman"/>
          <w:i/>
          <w:iCs/>
          <w:u w:val="single"/>
        </w:rPr>
        <w:t>Moc zákonodárná</w:t>
      </w:r>
      <w:r w:rsidRPr="00FC3B7C">
        <w:rPr>
          <w:rFonts w:eastAsia="Times New Roman"/>
          <w:i/>
          <w:iCs/>
        </w:rPr>
        <w:t xml:space="preserve"> </w:t>
      </w:r>
      <w:r w:rsidRPr="00FC3B7C">
        <w:rPr>
          <w:rFonts w:eastAsia="Times New Roman"/>
        </w:rPr>
        <w:t>– má oprávnění vydávat zákony. Je v rukou parlamentu.</w:t>
      </w:r>
    </w:p>
    <w:p w14:paraId="5A954BCE" w14:textId="77777777" w:rsidR="004236C6" w:rsidRPr="00FC3B7C" w:rsidRDefault="004236C6" w:rsidP="004236C6">
      <w:pPr>
        <w:rPr>
          <w:sz w:val="20"/>
          <w:szCs w:val="20"/>
        </w:rPr>
      </w:pPr>
      <w:r w:rsidRPr="00FC3B7C">
        <w:rPr>
          <w:rFonts w:eastAsia="Times New Roman"/>
          <w:i/>
          <w:iCs/>
          <w:u w:val="single"/>
        </w:rPr>
        <w:t>Moc soudní</w:t>
      </w:r>
      <w:r w:rsidRPr="00FC3B7C">
        <w:rPr>
          <w:rFonts w:eastAsia="Times New Roman"/>
          <w:i/>
          <w:iCs/>
        </w:rPr>
        <w:t xml:space="preserve"> </w:t>
      </w:r>
      <w:r w:rsidRPr="00FC3B7C">
        <w:rPr>
          <w:rFonts w:eastAsia="Times New Roman"/>
        </w:rPr>
        <w:t>– neboli justice je složka politické moci, kterou vykonávají specifické státní</w:t>
      </w:r>
      <w:r w:rsidRPr="00FC3B7C">
        <w:rPr>
          <w:rFonts w:eastAsia="Times New Roman"/>
          <w:i/>
          <w:iCs/>
        </w:rPr>
        <w:t xml:space="preserve"> </w:t>
      </w:r>
      <w:r w:rsidRPr="00FC3B7C">
        <w:rPr>
          <w:rFonts w:eastAsia="Times New Roman"/>
        </w:rPr>
        <w:t>orgány, kterými jsou nezávislé soudy.</w:t>
      </w:r>
    </w:p>
    <w:p w14:paraId="2C8A12CD" w14:textId="77777777" w:rsidR="004236C6" w:rsidRPr="00FC3B7C" w:rsidRDefault="004236C6" w:rsidP="004236C6">
      <w:pPr>
        <w:rPr>
          <w:sz w:val="20"/>
          <w:szCs w:val="20"/>
        </w:rPr>
      </w:pPr>
      <w:r w:rsidRPr="00FC3B7C">
        <w:rPr>
          <w:rFonts w:eastAsia="Times New Roman"/>
          <w:i/>
          <w:iCs/>
          <w:u w:val="single"/>
        </w:rPr>
        <w:t>Zájmové skupiny</w:t>
      </w:r>
      <w:r w:rsidRPr="00FC3B7C">
        <w:rPr>
          <w:rFonts w:eastAsia="Times New Roman"/>
          <w:i/>
          <w:iCs/>
        </w:rPr>
        <w:t xml:space="preserve"> </w:t>
      </w:r>
      <w:r w:rsidRPr="00FC3B7C">
        <w:rPr>
          <w:rFonts w:eastAsia="Times New Roman"/>
        </w:rPr>
        <w:t>– snaží se ovlivňovat moc, ale převzetí příslušné politické odpovědnosti se</w:t>
      </w:r>
      <w:r w:rsidRPr="00FC3B7C">
        <w:rPr>
          <w:rFonts w:eastAsia="Times New Roman"/>
          <w:i/>
          <w:iCs/>
        </w:rPr>
        <w:t xml:space="preserve"> </w:t>
      </w:r>
      <w:r w:rsidRPr="00FC3B7C">
        <w:rPr>
          <w:rFonts w:eastAsia="Times New Roman"/>
        </w:rPr>
        <w:t>brání. Zájmová skupina se snaží vytěžit z daného HP maximum pro svůj vlastní prospěch. Své zájmy prosazují prostřednictvím politického tlaku.</w:t>
      </w:r>
    </w:p>
    <w:p w14:paraId="48000AB4" w14:textId="77777777" w:rsidR="004236C6" w:rsidRPr="00FC3B7C" w:rsidRDefault="004236C6" w:rsidP="004236C6">
      <w:pPr>
        <w:rPr>
          <w:sz w:val="20"/>
          <w:szCs w:val="20"/>
        </w:rPr>
      </w:pPr>
      <w:r w:rsidRPr="00FC3B7C">
        <w:rPr>
          <w:rFonts w:eastAsia="Times New Roman"/>
          <w:i/>
          <w:iCs/>
          <w:u w:val="single"/>
        </w:rPr>
        <w:t>Racionální neznalost</w:t>
      </w:r>
      <w:r w:rsidRPr="00FC3B7C">
        <w:rPr>
          <w:rFonts w:eastAsia="Times New Roman"/>
          <w:i/>
          <w:iCs/>
        </w:rPr>
        <w:t xml:space="preserve"> </w:t>
      </w:r>
      <w:r w:rsidRPr="00FC3B7C">
        <w:rPr>
          <w:rFonts w:eastAsia="Times New Roman"/>
        </w:rPr>
        <w:t>– optimální míra informovanosti, kdy se mezní náklady na informace</w:t>
      </w:r>
      <w:r w:rsidRPr="00FC3B7C">
        <w:rPr>
          <w:rFonts w:eastAsia="Times New Roman"/>
          <w:i/>
          <w:iCs/>
        </w:rPr>
        <w:t xml:space="preserve"> </w:t>
      </w:r>
      <w:r w:rsidRPr="00FC3B7C">
        <w:rPr>
          <w:rFonts w:eastAsia="Times New Roman"/>
        </w:rPr>
        <w:t xml:space="preserve">rovnají mezním výnosům z informací. Není vždy výhodné „vědět úplně všechno“. </w:t>
      </w:r>
      <w:r w:rsidRPr="00FC3B7C">
        <w:rPr>
          <w:rFonts w:eastAsia="Times New Roman"/>
          <w:i/>
          <w:iCs/>
          <w:u w:val="single"/>
        </w:rPr>
        <w:t>Rent-seeking</w:t>
      </w:r>
      <w:r w:rsidRPr="00FC3B7C">
        <w:rPr>
          <w:rFonts w:eastAsia="Times New Roman"/>
          <w:i/>
          <w:iCs/>
        </w:rPr>
        <w:t xml:space="preserve"> </w:t>
      </w:r>
      <w:r w:rsidRPr="00FC3B7C">
        <w:rPr>
          <w:rFonts w:eastAsia="Times New Roman"/>
        </w:rPr>
        <w:t>– snaha získat na politickém trhu výsady, které nemají konkurenti. Tyto výsady</w:t>
      </w:r>
      <w:r w:rsidRPr="00FC3B7C">
        <w:rPr>
          <w:rFonts w:eastAsia="Times New Roman"/>
          <w:i/>
          <w:iCs/>
        </w:rPr>
        <w:t xml:space="preserve"> </w:t>
      </w:r>
      <w:r w:rsidRPr="00FC3B7C">
        <w:rPr>
          <w:rFonts w:eastAsia="Times New Roman"/>
        </w:rPr>
        <w:t>nám poskytují určitou rentu.</w:t>
      </w:r>
    </w:p>
    <w:p w14:paraId="44A77920" w14:textId="77777777" w:rsidR="004236C6" w:rsidRPr="00FC3B7C" w:rsidRDefault="004236C6" w:rsidP="004236C6">
      <w:pPr>
        <w:rPr>
          <w:sz w:val="20"/>
          <w:szCs w:val="20"/>
        </w:rPr>
      </w:pPr>
      <w:r w:rsidRPr="00FC3B7C">
        <w:rPr>
          <w:rFonts w:eastAsia="Times New Roman"/>
          <w:i/>
          <w:iCs/>
          <w:u w:val="single"/>
        </w:rPr>
        <w:t>Právní stát</w:t>
      </w:r>
      <w:r w:rsidRPr="00FC3B7C">
        <w:rPr>
          <w:rFonts w:eastAsia="Times New Roman"/>
          <w:i/>
          <w:iCs/>
        </w:rPr>
        <w:t xml:space="preserve"> </w:t>
      </w:r>
      <w:r w:rsidRPr="00FC3B7C">
        <w:rPr>
          <w:rFonts w:eastAsia="Times New Roman"/>
        </w:rPr>
        <w:t>– je právně-filosofický</w:t>
      </w:r>
      <w:r w:rsidRPr="00FC3B7C">
        <w:rPr>
          <w:rFonts w:eastAsia="Times New Roman"/>
          <w:i/>
          <w:iCs/>
        </w:rPr>
        <w:t xml:space="preserve"> </w:t>
      </w:r>
      <w:r w:rsidRPr="00FC3B7C">
        <w:rPr>
          <w:rFonts w:eastAsia="Times New Roman"/>
        </w:rPr>
        <w:t>koncept, který</w:t>
      </w:r>
      <w:r w:rsidRPr="00FC3B7C">
        <w:rPr>
          <w:rFonts w:eastAsia="Times New Roman"/>
          <w:i/>
          <w:iCs/>
        </w:rPr>
        <w:t xml:space="preserve"> </w:t>
      </w:r>
      <w:r w:rsidRPr="00FC3B7C">
        <w:rPr>
          <w:rFonts w:eastAsia="Times New Roman"/>
        </w:rPr>
        <w:t>označuje stát založený</w:t>
      </w:r>
      <w:r w:rsidRPr="00FC3B7C">
        <w:rPr>
          <w:rFonts w:eastAsia="Times New Roman"/>
          <w:i/>
          <w:iCs/>
        </w:rPr>
        <w:t xml:space="preserve"> </w:t>
      </w:r>
      <w:r w:rsidRPr="00FC3B7C">
        <w:rPr>
          <w:rFonts w:eastAsia="Times New Roman"/>
        </w:rPr>
        <w:t>na politickém systému,</w:t>
      </w:r>
      <w:r w:rsidRPr="00FC3B7C">
        <w:rPr>
          <w:rFonts w:eastAsia="Times New Roman"/>
          <w:i/>
          <w:iCs/>
        </w:rPr>
        <w:t xml:space="preserve"> </w:t>
      </w:r>
      <w:r w:rsidRPr="00FC3B7C">
        <w:rPr>
          <w:rFonts w:eastAsia="Times New Roman"/>
        </w:rPr>
        <w:t xml:space="preserve">ve kterém je právu podřízena politická moc, tedy stát jedná v souladu s vlastním právem. </w:t>
      </w:r>
      <w:r w:rsidRPr="00FC3B7C">
        <w:rPr>
          <w:rFonts w:eastAsia="Times New Roman"/>
          <w:i/>
          <w:iCs/>
          <w:u w:val="single"/>
        </w:rPr>
        <w:t>Legislativní proces</w:t>
      </w:r>
      <w:r w:rsidRPr="00FC3B7C">
        <w:rPr>
          <w:rFonts w:eastAsia="Times New Roman"/>
          <w:i/>
          <w:iCs/>
        </w:rPr>
        <w:t xml:space="preserve"> </w:t>
      </w:r>
      <w:r w:rsidRPr="00FC3B7C">
        <w:rPr>
          <w:rFonts w:eastAsia="Times New Roman"/>
        </w:rPr>
        <w:t>– neboli zákonodární proces je proces přípravy, tvorby, projednávání a</w:t>
      </w:r>
      <w:r w:rsidRPr="00FC3B7C">
        <w:rPr>
          <w:rFonts w:eastAsia="Times New Roman"/>
          <w:i/>
          <w:iCs/>
        </w:rPr>
        <w:t xml:space="preserve"> </w:t>
      </w:r>
      <w:r w:rsidRPr="00FC3B7C">
        <w:rPr>
          <w:rFonts w:eastAsia="Times New Roman"/>
        </w:rPr>
        <w:t>schvalování zákonů ze strany vlády, parlamentu a prezidenta republiky, jenž končí vyhlášením zákona ve Sbírce zákonů.</w:t>
      </w:r>
    </w:p>
    <w:p w14:paraId="67DEA361" w14:textId="77777777" w:rsidR="004236C6" w:rsidRPr="00FC3B7C" w:rsidRDefault="004236C6" w:rsidP="004236C6">
      <w:pPr>
        <w:rPr>
          <w:sz w:val="20"/>
          <w:szCs w:val="20"/>
        </w:rPr>
      </w:pPr>
      <w:r w:rsidRPr="00FC3B7C">
        <w:rPr>
          <w:rFonts w:eastAsia="Times New Roman"/>
          <w:i/>
          <w:iCs/>
          <w:u w:val="single"/>
        </w:rPr>
        <w:t>Volební systém poměrného zastoupení</w:t>
      </w:r>
      <w:r w:rsidRPr="00FC3B7C">
        <w:rPr>
          <w:rFonts w:eastAsia="Times New Roman"/>
          <w:i/>
          <w:iCs/>
        </w:rPr>
        <w:t xml:space="preserve"> </w:t>
      </w:r>
      <w:r w:rsidRPr="00FC3B7C">
        <w:rPr>
          <w:rFonts w:eastAsia="Times New Roman"/>
        </w:rPr>
        <w:t>– kandidáti</w:t>
      </w:r>
      <w:r w:rsidRPr="00FC3B7C">
        <w:rPr>
          <w:rFonts w:eastAsia="Times New Roman"/>
          <w:i/>
          <w:iCs/>
        </w:rPr>
        <w:t xml:space="preserve"> </w:t>
      </w:r>
      <w:r w:rsidRPr="00FC3B7C">
        <w:rPr>
          <w:rFonts w:eastAsia="Times New Roman"/>
        </w:rPr>
        <w:t>či strany získávají počet mandátů či křesel</w:t>
      </w:r>
      <w:r w:rsidRPr="00FC3B7C">
        <w:rPr>
          <w:rFonts w:eastAsia="Times New Roman"/>
          <w:i/>
          <w:iCs/>
        </w:rPr>
        <w:t xml:space="preserve"> </w:t>
      </w:r>
      <w:r w:rsidRPr="00FC3B7C">
        <w:rPr>
          <w:rFonts w:eastAsia="Times New Roman"/>
        </w:rPr>
        <w:t>v poměru, který se blíží poměru počtu hlasů získaných od voličů. Využívá se při parlamentních volbách a při volbách do zastupitelstev.</w:t>
      </w:r>
    </w:p>
    <w:p w14:paraId="632EA983" w14:textId="77777777" w:rsidR="004236C6" w:rsidRPr="00FC3B7C" w:rsidRDefault="004236C6" w:rsidP="004236C6">
      <w:pPr>
        <w:rPr>
          <w:sz w:val="20"/>
          <w:szCs w:val="20"/>
        </w:rPr>
      </w:pPr>
      <w:r w:rsidRPr="00FC3B7C">
        <w:rPr>
          <w:rFonts w:eastAsia="Times New Roman"/>
          <w:i/>
          <w:iCs/>
          <w:u w:val="single"/>
        </w:rPr>
        <w:t>Volební systém většinového zastoupení</w:t>
      </w:r>
      <w:r w:rsidRPr="00FC3B7C">
        <w:rPr>
          <w:rFonts w:eastAsia="Times New Roman"/>
          <w:i/>
          <w:iCs/>
        </w:rPr>
        <w:t xml:space="preserve"> </w:t>
      </w:r>
      <w:r w:rsidRPr="00FC3B7C">
        <w:rPr>
          <w:rFonts w:eastAsia="Times New Roman"/>
        </w:rPr>
        <w:t>– v případě</w:t>
      </w:r>
      <w:r w:rsidRPr="00FC3B7C">
        <w:rPr>
          <w:rFonts w:eastAsia="Times New Roman"/>
          <w:i/>
          <w:iCs/>
        </w:rPr>
        <w:t xml:space="preserve"> </w:t>
      </w:r>
      <w:r w:rsidRPr="00FC3B7C">
        <w:rPr>
          <w:rFonts w:eastAsia="Times New Roman"/>
        </w:rPr>
        <w:t>dnešního většinového volebního systému</w:t>
      </w:r>
      <w:r w:rsidRPr="00FC3B7C">
        <w:rPr>
          <w:rFonts w:eastAsia="Times New Roman"/>
          <w:i/>
          <w:iCs/>
        </w:rPr>
        <w:t xml:space="preserve"> </w:t>
      </w:r>
      <w:r w:rsidRPr="00FC3B7C">
        <w:rPr>
          <w:rFonts w:eastAsia="Times New Roman"/>
        </w:rPr>
        <w:t>je stát rozdělen na tolik volebních obvodů, jaký je počet mandátů. V jednotlivých obvodech zvítězí kandidát, který obdrží většinu hlasů od voličů. Využívá se při volbách do senátu.</w:t>
      </w:r>
    </w:p>
    <w:p w14:paraId="1029E84D" w14:textId="77777777" w:rsidR="004236C6" w:rsidRPr="00FC3B7C" w:rsidRDefault="004236C6" w:rsidP="004236C6">
      <w:pPr>
        <w:rPr>
          <w:sz w:val="20"/>
          <w:szCs w:val="20"/>
        </w:rPr>
      </w:pPr>
      <w:r w:rsidRPr="00FC3B7C">
        <w:rPr>
          <w:rFonts w:eastAsia="Times New Roman"/>
          <w:i/>
          <w:iCs/>
          <w:u w:val="single"/>
        </w:rPr>
        <w:t>Externalita</w:t>
      </w:r>
      <w:r w:rsidRPr="00FC3B7C">
        <w:rPr>
          <w:rFonts w:eastAsia="Times New Roman"/>
          <w:i/>
          <w:iCs/>
        </w:rPr>
        <w:t xml:space="preserve"> </w:t>
      </w:r>
      <w:r w:rsidRPr="00FC3B7C">
        <w:rPr>
          <w:rFonts w:eastAsia="Times New Roman"/>
        </w:rPr>
        <w:t>– situace, k níž</w:t>
      </w:r>
      <w:r w:rsidRPr="00FC3B7C">
        <w:rPr>
          <w:rFonts w:eastAsia="Times New Roman"/>
          <w:i/>
          <w:iCs/>
        </w:rPr>
        <w:t xml:space="preserve"> </w:t>
      </w:r>
      <w:r w:rsidRPr="00FC3B7C">
        <w:rPr>
          <w:rFonts w:eastAsia="Times New Roman"/>
        </w:rPr>
        <w:t>dochází tehdy, pokud původce externality nenese veškeré náklady</w:t>
      </w:r>
      <w:r w:rsidRPr="00FC3B7C">
        <w:rPr>
          <w:rFonts w:eastAsia="Times New Roman"/>
          <w:i/>
          <w:iCs/>
        </w:rPr>
        <w:t xml:space="preserve"> </w:t>
      </w:r>
      <w:r w:rsidRPr="00FC3B7C">
        <w:rPr>
          <w:rFonts w:eastAsia="Times New Roman"/>
        </w:rPr>
        <w:t>(popř. výnosy) ze své činnosti. Rozlišujeme negativní a pozitivní externality.</w:t>
      </w:r>
    </w:p>
    <w:p w14:paraId="32C1800E" w14:textId="77777777" w:rsidR="004236C6" w:rsidRPr="00FC3B7C" w:rsidRDefault="004236C6" w:rsidP="004236C6">
      <w:pPr>
        <w:sectPr w:rsidR="004236C6" w:rsidRPr="00FC3B7C">
          <w:pgSz w:w="11900" w:h="16840"/>
          <w:pgMar w:top="1388" w:right="1380" w:bottom="1440" w:left="1420" w:header="0" w:footer="0" w:gutter="0"/>
          <w:cols w:space="708" w:equalWidth="0">
            <w:col w:w="9100"/>
          </w:cols>
        </w:sectPr>
      </w:pPr>
    </w:p>
    <w:p w14:paraId="445A67C3" w14:textId="77777777" w:rsidR="004236C6" w:rsidRPr="00FC3B7C" w:rsidRDefault="004236C6" w:rsidP="004236C6">
      <w:pPr>
        <w:rPr>
          <w:sz w:val="20"/>
          <w:szCs w:val="20"/>
        </w:rPr>
      </w:pPr>
      <w:bookmarkStart w:id="82" w:name="page78"/>
      <w:bookmarkEnd w:id="82"/>
      <w:r w:rsidRPr="00FC3B7C">
        <w:rPr>
          <w:rFonts w:eastAsia="Times New Roman"/>
          <w:i/>
          <w:iCs/>
          <w:u w:val="single"/>
        </w:rPr>
        <w:lastRenderedPageBreak/>
        <w:t>Tržní selhání</w:t>
      </w:r>
      <w:r w:rsidRPr="00FC3B7C">
        <w:rPr>
          <w:rFonts w:eastAsia="Times New Roman"/>
          <w:i/>
          <w:iCs/>
        </w:rPr>
        <w:t xml:space="preserve"> </w:t>
      </w:r>
      <w:r w:rsidRPr="00FC3B7C">
        <w:rPr>
          <w:rFonts w:eastAsia="Times New Roman"/>
        </w:rPr>
        <w:t>– situace, kdy tržní systém nealokuje ekonomické zdroje optimálně. Tehdy je</w:t>
      </w:r>
      <w:r w:rsidRPr="00FC3B7C">
        <w:rPr>
          <w:rFonts w:eastAsia="Times New Roman"/>
          <w:i/>
          <w:iCs/>
        </w:rPr>
        <w:t xml:space="preserve"> </w:t>
      </w:r>
      <w:r w:rsidRPr="00FC3B7C">
        <w:rPr>
          <w:rFonts w:eastAsia="Times New Roman"/>
        </w:rPr>
        <w:t>shledávána nejčastější potřeba státních zásahů.</w:t>
      </w:r>
    </w:p>
    <w:p w14:paraId="5B4B730A" w14:textId="77777777" w:rsidR="004236C6" w:rsidRPr="00FC3B7C" w:rsidRDefault="004236C6" w:rsidP="004236C6">
      <w:pPr>
        <w:rPr>
          <w:sz w:val="20"/>
          <w:szCs w:val="20"/>
        </w:rPr>
      </w:pPr>
      <w:r w:rsidRPr="00FC3B7C">
        <w:rPr>
          <w:rFonts w:eastAsia="Times New Roman"/>
          <w:i/>
          <w:iCs/>
          <w:u w:val="single"/>
        </w:rPr>
        <w:t>Problém</w:t>
      </w:r>
      <w:r w:rsidRPr="00FC3B7C">
        <w:rPr>
          <w:rFonts w:eastAsia="Times New Roman"/>
          <w:i/>
          <w:iCs/>
        </w:rPr>
        <w:t xml:space="preserve"> </w:t>
      </w:r>
      <w:r w:rsidRPr="00FC3B7C">
        <w:rPr>
          <w:rFonts w:eastAsia="Times New Roman"/>
          <w:i/>
          <w:iCs/>
          <w:u w:val="single"/>
        </w:rPr>
        <w:t>černého pasažéra</w:t>
      </w:r>
      <w:r w:rsidRPr="00FC3B7C">
        <w:rPr>
          <w:rFonts w:eastAsia="Times New Roman"/>
          <w:i/>
          <w:iCs/>
        </w:rPr>
        <w:t xml:space="preserve"> </w:t>
      </w:r>
      <w:r w:rsidRPr="00FC3B7C">
        <w:rPr>
          <w:rFonts w:eastAsia="Times New Roman"/>
        </w:rPr>
        <w:t>– problém vznikající u statků</w:t>
      </w:r>
      <w:r w:rsidRPr="00FC3B7C">
        <w:rPr>
          <w:rFonts w:eastAsia="Times New Roman"/>
          <w:i/>
          <w:iCs/>
        </w:rPr>
        <w:t xml:space="preserve"> </w:t>
      </w:r>
      <w:r w:rsidRPr="00FC3B7C">
        <w:rPr>
          <w:rFonts w:eastAsia="Times New Roman"/>
        </w:rPr>
        <w:t>nevylučitelných ze spotřeby. Nelze-li</w:t>
      </w:r>
      <w:r w:rsidRPr="00FC3B7C">
        <w:rPr>
          <w:rFonts w:eastAsia="Times New Roman"/>
          <w:i/>
          <w:iCs/>
        </w:rPr>
        <w:t xml:space="preserve"> </w:t>
      </w:r>
      <w:r w:rsidRPr="00FC3B7C">
        <w:rPr>
          <w:rFonts w:eastAsia="Times New Roman"/>
        </w:rPr>
        <w:t>lidi vyloučit ze spotřeby, budou se vyhýbat placení.</w:t>
      </w:r>
    </w:p>
    <w:p w14:paraId="7889203E" w14:textId="77777777" w:rsidR="004236C6" w:rsidRPr="00FC3B7C" w:rsidRDefault="004236C6" w:rsidP="004236C6">
      <w:pPr>
        <w:rPr>
          <w:sz w:val="20"/>
          <w:szCs w:val="20"/>
        </w:rPr>
      </w:pPr>
      <w:r w:rsidRPr="00FC3B7C">
        <w:rPr>
          <w:rFonts w:eastAsia="Times New Roman"/>
          <w:i/>
          <w:iCs/>
          <w:u w:val="single"/>
        </w:rPr>
        <w:t>Veřejná volba</w:t>
      </w:r>
      <w:r w:rsidRPr="00FC3B7C">
        <w:rPr>
          <w:rFonts w:eastAsia="Times New Roman"/>
          <w:i/>
          <w:iCs/>
        </w:rPr>
        <w:t xml:space="preserve"> </w:t>
      </w:r>
      <w:r w:rsidRPr="00FC3B7C">
        <w:rPr>
          <w:rFonts w:eastAsia="Times New Roman"/>
        </w:rPr>
        <w:t>– rozhodování voličů, politiků</w:t>
      </w:r>
      <w:r w:rsidRPr="00FC3B7C">
        <w:rPr>
          <w:rFonts w:eastAsia="Times New Roman"/>
          <w:i/>
          <w:iCs/>
        </w:rPr>
        <w:t xml:space="preserve"> </w:t>
      </w:r>
      <w:r w:rsidRPr="00FC3B7C">
        <w:rPr>
          <w:rFonts w:eastAsia="Times New Roman"/>
        </w:rPr>
        <w:t>a byrokratů</w:t>
      </w:r>
      <w:r w:rsidRPr="00FC3B7C">
        <w:rPr>
          <w:rFonts w:eastAsia="Times New Roman"/>
          <w:i/>
          <w:iCs/>
        </w:rPr>
        <w:t xml:space="preserve"> </w:t>
      </w:r>
      <w:r w:rsidRPr="00FC3B7C">
        <w:rPr>
          <w:rFonts w:eastAsia="Times New Roman"/>
        </w:rPr>
        <w:t>na politických trzích.</w:t>
      </w:r>
    </w:p>
    <w:p w14:paraId="3FA6F404" w14:textId="77777777" w:rsidR="004236C6" w:rsidRPr="00FC3B7C" w:rsidRDefault="004236C6" w:rsidP="004236C6">
      <w:pPr>
        <w:rPr>
          <w:sz w:val="20"/>
          <w:szCs w:val="20"/>
        </w:rPr>
      </w:pPr>
      <w:r w:rsidRPr="00FC3B7C">
        <w:rPr>
          <w:rFonts w:eastAsia="Times New Roman"/>
          <w:i/>
          <w:iCs/>
          <w:u w:val="single"/>
        </w:rPr>
        <w:t>Vlastnická práva</w:t>
      </w:r>
      <w:r w:rsidRPr="00FC3B7C">
        <w:rPr>
          <w:rFonts w:eastAsia="Times New Roman"/>
          <w:i/>
          <w:iCs/>
        </w:rPr>
        <w:t xml:space="preserve"> </w:t>
      </w:r>
      <w:r w:rsidRPr="00FC3B7C">
        <w:rPr>
          <w:rFonts w:eastAsia="Times New Roman"/>
        </w:rPr>
        <w:t>– právo věc užívat, prodat nebo pronajmout za podmínek vyplývajících z</w:t>
      </w:r>
      <w:r w:rsidRPr="00FC3B7C">
        <w:rPr>
          <w:rFonts w:eastAsia="Times New Roman"/>
          <w:i/>
          <w:iCs/>
        </w:rPr>
        <w:t xml:space="preserve"> </w:t>
      </w:r>
      <w:r w:rsidRPr="00FC3B7C">
        <w:rPr>
          <w:rFonts w:eastAsia="Times New Roman"/>
        </w:rPr>
        <w:t>rozhodnutí vlastníka, popř. ze smluv, které dobrovolně uzavřel.</w:t>
      </w:r>
    </w:p>
    <w:p w14:paraId="02EC2349" w14:textId="77777777" w:rsidR="004236C6" w:rsidRPr="00FC3B7C" w:rsidRDefault="004236C6" w:rsidP="004236C6">
      <w:pPr>
        <w:rPr>
          <w:sz w:val="20"/>
          <w:szCs w:val="20"/>
        </w:rPr>
      </w:pPr>
      <w:r w:rsidRPr="00FC3B7C">
        <w:rPr>
          <w:rFonts w:eastAsia="Times New Roman"/>
          <w:i/>
          <w:iCs/>
          <w:u w:val="single"/>
        </w:rPr>
        <w:t>Path dependency</w:t>
      </w:r>
      <w:r w:rsidRPr="00FC3B7C">
        <w:rPr>
          <w:rFonts w:eastAsia="Times New Roman"/>
          <w:i/>
          <w:iCs/>
        </w:rPr>
        <w:t xml:space="preserve"> </w:t>
      </w:r>
      <w:r w:rsidRPr="00FC3B7C">
        <w:rPr>
          <w:rFonts w:eastAsia="Times New Roman"/>
        </w:rPr>
        <w:t>– nemůžeme striktně</w:t>
      </w:r>
      <w:r w:rsidRPr="00FC3B7C">
        <w:rPr>
          <w:rFonts w:eastAsia="Times New Roman"/>
          <w:i/>
          <w:iCs/>
        </w:rPr>
        <w:t xml:space="preserve"> </w:t>
      </w:r>
      <w:r w:rsidRPr="00FC3B7C">
        <w:rPr>
          <w:rFonts w:eastAsia="Times New Roman"/>
        </w:rPr>
        <w:t>oddělit ekonomický</w:t>
      </w:r>
      <w:r w:rsidRPr="00FC3B7C">
        <w:rPr>
          <w:rFonts w:eastAsia="Times New Roman"/>
          <w:i/>
          <w:iCs/>
        </w:rPr>
        <w:t xml:space="preserve"> </w:t>
      </w:r>
      <w:r w:rsidRPr="00FC3B7C">
        <w:rPr>
          <w:rFonts w:eastAsia="Times New Roman"/>
        </w:rPr>
        <w:t>vývoj v současnosti od toho, jak</w:t>
      </w:r>
      <w:r w:rsidRPr="00FC3B7C">
        <w:rPr>
          <w:rFonts w:eastAsia="Times New Roman"/>
          <w:i/>
          <w:iCs/>
        </w:rPr>
        <w:t xml:space="preserve"> </w:t>
      </w:r>
      <w:r w:rsidRPr="00FC3B7C">
        <w:rPr>
          <w:rFonts w:eastAsia="Times New Roman"/>
        </w:rPr>
        <w:t>se ekonomika vyvíjela v minulosti.</w:t>
      </w:r>
    </w:p>
    <w:p w14:paraId="3812553A" w14:textId="77777777" w:rsidR="004236C6" w:rsidRPr="00FC3B7C" w:rsidRDefault="004236C6" w:rsidP="004236C6">
      <w:pPr>
        <w:rPr>
          <w:sz w:val="20"/>
          <w:szCs w:val="20"/>
        </w:rPr>
      </w:pPr>
      <w:r w:rsidRPr="00FC3B7C">
        <w:rPr>
          <w:rFonts w:eastAsia="Times New Roman"/>
          <w:i/>
          <w:iCs/>
          <w:u w:val="single"/>
        </w:rPr>
        <w:t>Soukromé právo</w:t>
      </w:r>
      <w:r w:rsidRPr="00FC3B7C">
        <w:rPr>
          <w:rFonts w:eastAsia="Times New Roman"/>
          <w:i/>
          <w:iCs/>
        </w:rPr>
        <w:t xml:space="preserve"> </w:t>
      </w:r>
      <w:r w:rsidRPr="00FC3B7C">
        <w:rPr>
          <w:rFonts w:eastAsia="Times New Roman"/>
        </w:rPr>
        <w:t>– spadá sem právo občanské, obchodní, rodinné a pracovní.</w:t>
      </w:r>
    </w:p>
    <w:p w14:paraId="325C6445" w14:textId="77777777" w:rsidR="004236C6" w:rsidRPr="00FC3B7C" w:rsidRDefault="004236C6" w:rsidP="004236C6">
      <w:pPr>
        <w:rPr>
          <w:sz w:val="20"/>
          <w:szCs w:val="20"/>
        </w:rPr>
      </w:pPr>
      <w:r w:rsidRPr="00FC3B7C">
        <w:rPr>
          <w:rFonts w:eastAsia="Times New Roman"/>
          <w:i/>
          <w:iCs/>
          <w:u w:val="single"/>
        </w:rPr>
        <w:t>Veřejné právo</w:t>
      </w:r>
      <w:r w:rsidRPr="00FC3B7C">
        <w:rPr>
          <w:rFonts w:eastAsia="Times New Roman"/>
          <w:i/>
          <w:iCs/>
        </w:rPr>
        <w:t xml:space="preserve"> </w:t>
      </w:r>
      <w:r w:rsidRPr="00FC3B7C">
        <w:rPr>
          <w:rFonts w:eastAsia="Times New Roman"/>
        </w:rPr>
        <w:t>– jedná se o ústavní právo, finanční, správní a trestní právo.</w:t>
      </w:r>
    </w:p>
    <w:p w14:paraId="1D7F7F83" w14:textId="77777777" w:rsidR="004236C6" w:rsidRPr="00FC3B7C" w:rsidRDefault="004236C6" w:rsidP="004236C6">
      <w:pPr>
        <w:spacing w:line="200" w:lineRule="exact"/>
        <w:rPr>
          <w:sz w:val="20"/>
          <w:szCs w:val="20"/>
        </w:rPr>
      </w:pPr>
    </w:p>
    <w:p w14:paraId="3F4B9344" w14:textId="77777777" w:rsidR="004236C6" w:rsidRPr="004236C6" w:rsidRDefault="004236C6" w:rsidP="004236C6">
      <w:pPr>
        <w:pStyle w:val="Nadpis2"/>
        <w:rPr>
          <w:color w:val="1F3864" w:themeColor="accent1" w:themeShade="80"/>
          <w:sz w:val="20"/>
          <w:szCs w:val="20"/>
        </w:rPr>
      </w:pPr>
      <w:r w:rsidRPr="004236C6">
        <w:rPr>
          <w:rFonts w:eastAsia="Times New Roman"/>
          <w:color w:val="1F3864" w:themeColor="accent1" w:themeShade="80"/>
        </w:rPr>
        <w:t>NOSITELÉ HOSPODÁŘSKÉ POLITIKY</w:t>
      </w:r>
    </w:p>
    <w:p w14:paraId="515D66E7" w14:textId="77777777" w:rsidR="004236C6" w:rsidRPr="00FC3B7C" w:rsidRDefault="004236C6" w:rsidP="004236C6">
      <w:pPr>
        <w:spacing w:line="358" w:lineRule="auto"/>
        <w:rPr>
          <w:sz w:val="20"/>
          <w:szCs w:val="20"/>
        </w:rPr>
      </w:pPr>
      <w:r w:rsidRPr="00FC3B7C">
        <w:rPr>
          <w:rFonts w:eastAsia="Times New Roman"/>
          <w:szCs w:val="24"/>
        </w:rPr>
        <w:t>Jedná se o subjekty, které se podílejí na formování, realizaci a kontrole HP. Jejich společným znakem je legitimita a moc přijímat rozhodnutí. Tyto subjekty můžeme rozdělit do skupin na:</w:t>
      </w:r>
    </w:p>
    <w:p w14:paraId="07418589" w14:textId="77777777" w:rsidR="004236C6" w:rsidRPr="00FC3B7C" w:rsidRDefault="004236C6" w:rsidP="004236C6">
      <w:pPr>
        <w:spacing w:line="2" w:lineRule="exact"/>
        <w:rPr>
          <w:sz w:val="20"/>
          <w:szCs w:val="20"/>
        </w:rPr>
      </w:pPr>
    </w:p>
    <w:p w14:paraId="77AC9589" w14:textId="77777777" w:rsidR="004236C6" w:rsidRPr="00FC3B7C" w:rsidRDefault="004236C6" w:rsidP="004236C6">
      <w:pPr>
        <w:numPr>
          <w:ilvl w:val="0"/>
          <w:numId w:val="54"/>
        </w:numPr>
        <w:tabs>
          <w:tab w:val="left" w:pos="840"/>
        </w:tabs>
        <w:ind w:left="840" w:hanging="353"/>
        <w:rPr>
          <w:rFonts w:eastAsia="Times New Roman"/>
          <w:szCs w:val="24"/>
        </w:rPr>
      </w:pPr>
      <w:r w:rsidRPr="00FC3B7C">
        <w:rPr>
          <w:rFonts w:eastAsia="Times New Roman"/>
          <w:szCs w:val="24"/>
        </w:rPr>
        <w:t>Stát,</w:t>
      </w:r>
    </w:p>
    <w:p w14:paraId="32F18E86" w14:textId="77777777" w:rsidR="004236C6" w:rsidRPr="00FC3B7C" w:rsidRDefault="004236C6" w:rsidP="004236C6">
      <w:pPr>
        <w:numPr>
          <w:ilvl w:val="0"/>
          <w:numId w:val="54"/>
        </w:numPr>
        <w:tabs>
          <w:tab w:val="left" w:pos="840"/>
        </w:tabs>
        <w:ind w:left="840" w:hanging="353"/>
        <w:rPr>
          <w:rFonts w:eastAsia="Times New Roman"/>
          <w:szCs w:val="24"/>
        </w:rPr>
      </w:pPr>
      <w:r w:rsidRPr="00FC3B7C">
        <w:rPr>
          <w:rFonts w:eastAsia="Times New Roman"/>
          <w:szCs w:val="24"/>
        </w:rPr>
        <w:t>Sféru vlivu (tj. zájmové skupiny, politické strany, …),</w:t>
      </w:r>
    </w:p>
    <w:p w14:paraId="77F577ED" w14:textId="77777777" w:rsidR="004236C6" w:rsidRPr="00FC3B7C" w:rsidRDefault="004236C6" w:rsidP="004236C6">
      <w:pPr>
        <w:numPr>
          <w:ilvl w:val="0"/>
          <w:numId w:val="54"/>
        </w:numPr>
        <w:tabs>
          <w:tab w:val="left" w:pos="840"/>
        </w:tabs>
        <w:spacing w:after="240"/>
        <w:ind w:left="840" w:hanging="353"/>
        <w:rPr>
          <w:rFonts w:eastAsia="Times New Roman"/>
          <w:szCs w:val="24"/>
        </w:rPr>
      </w:pPr>
      <w:r w:rsidRPr="00FC3B7C">
        <w:rPr>
          <w:rFonts w:eastAsia="Times New Roman"/>
          <w:szCs w:val="24"/>
        </w:rPr>
        <w:t>Nadnárodní organizace (tj. EU, OSN, MMF, …).</w:t>
      </w:r>
    </w:p>
    <w:p w14:paraId="1F06C9B8" w14:textId="77777777" w:rsidR="004236C6" w:rsidRPr="004236C6" w:rsidRDefault="004236C6" w:rsidP="004236C6">
      <w:pPr>
        <w:pStyle w:val="Nadpis2"/>
        <w:rPr>
          <w:color w:val="1F3864" w:themeColor="accent1" w:themeShade="80"/>
          <w:sz w:val="20"/>
          <w:szCs w:val="20"/>
        </w:rPr>
      </w:pPr>
      <w:bookmarkStart w:id="83" w:name="page79"/>
      <w:bookmarkEnd w:id="83"/>
      <w:r w:rsidRPr="004236C6">
        <w:rPr>
          <w:rFonts w:eastAsia="Times New Roman"/>
          <w:color w:val="1F3864" w:themeColor="accent1" w:themeShade="80"/>
        </w:rPr>
        <w:t>FUNKCE STÁTU</w:t>
      </w:r>
    </w:p>
    <w:p w14:paraId="62754CD1" w14:textId="77777777" w:rsidR="004236C6" w:rsidRPr="00FC3B7C" w:rsidRDefault="004236C6" w:rsidP="004236C6">
      <w:pPr>
        <w:ind w:left="4"/>
        <w:rPr>
          <w:sz w:val="20"/>
          <w:szCs w:val="20"/>
        </w:rPr>
      </w:pPr>
      <w:r w:rsidRPr="00FC3B7C">
        <w:rPr>
          <w:rFonts w:eastAsia="Times New Roman"/>
          <w:szCs w:val="24"/>
        </w:rPr>
        <w:t>Funguje zde princip oddělených složek moci:</w:t>
      </w:r>
    </w:p>
    <w:p w14:paraId="4910D7E0" w14:textId="77777777" w:rsidR="004236C6" w:rsidRPr="00FC3B7C" w:rsidRDefault="004236C6" w:rsidP="004236C6">
      <w:pPr>
        <w:spacing w:line="137" w:lineRule="exact"/>
        <w:rPr>
          <w:sz w:val="20"/>
          <w:szCs w:val="20"/>
        </w:rPr>
      </w:pPr>
    </w:p>
    <w:p w14:paraId="26368012" w14:textId="77777777" w:rsidR="004236C6" w:rsidRPr="00FC3B7C" w:rsidRDefault="004236C6" w:rsidP="004236C6">
      <w:pPr>
        <w:numPr>
          <w:ilvl w:val="0"/>
          <w:numId w:val="55"/>
        </w:numPr>
        <w:tabs>
          <w:tab w:val="left" w:pos="844"/>
        </w:tabs>
        <w:ind w:left="844" w:hanging="368"/>
        <w:rPr>
          <w:rFonts w:eastAsia="Times New Roman"/>
          <w:szCs w:val="24"/>
        </w:rPr>
      </w:pPr>
      <w:r w:rsidRPr="00FC3B7C">
        <w:rPr>
          <w:rFonts w:eastAsia="Times New Roman"/>
          <w:szCs w:val="24"/>
        </w:rPr>
        <w:t>moc výkonná = vláda a prezident,</w:t>
      </w:r>
    </w:p>
    <w:p w14:paraId="13DC0843" w14:textId="77777777" w:rsidR="004236C6" w:rsidRPr="00FC3B7C" w:rsidRDefault="004236C6" w:rsidP="004236C6">
      <w:pPr>
        <w:spacing w:line="141" w:lineRule="exact"/>
        <w:rPr>
          <w:rFonts w:eastAsia="Times New Roman"/>
          <w:szCs w:val="24"/>
        </w:rPr>
      </w:pPr>
    </w:p>
    <w:p w14:paraId="7B359E05" w14:textId="77777777" w:rsidR="004236C6" w:rsidRPr="00FC3B7C" w:rsidRDefault="004236C6" w:rsidP="004236C6">
      <w:pPr>
        <w:numPr>
          <w:ilvl w:val="0"/>
          <w:numId w:val="55"/>
        </w:numPr>
        <w:tabs>
          <w:tab w:val="left" w:pos="844"/>
        </w:tabs>
        <w:ind w:left="844" w:hanging="368"/>
        <w:rPr>
          <w:rFonts w:eastAsia="Times New Roman"/>
          <w:szCs w:val="24"/>
        </w:rPr>
      </w:pPr>
      <w:r w:rsidRPr="00FC3B7C">
        <w:rPr>
          <w:rFonts w:eastAsia="Times New Roman"/>
          <w:szCs w:val="24"/>
        </w:rPr>
        <w:t>moc zákonodárná = parlament,</w:t>
      </w:r>
    </w:p>
    <w:p w14:paraId="52FC220C" w14:textId="77777777" w:rsidR="004236C6" w:rsidRPr="00FC3B7C" w:rsidRDefault="004236C6" w:rsidP="004236C6">
      <w:pPr>
        <w:spacing w:line="136" w:lineRule="exact"/>
        <w:rPr>
          <w:rFonts w:eastAsia="Times New Roman"/>
          <w:szCs w:val="24"/>
        </w:rPr>
      </w:pPr>
    </w:p>
    <w:p w14:paraId="2DB3067E" w14:textId="77777777" w:rsidR="004236C6" w:rsidRPr="00FC3B7C" w:rsidRDefault="004236C6" w:rsidP="004236C6">
      <w:pPr>
        <w:numPr>
          <w:ilvl w:val="0"/>
          <w:numId w:val="55"/>
        </w:numPr>
        <w:tabs>
          <w:tab w:val="left" w:pos="844"/>
        </w:tabs>
        <w:ind w:left="844" w:hanging="368"/>
        <w:rPr>
          <w:rFonts w:eastAsia="Times New Roman"/>
          <w:szCs w:val="24"/>
        </w:rPr>
      </w:pPr>
      <w:r w:rsidRPr="00FC3B7C">
        <w:rPr>
          <w:rFonts w:eastAsia="Times New Roman"/>
          <w:szCs w:val="24"/>
        </w:rPr>
        <w:t>moc soudní = soudy.</w:t>
      </w:r>
    </w:p>
    <w:p w14:paraId="480CEB56" w14:textId="77777777" w:rsidR="004236C6" w:rsidRPr="00FC3B7C" w:rsidRDefault="004236C6" w:rsidP="004236C6">
      <w:pPr>
        <w:spacing w:line="251" w:lineRule="exact"/>
        <w:rPr>
          <w:sz w:val="20"/>
          <w:szCs w:val="20"/>
        </w:rPr>
      </w:pPr>
    </w:p>
    <w:p w14:paraId="32AD1ABC" w14:textId="77777777" w:rsidR="004236C6" w:rsidRPr="00FC3B7C" w:rsidRDefault="004236C6" w:rsidP="004236C6">
      <w:pPr>
        <w:ind w:left="4"/>
        <w:rPr>
          <w:sz w:val="20"/>
          <w:szCs w:val="20"/>
        </w:rPr>
      </w:pPr>
      <w:r w:rsidRPr="00FC3B7C">
        <w:rPr>
          <w:noProof/>
          <w:sz w:val="20"/>
          <w:szCs w:val="20"/>
        </w:rPr>
        <w:drawing>
          <wp:anchor distT="0" distB="0" distL="114300" distR="114300" simplePos="0" relativeHeight="251691520" behindDoc="1" locked="0" layoutInCell="0" allowOverlap="1" wp14:anchorId="03C2D2A7" wp14:editId="5C250D61">
            <wp:simplePos x="0" y="0"/>
            <wp:positionH relativeFrom="column">
              <wp:posOffset>167640</wp:posOffset>
            </wp:positionH>
            <wp:positionV relativeFrom="paragraph">
              <wp:posOffset>189865</wp:posOffset>
            </wp:positionV>
            <wp:extent cx="5438775" cy="2341880"/>
            <wp:effectExtent l="0" t="0" r="9525" b="127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srcRect/>
                    <a:stretch>
                      <a:fillRect/>
                    </a:stretch>
                  </pic:blipFill>
                  <pic:spPr bwMode="auto">
                    <a:xfrm>
                      <a:off x="0" y="0"/>
                      <a:ext cx="5438775" cy="2341880"/>
                    </a:xfrm>
                    <a:prstGeom prst="rect">
                      <a:avLst/>
                    </a:prstGeom>
                    <a:noFill/>
                  </pic:spPr>
                </pic:pic>
              </a:graphicData>
            </a:graphic>
            <wp14:sizeRelH relativeFrom="margin">
              <wp14:pctWidth>0</wp14:pctWidth>
            </wp14:sizeRelH>
            <wp14:sizeRelV relativeFrom="margin">
              <wp14:pctHeight>0</wp14:pctHeight>
            </wp14:sizeRelV>
          </wp:anchor>
        </w:drawing>
      </w:r>
      <w:r w:rsidRPr="00FC3B7C">
        <w:rPr>
          <w:rFonts w:eastAsia="Times New Roman"/>
          <w:b/>
          <w:bCs/>
          <w:szCs w:val="24"/>
        </w:rPr>
        <w:t>Rozdělení pravomocí</w:t>
      </w:r>
    </w:p>
    <w:p w14:paraId="35E765A1" w14:textId="77777777" w:rsidR="004236C6" w:rsidRPr="00FC3B7C" w:rsidRDefault="004236C6" w:rsidP="004236C6">
      <w:pPr>
        <w:spacing w:line="20" w:lineRule="exact"/>
        <w:rPr>
          <w:sz w:val="20"/>
          <w:szCs w:val="20"/>
        </w:rPr>
      </w:pPr>
    </w:p>
    <w:p w14:paraId="0932A855" w14:textId="77777777" w:rsidR="004236C6" w:rsidRPr="00FC3B7C" w:rsidRDefault="004236C6" w:rsidP="004236C6">
      <w:pPr>
        <w:spacing w:line="200" w:lineRule="exact"/>
        <w:rPr>
          <w:sz w:val="20"/>
          <w:szCs w:val="20"/>
        </w:rPr>
      </w:pPr>
    </w:p>
    <w:p w14:paraId="77708C5C" w14:textId="77777777" w:rsidR="004236C6" w:rsidRPr="00FC3B7C" w:rsidRDefault="004236C6" w:rsidP="004236C6">
      <w:pPr>
        <w:spacing w:line="200" w:lineRule="exact"/>
        <w:rPr>
          <w:sz w:val="20"/>
          <w:szCs w:val="20"/>
        </w:rPr>
      </w:pPr>
    </w:p>
    <w:p w14:paraId="33C58A34" w14:textId="77777777" w:rsidR="004236C6" w:rsidRPr="00FC3B7C" w:rsidRDefault="004236C6" w:rsidP="004236C6">
      <w:pPr>
        <w:spacing w:line="200" w:lineRule="exact"/>
        <w:rPr>
          <w:sz w:val="20"/>
          <w:szCs w:val="20"/>
        </w:rPr>
      </w:pPr>
    </w:p>
    <w:p w14:paraId="3C53AC35" w14:textId="77777777" w:rsidR="004236C6" w:rsidRPr="00FC3B7C" w:rsidRDefault="004236C6" w:rsidP="004236C6">
      <w:pPr>
        <w:spacing w:line="200" w:lineRule="exact"/>
        <w:rPr>
          <w:sz w:val="20"/>
          <w:szCs w:val="20"/>
        </w:rPr>
      </w:pPr>
    </w:p>
    <w:p w14:paraId="71023362" w14:textId="77777777" w:rsidR="004236C6" w:rsidRPr="00FC3B7C" w:rsidRDefault="004236C6" w:rsidP="004236C6">
      <w:pPr>
        <w:spacing w:line="200" w:lineRule="exact"/>
        <w:rPr>
          <w:sz w:val="20"/>
          <w:szCs w:val="20"/>
        </w:rPr>
      </w:pPr>
    </w:p>
    <w:p w14:paraId="7C7A3766" w14:textId="77777777" w:rsidR="004236C6" w:rsidRPr="00FC3B7C" w:rsidRDefault="004236C6" w:rsidP="004236C6">
      <w:pPr>
        <w:spacing w:line="200" w:lineRule="exact"/>
        <w:rPr>
          <w:sz w:val="20"/>
          <w:szCs w:val="20"/>
        </w:rPr>
      </w:pPr>
    </w:p>
    <w:p w14:paraId="77AC4D8C" w14:textId="77777777" w:rsidR="004236C6" w:rsidRPr="00FC3B7C" w:rsidRDefault="004236C6" w:rsidP="004236C6">
      <w:pPr>
        <w:spacing w:line="200" w:lineRule="exact"/>
        <w:rPr>
          <w:sz w:val="20"/>
          <w:szCs w:val="20"/>
        </w:rPr>
      </w:pPr>
    </w:p>
    <w:p w14:paraId="2827D9B0" w14:textId="77777777" w:rsidR="004236C6" w:rsidRPr="00FC3B7C" w:rsidRDefault="004236C6" w:rsidP="004236C6">
      <w:pPr>
        <w:spacing w:line="200" w:lineRule="exact"/>
        <w:rPr>
          <w:sz w:val="20"/>
          <w:szCs w:val="20"/>
        </w:rPr>
      </w:pPr>
    </w:p>
    <w:p w14:paraId="1BD70916" w14:textId="77777777" w:rsidR="004236C6" w:rsidRPr="00FC3B7C" w:rsidRDefault="004236C6" w:rsidP="004236C6">
      <w:pPr>
        <w:spacing w:line="200" w:lineRule="exact"/>
        <w:rPr>
          <w:sz w:val="20"/>
          <w:szCs w:val="20"/>
        </w:rPr>
      </w:pPr>
    </w:p>
    <w:p w14:paraId="238443CC" w14:textId="77777777" w:rsidR="004236C6" w:rsidRPr="00FC3B7C" w:rsidRDefault="004236C6" w:rsidP="004236C6">
      <w:pPr>
        <w:spacing w:line="200" w:lineRule="exact"/>
        <w:rPr>
          <w:sz w:val="20"/>
          <w:szCs w:val="20"/>
        </w:rPr>
      </w:pPr>
    </w:p>
    <w:p w14:paraId="2429A26E" w14:textId="77777777" w:rsidR="004236C6" w:rsidRPr="00FC3B7C" w:rsidRDefault="004236C6" w:rsidP="004236C6">
      <w:pPr>
        <w:spacing w:line="200" w:lineRule="exact"/>
        <w:rPr>
          <w:sz w:val="20"/>
          <w:szCs w:val="20"/>
        </w:rPr>
      </w:pPr>
    </w:p>
    <w:p w14:paraId="6C492E13" w14:textId="77777777" w:rsidR="004236C6" w:rsidRPr="00FC3B7C" w:rsidRDefault="004236C6" w:rsidP="004236C6">
      <w:pPr>
        <w:spacing w:line="200" w:lineRule="exact"/>
        <w:rPr>
          <w:sz w:val="20"/>
          <w:szCs w:val="20"/>
        </w:rPr>
      </w:pPr>
    </w:p>
    <w:p w14:paraId="4E79801E" w14:textId="77777777" w:rsidR="004236C6" w:rsidRPr="00FC3B7C" w:rsidRDefault="004236C6" w:rsidP="004236C6">
      <w:pPr>
        <w:spacing w:line="200" w:lineRule="exact"/>
        <w:rPr>
          <w:sz w:val="20"/>
          <w:szCs w:val="20"/>
        </w:rPr>
      </w:pPr>
    </w:p>
    <w:p w14:paraId="2634EA6C" w14:textId="77777777" w:rsidR="004236C6" w:rsidRPr="00FC3B7C" w:rsidRDefault="004236C6" w:rsidP="004236C6">
      <w:pPr>
        <w:spacing w:line="200" w:lineRule="exact"/>
        <w:rPr>
          <w:sz w:val="20"/>
          <w:szCs w:val="20"/>
        </w:rPr>
      </w:pPr>
    </w:p>
    <w:p w14:paraId="5711FDCF" w14:textId="77777777" w:rsidR="004236C6" w:rsidRPr="00FC3B7C" w:rsidRDefault="004236C6" w:rsidP="004236C6">
      <w:pPr>
        <w:spacing w:line="200" w:lineRule="exact"/>
        <w:rPr>
          <w:sz w:val="20"/>
          <w:szCs w:val="20"/>
        </w:rPr>
      </w:pPr>
    </w:p>
    <w:p w14:paraId="6842E076" w14:textId="77777777" w:rsidR="004236C6" w:rsidRPr="00FC3B7C" w:rsidRDefault="004236C6" w:rsidP="004236C6">
      <w:pPr>
        <w:spacing w:line="200" w:lineRule="exact"/>
        <w:rPr>
          <w:sz w:val="20"/>
          <w:szCs w:val="20"/>
        </w:rPr>
      </w:pPr>
    </w:p>
    <w:p w14:paraId="68AA0F24" w14:textId="77777777" w:rsidR="004236C6" w:rsidRPr="00FC3B7C" w:rsidRDefault="004236C6" w:rsidP="004236C6">
      <w:pPr>
        <w:spacing w:line="200" w:lineRule="exact"/>
        <w:rPr>
          <w:sz w:val="20"/>
          <w:szCs w:val="20"/>
        </w:rPr>
      </w:pPr>
    </w:p>
    <w:p w14:paraId="5F13D714" w14:textId="77777777" w:rsidR="004236C6" w:rsidRPr="00FC3B7C" w:rsidRDefault="004236C6" w:rsidP="004236C6">
      <w:pPr>
        <w:rPr>
          <w:sz w:val="20"/>
          <w:szCs w:val="20"/>
        </w:rPr>
      </w:pPr>
      <w:r w:rsidRPr="00FC3B7C">
        <w:rPr>
          <w:rFonts w:eastAsia="Times New Roman"/>
        </w:rPr>
        <w:t>Tři nedůležitější oblasti činnosti vlády v podmínkách smíšeného hospodářství (=tržní hospodářství se zásahy státu):</w:t>
      </w:r>
      <w:r>
        <w:rPr>
          <w:rStyle w:val="Znakapoznpodarou"/>
          <w:rFonts w:eastAsia="Times New Roman"/>
        </w:rPr>
        <w:footnoteReference w:id="24"/>
      </w:r>
    </w:p>
    <w:p w14:paraId="172F15E6" w14:textId="77777777" w:rsidR="004236C6" w:rsidRPr="008F2BBE" w:rsidRDefault="004236C6" w:rsidP="00D46B53">
      <w:pPr>
        <w:pStyle w:val="Odstavecseseznamem"/>
        <w:numPr>
          <w:ilvl w:val="0"/>
          <w:numId w:val="602"/>
        </w:numPr>
        <w:rPr>
          <w:rFonts w:eastAsia="Times New Roman"/>
        </w:rPr>
      </w:pPr>
      <w:r w:rsidRPr="008F2BBE">
        <w:rPr>
          <w:rFonts w:eastAsia="Times New Roman"/>
        </w:rPr>
        <w:t>alokační (odstranění tržních selhání v oblasti alokace vzácných zdrojů);</w:t>
      </w:r>
    </w:p>
    <w:p w14:paraId="0467E729" w14:textId="77777777" w:rsidR="004236C6" w:rsidRPr="008F2BBE" w:rsidRDefault="004236C6" w:rsidP="00D46B53">
      <w:pPr>
        <w:pStyle w:val="Odstavecseseznamem"/>
        <w:numPr>
          <w:ilvl w:val="0"/>
          <w:numId w:val="602"/>
        </w:numPr>
        <w:rPr>
          <w:rFonts w:eastAsia="Times New Roman"/>
        </w:rPr>
      </w:pPr>
      <w:r w:rsidRPr="008F2BBE">
        <w:rPr>
          <w:rFonts w:eastAsia="Times New Roman"/>
        </w:rPr>
        <w:t>stabilizační (snaha zajistit stabilitu hospodářství, definováno obvykle pomocí určitého makroekonomického ukazatele jako je inflace, nezaměstnanost, atd.);</w:t>
      </w:r>
    </w:p>
    <w:p w14:paraId="211BB1C4" w14:textId="77777777" w:rsidR="004236C6" w:rsidRPr="008F2BBE" w:rsidRDefault="004236C6" w:rsidP="00D46B53">
      <w:pPr>
        <w:pStyle w:val="Odstavecseseznamem"/>
        <w:numPr>
          <w:ilvl w:val="0"/>
          <w:numId w:val="602"/>
        </w:numPr>
        <w:rPr>
          <w:rFonts w:eastAsia="Times New Roman"/>
        </w:rPr>
      </w:pPr>
      <w:r w:rsidRPr="008F2BBE">
        <w:rPr>
          <w:rFonts w:eastAsia="Times New Roman"/>
        </w:rPr>
        <w:t>redistribuční (snaha odstranit rozdíly mezi lidmi, např. v oblasti příjmů).</w:t>
      </w:r>
    </w:p>
    <w:p w14:paraId="3E7F6393" w14:textId="77777777" w:rsidR="004236C6" w:rsidRPr="00FC3B7C" w:rsidRDefault="004236C6" w:rsidP="004236C6">
      <w:pPr>
        <w:rPr>
          <w:sz w:val="20"/>
          <w:szCs w:val="20"/>
        </w:rPr>
      </w:pPr>
      <w:r w:rsidRPr="00FC3B7C">
        <w:rPr>
          <w:noProof/>
          <w:sz w:val="20"/>
          <w:szCs w:val="20"/>
        </w:rPr>
        <w:drawing>
          <wp:anchor distT="0" distB="0" distL="114300" distR="114300" simplePos="0" relativeHeight="251697664" behindDoc="1" locked="0" layoutInCell="0" allowOverlap="1" wp14:anchorId="08E24B6D" wp14:editId="147F3914">
            <wp:simplePos x="0" y="0"/>
            <wp:positionH relativeFrom="page">
              <wp:posOffset>2981325</wp:posOffset>
            </wp:positionH>
            <wp:positionV relativeFrom="page">
              <wp:posOffset>3343275</wp:posOffset>
            </wp:positionV>
            <wp:extent cx="1590675" cy="1184275"/>
            <wp:effectExtent l="0" t="0" r="9525" b="0"/>
            <wp:wrapTight wrapText="bothSides">
              <wp:wrapPolygon edited="0">
                <wp:start x="3622" y="0"/>
                <wp:lineTo x="0" y="1042"/>
                <wp:lineTo x="0" y="2780"/>
                <wp:lineTo x="2846" y="5559"/>
                <wp:lineTo x="2846" y="16678"/>
                <wp:lineTo x="1811" y="18762"/>
                <wp:lineTo x="3363" y="20152"/>
                <wp:lineTo x="15521" y="20847"/>
                <wp:lineTo x="21212" y="20847"/>
                <wp:lineTo x="21471" y="17720"/>
                <wp:lineTo x="20436" y="17373"/>
                <wp:lineTo x="15780" y="16678"/>
                <wp:lineTo x="15004" y="15288"/>
                <wp:lineTo x="11382" y="11118"/>
                <wp:lineTo x="16814" y="10771"/>
                <wp:lineTo x="16297" y="7644"/>
                <wp:lineTo x="4398" y="5559"/>
                <wp:lineTo x="4915" y="0"/>
                <wp:lineTo x="3622"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1590675" cy="1184275"/>
                    </a:xfrm>
                    <a:prstGeom prst="rect">
                      <a:avLst/>
                    </a:prstGeom>
                    <a:noFill/>
                  </pic:spPr>
                </pic:pic>
              </a:graphicData>
            </a:graphic>
            <wp14:sizeRelH relativeFrom="margin">
              <wp14:pctWidth>0</wp14:pctWidth>
            </wp14:sizeRelH>
            <wp14:sizeRelV relativeFrom="margin">
              <wp14:pctHeight>0</wp14:pctHeight>
            </wp14:sizeRelV>
          </wp:anchor>
        </w:drawing>
      </w:r>
      <w:r w:rsidRPr="00FC3B7C">
        <w:rPr>
          <w:rFonts w:eastAsia="Times New Roman"/>
        </w:rPr>
        <w:t>Vztah efektivnosti a rovnosti ve společnosti:</w:t>
      </w:r>
      <w:r w:rsidRPr="00FC3B7C">
        <w:rPr>
          <w:rFonts w:eastAsia="Times New Roman"/>
          <w:sz w:val="31"/>
          <w:szCs w:val="31"/>
          <w:vertAlign w:val="superscript"/>
        </w:rPr>
        <w:t>28</w:t>
      </w:r>
      <w:r>
        <w:rPr>
          <w:rStyle w:val="Znakapoznpodarou"/>
          <w:rFonts w:eastAsia="Times New Roman"/>
        </w:rPr>
        <w:footnoteReference w:id="25"/>
      </w:r>
      <w:r w:rsidRPr="00FC3B7C">
        <w:rPr>
          <w:rFonts w:eastAsia="Times New Roman"/>
        </w:rPr>
        <w:t xml:space="preserve"> když se vláda snaží o zvýšení rovnosti ve společnosti, tak tím zároveň snižuje efektivnost společnosti. Mezi efektivností a rovností platí substituční vztah (trade off):</w:t>
      </w:r>
    </w:p>
    <w:p w14:paraId="381BE129" w14:textId="77777777" w:rsidR="004236C6" w:rsidRPr="00FC3B7C" w:rsidRDefault="004236C6" w:rsidP="004236C6">
      <w:pPr>
        <w:spacing w:line="200" w:lineRule="exact"/>
        <w:rPr>
          <w:sz w:val="20"/>
          <w:szCs w:val="20"/>
        </w:rPr>
      </w:pPr>
    </w:p>
    <w:p w14:paraId="2099A4CF" w14:textId="77777777" w:rsidR="004236C6" w:rsidRPr="00FC3B7C" w:rsidRDefault="004236C6" w:rsidP="004236C6">
      <w:pPr>
        <w:spacing w:line="200" w:lineRule="exact"/>
        <w:rPr>
          <w:sz w:val="20"/>
          <w:szCs w:val="20"/>
        </w:rPr>
      </w:pPr>
    </w:p>
    <w:p w14:paraId="4154548B" w14:textId="77777777" w:rsidR="004236C6" w:rsidRPr="00FC3B7C" w:rsidRDefault="004236C6" w:rsidP="004236C6">
      <w:pPr>
        <w:spacing w:line="200" w:lineRule="exact"/>
        <w:rPr>
          <w:sz w:val="20"/>
          <w:szCs w:val="20"/>
        </w:rPr>
      </w:pPr>
    </w:p>
    <w:p w14:paraId="5B3C2CF0" w14:textId="77777777" w:rsidR="004236C6" w:rsidRPr="00FC3B7C" w:rsidRDefault="004236C6" w:rsidP="004236C6">
      <w:pPr>
        <w:spacing w:line="200" w:lineRule="exact"/>
        <w:rPr>
          <w:sz w:val="20"/>
          <w:szCs w:val="20"/>
        </w:rPr>
      </w:pPr>
    </w:p>
    <w:p w14:paraId="2E94E83A" w14:textId="77777777" w:rsidR="004236C6" w:rsidRPr="00FC3B7C" w:rsidRDefault="004236C6" w:rsidP="004236C6">
      <w:pPr>
        <w:spacing w:line="200" w:lineRule="exact"/>
        <w:rPr>
          <w:sz w:val="20"/>
          <w:szCs w:val="20"/>
        </w:rPr>
      </w:pPr>
    </w:p>
    <w:p w14:paraId="219DC846" w14:textId="77777777" w:rsidR="004236C6" w:rsidRPr="00FC3B7C" w:rsidRDefault="004236C6" w:rsidP="004236C6">
      <w:pPr>
        <w:spacing w:line="46" w:lineRule="exact"/>
        <w:rPr>
          <w:rFonts w:eastAsia="Calibri"/>
          <w:szCs w:val="24"/>
          <w:vertAlign w:val="superscript"/>
        </w:rPr>
      </w:pPr>
    </w:p>
    <w:p w14:paraId="3D18D8AE" w14:textId="77777777" w:rsidR="004236C6" w:rsidRPr="004236C6" w:rsidRDefault="004236C6" w:rsidP="004236C6">
      <w:pPr>
        <w:pStyle w:val="Nadpis3"/>
        <w:rPr>
          <w:color w:val="1F3864" w:themeColor="accent1" w:themeShade="80"/>
          <w:sz w:val="20"/>
          <w:szCs w:val="20"/>
        </w:rPr>
      </w:pPr>
      <w:bookmarkStart w:id="84" w:name="page80"/>
      <w:bookmarkEnd w:id="84"/>
      <w:r w:rsidRPr="004236C6">
        <w:rPr>
          <w:rFonts w:eastAsia="Times New Roman"/>
          <w:color w:val="1F3864" w:themeColor="accent1" w:themeShade="80"/>
        </w:rPr>
        <w:t>Výkonná moc</w:t>
      </w:r>
    </w:p>
    <w:p w14:paraId="7D3D6E56" w14:textId="77777777" w:rsidR="004236C6" w:rsidRPr="004236C6" w:rsidRDefault="004236C6" w:rsidP="004236C6">
      <w:pPr>
        <w:pStyle w:val="Nadpis4"/>
        <w:rPr>
          <w:color w:val="1F3864" w:themeColor="accent1" w:themeShade="80"/>
          <w:sz w:val="20"/>
          <w:szCs w:val="20"/>
        </w:rPr>
      </w:pPr>
      <w:r w:rsidRPr="004236C6">
        <w:rPr>
          <w:rFonts w:eastAsia="Times New Roman"/>
          <w:bCs/>
          <w:color w:val="1F3864" w:themeColor="accent1" w:themeShade="80"/>
          <w:sz w:val="23"/>
          <w:szCs w:val="23"/>
        </w:rPr>
        <w:t>Vláda</w:t>
      </w:r>
    </w:p>
    <w:p w14:paraId="38BEE55C" w14:textId="77777777" w:rsidR="004236C6" w:rsidRPr="00FC3B7C" w:rsidRDefault="004236C6" w:rsidP="004236C6">
      <w:pPr>
        <w:rPr>
          <w:sz w:val="20"/>
          <w:szCs w:val="20"/>
        </w:rPr>
      </w:pPr>
      <w:r w:rsidRPr="00FC3B7C">
        <w:rPr>
          <w:rFonts w:eastAsia="Times New Roman"/>
        </w:rPr>
        <w:t>Vláda ČR je vytvořena na základě voleb do Parlamentu ČR. Vláda je vrcholným orgánem výkonné moci, skládá se z předsedy vlády, místopředsedů vlády a ministrů. Předsedu vlády volí prezident a na návrh předsedy jmenuje prezident ostatní členy vlády. Vláda je jmenována na 4 roky. Je odpovědna Poslanecké sněmovně – musí získat její důvěru. Poslanecká sněmovna jí může kdykoliv vyslovit nedůvěru – pak vláda musí podat demisi. K přijetí usnesení vlády je potřeba souhlasu nadpoloviční většiny všech jejích členů. Nástroje vládní politiky pro regulaci ekonomické aktivity, díky kterým je dosaženo veřejných politických cílů, jsou:</w:t>
      </w:r>
    </w:p>
    <w:p w14:paraId="0E71C7AD" w14:textId="77777777" w:rsidR="004236C6" w:rsidRPr="00FC3B7C" w:rsidRDefault="004236C6" w:rsidP="004236C6">
      <w:pPr>
        <w:spacing w:line="1" w:lineRule="exact"/>
        <w:rPr>
          <w:sz w:val="20"/>
          <w:szCs w:val="20"/>
        </w:rPr>
      </w:pPr>
    </w:p>
    <w:p w14:paraId="3E05F5BD" w14:textId="7AAEB704" w:rsidR="004236C6" w:rsidRPr="00FC3B7C" w:rsidRDefault="00F056E7" w:rsidP="004236C6">
      <w:pPr>
        <w:numPr>
          <w:ilvl w:val="0"/>
          <w:numId w:val="56"/>
        </w:numPr>
        <w:tabs>
          <w:tab w:val="left" w:pos="720"/>
        </w:tabs>
        <w:ind w:left="720" w:hanging="367"/>
        <w:rPr>
          <w:rFonts w:eastAsia="Times New Roman"/>
          <w:szCs w:val="24"/>
        </w:rPr>
      </w:pPr>
      <w:r>
        <w:rPr>
          <w:rFonts w:eastAsia="Times New Roman"/>
          <w:szCs w:val="24"/>
        </w:rPr>
        <w:t>daně (vytlačují soukromé výdaje,</w:t>
      </w:r>
      <w:r w:rsidR="004236C6" w:rsidRPr="00FC3B7C">
        <w:rPr>
          <w:rFonts w:eastAsia="Times New Roman"/>
          <w:szCs w:val="24"/>
        </w:rPr>
        <w:t xml:space="preserve"> tzn.</w:t>
      </w:r>
      <w:r>
        <w:rPr>
          <w:rFonts w:eastAsia="Times New Roman"/>
          <w:szCs w:val="24"/>
        </w:rPr>
        <w:t>,</w:t>
      </w:r>
      <w:r w:rsidR="004236C6" w:rsidRPr="00FC3B7C">
        <w:rPr>
          <w:rFonts w:eastAsia="Times New Roman"/>
          <w:szCs w:val="24"/>
        </w:rPr>
        <w:t xml:space="preserve"> veřejné výdaje vytlačují ty soukromé)</w:t>
      </w:r>
    </w:p>
    <w:p w14:paraId="05B12EDA" w14:textId="77777777" w:rsidR="004236C6" w:rsidRPr="00FC3B7C" w:rsidRDefault="004236C6" w:rsidP="004236C6">
      <w:pPr>
        <w:numPr>
          <w:ilvl w:val="0"/>
          <w:numId w:val="56"/>
        </w:numPr>
        <w:tabs>
          <w:tab w:val="left" w:pos="720"/>
        </w:tabs>
        <w:spacing w:line="361" w:lineRule="auto"/>
        <w:ind w:left="720" w:hanging="367"/>
        <w:rPr>
          <w:rFonts w:eastAsia="Times New Roman"/>
          <w:szCs w:val="24"/>
        </w:rPr>
      </w:pPr>
      <w:r w:rsidRPr="00FC3B7C">
        <w:rPr>
          <w:rFonts w:eastAsia="Times New Roman"/>
          <w:szCs w:val="24"/>
        </w:rPr>
        <w:t>výdaje (dělíme je na vládní nákupy statků a služeb a na transfery, což jsou veřejné výdaje na penze, subvence, úroky z dluhů, dávky v nezaměstnanosti, atd.)</w:t>
      </w:r>
    </w:p>
    <w:p w14:paraId="795F16D7" w14:textId="77777777" w:rsidR="004236C6" w:rsidRPr="00FC3B7C" w:rsidRDefault="004236C6" w:rsidP="004236C6">
      <w:pPr>
        <w:numPr>
          <w:ilvl w:val="0"/>
          <w:numId w:val="56"/>
        </w:numPr>
        <w:tabs>
          <w:tab w:val="left" w:pos="720"/>
        </w:tabs>
        <w:spacing w:line="358" w:lineRule="auto"/>
        <w:ind w:left="720" w:hanging="367"/>
        <w:rPr>
          <w:rFonts w:eastAsia="Times New Roman"/>
          <w:szCs w:val="24"/>
        </w:rPr>
      </w:pPr>
      <w:r w:rsidRPr="00FC3B7C">
        <w:rPr>
          <w:rFonts w:eastAsia="Times New Roman"/>
          <w:szCs w:val="24"/>
        </w:rPr>
        <w:t>regulace (zásahy, které dávají spotřebitelům a firmám pokyny, aby vykonávali či nevykonávali určité ekonomické aktivity)</w:t>
      </w:r>
    </w:p>
    <w:p w14:paraId="4FFC3868" w14:textId="77777777" w:rsidR="004236C6" w:rsidRPr="008F2BBE" w:rsidRDefault="004236C6" w:rsidP="004236C6">
      <w:pPr>
        <w:numPr>
          <w:ilvl w:val="0"/>
          <w:numId w:val="56"/>
        </w:numPr>
        <w:tabs>
          <w:tab w:val="left" w:pos="720"/>
        </w:tabs>
        <w:spacing w:line="358" w:lineRule="auto"/>
        <w:ind w:left="720" w:hanging="367"/>
        <w:rPr>
          <w:rFonts w:eastAsia="Times New Roman"/>
          <w:szCs w:val="24"/>
        </w:rPr>
      </w:pPr>
      <w:r w:rsidRPr="008F2BBE">
        <w:rPr>
          <w:rFonts w:eastAsia="Times New Roman"/>
          <w:szCs w:val="24"/>
        </w:rPr>
        <w:t>v současnosti je vláda v</w:t>
      </w:r>
      <w:r>
        <w:rPr>
          <w:rFonts w:eastAsia="Times New Roman"/>
          <w:szCs w:val="24"/>
        </w:rPr>
        <w:t> </w:t>
      </w:r>
      <w:r w:rsidRPr="008F2BBE">
        <w:rPr>
          <w:rFonts w:eastAsia="Times New Roman"/>
          <w:szCs w:val="24"/>
        </w:rPr>
        <w:t>demisi</w:t>
      </w:r>
      <w:r>
        <w:rPr>
          <w:rFonts w:eastAsia="Times New Roman"/>
          <w:szCs w:val="24"/>
        </w:rPr>
        <w:t xml:space="preserve">, </w:t>
      </w:r>
      <w:r w:rsidRPr="008F2BBE">
        <w:rPr>
          <w:rFonts w:eastAsia="Times New Roman"/>
          <w:szCs w:val="24"/>
        </w:rPr>
        <w:t>Premiér Andrej Babiš, 1. místopředseda vlády Richard Brabec, místopředseda vlády Martin Stropnický</w:t>
      </w:r>
    </w:p>
    <w:p w14:paraId="1A0CC2D4" w14:textId="77777777" w:rsidR="004236C6" w:rsidRPr="00FC3B7C" w:rsidRDefault="004236C6" w:rsidP="004236C6">
      <w:pPr>
        <w:spacing w:line="141" w:lineRule="exact"/>
        <w:rPr>
          <w:rFonts w:eastAsia="Times New Roman"/>
          <w:szCs w:val="24"/>
        </w:rPr>
      </w:pPr>
    </w:p>
    <w:p w14:paraId="769AF8B5" w14:textId="77777777" w:rsidR="004236C6" w:rsidRPr="004236C6" w:rsidRDefault="004236C6" w:rsidP="004236C6">
      <w:pPr>
        <w:pStyle w:val="Nadpis4"/>
        <w:rPr>
          <w:color w:val="1F3864" w:themeColor="accent1" w:themeShade="80"/>
          <w:sz w:val="20"/>
          <w:szCs w:val="20"/>
        </w:rPr>
      </w:pPr>
      <w:r w:rsidRPr="004236C6">
        <w:rPr>
          <w:rFonts w:eastAsia="Times New Roman"/>
          <w:color w:val="1F3864" w:themeColor="accent1" w:themeShade="80"/>
        </w:rPr>
        <w:lastRenderedPageBreak/>
        <w:t>Prezident</w:t>
      </w:r>
    </w:p>
    <w:p w14:paraId="324432B6" w14:textId="77777777" w:rsidR="004236C6" w:rsidRPr="00FC3B7C" w:rsidRDefault="004236C6" w:rsidP="004236C6">
      <w:pPr>
        <w:rPr>
          <w:sz w:val="20"/>
          <w:szCs w:val="20"/>
        </w:rPr>
      </w:pPr>
      <w:r w:rsidRPr="00FC3B7C">
        <w:rPr>
          <w:rFonts w:eastAsia="Times New Roman"/>
          <w:b/>
          <w:bCs/>
          <w:szCs w:val="24"/>
        </w:rPr>
        <w:t>Ing. Miloš Zeman, CSc.</w:t>
      </w:r>
    </w:p>
    <w:p w14:paraId="7D5A4CCD" w14:textId="035AB064" w:rsidR="004236C6" w:rsidRPr="00FC3B7C" w:rsidRDefault="004236C6" w:rsidP="004236C6">
      <w:pPr>
        <w:rPr>
          <w:sz w:val="20"/>
          <w:szCs w:val="20"/>
        </w:rPr>
      </w:pPr>
      <w:r w:rsidRPr="004B6CDE">
        <w:rPr>
          <w:rFonts w:eastAsia="Times New Roman"/>
          <w:szCs w:val="24"/>
        </w:rPr>
        <w:t>Jako první prezident byl v lednu 2013 zvolen přímou volbou (zvítězil s 55 % hlasů)</w:t>
      </w:r>
      <w:r w:rsidR="006254C9" w:rsidRPr="004B6CDE">
        <w:rPr>
          <w:rFonts w:eastAsia="Times New Roman"/>
          <w:szCs w:val="24"/>
        </w:rPr>
        <w:t xml:space="preserve"> a znovuzvolen v roce 2018</w:t>
      </w:r>
      <w:r w:rsidRPr="004B6CDE">
        <w:rPr>
          <w:rFonts w:eastAsia="Times New Roman"/>
          <w:szCs w:val="24"/>
        </w:rPr>
        <w:t xml:space="preserve">. Přímá volba je dvoukolový proces. Podmínkou kandidatury je získání podpory nejméně 20 poslanců </w:t>
      </w:r>
      <w:r w:rsidRPr="00FC3B7C">
        <w:rPr>
          <w:rFonts w:eastAsia="Times New Roman"/>
          <w:szCs w:val="24"/>
        </w:rPr>
        <w:t>nebo 10 senátorů nebo podpis 50 tisíc občanů v příslušné petici. Prezidentem se může stát občan, který má právo volit a je starší 40 let, zvolen může být maximálně na 2x na 5 let.</w:t>
      </w:r>
    </w:p>
    <w:p w14:paraId="0C4148C4" w14:textId="77777777" w:rsidR="004236C6" w:rsidRPr="00FC3B7C" w:rsidRDefault="004236C6" w:rsidP="004236C6">
      <w:pPr>
        <w:spacing w:line="370" w:lineRule="auto"/>
        <w:rPr>
          <w:sz w:val="20"/>
          <w:szCs w:val="20"/>
        </w:rPr>
      </w:pPr>
      <w:r w:rsidRPr="00FC3B7C">
        <w:rPr>
          <w:rFonts w:eastAsia="Times New Roman"/>
          <w:szCs w:val="24"/>
        </w:rPr>
        <w:t xml:space="preserve">Prezident nemůže být zadržen ani sankciován za přestupek, může být pouze souzen </w:t>
      </w:r>
      <w:r>
        <w:rPr>
          <w:rFonts w:eastAsia="Times New Roman"/>
          <w:szCs w:val="24"/>
        </w:rPr>
        <w:br/>
      </w:r>
      <w:r w:rsidRPr="00FC3B7C">
        <w:rPr>
          <w:rFonts w:eastAsia="Times New Roman"/>
          <w:szCs w:val="24"/>
        </w:rPr>
        <w:t>za velezradu ústavním soudem na základě žaloby senátu (ten ho může zažalovat se souhlasem 3/5 většiny přítomných senátorů). Pravomoci prezidenta jsou zakotveny v Ústavě. Jeho rozhodnutí vyžaduje spolupodpis vlády nebo jím pověřené osoby.</w:t>
      </w:r>
    </w:p>
    <w:p w14:paraId="3F913715" w14:textId="77777777" w:rsidR="004236C6" w:rsidRPr="00FC3B7C" w:rsidRDefault="004236C6" w:rsidP="004236C6">
      <w:pPr>
        <w:spacing w:line="68" w:lineRule="exact"/>
        <w:rPr>
          <w:sz w:val="20"/>
          <w:szCs w:val="20"/>
        </w:rPr>
      </w:pPr>
    </w:p>
    <w:p w14:paraId="40FAFD17" w14:textId="77777777" w:rsidR="004236C6" w:rsidRPr="00FC3B7C" w:rsidRDefault="004236C6" w:rsidP="004236C6">
      <w:pPr>
        <w:rPr>
          <w:sz w:val="20"/>
          <w:szCs w:val="20"/>
        </w:rPr>
      </w:pPr>
      <w:r w:rsidRPr="00FC3B7C">
        <w:rPr>
          <w:rFonts w:eastAsia="Times New Roman"/>
          <w:b/>
          <w:bCs/>
          <w:szCs w:val="24"/>
        </w:rPr>
        <w:t>Pravomoci prezidenta:</w:t>
      </w:r>
    </w:p>
    <w:p w14:paraId="77CC3ABC" w14:textId="77777777" w:rsidR="004236C6" w:rsidRPr="00FC3B7C" w:rsidRDefault="004236C6" w:rsidP="004236C6">
      <w:pPr>
        <w:numPr>
          <w:ilvl w:val="0"/>
          <w:numId w:val="57"/>
        </w:numPr>
        <w:tabs>
          <w:tab w:val="left" w:pos="720"/>
        </w:tabs>
        <w:ind w:left="720" w:hanging="367"/>
        <w:rPr>
          <w:rFonts w:eastAsia="Times New Roman"/>
          <w:szCs w:val="24"/>
        </w:rPr>
      </w:pPr>
      <w:r w:rsidRPr="00FC3B7C">
        <w:rPr>
          <w:rFonts w:eastAsia="Times New Roman"/>
          <w:szCs w:val="24"/>
        </w:rPr>
        <w:t>jmenuje a odvolává předsedu a další členy vlády a přijímá jejich demisi,</w:t>
      </w:r>
    </w:p>
    <w:p w14:paraId="70F64743" w14:textId="77777777" w:rsidR="004236C6" w:rsidRPr="00FC3B7C" w:rsidRDefault="004236C6" w:rsidP="004236C6">
      <w:pPr>
        <w:numPr>
          <w:ilvl w:val="0"/>
          <w:numId w:val="57"/>
        </w:numPr>
        <w:tabs>
          <w:tab w:val="left" w:pos="720"/>
        </w:tabs>
        <w:ind w:left="720" w:hanging="367"/>
        <w:rPr>
          <w:rFonts w:eastAsia="Times New Roman"/>
          <w:szCs w:val="24"/>
        </w:rPr>
      </w:pPr>
      <w:r w:rsidRPr="00FC3B7C">
        <w:rPr>
          <w:rFonts w:eastAsia="Times New Roman"/>
          <w:szCs w:val="24"/>
        </w:rPr>
        <w:t>svolává zasedání Poslanecké sněmovny,</w:t>
      </w:r>
    </w:p>
    <w:p w14:paraId="3318D70B" w14:textId="77777777" w:rsidR="004236C6" w:rsidRPr="00FC3B7C" w:rsidRDefault="004236C6" w:rsidP="004236C6">
      <w:pPr>
        <w:numPr>
          <w:ilvl w:val="0"/>
          <w:numId w:val="57"/>
        </w:numPr>
        <w:tabs>
          <w:tab w:val="left" w:pos="720"/>
        </w:tabs>
        <w:ind w:left="720" w:hanging="367"/>
        <w:rPr>
          <w:rFonts w:eastAsia="Times New Roman"/>
          <w:szCs w:val="24"/>
        </w:rPr>
      </w:pPr>
      <w:r w:rsidRPr="00FC3B7C">
        <w:rPr>
          <w:rFonts w:eastAsia="Times New Roman"/>
          <w:szCs w:val="24"/>
        </w:rPr>
        <w:t>rozpouští Poslaneckou sněmovnu,</w:t>
      </w:r>
    </w:p>
    <w:p w14:paraId="5AFE84A8" w14:textId="77777777" w:rsidR="004236C6" w:rsidRPr="00FC3B7C" w:rsidRDefault="004236C6" w:rsidP="004236C6">
      <w:pPr>
        <w:numPr>
          <w:ilvl w:val="0"/>
          <w:numId w:val="57"/>
        </w:numPr>
        <w:tabs>
          <w:tab w:val="left" w:pos="720"/>
        </w:tabs>
        <w:spacing w:line="361" w:lineRule="auto"/>
        <w:ind w:left="720" w:hanging="367"/>
        <w:rPr>
          <w:rFonts w:eastAsia="Times New Roman"/>
          <w:szCs w:val="24"/>
        </w:rPr>
      </w:pPr>
      <w:r w:rsidRPr="00FC3B7C">
        <w:rPr>
          <w:rFonts w:eastAsia="Times New Roman"/>
          <w:szCs w:val="24"/>
        </w:rPr>
        <w:t>pověřuje vládu, jejíž demisi přijal nebo kterou odvolal, vykonáváním jejich funkcí prozatímně až do jmenování nové vlády,</w:t>
      </w:r>
    </w:p>
    <w:p w14:paraId="7133FBB1" w14:textId="77777777" w:rsidR="004236C6" w:rsidRPr="00FC3B7C" w:rsidRDefault="004236C6" w:rsidP="004236C6">
      <w:pPr>
        <w:numPr>
          <w:ilvl w:val="0"/>
          <w:numId w:val="57"/>
        </w:numPr>
        <w:tabs>
          <w:tab w:val="left" w:pos="720"/>
        </w:tabs>
        <w:ind w:left="720" w:hanging="367"/>
        <w:rPr>
          <w:rFonts w:eastAsia="Times New Roman"/>
          <w:szCs w:val="24"/>
        </w:rPr>
      </w:pPr>
      <w:r w:rsidRPr="00FC3B7C">
        <w:rPr>
          <w:rFonts w:eastAsia="Times New Roman"/>
          <w:szCs w:val="24"/>
        </w:rPr>
        <w:t>jmenuje soudce Ústavního soudu, jeho předsedu a místopředsedy,</w:t>
      </w:r>
    </w:p>
    <w:p w14:paraId="724BAD42" w14:textId="77777777" w:rsidR="004236C6" w:rsidRPr="00FC3B7C" w:rsidRDefault="004236C6" w:rsidP="004236C6">
      <w:pPr>
        <w:numPr>
          <w:ilvl w:val="0"/>
          <w:numId w:val="57"/>
        </w:numPr>
        <w:tabs>
          <w:tab w:val="left" w:pos="720"/>
        </w:tabs>
        <w:ind w:left="720" w:hanging="367"/>
        <w:rPr>
          <w:rFonts w:eastAsia="Times New Roman"/>
          <w:szCs w:val="24"/>
        </w:rPr>
      </w:pPr>
      <w:r w:rsidRPr="00FC3B7C">
        <w:rPr>
          <w:rFonts w:eastAsia="Times New Roman"/>
          <w:szCs w:val="24"/>
        </w:rPr>
        <w:t>jmenuje ze soudců předsedu a místopředsedy Nejvyššího soudu,</w:t>
      </w:r>
    </w:p>
    <w:p w14:paraId="5C42B5D6" w14:textId="77777777" w:rsidR="004236C6" w:rsidRPr="00FC3B7C" w:rsidRDefault="004236C6" w:rsidP="004236C6">
      <w:pPr>
        <w:numPr>
          <w:ilvl w:val="0"/>
          <w:numId w:val="57"/>
        </w:numPr>
        <w:tabs>
          <w:tab w:val="left" w:pos="720"/>
        </w:tabs>
        <w:ind w:left="720" w:hanging="367"/>
        <w:rPr>
          <w:rFonts w:eastAsia="Times New Roman"/>
          <w:szCs w:val="24"/>
        </w:rPr>
      </w:pPr>
      <w:r w:rsidRPr="00FC3B7C">
        <w:rPr>
          <w:rFonts w:eastAsia="Times New Roman"/>
          <w:szCs w:val="24"/>
        </w:rPr>
        <w:t>odpouští a zmírňuje tresty uložené soudem a zahlazuje odsouzení,</w:t>
      </w:r>
    </w:p>
    <w:p w14:paraId="0646AC23" w14:textId="77777777" w:rsidR="004236C6" w:rsidRPr="00FC3B7C" w:rsidRDefault="004236C6" w:rsidP="004236C6">
      <w:pPr>
        <w:numPr>
          <w:ilvl w:val="0"/>
          <w:numId w:val="57"/>
        </w:numPr>
        <w:tabs>
          <w:tab w:val="left" w:pos="720"/>
        </w:tabs>
        <w:ind w:left="720" w:hanging="367"/>
        <w:rPr>
          <w:rFonts w:eastAsia="Times New Roman"/>
          <w:szCs w:val="24"/>
        </w:rPr>
      </w:pPr>
      <w:r w:rsidRPr="00FC3B7C">
        <w:rPr>
          <w:rFonts w:eastAsia="Times New Roman"/>
          <w:szCs w:val="24"/>
        </w:rPr>
        <w:t>má právo vrátit Parlamentu přijatých zákon s výjimkou zákona ústavního = právo veta</w:t>
      </w:r>
    </w:p>
    <w:p w14:paraId="60466293" w14:textId="77777777" w:rsidR="004236C6" w:rsidRPr="00FC3B7C" w:rsidRDefault="004236C6" w:rsidP="004236C6">
      <w:pPr>
        <w:numPr>
          <w:ilvl w:val="0"/>
          <w:numId w:val="57"/>
        </w:numPr>
        <w:tabs>
          <w:tab w:val="left" w:pos="720"/>
        </w:tabs>
        <w:ind w:left="720" w:hanging="367"/>
        <w:rPr>
          <w:rFonts w:eastAsia="Times New Roman"/>
          <w:szCs w:val="24"/>
        </w:rPr>
      </w:pPr>
      <w:r w:rsidRPr="00FC3B7C">
        <w:rPr>
          <w:rFonts w:eastAsia="Times New Roman"/>
          <w:szCs w:val="24"/>
        </w:rPr>
        <w:t>podepisuje zákony</w:t>
      </w:r>
    </w:p>
    <w:p w14:paraId="07409386" w14:textId="77777777" w:rsidR="004236C6" w:rsidRPr="00FC3B7C" w:rsidRDefault="004236C6" w:rsidP="004236C6">
      <w:pPr>
        <w:numPr>
          <w:ilvl w:val="0"/>
          <w:numId w:val="57"/>
        </w:numPr>
        <w:tabs>
          <w:tab w:val="left" w:pos="720"/>
        </w:tabs>
        <w:ind w:left="720" w:hanging="367"/>
        <w:rPr>
          <w:rFonts w:eastAsia="Times New Roman"/>
          <w:szCs w:val="24"/>
        </w:rPr>
      </w:pPr>
      <w:r w:rsidRPr="00FC3B7C">
        <w:rPr>
          <w:rFonts w:eastAsia="Times New Roman"/>
          <w:szCs w:val="24"/>
        </w:rPr>
        <w:t>jmenuje prezidenta a viceprezidenta Nejvyššího kontrolního úřadu,</w:t>
      </w:r>
    </w:p>
    <w:p w14:paraId="5368214B" w14:textId="77777777" w:rsidR="004236C6" w:rsidRPr="00FC3B7C" w:rsidRDefault="004236C6" w:rsidP="004236C6">
      <w:pPr>
        <w:numPr>
          <w:ilvl w:val="0"/>
          <w:numId w:val="57"/>
        </w:numPr>
        <w:tabs>
          <w:tab w:val="left" w:pos="720"/>
        </w:tabs>
        <w:ind w:left="720" w:hanging="367"/>
        <w:rPr>
          <w:rFonts w:eastAsia="Times New Roman"/>
          <w:szCs w:val="24"/>
        </w:rPr>
      </w:pPr>
      <w:r w:rsidRPr="00FC3B7C">
        <w:rPr>
          <w:rFonts w:eastAsia="Times New Roman"/>
          <w:szCs w:val="24"/>
        </w:rPr>
        <w:t>jmenuje členy Bankovní rady České národní banky,</w:t>
      </w:r>
    </w:p>
    <w:p w14:paraId="5CD21B20" w14:textId="77777777" w:rsidR="004236C6" w:rsidRPr="00FC3B7C" w:rsidRDefault="004236C6" w:rsidP="004236C6">
      <w:pPr>
        <w:numPr>
          <w:ilvl w:val="0"/>
          <w:numId w:val="58"/>
        </w:numPr>
        <w:tabs>
          <w:tab w:val="left" w:pos="700"/>
        </w:tabs>
        <w:spacing w:line="361" w:lineRule="auto"/>
        <w:ind w:left="700" w:hanging="367"/>
        <w:rPr>
          <w:rFonts w:eastAsia="Times New Roman"/>
          <w:szCs w:val="24"/>
        </w:rPr>
      </w:pPr>
      <w:bookmarkStart w:id="85" w:name="page82"/>
      <w:bookmarkEnd w:id="85"/>
      <w:r w:rsidRPr="00FC3B7C">
        <w:rPr>
          <w:rFonts w:eastAsia="Times New Roman"/>
          <w:szCs w:val="24"/>
        </w:rPr>
        <w:t>sjednává a ratifikuje mezinárodní smlouvy; sjednávání mezinárodních smluv může přenést na vládu nebo s jejím souhlasem na její jednotlivé členy,</w:t>
      </w:r>
    </w:p>
    <w:p w14:paraId="03679583" w14:textId="77777777" w:rsidR="004236C6" w:rsidRPr="00FC3B7C" w:rsidRDefault="004236C6" w:rsidP="004236C6">
      <w:pPr>
        <w:numPr>
          <w:ilvl w:val="0"/>
          <w:numId w:val="58"/>
        </w:numPr>
        <w:tabs>
          <w:tab w:val="left" w:pos="700"/>
        </w:tabs>
        <w:ind w:left="700" w:hanging="367"/>
        <w:rPr>
          <w:rFonts w:eastAsia="Times New Roman"/>
          <w:szCs w:val="24"/>
        </w:rPr>
      </w:pPr>
      <w:r w:rsidRPr="00FC3B7C">
        <w:rPr>
          <w:rFonts w:eastAsia="Times New Roman"/>
          <w:szCs w:val="24"/>
        </w:rPr>
        <w:t>je vrchním velitelem ozbrojených sil,</w:t>
      </w:r>
    </w:p>
    <w:p w14:paraId="37DF71DF" w14:textId="77777777" w:rsidR="004236C6" w:rsidRPr="00FC3B7C" w:rsidRDefault="004236C6" w:rsidP="004236C6">
      <w:pPr>
        <w:numPr>
          <w:ilvl w:val="0"/>
          <w:numId w:val="58"/>
        </w:numPr>
        <w:tabs>
          <w:tab w:val="left" w:pos="700"/>
        </w:tabs>
        <w:ind w:left="700" w:hanging="367"/>
        <w:rPr>
          <w:rFonts w:eastAsia="Times New Roman"/>
          <w:szCs w:val="24"/>
        </w:rPr>
      </w:pPr>
      <w:r w:rsidRPr="00FC3B7C">
        <w:rPr>
          <w:rFonts w:eastAsia="Times New Roman"/>
          <w:szCs w:val="24"/>
        </w:rPr>
        <w:t>přijímá vedoucí zastupitelských misí,</w:t>
      </w:r>
    </w:p>
    <w:p w14:paraId="12204318" w14:textId="77777777" w:rsidR="004236C6" w:rsidRPr="00FC3B7C" w:rsidRDefault="004236C6" w:rsidP="004236C6">
      <w:pPr>
        <w:numPr>
          <w:ilvl w:val="0"/>
          <w:numId w:val="58"/>
        </w:numPr>
        <w:tabs>
          <w:tab w:val="left" w:pos="700"/>
        </w:tabs>
        <w:ind w:left="700" w:hanging="367"/>
        <w:rPr>
          <w:rFonts w:eastAsia="Times New Roman"/>
          <w:szCs w:val="24"/>
        </w:rPr>
      </w:pPr>
      <w:r w:rsidRPr="00FC3B7C">
        <w:rPr>
          <w:rFonts w:eastAsia="Times New Roman"/>
          <w:szCs w:val="24"/>
        </w:rPr>
        <w:t>pověřuje a odvolává vedoucí zastupitelských misí,</w:t>
      </w:r>
    </w:p>
    <w:p w14:paraId="7ABAA357" w14:textId="77777777" w:rsidR="004236C6" w:rsidRPr="00FC3B7C" w:rsidRDefault="004236C6" w:rsidP="004236C6">
      <w:pPr>
        <w:numPr>
          <w:ilvl w:val="0"/>
          <w:numId w:val="58"/>
        </w:numPr>
        <w:tabs>
          <w:tab w:val="left" w:pos="700"/>
        </w:tabs>
        <w:ind w:left="700" w:hanging="367"/>
        <w:rPr>
          <w:rFonts w:eastAsia="Times New Roman"/>
          <w:szCs w:val="24"/>
        </w:rPr>
      </w:pPr>
      <w:r w:rsidRPr="00FC3B7C">
        <w:rPr>
          <w:rFonts w:eastAsia="Times New Roman"/>
          <w:szCs w:val="24"/>
        </w:rPr>
        <w:t>vyhlašuje volby do Poslanecké sněmovny a do Senátu,</w:t>
      </w:r>
    </w:p>
    <w:p w14:paraId="65194693" w14:textId="77777777" w:rsidR="004236C6" w:rsidRPr="00FC3B7C" w:rsidRDefault="004236C6" w:rsidP="004236C6">
      <w:pPr>
        <w:numPr>
          <w:ilvl w:val="0"/>
          <w:numId w:val="58"/>
        </w:numPr>
        <w:tabs>
          <w:tab w:val="left" w:pos="700"/>
        </w:tabs>
        <w:ind w:left="700" w:hanging="367"/>
        <w:rPr>
          <w:rFonts w:eastAsia="Times New Roman"/>
          <w:szCs w:val="24"/>
        </w:rPr>
      </w:pPr>
      <w:r w:rsidRPr="00FC3B7C">
        <w:rPr>
          <w:rFonts w:eastAsia="Times New Roman"/>
          <w:szCs w:val="24"/>
        </w:rPr>
        <w:t>jmenuje a povyšuje generály,</w:t>
      </w:r>
    </w:p>
    <w:p w14:paraId="15B56CEA" w14:textId="77777777" w:rsidR="004236C6" w:rsidRPr="00FC3B7C" w:rsidRDefault="004236C6" w:rsidP="004236C6">
      <w:pPr>
        <w:numPr>
          <w:ilvl w:val="0"/>
          <w:numId w:val="58"/>
        </w:numPr>
        <w:tabs>
          <w:tab w:val="left" w:pos="700"/>
        </w:tabs>
        <w:ind w:left="700" w:hanging="367"/>
        <w:rPr>
          <w:rFonts w:eastAsia="Times New Roman"/>
          <w:szCs w:val="24"/>
        </w:rPr>
      </w:pPr>
      <w:r w:rsidRPr="00FC3B7C">
        <w:rPr>
          <w:rFonts w:eastAsia="Times New Roman"/>
          <w:szCs w:val="24"/>
        </w:rPr>
        <w:t>propůjčuje a uděluje státní vyznamenání, nezmocní-li k tomu jiný orgán,</w:t>
      </w:r>
    </w:p>
    <w:p w14:paraId="6C201BFB" w14:textId="77777777" w:rsidR="004236C6" w:rsidRPr="00FC3B7C" w:rsidRDefault="004236C6" w:rsidP="004236C6">
      <w:pPr>
        <w:numPr>
          <w:ilvl w:val="0"/>
          <w:numId w:val="58"/>
        </w:numPr>
        <w:tabs>
          <w:tab w:val="left" w:pos="700"/>
        </w:tabs>
        <w:ind w:left="700" w:hanging="367"/>
        <w:rPr>
          <w:rFonts w:eastAsia="Times New Roman"/>
          <w:szCs w:val="24"/>
        </w:rPr>
      </w:pPr>
      <w:r w:rsidRPr="008F2BBE">
        <w:rPr>
          <w:rFonts w:eastAsia="Times New Roman"/>
          <w:szCs w:val="24"/>
        </w:rPr>
        <w:t xml:space="preserve">jmenuje soudce, </w:t>
      </w:r>
      <w:r w:rsidRPr="00FC3B7C">
        <w:rPr>
          <w:rFonts w:eastAsia="Times New Roman"/>
          <w:szCs w:val="24"/>
        </w:rPr>
        <w:t>má právo udělovat amnestii.</w:t>
      </w:r>
    </w:p>
    <w:p w14:paraId="26DE5742" w14:textId="1FC585D0" w:rsidR="004236C6" w:rsidRDefault="004236C6" w:rsidP="004236C6">
      <w:pPr>
        <w:numPr>
          <w:ilvl w:val="0"/>
          <w:numId w:val="58"/>
        </w:numPr>
        <w:tabs>
          <w:tab w:val="left" w:pos="700"/>
        </w:tabs>
        <w:spacing w:line="361" w:lineRule="auto"/>
        <w:ind w:left="700" w:hanging="367"/>
        <w:rPr>
          <w:rFonts w:eastAsia="Times New Roman"/>
          <w:szCs w:val="24"/>
        </w:rPr>
      </w:pPr>
      <w:r w:rsidRPr="00FC3B7C">
        <w:rPr>
          <w:rFonts w:eastAsia="Times New Roman"/>
          <w:szCs w:val="24"/>
        </w:rPr>
        <w:lastRenderedPageBreak/>
        <w:t>řízení ne zahajovalo, a bylo-li zahájeno, aby se v něm nepokračovalo</w:t>
      </w:r>
    </w:p>
    <w:p w14:paraId="77AB4371" w14:textId="77777777" w:rsidR="006254C9" w:rsidRPr="00FC3B7C" w:rsidRDefault="006254C9" w:rsidP="006254C9">
      <w:pPr>
        <w:tabs>
          <w:tab w:val="left" w:pos="700"/>
        </w:tabs>
        <w:spacing w:line="361" w:lineRule="auto"/>
        <w:ind w:left="700"/>
        <w:rPr>
          <w:rFonts w:eastAsia="Times New Roman"/>
          <w:szCs w:val="24"/>
        </w:rPr>
      </w:pPr>
    </w:p>
    <w:p w14:paraId="498FB08C" w14:textId="77777777" w:rsidR="006254C9" w:rsidRPr="006254C9" w:rsidRDefault="006254C9" w:rsidP="006254C9">
      <w:pPr>
        <w:pStyle w:val="Nadpis3"/>
        <w:rPr>
          <w:color w:val="1F3864" w:themeColor="accent1" w:themeShade="80"/>
          <w:sz w:val="20"/>
          <w:szCs w:val="20"/>
        </w:rPr>
      </w:pPr>
      <w:r w:rsidRPr="006254C9">
        <w:rPr>
          <w:color w:val="1F3864" w:themeColor="accent1" w:themeShade="80"/>
        </w:rPr>
        <w:tab/>
      </w:r>
      <w:r w:rsidRPr="006254C9">
        <w:rPr>
          <w:rFonts w:eastAsia="Times New Roman"/>
          <w:color w:val="1F3864" w:themeColor="accent1" w:themeShade="80"/>
        </w:rPr>
        <w:t>Zákonodárná moc</w:t>
      </w:r>
    </w:p>
    <w:p w14:paraId="2874D79F" w14:textId="77777777" w:rsidR="006254C9" w:rsidRPr="00FC3B7C" w:rsidRDefault="006254C9" w:rsidP="006254C9">
      <w:pPr>
        <w:spacing w:line="359" w:lineRule="auto"/>
        <w:rPr>
          <w:sz w:val="20"/>
          <w:szCs w:val="20"/>
        </w:rPr>
      </w:pPr>
      <w:r w:rsidRPr="00FC3B7C">
        <w:rPr>
          <w:rFonts w:eastAsia="Times New Roman"/>
          <w:szCs w:val="24"/>
        </w:rPr>
        <w:t xml:space="preserve">Parlament je soubor volených zástupců vykonávajících zákonodárnou moc. Skládá se z dvou komor: Poslanecké sněmovny a Senátu. Členové nesmí být zároveň v obou komorách, zároveň také platí neslučitelnost s funkcí prezidenta republiky a soudce. Aby byly komory způsobilé usnesení, musí být přítomna alespoň 1/3 členů. K přijetí usnesení je potřeba souhlasu nadpoloviční většiny přítomných poslanců nebo senátorů (u přijetí ústavního zákona a souhlasu k ratifikaci mezinárodní smlouvy je třeba souhlasu 3/5 většiny všech poslanců </w:t>
      </w:r>
      <w:r>
        <w:rPr>
          <w:rFonts w:eastAsia="Times New Roman"/>
          <w:szCs w:val="24"/>
        </w:rPr>
        <w:br/>
      </w:r>
      <w:r w:rsidRPr="00FC3B7C">
        <w:rPr>
          <w:rFonts w:eastAsia="Times New Roman"/>
          <w:szCs w:val="24"/>
        </w:rPr>
        <w:t>i senátorů). Vláda má vůči parlamentu právo vyjádřit se ke všem návrhům zákonů.</w:t>
      </w:r>
    </w:p>
    <w:p w14:paraId="2580BF03" w14:textId="77777777" w:rsidR="006254C9" w:rsidRPr="00FC3B7C" w:rsidRDefault="006254C9" w:rsidP="006254C9">
      <w:pPr>
        <w:spacing w:line="3" w:lineRule="exact"/>
        <w:rPr>
          <w:sz w:val="20"/>
          <w:szCs w:val="20"/>
        </w:rPr>
      </w:pPr>
    </w:p>
    <w:p w14:paraId="572C9E2B" w14:textId="77777777" w:rsidR="006254C9" w:rsidRPr="00FC3B7C" w:rsidRDefault="006254C9" w:rsidP="006254C9">
      <w:pPr>
        <w:rPr>
          <w:sz w:val="20"/>
          <w:szCs w:val="20"/>
        </w:rPr>
      </w:pPr>
      <w:r w:rsidRPr="00FC3B7C">
        <w:rPr>
          <w:rFonts w:eastAsia="Times New Roman"/>
          <w:b/>
          <w:bCs/>
          <w:szCs w:val="24"/>
        </w:rPr>
        <w:t>Činnosti parlamentu:</w:t>
      </w:r>
    </w:p>
    <w:p w14:paraId="65BCCDC8" w14:textId="77777777" w:rsidR="006254C9" w:rsidRPr="00FC3B7C" w:rsidRDefault="006254C9" w:rsidP="006254C9">
      <w:pPr>
        <w:numPr>
          <w:ilvl w:val="0"/>
          <w:numId w:val="59"/>
        </w:numPr>
        <w:tabs>
          <w:tab w:val="left" w:pos="720"/>
        </w:tabs>
        <w:ind w:left="720" w:hanging="367"/>
        <w:rPr>
          <w:rFonts w:eastAsia="Times New Roman"/>
          <w:szCs w:val="24"/>
        </w:rPr>
      </w:pPr>
      <w:r w:rsidRPr="00FC3B7C">
        <w:rPr>
          <w:rFonts w:eastAsia="Times New Roman"/>
          <w:szCs w:val="24"/>
        </w:rPr>
        <w:t>právo měnit Ústavní pořádek ČR,</w:t>
      </w:r>
    </w:p>
    <w:p w14:paraId="172F5CA8" w14:textId="77777777" w:rsidR="006254C9" w:rsidRPr="00FC3B7C" w:rsidRDefault="006254C9" w:rsidP="006254C9">
      <w:pPr>
        <w:numPr>
          <w:ilvl w:val="0"/>
          <w:numId w:val="59"/>
        </w:numPr>
        <w:tabs>
          <w:tab w:val="left" w:pos="720"/>
        </w:tabs>
        <w:ind w:left="720" w:hanging="367"/>
        <w:rPr>
          <w:rFonts w:eastAsia="Times New Roman"/>
          <w:szCs w:val="24"/>
        </w:rPr>
      </w:pPr>
      <w:r w:rsidRPr="00FC3B7C">
        <w:rPr>
          <w:rFonts w:eastAsia="Times New Roman"/>
          <w:szCs w:val="24"/>
        </w:rPr>
        <w:t>vydává souhlas k ratifikaci mezinárodních smluv,</w:t>
      </w:r>
    </w:p>
    <w:p w14:paraId="0F025B32" w14:textId="77777777" w:rsidR="006254C9" w:rsidRPr="00FC3B7C" w:rsidRDefault="006254C9" w:rsidP="006254C9">
      <w:pPr>
        <w:numPr>
          <w:ilvl w:val="0"/>
          <w:numId w:val="59"/>
        </w:numPr>
        <w:tabs>
          <w:tab w:val="left" w:pos="720"/>
        </w:tabs>
        <w:spacing w:line="390" w:lineRule="auto"/>
        <w:ind w:left="720" w:hanging="367"/>
        <w:rPr>
          <w:rFonts w:eastAsia="Times New Roman"/>
          <w:szCs w:val="24"/>
        </w:rPr>
      </w:pPr>
      <w:r w:rsidRPr="00FC3B7C">
        <w:rPr>
          <w:rFonts w:eastAsia="Times New Roman"/>
          <w:szCs w:val="24"/>
        </w:rPr>
        <w:t>rozhoduje o vyhlášení válečného stavu, o účasti ČR v obranných systémech NATO, vyslovuje souhlas s vysláním armády mimo území státu,</w:t>
      </w:r>
    </w:p>
    <w:p w14:paraId="68714F8C" w14:textId="77777777" w:rsidR="006254C9" w:rsidRPr="00FC3B7C" w:rsidRDefault="006254C9" w:rsidP="006254C9">
      <w:pPr>
        <w:spacing w:line="53" w:lineRule="exact"/>
        <w:rPr>
          <w:rFonts w:eastAsia="Times New Roman"/>
          <w:szCs w:val="24"/>
        </w:rPr>
      </w:pPr>
    </w:p>
    <w:p w14:paraId="5E05AB83" w14:textId="77777777" w:rsidR="006254C9" w:rsidRPr="00FC3B7C" w:rsidRDefault="006254C9" w:rsidP="006254C9">
      <w:pPr>
        <w:numPr>
          <w:ilvl w:val="0"/>
          <w:numId w:val="59"/>
        </w:numPr>
        <w:tabs>
          <w:tab w:val="left" w:pos="720"/>
        </w:tabs>
        <w:ind w:left="720" w:hanging="367"/>
        <w:rPr>
          <w:rFonts w:eastAsia="Times New Roman"/>
          <w:szCs w:val="24"/>
        </w:rPr>
      </w:pPr>
      <w:r w:rsidRPr="00FC3B7C">
        <w:rPr>
          <w:rFonts w:eastAsia="Times New Roman"/>
          <w:szCs w:val="24"/>
        </w:rPr>
        <w:t>vyslovuje souhlas se jmenováním soudců Ústavního soudu.</w:t>
      </w:r>
    </w:p>
    <w:p w14:paraId="1A91B1E2" w14:textId="77777777" w:rsidR="006254C9" w:rsidRPr="002144A1" w:rsidRDefault="006254C9" w:rsidP="006254C9">
      <w:pPr>
        <w:pStyle w:val="Nadpis4"/>
        <w:rPr>
          <w:color w:val="2F5496" w:themeColor="accent1" w:themeShade="BF"/>
          <w:sz w:val="20"/>
          <w:szCs w:val="20"/>
        </w:rPr>
      </w:pPr>
      <w:r w:rsidRPr="006254C9">
        <w:rPr>
          <w:rFonts w:eastAsia="Times New Roman"/>
          <w:color w:val="1F3864" w:themeColor="accent1" w:themeShade="80"/>
        </w:rPr>
        <w:t>Poslanecká sněmovna</w:t>
      </w:r>
    </w:p>
    <w:p w14:paraId="6261F727" w14:textId="77777777" w:rsidR="006254C9" w:rsidRPr="00FC3B7C" w:rsidRDefault="006254C9" w:rsidP="006254C9">
      <w:pPr>
        <w:numPr>
          <w:ilvl w:val="0"/>
          <w:numId w:val="60"/>
        </w:numPr>
        <w:tabs>
          <w:tab w:val="left" w:pos="840"/>
        </w:tabs>
        <w:ind w:left="840" w:hanging="351"/>
        <w:rPr>
          <w:rFonts w:eastAsia="Times New Roman"/>
          <w:szCs w:val="24"/>
        </w:rPr>
      </w:pPr>
      <w:r w:rsidRPr="00FC3B7C">
        <w:rPr>
          <w:rFonts w:eastAsia="Times New Roman"/>
          <w:szCs w:val="24"/>
        </w:rPr>
        <w:t>200 poslanců na 4 roky</w:t>
      </w:r>
    </w:p>
    <w:p w14:paraId="63537B04" w14:textId="77777777" w:rsidR="006254C9" w:rsidRPr="00FC3B7C" w:rsidRDefault="006254C9" w:rsidP="006254C9">
      <w:pPr>
        <w:numPr>
          <w:ilvl w:val="0"/>
          <w:numId w:val="60"/>
        </w:numPr>
        <w:tabs>
          <w:tab w:val="left" w:pos="840"/>
        </w:tabs>
        <w:ind w:left="840" w:hanging="351"/>
        <w:rPr>
          <w:rFonts w:eastAsia="Times New Roman"/>
          <w:szCs w:val="24"/>
        </w:rPr>
      </w:pPr>
      <w:r w:rsidRPr="00FC3B7C">
        <w:rPr>
          <w:rFonts w:eastAsia="Times New Roman"/>
          <w:szCs w:val="24"/>
        </w:rPr>
        <w:t>věk potřebný ke zvolení je 21</w:t>
      </w:r>
    </w:p>
    <w:p w14:paraId="14A33F38" w14:textId="77777777" w:rsidR="006254C9" w:rsidRPr="00FC3B7C" w:rsidRDefault="006254C9" w:rsidP="006254C9">
      <w:pPr>
        <w:numPr>
          <w:ilvl w:val="0"/>
          <w:numId w:val="60"/>
        </w:numPr>
        <w:tabs>
          <w:tab w:val="left" w:pos="840"/>
        </w:tabs>
        <w:ind w:left="840" w:hanging="351"/>
        <w:rPr>
          <w:rFonts w:eastAsia="Times New Roman"/>
          <w:szCs w:val="24"/>
        </w:rPr>
      </w:pPr>
      <w:r w:rsidRPr="00FC3B7C">
        <w:rPr>
          <w:rFonts w:eastAsia="Times New Roman"/>
          <w:szCs w:val="24"/>
        </w:rPr>
        <w:t>přijímá návrhy zákonů</w:t>
      </w:r>
    </w:p>
    <w:p w14:paraId="55BCF6FF" w14:textId="77777777" w:rsidR="006254C9" w:rsidRPr="00FC3B7C" w:rsidRDefault="006254C9" w:rsidP="006254C9">
      <w:pPr>
        <w:numPr>
          <w:ilvl w:val="0"/>
          <w:numId w:val="60"/>
        </w:numPr>
        <w:tabs>
          <w:tab w:val="left" w:pos="840"/>
        </w:tabs>
        <w:spacing w:line="358" w:lineRule="auto"/>
        <w:ind w:left="840" w:hanging="351"/>
        <w:rPr>
          <w:rFonts w:eastAsia="Times New Roman"/>
          <w:szCs w:val="24"/>
        </w:rPr>
      </w:pPr>
      <w:r w:rsidRPr="00FC3B7C">
        <w:rPr>
          <w:rFonts w:eastAsia="Times New Roman"/>
          <w:szCs w:val="24"/>
        </w:rPr>
        <w:t>v čele stojí předseda (= řídí, zahajuje a ukončuje schůze PS) – volí ho PS, může být odvolán</w:t>
      </w:r>
    </w:p>
    <w:p w14:paraId="4D5C828E" w14:textId="77777777" w:rsidR="006254C9" w:rsidRPr="00FC3B7C" w:rsidRDefault="006254C9" w:rsidP="006254C9">
      <w:pPr>
        <w:spacing w:line="2" w:lineRule="exact"/>
        <w:rPr>
          <w:rFonts w:eastAsia="Times New Roman"/>
          <w:szCs w:val="24"/>
        </w:rPr>
      </w:pPr>
    </w:p>
    <w:p w14:paraId="71096D55" w14:textId="77777777" w:rsidR="006254C9" w:rsidRPr="00FC3B7C" w:rsidRDefault="006254C9" w:rsidP="006254C9">
      <w:pPr>
        <w:numPr>
          <w:ilvl w:val="0"/>
          <w:numId w:val="60"/>
        </w:numPr>
        <w:tabs>
          <w:tab w:val="left" w:pos="840"/>
        </w:tabs>
        <w:spacing w:line="361" w:lineRule="auto"/>
        <w:ind w:left="840" w:hanging="351"/>
        <w:rPr>
          <w:rFonts w:eastAsia="Times New Roman"/>
          <w:szCs w:val="24"/>
        </w:rPr>
      </w:pPr>
      <w:r w:rsidRPr="00FC3B7C">
        <w:rPr>
          <w:rFonts w:eastAsia="Times New Roman"/>
          <w:szCs w:val="24"/>
        </w:rPr>
        <w:t>poslanecká imunita = vynětí z běžného sankčního řádu, trestní stíhání jen se souhlasem komory</w:t>
      </w:r>
    </w:p>
    <w:p w14:paraId="11B4375D" w14:textId="77777777" w:rsidR="006254C9" w:rsidRPr="004B6CDE" w:rsidRDefault="006254C9" w:rsidP="006254C9">
      <w:pPr>
        <w:numPr>
          <w:ilvl w:val="0"/>
          <w:numId w:val="60"/>
        </w:numPr>
        <w:tabs>
          <w:tab w:val="left" w:pos="840"/>
        </w:tabs>
        <w:ind w:left="840" w:hanging="351"/>
        <w:rPr>
          <w:rFonts w:eastAsia="Times New Roman"/>
          <w:szCs w:val="24"/>
        </w:rPr>
      </w:pPr>
      <w:r w:rsidRPr="00FC3B7C">
        <w:rPr>
          <w:rFonts w:eastAsia="Times New Roman"/>
          <w:szCs w:val="24"/>
        </w:rPr>
        <w:t xml:space="preserve">rozpuštění PS = provádí prezident, pokud PS nevysloví důvěru vládě, pokud přeruší vládu na více než 120 dní, pokud neschválí zákon do 3 měsíců, pokud nebyla </w:t>
      </w:r>
      <w:r w:rsidRPr="004B6CDE">
        <w:rPr>
          <w:rFonts w:eastAsia="Times New Roman"/>
          <w:szCs w:val="24"/>
        </w:rPr>
        <w:t>usnášení schopná (min. 1/3 lidí po 3 měsíce)</w:t>
      </w:r>
    </w:p>
    <w:p w14:paraId="49BCAA66" w14:textId="77777777" w:rsidR="006254C9" w:rsidRPr="004B6CDE" w:rsidRDefault="006254C9" w:rsidP="006254C9">
      <w:pPr>
        <w:spacing w:line="1" w:lineRule="exact"/>
        <w:rPr>
          <w:rFonts w:eastAsia="Times New Roman"/>
          <w:szCs w:val="24"/>
        </w:rPr>
      </w:pPr>
    </w:p>
    <w:p w14:paraId="65E1ED0F" w14:textId="77777777" w:rsidR="006254C9" w:rsidRPr="004B6CDE" w:rsidRDefault="006254C9" w:rsidP="006254C9">
      <w:pPr>
        <w:numPr>
          <w:ilvl w:val="0"/>
          <w:numId w:val="60"/>
        </w:numPr>
        <w:tabs>
          <w:tab w:val="left" w:pos="840"/>
        </w:tabs>
        <w:ind w:left="840" w:hanging="351"/>
        <w:rPr>
          <w:rFonts w:eastAsia="Times New Roman"/>
          <w:szCs w:val="24"/>
        </w:rPr>
      </w:pPr>
      <w:r w:rsidRPr="004B6CDE">
        <w:rPr>
          <w:rFonts w:eastAsia="Times New Roman"/>
          <w:szCs w:val="24"/>
        </w:rPr>
        <w:t>interpelace = právo poslance dotazovat se ministra na otázky týkající se jeho resortu</w:t>
      </w:r>
    </w:p>
    <w:p w14:paraId="275048C5" w14:textId="77777777" w:rsidR="006254C9" w:rsidRPr="004B6CDE" w:rsidRDefault="006254C9" w:rsidP="006254C9">
      <w:pPr>
        <w:spacing w:line="136" w:lineRule="exact"/>
        <w:rPr>
          <w:rFonts w:eastAsia="Times New Roman"/>
          <w:szCs w:val="24"/>
        </w:rPr>
      </w:pPr>
    </w:p>
    <w:p w14:paraId="3AC6482F" w14:textId="4EBC4A35" w:rsidR="006254C9" w:rsidRPr="004B6CDE" w:rsidRDefault="006254C9" w:rsidP="006254C9">
      <w:pPr>
        <w:numPr>
          <w:ilvl w:val="0"/>
          <w:numId w:val="60"/>
        </w:numPr>
        <w:tabs>
          <w:tab w:val="left" w:pos="840"/>
        </w:tabs>
        <w:spacing w:line="390" w:lineRule="auto"/>
        <w:ind w:left="840" w:hanging="351"/>
        <w:rPr>
          <w:rFonts w:eastAsia="Times New Roman"/>
          <w:szCs w:val="24"/>
        </w:rPr>
        <w:sectPr w:rsidR="006254C9" w:rsidRPr="004B6CDE">
          <w:pgSz w:w="11900" w:h="16840"/>
          <w:pgMar w:top="1397" w:right="1380" w:bottom="1440" w:left="1440" w:header="0" w:footer="0" w:gutter="0"/>
          <w:cols w:space="708" w:equalWidth="0">
            <w:col w:w="9080"/>
          </w:cols>
        </w:sectPr>
      </w:pPr>
      <w:r w:rsidRPr="004B6CDE">
        <w:rPr>
          <w:rFonts w:eastAsia="Times New Roman"/>
          <w:szCs w:val="24"/>
        </w:rPr>
        <w:t>Předseda Radek Vondráček (ANO) , místopředsedové: Tomáš Hanzel (ČSSD) Vojtěch Filip (KSČM), Petr Fiala (ODS), Tomio Okamura (SPD), Vojtěch Pikal </w:t>
      </w:r>
      <w:r w:rsidRPr="004B6CDE">
        <w:t xml:space="preserve">(Piráti) </w:t>
      </w:r>
    </w:p>
    <w:p w14:paraId="7A840D41" w14:textId="77777777" w:rsidR="00332556" w:rsidRPr="006254C9" w:rsidRDefault="00332556" w:rsidP="00332556">
      <w:pPr>
        <w:pStyle w:val="Nadpis4"/>
        <w:rPr>
          <w:color w:val="1F3864" w:themeColor="accent1" w:themeShade="80"/>
          <w:sz w:val="20"/>
          <w:szCs w:val="20"/>
        </w:rPr>
      </w:pPr>
      <w:bookmarkStart w:id="86" w:name="page83"/>
      <w:bookmarkEnd w:id="86"/>
      <w:r w:rsidRPr="006254C9">
        <w:rPr>
          <w:rFonts w:eastAsia="Times New Roman"/>
          <w:color w:val="1F3864" w:themeColor="accent1" w:themeShade="80"/>
          <w:sz w:val="23"/>
          <w:szCs w:val="23"/>
        </w:rPr>
        <w:lastRenderedPageBreak/>
        <w:t>Senát</w:t>
      </w:r>
    </w:p>
    <w:p w14:paraId="36FD6356" w14:textId="77777777" w:rsidR="00332556" w:rsidRPr="00FC3B7C" w:rsidRDefault="00332556" w:rsidP="00332556">
      <w:pPr>
        <w:numPr>
          <w:ilvl w:val="0"/>
          <w:numId w:val="61"/>
        </w:numPr>
        <w:tabs>
          <w:tab w:val="left" w:pos="824"/>
        </w:tabs>
        <w:ind w:left="824" w:hanging="348"/>
        <w:rPr>
          <w:rFonts w:eastAsia="Times New Roman"/>
          <w:szCs w:val="24"/>
        </w:rPr>
      </w:pPr>
      <w:r w:rsidRPr="00FC3B7C">
        <w:rPr>
          <w:rFonts w:eastAsia="Times New Roman"/>
          <w:szCs w:val="24"/>
        </w:rPr>
        <w:t>81 senátorů na 6 let – každé dva roky se obměňuje 1/3 z nich</w:t>
      </w:r>
    </w:p>
    <w:p w14:paraId="31D8A34C" w14:textId="77777777" w:rsidR="00332556" w:rsidRPr="00FC3B7C" w:rsidRDefault="00332556" w:rsidP="00332556">
      <w:pPr>
        <w:numPr>
          <w:ilvl w:val="0"/>
          <w:numId w:val="61"/>
        </w:numPr>
        <w:tabs>
          <w:tab w:val="left" w:pos="824"/>
        </w:tabs>
        <w:ind w:left="824" w:hanging="348"/>
        <w:rPr>
          <w:rFonts w:eastAsia="Times New Roman"/>
          <w:szCs w:val="24"/>
        </w:rPr>
      </w:pPr>
      <w:r w:rsidRPr="00FC3B7C">
        <w:rPr>
          <w:rFonts w:eastAsia="Times New Roman"/>
          <w:szCs w:val="24"/>
        </w:rPr>
        <w:t>právo být zvolen má občan starší 40 let</w:t>
      </w:r>
    </w:p>
    <w:p w14:paraId="5EFD7845" w14:textId="77777777" w:rsidR="00332556" w:rsidRPr="004B6CDE" w:rsidRDefault="00332556" w:rsidP="00332556">
      <w:pPr>
        <w:numPr>
          <w:ilvl w:val="0"/>
          <w:numId w:val="61"/>
        </w:numPr>
        <w:tabs>
          <w:tab w:val="left" w:pos="828"/>
        </w:tabs>
        <w:spacing w:line="358" w:lineRule="auto"/>
        <w:ind w:left="844" w:hanging="368"/>
        <w:rPr>
          <w:rFonts w:eastAsia="Times New Roman"/>
          <w:szCs w:val="24"/>
        </w:rPr>
      </w:pPr>
      <w:r w:rsidRPr="00FC3B7C">
        <w:rPr>
          <w:rFonts w:eastAsia="Times New Roman"/>
          <w:szCs w:val="24"/>
        </w:rPr>
        <w:t xml:space="preserve">je nerozpustitelný (pokud by byla rozpuštěna PS, pak má senát možnosti přijímat tzv. </w:t>
      </w:r>
      <w:r w:rsidRPr="004B6CDE">
        <w:rPr>
          <w:rFonts w:eastAsia="Times New Roman"/>
          <w:szCs w:val="24"/>
        </w:rPr>
        <w:t>zákonná opatření, která platí až do zvolení nových poslanců).</w:t>
      </w:r>
    </w:p>
    <w:p w14:paraId="3CFBCADB" w14:textId="77777777" w:rsidR="00332556" w:rsidRPr="004B6CDE" w:rsidRDefault="00332556" w:rsidP="00332556">
      <w:pPr>
        <w:spacing w:line="2" w:lineRule="exact"/>
        <w:rPr>
          <w:rFonts w:eastAsia="Times New Roman"/>
          <w:szCs w:val="24"/>
        </w:rPr>
      </w:pPr>
    </w:p>
    <w:p w14:paraId="22A1FA98" w14:textId="77777777" w:rsidR="00332556" w:rsidRPr="004B6CDE" w:rsidRDefault="00332556" w:rsidP="00332556">
      <w:pPr>
        <w:numPr>
          <w:ilvl w:val="0"/>
          <w:numId w:val="61"/>
        </w:numPr>
        <w:tabs>
          <w:tab w:val="left" w:pos="704"/>
        </w:tabs>
        <w:spacing w:line="350" w:lineRule="auto"/>
        <w:ind w:left="704" w:hanging="228"/>
        <w:rPr>
          <w:rFonts w:eastAsia="Times New Roman"/>
          <w:sz w:val="20"/>
          <w:szCs w:val="20"/>
        </w:rPr>
      </w:pPr>
      <w:r w:rsidRPr="004B6CDE">
        <w:rPr>
          <w:rFonts w:eastAsia="Times New Roman"/>
          <w:szCs w:val="24"/>
        </w:rPr>
        <w:t xml:space="preserve">Předseda: Miloš Vystčil (ODS); 1. Místopředseda: Jiří Růžička (BEZPP) , místopředsedové: Milan Štach (ČSSD). Miluše Horská (BEZPP), Jiří Oberfalzer (ODS), Jan Horník (STAN) </w:t>
      </w:r>
      <w:r w:rsidRPr="004B6CDE">
        <w:rPr>
          <w:rStyle w:val="Znakapoznpodarou"/>
          <w:rFonts w:eastAsia="Times New Roman"/>
          <w:sz w:val="20"/>
          <w:szCs w:val="20"/>
        </w:rPr>
        <w:footnoteReference w:id="26"/>
      </w:r>
    </w:p>
    <w:p w14:paraId="3B175430" w14:textId="77777777" w:rsidR="00332556" w:rsidRPr="00FC3B7C" w:rsidRDefault="00332556" w:rsidP="00332556">
      <w:pPr>
        <w:spacing w:line="137" w:lineRule="exact"/>
        <w:rPr>
          <w:sz w:val="20"/>
          <w:szCs w:val="20"/>
        </w:rPr>
      </w:pPr>
    </w:p>
    <w:p w14:paraId="09058D68" w14:textId="77777777" w:rsidR="00332556" w:rsidRPr="006254C9" w:rsidRDefault="00332556" w:rsidP="00332556">
      <w:pPr>
        <w:pStyle w:val="Nadpis3"/>
        <w:rPr>
          <w:color w:val="1F3864" w:themeColor="accent1" w:themeShade="80"/>
          <w:sz w:val="20"/>
          <w:szCs w:val="20"/>
        </w:rPr>
      </w:pPr>
      <w:r w:rsidRPr="006254C9">
        <w:rPr>
          <w:rFonts w:eastAsia="Times New Roman"/>
          <w:color w:val="1F3864" w:themeColor="accent1" w:themeShade="80"/>
        </w:rPr>
        <w:t>Moc soudní</w:t>
      </w:r>
    </w:p>
    <w:p w14:paraId="350E8BB3" w14:textId="77777777" w:rsidR="00332556" w:rsidRPr="00FC3B7C" w:rsidRDefault="00332556" w:rsidP="00332556">
      <w:pPr>
        <w:spacing w:line="357" w:lineRule="auto"/>
        <w:ind w:left="4"/>
        <w:rPr>
          <w:sz w:val="20"/>
          <w:szCs w:val="20"/>
        </w:rPr>
      </w:pPr>
      <w:r w:rsidRPr="00FC3B7C">
        <w:rPr>
          <w:rFonts w:eastAsia="Times New Roman"/>
          <w:szCs w:val="24"/>
        </w:rPr>
        <w:t>Nositeli soudní moci je soustava obecných soudů (soudce jmenuje prezident na návrh ministra spravedlnosti, na dobu neurčitou) a Ústavní soud (soudce jmenuje prezident na návrh senátu, požívají imunitu, na 10 let).</w:t>
      </w:r>
    </w:p>
    <w:p w14:paraId="0A121F5B" w14:textId="77777777" w:rsidR="00332556" w:rsidRPr="00FC3B7C" w:rsidRDefault="00332556" w:rsidP="00332556">
      <w:pPr>
        <w:spacing w:line="1" w:lineRule="exact"/>
        <w:rPr>
          <w:sz w:val="20"/>
          <w:szCs w:val="20"/>
        </w:rPr>
      </w:pPr>
    </w:p>
    <w:p w14:paraId="7449AAEA" w14:textId="77777777" w:rsidR="00332556" w:rsidRPr="00FC3B7C" w:rsidRDefault="00332556" w:rsidP="00332556">
      <w:pPr>
        <w:ind w:left="104"/>
        <w:rPr>
          <w:sz w:val="20"/>
          <w:szCs w:val="20"/>
        </w:rPr>
      </w:pPr>
      <w:r w:rsidRPr="00FC3B7C">
        <w:rPr>
          <w:rFonts w:eastAsia="Times New Roman"/>
          <w:b/>
          <w:bCs/>
          <w:szCs w:val="24"/>
        </w:rPr>
        <w:t>Soustava soudů:</w:t>
      </w:r>
    </w:p>
    <w:p w14:paraId="492ED070" w14:textId="77777777" w:rsidR="00332556" w:rsidRPr="00FC3B7C" w:rsidRDefault="00332556" w:rsidP="00332556">
      <w:pPr>
        <w:numPr>
          <w:ilvl w:val="0"/>
          <w:numId w:val="62"/>
        </w:numPr>
        <w:tabs>
          <w:tab w:val="left" w:pos="824"/>
        </w:tabs>
        <w:ind w:left="824" w:hanging="348"/>
        <w:rPr>
          <w:rFonts w:eastAsia="Times New Roman"/>
          <w:szCs w:val="24"/>
        </w:rPr>
      </w:pPr>
      <w:r w:rsidRPr="00FC3B7C">
        <w:rPr>
          <w:rFonts w:eastAsia="Times New Roman"/>
          <w:szCs w:val="24"/>
        </w:rPr>
        <w:t>okresní – prvoinstanční (řeší spory jako 1.)</w:t>
      </w:r>
    </w:p>
    <w:p w14:paraId="23FF353A" w14:textId="77777777" w:rsidR="00332556" w:rsidRPr="00FC3B7C" w:rsidRDefault="00332556" w:rsidP="00332556">
      <w:pPr>
        <w:numPr>
          <w:ilvl w:val="0"/>
          <w:numId w:val="62"/>
        </w:numPr>
        <w:tabs>
          <w:tab w:val="left" w:pos="824"/>
        </w:tabs>
        <w:ind w:left="824" w:hanging="348"/>
        <w:rPr>
          <w:rFonts w:eastAsia="Times New Roman"/>
          <w:szCs w:val="24"/>
        </w:rPr>
      </w:pPr>
      <w:r w:rsidRPr="00FC3B7C">
        <w:rPr>
          <w:rFonts w:eastAsia="Times New Roman"/>
          <w:szCs w:val="24"/>
        </w:rPr>
        <w:t>krajské – řeší odvolání od okresních soudů (v závažnějších kauzách prvoinstanční)</w:t>
      </w:r>
    </w:p>
    <w:p w14:paraId="10A9B210" w14:textId="77777777" w:rsidR="00332556" w:rsidRPr="00FC3B7C" w:rsidRDefault="00332556" w:rsidP="00332556">
      <w:pPr>
        <w:numPr>
          <w:ilvl w:val="0"/>
          <w:numId w:val="62"/>
        </w:numPr>
        <w:tabs>
          <w:tab w:val="left" w:pos="824"/>
        </w:tabs>
        <w:spacing w:line="358" w:lineRule="auto"/>
        <w:ind w:left="824" w:hanging="348"/>
        <w:rPr>
          <w:rFonts w:eastAsia="Times New Roman"/>
          <w:szCs w:val="24"/>
        </w:rPr>
      </w:pPr>
      <w:r w:rsidRPr="00FC3B7C">
        <w:rPr>
          <w:rFonts w:eastAsia="Times New Roman"/>
          <w:szCs w:val="24"/>
        </w:rPr>
        <w:t>vrchní – rozhodují o odvolání od krajských soudů, proti jejich rozhodnutí není odvolání; Praha, Olomouc</w:t>
      </w:r>
    </w:p>
    <w:p w14:paraId="5920C7EF" w14:textId="77777777" w:rsidR="00332556" w:rsidRPr="00FC3B7C" w:rsidRDefault="00332556" w:rsidP="00332556">
      <w:pPr>
        <w:spacing w:line="2" w:lineRule="exact"/>
        <w:rPr>
          <w:rFonts w:eastAsia="Times New Roman"/>
          <w:szCs w:val="24"/>
        </w:rPr>
      </w:pPr>
    </w:p>
    <w:p w14:paraId="59A2F789" w14:textId="77777777" w:rsidR="00332556" w:rsidRPr="00FC3B7C" w:rsidRDefault="00332556" w:rsidP="00332556">
      <w:pPr>
        <w:numPr>
          <w:ilvl w:val="0"/>
          <w:numId w:val="62"/>
        </w:numPr>
        <w:tabs>
          <w:tab w:val="left" w:pos="824"/>
        </w:tabs>
        <w:ind w:left="824" w:hanging="348"/>
        <w:rPr>
          <w:rFonts w:eastAsia="Times New Roman"/>
          <w:szCs w:val="24"/>
        </w:rPr>
      </w:pPr>
      <w:r w:rsidRPr="00FC3B7C">
        <w:rPr>
          <w:rFonts w:eastAsia="Times New Roman"/>
          <w:szCs w:val="24"/>
        </w:rPr>
        <w:t>nejvyšší soud – kontroluje, zda soudy jednají v souladu se zákonem, Brno</w:t>
      </w:r>
    </w:p>
    <w:p w14:paraId="5BFF2932" w14:textId="77777777" w:rsidR="00332556" w:rsidRPr="00FC3B7C" w:rsidRDefault="00332556" w:rsidP="00332556">
      <w:pPr>
        <w:spacing w:line="141" w:lineRule="exact"/>
        <w:rPr>
          <w:rFonts w:eastAsia="Times New Roman"/>
          <w:szCs w:val="24"/>
        </w:rPr>
      </w:pPr>
    </w:p>
    <w:p w14:paraId="66DC489D" w14:textId="77777777" w:rsidR="00332556" w:rsidRPr="00FC3B7C" w:rsidRDefault="00332556" w:rsidP="00332556">
      <w:pPr>
        <w:numPr>
          <w:ilvl w:val="0"/>
          <w:numId w:val="62"/>
        </w:numPr>
        <w:tabs>
          <w:tab w:val="left" w:pos="824"/>
        </w:tabs>
        <w:spacing w:line="390" w:lineRule="auto"/>
        <w:ind w:left="824" w:hanging="348"/>
        <w:rPr>
          <w:rFonts w:eastAsia="Times New Roman"/>
          <w:szCs w:val="24"/>
        </w:rPr>
      </w:pPr>
      <w:r w:rsidRPr="00FC3B7C">
        <w:rPr>
          <w:rFonts w:eastAsia="Times New Roman"/>
          <w:szCs w:val="24"/>
        </w:rPr>
        <w:t>nejvyšší správní soud – každý občan má právo stěžovat si na rozhodnutí správních orgánů, Brno</w:t>
      </w:r>
    </w:p>
    <w:p w14:paraId="2BDAACFE" w14:textId="77777777" w:rsidR="00332556" w:rsidRPr="00FC3B7C" w:rsidRDefault="00332556" w:rsidP="00332556">
      <w:pPr>
        <w:spacing w:line="43" w:lineRule="exact"/>
        <w:rPr>
          <w:sz w:val="20"/>
          <w:szCs w:val="20"/>
        </w:rPr>
      </w:pPr>
    </w:p>
    <w:p w14:paraId="7F2B4CB5" w14:textId="77777777" w:rsidR="00332556" w:rsidRPr="00FC3B7C" w:rsidRDefault="00332556" w:rsidP="00332556">
      <w:pPr>
        <w:ind w:left="124"/>
        <w:rPr>
          <w:sz w:val="20"/>
          <w:szCs w:val="20"/>
        </w:rPr>
      </w:pPr>
      <w:r w:rsidRPr="00FC3B7C">
        <w:rPr>
          <w:rFonts w:eastAsia="Times New Roman"/>
          <w:b/>
          <w:bCs/>
          <w:szCs w:val="24"/>
        </w:rPr>
        <w:t>Ústavní soud:</w:t>
      </w:r>
    </w:p>
    <w:p w14:paraId="3B2AC40D" w14:textId="77777777" w:rsidR="00332556" w:rsidRPr="00FC3B7C" w:rsidRDefault="00332556" w:rsidP="00332556">
      <w:pPr>
        <w:numPr>
          <w:ilvl w:val="0"/>
          <w:numId w:val="63"/>
        </w:numPr>
        <w:tabs>
          <w:tab w:val="left" w:pos="724"/>
        </w:tabs>
        <w:ind w:left="724" w:hanging="367"/>
        <w:rPr>
          <w:rFonts w:eastAsia="Times New Roman"/>
          <w:szCs w:val="24"/>
        </w:rPr>
      </w:pPr>
      <w:r w:rsidRPr="00FC3B7C">
        <w:rPr>
          <w:rFonts w:eastAsia="Times New Roman"/>
          <w:szCs w:val="24"/>
        </w:rPr>
        <w:t>Brno</w:t>
      </w:r>
    </w:p>
    <w:p w14:paraId="72AFE9C8" w14:textId="77777777" w:rsidR="00332556" w:rsidRPr="00FC3B7C" w:rsidRDefault="00332556" w:rsidP="00332556">
      <w:pPr>
        <w:numPr>
          <w:ilvl w:val="0"/>
          <w:numId w:val="63"/>
        </w:numPr>
        <w:tabs>
          <w:tab w:val="left" w:pos="724"/>
        </w:tabs>
        <w:ind w:left="724" w:hanging="367"/>
        <w:rPr>
          <w:rFonts w:eastAsia="Times New Roman"/>
          <w:szCs w:val="24"/>
        </w:rPr>
      </w:pPr>
      <w:r w:rsidRPr="00FC3B7C">
        <w:rPr>
          <w:rFonts w:eastAsia="Times New Roman"/>
          <w:szCs w:val="24"/>
        </w:rPr>
        <w:t>15 soudců, voleni na 10 let</w:t>
      </w:r>
    </w:p>
    <w:p w14:paraId="61A88D4C" w14:textId="77777777" w:rsidR="00332556" w:rsidRPr="00FC3B7C" w:rsidRDefault="00332556" w:rsidP="00332556">
      <w:pPr>
        <w:numPr>
          <w:ilvl w:val="0"/>
          <w:numId w:val="63"/>
        </w:numPr>
        <w:tabs>
          <w:tab w:val="left" w:pos="724"/>
        </w:tabs>
        <w:ind w:left="724" w:hanging="367"/>
        <w:rPr>
          <w:rFonts w:eastAsia="Times New Roman"/>
          <w:szCs w:val="24"/>
        </w:rPr>
      </w:pPr>
      <w:r w:rsidRPr="00FC3B7C">
        <w:rPr>
          <w:rFonts w:eastAsia="Times New Roman"/>
          <w:szCs w:val="24"/>
        </w:rPr>
        <w:t>aby mohl být účinný, je potřeba přítomnosti minimálně 12 z nich</w:t>
      </w:r>
    </w:p>
    <w:p w14:paraId="1A418F54" w14:textId="77777777" w:rsidR="00332556" w:rsidRPr="008F2BBE" w:rsidRDefault="00332556" w:rsidP="00332556">
      <w:pPr>
        <w:numPr>
          <w:ilvl w:val="0"/>
          <w:numId w:val="63"/>
        </w:numPr>
        <w:tabs>
          <w:tab w:val="left" w:pos="724"/>
        </w:tabs>
        <w:ind w:left="724" w:hanging="367"/>
        <w:rPr>
          <w:rFonts w:eastAsia="Times New Roman"/>
          <w:szCs w:val="24"/>
        </w:rPr>
      </w:pPr>
      <w:r w:rsidRPr="00FC3B7C">
        <w:rPr>
          <w:rFonts w:eastAsia="Times New Roman"/>
          <w:b/>
          <w:bCs/>
          <w:szCs w:val="24"/>
        </w:rPr>
        <w:t xml:space="preserve">pravomoci: </w:t>
      </w:r>
      <w:r w:rsidRPr="00FC3B7C">
        <w:rPr>
          <w:rFonts w:eastAsia="Times New Roman"/>
          <w:szCs w:val="24"/>
        </w:rPr>
        <w:t>posuzují, zda je dodržována listina LP, zda přijatý</w:t>
      </w:r>
      <w:r w:rsidRPr="00FC3B7C">
        <w:rPr>
          <w:rFonts w:eastAsia="Times New Roman"/>
          <w:b/>
          <w:bCs/>
          <w:szCs w:val="24"/>
        </w:rPr>
        <w:t xml:space="preserve"> </w:t>
      </w:r>
      <w:r w:rsidRPr="00FC3B7C">
        <w:rPr>
          <w:rFonts w:eastAsia="Times New Roman"/>
          <w:szCs w:val="24"/>
        </w:rPr>
        <w:t>zákon není v</w:t>
      </w:r>
      <w:r>
        <w:rPr>
          <w:rFonts w:eastAsia="Times New Roman"/>
          <w:szCs w:val="24"/>
        </w:rPr>
        <w:t> </w:t>
      </w:r>
      <w:r w:rsidRPr="00FC3B7C">
        <w:rPr>
          <w:rFonts w:eastAsia="Times New Roman"/>
          <w:szCs w:val="24"/>
        </w:rPr>
        <w:t>rozporu</w:t>
      </w:r>
      <w:r>
        <w:rPr>
          <w:rFonts w:eastAsia="Times New Roman"/>
          <w:szCs w:val="24"/>
        </w:rPr>
        <w:t xml:space="preserve"> </w:t>
      </w:r>
      <w:r>
        <w:rPr>
          <w:rFonts w:eastAsia="Times New Roman"/>
          <w:szCs w:val="24"/>
        </w:rPr>
        <w:br/>
      </w:r>
      <w:r w:rsidRPr="008F2BBE">
        <w:rPr>
          <w:rFonts w:eastAsia="Times New Roman"/>
          <w:szCs w:val="24"/>
        </w:rPr>
        <w:t xml:space="preserve">s jiným zákonem, s ústavou či s právním řádem; střeží ústavnost (= dodržování </w:t>
      </w:r>
      <w:r>
        <w:rPr>
          <w:rFonts w:eastAsia="Times New Roman"/>
          <w:szCs w:val="24"/>
        </w:rPr>
        <w:br/>
      </w:r>
      <w:r w:rsidRPr="008F2BBE">
        <w:rPr>
          <w:rFonts w:eastAsia="Times New Roman"/>
          <w:szCs w:val="24"/>
        </w:rPr>
        <w:t xml:space="preserve">a neporušování ústavy); mohou zrušit zákon nebo jeho část, pokud je v rozporu </w:t>
      </w:r>
      <w:r>
        <w:rPr>
          <w:rFonts w:eastAsia="Times New Roman"/>
          <w:szCs w:val="24"/>
        </w:rPr>
        <w:br/>
      </w:r>
      <w:r w:rsidRPr="008F2BBE">
        <w:rPr>
          <w:rFonts w:eastAsia="Times New Roman"/>
          <w:szCs w:val="24"/>
        </w:rPr>
        <w:t xml:space="preserve">s listinou LP, Ústavou či mezinárodní smlouvou; rozhoduje o žalobě na prezidenta </w:t>
      </w:r>
      <w:r>
        <w:rPr>
          <w:rFonts w:eastAsia="Times New Roman"/>
          <w:szCs w:val="24"/>
        </w:rPr>
        <w:br/>
      </w:r>
      <w:r w:rsidRPr="008F2BBE">
        <w:rPr>
          <w:rFonts w:eastAsia="Times New Roman"/>
          <w:szCs w:val="24"/>
        </w:rPr>
        <w:t>na základě žaloby senátu</w:t>
      </w:r>
    </w:p>
    <w:p w14:paraId="60244083" w14:textId="77777777" w:rsidR="00332556" w:rsidRPr="008F2BBE" w:rsidRDefault="00332556" w:rsidP="00332556">
      <w:pPr>
        <w:numPr>
          <w:ilvl w:val="0"/>
          <w:numId w:val="64"/>
        </w:numPr>
        <w:tabs>
          <w:tab w:val="left" w:pos="720"/>
        </w:tabs>
        <w:ind w:left="720" w:hanging="367"/>
        <w:rPr>
          <w:rFonts w:eastAsia="Times New Roman"/>
          <w:szCs w:val="24"/>
        </w:rPr>
      </w:pPr>
      <w:bookmarkStart w:id="87" w:name="page85"/>
      <w:bookmarkEnd w:id="87"/>
      <w:r w:rsidRPr="00FC3B7C">
        <w:rPr>
          <w:rFonts w:eastAsia="Times New Roman"/>
          <w:szCs w:val="24"/>
        </w:rPr>
        <w:t>ústavní stížnost = to, co je projednáváno ústavním soudem</w:t>
      </w:r>
    </w:p>
    <w:p w14:paraId="799BF2F1" w14:textId="77777777" w:rsidR="004236C6" w:rsidRPr="00FC3B7C" w:rsidRDefault="004236C6" w:rsidP="004236C6">
      <w:pPr>
        <w:sectPr w:rsidR="004236C6" w:rsidRPr="00FC3B7C">
          <w:pgSz w:w="11900" w:h="16840"/>
          <w:pgMar w:top="1386" w:right="1380" w:bottom="1440" w:left="1420" w:header="0" w:footer="0" w:gutter="0"/>
          <w:cols w:space="708" w:equalWidth="0">
            <w:col w:w="9100"/>
          </w:cols>
        </w:sectPr>
      </w:pPr>
    </w:p>
    <w:p w14:paraId="74A268C3" w14:textId="77777777" w:rsidR="004236C6" w:rsidRPr="00FC3B7C" w:rsidRDefault="004236C6" w:rsidP="004236C6">
      <w:pPr>
        <w:ind w:left="100"/>
        <w:rPr>
          <w:sz w:val="20"/>
          <w:szCs w:val="20"/>
        </w:rPr>
      </w:pPr>
      <w:bookmarkStart w:id="88" w:name="page84"/>
      <w:bookmarkEnd w:id="88"/>
      <w:r w:rsidRPr="00FC3B7C">
        <w:rPr>
          <w:rFonts w:eastAsia="Times New Roman"/>
          <w:b/>
          <w:bCs/>
          <w:szCs w:val="24"/>
        </w:rPr>
        <w:lastRenderedPageBreak/>
        <w:t>Zásady demokratického soudnictví:</w:t>
      </w:r>
    </w:p>
    <w:p w14:paraId="1599EE3D" w14:textId="77777777" w:rsidR="004236C6" w:rsidRPr="00FC3B7C" w:rsidRDefault="004236C6" w:rsidP="004236C6">
      <w:pPr>
        <w:numPr>
          <w:ilvl w:val="0"/>
          <w:numId w:val="65"/>
        </w:numPr>
        <w:tabs>
          <w:tab w:val="left" w:pos="720"/>
        </w:tabs>
        <w:ind w:left="720" w:hanging="367"/>
        <w:rPr>
          <w:rFonts w:eastAsia="Times New Roman"/>
          <w:szCs w:val="24"/>
        </w:rPr>
      </w:pPr>
      <w:r w:rsidRPr="00FC3B7C">
        <w:rPr>
          <w:rFonts w:eastAsia="Times New Roman"/>
          <w:szCs w:val="24"/>
        </w:rPr>
        <w:t>nezávislost soudců (nesmí podnikat, umělecká činnost, …),</w:t>
      </w:r>
    </w:p>
    <w:p w14:paraId="4D555521" w14:textId="77777777" w:rsidR="004236C6" w:rsidRPr="00FC3B7C" w:rsidRDefault="004236C6" w:rsidP="004236C6">
      <w:pPr>
        <w:numPr>
          <w:ilvl w:val="0"/>
          <w:numId w:val="65"/>
        </w:numPr>
        <w:tabs>
          <w:tab w:val="left" w:pos="720"/>
        </w:tabs>
        <w:ind w:left="720" w:hanging="367"/>
        <w:rPr>
          <w:rFonts w:eastAsia="Times New Roman"/>
          <w:szCs w:val="24"/>
        </w:rPr>
      </w:pPr>
      <w:r w:rsidRPr="00FC3B7C">
        <w:rPr>
          <w:rFonts w:eastAsia="Times New Roman"/>
          <w:szCs w:val="24"/>
        </w:rPr>
        <w:t>nestrannost soudu,</w:t>
      </w:r>
    </w:p>
    <w:p w14:paraId="5DAFAAF4" w14:textId="77777777" w:rsidR="004236C6" w:rsidRPr="00FC3B7C" w:rsidRDefault="004236C6" w:rsidP="004236C6">
      <w:pPr>
        <w:numPr>
          <w:ilvl w:val="0"/>
          <w:numId w:val="65"/>
        </w:numPr>
        <w:tabs>
          <w:tab w:val="left" w:pos="720"/>
        </w:tabs>
        <w:ind w:left="720" w:hanging="367"/>
        <w:rPr>
          <w:rFonts w:eastAsia="Times New Roman"/>
          <w:szCs w:val="24"/>
        </w:rPr>
      </w:pPr>
      <w:r w:rsidRPr="00FC3B7C">
        <w:rPr>
          <w:rFonts w:eastAsia="Times New Roman"/>
          <w:szCs w:val="24"/>
        </w:rPr>
        <w:t>soudce vázán pouze zákonem a při rozhodování vlastním svědomím,</w:t>
      </w:r>
    </w:p>
    <w:p w14:paraId="373E35EC" w14:textId="77777777" w:rsidR="004236C6" w:rsidRPr="00FC3B7C" w:rsidRDefault="004236C6" w:rsidP="004236C6">
      <w:pPr>
        <w:numPr>
          <w:ilvl w:val="0"/>
          <w:numId w:val="65"/>
        </w:numPr>
        <w:tabs>
          <w:tab w:val="left" w:pos="720"/>
        </w:tabs>
        <w:ind w:left="720" w:hanging="367"/>
        <w:rPr>
          <w:rFonts w:eastAsia="Times New Roman"/>
          <w:szCs w:val="24"/>
        </w:rPr>
      </w:pPr>
      <w:r w:rsidRPr="00FC3B7C">
        <w:rPr>
          <w:rFonts w:eastAsia="Times New Roman"/>
          <w:szCs w:val="24"/>
        </w:rPr>
        <w:t>rovnost před zákonem,</w:t>
      </w:r>
    </w:p>
    <w:p w14:paraId="68A76C0F" w14:textId="77777777" w:rsidR="004236C6" w:rsidRPr="00FC3B7C" w:rsidRDefault="004236C6" w:rsidP="004236C6">
      <w:pPr>
        <w:numPr>
          <w:ilvl w:val="0"/>
          <w:numId w:val="65"/>
        </w:numPr>
        <w:tabs>
          <w:tab w:val="left" w:pos="720"/>
        </w:tabs>
        <w:ind w:left="720" w:hanging="367"/>
        <w:rPr>
          <w:rFonts w:eastAsia="Times New Roman"/>
          <w:szCs w:val="24"/>
        </w:rPr>
      </w:pPr>
      <w:r w:rsidRPr="00FC3B7C">
        <w:rPr>
          <w:rFonts w:eastAsia="Times New Roman"/>
          <w:szCs w:val="24"/>
        </w:rPr>
        <w:t>presumpce neviny (dokud není obžalovaný odsouzen, je nevinný),</w:t>
      </w:r>
    </w:p>
    <w:p w14:paraId="79E966AB" w14:textId="77777777" w:rsidR="004236C6" w:rsidRPr="00FC3B7C" w:rsidRDefault="004236C6" w:rsidP="004236C6">
      <w:pPr>
        <w:numPr>
          <w:ilvl w:val="0"/>
          <w:numId w:val="65"/>
        </w:numPr>
        <w:tabs>
          <w:tab w:val="left" w:pos="720"/>
        </w:tabs>
        <w:ind w:left="720" w:hanging="367"/>
        <w:rPr>
          <w:rFonts w:eastAsia="Times New Roman"/>
          <w:szCs w:val="24"/>
        </w:rPr>
      </w:pPr>
      <w:r w:rsidRPr="00FC3B7C">
        <w:rPr>
          <w:rFonts w:eastAsia="Times New Roman"/>
          <w:szCs w:val="24"/>
        </w:rPr>
        <w:t>zásada objektivní pravdy (povinnost soudu přezkoumávat tresty),</w:t>
      </w:r>
    </w:p>
    <w:p w14:paraId="0A14AB8E" w14:textId="77777777" w:rsidR="004236C6" w:rsidRPr="00FC3B7C" w:rsidRDefault="004236C6" w:rsidP="004236C6">
      <w:pPr>
        <w:numPr>
          <w:ilvl w:val="0"/>
          <w:numId w:val="65"/>
        </w:numPr>
        <w:tabs>
          <w:tab w:val="left" w:pos="720"/>
        </w:tabs>
        <w:spacing w:line="358" w:lineRule="auto"/>
        <w:ind w:left="720" w:hanging="367"/>
        <w:rPr>
          <w:rFonts w:eastAsia="Times New Roman"/>
          <w:szCs w:val="24"/>
        </w:rPr>
      </w:pPr>
      <w:r w:rsidRPr="00FC3B7C">
        <w:rPr>
          <w:rFonts w:eastAsia="Times New Roman"/>
          <w:szCs w:val="24"/>
        </w:rPr>
        <w:t>veřejné jednání před soudem (výjimky: soud s mladistvými, o trestném činu spáchaném na mladistvém),</w:t>
      </w:r>
    </w:p>
    <w:p w14:paraId="56061CC2" w14:textId="77777777" w:rsidR="004236C6" w:rsidRPr="00FC3B7C" w:rsidRDefault="004236C6" w:rsidP="004236C6">
      <w:pPr>
        <w:spacing w:line="2" w:lineRule="exact"/>
        <w:rPr>
          <w:rFonts w:eastAsia="Times New Roman"/>
          <w:szCs w:val="24"/>
        </w:rPr>
      </w:pPr>
    </w:p>
    <w:p w14:paraId="438A24D4" w14:textId="77777777" w:rsidR="004236C6" w:rsidRPr="00FC3B7C" w:rsidRDefault="004236C6" w:rsidP="004236C6">
      <w:pPr>
        <w:numPr>
          <w:ilvl w:val="0"/>
          <w:numId w:val="65"/>
        </w:numPr>
        <w:tabs>
          <w:tab w:val="left" w:pos="720"/>
        </w:tabs>
        <w:spacing w:line="361" w:lineRule="auto"/>
        <w:ind w:left="720" w:hanging="367"/>
        <w:rPr>
          <w:rFonts w:eastAsia="Times New Roman"/>
          <w:szCs w:val="24"/>
        </w:rPr>
      </w:pPr>
      <w:r w:rsidRPr="00FC3B7C">
        <w:rPr>
          <w:rFonts w:eastAsia="Times New Roman"/>
          <w:szCs w:val="24"/>
        </w:rPr>
        <w:t xml:space="preserve">zásada obžalovací (soudy pouze soudí, nevyhledávají si sami případy, musí dojít </w:t>
      </w:r>
      <w:r>
        <w:rPr>
          <w:rFonts w:eastAsia="Times New Roman"/>
          <w:szCs w:val="24"/>
        </w:rPr>
        <w:br/>
      </w:r>
      <w:r w:rsidRPr="00FC3B7C">
        <w:rPr>
          <w:rFonts w:eastAsia="Times New Roman"/>
          <w:szCs w:val="24"/>
        </w:rPr>
        <w:t>k obžalobě),</w:t>
      </w:r>
    </w:p>
    <w:p w14:paraId="25B3B781" w14:textId="77777777" w:rsidR="004236C6" w:rsidRPr="00FC3B7C" w:rsidRDefault="004236C6" w:rsidP="004236C6">
      <w:pPr>
        <w:numPr>
          <w:ilvl w:val="0"/>
          <w:numId w:val="65"/>
        </w:numPr>
        <w:tabs>
          <w:tab w:val="left" w:pos="720"/>
        </w:tabs>
        <w:ind w:left="720" w:hanging="367"/>
        <w:rPr>
          <w:rFonts w:eastAsia="Times New Roman"/>
          <w:szCs w:val="24"/>
        </w:rPr>
      </w:pPr>
      <w:r w:rsidRPr="00FC3B7C">
        <w:rPr>
          <w:rFonts w:eastAsia="Times New Roman"/>
          <w:szCs w:val="24"/>
        </w:rPr>
        <w:t>právo na odvolání,</w:t>
      </w:r>
    </w:p>
    <w:p w14:paraId="7A938535" w14:textId="77777777" w:rsidR="004236C6" w:rsidRPr="00FC3B7C" w:rsidRDefault="004236C6" w:rsidP="004236C6">
      <w:pPr>
        <w:numPr>
          <w:ilvl w:val="0"/>
          <w:numId w:val="65"/>
        </w:numPr>
        <w:tabs>
          <w:tab w:val="left" w:pos="720"/>
        </w:tabs>
        <w:ind w:left="720" w:hanging="367"/>
        <w:rPr>
          <w:rFonts w:eastAsia="Times New Roman"/>
          <w:szCs w:val="24"/>
        </w:rPr>
      </w:pPr>
      <w:r w:rsidRPr="00FC3B7C">
        <w:rPr>
          <w:rFonts w:eastAsia="Times New Roman"/>
          <w:szCs w:val="24"/>
        </w:rPr>
        <w:t>právo na obhájce (každý nad 18 let má právo na obhájce nebo se hájit sám),</w:t>
      </w:r>
    </w:p>
    <w:p w14:paraId="086A4F0C" w14:textId="77777777" w:rsidR="004236C6" w:rsidRPr="008F2BBE" w:rsidRDefault="004236C6" w:rsidP="004236C6">
      <w:pPr>
        <w:numPr>
          <w:ilvl w:val="0"/>
          <w:numId w:val="65"/>
        </w:numPr>
        <w:tabs>
          <w:tab w:val="left" w:pos="720"/>
        </w:tabs>
        <w:ind w:left="720" w:hanging="367"/>
        <w:rPr>
          <w:rFonts w:eastAsia="Times New Roman"/>
          <w:sz w:val="23"/>
          <w:szCs w:val="23"/>
        </w:rPr>
      </w:pPr>
      <w:r w:rsidRPr="00FC3B7C">
        <w:rPr>
          <w:rFonts w:eastAsia="Times New Roman"/>
          <w:sz w:val="23"/>
          <w:szCs w:val="23"/>
        </w:rPr>
        <w:t>zákaz retroaktivity trestněprávních norem (nikdo nemůže být souzen za něco, co spáchal</w:t>
      </w:r>
      <w:r>
        <w:rPr>
          <w:rFonts w:eastAsia="Times New Roman"/>
          <w:sz w:val="23"/>
          <w:szCs w:val="23"/>
        </w:rPr>
        <w:t xml:space="preserve"> </w:t>
      </w:r>
      <w:r>
        <w:rPr>
          <w:rFonts w:eastAsia="Times New Roman"/>
          <w:sz w:val="23"/>
          <w:szCs w:val="23"/>
        </w:rPr>
        <w:br/>
        <w:t xml:space="preserve">v </w:t>
      </w:r>
      <w:r w:rsidRPr="008F2BBE">
        <w:rPr>
          <w:rFonts w:eastAsia="Times New Roman"/>
          <w:szCs w:val="24"/>
        </w:rPr>
        <w:t>době, kdy na jeho čin nebylo pohlíženo jako na trestný),</w:t>
      </w:r>
    </w:p>
    <w:p w14:paraId="71673E85" w14:textId="77777777" w:rsidR="004236C6" w:rsidRPr="00FC3B7C" w:rsidRDefault="004236C6" w:rsidP="004236C6">
      <w:pPr>
        <w:spacing w:line="136" w:lineRule="exact"/>
        <w:rPr>
          <w:rFonts w:eastAsia="Times New Roman"/>
          <w:szCs w:val="24"/>
        </w:rPr>
      </w:pPr>
    </w:p>
    <w:p w14:paraId="20D6793E" w14:textId="77777777" w:rsidR="004236C6" w:rsidRPr="008F2BBE" w:rsidRDefault="004236C6" w:rsidP="004236C6">
      <w:pPr>
        <w:numPr>
          <w:ilvl w:val="0"/>
          <w:numId w:val="65"/>
        </w:numPr>
        <w:tabs>
          <w:tab w:val="left" w:pos="720"/>
        </w:tabs>
        <w:ind w:left="720" w:hanging="367"/>
        <w:rPr>
          <w:rFonts w:eastAsia="Times New Roman"/>
          <w:szCs w:val="24"/>
        </w:rPr>
      </w:pPr>
      <w:r w:rsidRPr="00FC3B7C">
        <w:rPr>
          <w:rFonts w:eastAsia="Times New Roman"/>
          <w:szCs w:val="24"/>
        </w:rPr>
        <w:t>zásada soudní příslušnosti (nikdo nesmí být bezdůvodně odňat svému soudci; výjimka</w:t>
      </w:r>
      <w:r>
        <w:rPr>
          <w:rFonts w:eastAsia="Times New Roman"/>
          <w:szCs w:val="24"/>
        </w:rPr>
        <w:t xml:space="preserve"> u </w:t>
      </w:r>
      <w:r w:rsidRPr="008F2BBE">
        <w:rPr>
          <w:rFonts w:eastAsia="Times New Roman"/>
          <w:szCs w:val="24"/>
        </w:rPr>
        <w:t>podjatosti soudu = jeho neschopnost nestranného a nezaujatého rozhodování).</w:t>
      </w:r>
    </w:p>
    <w:p w14:paraId="1DD10928" w14:textId="57AD79CC" w:rsidR="004236C6" w:rsidRDefault="004236C6" w:rsidP="004236C6">
      <w:pPr>
        <w:spacing w:line="240" w:lineRule="auto"/>
        <w:jc w:val="left"/>
        <w:rPr>
          <w:rFonts w:eastAsia="Times New Roman" w:cstheme="majorBidi"/>
          <w:b/>
          <w:sz w:val="28"/>
          <w:szCs w:val="26"/>
        </w:rPr>
      </w:pPr>
    </w:p>
    <w:p w14:paraId="7758FAC0" w14:textId="77777777" w:rsidR="004236C6" w:rsidRPr="006254C9" w:rsidRDefault="004236C6" w:rsidP="004236C6">
      <w:pPr>
        <w:pStyle w:val="Nadpis2"/>
        <w:rPr>
          <w:color w:val="1F3864" w:themeColor="accent1" w:themeShade="80"/>
          <w:sz w:val="20"/>
          <w:szCs w:val="20"/>
        </w:rPr>
      </w:pPr>
      <w:r w:rsidRPr="007E750A">
        <w:rPr>
          <w:rFonts w:eastAsia="Times New Roman"/>
          <w:color w:val="1F3864" w:themeColor="accent1" w:themeShade="80"/>
        </w:rPr>
        <w:t>DALŠÍ SLOŽKY OVLIVŇUJÍCÍ HP</w:t>
      </w:r>
    </w:p>
    <w:p w14:paraId="2B9892EF" w14:textId="77777777" w:rsidR="004236C6" w:rsidRPr="006254C9" w:rsidRDefault="004236C6" w:rsidP="004236C6">
      <w:pPr>
        <w:pStyle w:val="Nadpis3"/>
        <w:rPr>
          <w:color w:val="1F3864" w:themeColor="accent1" w:themeShade="80"/>
          <w:sz w:val="20"/>
          <w:szCs w:val="20"/>
        </w:rPr>
      </w:pPr>
      <w:r w:rsidRPr="006254C9">
        <w:rPr>
          <w:rFonts w:eastAsia="Times New Roman"/>
          <w:color w:val="1F3864" w:themeColor="accent1" w:themeShade="80"/>
        </w:rPr>
        <w:t>Centrální banka = Česká národní banka</w:t>
      </w:r>
    </w:p>
    <w:p w14:paraId="1749A5FB" w14:textId="1B2E0A96" w:rsidR="004236C6" w:rsidRPr="00FC3B7C" w:rsidRDefault="004236C6" w:rsidP="004236C6">
      <w:pPr>
        <w:spacing w:line="367" w:lineRule="auto"/>
        <w:rPr>
          <w:sz w:val="20"/>
          <w:szCs w:val="20"/>
        </w:rPr>
      </w:pPr>
      <w:r w:rsidRPr="004B6CDE">
        <w:rPr>
          <w:rFonts w:eastAsia="Times New Roman"/>
          <w:szCs w:val="24"/>
        </w:rPr>
        <w:t xml:space="preserve">Sídlí v Praze, je zřízena ústavou a svou činnost vykonává v souladu se zákonem o ČNB. Je to politicky a ekonomicky nezávislá instituce. Nejvyšším řídícím orgánem je bankovní rada – 7 členů (guvernér: </w:t>
      </w:r>
      <w:r w:rsidR="006254C9" w:rsidRPr="004B6CDE">
        <w:rPr>
          <w:rFonts w:eastAsia="Times New Roman"/>
          <w:szCs w:val="24"/>
        </w:rPr>
        <w:t>Jiří Rusnok</w:t>
      </w:r>
      <w:r w:rsidRPr="004B6CDE">
        <w:rPr>
          <w:rFonts w:eastAsia="Times New Roman"/>
          <w:szCs w:val="24"/>
        </w:rPr>
        <w:t>, 2 viceguvernéři</w:t>
      </w:r>
      <w:r w:rsidR="006254C9" w:rsidRPr="004B6CDE">
        <w:rPr>
          <w:rFonts w:eastAsia="Times New Roman"/>
          <w:szCs w:val="24"/>
        </w:rPr>
        <w:t>: Marek Mora, Tomáš Nidetzký</w:t>
      </w:r>
      <w:r w:rsidRPr="004B6CDE">
        <w:rPr>
          <w:rFonts w:eastAsia="Times New Roman"/>
          <w:szCs w:val="24"/>
        </w:rPr>
        <w:t xml:space="preserve"> a 4 vrchní ředitelé</w:t>
      </w:r>
      <w:r w:rsidR="006254C9" w:rsidRPr="004B6CDE">
        <w:rPr>
          <w:rFonts w:eastAsia="Times New Roman"/>
          <w:szCs w:val="24"/>
        </w:rPr>
        <w:t>: Vojtěch Benda, Oldřich Dědek, Tomáš Holub, Aleš Michl</w:t>
      </w:r>
      <w:r w:rsidRPr="004B6CDE">
        <w:rPr>
          <w:rFonts w:eastAsia="Times New Roman"/>
          <w:szCs w:val="24"/>
        </w:rPr>
        <w:t>). Všechny členy bankovní rady jmenuje prezident na 6 let (aby byla zajištěna nestrannost při jejich volení – nekoresponduje s politickým cyklem</w:t>
      </w:r>
      <w:r w:rsidRPr="00FC3B7C">
        <w:rPr>
          <w:rFonts w:eastAsia="Times New Roman"/>
          <w:szCs w:val="24"/>
        </w:rPr>
        <w:t>).</w:t>
      </w:r>
    </w:p>
    <w:p w14:paraId="7F7148C6" w14:textId="77777777" w:rsidR="004236C6" w:rsidRPr="00FC3B7C" w:rsidRDefault="004236C6" w:rsidP="004236C6">
      <w:pPr>
        <w:spacing w:line="73" w:lineRule="exact"/>
        <w:rPr>
          <w:sz w:val="20"/>
          <w:szCs w:val="20"/>
        </w:rPr>
      </w:pPr>
    </w:p>
    <w:p w14:paraId="3801D5C8" w14:textId="77777777" w:rsidR="004236C6" w:rsidRPr="00FC3B7C" w:rsidRDefault="004236C6" w:rsidP="004236C6">
      <w:pPr>
        <w:rPr>
          <w:sz w:val="20"/>
          <w:szCs w:val="20"/>
        </w:rPr>
      </w:pPr>
      <w:r w:rsidRPr="00FC3B7C">
        <w:rPr>
          <w:rFonts w:eastAsia="Times New Roman"/>
          <w:b/>
          <w:bCs/>
          <w:szCs w:val="24"/>
        </w:rPr>
        <w:t>Úkoly ČNB:</w:t>
      </w:r>
    </w:p>
    <w:p w14:paraId="39732B41" w14:textId="77777777" w:rsidR="004236C6" w:rsidRPr="00FC3B7C" w:rsidRDefault="004236C6" w:rsidP="004236C6">
      <w:pPr>
        <w:numPr>
          <w:ilvl w:val="0"/>
          <w:numId w:val="66"/>
        </w:numPr>
        <w:tabs>
          <w:tab w:val="left" w:pos="724"/>
        </w:tabs>
        <w:ind w:left="724" w:hanging="367"/>
        <w:rPr>
          <w:rFonts w:eastAsia="Times New Roman"/>
          <w:szCs w:val="24"/>
        </w:rPr>
      </w:pPr>
      <w:bookmarkStart w:id="89" w:name="page86"/>
      <w:bookmarkEnd w:id="89"/>
      <w:r w:rsidRPr="00FC3B7C">
        <w:rPr>
          <w:rFonts w:eastAsia="Times New Roman"/>
          <w:szCs w:val="24"/>
        </w:rPr>
        <w:t>spravuje měnu státu (u zemí eurozóny tuto roli přebírá ECB),</w:t>
      </w:r>
    </w:p>
    <w:p w14:paraId="124F2F0A" w14:textId="77777777" w:rsidR="004236C6" w:rsidRPr="00FC3B7C" w:rsidRDefault="004236C6" w:rsidP="004236C6">
      <w:pPr>
        <w:numPr>
          <w:ilvl w:val="0"/>
          <w:numId w:val="66"/>
        </w:numPr>
        <w:tabs>
          <w:tab w:val="left" w:pos="724"/>
        </w:tabs>
        <w:ind w:left="724" w:hanging="367"/>
        <w:rPr>
          <w:rFonts w:eastAsia="Times New Roman"/>
          <w:szCs w:val="24"/>
        </w:rPr>
      </w:pPr>
      <w:r w:rsidRPr="00FC3B7C">
        <w:rPr>
          <w:rFonts w:eastAsia="Times New Roman"/>
          <w:szCs w:val="24"/>
        </w:rPr>
        <w:t>vede účet státního rozpočtu,</w:t>
      </w:r>
    </w:p>
    <w:p w14:paraId="02CC3E9F" w14:textId="77777777" w:rsidR="004236C6" w:rsidRPr="00FC3B7C" w:rsidRDefault="004236C6" w:rsidP="004236C6">
      <w:pPr>
        <w:numPr>
          <w:ilvl w:val="0"/>
          <w:numId w:val="66"/>
        </w:numPr>
        <w:tabs>
          <w:tab w:val="left" w:pos="724"/>
        </w:tabs>
        <w:spacing w:line="358" w:lineRule="auto"/>
        <w:ind w:left="724" w:hanging="367"/>
        <w:rPr>
          <w:rFonts w:eastAsia="Times New Roman"/>
          <w:szCs w:val="24"/>
        </w:rPr>
      </w:pPr>
      <w:r w:rsidRPr="00FC3B7C">
        <w:rPr>
          <w:rFonts w:eastAsia="Times New Roman"/>
          <w:szCs w:val="24"/>
        </w:rPr>
        <w:t>dohlíží na činnost obchodních bank, stanovuje podmínky pro jejich činnost, poskytuje jim úvěry, licence, …,</w:t>
      </w:r>
    </w:p>
    <w:p w14:paraId="708AFEC6" w14:textId="77777777" w:rsidR="004236C6" w:rsidRPr="00FC3B7C" w:rsidRDefault="004236C6" w:rsidP="004236C6">
      <w:pPr>
        <w:spacing w:line="2" w:lineRule="exact"/>
        <w:rPr>
          <w:rFonts w:eastAsia="Times New Roman"/>
          <w:szCs w:val="24"/>
        </w:rPr>
      </w:pPr>
    </w:p>
    <w:p w14:paraId="1F5CE7CC" w14:textId="77777777" w:rsidR="004236C6" w:rsidRPr="00FC3B7C" w:rsidRDefault="004236C6" w:rsidP="004236C6">
      <w:pPr>
        <w:numPr>
          <w:ilvl w:val="0"/>
          <w:numId w:val="66"/>
        </w:numPr>
        <w:tabs>
          <w:tab w:val="left" w:pos="724"/>
        </w:tabs>
        <w:ind w:left="724" w:hanging="367"/>
        <w:rPr>
          <w:rFonts w:eastAsia="Times New Roman"/>
          <w:szCs w:val="24"/>
        </w:rPr>
      </w:pPr>
      <w:r w:rsidRPr="00FC3B7C">
        <w:rPr>
          <w:rFonts w:eastAsia="Times New Roman"/>
          <w:szCs w:val="24"/>
        </w:rPr>
        <w:t>spravuje rezervy ve zlatě a cizích měnách,</w:t>
      </w:r>
    </w:p>
    <w:p w14:paraId="4A353CE0" w14:textId="77777777" w:rsidR="004236C6" w:rsidRPr="00FC3B7C" w:rsidRDefault="004236C6" w:rsidP="004236C6">
      <w:pPr>
        <w:numPr>
          <w:ilvl w:val="0"/>
          <w:numId w:val="66"/>
        </w:numPr>
        <w:tabs>
          <w:tab w:val="left" w:pos="724"/>
        </w:tabs>
        <w:ind w:left="724" w:hanging="367"/>
        <w:rPr>
          <w:rFonts w:eastAsia="Times New Roman"/>
          <w:szCs w:val="24"/>
        </w:rPr>
      </w:pPr>
      <w:r w:rsidRPr="00FC3B7C">
        <w:rPr>
          <w:rFonts w:eastAsia="Times New Roman"/>
          <w:szCs w:val="24"/>
        </w:rPr>
        <w:t>snaha o cenovou stabilitu – cíl: nízko-inflační prostředí,</w:t>
      </w:r>
    </w:p>
    <w:p w14:paraId="776D26F4" w14:textId="77777777" w:rsidR="004236C6" w:rsidRPr="00FC3B7C" w:rsidRDefault="004236C6" w:rsidP="004236C6">
      <w:pPr>
        <w:numPr>
          <w:ilvl w:val="0"/>
          <w:numId w:val="66"/>
        </w:numPr>
        <w:tabs>
          <w:tab w:val="left" w:pos="724"/>
        </w:tabs>
        <w:ind w:left="724" w:hanging="367"/>
        <w:rPr>
          <w:rFonts w:eastAsia="Times New Roman"/>
          <w:szCs w:val="24"/>
        </w:rPr>
      </w:pPr>
      <w:r w:rsidRPr="00FC3B7C">
        <w:rPr>
          <w:rFonts w:eastAsia="Times New Roman"/>
          <w:szCs w:val="24"/>
        </w:rPr>
        <w:lastRenderedPageBreak/>
        <w:t>určuje měnovou politiku, podmínky pro udržitelný hospodářský růst,</w:t>
      </w:r>
    </w:p>
    <w:p w14:paraId="317C46B8" w14:textId="77777777" w:rsidR="004236C6" w:rsidRPr="00FC3B7C" w:rsidRDefault="004236C6" w:rsidP="004236C6">
      <w:pPr>
        <w:numPr>
          <w:ilvl w:val="0"/>
          <w:numId w:val="66"/>
        </w:numPr>
        <w:tabs>
          <w:tab w:val="left" w:pos="724"/>
        </w:tabs>
        <w:ind w:left="724" w:hanging="367"/>
        <w:rPr>
          <w:rFonts w:eastAsia="Times New Roman"/>
          <w:szCs w:val="24"/>
        </w:rPr>
      </w:pPr>
      <w:r w:rsidRPr="00FC3B7C">
        <w:rPr>
          <w:rFonts w:eastAsia="Times New Roman"/>
          <w:szCs w:val="24"/>
        </w:rPr>
        <w:t>vydává bankovky a mince,</w:t>
      </w:r>
    </w:p>
    <w:p w14:paraId="07B1BFDD" w14:textId="77777777" w:rsidR="004236C6" w:rsidRPr="00FC3B7C" w:rsidRDefault="004236C6" w:rsidP="004236C6">
      <w:pPr>
        <w:numPr>
          <w:ilvl w:val="0"/>
          <w:numId w:val="66"/>
        </w:numPr>
        <w:tabs>
          <w:tab w:val="left" w:pos="724"/>
        </w:tabs>
        <w:ind w:left="724" w:hanging="367"/>
        <w:rPr>
          <w:rFonts w:eastAsia="Times New Roman"/>
          <w:szCs w:val="24"/>
        </w:rPr>
      </w:pPr>
      <w:r w:rsidRPr="00FC3B7C">
        <w:rPr>
          <w:rFonts w:eastAsia="Times New Roman"/>
          <w:szCs w:val="24"/>
        </w:rPr>
        <w:t>poskytuje bankovní služby pro stát a veřejný sektor,</w:t>
      </w:r>
    </w:p>
    <w:p w14:paraId="491A2B8B" w14:textId="77777777" w:rsidR="004236C6" w:rsidRPr="00FC3B7C" w:rsidRDefault="004236C6" w:rsidP="004236C6">
      <w:pPr>
        <w:numPr>
          <w:ilvl w:val="0"/>
          <w:numId w:val="66"/>
        </w:numPr>
        <w:tabs>
          <w:tab w:val="left" w:pos="724"/>
        </w:tabs>
        <w:ind w:left="724" w:hanging="367"/>
        <w:rPr>
          <w:rFonts w:eastAsia="Times New Roman"/>
          <w:szCs w:val="24"/>
        </w:rPr>
      </w:pPr>
      <w:r w:rsidRPr="00FC3B7C">
        <w:rPr>
          <w:rFonts w:eastAsia="Times New Roman"/>
          <w:szCs w:val="24"/>
        </w:rPr>
        <w:t>řídí peněžní oběh, platební styk a zúčtování bank,</w:t>
      </w:r>
    </w:p>
    <w:p w14:paraId="0C055E6C" w14:textId="77777777" w:rsidR="004236C6" w:rsidRPr="00FC3B7C" w:rsidRDefault="004236C6" w:rsidP="004236C6">
      <w:pPr>
        <w:numPr>
          <w:ilvl w:val="0"/>
          <w:numId w:val="66"/>
        </w:numPr>
        <w:tabs>
          <w:tab w:val="left" w:pos="724"/>
        </w:tabs>
        <w:ind w:left="724" w:hanging="364"/>
        <w:rPr>
          <w:rFonts w:eastAsia="Times New Roman"/>
          <w:szCs w:val="24"/>
        </w:rPr>
      </w:pPr>
      <w:r w:rsidRPr="00FC3B7C">
        <w:rPr>
          <w:rFonts w:eastAsia="Times New Roman"/>
          <w:szCs w:val="24"/>
        </w:rPr>
        <w:t>vykonává dohled nad kapitálovým trhem.</w:t>
      </w:r>
    </w:p>
    <w:p w14:paraId="4504106E" w14:textId="77777777" w:rsidR="004236C6" w:rsidRPr="00FC3B7C" w:rsidRDefault="004236C6" w:rsidP="004236C6">
      <w:pPr>
        <w:ind w:left="4"/>
        <w:rPr>
          <w:sz w:val="20"/>
          <w:szCs w:val="20"/>
        </w:rPr>
      </w:pPr>
      <w:r w:rsidRPr="00FC3B7C">
        <w:rPr>
          <w:rFonts w:eastAsia="Times New Roman"/>
          <w:b/>
          <w:bCs/>
          <w:szCs w:val="24"/>
        </w:rPr>
        <w:t>Nástroje ČNB:</w:t>
      </w:r>
    </w:p>
    <w:p w14:paraId="47F71278" w14:textId="77777777" w:rsidR="004236C6" w:rsidRPr="00FC3B7C" w:rsidRDefault="004236C6" w:rsidP="004236C6">
      <w:pPr>
        <w:numPr>
          <w:ilvl w:val="0"/>
          <w:numId w:val="67"/>
        </w:numPr>
        <w:tabs>
          <w:tab w:val="left" w:pos="724"/>
        </w:tabs>
        <w:ind w:left="724" w:hanging="364"/>
        <w:rPr>
          <w:rFonts w:eastAsia="Times New Roman"/>
          <w:szCs w:val="24"/>
        </w:rPr>
      </w:pPr>
      <w:r w:rsidRPr="00FC3B7C">
        <w:rPr>
          <w:rFonts w:eastAsia="Times New Roman"/>
          <w:szCs w:val="24"/>
        </w:rPr>
        <w:t>minimální povinné rezervy KB,</w:t>
      </w:r>
    </w:p>
    <w:p w14:paraId="6C8C5C82" w14:textId="77777777" w:rsidR="004236C6" w:rsidRPr="00FC3B7C" w:rsidRDefault="004236C6" w:rsidP="004236C6">
      <w:pPr>
        <w:numPr>
          <w:ilvl w:val="0"/>
          <w:numId w:val="67"/>
        </w:numPr>
        <w:tabs>
          <w:tab w:val="left" w:pos="724"/>
        </w:tabs>
        <w:ind w:left="724" w:hanging="364"/>
        <w:rPr>
          <w:rFonts w:eastAsia="Times New Roman"/>
          <w:szCs w:val="24"/>
        </w:rPr>
      </w:pPr>
      <w:r w:rsidRPr="00FC3B7C">
        <w:rPr>
          <w:rFonts w:eastAsia="Times New Roman"/>
          <w:szCs w:val="24"/>
        </w:rPr>
        <w:t>diskontní sazba (úrok při půjčkách KB),</w:t>
      </w:r>
    </w:p>
    <w:p w14:paraId="5FC5DC0A" w14:textId="77777777" w:rsidR="004236C6" w:rsidRPr="00FC3B7C" w:rsidRDefault="004236C6" w:rsidP="004236C6">
      <w:pPr>
        <w:numPr>
          <w:ilvl w:val="0"/>
          <w:numId w:val="67"/>
        </w:numPr>
        <w:tabs>
          <w:tab w:val="left" w:pos="724"/>
        </w:tabs>
        <w:ind w:left="724" w:hanging="364"/>
        <w:rPr>
          <w:rFonts w:eastAsia="Times New Roman"/>
          <w:szCs w:val="24"/>
        </w:rPr>
      </w:pPr>
      <w:r w:rsidRPr="00FC3B7C">
        <w:rPr>
          <w:rFonts w:eastAsia="Times New Roman"/>
          <w:szCs w:val="24"/>
        </w:rPr>
        <w:t>operace na volném trhu (nákup a prodej CP),</w:t>
      </w:r>
    </w:p>
    <w:p w14:paraId="44974C5E" w14:textId="77777777" w:rsidR="004236C6" w:rsidRPr="00FC3B7C" w:rsidRDefault="004236C6" w:rsidP="004236C6">
      <w:pPr>
        <w:numPr>
          <w:ilvl w:val="0"/>
          <w:numId w:val="67"/>
        </w:numPr>
        <w:tabs>
          <w:tab w:val="left" w:pos="724"/>
        </w:tabs>
        <w:spacing w:after="240"/>
        <w:ind w:left="724" w:hanging="364"/>
        <w:rPr>
          <w:rFonts w:eastAsia="Times New Roman"/>
          <w:szCs w:val="24"/>
        </w:rPr>
      </w:pPr>
      <w:r w:rsidRPr="00FC3B7C">
        <w:rPr>
          <w:rFonts w:eastAsia="Times New Roman"/>
          <w:szCs w:val="24"/>
        </w:rPr>
        <w:t>určení úvěrových limitů (přímý nástroj).</w:t>
      </w:r>
    </w:p>
    <w:p w14:paraId="7B5978BA" w14:textId="77777777" w:rsidR="004236C6" w:rsidRPr="006254C9" w:rsidRDefault="004236C6" w:rsidP="004236C6">
      <w:pPr>
        <w:pStyle w:val="Nadpis3"/>
        <w:rPr>
          <w:color w:val="1F3864" w:themeColor="accent1" w:themeShade="80"/>
          <w:sz w:val="20"/>
          <w:szCs w:val="20"/>
        </w:rPr>
      </w:pPr>
      <w:r w:rsidRPr="006254C9">
        <w:rPr>
          <w:rFonts w:eastAsia="Times New Roman"/>
          <w:color w:val="1F3864" w:themeColor="accent1" w:themeShade="80"/>
        </w:rPr>
        <w:t>Nejvyšší kontrolní úřad</w:t>
      </w:r>
    </w:p>
    <w:p w14:paraId="32797BD2" w14:textId="77777777" w:rsidR="004236C6" w:rsidRPr="00FC3B7C" w:rsidRDefault="004236C6" w:rsidP="004236C6">
      <w:pPr>
        <w:spacing w:line="367" w:lineRule="auto"/>
        <w:ind w:left="4"/>
        <w:rPr>
          <w:sz w:val="20"/>
          <w:szCs w:val="20"/>
        </w:rPr>
      </w:pPr>
      <w:r w:rsidRPr="00FC3B7C">
        <w:rPr>
          <w:rFonts w:eastAsia="Times New Roman"/>
          <w:szCs w:val="24"/>
        </w:rPr>
        <w:t>Nezávislý orgán vykonávající kontrolu hospodaření se státním majetkem a kontrolu plnění státního rozpočtu. Kontroluje také stání závěrečný účet ČR, hospodaření s prostředky poskytnutými státu ze zahraničí, zadávání státních zakázek, vydávání a umořování státních cenných papírů a také prování kontrolu nad hospodařením ČNB v oblasti majetku a nákladů na provoz ČNB.</w:t>
      </w:r>
    </w:p>
    <w:p w14:paraId="798FF1B1" w14:textId="77777777" w:rsidR="004236C6" w:rsidRPr="00FC3B7C" w:rsidRDefault="004236C6" w:rsidP="004236C6">
      <w:pPr>
        <w:spacing w:line="193" w:lineRule="exact"/>
        <w:rPr>
          <w:sz w:val="20"/>
          <w:szCs w:val="20"/>
        </w:rPr>
      </w:pPr>
    </w:p>
    <w:p w14:paraId="19409F6C" w14:textId="79A05737" w:rsidR="007E750A" w:rsidRPr="004B6CDE" w:rsidRDefault="007E750A" w:rsidP="004B6CDE">
      <w:pPr>
        <w:pStyle w:val="Nadpis3"/>
        <w:rPr>
          <w:color w:val="1F3864" w:themeColor="accent1" w:themeShade="80"/>
          <w:sz w:val="20"/>
          <w:szCs w:val="20"/>
        </w:rPr>
      </w:pPr>
      <w:r w:rsidRPr="006254C9">
        <w:rPr>
          <w:rFonts w:eastAsia="Times New Roman"/>
          <w:color w:val="1F3864" w:themeColor="accent1" w:themeShade="80"/>
        </w:rPr>
        <w:t>Zájmové a lobbystické skupiny</w:t>
      </w:r>
      <w:r w:rsidRPr="006254C9">
        <w:rPr>
          <w:rFonts w:eastAsia="Calibri"/>
          <w:color w:val="1F3864" w:themeColor="accent1" w:themeShade="80"/>
          <w:vertAlign w:val="superscript"/>
        </w:rPr>
        <w:t xml:space="preserve"> </w:t>
      </w:r>
      <w:r w:rsidRPr="006254C9">
        <w:rPr>
          <w:rStyle w:val="Znakapoznpodarou"/>
          <w:color w:val="1F3864" w:themeColor="accent1" w:themeShade="80"/>
          <w:sz w:val="20"/>
          <w:szCs w:val="20"/>
        </w:rPr>
        <w:footnoteReference w:id="27"/>
      </w:r>
    </w:p>
    <w:p w14:paraId="5F30A795" w14:textId="77777777" w:rsidR="007E750A" w:rsidRPr="00FC3B7C" w:rsidRDefault="007E750A" w:rsidP="007E750A">
      <w:pPr>
        <w:spacing w:line="390" w:lineRule="auto"/>
        <w:ind w:left="4"/>
        <w:rPr>
          <w:sz w:val="20"/>
          <w:szCs w:val="20"/>
        </w:rPr>
      </w:pPr>
      <w:r w:rsidRPr="00FC3B7C">
        <w:rPr>
          <w:rFonts w:eastAsia="Times New Roman"/>
          <w:sz w:val="23"/>
          <w:szCs w:val="23"/>
        </w:rPr>
        <w:t>Zájmová strana je skupina, která se snaží vytěžit maximum z určité HP ve svůj vlastní prospěch. Zisk jednotlivce je v zájmové skupině mnohem vyšší než ztráta jednotlivců, kteří v zájmové skupině nejsou – ZS proto mají silnou motivaci ovlivňovat danou hospodářskou politiku, aby pro ně byla výhodná. Rozlišujeme politické strany (usilují o získaní politické moci a</w:t>
      </w:r>
      <w:bookmarkStart w:id="90" w:name="page87"/>
      <w:bookmarkEnd w:id="90"/>
      <w:r>
        <w:rPr>
          <w:sz w:val="20"/>
          <w:szCs w:val="20"/>
        </w:rPr>
        <w:t xml:space="preserve"> </w:t>
      </w:r>
      <w:r w:rsidRPr="00FC3B7C">
        <w:rPr>
          <w:rFonts w:eastAsia="Times New Roman"/>
          <w:szCs w:val="24"/>
        </w:rPr>
        <w:t xml:space="preserve">odpovědnosti) </w:t>
      </w:r>
      <w:r>
        <w:rPr>
          <w:rFonts w:eastAsia="Times New Roman"/>
          <w:szCs w:val="24"/>
        </w:rPr>
        <w:br/>
      </w:r>
      <w:r w:rsidRPr="00FC3B7C">
        <w:rPr>
          <w:rFonts w:eastAsia="Times New Roman"/>
          <w:szCs w:val="24"/>
        </w:rPr>
        <w:t>a zájmové skupiny (snaží se moc ovlivňovat, ale brání se převzetí příslušné politické odpovědnosti).</w:t>
      </w:r>
    </w:p>
    <w:p w14:paraId="6899E58E" w14:textId="77777777" w:rsidR="007E750A" w:rsidRPr="00FC3B7C" w:rsidRDefault="007E750A" w:rsidP="007E750A">
      <w:pPr>
        <w:spacing w:line="358" w:lineRule="auto"/>
        <w:ind w:left="4"/>
        <w:rPr>
          <w:sz w:val="20"/>
          <w:szCs w:val="20"/>
        </w:rPr>
      </w:pPr>
      <w:r w:rsidRPr="00FC3B7C">
        <w:rPr>
          <w:rFonts w:eastAsia="Times New Roman"/>
          <w:szCs w:val="24"/>
        </w:rPr>
        <w:t>Velké zájmové skupiny jsou méně efektivní než malé zájmové skupiny (velké skupiny zpomalují hospodářský růst, zvyšují složitost regulace, …).</w:t>
      </w:r>
    </w:p>
    <w:p w14:paraId="73085E09" w14:textId="77777777" w:rsidR="007E750A" w:rsidRPr="00FC3B7C" w:rsidRDefault="007E750A" w:rsidP="007E750A">
      <w:pPr>
        <w:spacing w:line="2" w:lineRule="exact"/>
        <w:rPr>
          <w:sz w:val="20"/>
          <w:szCs w:val="20"/>
        </w:rPr>
      </w:pPr>
    </w:p>
    <w:p w14:paraId="230C7D3A" w14:textId="77777777" w:rsidR="007E750A" w:rsidRPr="00FC3B7C" w:rsidRDefault="007E750A" w:rsidP="007E750A">
      <w:pPr>
        <w:spacing w:line="334" w:lineRule="auto"/>
        <w:ind w:left="4"/>
        <w:rPr>
          <w:sz w:val="20"/>
          <w:szCs w:val="20"/>
        </w:rPr>
      </w:pPr>
      <w:r w:rsidRPr="00FC3B7C">
        <w:rPr>
          <w:rFonts w:eastAsia="Times New Roman"/>
          <w:szCs w:val="24"/>
        </w:rPr>
        <w:t xml:space="preserve">Zájmové skupiny se snaží dobýt rentu, tzv. rent-seeking. Renta je určitá výhoda, která pro ně plyne. U veřejnosti naopak ve vztahu k ZS převládá racionální ignorace. ZS se také potýkají </w:t>
      </w:r>
      <w:r>
        <w:rPr>
          <w:rFonts w:eastAsia="Times New Roman"/>
          <w:szCs w:val="24"/>
        </w:rPr>
        <w:br/>
      </w:r>
      <w:r w:rsidRPr="00FC3B7C">
        <w:rPr>
          <w:rFonts w:eastAsia="Times New Roman"/>
          <w:szCs w:val="24"/>
        </w:rPr>
        <w:t xml:space="preserve">s problémem černého pasažéra (tzv. freeriding), kdy členové mají možnost se podílet </w:t>
      </w:r>
      <w:r>
        <w:rPr>
          <w:rFonts w:eastAsia="Times New Roman"/>
          <w:szCs w:val="24"/>
        </w:rPr>
        <w:br/>
      </w:r>
      <w:r w:rsidRPr="00FC3B7C">
        <w:rPr>
          <w:rFonts w:eastAsia="Times New Roman"/>
          <w:szCs w:val="24"/>
        </w:rPr>
        <w:t>na výhodách skupiny bez nutnosti vynakládat vlastní náklady.</w:t>
      </w:r>
      <w:r w:rsidRPr="00FC3B7C">
        <w:rPr>
          <w:rFonts w:eastAsia="Times New Roman"/>
          <w:sz w:val="31"/>
          <w:szCs w:val="31"/>
          <w:vertAlign w:val="superscript"/>
        </w:rPr>
        <w:t>31</w:t>
      </w:r>
      <w:r>
        <w:rPr>
          <w:rStyle w:val="Znakapoznpodarou"/>
          <w:sz w:val="20"/>
          <w:szCs w:val="20"/>
        </w:rPr>
        <w:footnoteReference w:id="28"/>
      </w:r>
    </w:p>
    <w:p w14:paraId="312CDA96" w14:textId="77777777" w:rsidR="007E750A" w:rsidRPr="00FC3B7C" w:rsidRDefault="007E750A" w:rsidP="007E750A">
      <w:pPr>
        <w:spacing w:line="2" w:lineRule="exact"/>
        <w:rPr>
          <w:sz w:val="20"/>
          <w:szCs w:val="20"/>
        </w:rPr>
      </w:pPr>
    </w:p>
    <w:p w14:paraId="20CA6F08" w14:textId="77777777" w:rsidR="007E750A" w:rsidRPr="00FC3B7C" w:rsidRDefault="007E750A" w:rsidP="007E750A">
      <w:pPr>
        <w:ind w:left="4"/>
        <w:rPr>
          <w:sz w:val="20"/>
          <w:szCs w:val="20"/>
        </w:rPr>
      </w:pPr>
      <w:r w:rsidRPr="00FC3B7C">
        <w:rPr>
          <w:rFonts w:eastAsia="Times New Roman"/>
          <w:b/>
          <w:bCs/>
          <w:szCs w:val="24"/>
        </w:rPr>
        <w:lastRenderedPageBreak/>
        <w:t>Členění:</w:t>
      </w:r>
    </w:p>
    <w:p w14:paraId="111244C6" w14:textId="77777777" w:rsidR="007E750A" w:rsidRPr="00FC3B7C" w:rsidRDefault="007E750A" w:rsidP="007E750A">
      <w:pPr>
        <w:numPr>
          <w:ilvl w:val="0"/>
          <w:numId w:val="68"/>
        </w:numPr>
        <w:tabs>
          <w:tab w:val="left" w:pos="724"/>
        </w:tabs>
        <w:ind w:left="724" w:hanging="364"/>
        <w:rPr>
          <w:rFonts w:eastAsia="Times New Roman"/>
          <w:szCs w:val="24"/>
        </w:rPr>
      </w:pPr>
      <w:r w:rsidRPr="00FC3B7C">
        <w:rPr>
          <w:rFonts w:eastAsia="Times New Roman"/>
          <w:b/>
          <w:bCs/>
          <w:szCs w:val="24"/>
        </w:rPr>
        <w:t>podle organizace:</w:t>
      </w:r>
    </w:p>
    <w:p w14:paraId="04E5229F" w14:textId="77777777" w:rsidR="007E750A" w:rsidRPr="00FC3B7C" w:rsidRDefault="007E750A" w:rsidP="007E750A">
      <w:pPr>
        <w:numPr>
          <w:ilvl w:val="1"/>
          <w:numId w:val="68"/>
        </w:numPr>
        <w:tabs>
          <w:tab w:val="left" w:pos="1144"/>
        </w:tabs>
        <w:ind w:left="1144" w:hanging="370"/>
        <w:rPr>
          <w:rFonts w:eastAsia="Arial"/>
          <w:szCs w:val="24"/>
        </w:rPr>
      </w:pPr>
      <w:r w:rsidRPr="00FC3B7C">
        <w:rPr>
          <w:rFonts w:eastAsia="Times New Roman"/>
          <w:szCs w:val="24"/>
        </w:rPr>
        <w:t>organizované – je zde patrná organizační struktura, např. odbory,</w:t>
      </w:r>
      <w:r w:rsidRPr="00FC3B7C">
        <w:rPr>
          <w:rFonts w:eastAsia="Calibri"/>
          <w:sz w:val="27"/>
          <w:szCs w:val="27"/>
          <w:vertAlign w:val="superscript"/>
        </w:rPr>
        <w:t>32</w:t>
      </w:r>
      <w:r>
        <w:rPr>
          <w:rStyle w:val="Znakapoznpodarou"/>
          <w:rFonts w:eastAsia="Arial"/>
          <w:szCs w:val="24"/>
        </w:rPr>
        <w:footnoteReference w:id="29"/>
      </w:r>
    </w:p>
    <w:p w14:paraId="656DD433" w14:textId="77777777" w:rsidR="007E750A" w:rsidRPr="00FC3B7C" w:rsidRDefault="007E750A" w:rsidP="007E750A">
      <w:pPr>
        <w:spacing w:line="105" w:lineRule="exact"/>
        <w:rPr>
          <w:rFonts w:eastAsia="Arial"/>
          <w:szCs w:val="24"/>
        </w:rPr>
      </w:pPr>
    </w:p>
    <w:p w14:paraId="41728956" w14:textId="77777777" w:rsidR="007E750A" w:rsidRPr="00FC3B7C" w:rsidRDefault="007E750A" w:rsidP="007E750A">
      <w:pPr>
        <w:numPr>
          <w:ilvl w:val="1"/>
          <w:numId w:val="68"/>
        </w:numPr>
        <w:tabs>
          <w:tab w:val="left" w:pos="1144"/>
        </w:tabs>
        <w:spacing w:line="389" w:lineRule="auto"/>
        <w:ind w:left="1144" w:hanging="370"/>
        <w:rPr>
          <w:rFonts w:eastAsia="Arial"/>
          <w:szCs w:val="24"/>
        </w:rPr>
      </w:pPr>
      <w:r w:rsidRPr="00FC3B7C">
        <w:rPr>
          <w:rFonts w:eastAsia="Times New Roman"/>
          <w:szCs w:val="24"/>
        </w:rPr>
        <w:t>neorganizované – uspořádání nemusí být patrné, ale jedince v této skupině mají nějaký společný znak, např. důchodci;</w:t>
      </w:r>
    </w:p>
    <w:p w14:paraId="620B75CB" w14:textId="77777777" w:rsidR="007E750A" w:rsidRPr="00FC3B7C" w:rsidRDefault="007E750A" w:rsidP="007E750A">
      <w:pPr>
        <w:spacing w:line="129" w:lineRule="exact"/>
        <w:rPr>
          <w:rFonts w:eastAsia="Arial"/>
          <w:szCs w:val="24"/>
        </w:rPr>
      </w:pPr>
    </w:p>
    <w:p w14:paraId="6CB2C682" w14:textId="77777777" w:rsidR="007E750A" w:rsidRPr="00FC3B7C" w:rsidRDefault="007E750A" w:rsidP="007E750A">
      <w:pPr>
        <w:numPr>
          <w:ilvl w:val="0"/>
          <w:numId w:val="68"/>
        </w:numPr>
        <w:tabs>
          <w:tab w:val="left" w:pos="724"/>
        </w:tabs>
        <w:ind w:left="724" w:hanging="367"/>
        <w:rPr>
          <w:rFonts w:eastAsia="Times New Roman"/>
          <w:szCs w:val="24"/>
        </w:rPr>
      </w:pPr>
      <w:r w:rsidRPr="00FC3B7C">
        <w:rPr>
          <w:rFonts w:eastAsia="Times New Roman"/>
          <w:b/>
          <w:bCs/>
          <w:szCs w:val="24"/>
        </w:rPr>
        <w:t>podle odvětví:</w:t>
      </w:r>
    </w:p>
    <w:p w14:paraId="21765A4C" w14:textId="77777777" w:rsidR="007E750A" w:rsidRPr="00FC3B7C" w:rsidRDefault="007E750A" w:rsidP="007E750A">
      <w:pPr>
        <w:numPr>
          <w:ilvl w:val="1"/>
          <w:numId w:val="68"/>
        </w:numPr>
        <w:tabs>
          <w:tab w:val="left" w:pos="1144"/>
        </w:tabs>
        <w:spacing w:line="363" w:lineRule="auto"/>
        <w:ind w:left="1144" w:hanging="370"/>
        <w:rPr>
          <w:rFonts w:eastAsia="Arial"/>
          <w:szCs w:val="24"/>
        </w:rPr>
      </w:pPr>
      <w:r w:rsidRPr="00FC3B7C">
        <w:rPr>
          <w:rFonts w:eastAsia="Times New Roman"/>
          <w:szCs w:val="24"/>
        </w:rPr>
        <w:t>zaměstnavatelské zájmové organizace – chtějí maximalizovat svůj zisk a hlavně minimalizovat požadavky, které jsou na ně hlavně ze strany sátu vyvíjeny, např. Konfederace zaměstnavatelských a podnikatelských svazů ČR</w:t>
      </w:r>
    </w:p>
    <w:p w14:paraId="5472CCD5" w14:textId="77777777" w:rsidR="007E750A" w:rsidRPr="00FC3B7C" w:rsidRDefault="007E750A" w:rsidP="007E750A">
      <w:pPr>
        <w:spacing w:line="3" w:lineRule="exact"/>
        <w:rPr>
          <w:rFonts w:eastAsia="Arial"/>
          <w:szCs w:val="24"/>
        </w:rPr>
      </w:pPr>
    </w:p>
    <w:p w14:paraId="5328DC32" w14:textId="77777777" w:rsidR="007E750A" w:rsidRPr="00FC3B7C" w:rsidRDefault="007E750A" w:rsidP="007E750A">
      <w:pPr>
        <w:numPr>
          <w:ilvl w:val="1"/>
          <w:numId w:val="68"/>
        </w:numPr>
        <w:tabs>
          <w:tab w:val="left" w:pos="1144"/>
        </w:tabs>
        <w:spacing w:line="366" w:lineRule="auto"/>
        <w:ind w:left="1144" w:hanging="370"/>
        <w:rPr>
          <w:rFonts w:eastAsia="Arial"/>
          <w:szCs w:val="24"/>
        </w:rPr>
      </w:pPr>
      <w:r w:rsidRPr="00FC3B7C">
        <w:rPr>
          <w:rFonts w:eastAsia="Times New Roman"/>
          <w:szCs w:val="24"/>
        </w:rPr>
        <w:t>zaměstnanecké zájmové organizace – vyjednávají pracovní podmínky, výši mzdy, atp., např. Českomoravská konfederace odborových svazů,</w:t>
      </w:r>
    </w:p>
    <w:p w14:paraId="61945BAE" w14:textId="77777777" w:rsidR="007E750A" w:rsidRPr="00FC3B7C" w:rsidRDefault="007E750A" w:rsidP="007E750A">
      <w:pPr>
        <w:spacing w:line="1" w:lineRule="exact"/>
        <w:rPr>
          <w:rFonts w:eastAsia="Arial"/>
          <w:szCs w:val="24"/>
        </w:rPr>
      </w:pPr>
    </w:p>
    <w:p w14:paraId="138E032C" w14:textId="77777777" w:rsidR="007E750A" w:rsidRPr="008F2BBE" w:rsidRDefault="007E750A" w:rsidP="007E750A">
      <w:pPr>
        <w:numPr>
          <w:ilvl w:val="1"/>
          <w:numId w:val="68"/>
        </w:numPr>
        <w:tabs>
          <w:tab w:val="left" w:pos="1144"/>
        </w:tabs>
        <w:spacing w:line="1" w:lineRule="exact"/>
        <w:ind w:left="1144" w:hanging="370"/>
        <w:rPr>
          <w:rFonts w:eastAsia="Arial"/>
          <w:szCs w:val="24"/>
        </w:rPr>
      </w:pPr>
      <w:r w:rsidRPr="008F2BBE">
        <w:rPr>
          <w:rFonts w:eastAsia="Times New Roman"/>
          <w:szCs w:val="24"/>
        </w:rPr>
        <w:t>profesní organizace – společný pracovní obor, např. Česká stomatologická komora, Česká advokátní komora,</w:t>
      </w:r>
    </w:p>
    <w:p w14:paraId="4A1C641C" w14:textId="77777777" w:rsidR="007E750A" w:rsidRPr="008F2BBE" w:rsidRDefault="007E750A" w:rsidP="007E750A">
      <w:pPr>
        <w:numPr>
          <w:ilvl w:val="1"/>
          <w:numId w:val="68"/>
        </w:numPr>
        <w:tabs>
          <w:tab w:val="left" w:pos="1144"/>
        </w:tabs>
        <w:spacing w:line="1" w:lineRule="exact"/>
        <w:ind w:left="1144" w:hanging="370"/>
        <w:rPr>
          <w:rFonts w:eastAsia="Arial"/>
          <w:szCs w:val="24"/>
        </w:rPr>
      </w:pPr>
    </w:p>
    <w:p w14:paraId="3E3957B2" w14:textId="77777777" w:rsidR="007E750A" w:rsidRPr="00FC3B7C" w:rsidRDefault="007E750A" w:rsidP="007E750A">
      <w:pPr>
        <w:numPr>
          <w:ilvl w:val="1"/>
          <w:numId w:val="68"/>
        </w:numPr>
        <w:tabs>
          <w:tab w:val="left" w:pos="1144"/>
        </w:tabs>
        <w:spacing w:line="368" w:lineRule="auto"/>
        <w:ind w:left="1144" w:hanging="370"/>
        <w:rPr>
          <w:rFonts w:eastAsia="Arial"/>
          <w:szCs w:val="24"/>
        </w:rPr>
      </w:pPr>
      <w:r w:rsidRPr="00FC3B7C">
        <w:rPr>
          <w:rFonts w:eastAsia="Times New Roman"/>
          <w:szCs w:val="24"/>
        </w:rPr>
        <w:t>sociální zájmové skupiny – sdružují se za účelem ochrany potenciálně ohrožené skupiny obyvatel, např. ADRA,</w:t>
      </w:r>
    </w:p>
    <w:p w14:paraId="38E6131E" w14:textId="77777777" w:rsidR="007E750A" w:rsidRPr="00FC3B7C" w:rsidRDefault="007E750A" w:rsidP="007E750A">
      <w:pPr>
        <w:spacing w:line="1" w:lineRule="exact"/>
        <w:rPr>
          <w:rFonts w:eastAsia="Arial"/>
          <w:szCs w:val="24"/>
        </w:rPr>
      </w:pPr>
    </w:p>
    <w:p w14:paraId="6D783C5D" w14:textId="77777777" w:rsidR="007E750A" w:rsidRPr="00FC3B7C" w:rsidRDefault="007E750A" w:rsidP="007E750A">
      <w:pPr>
        <w:numPr>
          <w:ilvl w:val="1"/>
          <w:numId w:val="68"/>
        </w:numPr>
        <w:tabs>
          <w:tab w:val="left" w:pos="1144"/>
        </w:tabs>
        <w:ind w:left="1144" w:hanging="370"/>
        <w:rPr>
          <w:rFonts w:eastAsia="Arial"/>
          <w:szCs w:val="24"/>
        </w:rPr>
      </w:pPr>
      <w:r w:rsidRPr="00FC3B7C">
        <w:rPr>
          <w:rFonts w:eastAsia="Times New Roman"/>
          <w:szCs w:val="24"/>
        </w:rPr>
        <w:t>náboženské zájmové skupiny – společné přesvědčení a ideologie, církve,</w:t>
      </w:r>
    </w:p>
    <w:p w14:paraId="38B0AD27" w14:textId="77777777" w:rsidR="007E750A" w:rsidRPr="00FC3B7C" w:rsidRDefault="007E750A" w:rsidP="007E750A">
      <w:pPr>
        <w:spacing w:line="150" w:lineRule="exact"/>
        <w:rPr>
          <w:rFonts w:eastAsia="Arial"/>
          <w:szCs w:val="24"/>
        </w:rPr>
      </w:pPr>
    </w:p>
    <w:p w14:paraId="6CEF8443" w14:textId="77777777" w:rsidR="007E750A" w:rsidRPr="00FC3B7C" w:rsidRDefault="007E750A" w:rsidP="007E750A">
      <w:pPr>
        <w:numPr>
          <w:ilvl w:val="1"/>
          <w:numId w:val="68"/>
        </w:numPr>
        <w:tabs>
          <w:tab w:val="left" w:pos="1144"/>
        </w:tabs>
        <w:ind w:left="1144" w:hanging="370"/>
        <w:rPr>
          <w:rFonts w:eastAsia="Arial"/>
          <w:szCs w:val="24"/>
        </w:rPr>
      </w:pPr>
      <w:r w:rsidRPr="00FC3B7C">
        <w:rPr>
          <w:rFonts w:eastAsia="Times New Roman"/>
          <w:szCs w:val="24"/>
        </w:rPr>
        <w:t>organizace se společensko-politic. silou – např. Sdružení ochrany spotřebitelů ČR,</w:t>
      </w:r>
    </w:p>
    <w:p w14:paraId="3BB1E90A" w14:textId="77777777" w:rsidR="007E750A" w:rsidRPr="00FC3B7C" w:rsidRDefault="007E750A" w:rsidP="007E750A">
      <w:pPr>
        <w:numPr>
          <w:ilvl w:val="1"/>
          <w:numId w:val="68"/>
        </w:numPr>
        <w:tabs>
          <w:tab w:val="left" w:pos="1144"/>
        </w:tabs>
        <w:spacing w:line="389" w:lineRule="auto"/>
        <w:ind w:left="1144" w:hanging="370"/>
        <w:rPr>
          <w:rFonts w:eastAsia="Arial"/>
          <w:szCs w:val="24"/>
        </w:rPr>
      </w:pPr>
      <w:r w:rsidRPr="00FC3B7C">
        <w:rPr>
          <w:rFonts w:eastAsia="Times New Roman"/>
          <w:szCs w:val="24"/>
        </w:rPr>
        <w:t>svazy poškozených – sdružující osoby, na nichž bylo někdy pácháno protiprávní jednání, např. Konfederace politických vězňů;</w:t>
      </w:r>
    </w:p>
    <w:p w14:paraId="3345F149" w14:textId="77777777" w:rsidR="007E750A" w:rsidRPr="00FC3B7C" w:rsidRDefault="007E750A" w:rsidP="007E750A">
      <w:pPr>
        <w:numPr>
          <w:ilvl w:val="0"/>
          <w:numId w:val="68"/>
        </w:numPr>
        <w:tabs>
          <w:tab w:val="left" w:pos="724"/>
        </w:tabs>
        <w:ind w:left="724" w:hanging="364"/>
        <w:rPr>
          <w:rFonts w:eastAsia="Times New Roman"/>
          <w:szCs w:val="24"/>
        </w:rPr>
      </w:pPr>
      <w:r w:rsidRPr="00FC3B7C">
        <w:rPr>
          <w:rFonts w:eastAsia="Times New Roman"/>
          <w:b/>
          <w:bCs/>
          <w:szCs w:val="24"/>
        </w:rPr>
        <w:t>podle povahy:</w:t>
      </w:r>
    </w:p>
    <w:p w14:paraId="1D465065" w14:textId="77777777" w:rsidR="007E750A" w:rsidRPr="008F2BBE" w:rsidRDefault="007E750A" w:rsidP="007E750A">
      <w:pPr>
        <w:numPr>
          <w:ilvl w:val="1"/>
          <w:numId w:val="68"/>
        </w:numPr>
        <w:tabs>
          <w:tab w:val="left" w:pos="1144"/>
        </w:tabs>
        <w:ind w:left="1144" w:hanging="370"/>
        <w:rPr>
          <w:rFonts w:eastAsia="Arial"/>
          <w:szCs w:val="24"/>
        </w:rPr>
      </w:pPr>
      <w:r w:rsidRPr="00FC3B7C">
        <w:rPr>
          <w:rFonts w:eastAsia="Times New Roman"/>
          <w:szCs w:val="24"/>
        </w:rPr>
        <w:t>skupiny soukromoprávní – subjekty soukromé,</w:t>
      </w:r>
    </w:p>
    <w:p w14:paraId="2D86E21F" w14:textId="77777777" w:rsidR="007E750A" w:rsidRPr="00FC3B7C" w:rsidRDefault="007E750A" w:rsidP="007E750A">
      <w:pPr>
        <w:numPr>
          <w:ilvl w:val="1"/>
          <w:numId w:val="69"/>
        </w:numPr>
        <w:tabs>
          <w:tab w:val="left" w:pos="1120"/>
        </w:tabs>
        <w:ind w:left="1120" w:hanging="370"/>
        <w:rPr>
          <w:rFonts w:eastAsia="Arial"/>
          <w:szCs w:val="24"/>
        </w:rPr>
      </w:pPr>
      <w:bookmarkStart w:id="91" w:name="page88"/>
      <w:bookmarkEnd w:id="91"/>
      <w:r w:rsidRPr="00FC3B7C">
        <w:rPr>
          <w:rFonts w:eastAsia="Times New Roman"/>
          <w:szCs w:val="24"/>
        </w:rPr>
        <w:t>skupiny veřejnoprávní – subjekty státní moci;</w:t>
      </w:r>
    </w:p>
    <w:p w14:paraId="2A9D9847" w14:textId="77777777" w:rsidR="007E750A" w:rsidRPr="00FC3B7C" w:rsidRDefault="007E750A" w:rsidP="007E750A">
      <w:pPr>
        <w:numPr>
          <w:ilvl w:val="0"/>
          <w:numId w:val="69"/>
        </w:numPr>
        <w:tabs>
          <w:tab w:val="left" w:pos="700"/>
        </w:tabs>
        <w:ind w:left="700" w:hanging="364"/>
        <w:rPr>
          <w:rFonts w:eastAsia="Times New Roman"/>
          <w:szCs w:val="24"/>
        </w:rPr>
      </w:pPr>
      <w:r w:rsidRPr="00FC3B7C">
        <w:rPr>
          <w:rFonts w:eastAsia="Times New Roman"/>
          <w:b/>
          <w:bCs/>
          <w:szCs w:val="24"/>
        </w:rPr>
        <w:t>podle struktury:</w:t>
      </w:r>
    </w:p>
    <w:p w14:paraId="7AE7AD89" w14:textId="77777777" w:rsidR="007E750A" w:rsidRPr="00FC3B7C" w:rsidRDefault="007E750A" w:rsidP="007E750A">
      <w:pPr>
        <w:numPr>
          <w:ilvl w:val="1"/>
          <w:numId w:val="69"/>
        </w:numPr>
        <w:tabs>
          <w:tab w:val="left" w:pos="1120"/>
        </w:tabs>
        <w:ind w:left="1120" w:hanging="370"/>
        <w:rPr>
          <w:rFonts w:eastAsia="Arial"/>
          <w:sz w:val="23"/>
          <w:szCs w:val="23"/>
        </w:rPr>
      </w:pPr>
      <w:r w:rsidRPr="00FC3B7C">
        <w:rPr>
          <w:rFonts w:eastAsia="Times New Roman"/>
          <w:sz w:val="23"/>
          <w:szCs w:val="23"/>
        </w:rPr>
        <w:t>skupiny masové – snaha o co největší počet stoupenců, např. kluby fanoušků,</w:t>
      </w:r>
    </w:p>
    <w:p w14:paraId="24F9677E" w14:textId="77777777" w:rsidR="007E750A" w:rsidRPr="00FC3B7C" w:rsidRDefault="007E750A" w:rsidP="007E750A">
      <w:pPr>
        <w:numPr>
          <w:ilvl w:val="1"/>
          <w:numId w:val="69"/>
        </w:numPr>
        <w:tabs>
          <w:tab w:val="left" w:pos="1120"/>
        </w:tabs>
        <w:ind w:left="1120" w:hanging="370"/>
        <w:rPr>
          <w:rFonts w:eastAsia="Arial"/>
          <w:szCs w:val="24"/>
        </w:rPr>
      </w:pPr>
      <w:r w:rsidRPr="00FC3B7C">
        <w:rPr>
          <w:rFonts w:eastAsia="Times New Roman"/>
          <w:szCs w:val="24"/>
        </w:rPr>
        <w:t>skupiny kádrové – vstup do skupiny je omezen, např. profesní organizace.</w:t>
      </w:r>
    </w:p>
    <w:p w14:paraId="0F041708" w14:textId="77777777" w:rsidR="007E750A" w:rsidRPr="00FC3B7C" w:rsidRDefault="007E750A" w:rsidP="007E750A">
      <w:pPr>
        <w:ind w:left="104"/>
        <w:rPr>
          <w:sz w:val="20"/>
          <w:szCs w:val="20"/>
        </w:rPr>
      </w:pPr>
      <w:bookmarkStart w:id="92" w:name="page89"/>
      <w:bookmarkEnd w:id="92"/>
      <w:r w:rsidRPr="00FC3B7C">
        <w:rPr>
          <w:rFonts w:eastAsia="Times New Roman"/>
          <w:b/>
          <w:bCs/>
          <w:szCs w:val="24"/>
        </w:rPr>
        <w:t>Formy prosazování svého zájmu:</w:t>
      </w:r>
    </w:p>
    <w:p w14:paraId="2AF4419C" w14:textId="77777777" w:rsidR="007E750A" w:rsidRPr="00FC3B7C" w:rsidRDefault="007E750A" w:rsidP="007E750A">
      <w:pPr>
        <w:spacing w:line="143" w:lineRule="exact"/>
        <w:rPr>
          <w:sz w:val="20"/>
          <w:szCs w:val="20"/>
        </w:rPr>
      </w:pPr>
    </w:p>
    <w:p w14:paraId="7785BDE2" w14:textId="77777777" w:rsidR="007E750A" w:rsidRPr="00FC3B7C" w:rsidRDefault="007E750A" w:rsidP="007E750A">
      <w:pPr>
        <w:numPr>
          <w:ilvl w:val="0"/>
          <w:numId w:val="70"/>
        </w:numPr>
        <w:tabs>
          <w:tab w:val="left" w:pos="724"/>
        </w:tabs>
        <w:ind w:left="724" w:hanging="364"/>
        <w:rPr>
          <w:rFonts w:eastAsia="Times New Roman"/>
          <w:szCs w:val="24"/>
        </w:rPr>
      </w:pPr>
      <w:r w:rsidRPr="00FC3B7C">
        <w:rPr>
          <w:rFonts w:eastAsia="Times New Roman"/>
          <w:szCs w:val="24"/>
        </w:rPr>
        <w:t>nátlak a jeho formy – petice, blokády, stávky, případně až terorismus,</w:t>
      </w:r>
    </w:p>
    <w:p w14:paraId="60D27A7D" w14:textId="77777777" w:rsidR="007E750A" w:rsidRPr="00FC3B7C" w:rsidRDefault="007E750A" w:rsidP="007E750A">
      <w:pPr>
        <w:spacing w:line="141" w:lineRule="exact"/>
        <w:rPr>
          <w:rFonts w:eastAsia="Times New Roman"/>
          <w:szCs w:val="24"/>
        </w:rPr>
      </w:pPr>
    </w:p>
    <w:p w14:paraId="05B20320" w14:textId="77777777" w:rsidR="007E750A" w:rsidRPr="00FC3B7C" w:rsidRDefault="007E750A" w:rsidP="007E750A">
      <w:pPr>
        <w:numPr>
          <w:ilvl w:val="0"/>
          <w:numId w:val="70"/>
        </w:numPr>
        <w:tabs>
          <w:tab w:val="left" w:pos="724"/>
        </w:tabs>
        <w:ind w:left="724" w:hanging="364"/>
        <w:rPr>
          <w:rFonts w:eastAsia="Times New Roman"/>
          <w:szCs w:val="24"/>
        </w:rPr>
      </w:pPr>
      <w:r w:rsidRPr="00FC3B7C">
        <w:rPr>
          <w:rFonts w:eastAsia="Times New Roman"/>
          <w:szCs w:val="24"/>
        </w:rPr>
        <w:t>lobbing – dělení podle metod, které využívají:</w:t>
      </w:r>
    </w:p>
    <w:p w14:paraId="192EA3D1" w14:textId="77777777" w:rsidR="007E750A" w:rsidRPr="00FC3B7C" w:rsidRDefault="007E750A" w:rsidP="007E750A">
      <w:pPr>
        <w:numPr>
          <w:ilvl w:val="1"/>
          <w:numId w:val="70"/>
        </w:numPr>
        <w:tabs>
          <w:tab w:val="left" w:pos="1144"/>
        </w:tabs>
        <w:ind w:left="1144" w:hanging="370"/>
        <w:rPr>
          <w:rFonts w:eastAsia="Arial"/>
          <w:szCs w:val="24"/>
        </w:rPr>
      </w:pPr>
      <w:r w:rsidRPr="00FC3B7C">
        <w:rPr>
          <w:rFonts w:eastAsia="Times New Roman"/>
          <w:szCs w:val="24"/>
        </w:rPr>
        <w:t>přímý – osobní kontakt se stranou našeho zájmu</w:t>
      </w:r>
      <w:r w:rsidRPr="00FC3B7C">
        <w:rPr>
          <w:rFonts w:eastAsia="Calibri"/>
          <w:sz w:val="27"/>
          <w:szCs w:val="27"/>
          <w:vertAlign w:val="superscript"/>
        </w:rPr>
        <w:t>33</w:t>
      </w:r>
      <w:r>
        <w:rPr>
          <w:rStyle w:val="Znakapoznpodarou"/>
          <w:rFonts w:eastAsia="Arial"/>
          <w:szCs w:val="24"/>
        </w:rPr>
        <w:footnoteReference w:id="30"/>
      </w:r>
    </w:p>
    <w:p w14:paraId="2D4F3D74" w14:textId="77777777" w:rsidR="007E750A" w:rsidRPr="00FC3B7C" w:rsidRDefault="007E750A" w:rsidP="007E750A">
      <w:pPr>
        <w:numPr>
          <w:ilvl w:val="1"/>
          <w:numId w:val="70"/>
        </w:numPr>
        <w:tabs>
          <w:tab w:val="left" w:pos="1144"/>
        </w:tabs>
        <w:spacing w:line="389" w:lineRule="auto"/>
        <w:ind w:left="1144" w:hanging="370"/>
        <w:rPr>
          <w:rFonts w:eastAsia="Arial"/>
          <w:szCs w:val="24"/>
        </w:rPr>
      </w:pPr>
      <w:r w:rsidRPr="00FC3B7C">
        <w:rPr>
          <w:rFonts w:eastAsia="Times New Roman"/>
          <w:szCs w:val="24"/>
        </w:rPr>
        <w:lastRenderedPageBreak/>
        <w:t>nepřímý – kontakt prováděn přes třetí stranu, druh informační propagace, více viditelný na veřejnosti.</w:t>
      </w:r>
    </w:p>
    <w:p w14:paraId="53F54B47" w14:textId="77777777" w:rsidR="007E750A" w:rsidRPr="00FC3B7C" w:rsidRDefault="007E750A" w:rsidP="007E750A">
      <w:pPr>
        <w:spacing w:line="130" w:lineRule="exact"/>
        <w:rPr>
          <w:sz w:val="20"/>
          <w:szCs w:val="20"/>
        </w:rPr>
      </w:pPr>
    </w:p>
    <w:p w14:paraId="0455CF38" w14:textId="77777777" w:rsidR="007E750A" w:rsidRPr="00FC3B7C" w:rsidRDefault="007E750A" w:rsidP="007E750A">
      <w:pPr>
        <w:ind w:left="4"/>
        <w:rPr>
          <w:sz w:val="20"/>
          <w:szCs w:val="20"/>
        </w:rPr>
      </w:pPr>
      <w:r w:rsidRPr="00FC3B7C">
        <w:rPr>
          <w:rFonts w:eastAsia="Times New Roman"/>
          <w:b/>
          <w:bCs/>
          <w:szCs w:val="24"/>
        </w:rPr>
        <w:t>Mezinárodní, nadnárodní instituce</w:t>
      </w:r>
    </w:p>
    <w:p w14:paraId="6AFB4473" w14:textId="77777777" w:rsidR="007E750A" w:rsidRPr="00FC3B7C" w:rsidRDefault="007E750A" w:rsidP="007E750A">
      <w:pPr>
        <w:numPr>
          <w:ilvl w:val="0"/>
          <w:numId w:val="71"/>
        </w:numPr>
        <w:tabs>
          <w:tab w:val="left" w:pos="724"/>
        </w:tabs>
        <w:ind w:left="724" w:hanging="364"/>
        <w:rPr>
          <w:rFonts w:eastAsia="Arial"/>
          <w:szCs w:val="24"/>
        </w:rPr>
      </w:pPr>
      <w:r w:rsidRPr="00FC3B7C">
        <w:rPr>
          <w:rFonts w:eastAsia="Times New Roman"/>
          <w:szCs w:val="24"/>
        </w:rPr>
        <w:t>OSN</w:t>
      </w:r>
    </w:p>
    <w:p w14:paraId="447DD6F4" w14:textId="77777777" w:rsidR="007E750A" w:rsidRPr="00FC3B7C" w:rsidRDefault="007E750A" w:rsidP="007E750A">
      <w:pPr>
        <w:numPr>
          <w:ilvl w:val="0"/>
          <w:numId w:val="71"/>
        </w:numPr>
        <w:tabs>
          <w:tab w:val="left" w:pos="724"/>
        </w:tabs>
        <w:ind w:left="724" w:hanging="364"/>
        <w:rPr>
          <w:rFonts w:eastAsia="Arial"/>
          <w:szCs w:val="24"/>
        </w:rPr>
      </w:pPr>
      <w:r w:rsidRPr="00FC3B7C">
        <w:rPr>
          <w:rFonts w:eastAsia="Times New Roman"/>
          <w:szCs w:val="24"/>
        </w:rPr>
        <w:t>MMF + SSB (skupina světové banky)</w:t>
      </w:r>
    </w:p>
    <w:p w14:paraId="2AAC2D20" w14:textId="77777777" w:rsidR="007E750A" w:rsidRPr="00FC3B7C" w:rsidRDefault="007E750A" w:rsidP="007E750A">
      <w:pPr>
        <w:spacing w:line="141" w:lineRule="exact"/>
        <w:rPr>
          <w:sz w:val="20"/>
          <w:szCs w:val="20"/>
        </w:rPr>
      </w:pPr>
    </w:p>
    <w:p w14:paraId="2A4C0057" w14:textId="77777777" w:rsidR="007E750A" w:rsidRPr="00FC3B7C" w:rsidRDefault="007E750A" w:rsidP="007E750A">
      <w:pPr>
        <w:numPr>
          <w:ilvl w:val="0"/>
          <w:numId w:val="72"/>
        </w:numPr>
        <w:tabs>
          <w:tab w:val="left" w:pos="1444"/>
        </w:tabs>
        <w:spacing w:line="351" w:lineRule="auto"/>
        <w:ind w:left="1444" w:hanging="364"/>
        <w:rPr>
          <w:rFonts w:eastAsia="Courier New"/>
          <w:szCs w:val="24"/>
        </w:rPr>
      </w:pPr>
      <w:r w:rsidRPr="00FC3B7C">
        <w:rPr>
          <w:rFonts w:eastAsia="Times New Roman"/>
          <w:szCs w:val="24"/>
        </w:rPr>
        <w:t>*má dohlížet a spolupůsobit na systém pevných měnových kurzů (ten se rozpadl poč. 70. let)</w:t>
      </w:r>
    </w:p>
    <w:p w14:paraId="40B5C9AB" w14:textId="77777777" w:rsidR="007E750A" w:rsidRPr="00FC3B7C" w:rsidRDefault="007E750A" w:rsidP="007E750A">
      <w:pPr>
        <w:spacing w:line="3" w:lineRule="exact"/>
        <w:rPr>
          <w:sz w:val="20"/>
          <w:szCs w:val="20"/>
        </w:rPr>
      </w:pPr>
    </w:p>
    <w:p w14:paraId="19068A94" w14:textId="77777777" w:rsidR="007E750A" w:rsidRPr="00FC3B7C" w:rsidRDefault="007E750A" w:rsidP="007E750A">
      <w:pPr>
        <w:numPr>
          <w:ilvl w:val="0"/>
          <w:numId w:val="73"/>
        </w:numPr>
        <w:tabs>
          <w:tab w:val="left" w:pos="724"/>
        </w:tabs>
        <w:ind w:left="724" w:hanging="364"/>
        <w:rPr>
          <w:rFonts w:eastAsia="Arial"/>
          <w:szCs w:val="24"/>
        </w:rPr>
      </w:pPr>
      <w:r w:rsidRPr="00FC3B7C">
        <w:rPr>
          <w:rFonts w:eastAsia="Times New Roman"/>
          <w:szCs w:val="24"/>
        </w:rPr>
        <w:t>EU</w:t>
      </w:r>
    </w:p>
    <w:p w14:paraId="2AFF00FF" w14:textId="77777777" w:rsidR="007E750A" w:rsidRPr="00FC3B7C" w:rsidRDefault="007E750A" w:rsidP="007E750A">
      <w:pPr>
        <w:numPr>
          <w:ilvl w:val="0"/>
          <w:numId w:val="73"/>
        </w:numPr>
        <w:tabs>
          <w:tab w:val="left" w:pos="724"/>
        </w:tabs>
        <w:ind w:left="724" w:hanging="364"/>
        <w:rPr>
          <w:rFonts w:eastAsia="Arial"/>
          <w:szCs w:val="24"/>
        </w:rPr>
      </w:pPr>
      <w:r w:rsidRPr="00FC3B7C">
        <w:rPr>
          <w:rFonts w:eastAsia="Times New Roman"/>
          <w:szCs w:val="24"/>
        </w:rPr>
        <w:t>ratingové instituce - Moody’s, Standard &amp; Poors, Fitch</w:t>
      </w:r>
    </w:p>
    <w:p w14:paraId="13D5F714" w14:textId="77777777" w:rsidR="007E750A" w:rsidRPr="00FC3B7C" w:rsidRDefault="007E750A" w:rsidP="007E750A">
      <w:pPr>
        <w:numPr>
          <w:ilvl w:val="0"/>
          <w:numId w:val="74"/>
        </w:numPr>
        <w:tabs>
          <w:tab w:val="left" w:pos="1444"/>
        </w:tabs>
        <w:spacing w:line="346" w:lineRule="auto"/>
        <w:ind w:left="1444" w:hanging="364"/>
        <w:rPr>
          <w:rFonts w:eastAsia="Courier New"/>
          <w:szCs w:val="24"/>
        </w:rPr>
      </w:pPr>
      <w:r w:rsidRPr="00FC3B7C">
        <w:rPr>
          <w:rFonts w:eastAsia="Times New Roman"/>
          <w:szCs w:val="24"/>
        </w:rPr>
        <w:t>silně zasahovaly do slabších ekonomik, za to byly často kritizovány – mrhání peněz bez znalostí věci, často jen posilovaly role diktátorů</w:t>
      </w:r>
    </w:p>
    <w:p w14:paraId="127475D6" w14:textId="77777777" w:rsidR="007E750A" w:rsidRPr="00FC3B7C" w:rsidRDefault="007E750A" w:rsidP="007E750A">
      <w:pPr>
        <w:spacing w:line="6" w:lineRule="exact"/>
        <w:rPr>
          <w:sz w:val="20"/>
          <w:szCs w:val="20"/>
        </w:rPr>
      </w:pPr>
    </w:p>
    <w:p w14:paraId="18D955BB" w14:textId="77777777" w:rsidR="007E750A" w:rsidRDefault="007E750A" w:rsidP="007E750A">
      <w:pPr>
        <w:numPr>
          <w:ilvl w:val="1"/>
          <w:numId w:val="75"/>
        </w:numPr>
        <w:tabs>
          <w:tab w:val="left" w:pos="1444"/>
        </w:tabs>
        <w:spacing w:line="353" w:lineRule="auto"/>
        <w:ind w:left="1444" w:right="40" w:hanging="364"/>
        <w:rPr>
          <w:rFonts w:eastAsia="Times New Roman"/>
          <w:szCs w:val="24"/>
        </w:rPr>
      </w:pPr>
      <w:r w:rsidRPr="008F2BBE">
        <w:rPr>
          <w:rFonts w:eastAsia="Times New Roman"/>
          <w:szCs w:val="24"/>
        </w:rPr>
        <w:t xml:space="preserve">hodnocení ratingových organizací je pro určité země důležité – ovlivňuje míru úrokových sazeb, </w:t>
      </w:r>
    </w:p>
    <w:p w14:paraId="64BAA93E" w14:textId="6F3ADD8D" w:rsidR="007E750A" w:rsidRPr="008F2BBE" w:rsidRDefault="007E750A" w:rsidP="007E750A">
      <w:pPr>
        <w:numPr>
          <w:ilvl w:val="1"/>
          <w:numId w:val="75"/>
        </w:numPr>
        <w:tabs>
          <w:tab w:val="left" w:pos="1444"/>
        </w:tabs>
        <w:spacing w:line="353" w:lineRule="auto"/>
        <w:ind w:left="1444" w:right="40" w:hanging="364"/>
        <w:rPr>
          <w:rFonts w:eastAsia="Times New Roman"/>
          <w:szCs w:val="24"/>
        </w:rPr>
      </w:pPr>
      <w:r w:rsidRPr="008F2BBE">
        <w:rPr>
          <w:rFonts w:eastAsia="Times New Roman"/>
          <w:szCs w:val="24"/>
        </w:rPr>
        <w:t xml:space="preserve">př.: sníží-li se rating ČR, zahraniční investoři budou kupovat </w:t>
      </w:r>
      <w:r w:rsidR="00F056E7" w:rsidRPr="008F2BBE">
        <w:rPr>
          <w:rFonts w:eastAsia="Times New Roman"/>
          <w:szCs w:val="24"/>
        </w:rPr>
        <w:t>dluhopisy, jen</w:t>
      </w:r>
      <w:r w:rsidRPr="008F2BBE">
        <w:rPr>
          <w:rFonts w:eastAsia="Times New Roman"/>
          <w:szCs w:val="24"/>
        </w:rPr>
        <w:t xml:space="preserve"> pokud bude úroková míra vyšší</w:t>
      </w:r>
    </w:p>
    <w:p w14:paraId="67FBA635" w14:textId="77777777" w:rsidR="007E750A" w:rsidRPr="00FC3B7C" w:rsidRDefault="007E750A" w:rsidP="007E750A">
      <w:pPr>
        <w:spacing w:line="3" w:lineRule="exact"/>
        <w:rPr>
          <w:rFonts w:eastAsia="Courier New"/>
          <w:szCs w:val="24"/>
        </w:rPr>
      </w:pPr>
    </w:p>
    <w:p w14:paraId="3C2434AB" w14:textId="77777777" w:rsidR="007E750A" w:rsidRPr="00FC3B7C" w:rsidRDefault="007E750A" w:rsidP="007E750A">
      <w:pPr>
        <w:numPr>
          <w:ilvl w:val="0"/>
          <w:numId w:val="75"/>
        </w:numPr>
        <w:tabs>
          <w:tab w:val="left" w:pos="724"/>
        </w:tabs>
        <w:ind w:left="724" w:hanging="364"/>
        <w:rPr>
          <w:rFonts w:eastAsia="Arial"/>
          <w:szCs w:val="24"/>
        </w:rPr>
      </w:pPr>
      <w:r w:rsidRPr="00FC3B7C">
        <w:rPr>
          <w:rFonts w:eastAsia="Times New Roman"/>
          <w:szCs w:val="24"/>
        </w:rPr>
        <w:t>OECD</w:t>
      </w:r>
    </w:p>
    <w:p w14:paraId="54054FCC" w14:textId="77777777" w:rsidR="007E750A" w:rsidRPr="00FC3B7C" w:rsidRDefault="007E750A" w:rsidP="007E750A">
      <w:pPr>
        <w:numPr>
          <w:ilvl w:val="1"/>
          <w:numId w:val="75"/>
        </w:numPr>
        <w:tabs>
          <w:tab w:val="left" w:pos="1444"/>
        </w:tabs>
        <w:ind w:left="1444" w:hanging="364"/>
        <w:rPr>
          <w:rFonts w:eastAsia="Courier New"/>
          <w:szCs w:val="24"/>
        </w:rPr>
      </w:pPr>
      <w:r w:rsidRPr="00FC3B7C">
        <w:rPr>
          <w:rFonts w:eastAsia="Times New Roman"/>
          <w:szCs w:val="24"/>
        </w:rPr>
        <w:t>sdružuje 30 nejvyspělejších zemí světa (ČR je členem)</w:t>
      </w:r>
    </w:p>
    <w:p w14:paraId="6AD3307B" w14:textId="77777777" w:rsidR="007E750A" w:rsidRPr="00FC3B7C" w:rsidRDefault="007E750A" w:rsidP="007E750A">
      <w:pPr>
        <w:tabs>
          <w:tab w:val="left" w:pos="1424"/>
        </w:tabs>
        <w:ind w:left="1444" w:hanging="359"/>
        <w:rPr>
          <w:sz w:val="20"/>
          <w:szCs w:val="20"/>
        </w:rPr>
      </w:pPr>
      <w:r w:rsidRPr="00FC3B7C">
        <w:rPr>
          <w:rFonts w:eastAsia="Courier New"/>
          <w:szCs w:val="24"/>
        </w:rPr>
        <w:t>o</w:t>
      </w:r>
      <w:r w:rsidRPr="00FC3B7C">
        <w:rPr>
          <w:sz w:val="20"/>
          <w:szCs w:val="20"/>
        </w:rPr>
        <w:tab/>
      </w:r>
      <w:r w:rsidRPr="00FC3B7C">
        <w:rPr>
          <w:rFonts w:eastAsia="Times New Roman"/>
          <w:szCs w:val="24"/>
        </w:rPr>
        <w:t>výměna informací, statistické údaje, smluvní vztahy mezi jednotlivými ekonomikami + uvolnění bariér mezinárodního obchodu</w:t>
      </w:r>
    </w:p>
    <w:p w14:paraId="42F7C3B0" w14:textId="77777777" w:rsidR="007E750A" w:rsidRPr="00FC3B7C" w:rsidRDefault="007E750A" w:rsidP="007E750A">
      <w:pPr>
        <w:spacing w:line="3" w:lineRule="exact"/>
        <w:rPr>
          <w:sz w:val="20"/>
          <w:szCs w:val="20"/>
        </w:rPr>
      </w:pPr>
    </w:p>
    <w:p w14:paraId="361B0B15" w14:textId="77777777" w:rsidR="007E750A" w:rsidRPr="00FC3B7C" w:rsidRDefault="007E750A" w:rsidP="007E750A">
      <w:pPr>
        <w:numPr>
          <w:ilvl w:val="0"/>
          <w:numId w:val="76"/>
        </w:numPr>
        <w:tabs>
          <w:tab w:val="left" w:pos="724"/>
        </w:tabs>
        <w:ind w:left="724" w:hanging="364"/>
        <w:rPr>
          <w:rFonts w:eastAsia="Arial"/>
          <w:szCs w:val="24"/>
        </w:rPr>
      </w:pPr>
      <w:r w:rsidRPr="00FC3B7C">
        <w:rPr>
          <w:rFonts w:eastAsia="Times New Roman"/>
          <w:szCs w:val="24"/>
        </w:rPr>
        <w:t>WTO</w:t>
      </w:r>
    </w:p>
    <w:p w14:paraId="4684FDCB" w14:textId="77777777" w:rsidR="007E750A" w:rsidRPr="00FC3B7C" w:rsidRDefault="007E750A" w:rsidP="007E750A">
      <w:pPr>
        <w:numPr>
          <w:ilvl w:val="0"/>
          <w:numId w:val="77"/>
        </w:numPr>
        <w:tabs>
          <w:tab w:val="left" w:pos="1444"/>
        </w:tabs>
        <w:ind w:left="1444" w:hanging="364"/>
        <w:rPr>
          <w:rFonts w:eastAsia="Courier New"/>
          <w:szCs w:val="24"/>
        </w:rPr>
      </w:pPr>
      <w:r w:rsidRPr="00FC3B7C">
        <w:rPr>
          <w:rFonts w:eastAsia="Times New Roman"/>
          <w:szCs w:val="24"/>
        </w:rPr>
        <w:t>liberalizace vztahů mezi zahraničními obchody</w:t>
      </w:r>
    </w:p>
    <w:p w14:paraId="7709346D" w14:textId="77777777" w:rsidR="007E750A" w:rsidRPr="00FC3B7C" w:rsidRDefault="007E750A" w:rsidP="007E750A">
      <w:pPr>
        <w:numPr>
          <w:ilvl w:val="0"/>
          <w:numId w:val="78"/>
        </w:numPr>
        <w:tabs>
          <w:tab w:val="left" w:pos="1444"/>
        </w:tabs>
        <w:ind w:left="1444" w:hanging="364"/>
        <w:rPr>
          <w:rFonts w:eastAsia="Courier New"/>
          <w:szCs w:val="24"/>
        </w:rPr>
      </w:pPr>
      <w:r w:rsidRPr="00FC3B7C">
        <w:rPr>
          <w:rFonts w:eastAsia="Times New Roman"/>
          <w:szCs w:val="24"/>
        </w:rPr>
        <w:t xml:space="preserve">silná cla a kvóty proti asijskému zboží </w:t>
      </w:r>
      <w:r>
        <w:rPr>
          <w:rFonts w:eastAsia="Wingdings"/>
          <w:szCs w:val="24"/>
        </w:rPr>
        <w:t>-&gt;</w:t>
      </w:r>
      <w:r w:rsidRPr="00FC3B7C">
        <w:rPr>
          <w:rFonts w:eastAsia="Times New Roman"/>
          <w:szCs w:val="24"/>
        </w:rPr>
        <w:t xml:space="preserve"> možné poškozování spotřebitelů</w:t>
      </w:r>
    </w:p>
    <w:p w14:paraId="372D3814" w14:textId="77777777" w:rsidR="007E750A" w:rsidRPr="00FC3B7C" w:rsidRDefault="007E750A" w:rsidP="007E750A">
      <w:pPr>
        <w:spacing w:line="20" w:lineRule="exact"/>
        <w:rPr>
          <w:sz w:val="20"/>
          <w:szCs w:val="20"/>
        </w:rPr>
      </w:pPr>
    </w:p>
    <w:p w14:paraId="5CCD221E" w14:textId="77777777" w:rsidR="007E750A" w:rsidRPr="004B6CDE" w:rsidRDefault="007E750A" w:rsidP="007E750A">
      <w:pPr>
        <w:numPr>
          <w:ilvl w:val="0"/>
          <w:numId w:val="79"/>
        </w:numPr>
        <w:tabs>
          <w:tab w:val="left" w:pos="700"/>
        </w:tabs>
        <w:ind w:left="700" w:hanging="367"/>
        <w:rPr>
          <w:rFonts w:eastAsia="Arial"/>
          <w:szCs w:val="24"/>
        </w:rPr>
      </w:pPr>
      <w:bookmarkStart w:id="93" w:name="page90"/>
      <w:bookmarkEnd w:id="93"/>
      <w:r w:rsidRPr="00FC3B7C">
        <w:rPr>
          <w:rFonts w:eastAsia="Times New Roman"/>
          <w:szCs w:val="24"/>
        </w:rPr>
        <w:t xml:space="preserve">EU x </w:t>
      </w:r>
      <w:r w:rsidRPr="004B6CDE">
        <w:rPr>
          <w:rFonts w:eastAsia="Times New Roman"/>
          <w:szCs w:val="24"/>
        </w:rPr>
        <w:t>EMU</w:t>
      </w:r>
    </w:p>
    <w:p w14:paraId="44A2C458" w14:textId="77777777" w:rsidR="007E750A" w:rsidRPr="004B6CDE" w:rsidRDefault="007E750A" w:rsidP="007E750A">
      <w:pPr>
        <w:numPr>
          <w:ilvl w:val="0"/>
          <w:numId w:val="80"/>
        </w:numPr>
        <w:tabs>
          <w:tab w:val="left" w:pos="1420"/>
        </w:tabs>
        <w:ind w:left="1420" w:hanging="364"/>
        <w:rPr>
          <w:rFonts w:eastAsia="Courier New"/>
          <w:szCs w:val="24"/>
        </w:rPr>
      </w:pPr>
      <w:r w:rsidRPr="004B6CDE">
        <w:rPr>
          <w:rFonts w:eastAsia="Times New Roman"/>
          <w:szCs w:val="24"/>
        </w:rPr>
        <w:t>EU – 27 členů</w:t>
      </w:r>
    </w:p>
    <w:p w14:paraId="33534FF1" w14:textId="77777777" w:rsidR="007E750A" w:rsidRPr="00FC3B7C" w:rsidRDefault="007E750A" w:rsidP="007E750A">
      <w:pPr>
        <w:numPr>
          <w:ilvl w:val="1"/>
          <w:numId w:val="80"/>
        </w:numPr>
        <w:tabs>
          <w:tab w:val="left" w:pos="2140"/>
        </w:tabs>
        <w:ind w:left="2140" w:hanging="364"/>
        <w:rPr>
          <w:rFonts w:eastAsia="Wingdings"/>
          <w:sz w:val="23"/>
          <w:szCs w:val="23"/>
        </w:rPr>
      </w:pPr>
      <w:r w:rsidRPr="004B6CDE">
        <w:rPr>
          <w:rFonts w:eastAsia="Times New Roman"/>
          <w:sz w:val="23"/>
          <w:szCs w:val="23"/>
        </w:rPr>
        <w:t xml:space="preserve">z toho 12 člen. zemí </w:t>
      </w:r>
      <w:r w:rsidRPr="00FC3B7C">
        <w:rPr>
          <w:rFonts w:eastAsia="Times New Roman"/>
          <w:sz w:val="23"/>
          <w:szCs w:val="23"/>
        </w:rPr>
        <w:t>EMU – hospodářská a měnová unie (společná měna</w:t>
      </w:r>
    </w:p>
    <w:p w14:paraId="1E2EA094" w14:textId="77777777" w:rsidR="007E750A" w:rsidRPr="00FC3B7C" w:rsidRDefault="007E750A" w:rsidP="007E750A">
      <w:pPr>
        <w:spacing w:line="357" w:lineRule="auto"/>
        <w:ind w:left="2140" w:right="40"/>
        <w:rPr>
          <w:sz w:val="20"/>
          <w:szCs w:val="20"/>
        </w:rPr>
      </w:pPr>
      <w:r w:rsidRPr="00FC3B7C">
        <w:rPr>
          <w:rFonts w:eastAsia="Times New Roman"/>
          <w:szCs w:val="24"/>
        </w:rPr>
        <w:t>€) – dříve 11 členů, později +Řecko, které zfalšovalo informace pro přistoupení</w:t>
      </w:r>
    </w:p>
    <w:p w14:paraId="7DD300F0" w14:textId="77777777" w:rsidR="007E750A" w:rsidRPr="00FC3B7C" w:rsidRDefault="007E750A" w:rsidP="007E750A">
      <w:pPr>
        <w:spacing w:line="5" w:lineRule="exact"/>
        <w:rPr>
          <w:sz w:val="20"/>
          <w:szCs w:val="20"/>
        </w:rPr>
      </w:pPr>
    </w:p>
    <w:p w14:paraId="22D7F9B7" w14:textId="42FA5B42" w:rsidR="007E750A" w:rsidRPr="004B6CDE" w:rsidRDefault="007E750A" w:rsidP="007E750A">
      <w:pPr>
        <w:numPr>
          <w:ilvl w:val="0"/>
          <w:numId w:val="81"/>
        </w:numPr>
        <w:tabs>
          <w:tab w:val="left" w:pos="1420"/>
        </w:tabs>
        <w:spacing w:line="372" w:lineRule="auto"/>
        <w:ind w:left="1420" w:hanging="364"/>
        <w:rPr>
          <w:rFonts w:eastAsia="Courier New"/>
          <w:szCs w:val="24"/>
        </w:rPr>
      </w:pPr>
      <w:r w:rsidRPr="00FC3B7C">
        <w:rPr>
          <w:rFonts w:eastAsia="Times New Roman"/>
          <w:szCs w:val="24"/>
        </w:rPr>
        <w:t>Evropská rada, Evropská komise, Rada EU, Evropský parlament, Evropský účetní dvůr, Evropský soudní dvůr, Evropská centrální banka</w:t>
      </w:r>
    </w:p>
    <w:p w14:paraId="198BD5A9" w14:textId="24907057" w:rsidR="004B6CDE" w:rsidRDefault="004B6CDE" w:rsidP="004B6CDE">
      <w:pPr>
        <w:tabs>
          <w:tab w:val="left" w:pos="1420"/>
        </w:tabs>
        <w:spacing w:line="372" w:lineRule="auto"/>
        <w:ind w:left="1420"/>
        <w:rPr>
          <w:rFonts w:eastAsia="Times New Roman"/>
          <w:szCs w:val="24"/>
        </w:rPr>
      </w:pPr>
    </w:p>
    <w:p w14:paraId="54327912" w14:textId="77777777" w:rsidR="004B6CDE" w:rsidRPr="00FC3B7C" w:rsidRDefault="004B6CDE" w:rsidP="004B6CDE">
      <w:pPr>
        <w:tabs>
          <w:tab w:val="left" w:pos="1420"/>
        </w:tabs>
        <w:spacing w:line="372" w:lineRule="auto"/>
        <w:ind w:left="1420"/>
        <w:rPr>
          <w:rFonts w:eastAsia="Courier New"/>
          <w:szCs w:val="24"/>
        </w:rPr>
      </w:pPr>
    </w:p>
    <w:p w14:paraId="5293A524" w14:textId="77777777" w:rsidR="007E750A" w:rsidRPr="002144A1" w:rsidRDefault="007E750A" w:rsidP="007E750A">
      <w:pPr>
        <w:pStyle w:val="Nadpis2"/>
        <w:rPr>
          <w:color w:val="1F3864" w:themeColor="accent1" w:themeShade="80"/>
          <w:sz w:val="20"/>
          <w:szCs w:val="20"/>
        </w:rPr>
      </w:pPr>
      <w:r w:rsidRPr="002144A1">
        <w:rPr>
          <w:rFonts w:eastAsia="Times New Roman"/>
          <w:color w:val="1F3864" w:themeColor="accent1" w:themeShade="80"/>
        </w:rPr>
        <w:lastRenderedPageBreak/>
        <w:t>PRÁVNÍ RÁMEC PRO VYTVÁŘENÍ HP</w:t>
      </w:r>
    </w:p>
    <w:p w14:paraId="053330BF" w14:textId="77777777" w:rsidR="007E750A" w:rsidRPr="00FC3B7C" w:rsidRDefault="007E750A" w:rsidP="007E750A">
      <w:pPr>
        <w:numPr>
          <w:ilvl w:val="0"/>
          <w:numId w:val="82"/>
        </w:numPr>
        <w:tabs>
          <w:tab w:val="left" w:pos="700"/>
        </w:tabs>
        <w:spacing w:line="361" w:lineRule="auto"/>
        <w:ind w:left="700" w:hanging="364"/>
        <w:rPr>
          <w:rFonts w:eastAsia="Times New Roman"/>
          <w:szCs w:val="24"/>
        </w:rPr>
      </w:pPr>
      <w:r w:rsidRPr="00FC3B7C">
        <w:rPr>
          <w:rFonts w:eastAsia="Times New Roman"/>
          <w:szCs w:val="24"/>
        </w:rPr>
        <w:t>existence právního státu (státní moc je podřízena zákonům, musí existovat právní jistota, jednoznačnost a vymahatelnost práva),</w:t>
      </w:r>
    </w:p>
    <w:p w14:paraId="17E1BAA0" w14:textId="77777777" w:rsidR="007E750A" w:rsidRPr="00FC3B7C" w:rsidRDefault="007E750A" w:rsidP="007E750A">
      <w:pPr>
        <w:numPr>
          <w:ilvl w:val="0"/>
          <w:numId w:val="82"/>
        </w:numPr>
        <w:tabs>
          <w:tab w:val="left" w:pos="700"/>
        </w:tabs>
        <w:spacing w:line="358" w:lineRule="auto"/>
        <w:ind w:left="700" w:hanging="364"/>
        <w:rPr>
          <w:rFonts w:eastAsia="Times New Roman"/>
          <w:szCs w:val="24"/>
        </w:rPr>
      </w:pPr>
      <w:r w:rsidRPr="00FC3B7C">
        <w:rPr>
          <w:rFonts w:eastAsia="Times New Roman"/>
          <w:szCs w:val="24"/>
        </w:rPr>
        <w:t>rozlišení soukromého a veřejného práva (pokud převažuje soukromé právo nad veřejným, prosperuje i hospodářství země),</w:t>
      </w:r>
    </w:p>
    <w:p w14:paraId="49C1382F" w14:textId="77777777" w:rsidR="007E750A" w:rsidRPr="00FC3B7C" w:rsidRDefault="007E750A" w:rsidP="007E750A">
      <w:pPr>
        <w:spacing w:line="2" w:lineRule="exact"/>
        <w:rPr>
          <w:rFonts w:eastAsia="Times New Roman"/>
          <w:szCs w:val="24"/>
        </w:rPr>
      </w:pPr>
    </w:p>
    <w:p w14:paraId="1495356C" w14:textId="77777777" w:rsidR="007E750A" w:rsidRPr="00FC3B7C" w:rsidRDefault="007E750A" w:rsidP="007E750A">
      <w:pPr>
        <w:numPr>
          <w:ilvl w:val="0"/>
          <w:numId w:val="82"/>
        </w:numPr>
        <w:tabs>
          <w:tab w:val="left" w:pos="700"/>
        </w:tabs>
        <w:ind w:left="700" w:hanging="364"/>
        <w:rPr>
          <w:rFonts w:eastAsia="Times New Roman"/>
          <w:szCs w:val="24"/>
        </w:rPr>
      </w:pPr>
      <w:r w:rsidRPr="00FC3B7C">
        <w:rPr>
          <w:rFonts w:eastAsia="Times New Roman"/>
          <w:szCs w:val="24"/>
        </w:rPr>
        <w:t>existence institucí (vykonávají právo; soudy, policie, státní zastupitelství, …)</w:t>
      </w:r>
    </w:p>
    <w:p w14:paraId="1E0EC589" w14:textId="54D0B890" w:rsidR="007E750A" w:rsidRDefault="007E750A" w:rsidP="00332556">
      <w:pPr>
        <w:numPr>
          <w:ilvl w:val="0"/>
          <w:numId w:val="82"/>
        </w:numPr>
        <w:tabs>
          <w:tab w:val="left" w:pos="700"/>
        </w:tabs>
        <w:ind w:left="700" w:hanging="364"/>
        <w:rPr>
          <w:rFonts w:eastAsia="Times New Roman"/>
          <w:szCs w:val="24"/>
        </w:rPr>
      </w:pPr>
      <w:r w:rsidRPr="00FC3B7C">
        <w:rPr>
          <w:rFonts w:eastAsia="Times New Roman"/>
          <w:szCs w:val="24"/>
        </w:rPr>
        <w:t>nutnost vynutitelnosti práva.</w:t>
      </w:r>
    </w:p>
    <w:p w14:paraId="66455715" w14:textId="77777777" w:rsidR="00332556" w:rsidRPr="00332556" w:rsidRDefault="00332556" w:rsidP="00332556">
      <w:pPr>
        <w:numPr>
          <w:ilvl w:val="0"/>
          <w:numId w:val="82"/>
        </w:numPr>
        <w:tabs>
          <w:tab w:val="left" w:pos="700"/>
        </w:tabs>
        <w:ind w:left="700" w:hanging="364"/>
        <w:rPr>
          <w:rFonts w:eastAsia="Times New Roman"/>
          <w:szCs w:val="24"/>
        </w:rPr>
      </w:pPr>
    </w:p>
    <w:p w14:paraId="37BCE7E5" w14:textId="77777777" w:rsidR="007E750A" w:rsidRPr="002144A1" w:rsidRDefault="007E750A" w:rsidP="007E750A">
      <w:pPr>
        <w:pStyle w:val="Nadpis2"/>
        <w:rPr>
          <w:color w:val="1F3864" w:themeColor="accent1" w:themeShade="80"/>
          <w:sz w:val="20"/>
          <w:szCs w:val="20"/>
        </w:rPr>
      </w:pPr>
      <w:r w:rsidRPr="002144A1">
        <w:rPr>
          <w:rFonts w:eastAsia="Times New Roman"/>
          <w:color w:val="1F3864" w:themeColor="accent1" w:themeShade="80"/>
        </w:rPr>
        <w:t>DŮLEŽITÉ ZÁKONY TÝKAJÍCÍ SE HP</w:t>
      </w:r>
    </w:p>
    <w:p w14:paraId="65190ED6" w14:textId="77777777" w:rsidR="007E750A" w:rsidRPr="00FC3B7C" w:rsidRDefault="007E750A" w:rsidP="007E750A">
      <w:pPr>
        <w:numPr>
          <w:ilvl w:val="0"/>
          <w:numId w:val="83"/>
        </w:numPr>
        <w:tabs>
          <w:tab w:val="left" w:pos="700"/>
        </w:tabs>
        <w:ind w:left="700" w:hanging="364"/>
        <w:rPr>
          <w:rFonts w:eastAsia="Times New Roman"/>
          <w:szCs w:val="24"/>
        </w:rPr>
      </w:pPr>
      <w:r w:rsidRPr="00FC3B7C">
        <w:rPr>
          <w:rFonts w:eastAsia="Times New Roman"/>
          <w:szCs w:val="24"/>
        </w:rPr>
        <w:t>Listina základních práv a svobod – ve 4. hlavě (celkem má Listina 5 hlav) jsou Hospodářská, sociální a kulturní práva; zde je zahrnuta i ochrana vlastnictví a další základní práva;</w:t>
      </w:r>
    </w:p>
    <w:p w14:paraId="0D5B0EFF" w14:textId="77777777" w:rsidR="007E750A" w:rsidRPr="00FC3B7C" w:rsidRDefault="007E750A" w:rsidP="007E750A">
      <w:pPr>
        <w:spacing w:line="1" w:lineRule="exact"/>
        <w:rPr>
          <w:rFonts w:eastAsia="Times New Roman"/>
          <w:szCs w:val="24"/>
        </w:rPr>
      </w:pPr>
    </w:p>
    <w:p w14:paraId="795B0BA6" w14:textId="77777777" w:rsidR="007E750A" w:rsidRPr="00FC3B7C" w:rsidRDefault="007E750A" w:rsidP="007E750A">
      <w:pPr>
        <w:numPr>
          <w:ilvl w:val="0"/>
          <w:numId w:val="83"/>
        </w:numPr>
        <w:tabs>
          <w:tab w:val="left" w:pos="700"/>
        </w:tabs>
        <w:ind w:left="700" w:hanging="364"/>
        <w:rPr>
          <w:rFonts w:eastAsia="Times New Roman"/>
          <w:szCs w:val="24"/>
        </w:rPr>
      </w:pPr>
      <w:r w:rsidRPr="00FC3B7C">
        <w:rPr>
          <w:rFonts w:eastAsia="Times New Roman"/>
          <w:szCs w:val="24"/>
        </w:rPr>
        <w:t>Ústava ČR</w:t>
      </w:r>
    </w:p>
    <w:p w14:paraId="34DAD64B" w14:textId="77777777" w:rsidR="007E750A" w:rsidRPr="00FC3B7C" w:rsidRDefault="007E750A" w:rsidP="007E750A">
      <w:pPr>
        <w:numPr>
          <w:ilvl w:val="0"/>
          <w:numId w:val="83"/>
        </w:numPr>
        <w:tabs>
          <w:tab w:val="left" w:pos="700"/>
        </w:tabs>
        <w:ind w:left="700" w:hanging="364"/>
        <w:rPr>
          <w:rFonts w:eastAsia="Times New Roman"/>
          <w:szCs w:val="24"/>
        </w:rPr>
      </w:pPr>
      <w:r w:rsidRPr="00FC3B7C">
        <w:rPr>
          <w:rFonts w:eastAsia="Times New Roman"/>
          <w:szCs w:val="24"/>
        </w:rPr>
        <w:t>Regulační zákony:</w:t>
      </w:r>
    </w:p>
    <w:p w14:paraId="4A5BBFCE" w14:textId="77777777" w:rsidR="007E750A" w:rsidRPr="00FC3B7C" w:rsidRDefault="007E750A" w:rsidP="007E750A">
      <w:pPr>
        <w:numPr>
          <w:ilvl w:val="1"/>
          <w:numId w:val="83"/>
        </w:numPr>
        <w:tabs>
          <w:tab w:val="left" w:pos="1120"/>
        </w:tabs>
        <w:ind w:left="1120" w:hanging="370"/>
        <w:rPr>
          <w:rFonts w:eastAsia="Arial"/>
          <w:szCs w:val="24"/>
        </w:rPr>
      </w:pPr>
      <w:r w:rsidRPr="00FC3B7C">
        <w:rPr>
          <w:rFonts w:eastAsia="Times New Roman"/>
          <w:szCs w:val="24"/>
        </w:rPr>
        <w:t>antimonopolní zákony,</w:t>
      </w:r>
    </w:p>
    <w:p w14:paraId="3CDA2365" w14:textId="77777777" w:rsidR="007E750A" w:rsidRPr="00FC3B7C" w:rsidRDefault="007E750A" w:rsidP="007E750A">
      <w:pPr>
        <w:numPr>
          <w:ilvl w:val="1"/>
          <w:numId w:val="83"/>
        </w:numPr>
        <w:tabs>
          <w:tab w:val="left" w:pos="1120"/>
        </w:tabs>
        <w:ind w:left="1120" w:hanging="370"/>
        <w:rPr>
          <w:rFonts w:eastAsia="Arial"/>
          <w:szCs w:val="24"/>
        </w:rPr>
      </w:pPr>
      <w:r w:rsidRPr="00FC3B7C">
        <w:rPr>
          <w:rFonts w:eastAsia="Times New Roman"/>
          <w:szCs w:val="24"/>
        </w:rPr>
        <w:t>zákony na ochranu spotřebitele,</w:t>
      </w:r>
    </w:p>
    <w:p w14:paraId="178CA034" w14:textId="77777777" w:rsidR="007E750A" w:rsidRPr="00FC3B7C" w:rsidRDefault="007E750A" w:rsidP="007E750A">
      <w:pPr>
        <w:numPr>
          <w:ilvl w:val="1"/>
          <w:numId w:val="83"/>
        </w:numPr>
        <w:tabs>
          <w:tab w:val="left" w:pos="1120"/>
        </w:tabs>
        <w:ind w:left="1120" w:hanging="370"/>
        <w:rPr>
          <w:rFonts w:eastAsia="Arial"/>
          <w:szCs w:val="24"/>
        </w:rPr>
      </w:pPr>
      <w:r w:rsidRPr="00FC3B7C">
        <w:rPr>
          <w:rFonts w:eastAsia="Times New Roman"/>
          <w:szCs w:val="24"/>
        </w:rPr>
        <w:t>zákon o ČNB,</w:t>
      </w:r>
    </w:p>
    <w:p w14:paraId="08EA9B73" w14:textId="77777777" w:rsidR="007E750A" w:rsidRPr="00FC3B7C" w:rsidRDefault="007E750A" w:rsidP="007E750A">
      <w:pPr>
        <w:numPr>
          <w:ilvl w:val="1"/>
          <w:numId w:val="83"/>
        </w:numPr>
        <w:tabs>
          <w:tab w:val="left" w:pos="1120"/>
        </w:tabs>
        <w:ind w:left="1120" w:hanging="370"/>
        <w:rPr>
          <w:rFonts w:eastAsia="Arial"/>
          <w:szCs w:val="24"/>
        </w:rPr>
      </w:pPr>
      <w:r w:rsidRPr="00FC3B7C">
        <w:rPr>
          <w:rFonts w:eastAsia="Times New Roman"/>
          <w:szCs w:val="24"/>
        </w:rPr>
        <w:t>zákon o cenách,</w:t>
      </w:r>
    </w:p>
    <w:p w14:paraId="2B5A32DE" w14:textId="77777777" w:rsidR="007E750A" w:rsidRPr="00FC3B7C" w:rsidRDefault="007E750A" w:rsidP="007E750A">
      <w:pPr>
        <w:numPr>
          <w:ilvl w:val="1"/>
          <w:numId w:val="83"/>
        </w:numPr>
        <w:tabs>
          <w:tab w:val="left" w:pos="1120"/>
        </w:tabs>
        <w:ind w:left="1120" w:hanging="370"/>
        <w:rPr>
          <w:rFonts w:eastAsia="Arial"/>
          <w:szCs w:val="24"/>
        </w:rPr>
      </w:pPr>
      <w:r w:rsidRPr="00FC3B7C">
        <w:rPr>
          <w:rFonts w:eastAsia="Times New Roman"/>
          <w:szCs w:val="24"/>
        </w:rPr>
        <w:t>zákon o cenných papírech</w:t>
      </w:r>
    </w:p>
    <w:p w14:paraId="3E5E28F1" w14:textId="77777777" w:rsidR="007E750A" w:rsidRPr="00FC3B7C" w:rsidRDefault="007E750A" w:rsidP="007E750A">
      <w:pPr>
        <w:numPr>
          <w:ilvl w:val="1"/>
          <w:numId w:val="83"/>
        </w:numPr>
        <w:tabs>
          <w:tab w:val="left" w:pos="1120"/>
        </w:tabs>
        <w:ind w:left="1120" w:hanging="370"/>
        <w:rPr>
          <w:rFonts w:eastAsia="Arial"/>
          <w:szCs w:val="24"/>
        </w:rPr>
      </w:pPr>
      <w:r w:rsidRPr="00FC3B7C">
        <w:rPr>
          <w:rFonts w:eastAsia="Times New Roman"/>
          <w:szCs w:val="24"/>
        </w:rPr>
        <w:t>daňová legislativa (zákon o DPH, o dani z příjmů, …)</w:t>
      </w:r>
    </w:p>
    <w:p w14:paraId="3D558B87" w14:textId="77777777" w:rsidR="007E750A" w:rsidRPr="00FC3B7C" w:rsidRDefault="007E750A" w:rsidP="007E750A">
      <w:pPr>
        <w:numPr>
          <w:ilvl w:val="1"/>
          <w:numId w:val="83"/>
        </w:numPr>
        <w:tabs>
          <w:tab w:val="left" w:pos="1120"/>
        </w:tabs>
        <w:ind w:left="1120" w:hanging="370"/>
        <w:rPr>
          <w:rFonts w:eastAsia="Arial"/>
          <w:szCs w:val="24"/>
        </w:rPr>
      </w:pPr>
      <w:r w:rsidRPr="00FC3B7C">
        <w:rPr>
          <w:rFonts w:eastAsia="Times New Roman"/>
          <w:szCs w:val="24"/>
        </w:rPr>
        <w:t>nový občanský zákoník (jehož součástí je obchodní zákoník)</w:t>
      </w:r>
    </w:p>
    <w:p w14:paraId="15D69C0D" w14:textId="77777777" w:rsidR="007E750A" w:rsidRPr="00FC3B7C" w:rsidRDefault="007E750A" w:rsidP="007E750A">
      <w:pPr>
        <w:numPr>
          <w:ilvl w:val="1"/>
          <w:numId w:val="83"/>
        </w:numPr>
        <w:tabs>
          <w:tab w:val="left" w:pos="1120"/>
        </w:tabs>
        <w:ind w:left="1120" w:hanging="370"/>
        <w:rPr>
          <w:rFonts w:eastAsia="Arial"/>
          <w:szCs w:val="24"/>
        </w:rPr>
      </w:pPr>
      <w:r w:rsidRPr="00FC3B7C">
        <w:rPr>
          <w:rFonts w:eastAsia="Times New Roman"/>
          <w:szCs w:val="24"/>
        </w:rPr>
        <w:t>zákon o ochraně hospodářské soutěže,</w:t>
      </w:r>
    </w:p>
    <w:p w14:paraId="652D68AD" w14:textId="77777777" w:rsidR="007E750A" w:rsidRPr="00FC3B7C" w:rsidRDefault="007E750A" w:rsidP="007E750A">
      <w:pPr>
        <w:numPr>
          <w:ilvl w:val="1"/>
          <w:numId w:val="84"/>
        </w:numPr>
        <w:tabs>
          <w:tab w:val="left" w:pos="1140"/>
        </w:tabs>
        <w:ind w:left="1140" w:hanging="370"/>
        <w:rPr>
          <w:rFonts w:eastAsia="Arial"/>
          <w:szCs w:val="24"/>
        </w:rPr>
      </w:pPr>
      <w:bookmarkStart w:id="94" w:name="page91"/>
      <w:bookmarkEnd w:id="94"/>
      <w:r w:rsidRPr="00FC3B7C">
        <w:rPr>
          <w:rFonts w:eastAsia="Times New Roman"/>
          <w:szCs w:val="24"/>
        </w:rPr>
        <w:t>zákoník práce, zákon o zaměstnanosti a další…</w:t>
      </w:r>
    </w:p>
    <w:p w14:paraId="1A159967" w14:textId="77777777" w:rsidR="007E750A" w:rsidRPr="00FC3B7C" w:rsidRDefault="007E750A" w:rsidP="007E750A">
      <w:pPr>
        <w:numPr>
          <w:ilvl w:val="0"/>
          <w:numId w:val="84"/>
        </w:numPr>
        <w:tabs>
          <w:tab w:val="left" w:pos="720"/>
        </w:tabs>
        <w:ind w:left="720" w:hanging="364"/>
        <w:rPr>
          <w:rFonts w:eastAsia="Times New Roman"/>
          <w:szCs w:val="24"/>
        </w:rPr>
      </w:pPr>
      <w:r w:rsidRPr="00FC3B7C">
        <w:rPr>
          <w:rFonts w:eastAsia="Times New Roman"/>
          <w:szCs w:val="24"/>
        </w:rPr>
        <w:t>Státní rozpočet;</w:t>
      </w:r>
    </w:p>
    <w:p w14:paraId="49AAD51E" w14:textId="77777777" w:rsidR="007E750A" w:rsidRPr="00FC3B7C" w:rsidRDefault="007E750A" w:rsidP="007E750A">
      <w:pPr>
        <w:numPr>
          <w:ilvl w:val="0"/>
          <w:numId w:val="84"/>
        </w:numPr>
        <w:tabs>
          <w:tab w:val="left" w:pos="720"/>
        </w:tabs>
        <w:spacing w:after="240"/>
        <w:ind w:left="720" w:hanging="364"/>
        <w:rPr>
          <w:rFonts w:eastAsia="Times New Roman"/>
          <w:szCs w:val="24"/>
        </w:rPr>
      </w:pPr>
      <w:r w:rsidRPr="00FC3B7C">
        <w:rPr>
          <w:rFonts w:eastAsia="Times New Roman"/>
          <w:szCs w:val="24"/>
        </w:rPr>
        <w:t>Zákon o kolektivním vyjednávání.</w:t>
      </w:r>
    </w:p>
    <w:p w14:paraId="39BEAB6D" w14:textId="77777777" w:rsidR="007E750A" w:rsidRPr="002144A1" w:rsidRDefault="007E750A" w:rsidP="007E750A">
      <w:pPr>
        <w:pStyle w:val="Nadpis3"/>
        <w:rPr>
          <w:color w:val="1F3864" w:themeColor="accent1" w:themeShade="80"/>
          <w:sz w:val="20"/>
          <w:szCs w:val="20"/>
        </w:rPr>
      </w:pPr>
      <w:r w:rsidRPr="002144A1">
        <w:rPr>
          <w:rFonts w:eastAsia="Times New Roman"/>
          <w:color w:val="1F3864" w:themeColor="accent1" w:themeShade="80"/>
        </w:rPr>
        <w:t>Státní rozpočet</w:t>
      </w:r>
    </w:p>
    <w:p w14:paraId="62C35208" w14:textId="77777777" w:rsidR="007E750A" w:rsidRPr="00FC3B7C" w:rsidRDefault="007E750A" w:rsidP="007E750A">
      <w:pPr>
        <w:rPr>
          <w:sz w:val="20"/>
          <w:szCs w:val="20"/>
        </w:rPr>
      </w:pPr>
      <w:r w:rsidRPr="00FC3B7C">
        <w:rPr>
          <w:rFonts w:eastAsia="Times New Roman"/>
        </w:rPr>
        <w:t>Může být přebytkový, vyrovnaný nebo schodkový. Schodkový rozpočet má negativní dopady ve formě ztráty efektivnosti ze zdanění, zvyšování inflace, nahrazování kapitálu veřejným dluhem, deformace importu v důsledku zahraniční zadluženosti. Deficitní rozpočet je financován vydáváním státních dluhopisů.</w:t>
      </w:r>
    </w:p>
    <w:p w14:paraId="7A2EEA26" w14:textId="77777777" w:rsidR="007E750A" w:rsidRPr="00FC3B7C" w:rsidRDefault="007E750A" w:rsidP="007E750A">
      <w:pPr>
        <w:spacing w:line="3" w:lineRule="exact"/>
        <w:rPr>
          <w:sz w:val="20"/>
          <w:szCs w:val="20"/>
        </w:rPr>
      </w:pPr>
    </w:p>
    <w:p w14:paraId="74D9AD8F" w14:textId="77777777" w:rsidR="007E750A" w:rsidRPr="00FC3B7C" w:rsidRDefault="007E750A" w:rsidP="007E750A">
      <w:pPr>
        <w:rPr>
          <w:sz w:val="20"/>
          <w:szCs w:val="20"/>
        </w:rPr>
      </w:pPr>
      <w:r w:rsidRPr="00FC3B7C">
        <w:rPr>
          <w:rFonts w:eastAsia="Times New Roman"/>
          <w:b/>
          <w:bCs/>
          <w:szCs w:val="24"/>
        </w:rPr>
        <w:t>Státní rozpočet musí splňovat zásady:</w:t>
      </w:r>
    </w:p>
    <w:p w14:paraId="5DE44D98" w14:textId="77777777" w:rsidR="007E750A" w:rsidRPr="00FC3B7C" w:rsidRDefault="007E750A" w:rsidP="007E750A">
      <w:pPr>
        <w:numPr>
          <w:ilvl w:val="0"/>
          <w:numId w:val="85"/>
        </w:numPr>
        <w:tabs>
          <w:tab w:val="left" w:pos="720"/>
        </w:tabs>
        <w:ind w:left="720" w:hanging="364"/>
        <w:rPr>
          <w:rFonts w:eastAsia="Times New Roman"/>
          <w:szCs w:val="24"/>
        </w:rPr>
      </w:pPr>
      <w:r w:rsidRPr="00FC3B7C">
        <w:rPr>
          <w:rFonts w:eastAsia="Times New Roman"/>
          <w:szCs w:val="24"/>
        </w:rPr>
        <w:t>jednotnosti (veškeré příjmy a výdaje procházejí centrálním rozpočtem),</w:t>
      </w:r>
    </w:p>
    <w:p w14:paraId="1A81A9CC" w14:textId="405254D9" w:rsidR="007E750A" w:rsidRPr="00FC3B7C" w:rsidRDefault="007E750A" w:rsidP="007E750A">
      <w:pPr>
        <w:numPr>
          <w:ilvl w:val="0"/>
          <w:numId w:val="85"/>
        </w:numPr>
        <w:tabs>
          <w:tab w:val="left" w:pos="720"/>
        </w:tabs>
        <w:ind w:left="720" w:hanging="364"/>
        <w:rPr>
          <w:rFonts w:eastAsia="Times New Roman"/>
          <w:szCs w:val="24"/>
        </w:rPr>
      </w:pPr>
      <w:r w:rsidRPr="00FC3B7C">
        <w:rPr>
          <w:rFonts w:eastAsia="Times New Roman"/>
          <w:szCs w:val="24"/>
        </w:rPr>
        <w:lastRenderedPageBreak/>
        <w:t>úplnosti (musí být uvedeny kompletně všechny příjmy a výdaje),</w:t>
      </w:r>
    </w:p>
    <w:p w14:paraId="7B5BA7F6" w14:textId="77777777" w:rsidR="007E750A" w:rsidRPr="00FC3B7C" w:rsidRDefault="007E750A" w:rsidP="007E750A">
      <w:pPr>
        <w:numPr>
          <w:ilvl w:val="0"/>
          <w:numId w:val="85"/>
        </w:numPr>
        <w:tabs>
          <w:tab w:val="left" w:pos="720"/>
        </w:tabs>
        <w:ind w:left="720" w:hanging="364"/>
        <w:rPr>
          <w:rFonts w:eastAsia="Times New Roman"/>
          <w:szCs w:val="24"/>
        </w:rPr>
      </w:pPr>
      <w:r w:rsidRPr="00FC3B7C">
        <w:rPr>
          <w:rFonts w:eastAsia="Times New Roman"/>
          <w:szCs w:val="24"/>
        </w:rPr>
        <w:t>reálnosti (údaje v rozpočtu nesmí být zkreslené),</w:t>
      </w:r>
    </w:p>
    <w:p w14:paraId="064772B2" w14:textId="77777777" w:rsidR="007E750A" w:rsidRPr="00FC3B7C" w:rsidRDefault="007E750A" w:rsidP="007E750A">
      <w:pPr>
        <w:numPr>
          <w:ilvl w:val="0"/>
          <w:numId w:val="85"/>
        </w:numPr>
        <w:tabs>
          <w:tab w:val="left" w:pos="720"/>
        </w:tabs>
        <w:ind w:left="720" w:hanging="364"/>
        <w:rPr>
          <w:rFonts w:eastAsia="Times New Roman"/>
          <w:szCs w:val="24"/>
        </w:rPr>
      </w:pPr>
      <w:r w:rsidRPr="00FC3B7C">
        <w:rPr>
          <w:rFonts w:eastAsia="Times New Roman"/>
          <w:szCs w:val="24"/>
        </w:rPr>
        <w:t>hospodárnosti (co nejlépe hospodařit),</w:t>
      </w:r>
    </w:p>
    <w:p w14:paraId="7E07C08C" w14:textId="77777777" w:rsidR="007E750A" w:rsidRPr="00FC3B7C" w:rsidRDefault="007E750A" w:rsidP="007E750A">
      <w:pPr>
        <w:numPr>
          <w:ilvl w:val="0"/>
          <w:numId w:val="85"/>
        </w:numPr>
        <w:tabs>
          <w:tab w:val="left" w:pos="720"/>
        </w:tabs>
        <w:ind w:left="720" w:hanging="364"/>
        <w:rPr>
          <w:rFonts w:eastAsia="Times New Roman"/>
          <w:szCs w:val="24"/>
        </w:rPr>
      </w:pPr>
      <w:r w:rsidRPr="00FC3B7C">
        <w:rPr>
          <w:rFonts w:eastAsia="Times New Roman"/>
          <w:szCs w:val="24"/>
        </w:rPr>
        <w:t>vyrovnanosti (na konci roku musí být účetně vyrovnaný),</w:t>
      </w:r>
    </w:p>
    <w:p w14:paraId="0A72A94F" w14:textId="77777777" w:rsidR="007E750A" w:rsidRPr="00FC3B7C" w:rsidRDefault="007E750A" w:rsidP="007E750A">
      <w:pPr>
        <w:numPr>
          <w:ilvl w:val="0"/>
          <w:numId w:val="85"/>
        </w:numPr>
        <w:tabs>
          <w:tab w:val="left" w:pos="720"/>
        </w:tabs>
        <w:ind w:left="720" w:hanging="364"/>
        <w:rPr>
          <w:rFonts w:eastAsia="Times New Roman"/>
          <w:szCs w:val="24"/>
        </w:rPr>
      </w:pPr>
      <w:r w:rsidRPr="00FC3B7C">
        <w:rPr>
          <w:rFonts w:eastAsia="Times New Roman"/>
          <w:szCs w:val="24"/>
        </w:rPr>
        <w:t>publicity (veřejně přístupný),</w:t>
      </w:r>
    </w:p>
    <w:p w14:paraId="6BD5E548" w14:textId="77777777" w:rsidR="007E750A" w:rsidRPr="00FC3B7C" w:rsidRDefault="007E750A" w:rsidP="007E750A">
      <w:pPr>
        <w:numPr>
          <w:ilvl w:val="0"/>
          <w:numId w:val="85"/>
        </w:numPr>
        <w:tabs>
          <w:tab w:val="left" w:pos="720"/>
        </w:tabs>
        <w:ind w:left="720" w:hanging="364"/>
        <w:rPr>
          <w:rFonts w:eastAsia="Times New Roman"/>
          <w:szCs w:val="24"/>
        </w:rPr>
      </w:pPr>
      <w:r w:rsidRPr="00FC3B7C">
        <w:rPr>
          <w:rFonts w:eastAsia="Times New Roman"/>
          <w:szCs w:val="24"/>
        </w:rPr>
        <w:t>každoročního sestavování a schvalování.</w:t>
      </w:r>
    </w:p>
    <w:p w14:paraId="07C9F418" w14:textId="77777777" w:rsidR="007E750A" w:rsidRPr="00FC3B7C" w:rsidRDefault="007E750A" w:rsidP="007E750A">
      <w:pPr>
        <w:spacing w:line="343" w:lineRule="exact"/>
        <w:rPr>
          <w:sz w:val="20"/>
          <w:szCs w:val="20"/>
        </w:rPr>
      </w:pPr>
    </w:p>
    <w:p w14:paraId="69A5F6C9" w14:textId="77777777" w:rsidR="007E750A" w:rsidRPr="00FC3B7C" w:rsidRDefault="007E750A" w:rsidP="007E750A">
      <w:pPr>
        <w:rPr>
          <w:sz w:val="20"/>
          <w:szCs w:val="20"/>
        </w:rPr>
      </w:pPr>
      <w:r w:rsidRPr="00FC3B7C">
        <w:rPr>
          <w:rFonts w:eastAsia="Times New Roman"/>
        </w:rPr>
        <w:t>Příjmy tvoří hlavně daně (cca 50 %), příjmy z pojistného na sociální zabezpečení (asi 30 %), cla, příjmy z činnosti státních podniků, soudní a správní poplatky, pokuty, příjmy z prodeje či pronájmu majetku státu, výnosy z cenných papírů a zisky ČNB. Výdaje se podle míry dělí na:</w:t>
      </w:r>
    </w:p>
    <w:p w14:paraId="1EF97475" w14:textId="77777777" w:rsidR="007E750A" w:rsidRPr="00FC3B7C" w:rsidRDefault="007E750A" w:rsidP="007E750A">
      <w:pPr>
        <w:numPr>
          <w:ilvl w:val="0"/>
          <w:numId w:val="86"/>
        </w:numPr>
        <w:tabs>
          <w:tab w:val="left" w:pos="720"/>
        </w:tabs>
        <w:ind w:left="720" w:hanging="364"/>
        <w:rPr>
          <w:rFonts w:eastAsia="Times New Roman"/>
          <w:szCs w:val="24"/>
        </w:rPr>
      </w:pPr>
      <w:r w:rsidRPr="00FC3B7C">
        <w:rPr>
          <w:rFonts w:eastAsia="Times New Roman"/>
          <w:szCs w:val="24"/>
        </w:rPr>
        <w:t>mandatorní (vláda je musí vynaložit ze zákona),</w:t>
      </w:r>
    </w:p>
    <w:p w14:paraId="62F57482" w14:textId="77777777" w:rsidR="007E750A" w:rsidRPr="00FC3B7C" w:rsidRDefault="007E750A" w:rsidP="007E750A">
      <w:pPr>
        <w:numPr>
          <w:ilvl w:val="0"/>
          <w:numId w:val="86"/>
        </w:numPr>
        <w:tabs>
          <w:tab w:val="left" w:pos="720"/>
        </w:tabs>
        <w:ind w:left="720" w:hanging="364"/>
        <w:rPr>
          <w:rFonts w:eastAsia="Times New Roman"/>
          <w:szCs w:val="24"/>
        </w:rPr>
      </w:pPr>
      <w:r w:rsidRPr="00FC3B7C">
        <w:rPr>
          <w:rFonts w:eastAsia="Times New Roman"/>
          <w:szCs w:val="24"/>
        </w:rPr>
        <w:t>ostatní mandatorní (transfery mezinárodním organizacím, realizace státních záruk),</w:t>
      </w:r>
    </w:p>
    <w:p w14:paraId="7D838E6B" w14:textId="77777777" w:rsidR="007E750A" w:rsidRPr="00FC3B7C" w:rsidRDefault="007E750A" w:rsidP="007E750A">
      <w:pPr>
        <w:numPr>
          <w:ilvl w:val="0"/>
          <w:numId w:val="86"/>
        </w:numPr>
        <w:tabs>
          <w:tab w:val="left" w:pos="720"/>
        </w:tabs>
        <w:spacing w:line="358" w:lineRule="auto"/>
        <w:ind w:left="720" w:hanging="364"/>
        <w:rPr>
          <w:rFonts w:eastAsia="Times New Roman"/>
          <w:szCs w:val="24"/>
        </w:rPr>
      </w:pPr>
      <w:r w:rsidRPr="00FC3B7C">
        <w:rPr>
          <w:rFonts w:eastAsia="Times New Roman"/>
          <w:szCs w:val="24"/>
        </w:rPr>
        <w:t>kvazi mandatorní (platy státních zaměstnanců atd., vyplývají z koncepčních plánů státu),</w:t>
      </w:r>
    </w:p>
    <w:p w14:paraId="3AFB8DFE" w14:textId="77777777" w:rsidR="007E750A" w:rsidRPr="00FC3B7C" w:rsidRDefault="007E750A" w:rsidP="007E750A">
      <w:pPr>
        <w:spacing w:line="2" w:lineRule="exact"/>
        <w:rPr>
          <w:rFonts w:eastAsia="Times New Roman"/>
          <w:szCs w:val="24"/>
        </w:rPr>
      </w:pPr>
    </w:p>
    <w:p w14:paraId="5F830B22" w14:textId="77777777" w:rsidR="007E750A" w:rsidRPr="00FC3B7C" w:rsidRDefault="007E750A" w:rsidP="007E750A">
      <w:pPr>
        <w:numPr>
          <w:ilvl w:val="0"/>
          <w:numId w:val="86"/>
        </w:numPr>
        <w:tabs>
          <w:tab w:val="left" w:pos="720"/>
        </w:tabs>
        <w:ind w:left="720" w:hanging="364"/>
        <w:rPr>
          <w:rFonts w:eastAsia="Times New Roman"/>
          <w:szCs w:val="24"/>
        </w:rPr>
      </w:pPr>
      <w:r w:rsidRPr="00FC3B7C">
        <w:rPr>
          <w:rFonts w:eastAsia="Times New Roman"/>
          <w:szCs w:val="24"/>
        </w:rPr>
        <w:t>ostatní výdaje (nemá povinnost je realizovat, např. něco, co slíbí u voleb).</w:t>
      </w:r>
    </w:p>
    <w:p w14:paraId="414F0A97" w14:textId="77777777" w:rsidR="007E750A" w:rsidRDefault="007E750A" w:rsidP="007E750A">
      <w:pPr>
        <w:spacing w:line="358" w:lineRule="auto"/>
        <w:rPr>
          <w:rFonts w:eastAsia="Times New Roman"/>
          <w:szCs w:val="24"/>
        </w:rPr>
      </w:pPr>
    </w:p>
    <w:p w14:paraId="10562AA2" w14:textId="77777777" w:rsidR="007E750A" w:rsidRPr="00FC3B7C" w:rsidRDefault="007E750A" w:rsidP="007E750A">
      <w:pPr>
        <w:spacing w:line="358" w:lineRule="auto"/>
        <w:rPr>
          <w:sz w:val="20"/>
          <w:szCs w:val="20"/>
        </w:rPr>
      </w:pPr>
      <w:r w:rsidRPr="00FC3B7C">
        <w:rPr>
          <w:rFonts w:eastAsia="Times New Roman"/>
          <w:szCs w:val="24"/>
        </w:rPr>
        <w:t xml:space="preserve">Výdaje jsou tvořeny zejména důchody, nemocenské pojištění, dávky státní sociální podpory, náklady na činnosti státních institucí, nákup cenných papírů nebo výdaje na státní úvěry. Vysoké výdaje mají za důsledek malý prostor pro efektivní plánování a řízení výdajů, tlak </w:t>
      </w:r>
      <w:r>
        <w:rPr>
          <w:rFonts w:eastAsia="Times New Roman"/>
          <w:szCs w:val="24"/>
        </w:rPr>
        <w:br/>
      </w:r>
      <w:r w:rsidRPr="00FC3B7C">
        <w:rPr>
          <w:rFonts w:eastAsia="Times New Roman"/>
          <w:szCs w:val="24"/>
        </w:rPr>
        <w:t>na zvyšování daní.</w:t>
      </w:r>
    </w:p>
    <w:p w14:paraId="54AE5248" w14:textId="77777777" w:rsidR="007E750A" w:rsidRPr="00FC3B7C" w:rsidRDefault="007E750A" w:rsidP="007E750A">
      <w:pPr>
        <w:spacing w:line="3" w:lineRule="exact"/>
        <w:rPr>
          <w:sz w:val="20"/>
          <w:szCs w:val="20"/>
        </w:rPr>
      </w:pPr>
    </w:p>
    <w:p w14:paraId="3E976E4C" w14:textId="77777777" w:rsidR="007E750A" w:rsidRPr="00FC3B7C" w:rsidRDefault="007E750A" w:rsidP="007E750A">
      <w:pPr>
        <w:rPr>
          <w:sz w:val="20"/>
          <w:szCs w:val="20"/>
        </w:rPr>
      </w:pPr>
      <w:r w:rsidRPr="00FC3B7C">
        <w:rPr>
          <w:rFonts w:eastAsia="Times New Roman"/>
          <w:b/>
          <w:bCs/>
          <w:szCs w:val="24"/>
        </w:rPr>
        <w:t>Sestavování a schvalování státního rozpočtu:</w:t>
      </w:r>
    </w:p>
    <w:p w14:paraId="526F20CA" w14:textId="283B54D1" w:rsidR="007E750A" w:rsidRPr="00FC3B7C" w:rsidRDefault="007E750A" w:rsidP="007E750A">
      <w:pPr>
        <w:rPr>
          <w:sz w:val="20"/>
          <w:szCs w:val="20"/>
        </w:rPr>
      </w:pPr>
      <w:bookmarkStart w:id="95" w:name="page92"/>
      <w:bookmarkEnd w:id="95"/>
      <w:r w:rsidRPr="00FC3B7C">
        <w:rPr>
          <w:rFonts w:eastAsia="Times New Roman"/>
        </w:rPr>
        <w:t xml:space="preserve">Návrh SR se sestavuje s přihlédnutím k minulému období, k záměrům a cílům HP státu </w:t>
      </w:r>
      <w:r>
        <w:rPr>
          <w:rFonts w:eastAsia="Times New Roman"/>
        </w:rPr>
        <w:br/>
      </w:r>
      <w:r w:rsidRPr="00FC3B7C">
        <w:rPr>
          <w:rFonts w:eastAsia="Times New Roman"/>
        </w:rPr>
        <w:t xml:space="preserve">a k předpokládanému ekonomickému vývoji národního hospodářství. Návrh zákona </w:t>
      </w:r>
      <w:r>
        <w:rPr>
          <w:rFonts w:eastAsia="Times New Roman"/>
        </w:rPr>
        <w:br/>
      </w:r>
      <w:r w:rsidRPr="00FC3B7C">
        <w:rPr>
          <w:rFonts w:eastAsia="Times New Roman"/>
        </w:rPr>
        <w:t>o SR zpracovává MF ČR a předkládá ho ke schválení vládě. Současně s návrhem SR se zpracovává i střednědobý výhled, který je základním dokumentem o záměrech a cílech rozpočtové politiky na delší časové obdo</w:t>
      </w:r>
      <w:r w:rsidR="00F056E7">
        <w:rPr>
          <w:rFonts w:eastAsia="Times New Roman"/>
        </w:rPr>
        <w:t>bí. Návrh rozpočtu se po projed</w:t>
      </w:r>
      <w:r w:rsidRPr="00FC3B7C">
        <w:rPr>
          <w:rFonts w:eastAsia="Times New Roman"/>
        </w:rPr>
        <w:t>nání ve vládě předkládá k projednání a schválení PS. Schvalování probíhá ve 3 čteních. Pro schválení je nutná prostá většina hlasů poslanců. Prezident má právo veta. Pokud se zákon nepodaří schválit do začátku rozpočtového roku, hospodaří se podle rozpočtového provizoria (vždy 1/12 rozpočtu předešlého roku na 1 měsíc, do doby než dojde ke schválení nového rozpočtu).</w:t>
      </w:r>
    </w:p>
    <w:p w14:paraId="0C49D4A8" w14:textId="77777777" w:rsidR="007E750A" w:rsidRPr="00FC3B7C" w:rsidRDefault="007E750A" w:rsidP="007E750A">
      <w:pPr>
        <w:spacing w:line="9" w:lineRule="exact"/>
        <w:rPr>
          <w:sz w:val="20"/>
          <w:szCs w:val="20"/>
        </w:rPr>
      </w:pPr>
    </w:p>
    <w:p w14:paraId="076FDA65" w14:textId="77777777" w:rsidR="007E750A" w:rsidRPr="00FC3B7C" w:rsidRDefault="007E750A" w:rsidP="007E750A">
      <w:pPr>
        <w:spacing w:line="359" w:lineRule="auto"/>
        <w:ind w:left="4"/>
        <w:rPr>
          <w:sz w:val="20"/>
          <w:szCs w:val="20"/>
        </w:rPr>
      </w:pPr>
      <w:r w:rsidRPr="00FC3B7C">
        <w:rPr>
          <w:rFonts w:eastAsia="Times New Roman"/>
          <w:szCs w:val="24"/>
        </w:rPr>
        <w:t xml:space="preserve">Za koordinace čerpání a příjmovou část rozpočtu zodpovídá MF ČR, v úzké spolupráci </w:t>
      </w:r>
      <w:r>
        <w:rPr>
          <w:rFonts w:eastAsia="Times New Roman"/>
          <w:szCs w:val="24"/>
        </w:rPr>
        <w:br/>
      </w:r>
      <w:r w:rsidRPr="00FC3B7C">
        <w:rPr>
          <w:rFonts w:eastAsia="Times New Roman"/>
          <w:szCs w:val="24"/>
        </w:rPr>
        <w:t xml:space="preserve">s ČNB, která účet spravuje. Za realizaci pak mají odpovědnost příslušné státní organizace, kterým byly finanční prostředky přiděleny. V průběhu roku se pak provádí jak průběžná kontrola (MF ČR čtvrtletně sestavuje zprávu parlamentu o vývoji hospodaření), tak i následná </w:t>
      </w:r>
      <w:r w:rsidRPr="00FC3B7C">
        <w:rPr>
          <w:rFonts w:eastAsia="Times New Roman"/>
          <w:szCs w:val="24"/>
        </w:rPr>
        <w:lastRenderedPageBreak/>
        <w:t xml:space="preserve">kontrola (pouze při zjištění nějakých nedostatků, provádí NKÚ) a závěrečná kontrola (vláda </w:t>
      </w:r>
      <w:r>
        <w:rPr>
          <w:rFonts w:eastAsia="Times New Roman"/>
          <w:szCs w:val="24"/>
        </w:rPr>
        <w:br/>
      </w:r>
      <w:r w:rsidRPr="00FC3B7C">
        <w:rPr>
          <w:rFonts w:eastAsia="Times New Roman"/>
          <w:szCs w:val="24"/>
        </w:rPr>
        <w:t>a parlament projednávají a schvalují závěrečný účet).</w:t>
      </w:r>
    </w:p>
    <w:p w14:paraId="691A125B" w14:textId="77777777" w:rsidR="007E750A" w:rsidRPr="00FC3B7C" w:rsidRDefault="007E750A" w:rsidP="007E750A">
      <w:pPr>
        <w:spacing w:line="4" w:lineRule="exact"/>
        <w:rPr>
          <w:sz w:val="20"/>
          <w:szCs w:val="20"/>
        </w:rPr>
      </w:pPr>
    </w:p>
    <w:p w14:paraId="283F19B5" w14:textId="77777777" w:rsidR="007E750A" w:rsidRPr="004B6CDE" w:rsidRDefault="007E750A" w:rsidP="007E750A">
      <w:pPr>
        <w:ind w:left="4"/>
        <w:rPr>
          <w:rFonts w:eastAsia="Times New Roman"/>
          <w:b/>
          <w:bCs/>
          <w:szCs w:val="24"/>
        </w:rPr>
      </w:pPr>
    </w:p>
    <w:p w14:paraId="17C9F6C5" w14:textId="77777777" w:rsidR="007E750A" w:rsidRPr="004B6CDE" w:rsidRDefault="007E750A" w:rsidP="007E750A">
      <w:pPr>
        <w:ind w:left="4"/>
        <w:rPr>
          <w:sz w:val="20"/>
          <w:szCs w:val="20"/>
        </w:rPr>
      </w:pPr>
      <w:r w:rsidRPr="004B6CDE">
        <w:rPr>
          <w:rFonts w:eastAsia="Times New Roman"/>
          <w:b/>
          <w:bCs/>
          <w:szCs w:val="24"/>
        </w:rPr>
        <w:t>Schválený plánovaný státní rozpočet pro rok 2020:</w:t>
      </w:r>
    </w:p>
    <w:p w14:paraId="3A0C9804" w14:textId="77777777" w:rsidR="007E750A" w:rsidRPr="004B6CDE" w:rsidRDefault="007E750A" w:rsidP="007E750A">
      <w:pPr>
        <w:numPr>
          <w:ilvl w:val="0"/>
          <w:numId w:val="88"/>
        </w:numPr>
        <w:tabs>
          <w:tab w:val="left" w:pos="720"/>
        </w:tabs>
        <w:spacing w:line="358" w:lineRule="auto"/>
        <w:ind w:left="720" w:hanging="364"/>
        <w:rPr>
          <w:rFonts w:eastAsia="Times New Roman"/>
          <w:szCs w:val="24"/>
        </w:rPr>
      </w:pPr>
      <w:r w:rsidRPr="004B6CDE">
        <w:rPr>
          <w:rFonts w:eastAsia="Times New Roman"/>
          <w:szCs w:val="24"/>
        </w:rPr>
        <w:t xml:space="preserve">Schváleny </w:t>
      </w:r>
      <w:r w:rsidRPr="004B6CDE">
        <w:rPr>
          <w:rFonts w:eastAsia="Times New Roman"/>
          <w:b/>
          <w:bCs/>
          <w:szCs w:val="24"/>
        </w:rPr>
        <w:t>celkové příjmy</w:t>
      </w:r>
      <w:r w:rsidRPr="004B6CDE">
        <w:rPr>
          <w:rFonts w:eastAsia="Times New Roman"/>
          <w:szCs w:val="24"/>
        </w:rPr>
        <w:t xml:space="preserve">: 1 578,1mld Kč, </w:t>
      </w:r>
      <w:r w:rsidRPr="004B6CDE">
        <w:rPr>
          <w:rFonts w:eastAsia="Times New Roman"/>
          <w:b/>
          <w:bCs/>
          <w:szCs w:val="24"/>
        </w:rPr>
        <w:t>celkové výdaje</w:t>
      </w:r>
      <w:r w:rsidRPr="004B6CDE">
        <w:rPr>
          <w:rFonts w:eastAsia="Times New Roman"/>
          <w:szCs w:val="24"/>
        </w:rPr>
        <w:t>: 1 618,1 mld. Kč</w:t>
      </w:r>
    </w:p>
    <w:p w14:paraId="1030B0FD" w14:textId="77777777" w:rsidR="007E750A" w:rsidRPr="004B6CDE" w:rsidRDefault="007E750A" w:rsidP="007E750A">
      <w:pPr>
        <w:spacing w:line="2" w:lineRule="exact"/>
        <w:rPr>
          <w:rFonts w:eastAsia="Times New Roman"/>
          <w:szCs w:val="24"/>
        </w:rPr>
      </w:pPr>
    </w:p>
    <w:p w14:paraId="3702A417" w14:textId="77777777" w:rsidR="007E750A" w:rsidRPr="004B6CDE" w:rsidRDefault="007E750A" w:rsidP="007E750A">
      <w:pPr>
        <w:numPr>
          <w:ilvl w:val="0"/>
          <w:numId w:val="88"/>
        </w:numPr>
        <w:tabs>
          <w:tab w:val="left" w:pos="720"/>
        </w:tabs>
        <w:ind w:left="720" w:hanging="364"/>
        <w:rPr>
          <w:rFonts w:eastAsia="Times New Roman"/>
          <w:szCs w:val="24"/>
        </w:rPr>
      </w:pPr>
      <w:r w:rsidRPr="004B6CDE">
        <w:rPr>
          <w:rFonts w:eastAsia="Times New Roman"/>
          <w:b/>
          <w:bCs/>
          <w:szCs w:val="24"/>
        </w:rPr>
        <w:t>Plánovaný schodek</w:t>
      </w:r>
      <w:r w:rsidRPr="004B6CDE">
        <w:rPr>
          <w:rFonts w:eastAsia="Times New Roman"/>
          <w:szCs w:val="24"/>
        </w:rPr>
        <w:t>: 40 mld. Kč.</w:t>
      </w:r>
    </w:p>
    <w:p w14:paraId="7B5DD973" w14:textId="77777777" w:rsidR="007E750A" w:rsidRPr="004B6CDE" w:rsidRDefault="007E750A" w:rsidP="007E750A">
      <w:pPr>
        <w:tabs>
          <w:tab w:val="left" w:pos="720"/>
        </w:tabs>
        <w:rPr>
          <w:rFonts w:eastAsia="Times New Roman"/>
          <w:szCs w:val="24"/>
        </w:rPr>
      </w:pPr>
    </w:p>
    <w:p w14:paraId="5A6BFB79" w14:textId="77777777" w:rsidR="007E750A" w:rsidRPr="004B6CDE" w:rsidRDefault="007E750A" w:rsidP="007E750A">
      <w:pPr>
        <w:tabs>
          <w:tab w:val="left" w:pos="724"/>
        </w:tabs>
        <w:rPr>
          <w:rFonts w:eastAsia="Times New Roman"/>
          <w:szCs w:val="24"/>
        </w:rPr>
      </w:pPr>
      <w:r w:rsidRPr="004B6CDE">
        <w:rPr>
          <w:rFonts w:eastAsia="Times New Roman"/>
          <w:b/>
          <w:bCs/>
          <w:szCs w:val="24"/>
        </w:rPr>
        <w:t>Skutečné příjmy a výdaje za rok 2019:</w:t>
      </w:r>
    </w:p>
    <w:p w14:paraId="7B9B43F8" w14:textId="067C1A3C" w:rsidR="007E750A" w:rsidRPr="004B6CDE" w:rsidRDefault="007E750A" w:rsidP="007E750A">
      <w:pPr>
        <w:numPr>
          <w:ilvl w:val="0"/>
          <w:numId w:val="87"/>
        </w:numPr>
        <w:tabs>
          <w:tab w:val="left" w:pos="724"/>
        </w:tabs>
        <w:ind w:left="724" w:hanging="364"/>
        <w:rPr>
          <w:rFonts w:eastAsia="Times New Roman"/>
          <w:szCs w:val="24"/>
        </w:rPr>
      </w:pPr>
      <w:r w:rsidRPr="004B6CDE">
        <w:rPr>
          <w:rFonts w:eastAsia="Times New Roman"/>
          <w:b/>
          <w:bCs/>
          <w:szCs w:val="24"/>
        </w:rPr>
        <w:t>příjmy:</w:t>
      </w:r>
      <w:r w:rsidRPr="004B6CDE">
        <w:rPr>
          <w:rFonts w:eastAsia="Times New Roman"/>
          <w:szCs w:val="24"/>
        </w:rPr>
        <w:t xml:space="preserve"> 1 523,2 mld. Kč, </w:t>
      </w:r>
      <w:r w:rsidRPr="004B6CDE">
        <w:rPr>
          <w:rFonts w:eastAsia="Times New Roman"/>
          <w:b/>
          <w:bCs/>
          <w:szCs w:val="24"/>
        </w:rPr>
        <w:t xml:space="preserve">výdaje </w:t>
      </w:r>
      <w:r w:rsidRPr="004B6CDE">
        <w:rPr>
          <w:rFonts w:eastAsia="Times New Roman"/>
          <w:szCs w:val="24"/>
        </w:rPr>
        <w:t xml:space="preserve">1 551,7 mld. Kč, </w:t>
      </w:r>
      <w:r w:rsidRPr="004B6CDE">
        <w:rPr>
          <w:rFonts w:eastAsia="Times New Roman"/>
          <w:b/>
          <w:bCs/>
          <w:szCs w:val="24"/>
        </w:rPr>
        <w:t>schodek</w:t>
      </w:r>
      <w:r w:rsidRPr="004B6CDE">
        <w:rPr>
          <w:rFonts w:eastAsia="Times New Roman"/>
          <w:szCs w:val="24"/>
        </w:rPr>
        <w:t xml:space="preserve"> 28,5 </w:t>
      </w:r>
      <w:r w:rsidR="00F056E7" w:rsidRPr="004B6CDE">
        <w:rPr>
          <w:rFonts w:eastAsia="Times New Roman"/>
          <w:szCs w:val="24"/>
        </w:rPr>
        <w:t>mld. Kč</w:t>
      </w:r>
      <w:r w:rsidRPr="004B6CDE">
        <w:rPr>
          <w:rFonts w:eastAsia="Times New Roman"/>
          <w:szCs w:val="24"/>
        </w:rPr>
        <w:t xml:space="preserve"> (plánovaný 40 mld. Kč)</w:t>
      </w:r>
    </w:p>
    <w:p w14:paraId="0E8B7A55" w14:textId="447CC1A6" w:rsidR="007E750A" w:rsidRPr="00FC3B7C" w:rsidRDefault="007E750A" w:rsidP="007E750A">
      <w:pPr>
        <w:numPr>
          <w:ilvl w:val="0"/>
          <w:numId w:val="87"/>
        </w:numPr>
        <w:tabs>
          <w:tab w:val="left" w:pos="724"/>
        </w:tabs>
        <w:ind w:left="724" w:hanging="364"/>
        <w:rPr>
          <w:rFonts w:eastAsia="Times New Roman"/>
          <w:szCs w:val="24"/>
        </w:rPr>
      </w:pPr>
      <w:r w:rsidRPr="004B6CDE">
        <w:rPr>
          <w:rFonts w:eastAsia="Times New Roman"/>
          <w:szCs w:val="24"/>
        </w:rPr>
        <w:t>v rámci sch</w:t>
      </w:r>
      <w:r w:rsidR="00F056E7">
        <w:rPr>
          <w:rFonts w:eastAsia="Times New Roman"/>
          <w:szCs w:val="24"/>
        </w:rPr>
        <w:t>válení SR jsou vytvořeny základní</w:t>
      </w:r>
      <w:r w:rsidRPr="004B6CDE">
        <w:rPr>
          <w:rFonts w:eastAsia="Times New Roman"/>
          <w:szCs w:val="24"/>
        </w:rPr>
        <w:t xml:space="preserve"> předpoklady </w:t>
      </w:r>
      <w:r w:rsidRPr="00FC3B7C">
        <w:rPr>
          <w:rFonts w:eastAsia="Times New Roman"/>
          <w:szCs w:val="24"/>
        </w:rPr>
        <w:t>pro plnění priorit vlády:</w:t>
      </w:r>
    </w:p>
    <w:p w14:paraId="17E0BE76" w14:textId="77777777" w:rsidR="007E750A" w:rsidRPr="00FC3B7C" w:rsidRDefault="007E750A" w:rsidP="007E750A">
      <w:pPr>
        <w:numPr>
          <w:ilvl w:val="1"/>
          <w:numId w:val="87"/>
        </w:numPr>
        <w:tabs>
          <w:tab w:val="left" w:pos="1284"/>
        </w:tabs>
        <w:ind w:left="1284" w:hanging="368"/>
        <w:rPr>
          <w:rFonts w:eastAsia="Times New Roman"/>
          <w:szCs w:val="24"/>
        </w:rPr>
      </w:pPr>
      <w:r w:rsidRPr="00FC3B7C">
        <w:rPr>
          <w:rFonts w:eastAsia="Times New Roman"/>
          <w:szCs w:val="24"/>
        </w:rPr>
        <w:t>výstavba, obnova infrastruktury</w:t>
      </w:r>
      <w:r>
        <w:rPr>
          <w:rFonts w:eastAsia="Times New Roman"/>
          <w:szCs w:val="24"/>
        </w:rPr>
        <w:t>,</w:t>
      </w:r>
    </w:p>
    <w:p w14:paraId="23F77575" w14:textId="77777777" w:rsidR="007E750A" w:rsidRPr="00FC3B7C" w:rsidRDefault="007E750A" w:rsidP="007E750A">
      <w:pPr>
        <w:numPr>
          <w:ilvl w:val="1"/>
          <w:numId w:val="87"/>
        </w:numPr>
        <w:tabs>
          <w:tab w:val="left" w:pos="1284"/>
        </w:tabs>
        <w:ind w:left="1284" w:hanging="368"/>
        <w:rPr>
          <w:rFonts w:eastAsia="Times New Roman"/>
          <w:szCs w:val="24"/>
        </w:rPr>
      </w:pPr>
      <w:r w:rsidRPr="00FC3B7C">
        <w:rPr>
          <w:rFonts w:eastAsia="Times New Roman"/>
          <w:szCs w:val="24"/>
        </w:rPr>
        <w:t>modernizace průmyslu</w:t>
      </w:r>
      <w:r>
        <w:rPr>
          <w:rFonts w:eastAsia="Times New Roman"/>
          <w:szCs w:val="24"/>
        </w:rPr>
        <w:t>:</w:t>
      </w:r>
    </w:p>
    <w:p w14:paraId="6761D302" w14:textId="77777777" w:rsidR="007E750A" w:rsidRPr="00FC3B7C" w:rsidRDefault="007E750A" w:rsidP="007E750A">
      <w:pPr>
        <w:numPr>
          <w:ilvl w:val="2"/>
          <w:numId w:val="87"/>
        </w:numPr>
        <w:tabs>
          <w:tab w:val="left" w:pos="1704"/>
        </w:tabs>
        <w:ind w:left="1704" w:hanging="363"/>
        <w:rPr>
          <w:rFonts w:eastAsia="Times New Roman"/>
          <w:szCs w:val="24"/>
        </w:rPr>
      </w:pPr>
      <w:r w:rsidRPr="00FC3B7C">
        <w:rPr>
          <w:rFonts w:eastAsia="Times New Roman"/>
          <w:szCs w:val="24"/>
        </w:rPr>
        <w:t>zkvalitnění veř. služeb v oblasti školství, zdravotnictví, soc. systému</w:t>
      </w:r>
      <w:r>
        <w:rPr>
          <w:rFonts w:eastAsia="Times New Roman"/>
          <w:szCs w:val="24"/>
        </w:rPr>
        <w:t>,</w:t>
      </w:r>
    </w:p>
    <w:p w14:paraId="2EE8D4D6" w14:textId="77777777" w:rsidR="007E750A" w:rsidRPr="00FC3B7C" w:rsidRDefault="007E750A" w:rsidP="007E750A">
      <w:pPr>
        <w:numPr>
          <w:ilvl w:val="2"/>
          <w:numId w:val="87"/>
        </w:numPr>
        <w:tabs>
          <w:tab w:val="left" w:pos="1704"/>
        </w:tabs>
        <w:ind w:left="1704" w:hanging="363"/>
        <w:rPr>
          <w:rFonts w:eastAsia="Times New Roman"/>
          <w:szCs w:val="24"/>
        </w:rPr>
      </w:pPr>
      <w:r w:rsidRPr="00FC3B7C">
        <w:rPr>
          <w:rFonts w:eastAsia="Times New Roman"/>
          <w:szCs w:val="24"/>
        </w:rPr>
        <w:t xml:space="preserve">zlepšení efektivity výběru daní, zamezení obcházení daň. </w:t>
      </w:r>
      <w:r>
        <w:rPr>
          <w:rFonts w:eastAsia="Times New Roman"/>
          <w:szCs w:val="24"/>
        </w:rPr>
        <w:t>p</w:t>
      </w:r>
      <w:r w:rsidRPr="00FC3B7C">
        <w:rPr>
          <w:rFonts w:eastAsia="Times New Roman"/>
          <w:szCs w:val="24"/>
        </w:rPr>
        <w:t>ředpisů</w:t>
      </w:r>
      <w:r>
        <w:rPr>
          <w:rFonts w:eastAsia="Times New Roman"/>
          <w:szCs w:val="24"/>
        </w:rPr>
        <w:t>,</w:t>
      </w:r>
    </w:p>
    <w:p w14:paraId="3539D8CE" w14:textId="77777777" w:rsidR="007E750A" w:rsidRPr="00FC3B7C" w:rsidRDefault="007E750A" w:rsidP="007E750A">
      <w:pPr>
        <w:numPr>
          <w:ilvl w:val="2"/>
          <w:numId w:val="87"/>
        </w:numPr>
        <w:tabs>
          <w:tab w:val="left" w:pos="1704"/>
        </w:tabs>
        <w:ind w:left="1704" w:hanging="363"/>
        <w:rPr>
          <w:rFonts w:eastAsia="Times New Roman"/>
          <w:szCs w:val="24"/>
        </w:rPr>
      </w:pPr>
      <w:r w:rsidRPr="00FC3B7C">
        <w:rPr>
          <w:rFonts w:eastAsia="Times New Roman"/>
          <w:szCs w:val="24"/>
        </w:rPr>
        <w:t>valorizace důchodů</w:t>
      </w:r>
      <w:r>
        <w:rPr>
          <w:rFonts w:eastAsia="Times New Roman"/>
          <w:szCs w:val="24"/>
        </w:rPr>
        <w:t>,</w:t>
      </w:r>
    </w:p>
    <w:p w14:paraId="073F201F" w14:textId="1F461341" w:rsidR="007E750A" w:rsidRPr="00FC3B7C" w:rsidRDefault="007E750A" w:rsidP="007E750A">
      <w:pPr>
        <w:numPr>
          <w:ilvl w:val="2"/>
          <w:numId w:val="87"/>
        </w:numPr>
        <w:tabs>
          <w:tab w:val="left" w:pos="1704"/>
        </w:tabs>
        <w:ind w:left="1704" w:hanging="363"/>
        <w:rPr>
          <w:rFonts w:eastAsia="Times New Roman"/>
          <w:szCs w:val="24"/>
        </w:rPr>
      </w:pPr>
      <w:r w:rsidRPr="00FC3B7C">
        <w:rPr>
          <w:rFonts w:eastAsia="Times New Roman"/>
          <w:szCs w:val="24"/>
        </w:rPr>
        <w:t xml:space="preserve">dodržení </w:t>
      </w:r>
      <w:r w:rsidR="00F056E7" w:rsidRPr="00FC3B7C">
        <w:rPr>
          <w:rFonts w:eastAsia="Times New Roman"/>
          <w:szCs w:val="24"/>
        </w:rPr>
        <w:t>Maastrichtských</w:t>
      </w:r>
      <w:r w:rsidRPr="00FC3B7C">
        <w:rPr>
          <w:rFonts w:eastAsia="Times New Roman"/>
          <w:szCs w:val="24"/>
        </w:rPr>
        <w:t xml:space="preserve"> kritérií</w:t>
      </w:r>
      <w:r>
        <w:rPr>
          <w:rStyle w:val="Znakapoznpodarou"/>
          <w:rFonts w:eastAsia="Times New Roman"/>
          <w:szCs w:val="24"/>
        </w:rPr>
        <w:footnoteReference w:id="31"/>
      </w:r>
      <w:r>
        <w:rPr>
          <w:rFonts w:eastAsia="Times New Roman"/>
          <w:szCs w:val="24"/>
        </w:rPr>
        <w:t>.</w:t>
      </w:r>
    </w:p>
    <w:p w14:paraId="1BBFEB1A" w14:textId="77777777" w:rsidR="007E750A" w:rsidRPr="002144A1" w:rsidRDefault="007E750A" w:rsidP="007E750A">
      <w:pPr>
        <w:pStyle w:val="Nadpis3"/>
        <w:rPr>
          <w:color w:val="1F3864" w:themeColor="accent1" w:themeShade="80"/>
        </w:rPr>
      </w:pPr>
      <w:bookmarkStart w:id="96" w:name="page93"/>
      <w:bookmarkEnd w:id="96"/>
      <w:r w:rsidRPr="002144A1">
        <w:rPr>
          <w:rFonts w:eastAsia="Times New Roman"/>
          <w:color w:val="1F3864" w:themeColor="accent1" w:themeShade="80"/>
        </w:rPr>
        <w:t xml:space="preserve">Kolektivní </w:t>
      </w:r>
      <w:r w:rsidRPr="002144A1">
        <w:rPr>
          <w:color w:val="1F3864" w:themeColor="accent1" w:themeShade="80"/>
        </w:rPr>
        <w:t>vyjednávání</w:t>
      </w:r>
    </w:p>
    <w:p w14:paraId="2CAB13DF" w14:textId="77777777" w:rsidR="007E750A" w:rsidRPr="00FC3B7C" w:rsidRDefault="007E750A" w:rsidP="007E750A">
      <w:pPr>
        <w:rPr>
          <w:sz w:val="20"/>
          <w:szCs w:val="20"/>
        </w:rPr>
      </w:pPr>
      <w:r>
        <w:rPr>
          <w:rFonts w:eastAsia="Times New Roman"/>
          <w:b/>
          <w:bCs/>
          <w:szCs w:val="24"/>
        </w:rPr>
        <w:t>Z</w:t>
      </w:r>
      <w:r w:rsidRPr="00FC3B7C">
        <w:rPr>
          <w:rFonts w:eastAsia="Times New Roman"/>
          <w:b/>
          <w:bCs/>
          <w:szCs w:val="24"/>
        </w:rPr>
        <w:t>ÁKON O OBCHODNÍCH KORPORACÍCH</w:t>
      </w:r>
    </w:p>
    <w:p w14:paraId="3A261A2B" w14:textId="77777777" w:rsidR="007E750A" w:rsidRPr="00FC3B7C" w:rsidRDefault="007E750A" w:rsidP="007E750A">
      <w:pPr>
        <w:numPr>
          <w:ilvl w:val="0"/>
          <w:numId w:val="89"/>
        </w:numPr>
        <w:tabs>
          <w:tab w:val="left" w:pos="1140"/>
        </w:tabs>
        <w:spacing w:line="361" w:lineRule="auto"/>
        <w:ind w:left="1140" w:right="100" w:hanging="370"/>
        <w:rPr>
          <w:rFonts w:eastAsia="Times New Roman"/>
          <w:szCs w:val="24"/>
        </w:rPr>
      </w:pPr>
      <w:r w:rsidRPr="00FC3B7C">
        <w:rPr>
          <w:rFonts w:eastAsia="Times New Roman"/>
          <w:szCs w:val="24"/>
        </w:rPr>
        <w:t xml:space="preserve">zákon č. 90/2012 Sb., o obchodních společnostech a družstvech (zákon </w:t>
      </w:r>
      <w:r>
        <w:rPr>
          <w:rFonts w:eastAsia="Times New Roman"/>
          <w:szCs w:val="24"/>
        </w:rPr>
        <w:br/>
      </w:r>
      <w:r w:rsidRPr="00FC3B7C">
        <w:rPr>
          <w:rFonts w:eastAsia="Times New Roman"/>
          <w:szCs w:val="24"/>
        </w:rPr>
        <w:t>o obchodních korporacích).</w:t>
      </w:r>
    </w:p>
    <w:p w14:paraId="62C6BA63" w14:textId="77777777" w:rsidR="007E750A" w:rsidRPr="00FC3B7C" w:rsidRDefault="007E750A" w:rsidP="007E750A">
      <w:pPr>
        <w:numPr>
          <w:ilvl w:val="0"/>
          <w:numId w:val="89"/>
        </w:numPr>
        <w:tabs>
          <w:tab w:val="left" w:pos="1140"/>
        </w:tabs>
        <w:ind w:left="1140" w:hanging="370"/>
        <w:rPr>
          <w:rFonts w:eastAsia="Times New Roman"/>
          <w:szCs w:val="24"/>
        </w:rPr>
      </w:pPr>
      <w:r w:rsidRPr="00FC3B7C">
        <w:rPr>
          <w:rFonts w:eastAsia="Times New Roman"/>
          <w:szCs w:val="24"/>
        </w:rPr>
        <w:t>Zčásti nahradil dosavadní obchodní zákoník.</w:t>
      </w:r>
    </w:p>
    <w:p w14:paraId="7CE94ED7" w14:textId="77777777" w:rsidR="007E750A" w:rsidRPr="00FC3B7C" w:rsidRDefault="007E750A" w:rsidP="007E750A">
      <w:pPr>
        <w:numPr>
          <w:ilvl w:val="0"/>
          <w:numId w:val="89"/>
        </w:numPr>
        <w:tabs>
          <w:tab w:val="left" w:pos="1140"/>
        </w:tabs>
        <w:spacing w:line="358" w:lineRule="auto"/>
        <w:ind w:left="1140" w:hanging="370"/>
        <w:rPr>
          <w:rFonts w:eastAsia="Times New Roman"/>
          <w:szCs w:val="24"/>
        </w:rPr>
      </w:pPr>
      <w:r w:rsidRPr="00FC3B7C">
        <w:rPr>
          <w:rFonts w:eastAsia="Times New Roman"/>
          <w:szCs w:val="24"/>
        </w:rPr>
        <w:t>Upravuje především obchodních společností a družstva, obchodní závazkové právo je obsaženo v novém občanském zákoníku!</w:t>
      </w:r>
    </w:p>
    <w:p w14:paraId="1D827702" w14:textId="77777777" w:rsidR="007E750A" w:rsidRPr="00FC3B7C" w:rsidRDefault="007E750A" w:rsidP="007E750A">
      <w:pPr>
        <w:spacing w:line="2" w:lineRule="exact"/>
        <w:rPr>
          <w:rFonts w:eastAsia="Times New Roman"/>
          <w:szCs w:val="24"/>
        </w:rPr>
      </w:pPr>
    </w:p>
    <w:p w14:paraId="311C4698" w14:textId="77777777" w:rsidR="007E750A" w:rsidRPr="00FC3B7C" w:rsidRDefault="007E750A" w:rsidP="007E750A">
      <w:pPr>
        <w:numPr>
          <w:ilvl w:val="0"/>
          <w:numId w:val="89"/>
        </w:numPr>
        <w:tabs>
          <w:tab w:val="left" w:pos="1140"/>
        </w:tabs>
        <w:ind w:left="1140" w:hanging="370"/>
        <w:rPr>
          <w:rFonts w:eastAsia="Times New Roman"/>
          <w:szCs w:val="24"/>
        </w:rPr>
      </w:pPr>
      <w:r w:rsidRPr="00FC3B7C">
        <w:rPr>
          <w:rFonts w:eastAsia="Times New Roman"/>
          <w:szCs w:val="24"/>
        </w:rPr>
        <w:t>Změny například:</w:t>
      </w:r>
    </w:p>
    <w:p w14:paraId="24CCF7E8" w14:textId="77777777" w:rsidR="007E750A" w:rsidRPr="00FC3B7C" w:rsidRDefault="007E750A" w:rsidP="007E750A">
      <w:pPr>
        <w:numPr>
          <w:ilvl w:val="0"/>
          <w:numId w:val="90"/>
        </w:numPr>
        <w:tabs>
          <w:tab w:val="left" w:pos="1800"/>
        </w:tabs>
        <w:ind w:left="1800" w:hanging="364"/>
        <w:rPr>
          <w:rFonts w:eastAsia="Courier New"/>
          <w:szCs w:val="24"/>
        </w:rPr>
      </w:pPr>
      <w:r>
        <w:rPr>
          <w:rFonts w:eastAsia="Times New Roman"/>
          <w:szCs w:val="24"/>
        </w:rPr>
        <w:t>p</w:t>
      </w:r>
      <w:r w:rsidRPr="00FC3B7C">
        <w:rPr>
          <w:rFonts w:eastAsia="Times New Roman"/>
          <w:szCs w:val="24"/>
        </w:rPr>
        <w:t>ovinnosti pro akciové společnosti, trestní odpovědnost firem</w:t>
      </w:r>
      <w:r>
        <w:rPr>
          <w:rFonts w:eastAsia="Times New Roman"/>
          <w:szCs w:val="24"/>
        </w:rPr>
        <w:t>,</w:t>
      </w:r>
    </w:p>
    <w:p w14:paraId="664F4C15" w14:textId="77777777" w:rsidR="007E750A" w:rsidRPr="00FC3B7C" w:rsidRDefault="007E750A" w:rsidP="007E750A">
      <w:pPr>
        <w:spacing w:line="117" w:lineRule="exact"/>
        <w:rPr>
          <w:sz w:val="20"/>
          <w:szCs w:val="20"/>
        </w:rPr>
      </w:pPr>
    </w:p>
    <w:p w14:paraId="0B26A271" w14:textId="77777777" w:rsidR="007E750A" w:rsidRPr="00FC3B7C" w:rsidRDefault="007E750A" w:rsidP="007E750A">
      <w:pPr>
        <w:numPr>
          <w:ilvl w:val="0"/>
          <w:numId w:val="91"/>
        </w:numPr>
        <w:tabs>
          <w:tab w:val="left" w:pos="1800"/>
        </w:tabs>
        <w:ind w:left="1800" w:hanging="364"/>
        <w:rPr>
          <w:rFonts w:eastAsia="Courier New"/>
          <w:szCs w:val="24"/>
        </w:rPr>
      </w:pPr>
      <w:r>
        <w:rPr>
          <w:rFonts w:eastAsia="Times New Roman"/>
          <w:szCs w:val="24"/>
        </w:rPr>
        <w:t>z</w:t>
      </w:r>
      <w:r w:rsidRPr="00FC3B7C">
        <w:rPr>
          <w:rFonts w:eastAsia="Times New Roman"/>
          <w:szCs w:val="24"/>
        </w:rPr>
        <w:t>měny zápisu u s.r.o</w:t>
      </w:r>
      <w:r>
        <w:rPr>
          <w:rFonts w:eastAsia="Times New Roman"/>
          <w:szCs w:val="24"/>
        </w:rPr>
        <w:t>,</w:t>
      </w:r>
    </w:p>
    <w:p w14:paraId="6432703D" w14:textId="77777777" w:rsidR="007E750A" w:rsidRPr="00FC3B7C" w:rsidRDefault="007E750A" w:rsidP="007E750A">
      <w:pPr>
        <w:spacing w:line="112" w:lineRule="exact"/>
        <w:rPr>
          <w:sz w:val="20"/>
          <w:szCs w:val="20"/>
        </w:rPr>
      </w:pPr>
    </w:p>
    <w:p w14:paraId="7E08ADEC" w14:textId="77777777" w:rsidR="007E750A" w:rsidRPr="00FC3B7C" w:rsidRDefault="007E750A" w:rsidP="007E750A">
      <w:pPr>
        <w:numPr>
          <w:ilvl w:val="0"/>
          <w:numId w:val="92"/>
        </w:numPr>
        <w:tabs>
          <w:tab w:val="left" w:pos="1800"/>
        </w:tabs>
        <w:ind w:left="1800" w:hanging="364"/>
        <w:rPr>
          <w:rFonts w:eastAsia="Courier New"/>
          <w:szCs w:val="24"/>
        </w:rPr>
      </w:pPr>
      <w:r>
        <w:rPr>
          <w:rFonts w:eastAsia="Times New Roman"/>
          <w:szCs w:val="24"/>
        </w:rPr>
        <w:t>z</w:t>
      </w:r>
      <w:r w:rsidRPr="00FC3B7C">
        <w:rPr>
          <w:rFonts w:eastAsia="Times New Roman"/>
          <w:szCs w:val="24"/>
        </w:rPr>
        <w:t>měny společenských smluv</w:t>
      </w:r>
      <w:r>
        <w:rPr>
          <w:rFonts w:eastAsia="Times New Roman"/>
          <w:szCs w:val="24"/>
        </w:rPr>
        <w:t>.</w:t>
      </w:r>
    </w:p>
    <w:p w14:paraId="2E0527CD" w14:textId="77777777" w:rsidR="007E750A" w:rsidRPr="00FC3B7C" w:rsidRDefault="007E750A" w:rsidP="007E750A">
      <w:pPr>
        <w:rPr>
          <w:sz w:val="20"/>
          <w:szCs w:val="20"/>
        </w:rPr>
      </w:pPr>
      <w:r w:rsidRPr="00FC3B7C">
        <w:rPr>
          <w:rFonts w:eastAsia="Times New Roman"/>
        </w:rPr>
        <w:lastRenderedPageBreak/>
        <w:t xml:space="preserve">Poslanecká sněmovna zákon o obchodních korporacích schválila 16. prosince 2011, Senát </w:t>
      </w:r>
      <w:r>
        <w:rPr>
          <w:rFonts w:eastAsia="Times New Roman"/>
        </w:rPr>
        <w:br/>
      </w:r>
      <w:r w:rsidRPr="00FC3B7C">
        <w:rPr>
          <w:rFonts w:eastAsia="Times New Roman"/>
        </w:rPr>
        <w:t>25. ledna 2012 a prezident republiky jej podepsal 20. února. Účinnosti zákon, stejně jako nový občanský zákoník, nabyl 1. ledna 2014.</w:t>
      </w:r>
    </w:p>
    <w:p w14:paraId="16D4C110" w14:textId="77777777" w:rsidR="007E750A" w:rsidRPr="00FC3B7C" w:rsidRDefault="007E750A" w:rsidP="007E750A">
      <w:pPr>
        <w:spacing w:line="184" w:lineRule="exact"/>
        <w:rPr>
          <w:sz w:val="20"/>
          <w:szCs w:val="20"/>
        </w:rPr>
      </w:pPr>
    </w:p>
    <w:p w14:paraId="7AFF3144" w14:textId="77777777" w:rsidR="007E750A" w:rsidRPr="002144A1" w:rsidRDefault="007E750A" w:rsidP="007E750A">
      <w:pPr>
        <w:pStyle w:val="Nadpis3"/>
        <w:rPr>
          <w:color w:val="1F3864" w:themeColor="accent1" w:themeShade="80"/>
          <w:sz w:val="20"/>
          <w:szCs w:val="20"/>
        </w:rPr>
      </w:pPr>
      <w:r w:rsidRPr="002144A1">
        <w:rPr>
          <w:rFonts w:eastAsia="Times New Roman"/>
          <w:color w:val="1F3864" w:themeColor="accent1" w:themeShade="80"/>
        </w:rPr>
        <w:t>Kolektivní vyjednávání</w:t>
      </w:r>
    </w:p>
    <w:p w14:paraId="2B11EF39" w14:textId="77777777" w:rsidR="007E750A" w:rsidRPr="00FC3B7C" w:rsidRDefault="007E750A" w:rsidP="007E750A">
      <w:pPr>
        <w:spacing w:line="370" w:lineRule="auto"/>
        <w:rPr>
          <w:sz w:val="20"/>
          <w:szCs w:val="20"/>
        </w:rPr>
      </w:pPr>
      <w:r w:rsidRPr="00FC3B7C">
        <w:rPr>
          <w:rFonts w:eastAsia="Times New Roman"/>
          <w:szCs w:val="24"/>
        </w:rPr>
        <w:t>Vyjednávání o výši mzdy a dalších pracovních podmínkách zaměstnanců mezi zaměstnavateli a odbory, za případné účasti státu. Výsledkem úspěšného vyjednávání je kolektivní smlouva. V roce 1990 u nás vznikla Rada hospodářské a sociální dohody ČR, jejímž prostřednictvím dochází k tomuto kolektivnímu jednání 3 stran (= tripartity).</w:t>
      </w:r>
    </w:p>
    <w:p w14:paraId="6A131860" w14:textId="77777777" w:rsidR="007E750A" w:rsidRPr="00FC3B7C" w:rsidRDefault="007E750A" w:rsidP="007E750A">
      <w:pPr>
        <w:spacing w:line="20" w:lineRule="exact"/>
        <w:rPr>
          <w:sz w:val="20"/>
          <w:szCs w:val="20"/>
        </w:rPr>
      </w:pPr>
      <w:r w:rsidRPr="00FC3B7C">
        <w:rPr>
          <w:noProof/>
          <w:sz w:val="20"/>
          <w:szCs w:val="20"/>
        </w:rPr>
        <w:drawing>
          <wp:anchor distT="0" distB="0" distL="114300" distR="114300" simplePos="0" relativeHeight="251787776" behindDoc="1" locked="0" layoutInCell="0" allowOverlap="1" wp14:anchorId="79ACB3EE" wp14:editId="6FBD6AE3">
            <wp:simplePos x="0" y="0"/>
            <wp:positionH relativeFrom="column">
              <wp:posOffset>3946525</wp:posOffset>
            </wp:positionH>
            <wp:positionV relativeFrom="paragraph">
              <wp:posOffset>6985</wp:posOffset>
            </wp:positionV>
            <wp:extent cx="2030095" cy="877570"/>
            <wp:effectExtent l="0" t="0" r="825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srcRect/>
                    <a:stretch>
                      <a:fillRect/>
                    </a:stretch>
                  </pic:blipFill>
                  <pic:spPr bwMode="auto">
                    <a:xfrm>
                      <a:off x="0" y="0"/>
                      <a:ext cx="2030095" cy="877570"/>
                    </a:xfrm>
                    <a:prstGeom prst="rect">
                      <a:avLst/>
                    </a:prstGeom>
                    <a:noFill/>
                  </pic:spPr>
                </pic:pic>
              </a:graphicData>
            </a:graphic>
          </wp:anchor>
        </w:drawing>
      </w:r>
    </w:p>
    <w:p w14:paraId="799AFD54" w14:textId="77777777" w:rsidR="007E750A" w:rsidRPr="002144A1" w:rsidRDefault="007E750A" w:rsidP="007E750A">
      <w:pPr>
        <w:rPr>
          <w:color w:val="1F3864" w:themeColor="accent1" w:themeShade="80"/>
        </w:rPr>
      </w:pPr>
    </w:p>
    <w:p w14:paraId="49F57348" w14:textId="77777777" w:rsidR="007E750A" w:rsidRPr="002144A1" w:rsidRDefault="007E750A" w:rsidP="007E750A">
      <w:pPr>
        <w:pStyle w:val="Nadpis2"/>
        <w:rPr>
          <w:color w:val="1F3864" w:themeColor="accent1" w:themeShade="80"/>
          <w:sz w:val="20"/>
          <w:szCs w:val="20"/>
        </w:rPr>
      </w:pPr>
      <w:bookmarkStart w:id="97" w:name="page95"/>
      <w:bookmarkEnd w:id="97"/>
      <w:r w:rsidRPr="002144A1">
        <w:rPr>
          <w:rFonts w:eastAsia="Times New Roman"/>
          <w:color w:val="1F3864" w:themeColor="accent1" w:themeShade="80"/>
        </w:rPr>
        <w:t>LEGISLATIVNÍ PROCES</w:t>
      </w:r>
      <w:r>
        <w:rPr>
          <w:rFonts w:eastAsia="Times New Roman"/>
          <w:color w:val="1F3864" w:themeColor="accent1" w:themeShade="80"/>
        </w:rPr>
        <w:t xml:space="preserve"> </w:t>
      </w:r>
      <w:r w:rsidRPr="002144A1">
        <w:rPr>
          <w:rStyle w:val="Znakapoznpodarou"/>
          <w:rFonts w:eastAsia="Times New Roman"/>
          <w:color w:val="1F3864" w:themeColor="accent1" w:themeShade="80"/>
        </w:rPr>
        <w:footnoteReference w:id="32"/>
      </w:r>
    </w:p>
    <w:p w14:paraId="68545D0E" w14:textId="77777777" w:rsidR="007E750A" w:rsidRPr="00FC3B7C" w:rsidRDefault="007E750A" w:rsidP="007E750A">
      <w:pPr>
        <w:spacing w:line="384" w:lineRule="exact"/>
        <w:rPr>
          <w:sz w:val="20"/>
          <w:szCs w:val="20"/>
        </w:rPr>
      </w:pPr>
    </w:p>
    <w:p w14:paraId="0782E25E" w14:textId="77777777" w:rsidR="007E750A" w:rsidRPr="00FC3B7C" w:rsidRDefault="007E750A" w:rsidP="007E750A">
      <w:pPr>
        <w:numPr>
          <w:ilvl w:val="0"/>
          <w:numId w:val="93"/>
        </w:numPr>
        <w:tabs>
          <w:tab w:val="left" w:pos="724"/>
        </w:tabs>
        <w:spacing w:line="366" w:lineRule="auto"/>
        <w:ind w:left="724" w:hanging="364"/>
        <w:rPr>
          <w:rFonts w:eastAsia="Arial"/>
          <w:szCs w:val="24"/>
        </w:rPr>
      </w:pPr>
      <w:r w:rsidRPr="00FC3B7C">
        <w:rPr>
          <w:rFonts w:eastAsia="Times New Roman"/>
          <w:szCs w:val="24"/>
        </w:rPr>
        <w:t xml:space="preserve">Návrhy zákonů se předkládají </w:t>
      </w:r>
      <w:r w:rsidRPr="00FC3B7C">
        <w:rPr>
          <w:rFonts w:eastAsia="Times New Roman"/>
          <w:b/>
          <w:bCs/>
          <w:szCs w:val="24"/>
          <w:u w:val="single"/>
        </w:rPr>
        <w:t>předsedovi Poslanecké sněmovny</w:t>
      </w:r>
      <w:r w:rsidRPr="00FC3B7C">
        <w:rPr>
          <w:rFonts w:eastAsia="Times New Roman"/>
          <w:szCs w:val="24"/>
        </w:rPr>
        <w:t xml:space="preserve"> a podle Ústavy tak může učinit </w:t>
      </w:r>
      <w:r w:rsidRPr="00FC3B7C">
        <w:rPr>
          <w:rFonts w:eastAsia="Times New Roman"/>
          <w:b/>
          <w:bCs/>
          <w:szCs w:val="24"/>
          <w:u w:val="single"/>
        </w:rPr>
        <w:t>poslanec, skupina poslanců, Sená</w:t>
      </w:r>
      <w:r w:rsidRPr="00FC3B7C">
        <w:rPr>
          <w:rFonts w:eastAsia="Times New Roman"/>
          <w:szCs w:val="24"/>
          <w:u w:val="single"/>
        </w:rPr>
        <w:t>t</w:t>
      </w:r>
      <w:r w:rsidRPr="00FC3B7C">
        <w:rPr>
          <w:rFonts w:eastAsia="Times New Roman"/>
          <w:szCs w:val="24"/>
        </w:rPr>
        <w:t xml:space="preserve"> (pouze jako celek), </w:t>
      </w:r>
      <w:r w:rsidRPr="00FC3B7C">
        <w:rPr>
          <w:rFonts w:eastAsia="Times New Roman"/>
          <w:b/>
          <w:bCs/>
          <w:szCs w:val="24"/>
          <w:u w:val="single"/>
        </w:rPr>
        <w:t>vláda a krajská</w:t>
      </w:r>
      <w:r w:rsidRPr="00FC3B7C">
        <w:rPr>
          <w:rFonts w:eastAsia="Times New Roman"/>
          <w:szCs w:val="24"/>
        </w:rPr>
        <w:t xml:space="preserve"> </w:t>
      </w:r>
      <w:r w:rsidRPr="00FC3B7C">
        <w:rPr>
          <w:rFonts w:eastAsia="Times New Roman"/>
          <w:b/>
          <w:bCs/>
          <w:szCs w:val="24"/>
          <w:u w:val="single"/>
        </w:rPr>
        <w:t>zastupitelstva</w:t>
      </w:r>
      <w:r w:rsidRPr="00FC3B7C">
        <w:rPr>
          <w:rFonts w:eastAsia="Times New Roman"/>
          <w:szCs w:val="24"/>
          <w:u w:val="single"/>
        </w:rPr>
        <w:t>.</w:t>
      </w:r>
    </w:p>
    <w:p w14:paraId="4332E26D" w14:textId="77777777" w:rsidR="007E750A" w:rsidRPr="00FC3B7C" w:rsidRDefault="007E750A" w:rsidP="007E750A">
      <w:pPr>
        <w:spacing w:line="4" w:lineRule="exact"/>
        <w:rPr>
          <w:rFonts w:eastAsia="Arial"/>
          <w:szCs w:val="24"/>
        </w:rPr>
      </w:pPr>
    </w:p>
    <w:p w14:paraId="122544DF" w14:textId="77777777" w:rsidR="007E750A" w:rsidRPr="00FC3B7C" w:rsidRDefault="007E750A" w:rsidP="007E750A">
      <w:pPr>
        <w:numPr>
          <w:ilvl w:val="0"/>
          <w:numId w:val="93"/>
        </w:numPr>
        <w:tabs>
          <w:tab w:val="left" w:pos="724"/>
        </w:tabs>
        <w:spacing w:line="363" w:lineRule="auto"/>
        <w:ind w:left="724" w:hanging="364"/>
        <w:rPr>
          <w:rFonts w:eastAsia="Arial"/>
          <w:szCs w:val="24"/>
        </w:rPr>
      </w:pPr>
      <w:r w:rsidRPr="00FC3B7C">
        <w:rPr>
          <w:rFonts w:eastAsia="Times New Roman"/>
          <w:szCs w:val="24"/>
        </w:rPr>
        <w:t>Součástí návrhu je kromě znění zákona i důvodová zpráva, která má vysvětlit nezbytnost nutné úpravy, popsat předpokládané dopady na veřejné rozpočty a objasnit soulad návrhu s Ústavou a mezinárodními smlouvami.</w:t>
      </w:r>
    </w:p>
    <w:p w14:paraId="3ACFC740" w14:textId="77777777" w:rsidR="007E750A" w:rsidRPr="00FC3B7C" w:rsidRDefault="007E750A" w:rsidP="007E750A">
      <w:pPr>
        <w:spacing w:line="3" w:lineRule="exact"/>
        <w:rPr>
          <w:rFonts w:eastAsia="Arial"/>
          <w:szCs w:val="24"/>
        </w:rPr>
      </w:pPr>
    </w:p>
    <w:p w14:paraId="501BAA7B" w14:textId="77777777" w:rsidR="007E750A" w:rsidRPr="00FC3B7C" w:rsidRDefault="007E750A" w:rsidP="007E750A">
      <w:pPr>
        <w:numPr>
          <w:ilvl w:val="0"/>
          <w:numId w:val="93"/>
        </w:numPr>
        <w:tabs>
          <w:tab w:val="left" w:pos="724"/>
        </w:tabs>
        <w:spacing w:line="378" w:lineRule="auto"/>
        <w:ind w:left="724" w:hanging="364"/>
        <w:rPr>
          <w:rFonts w:eastAsia="Arial"/>
          <w:sz w:val="23"/>
          <w:szCs w:val="23"/>
        </w:rPr>
      </w:pPr>
      <w:r w:rsidRPr="00FC3B7C">
        <w:rPr>
          <w:rFonts w:eastAsia="Times New Roman"/>
          <w:sz w:val="23"/>
          <w:szCs w:val="23"/>
        </w:rPr>
        <w:t xml:space="preserve">Předseda Poslanecké sněmovny pak postoupí návrh organizačnímu výboru a rozešle ho poslancům a klubům, aby se mohli připravit na projednávání. A pokud nebyla </w:t>
      </w:r>
      <w:r w:rsidRPr="00FC3B7C">
        <w:rPr>
          <w:rFonts w:eastAsia="Times New Roman"/>
          <w:b/>
          <w:bCs/>
          <w:sz w:val="23"/>
          <w:szCs w:val="23"/>
        </w:rPr>
        <w:t>vláda</w:t>
      </w:r>
      <w:r w:rsidRPr="00FC3B7C">
        <w:rPr>
          <w:rFonts w:eastAsia="Times New Roman"/>
          <w:sz w:val="23"/>
          <w:szCs w:val="23"/>
        </w:rPr>
        <w:t xml:space="preserve"> předkladatelem, pošle jí předseda návrh k vyjádření stanoviska, na což má vláda 30 dní.</w:t>
      </w:r>
    </w:p>
    <w:p w14:paraId="50680E6B" w14:textId="40032544" w:rsidR="007E750A" w:rsidRPr="00FC3B7C" w:rsidRDefault="007E750A" w:rsidP="007E750A">
      <w:pPr>
        <w:numPr>
          <w:ilvl w:val="0"/>
          <w:numId w:val="93"/>
        </w:numPr>
        <w:tabs>
          <w:tab w:val="left" w:pos="724"/>
        </w:tabs>
        <w:spacing w:line="362" w:lineRule="auto"/>
        <w:ind w:left="724" w:hanging="364"/>
        <w:rPr>
          <w:rFonts w:eastAsia="Arial"/>
          <w:szCs w:val="24"/>
        </w:rPr>
      </w:pPr>
      <w:r w:rsidRPr="00FC3B7C">
        <w:rPr>
          <w:rFonts w:eastAsia="Times New Roman"/>
          <w:b/>
          <w:bCs/>
          <w:szCs w:val="24"/>
          <w:u w:val="single"/>
        </w:rPr>
        <w:t>Poslanecká sněmovna</w:t>
      </w:r>
      <w:r w:rsidRPr="00FC3B7C">
        <w:rPr>
          <w:rFonts w:eastAsia="Times New Roman"/>
          <w:b/>
          <w:bCs/>
          <w:szCs w:val="24"/>
        </w:rPr>
        <w:t xml:space="preserve"> </w:t>
      </w:r>
      <w:r w:rsidRPr="00FC3B7C">
        <w:rPr>
          <w:rFonts w:eastAsia="Times New Roman"/>
          <w:szCs w:val="24"/>
        </w:rPr>
        <w:t>projednává návrh zákona ve trojím</w:t>
      </w:r>
      <w:r w:rsidRPr="00FC3B7C">
        <w:rPr>
          <w:rFonts w:eastAsia="Times New Roman"/>
          <w:b/>
          <w:bCs/>
          <w:szCs w:val="24"/>
        </w:rPr>
        <w:t xml:space="preserve"> </w:t>
      </w:r>
      <w:r w:rsidRPr="00FC3B7C">
        <w:rPr>
          <w:rFonts w:eastAsia="Times New Roman"/>
          <w:szCs w:val="24"/>
        </w:rPr>
        <w:t>čtení. V</w:t>
      </w:r>
      <w:r w:rsidRPr="00FC3B7C">
        <w:rPr>
          <w:rFonts w:eastAsia="Times New Roman"/>
          <w:b/>
          <w:bCs/>
          <w:szCs w:val="24"/>
        </w:rPr>
        <w:t xml:space="preserve"> prvním čtení </w:t>
      </w:r>
      <w:r w:rsidRPr="00FC3B7C">
        <w:rPr>
          <w:rFonts w:eastAsia="Times New Roman"/>
          <w:szCs w:val="24"/>
        </w:rPr>
        <w:t>může</w:t>
      </w:r>
      <w:r w:rsidRPr="00FC3B7C">
        <w:rPr>
          <w:rFonts w:eastAsia="Times New Roman"/>
          <w:b/>
          <w:bCs/>
          <w:szCs w:val="24"/>
        </w:rPr>
        <w:t xml:space="preserve"> </w:t>
      </w:r>
      <w:r w:rsidRPr="00FC3B7C">
        <w:rPr>
          <w:rFonts w:eastAsia="Times New Roman"/>
          <w:szCs w:val="24"/>
        </w:rPr>
        <w:t xml:space="preserve">Sněmovna návrh zamítnout, vrátit k dopracování nebo přikázat některému </w:t>
      </w:r>
      <w:r>
        <w:rPr>
          <w:rFonts w:eastAsia="Times New Roman"/>
          <w:szCs w:val="24"/>
        </w:rPr>
        <w:br/>
      </w:r>
      <w:r w:rsidRPr="00FC3B7C">
        <w:rPr>
          <w:rFonts w:eastAsia="Times New Roman"/>
          <w:szCs w:val="24"/>
        </w:rPr>
        <w:t xml:space="preserve">z výborů k dalšímu projednání. (Výbory jsou specializovanými pracovními orgány PS. Celkem 18 výborů, např. Organizační výbor, Volební výbor, Kontrolní výbor, Výbor pro obranu, Zahraniční </w:t>
      </w:r>
      <w:r w:rsidR="00F056E7" w:rsidRPr="00FC3B7C">
        <w:rPr>
          <w:rFonts w:eastAsia="Times New Roman"/>
          <w:szCs w:val="24"/>
        </w:rPr>
        <w:t>výbor,…).</w:t>
      </w:r>
    </w:p>
    <w:p w14:paraId="42FE01A0" w14:textId="77777777" w:rsidR="007E750A" w:rsidRPr="00FC3B7C" w:rsidRDefault="007E750A" w:rsidP="007E750A">
      <w:pPr>
        <w:spacing w:line="5" w:lineRule="exact"/>
        <w:rPr>
          <w:rFonts w:eastAsia="Arial"/>
          <w:szCs w:val="24"/>
        </w:rPr>
      </w:pPr>
    </w:p>
    <w:p w14:paraId="25914067" w14:textId="77777777" w:rsidR="007E750A" w:rsidRPr="00FC3B7C" w:rsidRDefault="007E750A" w:rsidP="007E750A">
      <w:pPr>
        <w:numPr>
          <w:ilvl w:val="0"/>
          <w:numId w:val="93"/>
        </w:numPr>
        <w:tabs>
          <w:tab w:val="left" w:pos="724"/>
        </w:tabs>
        <w:spacing w:line="364" w:lineRule="auto"/>
        <w:ind w:left="724" w:hanging="364"/>
        <w:rPr>
          <w:rFonts w:eastAsia="Arial"/>
          <w:szCs w:val="24"/>
        </w:rPr>
      </w:pPr>
      <w:r w:rsidRPr="00FC3B7C">
        <w:rPr>
          <w:rFonts w:eastAsia="Times New Roman"/>
          <w:szCs w:val="24"/>
        </w:rPr>
        <w:t xml:space="preserve">Ve </w:t>
      </w:r>
      <w:r w:rsidRPr="00FC3B7C">
        <w:rPr>
          <w:rFonts w:eastAsia="Times New Roman"/>
          <w:b/>
          <w:bCs/>
          <w:szCs w:val="24"/>
        </w:rPr>
        <w:t>druhém</w:t>
      </w:r>
      <w:r w:rsidRPr="00FC3B7C">
        <w:rPr>
          <w:rFonts w:eastAsia="Times New Roman"/>
          <w:szCs w:val="24"/>
        </w:rPr>
        <w:t xml:space="preserve"> </w:t>
      </w:r>
      <w:r w:rsidRPr="00FC3B7C">
        <w:rPr>
          <w:rFonts w:eastAsia="Times New Roman"/>
          <w:b/>
          <w:bCs/>
          <w:szCs w:val="24"/>
        </w:rPr>
        <w:t>čtení</w:t>
      </w:r>
      <w:r w:rsidRPr="00FC3B7C">
        <w:rPr>
          <w:rFonts w:eastAsia="Times New Roman"/>
          <w:szCs w:val="24"/>
        </w:rPr>
        <w:t xml:space="preserve"> mohou poslanci předložit pozměňovací návrhy, mohou předložit návrh na zamítnutí návrhu zákona, nebo mohou návrh vrátit výboru k novému projednání. Pokud není zákon vrácen výboru, postupuje do třetího čtení.</w:t>
      </w:r>
    </w:p>
    <w:p w14:paraId="50606AC3" w14:textId="77777777" w:rsidR="007E750A" w:rsidRPr="00FC3B7C" w:rsidRDefault="007E750A" w:rsidP="007E750A">
      <w:pPr>
        <w:numPr>
          <w:ilvl w:val="0"/>
          <w:numId w:val="93"/>
        </w:numPr>
        <w:tabs>
          <w:tab w:val="left" w:pos="724"/>
        </w:tabs>
        <w:spacing w:line="362" w:lineRule="auto"/>
        <w:ind w:left="724" w:hanging="364"/>
        <w:rPr>
          <w:rFonts w:eastAsia="Arial"/>
          <w:szCs w:val="24"/>
        </w:rPr>
      </w:pPr>
      <w:r w:rsidRPr="00FC3B7C">
        <w:rPr>
          <w:rFonts w:eastAsia="Times New Roman"/>
          <w:szCs w:val="24"/>
        </w:rPr>
        <w:lastRenderedPageBreak/>
        <w:t xml:space="preserve">Ve </w:t>
      </w:r>
      <w:r w:rsidRPr="00FC3B7C">
        <w:rPr>
          <w:rFonts w:eastAsia="Times New Roman"/>
          <w:b/>
          <w:bCs/>
          <w:szCs w:val="24"/>
        </w:rPr>
        <w:t>třetím</w:t>
      </w:r>
      <w:r w:rsidRPr="00FC3B7C">
        <w:rPr>
          <w:rFonts w:eastAsia="Times New Roman"/>
          <w:szCs w:val="24"/>
        </w:rPr>
        <w:t xml:space="preserve"> </w:t>
      </w:r>
      <w:r w:rsidRPr="00FC3B7C">
        <w:rPr>
          <w:rFonts w:eastAsia="Times New Roman"/>
          <w:b/>
          <w:bCs/>
          <w:szCs w:val="24"/>
        </w:rPr>
        <w:t>čtení</w:t>
      </w:r>
      <w:r w:rsidRPr="00FC3B7C">
        <w:rPr>
          <w:rFonts w:eastAsia="Times New Roman"/>
          <w:szCs w:val="24"/>
        </w:rPr>
        <w:t xml:space="preserve"> už lze navrhovat pouze opravy legislativně technických a jiných chyb nebo opakování druhého čtení. Následně proběhne hlasování o jednotlivých pozměňovacích návrzích a o návrhu zákona jako celku. Pokud není vysloven souhlas, návrh zákona nebyl přijat a legislativní proces končí. Je-li vysloven souhlas, návrh zákona je postoupen Senátu.</w:t>
      </w:r>
    </w:p>
    <w:p w14:paraId="1DEC8F49" w14:textId="77777777" w:rsidR="007E750A" w:rsidRPr="00FC3B7C" w:rsidRDefault="007E750A" w:rsidP="007E750A">
      <w:pPr>
        <w:spacing w:line="5" w:lineRule="exact"/>
        <w:rPr>
          <w:rFonts w:eastAsia="Arial"/>
          <w:szCs w:val="24"/>
        </w:rPr>
      </w:pPr>
    </w:p>
    <w:p w14:paraId="1741B232" w14:textId="436765D5" w:rsidR="007E750A" w:rsidRPr="00FC3B7C" w:rsidRDefault="007E750A" w:rsidP="007E750A">
      <w:pPr>
        <w:numPr>
          <w:ilvl w:val="0"/>
          <w:numId w:val="93"/>
        </w:numPr>
        <w:tabs>
          <w:tab w:val="left" w:pos="724"/>
        </w:tabs>
        <w:spacing w:line="372" w:lineRule="auto"/>
        <w:ind w:left="724" w:hanging="364"/>
        <w:rPr>
          <w:rFonts w:eastAsia="Arial"/>
          <w:szCs w:val="24"/>
        </w:rPr>
      </w:pPr>
      <w:r w:rsidRPr="00FC3B7C">
        <w:rPr>
          <w:rFonts w:eastAsia="Times New Roman"/>
          <w:b/>
          <w:bCs/>
          <w:szCs w:val="24"/>
          <w:u w:val="single"/>
        </w:rPr>
        <w:t>Senát</w:t>
      </w:r>
      <w:r w:rsidRPr="00FC3B7C">
        <w:rPr>
          <w:rFonts w:eastAsia="Times New Roman"/>
          <w:b/>
          <w:bCs/>
          <w:szCs w:val="24"/>
        </w:rPr>
        <w:t xml:space="preserve"> </w:t>
      </w:r>
      <w:r w:rsidRPr="00FC3B7C">
        <w:rPr>
          <w:rFonts w:eastAsia="Times New Roman"/>
          <w:szCs w:val="24"/>
        </w:rPr>
        <w:t>se následně</w:t>
      </w:r>
      <w:r w:rsidRPr="00FC3B7C">
        <w:rPr>
          <w:rFonts w:eastAsia="Times New Roman"/>
          <w:b/>
          <w:bCs/>
          <w:szCs w:val="24"/>
        </w:rPr>
        <w:t xml:space="preserve"> </w:t>
      </w:r>
      <w:r w:rsidRPr="00FC3B7C">
        <w:rPr>
          <w:rFonts w:eastAsia="Times New Roman"/>
          <w:szCs w:val="24"/>
        </w:rPr>
        <w:t>návrhem zákona zabývá v jediném</w:t>
      </w:r>
      <w:r w:rsidRPr="00FC3B7C">
        <w:rPr>
          <w:rFonts w:eastAsia="Times New Roman"/>
          <w:b/>
          <w:bCs/>
          <w:szCs w:val="24"/>
        </w:rPr>
        <w:t xml:space="preserve"> </w:t>
      </w:r>
      <w:r w:rsidRPr="00FC3B7C">
        <w:rPr>
          <w:rFonts w:eastAsia="Times New Roman"/>
          <w:szCs w:val="24"/>
        </w:rPr>
        <w:t>čtení, kterému předchází</w:t>
      </w:r>
      <w:r w:rsidRPr="00FC3B7C">
        <w:rPr>
          <w:rFonts w:eastAsia="Times New Roman"/>
          <w:b/>
          <w:bCs/>
          <w:szCs w:val="24"/>
        </w:rPr>
        <w:t xml:space="preserve"> </w:t>
      </w:r>
      <w:r w:rsidRPr="00FC3B7C">
        <w:rPr>
          <w:rFonts w:eastAsia="Times New Roman"/>
          <w:szCs w:val="24"/>
        </w:rPr>
        <w:t>projednání v příslušném výboru Senátu. Pokud Senát návrh zákona schválí nebo vyjádří vůli nezabývat se zákonem ne</w:t>
      </w:r>
      <w:r w:rsidR="00F056E7">
        <w:rPr>
          <w:rFonts w:eastAsia="Times New Roman"/>
          <w:szCs w:val="24"/>
        </w:rPr>
        <w:t>bo uplyne 30</w:t>
      </w:r>
      <w:r w:rsidRPr="00FC3B7C">
        <w:rPr>
          <w:rFonts w:eastAsia="Times New Roman"/>
          <w:szCs w:val="24"/>
        </w:rPr>
        <w:t xml:space="preserve"> denní lhůta k projednání, je zákon postoupen prezidentovi k podpisu.</w:t>
      </w:r>
    </w:p>
    <w:p w14:paraId="4E5DF75D" w14:textId="77777777" w:rsidR="007E750A" w:rsidRPr="00FC3B7C" w:rsidRDefault="007E750A" w:rsidP="007E750A">
      <w:pPr>
        <w:spacing w:line="20" w:lineRule="exact"/>
        <w:rPr>
          <w:sz w:val="20"/>
          <w:szCs w:val="20"/>
        </w:rPr>
      </w:pPr>
    </w:p>
    <w:p w14:paraId="05E78467" w14:textId="77777777" w:rsidR="007E750A" w:rsidRPr="00FC3B7C" w:rsidRDefault="007E750A" w:rsidP="007E750A">
      <w:pPr>
        <w:numPr>
          <w:ilvl w:val="0"/>
          <w:numId w:val="94"/>
        </w:numPr>
        <w:tabs>
          <w:tab w:val="left" w:pos="700"/>
        </w:tabs>
        <w:spacing w:line="363" w:lineRule="auto"/>
        <w:ind w:left="700" w:hanging="364"/>
        <w:rPr>
          <w:rFonts w:eastAsia="Arial"/>
          <w:szCs w:val="24"/>
        </w:rPr>
      </w:pPr>
      <w:bookmarkStart w:id="98" w:name="page96"/>
      <w:bookmarkEnd w:id="98"/>
      <w:r w:rsidRPr="00FC3B7C">
        <w:rPr>
          <w:rFonts w:eastAsia="Times New Roman"/>
          <w:szCs w:val="24"/>
        </w:rPr>
        <w:t>Pokud senát návrh zamítne, znovu o něm hlasuje Poslanecká sněmovna. Když se zákonem vysloví souhlas nadpoloviční většina poslanců (101), je zamítnutí senátem přehlasováno a zákon je přijat.</w:t>
      </w:r>
    </w:p>
    <w:p w14:paraId="1DCF2030" w14:textId="77777777" w:rsidR="007E750A" w:rsidRPr="00FC3B7C" w:rsidRDefault="007E750A" w:rsidP="007E750A">
      <w:pPr>
        <w:spacing w:line="2" w:lineRule="exact"/>
        <w:rPr>
          <w:rFonts w:eastAsia="Arial"/>
          <w:szCs w:val="24"/>
        </w:rPr>
      </w:pPr>
    </w:p>
    <w:p w14:paraId="2E1290D4" w14:textId="77777777" w:rsidR="007E750A" w:rsidRPr="00FC3B7C" w:rsidRDefault="007E750A" w:rsidP="007E750A">
      <w:pPr>
        <w:numPr>
          <w:ilvl w:val="0"/>
          <w:numId w:val="94"/>
        </w:numPr>
        <w:tabs>
          <w:tab w:val="left" w:pos="700"/>
        </w:tabs>
        <w:spacing w:line="363" w:lineRule="auto"/>
        <w:ind w:left="700" w:hanging="364"/>
        <w:rPr>
          <w:rFonts w:eastAsia="Arial"/>
          <w:szCs w:val="24"/>
        </w:rPr>
      </w:pPr>
      <w:r w:rsidRPr="00FC3B7C">
        <w:rPr>
          <w:rFonts w:eastAsia="Times New Roman"/>
          <w:b/>
          <w:bCs/>
          <w:szCs w:val="24"/>
          <w:u w:val="single"/>
        </w:rPr>
        <w:t>Prezident</w:t>
      </w:r>
      <w:r w:rsidRPr="00FC3B7C">
        <w:rPr>
          <w:rFonts w:eastAsia="Times New Roman"/>
          <w:b/>
          <w:bCs/>
          <w:szCs w:val="24"/>
        </w:rPr>
        <w:t xml:space="preserve"> </w:t>
      </w:r>
      <w:r w:rsidRPr="00FC3B7C">
        <w:rPr>
          <w:rFonts w:eastAsia="Times New Roman"/>
          <w:szCs w:val="24"/>
        </w:rPr>
        <w:t>republiky má právo vrátit zákon zpět do Poslanecké sněmovny. V takovém</w:t>
      </w:r>
      <w:r w:rsidRPr="00FC3B7C">
        <w:rPr>
          <w:rFonts w:eastAsia="Times New Roman"/>
          <w:b/>
          <w:bCs/>
          <w:szCs w:val="24"/>
        </w:rPr>
        <w:t xml:space="preserve"> </w:t>
      </w:r>
      <w:r w:rsidRPr="00FC3B7C">
        <w:rPr>
          <w:rFonts w:eastAsia="Times New Roman"/>
          <w:szCs w:val="24"/>
        </w:rPr>
        <w:t>případě o zákoně opět hlasuje Sněmovna a při souhlasu nadpoloviční většiny je zákon přijat. Pokud prezident zákon nevrátí, podepíše ho a zákon je postoupen předsedovi Poslanecké sněmovny.</w:t>
      </w:r>
    </w:p>
    <w:p w14:paraId="194AE21F" w14:textId="77777777" w:rsidR="007E750A" w:rsidRPr="00FC3B7C" w:rsidRDefault="007E750A" w:rsidP="007E750A">
      <w:pPr>
        <w:spacing w:line="5" w:lineRule="exact"/>
        <w:rPr>
          <w:rFonts w:eastAsia="Arial"/>
          <w:szCs w:val="24"/>
        </w:rPr>
      </w:pPr>
    </w:p>
    <w:p w14:paraId="68D16F37" w14:textId="77777777" w:rsidR="007E750A" w:rsidRPr="00FC3B7C" w:rsidRDefault="007E750A" w:rsidP="007E750A">
      <w:pPr>
        <w:numPr>
          <w:ilvl w:val="0"/>
          <w:numId w:val="94"/>
        </w:numPr>
        <w:tabs>
          <w:tab w:val="left" w:pos="700"/>
        </w:tabs>
        <w:spacing w:line="364" w:lineRule="auto"/>
        <w:ind w:left="700" w:hanging="364"/>
        <w:rPr>
          <w:rFonts w:eastAsia="Arial"/>
          <w:szCs w:val="24"/>
        </w:rPr>
      </w:pPr>
      <w:r w:rsidRPr="00FC3B7C">
        <w:rPr>
          <w:rFonts w:eastAsia="Times New Roman"/>
          <w:szCs w:val="24"/>
        </w:rPr>
        <w:t xml:space="preserve">Následně předseda vlády schválený zákon podepíše a zákon může být zveřejněn </w:t>
      </w:r>
      <w:r>
        <w:rPr>
          <w:rFonts w:eastAsia="Times New Roman"/>
          <w:szCs w:val="24"/>
        </w:rPr>
        <w:br/>
      </w:r>
      <w:r w:rsidRPr="00FC3B7C">
        <w:rPr>
          <w:rFonts w:eastAsia="Times New Roman"/>
          <w:szCs w:val="24"/>
        </w:rPr>
        <w:t xml:space="preserve">ve </w:t>
      </w:r>
      <w:r w:rsidRPr="00FC3B7C">
        <w:rPr>
          <w:rFonts w:eastAsia="Times New Roman"/>
          <w:b/>
          <w:bCs/>
          <w:szCs w:val="24"/>
          <w:u w:val="single"/>
        </w:rPr>
        <w:t>Sbírce zákonů</w:t>
      </w:r>
      <w:r w:rsidRPr="00FC3B7C">
        <w:rPr>
          <w:rFonts w:eastAsia="Times New Roman"/>
          <w:szCs w:val="24"/>
        </w:rPr>
        <w:t>. Účinnosti zákon nabývá až</w:t>
      </w:r>
      <w:r w:rsidRPr="00FC3B7C">
        <w:rPr>
          <w:rFonts w:eastAsia="Times New Roman"/>
          <w:b/>
          <w:bCs/>
          <w:szCs w:val="24"/>
        </w:rPr>
        <w:t xml:space="preserve"> </w:t>
      </w:r>
      <w:r w:rsidRPr="00FC3B7C">
        <w:rPr>
          <w:rFonts w:eastAsia="Times New Roman"/>
          <w:szCs w:val="24"/>
        </w:rPr>
        <w:t>datem uvedeným v zákoně.</w:t>
      </w:r>
    </w:p>
    <w:p w14:paraId="45A47469" w14:textId="77777777" w:rsidR="007E750A" w:rsidRPr="00FC3B7C" w:rsidRDefault="007E750A" w:rsidP="007E750A">
      <w:pPr>
        <w:numPr>
          <w:ilvl w:val="0"/>
          <w:numId w:val="94"/>
        </w:numPr>
        <w:tabs>
          <w:tab w:val="left" w:pos="700"/>
        </w:tabs>
        <w:spacing w:line="394" w:lineRule="auto"/>
        <w:ind w:left="700" w:hanging="364"/>
        <w:rPr>
          <w:rFonts w:eastAsia="Arial"/>
          <w:szCs w:val="24"/>
        </w:rPr>
      </w:pPr>
      <w:r w:rsidRPr="00FC3B7C">
        <w:rPr>
          <w:rFonts w:eastAsia="Times New Roman"/>
          <w:szCs w:val="24"/>
        </w:rPr>
        <w:t xml:space="preserve">Při </w:t>
      </w:r>
      <w:r w:rsidRPr="00FC3B7C">
        <w:rPr>
          <w:rFonts w:eastAsia="Times New Roman"/>
          <w:b/>
          <w:bCs/>
          <w:szCs w:val="24"/>
        </w:rPr>
        <w:t>schvalování ústavních zákonů</w:t>
      </w:r>
      <w:r w:rsidRPr="00FC3B7C">
        <w:rPr>
          <w:rFonts w:eastAsia="Times New Roman"/>
          <w:szCs w:val="24"/>
        </w:rPr>
        <w:t xml:space="preserve"> musí být návrh schválen Poslaneckou sněmovnou i Senátem.</w:t>
      </w:r>
    </w:p>
    <w:p w14:paraId="5112BB68" w14:textId="77777777" w:rsidR="007E750A" w:rsidRPr="00FC3B7C" w:rsidRDefault="007E750A" w:rsidP="007E750A">
      <w:pPr>
        <w:spacing w:line="20" w:lineRule="exact"/>
        <w:rPr>
          <w:sz w:val="20"/>
          <w:szCs w:val="20"/>
        </w:rPr>
      </w:pPr>
      <w:r w:rsidRPr="00FC3B7C">
        <w:rPr>
          <w:noProof/>
          <w:sz w:val="20"/>
          <w:szCs w:val="20"/>
        </w:rPr>
        <w:drawing>
          <wp:anchor distT="0" distB="0" distL="114300" distR="114300" simplePos="0" relativeHeight="251783680" behindDoc="1" locked="0" layoutInCell="0" allowOverlap="1" wp14:anchorId="49C164A9" wp14:editId="50BA7043">
            <wp:simplePos x="0" y="0"/>
            <wp:positionH relativeFrom="column">
              <wp:posOffset>635</wp:posOffset>
            </wp:positionH>
            <wp:positionV relativeFrom="paragraph">
              <wp:posOffset>24765</wp:posOffset>
            </wp:positionV>
            <wp:extent cx="5730240" cy="401447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srcRect/>
                    <a:stretch>
                      <a:fillRect/>
                    </a:stretch>
                  </pic:blipFill>
                  <pic:spPr bwMode="auto">
                    <a:xfrm>
                      <a:off x="0" y="0"/>
                      <a:ext cx="5730240" cy="4014470"/>
                    </a:xfrm>
                    <a:prstGeom prst="rect">
                      <a:avLst/>
                    </a:prstGeom>
                    <a:noFill/>
                  </pic:spPr>
                </pic:pic>
              </a:graphicData>
            </a:graphic>
          </wp:anchor>
        </w:drawing>
      </w:r>
    </w:p>
    <w:p w14:paraId="56AC67C3" w14:textId="77777777" w:rsidR="007E750A" w:rsidRPr="00FC3B7C" w:rsidRDefault="007E750A" w:rsidP="007E750A">
      <w:pPr>
        <w:sectPr w:rsidR="007E750A" w:rsidRPr="00FC3B7C">
          <w:pgSz w:w="11900" w:h="16840"/>
          <w:pgMar w:top="1411" w:right="1420" w:bottom="1440" w:left="1440" w:header="0" w:footer="0" w:gutter="0"/>
          <w:cols w:space="708" w:equalWidth="0">
            <w:col w:w="9040"/>
          </w:cols>
        </w:sectPr>
      </w:pPr>
    </w:p>
    <w:p w14:paraId="2F157BA8" w14:textId="77777777" w:rsidR="007E750A" w:rsidRPr="007E750A" w:rsidRDefault="007E750A" w:rsidP="007E750A">
      <w:pPr>
        <w:rPr>
          <w:sz w:val="20"/>
          <w:szCs w:val="20"/>
        </w:rPr>
      </w:pPr>
      <w:bookmarkStart w:id="99" w:name="page97"/>
      <w:bookmarkEnd w:id="99"/>
      <w:r w:rsidRPr="00FC3B7C">
        <w:rPr>
          <w:rFonts w:eastAsia="Times New Roman"/>
          <w:b/>
          <w:bCs/>
          <w:sz w:val="28"/>
          <w:szCs w:val="28"/>
        </w:rPr>
        <w:lastRenderedPageBreak/>
        <w:t>Zdroje:</w:t>
      </w:r>
    </w:p>
    <w:p w14:paraId="6635B15F" w14:textId="77777777" w:rsidR="007E750A" w:rsidRPr="00FC3B7C" w:rsidRDefault="007E750A" w:rsidP="007E750A">
      <w:pPr>
        <w:spacing w:before="240"/>
        <w:rPr>
          <w:sz w:val="20"/>
          <w:szCs w:val="20"/>
        </w:rPr>
      </w:pPr>
      <w:r w:rsidRPr="00FC3B7C">
        <w:rPr>
          <w:rFonts w:eastAsia="Times New Roman"/>
        </w:rPr>
        <w:t>BARTŮSKOVÁ, L. Sociální politika: Přednášky předmětu. Praha, 2012</w:t>
      </w:r>
    </w:p>
    <w:p w14:paraId="34E28572" w14:textId="77777777" w:rsidR="007E750A" w:rsidRPr="00FC3B7C" w:rsidRDefault="007E750A" w:rsidP="007E750A">
      <w:pPr>
        <w:spacing w:before="240"/>
        <w:rPr>
          <w:sz w:val="20"/>
          <w:szCs w:val="20"/>
        </w:rPr>
      </w:pPr>
      <w:r w:rsidRPr="00FC3B7C">
        <w:rPr>
          <w:rFonts w:eastAsia="Times New Roman"/>
        </w:rPr>
        <w:t>KUBÍČEK, J. Hospodářská politika. Plzeň: Aleš Čeněk. 2006</w:t>
      </w:r>
    </w:p>
    <w:p w14:paraId="71262A85" w14:textId="77777777" w:rsidR="007E750A" w:rsidRPr="00FC3B7C" w:rsidRDefault="007E750A" w:rsidP="007E750A">
      <w:pPr>
        <w:spacing w:before="240"/>
        <w:rPr>
          <w:sz w:val="20"/>
          <w:szCs w:val="20"/>
        </w:rPr>
      </w:pPr>
      <w:r w:rsidRPr="00FC3B7C">
        <w:rPr>
          <w:rFonts w:eastAsia="Times New Roman"/>
        </w:rPr>
        <w:t>Skripta předmětu 5HP324 – Kondiční kurz z praktické hospodářské politiky, LS 2012/2013</w:t>
      </w:r>
    </w:p>
    <w:p w14:paraId="603A34CA" w14:textId="77777777" w:rsidR="007E750A" w:rsidRPr="00FC3B7C" w:rsidRDefault="007E750A" w:rsidP="007E750A">
      <w:pPr>
        <w:spacing w:before="240"/>
        <w:rPr>
          <w:sz w:val="20"/>
          <w:szCs w:val="20"/>
        </w:rPr>
      </w:pPr>
      <w:r w:rsidRPr="00FC3B7C">
        <w:rPr>
          <w:rFonts w:eastAsia="Times New Roman"/>
        </w:rPr>
        <w:t>SCHWARZ, J. Ekonomie veřejného sektoru: Přednášky předmětu. Praha, 2012</w:t>
      </w:r>
    </w:p>
    <w:p w14:paraId="3408089E" w14:textId="77777777" w:rsidR="007E750A" w:rsidRPr="00FC3B7C" w:rsidRDefault="007E750A" w:rsidP="007E750A">
      <w:pPr>
        <w:spacing w:before="240"/>
        <w:rPr>
          <w:sz w:val="20"/>
          <w:szCs w:val="20"/>
        </w:rPr>
      </w:pPr>
      <w:r w:rsidRPr="00FC3B7C">
        <w:rPr>
          <w:rFonts w:eastAsia="Times New Roman"/>
        </w:rPr>
        <w:t>ŠEVČÍK, M. Úvod do hospodářské a sociální politiky: Přednášky předmětu. Praha, 2012</w:t>
      </w:r>
    </w:p>
    <w:p w14:paraId="333F6A12" w14:textId="77777777" w:rsidR="007E750A" w:rsidRDefault="007E750A" w:rsidP="007E750A">
      <w:pPr>
        <w:spacing w:before="240"/>
        <w:rPr>
          <w:rFonts w:eastAsia="Times New Roman"/>
        </w:rPr>
      </w:pPr>
      <w:r w:rsidRPr="00FC3B7C">
        <w:rPr>
          <w:rFonts w:eastAsia="Times New Roman"/>
        </w:rPr>
        <w:t>Vláda ČR. Členové</w:t>
      </w:r>
      <w:r>
        <w:rPr>
          <w:rFonts w:eastAsia="Times New Roman"/>
        </w:rPr>
        <w:t xml:space="preserve"> </w:t>
      </w:r>
      <w:r w:rsidRPr="00FC3B7C">
        <w:rPr>
          <w:rFonts w:eastAsia="Times New Roman"/>
        </w:rPr>
        <w:t>vlády.</w:t>
      </w:r>
      <w:r>
        <w:rPr>
          <w:rFonts w:eastAsia="Times New Roman"/>
        </w:rPr>
        <w:t xml:space="preserve"> [online]. Praha. [cit. 2017-03-05]. Dostupné z: </w:t>
      </w:r>
      <w:hyperlink r:id="rId35" w:history="1">
        <w:r w:rsidRPr="00673EBE">
          <w:rPr>
            <w:rStyle w:val="Hypertextovodkaz"/>
            <w:rFonts w:eastAsia="Times New Roman"/>
          </w:rPr>
          <w:t>https://www.vlada.cz/cz/vlada</w:t>
        </w:r>
      </w:hyperlink>
      <w:r>
        <w:rPr>
          <w:rFonts w:eastAsia="Times New Roman"/>
        </w:rPr>
        <w:t xml:space="preserve"> </w:t>
      </w:r>
    </w:p>
    <w:p w14:paraId="22D4F1C2" w14:textId="65C66B47" w:rsidR="007E750A" w:rsidRDefault="007E750A" w:rsidP="007E750A">
      <w:pPr>
        <w:spacing w:before="240"/>
        <w:rPr>
          <w:rStyle w:val="Hypertextovodkaz"/>
        </w:rPr>
      </w:pPr>
      <w:r w:rsidRPr="00FC3B7C">
        <w:rPr>
          <w:rFonts w:eastAsia="Times New Roman"/>
        </w:rPr>
        <w:t>Poslanecká</w:t>
      </w:r>
      <w:r w:rsidR="003376E1">
        <w:rPr>
          <w:rFonts w:eastAsia="Times New Roman"/>
        </w:rPr>
        <w:t xml:space="preserve"> </w:t>
      </w:r>
      <w:r w:rsidRPr="00FC3B7C">
        <w:rPr>
          <w:rFonts w:eastAsia="Times New Roman"/>
        </w:rPr>
        <w:t>sněmovna</w:t>
      </w:r>
      <w:r w:rsidR="003376E1">
        <w:rPr>
          <w:rFonts w:eastAsia="Times New Roman"/>
        </w:rPr>
        <w:t xml:space="preserve"> </w:t>
      </w:r>
      <w:r w:rsidRPr="00FC3B7C">
        <w:rPr>
          <w:rFonts w:eastAsia="Times New Roman"/>
        </w:rPr>
        <w:t>parlamentu ČR.</w:t>
      </w:r>
      <w:r w:rsidR="003376E1">
        <w:rPr>
          <w:rFonts w:eastAsia="Times New Roman"/>
        </w:rPr>
        <w:t xml:space="preserve"> </w:t>
      </w:r>
      <w:r w:rsidRPr="00FC3B7C">
        <w:rPr>
          <w:rFonts w:eastAsia="Times New Roman"/>
        </w:rPr>
        <w:t>Poslanci</w:t>
      </w:r>
      <w:r w:rsidR="003376E1">
        <w:rPr>
          <w:rFonts w:eastAsia="Times New Roman"/>
        </w:rPr>
        <w:t xml:space="preserve"> </w:t>
      </w:r>
      <w:r w:rsidRPr="00FC3B7C">
        <w:rPr>
          <w:rFonts w:eastAsia="Times New Roman"/>
        </w:rPr>
        <w:t>a</w:t>
      </w:r>
      <w:r w:rsidR="003376E1">
        <w:rPr>
          <w:rFonts w:eastAsia="Times New Roman"/>
        </w:rPr>
        <w:t xml:space="preserve"> </w:t>
      </w:r>
      <w:r w:rsidRPr="00FC3B7C">
        <w:rPr>
          <w:rFonts w:eastAsia="Times New Roman"/>
        </w:rPr>
        <w:t>orgány.</w:t>
      </w:r>
      <w:r>
        <w:rPr>
          <w:rFonts w:eastAsia="Times New Roman"/>
        </w:rPr>
        <w:t xml:space="preserve"> [online]. Praha. [cit. 2020-04-14</w:t>
      </w:r>
      <w:r w:rsidRPr="00E8764D">
        <w:rPr>
          <w:rStyle w:val="Hypertextovodkaz"/>
          <w:color w:val="auto"/>
          <w:u w:val="none"/>
        </w:rPr>
        <w:t xml:space="preserve">]. </w:t>
      </w:r>
      <w:r w:rsidRPr="00E8764D">
        <w:rPr>
          <w:rFonts w:eastAsia="Times New Roman"/>
        </w:rPr>
        <w:t>Dostupné z:</w:t>
      </w:r>
      <w:r w:rsidRPr="00E8764D">
        <w:rPr>
          <w:rStyle w:val="Hypertextovodkaz"/>
        </w:rPr>
        <w:t xml:space="preserve"> </w:t>
      </w:r>
      <w:hyperlink r:id="rId36" w:history="1">
        <w:r w:rsidRPr="00673EBE">
          <w:rPr>
            <w:rStyle w:val="Hypertextovodkaz"/>
          </w:rPr>
          <w:t>https://www.psp.cz/sqw/hp.sqw?k=182</w:t>
        </w:r>
      </w:hyperlink>
    </w:p>
    <w:p w14:paraId="5E4B6250" w14:textId="77777777" w:rsidR="007E750A" w:rsidRPr="00E8764D" w:rsidRDefault="007E750A" w:rsidP="007E750A">
      <w:pPr>
        <w:spacing w:before="240"/>
        <w:rPr>
          <w:rStyle w:val="Hypertextovodkaz"/>
        </w:rPr>
      </w:pPr>
      <w:r>
        <w:rPr>
          <w:rFonts w:eastAsia="Times New Roman"/>
        </w:rPr>
        <w:t xml:space="preserve">Senát Parlamentu ČR. Senátoři. [online]. Praha. [cit. 2017-03-05]. Dostupné z: </w:t>
      </w:r>
      <w:r w:rsidRPr="00E8764D">
        <w:rPr>
          <w:rStyle w:val="Hypertextovodkaz"/>
        </w:rPr>
        <w:t>http://www.senat.cz/senatori/index.php?ke_dni=4.3.2017&amp;O=11&amp;lng=cz</w:t>
      </w:r>
    </w:p>
    <w:p w14:paraId="0D0771CE" w14:textId="77777777" w:rsidR="007E750A" w:rsidRPr="00FC3B7C" w:rsidRDefault="007E750A" w:rsidP="007E750A">
      <w:pPr>
        <w:spacing w:before="240"/>
        <w:rPr>
          <w:sz w:val="20"/>
          <w:szCs w:val="20"/>
        </w:rPr>
      </w:pPr>
      <w:r w:rsidRPr="00FC3B7C">
        <w:rPr>
          <w:rFonts w:eastAsia="Times New Roman"/>
          <w:sz w:val="23"/>
          <w:szCs w:val="23"/>
        </w:rPr>
        <w:t xml:space="preserve">Ministerstvo financí ČR. </w:t>
      </w:r>
      <w:r w:rsidRPr="00BE1186">
        <w:rPr>
          <w:rFonts w:eastAsia="Times New Roman"/>
          <w:sz w:val="23"/>
          <w:szCs w:val="23"/>
        </w:rPr>
        <w:t xml:space="preserve">Poslanci schválili státní rozpočet na rok 2020 </w:t>
      </w:r>
      <w:r>
        <w:rPr>
          <w:rFonts w:eastAsia="Times New Roman"/>
        </w:rPr>
        <w:t xml:space="preserve">[online]. Praha. [cit. 2020-04-14]. </w:t>
      </w:r>
      <w:r w:rsidRPr="00FC3B7C">
        <w:rPr>
          <w:rFonts w:eastAsia="Times New Roman"/>
          <w:sz w:val="23"/>
          <w:szCs w:val="23"/>
        </w:rPr>
        <w:t>Dostupné z:</w:t>
      </w:r>
      <w:r w:rsidRPr="00FC3B7C">
        <w:rPr>
          <w:rFonts w:eastAsia="Arial"/>
          <w:sz w:val="18"/>
          <w:szCs w:val="18"/>
        </w:rPr>
        <w:t xml:space="preserve"> </w:t>
      </w:r>
      <w:r w:rsidRPr="00BE1186">
        <w:rPr>
          <w:rFonts w:eastAsia="Times New Roman"/>
          <w:color w:val="0563C1"/>
          <w:sz w:val="23"/>
          <w:szCs w:val="23"/>
          <w:u w:val="single"/>
        </w:rPr>
        <w:t>https://www.mfcr.cz/cs/aktualne/tiskove-zpravy/2019/poslanci-schvalili-statni-rozpocet-na-ro-36790</w:t>
      </w:r>
    </w:p>
    <w:p w14:paraId="71A59E09" w14:textId="77777777" w:rsidR="007E750A" w:rsidRPr="00FC3B7C" w:rsidRDefault="007E750A" w:rsidP="007E750A">
      <w:pPr>
        <w:spacing w:before="240"/>
        <w:rPr>
          <w:sz w:val="20"/>
          <w:szCs w:val="20"/>
        </w:rPr>
      </w:pPr>
      <w:r w:rsidRPr="00FC3B7C">
        <w:rPr>
          <w:rFonts w:eastAsia="Times New Roman"/>
        </w:rPr>
        <w:t xml:space="preserve">Poslanecká sněmovna parlamentu ČR. Přijímání zákonů. Dostupné z: </w:t>
      </w:r>
      <w:r w:rsidRPr="00FC3B7C">
        <w:rPr>
          <w:rFonts w:eastAsia="Times New Roman"/>
          <w:color w:val="0563C1"/>
          <w:u w:val="single"/>
        </w:rPr>
        <w:t>http://www.psp.cz/sqw/hp.sqw?k=173</w:t>
      </w:r>
    </w:p>
    <w:p w14:paraId="2237FB4E" w14:textId="77777777" w:rsidR="004236C6" w:rsidRDefault="004236C6" w:rsidP="004236C6">
      <w:pPr>
        <w:spacing w:line="240" w:lineRule="auto"/>
        <w:jc w:val="left"/>
        <w:rPr>
          <w:rFonts w:eastAsia="Times New Roman"/>
          <w:b/>
          <w:bCs/>
          <w:sz w:val="28"/>
          <w:szCs w:val="28"/>
        </w:rPr>
      </w:pPr>
      <w:r>
        <w:rPr>
          <w:rFonts w:eastAsia="Times New Roman"/>
          <w:b/>
          <w:bCs/>
          <w:sz w:val="28"/>
          <w:szCs w:val="28"/>
        </w:rPr>
        <w:br w:type="page"/>
      </w:r>
    </w:p>
    <w:p w14:paraId="4A6F30DA" w14:textId="77777777" w:rsidR="008E0F74" w:rsidRPr="00FC3B7C" w:rsidRDefault="008E0F74">
      <w:pPr>
        <w:sectPr w:rsidR="008E0F74" w:rsidRPr="00FC3B7C">
          <w:pgSz w:w="11900" w:h="16840"/>
          <w:pgMar w:top="1386" w:right="1380" w:bottom="1440" w:left="1420" w:header="0" w:footer="0" w:gutter="0"/>
          <w:cols w:space="708" w:equalWidth="0">
            <w:col w:w="9100"/>
          </w:cols>
        </w:sectPr>
      </w:pPr>
    </w:p>
    <w:p w14:paraId="4A6F30DB" w14:textId="77777777" w:rsidR="008E0F74" w:rsidRPr="000529F1" w:rsidRDefault="00256F29" w:rsidP="000529F1">
      <w:pPr>
        <w:pStyle w:val="Nadpis1"/>
        <w:ind w:left="0" w:hanging="8"/>
        <w:rPr>
          <w:color w:val="1F3864" w:themeColor="accent1" w:themeShade="80"/>
        </w:rPr>
      </w:pPr>
      <w:bookmarkStart w:id="100" w:name="page98"/>
      <w:bookmarkStart w:id="101" w:name="_Toc54254078"/>
      <w:bookmarkEnd w:id="100"/>
      <w:r w:rsidRPr="000529F1">
        <w:rPr>
          <w:color w:val="1F3864" w:themeColor="accent1" w:themeShade="80"/>
        </w:rPr>
        <w:lastRenderedPageBreak/>
        <w:t>MAKROEKONOMICKÁ HOSPODÁŘSKÁ POLITIKA –FISKÁLNÍ</w:t>
      </w:r>
      <w:bookmarkEnd w:id="101"/>
    </w:p>
    <w:p w14:paraId="4A6F30DC" w14:textId="77777777" w:rsidR="008E0F74" w:rsidRPr="00FC3B7C" w:rsidRDefault="00256F29">
      <w:pPr>
        <w:ind w:left="4"/>
        <w:rPr>
          <w:sz w:val="20"/>
          <w:szCs w:val="20"/>
        </w:rPr>
      </w:pPr>
      <w:r w:rsidRPr="00FC3B7C">
        <w:rPr>
          <w:rFonts w:eastAsia="Times New Roman"/>
          <w:b/>
          <w:bCs/>
          <w:sz w:val="28"/>
          <w:szCs w:val="28"/>
        </w:rPr>
        <w:t>Slovníček pojmů:</w:t>
      </w:r>
    </w:p>
    <w:p w14:paraId="4A6F30DD" w14:textId="77777777" w:rsidR="008E0F74" w:rsidRPr="00FC3B7C" w:rsidRDefault="00256F29" w:rsidP="00AD4114">
      <w:pPr>
        <w:rPr>
          <w:sz w:val="20"/>
          <w:szCs w:val="20"/>
        </w:rPr>
      </w:pPr>
      <w:r w:rsidRPr="00FC3B7C">
        <w:rPr>
          <w:rFonts w:eastAsia="Times New Roman"/>
          <w:i/>
          <w:iCs/>
          <w:u w:val="single"/>
        </w:rPr>
        <w:t>Hospodářská politika</w:t>
      </w:r>
      <w:r w:rsidRPr="00FC3B7C">
        <w:rPr>
          <w:rFonts w:eastAsia="Times New Roman"/>
          <w:i/>
          <w:iCs/>
        </w:rPr>
        <w:t xml:space="preserve"> </w:t>
      </w:r>
      <w:r w:rsidRPr="00FC3B7C">
        <w:rPr>
          <w:rFonts w:eastAsia="Times New Roman"/>
        </w:rPr>
        <w:t>– Souhrn hospodářsko-ekonomických opatření, ekonomických nástrojů</w:t>
      </w:r>
    </w:p>
    <w:p w14:paraId="4A6F30DE" w14:textId="437628C7" w:rsidR="008E0F74" w:rsidRDefault="00256F29" w:rsidP="00AD4114">
      <w:pPr>
        <w:rPr>
          <w:rFonts w:eastAsia="Times New Roman"/>
        </w:rPr>
      </w:pPr>
      <w:r w:rsidRPr="00FC3B7C">
        <w:rPr>
          <w:rFonts w:eastAsia="Times New Roman"/>
        </w:rPr>
        <w:t>procesů, prostřednictvím kterých je možno působit na makroekonomickou a</w:t>
      </w:r>
      <w:r w:rsidR="008F2770">
        <w:rPr>
          <w:rFonts w:eastAsia="Times New Roman"/>
        </w:rPr>
        <w:t xml:space="preserve"> </w:t>
      </w:r>
      <w:r w:rsidRPr="00FC3B7C">
        <w:rPr>
          <w:rFonts w:eastAsia="Times New Roman"/>
        </w:rPr>
        <w:t>mikroekonomickou oblast národního hospodářství.</w:t>
      </w:r>
    </w:p>
    <w:p w14:paraId="4A6F30DF" w14:textId="0E7C633E" w:rsidR="008E0F74" w:rsidRPr="00FC3B7C" w:rsidRDefault="00256F29" w:rsidP="00AD4114">
      <w:pPr>
        <w:rPr>
          <w:sz w:val="20"/>
          <w:szCs w:val="20"/>
        </w:rPr>
      </w:pPr>
      <w:r w:rsidRPr="00FC3B7C">
        <w:rPr>
          <w:rFonts w:eastAsia="Times New Roman"/>
          <w:i/>
          <w:iCs/>
          <w:u w:val="single"/>
        </w:rPr>
        <w:t>Rozpočtová politika</w:t>
      </w:r>
      <w:r w:rsidRPr="00FC3B7C">
        <w:rPr>
          <w:rFonts w:eastAsia="Times New Roman"/>
          <w:i/>
          <w:iCs/>
        </w:rPr>
        <w:t xml:space="preserve"> </w:t>
      </w:r>
      <w:r w:rsidRPr="00FC3B7C">
        <w:rPr>
          <w:rFonts w:eastAsia="Times New Roman"/>
        </w:rPr>
        <w:t>– Procesy probíhající v rámci veřejné rozpočtové soustavy, realizované</w:t>
      </w:r>
      <w:r w:rsidRPr="00FC3B7C">
        <w:rPr>
          <w:rFonts w:eastAsia="Times New Roman"/>
          <w:i/>
          <w:iCs/>
        </w:rPr>
        <w:t xml:space="preserve"> </w:t>
      </w:r>
      <w:r w:rsidRPr="00FC3B7C">
        <w:rPr>
          <w:rFonts w:eastAsia="Times New Roman"/>
        </w:rPr>
        <w:t xml:space="preserve">vládou na různých úrovních veřejné správy. Cílem je vytvořit finanční prostředky </w:t>
      </w:r>
      <w:r w:rsidR="00350763">
        <w:rPr>
          <w:rFonts w:eastAsia="Times New Roman"/>
        </w:rPr>
        <w:t>v </w:t>
      </w:r>
      <w:r w:rsidR="00F056E7">
        <w:rPr>
          <w:rFonts w:eastAsia="Times New Roman"/>
        </w:rPr>
        <w:t>dostatečné</w:t>
      </w:r>
      <w:r w:rsidR="00350763">
        <w:rPr>
          <w:rFonts w:eastAsia="Times New Roman"/>
        </w:rPr>
        <w:t xml:space="preserve"> výši</w:t>
      </w:r>
      <w:r w:rsidRPr="00FC3B7C">
        <w:rPr>
          <w:rFonts w:eastAsia="Times New Roman"/>
        </w:rPr>
        <w:t xml:space="preserve"> k pokrytí veřejných výdajů.</w:t>
      </w:r>
    </w:p>
    <w:p w14:paraId="4A6F30E0" w14:textId="77777777" w:rsidR="008E0F74" w:rsidRPr="00FC3B7C" w:rsidRDefault="00256F29" w:rsidP="00AD4114">
      <w:pPr>
        <w:rPr>
          <w:sz w:val="20"/>
          <w:szCs w:val="20"/>
        </w:rPr>
      </w:pPr>
      <w:r w:rsidRPr="00FC3B7C">
        <w:rPr>
          <w:rFonts w:eastAsia="Times New Roman"/>
          <w:i/>
          <w:iCs/>
          <w:u w:val="single"/>
        </w:rPr>
        <w:t>Fiskální hospodářská politika</w:t>
      </w:r>
      <w:r w:rsidRPr="00FC3B7C">
        <w:rPr>
          <w:rFonts w:eastAsia="Times New Roman"/>
          <w:i/>
          <w:iCs/>
        </w:rPr>
        <w:t xml:space="preserve"> </w:t>
      </w:r>
      <w:r w:rsidRPr="00FC3B7C">
        <w:rPr>
          <w:rFonts w:eastAsia="Times New Roman"/>
        </w:rPr>
        <w:t>– Záměrný</w:t>
      </w:r>
      <w:r w:rsidRPr="00FC3B7C">
        <w:rPr>
          <w:rFonts w:eastAsia="Times New Roman"/>
          <w:i/>
          <w:iCs/>
        </w:rPr>
        <w:t xml:space="preserve"> </w:t>
      </w:r>
      <w:r w:rsidRPr="00FC3B7C">
        <w:rPr>
          <w:rFonts w:eastAsia="Times New Roman"/>
        </w:rPr>
        <w:t>proces realizovaný</w:t>
      </w:r>
      <w:r w:rsidRPr="00FC3B7C">
        <w:rPr>
          <w:rFonts w:eastAsia="Times New Roman"/>
          <w:i/>
          <w:iCs/>
        </w:rPr>
        <w:t xml:space="preserve"> </w:t>
      </w:r>
      <w:r w:rsidRPr="00FC3B7C">
        <w:rPr>
          <w:rFonts w:eastAsia="Times New Roman"/>
        </w:rPr>
        <w:t>vládou, který</w:t>
      </w:r>
      <w:r w:rsidRPr="00FC3B7C">
        <w:rPr>
          <w:rFonts w:eastAsia="Times New Roman"/>
          <w:i/>
          <w:iCs/>
        </w:rPr>
        <w:t xml:space="preserve"> </w:t>
      </w:r>
      <w:r w:rsidRPr="00FC3B7C">
        <w:rPr>
          <w:rFonts w:eastAsia="Times New Roman"/>
        </w:rPr>
        <w:t>za využití státního</w:t>
      </w:r>
      <w:r w:rsidRPr="00FC3B7C">
        <w:rPr>
          <w:rFonts w:eastAsia="Times New Roman"/>
          <w:i/>
          <w:iCs/>
        </w:rPr>
        <w:t xml:space="preserve"> </w:t>
      </w:r>
      <w:r w:rsidRPr="00FC3B7C">
        <w:rPr>
          <w:rFonts w:eastAsia="Times New Roman"/>
        </w:rPr>
        <w:t>rozpočtu reguluje peněžní vztahy mezí státem a ekonomickými subjekty s cílem stabilizovat makroekonomický vývoj a zaměstnanost.</w:t>
      </w:r>
    </w:p>
    <w:p w14:paraId="4A6F30E1" w14:textId="77777777" w:rsidR="008E0F74" w:rsidRPr="00FC3B7C" w:rsidRDefault="00256F29" w:rsidP="00AD4114">
      <w:pPr>
        <w:rPr>
          <w:sz w:val="20"/>
          <w:szCs w:val="20"/>
        </w:rPr>
      </w:pPr>
      <w:r w:rsidRPr="00FC3B7C">
        <w:rPr>
          <w:rFonts w:eastAsia="Times New Roman"/>
          <w:i/>
          <w:iCs/>
          <w:u w:val="single"/>
        </w:rPr>
        <w:t>Veřejný</w:t>
      </w:r>
      <w:r w:rsidRPr="00FC3B7C">
        <w:rPr>
          <w:rFonts w:eastAsia="Times New Roman"/>
          <w:i/>
          <w:iCs/>
        </w:rPr>
        <w:t xml:space="preserve"> </w:t>
      </w:r>
      <w:r w:rsidRPr="00FC3B7C">
        <w:rPr>
          <w:rFonts w:eastAsia="Times New Roman"/>
          <w:i/>
          <w:iCs/>
          <w:u w:val="single"/>
        </w:rPr>
        <w:t>dluh</w:t>
      </w:r>
      <w:r w:rsidRPr="00FC3B7C">
        <w:rPr>
          <w:rFonts w:eastAsia="Times New Roman"/>
          <w:i/>
          <w:iCs/>
        </w:rPr>
        <w:t xml:space="preserve"> – </w:t>
      </w:r>
      <w:r w:rsidRPr="00FC3B7C">
        <w:rPr>
          <w:rFonts w:eastAsia="Times New Roman"/>
        </w:rPr>
        <w:t>Souhrn pohledávek ostatních ekonomických subjektů</w:t>
      </w:r>
      <w:r w:rsidRPr="00FC3B7C">
        <w:rPr>
          <w:rFonts w:eastAsia="Times New Roman"/>
          <w:i/>
          <w:iCs/>
        </w:rPr>
        <w:t xml:space="preserve"> </w:t>
      </w:r>
      <w:r w:rsidRPr="00FC3B7C">
        <w:rPr>
          <w:rFonts w:eastAsia="Times New Roman"/>
        </w:rPr>
        <w:t>vůči státu, jednotlivým</w:t>
      </w:r>
      <w:r w:rsidRPr="00FC3B7C">
        <w:rPr>
          <w:rFonts w:eastAsia="Times New Roman"/>
          <w:i/>
          <w:iCs/>
        </w:rPr>
        <w:t xml:space="preserve"> </w:t>
      </w:r>
      <w:r w:rsidRPr="00FC3B7C">
        <w:rPr>
          <w:rFonts w:eastAsia="Times New Roman"/>
        </w:rPr>
        <w:t xml:space="preserve">stupňům územní samosprávy, veřejným fondům a ostatním institucím veřejného sektoru. </w:t>
      </w:r>
      <w:r w:rsidRPr="00FC3B7C">
        <w:rPr>
          <w:rFonts w:eastAsia="Times New Roman"/>
          <w:i/>
          <w:iCs/>
          <w:u w:val="single"/>
        </w:rPr>
        <w:t>Dluhová služba</w:t>
      </w:r>
      <w:r w:rsidRPr="00FC3B7C">
        <w:rPr>
          <w:rFonts w:eastAsia="Times New Roman"/>
          <w:i/>
          <w:iCs/>
        </w:rPr>
        <w:t xml:space="preserve"> </w:t>
      </w:r>
      <w:r w:rsidRPr="00FC3B7C">
        <w:rPr>
          <w:rFonts w:eastAsia="Times New Roman"/>
        </w:rPr>
        <w:t>– Úroky z dluhu, uhrazené splátky vydaných dluhopisů, splátky jistin, splátky</w:t>
      </w:r>
      <w:r w:rsidRPr="00FC3B7C">
        <w:rPr>
          <w:rFonts w:eastAsia="Times New Roman"/>
          <w:i/>
          <w:iCs/>
        </w:rPr>
        <w:t xml:space="preserve"> </w:t>
      </w:r>
      <w:r w:rsidRPr="00FC3B7C">
        <w:rPr>
          <w:rFonts w:eastAsia="Times New Roman"/>
        </w:rPr>
        <w:t>leasingu.</w:t>
      </w:r>
    </w:p>
    <w:p w14:paraId="4A6F30E2" w14:textId="1759CEA1" w:rsidR="008E0F74" w:rsidRPr="00FC3B7C" w:rsidRDefault="00256F29" w:rsidP="00AD4114">
      <w:pPr>
        <w:rPr>
          <w:sz w:val="20"/>
          <w:szCs w:val="20"/>
        </w:rPr>
      </w:pPr>
      <w:r w:rsidRPr="00FC3B7C">
        <w:rPr>
          <w:rFonts w:eastAsia="Times New Roman"/>
          <w:i/>
          <w:iCs/>
          <w:u w:val="single"/>
        </w:rPr>
        <w:t>Vládní výdaje</w:t>
      </w:r>
      <w:r w:rsidRPr="00FC3B7C">
        <w:rPr>
          <w:rFonts w:eastAsia="Times New Roman"/>
          <w:i/>
          <w:iCs/>
        </w:rPr>
        <w:t xml:space="preserve"> </w:t>
      </w:r>
      <w:r w:rsidRPr="00FC3B7C">
        <w:rPr>
          <w:rFonts w:eastAsia="Times New Roman"/>
        </w:rPr>
        <w:t>– Peníze určené na chod vládních institucí, veřejného</w:t>
      </w:r>
      <w:r w:rsidRPr="00FC3B7C">
        <w:rPr>
          <w:rFonts w:eastAsia="Times New Roman"/>
          <w:i/>
          <w:iCs/>
        </w:rPr>
        <w:t xml:space="preserve"> </w:t>
      </w:r>
      <w:r w:rsidRPr="00FC3B7C">
        <w:rPr>
          <w:rFonts w:eastAsia="Times New Roman"/>
        </w:rPr>
        <w:t>školství, zdravotnictví,</w:t>
      </w:r>
      <w:r w:rsidRPr="00FC3B7C">
        <w:rPr>
          <w:rFonts w:eastAsia="Times New Roman"/>
          <w:i/>
          <w:iCs/>
        </w:rPr>
        <w:t xml:space="preserve"> </w:t>
      </w:r>
      <w:r w:rsidRPr="00FC3B7C">
        <w:rPr>
          <w:rFonts w:eastAsia="Times New Roman"/>
        </w:rPr>
        <w:t>obrany státu, vládní investice, vládní dotační programy.</w:t>
      </w:r>
    </w:p>
    <w:p w14:paraId="4A6F30E3" w14:textId="77777777" w:rsidR="008E0F74" w:rsidRPr="00FC3B7C" w:rsidRDefault="00256F29" w:rsidP="00AD4114">
      <w:pPr>
        <w:rPr>
          <w:sz w:val="20"/>
          <w:szCs w:val="20"/>
        </w:rPr>
      </w:pPr>
      <w:r w:rsidRPr="00FC3B7C">
        <w:rPr>
          <w:rFonts w:eastAsia="Times New Roman"/>
          <w:i/>
          <w:iCs/>
          <w:u w:val="single"/>
        </w:rPr>
        <w:t>Monetizace státního dluhu</w:t>
      </w:r>
      <w:r w:rsidRPr="00FC3B7C">
        <w:rPr>
          <w:rFonts w:eastAsia="Times New Roman"/>
          <w:i/>
          <w:iCs/>
        </w:rPr>
        <w:t xml:space="preserve"> </w:t>
      </w:r>
      <w:r w:rsidRPr="00FC3B7C">
        <w:rPr>
          <w:rFonts w:eastAsia="Times New Roman"/>
        </w:rPr>
        <w:t>– Nákupy vládních dluhopisů</w:t>
      </w:r>
      <w:r w:rsidRPr="00FC3B7C">
        <w:rPr>
          <w:rFonts w:eastAsia="Times New Roman"/>
          <w:i/>
          <w:iCs/>
        </w:rPr>
        <w:t xml:space="preserve"> </w:t>
      </w:r>
      <w:r w:rsidRPr="00FC3B7C">
        <w:rPr>
          <w:rFonts w:eastAsia="Times New Roman"/>
        </w:rPr>
        <w:t>centrální bankou. Centrální banka</w:t>
      </w:r>
      <w:r w:rsidRPr="00FC3B7C">
        <w:rPr>
          <w:rFonts w:eastAsia="Times New Roman"/>
          <w:i/>
          <w:iCs/>
        </w:rPr>
        <w:t xml:space="preserve"> </w:t>
      </w:r>
      <w:r w:rsidRPr="00FC3B7C">
        <w:rPr>
          <w:rFonts w:eastAsia="Times New Roman"/>
        </w:rPr>
        <w:t>se tak stává věřitelem státu.</w:t>
      </w:r>
    </w:p>
    <w:p w14:paraId="4A6F30E4" w14:textId="770631E9" w:rsidR="008E0F74" w:rsidRPr="00FC3B7C" w:rsidRDefault="00256F29" w:rsidP="00AD4114">
      <w:pPr>
        <w:rPr>
          <w:sz w:val="20"/>
          <w:szCs w:val="20"/>
        </w:rPr>
      </w:pPr>
      <w:r w:rsidRPr="00FC3B7C">
        <w:rPr>
          <w:rFonts w:eastAsia="Times New Roman"/>
          <w:i/>
          <w:iCs/>
          <w:u w:val="single"/>
        </w:rPr>
        <w:t>Multiplikační efekt vládních výdajů</w:t>
      </w:r>
      <w:r w:rsidRPr="00FC3B7C">
        <w:rPr>
          <w:rFonts w:eastAsia="Times New Roman"/>
          <w:i/>
          <w:iCs/>
        </w:rPr>
        <w:t xml:space="preserve"> </w:t>
      </w:r>
      <w:r w:rsidRPr="00FC3B7C">
        <w:rPr>
          <w:rFonts w:eastAsia="Times New Roman"/>
        </w:rPr>
        <w:t xml:space="preserve">– </w:t>
      </w:r>
      <w:r w:rsidRPr="00FA504A">
        <w:rPr>
          <w:rFonts w:eastAsia="Times New Roman"/>
          <w:szCs w:val="24"/>
        </w:rPr>
        <w:t>Přírůstek vládních výdajů</w:t>
      </w:r>
      <w:r w:rsidRPr="00FA504A">
        <w:rPr>
          <w:rFonts w:eastAsia="Times New Roman"/>
          <w:i/>
          <w:iCs/>
          <w:szCs w:val="24"/>
        </w:rPr>
        <w:t xml:space="preserve"> </w:t>
      </w:r>
      <w:r w:rsidRPr="00FA504A">
        <w:rPr>
          <w:rFonts w:eastAsia="Times New Roman"/>
          <w:szCs w:val="24"/>
        </w:rPr>
        <w:t>vyvolá několikanásobně</w:t>
      </w:r>
      <w:r w:rsidRPr="00FA504A">
        <w:rPr>
          <w:rFonts w:eastAsia="Times New Roman"/>
          <w:i/>
          <w:iCs/>
          <w:szCs w:val="24"/>
        </w:rPr>
        <w:t xml:space="preserve"> </w:t>
      </w:r>
      <w:r w:rsidRPr="00FA504A">
        <w:rPr>
          <w:rFonts w:eastAsia="Times New Roman"/>
          <w:szCs w:val="24"/>
        </w:rPr>
        <w:t>větší přírůstek domácího produktu</w:t>
      </w:r>
      <w:r w:rsidR="00FA504A" w:rsidRPr="00FA504A">
        <w:rPr>
          <w:rFonts w:eastAsia="Times New Roman"/>
          <w:szCs w:val="24"/>
        </w:rPr>
        <w:t xml:space="preserve"> (z</w:t>
      </w:r>
      <w:r w:rsidR="00FA504A" w:rsidRPr="00FA504A">
        <w:rPr>
          <w:color w:val="000000"/>
          <w:szCs w:val="24"/>
          <w:shd w:val="clear" w:color="auto" w:fill="FFFFFF"/>
        </w:rPr>
        <w:t>výšení vládních výdajů o jednotku může zvýšit agregátní poptávku o více než jednu jednotku).</w:t>
      </w:r>
    </w:p>
    <w:p w14:paraId="4A6F30E5" w14:textId="77777777" w:rsidR="008E0F74" w:rsidRPr="00FC3B7C" w:rsidRDefault="00256F29" w:rsidP="00AD4114">
      <w:pPr>
        <w:rPr>
          <w:sz w:val="20"/>
          <w:szCs w:val="20"/>
        </w:rPr>
      </w:pPr>
      <w:r w:rsidRPr="00FC3B7C">
        <w:rPr>
          <w:rFonts w:eastAsia="Times New Roman"/>
          <w:i/>
          <w:iCs/>
          <w:u w:val="single"/>
        </w:rPr>
        <w:t>Mandatorní výdaje</w:t>
      </w:r>
      <w:r w:rsidRPr="00FC3B7C">
        <w:rPr>
          <w:rFonts w:eastAsia="Times New Roman"/>
          <w:i/>
          <w:iCs/>
        </w:rPr>
        <w:t xml:space="preserve"> </w:t>
      </w:r>
      <w:r w:rsidRPr="00FC3B7C">
        <w:rPr>
          <w:rFonts w:eastAsia="Times New Roman"/>
        </w:rPr>
        <w:t>- Zákonem stanovené výdaje (povinné).</w:t>
      </w:r>
    </w:p>
    <w:p w14:paraId="4A6F30E6" w14:textId="3F7A94EA" w:rsidR="008E0F74" w:rsidRPr="00FC3B7C" w:rsidRDefault="00256F29" w:rsidP="00AD4114">
      <w:pPr>
        <w:rPr>
          <w:sz w:val="20"/>
          <w:szCs w:val="20"/>
        </w:rPr>
      </w:pPr>
      <w:r w:rsidRPr="00FC3B7C">
        <w:rPr>
          <w:rFonts w:eastAsia="Times New Roman"/>
          <w:i/>
          <w:iCs/>
          <w:u w:val="single"/>
        </w:rPr>
        <w:t>Nemandatorní výdaje</w:t>
      </w:r>
      <w:r w:rsidRPr="00FC3B7C">
        <w:rPr>
          <w:rFonts w:eastAsia="Times New Roman"/>
          <w:i/>
          <w:iCs/>
        </w:rPr>
        <w:t xml:space="preserve"> </w:t>
      </w:r>
      <w:r w:rsidRPr="00FC3B7C">
        <w:rPr>
          <w:rFonts w:eastAsia="Times New Roman"/>
        </w:rPr>
        <w:t xml:space="preserve">- Stát </w:t>
      </w:r>
      <w:r w:rsidR="00350763">
        <w:rPr>
          <w:rFonts w:eastAsia="Times New Roman"/>
        </w:rPr>
        <w:t xml:space="preserve">je </w:t>
      </w:r>
      <w:r w:rsidRPr="00FC3B7C">
        <w:rPr>
          <w:rFonts w:eastAsia="Times New Roman"/>
        </w:rPr>
        <w:t>nemusí vyplácet ze zákona, ale realizuje je na základě</w:t>
      </w:r>
      <w:r w:rsidRPr="00FC3B7C">
        <w:rPr>
          <w:rFonts w:eastAsia="Times New Roman"/>
          <w:i/>
          <w:iCs/>
        </w:rPr>
        <w:t xml:space="preserve"> </w:t>
      </w:r>
      <w:r w:rsidRPr="00FC3B7C">
        <w:rPr>
          <w:rFonts w:eastAsia="Times New Roman"/>
        </w:rPr>
        <w:t>svého</w:t>
      </w:r>
      <w:r w:rsidRPr="00FC3B7C">
        <w:rPr>
          <w:rFonts w:eastAsia="Times New Roman"/>
          <w:i/>
          <w:iCs/>
        </w:rPr>
        <w:t xml:space="preserve"> </w:t>
      </w:r>
      <w:r w:rsidRPr="00FC3B7C">
        <w:rPr>
          <w:rFonts w:eastAsia="Times New Roman"/>
        </w:rPr>
        <w:t>rozhodnutí (nepovinné).</w:t>
      </w:r>
    </w:p>
    <w:p w14:paraId="4A6F30E7" w14:textId="77777777" w:rsidR="008E0F74" w:rsidRPr="00FC3B7C" w:rsidRDefault="00256F29" w:rsidP="00AD4114">
      <w:pPr>
        <w:rPr>
          <w:sz w:val="20"/>
          <w:szCs w:val="20"/>
        </w:rPr>
      </w:pPr>
      <w:r w:rsidRPr="00FC3B7C">
        <w:rPr>
          <w:rFonts w:eastAsia="Times New Roman"/>
          <w:i/>
          <w:iCs/>
          <w:u w:val="single"/>
        </w:rPr>
        <w:t>Agregátní poptávka</w:t>
      </w:r>
      <w:r w:rsidRPr="00FC3B7C">
        <w:rPr>
          <w:rFonts w:eastAsia="Times New Roman"/>
          <w:i/>
          <w:iCs/>
        </w:rPr>
        <w:t xml:space="preserve"> </w:t>
      </w:r>
      <w:r w:rsidRPr="00FC3B7C">
        <w:rPr>
          <w:rFonts w:eastAsia="Times New Roman"/>
        </w:rPr>
        <w:t>– Souhrn výdajů</w:t>
      </w:r>
      <w:r w:rsidRPr="00FC3B7C">
        <w:rPr>
          <w:rFonts w:eastAsia="Times New Roman"/>
          <w:i/>
          <w:iCs/>
        </w:rPr>
        <w:t xml:space="preserve"> </w:t>
      </w:r>
      <w:r w:rsidRPr="00FC3B7C">
        <w:rPr>
          <w:rFonts w:eastAsia="Times New Roman"/>
        </w:rPr>
        <w:t>všech ekonomických subjektů</w:t>
      </w:r>
      <w:r w:rsidRPr="00FC3B7C">
        <w:rPr>
          <w:rFonts w:eastAsia="Times New Roman"/>
          <w:i/>
          <w:iCs/>
        </w:rPr>
        <w:t xml:space="preserve"> </w:t>
      </w:r>
      <w:r w:rsidRPr="00FC3B7C">
        <w:rPr>
          <w:rFonts w:eastAsia="Times New Roman"/>
        </w:rPr>
        <w:t>(domácnosti, firmy,</w:t>
      </w:r>
      <w:r w:rsidRPr="00FC3B7C">
        <w:rPr>
          <w:rFonts w:eastAsia="Times New Roman"/>
          <w:i/>
          <w:iCs/>
        </w:rPr>
        <w:t xml:space="preserve"> </w:t>
      </w:r>
      <w:r w:rsidR="00AD4114">
        <w:rPr>
          <w:rFonts w:eastAsia="Times New Roman"/>
        </w:rPr>
        <w:t>stát)</w:t>
      </w:r>
      <w:r w:rsidR="00AD4114">
        <w:rPr>
          <w:sz w:val="20"/>
          <w:szCs w:val="20"/>
        </w:rPr>
        <w:t>.</w:t>
      </w:r>
    </w:p>
    <w:p w14:paraId="4A6F30E8" w14:textId="77777777" w:rsidR="008E0F74" w:rsidRPr="00FC3B7C" w:rsidRDefault="00256F29" w:rsidP="00AD4114">
      <w:pPr>
        <w:rPr>
          <w:sz w:val="20"/>
          <w:szCs w:val="20"/>
        </w:rPr>
      </w:pPr>
      <w:r w:rsidRPr="00FC3B7C">
        <w:rPr>
          <w:rFonts w:eastAsia="Times New Roman"/>
          <w:i/>
          <w:iCs/>
          <w:u w:val="single"/>
        </w:rPr>
        <w:t>Efekt likvidity</w:t>
      </w:r>
      <w:r w:rsidRPr="00FC3B7C">
        <w:rPr>
          <w:rFonts w:eastAsia="Times New Roman"/>
          <w:i/>
          <w:iCs/>
        </w:rPr>
        <w:t xml:space="preserve"> </w:t>
      </w:r>
      <w:r w:rsidRPr="00FC3B7C">
        <w:rPr>
          <w:rFonts w:eastAsia="Times New Roman"/>
        </w:rPr>
        <w:t>– Pokles cenové hladiny zvýší reálnou hodnotu peněžních zůstatků.</w:t>
      </w:r>
    </w:p>
    <w:p w14:paraId="4A6F30E9" w14:textId="77777777" w:rsidR="008E0F74" w:rsidRPr="00FC3B7C" w:rsidRDefault="00256F29" w:rsidP="00AD4114">
      <w:pPr>
        <w:rPr>
          <w:sz w:val="20"/>
          <w:szCs w:val="20"/>
        </w:rPr>
      </w:pPr>
      <w:r w:rsidRPr="00FC3B7C">
        <w:rPr>
          <w:rFonts w:eastAsia="Times New Roman"/>
          <w:i/>
          <w:iCs/>
          <w:u w:val="single"/>
        </w:rPr>
        <w:t>Efekt vytěsňovaní investic</w:t>
      </w:r>
      <w:r w:rsidRPr="00FC3B7C">
        <w:rPr>
          <w:rFonts w:eastAsia="Times New Roman"/>
          <w:i/>
          <w:iCs/>
        </w:rPr>
        <w:t xml:space="preserve"> </w:t>
      </w:r>
      <w:r w:rsidRPr="00FC3B7C">
        <w:rPr>
          <w:rFonts w:eastAsia="Times New Roman"/>
        </w:rPr>
        <w:t>- Zvýšené vládní výdaje vytěsňují soukromé investiční výdaje,</w:t>
      </w:r>
      <w:r w:rsidRPr="00FC3B7C">
        <w:rPr>
          <w:rFonts w:eastAsia="Times New Roman"/>
          <w:i/>
          <w:iCs/>
        </w:rPr>
        <w:t xml:space="preserve"> </w:t>
      </w:r>
      <w:r w:rsidRPr="00FC3B7C">
        <w:rPr>
          <w:rFonts w:eastAsia="Times New Roman"/>
        </w:rPr>
        <w:t>které jsou financovány úvěrem. Mohou vytěsňovat i spotřební výdaje domácností.</w:t>
      </w:r>
    </w:p>
    <w:p w14:paraId="4A6F30EA" w14:textId="77777777" w:rsidR="008E0F74" w:rsidRPr="00FC3B7C" w:rsidRDefault="008E0F74">
      <w:pPr>
        <w:sectPr w:rsidR="008E0F74" w:rsidRPr="00FC3B7C">
          <w:pgSz w:w="11900" w:h="16840"/>
          <w:pgMar w:top="1388" w:right="1420" w:bottom="1440" w:left="1416" w:header="0" w:footer="0" w:gutter="0"/>
          <w:cols w:space="708" w:equalWidth="0">
            <w:col w:w="9064"/>
          </w:cols>
        </w:sectPr>
      </w:pPr>
    </w:p>
    <w:p w14:paraId="4A6F30EB" w14:textId="77777777" w:rsidR="008E0F74" w:rsidRPr="00FC3B7C" w:rsidRDefault="00256F29" w:rsidP="00AD4114">
      <w:pPr>
        <w:rPr>
          <w:sz w:val="20"/>
          <w:szCs w:val="20"/>
        </w:rPr>
      </w:pPr>
      <w:bookmarkStart w:id="102" w:name="page99"/>
      <w:bookmarkEnd w:id="102"/>
      <w:r w:rsidRPr="00FC3B7C">
        <w:rPr>
          <w:rFonts w:eastAsia="Times New Roman"/>
          <w:i/>
          <w:iCs/>
          <w:u w:val="single"/>
        </w:rPr>
        <w:lastRenderedPageBreak/>
        <w:t>Parafiskální</w:t>
      </w:r>
      <w:r w:rsidRPr="00FC3B7C">
        <w:rPr>
          <w:rFonts w:eastAsia="Times New Roman"/>
          <w:i/>
          <w:iCs/>
        </w:rPr>
        <w:t xml:space="preserve"> </w:t>
      </w:r>
      <w:r w:rsidRPr="00FC3B7C">
        <w:rPr>
          <w:rFonts w:eastAsia="Times New Roman"/>
        </w:rPr>
        <w:t xml:space="preserve">– </w:t>
      </w:r>
      <w:r w:rsidRPr="000E47F9">
        <w:rPr>
          <w:rFonts w:eastAsia="Times New Roman"/>
        </w:rPr>
        <w:t>Instituce, které naplňují úkoly v rámci veřejného zájmu: veřejné</w:t>
      </w:r>
      <w:r w:rsidRPr="00FC3B7C">
        <w:rPr>
          <w:rFonts w:eastAsia="Times New Roman"/>
        </w:rPr>
        <w:t xml:space="preserve"> zdravotní</w:t>
      </w:r>
    </w:p>
    <w:p w14:paraId="4A6F30EC" w14:textId="77777777" w:rsidR="008E0F74" w:rsidRPr="00FC3B7C" w:rsidRDefault="00256F29" w:rsidP="00AD4114">
      <w:pPr>
        <w:rPr>
          <w:sz w:val="20"/>
          <w:szCs w:val="20"/>
        </w:rPr>
      </w:pPr>
      <w:r w:rsidRPr="00FC3B7C">
        <w:rPr>
          <w:rFonts w:eastAsia="Times New Roman"/>
        </w:rPr>
        <w:t>pojišťovny, veřejnoprávní média, náboženské organizace, veřejně prospěšné instituce.</w:t>
      </w:r>
    </w:p>
    <w:p w14:paraId="4A6F30ED" w14:textId="77777777" w:rsidR="008E0F74" w:rsidRPr="00FC3B7C" w:rsidRDefault="00256F29" w:rsidP="00AD4114">
      <w:pPr>
        <w:rPr>
          <w:sz w:val="20"/>
          <w:szCs w:val="20"/>
        </w:rPr>
      </w:pPr>
      <w:r w:rsidRPr="00FC3B7C">
        <w:rPr>
          <w:rFonts w:eastAsia="Times New Roman"/>
          <w:i/>
          <w:iCs/>
          <w:u w:val="single"/>
        </w:rPr>
        <w:t>Diskreční</w:t>
      </w:r>
      <w:r w:rsidR="007A7FC0">
        <w:rPr>
          <w:sz w:val="20"/>
          <w:szCs w:val="20"/>
        </w:rPr>
        <w:t xml:space="preserve"> </w:t>
      </w:r>
      <w:r w:rsidRPr="00FC3B7C">
        <w:rPr>
          <w:rFonts w:eastAsia="Times New Roman"/>
          <w:i/>
          <w:iCs/>
          <w:u w:val="single"/>
        </w:rPr>
        <w:t>opatření</w:t>
      </w:r>
      <w:r w:rsidR="007A7FC0">
        <w:rPr>
          <w:sz w:val="20"/>
          <w:szCs w:val="20"/>
        </w:rPr>
        <w:t xml:space="preserve"> </w:t>
      </w:r>
      <w:r w:rsidR="007A7FC0">
        <w:rPr>
          <w:rFonts w:eastAsia="Times New Roman"/>
        </w:rPr>
        <w:t xml:space="preserve">– </w:t>
      </w:r>
      <w:r w:rsidRPr="00FC3B7C">
        <w:rPr>
          <w:rFonts w:eastAsia="Times New Roman"/>
        </w:rPr>
        <w:t>Op</w:t>
      </w:r>
      <w:r w:rsidR="007A7FC0">
        <w:rPr>
          <w:rFonts w:eastAsia="Times New Roman"/>
        </w:rPr>
        <w:t xml:space="preserve">atření, </w:t>
      </w:r>
      <w:r w:rsidR="00AD4114">
        <w:rPr>
          <w:rFonts w:eastAsia="Times New Roman"/>
        </w:rPr>
        <w:t>která</w:t>
      </w:r>
      <w:r w:rsidR="00AD4114">
        <w:rPr>
          <w:rFonts w:eastAsia="Times New Roman"/>
        </w:rPr>
        <w:tab/>
        <w:t>jsou</w:t>
      </w:r>
      <w:r w:rsidR="00AD4114">
        <w:rPr>
          <w:rFonts w:eastAsia="Times New Roman"/>
        </w:rPr>
        <w:tab/>
        <w:t>krátkodobá</w:t>
      </w:r>
      <w:r w:rsidR="00AD4114">
        <w:rPr>
          <w:rFonts w:eastAsia="Times New Roman"/>
        </w:rPr>
        <w:tab/>
        <w:t xml:space="preserve">a okamžitá, </w:t>
      </w:r>
      <w:r w:rsidRPr="00FC3B7C">
        <w:rPr>
          <w:rFonts w:eastAsia="Times New Roman"/>
        </w:rPr>
        <w:t>vyžadují</w:t>
      </w:r>
      <w:r w:rsidR="007A7FC0">
        <w:rPr>
          <w:sz w:val="20"/>
          <w:szCs w:val="20"/>
        </w:rPr>
        <w:t xml:space="preserve"> </w:t>
      </w:r>
      <w:r w:rsidRPr="00FC3B7C">
        <w:rPr>
          <w:rFonts w:eastAsia="Times New Roman"/>
          <w:sz w:val="23"/>
          <w:szCs w:val="23"/>
        </w:rPr>
        <w:t>schválení</w:t>
      </w:r>
      <w:r w:rsidR="00AD4114">
        <w:rPr>
          <w:sz w:val="20"/>
          <w:szCs w:val="20"/>
        </w:rPr>
        <w:t xml:space="preserve"> </w:t>
      </w:r>
      <w:r w:rsidRPr="00FC3B7C">
        <w:rPr>
          <w:rFonts w:eastAsia="Times New Roman"/>
        </w:rPr>
        <w:t>parlamentem a reagují na konkrétní situace (např. projekty zaměstnanosti, šrotovné…).</w:t>
      </w:r>
    </w:p>
    <w:p w14:paraId="4A6F30EE" w14:textId="77777777" w:rsidR="008E0F74" w:rsidRPr="00FC3B7C" w:rsidRDefault="00256F29" w:rsidP="00AD4114">
      <w:pPr>
        <w:rPr>
          <w:sz w:val="20"/>
          <w:szCs w:val="20"/>
        </w:rPr>
      </w:pPr>
      <w:r w:rsidRPr="00FC3B7C">
        <w:rPr>
          <w:rFonts w:eastAsia="Times New Roman"/>
          <w:i/>
          <w:iCs/>
          <w:sz w:val="23"/>
          <w:szCs w:val="23"/>
          <w:u w:val="single"/>
        </w:rPr>
        <w:t>Veřejný</w:t>
      </w:r>
      <w:r w:rsidRPr="00FC3B7C">
        <w:rPr>
          <w:rFonts w:eastAsia="Times New Roman"/>
          <w:i/>
          <w:iCs/>
          <w:sz w:val="23"/>
          <w:szCs w:val="23"/>
        </w:rPr>
        <w:t xml:space="preserve"> </w:t>
      </w:r>
      <w:r w:rsidRPr="00FC3B7C">
        <w:rPr>
          <w:rFonts w:eastAsia="Times New Roman"/>
          <w:i/>
          <w:iCs/>
          <w:sz w:val="23"/>
          <w:szCs w:val="23"/>
          <w:u w:val="single"/>
        </w:rPr>
        <w:t>statek</w:t>
      </w:r>
      <w:r w:rsidRPr="00FC3B7C">
        <w:rPr>
          <w:rFonts w:eastAsia="Times New Roman"/>
          <w:i/>
          <w:iCs/>
          <w:sz w:val="23"/>
          <w:szCs w:val="23"/>
        </w:rPr>
        <w:t xml:space="preserve"> </w:t>
      </w:r>
      <w:r w:rsidRPr="00FC3B7C">
        <w:rPr>
          <w:rFonts w:eastAsia="Times New Roman"/>
          <w:sz w:val="23"/>
          <w:szCs w:val="23"/>
        </w:rPr>
        <w:t>– Statek, který</w:t>
      </w:r>
      <w:r w:rsidRPr="00FC3B7C">
        <w:rPr>
          <w:rFonts w:eastAsia="Times New Roman"/>
          <w:i/>
          <w:iCs/>
          <w:sz w:val="23"/>
          <w:szCs w:val="23"/>
        </w:rPr>
        <w:t xml:space="preserve"> </w:t>
      </w:r>
      <w:r w:rsidRPr="00FC3B7C">
        <w:rPr>
          <w:rFonts w:eastAsia="Times New Roman"/>
          <w:sz w:val="23"/>
          <w:szCs w:val="23"/>
        </w:rPr>
        <w:t>se financuje z daní, charakterizuje ho nevylučitelnost ze spotřeby</w:t>
      </w:r>
    </w:p>
    <w:p w14:paraId="4A6F30EF" w14:textId="0A15AA09" w:rsidR="008E0F74" w:rsidRPr="00FC3B7C" w:rsidRDefault="00256F29" w:rsidP="00AD4114">
      <w:pPr>
        <w:rPr>
          <w:sz w:val="20"/>
          <w:szCs w:val="20"/>
        </w:rPr>
      </w:pPr>
      <w:r w:rsidRPr="00FC3B7C">
        <w:rPr>
          <w:rFonts w:eastAsia="Times New Roman"/>
        </w:rPr>
        <w:t>a nerivalita ve spotřebě (</w:t>
      </w:r>
      <w:r w:rsidR="00F95E07">
        <w:rPr>
          <w:rFonts w:eastAsia="Times New Roman"/>
        </w:rPr>
        <w:t>např.</w:t>
      </w:r>
      <w:r w:rsidRPr="00FC3B7C">
        <w:rPr>
          <w:rFonts w:eastAsia="Times New Roman"/>
        </w:rPr>
        <w:t xml:space="preserve"> čistě veřejn</w:t>
      </w:r>
      <w:r w:rsidR="00F95E07">
        <w:rPr>
          <w:rFonts w:eastAsia="Times New Roman"/>
        </w:rPr>
        <w:t>ý</w:t>
      </w:r>
      <w:r w:rsidRPr="00FC3B7C">
        <w:rPr>
          <w:rFonts w:eastAsia="Times New Roman"/>
        </w:rPr>
        <w:t xml:space="preserve"> stat</w:t>
      </w:r>
      <w:r w:rsidR="00F95E07">
        <w:rPr>
          <w:rFonts w:eastAsia="Times New Roman"/>
        </w:rPr>
        <w:t>e</w:t>
      </w:r>
      <w:r w:rsidRPr="00FC3B7C">
        <w:rPr>
          <w:rFonts w:eastAsia="Times New Roman"/>
        </w:rPr>
        <w:t>k je národní obrana).</w:t>
      </w:r>
    </w:p>
    <w:p w14:paraId="4A6F30F0" w14:textId="77777777" w:rsidR="008E0F74" w:rsidRPr="00FC3B7C" w:rsidRDefault="00256F29" w:rsidP="00AD4114">
      <w:pPr>
        <w:rPr>
          <w:sz w:val="20"/>
          <w:szCs w:val="20"/>
        </w:rPr>
      </w:pPr>
      <w:r w:rsidRPr="00FC3B7C">
        <w:rPr>
          <w:rFonts w:eastAsia="Times New Roman"/>
          <w:i/>
          <w:iCs/>
          <w:u w:val="single"/>
        </w:rPr>
        <w:t>Fiskální iluze</w:t>
      </w:r>
      <w:r w:rsidRPr="00FC3B7C">
        <w:rPr>
          <w:rFonts w:eastAsia="Times New Roman"/>
          <w:i/>
          <w:iCs/>
        </w:rPr>
        <w:t xml:space="preserve"> </w:t>
      </w:r>
      <w:r w:rsidRPr="00FC3B7C">
        <w:rPr>
          <w:rFonts w:eastAsia="Times New Roman"/>
        </w:rPr>
        <w:t>– Iluze, které podléhají voliči před volbami, kdy politici pro své znovuzvolení</w:t>
      </w:r>
      <w:r w:rsidRPr="00FC3B7C">
        <w:rPr>
          <w:rFonts w:eastAsia="Times New Roman"/>
          <w:i/>
          <w:iCs/>
        </w:rPr>
        <w:t xml:space="preserve"> </w:t>
      </w:r>
      <w:r w:rsidRPr="00FC3B7C">
        <w:rPr>
          <w:rFonts w:eastAsia="Times New Roman"/>
        </w:rPr>
        <w:t>používají expansivní fiskální politiku.</w:t>
      </w:r>
    </w:p>
    <w:p w14:paraId="4A6F30F1" w14:textId="77777777" w:rsidR="008E0F74" w:rsidRPr="00FC3B7C" w:rsidRDefault="00256F29" w:rsidP="00AD4114">
      <w:pPr>
        <w:rPr>
          <w:sz w:val="20"/>
          <w:szCs w:val="20"/>
        </w:rPr>
      </w:pPr>
      <w:r w:rsidRPr="00FC3B7C">
        <w:rPr>
          <w:rFonts w:eastAsia="Times New Roman"/>
          <w:i/>
          <w:iCs/>
          <w:u w:val="single"/>
        </w:rPr>
        <w:t>Model IS-LM</w:t>
      </w:r>
      <w:r w:rsidRPr="00FC3B7C">
        <w:rPr>
          <w:rFonts w:eastAsia="Times New Roman"/>
          <w:i/>
          <w:iCs/>
        </w:rPr>
        <w:t xml:space="preserve"> </w:t>
      </w:r>
      <w:r w:rsidRPr="00FC3B7C">
        <w:rPr>
          <w:rFonts w:eastAsia="Times New Roman"/>
        </w:rPr>
        <w:t>– Model, který</w:t>
      </w:r>
      <w:r w:rsidRPr="00FC3B7C">
        <w:rPr>
          <w:rFonts w:eastAsia="Times New Roman"/>
          <w:i/>
          <w:iCs/>
        </w:rPr>
        <w:t xml:space="preserve"> </w:t>
      </w:r>
      <w:r w:rsidRPr="00FC3B7C">
        <w:rPr>
          <w:rFonts w:eastAsia="Times New Roman"/>
        </w:rPr>
        <w:t xml:space="preserve">vyjadřuje rovnováhu na trhu </w:t>
      </w:r>
      <w:r w:rsidRPr="000E47F9">
        <w:rPr>
          <w:rFonts w:eastAsia="Times New Roman"/>
        </w:rPr>
        <w:t>zboží a služeb a trhu peněž.</w:t>
      </w:r>
    </w:p>
    <w:p w14:paraId="4A6F30F2" w14:textId="77777777" w:rsidR="008E0F74" w:rsidRPr="00FC3B7C" w:rsidRDefault="00256F29" w:rsidP="00AD4114">
      <w:pPr>
        <w:rPr>
          <w:sz w:val="20"/>
          <w:szCs w:val="20"/>
        </w:rPr>
      </w:pPr>
      <w:r w:rsidRPr="00FC3B7C">
        <w:rPr>
          <w:rFonts w:eastAsia="Times New Roman"/>
          <w:i/>
          <w:iCs/>
          <w:u w:val="single"/>
        </w:rPr>
        <w:t>Křivka IS</w:t>
      </w:r>
      <w:r w:rsidRPr="00FC3B7C">
        <w:rPr>
          <w:rFonts w:eastAsia="Times New Roman"/>
          <w:i/>
          <w:iCs/>
        </w:rPr>
        <w:t xml:space="preserve"> </w:t>
      </w:r>
      <w:r w:rsidRPr="00FC3B7C">
        <w:rPr>
          <w:rFonts w:eastAsia="Times New Roman"/>
        </w:rPr>
        <w:t>– Představuje kombinaci nominální úrokové míry a reálného domácího produktu,</w:t>
      </w:r>
      <w:r w:rsidRPr="00FC3B7C">
        <w:rPr>
          <w:rFonts w:eastAsia="Times New Roman"/>
          <w:i/>
          <w:iCs/>
        </w:rPr>
        <w:t xml:space="preserve"> </w:t>
      </w:r>
      <w:r w:rsidRPr="00FC3B7C">
        <w:rPr>
          <w:rFonts w:eastAsia="Times New Roman"/>
        </w:rPr>
        <w:t xml:space="preserve">při kterých je v rovnováze trh zboží a služeb (odvozujeme z investiční funkce </w:t>
      </w:r>
      <w:r w:rsidR="00AD4114">
        <w:rPr>
          <w:rFonts w:eastAsia="Times New Roman"/>
        </w:rPr>
        <w:br/>
      </w:r>
      <w:r w:rsidRPr="00FC3B7C">
        <w:rPr>
          <w:rFonts w:eastAsia="Times New Roman"/>
        </w:rPr>
        <w:t>a keynesiánského kříže).</w:t>
      </w:r>
    </w:p>
    <w:p w14:paraId="4A6F30F3" w14:textId="77777777" w:rsidR="008E0F74" w:rsidRPr="00FC3B7C" w:rsidRDefault="00256F29" w:rsidP="00AD4114">
      <w:pPr>
        <w:rPr>
          <w:sz w:val="20"/>
          <w:szCs w:val="20"/>
        </w:rPr>
      </w:pPr>
      <w:r w:rsidRPr="00FC3B7C">
        <w:rPr>
          <w:rFonts w:eastAsia="Times New Roman"/>
          <w:i/>
          <w:iCs/>
          <w:u w:val="single"/>
        </w:rPr>
        <w:t>Křivka LM</w:t>
      </w:r>
      <w:r w:rsidRPr="00FC3B7C">
        <w:rPr>
          <w:rFonts w:eastAsia="Times New Roman"/>
          <w:i/>
          <w:iCs/>
        </w:rPr>
        <w:t xml:space="preserve"> </w:t>
      </w:r>
      <w:r w:rsidRPr="00FC3B7C">
        <w:rPr>
          <w:rFonts w:eastAsia="Times New Roman"/>
        </w:rPr>
        <w:t xml:space="preserve">– Představuje kombinace úrokové míry a reálného produktu, při kterých je </w:t>
      </w:r>
      <w:r w:rsidR="00AD4114">
        <w:rPr>
          <w:rFonts w:eastAsia="Times New Roman"/>
        </w:rPr>
        <w:br/>
      </w:r>
      <w:r w:rsidRPr="00FC3B7C">
        <w:rPr>
          <w:rFonts w:eastAsia="Times New Roman"/>
        </w:rPr>
        <w:t>v</w:t>
      </w:r>
      <w:r w:rsidRPr="00FC3B7C">
        <w:rPr>
          <w:rFonts w:eastAsia="Times New Roman"/>
          <w:i/>
          <w:iCs/>
        </w:rPr>
        <w:t xml:space="preserve"> </w:t>
      </w:r>
      <w:r w:rsidRPr="00FC3B7C">
        <w:rPr>
          <w:rFonts w:eastAsia="Times New Roman"/>
        </w:rPr>
        <w:t xml:space="preserve">rovnováze trh peněz (tvoříme ji pro danou peněžní zásobu, odvozujeme ji z poptávky </w:t>
      </w:r>
      <w:r w:rsidR="00AD4114">
        <w:rPr>
          <w:rFonts w:eastAsia="Times New Roman"/>
        </w:rPr>
        <w:br/>
      </w:r>
      <w:r w:rsidRPr="00FC3B7C">
        <w:rPr>
          <w:rFonts w:eastAsia="Times New Roman"/>
        </w:rPr>
        <w:t>po penězích).</w:t>
      </w:r>
    </w:p>
    <w:p w14:paraId="4A6F30F4" w14:textId="77777777" w:rsidR="008E0F74" w:rsidRPr="00FC3B7C" w:rsidRDefault="00256F29" w:rsidP="00AD4114">
      <w:pPr>
        <w:rPr>
          <w:sz w:val="20"/>
          <w:szCs w:val="20"/>
        </w:rPr>
      </w:pPr>
      <w:r w:rsidRPr="00FC3B7C">
        <w:rPr>
          <w:rFonts w:eastAsia="Times New Roman"/>
          <w:i/>
          <w:iCs/>
          <w:u w:val="single"/>
        </w:rPr>
        <w:t>Lafferova křivka</w:t>
      </w:r>
      <w:r w:rsidRPr="00FC3B7C">
        <w:rPr>
          <w:rFonts w:eastAsia="Times New Roman"/>
          <w:i/>
          <w:iCs/>
        </w:rPr>
        <w:t xml:space="preserve"> </w:t>
      </w:r>
      <w:r w:rsidRPr="00FC3B7C">
        <w:rPr>
          <w:rFonts w:eastAsia="Times New Roman"/>
        </w:rPr>
        <w:t>– Zobrazuje závislost celkové sumy vybraných daní na míře zdanění.</w:t>
      </w:r>
    </w:p>
    <w:p w14:paraId="4A6F30F5" w14:textId="77777777" w:rsidR="008E0F74" w:rsidRPr="00FC3B7C" w:rsidRDefault="00256F29" w:rsidP="00AD4114">
      <w:pPr>
        <w:rPr>
          <w:sz w:val="20"/>
          <w:szCs w:val="20"/>
        </w:rPr>
      </w:pPr>
      <w:r w:rsidRPr="00FC3B7C">
        <w:rPr>
          <w:rFonts w:eastAsia="Times New Roman"/>
          <w:i/>
          <w:iCs/>
          <w:u w:val="single"/>
        </w:rPr>
        <w:t>Model 45°</w:t>
      </w:r>
      <w:r w:rsidRPr="00FC3B7C">
        <w:rPr>
          <w:rFonts w:eastAsia="Times New Roman"/>
          <w:i/>
          <w:iCs/>
        </w:rPr>
        <w:t xml:space="preserve"> - </w:t>
      </w:r>
      <w:r w:rsidRPr="00FC3B7C">
        <w:rPr>
          <w:rFonts w:eastAsia="Times New Roman"/>
        </w:rPr>
        <w:t>Porovnává skutečně</w:t>
      </w:r>
      <w:r w:rsidRPr="00FC3B7C">
        <w:rPr>
          <w:rFonts w:eastAsia="Times New Roman"/>
          <w:i/>
          <w:iCs/>
        </w:rPr>
        <w:t xml:space="preserve"> </w:t>
      </w:r>
      <w:r w:rsidRPr="00FC3B7C">
        <w:rPr>
          <w:rFonts w:eastAsia="Times New Roman"/>
        </w:rPr>
        <w:t>vytvořený</w:t>
      </w:r>
      <w:r w:rsidRPr="00FC3B7C">
        <w:rPr>
          <w:rFonts w:eastAsia="Times New Roman"/>
          <w:i/>
          <w:iCs/>
        </w:rPr>
        <w:t xml:space="preserve"> </w:t>
      </w:r>
      <w:r w:rsidRPr="00FC3B7C">
        <w:rPr>
          <w:rFonts w:eastAsia="Times New Roman"/>
        </w:rPr>
        <w:t>domácí produkt a plánované výdaje, které vláda</w:t>
      </w:r>
      <w:r w:rsidRPr="00FC3B7C">
        <w:rPr>
          <w:rFonts w:eastAsia="Times New Roman"/>
          <w:i/>
          <w:iCs/>
        </w:rPr>
        <w:t xml:space="preserve"> </w:t>
      </w:r>
      <w:r w:rsidRPr="00FC3B7C">
        <w:rPr>
          <w:rFonts w:eastAsia="Times New Roman"/>
        </w:rPr>
        <w:t>zamýšlí v určitém období vytvořit, zjišťuje rovnovážný produkt. Dále se z něj vyvozuje model IS-LM a AS-AD.</w:t>
      </w:r>
    </w:p>
    <w:p w14:paraId="4A6F30F6" w14:textId="77777777" w:rsidR="008E0F74" w:rsidRPr="00FC3B7C" w:rsidRDefault="008E0F74">
      <w:pPr>
        <w:sectPr w:rsidR="008E0F74" w:rsidRPr="00FC3B7C">
          <w:pgSz w:w="11900" w:h="16840"/>
          <w:pgMar w:top="1393" w:right="1420" w:bottom="1440" w:left="1420" w:header="0" w:footer="0" w:gutter="0"/>
          <w:cols w:space="708" w:equalWidth="0">
            <w:col w:w="9060"/>
          </w:cols>
        </w:sectPr>
      </w:pPr>
    </w:p>
    <w:p w14:paraId="4A6F30F7" w14:textId="77777777" w:rsidR="008E0F74" w:rsidRPr="000529F1" w:rsidRDefault="00256F29" w:rsidP="00AD4114">
      <w:pPr>
        <w:pStyle w:val="Nadpis2"/>
        <w:rPr>
          <w:color w:val="1F3864" w:themeColor="accent1" w:themeShade="80"/>
          <w:sz w:val="20"/>
          <w:szCs w:val="20"/>
        </w:rPr>
      </w:pPr>
      <w:bookmarkStart w:id="103" w:name="page100"/>
      <w:bookmarkEnd w:id="103"/>
      <w:r w:rsidRPr="000529F1">
        <w:rPr>
          <w:rFonts w:eastAsia="Times New Roman"/>
          <w:color w:val="1F3864" w:themeColor="accent1" w:themeShade="80"/>
        </w:rPr>
        <w:lastRenderedPageBreak/>
        <w:t>DEFINICE FISKÁLNÍ POLITIKY</w:t>
      </w:r>
    </w:p>
    <w:p w14:paraId="4A6F30F8" w14:textId="77777777" w:rsidR="008E0F74" w:rsidRPr="00FC3B7C" w:rsidRDefault="00256F29" w:rsidP="00AD4114">
      <w:pPr>
        <w:rPr>
          <w:sz w:val="20"/>
          <w:szCs w:val="20"/>
        </w:rPr>
      </w:pPr>
      <w:r w:rsidRPr="00FC3B7C">
        <w:rPr>
          <w:rFonts w:eastAsia="Times New Roman"/>
          <w:b/>
          <w:bCs/>
        </w:rPr>
        <w:t xml:space="preserve">Fiskální (rozpočtová) politika </w:t>
      </w:r>
      <w:r w:rsidRPr="00FC3B7C">
        <w:rPr>
          <w:rFonts w:eastAsia="Times New Roman"/>
        </w:rPr>
        <w:t>je formou státní hospodářské politiky, která se snaží využívat</w:t>
      </w:r>
      <w:r w:rsidRPr="00FC3B7C">
        <w:rPr>
          <w:rFonts w:eastAsia="Times New Roman"/>
          <w:b/>
          <w:bCs/>
        </w:rPr>
        <w:t xml:space="preserve"> </w:t>
      </w:r>
      <w:r w:rsidRPr="00FC3B7C">
        <w:rPr>
          <w:rFonts w:eastAsia="Times New Roman"/>
        </w:rPr>
        <w:t>veřejných financí k makroekonomické stabilizaci (vyvážený ekonomický růst, stabilní cenová hladina a nízká míra nezaměstnanosti). Provádí se státními nebo veřejnými výdaji, jejichž prostřednictvím se snaží stimulovat agregátní poptávku. Nositelem této politiky je vláda. Je nástrojem aktivního zasahování státu do hospodářství.</w:t>
      </w:r>
    </w:p>
    <w:p w14:paraId="4A6F30F9" w14:textId="77777777" w:rsidR="008E0F74" w:rsidRPr="00FC3B7C" w:rsidRDefault="00256F29" w:rsidP="00AD4114">
      <w:pPr>
        <w:spacing w:before="240"/>
        <w:rPr>
          <w:sz w:val="20"/>
          <w:szCs w:val="20"/>
        </w:rPr>
      </w:pPr>
      <w:r w:rsidRPr="00FC3B7C">
        <w:rPr>
          <w:rFonts w:eastAsia="Times New Roman"/>
        </w:rPr>
        <w:t xml:space="preserve">Cílem </w:t>
      </w:r>
      <w:r w:rsidRPr="00FC3B7C">
        <w:rPr>
          <w:rFonts w:eastAsia="Times New Roman"/>
          <w:b/>
          <w:bCs/>
        </w:rPr>
        <w:t>rozpočtové politiky</w:t>
      </w:r>
      <w:r w:rsidRPr="00FC3B7C">
        <w:rPr>
          <w:rFonts w:eastAsia="Times New Roman"/>
        </w:rPr>
        <w:t xml:space="preserve"> je vytvořit dostatečné finanční prostředky k financování veřejných výdajů. Nositelem této politiky je ministerstvo financí. Přičemž rozpočet je schvalován parlamentem jako zákon.</w:t>
      </w:r>
    </w:p>
    <w:p w14:paraId="4A6F30FA" w14:textId="77777777" w:rsidR="008E0F74" w:rsidRPr="00FC3B7C" w:rsidRDefault="008E0F74">
      <w:pPr>
        <w:spacing w:line="171" w:lineRule="exact"/>
        <w:rPr>
          <w:sz w:val="20"/>
          <w:szCs w:val="20"/>
        </w:rPr>
      </w:pPr>
    </w:p>
    <w:p w14:paraId="4A6F30FB" w14:textId="77777777" w:rsidR="008E0F74" w:rsidRPr="000529F1" w:rsidRDefault="00256F29" w:rsidP="00AD4114">
      <w:pPr>
        <w:pStyle w:val="Nadpis3"/>
        <w:rPr>
          <w:color w:val="1F3864" w:themeColor="accent1" w:themeShade="80"/>
          <w:sz w:val="20"/>
          <w:szCs w:val="20"/>
        </w:rPr>
      </w:pPr>
      <w:r w:rsidRPr="000529F1">
        <w:rPr>
          <w:rFonts w:eastAsia="Times New Roman"/>
          <w:color w:val="1F3864" w:themeColor="accent1" w:themeShade="80"/>
        </w:rPr>
        <w:t>Funkce fiskální politiky</w:t>
      </w:r>
    </w:p>
    <w:p w14:paraId="4A6F30FC" w14:textId="77777777" w:rsidR="008E0F74" w:rsidRPr="00FC3B7C" w:rsidRDefault="00256F29">
      <w:pPr>
        <w:ind w:left="4"/>
        <w:rPr>
          <w:sz w:val="20"/>
          <w:szCs w:val="20"/>
        </w:rPr>
      </w:pPr>
      <w:r w:rsidRPr="00FC3B7C">
        <w:rPr>
          <w:rFonts w:eastAsia="Times New Roman"/>
          <w:szCs w:val="24"/>
          <w:u w:val="single"/>
        </w:rPr>
        <w:t>Redistribuční</w:t>
      </w:r>
    </w:p>
    <w:p w14:paraId="4A6F30FD" w14:textId="77777777" w:rsidR="008E0F74" w:rsidRPr="000E47F9" w:rsidRDefault="00256F29">
      <w:pPr>
        <w:spacing w:line="358" w:lineRule="auto"/>
        <w:ind w:left="4"/>
        <w:rPr>
          <w:szCs w:val="24"/>
        </w:rPr>
      </w:pPr>
      <w:r w:rsidRPr="000E47F9">
        <w:rPr>
          <w:rFonts w:eastAsia="Times New Roman"/>
          <w:szCs w:val="24"/>
        </w:rPr>
        <w:t>Cílem je zajištění spravedlivého rozdělení důchodů ve společnosti, odstranění rozdílů mezi lidmi. Tedy pozměnit rozdělení důchodů vzniklé (spontánními) tržními silami.</w:t>
      </w:r>
    </w:p>
    <w:p w14:paraId="4A6F30FE" w14:textId="77777777" w:rsidR="008E0F74" w:rsidRPr="000E47F9" w:rsidRDefault="008E0F74">
      <w:pPr>
        <w:spacing w:line="2" w:lineRule="exact"/>
        <w:rPr>
          <w:szCs w:val="24"/>
        </w:rPr>
      </w:pPr>
    </w:p>
    <w:p w14:paraId="4A6F30FF" w14:textId="77777777" w:rsidR="008E0F74" w:rsidRPr="000E47F9" w:rsidRDefault="00256F29" w:rsidP="00AD4114">
      <w:pPr>
        <w:spacing w:before="240"/>
        <w:ind w:left="4"/>
        <w:rPr>
          <w:szCs w:val="24"/>
        </w:rPr>
      </w:pPr>
      <w:r w:rsidRPr="000E47F9">
        <w:rPr>
          <w:rFonts w:eastAsia="Times New Roman"/>
          <w:szCs w:val="24"/>
          <w:u w:val="single"/>
        </w:rPr>
        <w:t>Alokační</w:t>
      </w:r>
    </w:p>
    <w:p w14:paraId="7E25FEE8" w14:textId="5E666C90" w:rsidR="0038449B" w:rsidRPr="000E47F9" w:rsidRDefault="00256F29" w:rsidP="00AD4114">
      <w:pPr>
        <w:ind w:left="4"/>
        <w:rPr>
          <w:rFonts w:eastAsia="Times New Roman"/>
          <w:szCs w:val="24"/>
        </w:rPr>
      </w:pPr>
      <w:r w:rsidRPr="000E47F9">
        <w:rPr>
          <w:rFonts w:eastAsia="Times New Roman"/>
          <w:szCs w:val="24"/>
        </w:rPr>
        <w:t>Dochází k poskytování veřejných statků veřejným sektorem.</w:t>
      </w:r>
      <w:r w:rsidR="000E47F9">
        <w:rPr>
          <w:rFonts w:eastAsia="Times New Roman"/>
          <w:szCs w:val="24"/>
        </w:rPr>
        <w:t xml:space="preserve"> </w:t>
      </w:r>
      <w:r w:rsidRPr="000E47F9">
        <w:rPr>
          <w:rFonts w:eastAsia="Times New Roman"/>
          <w:szCs w:val="24"/>
        </w:rPr>
        <w:t>Cílem je odstraňovat</w:t>
      </w:r>
      <w:r w:rsidR="000E47F9">
        <w:rPr>
          <w:rFonts w:eastAsia="Times New Roman"/>
          <w:szCs w:val="24"/>
        </w:rPr>
        <w:t xml:space="preserve"> </w:t>
      </w:r>
      <w:r w:rsidRPr="000E47F9">
        <w:rPr>
          <w:rFonts w:eastAsia="Times New Roman"/>
          <w:szCs w:val="24"/>
        </w:rPr>
        <w:t>tržní selhání</w:t>
      </w:r>
      <w:r w:rsidR="00F95E07" w:rsidRPr="000E47F9">
        <w:rPr>
          <w:rFonts w:eastAsia="Times New Roman"/>
          <w:szCs w:val="24"/>
        </w:rPr>
        <w:t xml:space="preserve"> v</w:t>
      </w:r>
      <w:r w:rsidR="00C422C6" w:rsidRPr="000E47F9">
        <w:rPr>
          <w:rFonts w:eastAsia="Times New Roman"/>
          <w:szCs w:val="24"/>
        </w:rPr>
        <w:t xml:space="preserve"> </w:t>
      </w:r>
      <w:r w:rsidRPr="000E47F9">
        <w:rPr>
          <w:rFonts w:eastAsia="Times New Roman"/>
          <w:szCs w:val="24"/>
        </w:rPr>
        <w:t xml:space="preserve">oblasti alokace vzácných zdrojů. </w:t>
      </w:r>
    </w:p>
    <w:p w14:paraId="4A6F3100" w14:textId="07E1D7F1" w:rsidR="008E0F74" w:rsidRPr="000E47F9" w:rsidRDefault="00256F29" w:rsidP="0038449B">
      <w:pPr>
        <w:spacing w:before="240"/>
        <w:ind w:left="4"/>
        <w:rPr>
          <w:szCs w:val="24"/>
        </w:rPr>
      </w:pPr>
      <w:r w:rsidRPr="000E47F9">
        <w:rPr>
          <w:rFonts w:eastAsia="Times New Roman"/>
          <w:szCs w:val="24"/>
          <w:u w:val="single"/>
        </w:rPr>
        <w:t>Stabilizační</w:t>
      </w:r>
    </w:p>
    <w:p w14:paraId="4A6F3101" w14:textId="77777777" w:rsidR="008E0F74" w:rsidRPr="000E47F9" w:rsidRDefault="008E0F74">
      <w:pPr>
        <w:spacing w:line="2" w:lineRule="exact"/>
        <w:rPr>
          <w:rFonts w:eastAsia="Times New Roman"/>
          <w:szCs w:val="24"/>
        </w:rPr>
      </w:pPr>
    </w:p>
    <w:p w14:paraId="4A6F3102" w14:textId="77777777" w:rsidR="008E0F74" w:rsidRPr="00FC3B7C" w:rsidRDefault="00256F29">
      <w:pPr>
        <w:spacing w:line="376" w:lineRule="auto"/>
        <w:ind w:left="4"/>
        <w:rPr>
          <w:rFonts w:eastAsia="Times New Roman"/>
          <w:szCs w:val="24"/>
        </w:rPr>
      </w:pPr>
      <w:r w:rsidRPr="000E47F9">
        <w:rPr>
          <w:rFonts w:eastAsia="Times New Roman"/>
          <w:szCs w:val="24"/>
        </w:rPr>
        <w:t xml:space="preserve">Někdy bývá stabilizační politika označována jako </w:t>
      </w:r>
      <w:r w:rsidRPr="000E47F9">
        <w:rPr>
          <w:rFonts w:eastAsia="Times New Roman"/>
          <w:i/>
          <w:iCs/>
          <w:szCs w:val="24"/>
        </w:rPr>
        <w:t>stop-go politika</w:t>
      </w:r>
      <w:r w:rsidRPr="000E47F9">
        <w:rPr>
          <w:rFonts w:eastAsia="Times New Roman"/>
          <w:szCs w:val="24"/>
        </w:rPr>
        <w:t>, jelikož jejím posláním je zmírňovat průběh ekonomického cyklu. Používá se k udržování rovnoměrného ekonomického růstu při zdravé míře inflace, vysoké zaměstnanosti</w:t>
      </w:r>
      <w:r w:rsidRPr="00FC3B7C">
        <w:rPr>
          <w:rFonts w:eastAsia="Times New Roman"/>
          <w:szCs w:val="24"/>
        </w:rPr>
        <w:t xml:space="preserve"> a přijatelné platební bilanci.</w:t>
      </w:r>
    </w:p>
    <w:p w14:paraId="4A6F3103" w14:textId="77777777" w:rsidR="008E0F74" w:rsidRPr="00FC3B7C" w:rsidRDefault="008E0F74">
      <w:pPr>
        <w:spacing w:line="175" w:lineRule="exact"/>
        <w:rPr>
          <w:sz w:val="20"/>
          <w:szCs w:val="20"/>
        </w:rPr>
      </w:pPr>
    </w:p>
    <w:p w14:paraId="4A6F3104" w14:textId="77777777" w:rsidR="008E0F74" w:rsidRPr="000529F1" w:rsidRDefault="00256F29" w:rsidP="00AD4114">
      <w:pPr>
        <w:pStyle w:val="Nadpis3"/>
        <w:rPr>
          <w:color w:val="1F3864" w:themeColor="accent1" w:themeShade="80"/>
          <w:sz w:val="20"/>
          <w:szCs w:val="20"/>
        </w:rPr>
      </w:pPr>
      <w:r w:rsidRPr="000529F1">
        <w:rPr>
          <w:rFonts w:eastAsia="Times New Roman"/>
          <w:color w:val="1F3864" w:themeColor="accent1" w:themeShade="80"/>
        </w:rPr>
        <w:t>Cíle fiskální politiky</w:t>
      </w:r>
    </w:p>
    <w:p w14:paraId="4A6F3105" w14:textId="4B559256" w:rsidR="008E0F74" w:rsidRPr="00FC3B7C" w:rsidRDefault="00256F29" w:rsidP="00D46B53">
      <w:pPr>
        <w:numPr>
          <w:ilvl w:val="0"/>
          <w:numId w:val="610"/>
        </w:numPr>
        <w:tabs>
          <w:tab w:val="left" w:pos="1284"/>
        </w:tabs>
        <w:ind w:left="1284" w:hanging="360"/>
        <w:rPr>
          <w:rFonts w:eastAsia="Arial"/>
          <w:szCs w:val="24"/>
        </w:rPr>
      </w:pPr>
      <w:r w:rsidRPr="00FC3B7C">
        <w:rPr>
          <w:rFonts w:eastAsia="Times New Roman"/>
          <w:szCs w:val="24"/>
        </w:rPr>
        <w:t>Stabilizace tempa růstu ekonomiky</w:t>
      </w:r>
    </w:p>
    <w:p w14:paraId="4A6F3106" w14:textId="2CDBDADD" w:rsidR="008E0F74" w:rsidRPr="00FC3B7C" w:rsidRDefault="009B204F" w:rsidP="00D46B53">
      <w:pPr>
        <w:numPr>
          <w:ilvl w:val="0"/>
          <w:numId w:val="610"/>
        </w:numPr>
        <w:tabs>
          <w:tab w:val="left" w:pos="1284"/>
        </w:tabs>
        <w:ind w:left="1284" w:hanging="360"/>
        <w:rPr>
          <w:rFonts w:eastAsia="Arial"/>
          <w:szCs w:val="24"/>
        </w:rPr>
      </w:pPr>
      <w:r>
        <w:rPr>
          <w:rFonts w:eastAsia="Times New Roman"/>
          <w:szCs w:val="24"/>
        </w:rPr>
        <w:t>U</w:t>
      </w:r>
      <w:r w:rsidR="00256F29" w:rsidRPr="00FC3B7C">
        <w:rPr>
          <w:rFonts w:eastAsia="Times New Roman"/>
          <w:szCs w:val="24"/>
        </w:rPr>
        <w:t>držovat ekonomický růst</w:t>
      </w:r>
    </w:p>
    <w:p w14:paraId="4A6F3107" w14:textId="0968202A" w:rsidR="008E0F74" w:rsidRPr="00FC3B7C" w:rsidRDefault="009B204F" w:rsidP="00D46B53">
      <w:pPr>
        <w:numPr>
          <w:ilvl w:val="0"/>
          <w:numId w:val="610"/>
        </w:numPr>
        <w:tabs>
          <w:tab w:val="left" w:pos="1284"/>
        </w:tabs>
        <w:ind w:left="1284" w:hanging="360"/>
        <w:rPr>
          <w:rFonts w:eastAsia="Arial"/>
          <w:szCs w:val="24"/>
        </w:rPr>
      </w:pPr>
      <w:r>
        <w:rPr>
          <w:rFonts w:eastAsia="Times New Roman"/>
          <w:szCs w:val="24"/>
        </w:rPr>
        <w:t>Z</w:t>
      </w:r>
      <w:r w:rsidR="00256F29" w:rsidRPr="00FC3B7C">
        <w:rPr>
          <w:rFonts w:eastAsia="Times New Roman"/>
          <w:szCs w:val="24"/>
        </w:rPr>
        <w:t>ajištění nízké míry nezaměstnanosti</w:t>
      </w:r>
    </w:p>
    <w:p w14:paraId="4A6F3108" w14:textId="7AA6907E" w:rsidR="008E0F74" w:rsidRPr="00FC3B7C" w:rsidRDefault="009B204F" w:rsidP="00D46B53">
      <w:pPr>
        <w:numPr>
          <w:ilvl w:val="0"/>
          <w:numId w:val="610"/>
        </w:numPr>
        <w:tabs>
          <w:tab w:val="left" w:pos="1284"/>
        </w:tabs>
        <w:ind w:left="1284" w:hanging="360"/>
        <w:rPr>
          <w:rFonts w:eastAsia="Arial"/>
          <w:szCs w:val="24"/>
        </w:rPr>
      </w:pPr>
      <w:r>
        <w:rPr>
          <w:rFonts w:eastAsia="Times New Roman"/>
          <w:szCs w:val="24"/>
        </w:rPr>
        <w:t>T</w:t>
      </w:r>
      <w:r w:rsidR="00256F29" w:rsidRPr="00FC3B7C">
        <w:rPr>
          <w:rFonts w:eastAsia="Times New Roman"/>
          <w:szCs w:val="24"/>
        </w:rPr>
        <w:t>lumit výkyvy hospodářského cyklu</w:t>
      </w:r>
    </w:p>
    <w:p w14:paraId="4A6F3109" w14:textId="63023C8A" w:rsidR="008E0F74" w:rsidRPr="00FC3B7C" w:rsidRDefault="009B204F" w:rsidP="00D46B53">
      <w:pPr>
        <w:numPr>
          <w:ilvl w:val="0"/>
          <w:numId w:val="610"/>
        </w:numPr>
        <w:tabs>
          <w:tab w:val="left" w:pos="1284"/>
        </w:tabs>
        <w:ind w:left="1284" w:hanging="360"/>
        <w:rPr>
          <w:rFonts w:eastAsia="Arial"/>
          <w:szCs w:val="24"/>
        </w:rPr>
      </w:pPr>
      <w:r>
        <w:rPr>
          <w:rFonts w:eastAsia="Times New Roman"/>
          <w:szCs w:val="24"/>
        </w:rPr>
        <w:t>D</w:t>
      </w:r>
      <w:r w:rsidR="00256F29" w:rsidRPr="00FC3B7C">
        <w:rPr>
          <w:rFonts w:eastAsia="Times New Roman"/>
          <w:szCs w:val="24"/>
        </w:rPr>
        <w:t>osažení nízké stabilní inflace</w:t>
      </w:r>
    </w:p>
    <w:p w14:paraId="4A6F310A" w14:textId="29AEAB0F" w:rsidR="008E0F74" w:rsidRPr="00FC3B7C" w:rsidRDefault="009B204F" w:rsidP="00D46B53">
      <w:pPr>
        <w:numPr>
          <w:ilvl w:val="0"/>
          <w:numId w:val="610"/>
        </w:numPr>
        <w:tabs>
          <w:tab w:val="left" w:pos="1284"/>
        </w:tabs>
        <w:ind w:left="1284" w:hanging="357"/>
        <w:rPr>
          <w:rFonts w:eastAsia="Arial"/>
          <w:szCs w:val="24"/>
        </w:rPr>
      </w:pPr>
      <w:r>
        <w:rPr>
          <w:rFonts w:eastAsia="Times New Roman"/>
          <w:szCs w:val="24"/>
        </w:rPr>
        <w:t>V</w:t>
      </w:r>
      <w:r w:rsidR="00256F29" w:rsidRPr="00FC3B7C">
        <w:rPr>
          <w:rFonts w:eastAsia="Times New Roman"/>
          <w:szCs w:val="24"/>
        </w:rPr>
        <w:t>yrovnaná platební bilance</w:t>
      </w:r>
    </w:p>
    <w:p w14:paraId="4A6F310B" w14:textId="77777777" w:rsidR="008E0F74" w:rsidRPr="00FC3B7C" w:rsidRDefault="008E0F74">
      <w:pPr>
        <w:sectPr w:rsidR="008E0F74" w:rsidRPr="00FC3B7C">
          <w:pgSz w:w="11900" w:h="16840"/>
          <w:pgMar w:top="1388" w:right="1420" w:bottom="1440" w:left="1416" w:header="0" w:footer="0" w:gutter="0"/>
          <w:cols w:space="708" w:equalWidth="0">
            <w:col w:w="9064"/>
          </w:cols>
        </w:sectPr>
      </w:pPr>
    </w:p>
    <w:p w14:paraId="4A6F310C" w14:textId="77777777" w:rsidR="008E0F74" w:rsidRPr="000529F1" w:rsidRDefault="00256F29" w:rsidP="00AD4114">
      <w:pPr>
        <w:pStyle w:val="Nadpis3"/>
        <w:rPr>
          <w:color w:val="1F3864" w:themeColor="accent1" w:themeShade="80"/>
          <w:sz w:val="20"/>
          <w:szCs w:val="20"/>
        </w:rPr>
      </w:pPr>
      <w:bookmarkStart w:id="104" w:name="page101"/>
      <w:bookmarkEnd w:id="104"/>
      <w:r w:rsidRPr="000529F1">
        <w:rPr>
          <w:rFonts w:eastAsia="Times New Roman"/>
          <w:color w:val="1F3864" w:themeColor="accent1" w:themeShade="80"/>
        </w:rPr>
        <w:lastRenderedPageBreak/>
        <w:t>Nositelé fiskální politiky</w:t>
      </w:r>
    </w:p>
    <w:p w14:paraId="4A6F310D" w14:textId="24A50ACD" w:rsidR="008E0F74" w:rsidRPr="00FC3B7C" w:rsidRDefault="00256F29" w:rsidP="00D46B53">
      <w:pPr>
        <w:numPr>
          <w:ilvl w:val="0"/>
          <w:numId w:val="611"/>
        </w:numPr>
        <w:tabs>
          <w:tab w:val="left" w:pos="1276"/>
        </w:tabs>
        <w:ind w:left="1000" w:hanging="360"/>
        <w:rPr>
          <w:rFonts w:eastAsia="Arial"/>
          <w:szCs w:val="24"/>
        </w:rPr>
      </w:pPr>
      <w:r w:rsidRPr="00FC3B7C">
        <w:rPr>
          <w:rFonts w:eastAsia="Times New Roman"/>
          <w:szCs w:val="24"/>
        </w:rPr>
        <w:t>Vláda</w:t>
      </w:r>
    </w:p>
    <w:p w14:paraId="4A6F310E" w14:textId="6A9C0EB2" w:rsidR="008E0F74" w:rsidRPr="00FC3B7C" w:rsidRDefault="00256F29" w:rsidP="00D46B53">
      <w:pPr>
        <w:numPr>
          <w:ilvl w:val="0"/>
          <w:numId w:val="611"/>
        </w:numPr>
        <w:tabs>
          <w:tab w:val="left" w:pos="1276"/>
        </w:tabs>
        <w:ind w:left="1000" w:hanging="360"/>
        <w:rPr>
          <w:rFonts w:eastAsia="Arial"/>
          <w:szCs w:val="24"/>
        </w:rPr>
      </w:pPr>
      <w:r w:rsidRPr="00FC3B7C">
        <w:rPr>
          <w:rFonts w:eastAsia="Times New Roman"/>
          <w:szCs w:val="24"/>
        </w:rPr>
        <w:t>Ministerstva</w:t>
      </w:r>
    </w:p>
    <w:p w14:paraId="4A6F310F" w14:textId="7FECB3A7" w:rsidR="008E0F74" w:rsidRPr="00FC3B7C" w:rsidRDefault="00256F29" w:rsidP="00D46B53">
      <w:pPr>
        <w:numPr>
          <w:ilvl w:val="0"/>
          <w:numId w:val="611"/>
        </w:numPr>
        <w:tabs>
          <w:tab w:val="left" w:pos="1276"/>
        </w:tabs>
        <w:ind w:left="1000" w:hanging="360"/>
        <w:rPr>
          <w:rFonts w:eastAsia="Arial"/>
          <w:szCs w:val="24"/>
        </w:rPr>
      </w:pPr>
      <w:r w:rsidRPr="00FC3B7C">
        <w:rPr>
          <w:rFonts w:eastAsia="Times New Roman"/>
          <w:szCs w:val="24"/>
        </w:rPr>
        <w:t>Orgány samosprávy (kraje, obce)</w:t>
      </w:r>
    </w:p>
    <w:p w14:paraId="4A6F3110" w14:textId="2AA00836" w:rsidR="008E0F74" w:rsidRPr="00FC3B7C" w:rsidRDefault="00256F29" w:rsidP="00D46B53">
      <w:pPr>
        <w:numPr>
          <w:ilvl w:val="0"/>
          <w:numId w:val="611"/>
        </w:numPr>
        <w:tabs>
          <w:tab w:val="left" w:pos="1276"/>
        </w:tabs>
        <w:spacing w:line="389" w:lineRule="auto"/>
        <w:ind w:left="1000" w:hanging="360"/>
        <w:rPr>
          <w:rFonts w:eastAsia="Arial"/>
          <w:szCs w:val="24"/>
        </w:rPr>
      </w:pPr>
      <w:r w:rsidRPr="00FC3B7C">
        <w:rPr>
          <w:rFonts w:eastAsia="Times New Roman"/>
          <w:szCs w:val="24"/>
        </w:rPr>
        <w:t xml:space="preserve">Evropská unie (dnes již upravuje fiskální politiku, např. nejnižší sazbu DPH </w:t>
      </w:r>
      <w:r w:rsidR="00AD4114">
        <w:rPr>
          <w:rFonts w:eastAsia="Times New Roman"/>
          <w:szCs w:val="24"/>
        </w:rPr>
        <w:br/>
      </w:r>
      <w:r w:rsidRPr="00FC3B7C">
        <w:rPr>
          <w:rFonts w:eastAsia="Times New Roman"/>
          <w:szCs w:val="24"/>
        </w:rPr>
        <w:t>a další daně, zejména nepřímé – přímé zůstávají v gesci národních států)</w:t>
      </w:r>
    </w:p>
    <w:p w14:paraId="4A6F3111" w14:textId="77777777" w:rsidR="008E0F74" w:rsidRPr="00FC3B7C" w:rsidRDefault="008E0F74">
      <w:pPr>
        <w:spacing w:line="200" w:lineRule="exact"/>
        <w:rPr>
          <w:sz w:val="20"/>
          <w:szCs w:val="20"/>
        </w:rPr>
      </w:pPr>
    </w:p>
    <w:p w14:paraId="4A6F3112" w14:textId="77777777" w:rsidR="008E0F74" w:rsidRPr="00FC3B7C" w:rsidRDefault="008E0F74">
      <w:pPr>
        <w:spacing w:line="210" w:lineRule="exact"/>
        <w:rPr>
          <w:sz w:val="20"/>
          <w:szCs w:val="20"/>
        </w:rPr>
      </w:pPr>
    </w:p>
    <w:p w14:paraId="4A6F3113" w14:textId="77777777" w:rsidR="008E0F74" w:rsidRPr="000529F1" w:rsidRDefault="00256F29" w:rsidP="00AD4114">
      <w:pPr>
        <w:pStyle w:val="Nadpis2"/>
        <w:rPr>
          <w:color w:val="1F3864" w:themeColor="accent1" w:themeShade="80"/>
          <w:sz w:val="20"/>
          <w:szCs w:val="20"/>
        </w:rPr>
      </w:pPr>
      <w:r w:rsidRPr="000529F1">
        <w:rPr>
          <w:rFonts w:eastAsia="Times New Roman"/>
          <w:color w:val="1F3864" w:themeColor="accent1" w:themeShade="80"/>
        </w:rPr>
        <w:t>NÁSTROJE FISKÁLNÍ POLITIKY</w:t>
      </w:r>
    </w:p>
    <w:p w14:paraId="4A6F3114" w14:textId="77777777" w:rsidR="008E0F74" w:rsidRPr="000529F1" w:rsidRDefault="00256F29" w:rsidP="00AD4114">
      <w:pPr>
        <w:pStyle w:val="Nadpis3"/>
        <w:rPr>
          <w:color w:val="1F3864" w:themeColor="accent1" w:themeShade="80"/>
          <w:sz w:val="20"/>
          <w:szCs w:val="20"/>
        </w:rPr>
      </w:pPr>
      <w:r w:rsidRPr="000529F1">
        <w:rPr>
          <w:rFonts w:eastAsia="Times New Roman"/>
          <w:color w:val="1F3864" w:themeColor="accent1" w:themeShade="80"/>
        </w:rPr>
        <w:t>Jednorázové (diskreční) opatření</w:t>
      </w:r>
    </w:p>
    <w:p w14:paraId="4A6F3115" w14:textId="77777777" w:rsidR="008E0F74" w:rsidRPr="00FC3B7C" w:rsidRDefault="00256F29" w:rsidP="00D46B53">
      <w:pPr>
        <w:numPr>
          <w:ilvl w:val="0"/>
          <w:numId w:val="612"/>
        </w:numPr>
        <w:tabs>
          <w:tab w:val="left" w:pos="1280"/>
        </w:tabs>
        <w:ind w:left="1280" w:hanging="357"/>
        <w:rPr>
          <w:rFonts w:eastAsia="Arial"/>
          <w:szCs w:val="24"/>
        </w:rPr>
      </w:pPr>
      <w:r w:rsidRPr="00FC3B7C">
        <w:rPr>
          <w:rFonts w:eastAsia="Times New Roman"/>
          <w:szCs w:val="24"/>
        </w:rPr>
        <w:t>Veřejné práce a výdajové programy</w:t>
      </w:r>
    </w:p>
    <w:p w14:paraId="4A6F3116" w14:textId="77777777" w:rsidR="008E0F74" w:rsidRPr="00FC3B7C" w:rsidRDefault="00256F29" w:rsidP="00D46B53">
      <w:pPr>
        <w:numPr>
          <w:ilvl w:val="0"/>
          <w:numId w:val="612"/>
        </w:numPr>
        <w:tabs>
          <w:tab w:val="left" w:pos="1280"/>
        </w:tabs>
        <w:ind w:left="1280" w:hanging="357"/>
        <w:rPr>
          <w:rFonts w:eastAsia="Arial"/>
          <w:szCs w:val="24"/>
        </w:rPr>
      </w:pPr>
      <w:r w:rsidRPr="00FC3B7C">
        <w:rPr>
          <w:rFonts w:eastAsia="Times New Roman"/>
          <w:szCs w:val="24"/>
        </w:rPr>
        <w:t>Změny v míře rychlosti odpisů</w:t>
      </w:r>
    </w:p>
    <w:p w14:paraId="4A6F3117" w14:textId="77777777" w:rsidR="008E0F74" w:rsidRPr="00FC3B7C" w:rsidRDefault="00256F29" w:rsidP="00D46B53">
      <w:pPr>
        <w:numPr>
          <w:ilvl w:val="0"/>
          <w:numId w:val="612"/>
        </w:numPr>
        <w:tabs>
          <w:tab w:val="left" w:pos="1280"/>
        </w:tabs>
        <w:ind w:left="1280" w:hanging="357"/>
        <w:rPr>
          <w:rFonts w:eastAsia="Arial"/>
          <w:szCs w:val="24"/>
        </w:rPr>
      </w:pPr>
      <w:r w:rsidRPr="00FC3B7C">
        <w:rPr>
          <w:rFonts w:eastAsia="Times New Roman"/>
          <w:szCs w:val="24"/>
        </w:rPr>
        <w:t>Změny míry zdanění fyzických a právnických osob</w:t>
      </w:r>
    </w:p>
    <w:p w14:paraId="4A6F3118" w14:textId="77777777" w:rsidR="008E0F74" w:rsidRPr="00FC3B7C" w:rsidRDefault="00256F29" w:rsidP="00D46B53">
      <w:pPr>
        <w:numPr>
          <w:ilvl w:val="0"/>
          <w:numId w:val="612"/>
        </w:numPr>
        <w:tabs>
          <w:tab w:val="left" w:pos="1280"/>
        </w:tabs>
        <w:ind w:left="1280" w:hanging="357"/>
        <w:rPr>
          <w:rFonts w:eastAsia="Arial"/>
          <w:szCs w:val="24"/>
        </w:rPr>
      </w:pPr>
      <w:r w:rsidRPr="00FC3B7C">
        <w:rPr>
          <w:rFonts w:eastAsia="Times New Roman"/>
          <w:szCs w:val="24"/>
        </w:rPr>
        <w:t>Výše sociálních dávek a sociálních transferů</w:t>
      </w:r>
    </w:p>
    <w:p w14:paraId="4A6F3119" w14:textId="77777777" w:rsidR="008E0F74" w:rsidRPr="00FC3B7C" w:rsidRDefault="00256F29" w:rsidP="00D46B53">
      <w:pPr>
        <w:numPr>
          <w:ilvl w:val="0"/>
          <w:numId w:val="612"/>
        </w:numPr>
        <w:tabs>
          <w:tab w:val="left" w:pos="1280"/>
        </w:tabs>
        <w:ind w:left="1280" w:hanging="357"/>
        <w:rPr>
          <w:rFonts w:eastAsia="Arial"/>
          <w:szCs w:val="24"/>
        </w:rPr>
      </w:pPr>
      <w:r w:rsidRPr="00FC3B7C">
        <w:rPr>
          <w:rFonts w:eastAsia="Times New Roman"/>
          <w:szCs w:val="24"/>
        </w:rPr>
        <w:t>Změny ve výší výdajů na státní správu</w:t>
      </w:r>
    </w:p>
    <w:p w14:paraId="4A6F311A" w14:textId="77777777" w:rsidR="008E0F74" w:rsidRPr="00FC3B7C" w:rsidRDefault="00256F29" w:rsidP="00D46B53">
      <w:pPr>
        <w:numPr>
          <w:ilvl w:val="0"/>
          <w:numId w:val="612"/>
        </w:numPr>
        <w:tabs>
          <w:tab w:val="left" w:pos="1280"/>
        </w:tabs>
        <w:ind w:left="1280" w:hanging="357"/>
        <w:rPr>
          <w:rFonts w:eastAsia="Arial"/>
          <w:szCs w:val="24"/>
        </w:rPr>
      </w:pPr>
      <w:r w:rsidRPr="00FC3B7C">
        <w:rPr>
          <w:rFonts w:eastAsia="Times New Roman"/>
          <w:szCs w:val="24"/>
        </w:rPr>
        <w:t>Změna ve struktuře vládních výdajů</w:t>
      </w:r>
    </w:p>
    <w:p w14:paraId="4A6F311B" w14:textId="77777777" w:rsidR="008E0F74" w:rsidRPr="00FC3B7C" w:rsidRDefault="00256F29" w:rsidP="00D46B53">
      <w:pPr>
        <w:numPr>
          <w:ilvl w:val="0"/>
          <w:numId w:val="612"/>
        </w:numPr>
        <w:tabs>
          <w:tab w:val="left" w:pos="1280"/>
        </w:tabs>
        <w:ind w:left="1280" w:hanging="357"/>
        <w:rPr>
          <w:rFonts w:eastAsia="Arial"/>
          <w:szCs w:val="24"/>
        </w:rPr>
      </w:pPr>
      <w:r w:rsidRPr="00FC3B7C">
        <w:rPr>
          <w:rFonts w:eastAsia="Times New Roman"/>
          <w:szCs w:val="24"/>
        </w:rPr>
        <w:t>Změna daňových sazeb, zavedení nových daní</w:t>
      </w:r>
    </w:p>
    <w:p w14:paraId="4A6F311C" w14:textId="43FFDBED" w:rsidR="008E0F74" w:rsidRPr="00FC3B7C" w:rsidRDefault="00256F29" w:rsidP="00D46B53">
      <w:pPr>
        <w:numPr>
          <w:ilvl w:val="0"/>
          <w:numId w:val="612"/>
        </w:numPr>
        <w:tabs>
          <w:tab w:val="left" w:pos="1280"/>
        </w:tabs>
        <w:ind w:left="1280" w:hanging="357"/>
        <w:rPr>
          <w:rFonts w:eastAsia="Arial"/>
          <w:szCs w:val="24"/>
        </w:rPr>
      </w:pPr>
      <w:r w:rsidRPr="00FC3B7C">
        <w:rPr>
          <w:rFonts w:eastAsia="Times New Roman"/>
          <w:szCs w:val="24"/>
        </w:rPr>
        <w:t>Vytváření nových pracovních míst financovan</w:t>
      </w:r>
      <w:r w:rsidR="00090DF8">
        <w:rPr>
          <w:rFonts w:eastAsia="Times New Roman"/>
          <w:szCs w:val="24"/>
        </w:rPr>
        <w:t>ých</w:t>
      </w:r>
      <w:r w:rsidRPr="00FC3B7C">
        <w:rPr>
          <w:rFonts w:eastAsia="Times New Roman"/>
          <w:szCs w:val="24"/>
        </w:rPr>
        <w:t xml:space="preserve"> vládou</w:t>
      </w:r>
    </w:p>
    <w:p w14:paraId="4A6F311D" w14:textId="77777777" w:rsidR="008E0F74" w:rsidRPr="00FC3B7C" w:rsidRDefault="008E0F74">
      <w:pPr>
        <w:spacing w:line="337" w:lineRule="exact"/>
        <w:rPr>
          <w:sz w:val="20"/>
          <w:szCs w:val="20"/>
        </w:rPr>
      </w:pPr>
    </w:p>
    <w:p w14:paraId="4A6F311E" w14:textId="77777777" w:rsidR="008E0F74" w:rsidRPr="00FC3B7C" w:rsidRDefault="00256F29" w:rsidP="00AD4114">
      <w:pPr>
        <w:rPr>
          <w:sz w:val="20"/>
          <w:szCs w:val="20"/>
        </w:rPr>
      </w:pPr>
      <w:r w:rsidRPr="00FC3B7C">
        <w:rPr>
          <w:rFonts w:eastAsia="Times New Roman"/>
        </w:rPr>
        <w:t>Jedná se o jednorázová opatření, kterými se vláda snaží odstraňovat výkyvy ekonomiky mimo její potenciál. Používají se přímé nástroje (výdaje ze státního rozpočtu), nebo nepřímé nástroje (zavedení či rušení určitých daní).</w:t>
      </w:r>
    </w:p>
    <w:p w14:paraId="4A6F311F" w14:textId="77777777" w:rsidR="008E0F74" w:rsidRPr="00AD4114" w:rsidRDefault="00256F29" w:rsidP="00090DF8">
      <w:pPr>
        <w:spacing w:before="240"/>
        <w:rPr>
          <w:sz w:val="20"/>
          <w:szCs w:val="20"/>
        </w:rPr>
      </w:pPr>
      <w:r w:rsidRPr="00FC3B7C">
        <w:rPr>
          <w:rFonts w:eastAsia="Times New Roman"/>
        </w:rPr>
        <w:t>Jejich výhodou je větší pružnost a operativnost, většinou je ale potřeba tyto diskreční opatření zavádět pomocí zákonů, a proto může docházet k časovým zpožděním mezi rozpoznáním konkrétního výkyvu v ekonomice a účinností diskrečního opatření. Takové zpoždění pak vede ke snížení efektivnosti opatření.</w:t>
      </w:r>
    </w:p>
    <w:p w14:paraId="4A6F3120" w14:textId="77777777" w:rsidR="008E0F74" w:rsidRPr="000529F1" w:rsidRDefault="00256F29" w:rsidP="00AD4114">
      <w:pPr>
        <w:pStyle w:val="Nadpis3"/>
        <w:rPr>
          <w:color w:val="1F3864" w:themeColor="accent1" w:themeShade="80"/>
          <w:sz w:val="20"/>
          <w:szCs w:val="20"/>
        </w:rPr>
      </w:pPr>
      <w:bookmarkStart w:id="105" w:name="page102"/>
      <w:bookmarkEnd w:id="105"/>
      <w:r w:rsidRPr="000529F1">
        <w:rPr>
          <w:rFonts w:eastAsia="Times New Roman"/>
          <w:color w:val="1F3864" w:themeColor="accent1" w:themeShade="80"/>
        </w:rPr>
        <w:t>Dlouhodobá opatření (automatické, vestavěné stabilizátory)</w:t>
      </w:r>
    </w:p>
    <w:p w14:paraId="4A6F3121" w14:textId="77777777" w:rsidR="008E0F74" w:rsidRPr="00FC3B7C" w:rsidRDefault="00256F29" w:rsidP="00D46B53">
      <w:pPr>
        <w:numPr>
          <w:ilvl w:val="0"/>
          <w:numId w:val="613"/>
        </w:numPr>
        <w:tabs>
          <w:tab w:val="left" w:pos="1280"/>
        </w:tabs>
        <w:ind w:left="1280" w:hanging="357"/>
        <w:rPr>
          <w:rFonts w:eastAsia="Arial"/>
          <w:szCs w:val="24"/>
        </w:rPr>
      </w:pPr>
      <w:r w:rsidRPr="00FC3B7C">
        <w:rPr>
          <w:rFonts w:eastAsia="Times New Roman"/>
          <w:szCs w:val="24"/>
        </w:rPr>
        <w:t>Princip progresivního zdanění příjmů</w:t>
      </w:r>
    </w:p>
    <w:p w14:paraId="4A6F3122" w14:textId="77777777" w:rsidR="008E0F74" w:rsidRPr="00FC3B7C" w:rsidRDefault="00256F29" w:rsidP="00D46B53">
      <w:pPr>
        <w:numPr>
          <w:ilvl w:val="0"/>
          <w:numId w:val="613"/>
        </w:numPr>
        <w:tabs>
          <w:tab w:val="left" w:pos="1280"/>
        </w:tabs>
        <w:ind w:left="1280" w:hanging="357"/>
        <w:rPr>
          <w:rFonts w:eastAsia="Arial"/>
          <w:szCs w:val="24"/>
        </w:rPr>
      </w:pPr>
      <w:r w:rsidRPr="00FC3B7C">
        <w:rPr>
          <w:rFonts w:eastAsia="Times New Roman"/>
          <w:szCs w:val="24"/>
        </w:rPr>
        <w:t>Státní výkup zemědělských produktů</w:t>
      </w:r>
    </w:p>
    <w:p w14:paraId="4A6F3123" w14:textId="77777777" w:rsidR="008E0F74" w:rsidRPr="00FC3B7C" w:rsidRDefault="00256F29" w:rsidP="00D46B53">
      <w:pPr>
        <w:numPr>
          <w:ilvl w:val="0"/>
          <w:numId w:val="613"/>
        </w:numPr>
        <w:tabs>
          <w:tab w:val="left" w:pos="1280"/>
        </w:tabs>
        <w:ind w:left="1280" w:hanging="357"/>
        <w:rPr>
          <w:rFonts w:eastAsia="Arial"/>
          <w:szCs w:val="24"/>
        </w:rPr>
      </w:pPr>
      <w:r w:rsidRPr="00FC3B7C">
        <w:rPr>
          <w:rFonts w:eastAsia="Times New Roman"/>
          <w:szCs w:val="24"/>
        </w:rPr>
        <w:t>Systém sociálních dávek a podpor v nezaměstnanosti</w:t>
      </w:r>
    </w:p>
    <w:p w14:paraId="4A6F3124" w14:textId="77777777" w:rsidR="008E0F74" w:rsidRPr="00FC3B7C" w:rsidRDefault="00256F29" w:rsidP="00D46B53">
      <w:pPr>
        <w:numPr>
          <w:ilvl w:val="0"/>
          <w:numId w:val="613"/>
        </w:numPr>
        <w:tabs>
          <w:tab w:val="left" w:pos="1280"/>
        </w:tabs>
        <w:ind w:left="1280" w:hanging="357"/>
        <w:rPr>
          <w:rFonts w:eastAsia="Arial"/>
          <w:szCs w:val="24"/>
        </w:rPr>
      </w:pPr>
      <w:r w:rsidRPr="00FC3B7C">
        <w:rPr>
          <w:rFonts w:eastAsia="Times New Roman"/>
          <w:szCs w:val="24"/>
        </w:rPr>
        <w:t>Subvence k cenám zemědělské produkce</w:t>
      </w:r>
    </w:p>
    <w:p w14:paraId="4A6F3125" w14:textId="77777777" w:rsidR="008E0F74" w:rsidRPr="00FC3B7C" w:rsidRDefault="00256F29" w:rsidP="00D46B53">
      <w:pPr>
        <w:numPr>
          <w:ilvl w:val="0"/>
          <w:numId w:val="613"/>
        </w:numPr>
        <w:tabs>
          <w:tab w:val="left" w:pos="1280"/>
        </w:tabs>
        <w:ind w:left="1280" w:hanging="357"/>
        <w:rPr>
          <w:rFonts w:eastAsia="Arial"/>
          <w:szCs w:val="24"/>
        </w:rPr>
      </w:pPr>
      <w:r w:rsidRPr="00FC3B7C">
        <w:rPr>
          <w:rFonts w:eastAsia="Times New Roman"/>
          <w:szCs w:val="24"/>
        </w:rPr>
        <w:t>Princip pojištění v nezaměstnanosti a sociální transfery</w:t>
      </w:r>
    </w:p>
    <w:p w14:paraId="4A6F3126" w14:textId="77777777" w:rsidR="008E0F74" w:rsidRPr="00FC3B7C" w:rsidRDefault="008E0F74">
      <w:pPr>
        <w:spacing w:line="342" w:lineRule="exact"/>
        <w:rPr>
          <w:sz w:val="20"/>
          <w:szCs w:val="20"/>
        </w:rPr>
      </w:pPr>
    </w:p>
    <w:p w14:paraId="4A6F3127" w14:textId="3E891467" w:rsidR="008E0F74" w:rsidRPr="00FC3B7C" w:rsidRDefault="00256F29" w:rsidP="00AD4114">
      <w:pPr>
        <w:rPr>
          <w:sz w:val="20"/>
          <w:szCs w:val="20"/>
        </w:rPr>
      </w:pPr>
      <w:r w:rsidRPr="00FC3B7C">
        <w:rPr>
          <w:rFonts w:eastAsia="Times New Roman"/>
        </w:rPr>
        <w:lastRenderedPageBreak/>
        <w:t xml:space="preserve">Jedná se o opatření, která jsou </w:t>
      </w:r>
      <w:r w:rsidRPr="00332E27">
        <w:rPr>
          <w:rFonts w:eastAsia="Times New Roman"/>
        </w:rPr>
        <w:t>zabudován</w:t>
      </w:r>
      <w:r w:rsidR="00090DF8" w:rsidRPr="00332E27">
        <w:rPr>
          <w:rFonts w:eastAsia="Times New Roman"/>
        </w:rPr>
        <w:t>a</w:t>
      </w:r>
      <w:r w:rsidRPr="00FC3B7C">
        <w:rPr>
          <w:rFonts w:eastAsia="Times New Roman"/>
        </w:rPr>
        <w:t xml:space="preserve"> do mechanismu fungování ekonomiky, </w:t>
      </w:r>
      <w:r w:rsidR="00AD4114">
        <w:rPr>
          <w:rFonts w:eastAsia="Times New Roman"/>
        </w:rPr>
        <w:br/>
      </w:r>
      <w:r w:rsidRPr="00FC3B7C">
        <w:rPr>
          <w:rFonts w:eastAsia="Times New Roman"/>
        </w:rPr>
        <w:t>po zavedení působí automaticky, dlouhodobě a proticyklicky. Výhodou je taktéž téměř nulové zpoždění jejich účinku. Slouží k zajištění efektivního využití výrobních zdrojů a udržení produktu na potenciálu.</w:t>
      </w:r>
    </w:p>
    <w:p w14:paraId="4A6F3128" w14:textId="77777777" w:rsidR="008E0F74" w:rsidRPr="00FC3B7C" w:rsidRDefault="00256F29">
      <w:pPr>
        <w:spacing w:line="20" w:lineRule="exact"/>
        <w:rPr>
          <w:sz w:val="20"/>
          <w:szCs w:val="20"/>
        </w:rPr>
      </w:pPr>
      <w:r w:rsidRPr="00FC3B7C">
        <w:rPr>
          <w:noProof/>
          <w:sz w:val="20"/>
          <w:szCs w:val="20"/>
        </w:rPr>
        <w:drawing>
          <wp:anchor distT="0" distB="0" distL="114300" distR="114300" simplePos="0" relativeHeight="251527680" behindDoc="1" locked="0" layoutInCell="0" allowOverlap="1" wp14:anchorId="4A6F5C50" wp14:editId="1B71A677">
            <wp:simplePos x="0" y="0"/>
            <wp:positionH relativeFrom="column">
              <wp:posOffset>-1905</wp:posOffset>
            </wp:positionH>
            <wp:positionV relativeFrom="paragraph">
              <wp:posOffset>-13335</wp:posOffset>
            </wp:positionV>
            <wp:extent cx="4069080" cy="338645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srcRect/>
                    <a:stretch>
                      <a:fillRect/>
                    </a:stretch>
                  </pic:blipFill>
                  <pic:spPr bwMode="auto">
                    <a:xfrm>
                      <a:off x="0" y="0"/>
                      <a:ext cx="4069080" cy="3386455"/>
                    </a:xfrm>
                    <a:prstGeom prst="rect">
                      <a:avLst/>
                    </a:prstGeom>
                    <a:noFill/>
                  </pic:spPr>
                </pic:pic>
              </a:graphicData>
            </a:graphic>
          </wp:anchor>
        </w:drawing>
      </w:r>
    </w:p>
    <w:p w14:paraId="4A6F3129" w14:textId="77777777" w:rsidR="008E0F74" w:rsidRPr="00FC3B7C" w:rsidRDefault="008E0F74">
      <w:pPr>
        <w:spacing w:line="200" w:lineRule="exact"/>
        <w:rPr>
          <w:sz w:val="20"/>
          <w:szCs w:val="20"/>
        </w:rPr>
      </w:pPr>
    </w:p>
    <w:p w14:paraId="4A6F312A" w14:textId="77777777" w:rsidR="008E0F74" w:rsidRPr="00FC3B7C" w:rsidRDefault="008E0F74">
      <w:pPr>
        <w:spacing w:line="200" w:lineRule="exact"/>
        <w:rPr>
          <w:sz w:val="20"/>
          <w:szCs w:val="20"/>
        </w:rPr>
      </w:pPr>
    </w:p>
    <w:p w14:paraId="4A6F312B" w14:textId="77777777" w:rsidR="008E0F74" w:rsidRPr="00FC3B7C" w:rsidRDefault="008E0F74">
      <w:pPr>
        <w:spacing w:line="200" w:lineRule="exact"/>
        <w:rPr>
          <w:sz w:val="20"/>
          <w:szCs w:val="20"/>
        </w:rPr>
      </w:pPr>
    </w:p>
    <w:p w14:paraId="4A6F312C" w14:textId="77777777" w:rsidR="008E0F74" w:rsidRPr="00FC3B7C" w:rsidRDefault="008E0F74">
      <w:pPr>
        <w:spacing w:line="200" w:lineRule="exact"/>
        <w:rPr>
          <w:sz w:val="20"/>
          <w:szCs w:val="20"/>
        </w:rPr>
      </w:pPr>
    </w:p>
    <w:p w14:paraId="4A6F312D" w14:textId="77777777" w:rsidR="008E0F74" w:rsidRPr="00FC3B7C" w:rsidRDefault="008E0F74">
      <w:pPr>
        <w:spacing w:line="200" w:lineRule="exact"/>
        <w:rPr>
          <w:sz w:val="20"/>
          <w:szCs w:val="20"/>
        </w:rPr>
      </w:pPr>
    </w:p>
    <w:p w14:paraId="4A6F312E" w14:textId="77777777" w:rsidR="008E0F74" w:rsidRPr="00FC3B7C" w:rsidRDefault="008E0F74">
      <w:pPr>
        <w:spacing w:line="200" w:lineRule="exact"/>
        <w:rPr>
          <w:sz w:val="20"/>
          <w:szCs w:val="20"/>
        </w:rPr>
      </w:pPr>
    </w:p>
    <w:p w14:paraId="4A6F312F" w14:textId="77777777" w:rsidR="008E0F74" w:rsidRPr="00FC3B7C" w:rsidRDefault="008E0F74">
      <w:pPr>
        <w:spacing w:line="200" w:lineRule="exact"/>
        <w:rPr>
          <w:sz w:val="20"/>
          <w:szCs w:val="20"/>
        </w:rPr>
      </w:pPr>
    </w:p>
    <w:p w14:paraId="4A6F3130" w14:textId="77777777" w:rsidR="008E0F74" w:rsidRPr="00FC3B7C" w:rsidRDefault="008E0F74">
      <w:pPr>
        <w:spacing w:line="200" w:lineRule="exact"/>
        <w:rPr>
          <w:sz w:val="20"/>
          <w:szCs w:val="20"/>
        </w:rPr>
      </w:pPr>
    </w:p>
    <w:p w14:paraId="4A6F3131" w14:textId="77777777" w:rsidR="008E0F74" w:rsidRPr="00FC3B7C" w:rsidRDefault="008E0F74">
      <w:pPr>
        <w:spacing w:line="200" w:lineRule="exact"/>
        <w:rPr>
          <w:sz w:val="20"/>
          <w:szCs w:val="20"/>
        </w:rPr>
      </w:pPr>
    </w:p>
    <w:p w14:paraId="4A6F3132" w14:textId="77777777" w:rsidR="008E0F74" w:rsidRPr="00FC3B7C" w:rsidRDefault="008E0F74">
      <w:pPr>
        <w:spacing w:line="200" w:lineRule="exact"/>
        <w:rPr>
          <w:sz w:val="20"/>
          <w:szCs w:val="20"/>
        </w:rPr>
      </w:pPr>
    </w:p>
    <w:p w14:paraId="4A6F3133" w14:textId="77777777" w:rsidR="008E0F74" w:rsidRPr="00FC3B7C" w:rsidRDefault="008E0F74">
      <w:pPr>
        <w:spacing w:line="200" w:lineRule="exact"/>
        <w:rPr>
          <w:sz w:val="20"/>
          <w:szCs w:val="20"/>
        </w:rPr>
      </w:pPr>
    </w:p>
    <w:p w14:paraId="4A6F3134" w14:textId="77777777" w:rsidR="008E0F74" w:rsidRPr="00FC3B7C" w:rsidRDefault="008E0F74">
      <w:pPr>
        <w:spacing w:line="200" w:lineRule="exact"/>
        <w:rPr>
          <w:sz w:val="20"/>
          <w:szCs w:val="20"/>
        </w:rPr>
      </w:pPr>
    </w:p>
    <w:p w14:paraId="4A6F3135" w14:textId="77777777" w:rsidR="008E0F74" w:rsidRPr="00FC3B7C" w:rsidRDefault="008E0F74">
      <w:pPr>
        <w:spacing w:line="200" w:lineRule="exact"/>
        <w:rPr>
          <w:sz w:val="20"/>
          <w:szCs w:val="20"/>
        </w:rPr>
      </w:pPr>
    </w:p>
    <w:p w14:paraId="4A6F3136" w14:textId="77777777" w:rsidR="008E0F74" w:rsidRPr="00FC3B7C" w:rsidRDefault="008E0F74">
      <w:pPr>
        <w:spacing w:line="200" w:lineRule="exact"/>
        <w:rPr>
          <w:sz w:val="20"/>
          <w:szCs w:val="20"/>
        </w:rPr>
      </w:pPr>
    </w:p>
    <w:p w14:paraId="4A6F3137" w14:textId="77777777" w:rsidR="008E0F74" w:rsidRPr="00FC3B7C" w:rsidRDefault="008E0F74">
      <w:pPr>
        <w:spacing w:line="200" w:lineRule="exact"/>
        <w:rPr>
          <w:sz w:val="20"/>
          <w:szCs w:val="20"/>
        </w:rPr>
      </w:pPr>
    </w:p>
    <w:p w14:paraId="4A6F3138" w14:textId="77777777" w:rsidR="008E0F74" w:rsidRPr="00FC3B7C" w:rsidRDefault="008E0F74">
      <w:pPr>
        <w:spacing w:line="200" w:lineRule="exact"/>
        <w:rPr>
          <w:sz w:val="20"/>
          <w:szCs w:val="20"/>
        </w:rPr>
      </w:pPr>
    </w:p>
    <w:p w14:paraId="4A6F3139" w14:textId="77777777" w:rsidR="008E0F74" w:rsidRPr="00FC3B7C" w:rsidRDefault="008E0F74">
      <w:pPr>
        <w:spacing w:line="200" w:lineRule="exact"/>
        <w:rPr>
          <w:sz w:val="20"/>
          <w:szCs w:val="20"/>
        </w:rPr>
      </w:pPr>
    </w:p>
    <w:p w14:paraId="4A6F313A" w14:textId="77777777" w:rsidR="008E0F74" w:rsidRPr="00FC3B7C" w:rsidRDefault="008E0F74">
      <w:pPr>
        <w:spacing w:line="200" w:lineRule="exact"/>
        <w:rPr>
          <w:sz w:val="20"/>
          <w:szCs w:val="20"/>
        </w:rPr>
      </w:pPr>
    </w:p>
    <w:p w14:paraId="4A6F313B" w14:textId="77777777" w:rsidR="008E0F74" w:rsidRPr="00FC3B7C" w:rsidRDefault="008E0F74">
      <w:pPr>
        <w:spacing w:line="200" w:lineRule="exact"/>
        <w:rPr>
          <w:sz w:val="20"/>
          <w:szCs w:val="20"/>
        </w:rPr>
      </w:pPr>
    </w:p>
    <w:p w14:paraId="4A6F313C" w14:textId="77777777" w:rsidR="008E0F74" w:rsidRPr="00FC3B7C" w:rsidRDefault="008E0F74">
      <w:pPr>
        <w:spacing w:line="200" w:lineRule="exact"/>
        <w:rPr>
          <w:sz w:val="20"/>
          <w:szCs w:val="20"/>
        </w:rPr>
      </w:pPr>
    </w:p>
    <w:p w14:paraId="4A6F313D" w14:textId="77777777" w:rsidR="008E0F74" w:rsidRPr="00FC3B7C" w:rsidRDefault="008E0F74">
      <w:pPr>
        <w:spacing w:line="200" w:lineRule="exact"/>
        <w:rPr>
          <w:sz w:val="20"/>
          <w:szCs w:val="20"/>
        </w:rPr>
      </w:pPr>
    </w:p>
    <w:p w14:paraId="4A6F313E" w14:textId="77777777" w:rsidR="008E0F74" w:rsidRPr="00FC3B7C" w:rsidRDefault="008E0F74">
      <w:pPr>
        <w:spacing w:line="200" w:lineRule="exact"/>
        <w:rPr>
          <w:sz w:val="20"/>
          <w:szCs w:val="20"/>
        </w:rPr>
      </w:pPr>
    </w:p>
    <w:p w14:paraId="4A6F313F" w14:textId="77777777" w:rsidR="008E0F74" w:rsidRPr="00FC3B7C" w:rsidRDefault="008E0F74">
      <w:pPr>
        <w:spacing w:line="200" w:lineRule="exact"/>
        <w:rPr>
          <w:sz w:val="20"/>
          <w:szCs w:val="20"/>
        </w:rPr>
      </w:pPr>
    </w:p>
    <w:p w14:paraId="4A6F3140" w14:textId="77777777" w:rsidR="008E0F74" w:rsidRPr="00FC3B7C" w:rsidRDefault="008E0F74">
      <w:pPr>
        <w:spacing w:line="200" w:lineRule="exact"/>
        <w:rPr>
          <w:sz w:val="20"/>
          <w:szCs w:val="20"/>
        </w:rPr>
      </w:pPr>
    </w:p>
    <w:p w14:paraId="4A6F3141" w14:textId="77777777" w:rsidR="008E0F74" w:rsidRPr="00FC3B7C" w:rsidRDefault="008E0F74">
      <w:pPr>
        <w:spacing w:line="200" w:lineRule="exact"/>
        <w:rPr>
          <w:sz w:val="20"/>
          <w:szCs w:val="20"/>
        </w:rPr>
      </w:pPr>
    </w:p>
    <w:p w14:paraId="4A6F3142" w14:textId="77777777" w:rsidR="008E0F74" w:rsidRPr="00FC3B7C" w:rsidRDefault="008E0F74">
      <w:pPr>
        <w:spacing w:line="324" w:lineRule="exact"/>
        <w:rPr>
          <w:sz w:val="20"/>
          <w:szCs w:val="20"/>
        </w:rPr>
      </w:pPr>
    </w:p>
    <w:p w14:paraId="4A6F3143" w14:textId="77777777" w:rsidR="008E0F74" w:rsidRPr="00FC3B7C" w:rsidRDefault="00256F29">
      <w:pPr>
        <w:rPr>
          <w:sz w:val="20"/>
          <w:szCs w:val="20"/>
        </w:rPr>
      </w:pPr>
      <w:r w:rsidRPr="00FC3B7C">
        <w:rPr>
          <w:rFonts w:eastAsia="Times New Roman"/>
          <w:szCs w:val="24"/>
        </w:rPr>
        <w:t>Posunem vpravo odstraňujeme mezeru recese (AD</w:t>
      </w:r>
      <w:r w:rsidRPr="00FC3B7C">
        <w:rPr>
          <w:rFonts w:eastAsia="Times New Roman"/>
          <w:sz w:val="31"/>
          <w:szCs w:val="31"/>
          <w:vertAlign w:val="subscript"/>
        </w:rPr>
        <w:t>1</w:t>
      </w:r>
      <w:r w:rsidRPr="00FC3B7C">
        <w:rPr>
          <w:rFonts w:eastAsia="Times New Roman"/>
          <w:szCs w:val="24"/>
        </w:rPr>
        <w:t>)</w:t>
      </w:r>
    </w:p>
    <w:p w14:paraId="4A6F3144" w14:textId="77777777" w:rsidR="008E0F74" w:rsidRPr="00FC3B7C" w:rsidRDefault="008E0F74">
      <w:pPr>
        <w:spacing w:line="56" w:lineRule="exact"/>
        <w:rPr>
          <w:sz w:val="20"/>
          <w:szCs w:val="20"/>
        </w:rPr>
      </w:pPr>
    </w:p>
    <w:p w14:paraId="4A6F3145" w14:textId="77777777" w:rsidR="008E0F74" w:rsidRPr="00FC3B7C" w:rsidRDefault="00256F29">
      <w:pPr>
        <w:rPr>
          <w:sz w:val="20"/>
          <w:szCs w:val="20"/>
        </w:rPr>
      </w:pPr>
      <w:r w:rsidRPr="00FC3B7C">
        <w:rPr>
          <w:rFonts w:eastAsia="Times New Roman"/>
          <w:szCs w:val="24"/>
        </w:rPr>
        <w:t>Posunem vlevo odstraňujeme inflační mezeru (AD</w:t>
      </w:r>
      <w:r w:rsidRPr="00FC3B7C">
        <w:rPr>
          <w:rFonts w:eastAsia="Times New Roman"/>
          <w:sz w:val="31"/>
          <w:szCs w:val="31"/>
          <w:vertAlign w:val="subscript"/>
        </w:rPr>
        <w:t>0</w:t>
      </w:r>
      <w:r w:rsidRPr="00FC3B7C">
        <w:rPr>
          <w:rFonts w:eastAsia="Times New Roman"/>
          <w:szCs w:val="24"/>
        </w:rPr>
        <w:t>)</w:t>
      </w:r>
    </w:p>
    <w:p w14:paraId="4A6F3146" w14:textId="77777777" w:rsidR="008E0F74" w:rsidRPr="00FC3B7C" w:rsidRDefault="008E0F74">
      <w:pPr>
        <w:sectPr w:rsidR="008E0F74" w:rsidRPr="00FC3B7C">
          <w:pgSz w:w="11900" w:h="16840"/>
          <w:pgMar w:top="1386" w:right="1420" w:bottom="1440" w:left="1420" w:header="0" w:footer="0" w:gutter="0"/>
          <w:cols w:space="708" w:equalWidth="0">
            <w:col w:w="9060"/>
          </w:cols>
        </w:sectPr>
      </w:pPr>
    </w:p>
    <w:p w14:paraId="4A6F3147" w14:textId="77777777" w:rsidR="008E0F74" w:rsidRPr="000529F1" w:rsidRDefault="00256F29" w:rsidP="00AD4114">
      <w:pPr>
        <w:pStyle w:val="Nadpis2"/>
        <w:rPr>
          <w:color w:val="1F3864" w:themeColor="accent1" w:themeShade="80"/>
          <w:sz w:val="20"/>
          <w:szCs w:val="20"/>
        </w:rPr>
      </w:pPr>
      <w:bookmarkStart w:id="106" w:name="page103"/>
      <w:bookmarkEnd w:id="106"/>
      <w:r w:rsidRPr="000529F1">
        <w:rPr>
          <w:rFonts w:eastAsia="Times New Roman"/>
          <w:color w:val="1F3864" w:themeColor="accent1" w:themeShade="80"/>
        </w:rPr>
        <w:lastRenderedPageBreak/>
        <w:t>TYPY FISKÁLNÍ POLITIKY</w:t>
      </w:r>
    </w:p>
    <w:p w14:paraId="4A6F3148" w14:textId="77777777" w:rsidR="008E0F74" w:rsidRPr="000529F1" w:rsidRDefault="00256F29" w:rsidP="00AD4114">
      <w:pPr>
        <w:pStyle w:val="Nadpis3"/>
        <w:rPr>
          <w:color w:val="1F3864" w:themeColor="accent1" w:themeShade="80"/>
          <w:sz w:val="20"/>
          <w:szCs w:val="20"/>
        </w:rPr>
      </w:pPr>
      <w:r w:rsidRPr="000529F1">
        <w:rPr>
          <w:rFonts w:eastAsia="Times New Roman"/>
          <w:color w:val="1F3864" w:themeColor="accent1" w:themeShade="80"/>
        </w:rPr>
        <w:t>Expanzivní fiskální politika</w:t>
      </w:r>
    </w:p>
    <w:p w14:paraId="4A6F3149" w14:textId="6F224873" w:rsidR="008E0F74" w:rsidRPr="00FC3B7C" w:rsidRDefault="00256F29" w:rsidP="00137CE6">
      <w:pPr>
        <w:rPr>
          <w:sz w:val="20"/>
          <w:szCs w:val="20"/>
        </w:rPr>
      </w:pPr>
      <w:r w:rsidRPr="00FC3B7C">
        <w:rPr>
          <w:rFonts w:eastAsia="Times New Roman"/>
        </w:rPr>
        <w:t>Klade si za cíl zvýšení produktu (nastartovat růst HDP) a snížení míry nezaměstnanosti</w:t>
      </w:r>
      <w:r w:rsidR="00090DF8">
        <w:rPr>
          <w:rFonts w:eastAsia="Times New Roman"/>
        </w:rPr>
        <w:t xml:space="preserve"> </w:t>
      </w:r>
      <w:r w:rsidR="00090DF8" w:rsidRPr="00FC3B7C">
        <w:rPr>
          <w:rFonts w:eastAsia="Times New Roman"/>
        </w:rPr>
        <w:t>(udržení přijatelné míry</w:t>
      </w:r>
      <w:r w:rsidR="00090DF8">
        <w:rPr>
          <w:rFonts w:eastAsia="Times New Roman"/>
        </w:rPr>
        <w:t xml:space="preserve"> nezaměstnanosti)</w:t>
      </w:r>
      <w:r w:rsidRPr="00FC3B7C">
        <w:rPr>
          <w:rFonts w:eastAsia="Times New Roman"/>
        </w:rPr>
        <w:t>, což provádí skrz podporování růstu agregátní poptávky</w:t>
      </w:r>
      <w:r w:rsidR="00090DF8">
        <w:rPr>
          <w:rFonts w:eastAsia="Times New Roman"/>
        </w:rPr>
        <w:t xml:space="preserve">. </w:t>
      </w:r>
      <w:r w:rsidRPr="00FC3B7C">
        <w:rPr>
          <w:rFonts w:eastAsia="Times New Roman"/>
        </w:rPr>
        <w:t>Zavádí se</w:t>
      </w:r>
      <w:r w:rsidR="00137CE6">
        <w:rPr>
          <w:rFonts w:eastAsia="Times New Roman"/>
        </w:rPr>
        <w:t xml:space="preserve"> </w:t>
      </w:r>
      <w:r w:rsidRPr="00FC3B7C">
        <w:rPr>
          <w:rFonts w:eastAsia="Times New Roman"/>
        </w:rPr>
        <w:t xml:space="preserve">v době, kdy se ekonomika nachází v </w:t>
      </w:r>
      <w:r w:rsidRPr="008B677F">
        <w:rPr>
          <w:rFonts w:eastAsia="Times New Roman"/>
          <w:i/>
          <w:iCs/>
        </w:rPr>
        <w:t>recesi</w:t>
      </w:r>
      <w:r w:rsidRPr="00FC3B7C">
        <w:rPr>
          <w:rFonts w:eastAsia="Times New Roman"/>
        </w:rPr>
        <w:t>. V případě diskrečních opatření většinou dochází k jednorázovému zvýšení vládních výdajů či snížení daní. V případě vestavěných stabilizátorů se pak expanzivní fiskální politika provádí skrz zvýšení transferových plateb či snížením stupně daňové progrese.</w:t>
      </w:r>
    </w:p>
    <w:p w14:paraId="4A6F314A" w14:textId="77777777" w:rsidR="008E0F74" w:rsidRPr="00FC3B7C" w:rsidRDefault="008E0F74">
      <w:pPr>
        <w:spacing w:line="185" w:lineRule="exact"/>
        <w:rPr>
          <w:sz w:val="20"/>
          <w:szCs w:val="20"/>
        </w:rPr>
      </w:pPr>
    </w:p>
    <w:p w14:paraId="4A6F314B" w14:textId="77777777" w:rsidR="008E0F74" w:rsidRPr="000529F1" w:rsidRDefault="00256F29" w:rsidP="00AD4114">
      <w:pPr>
        <w:pStyle w:val="Nadpis3"/>
        <w:rPr>
          <w:color w:val="1F3864" w:themeColor="accent1" w:themeShade="80"/>
          <w:sz w:val="20"/>
          <w:szCs w:val="20"/>
        </w:rPr>
      </w:pPr>
      <w:r w:rsidRPr="000529F1">
        <w:rPr>
          <w:rFonts w:eastAsia="Times New Roman"/>
          <w:color w:val="1F3864" w:themeColor="accent1" w:themeShade="80"/>
        </w:rPr>
        <w:t>Přímé nástroje expanzivní politiky</w:t>
      </w:r>
    </w:p>
    <w:p w14:paraId="4A6F314C" w14:textId="77777777" w:rsidR="008E0F74" w:rsidRPr="00FC3B7C" w:rsidRDefault="008E0F74">
      <w:pPr>
        <w:spacing w:line="200" w:lineRule="exact"/>
        <w:rPr>
          <w:sz w:val="20"/>
          <w:szCs w:val="20"/>
        </w:rPr>
      </w:pPr>
    </w:p>
    <w:p w14:paraId="4A6F314D" w14:textId="77777777" w:rsidR="008E0F74" w:rsidRPr="00FC3B7C" w:rsidRDefault="00256F29">
      <w:pPr>
        <w:spacing w:line="276" w:lineRule="exact"/>
        <w:rPr>
          <w:sz w:val="20"/>
          <w:szCs w:val="20"/>
        </w:rPr>
      </w:pPr>
      <w:r w:rsidRPr="00FC3B7C">
        <w:rPr>
          <w:rFonts w:eastAsia="Times New Roman"/>
          <w:szCs w:val="24"/>
        </w:rPr>
        <w:t xml:space="preserve">Zvýšení výdajů státního rozpočtu </w:t>
      </w:r>
      <w:r w:rsidRPr="00FC3B7C">
        <w:rPr>
          <w:rFonts w:eastAsia="MS Mincho"/>
          <w:szCs w:val="24"/>
        </w:rPr>
        <w:t>→</w:t>
      </w:r>
      <w:r w:rsidRPr="00FC3B7C">
        <w:rPr>
          <w:rFonts w:eastAsia="Times New Roman"/>
          <w:szCs w:val="24"/>
        </w:rPr>
        <w:t xml:space="preserve"> růst AD</w:t>
      </w:r>
    </w:p>
    <w:p w14:paraId="4A6F314E" w14:textId="77777777" w:rsidR="008E0F74" w:rsidRPr="00FC3B7C" w:rsidRDefault="00256F29">
      <w:pPr>
        <w:spacing w:line="20" w:lineRule="exact"/>
        <w:rPr>
          <w:sz w:val="20"/>
          <w:szCs w:val="20"/>
        </w:rPr>
      </w:pPr>
      <w:r w:rsidRPr="00FC3B7C">
        <w:rPr>
          <w:noProof/>
          <w:sz w:val="20"/>
          <w:szCs w:val="20"/>
        </w:rPr>
        <w:drawing>
          <wp:anchor distT="0" distB="0" distL="114300" distR="114300" simplePos="0" relativeHeight="251529728" behindDoc="1" locked="0" layoutInCell="0" allowOverlap="1" wp14:anchorId="4A6F5C52" wp14:editId="720BDAD3">
            <wp:simplePos x="0" y="0"/>
            <wp:positionH relativeFrom="column">
              <wp:posOffset>-1905</wp:posOffset>
            </wp:positionH>
            <wp:positionV relativeFrom="paragraph">
              <wp:posOffset>117475</wp:posOffset>
            </wp:positionV>
            <wp:extent cx="5641975" cy="331597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srcRect/>
                    <a:stretch>
                      <a:fillRect/>
                    </a:stretch>
                  </pic:blipFill>
                  <pic:spPr bwMode="auto">
                    <a:xfrm>
                      <a:off x="0" y="0"/>
                      <a:ext cx="5641975" cy="3315970"/>
                    </a:xfrm>
                    <a:prstGeom prst="rect">
                      <a:avLst/>
                    </a:prstGeom>
                    <a:noFill/>
                  </pic:spPr>
                </pic:pic>
              </a:graphicData>
            </a:graphic>
          </wp:anchor>
        </w:drawing>
      </w:r>
    </w:p>
    <w:p w14:paraId="4A6F314F" w14:textId="77777777" w:rsidR="008E0F74" w:rsidRPr="00FC3B7C" w:rsidRDefault="008E0F74">
      <w:pPr>
        <w:sectPr w:rsidR="008E0F74" w:rsidRPr="00FC3B7C">
          <w:pgSz w:w="11900" w:h="16840"/>
          <w:pgMar w:top="1388" w:right="1420" w:bottom="1440" w:left="1420" w:header="0" w:footer="0" w:gutter="0"/>
          <w:cols w:space="708" w:equalWidth="0">
            <w:col w:w="9060"/>
          </w:cols>
        </w:sectPr>
      </w:pPr>
    </w:p>
    <w:p w14:paraId="4A6F3150" w14:textId="77777777" w:rsidR="008E0F74" w:rsidRPr="000529F1" w:rsidRDefault="00256F29" w:rsidP="00AD4114">
      <w:pPr>
        <w:pStyle w:val="Nadpis3"/>
        <w:rPr>
          <w:color w:val="1F3864" w:themeColor="accent1" w:themeShade="80"/>
          <w:sz w:val="20"/>
          <w:szCs w:val="20"/>
        </w:rPr>
      </w:pPr>
      <w:bookmarkStart w:id="107" w:name="page104"/>
      <w:bookmarkEnd w:id="107"/>
      <w:r w:rsidRPr="000529F1">
        <w:rPr>
          <w:rFonts w:eastAsia="Times New Roman"/>
          <w:color w:val="1F3864" w:themeColor="accent1" w:themeShade="80"/>
        </w:rPr>
        <w:lastRenderedPageBreak/>
        <w:t>Nepřímé nástroje expanzivní politiky</w:t>
      </w:r>
    </w:p>
    <w:p w14:paraId="4A6F3151" w14:textId="77777777" w:rsidR="008E0F74" w:rsidRPr="00FC3B7C" w:rsidRDefault="00256F29">
      <w:pPr>
        <w:spacing w:line="276" w:lineRule="exact"/>
        <w:rPr>
          <w:sz w:val="20"/>
          <w:szCs w:val="20"/>
        </w:rPr>
      </w:pPr>
      <w:r w:rsidRPr="00FC3B7C">
        <w:rPr>
          <w:rFonts w:eastAsia="Times New Roman"/>
          <w:szCs w:val="24"/>
        </w:rPr>
        <w:t xml:space="preserve">Snížení daní </w:t>
      </w:r>
      <w:r w:rsidRPr="00FC3B7C">
        <w:rPr>
          <w:rFonts w:eastAsia="MS Mincho"/>
          <w:szCs w:val="24"/>
        </w:rPr>
        <w:t>→</w:t>
      </w:r>
      <w:r w:rsidRPr="00FC3B7C">
        <w:rPr>
          <w:rFonts w:eastAsia="Times New Roman"/>
          <w:szCs w:val="24"/>
        </w:rPr>
        <w:t xml:space="preserve"> zvýšení spotřeby a investic soukromého sektoru </w:t>
      </w:r>
      <w:r w:rsidRPr="00FC3B7C">
        <w:rPr>
          <w:rFonts w:eastAsia="MS Mincho"/>
          <w:szCs w:val="24"/>
        </w:rPr>
        <w:t>→</w:t>
      </w:r>
      <w:r w:rsidRPr="00FC3B7C">
        <w:rPr>
          <w:rFonts w:eastAsia="Times New Roman"/>
          <w:szCs w:val="24"/>
        </w:rPr>
        <w:t xml:space="preserve"> růst AD</w:t>
      </w:r>
    </w:p>
    <w:p w14:paraId="4A6F3152" w14:textId="77777777" w:rsidR="008E0F74" w:rsidRPr="00FC3B7C" w:rsidRDefault="00256F29">
      <w:pPr>
        <w:spacing w:line="20" w:lineRule="exact"/>
        <w:rPr>
          <w:sz w:val="20"/>
          <w:szCs w:val="20"/>
        </w:rPr>
      </w:pPr>
      <w:r w:rsidRPr="00FC3B7C">
        <w:rPr>
          <w:noProof/>
          <w:sz w:val="20"/>
          <w:szCs w:val="20"/>
        </w:rPr>
        <w:drawing>
          <wp:anchor distT="0" distB="0" distL="114300" distR="114300" simplePos="0" relativeHeight="251538944" behindDoc="1" locked="0" layoutInCell="0" allowOverlap="1" wp14:anchorId="4A6F5C54" wp14:editId="4BD6C850">
            <wp:simplePos x="0" y="0"/>
            <wp:positionH relativeFrom="column">
              <wp:posOffset>92075</wp:posOffset>
            </wp:positionH>
            <wp:positionV relativeFrom="paragraph">
              <wp:posOffset>117475</wp:posOffset>
            </wp:positionV>
            <wp:extent cx="5601970" cy="329184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srcRect/>
                    <a:stretch>
                      <a:fillRect/>
                    </a:stretch>
                  </pic:blipFill>
                  <pic:spPr bwMode="auto">
                    <a:xfrm>
                      <a:off x="0" y="0"/>
                      <a:ext cx="5601970" cy="3291840"/>
                    </a:xfrm>
                    <a:prstGeom prst="rect">
                      <a:avLst/>
                    </a:prstGeom>
                    <a:noFill/>
                  </pic:spPr>
                </pic:pic>
              </a:graphicData>
            </a:graphic>
          </wp:anchor>
        </w:drawing>
      </w:r>
    </w:p>
    <w:p w14:paraId="4A6F3153" w14:textId="77777777" w:rsidR="008E0F74" w:rsidRPr="00FC3B7C" w:rsidRDefault="008E0F74">
      <w:pPr>
        <w:spacing w:line="200" w:lineRule="exact"/>
        <w:rPr>
          <w:sz w:val="20"/>
          <w:szCs w:val="20"/>
        </w:rPr>
      </w:pPr>
    </w:p>
    <w:p w14:paraId="4A6F3154" w14:textId="77777777" w:rsidR="008E0F74" w:rsidRPr="00FC3B7C" w:rsidRDefault="008E0F74">
      <w:pPr>
        <w:spacing w:line="200" w:lineRule="exact"/>
        <w:rPr>
          <w:sz w:val="20"/>
          <w:szCs w:val="20"/>
        </w:rPr>
      </w:pPr>
    </w:p>
    <w:p w14:paraId="4A6F3155" w14:textId="77777777" w:rsidR="008E0F74" w:rsidRPr="00FC3B7C" w:rsidRDefault="008E0F74">
      <w:pPr>
        <w:spacing w:line="200" w:lineRule="exact"/>
        <w:rPr>
          <w:sz w:val="20"/>
          <w:szCs w:val="20"/>
        </w:rPr>
      </w:pPr>
    </w:p>
    <w:p w14:paraId="4A6F3156" w14:textId="77777777" w:rsidR="008E0F74" w:rsidRPr="00FC3B7C" w:rsidRDefault="008E0F74">
      <w:pPr>
        <w:spacing w:line="200" w:lineRule="exact"/>
        <w:rPr>
          <w:sz w:val="20"/>
          <w:szCs w:val="20"/>
        </w:rPr>
      </w:pPr>
    </w:p>
    <w:p w14:paraId="4A6F3157" w14:textId="77777777" w:rsidR="008E0F74" w:rsidRPr="00FC3B7C" w:rsidRDefault="008E0F74">
      <w:pPr>
        <w:spacing w:line="200" w:lineRule="exact"/>
        <w:rPr>
          <w:sz w:val="20"/>
          <w:szCs w:val="20"/>
        </w:rPr>
      </w:pPr>
    </w:p>
    <w:p w14:paraId="4A6F3158" w14:textId="77777777" w:rsidR="008E0F74" w:rsidRPr="00FC3B7C" w:rsidRDefault="008E0F74">
      <w:pPr>
        <w:spacing w:line="200" w:lineRule="exact"/>
        <w:rPr>
          <w:sz w:val="20"/>
          <w:szCs w:val="20"/>
        </w:rPr>
      </w:pPr>
    </w:p>
    <w:p w14:paraId="4A6F3159" w14:textId="77777777" w:rsidR="008E0F74" w:rsidRPr="00FC3B7C" w:rsidRDefault="008E0F74">
      <w:pPr>
        <w:spacing w:line="200" w:lineRule="exact"/>
        <w:rPr>
          <w:sz w:val="20"/>
          <w:szCs w:val="20"/>
        </w:rPr>
      </w:pPr>
    </w:p>
    <w:p w14:paraId="4A6F315A" w14:textId="77777777" w:rsidR="008E0F74" w:rsidRPr="00FC3B7C" w:rsidRDefault="008E0F74">
      <w:pPr>
        <w:spacing w:line="200" w:lineRule="exact"/>
        <w:rPr>
          <w:sz w:val="20"/>
          <w:szCs w:val="20"/>
        </w:rPr>
      </w:pPr>
    </w:p>
    <w:p w14:paraId="4A6F315B" w14:textId="77777777" w:rsidR="008E0F74" w:rsidRPr="00FC3B7C" w:rsidRDefault="008E0F74">
      <w:pPr>
        <w:spacing w:line="200" w:lineRule="exact"/>
        <w:rPr>
          <w:sz w:val="20"/>
          <w:szCs w:val="20"/>
        </w:rPr>
      </w:pPr>
    </w:p>
    <w:p w14:paraId="4A6F315C" w14:textId="77777777" w:rsidR="008E0F74" w:rsidRPr="00FC3B7C" w:rsidRDefault="008E0F74">
      <w:pPr>
        <w:spacing w:line="200" w:lineRule="exact"/>
        <w:rPr>
          <w:sz w:val="20"/>
          <w:szCs w:val="20"/>
        </w:rPr>
      </w:pPr>
    </w:p>
    <w:p w14:paraId="4A6F315D" w14:textId="77777777" w:rsidR="008E0F74" w:rsidRPr="00FC3B7C" w:rsidRDefault="008E0F74">
      <w:pPr>
        <w:spacing w:line="200" w:lineRule="exact"/>
        <w:rPr>
          <w:sz w:val="20"/>
          <w:szCs w:val="20"/>
        </w:rPr>
      </w:pPr>
    </w:p>
    <w:p w14:paraId="4A6F315E" w14:textId="77777777" w:rsidR="008E0F74" w:rsidRPr="00FC3B7C" w:rsidRDefault="008E0F74">
      <w:pPr>
        <w:spacing w:line="200" w:lineRule="exact"/>
        <w:rPr>
          <w:sz w:val="20"/>
          <w:szCs w:val="20"/>
        </w:rPr>
      </w:pPr>
    </w:p>
    <w:p w14:paraId="4A6F315F" w14:textId="77777777" w:rsidR="008E0F74" w:rsidRPr="00FC3B7C" w:rsidRDefault="008E0F74">
      <w:pPr>
        <w:spacing w:line="200" w:lineRule="exact"/>
        <w:rPr>
          <w:sz w:val="20"/>
          <w:szCs w:val="20"/>
        </w:rPr>
      </w:pPr>
    </w:p>
    <w:p w14:paraId="4A6F3160" w14:textId="77777777" w:rsidR="008E0F74" w:rsidRPr="00FC3B7C" w:rsidRDefault="008E0F74">
      <w:pPr>
        <w:spacing w:line="200" w:lineRule="exact"/>
        <w:rPr>
          <w:sz w:val="20"/>
          <w:szCs w:val="20"/>
        </w:rPr>
      </w:pPr>
    </w:p>
    <w:p w14:paraId="4A6F3161" w14:textId="77777777" w:rsidR="008E0F74" w:rsidRPr="00FC3B7C" w:rsidRDefault="008E0F74">
      <w:pPr>
        <w:spacing w:line="200" w:lineRule="exact"/>
        <w:rPr>
          <w:sz w:val="20"/>
          <w:szCs w:val="20"/>
        </w:rPr>
      </w:pPr>
    </w:p>
    <w:p w14:paraId="4A6F3162" w14:textId="77777777" w:rsidR="008E0F74" w:rsidRPr="00FC3B7C" w:rsidRDefault="008E0F74">
      <w:pPr>
        <w:spacing w:line="200" w:lineRule="exact"/>
        <w:rPr>
          <w:sz w:val="20"/>
          <w:szCs w:val="20"/>
        </w:rPr>
      </w:pPr>
    </w:p>
    <w:p w14:paraId="4A6F3163" w14:textId="77777777" w:rsidR="008E0F74" w:rsidRPr="00FC3B7C" w:rsidRDefault="008E0F74">
      <w:pPr>
        <w:spacing w:line="200" w:lineRule="exact"/>
        <w:rPr>
          <w:sz w:val="20"/>
          <w:szCs w:val="20"/>
        </w:rPr>
      </w:pPr>
    </w:p>
    <w:p w14:paraId="4A6F3164" w14:textId="77777777" w:rsidR="008E0F74" w:rsidRPr="00FC3B7C" w:rsidRDefault="008E0F74">
      <w:pPr>
        <w:spacing w:line="200" w:lineRule="exact"/>
        <w:rPr>
          <w:sz w:val="20"/>
          <w:szCs w:val="20"/>
        </w:rPr>
      </w:pPr>
    </w:p>
    <w:p w14:paraId="4A6F3165" w14:textId="77777777" w:rsidR="008E0F74" w:rsidRPr="00FC3B7C" w:rsidRDefault="008E0F74">
      <w:pPr>
        <w:spacing w:line="200" w:lineRule="exact"/>
        <w:rPr>
          <w:sz w:val="20"/>
          <w:szCs w:val="20"/>
        </w:rPr>
      </w:pPr>
    </w:p>
    <w:p w14:paraId="4A6F3166" w14:textId="77777777" w:rsidR="008E0F74" w:rsidRPr="00FC3B7C" w:rsidRDefault="008E0F74">
      <w:pPr>
        <w:spacing w:line="200" w:lineRule="exact"/>
        <w:rPr>
          <w:sz w:val="20"/>
          <w:szCs w:val="20"/>
        </w:rPr>
      </w:pPr>
    </w:p>
    <w:p w14:paraId="4A6F3167" w14:textId="77777777" w:rsidR="008E0F74" w:rsidRPr="00FC3B7C" w:rsidRDefault="008E0F74">
      <w:pPr>
        <w:spacing w:line="200" w:lineRule="exact"/>
        <w:rPr>
          <w:sz w:val="20"/>
          <w:szCs w:val="20"/>
        </w:rPr>
      </w:pPr>
    </w:p>
    <w:p w14:paraId="4A6F3168" w14:textId="77777777" w:rsidR="008E0F74" w:rsidRPr="00FC3B7C" w:rsidRDefault="008E0F74">
      <w:pPr>
        <w:spacing w:line="200" w:lineRule="exact"/>
        <w:rPr>
          <w:sz w:val="20"/>
          <w:szCs w:val="20"/>
        </w:rPr>
      </w:pPr>
    </w:p>
    <w:p w14:paraId="4A6F3169" w14:textId="77777777" w:rsidR="008E0F74" w:rsidRPr="00FC3B7C" w:rsidRDefault="008E0F74">
      <w:pPr>
        <w:spacing w:line="200" w:lineRule="exact"/>
        <w:rPr>
          <w:sz w:val="20"/>
          <w:szCs w:val="20"/>
        </w:rPr>
      </w:pPr>
    </w:p>
    <w:p w14:paraId="4A6F316A" w14:textId="77777777" w:rsidR="008E0F74" w:rsidRPr="00FC3B7C" w:rsidRDefault="008E0F74">
      <w:pPr>
        <w:spacing w:line="200" w:lineRule="exact"/>
        <w:rPr>
          <w:sz w:val="20"/>
          <w:szCs w:val="20"/>
        </w:rPr>
      </w:pPr>
    </w:p>
    <w:p w14:paraId="4A6F316B" w14:textId="77777777" w:rsidR="008E0F74" w:rsidRPr="00FC3B7C" w:rsidRDefault="008E0F74">
      <w:pPr>
        <w:spacing w:line="200" w:lineRule="exact"/>
        <w:rPr>
          <w:sz w:val="20"/>
          <w:szCs w:val="20"/>
        </w:rPr>
      </w:pPr>
    </w:p>
    <w:p w14:paraId="4A6F316C" w14:textId="77777777" w:rsidR="008E0F74" w:rsidRPr="00FC3B7C" w:rsidRDefault="008E0F74">
      <w:pPr>
        <w:spacing w:line="200" w:lineRule="exact"/>
        <w:rPr>
          <w:sz w:val="20"/>
          <w:szCs w:val="20"/>
        </w:rPr>
      </w:pPr>
    </w:p>
    <w:p w14:paraId="4A6F316D" w14:textId="77777777" w:rsidR="008E0F74" w:rsidRPr="00FC3B7C" w:rsidRDefault="008E0F74">
      <w:pPr>
        <w:spacing w:line="200" w:lineRule="exact"/>
        <w:rPr>
          <w:sz w:val="20"/>
          <w:szCs w:val="20"/>
        </w:rPr>
      </w:pPr>
    </w:p>
    <w:p w14:paraId="4A6F316E" w14:textId="77777777" w:rsidR="008E0F74" w:rsidRPr="000529F1" w:rsidRDefault="008E0F74">
      <w:pPr>
        <w:spacing w:line="279" w:lineRule="exact"/>
        <w:rPr>
          <w:color w:val="1F3864" w:themeColor="accent1" w:themeShade="80"/>
          <w:sz w:val="20"/>
          <w:szCs w:val="20"/>
        </w:rPr>
      </w:pPr>
    </w:p>
    <w:p w14:paraId="4A6F316F" w14:textId="77777777" w:rsidR="008E0F74" w:rsidRPr="000529F1" w:rsidRDefault="00256F29" w:rsidP="00AD4114">
      <w:pPr>
        <w:pStyle w:val="Nadpis3"/>
        <w:rPr>
          <w:color w:val="1F3864" w:themeColor="accent1" w:themeShade="80"/>
          <w:sz w:val="20"/>
          <w:szCs w:val="20"/>
        </w:rPr>
      </w:pPr>
      <w:r w:rsidRPr="000529F1">
        <w:rPr>
          <w:rFonts w:eastAsia="Times New Roman"/>
          <w:color w:val="1F3864" w:themeColor="accent1" w:themeShade="80"/>
        </w:rPr>
        <w:t>Neutrální fiskální politika</w:t>
      </w:r>
    </w:p>
    <w:p w14:paraId="4A6F3170" w14:textId="77777777" w:rsidR="008E0F74" w:rsidRPr="00FC3B7C" w:rsidRDefault="008E0F74">
      <w:pPr>
        <w:spacing w:line="200" w:lineRule="exact"/>
        <w:rPr>
          <w:sz w:val="20"/>
          <w:szCs w:val="20"/>
        </w:rPr>
      </w:pPr>
    </w:p>
    <w:p w14:paraId="4A6F3173" w14:textId="57D2F4AD" w:rsidR="007920AC" w:rsidRDefault="00256F29" w:rsidP="005C08F2">
      <w:pPr>
        <w:spacing w:after="240" w:line="374" w:lineRule="auto"/>
        <w:rPr>
          <w:rFonts w:eastAsia="Times New Roman" w:cstheme="majorBidi"/>
          <w:b/>
          <w:sz w:val="28"/>
          <w:szCs w:val="26"/>
        </w:rPr>
      </w:pPr>
      <w:r w:rsidRPr="00FC3B7C">
        <w:rPr>
          <w:rFonts w:eastAsia="Times New Roman"/>
          <w:szCs w:val="24"/>
        </w:rPr>
        <w:t>Situace, kdy se veřejné výdaje rovnají vybraným daním a státní rozpočet se tak stává vyrovnaným. Tento stav se vyskytuje zcela výjimečně. Jde tedy spíše o modelovou (teoretickou) situaci.</w:t>
      </w:r>
      <w:bookmarkStart w:id="108" w:name="page105"/>
      <w:bookmarkEnd w:id="108"/>
    </w:p>
    <w:p w14:paraId="4A6F3174" w14:textId="77777777" w:rsidR="008E0F74" w:rsidRPr="000529F1" w:rsidRDefault="00256F29" w:rsidP="005C08F2">
      <w:pPr>
        <w:pStyle w:val="Nadpis2"/>
        <w:spacing w:after="240"/>
        <w:rPr>
          <w:color w:val="1F3864" w:themeColor="accent1" w:themeShade="80"/>
          <w:sz w:val="20"/>
          <w:szCs w:val="20"/>
        </w:rPr>
      </w:pPr>
      <w:r w:rsidRPr="000529F1">
        <w:rPr>
          <w:rFonts w:eastAsia="Times New Roman"/>
          <w:color w:val="1F3864" w:themeColor="accent1" w:themeShade="80"/>
        </w:rPr>
        <w:t>MECHANISMUS FISKÁLNÍ POLITIKY</w:t>
      </w:r>
    </w:p>
    <w:p w14:paraId="4A6F3175" w14:textId="77777777" w:rsidR="008E0F74" w:rsidRPr="000529F1" w:rsidRDefault="00256F29" w:rsidP="00AD4114">
      <w:pPr>
        <w:pStyle w:val="Nadpis3"/>
        <w:rPr>
          <w:color w:val="1F3864" w:themeColor="accent1" w:themeShade="80"/>
          <w:sz w:val="20"/>
          <w:szCs w:val="20"/>
        </w:rPr>
      </w:pPr>
      <w:r w:rsidRPr="000529F1">
        <w:rPr>
          <w:rFonts w:eastAsia="Times New Roman"/>
          <w:color w:val="1F3864" w:themeColor="accent1" w:themeShade="80"/>
        </w:rPr>
        <w:t>Vládní výdaje (G)</w:t>
      </w:r>
    </w:p>
    <w:p w14:paraId="4A6F3176" w14:textId="1BA59737" w:rsidR="008E0F74" w:rsidRPr="00FC3B7C" w:rsidRDefault="00256F29">
      <w:pPr>
        <w:rPr>
          <w:sz w:val="20"/>
          <w:szCs w:val="20"/>
        </w:rPr>
      </w:pPr>
      <w:r w:rsidRPr="00FC3B7C">
        <w:rPr>
          <w:rFonts w:eastAsia="Times New Roman"/>
          <w:b/>
          <w:bCs/>
          <w:szCs w:val="24"/>
        </w:rPr>
        <w:t>Recesní mezera</w:t>
      </w:r>
    </w:p>
    <w:p w14:paraId="4A6F3177" w14:textId="7C4A9A1C" w:rsidR="008E0F74" w:rsidRPr="00FC3B7C" w:rsidRDefault="008E0F74">
      <w:pPr>
        <w:spacing w:line="20" w:lineRule="exact"/>
        <w:rPr>
          <w:sz w:val="20"/>
          <w:szCs w:val="20"/>
        </w:rPr>
      </w:pPr>
    </w:p>
    <w:p w14:paraId="4A6F3178" w14:textId="3AA6CF27" w:rsidR="008E0F74" w:rsidRPr="00FC3B7C" w:rsidRDefault="00405026">
      <w:pPr>
        <w:spacing w:line="200" w:lineRule="exact"/>
        <w:rPr>
          <w:sz w:val="20"/>
          <w:szCs w:val="20"/>
        </w:rPr>
      </w:pPr>
      <w:r w:rsidRPr="00FC3B7C">
        <w:rPr>
          <w:noProof/>
          <w:sz w:val="20"/>
          <w:szCs w:val="20"/>
        </w:rPr>
        <w:drawing>
          <wp:anchor distT="0" distB="0" distL="114300" distR="114300" simplePos="0" relativeHeight="251501056" behindDoc="1" locked="0" layoutInCell="0" allowOverlap="1" wp14:anchorId="4A6F5C56" wp14:editId="09CF820D">
            <wp:simplePos x="0" y="0"/>
            <wp:positionH relativeFrom="column">
              <wp:posOffset>2066</wp:posOffset>
            </wp:positionH>
            <wp:positionV relativeFrom="paragraph">
              <wp:posOffset>15165</wp:posOffset>
            </wp:positionV>
            <wp:extent cx="4660849" cy="2838893"/>
            <wp:effectExtent l="0" t="0" r="698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a:srcRect/>
                    <a:stretch>
                      <a:fillRect/>
                    </a:stretch>
                  </pic:blipFill>
                  <pic:spPr bwMode="auto">
                    <a:xfrm>
                      <a:off x="0" y="0"/>
                      <a:ext cx="4662943" cy="2840168"/>
                    </a:xfrm>
                    <a:prstGeom prst="rect">
                      <a:avLst/>
                    </a:prstGeom>
                    <a:noFill/>
                  </pic:spPr>
                </pic:pic>
              </a:graphicData>
            </a:graphic>
            <wp14:sizeRelH relativeFrom="margin">
              <wp14:pctWidth>0</wp14:pctWidth>
            </wp14:sizeRelH>
            <wp14:sizeRelV relativeFrom="margin">
              <wp14:pctHeight>0</wp14:pctHeight>
            </wp14:sizeRelV>
          </wp:anchor>
        </w:drawing>
      </w:r>
    </w:p>
    <w:p w14:paraId="4A6F3179" w14:textId="77777777" w:rsidR="008E0F74" w:rsidRPr="00FC3B7C" w:rsidRDefault="008E0F74">
      <w:pPr>
        <w:spacing w:line="200" w:lineRule="exact"/>
        <w:rPr>
          <w:sz w:val="20"/>
          <w:szCs w:val="20"/>
        </w:rPr>
      </w:pPr>
    </w:p>
    <w:p w14:paraId="4A6F317A" w14:textId="77777777" w:rsidR="008E0F74" w:rsidRPr="00FC3B7C" w:rsidRDefault="008E0F74">
      <w:pPr>
        <w:spacing w:line="200" w:lineRule="exact"/>
        <w:rPr>
          <w:sz w:val="20"/>
          <w:szCs w:val="20"/>
        </w:rPr>
      </w:pPr>
    </w:p>
    <w:p w14:paraId="4A6F317B" w14:textId="77777777" w:rsidR="008E0F74" w:rsidRPr="00FC3B7C" w:rsidRDefault="008E0F74">
      <w:pPr>
        <w:spacing w:line="200" w:lineRule="exact"/>
        <w:rPr>
          <w:sz w:val="20"/>
          <w:szCs w:val="20"/>
        </w:rPr>
      </w:pPr>
    </w:p>
    <w:p w14:paraId="4A6F317C" w14:textId="77777777" w:rsidR="008E0F74" w:rsidRPr="00FC3B7C" w:rsidRDefault="008E0F74">
      <w:pPr>
        <w:spacing w:line="200" w:lineRule="exact"/>
        <w:rPr>
          <w:sz w:val="20"/>
          <w:szCs w:val="20"/>
        </w:rPr>
      </w:pPr>
    </w:p>
    <w:p w14:paraId="4A6F317D" w14:textId="77777777" w:rsidR="008E0F74" w:rsidRPr="00FC3B7C" w:rsidRDefault="008E0F74">
      <w:pPr>
        <w:spacing w:line="200" w:lineRule="exact"/>
        <w:rPr>
          <w:sz w:val="20"/>
          <w:szCs w:val="20"/>
        </w:rPr>
      </w:pPr>
    </w:p>
    <w:p w14:paraId="4A6F317E" w14:textId="77777777" w:rsidR="008E0F74" w:rsidRPr="00FC3B7C" w:rsidRDefault="008E0F74">
      <w:pPr>
        <w:spacing w:line="200" w:lineRule="exact"/>
        <w:rPr>
          <w:sz w:val="20"/>
          <w:szCs w:val="20"/>
        </w:rPr>
      </w:pPr>
    </w:p>
    <w:p w14:paraId="4A6F317F" w14:textId="77777777" w:rsidR="008E0F74" w:rsidRPr="00FC3B7C" w:rsidRDefault="008E0F74">
      <w:pPr>
        <w:spacing w:line="200" w:lineRule="exact"/>
        <w:rPr>
          <w:sz w:val="20"/>
          <w:szCs w:val="20"/>
        </w:rPr>
      </w:pPr>
    </w:p>
    <w:p w14:paraId="4A6F3180" w14:textId="77777777" w:rsidR="008E0F74" w:rsidRPr="00FC3B7C" w:rsidRDefault="008E0F74">
      <w:pPr>
        <w:spacing w:line="200" w:lineRule="exact"/>
        <w:rPr>
          <w:sz w:val="20"/>
          <w:szCs w:val="20"/>
        </w:rPr>
      </w:pPr>
    </w:p>
    <w:p w14:paraId="4A6F3181" w14:textId="77777777" w:rsidR="008E0F74" w:rsidRPr="00FC3B7C" w:rsidRDefault="008E0F74">
      <w:pPr>
        <w:spacing w:line="200" w:lineRule="exact"/>
        <w:rPr>
          <w:sz w:val="20"/>
          <w:szCs w:val="20"/>
        </w:rPr>
      </w:pPr>
    </w:p>
    <w:p w14:paraId="4A6F3182" w14:textId="77777777" w:rsidR="008E0F74" w:rsidRPr="00FC3B7C" w:rsidRDefault="008E0F74">
      <w:pPr>
        <w:spacing w:line="200" w:lineRule="exact"/>
        <w:rPr>
          <w:sz w:val="20"/>
          <w:szCs w:val="20"/>
        </w:rPr>
      </w:pPr>
    </w:p>
    <w:p w14:paraId="4A6F3183" w14:textId="77777777" w:rsidR="008E0F74" w:rsidRPr="00FC3B7C" w:rsidRDefault="008E0F74">
      <w:pPr>
        <w:spacing w:line="200" w:lineRule="exact"/>
        <w:rPr>
          <w:sz w:val="20"/>
          <w:szCs w:val="20"/>
        </w:rPr>
      </w:pPr>
    </w:p>
    <w:p w14:paraId="4A6F3184" w14:textId="77777777" w:rsidR="008E0F74" w:rsidRPr="00FC3B7C" w:rsidRDefault="008E0F74">
      <w:pPr>
        <w:spacing w:line="200" w:lineRule="exact"/>
        <w:rPr>
          <w:sz w:val="20"/>
          <w:szCs w:val="20"/>
        </w:rPr>
      </w:pPr>
    </w:p>
    <w:p w14:paraId="4A6F3185" w14:textId="77777777" w:rsidR="008E0F74" w:rsidRPr="00FC3B7C" w:rsidRDefault="008E0F74">
      <w:pPr>
        <w:spacing w:line="200" w:lineRule="exact"/>
        <w:rPr>
          <w:sz w:val="20"/>
          <w:szCs w:val="20"/>
        </w:rPr>
      </w:pPr>
    </w:p>
    <w:p w14:paraId="4A6F3186" w14:textId="77777777" w:rsidR="008E0F74" w:rsidRPr="00FC3B7C" w:rsidRDefault="008E0F74">
      <w:pPr>
        <w:spacing w:line="200" w:lineRule="exact"/>
        <w:rPr>
          <w:sz w:val="20"/>
          <w:szCs w:val="20"/>
        </w:rPr>
      </w:pPr>
    </w:p>
    <w:p w14:paraId="4A6F3187" w14:textId="77777777" w:rsidR="008E0F74" w:rsidRPr="00FC3B7C" w:rsidRDefault="008E0F74">
      <w:pPr>
        <w:spacing w:line="200" w:lineRule="exact"/>
        <w:rPr>
          <w:sz w:val="20"/>
          <w:szCs w:val="20"/>
        </w:rPr>
      </w:pPr>
    </w:p>
    <w:p w14:paraId="4A6F3188" w14:textId="77777777" w:rsidR="008E0F74" w:rsidRPr="00FC3B7C" w:rsidRDefault="008E0F74">
      <w:pPr>
        <w:spacing w:line="200" w:lineRule="exact"/>
        <w:rPr>
          <w:sz w:val="20"/>
          <w:szCs w:val="20"/>
        </w:rPr>
      </w:pPr>
    </w:p>
    <w:p w14:paraId="4A6F318C" w14:textId="77777777" w:rsidR="008E0F74" w:rsidRPr="00FC3B7C" w:rsidRDefault="00256F29">
      <w:pPr>
        <w:spacing w:line="367" w:lineRule="auto"/>
        <w:rPr>
          <w:sz w:val="20"/>
          <w:szCs w:val="20"/>
        </w:rPr>
      </w:pPr>
      <w:r w:rsidRPr="00FC3B7C">
        <w:rPr>
          <w:rFonts w:eastAsia="Times New Roman"/>
          <w:szCs w:val="24"/>
        </w:rPr>
        <w:lastRenderedPageBreak/>
        <w:t xml:space="preserve">Skutečný produkt je pod potenciálním produktem. Rovnováhy se docílí zvýšením vládních výdajů. Zvýšení státních výdajů (G) povede ke zvýšení poptávky domácností po statcích. Firmy proto vyrábí více produktu. Zvyšuje se poptávka po penězích, což bude mít </w:t>
      </w:r>
      <w:r w:rsidR="00AD4114">
        <w:rPr>
          <w:rFonts w:eastAsia="Times New Roman"/>
          <w:szCs w:val="24"/>
        </w:rPr>
        <w:br/>
      </w:r>
      <w:r w:rsidRPr="00FC3B7C">
        <w:rPr>
          <w:rFonts w:eastAsia="Times New Roman"/>
          <w:szCs w:val="24"/>
        </w:rPr>
        <w:t xml:space="preserve">za důsledek zvyšování úroku. Jak se zvýší úroková míra, sníží se i investiční výdaje. </w:t>
      </w:r>
      <w:r w:rsidR="00AD4114">
        <w:rPr>
          <w:rFonts w:eastAsia="Times New Roman"/>
          <w:szCs w:val="24"/>
        </w:rPr>
        <w:br/>
      </w:r>
      <w:r w:rsidRPr="00FC3B7C">
        <w:rPr>
          <w:rFonts w:eastAsia="Times New Roman"/>
          <w:szCs w:val="24"/>
        </w:rPr>
        <w:t>Ve výsledku to může mít efekt na omezování spotřebních výdajů.</w:t>
      </w:r>
    </w:p>
    <w:p w14:paraId="4A6F318D" w14:textId="77777777" w:rsidR="008E0F74" w:rsidRPr="00FC3B7C" w:rsidRDefault="007920AC" w:rsidP="007920AC">
      <w:pPr>
        <w:spacing w:before="240"/>
        <w:rPr>
          <w:sz w:val="20"/>
          <w:szCs w:val="20"/>
        </w:rPr>
      </w:pPr>
      <w:bookmarkStart w:id="109" w:name="page106"/>
      <w:bookmarkEnd w:id="109"/>
      <w:r w:rsidRPr="00FC3B7C">
        <w:rPr>
          <w:noProof/>
          <w:sz w:val="20"/>
          <w:szCs w:val="20"/>
        </w:rPr>
        <w:drawing>
          <wp:anchor distT="0" distB="0" distL="114300" distR="114300" simplePos="0" relativeHeight="251542016" behindDoc="1" locked="0" layoutInCell="0" allowOverlap="1" wp14:anchorId="4A6F5C58" wp14:editId="78BCF028">
            <wp:simplePos x="0" y="0"/>
            <wp:positionH relativeFrom="column">
              <wp:posOffset>679450</wp:posOffset>
            </wp:positionH>
            <wp:positionV relativeFrom="paragraph">
              <wp:posOffset>292735</wp:posOffset>
            </wp:positionV>
            <wp:extent cx="4019550" cy="2531745"/>
            <wp:effectExtent l="0" t="0" r="0" b="190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a:srcRect/>
                    <a:stretch>
                      <a:fillRect/>
                    </a:stretch>
                  </pic:blipFill>
                  <pic:spPr bwMode="auto">
                    <a:xfrm>
                      <a:off x="0" y="0"/>
                      <a:ext cx="4019550" cy="2531745"/>
                    </a:xfrm>
                    <a:prstGeom prst="rect">
                      <a:avLst/>
                    </a:prstGeom>
                    <a:noFill/>
                  </pic:spPr>
                </pic:pic>
              </a:graphicData>
            </a:graphic>
            <wp14:sizeRelH relativeFrom="margin">
              <wp14:pctWidth>0</wp14:pctWidth>
            </wp14:sizeRelH>
            <wp14:sizeRelV relativeFrom="margin">
              <wp14:pctHeight>0</wp14:pctHeight>
            </wp14:sizeRelV>
          </wp:anchor>
        </w:drawing>
      </w:r>
      <w:r w:rsidR="00256F29" w:rsidRPr="00FC3B7C">
        <w:rPr>
          <w:rFonts w:eastAsia="Times New Roman"/>
          <w:b/>
          <w:bCs/>
          <w:szCs w:val="24"/>
        </w:rPr>
        <w:t>Inflační mezera</w:t>
      </w:r>
    </w:p>
    <w:p w14:paraId="4A6F318E" w14:textId="77777777" w:rsidR="008E0F74" w:rsidRPr="00FC3B7C" w:rsidRDefault="008E0F74">
      <w:pPr>
        <w:spacing w:line="20" w:lineRule="exact"/>
        <w:rPr>
          <w:sz w:val="20"/>
          <w:szCs w:val="20"/>
        </w:rPr>
      </w:pPr>
    </w:p>
    <w:p w14:paraId="4A6F318F" w14:textId="77777777" w:rsidR="008E0F74" w:rsidRPr="00FC3B7C" w:rsidRDefault="008E0F74">
      <w:pPr>
        <w:spacing w:line="200" w:lineRule="exact"/>
        <w:rPr>
          <w:sz w:val="20"/>
          <w:szCs w:val="20"/>
        </w:rPr>
      </w:pPr>
    </w:p>
    <w:p w14:paraId="4A6F3190" w14:textId="77777777" w:rsidR="008E0F74" w:rsidRPr="00FC3B7C" w:rsidRDefault="008E0F74">
      <w:pPr>
        <w:spacing w:line="200" w:lineRule="exact"/>
        <w:rPr>
          <w:sz w:val="20"/>
          <w:szCs w:val="20"/>
        </w:rPr>
      </w:pPr>
    </w:p>
    <w:p w14:paraId="4A6F3191" w14:textId="77777777" w:rsidR="008E0F74" w:rsidRPr="00FC3B7C" w:rsidRDefault="008E0F74">
      <w:pPr>
        <w:spacing w:line="200" w:lineRule="exact"/>
        <w:rPr>
          <w:sz w:val="20"/>
          <w:szCs w:val="20"/>
        </w:rPr>
      </w:pPr>
    </w:p>
    <w:p w14:paraId="4A6F3192" w14:textId="77777777" w:rsidR="008E0F74" w:rsidRPr="00FC3B7C" w:rsidRDefault="008E0F74">
      <w:pPr>
        <w:spacing w:line="200" w:lineRule="exact"/>
        <w:rPr>
          <w:sz w:val="20"/>
          <w:szCs w:val="20"/>
        </w:rPr>
      </w:pPr>
    </w:p>
    <w:p w14:paraId="4A6F3193" w14:textId="77777777" w:rsidR="008E0F74" w:rsidRPr="00FC3B7C" w:rsidRDefault="008E0F74">
      <w:pPr>
        <w:spacing w:line="200" w:lineRule="exact"/>
        <w:rPr>
          <w:sz w:val="20"/>
          <w:szCs w:val="20"/>
        </w:rPr>
      </w:pPr>
    </w:p>
    <w:p w14:paraId="4A6F3194" w14:textId="77777777" w:rsidR="008E0F74" w:rsidRPr="00FC3B7C" w:rsidRDefault="008E0F74">
      <w:pPr>
        <w:spacing w:line="200" w:lineRule="exact"/>
        <w:rPr>
          <w:sz w:val="20"/>
          <w:szCs w:val="20"/>
        </w:rPr>
      </w:pPr>
    </w:p>
    <w:p w14:paraId="4A6F3195" w14:textId="77777777" w:rsidR="008E0F74" w:rsidRPr="00FC3B7C" w:rsidRDefault="008E0F74">
      <w:pPr>
        <w:spacing w:line="200" w:lineRule="exact"/>
        <w:rPr>
          <w:sz w:val="20"/>
          <w:szCs w:val="20"/>
        </w:rPr>
      </w:pPr>
    </w:p>
    <w:p w14:paraId="4A6F3196" w14:textId="77777777" w:rsidR="008E0F74" w:rsidRPr="00FC3B7C" w:rsidRDefault="008E0F74">
      <w:pPr>
        <w:spacing w:line="200" w:lineRule="exact"/>
        <w:rPr>
          <w:sz w:val="20"/>
          <w:szCs w:val="20"/>
        </w:rPr>
      </w:pPr>
    </w:p>
    <w:p w14:paraId="4A6F3197" w14:textId="77777777" w:rsidR="008E0F74" w:rsidRPr="00FC3B7C" w:rsidRDefault="008E0F74">
      <w:pPr>
        <w:spacing w:line="200" w:lineRule="exact"/>
        <w:rPr>
          <w:sz w:val="20"/>
          <w:szCs w:val="20"/>
        </w:rPr>
      </w:pPr>
    </w:p>
    <w:p w14:paraId="4A6F3198" w14:textId="77777777" w:rsidR="008E0F74" w:rsidRPr="00FC3B7C" w:rsidRDefault="008E0F74">
      <w:pPr>
        <w:spacing w:line="200" w:lineRule="exact"/>
        <w:rPr>
          <w:sz w:val="20"/>
          <w:szCs w:val="20"/>
        </w:rPr>
      </w:pPr>
    </w:p>
    <w:p w14:paraId="4A6F3199" w14:textId="77777777" w:rsidR="008E0F74" w:rsidRPr="00FC3B7C" w:rsidRDefault="008E0F74">
      <w:pPr>
        <w:spacing w:line="200" w:lineRule="exact"/>
        <w:rPr>
          <w:sz w:val="20"/>
          <w:szCs w:val="20"/>
        </w:rPr>
      </w:pPr>
    </w:p>
    <w:p w14:paraId="4A6F319A" w14:textId="77777777" w:rsidR="008E0F74" w:rsidRPr="00FC3B7C" w:rsidRDefault="008E0F74">
      <w:pPr>
        <w:spacing w:line="200" w:lineRule="exact"/>
        <w:rPr>
          <w:sz w:val="20"/>
          <w:szCs w:val="20"/>
        </w:rPr>
      </w:pPr>
    </w:p>
    <w:p w14:paraId="4A6F319B" w14:textId="77777777" w:rsidR="008E0F74" w:rsidRPr="00FC3B7C" w:rsidRDefault="008E0F74">
      <w:pPr>
        <w:spacing w:line="200" w:lineRule="exact"/>
        <w:rPr>
          <w:sz w:val="20"/>
          <w:szCs w:val="20"/>
        </w:rPr>
      </w:pPr>
    </w:p>
    <w:p w14:paraId="4A6F319C" w14:textId="77777777" w:rsidR="008E0F74" w:rsidRPr="00FC3B7C" w:rsidRDefault="008E0F74">
      <w:pPr>
        <w:spacing w:line="200" w:lineRule="exact"/>
        <w:rPr>
          <w:sz w:val="20"/>
          <w:szCs w:val="20"/>
        </w:rPr>
      </w:pPr>
    </w:p>
    <w:p w14:paraId="4A6F319D" w14:textId="77777777" w:rsidR="008E0F74" w:rsidRPr="00FC3B7C" w:rsidRDefault="008E0F74">
      <w:pPr>
        <w:spacing w:line="200" w:lineRule="exact"/>
        <w:rPr>
          <w:sz w:val="20"/>
          <w:szCs w:val="20"/>
        </w:rPr>
      </w:pPr>
    </w:p>
    <w:p w14:paraId="4A6F319E" w14:textId="77777777" w:rsidR="008E0F74" w:rsidRPr="00FC3B7C" w:rsidRDefault="008E0F74">
      <w:pPr>
        <w:spacing w:line="200" w:lineRule="exact"/>
        <w:rPr>
          <w:sz w:val="20"/>
          <w:szCs w:val="20"/>
        </w:rPr>
      </w:pPr>
    </w:p>
    <w:p w14:paraId="4A6F319F" w14:textId="77777777" w:rsidR="008E0F74" w:rsidRPr="00FC3B7C" w:rsidRDefault="008E0F74">
      <w:pPr>
        <w:spacing w:line="200" w:lineRule="exact"/>
        <w:rPr>
          <w:sz w:val="20"/>
          <w:szCs w:val="20"/>
        </w:rPr>
      </w:pPr>
    </w:p>
    <w:p w14:paraId="4A6F31A0" w14:textId="77777777" w:rsidR="008E0F74" w:rsidRPr="00FC3B7C" w:rsidRDefault="008E0F74">
      <w:pPr>
        <w:spacing w:line="200" w:lineRule="exact"/>
        <w:rPr>
          <w:sz w:val="20"/>
          <w:szCs w:val="20"/>
        </w:rPr>
      </w:pPr>
    </w:p>
    <w:p w14:paraId="4A6F31A1" w14:textId="77777777" w:rsidR="008E0F74" w:rsidRPr="00FC3B7C" w:rsidRDefault="008E0F74">
      <w:pPr>
        <w:spacing w:line="200" w:lineRule="exact"/>
        <w:rPr>
          <w:sz w:val="20"/>
          <w:szCs w:val="20"/>
        </w:rPr>
      </w:pPr>
    </w:p>
    <w:p w14:paraId="4A6F31A2" w14:textId="77777777" w:rsidR="008E0F74" w:rsidRPr="00FC3B7C" w:rsidRDefault="008E0F74">
      <w:pPr>
        <w:spacing w:line="200" w:lineRule="exact"/>
        <w:rPr>
          <w:sz w:val="20"/>
          <w:szCs w:val="20"/>
        </w:rPr>
      </w:pPr>
    </w:p>
    <w:p w14:paraId="4A6F31A3" w14:textId="3A672CEA" w:rsidR="008E0F74" w:rsidRPr="00FC3B7C" w:rsidRDefault="00256F29">
      <w:pPr>
        <w:spacing w:line="390" w:lineRule="auto"/>
        <w:rPr>
          <w:sz w:val="20"/>
          <w:szCs w:val="20"/>
        </w:rPr>
      </w:pPr>
      <w:r w:rsidRPr="00FC3B7C">
        <w:rPr>
          <w:rFonts w:eastAsia="Times New Roman"/>
          <w:szCs w:val="24"/>
        </w:rPr>
        <w:t xml:space="preserve">Produkt se nachází nad svým potenciálem, ekonomika je přehřátá (přehřívá se). Řešením </w:t>
      </w:r>
      <w:r w:rsidR="00137CE6">
        <w:rPr>
          <w:rFonts w:eastAsia="Times New Roman"/>
          <w:szCs w:val="24"/>
        </w:rPr>
        <w:t>j</w:t>
      </w:r>
      <w:r w:rsidRPr="00FC3B7C">
        <w:rPr>
          <w:rFonts w:eastAsia="Times New Roman"/>
          <w:szCs w:val="24"/>
        </w:rPr>
        <w:t>e snížení vládních výdajů nebo transferových plateb.</w:t>
      </w:r>
    </w:p>
    <w:p w14:paraId="4A6F31A4" w14:textId="77777777" w:rsidR="008E0F74" w:rsidRPr="00FC3B7C" w:rsidRDefault="008E0F74">
      <w:pPr>
        <w:spacing w:line="162" w:lineRule="exact"/>
        <w:rPr>
          <w:sz w:val="20"/>
          <w:szCs w:val="20"/>
        </w:rPr>
      </w:pPr>
    </w:p>
    <w:p w14:paraId="4A6F31A5" w14:textId="77777777" w:rsidR="008E0F74" w:rsidRPr="000529F1" w:rsidRDefault="00256F29" w:rsidP="007920AC">
      <w:pPr>
        <w:pStyle w:val="Nadpis3"/>
        <w:rPr>
          <w:color w:val="1F3864" w:themeColor="accent1" w:themeShade="80"/>
          <w:sz w:val="20"/>
          <w:szCs w:val="20"/>
        </w:rPr>
      </w:pPr>
      <w:r w:rsidRPr="000529F1">
        <w:rPr>
          <w:rFonts w:eastAsia="Times New Roman"/>
          <w:color w:val="1F3864" w:themeColor="accent1" w:themeShade="80"/>
        </w:rPr>
        <w:t>Daně (T)</w:t>
      </w:r>
    </w:p>
    <w:p w14:paraId="4A6F31A6" w14:textId="77777777" w:rsidR="008E0F74" w:rsidRPr="00FC3B7C" w:rsidRDefault="00256F29">
      <w:pPr>
        <w:spacing w:line="20" w:lineRule="exact"/>
        <w:rPr>
          <w:sz w:val="20"/>
          <w:szCs w:val="20"/>
        </w:rPr>
      </w:pPr>
      <w:r w:rsidRPr="00FC3B7C">
        <w:rPr>
          <w:noProof/>
          <w:sz w:val="20"/>
          <w:szCs w:val="20"/>
        </w:rPr>
        <w:drawing>
          <wp:anchor distT="0" distB="0" distL="114300" distR="114300" simplePos="0" relativeHeight="251545088" behindDoc="1" locked="0" layoutInCell="0" allowOverlap="1" wp14:anchorId="4A6F5C5A" wp14:editId="03561AA8">
            <wp:simplePos x="0" y="0"/>
            <wp:positionH relativeFrom="column">
              <wp:posOffset>-1905</wp:posOffset>
            </wp:positionH>
            <wp:positionV relativeFrom="paragraph">
              <wp:posOffset>24130</wp:posOffset>
            </wp:positionV>
            <wp:extent cx="5593080" cy="3575050"/>
            <wp:effectExtent l="0" t="0" r="7620" b="63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srcRect/>
                    <a:stretch>
                      <a:fillRect/>
                    </a:stretch>
                  </pic:blipFill>
                  <pic:spPr bwMode="auto">
                    <a:xfrm>
                      <a:off x="0" y="0"/>
                      <a:ext cx="5593080" cy="3575050"/>
                    </a:xfrm>
                    <a:prstGeom prst="rect">
                      <a:avLst/>
                    </a:prstGeom>
                    <a:noFill/>
                  </pic:spPr>
                </pic:pic>
              </a:graphicData>
            </a:graphic>
          </wp:anchor>
        </w:drawing>
      </w:r>
    </w:p>
    <w:p w14:paraId="4A6F31A7" w14:textId="77777777" w:rsidR="007920AC" w:rsidRDefault="007920AC"/>
    <w:p w14:paraId="4A6F31A8" w14:textId="77777777" w:rsidR="007920AC" w:rsidRPr="007920AC" w:rsidRDefault="007920AC" w:rsidP="007920AC"/>
    <w:p w14:paraId="4A6F31A9" w14:textId="77777777" w:rsidR="007920AC" w:rsidRPr="007920AC" w:rsidRDefault="007920AC" w:rsidP="007920AC"/>
    <w:p w14:paraId="4A6F31AA" w14:textId="77777777" w:rsidR="007920AC" w:rsidRPr="007920AC" w:rsidRDefault="007920AC" w:rsidP="007920AC"/>
    <w:p w14:paraId="4A6F31AB" w14:textId="77777777" w:rsidR="007920AC" w:rsidRPr="007920AC" w:rsidRDefault="007920AC" w:rsidP="007920AC"/>
    <w:p w14:paraId="4A6F31AC" w14:textId="77777777" w:rsidR="007920AC" w:rsidRPr="007920AC" w:rsidRDefault="007920AC" w:rsidP="007920AC"/>
    <w:p w14:paraId="4A6F31AD" w14:textId="77777777" w:rsidR="007920AC" w:rsidRPr="007920AC" w:rsidRDefault="007920AC" w:rsidP="007920AC"/>
    <w:p w14:paraId="4A6F31AE" w14:textId="77777777" w:rsidR="007920AC" w:rsidRPr="007920AC" w:rsidRDefault="007920AC" w:rsidP="007920AC"/>
    <w:p w14:paraId="4A6F31AF" w14:textId="77777777" w:rsidR="007920AC" w:rsidRPr="007920AC" w:rsidRDefault="007920AC" w:rsidP="007920AC"/>
    <w:p w14:paraId="4A6F31B0" w14:textId="77777777" w:rsidR="007920AC" w:rsidRPr="007920AC" w:rsidRDefault="007920AC" w:rsidP="007920AC"/>
    <w:p w14:paraId="4A6F31B1" w14:textId="77777777" w:rsidR="007920AC" w:rsidRPr="007920AC" w:rsidRDefault="007920AC" w:rsidP="007920AC"/>
    <w:p w14:paraId="4A6F31B2" w14:textId="77777777" w:rsidR="007920AC" w:rsidRPr="007920AC" w:rsidRDefault="007920AC" w:rsidP="007920AC"/>
    <w:p w14:paraId="4A6F31B3" w14:textId="77777777" w:rsidR="007920AC" w:rsidRPr="007920AC" w:rsidRDefault="007920AC" w:rsidP="007920AC"/>
    <w:p w14:paraId="4A6F31B5" w14:textId="77777777" w:rsidR="008E0F74" w:rsidRPr="000529F1" w:rsidRDefault="00256F29" w:rsidP="007920AC">
      <w:pPr>
        <w:pStyle w:val="Nadpis4"/>
        <w:rPr>
          <w:color w:val="1F3864" w:themeColor="accent1" w:themeShade="80"/>
          <w:sz w:val="20"/>
          <w:szCs w:val="20"/>
        </w:rPr>
      </w:pPr>
      <w:bookmarkStart w:id="110" w:name="page107"/>
      <w:bookmarkEnd w:id="110"/>
      <w:r w:rsidRPr="000529F1">
        <w:rPr>
          <w:rFonts w:eastAsia="Times New Roman"/>
          <w:color w:val="1F3864" w:themeColor="accent1" w:themeShade="80"/>
        </w:rPr>
        <w:lastRenderedPageBreak/>
        <w:t>Snížení daní</w:t>
      </w:r>
    </w:p>
    <w:p w14:paraId="4A6F31B6" w14:textId="77777777" w:rsidR="008E0F74" w:rsidRPr="00FC3B7C" w:rsidRDefault="008E0F74">
      <w:pPr>
        <w:spacing w:line="167" w:lineRule="exact"/>
        <w:rPr>
          <w:sz w:val="20"/>
          <w:szCs w:val="20"/>
        </w:rPr>
      </w:pPr>
    </w:p>
    <w:p w14:paraId="4A6F31B7" w14:textId="77777777" w:rsidR="008E0F74" w:rsidRPr="00FC3B7C" w:rsidRDefault="00256F29">
      <w:pPr>
        <w:spacing w:line="394" w:lineRule="auto"/>
        <w:rPr>
          <w:sz w:val="20"/>
          <w:szCs w:val="20"/>
        </w:rPr>
      </w:pPr>
      <w:r w:rsidRPr="00FC3B7C">
        <w:rPr>
          <w:rFonts w:eastAsia="Times New Roman"/>
          <w:szCs w:val="24"/>
        </w:rPr>
        <w:t>V případě, že se skutečný produkt nachází pod potenciálním, vláda může snížit daňové sazby, čímž dosáhne pootočení křivky a navrácení produktu na potenciál.</w:t>
      </w:r>
    </w:p>
    <w:p w14:paraId="4A6F31B8" w14:textId="77777777" w:rsidR="008E0F74" w:rsidRPr="00FC3B7C" w:rsidRDefault="008E0F74">
      <w:pPr>
        <w:spacing w:line="158" w:lineRule="exact"/>
        <w:rPr>
          <w:sz w:val="20"/>
          <w:szCs w:val="20"/>
        </w:rPr>
      </w:pPr>
    </w:p>
    <w:p w14:paraId="4A6F31B9" w14:textId="77777777" w:rsidR="008E0F74" w:rsidRPr="000529F1" w:rsidRDefault="00256F29" w:rsidP="007920AC">
      <w:pPr>
        <w:pStyle w:val="Nadpis4"/>
        <w:rPr>
          <w:color w:val="1F3864" w:themeColor="accent1" w:themeShade="80"/>
          <w:sz w:val="20"/>
          <w:szCs w:val="20"/>
        </w:rPr>
      </w:pPr>
      <w:r w:rsidRPr="000529F1">
        <w:rPr>
          <w:rFonts w:eastAsia="Times New Roman"/>
          <w:color w:val="1F3864" w:themeColor="accent1" w:themeShade="80"/>
        </w:rPr>
        <w:t>Zvýšení daní</w:t>
      </w:r>
    </w:p>
    <w:p w14:paraId="4A6F31BA" w14:textId="77777777" w:rsidR="008E0F74" w:rsidRPr="00FC3B7C" w:rsidRDefault="008E0F74">
      <w:pPr>
        <w:spacing w:line="167" w:lineRule="exact"/>
        <w:rPr>
          <w:sz w:val="20"/>
          <w:szCs w:val="20"/>
        </w:rPr>
      </w:pPr>
    </w:p>
    <w:p w14:paraId="4A6F31BB" w14:textId="55BF75C8" w:rsidR="008E0F74" w:rsidRPr="00FC3B7C" w:rsidRDefault="00256F29">
      <w:pPr>
        <w:spacing w:line="374" w:lineRule="auto"/>
        <w:rPr>
          <w:sz w:val="20"/>
          <w:szCs w:val="20"/>
        </w:rPr>
      </w:pPr>
      <w:r w:rsidRPr="00FC3B7C">
        <w:rPr>
          <w:rFonts w:eastAsia="Times New Roman"/>
          <w:szCs w:val="24"/>
        </w:rPr>
        <w:t>Podobně by to vypadalo v opačném případě, kdy by se produkt pohyboval nad potenciálním produktem. V takovém případě by mohlo následovat zvýšení daňových sazeb, tím by se opět křivka pootočila, ale tentokrát opačným směrem a produkt by byl vrácen na potenciální.</w:t>
      </w:r>
    </w:p>
    <w:p w14:paraId="4A6F31BC" w14:textId="2D166016" w:rsidR="008E0F74" w:rsidRPr="00FC3B7C" w:rsidRDefault="00405026">
      <w:pPr>
        <w:spacing w:line="20" w:lineRule="exact"/>
        <w:rPr>
          <w:sz w:val="20"/>
          <w:szCs w:val="20"/>
        </w:rPr>
      </w:pPr>
      <w:r w:rsidRPr="00FC3B7C">
        <w:rPr>
          <w:noProof/>
          <w:sz w:val="20"/>
          <w:szCs w:val="20"/>
        </w:rPr>
        <w:drawing>
          <wp:anchor distT="0" distB="0" distL="114300" distR="114300" simplePos="0" relativeHeight="251499008" behindDoc="1" locked="0" layoutInCell="0" allowOverlap="1" wp14:anchorId="4A6F5C5C" wp14:editId="194956B5">
            <wp:simplePos x="0" y="0"/>
            <wp:positionH relativeFrom="column">
              <wp:posOffset>469900</wp:posOffset>
            </wp:positionH>
            <wp:positionV relativeFrom="paragraph">
              <wp:posOffset>27940</wp:posOffset>
            </wp:positionV>
            <wp:extent cx="4495800" cy="3476625"/>
            <wp:effectExtent l="0" t="0" r="0" b="952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srcRect/>
                    <a:stretch>
                      <a:fillRect/>
                    </a:stretch>
                  </pic:blipFill>
                  <pic:spPr bwMode="auto">
                    <a:xfrm>
                      <a:off x="0" y="0"/>
                      <a:ext cx="4495800" cy="3476625"/>
                    </a:xfrm>
                    <a:prstGeom prst="rect">
                      <a:avLst/>
                    </a:prstGeom>
                    <a:noFill/>
                  </pic:spPr>
                </pic:pic>
              </a:graphicData>
            </a:graphic>
            <wp14:sizeRelH relativeFrom="margin">
              <wp14:pctWidth>0</wp14:pctWidth>
            </wp14:sizeRelH>
            <wp14:sizeRelV relativeFrom="margin">
              <wp14:pctHeight>0</wp14:pctHeight>
            </wp14:sizeRelV>
          </wp:anchor>
        </w:drawing>
      </w:r>
    </w:p>
    <w:p w14:paraId="4A6F31D1" w14:textId="77777777" w:rsidR="008E0F74" w:rsidRPr="000529F1" w:rsidRDefault="00256F29" w:rsidP="00405026">
      <w:pPr>
        <w:pStyle w:val="Nadpis2"/>
        <w:spacing w:before="0"/>
        <w:rPr>
          <w:color w:val="1F3864" w:themeColor="accent1" w:themeShade="80"/>
          <w:sz w:val="20"/>
          <w:szCs w:val="20"/>
        </w:rPr>
      </w:pPr>
      <w:r w:rsidRPr="000529F1">
        <w:rPr>
          <w:rFonts w:eastAsia="Times New Roman"/>
          <w:color w:val="1F3864" w:themeColor="accent1" w:themeShade="80"/>
        </w:rPr>
        <w:t>BARIÉRY ÚČINNOSTI A NEVÝHODY FISKÁLNÍ POLITIKY</w:t>
      </w:r>
    </w:p>
    <w:p w14:paraId="4A6F31D2" w14:textId="77777777" w:rsidR="008E0F74" w:rsidRPr="00FC3B7C" w:rsidRDefault="008E0F74">
      <w:pPr>
        <w:spacing w:line="138" w:lineRule="exact"/>
        <w:rPr>
          <w:sz w:val="20"/>
          <w:szCs w:val="20"/>
        </w:rPr>
      </w:pPr>
    </w:p>
    <w:p w14:paraId="4A6F31D3" w14:textId="77777777" w:rsidR="008E0F74" w:rsidRPr="00FC3B7C" w:rsidRDefault="00256F29" w:rsidP="007920AC">
      <w:pPr>
        <w:rPr>
          <w:sz w:val="20"/>
          <w:szCs w:val="20"/>
        </w:rPr>
      </w:pPr>
      <w:r w:rsidRPr="00FC3B7C">
        <w:rPr>
          <w:rFonts w:eastAsia="Times New Roman"/>
          <w:b/>
          <w:bCs/>
        </w:rPr>
        <w:t xml:space="preserve">Růst veřejného sektoru </w:t>
      </w:r>
      <w:r w:rsidRPr="00FC3B7C">
        <w:rPr>
          <w:rFonts w:eastAsia="Times New Roman"/>
        </w:rPr>
        <w:t>- Spojeno taktéž</w:t>
      </w:r>
      <w:r w:rsidRPr="00FC3B7C">
        <w:rPr>
          <w:rFonts w:eastAsia="Times New Roman"/>
          <w:b/>
          <w:bCs/>
        </w:rPr>
        <w:t xml:space="preserve"> </w:t>
      </w:r>
      <w:r w:rsidRPr="00FC3B7C">
        <w:rPr>
          <w:rFonts w:eastAsia="Times New Roman"/>
        </w:rPr>
        <w:t>s pojmy jako efekt sněhové koule</w:t>
      </w:r>
      <w:r w:rsidRPr="00FC3B7C">
        <w:rPr>
          <w:rFonts w:eastAsia="Times New Roman"/>
          <w:b/>
          <w:bCs/>
        </w:rPr>
        <w:t xml:space="preserve"> </w:t>
      </w:r>
      <w:r w:rsidRPr="00FC3B7C">
        <w:rPr>
          <w:rFonts w:eastAsia="Times New Roman"/>
        </w:rPr>
        <w:t>či efekt západky,</w:t>
      </w:r>
      <w:r w:rsidRPr="00FC3B7C">
        <w:rPr>
          <w:rFonts w:eastAsia="Times New Roman"/>
          <w:b/>
          <w:bCs/>
        </w:rPr>
        <w:t xml:space="preserve"> </w:t>
      </w:r>
      <w:r w:rsidRPr="00FC3B7C">
        <w:rPr>
          <w:rFonts w:eastAsia="Times New Roman"/>
        </w:rPr>
        <w:t xml:space="preserve">kdy dochází k růstu jak státních výdajů, tak rozšiřování veřejné správy v rámci ekonomiky. </w:t>
      </w:r>
      <w:r w:rsidRPr="00FC3B7C">
        <w:rPr>
          <w:rFonts w:eastAsia="Times New Roman"/>
          <w:b/>
          <w:bCs/>
        </w:rPr>
        <w:t xml:space="preserve">Inflace </w:t>
      </w:r>
      <w:r w:rsidRPr="00FC3B7C">
        <w:rPr>
          <w:rFonts w:eastAsia="Times New Roman"/>
        </w:rPr>
        <w:t>- Při expanzivní fiskální politice, která neodpovídá růstu potenciálního produktu,</w:t>
      </w:r>
      <w:r w:rsidRPr="00FC3B7C">
        <w:rPr>
          <w:rFonts w:eastAsia="Times New Roman"/>
          <w:b/>
          <w:bCs/>
        </w:rPr>
        <w:t xml:space="preserve"> </w:t>
      </w:r>
      <w:r w:rsidRPr="00FC3B7C">
        <w:rPr>
          <w:rFonts w:eastAsia="Times New Roman"/>
        </w:rPr>
        <w:t>dochází k růstu inflace.</w:t>
      </w:r>
    </w:p>
    <w:p w14:paraId="4A6F31D4" w14:textId="77777777" w:rsidR="008E0F74" w:rsidRPr="00FC3B7C" w:rsidRDefault="00256F29" w:rsidP="007920AC">
      <w:pPr>
        <w:rPr>
          <w:sz w:val="20"/>
          <w:szCs w:val="20"/>
        </w:rPr>
      </w:pPr>
      <w:r w:rsidRPr="00FC3B7C">
        <w:rPr>
          <w:rFonts w:eastAsia="Times New Roman"/>
          <w:b/>
          <w:bCs/>
        </w:rPr>
        <w:t xml:space="preserve">Časové zpoždění </w:t>
      </w:r>
      <w:r w:rsidRPr="00FC3B7C">
        <w:rPr>
          <w:rFonts w:eastAsia="Times New Roman"/>
        </w:rPr>
        <w:t>- Rozlišujeme několik druhů</w:t>
      </w:r>
      <w:r w:rsidRPr="00FC3B7C">
        <w:rPr>
          <w:rFonts w:eastAsia="Times New Roman"/>
          <w:b/>
          <w:bCs/>
        </w:rPr>
        <w:t xml:space="preserve"> </w:t>
      </w:r>
      <w:r w:rsidRPr="00FC3B7C">
        <w:rPr>
          <w:rFonts w:eastAsia="Times New Roman"/>
        </w:rPr>
        <w:t xml:space="preserve">zpoždění. Zpoždění </w:t>
      </w:r>
      <w:r w:rsidRPr="00137CE6">
        <w:rPr>
          <w:rFonts w:eastAsia="Times New Roman"/>
          <w:i/>
          <w:iCs/>
        </w:rPr>
        <w:t>rozpoznávací</w:t>
      </w:r>
      <w:r w:rsidRPr="00FC3B7C">
        <w:rPr>
          <w:rFonts w:eastAsia="Times New Roman"/>
        </w:rPr>
        <w:t xml:space="preserve"> (prodleva</w:t>
      </w:r>
      <w:r w:rsidRPr="00FC3B7C">
        <w:rPr>
          <w:rFonts w:eastAsia="Times New Roman"/>
          <w:b/>
          <w:bCs/>
        </w:rPr>
        <w:t xml:space="preserve"> </w:t>
      </w:r>
      <w:r w:rsidRPr="00FC3B7C">
        <w:rPr>
          <w:rFonts w:eastAsia="Times New Roman"/>
        </w:rPr>
        <w:t xml:space="preserve">způsobená rozpoznáváním problému), </w:t>
      </w:r>
      <w:r w:rsidRPr="00137CE6">
        <w:rPr>
          <w:rFonts w:eastAsia="Times New Roman"/>
          <w:i/>
          <w:iCs/>
        </w:rPr>
        <w:t>rozhodovací</w:t>
      </w:r>
      <w:r w:rsidRPr="00FC3B7C">
        <w:rPr>
          <w:rFonts w:eastAsia="Times New Roman"/>
        </w:rPr>
        <w:t xml:space="preserve"> (doba rozhodování o přijetí politiky) </w:t>
      </w:r>
      <w:r w:rsidR="007920AC">
        <w:rPr>
          <w:rFonts w:eastAsia="Times New Roman"/>
        </w:rPr>
        <w:br/>
      </w:r>
      <w:r w:rsidRPr="00FC3B7C">
        <w:rPr>
          <w:rFonts w:eastAsia="Times New Roman"/>
        </w:rPr>
        <w:t>a</w:t>
      </w:r>
      <w:bookmarkStart w:id="111" w:name="page108"/>
      <w:bookmarkEnd w:id="111"/>
      <w:r w:rsidR="007920AC">
        <w:rPr>
          <w:rFonts w:eastAsia="Times New Roman"/>
        </w:rPr>
        <w:t xml:space="preserve"> </w:t>
      </w:r>
      <w:r w:rsidRPr="00137CE6">
        <w:rPr>
          <w:rFonts w:eastAsia="Times New Roman"/>
          <w:i/>
          <w:iCs/>
          <w:szCs w:val="24"/>
        </w:rPr>
        <w:t>aplikační</w:t>
      </w:r>
      <w:r w:rsidRPr="00FC3B7C">
        <w:rPr>
          <w:rFonts w:eastAsia="Times New Roman"/>
          <w:szCs w:val="24"/>
        </w:rPr>
        <w:t xml:space="preserve"> (než daná politika začne působit). Díky těmto zpožděním může dané opatření přijít ve chvíli, kdy už se ekonomika nachází v jiné situaci a mohlo by ji to naopak destabilizovat (tj. má výsledné účinky opačné než byl původní záměr).</w:t>
      </w:r>
    </w:p>
    <w:p w14:paraId="4A6F31D5" w14:textId="77777777" w:rsidR="008E0F74" w:rsidRPr="00FC3B7C" w:rsidRDefault="008E0F74">
      <w:pPr>
        <w:spacing w:line="2" w:lineRule="exact"/>
        <w:rPr>
          <w:sz w:val="20"/>
          <w:szCs w:val="20"/>
        </w:rPr>
      </w:pPr>
    </w:p>
    <w:p w14:paraId="4A6F31D6" w14:textId="115F29E0" w:rsidR="008E0F74" w:rsidRPr="00FC3B7C" w:rsidRDefault="00256F29">
      <w:pPr>
        <w:spacing w:line="372" w:lineRule="auto"/>
        <w:rPr>
          <w:sz w:val="20"/>
          <w:szCs w:val="20"/>
        </w:rPr>
      </w:pPr>
      <w:r w:rsidRPr="00FC3B7C">
        <w:rPr>
          <w:rFonts w:eastAsia="Times New Roman"/>
          <w:b/>
          <w:bCs/>
          <w:szCs w:val="24"/>
        </w:rPr>
        <w:lastRenderedPageBreak/>
        <w:t xml:space="preserve">Efekt vytěsňování </w:t>
      </w:r>
      <w:r w:rsidRPr="00FC3B7C">
        <w:rPr>
          <w:rFonts w:eastAsia="Times New Roman"/>
          <w:szCs w:val="24"/>
        </w:rPr>
        <w:t>- Přírůstek vládních výdajů</w:t>
      </w:r>
      <w:r w:rsidRPr="00FC3B7C">
        <w:rPr>
          <w:rFonts w:eastAsia="Times New Roman"/>
          <w:b/>
          <w:bCs/>
          <w:szCs w:val="24"/>
        </w:rPr>
        <w:t xml:space="preserve"> </w:t>
      </w:r>
      <w:r w:rsidRPr="00FC3B7C">
        <w:rPr>
          <w:rFonts w:eastAsia="Times New Roman"/>
          <w:szCs w:val="24"/>
        </w:rPr>
        <w:t>v rámci fiskální expanze vyvolává</w:t>
      </w:r>
      <w:r w:rsidRPr="00FC3B7C">
        <w:rPr>
          <w:rFonts w:eastAsia="Times New Roman"/>
          <w:b/>
          <w:bCs/>
          <w:szCs w:val="24"/>
        </w:rPr>
        <w:t xml:space="preserve"> </w:t>
      </w:r>
      <w:r w:rsidRPr="00FC3B7C">
        <w:rPr>
          <w:rFonts w:eastAsia="Times New Roman"/>
          <w:szCs w:val="24"/>
        </w:rPr>
        <w:t xml:space="preserve">několikanásobně větší přírůstek domácího produktu. Může se to projevit růstem poptávky </w:t>
      </w:r>
      <w:r w:rsidR="007920AC">
        <w:rPr>
          <w:rFonts w:eastAsia="Times New Roman"/>
          <w:szCs w:val="24"/>
        </w:rPr>
        <w:br/>
      </w:r>
      <w:r w:rsidRPr="00FC3B7C">
        <w:rPr>
          <w:rFonts w:eastAsia="Times New Roman"/>
          <w:szCs w:val="24"/>
        </w:rPr>
        <w:t>po penězích. Což povede k růstu úrokové míry, jež přibrzdí investice (I), ale i některé složky spotřeby domácností (C), takto vládní výdaje vytěsňují jiné komponenty agregátní poptávky.</w:t>
      </w:r>
    </w:p>
    <w:p w14:paraId="4A6F31D7" w14:textId="31E6EF79" w:rsidR="008E0F74" w:rsidRPr="00FC3B7C" w:rsidRDefault="00405026">
      <w:pPr>
        <w:spacing w:line="20" w:lineRule="exact"/>
        <w:rPr>
          <w:sz w:val="20"/>
          <w:szCs w:val="20"/>
        </w:rPr>
      </w:pPr>
      <w:r w:rsidRPr="00FC3B7C">
        <w:rPr>
          <w:noProof/>
          <w:sz w:val="20"/>
          <w:szCs w:val="20"/>
        </w:rPr>
        <w:drawing>
          <wp:anchor distT="0" distB="0" distL="114300" distR="114300" simplePos="0" relativeHeight="251503104" behindDoc="1" locked="0" layoutInCell="0" allowOverlap="1" wp14:anchorId="4A6F5C5E" wp14:editId="2D900FA8">
            <wp:simplePos x="0" y="0"/>
            <wp:positionH relativeFrom="column">
              <wp:posOffset>33655</wp:posOffset>
            </wp:positionH>
            <wp:positionV relativeFrom="paragraph">
              <wp:posOffset>125730</wp:posOffset>
            </wp:positionV>
            <wp:extent cx="5797550" cy="2968625"/>
            <wp:effectExtent l="0" t="0" r="0" b="3175"/>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a:srcRect/>
                    <a:stretch>
                      <a:fillRect/>
                    </a:stretch>
                  </pic:blipFill>
                  <pic:spPr bwMode="auto">
                    <a:xfrm>
                      <a:off x="0" y="0"/>
                      <a:ext cx="5797550" cy="2968625"/>
                    </a:xfrm>
                    <a:prstGeom prst="rect">
                      <a:avLst/>
                    </a:prstGeom>
                    <a:noFill/>
                  </pic:spPr>
                </pic:pic>
              </a:graphicData>
            </a:graphic>
          </wp:anchor>
        </w:drawing>
      </w:r>
    </w:p>
    <w:p w14:paraId="4A6F31F3" w14:textId="77777777" w:rsidR="008E0F74" w:rsidRPr="000529F1" w:rsidRDefault="00256F29" w:rsidP="007920AC">
      <w:pPr>
        <w:pStyle w:val="Nadpis2"/>
        <w:rPr>
          <w:color w:val="1F3864" w:themeColor="accent1" w:themeShade="80"/>
          <w:sz w:val="20"/>
          <w:szCs w:val="20"/>
        </w:rPr>
      </w:pPr>
      <w:r w:rsidRPr="000529F1">
        <w:rPr>
          <w:rFonts w:eastAsia="Times New Roman"/>
          <w:color w:val="1F3864" w:themeColor="accent1" w:themeShade="80"/>
        </w:rPr>
        <w:t>TEORETICKÉ PŘÍSTUPY K FORMOVÁNÍ FISKÁLNÍ</w:t>
      </w:r>
      <w:r w:rsidR="007920AC" w:rsidRPr="000529F1">
        <w:rPr>
          <w:color w:val="1F3864" w:themeColor="accent1" w:themeShade="80"/>
          <w:sz w:val="20"/>
          <w:szCs w:val="20"/>
        </w:rPr>
        <w:t xml:space="preserve"> </w:t>
      </w:r>
      <w:r w:rsidRPr="000529F1">
        <w:rPr>
          <w:rFonts w:eastAsia="Times New Roman"/>
          <w:color w:val="1F3864" w:themeColor="accent1" w:themeShade="80"/>
        </w:rPr>
        <w:t>POLITIKY</w:t>
      </w:r>
    </w:p>
    <w:p w14:paraId="4A6F31F4" w14:textId="77777777" w:rsidR="008E0F74" w:rsidRPr="000529F1" w:rsidRDefault="00256F29" w:rsidP="007920AC">
      <w:pPr>
        <w:pStyle w:val="Nadpis3"/>
        <w:rPr>
          <w:color w:val="1F3864" w:themeColor="accent1" w:themeShade="80"/>
          <w:sz w:val="20"/>
          <w:szCs w:val="20"/>
        </w:rPr>
      </w:pPr>
      <w:r w:rsidRPr="000529F1">
        <w:rPr>
          <w:rFonts w:eastAsia="Times New Roman"/>
          <w:color w:val="1F3864" w:themeColor="accent1" w:themeShade="80"/>
        </w:rPr>
        <w:t>Keynesiánská škola</w:t>
      </w:r>
    </w:p>
    <w:p w14:paraId="4A6F31F5" w14:textId="77777777" w:rsidR="008E0F74" w:rsidRPr="00FC3B7C" w:rsidRDefault="00256F29">
      <w:pPr>
        <w:spacing w:line="362" w:lineRule="auto"/>
        <w:rPr>
          <w:sz w:val="20"/>
          <w:szCs w:val="20"/>
        </w:rPr>
      </w:pPr>
      <w:r w:rsidRPr="00FC3B7C">
        <w:rPr>
          <w:rFonts w:eastAsia="Times New Roman"/>
          <w:szCs w:val="24"/>
        </w:rPr>
        <w:t>Považuje státní zásahy za klíčové při snahách ovlivnit a stabilizovat ekonomiku. Expanzivní fiskální politika dle nich zvyšuje agregátní poptávku, tedy také HDP, a přispívá k vyšší zaměstnanosti. Hlavní příčinou recese je nedostatečná agregátní poptávka, která zapříčiňuje nedobrovolnou nezaměstnanost. K dosažení plné zaměstnanosti viděl Keynes tři cesty:</w:t>
      </w:r>
    </w:p>
    <w:p w14:paraId="4A6F31F6" w14:textId="77777777" w:rsidR="008E0F74" w:rsidRPr="00FC3B7C" w:rsidRDefault="008E0F74">
      <w:pPr>
        <w:spacing w:line="5" w:lineRule="exact"/>
        <w:rPr>
          <w:sz w:val="20"/>
          <w:szCs w:val="20"/>
        </w:rPr>
      </w:pPr>
    </w:p>
    <w:p w14:paraId="4A6F31F7" w14:textId="77777777" w:rsidR="008E0F74" w:rsidRPr="00FC3B7C" w:rsidRDefault="00256F29" w:rsidP="00D46B53">
      <w:pPr>
        <w:numPr>
          <w:ilvl w:val="0"/>
          <w:numId w:val="614"/>
        </w:numPr>
        <w:tabs>
          <w:tab w:val="left" w:pos="1180"/>
        </w:tabs>
        <w:ind w:left="1180" w:hanging="351"/>
        <w:rPr>
          <w:rFonts w:eastAsia="Arial"/>
          <w:szCs w:val="24"/>
        </w:rPr>
      </w:pPr>
      <w:r w:rsidRPr="00FC3B7C">
        <w:rPr>
          <w:rFonts w:eastAsia="Times New Roman"/>
          <w:szCs w:val="24"/>
        </w:rPr>
        <w:t>rozdělování důchodů – progresivní zdanění povede ke zvýšení sklonu ke spotřebě</w:t>
      </w:r>
    </w:p>
    <w:p w14:paraId="4A6F31F9" w14:textId="2332E5BA" w:rsidR="008E0F74" w:rsidRPr="00FC3B7C" w:rsidRDefault="00256F29" w:rsidP="00D46B53">
      <w:pPr>
        <w:numPr>
          <w:ilvl w:val="0"/>
          <w:numId w:val="614"/>
        </w:numPr>
        <w:tabs>
          <w:tab w:val="left" w:pos="1180"/>
        </w:tabs>
        <w:spacing w:line="366" w:lineRule="auto"/>
        <w:ind w:left="1180" w:hanging="351"/>
        <w:rPr>
          <w:rFonts w:eastAsia="Arial"/>
          <w:szCs w:val="24"/>
        </w:rPr>
      </w:pPr>
      <w:r w:rsidRPr="00FC3B7C">
        <w:rPr>
          <w:rFonts w:eastAsia="Times New Roman"/>
          <w:szCs w:val="24"/>
        </w:rPr>
        <w:t>ovlivňování sklonu k investicím prostřednictvím měnové politiky – dlouhodobé udržování nízkých úrokových měr</w:t>
      </w:r>
    </w:p>
    <w:p w14:paraId="4A6F31FA" w14:textId="77777777" w:rsidR="008E0F74" w:rsidRPr="00FC3B7C" w:rsidRDefault="008E0F74">
      <w:pPr>
        <w:spacing w:line="1" w:lineRule="exact"/>
        <w:rPr>
          <w:rFonts w:eastAsia="Arial"/>
          <w:szCs w:val="24"/>
        </w:rPr>
      </w:pPr>
    </w:p>
    <w:p w14:paraId="4A6F31FB" w14:textId="72A3C671" w:rsidR="008E0F74" w:rsidRPr="00FC3B7C" w:rsidRDefault="00256F29" w:rsidP="00D46B53">
      <w:pPr>
        <w:numPr>
          <w:ilvl w:val="0"/>
          <w:numId w:val="614"/>
        </w:numPr>
        <w:tabs>
          <w:tab w:val="left" w:pos="1180"/>
        </w:tabs>
        <w:ind w:left="1180" w:hanging="351"/>
        <w:rPr>
          <w:rFonts w:eastAsia="Arial"/>
          <w:szCs w:val="24"/>
        </w:rPr>
      </w:pPr>
      <w:r w:rsidRPr="00FC3B7C">
        <w:rPr>
          <w:rFonts w:eastAsia="Times New Roman"/>
          <w:szCs w:val="24"/>
        </w:rPr>
        <w:t>vládní výdaje – vyplní nedostatek soukromé poptávky</w:t>
      </w:r>
    </w:p>
    <w:p w14:paraId="4A6F31FC" w14:textId="5206474D" w:rsidR="008E0F74" w:rsidRPr="00FC3B7C" w:rsidRDefault="00256F29" w:rsidP="00E94C61">
      <w:pPr>
        <w:numPr>
          <w:ilvl w:val="0"/>
          <w:numId w:val="95"/>
        </w:numPr>
        <w:tabs>
          <w:tab w:val="left" w:pos="277"/>
        </w:tabs>
        <w:spacing w:line="363" w:lineRule="auto"/>
        <w:ind w:left="4" w:hanging="4"/>
        <w:rPr>
          <w:rFonts w:eastAsia="Times New Roman"/>
          <w:szCs w:val="24"/>
        </w:rPr>
      </w:pPr>
      <w:bookmarkStart w:id="112" w:name="page109"/>
      <w:bookmarkEnd w:id="112"/>
      <w:r w:rsidRPr="00FC3B7C">
        <w:rPr>
          <w:rFonts w:eastAsia="Times New Roman"/>
          <w:szCs w:val="24"/>
        </w:rPr>
        <w:t xml:space="preserve">recesi má být používána expanzivní fiskální politika, tedy zvyšování vládních výdajů </w:t>
      </w:r>
      <w:r w:rsidR="007920AC">
        <w:rPr>
          <w:rFonts w:eastAsia="Times New Roman"/>
          <w:szCs w:val="24"/>
        </w:rPr>
        <w:br/>
      </w:r>
      <w:r w:rsidRPr="00FC3B7C">
        <w:rPr>
          <w:rFonts w:eastAsia="Times New Roman"/>
          <w:szCs w:val="24"/>
        </w:rPr>
        <w:t>a snižování daní. Krátkodobě to může mít vliv na růst deficitů státního rozpočtu. Během expanze ekonomiky budou díky přebytkům státního rozpočtu deficity z recese splaceny (může se užít restriktivní politika). Nabídka peněz nemá žádný vliv na HDP. Důvodem je horizontálně položená křivka LM. Když centrální autorita</w:t>
      </w:r>
      <w:r w:rsidR="00137CE6">
        <w:rPr>
          <w:rFonts w:eastAsia="Times New Roman"/>
          <w:szCs w:val="24"/>
        </w:rPr>
        <w:t xml:space="preserve"> (</w:t>
      </w:r>
      <w:r w:rsidRPr="00FC3B7C">
        <w:rPr>
          <w:rFonts w:eastAsia="Times New Roman"/>
          <w:szCs w:val="24"/>
        </w:rPr>
        <w:t>popř. centrální banka</w:t>
      </w:r>
      <w:r w:rsidR="00137CE6">
        <w:rPr>
          <w:rFonts w:eastAsia="Times New Roman"/>
          <w:szCs w:val="24"/>
        </w:rPr>
        <w:t>)</w:t>
      </w:r>
      <w:r w:rsidRPr="00FC3B7C">
        <w:rPr>
          <w:rFonts w:eastAsia="Times New Roman"/>
          <w:szCs w:val="24"/>
        </w:rPr>
        <w:t xml:space="preserve"> zvýší množství peněz v oběhu, dostaví se postupné snižování úrokové míry, vytrácí se transakční motiv pro držení peněz a následně dochází k tzv. </w:t>
      </w:r>
      <w:r w:rsidRPr="00137CE6">
        <w:rPr>
          <w:rFonts w:eastAsia="Times New Roman"/>
          <w:b/>
          <w:bCs/>
          <w:szCs w:val="24"/>
        </w:rPr>
        <w:t>pasti likvidity</w:t>
      </w:r>
      <w:r w:rsidRPr="00FC3B7C">
        <w:rPr>
          <w:rFonts w:eastAsia="Times New Roman"/>
          <w:szCs w:val="24"/>
        </w:rPr>
        <w:t xml:space="preserve">. Past likvidity je taková </w:t>
      </w:r>
      <w:r w:rsidRPr="00FC3B7C">
        <w:rPr>
          <w:rFonts w:eastAsia="Times New Roman"/>
          <w:szCs w:val="24"/>
        </w:rPr>
        <w:lastRenderedPageBreak/>
        <w:t>situace, kdy všechny dodatečné peníze jsou pohlceny spekulativní poptávkou po penězích. Citlivost poptávky po reálných zůstatcích na úrokovou míru se blíží nekonečnu.</w:t>
      </w:r>
    </w:p>
    <w:p w14:paraId="4A6F31FD" w14:textId="21A981B2" w:rsidR="008E0F74" w:rsidRPr="00FC3B7C" w:rsidRDefault="008E0F74">
      <w:pPr>
        <w:spacing w:line="20" w:lineRule="exact"/>
        <w:rPr>
          <w:sz w:val="20"/>
          <w:szCs w:val="20"/>
        </w:rPr>
      </w:pPr>
    </w:p>
    <w:p w14:paraId="4A6F3213" w14:textId="5191A848" w:rsidR="007920AC" w:rsidRDefault="00405026" w:rsidP="00405026">
      <w:pPr>
        <w:spacing w:line="390" w:lineRule="auto"/>
        <w:ind w:left="4"/>
        <w:rPr>
          <w:rFonts w:eastAsia="Times New Roman"/>
          <w:b/>
          <w:bCs/>
          <w:sz w:val="28"/>
          <w:szCs w:val="28"/>
        </w:rPr>
      </w:pPr>
      <w:r w:rsidRPr="00FC3B7C">
        <w:rPr>
          <w:noProof/>
          <w:sz w:val="20"/>
          <w:szCs w:val="20"/>
        </w:rPr>
        <w:drawing>
          <wp:anchor distT="0" distB="0" distL="114300" distR="114300" simplePos="0" relativeHeight="251517440" behindDoc="1" locked="0" layoutInCell="0" allowOverlap="1" wp14:anchorId="4A6F5C60" wp14:editId="0AB578D3">
            <wp:simplePos x="0" y="0"/>
            <wp:positionH relativeFrom="column">
              <wp:posOffset>363220</wp:posOffset>
            </wp:positionH>
            <wp:positionV relativeFrom="paragraph">
              <wp:posOffset>647670</wp:posOffset>
            </wp:positionV>
            <wp:extent cx="3444240" cy="2365375"/>
            <wp:effectExtent l="0" t="0" r="381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a:srcRect/>
                    <a:stretch>
                      <a:fillRect/>
                    </a:stretch>
                  </pic:blipFill>
                  <pic:spPr bwMode="auto">
                    <a:xfrm>
                      <a:off x="0" y="0"/>
                      <a:ext cx="3444240" cy="2365375"/>
                    </a:xfrm>
                    <a:prstGeom prst="rect">
                      <a:avLst/>
                    </a:prstGeom>
                    <a:noFill/>
                  </pic:spPr>
                </pic:pic>
              </a:graphicData>
            </a:graphic>
          </wp:anchor>
        </w:drawing>
      </w:r>
      <w:r w:rsidR="00256F29" w:rsidRPr="00FC3B7C">
        <w:rPr>
          <w:rFonts w:eastAsia="Times New Roman"/>
          <w:szCs w:val="24"/>
        </w:rPr>
        <w:t>Naproti tomu měnová politika je neúčinná, protože křivka LM je horizontálně položena a nedochází k jejímu posunu při změně peněžní zásoby.</w:t>
      </w:r>
    </w:p>
    <w:p w14:paraId="4A6F3214" w14:textId="349A6F45" w:rsidR="008E0F74" w:rsidRPr="000529F1" w:rsidRDefault="00256F29" w:rsidP="007920AC">
      <w:pPr>
        <w:pStyle w:val="Nadpis3"/>
        <w:rPr>
          <w:color w:val="1F3864" w:themeColor="accent1" w:themeShade="80"/>
          <w:sz w:val="20"/>
          <w:szCs w:val="20"/>
        </w:rPr>
      </w:pPr>
      <w:r w:rsidRPr="000529F1">
        <w:rPr>
          <w:rFonts w:eastAsia="Times New Roman"/>
          <w:color w:val="1F3864" w:themeColor="accent1" w:themeShade="80"/>
        </w:rPr>
        <w:t>Monetaristé</w:t>
      </w:r>
    </w:p>
    <w:p w14:paraId="4A6F3215" w14:textId="0347D003" w:rsidR="008E0F74" w:rsidRPr="00FC3B7C" w:rsidRDefault="00256F29" w:rsidP="007920AC">
      <w:pPr>
        <w:rPr>
          <w:sz w:val="20"/>
          <w:szCs w:val="20"/>
        </w:rPr>
      </w:pPr>
      <w:r w:rsidRPr="00FC3B7C">
        <w:rPr>
          <w:rFonts w:eastAsia="Times New Roman"/>
        </w:rPr>
        <w:t>Skupina ekonomů, kteří považují monetární politiku jako účinný nástroj při ovlivňování HDP.</w:t>
      </w:r>
    </w:p>
    <w:p w14:paraId="4A6F3216" w14:textId="34C3C4DE" w:rsidR="008E0F74" w:rsidRPr="00FC3B7C" w:rsidRDefault="00256F29" w:rsidP="007920AC">
      <w:pPr>
        <w:rPr>
          <w:sz w:val="20"/>
          <w:szCs w:val="20"/>
        </w:rPr>
      </w:pPr>
      <w:r w:rsidRPr="00FC3B7C">
        <w:rPr>
          <w:rFonts w:eastAsia="Times New Roman"/>
          <w:szCs w:val="24"/>
        </w:rPr>
        <w:t>Pokud</w:t>
      </w:r>
      <w:r w:rsidR="003376E1">
        <w:rPr>
          <w:rFonts w:eastAsia="Times New Roman"/>
          <w:szCs w:val="24"/>
        </w:rPr>
        <w:t xml:space="preserve"> </w:t>
      </w:r>
      <w:r w:rsidRPr="00FC3B7C">
        <w:rPr>
          <w:rFonts w:eastAsia="Times New Roman"/>
          <w:szCs w:val="24"/>
        </w:rPr>
        <w:t>nedojde</w:t>
      </w:r>
      <w:r w:rsidR="003376E1">
        <w:rPr>
          <w:rFonts w:eastAsia="Times New Roman"/>
          <w:szCs w:val="24"/>
        </w:rPr>
        <w:t xml:space="preserve"> </w:t>
      </w:r>
      <w:r w:rsidRPr="00FC3B7C">
        <w:rPr>
          <w:rFonts w:eastAsia="Times New Roman"/>
          <w:szCs w:val="24"/>
        </w:rPr>
        <w:t>k</w:t>
      </w:r>
      <w:r w:rsidR="003376E1">
        <w:rPr>
          <w:rFonts w:eastAsia="Times New Roman"/>
          <w:szCs w:val="24"/>
        </w:rPr>
        <w:t xml:space="preserve"> </w:t>
      </w:r>
      <w:r w:rsidRPr="00FC3B7C">
        <w:rPr>
          <w:rFonts w:eastAsia="Times New Roman"/>
          <w:szCs w:val="24"/>
        </w:rPr>
        <w:t>navyšování</w:t>
      </w:r>
      <w:r w:rsidR="003376E1">
        <w:rPr>
          <w:rFonts w:eastAsia="Times New Roman"/>
          <w:szCs w:val="24"/>
        </w:rPr>
        <w:t xml:space="preserve"> </w:t>
      </w:r>
      <w:r w:rsidRPr="00FC3B7C">
        <w:rPr>
          <w:rFonts w:eastAsia="Times New Roman"/>
          <w:szCs w:val="24"/>
        </w:rPr>
        <w:t>měnové</w:t>
      </w:r>
      <w:r w:rsidR="003376E1">
        <w:rPr>
          <w:rFonts w:eastAsia="Times New Roman"/>
          <w:szCs w:val="24"/>
        </w:rPr>
        <w:t xml:space="preserve"> </w:t>
      </w:r>
      <w:r w:rsidRPr="00FC3B7C">
        <w:rPr>
          <w:rFonts w:eastAsia="Times New Roman"/>
          <w:szCs w:val="24"/>
        </w:rPr>
        <w:t>báze,</w:t>
      </w:r>
      <w:r w:rsidR="003376E1">
        <w:rPr>
          <w:rFonts w:eastAsia="Times New Roman"/>
          <w:szCs w:val="24"/>
        </w:rPr>
        <w:t xml:space="preserve"> </w:t>
      </w:r>
      <w:r w:rsidRPr="00FC3B7C">
        <w:rPr>
          <w:rFonts w:eastAsia="Times New Roman"/>
          <w:szCs w:val="24"/>
        </w:rPr>
        <w:t>nebude</w:t>
      </w:r>
      <w:r w:rsidR="003376E1">
        <w:rPr>
          <w:rFonts w:eastAsia="Times New Roman"/>
          <w:szCs w:val="24"/>
        </w:rPr>
        <w:t xml:space="preserve"> </w:t>
      </w:r>
      <w:r w:rsidRPr="00FC3B7C">
        <w:rPr>
          <w:rFonts w:eastAsia="Times New Roman"/>
          <w:szCs w:val="24"/>
        </w:rPr>
        <w:t>mít</w:t>
      </w:r>
      <w:r w:rsidR="003376E1">
        <w:rPr>
          <w:rFonts w:eastAsia="Times New Roman"/>
          <w:szCs w:val="24"/>
        </w:rPr>
        <w:t xml:space="preserve"> </w:t>
      </w:r>
      <w:r w:rsidRPr="00FC3B7C">
        <w:rPr>
          <w:rFonts w:eastAsia="Times New Roman"/>
          <w:szCs w:val="24"/>
        </w:rPr>
        <w:t>fiskální</w:t>
      </w:r>
      <w:r w:rsidR="003376E1">
        <w:rPr>
          <w:rFonts w:eastAsia="Times New Roman"/>
          <w:szCs w:val="24"/>
        </w:rPr>
        <w:t xml:space="preserve"> </w:t>
      </w:r>
      <w:r w:rsidRPr="00FC3B7C">
        <w:rPr>
          <w:rFonts w:eastAsia="Times New Roman"/>
          <w:szCs w:val="24"/>
        </w:rPr>
        <w:t>politika</w:t>
      </w:r>
      <w:r w:rsidR="003376E1">
        <w:rPr>
          <w:rFonts w:eastAsia="Times New Roman"/>
          <w:szCs w:val="24"/>
        </w:rPr>
        <w:t xml:space="preserve"> </w:t>
      </w:r>
      <w:r w:rsidRPr="00FC3B7C">
        <w:rPr>
          <w:rFonts w:eastAsia="Times New Roman"/>
          <w:szCs w:val="24"/>
        </w:rPr>
        <w:t>žádný</w:t>
      </w:r>
      <w:r w:rsidR="003376E1">
        <w:rPr>
          <w:rFonts w:eastAsia="Times New Roman"/>
          <w:szCs w:val="24"/>
        </w:rPr>
        <w:t xml:space="preserve"> </w:t>
      </w:r>
      <w:r w:rsidRPr="00FC3B7C">
        <w:rPr>
          <w:rFonts w:eastAsia="Times New Roman"/>
          <w:szCs w:val="24"/>
        </w:rPr>
        <w:t>účinek.</w:t>
      </w:r>
    </w:p>
    <w:p w14:paraId="4A6F3217" w14:textId="5BF1AA58" w:rsidR="008E0F74" w:rsidRPr="00FC3B7C" w:rsidRDefault="00405026" w:rsidP="007920AC">
      <w:pPr>
        <w:rPr>
          <w:sz w:val="20"/>
          <w:szCs w:val="20"/>
        </w:rPr>
      </w:pPr>
      <w:r w:rsidRPr="00FC3B7C">
        <w:rPr>
          <w:noProof/>
          <w:sz w:val="20"/>
          <w:szCs w:val="20"/>
        </w:rPr>
        <w:drawing>
          <wp:anchor distT="0" distB="0" distL="114300" distR="114300" simplePos="0" relativeHeight="251520512" behindDoc="1" locked="0" layoutInCell="0" allowOverlap="1" wp14:anchorId="4A6F5C62" wp14:editId="6EE8F37E">
            <wp:simplePos x="0" y="0"/>
            <wp:positionH relativeFrom="page">
              <wp:posOffset>903310</wp:posOffset>
            </wp:positionH>
            <wp:positionV relativeFrom="page">
              <wp:posOffset>5661733</wp:posOffset>
            </wp:positionV>
            <wp:extent cx="4617720" cy="2472055"/>
            <wp:effectExtent l="0" t="0" r="0"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bwMode="auto">
                    <a:xfrm>
                      <a:off x="0" y="0"/>
                      <a:ext cx="4617720" cy="2472055"/>
                    </a:xfrm>
                    <a:prstGeom prst="rect">
                      <a:avLst/>
                    </a:prstGeom>
                    <a:noFill/>
                  </pic:spPr>
                </pic:pic>
              </a:graphicData>
            </a:graphic>
          </wp:anchor>
        </w:drawing>
      </w:r>
      <w:r w:rsidR="00256F29" w:rsidRPr="00FC3B7C">
        <w:rPr>
          <w:rFonts w:eastAsia="Times New Roman"/>
          <w:szCs w:val="24"/>
        </w:rPr>
        <w:t>Hospodářský cyklus je dle nich způsobený nestabilitou peněžní zásoby.</w:t>
      </w:r>
    </w:p>
    <w:p w14:paraId="4A6F322A" w14:textId="18330A3B" w:rsidR="008E0F74" w:rsidRPr="00FC3B7C" w:rsidRDefault="008E0F74" w:rsidP="00405026">
      <w:pPr>
        <w:spacing w:line="200" w:lineRule="exact"/>
        <w:rPr>
          <w:sz w:val="20"/>
          <w:szCs w:val="20"/>
        </w:rPr>
      </w:pPr>
      <w:bookmarkStart w:id="113" w:name="page110"/>
      <w:bookmarkEnd w:id="113"/>
    </w:p>
    <w:p w14:paraId="4A6F322B" w14:textId="77777777" w:rsidR="008E0F74" w:rsidRPr="00FC3B7C" w:rsidRDefault="00256F29">
      <w:pPr>
        <w:spacing w:line="376" w:lineRule="auto"/>
        <w:rPr>
          <w:sz w:val="20"/>
          <w:szCs w:val="20"/>
        </w:rPr>
      </w:pPr>
      <w:r w:rsidRPr="00FC3B7C">
        <w:rPr>
          <w:rFonts w:eastAsia="Times New Roman"/>
          <w:szCs w:val="24"/>
        </w:rPr>
        <w:t>Zvýšení výdajů sice posune křivku IS, stejně jako v předchozím případě, doprava, ale podle monetaristů má křivka LM vertikální tvar, tudíž tento posun zapříčiní pouze zvýšení úrokové míry. Neúčinnost fiskální politiky přitom dávají za vinu efektu vytěsňování.</w:t>
      </w:r>
    </w:p>
    <w:p w14:paraId="4A6F322D" w14:textId="67646F04" w:rsidR="008E0F74" w:rsidRPr="00FC3B7C" w:rsidRDefault="00256F29" w:rsidP="007920AC">
      <w:pPr>
        <w:pStyle w:val="Nadpis3"/>
        <w:rPr>
          <w:sz w:val="20"/>
          <w:szCs w:val="20"/>
        </w:rPr>
      </w:pPr>
      <w:r w:rsidRPr="00FC3B7C">
        <w:rPr>
          <w:rFonts w:eastAsia="Times New Roman"/>
        </w:rPr>
        <w:lastRenderedPageBreak/>
        <w:t>Škola racionálních očekávání</w:t>
      </w:r>
    </w:p>
    <w:p w14:paraId="4A6F322E" w14:textId="53A95899" w:rsidR="008E0F74" w:rsidRPr="00FC3B7C" w:rsidRDefault="00256F29">
      <w:pPr>
        <w:spacing w:line="390" w:lineRule="auto"/>
        <w:rPr>
          <w:sz w:val="20"/>
          <w:szCs w:val="20"/>
        </w:rPr>
      </w:pPr>
      <w:r w:rsidRPr="00FC3B7C">
        <w:rPr>
          <w:rFonts w:eastAsia="Times New Roman"/>
          <w:sz w:val="23"/>
          <w:szCs w:val="23"/>
        </w:rPr>
        <w:t>Zastánci této školy jsou velmi skeptičtí vůči zásahům státu do ekonomiky, protože předpokládají, že lidé jsou schopni tvořit racionální očekávání a na jejich základě jsou schopni se těmto státním zásahům již dopředu přizpůsobovat (tj. danou politiku zavedou do svých očekávání). Jedině neočekávané a neavizované zásahy by mohly mít na ekonomiku vliv.</w:t>
      </w:r>
    </w:p>
    <w:p w14:paraId="4A6F322F" w14:textId="77777777" w:rsidR="008E0F74" w:rsidRPr="00FC3B7C" w:rsidRDefault="008E0F74">
      <w:pPr>
        <w:spacing w:line="166" w:lineRule="exact"/>
        <w:rPr>
          <w:sz w:val="20"/>
          <w:szCs w:val="20"/>
        </w:rPr>
      </w:pPr>
    </w:p>
    <w:p w14:paraId="4A6F3230" w14:textId="604C7B6C" w:rsidR="008E0F74" w:rsidRPr="000529F1" w:rsidRDefault="00256F29" w:rsidP="007920AC">
      <w:pPr>
        <w:pStyle w:val="Nadpis3"/>
        <w:rPr>
          <w:color w:val="1F3864" w:themeColor="accent1" w:themeShade="80"/>
          <w:sz w:val="20"/>
          <w:szCs w:val="20"/>
        </w:rPr>
      </w:pPr>
      <w:r w:rsidRPr="000529F1">
        <w:rPr>
          <w:rFonts w:eastAsia="Times New Roman"/>
          <w:color w:val="1F3864" w:themeColor="accent1" w:themeShade="80"/>
        </w:rPr>
        <w:t>Ekonomie strany nabídky</w:t>
      </w:r>
    </w:p>
    <w:p w14:paraId="4A6F3231" w14:textId="39BBB234" w:rsidR="008E0F74" w:rsidRPr="00FC3B7C" w:rsidRDefault="00256F29">
      <w:pPr>
        <w:spacing w:line="406" w:lineRule="exact"/>
        <w:rPr>
          <w:sz w:val="20"/>
          <w:szCs w:val="20"/>
        </w:rPr>
      </w:pPr>
      <w:r w:rsidRPr="00FC3B7C">
        <w:rPr>
          <w:rFonts w:eastAsia="Times New Roman"/>
          <w:szCs w:val="24"/>
        </w:rPr>
        <w:t>Odsuzuje použití fiskální politiky jako stabilizačního nástroje. Státní autorita by neměla nijak zasahovat do vývoje hospodářského cyklu. Doporučuje dlouhodobé snížení daňového zatížení, které pomůže ekonomické aktivitě, ale zároveň také snížení vládních výdajů</w:t>
      </w:r>
      <w:r w:rsidRPr="00FC3B7C">
        <w:rPr>
          <w:rFonts w:eastAsia="MS Mincho"/>
          <w:szCs w:val="24"/>
        </w:rPr>
        <w:t>.</w:t>
      </w:r>
      <w:r w:rsidRPr="00FC3B7C">
        <w:rPr>
          <w:rFonts w:eastAsia="Times New Roman"/>
          <w:szCs w:val="24"/>
        </w:rPr>
        <w:t xml:space="preserve"> Hlavní mechanismy nastolení makroekonomické rovnováhy vidí ve stimulaci nabídky jako zdroje bohatství. Zvýšení daňových sazeb potlačuje podněty na straně nabídky a zvětšuje šedou ekonomiku.</w:t>
      </w:r>
    </w:p>
    <w:p w14:paraId="4A6F3232" w14:textId="0B8E9D61" w:rsidR="008E0F74" w:rsidRPr="00FC3B7C" w:rsidRDefault="008E0F74">
      <w:pPr>
        <w:spacing w:line="104" w:lineRule="exact"/>
        <w:rPr>
          <w:sz w:val="20"/>
          <w:szCs w:val="20"/>
        </w:rPr>
      </w:pPr>
    </w:p>
    <w:p w14:paraId="4A6F3233" w14:textId="449FCB24" w:rsidR="008E0F74" w:rsidRPr="00FC3B7C" w:rsidRDefault="00405026">
      <w:pPr>
        <w:spacing w:line="390" w:lineRule="auto"/>
        <w:rPr>
          <w:sz w:val="20"/>
          <w:szCs w:val="20"/>
        </w:rPr>
      </w:pPr>
      <w:r w:rsidRPr="00FC3B7C">
        <w:rPr>
          <w:noProof/>
          <w:sz w:val="20"/>
          <w:szCs w:val="20"/>
        </w:rPr>
        <w:drawing>
          <wp:anchor distT="0" distB="0" distL="114300" distR="114300" simplePos="0" relativeHeight="251523584" behindDoc="1" locked="0" layoutInCell="0" allowOverlap="1" wp14:anchorId="4A6F5C64" wp14:editId="79D2157E">
            <wp:simplePos x="0" y="0"/>
            <wp:positionH relativeFrom="page">
              <wp:posOffset>1105653</wp:posOffset>
            </wp:positionH>
            <wp:positionV relativeFrom="page">
              <wp:posOffset>4997140</wp:posOffset>
            </wp:positionV>
            <wp:extent cx="4224655" cy="2688590"/>
            <wp:effectExtent l="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a:clrChange>
                        <a:clrFrom>
                          <a:srgbClr val="FFFFFF"/>
                        </a:clrFrom>
                        <a:clrTo>
                          <a:srgbClr val="FFFFFF">
                            <a:alpha val="0"/>
                          </a:srgbClr>
                        </a:clrTo>
                      </a:clrChange>
                    </a:blip>
                    <a:srcRect/>
                    <a:stretch>
                      <a:fillRect/>
                    </a:stretch>
                  </pic:blipFill>
                  <pic:spPr bwMode="auto">
                    <a:xfrm>
                      <a:off x="0" y="0"/>
                      <a:ext cx="4224655" cy="2688590"/>
                    </a:xfrm>
                    <a:prstGeom prst="rect">
                      <a:avLst/>
                    </a:prstGeom>
                    <a:noFill/>
                  </pic:spPr>
                </pic:pic>
              </a:graphicData>
            </a:graphic>
          </wp:anchor>
        </w:drawing>
      </w:r>
      <w:r w:rsidR="00256F29" w:rsidRPr="00FC3B7C">
        <w:rPr>
          <w:rFonts w:eastAsia="Times New Roman"/>
          <w:szCs w:val="24"/>
        </w:rPr>
        <w:t xml:space="preserve">Hlavním analytickým konceptem je Lafferova křivka – naznačuje, že je-li zdanění </w:t>
      </w:r>
      <w:r w:rsidR="007920AC">
        <w:rPr>
          <w:rFonts w:eastAsia="Times New Roman"/>
          <w:szCs w:val="24"/>
        </w:rPr>
        <w:br/>
      </w:r>
      <w:r w:rsidR="00256F29" w:rsidRPr="00FC3B7C">
        <w:rPr>
          <w:rFonts w:eastAsia="Times New Roman"/>
          <w:szCs w:val="24"/>
        </w:rPr>
        <w:t>v prohibitivní zóně, vede snížení daňových sazeb ke zvýšení daňového výnosu státu.</w:t>
      </w:r>
    </w:p>
    <w:p w14:paraId="4A6F324A" w14:textId="77777777" w:rsidR="008E0F74" w:rsidRPr="000529F1" w:rsidRDefault="00256F29" w:rsidP="007920AC">
      <w:pPr>
        <w:pStyle w:val="Nadpis3"/>
        <w:rPr>
          <w:color w:val="1F3864" w:themeColor="accent1" w:themeShade="80"/>
          <w:sz w:val="20"/>
          <w:szCs w:val="20"/>
        </w:rPr>
      </w:pPr>
      <w:bookmarkStart w:id="114" w:name="page111"/>
      <w:bookmarkEnd w:id="114"/>
      <w:r w:rsidRPr="000529F1">
        <w:rPr>
          <w:rFonts w:eastAsia="Times New Roman"/>
          <w:color w:val="1F3864" w:themeColor="accent1" w:themeShade="80"/>
        </w:rPr>
        <w:t>Škola veřejné volby</w:t>
      </w:r>
    </w:p>
    <w:p w14:paraId="4A6F324B" w14:textId="77777777" w:rsidR="008E0F74" w:rsidRPr="00FC3B7C" w:rsidRDefault="00256F29" w:rsidP="00405026">
      <w:pPr>
        <w:rPr>
          <w:sz w:val="20"/>
          <w:szCs w:val="20"/>
        </w:rPr>
      </w:pPr>
      <w:r w:rsidRPr="00FC3B7C">
        <w:rPr>
          <w:rFonts w:eastAsia="Times New Roman"/>
        </w:rPr>
        <w:t>Na průběh hospodářského cyklu má značný vliv politický cyklus, jehož délka je dána volebním obdobím – před volbami preferují vlády politiku poptávkové expanze, po volbách se uchylují</w:t>
      </w:r>
    </w:p>
    <w:p w14:paraId="4A6F324C" w14:textId="77777777" w:rsidR="008E0F74" w:rsidRPr="00FC3B7C" w:rsidRDefault="008E0F74" w:rsidP="00405026">
      <w:pPr>
        <w:rPr>
          <w:sz w:val="20"/>
          <w:szCs w:val="20"/>
        </w:rPr>
      </w:pPr>
    </w:p>
    <w:p w14:paraId="4A6F3250" w14:textId="79FB4FDF" w:rsidR="007920AC" w:rsidRPr="00405026" w:rsidRDefault="00256F29" w:rsidP="00405026">
      <w:pPr>
        <w:rPr>
          <w:rFonts w:eastAsia="Times New Roman"/>
          <w:b/>
          <w:bCs/>
          <w:sz w:val="32"/>
          <w:szCs w:val="32"/>
        </w:rPr>
      </w:pPr>
      <w:r w:rsidRPr="00405026">
        <w:rPr>
          <w:rFonts w:eastAsia="Times New Roman"/>
          <w:szCs w:val="24"/>
        </w:rPr>
        <w:t>protiinflační politice poptávkové restrikce. Politikové pomocí růstu transferů a rozpočtových výdajů „dobývají“ hlasy voličů. Rozpočtové deficity jsou přirozeným důsledkem politického zápasu o voliče.</w:t>
      </w:r>
      <w:r w:rsidR="007920AC" w:rsidRPr="00405026">
        <w:rPr>
          <w:rFonts w:eastAsia="Times New Roman"/>
          <w:b/>
          <w:bCs/>
          <w:sz w:val="32"/>
          <w:szCs w:val="32"/>
        </w:rPr>
        <w:br w:type="page"/>
      </w:r>
    </w:p>
    <w:p w14:paraId="4A6F3251" w14:textId="77777777" w:rsidR="008E0F74" w:rsidRPr="000529F1" w:rsidRDefault="00256F29" w:rsidP="007920AC">
      <w:pPr>
        <w:pStyle w:val="Nadpis2"/>
        <w:rPr>
          <w:color w:val="1F3864" w:themeColor="accent1" w:themeShade="80"/>
          <w:sz w:val="20"/>
          <w:szCs w:val="20"/>
        </w:rPr>
      </w:pPr>
      <w:r w:rsidRPr="000529F1">
        <w:rPr>
          <w:rFonts w:eastAsia="Times New Roman"/>
          <w:color w:val="1F3864" w:themeColor="accent1" w:themeShade="80"/>
        </w:rPr>
        <w:lastRenderedPageBreak/>
        <w:t>ROZPOČTOVÁ SOUSTAVA</w:t>
      </w:r>
    </w:p>
    <w:p w14:paraId="4A6F3252" w14:textId="60FD97CC" w:rsidR="008E0F74" w:rsidRPr="00FC3B7C" w:rsidRDefault="00405026">
      <w:pPr>
        <w:spacing w:line="394" w:lineRule="auto"/>
        <w:ind w:left="4"/>
        <w:rPr>
          <w:sz w:val="20"/>
          <w:szCs w:val="20"/>
        </w:rPr>
      </w:pPr>
      <w:r w:rsidRPr="00FC3B7C">
        <w:rPr>
          <w:noProof/>
          <w:sz w:val="20"/>
          <w:szCs w:val="20"/>
        </w:rPr>
        <w:drawing>
          <wp:anchor distT="0" distB="0" distL="114300" distR="114300" simplePos="0" relativeHeight="251525632" behindDoc="1" locked="0" layoutInCell="0" allowOverlap="1" wp14:anchorId="4A6F5C66" wp14:editId="0B8F7232">
            <wp:simplePos x="0" y="0"/>
            <wp:positionH relativeFrom="page">
              <wp:posOffset>903605</wp:posOffset>
            </wp:positionH>
            <wp:positionV relativeFrom="page">
              <wp:posOffset>1807210</wp:posOffset>
            </wp:positionV>
            <wp:extent cx="5239385" cy="2658110"/>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bwMode="auto">
                    <a:xfrm>
                      <a:off x="0" y="0"/>
                      <a:ext cx="5239385" cy="2658110"/>
                    </a:xfrm>
                    <a:prstGeom prst="rect">
                      <a:avLst/>
                    </a:prstGeom>
                    <a:noFill/>
                  </pic:spPr>
                </pic:pic>
              </a:graphicData>
            </a:graphic>
          </wp:anchor>
        </w:drawing>
      </w:r>
      <w:r w:rsidR="00256F29" w:rsidRPr="00FC3B7C">
        <w:rPr>
          <w:rFonts w:eastAsia="Times New Roman"/>
          <w:szCs w:val="24"/>
        </w:rPr>
        <w:t>Státní rozpočet zahrnuje veřejné rozpočty a rozpočty orgánů a institucí zabezpečující vztahy a procesy ve fiskálním systému.</w:t>
      </w:r>
    </w:p>
    <w:p w14:paraId="4A6F3268" w14:textId="77777777" w:rsidR="008E0F74" w:rsidRPr="000529F1" w:rsidRDefault="00256F29" w:rsidP="007920AC">
      <w:pPr>
        <w:pStyle w:val="Nadpis3"/>
        <w:rPr>
          <w:color w:val="1F3864" w:themeColor="accent1" w:themeShade="80"/>
          <w:sz w:val="20"/>
          <w:szCs w:val="20"/>
        </w:rPr>
      </w:pPr>
      <w:bookmarkStart w:id="115" w:name="page112"/>
      <w:bookmarkEnd w:id="115"/>
      <w:r w:rsidRPr="000529F1">
        <w:rPr>
          <w:rFonts w:eastAsia="Times New Roman"/>
          <w:color w:val="1F3864" w:themeColor="accent1" w:themeShade="80"/>
        </w:rPr>
        <w:t>Veřejné rozpočty</w:t>
      </w:r>
    </w:p>
    <w:p w14:paraId="4A6F3269" w14:textId="4F8D9EE2" w:rsidR="008E0F74" w:rsidRPr="00FC3B7C" w:rsidRDefault="00256F29">
      <w:pPr>
        <w:ind w:left="4"/>
        <w:rPr>
          <w:sz w:val="20"/>
          <w:szCs w:val="20"/>
        </w:rPr>
      </w:pPr>
      <w:r w:rsidRPr="00FC3B7C">
        <w:rPr>
          <w:rFonts w:eastAsia="Times New Roman"/>
          <w:b/>
          <w:bCs/>
          <w:szCs w:val="24"/>
        </w:rPr>
        <w:t xml:space="preserve">Užší pojetí </w:t>
      </w:r>
      <w:r w:rsidRPr="00FC3B7C">
        <w:rPr>
          <w:rFonts w:eastAsia="Times New Roman"/>
          <w:szCs w:val="24"/>
        </w:rPr>
        <w:t>– státní rozpočet a místní rozpočty (rozpočty obcí a krajů)</w:t>
      </w:r>
    </w:p>
    <w:p w14:paraId="4A6F326A" w14:textId="77777777" w:rsidR="008E0F74" w:rsidRPr="00FC3B7C" w:rsidRDefault="008E0F74">
      <w:pPr>
        <w:spacing w:line="137" w:lineRule="exact"/>
        <w:rPr>
          <w:sz w:val="20"/>
          <w:szCs w:val="20"/>
        </w:rPr>
      </w:pPr>
    </w:p>
    <w:p w14:paraId="4A6F326B" w14:textId="7BE65D13" w:rsidR="008E0F74" w:rsidRPr="00FC3B7C" w:rsidRDefault="00256F29">
      <w:pPr>
        <w:spacing w:line="362" w:lineRule="auto"/>
        <w:ind w:left="4"/>
        <w:rPr>
          <w:sz w:val="20"/>
          <w:szCs w:val="20"/>
        </w:rPr>
      </w:pPr>
      <w:r w:rsidRPr="00FC3B7C">
        <w:rPr>
          <w:rFonts w:eastAsia="Times New Roman"/>
          <w:b/>
          <w:bCs/>
          <w:szCs w:val="24"/>
        </w:rPr>
        <w:t xml:space="preserve">Širší pojetí </w:t>
      </w:r>
      <w:r w:rsidRPr="00FC3B7C">
        <w:rPr>
          <w:rFonts w:eastAsia="Times New Roman"/>
          <w:szCs w:val="24"/>
        </w:rPr>
        <w:t>– státní rozpočet, místní rozpočty, veřejné zdravotní pojištění a mimorozpočtové</w:t>
      </w:r>
      <w:r w:rsidRPr="00FC3B7C">
        <w:rPr>
          <w:rFonts w:eastAsia="Times New Roman"/>
          <w:b/>
          <w:bCs/>
          <w:szCs w:val="24"/>
        </w:rPr>
        <w:t xml:space="preserve"> </w:t>
      </w:r>
      <w:r w:rsidRPr="00FC3B7C">
        <w:rPr>
          <w:rFonts w:eastAsia="Times New Roman"/>
          <w:szCs w:val="24"/>
        </w:rPr>
        <w:t>fondy (fond dopravní infrastruktury, fond rozvoje bydlení, fond ŽP, zemědělský intervenční fond)</w:t>
      </w:r>
    </w:p>
    <w:p w14:paraId="4A6F326C" w14:textId="77777777" w:rsidR="008E0F74" w:rsidRPr="00FC3B7C" w:rsidRDefault="00256F29" w:rsidP="00270319">
      <w:pPr>
        <w:numPr>
          <w:ilvl w:val="0"/>
          <w:numId w:val="96"/>
        </w:numPr>
        <w:tabs>
          <w:tab w:val="left" w:pos="224"/>
        </w:tabs>
        <w:ind w:left="224" w:hanging="224"/>
        <w:rPr>
          <w:rFonts w:eastAsia="Times New Roman"/>
          <w:szCs w:val="24"/>
        </w:rPr>
      </w:pPr>
      <w:r w:rsidRPr="00FC3B7C">
        <w:rPr>
          <w:rFonts w:eastAsia="Times New Roman"/>
          <w:szCs w:val="24"/>
        </w:rPr>
        <w:t>ČR soustavu veřejných rozpočtů tvoří:</w:t>
      </w:r>
    </w:p>
    <w:p w14:paraId="4A6F326D" w14:textId="5A72C2ED" w:rsidR="008E0F74" w:rsidRPr="00FC3B7C" w:rsidRDefault="00256F29" w:rsidP="00D46B53">
      <w:pPr>
        <w:numPr>
          <w:ilvl w:val="1"/>
          <w:numId w:val="615"/>
        </w:numPr>
        <w:tabs>
          <w:tab w:val="left" w:pos="1204"/>
        </w:tabs>
        <w:ind w:left="1204" w:hanging="368"/>
        <w:rPr>
          <w:rFonts w:eastAsia="Arial"/>
          <w:szCs w:val="24"/>
        </w:rPr>
      </w:pPr>
      <w:r w:rsidRPr="00FC3B7C">
        <w:rPr>
          <w:rFonts w:eastAsia="Times New Roman"/>
          <w:szCs w:val="24"/>
        </w:rPr>
        <w:t>Státní rozpočet</w:t>
      </w:r>
    </w:p>
    <w:p w14:paraId="4A6F326E" w14:textId="7FACE618" w:rsidR="008E0F74" w:rsidRPr="00FC3B7C" w:rsidRDefault="00256F29" w:rsidP="00D46B53">
      <w:pPr>
        <w:numPr>
          <w:ilvl w:val="1"/>
          <w:numId w:val="615"/>
        </w:numPr>
        <w:tabs>
          <w:tab w:val="left" w:pos="1204"/>
        </w:tabs>
        <w:ind w:left="1204" w:hanging="368"/>
        <w:rPr>
          <w:rFonts w:eastAsia="Arial"/>
          <w:szCs w:val="24"/>
        </w:rPr>
      </w:pPr>
      <w:r w:rsidRPr="00FC3B7C">
        <w:rPr>
          <w:rFonts w:eastAsia="Times New Roman"/>
          <w:szCs w:val="24"/>
        </w:rPr>
        <w:t>Rozpočty vyšších územních samosprávných celků (krajů), rozpočty obcí</w:t>
      </w:r>
    </w:p>
    <w:p w14:paraId="4A6F326F" w14:textId="27042B6B" w:rsidR="008E0F74" w:rsidRPr="00FC3B7C" w:rsidRDefault="00256F29" w:rsidP="00D46B53">
      <w:pPr>
        <w:numPr>
          <w:ilvl w:val="1"/>
          <w:numId w:val="615"/>
        </w:numPr>
        <w:tabs>
          <w:tab w:val="left" w:pos="1204"/>
        </w:tabs>
        <w:ind w:left="1204" w:hanging="368"/>
        <w:rPr>
          <w:rFonts w:eastAsia="Arial"/>
          <w:szCs w:val="24"/>
        </w:rPr>
      </w:pPr>
      <w:r w:rsidRPr="00FC3B7C">
        <w:rPr>
          <w:rFonts w:eastAsia="Times New Roman"/>
          <w:szCs w:val="24"/>
        </w:rPr>
        <w:t>Rozpočty organizačních složek státu a státních příspěvkových organizací</w:t>
      </w:r>
    </w:p>
    <w:p w14:paraId="4A6F3270" w14:textId="660275B8" w:rsidR="008E0F74" w:rsidRPr="00FC3B7C" w:rsidRDefault="00256F29" w:rsidP="00D46B53">
      <w:pPr>
        <w:numPr>
          <w:ilvl w:val="1"/>
          <w:numId w:val="615"/>
        </w:numPr>
        <w:tabs>
          <w:tab w:val="left" w:pos="1204"/>
        </w:tabs>
        <w:spacing w:after="240"/>
        <w:ind w:left="1204" w:hanging="368"/>
        <w:rPr>
          <w:rFonts w:eastAsia="Arial"/>
          <w:szCs w:val="24"/>
        </w:rPr>
      </w:pPr>
      <w:r w:rsidRPr="00FC3B7C">
        <w:rPr>
          <w:rFonts w:eastAsia="Times New Roman"/>
          <w:szCs w:val="24"/>
        </w:rPr>
        <w:t>Rozpočty organizací, u nichž je zřizovatelem kraj, popřípadě obec</w:t>
      </w:r>
    </w:p>
    <w:p w14:paraId="4A6F3271" w14:textId="77777777" w:rsidR="008E0F74" w:rsidRPr="000529F1" w:rsidRDefault="00256F29" w:rsidP="007920AC">
      <w:pPr>
        <w:pStyle w:val="Nadpis4"/>
        <w:rPr>
          <w:color w:val="1F3864" w:themeColor="accent1" w:themeShade="80"/>
          <w:sz w:val="20"/>
          <w:szCs w:val="20"/>
        </w:rPr>
      </w:pPr>
      <w:r w:rsidRPr="000529F1">
        <w:rPr>
          <w:rFonts w:eastAsia="Times New Roman"/>
          <w:color w:val="1F3864" w:themeColor="accent1" w:themeShade="80"/>
        </w:rPr>
        <w:t>Státní rozpočet</w:t>
      </w:r>
    </w:p>
    <w:p w14:paraId="4A6F3272" w14:textId="77777777" w:rsidR="008E0F74" w:rsidRPr="00FC3B7C" w:rsidRDefault="00256F29">
      <w:pPr>
        <w:spacing w:line="364" w:lineRule="auto"/>
        <w:ind w:left="4"/>
        <w:rPr>
          <w:sz w:val="20"/>
          <w:szCs w:val="20"/>
        </w:rPr>
      </w:pPr>
      <w:r w:rsidRPr="00FC3B7C">
        <w:rPr>
          <w:rFonts w:eastAsia="Times New Roman"/>
          <w:szCs w:val="24"/>
        </w:rPr>
        <w:t>Jedná se o plán finančního hospodaření státu, centralizovaný peněžní fond peněžních prostředků soustředěných do působnosti státu na principu nenávratnosti a neekvivalentního způsobu rozdělování. V České republice schvaluje státní rozpočet Poslanecká sněmovna Parlamentu ČR zákonem, jehož návrh vypracovává Ministerstvo financí a schvaluje vláda. Ústředním orgánem státní správy pro státní rozpočet je Ministerstvo financí. Účet státního rozpočtu spravuje ČNB. Pokud zákon o státním rozpočtu není přijat, hospodaří se podle rozpočtového provizoria, tj. hospodaření podle zkušenosti předchozího roku nebo podle neschváleného rozpočtu.</w:t>
      </w:r>
    </w:p>
    <w:p w14:paraId="4A6F3273" w14:textId="77777777" w:rsidR="008E0F74" w:rsidRPr="00FC3B7C" w:rsidRDefault="008E0F74">
      <w:pPr>
        <w:sectPr w:rsidR="008E0F74" w:rsidRPr="00FC3B7C">
          <w:pgSz w:w="11900" w:h="16840"/>
          <w:pgMar w:top="1440" w:right="1420" w:bottom="1440" w:left="1416" w:header="0" w:footer="0" w:gutter="0"/>
          <w:cols w:space="708" w:equalWidth="0">
            <w:col w:w="9064"/>
          </w:cols>
        </w:sectPr>
      </w:pPr>
    </w:p>
    <w:p w14:paraId="4A6F3274" w14:textId="77777777" w:rsidR="008E0F74" w:rsidRPr="000529F1" w:rsidRDefault="00256F29" w:rsidP="007920AC">
      <w:pPr>
        <w:pStyle w:val="Nadpis4"/>
        <w:rPr>
          <w:color w:val="1F3864" w:themeColor="accent1" w:themeShade="80"/>
          <w:sz w:val="20"/>
          <w:szCs w:val="20"/>
        </w:rPr>
      </w:pPr>
      <w:bookmarkStart w:id="116" w:name="page113"/>
      <w:bookmarkEnd w:id="116"/>
      <w:r w:rsidRPr="000529F1">
        <w:rPr>
          <w:rFonts w:eastAsia="Times New Roman"/>
          <w:color w:val="1F3864" w:themeColor="accent1" w:themeShade="80"/>
        </w:rPr>
        <w:lastRenderedPageBreak/>
        <w:t>Rozpočty krajů a obcí</w:t>
      </w:r>
    </w:p>
    <w:p w14:paraId="4A6F3275" w14:textId="77777777" w:rsidR="008E0F74" w:rsidRPr="00FC3B7C" w:rsidRDefault="00256F29">
      <w:pPr>
        <w:spacing w:line="394" w:lineRule="auto"/>
        <w:rPr>
          <w:sz w:val="20"/>
          <w:szCs w:val="20"/>
        </w:rPr>
      </w:pPr>
      <w:r w:rsidRPr="00FC3B7C">
        <w:rPr>
          <w:rFonts w:eastAsia="Times New Roman"/>
          <w:szCs w:val="24"/>
        </w:rPr>
        <w:t>Rozpočty jsou sestavovány obcemi či kraji na jeden kalendářní rok. Následně je schvalován příslušným zastupitelstvem.</w:t>
      </w:r>
    </w:p>
    <w:p w14:paraId="4A6F3276" w14:textId="77777777" w:rsidR="008E0F74" w:rsidRPr="00FC3B7C" w:rsidRDefault="008E0F74">
      <w:pPr>
        <w:spacing w:line="158" w:lineRule="exact"/>
        <w:rPr>
          <w:sz w:val="20"/>
          <w:szCs w:val="20"/>
        </w:rPr>
      </w:pPr>
    </w:p>
    <w:p w14:paraId="4A6F3277" w14:textId="77777777" w:rsidR="008E0F74" w:rsidRPr="000529F1" w:rsidRDefault="00256F29" w:rsidP="007920AC">
      <w:pPr>
        <w:pStyle w:val="Nadpis4"/>
        <w:rPr>
          <w:color w:val="1F3864" w:themeColor="accent1" w:themeShade="80"/>
          <w:sz w:val="20"/>
          <w:szCs w:val="20"/>
        </w:rPr>
      </w:pPr>
      <w:r w:rsidRPr="000529F1">
        <w:rPr>
          <w:rFonts w:eastAsia="Times New Roman"/>
          <w:color w:val="1F3864" w:themeColor="accent1" w:themeShade="80"/>
        </w:rPr>
        <w:t>Rozpočty státních podniků a fondů</w:t>
      </w:r>
    </w:p>
    <w:p w14:paraId="4A6F3278" w14:textId="77777777" w:rsidR="008E0F74" w:rsidRPr="00FC3B7C" w:rsidRDefault="00256F29">
      <w:pPr>
        <w:rPr>
          <w:sz w:val="20"/>
          <w:szCs w:val="20"/>
        </w:rPr>
      </w:pPr>
      <w:r w:rsidRPr="00FC3B7C">
        <w:rPr>
          <w:rFonts w:eastAsia="Times New Roman"/>
          <w:szCs w:val="24"/>
        </w:rPr>
        <w:t>Státní fondy slouží k účelové regulaci některých sektorů ekonomiky.</w:t>
      </w:r>
    </w:p>
    <w:p w14:paraId="4A6F3279" w14:textId="77777777" w:rsidR="008E0F74" w:rsidRPr="00FC3B7C" w:rsidRDefault="008E0F74">
      <w:pPr>
        <w:spacing w:line="131" w:lineRule="exact"/>
        <w:rPr>
          <w:sz w:val="20"/>
          <w:szCs w:val="20"/>
        </w:rPr>
      </w:pPr>
    </w:p>
    <w:p w14:paraId="4A6F329D" w14:textId="7085A8C3" w:rsidR="008E0F74" w:rsidRPr="004B6CDE" w:rsidRDefault="00256F29" w:rsidP="007920AC">
      <w:pPr>
        <w:pStyle w:val="Nadpis3"/>
        <w:rPr>
          <w:color w:val="1F3864" w:themeColor="accent1" w:themeShade="80"/>
          <w:sz w:val="20"/>
          <w:szCs w:val="20"/>
        </w:rPr>
      </w:pPr>
      <w:bookmarkStart w:id="117" w:name="page114"/>
      <w:bookmarkStart w:id="118" w:name="page115"/>
      <w:bookmarkEnd w:id="117"/>
      <w:bookmarkEnd w:id="118"/>
      <w:r w:rsidRPr="004B6CDE">
        <w:rPr>
          <w:rFonts w:eastAsia="Times New Roman"/>
          <w:color w:val="1F3864" w:themeColor="accent1" w:themeShade="80"/>
        </w:rPr>
        <w:t>Mimorozpočtové fondy (stav aktuální k 31. 12. 201</w:t>
      </w:r>
      <w:r w:rsidR="00925901" w:rsidRPr="004B6CDE">
        <w:rPr>
          <w:rFonts w:eastAsia="Times New Roman"/>
          <w:color w:val="1F3864" w:themeColor="accent1" w:themeShade="80"/>
        </w:rPr>
        <w:t>9</w:t>
      </w:r>
      <w:r w:rsidRPr="004B6CDE">
        <w:rPr>
          <w:rFonts w:eastAsia="Times New Roman"/>
          <w:color w:val="1F3864" w:themeColor="accent1" w:themeShade="80"/>
        </w:rPr>
        <w:t>):</w:t>
      </w:r>
    </w:p>
    <w:p w14:paraId="4A6F329E" w14:textId="77777777" w:rsidR="008E0F74" w:rsidRPr="00FC3B7C" w:rsidRDefault="00256F29">
      <w:pPr>
        <w:rPr>
          <w:sz w:val="20"/>
          <w:szCs w:val="20"/>
        </w:rPr>
      </w:pPr>
      <w:r w:rsidRPr="00FC3B7C">
        <w:rPr>
          <w:rFonts w:eastAsia="Times New Roman"/>
          <w:b/>
          <w:bCs/>
          <w:szCs w:val="24"/>
        </w:rPr>
        <w:t>Státní fondy</w:t>
      </w:r>
    </w:p>
    <w:p w14:paraId="4A6F329F" w14:textId="6D704263" w:rsidR="008E0F74" w:rsidRPr="003026E3" w:rsidRDefault="00256F29" w:rsidP="00D46B53">
      <w:pPr>
        <w:numPr>
          <w:ilvl w:val="0"/>
          <w:numId w:val="630"/>
        </w:numPr>
        <w:tabs>
          <w:tab w:val="left" w:pos="1000"/>
        </w:tabs>
        <w:ind w:left="1000" w:hanging="360"/>
        <w:rPr>
          <w:rFonts w:eastAsia="Arial"/>
          <w:szCs w:val="24"/>
        </w:rPr>
      </w:pPr>
      <w:r w:rsidRPr="003026E3">
        <w:rPr>
          <w:rFonts w:eastAsia="Times New Roman"/>
          <w:szCs w:val="24"/>
        </w:rPr>
        <w:t>Státní fond životního prostředí České republiky</w:t>
      </w:r>
    </w:p>
    <w:p w14:paraId="4A6F32A0" w14:textId="06AFB353" w:rsidR="008E0F74" w:rsidRPr="003026E3" w:rsidRDefault="00256F29" w:rsidP="00D46B53">
      <w:pPr>
        <w:numPr>
          <w:ilvl w:val="0"/>
          <w:numId w:val="630"/>
        </w:numPr>
        <w:tabs>
          <w:tab w:val="left" w:pos="1000"/>
        </w:tabs>
        <w:ind w:left="1000" w:hanging="360"/>
        <w:rPr>
          <w:rFonts w:eastAsia="Arial"/>
          <w:szCs w:val="24"/>
        </w:rPr>
      </w:pPr>
      <w:r w:rsidRPr="003026E3">
        <w:rPr>
          <w:rFonts w:eastAsia="Times New Roman"/>
          <w:szCs w:val="24"/>
        </w:rPr>
        <w:t>Státní fond kultury České republiky</w:t>
      </w:r>
    </w:p>
    <w:p w14:paraId="4A6F32A1" w14:textId="1D7F253C" w:rsidR="008E0F74" w:rsidRPr="003026E3" w:rsidRDefault="00256F29" w:rsidP="00D46B53">
      <w:pPr>
        <w:numPr>
          <w:ilvl w:val="0"/>
          <w:numId w:val="630"/>
        </w:numPr>
        <w:tabs>
          <w:tab w:val="left" w:pos="1000"/>
        </w:tabs>
        <w:ind w:left="1000" w:hanging="360"/>
        <w:rPr>
          <w:rFonts w:eastAsia="Arial"/>
          <w:szCs w:val="24"/>
        </w:rPr>
      </w:pPr>
      <w:r w:rsidRPr="003026E3">
        <w:rPr>
          <w:rFonts w:eastAsia="Times New Roman"/>
          <w:szCs w:val="24"/>
        </w:rPr>
        <w:t>Státní fond kinematografie</w:t>
      </w:r>
    </w:p>
    <w:p w14:paraId="4A6F32A2" w14:textId="31C43D79" w:rsidR="008E0F74" w:rsidRPr="003026E3" w:rsidRDefault="00256F29" w:rsidP="00D46B53">
      <w:pPr>
        <w:numPr>
          <w:ilvl w:val="0"/>
          <w:numId w:val="630"/>
        </w:numPr>
        <w:tabs>
          <w:tab w:val="left" w:pos="1000"/>
        </w:tabs>
        <w:ind w:left="1000" w:hanging="360"/>
        <w:rPr>
          <w:rFonts w:eastAsia="Arial"/>
          <w:szCs w:val="24"/>
        </w:rPr>
      </w:pPr>
      <w:r w:rsidRPr="003026E3">
        <w:rPr>
          <w:rFonts w:eastAsia="Times New Roman"/>
          <w:szCs w:val="24"/>
        </w:rPr>
        <w:t>Státní fond dopravní infrastruktury</w:t>
      </w:r>
    </w:p>
    <w:p w14:paraId="4A6F32A3" w14:textId="50771A28" w:rsidR="008E0F74" w:rsidRPr="003026E3" w:rsidRDefault="00256F29" w:rsidP="00D46B53">
      <w:pPr>
        <w:numPr>
          <w:ilvl w:val="0"/>
          <w:numId w:val="630"/>
        </w:numPr>
        <w:tabs>
          <w:tab w:val="left" w:pos="1000"/>
        </w:tabs>
        <w:ind w:left="1000" w:hanging="360"/>
        <w:rPr>
          <w:rFonts w:eastAsia="Arial"/>
          <w:szCs w:val="24"/>
        </w:rPr>
      </w:pPr>
      <w:r w:rsidRPr="003026E3">
        <w:rPr>
          <w:rFonts w:eastAsia="Times New Roman"/>
          <w:szCs w:val="24"/>
        </w:rPr>
        <w:t>Státní fond rozvoje bydlení</w:t>
      </w:r>
    </w:p>
    <w:p w14:paraId="4A6F32A4" w14:textId="04334A26" w:rsidR="008E0F74" w:rsidRPr="003026E3" w:rsidRDefault="00256F29" w:rsidP="00D46B53">
      <w:pPr>
        <w:numPr>
          <w:ilvl w:val="0"/>
          <w:numId w:val="630"/>
        </w:numPr>
        <w:tabs>
          <w:tab w:val="left" w:pos="1000"/>
        </w:tabs>
        <w:ind w:left="1000" w:hanging="360"/>
        <w:rPr>
          <w:rFonts w:eastAsia="Arial"/>
          <w:szCs w:val="24"/>
        </w:rPr>
      </w:pPr>
      <w:r w:rsidRPr="003026E3">
        <w:rPr>
          <w:rFonts w:eastAsia="Times New Roman"/>
          <w:szCs w:val="24"/>
        </w:rPr>
        <w:t>Státní zemědělský intervenční fond</w:t>
      </w:r>
    </w:p>
    <w:p w14:paraId="4A6F32A7" w14:textId="5C5637C7" w:rsidR="00405026" w:rsidRDefault="00744C77" w:rsidP="008F2770">
      <w:pPr>
        <w:tabs>
          <w:tab w:val="left" w:pos="1000"/>
        </w:tabs>
        <w:spacing w:line="240" w:lineRule="auto"/>
        <w:ind w:left="1000"/>
        <w:jc w:val="left"/>
        <w:rPr>
          <w:rFonts w:eastAsia="Times New Roman" w:cstheme="majorBidi"/>
          <w:b/>
          <w:sz w:val="28"/>
          <w:szCs w:val="26"/>
        </w:rPr>
      </w:pPr>
      <w:r>
        <w:rPr>
          <w:rFonts w:eastAsia="Times New Roman"/>
          <w:szCs w:val="24"/>
        </w:rPr>
        <w:t>(</w:t>
      </w:r>
      <w:r w:rsidR="00256F29" w:rsidRPr="003026E3">
        <w:rPr>
          <w:rFonts w:eastAsia="Times New Roman"/>
          <w:szCs w:val="24"/>
        </w:rPr>
        <w:t>Pozemkový fond ČR – zrušen a nahrazen Státním pozemkovým úřadem</w:t>
      </w:r>
      <w:r>
        <w:rPr>
          <w:rFonts w:eastAsia="Times New Roman"/>
          <w:szCs w:val="24"/>
        </w:rPr>
        <w:t>)</w:t>
      </w:r>
      <w:r w:rsidR="00405026">
        <w:rPr>
          <w:rFonts w:eastAsia="Times New Roman" w:cstheme="majorBidi"/>
          <w:b/>
          <w:sz w:val="28"/>
          <w:szCs w:val="26"/>
        </w:rPr>
        <w:br w:type="page"/>
      </w:r>
    </w:p>
    <w:p w14:paraId="4A6F32A8" w14:textId="77777777" w:rsidR="008E0F74" w:rsidRPr="000529F1" w:rsidRDefault="00256F29" w:rsidP="007920AC">
      <w:pPr>
        <w:pStyle w:val="Nadpis2"/>
        <w:rPr>
          <w:color w:val="1F3864" w:themeColor="accent1" w:themeShade="80"/>
          <w:sz w:val="20"/>
          <w:szCs w:val="20"/>
        </w:rPr>
      </w:pPr>
      <w:r w:rsidRPr="000529F1">
        <w:rPr>
          <w:rFonts w:eastAsia="Times New Roman"/>
          <w:color w:val="1F3864" w:themeColor="accent1" w:themeShade="80"/>
        </w:rPr>
        <w:lastRenderedPageBreak/>
        <w:t>PŘÍJMY A VÝDAJE STÁTNÍHO ROZPOČTU</w:t>
      </w:r>
    </w:p>
    <w:p w14:paraId="4A6F32A9" w14:textId="77777777" w:rsidR="008E0F74" w:rsidRPr="000529F1" w:rsidRDefault="00256F29" w:rsidP="007920AC">
      <w:pPr>
        <w:pStyle w:val="Nadpis3"/>
        <w:rPr>
          <w:color w:val="1F3864" w:themeColor="accent1" w:themeShade="80"/>
          <w:sz w:val="20"/>
          <w:szCs w:val="20"/>
        </w:rPr>
      </w:pPr>
      <w:r w:rsidRPr="000529F1">
        <w:rPr>
          <w:rFonts w:eastAsia="Times New Roman"/>
          <w:color w:val="1F3864" w:themeColor="accent1" w:themeShade="80"/>
        </w:rPr>
        <w:t>Příjmy státního rozpočtu</w:t>
      </w:r>
    </w:p>
    <w:p w14:paraId="4A6F32AA" w14:textId="77777777" w:rsidR="008E0F74" w:rsidRPr="000529F1" w:rsidRDefault="00256F29" w:rsidP="007920AC">
      <w:pPr>
        <w:pStyle w:val="Nadpis4"/>
        <w:rPr>
          <w:color w:val="1F3864" w:themeColor="accent1" w:themeShade="80"/>
          <w:sz w:val="20"/>
          <w:szCs w:val="20"/>
        </w:rPr>
      </w:pPr>
      <w:r w:rsidRPr="000529F1">
        <w:rPr>
          <w:rFonts w:eastAsia="Times New Roman"/>
          <w:color w:val="1F3864" w:themeColor="accent1" w:themeShade="80"/>
        </w:rPr>
        <w:t>Daně</w:t>
      </w:r>
    </w:p>
    <w:p w14:paraId="4A6F32AE" w14:textId="77777777" w:rsidR="007920AC" w:rsidRPr="007920AC" w:rsidRDefault="007920AC">
      <w:pPr>
        <w:spacing w:line="358" w:lineRule="auto"/>
        <w:rPr>
          <w:sz w:val="6"/>
          <w:szCs w:val="6"/>
        </w:rPr>
      </w:pPr>
    </w:p>
    <w:p w14:paraId="4A6F32AF" w14:textId="77777777" w:rsidR="008E0F74" w:rsidRPr="00FC3B7C" w:rsidRDefault="008E0F74">
      <w:pPr>
        <w:spacing w:line="2" w:lineRule="exact"/>
        <w:rPr>
          <w:sz w:val="20"/>
          <w:szCs w:val="20"/>
        </w:rPr>
      </w:pPr>
    </w:p>
    <w:p w14:paraId="4A6F32B3" w14:textId="62022A8F" w:rsidR="008E0F74" w:rsidRPr="004B6CDE" w:rsidRDefault="00256F29">
      <w:pPr>
        <w:rPr>
          <w:sz w:val="20"/>
          <w:szCs w:val="20"/>
        </w:rPr>
      </w:pPr>
      <w:r w:rsidRPr="004B6CDE">
        <w:rPr>
          <w:rFonts w:eastAsia="Times New Roman"/>
          <w:b/>
          <w:bCs/>
        </w:rPr>
        <w:t xml:space="preserve">Daň je </w:t>
      </w:r>
      <w:r w:rsidR="00B51342" w:rsidRPr="004B6CDE">
        <w:rPr>
          <w:rFonts w:eastAsia="Times New Roman"/>
          <w:b/>
          <w:bCs/>
        </w:rPr>
        <w:t xml:space="preserve">pravidelná, </w:t>
      </w:r>
      <w:r w:rsidRPr="004B6CDE">
        <w:rPr>
          <w:rFonts w:eastAsia="Times New Roman"/>
          <w:b/>
          <w:bCs/>
        </w:rPr>
        <w:t>povinná, zákonem uložená platba, která plyne do veřejného rozpočtu</w:t>
      </w:r>
      <w:r w:rsidR="00B51342" w:rsidRPr="004B6CDE">
        <w:rPr>
          <w:rFonts w:eastAsia="Times New Roman"/>
          <w:b/>
          <w:bCs/>
        </w:rPr>
        <w:t xml:space="preserve"> </w:t>
      </w:r>
      <w:r w:rsidR="00B51342" w:rsidRPr="004B6CDE">
        <w:rPr>
          <w:rFonts w:eastAsia="Times New Roman"/>
          <w:b/>
          <w:bCs/>
          <w:szCs w:val="24"/>
        </w:rPr>
        <w:t>(zhruba 51% celkových příjmů)</w:t>
      </w:r>
      <w:r w:rsidRPr="004B6CDE">
        <w:rPr>
          <w:rFonts w:eastAsia="Times New Roman"/>
          <w:b/>
          <w:bCs/>
        </w:rPr>
        <w:t>. Platí pro ni:</w:t>
      </w:r>
    </w:p>
    <w:p w14:paraId="4A6F32B4" w14:textId="348D5C9C" w:rsidR="008E0F74" w:rsidRPr="00FC3B7C" w:rsidRDefault="00256F29" w:rsidP="00270319">
      <w:pPr>
        <w:numPr>
          <w:ilvl w:val="0"/>
          <w:numId w:val="97"/>
        </w:numPr>
        <w:tabs>
          <w:tab w:val="left" w:pos="720"/>
        </w:tabs>
        <w:ind w:left="720" w:hanging="364"/>
        <w:rPr>
          <w:rFonts w:eastAsia="Arial"/>
          <w:sz w:val="20"/>
          <w:szCs w:val="20"/>
        </w:rPr>
      </w:pPr>
      <w:r w:rsidRPr="00FC3B7C">
        <w:rPr>
          <w:rFonts w:eastAsia="Times New Roman"/>
          <w:szCs w:val="24"/>
        </w:rPr>
        <w:t>povinná – patří mezi základní občanské povinnosti</w:t>
      </w:r>
    </w:p>
    <w:p w14:paraId="4A6F32B5" w14:textId="637FAFEF" w:rsidR="008E0F74" w:rsidRPr="00FC3B7C" w:rsidRDefault="00256F29" w:rsidP="00270319">
      <w:pPr>
        <w:numPr>
          <w:ilvl w:val="0"/>
          <w:numId w:val="97"/>
        </w:numPr>
        <w:tabs>
          <w:tab w:val="left" w:pos="720"/>
        </w:tabs>
        <w:ind w:left="720" w:hanging="364"/>
        <w:rPr>
          <w:rFonts w:eastAsia="Arial"/>
          <w:sz w:val="20"/>
          <w:szCs w:val="20"/>
        </w:rPr>
      </w:pPr>
      <w:r w:rsidRPr="00FC3B7C">
        <w:rPr>
          <w:rFonts w:eastAsia="Times New Roman"/>
          <w:szCs w:val="24"/>
        </w:rPr>
        <w:t>zákonem stanovená</w:t>
      </w:r>
    </w:p>
    <w:p w14:paraId="4A6F32B6" w14:textId="77777777" w:rsidR="008E0F74" w:rsidRPr="00FC3B7C" w:rsidRDefault="00256F29" w:rsidP="00270319">
      <w:pPr>
        <w:numPr>
          <w:ilvl w:val="0"/>
          <w:numId w:val="97"/>
        </w:numPr>
        <w:tabs>
          <w:tab w:val="left" w:pos="720"/>
        </w:tabs>
        <w:ind w:left="720" w:hanging="364"/>
        <w:rPr>
          <w:rFonts w:eastAsia="Arial"/>
          <w:sz w:val="20"/>
          <w:szCs w:val="20"/>
        </w:rPr>
      </w:pPr>
      <w:r w:rsidRPr="00FC3B7C">
        <w:rPr>
          <w:rFonts w:eastAsia="Times New Roman"/>
          <w:szCs w:val="24"/>
        </w:rPr>
        <w:t>nenávratná – zaplacením daně nevzniká subjektu nějaký nárok</w:t>
      </w:r>
    </w:p>
    <w:p w14:paraId="4A6F32B7" w14:textId="1F56E443" w:rsidR="008E0F74" w:rsidRPr="00FC3B7C" w:rsidRDefault="00256F29" w:rsidP="00270319">
      <w:pPr>
        <w:numPr>
          <w:ilvl w:val="0"/>
          <w:numId w:val="98"/>
        </w:numPr>
        <w:tabs>
          <w:tab w:val="left" w:pos="724"/>
        </w:tabs>
        <w:ind w:left="724" w:hanging="364"/>
        <w:rPr>
          <w:rFonts w:eastAsia="Arial"/>
          <w:sz w:val="20"/>
          <w:szCs w:val="20"/>
        </w:rPr>
      </w:pPr>
      <w:bookmarkStart w:id="119" w:name="page116"/>
      <w:bookmarkEnd w:id="119"/>
      <w:r w:rsidRPr="00FC3B7C">
        <w:rPr>
          <w:rFonts w:eastAsia="Times New Roman"/>
          <w:szCs w:val="24"/>
        </w:rPr>
        <w:t>neúčelová – nikdo v okamžiku platby neví, na co budou tyto prostředky použity</w:t>
      </w:r>
    </w:p>
    <w:p w14:paraId="4A6F32B8" w14:textId="1DECD3C0" w:rsidR="008E0F74" w:rsidRPr="00FC3B7C" w:rsidRDefault="00256F29" w:rsidP="00270319">
      <w:pPr>
        <w:numPr>
          <w:ilvl w:val="0"/>
          <w:numId w:val="98"/>
        </w:numPr>
        <w:tabs>
          <w:tab w:val="left" w:pos="724"/>
        </w:tabs>
        <w:spacing w:line="361" w:lineRule="auto"/>
        <w:ind w:left="724" w:right="40" w:hanging="364"/>
        <w:rPr>
          <w:rFonts w:eastAsia="Arial"/>
          <w:sz w:val="20"/>
          <w:szCs w:val="20"/>
        </w:rPr>
      </w:pPr>
      <w:r w:rsidRPr="00FC3B7C">
        <w:rPr>
          <w:rFonts w:eastAsia="Times New Roman"/>
          <w:szCs w:val="24"/>
        </w:rPr>
        <w:t xml:space="preserve">neekvivalentní – </w:t>
      </w:r>
      <w:r w:rsidR="00B51342" w:rsidRPr="00FC3B7C">
        <w:rPr>
          <w:rFonts w:eastAsia="Times New Roman"/>
          <w:szCs w:val="24"/>
        </w:rPr>
        <w:t>poplatník neobdrží od vlády protihodnotu, která by odpovídala jeho podílu na spolufinancování veřejného sektoru</w:t>
      </w:r>
    </w:p>
    <w:p w14:paraId="4A6F32B9" w14:textId="05B86F94" w:rsidR="008E0F74" w:rsidRPr="00FC3B7C" w:rsidRDefault="00256F29" w:rsidP="00270319">
      <w:pPr>
        <w:numPr>
          <w:ilvl w:val="0"/>
          <w:numId w:val="98"/>
        </w:numPr>
        <w:tabs>
          <w:tab w:val="left" w:pos="724"/>
        </w:tabs>
        <w:ind w:left="724" w:hanging="364"/>
        <w:rPr>
          <w:rFonts w:eastAsia="Arial"/>
          <w:sz w:val="20"/>
          <w:szCs w:val="20"/>
        </w:rPr>
      </w:pPr>
      <w:r w:rsidRPr="00FC3B7C">
        <w:rPr>
          <w:rFonts w:eastAsia="Times New Roman"/>
          <w:szCs w:val="24"/>
        </w:rPr>
        <w:t>jedná se o peněžní plnění</w:t>
      </w:r>
    </w:p>
    <w:p w14:paraId="4A6F32BA" w14:textId="68F4784F" w:rsidR="008E0F74" w:rsidRPr="00FC3B7C" w:rsidRDefault="00256F29" w:rsidP="00270319">
      <w:pPr>
        <w:numPr>
          <w:ilvl w:val="0"/>
          <w:numId w:val="98"/>
        </w:numPr>
        <w:tabs>
          <w:tab w:val="left" w:pos="724"/>
        </w:tabs>
        <w:spacing w:line="390" w:lineRule="auto"/>
        <w:ind w:left="724" w:right="20" w:hanging="364"/>
        <w:rPr>
          <w:rFonts w:eastAsia="Arial"/>
          <w:sz w:val="20"/>
          <w:szCs w:val="20"/>
        </w:rPr>
      </w:pPr>
      <w:r w:rsidRPr="00FC3B7C">
        <w:rPr>
          <w:rFonts w:eastAsia="Times New Roman"/>
          <w:szCs w:val="24"/>
        </w:rPr>
        <w:t>jde do veřejného rozpočtu – prostředky jsou určeny k hrazení potřeb, které vznikají společností jako celku</w:t>
      </w:r>
    </w:p>
    <w:p w14:paraId="225AC5B3" w14:textId="77777777" w:rsidR="00B51342" w:rsidRPr="00FC3B7C" w:rsidRDefault="00B51342" w:rsidP="00B51342">
      <w:pPr>
        <w:rPr>
          <w:sz w:val="20"/>
          <w:szCs w:val="20"/>
        </w:rPr>
      </w:pPr>
      <w:r w:rsidRPr="00FC3B7C">
        <w:rPr>
          <w:rFonts w:eastAsia="Times New Roman"/>
          <w:b/>
          <w:bCs/>
          <w:szCs w:val="24"/>
        </w:rPr>
        <w:t>Daňová soustava</w:t>
      </w:r>
    </w:p>
    <w:p w14:paraId="0F5F163C" w14:textId="77777777" w:rsidR="00B51342" w:rsidRPr="00FC3B7C" w:rsidRDefault="00B51342" w:rsidP="00B51342">
      <w:pPr>
        <w:spacing w:line="394" w:lineRule="auto"/>
        <w:rPr>
          <w:sz w:val="20"/>
          <w:szCs w:val="20"/>
        </w:rPr>
      </w:pPr>
      <w:r w:rsidRPr="00FC3B7C">
        <w:rPr>
          <w:rFonts w:eastAsia="Times New Roman"/>
          <w:szCs w:val="24"/>
        </w:rPr>
        <w:t>Smyslem daňové soustavy je zajistit financování společenských potřeb, které nelze lépe zajistit jinými formami než prostřednictvím státu.</w:t>
      </w:r>
    </w:p>
    <w:p w14:paraId="4A6F32BB" w14:textId="62E95602" w:rsidR="008E0F74" w:rsidRPr="00B51342" w:rsidRDefault="00B51342" w:rsidP="00B51342">
      <w:pPr>
        <w:spacing w:before="240"/>
        <w:ind w:left="4"/>
        <w:rPr>
          <w:sz w:val="20"/>
          <w:szCs w:val="20"/>
        </w:rPr>
      </w:pPr>
      <w:r w:rsidRPr="00B51342">
        <w:rPr>
          <w:rFonts w:eastAsia="Times New Roman"/>
          <w:b/>
          <w:bCs/>
        </w:rPr>
        <w:t>Funkce daní</w:t>
      </w:r>
      <w:r w:rsidR="00256F29" w:rsidRPr="00B51342">
        <w:rPr>
          <w:rFonts w:eastAsia="Times New Roman"/>
          <w:b/>
          <w:bCs/>
        </w:rPr>
        <w:t>:</w:t>
      </w:r>
    </w:p>
    <w:p w14:paraId="4A6F32BC" w14:textId="77777777" w:rsidR="008E0F74" w:rsidRPr="00FC3B7C" w:rsidRDefault="00256F29" w:rsidP="00980D4E">
      <w:pPr>
        <w:spacing w:before="240"/>
        <w:ind w:left="4"/>
        <w:rPr>
          <w:sz w:val="20"/>
          <w:szCs w:val="20"/>
        </w:rPr>
      </w:pPr>
      <w:r w:rsidRPr="00FC3B7C">
        <w:rPr>
          <w:rFonts w:eastAsia="Times New Roman"/>
          <w:i/>
          <w:iCs/>
        </w:rPr>
        <w:t>Fiskální funkce</w:t>
      </w:r>
    </w:p>
    <w:p w14:paraId="4A6F32BD" w14:textId="77777777" w:rsidR="008E0F74" w:rsidRPr="00FC3B7C" w:rsidRDefault="00256F29">
      <w:pPr>
        <w:ind w:left="4"/>
        <w:rPr>
          <w:sz w:val="20"/>
          <w:szCs w:val="20"/>
        </w:rPr>
      </w:pPr>
      <w:r w:rsidRPr="00FC3B7C">
        <w:rPr>
          <w:rFonts w:eastAsia="Times New Roman"/>
        </w:rPr>
        <w:t>Což je primární funkce daní, mají schopnost naplnit veřejný rozpočet.</w:t>
      </w:r>
    </w:p>
    <w:p w14:paraId="4A6F32BE" w14:textId="77777777" w:rsidR="008E0F74" w:rsidRPr="00FC3B7C" w:rsidRDefault="00256F29" w:rsidP="00980D4E">
      <w:pPr>
        <w:spacing w:before="240"/>
        <w:ind w:left="4"/>
        <w:rPr>
          <w:sz w:val="20"/>
          <w:szCs w:val="20"/>
        </w:rPr>
      </w:pPr>
      <w:r w:rsidRPr="00FC3B7C">
        <w:rPr>
          <w:rFonts w:eastAsia="Times New Roman"/>
          <w:i/>
          <w:iCs/>
        </w:rPr>
        <w:t>Alokační funkce</w:t>
      </w:r>
    </w:p>
    <w:p w14:paraId="4A6F32BF" w14:textId="072DDB4A" w:rsidR="008E0F74" w:rsidRPr="00FC3B7C" w:rsidRDefault="00256F29">
      <w:pPr>
        <w:spacing w:line="373" w:lineRule="auto"/>
        <w:ind w:left="4" w:right="20"/>
        <w:rPr>
          <w:sz w:val="20"/>
          <w:szCs w:val="20"/>
        </w:rPr>
      </w:pPr>
      <w:r w:rsidRPr="00FC3B7C">
        <w:rPr>
          <w:rFonts w:eastAsia="Times New Roman"/>
        </w:rPr>
        <w:t xml:space="preserve">Prostřednictvím daní se můžou dát prostředky tam, kde si stát myslí, že </w:t>
      </w:r>
      <w:r w:rsidR="00684057">
        <w:rPr>
          <w:rFonts w:eastAsia="Times New Roman"/>
        </w:rPr>
        <w:t xml:space="preserve">jsou </w:t>
      </w:r>
      <w:r w:rsidRPr="00FC3B7C">
        <w:rPr>
          <w:rFonts w:eastAsia="Times New Roman"/>
        </w:rPr>
        <w:t>potřeba. Stát může poskytovat zvýhodnění prostřednictvím daňových úlev tzv. nepřímou daňovou úlevu nebo usměrnit preference spotřebitelů</w:t>
      </w:r>
      <w:r w:rsidR="00F65E23">
        <w:rPr>
          <w:rFonts w:eastAsia="Times New Roman"/>
        </w:rPr>
        <w:t xml:space="preserve"> (</w:t>
      </w:r>
      <w:r w:rsidRPr="00FC3B7C">
        <w:rPr>
          <w:rFonts w:eastAsia="Times New Roman"/>
        </w:rPr>
        <w:t>např. u očkování – těm, co si ho platí, může snížit daňovou povinnost</w:t>
      </w:r>
      <w:r w:rsidR="00F65E23">
        <w:rPr>
          <w:rFonts w:eastAsia="Times New Roman"/>
        </w:rPr>
        <w:t>)</w:t>
      </w:r>
      <w:r w:rsidRPr="00FC3B7C">
        <w:rPr>
          <w:rFonts w:eastAsia="Times New Roman"/>
        </w:rPr>
        <w:t>.</w:t>
      </w:r>
    </w:p>
    <w:p w14:paraId="4A6F32C0" w14:textId="77777777" w:rsidR="008E0F74" w:rsidRPr="007920AC" w:rsidRDefault="00256F29" w:rsidP="00980D4E">
      <w:pPr>
        <w:spacing w:before="240"/>
        <w:ind w:left="4"/>
        <w:rPr>
          <w:rFonts w:eastAsia="Times New Roman"/>
          <w:i/>
          <w:iCs/>
        </w:rPr>
      </w:pPr>
      <w:r w:rsidRPr="00FC3B7C">
        <w:rPr>
          <w:rFonts w:eastAsia="Times New Roman"/>
          <w:i/>
          <w:iCs/>
        </w:rPr>
        <w:t>Redistribuční funkce</w:t>
      </w:r>
    </w:p>
    <w:p w14:paraId="171EC1A2" w14:textId="412B51D2" w:rsidR="00B51342" w:rsidRDefault="00256F29" w:rsidP="00980D4E">
      <w:pPr>
        <w:rPr>
          <w:rFonts w:eastAsia="Times New Roman"/>
        </w:rPr>
      </w:pPr>
      <w:r w:rsidRPr="00FC3B7C">
        <w:rPr>
          <w:rFonts w:eastAsia="Times New Roman"/>
        </w:rPr>
        <w:t xml:space="preserve">Daně jsou vhodným nástrojem pro zmírnění rozdílů v důchodech jednotlivých subjektů tím, že se ve větší míře vybírají od bohatších, což umožňuje státu prostřednictvím transferů zvyšovat příjmy chudším. Vychází se ze základu daně -jestliže roste základ daně pomaleji než daň – </w:t>
      </w:r>
      <w:r w:rsidRPr="00F65E23">
        <w:rPr>
          <w:rFonts w:eastAsia="Times New Roman"/>
          <w:i/>
          <w:iCs/>
        </w:rPr>
        <w:t xml:space="preserve">progresivní </w:t>
      </w:r>
      <w:r w:rsidRPr="00FC3B7C">
        <w:rPr>
          <w:rFonts w:eastAsia="Times New Roman"/>
        </w:rPr>
        <w:t xml:space="preserve">daň. Opakem je pak daň </w:t>
      </w:r>
      <w:r w:rsidRPr="00F65E23">
        <w:rPr>
          <w:rFonts w:eastAsia="Times New Roman"/>
          <w:i/>
          <w:iCs/>
        </w:rPr>
        <w:t>degresivní</w:t>
      </w:r>
      <w:r w:rsidRPr="00FC3B7C">
        <w:rPr>
          <w:rFonts w:eastAsia="Times New Roman"/>
        </w:rPr>
        <w:t>.</w:t>
      </w:r>
      <w:r w:rsidR="00B51342">
        <w:rPr>
          <w:rFonts w:eastAsia="Times New Roman"/>
        </w:rPr>
        <w:br w:type="page"/>
      </w:r>
    </w:p>
    <w:p w14:paraId="4A6F32C3" w14:textId="77777777" w:rsidR="008E0F74" w:rsidRPr="00FC3B7C" w:rsidRDefault="00256F29" w:rsidP="00B51342">
      <w:pPr>
        <w:ind w:left="4"/>
        <w:rPr>
          <w:sz w:val="20"/>
          <w:szCs w:val="20"/>
        </w:rPr>
      </w:pPr>
      <w:r w:rsidRPr="00FC3B7C">
        <w:rPr>
          <w:rFonts w:eastAsia="Times New Roman"/>
          <w:i/>
          <w:iCs/>
        </w:rPr>
        <w:lastRenderedPageBreak/>
        <w:t>Stabilizační funkce</w:t>
      </w:r>
    </w:p>
    <w:p w14:paraId="4A6F32C4" w14:textId="77777777" w:rsidR="008E0F74" w:rsidRPr="00FC3B7C" w:rsidRDefault="00256F29" w:rsidP="007920AC">
      <w:pPr>
        <w:rPr>
          <w:rFonts w:eastAsia="Times New Roman"/>
        </w:rPr>
      </w:pPr>
      <w:r w:rsidRPr="00FC3B7C">
        <w:rPr>
          <w:rFonts w:eastAsia="Times New Roman"/>
        </w:rPr>
        <w:t xml:space="preserve">Prostřednictvím této funkce mohou daně přispívat např. ke zmírňování cyklických výkyvů </w:t>
      </w:r>
      <w:r w:rsidR="007920AC">
        <w:rPr>
          <w:rFonts w:eastAsia="Times New Roman"/>
        </w:rPr>
        <w:br/>
      </w:r>
      <w:r w:rsidRPr="00FC3B7C">
        <w:rPr>
          <w:rFonts w:eastAsia="Times New Roman"/>
        </w:rPr>
        <w:t>v ekonomice.</w:t>
      </w:r>
      <w:r w:rsidR="007920AC">
        <w:rPr>
          <w:rFonts w:eastAsia="Times New Roman"/>
        </w:rPr>
        <w:t xml:space="preserve"> V </w:t>
      </w:r>
      <w:r w:rsidRPr="00FC3B7C">
        <w:rPr>
          <w:rFonts w:eastAsia="Times New Roman"/>
        </w:rPr>
        <w:t>období konjunktury daně odčerpávají do rozpočtů vyšší díl a zároveň dělají rezervu na horší časy. V období stagnace zase pomáhají ekonomiku nastartovat</w:t>
      </w:r>
    </w:p>
    <w:p w14:paraId="4A6F32C5" w14:textId="77777777" w:rsidR="008E0F74" w:rsidRPr="00FC3B7C" w:rsidRDefault="008E0F74">
      <w:pPr>
        <w:spacing w:line="89" w:lineRule="exact"/>
        <w:rPr>
          <w:sz w:val="20"/>
          <w:szCs w:val="20"/>
        </w:rPr>
      </w:pPr>
    </w:p>
    <w:p w14:paraId="4A6F32C6" w14:textId="77777777" w:rsidR="008E0F74" w:rsidRPr="00FC3B7C" w:rsidRDefault="00256F29" w:rsidP="00F65E23">
      <w:pPr>
        <w:spacing w:before="240"/>
        <w:ind w:left="4"/>
        <w:rPr>
          <w:sz w:val="20"/>
          <w:szCs w:val="20"/>
        </w:rPr>
      </w:pPr>
      <w:r w:rsidRPr="00FC3B7C">
        <w:rPr>
          <w:rFonts w:eastAsia="Times New Roman"/>
          <w:i/>
          <w:iCs/>
        </w:rPr>
        <w:t>Stimulační funkce</w:t>
      </w:r>
    </w:p>
    <w:p w14:paraId="4A6F32C7" w14:textId="3591ACF0" w:rsidR="008E0F74" w:rsidRDefault="00256F29" w:rsidP="00086E26">
      <w:pPr>
        <w:rPr>
          <w:rFonts w:eastAsia="Times New Roman"/>
        </w:rPr>
      </w:pPr>
      <w:r w:rsidRPr="00FC3B7C">
        <w:rPr>
          <w:rFonts w:eastAsia="Times New Roman"/>
        </w:rPr>
        <w:t>Využívá toho, že daně jsou subjekty vnímány zpravidla jako újma a subjekty jsou ochotny udělat hodně proto, aby svou daňovou povinnost omezily. Stát subjektům poskytuje různé formy daňových úspor anebo naopak je vystavuje vyššímu zdanění, aby podpořil ekonomický růst nebo je motivoval ke spotřebě určitých statků</w:t>
      </w:r>
      <w:r w:rsidR="00F65E23">
        <w:rPr>
          <w:rFonts w:eastAsia="Times New Roman"/>
        </w:rPr>
        <w:t xml:space="preserve"> </w:t>
      </w:r>
      <w:r w:rsidRPr="00FC3B7C">
        <w:rPr>
          <w:rFonts w:eastAsia="Times New Roman"/>
        </w:rPr>
        <w:t xml:space="preserve">- </w:t>
      </w:r>
      <w:r w:rsidRPr="00980D4E">
        <w:rPr>
          <w:rFonts w:eastAsia="Times New Roman"/>
        </w:rPr>
        <w:t xml:space="preserve">např. snižuje podnikatelské riziko tím, </w:t>
      </w:r>
      <w:r w:rsidR="00086E26" w:rsidRPr="00980D4E">
        <w:rPr>
          <w:rFonts w:eastAsia="Times New Roman"/>
        </w:rPr>
        <w:br/>
      </w:r>
      <w:r w:rsidRPr="00980D4E">
        <w:rPr>
          <w:rFonts w:eastAsia="Times New Roman"/>
        </w:rPr>
        <w:t>že subjektům umožňuje o ztrátu</w:t>
      </w:r>
      <w:r w:rsidR="00086E26" w:rsidRPr="00980D4E">
        <w:rPr>
          <w:rFonts w:eastAsia="Times New Roman"/>
        </w:rPr>
        <w:t xml:space="preserve"> </w:t>
      </w:r>
      <w:r w:rsidRPr="00980D4E">
        <w:rPr>
          <w:rFonts w:eastAsia="Times New Roman"/>
        </w:rPr>
        <w:t>podnikání v následujících letech snížit základ daně z příjmů nebo existují tzv. „daňové prázdniny“ – forma snížení daně konkrétní osobě za předpokladu, že splní určité podmínky (objem investic, nové technologie, tvorba pracovních míst, …).</w:t>
      </w:r>
    </w:p>
    <w:p w14:paraId="4A6F32C8" w14:textId="2987FE97" w:rsidR="008E0F74" w:rsidRPr="00FC3B7C" w:rsidRDefault="00256F29">
      <w:pPr>
        <w:rPr>
          <w:sz w:val="20"/>
          <w:szCs w:val="20"/>
        </w:rPr>
      </w:pPr>
      <w:bookmarkStart w:id="120" w:name="page117"/>
      <w:bookmarkEnd w:id="120"/>
      <w:r w:rsidRPr="00FC3B7C">
        <w:rPr>
          <w:rFonts w:eastAsia="Times New Roman"/>
        </w:rPr>
        <w:t xml:space="preserve">Existují i také negativní stimulace, které mají plátce odradit </w:t>
      </w:r>
      <w:r w:rsidR="00F65E23">
        <w:rPr>
          <w:rFonts w:eastAsia="Times New Roman"/>
        </w:rPr>
        <w:t>(</w:t>
      </w:r>
      <w:r w:rsidRPr="00FC3B7C">
        <w:rPr>
          <w:rFonts w:eastAsia="Times New Roman"/>
        </w:rPr>
        <w:t>např. vysoké zdanění alkoholu a cigaret</w:t>
      </w:r>
      <w:r w:rsidR="00F65E23">
        <w:rPr>
          <w:rFonts w:eastAsia="Times New Roman"/>
        </w:rPr>
        <w:t>)</w:t>
      </w:r>
      <w:r w:rsidRPr="00FC3B7C">
        <w:rPr>
          <w:rFonts w:eastAsia="Times New Roman"/>
        </w:rPr>
        <w:t>.</w:t>
      </w:r>
    </w:p>
    <w:p w14:paraId="4A6F32C9" w14:textId="77777777" w:rsidR="008E0F74" w:rsidRPr="00FC3B7C" w:rsidRDefault="00256F29">
      <w:pPr>
        <w:rPr>
          <w:sz w:val="20"/>
          <w:szCs w:val="20"/>
        </w:rPr>
      </w:pPr>
      <w:r w:rsidRPr="00FC3B7C">
        <w:rPr>
          <w:rFonts w:eastAsia="Times New Roman"/>
          <w:b/>
          <w:bCs/>
        </w:rPr>
        <w:t>Daň může být</w:t>
      </w:r>
    </w:p>
    <w:p w14:paraId="4A6F32CA" w14:textId="77777777" w:rsidR="008E0F74" w:rsidRPr="00FC3B7C" w:rsidRDefault="00256F29">
      <w:pPr>
        <w:tabs>
          <w:tab w:val="left" w:pos="700"/>
        </w:tabs>
        <w:spacing w:line="358" w:lineRule="auto"/>
        <w:ind w:left="720" w:hanging="359"/>
        <w:rPr>
          <w:sz w:val="20"/>
          <w:szCs w:val="20"/>
        </w:rPr>
      </w:pPr>
      <w:r w:rsidRPr="00FC3B7C">
        <w:rPr>
          <w:rFonts w:eastAsia="Arial"/>
          <w:sz w:val="20"/>
          <w:szCs w:val="20"/>
        </w:rPr>
        <w:t>•</w:t>
      </w:r>
      <w:r w:rsidRPr="00FC3B7C">
        <w:rPr>
          <w:sz w:val="20"/>
          <w:szCs w:val="20"/>
        </w:rPr>
        <w:tab/>
      </w:r>
      <w:r w:rsidRPr="00FC3B7C">
        <w:rPr>
          <w:rFonts w:eastAsia="Times New Roman"/>
          <w:b/>
          <w:bCs/>
          <w:szCs w:val="24"/>
        </w:rPr>
        <w:t xml:space="preserve">Progresivní – </w:t>
      </w:r>
      <w:r w:rsidRPr="00FC3B7C">
        <w:rPr>
          <w:rFonts w:eastAsia="Times New Roman"/>
          <w:szCs w:val="24"/>
        </w:rPr>
        <w:t>přerozděluje důchod od subjektů</w:t>
      </w:r>
      <w:r w:rsidRPr="00FC3B7C">
        <w:rPr>
          <w:rFonts w:eastAsia="Times New Roman"/>
          <w:b/>
          <w:bCs/>
          <w:szCs w:val="24"/>
        </w:rPr>
        <w:t xml:space="preserve"> </w:t>
      </w:r>
      <w:r w:rsidRPr="00FC3B7C">
        <w:rPr>
          <w:rFonts w:eastAsia="Times New Roman"/>
          <w:szCs w:val="24"/>
        </w:rPr>
        <w:t>s většími důchody k subjektům</w:t>
      </w:r>
      <w:r w:rsidRPr="00FC3B7C">
        <w:rPr>
          <w:rFonts w:eastAsia="Times New Roman"/>
          <w:b/>
          <w:bCs/>
          <w:szCs w:val="24"/>
        </w:rPr>
        <w:t xml:space="preserve"> </w:t>
      </w:r>
      <w:r w:rsidRPr="00FC3B7C">
        <w:rPr>
          <w:rFonts w:eastAsia="Times New Roman"/>
          <w:szCs w:val="24"/>
        </w:rPr>
        <w:t>s menšími důchody</w:t>
      </w:r>
    </w:p>
    <w:p w14:paraId="4A6F32CB" w14:textId="77777777" w:rsidR="008E0F74" w:rsidRPr="00FC3B7C" w:rsidRDefault="008E0F74">
      <w:pPr>
        <w:spacing w:line="2" w:lineRule="exact"/>
        <w:rPr>
          <w:sz w:val="20"/>
          <w:szCs w:val="20"/>
        </w:rPr>
      </w:pPr>
    </w:p>
    <w:p w14:paraId="4A6F32CC" w14:textId="77777777" w:rsidR="008E0F74" w:rsidRPr="00FC3B7C" w:rsidRDefault="00256F29" w:rsidP="00270319">
      <w:pPr>
        <w:numPr>
          <w:ilvl w:val="0"/>
          <w:numId w:val="99"/>
        </w:numPr>
        <w:tabs>
          <w:tab w:val="left" w:pos="720"/>
        </w:tabs>
        <w:ind w:left="720" w:hanging="364"/>
        <w:rPr>
          <w:rFonts w:eastAsia="Arial"/>
          <w:sz w:val="20"/>
          <w:szCs w:val="20"/>
        </w:rPr>
      </w:pPr>
      <w:r w:rsidRPr="00FC3B7C">
        <w:rPr>
          <w:rFonts w:eastAsia="Times New Roman"/>
          <w:b/>
          <w:bCs/>
          <w:szCs w:val="24"/>
        </w:rPr>
        <w:t xml:space="preserve">Proporcionální </w:t>
      </w:r>
      <w:r w:rsidRPr="00FC3B7C">
        <w:rPr>
          <w:rFonts w:eastAsia="Times New Roman"/>
          <w:szCs w:val="24"/>
        </w:rPr>
        <w:t>– přerozděluje důchody mezi jedinci s různou úrovní důchodu</w:t>
      </w:r>
    </w:p>
    <w:p w14:paraId="4A6F32CD" w14:textId="77777777" w:rsidR="008E0F74" w:rsidRPr="00FC3B7C" w:rsidRDefault="008E0F74">
      <w:pPr>
        <w:spacing w:line="141" w:lineRule="exact"/>
        <w:rPr>
          <w:rFonts w:eastAsia="Arial"/>
          <w:sz w:val="20"/>
          <w:szCs w:val="20"/>
        </w:rPr>
      </w:pPr>
    </w:p>
    <w:p w14:paraId="4A6F32CE" w14:textId="77777777" w:rsidR="008E0F74" w:rsidRPr="00FC3B7C" w:rsidRDefault="00256F29" w:rsidP="00270319">
      <w:pPr>
        <w:numPr>
          <w:ilvl w:val="0"/>
          <w:numId w:val="99"/>
        </w:numPr>
        <w:tabs>
          <w:tab w:val="left" w:pos="720"/>
        </w:tabs>
        <w:ind w:left="720" w:hanging="364"/>
        <w:rPr>
          <w:rFonts w:eastAsia="Arial"/>
          <w:sz w:val="20"/>
          <w:szCs w:val="20"/>
        </w:rPr>
      </w:pPr>
      <w:r w:rsidRPr="00FC3B7C">
        <w:rPr>
          <w:rFonts w:eastAsia="Times New Roman"/>
          <w:b/>
          <w:bCs/>
          <w:szCs w:val="24"/>
        </w:rPr>
        <w:t xml:space="preserve">Degresivní </w:t>
      </w:r>
      <w:r w:rsidRPr="00FC3B7C">
        <w:rPr>
          <w:rFonts w:eastAsia="Times New Roman"/>
          <w:szCs w:val="24"/>
        </w:rPr>
        <w:t>– více dopadá na subjekty s menšími důchody, např. zdanění spotřeby</w:t>
      </w:r>
    </w:p>
    <w:p w14:paraId="4A6F32CF" w14:textId="77777777" w:rsidR="008E0F74" w:rsidRPr="00FC3B7C" w:rsidRDefault="008E0F74">
      <w:pPr>
        <w:spacing w:line="200" w:lineRule="exact"/>
        <w:rPr>
          <w:sz w:val="20"/>
          <w:szCs w:val="20"/>
        </w:rPr>
      </w:pPr>
    </w:p>
    <w:p w14:paraId="4A6F32D1" w14:textId="77777777" w:rsidR="008E0F74" w:rsidRPr="00FC3B7C" w:rsidRDefault="00256F29">
      <w:pPr>
        <w:rPr>
          <w:sz w:val="20"/>
          <w:szCs w:val="20"/>
        </w:rPr>
      </w:pPr>
      <w:r w:rsidRPr="00FC3B7C">
        <w:rPr>
          <w:rFonts w:eastAsia="Times New Roman"/>
          <w:b/>
          <w:bCs/>
        </w:rPr>
        <w:t>Základní typologie daní podle předmětu</w:t>
      </w:r>
    </w:p>
    <w:p w14:paraId="4A6F32D2" w14:textId="77777777" w:rsidR="008E0F74" w:rsidRPr="00FC3B7C" w:rsidRDefault="00256F29">
      <w:pPr>
        <w:rPr>
          <w:sz w:val="20"/>
          <w:szCs w:val="20"/>
        </w:rPr>
      </w:pPr>
      <w:r w:rsidRPr="00FC3B7C">
        <w:rPr>
          <w:rFonts w:eastAsia="Times New Roman"/>
          <w:b/>
          <w:bCs/>
        </w:rPr>
        <w:t xml:space="preserve">Daně přímé </w:t>
      </w:r>
      <w:r w:rsidRPr="00FC3B7C">
        <w:rPr>
          <w:rFonts w:eastAsia="Times New Roman"/>
        </w:rPr>
        <w:t>– ptáme se KDO?</w:t>
      </w:r>
    </w:p>
    <w:p w14:paraId="4A6F32D3" w14:textId="77777777" w:rsidR="008E0F74" w:rsidRPr="00FC3B7C" w:rsidRDefault="00256F29" w:rsidP="00270319">
      <w:pPr>
        <w:numPr>
          <w:ilvl w:val="0"/>
          <w:numId w:val="100"/>
        </w:numPr>
        <w:tabs>
          <w:tab w:val="left" w:pos="720"/>
        </w:tabs>
        <w:ind w:left="720" w:hanging="364"/>
        <w:rPr>
          <w:rFonts w:eastAsia="Arial"/>
          <w:sz w:val="20"/>
          <w:szCs w:val="20"/>
        </w:rPr>
      </w:pPr>
      <w:r w:rsidRPr="00FC3B7C">
        <w:rPr>
          <w:rFonts w:eastAsia="Times New Roman"/>
          <w:szCs w:val="24"/>
        </w:rPr>
        <w:t>důchodové</w:t>
      </w:r>
    </w:p>
    <w:p w14:paraId="4A6F32D4" w14:textId="77777777" w:rsidR="008E0F74" w:rsidRPr="00FC3B7C" w:rsidRDefault="00256F29" w:rsidP="00270319">
      <w:pPr>
        <w:numPr>
          <w:ilvl w:val="0"/>
          <w:numId w:val="100"/>
        </w:numPr>
        <w:tabs>
          <w:tab w:val="left" w:pos="720"/>
        </w:tabs>
        <w:ind w:left="720" w:hanging="364"/>
        <w:rPr>
          <w:rFonts w:eastAsia="Arial"/>
          <w:sz w:val="20"/>
          <w:szCs w:val="20"/>
        </w:rPr>
      </w:pPr>
      <w:r w:rsidRPr="00FC3B7C">
        <w:rPr>
          <w:rFonts w:eastAsia="Times New Roman"/>
          <w:szCs w:val="24"/>
        </w:rPr>
        <w:t>majetkové</w:t>
      </w:r>
    </w:p>
    <w:p w14:paraId="4A6F32D5" w14:textId="70231475" w:rsidR="008E0F74" w:rsidRPr="00FC3B7C" w:rsidRDefault="00256F29">
      <w:pPr>
        <w:rPr>
          <w:sz w:val="20"/>
          <w:szCs w:val="20"/>
        </w:rPr>
      </w:pPr>
      <w:r w:rsidRPr="00FC3B7C">
        <w:rPr>
          <w:rFonts w:eastAsia="Times New Roman"/>
          <w:b/>
          <w:bCs/>
        </w:rPr>
        <w:t xml:space="preserve">Daně nepřímé </w:t>
      </w:r>
      <w:r w:rsidRPr="00FC3B7C">
        <w:rPr>
          <w:rFonts w:eastAsia="Times New Roman"/>
        </w:rPr>
        <w:t xml:space="preserve">– ptáme se CO? </w:t>
      </w:r>
      <w:r w:rsidR="000506FA" w:rsidRPr="00FC3B7C">
        <w:rPr>
          <w:rFonts w:eastAsia="Times New Roman"/>
        </w:rPr>
        <w:t>Prostřednictvím</w:t>
      </w:r>
      <w:r w:rsidRPr="00FC3B7C">
        <w:rPr>
          <w:rFonts w:eastAsia="Times New Roman"/>
        </w:rPr>
        <w:t xml:space="preserve"> koho?</w:t>
      </w:r>
      <w:r w:rsidRPr="00FC3B7C">
        <w:rPr>
          <w:rFonts w:eastAsia="Times New Roman"/>
          <w:b/>
          <w:bCs/>
        </w:rPr>
        <w:t xml:space="preserve"> </w:t>
      </w:r>
      <w:r w:rsidRPr="00FC3B7C">
        <w:rPr>
          <w:rFonts w:eastAsia="Times New Roman"/>
        </w:rPr>
        <w:t>ð</w:t>
      </w:r>
      <w:r w:rsidRPr="00FC3B7C">
        <w:rPr>
          <w:rFonts w:eastAsia="Times New Roman"/>
          <w:b/>
          <w:bCs/>
        </w:rPr>
        <w:t xml:space="preserve"> </w:t>
      </w:r>
      <w:r w:rsidRPr="00FC3B7C">
        <w:rPr>
          <w:rFonts w:eastAsia="Times New Roman"/>
        </w:rPr>
        <w:t>daně</w:t>
      </w:r>
      <w:r w:rsidRPr="00FC3B7C">
        <w:rPr>
          <w:rFonts w:eastAsia="Times New Roman"/>
          <w:b/>
          <w:bCs/>
        </w:rPr>
        <w:t xml:space="preserve"> </w:t>
      </w:r>
      <w:r w:rsidRPr="00FC3B7C">
        <w:rPr>
          <w:rFonts w:eastAsia="Times New Roman"/>
        </w:rPr>
        <w:t>ze spotřeby</w:t>
      </w:r>
    </w:p>
    <w:p w14:paraId="4A6F32D6" w14:textId="77777777" w:rsidR="008E0F74" w:rsidRPr="00FC3B7C" w:rsidRDefault="00256F29" w:rsidP="00270319">
      <w:pPr>
        <w:numPr>
          <w:ilvl w:val="0"/>
          <w:numId w:val="101"/>
        </w:numPr>
        <w:tabs>
          <w:tab w:val="left" w:pos="720"/>
        </w:tabs>
        <w:ind w:left="720" w:hanging="364"/>
        <w:rPr>
          <w:rFonts w:eastAsia="Arial"/>
          <w:sz w:val="20"/>
          <w:szCs w:val="20"/>
        </w:rPr>
      </w:pPr>
      <w:r w:rsidRPr="00FC3B7C">
        <w:rPr>
          <w:rFonts w:eastAsia="Times New Roman"/>
          <w:szCs w:val="24"/>
        </w:rPr>
        <w:t>univerzální</w:t>
      </w:r>
    </w:p>
    <w:p w14:paraId="4A6F32D7" w14:textId="77777777" w:rsidR="008E0F74" w:rsidRPr="00FC3B7C" w:rsidRDefault="00850B5D" w:rsidP="00270319">
      <w:pPr>
        <w:numPr>
          <w:ilvl w:val="0"/>
          <w:numId w:val="101"/>
        </w:numPr>
        <w:tabs>
          <w:tab w:val="left" w:pos="720"/>
        </w:tabs>
        <w:ind w:left="720" w:hanging="364"/>
        <w:rPr>
          <w:rFonts w:eastAsia="Arial"/>
          <w:sz w:val="20"/>
          <w:szCs w:val="20"/>
        </w:rPr>
      </w:pPr>
      <w:r w:rsidRPr="00FC3B7C">
        <w:rPr>
          <w:noProof/>
          <w:sz w:val="20"/>
          <w:szCs w:val="20"/>
        </w:rPr>
        <w:drawing>
          <wp:anchor distT="0" distB="0" distL="114300" distR="114300" simplePos="0" relativeHeight="251548160" behindDoc="1" locked="0" layoutInCell="0" allowOverlap="1" wp14:anchorId="4A6F5C6A" wp14:editId="191C9F8A">
            <wp:simplePos x="0" y="0"/>
            <wp:positionH relativeFrom="column">
              <wp:posOffset>-1905</wp:posOffset>
            </wp:positionH>
            <wp:positionV relativeFrom="paragraph">
              <wp:posOffset>255905</wp:posOffset>
            </wp:positionV>
            <wp:extent cx="4346575" cy="2121535"/>
            <wp:effectExtent l="76200" t="76200" r="73025" b="6921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srcRect/>
                    <a:stretch>
                      <a:fillRect/>
                    </a:stretch>
                  </pic:blipFill>
                  <pic:spPr bwMode="auto">
                    <a:xfrm>
                      <a:off x="0" y="0"/>
                      <a:ext cx="4346575" cy="2121535"/>
                    </a:xfrm>
                    <a:prstGeom prst="rect">
                      <a:avLst/>
                    </a:prstGeom>
                    <a:noFill/>
                    <a:ln w="76200">
                      <a:solidFill>
                        <a:srgbClr val="FFFF00"/>
                      </a:solidFill>
                    </a:ln>
                  </pic:spPr>
                </pic:pic>
              </a:graphicData>
            </a:graphic>
          </wp:anchor>
        </w:drawing>
      </w:r>
      <w:r w:rsidR="00256F29" w:rsidRPr="00FC3B7C">
        <w:rPr>
          <w:rFonts w:eastAsia="Times New Roman"/>
          <w:szCs w:val="24"/>
        </w:rPr>
        <w:t>selektivní</w:t>
      </w:r>
    </w:p>
    <w:p w14:paraId="4A6F32D8" w14:textId="77777777" w:rsidR="008E0F74" w:rsidRPr="00FC3B7C" w:rsidRDefault="008E0F74">
      <w:pPr>
        <w:spacing w:line="20" w:lineRule="exact"/>
        <w:rPr>
          <w:sz w:val="20"/>
          <w:szCs w:val="20"/>
        </w:rPr>
      </w:pPr>
    </w:p>
    <w:p w14:paraId="4A6F32D9" w14:textId="77777777" w:rsidR="008E0F74" w:rsidRPr="00FC3B7C" w:rsidRDefault="008E0F74">
      <w:pPr>
        <w:spacing w:line="200" w:lineRule="exact"/>
        <w:rPr>
          <w:sz w:val="20"/>
          <w:szCs w:val="20"/>
        </w:rPr>
      </w:pPr>
    </w:p>
    <w:p w14:paraId="4A6F32DA" w14:textId="77777777" w:rsidR="008E0F74" w:rsidRPr="00FC3B7C" w:rsidRDefault="008E0F74">
      <w:pPr>
        <w:spacing w:line="200" w:lineRule="exact"/>
        <w:rPr>
          <w:sz w:val="20"/>
          <w:szCs w:val="20"/>
        </w:rPr>
      </w:pPr>
    </w:p>
    <w:p w14:paraId="4A6F32DB" w14:textId="77777777" w:rsidR="008E0F74" w:rsidRPr="00FC3B7C" w:rsidRDefault="008E0F74">
      <w:pPr>
        <w:spacing w:line="200" w:lineRule="exact"/>
        <w:rPr>
          <w:sz w:val="20"/>
          <w:szCs w:val="20"/>
        </w:rPr>
      </w:pPr>
    </w:p>
    <w:p w14:paraId="4A6F32DC" w14:textId="77777777" w:rsidR="008E0F74" w:rsidRPr="00FC3B7C" w:rsidRDefault="008E0F74">
      <w:pPr>
        <w:spacing w:line="200" w:lineRule="exact"/>
        <w:rPr>
          <w:sz w:val="20"/>
          <w:szCs w:val="20"/>
        </w:rPr>
      </w:pPr>
    </w:p>
    <w:p w14:paraId="4A6F32DD" w14:textId="77777777" w:rsidR="008E0F74" w:rsidRPr="00FC3B7C" w:rsidRDefault="008E0F74">
      <w:pPr>
        <w:spacing w:line="200" w:lineRule="exact"/>
        <w:rPr>
          <w:sz w:val="20"/>
          <w:szCs w:val="20"/>
        </w:rPr>
      </w:pPr>
    </w:p>
    <w:p w14:paraId="4A6F32DE" w14:textId="77777777" w:rsidR="008E0F74" w:rsidRPr="00FC3B7C" w:rsidRDefault="008E0F74">
      <w:pPr>
        <w:spacing w:line="200" w:lineRule="exact"/>
        <w:rPr>
          <w:sz w:val="20"/>
          <w:szCs w:val="20"/>
        </w:rPr>
      </w:pPr>
    </w:p>
    <w:p w14:paraId="4A6F32DF" w14:textId="77777777" w:rsidR="008E0F74" w:rsidRPr="00FC3B7C" w:rsidRDefault="008E0F74">
      <w:pPr>
        <w:spacing w:line="200" w:lineRule="exact"/>
        <w:rPr>
          <w:sz w:val="20"/>
          <w:szCs w:val="20"/>
        </w:rPr>
      </w:pPr>
    </w:p>
    <w:p w14:paraId="4A6F32E0" w14:textId="77777777" w:rsidR="008E0F74" w:rsidRPr="00FC3B7C" w:rsidRDefault="008E0F74">
      <w:pPr>
        <w:spacing w:line="200" w:lineRule="exact"/>
        <w:rPr>
          <w:sz w:val="20"/>
          <w:szCs w:val="20"/>
        </w:rPr>
      </w:pPr>
    </w:p>
    <w:p w14:paraId="4A6F32E1" w14:textId="77777777" w:rsidR="008E0F74" w:rsidRPr="00FC3B7C" w:rsidRDefault="008E0F74">
      <w:pPr>
        <w:spacing w:line="200" w:lineRule="exact"/>
        <w:rPr>
          <w:sz w:val="20"/>
          <w:szCs w:val="20"/>
        </w:rPr>
      </w:pPr>
    </w:p>
    <w:p w14:paraId="4A6F32E2" w14:textId="77777777" w:rsidR="008E0F74" w:rsidRPr="00FC3B7C" w:rsidRDefault="008E0F74">
      <w:pPr>
        <w:spacing w:line="200" w:lineRule="exact"/>
        <w:rPr>
          <w:sz w:val="20"/>
          <w:szCs w:val="20"/>
        </w:rPr>
      </w:pPr>
    </w:p>
    <w:p w14:paraId="4A6F32E3" w14:textId="77777777" w:rsidR="008E0F74" w:rsidRPr="00FC3B7C" w:rsidRDefault="008E0F74">
      <w:pPr>
        <w:spacing w:line="200" w:lineRule="exact"/>
        <w:rPr>
          <w:sz w:val="20"/>
          <w:szCs w:val="20"/>
        </w:rPr>
      </w:pPr>
    </w:p>
    <w:p w14:paraId="4A6F32E4" w14:textId="77777777" w:rsidR="008E0F74" w:rsidRPr="00FC3B7C" w:rsidRDefault="008E0F74">
      <w:pPr>
        <w:spacing w:line="200" w:lineRule="exact"/>
        <w:rPr>
          <w:sz w:val="20"/>
          <w:szCs w:val="20"/>
        </w:rPr>
      </w:pPr>
    </w:p>
    <w:p w14:paraId="4A6F32EC" w14:textId="77777777" w:rsidR="008E0F74" w:rsidRPr="00FC3B7C" w:rsidRDefault="00256F29">
      <w:pPr>
        <w:rPr>
          <w:sz w:val="20"/>
          <w:szCs w:val="20"/>
        </w:rPr>
      </w:pPr>
      <w:r w:rsidRPr="00FC3B7C">
        <w:rPr>
          <w:rFonts w:eastAsia="Times New Roman"/>
          <w:b/>
          <w:bCs/>
          <w:szCs w:val="24"/>
        </w:rPr>
        <w:lastRenderedPageBreak/>
        <w:t xml:space="preserve">Daně přímé </w:t>
      </w:r>
      <w:r w:rsidRPr="00FC3B7C">
        <w:rPr>
          <w:rFonts w:eastAsia="Times New Roman"/>
          <w:szCs w:val="24"/>
        </w:rPr>
        <w:t>- zdaňují majetek nebo příjem</w:t>
      </w:r>
    </w:p>
    <w:p w14:paraId="4A6F32ED" w14:textId="613E9E9A" w:rsidR="008E0F74" w:rsidRPr="00FC3B7C" w:rsidRDefault="00256F29" w:rsidP="00270319">
      <w:pPr>
        <w:numPr>
          <w:ilvl w:val="0"/>
          <w:numId w:val="102"/>
        </w:numPr>
        <w:tabs>
          <w:tab w:val="left" w:pos="1000"/>
        </w:tabs>
        <w:ind w:left="1000" w:hanging="360"/>
        <w:rPr>
          <w:rFonts w:eastAsia="Arial"/>
          <w:szCs w:val="24"/>
        </w:rPr>
      </w:pPr>
      <w:r w:rsidRPr="00FC3B7C">
        <w:rPr>
          <w:rFonts w:eastAsia="Times New Roman"/>
          <w:szCs w:val="24"/>
        </w:rPr>
        <w:t>Dan z příjmu FO</w:t>
      </w:r>
    </w:p>
    <w:p w14:paraId="4A6F32EE" w14:textId="3A57592E" w:rsidR="008E0F74" w:rsidRPr="00FC3B7C" w:rsidRDefault="00256F29" w:rsidP="00270319">
      <w:pPr>
        <w:numPr>
          <w:ilvl w:val="0"/>
          <w:numId w:val="102"/>
        </w:numPr>
        <w:tabs>
          <w:tab w:val="left" w:pos="1000"/>
        </w:tabs>
        <w:ind w:left="1000" w:hanging="360"/>
        <w:rPr>
          <w:rFonts w:eastAsia="Arial"/>
          <w:szCs w:val="24"/>
        </w:rPr>
      </w:pPr>
      <w:r w:rsidRPr="00FC3B7C">
        <w:rPr>
          <w:rFonts w:eastAsia="Times New Roman"/>
          <w:szCs w:val="24"/>
        </w:rPr>
        <w:t>Daň z příjmu PO</w:t>
      </w:r>
    </w:p>
    <w:p w14:paraId="4A6F32EF" w14:textId="44050E61" w:rsidR="008E0F74" w:rsidRPr="00FC3B7C" w:rsidRDefault="00256F29" w:rsidP="00270319">
      <w:pPr>
        <w:numPr>
          <w:ilvl w:val="0"/>
          <w:numId w:val="102"/>
        </w:numPr>
        <w:tabs>
          <w:tab w:val="left" w:pos="1000"/>
        </w:tabs>
        <w:ind w:left="1000" w:hanging="360"/>
        <w:rPr>
          <w:rFonts w:eastAsia="Arial"/>
          <w:szCs w:val="24"/>
        </w:rPr>
      </w:pPr>
      <w:r w:rsidRPr="00FC3B7C">
        <w:rPr>
          <w:rFonts w:eastAsia="Times New Roman"/>
          <w:szCs w:val="24"/>
        </w:rPr>
        <w:t>Daň z</w:t>
      </w:r>
      <w:r w:rsidR="00850B5D">
        <w:rPr>
          <w:rFonts w:eastAsia="Times New Roman"/>
          <w:szCs w:val="24"/>
        </w:rPr>
        <w:t> </w:t>
      </w:r>
      <w:r w:rsidRPr="00FC3B7C">
        <w:rPr>
          <w:rFonts w:eastAsia="Times New Roman"/>
          <w:szCs w:val="24"/>
        </w:rPr>
        <w:t>nemovitosti</w:t>
      </w:r>
    </w:p>
    <w:p w14:paraId="4A6F32F0" w14:textId="110582D2" w:rsidR="008E0F74" w:rsidRPr="00FC3B7C" w:rsidRDefault="00256F29" w:rsidP="00270319">
      <w:pPr>
        <w:numPr>
          <w:ilvl w:val="0"/>
          <w:numId w:val="102"/>
        </w:numPr>
        <w:tabs>
          <w:tab w:val="left" w:pos="1000"/>
        </w:tabs>
        <w:ind w:left="1000" w:hanging="360"/>
        <w:rPr>
          <w:rFonts w:eastAsia="Arial"/>
          <w:szCs w:val="24"/>
        </w:rPr>
      </w:pPr>
      <w:r w:rsidRPr="00FC3B7C">
        <w:rPr>
          <w:rFonts w:eastAsia="Times New Roman"/>
          <w:szCs w:val="24"/>
        </w:rPr>
        <w:t>Daň z nabytí nemovitých věcí</w:t>
      </w:r>
    </w:p>
    <w:p w14:paraId="4A6F32F1" w14:textId="1B787521" w:rsidR="008E0F74" w:rsidRPr="00FC3B7C" w:rsidRDefault="00256F29" w:rsidP="00270319">
      <w:pPr>
        <w:numPr>
          <w:ilvl w:val="0"/>
          <w:numId w:val="102"/>
        </w:numPr>
        <w:tabs>
          <w:tab w:val="left" w:pos="1000"/>
        </w:tabs>
        <w:ind w:left="1000" w:hanging="360"/>
        <w:rPr>
          <w:rFonts w:eastAsia="Arial"/>
          <w:szCs w:val="24"/>
        </w:rPr>
      </w:pPr>
      <w:r w:rsidRPr="00FC3B7C">
        <w:rPr>
          <w:rFonts w:eastAsia="Times New Roman"/>
          <w:szCs w:val="24"/>
        </w:rPr>
        <w:t>Daň dědická a darovací</w:t>
      </w:r>
    </w:p>
    <w:p w14:paraId="4A6F32F2" w14:textId="7732275C" w:rsidR="00850B5D" w:rsidRPr="00850B5D" w:rsidRDefault="00256F29" w:rsidP="00270319">
      <w:pPr>
        <w:numPr>
          <w:ilvl w:val="0"/>
          <w:numId w:val="102"/>
        </w:numPr>
        <w:tabs>
          <w:tab w:val="left" w:pos="1000"/>
        </w:tabs>
        <w:ind w:left="1000" w:hanging="360"/>
        <w:rPr>
          <w:sz w:val="20"/>
          <w:szCs w:val="20"/>
        </w:rPr>
      </w:pPr>
      <w:r w:rsidRPr="00850B5D">
        <w:rPr>
          <w:rFonts w:eastAsia="Times New Roman"/>
          <w:szCs w:val="24"/>
        </w:rPr>
        <w:t>Daň silniční</w:t>
      </w:r>
      <w:bookmarkStart w:id="121" w:name="page118"/>
      <w:bookmarkEnd w:id="121"/>
    </w:p>
    <w:p w14:paraId="4A6F32F3" w14:textId="77777777" w:rsidR="008E0F74" w:rsidRPr="00850B5D" w:rsidRDefault="00256F29" w:rsidP="00850B5D">
      <w:pPr>
        <w:rPr>
          <w:rFonts w:eastAsia="Times New Roman"/>
          <w:bCs/>
          <w:szCs w:val="24"/>
        </w:rPr>
      </w:pPr>
      <w:r w:rsidRPr="00850B5D">
        <w:rPr>
          <w:rFonts w:eastAsia="Times New Roman"/>
          <w:b/>
          <w:bCs/>
          <w:szCs w:val="24"/>
        </w:rPr>
        <w:t xml:space="preserve">Daně nepřímé - </w:t>
      </w:r>
      <w:r w:rsidRPr="00850B5D">
        <w:rPr>
          <w:rFonts w:eastAsia="Times New Roman"/>
          <w:bCs/>
          <w:szCs w:val="24"/>
        </w:rPr>
        <w:t>zdaňují prodej zboží nebo služeb</w:t>
      </w:r>
    </w:p>
    <w:p w14:paraId="4A6F32F4" w14:textId="23B09226" w:rsidR="008E0F74" w:rsidRPr="00FC3B7C" w:rsidRDefault="00F65E23" w:rsidP="00270319">
      <w:pPr>
        <w:numPr>
          <w:ilvl w:val="0"/>
          <w:numId w:val="103"/>
        </w:numPr>
        <w:tabs>
          <w:tab w:val="left" w:pos="1000"/>
        </w:tabs>
        <w:ind w:left="1000" w:hanging="360"/>
        <w:rPr>
          <w:rFonts w:eastAsia="Arial"/>
          <w:szCs w:val="24"/>
        </w:rPr>
      </w:pPr>
      <w:r w:rsidRPr="00FC3B7C">
        <w:rPr>
          <w:rFonts w:eastAsia="Times New Roman"/>
          <w:szCs w:val="24"/>
        </w:rPr>
        <w:t>Selektivní – spotřební daň</w:t>
      </w:r>
    </w:p>
    <w:p w14:paraId="4A6F32F5" w14:textId="7C36830E" w:rsidR="008E0F74" w:rsidRPr="00FC3B7C" w:rsidRDefault="00F65E23" w:rsidP="00270319">
      <w:pPr>
        <w:numPr>
          <w:ilvl w:val="0"/>
          <w:numId w:val="103"/>
        </w:numPr>
        <w:tabs>
          <w:tab w:val="left" w:pos="1000"/>
        </w:tabs>
        <w:ind w:left="1000" w:hanging="360"/>
        <w:rPr>
          <w:rFonts w:eastAsia="Arial"/>
          <w:szCs w:val="24"/>
        </w:rPr>
      </w:pPr>
      <w:r w:rsidRPr="00FC3B7C">
        <w:rPr>
          <w:rFonts w:eastAsia="Times New Roman"/>
          <w:szCs w:val="24"/>
        </w:rPr>
        <w:t>Ekologická daň</w:t>
      </w:r>
    </w:p>
    <w:p w14:paraId="4A6F32F6" w14:textId="4984DE2F" w:rsidR="008E0F74" w:rsidRPr="00FC3B7C" w:rsidRDefault="00F65E23" w:rsidP="00270319">
      <w:pPr>
        <w:numPr>
          <w:ilvl w:val="0"/>
          <w:numId w:val="103"/>
        </w:numPr>
        <w:tabs>
          <w:tab w:val="left" w:pos="1000"/>
        </w:tabs>
        <w:ind w:left="1000" w:hanging="360"/>
        <w:rPr>
          <w:rFonts w:eastAsia="Arial"/>
          <w:szCs w:val="24"/>
        </w:rPr>
      </w:pPr>
      <w:r w:rsidRPr="00FC3B7C">
        <w:rPr>
          <w:rFonts w:eastAsia="Times New Roman"/>
          <w:szCs w:val="24"/>
        </w:rPr>
        <w:t>Univerzální – DPH</w:t>
      </w:r>
    </w:p>
    <w:p w14:paraId="4A6F32F7" w14:textId="77777777" w:rsidR="008E0F74" w:rsidRPr="00850B5D" w:rsidRDefault="00256F29" w:rsidP="00850B5D">
      <w:pPr>
        <w:spacing w:before="240"/>
        <w:rPr>
          <w:rFonts w:eastAsia="Times New Roman"/>
          <w:b/>
          <w:bCs/>
          <w:szCs w:val="24"/>
        </w:rPr>
      </w:pPr>
      <w:r w:rsidRPr="00FC3B7C">
        <w:rPr>
          <w:rFonts w:eastAsia="Times New Roman"/>
          <w:b/>
          <w:bCs/>
          <w:szCs w:val="24"/>
        </w:rPr>
        <w:t>Kvazidaně</w:t>
      </w:r>
    </w:p>
    <w:p w14:paraId="4A6F32F8" w14:textId="77777777" w:rsidR="008E0F74" w:rsidRPr="00FC3B7C" w:rsidRDefault="00256F29" w:rsidP="00086E26">
      <w:pPr>
        <w:rPr>
          <w:sz w:val="20"/>
          <w:szCs w:val="20"/>
        </w:rPr>
      </w:pPr>
      <w:r w:rsidRPr="00FC3B7C">
        <w:rPr>
          <w:rFonts w:eastAsia="Times New Roman"/>
        </w:rPr>
        <w:t xml:space="preserve">Tedy povinné platby, které musí poplatník či plátce platit, ale oproti nim existuje nárok </w:t>
      </w:r>
      <w:r w:rsidR="00086E26">
        <w:rPr>
          <w:rFonts w:eastAsia="Times New Roman"/>
        </w:rPr>
        <w:br/>
      </w:r>
      <w:r w:rsidRPr="00FC3B7C">
        <w:rPr>
          <w:rFonts w:eastAsia="Times New Roman"/>
        </w:rPr>
        <w:t xml:space="preserve">na určité stanovené plnění. Konkrétně jde o povinné zdravotní a sociální pojištění, poplatek </w:t>
      </w:r>
      <w:r w:rsidR="00086E26">
        <w:rPr>
          <w:rFonts w:eastAsia="Times New Roman"/>
        </w:rPr>
        <w:br/>
      </w:r>
      <w:r w:rsidRPr="00FC3B7C">
        <w:rPr>
          <w:rFonts w:eastAsia="Times New Roman"/>
        </w:rPr>
        <w:t>za svoz komunálního odpadu, poplatek za TV a rozhlas, povinné ručení u motorových vozidel.</w:t>
      </w:r>
    </w:p>
    <w:p w14:paraId="4A6F32F9" w14:textId="77777777" w:rsidR="008E0F74" w:rsidRPr="00FC3B7C" w:rsidRDefault="008E0F74">
      <w:pPr>
        <w:spacing w:line="187" w:lineRule="exact"/>
        <w:rPr>
          <w:sz w:val="20"/>
          <w:szCs w:val="20"/>
        </w:rPr>
      </w:pPr>
    </w:p>
    <w:p w14:paraId="4A6F32FA" w14:textId="77777777" w:rsidR="008E0F74" w:rsidRPr="000529F1" w:rsidRDefault="00256F29" w:rsidP="00850B5D">
      <w:pPr>
        <w:pStyle w:val="Nadpis4"/>
        <w:rPr>
          <w:color w:val="1F3864" w:themeColor="accent1" w:themeShade="80"/>
          <w:sz w:val="20"/>
          <w:szCs w:val="20"/>
        </w:rPr>
      </w:pPr>
      <w:r w:rsidRPr="000529F1">
        <w:rPr>
          <w:rFonts w:eastAsia="Times New Roman"/>
          <w:color w:val="1F3864" w:themeColor="accent1" w:themeShade="80"/>
        </w:rPr>
        <w:t>Nedaňové příjmy</w:t>
      </w:r>
    </w:p>
    <w:p w14:paraId="4A6F32FB" w14:textId="77777777" w:rsidR="008E0F74" w:rsidRPr="00FC3B7C" w:rsidRDefault="00256F29">
      <w:pPr>
        <w:spacing w:line="356" w:lineRule="auto"/>
        <w:rPr>
          <w:sz w:val="20"/>
          <w:szCs w:val="20"/>
        </w:rPr>
      </w:pPr>
      <w:r w:rsidRPr="00FC3B7C">
        <w:rPr>
          <w:rFonts w:eastAsia="Times New Roman"/>
          <w:szCs w:val="24"/>
        </w:rPr>
        <w:t xml:space="preserve">Nedaňové příjmy představují přibližně třetinu příjmů státního rozpočtu </w:t>
      </w:r>
      <w:r w:rsidRPr="00980D4E">
        <w:rPr>
          <w:rFonts w:eastAsia="Times New Roman"/>
          <w:szCs w:val="24"/>
        </w:rPr>
        <w:t>(tj. 35% příjmu státního rozpočtu).</w:t>
      </w:r>
    </w:p>
    <w:p w14:paraId="4A6F32FC" w14:textId="77777777" w:rsidR="008E0F74" w:rsidRPr="00FC3B7C" w:rsidRDefault="008E0F74">
      <w:pPr>
        <w:spacing w:line="1" w:lineRule="exact"/>
        <w:rPr>
          <w:sz w:val="20"/>
          <w:szCs w:val="20"/>
        </w:rPr>
      </w:pPr>
    </w:p>
    <w:p w14:paraId="4A6F32FD" w14:textId="77777777" w:rsidR="008E0F74" w:rsidRPr="00FC3B7C" w:rsidRDefault="00256F29">
      <w:pPr>
        <w:rPr>
          <w:sz w:val="20"/>
          <w:szCs w:val="20"/>
        </w:rPr>
      </w:pPr>
      <w:r w:rsidRPr="00FC3B7C">
        <w:rPr>
          <w:rFonts w:eastAsia="Times New Roman"/>
          <w:b/>
          <w:bCs/>
          <w:szCs w:val="24"/>
        </w:rPr>
        <w:t>Pojistné sociálního zabezpečení:</w:t>
      </w:r>
    </w:p>
    <w:p w14:paraId="4A6F32FE" w14:textId="77777777" w:rsidR="008E0F74" w:rsidRPr="00FC3B7C" w:rsidRDefault="00256F29" w:rsidP="00270319">
      <w:pPr>
        <w:numPr>
          <w:ilvl w:val="0"/>
          <w:numId w:val="104"/>
        </w:numPr>
        <w:tabs>
          <w:tab w:val="left" w:pos="720"/>
        </w:tabs>
        <w:ind w:left="720" w:hanging="364"/>
        <w:rPr>
          <w:rFonts w:eastAsia="Arial"/>
          <w:szCs w:val="24"/>
        </w:rPr>
      </w:pPr>
      <w:r w:rsidRPr="00FC3B7C">
        <w:rPr>
          <w:rFonts w:eastAsia="Times New Roman"/>
          <w:szCs w:val="24"/>
        </w:rPr>
        <w:t>Dávky nemocenského a důchodového pojištění</w:t>
      </w:r>
    </w:p>
    <w:p w14:paraId="4A6F32FF" w14:textId="77777777" w:rsidR="008E0F74" w:rsidRPr="00FC3B7C" w:rsidRDefault="00256F29" w:rsidP="00270319">
      <w:pPr>
        <w:numPr>
          <w:ilvl w:val="0"/>
          <w:numId w:val="104"/>
        </w:numPr>
        <w:tabs>
          <w:tab w:val="left" w:pos="720"/>
        </w:tabs>
        <w:ind w:left="720" w:hanging="364"/>
        <w:rPr>
          <w:rFonts w:eastAsia="Arial"/>
          <w:szCs w:val="24"/>
        </w:rPr>
      </w:pPr>
      <w:r w:rsidRPr="00FC3B7C">
        <w:rPr>
          <w:rFonts w:eastAsia="Times New Roman"/>
          <w:szCs w:val="24"/>
        </w:rPr>
        <w:t>Příspěvek na státní politiku zaměstnanosti</w:t>
      </w:r>
    </w:p>
    <w:p w14:paraId="4A6F3300" w14:textId="77777777" w:rsidR="008E0F74" w:rsidRPr="00FC3B7C" w:rsidRDefault="00256F29">
      <w:pPr>
        <w:rPr>
          <w:sz w:val="20"/>
          <w:szCs w:val="20"/>
        </w:rPr>
      </w:pPr>
      <w:bookmarkStart w:id="122" w:name="page119"/>
      <w:bookmarkEnd w:id="122"/>
      <w:r w:rsidRPr="00FC3B7C">
        <w:rPr>
          <w:rFonts w:eastAsia="Times New Roman"/>
          <w:b/>
          <w:bCs/>
          <w:szCs w:val="24"/>
        </w:rPr>
        <w:t>Kapitálové příjmy:</w:t>
      </w:r>
    </w:p>
    <w:p w14:paraId="4A6F3301" w14:textId="77777777" w:rsidR="008E0F74" w:rsidRPr="00FC3B7C" w:rsidRDefault="00256F29" w:rsidP="00270319">
      <w:pPr>
        <w:numPr>
          <w:ilvl w:val="0"/>
          <w:numId w:val="105"/>
        </w:numPr>
        <w:tabs>
          <w:tab w:val="left" w:pos="1000"/>
        </w:tabs>
        <w:spacing w:line="416" w:lineRule="auto"/>
        <w:ind w:left="1000" w:hanging="360"/>
        <w:rPr>
          <w:rFonts w:eastAsia="Arial"/>
          <w:sz w:val="23"/>
          <w:szCs w:val="23"/>
        </w:rPr>
      </w:pPr>
      <w:r w:rsidRPr="00FC3B7C">
        <w:rPr>
          <w:rFonts w:eastAsia="Times New Roman"/>
          <w:sz w:val="23"/>
          <w:szCs w:val="23"/>
        </w:rPr>
        <w:t>Z prodeje nemovitého majetku, z prodeje akcií a podílů, dotace z mimorozpočtových fondů, vratky z dříve poskytnutých transferů, příjmy z emise státních obligací</w:t>
      </w:r>
    </w:p>
    <w:p w14:paraId="4A6F3302" w14:textId="77777777" w:rsidR="008E0F74" w:rsidRPr="00FC3B7C" w:rsidRDefault="008E0F74">
      <w:pPr>
        <w:spacing w:line="107" w:lineRule="exact"/>
        <w:rPr>
          <w:sz w:val="20"/>
          <w:szCs w:val="20"/>
        </w:rPr>
      </w:pPr>
    </w:p>
    <w:p w14:paraId="4A6F3303" w14:textId="77777777" w:rsidR="008E0F74" w:rsidRPr="00FC3B7C" w:rsidRDefault="00256F29">
      <w:pPr>
        <w:rPr>
          <w:sz w:val="20"/>
          <w:szCs w:val="20"/>
        </w:rPr>
      </w:pPr>
      <w:r w:rsidRPr="00FC3B7C">
        <w:rPr>
          <w:rFonts w:eastAsia="Times New Roman"/>
          <w:b/>
          <w:bCs/>
          <w:szCs w:val="24"/>
        </w:rPr>
        <w:t>Přijaté transfery:</w:t>
      </w:r>
    </w:p>
    <w:p w14:paraId="4A6F3304" w14:textId="77777777" w:rsidR="008E0F74" w:rsidRPr="00FC3B7C" w:rsidRDefault="00256F29" w:rsidP="00270319">
      <w:pPr>
        <w:numPr>
          <w:ilvl w:val="0"/>
          <w:numId w:val="106"/>
        </w:numPr>
        <w:tabs>
          <w:tab w:val="left" w:pos="1000"/>
        </w:tabs>
        <w:ind w:left="1000" w:hanging="360"/>
        <w:rPr>
          <w:rFonts w:eastAsia="Arial"/>
          <w:szCs w:val="24"/>
        </w:rPr>
      </w:pPr>
      <w:r w:rsidRPr="00FC3B7C">
        <w:rPr>
          <w:rFonts w:eastAsia="Times New Roman"/>
          <w:szCs w:val="24"/>
        </w:rPr>
        <w:t>Převody z vlastních fondů</w:t>
      </w:r>
    </w:p>
    <w:p w14:paraId="4A6F3305" w14:textId="77777777" w:rsidR="008E0F74" w:rsidRPr="00FC3B7C" w:rsidRDefault="00256F29" w:rsidP="00270319">
      <w:pPr>
        <w:numPr>
          <w:ilvl w:val="0"/>
          <w:numId w:val="106"/>
        </w:numPr>
        <w:tabs>
          <w:tab w:val="left" w:pos="1000"/>
        </w:tabs>
        <w:ind w:left="1000" w:hanging="360"/>
        <w:rPr>
          <w:rFonts w:eastAsia="Arial"/>
          <w:szCs w:val="24"/>
        </w:rPr>
      </w:pPr>
      <w:r w:rsidRPr="00FC3B7C">
        <w:rPr>
          <w:rFonts w:eastAsia="Times New Roman"/>
          <w:szCs w:val="24"/>
        </w:rPr>
        <w:t>Dotace EU</w:t>
      </w:r>
    </w:p>
    <w:p w14:paraId="20CBDA46" w14:textId="77777777" w:rsidR="00980D4E" w:rsidRDefault="00980D4E">
      <w:pPr>
        <w:spacing w:line="240" w:lineRule="auto"/>
        <w:jc w:val="left"/>
        <w:rPr>
          <w:rFonts w:eastAsia="Times New Roman"/>
          <w:b/>
          <w:bCs/>
          <w:szCs w:val="24"/>
        </w:rPr>
      </w:pPr>
      <w:r>
        <w:rPr>
          <w:rFonts w:eastAsia="Times New Roman"/>
          <w:b/>
          <w:bCs/>
          <w:szCs w:val="24"/>
        </w:rPr>
        <w:br w:type="page"/>
      </w:r>
    </w:p>
    <w:p w14:paraId="4A6F3306" w14:textId="1FEB4BE9" w:rsidR="008E0F74" w:rsidRPr="00FC3B7C" w:rsidRDefault="00256F29" w:rsidP="00850B5D">
      <w:pPr>
        <w:spacing w:before="240"/>
        <w:rPr>
          <w:sz w:val="20"/>
          <w:szCs w:val="20"/>
        </w:rPr>
      </w:pPr>
      <w:r w:rsidRPr="00FC3B7C">
        <w:rPr>
          <w:rFonts w:eastAsia="Times New Roman"/>
          <w:b/>
          <w:bCs/>
          <w:szCs w:val="24"/>
        </w:rPr>
        <w:lastRenderedPageBreak/>
        <w:t>Ostatní nedaňové příjmy:</w:t>
      </w:r>
    </w:p>
    <w:p w14:paraId="4A6F3307" w14:textId="77777777" w:rsidR="008E0F74" w:rsidRPr="00FC3B7C" w:rsidRDefault="00256F29" w:rsidP="00270319">
      <w:pPr>
        <w:numPr>
          <w:ilvl w:val="0"/>
          <w:numId w:val="107"/>
        </w:numPr>
        <w:tabs>
          <w:tab w:val="left" w:pos="1000"/>
        </w:tabs>
        <w:ind w:left="1000" w:hanging="360"/>
        <w:rPr>
          <w:rFonts w:eastAsia="Arial"/>
          <w:szCs w:val="24"/>
        </w:rPr>
      </w:pPr>
      <w:r w:rsidRPr="00FC3B7C">
        <w:rPr>
          <w:rFonts w:eastAsia="Times New Roman"/>
          <w:szCs w:val="24"/>
        </w:rPr>
        <w:t>Příjmy z úroků z dříve poskytnutých vládních úvěrů</w:t>
      </w:r>
    </w:p>
    <w:p w14:paraId="4A6F3308" w14:textId="77777777" w:rsidR="008E0F74" w:rsidRPr="00FC3B7C" w:rsidRDefault="00256F29" w:rsidP="00270319">
      <w:pPr>
        <w:numPr>
          <w:ilvl w:val="0"/>
          <w:numId w:val="107"/>
        </w:numPr>
        <w:tabs>
          <w:tab w:val="left" w:pos="1000"/>
        </w:tabs>
        <w:spacing w:line="366" w:lineRule="auto"/>
        <w:ind w:left="1000" w:hanging="360"/>
        <w:rPr>
          <w:rFonts w:eastAsia="Arial"/>
          <w:szCs w:val="24"/>
        </w:rPr>
      </w:pPr>
      <w:r w:rsidRPr="00FC3B7C">
        <w:rPr>
          <w:rFonts w:eastAsia="Times New Roman"/>
          <w:szCs w:val="24"/>
        </w:rPr>
        <w:t>Poplatek = dobrovolný, ekvivalentní, účelový – cena za službu nebo zboží, které poskytuje veřejný sektor</w:t>
      </w:r>
    </w:p>
    <w:p w14:paraId="4A6F3309" w14:textId="77777777" w:rsidR="008E0F74" w:rsidRPr="00FC3B7C" w:rsidRDefault="008E0F74">
      <w:pPr>
        <w:spacing w:line="1" w:lineRule="exact"/>
        <w:rPr>
          <w:rFonts w:eastAsia="Arial"/>
          <w:szCs w:val="24"/>
        </w:rPr>
      </w:pPr>
    </w:p>
    <w:p w14:paraId="4A6F330A" w14:textId="77777777" w:rsidR="008E0F74" w:rsidRPr="00FC3B7C" w:rsidRDefault="00256F29" w:rsidP="00270319">
      <w:pPr>
        <w:numPr>
          <w:ilvl w:val="0"/>
          <w:numId w:val="107"/>
        </w:numPr>
        <w:tabs>
          <w:tab w:val="left" w:pos="1000"/>
        </w:tabs>
        <w:spacing w:line="373" w:lineRule="auto"/>
        <w:ind w:left="1000" w:hanging="360"/>
        <w:rPr>
          <w:rFonts w:eastAsia="Arial"/>
          <w:szCs w:val="24"/>
        </w:rPr>
      </w:pPr>
      <w:r w:rsidRPr="00FC3B7C">
        <w:rPr>
          <w:rFonts w:eastAsia="Times New Roman"/>
          <w:szCs w:val="24"/>
        </w:rPr>
        <w:t xml:space="preserve">Příjmy úřadů, státních podniků, příjmy z pronájmu státních pozemků, nákup jízdenky na státní železnici, poplatek v obecní knihovně, dary, odkazy, výnosy </w:t>
      </w:r>
      <w:r w:rsidR="00850B5D">
        <w:rPr>
          <w:rFonts w:eastAsia="Times New Roman"/>
          <w:szCs w:val="24"/>
        </w:rPr>
        <w:br/>
      </w:r>
      <w:r w:rsidRPr="00FC3B7C">
        <w:rPr>
          <w:rFonts w:eastAsia="Times New Roman"/>
          <w:szCs w:val="24"/>
        </w:rPr>
        <w:t>z půjček a další</w:t>
      </w:r>
    </w:p>
    <w:p w14:paraId="4A6F330B" w14:textId="77777777" w:rsidR="008E0F74" w:rsidRPr="00FC3B7C" w:rsidRDefault="008E0F74">
      <w:pPr>
        <w:spacing w:line="184" w:lineRule="exact"/>
        <w:rPr>
          <w:sz w:val="20"/>
          <w:szCs w:val="20"/>
        </w:rPr>
      </w:pPr>
    </w:p>
    <w:p w14:paraId="4A6F330C" w14:textId="77777777" w:rsidR="008E0F74" w:rsidRPr="000529F1" w:rsidRDefault="00256F29" w:rsidP="00850B5D">
      <w:pPr>
        <w:pStyle w:val="Nadpis3"/>
        <w:rPr>
          <w:color w:val="1F3864" w:themeColor="accent1" w:themeShade="80"/>
          <w:sz w:val="20"/>
          <w:szCs w:val="20"/>
        </w:rPr>
      </w:pPr>
      <w:r w:rsidRPr="000529F1">
        <w:rPr>
          <w:rFonts w:eastAsia="Times New Roman"/>
          <w:color w:val="1F3864" w:themeColor="accent1" w:themeShade="80"/>
        </w:rPr>
        <w:t>Výdaje státního rozpočtu</w:t>
      </w:r>
    </w:p>
    <w:p w14:paraId="4A6F330D" w14:textId="77777777" w:rsidR="008E0F74" w:rsidRPr="00FC3B7C" w:rsidRDefault="008E0F74">
      <w:pPr>
        <w:spacing w:line="200" w:lineRule="exact"/>
        <w:rPr>
          <w:sz w:val="20"/>
          <w:szCs w:val="20"/>
        </w:rPr>
      </w:pPr>
    </w:p>
    <w:p w14:paraId="4A6F330E" w14:textId="77777777" w:rsidR="008E0F74" w:rsidRPr="00FC3B7C" w:rsidRDefault="00256F29">
      <w:pPr>
        <w:rPr>
          <w:sz w:val="20"/>
          <w:szCs w:val="20"/>
        </w:rPr>
      </w:pPr>
      <w:r w:rsidRPr="00FC3B7C">
        <w:rPr>
          <w:rFonts w:eastAsia="Times New Roman"/>
          <w:szCs w:val="24"/>
        </w:rPr>
        <w:t xml:space="preserve">Tok finančních prostředků, které jsou v rámci veřejné rozpočtové soustavy alokovány </w:t>
      </w:r>
      <w:r w:rsidR="00850B5D">
        <w:rPr>
          <w:rFonts w:eastAsia="Times New Roman"/>
          <w:szCs w:val="24"/>
        </w:rPr>
        <w:br/>
      </w:r>
      <w:r w:rsidRPr="00FC3B7C">
        <w:rPr>
          <w:rFonts w:eastAsia="Times New Roman"/>
          <w:szCs w:val="24"/>
        </w:rPr>
        <w:t>na</w:t>
      </w:r>
      <w:r w:rsidR="00850B5D">
        <w:rPr>
          <w:sz w:val="20"/>
          <w:szCs w:val="20"/>
        </w:rPr>
        <w:t xml:space="preserve"> </w:t>
      </w:r>
      <w:r w:rsidRPr="00FC3B7C">
        <w:rPr>
          <w:rFonts w:eastAsia="Times New Roman"/>
          <w:szCs w:val="24"/>
        </w:rPr>
        <w:t>realizaci různých fiskálních funkcí státu, a to na principu nenávratnosti a neekvivalence.</w:t>
      </w:r>
    </w:p>
    <w:p w14:paraId="4A6F330F" w14:textId="77777777" w:rsidR="008E0F74" w:rsidRPr="00FC3B7C" w:rsidRDefault="00256F29" w:rsidP="00A37E6A">
      <w:pPr>
        <w:spacing w:before="240"/>
        <w:rPr>
          <w:sz w:val="20"/>
          <w:szCs w:val="20"/>
        </w:rPr>
      </w:pPr>
      <w:r w:rsidRPr="00A37E6A">
        <w:rPr>
          <w:rFonts w:eastAsia="Times New Roman"/>
          <w:b/>
          <w:bCs/>
          <w:szCs w:val="24"/>
        </w:rPr>
        <w:t>Účel:</w:t>
      </w:r>
      <w:r w:rsidRPr="00FC3B7C">
        <w:rPr>
          <w:rFonts w:eastAsia="Times New Roman"/>
          <w:szCs w:val="24"/>
        </w:rPr>
        <w:t xml:space="preserve"> profinancování činností samotné vlády a státní či místní správy, včetně jejich orgánů,</w:t>
      </w:r>
    </w:p>
    <w:p w14:paraId="4A6F3310" w14:textId="77777777" w:rsidR="008E0F74" w:rsidRPr="00FC3B7C" w:rsidRDefault="00256F29">
      <w:pPr>
        <w:rPr>
          <w:sz w:val="20"/>
          <w:szCs w:val="20"/>
        </w:rPr>
      </w:pPr>
      <w:r w:rsidRPr="00FC3B7C">
        <w:rPr>
          <w:rFonts w:eastAsia="Times New Roman"/>
          <w:szCs w:val="24"/>
        </w:rPr>
        <w:t>institucí a organizací.</w:t>
      </w:r>
    </w:p>
    <w:p w14:paraId="4A6F3311" w14:textId="77777777" w:rsidR="008E0F74" w:rsidRPr="00FC3B7C" w:rsidRDefault="008E0F74">
      <w:pPr>
        <w:spacing w:line="137" w:lineRule="exact"/>
        <w:rPr>
          <w:sz w:val="20"/>
          <w:szCs w:val="20"/>
        </w:rPr>
      </w:pPr>
    </w:p>
    <w:p w14:paraId="4A6F3312" w14:textId="77777777" w:rsidR="008E0F74" w:rsidRPr="00FC3B7C" w:rsidRDefault="00256F29" w:rsidP="00850B5D">
      <w:pPr>
        <w:rPr>
          <w:sz w:val="20"/>
          <w:szCs w:val="20"/>
        </w:rPr>
      </w:pPr>
      <w:r w:rsidRPr="00FC3B7C">
        <w:rPr>
          <w:rFonts w:eastAsia="Times New Roman"/>
        </w:rPr>
        <w:t xml:space="preserve">Největší část výdajů státního rozpočtu jde </w:t>
      </w:r>
      <w:r w:rsidRPr="00A37E6A">
        <w:rPr>
          <w:rFonts w:eastAsia="Times New Roman"/>
          <w:u w:val="single"/>
        </w:rPr>
        <w:t>ministerstvu školství, mládeže a tělovýchovy</w:t>
      </w:r>
      <w:r w:rsidRPr="00FC3B7C">
        <w:rPr>
          <w:rFonts w:eastAsia="Times New Roman"/>
        </w:rPr>
        <w:t>, dále na správu státního dluhu, ministerstvo vnitra a ministerstvo dopravy. Na pomyslné šesté příčce stojí ministerstvo zemědělství, za ním se nachází ministerstvo obrany, ministerstvo spravedlnosti a ministerstvo financí.</w:t>
      </w:r>
    </w:p>
    <w:p w14:paraId="4A6F3313" w14:textId="77777777" w:rsidR="008E0F74" w:rsidRPr="00FC3B7C" w:rsidRDefault="008E0F74">
      <w:pPr>
        <w:spacing w:line="3" w:lineRule="exact"/>
        <w:rPr>
          <w:sz w:val="20"/>
          <w:szCs w:val="20"/>
        </w:rPr>
      </w:pPr>
    </w:p>
    <w:p w14:paraId="4A6F3314" w14:textId="478184D9" w:rsidR="00850B5D" w:rsidRDefault="00850B5D">
      <w:pPr>
        <w:spacing w:line="240" w:lineRule="auto"/>
        <w:jc w:val="left"/>
        <w:rPr>
          <w:rFonts w:eastAsia="Times New Roman"/>
          <w:b/>
          <w:bCs/>
          <w:szCs w:val="24"/>
        </w:rPr>
      </w:pPr>
    </w:p>
    <w:p w14:paraId="4A6F3315" w14:textId="77777777" w:rsidR="008E0F74" w:rsidRPr="00FC3B7C" w:rsidRDefault="00256F29">
      <w:pPr>
        <w:rPr>
          <w:sz w:val="20"/>
          <w:szCs w:val="20"/>
        </w:rPr>
      </w:pPr>
      <w:r w:rsidRPr="00FC3B7C">
        <w:rPr>
          <w:rFonts w:eastAsia="Times New Roman"/>
          <w:b/>
          <w:bCs/>
          <w:szCs w:val="24"/>
        </w:rPr>
        <w:t>Transferové platby:</w:t>
      </w:r>
    </w:p>
    <w:p w14:paraId="4A6F3316" w14:textId="7E9C4CC9" w:rsidR="008E0F74" w:rsidRPr="00FC3B7C" w:rsidRDefault="00256F29" w:rsidP="00D46B53">
      <w:pPr>
        <w:numPr>
          <w:ilvl w:val="0"/>
          <w:numId w:val="616"/>
        </w:numPr>
        <w:tabs>
          <w:tab w:val="left" w:pos="1000"/>
        </w:tabs>
        <w:ind w:left="1000" w:hanging="360"/>
        <w:rPr>
          <w:rFonts w:eastAsia="Arial"/>
          <w:szCs w:val="24"/>
        </w:rPr>
      </w:pPr>
      <w:r w:rsidRPr="00FC3B7C">
        <w:rPr>
          <w:rFonts w:eastAsia="Times New Roman"/>
          <w:szCs w:val="24"/>
        </w:rPr>
        <w:t>Podpora v</w:t>
      </w:r>
      <w:r w:rsidR="00850B5D">
        <w:rPr>
          <w:rFonts w:eastAsia="Times New Roman"/>
          <w:szCs w:val="24"/>
        </w:rPr>
        <w:t> </w:t>
      </w:r>
      <w:r w:rsidRPr="00FC3B7C">
        <w:rPr>
          <w:rFonts w:eastAsia="Times New Roman"/>
          <w:szCs w:val="24"/>
        </w:rPr>
        <w:t>nezaměstnanosti</w:t>
      </w:r>
    </w:p>
    <w:p w14:paraId="4A6F3317" w14:textId="4D3AC410" w:rsidR="008E0F74" w:rsidRPr="00FC3B7C" w:rsidRDefault="00256F29" w:rsidP="00D46B53">
      <w:pPr>
        <w:numPr>
          <w:ilvl w:val="0"/>
          <w:numId w:val="616"/>
        </w:numPr>
        <w:tabs>
          <w:tab w:val="left" w:pos="1000"/>
        </w:tabs>
        <w:ind w:left="1000" w:hanging="360"/>
        <w:rPr>
          <w:rFonts w:eastAsia="Arial"/>
          <w:szCs w:val="24"/>
        </w:rPr>
      </w:pPr>
      <w:r w:rsidRPr="00FC3B7C">
        <w:rPr>
          <w:rFonts w:eastAsia="Times New Roman"/>
          <w:szCs w:val="24"/>
        </w:rPr>
        <w:t>Důchody</w:t>
      </w:r>
    </w:p>
    <w:p w14:paraId="4A6F3318" w14:textId="62807C31" w:rsidR="008E0F74" w:rsidRPr="00FC3B7C" w:rsidRDefault="00256F29" w:rsidP="00D46B53">
      <w:pPr>
        <w:numPr>
          <w:ilvl w:val="0"/>
          <w:numId w:val="616"/>
        </w:numPr>
        <w:tabs>
          <w:tab w:val="left" w:pos="1000"/>
        </w:tabs>
        <w:ind w:left="1000" w:hanging="360"/>
        <w:rPr>
          <w:rFonts w:eastAsia="Arial"/>
          <w:szCs w:val="24"/>
        </w:rPr>
      </w:pPr>
      <w:r w:rsidRPr="00FC3B7C">
        <w:rPr>
          <w:rFonts w:eastAsia="Times New Roman"/>
          <w:szCs w:val="24"/>
        </w:rPr>
        <w:t>Sociální dávky</w:t>
      </w:r>
    </w:p>
    <w:p w14:paraId="4A6F3319" w14:textId="77777777" w:rsidR="008E0F74" w:rsidRPr="00FC3B7C" w:rsidRDefault="00256F29">
      <w:pPr>
        <w:spacing w:line="376" w:lineRule="auto"/>
        <w:rPr>
          <w:sz w:val="20"/>
          <w:szCs w:val="20"/>
        </w:rPr>
      </w:pPr>
      <w:r w:rsidRPr="00FC3B7C">
        <w:rPr>
          <w:rFonts w:eastAsia="Times New Roman"/>
          <w:szCs w:val="24"/>
        </w:rPr>
        <w:t xml:space="preserve">Prostředky, které jsou poskytovány s určitým cílem různým subjektům, ale </w:t>
      </w:r>
      <w:r w:rsidRPr="00F45540">
        <w:rPr>
          <w:rFonts w:eastAsia="Times New Roman"/>
          <w:i/>
          <w:iCs/>
          <w:szCs w:val="24"/>
        </w:rPr>
        <w:t>nevzniká zde žádné protiplnění</w:t>
      </w:r>
      <w:r w:rsidRPr="00FC3B7C">
        <w:rPr>
          <w:rFonts w:eastAsia="Times New Roman"/>
          <w:szCs w:val="24"/>
        </w:rPr>
        <w:t>. Ovlivňují motivaci příjemců k většímu nebo menšímu úsilí (pracovnímu či investičnímu). Souvisí s realizací redistribuční fiskální funkce.</w:t>
      </w:r>
    </w:p>
    <w:p w14:paraId="4A6F331A" w14:textId="77777777" w:rsidR="008E0F74" w:rsidRPr="00FC3B7C" w:rsidRDefault="00256F29" w:rsidP="00850B5D">
      <w:pPr>
        <w:spacing w:before="240"/>
        <w:rPr>
          <w:sz w:val="20"/>
          <w:szCs w:val="20"/>
        </w:rPr>
      </w:pPr>
      <w:bookmarkStart w:id="123" w:name="page120"/>
      <w:bookmarkEnd w:id="123"/>
      <w:r w:rsidRPr="00FC3B7C">
        <w:rPr>
          <w:rFonts w:eastAsia="Times New Roman"/>
          <w:b/>
          <w:bCs/>
          <w:szCs w:val="24"/>
        </w:rPr>
        <w:t>Vládní výdaje:</w:t>
      </w:r>
    </w:p>
    <w:p w14:paraId="4A6F331B" w14:textId="4CB62037" w:rsidR="008E0F74" w:rsidRPr="00FC3B7C" w:rsidRDefault="00256F29" w:rsidP="00D46B53">
      <w:pPr>
        <w:numPr>
          <w:ilvl w:val="0"/>
          <w:numId w:val="617"/>
        </w:numPr>
        <w:tabs>
          <w:tab w:val="left" w:pos="1000"/>
        </w:tabs>
        <w:ind w:left="1000" w:hanging="360"/>
        <w:rPr>
          <w:rFonts w:eastAsia="Arial"/>
          <w:szCs w:val="24"/>
        </w:rPr>
      </w:pPr>
      <w:r w:rsidRPr="00FC3B7C">
        <w:rPr>
          <w:rFonts w:eastAsia="Times New Roman"/>
          <w:szCs w:val="24"/>
        </w:rPr>
        <w:t xml:space="preserve">Platy </w:t>
      </w:r>
      <w:r w:rsidR="00A37E6A">
        <w:rPr>
          <w:rFonts w:eastAsia="Times New Roman"/>
          <w:szCs w:val="24"/>
        </w:rPr>
        <w:t xml:space="preserve">státních </w:t>
      </w:r>
      <w:r w:rsidRPr="00FC3B7C">
        <w:rPr>
          <w:rFonts w:eastAsia="Times New Roman"/>
          <w:szCs w:val="24"/>
        </w:rPr>
        <w:t>zaměstnanců</w:t>
      </w:r>
    </w:p>
    <w:p w14:paraId="4A6F331C" w14:textId="34C2431B" w:rsidR="008E0F74" w:rsidRPr="00FC3B7C" w:rsidRDefault="00256F29" w:rsidP="00D46B53">
      <w:pPr>
        <w:numPr>
          <w:ilvl w:val="0"/>
          <w:numId w:val="617"/>
        </w:numPr>
        <w:tabs>
          <w:tab w:val="left" w:pos="1000"/>
        </w:tabs>
        <w:ind w:left="1000" w:hanging="360"/>
        <w:rPr>
          <w:rFonts w:eastAsia="Arial"/>
          <w:szCs w:val="24"/>
        </w:rPr>
      </w:pPr>
      <w:r w:rsidRPr="00FC3B7C">
        <w:rPr>
          <w:rFonts w:eastAsia="Times New Roman"/>
          <w:szCs w:val="24"/>
        </w:rPr>
        <w:t>Dluhové služby</w:t>
      </w:r>
      <w:r w:rsidR="00F45540">
        <w:rPr>
          <w:rFonts w:eastAsia="Times New Roman"/>
          <w:szCs w:val="24"/>
        </w:rPr>
        <w:t xml:space="preserve"> – </w:t>
      </w:r>
      <w:r w:rsidR="00F45540" w:rsidRPr="00405026">
        <w:rPr>
          <w:rFonts w:eastAsia="Times New Roman"/>
          <w:i/>
          <w:iCs/>
          <w:szCs w:val="24"/>
        </w:rPr>
        <w:t>správa dluhu (úroky)</w:t>
      </w:r>
    </w:p>
    <w:p w14:paraId="4A6F331D" w14:textId="26BEA3DB" w:rsidR="008E0F74" w:rsidRPr="00FC3B7C" w:rsidRDefault="00256F29" w:rsidP="00D46B53">
      <w:pPr>
        <w:numPr>
          <w:ilvl w:val="0"/>
          <w:numId w:val="617"/>
        </w:numPr>
        <w:tabs>
          <w:tab w:val="left" w:pos="1000"/>
        </w:tabs>
        <w:ind w:left="1000" w:hanging="360"/>
        <w:rPr>
          <w:rFonts w:eastAsia="Arial"/>
          <w:szCs w:val="24"/>
        </w:rPr>
      </w:pPr>
      <w:r w:rsidRPr="00FC3B7C">
        <w:rPr>
          <w:rFonts w:eastAsia="Times New Roman"/>
          <w:szCs w:val="24"/>
        </w:rPr>
        <w:t>Neinvestiční dotace podnikatelským a neziskovým subjektům</w:t>
      </w:r>
    </w:p>
    <w:p w14:paraId="4A6F331E" w14:textId="7AA0CEC4" w:rsidR="008E0F74" w:rsidRPr="00FC3B7C" w:rsidRDefault="00256F29" w:rsidP="00D46B53">
      <w:pPr>
        <w:numPr>
          <w:ilvl w:val="0"/>
          <w:numId w:val="617"/>
        </w:numPr>
        <w:tabs>
          <w:tab w:val="left" w:pos="1000"/>
        </w:tabs>
        <w:ind w:left="1000" w:hanging="360"/>
        <w:rPr>
          <w:rFonts w:eastAsia="Arial"/>
          <w:szCs w:val="24"/>
        </w:rPr>
      </w:pPr>
      <w:r w:rsidRPr="00FC3B7C">
        <w:rPr>
          <w:rFonts w:eastAsia="Times New Roman"/>
          <w:szCs w:val="24"/>
        </w:rPr>
        <w:t>Intervence</w:t>
      </w:r>
    </w:p>
    <w:p w14:paraId="4A6F331F" w14:textId="06292D9E" w:rsidR="008E0F74" w:rsidRPr="00FC3B7C" w:rsidRDefault="00256F29" w:rsidP="00D46B53">
      <w:pPr>
        <w:numPr>
          <w:ilvl w:val="0"/>
          <w:numId w:val="617"/>
        </w:numPr>
        <w:tabs>
          <w:tab w:val="left" w:pos="1000"/>
        </w:tabs>
        <w:ind w:left="1000" w:hanging="360"/>
        <w:rPr>
          <w:rFonts w:eastAsia="Arial"/>
          <w:szCs w:val="24"/>
        </w:rPr>
      </w:pPr>
      <w:r w:rsidRPr="00FC3B7C">
        <w:rPr>
          <w:rFonts w:eastAsia="Times New Roman"/>
          <w:szCs w:val="24"/>
        </w:rPr>
        <w:t>Nákup veřejných statků</w:t>
      </w:r>
    </w:p>
    <w:p w14:paraId="4A6F3320" w14:textId="77777777" w:rsidR="008E0F74" w:rsidRPr="00FC3B7C" w:rsidRDefault="00256F29" w:rsidP="00850B5D">
      <w:pPr>
        <w:spacing w:before="240" w:line="358" w:lineRule="auto"/>
        <w:rPr>
          <w:sz w:val="20"/>
          <w:szCs w:val="20"/>
        </w:rPr>
      </w:pPr>
      <w:r w:rsidRPr="00FC3B7C">
        <w:rPr>
          <w:rFonts w:eastAsia="Times New Roman"/>
          <w:szCs w:val="24"/>
        </w:rPr>
        <w:lastRenderedPageBreak/>
        <w:t>Prostředky, které slouží k financování institucí, projektů nebo programů. V důsledku vládních výdajů vzniká produkce statků a služeb – použití veřejných výdajů na tyto účely zabraňuje jejich využití v soukromém sektoru. Souvisí s realizací alokační fiskální funkce.</w:t>
      </w:r>
    </w:p>
    <w:p w14:paraId="4A6F3321" w14:textId="77777777" w:rsidR="008E0F74" w:rsidRPr="00FC3B7C" w:rsidRDefault="008E0F74">
      <w:pPr>
        <w:spacing w:line="2" w:lineRule="exact"/>
        <w:rPr>
          <w:sz w:val="20"/>
          <w:szCs w:val="20"/>
        </w:rPr>
      </w:pPr>
    </w:p>
    <w:p w14:paraId="4A6F3322" w14:textId="77777777" w:rsidR="008E0F74" w:rsidRPr="00FC3B7C" w:rsidRDefault="00256F29" w:rsidP="00850B5D">
      <w:pPr>
        <w:spacing w:before="240"/>
        <w:rPr>
          <w:sz w:val="20"/>
          <w:szCs w:val="20"/>
        </w:rPr>
      </w:pPr>
      <w:r w:rsidRPr="00FC3B7C">
        <w:rPr>
          <w:rFonts w:eastAsia="Times New Roman"/>
          <w:b/>
          <w:bCs/>
          <w:szCs w:val="24"/>
        </w:rPr>
        <w:t>Mandatorní výdaje (tvoří 2/3 státního rozpočtu)</w:t>
      </w:r>
    </w:p>
    <w:p w14:paraId="4A6F3323" w14:textId="77777777" w:rsidR="008E0F74" w:rsidRPr="00FC3B7C" w:rsidRDefault="00256F29">
      <w:pPr>
        <w:spacing w:line="358" w:lineRule="auto"/>
        <w:rPr>
          <w:sz w:val="20"/>
          <w:szCs w:val="20"/>
        </w:rPr>
      </w:pPr>
      <w:r w:rsidRPr="00FC3B7C">
        <w:rPr>
          <w:rFonts w:eastAsia="Times New Roman"/>
          <w:szCs w:val="24"/>
        </w:rPr>
        <w:t xml:space="preserve">Povinné výdaje, které vláda musí na základě zákonného ustanovení proplácet bez ohledu </w:t>
      </w:r>
      <w:r w:rsidR="00850B5D">
        <w:rPr>
          <w:rFonts w:eastAsia="Times New Roman"/>
          <w:szCs w:val="24"/>
        </w:rPr>
        <w:br/>
      </w:r>
      <w:r w:rsidRPr="00FC3B7C">
        <w:rPr>
          <w:rFonts w:eastAsia="Times New Roman"/>
          <w:szCs w:val="24"/>
        </w:rPr>
        <w:t>na výši svých příjmů či na stav ekonomiky. Jedná se tedy o dávky sociálního zabezpečení, státní příspěvek na penzijní připojištění a stavební spoření, dávky státní sociální podpory, dávky v nezaměstnanosti aj.</w:t>
      </w:r>
    </w:p>
    <w:p w14:paraId="4A6F3324" w14:textId="77777777" w:rsidR="008E0F74" w:rsidRPr="00FC3B7C" w:rsidRDefault="008E0F74">
      <w:pPr>
        <w:spacing w:line="3" w:lineRule="exact"/>
        <w:rPr>
          <w:sz w:val="20"/>
          <w:szCs w:val="20"/>
        </w:rPr>
      </w:pPr>
    </w:p>
    <w:p w14:paraId="4A6F3325" w14:textId="77777777" w:rsidR="008E0F74" w:rsidRPr="00FC3B7C" w:rsidRDefault="00256F29">
      <w:pPr>
        <w:rPr>
          <w:sz w:val="20"/>
          <w:szCs w:val="20"/>
        </w:rPr>
      </w:pPr>
      <w:r w:rsidRPr="00FC3B7C">
        <w:rPr>
          <w:rFonts w:eastAsia="Times New Roman"/>
          <w:b/>
          <w:bCs/>
          <w:szCs w:val="24"/>
        </w:rPr>
        <w:t>Ostatní mandatorní výdaje:</w:t>
      </w:r>
    </w:p>
    <w:p w14:paraId="4A6F3326" w14:textId="78C4D5D3" w:rsidR="008E0F74" w:rsidRPr="00FC3B7C" w:rsidRDefault="00256F29" w:rsidP="00270319">
      <w:pPr>
        <w:numPr>
          <w:ilvl w:val="0"/>
          <w:numId w:val="108"/>
        </w:numPr>
        <w:tabs>
          <w:tab w:val="left" w:pos="1060"/>
        </w:tabs>
        <w:ind w:left="1060" w:hanging="420"/>
        <w:rPr>
          <w:rFonts w:eastAsia="Arial"/>
          <w:szCs w:val="24"/>
        </w:rPr>
      </w:pPr>
      <w:r w:rsidRPr="00FC3B7C">
        <w:rPr>
          <w:rFonts w:eastAsia="Times New Roman"/>
          <w:szCs w:val="24"/>
        </w:rPr>
        <w:t>Hypoteční úrokové podpory</w:t>
      </w:r>
    </w:p>
    <w:p w14:paraId="4A6F3327" w14:textId="324C0999" w:rsidR="008E0F74" w:rsidRPr="00FC3B7C" w:rsidRDefault="00256F29" w:rsidP="00270319">
      <w:pPr>
        <w:numPr>
          <w:ilvl w:val="0"/>
          <w:numId w:val="108"/>
        </w:numPr>
        <w:tabs>
          <w:tab w:val="left" w:pos="1060"/>
        </w:tabs>
        <w:ind w:left="1060" w:hanging="420"/>
        <w:rPr>
          <w:rFonts w:eastAsia="Arial"/>
          <w:szCs w:val="24"/>
        </w:rPr>
      </w:pPr>
      <w:r w:rsidRPr="00FC3B7C">
        <w:rPr>
          <w:rFonts w:eastAsia="Times New Roman"/>
          <w:szCs w:val="24"/>
        </w:rPr>
        <w:t>Kurzové ztráty při správě státního dluhu</w:t>
      </w:r>
    </w:p>
    <w:p w14:paraId="4A6F3328" w14:textId="2A18F57F" w:rsidR="008E0F74" w:rsidRPr="00FC3B7C" w:rsidRDefault="00256F29" w:rsidP="00270319">
      <w:pPr>
        <w:numPr>
          <w:ilvl w:val="0"/>
          <w:numId w:val="108"/>
        </w:numPr>
        <w:tabs>
          <w:tab w:val="left" w:pos="1060"/>
        </w:tabs>
        <w:ind w:left="1060" w:hanging="420"/>
        <w:rPr>
          <w:rFonts w:eastAsia="Arial"/>
          <w:szCs w:val="24"/>
        </w:rPr>
      </w:pPr>
      <w:r w:rsidRPr="00FC3B7C">
        <w:rPr>
          <w:rFonts w:eastAsia="Times New Roman"/>
          <w:szCs w:val="24"/>
        </w:rPr>
        <w:t>Realizace státních záruk</w:t>
      </w:r>
    </w:p>
    <w:p w14:paraId="4A6F3329" w14:textId="77777777" w:rsidR="008E0F74" w:rsidRPr="00FC3B7C" w:rsidRDefault="00256F29" w:rsidP="00270319">
      <w:pPr>
        <w:numPr>
          <w:ilvl w:val="0"/>
          <w:numId w:val="108"/>
        </w:numPr>
        <w:tabs>
          <w:tab w:val="left" w:pos="1060"/>
        </w:tabs>
        <w:ind w:left="1060" w:hanging="420"/>
        <w:rPr>
          <w:rFonts w:eastAsia="Arial"/>
          <w:szCs w:val="24"/>
        </w:rPr>
      </w:pPr>
      <w:r w:rsidRPr="00FC3B7C">
        <w:rPr>
          <w:rFonts w:eastAsia="Times New Roman"/>
          <w:szCs w:val="24"/>
        </w:rPr>
        <w:t>Transfery mezinárodním organizacím aj.</w:t>
      </w:r>
    </w:p>
    <w:p w14:paraId="4A6F332A" w14:textId="77777777" w:rsidR="008E0F74" w:rsidRPr="00FC3B7C" w:rsidRDefault="00256F29">
      <w:pPr>
        <w:rPr>
          <w:sz w:val="20"/>
          <w:szCs w:val="20"/>
        </w:rPr>
      </w:pPr>
      <w:r w:rsidRPr="00FC3B7C">
        <w:rPr>
          <w:rFonts w:eastAsia="Times New Roman"/>
          <w:b/>
          <w:bCs/>
          <w:szCs w:val="24"/>
        </w:rPr>
        <w:t>Kvazimandatorní výdaje:</w:t>
      </w:r>
    </w:p>
    <w:p w14:paraId="4A6F332B" w14:textId="1A8EC47C" w:rsidR="008E0F74" w:rsidRPr="00FC3B7C" w:rsidRDefault="00256F29" w:rsidP="00270319">
      <w:pPr>
        <w:numPr>
          <w:ilvl w:val="0"/>
          <w:numId w:val="109"/>
        </w:numPr>
        <w:tabs>
          <w:tab w:val="left" w:pos="1060"/>
        </w:tabs>
        <w:ind w:left="1060" w:hanging="420"/>
        <w:rPr>
          <w:rFonts w:eastAsia="Arial"/>
          <w:szCs w:val="24"/>
        </w:rPr>
      </w:pPr>
      <w:r w:rsidRPr="00FC3B7C">
        <w:rPr>
          <w:rFonts w:eastAsia="Times New Roman"/>
          <w:szCs w:val="24"/>
        </w:rPr>
        <w:t>Výdaje na aktivní politiku zaměstnanosti</w:t>
      </w:r>
    </w:p>
    <w:p w14:paraId="4A6F332C" w14:textId="72147720" w:rsidR="008E0F74" w:rsidRPr="00FC3B7C" w:rsidRDefault="00256F29" w:rsidP="00270319">
      <w:pPr>
        <w:numPr>
          <w:ilvl w:val="0"/>
          <w:numId w:val="109"/>
        </w:numPr>
        <w:tabs>
          <w:tab w:val="left" w:pos="1060"/>
        </w:tabs>
        <w:ind w:left="1060" w:hanging="420"/>
        <w:rPr>
          <w:rFonts w:eastAsia="Arial"/>
          <w:szCs w:val="24"/>
        </w:rPr>
      </w:pPr>
      <w:r w:rsidRPr="00FC3B7C">
        <w:rPr>
          <w:rFonts w:eastAsia="Times New Roman"/>
          <w:szCs w:val="24"/>
        </w:rPr>
        <w:t>Výdaje na armádu</w:t>
      </w:r>
    </w:p>
    <w:p w14:paraId="4A6F332D" w14:textId="58AF7433" w:rsidR="008E0F74" w:rsidRPr="00FC3B7C" w:rsidRDefault="00256F29" w:rsidP="00270319">
      <w:pPr>
        <w:numPr>
          <w:ilvl w:val="0"/>
          <w:numId w:val="109"/>
        </w:numPr>
        <w:tabs>
          <w:tab w:val="left" w:pos="1060"/>
        </w:tabs>
        <w:ind w:left="1060" w:hanging="420"/>
        <w:rPr>
          <w:rFonts w:eastAsia="Arial"/>
          <w:szCs w:val="24"/>
        </w:rPr>
      </w:pPr>
      <w:r w:rsidRPr="00FC3B7C">
        <w:rPr>
          <w:rFonts w:eastAsia="Times New Roman"/>
          <w:szCs w:val="24"/>
        </w:rPr>
        <w:t>Zahraniční pomoc</w:t>
      </w:r>
    </w:p>
    <w:p w14:paraId="4A6F332E" w14:textId="77777777" w:rsidR="008E0F74" w:rsidRPr="00FC3B7C" w:rsidRDefault="00256F29" w:rsidP="00270319">
      <w:pPr>
        <w:numPr>
          <w:ilvl w:val="0"/>
          <w:numId w:val="109"/>
        </w:numPr>
        <w:tabs>
          <w:tab w:val="left" w:pos="1060"/>
        </w:tabs>
        <w:ind w:left="1060" w:hanging="420"/>
        <w:rPr>
          <w:rFonts w:eastAsia="Arial"/>
          <w:szCs w:val="24"/>
        </w:rPr>
      </w:pPr>
      <w:r w:rsidRPr="00FC3B7C">
        <w:rPr>
          <w:rFonts w:eastAsia="Times New Roman"/>
          <w:szCs w:val="24"/>
        </w:rPr>
        <w:t>Mzdy zaměstnanců veřejného sektoru aj.</w:t>
      </w:r>
    </w:p>
    <w:p w14:paraId="4A6F3330" w14:textId="77777777" w:rsidR="008E0F74" w:rsidRPr="00FC3B7C" w:rsidRDefault="00256F29">
      <w:pPr>
        <w:ind w:left="4"/>
        <w:rPr>
          <w:sz w:val="20"/>
          <w:szCs w:val="20"/>
        </w:rPr>
      </w:pPr>
      <w:bookmarkStart w:id="124" w:name="page121"/>
      <w:bookmarkEnd w:id="124"/>
      <w:r w:rsidRPr="00FC3B7C">
        <w:rPr>
          <w:rFonts w:eastAsia="Times New Roman"/>
          <w:b/>
          <w:bCs/>
          <w:szCs w:val="24"/>
        </w:rPr>
        <w:t>Nemandatorní výdaje:</w:t>
      </w:r>
    </w:p>
    <w:p w14:paraId="4A6F3331" w14:textId="77777777" w:rsidR="008E0F74" w:rsidRPr="00FC3B7C" w:rsidRDefault="00256F29">
      <w:pPr>
        <w:ind w:left="4"/>
        <w:rPr>
          <w:sz w:val="20"/>
          <w:szCs w:val="20"/>
        </w:rPr>
      </w:pPr>
      <w:r w:rsidRPr="00FC3B7C">
        <w:rPr>
          <w:rFonts w:eastAsia="Times New Roman"/>
          <w:szCs w:val="24"/>
        </w:rPr>
        <w:t>Nejedná se o povinné výdaje, vláda je vynakládá dobrovolně na základě vlastního uvážení.</w:t>
      </w:r>
    </w:p>
    <w:p w14:paraId="4A6F3332" w14:textId="77777777" w:rsidR="008E0F74" w:rsidRPr="00FC3B7C" w:rsidRDefault="00256F29">
      <w:pPr>
        <w:ind w:left="4"/>
        <w:rPr>
          <w:sz w:val="20"/>
          <w:szCs w:val="20"/>
        </w:rPr>
      </w:pPr>
      <w:r w:rsidRPr="00FC3B7C">
        <w:rPr>
          <w:rFonts w:eastAsia="Times New Roman"/>
          <w:szCs w:val="24"/>
        </w:rPr>
        <w:t>V případě nemandatorních výdajů by měla brát ohled na aktuální stav ekonomiky.</w:t>
      </w:r>
    </w:p>
    <w:p w14:paraId="4A6F3333" w14:textId="5E09B4F2" w:rsidR="008E0F74" w:rsidRPr="00FC3B7C" w:rsidRDefault="00256F29" w:rsidP="00270319">
      <w:pPr>
        <w:numPr>
          <w:ilvl w:val="0"/>
          <w:numId w:val="110"/>
        </w:numPr>
        <w:tabs>
          <w:tab w:val="left" w:pos="1004"/>
        </w:tabs>
        <w:ind w:left="1004" w:hanging="360"/>
        <w:rPr>
          <w:rFonts w:eastAsia="Arial"/>
          <w:szCs w:val="24"/>
        </w:rPr>
      </w:pPr>
      <w:r w:rsidRPr="00FC3B7C">
        <w:rPr>
          <w:rFonts w:eastAsia="Times New Roman"/>
          <w:szCs w:val="24"/>
        </w:rPr>
        <w:t>Nákup cenných papírů, dotace</w:t>
      </w:r>
    </w:p>
    <w:p w14:paraId="4A6F3334" w14:textId="77777777" w:rsidR="008E0F74" w:rsidRPr="00FC3B7C" w:rsidRDefault="00256F29" w:rsidP="00270319">
      <w:pPr>
        <w:numPr>
          <w:ilvl w:val="0"/>
          <w:numId w:val="110"/>
        </w:numPr>
        <w:tabs>
          <w:tab w:val="left" w:pos="1004"/>
        </w:tabs>
        <w:ind w:left="1004" w:hanging="360"/>
        <w:rPr>
          <w:rFonts w:eastAsia="Arial"/>
          <w:szCs w:val="24"/>
        </w:rPr>
      </w:pPr>
      <w:r w:rsidRPr="00FC3B7C">
        <w:rPr>
          <w:rFonts w:eastAsia="Times New Roman"/>
          <w:szCs w:val="24"/>
        </w:rPr>
        <w:t>Návratné finanční výpomoci a příspěvky aj.</w:t>
      </w:r>
    </w:p>
    <w:p w14:paraId="4A6F3335" w14:textId="77777777" w:rsidR="008E0F74" w:rsidRPr="00FC3B7C" w:rsidRDefault="008E0F74">
      <w:pPr>
        <w:spacing w:line="212" w:lineRule="exact"/>
        <w:rPr>
          <w:sz w:val="20"/>
          <w:szCs w:val="20"/>
        </w:rPr>
      </w:pPr>
    </w:p>
    <w:p w14:paraId="4A6F3336" w14:textId="3A04750C" w:rsidR="008E0F74" w:rsidRPr="00266F2F" w:rsidRDefault="00256F29" w:rsidP="00850B5D">
      <w:pPr>
        <w:pStyle w:val="Nadpis2"/>
        <w:rPr>
          <w:color w:val="1F3864" w:themeColor="accent1" w:themeShade="80"/>
        </w:rPr>
      </w:pPr>
      <w:r w:rsidRPr="00266F2F">
        <w:rPr>
          <w:color w:val="1F3864" w:themeColor="accent1" w:themeShade="80"/>
        </w:rPr>
        <w:t>PŘÍSTUPY</w:t>
      </w:r>
      <w:r w:rsidR="00A37E6A" w:rsidRPr="00266F2F">
        <w:rPr>
          <w:color w:val="1F3864" w:themeColor="accent1" w:themeShade="80"/>
        </w:rPr>
        <w:t xml:space="preserve"> </w:t>
      </w:r>
      <w:r w:rsidRPr="00266F2F">
        <w:rPr>
          <w:color w:val="1F3864" w:themeColor="accent1" w:themeShade="80"/>
        </w:rPr>
        <w:t>K</w:t>
      </w:r>
      <w:r w:rsidR="00A37E6A" w:rsidRPr="00266F2F">
        <w:rPr>
          <w:color w:val="1F3864" w:themeColor="accent1" w:themeShade="80"/>
        </w:rPr>
        <w:t> </w:t>
      </w:r>
      <w:r w:rsidRPr="00266F2F">
        <w:rPr>
          <w:color w:val="1F3864" w:themeColor="accent1" w:themeShade="80"/>
        </w:rPr>
        <w:t>VYROVNANOSTI</w:t>
      </w:r>
      <w:r w:rsidR="00A37E6A" w:rsidRPr="00266F2F">
        <w:rPr>
          <w:color w:val="1F3864" w:themeColor="accent1" w:themeShade="80"/>
        </w:rPr>
        <w:t xml:space="preserve"> </w:t>
      </w:r>
      <w:r w:rsidRPr="00266F2F">
        <w:rPr>
          <w:color w:val="1F3864" w:themeColor="accent1" w:themeShade="80"/>
        </w:rPr>
        <w:t>STÁTNÍHO</w:t>
      </w:r>
      <w:r w:rsidR="00850B5D" w:rsidRPr="00266F2F">
        <w:rPr>
          <w:color w:val="1F3864" w:themeColor="accent1" w:themeShade="80"/>
        </w:rPr>
        <w:t xml:space="preserve"> </w:t>
      </w:r>
      <w:r w:rsidRPr="00266F2F">
        <w:rPr>
          <w:color w:val="1F3864" w:themeColor="accent1" w:themeShade="80"/>
        </w:rPr>
        <w:t>ROZPOČTU</w:t>
      </w:r>
    </w:p>
    <w:p w14:paraId="4A6F3337" w14:textId="77777777" w:rsidR="008E0F74" w:rsidRPr="00FC3B7C" w:rsidRDefault="00256F29" w:rsidP="00850B5D">
      <w:pPr>
        <w:rPr>
          <w:sz w:val="20"/>
          <w:szCs w:val="20"/>
        </w:rPr>
      </w:pPr>
      <w:r w:rsidRPr="00FC3B7C">
        <w:rPr>
          <w:rFonts w:eastAsia="Times New Roman"/>
        </w:rPr>
        <w:t>Existují dva hlavní přístupy k vyrovnanosti státního rozpočtu, i když dnes můžeme pozorovat v podstatě vznik třetího přístupu, kterým může být každoročně deficitní státní rozpočet,</w:t>
      </w:r>
      <w:r w:rsidR="00850B5D">
        <w:rPr>
          <w:sz w:val="20"/>
          <w:szCs w:val="20"/>
        </w:rPr>
        <w:t xml:space="preserve"> </w:t>
      </w:r>
      <w:r w:rsidRPr="00FC3B7C">
        <w:rPr>
          <w:rFonts w:eastAsia="Times New Roman"/>
          <w:szCs w:val="24"/>
        </w:rPr>
        <w:t>což má za následek stále narůstající státní dluh.</w:t>
      </w:r>
    </w:p>
    <w:p w14:paraId="4A6F3338" w14:textId="77777777" w:rsidR="008E0F74" w:rsidRPr="00FC3B7C" w:rsidRDefault="008E0F74">
      <w:pPr>
        <w:spacing w:line="200" w:lineRule="exact"/>
        <w:rPr>
          <w:sz w:val="20"/>
          <w:szCs w:val="20"/>
        </w:rPr>
      </w:pPr>
    </w:p>
    <w:p w14:paraId="4A6F3339" w14:textId="77777777" w:rsidR="008E0F74" w:rsidRPr="00266F2F" w:rsidRDefault="00256F29" w:rsidP="00850B5D">
      <w:pPr>
        <w:pStyle w:val="Nadpis3"/>
        <w:rPr>
          <w:color w:val="1F3864" w:themeColor="accent1" w:themeShade="80"/>
          <w:sz w:val="20"/>
          <w:szCs w:val="20"/>
        </w:rPr>
      </w:pPr>
      <w:r w:rsidRPr="00266F2F">
        <w:rPr>
          <w:rFonts w:eastAsia="Times New Roman"/>
          <w:color w:val="1F3864" w:themeColor="accent1" w:themeShade="80"/>
        </w:rPr>
        <w:t>Každoročně vyrovnaný státní rozpočet</w:t>
      </w:r>
    </w:p>
    <w:p w14:paraId="4A6F333A" w14:textId="77777777" w:rsidR="008E0F74" w:rsidRPr="00FC3B7C" w:rsidRDefault="00256F29" w:rsidP="00850B5D">
      <w:pPr>
        <w:spacing w:after="240"/>
        <w:ind w:left="4"/>
        <w:rPr>
          <w:sz w:val="20"/>
          <w:szCs w:val="20"/>
        </w:rPr>
      </w:pPr>
      <w:r w:rsidRPr="00FC3B7C">
        <w:rPr>
          <w:rFonts w:eastAsia="Times New Roman"/>
          <w:szCs w:val="24"/>
        </w:rPr>
        <w:t>Stát vydává tolik výdajů, kolik jsou jeho příjmy. Nedochází tedy k zadlužování země.</w:t>
      </w:r>
    </w:p>
    <w:p w14:paraId="4A6F333B" w14:textId="77777777" w:rsidR="008E0F74" w:rsidRPr="00266F2F" w:rsidRDefault="00256F29" w:rsidP="00850B5D">
      <w:pPr>
        <w:pStyle w:val="Nadpis3"/>
        <w:rPr>
          <w:color w:val="1F3864" w:themeColor="accent1" w:themeShade="80"/>
          <w:sz w:val="20"/>
          <w:szCs w:val="20"/>
        </w:rPr>
      </w:pPr>
      <w:r w:rsidRPr="00266F2F">
        <w:rPr>
          <w:rFonts w:eastAsia="Times New Roman"/>
          <w:color w:val="1F3864" w:themeColor="accent1" w:themeShade="80"/>
        </w:rPr>
        <w:lastRenderedPageBreak/>
        <w:t>Cyklicky vyrovnávaný státní rozpočet</w:t>
      </w:r>
    </w:p>
    <w:p w14:paraId="4A6F333C" w14:textId="77777777" w:rsidR="008E0F74" w:rsidRPr="00850B5D" w:rsidRDefault="00256F29" w:rsidP="00850B5D">
      <w:pPr>
        <w:spacing w:after="240"/>
        <w:rPr>
          <w:sz w:val="20"/>
          <w:szCs w:val="20"/>
        </w:rPr>
      </w:pPr>
      <w:r w:rsidRPr="00FC3B7C">
        <w:rPr>
          <w:rFonts w:eastAsia="Times New Roman"/>
        </w:rPr>
        <w:t>V období recese se provádí deficitní hospodaření tak, aby se povzbudila ekonomika. Naopak</w:t>
      </w:r>
      <w:r w:rsidR="00850B5D">
        <w:rPr>
          <w:sz w:val="20"/>
          <w:szCs w:val="20"/>
        </w:rPr>
        <w:t xml:space="preserve"> </w:t>
      </w:r>
      <w:r w:rsidR="00850B5D">
        <w:rPr>
          <w:rFonts w:eastAsia="Times New Roman"/>
        </w:rPr>
        <w:t xml:space="preserve">v </w:t>
      </w:r>
      <w:r w:rsidRPr="00FC3B7C">
        <w:rPr>
          <w:rFonts w:eastAsia="Times New Roman"/>
        </w:rPr>
        <w:t xml:space="preserve">době konjunktury při uplatnění restriktivní fiskální politiky dochází k přebytkům státního rozpočtu. Ty pak splácí dluh z minulých let. S touto myšlenkou přišel </w:t>
      </w:r>
      <w:r w:rsidRPr="00A37E6A">
        <w:rPr>
          <w:rFonts w:eastAsia="Times New Roman"/>
          <w:i/>
          <w:iCs/>
        </w:rPr>
        <w:t>J. M. Keynes</w:t>
      </w:r>
      <w:r w:rsidRPr="00FC3B7C">
        <w:rPr>
          <w:rFonts w:eastAsia="Times New Roman"/>
        </w:rPr>
        <w:t>.</w:t>
      </w:r>
    </w:p>
    <w:p w14:paraId="4A6F333D" w14:textId="77777777" w:rsidR="008E0F74" w:rsidRPr="000529F1" w:rsidRDefault="00256F29" w:rsidP="00850B5D">
      <w:pPr>
        <w:pStyle w:val="Nadpis2"/>
        <w:rPr>
          <w:color w:val="1F3864" w:themeColor="accent1" w:themeShade="80"/>
          <w:sz w:val="20"/>
          <w:szCs w:val="20"/>
        </w:rPr>
      </w:pPr>
      <w:r w:rsidRPr="000529F1">
        <w:rPr>
          <w:rFonts w:eastAsia="Times New Roman"/>
          <w:color w:val="1F3864" w:themeColor="accent1" w:themeShade="80"/>
        </w:rPr>
        <w:t>DRUHY ROZPOČTOVÝCH DEFICITŮ</w:t>
      </w:r>
    </w:p>
    <w:p w14:paraId="4A6F333E" w14:textId="77777777" w:rsidR="008E0F74" w:rsidRPr="00FC3B7C" w:rsidRDefault="00256F29">
      <w:pPr>
        <w:spacing w:line="364" w:lineRule="auto"/>
        <w:ind w:left="4"/>
        <w:rPr>
          <w:sz w:val="20"/>
          <w:szCs w:val="20"/>
        </w:rPr>
      </w:pPr>
      <w:r w:rsidRPr="00FC3B7C">
        <w:rPr>
          <w:rFonts w:eastAsia="Times New Roman"/>
          <w:szCs w:val="24"/>
        </w:rPr>
        <w:t xml:space="preserve">Deficit státního rozpočtu vzniká v okamžiku, kdy státní výdaje převyšují příjmy státu </w:t>
      </w:r>
      <w:r w:rsidR="00850B5D">
        <w:rPr>
          <w:rFonts w:eastAsia="Times New Roman"/>
          <w:szCs w:val="24"/>
        </w:rPr>
        <w:br/>
      </w:r>
      <w:r w:rsidRPr="00FC3B7C">
        <w:rPr>
          <w:rFonts w:eastAsia="Times New Roman"/>
          <w:szCs w:val="24"/>
        </w:rPr>
        <w:t xml:space="preserve">v daném období. Veřejným dluhem se pak nazývá součet všech deficitů státu z minulých let. Jakýkoliv nesoulad mezi rozpočtovými příjmy a výdaji nazýváme </w:t>
      </w:r>
      <w:r w:rsidRPr="00A37E6A">
        <w:rPr>
          <w:rFonts w:eastAsia="Times New Roman"/>
          <w:i/>
          <w:iCs/>
          <w:szCs w:val="24"/>
        </w:rPr>
        <w:t>fiskální nerovnováhou</w:t>
      </w:r>
      <w:r w:rsidRPr="00FC3B7C">
        <w:rPr>
          <w:rFonts w:eastAsia="Times New Roman"/>
          <w:szCs w:val="24"/>
        </w:rPr>
        <w:t>.</w:t>
      </w:r>
    </w:p>
    <w:p w14:paraId="4A6F333F" w14:textId="77777777" w:rsidR="008E0F74" w:rsidRPr="00FC3B7C" w:rsidRDefault="008E0F74">
      <w:pPr>
        <w:spacing w:line="2" w:lineRule="exact"/>
        <w:rPr>
          <w:sz w:val="20"/>
          <w:szCs w:val="20"/>
        </w:rPr>
      </w:pPr>
    </w:p>
    <w:p w14:paraId="4A6F3340" w14:textId="407E0F18" w:rsidR="00850B5D" w:rsidRPr="00850B5D" w:rsidRDefault="00256F29" w:rsidP="00D46B53">
      <w:pPr>
        <w:numPr>
          <w:ilvl w:val="0"/>
          <w:numId w:val="618"/>
        </w:numPr>
        <w:tabs>
          <w:tab w:val="left" w:pos="1060"/>
        </w:tabs>
        <w:spacing w:line="397" w:lineRule="auto"/>
        <w:ind w:left="1000" w:hanging="360"/>
        <w:rPr>
          <w:rFonts w:eastAsia="Arial"/>
          <w:szCs w:val="24"/>
        </w:rPr>
      </w:pPr>
      <w:r w:rsidRPr="00A37E6A">
        <w:rPr>
          <w:rFonts w:eastAsia="Times New Roman"/>
          <w:b/>
          <w:bCs/>
          <w:szCs w:val="24"/>
        </w:rPr>
        <w:t>Krátkodobá fiskální nerovnováha</w:t>
      </w:r>
      <w:r w:rsidRPr="00850B5D">
        <w:rPr>
          <w:rFonts w:eastAsia="Times New Roman"/>
          <w:szCs w:val="24"/>
        </w:rPr>
        <w:t xml:space="preserve"> – nesoulad v průběhu jednoho rozpočtového období</w:t>
      </w:r>
      <w:bookmarkStart w:id="125" w:name="page122"/>
      <w:bookmarkEnd w:id="125"/>
    </w:p>
    <w:p w14:paraId="4A6F3341" w14:textId="0842EBC6" w:rsidR="008E0F74" w:rsidRPr="00850B5D" w:rsidRDefault="00A37E6A" w:rsidP="00D46B53">
      <w:pPr>
        <w:numPr>
          <w:ilvl w:val="0"/>
          <w:numId w:val="618"/>
        </w:numPr>
        <w:tabs>
          <w:tab w:val="left" w:pos="1060"/>
        </w:tabs>
        <w:spacing w:line="397" w:lineRule="auto"/>
        <w:ind w:left="1000" w:hanging="360"/>
        <w:rPr>
          <w:rFonts w:eastAsia="Arial"/>
          <w:szCs w:val="24"/>
        </w:rPr>
      </w:pPr>
      <w:r w:rsidRPr="00A37E6A">
        <w:rPr>
          <w:rFonts w:eastAsia="Times New Roman"/>
          <w:b/>
          <w:bCs/>
          <w:szCs w:val="24"/>
        </w:rPr>
        <w:t>D</w:t>
      </w:r>
      <w:r w:rsidR="00256F29" w:rsidRPr="00A37E6A">
        <w:rPr>
          <w:rFonts w:eastAsia="Times New Roman"/>
          <w:b/>
          <w:bCs/>
          <w:szCs w:val="24"/>
        </w:rPr>
        <w:t>louhodobá fiskální nerovnováha</w:t>
      </w:r>
      <w:r w:rsidR="00256F29" w:rsidRPr="00850B5D">
        <w:rPr>
          <w:rFonts w:eastAsia="Times New Roman"/>
          <w:szCs w:val="24"/>
        </w:rPr>
        <w:t xml:space="preserve"> – nesoulad v delším časovém období, je ekonomickým problémem s makroekonomickými a rozpočtovými důsledky</w:t>
      </w:r>
    </w:p>
    <w:p w14:paraId="4A6F3342" w14:textId="77777777" w:rsidR="008E0F74" w:rsidRPr="00FC3B7C" w:rsidRDefault="008E0F74">
      <w:pPr>
        <w:spacing w:line="127" w:lineRule="exact"/>
        <w:rPr>
          <w:sz w:val="20"/>
          <w:szCs w:val="20"/>
        </w:rPr>
      </w:pPr>
    </w:p>
    <w:p w14:paraId="4A6F3343" w14:textId="77777777" w:rsidR="008E0F74" w:rsidRPr="00FC3B7C" w:rsidRDefault="00256F29" w:rsidP="00850B5D">
      <w:pPr>
        <w:rPr>
          <w:sz w:val="20"/>
          <w:szCs w:val="20"/>
        </w:rPr>
      </w:pPr>
      <w:r w:rsidRPr="00FC3B7C">
        <w:rPr>
          <w:rFonts w:eastAsia="Times New Roman"/>
        </w:rPr>
        <w:t>Deficit je známkou špatného finančního hospodaření vlády a může znamenat, že vláda má silný veřejný sektor, na který jí nestačí příjmy. Hlavní příčinou existence rozpočtových deficitů v posledních letech jsou vysoké mandatorní výdaje související se sociální politikou vlády.</w:t>
      </w:r>
    </w:p>
    <w:p w14:paraId="4A6F3345" w14:textId="0DE4F7D6" w:rsidR="008E0F74" w:rsidRPr="00266F2F" w:rsidRDefault="00266F2F" w:rsidP="00850B5D">
      <w:pPr>
        <w:pStyle w:val="Nadpis3"/>
        <w:rPr>
          <w:color w:val="1F3864" w:themeColor="accent1" w:themeShade="80"/>
          <w:sz w:val="20"/>
          <w:szCs w:val="20"/>
        </w:rPr>
      </w:pPr>
      <w:bookmarkStart w:id="126" w:name="page123"/>
      <w:bookmarkEnd w:id="126"/>
      <w:r w:rsidRPr="00266F2F">
        <w:rPr>
          <w:rFonts w:eastAsia="Times New Roman"/>
          <w:color w:val="1F3864" w:themeColor="accent1" w:themeShade="80"/>
        </w:rPr>
        <w:t xml:space="preserve"> </w:t>
      </w:r>
      <w:r w:rsidR="00256F29" w:rsidRPr="00266F2F">
        <w:rPr>
          <w:rFonts w:eastAsia="Times New Roman"/>
          <w:color w:val="1F3864" w:themeColor="accent1" w:themeShade="80"/>
        </w:rPr>
        <w:t>Cyklický (pasivní) deficit</w:t>
      </w:r>
    </w:p>
    <w:p w14:paraId="4A6F3346" w14:textId="77777777" w:rsidR="008E0F74" w:rsidRPr="00FC3B7C" w:rsidRDefault="00256F29" w:rsidP="00850B5D">
      <w:pPr>
        <w:rPr>
          <w:sz w:val="20"/>
          <w:szCs w:val="20"/>
        </w:rPr>
      </w:pPr>
      <w:r w:rsidRPr="00FC3B7C">
        <w:rPr>
          <w:rFonts w:eastAsia="Times New Roman"/>
        </w:rPr>
        <w:t>Vzniká automaticky jako důsledek průběhu hospodářského cyklu v období recese ekonomiky. Proto by neměl být výskyt cyklického deficitu pro ekonomiku tak velkým problémem, jelikož v období expanze lze očekávat vyrovnání tohoto deficitu. Nelze ho tedy spojovat s fiskální politikou, jelikož je nezávislý na vládních záměrech.</w:t>
      </w:r>
    </w:p>
    <w:p w14:paraId="4A6F3347" w14:textId="77777777" w:rsidR="008E0F74" w:rsidRPr="00FC3B7C" w:rsidRDefault="008E0F74">
      <w:pPr>
        <w:spacing w:line="3" w:lineRule="exact"/>
        <w:rPr>
          <w:sz w:val="20"/>
          <w:szCs w:val="20"/>
        </w:rPr>
      </w:pPr>
    </w:p>
    <w:p w14:paraId="4A6F3348" w14:textId="77777777" w:rsidR="008E0F74" w:rsidRPr="00FC3B7C" w:rsidRDefault="00256F29">
      <w:pPr>
        <w:rPr>
          <w:sz w:val="20"/>
          <w:szCs w:val="20"/>
        </w:rPr>
      </w:pPr>
      <w:r w:rsidRPr="00FC3B7C">
        <w:rPr>
          <w:rFonts w:eastAsia="Times New Roman"/>
          <w:b/>
          <w:bCs/>
          <w:szCs w:val="24"/>
        </w:rPr>
        <w:t>Příčiny:</w:t>
      </w:r>
    </w:p>
    <w:p w14:paraId="4A6F3349" w14:textId="77777777" w:rsidR="008E0F74" w:rsidRPr="00FC3B7C" w:rsidRDefault="00256F29" w:rsidP="00D46B53">
      <w:pPr>
        <w:numPr>
          <w:ilvl w:val="0"/>
          <w:numId w:val="619"/>
        </w:numPr>
        <w:tabs>
          <w:tab w:val="left" w:pos="1276"/>
        </w:tabs>
        <w:ind w:left="1340" w:hanging="417"/>
        <w:rPr>
          <w:rFonts w:eastAsia="Arial"/>
          <w:szCs w:val="24"/>
        </w:rPr>
      </w:pPr>
      <w:r w:rsidRPr="00FC3B7C">
        <w:rPr>
          <w:rFonts w:eastAsia="Times New Roman"/>
          <w:szCs w:val="24"/>
        </w:rPr>
        <w:t>Hospodářský pokles</w:t>
      </w:r>
    </w:p>
    <w:p w14:paraId="4A6F334A" w14:textId="77777777" w:rsidR="008E0F74" w:rsidRPr="00FC3B7C" w:rsidRDefault="00256F29" w:rsidP="00D46B53">
      <w:pPr>
        <w:numPr>
          <w:ilvl w:val="0"/>
          <w:numId w:val="619"/>
        </w:numPr>
        <w:tabs>
          <w:tab w:val="left" w:pos="1276"/>
        </w:tabs>
        <w:ind w:left="1280" w:hanging="357"/>
        <w:rPr>
          <w:rFonts w:eastAsia="Arial"/>
          <w:szCs w:val="24"/>
        </w:rPr>
      </w:pPr>
      <w:r w:rsidRPr="00FC3B7C">
        <w:rPr>
          <w:rFonts w:eastAsia="Times New Roman"/>
          <w:szCs w:val="24"/>
        </w:rPr>
        <w:t>Růst cen základních surovin</w:t>
      </w:r>
    </w:p>
    <w:p w14:paraId="4A6F334B" w14:textId="77777777" w:rsidR="008E0F74" w:rsidRPr="00FC3B7C" w:rsidRDefault="00256F29" w:rsidP="00D46B53">
      <w:pPr>
        <w:numPr>
          <w:ilvl w:val="0"/>
          <w:numId w:val="619"/>
        </w:numPr>
        <w:tabs>
          <w:tab w:val="left" w:pos="1276"/>
        </w:tabs>
        <w:ind w:left="1340" w:hanging="417"/>
        <w:rPr>
          <w:rFonts w:eastAsia="Arial"/>
          <w:szCs w:val="24"/>
        </w:rPr>
      </w:pPr>
      <w:r w:rsidRPr="00FC3B7C">
        <w:rPr>
          <w:rFonts w:eastAsia="Times New Roman"/>
          <w:szCs w:val="24"/>
        </w:rPr>
        <w:t>Společenská, přírodní kataklyzmata</w:t>
      </w:r>
    </w:p>
    <w:p w14:paraId="4A6F334C" w14:textId="77777777" w:rsidR="008E0F74" w:rsidRPr="00FC3B7C" w:rsidRDefault="00256F29" w:rsidP="00D46B53">
      <w:pPr>
        <w:numPr>
          <w:ilvl w:val="0"/>
          <w:numId w:val="619"/>
        </w:numPr>
        <w:tabs>
          <w:tab w:val="left" w:pos="1276"/>
        </w:tabs>
        <w:ind w:left="1280" w:hanging="357"/>
        <w:rPr>
          <w:rFonts w:eastAsia="Arial"/>
          <w:szCs w:val="24"/>
        </w:rPr>
      </w:pPr>
      <w:r w:rsidRPr="00FC3B7C">
        <w:rPr>
          <w:rFonts w:eastAsia="Times New Roman"/>
          <w:szCs w:val="24"/>
        </w:rPr>
        <w:t>Úroky z veřejného dluhu</w:t>
      </w:r>
    </w:p>
    <w:p w14:paraId="4A6F334D" w14:textId="2B2D8F73" w:rsidR="008E0F74" w:rsidRPr="00266F2F" w:rsidRDefault="00266F2F" w:rsidP="00850B5D">
      <w:pPr>
        <w:pStyle w:val="Nadpis3"/>
        <w:rPr>
          <w:color w:val="1F3864" w:themeColor="accent1" w:themeShade="80"/>
          <w:sz w:val="20"/>
          <w:szCs w:val="20"/>
        </w:rPr>
      </w:pPr>
      <w:r w:rsidRPr="00266F2F">
        <w:rPr>
          <w:rFonts w:eastAsia="Times New Roman"/>
          <w:color w:val="1F3864" w:themeColor="accent1" w:themeShade="80"/>
        </w:rPr>
        <w:t xml:space="preserve"> </w:t>
      </w:r>
      <w:r w:rsidR="00256F29" w:rsidRPr="00266F2F">
        <w:rPr>
          <w:rFonts w:eastAsia="Times New Roman"/>
          <w:color w:val="1F3864" w:themeColor="accent1" w:themeShade="80"/>
        </w:rPr>
        <w:t>Strukturální (aktivní) deficit</w:t>
      </w:r>
    </w:p>
    <w:p w14:paraId="4A6F334E" w14:textId="77777777" w:rsidR="008E0F74" w:rsidRPr="00FC3B7C" w:rsidRDefault="00850B5D" w:rsidP="00850B5D">
      <w:pPr>
        <w:rPr>
          <w:sz w:val="20"/>
          <w:szCs w:val="20"/>
        </w:rPr>
      </w:pPr>
      <w:r>
        <w:rPr>
          <w:rFonts w:eastAsia="Times New Roman"/>
        </w:rPr>
        <w:t>J</w:t>
      </w:r>
      <w:r w:rsidR="00256F29" w:rsidRPr="00FC3B7C">
        <w:rPr>
          <w:rFonts w:eastAsia="Times New Roman"/>
        </w:rPr>
        <w:t xml:space="preserve">edná se o </w:t>
      </w:r>
      <w:r w:rsidR="00256F29" w:rsidRPr="00233143">
        <w:rPr>
          <w:rFonts w:eastAsia="Times New Roman"/>
          <w:b/>
          <w:bCs/>
        </w:rPr>
        <w:t>plánovaný deficit</w:t>
      </w:r>
      <w:r w:rsidR="00256F29" w:rsidRPr="00FC3B7C">
        <w:rPr>
          <w:rFonts w:eastAsia="Times New Roman"/>
        </w:rPr>
        <w:t>, jelikož vzniká diskrečními opatřeními fiskální politiky. Základní příčinou je nevyvážená struktura příjmů a výdajů rozpočtu, kdy vláda zvýšení výdajů nekompenzuje zvýšením státních příjmů (příp. snížení příjmů není doprovázeno snížením výdajů).</w:t>
      </w:r>
    </w:p>
    <w:p w14:paraId="4A6F334F" w14:textId="77777777" w:rsidR="008E0F74" w:rsidRPr="00FC3B7C" w:rsidRDefault="008E0F74">
      <w:pPr>
        <w:spacing w:line="3" w:lineRule="exact"/>
        <w:rPr>
          <w:sz w:val="20"/>
          <w:szCs w:val="20"/>
        </w:rPr>
      </w:pPr>
    </w:p>
    <w:p w14:paraId="4A6F3350" w14:textId="77777777" w:rsidR="008E0F74" w:rsidRPr="00FC3B7C" w:rsidRDefault="00256F29">
      <w:pPr>
        <w:rPr>
          <w:sz w:val="20"/>
          <w:szCs w:val="20"/>
        </w:rPr>
      </w:pPr>
      <w:r w:rsidRPr="00FC3B7C">
        <w:rPr>
          <w:rFonts w:eastAsia="Times New Roman"/>
          <w:b/>
          <w:bCs/>
          <w:szCs w:val="24"/>
        </w:rPr>
        <w:lastRenderedPageBreak/>
        <w:t>Příčiny:</w:t>
      </w:r>
    </w:p>
    <w:p w14:paraId="4A6F3351" w14:textId="77777777" w:rsidR="008E0F74" w:rsidRPr="00FC3B7C" w:rsidRDefault="00256F29" w:rsidP="00D46B53">
      <w:pPr>
        <w:numPr>
          <w:ilvl w:val="0"/>
          <w:numId w:val="620"/>
        </w:numPr>
        <w:tabs>
          <w:tab w:val="left" w:pos="1276"/>
        </w:tabs>
        <w:ind w:left="1340" w:hanging="417"/>
        <w:rPr>
          <w:rFonts w:eastAsia="Arial"/>
          <w:szCs w:val="24"/>
        </w:rPr>
      </w:pPr>
      <w:r w:rsidRPr="00FC3B7C">
        <w:rPr>
          <w:rFonts w:eastAsia="Times New Roman"/>
          <w:szCs w:val="24"/>
        </w:rPr>
        <w:t>Expanzivní fiskální politika</w:t>
      </w:r>
    </w:p>
    <w:p w14:paraId="4A6F3352" w14:textId="77777777" w:rsidR="008E0F74" w:rsidRPr="00FC3B7C" w:rsidRDefault="00256F29" w:rsidP="00D46B53">
      <w:pPr>
        <w:numPr>
          <w:ilvl w:val="0"/>
          <w:numId w:val="620"/>
        </w:numPr>
        <w:tabs>
          <w:tab w:val="left" w:pos="1276"/>
        </w:tabs>
        <w:ind w:left="1340" w:hanging="417"/>
        <w:rPr>
          <w:rFonts w:eastAsia="Arial"/>
          <w:szCs w:val="24"/>
        </w:rPr>
      </w:pPr>
      <w:r w:rsidRPr="00FC3B7C">
        <w:rPr>
          <w:rFonts w:eastAsia="Times New Roman"/>
          <w:szCs w:val="24"/>
        </w:rPr>
        <w:t>Politické důvody (vládní populismus)</w:t>
      </w:r>
    </w:p>
    <w:p w14:paraId="4A6F3353" w14:textId="77777777" w:rsidR="008E0F74" w:rsidRPr="00FC3B7C" w:rsidRDefault="00256F29" w:rsidP="00D46B53">
      <w:pPr>
        <w:numPr>
          <w:ilvl w:val="0"/>
          <w:numId w:val="620"/>
        </w:numPr>
        <w:tabs>
          <w:tab w:val="left" w:pos="1276"/>
        </w:tabs>
        <w:ind w:left="1340" w:hanging="417"/>
        <w:rPr>
          <w:rFonts w:eastAsia="Arial"/>
          <w:szCs w:val="24"/>
        </w:rPr>
      </w:pPr>
      <w:r w:rsidRPr="00FC3B7C">
        <w:rPr>
          <w:rFonts w:eastAsia="Times New Roman"/>
          <w:szCs w:val="24"/>
        </w:rPr>
        <w:t>Snaha rozložit důsledky tzv. výdajových šoků („tax smoothing“)</w:t>
      </w:r>
    </w:p>
    <w:p w14:paraId="4A6F3354" w14:textId="77777777" w:rsidR="008E0F74" w:rsidRPr="00FC3B7C" w:rsidRDefault="00256F29" w:rsidP="00D46B53">
      <w:pPr>
        <w:numPr>
          <w:ilvl w:val="0"/>
          <w:numId w:val="620"/>
        </w:numPr>
        <w:tabs>
          <w:tab w:val="left" w:pos="1276"/>
        </w:tabs>
        <w:spacing w:after="240"/>
        <w:ind w:left="1340" w:hanging="417"/>
        <w:rPr>
          <w:rFonts w:eastAsia="Arial"/>
          <w:szCs w:val="24"/>
        </w:rPr>
      </w:pPr>
      <w:r w:rsidRPr="00FC3B7C">
        <w:rPr>
          <w:rFonts w:eastAsia="Times New Roman"/>
          <w:szCs w:val="24"/>
        </w:rPr>
        <w:t>Rozložení daňového zatížení na více generací</w:t>
      </w:r>
    </w:p>
    <w:p w14:paraId="4A6F3355" w14:textId="29D5A945" w:rsidR="008E0F74" w:rsidRPr="00266F2F" w:rsidRDefault="00266F2F" w:rsidP="00850B5D">
      <w:pPr>
        <w:pStyle w:val="Nadpis3"/>
        <w:rPr>
          <w:color w:val="1F3864" w:themeColor="accent1" w:themeShade="80"/>
          <w:sz w:val="20"/>
          <w:szCs w:val="20"/>
        </w:rPr>
      </w:pPr>
      <w:r w:rsidRPr="00266F2F">
        <w:rPr>
          <w:rFonts w:eastAsia="Times New Roman"/>
          <w:color w:val="1F3864" w:themeColor="accent1" w:themeShade="80"/>
        </w:rPr>
        <w:t xml:space="preserve"> </w:t>
      </w:r>
      <w:r w:rsidR="00256F29" w:rsidRPr="00266F2F">
        <w:rPr>
          <w:rFonts w:eastAsia="Times New Roman"/>
          <w:color w:val="1F3864" w:themeColor="accent1" w:themeShade="80"/>
        </w:rPr>
        <w:t>Skutečný deficit</w:t>
      </w:r>
    </w:p>
    <w:p w14:paraId="4A6F3356" w14:textId="77777777" w:rsidR="008E0F74" w:rsidRPr="00FC3B7C" w:rsidRDefault="00256F29">
      <w:pPr>
        <w:rPr>
          <w:sz w:val="20"/>
          <w:szCs w:val="20"/>
        </w:rPr>
      </w:pPr>
      <w:r w:rsidRPr="00FC3B7C">
        <w:rPr>
          <w:rFonts w:eastAsia="Times New Roman"/>
          <w:szCs w:val="24"/>
        </w:rPr>
        <w:t>Součet cyklického a strukturálního deficitu.</w:t>
      </w:r>
    </w:p>
    <w:p w14:paraId="4A6F3358" w14:textId="77777777" w:rsidR="008E0F74" w:rsidRPr="00266F2F" w:rsidRDefault="00256F29" w:rsidP="001F5965">
      <w:pPr>
        <w:pStyle w:val="Nadpis2"/>
        <w:rPr>
          <w:color w:val="1F3864" w:themeColor="accent1" w:themeShade="80"/>
          <w:sz w:val="20"/>
          <w:szCs w:val="20"/>
        </w:rPr>
      </w:pPr>
      <w:bookmarkStart w:id="127" w:name="page124"/>
      <w:bookmarkEnd w:id="127"/>
      <w:r w:rsidRPr="00266F2F">
        <w:rPr>
          <w:rFonts w:eastAsia="Times New Roman"/>
          <w:color w:val="1F3864" w:themeColor="accent1" w:themeShade="80"/>
        </w:rPr>
        <w:t>DŮSLEDKY ROZPOČTOVÝCH DEFICITŮ</w:t>
      </w:r>
    </w:p>
    <w:p w14:paraId="4A6F3359" w14:textId="2404840B" w:rsidR="008E0F74" w:rsidRPr="00266F2F" w:rsidRDefault="00266F2F" w:rsidP="001F5965">
      <w:pPr>
        <w:pStyle w:val="Nadpis3"/>
        <w:rPr>
          <w:color w:val="1F3864" w:themeColor="accent1" w:themeShade="80"/>
          <w:sz w:val="20"/>
          <w:szCs w:val="20"/>
        </w:rPr>
      </w:pPr>
      <w:r w:rsidRPr="00266F2F">
        <w:rPr>
          <w:rFonts w:eastAsia="Times New Roman"/>
          <w:color w:val="1F3864" w:themeColor="accent1" w:themeShade="80"/>
        </w:rPr>
        <w:t xml:space="preserve"> </w:t>
      </w:r>
      <w:r w:rsidR="00256F29" w:rsidRPr="00266F2F">
        <w:rPr>
          <w:rFonts w:eastAsia="Times New Roman"/>
          <w:color w:val="1F3864" w:themeColor="accent1" w:themeShade="80"/>
        </w:rPr>
        <w:t>Finanční (rozpočtové) důsledky deficitů</w:t>
      </w:r>
    </w:p>
    <w:p w14:paraId="4A6F335A" w14:textId="66F35D36" w:rsidR="008E0F74" w:rsidRPr="001F5965" w:rsidRDefault="00256F29" w:rsidP="00233143">
      <w:pPr>
        <w:rPr>
          <w:rFonts w:eastAsia="Arial"/>
        </w:rPr>
      </w:pPr>
      <w:r w:rsidRPr="00233143">
        <w:rPr>
          <w:rFonts w:eastAsia="Times New Roman"/>
          <w:b/>
          <w:bCs/>
        </w:rPr>
        <w:t>Krátkodobé</w:t>
      </w:r>
      <w:r w:rsidRPr="00FC3B7C">
        <w:rPr>
          <w:rFonts w:eastAsia="Times New Roman"/>
        </w:rPr>
        <w:t xml:space="preserve"> – dočasný deficit má pozitivní efekt, při negativních výdajových</w:t>
      </w:r>
      <w:r w:rsidR="001F5965">
        <w:rPr>
          <w:rFonts w:eastAsia="Arial"/>
        </w:rPr>
        <w:t xml:space="preserve"> </w:t>
      </w:r>
      <w:r w:rsidRPr="001F5965">
        <w:rPr>
          <w:rFonts w:eastAsia="Times New Roman"/>
        </w:rPr>
        <w:t>šocích nemusí dojít k prudkému zvýšení daní, které je spojeno s</w:t>
      </w:r>
      <w:r w:rsidR="00233143">
        <w:rPr>
          <w:rFonts w:eastAsia="Times New Roman"/>
        </w:rPr>
        <w:t> </w:t>
      </w:r>
      <w:r w:rsidRPr="001F5965">
        <w:rPr>
          <w:rFonts w:eastAsia="Times New Roman"/>
        </w:rPr>
        <w:t>daňovými</w:t>
      </w:r>
      <w:r w:rsidR="00233143">
        <w:rPr>
          <w:rFonts w:eastAsia="Times New Roman"/>
        </w:rPr>
        <w:t xml:space="preserve"> </w:t>
      </w:r>
      <w:r w:rsidRPr="001F5965">
        <w:rPr>
          <w:rFonts w:eastAsia="Times New Roman"/>
        </w:rPr>
        <w:t>a sociálními důsledky</w:t>
      </w:r>
    </w:p>
    <w:p w14:paraId="4A6F335C" w14:textId="77777777" w:rsidR="008E0F74" w:rsidRPr="001F5965" w:rsidRDefault="00256F29" w:rsidP="008F2770">
      <w:pPr>
        <w:spacing w:after="240"/>
        <w:rPr>
          <w:rFonts w:eastAsia="Arial"/>
        </w:rPr>
      </w:pPr>
      <w:r w:rsidRPr="00233143">
        <w:rPr>
          <w:rFonts w:eastAsia="Times New Roman"/>
          <w:b/>
          <w:bCs/>
        </w:rPr>
        <w:t>Dlouhodobé</w:t>
      </w:r>
      <w:r w:rsidRPr="00FC3B7C">
        <w:rPr>
          <w:rFonts w:eastAsia="Times New Roman"/>
        </w:rPr>
        <w:t xml:space="preserve"> – je nutno jej nějakým způsobem krýt, proto roste úroková zátěž</w:t>
      </w:r>
      <w:r w:rsidR="001F5965">
        <w:rPr>
          <w:rFonts w:eastAsia="Arial"/>
        </w:rPr>
        <w:t xml:space="preserve"> </w:t>
      </w:r>
      <w:r w:rsidRPr="001F5965">
        <w:rPr>
          <w:rFonts w:eastAsia="Times New Roman"/>
        </w:rPr>
        <w:t>nebo inflace</w:t>
      </w:r>
    </w:p>
    <w:p w14:paraId="4A6F335E" w14:textId="5C4A4F6B" w:rsidR="008E0F74" w:rsidRPr="00266F2F" w:rsidRDefault="00266F2F" w:rsidP="001F5965">
      <w:pPr>
        <w:pStyle w:val="Nadpis3"/>
        <w:rPr>
          <w:color w:val="1F3864" w:themeColor="accent1" w:themeShade="80"/>
          <w:sz w:val="20"/>
          <w:szCs w:val="20"/>
        </w:rPr>
      </w:pPr>
      <w:r>
        <w:rPr>
          <w:rFonts w:eastAsia="Times New Roman"/>
          <w:color w:val="1F3864" w:themeColor="accent1" w:themeShade="80"/>
        </w:rPr>
        <w:t xml:space="preserve"> </w:t>
      </w:r>
      <w:r w:rsidR="00256F29" w:rsidRPr="00266F2F">
        <w:rPr>
          <w:rFonts w:eastAsia="Times New Roman"/>
          <w:color w:val="1F3864" w:themeColor="accent1" w:themeShade="80"/>
        </w:rPr>
        <w:t>Makroekonomické (fiskální) důsledky deficitů</w:t>
      </w:r>
    </w:p>
    <w:p w14:paraId="4A6F335F" w14:textId="77777777" w:rsidR="008E0F74" w:rsidRPr="00FC3B7C" w:rsidRDefault="00256F29">
      <w:pPr>
        <w:rPr>
          <w:sz w:val="20"/>
          <w:szCs w:val="20"/>
        </w:rPr>
      </w:pPr>
      <w:r w:rsidRPr="00FC3B7C">
        <w:rPr>
          <w:rFonts w:eastAsia="Times New Roman"/>
          <w:b/>
          <w:bCs/>
          <w:szCs w:val="24"/>
          <w:u w:val="single"/>
        </w:rPr>
        <w:t>Neoklasický</w:t>
      </w:r>
    </w:p>
    <w:p w14:paraId="4A6F3361" w14:textId="65C6B7BC" w:rsidR="008E0F74" w:rsidRPr="00FC3B7C" w:rsidRDefault="00256F29" w:rsidP="00233143">
      <w:pPr>
        <w:tabs>
          <w:tab w:val="left" w:pos="1260"/>
        </w:tabs>
        <w:spacing w:line="398" w:lineRule="auto"/>
        <w:rPr>
          <w:sz w:val="20"/>
          <w:szCs w:val="20"/>
        </w:rPr>
      </w:pPr>
      <w:r w:rsidRPr="00FC3B7C">
        <w:rPr>
          <w:rFonts w:eastAsia="Times New Roman"/>
          <w:szCs w:val="24"/>
        </w:rPr>
        <w:t xml:space="preserve">Důsledky </w:t>
      </w:r>
      <w:r w:rsidRPr="00233143">
        <w:rPr>
          <w:rFonts w:eastAsia="Times New Roman"/>
          <w:i/>
          <w:iCs/>
          <w:szCs w:val="24"/>
        </w:rPr>
        <w:t>negativní</w:t>
      </w:r>
      <w:r w:rsidRPr="00FC3B7C">
        <w:rPr>
          <w:rFonts w:eastAsia="Times New Roman"/>
          <w:szCs w:val="24"/>
        </w:rPr>
        <w:t>, deficit striktně odmítá a hodnotí ho jako něco, co není</w:t>
      </w:r>
      <w:r w:rsidR="00233143">
        <w:rPr>
          <w:rFonts w:eastAsia="Times New Roman"/>
          <w:szCs w:val="24"/>
        </w:rPr>
        <w:t xml:space="preserve"> </w:t>
      </w:r>
      <w:r w:rsidRPr="00FC3B7C">
        <w:rPr>
          <w:rFonts w:eastAsia="Times New Roman"/>
          <w:szCs w:val="24"/>
        </w:rPr>
        <w:t>v souladu s tržním mechanismem, ale je to produkt vlády.</w:t>
      </w:r>
    </w:p>
    <w:p w14:paraId="4A6F3362" w14:textId="77777777" w:rsidR="008E0F74" w:rsidRPr="00FC3B7C" w:rsidRDefault="00256F29" w:rsidP="00233143">
      <w:pPr>
        <w:spacing w:before="240"/>
        <w:rPr>
          <w:sz w:val="20"/>
          <w:szCs w:val="20"/>
        </w:rPr>
      </w:pPr>
      <w:r w:rsidRPr="00FC3B7C">
        <w:rPr>
          <w:rFonts w:eastAsia="Times New Roman"/>
          <w:b/>
          <w:bCs/>
          <w:szCs w:val="24"/>
          <w:u w:val="single"/>
        </w:rPr>
        <w:t>Keynesiánský</w:t>
      </w:r>
    </w:p>
    <w:p w14:paraId="4A6F3363" w14:textId="77777777" w:rsidR="008E0F74" w:rsidRPr="00FC3B7C" w:rsidRDefault="008E0F74">
      <w:pPr>
        <w:spacing w:line="3" w:lineRule="exact"/>
        <w:rPr>
          <w:sz w:val="20"/>
          <w:szCs w:val="20"/>
        </w:rPr>
      </w:pPr>
    </w:p>
    <w:p w14:paraId="4A6F3364" w14:textId="77777777" w:rsidR="008E0F74" w:rsidRPr="00FC3B7C" w:rsidRDefault="008E0F74">
      <w:pPr>
        <w:spacing w:line="5" w:lineRule="exact"/>
        <w:rPr>
          <w:sz w:val="20"/>
          <w:szCs w:val="20"/>
        </w:rPr>
      </w:pPr>
    </w:p>
    <w:p w14:paraId="4A6F3367" w14:textId="6D3681C6" w:rsidR="008E0F74" w:rsidRPr="001F5965" w:rsidRDefault="00233143" w:rsidP="00233143">
      <w:pPr>
        <w:tabs>
          <w:tab w:val="left" w:pos="1260"/>
        </w:tabs>
        <w:spacing w:line="398" w:lineRule="auto"/>
        <w:rPr>
          <w:rFonts w:eastAsia="Times New Roman"/>
          <w:szCs w:val="24"/>
        </w:rPr>
      </w:pPr>
      <w:r w:rsidRPr="001F5965">
        <w:rPr>
          <w:rFonts w:eastAsia="Times New Roman"/>
          <w:szCs w:val="24"/>
        </w:rPr>
        <w:t>Důsledky</w:t>
      </w:r>
      <w:r w:rsidR="00256F29" w:rsidRPr="001F5965">
        <w:rPr>
          <w:rFonts w:eastAsia="Times New Roman"/>
          <w:szCs w:val="24"/>
        </w:rPr>
        <w:t xml:space="preserve"> </w:t>
      </w:r>
      <w:r w:rsidR="00256F29" w:rsidRPr="00233143">
        <w:rPr>
          <w:rFonts w:eastAsia="Times New Roman"/>
          <w:i/>
          <w:iCs/>
          <w:szCs w:val="24"/>
        </w:rPr>
        <w:t>pozitivní</w:t>
      </w:r>
      <w:r w:rsidR="00256F29" w:rsidRPr="001F5965">
        <w:rPr>
          <w:rFonts w:eastAsia="Times New Roman"/>
          <w:szCs w:val="24"/>
        </w:rPr>
        <w:t>, v určitých případech je doporučuje – vidí deficit jako cenu</w:t>
      </w:r>
      <w:r>
        <w:rPr>
          <w:rFonts w:eastAsia="Times New Roman"/>
          <w:szCs w:val="24"/>
        </w:rPr>
        <w:t xml:space="preserve"> </w:t>
      </w:r>
      <w:r w:rsidR="00256F29" w:rsidRPr="001F5965">
        <w:rPr>
          <w:rFonts w:eastAsia="Times New Roman"/>
          <w:szCs w:val="24"/>
        </w:rPr>
        <w:t>za vyřešení jiného důležitějšího problému (nedostatečné agregátní poptávky</w:t>
      </w:r>
      <w:r>
        <w:rPr>
          <w:rFonts w:eastAsia="Times New Roman"/>
          <w:szCs w:val="24"/>
        </w:rPr>
        <w:t xml:space="preserve"> </w:t>
      </w:r>
      <w:r w:rsidR="00256F29" w:rsidRPr="001F5965">
        <w:rPr>
          <w:rFonts w:eastAsia="Times New Roman"/>
          <w:szCs w:val="24"/>
        </w:rPr>
        <w:t>a problém nezaměstnanosti)</w:t>
      </w:r>
      <w:r>
        <w:rPr>
          <w:rFonts w:eastAsia="Times New Roman"/>
          <w:szCs w:val="24"/>
        </w:rPr>
        <w:t>.</w:t>
      </w:r>
    </w:p>
    <w:p w14:paraId="4A6F3368" w14:textId="77777777" w:rsidR="008E0F74" w:rsidRPr="00FC3B7C" w:rsidRDefault="008E0F74">
      <w:pPr>
        <w:spacing w:line="3" w:lineRule="exact"/>
        <w:rPr>
          <w:sz w:val="20"/>
          <w:szCs w:val="20"/>
        </w:rPr>
      </w:pPr>
    </w:p>
    <w:p w14:paraId="4A6F3369" w14:textId="77777777" w:rsidR="008E0F74" w:rsidRPr="00FC3B7C" w:rsidRDefault="00256F29" w:rsidP="00233143">
      <w:pPr>
        <w:spacing w:before="240"/>
        <w:rPr>
          <w:sz w:val="20"/>
          <w:szCs w:val="20"/>
        </w:rPr>
      </w:pPr>
      <w:r w:rsidRPr="00FC3B7C">
        <w:rPr>
          <w:rFonts w:eastAsia="Times New Roman"/>
          <w:b/>
          <w:bCs/>
          <w:szCs w:val="24"/>
          <w:u w:val="single"/>
        </w:rPr>
        <w:t>Neoricardiánsko-Barrova teorie</w:t>
      </w:r>
    </w:p>
    <w:p w14:paraId="4A6F336F" w14:textId="47D15250" w:rsidR="008E0F74" w:rsidRPr="00D4011F" w:rsidRDefault="00233143" w:rsidP="00D4011F">
      <w:pPr>
        <w:tabs>
          <w:tab w:val="left" w:pos="1090"/>
        </w:tabs>
        <w:spacing w:line="401" w:lineRule="auto"/>
        <w:ind w:right="60"/>
        <w:rPr>
          <w:rFonts w:eastAsia="Arial"/>
          <w:szCs w:val="24"/>
        </w:rPr>
      </w:pPr>
      <w:r w:rsidRPr="00FC3B7C">
        <w:rPr>
          <w:rFonts w:eastAsia="Times New Roman"/>
          <w:szCs w:val="24"/>
        </w:rPr>
        <w:t xml:space="preserve">Zvláštní důsledky </w:t>
      </w:r>
      <w:r w:rsidRPr="00233143">
        <w:rPr>
          <w:rFonts w:eastAsia="Times New Roman"/>
          <w:i/>
          <w:iCs/>
          <w:szCs w:val="24"/>
        </w:rPr>
        <w:t>popírá</w:t>
      </w:r>
      <w:r w:rsidRPr="00FC3B7C">
        <w:rPr>
          <w:rFonts w:eastAsia="Times New Roman"/>
          <w:szCs w:val="24"/>
        </w:rPr>
        <w:t xml:space="preserve">, je </w:t>
      </w:r>
      <w:r w:rsidR="00256F29" w:rsidRPr="00233143">
        <w:rPr>
          <w:rFonts w:eastAsia="Times New Roman"/>
          <w:i/>
          <w:iCs/>
          <w:szCs w:val="24"/>
        </w:rPr>
        <w:t>neutrální</w:t>
      </w:r>
      <w:r w:rsidR="00256F29" w:rsidRPr="00FC3B7C">
        <w:rPr>
          <w:rFonts w:eastAsia="Times New Roman"/>
          <w:szCs w:val="24"/>
        </w:rPr>
        <w:t xml:space="preserve"> vůči rozpočtovému deficitu, protože z jejího pohledu</w:t>
      </w:r>
      <w:r>
        <w:rPr>
          <w:rFonts w:eastAsia="Times New Roman"/>
          <w:szCs w:val="24"/>
        </w:rPr>
        <w:t xml:space="preserve"> </w:t>
      </w:r>
      <w:r w:rsidR="00256F29" w:rsidRPr="00FC3B7C">
        <w:rPr>
          <w:rFonts w:eastAsia="Times New Roman"/>
          <w:szCs w:val="24"/>
        </w:rPr>
        <w:t>nezáleží na tom, zda nadměrné výdaje kryjeme z daní či z</w:t>
      </w:r>
      <w:r>
        <w:rPr>
          <w:rFonts w:eastAsia="Times New Roman"/>
          <w:szCs w:val="24"/>
        </w:rPr>
        <w:t> </w:t>
      </w:r>
      <w:r w:rsidR="00256F29" w:rsidRPr="00FC3B7C">
        <w:rPr>
          <w:rFonts w:eastAsia="Times New Roman"/>
          <w:szCs w:val="24"/>
        </w:rPr>
        <w:t>deficitu</w:t>
      </w:r>
      <w:r>
        <w:rPr>
          <w:rFonts w:eastAsia="Times New Roman"/>
          <w:szCs w:val="24"/>
        </w:rPr>
        <w:t>.</w:t>
      </w:r>
    </w:p>
    <w:p w14:paraId="4A6F3370" w14:textId="77777777" w:rsidR="008E0F74" w:rsidRPr="00266F2F" w:rsidRDefault="00256F29" w:rsidP="001F5965">
      <w:pPr>
        <w:pStyle w:val="Nadpis2"/>
        <w:rPr>
          <w:color w:val="1F3864" w:themeColor="accent1" w:themeShade="80"/>
          <w:sz w:val="20"/>
          <w:szCs w:val="20"/>
        </w:rPr>
      </w:pPr>
      <w:r w:rsidRPr="00266F2F">
        <w:rPr>
          <w:rFonts w:eastAsia="Times New Roman"/>
          <w:color w:val="1F3864" w:themeColor="accent1" w:themeShade="80"/>
        </w:rPr>
        <w:t>FINANCOVÁNÍ STÁTNÍCH DEFICITŮ</w:t>
      </w:r>
    </w:p>
    <w:p w14:paraId="4A6F3371" w14:textId="77777777" w:rsidR="008E0F74" w:rsidRPr="00FC3B7C" w:rsidRDefault="00256F29">
      <w:pPr>
        <w:rPr>
          <w:sz w:val="20"/>
          <w:szCs w:val="20"/>
        </w:rPr>
      </w:pPr>
      <w:r w:rsidRPr="00FC3B7C">
        <w:rPr>
          <w:rFonts w:eastAsia="Times New Roman"/>
          <w:b/>
          <w:bCs/>
          <w:szCs w:val="24"/>
          <w:u w:val="single"/>
        </w:rPr>
        <w:t>Dluhové krytí</w:t>
      </w:r>
    </w:p>
    <w:p w14:paraId="4A6F3372" w14:textId="5851296F" w:rsidR="00D4011F" w:rsidRDefault="00256F29">
      <w:pPr>
        <w:spacing w:line="376" w:lineRule="auto"/>
        <w:rPr>
          <w:rFonts w:eastAsia="Times New Roman"/>
          <w:szCs w:val="24"/>
        </w:rPr>
      </w:pPr>
      <w:bookmarkStart w:id="128" w:name="page125"/>
      <w:bookmarkEnd w:id="128"/>
      <w:r w:rsidRPr="00FC3B7C">
        <w:rPr>
          <w:rFonts w:eastAsia="Times New Roman"/>
          <w:szCs w:val="24"/>
        </w:rPr>
        <w:t xml:space="preserve">Transformace deficitu do veřejného dluhu. Může mít dvojí podobu, a to pomocí </w:t>
      </w:r>
      <w:r w:rsidRPr="00233143">
        <w:rPr>
          <w:rFonts w:eastAsia="Times New Roman"/>
          <w:i/>
          <w:iCs/>
          <w:szCs w:val="24"/>
        </w:rPr>
        <w:t xml:space="preserve">domácího úvěru </w:t>
      </w:r>
      <w:r w:rsidRPr="00FC3B7C">
        <w:rPr>
          <w:rFonts w:eastAsia="Times New Roman"/>
          <w:szCs w:val="24"/>
        </w:rPr>
        <w:t xml:space="preserve">nebo </w:t>
      </w:r>
      <w:r w:rsidRPr="00233143">
        <w:rPr>
          <w:rFonts w:eastAsia="Times New Roman"/>
          <w:i/>
          <w:iCs/>
          <w:szCs w:val="24"/>
        </w:rPr>
        <w:t>zahraničního úvěru</w:t>
      </w:r>
      <w:r w:rsidRPr="00FC3B7C">
        <w:rPr>
          <w:rFonts w:eastAsia="Times New Roman"/>
          <w:szCs w:val="24"/>
        </w:rPr>
        <w:t xml:space="preserve">. Přičemž domácí úvěr je realizován v podobě vydání státních </w:t>
      </w:r>
      <w:r w:rsidRPr="00C525E0">
        <w:rPr>
          <w:rFonts w:eastAsia="Times New Roman"/>
          <w:szCs w:val="24"/>
        </w:rPr>
        <w:t>dluhopisů</w:t>
      </w:r>
      <w:r w:rsidR="00D83B06" w:rsidRPr="00C525E0">
        <w:rPr>
          <w:rFonts w:eastAsia="Times New Roman"/>
          <w:szCs w:val="24"/>
        </w:rPr>
        <w:t xml:space="preserve"> (dlouhodobé na více než 1 rok) nebo pokladničních poukázek (krátkodobé na </w:t>
      </w:r>
      <w:r w:rsidR="000506FA" w:rsidRPr="00C525E0">
        <w:rPr>
          <w:rFonts w:eastAsia="Times New Roman"/>
          <w:szCs w:val="24"/>
        </w:rPr>
        <w:t>méně</w:t>
      </w:r>
      <w:r w:rsidR="00D83B06" w:rsidRPr="00C525E0">
        <w:rPr>
          <w:rFonts w:eastAsia="Times New Roman"/>
          <w:szCs w:val="24"/>
        </w:rPr>
        <w:t xml:space="preserve"> než 1 rok)</w:t>
      </w:r>
      <w:r w:rsidRPr="00C525E0">
        <w:rPr>
          <w:rFonts w:eastAsia="Times New Roman"/>
          <w:szCs w:val="24"/>
        </w:rPr>
        <w:t xml:space="preserve">. Může </w:t>
      </w:r>
      <w:r w:rsidRPr="00FC3B7C">
        <w:rPr>
          <w:rFonts w:eastAsia="Times New Roman"/>
          <w:szCs w:val="24"/>
        </w:rPr>
        <w:t>docházet k odčerpání nabídky peněz ze soukromé části ekonomiky.</w:t>
      </w:r>
    </w:p>
    <w:p w14:paraId="4D2E78F3" w14:textId="77777777" w:rsidR="00D4011F" w:rsidRDefault="00D4011F">
      <w:pPr>
        <w:spacing w:line="240" w:lineRule="auto"/>
        <w:jc w:val="left"/>
        <w:rPr>
          <w:rFonts w:eastAsia="Times New Roman"/>
          <w:szCs w:val="24"/>
        </w:rPr>
      </w:pPr>
      <w:r>
        <w:rPr>
          <w:rFonts w:eastAsia="Times New Roman"/>
          <w:szCs w:val="24"/>
        </w:rPr>
        <w:br w:type="page"/>
      </w:r>
    </w:p>
    <w:p w14:paraId="4A6F3374" w14:textId="77777777" w:rsidR="008E0F74" w:rsidRPr="00FC3B7C" w:rsidRDefault="00256F29">
      <w:pPr>
        <w:ind w:left="4"/>
        <w:rPr>
          <w:sz w:val="20"/>
          <w:szCs w:val="20"/>
        </w:rPr>
      </w:pPr>
      <w:bookmarkStart w:id="129" w:name="page126"/>
      <w:bookmarkEnd w:id="129"/>
      <w:r w:rsidRPr="00FC3B7C">
        <w:rPr>
          <w:rFonts w:eastAsia="Times New Roman"/>
          <w:b/>
          <w:bCs/>
          <w:szCs w:val="24"/>
          <w:u w:val="single"/>
        </w:rPr>
        <w:lastRenderedPageBreak/>
        <w:t>Peněžní krytí</w:t>
      </w:r>
    </w:p>
    <w:p w14:paraId="4A6F3375" w14:textId="77777777" w:rsidR="008E0F74" w:rsidRPr="001F5965" w:rsidRDefault="00256F29" w:rsidP="001F5965">
      <w:pPr>
        <w:ind w:left="4"/>
        <w:rPr>
          <w:sz w:val="20"/>
          <w:szCs w:val="20"/>
        </w:rPr>
      </w:pPr>
      <w:r w:rsidRPr="00FC3B7C">
        <w:rPr>
          <w:rFonts w:eastAsia="Times New Roman"/>
          <w:sz w:val="23"/>
          <w:szCs w:val="23"/>
        </w:rPr>
        <w:t>Transformace rozpočtového deficitu do nárůstu monetární báze, což má za následek růst inflace</w:t>
      </w:r>
      <w:r w:rsidR="001F5965">
        <w:rPr>
          <w:sz w:val="20"/>
          <w:szCs w:val="20"/>
        </w:rPr>
        <w:br/>
        <w:t xml:space="preserve">v </w:t>
      </w:r>
      <w:r w:rsidRPr="00FC3B7C">
        <w:rPr>
          <w:rFonts w:eastAsia="Times New Roman"/>
          <w:szCs w:val="24"/>
        </w:rPr>
        <w:t xml:space="preserve">dané ekonomice, jelikož růst peněžní zásoby není doprovázen růstem produktivity práce. Jedná se o tzv. </w:t>
      </w:r>
      <w:r w:rsidRPr="00233143">
        <w:rPr>
          <w:rFonts w:eastAsia="Times New Roman"/>
          <w:b/>
          <w:bCs/>
          <w:szCs w:val="24"/>
        </w:rPr>
        <w:t>monetizaci státního dluhu</w:t>
      </w:r>
      <w:r w:rsidRPr="00FC3B7C">
        <w:rPr>
          <w:rFonts w:eastAsia="Times New Roman"/>
          <w:szCs w:val="24"/>
        </w:rPr>
        <w:t>.</w:t>
      </w:r>
    </w:p>
    <w:p w14:paraId="4A6F3376" w14:textId="77777777" w:rsidR="008E0F74" w:rsidRPr="00FC3B7C" w:rsidRDefault="008E0F74">
      <w:pPr>
        <w:spacing w:line="1" w:lineRule="exact"/>
        <w:rPr>
          <w:sz w:val="20"/>
          <w:szCs w:val="20"/>
        </w:rPr>
      </w:pPr>
    </w:p>
    <w:p w14:paraId="4A6F3377" w14:textId="77777777" w:rsidR="008E0F74" w:rsidRPr="00FC3B7C" w:rsidRDefault="00256F29" w:rsidP="001F5965">
      <w:pPr>
        <w:spacing w:before="240"/>
        <w:ind w:left="4"/>
        <w:rPr>
          <w:sz w:val="20"/>
          <w:szCs w:val="20"/>
        </w:rPr>
      </w:pPr>
      <w:r w:rsidRPr="00FC3B7C">
        <w:rPr>
          <w:rFonts w:eastAsia="Times New Roman"/>
          <w:b/>
          <w:bCs/>
          <w:szCs w:val="24"/>
          <w:u w:val="single"/>
        </w:rPr>
        <w:t>Přebytky z minulých let</w:t>
      </w:r>
    </w:p>
    <w:p w14:paraId="4A6F3378" w14:textId="77777777" w:rsidR="008E0F74" w:rsidRPr="00FC3B7C" w:rsidRDefault="00256F29">
      <w:pPr>
        <w:ind w:left="4"/>
        <w:rPr>
          <w:sz w:val="20"/>
          <w:szCs w:val="20"/>
        </w:rPr>
      </w:pPr>
      <w:r w:rsidRPr="00FC3B7C">
        <w:rPr>
          <w:rFonts w:eastAsia="Times New Roman"/>
          <w:szCs w:val="24"/>
        </w:rPr>
        <w:t>Může k němu dojít pouze v případě, že stát měl přebytky rozpočtu v minulých letech.</w:t>
      </w:r>
    </w:p>
    <w:p w14:paraId="4A6F3379" w14:textId="77777777" w:rsidR="008E0F74" w:rsidRPr="00FC3B7C" w:rsidRDefault="008E0F74">
      <w:pPr>
        <w:spacing w:line="136" w:lineRule="exact"/>
        <w:rPr>
          <w:sz w:val="20"/>
          <w:szCs w:val="20"/>
        </w:rPr>
      </w:pPr>
    </w:p>
    <w:p w14:paraId="4A6F337A" w14:textId="77777777" w:rsidR="008E0F74" w:rsidRPr="00FC3B7C" w:rsidRDefault="00256F29">
      <w:pPr>
        <w:ind w:left="4"/>
        <w:rPr>
          <w:sz w:val="20"/>
          <w:szCs w:val="20"/>
        </w:rPr>
      </w:pPr>
      <w:r w:rsidRPr="00FC3B7C">
        <w:rPr>
          <w:rFonts w:eastAsia="Times New Roman"/>
          <w:b/>
          <w:bCs/>
          <w:szCs w:val="24"/>
          <w:u w:val="single"/>
        </w:rPr>
        <w:t>Prodejem aktiv státu</w:t>
      </w:r>
    </w:p>
    <w:p w14:paraId="4A6F337B" w14:textId="77777777" w:rsidR="008E0F74" w:rsidRPr="00FC3B7C" w:rsidRDefault="00256F29">
      <w:pPr>
        <w:ind w:left="4"/>
        <w:rPr>
          <w:sz w:val="20"/>
          <w:szCs w:val="20"/>
        </w:rPr>
      </w:pPr>
      <w:r w:rsidRPr="00FC3B7C">
        <w:rPr>
          <w:rFonts w:eastAsia="Times New Roman"/>
          <w:szCs w:val="24"/>
        </w:rPr>
        <w:t>Jedná se především o prodej akcií či prodej státního majetku v privatizaci.</w:t>
      </w:r>
    </w:p>
    <w:p w14:paraId="4A6F337C" w14:textId="77777777" w:rsidR="008E0F74" w:rsidRPr="00FC3B7C" w:rsidRDefault="008E0F74">
      <w:pPr>
        <w:spacing w:line="131" w:lineRule="exact"/>
        <w:rPr>
          <w:sz w:val="20"/>
          <w:szCs w:val="20"/>
        </w:rPr>
      </w:pPr>
    </w:p>
    <w:p w14:paraId="4A6F337D" w14:textId="77777777" w:rsidR="008E0F74" w:rsidRPr="00FC3B7C" w:rsidRDefault="00256F29">
      <w:pPr>
        <w:ind w:left="4"/>
        <w:rPr>
          <w:sz w:val="20"/>
          <w:szCs w:val="20"/>
        </w:rPr>
      </w:pPr>
      <w:r w:rsidRPr="00FC3B7C">
        <w:rPr>
          <w:rFonts w:eastAsia="Times New Roman"/>
          <w:b/>
          <w:bCs/>
          <w:szCs w:val="24"/>
          <w:u w:val="single"/>
        </w:rPr>
        <w:t>Krytí prostřednictvím snižování veřejných výdajů nebo zvyšováním daňové zátěže</w:t>
      </w:r>
    </w:p>
    <w:p w14:paraId="4A6F337E" w14:textId="77777777" w:rsidR="008E0F74" w:rsidRPr="00FC3B7C" w:rsidRDefault="008E0F74">
      <w:pPr>
        <w:spacing w:line="137" w:lineRule="exact"/>
        <w:rPr>
          <w:sz w:val="20"/>
          <w:szCs w:val="20"/>
        </w:rPr>
      </w:pPr>
    </w:p>
    <w:p w14:paraId="4A6F337F" w14:textId="77777777" w:rsidR="008E0F74" w:rsidRPr="00FC3B7C" w:rsidRDefault="00256F29" w:rsidP="001F5965">
      <w:pPr>
        <w:rPr>
          <w:sz w:val="20"/>
          <w:szCs w:val="20"/>
        </w:rPr>
      </w:pPr>
      <w:r w:rsidRPr="00FC3B7C">
        <w:rPr>
          <w:rFonts w:eastAsia="Times New Roman"/>
          <w:b/>
          <w:bCs/>
          <w:szCs w:val="24"/>
        </w:rPr>
        <w:t>ČESKÁ REPUBLIKA</w:t>
      </w:r>
    </w:p>
    <w:p w14:paraId="4A6F3380" w14:textId="7761C058" w:rsidR="008E0F74" w:rsidRPr="00FC3B7C" w:rsidRDefault="00256F29" w:rsidP="00270319">
      <w:pPr>
        <w:numPr>
          <w:ilvl w:val="0"/>
          <w:numId w:val="111"/>
        </w:numPr>
        <w:tabs>
          <w:tab w:val="left" w:pos="237"/>
        </w:tabs>
        <w:spacing w:after="240" w:line="390" w:lineRule="auto"/>
        <w:ind w:left="4" w:hanging="4"/>
        <w:rPr>
          <w:rFonts w:eastAsia="Times New Roman"/>
          <w:szCs w:val="24"/>
        </w:rPr>
      </w:pPr>
      <w:r w:rsidRPr="00FC3B7C">
        <w:rPr>
          <w:rFonts w:eastAsia="Times New Roman"/>
          <w:szCs w:val="24"/>
        </w:rPr>
        <w:t xml:space="preserve">České republice se uplatňuje na krytí státního dluhu </w:t>
      </w:r>
      <w:r w:rsidRPr="00233143">
        <w:rPr>
          <w:rFonts w:eastAsia="Times New Roman"/>
          <w:i/>
          <w:iCs/>
          <w:szCs w:val="24"/>
        </w:rPr>
        <w:t>dluhové krytí</w:t>
      </w:r>
      <w:r w:rsidRPr="00FC3B7C">
        <w:rPr>
          <w:rFonts w:eastAsia="Times New Roman"/>
          <w:szCs w:val="24"/>
        </w:rPr>
        <w:t xml:space="preserve"> (dlouhodobé úvěry), </w:t>
      </w:r>
      <w:r w:rsidRPr="00233143">
        <w:rPr>
          <w:rFonts w:eastAsia="Times New Roman"/>
          <w:i/>
          <w:iCs/>
          <w:szCs w:val="24"/>
        </w:rPr>
        <w:t>prodej aktiv státu, zvyšování stavu státních dluhopisů</w:t>
      </w:r>
      <w:r w:rsidR="00C525E0">
        <w:rPr>
          <w:rFonts w:eastAsia="Times New Roman"/>
          <w:szCs w:val="24"/>
        </w:rPr>
        <w:t>.</w:t>
      </w:r>
    </w:p>
    <w:p w14:paraId="4A6F3381" w14:textId="13CE15DB" w:rsidR="008E0F74" w:rsidRPr="004B6CDE" w:rsidRDefault="00256F29" w:rsidP="001F5965">
      <w:pPr>
        <w:pStyle w:val="Nadpis2"/>
        <w:rPr>
          <w:color w:val="1F3864" w:themeColor="accent1" w:themeShade="80"/>
          <w:sz w:val="20"/>
          <w:szCs w:val="20"/>
        </w:rPr>
      </w:pPr>
      <w:bookmarkStart w:id="130" w:name="_Hlk34643915"/>
      <w:r w:rsidRPr="004B6CDE">
        <w:rPr>
          <w:rFonts w:eastAsia="Times New Roman"/>
          <w:color w:val="1F3864" w:themeColor="accent1" w:themeShade="80"/>
        </w:rPr>
        <w:t>VEŘEJNÝ DLUH ČR</w:t>
      </w:r>
      <w:r w:rsidR="00D83B06" w:rsidRPr="004B6CDE">
        <w:rPr>
          <w:rFonts w:eastAsia="Times New Roman"/>
          <w:color w:val="1F3864" w:themeColor="accent1" w:themeShade="80"/>
        </w:rPr>
        <w:t xml:space="preserve"> </w:t>
      </w:r>
    </w:p>
    <w:bookmarkEnd w:id="130"/>
    <w:p w14:paraId="4A6F3382" w14:textId="0D22D9F8" w:rsidR="008E0F74" w:rsidRPr="004B6CDE" w:rsidRDefault="00256F29">
      <w:pPr>
        <w:spacing w:line="358" w:lineRule="auto"/>
        <w:ind w:left="4"/>
        <w:rPr>
          <w:sz w:val="20"/>
          <w:szCs w:val="20"/>
        </w:rPr>
      </w:pPr>
      <w:r w:rsidRPr="00FC3B7C">
        <w:rPr>
          <w:rFonts w:eastAsia="Times New Roman"/>
          <w:szCs w:val="24"/>
        </w:rPr>
        <w:t xml:space="preserve">Souhrn pohledávek ostatních ekonomických subjektů vůči státu, jde tedy o dluh všech </w:t>
      </w:r>
      <w:r w:rsidRPr="004B6CDE">
        <w:rPr>
          <w:rFonts w:eastAsia="Times New Roman"/>
          <w:szCs w:val="24"/>
        </w:rPr>
        <w:t xml:space="preserve">vládních institucí. Podle systému národních účtů jsou všechny vládní instituce považovány </w:t>
      </w:r>
      <w:r w:rsidR="001F5965" w:rsidRPr="004B6CDE">
        <w:rPr>
          <w:rFonts w:eastAsia="Times New Roman"/>
          <w:szCs w:val="24"/>
        </w:rPr>
        <w:br/>
      </w:r>
      <w:r w:rsidRPr="004B6CDE">
        <w:rPr>
          <w:rFonts w:eastAsia="Times New Roman"/>
          <w:szCs w:val="24"/>
        </w:rPr>
        <w:t>za veřejné, proto je veřejný dluh synonymem vládního dluhu. V současnosti (</w:t>
      </w:r>
      <w:r w:rsidR="000506FA" w:rsidRPr="004B6CDE">
        <w:rPr>
          <w:rFonts w:eastAsia="Times New Roman"/>
          <w:szCs w:val="24"/>
        </w:rPr>
        <w:t>3. 3. 2020</w:t>
      </w:r>
      <w:r w:rsidR="00C525E0" w:rsidRPr="004B6CDE">
        <w:rPr>
          <w:rFonts w:eastAsia="Times New Roman"/>
          <w:szCs w:val="24"/>
        </w:rPr>
        <w:t>)</w:t>
      </w:r>
      <w:r w:rsidRPr="004B6CDE">
        <w:rPr>
          <w:rFonts w:eastAsia="Times New Roman"/>
          <w:szCs w:val="24"/>
        </w:rPr>
        <w:t xml:space="preserve"> veřejný dluh České republiky dosahuje výše přibližně </w:t>
      </w:r>
      <w:r w:rsidR="00C525E0" w:rsidRPr="004B6CDE">
        <w:rPr>
          <w:rFonts w:eastAsia="Times New Roman"/>
          <w:szCs w:val="24"/>
        </w:rPr>
        <w:t xml:space="preserve">1,790 bilionu </w:t>
      </w:r>
      <w:r w:rsidR="00901C4A" w:rsidRPr="004B6CDE">
        <w:rPr>
          <w:rFonts w:eastAsia="Times New Roman"/>
          <w:szCs w:val="24"/>
        </w:rPr>
        <w:t>Kč, to je</w:t>
      </w:r>
      <w:r w:rsidR="00C525E0" w:rsidRPr="004B6CDE">
        <w:rPr>
          <w:rFonts w:eastAsia="Times New Roman"/>
          <w:szCs w:val="24"/>
        </w:rPr>
        <w:t xml:space="preserve"> přibližně 32% HDP</w:t>
      </w:r>
    </w:p>
    <w:p w14:paraId="4A6F3383" w14:textId="77777777" w:rsidR="008E0F74" w:rsidRPr="004B6CDE" w:rsidRDefault="008E0F74">
      <w:pPr>
        <w:spacing w:line="3" w:lineRule="exact"/>
        <w:rPr>
          <w:sz w:val="20"/>
          <w:szCs w:val="20"/>
        </w:rPr>
      </w:pPr>
    </w:p>
    <w:p w14:paraId="4A6F3384" w14:textId="0285C1F8" w:rsidR="008E0F74" w:rsidRPr="00FC3B7C" w:rsidRDefault="00256F29">
      <w:pPr>
        <w:ind w:left="4"/>
        <w:rPr>
          <w:sz w:val="20"/>
          <w:szCs w:val="20"/>
        </w:rPr>
      </w:pPr>
      <w:r w:rsidRPr="004B6CDE">
        <w:rPr>
          <w:rFonts w:eastAsia="Times New Roman"/>
          <w:b/>
          <w:bCs/>
          <w:szCs w:val="24"/>
        </w:rPr>
        <w:t xml:space="preserve">Veřejný dluh </w:t>
      </w:r>
      <w:r w:rsidRPr="004B6CDE">
        <w:rPr>
          <w:rFonts w:eastAsia="Times New Roman"/>
          <w:szCs w:val="24"/>
        </w:rPr>
        <w:t xml:space="preserve">= celkový dluh sektoru vládních institucí – </w:t>
      </w:r>
      <w:r w:rsidRPr="00FC3B7C">
        <w:rPr>
          <w:rFonts w:eastAsia="Times New Roman"/>
          <w:szCs w:val="24"/>
        </w:rPr>
        <w:t>vedle státního rozpočtu obsahuje</w:t>
      </w:r>
      <w:r w:rsidRPr="00FC3B7C">
        <w:rPr>
          <w:rFonts w:eastAsia="Times New Roman"/>
          <w:b/>
          <w:bCs/>
          <w:szCs w:val="24"/>
        </w:rPr>
        <w:t xml:space="preserve"> </w:t>
      </w:r>
      <w:r w:rsidRPr="00FC3B7C">
        <w:rPr>
          <w:rFonts w:eastAsia="Times New Roman"/>
          <w:szCs w:val="24"/>
        </w:rPr>
        <w:t>též operace státních fondů, část ústředně řízených příspěvkových organizací; místní rozpočty včetně nově vzniklých regionálních rad regionů soudržnosti; část místně řízených</w:t>
      </w:r>
      <w:r w:rsidR="00233143">
        <w:rPr>
          <w:rFonts w:eastAsia="Times New Roman"/>
          <w:szCs w:val="24"/>
        </w:rPr>
        <w:t xml:space="preserve"> </w:t>
      </w:r>
      <w:r w:rsidRPr="00FC3B7C">
        <w:rPr>
          <w:rFonts w:eastAsia="Times New Roman"/>
          <w:szCs w:val="24"/>
        </w:rPr>
        <w:t>příspěvkových organizací a zdravotní pojišťovny.</w:t>
      </w:r>
      <w:r w:rsidR="00D83B06">
        <w:rPr>
          <w:rFonts w:eastAsia="Times New Roman"/>
          <w:szCs w:val="24"/>
        </w:rPr>
        <w:t xml:space="preserve"> </w:t>
      </w:r>
      <w:r w:rsidR="00D83B06" w:rsidRPr="00901C4A">
        <w:rPr>
          <w:rFonts w:eastAsia="Times New Roman"/>
          <w:i/>
          <w:iCs/>
          <w:szCs w:val="24"/>
        </w:rPr>
        <w:t xml:space="preserve">Veřejný dluh </w:t>
      </w:r>
      <w:r w:rsidR="00901C4A" w:rsidRPr="00901C4A">
        <w:rPr>
          <w:rFonts w:eastAsia="Times New Roman"/>
          <w:i/>
          <w:iCs/>
          <w:szCs w:val="24"/>
        </w:rPr>
        <w:t xml:space="preserve">je </w:t>
      </w:r>
      <w:r w:rsidR="00D83B06" w:rsidRPr="00901C4A">
        <w:rPr>
          <w:rFonts w:eastAsia="Times New Roman"/>
          <w:i/>
          <w:iCs/>
          <w:szCs w:val="24"/>
        </w:rPr>
        <w:t>vyšší ne</w:t>
      </w:r>
      <w:r w:rsidR="00901C4A" w:rsidRPr="00901C4A">
        <w:rPr>
          <w:rFonts w:eastAsia="Times New Roman"/>
          <w:i/>
          <w:iCs/>
          <w:szCs w:val="24"/>
        </w:rPr>
        <w:t>ž státní.</w:t>
      </w:r>
    </w:p>
    <w:p w14:paraId="4A6F3385" w14:textId="77777777" w:rsidR="008E0F74" w:rsidRPr="00FC3B7C" w:rsidRDefault="00256F29">
      <w:pPr>
        <w:spacing w:line="359" w:lineRule="auto"/>
        <w:ind w:left="4"/>
        <w:rPr>
          <w:sz w:val="20"/>
          <w:szCs w:val="20"/>
        </w:rPr>
      </w:pPr>
      <w:r w:rsidRPr="00FC3B7C">
        <w:rPr>
          <w:rFonts w:eastAsia="Times New Roman"/>
          <w:b/>
          <w:bCs/>
          <w:szCs w:val="24"/>
        </w:rPr>
        <w:t xml:space="preserve">Státní dluh </w:t>
      </w:r>
      <w:r w:rsidRPr="00FC3B7C">
        <w:rPr>
          <w:rFonts w:eastAsia="Times New Roman"/>
          <w:szCs w:val="24"/>
        </w:rPr>
        <w:t xml:space="preserve">= souhrn státních finančních pasiv tvořených závazky státu, </w:t>
      </w:r>
      <w:r w:rsidRPr="00233143">
        <w:rPr>
          <w:rFonts w:eastAsia="Times New Roman"/>
          <w:i/>
          <w:iCs/>
          <w:szCs w:val="24"/>
        </w:rPr>
        <w:t>nezahrnuje</w:t>
      </w:r>
      <w:r w:rsidRPr="00FC3B7C">
        <w:rPr>
          <w:rFonts w:eastAsia="Times New Roman"/>
          <w:b/>
          <w:bCs/>
          <w:szCs w:val="24"/>
        </w:rPr>
        <w:t xml:space="preserve"> </w:t>
      </w:r>
      <w:r w:rsidRPr="00FC3B7C">
        <w:rPr>
          <w:rFonts w:eastAsia="Times New Roman"/>
          <w:szCs w:val="24"/>
        </w:rPr>
        <w:t>žádné</w:t>
      </w:r>
      <w:r w:rsidRPr="00FC3B7C">
        <w:rPr>
          <w:rFonts w:eastAsia="Times New Roman"/>
          <w:b/>
          <w:bCs/>
          <w:szCs w:val="24"/>
        </w:rPr>
        <w:t xml:space="preserve"> </w:t>
      </w:r>
      <w:r w:rsidRPr="00FC3B7C">
        <w:rPr>
          <w:rFonts w:eastAsia="Times New Roman"/>
          <w:szCs w:val="24"/>
        </w:rPr>
        <w:t>dluhy mimorozpočtových fondů, systému zdravotního pojištění a místních rozpočtů, ani státní záruky nebo jakékoliv další podmíněné závazky vládního sektoru. Bývá financován pokladničními poukázkami, státními dluhopisy, přímými půjčkami nebo například půjčkami od Evropské investiční banky.</w:t>
      </w:r>
    </w:p>
    <w:p w14:paraId="4A6F3386" w14:textId="77777777" w:rsidR="008E0F74" w:rsidRPr="00FC3B7C" w:rsidRDefault="008E0F74">
      <w:pPr>
        <w:spacing w:line="5" w:lineRule="exact"/>
        <w:rPr>
          <w:sz w:val="20"/>
          <w:szCs w:val="20"/>
        </w:rPr>
      </w:pPr>
    </w:p>
    <w:p w14:paraId="4A6F3387" w14:textId="77777777" w:rsidR="008E0F74" w:rsidRPr="00FC3B7C" w:rsidRDefault="00256F29">
      <w:pPr>
        <w:spacing w:line="361" w:lineRule="auto"/>
        <w:ind w:left="4"/>
        <w:rPr>
          <w:sz w:val="20"/>
          <w:szCs w:val="20"/>
        </w:rPr>
      </w:pPr>
      <w:r w:rsidRPr="00FC3B7C">
        <w:rPr>
          <w:rFonts w:eastAsia="Times New Roman"/>
          <w:b/>
          <w:bCs/>
          <w:szCs w:val="24"/>
        </w:rPr>
        <w:t xml:space="preserve">Deficit státního rozpočtu </w:t>
      </w:r>
      <w:r w:rsidRPr="00FC3B7C">
        <w:rPr>
          <w:rFonts w:eastAsia="Times New Roman"/>
          <w:szCs w:val="24"/>
        </w:rPr>
        <w:t>= příjmy státního rozpočtu jsou nižší než</w:t>
      </w:r>
      <w:r w:rsidRPr="00FC3B7C">
        <w:rPr>
          <w:rFonts w:eastAsia="Times New Roman"/>
          <w:b/>
          <w:bCs/>
          <w:szCs w:val="24"/>
        </w:rPr>
        <w:t xml:space="preserve"> </w:t>
      </w:r>
      <w:r w:rsidRPr="00FC3B7C">
        <w:rPr>
          <w:rFonts w:eastAsia="Times New Roman"/>
          <w:szCs w:val="24"/>
        </w:rPr>
        <w:t xml:space="preserve">jeho výdaje evidované </w:t>
      </w:r>
      <w:r w:rsidR="001F5965">
        <w:rPr>
          <w:rFonts w:eastAsia="Times New Roman"/>
          <w:szCs w:val="24"/>
        </w:rPr>
        <w:br/>
      </w:r>
      <w:r w:rsidRPr="00FC3B7C">
        <w:rPr>
          <w:rFonts w:eastAsia="Times New Roman"/>
          <w:szCs w:val="24"/>
        </w:rPr>
        <w:t>na</w:t>
      </w:r>
      <w:r w:rsidRPr="00FC3B7C">
        <w:rPr>
          <w:rFonts w:eastAsia="Times New Roman"/>
          <w:b/>
          <w:bCs/>
          <w:szCs w:val="24"/>
        </w:rPr>
        <w:t xml:space="preserve"> </w:t>
      </w:r>
      <w:r w:rsidRPr="00FC3B7C">
        <w:rPr>
          <w:rFonts w:eastAsia="Times New Roman"/>
          <w:szCs w:val="24"/>
        </w:rPr>
        <w:t xml:space="preserve">hotovostní bázi. Jde o výsledek hospodaření </w:t>
      </w:r>
      <w:r w:rsidRPr="00263E80">
        <w:rPr>
          <w:rFonts w:eastAsia="Times New Roman"/>
          <w:i/>
          <w:iCs/>
          <w:szCs w:val="24"/>
        </w:rPr>
        <w:t>státu</w:t>
      </w:r>
      <w:r w:rsidRPr="00FC3B7C">
        <w:rPr>
          <w:rFonts w:eastAsia="Times New Roman"/>
          <w:szCs w:val="24"/>
        </w:rPr>
        <w:t>.</w:t>
      </w:r>
    </w:p>
    <w:p w14:paraId="4A6F3388" w14:textId="77777777" w:rsidR="008E0F74" w:rsidRPr="00FC3B7C" w:rsidRDefault="00256F29">
      <w:pPr>
        <w:spacing w:line="395" w:lineRule="auto"/>
        <w:ind w:left="4"/>
        <w:rPr>
          <w:sz w:val="20"/>
          <w:szCs w:val="20"/>
        </w:rPr>
      </w:pPr>
      <w:r w:rsidRPr="00FC3B7C">
        <w:rPr>
          <w:rFonts w:eastAsia="Times New Roman"/>
          <w:b/>
          <w:bCs/>
          <w:szCs w:val="24"/>
        </w:rPr>
        <w:t xml:space="preserve">Vládní deficit </w:t>
      </w:r>
      <w:r w:rsidRPr="00FC3B7C">
        <w:rPr>
          <w:rFonts w:eastAsia="Times New Roman"/>
          <w:szCs w:val="24"/>
        </w:rPr>
        <w:t xml:space="preserve">= je výsledkem hospodaření </w:t>
      </w:r>
      <w:r w:rsidRPr="00263E80">
        <w:rPr>
          <w:rFonts w:eastAsia="Times New Roman"/>
          <w:i/>
          <w:iCs/>
          <w:szCs w:val="24"/>
        </w:rPr>
        <w:t>všech</w:t>
      </w:r>
      <w:r w:rsidRPr="00FC3B7C">
        <w:rPr>
          <w:rFonts w:eastAsia="Times New Roman"/>
          <w:szCs w:val="24"/>
        </w:rPr>
        <w:t xml:space="preserve"> institucionálních jednotek zatříděných </w:t>
      </w:r>
      <w:r w:rsidR="001F5965">
        <w:rPr>
          <w:rFonts w:eastAsia="Times New Roman"/>
          <w:szCs w:val="24"/>
        </w:rPr>
        <w:br/>
      </w:r>
      <w:r w:rsidRPr="00FC3B7C">
        <w:rPr>
          <w:rFonts w:eastAsia="Times New Roman"/>
          <w:szCs w:val="24"/>
        </w:rPr>
        <w:t>v</w:t>
      </w:r>
      <w:r w:rsidRPr="00FC3B7C">
        <w:rPr>
          <w:rFonts w:eastAsia="Times New Roman"/>
          <w:b/>
          <w:bCs/>
          <w:szCs w:val="24"/>
        </w:rPr>
        <w:t xml:space="preserve"> </w:t>
      </w:r>
      <w:r w:rsidRPr="00FC3B7C">
        <w:rPr>
          <w:rFonts w:eastAsia="Times New Roman"/>
          <w:szCs w:val="24"/>
        </w:rPr>
        <w:t>sektoru vládních institucí.</w:t>
      </w:r>
    </w:p>
    <w:p w14:paraId="4A6F338A" w14:textId="77777777" w:rsidR="008E0F74" w:rsidRPr="00FC3B7C" w:rsidRDefault="00256F29">
      <w:pPr>
        <w:rPr>
          <w:sz w:val="20"/>
          <w:szCs w:val="20"/>
        </w:rPr>
      </w:pPr>
      <w:bookmarkStart w:id="131" w:name="page127"/>
      <w:bookmarkEnd w:id="131"/>
      <w:r w:rsidRPr="00FC3B7C">
        <w:rPr>
          <w:rFonts w:eastAsia="Times New Roman"/>
          <w:b/>
          <w:bCs/>
          <w:szCs w:val="24"/>
        </w:rPr>
        <w:lastRenderedPageBreak/>
        <w:t xml:space="preserve">Dluhový poměr </w:t>
      </w:r>
      <w:r w:rsidRPr="00FC3B7C">
        <w:rPr>
          <w:rFonts w:eastAsia="Times New Roman"/>
          <w:szCs w:val="24"/>
        </w:rPr>
        <w:t>= podíl veřejného dluhu a nominálního HDP v %.</w:t>
      </w:r>
    </w:p>
    <w:p w14:paraId="4A6F338B" w14:textId="460F950A" w:rsidR="008E0F74" w:rsidRPr="00FC3B7C" w:rsidRDefault="00256F29">
      <w:pPr>
        <w:spacing w:line="361" w:lineRule="auto"/>
        <w:rPr>
          <w:sz w:val="20"/>
          <w:szCs w:val="20"/>
        </w:rPr>
      </w:pPr>
      <w:r w:rsidRPr="00FC3B7C">
        <w:rPr>
          <w:rFonts w:eastAsia="Times New Roman"/>
          <w:b/>
          <w:bCs/>
          <w:szCs w:val="24"/>
        </w:rPr>
        <w:t xml:space="preserve">Domácí dluhová past = </w:t>
      </w:r>
      <w:r w:rsidRPr="00FC3B7C">
        <w:rPr>
          <w:rFonts w:eastAsia="Times New Roman"/>
          <w:szCs w:val="24"/>
        </w:rPr>
        <w:t>reálná úroková míra převyšuje tempo růstu HDP, což</w:t>
      </w:r>
      <w:r w:rsidRPr="00FC3B7C">
        <w:rPr>
          <w:rFonts w:eastAsia="Times New Roman"/>
          <w:b/>
          <w:bCs/>
          <w:szCs w:val="24"/>
        </w:rPr>
        <w:t xml:space="preserve"> </w:t>
      </w:r>
      <w:r w:rsidRPr="00FC3B7C">
        <w:rPr>
          <w:rFonts w:eastAsia="Times New Roman"/>
          <w:szCs w:val="24"/>
        </w:rPr>
        <w:t>vede k tomu,</w:t>
      </w:r>
      <w:r w:rsidRPr="00FC3B7C">
        <w:rPr>
          <w:rFonts w:eastAsia="Times New Roman"/>
          <w:b/>
          <w:bCs/>
          <w:szCs w:val="24"/>
        </w:rPr>
        <w:t xml:space="preserve"> </w:t>
      </w:r>
      <w:r w:rsidRPr="00FC3B7C">
        <w:rPr>
          <w:rFonts w:eastAsia="Times New Roman"/>
          <w:szCs w:val="24"/>
        </w:rPr>
        <w:t>že podíl domácího veřejného dluhu na HDP bude stále růst</w:t>
      </w:r>
    </w:p>
    <w:p w14:paraId="4A6F338C" w14:textId="77777777" w:rsidR="008E0F74" w:rsidRPr="00FC3B7C" w:rsidRDefault="00256F29">
      <w:pPr>
        <w:spacing w:line="395" w:lineRule="auto"/>
        <w:rPr>
          <w:sz w:val="20"/>
          <w:szCs w:val="20"/>
        </w:rPr>
      </w:pPr>
      <w:r w:rsidRPr="00FC3B7C">
        <w:rPr>
          <w:rFonts w:eastAsia="Times New Roman"/>
          <w:b/>
          <w:bCs/>
          <w:szCs w:val="24"/>
        </w:rPr>
        <w:t xml:space="preserve">Hrubý veřejný dluh </w:t>
      </w:r>
      <w:r w:rsidRPr="00FC3B7C">
        <w:rPr>
          <w:rFonts w:eastAsia="Times New Roman"/>
          <w:szCs w:val="24"/>
        </w:rPr>
        <w:t>= celkový</w:t>
      </w:r>
      <w:r w:rsidRPr="00FC3B7C">
        <w:rPr>
          <w:rFonts w:eastAsia="Times New Roman"/>
          <w:b/>
          <w:bCs/>
          <w:szCs w:val="24"/>
        </w:rPr>
        <w:t xml:space="preserve"> </w:t>
      </w:r>
      <w:r w:rsidRPr="00FC3B7C">
        <w:rPr>
          <w:rFonts w:eastAsia="Times New Roman"/>
          <w:szCs w:val="24"/>
        </w:rPr>
        <w:t>objem závazků</w:t>
      </w:r>
      <w:r w:rsidRPr="00FC3B7C">
        <w:rPr>
          <w:rFonts w:eastAsia="Times New Roman"/>
          <w:b/>
          <w:bCs/>
          <w:szCs w:val="24"/>
        </w:rPr>
        <w:t xml:space="preserve"> </w:t>
      </w:r>
      <w:r w:rsidRPr="00FC3B7C">
        <w:rPr>
          <w:rFonts w:eastAsia="Times New Roman"/>
          <w:szCs w:val="24"/>
        </w:rPr>
        <w:t>státu, územní samosprávy, veřejnoprávních</w:t>
      </w:r>
      <w:r w:rsidRPr="00FC3B7C">
        <w:rPr>
          <w:rFonts w:eastAsia="Times New Roman"/>
          <w:b/>
          <w:bCs/>
          <w:szCs w:val="24"/>
        </w:rPr>
        <w:t xml:space="preserve"> </w:t>
      </w:r>
      <w:r w:rsidRPr="00FC3B7C">
        <w:rPr>
          <w:rFonts w:eastAsia="Times New Roman"/>
          <w:szCs w:val="24"/>
        </w:rPr>
        <w:t>institucí apod. před odečtením pohledávek státu</w:t>
      </w:r>
    </w:p>
    <w:p w14:paraId="4A6F338D" w14:textId="77777777" w:rsidR="008E0F74" w:rsidRPr="00FC3B7C" w:rsidRDefault="008E0F74">
      <w:pPr>
        <w:spacing w:line="152" w:lineRule="exact"/>
        <w:rPr>
          <w:sz w:val="20"/>
          <w:szCs w:val="20"/>
        </w:rPr>
      </w:pPr>
    </w:p>
    <w:p w14:paraId="4A6F338E" w14:textId="04CB770A" w:rsidR="008E0F74" w:rsidRPr="00FC3B7C" w:rsidRDefault="00266F2F" w:rsidP="001F5965">
      <w:pPr>
        <w:pStyle w:val="Nadpis3"/>
        <w:rPr>
          <w:sz w:val="20"/>
          <w:szCs w:val="20"/>
        </w:rPr>
      </w:pPr>
      <w:r>
        <w:rPr>
          <w:rFonts w:eastAsia="Times New Roman"/>
        </w:rPr>
        <w:t xml:space="preserve"> </w:t>
      </w:r>
      <w:r w:rsidR="00256F29" w:rsidRPr="00266F2F">
        <w:rPr>
          <w:rFonts w:eastAsia="Times New Roman"/>
          <w:color w:val="1F3864" w:themeColor="accent1" w:themeShade="80"/>
        </w:rPr>
        <w:t>Vnitřní (domácí) dluh</w:t>
      </w:r>
    </w:p>
    <w:p w14:paraId="4A6F3391" w14:textId="37C1146E" w:rsidR="008E0F74" w:rsidRPr="00263E80" w:rsidRDefault="00256F29" w:rsidP="00263E80">
      <w:pPr>
        <w:tabs>
          <w:tab w:val="left" w:pos="1276"/>
        </w:tabs>
        <w:spacing w:after="240" w:line="397" w:lineRule="auto"/>
        <w:rPr>
          <w:rFonts w:eastAsia="Arial"/>
          <w:szCs w:val="24"/>
        </w:rPr>
      </w:pPr>
      <w:r w:rsidRPr="00263E80">
        <w:rPr>
          <w:rFonts w:eastAsia="Times New Roman"/>
          <w:szCs w:val="24"/>
        </w:rPr>
        <w:t xml:space="preserve">V případě pohledávek </w:t>
      </w:r>
      <w:r w:rsidRPr="00263E80">
        <w:rPr>
          <w:rFonts w:eastAsia="Times New Roman"/>
          <w:i/>
          <w:iCs/>
          <w:szCs w:val="24"/>
        </w:rPr>
        <w:t>domácích</w:t>
      </w:r>
      <w:r w:rsidRPr="00263E80">
        <w:rPr>
          <w:rFonts w:eastAsia="Times New Roman"/>
          <w:szCs w:val="24"/>
        </w:rPr>
        <w:t xml:space="preserve"> subjektů</w:t>
      </w:r>
      <w:r w:rsidR="00263E80" w:rsidRPr="00263E80">
        <w:rPr>
          <w:rFonts w:eastAsia="Times New Roman"/>
          <w:szCs w:val="24"/>
        </w:rPr>
        <w:t xml:space="preserve">. </w:t>
      </w:r>
      <w:r w:rsidRPr="00263E80">
        <w:rPr>
          <w:rFonts w:eastAsia="Times New Roman"/>
          <w:szCs w:val="24"/>
        </w:rPr>
        <w:t>Nemění čistou finanční pozici země</w:t>
      </w:r>
      <w:r w:rsidR="00263E80" w:rsidRPr="00263E80">
        <w:rPr>
          <w:rFonts w:eastAsia="Times New Roman"/>
          <w:szCs w:val="24"/>
        </w:rPr>
        <w:t xml:space="preserve">. </w:t>
      </w:r>
      <w:r w:rsidRPr="00263E80">
        <w:rPr>
          <w:rFonts w:eastAsia="Times New Roman"/>
          <w:szCs w:val="24"/>
        </w:rPr>
        <w:t>Tento růst vládních pasiv a růst soukromých aktiv se projeví jako změna portfolia soukromých aktiv</w:t>
      </w:r>
      <w:r w:rsidR="00263E80">
        <w:rPr>
          <w:rFonts w:eastAsia="Times New Roman"/>
          <w:szCs w:val="24"/>
        </w:rPr>
        <w:t>.</w:t>
      </w:r>
    </w:p>
    <w:p w14:paraId="4A6F3392" w14:textId="0CA26C3D" w:rsidR="008E0F74" w:rsidRPr="00266F2F" w:rsidRDefault="00266F2F" w:rsidP="001F5965">
      <w:pPr>
        <w:pStyle w:val="Nadpis3"/>
        <w:rPr>
          <w:color w:val="1F3864" w:themeColor="accent1" w:themeShade="80"/>
          <w:sz w:val="20"/>
          <w:szCs w:val="20"/>
        </w:rPr>
      </w:pPr>
      <w:r>
        <w:rPr>
          <w:rFonts w:eastAsia="Times New Roman"/>
          <w:color w:val="1F3864" w:themeColor="accent1" w:themeShade="80"/>
        </w:rPr>
        <w:t xml:space="preserve"> </w:t>
      </w:r>
      <w:r w:rsidR="00256F29" w:rsidRPr="00266F2F">
        <w:rPr>
          <w:rFonts w:eastAsia="Times New Roman"/>
          <w:color w:val="1F3864" w:themeColor="accent1" w:themeShade="80"/>
        </w:rPr>
        <w:t>Vnější (zahraniční) dluh</w:t>
      </w:r>
    </w:p>
    <w:p w14:paraId="4A6F3394" w14:textId="0350C021" w:rsidR="008E0F74" w:rsidRPr="00FC3B7C" w:rsidRDefault="00256F29" w:rsidP="00263E80">
      <w:pPr>
        <w:tabs>
          <w:tab w:val="left" w:pos="1280"/>
        </w:tabs>
        <w:rPr>
          <w:rFonts w:eastAsia="Arial"/>
          <w:szCs w:val="24"/>
        </w:rPr>
      </w:pPr>
      <w:r w:rsidRPr="00FC3B7C">
        <w:rPr>
          <w:rFonts w:eastAsia="Times New Roman"/>
          <w:szCs w:val="24"/>
        </w:rPr>
        <w:t xml:space="preserve">Pokud jsou věřitelé </w:t>
      </w:r>
      <w:r w:rsidRPr="00263E80">
        <w:rPr>
          <w:rFonts w:eastAsia="Times New Roman"/>
          <w:i/>
          <w:iCs/>
          <w:szCs w:val="24"/>
        </w:rPr>
        <w:t>zahraniční</w:t>
      </w:r>
      <w:r w:rsidRPr="00FC3B7C">
        <w:rPr>
          <w:rFonts w:eastAsia="Times New Roman"/>
          <w:szCs w:val="24"/>
        </w:rPr>
        <w:t xml:space="preserve"> subjekty</w:t>
      </w:r>
      <w:r w:rsidR="00263E80">
        <w:rPr>
          <w:rFonts w:eastAsia="Times New Roman"/>
          <w:szCs w:val="24"/>
        </w:rPr>
        <w:t xml:space="preserve">. </w:t>
      </w:r>
      <w:r w:rsidRPr="00FC3B7C">
        <w:rPr>
          <w:rFonts w:eastAsia="Times New Roman"/>
          <w:szCs w:val="24"/>
        </w:rPr>
        <w:t>Dochází k odlivu bohatství země do ciziny</w:t>
      </w:r>
      <w:r w:rsidR="00263E80">
        <w:rPr>
          <w:rFonts w:eastAsia="Times New Roman"/>
          <w:szCs w:val="24"/>
        </w:rPr>
        <w:t>.</w:t>
      </w:r>
    </w:p>
    <w:p w14:paraId="4A6F3395" w14:textId="77777777" w:rsidR="008E0F74" w:rsidRPr="00FC3B7C" w:rsidRDefault="00256F29" w:rsidP="00D46B53">
      <w:pPr>
        <w:numPr>
          <w:ilvl w:val="0"/>
          <w:numId w:val="621"/>
        </w:numPr>
        <w:tabs>
          <w:tab w:val="left" w:pos="1060"/>
        </w:tabs>
        <w:ind w:left="1060" w:hanging="353"/>
        <w:rPr>
          <w:rFonts w:eastAsia="Times New Roman"/>
          <w:szCs w:val="24"/>
        </w:rPr>
      </w:pPr>
      <w:r w:rsidRPr="00263E80">
        <w:rPr>
          <w:rFonts w:eastAsia="Times New Roman"/>
          <w:b/>
          <w:bCs/>
          <w:szCs w:val="24"/>
        </w:rPr>
        <w:t>Pozitivní efekt</w:t>
      </w:r>
      <w:r w:rsidRPr="00FC3B7C">
        <w:rPr>
          <w:rFonts w:eastAsia="Times New Roman"/>
          <w:szCs w:val="24"/>
        </w:rPr>
        <w:t xml:space="preserve"> – příliv zahraničního kapitálu</w:t>
      </w:r>
    </w:p>
    <w:p w14:paraId="4A6F3396" w14:textId="77777777" w:rsidR="008E0F74" w:rsidRPr="00FC3B7C" w:rsidRDefault="00256F29" w:rsidP="00D46B53">
      <w:pPr>
        <w:numPr>
          <w:ilvl w:val="0"/>
          <w:numId w:val="621"/>
        </w:numPr>
        <w:tabs>
          <w:tab w:val="left" w:pos="1060"/>
        </w:tabs>
        <w:spacing w:line="414" w:lineRule="exact"/>
        <w:ind w:left="1060" w:hanging="353"/>
        <w:rPr>
          <w:rFonts w:eastAsia="Times New Roman"/>
          <w:szCs w:val="24"/>
        </w:rPr>
      </w:pPr>
      <w:r w:rsidRPr="00263E80">
        <w:rPr>
          <w:rFonts w:eastAsia="Times New Roman"/>
          <w:b/>
          <w:bCs/>
          <w:szCs w:val="24"/>
        </w:rPr>
        <w:t>Negativní efekt</w:t>
      </w:r>
      <w:r w:rsidRPr="00FC3B7C">
        <w:rPr>
          <w:rFonts w:eastAsia="Times New Roman"/>
          <w:szCs w:val="24"/>
        </w:rPr>
        <w:t xml:space="preserve"> – úroky ze zahraničního dluhu se splácí v cizí měně </w:t>
      </w:r>
      <w:r w:rsidRPr="00FC3B7C">
        <w:rPr>
          <w:rFonts w:eastAsia="MS Mincho"/>
          <w:szCs w:val="24"/>
        </w:rPr>
        <w:t>→</w:t>
      </w:r>
      <w:r w:rsidRPr="00FC3B7C">
        <w:rPr>
          <w:rFonts w:eastAsia="Times New Roman"/>
          <w:szCs w:val="24"/>
        </w:rPr>
        <w:t xml:space="preserve"> tlak na přebytek obchodní bilance </w:t>
      </w:r>
      <w:r w:rsidRPr="00FC3B7C">
        <w:rPr>
          <w:rFonts w:eastAsia="MS Mincho"/>
          <w:szCs w:val="24"/>
        </w:rPr>
        <w:t>→</w:t>
      </w:r>
      <w:r w:rsidRPr="00FC3B7C">
        <w:rPr>
          <w:rFonts w:eastAsia="Times New Roman"/>
          <w:szCs w:val="24"/>
        </w:rPr>
        <w:t xml:space="preserve"> pokles potřebného importu, nutná kurzová opatření (devalvace měny) </w:t>
      </w:r>
      <w:r w:rsidRPr="00FC3B7C">
        <w:rPr>
          <w:rFonts w:eastAsia="MS Mincho"/>
          <w:szCs w:val="24"/>
        </w:rPr>
        <w:t>→</w:t>
      </w:r>
      <w:r w:rsidRPr="00FC3B7C">
        <w:rPr>
          <w:rFonts w:eastAsia="Times New Roman"/>
          <w:szCs w:val="24"/>
        </w:rPr>
        <w:t xml:space="preserve"> růst hodnoty úroků zahraničního dluhu v domácí měně</w:t>
      </w:r>
    </w:p>
    <w:p w14:paraId="4A6F3397" w14:textId="77777777" w:rsidR="008E0F74" w:rsidRPr="00FC3B7C" w:rsidRDefault="008E0F74">
      <w:pPr>
        <w:spacing w:line="365" w:lineRule="exact"/>
        <w:rPr>
          <w:sz w:val="20"/>
          <w:szCs w:val="20"/>
        </w:rPr>
      </w:pPr>
    </w:p>
    <w:p w14:paraId="4A6F3398" w14:textId="4E1F1D14" w:rsidR="008E0F74" w:rsidRPr="00266F2F" w:rsidRDefault="00266F2F" w:rsidP="001F5965">
      <w:pPr>
        <w:pStyle w:val="Nadpis3"/>
        <w:rPr>
          <w:color w:val="1F3864" w:themeColor="accent1" w:themeShade="80"/>
          <w:sz w:val="20"/>
          <w:szCs w:val="20"/>
        </w:rPr>
      </w:pPr>
      <w:r w:rsidRPr="00266F2F">
        <w:rPr>
          <w:rFonts w:eastAsia="Times New Roman"/>
          <w:color w:val="1F3864" w:themeColor="accent1" w:themeShade="80"/>
        </w:rPr>
        <w:t xml:space="preserve"> </w:t>
      </w:r>
      <w:r w:rsidR="00256F29" w:rsidRPr="00266F2F">
        <w:rPr>
          <w:rFonts w:eastAsia="Times New Roman"/>
          <w:color w:val="1F3864" w:themeColor="accent1" w:themeShade="80"/>
        </w:rPr>
        <w:t>Důsledky veřejného dluhu</w:t>
      </w:r>
    </w:p>
    <w:p w14:paraId="4A6F3399" w14:textId="77777777" w:rsidR="008E0F74" w:rsidRPr="00FC3B7C" w:rsidRDefault="00256F29">
      <w:pPr>
        <w:rPr>
          <w:sz w:val="20"/>
          <w:szCs w:val="20"/>
        </w:rPr>
      </w:pPr>
      <w:r w:rsidRPr="00FC3B7C">
        <w:rPr>
          <w:rFonts w:eastAsia="Times New Roman"/>
          <w:b/>
          <w:bCs/>
          <w:szCs w:val="24"/>
          <w:u w:val="single"/>
        </w:rPr>
        <w:t>Rozpočtové</w:t>
      </w:r>
    </w:p>
    <w:p w14:paraId="4A6F339B" w14:textId="77777777" w:rsidR="008E0F74" w:rsidRPr="00FC3B7C" w:rsidRDefault="00256F29">
      <w:pPr>
        <w:spacing w:line="390" w:lineRule="auto"/>
        <w:rPr>
          <w:sz w:val="20"/>
          <w:szCs w:val="20"/>
        </w:rPr>
      </w:pPr>
      <w:r w:rsidRPr="00FC3B7C">
        <w:rPr>
          <w:rFonts w:eastAsia="Times New Roman"/>
          <w:szCs w:val="24"/>
        </w:rPr>
        <w:t xml:space="preserve">Kvůli placení úroků z veřejného dluhu jsou zatěžovány veřejné výdaje, což může vést </w:t>
      </w:r>
      <w:r w:rsidR="001F5965">
        <w:rPr>
          <w:rFonts w:eastAsia="Times New Roman"/>
          <w:szCs w:val="24"/>
        </w:rPr>
        <w:br/>
      </w:r>
      <w:r w:rsidRPr="00FC3B7C">
        <w:rPr>
          <w:rFonts w:eastAsia="Times New Roman"/>
          <w:szCs w:val="24"/>
        </w:rPr>
        <w:t>i ke vzniku dalších deficitů, nemalé náklady nese i celá správa dluhu.</w:t>
      </w:r>
    </w:p>
    <w:p w14:paraId="4A6F339C" w14:textId="77777777" w:rsidR="008E0F74" w:rsidRPr="00FC3B7C" w:rsidRDefault="00256F29" w:rsidP="001F5965">
      <w:pPr>
        <w:spacing w:before="240"/>
        <w:rPr>
          <w:sz w:val="20"/>
          <w:szCs w:val="20"/>
        </w:rPr>
      </w:pPr>
      <w:bookmarkStart w:id="132" w:name="page128"/>
      <w:bookmarkEnd w:id="132"/>
      <w:r w:rsidRPr="00FC3B7C">
        <w:rPr>
          <w:rFonts w:eastAsia="Times New Roman"/>
          <w:b/>
          <w:bCs/>
          <w:szCs w:val="24"/>
          <w:u w:val="single"/>
        </w:rPr>
        <w:t>Redistribuční</w:t>
      </w:r>
    </w:p>
    <w:p w14:paraId="4A6F339D" w14:textId="77777777" w:rsidR="008E0F74" w:rsidRPr="00FC3B7C" w:rsidRDefault="00256F29">
      <w:pPr>
        <w:spacing w:line="358" w:lineRule="auto"/>
        <w:rPr>
          <w:sz w:val="20"/>
          <w:szCs w:val="20"/>
        </w:rPr>
      </w:pPr>
      <w:r w:rsidRPr="00FC3B7C">
        <w:rPr>
          <w:rFonts w:eastAsia="Times New Roman"/>
          <w:szCs w:val="24"/>
        </w:rPr>
        <w:t xml:space="preserve">Kvůli vysoké nominální hodnotě státních dluhopisů je nakupují většinou jen specializované subjekty, ovšem daně potřebné k úhradě dluhu/úroků platí všechny subjekty. Ztráta efektivnosti ze zdanění – stát nejprve vybírá daně od daňových poplatníků, které potom </w:t>
      </w:r>
      <w:r w:rsidR="001F5965">
        <w:rPr>
          <w:rFonts w:eastAsia="Times New Roman"/>
          <w:szCs w:val="24"/>
        </w:rPr>
        <w:br/>
      </w:r>
      <w:r w:rsidRPr="00FC3B7C">
        <w:rPr>
          <w:rFonts w:eastAsia="Times New Roman"/>
          <w:szCs w:val="24"/>
        </w:rPr>
        <w:t>v podobě platby úroků z veřejného dluhu zpět vrací těmto daňovým poplatníkům.</w:t>
      </w:r>
    </w:p>
    <w:p w14:paraId="4A6F339E" w14:textId="77777777" w:rsidR="008E0F74" w:rsidRPr="00FC3B7C" w:rsidRDefault="008E0F74">
      <w:pPr>
        <w:spacing w:line="3" w:lineRule="exact"/>
        <w:rPr>
          <w:sz w:val="20"/>
          <w:szCs w:val="20"/>
        </w:rPr>
      </w:pPr>
    </w:p>
    <w:p w14:paraId="4A6F339F" w14:textId="77777777" w:rsidR="008E0F74" w:rsidRPr="00FC3B7C" w:rsidRDefault="00256F29" w:rsidP="00263E80">
      <w:pPr>
        <w:spacing w:before="240"/>
        <w:rPr>
          <w:sz w:val="20"/>
          <w:szCs w:val="20"/>
        </w:rPr>
      </w:pPr>
      <w:r w:rsidRPr="00FC3B7C">
        <w:rPr>
          <w:rFonts w:eastAsia="Times New Roman"/>
          <w:b/>
          <w:bCs/>
          <w:szCs w:val="24"/>
          <w:u w:val="single"/>
        </w:rPr>
        <w:t>Fiskální</w:t>
      </w:r>
    </w:p>
    <w:p w14:paraId="4A6F33A0" w14:textId="77777777" w:rsidR="008E0F74" w:rsidRPr="00FC3B7C" w:rsidRDefault="00256F29">
      <w:pPr>
        <w:rPr>
          <w:sz w:val="20"/>
          <w:szCs w:val="20"/>
        </w:rPr>
      </w:pPr>
      <w:r w:rsidRPr="00FC3B7C">
        <w:rPr>
          <w:rFonts w:eastAsia="Times New Roman"/>
          <w:szCs w:val="24"/>
        </w:rPr>
        <w:t>Veřejný dluh má negativní vliv jak na vývoj ekonomiky, tak na stabilizační fiskální politiku</w:t>
      </w:r>
      <w:r w:rsidR="001F5965">
        <w:rPr>
          <w:sz w:val="20"/>
          <w:szCs w:val="20"/>
        </w:rPr>
        <w:t xml:space="preserve"> </w:t>
      </w:r>
      <w:r w:rsidRPr="00FC3B7C">
        <w:rPr>
          <w:rFonts w:eastAsia="Times New Roman"/>
          <w:szCs w:val="24"/>
        </w:rPr>
        <w:t>vlády.</w:t>
      </w:r>
    </w:p>
    <w:p w14:paraId="4A6F33A1" w14:textId="77777777" w:rsidR="008E0F74" w:rsidRPr="00FC3B7C" w:rsidRDefault="008E0F74">
      <w:pPr>
        <w:spacing w:line="366" w:lineRule="exact"/>
        <w:rPr>
          <w:sz w:val="20"/>
          <w:szCs w:val="20"/>
        </w:rPr>
      </w:pPr>
    </w:p>
    <w:p w14:paraId="4A6F33A2" w14:textId="1AAB5598" w:rsidR="008E0F74" w:rsidRPr="00266F2F" w:rsidRDefault="00266F2F" w:rsidP="001F5965">
      <w:pPr>
        <w:pStyle w:val="Nadpis3"/>
        <w:rPr>
          <w:color w:val="1F3864" w:themeColor="accent1" w:themeShade="80"/>
          <w:sz w:val="20"/>
          <w:szCs w:val="20"/>
        </w:rPr>
      </w:pPr>
      <w:r w:rsidRPr="00266F2F">
        <w:rPr>
          <w:rFonts w:eastAsia="Times New Roman"/>
          <w:color w:val="1F3864" w:themeColor="accent1" w:themeShade="80"/>
        </w:rPr>
        <w:lastRenderedPageBreak/>
        <w:t xml:space="preserve"> </w:t>
      </w:r>
      <w:r w:rsidR="00256F29" w:rsidRPr="00266F2F">
        <w:rPr>
          <w:rFonts w:eastAsia="Times New Roman"/>
          <w:color w:val="1F3864" w:themeColor="accent1" w:themeShade="80"/>
        </w:rPr>
        <w:t>Řešení veřejného dluhu</w:t>
      </w:r>
    </w:p>
    <w:p w14:paraId="4A6F33A3" w14:textId="77777777" w:rsidR="008E0F74" w:rsidRPr="00266F2F" w:rsidRDefault="00256F29" w:rsidP="001F5965">
      <w:pPr>
        <w:pStyle w:val="Nadpis4"/>
        <w:rPr>
          <w:color w:val="1F3864" w:themeColor="accent1" w:themeShade="80"/>
          <w:sz w:val="20"/>
          <w:szCs w:val="20"/>
        </w:rPr>
      </w:pPr>
      <w:r w:rsidRPr="00266F2F">
        <w:rPr>
          <w:rFonts w:eastAsia="Times New Roman"/>
          <w:color w:val="1F3864" w:themeColor="accent1" w:themeShade="80"/>
        </w:rPr>
        <w:t>Pozitivní exogenní (vnější) faktory</w:t>
      </w:r>
    </w:p>
    <w:p w14:paraId="4A6F33A4" w14:textId="5A68C5AA" w:rsidR="008E0F74" w:rsidRPr="00FC3B7C" w:rsidRDefault="00256F29" w:rsidP="00D46B53">
      <w:pPr>
        <w:numPr>
          <w:ilvl w:val="0"/>
          <w:numId w:val="622"/>
        </w:numPr>
        <w:tabs>
          <w:tab w:val="left" w:pos="1276"/>
        </w:tabs>
        <w:spacing w:line="370" w:lineRule="auto"/>
        <w:ind w:left="1280" w:hanging="357"/>
        <w:rPr>
          <w:rFonts w:eastAsia="Arial"/>
          <w:szCs w:val="24"/>
        </w:rPr>
      </w:pPr>
      <w:r w:rsidRPr="00FC3B7C">
        <w:rPr>
          <w:rFonts w:eastAsia="Times New Roman"/>
          <w:szCs w:val="24"/>
        </w:rPr>
        <w:t>Dlouhodobějším zvýšením rychlosti ekonomického růstu, který ale musí být výrazně vyšší než efektivní reálná úroková sazba z veřejného dluhu</w:t>
      </w:r>
    </w:p>
    <w:p w14:paraId="4A6F33A5" w14:textId="77777777" w:rsidR="008E0F74" w:rsidRPr="00FC3B7C" w:rsidRDefault="008E0F74" w:rsidP="00263E80">
      <w:pPr>
        <w:tabs>
          <w:tab w:val="left" w:pos="1276"/>
        </w:tabs>
        <w:spacing w:line="1" w:lineRule="exact"/>
        <w:rPr>
          <w:rFonts w:eastAsia="Arial"/>
          <w:szCs w:val="24"/>
        </w:rPr>
      </w:pPr>
    </w:p>
    <w:p w14:paraId="4A6F33A6" w14:textId="0073FEFA" w:rsidR="008E0F74" w:rsidRPr="00FC3B7C" w:rsidRDefault="00256F29" w:rsidP="00D46B53">
      <w:pPr>
        <w:numPr>
          <w:ilvl w:val="0"/>
          <w:numId w:val="622"/>
        </w:numPr>
        <w:tabs>
          <w:tab w:val="left" w:pos="1276"/>
        </w:tabs>
        <w:ind w:left="1340" w:hanging="417"/>
        <w:rPr>
          <w:rFonts w:eastAsia="Arial"/>
          <w:szCs w:val="24"/>
        </w:rPr>
      </w:pPr>
      <w:r w:rsidRPr="00FC3B7C">
        <w:rPr>
          <w:rFonts w:eastAsia="Times New Roman"/>
          <w:szCs w:val="24"/>
        </w:rPr>
        <w:t>Vlivem nepředvídané inflace, díky níž poklesne reálná výše veřejného dluhu</w:t>
      </w:r>
    </w:p>
    <w:p w14:paraId="4A6F33A7" w14:textId="7D87B647" w:rsidR="008E0F74" w:rsidRPr="00FC3B7C" w:rsidRDefault="00256F29" w:rsidP="00D46B53">
      <w:pPr>
        <w:numPr>
          <w:ilvl w:val="0"/>
          <w:numId w:val="622"/>
        </w:numPr>
        <w:tabs>
          <w:tab w:val="left" w:pos="1276"/>
        </w:tabs>
        <w:spacing w:after="240"/>
        <w:ind w:left="1340" w:hanging="417"/>
        <w:rPr>
          <w:rFonts w:eastAsia="Arial"/>
          <w:szCs w:val="24"/>
        </w:rPr>
      </w:pPr>
      <w:r w:rsidRPr="00FC3B7C">
        <w:rPr>
          <w:rFonts w:eastAsia="Times New Roman"/>
          <w:szCs w:val="24"/>
        </w:rPr>
        <w:t>Zahraniční granty či dary</w:t>
      </w:r>
    </w:p>
    <w:p w14:paraId="4A6F33A8" w14:textId="77777777" w:rsidR="008E0F74" w:rsidRPr="00266F2F" w:rsidRDefault="00256F29" w:rsidP="001F5965">
      <w:pPr>
        <w:pStyle w:val="Nadpis4"/>
        <w:rPr>
          <w:color w:val="1F3864" w:themeColor="accent1" w:themeShade="80"/>
          <w:sz w:val="20"/>
          <w:szCs w:val="20"/>
        </w:rPr>
      </w:pPr>
      <w:r w:rsidRPr="00266F2F">
        <w:rPr>
          <w:rFonts w:eastAsia="Times New Roman"/>
          <w:color w:val="1F3864" w:themeColor="accent1" w:themeShade="80"/>
        </w:rPr>
        <w:t>Aktivní vládní opatření</w:t>
      </w:r>
    </w:p>
    <w:p w14:paraId="4A6F33A9" w14:textId="39750526" w:rsidR="008E0F74" w:rsidRPr="00FC3B7C" w:rsidRDefault="00256F29" w:rsidP="00D46B53">
      <w:pPr>
        <w:numPr>
          <w:ilvl w:val="0"/>
          <w:numId w:val="623"/>
        </w:numPr>
        <w:tabs>
          <w:tab w:val="left" w:pos="1276"/>
        </w:tabs>
        <w:spacing w:line="370" w:lineRule="auto"/>
        <w:ind w:left="1280" w:hanging="357"/>
        <w:rPr>
          <w:rFonts w:eastAsia="Arial"/>
          <w:szCs w:val="24"/>
        </w:rPr>
      </w:pPr>
      <w:r w:rsidRPr="00FC3B7C">
        <w:rPr>
          <w:rFonts w:eastAsia="Times New Roman"/>
          <w:szCs w:val="24"/>
        </w:rPr>
        <w:t>Naplánováním přebytků veřejných rozpočtů (výdajové škrty), které využijeme pro splácení veřejného dluhu</w:t>
      </w:r>
    </w:p>
    <w:p w14:paraId="4A6F33AA" w14:textId="77777777" w:rsidR="008E0F74" w:rsidRPr="00FC3B7C" w:rsidRDefault="008E0F74" w:rsidP="00263E80">
      <w:pPr>
        <w:tabs>
          <w:tab w:val="left" w:pos="1276"/>
        </w:tabs>
        <w:spacing w:line="1" w:lineRule="exact"/>
        <w:rPr>
          <w:rFonts w:eastAsia="Arial"/>
          <w:szCs w:val="24"/>
        </w:rPr>
      </w:pPr>
    </w:p>
    <w:p w14:paraId="4A6F33AB" w14:textId="5953676F" w:rsidR="008E0F74" w:rsidRPr="00FC3B7C" w:rsidRDefault="00256F29" w:rsidP="00D46B53">
      <w:pPr>
        <w:numPr>
          <w:ilvl w:val="0"/>
          <w:numId w:val="623"/>
        </w:numPr>
        <w:tabs>
          <w:tab w:val="left" w:pos="1276"/>
        </w:tabs>
        <w:ind w:left="1340" w:hanging="417"/>
        <w:rPr>
          <w:rFonts w:eastAsia="Arial"/>
          <w:szCs w:val="24"/>
        </w:rPr>
      </w:pPr>
      <w:r w:rsidRPr="00FC3B7C">
        <w:rPr>
          <w:rFonts w:eastAsia="Times New Roman"/>
          <w:szCs w:val="24"/>
        </w:rPr>
        <w:t>Monetizací dluhu nebo záměrným vyvoláním inflace</w:t>
      </w:r>
    </w:p>
    <w:p w14:paraId="4A6F33AC" w14:textId="6FB3E4FD" w:rsidR="008E0F74" w:rsidRPr="00FC3B7C" w:rsidRDefault="00256F29" w:rsidP="00D46B53">
      <w:pPr>
        <w:numPr>
          <w:ilvl w:val="0"/>
          <w:numId w:val="623"/>
        </w:numPr>
        <w:tabs>
          <w:tab w:val="left" w:pos="1276"/>
        </w:tabs>
        <w:spacing w:line="370" w:lineRule="auto"/>
        <w:ind w:left="1280" w:hanging="357"/>
        <w:rPr>
          <w:rFonts w:eastAsia="Arial"/>
          <w:szCs w:val="24"/>
        </w:rPr>
      </w:pPr>
      <w:r w:rsidRPr="00FC3B7C">
        <w:rPr>
          <w:rFonts w:eastAsia="Arial"/>
          <w:szCs w:val="24"/>
        </w:rPr>
        <w:t>A</w:t>
      </w:r>
      <w:r w:rsidRPr="00FC3B7C">
        <w:rPr>
          <w:rFonts w:eastAsia="Times New Roman"/>
          <w:szCs w:val="24"/>
        </w:rPr>
        <w:t>dministrativní cestou, kdy nová vláda odmítne stávající dluh nebo formou</w:t>
      </w:r>
      <w:r w:rsidRPr="00FC3B7C">
        <w:rPr>
          <w:rFonts w:eastAsia="Arial"/>
          <w:szCs w:val="24"/>
        </w:rPr>
        <w:t xml:space="preserve"> </w:t>
      </w:r>
      <w:r w:rsidRPr="00FC3B7C">
        <w:rPr>
          <w:rFonts w:eastAsia="Times New Roman"/>
          <w:szCs w:val="24"/>
        </w:rPr>
        <w:t>státního bankrotu</w:t>
      </w:r>
    </w:p>
    <w:p w14:paraId="4A6F33AD" w14:textId="77777777" w:rsidR="008E0F74" w:rsidRPr="00FC3B7C" w:rsidRDefault="008E0F74" w:rsidP="00263E80">
      <w:pPr>
        <w:tabs>
          <w:tab w:val="left" w:pos="1276"/>
        </w:tabs>
        <w:spacing w:line="1" w:lineRule="exact"/>
        <w:rPr>
          <w:rFonts w:eastAsia="Arial"/>
          <w:szCs w:val="24"/>
        </w:rPr>
      </w:pPr>
    </w:p>
    <w:p w14:paraId="4A6F33AE" w14:textId="6364ABAE" w:rsidR="008E0F74" w:rsidRPr="00FC3B7C" w:rsidRDefault="00256F29" w:rsidP="00D46B53">
      <w:pPr>
        <w:numPr>
          <w:ilvl w:val="0"/>
          <w:numId w:val="623"/>
        </w:numPr>
        <w:tabs>
          <w:tab w:val="left" w:pos="1276"/>
        </w:tabs>
        <w:spacing w:line="366" w:lineRule="auto"/>
        <w:ind w:left="1280" w:hanging="357"/>
        <w:rPr>
          <w:rFonts w:eastAsia="Arial"/>
          <w:szCs w:val="24"/>
        </w:rPr>
      </w:pPr>
      <w:r w:rsidRPr="00FC3B7C">
        <w:rPr>
          <w:rFonts w:eastAsia="Times New Roman"/>
          <w:szCs w:val="24"/>
        </w:rPr>
        <w:t>Použitím výnosů z privatizace státního majetku – majetek je ale omezený, stát se tím připravuje o budoucí výnosy</w:t>
      </w:r>
    </w:p>
    <w:p w14:paraId="4A6F33AF" w14:textId="77777777" w:rsidR="008E0F74" w:rsidRPr="00FC3B7C" w:rsidRDefault="008E0F74" w:rsidP="00263E80">
      <w:pPr>
        <w:tabs>
          <w:tab w:val="left" w:pos="1276"/>
        </w:tabs>
        <w:spacing w:line="1" w:lineRule="exact"/>
        <w:rPr>
          <w:rFonts w:eastAsia="Arial"/>
          <w:szCs w:val="24"/>
        </w:rPr>
      </w:pPr>
    </w:p>
    <w:p w14:paraId="4A6F33B0" w14:textId="77777777" w:rsidR="008E0F74" w:rsidRPr="00FC3B7C" w:rsidRDefault="00256F29" w:rsidP="00D46B53">
      <w:pPr>
        <w:numPr>
          <w:ilvl w:val="0"/>
          <w:numId w:val="623"/>
        </w:numPr>
        <w:tabs>
          <w:tab w:val="left" w:pos="1276"/>
        </w:tabs>
        <w:ind w:left="1280" w:hanging="357"/>
        <w:rPr>
          <w:rFonts w:eastAsia="Arial"/>
          <w:sz w:val="23"/>
          <w:szCs w:val="23"/>
        </w:rPr>
      </w:pPr>
      <w:r w:rsidRPr="00FC3B7C">
        <w:rPr>
          <w:rFonts w:eastAsia="Times New Roman"/>
          <w:sz w:val="23"/>
          <w:szCs w:val="23"/>
        </w:rPr>
        <w:t>Zavedení paušální daně, jejíž výnosy by byly určeny jen na krytí veřejného dluhu.</w:t>
      </w:r>
    </w:p>
    <w:p w14:paraId="4A6F33B1" w14:textId="281B1019" w:rsidR="008E0F74" w:rsidRPr="00FC3B7C" w:rsidRDefault="00256F29" w:rsidP="00D46B53">
      <w:pPr>
        <w:numPr>
          <w:ilvl w:val="0"/>
          <w:numId w:val="623"/>
        </w:numPr>
        <w:tabs>
          <w:tab w:val="left" w:pos="1276"/>
        </w:tabs>
        <w:ind w:left="1280" w:hanging="357"/>
        <w:rPr>
          <w:rFonts w:eastAsia="Arial"/>
          <w:szCs w:val="24"/>
        </w:rPr>
      </w:pPr>
      <w:r w:rsidRPr="00FC3B7C">
        <w:rPr>
          <w:rFonts w:eastAsia="Times New Roman"/>
          <w:szCs w:val="24"/>
        </w:rPr>
        <w:t>Zavedení jednorázové dávky, která by veřejný dluh zaplatila</w:t>
      </w:r>
    </w:p>
    <w:p w14:paraId="4A6F33B2" w14:textId="77777777" w:rsidR="008E0F74" w:rsidRPr="00FC3B7C" w:rsidRDefault="00256F29" w:rsidP="00263E80">
      <w:pPr>
        <w:spacing w:before="240" w:line="370" w:lineRule="auto"/>
        <w:rPr>
          <w:sz w:val="20"/>
          <w:szCs w:val="20"/>
        </w:rPr>
      </w:pPr>
      <w:r w:rsidRPr="00FC3B7C">
        <w:rPr>
          <w:rFonts w:eastAsia="Times New Roman"/>
          <w:szCs w:val="24"/>
        </w:rPr>
        <w:t xml:space="preserve">Česká republika má v současnosti v </w:t>
      </w:r>
      <w:r w:rsidRPr="00901C4A">
        <w:rPr>
          <w:rFonts w:eastAsia="Times New Roman"/>
          <w:szCs w:val="24"/>
        </w:rPr>
        <w:t>porovnání s okolními zeměmi, či zeměmi EU relativně nízký, ale nadále se zvyšující státní dluh.</w:t>
      </w:r>
      <w:r w:rsidRPr="00FC3B7C">
        <w:rPr>
          <w:rFonts w:eastAsia="Times New Roman"/>
          <w:szCs w:val="24"/>
        </w:rPr>
        <w:t xml:space="preserve"> Český státní dluh je financován pokladničními poukázkami, státními dluhopisy, přímými půjčkami nebo půjčkami od Evropské investiční banky.</w:t>
      </w:r>
    </w:p>
    <w:p w14:paraId="4A6F33B3" w14:textId="77777777" w:rsidR="008E0F74" w:rsidRPr="00263E80" w:rsidRDefault="00256F29" w:rsidP="001F5965">
      <w:pPr>
        <w:spacing w:before="240"/>
        <w:rPr>
          <w:sz w:val="20"/>
          <w:szCs w:val="20"/>
          <w:u w:val="single"/>
        </w:rPr>
      </w:pPr>
      <w:bookmarkStart w:id="133" w:name="page129"/>
      <w:bookmarkEnd w:id="133"/>
      <w:r w:rsidRPr="00263E80">
        <w:rPr>
          <w:rFonts w:eastAsia="Times New Roman"/>
          <w:b/>
          <w:bCs/>
          <w:szCs w:val="24"/>
          <w:u w:val="single"/>
        </w:rPr>
        <w:t>Názory na deficitní financování</w:t>
      </w:r>
    </w:p>
    <w:p w14:paraId="4A6F33B4" w14:textId="1BF5DE7F" w:rsidR="008E0F74" w:rsidRPr="00FC3B7C" w:rsidRDefault="00256F29" w:rsidP="00263E80">
      <w:pPr>
        <w:spacing w:before="240"/>
        <w:rPr>
          <w:sz w:val="20"/>
          <w:szCs w:val="20"/>
        </w:rPr>
      </w:pPr>
      <w:r w:rsidRPr="00FC3B7C">
        <w:rPr>
          <w:rFonts w:eastAsia="Times New Roman"/>
          <w:b/>
          <w:bCs/>
          <w:szCs w:val="24"/>
        </w:rPr>
        <w:t xml:space="preserve">Argumenty </w:t>
      </w:r>
      <w:r w:rsidR="00263E80" w:rsidRPr="00FC3B7C">
        <w:rPr>
          <w:rFonts w:eastAsia="Times New Roman"/>
          <w:b/>
          <w:bCs/>
          <w:szCs w:val="24"/>
        </w:rPr>
        <w:t xml:space="preserve">PRO </w:t>
      </w:r>
      <w:r w:rsidRPr="00FC3B7C">
        <w:rPr>
          <w:rFonts w:eastAsia="Times New Roman"/>
          <w:b/>
          <w:bCs/>
          <w:szCs w:val="24"/>
        </w:rPr>
        <w:t>deficit:</w:t>
      </w:r>
    </w:p>
    <w:p w14:paraId="4A6F33B6" w14:textId="77777777" w:rsidR="008E0F74" w:rsidRPr="00FC3B7C" w:rsidRDefault="00256F29">
      <w:pPr>
        <w:spacing w:line="364" w:lineRule="auto"/>
        <w:rPr>
          <w:sz w:val="20"/>
          <w:szCs w:val="20"/>
        </w:rPr>
      </w:pPr>
      <w:r w:rsidRPr="00263E80">
        <w:rPr>
          <w:rFonts w:eastAsia="Times New Roman"/>
          <w:szCs w:val="24"/>
          <w:u w:val="single"/>
        </w:rPr>
        <w:t>Obecně tradiční ekonomie to vidí takhle:</w:t>
      </w:r>
      <w:r w:rsidRPr="00FC3B7C">
        <w:rPr>
          <w:rFonts w:eastAsia="Times New Roman"/>
          <w:szCs w:val="24"/>
        </w:rPr>
        <w:t xml:space="preserve"> Růst vládních výdajů sníží veřejné úspory, což zvýší úrokovou míru – příliv zahraničního kapitálu a tlak na apreciaci měny. V režimu stabilního kurzu, kdy CB intervenuje, dochází k růstu produktu – krátké období. V dlouhé období dochází k růstu cenové hladiny kvůli intervencím CB, což znamená reálnou apreciaci měny. V režimu volného kurzu dochází rovnou k apreciaci. Tudíž účinek je zde jen v krátkém období a v režimu stabilního kurzu. V male otevřené ekonomice vyvolá zvýšení vládních výdajů (či snížení daní) stejně velký pokles vývozu zboží a služeb.</w:t>
      </w:r>
    </w:p>
    <w:p w14:paraId="4A6F33B7" w14:textId="77777777" w:rsidR="008E0F74" w:rsidRPr="00FC3B7C" w:rsidRDefault="008E0F74">
      <w:pPr>
        <w:spacing w:line="242" w:lineRule="exact"/>
        <w:rPr>
          <w:sz w:val="20"/>
          <w:szCs w:val="20"/>
        </w:rPr>
      </w:pPr>
    </w:p>
    <w:p w14:paraId="4A6F33B8" w14:textId="77777777" w:rsidR="001F5965" w:rsidRDefault="001F5965">
      <w:pPr>
        <w:spacing w:line="240" w:lineRule="auto"/>
        <w:jc w:val="left"/>
        <w:rPr>
          <w:rFonts w:eastAsia="Times New Roman"/>
          <w:b/>
          <w:bCs/>
          <w:szCs w:val="24"/>
        </w:rPr>
      </w:pPr>
      <w:r>
        <w:rPr>
          <w:rFonts w:eastAsia="Times New Roman"/>
          <w:b/>
          <w:bCs/>
          <w:szCs w:val="24"/>
        </w:rPr>
        <w:br w:type="page"/>
      </w:r>
    </w:p>
    <w:p w14:paraId="4A6F33B9" w14:textId="77777777" w:rsidR="008E0F74" w:rsidRPr="00FC3B7C" w:rsidRDefault="00256F29" w:rsidP="00270319">
      <w:pPr>
        <w:numPr>
          <w:ilvl w:val="0"/>
          <w:numId w:val="112"/>
        </w:numPr>
        <w:tabs>
          <w:tab w:val="left" w:pos="720"/>
        </w:tabs>
        <w:ind w:left="720" w:hanging="364"/>
        <w:rPr>
          <w:rFonts w:eastAsia="Times New Roman"/>
          <w:szCs w:val="24"/>
        </w:rPr>
      </w:pPr>
      <w:r w:rsidRPr="00FC3B7C">
        <w:rPr>
          <w:rFonts w:eastAsia="Times New Roman"/>
          <w:b/>
          <w:bCs/>
          <w:szCs w:val="24"/>
        </w:rPr>
        <w:lastRenderedPageBreak/>
        <w:t>Odčerpání nevyužitých úspor / výdajový multiplikátor</w:t>
      </w:r>
    </w:p>
    <w:p w14:paraId="4A6F33BC" w14:textId="072A35B7" w:rsidR="008E0F74" w:rsidRPr="00FC3B7C" w:rsidRDefault="00263E80" w:rsidP="00263E80">
      <w:pPr>
        <w:tabs>
          <w:tab w:val="left" w:pos="1440"/>
        </w:tabs>
        <w:spacing w:line="355" w:lineRule="auto"/>
        <w:rPr>
          <w:rFonts w:eastAsia="Courier New"/>
          <w:sz w:val="20"/>
          <w:szCs w:val="20"/>
        </w:rPr>
      </w:pPr>
      <w:r w:rsidRPr="00FC3B7C">
        <w:rPr>
          <w:rFonts w:eastAsia="Times New Roman"/>
          <w:szCs w:val="24"/>
        </w:rPr>
        <w:t xml:space="preserve">Nevyužité úspory </w:t>
      </w:r>
      <w:r w:rsidR="00256F29" w:rsidRPr="00FC3B7C">
        <w:rPr>
          <w:rFonts w:eastAsia="Times New Roman"/>
          <w:szCs w:val="24"/>
        </w:rPr>
        <w:t>odčerpané deficitním financováním lze použít ke stimulaci ekonomiky</w:t>
      </w:r>
      <w:r>
        <w:rPr>
          <w:rFonts w:eastAsia="Times New Roman"/>
          <w:szCs w:val="24"/>
        </w:rPr>
        <w:t xml:space="preserve">. </w:t>
      </w:r>
      <w:r w:rsidRPr="00FC3B7C">
        <w:rPr>
          <w:rFonts w:eastAsia="Times New Roman"/>
          <w:szCs w:val="24"/>
        </w:rPr>
        <w:t>Řada vládních výdajů vede k</w:t>
      </w:r>
      <w:r w:rsidR="00256F29" w:rsidRPr="00FC3B7C">
        <w:rPr>
          <w:rFonts w:eastAsia="Times New Roman"/>
          <w:szCs w:val="24"/>
        </w:rPr>
        <w:t xml:space="preserve"> investicím do produkce veřejných statků, růst vládních nákupů a transferových výdajů vede ke zvýšení soukromých spotřebních a investičních výdajů (multiplikátor)</w:t>
      </w:r>
      <w:r>
        <w:rPr>
          <w:rFonts w:eastAsia="Times New Roman"/>
          <w:szCs w:val="24"/>
        </w:rPr>
        <w:t>.</w:t>
      </w:r>
    </w:p>
    <w:p w14:paraId="4A6F33BD" w14:textId="77777777" w:rsidR="008E0F74" w:rsidRPr="00FC3B7C" w:rsidRDefault="008E0F74">
      <w:pPr>
        <w:spacing w:line="2" w:lineRule="exact"/>
        <w:rPr>
          <w:rFonts w:eastAsia="Courier New"/>
          <w:sz w:val="20"/>
          <w:szCs w:val="20"/>
        </w:rPr>
      </w:pPr>
    </w:p>
    <w:p w14:paraId="4A6F33BE" w14:textId="77777777" w:rsidR="008E0F74" w:rsidRPr="00FC3B7C" w:rsidRDefault="00256F29" w:rsidP="00270319">
      <w:pPr>
        <w:numPr>
          <w:ilvl w:val="0"/>
          <w:numId w:val="113"/>
        </w:numPr>
        <w:tabs>
          <w:tab w:val="left" w:pos="720"/>
        </w:tabs>
        <w:spacing w:before="240"/>
        <w:ind w:left="720" w:hanging="364"/>
        <w:rPr>
          <w:rFonts w:eastAsia="Times New Roman"/>
          <w:szCs w:val="24"/>
        </w:rPr>
      </w:pPr>
      <w:r w:rsidRPr="00FC3B7C">
        <w:rPr>
          <w:rFonts w:eastAsia="Times New Roman"/>
          <w:b/>
          <w:bCs/>
          <w:szCs w:val="24"/>
        </w:rPr>
        <w:t>Investiční příležitosti</w:t>
      </w:r>
    </w:p>
    <w:p w14:paraId="4A6F33C0" w14:textId="2C3398D0" w:rsidR="008E0F74" w:rsidRPr="00FC3B7C" w:rsidRDefault="00263E80" w:rsidP="00263E80">
      <w:pPr>
        <w:tabs>
          <w:tab w:val="left" w:pos="1440"/>
        </w:tabs>
        <w:rPr>
          <w:rFonts w:eastAsia="Courier New"/>
          <w:sz w:val="20"/>
          <w:szCs w:val="20"/>
        </w:rPr>
      </w:pPr>
      <w:r w:rsidRPr="00FC3B7C">
        <w:rPr>
          <w:rFonts w:eastAsia="Times New Roman"/>
          <w:szCs w:val="24"/>
        </w:rPr>
        <w:t>Jsou poskytovány veřejnosti v rámci vydávání státních dluhopisů a da</w:t>
      </w:r>
      <w:r w:rsidR="00256F29" w:rsidRPr="00FC3B7C">
        <w:rPr>
          <w:rFonts w:eastAsia="Times New Roman"/>
          <w:szCs w:val="24"/>
        </w:rPr>
        <w:t>lších</w:t>
      </w:r>
      <w:r w:rsidR="001F5965">
        <w:rPr>
          <w:rFonts w:eastAsia="Courier New"/>
          <w:sz w:val="20"/>
          <w:szCs w:val="20"/>
        </w:rPr>
        <w:t xml:space="preserve"> </w:t>
      </w:r>
      <w:r w:rsidR="00256F29" w:rsidRPr="001F5965">
        <w:rPr>
          <w:rFonts w:eastAsia="Times New Roman"/>
          <w:szCs w:val="24"/>
        </w:rPr>
        <w:t>cenných papírů</w:t>
      </w:r>
      <w:r>
        <w:rPr>
          <w:rFonts w:eastAsia="Times New Roman"/>
          <w:szCs w:val="24"/>
        </w:rPr>
        <w:t xml:space="preserve">. </w:t>
      </w:r>
      <w:r w:rsidRPr="00FC3B7C">
        <w:rPr>
          <w:rFonts w:eastAsia="Times New Roman"/>
          <w:szCs w:val="24"/>
        </w:rPr>
        <w:t>Obligace a cenné papíry vydané státem zaručují návratnost jistin</w:t>
      </w:r>
      <w:r w:rsidR="00256F29" w:rsidRPr="00FC3B7C">
        <w:rPr>
          <w:rFonts w:eastAsia="Times New Roman"/>
          <w:szCs w:val="24"/>
        </w:rPr>
        <w:t>y i úrokové platby a určují bezpečný způsob soukromým investorům jak investovat přebytečné prostředky</w:t>
      </w:r>
      <w:r>
        <w:rPr>
          <w:rFonts w:eastAsia="Times New Roman"/>
          <w:szCs w:val="24"/>
        </w:rPr>
        <w:t>.</w:t>
      </w:r>
    </w:p>
    <w:p w14:paraId="4A6F33C1" w14:textId="77777777" w:rsidR="008E0F74" w:rsidRPr="00FC3B7C" w:rsidRDefault="00256F29" w:rsidP="00270319">
      <w:pPr>
        <w:numPr>
          <w:ilvl w:val="0"/>
          <w:numId w:val="114"/>
        </w:numPr>
        <w:tabs>
          <w:tab w:val="left" w:pos="720"/>
        </w:tabs>
        <w:spacing w:before="240"/>
        <w:ind w:left="720" w:hanging="364"/>
        <w:rPr>
          <w:rFonts w:eastAsia="Times New Roman"/>
          <w:szCs w:val="24"/>
        </w:rPr>
      </w:pPr>
      <w:r w:rsidRPr="00FC3B7C">
        <w:rPr>
          <w:rFonts w:eastAsia="Times New Roman"/>
          <w:b/>
          <w:bCs/>
          <w:szCs w:val="24"/>
        </w:rPr>
        <w:t>Možnost snížení daní</w:t>
      </w:r>
    </w:p>
    <w:p w14:paraId="4A6F33C4" w14:textId="1FB31D9D" w:rsidR="008E0F74" w:rsidRPr="00FC3B7C" w:rsidRDefault="00263E80" w:rsidP="00263E80">
      <w:pPr>
        <w:tabs>
          <w:tab w:val="left" w:pos="1440"/>
        </w:tabs>
        <w:spacing w:line="355" w:lineRule="auto"/>
        <w:rPr>
          <w:rFonts w:eastAsia="Courier New"/>
          <w:sz w:val="20"/>
          <w:szCs w:val="20"/>
        </w:rPr>
      </w:pPr>
      <w:r w:rsidRPr="00FC3B7C">
        <w:rPr>
          <w:rFonts w:eastAsia="Times New Roman"/>
          <w:szCs w:val="24"/>
        </w:rPr>
        <w:t>Je-li příčinou deficitu snížení daní, zvláště po</w:t>
      </w:r>
      <w:r w:rsidR="00256F29" w:rsidRPr="00FC3B7C">
        <w:rPr>
          <w:rFonts w:eastAsia="Times New Roman"/>
          <w:szCs w:val="24"/>
        </w:rPr>
        <w:t>dnikových, lze očekávat, že budou firmy investovat</w:t>
      </w:r>
      <w:r>
        <w:rPr>
          <w:rFonts w:eastAsia="Times New Roman"/>
          <w:szCs w:val="24"/>
        </w:rPr>
        <w:t xml:space="preserve">. </w:t>
      </w:r>
      <w:r w:rsidRPr="00FC3B7C">
        <w:rPr>
          <w:rFonts w:eastAsia="Times New Roman"/>
          <w:szCs w:val="24"/>
        </w:rPr>
        <w:t>Z krátkodobého pohledu povede sní</w:t>
      </w:r>
      <w:r w:rsidR="00256F29" w:rsidRPr="00FC3B7C">
        <w:rPr>
          <w:rFonts w:eastAsia="Times New Roman"/>
          <w:szCs w:val="24"/>
        </w:rPr>
        <w:t>žení daní k deficitu, dlouhodobě k vyšším daňovým příjmům</w:t>
      </w:r>
      <w:r>
        <w:rPr>
          <w:rFonts w:eastAsia="Times New Roman"/>
          <w:szCs w:val="24"/>
        </w:rPr>
        <w:t>.</w:t>
      </w:r>
    </w:p>
    <w:p w14:paraId="4A6F33C5" w14:textId="1D7E49D9" w:rsidR="008E0F74" w:rsidRPr="00FC3B7C" w:rsidRDefault="00256F29" w:rsidP="001F5965">
      <w:pPr>
        <w:spacing w:before="240"/>
        <w:rPr>
          <w:sz w:val="20"/>
          <w:szCs w:val="20"/>
        </w:rPr>
      </w:pPr>
      <w:r w:rsidRPr="00FC3B7C">
        <w:rPr>
          <w:rFonts w:eastAsia="Times New Roman"/>
          <w:b/>
          <w:bCs/>
          <w:szCs w:val="24"/>
        </w:rPr>
        <w:t xml:space="preserve">Argumenty </w:t>
      </w:r>
      <w:r w:rsidR="00263E80" w:rsidRPr="00FC3B7C">
        <w:rPr>
          <w:rFonts w:eastAsia="Times New Roman"/>
          <w:b/>
          <w:bCs/>
          <w:szCs w:val="24"/>
        </w:rPr>
        <w:t>PROTI</w:t>
      </w:r>
      <w:r w:rsidR="00263E80">
        <w:rPr>
          <w:rFonts w:eastAsia="Times New Roman"/>
          <w:b/>
          <w:bCs/>
          <w:szCs w:val="24"/>
        </w:rPr>
        <w:t xml:space="preserve"> deficitu</w:t>
      </w:r>
      <w:r w:rsidRPr="00FC3B7C">
        <w:rPr>
          <w:rFonts w:eastAsia="Times New Roman"/>
          <w:b/>
          <w:bCs/>
          <w:szCs w:val="24"/>
        </w:rPr>
        <w:t>:</w:t>
      </w:r>
    </w:p>
    <w:p w14:paraId="4A6F33C6" w14:textId="77777777" w:rsidR="008E0F74" w:rsidRPr="00FC3B7C" w:rsidRDefault="00256F29" w:rsidP="00270319">
      <w:pPr>
        <w:numPr>
          <w:ilvl w:val="0"/>
          <w:numId w:val="115"/>
        </w:numPr>
        <w:tabs>
          <w:tab w:val="left" w:pos="720"/>
        </w:tabs>
        <w:ind w:left="720" w:hanging="364"/>
        <w:rPr>
          <w:rFonts w:eastAsia="Times New Roman"/>
          <w:szCs w:val="24"/>
        </w:rPr>
      </w:pPr>
      <w:r w:rsidRPr="00FC3B7C">
        <w:rPr>
          <w:rFonts w:eastAsia="Times New Roman"/>
          <w:b/>
          <w:bCs/>
          <w:szCs w:val="24"/>
        </w:rPr>
        <w:t>Daňová služba</w:t>
      </w:r>
    </w:p>
    <w:p w14:paraId="4A6F33C8" w14:textId="5295B615" w:rsidR="008E0F74" w:rsidRPr="00FC3B7C" w:rsidRDefault="00263E80" w:rsidP="00263E80">
      <w:pPr>
        <w:tabs>
          <w:tab w:val="left" w:pos="1440"/>
        </w:tabs>
        <w:rPr>
          <w:rFonts w:eastAsia="Courier New"/>
          <w:sz w:val="19"/>
          <w:szCs w:val="19"/>
        </w:rPr>
      </w:pPr>
      <w:r w:rsidRPr="00FC3B7C">
        <w:rPr>
          <w:rFonts w:eastAsia="Times New Roman"/>
          <w:szCs w:val="24"/>
        </w:rPr>
        <w:t>Vysoká část rozpočtu jde na úrokové platby z</w:t>
      </w:r>
      <w:r>
        <w:rPr>
          <w:rFonts w:eastAsia="Times New Roman"/>
          <w:szCs w:val="24"/>
        </w:rPr>
        <w:t> </w:t>
      </w:r>
      <w:r w:rsidR="00256F29" w:rsidRPr="00FC3B7C">
        <w:rPr>
          <w:rFonts w:eastAsia="Times New Roman"/>
          <w:szCs w:val="24"/>
        </w:rPr>
        <w:t>dluhu</w:t>
      </w:r>
      <w:r>
        <w:rPr>
          <w:rFonts w:eastAsia="Times New Roman"/>
          <w:szCs w:val="24"/>
        </w:rPr>
        <w:t xml:space="preserve">. </w:t>
      </w:r>
      <w:bookmarkStart w:id="134" w:name="page130"/>
      <w:bookmarkEnd w:id="134"/>
      <w:r w:rsidRPr="00FC3B7C">
        <w:rPr>
          <w:rFonts w:eastAsia="Times New Roman"/>
          <w:sz w:val="23"/>
          <w:szCs w:val="23"/>
        </w:rPr>
        <w:t>Pokračující deficity pak zvyšu</w:t>
      </w:r>
      <w:r w:rsidR="00256F29" w:rsidRPr="00FC3B7C">
        <w:rPr>
          <w:rFonts w:eastAsia="Times New Roman"/>
          <w:sz w:val="23"/>
          <w:szCs w:val="23"/>
        </w:rPr>
        <w:t>jí tyto platby nadále a zakládají sami příští deficity</w:t>
      </w:r>
      <w:r w:rsidR="001F5965">
        <w:rPr>
          <w:rFonts w:eastAsia="Times New Roman"/>
          <w:sz w:val="23"/>
          <w:szCs w:val="23"/>
        </w:rPr>
        <w:t>.</w:t>
      </w:r>
    </w:p>
    <w:p w14:paraId="4A6F33C9" w14:textId="77777777" w:rsidR="008E0F74" w:rsidRPr="00FC3B7C" w:rsidRDefault="008E0F74">
      <w:pPr>
        <w:spacing w:line="135" w:lineRule="exact"/>
        <w:rPr>
          <w:rFonts w:eastAsia="Courier New"/>
          <w:sz w:val="19"/>
          <w:szCs w:val="19"/>
        </w:rPr>
      </w:pPr>
    </w:p>
    <w:p w14:paraId="4A6F33CA" w14:textId="77777777" w:rsidR="008E0F74" w:rsidRPr="00FC3B7C" w:rsidRDefault="00256F29" w:rsidP="00270319">
      <w:pPr>
        <w:numPr>
          <w:ilvl w:val="0"/>
          <w:numId w:val="116"/>
        </w:numPr>
        <w:tabs>
          <w:tab w:val="left" w:pos="720"/>
        </w:tabs>
        <w:ind w:left="720" w:hanging="364"/>
        <w:rPr>
          <w:rFonts w:eastAsia="Times New Roman"/>
          <w:szCs w:val="24"/>
        </w:rPr>
      </w:pPr>
      <w:r w:rsidRPr="00FC3B7C">
        <w:rPr>
          <w:rFonts w:eastAsia="Times New Roman"/>
          <w:b/>
          <w:bCs/>
          <w:szCs w:val="24"/>
        </w:rPr>
        <w:t>Zvýšení úrokových sazeb</w:t>
      </w:r>
    </w:p>
    <w:p w14:paraId="4A6F33CD" w14:textId="4B187C69" w:rsidR="001F5965" w:rsidRDefault="00263E80" w:rsidP="00D4011F">
      <w:pPr>
        <w:tabs>
          <w:tab w:val="left" w:pos="1440"/>
        </w:tabs>
        <w:rPr>
          <w:rFonts w:eastAsia="Times New Roman"/>
          <w:b/>
          <w:bCs/>
          <w:szCs w:val="24"/>
        </w:rPr>
      </w:pPr>
      <w:r w:rsidRPr="00FC3B7C">
        <w:rPr>
          <w:rFonts w:eastAsia="Times New Roman"/>
          <w:szCs w:val="24"/>
        </w:rPr>
        <w:t>Vyšš</w:t>
      </w:r>
      <w:r w:rsidR="00256F29" w:rsidRPr="00FC3B7C">
        <w:rPr>
          <w:rFonts w:eastAsia="Times New Roman"/>
          <w:szCs w:val="24"/>
        </w:rPr>
        <w:t>í deficity vedou k vyšším úrokovým sazbám</w:t>
      </w:r>
      <w:r>
        <w:rPr>
          <w:rFonts w:eastAsia="Times New Roman"/>
          <w:szCs w:val="24"/>
        </w:rPr>
        <w:t xml:space="preserve">. </w:t>
      </w:r>
      <w:r w:rsidRPr="00FC3B7C">
        <w:rPr>
          <w:rFonts w:eastAsia="Times New Roman"/>
          <w:szCs w:val="24"/>
        </w:rPr>
        <w:t>Státní výpůjčky zvyšují poptávku po peněžních fondech a tím zvyšují cenu peněz, tak zvyšují i úrokové náklady firem, klesají-li v</w:t>
      </w:r>
      <w:r w:rsidR="00256F29" w:rsidRPr="00FC3B7C">
        <w:rPr>
          <w:rFonts w:eastAsia="Times New Roman"/>
          <w:szCs w:val="24"/>
        </w:rPr>
        <w:t xml:space="preserve"> tomto smyslu</w:t>
      </w:r>
      <w:r>
        <w:rPr>
          <w:rFonts w:eastAsia="Times New Roman"/>
          <w:szCs w:val="24"/>
        </w:rPr>
        <w:t xml:space="preserve"> </w:t>
      </w:r>
      <w:r w:rsidR="00256F29" w:rsidRPr="00FC3B7C">
        <w:rPr>
          <w:rFonts w:eastAsia="Times New Roman"/>
          <w:szCs w:val="24"/>
        </w:rPr>
        <w:t>i investice dojde k růstu nezaměstnanosti</w:t>
      </w:r>
      <w:r>
        <w:rPr>
          <w:rFonts w:eastAsia="Times New Roman"/>
          <w:szCs w:val="24"/>
        </w:rPr>
        <w:t>.</w:t>
      </w:r>
    </w:p>
    <w:p w14:paraId="4A6F33CE" w14:textId="77777777" w:rsidR="008E0F74" w:rsidRPr="00FC3B7C" w:rsidRDefault="00256F29" w:rsidP="00270319">
      <w:pPr>
        <w:numPr>
          <w:ilvl w:val="0"/>
          <w:numId w:val="117"/>
        </w:numPr>
        <w:tabs>
          <w:tab w:val="left" w:pos="720"/>
        </w:tabs>
        <w:spacing w:before="240"/>
        <w:ind w:left="720" w:hanging="364"/>
        <w:rPr>
          <w:rFonts w:eastAsia="Times New Roman"/>
          <w:szCs w:val="24"/>
        </w:rPr>
      </w:pPr>
      <w:r w:rsidRPr="00FC3B7C">
        <w:rPr>
          <w:rFonts w:eastAsia="Times New Roman"/>
          <w:b/>
          <w:bCs/>
          <w:szCs w:val="24"/>
        </w:rPr>
        <w:t>Deficit obchodní bilance</w:t>
      </w:r>
    </w:p>
    <w:p w14:paraId="4A6F33D3" w14:textId="2FAE855C" w:rsidR="008E0F74" w:rsidRDefault="00C45EB9" w:rsidP="00C45EB9">
      <w:pPr>
        <w:tabs>
          <w:tab w:val="left" w:pos="1440"/>
        </w:tabs>
        <w:spacing w:line="356" w:lineRule="auto"/>
        <w:rPr>
          <w:rFonts w:eastAsia="Times New Roman"/>
          <w:szCs w:val="24"/>
        </w:rPr>
      </w:pPr>
      <w:r w:rsidRPr="00FC3B7C">
        <w:rPr>
          <w:rFonts w:eastAsia="Times New Roman"/>
          <w:szCs w:val="24"/>
        </w:rPr>
        <w:t>D</w:t>
      </w:r>
      <w:r w:rsidR="00256F29" w:rsidRPr="00FC3B7C">
        <w:rPr>
          <w:rFonts w:eastAsia="Times New Roman"/>
          <w:szCs w:val="24"/>
        </w:rPr>
        <w:t>eficit ovlivňuje hodnotu národní měny → zvyšují úrokové sazby a tím vytvářejí investiční příležitosti pro zahraniční investory, pro ty zde budou výhodnější podmínky k</w:t>
      </w:r>
      <w:r>
        <w:rPr>
          <w:rFonts w:eastAsia="Times New Roman"/>
          <w:szCs w:val="24"/>
        </w:rPr>
        <w:t> </w:t>
      </w:r>
      <w:r w:rsidR="00256F29" w:rsidRPr="00FC3B7C">
        <w:rPr>
          <w:rFonts w:eastAsia="Times New Roman"/>
          <w:szCs w:val="24"/>
        </w:rPr>
        <w:t>investicím</w:t>
      </w:r>
      <w:r>
        <w:rPr>
          <w:rFonts w:eastAsia="Times New Roman"/>
          <w:szCs w:val="24"/>
        </w:rPr>
        <w:t xml:space="preserve">. </w:t>
      </w:r>
      <w:r w:rsidRPr="00FC3B7C">
        <w:rPr>
          <w:rFonts w:eastAsia="Times New Roman"/>
          <w:sz w:val="23"/>
          <w:szCs w:val="23"/>
        </w:rPr>
        <w:t>To vyvolá poptávku po měně dané ekonomiky a zvýší její hodnotu (výši devizové</w:t>
      </w:r>
      <w:r w:rsidR="00256F29" w:rsidRPr="00FC3B7C">
        <w:rPr>
          <w:rFonts w:eastAsia="Times New Roman"/>
          <w:sz w:val="23"/>
          <w:szCs w:val="23"/>
        </w:rPr>
        <w:t>ho kurzu) → zahraniční zboží je tak levnější na domácím trhu a domácí zboží na zahraničním trhu je dražší → to může vést k deficitu obchodní bilance</w:t>
      </w:r>
      <w:r>
        <w:rPr>
          <w:rFonts w:eastAsia="Times New Roman"/>
          <w:sz w:val="23"/>
          <w:szCs w:val="23"/>
        </w:rPr>
        <w:t xml:space="preserve">. </w:t>
      </w:r>
      <w:r w:rsidRPr="00FC3B7C">
        <w:rPr>
          <w:rFonts w:eastAsia="Times New Roman"/>
          <w:szCs w:val="24"/>
        </w:rPr>
        <w:t>Pokud je pevně stanov</w:t>
      </w:r>
      <w:r w:rsidR="00256F29" w:rsidRPr="00FC3B7C">
        <w:rPr>
          <w:rFonts w:eastAsia="Times New Roman"/>
          <w:szCs w:val="24"/>
        </w:rPr>
        <w:t>ý devizový kurz, musí centrální banka provést měnovou intervenci</w:t>
      </w:r>
      <w:r>
        <w:rPr>
          <w:rFonts w:eastAsia="Times New Roman"/>
          <w:szCs w:val="24"/>
        </w:rPr>
        <w:t>.</w:t>
      </w:r>
    </w:p>
    <w:p w14:paraId="4A6F33D4" w14:textId="0C28A393" w:rsidR="008E0F74" w:rsidRPr="00FC3B7C" w:rsidRDefault="00256F29" w:rsidP="00C45EB9">
      <w:pPr>
        <w:spacing w:before="240" w:line="374" w:lineRule="auto"/>
        <w:ind w:right="20"/>
        <w:rPr>
          <w:sz w:val="20"/>
          <w:szCs w:val="20"/>
        </w:rPr>
      </w:pPr>
      <w:r w:rsidRPr="00C45EB9">
        <w:rPr>
          <w:rFonts w:eastAsia="Times New Roman"/>
          <w:b/>
          <w:bCs/>
          <w:szCs w:val="24"/>
        </w:rPr>
        <w:t>Neoklasická ekonomie</w:t>
      </w:r>
      <w:r w:rsidRPr="00FC3B7C">
        <w:rPr>
          <w:rFonts w:eastAsia="Times New Roman"/>
          <w:szCs w:val="24"/>
        </w:rPr>
        <w:t xml:space="preserve"> – růst vládních výdajů zvyšuje současnou spotřebu na úkor té budoucí – přesunutí daňového břemena na budoucí generace. Sníží se úspory, rostou úrokové míry – vytěsňování soukromých </w:t>
      </w:r>
      <w:r w:rsidR="00C45EB9">
        <w:rPr>
          <w:rFonts w:eastAsia="Times New Roman"/>
          <w:szCs w:val="24"/>
        </w:rPr>
        <w:t>investic.</w:t>
      </w:r>
    </w:p>
    <w:p w14:paraId="4A6F33D6" w14:textId="03812302" w:rsidR="008E0F74" w:rsidRPr="00FC3B7C" w:rsidRDefault="00256F29" w:rsidP="00C45EB9">
      <w:pPr>
        <w:spacing w:before="240" w:line="367" w:lineRule="auto"/>
        <w:ind w:right="20"/>
        <w:rPr>
          <w:sz w:val="20"/>
          <w:szCs w:val="20"/>
        </w:rPr>
      </w:pPr>
      <w:r w:rsidRPr="00C45EB9">
        <w:rPr>
          <w:rFonts w:eastAsia="Times New Roman"/>
          <w:b/>
          <w:bCs/>
          <w:szCs w:val="24"/>
        </w:rPr>
        <w:lastRenderedPageBreak/>
        <w:t xml:space="preserve">Keynesiánství </w:t>
      </w:r>
      <w:r w:rsidRPr="00FC3B7C">
        <w:rPr>
          <w:rFonts w:eastAsia="Times New Roman"/>
          <w:szCs w:val="24"/>
        </w:rPr>
        <w:t xml:space="preserve">– rozmach po 2. </w:t>
      </w:r>
      <w:r w:rsidR="00C45EB9" w:rsidRPr="00FC3B7C">
        <w:rPr>
          <w:rFonts w:eastAsia="Times New Roman"/>
          <w:szCs w:val="24"/>
        </w:rPr>
        <w:t>Sv</w:t>
      </w:r>
      <w:r w:rsidRPr="00FC3B7C">
        <w:rPr>
          <w:rFonts w:eastAsia="Times New Roman"/>
          <w:szCs w:val="24"/>
        </w:rPr>
        <w:t xml:space="preserve">. </w:t>
      </w:r>
      <w:r w:rsidR="00C45EB9" w:rsidRPr="00FC3B7C">
        <w:rPr>
          <w:rFonts w:eastAsia="Times New Roman"/>
          <w:szCs w:val="24"/>
        </w:rPr>
        <w:t>Válce</w:t>
      </w:r>
      <w:r w:rsidRPr="00FC3B7C">
        <w:rPr>
          <w:rFonts w:eastAsia="Times New Roman"/>
          <w:szCs w:val="24"/>
        </w:rPr>
        <w:t>, bylo upuštěno od pravidla každoročně vyrovnaného rozpočtu, byl odmítnut Sayův zákon trhů a kvantitativní teorie peněz. Trhy nedokáží vytvořit dostatečnou agregátní poptávku a ekonomická rovnováha byla tedy při neúplném využití disponibilních zdrojů. Tento defekt má zvrátit expanzivní fiskální politika i za cenu deficitního financování.</w:t>
      </w:r>
    </w:p>
    <w:p w14:paraId="4A6F33D8" w14:textId="0FEBAC05" w:rsidR="008E0F74" w:rsidRPr="004B6CDE" w:rsidRDefault="00256F29" w:rsidP="00DD5122">
      <w:pPr>
        <w:pStyle w:val="Nadpis2"/>
        <w:rPr>
          <w:color w:val="1F3864" w:themeColor="accent1" w:themeShade="80"/>
          <w:sz w:val="20"/>
          <w:szCs w:val="20"/>
        </w:rPr>
      </w:pPr>
      <w:bookmarkStart w:id="135" w:name="page131"/>
      <w:bookmarkEnd w:id="135"/>
      <w:r w:rsidRPr="004B6CDE">
        <w:rPr>
          <w:rFonts w:eastAsia="Times New Roman"/>
          <w:color w:val="1F3864" w:themeColor="accent1" w:themeShade="80"/>
        </w:rPr>
        <w:t>STATISTIKA ČR K</w:t>
      </w:r>
      <w:r w:rsidR="00D4011F" w:rsidRPr="004B6CDE">
        <w:rPr>
          <w:rFonts w:eastAsia="Times New Roman"/>
          <w:color w:val="1F3864" w:themeColor="accent1" w:themeShade="80"/>
        </w:rPr>
        <w:t> </w:t>
      </w:r>
      <w:r w:rsidR="000506FA" w:rsidRPr="004B6CDE">
        <w:rPr>
          <w:rFonts w:eastAsia="Times New Roman"/>
          <w:color w:val="1F3864" w:themeColor="accent1" w:themeShade="80"/>
        </w:rPr>
        <w:t>3. 3. 2020</w:t>
      </w:r>
    </w:p>
    <w:p w14:paraId="4A6F33D9" w14:textId="6D25AA11" w:rsidR="008E0F74" w:rsidRPr="00DB7FA9" w:rsidRDefault="00256F29" w:rsidP="00DD5122">
      <w:pPr>
        <w:rPr>
          <w:sz w:val="20"/>
          <w:szCs w:val="20"/>
        </w:rPr>
      </w:pPr>
      <w:r w:rsidRPr="00DB7FA9">
        <w:rPr>
          <w:rFonts w:eastAsia="Times New Roman"/>
        </w:rPr>
        <w:t>Veřejný dluh: 1,</w:t>
      </w:r>
      <w:r w:rsidR="00CD50FF" w:rsidRPr="00DB7FA9">
        <w:rPr>
          <w:rFonts w:eastAsia="Times New Roman"/>
        </w:rPr>
        <w:t>790</w:t>
      </w:r>
      <w:r w:rsidRPr="00DB7FA9">
        <w:rPr>
          <w:rFonts w:eastAsia="Times New Roman"/>
        </w:rPr>
        <w:t xml:space="preserve"> bilionu </w:t>
      </w:r>
      <w:r w:rsidR="00D4011F" w:rsidRPr="00DB7FA9">
        <w:rPr>
          <w:rFonts w:eastAsia="Times New Roman"/>
        </w:rPr>
        <w:t>-</w:t>
      </w:r>
      <w:r w:rsidRPr="00DB7FA9">
        <w:rPr>
          <w:rFonts w:eastAsia="Times New Roman"/>
        </w:rPr>
        <w:t xml:space="preserve"> roste </w:t>
      </w:r>
      <w:r w:rsidR="00D4011F" w:rsidRPr="00DB7FA9">
        <w:rPr>
          <w:rFonts w:eastAsia="Times New Roman"/>
        </w:rPr>
        <w:t>-</w:t>
      </w:r>
      <w:r w:rsidRPr="00DB7FA9">
        <w:rPr>
          <w:rFonts w:eastAsia="Times New Roman"/>
        </w:rPr>
        <w:t xml:space="preserve"> </w:t>
      </w:r>
      <w:r w:rsidR="00D4011F" w:rsidRPr="00DB7FA9">
        <w:rPr>
          <w:rFonts w:eastAsia="Times New Roman"/>
        </w:rPr>
        <w:t>32% HDP</w:t>
      </w:r>
    </w:p>
    <w:p w14:paraId="4A6F33DA" w14:textId="4301202A" w:rsidR="008E0F74" w:rsidRPr="00DB7FA9" w:rsidRDefault="00256F29" w:rsidP="00DD5122">
      <w:pPr>
        <w:rPr>
          <w:sz w:val="20"/>
          <w:szCs w:val="20"/>
        </w:rPr>
      </w:pPr>
      <w:r w:rsidRPr="00DB7FA9">
        <w:rPr>
          <w:rFonts w:eastAsia="Times New Roman"/>
        </w:rPr>
        <w:t>Státní dluh: 1,</w:t>
      </w:r>
      <w:r w:rsidR="00CD50FF" w:rsidRPr="00DB7FA9">
        <w:rPr>
          <w:rFonts w:eastAsia="Times New Roman"/>
        </w:rPr>
        <w:t>769</w:t>
      </w:r>
      <w:r w:rsidRPr="00DB7FA9">
        <w:rPr>
          <w:rFonts w:eastAsia="Times New Roman"/>
        </w:rPr>
        <w:t xml:space="preserve"> bilionu </w:t>
      </w:r>
      <w:r w:rsidR="00D4011F" w:rsidRPr="00DB7FA9">
        <w:rPr>
          <w:rFonts w:eastAsia="Times New Roman"/>
        </w:rPr>
        <w:t>-</w:t>
      </w:r>
      <w:r w:rsidRPr="00DB7FA9">
        <w:rPr>
          <w:rFonts w:eastAsia="Times New Roman"/>
        </w:rPr>
        <w:t xml:space="preserve"> </w:t>
      </w:r>
      <w:r w:rsidR="00CD50FF" w:rsidRPr="00DB7FA9">
        <w:rPr>
          <w:rFonts w:eastAsia="Times New Roman"/>
        </w:rPr>
        <w:t>9</w:t>
      </w:r>
      <w:r w:rsidR="00D4011F" w:rsidRPr="00DB7FA9">
        <w:rPr>
          <w:rFonts w:eastAsia="Times New Roman"/>
        </w:rPr>
        <w:t>9</w:t>
      </w:r>
      <w:r w:rsidR="00CD50FF" w:rsidRPr="00DB7FA9">
        <w:rPr>
          <w:rFonts w:eastAsia="Times New Roman"/>
        </w:rPr>
        <w:t xml:space="preserve">% </w:t>
      </w:r>
      <w:r w:rsidR="000506FA" w:rsidRPr="00DB7FA9">
        <w:rPr>
          <w:rFonts w:eastAsia="Times New Roman"/>
        </w:rPr>
        <w:t>veřejného</w:t>
      </w:r>
      <w:r w:rsidR="00CD50FF" w:rsidRPr="00DB7FA9">
        <w:rPr>
          <w:rFonts w:eastAsia="Times New Roman"/>
        </w:rPr>
        <w:t xml:space="preserve"> dluhu</w:t>
      </w:r>
      <w:r w:rsidR="00D4011F" w:rsidRPr="00DB7FA9">
        <w:rPr>
          <w:rFonts w:eastAsia="Times New Roman"/>
        </w:rPr>
        <w:t>, 31% HDP</w:t>
      </w:r>
    </w:p>
    <w:p w14:paraId="4A6F33DB" w14:textId="046C17A1" w:rsidR="008E0F74" w:rsidRPr="00DB7FA9" w:rsidRDefault="00256F29" w:rsidP="00DD5122">
      <w:pPr>
        <w:rPr>
          <w:sz w:val="20"/>
          <w:szCs w:val="20"/>
        </w:rPr>
      </w:pPr>
      <w:r w:rsidRPr="00DB7FA9">
        <w:rPr>
          <w:rFonts w:eastAsia="Times New Roman"/>
        </w:rPr>
        <w:t xml:space="preserve">Dluhy krajů, obcí a ostatní: </w:t>
      </w:r>
      <w:r w:rsidR="00DB7FA9" w:rsidRPr="00DB7FA9">
        <w:rPr>
          <w:rFonts w:eastAsia="Times New Roman"/>
        </w:rPr>
        <w:t>20,68 miliard</w:t>
      </w:r>
    </w:p>
    <w:p w14:paraId="4A6F33DC" w14:textId="1300E07E" w:rsidR="008E0F74" w:rsidRPr="00DB7FA9" w:rsidRDefault="00256F29" w:rsidP="00DD5122">
      <w:pPr>
        <w:rPr>
          <w:sz w:val="20"/>
          <w:szCs w:val="20"/>
        </w:rPr>
      </w:pPr>
      <w:r w:rsidRPr="00DB7FA9">
        <w:rPr>
          <w:rFonts w:eastAsia="Times New Roman"/>
        </w:rPr>
        <w:t xml:space="preserve">HDP: </w:t>
      </w:r>
      <w:r w:rsidR="00D4011F" w:rsidRPr="00DB7FA9">
        <w:rPr>
          <w:rFonts w:eastAsia="Times New Roman"/>
        </w:rPr>
        <w:t>5</w:t>
      </w:r>
      <w:r w:rsidRPr="00DB7FA9">
        <w:rPr>
          <w:rFonts w:eastAsia="Times New Roman"/>
        </w:rPr>
        <w:t>,</w:t>
      </w:r>
      <w:r w:rsidR="00D4011F" w:rsidRPr="00DB7FA9">
        <w:rPr>
          <w:rFonts w:eastAsia="Times New Roman"/>
        </w:rPr>
        <w:t>69</w:t>
      </w:r>
      <w:r w:rsidRPr="00DB7FA9">
        <w:rPr>
          <w:rFonts w:eastAsia="Times New Roman"/>
        </w:rPr>
        <w:t xml:space="preserve"> bilionu – roste</w:t>
      </w:r>
    </w:p>
    <w:p w14:paraId="4A6F33DD" w14:textId="0C81AE56" w:rsidR="00CB490A" w:rsidRDefault="00256F29" w:rsidP="00DD5122">
      <w:pPr>
        <w:rPr>
          <w:rFonts w:eastAsia="Times New Roman"/>
        </w:rPr>
      </w:pPr>
      <w:r w:rsidRPr="00DB7FA9">
        <w:rPr>
          <w:rFonts w:eastAsia="Times New Roman"/>
        </w:rPr>
        <w:t xml:space="preserve">Úroky z dluhu: </w:t>
      </w:r>
      <w:r w:rsidR="00DB7FA9" w:rsidRPr="00DB7FA9">
        <w:rPr>
          <w:rFonts w:eastAsia="Times New Roman"/>
        </w:rPr>
        <w:t xml:space="preserve">7,144 miliard </w:t>
      </w:r>
    </w:p>
    <w:p w14:paraId="6609C66C" w14:textId="77777777" w:rsidR="00CB490A" w:rsidRDefault="00CB490A">
      <w:pPr>
        <w:spacing w:line="240" w:lineRule="auto"/>
        <w:jc w:val="left"/>
        <w:rPr>
          <w:rFonts w:eastAsia="Times New Roman"/>
        </w:rPr>
      </w:pPr>
      <w:r>
        <w:rPr>
          <w:rFonts w:eastAsia="Times New Roman"/>
        </w:rPr>
        <w:br w:type="page"/>
      </w:r>
    </w:p>
    <w:p w14:paraId="4A6F33E1" w14:textId="39FF6D14" w:rsidR="008E0F74" w:rsidRDefault="00256F29">
      <w:pPr>
        <w:rPr>
          <w:rFonts w:eastAsia="Times New Roman"/>
          <w:b/>
          <w:bCs/>
          <w:sz w:val="28"/>
          <w:szCs w:val="28"/>
        </w:rPr>
      </w:pPr>
      <w:bookmarkStart w:id="136" w:name="page132"/>
      <w:bookmarkEnd w:id="136"/>
      <w:r w:rsidRPr="00FC3B7C">
        <w:rPr>
          <w:rFonts w:eastAsia="Times New Roman"/>
          <w:b/>
          <w:bCs/>
          <w:sz w:val="28"/>
          <w:szCs w:val="28"/>
        </w:rPr>
        <w:lastRenderedPageBreak/>
        <w:t>Zdroje:</w:t>
      </w:r>
    </w:p>
    <w:p w14:paraId="17086F56" w14:textId="77777777" w:rsidR="00266F2F" w:rsidRPr="00FC3B7C" w:rsidRDefault="00266F2F">
      <w:pPr>
        <w:rPr>
          <w:sz w:val="20"/>
          <w:szCs w:val="20"/>
        </w:rPr>
      </w:pPr>
    </w:p>
    <w:p w14:paraId="4A6F33E2" w14:textId="77777777" w:rsidR="008E0F74" w:rsidRPr="00FC3B7C" w:rsidRDefault="00256F29" w:rsidP="00266F2F">
      <w:pPr>
        <w:tabs>
          <w:tab w:val="left" w:pos="1600"/>
          <w:tab w:val="left" w:pos="2340"/>
          <w:tab w:val="left" w:pos="3660"/>
          <w:tab w:val="left" w:pos="4840"/>
          <w:tab w:val="left" w:pos="7000"/>
          <w:tab w:val="left" w:pos="7880"/>
          <w:tab w:val="left" w:pos="8500"/>
        </w:tabs>
        <w:rPr>
          <w:sz w:val="20"/>
          <w:szCs w:val="20"/>
        </w:rPr>
      </w:pPr>
      <w:r w:rsidRPr="00FC3B7C">
        <w:rPr>
          <w:rFonts w:eastAsia="Times New Roman"/>
          <w:szCs w:val="24"/>
        </w:rPr>
        <w:t>BOUŠKA,</w:t>
      </w:r>
      <w:r w:rsidRPr="00FC3B7C">
        <w:rPr>
          <w:rFonts w:eastAsia="Times New Roman"/>
          <w:szCs w:val="24"/>
        </w:rPr>
        <w:tab/>
        <w:t>Karel.</w:t>
      </w:r>
      <w:r w:rsidRPr="00FC3B7C">
        <w:rPr>
          <w:rFonts w:eastAsia="Times New Roman"/>
          <w:szCs w:val="24"/>
        </w:rPr>
        <w:tab/>
        <w:t>Masarykova</w:t>
      </w:r>
      <w:r w:rsidRPr="00FC3B7C">
        <w:rPr>
          <w:rFonts w:eastAsia="Times New Roman"/>
          <w:szCs w:val="24"/>
        </w:rPr>
        <w:tab/>
        <w:t>univerzita,</w:t>
      </w:r>
      <w:r w:rsidRPr="00FC3B7C">
        <w:rPr>
          <w:rFonts w:eastAsia="Times New Roman"/>
          <w:szCs w:val="24"/>
        </w:rPr>
        <w:tab/>
        <w:t>Ekonomicko-správní</w:t>
      </w:r>
      <w:r w:rsidRPr="00FC3B7C">
        <w:rPr>
          <w:rFonts w:eastAsia="Times New Roman"/>
          <w:szCs w:val="24"/>
        </w:rPr>
        <w:tab/>
        <w:t>fakulta,</w:t>
      </w:r>
      <w:r w:rsidRPr="00FC3B7C">
        <w:rPr>
          <w:rFonts w:eastAsia="Times New Roman"/>
          <w:szCs w:val="24"/>
        </w:rPr>
        <w:tab/>
        <w:t>Brno</w:t>
      </w:r>
      <w:r w:rsidRPr="00FC3B7C">
        <w:rPr>
          <w:rFonts w:eastAsia="Times New Roman"/>
          <w:szCs w:val="24"/>
        </w:rPr>
        <w:tab/>
        <w:t>2009.</w:t>
      </w:r>
    </w:p>
    <w:p w14:paraId="4A6F33E3" w14:textId="77777777" w:rsidR="008E0F74" w:rsidRPr="00FC3B7C" w:rsidRDefault="008E0F74" w:rsidP="00266F2F">
      <w:pPr>
        <w:spacing w:line="133" w:lineRule="exact"/>
        <w:rPr>
          <w:sz w:val="20"/>
          <w:szCs w:val="20"/>
        </w:rPr>
      </w:pPr>
    </w:p>
    <w:p w14:paraId="4A6F33E4" w14:textId="77777777" w:rsidR="008E0F74" w:rsidRPr="00FC3B7C" w:rsidRDefault="00256F29" w:rsidP="00266F2F">
      <w:pPr>
        <w:rPr>
          <w:sz w:val="20"/>
          <w:szCs w:val="20"/>
        </w:rPr>
      </w:pPr>
      <w:r w:rsidRPr="00FC3B7C">
        <w:rPr>
          <w:rFonts w:eastAsia="Times New Roman"/>
          <w:i/>
          <w:iCs/>
          <w:szCs w:val="24"/>
        </w:rPr>
        <w:t>Fiskální politika České republiky před a po vstupu do Evropské unie.</w:t>
      </w:r>
    </w:p>
    <w:p w14:paraId="4A6F33E5" w14:textId="77777777" w:rsidR="008E0F74" w:rsidRPr="00FC3B7C" w:rsidRDefault="008E0F74" w:rsidP="00266F2F">
      <w:pPr>
        <w:spacing w:line="137" w:lineRule="exact"/>
        <w:rPr>
          <w:sz w:val="20"/>
          <w:szCs w:val="20"/>
        </w:rPr>
      </w:pPr>
    </w:p>
    <w:p w14:paraId="4A6F33E6" w14:textId="77777777" w:rsidR="008E0F74" w:rsidRPr="00FC3B7C" w:rsidRDefault="00256F29" w:rsidP="00266F2F">
      <w:pPr>
        <w:rPr>
          <w:sz w:val="20"/>
          <w:szCs w:val="20"/>
        </w:rPr>
      </w:pPr>
      <w:r w:rsidRPr="00FC3B7C">
        <w:rPr>
          <w:rFonts w:eastAsia="Times New Roman"/>
          <w:szCs w:val="24"/>
        </w:rPr>
        <w:t xml:space="preserve">DVOŘÁK, Pavel. </w:t>
      </w:r>
      <w:r w:rsidRPr="00FC3B7C">
        <w:rPr>
          <w:rFonts w:eastAsia="Times New Roman"/>
          <w:i/>
          <w:iCs/>
          <w:szCs w:val="24"/>
        </w:rPr>
        <w:t>Veřejné finance, fiskální nerovnováha a finanční krize.</w:t>
      </w:r>
      <w:r w:rsidRPr="00FC3B7C">
        <w:rPr>
          <w:rFonts w:eastAsia="Times New Roman"/>
          <w:szCs w:val="24"/>
        </w:rPr>
        <w:t xml:space="preserve"> Praha: C. H.</w:t>
      </w:r>
    </w:p>
    <w:p w14:paraId="4A6F33E7" w14:textId="77777777" w:rsidR="008E0F74" w:rsidRPr="00FC3B7C" w:rsidRDefault="008E0F74" w:rsidP="00266F2F">
      <w:pPr>
        <w:spacing w:line="146" w:lineRule="exact"/>
        <w:rPr>
          <w:sz w:val="20"/>
          <w:szCs w:val="20"/>
        </w:rPr>
      </w:pPr>
    </w:p>
    <w:p w14:paraId="4A6F33E8" w14:textId="77777777" w:rsidR="008E0F74" w:rsidRPr="00FC3B7C" w:rsidRDefault="00256F29" w:rsidP="00266F2F">
      <w:pPr>
        <w:rPr>
          <w:sz w:val="20"/>
          <w:szCs w:val="20"/>
        </w:rPr>
      </w:pPr>
      <w:r w:rsidRPr="00FC3B7C">
        <w:rPr>
          <w:rFonts w:eastAsia="Times New Roman"/>
          <w:szCs w:val="24"/>
        </w:rPr>
        <w:t>Beck, 2008. 343 s. ISBN 978-80-7400-075-1.</w:t>
      </w:r>
    </w:p>
    <w:p w14:paraId="4A6F33E9" w14:textId="77777777" w:rsidR="008E0F74" w:rsidRPr="00FC3B7C" w:rsidRDefault="008E0F74" w:rsidP="00266F2F">
      <w:pPr>
        <w:spacing w:line="133" w:lineRule="exact"/>
        <w:rPr>
          <w:sz w:val="20"/>
          <w:szCs w:val="20"/>
        </w:rPr>
      </w:pPr>
    </w:p>
    <w:p w14:paraId="4A6F33EA" w14:textId="77777777" w:rsidR="008E0F74" w:rsidRPr="00FC3B7C" w:rsidRDefault="00256F29" w:rsidP="00266F2F">
      <w:pPr>
        <w:spacing w:line="358" w:lineRule="auto"/>
        <w:rPr>
          <w:sz w:val="20"/>
          <w:szCs w:val="20"/>
        </w:rPr>
      </w:pPr>
      <w:r w:rsidRPr="00FC3B7C">
        <w:rPr>
          <w:rFonts w:eastAsia="Times New Roman"/>
          <w:szCs w:val="24"/>
        </w:rPr>
        <w:t xml:space="preserve">HOLMAN, Robert. </w:t>
      </w:r>
      <w:r w:rsidRPr="00FC3B7C">
        <w:rPr>
          <w:rFonts w:eastAsia="Times New Roman"/>
          <w:i/>
          <w:iCs/>
          <w:szCs w:val="24"/>
        </w:rPr>
        <w:t>Dějiny ekonomického myšlení.</w:t>
      </w:r>
      <w:r w:rsidRPr="00FC3B7C">
        <w:rPr>
          <w:rFonts w:eastAsia="Times New Roman"/>
          <w:szCs w:val="24"/>
        </w:rPr>
        <w:t xml:space="preserve"> Praha: C. H. Beck, 2005. 539 s. ISBN 80-7179380-9.</w:t>
      </w:r>
    </w:p>
    <w:p w14:paraId="4A6F33EB" w14:textId="77777777" w:rsidR="008E0F74" w:rsidRPr="00FC3B7C" w:rsidRDefault="008E0F74" w:rsidP="00266F2F">
      <w:pPr>
        <w:spacing w:line="2" w:lineRule="exact"/>
        <w:rPr>
          <w:sz w:val="20"/>
          <w:szCs w:val="20"/>
        </w:rPr>
      </w:pPr>
    </w:p>
    <w:p w14:paraId="4A6F33EC" w14:textId="77777777" w:rsidR="008E0F74" w:rsidRPr="00FC3B7C" w:rsidRDefault="00256F29" w:rsidP="00266F2F">
      <w:pPr>
        <w:spacing w:line="362" w:lineRule="auto"/>
        <w:rPr>
          <w:sz w:val="20"/>
          <w:szCs w:val="20"/>
        </w:rPr>
      </w:pPr>
      <w:r w:rsidRPr="00FC3B7C">
        <w:rPr>
          <w:rFonts w:eastAsia="Times New Roman"/>
          <w:szCs w:val="24"/>
        </w:rPr>
        <w:t xml:space="preserve">HOLMAN, Robert. </w:t>
      </w:r>
      <w:r w:rsidRPr="00FC3B7C">
        <w:rPr>
          <w:rFonts w:eastAsia="Times New Roman"/>
          <w:i/>
          <w:iCs/>
          <w:szCs w:val="24"/>
        </w:rPr>
        <w:t>Makroekonomie: středně</w:t>
      </w:r>
      <w:r w:rsidRPr="00FC3B7C">
        <w:rPr>
          <w:rFonts w:eastAsia="Times New Roman"/>
          <w:szCs w:val="24"/>
        </w:rPr>
        <w:t xml:space="preserve"> </w:t>
      </w:r>
      <w:r w:rsidRPr="00FC3B7C">
        <w:rPr>
          <w:rFonts w:eastAsia="Times New Roman"/>
          <w:i/>
          <w:iCs/>
          <w:szCs w:val="24"/>
        </w:rPr>
        <w:t>pokročilý</w:t>
      </w:r>
      <w:r w:rsidRPr="00FC3B7C">
        <w:rPr>
          <w:rFonts w:eastAsia="Times New Roman"/>
          <w:szCs w:val="24"/>
        </w:rPr>
        <w:t xml:space="preserve"> </w:t>
      </w:r>
      <w:r w:rsidRPr="00FC3B7C">
        <w:rPr>
          <w:rFonts w:eastAsia="Times New Roman"/>
          <w:i/>
          <w:iCs/>
          <w:szCs w:val="24"/>
        </w:rPr>
        <w:t>kurz</w:t>
      </w:r>
      <w:r w:rsidRPr="00FC3B7C">
        <w:rPr>
          <w:rFonts w:eastAsia="Times New Roman"/>
          <w:szCs w:val="24"/>
        </w:rPr>
        <w:t>. Praha: C. H. Beck, 2004. 424 s. ISBN 80-7179-738-3.</w:t>
      </w:r>
    </w:p>
    <w:p w14:paraId="4A6F33ED" w14:textId="77777777" w:rsidR="008E0F74" w:rsidRPr="00FC3B7C" w:rsidRDefault="008E0F74" w:rsidP="00266F2F">
      <w:pPr>
        <w:spacing w:line="2" w:lineRule="exact"/>
        <w:rPr>
          <w:sz w:val="20"/>
          <w:szCs w:val="20"/>
        </w:rPr>
      </w:pPr>
    </w:p>
    <w:p w14:paraId="4A6F33EE" w14:textId="77777777" w:rsidR="008E0F74" w:rsidRPr="00FC3B7C" w:rsidRDefault="00256F29" w:rsidP="00266F2F">
      <w:pPr>
        <w:spacing w:line="358" w:lineRule="auto"/>
        <w:rPr>
          <w:sz w:val="20"/>
          <w:szCs w:val="20"/>
        </w:rPr>
      </w:pPr>
      <w:r w:rsidRPr="00FC3B7C">
        <w:rPr>
          <w:rFonts w:eastAsia="Times New Roman"/>
          <w:szCs w:val="24"/>
        </w:rPr>
        <w:t>Přednášky pana Miroslava Ševčíka z předmětu 5HP200 – Úvod do hospodářské a sociální politiky.</w:t>
      </w:r>
    </w:p>
    <w:p w14:paraId="4A6F33EF" w14:textId="77777777" w:rsidR="008E0F74" w:rsidRPr="00FC3B7C" w:rsidRDefault="008E0F74" w:rsidP="00266F2F">
      <w:pPr>
        <w:spacing w:line="2" w:lineRule="exact"/>
        <w:rPr>
          <w:sz w:val="20"/>
          <w:szCs w:val="20"/>
        </w:rPr>
      </w:pPr>
    </w:p>
    <w:p w14:paraId="4A6F33F0" w14:textId="77777777" w:rsidR="008E0F74" w:rsidRPr="00FC3B7C" w:rsidRDefault="00256F29" w:rsidP="00266F2F">
      <w:pPr>
        <w:spacing w:line="359" w:lineRule="auto"/>
        <w:rPr>
          <w:sz w:val="20"/>
          <w:szCs w:val="20"/>
        </w:rPr>
      </w:pPr>
      <w:r w:rsidRPr="00FC3B7C">
        <w:rPr>
          <w:rFonts w:eastAsia="Times New Roman"/>
          <w:szCs w:val="24"/>
        </w:rPr>
        <w:t>Skripta z předmětu 5HP324 Kondiční kurz z praktické hospodářské politiky z minulých let.</w:t>
      </w:r>
    </w:p>
    <w:p w14:paraId="4A6F33F1" w14:textId="77777777" w:rsidR="008E0F74" w:rsidRPr="00FC3B7C" w:rsidRDefault="008E0F74" w:rsidP="00266F2F">
      <w:pPr>
        <w:spacing w:line="1" w:lineRule="exact"/>
        <w:rPr>
          <w:sz w:val="20"/>
          <w:szCs w:val="20"/>
        </w:rPr>
      </w:pPr>
    </w:p>
    <w:p w14:paraId="4A6F33F2" w14:textId="77777777" w:rsidR="008E0F74" w:rsidRPr="00FC3B7C" w:rsidRDefault="00256F29" w:rsidP="00266F2F">
      <w:pPr>
        <w:rPr>
          <w:sz w:val="20"/>
          <w:szCs w:val="20"/>
        </w:rPr>
      </w:pPr>
      <w:r w:rsidRPr="00FC3B7C">
        <w:rPr>
          <w:rFonts w:eastAsia="Times New Roman"/>
          <w:szCs w:val="24"/>
        </w:rPr>
        <w:t xml:space="preserve">SLANÝ, Antonín a kol. </w:t>
      </w:r>
      <w:r w:rsidRPr="00FC3B7C">
        <w:rPr>
          <w:rFonts w:eastAsia="Times New Roman"/>
          <w:i/>
          <w:iCs/>
          <w:szCs w:val="24"/>
        </w:rPr>
        <w:t>Makroekonomická analýza a hospodářská politika.</w:t>
      </w:r>
      <w:r w:rsidRPr="00FC3B7C">
        <w:rPr>
          <w:rFonts w:eastAsia="Times New Roman"/>
          <w:szCs w:val="24"/>
        </w:rPr>
        <w:t xml:space="preserve"> Praha: C.</w:t>
      </w:r>
    </w:p>
    <w:p w14:paraId="4A6F33F3" w14:textId="77777777" w:rsidR="008E0F74" w:rsidRPr="00FC3B7C" w:rsidRDefault="008E0F74" w:rsidP="00266F2F">
      <w:pPr>
        <w:spacing w:line="141" w:lineRule="exact"/>
        <w:rPr>
          <w:sz w:val="20"/>
          <w:szCs w:val="20"/>
        </w:rPr>
      </w:pPr>
    </w:p>
    <w:p w14:paraId="4A6F33F4" w14:textId="77777777" w:rsidR="008E0F74" w:rsidRPr="00FC3B7C" w:rsidRDefault="00256F29" w:rsidP="00266F2F">
      <w:pPr>
        <w:rPr>
          <w:sz w:val="20"/>
          <w:szCs w:val="20"/>
        </w:rPr>
      </w:pPr>
      <w:r w:rsidRPr="00FC3B7C">
        <w:rPr>
          <w:rFonts w:eastAsia="Times New Roman"/>
          <w:szCs w:val="24"/>
        </w:rPr>
        <w:t>H. Beck, 2003. 392 s. ISBN 8071797383.</w:t>
      </w:r>
    </w:p>
    <w:p w14:paraId="4A6F33F5" w14:textId="77777777" w:rsidR="008E0F74" w:rsidRPr="00FC3B7C" w:rsidRDefault="008E0F74" w:rsidP="00266F2F">
      <w:pPr>
        <w:spacing w:line="137" w:lineRule="exact"/>
        <w:rPr>
          <w:sz w:val="20"/>
          <w:szCs w:val="20"/>
        </w:rPr>
      </w:pPr>
    </w:p>
    <w:p w14:paraId="4A6F33F6" w14:textId="77777777" w:rsidR="008E0F74" w:rsidRPr="00FC3B7C" w:rsidRDefault="00256F29" w:rsidP="00266F2F">
      <w:pPr>
        <w:rPr>
          <w:sz w:val="20"/>
          <w:szCs w:val="20"/>
        </w:rPr>
      </w:pPr>
      <w:r w:rsidRPr="00FC3B7C">
        <w:rPr>
          <w:rFonts w:eastAsia="Times New Roman"/>
          <w:szCs w:val="24"/>
        </w:rPr>
        <w:t xml:space="preserve">Český statistický úřad, [on-line] </w:t>
      </w:r>
      <w:r w:rsidRPr="00FC3B7C">
        <w:rPr>
          <w:rFonts w:eastAsia="Times New Roman"/>
          <w:szCs w:val="24"/>
          <w:u w:val="single"/>
        </w:rPr>
        <w:t>www.czso.cz</w:t>
      </w:r>
      <w:r w:rsidRPr="00FC3B7C">
        <w:rPr>
          <w:rFonts w:eastAsia="Times New Roman"/>
          <w:szCs w:val="24"/>
        </w:rPr>
        <w:t>.</w:t>
      </w:r>
    </w:p>
    <w:p w14:paraId="4A6F33F7" w14:textId="77777777" w:rsidR="008E0F74" w:rsidRPr="00FC3B7C" w:rsidRDefault="008E0F74" w:rsidP="00266F2F">
      <w:pPr>
        <w:spacing w:line="137" w:lineRule="exact"/>
        <w:rPr>
          <w:sz w:val="20"/>
          <w:szCs w:val="20"/>
        </w:rPr>
      </w:pPr>
    </w:p>
    <w:p w14:paraId="4A6F33F8" w14:textId="77777777" w:rsidR="008E0F74" w:rsidRPr="00FC3B7C" w:rsidRDefault="001E5CF1" w:rsidP="00266F2F">
      <w:pPr>
        <w:jc w:val="left"/>
        <w:rPr>
          <w:sz w:val="20"/>
          <w:szCs w:val="20"/>
        </w:rPr>
      </w:pPr>
      <w:r>
        <w:rPr>
          <w:rFonts w:eastAsia="Times New Roman"/>
          <w:szCs w:val="24"/>
        </w:rPr>
        <w:t xml:space="preserve">Finanční </w:t>
      </w:r>
      <w:r w:rsidR="00256F29" w:rsidRPr="00FC3B7C">
        <w:rPr>
          <w:rFonts w:eastAsia="Times New Roman"/>
          <w:szCs w:val="24"/>
        </w:rPr>
        <w:t xml:space="preserve">noviny, [on-line], [cit. 15.10.2013] </w:t>
      </w:r>
      <w:r w:rsidR="00256F29" w:rsidRPr="00FC3B7C">
        <w:rPr>
          <w:rFonts w:eastAsia="Times New Roman"/>
          <w:szCs w:val="24"/>
          <w:u w:val="single"/>
        </w:rPr>
        <w:t>http://www.financninoviny.cz/zpravy/sporici-statni-dluhopisy-mohou-lide-objednat-od-13-kvetna/935018</w:t>
      </w:r>
      <w:r w:rsidR="00256F29" w:rsidRPr="00FC3B7C">
        <w:rPr>
          <w:rFonts w:eastAsia="Times New Roman"/>
          <w:szCs w:val="24"/>
        </w:rPr>
        <w:t xml:space="preserve">. Ministerstvo financí České republiky, [on-line] </w:t>
      </w:r>
      <w:r w:rsidR="00256F29" w:rsidRPr="00FC3B7C">
        <w:rPr>
          <w:rFonts w:eastAsia="Times New Roman"/>
          <w:szCs w:val="24"/>
          <w:u w:val="single"/>
        </w:rPr>
        <w:t>http://www.mfcr.cz</w:t>
      </w:r>
      <w:r w:rsidR="00256F29" w:rsidRPr="00FC3B7C">
        <w:rPr>
          <w:rFonts w:eastAsia="Times New Roman"/>
          <w:szCs w:val="24"/>
        </w:rPr>
        <w:t>.</w:t>
      </w:r>
    </w:p>
    <w:p w14:paraId="4A6F33F9" w14:textId="77777777" w:rsidR="008E0F74" w:rsidRPr="00FC3B7C" w:rsidRDefault="008E0F74" w:rsidP="00266F2F">
      <w:pPr>
        <w:spacing w:line="1" w:lineRule="exact"/>
        <w:rPr>
          <w:sz w:val="20"/>
          <w:szCs w:val="20"/>
        </w:rPr>
      </w:pPr>
    </w:p>
    <w:p w14:paraId="4A6F33FA" w14:textId="77777777" w:rsidR="008E0F74" w:rsidRPr="00FC3B7C" w:rsidRDefault="00256F29" w:rsidP="00266F2F">
      <w:pPr>
        <w:rPr>
          <w:sz w:val="20"/>
          <w:szCs w:val="20"/>
        </w:rPr>
      </w:pPr>
      <w:r w:rsidRPr="00FC3B7C">
        <w:rPr>
          <w:rFonts w:eastAsia="Times New Roman"/>
          <w:szCs w:val="24"/>
        </w:rPr>
        <w:t xml:space="preserve">Veřejný dluh, [on-line] </w:t>
      </w:r>
      <w:r w:rsidRPr="00FC3B7C">
        <w:rPr>
          <w:rFonts w:eastAsia="Times New Roman"/>
          <w:szCs w:val="24"/>
          <w:u w:val="single"/>
        </w:rPr>
        <w:t>http://www.verejnydluh.cz/</w:t>
      </w:r>
      <w:r w:rsidRPr="00FC3B7C">
        <w:rPr>
          <w:rFonts w:eastAsia="Times New Roman"/>
          <w:szCs w:val="24"/>
        </w:rPr>
        <w:t>.</w:t>
      </w:r>
    </w:p>
    <w:p w14:paraId="4A6F33FB" w14:textId="77777777" w:rsidR="008E0F74" w:rsidRPr="00FC3B7C" w:rsidRDefault="008E0F74" w:rsidP="00266F2F">
      <w:pPr>
        <w:spacing w:line="137" w:lineRule="exact"/>
        <w:rPr>
          <w:sz w:val="20"/>
          <w:szCs w:val="20"/>
        </w:rPr>
      </w:pPr>
    </w:p>
    <w:p w14:paraId="4A6F33FC" w14:textId="77777777" w:rsidR="008E0F74" w:rsidRPr="00405026" w:rsidRDefault="00256F29" w:rsidP="00266F2F">
      <w:pPr>
        <w:ind w:right="20"/>
        <w:rPr>
          <w:sz w:val="20"/>
          <w:szCs w:val="20"/>
        </w:rPr>
      </w:pPr>
      <w:r w:rsidRPr="00FC3B7C">
        <w:rPr>
          <w:rFonts w:eastAsia="Times New Roman"/>
          <w:szCs w:val="24"/>
        </w:rPr>
        <w:t xml:space="preserve">Zákony pro lidi, [on-line], [cit. 14.10.2013] </w:t>
      </w:r>
      <w:r w:rsidRPr="00405026">
        <w:rPr>
          <w:rFonts w:eastAsia="Times New Roman"/>
          <w:szCs w:val="24"/>
          <w:u w:val="single"/>
        </w:rPr>
        <w:t>http://www.zakonyprolidi.cz/cs/2012-50</w:t>
      </w:r>
      <w:r w:rsidRPr="00405026">
        <w:rPr>
          <w:rFonts w:eastAsia="Times New Roman"/>
          <w:szCs w:val="24"/>
        </w:rPr>
        <w:t>.</w:t>
      </w:r>
    </w:p>
    <w:p w14:paraId="4A6F33FD" w14:textId="77777777" w:rsidR="008E0F74" w:rsidRPr="00FC3B7C" w:rsidRDefault="008E0F74">
      <w:pPr>
        <w:sectPr w:rsidR="008E0F74" w:rsidRPr="00FC3B7C">
          <w:pgSz w:w="11900" w:h="16840"/>
          <w:pgMar w:top="1386" w:right="1420" w:bottom="1440" w:left="1420" w:header="0" w:footer="0" w:gutter="0"/>
          <w:cols w:space="708" w:equalWidth="0">
            <w:col w:w="9060"/>
          </w:cols>
        </w:sectPr>
      </w:pPr>
    </w:p>
    <w:p w14:paraId="5AFDA281" w14:textId="77777777" w:rsidR="008E4ABB" w:rsidRPr="00266F2F" w:rsidRDefault="008E4ABB" w:rsidP="00266F2F">
      <w:pPr>
        <w:pStyle w:val="Nadpis1"/>
        <w:ind w:left="0" w:hanging="8"/>
        <w:rPr>
          <w:color w:val="1F3864" w:themeColor="accent1" w:themeShade="80"/>
        </w:rPr>
      </w:pPr>
      <w:bookmarkStart w:id="137" w:name="page133"/>
      <w:bookmarkStart w:id="138" w:name="_Toc54254079"/>
      <w:bookmarkEnd w:id="137"/>
      <w:r w:rsidRPr="00266F2F">
        <w:rPr>
          <w:color w:val="1F3864" w:themeColor="accent1" w:themeShade="80"/>
        </w:rPr>
        <w:lastRenderedPageBreak/>
        <w:t>MAKROEKONOMICKÁ HOSPODÁŘSKÁ POLITIKA –MONETÁRNÍ</w:t>
      </w:r>
      <w:bookmarkEnd w:id="138"/>
    </w:p>
    <w:p w14:paraId="4F502759" w14:textId="77777777" w:rsidR="008E4ABB" w:rsidRPr="004B6CDE" w:rsidRDefault="008E4ABB" w:rsidP="005771D4">
      <w:pPr>
        <w:pStyle w:val="Nadpis2"/>
        <w:rPr>
          <w:color w:val="1F3864" w:themeColor="accent1" w:themeShade="80"/>
          <w:sz w:val="20"/>
          <w:szCs w:val="20"/>
        </w:rPr>
      </w:pPr>
      <w:r w:rsidRPr="004B6CDE">
        <w:rPr>
          <w:rFonts w:eastAsia="Times New Roman"/>
          <w:color w:val="1F3864" w:themeColor="accent1" w:themeShade="80"/>
        </w:rPr>
        <w:t>MONETÁRNÍ POLITIKA A JEJÍ CÍLE A NOSITELÉ</w:t>
      </w:r>
    </w:p>
    <w:p w14:paraId="51025E2B" w14:textId="77777777" w:rsidR="008E4ABB" w:rsidRPr="008E4ABB" w:rsidRDefault="008E4ABB" w:rsidP="008E4ABB">
      <w:pPr>
        <w:spacing w:line="232" w:lineRule="exact"/>
        <w:rPr>
          <w:sz w:val="20"/>
          <w:szCs w:val="20"/>
        </w:rPr>
      </w:pPr>
    </w:p>
    <w:p w14:paraId="62E3737B" w14:textId="40BF2135" w:rsidR="008E4ABB" w:rsidRPr="008E4ABB" w:rsidRDefault="008E4ABB" w:rsidP="0007131F">
      <w:pPr>
        <w:spacing w:line="315" w:lineRule="auto"/>
        <w:ind w:left="4" w:firstLine="716"/>
        <w:rPr>
          <w:szCs w:val="20"/>
        </w:rPr>
      </w:pPr>
      <w:r w:rsidRPr="008E4ABB">
        <w:rPr>
          <w:rFonts w:eastAsia="Times New Roman"/>
          <w:szCs w:val="24"/>
        </w:rPr>
        <w:t>Monetární politika je nástrojem hospodářské politiky státu. Je souhrnem opatření a zásad, které mají prostřednictvím měnových nástrojů prosazovat plnění měnových cílů.</w:t>
      </w:r>
      <w:r w:rsidRPr="008E4ABB">
        <w:rPr>
          <w:rFonts w:eastAsia="Times New Roman"/>
          <w:sz w:val="31"/>
          <w:szCs w:val="31"/>
          <w:vertAlign w:val="superscript"/>
        </w:rPr>
        <w:t xml:space="preserve"> </w:t>
      </w:r>
      <w:r w:rsidRPr="008E4ABB">
        <w:rPr>
          <w:rFonts w:eastAsia="Times New Roman"/>
          <w:szCs w:val="24"/>
        </w:rPr>
        <w:t xml:space="preserve">Nositelem měnové politiky je CB – má zejména zabezpečit stabilitu české měny. </w:t>
      </w:r>
      <w:r w:rsidRPr="008E4ABB">
        <w:rPr>
          <w:szCs w:val="20"/>
        </w:rPr>
        <w:t>Dokud platil zlatý standard bankovek, CB nerozhodovala o velikosti peněžní zásoby. Až když byl zlatý standard zrušen, začala CB používat nástroje k dosažení cílů.</w:t>
      </w:r>
      <w:r w:rsidR="003376E1">
        <w:rPr>
          <w:szCs w:val="20"/>
        </w:rPr>
        <w:t xml:space="preserve"> </w:t>
      </w:r>
      <w:r w:rsidRPr="008E4ABB">
        <w:rPr>
          <w:szCs w:val="20"/>
        </w:rPr>
        <w:t>Měnová politika závisí na závislosti CB na vládě. Když je závislá, přizpůsobuje se měnová politika zájmům státního rozpočtu. Česká banka je jedna z nejvíc nezávislých. Existují ale i nevýhody nezávislé banky – třeba politikové, kteří jsou voleni občany, pociťují vyšší zodpovědnost, protože nechtějí zklamat voliče, ale centrální bankéři nejsou nikomu příliš zodpovědní – ani vládě, ani voličům. Navíc měnové politice málokdo rozumí. Lidé si většinou nespojí např. inflaci, nebo nezaměstnanost s politikou CB. Spíš všichni viní vládu. Jen musí podávat parlamentu alespoň 2x ročně podat zprávu o měnovém vývoji a jednou za 3 měsíce informovat o měnovém vývoji veřejnost.</w:t>
      </w:r>
      <w:r w:rsidR="003376E1">
        <w:rPr>
          <w:szCs w:val="20"/>
        </w:rPr>
        <w:t xml:space="preserve"> </w:t>
      </w:r>
      <w:r w:rsidRPr="008E4ABB">
        <w:rPr>
          <w:rFonts w:eastAsia="Times New Roman"/>
          <w:szCs w:val="24"/>
        </w:rPr>
        <w:t>Mezi ekonomy dodnes existují tací, kteří instituci CB odmítají. Nejvýrazněji se proti ní vyjadřovala Rakouská škola v čele s F. A. Hayekem. Ten nepotřebnost CB vysvětloval i na základě své teorie rozptýlených znalostí.</w:t>
      </w:r>
    </w:p>
    <w:p w14:paraId="4AD22A0C" w14:textId="77777777" w:rsidR="008E4ABB" w:rsidRPr="008E4ABB" w:rsidRDefault="008E4ABB" w:rsidP="008E4ABB">
      <w:pPr>
        <w:spacing w:line="315" w:lineRule="auto"/>
        <w:ind w:left="4"/>
        <w:rPr>
          <w:rFonts w:eastAsia="Times New Roman"/>
          <w:szCs w:val="24"/>
        </w:rPr>
      </w:pPr>
    </w:p>
    <w:p w14:paraId="7BA3EB91" w14:textId="77777777" w:rsidR="008E4ABB" w:rsidRPr="008E4ABB" w:rsidRDefault="008E4ABB" w:rsidP="0007131F">
      <w:pPr>
        <w:spacing w:line="315" w:lineRule="auto"/>
        <w:ind w:left="4" w:firstLine="716"/>
        <w:rPr>
          <w:sz w:val="20"/>
          <w:szCs w:val="20"/>
        </w:rPr>
      </w:pPr>
      <w:r w:rsidRPr="008E4ABB">
        <w:rPr>
          <w:rFonts w:eastAsia="Times New Roman"/>
          <w:szCs w:val="24"/>
        </w:rPr>
        <w:t>Cíle monetární politiky jsou operační, zprostředkující a konečné. Operační (úroková míra na peněžním trhu, bankovní rezervy) a zprostředkující cíle působí jako mezičlánky k dosažení cílů konečných.</w:t>
      </w:r>
    </w:p>
    <w:p w14:paraId="5A911861" w14:textId="77777777" w:rsidR="008E4ABB" w:rsidRPr="008E4ABB" w:rsidRDefault="008E4ABB" w:rsidP="008E4ABB">
      <w:pPr>
        <w:spacing w:line="3" w:lineRule="exact"/>
        <w:rPr>
          <w:sz w:val="20"/>
          <w:szCs w:val="20"/>
        </w:rPr>
      </w:pPr>
    </w:p>
    <w:p w14:paraId="0B612113" w14:textId="77777777" w:rsidR="008E4ABB" w:rsidRPr="008E4ABB" w:rsidRDefault="008E4ABB" w:rsidP="008E4ABB">
      <w:pPr>
        <w:ind w:left="4"/>
        <w:rPr>
          <w:sz w:val="20"/>
          <w:szCs w:val="20"/>
        </w:rPr>
      </w:pPr>
      <w:r w:rsidRPr="008E4ABB">
        <w:rPr>
          <w:rFonts w:eastAsia="Times New Roman"/>
          <w:szCs w:val="24"/>
          <w:u w:val="single"/>
        </w:rPr>
        <w:t>Konečnými cíli monetární politiky jsou:</w:t>
      </w:r>
    </w:p>
    <w:p w14:paraId="283E9598" w14:textId="77777777" w:rsidR="008E4ABB" w:rsidRPr="008E4ABB" w:rsidRDefault="008E4ABB" w:rsidP="00270319">
      <w:pPr>
        <w:numPr>
          <w:ilvl w:val="0"/>
          <w:numId w:val="118"/>
        </w:numPr>
        <w:tabs>
          <w:tab w:val="left" w:pos="724"/>
        </w:tabs>
        <w:spacing w:line="368" w:lineRule="auto"/>
        <w:ind w:left="709" w:right="40" w:hanging="283"/>
        <w:rPr>
          <w:rFonts w:eastAsia="Arial"/>
          <w:szCs w:val="24"/>
        </w:rPr>
      </w:pPr>
      <w:r w:rsidRPr="008E4ABB">
        <w:rPr>
          <w:rFonts w:eastAsia="Times New Roman"/>
          <w:b/>
          <w:bCs/>
          <w:szCs w:val="24"/>
        </w:rPr>
        <w:t xml:space="preserve">stabilita cenové hladiny </w:t>
      </w:r>
      <w:r w:rsidRPr="008E4ABB">
        <w:rPr>
          <w:rFonts w:eastAsia="Times New Roman"/>
          <w:szCs w:val="24"/>
        </w:rPr>
        <w:t>(</w:t>
      </w:r>
      <w:r w:rsidRPr="008E4ABB">
        <w:rPr>
          <w:rFonts w:eastAsia="Times New Roman"/>
          <w:i/>
          <w:iCs/>
          <w:szCs w:val="24"/>
        </w:rPr>
        <w:t>hlavní cíl</w:t>
      </w:r>
      <w:r w:rsidRPr="008E4ABB">
        <w:rPr>
          <w:rFonts w:eastAsia="Times New Roman"/>
          <w:b/>
          <w:bCs/>
          <w:szCs w:val="24"/>
        </w:rPr>
        <w:t xml:space="preserve"> </w:t>
      </w:r>
      <w:r w:rsidRPr="008E4ABB">
        <w:rPr>
          <w:rFonts w:eastAsia="Times New Roman"/>
          <w:i/>
          <w:iCs/>
          <w:szCs w:val="24"/>
        </w:rPr>
        <w:t>ČNB dle</w:t>
      </w:r>
      <w:r w:rsidRPr="008E4ABB">
        <w:rPr>
          <w:rFonts w:eastAsia="Times New Roman"/>
          <w:b/>
          <w:bCs/>
          <w:szCs w:val="24"/>
        </w:rPr>
        <w:t xml:space="preserve"> </w:t>
      </w:r>
      <w:r w:rsidRPr="008E4ABB">
        <w:rPr>
          <w:rFonts w:eastAsia="Times New Roman"/>
          <w:i/>
          <w:iCs/>
          <w:szCs w:val="24"/>
        </w:rPr>
        <w:t>článku 98 Ústavy</w:t>
      </w:r>
      <w:r w:rsidRPr="008E4ABB">
        <w:rPr>
          <w:rFonts w:eastAsia="Times New Roman"/>
          <w:b/>
          <w:bCs/>
          <w:szCs w:val="24"/>
        </w:rPr>
        <w:t xml:space="preserve"> </w:t>
      </w:r>
      <w:r w:rsidRPr="008E4ABB">
        <w:rPr>
          <w:rFonts w:eastAsia="Times New Roman"/>
          <w:i/>
          <w:iCs/>
          <w:szCs w:val="24"/>
        </w:rPr>
        <w:t>ČR a § 2 zákona</w:t>
      </w:r>
      <w:r w:rsidRPr="008E4ABB">
        <w:rPr>
          <w:rFonts w:eastAsia="Times New Roman"/>
          <w:b/>
          <w:bCs/>
          <w:szCs w:val="24"/>
        </w:rPr>
        <w:t xml:space="preserve"> </w:t>
      </w:r>
      <w:r w:rsidRPr="008E4ABB">
        <w:rPr>
          <w:rFonts w:eastAsia="Times New Roman"/>
          <w:b/>
          <w:bCs/>
          <w:szCs w:val="24"/>
        </w:rPr>
        <w:br/>
      </w:r>
      <w:r w:rsidRPr="008E4ABB">
        <w:rPr>
          <w:rFonts w:eastAsia="Times New Roman"/>
          <w:i/>
          <w:iCs/>
          <w:szCs w:val="24"/>
        </w:rPr>
        <w:t>č.</w:t>
      </w:r>
      <w:r w:rsidRPr="008E4ABB">
        <w:rPr>
          <w:rFonts w:eastAsia="Times New Roman"/>
          <w:b/>
          <w:bCs/>
          <w:szCs w:val="24"/>
        </w:rPr>
        <w:t xml:space="preserve"> </w:t>
      </w:r>
      <w:r w:rsidRPr="008E4ABB">
        <w:rPr>
          <w:rFonts w:eastAsia="Times New Roman"/>
          <w:i/>
          <w:iCs/>
          <w:szCs w:val="24"/>
        </w:rPr>
        <w:t>6/1993 Sb., o České národní bance</w:t>
      </w:r>
      <w:r w:rsidRPr="008E4ABB">
        <w:rPr>
          <w:rFonts w:eastAsia="Times New Roman"/>
          <w:szCs w:val="24"/>
        </w:rPr>
        <w:t>),</w:t>
      </w:r>
    </w:p>
    <w:p w14:paraId="03FDAAD6" w14:textId="77777777" w:rsidR="008E4ABB" w:rsidRPr="008E4ABB" w:rsidRDefault="008E4ABB" w:rsidP="005771D4">
      <w:pPr>
        <w:spacing w:line="2" w:lineRule="exact"/>
        <w:ind w:left="709" w:hanging="283"/>
        <w:rPr>
          <w:rFonts w:eastAsia="Arial"/>
          <w:szCs w:val="24"/>
        </w:rPr>
      </w:pPr>
    </w:p>
    <w:p w14:paraId="358F7337" w14:textId="77777777" w:rsidR="008E4ABB" w:rsidRPr="008E4ABB" w:rsidRDefault="008E4ABB" w:rsidP="00270319">
      <w:pPr>
        <w:numPr>
          <w:ilvl w:val="0"/>
          <w:numId w:val="118"/>
        </w:numPr>
        <w:tabs>
          <w:tab w:val="left" w:pos="724"/>
        </w:tabs>
        <w:ind w:left="709" w:hanging="283"/>
        <w:rPr>
          <w:rFonts w:eastAsia="Arial"/>
          <w:szCs w:val="24"/>
        </w:rPr>
      </w:pPr>
      <w:r w:rsidRPr="008E4ABB">
        <w:rPr>
          <w:rFonts w:eastAsia="Times New Roman"/>
          <w:szCs w:val="24"/>
        </w:rPr>
        <w:t>vyrovnaná bilance zboží a služeb,</w:t>
      </w:r>
    </w:p>
    <w:p w14:paraId="5B43C38B" w14:textId="77777777" w:rsidR="008E4ABB" w:rsidRPr="008E4ABB" w:rsidRDefault="008E4ABB" w:rsidP="00270319">
      <w:pPr>
        <w:numPr>
          <w:ilvl w:val="0"/>
          <w:numId w:val="118"/>
        </w:numPr>
        <w:tabs>
          <w:tab w:val="left" w:pos="724"/>
        </w:tabs>
        <w:ind w:left="709" w:hanging="283"/>
        <w:rPr>
          <w:rFonts w:eastAsia="Arial"/>
          <w:szCs w:val="24"/>
        </w:rPr>
      </w:pPr>
      <w:r w:rsidRPr="008E4ABB">
        <w:rPr>
          <w:rFonts w:eastAsia="Times New Roman"/>
          <w:szCs w:val="24"/>
        </w:rPr>
        <w:t>nízká nezaměstnanost.</w:t>
      </w:r>
    </w:p>
    <w:p w14:paraId="51B19F09" w14:textId="77777777" w:rsidR="008E4ABB" w:rsidRPr="008E4ABB" w:rsidRDefault="008E4ABB" w:rsidP="008E4ABB">
      <w:pPr>
        <w:tabs>
          <w:tab w:val="left" w:pos="724"/>
        </w:tabs>
        <w:rPr>
          <w:rFonts w:eastAsia="Arial"/>
          <w:szCs w:val="24"/>
        </w:rPr>
      </w:pPr>
      <w:r w:rsidRPr="008E4ABB">
        <w:rPr>
          <w:rFonts w:eastAsia="Arial"/>
          <w:szCs w:val="24"/>
        </w:rPr>
        <w:t xml:space="preserve">Tyto tři konečné cíle ale nejsou slučitelné. </w:t>
      </w:r>
    </w:p>
    <w:p w14:paraId="262EF98F" w14:textId="77777777" w:rsidR="008E4ABB" w:rsidRPr="008E4ABB" w:rsidRDefault="008E4ABB" w:rsidP="008E4ABB">
      <w:pPr>
        <w:ind w:left="4"/>
        <w:rPr>
          <w:sz w:val="20"/>
          <w:szCs w:val="20"/>
        </w:rPr>
      </w:pPr>
      <w:r w:rsidRPr="008E4ABB">
        <w:rPr>
          <w:rFonts w:eastAsia="Times New Roman"/>
          <w:szCs w:val="24"/>
        </w:rPr>
        <w:t xml:space="preserve">Těchto cílů je dosaženo pomocí tzv. </w:t>
      </w:r>
      <w:r w:rsidRPr="008E4ABB">
        <w:rPr>
          <w:rFonts w:eastAsia="Times New Roman"/>
          <w:b/>
          <w:bCs/>
          <w:szCs w:val="24"/>
        </w:rPr>
        <w:t>zprostředkujících cílů</w:t>
      </w:r>
      <w:r w:rsidRPr="008E4ABB">
        <w:rPr>
          <w:rFonts w:eastAsia="Times New Roman"/>
          <w:szCs w:val="24"/>
        </w:rPr>
        <w:t>, kterými mohou být:</w:t>
      </w:r>
    </w:p>
    <w:p w14:paraId="73289BE4" w14:textId="77777777" w:rsidR="008E4ABB" w:rsidRPr="008E4ABB" w:rsidRDefault="008E4ABB" w:rsidP="008E4ABB">
      <w:pPr>
        <w:spacing w:line="143" w:lineRule="exact"/>
        <w:rPr>
          <w:sz w:val="20"/>
          <w:szCs w:val="20"/>
        </w:rPr>
      </w:pPr>
    </w:p>
    <w:p w14:paraId="77F17BD3" w14:textId="77777777" w:rsidR="008E4ABB" w:rsidRPr="008E4ABB" w:rsidRDefault="008E4ABB" w:rsidP="00270319">
      <w:pPr>
        <w:numPr>
          <w:ilvl w:val="0"/>
          <w:numId w:val="119"/>
        </w:numPr>
        <w:tabs>
          <w:tab w:val="left" w:pos="724"/>
        </w:tabs>
        <w:ind w:left="709" w:hanging="283"/>
        <w:rPr>
          <w:rFonts w:eastAsia="Times New Roman"/>
          <w:szCs w:val="24"/>
        </w:rPr>
      </w:pPr>
      <w:r w:rsidRPr="008E4ABB">
        <w:rPr>
          <w:rFonts w:eastAsia="Times New Roman"/>
          <w:szCs w:val="24"/>
        </w:rPr>
        <w:t>úroková míra na kapitálovém trhu (krátkodobá i dlouhodobá),</w:t>
      </w:r>
    </w:p>
    <w:p w14:paraId="0628538E" w14:textId="77777777" w:rsidR="008E4ABB" w:rsidRPr="008E4ABB" w:rsidRDefault="008E4ABB" w:rsidP="005771D4">
      <w:pPr>
        <w:spacing w:line="141" w:lineRule="exact"/>
        <w:ind w:left="709" w:hanging="283"/>
        <w:rPr>
          <w:rFonts w:eastAsia="Times New Roman"/>
          <w:szCs w:val="24"/>
        </w:rPr>
      </w:pPr>
    </w:p>
    <w:p w14:paraId="541A127A" w14:textId="77777777" w:rsidR="008E4ABB" w:rsidRPr="008E4ABB" w:rsidRDefault="008E4ABB" w:rsidP="00270319">
      <w:pPr>
        <w:numPr>
          <w:ilvl w:val="0"/>
          <w:numId w:val="119"/>
        </w:numPr>
        <w:tabs>
          <w:tab w:val="left" w:pos="724"/>
        </w:tabs>
        <w:ind w:left="709" w:hanging="283"/>
        <w:rPr>
          <w:rFonts w:eastAsia="Times New Roman"/>
          <w:szCs w:val="24"/>
        </w:rPr>
      </w:pPr>
      <w:r w:rsidRPr="008E4ABB">
        <w:rPr>
          <w:rFonts w:eastAsia="Times New Roman"/>
          <w:szCs w:val="24"/>
        </w:rPr>
        <w:t>měnový kurz,</w:t>
      </w:r>
    </w:p>
    <w:p w14:paraId="0743AC63" w14:textId="77777777" w:rsidR="008E4ABB" w:rsidRPr="008E4ABB" w:rsidRDefault="008E4ABB" w:rsidP="005771D4">
      <w:pPr>
        <w:spacing w:line="132" w:lineRule="exact"/>
        <w:ind w:left="709" w:hanging="283"/>
        <w:rPr>
          <w:rFonts w:eastAsia="Times New Roman"/>
          <w:szCs w:val="24"/>
        </w:rPr>
      </w:pPr>
    </w:p>
    <w:p w14:paraId="4A39122E" w14:textId="77777777" w:rsidR="008E4ABB" w:rsidRPr="008E4ABB" w:rsidRDefault="008E4ABB" w:rsidP="00270319">
      <w:pPr>
        <w:numPr>
          <w:ilvl w:val="0"/>
          <w:numId w:val="119"/>
        </w:numPr>
        <w:tabs>
          <w:tab w:val="left" w:pos="724"/>
        </w:tabs>
        <w:ind w:left="709" w:hanging="283"/>
        <w:rPr>
          <w:rFonts w:eastAsia="Times New Roman"/>
          <w:szCs w:val="24"/>
        </w:rPr>
      </w:pPr>
      <w:r w:rsidRPr="008E4ABB">
        <w:rPr>
          <w:rFonts w:eastAsia="Times New Roman"/>
          <w:szCs w:val="24"/>
        </w:rPr>
        <w:t>peněžní zásoba.</w:t>
      </w:r>
    </w:p>
    <w:p w14:paraId="0A7B3BBE" w14:textId="77777777" w:rsidR="008E4ABB" w:rsidRPr="008E4ABB" w:rsidRDefault="008E4ABB" w:rsidP="008E4ABB">
      <w:pPr>
        <w:spacing w:line="343" w:lineRule="exact"/>
        <w:rPr>
          <w:sz w:val="20"/>
          <w:szCs w:val="20"/>
        </w:rPr>
      </w:pPr>
    </w:p>
    <w:p w14:paraId="34AF9103" w14:textId="77777777" w:rsidR="008E4ABB" w:rsidRPr="008E4ABB" w:rsidRDefault="008E4ABB" w:rsidP="00270319">
      <w:pPr>
        <w:numPr>
          <w:ilvl w:val="0"/>
          <w:numId w:val="120"/>
        </w:numPr>
        <w:tabs>
          <w:tab w:val="left" w:pos="237"/>
        </w:tabs>
        <w:spacing w:line="358" w:lineRule="auto"/>
        <w:ind w:right="3280"/>
        <w:rPr>
          <w:rFonts w:eastAsia="Times New Roman"/>
          <w:szCs w:val="24"/>
        </w:rPr>
      </w:pPr>
      <w:r w:rsidRPr="008E4ABB">
        <w:rPr>
          <w:rFonts w:eastAsia="Times New Roman"/>
          <w:szCs w:val="24"/>
        </w:rPr>
        <w:lastRenderedPageBreak/>
        <w:t>dosažení těchto cílů používá CB přímé a nepřímé nástroje. Další cíle jsou pak:</w:t>
      </w:r>
    </w:p>
    <w:p w14:paraId="4E5AE147" w14:textId="77777777" w:rsidR="008E4ABB" w:rsidRPr="008E4ABB" w:rsidRDefault="008E4ABB" w:rsidP="008E4ABB">
      <w:pPr>
        <w:spacing w:line="2" w:lineRule="exact"/>
        <w:rPr>
          <w:rFonts w:eastAsia="Times New Roman"/>
          <w:szCs w:val="24"/>
        </w:rPr>
      </w:pPr>
    </w:p>
    <w:p w14:paraId="0F813BAF" w14:textId="77777777" w:rsidR="008E4ABB" w:rsidRPr="008E4ABB" w:rsidRDefault="008E4ABB" w:rsidP="00270319">
      <w:pPr>
        <w:numPr>
          <w:ilvl w:val="1"/>
          <w:numId w:val="120"/>
        </w:numPr>
        <w:tabs>
          <w:tab w:val="left" w:pos="724"/>
        </w:tabs>
        <w:ind w:left="709" w:hanging="283"/>
        <w:rPr>
          <w:rFonts w:eastAsia="Times New Roman"/>
          <w:szCs w:val="24"/>
        </w:rPr>
      </w:pPr>
      <w:r w:rsidRPr="008E4ABB">
        <w:rPr>
          <w:rFonts w:eastAsia="Times New Roman"/>
          <w:szCs w:val="24"/>
        </w:rPr>
        <w:t>stabilita a likvidita bankovního sektoru,</w:t>
      </w:r>
    </w:p>
    <w:p w14:paraId="6BDB68B6" w14:textId="77777777" w:rsidR="008E4ABB" w:rsidRPr="008E4ABB" w:rsidRDefault="008E4ABB" w:rsidP="005771D4">
      <w:pPr>
        <w:spacing w:line="136" w:lineRule="exact"/>
        <w:ind w:left="709" w:hanging="283"/>
        <w:rPr>
          <w:rFonts w:eastAsia="Times New Roman"/>
          <w:szCs w:val="24"/>
        </w:rPr>
      </w:pPr>
    </w:p>
    <w:p w14:paraId="5B4CFA89" w14:textId="77777777" w:rsidR="008E4ABB" w:rsidRPr="008E4ABB" w:rsidRDefault="008E4ABB" w:rsidP="00270319">
      <w:pPr>
        <w:numPr>
          <w:ilvl w:val="1"/>
          <w:numId w:val="120"/>
        </w:numPr>
        <w:tabs>
          <w:tab w:val="left" w:pos="724"/>
        </w:tabs>
        <w:ind w:left="709" w:hanging="283"/>
        <w:rPr>
          <w:rFonts w:eastAsia="Times New Roman"/>
          <w:szCs w:val="24"/>
        </w:rPr>
      </w:pPr>
      <w:r w:rsidRPr="008E4ABB">
        <w:rPr>
          <w:rFonts w:eastAsia="Times New Roman"/>
          <w:szCs w:val="24"/>
        </w:rPr>
        <w:t>stabilizace devizového kurzu,</w:t>
      </w:r>
    </w:p>
    <w:p w14:paraId="333453AE" w14:textId="77777777" w:rsidR="008E4ABB" w:rsidRPr="008E4ABB" w:rsidRDefault="008E4ABB" w:rsidP="005771D4">
      <w:pPr>
        <w:spacing w:line="136" w:lineRule="exact"/>
        <w:ind w:left="709" w:hanging="283"/>
        <w:rPr>
          <w:rFonts w:eastAsia="Times New Roman"/>
          <w:szCs w:val="24"/>
        </w:rPr>
      </w:pPr>
    </w:p>
    <w:p w14:paraId="797B01FD" w14:textId="77777777" w:rsidR="008E4ABB" w:rsidRPr="008E4ABB" w:rsidRDefault="008E4ABB" w:rsidP="00270319">
      <w:pPr>
        <w:numPr>
          <w:ilvl w:val="1"/>
          <w:numId w:val="120"/>
        </w:numPr>
        <w:tabs>
          <w:tab w:val="left" w:pos="724"/>
        </w:tabs>
        <w:ind w:left="709" w:hanging="283"/>
        <w:rPr>
          <w:rFonts w:eastAsia="Times New Roman"/>
          <w:szCs w:val="24"/>
        </w:rPr>
      </w:pPr>
      <w:r w:rsidRPr="008E4ABB">
        <w:rPr>
          <w:rFonts w:eastAsia="Times New Roman"/>
          <w:szCs w:val="24"/>
        </w:rPr>
        <w:t>podpora hospodářského růstu.</w:t>
      </w:r>
    </w:p>
    <w:p w14:paraId="7F08478F" w14:textId="77777777" w:rsidR="008E4ABB" w:rsidRPr="008E4ABB" w:rsidRDefault="008E4ABB" w:rsidP="008E4ABB">
      <w:pPr>
        <w:spacing w:line="371" w:lineRule="exact"/>
        <w:rPr>
          <w:sz w:val="20"/>
          <w:szCs w:val="20"/>
        </w:rPr>
      </w:pPr>
    </w:p>
    <w:p w14:paraId="7BAE3481" w14:textId="77777777" w:rsidR="008E4ABB" w:rsidRPr="00266F2F" w:rsidRDefault="008E4ABB" w:rsidP="00F47DAD">
      <w:pPr>
        <w:pStyle w:val="Nadpis3"/>
        <w:rPr>
          <w:color w:val="1F3864" w:themeColor="accent1" w:themeShade="80"/>
          <w:sz w:val="20"/>
          <w:szCs w:val="20"/>
        </w:rPr>
      </w:pPr>
      <w:r w:rsidRPr="00266F2F">
        <w:rPr>
          <w:rFonts w:eastAsia="Times New Roman"/>
          <w:color w:val="1F3864" w:themeColor="accent1" w:themeShade="80"/>
        </w:rPr>
        <w:t>Nositelé monetární politiky</w:t>
      </w:r>
    </w:p>
    <w:p w14:paraId="652126EE" w14:textId="77777777" w:rsidR="008E4ABB" w:rsidRPr="008E4ABB" w:rsidRDefault="008E4ABB" w:rsidP="0007131F">
      <w:pPr>
        <w:spacing w:line="378" w:lineRule="auto"/>
        <w:ind w:left="4" w:right="20" w:firstLine="716"/>
        <w:rPr>
          <w:sz w:val="20"/>
          <w:szCs w:val="20"/>
        </w:rPr>
      </w:pPr>
      <w:r w:rsidRPr="008E4ABB">
        <w:rPr>
          <w:rFonts w:eastAsia="Times New Roman"/>
          <w:szCs w:val="24"/>
        </w:rPr>
        <w:t xml:space="preserve">Nositelem MP je téměř vždy centrální banka, jež je ve většině demokratických zemí s tržní ekonomikou v rukou státu. Výjimkou, kdy je centrální banka v soukromém nebo smíšeném vlastnictví, jsou např. Spojené státy (FED), Japonsko (BOJ), nebo Švýcarsko (SNB). Některé země jako např. Andorra, Monako nebo San Marino však nemají vlastní CB, a proto využívají CB jiného státu. </w:t>
      </w:r>
    </w:p>
    <w:p w14:paraId="43DF7238" w14:textId="77777777" w:rsidR="008E4ABB" w:rsidRPr="00266F2F" w:rsidRDefault="008E4ABB" w:rsidP="00F47DAD">
      <w:pPr>
        <w:pStyle w:val="Nadpis2"/>
        <w:rPr>
          <w:color w:val="1F3864" w:themeColor="accent1" w:themeShade="80"/>
          <w:sz w:val="20"/>
          <w:szCs w:val="20"/>
        </w:rPr>
      </w:pPr>
      <w:r w:rsidRPr="00266F2F">
        <w:rPr>
          <w:rFonts w:eastAsia="Times New Roman"/>
          <w:color w:val="1F3864" w:themeColor="accent1" w:themeShade="80"/>
        </w:rPr>
        <w:t>TYPY MONETÁRNÍ POLITIKY</w:t>
      </w:r>
    </w:p>
    <w:p w14:paraId="6E2DAE8D" w14:textId="77777777" w:rsidR="008E4ABB" w:rsidRPr="00266F2F" w:rsidRDefault="008E4ABB" w:rsidP="00F47DAD">
      <w:pPr>
        <w:pStyle w:val="Nadpis3"/>
        <w:rPr>
          <w:color w:val="1F3864" w:themeColor="accent1" w:themeShade="80"/>
          <w:sz w:val="20"/>
          <w:szCs w:val="20"/>
        </w:rPr>
      </w:pPr>
      <w:r w:rsidRPr="00266F2F">
        <w:rPr>
          <w:rFonts w:eastAsia="Times New Roman"/>
          <w:color w:val="1F3864" w:themeColor="accent1" w:themeShade="80"/>
        </w:rPr>
        <w:t>Typy monetární politiky:</w:t>
      </w:r>
    </w:p>
    <w:p w14:paraId="698E39C0" w14:textId="77777777" w:rsidR="008E4ABB" w:rsidRPr="008E4ABB" w:rsidRDefault="008E4ABB" w:rsidP="00270319">
      <w:pPr>
        <w:numPr>
          <w:ilvl w:val="0"/>
          <w:numId w:val="121"/>
        </w:numPr>
        <w:tabs>
          <w:tab w:val="left" w:pos="724"/>
        </w:tabs>
        <w:ind w:left="709" w:hanging="283"/>
        <w:rPr>
          <w:rFonts w:eastAsia="Times New Roman"/>
        </w:rPr>
      </w:pPr>
      <w:r w:rsidRPr="008E4ABB">
        <w:rPr>
          <w:rFonts w:eastAsia="Times New Roman"/>
          <w:b/>
          <w:bCs/>
          <w:szCs w:val="24"/>
        </w:rPr>
        <w:t xml:space="preserve">Expanzivní </w:t>
      </w:r>
      <w:r w:rsidRPr="008E4ABB">
        <w:rPr>
          <w:rFonts w:eastAsia="Times New Roman"/>
          <w:szCs w:val="24"/>
        </w:rPr>
        <w:t>- spočívá v poklesu úrokových sazeb a růstu peněžní zásoby</w:t>
      </w:r>
    </w:p>
    <w:p w14:paraId="104A7590" w14:textId="77777777" w:rsidR="008E4ABB" w:rsidRPr="008E4ABB" w:rsidRDefault="008E4ABB" w:rsidP="00270319">
      <w:pPr>
        <w:numPr>
          <w:ilvl w:val="0"/>
          <w:numId w:val="121"/>
        </w:numPr>
        <w:tabs>
          <w:tab w:val="left" w:pos="724"/>
        </w:tabs>
        <w:ind w:left="709" w:hanging="283"/>
        <w:rPr>
          <w:rFonts w:eastAsia="Times New Roman"/>
        </w:rPr>
      </w:pPr>
      <w:r w:rsidRPr="008E4ABB">
        <w:rPr>
          <w:rFonts w:eastAsia="Times New Roman"/>
          <w:b/>
          <w:bCs/>
          <w:szCs w:val="24"/>
        </w:rPr>
        <w:t xml:space="preserve">Restriktivní </w:t>
      </w:r>
      <w:r w:rsidRPr="008E4ABB">
        <w:rPr>
          <w:rFonts w:eastAsia="Times New Roman"/>
          <w:szCs w:val="24"/>
        </w:rPr>
        <w:t>- spočívá v růstu úrokových sazeb a poklesu peněžní zásoby</w:t>
      </w:r>
    </w:p>
    <w:p w14:paraId="138CBDA1" w14:textId="77777777" w:rsidR="008E4ABB" w:rsidRPr="008E4ABB" w:rsidRDefault="008E4ABB" w:rsidP="00270319">
      <w:pPr>
        <w:numPr>
          <w:ilvl w:val="0"/>
          <w:numId w:val="121"/>
        </w:numPr>
        <w:tabs>
          <w:tab w:val="left" w:pos="724"/>
        </w:tabs>
        <w:spacing w:line="395" w:lineRule="auto"/>
        <w:ind w:left="709" w:right="40" w:hanging="283"/>
        <w:rPr>
          <w:rFonts w:eastAsia="Times New Roman"/>
          <w:szCs w:val="24"/>
        </w:rPr>
      </w:pPr>
      <w:r w:rsidRPr="008E4ABB">
        <w:rPr>
          <w:rFonts w:eastAsia="Times New Roman"/>
          <w:b/>
          <w:bCs/>
          <w:szCs w:val="24"/>
        </w:rPr>
        <w:t xml:space="preserve">Neutrální </w:t>
      </w:r>
      <w:r w:rsidRPr="008E4ABB">
        <w:rPr>
          <w:rFonts w:eastAsia="Times New Roman"/>
          <w:szCs w:val="24"/>
        </w:rPr>
        <w:t>- taková stabilizace tempa růstu peněžní zásoby, která nevede k růstu nebo</w:t>
      </w:r>
      <w:r w:rsidRPr="008E4ABB">
        <w:rPr>
          <w:rFonts w:eastAsia="Times New Roman"/>
          <w:b/>
          <w:bCs/>
          <w:szCs w:val="24"/>
        </w:rPr>
        <w:t xml:space="preserve"> </w:t>
      </w:r>
      <w:r w:rsidRPr="008E4ABB">
        <w:rPr>
          <w:rFonts w:eastAsia="Times New Roman"/>
          <w:szCs w:val="24"/>
        </w:rPr>
        <w:t>poklesu cenové hladiny</w:t>
      </w:r>
    </w:p>
    <w:p w14:paraId="19537254" w14:textId="77777777" w:rsidR="008E4ABB" w:rsidRPr="008E4ABB" w:rsidRDefault="008E4ABB" w:rsidP="008E4ABB">
      <w:pPr>
        <w:spacing w:line="162" w:lineRule="exact"/>
        <w:rPr>
          <w:sz w:val="20"/>
          <w:szCs w:val="20"/>
        </w:rPr>
      </w:pPr>
    </w:p>
    <w:p w14:paraId="3155B3C5" w14:textId="77777777" w:rsidR="008E4ABB" w:rsidRPr="00266F2F" w:rsidRDefault="008E4ABB" w:rsidP="00F47DAD">
      <w:pPr>
        <w:pStyle w:val="Nadpis4"/>
        <w:rPr>
          <w:color w:val="1F3864" w:themeColor="accent1" w:themeShade="80"/>
          <w:sz w:val="20"/>
          <w:szCs w:val="20"/>
        </w:rPr>
      </w:pPr>
      <w:r w:rsidRPr="00266F2F">
        <w:rPr>
          <w:rFonts w:eastAsia="Times New Roman"/>
          <w:color w:val="1F3864" w:themeColor="accent1" w:themeShade="80"/>
        </w:rPr>
        <w:t>Expanzivní monetární politika</w:t>
      </w:r>
    </w:p>
    <w:p w14:paraId="3FDE4955" w14:textId="77777777" w:rsidR="008E4ABB" w:rsidRPr="008E4ABB" w:rsidRDefault="008E4ABB" w:rsidP="0007131F">
      <w:pPr>
        <w:spacing w:line="356" w:lineRule="auto"/>
        <w:ind w:left="568" w:right="20" w:firstLine="716"/>
        <w:rPr>
          <w:sz w:val="20"/>
          <w:szCs w:val="20"/>
        </w:rPr>
      </w:pPr>
      <w:r w:rsidRPr="008E4ABB">
        <w:rPr>
          <w:rFonts w:eastAsia="Times New Roman"/>
          <w:szCs w:val="24"/>
        </w:rPr>
        <w:t>Je charakterizována zvyšováním nabídky peněz v ekonomice → snižování úrokových sazeb → růst I, C a v některých případech i NX → pozitivní stimulace AD</w:t>
      </w:r>
    </w:p>
    <w:p w14:paraId="4DB027A2" w14:textId="77777777" w:rsidR="008E4ABB" w:rsidRPr="008E4ABB" w:rsidRDefault="008E4ABB" w:rsidP="008E4ABB">
      <w:pPr>
        <w:spacing w:line="1" w:lineRule="exact"/>
        <w:rPr>
          <w:sz w:val="20"/>
          <w:szCs w:val="20"/>
        </w:rPr>
      </w:pPr>
    </w:p>
    <w:p w14:paraId="79ED3EF3" w14:textId="77777777" w:rsidR="008E4ABB" w:rsidRPr="008E4ABB" w:rsidRDefault="008E4ABB" w:rsidP="00270319">
      <w:pPr>
        <w:numPr>
          <w:ilvl w:val="0"/>
          <w:numId w:val="122"/>
        </w:numPr>
        <w:tabs>
          <w:tab w:val="left" w:pos="724"/>
        </w:tabs>
        <w:ind w:left="709" w:right="20" w:hanging="283"/>
        <w:rPr>
          <w:rFonts w:eastAsia="Times New Roman"/>
          <w:szCs w:val="24"/>
        </w:rPr>
      </w:pPr>
      <w:r w:rsidRPr="008E4ABB">
        <w:rPr>
          <w:rFonts w:eastAsia="Times New Roman"/>
          <w:b/>
          <w:bCs/>
          <w:szCs w:val="24"/>
        </w:rPr>
        <w:t xml:space="preserve">krátkodobým efektem </w:t>
      </w:r>
      <w:r w:rsidRPr="008E4ABB">
        <w:rPr>
          <w:rFonts w:eastAsia="Times New Roman"/>
          <w:szCs w:val="24"/>
        </w:rPr>
        <w:t>expanzivní MP je zvýšení úrovně</w:t>
      </w:r>
      <w:r w:rsidRPr="008E4ABB">
        <w:rPr>
          <w:rFonts w:eastAsia="Times New Roman"/>
          <w:b/>
          <w:bCs/>
          <w:szCs w:val="24"/>
        </w:rPr>
        <w:t xml:space="preserve"> </w:t>
      </w:r>
      <w:r w:rsidRPr="008E4ABB">
        <w:rPr>
          <w:rFonts w:eastAsia="Times New Roman"/>
          <w:szCs w:val="24"/>
        </w:rPr>
        <w:t xml:space="preserve">reálného produktu </w:t>
      </w:r>
      <w:r w:rsidRPr="008E4ABB">
        <w:rPr>
          <w:rFonts w:eastAsia="Times New Roman"/>
          <w:szCs w:val="24"/>
        </w:rPr>
        <w:br/>
        <w:t>a</w:t>
      </w:r>
      <w:r w:rsidRPr="008E4ABB">
        <w:rPr>
          <w:rFonts w:eastAsia="Times New Roman"/>
          <w:b/>
          <w:bCs/>
          <w:szCs w:val="24"/>
        </w:rPr>
        <w:t xml:space="preserve"> </w:t>
      </w:r>
      <w:r w:rsidRPr="008E4ABB">
        <w:rPr>
          <w:rFonts w:eastAsia="Times New Roman"/>
          <w:szCs w:val="24"/>
        </w:rPr>
        <w:t>zaměstnanosti. Nedochází k vysokému růstu cen, ale využití veškerých výrobních zdrojů znamená zvýšení úrovně cen.</w:t>
      </w:r>
    </w:p>
    <w:p w14:paraId="1D94ECF6" w14:textId="77777777" w:rsidR="008E4ABB" w:rsidRPr="008E4ABB" w:rsidRDefault="008E4ABB" w:rsidP="00F47DAD">
      <w:pPr>
        <w:spacing w:line="1" w:lineRule="exact"/>
        <w:ind w:left="709" w:hanging="283"/>
        <w:rPr>
          <w:rFonts w:eastAsia="Times New Roman"/>
          <w:szCs w:val="24"/>
        </w:rPr>
      </w:pPr>
    </w:p>
    <w:p w14:paraId="7553566E" w14:textId="77777777" w:rsidR="008E4ABB" w:rsidRPr="008E4ABB" w:rsidRDefault="008E4ABB" w:rsidP="00270319">
      <w:pPr>
        <w:numPr>
          <w:ilvl w:val="0"/>
          <w:numId w:val="122"/>
        </w:numPr>
        <w:tabs>
          <w:tab w:val="left" w:pos="724"/>
        </w:tabs>
        <w:spacing w:line="377" w:lineRule="auto"/>
        <w:ind w:left="709" w:right="20" w:hanging="283"/>
        <w:rPr>
          <w:rFonts w:eastAsia="Times New Roman"/>
          <w:szCs w:val="24"/>
        </w:rPr>
      </w:pPr>
      <w:r w:rsidRPr="008E4ABB">
        <w:rPr>
          <w:rFonts w:eastAsia="Times New Roman"/>
          <w:b/>
          <w:bCs/>
          <w:szCs w:val="24"/>
        </w:rPr>
        <w:t xml:space="preserve">z dlouhodobého hlediska </w:t>
      </w:r>
      <w:r w:rsidRPr="008E4ABB">
        <w:rPr>
          <w:rFonts w:eastAsia="Times New Roman"/>
          <w:szCs w:val="24"/>
        </w:rPr>
        <w:t>představují efekty expanzivní MP růst rovnovážné úrovně</w:t>
      </w:r>
      <w:r w:rsidRPr="008E4ABB">
        <w:rPr>
          <w:rFonts w:eastAsia="Times New Roman"/>
          <w:b/>
          <w:bCs/>
          <w:szCs w:val="24"/>
        </w:rPr>
        <w:t xml:space="preserve"> </w:t>
      </w:r>
      <w:r w:rsidRPr="008E4ABB">
        <w:rPr>
          <w:rFonts w:eastAsia="Times New Roman"/>
          <w:szCs w:val="24"/>
        </w:rPr>
        <w:t>cen, která odpovídá růstu sumy peněz v oběhu. Nemění se úroveň reálného produktu a přirozené míry zaměstnanosti a nemění se ani výše úrokových měr.</w:t>
      </w:r>
    </w:p>
    <w:p w14:paraId="1927BB97" w14:textId="77777777" w:rsidR="008E4ABB" w:rsidRPr="008E4ABB" w:rsidRDefault="008E4ABB" w:rsidP="008E4ABB">
      <w:pPr>
        <w:spacing w:line="131" w:lineRule="exact"/>
        <w:rPr>
          <w:sz w:val="20"/>
          <w:szCs w:val="20"/>
        </w:rPr>
      </w:pPr>
    </w:p>
    <w:p w14:paraId="24544CA0" w14:textId="77777777" w:rsidR="008E4ABB" w:rsidRPr="008E4ABB" w:rsidRDefault="008E4ABB" w:rsidP="008E4ABB">
      <w:pPr>
        <w:ind w:left="4"/>
        <w:rPr>
          <w:sz w:val="20"/>
          <w:szCs w:val="20"/>
        </w:rPr>
      </w:pPr>
      <w:r w:rsidRPr="008E4ABB">
        <w:rPr>
          <w:rFonts w:eastAsia="Times New Roman"/>
          <w:b/>
          <w:bCs/>
          <w:sz w:val="40"/>
          <w:szCs w:val="40"/>
        </w:rPr>
        <w:t>↑M =&gt; ↓i =&gt; ↑I, C, NX =&gt; ↑AD =&gt; ↑reál. HDP =&gt; ↑P</w:t>
      </w:r>
    </w:p>
    <w:p w14:paraId="510C5583" w14:textId="77777777" w:rsidR="008E4ABB" w:rsidRPr="008E4ABB" w:rsidRDefault="008E4ABB" w:rsidP="008E4ABB">
      <w:pPr>
        <w:spacing w:line="200" w:lineRule="exact"/>
        <w:rPr>
          <w:sz w:val="20"/>
          <w:szCs w:val="20"/>
        </w:rPr>
      </w:pPr>
    </w:p>
    <w:p w14:paraId="6139760D" w14:textId="77777777" w:rsidR="008E4ABB" w:rsidRPr="008E4ABB" w:rsidRDefault="008E4ABB" w:rsidP="008E4ABB">
      <w:pPr>
        <w:spacing w:line="280" w:lineRule="exact"/>
        <w:rPr>
          <w:sz w:val="20"/>
          <w:szCs w:val="20"/>
        </w:rPr>
      </w:pPr>
    </w:p>
    <w:p w14:paraId="7472CD67" w14:textId="77777777" w:rsidR="008E4ABB" w:rsidRPr="00266F2F" w:rsidRDefault="008E4ABB" w:rsidP="00F47DAD">
      <w:pPr>
        <w:pStyle w:val="Nadpis4"/>
        <w:rPr>
          <w:color w:val="1F3864" w:themeColor="accent1" w:themeShade="80"/>
          <w:sz w:val="20"/>
          <w:szCs w:val="20"/>
        </w:rPr>
      </w:pPr>
      <w:r w:rsidRPr="00266F2F">
        <w:rPr>
          <w:rFonts w:eastAsia="Times New Roman"/>
          <w:color w:val="1F3864" w:themeColor="accent1" w:themeShade="80"/>
        </w:rPr>
        <w:lastRenderedPageBreak/>
        <w:t>Restriktivní monetární politika</w:t>
      </w:r>
    </w:p>
    <w:p w14:paraId="733ECBD8" w14:textId="77777777" w:rsidR="008E4ABB" w:rsidRPr="008E4ABB" w:rsidRDefault="008E4ABB" w:rsidP="008E4ABB">
      <w:pPr>
        <w:spacing w:line="167" w:lineRule="exact"/>
        <w:rPr>
          <w:sz w:val="20"/>
          <w:szCs w:val="20"/>
        </w:rPr>
      </w:pPr>
    </w:p>
    <w:p w14:paraId="4B1F1F2B" w14:textId="77777777" w:rsidR="008E4ABB" w:rsidRPr="008E4ABB" w:rsidRDefault="008E4ABB" w:rsidP="0007131F">
      <w:pPr>
        <w:ind w:left="568" w:firstLine="720"/>
        <w:rPr>
          <w:rFonts w:eastAsia="Times New Roman"/>
        </w:rPr>
      </w:pPr>
      <w:r w:rsidRPr="008E4ABB">
        <w:rPr>
          <w:rFonts w:eastAsia="Times New Roman"/>
        </w:rPr>
        <w:t>Je charakterizována nedostatkem peněz v ekonomice → růst úrokových sazeb → omezení I, C a může to ovlivňovat i NX</w:t>
      </w:r>
    </w:p>
    <w:p w14:paraId="03FB9EA6" w14:textId="77777777" w:rsidR="008E4ABB" w:rsidRPr="008E4ABB" w:rsidRDefault="008E4ABB" w:rsidP="008E4ABB">
      <w:pPr>
        <w:spacing w:line="130" w:lineRule="exact"/>
        <w:rPr>
          <w:rFonts w:eastAsia="Times New Roman"/>
          <w:szCs w:val="24"/>
        </w:rPr>
      </w:pPr>
    </w:p>
    <w:p w14:paraId="6701FA9A" w14:textId="77777777" w:rsidR="008E4ABB" w:rsidRPr="008E4ABB" w:rsidRDefault="008E4ABB" w:rsidP="00270319">
      <w:pPr>
        <w:numPr>
          <w:ilvl w:val="1"/>
          <w:numId w:val="123"/>
        </w:numPr>
        <w:tabs>
          <w:tab w:val="left" w:pos="724"/>
        </w:tabs>
        <w:spacing w:line="395" w:lineRule="auto"/>
        <w:ind w:left="709" w:right="20" w:hanging="283"/>
        <w:rPr>
          <w:rFonts w:eastAsia="Times New Roman"/>
          <w:szCs w:val="24"/>
        </w:rPr>
      </w:pPr>
      <w:r w:rsidRPr="008E4ABB">
        <w:rPr>
          <w:rFonts w:eastAsia="Times New Roman"/>
          <w:b/>
          <w:bCs/>
          <w:szCs w:val="24"/>
        </w:rPr>
        <w:t xml:space="preserve">krátkodobým efektem </w:t>
      </w:r>
      <w:r w:rsidRPr="008E4ABB">
        <w:rPr>
          <w:rFonts w:eastAsia="Times New Roman"/>
          <w:szCs w:val="24"/>
        </w:rPr>
        <w:t>je pokles úrovně</w:t>
      </w:r>
      <w:r w:rsidRPr="008E4ABB">
        <w:rPr>
          <w:rFonts w:eastAsia="Times New Roman"/>
          <w:b/>
          <w:bCs/>
          <w:szCs w:val="24"/>
        </w:rPr>
        <w:t xml:space="preserve"> </w:t>
      </w:r>
      <w:r w:rsidRPr="008E4ABB">
        <w:rPr>
          <w:rFonts w:eastAsia="Times New Roman"/>
          <w:szCs w:val="24"/>
        </w:rPr>
        <w:t>reálného produktu a zaměstnanosti. Případné</w:t>
      </w:r>
      <w:r w:rsidRPr="008E4ABB">
        <w:rPr>
          <w:rFonts w:eastAsia="Times New Roman"/>
          <w:b/>
          <w:bCs/>
          <w:szCs w:val="24"/>
        </w:rPr>
        <w:t xml:space="preserve"> </w:t>
      </w:r>
      <w:r w:rsidRPr="008E4ABB">
        <w:rPr>
          <w:rFonts w:eastAsia="Times New Roman"/>
          <w:szCs w:val="24"/>
        </w:rPr>
        <w:t>volné zdroje výrobních faktorů znamenají pokles cenové hladiny.</w:t>
      </w:r>
    </w:p>
    <w:p w14:paraId="51F7DDE8" w14:textId="77777777" w:rsidR="008E4ABB" w:rsidRPr="008E4ABB" w:rsidRDefault="008E4ABB" w:rsidP="00F47DAD">
      <w:pPr>
        <w:spacing w:line="200" w:lineRule="exact"/>
        <w:ind w:left="709" w:hanging="283"/>
        <w:rPr>
          <w:sz w:val="20"/>
          <w:szCs w:val="20"/>
        </w:rPr>
      </w:pPr>
    </w:p>
    <w:p w14:paraId="2D08DFB4" w14:textId="77777777" w:rsidR="008E4ABB" w:rsidRPr="008E4ABB" w:rsidRDefault="008E4ABB" w:rsidP="00270319">
      <w:pPr>
        <w:numPr>
          <w:ilvl w:val="0"/>
          <w:numId w:val="124"/>
        </w:numPr>
        <w:tabs>
          <w:tab w:val="left" w:pos="720"/>
        </w:tabs>
        <w:spacing w:line="377" w:lineRule="auto"/>
        <w:ind w:left="709" w:hanging="283"/>
        <w:rPr>
          <w:rFonts w:eastAsia="Times New Roman"/>
          <w:szCs w:val="24"/>
        </w:rPr>
      </w:pPr>
      <w:bookmarkStart w:id="139" w:name="page135"/>
      <w:bookmarkEnd w:id="139"/>
      <w:r w:rsidRPr="008E4ABB">
        <w:rPr>
          <w:rFonts w:eastAsia="Times New Roman"/>
          <w:b/>
          <w:bCs/>
          <w:szCs w:val="24"/>
        </w:rPr>
        <w:t xml:space="preserve"> dlouhodobé efekty </w:t>
      </w:r>
      <w:r w:rsidRPr="008E4ABB">
        <w:rPr>
          <w:rFonts w:eastAsia="Times New Roman"/>
          <w:szCs w:val="24"/>
        </w:rPr>
        <w:t>restriktivní MP mají za následek snížení rovnovážné úrovně</w:t>
      </w:r>
      <w:r w:rsidRPr="008E4ABB">
        <w:rPr>
          <w:rFonts w:eastAsia="Times New Roman"/>
          <w:b/>
          <w:bCs/>
          <w:szCs w:val="24"/>
        </w:rPr>
        <w:t xml:space="preserve"> </w:t>
      </w:r>
      <w:r w:rsidRPr="008E4ABB">
        <w:rPr>
          <w:rFonts w:eastAsia="Times New Roman"/>
          <w:szCs w:val="24"/>
        </w:rPr>
        <w:t>cen,</w:t>
      </w:r>
      <w:r w:rsidRPr="008E4ABB">
        <w:rPr>
          <w:rFonts w:eastAsia="Times New Roman"/>
          <w:b/>
          <w:bCs/>
          <w:szCs w:val="24"/>
        </w:rPr>
        <w:t xml:space="preserve"> </w:t>
      </w:r>
      <w:r w:rsidRPr="008E4ABB">
        <w:rPr>
          <w:rFonts w:eastAsia="Times New Roman"/>
          <w:szCs w:val="24"/>
        </w:rPr>
        <w:t>která odpovídá snížení sumy peněz v oběhu. Nemění se úroveň reálného produktu a přirozené míry zaměstnanosti.</w:t>
      </w:r>
    </w:p>
    <w:p w14:paraId="487ACEBD" w14:textId="77777777" w:rsidR="008E4ABB" w:rsidRPr="008E4ABB" w:rsidRDefault="008E4ABB" w:rsidP="008E4ABB">
      <w:pPr>
        <w:spacing w:line="131" w:lineRule="exact"/>
        <w:rPr>
          <w:sz w:val="20"/>
          <w:szCs w:val="20"/>
        </w:rPr>
      </w:pPr>
    </w:p>
    <w:p w14:paraId="2A59F40A" w14:textId="77777777" w:rsidR="008E4ABB" w:rsidRPr="008E4ABB" w:rsidRDefault="008E4ABB" w:rsidP="008E4ABB">
      <w:pPr>
        <w:rPr>
          <w:sz w:val="20"/>
          <w:szCs w:val="20"/>
        </w:rPr>
      </w:pPr>
      <w:r w:rsidRPr="008E4ABB">
        <w:rPr>
          <w:rFonts w:eastAsia="Times New Roman"/>
          <w:b/>
          <w:bCs/>
          <w:sz w:val="40"/>
          <w:szCs w:val="40"/>
        </w:rPr>
        <w:t>↓M =&gt; ↑i =&gt; ↓I, C, NX =&gt; ↓AD =&gt; ↓reál. HDP =&gt; ↓P</w:t>
      </w:r>
    </w:p>
    <w:p w14:paraId="57F3F321" w14:textId="77777777" w:rsidR="008E4ABB" w:rsidRPr="008E4ABB" w:rsidRDefault="008E4ABB" w:rsidP="008E4ABB">
      <w:pPr>
        <w:spacing w:line="200" w:lineRule="exact"/>
        <w:rPr>
          <w:sz w:val="20"/>
          <w:szCs w:val="20"/>
        </w:rPr>
      </w:pPr>
    </w:p>
    <w:p w14:paraId="44C32E7A" w14:textId="77777777" w:rsidR="008E4ABB" w:rsidRPr="008E4ABB" w:rsidRDefault="008E4ABB" w:rsidP="0007131F">
      <w:pPr>
        <w:ind w:firstLine="720"/>
        <w:rPr>
          <w:rFonts w:eastAsiaTheme="minorHAnsi"/>
          <w:lang w:eastAsia="en-US"/>
        </w:rPr>
      </w:pPr>
      <w:r w:rsidRPr="008E4ABB">
        <w:rPr>
          <w:rFonts w:eastAsiaTheme="minorHAnsi"/>
          <w:szCs w:val="20"/>
          <w:lang w:eastAsia="en-US"/>
        </w:rPr>
        <w:t>- v</w:t>
      </w:r>
      <w:r w:rsidRPr="008E4ABB">
        <w:rPr>
          <w:rFonts w:eastAsiaTheme="minorHAnsi"/>
          <w:sz w:val="22"/>
          <w:szCs w:val="20"/>
          <w:lang w:eastAsia="en-US"/>
        </w:rPr>
        <w:t xml:space="preserve"> 70. letech rozpracoval Robert Lucas teorii racionálních očekávání – to znamená, že lidé nevychází jen z minulé zkušenosti, ale i z dnešních informací o budoucnosti. </w:t>
      </w:r>
      <w:r w:rsidRPr="008E4ABB">
        <w:rPr>
          <w:rFonts w:eastAsiaTheme="minorHAnsi"/>
          <w:lang w:eastAsia="en-US"/>
        </w:rPr>
        <w:t xml:space="preserve">Když lidé tvoří </w:t>
      </w:r>
      <w:r w:rsidRPr="008E4ABB">
        <w:rPr>
          <w:rFonts w:eastAsiaTheme="minorHAnsi"/>
          <w:b/>
          <w:lang w:eastAsia="en-US"/>
        </w:rPr>
        <w:t>adaptivní očekávání</w:t>
      </w:r>
      <w:r w:rsidRPr="008E4ABB">
        <w:rPr>
          <w:rFonts w:eastAsiaTheme="minorHAnsi"/>
          <w:lang w:eastAsia="en-US"/>
        </w:rPr>
        <w:t xml:space="preserve">, má měnová politika alespoň krátkodobé účinky na produkci a zaměstnanost, protože lidé krátkodobě </w:t>
      </w:r>
      <w:r w:rsidRPr="008E4ABB">
        <w:rPr>
          <w:rFonts w:eastAsiaTheme="minorHAnsi"/>
          <w:b/>
          <w:lang w:eastAsia="en-US"/>
        </w:rPr>
        <w:t>podlehnou peněžním iluzím</w:t>
      </w:r>
      <w:r w:rsidRPr="008E4ABB">
        <w:rPr>
          <w:rFonts w:eastAsiaTheme="minorHAnsi"/>
          <w:lang w:eastAsia="en-US"/>
        </w:rPr>
        <w:t xml:space="preserve">. Ale pokud lidé tvoří racionální očekávání, měnová politika nemá žádný účinek na produkci a zaměstnanost, ani v krátkém období, má účinky jenom na inflaci. </w:t>
      </w:r>
      <w:r w:rsidRPr="008E4ABB">
        <w:rPr>
          <w:rFonts w:eastAsiaTheme="minorHAnsi"/>
          <w:b/>
          <w:lang w:eastAsia="en-US"/>
        </w:rPr>
        <w:t>Křivka agregátní nabídky má poté podobu vertikály</w:t>
      </w:r>
      <w:r w:rsidRPr="008E4ABB">
        <w:rPr>
          <w:rFonts w:eastAsiaTheme="minorHAnsi"/>
          <w:lang w:eastAsia="en-US"/>
        </w:rPr>
        <w:t xml:space="preserve">. </w:t>
      </w:r>
    </w:p>
    <w:p w14:paraId="0EDAD0F8" w14:textId="77777777" w:rsidR="008E4ABB" w:rsidRPr="008E4ABB" w:rsidRDefault="008E4ABB" w:rsidP="008E4ABB">
      <w:pPr>
        <w:spacing w:line="276" w:lineRule="auto"/>
        <w:rPr>
          <w:szCs w:val="20"/>
        </w:rPr>
      </w:pPr>
    </w:p>
    <w:p w14:paraId="7B8F7AFA" w14:textId="77777777" w:rsidR="008E4ABB" w:rsidRPr="008E4ABB" w:rsidRDefault="008E4ABB" w:rsidP="008E4ABB">
      <w:pPr>
        <w:spacing w:line="200" w:lineRule="exact"/>
        <w:rPr>
          <w:szCs w:val="20"/>
        </w:rPr>
      </w:pPr>
    </w:p>
    <w:p w14:paraId="4A6DD490" w14:textId="77777777" w:rsidR="008E4ABB" w:rsidRPr="00266F2F" w:rsidRDefault="008E4ABB" w:rsidP="00F47DAD">
      <w:pPr>
        <w:pStyle w:val="Nadpis3"/>
        <w:rPr>
          <w:color w:val="1F3864" w:themeColor="accent1" w:themeShade="80"/>
          <w:sz w:val="20"/>
          <w:szCs w:val="20"/>
        </w:rPr>
      </w:pPr>
      <w:r w:rsidRPr="00266F2F">
        <w:rPr>
          <w:rFonts w:eastAsia="Times New Roman"/>
          <w:color w:val="1F3864" w:themeColor="accent1" w:themeShade="80"/>
        </w:rPr>
        <w:t>Režimy monetární politiky</w:t>
      </w:r>
    </w:p>
    <w:p w14:paraId="72806902" w14:textId="77777777" w:rsidR="008E4ABB" w:rsidRPr="008E4ABB" w:rsidRDefault="008E4ABB" w:rsidP="0007131F">
      <w:pPr>
        <w:ind w:firstLine="720"/>
        <w:rPr>
          <w:sz w:val="20"/>
          <w:szCs w:val="20"/>
        </w:rPr>
      </w:pPr>
      <w:r w:rsidRPr="008E4ABB">
        <w:rPr>
          <w:rFonts w:eastAsia="Times New Roman"/>
        </w:rPr>
        <w:t>Měnová politika centrální banky je ve většině zemí prováděna v rámci některého měnově-politického režimu, který dává měnově-politickému rozhodování určitou strukturu usnadňující samotné rozhodování, ale především interpretaci tohoto rozhodování veřejnosti.</w:t>
      </w:r>
    </w:p>
    <w:p w14:paraId="4349639E" w14:textId="77777777" w:rsidR="008E4ABB" w:rsidRPr="008E4ABB" w:rsidRDefault="008E4ABB" w:rsidP="008E4ABB">
      <w:pPr>
        <w:spacing w:line="2" w:lineRule="exact"/>
        <w:rPr>
          <w:sz w:val="20"/>
          <w:szCs w:val="20"/>
        </w:rPr>
      </w:pPr>
    </w:p>
    <w:p w14:paraId="717F81D5" w14:textId="77777777" w:rsidR="008E4ABB" w:rsidRPr="008E4ABB" w:rsidRDefault="008E4ABB" w:rsidP="008E4ABB">
      <w:pPr>
        <w:rPr>
          <w:sz w:val="20"/>
          <w:szCs w:val="20"/>
        </w:rPr>
      </w:pPr>
      <w:r w:rsidRPr="008E4ABB">
        <w:rPr>
          <w:rFonts w:eastAsia="Times New Roman"/>
          <w:b/>
          <w:bCs/>
          <w:szCs w:val="24"/>
        </w:rPr>
        <w:t>Základní režimy měnové politiky jsou:</w:t>
      </w:r>
    </w:p>
    <w:p w14:paraId="43A4B5A0" w14:textId="77777777" w:rsidR="008E4ABB" w:rsidRPr="008E4ABB" w:rsidRDefault="008E4ABB" w:rsidP="00270319">
      <w:pPr>
        <w:numPr>
          <w:ilvl w:val="0"/>
          <w:numId w:val="125"/>
        </w:numPr>
        <w:tabs>
          <w:tab w:val="left" w:pos="720"/>
        </w:tabs>
        <w:ind w:left="709" w:hanging="283"/>
        <w:rPr>
          <w:rFonts w:eastAsia="Times New Roman"/>
          <w:szCs w:val="24"/>
        </w:rPr>
      </w:pPr>
      <w:r w:rsidRPr="008E4ABB">
        <w:rPr>
          <w:rFonts w:eastAsia="Times New Roman"/>
          <w:szCs w:val="24"/>
        </w:rPr>
        <w:t>režim s implicitní nominální kotvou</w:t>
      </w:r>
    </w:p>
    <w:p w14:paraId="20D88EAC" w14:textId="77777777" w:rsidR="008E4ABB" w:rsidRPr="008E4ABB" w:rsidRDefault="008E4ABB" w:rsidP="00270319">
      <w:pPr>
        <w:numPr>
          <w:ilvl w:val="0"/>
          <w:numId w:val="125"/>
        </w:numPr>
        <w:tabs>
          <w:tab w:val="left" w:pos="720"/>
        </w:tabs>
        <w:ind w:left="709" w:hanging="283"/>
        <w:rPr>
          <w:rFonts w:eastAsia="Times New Roman"/>
          <w:szCs w:val="24"/>
        </w:rPr>
      </w:pPr>
      <w:r w:rsidRPr="008E4ABB">
        <w:rPr>
          <w:rFonts w:eastAsia="Times New Roman"/>
          <w:szCs w:val="24"/>
        </w:rPr>
        <w:t>cílování měnové zásoby</w:t>
      </w:r>
    </w:p>
    <w:p w14:paraId="2EE62444" w14:textId="77777777" w:rsidR="008E4ABB" w:rsidRPr="008E4ABB" w:rsidRDefault="008E4ABB" w:rsidP="00270319">
      <w:pPr>
        <w:numPr>
          <w:ilvl w:val="0"/>
          <w:numId w:val="125"/>
        </w:numPr>
        <w:tabs>
          <w:tab w:val="left" w:pos="720"/>
        </w:tabs>
        <w:ind w:left="709" w:hanging="283"/>
        <w:rPr>
          <w:rFonts w:eastAsia="Times New Roman"/>
          <w:szCs w:val="24"/>
        </w:rPr>
      </w:pPr>
      <w:r w:rsidRPr="008E4ABB">
        <w:rPr>
          <w:rFonts w:eastAsia="Times New Roman"/>
          <w:szCs w:val="24"/>
        </w:rPr>
        <w:t>cílování měnového kurzu</w:t>
      </w:r>
    </w:p>
    <w:p w14:paraId="4E0A1EFE" w14:textId="77777777" w:rsidR="008E4ABB" w:rsidRPr="008E4ABB" w:rsidRDefault="008E4ABB" w:rsidP="00270319">
      <w:pPr>
        <w:numPr>
          <w:ilvl w:val="0"/>
          <w:numId w:val="125"/>
        </w:numPr>
        <w:tabs>
          <w:tab w:val="left" w:pos="720"/>
        </w:tabs>
        <w:spacing w:after="240"/>
        <w:ind w:left="709" w:hanging="283"/>
        <w:rPr>
          <w:rFonts w:eastAsia="Times New Roman"/>
          <w:szCs w:val="24"/>
        </w:rPr>
      </w:pPr>
      <w:r w:rsidRPr="008E4ABB">
        <w:rPr>
          <w:rFonts w:eastAsia="Times New Roman"/>
          <w:szCs w:val="24"/>
        </w:rPr>
        <w:t>cílování inflace</w:t>
      </w:r>
    </w:p>
    <w:p w14:paraId="7553CB64" w14:textId="77777777" w:rsidR="008E4ABB" w:rsidRPr="00266F2F" w:rsidRDefault="008E4ABB" w:rsidP="00F47DAD">
      <w:pPr>
        <w:pStyle w:val="Nadpis4"/>
        <w:rPr>
          <w:color w:val="1F3864" w:themeColor="accent1" w:themeShade="80"/>
          <w:sz w:val="20"/>
          <w:szCs w:val="20"/>
        </w:rPr>
      </w:pPr>
      <w:r w:rsidRPr="00266F2F">
        <w:rPr>
          <w:rFonts w:eastAsia="Times New Roman"/>
          <w:color w:val="1F3864" w:themeColor="accent1" w:themeShade="80"/>
        </w:rPr>
        <w:t>Režim s implicitní nominální kotvou</w:t>
      </w:r>
    </w:p>
    <w:p w14:paraId="2AAEA25B" w14:textId="77777777" w:rsidR="008E4ABB" w:rsidRPr="008E4ABB" w:rsidRDefault="008E4ABB" w:rsidP="0007131F">
      <w:pPr>
        <w:spacing w:line="370" w:lineRule="auto"/>
        <w:ind w:left="568" w:right="20" w:firstLine="720"/>
        <w:rPr>
          <w:sz w:val="20"/>
          <w:szCs w:val="20"/>
        </w:rPr>
      </w:pPr>
      <w:r w:rsidRPr="008E4ABB">
        <w:rPr>
          <w:rFonts w:eastAsia="Times New Roman"/>
          <w:szCs w:val="24"/>
        </w:rPr>
        <w:t xml:space="preserve">Spočívá v cílování určité veličiny přijaté interně v rámci centrální banky, aniž by došlo k jejímu explicitnímu vyhlášení. Předpokladem pro úspěšné fungování tohoto </w:t>
      </w:r>
      <w:r w:rsidRPr="008E4ABB">
        <w:rPr>
          <w:rFonts w:eastAsia="Times New Roman"/>
          <w:szCs w:val="24"/>
        </w:rPr>
        <w:lastRenderedPageBreak/>
        <w:t>režimu je vysoká důvěryhodnost centrální banky, jež umožní dosažení žádoucích změn inflace a jejích očekávání i bez explicitních cílů.</w:t>
      </w:r>
    </w:p>
    <w:p w14:paraId="08974D9C" w14:textId="77777777" w:rsidR="008E4ABB" w:rsidRPr="008E4ABB" w:rsidRDefault="008E4ABB" w:rsidP="008E4ABB">
      <w:pPr>
        <w:spacing w:line="188" w:lineRule="exact"/>
        <w:rPr>
          <w:sz w:val="20"/>
          <w:szCs w:val="20"/>
        </w:rPr>
      </w:pPr>
    </w:p>
    <w:p w14:paraId="2F891744" w14:textId="77777777" w:rsidR="008E4ABB" w:rsidRPr="00266F2F" w:rsidRDefault="008E4ABB" w:rsidP="00F47DAD">
      <w:pPr>
        <w:pStyle w:val="Nadpis4"/>
        <w:rPr>
          <w:color w:val="1F3864" w:themeColor="accent1" w:themeShade="80"/>
          <w:sz w:val="20"/>
          <w:szCs w:val="20"/>
        </w:rPr>
      </w:pPr>
      <w:r w:rsidRPr="00266F2F">
        <w:rPr>
          <w:rFonts w:eastAsia="Times New Roman"/>
          <w:color w:val="1F3864" w:themeColor="accent1" w:themeShade="80"/>
        </w:rPr>
        <w:t>Cílování měnové zásoby</w:t>
      </w:r>
    </w:p>
    <w:p w14:paraId="0BA0C4F4" w14:textId="14F237A4" w:rsidR="008E4ABB" w:rsidRPr="008E4ABB" w:rsidRDefault="008E4ABB" w:rsidP="0007131F">
      <w:pPr>
        <w:ind w:left="568" w:firstLine="720"/>
        <w:rPr>
          <w:sz w:val="20"/>
          <w:szCs w:val="20"/>
        </w:rPr>
      </w:pPr>
      <w:r w:rsidRPr="008E4ABB">
        <w:rPr>
          <w:rFonts w:eastAsia="Times New Roman"/>
        </w:rPr>
        <w:t>Autorem jsou monetaristé – Milton Friedman. V 70. letech začala narůstat nedůvěra ekonomů ve schopnost CB dolaďovat ekonomiku aktivistickou měnovou politikou. Vymysleli tedy pravidlo stálého měnového růstu. Vychází se zde z poznatku, že růst cen je v dlouhodobém horizontu ovlivňován vývojem peněžní nabídky. Měnová politika je potom neutrální (ani restriktivní, ani expanzivní). Díky tomu je také měnová politika izolována od zájmových skupin a vlády a získává protiinflační charakter. Politika stálého měnového růstu musí být důvěryhodná.</w:t>
      </w:r>
      <w:r w:rsidR="003376E1">
        <w:rPr>
          <w:rFonts w:eastAsia="Times New Roman"/>
        </w:rPr>
        <w:t xml:space="preserve"> </w:t>
      </w:r>
      <w:r w:rsidRPr="008E4ABB">
        <w:rPr>
          <w:rFonts w:eastAsia="Times New Roman"/>
        </w:rPr>
        <w:t xml:space="preserve">Lidé tomu pak přizpůsobí inflační očekávání. </w:t>
      </w:r>
      <w:r w:rsidRPr="008E4ABB">
        <w:rPr>
          <w:rFonts w:eastAsia="Times New Roman"/>
          <w:sz w:val="23"/>
          <w:szCs w:val="23"/>
        </w:rPr>
        <w:t>Centrální banka dále nemusí být schopna vybraný peněžní agregát řídit s dostatečnou přesností.</w:t>
      </w:r>
    </w:p>
    <w:p w14:paraId="31B078B8" w14:textId="77777777" w:rsidR="008E4ABB" w:rsidRPr="00266F2F" w:rsidRDefault="008E4ABB" w:rsidP="00F47DAD">
      <w:pPr>
        <w:pStyle w:val="Nadpis4"/>
        <w:rPr>
          <w:color w:val="1F3864" w:themeColor="accent1" w:themeShade="80"/>
          <w:sz w:val="20"/>
          <w:szCs w:val="20"/>
        </w:rPr>
      </w:pPr>
      <w:bookmarkStart w:id="140" w:name="page136"/>
      <w:bookmarkEnd w:id="140"/>
      <w:r w:rsidRPr="00266F2F">
        <w:rPr>
          <w:rFonts w:eastAsia="Times New Roman"/>
          <w:color w:val="1F3864" w:themeColor="accent1" w:themeShade="80"/>
        </w:rPr>
        <w:t>Cílování měnového kurzu</w:t>
      </w:r>
    </w:p>
    <w:p w14:paraId="2F9385CF" w14:textId="18BD44FD" w:rsidR="008E4ABB" w:rsidRPr="008E4ABB" w:rsidRDefault="008E4ABB" w:rsidP="0007131F">
      <w:pPr>
        <w:ind w:left="568" w:firstLine="720"/>
        <w:rPr>
          <w:sz w:val="20"/>
          <w:szCs w:val="20"/>
        </w:rPr>
      </w:pPr>
      <w:r w:rsidRPr="008E4ABB">
        <w:rPr>
          <w:rFonts w:eastAsia="Times New Roman"/>
        </w:rPr>
        <w:t>Centrální banka se snaží prostřednictvím změn úrokových sazeb a přímých devizových intervencí zajistit stabilitu nominálního měnového kurzu vůči měně tzv. kotevní země, a tak z této země "importovat' cenovou stabilitu.</w:t>
      </w:r>
      <w:r w:rsidR="0007131F">
        <w:rPr>
          <w:sz w:val="20"/>
          <w:szCs w:val="20"/>
        </w:rPr>
        <w:t xml:space="preserve"> </w:t>
      </w:r>
      <w:r w:rsidRPr="008E4ABB">
        <w:rPr>
          <w:rFonts w:eastAsia="Times New Roman"/>
        </w:rPr>
        <w:t>K udržení závazku daného měnového kurzu je nutná vhodná kombinace hospodářských politik zajišťující nízký inflační diferenciál vůči kotevní zemi, dostatečné devizové rezervy, udržení konkurenceschopnosti a celkové důvěryhodnosti země včetně jejího institucionálního a právního rámce a politické stability.</w:t>
      </w:r>
      <w:r w:rsidR="0007131F">
        <w:rPr>
          <w:sz w:val="20"/>
          <w:szCs w:val="20"/>
        </w:rPr>
        <w:t xml:space="preserve"> </w:t>
      </w:r>
      <w:r w:rsidRPr="008E4ABB">
        <w:rPr>
          <w:rFonts w:eastAsia="Times New Roman"/>
        </w:rPr>
        <w:t xml:space="preserve">Jednou z hlavních nevýhod tohoto režimu je ztráta autonomie měnové politiky. CB pak nemůže provádět expanzivní ani </w:t>
      </w:r>
      <w:r w:rsidR="000506FA" w:rsidRPr="008E4ABB">
        <w:rPr>
          <w:rFonts w:eastAsia="Times New Roman"/>
        </w:rPr>
        <w:t>restriktivní</w:t>
      </w:r>
      <w:r w:rsidRPr="008E4ABB">
        <w:rPr>
          <w:rFonts w:eastAsia="Times New Roman"/>
        </w:rPr>
        <w:t xml:space="preserve"> měnovou politiku. </w:t>
      </w:r>
    </w:p>
    <w:p w14:paraId="49812C24" w14:textId="77777777" w:rsidR="008E4ABB" w:rsidRPr="008E4ABB" w:rsidRDefault="008E4ABB" w:rsidP="00F47DAD">
      <w:pPr>
        <w:pStyle w:val="Nadpis4"/>
        <w:rPr>
          <w:sz w:val="20"/>
          <w:szCs w:val="20"/>
        </w:rPr>
      </w:pPr>
      <w:r w:rsidRPr="00266F2F">
        <w:rPr>
          <w:rFonts w:eastAsia="Times New Roman"/>
          <w:color w:val="1F3864" w:themeColor="accent1" w:themeShade="80"/>
        </w:rPr>
        <w:t>Cílování inflace</w:t>
      </w:r>
    </w:p>
    <w:p w14:paraId="7B874807" w14:textId="77777777" w:rsidR="008E4ABB" w:rsidRPr="008E4ABB" w:rsidRDefault="008E4ABB" w:rsidP="0007131F">
      <w:pPr>
        <w:ind w:left="568" w:firstLine="720"/>
        <w:rPr>
          <w:sz w:val="20"/>
          <w:szCs w:val="20"/>
        </w:rPr>
      </w:pPr>
      <w:r w:rsidRPr="008E4ABB">
        <w:rPr>
          <w:rFonts w:eastAsia="Times New Roman"/>
        </w:rPr>
        <w:t>U cílování inflace centrální banka s jistým předstihem veřejně vyhlásí inflační cíl (či posloupnost cílů), o jehož dosažení bude usilovat. Jedná se o aktivní a přímé formování inflačních očekávání. Pro lidi je to nejlépe srozumitelné a snadno tvoří racionální očekávání. Je to nejlogičtější, protože v LR může být konečným cílem měnové politiky jen inflace.</w:t>
      </w:r>
    </w:p>
    <w:p w14:paraId="0FE3246A" w14:textId="77777777" w:rsidR="008E4ABB" w:rsidRPr="008E4ABB" w:rsidRDefault="008E4ABB" w:rsidP="008E4ABB">
      <w:pPr>
        <w:spacing w:line="1" w:lineRule="exact"/>
        <w:rPr>
          <w:sz w:val="20"/>
          <w:szCs w:val="20"/>
        </w:rPr>
      </w:pPr>
    </w:p>
    <w:p w14:paraId="17F8B154" w14:textId="77777777" w:rsidR="008E4ABB" w:rsidRPr="008E4ABB" w:rsidRDefault="008E4ABB" w:rsidP="0007131F">
      <w:pPr>
        <w:ind w:left="568" w:firstLine="720"/>
        <w:rPr>
          <w:sz w:val="20"/>
          <w:szCs w:val="20"/>
        </w:rPr>
      </w:pPr>
      <w:r w:rsidRPr="008E4ABB">
        <w:rPr>
          <w:rFonts w:eastAsia="Times New Roman"/>
        </w:rPr>
        <w:t xml:space="preserve">Tento režim zahrnuje do svého rozhodovacího schématu podstatně větší množství informací než jen měnový kurz nebo peněžní agregáty, např. také trh práce, dovozní ceny, ceny výrobců, mezeru výstupu, nominální a reálné úrokové sazby, nominální a reálný měnový kurz, hospodaření veřejných rozpočtů apod. CB má pak velký závazek k těmto cílům, které veřejně slíbila. </w:t>
      </w:r>
    </w:p>
    <w:p w14:paraId="3AB7AD8C" w14:textId="77777777" w:rsidR="008E4ABB" w:rsidRPr="008E4ABB" w:rsidRDefault="008E4ABB" w:rsidP="008E4ABB">
      <w:pPr>
        <w:spacing w:line="200" w:lineRule="exact"/>
        <w:rPr>
          <w:sz w:val="20"/>
          <w:szCs w:val="20"/>
        </w:rPr>
      </w:pPr>
    </w:p>
    <w:p w14:paraId="33899905" w14:textId="77777777" w:rsidR="008E4ABB" w:rsidRPr="008E4ABB" w:rsidRDefault="008E4ABB" w:rsidP="008E4ABB">
      <w:pPr>
        <w:spacing w:line="226" w:lineRule="exact"/>
        <w:rPr>
          <w:sz w:val="20"/>
          <w:szCs w:val="20"/>
        </w:rPr>
      </w:pPr>
    </w:p>
    <w:p w14:paraId="40C02165" w14:textId="77777777" w:rsidR="008E4ABB" w:rsidRPr="004B6CDE" w:rsidRDefault="008E4ABB" w:rsidP="00F47DAD">
      <w:pPr>
        <w:pStyle w:val="Nadpis2"/>
        <w:rPr>
          <w:color w:val="1F3864" w:themeColor="accent1" w:themeShade="80"/>
          <w:sz w:val="20"/>
          <w:szCs w:val="20"/>
        </w:rPr>
      </w:pPr>
      <w:r w:rsidRPr="004B6CDE">
        <w:rPr>
          <w:rFonts w:eastAsia="Times New Roman"/>
          <w:color w:val="1F3864" w:themeColor="accent1" w:themeShade="80"/>
        </w:rPr>
        <w:t>NÁSTROJE MONETÁRNÍ POLITIKY</w:t>
      </w:r>
    </w:p>
    <w:p w14:paraId="25CDEB98" w14:textId="77777777" w:rsidR="008E4ABB" w:rsidRPr="00266F2F" w:rsidRDefault="008E4ABB" w:rsidP="00F47DAD">
      <w:pPr>
        <w:pStyle w:val="Nadpis3"/>
        <w:rPr>
          <w:color w:val="1F3864" w:themeColor="accent1" w:themeShade="80"/>
          <w:sz w:val="20"/>
          <w:szCs w:val="20"/>
        </w:rPr>
      </w:pPr>
      <w:r w:rsidRPr="00266F2F">
        <w:rPr>
          <w:rFonts w:eastAsia="Times New Roman"/>
          <w:color w:val="1F3864" w:themeColor="accent1" w:themeShade="80"/>
        </w:rPr>
        <w:t>Dělení nástrojů monetární politiky</w:t>
      </w:r>
    </w:p>
    <w:p w14:paraId="67D40021" w14:textId="43737170" w:rsidR="008E4ABB" w:rsidRPr="008E4ABB" w:rsidRDefault="008E4ABB" w:rsidP="00270319">
      <w:pPr>
        <w:numPr>
          <w:ilvl w:val="0"/>
          <w:numId w:val="126"/>
        </w:numPr>
        <w:tabs>
          <w:tab w:val="left" w:pos="1424"/>
        </w:tabs>
        <w:ind w:left="1418" w:hanging="142"/>
        <w:rPr>
          <w:rFonts w:eastAsia="Arial"/>
          <w:szCs w:val="24"/>
        </w:rPr>
      </w:pPr>
      <w:r w:rsidRPr="008E4ABB">
        <w:rPr>
          <w:rFonts w:eastAsia="Times New Roman"/>
          <w:b/>
          <w:bCs/>
          <w:szCs w:val="24"/>
        </w:rPr>
        <w:t>Podle intenzity využívání</w:t>
      </w:r>
    </w:p>
    <w:p w14:paraId="4B15F0FE" w14:textId="77777777" w:rsidR="008E4ABB" w:rsidRPr="008E4ABB" w:rsidRDefault="008E4ABB" w:rsidP="00270319">
      <w:pPr>
        <w:numPr>
          <w:ilvl w:val="0"/>
          <w:numId w:val="127"/>
        </w:numPr>
        <w:tabs>
          <w:tab w:val="left" w:pos="1704"/>
        </w:tabs>
        <w:ind w:left="1418"/>
        <w:rPr>
          <w:rFonts w:eastAsia="Courier New"/>
          <w:szCs w:val="24"/>
        </w:rPr>
      </w:pPr>
      <w:r w:rsidRPr="008E4ABB">
        <w:rPr>
          <w:rFonts w:eastAsia="Times New Roman"/>
          <w:szCs w:val="24"/>
        </w:rPr>
        <w:t>permanentní (běžné)</w:t>
      </w:r>
    </w:p>
    <w:p w14:paraId="23CB158B" w14:textId="77777777" w:rsidR="008E4ABB" w:rsidRPr="008E4ABB" w:rsidRDefault="008E4ABB" w:rsidP="00270319">
      <w:pPr>
        <w:numPr>
          <w:ilvl w:val="1"/>
          <w:numId w:val="128"/>
        </w:numPr>
        <w:tabs>
          <w:tab w:val="left" w:pos="1704"/>
        </w:tabs>
        <w:ind w:left="1418"/>
        <w:rPr>
          <w:rFonts w:eastAsia="Courier New"/>
          <w:szCs w:val="24"/>
        </w:rPr>
      </w:pPr>
      <w:r w:rsidRPr="008E4ABB">
        <w:rPr>
          <w:rFonts w:eastAsia="Times New Roman"/>
          <w:szCs w:val="24"/>
        </w:rPr>
        <w:t>občasné</w:t>
      </w:r>
    </w:p>
    <w:p w14:paraId="41064419" w14:textId="77777777" w:rsidR="008E4ABB" w:rsidRPr="008E4ABB" w:rsidRDefault="008E4ABB" w:rsidP="00270319">
      <w:pPr>
        <w:pStyle w:val="Odstavecseseznamem"/>
        <w:numPr>
          <w:ilvl w:val="0"/>
          <w:numId w:val="126"/>
        </w:numPr>
        <w:tabs>
          <w:tab w:val="left" w:pos="1424"/>
        </w:tabs>
        <w:spacing w:before="240"/>
        <w:ind w:left="1418" w:hanging="142"/>
        <w:rPr>
          <w:rFonts w:eastAsia="Arial"/>
          <w:szCs w:val="24"/>
        </w:rPr>
      </w:pPr>
      <w:r w:rsidRPr="008E4ABB">
        <w:rPr>
          <w:rFonts w:eastAsia="Times New Roman"/>
          <w:b/>
          <w:bCs/>
          <w:szCs w:val="24"/>
        </w:rPr>
        <w:t>Podle rychlosti zavedení</w:t>
      </w:r>
    </w:p>
    <w:p w14:paraId="286F3B51" w14:textId="77777777" w:rsidR="008E4ABB" w:rsidRPr="008E4ABB" w:rsidRDefault="008E4ABB" w:rsidP="00D46B53">
      <w:pPr>
        <w:numPr>
          <w:ilvl w:val="1"/>
          <w:numId w:val="633"/>
        </w:numPr>
        <w:tabs>
          <w:tab w:val="left" w:pos="1704"/>
        </w:tabs>
        <w:ind w:left="1418" w:hanging="22"/>
        <w:rPr>
          <w:rFonts w:eastAsia="Courier New"/>
          <w:szCs w:val="24"/>
        </w:rPr>
      </w:pPr>
      <w:r w:rsidRPr="008E4ABB">
        <w:rPr>
          <w:rFonts w:eastAsia="Times New Roman"/>
          <w:szCs w:val="24"/>
        </w:rPr>
        <w:t>operativní (okamžitě použitelné)</w:t>
      </w:r>
    </w:p>
    <w:p w14:paraId="4E4349CC" w14:textId="51F38F10" w:rsidR="008E4ABB" w:rsidRPr="008E4ABB" w:rsidRDefault="008E4ABB" w:rsidP="00D46B53">
      <w:pPr>
        <w:pStyle w:val="Odstavecseseznamem"/>
        <w:numPr>
          <w:ilvl w:val="0"/>
          <w:numId w:val="633"/>
        </w:numPr>
        <w:tabs>
          <w:tab w:val="left" w:pos="1704"/>
        </w:tabs>
        <w:ind w:left="1418" w:hanging="22"/>
        <w:rPr>
          <w:rFonts w:eastAsia="Courier New"/>
          <w:szCs w:val="24"/>
        </w:rPr>
      </w:pPr>
      <w:r w:rsidRPr="008E4ABB">
        <w:rPr>
          <w:rFonts w:eastAsia="Courier New"/>
          <w:szCs w:val="24"/>
        </w:rPr>
        <w:t>neoperativní</w:t>
      </w:r>
    </w:p>
    <w:p w14:paraId="0672F9DE" w14:textId="77777777" w:rsidR="008E4ABB" w:rsidRPr="008E4ABB" w:rsidRDefault="008E4ABB" w:rsidP="00D46B53">
      <w:pPr>
        <w:numPr>
          <w:ilvl w:val="0"/>
          <w:numId w:val="632"/>
        </w:numPr>
        <w:tabs>
          <w:tab w:val="left" w:pos="1424"/>
        </w:tabs>
        <w:spacing w:before="240"/>
        <w:ind w:left="1418" w:hanging="142"/>
        <w:rPr>
          <w:rFonts w:eastAsia="Times New Roman"/>
          <w:b/>
          <w:bCs/>
          <w:szCs w:val="24"/>
        </w:rPr>
      </w:pPr>
      <w:r w:rsidRPr="008E4ABB">
        <w:rPr>
          <w:rFonts w:eastAsia="Times New Roman"/>
          <w:b/>
          <w:bCs/>
          <w:szCs w:val="24"/>
        </w:rPr>
        <w:t>Podle charakteru</w:t>
      </w:r>
    </w:p>
    <w:p w14:paraId="03E87C90" w14:textId="77777777" w:rsidR="008E4ABB" w:rsidRPr="008E4ABB" w:rsidRDefault="008E4ABB" w:rsidP="00D46B53">
      <w:pPr>
        <w:numPr>
          <w:ilvl w:val="0"/>
          <w:numId w:val="587"/>
        </w:numPr>
        <w:tabs>
          <w:tab w:val="left" w:pos="1843"/>
          <w:tab w:val="left" w:pos="2552"/>
          <w:tab w:val="left" w:pos="2694"/>
        </w:tabs>
        <w:ind w:left="1418" w:firstLine="0"/>
        <w:contextualSpacing/>
        <w:rPr>
          <w:rFonts w:eastAsia="Courier New"/>
          <w:szCs w:val="24"/>
        </w:rPr>
      </w:pPr>
      <w:r w:rsidRPr="008E4ABB">
        <w:rPr>
          <w:rFonts w:eastAsia="Courier New"/>
          <w:szCs w:val="24"/>
        </w:rPr>
        <w:t>tržní (nepřímé)</w:t>
      </w:r>
    </w:p>
    <w:p w14:paraId="08FF5BA9" w14:textId="77777777" w:rsidR="008E4ABB" w:rsidRPr="008E4ABB" w:rsidRDefault="008E4ABB" w:rsidP="00D46B53">
      <w:pPr>
        <w:numPr>
          <w:ilvl w:val="0"/>
          <w:numId w:val="587"/>
        </w:numPr>
        <w:tabs>
          <w:tab w:val="left" w:pos="1843"/>
          <w:tab w:val="left" w:pos="2552"/>
          <w:tab w:val="left" w:pos="2694"/>
        </w:tabs>
        <w:ind w:left="1418" w:firstLine="0"/>
        <w:contextualSpacing/>
        <w:rPr>
          <w:rFonts w:eastAsia="Courier New"/>
          <w:szCs w:val="24"/>
        </w:rPr>
      </w:pPr>
      <w:r w:rsidRPr="008E4ABB">
        <w:rPr>
          <w:rFonts w:eastAsia="Courier New"/>
          <w:szCs w:val="24"/>
        </w:rPr>
        <w:t>administrativní (přímé)</w:t>
      </w:r>
    </w:p>
    <w:p w14:paraId="476C107A" w14:textId="77777777" w:rsidR="008E4ABB" w:rsidRPr="008E4ABB" w:rsidRDefault="008E4ABB" w:rsidP="00D46B53">
      <w:pPr>
        <w:numPr>
          <w:ilvl w:val="0"/>
          <w:numId w:val="587"/>
        </w:numPr>
        <w:tabs>
          <w:tab w:val="left" w:pos="1843"/>
          <w:tab w:val="left" w:pos="2552"/>
          <w:tab w:val="left" w:pos="2694"/>
        </w:tabs>
        <w:ind w:left="1418" w:firstLine="0"/>
        <w:contextualSpacing/>
        <w:rPr>
          <w:rFonts w:eastAsia="Courier New"/>
          <w:szCs w:val="24"/>
        </w:rPr>
      </w:pPr>
      <w:r w:rsidRPr="008E4ABB">
        <w:rPr>
          <w:rFonts w:eastAsia="Courier New"/>
          <w:szCs w:val="24"/>
        </w:rPr>
        <w:t>nástroje s přímým dopadem</w:t>
      </w:r>
    </w:p>
    <w:p w14:paraId="17C0E6FF" w14:textId="77777777" w:rsidR="008E4ABB" w:rsidRPr="008E4ABB" w:rsidRDefault="008E4ABB" w:rsidP="00D46B53">
      <w:pPr>
        <w:numPr>
          <w:ilvl w:val="0"/>
          <w:numId w:val="587"/>
        </w:numPr>
        <w:tabs>
          <w:tab w:val="left" w:pos="1843"/>
          <w:tab w:val="left" w:pos="2552"/>
          <w:tab w:val="left" w:pos="2694"/>
        </w:tabs>
        <w:ind w:left="1418" w:firstLine="0"/>
        <w:contextualSpacing/>
        <w:rPr>
          <w:rFonts w:eastAsia="Courier New"/>
          <w:szCs w:val="24"/>
        </w:rPr>
      </w:pPr>
      <w:r w:rsidRPr="008E4ABB">
        <w:rPr>
          <w:rFonts w:eastAsia="Courier New"/>
          <w:szCs w:val="24"/>
        </w:rPr>
        <w:t>nástroje s nepřímým dopadem</w:t>
      </w:r>
    </w:p>
    <w:p w14:paraId="5E6A93D6" w14:textId="77777777" w:rsidR="008E4ABB" w:rsidRPr="008E4ABB" w:rsidRDefault="008E4ABB" w:rsidP="008E4ABB">
      <w:pPr>
        <w:spacing w:line="112" w:lineRule="exact"/>
        <w:rPr>
          <w:sz w:val="20"/>
          <w:szCs w:val="20"/>
        </w:rPr>
      </w:pPr>
    </w:p>
    <w:p w14:paraId="39B6525B" w14:textId="77777777" w:rsidR="008E4ABB" w:rsidRPr="00266F2F" w:rsidRDefault="008E4ABB" w:rsidP="00F47DAD">
      <w:pPr>
        <w:pStyle w:val="Nadpis4"/>
        <w:rPr>
          <w:color w:val="1F3864" w:themeColor="accent1" w:themeShade="80"/>
          <w:sz w:val="20"/>
          <w:szCs w:val="20"/>
        </w:rPr>
      </w:pPr>
      <w:r w:rsidRPr="00266F2F">
        <w:rPr>
          <w:rFonts w:eastAsia="Times New Roman"/>
          <w:color w:val="1F3864" w:themeColor="accent1" w:themeShade="80"/>
        </w:rPr>
        <w:t>Přímé (administrativní) nástroje</w:t>
      </w:r>
    </w:p>
    <w:p w14:paraId="22825031" w14:textId="77777777" w:rsidR="008E4ABB" w:rsidRPr="008E4ABB" w:rsidRDefault="008E4ABB" w:rsidP="0007131F">
      <w:pPr>
        <w:ind w:left="567" w:firstLine="720"/>
        <w:rPr>
          <w:sz w:val="20"/>
          <w:szCs w:val="20"/>
        </w:rPr>
      </w:pPr>
      <w:r w:rsidRPr="008E4ABB">
        <w:rPr>
          <w:rFonts w:eastAsia="Times New Roman"/>
        </w:rPr>
        <w:t xml:space="preserve">Jsou selektivní a adresné, pro svou administrativnost nejsou tržně konformní, ve vyspělých ekonomikách </w:t>
      </w:r>
      <w:r w:rsidRPr="008E4ABB">
        <w:rPr>
          <w:rFonts w:eastAsia="Times New Roman"/>
          <w:b/>
        </w:rPr>
        <w:t>nebývají výrazně uplatňovány</w:t>
      </w:r>
      <w:r w:rsidRPr="008E4ABB">
        <w:rPr>
          <w:rFonts w:eastAsia="Times New Roman"/>
        </w:rPr>
        <w:t xml:space="preserve">. Jejich použití svědčí o </w:t>
      </w:r>
      <w:r w:rsidRPr="008E4ABB">
        <w:rPr>
          <w:rFonts w:eastAsia="Times New Roman"/>
          <w:b/>
        </w:rPr>
        <w:t>selhání nástrojů nepřímých</w:t>
      </w:r>
      <w:r w:rsidRPr="008E4ABB">
        <w:rPr>
          <w:rFonts w:eastAsia="Times New Roman"/>
        </w:rPr>
        <w:t>.</w:t>
      </w:r>
    </w:p>
    <w:p w14:paraId="7C4B2730" w14:textId="77777777" w:rsidR="008E4ABB" w:rsidRPr="008E4ABB" w:rsidRDefault="008E4ABB" w:rsidP="008E4ABB">
      <w:pPr>
        <w:spacing w:line="1" w:lineRule="exact"/>
        <w:ind w:left="567" w:hanging="426"/>
        <w:rPr>
          <w:sz w:val="20"/>
          <w:szCs w:val="20"/>
        </w:rPr>
      </w:pPr>
    </w:p>
    <w:p w14:paraId="6A2B4FE6" w14:textId="77777777" w:rsidR="008E4ABB" w:rsidRPr="008E4ABB" w:rsidRDefault="008E4ABB" w:rsidP="00270319">
      <w:pPr>
        <w:numPr>
          <w:ilvl w:val="0"/>
          <w:numId w:val="129"/>
        </w:numPr>
        <w:tabs>
          <w:tab w:val="left" w:pos="720"/>
        </w:tabs>
        <w:spacing w:line="377" w:lineRule="auto"/>
        <w:ind w:left="567" w:hanging="426"/>
        <w:rPr>
          <w:rFonts w:eastAsia="Times New Roman"/>
          <w:b/>
          <w:bCs/>
          <w:szCs w:val="24"/>
        </w:rPr>
      </w:pPr>
      <w:r w:rsidRPr="008E4ABB">
        <w:rPr>
          <w:rFonts w:eastAsia="Times New Roman"/>
          <w:b/>
          <w:bCs/>
          <w:szCs w:val="24"/>
        </w:rPr>
        <w:t xml:space="preserve">pravidla likvidity </w:t>
      </w:r>
      <w:r w:rsidRPr="008E4ABB">
        <w:rPr>
          <w:rFonts w:eastAsia="Times New Roman"/>
          <w:szCs w:val="24"/>
        </w:rPr>
        <w:t>- centrální bankou stanovené závazné struktury aktiv a pasiv</w:t>
      </w:r>
      <w:r w:rsidRPr="008E4ABB">
        <w:rPr>
          <w:rFonts w:eastAsia="Times New Roman"/>
          <w:b/>
          <w:bCs/>
          <w:szCs w:val="24"/>
        </w:rPr>
        <w:t xml:space="preserve"> </w:t>
      </w:r>
      <w:r w:rsidRPr="008E4ABB">
        <w:rPr>
          <w:rFonts w:eastAsia="Times New Roman"/>
          <w:szCs w:val="24"/>
        </w:rPr>
        <w:t>obchodních bank, které zajišťují jejich stabilitu a tedy stabilitu celého bankovního sektoru (např. kapitálová přiměřenost – poměr kapitálu k rizikovým aktivům)</w:t>
      </w:r>
    </w:p>
    <w:p w14:paraId="1AA52750" w14:textId="77777777" w:rsidR="008E4ABB" w:rsidRPr="008E4ABB" w:rsidRDefault="008E4ABB" w:rsidP="00270319">
      <w:pPr>
        <w:numPr>
          <w:ilvl w:val="0"/>
          <w:numId w:val="129"/>
        </w:numPr>
        <w:tabs>
          <w:tab w:val="left" w:pos="720"/>
        </w:tabs>
        <w:spacing w:line="375" w:lineRule="auto"/>
        <w:ind w:left="567" w:hanging="426"/>
        <w:rPr>
          <w:rFonts w:eastAsia="Times New Roman"/>
          <w:b/>
          <w:bCs/>
          <w:szCs w:val="24"/>
        </w:rPr>
      </w:pPr>
      <w:r w:rsidRPr="008E4ABB">
        <w:rPr>
          <w:rFonts w:eastAsia="Times New Roman"/>
          <w:b/>
          <w:bCs/>
          <w:szCs w:val="24"/>
        </w:rPr>
        <w:t xml:space="preserve">úrokové limity </w:t>
      </w:r>
      <w:r w:rsidRPr="008E4ABB">
        <w:rPr>
          <w:rFonts w:eastAsia="Times New Roman"/>
          <w:szCs w:val="24"/>
        </w:rPr>
        <w:t>- CB může obchodním bankám stanovit maximální úrokové sazby,</w:t>
      </w:r>
      <w:r w:rsidRPr="008E4ABB">
        <w:rPr>
          <w:rFonts w:eastAsia="Times New Roman"/>
          <w:b/>
          <w:bCs/>
          <w:szCs w:val="24"/>
        </w:rPr>
        <w:t xml:space="preserve"> </w:t>
      </w:r>
      <w:r w:rsidRPr="008E4ABB">
        <w:rPr>
          <w:rFonts w:eastAsia="Times New Roman"/>
          <w:szCs w:val="24"/>
        </w:rPr>
        <w:t>které mohou požadovat z jimi poskytovaných úvěrů, nebo naopak minimální úrokové sazby z přijímaných depozit.</w:t>
      </w:r>
    </w:p>
    <w:p w14:paraId="4CE1EC19" w14:textId="77777777" w:rsidR="008E4ABB" w:rsidRPr="008E4ABB" w:rsidRDefault="008E4ABB" w:rsidP="00270319">
      <w:pPr>
        <w:numPr>
          <w:ilvl w:val="0"/>
          <w:numId w:val="129"/>
        </w:numPr>
        <w:tabs>
          <w:tab w:val="left" w:pos="720"/>
        </w:tabs>
        <w:rPr>
          <w:rFonts w:eastAsia="Times New Roman"/>
          <w:b/>
          <w:bCs/>
          <w:szCs w:val="24"/>
        </w:rPr>
      </w:pPr>
      <w:r w:rsidRPr="008E4ABB">
        <w:rPr>
          <w:rFonts w:eastAsia="Times New Roman"/>
          <w:b/>
          <w:bCs/>
          <w:szCs w:val="24"/>
        </w:rPr>
        <w:t>úvěrové limity</w:t>
      </w:r>
    </w:p>
    <w:p w14:paraId="122B523A" w14:textId="77777777" w:rsidR="008E4ABB" w:rsidRPr="008E4ABB" w:rsidRDefault="008E4ABB" w:rsidP="00270319">
      <w:pPr>
        <w:numPr>
          <w:ilvl w:val="1"/>
          <w:numId w:val="129"/>
        </w:numPr>
        <w:tabs>
          <w:tab w:val="left" w:pos="1440"/>
        </w:tabs>
        <w:spacing w:line="361" w:lineRule="auto"/>
        <w:ind w:left="1418" w:hanging="425"/>
        <w:rPr>
          <w:rFonts w:eastAsia="Times New Roman"/>
          <w:szCs w:val="24"/>
        </w:rPr>
      </w:pPr>
      <w:r w:rsidRPr="008E4ABB">
        <w:rPr>
          <w:rFonts w:eastAsia="Times New Roman"/>
          <w:szCs w:val="24"/>
        </w:rPr>
        <w:t>absolutní limity: maximální objem úvěrů, které mohou obchodní banky poskytnout klientům</w:t>
      </w:r>
    </w:p>
    <w:p w14:paraId="22FE3810" w14:textId="77777777" w:rsidR="008E4ABB" w:rsidRPr="008E4ABB" w:rsidRDefault="008E4ABB" w:rsidP="00270319">
      <w:pPr>
        <w:numPr>
          <w:ilvl w:val="1"/>
          <w:numId w:val="129"/>
        </w:numPr>
        <w:tabs>
          <w:tab w:val="left" w:pos="1440"/>
        </w:tabs>
        <w:spacing w:line="385" w:lineRule="auto"/>
        <w:ind w:left="1418" w:hanging="425"/>
        <w:rPr>
          <w:rFonts w:eastAsia="Times New Roman"/>
          <w:szCs w:val="24"/>
        </w:rPr>
      </w:pPr>
      <w:r w:rsidRPr="008E4ABB">
        <w:rPr>
          <w:rFonts w:eastAsia="Times New Roman"/>
          <w:szCs w:val="24"/>
        </w:rPr>
        <w:t>relativní limity: maximální objem úvěrů, které mohou obchodní banky získat od centrální banky</w:t>
      </w:r>
    </w:p>
    <w:p w14:paraId="2326FCE9" w14:textId="158B7CE1" w:rsidR="008E4ABB" w:rsidRPr="0007131F" w:rsidRDefault="008E4ABB" w:rsidP="0007131F">
      <w:pPr>
        <w:numPr>
          <w:ilvl w:val="0"/>
          <w:numId w:val="129"/>
        </w:numPr>
        <w:tabs>
          <w:tab w:val="left" w:pos="720"/>
        </w:tabs>
        <w:spacing w:line="391" w:lineRule="auto"/>
        <w:ind w:left="426" w:hanging="426"/>
        <w:rPr>
          <w:rFonts w:eastAsia="Times New Roman"/>
          <w:b/>
          <w:bCs/>
          <w:szCs w:val="24"/>
        </w:rPr>
      </w:pPr>
      <w:r w:rsidRPr="008E4ABB">
        <w:rPr>
          <w:rFonts w:eastAsia="Times New Roman"/>
          <w:b/>
          <w:bCs/>
          <w:szCs w:val="24"/>
        </w:rPr>
        <w:t xml:space="preserve">povinné vklady </w:t>
      </w:r>
      <w:r w:rsidRPr="008E4ABB">
        <w:rPr>
          <w:rFonts w:eastAsia="Times New Roman"/>
          <w:szCs w:val="24"/>
        </w:rPr>
        <w:t>- povinnost některých subjektů</w:t>
      </w:r>
      <w:r w:rsidRPr="008E4ABB">
        <w:rPr>
          <w:rFonts w:eastAsia="Times New Roman"/>
          <w:b/>
          <w:bCs/>
          <w:szCs w:val="24"/>
        </w:rPr>
        <w:t xml:space="preserve"> </w:t>
      </w:r>
      <w:r w:rsidRPr="008E4ABB">
        <w:rPr>
          <w:rFonts w:eastAsia="Times New Roman"/>
          <w:szCs w:val="24"/>
        </w:rPr>
        <w:t>vést účty u centrální banky, provádět</w:t>
      </w:r>
      <w:r w:rsidRPr="008E4ABB">
        <w:rPr>
          <w:rFonts w:eastAsia="Times New Roman"/>
          <w:b/>
          <w:bCs/>
          <w:szCs w:val="24"/>
        </w:rPr>
        <w:t xml:space="preserve"> </w:t>
      </w:r>
      <w:r w:rsidRPr="008E4ABB">
        <w:rPr>
          <w:rFonts w:eastAsia="Times New Roman"/>
          <w:szCs w:val="24"/>
        </w:rPr>
        <w:t>přes ni transakce nebo u ní ukládat vklady (většinou orgány veřejné</w:t>
      </w:r>
      <w:r w:rsidR="0007131F">
        <w:rPr>
          <w:rFonts w:eastAsia="Times New Roman"/>
          <w:szCs w:val="24"/>
        </w:rPr>
        <w:t>)</w:t>
      </w:r>
    </w:p>
    <w:p w14:paraId="29C14E16" w14:textId="77777777" w:rsidR="008E4ABB" w:rsidRPr="008E4ABB" w:rsidRDefault="008E4ABB" w:rsidP="00270319">
      <w:pPr>
        <w:numPr>
          <w:ilvl w:val="0"/>
          <w:numId w:val="129"/>
        </w:numPr>
        <w:tabs>
          <w:tab w:val="left" w:pos="720"/>
        </w:tabs>
        <w:rPr>
          <w:rFonts w:eastAsia="Times New Roman"/>
          <w:b/>
          <w:bCs/>
          <w:szCs w:val="24"/>
        </w:rPr>
      </w:pPr>
      <w:r w:rsidRPr="008E4ABB">
        <w:rPr>
          <w:rFonts w:eastAsia="Times New Roman"/>
          <w:b/>
          <w:bCs/>
          <w:szCs w:val="24"/>
        </w:rPr>
        <w:lastRenderedPageBreak/>
        <w:t>doporučení, výzvy, gentlemanské dohody</w:t>
      </w:r>
    </w:p>
    <w:p w14:paraId="77DD7ADB" w14:textId="77777777" w:rsidR="008E4ABB" w:rsidRPr="008E4ABB" w:rsidRDefault="008E4ABB" w:rsidP="008E4ABB">
      <w:pPr>
        <w:spacing w:line="142" w:lineRule="exact"/>
        <w:rPr>
          <w:rFonts w:eastAsia="Times New Roman"/>
          <w:b/>
          <w:bCs/>
          <w:szCs w:val="24"/>
        </w:rPr>
      </w:pPr>
    </w:p>
    <w:p w14:paraId="06BF0DBC" w14:textId="77777777" w:rsidR="008E4ABB" w:rsidRPr="008E4ABB" w:rsidRDefault="008E4ABB" w:rsidP="00270319">
      <w:pPr>
        <w:numPr>
          <w:ilvl w:val="1"/>
          <w:numId w:val="129"/>
        </w:numPr>
        <w:tabs>
          <w:tab w:val="left" w:pos="1440"/>
          <w:tab w:val="left" w:pos="1560"/>
        </w:tabs>
        <w:spacing w:line="361" w:lineRule="auto"/>
        <w:ind w:left="1276" w:hanging="283"/>
        <w:rPr>
          <w:rFonts w:eastAsia="Times New Roman"/>
          <w:szCs w:val="24"/>
        </w:rPr>
      </w:pPr>
      <w:r w:rsidRPr="008E4ABB">
        <w:rPr>
          <w:rFonts w:eastAsia="Times New Roman"/>
          <w:szCs w:val="24"/>
        </w:rPr>
        <w:t>doporučení - vyjádření ústního přání centrální banky, jak by se měla chovat obchodní banka (např. týkající se úvěrové angažovanosti)</w:t>
      </w:r>
    </w:p>
    <w:p w14:paraId="6A7EA79B" w14:textId="77777777" w:rsidR="008E4ABB" w:rsidRPr="008E4ABB" w:rsidRDefault="008E4ABB" w:rsidP="00270319">
      <w:pPr>
        <w:numPr>
          <w:ilvl w:val="1"/>
          <w:numId w:val="129"/>
        </w:numPr>
        <w:tabs>
          <w:tab w:val="left" w:pos="1440"/>
          <w:tab w:val="left" w:pos="1560"/>
        </w:tabs>
        <w:ind w:left="1276" w:hanging="283"/>
        <w:rPr>
          <w:rFonts w:eastAsia="Times New Roman"/>
          <w:szCs w:val="24"/>
        </w:rPr>
      </w:pPr>
      <w:r w:rsidRPr="008E4ABB">
        <w:rPr>
          <w:rFonts w:eastAsia="Times New Roman"/>
          <w:szCs w:val="24"/>
        </w:rPr>
        <w:t>výzvy - nemusí být písemné, jsou důraznější</w:t>
      </w:r>
    </w:p>
    <w:p w14:paraId="17F0DBFF" w14:textId="77777777" w:rsidR="008E4ABB" w:rsidRPr="008E4ABB" w:rsidRDefault="008E4ABB" w:rsidP="008E4ABB">
      <w:pPr>
        <w:tabs>
          <w:tab w:val="left" w:pos="1560"/>
        </w:tabs>
        <w:spacing w:line="132" w:lineRule="exact"/>
        <w:ind w:left="1276" w:hanging="283"/>
        <w:rPr>
          <w:rFonts w:eastAsia="Times New Roman"/>
          <w:szCs w:val="24"/>
        </w:rPr>
      </w:pPr>
    </w:p>
    <w:p w14:paraId="0E3494B0" w14:textId="77777777" w:rsidR="008E4ABB" w:rsidRPr="008E4ABB" w:rsidRDefault="008E4ABB" w:rsidP="00270319">
      <w:pPr>
        <w:numPr>
          <w:ilvl w:val="1"/>
          <w:numId w:val="129"/>
        </w:numPr>
        <w:tabs>
          <w:tab w:val="left" w:pos="1440"/>
          <w:tab w:val="left" w:pos="1560"/>
        </w:tabs>
        <w:spacing w:after="240"/>
        <w:ind w:left="1276" w:hanging="283"/>
        <w:rPr>
          <w:rFonts w:eastAsia="Times New Roman"/>
          <w:szCs w:val="24"/>
        </w:rPr>
      </w:pPr>
      <w:r w:rsidRPr="008E4ABB">
        <w:rPr>
          <w:rFonts w:eastAsia="Times New Roman"/>
          <w:szCs w:val="24"/>
        </w:rPr>
        <w:t>gentlemanské dohody - mají písemnou a závaznou formu, strany se je snaží dodržovat, aby vypadali dobře (kvůli jejich image), nevymahatelné.</w:t>
      </w:r>
    </w:p>
    <w:p w14:paraId="1238EF9E" w14:textId="77777777" w:rsidR="008E4ABB" w:rsidRPr="004B6CDE" w:rsidRDefault="008E4ABB" w:rsidP="00F47DAD">
      <w:pPr>
        <w:pStyle w:val="Nadpis4"/>
        <w:rPr>
          <w:color w:val="1F3864" w:themeColor="accent1" w:themeShade="80"/>
          <w:sz w:val="20"/>
          <w:szCs w:val="20"/>
        </w:rPr>
      </w:pPr>
      <w:bookmarkStart w:id="141" w:name="page138"/>
      <w:bookmarkEnd w:id="141"/>
      <w:r w:rsidRPr="004B6CDE">
        <w:rPr>
          <w:rFonts w:eastAsia="Times New Roman"/>
          <w:color w:val="1F3864" w:themeColor="accent1" w:themeShade="80"/>
        </w:rPr>
        <w:t>Nepřímé (tržní) nástroje</w:t>
      </w:r>
    </w:p>
    <w:p w14:paraId="2D4D4569" w14:textId="77777777" w:rsidR="008E4ABB" w:rsidRPr="008E4ABB" w:rsidRDefault="008E4ABB" w:rsidP="00A44047">
      <w:pPr>
        <w:spacing w:line="358" w:lineRule="auto"/>
        <w:ind w:left="426" w:firstLine="720"/>
        <w:rPr>
          <w:sz w:val="20"/>
          <w:szCs w:val="20"/>
        </w:rPr>
      </w:pPr>
      <w:r w:rsidRPr="008E4ABB">
        <w:rPr>
          <w:rFonts w:eastAsia="Times New Roman"/>
          <w:szCs w:val="24"/>
        </w:rPr>
        <w:t xml:space="preserve">Neadresné a obecné, jejich používání </w:t>
      </w:r>
      <w:r w:rsidRPr="008E4ABB">
        <w:rPr>
          <w:rFonts w:eastAsia="Times New Roman"/>
          <w:b/>
          <w:szCs w:val="24"/>
        </w:rPr>
        <w:t>je v souladu s tržním přístupem k ekonomice</w:t>
      </w:r>
      <w:r w:rsidRPr="008E4ABB">
        <w:rPr>
          <w:rFonts w:eastAsia="Times New Roman"/>
          <w:szCs w:val="24"/>
        </w:rPr>
        <w:t>, protože mají plošný dopad – nezvýhodňují či zvýhodňují pouze některé subjekty.</w:t>
      </w:r>
    </w:p>
    <w:p w14:paraId="086C8BCA" w14:textId="77777777" w:rsidR="008E4ABB" w:rsidRPr="008E4ABB" w:rsidRDefault="008E4ABB" w:rsidP="008E4ABB">
      <w:pPr>
        <w:spacing w:line="1" w:lineRule="exact"/>
        <w:rPr>
          <w:sz w:val="20"/>
          <w:szCs w:val="20"/>
        </w:rPr>
      </w:pPr>
    </w:p>
    <w:p w14:paraId="473B722A" w14:textId="77777777" w:rsidR="008E4ABB" w:rsidRPr="004B6CDE" w:rsidRDefault="008E4ABB" w:rsidP="00270319">
      <w:pPr>
        <w:numPr>
          <w:ilvl w:val="0"/>
          <w:numId w:val="130"/>
        </w:numPr>
        <w:tabs>
          <w:tab w:val="left" w:pos="720"/>
        </w:tabs>
        <w:ind w:left="426"/>
        <w:rPr>
          <w:rFonts w:eastAsia="Times New Roman"/>
          <w:b/>
          <w:bCs/>
          <w:szCs w:val="24"/>
        </w:rPr>
      </w:pPr>
      <w:r w:rsidRPr="004B6CDE">
        <w:rPr>
          <w:rFonts w:eastAsia="Times New Roman"/>
          <w:b/>
          <w:bCs/>
          <w:szCs w:val="24"/>
        </w:rPr>
        <w:t>Operace na volném trhu</w:t>
      </w:r>
    </w:p>
    <w:p w14:paraId="4E978E6C" w14:textId="77777777" w:rsidR="008E4ABB" w:rsidRPr="008E4ABB" w:rsidRDefault="008E4ABB" w:rsidP="00270319">
      <w:pPr>
        <w:numPr>
          <w:ilvl w:val="2"/>
          <w:numId w:val="130"/>
        </w:numPr>
        <w:tabs>
          <w:tab w:val="left" w:pos="1440"/>
        </w:tabs>
        <w:ind w:left="1418" w:hanging="425"/>
        <w:rPr>
          <w:rFonts w:eastAsia="Times New Roman"/>
          <w:szCs w:val="24"/>
        </w:rPr>
      </w:pPr>
      <w:r w:rsidRPr="008E4ABB">
        <w:rPr>
          <w:rFonts w:eastAsia="Times New Roman"/>
          <w:b/>
          <w:szCs w:val="24"/>
        </w:rPr>
        <w:t>prodeje/nákupy vládních cenných papírů od soukromého sektoru</w:t>
      </w:r>
      <w:r w:rsidRPr="008E4ABB">
        <w:rPr>
          <w:rFonts w:eastAsia="Times New Roman"/>
          <w:szCs w:val="24"/>
        </w:rPr>
        <w:t xml:space="preserve"> (komerčních bank)</w:t>
      </w:r>
    </w:p>
    <w:p w14:paraId="273FA4EB" w14:textId="77777777" w:rsidR="008E4ABB" w:rsidRPr="008E4ABB" w:rsidRDefault="008E4ABB" w:rsidP="00270319">
      <w:pPr>
        <w:numPr>
          <w:ilvl w:val="2"/>
          <w:numId w:val="130"/>
        </w:numPr>
        <w:tabs>
          <w:tab w:val="left" w:pos="1440"/>
        </w:tabs>
        <w:ind w:left="1418" w:hanging="425"/>
        <w:rPr>
          <w:rFonts w:eastAsia="Times New Roman"/>
          <w:szCs w:val="24"/>
        </w:rPr>
      </w:pPr>
      <w:r w:rsidRPr="008E4ABB">
        <w:rPr>
          <w:rFonts w:eastAsia="Times New Roman"/>
          <w:szCs w:val="24"/>
        </w:rPr>
        <w:t>když CB nakoupí vládní dluhopisy, zvýší poptávku po dluhopisech a jejich tržní cenu a tím se sníží úroková míra</w:t>
      </w:r>
    </w:p>
    <w:p w14:paraId="4FA6A37C" w14:textId="77777777" w:rsidR="008E4ABB" w:rsidRPr="008E4ABB" w:rsidRDefault="008E4ABB" w:rsidP="00270319">
      <w:pPr>
        <w:numPr>
          <w:ilvl w:val="2"/>
          <w:numId w:val="130"/>
        </w:numPr>
        <w:tabs>
          <w:tab w:val="left" w:pos="1440"/>
        </w:tabs>
        <w:ind w:left="1418" w:hanging="425"/>
        <w:rPr>
          <w:rFonts w:eastAsia="Arial"/>
          <w:szCs w:val="24"/>
        </w:rPr>
      </w:pPr>
      <w:r w:rsidRPr="008E4ABB">
        <w:rPr>
          <w:rFonts w:eastAsia="Times New Roman"/>
          <w:szCs w:val="24"/>
        </w:rPr>
        <w:t>cílem je usměrňovat vývoj úrokových sazeb v ekonomice</w:t>
      </w:r>
    </w:p>
    <w:p w14:paraId="46DABD43" w14:textId="77777777" w:rsidR="008E4ABB" w:rsidRPr="008E4ABB" w:rsidRDefault="008E4ABB" w:rsidP="00270319">
      <w:pPr>
        <w:numPr>
          <w:ilvl w:val="2"/>
          <w:numId w:val="130"/>
        </w:numPr>
        <w:tabs>
          <w:tab w:val="left" w:pos="1440"/>
        </w:tabs>
        <w:spacing w:line="366" w:lineRule="auto"/>
        <w:ind w:left="1418" w:right="40" w:hanging="425"/>
        <w:rPr>
          <w:rFonts w:eastAsia="Arial"/>
          <w:szCs w:val="24"/>
        </w:rPr>
      </w:pPr>
      <w:r w:rsidRPr="008E4ABB">
        <w:rPr>
          <w:rFonts w:eastAsia="Times New Roman"/>
          <w:szCs w:val="24"/>
        </w:rPr>
        <w:t>hlavní měnový nástroj má formu repo operací (nákup /prodej cenných papírů)</w:t>
      </w:r>
    </w:p>
    <w:p w14:paraId="509B9EC9" w14:textId="77777777" w:rsidR="008E4ABB" w:rsidRPr="008E4ABB" w:rsidRDefault="008E4ABB" w:rsidP="00270319">
      <w:pPr>
        <w:numPr>
          <w:ilvl w:val="2"/>
          <w:numId w:val="130"/>
        </w:numPr>
        <w:tabs>
          <w:tab w:val="left" w:pos="1440"/>
        </w:tabs>
        <w:spacing w:line="366" w:lineRule="auto"/>
        <w:ind w:left="1418" w:right="40" w:hanging="425"/>
        <w:rPr>
          <w:rFonts w:eastAsia="Arial"/>
          <w:szCs w:val="24"/>
        </w:rPr>
      </w:pPr>
      <w:r w:rsidRPr="008E4ABB">
        <w:rPr>
          <w:rFonts w:eastAsia="Arial"/>
          <w:szCs w:val="24"/>
        </w:rPr>
        <w:t>při repo operacích ČNB přijímá od bank přebytečné peníze a bankám předává jako zástavu dohodnuté cenné papíry</w:t>
      </w:r>
    </w:p>
    <w:p w14:paraId="7D2770FD" w14:textId="77777777" w:rsidR="008E4ABB" w:rsidRPr="008E4ABB" w:rsidRDefault="008E4ABB" w:rsidP="00270319">
      <w:pPr>
        <w:numPr>
          <w:ilvl w:val="2"/>
          <w:numId w:val="130"/>
        </w:numPr>
        <w:tabs>
          <w:tab w:val="left" w:pos="1440"/>
        </w:tabs>
        <w:spacing w:line="366" w:lineRule="auto"/>
        <w:ind w:left="1418" w:right="40" w:hanging="425"/>
        <w:rPr>
          <w:rFonts w:eastAsia="Arial"/>
          <w:szCs w:val="24"/>
        </w:rPr>
      </w:pPr>
      <w:r w:rsidRPr="008E4ABB">
        <w:rPr>
          <w:szCs w:val="24"/>
          <w:shd w:val="clear" w:color="auto" w:fill="FFFFFF"/>
        </w:rPr>
        <w:t xml:space="preserve">obě strany se zároveň zavazují, že po uplynutí doby splatnosti </w:t>
      </w:r>
      <w:r w:rsidRPr="008E4ABB">
        <w:rPr>
          <w:b/>
          <w:szCs w:val="24"/>
          <w:shd w:val="clear" w:color="auto" w:fill="FFFFFF"/>
        </w:rPr>
        <w:t>ČNB jako dlužník vrátí věřitelské bance zapůjčenou jistinu zvýšenou o dohodnutý úrok a věřitelská banka vrátí ČNB poskytnutý kolaterál</w:t>
      </w:r>
    </w:p>
    <w:p w14:paraId="6D26904B" w14:textId="77777777" w:rsidR="008E4ABB" w:rsidRPr="008E4ABB" w:rsidRDefault="008E4ABB" w:rsidP="00270319">
      <w:pPr>
        <w:numPr>
          <w:ilvl w:val="2"/>
          <w:numId w:val="130"/>
        </w:numPr>
        <w:tabs>
          <w:tab w:val="left" w:pos="1440"/>
        </w:tabs>
        <w:spacing w:line="366" w:lineRule="auto"/>
        <w:ind w:left="1418" w:right="40" w:hanging="425"/>
        <w:rPr>
          <w:rFonts w:eastAsia="Arial"/>
          <w:szCs w:val="24"/>
        </w:rPr>
      </w:pPr>
      <w:r w:rsidRPr="008E4ABB">
        <w:rPr>
          <w:szCs w:val="24"/>
          <w:shd w:val="clear" w:color="auto" w:fill="FFFFFF"/>
        </w:rPr>
        <w:t xml:space="preserve">základní doba trvání těchto operací je stanovena na 14 dní, proto je z hlediska měnové politiky chápána jako klíčová </w:t>
      </w:r>
      <w:r w:rsidRPr="008E4ABB">
        <w:rPr>
          <w:b/>
          <w:szCs w:val="24"/>
          <w:shd w:val="clear" w:color="auto" w:fill="FFFFFF"/>
        </w:rPr>
        <w:t>dvoutýdenní repo sazba</w:t>
      </w:r>
    </w:p>
    <w:p w14:paraId="7B7A8D25" w14:textId="77777777" w:rsidR="008E4ABB" w:rsidRPr="008E4ABB" w:rsidRDefault="008E4ABB" w:rsidP="008E4ABB">
      <w:pPr>
        <w:tabs>
          <w:tab w:val="left" w:pos="1700"/>
        </w:tabs>
        <w:ind w:left="720"/>
        <w:contextualSpacing/>
        <w:rPr>
          <w:b/>
          <w:szCs w:val="24"/>
          <w:shd w:val="clear" w:color="auto" w:fill="FFFFFF"/>
        </w:rPr>
      </w:pPr>
      <w:r w:rsidRPr="008E4ABB">
        <w:rPr>
          <w:szCs w:val="24"/>
          <w:shd w:val="clear" w:color="auto" w:fill="FFFFFF"/>
        </w:rPr>
        <w:t xml:space="preserve">V závislosti na predikci vývoje likvidity bankovního sektoru jsou čas od času prováděny i repo operace s dobou splatnosti kratší než 14 dní, ale vzhledem </w:t>
      </w:r>
      <w:r w:rsidRPr="008E4ABB">
        <w:rPr>
          <w:szCs w:val="24"/>
          <w:shd w:val="clear" w:color="auto" w:fill="FFFFFF"/>
        </w:rPr>
        <w:br/>
        <w:t xml:space="preserve">k systémovému přebytku likvidity v bankovním sektoru slouží repo tendry </w:t>
      </w:r>
      <w:r w:rsidRPr="008E4ABB">
        <w:rPr>
          <w:b/>
          <w:szCs w:val="24"/>
          <w:shd w:val="clear" w:color="auto" w:fill="FFFFFF"/>
        </w:rPr>
        <w:t>především k odčerpávání likvidity</w:t>
      </w:r>
    </w:p>
    <w:p w14:paraId="2785C70B" w14:textId="77777777" w:rsidR="008E4ABB" w:rsidRPr="008E4ABB" w:rsidRDefault="008E4ABB" w:rsidP="008E4ABB">
      <w:pPr>
        <w:spacing w:line="240" w:lineRule="auto"/>
        <w:jc w:val="left"/>
        <w:rPr>
          <w:b/>
          <w:szCs w:val="24"/>
          <w:u w:val="single"/>
          <w:shd w:val="clear" w:color="auto" w:fill="FFFFFF"/>
        </w:rPr>
      </w:pPr>
      <w:r w:rsidRPr="008E4ABB">
        <w:rPr>
          <w:b/>
          <w:szCs w:val="24"/>
          <w:u w:val="single"/>
          <w:shd w:val="clear" w:color="auto" w:fill="FFFFFF"/>
        </w:rPr>
        <w:br w:type="page"/>
      </w:r>
    </w:p>
    <w:p w14:paraId="5231BB8D" w14:textId="6AA50C3F" w:rsidR="008E4ABB" w:rsidRPr="00762D00" w:rsidRDefault="008E4ABB" w:rsidP="008E4ABB">
      <w:pPr>
        <w:tabs>
          <w:tab w:val="left" w:pos="1700"/>
        </w:tabs>
        <w:ind w:left="720"/>
        <w:contextualSpacing/>
        <w:rPr>
          <w:b/>
          <w:szCs w:val="24"/>
          <w:u w:val="single"/>
          <w:shd w:val="clear" w:color="auto" w:fill="FFFFFF"/>
        </w:rPr>
      </w:pPr>
      <w:r w:rsidRPr="00762D00">
        <w:rPr>
          <w:b/>
          <w:szCs w:val="24"/>
          <w:u w:val="single"/>
          <w:shd w:val="clear" w:color="auto" w:fill="FFFFFF"/>
        </w:rPr>
        <w:lastRenderedPageBreak/>
        <w:t>REPO SAZBA DNES (</w:t>
      </w:r>
      <w:r w:rsidR="000506FA" w:rsidRPr="00762D00">
        <w:rPr>
          <w:b/>
          <w:szCs w:val="24"/>
          <w:u w:val="single"/>
          <w:shd w:val="clear" w:color="auto" w:fill="FFFFFF"/>
        </w:rPr>
        <w:t>11. 5. 2020</w:t>
      </w:r>
      <w:r w:rsidRPr="00762D00">
        <w:rPr>
          <w:b/>
          <w:szCs w:val="24"/>
          <w:u w:val="single"/>
          <w:shd w:val="clear" w:color="auto" w:fill="FFFFFF"/>
        </w:rPr>
        <w:t xml:space="preserve">) ČINÍ </w:t>
      </w:r>
      <w:r w:rsidR="00762D00" w:rsidRPr="00762D00">
        <w:rPr>
          <w:b/>
          <w:szCs w:val="24"/>
          <w:u w:val="single"/>
          <w:shd w:val="clear" w:color="auto" w:fill="FFFFFF"/>
        </w:rPr>
        <w:t>0</w:t>
      </w:r>
      <w:r w:rsidRPr="00762D00">
        <w:rPr>
          <w:b/>
          <w:szCs w:val="24"/>
          <w:u w:val="single"/>
          <w:shd w:val="clear" w:color="auto" w:fill="FFFFFF"/>
        </w:rPr>
        <w:t>,</w:t>
      </w:r>
      <w:r w:rsidR="00762D00" w:rsidRPr="00762D00">
        <w:rPr>
          <w:b/>
          <w:szCs w:val="24"/>
          <w:u w:val="single"/>
          <w:shd w:val="clear" w:color="auto" w:fill="FFFFFF"/>
        </w:rPr>
        <w:t>25</w:t>
      </w:r>
      <w:r w:rsidRPr="00762D00">
        <w:rPr>
          <w:b/>
          <w:szCs w:val="24"/>
          <w:u w:val="single"/>
          <w:shd w:val="clear" w:color="auto" w:fill="FFFFFF"/>
        </w:rPr>
        <w:t xml:space="preserve"> %</w:t>
      </w:r>
    </w:p>
    <w:p w14:paraId="58F4DFCC" w14:textId="77777777" w:rsidR="008E4ABB" w:rsidRPr="008E4ABB" w:rsidRDefault="008E4ABB" w:rsidP="008E4ABB">
      <w:pPr>
        <w:spacing w:line="1" w:lineRule="exact"/>
        <w:rPr>
          <w:rFonts w:eastAsia="Arial"/>
          <w:szCs w:val="24"/>
        </w:rPr>
      </w:pPr>
    </w:p>
    <w:p w14:paraId="453A6B34" w14:textId="77777777" w:rsidR="008E4ABB" w:rsidRPr="008E4ABB" w:rsidRDefault="008E4ABB" w:rsidP="00270319">
      <w:pPr>
        <w:numPr>
          <w:ilvl w:val="2"/>
          <w:numId w:val="130"/>
        </w:numPr>
        <w:tabs>
          <w:tab w:val="left" w:pos="1440"/>
        </w:tabs>
        <w:spacing w:line="357" w:lineRule="auto"/>
        <w:ind w:left="1276" w:hanging="283"/>
        <w:rPr>
          <w:rFonts w:eastAsia="Arial"/>
          <w:szCs w:val="24"/>
        </w:rPr>
      </w:pPr>
      <w:r w:rsidRPr="008E4ABB">
        <w:rPr>
          <w:rFonts w:eastAsia="Times New Roman"/>
          <w:szCs w:val="24"/>
        </w:rPr>
        <w:t>z hlediska cíle a pravidelnosti můžeme operace na volném trhu rozdělit následovně:</w:t>
      </w:r>
    </w:p>
    <w:p w14:paraId="6D2F786A" w14:textId="77777777" w:rsidR="008E4ABB" w:rsidRPr="008E4ABB" w:rsidRDefault="008E4ABB" w:rsidP="008E4ABB">
      <w:pPr>
        <w:spacing w:line="1" w:lineRule="exact"/>
        <w:rPr>
          <w:rFonts w:eastAsia="Arial"/>
          <w:szCs w:val="24"/>
        </w:rPr>
      </w:pPr>
    </w:p>
    <w:p w14:paraId="512B6222" w14:textId="77777777" w:rsidR="008E4ABB" w:rsidRPr="008E4ABB" w:rsidRDefault="008E4ABB" w:rsidP="00270319">
      <w:pPr>
        <w:numPr>
          <w:ilvl w:val="3"/>
          <w:numId w:val="130"/>
        </w:numPr>
        <w:tabs>
          <w:tab w:val="left" w:pos="1843"/>
        </w:tabs>
        <w:ind w:left="1701" w:hanging="567"/>
        <w:rPr>
          <w:rFonts w:eastAsia="Times New Roman"/>
          <w:b/>
          <w:bCs/>
          <w:szCs w:val="24"/>
        </w:rPr>
      </w:pPr>
      <w:r w:rsidRPr="008E4ABB">
        <w:rPr>
          <w:rFonts w:eastAsia="Times New Roman"/>
          <w:b/>
          <w:bCs/>
          <w:szCs w:val="24"/>
        </w:rPr>
        <w:t xml:space="preserve">Hlavní měnový nástroj: </w:t>
      </w:r>
      <w:r w:rsidRPr="008E4ABB">
        <w:rPr>
          <w:rFonts w:eastAsia="Times New Roman"/>
          <w:szCs w:val="24"/>
        </w:rPr>
        <w:t>má podobu</w:t>
      </w:r>
      <w:r w:rsidRPr="008E4ABB">
        <w:rPr>
          <w:rFonts w:eastAsia="Times New Roman"/>
          <w:b/>
          <w:bCs/>
          <w:szCs w:val="24"/>
        </w:rPr>
        <w:t xml:space="preserve"> </w:t>
      </w:r>
      <w:r w:rsidRPr="008E4ABB">
        <w:rPr>
          <w:rFonts w:eastAsia="Times New Roman"/>
          <w:b/>
          <w:bCs/>
          <w:i/>
          <w:iCs/>
          <w:szCs w:val="24"/>
        </w:rPr>
        <w:t>repo operací</w:t>
      </w:r>
      <w:r w:rsidRPr="008E4ABB">
        <w:rPr>
          <w:rFonts w:eastAsia="Times New Roman"/>
          <w:b/>
          <w:bCs/>
          <w:szCs w:val="24"/>
        </w:rPr>
        <w:t xml:space="preserve"> </w:t>
      </w:r>
      <w:r w:rsidRPr="008E4ABB">
        <w:rPr>
          <w:rFonts w:eastAsia="Times New Roman"/>
          <w:szCs w:val="24"/>
        </w:rPr>
        <w:t>prováděných formou</w:t>
      </w:r>
      <w:r w:rsidRPr="008E4ABB">
        <w:rPr>
          <w:rFonts w:eastAsia="Times New Roman"/>
          <w:b/>
          <w:bCs/>
          <w:szCs w:val="24"/>
        </w:rPr>
        <w:t xml:space="preserve"> </w:t>
      </w:r>
      <w:r w:rsidRPr="008E4ABB">
        <w:rPr>
          <w:rFonts w:eastAsia="Times New Roman"/>
          <w:szCs w:val="24"/>
        </w:rPr>
        <w:t xml:space="preserve">tendrů. Při repo operacích ČNB přijímá od bank přebytečnou likviditu </w:t>
      </w:r>
      <w:r w:rsidRPr="008E4ABB">
        <w:rPr>
          <w:rFonts w:eastAsia="Times New Roman"/>
          <w:szCs w:val="24"/>
        </w:rPr>
        <w:br/>
        <w:t>a bankám předává dohodnuté cenné papíry. Základní doba trvání těchto operací je stanovena na 14 dní, proto je z hlediska měnové politiky chápána jako klíčová dvoutýdenní repo sazba (</w:t>
      </w:r>
      <w:r w:rsidRPr="008E4ABB">
        <w:rPr>
          <w:rFonts w:eastAsia="Times New Roman"/>
          <w:b/>
          <w:bCs/>
          <w:szCs w:val="24"/>
        </w:rPr>
        <w:t>2t repo sazba</w:t>
      </w:r>
      <w:r w:rsidRPr="008E4ABB">
        <w:rPr>
          <w:rFonts w:eastAsia="Times New Roman"/>
          <w:szCs w:val="24"/>
        </w:rPr>
        <w:t>). Vyhlášená dvoutýdenní repo sazba slouží jako maximální limitní sazba, za kterou mohou být banky v repo tendru uspokojovány. Změnou repo sazby ČNB ovlivňuje výši krátkodobých úrokových sazeb na mezibankovním trhu.</w:t>
      </w:r>
    </w:p>
    <w:p w14:paraId="08609449" w14:textId="77777777" w:rsidR="008E4ABB" w:rsidRPr="008E4ABB" w:rsidRDefault="008E4ABB" w:rsidP="00270319">
      <w:pPr>
        <w:numPr>
          <w:ilvl w:val="3"/>
          <w:numId w:val="130"/>
        </w:numPr>
        <w:tabs>
          <w:tab w:val="left" w:pos="1843"/>
        </w:tabs>
        <w:spacing w:line="375" w:lineRule="auto"/>
        <w:ind w:left="1701" w:hanging="567"/>
        <w:rPr>
          <w:rFonts w:eastAsia="Times New Roman"/>
          <w:b/>
          <w:bCs/>
          <w:szCs w:val="24"/>
        </w:rPr>
      </w:pPr>
      <w:r w:rsidRPr="008E4ABB">
        <w:rPr>
          <w:rFonts w:eastAsia="Times New Roman"/>
          <w:b/>
          <w:bCs/>
          <w:szCs w:val="24"/>
        </w:rPr>
        <w:t>Nástroje jemného ladění</w:t>
      </w:r>
      <w:r w:rsidRPr="008E4ABB">
        <w:rPr>
          <w:rFonts w:eastAsia="Times New Roman"/>
          <w:szCs w:val="24"/>
        </w:rPr>
        <w:t>: devizové operace a operace s cennými papíry,</w:t>
      </w:r>
      <w:r w:rsidRPr="008E4ABB">
        <w:rPr>
          <w:rFonts w:eastAsia="Times New Roman"/>
          <w:b/>
          <w:bCs/>
          <w:szCs w:val="24"/>
        </w:rPr>
        <w:t xml:space="preserve"> </w:t>
      </w:r>
      <w:r w:rsidRPr="008E4ABB">
        <w:rPr>
          <w:rFonts w:eastAsia="Times New Roman"/>
          <w:szCs w:val="24"/>
        </w:rPr>
        <w:t>používají se při nečekaných výkyvech v likviditě trhu, v praxi se používají výjimečně.</w:t>
      </w:r>
    </w:p>
    <w:p w14:paraId="7C257781" w14:textId="77777777" w:rsidR="008E4ABB" w:rsidRPr="008E4ABB" w:rsidRDefault="008E4ABB" w:rsidP="008E4ABB">
      <w:pPr>
        <w:tabs>
          <w:tab w:val="left" w:pos="1700"/>
        </w:tabs>
        <w:spacing w:line="375" w:lineRule="auto"/>
        <w:ind w:left="1700"/>
        <w:rPr>
          <w:rFonts w:eastAsia="Times New Roman"/>
          <w:b/>
          <w:bCs/>
          <w:szCs w:val="24"/>
        </w:rPr>
      </w:pPr>
      <w:r w:rsidRPr="008E4ABB">
        <w:rPr>
          <w:noProof/>
        </w:rPr>
        <w:drawing>
          <wp:anchor distT="0" distB="0" distL="114300" distR="114300" simplePos="0" relativeHeight="251772416" behindDoc="0" locked="0" layoutInCell="1" allowOverlap="1" wp14:anchorId="1ED52F6A" wp14:editId="7A212D86">
            <wp:simplePos x="0" y="0"/>
            <wp:positionH relativeFrom="column">
              <wp:posOffset>481965</wp:posOffset>
            </wp:positionH>
            <wp:positionV relativeFrom="paragraph">
              <wp:posOffset>13335</wp:posOffset>
            </wp:positionV>
            <wp:extent cx="5276850" cy="2743200"/>
            <wp:effectExtent l="0" t="0" r="0" b="0"/>
            <wp:wrapSquare wrapText="bothSides"/>
            <wp:docPr id="18" name="Graf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F2CD2DC-F753-417F-87A6-52828E7828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14:paraId="4466788A" w14:textId="77777777" w:rsidR="008E4ABB" w:rsidRPr="008E4ABB" w:rsidRDefault="008E4ABB" w:rsidP="008E4ABB">
      <w:pPr>
        <w:spacing w:line="240" w:lineRule="auto"/>
        <w:jc w:val="left"/>
        <w:rPr>
          <w:rFonts w:eastAsia="Times New Roman"/>
          <w:b/>
          <w:bCs/>
          <w:szCs w:val="24"/>
        </w:rPr>
      </w:pPr>
    </w:p>
    <w:p w14:paraId="2A2B1688" w14:textId="77777777" w:rsidR="008E4ABB" w:rsidRPr="008E4ABB" w:rsidRDefault="008E4ABB" w:rsidP="008E4ABB">
      <w:pPr>
        <w:spacing w:line="240" w:lineRule="auto"/>
        <w:jc w:val="left"/>
        <w:rPr>
          <w:rFonts w:eastAsia="Times New Roman"/>
          <w:b/>
          <w:bCs/>
          <w:szCs w:val="24"/>
        </w:rPr>
      </w:pPr>
    </w:p>
    <w:p w14:paraId="520C356C" w14:textId="77777777" w:rsidR="008E4ABB" w:rsidRPr="008E4ABB" w:rsidRDefault="008E4ABB" w:rsidP="008E4ABB">
      <w:pPr>
        <w:spacing w:line="240" w:lineRule="auto"/>
        <w:jc w:val="left"/>
        <w:rPr>
          <w:rFonts w:eastAsia="Times New Roman"/>
          <w:b/>
          <w:bCs/>
          <w:szCs w:val="24"/>
        </w:rPr>
      </w:pPr>
    </w:p>
    <w:p w14:paraId="396A5E28" w14:textId="77777777" w:rsidR="008E4ABB" w:rsidRPr="008E4ABB" w:rsidRDefault="008E4ABB" w:rsidP="008E4ABB">
      <w:pPr>
        <w:spacing w:line="240" w:lineRule="auto"/>
        <w:jc w:val="left"/>
        <w:rPr>
          <w:rFonts w:eastAsia="Times New Roman"/>
          <w:b/>
          <w:bCs/>
          <w:szCs w:val="24"/>
        </w:rPr>
      </w:pPr>
    </w:p>
    <w:p w14:paraId="40AAE9EA" w14:textId="77777777" w:rsidR="008E4ABB" w:rsidRPr="008E4ABB" w:rsidRDefault="008E4ABB" w:rsidP="008E4ABB">
      <w:pPr>
        <w:spacing w:line="240" w:lineRule="auto"/>
        <w:jc w:val="left"/>
        <w:rPr>
          <w:rFonts w:eastAsia="Times New Roman"/>
          <w:b/>
          <w:bCs/>
          <w:szCs w:val="24"/>
        </w:rPr>
      </w:pPr>
    </w:p>
    <w:p w14:paraId="77DC977D" w14:textId="77777777" w:rsidR="008E4ABB" w:rsidRPr="008E4ABB" w:rsidRDefault="008E4ABB" w:rsidP="008E4ABB">
      <w:pPr>
        <w:spacing w:line="240" w:lineRule="auto"/>
        <w:jc w:val="left"/>
        <w:rPr>
          <w:rFonts w:eastAsia="Times New Roman"/>
          <w:b/>
          <w:bCs/>
          <w:szCs w:val="24"/>
        </w:rPr>
      </w:pPr>
    </w:p>
    <w:p w14:paraId="64AC7C50" w14:textId="77777777" w:rsidR="008E4ABB" w:rsidRPr="008E4ABB" w:rsidRDefault="008E4ABB" w:rsidP="008E4ABB">
      <w:pPr>
        <w:spacing w:line="240" w:lineRule="auto"/>
        <w:jc w:val="left"/>
        <w:rPr>
          <w:rFonts w:eastAsia="Times New Roman"/>
          <w:b/>
          <w:bCs/>
          <w:szCs w:val="24"/>
        </w:rPr>
      </w:pPr>
    </w:p>
    <w:p w14:paraId="4829E41A" w14:textId="77777777" w:rsidR="008E4ABB" w:rsidRPr="008E4ABB" w:rsidRDefault="008E4ABB" w:rsidP="008E4ABB">
      <w:pPr>
        <w:spacing w:line="240" w:lineRule="auto"/>
        <w:jc w:val="left"/>
        <w:rPr>
          <w:rFonts w:eastAsia="Times New Roman"/>
          <w:b/>
          <w:bCs/>
          <w:szCs w:val="24"/>
        </w:rPr>
      </w:pPr>
    </w:p>
    <w:p w14:paraId="0A208786" w14:textId="77777777" w:rsidR="008E4ABB" w:rsidRPr="008E4ABB" w:rsidRDefault="008E4ABB" w:rsidP="008E4ABB">
      <w:pPr>
        <w:spacing w:line="240" w:lineRule="auto"/>
        <w:jc w:val="left"/>
        <w:rPr>
          <w:rFonts w:eastAsia="Times New Roman"/>
          <w:b/>
          <w:bCs/>
          <w:szCs w:val="24"/>
        </w:rPr>
      </w:pPr>
    </w:p>
    <w:p w14:paraId="1CFBDD7F" w14:textId="77777777" w:rsidR="008E4ABB" w:rsidRPr="008E4ABB" w:rsidRDefault="008E4ABB" w:rsidP="008E4ABB">
      <w:pPr>
        <w:tabs>
          <w:tab w:val="left" w:pos="720"/>
        </w:tabs>
        <w:ind w:left="720"/>
        <w:rPr>
          <w:rFonts w:eastAsia="Times New Roman"/>
          <w:b/>
          <w:bCs/>
          <w:szCs w:val="24"/>
        </w:rPr>
      </w:pPr>
    </w:p>
    <w:p w14:paraId="056D255C" w14:textId="77777777" w:rsidR="008E4ABB" w:rsidRPr="008E4ABB" w:rsidRDefault="008E4ABB" w:rsidP="008E4ABB">
      <w:pPr>
        <w:tabs>
          <w:tab w:val="left" w:pos="720"/>
        </w:tabs>
        <w:ind w:left="720"/>
        <w:rPr>
          <w:rFonts w:eastAsia="Times New Roman"/>
          <w:b/>
          <w:bCs/>
          <w:szCs w:val="24"/>
        </w:rPr>
      </w:pPr>
    </w:p>
    <w:p w14:paraId="473EF431" w14:textId="77777777" w:rsidR="008E4ABB" w:rsidRPr="008E4ABB" w:rsidRDefault="008E4ABB" w:rsidP="008E4ABB">
      <w:pPr>
        <w:tabs>
          <w:tab w:val="left" w:pos="720"/>
        </w:tabs>
        <w:ind w:left="720"/>
        <w:rPr>
          <w:rFonts w:eastAsia="Times New Roman"/>
          <w:b/>
          <w:bCs/>
          <w:szCs w:val="24"/>
        </w:rPr>
      </w:pPr>
    </w:p>
    <w:p w14:paraId="552AD75D" w14:textId="77777777" w:rsidR="008E4ABB" w:rsidRPr="008E4ABB" w:rsidRDefault="008E4ABB" w:rsidP="008E4ABB">
      <w:pPr>
        <w:tabs>
          <w:tab w:val="left" w:pos="720"/>
        </w:tabs>
        <w:ind w:left="720"/>
        <w:rPr>
          <w:rFonts w:eastAsia="Times New Roman"/>
          <w:b/>
          <w:bCs/>
          <w:szCs w:val="24"/>
        </w:rPr>
      </w:pPr>
    </w:p>
    <w:p w14:paraId="6794E346" w14:textId="77777777" w:rsidR="008E4ABB" w:rsidRPr="008E4ABB" w:rsidRDefault="008E4ABB" w:rsidP="008E4ABB">
      <w:pPr>
        <w:tabs>
          <w:tab w:val="left" w:pos="720"/>
        </w:tabs>
        <w:ind w:left="720"/>
        <w:rPr>
          <w:rFonts w:eastAsia="Times New Roman"/>
          <w:b/>
          <w:bCs/>
          <w:szCs w:val="24"/>
        </w:rPr>
      </w:pPr>
    </w:p>
    <w:p w14:paraId="55DFE220" w14:textId="77777777" w:rsidR="008E4ABB" w:rsidRPr="004B6CDE" w:rsidRDefault="008E4ABB" w:rsidP="00270319">
      <w:pPr>
        <w:numPr>
          <w:ilvl w:val="0"/>
          <w:numId w:val="130"/>
        </w:numPr>
        <w:tabs>
          <w:tab w:val="left" w:pos="720"/>
        </w:tabs>
        <w:ind w:firstLine="284"/>
        <w:rPr>
          <w:rFonts w:eastAsia="Times New Roman"/>
          <w:b/>
          <w:bCs/>
          <w:szCs w:val="24"/>
        </w:rPr>
      </w:pPr>
      <w:r w:rsidRPr="004B6CDE">
        <w:rPr>
          <w:rFonts w:eastAsia="Times New Roman"/>
          <w:b/>
          <w:bCs/>
          <w:szCs w:val="24"/>
        </w:rPr>
        <w:t>Diskontní nástroje (automatické facility) – úrokové sazby CB</w:t>
      </w:r>
    </w:p>
    <w:p w14:paraId="08F2BC78" w14:textId="77777777" w:rsidR="008E4ABB" w:rsidRPr="008E4ABB" w:rsidRDefault="008E4ABB" w:rsidP="008E4ABB">
      <w:pPr>
        <w:tabs>
          <w:tab w:val="left" w:pos="720"/>
        </w:tabs>
        <w:ind w:left="356"/>
        <w:rPr>
          <w:rFonts w:eastAsia="Times New Roman"/>
          <w:szCs w:val="24"/>
        </w:rPr>
      </w:pPr>
      <w:r w:rsidRPr="008E4ABB">
        <w:rPr>
          <w:rFonts w:eastAsia="Times New Roman"/>
          <w:b/>
          <w:bCs/>
          <w:szCs w:val="24"/>
        </w:rPr>
        <w:t xml:space="preserve">- </w:t>
      </w:r>
      <w:r w:rsidRPr="008E4ABB">
        <w:rPr>
          <w:rFonts w:eastAsia="Times New Roman"/>
          <w:szCs w:val="24"/>
        </w:rPr>
        <w:t>slouží k poskytování nebo ukládání</w:t>
      </w:r>
      <w:r w:rsidRPr="008E4ABB">
        <w:rPr>
          <w:rFonts w:eastAsia="Times New Roman"/>
          <w:b/>
          <w:bCs/>
          <w:szCs w:val="24"/>
        </w:rPr>
        <w:t xml:space="preserve"> </w:t>
      </w:r>
      <w:r w:rsidRPr="008E4ABB">
        <w:rPr>
          <w:rFonts w:eastAsia="Times New Roman"/>
          <w:szCs w:val="24"/>
        </w:rPr>
        <w:t xml:space="preserve">likvidity přes noc, úrokové sazby vytvářejí koridor, </w:t>
      </w:r>
      <w:r w:rsidRPr="008E4ABB">
        <w:rPr>
          <w:rFonts w:eastAsia="Times New Roman"/>
          <w:szCs w:val="24"/>
        </w:rPr>
        <w:br/>
        <w:t>v němž se pohybují krátkodobé sazby na peněžním trhu</w:t>
      </w:r>
    </w:p>
    <w:p w14:paraId="63350F13" w14:textId="77777777" w:rsidR="008E4ABB" w:rsidRPr="008E4ABB" w:rsidRDefault="008E4ABB" w:rsidP="008E4ABB">
      <w:pPr>
        <w:tabs>
          <w:tab w:val="left" w:pos="720"/>
        </w:tabs>
        <w:ind w:left="356"/>
        <w:rPr>
          <w:rFonts w:eastAsia="Times New Roman"/>
          <w:bCs/>
          <w:szCs w:val="24"/>
        </w:rPr>
      </w:pPr>
      <w:r w:rsidRPr="008E4ABB">
        <w:rPr>
          <w:rFonts w:eastAsia="Times New Roman"/>
          <w:b/>
          <w:bCs/>
          <w:szCs w:val="24"/>
        </w:rPr>
        <w:t>- diskontní sazba je základní úroková míra v ekonomice</w:t>
      </w:r>
      <w:r w:rsidRPr="008E4ABB">
        <w:rPr>
          <w:rFonts w:eastAsia="Times New Roman"/>
          <w:bCs/>
          <w:szCs w:val="24"/>
        </w:rPr>
        <w:t>, za kterou CB poskytuje KB diskontní půjčky – když CB sníží diskontní sazbu, zlevní komerčním bankám tyto půjčky a banky pak sníží vlastní úrokové míry</w:t>
      </w:r>
    </w:p>
    <w:p w14:paraId="059030AF" w14:textId="77777777" w:rsidR="008E4ABB" w:rsidRPr="008E4ABB" w:rsidRDefault="008E4ABB" w:rsidP="008E4ABB">
      <w:pPr>
        <w:tabs>
          <w:tab w:val="left" w:pos="720"/>
        </w:tabs>
        <w:ind w:left="356"/>
        <w:rPr>
          <w:rFonts w:eastAsia="Times New Roman"/>
          <w:szCs w:val="24"/>
        </w:rPr>
      </w:pPr>
      <w:r w:rsidRPr="008E4ABB">
        <w:rPr>
          <w:rFonts w:eastAsia="Times New Roman"/>
          <w:b/>
          <w:bCs/>
          <w:szCs w:val="24"/>
        </w:rPr>
        <w:lastRenderedPageBreak/>
        <w:t xml:space="preserve">- </w:t>
      </w:r>
      <w:r w:rsidRPr="008E4ABB">
        <w:rPr>
          <w:rFonts w:eastAsia="Times New Roman"/>
          <w:szCs w:val="24"/>
        </w:rPr>
        <w:t>CB může bankám diskontní půjčky nabídnout, ale nemůže je přesvědčit, aby si ji vzali</w:t>
      </w:r>
      <w:r w:rsidRPr="008E4ABB">
        <w:rPr>
          <w:rFonts w:eastAsia="Times New Roman"/>
          <w:szCs w:val="24"/>
        </w:rPr>
        <w:br/>
        <w:t>- jediným přesvědčujícím nástrojem je diskontní sazba – když jí sníží, jsou KB více lákány k půjčce</w:t>
      </w:r>
    </w:p>
    <w:p w14:paraId="07A868D1" w14:textId="77777777" w:rsidR="008E4ABB" w:rsidRPr="008E4ABB" w:rsidRDefault="008E4ABB" w:rsidP="008E4ABB">
      <w:pPr>
        <w:tabs>
          <w:tab w:val="left" w:pos="720"/>
        </w:tabs>
        <w:ind w:left="356"/>
        <w:rPr>
          <w:rFonts w:eastAsia="Times New Roman"/>
          <w:b/>
          <w:szCs w:val="24"/>
        </w:rPr>
      </w:pPr>
      <w:r w:rsidRPr="008E4ABB">
        <w:rPr>
          <w:rFonts w:eastAsia="Times New Roman"/>
          <w:szCs w:val="24"/>
        </w:rPr>
        <w:t xml:space="preserve">- </w:t>
      </w:r>
      <w:r w:rsidRPr="008E4ABB">
        <w:rPr>
          <w:rFonts w:eastAsia="Times New Roman"/>
          <w:b/>
          <w:szCs w:val="24"/>
        </w:rPr>
        <w:t>když CB sníží diskontní sazbu, zlevní se úvěry a zvýší se množství peněz v oběhu</w:t>
      </w:r>
      <w:r w:rsidRPr="008E4ABB">
        <w:rPr>
          <w:rFonts w:eastAsia="Times New Roman"/>
          <w:szCs w:val="24"/>
        </w:rPr>
        <w:br/>
        <w:t xml:space="preserve">- </w:t>
      </w:r>
      <w:r w:rsidRPr="008E4ABB">
        <w:rPr>
          <w:rFonts w:eastAsia="Times New Roman"/>
          <w:b/>
          <w:szCs w:val="24"/>
        </w:rPr>
        <w:t>když CB zvýší diskontní sazbu, zdraží úvěry a sníží se množství peněz v oběhu</w:t>
      </w:r>
    </w:p>
    <w:p w14:paraId="62C9D917" w14:textId="77777777" w:rsidR="008E4ABB" w:rsidRPr="008E4ABB" w:rsidRDefault="008E4ABB" w:rsidP="008E4ABB">
      <w:pPr>
        <w:tabs>
          <w:tab w:val="left" w:pos="720"/>
        </w:tabs>
        <w:ind w:left="356"/>
        <w:jc w:val="center"/>
        <w:rPr>
          <w:rFonts w:eastAsia="Times New Roman"/>
          <w:b/>
          <w:bCs/>
          <w:szCs w:val="24"/>
        </w:rPr>
      </w:pPr>
      <w:r w:rsidRPr="008E4ABB">
        <w:rPr>
          <w:noProof/>
        </w:rPr>
        <w:drawing>
          <wp:inline distT="0" distB="0" distL="0" distR="0" wp14:anchorId="60D26EA9" wp14:editId="65DC56F4">
            <wp:extent cx="4572000" cy="2743200"/>
            <wp:effectExtent l="0" t="0" r="0" b="0"/>
            <wp:docPr id="21" name="Graf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0165D91-03AF-4A61-89B2-881342DC46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49A25E9" w14:textId="77777777" w:rsidR="008E4ABB" w:rsidRPr="008E4ABB" w:rsidRDefault="008E4ABB" w:rsidP="008E4ABB">
      <w:pPr>
        <w:tabs>
          <w:tab w:val="left" w:pos="720"/>
        </w:tabs>
        <w:ind w:left="356"/>
        <w:rPr>
          <w:rFonts w:eastAsia="Times New Roman"/>
          <w:bCs/>
          <w:szCs w:val="24"/>
        </w:rPr>
      </w:pPr>
    </w:p>
    <w:p w14:paraId="58AD64B0" w14:textId="77777777" w:rsidR="008E4ABB" w:rsidRPr="008E4ABB" w:rsidRDefault="008E4ABB" w:rsidP="008E4ABB">
      <w:pPr>
        <w:spacing w:line="1" w:lineRule="exact"/>
        <w:rPr>
          <w:rFonts w:eastAsia="Times New Roman"/>
          <w:b/>
          <w:bCs/>
          <w:szCs w:val="24"/>
        </w:rPr>
      </w:pPr>
    </w:p>
    <w:p w14:paraId="0EFC9652" w14:textId="77777777" w:rsidR="008E4ABB" w:rsidRPr="008E4ABB" w:rsidRDefault="008E4ABB" w:rsidP="00270319">
      <w:pPr>
        <w:numPr>
          <w:ilvl w:val="1"/>
          <w:numId w:val="130"/>
        </w:numPr>
        <w:tabs>
          <w:tab w:val="left" w:pos="1843"/>
        </w:tabs>
        <w:ind w:left="1276" w:hanging="425"/>
        <w:rPr>
          <w:rFonts w:eastAsia="Times New Roman"/>
          <w:b/>
          <w:bCs/>
          <w:szCs w:val="24"/>
        </w:rPr>
      </w:pPr>
      <w:r w:rsidRPr="008E4ABB">
        <w:rPr>
          <w:rFonts w:eastAsia="Times New Roman"/>
          <w:b/>
          <w:bCs/>
          <w:szCs w:val="24"/>
        </w:rPr>
        <w:t xml:space="preserve">diskontní úvěr </w:t>
      </w:r>
      <w:r w:rsidRPr="008E4ABB">
        <w:rPr>
          <w:rFonts w:eastAsia="Times New Roman"/>
          <w:szCs w:val="24"/>
        </w:rPr>
        <w:t>- běžný</w:t>
      </w:r>
      <w:r w:rsidRPr="008E4ABB">
        <w:rPr>
          <w:rFonts w:eastAsia="Times New Roman"/>
          <w:b/>
          <w:bCs/>
          <w:szCs w:val="24"/>
        </w:rPr>
        <w:t xml:space="preserve"> </w:t>
      </w:r>
      <w:r w:rsidRPr="008E4ABB">
        <w:rPr>
          <w:rFonts w:eastAsia="Times New Roman"/>
          <w:szCs w:val="24"/>
        </w:rPr>
        <w:t>úvěr, který</w:t>
      </w:r>
      <w:r w:rsidRPr="008E4ABB">
        <w:rPr>
          <w:rFonts w:eastAsia="Times New Roman"/>
          <w:b/>
          <w:bCs/>
          <w:szCs w:val="24"/>
        </w:rPr>
        <w:t xml:space="preserve"> </w:t>
      </w:r>
      <w:r w:rsidRPr="008E4ABB">
        <w:rPr>
          <w:rFonts w:eastAsia="Times New Roman"/>
          <w:szCs w:val="24"/>
        </w:rPr>
        <w:t>může CB poskytnout obchodním bankám,</w:t>
      </w:r>
      <w:r w:rsidRPr="008E4ABB">
        <w:rPr>
          <w:rFonts w:eastAsia="Times New Roman"/>
          <w:b/>
          <w:bCs/>
          <w:szCs w:val="24"/>
        </w:rPr>
        <w:t xml:space="preserve"> </w:t>
      </w:r>
      <w:r w:rsidRPr="008E4ABB">
        <w:rPr>
          <w:rFonts w:eastAsia="Times New Roman"/>
          <w:szCs w:val="24"/>
        </w:rPr>
        <w:t xml:space="preserve">úročen je diskontní sazbou, která je </w:t>
      </w:r>
      <w:r w:rsidRPr="008E4ABB">
        <w:rPr>
          <w:rFonts w:eastAsia="Times New Roman"/>
          <w:b/>
          <w:szCs w:val="24"/>
        </w:rPr>
        <w:t>nejnižší úrokovou sazbou v ekonomice</w:t>
      </w:r>
      <w:r w:rsidRPr="008E4ABB">
        <w:rPr>
          <w:rFonts w:eastAsia="Times New Roman"/>
          <w:szCs w:val="24"/>
        </w:rPr>
        <w:t xml:space="preserve"> </w:t>
      </w:r>
    </w:p>
    <w:p w14:paraId="0B1F8E3A" w14:textId="77777777" w:rsidR="008E4ABB" w:rsidRPr="008E4ABB" w:rsidRDefault="008E4ABB" w:rsidP="00141C09">
      <w:pPr>
        <w:tabs>
          <w:tab w:val="left" w:pos="1422"/>
        </w:tabs>
        <w:ind w:left="1276" w:hanging="142"/>
        <w:rPr>
          <w:rFonts w:eastAsia="Times New Roman"/>
          <w:szCs w:val="24"/>
        </w:rPr>
      </w:pPr>
      <w:r w:rsidRPr="008E4ABB">
        <w:rPr>
          <w:rFonts w:eastAsia="Times New Roman"/>
          <w:iCs/>
          <w:szCs w:val="24"/>
        </w:rPr>
        <w:t xml:space="preserve">- </w:t>
      </w:r>
      <w:r w:rsidRPr="008E4ABB">
        <w:rPr>
          <w:rFonts w:eastAsia="Times New Roman"/>
          <w:b/>
          <w:iCs/>
          <w:szCs w:val="24"/>
        </w:rPr>
        <w:t>když jí CB sníží, zlevní komerčním bankám půjčky a banky pak pod tlakem vzájemné konkurence sníží vlastní úrokové míry</w:t>
      </w:r>
      <w:r w:rsidRPr="008E4ABB">
        <w:rPr>
          <w:rFonts w:eastAsia="Times New Roman"/>
          <w:szCs w:val="24"/>
        </w:rPr>
        <w:t xml:space="preserve"> </w:t>
      </w:r>
    </w:p>
    <w:p w14:paraId="549FF0A8" w14:textId="2492ACF1" w:rsidR="008E4ABB" w:rsidRPr="008E4ABB" w:rsidRDefault="00762D00" w:rsidP="00141C09">
      <w:pPr>
        <w:tabs>
          <w:tab w:val="left" w:pos="1422"/>
        </w:tabs>
        <w:ind w:left="1276" w:hanging="425"/>
        <w:rPr>
          <w:rFonts w:eastAsia="Times New Roman"/>
          <w:b/>
          <w:bCs/>
          <w:szCs w:val="24"/>
        </w:rPr>
      </w:pPr>
      <w:r>
        <w:rPr>
          <w:rFonts w:eastAsia="Times New Roman"/>
          <w:szCs w:val="24"/>
        </w:rPr>
        <w:tab/>
      </w:r>
      <w:r w:rsidR="008E4ABB" w:rsidRPr="008E4ABB">
        <w:rPr>
          <w:rFonts w:eastAsia="Times New Roman"/>
          <w:szCs w:val="24"/>
        </w:rPr>
        <w:t>=</w:t>
      </w:r>
      <w:r w:rsidR="008E4ABB" w:rsidRPr="008E4ABB">
        <w:rPr>
          <w:rFonts w:eastAsia="Times New Roman"/>
          <w:b/>
          <w:szCs w:val="24"/>
          <w:u w:val="single"/>
        </w:rPr>
        <w:t xml:space="preserve"> 0,</w:t>
      </w:r>
      <w:r>
        <w:rPr>
          <w:rFonts w:eastAsia="Times New Roman"/>
          <w:b/>
          <w:szCs w:val="24"/>
          <w:u w:val="single"/>
        </w:rPr>
        <w:t>0</w:t>
      </w:r>
      <w:r w:rsidR="008E4ABB" w:rsidRPr="008E4ABB">
        <w:rPr>
          <w:rFonts w:eastAsia="Times New Roman"/>
          <w:b/>
          <w:szCs w:val="24"/>
          <w:u w:val="single"/>
        </w:rPr>
        <w:t xml:space="preserve">5% </w:t>
      </w:r>
      <w:r w:rsidR="008E4ABB" w:rsidRPr="008E4ABB">
        <w:rPr>
          <w:rFonts w:eastAsia="Times New Roman"/>
          <w:szCs w:val="24"/>
        </w:rPr>
        <w:t xml:space="preserve">(platné od </w:t>
      </w:r>
      <w:r w:rsidR="000506FA">
        <w:rPr>
          <w:rFonts w:eastAsia="Times New Roman"/>
          <w:szCs w:val="24"/>
        </w:rPr>
        <w:t>2</w:t>
      </w:r>
      <w:r w:rsidR="000506FA" w:rsidRPr="008E4ABB">
        <w:rPr>
          <w:rFonts w:eastAsia="Times New Roman"/>
          <w:szCs w:val="24"/>
        </w:rPr>
        <w:t>7. 3. 2020</w:t>
      </w:r>
      <w:r w:rsidR="008E4ABB" w:rsidRPr="008E4ABB">
        <w:rPr>
          <w:rFonts w:eastAsia="Times New Roman"/>
          <w:szCs w:val="24"/>
        </w:rPr>
        <w:t xml:space="preserve">) - </w:t>
      </w:r>
      <w:r w:rsidR="008E4ABB" w:rsidRPr="008E4ABB">
        <w:rPr>
          <w:rFonts w:eastAsia="Times New Roman"/>
          <w:i/>
          <w:iCs/>
          <w:szCs w:val="24"/>
        </w:rPr>
        <w:t>Depozitní facilita</w:t>
      </w:r>
      <w:r w:rsidR="00AC7F8C">
        <w:rPr>
          <w:rFonts w:eastAsia="Times New Roman"/>
          <w:i/>
          <w:iCs/>
          <w:szCs w:val="24"/>
        </w:rPr>
        <w:t xml:space="preserve"> (Diskontní sazba)</w:t>
      </w:r>
    </w:p>
    <w:p w14:paraId="16E02F9B" w14:textId="77777777" w:rsidR="008E4ABB" w:rsidRPr="008E4ABB" w:rsidRDefault="008E4ABB" w:rsidP="008E4ABB">
      <w:pPr>
        <w:spacing w:line="1" w:lineRule="exact"/>
        <w:rPr>
          <w:rFonts w:eastAsia="Times New Roman"/>
          <w:b/>
          <w:bCs/>
          <w:szCs w:val="24"/>
        </w:rPr>
      </w:pPr>
    </w:p>
    <w:p w14:paraId="318F073B" w14:textId="10B5430B" w:rsidR="008E4ABB" w:rsidRPr="008E4ABB" w:rsidRDefault="008E4ABB" w:rsidP="00270319">
      <w:pPr>
        <w:numPr>
          <w:ilvl w:val="1"/>
          <w:numId w:val="130"/>
        </w:numPr>
        <w:tabs>
          <w:tab w:val="left" w:pos="1418"/>
        </w:tabs>
        <w:spacing w:line="377" w:lineRule="auto"/>
        <w:ind w:left="1276" w:hanging="425"/>
        <w:rPr>
          <w:rFonts w:eastAsia="Times New Roman"/>
          <w:b/>
          <w:bCs/>
          <w:szCs w:val="24"/>
        </w:rPr>
      </w:pPr>
      <w:r w:rsidRPr="008E4ABB">
        <w:rPr>
          <w:rFonts w:eastAsia="Times New Roman"/>
          <w:b/>
          <w:bCs/>
          <w:szCs w:val="24"/>
        </w:rPr>
        <w:t xml:space="preserve">reeskontní úvěr </w:t>
      </w:r>
      <w:r w:rsidRPr="008E4ABB">
        <w:rPr>
          <w:rFonts w:eastAsia="Times New Roman"/>
          <w:szCs w:val="24"/>
        </w:rPr>
        <w:t xml:space="preserve">– obchodní banky mohou eskontovat (=odkoupit) směnky před uplynutím doby jejich splatnosti od svých klientů. Když však potřebují rychle peníze, mohou směnky nabídnout centrální bance =&gt; </w:t>
      </w:r>
      <w:r w:rsidRPr="008E4ABB">
        <w:rPr>
          <w:rFonts w:eastAsia="Times New Roman"/>
          <w:b/>
          <w:szCs w:val="24"/>
        </w:rPr>
        <w:t>reeskont směnky centrální bankou</w:t>
      </w:r>
      <w:r w:rsidRPr="008E4ABB">
        <w:rPr>
          <w:rFonts w:eastAsia="Times New Roman"/>
          <w:szCs w:val="24"/>
        </w:rPr>
        <w:t xml:space="preserve"> </w:t>
      </w:r>
      <w:r w:rsidRPr="008E4ABB">
        <w:rPr>
          <w:rFonts w:eastAsia="Times New Roman"/>
          <w:b/>
          <w:bCs/>
          <w:szCs w:val="24"/>
        </w:rPr>
        <w:t xml:space="preserve">= </w:t>
      </w:r>
      <w:r w:rsidRPr="008E4ABB">
        <w:rPr>
          <w:rFonts w:eastAsia="Times New Roman"/>
          <w:szCs w:val="24"/>
        </w:rPr>
        <w:t>úvěr poskytnutý</w:t>
      </w:r>
      <w:r w:rsidRPr="008E4ABB">
        <w:rPr>
          <w:rFonts w:eastAsia="Times New Roman"/>
          <w:b/>
          <w:bCs/>
          <w:szCs w:val="24"/>
        </w:rPr>
        <w:t xml:space="preserve"> </w:t>
      </w:r>
      <w:r w:rsidRPr="008E4ABB">
        <w:rPr>
          <w:rFonts w:eastAsia="Times New Roman"/>
          <w:szCs w:val="24"/>
        </w:rPr>
        <w:t>CB obchodním bankám ve výši hodnoty</w:t>
      </w:r>
      <w:r w:rsidRPr="008E4ABB">
        <w:rPr>
          <w:rFonts w:eastAsia="Times New Roman"/>
          <w:b/>
          <w:bCs/>
          <w:szCs w:val="24"/>
        </w:rPr>
        <w:t xml:space="preserve"> </w:t>
      </w:r>
      <w:r w:rsidRPr="008E4ABB">
        <w:rPr>
          <w:rFonts w:eastAsia="Times New Roman"/>
          <w:szCs w:val="24"/>
        </w:rPr>
        <w:t xml:space="preserve">odkoupených eskontovaných směnek snížené o úrok ve výši </w:t>
      </w:r>
      <w:r w:rsidRPr="008E4ABB">
        <w:rPr>
          <w:rFonts w:eastAsia="Times New Roman"/>
          <w:b/>
          <w:szCs w:val="24"/>
          <w:u w:val="single"/>
        </w:rPr>
        <w:t xml:space="preserve">repo sazby = </w:t>
      </w:r>
      <w:r w:rsidR="00762D00">
        <w:rPr>
          <w:rFonts w:eastAsia="Times New Roman"/>
          <w:b/>
          <w:szCs w:val="24"/>
          <w:u w:val="single"/>
        </w:rPr>
        <w:t>0</w:t>
      </w:r>
      <w:r w:rsidRPr="008E4ABB">
        <w:rPr>
          <w:rFonts w:eastAsia="Times New Roman"/>
          <w:b/>
          <w:szCs w:val="24"/>
          <w:u w:val="single"/>
        </w:rPr>
        <w:t>,</w:t>
      </w:r>
      <w:r w:rsidR="00762D00">
        <w:rPr>
          <w:rFonts w:eastAsia="Times New Roman"/>
          <w:b/>
          <w:szCs w:val="24"/>
          <w:u w:val="single"/>
        </w:rPr>
        <w:t>25</w:t>
      </w:r>
      <w:r w:rsidRPr="008E4ABB">
        <w:rPr>
          <w:rFonts w:eastAsia="Times New Roman"/>
          <w:b/>
          <w:szCs w:val="24"/>
          <w:u w:val="single"/>
        </w:rPr>
        <w:t>% k</w:t>
      </w:r>
      <w:r w:rsidR="00762D00">
        <w:rPr>
          <w:rFonts w:eastAsia="Times New Roman"/>
          <w:b/>
          <w:szCs w:val="24"/>
          <w:u w:val="single"/>
        </w:rPr>
        <w:t> 11.</w:t>
      </w:r>
      <w:r w:rsidR="000506FA">
        <w:rPr>
          <w:rFonts w:eastAsia="Times New Roman"/>
          <w:b/>
          <w:szCs w:val="24"/>
          <w:u w:val="single"/>
        </w:rPr>
        <w:t xml:space="preserve"> </w:t>
      </w:r>
      <w:r w:rsidR="00762D00">
        <w:rPr>
          <w:rFonts w:eastAsia="Times New Roman"/>
          <w:b/>
          <w:szCs w:val="24"/>
          <w:u w:val="single"/>
        </w:rPr>
        <w:t>5</w:t>
      </w:r>
      <w:r w:rsidRPr="008E4ABB">
        <w:rPr>
          <w:rFonts w:eastAsia="Times New Roman"/>
          <w:b/>
          <w:szCs w:val="24"/>
          <w:u w:val="single"/>
        </w:rPr>
        <w:t>.</w:t>
      </w:r>
      <w:r w:rsidR="000506FA">
        <w:rPr>
          <w:rFonts w:eastAsia="Times New Roman"/>
          <w:b/>
          <w:szCs w:val="24"/>
          <w:u w:val="single"/>
        </w:rPr>
        <w:t xml:space="preserve"> </w:t>
      </w:r>
      <w:r w:rsidRPr="008E4ABB">
        <w:rPr>
          <w:rFonts w:eastAsia="Times New Roman"/>
          <w:b/>
          <w:szCs w:val="24"/>
          <w:u w:val="single"/>
        </w:rPr>
        <w:t>2020</w:t>
      </w:r>
      <w:r w:rsidR="00762D00">
        <w:rPr>
          <w:rFonts w:eastAsia="Times New Roman"/>
          <w:b/>
          <w:szCs w:val="24"/>
          <w:u w:val="single"/>
        </w:rPr>
        <w:t xml:space="preserve"> </w:t>
      </w:r>
      <w:r w:rsidR="00AC7F8C" w:rsidRPr="00AC7F8C">
        <w:rPr>
          <w:rFonts w:eastAsia="Times New Roman"/>
          <w:bCs/>
          <w:i/>
          <w:iCs/>
          <w:szCs w:val="24"/>
        </w:rPr>
        <w:t>- 2</w:t>
      </w:r>
      <w:r w:rsidR="00AC7F8C">
        <w:rPr>
          <w:rFonts w:eastAsia="Times New Roman"/>
          <w:bCs/>
          <w:i/>
          <w:iCs/>
          <w:szCs w:val="24"/>
        </w:rPr>
        <w:t>T repo sazba</w:t>
      </w:r>
    </w:p>
    <w:p w14:paraId="57152591" w14:textId="77777777" w:rsidR="008E4ABB" w:rsidRPr="008E4ABB" w:rsidRDefault="008E4ABB" w:rsidP="008E4ABB">
      <w:pPr>
        <w:spacing w:line="240" w:lineRule="auto"/>
        <w:jc w:val="left"/>
        <w:rPr>
          <w:rFonts w:eastAsia="Times New Roman"/>
          <w:b/>
          <w:bCs/>
          <w:szCs w:val="24"/>
        </w:rPr>
      </w:pPr>
      <w:bookmarkStart w:id="142" w:name="page139"/>
      <w:bookmarkEnd w:id="142"/>
      <w:r w:rsidRPr="008E4ABB">
        <w:rPr>
          <w:rFonts w:eastAsia="Times New Roman"/>
          <w:b/>
          <w:bCs/>
          <w:szCs w:val="24"/>
        </w:rPr>
        <w:br w:type="page"/>
      </w:r>
    </w:p>
    <w:p w14:paraId="614F2249" w14:textId="6E37364E" w:rsidR="008E4ABB" w:rsidRPr="008E4ABB" w:rsidRDefault="008E4ABB" w:rsidP="00270319">
      <w:pPr>
        <w:numPr>
          <w:ilvl w:val="0"/>
          <w:numId w:val="131"/>
        </w:numPr>
        <w:tabs>
          <w:tab w:val="left" w:pos="1426"/>
        </w:tabs>
        <w:spacing w:line="366" w:lineRule="auto"/>
        <w:ind w:left="1276" w:hanging="283"/>
        <w:rPr>
          <w:rFonts w:eastAsia="Times New Roman"/>
          <w:b/>
          <w:bCs/>
          <w:szCs w:val="24"/>
          <w:u w:val="single"/>
        </w:rPr>
      </w:pPr>
      <w:r w:rsidRPr="008E4ABB">
        <w:rPr>
          <w:rFonts w:eastAsia="Times New Roman"/>
          <w:b/>
          <w:bCs/>
          <w:szCs w:val="24"/>
        </w:rPr>
        <w:lastRenderedPageBreak/>
        <w:t xml:space="preserve"> lombardní úvěr </w:t>
      </w:r>
      <w:r w:rsidRPr="008E4ABB">
        <w:rPr>
          <w:rFonts w:eastAsia="Times New Roman"/>
          <w:szCs w:val="24"/>
        </w:rPr>
        <w:t>- v případě</w:t>
      </w:r>
      <w:r w:rsidRPr="008E4ABB">
        <w:rPr>
          <w:rFonts w:eastAsia="Times New Roman"/>
          <w:b/>
          <w:bCs/>
          <w:szCs w:val="24"/>
        </w:rPr>
        <w:t xml:space="preserve"> </w:t>
      </w:r>
      <w:r w:rsidRPr="008E4ABB">
        <w:rPr>
          <w:rFonts w:eastAsia="Times New Roman"/>
          <w:b/>
          <w:szCs w:val="24"/>
        </w:rPr>
        <w:t>mimořádných problémů</w:t>
      </w:r>
      <w:r w:rsidRPr="008E4ABB">
        <w:rPr>
          <w:rFonts w:eastAsia="Times New Roman"/>
          <w:b/>
          <w:bCs/>
          <w:szCs w:val="24"/>
        </w:rPr>
        <w:t xml:space="preserve"> </w:t>
      </w:r>
      <w:r w:rsidRPr="008E4ABB">
        <w:rPr>
          <w:rFonts w:eastAsia="Times New Roman"/>
          <w:b/>
          <w:szCs w:val="24"/>
        </w:rPr>
        <w:t>s likviditou</w:t>
      </w:r>
      <w:r w:rsidRPr="008E4ABB">
        <w:rPr>
          <w:rFonts w:eastAsia="Times New Roman"/>
          <w:szCs w:val="24"/>
        </w:rPr>
        <w:t>, lombardní</w:t>
      </w:r>
      <w:r w:rsidRPr="008E4ABB">
        <w:rPr>
          <w:rFonts w:eastAsia="Times New Roman"/>
          <w:b/>
          <w:bCs/>
          <w:szCs w:val="24"/>
        </w:rPr>
        <w:t xml:space="preserve"> </w:t>
      </w:r>
      <w:r w:rsidRPr="008E4ABB">
        <w:rPr>
          <w:rFonts w:eastAsia="Times New Roman"/>
          <w:szCs w:val="24"/>
        </w:rPr>
        <w:t xml:space="preserve">sazba je </w:t>
      </w:r>
      <w:r w:rsidRPr="008E4ABB">
        <w:rPr>
          <w:rFonts w:eastAsia="Times New Roman"/>
          <w:b/>
          <w:szCs w:val="24"/>
        </w:rPr>
        <w:t>nejvyšší úroková míra v ekonomice</w:t>
      </w:r>
      <w:r w:rsidRPr="008E4ABB">
        <w:rPr>
          <w:rFonts w:eastAsia="Times New Roman"/>
          <w:szCs w:val="24"/>
        </w:rPr>
        <w:t xml:space="preserve"> = </w:t>
      </w:r>
      <w:r w:rsidR="00762D00">
        <w:rPr>
          <w:rFonts w:eastAsia="Times New Roman"/>
          <w:b/>
          <w:szCs w:val="24"/>
          <w:u w:val="single"/>
        </w:rPr>
        <w:t>1,00%</w:t>
      </w:r>
      <w:r w:rsidRPr="008E4ABB">
        <w:rPr>
          <w:rFonts w:eastAsia="Times New Roman"/>
          <w:b/>
          <w:szCs w:val="24"/>
          <w:u w:val="single"/>
        </w:rPr>
        <w:t xml:space="preserve"> k </w:t>
      </w:r>
      <w:r w:rsidR="000506FA" w:rsidRPr="008E4ABB">
        <w:rPr>
          <w:rFonts w:eastAsia="Times New Roman"/>
          <w:b/>
          <w:szCs w:val="24"/>
          <w:u w:val="single"/>
        </w:rPr>
        <w:t>1</w:t>
      </w:r>
      <w:r w:rsidR="000506FA">
        <w:rPr>
          <w:rFonts w:eastAsia="Times New Roman"/>
          <w:b/>
          <w:szCs w:val="24"/>
          <w:u w:val="single"/>
        </w:rPr>
        <w:t>1</w:t>
      </w:r>
      <w:r w:rsidR="000506FA" w:rsidRPr="008E4ABB">
        <w:rPr>
          <w:rFonts w:eastAsia="Times New Roman"/>
          <w:b/>
          <w:szCs w:val="24"/>
          <w:u w:val="single"/>
        </w:rPr>
        <w:t>.</w:t>
      </w:r>
      <w:r w:rsidR="000506FA">
        <w:rPr>
          <w:rFonts w:eastAsia="Times New Roman"/>
          <w:b/>
          <w:szCs w:val="24"/>
          <w:u w:val="single"/>
        </w:rPr>
        <w:t xml:space="preserve"> 5. 2020</w:t>
      </w:r>
      <w:r w:rsidR="00762D00">
        <w:rPr>
          <w:rFonts w:eastAsia="Times New Roman"/>
          <w:b/>
          <w:szCs w:val="24"/>
          <w:u w:val="single"/>
        </w:rPr>
        <w:t xml:space="preserve"> </w:t>
      </w:r>
      <w:r w:rsidR="00762D00">
        <w:rPr>
          <w:rFonts w:eastAsia="Times New Roman"/>
          <w:bCs/>
          <w:i/>
          <w:iCs/>
          <w:szCs w:val="24"/>
        </w:rPr>
        <w:t>Lombardní sazba</w:t>
      </w:r>
      <w:r w:rsidR="009E078D">
        <w:rPr>
          <w:rFonts w:eastAsia="Times New Roman"/>
          <w:bCs/>
          <w:i/>
          <w:iCs/>
          <w:szCs w:val="24"/>
        </w:rPr>
        <w:t xml:space="preserve"> (Marginální zápůjční facilita)</w:t>
      </w:r>
    </w:p>
    <w:p w14:paraId="33E338F7" w14:textId="77777777" w:rsidR="008E4ABB" w:rsidRPr="008E4ABB" w:rsidRDefault="008E4ABB" w:rsidP="00141C09">
      <w:pPr>
        <w:tabs>
          <w:tab w:val="left" w:pos="1426"/>
        </w:tabs>
        <w:spacing w:line="366" w:lineRule="auto"/>
        <w:ind w:left="1276" w:hanging="283"/>
        <w:rPr>
          <w:rFonts w:eastAsia="Times New Roman"/>
          <w:b/>
          <w:bCs/>
          <w:szCs w:val="24"/>
          <w:u w:val="single"/>
        </w:rPr>
      </w:pPr>
      <w:r w:rsidRPr="008E4ABB">
        <w:rPr>
          <w:rFonts w:eastAsia="Times New Roman"/>
          <w:b/>
          <w:bCs/>
          <w:szCs w:val="24"/>
        </w:rPr>
        <w:t xml:space="preserve">- </w:t>
      </w:r>
      <w:r w:rsidRPr="008E4ABB">
        <w:rPr>
          <w:rFonts w:eastAsia="Times New Roman"/>
          <w:bCs/>
          <w:szCs w:val="24"/>
        </w:rPr>
        <w:t>vzhledem k trvalému přebytku likvidity je tato facilita bankami využívána minimálně</w:t>
      </w:r>
    </w:p>
    <w:p w14:paraId="2F0D2B88" w14:textId="77777777" w:rsidR="008E4ABB" w:rsidRPr="008E4ABB" w:rsidRDefault="008E4ABB" w:rsidP="008E4ABB">
      <w:pPr>
        <w:tabs>
          <w:tab w:val="left" w:pos="1426"/>
        </w:tabs>
        <w:spacing w:line="366" w:lineRule="auto"/>
        <w:ind w:left="1144"/>
        <w:rPr>
          <w:rFonts w:eastAsia="Times New Roman"/>
          <w:b/>
          <w:bCs/>
          <w:szCs w:val="24"/>
        </w:rPr>
      </w:pPr>
      <w:r w:rsidRPr="008E4ABB">
        <w:rPr>
          <w:noProof/>
        </w:rPr>
        <w:drawing>
          <wp:inline distT="0" distB="0" distL="0" distR="0" wp14:anchorId="16E7F143" wp14:editId="5100B06C">
            <wp:extent cx="4572000" cy="2743200"/>
            <wp:effectExtent l="0" t="0" r="0" b="0"/>
            <wp:docPr id="23" name="Graf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2CE4D1A-4ACC-474F-846B-1B102BBBB5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74BC50B" w14:textId="77777777" w:rsidR="008E4ABB" w:rsidRPr="008E4ABB" w:rsidRDefault="008E4ABB" w:rsidP="008E4ABB">
      <w:pPr>
        <w:spacing w:line="240" w:lineRule="auto"/>
        <w:jc w:val="left"/>
        <w:rPr>
          <w:rFonts w:eastAsia="Times New Roman"/>
          <w:b/>
          <w:bCs/>
          <w:szCs w:val="24"/>
        </w:rPr>
      </w:pPr>
    </w:p>
    <w:p w14:paraId="20D2F929" w14:textId="77777777" w:rsidR="008E4ABB" w:rsidRPr="008E4ABB" w:rsidRDefault="008E4ABB" w:rsidP="00270319">
      <w:pPr>
        <w:numPr>
          <w:ilvl w:val="0"/>
          <w:numId w:val="132"/>
        </w:numPr>
        <w:tabs>
          <w:tab w:val="left" w:pos="724"/>
        </w:tabs>
        <w:ind w:left="709" w:hanging="283"/>
        <w:rPr>
          <w:rFonts w:eastAsia="Times New Roman"/>
          <w:b/>
          <w:bCs/>
          <w:szCs w:val="24"/>
        </w:rPr>
      </w:pPr>
      <w:r w:rsidRPr="008E4ABB">
        <w:rPr>
          <w:rFonts w:eastAsia="Times New Roman"/>
          <w:b/>
          <w:bCs/>
          <w:szCs w:val="24"/>
        </w:rPr>
        <w:t xml:space="preserve">Kurzové intervence </w:t>
      </w:r>
      <w:r w:rsidRPr="008E4ABB">
        <w:rPr>
          <w:rFonts w:eastAsia="Times New Roman"/>
          <w:szCs w:val="24"/>
        </w:rPr>
        <w:t>- jejich cílem je udržování optimálního devízového kurzu.</w:t>
      </w:r>
    </w:p>
    <w:p w14:paraId="58AD5C48" w14:textId="77777777" w:rsidR="008E4ABB" w:rsidRPr="008E4ABB" w:rsidRDefault="008E4ABB" w:rsidP="00141C09">
      <w:pPr>
        <w:spacing w:line="136" w:lineRule="exact"/>
        <w:ind w:left="709" w:hanging="283"/>
        <w:rPr>
          <w:rFonts w:eastAsia="Times New Roman"/>
          <w:b/>
          <w:bCs/>
          <w:szCs w:val="24"/>
        </w:rPr>
      </w:pPr>
    </w:p>
    <w:p w14:paraId="0DBA0D73" w14:textId="77777777" w:rsidR="008E4ABB" w:rsidRPr="008E4ABB" w:rsidRDefault="008E4ABB" w:rsidP="00270319">
      <w:pPr>
        <w:numPr>
          <w:ilvl w:val="1"/>
          <w:numId w:val="132"/>
        </w:numPr>
        <w:tabs>
          <w:tab w:val="left" w:pos="1426"/>
        </w:tabs>
        <w:ind w:left="1276" w:right="20" w:hanging="425"/>
        <w:rPr>
          <w:rFonts w:eastAsia="Times New Roman"/>
          <w:b/>
          <w:bCs/>
          <w:szCs w:val="24"/>
        </w:rPr>
      </w:pPr>
      <w:r w:rsidRPr="008E4ABB">
        <w:rPr>
          <w:rFonts w:eastAsia="Times New Roman"/>
          <w:b/>
          <w:bCs/>
          <w:szCs w:val="24"/>
        </w:rPr>
        <w:t>Nepřímé intervence</w:t>
      </w:r>
      <w:r w:rsidRPr="008E4ABB">
        <w:rPr>
          <w:rFonts w:eastAsia="Times New Roman"/>
          <w:szCs w:val="24"/>
        </w:rPr>
        <w:t>: pro zhodnocení měny musí CB zvýšit úrokové sazby,</w:t>
      </w:r>
      <w:r w:rsidRPr="008E4ABB">
        <w:rPr>
          <w:rFonts w:eastAsia="Times New Roman"/>
          <w:b/>
          <w:bCs/>
          <w:szCs w:val="24"/>
        </w:rPr>
        <w:t xml:space="preserve"> </w:t>
      </w:r>
      <w:r w:rsidRPr="008E4ABB">
        <w:rPr>
          <w:rFonts w:eastAsia="Times New Roman"/>
          <w:szCs w:val="24"/>
        </w:rPr>
        <w:t>což povede k přílivu zahraničního kapitálu do ekonomiky, což povede k pohybu krátkodobého zahraničního kapitálu (opak pro znehodnocení)</w:t>
      </w:r>
    </w:p>
    <w:p w14:paraId="35A2BFB5" w14:textId="77777777" w:rsidR="008E4ABB" w:rsidRPr="008E4ABB" w:rsidRDefault="008E4ABB" w:rsidP="00236AA9">
      <w:pPr>
        <w:spacing w:line="1" w:lineRule="exact"/>
        <w:ind w:left="1134" w:hanging="283"/>
        <w:rPr>
          <w:rFonts w:eastAsia="Times New Roman"/>
          <w:b/>
          <w:bCs/>
          <w:szCs w:val="24"/>
        </w:rPr>
      </w:pPr>
    </w:p>
    <w:p w14:paraId="3FA14ECE" w14:textId="1DCB4B76" w:rsidR="008E4ABB" w:rsidRPr="008E4ABB" w:rsidRDefault="008E4ABB" w:rsidP="00270319">
      <w:pPr>
        <w:numPr>
          <w:ilvl w:val="1"/>
          <w:numId w:val="132"/>
        </w:numPr>
        <w:tabs>
          <w:tab w:val="left" w:pos="1426"/>
        </w:tabs>
        <w:spacing w:line="371" w:lineRule="auto"/>
        <w:ind w:left="1276" w:right="20" w:hanging="425"/>
        <w:rPr>
          <w:rFonts w:eastAsia="Times New Roman"/>
          <w:b/>
          <w:bCs/>
          <w:szCs w:val="24"/>
        </w:rPr>
      </w:pPr>
      <w:r w:rsidRPr="008E4ABB">
        <w:rPr>
          <w:rFonts w:eastAsia="Times New Roman"/>
          <w:b/>
          <w:bCs/>
          <w:szCs w:val="24"/>
        </w:rPr>
        <w:t>Přímé intervence</w:t>
      </w:r>
      <w:r w:rsidRPr="008E4ABB">
        <w:rPr>
          <w:rFonts w:eastAsia="Times New Roman"/>
          <w:szCs w:val="24"/>
        </w:rPr>
        <w:t>: CB prodává (nebo nakupuje) dom. měnu za zahraniční měny.</w:t>
      </w:r>
      <w:r w:rsidRPr="008E4ABB">
        <w:rPr>
          <w:rFonts w:eastAsia="Times New Roman"/>
          <w:b/>
          <w:bCs/>
          <w:szCs w:val="24"/>
        </w:rPr>
        <w:t xml:space="preserve"> </w:t>
      </w:r>
      <w:r w:rsidR="000506FA">
        <w:rPr>
          <w:rFonts w:eastAsia="Times New Roman"/>
          <w:szCs w:val="24"/>
        </w:rPr>
        <w:t>Nákup zahraniční</w:t>
      </w:r>
      <w:r w:rsidRPr="008E4ABB">
        <w:rPr>
          <w:rFonts w:eastAsia="Times New Roman"/>
          <w:szCs w:val="24"/>
        </w:rPr>
        <w:t xml:space="preserve"> měny za dom</w:t>
      </w:r>
      <w:r w:rsidR="000506FA">
        <w:rPr>
          <w:rFonts w:eastAsia="Times New Roman"/>
          <w:szCs w:val="24"/>
        </w:rPr>
        <w:t>ácí</w:t>
      </w:r>
      <w:r w:rsidRPr="008E4ABB">
        <w:rPr>
          <w:rFonts w:eastAsia="Times New Roman"/>
          <w:szCs w:val="24"/>
        </w:rPr>
        <w:t xml:space="preserve"> měnu vede ke zvýšení poptávky po zahra. měně na dom. devizovém trhu a současně ke zvýšení nabídky dom. měny. Domácí měna se začne znehodnocovat. Prodej zahraniční měny má opačné účinky.</w:t>
      </w:r>
    </w:p>
    <w:p w14:paraId="2A591CB0" w14:textId="77777777" w:rsidR="008E4ABB" w:rsidRPr="008E4ABB" w:rsidRDefault="008E4ABB" w:rsidP="00270319">
      <w:pPr>
        <w:numPr>
          <w:ilvl w:val="0"/>
          <w:numId w:val="132"/>
        </w:numPr>
        <w:tabs>
          <w:tab w:val="left" w:pos="724"/>
        </w:tabs>
        <w:ind w:left="709" w:hanging="283"/>
        <w:rPr>
          <w:rFonts w:eastAsia="Times New Roman"/>
          <w:b/>
          <w:bCs/>
          <w:szCs w:val="24"/>
        </w:rPr>
      </w:pPr>
      <w:r w:rsidRPr="008E4ABB">
        <w:rPr>
          <w:rFonts w:eastAsia="Times New Roman"/>
          <w:b/>
          <w:bCs/>
          <w:szCs w:val="24"/>
        </w:rPr>
        <w:t>Povinné minimální rezervy</w:t>
      </w:r>
    </w:p>
    <w:p w14:paraId="37AE5C56" w14:textId="77777777" w:rsidR="008E4ABB" w:rsidRPr="008E4ABB" w:rsidRDefault="008E4ABB" w:rsidP="00270319">
      <w:pPr>
        <w:numPr>
          <w:ilvl w:val="2"/>
          <w:numId w:val="132"/>
        </w:numPr>
        <w:tabs>
          <w:tab w:val="left" w:pos="1444"/>
        </w:tabs>
        <w:spacing w:line="363" w:lineRule="auto"/>
        <w:ind w:left="1418" w:right="20" w:hanging="284"/>
        <w:rPr>
          <w:rFonts w:eastAsia="Arial"/>
          <w:szCs w:val="24"/>
        </w:rPr>
      </w:pPr>
      <w:r w:rsidRPr="008E4ABB">
        <w:rPr>
          <w:rFonts w:eastAsia="Times New Roman"/>
          <w:szCs w:val="24"/>
        </w:rPr>
        <w:t>Každá banka (včetně stavebních spořitelen) a pobočka zahraniční banky je povinna držet na svém účtu u ČNB určitý předem stanovený objem likvidních prostředků, tzv. povinné minimální rezervy (PMR).</w:t>
      </w:r>
    </w:p>
    <w:p w14:paraId="37192543" w14:textId="77777777" w:rsidR="008E4ABB" w:rsidRPr="008E4ABB" w:rsidRDefault="008E4ABB" w:rsidP="00236AA9">
      <w:pPr>
        <w:spacing w:line="3" w:lineRule="exact"/>
        <w:ind w:left="1418" w:hanging="284"/>
        <w:rPr>
          <w:rFonts w:eastAsia="Arial"/>
          <w:szCs w:val="24"/>
        </w:rPr>
      </w:pPr>
    </w:p>
    <w:p w14:paraId="5AB742E5" w14:textId="77777777" w:rsidR="008E4ABB" w:rsidRPr="008E4ABB" w:rsidRDefault="008E4ABB" w:rsidP="00270319">
      <w:pPr>
        <w:numPr>
          <w:ilvl w:val="2"/>
          <w:numId w:val="132"/>
        </w:numPr>
        <w:tabs>
          <w:tab w:val="left" w:pos="1444"/>
        </w:tabs>
        <w:spacing w:line="379" w:lineRule="auto"/>
        <w:ind w:left="1418" w:right="20" w:hanging="284"/>
        <w:rPr>
          <w:rFonts w:eastAsia="Arial"/>
          <w:sz w:val="23"/>
          <w:szCs w:val="23"/>
        </w:rPr>
      </w:pPr>
      <w:r w:rsidRPr="008E4ABB">
        <w:rPr>
          <w:rFonts w:eastAsia="Times New Roman"/>
          <w:sz w:val="23"/>
          <w:szCs w:val="23"/>
        </w:rPr>
        <w:t>Předepsaný objem PMR je stanoven na 2 % (již od roku 1999). Prostředky na tomto účtu jsou úročeny dvoutýdenní repo sazbou ČNB (dříve úročeny nebyly).</w:t>
      </w:r>
    </w:p>
    <w:p w14:paraId="438E36F0" w14:textId="77777777" w:rsidR="008E4ABB" w:rsidRPr="008E4ABB" w:rsidRDefault="008E4ABB" w:rsidP="00236AA9">
      <w:pPr>
        <w:spacing w:line="1" w:lineRule="exact"/>
        <w:ind w:left="1418" w:hanging="284"/>
        <w:rPr>
          <w:rFonts w:eastAsia="Arial"/>
          <w:sz w:val="23"/>
          <w:szCs w:val="23"/>
        </w:rPr>
      </w:pPr>
    </w:p>
    <w:p w14:paraId="41DE76AB" w14:textId="4D84696A" w:rsidR="008E4ABB" w:rsidRPr="008E4ABB" w:rsidRDefault="008E4ABB" w:rsidP="00270319">
      <w:pPr>
        <w:numPr>
          <w:ilvl w:val="0"/>
          <w:numId w:val="133"/>
        </w:numPr>
        <w:tabs>
          <w:tab w:val="left" w:pos="1420"/>
        </w:tabs>
        <w:ind w:left="1418" w:hanging="284"/>
        <w:rPr>
          <w:rFonts w:eastAsia="Arial"/>
          <w:sz w:val="23"/>
          <w:szCs w:val="23"/>
        </w:rPr>
      </w:pPr>
      <w:r w:rsidRPr="008E4ABB">
        <w:rPr>
          <w:rFonts w:eastAsia="Times New Roman"/>
          <w:b/>
          <w:bCs/>
          <w:szCs w:val="24"/>
        </w:rPr>
        <w:t xml:space="preserve">Monetární expanze </w:t>
      </w:r>
      <w:r w:rsidRPr="008E4ABB">
        <w:rPr>
          <w:rFonts w:eastAsia="Times New Roman"/>
          <w:szCs w:val="24"/>
        </w:rPr>
        <w:t>-↓</w:t>
      </w:r>
      <w:r w:rsidRPr="008E4ABB">
        <w:rPr>
          <w:rFonts w:eastAsia="Times New Roman"/>
          <w:b/>
          <w:bCs/>
          <w:szCs w:val="24"/>
        </w:rPr>
        <w:t xml:space="preserve">PMR </w:t>
      </w:r>
      <w:r w:rsidRPr="008E4ABB">
        <w:rPr>
          <w:rFonts w:eastAsia="Times New Roman"/>
          <w:szCs w:val="24"/>
        </w:rPr>
        <w:t>→↓</w:t>
      </w:r>
      <w:r w:rsidRPr="008E4ABB">
        <w:rPr>
          <w:rFonts w:eastAsia="Times New Roman"/>
          <w:b/>
          <w:bCs/>
          <w:szCs w:val="24"/>
        </w:rPr>
        <w:t xml:space="preserve">r </w:t>
      </w:r>
      <w:r w:rsidRPr="008E4ABB">
        <w:rPr>
          <w:rFonts w:eastAsia="Times New Roman"/>
          <w:szCs w:val="24"/>
        </w:rPr>
        <w:t>(peníze obchodních bank zlevní),</w:t>
      </w:r>
      <w:r w:rsidRPr="008E4ABB">
        <w:rPr>
          <w:rFonts w:eastAsia="Times New Roman"/>
          <w:b/>
          <w:bCs/>
          <w:szCs w:val="24"/>
        </w:rPr>
        <w:t xml:space="preserve"> </w:t>
      </w:r>
      <w:r w:rsidRPr="008E4ABB">
        <w:rPr>
          <w:rFonts w:eastAsia="Times New Roman"/>
          <w:szCs w:val="24"/>
        </w:rPr>
        <w:t>↑</w:t>
      </w:r>
      <w:r w:rsidRPr="008E4ABB">
        <w:rPr>
          <w:rFonts w:eastAsia="Times New Roman"/>
          <w:b/>
          <w:bCs/>
          <w:szCs w:val="24"/>
        </w:rPr>
        <w:t xml:space="preserve">Ms = </w:t>
      </w:r>
      <w:r w:rsidRPr="008E4ABB">
        <w:rPr>
          <w:rFonts w:eastAsia="Times New Roman"/>
          <w:bCs/>
          <w:szCs w:val="24"/>
        </w:rPr>
        <w:t xml:space="preserve">když se sníží PML, mohou obchodní banky více půjčit, to vede ke snížení </w:t>
      </w:r>
      <w:r w:rsidRPr="008E4ABB">
        <w:rPr>
          <w:rFonts w:eastAsia="Times New Roman"/>
          <w:bCs/>
          <w:szCs w:val="24"/>
        </w:rPr>
        <w:lastRenderedPageBreak/>
        <w:t>úrokové míry a růstu peněžní zásoby – dojde k multiplikovanému přírůstku</w:t>
      </w:r>
      <w:r w:rsidR="003376E1">
        <w:rPr>
          <w:rFonts w:eastAsia="Times New Roman"/>
          <w:bCs/>
          <w:szCs w:val="24"/>
        </w:rPr>
        <w:t xml:space="preserve"> </w:t>
      </w:r>
      <w:r w:rsidRPr="008E4ABB">
        <w:rPr>
          <w:rFonts w:eastAsia="Times New Roman"/>
          <w:bCs/>
          <w:szCs w:val="24"/>
        </w:rPr>
        <w:t>vkladů</w:t>
      </w:r>
      <w:bookmarkStart w:id="143" w:name="page140"/>
      <w:bookmarkEnd w:id="143"/>
    </w:p>
    <w:p w14:paraId="0E7B6407" w14:textId="77777777" w:rsidR="008E4ABB" w:rsidRPr="008E4ABB" w:rsidRDefault="008E4ABB" w:rsidP="00270319">
      <w:pPr>
        <w:numPr>
          <w:ilvl w:val="0"/>
          <w:numId w:val="133"/>
        </w:numPr>
        <w:tabs>
          <w:tab w:val="left" w:pos="1426"/>
        </w:tabs>
        <w:ind w:left="1418" w:hanging="284"/>
        <w:rPr>
          <w:rFonts w:eastAsia="Arial"/>
          <w:sz w:val="23"/>
          <w:szCs w:val="23"/>
        </w:rPr>
      </w:pPr>
      <w:r w:rsidRPr="008E4ABB">
        <w:rPr>
          <w:rFonts w:eastAsia="Times New Roman"/>
          <w:b/>
          <w:bCs/>
          <w:sz w:val="23"/>
          <w:szCs w:val="23"/>
        </w:rPr>
        <w:t>Monetární restrikce -</w:t>
      </w:r>
      <w:r w:rsidRPr="008E4ABB">
        <w:rPr>
          <w:rFonts w:eastAsia="Times New Roman"/>
          <w:sz w:val="23"/>
          <w:szCs w:val="23"/>
        </w:rPr>
        <w:t>↑</w:t>
      </w:r>
      <w:r w:rsidRPr="008E4ABB">
        <w:rPr>
          <w:rFonts w:eastAsia="Times New Roman"/>
          <w:b/>
          <w:bCs/>
          <w:sz w:val="23"/>
          <w:szCs w:val="23"/>
        </w:rPr>
        <w:t xml:space="preserve">PMR </w:t>
      </w:r>
      <w:r w:rsidRPr="008E4ABB">
        <w:rPr>
          <w:rFonts w:eastAsia="Times New Roman"/>
          <w:sz w:val="23"/>
          <w:szCs w:val="23"/>
        </w:rPr>
        <w:t>→↑</w:t>
      </w:r>
      <w:r w:rsidRPr="008E4ABB">
        <w:rPr>
          <w:rFonts w:eastAsia="Times New Roman"/>
          <w:b/>
          <w:bCs/>
          <w:sz w:val="23"/>
          <w:szCs w:val="23"/>
        </w:rPr>
        <w:t xml:space="preserve">r </w:t>
      </w:r>
      <w:r w:rsidRPr="008E4ABB">
        <w:rPr>
          <w:rFonts w:eastAsia="Times New Roman"/>
          <w:sz w:val="23"/>
          <w:szCs w:val="23"/>
        </w:rPr>
        <w:t>(peníze obchodních bank zdraží),</w:t>
      </w:r>
      <w:r w:rsidRPr="008E4ABB">
        <w:rPr>
          <w:rFonts w:eastAsia="Times New Roman"/>
          <w:b/>
          <w:bCs/>
          <w:sz w:val="23"/>
          <w:szCs w:val="23"/>
        </w:rPr>
        <w:t xml:space="preserve"> </w:t>
      </w:r>
      <w:r w:rsidRPr="008E4ABB">
        <w:rPr>
          <w:rFonts w:eastAsia="Times New Roman"/>
          <w:sz w:val="23"/>
          <w:szCs w:val="23"/>
        </w:rPr>
        <w:t>↓</w:t>
      </w:r>
      <w:r w:rsidRPr="008E4ABB">
        <w:rPr>
          <w:rFonts w:eastAsia="Times New Roman"/>
          <w:b/>
          <w:bCs/>
          <w:sz w:val="23"/>
          <w:szCs w:val="23"/>
        </w:rPr>
        <w:t>Ms</w:t>
      </w:r>
    </w:p>
    <w:p w14:paraId="2EB91538" w14:textId="77777777" w:rsidR="008E4ABB" w:rsidRPr="00236AA9" w:rsidRDefault="008E4ABB" w:rsidP="008E4ABB">
      <w:pPr>
        <w:keepNext/>
        <w:keepLines/>
        <w:spacing w:before="40"/>
        <w:jc w:val="left"/>
        <w:outlineLvl w:val="3"/>
        <w:rPr>
          <w:rStyle w:val="Zdraznnintenzivn"/>
          <w:b/>
          <w:bCs/>
          <w:color w:val="auto"/>
        </w:rPr>
      </w:pPr>
      <w:r w:rsidRPr="00236AA9">
        <w:rPr>
          <w:rStyle w:val="Zdraznnintenzivn"/>
          <w:b/>
          <w:bCs/>
          <w:color w:val="auto"/>
        </w:rPr>
        <w:t>Měnová intervence 2013</w:t>
      </w:r>
    </w:p>
    <w:p w14:paraId="0D6FD36C" w14:textId="0A213045" w:rsidR="008E4ABB" w:rsidRPr="008E4ABB" w:rsidRDefault="008E4ABB" w:rsidP="00A44047">
      <w:pPr>
        <w:spacing w:line="359" w:lineRule="auto"/>
        <w:ind w:left="20" w:firstLine="700"/>
        <w:rPr>
          <w:sz w:val="20"/>
          <w:szCs w:val="20"/>
        </w:rPr>
      </w:pPr>
      <w:r w:rsidRPr="008E4ABB">
        <w:rPr>
          <w:rFonts w:eastAsia="Times New Roman"/>
          <w:szCs w:val="24"/>
        </w:rPr>
        <w:t xml:space="preserve">Dne 7. listopadu 2013 ČNB rozhodla o použití měnové kurzu jako nástroje měnové politiky a tedy o zahájení devizových intervencí. Tento nástroj je pro Českou republiku, která je malou otevřenou ekonomikou s dlouhodobým přebytkem likvidity v bankovním sektoru, účinnější k uvolnění měnových podmínek než jiné nástroje. Měnová intervence se uskutečnila </w:t>
      </w:r>
      <w:r w:rsidRPr="008E4ABB">
        <w:rPr>
          <w:rFonts w:eastAsia="Times New Roman"/>
          <w:b/>
          <w:szCs w:val="24"/>
        </w:rPr>
        <w:t>s cílem zabránit hrozící deflaci</w:t>
      </w:r>
      <w:r w:rsidRPr="008E4ABB">
        <w:rPr>
          <w:rFonts w:eastAsia="Times New Roman"/>
          <w:szCs w:val="24"/>
        </w:rPr>
        <w:t xml:space="preserve"> a dodržet tím stanovený inflační cíl. Jedním z důvodů pro použití měnové intervence je dlouhodobě velice nízká úroková míra.</w:t>
      </w:r>
    </w:p>
    <w:p w14:paraId="160E940E" w14:textId="77777777" w:rsidR="008E4ABB" w:rsidRPr="008E4ABB" w:rsidRDefault="008E4ABB" w:rsidP="008E4ABB">
      <w:pPr>
        <w:spacing w:line="370" w:lineRule="auto"/>
        <w:rPr>
          <w:sz w:val="22"/>
          <w:szCs w:val="20"/>
          <w:u w:val="single"/>
        </w:rPr>
      </w:pPr>
      <w:r w:rsidRPr="008E4ABB">
        <w:rPr>
          <w:rFonts w:eastAsia="Times New Roman"/>
          <w:bCs/>
          <w:i/>
          <w:iCs/>
          <w:szCs w:val="23"/>
          <w:u w:val="single"/>
        </w:rPr>
        <w:t>Provedení intervence</w:t>
      </w:r>
    </w:p>
    <w:p w14:paraId="48528AF1" w14:textId="77777777" w:rsidR="008E4ABB" w:rsidRPr="008E4ABB" w:rsidRDefault="008E4ABB" w:rsidP="008E4ABB">
      <w:pPr>
        <w:spacing w:line="167" w:lineRule="exact"/>
        <w:rPr>
          <w:sz w:val="20"/>
          <w:szCs w:val="20"/>
        </w:rPr>
      </w:pPr>
    </w:p>
    <w:p w14:paraId="21A91FB0" w14:textId="77777777" w:rsidR="008E4ABB" w:rsidRPr="008E4ABB" w:rsidRDefault="008E4ABB" w:rsidP="00A44047">
      <w:pPr>
        <w:spacing w:line="367" w:lineRule="auto"/>
        <w:ind w:firstLine="568"/>
        <w:rPr>
          <w:sz w:val="20"/>
          <w:szCs w:val="20"/>
        </w:rPr>
      </w:pPr>
      <w:r w:rsidRPr="008E4ABB">
        <w:rPr>
          <w:rFonts w:eastAsia="Times New Roman"/>
          <w:szCs w:val="24"/>
        </w:rPr>
        <w:t xml:space="preserve">ČNB na základě pokynů Bankovní rady dle potřeby a podmínek na trhu </w:t>
      </w:r>
      <w:r w:rsidRPr="008E4ABB">
        <w:rPr>
          <w:rFonts w:eastAsia="Times New Roman"/>
          <w:b/>
          <w:szCs w:val="24"/>
        </w:rPr>
        <w:t>nakupuje zahraniční měnu</w:t>
      </w:r>
      <w:r w:rsidRPr="008E4ABB">
        <w:rPr>
          <w:rFonts w:eastAsia="Times New Roman"/>
          <w:szCs w:val="24"/>
        </w:rPr>
        <w:t xml:space="preserve"> tak, aby dosáhla požadovaného uvolnění měnových podmínek. Na devizovém trhu bude ČNB intervenovat na </w:t>
      </w:r>
      <w:r w:rsidRPr="008E4ABB">
        <w:rPr>
          <w:rFonts w:eastAsia="Times New Roman"/>
          <w:b/>
          <w:szCs w:val="24"/>
        </w:rPr>
        <w:t>oslabení kurzu koruny</w:t>
      </w:r>
      <w:r w:rsidRPr="008E4ABB">
        <w:rPr>
          <w:rFonts w:eastAsia="Times New Roman"/>
          <w:szCs w:val="24"/>
        </w:rPr>
        <w:t xml:space="preserve"> tak, aby udržovala kurz koruny vůči euru – v souladu s rozhodnutím bankovní rady – poblíž hladiny 27 CZK/EUR. ČNB zároveň brání Koruně, aby posilovala.</w:t>
      </w:r>
    </w:p>
    <w:p w14:paraId="70315822" w14:textId="77777777" w:rsidR="008E4ABB" w:rsidRPr="008E4ABB" w:rsidRDefault="008E4ABB" w:rsidP="008E4ABB">
      <w:pPr>
        <w:spacing w:line="198" w:lineRule="exact"/>
        <w:rPr>
          <w:sz w:val="20"/>
          <w:szCs w:val="20"/>
        </w:rPr>
      </w:pPr>
    </w:p>
    <w:p w14:paraId="300F0F35" w14:textId="77777777" w:rsidR="008E4ABB" w:rsidRPr="00266F2F" w:rsidRDefault="008E4ABB" w:rsidP="00F47DAD">
      <w:pPr>
        <w:pStyle w:val="Nadpis4"/>
        <w:rPr>
          <w:color w:val="1F3864" w:themeColor="accent1" w:themeShade="80"/>
          <w:sz w:val="20"/>
          <w:szCs w:val="20"/>
        </w:rPr>
      </w:pPr>
      <w:r w:rsidRPr="00266F2F">
        <w:rPr>
          <w:rFonts w:eastAsia="Times New Roman"/>
          <w:color w:val="1F3864" w:themeColor="accent1" w:themeShade="80"/>
        </w:rPr>
        <w:t>Důsledky intervence</w:t>
      </w:r>
    </w:p>
    <w:p w14:paraId="4CC72BA9" w14:textId="77777777" w:rsidR="008E4ABB" w:rsidRPr="008E4ABB" w:rsidRDefault="008E4ABB" w:rsidP="008E4ABB">
      <w:pPr>
        <w:spacing w:line="167" w:lineRule="exact"/>
        <w:rPr>
          <w:sz w:val="20"/>
          <w:szCs w:val="20"/>
        </w:rPr>
      </w:pPr>
    </w:p>
    <w:p w14:paraId="0FE2D035" w14:textId="77777777" w:rsidR="008E4ABB" w:rsidRPr="008E4ABB" w:rsidRDefault="008E4ABB" w:rsidP="00A44047">
      <w:pPr>
        <w:spacing w:line="358" w:lineRule="auto"/>
        <w:ind w:left="568" w:firstLine="720"/>
        <w:rPr>
          <w:rFonts w:eastAsia="Times New Roman"/>
          <w:szCs w:val="24"/>
        </w:rPr>
      </w:pPr>
      <w:r w:rsidRPr="008E4ABB">
        <w:rPr>
          <w:rFonts w:eastAsia="Times New Roman"/>
          <w:szCs w:val="24"/>
        </w:rPr>
        <w:t>Oslabení kurzu koruny vede zvýšení dovozních cen, a tím i celkové cenové hladiny ČR. V menší míře má podpořit i domácí ekonomickou aktivitu. Intervence se promítne nejen do oslabení koruny vůči euru, ale také koruny vůči ostatním měnám. Ve střednědobém horizontu intervence zlepší také hospodaření samotné ČNB, i když to není jejím prvotním cílem. Tím je péče o cenovou stabilitu země.</w:t>
      </w:r>
    </w:p>
    <w:p w14:paraId="0B5A449E" w14:textId="77777777" w:rsidR="008E4ABB" w:rsidRPr="008E4ABB" w:rsidRDefault="008E4ABB" w:rsidP="008E4ABB">
      <w:pPr>
        <w:spacing w:line="358" w:lineRule="auto"/>
        <w:rPr>
          <w:rFonts w:eastAsia="Times New Roman"/>
          <w:b/>
          <w:bCs/>
          <w:i/>
          <w:iCs/>
          <w:sz w:val="12"/>
          <w:szCs w:val="12"/>
        </w:rPr>
      </w:pPr>
    </w:p>
    <w:p w14:paraId="21072031" w14:textId="77777777" w:rsidR="008E4ABB" w:rsidRPr="008E4ABB" w:rsidRDefault="008E4ABB" w:rsidP="00A44047">
      <w:pPr>
        <w:ind w:left="568"/>
        <w:rPr>
          <w:sz w:val="20"/>
          <w:szCs w:val="20"/>
        </w:rPr>
      </w:pPr>
      <w:r w:rsidRPr="008E4ABB">
        <w:rPr>
          <w:rFonts w:eastAsia="Times New Roman"/>
          <w:b/>
          <w:bCs/>
          <w:i/>
          <w:iCs/>
          <w:szCs w:val="24"/>
        </w:rPr>
        <w:t>Očekávaná pozitiva intervence</w:t>
      </w:r>
    </w:p>
    <w:p w14:paraId="296AB385" w14:textId="77777777" w:rsidR="008E4ABB" w:rsidRPr="008E4ABB" w:rsidRDefault="008E4ABB" w:rsidP="00D46B53">
      <w:pPr>
        <w:numPr>
          <w:ilvl w:val="0"/>
          <w:numId w:val="157"/>
        </w:numPr>
        <w:tabs>
          <w:tab w:val="left" w:pos="1420"/>
        </w:tabs>
        <w:spacing w:line="366" w:lineRule="auto"/>
        <w:ind w:left="1986" w:hanging="284"/>
        <w:rPr>
          <w:rFonts w:eastAsia="Arial"/>
          <w:szCs w:val="24"/>
        </w:rPr>
      </w:pPr>
      <w:r w:rsidRPr="008E4ABB">
        <w:rPr>
          <w:rFonts w:eastAsia="Times New Roman"/>
          <w:b/>
          <w:szCs w:val="24"/>
        </w:rPr>
        <w:t xml:space="preserve">Podpoření českého exportu a zvýšení konkurenceschopnosti českých podniků </w:t>
      </w:r>
      <w:r w:rsidRPr="008E4ABB">
        <w:rPr>
          <w:rFonts w:eastAsia="Times New Roman"/>
          <w:szCs w:val="24"/>
        </w:rPr>
        <w:t>a jejich ochoty investovat</w:t>
      </w:r>
    </w:p>
    <w:p w14:paraId="7D75C63C" w14:textId="77777777" w:rsidR="008E4ABB" w:rsidRPr="008E4ABB" w:rsidRDefault="008E4ABB" w:rsidP="00A44047">
      <w:pPr>
        <w:spacing w:line="1" w:lineRule="exact"/>
        <w:ind w:left="1986" w:hanging="284"/>
        <w:rPr>
          <w:rFonts w:eastAsia="Arial"/>
          <w:szCs w:val="24"/>
        </w:rPr>
      </w:pPr>
    </w:p>
    <w:p w14:paraId="2A42F298" w14:textId="77777777" w:rsidR="008E4ABB" w:rsidRPr="008E4ABB" w:rsidRDefault="008E4ABB" w:rsidP="00D46B53">
      <w:pPr>
        <w:numPr>
          <w:ilvl w:val="0"/>
          <w:numId w:val="157"/>
        </w:numPr>
        <w:tabs>
          <w:tab w:val="left" w:pos="1420"/>
        </w:tabs>
        <w:ind w:left="1986" w:hanging="284"/>
        <w:rPr>
          <w:rFonts w:eastAsia="Arial"/>
          <w:b/>
          <w:szCs w:val="24"/>
        </w:rPr>
      </w:pPr>
      <w:r w:rsidRPr="008E4ABB">
        <w:rPr>
          <w:rFonts w:eastAsia="Times New Roman"/>
          <w:szCs w:val="24"/>
        </w:rPr>
        <w:t xml:space="preserve">Oživení výroby má přispět k </w:t>
      </w:r>
      <w:r w:rsidRPr="008E4ABB">
        <w:rPr>
          <w:rFonts w:eastAsia="Times New Roman"/>
          <w:b/>
          <w:szCs w:val="24"/>
        </w:rPr>
        <w:t>nárůstu zaměstnanosti a mezd</w:t>
      </w:r>
    </w:p>
    <w:p w14:paraId="6561825D" w14:textId="77777777" w:rsidR="008E4ABB" w:rsidRPr="008E4ABB" w:rsidRDefault="008E4ABB" w:rsidP="00D46B53">
      <w:pPr>
        <w:numPr>
          <w:ilvl w:val="0"/>
          <w:numId w:val="157"/>
        </w:numPr>
        <w:tabs>
          <w:tab w:val="left" w:pos="1420"/>
        </w:tabs>
        <w:ind w:left="1986" w:hanging="284"/>
        <w:rPr>
          <w:rFonts w:eastAsia="Arial"/>
          <w:b/>
          <w:szCs w:val="24"/>
        </w:rPr>
      </w:pPr>
      <w:r w:rsidRPr="008E4ABB">
        <w:rPr>
          <w:rFonts w:eastAsia="Times New Roman"/>
          <w:szCs w:val="24"/>
        </w:rPr>
        <w:t xml:space="preserve">V konečném důsledku by se měla </w:t>
      </w:r>
      <w:r w:rsidRPr="008E4ABB">
        <w:rPr>
          <w:rFonts w:eastAsia="Times New Roman"/>
          <w:b/>
          <w:szCs w:val="24"/>
        </w:rPr>
        <w:t>zvýšit i kupní síla domácností</w:t>
      </w:r>
    </w:p>
    <w:p w14:paraId="68D31F1F" w14:textId="77777777" w:rsidR="008E4ABB" w:rsidRPr="008E4ABB" w:rsidRDefault="008E4ABB" w:rsidP="00D46B53">
      <w:pPr>
        <w:numPr>
          <w:ilvl w:val="0"/>
          <w:numId w:val="157"/>
        </w:numPr>
        <w:tabs>
          <w:tab w:val="left" w:pos="1420"/>
        </w:tabs>
        <w:spacing w:line="366" w:lineRule="auto"/>
        <w:ind w:left="1986" w:hanging="284"/>
        <w:rPr>
          <w:rFonts w:eastAsia="Arial"/>
          <w:b/>
          <w:szCs w:val="24"/>
        </w:rPr>
      </w:pPr>
      <w:r w:rsidRPr="008E4ABB">
        <w:rPr>
          <w:rFonts w:eastAsia="Times New Roman"/>
          <w:szCs w:val="24"/>
        </w:rPr>
        <w:t xml:space="preserve">Zdražení dovozu povede k částečnému </w:t>
      </w:r>
      <w:r w:rsidRPr="008E4ABB">
        <w:rPr>
          <w:rFonts w:eastAsia="Times New Roman"/>
          <w:b/>
          <w:szCs w:val="24"/>
        </w:rPr>
        <w:t>přesměrování poptávky na domácí zboží a služby</w:t>
      </w:r>
    </w:p>
    <w:p w14:paraId="065DD357" w14:textId="77777777" w:rsidR="008E4ABB" w:rsidRPr="008E4ABB" w:rsidRDefault="008E4ABB" w:rsidP="00A44047">
      <w:pPr>
        <w:spacing w:line="1" w:lineRule="exact"/>
        <w:ind w:left="568"/>
        <w:rPr>
          <w:rFonts w:eastAsia="Arial"/>
          <w:szCs w:val="24"/>
        </w:rPr>
      </w:pPr>
    </w:p>
    <w:p w14:paraId="5881535F" w14:textId="77777777" w:rsidR="008E4ABB" w:rsidRPr="008E4ABB" w:rsidRDefault="008E4ABB" w:rsidP="00A44047">
      <w:pPr>
        <w:ind w:left="572"/>
        <w:rPr>
          <w:sz w:val="20"/>
          <w:szCs w:val="20"/>
        </w:rPr>
      </w:pPr>
      <w:r w:rsidRPr="008E4ABB">
        <w:rPr>
          <w:rFonts w:eastAsia="Times New Roman"/>
          <w:b/>
          <w:bCs/>
          <w:i/>
          <w:iCs/>
          <w:szCs w:val="24"/>
        </w:rPr>
        <w:t>Očekávaná negativa intervence</w:t>
      </w:r>
    </w:p>
    <w:p w14:paraId="74684823" w14:textId="77777777" w:rsidR="008E4ABB" w:rsidRPr="008E4ABB" w:rsidRDefault="008E4ABB" w:rsidP="00D46B53">
      <w:pPr>
        <w:numPr>
          <w:ilvl w:val="0"/>
          <w:numId w:val="158"/>
        </w:numPr>
        <w:tabs>
          <w:tab w:val="left" w:pos="1424"/>
        </w:tabs>
        <w:spacing w:line="348" w:lineRule="auto"/>
        <w:ind w:left="1986" w:right="40" w:hanging="284"/>
        <w:rPr>
          <w:rFonts w:eastAsia="Arial"/>
          <w:szCs w:val="24"/>
        </w:rPr>
      </w:pPr>
      <w:r w:rsidRPr="008E4ABB">
        <w:rPr>
          <w:rFonts w:eastAsia="Times New Roman"/>
          <w:b/>
          <w:szCs w:val="24"/>
        </w:rPr>
        <w:t>Inflace</w:t>
      </w:r>
      <w:r w:rsidRPr="008E4ABB">
        <w:rPr>
          <w:rFonts w:eastAsia="Times New Roman"/>
          <w:szCs w:val="24"/>
        </w:rPr>
        <w:t xml:space="preserve"> přerozděluje bohatství, zejména to platí mezi dlužníky a věřiteli. V konečném důsledku inflace snižuje i dluh státu a zároveň dochází k </w:t>
      </w:r>
      <w:r w:rsidRPr="008E4ABB">
        <w:rPr>
          <w:rFonts w:eastAsia="Times New Roman"/>
          <w:szCs w:val="24"/>
        </w:rPr>
        <w:lastRenderedPageBreak/>
        <w:t>poklesu hodnoty úspor. Během jediného dne po intervenci české domácnosti zchudly téměř o 76 mld. Kč.</w:t>
      </w:r>
    </w:p>
    <w:p w14:paraId="5FA464BE" w14:textId="77777777" w:rsidR="008E4ABB" w:rsidRPr="008E4ABB" w:rsidRDefault="008E4ABB" w:rsidP="00A44047">
      <w:pPr>
        <w:spacing w:line="4" w:lineRule="exact"/>
        <w:ind w:left="1986" w:hanging="284"/>
        <w:rPr>
          <w:rFonts w:eastAsia="Arial"/>
          <w:szCs w:val="24"/>
        </w:rPr>
      </w:pPr>
    </w:p>
    <w:p w14:paraId="40B9BAF2" w14:textId="77777777" w:rsidR="008E4ABB" w:rsidRPr="008E4ABB" w:rsidRDefault="008E4ABB" w:rsidP="00D46B53">
      <w:pPr>
        <w:numPr>
          <w:ilvl w:val="0"/>
          <w:numId w:val="158"/>
        </w:numPr>
        <w:tabs>
          <w:tab w:val="left" w:pos="1424"/>
        </w:tabs>
        <w:spacing w:line="343" w:lineRule="auto"/>
        <w:ind w:left="1986" w:right="40" w:hanging="284"/>
        <w:rPr>
          <w:rFonts w:eastAsia="Arial"/>
          <w:szCs w:val="24"/>
        </w:rPr>
      </w:pPr>
      <w:r w:rsidRPr="008E4ABB">
        <w:rPr>
          <w:rFonts w:eastAsia="Times New Roman"/>
          <w:szCs w:val="24"/>
        </w:rPr>
        <w:t>Odpůrci intervence uvádějí, že cenová deflace sama o sobě není hrozbou pro hospodářský růst. Deflace by musela být doprovázena bankovní krizí, kterou ovšem české banky netrpí.</w:t>
      </w:r>
    </w:p>
    <w:p w14:paraId="30459B4D" w14:textId="77777777" w:rsidR="008E4ABB" w:rsidRPr="008E4ABB" w:rsidRDefault="008E4ABB" w:rsidP="00A44047">
      <w:pPr>
        <w:spacing w:line="2" w:lineRule="exact"/>
        <w:ind w:left="1986" w:hanging="284"/>
        <w:rPr>
          <w:rFonts w:eastAsia="Arial"/>
          <w:szCs w:val="24"/>
        </w:rPr>
      </w:pPr>
    </w:p>
    <w:p w14:paraId="79639417" w14:textId="77777777" w:rsidR="008E4ABB" w:rsidRPr="008E4ABB" w:rsidRDefault="008E4ABB" w:rsidP="00D46B53">
      <w:pPr>
        <w:numPr>
          <w:ilvl w:val="0"/>
          <w:numId w:val="158"/>
        </w:numPr>
        <w:tabs>
          <w:tab w:val="left" w:pos="1424"/>
        </w:tabs>
        <w:spacing w:line="344" w:lineRule="auto"/>
        <w:ind w:left="1986" w:right="40" w:hanging="284"/>
        <w:rPr>
          <w:rFonts w:eastAsia="Arial"/>
          <w:szCs w:val="24"/>
        </w:rPr>
      </w:pPr>
      <w:r w:rsidRPr="008E4ABB">
        <w:rPr>
          <w:rFonts w:eastAsia="Times New Roman"/>
          <w:szCs w:val="24"/>
        </w:rPr>
        <w:t xml:space="preserve">ČNB sice své kroky podle některých komentátorů naznačovala delší dobu, přesto ale podcenila komunikaci a </w:t>
      </w:r>
      <w:r w:rsidRPr="008E4ABB">
        <w:rPr>
          <w:rFonts w:eastAsia="Times New Roman"/>
          <w:b/>
          <w:szCs w:val="24"/>
        </w:rPr>
        <w:t>intervenci byla pro veřejnost nečekaná</w:t>
      </w:r>
      <w:r w:rsidRPr="008E4ABB">
        <w:rPr>
          <w:rFonts w:eastAsia="Times New Roman"/>
          <w:szCs w:val="24"/>
        </w:rPr>
        <w:t xml:space="preserve">. Tím pravděpodobně alespoň částečně </w:t>
      </w:r>
      <w:r w:rsidRPr="008E4ABB">
        <w:rPr>
          <w:rFonts w:eastAsia="Times New Roman"/>
          <w:b/>
          <w:szCs w:val="24"/>
        </w:rPr>
        <w:t>ztratí na své důvěryhodnosti</w:t>
      </w:r>
      <w:r w:rsidRPr="008E4ABB">
        <w:rPr>
          <w:rFonts w:eastAsia="Times New Roman"/>
          <w:szCs w:val="24"/>
        </w:rPr>
        <w:t>.</w:t>
      </w:r>
    </w:p>
    <w:p w14:paraId="7C351C41" w14:textId="77777777" w:rsidR="008E4ABB" w:rsidRPr="008E4ABB" w:rsidRDefault="008E4ABB" w:rsidP="00A44047">
      <w:pPr>
        <w:spacing w:line="3" w:lineRule="exact"/>
        <w:ind w:left="1986" w:hanging="284"/>
        <w:rPr>
          <w:rFonts w:eastAsia="Arial"/>
          <w:szCs w:val="24"/>
        </w:rPr>
      </w:pPr>
    </w:p>
    <w:p w14:paraId="1C89EB04" w14:textId="77777777" w:rsidR="008E4ABB" w:rsidRPr="008E4ABB" w:rsidRDefault="008E4ABB" w:rsidP="00D46B53">
      <w:pPr>
        <w:numPr>
          <w:ilvl w:val="0"/>
          <w:numId w:val="158"/>
        </w:numPr>
        <w:tabs>
          <w:tab w:val="left" w:pos="1424"/>
        </w:tabs>
        <w:ind w:left="1986" w:hanging="284"/>
        <w:rPr>
          <w:rFonts w:eastAsia="Arial"/>
          <w:szCs w:val="24"/>
        </w:rPr>
      </w:pPr>
      <w:r w:rsidRPr="008E4ABB">
        <w:rPr>
          <w:rFonts w:eastAsia="Times New Roman"/>
          <w:szCs w:val="24"/>
        </w:rPr>
        <w:t xml:space="preserve">Stimulace exportu bude mít podle očekávání </w:t>
      </w:r>
      <w:r w:rsidRPr="008E4ABB">
        <w:rPr>
          <w:rFonts w:eastAsia="Times New Roman"/>
          <w:b/>
          <w:szCs w:val="24"/>
        </w:rPr>
        <w:t>jen krátkodobý efekt</w:t>
      </w:r>
      <w:r w:rsidRPr="008E4ABB">
        <w:rPr>
          <w:rFonts w:eastAsia="Times New Roman"/>
          <w:szCs w:val="24"/>
        </w:rPr>
        <w:t>.</w:t>
      </w:r>
    </w:p>
    <w:p w14:paraId="7209C69A" w14:textId="77777777" w:rsidR="008E4ABB" w:rsidRPr="008E4ABB" w:rsidRDefault="008E4ABB" w:rsidP="00A44047">
      <w:pPr>
        <w:spacing w:line="107" w:lineRule="exact"/>
        <w:ind w:left="1986" w:hanging="284"/>
        <w:rPr>
          <w:rFonts w:eastAsia="Arial"/>
          <w:szCs w:val="24"/>
        </w:rPr>
      </w:pPr>
    </w:p>
    <w:p w14:paraId="7C14ED17" w14:textId="77777777" w:rsidR="008E4ABB" w:rsidRPr="008E4ABB" w:rsidRDefault="008E4ABB" w:rsidP="00D46B53">
      <w:pPr>
        <w:numPr>
          <w:ilvl w:val="0"/>
          <w:numId w:val="158"/>
        </w:numPr>
        <w:tabs>
          <w:tab w:val="left" w:pos="1424"/>
        </w:tabs>
        <w:ind w:left="1986" w:hanging="284"/>
        <w:rPr>
          <w:rFonts w:eastAsia="Arial"/>
          <w:szCs w:val="24"/>
        </w:rPr>
      </w:pPr>
      <w:r w:rsidRPr="008E4ABB">
        <w:rPr>
          <w:rFonts w:eastAsia="Times New Roman"/>
          <w:szCs w:val="24"/>
        </w:rPr>
        <w:t>Zvýšení spotřeby nezajistí hospodářský růst.</w:t>
      </w:r>
    </w:p>
    <w:p w14:paraId="49D881F7" w14:textId="77777777" w:rsidR="008E4ABB" w:rsidRPr="008E4ABB" w:rsidRDefault="008E4ABB" w:rsidP="00A44047">
      <w:pPr>
        <w:spacing w:line="107" w:lineRule="exact"/>
        <w:ind w:left="1986" w:hanging="284"/>
        <w:rPr>
          <w:rFonts w:eastAsia="Arial"/>
          <w:szCs w:val="24"/>
        </w:rPr>
      </w:pPr>
    </w:p>
    <w:p w14:paraId="11FECF41" w14:textId="77777777" w:rsidR="008E4ABB" w:rsidRPr="008E4ABB" w:rsidRDefault="008E4ABB" w:rsidP="00D46B53">
      <w:pPr>
        <w:numPr>
          <w:ilvl w:val="0"/>
          <w:numId w:val="158"/>
        </w:numPr>
        <w:tabs>
          <w:tab w:val="left" w:pos="1424"/>
        </w:tabs>
        <w:ind w:left="1986" w:hanging="284"/>
        <w:rPr>
          <w:rFonts w:eastAsia="Arial"/>
          <w:szCs w:val="24"/>
        </w:rPr>
      </w:pPr>
      <w:r w:rsidRPr="008E4ABB">
        <w:rPr>
          <w:rFonts w:eastAsia="Times New Roman"/>
          <w:szCs w:val="24"/>
        </w:rPr>
        <w:t xml:space="preserve">Pro firmy to opět znamená </w:t>
      </w:r>
      <w:r w:rsidRPr="008E4ABB">
        <w:rPr>
          <w:rFonts w:eastAsia="Times New Roman"/>
          <w:b/>
          <w:szCs w:val="24"/>
        </w:rPr>
        <w:t>pokles stability ekonomiky</w:t>
      </w:r>
      <w:r w:rsidRPr="008E4ABB">
        <w:rPr>
          <w:rFonts w:eastAsia="Times New Roman"/>
          <w:szCs w:val="24"/>
        </w:rPr>
        <w:t>.</w:t>
      </w:r>
    </w:p>
    <w:p w14:paraId="7761A104" w14:textId="77777777" w:rsidR="008E4ABB" w:rsidRPr="008E4ABB" w:rsidRDefault="008E4ABB" w:rsidP="008E4ABB">
      <w:pPr>
        <w:spacing w:line="69" w:lineRule="exact"/>
        <w:rPr>
          <w:rFonts w:eastAsia="Times New Roman"/>
          <w:b/>
          <w:bCs/>
          <w:szCs w:val="24"/>
        </w:rPr>
      </w:pPr>
    </w:p>
    <w:p w14:paraId="776AFD54" w14:textId="77777777" w:rsidR="008E4ABB" w:rsidRPr="008E4ABB" w:rsidRDefault="008E4ABB" w:rsidP="008E4ABB">
      <w:pPr>
        <w:tabs>
          <w:tab w:val="left" w:pos="1064"/>
        </w:tabs>
        <w:ind w:left="364"/>
        <w:rPr>
          <w:rFonts w:eastAsia="Times New Roman"/>
          <w:b/>
          <w:bCs/>
          <w:sz w:val="32"/>
          <w:szCs w:val="32"/>
        </w:rPr>
      </w:pPr>
      <w:bookmarkStart w:id="144" w:name="page141"/>
      <w:bookmarkEnd w:id="144"/>
    </w:p>
    <w:p w14:paraId="5E85687D" w14:textId="77777777" w:rsidR="008E4ABB" w:rsidRPr="004B6CDE" w:rsidRDefault="008E4ABB" w:rsidP="00236AA9">
      <w:pPr>
        <w:pStyle w:val="Nadpis2"/>
        <w:rPr>
          <w:color w:val="1F3864" w:themeColor="accent1" w:themeShade="80"/>
          <w:sz w:val="20"/>
          <w:szCs w:val="20"/>
        </w:rPr>
      </w:pPr>
      <w:r w:rsidRPr="004B6CDE">
        <w:rPr>
          <w:rFonts w:eastAsia="Times New Roman"/>
          <w:color w:val="1F3864" w:themeColor="accent1" w:themeShade="80"/>
        </w:rPr>
        <w:t>TRANSMISNÍ MECHANISMY MONETÁRNÍ POLITIKY</w:t>
      </w:r>
    </w:p>
    <w:p w14:paraId="3F066FAF" w14:textId="691A8826" w:rsidR="008E4ABB" w:rsidRPr="008E4ABB" w:rsidRDefault="008E4ABB" w:rsidP="00A44047">
      <w:pPr>
        <w:spacing w:line="362" w:lineRule="auto"/>
        <w:ind w:left="4" w:firstLine="716"/>
        <w:rPr>
          <w:sz w:val="20"/>
          <w:szCs w:val="20"/>
        </w:rPr>
      </w:pPr>
      <w:r w:rsidRPr="008E4ABB">
        <w:rPr>
          <w:rFonts w:eastAsia="Times New Roman"/>
          <w:szCs w:val="24"/>
        </w:rPr>
        <w:t xml:space="preserve">Transmisním mechanismem (TM) měnové politiky se </w:t>
      </w:r>
      <w:r w:rsidRPr="008E4ABB">
        <w:rPr>
          <w:rFonts w:eastAsia="Times New Roman"/>
          <w:b/>
          <w:szCs w:val="24"/>
        </w:rPr>
        <w:t>rozumí řetězec ekonom. vazeb, který umožňuje, aby změny v nastavení měnově-politických nástrojů vedly k žádoucím změnám inflace</w:t>
      </w:r>
      <w:r w:rsidRPr="008E4ABB">
        <w:rPr>
          <w:rFonts w:eastAsia="Times New Roman"/>
          <w:szCs w:val="24"/>
        </w:rPr>
        <w:t>. Převádí tedy zvýšení peněžní zásoby do zvýšení poptávky po penězích. Počátkem TM je tedy změna nastavení měnově-politických nástrojů. Tato změna vede ke změně chování "zprostředkujících" trhů, na něž má nastavení měnově-politických nástrojů přímý vliv. Změna chování těchto trhů pak přes nejrůznější další "zprostředkující" trhy vede ke změnám na "cílových" trzích, jejichž cenový vývoj chce CB ovlivnit.</w:t>
      </w:r>
    </w:p>
    <w:p w14:paraId="74F7521B" w14:textId="77777777" w:rsidR="008E4ABB" w:rsidRPr="008E4ABB" w:rsidRDefault="008E4ABB" w:rsidP="008E4ABB">
      <w:pPr>
        <w:spacing w:line="13" w:lineRule="exact"/>
        <w:rPr>
          <w:sz w:val="20"/>
          <w:szCs w:val="20"/>
        </w:rPr>
      </w:pPr>
    </w:p>
    <w:p w14:paraId="4F15C53A" w14:textId="77777777" w:rsidR="008E4ABB" w:rsidRPr="008E4ABB" w:rsidRDefault="008E4ABB" w:rsidP="00270319">
      <w:pPr>
        <w:numPr>
          <w:ilvl w:val="0"/>
          <w:numId w:val="134"/>
        </w:numPr>
        <w:tabs>
          <w:tab w:val="left" w:pos="724"/>
        </w:tabs>
        <w:rPr>
          <w:rFonts w:eastAsia="Arial"/>
          <w:szCs w:val="24"/>
        </w:rPr>
      </w:pPr>
      <w:r w:rsidRPr="008E4ABB">
        <w:rPr>
          <w:rFonts w:eastAsia="Times New Roman"/>
          <w:szCs w:val="24"/>
        </w:rPr>
        <w:t>nástroj → operativní kritéria →zprostředkující kritéria →cíl MP</w:t>
      </w:r>
    </w:p>
    <w:p w14:paraId="113C1FCF" w14:textId="77777777" w:rsidR="008E4ABB" w:rsidRPr="008E4ABB" w:rsidRDefault="008E4ABB" w:rsidP="008E4ABB">
      <w:pPr>
        <w:spacing w:line="362" w:lineRule="auto"/>
        <w:ind w:left="4"/>
        <w:rPr>
          <w:rFonts w:eastAsia="Times New Roman"/>
          <w:szCs w:val="24"/>
        </w:rPr>
      </w:pPr>
      <w:r w:rsidRPr="008E4ABB">
        <w:rPr>
          <w:rFonts w:eastAsia="Arial"/>
          <w:szCs w:val="24"/>
        </w:rPr>
        <w:t>Transmisní mechanismus má</w:t>
      </w:r>
      <w:r w:rsidRPr="008E4ABB">
        <w:rPr>
          <w:rFonts w:eastAsia="Times New Roman"/>
          <w:szCs w:val="24"/>
        </w:rPr>
        <w:t xml:space="preserve"> 4 fáze:</w:t>
      </w:r>
    </w:p>
    <w:p w14:paraId="4A9D0497" w14:textId="77777777" w:rsidR="008E4ABB" w:rsidRPr="008E4ABB" w:rsidRDefault="008E4ABB" w:rsidP="008E4ABB">
      <w:pPr>
        <w:spacing w:after="240" w:line="362" w:lineRule="auto"/>
        <w:ind w:left="4"/>
        <w:rPr>
          <w:sz w:val="20"/>
          <w:szCs w:val="20"/>
        </w:rPr>
      </w:pPr>
      <w:r w:rsidRPr="00236AA9">
        <w:rPr>
          <w:i/>
          <w:iCs/>
        </w:rPr>
        <w:t>1. fáze</w:t>
      </w:r>
      <w:r w:rsidRPr="00236AA9">
        <w:rPr>
          <w:rFonts w:eastAsia="Times New Roman"/>
          <w:szCs w:val="24"/>
        </w:rPr>
        <w:t xml:space="preserve"> – </w:t>
      </w:r>
      <w:r w:rsidRPr="00236AA9">
        <w:rPr>
          <w:rFonts w:eastAsia="Times New Roman"/>
          <w:b/>
          <w:szCs w:val="24"/>
        </w:rPr>
        <w:t>nerovnováha</w:t>
      </w:r>
      <w:r w:rsidRPr="00236AA9">
        <w:rPr>
          <w:rFonts w:eastAsia="Times New Roman"/>
          <w:szCs w:val="24"/>
        </w:rPr>
        <w:t xml:space="preserve">, lidem se dostává do rukou víc peněz, než držet chtějí. Jejich skutečné peněžní zůstatky jsou vyšší, než poptávané peněžní zůstatky, lidé se přebytečných peněžních zůstatků zbavují, </w:t>
      </w:r>
      <w:r w:rsidRPr="00236AA9">
        <w:rPr>
          <w:rFonts w:eastAsia="Times New Roman"/>
          <w:b/>
          <w:szCs w:val="24"/>
        </w:rPr>
        <w:t>nakupují nepeněžní aktiva</w:t>
      </w:r>
      <w:r w:rsidRPr="00236AA9">
        <w:rPr>
          <w:rFonts w:eastAsia="Times New Roman"/>
          <w:szCs w:val="24"/>
        </w:rPr>
        <w:br/>
      </w:r>
      <w:r w:rsidRPr="00236AA9">
        <w:rPr>
          <w:i/>
          <w:iCs/>
        </w:rPr>
        <w:t>2. fáze</w:t>
      </w:r>
      <w:r w:rsidRPr="00236AA9">
        <w:rPr>
          <w:rFonts w:eastAsia="Times New Roman"/>
          <w:szCs w:val="24"/>
        </w:rPr>
        <w:t xml:space="preserve"> – zvýší se tržní cena aktiv (kvůli zvýšené poptávce po nich) a tím se </w:t>
      </w:r>
      <w:r w:rsidRPr="00236AA9">
        <w:rPr>
          <w:rFonts w:eastAsia="Times New Roman"/>
          <w:b/>
          <w:szCs w:val="24"/>
        </w:rPr>
        <w:t>sníží míra výnosu</w:t>
      </w:r>
      <w:r w:rsidRPr="00236AA9">
        <w:rPr>
          <w:rFonts w:eastAsia="Times New Roman"/>
          <w:szCs w:val="24"/>
        </w:rPr>
        <w:t xml:space="preserve"> (rE = RE/P, výnos aktiva děleno tržní cena), </w:t>
      </w:r>
      <w:r w:rsidRPr="00236AA9">
        <w:rPr>
          <w:rFonts w:eastAsia="Times New Roman"/>
          <w:b/>
          <w:szCs w:val="24"/>
        </w:rPr>
        <w:t>pokles úrokových měr</w:t>
      </w:r>
      <w:r w:rsidRPr="00236AA9">
        <w:rPr>
          <w:rFonts w:eastAsia="Times New Roman"/>
          <w:szCs w:val="24"/>
        </w:rPr>
        <w:br/>
      </w:r>
      <w:r w:rsidRPr="00236AA9">
        <w:rPr>
          <w:i/>
          <w:iCs/>
        </w:rPr>
        <w:t>3. fáze</w:t>
      </w:r>
      <w:r w:rsidRPr="00236AA9">
        <w:rPr>
          <w:rFonts w:eastAsia="Times New Roman"/>
          <w:szCs w:val="24"/>
        </w:rPr>
        <w:t xml:space="preserve"> – pokles úrokové míry vede ke </w:t>
      </w:r>
      <w:r w:rsidRPr="00236AA9">
        <w:rPr>
          <w:rFonts w:eastAsia="Times New Roman"/>
          <w:b/>
          <w:szCs w:val="24"/>
        </w:rPr>
        <w:t>zvýšení vývozu kapitálu</w:t>
      </w:r>
      <w:r w:rsidRPr="00236AA9">
        <w:rPr>
          <w:rFonts w:eastAsia="Times New Roman"/>
          <w:szCs w:val="24"/>
        </w:rPr>
        <w:t xml:space="preserve"> (protože v malé otevřené ekonomice se </w:t>
      </w:r>
      <w:r w:rsidRPr="008E4ABB">
        <w:rPr>
          <w:rFonts w:eastAsia="Times New Roman"/>
          <w:szCs w:val="24"/>
        </w:rPr>
        <w:t>nemůže úroková míra dlouhodobě odchýlit od světové) a tím dojde k </w:t>
      </w:r>
      <w:r w:rsidRPr="008E4ABB">
        <w:rPr>
          <w:rFonts w:eastAsia="Times New Roman"/>
          <w:b/>
          <w:szCs w:val="24"/>
        </w:rPr>
        <w:t>depreciaci měny</w:t>
      </w:r>
      <w:r w:rsidRPr="008E4ABB">
        <w:rPr>
          <w:rFonts w:eastAsia="Times New Roman"/>
          <w:szCs w:val="24"/>
        </w:rPr>
        <w:t xml:space="preserve">. Dojde k čistému vývozu zboží a služeb. Došlo ke zvýšení agregátních výdajů (růst NX) a to zvýší důchody. Lidé tak chtějí držet více peněžních zůstatků a budou </w:t>
      </w:r>
      <w:r w:rsidRPr="00236AA9">
        <w:rPr>
          <w:rFonts w:eastAsia="Times New Roman"/>
          <w:b/>
          <w:szCs w:val="24"/>
        </w:rPr>
        <w:t>prodávat dluhopisy</w:t>
      </w:r>
      <w:r w:rsidRPr="00236AA9">
        <w:rPr>
          <w:rFonts w:eastAsia="Times New Roman"/>
          <w:szCs w:val="24"/>
        </w:rPr>
        <w:t xml:space="preserve"> (aktiva). Opět </w:t>
      </w:r>
      <w:r w:rsidRPr="00236AA9">
        <w:rPr>
          <w:rFonts w:eastAsia="Times New Roman"/>
          <w:b/>
          <w:szCs w:val="24"/>
        </w:rPr>
        <w:t>vzroste úroková míra</w:t>
      </w:r>
      <w:r w:rsidRPr="00236AA9">
        <w:rPr>
          <w:rFonts w:eastAsia="Times New Roman"/>
          <w:szCs w:val="24"/>
        </w:rPr>
        <w:t xml:space="preserve">. </w:t>
      </w:r>
      <w:r w:rsidRPr="00236AA9">
        <w:rPr>
          <w:rFonts w:eastAsia="Times New Roman"/>
          <w:szCs w:val="24"/>
        </w:rPr>
        <w:br/>
      </w:r>
      <w:r w:rsidRPr="00236AA9">
        <w:rPr>
          <w:i/>
          <w:iCs/>
        </w:rPr>
        <w:lastRenderedPageBreak/>
        <w:t>4. fáze</w:t>
      </w:r>
      <w:r w:rsidRPr="00236AA9">
        <w:rPr>
          <w:rFonts w:eastAsia="Times New Roman"/>
          <w:szCs w:val="24"/>
        </w:rPr>
        <w:t xml:space="preserve"> – zvýšení peněžní zásoby a růst agregátních výdajů – </w:t>
      </w:r>
      <w:r w:rsidRPr="00236AA9">
        <w:rPr>
          <w:rFonts w:eastAsia="Times New Roman"/>
          <w:b/>
          <w:szCs w:val="24"/>
        </w:rPr>
        <w:t>porostou ceny a mzdy</w:t>
      </w:r>
      <w:r w:rsidRPr="00236AA9">
        <w:rPr>
          <w:rFonts w:eastAsia="Times New Roman"/>
          <w:szCs w:val="24"/>
        </w:rPr>
        <w:t xml:space="preserve"> – nezměnily se reálné důchody, i depreciace je jen nominální</w:t>
      </w:r>
      <w:r w:rsidRPr="00236AA9">
        <w:rPr>
          <w:rFonts w:eastAsia="Times New Roman"/>
          <w:szCs w:val="24"/>
        </w:rPr>
        <w:br/>
        <w:t xml:space="preserve">- </w:t>
      </w:r>
      <w:r w:rsidRPr="00236AA9">
        <w:rPr>
          <w:rFonts w:eastAsia="Times New Roman"/>
          <w:b/>
          <w:szCs w:val="24"/>
        </w:rPr>
        <w:t xml:space="preserve">lidé potřebují držet </w:t>
      </w:r>
      <w:r w:rsidRPr="008E4ABB">
        <w:rPr>
          <w:rFonts w:eastAsia="Times New Roman"/>
          <w:b/>
          <w:szCs w:val="24"/>
        </w:rPr>
        <w:t>víc peněžních zůstatků jen proto, že se zvýšily ceny</w:t>
      </w:r>
      <w:r w:rsidRPr="008E4ABB">
        <w:rPr>
          <w:rFonts w:eastAsia="Times New Roman"/>
          <w:b/>
          <w:szCs w:val="24"/>
        </w:rPr>
        <w:br/>
      </w:r>
      <w:r w:rsidRPr="008E4ABB">
        <w:rPr>
          <w:rFonts w:eastAsia="Times New Roman"/>
          <w:szCs w:val="24"/>
        </w:rPr>
        <w:t xml:space="preserve">- </w:t>
      </w:r>
      <w:r w:rsidRPr="008E4ABB">
        <w:rPr>
          <w:rFonts w:eastAsia="Times New Roman"/>
          <w:b/>
          <w:szCs w:val="24"/>
        </w:rPr>
        <w:t>reálná peněžní zásoba se vrací na původní úroveň</w:t>
      </w:r>
    </w:p>
    <w:p w14:paraId="04C5FE22" w14:textId="77777777" w:rsidR="008E4ABB" w:rsidRPr="00266F2F" w:rsidRDefault="008E4ABB" w:rsidP="00F47DAD">
      <w:pPr>
        <w:pStyle w:val="Nadpis3"/>
        <w:rPr>
          <w:color w:val="1F3864" w:themeColor="accent1" w:themeShade="80"/>
          <w:sz w:val="20"/>
          <w:szCs w:val="20"/>
        </w:rPr>
      </w:pPr>
      <w:r w:rsidRPr="00266F2F">
        <w:rPr>
          <w:rFonts w:eastAsia="Times New Roman"/>
          <w:color w:val="1F3864" w:themeColor="accent1" w:themeShade="80"/>
        </w:rPr>
        <w:t>Keynesiánský úrokový transmisní mechanismus</w:t>
      </w:r>
    </w:p>
    <w:p w14:paraId="3AB319B2" w14:textId="77777777" w:rsidR="008E4ABB" w:rsidRPr="008E4ABB" w:rsidRDefault="008E4ABB" w:rsidP="00A44047">
      <w:pPr>
        <w:spacing w:line="362" w:lineRule="auto"/>
        <w:ind w:left="4" w:firstLine="705"/>
        <w:rPr>
          <w:sz w:val="20"/>
          <w:szCs w:val="20"/>
        </w:rPr>
      </w:pPr>
      <w:r w:rsidRPr="008E4ABB">
        <w:rPr>
          <w:rFonts w:eastAsia="Times New Roman"/>
          <w:szCs w:val="24"/>
        </w:rPr>
        <w:t>Řetězec ekonomických vazeb, které CB umožňují prostřednictvím přímých a nepřímých nástrojů MP ovlivňovat jak krátkodobé (operační cíl), tak dlouhodobé úrokové sazby (zprostředkující cíl), a to vše se záměrem stabilizovat krátkodobý ekonomický růst a udržet dlouhodobou rovnováhu na trhu práce (konečný cíl).</w:t>
      </w:r>
    </w:p>
    <w:p w14:paraId="03ED961D" w14:textId="77777777" w:rsidR="008E4ABB" w:rsidRPr="008E4ABB" w:rsidRDefault="008E4ABB" w:rsidP="008E4ABB">
      <w:pPr>
        <w:spacing w:line="5" w:lineRule="exact"/>
        <w:rPr>
          <w:sz w:val="20"/>
          <w:szCs w:val="20"/>
        </w:rPr>
      </w:pPr>
    </w:p>
    <w:p w14:paraId="4CA47ED9" w14:textId="77777777" w:rsidR="008E4ABB" w:rsidRPr="008E4ABB" w:rsidRDefault="008E4ABB" w:rsidP="00270319">
      <w:pPr>
        <w:numPr>
          <w:ilvl w:val="0"/>
          <w:numId w:val="135"/>
        </w:numPr>
        <w:tabs>
          <w:tab w:val="left" w:pos="724"/>
        </w:tabs>
        <w:spacing w:line="389" w:lineRule="auto"/>
        <w:ind w:left="709" w:right="400" w:hanging="283"/>
        <w:rPr>
          <w:rFonts w:eastAsia="Arial"/>
          <w:szCs w:val="24"/>
        </w:rPr>
      </w:pPr>
      <w:r w:rsidRPr="008E4ABB">
        <w:rPr>
          <w:rFonts w:eastAsia="Times New Roman"/>
          <w:szCs w:val="24"/>
        </w:rPr>
        <w:t>Operace na volném trhu → krátkodobá IR → dlouhodobá IR → růst HDP, zaměstnanost</w:t>
      </w:r>
    </w:p>
    <w:p w14:paraId="5DA31A08" w14:textId="77777777" w:rsidR="008E4ABB" w:rsidRPr="008E4ABB" w:rsidRDefault="008E4ABB" w:rsidP="008E4ABB">
      <w:pPr>
        <w:spacing w:line="163" w:lineRule="exact"/>
        <w:rPr>
          <w:sz w:val="20"/>
          <w:szCs w:val="20"/>
        </w:rPr>
      </w:pPr>
    </w:p>
    <w:p w14:paraId="552A7E85" w14:textId="77777777" w:rsidR="008E4ABB" w:rsidRPr="00266F2F" w:rsidRDefault="008E4ABB" w:rsidP="00F47DAD">
      <w:pPr>
        <w:pStyle w:val="Nadpis3"/>
        <w:rPr>
          <w:color w:val="1F3864" w:themeColor="accent1" w:themeShade="80"/>
          <w:sz w:val="20"/>
          <w:szCs w:val="20"/>
        </w:rPr>
      </w:pPr>
      <w:r w:rsidRPr="00266F2F">
        <w:rPr>
          <w:rFonts w:eastAsia="Times New Roman"/>
          <w:color w:val="1F3864" w:themeColor="accent1" w:themeShade="80"/>
        </w:rPr>
        <w:t>Monetaristický peněžní transmisní mechanismus</w:t>
      </w:r>
    </w:p>
    <w:p w14:paraId="5A449772" w14:textId="77777777" w:rsidR="008E4ABB" w:rsidRPr="008E4ABB" w:rsidRDefault="008E4ABB" w:rsidP="00A44047">
      <w:pPr>
        <w:spacing w:line="363" w:lineRule="auto"/>
        <w:ind w:left="4" w:firstLine="705"/>
        <w:rPr>
          <w:sz w:val="20"/>
          <w:szCs w:val="20"/>
        </w:rPr>
      </w:pPr>
      <w:r w:rsidRPr="008E4ABB">
        <w:rPr>
          <w:rFonts w:eastAsia="Times New Roman"/>
          <w:szCs w:val="24"/>
        </w:rPr>
        <w:t>Řetězec ekonomických vazeb, v jejichž rámci CB pomocí přímých a zejména pak nepřímých nástrojů MP primárně ovlivňuje měnovou bázi, popř. bankovní rezervy (operační cíl) a jejich prostřednictvím peněžní agregáty (zprostředkující cíl), což se následně projeví v úrovni naplnění konečného cíle monetární politiky, jimž je v tomto případě zpravidla stabilita cenové hladiny.</w:t>
      </w:r>
    </w:p>
    <w:p w14:paraId="1472D62B" w14:textId="77777777" w:rsidR="008E4ABB" w:rsidRPr="008E4ABB" w:rsidRDefault="008E4ABB" w:rsidP="008E4ABB">
      <w:pPr>
        <w:spacing w:line="1" w:lineRule="exact"/>
        <w:rPr>
          <w:sz w:val="20"/>
          <w:szCs w:val="20"/>
        </w:rPr>
      </w:pPr>
    </w:p>
    <w:p w14:paraId="148EFCBA" w14:textId="77777777" w:rsidR="008E4ABB" w:rsidRPr="008E4ABB" w:rsidRDefault="008E4ABB" w:rsidP="00270319">
      <w:pPr>
        <w:numPr>
          <w:ilvl w:val="0"/>
          <w:numId w:val="136"/>
        </w:numPr>
        <w:tabs>
          <w:tab w:val="left" w:pos="724"/>
        </w:tabs>
        <w:spacing w:line="293" w:lineRule="exact"/>
        <w:ind w:left="709" w:hanging="283"/>
        <w:rPr>
          <w:rFonts w:eastAsia="Times New Roman"/>
          <w:szCs w:val="24"/>
        </w:rPr>
      </w:pPr>
      <w:r w:rsidRPr="008E4ABB">
        <w:rPr>
          <w:rFonts w:eastAsia="Times New Roman"/>
          <w:szCs w:val="24"/>
        </w:rPr>
        <w:t xml:space="preserve">Operace na volném trhu </w:t>
      </w:r>
      <w:r w:rsidRPr="008E4ABB">
        <w:rPr>
          <w:rFonts w:eastAsia="MS Mincho"/>
          <w:szCs w:val="24"/>
        </w:rPr>
        <w:t>→</w:t>
      </w:r>
      <w:r w:rsidRPr="008E4ABB">
        <w:rPr>
          <w:rFonts w:eastAsia="Times New Roman"/>
          <w:szCs w:val="24"/>
        </w:rPr>
        <w:t xml:space="preserve"> m</w:t>
      </w:r>
      <w:r w:rsidRPr="008E4ABB">
        <w:rPr>
          <w:rFonts w:eastAsia="Calibri"/>
          <w:szCs w:val="24"/>
        </w:rPr>
        <w:t>ě</w:t>
      </w:r>
      <w:r w:rsidRPr="008E4ABB">
        <w:rPr>
          <w:rFonts w:eastAsia="Times New Roman"/>
          <w:szCs w:val="24"/>
        </w:rPr>
        <w:t xml:space="preserve">nová báze </w:t>
      </w:r>
      <w:r w:rsidRPr="008E4ABB">
        <w:rPr>
          <w:rFonts w:eastAsia="MS Mincho"/>
          <w:szCs w:val="24"/>
        </w:rPr>
        <w:t>→</w:t>
      </w:r>
      <w:r w:rsidRPr="008E4ABB">
        <w:rPr>
          <w:rFonts w:eastAsia="Times New Roman"/>
          <w:szCs w:val="24"/>
        </w:rPr>
        <w:t xml:space="preserve"> pen</w:t>
      </w:r>
      <w:r w:rsidRPr="008E4ABB">
        <w:rPr>
          <w:rFonts w:eastAsia="Calibri"/>
          <w:szCs w:val="24"/>
        </w:rPr>
        <w:t>ě</w:t>
      </w:r>
      <w:r w:rsidRPr="008E4ABB">
        <w:rPr>
          <w:rFonts w:eastAsia="Times New Roman"/>
          <w:szCs w:val="24"/>
        </w:rPr>
        <w:t xml:space="preserve">žní zásoba </w:t>
      </w:r>
      <w:r w:rsidRPr="008E4ABB">
        <w:rPr>
          <w:rFonts w:eastAsia="MS Mincho"/>
          <w:szCs w:val="24"/>
        </w:rPr>
        <w:t>→</w:t>
      </w:r>
      <w:r w:rsidRPr="008E4ABB">
        <w:rPr>
          <w:rFonts w:eastAsia="Times New Roman"/>
          <w:szCs w:val="24"/>
        </w:rPr>
        <w:t xml:space="preserve"> cenová hladina</w:t>
      </w:r>
    </w:p>
    <w:p w14:paraId="4C821B86" w14:textId="77777777" w:rsidR="008E4ABB" w:rsidRPr="008E4ABB" w:rsidRDefault="008E4ABB" w:rsidP="008E4ABB">
      <w:pPr>
        <w:spacing w:line="240" w:lineRule="auto"/>
        <w:jc w:val="left"/>
        <w:rPr>
          <w:rFonts w:eastAsia="Times New Roman"/>
          <w:szCs w:val="24"/>
        </w:rPr>
      </w:pPr>
      <w:r w:rsidRPr="008E4ABB">
        <w:rPr>
          <w:rFonts w:eastAsia="Times New Roman"/>
          <w:szCs w:val="24"/>
        </w:rPr>
        <w:br w:type="page"/>
      </w:r>
    </w:p>
    <w:p w14:paraId="3666C71C" w14:textId="77777777" w:rsidR="008E4ABB" w:rsidRPr="004B6CDE" w:rsidRDefault="008E4ABB" w:rsidP="00236AA9">
      <w:pPr>
        <w:pStyle w:val="Nadpis2"/>
        <w:rPr>
          <w:color w:val="1F3864" w:themeColor="accent1" w:themeShade="80"/>
          <w:sz w:val="20"/>
          <w:szCs w:val="20"/>
        </w:rPr>
      </w:pPr>
      <w:r w:rsidRPr="004B6CDE">
        <w:rPr>
          <w:rFonts w:eastAsia="Times New Roman"/>
          <w:color w:val="1F3864" w:themeColor="accent1" w:themeShade="80"/>
        </w:rPr>
        <w:lastRenderedPageBreak/>
        <w:t>MĚNOVÉ UKAZATELE</w:t>
      </w:r>
    </w:p>
    <w:p w14:paraId="1FF15870" w14:textId="77777777" w:rsidR="008E4ABB" w:rsidRPr="008E4ABB" w:rsidRDefault="008E4ABB" w:rsidP="008E4ABB">
      <w:pPr>
        <w:ind w:left="4"/>
        <w:rPr>
          <w:rFonts w:eastAsia="Times New Roman"/>
          <w:b/>
          <w:bCs/>
          <w:sz w:val="23"/>
          <w:szCs w:val="23"/>
        </w:rPr>
      </w:pPr>
      <w:r w:rsidRPr="008E4ABB">
        <w:rPr>
          <w:rFonts w:eastAsia="Times New Roman"/>
          <w:szCs w:val="24"/>
        </w:rPr>
        <w:t>V ČR sledujeme celou řadu ukazatelů vztahujících se k národní měně. Mezi ně patří:</w:t>
      </w:r>
      <w:bookmarkStart w:id="145" w:name="page142"/>
      <w:bookmarkEnd w:id="145"/>
    </w:p>
    <w:p w14:paraId="08DA7D4F" w14:textId="77777777" w:rsidR="008E4ABB" w:rsidRPr="008E4ABB" w:rsidRDefault="008E4ABB" w:rsidP="00D46B53">
      <w:pPr>
        <w:numPr>
          <w:ilvl w:val="0"/>
          <w:numId w:val="631"/>
        </w:numPr>
        <w:contextualSpacing/>
        <w:rPr>
          <w:rFonts w:eastAsia="Times New Roman"/>
          <w:szCs w:val="24"/>
        </w:rPr>
      </w:pPr>
      <w:r w:rsidRPr="008E4ABB">
        <w:rPr>
          <w:rFonts w:eastAsia="Times New Roman"/>
          <w:b/>
          <w:bCs/>
          <w:sz w:val="23"/>
          <w:szCs w:val="23"/>
        </w:rPr>
        <w:t>Kurz CZK/EUR</w:t>
      </w:r>
    </w:p>
    <w:p w14:paraId="4105F127" w14:textId="77777777" w:rsidR="008E4ABB" w:rsidRPr="008E4ABB" w:rsidRDefault="008E4ABB" w:rsidP="008E4ABB">
      <w:pPr>
        <w:tabs>
          <w:tab w:val="left" w:pos="543"/>
        </w:tabs>
        <w:ind w:left="204"/>
        <w:rPr>
          <w:rFonts w:eastAsia="Times New Roman"/>
          <w:b/>
          <w:bCs/>
          <w:szCs w:val="24"/>
        </w:rPr>
      </w:pPr>
      <w:r w:rsidRPr="008E4ABB">
        <w:rPr>
          <w:rFonts w:eastAsia="Times New Roman"/>
          <w:b/>
          <w:bCs/>
          <w:noProof/>
          <w:szCs w:val="24"/>
        </w:rPr>
        <w:drawing>
          <wp:inline distT="0" distB="0" distL="0" distR="0" wp14:anchorId="5CA82D06" wp14:editId="227CFAA6">
            <wp:extent cx="5067300" cy="26384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a:extLst>
                        <a:ext uri="{28A0092B-C50C-407E-A947-70E740481C1C}">
                          <a14:useLocalDpi xmlns:a14="http://schemas.microsoft.com/office/drawing/2010/main" val="0"/>
                        </a:ext>
                      </a:extLst>
                    </a:blip>
                    <a:srcRect b="21898"/>
                    <a:stretch/>
                  </pic:blipFill>
                  <pic:spPr bwMode="auto">
                    <a:xfrm>
                      <a:off x="0" y="0"/>
                      <a:ext cx="5067300" cy="2638425"/>
                    </a:xfrm>
                    <a:prstGeom prst="rect">
                      <a:avLst/>
                    </a:prstGeom>
                    <a:noFill/>
                    <a:ln>
                      <a:noFill/>
                    </a:ln>
                    <a:extLst>
                      <a:ext uri="{53640926-AAD7-44D8-BBD7-CCE9431645EC}">
                        <a14:shadowObscured xmlns:a14="http://schemas.microsoft.com/office/drawing/2010/main"/>
                      </a:ext>
                    </a:extLst>
                  </pic:spPr>
                </pic:pic>
              </a:graphicData>
            </a:graphic>
          </wp:inline>
        </w:drawing>
      </w:r>
    </w:p>
    <w:p w14:paraId="1C013A84" w14:textId="77777777" w:rsidR="008E4ABB" w:rsidRPr="008E4ABB" w:rsidRDefault="008E4ABB" w:rsidP="008E4ABB">
      <w:pPr>
        <w:tabs>
          <w:tab w:val="left" w:pos="543"/>
        </w:tabs>
        <w:ind w:left="204"/>
        <w:rPr>
          <w:sz w:val="20"/>
          <w:szCs w:val="20"/>
        </w:rPr>
      </w:pPr>
      <w:r w:rsidRPr="008E4ABB">
        <w:rPr>
          <w:rFonts w:eastAsia="Times New Roman"/>
          <w:b/>
          <w:bCs/>
          <w:szCs w:val="24"/>
        </w:rPr>
        <w:t>2.</w:t>
      </w:r>
      <w:r w:rsidRPr="008E4ABB">
        <w:rPr>
          <w:sz w:val="20"/>
          <w:szCs w:val="20"/>
        </w:rPr>
        <w:tab/>
      </w:r>
      <w:r w:rsidRPr="008E4ABB">
        <w:rPr>
          <w:rFonts w:eastAsia="Times New Roman"/>
          <w:b/>
          <w:bCs/>
          <w:sz w:val="23"/>
          <w:szCs w:val="23"/>
        </w:rPr>
        <w:t>Kurz CZK/USD</w:t>
      </w:r>
    </w:p>
    <w:p w14:paraId="762E8928" w14:textId="77777777" w:rsidR="008E4ABB" w:rsidRPr="008E4ABB" w:rsidRDefault="008E4ABB" w:rsidP="008E4ABB">
      <w:pPr>
        <w:spacing w:line="119" w:lineRule="exact"/>
        <w:rPr>
          <w:sz w:val="20"/>
          <w:szCs w:val="20"/>
        </w:rPr>
      </w:pPr>
    </w:p>
    <w:p w14:paraId="7250AE00" w14:textId="77777777" w:rsidR="008E4ABB" w:rsidRPr="008E4ABB" w:rsidRDefault="008E4ABB" w:rsidP="008E4ABB">
      <w:pPr>
        <w:ind w:left="124"/>
        <w:rPr>
          <w:sz w:val="20"/>
          <w:szCs w:val="20"/>
        </w:rPr>
      </w:pPr>
      <w:r w:rsidRPr="008E4ABB">
        <w:rPr>
          <w:noProof/>
          <w:sz w:val="20"/>
          <w:szCs w:val="20"/>
        </w:rPr>
        <w:drawing>
          <wp:inline distT="0" distB="0" distL="0" distR="0" wp14:anchorId="79238034" wp14:editId="2FA87CDC">
            <wp:extent cx="5006653" cy="2619375"/>
            <wp:effectExtent l="0" t="0" r="381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5150" cy="2629052"/>
                    </a:xfrm>
                    <a:prstGeom prst="rect">
                      <a:avLst/>
                    </a:prstGeom>
                    <a:noFill/>
                    <a:ln>
                      <a:noFill/>
                    </a:ln>
                  </pic:spPr>
                </pic:pic>
              </a:graphicData>
            </a:graphic>
          </wp:inline>
        </w:drawing>
      </w:r>
    </w:p>
    <w:p w14:paraId="1C303A8D" w14:textId="77777777" w:rsidR="008E4ABB" w:rsidRPr="008E4ABB" w:rsidRDefault="008E4ABB" w:rsidP="008E4ABB">
      <w:pPr>
        <w:spacing w:line="20" w:lineRule="exact"/>
        <w:rPr>
          <w:sz w:val="20"/>
          <w:szCs w:val="20"/>
        </w:rPr>
      </w:pPr>
    </w:p>
    <w:p w14:paraId="0142F324" w14:textId="77777777" w:rsidR="008E4ABB" w:rsidRPr="008E4ABB" w:rsidRDefault="008E4ABB" w:rsidP="008E4ABB">
      <w:pPr>
        <w:spacing w:line="231" w:lineRule="exact"/>
        <w:rPr>
          <w:sz w:val="20"/>
          <w:szCs w:val="20"/>
        </w:rPr>
      </w:pPr>
    </w:p>
    <w:p w14:paraId="00765D3C" w14:textId="77777777" w:rsidR="008E4ABB" w:rsidRPr="008E4ABB" w:rsidRDefault="008E4ABB" w:rsidP="008E4ABB">
      <w:pPr>
        <w:spacing w:line="319" w:lineRule="exact"/>
        <w:rPr>
          <w:sz w:val="20"/>
          <w:szCs w:val="20"/>
        </w:rPr>
      </w:pPr>
    </w:p>
    <w:p w14:paraId="57E38044" w14:textId="77777777" w:rsidR="008E4ABB" w:rsidRPr="008E4ABB" w:rsidRDefault="008E4ABB" w:rsidP="008E4ABB">
      <w:pPr>
        <w:tabs>
          <w:tab w:val="left" w:pos="543"/>
        </w:tabs>
        <w:ind w:left="204"/>
        <w:rPr>
          <w:rFonts w:eastAsia="Times New Roman"/>
          <w:b/>
          <w:bCs/>
          <w:sz w:val="23"/>
          <w:szCs w:val="23"/>
        </w:rPr>
      </w:pPr>
      <w:r w:rsidRPr="008E4ABB">
        <w:rPr>
          <w:rFonts w:eastAsia="Times New Roman"/>
          <w:b/>
          <w:bCs/>
          <w:sz w:val="23"/>
          <w:szCs w:val="23"/>
        </w:rPr>
        <w:t>3.</w:t>
      </w:r>
      <w:r w:rsidRPr="008E4ABB">
        <w:rPr>
          <w:rFonts w:eastAsia="Times New Roman"/>
          <w:b/>
          <w:bCs/>
          <w:sz w:val="23"/>
          <w:szCs w:val="23"/>
        </w:rPr>
        <w:tab/>
        <w:t>Nominální efektivní kurz</w:t>
      </w:r>
    </w:p>
    <w:p w14:paraId="4DBCA241" w14:textId="77777777" w:rsidR="008E4ABB" w:rsidRPr="008E4ABB" w:rsidRDefault="008E4ABB" w:rsidP="008E4ABB">
      <w:pPr>
        <w:spacing w:line="157" w:lineRule="exact"/>
        <w:rPr>
          <w:sz w:val="20"/>
          <w:szCs w:val="20"/>
        </w:rPr>
      </w:pPr>
    </w:p>
    <w:p w14:paraId="58A97845" w14:textId="09DC8B23" w:rsidR="008E4ABB" w:rsidRPr="008E4ABB" w:rsidRDefault="008E4ABB" w:rsidP="008E4ABB">
      <w:pPr>
        <w:tabs>
          <w:tab w:val="left" w:pos="7724"/>
        </w:tabs>
        <w:ind w:left="4"/>
        <w:rPr>
          <w:sz w:val="20"/>
          <w:szCs w:val="20"/>
        </w:rPr>
      </w:pPr>
      <w:r w:rsidRPr="008E4ABB">
        <w:rPr>
          <w:rFonts w:eastAsia="Times New Roman"/>
          <w:szCs w:val="24"/>
        </w:rPr>
        <w:t>Nominální efektivní kurz koruny vyjádřený indexem uvádí zhodnocení či znehodnocení</w:t>
      </w:r>
    </w:p>
    <w:p w14:paraId="7877D50A" w14:textId="77777777" w:rsidR="008E4ABB" w:rsidRPr="008E4ABB" w:rsidRDefault="008E4ABB" w:rsidP="008E4ABB">
      <w:pPr>
        <w:spacing w:line="137" w:lineRule="exact"/>
        <w:rPr>
          <w:sz w:val="20"/>
          <w:szCs w:val="20"/>
        </w:rPr>
      </w:pPr>
    </w:p>
    <w:p w14:paraId="2834E901" w14:textId="77777777" w:rsidR="008E4ABB" w:rsidRPr="008E4ABB" w:rsidRDefault="008E4ABB" w:rsidP="008E4ABB">
      <w:pPr>
        <w:ind w:left="4"/>
        <w:rPr>
          <w:rFonts w:eastAsia="Times New Roman"/>
          <w:szCs w:val="24"/>
        </w:rPr>
      </w:pPr>
      <w:r w:rsidRPr="008E4ABB">
        <w:rPr>
          <w:rFonts w:eastAsia="Times New Roman"/>
          <w:szCs w:val="24"/>
        </w:rPr>
        <w:t xml:space="preserve">národní měny vůči koši vybraných měn za určité období proti základnímu období. </w:t>
      </w:r>
      <w:bookmarkStart w:id="146" w:name="page143"/>
      <w:bookmarkEnd w:id="146"/>
    </w:p>
    <w:p w14:paraId="10DB9552" w14:textId="77777777" w:rsidR="008E4ABB" w:rsidRPr="008E4ABB" w:rsidRDefault="008E4ABB" w:rsidP="008E4ABB">
      <w:pPr>
        <w:ind w:left="4"/>
        <w:rPr>
          <w:rFonts w:eastAsia="Times New Roman"/>
          <w:szCs w:val="24"/>
        </w:rPr>
      </w:pPr>
    </w:p>
    <w:p w14:paraId="52FC28FB" w14:textId="77777777" w:rsidR="008E4ABB" w:rsidRPr="008E4ABB" w:rsidRDefault="008E4ABB" w:rsidP="008E4ABB">
      <w:pPr>
        <w:tabs>
          <w:tab w:val="left" w:pos="543"/>
        </w:tabs>
        <w:ind w:left="204"/>
        <w:rPr>
          <w:rFonts w:eastAsia="Times New Roman"/>
          <w:b/>
          <w:bCs/>
          <w:sz w:val="23"/>
          <w:szCs w:val="23"/>
        </w:rPr>
      </w:pPr>
    </w:p>
    <w:p w14:paraId="2EBCF5E2" w14:textId="77777777" w:rsidR="008E4ABB" w:rsidRPr="008E4ABB" w:rsidRDefault="008E4ABB" w:rsidP="008E4ABB">
      <w:pPr>
        <w:tabs>
          <w:tab w:val="left" w:pos="543"/>
        </w:tabs>
        <w:ind w:left="204"/>
        <w:rPr>
          <w:rFonts w:eastAsia="Times New Roman"/>
          <w:b/>
          <w:bCs/>
          <w:sz w:val="23"/>
          <w:szCs w:val="23"/>
        </w:rPr>
      </w:pPr>
    </w:p>
    <w:p w14:paraId="2231AAA2" w14:textId="77777777" w:rsidR="008E4ABB" w:rsidRPr="008E4ABB" w:rsidRDefault="008E4ABB" w:rsidP="008E4ABB">
      <w:pPr>
        <w:tabs>
          <w:tab w:val="left" w:pos="543"/>
        </w:tabs>
        <w:ind w:left="204"/>
        <w:rPr>
          <w:rFonts w:eastAsia="Times New Roman"/>
          <w:b/>
          <w:bCs/>
          <w:sz w:val="23"/>
          <w:szCs w:val="23"/>
        </w:rPr>
      </w:pPr>
    </w:p>
    <w:p w14:paraId="666BBFEC" w14:textId="77777777" w:rsidR="008E4ABB" w:rsidRPr="008E4ABB" w:rsidRDefault="008E4ABB" w:rsidP="008E4ABB">
      <w:pPr>
        <w:tabs>
          <w:tab w:val="left" w:pos="543"/>
        </w:tabs>
        <w:ind w:left="204"/>
        <w:rPr>
          <w:rFonts w:eastAsia="Times New Roman"/>
          <w:b/>
          <w:bCs/>
          <w:sz w:val="23"/>
          <w:szCs w:val="23"/>
        </w:rPr>
      </w:pPr>
      <w:r w:rsidRPr="008E4ABB">
        <w:rPr>
          <w:rFonts w:eastAsia="Times New Roman"/>
          <w:b/>
          <w:bCs/>
          <w:sz w:val="23"/>
          <w:szCs w:val="23"/>
        </w:rPr>
        <w:lastRenderedPageBreak/>
        <w:t>4.</w:t>
      </w:r>
      <w:r w:rsidRPr="008E4ABB">
        <w:rPr>
          <w:rFonts w:eastAsia="Times New Roman"/>
          <w:b/>
          <w:bCs/>
          <w:sz w:val="23"/>
          <w:szCs w:val="23"/>
        </w:rPr>
        <w:tab/>
        <w:t>Reálný efektivní kurz</w:t>
      </w:r>
    </w:p>
    <w:p w14:paraId="4EAEADFB" w14:textId="77777777" w:rsidR="008E4ABB" w:rsidRPr="008E4ABB" w:rsidRDefault="008E4ABB" w:rsidP="008E4ABB">
      <w:pPr>
        <w:spacing w:line="143" w:lineRule="exact"/>
        <w:rPr>
          <w:sz w:val="20"/>
          <w:szCs w:val="20"/>
        </w:rPr>
      </w:pPr>
    </w:p>
    <w:p w14:paraId="1E554995" w14:textId="77777777" w:rsidR="008E4ABB" w:rsidRPr="008E4ABB" w:rsidRDefault="008E4ABB" w:rsidP="008E4ABB">
      <w:pPr>
        <w:spacing w:after="240" w:line="358" w:lineRule="auto"/>
        <w:ind w:left="4"/>
        <w:rPr>
          <w:sz w:val="20"/>
          <w:szCs w:val="20"/>
        </w:rPr>
      </w:pPr>
      <w:r w:rsidRPr="008E4ABB">
        <w:rPr>
          <w:rFonts w:eastAsia="Times New Roman"/>
          <w:szCs w:val="24"/>
        </w:rPr>
        <w:t>Reálný efektivní kurz koruny je jedním z indikátorů vývoje mezinárodní konkurenceschopnosti země. Chápeme jej jako různé míry relativních cen nebo nákladů vyjádřené v určité měně. Z tohoto pohledu index nad 100 signalizuje tendenci ke snižování konkurenceschopnosti země proti základnímu období a naopak.</w:t>
      </w:r>
    </w:p>
    <w:p w14:paraId="48F492F9" w14:textId="77777777" w:rsidR="008E4ABB" w:rsidRPr="008E4ABB" w:rsidRDefault="008E4ABB" w:rsidP="008E4ABB">
      <w:pPr>
        <w:spacing w:line="3" w:lineRule="exact"/>
        <w:rPr>
          <w:sz w:val="20"/>
          <w:szCs w:val="20"/>
        </w:rPr>
      </w:pPr>
    </w:p>
    <w:p w14:paraId="69B73CFC" w14:textId="77777777" w:rsidR="008E4ABB" w:rsidRPr="008E4ABB" w:rsidRDefault="008E4ABB" w:rsidP="008E4ABB">
      <w:pPr>
        <w:tabs>
          <w:tab w:val="left" w:pos="564"/>
        </w:tabs>
        <w:rPr>
          <w:rFonts w:eastAsia="Times New Roman"/>
          <w:b/>
          <w:bCs/>
          <w:sz w:val="23"/>
          <w:szCs w:val="23"/>
        </w:rPr>
      </w:pPr>
      <w:r w:rsidRPr="008E4ABB">
        <w:rPr>
          <w:rFonts w:eastAsia="Times New Roman"/>
          <w:b/>
          <w:bCs/>
          <w:sz w:val="23"/>
          <w:szCs w:val="23"/>
        </w:rPr>
        <w:t>Úzké, střední a široké peníze - měnový agregát</w:t>
      </w:r>
    </w:p>
    <w:p w14:paraId="35AB8A48" w14:textId="77777777" w:rsidR="008E4ABB" w:rsidRPr="008E4ABB" w:rsidRDefault="008E4ABB" w:rsidP="008E4ABB">
      <w:pPr>
        <w:spacing w:line="162" w:lineRule="exact"/>
        <w:rPr>
          <w:rFonts w:eastAsia="Times New Roman"/>
          <w:b/>
          <w:bCs/>
          <w:szCs w:val="24"/>
        </w:rPr>
      </w:pPr>
    </w:p>
    <w:p w14:paraId="10E4B3DE" w14:textId="77777777" w:rsidR="008E4ABB" w:rsidRPr="008E4ABB" w:rsidRDefault="008E4ABB" w:rsidP="00270319">
      <w:pPr>
        <w:numPr>
          <w:ilvl w:val="1"/>
          <w:numId w:val="137"/>
        </w:numPr>
        <w:tabs>
          <w:tab w:val="left" w:pos="724"/>
        </w:tabs>
        <w:spacing w:line="366" w:lineRule="auto"/>
        <w:ind w:left="709" w:right="20" w:hanging="283"/>
        <w:rPr>
          <w:rFonts w:eastAsia="Arial"/>
          <w:szCs w:val="24"/>
        </w:rPr>
      </w:pPr>
      <w:r w:rsidRPr="008E4ABB">
        <w:rPr>
          <w:rFonts w:eastAsia="Times New Roman"/>
          <w:szCs w:val="24"/>
        </w:rPr>
        <w:t>Úzké peníze (M1) - oběživo, tj. bankovky a mince, a také zůstatky, které lze okamžitě převést na oběživo nebo použít k bezhotovostní platbě, např. jednodenní vklady.</w:t>
      </w:r>
    </w:p>
    <w:p w14:paraId="30D4F89B" w14:textId="77777777" w:rsidR="008E4ABB" w:rsidRPr="008E4ABB" w:rsidRDefault="008E4ABB" w:rsidP="00236AA9">
      <w:pPr>
        <w:spacing w:line="1" w:lineRule="exact"/>
        <w:ind w:left="709" w:hanging="283"/>
        <w:rPr>
          <w:rFonts w:eastAsia="Arial"/>
          <w:szCs w:val="24"/>
        </w:rPr>
      </w:pPr>
    </w:p>
    <w:p w14:paraId="75522B8C" w14:textId="77777777" w:rsidR="008E4ABB" w:rsidRPr="008E4ABB" w:rsidRDefault="008E4ABB" w:rsidP="00270319">
      <w:pPr>
        <w:numPr>
          <w:ilvl w:val="1"/>
          <w:numId w:val="137"/>
        </w:numPr>
        <w:tabs>
          <w:tab w:val="left" w:pos="724"/>
        </w:tabs>
        <w:spacing w:line="366" w:lineRule="auto"/>
        <w:ind w:left="709" w:right="20" w:hanging="283"/>
        <w:rPr>
          <w:rFonts w:eastAsia="Arial"/>
          <w:szCs w:val="24"/>
        </w:rPr>
      </w:pPr>
      <w:r w:rsidRPr="008E4ABB">
        <w:rPr>
          <w:rFonts w:eastAsia="Times New Roman"/>
          <w:szCs w:val="24"/>
        </w:rPr>
        <w:t xml:space="preserve">Střední peníze (M2)- úzké peníze (M1) a navíc vklady se splatností do dvou let </w:t>
      </w:r>
      <w:r w:rsidRPr="008E4ABB">
        <w:rPr>
          <w:rFonts w:eastAsia="Times New Roman"/>
          <w:szCs w:val="24"/>
        </w:rPr>
        <w:br/>
        <w:t>a vklady s výpovědní lhůtou do tří měsíců.</w:t>
      </w:r>
    </w:p>
    <w:p w14:paraId="6C5D8082" w14:textId="77777777" w:rsidR="008E4ABB" w:rsidRPr="008E4ABB" w:rsidRDefault="008E4ABB" w:rsidP="00236AA9">
      <w:pPr>
        <w:spacing w:line="1" w:lineRule="exact"/>
        <w:ind w:left="709" w:hanging="283"/>
        <w:rPr>
          <w:rFonts w:eastAsia="Arial"/>
          <w:szCs w:val="24"/>
        </w:rPr>
      </w:pPr>
    </w:p>
    <w:p w14:paraId="5A17F5BC" w14:textId="77777777" w:rsidR="008E4ABB" w:rsidRPr="008E4ABB" w:rsidRDefault="008E4ABB" w:rsidP="00270319">
      <w:pPr>
        <w:numPr>
          <w:ilvl w:val="1"/>
          <w:numId w:val="137"/>
        </w:numPr>
        <w:tabs>
          <w:tab w:val="left" w:pos="724"/>
        </w:tabs>
        <w:spacing w:line="373" w:lineRule="auto"/>
        <w:ind w:left="709" w:right="20" w:hanging="283"/>
        <w:rPr>
          <w:rFonts w:eastAsia="Arial"/>
          <w:szCs w:val="24"/>
        </w:rPr>
      </w:pPr>
      <w:r w:rsidRPr="008E4ABB">
        <w:rPr>
          <w:rFonts w:eastAsia="Times New Roman"/>
          <w:szCs w:val="24"/>
        </w:rPr>
        <w:t>Široké peníze (M3) - M2 a obchodovatelné nástroje emitované sektorem měnových finančních institucí. Do tohoto agregátu patří některé nástroje peněžního trhu, zejména akcie/podílové listy fondů peněžního trhu a repo operace.</w:t>
      </w:r>
    </w:p>
    <w:p w14:paraId="643B0689" w14:textId="77777777" w:rsidR="008E4ABB" w:rsidRPr="008E4ABB" w:rsidRDefault="008E4ABB" w:rsidP="008E4ABB">
      <w:pPr>
        <w:spacing w:line="156" w:lineRule="exact"/>
        <w:rPr>
          <w:sz w:val="20"/>
          <w:szCs w:val="20"/>
        </w:rPr>
      </w:pPr>
    </w:p>
    <w:p w14:paraId="47769C6C" w14:textId="77777777" w:rsidR="008E4ABB" w:rsidRPr="008E4ABB" w:rsidRDefault="008E4ABB" w:rsidP="008E4ABB">
      <w:pPr>
        <w:ind w:left="4"/>
        <w:rPr>
          <w:sz w:val="20"/>
          <w:szCs w:val="20"/>
        </w:rPr>
      </w:pPr>
      <w:r w:rsidRPr="008E4ABB">
        <w:rPr>
          <w:rFonts w:eastAsia="Times New Roman"/>
          <w:szCs w:val="24"/>
        </w:rPr>
        <w:t>Mezi měnové ukazatele dále patří:</w:t>
      </w:r>
    </w:p>
    <w:p w14:paraId="2C5BAF3B" w14:textId="77777777" w:rsidR="008E4ABB" w:rsidRPr="008E4ABB" w:rsidRDefault="008E4ABB" w:rsidP="00270319">
      <w:pPr>
        <w:numPr>
          <w:ilvl w:val="0"/>
          <w:numId w:val="138"/>
        </w:numPr>
        <w:tabs>
          <w:tab w:val="left" w:pos="724"/>
        </w:tabs>
        <w:ind w:left="709" w:hanging="283"/>
        <w:rPr>
          <w:rFonts w:eastAsia="Arial"/>
          <w:szCs w:val="24"/>
        </w:rPr>
      </w:pPr>
      <w:r w:rsidRPr="008E4ABB">
        <w:rPr>
          <w:rFonts w:eastAsia="Times New Roman"/>
          <w:b/>
          <w:bCs/>
          <w:szCs w:val="24"/>
        </w:rPr>
        <w:t>Platební bilance</w:t>
      </w:r>
    </w:p>
    <w:p w14:paraId="545E35A9" w14:textId="77777777" w:rsidR="008E4ABB" w:rsidRPr="008E4ABB" w:rsidRDefault="008E4ABB" w:rsidP="00236AA9">
      <w:pPr>
        <w:spacing w:line="154" w:lineRule="exact"/>
        <w:ind w:left="709" w:hanging="283"/>
        <w:rPr>
          <w:rFonts w:eastAsia="Arial"/>
          <w:szCs w:val="24"/>
        </w:rPr>
      </w:pPr>
    </w:p>
    <w:p w14:paraId="3D3D7C52" w14:textId="77777777" w:rsidR="008E4ABB" w:rsidRPr="008E4ABB" w:rsidRDefault="008E4ABB" w:rsidP="00270319">
      <w:pPr>
        <w:numPr>
          <w:ilvl w:val="0"/>
          <w:numId w:val="138"/>
        </w:numPr>
        <w:tabs>
          <w:tab w:val="left" w:pos="724"/>
        </w:tabs>
        <w:ind w:left="709" w:hanging="283"/>
        <w:rPr>
          <w:rFonts w:eastAsia="Arial"/>
          <w:szCs w:val="24"/>
        </w:rPr>
      </w:pPr>
      <w:r w:rsidRPr="008E4ABB">
        <w:rPr>
          <w:rFonts w:eastAsia="Times New Roman"/>
          <w:b/>
          <w:bCs/>
          <w:szCs w:val="24"/>
        </w:rPr>
        <w:t>Běžný a finanční účet platební bilance</w:t>
      </w:r>
    </w:p>
    <w:p w14:paraId="7AD72D27" w14:textId="77777777" w:rsidR="008E4ABB" w:rsidRPr="008E4ABB" w:rsidRDefault="008E4ABB" w:rsidP="00236AA9">
      <w:pPr>
        <w:spacing w:line="154" w:lineRule="exact"/>
        <w:ind w:left="709" w:hanging="283"/>
        <w:rPr>
          <w:rFonts w:eastAsia="Arial"/>
          <w:szCs w:val="24"/>
        </w:rPr>
      </w:pPr>
    </w:p>
    <w:p w14:paraId="2BEC296E" w14:textId="77777777" w:rsidR="008E4ABB" w:rsidRPr="008E4ABB" w:rsidRDefault="008E4ABB" w:rsidP="00270319">
      <w:pPr>
        <w:numPr>
          <w:ilvl w:val="0"/>
          <w:numId w:val="138"/>
        </w:numPr>
        <w:tabs>
          <w:tab w:val="left" w:pos="724"/>
        </w:tabs>
        <w:ind w:left="709" w:hanging="283"/>
        <w:rPr>
          <w:rFonts w:eastAsia="Arial"/>
          <w:szCs w:val="24"/>
        </w:rPr>
      </w:pPr>
      <w:r w:rsidRPr="008E4ABB">
        <w:rPr>
          <w:rFonts w:eastAsia="Times New Roman"/>
          <w:b/>
          <w:bCs/>
          <w:szCs w:val="24"/>
        </w:rPr>
        <w:t>Změna devizových rezerv</w:t>
      </w:r>
    </w:p>
    <w:p w14:paraId="1DFE28F8" w14:textId="77777777" w:rsidR="008E4ABB" w:rsidRPr="008E4ABB" w:rsidRDefault="008E4ABB" w:rsidP="00236AA9">
      <w:pPr>
        <w:spacing w:line="154" w:lineRule="exact"/>
        <w:ind w:left="709" w:hanging="283"/>
        <w:rPr>
          <w:rFonts w:eastAsia="Arial"/>
          <w:szCs w:val="24"/>
        </w:rPr>
      </w:pPr>
    </w:p>
    <w:p w14:paraId="3A767AED" w14:textId="77777777" w:rsidR="008E4ABB" w:rsidRPr="008E4ABB" w:rsidRDefault="008E4ABB" w:rsidP="00270319">
      <w:pPr>
        <w:numPr>
          <w:ilvl w:val="0"/>
          <w:numId w:val="138"/>
        </w:numPr>
        <w:tabs>
          <w:tab w:val="left" w:pos="724"/>
        </w:tabs>
        <w:ind w:left="709" w:hanging="283"/>
        <w:rPr>
          <w:rFonts w:eastAsia="Arial"/>
          <w:szCs w:val="24"/>
        </w:rPr>
      </w:pPr>
      <w:r w:rsidRPr="008E4ABB">
        <w:rPr>
          <w:rFonts w:eastAsia="Times New Roman"/>
          <w:b/>
          <w:bCs/>
          <w:szCs w:val="24"/>
        </w:rPr>
        <w:t>Podíl BÚ platební bilance k HDP</w:t>
      </w:r>
    </w:p>
    <w:p w14:paraId="6E569EDA" w14:textId="77777777" w:rsidR="008E4ABB" w:rsidRPr="008E4ABB" w:rsidRDefault="008E4ABB" w:rsidP="00236AA9">
      <w:pPr>
        <w:spacing w:line="150" w:lineRule="exact"/>
        <w:ind w:left="709" w:hanging="283"/>
        <w:rPr>
          <w:rFonts w:eastAsia="Arial"/>
          <w:szCs w:val="24"/>
        </w:rPr>
      </w:pPr>
    </w:p>
    <w:p w14:paraId="0C18F959" w14:textId="77777777" w:rsidR="008E4ABB" w:rsidRPr="008E4ABB" w:rsidRDefault="008E4ABB" w:rsidP="00270319">
      <w:pPr>
        <w:numPr>
          <w:ilvl w:val="0"/>
          <w:numId w:val="138"/>
        </w:numPr>
        <w:tabs>
          <w:tab w:val="left" w:pos="724"/>
        </w:tabs>
        <w:ind w:left="709" w:hanging="283"/>
        <w:rPr>
          <w:rFonts w:eastAsia="Arial"/>
          <w:szCs w:val="24"/>
        </w:rPr>
      </w:pPr>
      <w:r w:rsidRPr="008E4ABB">
        <w:rPr>
          <w:rFonts w:eastAsia="Times New Roman"/>
          <w:b/>
          <w:bCs/>
          <w:szCs w:val="24"/>
        </w:rPr>
        <w:t>Podíl FÚ platební bilance k HDP</w:t>
      </w:r>
    </w:p>
    <w:p w14:paraId="35229164" w14:textId="77777777" w:rsidR="008E4ABB" w:rsidRPr="008E4ABB" w:rsidRDefault="008E4ABB" w:rsidP="00236AA9">
      <w:pPr>
        <w:spacing w:line="154" w:lineRule="exact"/>
        <w:ind w:left="709" w:hanging="283"/>
        <w:rPr>
          <w:rFonts w:eastAsia="Arial"/>
          <w:szCs w:val="24"/>
        </w:rPr>
      </w:pPr>
    </w:p>
    <w:p w14:paraId="0A307CCD" w14:textId="77777777" w:rsidR="008E4ABB" w:rsidRPr="008E4ABB" w:rsidRDefault="008E4ABB" w:rsidP="00270319">
      <w:pPr>
        <w:numPr>
          <w:ilvl w:val="0"/>
          <w:numId w:val="138"/>
        </w:numPr>
        <w:tabs>
          <w:tab w:val="left" w:pos="724"/>
        </w:tabs>
        <w:ind w:left="709" w:hanging="283"/>
        <w:rPr>
          <w:rFonts w:eastAsia="Arial"/>
          <w:szCs w:val="24"/>
        </w:rPr>
      </w:pPr>
      <w:r w:rsidRPr="008E4ABB">
        <w:rPr>
          <w:rFonts w:eastAsia="Times New Roman"/>
          <w:b/>
          <w:bCs/>
          <w:szCs w:val="24"/>
        </w:rPr>
        <w:t>Stav devizových rezerv ČNB</w:t>
      </w:r>
    </w:p>
    <w:p w14:paraId="0130854A" w14:textId="77777777" w:rsidR="008E4ABB" w:rsidRPr="008E4ABB" w:rsidRDefault="008E4ABB" w:rsidP="00236AA9">
      <w:pPr>
        <w:spacing w:line="154" w:lineRule="exact"/>
        <w:ind w:left="709" w:hanging="283"/>
        <w:rPr>
          <w:rFonts w:eastAsia="Arial"/>
          <w:szCs w:val="24"/>
        </w:rPr>
      </w:pPr>
    </w:p>
    <w:p w14:paraId="3D761FEE" w14:textId="77777777" w:rsidR="008E4ABB" w:rsidRPr="008E4ABB" w:rsidRDefault="008E4ABB" w:rsidP="00270319">
      <w:pPr>
        <w:numPr>
          <w:ilvl w:val="0"/>
          <w:numId w:val="138"/>
        </w:numPr>
        <w:tabs>
          <w:tab w:val="left" w:pos="724"/>
        </w:tabs>
        <w:ind w:left="709" w:hanging="283"/>
        <w:rPr>
          <w:rFonts w:eastAsia="Arial"/>
          <w:szCs w:val="24"/>
        </w:rPr>
      </w:pPr>
      <w:r w:rsidRPr="008E4ABB">
        <w:rPr>
          <w:rFonts w:eastAsia="Times New Roman"/>
          <w:b/>
          <w:bCs/>
          <w:szCs w:val="24"/>
        </w:rPr>
        <w:t>Stav devizových rezerv ČNB k HDP</w:t>
      </w:r>
    </w:p>
    <w:p w14:paraId="77B3C234" w14:textId="77777777" w:rsidR="008E4ABB" w:rsidRPr="008E4ABB" w:rsidRDefault="008E4ABB" w:rsidP="00236AA9">
      <w:pPr>
        <w:spacing w:line="154" w:lineRule="exact"/>
        <w:ind w:left="709" w:hanging="283"/>
        <w:rPr>
          <w:rFonts w:eastAsia="Arial"/>
          <w:szCs w:val="24"/>
        </w:rPr>
      </w:pPr>
    </w:p>
    <w:p w14:paraId="462E3AE7" w14:textId="77777777" w:rsidR="008E4ABB" w:rsidRPr="008E4ABB" w:rsidRDefault="008E4ABB" w:rsidP="00270319">
      <w:pPr>
        <w:numPr>
          <w:ilvl w:val="0"/>
          <w:numId w:val="138"/>
        </w:numPr>
        <w:tabs>
          <w:tab w:val="left" w:pos="724"/>
        </w:tabs>
        <w:ind w:left="709" w:hanging="283"/>
        <w:rPr>
          <w:rFonts w:eastAsia="Arial"/>
          <w:szCs w:val="24"/>
        </w:rPr>
      </w:pPr>
      <w:r w:rsidRPr="008E4ABB">
        <w:rPr>
          <w:rFonts w:eastAsia="Times New Roman"/>
          <w:b/>
          <w:bCs/>
          <w:szCs w:val="24"/>
        </w:rPr>
        <w:t>Krytí dovozu zboží a služeb devizovými rezervami ČNB</w:t>
      </w:r>
    </w:p>
    <w:p w14:paraId="76968D0D" w14:textId="77777777" w:rsidR="008E4ABB" w:rsidRPr="008E4ABB" w:rsidRDefault="008E4ABB" w:rsidP="008E4ABB">
      <w:pPr>
        <w:spacing w:line="200" w:lineRule="exact"/>
        <w:rPr>
          <w:sz w:val="20"/>
          <w:szCs w:val="20"/>
        </w:rPr>
      </w:pPr>
    </w:p>
    <w:p w14:paraId="08AE2376" w14:textId="77777777" w:rsidR="008E4ABB" w:rsidRPr="008E4ABB" w:rsidRDefault="008E4ABB" w:rsidP="008E4ABB">
      <w:pPr>
        <w:spacing w:line="200" w:lineRule="exact"/>
        <w:rPr>
          <w:sz w:val="20"/>
          <w:szCs w:val="20"/>
        </w:rPr>
      </w:pPr>
    </w:p>
    <w:p w14:paraId="1B932389" w14:textId="77777777" w:rsidR="008E4ABB" w:rsidRPr="004B6CDE" w:rsidRDefault="008E4ABB" w:rsidP="008E4ABB">
      <w:pPr>
        <w:spacing w:line="218" w:lineRule="exact"/>
        <w:rPr>
          <w:color w:val="1F3864" w:themeColor="accent1" w:themeShade="80"/>
          <w:sz w:val="20"/>
          <w:szCs w:val="20"/>
        </w:rPr>
      </w:pPr>
    </w:p>
    <w:p w14:paraId="76C7050D" w14:textId="77777777" w:rsidR="008E4ABB" w:rsidRPr="0023251A" w:rsidRDefault="008E4ABB" w:rsidP="00236AA9">
      <w:pPr>
        <w:pStyle w:val="Nadpis2"/>
        <w:rPr>
          <w:color w:val="FF0000"/>
          <w:sz w:val="20"/>
          <w:szCs w:val="20"/>
        </w:rPr>
      </w:pPr>
      <w:r w:rsidRPr="004B6CDE">
        <w:rPr>
          <w:rFonts w:eastAsia="Times New Roman"/>
          <w:color w:val="1F3864" w:themeColor="accent1" w:themeShade="80"/>
        </w:rPr>
        <w:t>INFLACE A JEJÍ DRUHY</w:t>
      </w:r>
    </w:p>
    <w:p w14:paraId="4C19AC19" w14:textId="6CD2674C" w:rsidR="008E4ABB" w:rsidRPr="008E4ABB" w:rsidRDefault="008E4ABB" w:rsidP="00A44047">
      <w:pPr>
        <w:spacing w:line="327" w:lineRule="auto"/>
        <w:ind w:left="4" w:firstLine="716"/>
        <w:rPr>
          <w:rFonts w:eastAsia="Times New Roman"/>
          <w:szCs w:val="24"/>
        </w:rPr>
      </w:pPr>
      <w:r w:rsidRPr="008E4ABB">
        <w:rPr>
          <w:rFonts w:eastAsia="Times New Roman"/>
          <w:szCs w:val="24"/>
        </w:rPr>
        <w:t>Inflace je dlouhodobější nepřetržitý (resp. opakovaný) růst cenové hladiny, který je spojen s nadměrnou emisí peněz a který vede k poklesu kupní síly peněz. Opakem inflace je deflace. Deflací je označován všeobecný pokles cenové hladiny, tedy musí jít o pokles cen všech statků a služeb. Situaci, kdy je inflace doprovázena stagnací nazýváme stagflace.</w:t>
      </w:r>
    </w:p>
    <w:p w14:paraId="0FEC15F9" w14:textId="77777777" w:rsidR="008E4ABB" w:rsidRPr="008E4ABB" w:rsidRDefault="008E4ABB" w:rsidP="00A44047">
      <w:pPr>
        <w:spacing w:line="320" w:lineRule="auto"/>
        <w:ind w:left="4" w:firstLine="716"/>
        <w:rPr>
          <w:rFonts w:eastAsia="Times New Roman"/>
          <w:sz w:val="31"/>
          <w:szCs w:val="31"/>
          <w:vertAlign w:val="superscript"/>
        </w:rPr>
      </w:pPr>
      <w:bookmarkStart w:id="147" w:name="page144"/>
      <w:bookmarkEnd w:id="147"/>
      <w:r w:rsidRPr="008E4ABB">
        <w:rPr>
          <w:rFonts w:eastAsia="Times New Roman"/>
          <w:szCs w:val="24"/>
        </w:rPr>
        <w:lastRenderedPageBreak/>
        <w:t>Příčinou deflace může být například pokles cen akcií, nemovitostí, nadbytečné výrobní kapacity, pokles cen klíčových komodit, deflace v zemích obchodních partnerů, nepružnost mez, rychlé posílení domácí měny apod.</w:t>
      </w:r>
    </w:p>
    <w:p w14:paraId="6F13B198" w14:textId="77777777" w:rsidR="008E4ABB" w:rsidRPr="008E4ABB" w:rsidRDefault="008E4ABB" w:rsidP="008E4ABB">
      <w:pPr>
        <w:spacing w:line="3" w:lineRule="exact"/>
        <w:rPr>
          <w:sz w:val="20"/>
          <w:szCs w:val="20"/>
        </w:rPr>
      </w:pPr>
    </w:p>
    <w:p w14:paraId="619100A3" w14:textId="77777777" w:rsidR="008E4ABB" w:rsidRPr="008E4ABB" w:rsidRDefault="008E4ABB" w:rsidP="008E4ABB">
      <w:pPr>
        <w:ind w:left="4"/>
        <w:rPr>
          <w:sz w:val="20"/>
          <w:szCs w:val="20"/>
        </w:rPr>
      </w:pPr>
      <w:r w:rsidRPr="008E4ABB">
        <w:rPr>
          <w:rFonts w:eastAsia="Times New Roman"/>
          <w:b/>
          <w:bCs/>
          <w:szCs w:val="24"/>
        </w:rPr>
        <w:t>Pozitivní efekty inflace:</w:t>
      </w:r>
    </w:p>
    <w:p w14:paraId="12D26720" w14:textId="77777777" w:rsidR="008E4ABB" w:rsidRPr="008E4ABB" w:rsidRDefault="008E4ABB" w:rsidP="008E4ABB">
      <w:pPr>
        <w:spacing w:line="109" w:lineRule="exact"/>
        <w:rPr>
          <w:sz w:val="20"/>
          <w:szCs w:val="20"/>
        </w:rPr>
      </w:pPr>
    </w:p>
    <w:p w14:paraId="2CCAFE68" w14:textId="77777777" w:rsidR="008E4ABB" w:rsidRPr="008E4ABB" w:rsidRDefault="008E4ABB" w:rsidP="00270319">
      <w:pPr>
        <w:numPr>
          <w:ilvl w:val="0"/>
          <w:numId w:val="139"/>
        </w:numPr>
        <w:tabs>
          <w:tab w:val="left" w:pos="724"/>
        </w:tabs>
        <w:ind w:left="709" w:hanging="283"/>
        <w:rPr>
          <w:rFonts w:eastAsia="Arial"/>
          <w:szCs w:val="24"/>
        </w:rPr>
      </w:pPr>
      <w:r w:rsidRPr="008E4ABB">
        <w:rPr>
          <w:rFonts w:eastAsia="Times New Roman"/>
          <w:szCs w:val="24"/>
        </w:rPr>
        <w:t>stimulace subjektu k činnosti, kterou by jinak neprováděly</w:t>
      </w:r>
    </w:p>
    <w:p w14:paraId="028EB613" w14:textId="77777777" w:rsidR="008E4ABB" w:rsidRPr="008E4ABB" w:rsidRDefault="008E4ABB" w:rsidP="00236AA9">
      <w:pPr>
        <w:spacing w:line="154" w:lineRule="exact"/>
        <w:ind w:left="709" w:hanging="283"/>
        <w:rPr>
          <w:rFonts w:eastAsia="Arial"/>
          <w:szCs w:val="24"/>
        </w:rPr>
      </w:pPr>
    </w:p>
    <w:p w14:paraId="37EBA5A9" w14:textId="77777777" w:rsidR="008E4ABB" w:rsidRPr="008E4ABB" w:rsidRDefault="008E4ABB" w:rsidP="00270319">
      <w:pPr>
        <w:numPr>
          <w:ilvl w:val="0"/>
          <w:numId w:val="139"/>
        </w:numPr>
        <w:tabs>
          <w:tab w:val="left" w:pos="724"/>
        </w:tabs>
        <w:ind w:left="709" w:hanging="283"/>
        <w:rPr>
          <w:rFonts w:eastAsia="Arial"/>
          <w:szCs w:val="24"/>
        </w:rPr>
      </w:pPr>
      <w:r w:rsidRPr="008E4ABB">
        <w:rPr>
          <w:rFonts w:eastAsia="Times New Roman"/>
          <w:szCs w:val="24"/>
        </w:rPr>
        <w:t>motivace k vyšší produktivitě práce, aby si zvýšili mzdu</w:t>
      </w:r>
    </w:p>
    <w:p w14:paraId="663F050F" w14:textId="77777777" w:rsidR="008E4ABB" w:rsidRPr="008E4ABB" w:rsidRDefault="008E4ABB" w:rsidP="00236AA9">
      <w:pPr>
        <w:spacing w:line="154" w:lineRule="exact"/>
        <w:ind w:left="709" w:hanging="283"/>
        <w:rPr>
          <w:rFonts w:eastAsia="Arial"/>
          <w:szCs w:val="24"/>
        </w:rPr>
      </w:pPr>
    </w:p>
    <w:p w14:paraId="1AB1F7EE" w14:textId="77777777" w:rsidR="008E4ABB" w:rsidRPr="008E4ABB" w:rsidRDefault="008E4ABB" w:rsidP="00270319">
      <w:pPr>
        <w:numPr>
          <w:ilvl w:val="0"/>
          <w:numId w:val="139"/>
        </w:numPr>
        <w:tabs>
          <w:tab w:val="left" w:pos="724"/>
        </w:tabs>
        <w:ind w:left="709" w:hanging="283"/>
        <w:rPr>
          <w:rFonts w:eastAsia="Arial"/>
          <w:szCs w:val="24"/>
        </w:rPr>
      </w:pPr>
      <w:r w:rsidRPr="008E4ABB">
        <w:rPr>
          <w:rFonts w:eastAsia="Times New Roman"/>
          <w:szCs w:val="24"/>
        </w:rPr>
        <w:t>„přijatelná“ inflace může zvýšit dlouhodobý ekonomický růst</w:t>
      </w:r>
    </w:p>
    <w:p w14:paraId="38811305" w14:textId="77777777" w:rsidR="008E4ABB" w:rsidRPr="008E4ABB" w:rsidRDefault="008E4ABB" w:rsidP="008E4ABB">
      <w:pPr>
        <w:spacing w:line="308" w:lineRule="exact"/>
        <w:rPr>
          <w:sz w:val="20"/>
          <w:szCs w:val="20"/>
        </w:rPr>
      </w:pPr>
    </w:p>
    <w:p w14:paraId="4AC36B13" w14:textId="77777777" w:rsidR="008E4ABB" w:rsidRPr="008E4ABB" w:rsidRDefault="008E4ABB" w:rsidP="008E4ABB">
      <w:pPr>
        <w:ind w:left="4"/>
        <w:rPr>
          <w:sz w:val="20"/>
          <w:szCs w:val="20"/>
        </w:rPr>
      </w:pPr>
      <w:r w:rsidRPr="008E4ABB">
        <w:rPr>
          <w:rFonts w:eastAsia="Times New Roman"/>
          <w:b/>
          <w:bCs/>
          <w:szCs w:val="24"/>
        </w:rPr>
        <w:t>Negativní efekty inflace</w:t>
      </w:r>
      <w:r w:rsidRPr="008E4ABB">
        <w:rPr>
          <w:rFonts w:eastAsia="Times New Roman"/>
          <w:szCs w:val="24"/>
        </w:rPr>
        <w:t>:</w:t>
      </w:r>
    </w:p>
    <w:p w14:paraId="45EFA3F3" w14:textId="77777777" w:rsidR="008E4ABB" w:rsidRPr="008E4ABB" w:rsidRDefault="008E4ABB" w:rsidP="008E4ABB">
      <w:pPr>
        <w:spacing w:line="105" w:lineRule="exact"/>
        <w:rPr>
          <w:sz w:val="20"/>
          <w:szCs w:val="20"/>
        </w:rPr>
      </w:pPr>
    </w:p>
    <w:p w14:paraId="15717846" w14:textId="77777777" w:rsidR="008E4ABB" w:rsidRPr="008E4ABB" w:rsidRDefault="008E4ABB" w:rsidP="00270319">
      <w:pPr>
        <w:numPr>
          <w:ilvl w:val="0"/>
          <w:numId w:val="140"/>
        </w:numPr>
        <w:tabs>
          <w:tab w:val="left" w:pos="724"/>
        </w:tabs>
        <w:ind w:left="709" w:hanging="283"/>
        <w:rPr>
          <w:rFonts w:eastAsia="Arial"/>
          <w:szCs w:val="24"/>
        </w:rPr>
      </w:pPr>
      <w:r w:rsidRPr="008E4ABB">
        <w:rPr>
          <w:rFonts w:eastAsia="Times New Roman"/>
          <w:szCs w:val="24"/>
        </w:rPr>
        <w:t>redistribuční náklady (mezi dlužníky a věřiteli)</w:t>
      </w:r>
    </w:p>
    <w:p w14:paraId="3D1FC47C" w14:textId="77777777" w:rsidR="008E4ABB" w:rsidRPr="008E4ABB" w:rsidRDefault="008E4ABB" w:rsidP="00236AA9">
      <w:pPr>
        <w:spacing w:line="150" w:lineRule="exact"/>
        <w:ind w:left="709" w:hanging="283"/>
        <w:rPr>
          <w:rFonts w:eastAsia="Arial"/>
          <w:szCs w:val="24"/>
        </w:rPr>
      </w:pPr>
    </w:p>
    <w:p w14:paraId="06C1A596" w14:textId="77777777" w:rsidR="008E4ABB" w:rsidRPr="008E4ABB" w:rsidRDefault="008E4ABB" w:rsidP="00270319">
      <w:pPr>
        <w:numPr>
          <w:ilvl w:val="0"/>
          <w:numId w:val="140"/>
        </w:numPr>
        <w:tabs>
          <w:tab w:val="left" w:pos="724"/>
        </w:tabs>
        <w:spacing w:line="389" w:lineRule="auto"/>
        <w:ind w:left="709" w:hanging="283"/>
        <w:rPr>
          <w:rFonts w:eastAsia="Arial"/>
          <w:szCs w:val="24"/>
        </w:rPr>
      </w:pPr>
      <w:r w:rsidRPr="008E4ABB">
        <w:rPr>
          <w:rFonts w:eastAsia="Times New Roman"/>
          <w:szCs w:val="24"/>
        </w:rPr>
        <w:t>zaměstnavatelé realizují vyšší zisky na úkor zaměstnanců (ceny statků se mění rychleji než mzdy vzhledem ke strnulostem, jako jsou např. smlouvy či kolektivní dohody)</w:t>
      </w:r>
    </w:p>
    <w:p w14:paraId="4DFA2B7B" w14:textId="77777777" w:rsidR="008E4ABB" w:rsidRPr="008E4ABB" w:rsidRDefault="008E4ABB" w:rsidP="008E4ABB">
      <w:pPr>
        <w:spacing w:line="20" w:lineRule="exact"/>
        <w:rPr>
          <w:sz w:val="20"/>
          <w:szCs w:val="20"/>
        </w:rPr>
      </w:pPr>
    </w:p>
    <w:p w14:paraId="1162EC2C" w14:textId="77777777" w:rsidR="008E4ABB" w:rsidRPr="008E4ABB" w:rsidRDefault="008E4ABB" w:rsidP="008E4ABB">
      <w:pPr>
        <w:spacing w:line="200" w:lineRule="exact"/>
        <w:rPr>
          <w:noProof/>
          <w:sz w:val="20"/>
          <w:szCs w:val="20"/>
        </w:rPr>
      </w:pPr>
    </w:p>
    <w:p w14:paraId="1B0B0956" w14:textId="77777777" w:rsidR="008E4ABB" w:rsidRPr="008E4ABB" w:rsidRDefault="008E4ABB" w:rsidP="008E4ABB">
      <w:pPr>
        <w:spacing w:line="200" w:lineRule="exact"/>
        <w:rPr>
          <w:noProof/>
          <w:sz w:val="20"/>
          <w:szCs w:val="20"/>
        </w:rPr>
      </w:pPr>
      <w:r w:rsidRPr="008E4ABB">
        <w:rPr>
          <w:noProof/>
          <w:sz w:val="20"/>
          <w:szCs w:val="20"/>
        </w:rPr>
        <w:drawing>
          <wp:anchor distT="0" distB="0" distL="114300" distR="114300" simplePos="0" relativeHeight="251741696" behindDoc="0" locked="0" layoutInCell="1" allowOverlap="1" wp14:anchorId="5B395CCA" wp14:editId="6DCAD37E">
            <wp:simplePos x="0" y="0"/>
            <wp:positionH relativeFrom="column">
              <wp:posOffset>-3810</wp:posOffset>
            </wp:positionH>
            <wp:positionV relativeFrom="paragraph">
              <wp:posOffset>10795</wp:posOffset>
            </wp:positionV>
            <wp:extent cx="5753100" cy="3448050"/>
            <wp:effectExtent l="0" t="0" r="0" b="0"/>
            <wp:wrapNone/>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3448050"/>
                    </a:xfrm>
                    <a:prstGeom prst="rect">
                      <a:avLst/>
                    </a:prstGeom>
                    <a:noFill/>
                    <a:ln>
                      <a:noFill/>
                    </a:ln>
                  </pic:spPr>
                </pic:pic>
              </a:graphicData>
            </a:graphic>
          </wp:anchor>
        </w:drawing>
      </w:r>
    </w:p>
    <w:p w14:paraId="1171E84F" w14:textId="77777777" w:rsidR="008E4ABB" w:rsidRPr="008E4ABB" w:rsidRDefault="008E4ABB" w:rsidP="008E4ABB">
      <w:pPr>
        <w:spacing w:line="200" w:lineRule="exact"/>
        <w:rPr>
          <w:noProof/>
          <w:sz w:val="20"/>
          <w:szCs w:val="20"/>
        </w:rPr>
      </w:pPr>
    </w:p>
    <w:p w14:paraId="59E9DDCA" w14:textId="77777777" w:rsidR="008E4ABB" w:rsidRPr="008E4ABB" w:rsidRDefault="008E4ABB" w:rsidP="008E4ABB">
      <w:pPr>
        <w:spacing w:line="200" w:lineRule="exact"/>
        <w:rPr>
          <w:sz w:val="20"/>
          <w:szCs w:val="20"/>
        </w:rPr>
      </w:pPr>
    </w:p>
    <w:p w14:paraId="7BEE65F8" w14:textId="77777777" w:rsidR="008E4ABB" w:rsidRPr="008E4ABB" w:rsidRDefault="008E4ABB" w:rsidP="008E4ABB">
      <w:pPr>
        <w:spacing w:line="200" w:lineRule="exact"/>
        <w:rPr>
          <w:sz w:val="20"/>
          <w:szCs w:val="20"/>
        </w:rPr>
      </w:pPr>
    </w:p>
    <w:p w14:paraId="03CAE843" w14:textId="77777777" w:rsidR="008E4ABB" w:rsidRPr="008E4ABB" w:rsidRDefault="008E4ABB" w:rsidP="008E4ABB">
      <w:pPr>
        <w:spacing w:line="200" w:lineRule="exact"/>
        <w:rPr>
          <w:sz w:val="20"/>
          <w:szCs w:val="20"/>
        </w:rPr>
      </w:pPr>
    </w:p>
    <w:p w14:paraId="1A3D0DE9" w14:textId="77777777" w:rsidR="008E4ABB" w:rsidRPr="008E4ABB" w:rsidRDefault="008E4ABB" w:rsidP="008E4ABB">
      <w:pPr>
        <w:spacing w:line="200" w:lineRule="exact"/>
        <w:rPr>
          <w:sz w:val="20"/>
          <w:szCs w:val="20"/>
        </w:rPr>
      </w:pPr>
    </w:p>
    <w:p w14:paraId="334B66A2" w14:textId="77777777" w:rsidR="008E4ABB" w:rsidRPr="008E4ABB" w:rsidRDefault="008E4ABB" w:rsidP="008E4ABB">
      <w:pPr>
        <w:spacing w:line="200" w:lineRule="exact"/>
        <w:rPr>
          <w:sz w:val="20"/>
          <w:szCs w:val="20"/>
        </w:rPr>
      </w:pPr>
    </w:p>
    <w:p w14:paraId="6EAD1729" w14:textId="77777777" w:rsidR="008E4ABB" w:rsidRPr="008E4ABB" w:rsidRDefault="008E4ABB" w:rsidP="008E4ABB">
      <w:pPr>
        <w:spacing w:line="200" w:lineRule="exact"/>
        <w:rPr>
          <w:sz w:val="20"/>
          <w:szCs w:val="20"/>
        </w:rPr>
      </w:pPr>
    </w:p>
    <w:p w14:paraId="015E7696" w14:textId="77777777" w:rsidR="008E4ABB" w:rsidRPr="008E4ABB" w:rsidRDefault="008E4ABB" w:rsidP="008E4ABB">
      <w:pPr>
        <w:spacing w:line="200" w:lineRule="exact"/>
        <w:rPr>
          <w:sz w:val="20"/>
          <w:szCs w:val="20"/>
        </w:rPr>
      </w:pPr>
    </w:p>
    <w:p w14:paraId="1FF8012E" w14:textId="77777777" w:rsidR="008E4ABB" w:rsidRPr="008E4ABB" w:rsidRDefault="008E4ABB" w:rsidP="008E4ABB">
      <w:pPr>
        <w:spacing w:line="200" w:lineRule="exact"/>
        <w:rPr>
          <w:sz w:val="20"/>
          <w:szCs w:val="20"/>
        </w:rPr>
      </w:pPr>
    </w:p>
    <w:p w14:paraId="08520D65" w14:textId="77777777" w:rsidR="008E4ABB" w:rsidRPr="008E4ABB" w:rsidRDefault="008E4ABB" w:rsidP="008E4ABB">
      <w:pPr>
        <w:spacing w:line="200" w:lineRule="exact"/>
        <w:rPr>
          <w:sz w:val="20"/>
          <w:szCs w:val="20"/>
        </w:rPr>
      </w:pPr>
    </w:p>
    <w:p w14:paraId="4ED885D7" w14:textId="77777777" w:rsidR="008E4ABB" w:rsidRPr="008E4ABB" w:rsidRDefault="008E4ABB" w:rsidP="008E4ABB">
      <w:pPr>
        <w:spacing w:line="200" w:lineRule="exact"/>
        <w:rPr>
          <w:sz w:val="20"/>
          <w:szCs w:val="20"/>
        </w:rPr>
      </w:pPr>
    </w:p>
    <w:p w14:paraId="63935664" w14:textId="77777777" w:rsidR="008E4ABB" w:rsidRPr="008E4ABB" w:rsidRDefault="008E4ABB" w:rsidP="008E4ABB">
      <w:pPr>
        <w:spacing w:line="200" w:lineRule="exact"/>
        <w:rPr>
          <w:sz w:val="20"/>
          <w:szCs w:val="20"/>
        </w:rPr>
      </w:pPr>
    </w:p>
    <w:p w14:paraId="26663536" w14:textId="77777777" w:rsidR="008E4ABB" w:rsidRPr="008E4ABB" w:rsidRDefault="008E4ABB" w:rsidP="008E4ABB">
      <w:pPr>
        <w:spacing w:line="200" w:lineRule="exact"/>
        <w:rPr>
          <w:sz w:val="20"/>
          <w:szCs w:val="20"/>
        </w:rPr>
      </w:pPr>
    </w:p>
    <w:p w14:paraId="3A142E43" w14:textId="77777777" w:rsidR="008E4ABB" w:rsidRPr="008E4ABB" w:rsidRDefault="008E4ABB" w:rsidP="008E4ABB">
      <w:pPr>
        <w:spacing w:line="200" w:lineRule="exact"/>
        <w:rPr>
          <w:sz w:val="20"/>
          <w:szCs w:val="20"/>
        </w:rPr>
      </w:pPr>
    </w:p>
    <w:p w14:paraId="333F8B6B" w14:textId="77777777" w:rsidR="008E4ABB" w:rsidRPr="008E4ABB" w:rsidRDefault="008E4ABB" w:rsidP="008E4ABB">
      <w:pPr>
        <w:spacing w:line="200" w:lineRule="exact"/>
        <w:rPr>
          <w:sz w:val="20"/>
          <w:szCs w:val="20"/>
        </w:rPr>
      </w:pPr>
    </w:p>
    <w:p w14:paraId="27D461DD" w14:textId="77777777" w:rsidR="008E4ABB" w:rsidRPr="008E4ABB" w:rsidRDefault="008E4ABB" w:rsidP="008E4ABB">
      <w:pPr>
        <w:spacing w:line="200" w:lineRule="exact"/>
        <w:rPr>
          <w:sz w:val="20"/>
          <w:szCs w:val="20"/>
        </w:rPr>
      </w:pPr>
    </w:p>
    <w:p w14:paraId="19BB1488" w14:textId="77777777" w:rsidR="008E4ABB" w:rsidRPr="008E4ABB" w:rsidRDefault="008E4ABB" w:rsidP="008E4ABB">
      <w:pPr>
        <w:spacing w:line="200" w:lineRule="exact"/>
        <w:rPr>
          <w:sz w:val="20"/>
          <w:szCs w:val="20"/>
        </w:rPr>
      </w:pPr>
    </w:p>
    <w:p w14:paraId="390F768E" w14:textId="77777777" w:rsidR="008E4ABB" w:rsidRPr="008E4ABB" w:rsidRDefault="008E4ABB" w:rsidP="008E4ABB">
      <w:pPr>
        <w:spacing w:line="200" w:lineRule="exact"/>
        <w:rPr>
          <w:sz w:val="20"/>
          <w:szCs w:val="20"/>
        </w:rPr>
      </w:pPr>
    </w:p>
    <w:p w14:paraId="2143F490" w14:textId="77777777" w:rsidR="008E4ABB" w:rsidRPr="008E4ABB" w:rsidRDefault="008E4ABB" w:rsidP="008E4ABB">
      <w:pPr>
        <w:spacing w:line="200" w:lineRule="exact"/>
        <w:rPr>
          <w:sz w:val="20"/>
          <w:szCs w:val="20"/>
        </w:rPr>
      </w:pPr>
    </w:p>
    <w:p w14:paraId="4709FD06" w14:textId="77777777" w:rsidR="008E4ABB" w:rsidRPr="008E4ABB" w:rsidRDefault="008E4ABB" w:rsidP="008E4ABB">
      <w:pPr>
        <w:spacing w:line="200" w:lineRule="exact"/>
        <w:rPr>
          <w:sz w:val="20"/>
          <w:szCs w:val="20"/>
        </w:rPr>
      </w:pPr>
    </w:p>
    <w:p w14:paraId="653C984F" w14:textId="77777777" w:rsidR="008E4ABB" w:rsidRPr="008E4ABB" w:rsidRDefault="008E4ABB" w:rsidP="008E4ABB">
      <w:pPr>
        <w:spacing w:line="200" w:lineRule="exact"/>
        <w:rPr>
          <w:sz w:val="20"/>
          <w:szCs w:val="20"/>
        </w:rPr>
      </w:pPr>
    </w:p>
    <w:p w14:paraId="60ABF354" w14:textId="77777777" w:rsidR="008E4ABB" w:rsidRPr="008E4ABB" w:rsidRDefault="008E4ABB" w:rsidP="008E4ABB">
      <w:pPr>
        <w:spacing w:line="200" w:lineRule="exact"/>
        <w:rPr>
          <w:sz w:val="20"/>
          <w:szCs w:val="20"/>
        </w:rPr>
      </w:pPr>
    </w:p>
    <w:p w14:paraId="3FA2B52F" w14:textId="77777777" w:rsidR="008E4ABB" w:rsidRPr="008E4ABB" w:rsidRDefault="008E4ABB" w:rsidP="008E4ABB">
      <w:pPr>
        <w:spacing w:line="200" w:lineRule="exact"/>
        <w:rPr>
          <w:sz w:val="20"/>
          <w:szCs w:val="20"/>
        </w:rPr>
      </w:pPr>
    </w:p>
    <w:p w14:paraId="600D937B" w14:textId="77777777" w:rsidR="008E4ABB" w:rsidRPr="008E4ABB" w:rsidRDefault="008E4ABB" w:rsidP="008E4ABB">
      <w:pPr>
        <w:spacing w:line="200" w:lineRule="exact"/>
        <w:rPr>
          <w:sz w:val="20"/>
          <w:szCs w:val="20"/>
        </w:rPr>
      </w:pPr>
    </w:p>
    <w:p w14:paraId="03DFB37F" w14:textId="77777777" w:rsidR="008E4ABB" w:rsidRPr="008E4ABB" w:rsidRDefault="008E4ABB" w:rsidP="008E4ABB">
      <w:pPr>
        <w:spacing w:line="200" w:lineRule="exact"/>
        <w:rPr>
          <w:sz w:val="20"/>
          <w:szCs w:val="20"/>
        </w:rPr>
      </w:pPr>
    </w:p>
    <w:p w14:paraId="37F5D280" w14:textId="77777777" w:rsidR="008E4ABB" w:rsidRPr="008E4ABB" w:rsidRDefault="008E4ABB" w:rsidP="008E4ABB">
      <w:pPr>
        <w:spacing w:line="200" w:lineRule="exact"/>
        <w:rPr>
          <w:sz w:val="20"/>
          <w:szCs w:val="20"/>
        </w:rPr>
      </w:pPr>
    </w:p>
    <w:p w14:paraId="6C99374A" w14:textId="77777777" w:rsidR="008E4ABB" w:rsidRPr="008E4ABB" w:rsidRDefault="008E4ABB" w:rsidP="008E4ABB">
      <w:pPr>
        <w:spacing w:line="200" w:lineRule="exact"/>
        <w:rPr>
          <w:sz w:val="20"/>
          <w:szCs w:val="20"/>
        </w:rPr>
      </w:pPr>
    </w:p>
    <w:p w14:paraId="4CEAF3F7" w14:textId="77777777" w:rsidR="008E4ABB" w:rsidRPr="008E4ABB" w:rsidRDefault="008E4ABB" w:rsidP="008E4ABB">
      <w:pPr>
        <w:sectPr w:rsidR="008E4ABB" w:rsidRPr="008E4ABB">
          <w:pgSz w:w="11900" w:h="16840"/>
          <w:pgMar w:top="1397" w:right="1420" w:bottom="1440" w:left="1416" w:header="0" w:footer="0" w:gutter="0"/>
          <w:cols w:space="708" w:equalWidth="0">
            <w:col w:w="9064"/>
          </w:cols>
        </w:sectPr>
      </w:pPr>
    </w:p>
    <w:p w14:paraId="6C9E1BBA" w14:textId="77777777" w:rsidR="008E4ABB" w:rsidRPr="00266F2F" w:rsidRDefault="008E4ABB" w:rsidP="00F47DAD">
      <w:pPr>
        <w:pStyle w:val="Nadpis3"/>
        <w:rPr>
          <w:color w:val="1F3864" w:themeColor="accent1" w:themeShade="80"/>
          <w:sz w:val="20"/>
          <w:szCs w:val="20"/>
        </w:rPr>
      </w:pPr>
      <w:bookmarkStart w:id="148" w:name="page145"/>
      <w:bookmarkEnd w:id="148"/>
      <w:r w:rsidRPr="00266F2F">
        <w:rPr>
          <w:rFonts w:eastAsia="Times New Roman"/>
          <w:color w:val="1F3864" w:themeColor="accent1" w:themeShade="80"/>
        </w:rPr>
        <w:lastRenderedPageBreak/>
        <w:t>Druhy inflace</w:t>
      </w:r>
    </w:p>
    <w:p w14:paraId="089A95FA" w14:textId="77777777" w:rsidR="008E4ABB" w:rsidRPr="00266F2F" w:rsidRDefault="008E4ABB" w:rsidP="00F47DAD">
      <w:pPr>
        <w:pStyle w:val="Nadpis4"/>
        <w:rPr>
          <w:color w:val="1F3864" w:themeColor="accent1" w:themeShade="80"/>
          <w:sz w:val="20"/>
          <w:szCs w:val="20"/>
        </w:rPr>
      </w:pPr>
      <w:r w:rsidRPr="00266F2F">
        <w:rPr>
          <w:rFonts w:eastAsia="Times New Roman"/>
          <w:color w:val="1F3864" w:themeColor="accent1" w:themeShade="80"/>
        </w:rPr>
        <w:t>Podle tempa růstu:</w:t>
      </w:r>
    </w:p>
    <w:p w14:paraId="2D783E69" w14:textId="77777777" w:rsidR="008E4ABB" w:rsidRPr="008E4ABB" w:rsidRDefault="008E4ABB" w:rsidP="00270319">
      <w:pPr>
        <w:numPr>
          <w:ilvl w:val="0"/>
          <w:numId w:val="141"/>
        </w:numPr>
        <w:tabs>
          <w:tab w:val="left" w:pos="724"/>
        </w:tabs>
        <w:ind w:left="709" w:hanging="283"/>
        <w:rPr>
          <w:rFonts w:eastAsia="Times New Roman"/>
          <w:b/>
          <w:bCs/>
          <w:szCs w:val="24"/>
        </w:rPr>
      </w:pPr>
      <w:r w:rsidRPr="008E4ABB">
        <w:rPr>
          <w:rFonts w:eastAsia="Times New Roman"/>
          <w:b/>
          <w:bCs/>
          <w:szCs w:val="24"/>
        </w:rPr>
        <w:t xml:space="preserve">mírnou </w:t>
      </w:r>
      <w:r w:rsidRPr="008E4ABB">
        <w:rPr>
          <w:rFonts w:eastAsia="Times New Roman"/>
          <w:szCs w:val="24"/>
        </w:rPr>
        <w:t>– inflace dosahuje jednociferných hodnot. Lidé nepřestávají věřit penězům.</w:t>
      </w:r>
    </w:p>
    <w:p w14:paraId="78FF0A86" w14:textId="77777777" w:rsidR="008E4ABB" w:rsidRPr="008E4ABB" w:rsidRDefault="008E4ABB" w:rsidP="00270319">
      <w:pPr>
        <w:numPr>
          <w:ilvl w:val="0"/>
          <w:numId w:val="141"/>
        </w:numPr>
        <w:tabs>
          <w:tab w:val="left" w:pos="724"/>
        </w:tabs>
        <w:ind w:left="709" w:right="60" w:hanging="283"/>
        <w:rPr>
          <w:rFonts w:eastAsia="Times New Roman"/>
          <w:b/>
          <w:bCs/>
          <w:szCs w:val="24"/>
        </w:rPr>
      </w:pPr>
      <w:r w:rsidRPr="008E4ABB">
        <w:rPr>
          <w:rFonts w:eastAsia="Times New Roman"/>
          <w:b/>
          <w:bCs/>
          <w:szCs w:val="24"/>
        </w:rPr>
        <w:t xml:space="preserve">pádivou </w:t>
      </w:r>
      <w:r w:rsidRPr="008E4ABB">
        <w:rPr>
          <w:rFonts w:eastAsia="Times New Roman"/>
          <w:szCs w:val="24"/>
        </w:rPr>
        <w:t>– ceny rostou až</w:t>
      </w:r>
      <w:r w:rsidRPr="008E4ABB">
        <w:rPr>
          <w:rFonts w:eastAsia="Times New Roman"/>
          <w:b/>
          <w:bCs/>
          <w:szCs w:val="24"/>
        </w:rPr>
        <w:t xml:space="preserve"> </w:t>
      </w:r>
      <w:r w:rsidRPr="008E4ABB">
        <w:rPr>
          <w:rFonts w:eastAsia="Times New Roman"/>
          <w:szCs w:val="24"/>
        </w:rPr>
        <w:t>trojciferným tempem. Lidé přestávají věřit domácí měně,</w:t>
      </w:r>
      <w:r w:rsidRPr="008E4ABB">
        <w:rPr>
          <w:rFonts w:eastAsia="Times New Roman"/>
          <w:b/>
          <w:bCs/>
          <w:szCs w:val="24"/>
        </w:rPr>
        <w:t xml:space="preserve"> </w:t>
      </w:r>
      <w:r w:rsidRPr="008E4ABB">
        <w:rPr>
          <w:rFonts w:eastAsia="Times New Roman"/>
          <w:szCs w:val="24"/>
        </w:rPr>
        <w:t>preferují stabilnější cizí měny nebo jiné trvalejší hodnoty (zlato, nemovitosti atd.). Ekonomická výkonnost klesá.</w:t>
      </w:r>
    </w:p>
    <w:p w14:paraId="6B43A259" w14:textId="77777777" w:rsidR="008E4ABB" w:rsidRPr="008E4ABB" w:rsidRDefault="008E4ABB" w:rsidP="00236AA9">
      <w:pPr>
        <w:spacing w:line="1" w:lineRule="exact"/>
        <w:ind w:left="709" w:hanging="283"/>
        <w:rPr>
          <w:rFonts w:eastAsia="Times New Roman"/>
          <w:b/>
          <w:bCs/>
          <w:szCs w:val="24"/>
        </w:rPr>
      </w:pPr>
    </w:p>
    <w:p w14:paraId="1CB83149" w14:textId="77777777" w:rsidR="008E4ABB" w:rsidRPr="008E4ABB" w:rsidRDefault="008E4ABB" w:rsidP="00270319">
      <w:pPr>
        <w:numPr>
          <w:ilvl w:val="0"/>
          <w:numId w:val="141"/>
        </w:numPr>
        <w:tabs>
          <w:tab w:val="left" w:pos="724"/>
        </w:tabs>
        <w:spacing w:line="366" w:lineRule="auto"/>
        <w:ind w:left="709" w:right="60" w:hanging="283"/>
        <w:rPr>
          <w:rFonts w:eastAsia="Times New Roman"/>
          <w:b/>
          <w:bCs/>
          <w:szCs w:val="24"/>
        </w:rPr>
      </w:pPr>
      <w:r w:rsidRPr="008E4ABB">
        <w:rPr>
          <w:rFonts w:eastAsia="Times New Roman"/>
          <w:b/>
          <w:bCs/>
          <w:szCs w:val="24"/>
        </w:rPr>
        <w:t>hyperinflac</w:t>
      </w:r>
      <w:r w:rsidRPr="008E4ABB">
        <w:rPr>
          <w:rFonts w:eastAsia="Times New Roman"/>
          <w:szCs w:val="24"/>
        </w:rPr>
        <w:t>i – mimořádná tempa růstu cenové hladiny v</w:t>
      </w:r>
      <w:r w:rsidRPr="008E4ABB">
        <w:rPr>
          <w:rFonts w:eastAsia="Times New Roman"/>
          <w:b/>
          <w:bCs/>
          <w:szCs w:val="24"/>
        </w:rPr>
        <w:t xml:space="preserve"> </w:t>
      </w:r>
      <w:r w:rsidRPr="008E4ABB">
        <w:rPr>
          <w:rFonts w:eastAsia="Times New Roman"/>
          <w:szCs w:val="24"/>
        </w:rPr>
        <w:t>řádech tisíců</w:t>
      </w:r>
      <w:r w:rsidRPr="008E4ABB">
        <w:rPr>
          <w:rFonts w:eastAsia="Times New Roman"/>
          <w:b/>
          <w:bCs/>
          <w:szCs w:val="24"/>
        </w:rPr>
        <w:t xml:space="preserve"> </w:t>
      </w:r>
      <w:r w:rsidRPr="008E4ABB">
        <w:rPr>
          <w:rFonts w:eastAsia="Times New Roman"/>
          <w:szCs w:val="24"/>
        </w:rPr>
        <w:t>procent. Ceny</w:t>
      </w:r>
      <w:r w:rsidRPr="008E4ABB">
        <w:rPr>
          <w:rFonts w:eastAsia="Times New Roman"/>
          <w:b/>
          <w:bCs/>
          <w:szCs w:val="24"/>
        </w:rPr>
        <w:t xml:space="preserve"> </w:t>
      </w:r>
      <w:r w:rsidRPr="008E4ABB">
        <w:rPr>
          <w:rFonts w:eastAsia="Times New Roman"/>
          <w:szCs w:val="24"/>
        </w:rPr>
        <w:t>se zvyšují natolik rychle, že peníze přestávají plnit svou funkci uchovatele hodnot a zprostředkovatele směny, lidé preferují naturální směnu, ekonomický systém společnosti se rozpadá, nastává chaos. Tento stav je typický především pro období válečných konfliktů, politických převratů a podobně.</w:t>
      </w:r>
    </w:p>
    <w:p w14:paraId="61478839" w14:textId="77777777" w:rsidR="008E4ABB" w:rsidRPr="008E4ABB" w:rsidRDefault="008E4ABB" w:rsidP="008E4ABB">
      <w:pPr>
        <w:spacing w:line="128" w:lineRule="exact"/>
        <w:rPr>
          <w:sz w:val="20"/>
          <w:szCs w:val="20"/>
        </w:rPr>
      </w:pPr>
    </w:p>
    <w:p w14:paraId="1041D039" w14:textId="77777777" w:rsidR="008E4ABB" w:rsidRPr="00266F2F" w:rsidRDefault="008E4ABB" w:rsidP="00F47DAD">
      <w:pPr>
        <w:pStyle w:val="Nadpis4"/>
        <w:rPr>
          <w:color w:val="1F3864" w:themeColor="accent1" w:themeShade="80"/>
          <w:sz w:val="20"/>
          <w:szCs w:val="20"/>
        </w:rPr>
      </w:pPr>
      <w:r w:rsidRPr="00266F2F">
        <w:rPr>
          <w:rFonts w:eastAsia="Times New Roman"/>
          <w:color w:val="1F3864" w:themeColor="accent1" w:themeShade="80"/>
        </w:rPr>
        <w:t>Podle očekávání:</w:t>
      </w:r>
    </w:p>
    <w:p w14:paraId="47DDC232" w14:textId="77777777" w:rsidR="008E4ABB" w:rsidRPr="008E4ABB" w:rsidRDefault="008E4ABB" w:rsidP="00270319">
      <w:pPr>
        <w:numPr>
          <w:ilvl w:val="0"/>
          <w:numId w:val="142"/>
        </w:numPr>
        <w:tabs>
          <w:tab w:val="left" w:pos="724"/>
        </w:tabs>
        <w:ind w:left="709" w:hanging="283"/>
        <w:rPr>
          <w:rFonts w:eastAsia="Times New Roman"/>
          <w:b/>
          <w:bCs/>
          <w:sz w:val="23"/>
          <w:szCs w:val="23"/>
        </w:rPr>
      </w:pPr>
      <w:r w:rsidRPr="008E4ABB">
        <w:rPr>
          <w:rFonts w:eastAsia="Times New Roman"/>
          <w:b/>
          <w:bCs/>
          <w:sz w:val="23"/>
          <w:szCs w:val="23"/>
        </w:rPr>
        <w:t xml:space="preserve">očekávaná inflace </w:t>
      </w:r>
      <w:r w:rsidRPr="008E4ABB">
        <w:rPr>
          <w:rFonts w:eastAsia="Times New Roman"/>
          <w:sz w:val="23"/>
          <w:szCs w:val="23"/>
        </w:rPr>
        <w:t>– inflace je očekávaná, subjekty ji zakalkulují do svých rozhodování</w:t>
      </w:r>
    </w:p>
    <w:p w14:paraId="216FC771" w14:textId="77777777" w:rsidR="008E4ABB" w:rsidRPr="008E4ABB" w:rsidRDefault="008E4ABB" w:rsidP="00270319">
      <w:pPr>
        <w:numPr>
          <w:ilvl w:val="0"/>
          <w:numId w:val="142"/>
        </w:numPr>
        <w:tabs>
          <w:tab w:val="left" w:pos="724"/>
        </w:tabs>
        <w:ind w:left="709" w:hanging="283"/>
        <w:rPr>
          <w:rFonts w:eastAsia="Times New Roman"/>
          <w:b/>
          <w:bCs/>
          <w:szCs w:val="24"/>
        </w:rPr>
      </w:pPr>
      <w:r w:rsidRPr="008E4ABB">
        <w:rPr>
          <w:rFonts w:eastAsia="Times New Roman"/>
          <w:b/>
          <w:bCs/>
          <w:szCs w:val="24"/>
        </w:rPr>
        <w:t>neočekávaná inflace</w:t>
      </w:r>
    </w:p>
    <w:p w14:paraId="5842F445" w14:textId="77777777" w:rsidR="008E4ABB" w:rsidRPr="00266F2F" w:rsidRDefault="008E4ABB" w:rsidP="00F47DAD">
      <w:pPr>
        <w:pStyle w:val="Nadpis4"/>
        <w:rPr>
          <w:color w:val="1F3864" w:themeColor="accent1" w:themeShade="80"/>
          <w:sz w:val="20"/>
          <w:szCs w:val="20"/>
        </w:rPr>
      </w:pPr>
      <w:r w:rsidRPr="00266F2F">
        <w:rPr>
          <w:rFonts w:eastAsia="Times New Roman"/>
          <w:color w:val="1F3864" w:themeColor="accent1" w:themeShade="80"/>
        </w:rPr>
        <w:t>Podle příčiny vzniku:</w:t>
      </w:r>
    </w:p>
    <w:p w14:paraId="1BA1DA14" w14:textId="77777777" w:rsidR="008E4ABB" w:rsidRPr="008E4ABB" w:rsidRDefault="008E4ABB" w:rsidP="00236AA9">
      <w:pPr>
        <w:tabs>
          <w:tab w:val="left" w:pos="703"/>
        </w:tabs>
        <w:ind w:left="709" w:hanging="283"/>
        <w:rPr>
          <w:sz w:val="20"/>
          <w:szCs w:val="20"/>
        </w:rPr>
      </w:pPr>
      <w:r w:rsidRPr="008E4ABB">
        <w:rPr>
          <w:rFonts w:eastAsia="Times New Roman"/>
          <w:b/>
          <w:bCs/>
          <w:szCs w:val="24"/>
        </w:rPr>
        <w:t>a)</w:t>
      </w:r>
      <w:r w:rsidRPr="008E4ABB">
        <w:rPr>
          <w:sz w:val="20"/>
          <w:szCs w:val="20"/>
        </w:rPr>
        <w:tab/>
      </w:r>
      <w:r w:rsidRPr="008E4ABB">
        <w:rPr>
          <w:rFonts w:eastAsia="Times New Roman"/>
          <w:b/>
          <w:bCs/>
          <w:sz w:val="23"/>
          <w:szCs w:val="23"/>
        </w:rPr>
        <w:t>Poptávková inflace</w:t>
      </w:r>
    </w:p>
    <w:p w14:paraId="2B37F108" w14:textId="77777777" w:rsidR="008E4ABB" w:rsidRPr="008E4ABB" w:rsidRDefault="008E4ABB" w:rsidP="00A44047">
      <w:pPr>
        <w:spacing w:line="358" w:lineRule="auto"/>
        <w:ind w:left="426" w:firstLine="716"/>
        <w:rPr>
          <w:rFonts w:eastAsia="Times New Roman"/>
          <w:szCs w:val="24"/>
        </w:rPr>
      </w:pPr>
      <w:r w:rsidRPr="008E4ABB">
        <w:rPr>
          <w:rFonts w:eastAsia="Times New Roman"/>
          <w:szCs w:val="24"/>
        </w:rPr>
        <w:t>Zdrojem poptávkové inflace je nadměrný růst agregátní poptávky (jinými slovy – zvýšení některé složky agregátních výdajů - domácnosti, firmy a vláda chtějí více utrácet) při stejném objemu agregátní nabídky. Příčinou poptávkové inflace může být schodek státního rozpočtu, investiční boom, snížení sazeb daní, vyšší ceny dovozního zboží. Poptávková inflace může vést k nebezpečné inflační spirále.</w:t>
      </w:r>
    </w:p>
    <w:p w14:paraId="1C26897D" w14:textId="5ED1C78B" w:rsidR="008E4ABB" w:rsidRPr="008E4ABB" w:rsidRDefault="008E4ABB" w:rsidP="00A44047">
      <w:pPr>
        <w:spacing w:line="358" w:lineRule="auto"/>
        <w:ind w:left="426" w:firstLine="716"/>
        <w:rPr>
          <w:sz w:val="20"/>
          <w:szCs w:val="20"/>
        </w:rPr>
      </w:pPr>
      <w:r w:rsidRPr="008E4ABB">
        <w:rPr>
          <w:rFonts w:eastAsia="Times New Roman"/>
          <w:szCs w:val="24"/>
        </w:rPr>
        <w:t>Když zůstane stejná nabídka peněz, rostoucí např. investice jsou potlačeny. Ale pokud CB zvýší peněžní zásobu – akomoduje poptávku zvýšením peněžní zásoby – nastane inflace. Jenže banka neumí rozlišit, jaký je správný růst peněz a měl by růst stejně jako potenciální produkt. Může vzniknout hyperinflace, když vláda není schopná krýt své výdaje a tiskne peníze.</w:t>
      </w:r>
    </w:p>
    <w:p w14:paraId="0D754220" w14:textId="77777777" w:rsidR="008E4ABB" w:rsidRPr="008E4ABB" w:rsidRDefault="008E4ABB" w:rsidP="008E4ABB">
      <w:pPr>
        <w:spacing w:line="3" w:lineRule="exact"/>
        <w:rPr>
          <w:sz w:val="20"/>
          <w:szCs w:val="20"/>
        </w:rPr>
      </w:pPr>
    </w:p>
    <w:p w14:paraId="66768490" w14:textId="77777777" w:rsidR="008E4ABB" w:rsidRPr="008E4ABB" w:rsidRDefault="008E4ABB" w:rsidP="008E4ABB">
      <w:pPr>
        <w:spacing w:line="240" w:lineRule="auto"/>
        <w:jc w:val="left"/>
        <w:rPr>
          <w:rFonts w:eastAsia="Times New Roman"/>
          <w:b/>
          <w:bCs/>
          <w:szCs w:val="24"/>
        </w:rPr>
      </w:pPr>
      <w:r w:rsidRPr="008E4ABB">
        <w:rPr>
          <w:rFonts w:eastAsia="Times New Roman"/>
          <w:b/>
          <w:bCs/>
          <w:szCs w:val="24"/>
        </w:rPr>
        <w:br w:type="page"/>
      </w:r>
    </w:p>
    <w:p w14:paraId="6BC87854" w14:textId="2D192E93" w:rsidR="008E4ABB" w:rsidRPr="008E4ABB" w:rsidRDefault="008E4ABB" w:rsidP="00236AA9">
      <w:pPr>
        <w:ind w:left="709" w:hanging="283"/>
        <w:rPr>
          <w:sz w:val="20"/>
          <w:szCs w:val="20"/>
        </w:rPr>
      </w:pPr>
      <w:r w:rsidRPr="008E4ABB">
        <w:rPr>
          <w:rFonts w:eastAsia="Times New Roman"/>
          <w:b/>
          <w:bCs/>
          <w:szCs w:val="24"/>
        </w:rPr>
        <w:lastRenderedPageBreak/>
        <w:t>b)</w:t>
      </w:r>
      <w:r w:rsidR="003376E1">
        <w:rPr>
          <w:rFonts w:eastAsia="Times New Roman"/>
          <w:b/>
          <w:bCs/>
          <w:szCs w:val="24"/>
        </w:rPr>
        <w:t xml:space="preserve"> </w:t>
      </w:r>
      <w:r w:rsidRPr="008E4ABB">
        <w:rPr>
          <w:rFonts w:eastAsia="Times New Roman"/>
          <w:b/>
          <w:bCs/>
          <w:szCs w:val="24"/>
        </w:rPr>
        <w:t>Nabídková (nákladová) inflace</w:t>
      </w:r>
    </w:p>
    <w:p w14:paraId="04BD1D90" w14:textId="67FFDAE3" w:rsidR="008E4ABB" w:rsidRPr="008E4ABB" w:rsidRDefault="008E4ABB" w:rsidP="00A44047">
      <w:pPr>
        <w:spacing w:line="362" w:lineRule="auto"/>
        <w:ind w:left="426" w:firstLine="716"/>
        <w:rPr>
          <w:rFonts w:eastAsia="Times New Roman"/>
          <w:szCs w:val="24"/>
        </w:rPr>
      </w:pPr>
      <w:r w:rsidRPr="008E4ABB">
        <w:rPr>
          <w:rFonts w:eastAsia="Times New Roman"/>
          <w:szCs w:val="24"/>
        </w:rPr>
        <w:t xml:space="preserve">Impuls ke zvyšování cen je na straně agregátní nabídky. Typickým </w:t>
      </w:r>
      <w:r w:rsidRPr="008E4ABB">
        <w:rPr>
          <w:rFonts w:eastAsia="Times New Roman"/>
          <w:b/>
          <w:bCs/>
          <w:szCs w:val="24"/>
        </w:rPr>
        <w:t>příkladem je zvýšení cen</w:t>
      </w:r>
      <w:r w:rsidRPr="008E4ABB">
        <w:rPr>
          <w:rFonts w:eastAsia="Times New Roman"/>
          <w:szCs w:val="24"/>
        </w:rPr>
        <w:t xml:space="preserve"> </w:t>
      </w:r>
      <w:r w:rsidRPr="008E4ABB">
        <w:rPr>
          <w:rFonts w:eastAsia="Times New Roman"/>
          <w:b/>
          <w:bCs/>
          <w:szCs w:val="24"/>
        </w:rPr>
        <w:t xml:space="preserve">nabídky v důsledku zdražení vstupů do výroby </w:t>
      </w:r>
      <w:r w:rsidRPr="008E4ABB">
        <w:rPr>
          <w:rFonts w:eastAsia="Times New Roman"/>
          <w:szCs w:val="24"/>
        </w:rPr>
        <w:t xml:space="preserve">(materiálů, energií, kapitálu atd.), nebo </w:t>
      </w:r>
      <w:r w:rsidRPr="008E4ABB">
        <w:rPr>
          <w:rFonts w:eastAsia="Times New Roman"/>
          <w:b/>
          <w:szCs w:val="24"/>
        </w:rPr>
        <w:t>zvýšení ceny některé základní suroviny</w:t>
      </w:r>
      <w:r w:rsidRPr="008E4ABB">
        <w:rPr>
          <w:rFonts w:eastAsia="Times New Roman"/>
          <w:szCs w:val="24"/>
        </w:rPr>
        <w:t xml:space="preserve"> (ropy). To se potom přenese výrobcům do nákladů a rostou všechny ceny. Vzniká nezaměstnanost. Pokud klesnou mzdy i ostatní ceny, inflace se nevyskytne. Ale pokud centrální banka mzdový šok akomoduje, zvýší peněžní zásobu. </w:t>
      </w:r>
      <w:r w:rsidR="000506FA" w:rsidRPr="008E4ABB">
        <w:rPr>
          <w:rFonts w:eastAsia="Times New Roman"/>
          <w:szCs w:val="24"/>
        </w:rPr>
        <w:t>Zvýší</w:t>
      </w:r>
      <w:r w:rsidRPr="008E4ABB">
        <w:rPr>
          <w:rFonts w:eastAsia="Times New Roman"/>
          <w:szCs w:val="24"/>
        </w:rPr>
        <w:t xml:space="preserve"> se AD. Zvláštním případem je setrvačná inflace, kdy už pouhé očekávání výrobců, že ceny půjdou nahoru, vede ke zvyšování cen (řada z nich má uzavřené kontrakty na půl roku dopředu a více, nejsou schopni pružně reagovat na vývoj cen, proto raději do kalkulace cen připočtou inflační očekávání.</w:t>
      </w:r>
      <w:bookmarkStart w:id="149" w:name="page146"/>
      <w:bookmarkEnd w:id="149"/>
    </w:p>
    <w:p w14:paraId="6623D847" w14:textId="77777777" w:rsidR="008E4ABB" w:rsidRPr="008E4ABB" w:rsidRDefault="008E4ABB" w:rsidP="00F47DAD">
      <w:pPr>
        <w:pStyle w:val="Nadpis4"/>
        <w:rPr>
          <w:sz w:val="20"/>
          <w:szCs w:val="20"/>
        </w:rPr>
      </w:pPr>
      <w:r w:rsidRPr="008E4ABB">
        <w:rPr>
          <w:rFonts w:eastAsia="Times New Roman"/>
        </w:rPr>
        <w:t>Podle vlivu na relativní ceny:</w:t>
      </w:r>
    </w:p>
    <w:p w14:paraId="082D1A20" w14:textId="77777777" w:rsidR="008E4ABB" w:rsidRPr="008E4ABB" w:rsidRDefault="008E4ABB" w:rsidP="00270319">
      <w:pPr>
        <w:numPr>
          <w:ilvl w:val="0"/>
          <w:numId w:val="143"/>
        </w:numPr>
        <w:tabs>
          <w:tab w:val="left" w:pos="844"/>
        </w:tabs>
        <w:spacing w:line="358" w:lineRule="auto"/>
        <w:ind w:left="709" w:hanging="283"/>
        <w:rPr>
          <w:rFonts w:eastAsia="Times New Roman"/>
          <w:b/>
          <w:bCs/>
          <w:szCs w:val="24"/>
        </w:rPr>
      </w:pPr>
      <w:r w:rsidRPr="008E4ABB">
        <w:rPr>
          <w:rFonts w:eastAsia="Times New Roman"/>
          <w:b/>
          <w:bCs/>
          <w:szCs w:val="24"/>
        </w:rPr>
        <w:t xml:space="preserve">vyrovnaná – </w:t>
      </w:r>
      <w:r w:rsidRPr="008E4ABB">
        <w:rPr>
          <w:rFonts w:eastAsia="Times New Roman"/>
          <w:szCs w:val="24"/>
        </w:rPr>
        <w:t>nemění relativní ceny zboží a služeb, neboli ceny všeho zboží a</w:t>
      </w:r>
      <w:r w:rsidRPr="008E4ABB">
        <w:rPr>
          <w:rFonts w:eastAsia="Times New Roman"/>
          <w:b/>
          <w:bCs/>
          <w:szCs w:val="24"/>
        </w:rPr>
        <w:t xml:space="preserve"> </w:t>
      </w:r>
      <w:r w:rsidRPr="008E4ABB">
        <w:rPr>
          <w:rFonts w:eastAsia="Times New Roman"/>
          <w:szCs w:val="24"/>
        </w:rPr>
        <w:t>služeb rostou stejným tempem (málo reálné)</w:t>
      </w:r>
    </w:p>
    <w:p w14:paraId="454FFA8B" w14:textId="77777777" w:rsidR="008E4ABB" w:rsidRPr="008E4ABB" w:rsidRDefault="008E4ABB" w:rsidP="00236AA9">
      <w:pPr>
        <w:spacing w:line="2" w:lineRule="exact"/>
        <w:ind w:left="709" w:hanging="283"/>
        <w:rPr>
          <w:rFonts w:eastAsia="Times New Roman"/>
          <w:b/>
          <w:bCs/>
          <w:szCs w:val="24"/>
        </w:rPr>
      </w:pPr>
    </w:p>
    <w:p w14:paraId="284B73D3" w14:textId="77777777" w:rsidR="008E4ABB" w:rsidRPr="008E4ABB" w:rsidRDefault="008E4ABB" w:rsidP="00270319">
      <w:pPr>
        <w:numPr>
          <w:ilvl w:val="0"/>
          <w:numId w:val="143"/>
        </w:numPr>
        <w:tabs>
          <w:tab w:val="left" w:pos="844"/>
        </w:tabs>
        <w:ind w:left="709" w:hanging="283"/>
        <w:rPr>
          <w:rFonts w:eastAsia="Times New Roman"/>
          <w:b/>
          <w:bCs/>
          <w:szCs w:val="24"/>
        </w:rPr>
      </w:pPr>
      <w:r w:rsidRPr="008E4ABB">
        <w:rPr>
          <w:rFonts w:eastAsia="Times New Roman"/>
          <w:b/>
          <w:bCs/>
          <w:szCs w:val="24"/>
        </w:rPr>
        <w:t>nevyrovnaná</w:t>
      </w:r>
    </w:p>
    <w:p w14:paraId="71A72A82" w14:textId="77777777" w:rsidR="008E4ABB" w:rsidRPr="008E4ABB" w:rsidRDefault="008E4ABB" w:rsidP="008E4ABB">
      <w:pPr>
        <w:spacing w:line="200" w:lineRule="exact"/>
        <w:rPr>
          <w:sz w:val="20"/>
          <w:szCs w:val="20"/>
        </w:rPr>
      </w:pPr>
    </w:p>
    <w:p w14:paraId="3516BAA8" w14:textId="77777777" w:rsidR="008E4ABB" w:rsidRPr="004B6CDE" w:rsidRDefault="008E4ABB" w:rsidP="00236AA9">
      <w:pPr>
        <w:pStyle w:val="Nadpis2"/>
        <w:rPr>
          <w:color w:val="1F3864" w:themeColor="accent1" w:themeShade="80"/>
          <w:sz w:val="20"/>
          <w:szCs w:val="20"/>
        </w:rPr>
      </w:pPr>
      <w:r w:rsidRPr="004B6CDE">
        <w:rPr>
          <w:rFonts w:eastAsia="Times New Roman"/>
          <w:color w:val="1F3864" w:themeColor="accent1" w:themeShade="80"/>
        </w:rPr>
        <w:t>CÍLOVÁNÍ INFLACE</w:t>
      </w:r>
    </w:p>
    <w:p w14:paraId="44039B91" w14:textId="77777777" w:rsidR="008E4ABB" w:rsidRPr="00236AA9" w:rsidRDefault="008E4ABB" w:rsidP="00A44047">
      <w:pPr>
        <w:spacing w:line="358" w:lineRule="auto"/>
        <w:ind w:left="4" w:right="100" w:firstLine="716"/>
        <w:rPr>
          <w:rFonts w:eastAsia="Times New Roman"/>
          <w:sz w:val="31"/>
          <w:szCs w:val="31"/>
          <w:vertAlign w:val="superscript"/>
        </w:rPr>
      </w:pPr>
      <w:r w:rsidRPr="008E4ABB">
        <w:rPr>
          <w:rFonts w:eastAsia="Times New Roman"/>
          <w:szCs w:val="24"/>
        </w:rPr>
        <w:t xml:space="preserve">Cílování inflace je jedním z režimů MP CB. Cílování inflace (neboli inflační cílování) znamená, že si CB jako svůj dlouhodobý cíl vytyčí určitou míru inflace a tu se snaží uskutečnit. Inflační cíl CB se může stát účinným nástrojem k formování racionálních inflačních očekávání. CB s jistým předstihem veřejně vyhlásí inflační cíl (či posloupnost cílů), o jehož dosažení bude usilovat. Jedná se o aktivní a přímé formování inflačních očekávání. </w:t>
      </w:r>
      <w:r w:rsidRPr="00236AA9">
        <w:rPr>
          <w:rFonts w:eastAsia="Times New Roman"/>
          <w:szCs w:val="24"/>
        </w:rPr>
        <w:t>Tento režim zahrnuje do svého rozhodovacího schématu podstatně větší množství informací než jen měnový kurz nebo peněžní agregáty, např. i trh práce, dovozní ceny, ceny výrobců, mezeru výstupu, nominální a reálné úrokové sazby, nominální a reálný měnový kurz, hospodaření veřejných rozpočtů apod.</w:t>
      </w:r>
    </w:p>
    <w:p w14:paraId="5973F007" w14:textId="77777777" w:rsidR="008E4ABB" w:rsidRPr="00236AA9" w:rsidRDefault="008E4ABB" w:rsidP="008E4ABB">
      <w:pPr>
        <w:spacing w:line="370" w:lineRule="auto"/>
        <w:ind w:left="4" w:right="20"/>
        <w:rPr>
          <w:i/>
          <w:iCs/>
        </w:rPr>
      </w:pPr>
      <w:r w:rsidRPr="00236AA9">
        <w:rPr>
          <w:i/>
          <w:iCs/>
        </w:rPr>
        <w:t>Důvody zavedení cílování inflace:</w:t>
      </w:r>
    </w:p>
    <w:p w14:paraId="4FCC1B07" w14:textId="77777777" w:rsidR="008E4ABB" w:rsidRPr="00236AA9" w:rsidRDefault="008E4ABB" w:rsidP="00270319">
      <w:pPr>
        <w:numPr>
          <w:ilvl w:val="0"/>
          <w:numId w:val="152"/>
        </w:numPr>
        <w:tabs>
          <w:tab w:val="left" w:pos="1424"/>
        </w:tabs>
        <w:ind w:left="1418" w:hanging="284"/>
        <w:rPr>
          <w:rFonts w:eastAsia="Arial"/>
          <w:szCs w:val="24"/>
        </w:rPr>
      </w:pPr>
      <w:r w:rsidRPr="00236AA9">
        <w:rPr>
          <w:rFonts w:eastAsia="Times New Roman"/>
          <w:b/>
          <w:szCs w:val="24"/>
        </w:rPr>
        <w:t>rok 1998</w:t>
      </w:r>
    </w:p>
    <w:p w14:paraId="6435B741" w14:textId="77777777" w:rsidR="008E4ABB" w:rsidRPr="008E4ABB" w:rsidRDefault="008E4ABB" w:rsidP="00270319">
      <w:pPr>
        <w:numPr>
          <w:ilvl w:val="0"/>
          <w:numId w:val="152"/>
        </w:numPr>
        <w:tabs>
          <w:tab w:val="left" w:pos="1424"/>
        </w:tabs>
        <w:ind w:left="1418" w:hanging="284"/>
        <w:rPr>
          <w:rFonts w:eastAsia="Arial"/>
          <w:szCs w:val="24"/>
        </w:rPr>
      </w:pPr>
      <w:r w:rsidRPr="00236AA9">
        <w:rPr>
          <w:rFonts w:eastAsia="Times New Roman"/>
          <w:b/>
          <w:szCs w:val="24"/>
        </w:rPr>
        <w:t xml:space="preserve">Přechod od fixního </w:t>
      </w:r>
      <w:r w:rsidRPr="008E4ABB">
        <w:rPr>
          <w:rFonts w:eastAsia="Times New Roman"/>
          <w:b/>
          <w:szCs w:val="24"/>
        </w:rPr>
        <w:t>k plovoucímu měnovému kurzu</w:t>
      </w:r>
    </w:p>
    <w:p w14:paraId="7BC41F09" w14:textId="77777777" w:rsidR="008E4ABB" w:rsidRPr="008E4ABB" w:rsidRDefault="008E4ABB" w:rsidP="00270319">
      <w:pPr>
        <w:numPr>
          <w:ilvl w:val="0"/>
          <w:numId w:val="152"/>
        </w:numPr>
        <w:tabs>
          <w:tab w:val="left" w:pos="1424"/>
        </w:tabs>
        <w:ind w:left="1418" w:hanging="284"/>
        <w:rPr>
          <w:rFonts w:eastAsia="Arial"/>
          <w:szCs w:val="24"/>
        </w:rPr>
      </w:pPr>
      <w:r w:rsidRPr="008E4ABB">
        <w:rPr>
          <w:rFonts w:eastAsia="Times New Roman"/>
          <w:b/>
          <w:szCs w:val="24"/>
        </w:rPr>
        <w:t>Selhání dosud používaných transmisních mechanismů</w:t>
      </w:r>
      <w:r w:rsidRPr="008E4ABB">
        <w:rPr>
          <w:rFonts w:eastAsia="Times New Roman"/>
          <w:szCs w:val="24"/>
        </w:rPr>
        <w:t xml:space="preserve"> (hlavně z důvodu nestability peněžního multiplikátoru)</w:t>
      </w:r>
    </w:p>
    <w:p w14:paraId="2DE7A816" w14:textId="77777777" w:rsidR="008E4ABB" w:rsidRPr="008E4ABB" w:rsidRDefault="008E4ABB" w:rsidP="008E4ABB">
      <w:pPr>
        <w:spacing w:line="336" w:lineRule="exact"/>
        <w:rPr>
          <w:sz w:val="20"/>
          <w:szCs w:val="20"/>
        </w:rPr>
      </w:pPr>
    </w:p>
    <w:p w14:paraId="2B282BBC" w14:textId="77777777" w:rsidR="008E4ABB" w:rsidRPr="008E4ABB" w:rsidRDefault="008E4ABB" w:rsidP="008E4ABB">
      <w:pPr>
        <w:spacing w:line="240" w:lineRule="auto"/>
        <w:jc w:val="left"/>
        <w:rPr>
          <w:rFonts w:eastAsia="Times New Roman"/>
          <w:b/>
          <w:bCs/>
          <w:color w:val="CC3399"/>
          <w:sz w:val="32"/>
          <w:szCs w:val="32"/>
        </w:rPr>
      </w:pPr>
      <w:r w:rsidRPr="008E4ABB">
        <w:rPr>
          <w:rFonts w:eastAsia="Times New Roman"/>
          <w:b/>
          <w:bCs/>
          <w:color w:val="CC3399"/>
          <w:sz w:val="32"/>
          <w:szCs w:val="32"/>
        </w:rPr>
        <w:br w:type="page"/>
      </w:r>
    </w:p>
    <w:p w14:paraId="3F2299AC" w14:textId="77777777" w:rsidR="008E4ABB" w:rsidRPr="00266F2F" w:rsidRDefault="008E4ABB" w:rsidP="00236AA9">
      <w:pPr>
        <w:pStyle w:val="Nadpis2"/>
        <w:rPr>
          <w:color w:val="1F3864" w:themeColor="accent1" w:themeShade="80"/>
          <w:sz w:val="20"/>
          <w:szCs w:val="20"/>
        </w:rPr>
      </w:pPr>
      <w:r w:rsidRPr="00266F2F">
        <w:rPr>
          <w:rFonts w:eastAsia="Times New Roman"/>
          <w:color w:val="1F3864" w:themeColor="accent1" w:themeShade="80"/>
        </w:rPr>
        <w:lastRenderedPageBreak/>
        <w:t>MĚŘENÍ INFLACE</w:t>
      </w:r>
    </w:p>
    <w:p w14:paraId="2D6E352D" w14:textId="77777777" w:rsidR="008E4ABB" w:rsidRPr="00266F2F" w:rsidRDefault="008E4ABB" w:rsidP="00F47DAD">
      <w:pPr>
        <w:pStyle w:val="Nadpis3"/>
        <w:rPr>
          <w:color w:val="1F3864" w:themeColor="accent1" w:themeShade="80"/>
          <w:sz w:val="20"/>
          <w:szCs w:val="20"/>
        </w:rPr>
      </w:pPr>
      <w:r w:rsidRPr="00266F2F">
        <w:rPr>
          <w:rFonts w:eastAsia="Times New Roman"/>
          <w:color w:val="1F3864" w:themeColor="accent1" w:themeShade="80"/>
        </w:rPr>
        <w:t>Index spotřebitelských cen (CPI)</w:t>
      </w:r>
    </w:p>
    <w:p w14:paraId="77FAC314" w14:textId="4F34D53E" w:rsidR="008E4ABB" w:rsidRPr="008E4ABB" w:rsidRDefault="008E4ABB" w:rsidP="00A44047">
      <w:pPr>
        <w:ind w:left="4" w:firstLine="720"/>
        <w:rPr>
          <w:sz w:val="20"/>
          <w:szCs w:val="20"/>
        </w:rPr>
      </w:pPr>
      <w:r w:rsidRPr="008E4ABB">
        <w:rPr>
          <w:rFonts w:eastAsia="Times New Roman"/>
        </w:rPr>
        <w:t xml:space="preserve">Tento index vyjadřuje změnu cen vybraného koše </w:t>
      </w:r>
      <w:r w:rsidR="000506FA" w:rsidRPr="008E4ABB">
        <w:rPr>
          <w:rFonts w:eastAsia="Times New Roman"/>
        </w:rPr>
        <w:t>výrobků. Koš</w:t>
      </w:r>
      <w:r w:rsidRPr="008E4ABB">
        <w:rPr>
          <w:rFonts w:eastAsia="Times New Roman"/>
        </w:rPr>
        <w:t xml:space="preserve"> je sestavován Českým statistickým úřadem. Tvoří ho přibližně 730 položek. Součástí jsou jak potraviny, tak nepotravinářské zboží (oděvy, nábytek, drogistické zboží,…) a služby. Nevýhodou tohoto</w:t>
      </w:r>
      <w:bookmarkStart w:id="150" w:name="page147"/>
      <w:bookmarkEnd w:id="150"/>
      <w:r w:rsidRPr="008E4ABB">
        <w:rPr>
          <w:sz w:val="20"/>
          <w:szCs w:val="20"/>
        </w:rPr>
        <w:t xml:space="preserve"> </w:t>
      </w:r>
      <w:r w:rsidRPr="008E4ABB">
        <w:rPr>
          <w:rFonts w:eastAsia="Times New Roman"/>
          <w:szCs w:val="24"/>
        </w:rPr>
        <w:t>měření je, že struktura koše zůstává po několik let neměnná. Ve skutečnosti se struktura koše u spotřebitelů velice rychle mění.</w:t>
      </w:r>
    </w:p>
    <w:p w14:paraId="6A1ADE42" w14:textId="77777777" w:rsidR="008E4ABB" w:rsidRPr="008E4ABB" w:rsidRDefault="008E4ABB" w:rsidP="008E4ABB">
      <w:pPr>
        <w:spacing w:line="390" w:lineRule="auto"/>
        <w:ind w:left="4"/>
        <w:rPr>
          <w:sz w:val="20"/>
          <w:szCs w:val="20"/>
        </w:rPr>
      </w:pPr>
      <w:r w:rsidRPr="008E4ABB">
        <w:rPr>
          <w:rFonts w:eastAsia="Times New Roman"/>
          <w:szCs w:val="24"/>
        </w:rPr>
        <w:t>Výpočet hodnoty indexu spotřebitelských cen jen počítán pomocí Laspeyresova cenového indexu, index cen v každé skupině násobíme váhou této skupiny ve spotřebním koši – indexy se pak sečtou</w:t>
      </w:r>
    </w:p>
    <w:p w14:paraId="23CD7DE5" w14:textId="77777777" w:rsidR="008E4ABB" w:rsidRPr="008E4ABB" w:rsidRDefault="008E4ABB" w:rsidP="008E4ABB">
      <w:pPr>
        <w:spacing w:line="20" w:lineRule="exact"/>
        <w:rPr>
          <w:sz w:val="20"/>
          <w:szCs w:val="20"/>
        </w:rPr>
      </w:pPr>
      <w:r w:rsidRPr="008E4ABB">
        <w:rPr>
          <w:noProof/>
          <w:sz w:val="20"/>
          <w:szCs w:val="20"/>
        </w:rPr>
        <w:drawing>
          <wp:anchor distT="0" distB="0" distL="114300" distR="114300" simplePos="0" relativeHeight="251744768" behindDoc="1" locked="0" layoutInCell="0" allowOverlap="1" wp14:anchorId="010090D6" wp14:editId="1920853B">
            <wp:simplePos x="0" y="0"/>
            <wp:positionH relativeFrom="column">
              <wp:posOffset>719455</wp:posOffset>
            </wp:positionH>
            <wp:positionV relativeFrom="paragraph">
              <wp:posOffset>-32385</wp:posOffset>
            </wp:positionV>
            <wp:extent cx="1871345" cy="82931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a:srcRect/>
                    <a:stretch>
                      <a:fillRect/>
                    </a:stretch>
                  </pic:blipFill>
                  <pic:spPr bwMode="auto">
                    <a:xfrm>
                      <a:off x="0" y="0"/>
                      <a:ext cx="1871345" cy="829310"/>
                    </a:xfrm>
                    <a:prstGeom prst="rect">
                      <a:avLst/>
                    </a:prstGeom>
                    <a:noFill/>
                  </pic:spPr>
                </pic:pic>
              </a:graphicData>
            </a:graphic>
          </wp:anchor>
        </w:drawing>
      </w:r>
    </w:p>
    <w:p w14:paraId="1D636D98" w14:textId="77777777" w:rsidR="008E4ABB" w:rsidRPr="008E4ABB" w:rsidRDefault="008E4ABB" w:rsidP="008E4ABB">
      <w:pPr>
        <w:spacing w:line="200" w:lineRule="exact"/>
        <w:rPr>
          <w:sz w:val="20"/>
          <w:szCs w:val="20"/>
        </w:rPr>
      </w:pPr>
    </w:p>
    <w:p w14:paraId="0A702AED" w14:textId="77777777" w:rsidR="008E4ABB" w:rsidRPr="008E4ABB" w:rsidRDefault="008E4ABB" w:rsidP="008E4ABB">
      <w:pPr>
        <w:spacing w:line="200" w:lineRule="exact"/>
        <w:rPr>
          <w:sz w:val="20"/>
          <w:szCs w:val="20"/>
        </w:rPr>
      </w:pPr>
    </w:p>
    <w:p w14:paraId="0C2B7D40" w14:textId="77777777" w:rsidR="008E4ABB" w:rsidRPr="008E4ABB" w:rsidRDefault="008E4ABB" w:rsidP="008E4ABB">
      <w:pPr>
        <w:spacing w:line="200" w:lineRule="exact"/>
        <w:rPr>
          <w:sz w:val="20"/>
          <w:szCs w:val="20"/>
        </w:rPr>
      </w:pPr>
    </w:p>
    <w:p w14:paraId="7B70A7BC" w14:textId="77777777" w:rsidR="008E4ABB" w:rsidRPr="008E4ABB" w:rsidRDefault="008E4ABB" w:rsidP="008E4ABB">
      <w:pPr>
        <w:spacing w:line="200" w:lineRule="exact"/>
        <w:rPr>
          <w:sz w:val="20"/>
          <w:szCs w:val="20"/>
        </w:rPr>
      </w:pPr>
    </w:p>
    <w:p w14:paraId="2BDFCCF0" w14:textId="77777777" w:rsidR="008E4ABB" w:rsidRPr="008E4ABB" w:rsidRDefault="008E4ABB" w:rsidP="008E4ABB">
      <w:pPr>
        <w:spacing w:line="200" w:lineRule="exact"/>
        <w:rPr>
          <w:sz w:val="20"/>
          <w:szCs w:val="20"/>
        </w:rPr>
      </w:pPr>
    </w:p>
    <w:p w14:paraId="43C5CD8F" w14:textId="77777777" w:rsidR="008E4ABB" w:rsidRPr="008E4ABB" w:rsidRDefault="008E4ABB" w:rsidP="008E4ABB">
      <w:pPr>
        <w:spacing w:line="353" w:lineRule="exact"/>
        <w:rPr>
          <w:sz w:val="20"/>
          <w:szCs w:val="20"/>
        </w:rPr>
      </w:pPr>
    </w:p>
    <w:p w14:paraId="166BAD89" w14:textId="397ADC20" w:rsidR="008E4ABB" w:rsidRPr="008E4ABB" w:rsidRDefault="008E4ABB" w:rsidP="00A44047">
      <w:pPr>
        <w:spacing w:line="374" w:lineRule="auto"/>
        <w:ind w:left="4" w:right="120" w:firstLine="716"/>
        <w:rPr>
          <w:rFonts w:eastAsia="Times New Roman"/>
          <w:szCs w:val="24"/>
        </w:rPr>
      </w:pPr>
      <w:r w:rsidRPr="008E4ABB">
        <w:rPr>
          <w:rFonts w:eastAsia="Times New Roman"/>
          <w:szCs w:val="24"/>
        </w:rPr>
        <w:t>V ČR se index spotřebitelských cen používá v souvislosti s valorizací mezd, důchodů a sociálních příjmů. Informace o indexu spotřebitelských cen jsou také využívány při uzavírání nájemních či jiných smluv, kde hodnota plnění je závislá na vývoji inflace.</w:t>
      </w:r>
    </w:p>
    <w:p w14:paraId="3BED184B" w14:textId="77777777" w:rsidR="008E4ABB" w:rsidRPr="008E4ABB" w:rsidRDefault="008E4ABB" w:rsidP="008E4ABB">
      <w:pPr>
        <w:spacing w:line="374" w:lineRule="auto"/>
        <w:ind w:left="4" w:right="120"/>
        <w:rPr>
          <w:szCs w:val="20"/>
        </w:rPr>
      </w:pPr>
      <w:r w:rsidRPr="008E4ABB">
        <w:rPr>
          <w:szCs w:val="20"/>
        </w:rPr>
        <w:t>V lednu 2020 byl meziroční růst inflace v ČR 3,6 %.</w:t>
      </w:r>
    </w:p>
    <w:p w14:paraId="11C9BF94" w14:textId="77777777" w:rsidR="008E4ABB" w:rsidRPr="008E4ABB" w:rsidRDefault="008E4ABB" w:rsidP="008E4ABB">
      <w:pPr>
        <w:spacing w:line="182" w:lineRule="exact"/>
        <w:rPr>
          <w:sz w:val="20"/>
          <w:szCs w:val="20"/>
        </w:rPr>
      </w:pPr>
    </w:p>
    <w:p w14:paraId="03C74B70" w14:textId="77777777" w:rsidR="008E4ABB" w:rsidRPr="00266F2F" w:rsidRDefault="008E4ABB" w:rsidP="00F47DAD">
      <w:pPr>
        <w:pStyle w:val="Nadpis3"/>
        <w:rPr>
          <w:color w:val="1F3864" w:themeColor="accent1" w:themeShade="80"/>
          <w:sz w:val="20"/>
          <w:szCs w:val="20"/>
        </w:rPr>
      </w:pPr>
      <w:r w:rsidRPr="00266F2F">
        <w:rPr>
          <w:rFonts w:eastAsia="Times New Roman"/>
          <w:color w:val="1F3864" w:themeColor="accent1" w:themeShade="80"/>
        </w:rPr>
        <w:t>Index cen výrobců (PPI)</w:t>
      </w:r>
    </w:p>
    <w:p w14:paraId="0FA5C3C9" w14:textId="77777777" w:rsidR="008E4ABB" w:rsidRPr="008E4ABB" w:rsidRDefault="008E4ABB" w:rsidP="00A44047">
      <w:pPr>
        <w:spacing w:line="328" w:lineRule="auto"/>
        <w:ind w:left="4" w:right="60" w:firstLine="716"/>
        <w:rPr>
          <w:sz w:val="20"/>
          <w:szCs w:val="20"/>
        </w:rPr>
      </w:pPr>
      <w:r w:rsidRPr="008E4ABB">
        <w:rPr>
          <w:rFonts w:eastAsia="Times New Roman"/>
          <w:szCs w:val="24"/>
        </w:rPr>
        <w:t>Tento index vypovídá o konkurenceschopnosti výrobců a funguje na stejném principu, jako CPI. Český statistický úřad ho sestavuje pro různá odvětví, například průmyslový nebo zemědělský index cen výrobců. Index cen výrobců je důležitý ze dvou důvodů:</w:t>
      </w:r>
    </w:p>
    <w:p w14:paraId="65549D0E" w14:textId="77777777" w:rsidR="008E4ABB" w:rsidRPr="008E4ABB" w:rsidRDefault="008E4ABB" w:rsidP="008E4ABB">
      <w:pPr>
        <w:spacing w:line="2" w:lineRule="exact"/>
        <w:rPr>
          <w:sz w:val="20"/>
          <w:szCs w:val="20"/>
        </w:rPr>
      </w:pPr>
    </w:p>
    <w:p w14:paraId="7A1A1446" w14:textId="77777777" w:rsidR="008E4ABB" w:rsidRPr="008E4ABB" w:rsidRDefault="008E4ABB" w:rsidP="00270319">
      <w:pPr>
        <w:numPr>
          <w:ilvl w:val="0"/>
          <w:numId w:val="144"/>
        </w:numPr>
        <w:tabs>
          <w:tab w:val="left" w:pos="824"/>
        </w:tabs>
        <w:ind w:left="851" w:hanging="284"/>
        <w:rPr>
          <w:rFonts w:eastAsia="Times New Roman"/>
          <w:szCs w:val="24"/>
        </w:rPr>
      </w:pPr>
      <w:r w:rsidRPr="008E4ABB">
        <w:rPr>
          <w:rFonts w:eastAsia="Times New Roman"/>
          <w:szCs w:val="24"/>
        </w:rPr>
        <w:t>Je předzvěstí budoucího růstu spotřebitelských cen</w:t>
      </w:r>
    </w:p>
    <w:p w14:paraId="5588BABD" w14:textId="77777777" w:rsidR="008E4ABB" w:rsidRPr="008E4ABB" w:rsidRDefault="008E4ABB" w:rsidP="00270319">
      <w:pPr>
        <w:numPr>
          <w:ilvl w:val="0"/>
          <w:numId w:val="144"/>
        </w:numPr>
        <w:tabs>
          <w:tab w:val="left" w:pos="824"/>
        </w:tabs>
        <w:spacing w:after="240"/>
        <w:ind w:left="851" w:hanging="284"/>
        <w:rPr>
          <w:rFonts w:eastAsia="Times New Roman"/>
          <w:szCs w:val="24"/>
        </w:rPr>
      </w:pPr>
      <w:r w:rsidRPr="008E4ABB">
        <w:rPr>
          <w:rFonts w:eastAsia="Times New Roman"/>
          <w:szCs w:val="24"/>
        </w:rPr>
        <w:t>Vypovídá o konkurenceschopnosti domácích producentů v porovnání se zahraničními producenty.</w:t>
      </w:r>
    </w:p>
    <w:p w14:paraId="7970C17E" w14:textId="77777777" w:rsidR="008E4ABB" w:rsidRPr="008E4ABB" w:rsidRDefault="008E4ABB" w:rsidP="008E4ABB">
      <w:pPr>
        <w:spacing w:line="240" w:lineRule="auto"/>
        <w:jc w:val="left"/>
        <w:rPr>
          <w:rFonts w:eastAsia="Times New Roman" w:cstheme="majorBidi"/>
          <w:b/>
          <w:sz w:val="28"/>
          <w:szCs w:val="24"/>
        </w:rPr>
      </w:pPr>
      <w:r w:rsidRPr="008E4ABB">
        <w:rPr>
          <w:rFonts w:eastAsia="Times New Roman"/>
        </w:rPr>
        <w:br w:type="page"/>
      </w:r>
    </w:p>
    <w:p w14:paraId="75BC00FF" w14:textId="77777777" w:rsidR="008E4ABB" w:rsidRPr="00266F2F" w:rsidRDefault="008E4ABB" w:rsidP="00F47DAD">
      <w:pPr>
        <w:pStyle w:val="Nadpis3"/>
        <w:rPr>
          <w:color w:val="1F3864" w:themeColor="accent1" w:themeShade="80"/>
          <w:sz w:val="20"/>
          <w:szCs w:val="20"/>
        </w:rPr>
      </w:pPr>
      <w:r w:rsidRPr="00266F2F">
        <w:rPr>
          <w:rFonts w:eastAsia="Times New Roman"/>
          <w:color w:val="1F3864" w:themeColor="accent1" w:themeShade="80"/>
        </w:rPr>
        <w:lastRenderedPageBreak/>
        <w:t>Deflátor HDP</w:t>
      </w:r>
    </w:p>
    <w:p w14:paraId="51A73C07" w14:textId="58960E51" w:rsidR="008E4ABB" w:rsidRPr="00A44047" w:rsidRDefault="008E4ABB" w:rsidP="00A44047">
      <w:pPr>
        <w:ind w:left="4" w:right="60" w:firstLine="716"/>
        <w:rPr>
          <w:sz w:val="20"/>
          <w:szCs w:val="20"/>
        </w:rPr>
      </w:pPr>
      <w:r w:rsidRPr="008E4ABB">
        <w:rPr>
          <w:rFonts w:eastAsia="Times New Roman"/>
          <w:szCs w:val="24"/>
        </w:rPr>
        <w:t>Deflátor HDP vyjadřuje změnu cen veškerých statků, z nichž je složen hrubý domácí produkt. Cenový index je to na jednu stranu nejkomplexnější, na druhou stranu data o výši deflátoru HDP se zjišťují poměrně komplikovaně (z nejrůznějších firemních výkazů zasílaných statistickému úřadu) a mají několikaměsíční zpoždění. Pro nejrůznější typy rozhodování jsou navíc tato data poměrně nepraktická, protože mají příliš široký záběr (není zde například oddělen sektor domácností od sektoru firem).</w:t>
      </w:r>
      <w:r w:rsidR="00A44047">
        <w:rPr>
          <w:sz w:val="20"/>
          <w:szCs w:val="20"/>
        </w:rPr>
        <w:t xml:space="preserve"> </w:t>
      </w:r>
      <w:r w:rsidR="00A44047">
        <w:rPr>
          <w:rFonts w:eastAsia="Times New Roman"/>
          <w:szCs w:val="24"/>
        </w:rPr>
        <w:t>N</w:t>
      </w:r>
      <w:r w:rsidRPr="008E4ABB">
        <w:rPr>
          <w:rFonts w:eastAsia="Times New Roman"/>
          <w:szCs w:val="24"/>
        </w:rPr>
        <w:t xml:space="preserve">apř. je zbytečně zahrnut růst cen lokomotiv, </w:t>
      </w:r>
      <w:r w:rsidR="000506FA" w:rsidRPr="008E4ABB">
        <w:rPr>
          <w:rFonts w:eastAsia="Times New Roman"/>
          <w:szCs w:val="24"/>
        </w:rPr>
        <w:t>traktorů… jen</w:t>
      </w:r>
      <w:r w:rsidRPr="008E4ABB">
        <w:rPr>
          <w:rFonts w:eastAsia="Times New Roman"/>
          <w:szCs w:val="24"/>
        </w:rPr>
        <w:t xml:space="preserve"> spotřebitelských cen (když chceme vědět vliv na spotřebitele). </w:t>
      </w:r>
    </w:p>
    <w:p w14:paraId="17B6AF9D" w14:textId="3E0126C4" w:rsidR="008E4ABB" w:rsidRPr="008E4ABB" w:rsidRDefault="008E4ABB" w:rsidP="00A44047">
      <w:pPr>
        <w:ind w:firstLine="720"/>
        <w:rPr>
          <w:szCs w:val="24"/>
        </w:rPr>
      </w:pPr>
      <w:r w:rsidRPr="008E4ABB">
        <w:rPr>
          <w:szCs w:val="24"/>
        </w:rPr>
        <w:t>Výpočet: HDP běžného roku se ocení v cenách běžného roku a to se vydělí HDP v cenách minulého roku</w:t>
      </w:r>
      <w:bookmarkStart w:id="151" w:name="page148"/>
      <w:bookmarkEnd w:id="151"/>
      <w:r w:rsidR="00A44047">
        <w:rPr>
          <w:szCs w:val="24"/>
        </w:rPr>
        <w:t>.</w:t>
      </w:r>
    </w:p>
    <w:p w14:paraId="567BD00F" w14:textId="77777777" w:rsidR="008E4ABB" w:rsidRPr="008E4ABB" w:rsidRDefault="008E4ABB" w:rsidP="008E4ABB">
      <w:pPr>
        <w:spacing w:line="20" w:lineRule="exact"/>
        <w:rPr>
          <w:sz w:val="20"/>
          <w:szCs w:val="20"/>
        </w:rPr>
      </w:pPr>
    </w:p>
    <w:p w14:paraId="66E9A7DD" w14:textId="77777777" w:rsidR="008E4ABB" w:rsidRPr="008E4ABB" w:rsidRDefault="008E4ABB" w:rsidP="008E4ABB">
      <w:pPr>
        <w:spacing w:line="200" w:lineRule="exact"/>
        <w:rPr>
          <w:sz w:val="20"/>
          <w:szCs w:val="20"/>
        </w:rPr>
      </w:pPr>
      <w:r w:rsidRPr="008E4ABB">
        <w:rPr>
          <w:noProof/>
          <w:sz w:val="20"/>
          <w:szCs w:val="20"/>
        </w:rPr>
        <w:drawing>
          <wp:anchor distT="0" distB="0" distL="114300" distR="114300" simplePos="0" relativeHeight="251747840" behindDoc="1" locked="0" layoutInCell="0" allowOverlap="1" wp14:anchorId="414F8E6D" wp14:editId="0FA3F709">
            <wp:simplePos x="0" y="0"/>
            <wp:positionH relativeFrom="column">
              <wp:posOffset>355600</wp:posOffset>
            </wp:positionH>
            <wp:positionV relativeFrom="paragraph">
              <wp:posOffset>66674</wp:posOffset>
            </wp:positionV>
            <wp:extent cx="4152900" cy="2803383"/>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7"/>
                    <a:srcRect/>
                    <a:stretch>
                      <a:fillRect/>
                    </a:stretch>
                  </pic:blipFill>
                  <pic:spPr bwMode="auto">
                    <a:xfrm>
                      <a:off x="0" y="0"/>
                      <a:ext cx="4155405" cy="2805074"/>
                    </a:xfrm>
                    <a:prstGeom prst="rect">
                      <a:avLst/>
                    </a:prstGeom>
                    <a:noFill/>
                  </pic:spPr>
                </pic:pic>
              </a:graphicData>
            </a:graphic>
            <wp14:sizeRelH relativeFrom="margin">
              <wp14:pctWidth>0</wp14:pctWidth>
            </wp14:sizeRelH>
            <wp14:sizeRelV relativeFrom="margin">
              <wp14:pctHeight>0</wp14:pctHeight>
            </wp14:sizeRelV>
          </wp:anchor>
        </w:drawing>
      </w:r>
    </w:p>
    <w:p w14:paraId="2CD9B003" w14:textId="77777777" w:rsidR="008E4ABB" w:rsidRPr="008E4ABB" w:rsidRDefault="008E4ABB" w:rsidP="008E4ABB">
      <w:pPr>
        <w:spacing w:line="200" w:lineRule="exact"/>
        <w:rPr>
          <w:sz w:val="20"/>
          <w:szCs w:val="20"/>
        </w:rPr>
      </w:pPr>
    </w:p>
    <w:p w14:paraId="36423E0E" w14:textId="77777777" w:rsidR="008E4ABB" w:rsidRPr="008E4ABB" w:rsidRDefault="008E4ABB" w:rsidP="008E4ABB">
      <w:pPr>
        <w:spacing w:line="200" w:lineRule="exact"/>
        <w:rPr>
          <w:sz w:val="20"/>
          <w:szCs w:val="20"/>
        </w:rPr>
      </w:pPr>
    </w:p>
    <w:p w14:paraId="26536632" w14:textId="77777777" w:rsidR="008E4ABB" w:rsidRPr="008E4ABB" w:rsidRDefault="008E4ABB" w:rsidP="008E4ABB">
      <w:pPr>
        <w:spacing w:line="200" w:lineRule="exact"/>
        <w:rPr>
          <w:sz w:val="20"/>
          <w:szCs w:val="20"/>
        </w:rPr>
      </w:pPr>
    </w:p>
    <w:p w14:paraId="68844E19" w14:textId="77777777" w:rsidR="008E4ABB" w:rsidRPr="008E4ABB" w:rsidRDefault="008E4ABB" w:rsidP="008E4ABB">
      <w:pPr>
        <w:spacing w:line="200" w:lineRule="exact"/>
        <w:rPr>
          <w:sz w:val="20"/>
          <w:szCs w:val="20"/>
        </w:rPr>
      </w:pPr>
    </w:p>
    <w:p w14:paraId="36B50F4A" w14:textId="77777777" w:rsidR="008E4ABB" w:rsidRPr="008E4ABB" w:rsidRDefault="008E4ABB" w:rsidP="008E4ABB">
      <w:pPr>
        <w:spacing w:line="200" w:lineRule="exact"/>
        <w:rPr>
          <w:sz w:val="20"/>
          <w:szCs w:val="20"/>
        </w:rPr>
      </w:pPr>
    </w:p>
    <w:p w14:paraId="5B186D89" w14:textId="77777777" w:rsidR="008E4ABB" w:rsidRPr="008E4ABB" w:rsidRDefault="008E4ABB" w:rsidP="008E4ABB">
      <w:pPr>
        <w:spacing w:line="200" w:lineRule="exact"/>
        <w:rPr>
          <w:sz w:val="20"/>
          <w:szCs w:val="20"/>
        </w:rPr>
      </w:pPr>
    </w:p>
    <w:p w14:paraId="532F10F0" w14:textId="77777777" w:rsidR="008E4ABB" w:rsidRPr="008E4ABB" w:rsidRDefault="008E4ABB" w:rsidP="008E4ABB">
      <w:pPr>
        <w:spacing w:line="200" w:lineRule="exact"/>
        <w:rPr>
          <w:sz w:val="20"/>
          <w:szCs w:val="20"/>
        </w:rPr>
      </w:pPr>
    </w:p>
    <w:p w14:paraId="4FA99DCE" w14:textId="77777777" w:rsidR="008E4ABB" w:rsidRPr="008E4ABB" w:rsidRDefault="008E4ABB" w:rsidP="008E4ABB">
      <w:pPr>
        <w:spacing w:line="200" w:lineRule="exact"/>
        <w:rPr>
          <w:sz w:val="20"/>
          <w:szCs w:val="20"/>
        </w:rPr>
      </w:pPr>
    </w:p>
    <w:p w14:paraId="3917C0C7" w14:textId="77777777" w:rsidR="008E4ABB" w:rsidRPr="008E4ABB" w:rsidRDefault="008E4ABB" w:rsidP="008E4ABB">
      <w:pPr>
        <w:spacing w:line="200" w:lineRule="exact"/>
        <w:rPr>
          <w:sz w:val="20"/>
          <w:szCs w:val="20"/>
        </w:rPr>
      </w:pPr>
    </w:p>
    <w:p w14:paraId="5F4B5D12" w14:textId="77777777" w:rsidR="008E4ABB" w:rsidRPr="008E4ABB" w:rsidRDefault="008E4ABB" w:rsidP="008E4ABB">
      <w:pPr>
        <w:spacing w:line="200" w:lineRule="exact"/>
        <w:rPr>
          <w:sz w:val="20"/>
          <w:szCs w:val="20"/>
        </w:rPr>
      </w:pPr>
    </w:p>
    <w:p w14:paraId="693E6004" w14:textId="77777777" w:rsidR="008E4ABB" w:rsidRPr="008E4ABB" w:rsidRDefault="008E4ABB" w:rsidP="008E4ABB">
      <w:pPr>
        <w:spacing w:line="200" w:lineRule="exact"/>
        <w:rPr>
          <w:sz w:val="20"/>
          <w:szCs w:val="20"/>
        </w:rPr>
      </w:pPr>
    </w:p>
    <w:p w14:paraId="18F6698C" w14:textId="77777777" w:rsidR="008E4ABB" w:rsidRPr="008E4ABB" w:rsidRDefault="008E4ABB" w:rsidP="008E4ABB">
      <w:pPr>
        <w:spacing w:line="200" w:lineRule="exact"/>
        <w:rPr>
          <w:sz w:val="20"/>
          <w:szCs w:val="20"/>
        </w:rPr>
      </w:pPr>
    </w:p>
    <w:p w14:paraId="403BEF82" w14:textId="77777777" w:rsidR="008E4ABB" w:rsidRPr="008E4ABB" w:rsidRDefault="008E4ABB" w:rsidP="008E4ABB">
      <w:pPr>
        <w:spacing w:line="200" w:lineRule="exact"/>
        <w:rPr>
          <w:sz w:val="20"/>
          <w:szCs w:val="20"/>
        </w:rPr>
      </w:pPr>
    </w:p>
    <w:p w14:paraId="56602B49" w14:textId="77777777" w:rsidR="008E4ABB" w:rsidRPr="008E4ABB" w:rsidRDefault="008E4ABB" w:rsidP="008E4ABB">
      <w:pPr>
        <w:spacing w:line="200" w:lineRule="exact"/>
        <w:rPr>
          <w:sz w:val="20"/>
          <w:szCs w:val="20"/>
        </w:rPr>
      </w:pPr>
    </w:p>
    <w:p w14:paraId="42698049" w14:textId="77777777" w:rsidR="008E4ABB" w:rsidRPr="008E4ABB" w:rsidRDefault="008E4ABB" w:rsidP="008E4ABB">
      <w:pPr>
        <w:spacing w:line="200" w:lineRule="exact"/>
        <w:rPr>
          <w:sz w:val="20"/>
          <w:szCs w:val="20"/>
        </w:rPr>
      </w:pPr>
    </w:p>
    <w:p w14:paraId="646B5885" w14:textId="77777777" w:rsidR="008E4ABB" w:rsidRPr="008E4ABB" w:rsidRDefault="008E4ABB" w:rsidP="008E4ABB">
      <w:pPr>
        <w:spacing w:line="200" w:lineRule="exact"/>
        <w:rPr>
          <w:sz w:val="20"/>
          <w:szCs w:val="20"/>
        </w:rPr>
      </w:pPr>
    </w:p>
    <w:p w14:paraId="052FC4A8" w14:textId="77777777" w:rsidR="008E4ABB" w:rsidRPr="008E4ABB" w:rsidRDefault="008E4ABB" w:rsidP="008E4ABB">
      <w:pPr>
        <w:spacing w:line="200" w:lineRule="exact"/>
        <w:rPr>
          <w:sz w:val="20"/>
          <w:szCs w:val="20"/>
        </w:rPr>
      </w:pPr>
    </w:p>
    <w:p w14:paraId="14980872" w14:textId="77777777" w:rsidR="008E4ABB" w:rsidRPr="00266F2F" w:rsidRDefault="008E4ABB" w:rsidP="00F47DAD">
      <w:pPr>
        <w:pStyle w:val="Nadpis3"/>
        <w:rPr>
          <w:color w:val="1F3864" w:themeColor="accent1" w:themeShade="80"/>
          <w:sz w:val="20"/>
          <w:szCs w:val="20"/>
        </w:rPr>
      </w:pPr>
      <w:r w:rsidRPr="00266F2F">
        <w:rPr>
          <w:rFonts w:eastAsia="Times New Roman"/>
          <w:color w:val="1F3864" w:themeColor="accent1" w:themeShade="80"/>
        </w:rPr>
        <w:t>Harmonizovaná inflace (HICP)</w:t>
      </w:r>
    </w:p>
    <w:p w14:paraId="2788C5B9" w14:textId="77777777" w:rsidR="008E4ABB" w:rsidRPr="008E4ABB" w:rsidRDefault="008E4ABB" w:rsidP="00A44047">
      <w:pPr>
        <w:spacing w:line="358" w:lineRule="auto"/>
        <w:ind w:right="40" w:firstLine="720"/>
        <w:rPr>
          <w:sz w:val="20"/>
          <w:szCs w:val="20"/>
        </w:rPr>
      </w:pPr>
      <w:r w:rsidRPr="008E4ABB">
        <w:rPr>
          <w:rFonts w:eastAsia="Times New Roman"/>
          <w:szCs w:val="24"/>
        </w:rPr>
        <w:t>Tento index pracuje na principu indexu spotřebitelských cen, ale vychází z jiného spotřebního koše. Je používán v rámci Evropské unie. Index byl zaveden spolu se zavedením eura, neboť bylo nutné stanovit jednotné měření inflace v rámci měny.</w:t>
      </w:r>
    </w:p>
    <w:p w14:paraId="4516088C" w14:textId="77777777" w:rsidR="008E4ABB" w:rsidRPr="008E4ABB" w:rsidRDefault="008E4ABB" w:rsidP="008E4ABB">
      <w:pPr>
        <w:spacing w:line="3" w:lineRule="exact"/>
        <w:rPr>
          <w:sz w:val="20"/>
          <w:szCs w:val="20"/>
        </w:rPr>
      </w:pPr>
    </w:p>
    <w:p w14:paraId="7952C17E" w14:textId="77777777" w:rsidR="008E4ABB" w:rsidRPr="008E4ABB" w:rsidRDefault="008E4ABB" w:rsidP="00A44047">
      <w:pPr>
        <w:spacing w:line="376" w:lineRule="auto"/>
        <w:ind w:right="40" w:firstLine="720"/>
        <w:rPr>
          <w:sz w:val="20"/>
          <w:szCs w:val="20"/>
        </w:rPr>
      </w:pPr>
      <w:r w:rsidRPr="008E4ABB">
        <w:rPr>
          <w:rFonts w:eastAsia="Times New Roman"/>
          <w:szCs w:val="24"/>
        </w:rPr>
        <w:t xml:space="preserve">Váhy v koši se každoročně obměňují na základě dat z národních účtů. I inflační cíl vyhlašovaný Evropskou centrální bankou je vyjadřován pomocí HICP. Používá si </w:t>
      </w:r>
      <w:r w:rsidRPr="008E4ABB">
        <w:rPr>
          <w:rFonts w:eastAsia="Times New Roman"/>
          <w:szCs w:val="24"/>
        </w:rPr>
        <w:br/>
        <w:t>i pro hodnocení připravenosti jednotlivých zemí na vstup do Evropské měnové unie.</w:t>
      </w:r>
    </w:p>
    <w:p w14:paraId="76D5E86B" w14:textId="77777777" w:rsidR="008E4ABB" w:rsidRPr="008E4ABB" w:rsidRDefault="008E4ABB" w:rsidP="008E4ABB">
      <w:pPr>
        <w:spacing w:line="175" w:lineRule="exact"/>
        <w:rPr>
          <w:sz w:val="20"/>
          <w:szCs w:val="20"/>
        </w:rPr>
      </w:pPr>
    </w:p>
    <w:p w14:paraId="07425593" w14:textId="77777777" w:rsidR="008E4ABB" w:rsidRPr="00266F2F" w:rsidRDefault="008E4ABB" w:rsidP="00F47DAD">
      <w:pPr>
        <w:pStyle w:val="Nadpis3"/>
        <w:rPr>
          <w:color w:val="1F3864" w:themeColor="accent1" w:themeShade="80"/>
          <w:sz w:val="20"/>
          <w:szCs w:val="20"/>
        </w:rPr>
      </w:pPr>
      <w:r w:rsidRPr="00266F2F">
        <w:rPr>
          <w:rFonts w:eastAsia="Times New Roman"/>
          <w:color w:val="1F3864" w:themeColor="accent1" w:themeShade="80"/>
        </w:rPr>
        <w:t>Čistá inflace</w:t>
      </w:r>
    </w:p>
    <w:p w14:paraId="16D98FE4" w14:textId="77777777" w:rsidR="008E4ABB" w:rsidRPr="008E4ABB" w:rsidRDefault="008E4ABB" w:rsidP="00A44047">
      <w:pPr>
        <w:spacing w:line="366" w:lineRule="auto"/>
        <w:ind w:right="140" w:firstLine="720"/>
        <w:rPr>
          <w:rFonts w:eastAsia="Times New Roman"/>
          <w:szCs w:val="24"/>
        </w:rPr>
      </w:pPr>
      <w:r w:rsidRPr="008E4ABB">
        <w:rPr>
          <w:rFonts w:eastAsia="Times New Roman"/>
          <w:szCs w:val="24"/>
        </w:rPr>
        <w:t xml:space="preserve">Čistá inflace je počítána na neúplném spotřebním koši. Vyloučeny jsou regulované ceny, administrativní zásahy a vliv změn nepřímých daní. V dnešní době je její použití ČNB již omezené, ale dříve (od zavedení cílování inflace do roku 2001) plnila roli hlavního indexu. Na její bázi byly stanovovány inflační cíle a hodnoceno jejich dodržování. </w:t>
      </w:r>
      <w:r w:rsidRPr="008E4ABB">
        <w:rPr>
          <w:rFonts w:eastAsia="Times New Roman"/>
          <w:szCs w:val="24"/>
        </w:rPr>
        <w:lastRenderedPageBreak/>
        <w:t>Důvodem pro její použití v minulosti byla hlavně nejistota související s prováděním deregulací a také malá schopnost centrální banky ovlivnit tuto část spotřebního koše.</w:t>
      </w:r>
      <w:bookmarkStart w:id="152" w:name="page149"/>
      <w:bookmarkEnd w:id="152"/>
    </w:p>
    <w:p w14:paraId="3371ED1A" w14:textId="77777777" w:rsidR="008E4ABB" w:rsidRPr="00266F2F" w:rsidRDefault="008E4ABB" w:rsidP="00F47DAD">
      <w:pPr>
        <w:pStyle w:val="Nadpis3"/>
        <w:rPr>
          <w:color w:val="1F3864" w:themeColor="accent1" w:themeShade="80"/>
          <w:sz w:val="20"/>
          <w:szCs w:val="20"/>
        </w:rPr>
      </w:pPr>
      <w:r w:rsidRPr="00266F2F">
        <w:rPr>
          <w:rFonts w:eastAsia="Times New Roman"/>
          <w:color w:val="1F3864" w:themeColor="accent1" w:themeShade="80"/>
        </w:rPr>
        <w:t>Měnově politická inflace</w:t>
      </w:r>
    </w:p>
    <w:p w14:paraId="34A1DF07" w14:textId="740A84E7" w:rsidR="008E4ABB" w:rsidRPr="008E4ABB" w:rsidRDefault="008E4ABB" w:rsidP="00A44047">
      <w:pPr>
        <w:spacing w:line="358" w:lineRule="auto"/>
        <w:ind w:left="4" w:right="100" w:firstLine="716"/>
        <w:rPr>
          <w:sz w:val="20"/>
          <w:szCs w:val="20"/>
        </w:rPr>
      </w:pPr>
      <w:r w:rsidRPr="008E4ABB">
        <w:rPr>
          <w:rFonts w:eastAsia="Times New Roman"/>
        </w:rPr>
        <w:t>Touto inflací se řídí měnová poli</w:t>
      </w:r>
      <w:r w:rsidR="000506FA">
        <w:rPr>
          <w:rFonts w:eastAsia="Times New Roman"/>
        </w:rPr>
        <w:t xml:space="preserve">tika České národní banky. Jedná </w:t>
      </w:r>
      <w:r w:rsidRPr="008E4ABB">
        <w:rPr>
          <w:rFonts w:eastAsia="Times New Roman"/>
        </w:rPr>
        <w:t xml:space="preserve">se o CPI po vyloučení vlivu nepřímých daní. Změna nepřímých daní je totiž exogenní šok, na který ČNB uplatňuje výjimku z plnění inflačního cíle. Pokud centrální banka ví o změnách dopředu, může s nimi počítat a přiblížit se tak celkové inflaci měřené indexem spotřebitelských cen. Měnově- politická (očištěná) inflace by se měla pohybovat v blízkosti vyhlášeného inflačního cíle. </w:t>
      </w:r>
      <w:r w:rsidRPr="008E4ABB">
        <w:rPr>
          <w:rFonts w:eastAsia="Times New Roman"/>
        </w:rPr>
        <w:br/>
        <w:t>A to s přihlédnutím k vývoji reálné ekonomické aktivity a stabilitě na finančních trzích.</w:t>
      </w:r>
    </w:p>
    <w:p w14:paraId="40F5EE8D" w14:textId="77777777" w:rsidR="008E4ABB" w:rsidRPr="008E4ABB" w:rsidRDefault="008E4ABB" w:rsidP="008E4ABB">
      <w:pPr>
        <w:spacing w:line="144" w:lineRule="exact"/>
        <w:rPr>
          <w:sz w:val="20"/>
          <w:szCs w:val="20"/>
        </w:rPr>
      </w:pPr>
    </w:p>
    <w:p w14:paraId="35CD7D5A" w14:textId="77777777" w:rsidR="008E4ABB" w:rsidRPr="00266F2F" w:rsidRDefault="008E4ABB" w:rsidP="00F47DAD">
      <w:pPr>
        <w:pStyle w:val="Nadpis3"/>
        <w:rPr>
          <w:color w:val="1F3864" w:themeColor="accent1" w:themeShade="80"/>
          <w:sz w:val="20"/>
          <w:szCs w:val="20"/>
        </w:rPr>
      </w:pPr>
      <w:r w:rsidRPr="00266F2F">
        <w:rPr>
          <w:rFonts w:eastAsia="Times New Roman"/>
          <w:color w:val="1F3864" w:themeColor="accent1" w:themeShade="80"/>
        </w:rPr>
        <w:t>Korigovaná inflace bez pohonných hmot</w:t>
      </w:r>
    </w:p>
    <w:p w14:paraId="274EAF47" w14:textId="77777777" w:rsidR="008E4ABB" w:rsidRPr="008E4ABB" w:rsidRDefault="008E4ABB" w:rsidP="00A44047">
      <w:pPr>
        <w:spacing w:line="366" w:lineRule="auto"/>
        <w:ind w:left="4" w:firstLine="716"/>
        <w:rPr>
          <w:sz w:val="20"/>
          <w:szCs w:val="20"/>
        </w:rPr>
      </w:pPr>
      <w:r w:rsidRPr="008E4ABB">
        <w:rPr>
          <w:rFonts w:eastAsia="Times New Roman"/>
        </w:rPr>
        <w:t>Pro centrální banku je velice důležitá korigovaná inflace bez pohonných hmot. Právě tuto inflaci je centrální banka schopna ovlivnit. Její váha ve spotřebitelském koši představuje 55,12%. Ze spotřebitelského koše jsou vyloučeny regulované ceny, potraviny a pohonné hmoty. Jsou to veličiny, u kterých centrální banka nezná jejich budoucí vývoj a které jsou značně volatilní. Korigovaná inflace je pro centrální banku nejdůležitější především proto, že je ovlivňována poptávkovými faktory, které centrální banka nejvíce a nejsnáze ovlivňuje.</w:t>
      </w:r>
    </w:p>
    <w:p w14:paraId="10A6F882" w14:textId="77777777" w:rsidR="008E4ABB" w:rsidRPr="008E4ABB" w:rsidRDefault="008E4ABB" w:rsidP="008E4ABB">
      <w:pPr>
        <w:spacing w:line="189" w:lineRule="exact"/>
        <w:rPr>
          <w:sz w:val="20"/>
          <w:szCs w:val="20"/>
        </w:rPr>
      </w:pPr>
    </w:p>
    <w:p w14:paraId="7098522A" w14:textId="77777777" w:rsidR="008E4ABB" w:rsidRPr="00266F2F" w:rsidRDefault="008E4ABB" w:rsidP="00F47DAD">
      <w:pPr>
        <w:pStyle w:val="Nadpis3"/>
        <w:rPr>
          <w:color w:val="1F3864" w:themeColor="accent1" w:themeShade="80"/>
          <w:sz w:val="20"/>
          <w:szCs w:val="20"/>
        </w:rPr>
      </w:pPr>
      <w:r w:rsidRPr="00266F2F">
        <w:rPr>
          <w:rFonts w:eastAsia="Times New Roman"/>
          <w:color w:val="1F3864" w:themeColor="accent1" w:themeShade="80"/>
        </w:rPr>
        <w:t>Jádrová inflace</w:t>
      </w:r>
    </w:p>
    <w:p w14:paraId="1E950547" w14:textId="77777777" w:rsidR="008E4ABB" w:rsidRPr="008E4ABB" w:rsidRDefault="008E4ABB" w:rsidP="00A44047">
      <w:pPr>
        <w:spacing w:line="374" w:lineRule="auto"/>
        <w:ind w:left="4" w:right="420" w:firstLine="572"/>
        <w:rPr>
          <w:sz w:val="20"/>
          <w:szCs w:val="20"/>
        </w:rPr>
      </w:pPr>
      <w:r w:rsidRPr="008E4ABB">
        <w:rPr>
          <w:rFonts w:eastAsia="Times New Roman"/>
          <w:szCs w:val="24"/>
        </w:rPr>
        <w:t>Zvýšení indexu spotřebitelských cen celého spotřebního koše očištěné o sezónní vlivy, vliv změn regulovaných cen, vliv daňových úprav a jiná administrativní opatření vedoucí ke změně cen. Viz Čistá inflace a Inflace.</w:t>
      </w:r>
    </w:p>
    <w:p w14:paraId="55F83D8C" w14:textId="77777777" w:rsidR="008E4ABB" w:rsidRPr="008E4ABB" w:rsidRDefault="008E4ABB" w:rsidP="008E4ABB">
      <w:pPr>
        <w:spacing w:line="200" w:lineRule="exact"/>
        <w:rPr>
          <w:sz w:val="20"/>
          <w:szCs w:val="20"/>
        </w:rPr>
      </w:pPr>
    </w:p>
    <w:p w14:paraId="2F5E0C03" w14:textId="77777777" w:rsidR="008E4ABB" w:rsidRPr="008E4ABB" w:rsidRDefault="008E4ABB" w:rsidP="008E4ABB">
      <w:pPr>
        <w:spacing w:line="225" w:lineRule="exact"/>
        <w:rPr>
          <w:sz w:val="20"/>
          <w:szCs w:val="20"/>
        </w:rPr>
      </w:pPr>
    </w:p>
    <w:p w14:paraId="45FF94FF" w14:textId="77777777" w:rsidR="008E4ABB" w:rsidRPr="00266F2F" w:rsidRDefault="008E4ABB" w:rsidP="00236AA9">
      <w:pPr>
        <w:pStyle w:val="Nadpis2"/>
        <w:rPr>
          <w:color w:val="1F3864" w:themeColor="accent1" w:themeShade="80"/>
        </w:rPr>
      </w:pPr>
      <w:r w:rsidRPr="00266F2F">
        <w:rPr>
          <w:color w:val="1F3864" w:themeColor="accent1" w:themeShade="80"/>
        </w:rPr>
        <w:t>VZTAH MONETÁRNÍ POLITIKY A OSTATNÍCH TYPŮ STABILIZAČNÍCH POLITIK</w:t>
      </w:r>
    </w:p>
    <w:p w14:paraId="7903E688" w14:textId="77777777" w:rsidR="008E4ABB" w:rsidRPr="00266F2F" w:rsidRDefault="008E4ABB" w:rsidP="00F47DAD">
      <w:pPr>
        <w:pStyle w:val="Nadpis3"/>
        <w:rPr>
          <w:color w:val="1F3864" w:themeColor="accent1" w:themeShade="80"/>
          <w:sz w:val="20"/>
          <w:szCs w:val="20"/>
        </w:rPr>
      </w:pPr>
      <w:r w:rsidRPr="00266F2F">
        <w:rPr>
          <w:rFonts w:eastAsia="Times New Roman"/>
          <w:color w:val="1F3864" w:themeColor="accent1" w:themeShade="80"/>
        </w:rPr>
        <w:t>Peněžní a fiskální politika v monetaristickém modelu</w:t>
      </w:r>
    </w:p>
    <w:p w14:paraId="25AFDED4" w14:textId="77777777" w:rsidR="008E4ABB" w:rsidRPr="008E4ABB" w:rsidRDefault="008E4ABB" w:rsidP="008E4ABB">
      <w:pPr>
        <w:ind w:left="4"/>
        <w:rPr>
          <w:sz w:val="20"/>
          <w:szCs w:val="20"/>
        </w:rPr>
      </w:pPr>
      <w:r w:rsidRPr="008E4ABB">
        <w:rPr>
          <w:rFonts w:eastAsia="Times New Roman"/>
          <w:szCs w:val="24"/>
        </w:rPr>
        <w:t>V monetaristickém modelu existuje přímá a spolehlivá vazba mezi nabídkou peněz a HDP.</w:t>
      </w:r>
    </w:p>
    <w:p w14:paraId="67042263" w14:textId="77777777" w:rsidR="008E4ABB" w:rsidRPr="008E4ABB" w:rsidRDefault="008E4ABB" w:rsidP="008E4ABB">
      <w:pPr>
        <w:spacing w:line="131" w:lineRule="exact"/>
        <w:rPr>
          <w:sz w:val="20"/>
          <w:szCs w:val="20"/>
        </w:rPr>
      </w:pPr>
    </w:p>
    <w:p w14:paraId="24A812B9" w14:textId="77777777" w:rsidR="008E4ABB" w:rsidRPr="008E4ABB" w:rsidRDefault="008E4ABB" w:rsidP="00270319">
      <w:pPr>
        <w:numPr>
          <w:ilvl w:val="0"/>
          <w:numId w:val="145"/>
        </w:numPr>
        <w:tabs>
          <w:tab w:val="left" w:pos="724"/>
        </w:tabs>
        <w:spacing w:line="377" w:lineRule="auto"/>
        <w:ind w:left="709" w:right="20" w:hanging="283"/>
        <w:rPr>
          <w:rFonts w:eastAsia="Times New Roman"/>
          <w:szCs w:val="24"/>
        </w:rPr>
      </w:pPr>
      <w:r w:rsidRPr="008E4ABB">
        <w:rPr>
          <w:rFonts w:eastAsia="Times New Roman"/>
          <w:b/>
          <w:bCs/>
          <w:szCs w:val="24"/>
        </w:rPr>
        <w:t xml:space="preserve">křivka IS </w:t>
      </w:r>
      <w:r w:rsidRPr="008E4ABB">
        <w:rPr>
          <w:rFonts w:eastAsia="Times New Roman"/>
          <w:szCs w:val="24"/>
        </w:rPr>
        <w:t xml:space="preserve">představuje všechny kombinace úrokové míry a domácího produktu, </w:t>
      </w:r>
      <w:r w:rsidRPr="008E4ABB">
        <w:rPr>
          <w:rFonts w:eastAsia="Times New Roman"/>
          <w:szCs w:val="24"/>
        </w:rPr>
        <w:br/>
        <w:t>při</w:t>
      </w:r>
      <w:r w:rsidRPr="008E4ABB">
        <w:rPr>
          <w:rFonts w:eastAsia="Times New Roman"/>
          <w:b/>
          <w:bCs/>
          <w:szCs w:val="24"/>
        </w:rPr>
        <w:t xml:space="preserve"> </w:t>
      </w:r>
      <w:r w:rsidRPr="008E4ABB">
        <w:rPr>
          <w:rFonts w:eastAsia="Times New Roman"/>
          <w:szCs w:val="24"/>
        </w:rPr>
        <w:t xml:space="preserve">kterých je v rovnováze trh zboží a služeb. Odvozuje se z investiční funkce </w:t>
      </w:r>
      <w:r w:rsidRPr="008E4ABB">
        <w:rPr>
          <w:rFonts w:eastAsia="Times New Roman"/>
          <w:szCs w:val="24"/>
        </w:rPr>
        <w:br/>
        <w:t>a z keynesiánského kříže.</w:t>
      </w:r>
    </w:p>
    <w:p w14:paraId="5EE3061E" w14:textId="77777777" w:rsidR="008E4ABB" w:rsidRPr="008E4ABB" w:rsidRDefault="008E4ABB" w:rsidP="00C41D60">
      <w:pPr>
        <w:spacing w:line="20" w:lineRule="exact"/>
        <w:ind w:left="709" w:hanging="283"/>
        <w:rPr>
          <w:sz w:val="20"/>
          <w:szCs w:val="20"/>
        </w:rPr>
      </w:pPr>
    </w:p>
    <w:p w14:paraId="466E8E9B" w14:textId="77777777" w:rsidR="008E4ABB" w:rsidRPr="008E4ABB" w:rsidRDefault="008E4ABB" w:rsidP="00270319">
      <w:pPr>
        <w:numPr>
          <w:ilvl w:val="0"/>
          <w:numId w:val="146"/>
        </w:numPr>
        <w:tabs>
          <w:tab w:val="left" w:pos="724"/>
        </w:tabs>
        <w:spacing w:line="377" w:lineRule="auto"/>
        <w:ind w:left="709" w:hanging="283"/>
        <w:rPr>
          <w:rFonts w:eastAsia="Times New Roman"/>
          <w:szCs w:val="24"/>
        </w:rPr>
      </w:pPr>
      <w:bookmarkStart w:id="153" w:name="page150"/>
      <w:bookmarkEnd w:id="153"/>
      <w:r w:rsidRPr="008E4ABB">
        <w:rPr>
          <w:rFonts w:eastAsia="Times New Roman"/>
          <w:b/>
          <w:bCs/>
          <w:szCs w:val="24"/>
        </w:rPr>
        <w:lastRenderedPageBreak/>
        <w:t xml:space="preserve">křivka LM </w:t>
      </w:r>
      <w:r w:rsidRPr="008E4ABB">
        <w:rPr>
          <w:rFonts w:eastAsia="Times New Roman"/>
          <w:szCs w:val="24"/>
        </w:rPr>
        <w:t>představuje všechny kombinace úrokové míry a domácího produktu, při</w:t>
      </w:r>
      <w:r w:rsidRPr="008E4ABB">
        <w:rPr>
          <w:rFonts w:eastAsia="Times New Roman"/>
          <w:b/>
          <w:bCs/>
          <w:szCs w:val="24"/>
        </w:rPr>
        <w:t xml:space="preserve"> </w:t>
      </w:r>
      <w:r w:rsidRPr="008E4ABB">
        <w:rPr>
          <w:rFonts w:eastAsia="Times New Roman"/>
          <w:szCs w:val="24"/>
        </w:rPr>
        <w:t>kterých je v rovnováze trh peněz. Odvozuje se z poptávky po penězích, která je klesající funkcí úrokové míry (L je poptávka po likviditě)</w:t>
      </w:r>
    </w:p>
    <w:p w14:paraId="1A61A4C1" w14:textId="77777777" w:rsidR="008E4ABB" w:rsidRPr="008E4ABB" w:rsidRDefault="008E4ABB" w:rsidP="00C41D60">
      <w:pPr>
        <w:tabs>
          <w:tab w:val="left" w:pos="1418"/>
        </w:tabs>
        <w:spacing w:line="377" w:lineRule="auto"/>
        <w:ind w:left="993" w:hanging="426"/>
        <w:rPr>
          <w:rFonts w:eastAsia="Times New Roman"/>
          <w:szCs w:val="24"/>
        </w:rPr>
      </w:pPr>
      <w:r w:rsidRPr="008E4ABB">
        <w:rPr>
          <w:rFonts w:eastAsia="Times New Roman"/>
          <w:b/>
          <w:bCs/>
          <w:szCs w:val="24"/>
        </w:rPr>
        <w:t>- je zkonstruována pro danou peněžní zásobu</w:t>
      </w:r>
    </w:p>
    <w:p w14:paraId="2EFA4ECA" w14:textId="77777777" w:rsidR="008E4ABB" w:rsidRPr="008E4ABB" w:rsidRDefault="008E4ABB" w:rsidP="008E4ABB">
      <w:pPr>
        <w:spacing w:line="152" w:lineRule="exact"/>
        <w:rPr>
          <w:sz w:val="20"/>
          <w:szCs w:val="20"/>
        </w:rPr>
      </w:pPr>
    </w:p>
    <w:p w14:paraId="53AD6A95" w14:textId="77777777" w:rsidR="008E4ABB" w:rsidRPr="00266F2F" w:rsidRDefault="008E4ABB" w:rsidP="00F47DAD">
      <w:pPr>
        <w:pStyle w:val="Nadpis3"/>
        <w:rPr>
          <w:color w:val="1F3864" w:themeColor="accent1" w:themeShade="80"/>
          <w:sz w:val="20"/>
          <w:szCs w:val="20"/>
        </w:rPr>
      </w:pPr>
      <w:r w:rsidRPr="00266F2F">
        <w:rPr>
          <w:rFonts w:eastAsia="Times New Roman"/>
          <w:color w:val="1F3864" w:themeColor="accent1" w:themeShade="80"/>
        </w:rPr>
        <w:t>Účinnost monetární politiky - keynesiánské přístupy</w:t>
      </w:r>
    </w:p>
    <w:p w14:paraId="3EDEAFBE" w14:textId="77777777" w:rsidR="008E4ABB" w:rsidRPr="00266F2F" w:rsidRDefault="008E4ABB" w:rsidP="00F47DAD">
      <w:pPr>
        <w:pStyle w:val="Nadpis4"/>
        <w:rPr>
          <w:color w:val="1F3864" w:themeColor="accent1" w:themeShade="80"/>
          <w:sz w:val="20"/>
          <w:szCs w:val="20"/>
        </w:rPr>
      </w:pPr>
      <w:r w:rsidRPr="00266F2F">
        <w:rPr>
          <w:rFonts w:eastAsia="Times New Roman"/>
          <w:color w:val="1F3864" w:themeColor="accent1" w:themeShade="80"/>
        </w:rPr>
        <w:t>Účinnost monetární politiky - model IS-LM</w:t>
      </w:r>
    </w:p>
    <w:p w14:paraId="0008EF28" w14:textId="77777777" w:rsidR="008E4ABB" w:rsidRPr="008E4ABB" w:rsidRDefault="008E4ABB" w:rsidP="00A44047">
      <w:pPr>
        <w:ind w:firstLine="568"/>
        <w:rPr>
          <w:sz w:val="20"/>
          <w:szCs w:val="20"/>
        </w:rPr>
      </w:pPr>
      <w:r w:rsidRPr="008E4ABB">
        <w:rPr>
          <w:rFonts w:eastAsia="Times New Roman"/>
        </w:rPr>
        <w:t>Je tím účinnější, čím plošší je křivka IS a čím strmější křivka LM.</w:t>
      </w:r>
    </w:p>
    <w:p w14:paraId="71CB90EB" w14:textId="78A6F4B8" w:rsidR="008E4ABB" w:rsidRPr="008E4ABB" w:rsidRDefault="008E4ABB" w:rsidP="00A44047">
      <w:pPr>
        <w:ind w:left="568"/>
        <w:rPr>
          <w:sz w:val="20"/>
          <w:szCs w:val="20"/>
        </w:rPr>
      </w:pPr>
      <w:r w:rsidRPr="008E4ABB">
        <w:rPr>
          <w:rFonts w:eastAsia="Times New Roman"/>
        </w:rPr>
        <w:t>Měnová expanze v podobě zvýšení peněžní zásoby povede k posunu LM vpravo. Dojde</w:t>
      </w:r>
      <w:r w:rsidR="00A44047">
        <w:rPr>
          <w:rFonts w:eastAsia="Times New Roman"/>
        </w:rPr>
        <w:t xml:space="preserve"> </w:t>
      </w:r>
      <w:r w:rsidRPr="008E4ABB">
        <w:rPr>
          <w:rFonts w:eastAsia="Times New Roman"/>
        </w:rPr>
        <w:t xml:space="preserve">k poklesu úrokové míry, </w:t>
      </w:r>
      <w:r w:rsidRPr="008E4ABB">
        <w:rPr>
          <w:rFonts w:eastAsia="Times New Roman"/>
          <w:b/>
          <w:bCs/>
        </w:rPr>
        <w:t>růstu produktu</w:t>
      </w:r>
      <w:r w:rsidRPr="008E4ABB">
        <w:rPr>
          <w:rFonts w:eastAsia="Times New Roman"/>
        </w:rPr>
        <w:t xml:space="preserve"> a poklesu nezaměstnanosti.</w:t>
      </w:r>
    </w:p>
    <w:p w14:paraId="29837AD7" w14:textId="77777777" w:rsidR="008E4ABB" w:rsidRPr="008E4ABB" w:rsidRDefault="008E4ABB" w:rsidP="00A44047">
      <w:pPr>
        <w:ind w:left="568" w:firstLine="708"/>
        <w:rPr>
          <w:rFonts w:eastAsia="Times New Roman"/>
        </w:rPr>
      </w:pPr>
      <w:r w:rsidRPr="008E4ABB">
        <w:rPr>
          <w:rFonts w:eastAsia="Times New Roman"/>
          <w:i/>
          <w:iCs/>
        </w:rPr>
        <w:t>Při měnové expanzi se posouvá křivka LM doprava. Tím se dostane trh zboží a služeb do nerovnováhy, nižší úroková míra bude zvyšovat investice a domácí produkt poroste, dokud se ekonomika nedostane opět do rovnováhy na křivce IS</w:t>
      </w:r>
      <w:r w:rsidRPr="008E4ABB">
        <w:rPr>
          <w:rFonts w:eastAsia="Times New Roman"/>
        </w:rPr>
        <w:t>. Měnová restrikce povede k opačným účinkům.</w:t>
      </w:r>
    </w:p>
    <w:p w14:paraId="340C47C6" w14:textId="77777777" w:rsidR="008E4ABB" w:rsidRPr="008E4ABB" w:rsidRDefault="008E4ABB" w:rsidP="00A44047">
      <w:pPr>
        <w:ind w:left="568"/>
        <w:rPr>
          <w:szCs w:val="20"/>
        </w:rPr>
      </w:pPr>
      <w:r w:rsidRPr="008E4ABB">
        <w:rPr>
          <w:szCs w:val="20"/>
        </w:rPr>
        <w:t xml:space="preserve">- při </w:t>
      </w:r>
      <w:r w:rsidRPr="008E4ABB">
        <w:rPr>
          <w:szCs w:val="20"/>
          <w:u w:val="single"/>
        </w:rPr>
        <w:t>růstu citlivosti poptávky po penězích na důchod</w:t>
      </w:r>
      <w:r w:rsidRPr="008E4ABB">
        <w:rPr>
          <w:szCs w:val="20"/>
        </w:rPr>
        <w:t xml:space="preserve"> – </w:t>
      </w:r>
      <w:r w:rsidRPr="008E4ABB">
        <w:rPr>
          <w:b/>
          <w:szCs w:val="20"/>
        </w:rPr>
        <w:t>zvětší se sklon LM</w:t>
      </w:r>
      <w:r w:rsidRPr="008E4ABB">
        <w:rPr>
          <w:szCs w:val="20"/>
        </w:rPr>
        <w:t xml:space="preserve"> (je strmá a reaguje citlivěji na změnu důchodu)</w:t>
      </w:r>
    </w:p>
    <w:p w14:paraId="562A3D36" w14:textId="77777777" w:rsidR="008E4ABB" w:rsidRPr="008E4ABB" w:rsidRDefault="008E4ABB" w:rsidP="00A44047">
      <w:pPr>
        <w:ind w:left="568"/>
        <w:rPr>
          <w:szCs w:val="20"/>
        </w:rPr>
      </w:pPr>
      <w:r w:rsidRPr="008E4ABB">
        <w:rPr>
          <w:szCs w:val="20"/>
        </w:rPr>
        <w:t xml:space="preserve">- při </w:t>
      </w:r>
      <w:r w:rsidRPr="008E4ABB">
        <w:rPr>
          <w:szCs w:val="20"/>
          <w:u w:val="single"/>
        </w:rPr>
        <w:t>růstu citlivosti poptávky po penězích na úrokovou míru</w:t>
      </w:r>
      <w:r w:rsidRPr="008E4ABB">
        <w:rPr>
          <w:szCs w:val="20"/>
        </w:rPr>
        <w:t xml:space="preserve"> se </w:t>
      </w:r>
      <w:r w:rsidRPr="008E4ABB">
        <w:rPr>
          <w:b/>
          <w:szCs w:val="20"/>
        </w:rPr>
        <w:t>sníží sklon LM</w:t>
      </w:r>
      <w:r w:rsidRPr="008E4ABB">
        <w:rPr>
          <w:szCs w:val="20"/>
        </w:rPr>
        <w:t xml:space="preserve"> (je plošší)</w:t>
      </w:r>
    </w:p>
    <w:p w14:paraId="2D7B28FE" w14:textId="77777777" w:rsidR="008E4ABB" w:rsidRPr="008E4ABB" w:rsidRDefault="008E4ABB" w:rsidP="008E4ABB">
      <w:pPr>
        <w:spacing w:line="2" w:lineRule="exact"/>
        <w:rPr>
          <w:sz w:val="20"/>
          <w:szCs w:val="20"/>
        </w:rPr>
      </w:pPr>
    </w:p>
    <w:p w14:paraId="68E07316" w14:textId="77777777" w:rsidR="008E4ABB" w:rsidRPr="008E4ABB" w:rsidRDefault="008E4ABB" w:rsidP="008E4ABB">
      <w:pPr>
        <w:ind w:left="104"/>
        <w:rPr>
          <w:sz w:val="20"/>
          <w:szCs w:val="20"/>
        </w:rPr>
      </w:pPr>
      <w:r w:rsidRPr="008E4ABB">
        <w:rPr>
          <w:noProof/>
          <w:sz w:val="20"/>
          <w:szCs w:val="20"/>
        </w:rPr>
        <w:drawing>
          <wp:anchor distT="0" distB="0" distL="114300" distR="114300" simplePos="0" relativeHeight="251750912" behindDoc="1" locked="0" layoutInCell="0" allowOverlap="1" wp14:anchorId="3D72ED1B" wp14:editId="2048DC81">
            <wp:simplePos x="0" y="0"/>
            <wp:positionH relativeFrom="column">
              <wp:posOffset>1612900</wp:posOffset>
            </wp:positionH>
            <wp:positionV relativeFrom="paragraph">
              <wp:posOffset>26670</wp:posOffset>
            </wp:positionV>
            <wp:extent cx="2952750" cy="221234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8"/>
                    <a:srcRect/>
                    <a:stretch>
                      <a:fillRect/>
                    </a:stretch>
                  </pic:blipFill>
                  <pic:spPr bwMode="auto">
                    <a:xfrm>
                      <a:off x="0" y="0"/>
                      <a:ext cx="2952750" cy="2212340"/>
                    </a:xfrm>
                    <a:prstGeom prst="rect">
                      <a:avLst/>
                    </a:prstGeom>
                    <a:noFill/>
                  </pic:spPr>
                </pic:pic>
              </a:graphicData>
            </a:graphic>
            <wp14:sizeRelH relativeFrom="margin">
              <wp14:pctWidth>0</wp14:pctWidth>
            </wp14:sizeRelH>
            <wp14:sizeRelV relativeFrom="margin">
              <wp14:pctHeight>0</wp14:pctHeight>
            </wp14:sizeRelV>
          </wp:anchor>
        </w:drawing>
      </w:r>
      <w:r w:rsidRPr="008E4ABB">
        <w:rPr>
          <w:rFonts w:eastAsia="Times New Roman"/>
          <w:b/>
          <w:bCs/>
        </w:rPr>
        <w:t>Graf 4: Měnová expanze</w:t>
      </w:r>
    </w:p>
    <w:p w14:paraId="05ABF288" w14:textId="77777777" w:rsidR="008E4ABB" w:rsidRPr="008E4ABB" w:rsidRDefault="008E4ABB" w:rsidP="008E4ABB">
      <w:pPr>
        <w:spacing w:line="20" w:lineRule="exact"/>
        <w:rPr>
          <w:sz w:val="20"/>
          <w:szCs w:val="20"/>
        </w:rPr>
      </w:pPr>
    </w:p>
    <w:p w14:paraId="3083EF39" w14:textId="77777777" w:rsidR="008E4ABB" w:rsidRPr="008E4ABB" w:rsidRDefault="008E4ABB" w:rsidP="008E4ABB">
      <w:pPr>
        <w:spacing w:line="200" w:lineRule="exact"/>
        <w:rPr>
          <w:sz w:val="20"/>
          <w:szCs w:val="20"/>
        </w:rPr>
      </w:pPr>
    </w:p>
    <w:p w14:paraId="507D30CD" w14:textId="77777777" w:rsidR="008E4ABB" w:rsidRPr="008E4ABB" w:rsidRDefault="008E4ABB" w:rsidP="008E4ABB">
      <w:pPr>
        <w:spacing w:line="200" w:lineRule="exact"/>
        <w:rPr>
          <w:sz w:val="20"/>
          <w:szCs w:val="20"/>
        </w:rPr>
      </w:pPr>
    </w:p>
    <w:p w14:paraId="6DC6132B" w14:textId="77777777" w:rsidR="008E4ABB" w:rsidRPr="008E4ABB" w:rsidRDefault="008E4ABB" w:rsidP="008E4ABB">
      <w:pPr>
        <w:spacing w:line="200" w:lineRule="exact"/>
        <w:rPr>
          <w:sz w:val="20"/>
          <w:szCs w:val="20"/>
        </w:rPr>
      </w:pPr>
    </w:p>
    <w:p w14:paraId="62DA4BA2" w14:textId="77777777" w:rsidR="008E4ABB" w:rsidRPr="008E4ABB" w:rsidRDefault="008E4ABB" w:rsidP="008E4ABB">
      <w:pPr>
        <w:spacing w:line="200" w:lineRule="exact"/>
        <w:rPr>
          <w:sz w:val="20"/>
          <w:szCs w:val="20"/>
        </w:rPr>
      </w:pPr>
    </w:p>
    <w:p w14:paraId="6B947F28" w14:textId="77777777" w:rsidR="008E4ABB" w:rsidRPr="008E4ABB" w:rsidRDefault="008E4ABB" w:rsidP="008E4ABB">
      <w:pPr>
        <w:spacing w:line="200" w:lineRule="exact"/>
        <w:rPr>
          <w:sz w:val="20"/>
          <w:szCs w:val="20"/>
        </w:rPr>
      </w:pPr>
    </w:p>
    <w:p w14:paraId="3ADF24A8" w14:textId="77777777" w:rsidR="008E4ABB" w:rsidRPr="008E4ABB" w:rsidRDefault="008E4ABB" w:rsidP="008E4ABB">
      <w:pPr>
        <w:spacing w:line="200" w:lineRule="exact"/>
        <w:rPr>
          <w:sz w:val="20"/>
          <w:szCs w:val="20"/>
        </w:rPr>
      </w:pPr>
    </w:p>
    <w:p w14:paraId="1D8E1614" w14:textId="77777777" w:rsidR="008E4ABB" w:rsidRPr="008E4ABB" w:rsidRDefault="008E4ABB" w:rsidP="008E4ABB">
      <w:pPr>
        <w:spacing w:line="200" w:lineRule="exact"/>
        <w:rPr>
          <w:sz w:val="20"/>
          <w:szCs w:val="20"/>
        </w:rPr>
      </w:pPr>
    </w:p>
    <w:p w14:paraId="6EF1B6F5" w14:textId="77777777" w:rsidR="008E4ABB" w:rsidRPr="008E4ABB" w:rsidRDefault="008E4ABB" w:rsidP="008E4ABB">
      <w:pPr>
        <w:spacing w:line="200" w:lineRule="exact"/>
        <w:rPr>
          <w:sz w:val="20"/>
          <w:szCs w:val="20"/>
        </w:rPr>
      </w:pPr>
    </w:p>
    <w:p w14:paraId="4A04CFF6" w14:textId="77777777" w:rsidR="008E4ABB" w:rsidRPr="008E4ABB" w:rsidRDefault="008E4ABB" w:rsidP="008E4ABB">
      <w:pPr>
        <w:spacing w:line="200" w:lineRule="exact"/>
        <w:rPr>
          <w:sz w:val="20"/>
          <w:szCs w:val="20"/>
        </w:rPr>
      </w:pPr>
    </w:p>
    <w:p w14:paraId="35AAED0E" w14:textId="77777777" w:rsidR="008E4ABB" w:rsidRPr="008E4ABB" w:rsidRDefault="008E4ABB" w:rsidP="008E4ABB">
      <w:pPr>
        <w:spacing w:line="200" w:lineRule="exact"/>
        <w:rPr>
          <w:sz w:val="20"/>
          <w:szCs w:val="20"/>
        </w:rPr>
      </w:pPr>
    </w:p>
    <w:p w14:paraId="79550002" w14:textId="77777777" w:rsidR="008E4ABB" w:rsidRPr="008E4ABB" w:rsidRDefault="008E4ABB" w:rsidP="008E4ABB">
      <w:pPr>
        <w:spacing w:line="200" w:lineRule="exact"/>
        <w:rPr>
          <w:sz w:val="20"/>
          <w:szCs w:val="20"/>
        </w:rPr>
      </w:pPr>
    </w:p>
    <w:p w14:paraId="4CEE4955" w14:textId="77777777" w:rsidR="008E4ABB" w:rsidRPr="008E4ABB" w:rsidRDefault="008E4ABB" w:rsidP="008E4ABB">
      <w:pPr>
        <w:spacing w:line="200" w:lineRule="exact"/>
        <w:rPr>
          <w:sz w:val="20"/>
          <w:szCs w:val="20"/>
        </w:rPr>
      </w:pPr>
    </w:p>
    <w:p w14:paraId="6C801E6A" w14:textId="77777777" w:rsidR="008E4ABB" w:rsidRPr="008E4ABB" w:rsidRDefault="008E4ABB" w:rsidP="008E4ABB">
      <w:pPr>
        <w:spacing w:line="200" w:lineRule="exact"/>
        <w:rPr>
          <w:sz w:val="20"/>
          <w:szCs w:val="20"/>
        </w:rPr>
      </w:pPr>
    </w:p>
    <w:p w14:paraId="0A1BAEDD" w14:textId="77777777" w:rsidR="008E4ABB" w:rsidRPr="008E4ABB" w:rsidRDefault="008E4ABB" w:rsidP="008E4ABB">
      <w:pPr>
        <w:spacing w:line="200" w:lineRule="exact"/>
        <w:rPr>
          <w:sz w:val="20"/>
          <w:szCs w:val="20"/>
        </w:rPr>
      </w:pPr>
    </w:p>
    <w:p w14:paraId="63100C8E" w14:textId="77777777" w:rsidR="008E4ABB" w:rsidRPr="008E4ABB" w:rsidRDefault="008E4ABB" w:rsidP="008E4ABB">
      <w:pPr>
        <w:spacing w:line="200" w:lineRule="exact"/>
        <w:rPr>
          <w:sz w:val="20"/>
          <w:szCs w:val="20"/>
        </w:rPr>
      </w:pPr>
    </w:p>
    <w:p w14:paraId="79BE8D3B" w14:textId="77777777" w:rsidR="008E4ABB" w:rsidRPr="008E4ABB" w:rsidRDefault="008E4ABB" w:rsidP="008E4ABB">
      <w:pPr>
        <w:ind w:left="4"/>
        <w:rPr>
          <w:sz w:val="20"/>
          <w:szCs w:val="20"/>
        </w:rPr>
      </w:pPr>
      <w:r w:rsidRPr="008E4ABB">
        <w:rPr>
          <w:rFonts w:eastAsia="Times New Roman"/>
        </w:rPr>
        <w:t>Měnová restrikce povede k opačným účinkům.</w:t>
      </w:r>
    </w:p>
    <w:p w14:paraId="1E3D14FC" w14:textId="77777777" w:rsidR="008E4ABB" w:rsidRPr="008E4ABB" w:rsidRDefault="008E4ABB" w:rsidP="008E4ABB">
      <w:pPr>
        <w:spacing w:line="20" w:lineRule="exact"/>
        <w:rPr>
          <w:sz w:val="20"/>
          <w:szCs w:val="20"/>
        </w:rPr>
      </w:pPr>
    </w:p>
    <w:p w14:paraId="285AC776" w14:textId="77777777" w:rsidR="008E4ABB" w:rsidRPr="008E4ABB" w:rsidRDefault="008E4ABB" w:rsidP="008E4ABB">
      <w:pPr>
        <w:spacing w:line="200" w:lineRule="exact"/>
        <w:rPr>
          <w:sz w:val="20"/>
          <w:szCs w:val="20"/>
        </w:rPr>
      </w:pPr>
    </w:p>
    <w:p w14:paraId="3DA2D162" w14:textId="77777777" w:rsidR="008E4ABB" w:rsidRPr="008E4ABB" w:rsidRDefault="008E4ABB" w:rsidP="00F47DAD">
      <w:pPr>
        <w:pStyle w:val="Nadpis4"/>
        <w:rPr>
          <w:sz w:val="20"/>
          <w:szCs w:val="20"/>
        </w:rPr>
      </w:pPr>
      <w:bookmarkStart w:id="154" w:name="page151"/>
      <w:bookmarkEnd w:id="154"/>
      <w:r w:rsidRPr="008E4ABB">
        <w:rPr>
          <w:rFonts w:eastAsia="Times New Roman"/>
        </w:rPr>
        <w:t>Účinnost monetární politiky v pasti likvidity</w:t>
      </w:r>
    </w:p>
    <w:p w14:paraId="2A477C70" w14:textId="77777777" w:rsidR="008E4ABB" w:rsidRPr="008E4ABB" w:rsidRDefault="008E4ABB" w:rsidP="00A44047">
      <w:pPr>
        <w:ind w:left="567" w:firstLine="716"/>
        <w:rPr>
          <w:sz w:val="20"/>
          <w:szCs w:val="20"/>
        </w:rPr>
      </w:pPr>
      <w:r w:rsidRPr="008E4ABB">
        <w:rPr>
          <w:rFonts w:eastAsia="Times New Roman"/>
        </w:rPr>
        <w:t>Past likvidity je taková situace, kdy jsou veškeré peníze pohlceny spekulativní poptávkou po penězích.</w:t>
      </w:r>
    </w:p>
    <w:p w14:paraId="137D9461" w14:textId="77777777" w:rsidR="008E4ABB" w:rsidRPr="008E4ABB" w:rsidRDefault="008E4ABB" w:rsidP="00270319">
      <w:pPr>
        <w:numPr>
          <w:ilvl w:val="0"/>
          <w:numId w:val="147"/>
        </w:numPr>
        <w:tabs>
          <w:tab w:val="left" w:pos="844"/>
        </w:tabs>
        <w:ind w:left="851" w:hanging="284"/>
        <w:rPr>
          <w:rFonts w:eastAsia="Arial"/>
        </w:rPr>
      </w:pPr>
      <w:r w:rsidRPr="008E4ABB">
        <w:rPr>
          <w:rFonts w:eastAsia="Times New Roman"/>
        </w:rPr>
        <w:t>vytrácí se transakční motiv držby peněz</w:t>
      </w:r>
    </w:p>
    <w:p w14:paraId="53B20FD9" w14:textId="77777777" w:rsidR="008E4ABB" w:rsidRPr="008E4ABB" w:rsidRDefault="008E4ABB" w:rsidP="00270319">
      <w:pPr>
        <w:numPr>
          <w:ilvl w:val="0"/>
          <w:numId w:val="147"/>
        </w:numPr>
        <w:tabs>
          <w:tab w:val="left" w:pos="844"/>
        </w:tabs>
        <w:ind w:left="851" w:hanging="284"/>
        <w:rPr>
          <w:rFonts w:eastAsia="Arial"/>
        </w:rPr>
      </w:pPr>
      <w:r w:rsidRPr="008E4ABB">
        <w:rPr>
          <w:rFonts w:eastAsia="Times New Roman"/>
        </w:rPr>
        <w:t>tato situace může nastat v případě, že krátkodobá nominál. úroková míra se blíží nule</w:t>
      </w:r>
    </w:p>
    <w:p w14:paraId="7116E407" w14:textId="77777777" w:rsidR="008E4ABB" w:rsidRPr="008E4ABB" w:rsidRDefault="008E4ABB" w:rsidP="00270319">
      <w:pPr>
        <w:numPr>
          <w:ilvl w:val="0"/>
          <w:numId w:val="147"/>
        </w:numPr>
        <w:tabs>
          <w:tab w:val="left" w:pos="844"/>
        </w:tabs>
        <w:ind w:left="851" w:hanging="284"/>
        <w:rPr>
          <w:rFonts w:eastAsia="Arial"/>
        </w:rPr>
      </w:pPr>
      <w:r w:rsidRPr="008E4ABB">
        <w:rPr>
          <w:rFonts w:eastAsia="Times New Roman"/>
        </w:rPr>
        <w:t>důsledkem je pak horizontální poptávka po penězích (tedy i křivka LM)</w:t>
      </w:r>
    </w:p>
    <w:p w14:paraId="1636C579" w14:textId="77777777" w:rsidR="008E4ABB" w:rsidRPr="008E4ABB" w:rsidRDefault="008E4ABB" w:rsidP="00270319">
      <w:pPr>
        <w:numPr>
          <w:ilvl w:val="0"/>
          <w:numId w:val="147"/>
        </w:numPr>
        <w:tabs>
          <w:tab w:val="left" w:pos="844"/>
        </w:tabs>
        <w:spacing w:line="365" w:lineRule="auto"/>
        <w:ind w:left="851" w:hanging="284"/>
        <w:rPr>
          <w:rFonts w:eastAsia="Arial"/>
        </w:rPr>
      </w:pPr>
      <w:r w:rsidRPr="008E4ABB">
        <w:rPr>
          <w:rFonts w:eastAsia="Times New Roman"/>
        </w:rPr>
        <w:lastRenderedPageBreak/>
        <w:t>růst peněžní zásoby nevyvolává pokles úrokové míry - subjekty preferují likviditu před jinými aktivy</w:t>
      </w:r>
    </w:p>
    <w:p w14:paraId="4E428035" w14:textId="77777777" w:rsidR="008E4ABB" w:rsidRPr="008E4ABB" w:rsidRDefault="008E4ABB" w:rsidP="00C41D60">
      <w:pPr>
        <w:spacing w:line="1" w:lineRule="exact"/>
        <w:ind w:left="851" w:hanging="284"/>
        <w:rPr>
          <w:rFonts w:eastAsia="Arial"/>
        </w:rPr>
      </w:pPr>
    </w:p>
    <w:p w14:paraId="683D5581" w14:textId="77777777" w:rsidR="008E4ABB" w:rsidRPr="008E4ABB" w:rsidRDefault="008E4ABB" w:rsidP="00270319">
      <w:pPr>
        <w:numPr>
          <w:ilvl w:val="0"/>
          <w:numId w:val="147"/>
        </w:numPr>
        <w:tabs>
          <w:tab w:val="left" w:pos="844"/>
        </w:tabs>
        <w:ind w:left="851" w:hanging="284"/>
        <w:rPr>
          <w:rFonts w:eastAsia="Arial"/>
        </w:rPr>
      </w:pPr>
      <w:r w:rsidRPr="008E4ABB">
        <w:rPr>
          <w:rFonts w:eastAsia="Times New Roman"/>
        </w:rPr>
        <w:t>Nízké úrokové míry představují nízké náklady držby peněz</w:t>
      </w:r>
    </w:p>
    <w:p w14:paraId="1406376B" w14:textId="77777777" w:rsidR="008E4ABB" w:rsidRPr="008E4ABB" w:rsidRDefault="008E4ABB" w:rsidP="00270319">
      <w:pPr>
        <w:numPr>
          <w:ilvl w:val="0"/>
          <w:numId w:val="147"/>
        </w:numPr>
        <w:tabs>
          <w:tab w:val="left" w:pos="844"/>
        </w:tabs>
        <w:ind w:left="851" w:hanging="284"/>
        <w:rPr>
          <w:rFonts w:eastAsia="Arial"/>
        </w:rPr>
      </w:pPr>
      <w:r w:rsidRPr="008E4ABB">
        <w:rPr>
          <w:rFonts w:eastAsia="Times New Roman"/>
        </w:rPr>
        <w:t>Subjekty očekávají růst úrokové míry do budoucna, proto dnes preferují držbu peněz</w:t>
      </w:r>
    </w:p>
    <w:p w14:paraId="4D88B985" w14:textId="77777777" w:rsidR="008E4ABB" w:rsidRPr="008E4ABB" w:rsidRDefault="008E4ABB" w:rsidP="00C41D60">
      <w:pPr>
        <w:spacing w:line="119" w:lineRule="exact"/>
        <w:ind w:left="851" w:hanging="284"/>
        <w:rPr>
          <w:rFonts w:eastAsia="Arial"/>
        </w:rPr>
      </w:pPr>
    </w:p>
    <w:p w14:paraId="1141FF42" w14:textId="77777777" w:rsidR="008E4ABB" w:rsidRPr="008E4ABB" w:rsidRDefault="008E4ABB" w:rsidP="00270319">
      <w:pPr>
        <w:numPr>
          <w:ilvl w:val="0"/>
          <w:numId w:val="147"/>
        </w:numPr>
        <w:tabs>
          <w:tab w:val="left" w:pos="844"/>
        </w:tabs>
        <w:ind w:left="851" w:hanging="284"/>
        <w:rPr>
          <w:rFonts w:eastAsia="Arial"/>
        </w:rPr>
      </w:pPr>
      <w:r w:rsidRPr="008E4ABB">
        <w:rPr>
          <w:rFonts w:eastAsia="Times New Roman"/>
        </w:rPr>
        <w:t xml:space="preserve">Monetární politika je v pasti likvidity </w:t>
      </w:r>
      <w:r w:rsidRPr="008E4ABB">
        <w:rPr>
          <w:rFonts w:eastAsia="Times New Roman"/>
          <w:b/>
          <w:bCs/>
        </w:rPr>
        <w:t>zcela neúčinná</w:t>
      </w:r>
      <w:r w:rsidRPr="008E4ABB">
        <w:rPr>
          <w:rFonts w:eastAsia="Times New Roman"/>
        </w:rPr>
        <w:t>.</w:t>
      </w:r>
    </w:p>
    <w:p w14:paraId="2BEA3595" w14:textId="77777777" w:rsidR="008E4ABB" w:rsidRPr="008E4ABB" w:rsidRDefault="008E4ABB" w:rsidP="008E4ABB">
      <w:pPr>
        <w:ind w:left="104"/>
        <w:rPr>
          <w:sz w:val="20"/>
          <w:szCs w:val="20"/>
        </w:rPr>
      </w:pPr>
      <w:r w:rsidRPr="008E4ABB">
        <w:rPr>
          <w:rFonts w:eastAsia="Times New Roman"/>
          <w:b/>
          <w:bCs/>
          <w:szCs w:val="24"/>
        </w:rPr>
        <w:t>Graf - Monetární politika v pasti likvidity</w:t>
      </w:r>
    </w:p>
    <w:p w14:paraId="53166E38" w14:textId="77777777" w:rsidR="008E4ABB" w:rsidRPr="008E4ABB" w:rsidRDefault="008E4ABB" w:rsidP="008E4ABB">
      <w:pPr>
        <w:spacing w:line="20" w:lineRule="exact"/>
        <w:rPr>
          <w:sz w:val="20"/>
          <w:szCs w:val="20"/>
        </w:rPr>
      </w:pPr>
    </w:p>
    <w:p w14:paraId="1E8F3310" w14:textId="77777777" w:rsidR="008E4ABB" w:rsidRPr="008E4ABB" w:rsidRDefault="008E4ABB" w:rsidP="008E4ABB">
      <w:pPr>
        <w:spacing w:line="200" w:lineRule="exact"/>
        <w:rPr>
          <w:sz w:val="20"/>
          <w:szCs w:val="20"/>
        </w:rPr>
      </w:pPr>
      <w:r w:rsidRPr="008E4ABB">
        <w:rPr>
          <w:noProof/>
          <w:sz w:val="20"/>
          <w:szCs w:val="20"/>
        </w:rPr>
        <w:drawing>
          <wp:anchor distT="0" distB="0" distL="114300" distR="114300" simplePos="0" relativeHeight="251752960" behindDoc="1" locked="0" layoutInCell="0" allowOverlap="1" wp14:anchorId="5B934DF6" wp14:editId="263FF83D">
            <wp:simplePos x="0" y="0"/>
            <wp:positionH relativeFrom="column">
              <wp:posOffset>3175</wp:posOffset>
            </wp:positionH>
            <wp:positionV relativeFrom="paragraph">
              <wp:posOffset>60325</wp:posOffset>
            </wp:positionV>
            <wp:extent cx="3933825" cy="2797175"/>
            <wp:effectExtent l="0" t="0" r="9525" b="317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9"/>
                    <a:srcRect/>
                    <a:stretch>
                      <a:fillRect/>
                    </a:stretch>
                  </pic:blipFill>
                  <pic:spPr bwMode="auto">
                    <a:xfrm>
                      <a:off x="0" y="0"/>
                      <a:ext cx="3933825" cy="2797175"/>
                    </a:xfrm>
                    <a:prstGeom prst="rect">
                      <a:avLst/>
                    </a:prstGeom>
                    <a:noFill/>
                  </pic:spPr>
                </pic:pic>
              </a:graphicData>
            </a:graphic>
            <wp14:sizeRelH relativeFrom="margin">
              <wp14:pctWidth>0</wp14:pctWidth>
            </wp14:sizeRelH>
            <wp14:sizeRelV relativeFrom="margin">
              <wp14:pctHeight>0</wp14:pctHeight>
            </wp14:sizeRelV>
          </wp:anchor>
        </w:drawing>
      </w:r>
    </w:p>
    <w:p w14:paraId="76A6A2AF" w14:textId="77777777" w:rsidR="008E4ABB" w:rsidRPr="008E4ABB" w:rsidRDefault="008E4ABB" w:rsidP="008E4ABB">
      <w:pPr>
        <w:spacing w:line="200" w:lineRule="exact"/>
        <w:rPr>
          <w:sz w:val="20"/>
          <w:szCs w:val="20"/>
        </w:rPr>
      </w:pPr>
    </w:p>
    <w:p w14:paraId="71BC046A" w14:textId="77777777" w:rsidR="008E4ABB" w:rsidRPr="008E4ABB" w:rsidRDefault="008E4ABB" w:rsidP="008E4ABB">
      <w:pPr>
        <w:spacing w:line="200" w:lineRule="exact"/>
        <w:rPr>
          <w:sz w:val="20"/>
          <w:szCs w:val="20"/>
        </w:rPr>
      </w:pPr>
    </w:p>
    <w:p w14:paraId="550245A0" w14:textId="77777777" w:rsidR="008E4ABB" w:rsidRPr="008E4ABB" w:rsidRDefault="008E4ABB" w:rsidP="008E4ABB">
      <w:pPr>
        <w:spacing w:line="200" w:lineRule="exact"/>
        <w:rPr>
          <w:sz w:val="20"/>
          <w:szCs w:val="20"/>
        </w:rPr>
      </w:pPr>
    </w:p>
    <w:p w14:paraId="5335F359" w14:textId="77777777" w:rsidR="008E4ABB" w:rsidRPr="008E4ABB" w:rsidRDefault="008E4ABB" w:rsidP="008E4ABB">
      <w:pPr>
        <w:spacing w:line="200" w:lineRule="exact"/>
        <w:rPr>
          <w:sz w:val="20"/>
          <w:szCs w:val="20"/>
        </w:rPr>
      </w:pPr>
    </w:p>
    <w:p w14:paraId="57C59092" w14:textId="77777777" w:rsidR="008E4ABB" w:rsidRPr="008E4ABB" w:rsidRDefault="008E4ABB" w:rsidP="008E4ABB">
      <w:pPr>
        <w:spacing w:line="200" w:lineRule="exact"/>
        <w:rPr>
          <w:sz w:val="20"/>
          <w:szCs w:val="20"/>
        </w:rPr>
      </w:pPr>
    </w:p>
    <w:p w14:paraId="514818D0" w14:textId="77777777" w:rsidR="008E4ABB" w:rsidRPr="008E4ABB" w:rsidRDefault="008E4ABB" w:rsidP="008E4ABB">
      <w:pPr>
        <w:spacing w:line="200" w:lineRule="exact"/>
        <w:rPr>
          <w:sz w:val="20"/>
          <w:szCs w:val="20"/>
        </w:rPr>
      </w:pPr>
    </w:p>
    <w:p w14:paraId="55ECD35B" w14:textId="77777777" w:rsidR="008E4ABB" w:rsidRPr="008E4ABB" w:rsidRDefault="008E4ABB" w:rsidP="008E4ABB">
      <w:pPr>
        <w:spacing w:line="200" w:lineRule="exact"/>
        <w:rPr>
          <w:sz w:val="20"/>
          <w:szCs w:val="20"/>
        </w:rPr>
      </w:pPr>
    </w:p>
    <w:p w14:paraId="79752432" w14:textId="77777777" w:rsidR="008E4ABB" w:rsidRPr="008E4ABB" w:rsidRDefault="008E4ABB" w:rsidP="008E4ABB">
      <w:pPr>
        <w:spacing w:line="200" w:lineRule="exact"/>
        <w:rPr>
          <w:sz w:val="20"/>
          <w:szCs w:val="20"/>
        </w:rPr>
      </w:pPr>
    </w:p>
    <w:p w14:paraId="1DFA7FB6" w14:textId="77777777" w:rsidR="008E4ABB" w:rsidRPr="008E4ABB" w:rsidRDefault="008E4ABB" w:rsidP="008E4ABB">
      <w:pPr>
        <w:spacing w:line="200" w:lineRule="exact"/>
        <w:rPr>
          <w:sz w:val="20"/>
          <w:szCs w:val="20"/>
        </w:rPr>
      </w:pPr>
    </w:p>
    <w:p w14:paraId="2E02322C" w14:textId="77777777" w:rsidR="008E4ABB" w:rsidRPr="008E4ABB" w:rsidRDefault="008E4ABB" w:rsidP="008E4ABB">
      <w:pPr>
        <w:spacing w:line="200" w:lineRule="exact"/>
        <w:rPr>
          <w:sz w:val="20"/>
          <w:szCs w:val="20"/>
        </w:rPr>
      </w:pPr>
    </w:p>
    <w:p w14:paraId="254B9FA6" w14:textId="77777777" w:rsidR="008E4ABB" w:rsidRPr="008E4ABB" w:rsidRDefault="008E4ABB" w:rsidP="008E4ABB">
      <w:pPr>
        <w:spacing w:line="200" w:lineRule="exact"/>
        <w:rPr>
          <w:sz w:val="20"/>
          <w:szCs w:val="20"/>
        </w:rPr>
      </w:pPr>
    </w:p>
    <w:p w14:paraId="613858BA" w14:textId="77777777" w:rsidR="008E4ABB" w:rsidRPr="008E4ABB" w:rsidRDefault="008E4ABB" w:rsidP="008E4ABB">
      <w:pPr>
        <w:spacing w:line="200" w:lineRule="exact"/>
        <w:rPr>
          <w:sz w:val="20"/>
          <w:szCs w:val="20"/>
        </w:rPr>
      </w:pPr>
    </w:p>
    <w:p w14:paraId="49B0C4F7" w14:textId="77777777" w:rsidR="008E4ABB" w:rsidRPr="008E4ABB" w:rsidRDefault="008E4ABB" w:rsidP="008E4ABB">
      <w:pPr>
        <w:spacing w:line="200" w:lineRule="exact"/>
        <w:rPr>
          <w:sz w:val="20"/>
          <w:szCs w:val="20"/>
        </w:rPr>
      </w:pPr>
    </w:p>
    <w:p w14:paraId="1D811911" w14:textId="77777777" w:rsidR="008E4ABB" w:rsidRPr="008E4ABB" w:rsidRDefault="008E4ABB" w:rsidP="008E4ABB">
      <w:pPr>
        <w:spacing w:line="200" w:lineRule="exact"/>
        <w:rPr>
          <w:sz w:val="20"/>
          <w:szCs w:val="20"/>
        </w:rPr>
      </w:pPr>
    </w:p>
    <w:p w14:paraId="7CAB52C6" w14:textId="77777777" w:rsidR="008E4ABB" w:rsidRPr="008E4ABB" w:rsidRDefault="008E4ABB" w:rsidP="008E4ABB">
      <w:pPr>
        <w:spacing w:line="200" w:lineRule="exact"/>
        <w:rPr>
          <w:sz w:val="20"/>
          <w:szCs w:val="20"/>
        </w:rPr>
      </w:pPr>
    </w:p>
    <w:p w14:paraId="53937F92" w14:textId="77777777" w:rsidR="008E4ABB" w:rsidRPr="008E4ABB" w:rsidRDefault="008E4ABB" w:rsidP="008E4ABB">
      <w:pPr>
        <w:spacing w:line="200" w:lineRule="exact"/>
        <w:rPr>
          <w:sz w:val="20"/>
          <w:szCs w:val="20"/>
        </w:rPr>
      </w:pPr>
    </w:p>
    <w:p w14:paraId="5C91F7CD" w14:textId="77777777" w:rsidR="008E4ABB" w:rsidRPr="008E4ABB" w:rsidRDefault="008E4ABB" w:rsidP="008E4ABB">
      <w:pPr>
        <w:spacing w:line="200" w:lineRule="exact"/>
        <w:rPr>
          <w:sz w:val="20"/>
          <w:szCs w:val="20"/>
        </w:rPr>
      </w:pPr>
    </w:p>
    <w:p w14:paraId="66DC65A9" w14:textId="77777777" w:rsidR="008E4ABB" w:rsidRPr="008E4ABB" w:rsidRDefault="008E4ABB" w:rsidP="008E4ABB">
      <w:pPr>
        <w:spacing w:line="200" w:lineRule="exact"/>
        <w:rPr>
          <w:sz w:val="20"/>
          <w:szCs w:val="20"/>
        </w:rPr>
      </w:pPr>
    </w:p>
    <w:p w14:paraId="3034FDB4" w14:textId="77777777" w:rsidR="008E4ABB" w:rsidRPr="008E4ABB" w:rsidRDefault="008E4ABB" w:rsidP="008E4ABB">
      <w:pPr>
        <w:spacing w:line="200" w:lineRule="exact"/>
        <w:rPr>
          <w:sz w:val="20"/>
          <w:szCs w:val="20"/>
        </w:rPr>
      </w:pPr>
    </w:p>
    <w:p w14:paraId="7BF5BF26" w14:textId="77777777" w:rsidR="008E4ABB" w:rsidRPr="008E4ABB" w:rsidRDefault="008E4ABB" w:rsidP="008E4ABB">
      <w:pPr>
        <w:spacing w:line="200" w:lineRule="exact"/>
        <w:rPr>
          <w:sz w:val="20"/>
          <w:szCs w:val="20"/>
        </w:rPr>
      </w:pPr>
    </w:p>
    <w:p w14:paraId="1DB31010" w14:textId="77777777" w:rsidR="008E4ABB" w:rsidRPr="008E4ABB" w:rsidRDefault="008E4ABB" w:rsidP="008E4ABB">
      <w:pPr>
        <w:spacing w:line="200" w:lineRule="exact"/>
        <w:rPr>
          <w:sz w:val="20"/>
          <w:szCs w:val="20"/>
        </w:rPr>
      </w:pPr>
    </w:p>
    <w:p w14:paraId="797C0801" w14:textId="77777777" w:rsidR="008E4ABB" w:rsidRPr="008E4ABB" w:rsidRDefault="008E4ABB" w:rsidP="008E4ABB">
      <w:pPr>
        <w:spacing w:line="200" w:lineRule="exact"/>
        <w:rPr>
          <w:sz w:val="20"/>
          <w:szCs w:val="20"/>
        </w:rPr>
      </w:pPr>
    </w:p>
    <w:p w14:paraId="264C1888" w14:textId="77777777" w:rsidR="008E4ABB" w:rsidRPr="00266F2F" w:rsidRDefault="008E4ABB" w:rsidP="00F47DAD">
      <w:pPr>
        <w:pStyle w:val="Nadpis4"/>
        <w:rPr>
          <w:color w:val="1F3864" w:themeColor="accent1" w:themeShade="80"/>
          <w:sz w:val="20"/>
          <w:szCs w:val="20"/>
        </w:rPr>
      </w:pPr>
      <w:bookmarkStart w:id="155" w:name="page152"/>
      <w:bookmarkEnd w:id="155"/>
      <w:r w:rsidRPr="00266F2F">
        <w:rPr>
          <w:rFonts w:eastAsia="Times New Roman"/>
          <w:color w:val="1F3864" w:themeColor="accent1" w:themeShade="80"/>
        </w:rPr>
        <w:t>Účinnost monetární politiky v tzv. „klasickém případě“</w:t>
      </w:r>
    </w:p>
    <w:p w14:paraId="5055F126" w14:textId="77777777" w:rsidR="008E4ABB" w:rsidRPr="008E4ABB" w:rsidRDefault="008E4ABB" w:rsidP="008E4ABB">
      <w:pPr>
        <w:spacing w:line="161" w:lineRule="exact"/>
        <w:rPr>
          <w:sz w:val="20"/>
          <w:szCs w:val="20"/>
        </w:rPr>
      </w:pPr>
    </w:p>
    <w:p w14:paraId="0C110D2F" w14:textId="77777777" w:rsidR="008E4ABB" w:rsidRPr="008E4ABB" w:rsidRDefault="008E4ABB" w:rsidP="008E4ABB">
      <w:pPr>
        <w:rPr>
          <w:sz w:val="20"/>
          <w:szCs w:val="20"/>
        </w:rPr>
      </w:pPr>
      <w:r w:rsidRPr="008E4ABB">
        <w:rPr>
          <w:rFonts w:eastAsia="Times New Roman"/>
          <w:b/>
          <w:bCs/>
          <w:szCs w:val="24"/>
        </w:rPr>
        <w:t xml:space="preserve">Klasický případ </w:t>
      </w:r>
      <w:r w:rsidRPr="008E4ABB">
        <w:rPr>
          <w:rFonts w:eastAsia="Times New Roman"/>
          <w:szCs w:val="24"/>
        </w:rPr>
        <w:t>je taková situace, kdy se zcela vytrácí spekulativní motiv držby peněz</w:t>
      </w:r>
    </w:p>
    <w:p w14:paraId="05337767" w14:textId="77777777" w:rsidR="008E4ABB" w:rsidRPr="008E4ABB" w:rsidRDefault="008E4ABB" w:rsidP="008E4ABB">
      <w:pPr>
        <w:spacing w:line="156" w:lineRule="exact"/>
        <w:rPr>
          <w:sz w:val="20"/>
          <w:szCs w:val="20"/>
        </w:rPr>
      </w:pPr>
    </w:p>
    <w:p w14:paraId="0126AFCE" w14:textId="000213E7" w:rsidR="008E4ABB" w:rsidRPr="004B6CDE" w:rsidRDefault="008E4ABB" w:rsidP="004B6CDE">
      <w:pPr>
        <w:numPr>
          <w:ilvl w:val="0"/>
          <w:numId w:val="148"/>
        </w:numPr>
        <w:tabs>
          <w:tab w:val="left" w:pos="720"/>
        </w:tabs>
        <w:ind w:left="851" w:hanging="284"/>
        <w:rPr>
          <w:rFonts w:eastAsia="Arial"/>
          <w:szCs w:val="24"/>
        </w:rPr>
      </w:pPr>
      <w:r w:rsidRPr="008E4ABB">
        <w:rPr>
          <w:rFonts w:eastAsia="Times New Roman"/>
          <w:szCs w:val="24"/>
        </w:rPr>
        <w:t xml:space="preserve">peníze jsou drženy pouze </w:t>
      </w:r>
      <w:r w:rsidRPr="008E4ABB">
        <w:rPr>
          <w:rFonts w:eastAsia="Times New Roman"/>
          <w:b/>
          <w:bCs/>
          <w:szCs w:val="24"/>
        </w:rPr>
        <w:t>z transakčních důvodů</w:t>
      </w:r>
    </w:p>
    <w:p w14:paraId="7750F512" w14:textId="0D4F7B3A" w:rsidR="008E4ABB" w:rsidRPr="004B6CDE" w:rsidRDefault="008E4ABB" w:rsidP="004B6CDE">
      <w:pPr>
        <w:numPr>
          <w:ilvl w:val="0"/>
          <w:numId w:val="148"/>
        </w:numPr>
        <w:tabs>
          <w:tab w:val="left" w:pos="720"/>
        </w:tabs>
        <w:ind w:left="851" w:hanging="284"/>
        <w:rPr>
          <w:rFonts w:eastAsia="Arial"/>
          <w:szCs w:val="24"/>
        </w:rPr>
      </w:pPr>
      <w:r w:rsidRPr="008E4ABB">
        <w:rPr>
          <w:rFonts w:eastAsia="Times New Roman"/>
          <w:szCs w:val="24"/>
        </w:rPr>
        <w:t xml:space="preserve">může nastat </w:t>
      </w:r>
      <w:r w:rsidRPr="008E4ABB">
        <w:rPr>
          <w:rFonts w:eastAsia="Times New Roman"/>
          <w:b/>
          <w:bCs/>
          <w:szCs w:val="24"/>
        </w:rPr>
        <w:t>při vysokých úrokových mírách</w:t>
      </w:r>
    </w:p>
    <w:p w14:paraId="02CB9100" w14:textId="1BA22638" w:rsidR="008E4ABB" w:rsidRPr="004B6CDE" w:rsidRDefault="008E4ABB" w:rsidP="004B6CDE">
      <w:pPr>
        <w:numPr>
          <w:ilvl w:val="0"/>
          <w:numId w:val="148"/>
        </w:numPr>
        <w:tabs>
          <w:tab w:val="left" w:pos="720"/>
        </w:tabs>
        <w:ind w:left="851" w:hanging="284"/>
        <w:rPr>
          <w:rFonts w:eastAsia="Arial"/>
          <w:szCs w:val="24"/>
        </w:rPr>
      </w:pPr>
      <w:r w:rsidRPr="008E4ABB">
        <w:rPr>
          <w:rFonts w:eastAsia="Times New Roman"/>
          <w:szCs w:val="24"/>
        </w:rPr>
        <w:t xml:space="preserve">důsledkem je </w:t>
      </w:r>
      <w:r w:rsidRPr="008E4ABB">
        <w:rPr>
          <w:rFonts w:eastAsia="Times New Roman"/>
          <w:b/>
          <w:bCs/>
          <w:szCs w:val="24"/>
        </w:rPr>
        <w:t>vertikální křivka poptávky po penězích (tedy i křivka LM)</w:t>
      </w:r>
    </w:p>
    <w:p w14:paraId="7978594A" w14:textId="69B0F87F" w:rsidR="008E4ABB" w:rsidRPr="004B6CDE" w:rsidRDefault="008E4ABB" w:rsidP="004B6CDE">
      <w:pPr>
        <w:numPr>
          <w:ilvl w:val="0"/>
          <w:numId w:val="148"/>
        </w:numPr>
        <w:tabs>
          <w:tab w:val="left" w:pos="720"/>
        </w:tabs>
        <w:ind w:left="851" w:hanging="284"/>
        <w:rPr>
          <w:rFonts w:eastAsia="Arial"/>
          <w:szCs w:val="24"/>
        </w:rPr>
      </w:pPr>
      <w:r w:rsidRPr="008E4ABB">
        <w:rPr>
          <w:rFonts w:eastAsia="Times New Roman"/>
          <w:szCs w:val="24"/>
        </w:rPr>
        <w:t>měnová expanze způsobí pokles úrokové míry</w:t>
      </w:r>
    </w:p>
    <w:p w14:paraId="19065C21" w14:textId="4CC7855B" w:rsidR="008E4ABB" w:rsidRPr="008E4ABB" w:rsidRDefault="008E4ABB" w:rsidP="00266F2F">
      <w:pPr>
        <w:numPr>
          <w:ilvl w:val="0"/>
          <w:numId w:val="148"/>
        </w:numPr>
        <w:tabs>
          <w:tab w:val="left" w:pos="720"/>
        </w:tabs>
        <w:ind w:left="851" w:hanging="284"/>
        <w:rPr>
          <w:rFonts w:eastAsia="Arial"/>
          <w:szCs w:val="24"/>
        </w:rPr>
      </w:pPr>
      <w:r w:rsidRPr="008E4ABB">
        <w:rPr>
          <w:rFonts w:eastAsia="Times New Roman"/>
          <w:szCs w:val="24"/>
        </w:rPr>
        <w:t>vzrostou výdaje citlivé na úrokovou míru (investice + soukromá spotřeba) a dojde k růstu výstupu</w:t>
      </w:r>
    </w:p>
    <w:p w14:paraId="2409155D" w14:textId="128E523C" w:rsidR="008E4ABB" w:rsidRPr="008E4ABB" w:rsidRDefault="008E4ABB" w:rsidP="008E4ABB">
      <w:pPr>
        <w:spacing w:line="130" w:lineRule="exact"/>
        <w:rPr>
          <w:sz w:val="20"/>
          <w:szCs w:val="20"/>
        </w:rPr>
      </w:pPr>
    </w:p>
    <w:p w14:paraId="0B854D2E" w14:textId="78F5945F" w:rsidR="008E4ABB" w:rsidRPr="008E4ABB" w:rsidRDefault="004B6CDE" w:rsidP="008E4ABB">
      <w:pPr>
        <w:ind w:left="100"/>
        <w:rPr>
          <w:sz w:val="20"/>
          <w:szCs w:val="20"/>
        </w:rPr>
      </w:pPr>
      <w:r w:rsidRPr="008E4ABB">
        <w:rPr>
          <w:noProof/>
          <w:sz w:val="20"/>
          <w:szCs w:val="20"/>
        </w:rPr>
        <w:drawing>
          <wp:anchor distT="0" distB="0" distL="114300" distR="114300" simplePos="0" relativeHeight="251709952" behindDoc="1" locked="0" layoutInCell="0" allowOverlap="1" wp14:anchorId="783EA25E" wp14:editId="7F22F88D">
            <wp:simplePos x="0" y="0"/>
            <wp:positionH relativeFrom="column">
              <wp:posOffset>200025</wp:posOffset>
            </wp:positionH>
            <wp:positionV relativeFrom="paragraph">
              <wp:posOffset>15240</wp:posOffset>
            </wp:positionV>
            <wp:extent cx="2849880" cy="209994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0"/>
                    <a:srcRect/>
                    <a:stretch>
                      <a:fillRect/>
                    </a:stretch>
                  </pic:blipFill>
                  <pic:spPr bwMode="auto">
                    <a:xfrm>
                      <a:off x="0" y="0"/>
                      <a:ext cx="2849880" cy="2099945"/>
                    </a:xfrm>
                    <a:prstGeom prst="rect">
                      <a:avLst/>
                    </a:prstGeom>
                    <a:noFill/>
                  </pic:spPr>
                </pic:pic>
              </a:graphicData>
            </a:graphic>
          </wp:anchor>
        </w:drawing>
      </w:r>
      <w:r w:rsidR="008E4ABB" w:rsidRPr="008E4ABB">
        <w:rPr>
          <w:rFonts w:eastAsia="Times New Roman"/>
          <w:b/>
          <w:bCs/>
          <w:szCs w:val="24"/>
        </w:rPr>
        <w:t>Graf - Monetární politika v klasickém případě</w:t>
      </w:r>
    </w:p>
    <w:p w14:paraId="13EEA0A0" w14:textId="6DEC973E" w:rsidR="008E4ABB" w:rsidRPr="008E4ABB" w:rsidRDefault="008E4ABB" w:rsidP="008E4ABB">
      <w:pPr>
        <w:spacing w:line="20" w:lineRule="exact"/>
        <w:rPr>
          <w:sz w:val="20"/>
          <w:szCs w:val="20"/>
        </w:rPr>
      </w:pPr>
    </w:p>
    <w:p w14:paraId="4494D578" w14:textId="37C9F2B1" w:rsidR="008E4ABB" w:rsidRPr="008E4ABB" w:rsidRDefault="008E4ABB" w:rsidP="008E4ABB">
      <w:pPr>
        <w:spacing w:line="200" w:lineRule="exact"/>
        <w:rPr>
          <w:sz w:val="20"/>
          <w:szCs w:val="20"/>
        </w:rPr>
      </w:pPr>
    </w:p>
    <w:p w14:paraId="1CCE310A" w14:textId="77777777" w:rsidR="008E4ABB" w:rsidRPr="008E4ABB" w:rsidRDefault="008E4ABB" w:rsidP="008E4ABB">
      <w:pPr>
        <w:spacing w:line="200" w:lineRule="exact"/>
        <w:rPr>
          <w:sz w:val="20"/>
          <w:szCs w:val="20"/>
        </w:rPr>
      </w:pPr>
    </w:p>
    <w:p w14:paraId="2D3C1B4F" w14:textId="77777777" w:rsidR="008E4ABB" w:rsidRPr="008E4ABB" w:rsidRDefault="008E4ABB" w:rsidP="008E4ABB">
      <w:pPr>
        <w:spacing w:line="200" w:lineRule="exact"/>
        <w:rPr>
          <w:sz w:val="20"/>
          <w:szCs w:val="20"/>
        </w:rPr>
      </w:pPr>
    </w:p>
    <w:p w14:paraId="2CB8D5C1" w14:textId="77777777" w:rsidR="008E4ABB" w:rsidRPr="008E4ABB" w:rsidRDefault="008E4ABB" w:rsidP="008E4ABB">
      <w:pPr>
        <w:spacing w:line="200" w:lineRule="exact"/>
        <w:rPr>
          <w:sz w:val="20"/>
          <w:szCs w:val="20"/>
        </w:rPr>
      </w:pPr>
    </w:p>
    <w:p w14:paraId="49ED0C81" w14:textId="77777777" w:rsidR="008E4ABB" w:rsidRPr="008E4ABB" w:rsidRDefault="008E4ABB" w:rsidP="008E4ABB">
      <w:pPr>
        <w:spacing w:line="200" w:lineRule="exact"/>
        <w:rPr>
          <w:sz w:val="20"/>
          <w:szCs w:val="20"/>
        </w:rPr>
      </w:pPr>
    </w:p>
    <w:p w14:paraId="26057DF7" w14:textId="77777777" w:rsidR="008E4ABB" w:rsidRPr="008E4ABB" w:rsidRDefault="008E4ABB" w:rsidP="008E4ABB">
      <w:pPr>
        <w:spacing w:line="326" w:lineRule="exact"/>
        <w:rPr>
          <w:sz w:val="20"/>
          <w:szCs w:val="20"/>
        </w:rPr>
      </w:pPr>
    </w:p>
    <w:p w14:paraId="5D0F53CB" w14:textId="77777777" w:rsidR="004B6CDE" w:rsidRDefault="004B6CDE" w:rsidP="008E4ABB">
      <w:pPr>
        <w:rPr>
          <w:rFonts w:eastAsia="Times New Roman"/>
          <w:szCs w:val="24"/>
        </w:rPr>
      </w:pPr>
    </w:p>
    <w:p w14:paraId="3403ECB1" w14:textId="77777777" w:rsidR="004B6CDE" w:rsidRDefault="004B6CDE" w:rsidP="008E4ABB">
      <w:pPr>
        <w:rPr>
          <w:rFonts w:eastAsia="Times New Roman"/>
          <w:szCs w:val="24"/>
        </w:rPr>
      </w:pPr>
    </w:p>
    <w:p w14:paraId="1F7D936F" w14:textId="77777777" w:rsidR="004B6CDE" w:rsidRDefault="004B6CDE" w:rsidP="008E4ABB">
      <w:pPr>
        <w:rPr>
          <w:rFonts w:eastAsia="Times New Roman"/>
          <w:szCs w:val="24"/>
        </w:rPr>
      </w:pPr>
    </w:p>
    <w:p w14:paraId="706D7E25" w14:textId="77777777" w:rsidR="004B6CDE" w:rsidRDefault="004B6CDE" w:rsidP="008E4ABB">
      <w:pPr>
        <w:rPr>
          <w:rFonts w:eastAsia="Times New Roman"/>
          <w:szCs w:val="24"/>
        </w:rPr>
      </w:pPr>
    </w:p>
    <w:p w14:paraId="3BBE430C" w14:textId="2F8DDD3F" w:rsidR="008E4ABB" w:rsidRPr="008E4ABB" w:rsidRDefault="008E4ABB" w:rsidP="008E4ABB">
      <w:pPr>
        <w:rPr>
          <w:sz w:val="20"/>
          <w:szCs w:val="20"/>
        </w:rPr>
      </w:pPr>
      <w:r w:rsidRPr="008E4ABB">
        <w:rPr>
          <w:rFonts w:eastAsia="Times New Roman"/>
          <w:szCs w:val="24"/>
        </w:rPr>
        <w:t>Měnová restrikce vyvolává opačné důsledky.</w:t>
      </w:r>
    </w:p>
    <w:p w14:paraId="0D1F06CB" w14:textId="77777777" w:rsidR="008E4ABB" w:rsidRPr="00266F2F" w:rsidRDefault="008E4ABB" w:rsidP="00F47DAD">
      <w:pPr>
        <w:pStyle w:val="Nadpis4"/>
        <w:rPr>
          <w:color w:val="1F3864" w:themeColor="accent1" w:themeShade="80"/>
          <w:sz w:val="20"/>
          <w:szCs w:val="20"/>
        </w:rPr>
      </w:pPr>
      <w:r w:rsidRPr="00266F2F">
        <w:rPr>
          <w:rFonts w:eastAsia="Times New Roman"/>
          <w:color w:val="1F3864" w:themeColor="accent1" w:themeShade="80"/>
        </w:rPr>
        <w:t>Účinnost monetární politiky – model AS-AD – základní situace</w:t>
      </w:r>
    </w:p>
    <w:p w14:paraId="7A544EA4" w14:textId="77777777" w:rsidR="008E4ABB" w:rsidRPr="008E4ABB" w:rsidRDefault="008E4ABB" w:rsidP="00270319">
      <w:pPr>
        <w:numPr>
          <w:ilvl w:val="0"/>
          <w:numId w:val="149"/>
        </w:numPr>
        <w:tabs>
          <w:tab w:val="left" w:pos="709"/>
        </w:tabs>
        <w:ind w:left="709" w:hanging="283"/>
        <w:rPr>
          <w:rFonts w:eastAsia="Arial"/>
          <w:sz w:val="26"/>
          <w:szCs w:val="26"/>
        </w:rPr>
      </w:pPr>
      <w:r w:rsidRPr="008E4ABB">
        <w:rPr>
          <w:rFonts w:eastAsia="Times New Roman"/>
          <w:szCs w:val="24"/>
        </w:rPr>
        <w:t>měnová expanze vyvolává posun LM vpravo, klesá úroková míra a roste výstup</w:t>
      </w:r>
    </w:p>
    <w:p w14:paraId="0F59F2ED" w14:textId="77777777" w:rsidR="008E4ABB" w:rsidRPr="008E4ABB" w:rsidRDefault="008E4ABB" w:rsidP="00270319">
      <w:pPr>
        <w:numPr>
          <w:ilvl w:val="0"/>
          <w:numId w:val="149"/>
        </w:numPr>
        <w:tabs>
          <w:tab w:val="left" w:pos="709"/>
        </w:tabs>
        <w:spacing w:line="353" w:lineRule="auto"/>
        <w:ind w:left="709" w:hanging="283"/>
        <w:rPr>
          <w:rFonts w:eastAsia="Arial"/>
          <w:sz w:val="26"/>
          <w:szCs w:val="26"/>
        </w:rPr>
      </w:pPr>
      <w:r w:rsidRPr="008E4ABB">
        <w:rPr>
          <w:rFonts w:eastAsia="Times New Roman"/>
          <w:szCs w:val="24"/>
        </w:rPr>
        <w:t>růst P způsobí tlumení růstu nabídky reálných peněžních zůstatků, LM se výsledně posune pouze do LM‘</w:t>
      </w:r>
    </w:p>
    <w:p w14:paraId="08C91FA1" w14:textId="77777777" w:rsidR="008E4ABB" w:rsidRPr="008E4ABB" w:rsidRDefault="008E4ABB" w:rsidP="00C41D60">
      <w:pPr>
        <w:tabs>
          <w:tab w:val="left" w:pos="709"/>
        </w:tabs>
        <w:spacing w:line="23" w:lineRule="exact"/>
        <w:ind w:left="709" w:hanging="283"/>
        <w:rPr>
          <w:rFonts w:eastAsia="Arial"/>
          <w:sz w:val="26"/>
          <w:szCs w:val="26"/>
        </w:rPr>
      </w:pPr>
    </w:p>
    <w:p w14:paraId="26CF1970" w14:textId="77777777" w:rsidR="008E4ABB" w:rsidRPr="008E4ABB" w:rsidRDefault="008E4ABB" w:rsidP="00270319">
      <w:pPr>
        <w:numPr>
          <w:ilvl w:val="0"/>
          <w:numId w:val="149"/>
        </w:numPr>
        <w:tabs>
          <w:tab w:val="left" w:pos="709"/>
        </w:tabs>
        <w:ind w:left="709" w:hanging="283"/>
        <w:rPr>
          <w:rFonts w:eastAsia="Arial"/>
          <w:sz w:val="26"/>
          <w:szCs w:val="26"/>
        </w:rPr>
      </w:pPr>
      <w:r w:rsidRPr="008E4ABB">
        <w:rPr>
          <w:rFonts w:eastAsia="Times New Roman"/>
          <w:szCs w:val="24"/>
        </w:rPr>
        <w:t>zároveň roste AD a cenová hladina</w:t>
      </w:r>
    </w:p>
    <w:p w14:paraId="720FAF22" w14:textId="77777777" w:rsidR="008E4ABB" w:rsidRPr="008E4ABB" w:rsidRDefault="008E4ABB" w:rsidP="00270319">
      <w:pPr>
        <w:numPr>
          <w:ilvl w:val="0"/>
          <w:numId w:val="149"/>
        </w:numPr>
        <w:tabs>
          <w:tab w:val="left" w:pos="709"/>
        </w:tabs>
        <w:spacing w:after="240" w:line="370" w:lineRule="auto"/>
        <w:ind w:left="709" w:hanging="283"/>
        <w:rPr>
          <w:rFonts w:eastAsia="Arial"/>
          <w:sz w:val="26"/>
          <w:szCs w:val="26"/>
        </w:rPr>
      </w:pPr>
      <w:r w:rsidRPr="008E4ABB">
        <w:rPr>
          <w:rFonts w:eastAsia="Times New Roman"/>
          <w:szCs w:val="24"/>
        </w:rPr>
        <w:t>výsledkem je růst výstupu i cenové hladiny, ale ne v takovém rozsahu jako při horizontální AS</w:t>
      </w:r>
    </w:p>
    <w:p w14:paraId="5EBE9633" w14:textId="77777777" w:rsidR="008E4ABB" w:rsidRPr="008E4ABB" w:rsidRDefault="008E4ABB" w:rsidP="008E4ABB">
      <w:pPr>
        <w:ind w:left="104"/>
        <w:rPr>
          <w:sz w:val="20"/>
          <w:szCs w:val="20"/>
        </w:rPr>
      </w:pPr>
      <w:bookmarkStart w:id="156" w:name="page153"/>
      <w:bookmarkEnd w:id="156"/>
      <w:r w:rsidRPr="008E4ABB">
        <w:rPr>
          <w:rFonts w:eastAsia="Times New Roman"/>
          <w:b/>
          <w:bCs/>
          <w:szCs w:val="24"/>
        </w:rPr>
        <w:t>Graf - Monetární politika v modelu AS-AD (základní situace)</w:t>
      </w:r>
    </w:p>
    <w:p w14:paraId="5094FD44" w14:textId="77777777" w:rsidR="008E4ABB" w:rsidRPr="008E4ABB" w:rsidRDefault="008E4ABB" w:rsidP="008E4ABB">
      <w:pPr>
        <w:spacing w:line="20" w:lineRule="exact"/>
        <w:rPr>
          <w:sz w:val="20"/>
          <w:szCs w:val="20"/>
        </w:rPr>
      </w:pPr>
    </w:p>
    <w:p w14:paraId="7EC4F244" w14:textId="77777777" w:rsidR="008E4ABB" w:rsidRPr="008E4ABB" w:rsidRDefault="008E4ABB" w:rsidP="008E4ABB">
      <w:pPr>
        <w:spacing w:line="200" w:lineRule="exact"/>
        <w:rPr>
          <w:sz w:val="20"/>
          <w:szCs w:val="20"/>
        </w:rPr>
      </w:pPr>
      <w:r w:rsidRPr="008E4ABB">
        <w:rPr>
          <w:noProof/>
          <w:sz w:val="20"/>
          <w:szCs w:val="20"/>
        </w:rPr>
        <w:drawing>
          <wp:anchor distT="0" distB="0" distL="114300" distR="114300" simplePos="0" relativeHeight="251757056" behindDoc="1" locked="0" layoutInCell="0" allowOverlap="1" wp14:anchorId="7F5B2EA9" wp14:editId="7BA6227E">
            <wp:simplePos x="0" y="0"/>
            <wp:positionH relativeFrom="margin">
              <wp:align>left</wp:align>
            </wp:positionH>
            <wp:positionV relativeFrom="paragraph">
              <wp:posOffset>101600</wp:posOffset>
            </wp:positionV>
            <wp:extent cx="3095625" cy="2315210"/>
            <wp:effectExtent l="0" t="0" r="9525" b="889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1"/>
                    <a:srcRect/>
                    <a:stretch>
                      <a:fillRect/>
                    </a:stretch>
                  </pic:blipFill>
                  <pic:spPr bwMode="auto">
                    <a:xfrm>
                      <a:off x="0" y="0"/>
                      <a:ext cx="3095625" cy="2315210"/>
                    </a:xfrm>
                    <a:prstGeom prst="rect">
                      <a:avLst/>
                    </a:prstGeom>
                    <a:noFill/>
                  </pic:spPr>
                </pic:pic>
              </a:graphicData>
            </a:graphic>
            <wp14:sizeRelH relativeFrom="margin">
              <wp14:pctWidth>0</wp14:pctWidth>
            </wp14:sizeRelH>
            <wp14:sizeRelV relativeFrom="margin">
              <wp14:pctHeight>0</wp14:pctHeight>
            </wp14:sizeRelV>
          </wp:anchor>
        </w:drawing>
      </w:r>
    </w:p>
    <w:p w14:paraId="648F0F5D" w14:textId="77777777" w:rsidR="008E4ABB" w:rsidRPr="008E4ABB" w:rsidRDefault="008E4ABB" w:rsidP="008E4ABB">
      <w:pPr>
        <w:spacing w:line="200" w:lineRule="exact"/>
        <w:rPr>
          <w:sz w:val="20"/>
          <w:szCs w:val="20"/>
        </w:rPr>
      </w:pPr>
    </w:p>
    <w:p w14:paraId="5F4D5BF1" w14:textId="77777777" w:rsidR="008E4ABB" w:rsidRPr="008E4ABB" w:rsidRDefault="008E4ABB" w:rsidP="008E4ABB">
      <w:pPr>
        <w:spacing w:line="200" w:lineRule="exact"/>
        <w:rPr>
          <w:sz w:val="20"/>
          <w:szCs w:val="20"/>
        </w:rPr>
      </w:pPr>
    </w:p>
    <w:p w14:paraId="35CD21BD" w14:textId="77777777" w:rsidR="008E4ABB" w:rsidRPr="008E4ABB" w:rsidRDefault="008E4ABB" w:rsidP="008E4ABB">
      <w:pPr>
        <w:spacing w:line="200" w:lineRule="exact"/>
        <w:rPr>
          <w:sz w:val="20"/>
          <w:szCs w:val="20"/>
        </w:rPr>
      </w:pPr>
    </w:p>
    <w:p w14:paraId="19942CCC" w14:textId="77777777" w:rsidR="008E4ABB" w:rsidRPr="008E4ABB" w:rsidRDefault="008E4ABB" w:rsidP="008E4ABB">
      <w:pPr>
        <w:spacing w:line="200" w:lineRule="exact"/>
        <w:rPr>
          <w:sz w:val="20"/>
          <w:szCs w:val="20"/>
        </w:rPr>
      </w:pPr>
    </w:p>
    <w:p w14:paraId="64875F7B" w14:textId="77777777" w:rsidR="008E4ABB" w:rsidRPr="008E4ABB" w:rsidRDefault="008E4ABB" w:rsidP="008E4ABB">
      <w:pPr>
        <w:spacing w:line="200" w:lineRule="exact"/>
        <w:rPr>
          <w:sz w:val="20"/>
          <w:szCs w:val="20"/>
        </w:rPr>
      </w:pPr>
    </w:p>
    <w:p w14:paraId="3866D590" w14:textId="77777777" w:rsidR="008E4ABB" w:rsidRPr="008E4ABB" w:rsidRDefault="008E4ABB" w:rsidP="008E4ABB">
      <w:pPr>
        <w:spacing w:line="200" w:lineRule="exact"/>
        <w:rPr>
          <w:sz w:val="20"/>
          <w:szCs w:val="20"/>
        </w:rPr>
      </w:pPr>
    </w:p>
    <w:p w14:paraId="5C1BD405" w14:textId="77777777" w:rsidR="008E4ABB" w:rsidRPr="008E4ABB" w:rsidRDefault="008E4ABB" w:rsidP="008E4ABB">
      <w:pPr>
        <w:spacing w:line="200" w:lineRule="exact"/>
        <w:rPr>
          <w:sz w:val="20"/>
          <w:szCs w:val="20"/>
        </w:rPr>
      </w:pPr>
    </w:p>
    <w:p w14:paraId="32A1B46F" w14:textId="77777777" w:rsidR="008E4ABB" w:rsidRPr="008E4ABB" w:rsidRDefault="008E4ABB" w:rsidP="008E4ABB">
      <w:pPr>
        <w:spacing w:line="200" w:lineRule="exact"/>
        <w:rPr>
          <w:sz w:val="20"/>
          <w:szCs w:val="20"/>
        </w:rPr>
      </w:pPr>
    </w:p>
    <w:p w14:paraId="0093E064" w14:textId="77777777" w:rsidR="008E4ABB" w:rsidRPr="008E4ABB" w:rsidRDefault="008E4ABB" w:rsidP="008E4ABB">
      <w:pPr>
        <w:spacing w:line="200" w:lineRule="exact"/>
        <w:rPr>
          <w:sz w:val="20"/>
          <w:szCs w:val="20"/>
        </w:rPr>
      </w:pPr>
    </w:p>
    <w:p w14:paraId="44141C8B" w14:textId="77777777" w:rsidR="008E4ABB" w:rsidRPr="008E4ABB" w:rsidRDefault="008E4ABB" w:rsidP="008E4ABB">
      <w:pPr>
        <w:spacing w:line="200" w:lineRule="exact"/>
        <w:rPr>
          <w:sz w:val="20"/>
          <w:szCs w:val="20"/>
        </w:rPr>
      </w:pPr>
    </w:p>
    <w:p w14:paraId="5297CD86" w14:textId="77777777" w:rsidR="008E4ABB" w:rsidRPr="008E4ABB" w:rsidRDefault="008E4ABB" w:rsidP="008E4ABB">
      <w:pPr>
        <w:spacing w:line="200" w:lineRule="exact"/>
        <w:rPr>
          <w:sz w:val="20"/>
          <w:szCs w:val="20"/>
        </w:rPr>
      </w:pPr>
    </w:p>
    <w:p w14:paraId="24B4687F" w14:textId="77777777" w:rsidR="008E4ABB" w:rsidRPr="008E4ABB" w:rsidRDefault="008E4ABB" w:rsidP="008E4ABB">
      <w:pPr>
        <w:spacing w:line="200" w:lineRule="exact"/>
        <w:rPr>
          <w:sz w:val="20"/>
          <w:szCs w:val="20"/>
        </w:rPr>
      </w:pPr>
    </w:p>
    <w:p w14:paraId="3819894F" w14:textId="77777777" w:rsidR="008E4ABB" w:rsidRPr="008E4ABB" w:rsidRDefault="008E4ABB" w:rsidP="008E4ABB">
      <w:pPr>
        <w:spacing w:line="200" w:lineRule="exact"/>
        <w:rPr>
          <w:sz w:val="20"/>
          <w:szCs w:val="20"/>
        </w:rPr>
      </w:pPr>
    </w:p>
    <w:p w14:paraId="46B565E1" w14:textId="77777777" w:rsidR="008E4ABB" w:rsidRPr="008E4ABB" w:rsidRDefault="008E4ABB" w:rsidP="008E4ABB">
      <w:pPr>
        <w:spacing w:line="200" w:lineRule="exact"/>
        <w:rPr>
          <w:sz w:val="20"/>
          <w:szCs w:val="20"/>
        </w:rPr>
      </w:pPr>
    </w:p>
    <w:p w14:paraId="38123BD6" w14:textId="77777777" w:rsidR="008E4ABB" w:rsidRPr="008E4ABB" w:rsidRDefault="008E4ABB" w:rsidP="008E4ABB">
      <w:pPr>
        <w:spacing w:line="200" w:lineRule="exact"/>
        <w:rPr>
          <w:sz w:val="20"/>
          <w:szCs w:val="20"/>
        </w:rPr>
      </w:pPr>
    </w:p>
    <w:p w14:paraId="2E8E4514" w14:textId="77777777" w:rsidR="008E4ABB" w:rsidRPr="008E4ABB" w:rsidRDefault="008E4ABB" w:rsidP="008E4ABB">
      <w:pPr>
        <w:spacing w:line="200" w:lineRule="exact"/>
        <w:rPr>
          <w:sz w:val="20"/>
          <w:szCs w:val="20"/>
        </w:rPr>
      </w:pPr>
    </w:p>
    <w:p w14:paraId="22FCDCEB" w14:textId="77777777" w:rsidR="008E4ABB" w:rsidRPr="008E4ABB" w:rsidRDefault="008E4ABB" w:rsidP="008E4ABB">
      <w:pPr>
        <w:spacing w:line="200" w:lineRule="exact"/>
        <w:rPr>
          <w:sz w:val="20"/>
          <w:szCs w:val="20"/>
        </w:rPr>
      </w:pPr>
    </w:p>
    <w:p w14:paraId="59B3F63E" w14:textId="77777777" w:rsidR="008E4ABB" w:rsidRPr="008E4ABB" w:rsidRDefault="008E4ABB" w:rsidP="008E4ABB">
      <w:pPr>
        <w:spacing w:line="200" w:lineRule="exact"/>
        <w:rPr>
          <w:sz w:val="20"/>
          <w:szCs w:val="20"/>
        </w:rPr>
      </w:pPr>
    </w:p>
    <w:p w14:paraId="67FA7E50" w14:textId="77777777" w:rsidR="008E4ABB" w:rsidRPr="008E4ABB" w:rsidRDefault="008E4ABB" w:rsidP="008E4ABB">
      <w:pPr>
        <w:spacing w:line="200" w:lineRule="exact"/>
        <w:rPr>
          <w:sz w:val="20"/>
          <w:szCs w:val="20"/>
        </w:rPr>
      </w:pPr>
    </w:p>
    <w:p w14:paraId="0FCCC272" w14:textId="77777777" w:rsidR="008E4ABB" w:rsidRPr="00266F2F" w:rsidRDefault="008E4ABB" w:rsidP="00F47DAD">
      <w:pPr>
        <w:pStyle w:val="Nadpis4"/>
        <w:rPr>
          <w:color w:val="1F3864" w:themeColor="accent1" w:themeShade="80"/>
          <w:sz w:val="20"/>
          <w:szCs w:val="20"/>
        </w:rPr>
      </w:pPr>
      <w:r w:rsidRPr="00266F2F">
        <w:rPr>
          <w:rFonts w:eastAsia="Times New Roman"/>
          <w:color w:val="1F3864" w:themeColor="accent1" w:themeShade="80"/>
        </w:rPr>
        <w:t>Účinnost monetární politiky – model AS-AD – extrémní případ</w:t>
      </w:r>
    </w:p>
    <w:p w14:paraId="30788478" w14:textId="5B43974C" w:rsidR="008E4ABB" w:rsidRPr="004B6CDE" w:rsidRDefault="008E4ABB" w:rsidP="004B6CDE">
      <w:pPr>
        <w:numPr>
          <w:ilvl w:val="0"/>
          <w:numId w:val="150"/>
        </w:numPr>
        <w:tabs>
          <w:tab w:val="left" w:pos="724"/>
        </w:tabs>
        <w:ind w:left="709" w:hanging="283"/>
        <w:rPr>
          <w:rFonts w:eastAsia="Arial"/>
          <w:sz w:val="26"/>
          <w:szCs w:val="26"/>
        </w:rPr>
      </w:pPr>
      <w:r w:rsidRPr="008E4ABB">
        <w:rPr>
          <w:rFonts w:eastAsia="Times New Roman"/>
          <w:szCs w:val="24"/>
        </w:rPr>
        <w:t>měnová expanze vyvolává posun LM vpravo</w:t>
      </w:r>
    </w:p>
    <w:p w14:paraId="0AA6D428" w14:textId="480C4F0E" w:rsidR="008E4ABB" w:rsidRPr="004B6CDE" w:rsidRDefault="008E4ABB" w:rsidP="004B6CDE">
      <w:pPr>
        <w:numPr>
          <w:ilvl w:val="0"/>
          <w:numId w:val="150"/>
        </w:numPr>
        <w:tabs>
          <w:tab w:val="left" w:pos="724"/>
        </w:tabs>
        <w:ind w:left="709" w:hanging="283"/>
        <w:rPr>
          <w:rFonts w:eastAsia="Arial"/>
          <w:sz w:val="26"/>
          <w:szCs w:val="26"/>
        </w:rPr>
      </w:pPr>
      <w:r w:rsidRPr="008E4ABB">
        <w:rPr>
          <w:rFonts w:eastAsia="Times New Roman"/>
          <w:szCs w:val="24"/>
        </w:rPr>
        <w:t>klesá úroková míra, roste výstup</w:t>
      </w:r>
    </w:p>
    <w:p w14:paraId="6DE9182F" w14:textId="5CC21AFA" w:rsidR="008E4ABB" w:rsidRPr="004B6CDE" w:rsidRDefault="008E4ABB" w:rsidP="004B6CDE">
      <w:pPr>
        <w:numPr>
          <w:ilvl w:val="0"/>
          <w:numId w:val="150"/>
        </w:numPr>
        <w:tabs>
          <w:tab w:val="left" w:pos="724"/>
        </w:tabs>
        <w:ind w:left="709" w:hanging="283"/>
        <w:rPr>
          <w:rFonts w:eastAsia="Arial"/>
          <w:sz w:val="26"/>
          <w:szCs w:val="26"/>
        </w:rPr>
      </w:pPr>
      <w:r w:rsidRPr="008E4ABB">
        <w:rPr>
          <w:rFonts w:eastAsia="Times New Roman"/>
          <w:szCs w:val="24"/>
        </w:rPr>
        <w:t>červená tečkovaná LM zachycuje její posun v případě rostoucí AS</w:t>
      </w:r>
    </w:p>
    <w:p w14:paraId="3539127D" w14:textId="5BF5086D" w:rsidR="008E4ABB" w:rsidRPr="004B6CDE" w:rsidRDefault="008E4ABB" w:rsidP="004B6CDE">
      <w:pPr>
        <w:numPr>
          <w:ilvl w:val="0"/>
          <w:numId w:val="150"/>
        </w:numPr>
        <w:tabs>
          <w:tab w:val="left" w:pos="724"/>
        </w:tabs>
        <w:ind w:left="709" w:hanging="283"/>
        <w:rPr>
          <w:rFonts w:eastAsia="Arial"/>
          <w:sz w:val="26"/>
          <w:szCs w:val="26"/>
        </w:rPr>
      </w:pPr>
      <w:r w:rsidRPr="008E4ABB">
        <w:rPr>
          <w:rFonts w:eastAsia="Times New Roman"/>
          <w:szCs w:val="24"/>
        </w:rPr>
        <w:t>zároveň roste AD, cenová hladina se nemění</w:t>
      </w:r>
    </w:p>
    <w:p w14:paraId="69872385" w14:textId="77777777" w:rsidR="008E4ABB" w:rsidRPr="008E4ABB" w:rsidRDefault="008E4ABB" w:rsidP="00270319">
      <w:pPr>
        <w:numPr>
          <w:ilvl w:val="0"/>
          <w:numId w:val="150"/>
        </w:numPr>
        <w:tabs>
          <w:tab w:val="left" w:pos="724"/>
        </w:tabs>
        <w:ind w:left="709" w:hanging="283"/>
        <w:rPr>
          <w:rFonts w:eastAsia="Arial"/>
          <w:sz w:val="26"/>
          <w:szCs w:val="26"/>
        </w:rPr>
      </w:pPr>
      <w:r w:rsidRPr="008E4ABB">
        <w:rPr>
          <w:rFonts w:eastAsia="Times New Roman"/>
          <w:szCs w:val="24"/>
        </w:rPr>
        <w:t>monetární politika je tak maximálně účinná na produkt.</w:t>
      </w:r>
    </w:p>
    <w:p w14:paraId="006A848E" w14:textId="77777777" w:rsidR="008E4ABB" w:rsidRPr="008E4ABB" w:rsidRDefault="008E4ABB" w:rsidP="008E4ABB">
      <w:pPr>
        <w:spacing w:line="286" w:lineRule="exact"/>
        <w:rPr>
          <w:sz w:val="20"/>
          <w:szCs w:val="20"/>
        </w:rPr>
      </w:pPr>
    </w:p>
    <w:p w14:paraId="116BE9E5" w14:textId="77777777" w:rsidR="008E4ABB" w:rsidRPr="008E4ABB" w:rsidRDefault="008E4ABB" w:rsidP="008E4ABB">
      <w:pPr>
        <w:ind w:left="104"/>
        <w:rPr>
          <w:rFonts w:eastAsia="Times New Roman"/>
          <w:b/>
          <w:bCs/>
          <w:szCs w:val="24"/>
        </w:rPr>
      </w:pPr>
    </w:p>
    <w:p w14:paraId="73F8B368" w14:textId="002C8C8E" w:rsidR="008E4ABB" w:rsidRPr="008E4ABB" w:rsidRDefault="008E4ABB" w:rsidP="008E4ABB">
      <w:pPr>
        <w:ind w:left="104"/>
        <w:rPr>
          <w:sz w:val="20"/>
          <w:szCs w:val="20"/>
        </w:rPr>
      </w:pPr>
      <w:r w:rsidRPr="008E4ABB">
        <w:rPr>
          <w:noProof/>
          <w:sz w:val="20"/>
          <w:szCs w:val="20"/>
        </w:rPr>
        <w:lastRenderedPageBreak/>
        <w:drawing>
          <wp:anchor distT="0" distB="0" distL="114300" distR="114300" simplePos="0" relativeHeight="251759104" behindDoc="1" locked="0" layoutInCell="0" allowOverlap="1" wp14:anchorId="4A4DDFFC" wp14:editId="2F8643EB">
            <wp:simplePos x="0" y="0"/>
            <wp:positionH relativeFrom="page">
              <wp:posOffset>2600325</wp:posOffset>
            </wp:positionH>
            <wp:positionV relativeFrom="page">
              <wp:posOffset>1190625</wp:posOffset>
            </wp:positionV>
            <wp:extent cx="2844165" cy="2130425"/>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a:clrChange>
                        <a:clrFrom>
                          <a:srgbClr val="FFFFFF"/>
                        </a:clrFrom>
                        <a:clrTo>
                          <a:srgbClr val="FFFFFF">
                            <a:alpha val="0"/>
                          </a:srgbClr>
                        </a:clrTo>
                      </a:clrChange>
                    </a:blip>
                    <a:srcRect/>
                    <a:stretch>
                      <a:fillRect/>
                    </a:stretch>
                  </pic:blipFill>
                  <pic:spPr bwMode="auto">
                    <a:xfrm>
                      <a:off x="0" y="0"/>
                      <a:ext cx="2844165" cy="2130425"/>
                    </a:xfrm>
                    <a:prstGeom prst="rect">
                      <a:avLst/>
                    </a:prstGeom>
                    <a:noFill/>
                  </pic:spPr>
                </pic:pic>
              </a:graphicData>
            </a:graphic>
            <wp14:sizeRelH relativeFrom="margin">
              <wp14:pctWidth>0</wp14:pctWidth>
            </wp14:sizeRelH>
            <wp14:sizeRelV relativeFrom="margin">
              <wp14:pctHeight>0</wp14:pctHeight>
            </wp14:sizeRelV>
          </wp:anchor>
        </w:drawing>
      </w:r>
      <w:r w:rsidRPr="008E4ABB">
        <w:rPr>
          <w:rFonts w:eastAsia="Times New Roman"/>
          <w:b/>
          <w:bCs/>
          <w:szCs w:val="24"/>
        </w:rPr>
        <w:t>Graf - Monetární politika - model AS-AD (extrémní případ)</w:t>
      </w:r>
      <w:bookmarkStart w:id="157" w:name="page154"/>
      <w:bookmarkEnd w:id="157"/>
    </w:p>
    <w:p w14:paraId="2707917C" w14:textId="0619E5AA" w:rsidR="008E4ABB" w:rsidRPr="008E4ABB" w:rsidRDefault="008E4ABB" w:rsidP="008E4ABB">
      <w:pPr>
        <w:spacing w:line="200" w:lineRule="exact"/>
        <w:rPr>
          <w:sz w:val="20"/>
          <w:szCs w:val="20"/>
        </w:rPr>
      </w:pPr>
    </w:p>
    <w:p w14:paraId="6865051B" w14:textId="2ACE6BCA" w:rsidR="008E4ABB" w:rsidRPr="008E4ABB" w:rsidRDefault="008E4ABB" w:rsidP="008E4ABB">
      <w:pPr>
        <w:spacing w:line="385" w:lineRule="exact"/>
        <w:rPr>
          <w:sz w:val="20"/>
          <w:szCs w:val="20"/>
        </w:rPr>
      </w:pPr>
    </w:p>
    <w:p w14:paraId="0681CC75" w14:textId="472A816B" w:rsidR="008E4ABB" w:rsidRPr="008E4ABB" w:rsidRDefault="008E4ABB" w:rsidP="008E4ABB">
      <w:pPr>
        <w:tabs>
          <w:tab w:val="left" w:pos="1560"/>
        </w:tabs>
        <w:ind w:left="500"/>
        <w:rPr>
          <w:rFonts w:eastAsia="Times New Roman"/>
          <w:b/>
          <w:bCs/>
          <w:i/>
          <w:iCs/>
          <w:szCs w:val="24"/>
        </w:rPr>
      </w:pPr>
    </w:p>
    <w:p w14:paraId="3C8D4A58" w14:textId="77777777" w:rsidR="008E4ABB" w:rsidRPr="008E4ABB" w:rsidRDefault="008E4ABB" w:rsidP="008E4ABB">
      <w:pPr>
        <w:tabs>
          <w:tab w:val="left" w:pos="1560"/>
        </w:tabs>
        <w:ind w:left="500"/>
        <w:rPr>
          <w:rFonts w:eastAsia="Times New Roman"/>
          <w:b/>
          <w:bCs/>
          <w:i/>
          <w:iCs/>
          <w:szCs w:val="24"/>
        </w:rPr>
      </w:pPr>
    </w:p>
    <w:p w14:paraId="1369E165" w14:textId="77777777" w:rsidR="008E4ABB" w:rsidRPr="008E4ABB" w:rsidRDefault="008E4ABB" w:rsidP="008E4ABB">
      <w:pPr>
        <w:tabs>
          <w:tab w:val="left" w:pos="1560"/>
        </w:tabs>
        <w:ind w:left="500"/>
        <w:rPr>
          <w:rFonts w:eastAsia="Times New Roman"/>
          <w:b/>
          <w:bCs/>
          <w:i/>
          <w:iCs/>
          <w:szCs w:val="24"/>
        </w:rPr>
      </w:pPr>
    </w:p>
    <w:p w14:paraId="5FF8A7D9" w14:textId="77777777" w:rsidR="008E4ABB" w:rsidRPr="008E4ABB" w:rsidRDefault="008E4ABB" w:rsidP="008E4ABB">
      <w:pPr>
        <w:tabs>
          <w:tab w:val="left" w:pos="1560"/>
        </w:tabs>
        <w:ind w:left="500"/>
        <w:rPr>
          <w:rFonts w:eastAsia="Times New Roman"/>
          <w:b/>
          <w:bCs/>
          <w:i/>
          <w:iCs/>
          <w:szCs w:val="24"/>
        </w:rPr>
      </w:pPr>
    </w:p>
    <w:p w14:paraId="614C0699" w14:textId="77777777" w:rsidR="008E4ABB" w:rsidRPr="008E4ABB" w:rsidRDefault="008E4ABB" w:rsidP="008E4ABB">
      <w:pPr>
        <w:tabs>
          <w:tab w:val="left" w:pos="1560"/>
        </w:tabs>
        <w:ind w:left="500"/>
        <w:rPr>
          <w:rFonts w:eastAsia="Times New Roman"/>
          <w:b/>
          <w:bCs/>
          <w:i/>
          <w:iCs/>
          <w:szCs w:val="24"/>
        </w:rPr>
      </w:pPr>
    </w:p>
    <w:p w14:paraId="3CA60276" w14:textId="77777777" w:rsidR="008E4ABB" w:rsidRPr="00266F2F" w:rsidRDefault="008E4ABB" w:rsidP="00F47DAD">
      <w:pPr>
        <w:pStyle w:val="Nadpis4"/>
        <w:rPr>
          <w:color w:val="1F3864" w:themeColor="accent1" w:themeShade="80"/>
          <w:sz w:val="20"/>
          <w:szCs w:val="20"/>
        </w:rPr>
      </w:pPr>
      <w:r w:rsidRPr="00266F2F">
        <w:rPr>
          <w:rFonts w:eastAsia="Times New Roman"/>
          <w:color w:val="1F3864" w:themeColor="accent1" w:themeShade="80"/>
        </w:rPr>
        <w:t>Účinnost monetární politiky – monetaristický přístup – model AS-AD</w:t>
      </w:r>
    </w:p>
    <w:p w14:paraId="47B92B67" w14:textId="77777777" w:rsidR="008E4ABB" w:rsidRPr="008E4ABB" w:rsidRDefault="008E4ABB" w:rsidP="00A44047">
      <w:pPr>
        <w:spacing w:line="364" w:lineRule="auto"/>
        <w:ind w:left="426" w:firstLine="720"/>
        <w:rPr>
          <w:sz w:val="20"/>
          <w:szCs w:val="20"/>
        </w:rPr>
      </w:pPr>
      <w:r w:rsidRPr="008E4ABB">
        <w:rPr>
          <w:rFonts w:eastAsia="Times New Roman"/>
          <w:szCs w:val="24"/>
        </w:rPr>
        <w:t>Monetaristé zavrhli model IS-LM pro neschopnost vysvětlit reálné ekonomické jevy (slumpflace, stagflace).</w:t>
      </w:r>
    </w:p>
    <w:p w14:paraId="25C2F3A6" w14:textId="77777777" w:rsidR="008E4ABB" w:rsidRPr="008E4ABB" w:rsidRDefault="008E4ABB" w:rsidP="00C41D60">
      <w:pPr>
        <w:spacing w:line="3" w:lineRule="exact"/>
        <w:ind w:left="709" w:hanging="283"/>
        <w:rPr>
          <w:sz w:val="20"/>
          <w:szCs w:val="20"/>
        </w:rPr>
      </w:pPr>
    </w:p>
    <w:p w14:paraId="4309E9FE" w14:textId="77777777" w:rsidR="008E4ABB" w:rsidRPr="008E4ABB" w:rsidRDefault="008E4ABB" w:rsidP="00270319">
      <w:pPr>
        <w:numPr>
          <w:ilvl w:val="0"/>
          <w:numId w:val="151"/>
        </w:numPr>
        <w:tabs>
          <w:tab w:val="left" w:pos="720"/>
        </w:tabs>
        <w:ind w:left="709" w:hanging="283"/>
        <w:rPr>
          <w:rFonts w:eastAsia="Arial"/>
          <w:szCs w:val="24"/>
        </w:rPr>
      </w:pPr>
      <w:r w:rsidRPr="008E4ABB">
        <w:rPr>
          <w:rFonts w:eastAsia="Times New Roman"/>
          <w:szCs w:val="24"/>
        </w:rPr>
        <w:t>vysvětluje oscilaci skutečného výkonu kolem potenciálu</w:t>
      </w:r>
    </w:p>
    <w:p w14:paraId="6E628213" w14:textId="77777777" w:rsidR="008E4ABB" w:rsidRPr="008E4ABB" w:rsidRDefault="008E4ABB" w:rsidP="00270319">
      <w:pPr>
        <w:numPr>
          <w:ilvl w:val="0"/>
          <w:numId w:val="151"/>
        </w:numPr>
        <w:tabs>
          <w:tab w:val="left" w:pos="720"/>
        </w:tabs>
        <w:spacing w:line="366" w:lineRule="auto"/>
        <w:ind w:left="709" w:hanging="283"/>
        <w:rPr>
          <w:rFonts w:eastAsia="Arial"/>
          <w:szCs w:val="24"/>
        </w:rPr>
      </w:pPr>
      <w:r w:rsidRPr="008E4ABB">
        <w:rPr>
          <w:rFonts w:eastAsia="Times New Roman"/>
          <w:szCs w:val="24"/>
        </w:rPr>
        <w:t xml:space="preserve">důležitou roli hrají </w:t>
      </w:r>
      <w:r w:rsidRPr="008E4ABB">
        <w:rPr>
          <w:rFonts w:eastAsia="Times New Roman"/>
          <w:b/>
          <w:bCs/>
          <w:szCs w:val="24"/>
        </w:rPr>
        <w:t>očekávání</w:t>
      </w:r>
      <w:r w:rsidRPr="008E4ABB">
        <w:rPr>
          <w:rFonts w:eastAsia="Times New Roman"/>
          <w:szCs w:val="24"/>
        </w:rPr>
        <w:t xml:space="preserve"> – </w:t>
      </w:r>
      <w:r w:rsidRPr="008E4ABB">
        <w:rPr>
          <w:rFonts w:eastAsia="Times New Roman"/>
          <w:b/>
          <w:bCs/>
          <w:szCs w:val="24"/>
        </w:rPr>
        <w:t>adaptivní,</w:t>
      </w:r>
      <w:r w:rsidRPr="008E4ABB">
        <w:rPr>
          <w:rFonts w:eastAsia="Times New Roman"/>
          <w:szCs w:val="24"/>
        </w:rPr>
        <w:t xml:space="preserve"> </w:t>
      </w:r>
      <w:r w:rsidRPr="008E4ABB">
        <w:rPr>
          <w:rFonts w:eastAsia="Times New Roman"/>
          <w:b/>
          <w:bCs/>
          <w:szCs w:val="24"/>
        </w:rPr>
        <w:t>či racionální</w:t>
      </w:r>
      <w:r w:rsidRPr="008E4ABB">
        <w:rPr>
          <w:rFonts w:eastAsia="Times New Roman"/>
          <w:szCs w:val="24"/>
        </w:rPr>
        <w:t>, respektive tedy informovanost firem a domácností</w:t>
      </w:r>
    </w:p>
    <w:p w14:paraId="5424F3B5" w14:textId="77777777" w:rsidR="008E4ABB" w:rsidRPr="008E4ABB" w:rsidRDefault="008E4ABB" w:rsidP="00C41D60">
      <w:pPr>
        <w:spacing w:line="1" w:lineRule="exact"/>
        <w:ind w:left="709" w:hanging="283"/>
        <w:rPr>
          <w:rFonts w:eastAsia="Arial"/>
          <w:szCs w:val="24"/>
        </w:rPr>
      </w:pPr>
    </w:p>
    <w:p w14:paraId="28A65AAB" w14:textId="77777777" w:rsidR="008E4ABB" w:rsidRPr="008E4ABB" w:rsidRDefault="008E4ABB" w:rsidP="00270319">
      <w:pPr>
        <w:numPr>
          <w:ilvl w:val="0"/>
          <w:numId w:val="151"/>
        </w:numPr>
        <w:tabs>
          <w:tab w:val="left" w:pos="720"/>
        </w:tabs>
        <w:spacing w:line="368" w:lineRule="auto"/>
        <w:ind w:left="709" w:hanging="283"/>
        <w:rPr>
          <w:rFonts w:eastAsia="Arial"/>
          <w:szCs w:val="24"/>
        </w:rPr>
      </w:pPr>
      <w:r w:rsidRPr="008E4ABB">
        <w:rPr>
          <w:rFonts w:eastAsia="Times New Roman"/>
          <w:szCs w:val="24"/>
        </w:rPr>
        <w:t xml:space="preserve">rozlišují se </w:t>
      </w:r>
      <w:r w:rsidRPr="008E4ABB">
        <w:rPr>
          <w:rFonts w:eastAsia="Times New Roman"/>
          <w:b/>
          <w:bCs/>
          <w:szCs w:val="24"/>
        </w:rPr>
        <w:t>krátkodobé</w:t>
      </w:r>
      <w:r w:rsidRPr="008E4ABB">
        <w:rPr>
          <w:rFonts w:eastAsia="Times New Roman"/>
          <w:szCs w:val="24"/>
        </w:rPr>
        <w:t xml:space="preserve"> a </w:t>
      </w:r>
      <w:r w:rsidRPr="008E4ABB">
        <w:rPr>
          <w:rFonts w:eastAsia="Times New Roman"/>
          <w:b/>
          <w:bCs/>
          <w:szCs w:val="24"/>
        </w:rPr>
        <w:t>dlouhodobé účinky</w:t>
      </w:r>
      <w:r w:rsidRPr="008E4ABB">
        <w:rPr>
          <w:rFonts w:eastAsia="Times New Roman"/>
          <w:szCs w:val="24"/>
        </w:rPr>
        <w:t xml:space="preserve"> monetární politiky (keynesiánci toto nerozlišují)</w:t>
      </w:r>
    </w:p>
    <w:p w14:paraId="10F12BE3" w14:textId="77777777" w:rsidR="008E4ABB" w:rsidRPr="008E4ABB" w:rsidRDefault="008E4ABB" w:rsidP="00C41D60">
      <w:pPr>
        <w:spacing w:line="2" w:lineRule="exact"/>
        <w:ind w:left="709" w:hanging="283"/>
        <w:rPr>
          <w:rFonts w:eastAsia="Arial"/>
          <w:szCs w:val="24"/>
        </w:rPr>
      </w:pPr>
    </w:p>
    <w:p w14:paraId="0F2D6E2C" w14:textId="77777777" w:rsidR="008E4ABB" w:rsidRPr="008E4ABB" w:rsidRDefault="008E4ABB" w:rsidP="00270319">
      <w:pPr>
        <w:numPr>
          <w:ilvl w:val="0"/>
          <w:numId w:val="151"/>
        </w:numPr>
        <w:tabs>
          <w:tab w:val="left" w:pos="720"/>
        </w:tabs>
        <w:ind w:left="709" w:hanging="283"/>
        <w:rPr>
          <w:rFonts w:eastAsia="Arial"/>
          <w:szCs w:val="24"/>
        </w:rPr>
      </w:pPr>
      <w:r w:rsidRPr="008E4ABB">
        <w:rPr>
          <w:rFonts w:eastAsia="Times New Roman"/>
          <w:szCs w:val="24"/>
        </w:rPr>
        <w:t>měnová expanze vyvolává růst AD</w:t>
      </w:r>
    </w:p>
    <w:p w14:paraId="5CE84521" w14:textId="77777777" w:rsidR="008E4ABB" w:rsidRPr="008E4ABB" w:rsidRDefault="008E4ABB" w:rsidP="00270319">
      <w:pPr>
        <w:numPr>
          <w:ilvl w:val="0"/>
          <w:numId w:val="151"/>
        </w:numPr>
        <w:tabs>
          <w:tab w:val="left" w:pos="720"/>
        </w:tabs>
        <w:spacing w:line="366" w:lineRule="auto"/>
        <w:ind w:left="709" w:hanging="283"/>
        <w:rPr>
          <w:rFonts w:eastAsia="Arial"/>
          <w:szCs w:val="24"/>
        </w:rPr>
      </w:pPr>
      <w:r w:rsidRPr="008E4ABB">
        <w:rPr>
          <w:rFonts w:eastAsia="Times New Roman"/>
          <w:szCs w:val="24"/>
        </w:rPr>
        <w:t>roste cenová hladina i výstup – cenová hladina roste v důsledku peněžní zásoby, výstup v důsledku nedokonalé informovanosti ekonom. subjektů, vzniká peněžní iluze</w:t>
      </w:r>
    </w:p>
    <w:p w14:paraId="55B0F733" w14:textId="77777777" w:rsidR="008E4ABB" w:rsidRPr="008E4ABB" w:rsidRDefault="008E4ABB" w:rsidP="00C41D60">
      <w:pPr>
        <w:spacing w:line="1" w:lineRule="exact"/>
        <w:ind w:left="709" w:hanging="283"/>
        <w:rPr>
          <w:rFonts w:eastAsia="Arial"/>
          <w:szCs w:val="24"/>
        </w:rPr>
      </w:pPr>
    </w:p>
    <w:p w14:paraId="0108552B" w14:textId="77777777" w:rsidR="008E4ABB" w:rsidRPr="008E4ABB" w:rsidRDefault="008E4ABB" w:rsidP="00270319">
      <w:pPr>
        <w:numPr>
          <w:ilvl w:val="0"/>
          <w:numId w:val="151"/>
        </w:numPr>
        <w:tabs>
          <w:tab w:val="left" w:pos="720"/>
        </w:tabs>
        <w:ind w:left="709" w:hanging="283"/>
        <w:rPr>
          <w:rFonts w:eastAsia="Arial"/>
          <w:szCs w:val="24"/>
        </w:rPr>
      </w:pPr>
      <w:r w:rsidRPr="008E4ABB">
        <w:rPr>
          <w:rFonts w:eastAsia="Times New Roman"/>
          <w:szCs w:val="24"/>
        </w:rPr>
        <w:t>AS se krátkodobě chová jako mikroekonomická nabídka</w:t>
      </w:r>
    </w:p>
    <w:p w14:paraId="37B80CD7" w14:textId="77777777" w:rsidR="008E4ABB" w:rsidRPr="008E4ABB" w:rsidRDefault="008E4ABB" w:rsidP="00270319">
      <w:pPr>
        <w:numPr>
          <w:ilvl w:val="0"/>
          <w:numId w:val="151"/>
        </w:numPr>
        <w:tabs>
          <w:tab w:val="left" w:pos="720"/>
        </w:tabs>
        <w:spacing w:line="389" w:lineRule="auto"/>
        <w:ind w:left="709" w:hanging="283"/>
        <w:rPr>
          <w:rFonts w:eastAsia="Arial"/>
          <w:szCs w:val="24"/>
        </w:rPr>
      </w:pPr>
      <w:r w:rsidRPr="008E4ABB">
        <w:rPr>
          <w:rFonts w:eastAsia="Times New Roman"/>
          <w:szCs w:val="24"/>
        </w:rPr>
        <w:t>po čase peněžní iluze vyprchá, změní se očekávaná cenová hladina, vše se navrací na výchozí úroveň výstupu, ale při vyšší cenové hladině</w:t>
      </w:r>
    </w:p>
    <w:p w14:paraId="2AD1731E" w14:textId="77777777" w:rsidR="008E4ABB" w:rsidRPr="008E4ABB" w:rsidRDefault="008E4ABB" w:rsidP="008E4ABB">
      <w:pPr>
        <w:ind w:left="100"/>
        <w:rPr>
          <w:sz w:val="20"/>
          <w:szCs w:val="20"/>
        </w:rPr>
      </w:pPr>
      <w:bookmarkStart w:id="158" w:name="page155"/>
      <w:bookmarkEnd w:id="158"/>
      <w:r w:rsidRPr="008E4ABB">
        <w:rPr>
          <w:noProof/>
          <w:sz w:val="20"/>
          <w:szCs w:val="20"/>
        </w:rPr>
        <w:drawing>
          <wp:anchor distT="0" distB="0" distL="114300" distR="114300" simplePos="0" relativeHeight="251761152" behindDoc="1" locked="0" layoutInCell="0" allowOverlap="1" wp14:anchorId="38204A48" wp14:editId="4CE869DC">
            <wp:simplePos x="0" y="0"/>
            <wp:positionH relativeFrom="column">
              <wp:posOffset>3175</wp:posOffset>
            </wp:positionH>
            <wp:positionV relativeFrom="paragraph">
              <wp:posOffset>124732</wp:posOffset>
            </wp:positionV>
            <wp:extent cx="3495675" cy="2621280"/>
            <wp:effectExtent l="0" t="0" r="9525" b="762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3"/>
                    <a:srcRect/>
                    <a:stretch>
                      <a:fillRect/>
                    </a:stretch>
                  </pic:blipFill>
                  <pic:spPr bwMode="auto">
                    <a:xfrm>
                      <a:off x="0" y="0"/>
                      <a:ext cx="3495675" cy="2621280"/>
                    </a:xfrm>
                    <a:prstGeom prst="rect">
                      <a:avLst/>
                    </a:prstGeom>
                    <a:noFill/>
                  </pic:spPr>
                </pic:pic>
              </a:graphicData>
            </a:graphic>
            <wp14:sizeRelH relativeFrom="margin">
              <wp14:pctWidth>0</wp14:pctWidth>
            </wp14:sizeRelH>
            <wp14:sizeRelV relativeFrom="margin">
              <wp14:pctHeight>0</wp14:pctHeight>
            </wp14:sizeRelV>
          </wp:anchor>
        </w:drawing>
      </w:r>
      <w:r w:rsidRPr="008E4ABB">
        <w:rPr>
          <w:rFonts w:eastAsia="Times New Roman"/>
          <w:b/>
          <w:bCs/>
          <w:szCs w:val="24"/>
        </w:rPr>
        <w:t>Graf 9 - Monetární politika - model AD-AS (monetaristický přístup)</w:t>
      </w:r>
    </w:p>
    <w:p w14:paraId="403A1120" w14:textId="77777777" w:rsidR="008E4ABB" w:rsidRPr="008E4ABB" w:rsidRDefault="008E4ABB" w:rsidP="008E4ABB">
      <w:pPr>
        <w:spacing w:line="20" w:lineRule="exact"/>
        <w:rPr>
          <w:sz w:val="20"/>
          <w:szCs w:val="20"/>
        </w:rPr>
      </w:pPr>
    </w:p>
    <w:p w14:paraId="0EAFE08E" w14:textId="77777777" w:rsidR="008E4ABB" w:rsidRPr="008E4ABB" w:rsidRDefault="008E4ABB" w:rsidP="008E4ABB">
      <w:pPr>
        <w:spacing w:line="200" w:lineRule="exact"/>
        <w:rPr>
          <w:sz w:val="20"/>
          <w:szCs w:val="20"/>
        </w:rPr>
      </w:pPr>
    </w:p>
    <w:p w14:paraId="0C465898" w14:textId="77777777" w:rsidR="008E4ABB" w:rsidRPr="008E4ABB" w:rsidRDefault="008E4ABB" w:rsidP="008E4ABB">
      <w:pPr>
        <w:spacing w:line="200" w:lineRule="exact"/>
        <w:rPr>
          <w:sz w:val="20"/>
          <w:szCs w:val="20"/>
        </w:rPr>
      </w:pPr>
    </w:p>
    <w:p w14:paraId="01C16AC2" w14:textId="77777777" w:rsidR="008E4ABB" w:rsidRPr="008E4ABB" w:rsidRDefault="008E4ABB" w:rsidP="008E4ABB">
      <w:pPr>
        <w:spacing w:line="200" w:lineRule="exact"/>
        <w:rPr>
          <w:sz w:val="20"/>
          <w:szCs w:val="20"/>
        </w:rPr>
      </w:pPr>
    </w:p>
    <w:p w14:paraId="7429360B" w14:textId="77777777" w:rsidR="008E4ABB" w:rsidRPr="008E4ABB" w:rsidRDefault="008E4ABB" w:rsidP="008E4ABB">
      <w:pPr>
        <w:spacing w:line="200" w:lineRule="exact"/>
        <w:rPr>
          <w:sz w:val="20"/>
          <w:szCs w:val="20"/>
        </w:rPr>
      </w:pPr>
    </w:p>
    <w:p w14:paraId="6C0B2C39" w14:textId="77777777" w:rsidR="008E4ABB" w:rsidRPr="008E4ABB" w:rsidRDefault="008E4ABB" w:rsidP="008E4ABB">
      <w:pPr>
        <w:spacing w:line="200" w:lineRule="exact"/>
        <w:rPr>
          <w:sz w:val="20"/>
          <w:szCs w:val="20"/>
        </w:rPr>
      </w:pPr>
    </w:p>
    <w:p w14:paraId="03AC6A97" w14:textId="77777777" w:rsidR="008E4ABB" w:rsidRPr="008E4ABB" w:rsidRDefault="008E4ABB" w:rsidP="008E4ABB">
      <w:pPr>
        <w:spacing w:line="200" w:lineRule="exact"/>
        <w:rPr>
          <w:sz w:val="20"/>
          <w:szCs w:val="20"/>
        </w:rPr>
      </w:pPr>
    </w:p>
    <w:p w14:paraId="0881DB48" w14:textId="77777777" w:rsidR="008E4ABB" w:rsidRPr="008E4ABB" w:rsidRDefault="008E4ABB" w:rsidP="008E4ABB">
      <w:pPr>
        <w:spacing w:line="200" w:lineRule="exact"/>
        <w:rPr>
          <w:sz w:val="20"/>
          <w:szCs w:val="20"/>
        </w:rPr>
      </w:pPr>
    </w:p>
    <w:p w14:paraId="78C60403" w14:textId="77777777" w:rsidR="008E4ABB" w:rsidRPr="008E4ABB" w:rsidRDefault="008E4ABB" w:rsidP="008E4ABB">
      <w:pPr>
        <w:spacing w:line="200" w:lineRule="exact"/>
        <w:rPr>
          <w:sz w:val="20"/>
          <w:szCs w:val="20"/>
        </w:rPr>
      </w:pPr>
    </w:p>
    <w:p w14:paraId="5F94E365" w14:textId="77777777" w:rsidR="008E4ABB" w:rsidRPr="008E4ABB" w:rsidRDefault="008E4ABB" w:rsidP="008E4ABB">
      <w:pPr>
        <w:spacing w:line="200" w:lineRule="exact"/>
        <w:rPr>
          <w:sz w:val="20"/>
          <w:szCs w:val="20"/>
        </w:rPr>
      </w:pPr>
    </w:p>
    <w:p w14:paraId="6DE480B7" w14:textId="77777777" w:rsidR="008E4ABB" w:rsidRPr="008E4ABB" w:rsidRDefault="008E4ABB" w:rsidP="008E4ABB">
      <w:pPr>
        <w:spacing w:line="200" w:lineRule="exact"/>
        <w:rPr>
          <w:sz w:val="20"/>
          <w:szCs w:val="20"/>
        </w:rPr>
      </w:pPr>
    </w:p>
    <w:p w14:paraId="722AE350" w14:textId="77777777" w:rsidR="008E4ABB" w:rsidRPr="008E4ABB" w:rsidRDefault="008E4ABB" w:rsidP="008E4ABB">
      <w:pPr>
        <w:spacing w:line="200" w:lineRule="exact"/>
        <w:rPr>
          <w:sz w:val="20"/>
          <w:szCs w:val="20"/>
        </w:rPr>
      </w:pPr>
    </w:p>
    <w:p w14:paraId="725F778F" w14:textId="77777777" w:rsidR="008E4ABB" w:rsidRPr="008E4ABB" w:rsidRDefault="008E4ABB" w:rsidP="008E4ABB">
      <w:pPr>
        <w:spacing w:line="200" w:lineRule="exact"/>
        <w:rPr>
          <w:sz w:val="20"/>
          <w:szCs w:val="20"/>
        </w:rPr>
      </w:pPr>
    </w:p>
    <w:p w14:paraId="537AA0C2" w14:textId="77777777" w:rsidR="008E4ABB" w:rsidRPr="008E4ABB" w:rsidRDefault="008E4ABB" w:rsidP="008E4ABB">
      <w:pPr>
        <w:spacing w:line="200" w:lineRule="exact"/>
        <w:rPr>
          <w:sz w:val="20"/>
          <w:szCs w:val="20"/>
        </w:rPr>
      </w:pPr>
    </w:p>
    <w:p w14:paraId="22761D67" w14:textId="77777777" w:rsidR="008E4ABB" w:rsidRPr="008E4ABB" w:rsidRDefault="008E4ABB" w:rsidP="008E4ABB">
      <w:pPr>
        <w:spacing w:line="200" w:lineRule="exact"/>
        <w:rPr>
          <w:sz w:val="20"/>
          <w:szCs w:val="20"/>
        </w:rPr>
      </w:pPr>
    </w:p>
    <w:p w14:paraId="2852B39D" w14:textId="77777777" w:rsidR="008E4ABB" w:rsidRPr="008E4ABB" w:rsidRDefault="008E4ABB" w:rsidP="008E4ABB">
      <w:pPr>
        <w:spacing w:line="200" w:lineRule="exact"/>
        <w:rPr>
          <w:sz w:val="20"/>
          <w:szCs w:val="20"/>
        </w:rPr>
      </w:pPr>
    </w:p>
    <w:p w14:paraId="07C1548C" w14:textId="77777777" w:rsidR="008E4ABB" w:rsidRPr="008E4ABB" w:rsidRDefault="008E4ABB" w:rsidP="008E4ABB">
      <w:pPr>
        <w:spacing w:line="390" w:lineRule="auto"/>
        <w:rPr>
          <w:sz w:val="20"/>
          <w:szCs w:val="20"/>
        </w:rPr>
      </w:pPr>
      <w:r w:rsidRPr="008E4ABB">
        <w:rPr>
          <w:rFonts w:eastAsia="Times New Roman"/>
          <w:szCs w:val="24"/>
        </w:rPr>
        <w:t>Monetární politika ovlivňuje reálné veličiny pouze krátkodobě – dlouhodobě ovlivňuje pouze veličiny nominální.</w:t>
      </w:r>
      <w:r w:rsidRPr="008E4ABB">
        <w:rPr>
          <w:noProof/>
          <w:sz w:val="20"/>
          <w:szCs w:val="20"/>
        </w:rPr>
        <w:drawing>
          <wp:anchor distT="0" distB="0" distL="114300" distR="114300" simplePos="0" relativeHeight="251768320" behindDoc="1" locked="0" layoutInCell="0" allowOverlap="1" wp14:anchorId="10AFD391" wp14:editId="0B31EE73">
            <wp:simplePos x="0" y="0"/>
            <wp:positionH relativeFrom="column">
              <wp:posOffset>-1905</wp:posOffset>
            </wp:positionH>
            <wp:positionV relativeFrom="paragraph">
              <wp:posOffset>3870960</wp:posOffset>
            </wp:positionV>
            <wp:extent cx="1828800" cy="6350"/>
            <wp:effectExtent l="0" t="0" r="0" b="0"/>
            <wp:wrapNone/>
            <wp:docPr id="3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7"/>
                    <a:srcRect/>
                    <a:stretch>
                      <a:fillRect/>
                    </a:stretch>
                  </pic:blipFill>
                  <pic:spPr bwMode="auto">
                    <a:xfrm>
                      <a:off x="0" y="0"/>
                      <a:ext cx="1828800" cy="6350"/>
                    </a:xfrm>
                    <a:prstGeom prst="rect">
                      <a:avLst/>
                    </a:prstGeom>
                    <a:noFill/>
                  </pic:spPr>
                </pic:pic>
              </a:graphicData>
            </a:graphic>
          </wp:anchor>
        </w:drawing>
      </w:r>
    </w:p>
    <w:p w14:paraId="4A6F3670" w14:textId="30F25041" w:rsidR="00661EA8" w:rsidRPr="00FC3B7C" w:rsidRDefault="00661EA8" w:rsidP="00661EA8">
      <w:pPr>
        <w:spacing w:line="390" w:lineRule="auto"/>
        <w:rPr>
          <w:sz w:val="20"/>
          <w:szCs w:val="20"/>
        </w:rPr>
      </w:pPr>
      <w:r w:rsidRPr="00FC3B7C">
        <w:rPr>
          <w:noProof/>
          <w:sz w:val="20"/>
          <w:szCs w:val="20"/>
        </w:rPr>
        <w:lastRenderedPageBreak/>
        <w:drawing>
          <wp:anchor distT="0" distB="0" distL="114300" distR="114300" simplePos="0" relativeHeight="251620864" behindDoc="1" locked="0" layoutInCell="0" allowOverlap="1" wp14:anchorId="4A6F5C8A" wp14:editId="159556DF">
            <wp:simplePos x="0" y="0"/>
            <wp:positionH relativeFrom="column">
              <wp:posOffset>-1905</wp:posOffset>
            </wp:positionH>
            <wp:positionV relativeFrom="paragraph">
              <wp:posOffset>3870960</wp:posOffset>
            </wp:positionV>
            <wp:extent cx="1828800" cy="635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7"/>
                    <a:srcRect/>
                    <a:stretch>
                      <a:fillRect/>
                    </a:stretch>
                  </pic:blipFill>
                  <pic:spPr bwMode="auto">
                    <a:xfrm>
                      <a:off x="0" y="0"/>
                      <a:ext cx="1828800" cy="6350"/>
                    </a:xfrm>
                    <a:prstGeom prst="rect">
                      <a:avLst/>
                    </a:prstGeom>
                    <a:noFill/>
                  </pic:spPr>
                </pic:pic>
              </a:graphicData>
            </a:graphic>
          </wp:anchor>
        </w:drawing>
      </w:r>
    </w:p>
    <w:p w14:paraId="4A6F3671" w14:textId="77777777" w:rsidR="00661EA8" w:rsidRPr="00266F2F" w:rsidRDefault="00661EA8" w:rsidP="003B103A">
      <w:pPr>
        <w:pStyle w:val="Nadpis2"/>
      </w:pPr>
      <w:bookmarkStart w:id="159" w:name="page156"/>
      <w:bookmarkStart w:id="160" w:name="page158"/>
      <w:bookmarkStart w:id="161" w:name="page159"/>
      <w:bookmarkEnd w:id="159"/>
      <w:bookmarkEnd w:id="160"/>
      <w:bookmarkEnd w:id="161"/>
      <w:r w:rsidRPr="00266F2F">
        <w:t>VÝVOJ MONETÁRNÍ POLITIKY A CENTRÁLNÍHO</w:t>
      </w:r>
      <w:r w:rsidR="005158D0" w:rsidRPr="00266F2F">
        <w:t xml:space="preserve"> </w:t>
      </w:r>
      <w:r w:rsidRPr="00266F2F">
        <w:t>BANKOVNICTVÍ OD ROKU 1989 DO SOUČASNÉ DOBY</w:t>
      </w:r>
    </w:p>
    <w:p w14:paraId="4A6F3672" w14:textId="77777777" w:rsidR="00661EA8" w:rsidRPr="00D738E5" w:rsidRDefault="001E5CF1" w:rsidP="00661EA8">
      <w:pPr>
        <w:rPr>
          <w:rFonts w:eastAsia="Times New Roman"/>
          <w:b/>
          <w:bCs/>
          <w:sz w:val="28"/>
          <w:szCs w:val="28"/>
        </w:rPr>
      </w:pPr>
      <w:r w:rsidRPr="00D738E5">
        <w:rPr>
          <w:rFonts w:eastAsia="Times New Roman"/>
          <w:b/>
          <w:bCs/>
          <w:sz w:val="28"/>
          <w:szCs w:val="28"/>
        </w:rPr>
        <w:t>S</w:t>
      </w:r>
      <w:r w:rsidR="00661EA8" w:rsidRPr="00D738E5">
        <w:rPr>
          <w:rFonts w:eastAsia="Times New Roman"/>
          <w:b/>
          <w:bCs/>
          <w:sz w:val="28"/>
          <w:szCs w:val="28"/>
        </w:rPr>
        <w:t>lovníček pojmů:</w:t>
      </w:r>
    </w:p>
    <w:p w14:paraId="4A6F3673" w14:textId="77777777" w:rsidR="00661EA8" w:rsidRPr="00FC3B7C" w:rsidRDefault="00661EA8" w:rsidP="00661EA8">
      <w:pPr>
        <w:spacing w:line="200" w:lineRule="exact"/>
        <w:rPr>
          <w:sz w:val="20"/>
          <w:szCs w:val="20"/>
        </w:rPr>
      </w:pPr>
    </w:p>
    <w:p w14:paraId="4A6F3674" w14:textId="77777777" w:rsidR="00661EA8" w:rsidRPr="00FC3B7C" w:rsidRDefault="00661EA8" w:rsidP="001E5CF1">
      <w:pPr>
        <w:rPr>
          <w:sz w:val="20"/>
          <w:szCs w:val="20"/>
        </w:rPr>
      </w:pPr>
      <w:r w:rsidRPr="00FC3B7C">
        <w:rPr>
          <w:rFonts w:eastAsia="Times New Roman"/>
          <w:i/>
          <w:iCs/>
          <w:u w:val="single"/>
        </w:rPr>
        <w:t>Vnitřní měnová stabilita</w:t>
      </w:r>
      <w:r w:rsidRPr="00FC3B7C">
        <w:rPr>
          <w:rFonts w:eastAsia="Times New Roman"/>
          <w:i/>
          <w:iCs/>
        </w:rPr>
        <w:t xml:space="preserve"> </w:t>
      </w:r>
      <w:r w:rsidRPr="00FC3B7C">
        <w:rPr>
          <w:rFonts w:eastAsia="Times New Roman"/>
        </w:rPr>
        <w:t>- Cenová stabilita, tj. vytváření nízkoinflačního prostředí v ekonomice.</w:t>
      </w:r>
      <w:r w:rsidRPr="00FC3B7C">
        <w:rPr>
          <w:rFonts w:eastAsia="Times New Roman"/>
          <w:i/>
          <w:iCs/>
        </w:rPr>
        <w:t xml:space="preserve"> </w:t>
      </w:r>
      <w:r w:rsidRPr="00FC3B7C">
        <w:rPr>
          <w:rFonts w:eastAsia="Times New Roman"/>
        </w:rPr>
        <w:t>Dosažení a udržení cenové stability je trvalým příspěvkem centrální banky k vytváření podmínek pro udržitelný hospodářský růst. Předpokladem realizace měnové politiky vedoucí k cenové stabilitě je nezávislost centrální banky.</w:t>
      </w:r>
    </w:p>
    <w:p w14:paraId="4A6F3675" w14:textId="77777777" w:rsidR="00661EA8" w:rsidRPr="00FC3B7C" w:rsidRDefault="00661EA8" w:rsidP="001E5CF1">
      <w:pPr>
        <w:rPr>
          <w:sz w:val="20"/>
          <w:szCs w:val="20"/>
        </w:rPr>
      </w:pPr>
      <w:r w:rsidRPr="00FC3B7C">
        <w:rPr>
          <w:rFonts w:eastAsia="Times New Roman"/>
          <w:i/>
          <w:iCs/>
          <w:u w:val="single"/>
        </w:rPr>
        <w:t>Vnější měnová stabilita</w:t>
      </w:r>
      <w:r w:rsidRPr="00FC3B7C">
        <w:rPr>
          <w:rFonts w:eastAsia="Times New Roman"/>
          <w:i/>
          <w:iCs/>
        </w:rPr>
        <w:t xml:space="preserve"> </w:t>
      </w:r>
      <w:r w:rsidRPr="00FC3B7C">
        <w:rPr>
          <w:rFonts w:eastAsia="Times New Roman"/>
        </w:rPr>
        <w:t>- Kurzová stabilita.</w:t>
      </w:r>
    </w:p>
    <w:p w14:paraId="4A6F3676" w14:textId="15CA0446" w:rsidR="00661EA8" w:rsidRPr="00FC3B7C" w:rsidRDefault="00661EA8" w:rsidP="001E5CF1">
      <w:pPr>
        <w:rPr>
          <w:rFonts w:eastAsia="Times New Roman"/>
          <w:i/>
          <w:iCs/>
        </w:rPr>
      </w:pPr>
      <w:r w:rsidRPr="00FC3B7C">
        <w:rPr>
          <w:rFonts w:eastAsia="Times New Roman"/>
          <w:i/>
          <w:iCs/>
          <w:u w:val="single"/>
        </w:rPr>
        <w:t>Fixní kurz</w:t>
      </w:r>
      <w:r w:rsidRPr="00FC3B7C">
        <w:rPr>
          <w:rFonts w:eastAsia="Times New Roman"/>
          <w:i/>
          <w:iCs/>
        </w:rPr>
        <w:t xml:space="preserve"> </w:t>
      </w:r>
      <w:r w:rsidRPr="00FC3B7C">
        <w:rPr>
          <w:rFonts w:eastAsia="Times New Roman"/>
        </w:rPr>
        <w:t>– Pevný,</w:t>
      </w:r>
      <w:r w:rsidRPr="00FC3B7C">
        <w:rPr>
          <w:rFonts w:eastAsia="Times New Roman"/>
          <w:i/>
          <w:iCs/>
        </w:rPr>
        <w:t xml:space="preserve"> </w:t>
      </w:r>
      <w:r w:rsidRPr="00FC3B7C">
        <w:rPr>
          <w:rFonts w:eastAsia="Times New Roman"/>
        </w:rPr>
        <w:t>či také fixní měnový</w:t>
      </w:r>
      <w:r w:rsidRPr="00FC3B7C">
        <w:rPr>
          <w:rFonts w:eastAsia="Times New Roman"/>
          <w:i/>
          <w:iCs/>
        </w:rPr>
        <w:t xml:space="preserve"> </w:t>
      </w:r>
      <w:r w:rsidRPr="00FC3B7C">
        <w:rPr>
          <w:rFonts w:eastAsia="Times New Roman"/>
        </w:rPr>
        <w:t>kurz značí pevně</w:t>
      </w:r>
      <w:r w:rsidRPr="00FC3B7C">
        <w:rPr>
          <w:rFonts w:eastAsia="Times New Roman"/>
          <w:i/>
          <w:iCs/>
        </w:rPr>
        <w:t xml:space="preserve"> </w:t>
      </w:r>
      <w:r w:rsidRPr="00FC3B7C">
        <w:rPr>
          <w:rFonts w:eastAsia="Times New Roman"/>
        </w:rPr>
        <w:t>stanovený</w:t>
      </w:r>
      <w:r w:rsidRPr="00FC3B7C">
        <w:rPr>
          <w:rFonts w:eastAsia="Times New Roman"/>
          <w:i/>
          <w:iCs/>
        </w:rPr>
        <w:t xml:space="preserve"> </w:t>
      </w:r>
      <w:r w:rsidRPr="00FC3B7C">
        <w:rPr>
          <w:rFonts w:eastAsia="Times New Roman"/>
        </w:rPr>
        <w:t>nominální měnový</w:t>
      </w:r>
      <w:r w:rsidRPr="00FC3B7C">
        <w:rPr>
          <w:rFonts w:eastAsia="Times New Roman"/>
          <w:i/>
          <w:iCs/>
        </w:rPr>
        <w:t xml:space="preserve"> </w:t>
      </w:r>
      <w:r w:rsidRPr="00FC3B7C">
        <w:rPr>
          <w:rFonts w:eastAsia="Times New Roman"/>
        </w:rPr>
        <w:t>kurz</w:t>
      </w:r>
      <w:r w:rsidR="003376E1">
        <w:rPr>
          <w:rFonts w:eastAsia="Times New Roman"/>
          <w:i/>
          <w:iCs/>
        </w:rPr>
        <w:t xml:space="preserve">           </w:t>
      </w:r>
      <w:r w:rsidRPr="00FC3B7C">
        <w:rPr>
          <w:rFonts w:eastAsia="Times New Roman"/>
          <w:i/>
          <w:iCs/>
        </w:rPr>
        <w:t xml:space="preserve"> </w:t>
      </w:r>
    </w:p>
    <w:p w14:paraId="4A6F3677" w14:textId="77777777" w:rsidR="00661EA8" w:rsidRPr="00FC3B7C" w:rsidRDefault="00661EA8" w:rsidP="001E5CF1">
      <w:pPr>
        <w:rPr>
          <w:sz w:val="20"/>
          <w:szCs w:val="20"/>
        </w:rPr>
      </w:pPr>
      <w:r w:rsidRPr="00FC3B7C">
        <w:rPr>
          <w:rFonts w:eastAsia="Times New Roman"/>
        </w:rPr>
        <w:t>vůči jiné měně či koši cizích měn.</w:t>
      </w:r>
    </w:p>
    <w:p w14:paraId="4A6F3678" w14:textId="77777777" w:rsidR="00661EA8" w:rsidRPr="00FC3B7C" w:rsidRDefault="00661EA8" w:rsidP="001E5CF1">
      <w:pPr>
        <w:rPr>
          <w:sz w:val="20"/>
          <w:szCs w:val="20"/>
        </w:rPr>
      </w:pPr>
      <w:r w:rsidRPr="00FC3B7C">
        <w:rPr>
          <w:rFonts w:eastAsia="Times New Roman"/>
          <w:i/>
          <w:iCs/>
          <w:u w:val="single"/>
        </w:rPr>
        <w:t>Plovoucí měnový</w:t>
      </w:r>
      <w:r w:rsidRPr="00FC3B7C">
        <w:rPr>
          <w:rFonts w:eastAsia="Times New Roman"/>
          <w:i/>
          <w:iCs/>
        </w:rPr>
        <w:t xml:space="preserve"> </w:t>
      </w:r>
      <w:r w:rsidRPr="00FC3B7C">
        <w:rPr>
          <w:rFonts w:eastAsia="Times New Roman"/>
          <w:i/>
          <w:iCs/>
          <w:u w:val="single"/>
        </w:rPr>
        <w:t>kurz</w:t>
      </w:r>
      <w:r w:rsidRPr="00FC3B7C">
        <w:rPr>
          <w:rFonts w:eastAsia="Times New Roman"/>
          <w:i/>
          <w:iCs/>
        </w:rPr>
        <w:t xml:space="preserve"> </w:t>
      </w:r>
      <w:r w:rsidRPr="00FC3B7C">
        <w:rPr>
          <w:rFonts w:eastAsia="Times New Roman"/>
        </w:rPr>
        <w:t>- Plovoucí měnový</w:t>
      </w:r>
      <w:r w:rsidRPr="00FC3B7C">
        <w:rPr>
          <w:rFonts w:eastAsia="Times New Roman"/>
          <w:i/>
          <w:iCs/>
        </w:rPr>
        <w:t xml:space="preserve"> </w:t>
      </w:r>
      <w:r w:rsidRPr="00FC3B7C">
        <w:rPr>
          <w:rFonts w:eastAsia="Times New Roman"/>
        </w:rPr>
        <w:t>kurz je určen na devizových trzích v závislosti na</w:t>
      </w:r>
      <w:r w:rsidRPr="00FC3B7C">
        <w:rPr>
          <w:rFonts w:eastAsia="Times New Roman"/>
          <w:i/>
          <w:iCs/>
        </w:rPr>
        <w:t xml:space="preserve"> </w:t>
      </w:r>
      <w:r w:rsidRPr="00FC3B7C">
        <w:rPr>
          <w:rFonts w:eastAsia="Times New Roman"/>
        </w:rPr>
        <w:t>poptávce a nabídce, a obecně u něj tedy dochází k neustálým pohybům.</w:t>
      </w:r>
    </w:p>
    <w:p w14:paraId="4A6F3679" w14:textId="77777777" w:rsidR="00661EA8" w:rsidRPr="00FC3B7C" w:rsidRDefault="00661EA8" w:rsidP="001E5CF1">
      <w:pPr>
        <w:rPr>
          <w:sz w:val="20"/>
          <w:szCs w:val="20"/>
        </w:rPr>
      </w:pPr>
      <w:r w:rsidRPr="00FC3B7C">
        <w:rPr>
          <w:rFonts w:eastAsia="Times New Roman"/>
          <w:i/>
          <w:iCs/>
          <w:u w:val="single"/>
        </w:rPr>
        <w:t>Cílování inflace</w:t>
      </w:r>
      <w:r w:rsidRPr="00FC3B7C">
        <w:rPr>
          <w:rFonts w:eastAsia="Times New Roman"/>
          <w:i/>
          <w:iCs/>
        </w:rPr>
        <w:t xml:space="preserve"> </w:t>
      </w:r>
      <w:r w:rsidRPr="00FC3B7C">
        <w:rPr>
          <w:rFonts w:eastAsia="Times New Roman"/>
        </w:rPr>
        <w:t>- Režim měnové politiky, ve kterém CB jako jediný</w:t>
      </w:r>
      <w:r w:rsidRPr="00FC3B7C">
        <w:rPr>
          <w:rFonts w:eastAsia="Times New Roman"/>
          <w:i/>
          <w:iCs/>
        </w:rPr>
        <w:t xml:space="preserve"> </w:t>
      </w:r>
      <w:r w:rsidRPr="00FC3B7C">
        <w:rPr>
          <w:rFonts w:eastAsia="Times New Roman"/>
        </w:rPr>
        <w:t>konečný</w:t>
      </w:r>
      <w:r w:rsidRPr="00FC3B7C">
        <w:rPr>
          <w:rFonts w:eastAsia="Times New Roman"/>
          <w:i/>
          <w:iCs/>
        </w:rPr>
        <w:t xml:space="preserve"> </w:t>
      </w:r>
      <w:r w:rsidRPr="00FC3B7C">
        <w:rPr>
          <w:rFonts w:eastAsia="Times New Roman"/>
        </w:rPr>
        <w:t>cíl své politiky</w:t>
      </w:r>
      <w:r w:rsidRPr="00FC3B7C">
        <w:rPr>
          <w:rFonts w:eastAsia="Times New Roman"/>
          <w:i/>
          <w:iCs/>
        </w:rPr>
        <w:t xml:space="preserve"> </w:t>
      </w:r>
      <w:r w:rsidRPr="00FC3B7C">
        <w:rPr>
          <w:rFonts w:eastAsia="Times New Roman"/>
        </w:rPr>
        <w:t>formuluje určitou cílovou míru inflace, resp. inflační pásmo.</w:t>
      </w:r>
    </w:p>
    <w:p w14:paraId="4A6F367A" w14:textId="45B7AF16" w:rsidR="00661EA8" w:rsidRPr="00FC3B7C" w:rsidRDefault="00661EA8" w:rsidP="001E5CF1">
      <w:pPr>
        <w:rPr>
          <w:sz w:val="20"/>
          <w:szCs w:val="20"/>
        </w:rPr>
      </w:pPr>
      <w:r w:rsidRPr="00FC3B7C">
        <w:rPr>
          <w:rFonts w:eastAsia="Times New Roman"/>
          <w:i/>
          <w:iCs/>
          <w:u w:val="single"/>
        </w:rPr>
        <w:t>Měnová intervence</w:t>
      </w:r>
      <w:r w:rsidRPr="00FC3B7C">
        <w:rPr>
          <w:rFonts w:eastAsia="Times New Roman"/>
          <w:i/>
          <w:iCs/>
        </w:rPr>
        <w:t xml:space="preserve"> </w:t>
      </w:r>
      <w:r w:rsidRPr="00FC3B7C">
        <w:rPr>
          <w:rFonts w:eastAsia="Times New Roman"/>
        </w:rPr>
        <w:t>- Cílem je udržet cenovou stabilitu v</w:t>
      </w:r>
      <w:r w:rsidRPr="00FC3B7C">
        <w:rPr>
          <w:rFonts w:eastAsia="Times New Roman"/>
          <w:i/>
          <w:iCs/>
        </w:rPr>
        <w:t xml:space="preserve"> </w:t>
      </w:r>
      <w:r w:rsidRPr="00FC3B7C">
        <w:rPr>
          <w:rFonts w:eastAsia="Times New Roman"/>
        </w:rPr>
        <w:t>české ekonomice v souladu s inflačním</w:t>
      </w:r>
      <w:r w:rsidRPr="00FC3B7C">
        <w:rPr>
          <w:rFonts w:eastAsia="Times New Roman"/>
          <w:i/>
          <w:iCs/>
        </w:rPr>
        <w:t xml:space="preserve"> </w:t>
      </w:r>
      <w:r w:rsidRPr="00FC3B7C">
        <w:rPr>
          <w:rFonts w:eastAsia="Times New Roman"/>
        </w:rPr>
        <w:t>cílem ČNB (od roku 2010 je platný inflační cíl ČNB ve výši 2 %). Jinými slovy, jde o snahu významně omezit riziko deflace a urychlit návrat do situace, kdy bude ČNB moci opět začít používat svůj standardní nástroj, tj. úrokové sazby.</w:t>
      </w:r>
    </w:p>
    <w:p w14:paraId="4A6F367B" w14:textId="57AE11F9" w:rsidR="00661EA8" w:rsidRDefault="00661EA8" w:rsidP="001E5CF1">
      <w:pPr>
        <w:rPr>
          <w:rFonts w:eastAsia="Times New Roman"/>
        </w:rPr>
      </w:pPr>
      <w:r w:rsidRPr="00FC3B7C">
        <w:rPr>
          <w:rFonts w:eastAsia="Times New Roman"/>
          <w:i/>
          <w:iCs/>
          <w:u w:val="single"/>
        </w:rPr>
        <w:t>Eurozóna</w:t>
      </w:r>
      <w:r w:rsidRPr="00FC3B7C">
        <w:rPr>
          <w:rFonts w:eastAsia="Times New Roman"/>
          <w:i/>
          <w:iCs/>
        </w:rPr>
        <w:t xml:space="preserve"> </w:t>
      </w:r>
      <w:r w:rsidRPr="00FC3B7C">
        <w:rPr>
          <w:rFonts w:eastAsia="Times New Roman"/>
        </w:rPr>
        <w:t>- Eurozóna, oficiálně</w:t>
      </w:r>
      <w:r w:rsidRPr="00FC3B7C">
        <w:rPr>
          <w:rFonts w:eastAsia="Times New Roman"/>
          <w:i/>
          <w:iCs/>
        </w:rPr>
        <w:t xml:space="preserve"> </w:t>
      </w:r>
      <w:r w:rsidRPr="00FC3B7C">
        <w:rPr>
          <w:rFonts w:eastAsia="Times New Roman"/>
        </w:rPr>
        <w:t>nazývaná euro oblast, je území Evropské unie, na kterém se</w:t>
      </w:r>
      <w:r w:rsidRPr="00FC3B7C">
        <w:rPr>
          <w:rFonts w:eastAsia="Times New Roman"/>
          <w:i/>
          <w:iCs/>
        </w:rPr>
        <w:t xml:space="preserve"> </w:t>
      </w:r>
      <w:r w:rsidRPr="00FC3B7C">
        <w:rPr>
          <w:rFonts w:eastAsia="Times New Roman"/>
        </w:rPr>
        <w:t xml:space="preserve">užívá společná evropská měna euro. Jejími členy jsou tedy státy, jež vstoupily do třetí </w:t>
      </w:r>
      <w:r w:rsidR="000506FA" w:rsidRPr="00FC3B7C">
        <w:rPr>
          <w:rFonts w:eastAsia="Times New Roman"/>
        </w:rPr>
        <w:t>fáze</w:t>
      </w:r>
      <w:r w:rsidR="000506FA">
        <w:rPr>
          <w:rFonts w:eastAsia="Times New Roman"/>
        </w:rPr>
        <w:t xml:space="preserve"> </w:t>
      </w:r>
      <w:r w:rsidRPr="00FC3B7C">
        <w:rPr>
          <w:rFonts w:eastAsia="Times New Roman"/>
        </w:rPr>
        <w:t>Evropské měnové unie (EMU) a tím euro na svém území zavedly. Aktuálně má 19 členských zemí (Belgie, Estonsko, Finsko, Francie, Irsko, Itálie, Kypr, Litva, Lotyšsko, Lucembursko, Malta, Německo, Nizozemsko, Portugalsko, Rako</w:t>
      </w:r>
      <w:r w:rsidR="000506FA">
        <w:rPr>
          <w:rFonts w:eastAsia="Times New Roman"/>
        </w:rPr>
        <w:t>usko, Řecko, Slovensko, Slovins</w:t>
      </w:r>
      <w:r w:rsidRPr="00FC3B7C">
        <w:rPr>
          <w:rFonts w:eastAsia="Times New Roman"/>
        </w:rPr>
        <w:t>ko, Španělsko).</w:t>
      </w:r>
    </w:p>
    <w:p w14:paraId="4A6F367C" w14:textId="77777777" w:rsidR="007A1445" w:rsidRDefault="007A1445" w:rsidP="001E5CF1">
      <w:pPr>
        <w:rPr>
          <w:rFonts w:eastAsia="Times New Roman"/>
        </w:rPr>
      </w:pPr>
    </w:p>
    <w:p w14:paraId="4A6F367D" w14:textId="77777777" w:rsidR="007A1445" w:rsidRDefault="007A1445" w:rsidP="001E5CF1">
      <w:pPr>
        <w:rPr>
          <w:rFonts w:eastAsia="Times New Roman"/>
        </w:rPr>
      </w:pPr>
    </w:p>
    <w:p w14:paraId="4A6F367E" w14:textId="77777777" w:rsidR="007A1445" w:rsidRDefault="007A1445" w:rsidP="001E5CF1">
      <w:pPr>
        <w:rPr>
          <w:rFonts w:eastAsia="Times New Roman"/>
        </w:rPr>
      </w:pPr>
    </w:p>
    <w:p w14:paraId="4A6F367F" w14:textId="77777777" w:rsidR="007A1445" w:rsidRDefault="007A1445" w:rsidP="001E5CF1">
      <w:pPr>
        <w:rPr>
          <w:rFonts w:eastAsia="Times New Roman"/>
        </w:rPr>
      </w:pPr>
    </w:p>
    <w:p w14:paraId="4A6F3680" w14:textId="77777777" w:rsidR="007A1445" w:rsidRDefault="007A1445" w:rsidP="001E5CF1">
      <w:pPr>
        <w:rPr>
          <w:rFonts w:eastAsia="Times New Roman"/>
        </w:rPr>
      </w:pPr>
    </w:p>
    <w:p w14:paraId="4A6F3681" w14:textId="77777777" w:rsidR="007A1445" w:rsidRPr="00FC3B7C" w:rsidRDefault="007A1445" w:rsidP="001E5CF1">
      <w:pPr>
        <w:rPr>
          <w:sz w:val="20"/>
          <w:szCs w:val="20"/>
        </w:rPr>
      </w:pPr>
    </w:p>
    <w:p w14:paraId="4A6F3682" w14:textId="77777777" w:rsidR="00661EA8" w:rsidRPr="004B6CDE" w:rsidRDefault="00661EA8" w:rsidP="007A1445">
      <w:pPr>
        <w:pStyle w:val="Nadpis2"/>
        <w:rPr>
          <w:color w:val="1F3864" w:themeColor="accent1" w:themeShade="80"/>
          <w:sz w:val="20"/>
          <w:szCs w:val="20"/>
        </w:rPr>
      </w:pPr>
      <w:bookmarkStart w:id="162" w:name="page160"/>
      <w:bookmarkEnd w:id="162"/>
      <w:r w:rsidRPr="004B6CDE">
        <w:rPr>
          <w:rFonts w:eastAsia="Times New Roman"/>
          <w:color w:val="1F3864" w:themeColor="accent1" w:themeShade="80"/>
        </w:rPr>
        <w:lastRenderedPageBreak/>
        <w:tab/>
        <w:t>VÝVOJ CENTRÁLNÍHO BANKOVNICTVÍ ČR OD</w:t>
      </w:r>
      <w:r w:rsidRPr="004B6CDE">
        <w:rPr>
          <w:color w:val="1F3864" w:themeColor="accent1" w:themeShade="80"/>
          <w:sz w:val="20"/>
          <w:szCs w:val="20"/>
        </w:rPr>
        <w:t> </w:t>
      </w:r>
      <w:r w:rsidRPr="004B6CDE">
        <w:rPr>
          <w:rFonts w:eastAsia="Times New Roman"/>
          <w:color w:val="1F3864" w:themeColor="accent1" w:themeShade="80"/>
        </w:rPr>
        <w:t>ROKU 1989 DO SOUČASNOSTI</w:t>
      </w:r>
    </w:p>
    <w:p w14:paraId="4A6F3683" w14:textId="77777777" w:rsidR="00661EA8" w:rsidRPr="00FC3B7C" w:rsidRDefault="00661EA8" w:rsidP="00661EA8">
      <w:pPr>
        <w:spacing w:line="200" w:lineRule="exact"/>
        <w:rPr>
          <w:sz w:val="20"/>
          <w:szCs w:val="20"/>
        </w:rPr>
      </w:pPr>
    </w:p>
    <w:p w14:paraId="4A6F3684" w14:textId="77777777" w:rsidR="00661EA8" w:rsidRPr="00FC3B7C" w:rsidRDefault="00661EA8" w:rsidP="00661EA8">
      <w:pPr>
        <w:spacing w:line="232" w:lineRule="exact"/>
        <w:rPr>
          <w:sz w:val="20"/>
          <w:szCs w:val="20"/>
        </w:rPr>
      </w:pPr>
    </w:p>
    <w:p w14:paraId="4A6F3685" w14:textId="77777777" w:rsidR="00661EA8" w:rsidRPr="00FC3B7C" w:rsidRDefault="00661EA8" w:rsidP="00F17517">
      <w:pPr>
        <w:ind w:firstLine="720"/>
        <w:rPr>
          <w:sz w:val="20"/>
          <w:szCs w:val="20"/>
        </w:rPr>
      </w:pPr>
      <w:r w:rsidRPr="00FC3B7C">
        <w:rPr>
          <w:rFonts w:eastAsia="Times New Roman"/>
          <w:szCs w:val="24"/>
        </w:rPr>
        <w:t>Od roku 1950 až do roku 1993 měla přes všechny změny emisní monopol Státní banka československá, v ustanovujícím zákoně však nebyla zmínka o tom, že tato banka by byla „centrální“.</w:t>
      </w:r>
    </w:p>
    <w:p w14:paraId="4A6F3686" w14:textId="77777777" w:rsidR="00661EA8" w:rsidRPr="00FC3B7C" w:rsidRDefault="00661EA8" w:rsidP="00661EA8">
      <w:pPr>
        <w:spacing w:line="1" w:lineRule="exact"/>
        <w:rPr>
          <w:sz w:val="20"/>
          <w:szCs w:val="20"/>
        </w:rPr>
      </w:pPr>
    </w:p>
    <w:p w14:paraId="4A6F3687" w14:textId="77777777" w:rsidR="00661EA8" w:rsidRPr="00FC3B7C" w:rsidRDefault="00661EA8" w:rsidP="00F17517">
      <w:pPr>
        <w:ind w:firstLine="720"/>
        <w:rPr>
          <w:sz w:val="20"/>
          <w:szCs w:val="20"/>
        </w:rPr>
      </w:pPr>
      <w:r w:rsidRPr="00FC3B7C">
        <w:rPr>
          <w:rFonts w:eastAsia="Times New Roman"/>
        </w:rPr>
        <w:t>Od roku 1992 vystupovala SBČ jako banka státu, což znamená, že spravovala účty státního rozpočtu. Centrální banka se téhož roku konečně stala nezávislou na pokynech vlády při zajišťování hlavního cíle, kterým bylo zabezpečení stability československé měny. Centrální banka měla svého guvernéra, kterého jmenoval do funkce prezident a sedmi člennou bankovní radu. Byla ji udělena možnost podávat vládě návrhy zákonů v oblasti měny a oběhu peněz. Dynamicky našlápnutý vývoj centrálního bankovnictví byl koncem roku 1992 zbrzděn ohlasy na rozdělení ČSFR, které se nakonec konalo k 31. 12. 1992.</w:t>
      </w:r>
    </w:p>
    <w:p w14:paraId="4A6F3688" w14:textId="77777777" w:rsidR="00661EA8" w:rsidRPr="00FC3B7C" w:rsidRDefault="00661EA8" w:rsidP="00661EA8">
      <w:pPr>
        <w:spacing w:line="1" w:lineRule="exact"/>
        <w:rPr>
          <w:sz w:val="20"/>
          <w:szCs w:val="20"/>
        </w:rPr>
      </w:pPr>
    </w:p>
    <w:p w14:paraId="4A6F3689" w14:textId="77777777" w:rsidR="00661EA8" w:rsidRPr="00FC3B7C" w:rsidRDefault="00661EA8" w:rsidP="00F17517">
      <w:pPr>
        <w:ind w:right="20" w:firstLine="720"/>
        <w:rPr>
          <w:sz w:val="20"/>
          <w:szCs w:val="20"/>
        </w:rPr>
      </w:pPr>
      <w:r w:rsidRPr="00FC3B7C">
        <w:rPr>
          <w:rFonts w:eastAsia="Times New Roman"/>
          <w:szCs w:val="24"/>
        </w:rPr>
        <w:t>Po rozdělení Československa vznikla k 1. 1.1993 samostatná Česká republika. Došlo k rozdělení SČB a ke vzniku ČESKÉ NÁRODNÍ BANKY. Měla formu právnické osoby a nejvyšším orgánem zůstala sedmičlenná bankovní rada složená z guvernéra, 2 viceguvernérů a 4 dalších členů.</w:t>
      </w:r>
    </w:p>
    <w:p w14:paraId="4A6F368A" w14:textId="77777777" w:rsidR="00661EA8" w:rsidRPr="00FC3B7C" w:rsidRDefault="00661EA8" w:rsidP="00F17517">
      <w:pPr>
        <w:spacing w:line="358" w:lineRule="auto"/>
        <w:ind w:firstLine="720"/>
        <w:rPr>
          <w:sz w:val="20"/>
          <w:szCs w:val="20"/>
        </w:rPr>
      </w:pPr>
      <w:r w:rsidRPr="00FC3B7C">
        <w:rPr>
          <w:rFonts w:eastAsia="Times New Roman"/>
          <w:szCs w:val="24"/>
        </w:rPr>
        <w:t>ČNB při regulaci tzv. operativních kritérií postupně přecházela od regulace měnové báze k regulaci krátkodobé úrokové míry.</w:t>
      </w:r>
    </w:p>
    <w:p w14:paraId="4A6F368B" w14:textId="77777777" w:rsidR="00661EA8" w:rsidRPr="00FC3B7C" w:rsidRDefault="00661EA8" w:rsidP="00661EA8">
      <w:pPr>
        <w:spacing w:line="2" w:lineRule="exact"/>
        <w:rPr>
          <w:sz w:val="20"/>
          <w:szCs w:val="20"/>
        </w:rPr>
      </w:pPr>
    </w:p>
    <w:p w14:paraId="4A6F368C" w14:textId="7AC54DBF" w:rsidR="00661EA8" w:rsidRPr="00FC3B7C" w:rsidRDefault="00661EA8" w:rsidP="00F17517">
      <w:pPr>
        <w:ind w:firstLine="720"/>
        <w:rPr>
          <w:sz w:val="20"/>
          <w:szCs w:val="20"/>
        </w:rPr>
      </w:pPr>
      <w:r w:rsidRPr="00FC3B7C">
        <w:rPr>
          <w:rFonts w:eastAsia="Times New Roman"/>
          <w:szCs w:val="24"/>
        </w:rPr>
        <w:t>Měnová politika ČNB původně sledova</w:t>
      </w:r>
      <w:r w:rsidR="000506FA">
        <w:rPr>
          <w:rFonts w:eastAsia="Times New Roman"/>
          <w:szCs w:val="24"/>
        </w:rPr>
        <w:t>la</w:t>
      </w:r>
      <w:r w:rsidRPr="00FC3B7C">
        <w:rPr>
          <w:rFonts w:eastAsia="Times New Roman"/>
          <w:szCs w:val="24"/>
        </w:rPr>
        <w:t xml:space="preserve"> dva základní cíle stanovené v zákoně o centrální bance – vnitřní měnovou stabilitu, kterou lze rozumět cenovou stabilitu, a vnější měnovou stabilitu v podobě fixního měnového kurzu.</w:t>
      </w:r>
    </w:p>
    <w:p w14:paraId="4A6F368D" w14:textId="77777777" w:rsidR="00661EA8" w:rsidRPr="00FC3B7C" w:rsidRDefault="00661EA8" w:rsidP="00661EA8">
      <w:pPr>
        <w:spacing w:line="1" w:lineRule="exact"/>
        <w:rPr>
          <w:sz w:val="20"/>
          <w:szCs w:val="20"/>
        </w:rPr>
      </w:pPr>
    </w:p>
    <w:p w14:paraId="4A6F368E" w14:textId="77777777" w:rsidR="00661EA8" w:rsidRDefault="00661EA8" w:rsidP="00F17517">
      <w:pPr>
        <w:spacing w:line="367" w:lineRule="auto"/>
        <w:ind w:firstLine="720"/>
        <w:rPr>
          <w:rFonts w:eastAsia="Times New Roman"/>
          <w:szCs w:val="24"/>
        </w:rPr>
      </w:pPr>
      <w:r w:rsidRPr="00FC3B7C">
        <w:rPr>
          <w:rFonts w:eastAsia="Times New Roman"/>
          <w:szCs w:val="24"/>
        </w:rPr>
        <w:t>V roce 1997 byla ČNB vlivem okolností „přinucena” opustit fixní kurz vázání české koruny na USD (25 %) a DEM (75 %). Centrální banka již nebyla schopna v důsledku spekulativních útoků na měnu udržet měnu v úzkém fluktuačním pásmu navázání na USD a DEM a v důsledku možného vyčerpání devizových rezerv přešla z režimu stabilního kurzu do režimu volně plovoucího kurzu.</w:t>
      </w:r>
    </w:p>
    <w:p w14:paraId="4A6F368F" w14:textId="77777777" w:rsidR="007A1445" w:rsidRDefault="007A1445" w:rsidP="00661EA8">
      <w:pPr>
        <w:spacing w:line="367" w:lineRule="auto"/>
        <w:rPr>
          <w:rFonts w:eastAsia="Times New Roman"/>
          <w:szCs w:val="24"/>
        </w:rPr>
      </w:pPr>
    </w:p>
    <w:p w14:paraId="4A6F3690" w14:textId="77777777" w:rsidR="007A1445" w:rsidRDefault="007A1445" w:rsidP="00661EA8">
      <w:pPr>
        <w:spacing w:line="367" w:lineRule="auto"/>
        <w:rPr>
          <w:rFonts w:eastAsia="Times New Roman"/>
          <w:szCs w:val="24"/>
        </w:rPr>
      </w:pPr>
    </w:p>
    <w:p w14:paraId="4A6F3691" w14:textId="77777777" w:rsidR="007A1445" w:rsidRDefault="007A1445" w:rsidP="00661EA8">
      <w:pPr>
        <w:spacing w:line="367" w:lineRule="auto"/>
        <w:rPr>
          <w:rFonts w:eastAsia="Times New Roman"/>
          <w:szCs w:val="24"/>
        </w:rPr>
      </w:pPr>
    </w:p>
    <w:p w14:paraId="4A6F3692" w14:textId="77777777" w:rsidR="007A1445" w:rsidRDefault="007A1445" w:rsidP="00661EA8">
      <w:pPr>
        <w:spacing w:line="367" w:lineRule="auto"/>
        <w:rPr>
          <w:rFonts w:eastAsia="Times New Roman"/>
          <w:szCs w:val="24"/>
        </w:rPr>
      </w:pPr>
    </w:p>
    <w:p w14:paraId="4A6F3693" w14:textId="77777777" w:rsidR="007A1445" w:rsidRPr="00FC3B7C" w:rsidRDefault="007A1445" w:rsidP="00661EA8">
      <w:pPr>
        <w:spacing w:line="367" w:lineRule="auto"/>
        <w:rPr>
          <w:sz w:val="20"/>
          <w:szCs w:val="20"/>
        </w:rPr>
      </w:pPr>
    </w:p>
    <w:p w14:paraId="4A6F3695" w14:textId="7570F87D" w:rsidR="00661EA8" w:rsidRPr="00266F2F" w:rsidRDefault="00661EA8" w:rsidP="00F17517">
      <w:pPr>
        <w:pStyle w:val="Nadpis3"/>
        <w:rPr>
          <w:color w:val="1F3864" w:themeColor="accent1" w:themeShade="80"/>
          <w:sz w:val="20"/>
          <w:szCs w:val="20"/>
        </w:rPr>
      </w:pPr>
      <w:bookmarkStart w:id="163" w:name="page161"/>
      <w:bookmarkEnd w:id="163"/>
      <w:r w:rsidRPr="00266F2F">
        <w:rPr>
          <w:rFonts w:eastAsia="Times New Roman"/>
          <w:color w:val="1F3864" w:themeColor="accent1" w:themeShade="80"/>
        </w:rPr>
        <w:lastRenderedPageBreak/>
        <w:t xml:space="preserve"> Zavedení inflačního cílování</w:t>
      </w:r>
    </w:p>
    <w:p w14:paraId="4A6F3696" w14:textId="77777777" w:rsidR="00661EA8" w:rsidRPr="00FC3B7C" w:rsidRDefault="00661EA8" w:rsidP="00F17517">
      <w:pPr>
        <w:ind w:firstLine="720"/>
        <w:rPr>
          <w:sz w:val="20"/>
          <w:szCs w:val="20"/>
        </w:rPr>
      </w:pPr>
      <w:r w:rsidRPr="00FC3B7C">
        <w:rPr>
          <w:rFonts w:eastAsia="Times New Roman"/>
        </w:rPr>
        <w:t xml:space="preserve">Čtyřmi základními typy těchto režimů jsou režim s implicitní nominální kotvou, cílování peněžní zásoby, cílování měnového kurzu a cílování inflace. V současnosti je v ČR zaveden </w:t>
      </w:r>
      <w:r w:rsidRPr="00FC3B7C">
        <w:rPr>
          <w:rFonts w:eastAsia="Times New Roman"/>
          <w:b/>
          <w:bCs/>
        </w:rPr>
        <w:t>režim cílování inflace</w:t>
      </w:r>
      <w:r w:rsidRPr="00FC3B7C">
        <w:rPr>
          <w:rFonts w:eastAsia="Times New Roman"/>
        </w:rPr>
        <w:t>. Cílování inflace (neboli inflační cílování) znamená,</w:t>
      </w:r>
      <w:r w:rsidRPr="00FC3B7C">
        <w:rPr>
          <w:rFonts w:eastAsia="Times New Roman"/>
          <w:b/>
          <w:bCs/>
        </w:rPr>
        <w:t xml:space="preserve"> </w:t>
      </w:r>
      <w:r w:rsidRPr="00FC3B7C">
        <w:rPr>
          <w:rFonts w:eastAsia="Times New Roman"/>
        </w:rPr>
        <w:t>že si CB jako svůj</w:t>
      </w:r>
      <w:r w:rsidRPr="00FC3B7C">
        <w:rPr>
          <w:rFonts w:eastAsia="Times New Roman"/>
          <w:b/>
          <w:bCs/>
        </w:rPr>
        <w:t xml:space="preserve"> </w:t>
      </w:r>
      <w:r w:rsidRPr="00FC3B7C">
        <w:rPr>
          <w:rFonts w:eastAsia="Times New Roman"/>
        </w:rPr>
        <w:t>dlouhodobý cíl vytyčí určitou míru inflace a tu se snaží uskutečnit. Inflační cíl CB se může stát účinným nástrojem k formování racionálních inflačních očekávání.</w:t>
      </w:r>
    </w:p>
    <w:p w14:paraId="4A6F3697" w14:textId="77777777" w:rsidR="00661EA8" w:rsidRPr="00FC3B7C" w:rsidRDefault="00661EA8" w:rsidP="00661EA8">
      <w:pPr>
        <w:spacing w:line="5" w:lineRule="exact"/>
        <w:rPr>
          <w:sz w:val="20"/>
          <w:szCs w:val="20"/>
        </w:rPr>
      </w:pPr>
    </w:p>
    <w:p w14:paraId="4A6F3698" w14:textId="77777777" w:rsidR="00661EA8" w:rsidRPr="00FC3B7C" w:rsidRDefault="00661EA8" w:rsidP="00F17517">
      <w:pPr>
        <w:ind w:left="4" w:firstLine="716"/>
        <w:rPr>
          <w:sz w:val="20"/>
          <w:szCs w:val="20"/>
        </w:rPr>
      </w:pPr>
      <w:r w:rsidRPr="00FC3B7C">
        <w:rPr>
          <w:rFonts w:eastAsia="Times New Roman"/>
          <w:szCs w:val="24"/>
        </w:rPr>
        <w:t>V prosinci 1997 rozhodla bankovní rada České národní banky o změně režimu MP a počínaje rokem 1998 přešla k cílování inflace. Přechod k novému režimu MP nebyl změnou její úlohy, ale pouze způsobu, jakým je tato úloha plněna.</w:t>
      </w:r>
    </w:p>
    <w:p w14:paraId="4A6F3699" w14:textId="77777777" w:rsidR="00661EA8" w:rsidRPr="00FC3B7C" w:rsidRDefault="00661EA8" w:rsidP="00661EA8">
      <w:pPr>
        <w:spacing w:line="1" w:lineRule="exact"/>
        <w:rPr>
          <w:sz w:val="20"/>
          <w:szCs w:val="20"/>
        </w:rPr>
      </w:pPr>
    </w:p>
    <w:p w14:paraId="4A6F369A" w14:textId="2A61F63A" w:rsidR="00661EA8" w:rsidRPr="00FC3B7C" w:rsidRDefault="00661EA8" w:rsidP="00F17517">
      <w:pPr>
        <w:spacing w:line="363" w:lineRule="auto"/>
        <w:ind w:left="4" w:firstLine="716"/>
        <w:rPr>
          <w:sz w:val="20"/>
          <w:szCs w:val="20"/>
        </w:rPr>
      </w:pPr>
      <w:r w:rsidRPr="00FC3B7C">
        <w:rPr>
          <w:rFonts w:eastAsia="Times New Roman"/>
          <w:szCs w:val="24"/>
        </w:rPr>
        <w:t xml:space="preserve">Významnými rysy cílování inflace je střednědobost této strategie, využívání prognózy inflace a veřejné explicitní vyhlášení inflačního cíle či posloupnosti cílů. Změnami těchto nástrojů se centrální banka snaží kompenzovat excesivní inflační, resp. dezinflační tlaky, které vychylují budoucí inflaci mimo inflační cíl resp. toleranční pásmo kolem tohoto cíle. Například zvýšení </w:t>
      </w:r>
      <w:r w:rsidRPr="00FC3B7C">
        <w:rPr>
          <w:rFonts w:eastAsia="Times New Roman"/>
          <w:b/>
          <w:bCs/>
          <w:szCs w:val="24"/>
        </w:rPr>
        <w:t>repo sazby</w:t>
      </w:r>
      <w:r w:rsidRPr="00FC3B7C">
        <w:rPr>
          <w:rFonts w:eastAsia="Times New Roman"/>
          <w:szCs w:val="24"/>
        </w:rPr>
        <w:t xml:space="preserve"> vede prostřednictvím tzv. </w:t>
      </w:r>
      <w:r w:rsidRPr="00FC3B7C">
        <w:rPr>
          <w:rFonts w:eastAsia="Times New Roman"/>
          <w:b/>
          <w:bCs/>
          <w:szCs w:val="24"/>
        </w:rPr>
        <w:t>transmisního mechanismu</w:t>
      </w:r>
      <w:r w:rsidRPr="00FC3B7C">
        <w:rPr>
          <w:rFonts w:eastAsia="Times New Roman"/>
          <w:szCs w:val="24"/>
        </w:rPr>
        <w:t xml:space="preserve"> obvykle k oslabení agregátní poptávky, které má za následek oslabení cenového růstu. Snížení repo sazby má na inflaci obvykle opačný dopad. Pokud centrální banka očekává, že v budoucnosti budou převažovat inflační vlivy vychylující inflaci nad cílo</w:t>
      </w:r>
      <w:r w:rsidR="000506FA">
        <w:rPr>
          <w:rFonts w:eastAsia="Times New Roman"/>
          <w:szCs w:val="24"/>
        </w:rPr>
        <w:t>vou</w:t>
      </w:r>
      <w:r w:rsidRPr="00FC3B7C">
        <w:rPr>
          <w:rFonts w:eastAsia="Times New Roman"/>
          <w:szCs w:val="24"/>
        </w:rPr>
        <w:t xml:space="preserve"> hodnotu, je to signál, že měnová politika by měla být restriktivnější, tj. že repo sazba by měla být zvýšena.</w:t>
      </w:r>
    </w:p>
    <w:p w14:paraId="4A6F369B" w14:textId="77777777" w:rsidR="00661EA8" w:rsidRPr="00FC3B7C" w:rsidRDefault="00661EA8" w:rsidP="00661EA8">
      <w:pPr>
        <w:spacing w:line="197" w:lineRule="exact"/>
        <w:rPr>
          <w:sz w:val="20"/>
          <w:szCs w:val="20"/>
        </w:rPr>
      </w:pPr>
    </w:p>
    <w:p w14:paraId="4A6F369C" w14:textId="77777777" w:rsidR="00661EA8" w:rsidRPr="00BA2AA0" w:rsidRDefault="00661EA8" w:rsidP="007A1445">
      <w:pPr>
        <w:pStyle w:val="Nadpis3"/>
        <w:rPr>
          <w:color w:val="1F3864" w:themeColor="accent1" w:themeShade="80"/>
          <w:sz w:val="20"/>
          <w:szCs w:val="20"/>
        </w:rPr>
      </w:pPr>
      <w:r w:rsidRPr="00BA2AA0">
        <w:rPr>
          <w:rFonts w:eastAsia="Times New Roman"/>
          <w:color w:val="1F3864" w:themeColor="accent1" w:themeShade="80"/>
        </w:rPr>
        <w:t>Důvody zavedení cílování inflace</w:t>
      </w:r>
    </w:p>
    <w:p w14:paraId="4A6F369D" w14:textId="77777777" w:rsidR="00661EA8" w:rsidRPr="007A1445" w:rsidRDefault="00661EA8" w:rsidP="00270319">
      <w:pPr>
        <w:numPr>
          <w:ilvl w:val="0"/>
          <w:numId w:val="152"/>
        </w:numPr>
        <w:tabs>
          <w:tab w:val="left" w:pos="1424"/>
        </w:tabs>
        <w:ind w:left="1424" w:hanging="366"/>
        <w:rPr>
          <w:rFonts w:eastAsia="Arial"/>
          <w:szCs w:val="24"/>
        </w:rPr>
      </w:pPr>
      <w:r w:rsidRPr="00FC3B7C">
        <w:rPr>
          <w:rFonts w:eastAsia="Times New Roman"/>
          <w:szCs w:val="24"/>
        </w:rPr>
        <w:t>Přechod od fixního k plovoucímu měnovému kurzu</w:t>
      </w:r>
    </w:p>
    <w:p w14:paraId="4A6F369E" w14:textId="77777777" w:rsidR="00661EA8" w:rsidRPr="00FC3B7C" w:rsidRDefault="00661EA8" w:rsidP="00270319">
      <w:pPr>
        <w:numPr>
          <w:ilvl w:val="0"/>
          <w:numId w:val="152"/>
        </w:numPr>
        <w:tabs>
          <w:tab w:val="left" w:pos="1424"/>
        </w:tabs>
        <w:spacing w:line="366" w:lineRule="auto"/>
        <w:ind w:left="1424" w:hanging="364"/>
        <w:rPr>
          <w:rFonts w:eastAsia="Arial"/>
          <w:szCs w:val="24"/>
        </w:rPr>
      </w:pPr>
      <w:r w:rsidRPr="00FC3B7C">
        <w:rPr>
          <w:rFonts w:eastAsia="Times New Roman"/>
          <w:szCs w:val="24"/>
        </w:rPr>
        <w:t>Selhání dosud používaných transmisních mechanismů (hlavně z důvodu nestability peněžního multiplikátoru)</w:t>
      </w:r>
    </w:p>
    <w:p w14:paraId="4A6F369F" w14:textId="77777777" w:rsidR="00661EA8" w:rsidRPr="00FC3B7C" w:rsidRDefault="00661EA8" w:rsidP="00661EA8">
      <w:pPr>
        <w:spacing w:line="1" w:lineRule="exact"/>
        <w:rPr>
          <w:rFonts w:eastAsia="Arial"/>
          <w:szCs w:val="24"/>
        </w:rPr>
      </w:pPr>
    </w:p>
    <w:p w14:paraId="4A6F36A0" w14:textId="77777777" w:rsidR="00661EA8" w:rsidRPr="00FC3B7C" w:rsidRDefault="00661EA8" w:rsidP="00270319">
      <w:pPr>
        <w:numPr>
          <w:ilvl w:val="0"/>
          <w:numId w:val="152"/>
        </w:numPr>
        <w:tabs>
          <w:tab w:val="left" w:pos="1424"/>
        </w:tabs>
        <w:ind w:left="1424" w:hanging="366"/>
        <w:rPr>
          <w:rFonts w:eastAsia="Arial"/>
          <w:szCs w:val="24"/>
        </w:rPr>
      </w:pPr>
      <w:r w:rsidRPr="00FC3B7C">
        <w:rPr>
          <w:rFonts w:eastAsia="Times New Roman"/>
          <w:szCs w:val="24"/>
        </w:rPr>
        <w:t>Cílování inflace je pro trh transparentní systém</w:t>
      </w:r>
    </w:p>
    <w:p w14:paraId="4A6F36A1" w14:textId="77777777" w:rsidR="00661EA8" w:rsidRPr="00FC3B7C" w:rsidRDefault="00661EA8" w:rsidP="00661EA8">
      <w:pPr>
        <w:spacing w:line="342" w:lineRule="exact"/>
        <w:rPr>
          <w:sz w:val="20"/>
          <w:szCs w:val="20"/>
        </w:rPr>
      </w:pPr>
    </w:p>
    <w:p w14:paraId="4A6F36A2" w14:textId="77777777" w:rsidR="00661EA8" w:rsidRPr="00FC3B7C" w:rsidRDefault="00661EA8" w:rsidP="00F17517">
      <w:pPr>
        <w:spacing w:line="367" w:lineRule="auto"/>
        <w:ind w:left="4" w:firstLine="716"/>
        <w:rPr>
          <w:rFonts w:eastAsia="Times New Roman"/>
          <w:szCs w:val="24"/>
        </w:rPr>
      </w:pPr>
      <w:r w:rsidRPr="00FC3B7C">
        <w:rPr>
          <w:rFonts w:eastAsia="Times New Roman"/>
          <w:szCs w:val="24"/>
        </w:rPr>
        <w:t>Inflační vývoj, resp. očekávaný inflační vývoj můž</w:t>
      </w:r>
      <w:r w:rsidR="00B80D64">
        <w:rPr>
          <w:rFonts w:eastAsia="Times New Roman"/>
          <w:szCs w:val="24"/>
        </w:rPr>
        <w:t xml:space="preserve">e být ovšem důsledkem působení </w:t>
      </w:r>
      <w:r w:rsidRPr="00FC3B7C">
        <w:rPr>
          <w:rFonts w:eastAsia="Times New Roman"/>
          <w:szCs w:val="24"/>
        </w:rPr>
        <w:t xml:space="preserve">mimořádných šoků zpravidla na straně nabídky, jejichž inflační resp. </w:t>
      </w:r>
      <w:r w:rsidRPr="00FC3B7C">
        <w:rPr>
          <w:rFonts w:eastAsia="Times New Roman"/>
          <w:b/>
          <w:bCs/>
          <w:szCs w:val="24"/>
        </w:rPr>
        <w:t>dezinflační</w:t>
      </w:r>
      <w:r w:rsidRPr="00FC3B7C">
        <w:rPr>
          <w:rFonts w:eastAsia="Times New Roman"/>
          <w:szCs w:val="24"/>
        </w:rPr>
        <w:t xml:space="preserve"> projevy za </w:t>
      </w:r>
    </w:p>
    <w:p w14:paraId="4A6F36A3" w14:textId="77777777" w:rsidR="007A1445" w:rsidRPr="00B80D64" w:rsidRDefault="00661EA8" w:rsidP="00B80D64">
      <w:pPr>
        <w:spacing w:line="367" w:lineRule="auto"/>
        <w:rPr>
          <w:rFonts w:eastAsia="Times New Roman"/>
          <w:szCs w:val="24"/>
        </w:rPr>
      </w:pPr>
      <w:r w:rsidRPr="00FC3B7C">
        <w:rPr>
          <w:rFonts w:eastAsia="Times New Roman"/>
          <w:szCs w:val="24"/>
        </w:rPr>
        <w:t>určitou dobu odezní, takže úsilí tyto projevy zcel</w:t>
      </w:r>
      <w:r w:rsidR="00B80D64">
        <w:rPr>
          <w:rFonts w:eastAsia="Times New Roman"/>
          <w:szCs w:val="24"/>
        </w:rPr>
        <w:t xml:space="preserve">a eliminovat změnami nastavení </w:t>
      </w:r>
      <w:r w:rsidRPr="00FC3B7C">
        <w:rPr>
          <w:rFonts w:eastAsia="Times New Roman"/>
        </w:rPr>
        <w:t xml:space="preserve">měnověpolitických nástrojů by zbytečně krátkodobě rozkolísávalo ekonomiku. Pokud se prognóza inflace v důsledku zmíněných šoků pohybuje po jistou dobu mimo toleranční </w:t>
      </w:r>
      <w:r w:rsidRPr="00FC3B7C">
        <w:rPr>
          <w:rFonts w:eastAsia="Times New Roman"/>
          <w:szCs w:val="24"/>
        </w:rPr>
        <w:t>pásmo inflačního cíle, je to v režimu cílování inflace obvykle</w:t>
      </w:r>
      <w:r w:rsidR="00B80D64">
        <w:rPr>
          <w:rFonts w:eastAsia="Times New Roman"/>
          <w:szCs w:val="24"/>
        </w:rPr>
        <w:t xml:space="preserve"> považováno za výjimku z úkolu </w:t>
      </w:r>
      <w:r w:rsidRPr="00FC3B7C">
        <w:rPr>
          <w:rFonts w:eastAsia="Times New Roman"/>
        </w:rPr>
        <w:t>centrální banky zajistit vývoj inflace poblíž inflačního cíle</w:t>
      </w:r>
      <w:r w:rsidR="00B80D64">
        <w:rPr>
          <w:rFonts w:eastAsia="Times New Roman"/>
        </w:rPr>
        <w:t xml:space="preserve">. ČNB - stejně jako řada jiných </w:t>
      </w:r>
      <w:r w:rsidRPr="00FC3B7C">
        <w:rPr>
          <w:rFonts w:eastAsia="Times New Roman"/>
        </w:rPr>
        <w:t xml:space="preserve">centrálních bank cílujících inflaci - uplatňuje tuto praxi a v odůvodněných situacích pracuje </w:t>
      </w:r>
    </w:p>
    <w:p w14:paraId="4A6F36A4" w14:textId="77777777" w:rsidR="00661EA8" w:rsidRPr="00FC3B7C" w:rsidRDefault="00661EA8" w:rsidP="007A1445">
      <w:pPr>
        <w:rPr>
          <w:rFonts w:eastAsia="Times New Roman"/>
        </w:rPr>
      </w:pPr>
      <w:r w:rsidRPr="00FC3B7C">
        <w:rPr>
          <w:rFonts w:eastAsia="Times New Roman"/>
        </w:rPr>
        <w:lastRenderedPageBreak/>
        <w:t xml:space="preserve">s tzv. </w:t>
      </w:r>
      <w:r w:rsidRPr="00FC3B7C">
        <w:rPr>
          <w:rFonts w:eastAsia="Times New Roman"/>
          <w:b/>
          <w:bCs/>
        </w:rPr>
        <w:t>výjimkami</w:t>
      </w:r>
      <w:r w:rsidRPr="00FC3B7C">
        <w:rPr>
          <w:rFonts w:eastAsia="Times New Roman"/>
        </w:rPr>
        <w:t xml:space="preserve"> ze závazku plnit inflační cíl. Výjimky z plnění inflačních cílů: šoky na straně nabídky (exogenní faktory - úprava nepřímých daní).</w:t>
      </w:r>
    </w:p>
    <w:p w14:paraId="4A6F36A5" w14:textId="77777777" w:rsidR="00661EA8" w:rsidRPr="00FC3B7C" w:rsidRDefault="00661EA8" w:rsidP="00661EA8">
      <w:pPr>
        <w:spacing w:line="168" w:lineRule="exact"/>
        <w:rPr>
          <w:sz w:val="20"/>
          <w:szCs w:val="20"/>
        </w:rPr>
      </w:pPr>
    </w:p>
    <w:p w14:paraId="4A6F36A6" w14:textId="77777777" w:rsidR="00661EA8" w:rsidRPr="00266F2F" w:rsidRDefault="00661EA8" w:rsidP="007A1445">
      <w:pPr>
        <w:pStyle w:val="Nadpis3"/>
        <w:rPr>
          <w:color w:val="1F3864" w:themeColor="accent1" w:themeShade="80"/>
          <w:sz w:val="20"/>
          <w:szCs w:val="20"/>
        </w:rPr>
      </w:pPr>
      <w:r w:rsidRPr="00266F2F">
        <w:rPr>
          <w:rFonts w:eastAsia="Times New Roman"/>
          <w:color w:val="1F3864" w:themeColor="accent1" w:themeShade="80"/>
        </w:rPr>
        <w:t>Nástroje cílování inflace</w:t>
      </w:r>
    </w:p>
    <w:p w14:paraId="4A6F36A7" w14:textId="77777777" w:rsidR="00661EA8" w:rsidRPr="007A1445" w:rsidRDefault="00661EA8" w:rsidP="00270319">
      <w:pPr>
        <w:numPr>
          <w:ilvl w:val="0"/>
          <w:numId w:val="153"/>
        </w:numPr>
        <w:tabs>
          <w:tab w:val="left" w:pos="1860"/>
        </w:tabs>
        <w:ind w:left="1860" w:hanging="431"/>
        <w:rPr>
          <w:rFonts w:eastAsia="Arial"/>
          <w:szCs w:val="24"/>
        </w:rPr>
      </w:pPr>
      <w:r w:rsidRPr="00FC3B7C">
        <w:rPr>
          <w:rFonts w:eastAsia="Times New Roman"/>
          <w:szCs w:val="24"/>
        </w:rPr>
        <w:t>Množství oběživa = CB mají emisní funkci</w:t>
      </w:r>
    </w:p>
    <w:p w14:paraId="4A6F36A8" w14:textId="77777777" w:rsidR="00661EA8" w:rsidRPr="007A1445" w:rsidRDefault="00661EA8" w:rsidP="00270319">
      <w:pPr>
        <w:numPr>
          <w:ilvl w:val="0"/>
          <w:numId w:val="153"/>
        </w:numPr>
        <w:tabs>
          <w:tab w:val="left" w:pos="1860"/>
        </w:tabs>
        <w:ind w:left="1860" w:hanging="431"/>
        <w:rPr>
          <w:rFonts w:eastAsia="Arial"/>
          <w:szCs w:val="24"/>
        </w:rPr>
      </w:pPr>
      <w:r w:rsidRPr="00FC3B7C">
        <w:rPr>
          <w:rFonts w:eastAsia="Times New Roman"/>
          <w:szCs w:val="24"/>
        </w:rPr>
        <w:t>Stanovení základní úrokové sazby</w:t>
      </w:r>
    </w:p>
    <w:p w14:paraId="4A6F36A9" w14:textId="77777777" w:rsidR="00661EA8" w:rsidRPr="007A1445" w:rsidRDefault="00661EA8" w:rsidP="00270319">
      <w:pPr>
        <w:numPr>
          <w:ilvl w:val="0"/>
          <w:numId w:val="153"/>
        </w:numPr>
        <w:tabs>
          <w:tab w:val="left" w:pos="1860"/>
        </w:tabs>
        <w:ind w:left="1860" w:hanging="431"/>
        <w:rPr>
          <w:rFonts w:eastAsia="Arial"/>
          <w:szCs w:val="24"/>
        </w:rPr>
      </w:pPr>
      <w:r w:rsidRPr="00FC3B7C">
        <w:rPr>
          <w:rFonts w:eastAsia="Times New Roman"/>
          <w:szCs w:val="24"/>
        </w:rPr>
        <w:t>Provádění operací na volném trhu</w:t>
      </w:r>
    </w:p>
    <w:p w14:paraId="4A6F36AA" w14:textId="77777777" w:rsidR="00661EA8" w:rsidRPr="007A1445" w:rsidRDefault="00661EA8" w:rsidP="00270319">
      <w:pPr>
        <w:numPr>
          <w:ilvl w:val="0"/>
          <w:numId w:val="153"/>
        </w:numPr>
        <w:tabs>
          <w:tab w:val="left" w:pos="1860"/>
        </w:tabs>
        <w:ind w:left="1860" w:hanging="431"/>
        <w:rPr>
          <w:rFonts w:eastAsia="Arial"/>
          <w:szCs w:val="24"/>
        </w:rPr>
      </w:pPr>
      <w:r w:rsidRPr="00FC3B7C">
        <w:rPr>
          <w:rFonts w:eastAsia="Times New Roman"/>
          <w:szCs w:val="24"/>
        </w:rPr>
        <w:t>Stanovení politiky devizových kurzů</w:t>
      </w:r>
    </w:p>
    <w:p w14:paraId="4A6F36AB" w14:textId="77777777" w:rsidR="00661EA8" w:rsidRPr="00FC3B7C" w:rsidRDefault="00661EA8" w:rsidP="00270319">
      <w:pPr>
        <w:numPr>
          <w:ilvl w:val="0"/>
          <w:numId w:val="153"/>
        </w:numPr>
        <w:tabs>
          <w:tab w:val="left" w:pos="1860"/>
        </w:tabs>
        <w:ind w:left="1860" w:hanging="431"/>
        <w:rPr>
          <w:rFonts w:eastAsia="Arial"/>
          <w:szCs w:val="24"/>
        </w:rPr>
      </w:pPr>
      <w:r w:rsidRPr="00FC3B7C">
        <w:rPr>
          <w:rFonts w:eastAsia="Times New Roman"/>
          <w:szCs w:val="24"/>
        </w:rPr>
        <w:t>Stanovení povinných minimálních rezerv</w:t>
      </w:r>
    </w:p>
    <w:p w14:paraId="4A6F36AC" w14:textId="77777777" w:rsidR="00661EA8" w:rsidRPr="00FC3B7C" w:rsidRDefault="00661EA8" w:rsidP="00661EA8">
      <w:pPr>
        <w:spacing w:line="342" w:lineRule="exact"/>
        <w:rPr>
          <w:sz w:val="20"/>
          <w:szCs w:val="20"/>
        </w:rPr>
      </w:pPr>
    </w:p>
    <w:p w14:paraId="4A6F36AD" w14:textId="77777777" w:rsidR="007A1445" w:rsidRDefault="00661EA8" w:rsidP="00F17517">
      <w:pPr>
        <w:ind w:firstLine="720"/>
        <w:rPr>
          <w:rFonts w:eastAsia="Times New Roman"/>
        </w:rPr>
      </w:pPr>
      <w:r w:rsidRPr="00FC3B7C">
        <w:rPr>
          <w:rFonts w:eastAsia="Times New Roman"/>
        </w:rPr>
        <w:t xml:space="preserve">Mají regulatorní funkce pro celý bankovní sektor (vydávají bankovní licence, kontrolují dodržování stanovených pravidel komerčních a obchodních bank, bankovní dohled, regulují </w:t>
      </w:r>
    </w:p>
    <w:p w14:paraId="4A6F36AE" w14:textId="77777777" w:rsidR="00661EA8" w:rsidRPr="00FC3B7C" w:rsidRDefault="00661EA8" w:rsidP="007A1445">
      <w:pPr>
        <w:rPr>
          <w:sz w:val="20"/>
          <w:szCs w:val="20"/>
        </w:rPr>
      </w:pPr>
      <w:r w:rsidRPr="00FC3B7C">
        <w:rPr>
          <w:rFonts w:eastAsia="Times New Roman"/>
        </w:rPr>
        <w:t>i jiné instituce na finančním trhu – komise nad cennými papíry, kampeličky, pojišťovny).</w:t>
      </w:r>
    </w:p>
    <w:p w14:paraId="4A6F36AF" w14:textId="77777777" w:rsidR="00661EA8" w:rsidRPr="00FC3B7C" w:rsidRDefault="00661EA8" w:rsidP="00661EA8">
      <w:pPr>
        <w:spacing w:line="184" w:lineRule="exact"/>
        <w:rPr>
          <w:sz w:val="20"/>
          <w:szCs w:val="20"/>
        </w:rPr>
      </w:pPr>
    </w:p>
    <w:p w14:paraId="4A6F36B0" w14:textId="77777777" w:rsidR="00661EA8" w:rsidRPr="004B6CDE" w:rsidRDefault="00661EA8" w:rsidP="007A1445">
      <w:pPr>
        <w:pStyle w:val="Nadpis3"/>
        <w:rPr>
          <w:color w:val="1F3864" w:themeColor="accent1" w:themeShade="80"/>
          <w:sz w:val="20"/>
          <w:szCs w:val="20"/>
        </w:rPr>
      </w:pPr>
      <w:r w:rsidRPr="004B6CDE">
        <w:rPr>
          <w:rFonts w:eastAsia="Times New Roman"/>
          <w:color w:val="1F3864" w:themeColor="accent1" w:themeShade="80"/>
        </w:rPr>
        <w:t>Inflační cíle ČNB</w:t>
      </w:r>
    </w:p>
    <w:p w14:paraId="4A6F36B2" w14:textId="783A60E0" w:rsidR="00661EA8" w:rsidRPr="00962B2F" w:rsidRDefault="00661EA8" w:rsidP="00962B2F">
      <w:pPr>
        <w:pStyle w:val="Nadpis4"/>
        <w:rPr>
          <w:color w:val="1F3864" w:themeColor="accent1" w:themeShade="80"/>
          <w:sz w:val="20"/>
          <w:szCs w:val="20"/>
        </w:rPr>
      </w:pPr>
      <w:bookmarkStart w:id="164" w:name="page163"/>
      <w:bookmarkEnd w:id="164"/>
      <w:r w:rsidRPr="00BA2AA0">
        <w:rPr>
          <w:rFonts w:eastAsia="Times New Roman"/>
          <w:color w:val="1F3864" w:themeColor="accent1" w:themeShade="80"/>
        </w:rPr>
        <w:t>Inflační cíl 2006 – 2009</w:t>
      </w:r>
    </w:p>
    <w:p w14:paraId="4A6F36B3" w14:textId="77777777" w:rsidR="00661EA8" w:rsidRPr="007A1445" w:rsidRDefault="00661EA8" w:rsidP="00962B2F">
      <w:pPr>
        <w:spacing w:line="386" w:lineRule="auto"/>
        <w:ind w:left="568" w:right="320"/>
        <w:rPr>
          <w:rFonts w:eastAsia="Times New Roman"/>
        </w:rPr>
      </w:pPr>
      <w:r w:rsidRPr="00FC3B7C">
        <w:rPr>
          <w:rFonts w:eastAsia="Times New Roman"/>
        </w:rPr>
        <w:t>Inflační cíl v celkové inflaci ve výši 3 % platný od ledna 2006 do prosince 2009. ČNB zároveň usiluje o to, aby se skutečná hodnota inflace nelišila od cíle o více než jeden procentní bod na obě s</w:t>
      </w:r>
      <w:r w:rsidR="007A1445">
        <w:rPr>
          <w:rFonts w:eastAsia="Times New Roman"/>
        </w:rPr>
        <w:t>trany.</w:t>
      </w:r>
    </w:p>
    <w:p w14:paraId="4A6F36B4" w14:textId="77777777" w:rsidR="00661EA8" w:rsidRPr="00FC3B7C" w:rsidRDefault="00661EA8" w:rsidP="00661EA8">
      <w:pPr>
        <w:spacing w:line="174" w:lineRule="exact"/>
        <w:rPr>
          <w:sz w:val="20"/>
          <w:szCs w:val="20"/>
        </w:rPr>
      </w:pPr>
    </w:p>
    <w:p w14:paraId="4A6F36B5" w14:textId="77777777" w:rsidR="00661EA8" w:rsidRPr="00BA2AA0" w:rsidRDefault="00661EA8" w:rsidP="007A1445">
      <w:pPr>
        <w:pStyle w:val="Nadpis4"/>
        <w:rPr>
          <w:color w:val="1F3864" w:themeColor="accent1" w:themeShade="80"/>
          <w:sz w:val="20"/>
          <w:szCs w:val="20"/>
        </w:rPr>
      </w:pPr>
      <w:r w:rsidRPr="00BA2AA0">
        <w:rPr>
          <w:rFonts w:eastAsia="Times New Roman"/>
          <w:color w:val="1F3864" w:themeColor="accent1" w:themeShade="80"/>
        </w:rPr>
        <w:t>Inflační cíl 2010 - ?</w:t>
      </w:r>
    </w:p>
    <w:p w14:paraId="4A6F36B7" w14:textId="77777777" w:rsidR="00661EA8" w:rsidRPr="00FC3B7C" w:rsidRDefault="00661EA8" w:rsidP="00962B2F">
      <w:pPr>
        <w:spacing w:line="355" w:lineRule="auto"/>
        <w:ind w:left="568" w:right="320"/>
        <w:rPr>
          <w:sz w:val="20"/>
          <w:szCs w:val="20"/>
        </w:rPr>
      </w:pPr>
      <w:r w:rsidRPr="00FC3B7C">
        <w:rPr>
          <w:rFonts w:eastAsia="Times New Roman"/>
        </w:rPr>
        <w:t>Inflační cíl v celkové inflaci ve výši 2 % platný od ledna 2010 do přistoupení ČR k eurozóně. ČNB bude stejně jako doposud usilovat o to, aby se skutečná hodnota inflace nelišila od cíle více než jeden procentní bod na obě strany. V průměru nejsou inflační cíle naplňovány, často jsou sledována tzv. „podstřelení“, či „nadstřelení“ cíle.</w:t>
      </w:r>
    </w:p>
    <w:p w14:paraId="4A6F36B8" w14:textId="77777777" w:rsidR="00661EA8" w:rsidRPr="00FC3B7C" w:rsidRDefault="00661EA8" w:rsidP="00661EA8">
      <w:pPr>
        <w:spacing w:line="4" w:lineRule="exact"/>
        <w:rPr>
          <w:sz w:val="20"/>
          <w:szCs w:val="20"/>
        </w:rPr>
      </w:pPr>
    </w:p>
    <w:p w14:paraId="4A6F36B9" w14:textId="538ED9DB" w:rsidR="00661EA8" w:rsidRPr="00FC3B7C" w:rsidRDefault="00661EA8" w:rsidP="00661EA8">
      <w:pPr>
        <w:rPr>
          <w:sz w:val="20"/>
          <w:szCs w:val="20"/>
        </w:rPr>
      </w:pPr>
      <w:r w:rsidRPr="00FC3B7C">
        <w:rPr>
          <w:rFonts w:eastAsia="Times New Roman"/>
          <w:b/>
          <w:bCs/>
          <w:szCs w:val="24"/>
        </w:rPr>
        <w:t>Graf č. 1: Inflační cíle ČNB:</w:t>
      </w:r>
    </w:p>
    <w:p w14:paraId="4A6F36BA" w14:textId="77777777" w:rsidR="00661EA8" w:rsidRPr="00FC3B7C" w:rsidRDefault="00661EA8" w:rsidP="00661EA8">
      <w:pPr>
        <w:spacing w:line="20" w:lineRule="exact"/>
        <w:rPr>
          <w:sz w:val="20"/>
          <w:szCs w:val="20"/>
        </w:rPr>
      </w:pPr>
    </w:p>
    <w:p w14:paraId="4A6F36BB" w14:textId="2A489574" w:rsidR="00661EA8" w:rsidRPr="00FC3B7C" w:rsidRDefault="00962B2F" w:rsidP="00661EA8">
      <w:pPr>
        <w:spacing w:line="200" w:lineRule="exact"/>
        <w:rPr>
          <w:sz w:val="20"/>
          <w:szCs w:val="20"/>
        </w:rPr>
      </w:pPr>
      <w:r>
        <w:rPr>
          <w:noProof/>
          <w:sz w:val="20"/>
          <w:szCs w:val="20"/>
        </w:rPr>
        <w:drawing>
          <wp:anchor distT="0" distB="0" distL="114300" distR="114300" simplePos="0" relativeHeight="251592192" behindDoc="0" locked="0" layoutInCell="1" allowOverlap="1" wp14:anchorId="38B30749" wp14:editId="6590BEB8">
            <wp:simplePos x="0" y="0"/>
            <wp:positionH relativeFrom="column">
              <wp:posOffset>793750</wp:posOffset>
            </wp:positionH>
            <wp:positionV relativeFrom="paragraph">
              <wp:posOffset>21590</wp:posOffset>
            </wp:positionV>
            <wp:extent cx="3562350" cy="2119342"/>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62350" cy="21193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F36BC" w14:textId="1E198EA5" w:rsidR="00661EA8" w:rsidRDefault="00661EA8" w:rsidP="00661EA8">
      <w:pPr>
        <w:spacing w:line="200" w:lineRule="exact"/>
        <w:rPr>
          <w:sz w:val="20"/>
          <w:szCs w:val="20"/>
        </w:rPr>
      </w:pPr>
    </w:p>
    <w:p w14:paraId="55822416" w14:textId="77777777" w:rsidR="0009724B" w:rsidRPr="00FC3B7C" w:rsidRDefault="0009724B" w:rsidP="00661EA8">
      <w:pPr>
        <w:spacing w:line="200" w:lineRule="exact"/>
        <w:rPr>
          <w:sz w:val="20"/>
          <w:szCs w:val="20"/>
        </w:rPr>
      </w:pPr>
    </w:p>
    <w:p w14:paraId="4A6F36BD" w14:textId="22C78CE3" w:rsidR="00661EA8" w:rsidRPr="00FC3B7C" w:rsidRDefault="00661EA8" w:rsidP="00661EA8">
      <w:pPr>
        <w:spacing w:line="200" w:lineRule="exact"/>
        <w:rPr>
          <w:sz w:val="20"/>
          <w:szCs w:val="20"/>
        </w:rPr>
      </w:pPr>
    </w:p>
    <w:p w14:paraId="4A6F36BE" w14:textId="77777777" w:rsidR="00661EA8" w:rsidRPr="00FC3B7C" w:rsidRDefault="00661EA8" w:rsidP="00661EA8">
      <w:pPr>
        <w:spacing w:line="200" w:lineRule="exact"/>
        <w:rPr>
          <w:sz w:val="20"/>
          <w:szCs w:val="20"/>
        </w:rPr>
      </w:pPr>
    </w:p>
    <w:p w14:paraId="4A6F36BF" w14:textId="77777777" w:rsidR="00661EA8" w:rsidRPr="00FC3B7C" w:rsidRDefault="00661EA8" w:rsidP="00661EA8">
      <w:pPr>
        <w:spacing w:line="200" w:lineRule="exact"/>
        <w:rPr>
          <w:sz w:val="20"/>
          <w:szCs w:val="20"/>
        </w:rPr>
      </w:pPr>
    </w:p>
    <w:p w14:paraId="4A6F36C0" w14:textId="77777777" w:rsidR="00661EA8" w:rsidRPr="00FC3B7C" w:rsidRDefault="00661EA8" w:rsidP="00661EA8">
      <w:pPr>
        <w:spacing w:line="200" w:lineRule="exact"/>
        <w:rPr>
          <w:sz w:val="20"/>
          <w:szCs w:val="20"/>
        </w:rPr>
      </w:pPr>
    </w:p>
    <w:p w14:paraId="4A6F36C1" w14:textId="77777777" w:rsidR="00661EA8" w:rsidRPr="00FC3B7C" w:rsidRDefault="00661EA8" w:rsidP="00661EA8">
      <w:pPr>
        <w:spacing w:line="200" w:lineRule="exact"/>
        <w:rPr>
          <w:sz w:val="20"/>
          <w:szCs w:val="20"/>
        </w:rPr>
      </w:pPr>
    </w:p>
    <w:p w14:paraId="4A6F36C2" w14:textId="77777777" w:rsidR="00661EA8" w:rsidRPr="00FC3B7C" w:rsidRDefault="00661EA8" w:rsidP="00661EA8">
      <w:pPr>
        <w:spacing w:line="200" w:lineRule="exact"/>
        <w:rPr>
          <w:sz w:val="20"/>
          <w:szCs w:val="20"/>
        </w:rPr>
      </w:pPr>
    </w:p>
    <w:p w14:paraId="4A6F36C3" w14:textId="77777777" w:rsidR="00661EA8" w:rsidRPr="00FC3B7C" w:rsidRDefault="00661EA8" w:rsidP="00661EA8">
      <w:pPr>
        <w:spacing w:line="200" w:lineRule="exact"/>
        <w:rPr>
          <w:sz w:val="20"/>
          <w:szCs w:val="20"/>
        </w:rPr>
      </w:pPr>
    </w:p>
    <w:p w14:paraId="4A6F36C7" w14:textId="7A5367E7" w:rsidR="00B80D64" w:rsidRPr="00FC3B7C" w:rsidRDefault="00B80D64" w:rsidP="00661EA8">
      <w:pPr>
        <w:spacing w:line="300" w:lineRule="exact"/>
        <w:rPr>
          <w:sz w:val="20"/>
          <w:szCs w:val="20"/>
        </w:rPr>
      </w:pPr>
    </w:p>
    <w:p w14:paraId="4A6F36C8" w14:textId="4EF5D585" w:rsidR="00661EA8" w:rsidRPr="00FC3B7C" w:rsidRDefault="0009724B" w:rsidP="00F17517">
      <w:pPr>
        <w:ind w:firstLine="720"/>
        <w:rPr>
          <w:rFonts w:eastAsia="Times New Roman"/>
        </w:rPr>
      </w:pPr>
      <w:bookmarkStart w:id="165" w:name="page164"/>
      <w:bookmarkEnd w:id="165"/>
      <w:r>
        <w:rPr>
          <w:rFonts w:eastAsia="Times New Roman"/>
        </w:rPr>
        <w:lastRenderedPageBreak/>
        <w:t xml:space="preserve">V </w:t>
      </w:r>
      <w:r w:rsidR="00661EA8" w:rsidRPr="00FC3B7C">
        <w:rPr>
          <w:rFonts w:eastAsia="Times New Roman"/>
        </w:rPr>
        <w:t xml:space="preserve">prvním období cílování inflace používala Česká národní banka jako hlavní analytický i komunikační ukazatel inflace tzv. </w:t>
      </w:r>
      <w:r w:rsidR="00661EA8" w:rsidRPr="00FC3B7C">
        <w:rPr>
          <w:rFonts w:eastAsia="Times New Roman"/>
          <w:b/>
          <w:bCs/>
        </w:rPr>
        <w:t>čistou inflaci</w:t>
      </w:r>
      <w:r w:rsidR="00661EA8" w:rsidRPr="00FC3B7C">
        <w:rPr>
          <w:rFonts w:eastAsia="Times New Roman"/>
        </w:rPr>
        <w:t xml:space="preserve">. Střednědobý inflační cíl České národní banky pro konec roku 2000 byl vyhlášen současně s oznámením přechodu k cílování inflace, tj. v prosinci roku 1997. V rámci </w:t>
      </w:r>
      <w:r w:rsidR="00661EA8" w:rsidRPr="00FC3B7C">
        <w:rPr>
          <w:rFonts w:eastAsia="Times New Roman"/>
          <w:b/>
          <w:bCs/>
        </w:rPr>
        <w:t>Dlouhodobé měnové strategie</w:t>
      </w:r>
      <w:r w:rsidR="00661EA8" w:rsidRPr="00FC3B7C">
        <w:rPr>
          <w:rFonts w:eastAsia="Times New Roman"/>
        </w:rPr>
        <w:t xml:space="preserve"> zveřejněné v dubnu 1999 byl formulován dlouhodobý cíl tzv. cenové stability v čisté inflaci pro konec roku 2005 </w:t>
      </w:r>
      <w:r w:rsidR="00B80D64">
        <w:rPr>
          <w:rFonts w:eastAsia="Times New Roman"/>
        </w:rPr>
        <w:br/>
      </w:r>
      <w:r w:rsidR="00661EA8" w:rsidRPr="00FC3B7C">
        <w:rPr>
          <w:rFonts w:eastAsia="Times New Roman"/>
        </w:rPr>
        <w:t xml:space="preserve">v intervalu 1 - 3%. V dubnu 2001 bylo rozhodnuto o přechodu k cílování </w:t>
      </w:r>
      <w:r w:rsidR="00661EA8" w:rsidRPr="00FC3B7C">
        <w:rPr>
          <w:rFonts w:eastAsia="Times New Roman"/>
          <w:b/>
          <w:bCs/>
        </w:rPr>
        <w:t>celkové inflace</w:t>
      </w:r>
      <w:r w:rsidR="00661EA8" w:rsidRPr="00FC3B7C">
        <w:rPr>
          <w:rFonts w:eastAsia="Times New Roman"/>
        </w:rPr>
        <w:t xml:space="preserve"> (tj. přírůstku indexu spotřebitelských cen) a k vyjádření cílové trajektorie v celkové inflaci pomocí </w:t>
      </w:r>
      <w:r w:rsidR="00661EA8" w:rsidRPr="00FC3B7C">
        <w:rPr>
          <w:rFonts w:eastAsia="Times New Roman"/>
          <w:b/>
          <w:bCs/>
        </w:rPr>
        <w:t>průběžného pásma</w:t>
      </w:r>
      <w:r w:rsidR="00661EA8" w:rsidRPr="00FC3B7C">
        <w:rPr>
          <w:rFonts w:eastAsia="Times New Roman"/>
        </w:rPr>
        <w:t xml:space="preserve">. ČNB při posuzování vývoje inflace vychází ze statistických dat publikovaných ČSÚ. Hodnoty inflace, z nichž vychází provádění i zpětné hodnocení měnové politiky ČNB v režimu cílování inflace, jsou publikovány institucí nezávislou na ČNB. Toto uspořádání </w:t>
      </w:r>
      <w:r w:rsidR="00661EA8" w:rsidRPr="00FC3B7C">
        <w:rPr>
          <w:rFonts w:eastAsia="Times New Roman"/>
          <w:b/>
          <w:bCs/>
        </w:rPr>
        <w:t>zvyšuje kredibilitu</w:t>
      </w:r>
      <w:r w:rsidR="00661EA8" w:rsidRPr="00FC3B7C">
        <w:rPr>
          <w:rFonts w:eastAsia="Times New Roman"/>
        </w:rPr>
        <w:t xml:space="preserve"> inflačního cílování.</w:t>
      </w:r>
    </w:p>
    <w:p w14:paraId="4A6F36C9" w14:textId="77777777" w:rsidR="00661EA8" w:rsidRPr="00FC3B7C" w:rsidRDefault="00661EA8" w:rsidP="00661EA8">
      <w:pPr>
        <w:spacing w:line="8" w:lineRule="exact"/>
        <w:rPr>
          <w:sz w:val="20"/>
          <w:szCs w:val="20"/>
        </w:rPr>
      </w:pPr>
    </w:p>
    <w:p w14:paraId="4A6F36CA" w14:textId="77777777" w:rsidR="007A1445" w:rsidRDefault="007A1445" w:rsidP="00661EA8">
      <w:pPr>
        <w:ind w:left="4"/>
        <w:rPr>
          <w:rFonts w:eastAsia="Times New Roman"/>
          <w:b/>
          <w:bCs/>
          <w:szCs w:val="24"/>
        </w:rPr>
      </w:pPr>
    </w:p>
    <w:p w14:paraId="4A6F36CD" w14:textId="3F436C49" w:rsidR="007A1445" w:rsidRDefault="00661EA8" w:rsidP="00BA2AA0">
      <w:pPr>
        <w:ind w:left="4"/>
        <w:rPr>
          <w:sz w:val="20"/>
          <w:szCs w:val="20"/>
        </w:rPr>
      </w:pPr>
      <w:r w:rsidRPr="00FC3B7C">
        <w:rPr>
          <w:rFonts w:eastAsia="Times New Roman"/>
          <w:b/>
          <w:bCs/>
          <w:szCs w:val="24"/>
        </w:rPr>
        <w:t>Graf č. 2: Vývoj inflace v ČR (v %):</w:t>
      </w:r>
      <w:r w:rsidRPr="00FC3B7C">
        <w:rPr>
          <w:noProof/>
        </w:rPr>
        <w:t xml:space="preserve"> </w:t>
      </w:r>
    </w:p>
    <w:p w14:paraId="4A6F36CE" w14:textId="77777777" w:rsidR="007A1445" w:rsidRPr="00FC3B7C" w:rsidRDefault="007A1445" w:rsidP="00661EA8">
      <w:pPr>
        <w:spacing w:line="372" w:lineRule="exact"/>
        <w:rPr>
          <w:sz w:val="20"/>
          <w:szCs w:val="20"/>
        </w:rPr>
      </w:pPr>
    </w:p>
    <w:p w14:paraId="4A6F36CF" w14:textId="7A9D218B" w:rsidR="00B80D64" w:rsidRDefault="00B80D64">
      <w:pPr>
        <w:spacing w:line="240" w:lineRule="auto"/>
        <w:jc w:val="left"/>
        <w:rPr>
          <w:rFonts w:eastAsia="Times New Roman"/>
          <w:b/>
          <w:bCs/>
          <w:szCs w:val="24"/>
        </w:rPr>
      </w:pPr>
      <w:bookmarkStart w:id="166" w:name="page165"/>
      <w:bookmarkEnd w:id="166"/>
      <w:r>
        <w:rPr>
          <w:rFonts w:eastAsia="Times New Roman"/>
          <w:b/>
          <w:bCs/>
          <w:szCs w:val="24"/>
        </w:rPr>
        <w:br w:type="page"/>
      </w:r>
      <w:r w:rsidR="0009724B" w:rsidRPr="008E4ABB">
        <w:rPr>
          <w:noProof/>
          <w:sz w:val="20"/>
          <w:szCs w:val="20"/>
        </w:rPr>
        <w:drawing>
          <wp:anchor distT="0" distB="0" distL="114300" distR="114300" simplePos="0" relativeHeight="251774464" behindDoc="0" locked="0" layoutInCell="1" allowOverlap="1" wp14:anchorId="791CC6C1" wp14:editId="2F919EE7">
            <wp:simplePos x="0" y="0"/>
            <wp:positionH relativeFrom="column">
              <wp:posOffset>0</wp:posOffset>
            </wp:positionH>
            <wp:positionV relativeFrom="paragraph">
              <wp:posOffset>-635</wp:posOffset>
            </wp:positionV>
            <wp:extent cx="5753100" cy="3448050"/>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3448050"/>
                    </a:xfrm>
                    <a:prstGeom prst="rect">
                      <a:avLst/>
                    </a:prstGeom>
                    <a:noFill/>
                    <a:ln>
                      <a:noFill/>
                    </a:ln>
                  </pic:spPr>
                </pic:pic>
              </a:graphicData>
            </a:graphic>
          </wp:anchor>
        </w:drawing>
      </w:r>
    </w:p>
    <w:p w14:paraId="4A6F36D0" w14:textId="77777777" w:rsidR="00661EA8" w:rsidRPr="00FC3B7C" w:rsidRDefault="00661EA8" w:rsidP="00661EA8">
      <w:pPr>
        <w:ind w:left="4"/>
        <w:rPr>
          <w:sz w:val="20"/>
          <w:szCs w:val="20"/>
        </w:rPr>
      </w:pPr>
      <w:r w:rsidRPr="00FC3B7C">
        <w:rPr>
          <w:rFonts w:eastAsia="Times New Roman"/>
          <w:b/>
          <w:bCs/>
          <w:szCs w:val="24"/>
        </w:rPr>
        <w:lastRenderedPageBreak/>
        <w:t>Komentář ke grafu:</w:t>
      </w:r>
    </w:p>
    <w:p w14:paraId="4A6F36D1" w14:textId="77777777" w:rsidR="00661EA8" w:rsidRPr="00FC3B7C" w:rsidRDefault="00661EA8" w:rsidP="00661EA8">
      <w:pPr>
        <w:spacing w:line="143" w:lineRule="exact"/>
        <w:rPr>
          <w:sz w:val="20"/>
          <w:szCs w:val="20"/>
        </w:rPr>
      </w:pPr>
    </w:p>
    <w:p w14:paraId="4A6F36D2" w14:textId="77777777" w:rsidR="00661EA8" w:rsidRPr="00FC3B7C" w:rsidRDefault="00661EA8" w:rsidP="00661EA8">
      <w:pPr>
        <w:spacing w:line="320" w:lineRule="auto"/>
        <w:ind w:left="4"/>
        <w:rPr>
          <w:sz w:val="20"/>
          <w:szCs w:val="20"/>
        </w:rPr>
      </w:pPr>
      <w:r w:rsidRPr="00FC3B7C">
        <w:rPr>
          <w:rFonts w:eastAsia="Times New Roman"/>
          <w:szCs w:val="24"/>
        </w:rPr>
        <w:t>V roce 2008 se inflace výrazně vychýlila od stanoveného inflačního cíle. Důvodů je hned několik, například:</w:t>
      </w:r>
    </w:p>
    <w:p w14:paraId="4A6F36D3" w14:textId="77777777" w:rsidR="00661EA8" w:rsidRPr="00FC3B7C" w:rsidRDefault="00661EA8" w:rsidP="00661EA8">
      <w:pPr>
        <w:spacing w:line="2" w:lineRule="exact"/>
        <w:rPr>
          <w:sz w:val="20"/>
          <w:szCs w:val="20"/>
        </w:rPr>
      </w:pPr>
    </w:p>
    <w:p w14:paraId="4A6F36D4" w14:textId="77777777" w:rsidR="00661EA8" w:rsidRPr="007A1445" w:rsidRDefault="00661EA8" w:rsidP="00270319">
      <w:pPr>
        <w:numPr>
          <w:ilvl w:val="0"/>
          <w:numId w:val="154"/>
        </w:numPr>
        <w:tabs>
          <w:tab w:val="left" w:pos="1424"/>
        </w:tabs>
        <w:ind w:left="1424" w:hanging="366"/>
        <w:rPr>
          <w:rFonts w:eastAsia="Arial"/>
          <w:szCs w:val="24"/>
        </w:rPr>
      </w:pPr>
      <w:r w:rsidRPr="00FC3B7C">
        <w:rPr>
          <w:rFonts w:eastAsia="Times New Roman"/>
          <w:szCs w:val="24"/>
        </w:rPr>
        <w:t>růst cen potravin</w:t>
      </w:r>
    </w:p>
    <w:p w14:paraId="4A6F36D5" w14:textId="77777777" w:rsidR="00661EA8" w:rsidRPr="007A1445" w:rsidRDefault="00661EA8" w:rsidP="00270319">
      <w:pPr>
        <w:numPr>
          <w:ilvl w:val="0"/>
          <w:numId w:val="154"/>
        </w:numPr>
        <w:tabs>
          <w:tab w:val="left" w:pos="1424"/>
        </w:tabs>
        <w:ind w:left="1424" w:hanging="366"/>
        <w:rPr>
          <w:rFonts w:eastAsia="Arial"/>
          <w:szCs w:val="24"/>
        </w:rPr>
      </w:pPr>
      <w:r w:rsidRPr="00FC3B7C">
        <w:rPr>
          <w:rFonts w:eastAsia="Times New Roman"/>
          <w:szCs w:val="24"/>
        </w:rPr>
        <w:t>růst cen energií</w:t>
      </w:r>
    </w:p>
    <w:p w14:paraId="4A6F36D6" w14:textId="77777777" w:rsidR="00661EA8" w:rsidRPr="007A1445" w:rsidRDefault="00661EA8" w:rsidP="00270319">
      <w:pPr>
        <w:numPr>
          <w:ilvl w:val="0"/>
          <w:numId w:val="154"/>
        </w:numPr>
        <w:tabs>
          <w:tab w:val="left" w:pos="1424"/>
        </w:tabs>
        <w:ind w:left="1424" w:hanging="366"/>
        <w:rPr>
          <w:rFonts w:eastAsia="Arial"/>
          <w:szCs w:val="24"/>
        </w:rPr>
      </w:pPr>
      <w:r w:rsidRPr="00FC3B7C">
        <w:rPr>
          <w:rFonts w:eastAsia="Times New Roman"/>
          <w:szCs w:val="24"/>
        </w:rPr>
        <w:t>zavedení regulačních poplatků ve zdravotnictví</w:t>
      </w:r>
    </w:p>
    <w:p w14:paraId="4A6F36D7" w14:textId="77777777" w:rsidR="00661EA8" w:rsidRPr="007A1445" w:rsidRDefault="00661EA8" w:rsidP="00270319">
      <w:pPr>
        <w:numPr>
          <w:ilvl w:val="0"/>
          <w:numId w:val="154"/>
        </w:numPr>
        <w:tabs>
          <w:tab w:val="left" w:pos="1424"/>
        </w:tabs>
        <w:ind w:left="1424" w:hanging="366"/>
        <w:rPr>
          <w:rFonts w:eastAsia="Arial"/>
          <w:szCs w:val="24"/>
        </w:rPr>
      </w:pPr>
      <w:r w:rsidRPr="00FC3B7C">
        <w:rPr>
          <w:rFonts w:eastAsia="Times New Roman"/>
          <w:szCs w:val="24"/>
        </w:rPr>
        <w:t>zvýšení sazby DPH</w:t>
      </w:r>
    </w:p>
    <w:p w14:paraId="4A6F36D8" w14:textId="77777777" w:rsidR="00661EA8" w:rsidRPr="00FC3B7C" w:rsidRDefault="00661EA8" w:rsidP="00270319">
      <w:pPr>
        <w:numPr>
          <w:ilvl w:val="0"/>
          <w:numId w:val="154"/>
        </w:numPr>
        <w:tabs>
          <w:tab w:val="left" w:pos="1424"/>
        </w:tabs>
        <w:ind w:left="1424" w:hanging="366"/>
        <w:rPr>
          <w:rFonts w:eastAsia="Arial"/>
          <w:szCs w:val="24"/>
        </w:rPr>
      </w:pPr>
      <w:r w:rsidRPr="00FC3B7C">
        <w:rPr>
          <w:rFonts w:eastAsia="Times New Roman"/>
          <w:szCs w:val="24"/>
        </w:rPr>
        <w:t>zvýšení spotřební daně</w:t>
      </w:r>
    </w:p>
    <w:p w14:paraId="4A6F36D9" w14:textId="77777777" w:rsidR="00661EA8" w:rsidRPr="00FC3B7C" w:rsidRDefault="00661EA8" w:rsidP="00661EA8">
      <w:pPr>
        <w:spacing w:line="342" w:lineRule="exact"/>
        <w:rPr>
          <w:sz w:val="20"/>
          <w:szCs w:val="20"/>
        </w:rPr>
      </w:pPr>
    </w:p>
    <w:p w14:paraId="4A6F36DA" w14:textId="77777777" w:rsidR="00661EA8" w:rsidRPr="00FC3B7C" w:rsidRDefault="00661EA8" w:rsidP="00661EA8">
      <w:pPr>
        <w:ind w:left="4"/>
        <w:rPr>
          <w:sz w:val="20"/>
          <w:szCs w:val="20"/>
        </w:rPr>
      </w:pPr>
      <w:r w:rsidRPr="00FC3B7C">
        <w:rPr>
          <w:rFonts w:eastAsia="Times New Roman"/>
          <w:szCs w:val="24"/>
        </w:rPr>
        <w:t>Změna daní je považována za exogenní šok, na které ČNB není povinna reagovat.</w:t>
      </w:r>
    </w:p>
    <w:p w14:paraId="4A6F36DB" w14:textId="77777777" w:rsidR="00661EA8" w:rsidRPr="00FC3B7C" w:rsidRDefault="00661EA8" w:rsidP="00661EA8">
      <w:pPr>
        <w:spacing w:line="200" w:lineRule="exact"/>
        <w:rPr>
          <w:sz w:val="20"/>
          <w:szCs w:val="20"/>
        </w:rPr>
      </w:pPr>
    </w:p>
    <w:p w14:paraId="4A6F36DC" w14:textId="77777777" w:rsidR="00661EA8" w:rsidRPr="00FC3B7C" w:rsidRDefault="00661EA8" w:rsidP="00661EA8">
      <w:pPr>
        <w:spacing w:line="208" w:lineRule="exact"/>
        <w:rPr>
          <w:sz w:val="20"/>
          <w:szCs w:val="20"/>
        </w:rPr>
      </w:pPr>
    </w:p>
    <w:p w14:paraId="4A6F36DD" w14:textId="77777777" w:rsidR="00661EA8" w:rsidRPr="004B6CDE" w:rsidRDefault="00661EA8" w:rsidP="007A1445">
      <w:pPr>
        <w:pStyle w:val="Nadpis2"/>
        <w:rPr>
          <w:color w:val="1F3864" w:themeColor="accent1" w:themeShade="80"/>
          <w:sz w:val="20"/>
          <w:szCs w:val="20"/>
        </w:rPr>
      </w:pPr>
      <w:r w:rsidRPr="004B6CDE">
        <w:rPr>
          <w:rFonts w:eastAsia="Times New Roman"/>
          <w:color w:val="1F3864" w:themeColor="accent1" w:themeShade="80"/>
        </w:rPr>
        <w:t>VÝVOJ MĚNOVÉ POLITIKY OD ROKU 1990</w:t>
      </w:r>
      <w:r w:rsidRPr="004B6CDE">
        <w:rPr>
          <w:color w:val="1F3864" w:themeColor="accent1" w:themeShade="80"/>
          <w:sz w:val="20"/>
          <w:szCs w:val="20"/>
        </w:rPr>
        <w:t> </w:t>
      </w:r>
      <w:r w:rsidRPr="004B6CDE">
        <w:rPr>
          <w:rFonts w:eastAsia="Times New Roman"/>
          <w:color w:val="1F3864" w:themeColor="accent1" w:themeShade="80"/>
        </w:rPr>
        <w:t>S DŮRAZEM NA ZÁSADNÍ ZMĚNY</w:t>
      </w:r>
    </w:p>
    <w:p w14:paraId="4A6F36DE" w14:textId="77777777" w:rsidR="00661EA8" w:rsidRPr="00BA2AA0" w:rsidRDefault="00661EA8" w:rsidP="007A1445">
      <w:pPr>
        <w:pStyle w:val="Nadpis3"/>
        <w:rPr>
          <w:rFonts w:eastAsia="Times New Roman"/>
          <w:color w:val="1F3864" w:themeColor="accent1" w:themeShade="80"/>
        </w:rPr>
      </w:pPr>
      <w:r w:rsidRPr="00BA2AA0">
        <w:rPr>
          <w:rFonts w:eastAsia="Times New Roman"/>
          <w:color w:val="1F3864" w:themeColor="accent1" w:themeShade="80"/>
        </w:rPr>
        <w:t>Transformace ekonomiky</w:t>
      </w:r>
    </w:p>
    <w:p w14:paraId="4A6F36DF" w14:textId="77777777" w:rsidR="00661EA8" w:rsidRPr="00FC3B7C" w:rsidRDefault="00661EA8" w:rsidP="00F17517">
      <w:pPr>
        <w:ind w:left="4" w:firstLine="720"/>
        <w:rPr>
          <w:sz w:val="20"/>
          <w:szCs w:val="20"/>
        </w:rPr>
      </w:pPr>
      <w:r w:rsidRPr="00FC3B7C">
        <w:rPr>
          <w:rFonts w:eastAsia="Times New Roman"/>
        </w:rPr>
        <w:t>V období centrálně plánované ekonomiky byla úloha trhů a cen potlačena, pro efektivní fungování trhů je nezbytná svobodná tvorba cen výrobcem, z toho důvodu bylo součástí transformačního procesu uvolnění administrativní regulace cen.</w:t>
      </w:r>
    </w:p>
    <w:p w14:paraId="4A6F36E0" w14:textId="77777777" w:rsidR="00661EA8" w:rsidRPr="00FC3B7C" w:rsidRDefault="00661EA8" w:rsidP="00661EA8">
      <w:pPr>
        <w:spacing w:line="1" w:lineRule="exact"/>
        <w:rPr>
          <w:sz w:val="20"/>
          <w:szCs w:val="20"/>
        </w:rPr>
      </w:pPr>
    </w:p>
    <w:p w14:paraId="4A6F36E1" w14:textId="4CD2EFDA" w:rsidR="00661EA8" w:rsidRPr="00FC3B7C" w:rsidRDefault="00F17517" w:rsidP="00F17517">
      <w:pPr>
        <w:tabs>
          <w:tab w:val="left" w:pos="310"/>
        </w:tabs>
        <w:spacing w:line="362" w:lineRule="auto"/>
        <w:rPr>
          <w:rFonts w:eastAsia="Times New Roman"/>
          <w:b/>
          <w:bCs/>
          <w:szCs w:val="24"/>
        </w:rPr>
      </w:pPr>
      <w:r>
        <w:rPr>
          <w:rFonts w:eastAsia="Times New Roman"/>
          <w:b/>
          <w:bCs/>
          <w:szCs w:val="24"/>
        </w:rPr>
        <w:tab/>
      </w:r>
      <w:r>
        <w:rPr>
          <w:rFonts w:eastAsia="Times New Roman"/>
          <w:b/>
          <w:bCs/>
          <w:szCs w:val="24"/>
        </w:rPr>
        <w:tab/>
        <w:t xml:space="preserve">1. </w:t>
      </w:r>
      <w:r w:rsidR="00661EA8" w:rsidRPr="00FC3B7C">
        <w:rPr>
          <w:rFonts w:eastAsia="Times New Roman"/>
          <w:b/>
          <w:bCs/>
          <w:szCs w:val="24"/>
        </w:rPr>
        <w:t xml:space="preserve">1. 1991 </w:t>
      </w:r>
      <w:r w:rsidR="00661EA8" w:rsidRPr="00FC3B7C">
        <w:rPr>
          <w:rFonts w:eastAsia="Times New Roman"/>
          <w:szCs w:val="24"/>
        </w:rPr>
        <w:t>proběhla</w:t>
      </w:r>
      <w:r w:rsidR="00661EA8" w:rsidRPr="00FC3B7C">
        <w:rPr>
          <w:rFonts w:eastAsia="Times New Roman"/>
          <w:b/>
          <w:bCs/>
          <w:szCs w:val="24"/>
        </w:rPr>
        <w:t xml:space="preserve"> cenová liberalizace</w:t>
      </w:r>
      <w:r w:rsidR="00661EA8" w:rsidRPr="00FC3B7C">
        <w:rPr>
          <w:rFonts w:eastAsia="Times New Roman"/>
          <w:szCs w:val="24"/>
        </w:rPr>
        <w:t>, kdy byla liberalizována většina cen a většina</w:t>
      </w:r>
      <w:r w:rsidR="00661EA8" w:rsidRPr="00FC3B7C">
        <w:rPr>
          <w:rFonts w:eastAsia="Times New Roman"/>
          <w:b/>
          <w:bCs/>
          <w:szCs w:val="24"/>
        </w:rPr>
        <w:t xml:space="preserve"> </w:t>
      </w:r>
      <w:r w:rsidR="00661EA8" w:rsidRPr="00FC3B7C">
        <w:rPr>
          <w:rFonts w:eastAsia="Times New Roman"/>
          <w:szCs w:val="24"/>
        </w:rPr>
        <w:t>zahraničního obchodu, státem kontrolované zůstaly ceny nájemného, dopravy, elektřiny atd., dále byly odbourány cenové dotace.</w:t>
      </w:r>
    </w:p>
    <w:p w14:paraId="4A6F36E2" w14:textId="77777777" w:rsidR="00661EA8" w:rsidRPr="00FC3B7C" w:rsidRDefault="00661EA8" w:rsidP="0007131F">
      <w:pPr>
        <w:ind w:firstLine="720"/>
        <w:rPr>
          <w:rFonts w:eastAsia="Times New Roman"/>
          <w:b/>
          <w:bCs/>
        </w:rPr>
      </w:pPr>
      <w:r w:rsidRPr="00FC3B7C">
        <w:rPr>
          <w:rFonts w:eastAsia="Times New Roman"/>
        </w:rPr>
        <w:t>Po liberalizaci došlo v prvních měsících 1991 k prudkému zvýšení cenové hladiny (průměrná míra inflace roce 1991 činila 56,6% ), z obav ze spuštění inflační spirály byla pro rok 1991 zvolena silně restriktivní měnová politika, což po počátečním cenovém skoku vedlo ke stabilizaci cenového růstu a meziměsíční míra inflace se ustálila pod 1 %.</w:t>
      </w:r>
    </w:p>
    <w:p w14:paraId="4A6F36E3" w14:textId="77777777" w:rsidR="00661EA8" w:rsidRPr="00FC3B7C" w:rsidRDefault="00661EA8" w:rsidP="00661EA8">
      <w:pPr>
        <w:spacing w:line="3" w:lineRule="exact"/>
        <w:rPr>
          <w:sz w:val="20"/>
          <w:szCs w:val="20"/>
        </w:rPr>
      </w:pPr>
    </w:p>
    <w:p w14:paraId="4A6F36E4" w14:textId="77777777" w:rsidR="00661EA8" w:rsidRPr="00FC3B7C" w:rsidRDefault="00661EA8" w:rsidP="0007131F">
      <w:pPr>
        <w:ind w:firstLine="720"/>
        <w:rPr>
          <w:sz w:val="20"/>
          <w:szCs w:val="20"/>
        </w:rPr>
      </w:pPr>
      <w:r w:rsidRPr="00FC3B7C">
        <w:rPr>
          <w:rFonts w:eastAsia="Times New Roman"/>
          <w:b/>
          <w:bCs/>
        </w:rPr>
        <w:t xml:space="preserve">V únoru 1993 </w:t>
      </w:r>
      <w:r w:rsidRPr="00FC3B7C">
        <w:rPr>
          <w:rFonts w:eastAsia="Times New Roman"/>
        </w:rPr>
        <w:t>došlo k</w:t>
      </w:r>
      <w:r w:rsidRPr="00FC3B7C">
        <w:rPr>
          <w:rFonts w:eastAsia="Times New Roman"/>
          <w:b/>
          <w:bCs/>
        </w:rPr>
        <w:t xml:space="preserve"> měnové odluce </w:t>
      </w:r>
      <w:r w:rsidRPr="00FC3B7C">
        <w:rPr>
          <w:rFonts w:eastAsia="Times New Roman"/>
        </w:rPr>
        <w:t>a následnému vzniku samostatné</w:t>
      </w:r>
      <w:r w:rsidRPr="00FC3B7C">
        <w:rPr>
          <w:rFonts w:eastAsia="Times New Roman"/>
          <w:b/>
          <w:bCs/>
        </w:rPr>
        <w:t xml:space="preserve"> </w:t>
      </w:r>
      <w:r w:rsidRPr="00FC3B7C">
        <w:rPr>
          <w:rFonts w:eastAsia="Times New Roman"/>
        </w:rPr>
        <w:t>české měny. (Podle</w:t>
      </w:r>
      <w:r w:rsidRPr="00FC3B7C">
        <w:rPr>
          <w:rFonts w:eastAsia="Times New Roman"/>
          <w:b/>
          <w:bCs/>
        </w:rPr>
        <w:t xml:space="preserve"> </w:t>
      </w:r>
      <w:r w:rsidRPr="00FC3B7C">
        <w:rPr>
          <w:rFonts w:eastAsia="Times New Roman"/>
        </w:rPr>
        <w:t>článku 98 Ústavy ČR a zákona č.6/1993 Sb., o ČNB, ve znění pozdějších předpisů je hlavním cílem její činnosti péče o cenovou stabilitu).</w:t>
      </w:r>
    </w:p>
    <w:p w14:paraId="4A6F36E5" w14:textId="77777777" w:rsidR="00661EA8" w:rsidRPr="00FC3B7C" w:rsidRDefault="00661EA8" w:rsidP="00661EA8">
      <w:pPr>
        <w:spacing w:line="1" w:lineRule="exact"/>
        <w:rPr>
          <w:sz w:val="20"/>
          <w:szCs w:val="20"/>
        </w:rPr>
      </w:pPr>
    </w:p>
    <w:p w14:paraId="4A6F36E6" w14:textId="77777777" w:rsidR="00661EA8" w:rsidRPr="00FC3B7C" w:rsidRDefault="00661EA8" w:rsidP="0007131F">
      <w:pPr>
        <w:spacing w:line="395" w:lineRule="auto"/>
        <w:ind w:left="4" w:firstLine="716"/>
        <w:rPr>
          <w:sz w:val="20"/>
          <w:szCs w:val="20"/>
        </w:rPr>
      </w:pPr>
      <w:r w:rsidRPr="00FC3B7C">
        <w:rPr>
          <w:rFonts w:eastAsia="Times New Roman"/>
          <w:b/>
          <w:bCs/>
          <w:szCs w:val="24"/>
        </w:rPr>
        <w:t xml:space="preserve">V polovině 90. let </w:t>
      </w:r>
      <w:r w:rsidRPr="00FC3B7C">
        <w:rPr>
          <w:rFonts w:eastAsia="Times New Roman"/>
          <w:szCs w:val="24"/>
        </w:rPr>
        <w:t>se stabilizoval růst cen na úrovni 10%, avšak další snižování bylo obtížné,</w:t>
      </w:r>
      <w:r w:rsidRPr="00FC3B7C">
        <w:rPr>
          <w:rFonts w:eastAsia="Times New Roman"/>
          <w:b/>
          <w:bCs/>
          <w:szCs w:val="24"/>
        </w:rPr>
        <w:t xml:space="preserve"> </w:t>
      </w:r>
      <w:r w:rsidRPr="00FC3B7C">
        <w:rPr>
          <w:rFonts w:eastAsia="Times New Roman"/>
          <w:szCs w:val="24"/>
        </w:rPr>
        <w:t xml:space="preserve">a to z důvodů </w:t>
      </w:r>
      <w:r w:rsidRPr="00FC3B7C">
        <w:rPr>
          <w:rFonts w:eastAsia="Times New Roman"/>
          <w:b/>
          <w:bCs/>
          <w:szCs w:val="24"/>
        </w:rPr>
        <w:t>inflačního očekávání</w:t>
      </w:r>
      <w:r w:rsidRPr="00FC3B7C">
        <w:rPr>
          <w:rFonts w:eastAsia="Times New Roman"/>
          <w:szCs w:val="24"/>
        </w:rPr>
        <w:t xml:space="preserve"> ustáleného </w:t>
      </w:r>
      <w:r w:rsidRPr="00FC3B7C">
        <w:rPr>
          <w:rFonts w:eastAsia="Times New Roman"/>
          <w:b/>
          <w:bCs/>
          <w:szCs w:val="24"/>
        </w:rPr>
        <w:t>na hranici 10%</w:t>
      </w:r>
      <w:r w:rsidRPr="00FC3B7C">
        <w:rPr>
          <w:rFonts w:eastAsia="Times New Roman"/>
          <w:szCs w:val="24"/>
        </w:rPr>
        <w:t>, větší frekvence změn</w:t>
      </w:r>
      <w:bookmarkStart w:id="167" w:name="page166"/>
      <w:bookmarkEnd w:id="167"/>
      <w:r w:rsidR="007A1445">
        <w:rPr>
          <w:sz w:val="20"/>
          <w:szCs w:val="20"/>
        </w:rPr>
        <w:t xml:space="preserve"> </w:t>
      </w:r>
      <w:r w:rsidRPr="00FC3B7C">
        <w:rPr>
          <w:rFonts w:eastAsia="Times New Roman"/>
          <w:szCs w:val="24"/>
        </w:rPr>
        <w:t xml:space="preserve">relativních cen, což vede při nepružnosti cen směrem dolů ke stimulaci cenového růstu </w:t>
      </w:r>
      <w:r w:rsidR="00B80D64">
        <w:rPr>
          <w:rFonts w:eastAsia="Times New Roman"/>
          <w:szCs w:val="24"/>
        </w:rPr>
        <w:br/>
      </w:r>
      <w:r w:rsidRPr="00FC3B7C">
        <w:rPr>
          <w:rFonts w:eastAsia="Times New Roman"/>
          <w:szCs w:val="24"/>
        </w:rPr>
        <w:t>a příliv zahraničního kapitálu, který působil na růst peněžní zásoby.</w:t>
      </w:r>
    </w:p>
    <w:p w14:paraId="4A6F36E7" w14:textId="77777777" w:rsidR="00661EA8" w:rsidRPr="00FC3B7C" w:rsidRDefault="00661EA8" w:rsidP="00661EA8">
      <w:pPr>
        <w:spacing w:line="162" w:lineRule="exact"/>
        <w:rPr>
          <w:color w:val="CC3399"/>
          <w:sz w:val="20"/>
          <w:szCs w:val="20"/>
        </w:rPr>
      </w:pPr>
    </w:p>
    <w:p w14:paraId="4A6F36E8" w14:textId="77777777" w:rsidR="00661EA8" w:rsidRPr="00BA2AA0" w:rsidRDefault="00661EA8" w:rsidP="007A1445">
      <w:pPr>
        <w:pStyle w:val="Nadpis3"/>
        <w:rPr>
          <w:color w:val="1F3864" w:themeColor="accent1" w:themeShade="80"/>
          <w:sz w:val="20"/>
          <w:szCs w:val="20"/>
        </w:rPr>
      </w:pPr>
      <w:r w:rsidRPr="00BA2AA0">
        <w:rPr>
          <w:rFonts w:eastAsia="Times New Roman"/>
          <w:color w:val="1F3864" w:themeColor="accent1" w:themeShade="80"/>
        </w:rPr>
        <w:lastRenderedPageBreak/>
        <w:t>Krize 1997</w:t>
      </w:r>
    </w:p>
    <w:p w14:paraId="4A6F36E9" w14:textId="77777777" w:rsidR="00661EA8" w:rsidRPr="00FC3B7C" w:rsidRDefault="00661EA8" w:rsidP="00661EA8">
      <w:pPr>
        <w:spacing w:line="203" w:lineRule="exact"/>
        <w:rPr>
          <w:sz w:val="20"/>
          <w:szCs w:val="20"/>
        </w:rPr>
      </w:pPr>
    </w:p>
    <w:p w14:paraId="4A6F36EA" w14:textId="77777777" w:rsidR="00661EA8" w:rsidRPr="00FC3B7C" w:rsidRDefault="00661EA8" w:rsidP="0007131F">
      <w:pPr>
        <w:spacing w:line="361" w:lineRule="auto"/>
        <w:ind w:left="4" w:right="20" w:firstLine="716"/>
        <w:rPr>
          <w:sz w:val="20"/>
          <w:szCs w:val="20"/>
        </w:rPr>
      </w:pPr>
      <w:r w:rsidRPr="00FC3B7C">
        <w:rPr>
          <w:rFonts w:eastAsia="Times New Roman"/>
          <w:szCs w:val="24"/>
        </w:rPr>
        <w:t xml:space="preserve">V roce </w:t>
      </w:r>
      <w:r w:rsidRPr="00FC3B7C">
        <w:rPr>
          <w:rFonts w:eastAsia="Times New Roman"/>
          <w:b/>
          <w:bCs/>
          <w:szCs w:val="24"/>
        </w:rPr>
        <w:t>1997</w:t>
      </w:r>
      <w:r w:rsidRPr="00FC3B7C">
        <w:rPr>
          <w:rFonts w:eastAsia="Times New Roman"/>
          <w:szCs w:val="24"/>
        </w:rPr>
        <w:t xml:space="preserve"> byla ČNB vlivem okolností „přinucena” </w:t>
      </w:r>
      <w:r w:rsidRPr="00FC3B7C">
        <w:rPr>
          <w:rFonts w:eastAsia="Times New Roman"/>
          <w:b/>
          <w:bCs/>
          <w:szCs w:val="24"/>
        </w:rPr>
        <w:t>opustit fixní kurz</w:t>
      </w:r>
      <w:r w:rsidRPr="00FC3B7C">
        <w:rPr>
          <w:rFonts w:eastAsia="Times New Roman"/>
          <w:szCs w:val="24"/>
        </w:rPr>
        <w:t xml:space="preserve"> vázání české koruny na USD (25 %) a DEM (75 %). Centrální banka již nebyla schopna v důsledku spekulativních útoků na měnu udržet měnu v úzkém fluktuačním pásmu navázání na USD a DEM a v důsledku možného vyčerpání devizových rezerv přešla z režimu stabilního kurzu do režimu volně plovoucího kurzu.</w:t>
      </w:r>
    </w:p>
    <w:p w14:paraId="4A6F36EB" w14:textId="77777777" w:rsidR="00661EA8" w:rsidRPr="00FC3B7C" w:rsidRDefault="00661EA8" w:rsidP="00661EA8">
      <w:pPr>
        <w:spacing w:line="4" w:lineRule="exact"/>
        <w:rPr>
          <w:sz w:val="20"/>
          <w:szCs w:val="20"/>
        </w:rPr>
      </w:pPr>
    </w:p>
    <w:p w14:paraId="4A6F36EC" w14:textId="42FF3E41" w:rsidR="00661EA8" w:rsidRPr="00FC3B7C" w:rsidRDefault="00661EA8" w:rsidP="0007131F">
      <w:pPr>
        <w:ind w:firstLine="720"/>
        <w:rPr>
          <w:sz w:val="20"/>
          <w:szCs w:val="20"/>
        </w:rPr>
      </w:pPr>
      <w:r w:rsidRPr="00FC3B7C">
        <w:rPr>
          <w:rFonts w:eastAsia="Times New Roman"/>
        </w:rPr>
        <w:t>Za nejzákladnější příčiny tohoto měnového otřesu se uvádějí zpravidla zastavení hospodářského růstu, neshody ve vládní koalici, a schodek státního rozpočtu. Tyto faktory otřásly důvěrou investorů v česk</w:t>
      </w:r>
      <w:r w:rsidR="000506FA">
        <w:rPr>
          <w:rFonts w:eastAsia="Times New Roman"/>
        </w:rPr>
        <w:t>ou korunu a ti se jí postupně z</w:t>
      </w:r>
      <w:r w:rsidRPr="00FC3B7C">
        <w:rPr>
          <w:rFonts w:eastAsia="Times New Roman"/>
        </w:rPr>
        <w:t>ačali „zbavovat“. Hromadný prodej koruny vedl k postupnému odčerpávání korunových devizových rezerv ČNB, která korunu masivně nakupovala za účelem potlačit depreciaci Kč.</w:t>
      </w:r>
    </w:p>
    <w:p w14:paraId="4A6F36ED" w14:textId="77777777" w:rsidR="00661EA8" w:rsidRPr="00FC3B7C" w:rsidRDefault="00661EA8" w:rsidP="00661EA8">
      <w:pPr>
        <w:spacing w:line="6" w:lineRule="exact"/>
        <w:rPr>
          <w:sz w:val="20"/>
          <w:szCs w:val="20"/>
        </w:rPr>
      </w:pPr>
    </w:p>
    <w:p w14:paraId="4A6F36EE" w14:textId="77777777" w:rsidR="00661EA8" w:rsidRPr="00FC3B7C" w:rsidRDefault="00661EA8" w:rsidP="0007131F">
      <w:pPr>
        <w:spacing w:line="358" w:lineRule="auto"/>
        <w:ind w:left="4" w:right="20" w:firstLine="716"/>
        <w:rPr>
          <w:sz w:val="20"/>
          <w:szCs w:val="20"/>
        </w:rPr>
      </w:pPr>
      <w:r w:rsidRPr="00FC3B7C">
        <w:rPr>
          <w:rFonts w:eastAsia="Times New Roman"/>
          <w:szCs w:val="24"/>
        </w:rPr>
        <w:t>Celkové intervence centrální banky činily od 15. 15. 1997 do 27. 5. 70 mld. Kč. Měnový agregát M1 poklesl o 19 mld. Kč. Měnový agregát M2 poklesl o 21 mld. Kč.</w:t>
      </w:r>
    </w:p>
    <w:p w14:paraId="4A6F36EF" w14:textId="77777777" w:rsidR="00661EA8" w:rsidRPr="00FC3B7C" w:rsidRDefault="00661EA8" w:rsidP="00661EA8">
      <w:pPr>
        <w:spacing w:line="2" w:lineRule="exact"/>
        <w:rPr>
          <w:sz w:val="20"/>
          <w:szCs w:val="20"/>
        </w:rPr>
      </w:pPr>
    </w:p>
    <w:p w14:paraId="4A6F36F0" w14:textId="77777777" w:rsidR="00661EA8" w:rsidRPr="00FC3B7C" w:rsidRDefault="00661EA8" w:rsidP="00661EA8">
      <w:pPr>
        <w:spacing w:line="376" w:lineRule="auto"/>
        <w:ind w:left="4"/>
        <w:rPr>
          <w:sz w:val="20"/>
          <w:szCs w:val="20"/>
        </w:rPr>
      </w:pPr>
      <w:r w:rsidRPr="00FC3B7C">
        <w:rPr>
          <w:rFonts w:eastAsia="Times New Roman"/>
          <w:szCs w:val="24"/>
        </w:rPr>
        <w:t>V důsledku opuštění úzkého fluktuačního pásma české koruny ČNB opustila cíl vnější měnové stability (=fixního kurzu). Od r. 1997 je jediným hlavním cílem vnitřní měnová stabilita (=cenová stabilita).</w:t>
      </w:r>
    </w:p>
    <w:p w14:paraId="4A6F36F1" w14:textId="77777777" w:rsidR="00661EA8" w:rsidRPr="00FC3B7C" w:rsidRDefault="00661EA8" w:rsidP="00661EA8">
      <w:pPr>
        <w:spacing w:line="175" w:lineRule="exact"/>
        <w:rPr>
          <w:sz w:val="20"/>
          <w:szCs w:val="20"/>
        </w:rPr>
      </w:pPr>
    </w:p>
    <w:p w14:paraId="4A6F36F2" w14:textId="77777777" w:rsidR="00661EA8" w:rsidRPr="00BA2AA0" w:rsidRDefault="00661EA8" w:rsidP="007A1445">
      <w:pPr>
        <w:pStyle w:val="Nadpis3"/>
        <w:rPr>
          <w:color w:val="1F3864" w:themeColor="accent1" w:themeShade="80"/>
          <w:sz w:val="20"/>
          <w:szCs w:val="20"/>
        </w:rPr>
      </w:pPr>
      <w:r w:rsidRPr="00BA2AA0">
        <w:rPr>
          <w:rFonts w:eastAsia="Times New Roman"/>
          <w:color w:val="1F3864" w:themeColor="accent1" w:themeShade="80"/>
        </w:rPr>
        <w:t>Rok 2008</w:t>
      </w:r>
    </w:p>
    <w:p w14:paraId="4A6F36F3" w14:textId="77777777" w:rsidR="00661EA8" w:rsidRPr="00FC3B7C" w:rsidRDefault="00661EA8" w:rsidP="0007131F">
      <w:pPr>
        <w:ind w:firstLine="720"/>
        <w:rPr>
          <w:sz w:val="20"/>
          <w:szCs w:val="20"/>
        </w:rPr>
      </w:pPr>
      <w:r w:rsidRPr="00FC3B7C">
        <w:rPr>
          <w:rFonts w:eastAsia="Times New Roman"/>
        </w:rPr>
        <w:t>V souvislosti s ekonomickou krizí ČNB v roce 2008 avizovala, že je připravena pomoci komerčním bankám s likviditou, českých bank se však problémy s nedostatkem likvidity netýkají.</w:t>
      </w:r>
    </w:p>
    <w:p w14:paraId="4A6F36F4" w14:textId="77777777" w:rsidR="00661EA8" w:rsidRPr="00FC3B7C" w:rsidRDefault="00661EA8" w:rsidP="00661EA8">
      <w:pPr>
        <w:spacing w:line="3" w:lineRule="exact"/>
        <w:rPr>
          <w:sz w:val="20"/>
          <w:szCs w:val="20"/>
        </w:rPr>
      </w:pPr>
    </w:p>
    <w:p w14:paraId="4A6F36F5" w14:textId="594E4E9C" w:rsidR="00661EA8" w:rsidRPr="007A1445" w:rsidRDefault="00661EA8" w:rsidP="0007131F">
      <w:pPr>
        <w:ind w:left="4" w:right="20" w:firstLine="716"/>
        <w:rPr>
          <w:rFonts w:eastAsia="Times New Roman"/>
          <w:szCs w:val="24"/>
        </w:rPr>
      </w:pPr>
      <w:r w:rsidRPr="00FC3B7C">
        <w:rPr>
          <w:rFonts w:eastAsia="Times New Roman"/>
          <w:szCs w:val="24"/>
        </w:rPr>
        <w:t xml:space="preserve">ČNB zavedla tzv. intenzivní monitoring, který spočívá v pohotovém sběru a analýze aktuálních dat, které se týkají např. požadavků na hotovost, peněžního trhu a trhu </w:t>
      </w:r>
      <w:r w:rsidR="007A1445">
        <w:rPr>
          <w:rFonts w:eastAsia="Times New Roman"/>
          <w:szCs w:val="24"/>
        </w:rPr>
        <w:br/>
      </w:r>
      <w:r w:rsidRPr="00FC3B7C">
        <w:rPr>
          <w:rFonts w:eastAsia="Times New Roman"/>
          <w:szCs w:val="24"/>
        </w:rPr>
        <w:t xml:space="preserve">s dluhopisy, finančních </w:t>
      </w:r>
      <w:r w:rsidR="000506FA" w:rsidRPr="00FC3B7C">
        <w:rPr>
          <w:rFonts w:eastAsia="Times New Roman"/>
          <w:szCs w:val="24"/>
        </w:rPr>
        <w:t>institucí. Intenzivní</w:t>
      </w:r>
      <w:r w:rsidRPr="00FC3B7C">
        <w:rPr>
          <w:rFonts w:eastAsia="Times New Roman"/>
          <w:szCs w:val="24"/>
        </w:rPr>
        <w:t xml:space="preserve"> komunikace navenek (s cílem uvést na pravou míru různé dezinformace).</w:t>
      </w:r>
    </w:p>
    <w:p w14:paraId="4A6F36F6" w14:textId="77777777" w:rsidR="00661EA8" w:rsidRPr="00FC3B7C" w:rsidRDefault="00661EA8" w:rsidP="00661EA8">
      <w:pPr>
        <w:spacing w:line="137" w:lineRule="exact"/>
        <w:rPr>
          <w:sz w:val="20"/>
          <w:szCs w:val="20"/>
        </w:rPr>
      </w:pPr>
    </w:p>
    <w:p w14:paraId="4A6F36F7" w14:textId="77777777" w:rsidR="00661EA8" w:rsidRPr="00FC3B7C" w:rsidRDefault="00661EA8" w:rsidP="0007131F">
      <w:pPr>
        <w:ind w:firstLine="720"/>
        <w:rPr>
          <w:rFonts w:eastAsia="Times New Roman"/>
        </w:rPr>
      </w:pPr>
      <w:r w:rsidRPr="00FC3B7C">
        <w:rPr>
          <w:rFonts w:eastAsia="Times New Roman"/>
        </w:rPr>
        <w:t>ČNB nedoporučuje ukvapenou konsolidaci dohledu na nadnárodní úrovni - naopak doporučuje snížit náklady na finanční sektor. Podobně jako jiné CB, ČNB několikrát snižovala měnově -politické sazby, zároveň se zvýšil rozdíl mezi těmito a tržními sazbami. Postupné snižování základních úrokových sazeb (které probíhá až do současnosti) si kladlo za účel oživit agregátní poptávku. Nicméně spotřebitelská poptávka zpravidla nereagovala adekvátním zvýšením spotřeby, nýbrž pouze zvýšením úspor z „nových“ peněz.</w:t>
      </w:r>
    </w:p>
    <w:p w14:paraId="4A6F36F8" w14:textId="77777777" w:rsidR="00661EA8" w:rsidRPr="00FC3B7C" w:rsidRDefault="00661EA8" w:rsidP="00661EA8">
      <w:pPr>
        <w:spacing w:line="4" w:lineRule="exact"/>
        <w:rPr>
          <w:sz w:val="20"/>
          <w:szCs w:val="20"/>
        </w:rPr>
      </w:pPr>
    </w:p>
    <w:p w14:paraId="4A6F36F9" w14:textId="77777777" w:rsidR="00B80D64" w:rsidRDefault="00B80D64">
      <w:pPr>
        <w:spacing w:line="240" w:lineRule="auto"/>
        <w:jc w:val="left"/>
        <w:rPr>
          <w:rFonts w:eastAsia="Times New Roman"/>
          <w:b/>
          <w:bCs/>
          <w:szCs w:val="24"/>
        </w:rPr>
      </w:pPr>
      <w:r>
        <w:rPr>
          <w:rFonts w:eastAsia="Times New Roman"/>
          <w:b/>
          <w:bCs/>
          <w:szCs w:val="24"/>
        </w:rPr>
        <w:br w:type="page"/>
      </w:r>
    </w:p>
    <w:p w14:paraId="4A6F36FA" w14:textId="77777777" w:rsidR="00661EA8" w:rsidRPr="00FC3B7C" w:rsidRDefault="00661EA8" w:rsidP="00661EA8">
      <w:pPr>
        <w:rPr>
          <w:sz w:val="20"/>
          <w:szCs w:val="20"/>
        </w:rPr>
      </w:pPr>
      <w:r w:rsidRPr="00FC3B7C">
        <w:rPr>
          <w:rFonts w:eastAsia="Times New Roman"/>
          <w:b/>
          <w:bCs/>
          <w:szCs w:val="24"/>
        </w:rPr>
        <w:lastRenderedPageBreak/>
        <w:t>Tabulka č. 3: Přehled výše základních úrokových sazeb v roce 2008:</w:t>
      </w:r>
    </w:p>
    <w:p w14:paraId="4A6F36FB" w14:textId="77777777" w:rsidR="00661EA8" w:rsidRPr="00FC3B7C" w:rsidRDefault="00661EA8" w:rsidP="00661EA8">
      <w:pPr>
        <w:spacing w:line="20" w:lineRule="exact"/>
        <w:rPr>
          <w:sz w:val="20"/>
          <w:szCs w:val="20"/>
        </w:rPr>
      </w:pPr>
      <w:r w:rsidRPr="00FC3B7C">
        <w:rPr>
          <w:noProof/>
          <w:sz w:val="20"/>
          <w:szCs w:val="20"/>
        </w:rPr>
        <w:drawing>
          <wp:anchor distT="0" distB="0" distL="114300" distR="114300" simplePos="0" relativeHeight="251636224" behindDoc="1" locked="0" layoutInCell="0" allowOverlap="1" wp14:anchorId="4A6F5C90" wp14:editId="0089D6F1">
            <wp:simplePos x="0" y="0"/>
            <wp:positionH relativeFrom="column">
              <wp:posOffset>-1905</wp:posOffset>
            </wp:positionH>
            <wp:positionV relativeFrom="paragraph">
              <wp:posOffset>93345</wp:posOffset>
            </wp:positionV>
            <wp:extent cx="5757545" cy="3746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5"/>
                    <a:srcRect/>
                    <a:stretch>
                      <a:fillRect/>
                    </a:stretch>
                  </pic:blipFill>
                  <pic:spPr bwMode="auto">
                    <a:xfrm>
                      <a:off x="0" y="0"/>
                      <a:ext cx="5757545" cy="37465"/>
                    </a:xfrm>
                    <a:prstGeom prst="rect">
                      <a:avLst/>
                    </a:prstGeom>
                    <a:noFill/>
                  </pic:spPr>
                </pic:pic>
              </a:graphicData>
            </a:graphic>
          </wp:anchor>
        </w:drawing>
      </w:r>
    </w:p>
    <w:p w14:paraId="4A6F36FC" w14:textId="77777777" w:rsidR="00661EA8" w:rsidRPr="00FC3B7C" w:rsidRDefault="00661EA8" w:rsidP="00661EA8">
      <w:pPr>
        <w:spacing w:line="15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20"/>
        <w:gridCol w:w="960"/>
        <w:gridCol w:w="980"/>
        <w:gridCol w:w="20"/>
        <w:gridCol w:w="2240"/>
        <w:gridCol w:w="20"/>
        <w:gridCol w:w="2240"/>
        <w:gridCol w:w="20"/>
        <w:gridCol w:w="2260"/>
        <w:gridCol w:w="20"/>
      </w:tblGrid>
      <w:tr w:rsidR="00661EA8" w:rsidRPr="00FC3B7C" w14:paraId="4A6F3705" w14:textId="77777777" w:rsidTr="00244780">
        <w:trPr>
          <w:trHeight w:val="287"/>
        </w:trPr>
        <w:tc>
          <w:tcPr>
            <w:tcW w:w="2260" w:type="dxa"/>
            <w:gridSpan w:val="3"/>
            <w:vAlign w:val="bottom"/>
          </w:tcPr>
          <w:p w14:paraId="4A6F36FD" w14:textId="77777777" w:rsidR="00661EA8" w:rsidRPr="00FC3B7C" w:rsidRDefault="00661EA8" w:rsidP="00244780">
            <w:pPr>
              <w:ind w:left="100"/>
              <w:rPr>
                <w:sz w:val="20"/>
                <w:szCs w:val="20"/>
              </w:rPr>
            </w:pPr>
            <w:r w:rsidRPr="00FC3B7C">
              <w:rPr>
                <w:rFonts w:eastAsia="Times New Roman"/>
                <w:b/>
                <w:bCs/>
              </w:rPr>
              <w:t>Datum</w:t>
            </w:r>
          </w:p>
        </w:tc>
        <w:tc>
          <w:tcPr>
            <w:tcW w:w="20" w:type="dxa"/>
            <w:vAlign w:val="bottom"/>
          </w:tcPr>
          <w:p w14:paraId="4A6F36FE" w14:textId="77777777" w:rsidR="00661EA8" w:rsidRPr="00FC3B7C" w:rsidRDefault="00661EA8" w:rsidP="00244780">
            <w:pPr>
              <w:rPr>
                <w:szCs w:val="24"/>
              </w:rPr>
            </w:pPr>
          </w:p>
        </w:tc>
        <w:tc>
          <w:tcPr>
            <w:tcW w:w="2240" w:type="dxa"/>
            <w:vAlign w:val="bottom"/>
          </w:tcPr>
          <w:p w14:paraId="4A6F36FF" w14:textId="77777777" w:rsidR="00661EA8" w:rsidRPr="00FC3B7C" w:rsidRDefault="00661EA8" w:rsidP="00244780">
            <w:pPr>
              <w:ind w:left="80"/>
              <w:rPr>
                <w:sz w:val="20"/>
                <w:szCs w:val="20"/>
              </w:rPr>
            </w:pPr>
            <w:r w:rsidRPr="00FC3B7C">
              <w:rPr>
                <w:rFonts w:eastAsia="Times New Roman"/>
                <w:b/>
                <w:bCs/>
              </w:rPr>
              <w:t>2T repo sazba (%)</w:t>
            </w:r>
          </w:p>
        </w:tc>
        <w:tc>
          <w:tcPr>
            <w:tcW w:w="20" w:type="dxa"/>
            <w:vAlign w:val="bottom"/>
          </w:tcPr>
          <w:p w14:paraId="4A6F3700" w14:textId="77777777" w:rsidR="00661EA8" w:rsidRPr="00FC3B7C" w:rsidRDefault="00661EA8" w:rsidP="00244780">
            <w:pPr>
              <w:rPr>
                <w:szCs w:val="24"/>
              </w:rPr>
            </w:pPr>
          </w:p>
        </w:tc>
        <w:tc>
          <w:tcPr>
            <w:tcW w:w="2240" w:type="dxa"/>
            <w:vAlign w:val="bottom"/>
          </w:tcPr>
          <w:p w14:paraId="4A6F3701" w14:textId="77777777" w:rsidR="00661EA8" w:rsidRPr="00FC3B7C" w:rsidRDefault="00661EA8" w:rsidP="00244780">
            <w:pPr>
              <w:ind w:left="80"/>
              <w:rPr>
                <w:sz w:val="20"/>
                <w:szCs w:val="20"/>
              </w:rPr>
            </w:pPr>
            <w:r w:rsidRPr="00FC3B7C">
              <w:rPr>
                <w:rFonts w:eastAsia="Times New Roman"/>
                <w:b/>
                <w:bCs/>
              </w:rPr>
              <w:t>Diskontní sazba (%)</w:t>
            </w:r>
          </w:p>
        </w:tc>
        <w:tc>
          <w:tcPr>
            <w:tcW w:w="20" w:type="dxa"/>
            <w:vAlign w:val="bottom"/>
          </w:tcPr>
          <w:p w14:paraId="4A6F3702" w14:textId="77777777" w:rsidR="00661EA8" w:rsidRPr="00FC3B7C" w:rsidRDefault="00661EA8" w:rsidP="00244780">
            <w:pPr>
              <w:rPr>
                <w:szCs w:val="24"/>
              </w:rPr>
            </w:pPr>
          </w:p>
        </w:tc>
        <w:tc>
          <w:tcPr>
            <w:tcW w:w="2260" w:type="dxa"/>
            <w:vAlign w:val="bottom"/>
          </w:tcPr>
          <w:p w14:paraId="4A6F3703" w14:textId="77777777" w:rsidR="00661EA8" w:rsidRPr="00FC3B7C" w:rsidRDefault="00661EA8" w:rsidP="00244780">
            <w:pPr>
              <w:ind w:left="100"/>
              <w:rPr>
                <w:sz w:val="20"/>
                <w:szCs w:val="20"/>
              </w:rPr>
            </w:pPr>
            <w:r w:rsidRPr="00FC3B7C">
              <w:rPr>
                <w:rFonts w:eastAsia="Times New Roman"/>
                <w:b/>
                <w:bCs/>
              </w:rPr>
              <w:t>Lombardní sazba (%)</w:t>
            </w:r>
          </w:p>
        </w:tc>
        <w:tc>
          <w:tcPr>
            <w:tcW w:w="0" w:type="dxa"/>
            <w:vAlign w:val="bottom"/>
          </w:tcPr>
          <w:p w14:paraId="4A6F3704" w14:textId="77777777" w:rsidR="00661EA8" w:rsidRPr="00FC3B7C" w:rsidRDefault="00661EA8" w:rsidP="00244780">
            <w:pPr>
              <w:rPr>
                <w:sz w:val="1"/>
                <w:szCs w:val="1"/>
              </w:rPr>
            </w:pPr>
          </w:p>
        </w:tc>
      </w:tr>
      <w:tr w:rsidR="00661EA8" w:rsidRPr="00FC3B7C" w14:paraId="4A6F3710" w14:textId="77777777" w:rsidTr="00244780">
        <w:trPr>
          <w:trHeight w:val="107"/>
        </w:trPr>
        <w:tc>
          <w:tcPr>
            <w:tcW w:w="320" w:type="dxa"/>
            <w:tcBorders>
              <w:bottom w:val="single" w:sz="8" w:space="0" w:color="4472C4"/>
            </w:tcBorders>
            <w:vAlign w:val="bottom"/>
          </w:tcPr>
          <w:p w14:paraId="4A6F3706" w14:textId="77777777" w:rsidR="00661EA8" w:rsidRPr="00FC3B7C" w:rsidRDefault="00661EA8" w:rsidP="00244780">
            <w:pPr>
              <w:rPr>
                <w:sz w:val="9"/>
                <w:szCs w:val="9"/>
              </w:rPr>
            </w:pPr>
          </w:p>
        </w:tc>
        <w:tc>
          <w:tcPr>
            <w:tcW w:w="960" w:type="dxa"/>
            <w:tcBorders>
              <w:bottom w:val="single" w:sz="8" w:space="0" w:color="4472C4"/>
            </w:tcBorders>
            <w:vAlign w:val="bottom"/>
          </w:tcPr>
          <w:p w14:paraId="4A6F3707" w14:textId="77777777" w:rsidR="00661EA8" w:rsidRPr="00FC3B7C" w:rsidRDefault="00661EA8" w:rsidP="00244780">
            <w:pPr>
              <w:rPr>
                <w:sz w:val="9"/>
                <w:szCs w:val="9"/>
              </w:rPr>
            </w:pPr>
          </w:p>
        </w:tc>
        <w:tc>
          <w:tcPr>
            <w:tcW w:w="980" w:type="dxa"/>
            <w:tcBorders>
              <w:bottom w:val="single" w:sz="8" w:space="0" w:color="4472C4"/>
            </w:tcBorders>
            <w:vAlign w:val="bottom"/>
          </w:tcPr>
          <w:p w14:paraId="4A6F3708" w14:textId="77777777" w:rsidR="00661EA8" w:rsidRPr="00FC3B7C" w:rsidRDefault="00661EA8" w:rsidP="00244780">
            <w:pPr>
              <w:rPr>
                <w:sz w:val="9"/>
                <w:szCs w:val="9"/>
              </w:rPr>
            </w:pPr>
          </w:p>
        </w:tc>
        <w:tc>
          <w:tcPr>
            <w:tcW w:w="20" w:type="dxa"/>
            <w:vAlign w:val="bottom"/>
          </w:tcPr>
          <w:p w14:paraId="4A6F3709" w14:textId="77777777" w:rsidR="00661EA8" w:rsidRPr="00FC3B7C" w:rsidRDefault="00661EA8" w:rsidP="00244780">
            <w:pPr>
              <w:rPr>
                <w:sz w:val="9"/>
                <w:szCs w:val="9"/>
              </w:rPr>
            </w:pPr>
          </w:p>
        </w:tc>
        <w:tc>
          <w:tcPr>
            <w:tcW w:w="2240" w:type="dxa"/>
            <w:tcBorders>
              <w:bottom w:val="single" w:sz="8" w:space="0" w:color="4472C4"/>
            </w:tcBorders>
            <w:vAlign w:val="bottom"/>
          </w:tcPr>
          <w:p w14:paraId="4A6F370A" w14:textId="77777777" w:rsidR="00661EA8" w:rsidRPr="00FC3B7C" w:rsidRDefault="00661EA8" w:rsidP="00244780">
            <w:pPr>
              <w:rPr>
                <w:sz w:val="9"/>
                <w:szCs w:val="9"/>
              </w:rPr>
            </w:pPr>
          </w:p>
        </w:tc>
        <w:tc>
          <w:tcPr>
            <w:tcW w:w="20" w:type="dxa"/>
            <w:vAlign w:val="bottom"/>
          </w:tcPr>
          <w:p w14:paraId="4A6F370B" w14:textId="77777777" w:rsidR="00661EA8" w:rsidRPr="00FC3B7C" w:rsidRDefault="00661EA8" w:rsidP="00244780">
            <w:pPr>
              <w:rPr>
                <w:sz w:val="9"/>
                <w:szCs w:val="9"/>
              </w:rPr>
            </w:pPr>
          </w:p>
        </w:tc>
        <w:tc>
          <w:tcPr>
            <w:tcW w:w="2240" w:type="dxa"/>
            <w:tcBorders>
              <w:bottom w:val="single" w:sz="8" w:space="0" w:color="4472C4"/>
            </w:tcBorders>
            <w:vAlign w:val="bottom"/>
          </w:tcPr>
          <w:p w14:paraId="4A6F370C" w14:textId="77777777" w:rsidR="00661EA8" w:rsidRPr="00FC3B7C" w:rsidRDefault="00661EA8" w:rsidP="00244780">
            <w:pPr>
              <w:rPr>
                <w:sz w:val="9"/>
                <w:szCs w:val="9"/>
              </w:rPr>
            </w:pPr>
          </w:p>
        </w:tc>
        <w:tc>
          <w:tcPr>
            <w:tcW w:w="20" w:type="dxa"/>
            <w:vAlign w:val="bottom"/>
          </w:tcPr>
          <w:p w14:paraId="4A6F370D" w14:textId="77777777" w:rsidR="00661EA8" w:rsidRPr="00FC3B7C" w:rsidRDefault="00661EA8" w:rsidP="00244780">
            <w:pPr>
              <w:rPr>
                <w:sz w:val="9"/>
                <w:szCs w:val="9"/>
              </w:rPr>
            </w:pPr>
          </w:p>
        </w:tc>
        <w:tc>
          <w:tcPr>
            <w:tcW w:w="2260" w:type="dxa"/>
            <w:tcBorders>
              <w:bottom w:val="single" w:sz="8" w:space="0" w:color="4472C4"/>
            </w:tcBorders>
            <w:vAlign w:val="bottom"/>
          </w:tcPr>
          <w:p w14:paraId="4A6F370E" w14:textId="77777777" w:rsidR="00661EA8" w:rsidRPr="00FC3B7C" w:rsidRDefault="00661EA8" w:rsidP="00244780">
            <w:pPr>
              <w:rPr>
                <w:sz w:val="9"/>
                <w:szCs w:val="9"/>
              </w:rPr>
            </w:pPr>
          </w:p>
        </w:tc>
        <w:tc>
          <w:tcPr>
            <w:tcW w:w="0" w:type="dxa"/>
            <w:vAlign w:val="bottom"/>
          </w:tcPr>
          <w:p w14:paraId="4A6F370F" w14:textId="77777777" w:rsidR="00661EA8" w:rsidRPr="00FC3B7C" w:rsidRDefault="00661EA8" w:rsidP="00244780">
            <w:pPr>
              <w:rPr>
                <w:sz w:val="1"/>
                <w:szCs w:val="1"/>
              </w:rPr>
            </w:pPr>
          </w:p>
        </w:tc>
      </w:tr>
      <w:tr w:rsidR="00661EA8" w:rsidRPr="00FC3B7C" w14:paraId="4A6F371B" w14:textId="77777777" w:rsidTr="00244780">
        <w:trPr>
          <w:trHeight w:val="317"/>
        </w:trPr>
        <w:tc>
          <w:tcPr>
            <w:tcW w:w="320" w:type="dxa"/>
            <w:vAlign w:val="bottom"/>
          </w:tcPr>
          <w:p w14:paraId="4A6F3711" w14:textId="77777777" w:rsidR="00661EA8" w:rsidRPr="00FC3B7C" w:rsidRDefault="00661EA8" w:rsidP="00244780">
            <w:pPr>
              <w:ind w:left="100"/>
              <w:rPr>
                <w:sz w:val="20"/>
                <w:szCs w:val="20"/>
              </w:rPr>
            </w:pPr>
            <w:r w:rsidRPr="00FC3B7C">
              <w:rPr>
                <w:rFonts w:eastAsia="Times New Roman"/>
                <w:b/>
                <w:bCs/>
                <w:szCs w:val="24"/>
              </w:rPr>
              <w:t>8.</w:t>
            </w:r>
          </w:p>
        </w:tc>
        <w:tc>
          <w:tcPr>
            <w:tcW w:w="960" w:type="dxa"/>
            <w:vAlign w:val="bottom"/>
          </w:tcPr>
          <w:p w14:paraId="4A6F3712" w14:textId="77777777" w:rsidR="00661EA8" w:rsidRPr="00FC3B7C" w:rsidRDefault="00661EA8" w:rsidP="00244780">
            <w:pPr>
              <w:ind w:left="20"/>
              <w:rPr>
                <w:sz w:val="20"/>
                <w:szCs w:val="20"/>
              </w:rPr>
            </w:pPr>
            <w:r w:rsidRPr="00FC3B7C">
              <w:rPr>
                <w:rFonts w:eastAsia="Times New Roman"/>
                <w:b/>
                <w:bCs/>
                <w:szCs w:val="24"/>
              </w:rPr>
              <w:t>2. 2008</w:t>
            </w:r>
          </w:p>
        </w:tc>
        <w:tc>
          <w:tcPr>
            <w:tcW w:w="980" w:type="dxa"/>
            <w:shd w:val="clear" w:color="auto" w:fill="D0DBF0"/>
            <w:vAlign w:val="bottom"/>
          </w:tcPr>
          <w:p w14:paraId="4A6F3713" w14:textId="77777777" w:rsidR="00661EA8" w:rsidRPr="00FC3B7C" w:rsidRDefault="00661EA8" w:rsidP="00244780">
            <w:pPr>
              <w:rPr>
                <w:szCs w:val="24"/>
              </w:rPr>
            </w:pPr>
          </w:p>
        </w:tc>
        <w:tc>
          <w:tcPr>
            <w:tcW w:w="20" w:type="dxa"/>
            <w:vAlign w:val="bottom"/>
          </w:tcPr>
          <w:p w14:paraId="4A6F3714" w14:textId="77777777" w:rsidR="00661EA8" w:rsidRPr="00FC3B7C" w:rsidRDefault="00661EA8" w:rsidP="00244780">
            <w:pPr>
              <w:rPr>
                <w:szCs w:val="24"/>
              </w:rPr>
            </w:pPr>
          </w:p>
        </w:tc>
        <w:tc>
          <w:tcPr>
            <w:tcW w:w="2240" w:type="dxa"/>
            <w:vAlign w:val="bottom"/>
          </w:tcPr>
          <w:p w14:paraId="4A6F3715" w14:textId="77777777" w:rsidR="00661EA8" w:rsidRPr="00FC3B7C" w:rsidRDefault="00661EA8" w:rsidP="00244780">
            <w:pPr>
              <w:ind w:left="80"/>
              <w:rPr>
                <w:sz w:val="20"/>
                <w:szCs w:val="20"/>
              </w:rPr>
            </w:pPr>
            <w:r w:rsidRPr="00FC3B7C">
              <w:rPr>
                <w:rFonts w:eastAsia="Times New Roman"/>
                <w:szCs w:val="24"/>
              </w:rPr>
              <w:t>3,75</w:t>
            </w:r>
          </w:p>
        </w:tc>
        <w:tc>
          <w:tcPr>
            <w:tcW w:w="20" w:type="dxa"/>
            <w:vAlign w:val="bottom"/>
          </w:tcPr>
          <w:p w14:paraId="4A6F3716" w14:textId="77777777" w:rsidR="00661EA8" w:rsidRPr="00FC3B7C" w:rsidRDefault="00661EA8" w:rsidP="00244780">
            <w:pPr>
              <w:rPr>
                <w:szCs w:val="24"/>
              </w:rPr>
            </w:pPr>
          </w:p>
        </w:tc>
        <w:tc>
          <w:tcPr>
            <w:tcW w:w="2240" w:type="dxa"/>
            <w:vAlign w:val="bottom"/>
          </w:tcPr>
          <w:p w14:paraId="4A6F3717" w14:textId="77777777" w:rsidR="00661EA8" w:rsidRPr="00FC3B7C" w:rsidRDefault="00661EA8" w:rsidP="00244780">
            <w:pPr>
              <w:ind w:left="80"/>
              <w:rPr>
                <w:sz w:val="20"/>
                <w:szCs w:val="20"/>
              </w:rPr>
            </w:pPr>
            <w:r w:rsidRPr="00FC3B7C">
              <w:rPr>
                <w:rFonts w:eastAsia="Times New Roman"/>
                <w:szCs w:val="24"/>
              </w:rPr>
              <w:t>2,75</w:t>
            </w:r>
          </w:p>
        </w:tc>
        <w:tc>
          <w:tcPr>
            <w:tcW w:w="20" w:type="dxa"/>
            <w:vAlign w:val="bottom"/>
          </w:tcPr>
          <w:p w14:paraId="4A6F3718" w14:textId="77777777" w:rsidR="00661EA8" w:rsidRPr="00FC3B7C" w:rsidRDefault="00661EA8" w:rsidP="00244780">
            <w:pPr>
              <w:rPr>
                <w:szCs w:val="24"/>
              </w:rPr>
            </w:pPr>
          </w:p>
        </w:tc>
        <w:tc>
          <w:tcPr>
            <w:tcW w:w="2260" w:type="dxa"/>
            <w:vAlign w:val="bottom"/>
          </w:tcPr>
          <w:p w14:paraId="4A6F3719" w14:textId="77777777" w:rsidR="00661EA8" w:rsidRPr="00FC3B7C" w:rsidRDefault="00661EA8" w:rsidP="00244780">
            <w:pPr>
              <w:ind w:left="100"/>
              <w:rPr>
                <w:sz w:val="20"/>
                <w:szCs w:val="20"/>
              </w:rPr>
            </w:pPr>
            <w:r w:rsidRPr="00FC3B7C">
              <w:rPr>
                <w:rFonts w:eastAsia="Times New Roman"/>
                <w:szCs w:val="24"/>
              </w:rPr>
              <w:t>4,75</w:t>
            </w:r>
          </w:p>
        </w:tc>
        <w:tc>
          <w:tcPr>
            <w:tcW w:w="0" w:type="dxa"/>
            <w:vAlign w:val="bottom"/>
          </w:tcPr>
          <w:p w14:paraId="4A6F371A" w14:textId="77777777" w:rsidR="00661EA8" w:rsidRPr="00FC3B7C" w:rsidRDefault="00661EA8" w:rsidP="00244780">
            <w:pPr>
              <w:rPr>
                <w:sz w:val="1"/>
                <w:szCs w:val="1"/>
              </w:rPr>
            </w:pPr>
          </w:p>
        </w:tc>
      </w:tr>
      <w:tr w:rsidR="00661EA8" w:rsidRPr="00FC3B7C" w14:paraId="4A6F3723" w14:textId="77777777" w:rsidTr="00244780">
        <w:trPr>
          <w:trHeight w:val="95"/>
        </w:trPr>
        <w:tc>
          <w:tcPr>
            <w:tcW w:w="320" w:type="dxa"/>
            <w:vMerge w:val="restart"/>
            <w:vAlign w:val="bottom"/>
          </w:tcPr>
          <w:p w14:paraId="4A6F371C" w14:textId="77777777" w:rsidR="00661EA8" w:rsidRPr="00FC3B7C" w:rsidRDefault="00661EA8" w:rsidP="00244780">
            <w:pPr>
              <w:ind w:left="100"/>
              <w:rPr>
                <w:sz w:val="20"/>
                <w:szCs w:val="20"/>
              </w:rPr>
            </w:pPr>
            <w:r w:rsidRPr="00FC3B7C">
              <w:rPr>
                <w:rFonts w:eastAsia="Times New Roman"/>
                <w:b/>
                <w:bCs/>
                <w:szCs w:val="24"/>
              </w:rPr>
              <w:t>8.</w:t>
            </w:r>
          </w:p>
        </w:tc>
        <w:tc>
          <w:tcPr>
            <w:tcW w:w="960" w:type="dxa"/>
            <w:vMerge w:val="restart"/>
            <w:vAlign w:val="bottom"/>
          </w:tcPr>
          <w:p w14:paraId="4A6F371D" w14:textId="77777777" w:rsidR="00661EA8" w:rsidRPr="00FC3B7C" w:rsidRDefault="00661EA8" w:rsidP="00244780">
            <w:pPr>
              <w:ind w:left="20"/>
              <w:rPr>
                <w:sz w:val="20"/>
                <w:szCs w:val="20"/>
              </w:rPr>
            </w:pPr>
            <w:r w:rsidRPr="00FC3B7C">
              <w:rPr>
                <w:rFonts w:eastAsia="Times New Roman"/>
                <w:b/>
                <w:bCs/>
                <w:szCs w:val="24"/>
              </w:rPr>
              <w:t>8. 2008</w:t>
            </w:r>
          </w:p>
        </w:tc>
        <w:tc>
          <w:tcPr>
            <w:tcW w:w="980" w:type="dxa"/>
            <w:shd w:val="clear" w:color="auto" w:fill="D0DBF0"/>
            <w:vAlign w:val="bottom"/>
          </w:tcPr>
          <w:p w14:paraId="4A6F371E" w14:textId="77777777" w:rsidR="00661EA8" w:rsidRPr="00FC3B7C" w:rsidRDefault="00661EA8" w:rsidP="00244780">
            <w:pPr>
              <w:rPr>
                <w:sz w:val="8"/>
                <w:szCs w:val="8"/>
              </w:rPr>
            </w:pPr>
          </w:p>
        </w:tc>
        <w:tc>
          <w:tcPr>
            <w:tcW w:w="2260" w:type="dxa"/>
            <w:gridSpan w:val="2"/>
            <w:vMerge w:val="restart"/>
            <w:vAlign w:val="bottom"/>
          </w:tcPr>
          <w:p w14:paraId="4A6F371F" w14:textId="77777777" w:rsidR="00661EA8" w:rsidRPr="00FC3B7C" w:rsidRDefault="00661EA8" w:rsidP="00244780">
            <w:pPr>
              <w:ind w:left="100"/>
              <w:rPr>
                <w:sz w:val="20"/>
                <w:szCs w:val="20"/>
              </w:rPr>
            </w:pPr>
            <w:r w:rsidRPr="00FC3B7C">
              <w:rPr>
                <w:rFonts w:eastAsia="Times New Roman"/>
                <w:szCs w:val="24"/>
              </w:rPr>
              <w:t>3,5</w:t>
            </w:r>
          </w:p>
        </w:tc>
        <w:tc>
          <w:tcPr>
            <w:tcW w:w="2260" w:type="dxa"/>
            <w:gridSpan w:val="2"/>
            <w:vMerge w:val="restart"/>
            <w:vAlign w:val="bottom"/>
          </w:tcPr>
          <w:p w14:paraId="4A6F3720" w14:textId="77777777" w:rsidR="00661EA8" w:rsidRPr="00FC3B7C" w:rsidRDefault="00661EA8" w:rsidP="00244780">
            <w:pPr>
              <w:ind w:left="100"/>
              <w:rPr>
                <w:sz w:val="20"/>
                <w:szCs w:val="20"/>
              </w:rPr>
            </w:pPr>
            <w:r w:rsidRPr="00FC3B7C">
              <w:rPr>
                <w:rFonts w:eastAsia="Times New Roman"/>
                <w:szCs w:val="24"/>
              </w:rPr>
              <w:t>2,5</w:t>
            </w:r>
          </w:p>
        </w:tc>
        <w:tc>
          <w:tcPr>
            <w:tcW w:w="2280" w:type="dxa"/>
            <w:gridSpan w:val="2"/>
            <w:vMerge w:val="restart"/>
            <w:vAlign w:val="bottom"/>
          </w:tcPr>
          <w:p w14:paraId="4A6F3721" w14:textId="77777777" w:rsidR="00661EA8" w:rsidRPr="00FC3B7C" w:rsidRDefault="00661EA8" w:rsidP="00244780">
            <w:pPr>
              <w:ind w:left="120"/>
              <w:rPr>
                <w:sz w:val="20"/>
                <w:szCs w:val="20"/>
              </w:rPr>
            </w:pPr>
            <w:r w:rsidRPr="00FC3B7C">
              <w:rPr>
                <w:rFonts w:eastAsia="Times New Roman"/>
                <w:szCs w:val="24"/>
              </w:rPr>
              <w:t>4,5</w:t>
            </w:r>
          </w:p>
        </w:tc>
        <w:tc>
          <w:tcPr>
            <w:tcW w:w="0" w:type="dxa"/>
            <w:vAlign w:val="bottom"/>
          </w:tcPr>
          <w:p w14:paraId="4A6F3722" w14:textId="77777777" w:rsidR="00661EA8" w:rsidRPr="00FC3B7C" w:rsidRDefault="00661EA8" w:rsidP="00244780">
            <w:pPr>
              <w:rPr>
                <w:sz w:val="1"/>
                <w:szCs w:val="1"/>
              </w:rPr>
            </w:pPr>
          </w:p>
        </w:tc>
      </w:tr>
      <w:tr w:rsidR="00661EA8" w:rsidRPr="00FC3B7C" w14:paraId="4A6F372B" w14:textId="77777777" w:rsidTr="00244780">
        <w:trPr>
          <w:trHeight w:val="293"/>
        </w:trPr>
        <w:tc>
          <w:tcPr>
            <w:tcW w:w="320" w:type="dxa"/>
            <w:vMerge/>
            <w:vAlign w:val="bottom"/>
          </w:tcPr>
          <w:p w14:paraId="4A6F3724" w14:textId="77777777" w:rsidR="00661EA8" w:rsidRPr="00FC3B7C" w:rsidRDefault="00661EA8" w:rsidP="00244780">
            <w:pPr>
              <w:rPr>
                <w:szCs w:val="24"/>
              </w:rPr>
            </w:pPr>
          </w:p>
        </w:tc>
        <w:tc>
          <w:tcPr>
            <w:tcW w:w="960" w:type="dxa"/>
            <w:vMerge/>
            <w:vAlign w:val="bottom"/>
          </w:tcPr>
          <w:p w14:paraId="4A6F3725" w14:textId="77777777" w:rsidR="00661EA8" w:rsidRPr="00FC3B7C" w:rsidRDefault="00661EA8" w:rsidP="00244780">
            <w:pPr>
              <w:rPr>
                <w:szCs w:val="24"/>
              </w:rPr>
            </w:pPr>
          </w:p>
        </w:tc>
        <w:tc>
          <w:tcPr>
            <w:tcW w:w="980" w:type="dxa"/>
            <w:vAlign w:val="bottom"/>
          </w:tcPr>
          <w:p w14:paraId="4A6F3726" w14:textId="77777777" w:rsidR="00661EA8" w:rsidRPr="00FC3B7C" w:rsidRDefault="00661EA8" w:rsidP="00244780">
            <w:pPr>
              <w:rPr>
                <w:szCs w:val="24"/>
              </w:rPr>
            </w:pPr>
          </w:p>
        </w:tc>
        <w:tc>
          <w:tcPr>
            <w:tcW w:w="2260" w:type="dxa"/>
            <w:gridSpan w:val="2"/>
            <w:vMerge/>
            <w:vAlign w:val="bottom"/>
          </w:tcPr>
          <w:p w14:paraId="4A6F3727" w14:textId="77777777" w:rsidR="00661EA8" w:rsidRPr="00FC3B7C" w:rsidRDefault="00661EA8" w:rsidP="00244780">
            <w:pPr>
              <w:rPr>
                <w:szCs w:val="24"/>
              </w:rPr>
            </w:pPr>
          </w:p>
        </w:tc>
        <w:tc>
          <w:tcPr>
            <w:tcW w:w="2260" w:type="dxa"/>
            <w:gridSpan w:val="2"/>
            <w:vMerge/>
            <w:vAlign w:val="bottom"/>
          </w:tcPr>
          <w:p w14:paraId="4A6F3728" w14:textId="77777777" w:rsidR="00661EA8" w:rsidRPr="00FC3B7C" w:rsidRDefault="00661EA8" w:rsidP="00244780">
            <w:pPr>
              <w:rPr>
                <w:szCs w:val="24"/>
              </w:rPr>
            </w:pPr>
          </w:p>
        </w:tc>
        <w:tc>
          <w:tcPr>
            <w:tcW w:w="2280" w:type="dxa"/>
            <w:gridSpan w:val="2"/>
            <w:vMerge/>
            <w:vAlign w:val="bottom"/>
          </w:tcPr>
          <w:p w14:paraId="4A6F3729" w14:textId="77777777" w:rsidR="00661EA8" w:rsidRPr="00FC3B7C" w:rsidRDefault="00661EA8" w:rsidP="00244780">
            <w:pPr>
              <w:rPr>
                <w:szCs w:val="24"/>
              </w:rPr>
            </w:pPr>
          </w:p>
        </w:tc>
        <w:tc>
          <w:tcPr>
            <w:tcW w:w="0" w:type="dxa"/>
            <w:vAlign w:val="bottom"/>
          </w:tcPr>
          <w:p w14:paraId="4A6F372A" w14:textId="77777777" w:rsidR="00661EA8" w:rsidRPr="00FC3B7C" w:rsidRDefault="00661EA8" w:rsidP="00244780">
            <w:pPr>
              <w:rPr>
                <w:sz w:val="1"/>
                <w:szCs w:val="1"/>
              </w:rPr>
            </w:pPr>
          </w:p>
        </w:tc>
      </w:tr>
      <w:tr w:rsidR="00661EA8" w:rsidRPr="00FC3B7C" w14:paraId="4A6F3733" w14:textId="77777777" w:rsidTr="00244780">
        <w:trPr>
          <w:trHeight w:val="125"/>
        </w:trPr>
        <w:tc>
          <w:tcPr>
            <w:tcW w:w="320" w:type="dxa"/>
            <w:vMerge w:val="restart"/>
            <w:vAlign w:val="bottom"/>
          </w:tcPr>
          <w:p w14:paraId="4A6F372C" w14:textId="77777777" w:rsidR="00661EA8" w:rsidRPr="00FC3B7C" w:rsidRDefault="00661EA8" w:rsidP="00244780">
            <w:pPr>
              <w:ind w:left="100"/>
              <w:rPr>
                <w:sz w:val="20"/>
                <w:szCs w:val="20"/>
              </w:rPr>
            </w:pPr>
            <w:r w:rsidRPr="00FC3B7C">
              <w:rPr>
                <w:rFonts w:eastAsia="Times New Roman"/>
                <w:b/>
                <w:bCs/>
                <w:szCs w:val="24"/>
              </w:rPr>
              <w:t>7.</w:t>
            </w:r>
          </w:p>
        </w:tc>
        <w:tc>
          <w:tcPr>
            <w:tcW w:w="960" w:type="dxa"/>
            <w:vMerge w:val="restart"/>
            <w:vAlign w:val="bottom"/>
          </w:tcPr>
          <w:p w14:paraId="4A6F372D" w14:textId="77777777" w:rsidR="00661EA8" w:rsidRPr="00FC3B7C" w:rsidRDefault="00661EA8" w:rsidP="00244780">
            <w:pPr>
              <w:ind w:left="20"/>
              <w:rPr>
                <w:sz w:val="20"/>
                <w:szCs w:val="20"/>
              </w:rPr>
            </w:pPr>
            <w:r w:rsidRPr="00FC3B7C">
              <w:rPr>
                <w:rFonts w:eastAsia="Times New Roman"/>
                <w:b/>
                <w:bCs/>
                <w:szCs w:val="24"/>
              </w:rPr>
              <w:t>11. 2008</w:t>
            </w:r>
          </w:p>
        </w:tc>
        <w:tc>
          <w:tcPr>
            <w:tcW w:w="980" w:type="dxa"/>
            <w:vAlign w:val="bottom"/>
          </w:tcPr>
          <w:p w14:paraId="4A6F372E" w14:textId="77777777" w:rsidR="00661EA8" w:rsidRPr="00FC3B7C" w:rsidRDefault="00661EA8" w:rsidP="00244780">
            <w:pPr>
              <w:rPr>
                <w:sz w:val="10"/>
                <w:szCs w:val="10"/>
              </w:rPr>
            </w:pPr>
          </w:p>
        </w:tc>
        <w:tc>
          <w:tcPr>
            <w:tcW w:w="2260" w:type="dxa"/>
            <w:gridSpan w:val="2"/>
            <w:vMerge w:val="restart"/>
            <w:vAlign w:val="bottom"/>
          </w:tcPr>
          <w:p w14:paraId="4A6F372F" w14:textId="77777777" w:rsidR="00661EA8" w:rsidRPr="00FC3B7C" w:rsidRDefault="00661EA8" w:rsidP="00244780">
            <w:pPr>
              <w:ind w:left="100"/>
              <w:rPr>
                <w:sz w:val="20"/>
                <w:szCs w:val="20"/>
              </w:rPr>
            </w:pPr>
            <w:r w:rsidRPr="00FC3B7C">
              <w:rPr>
                <w:rFonts w:eastAsia="Times New Roman"/>
                <w:szCs w:val="24"/>
              </w:rPr>
              <w:t>2,75</w:t>
            </w:r>
          </w:p>
        </w:tc>
        <w:tc>
          <w:tcPr>
            <w:tcW w:w="2260" w:type="dxa"/>
            <w:gridSpan w:val="2"/>
            <w:vMerge w:val="restart"/>
            <w:vAlign w:val="bottom"/>
          </w:tcPr>
          <w:p w14:paraId="4A6F3730" w14:textId="77777777" w:rsidR="00661EA8" w:rsidRPr="00FC3B7C" w:rsidRDefault="00661EA8" w:rsidP="00244780">
            <w:pPr>
              <w:ind w:left="100"/>
              <w:rPr>
                <w:sz w:val="20"/>
                <w:szCs w:val="20"/>
              </w:rPr>
            </w:pPr>
            <w:r w:rsidRPr="00FC3B7C">
              <w:rPr>
                <w:rFonts w:eastAsia="Times New Roman"/>
                <w:szCs w:val="24"/>
              </w:rPr>
              <w:t>1,75</w:t>
            </w:r>
          </w:p>
        </w:tc>
        <w:tc>
          <w:tcPr>
            <w:tcW w:w="2280" w:type="dxa"/>
            <w:gridSpan w:val="2"/>
            <w:vMerge w:val="restart"/>
            <w:vAlign w:val="bottom"/>
          </w:tcPr>
          <w:p w14:paraId="4A6F3731" w14:textId="77777777" w:rsidR="00661EA8" w:rsidRPr="00FC3B7C" w:rsidRDefault="00661EA8" w:rsidP="00244780">
            <w:pPr>
              <w:ind w:left="120"/>
              <w:rPr>
                <w:sz w:val="20"/>
                <w:szCs w:val="20"/>
              </w:rPr>
            </w:pPr>
            <w:r w:rsidRPr="00FC3B7C">
              <w:rPr>
                <w:rFonts w:eastAsia="Times New Roman"/>
                <w:szCs w:val="24"/>
              </w:rPr>
              <w:t>3,75</w:t>
            </w:r>
          </w:p>
        </w:tc>
        <w:tc>
          <w:tcPr>
            <w:tcW w:w="0" w:type="dxa"/>
            <w:vAlign w:val="bottom"/>
          </w:tcPr>
          <w:p w14:paraId="4A6F3732" w14:textId="77777777" w:rsidR="00661EA8" w:rsidRPr="00FC3B7C" w:rsidRDefault="00661EA8" w:rsidP="00244780">
            <w:pPr>
              <w:rPr>
                <w:sz w:val="1"/>
                <w:szCs w:val="1"/>
              </w:rPr>
            </w:pPr>
          </w:p>
        </w:tc>
      </w:tr>
      <w:tr w:rsidR="00661EA8" w:rsidRPr="00FC3B7C" w14:paraId="4A6F373B" w14:textId="77777777" w:rsidTr="00244780">
        <w:trPr>
          <w:trHeight w:val="293"/>
        </w:trPr>
        <w:tc>
          <w:tcPr>
            <w:tcW w:w="320" w:type="dxa"/>
            <w:vMerge/>
            <w:vAlign w:val="bottom"/>
          </w:tcPr>
          <w:p w14:paraId="4A6F3734" w14:textId="77777777" w:rsidR="00661EA8" w:rsidRPr="00FC3B7C" w:rsidRDefault="00661EA8" w:rsidP="00244780">
            <w:pPr>
              <w:rPr>
                <w:szCs w:val="24"/>
              </w:rPr>
            </w:pPr>
          </w:p>
        </w:tc>
        <w:tc>
          <w:tcPr>
            <w:tcW w:w="960" w:type="dxa"/>
            <w:vMerge/>
            <w:vAlign w:val="bottom"/>
          </w:tcPr>
          <w:p w14:paraId="4A6F3735" w14:textId="77777777" w:rsidR="00661EA8" w:rsidRPr="00FC3B7C" w:rsidRDefault="00661EA8" w:rsidP="00244780">
            <w:pPr>
              <w:rPr>
                <w:szCs w:val="24"/>
              </w:rPr>
            </w:pPr>
          </w:p>
        </w:tc>
        <w:tc>
          <w:tcPr>
            <w:tcW w:w="980" w:type="dxa"/>
            <w:shd w:val="clear" w:color="auto" w:fill="D0DBF0"/>
            <w:vAlign w:val="bottom"/>
          </w:tcPr>
          <w:p w14:paraId="4A6F3736" w14:textId="77777777" w:rsidR="00661EA8" w:rsidRPr="00FC3B7C" w:rsidRDefault="00661EA8" w:rsidP="00244780">
            <w:pPr>
              <w:rPr>
                <w:szCs w:val="24"/>
              </w:rPr>
            </w:pPr>
          </w:p>
        </w:tc>
        <w:tc>
          <w:tcPr>
            <w:tcW w:w="2260" w:type="dxa"/>
            <w:gridSpan w:val="2"/>
            <w:vMerge/>
            <w:vAlign w:val="bottom"/>
          </w:tcPr>
          <w:p w14:paraId="4A6F3737" w14:textId="77777777" w:rsidR="00661EA8" w:rsidRPr="00FC3B7C" w:rsidRDefault="00661EA8" w:rsidP="00244780">
            <w:pPr>
              <w:rPr>
                <w:szCs w:val="24"/>
              </w:rPr>
            </w:pPr>
          </w:p>
        </w:tc>
        <w:tc>
          <w:tcPr>
            <w:tcW w:w="2260" w:type="dxa"/>
            <w:gridSpan w:val="2"/>
            <w:vMerge/>
            <w:vAlign w:val="bottom"/>
          </w:tcPr>
          <w:p w14:paraId="4A6F3738" w14:textId="77777777" w:rsidR="00661EA8" w:rsidRPr="00FC3B7C" w:rsidRDefault="00661EA8" w:rsidP="00244780">
            <w:pPr>
              <w:rPr>
                <w:szCs w:val="24"/>
              </w:rPr>
            </w:pPr>
          </w:p>
        </w:tc>
        <w:tc>
          <w:tcPr>
            <w:tcW w:w="2280" w:type="dxa"/>
            <w:gridSpan w:val="2"/>
            <w:vMerge/>
            <w:vAlign w:val="bottom"/>
          </w:tcPr>
          <w:p w14:paraId="4A6F3739" w14:textId="77777777" w:rsidR="00661EA8" w:rsidRPr="00FC3B7C" w:rsidRDefault="00661EA8" w:rsidP="00244780">
            <w:pPr>
              <w:rPr>
                <w:szCs w:val="24"/>
              </w:rPr>
            </w:pPr>
          </w:p>
        </w:tc>
        <w:tc>
          <w:tcPr>
            <w:tcW w:w="0" w:type="dxa"/>
            <w:vAlign w:val="bottom"/>
          </w:tcPr>
          <w:p w14:paraId="4A6F373A" w14:textId="77777777" w:rsidR="00661EA8" w:rsidRPr="00FC3B7C" w:rsidRDefault="00661EA8" w:rsidP="00244780">
            <w:pPr>
              <w:rPr>
                <w:sz w:val="1"/>
                <w:szCs w:val="1"/>
              </w:rPr>
            </w:pPr>
          </w:p>
        </w:tc>
      </w:tr>
      <w:tr w:rsidR="00661EA8" w:rsidRPr="00FC3B7C" w14:paraId="4A6F3742" w14:textId="77777777" w:rsidTr="00244780">
        <w:trPr>
          <w:trHeight w:val="120"/>
        </w:trPr>
        <w:tc>
          <w:tcPr>
            <w:tcW w:w="1280" w:type="dxa"/>
            <w:gridSpan w:val="2"/>
            <w:vMerge w:val="restart"/>
            <w:vAlign w:val="bottom"/>
          </w:tcPr>
          <w:p w14:paraId="4A6F373C" w14:textId="77777777" w:rsidR="00661EA8" w:rsidRPr="00FC3B7C" w:rsidRDefault="00661EA8" w:rsidP="00244780">
            <w:pPr>
              <w:ind w:left="100"/>
              <w:rPr>
                <w:sz w:val="20"/>
                <w:szCs w:val="20"/>
              </w:rPr>
            </w:pPr>
            <w:r w:rsidRPr="00FC3B7C">
              <w:rPr>
                <w:rFonts w:eastAsia="Times New Roman"/>
                <w:b/>
                <w:bCs/>
                <w:w w:val="96"/>
                <w:szCs w:val="24"/>
              </w:rPr>
              <w:t>18. 12. 2008</w:t>
            </w:r>
          </w:p>
        </w:tc>
        <w:tc>
          <w:tcPr>
            <w:tcW w:w="980" w:type="dxa"/>
            <w:shd w:val="clear" w:color="auto" w:fill="D0DBF0"/>
            <w:vAlign w:val="bottom"/>
          </w:tcPr>
          <w:p w14:paraId="4A6F373D" w14:textId="77777777" w:rsidR="00661EA8" w:rsidRPr="00FC3B7C" w:rsidRDefault="00661EA8" w:rsidP="00244780">
            <w:pPr>
              <w:rPr>
                <w:sz w:val="10"/>
                <w:szCs w:val="10"/>
              </w:rPr>
            </w:pPr>
          </w:p>
        </w:tc>
        <w:tc>
          <w:tcPr>
            <w:tcW w:w="2260" w:type="dxa"/>
            <w:gridSpan w:val="2"/>
            <w:vMerge w:val="restart"/>
            <w:vAlign w:val="bottom"/>
          </w:tcPr>
          <w:p w14:paraId="4A6F373E" w14:textId="77777777" w:rsidR="00661EA8" w:rsidRPr="00FC3B7C" w:rsidRDefault="00661EA8" w:rsidP="00244780">
            <w:pPr>
              <w:ind w:left="100"/>
              <w:rPr>
                <w:sz w:val="20"/>
                <w:szCs w:val="20"/>
              </w:rPr>
            </w:pPr>
            <w:r w:rsidRPr="00FC3B7C">
              <w:rPr>
                <w:rFonts w:eastAsia="Times New Roman"/>
                <w:szCs w:val="24"/>
              </w:rPr>
              <w:t>2,25</w:t>
            </w:r>
          </w:p>
        </w:tc>
        <w:tc>
          <w:tcPr>
            <w:tcW w:w="2260" w:type="dxa"/>
            <w:gridSpan w:val="2"/>
            <w:vMerge w:val="restart"/>
            <w:vAlign w:val="bottom"/>
          </w:tcPr>
          <w:p w14:paraId="4A6F373F" w14:textId="77777777" w:rsidR="00661EA8" w:rsidRPr="00FC3B7C" w:rsidRDefault="00661EA8" w:rsidP="00244780">
            <w:pPr>
              <w:ind w:left="100"/>
              <w:rPr>
                <w:sz w:val="20"/>
                <w:szCs w:val="20"/>
              </w:rPr>
            </w:pPr>
            <w:r w:rsidRPr="00FC3B7C">
              <w:rPr>
                <w:rFonts w:eastAsia="Times New Roman"/>
                <w:szCs w:val="24"/>
              </w:rPr>
              <w:t>1,25</w:t>
            </w:r>
          </w:p>
        </w:tc>
        <w:tc>
          <w:tcPr>
            <w:tcW w:w="2280" w:type="dxa"/>
            <w:gridSpan w:val="2"/>
            <w:vMerge w:val="restart"/>
            <w:vAlign w:val="bottom"/>
          </w:tcPr>
          <w:p w14:paraId="4A6F3740" w14:textId="77777777" w:rsidR="00661EA8" w:rsidRPr="00FC3B7C" w:rsidRDefault="00661EA8" w:rsidP="00244780">
            <w:pPr>
              <w:ind w:left="120"/>
              <w:rPr>
                <w:sz w:val="20"/>
                <w:szCs w:val="20"/>
              </w:rPr>
            </w:pPr>
            <w:r w:rsidRPr="00FC3B7C">
              <w:rPr>
                <w:rFonts w:eastAsia="Times New Roman"/>
                <w:szCs w:val="24"/>
              </w:rPr>
              <w:t>3,25</w:t>
            </w:r>
          </w:p>
        </w:tc>
        <w:tc>
          <w:tcPr>
            <w:tcW w:w="0" w:type="dxa"/>
            <w:vAlign w:val="bottom"/>
          </w:tcPr>
          <w:p w14:paraId="4A6F3741" w14:textId="77777777" w:rsidR="00661EA8" w:rsidRPr="00FC3B7C" w:rsidRDefault="00661EA8" w:rsidP="00244780">
            <w:pPr>
              <w:rPr>
                <w:sz w:val="1"/>
                <w:szCs w:val="1"/>
              </w:rPr>
            </w:pPr>
          </w:p>
        </w:tc>
      </w:tr>
      <w:tr w:rsidR="00661EA8" w:rsidRPr="00FC3B7C" w14:paraId="4A6F3749" w14:textId="77777777" w:rsidTr="00244780">
        <w:trPr>
          <w:trHeight w:val="293"/>
        </w:trPr>
        <w:tc>
          <w:tcPr>
            <w:tcW w:w="1280" w:type="dxa"/>
            <w:gridSpan w:val="2"/>
            <w:vMerge/>
            <w:vAlign w:val="bottom"/>
          </w:tcPr>
          <w:p w14:paraId="4A6F3743" w14:textId="77777777" w:rsidR="00661EA8" w:rsidRPr="00FC3B7C" w:rsidRDefault="00661EA8" w:rsidP="00244780">
            <w:pPr>
              <w:rPr>
                <w:szCs w:val="24"/>
              </w:rPr>
            </w:pPr>
          </w:p>
        </w:tc>
        <w:tc>
          <w:tcPr>
            <w:tcW w:w="980" w:type="dxa"/>
            <w:vAlign w:val="bottom"/>
          </w:tcPr>
          <w:p w14:paraId="4A6F3744" w14:textId="77777777" w:rsidR="00661EA8" w:rsidRPr="00FC3B7C" w:rsidRDefault="00661EA8" w:rsidP="00244780">
            <w:pPr>
              <w:rPr>
                <w:szCs w:val="24"/>
              </w:rPr>
            </w:pPr>
          </w:p>
        </w:tc>
        <w:tc>
          <w:tcPr>
            <w:tcW w:w="2260" w:type="dxa"/>
            <w:gridSpan w:val="2"/>
            <w:vMerge/>
            <w:vAlign w:val="bottom"/>
          </w:tcPr>
          <w:p w14:paraId="4A6F3745" w14:textId="77777777" w:rsidR="00661EA8" w:rsidRPr="00FC3B7C" w:rsidRDefault="00661EA8" w:rsidP="00244780">
            <w:pPr>
              <w:rPr>
                <w:szCs w:val="24"/>
              </w:rPr>
            </w:pPr>
          </w:p>
        </w:tc>
        <w:tc>
          <w:tcPr>
            <w:tcW w:w="2260" w:type="dxa"/>
            <w:gridSpan w:val="2"/>
            <w:vMerge/>
            <w:vAlign w:val="bottom"/>
          </w:tcPr>
          <w:p w14:paraId="4A6F3746" w14:textId="77777777" w:rsidR="00661EA8" w:rsidRPr="00FC3B7C" w:rsidRDefault="00661EA8" w:rsidP="00244780">
            <w:pPr>
              <w:rPr>
                <w:szCs w:val="24"/>
              </w:rPr>
            </w:pPr>
          </w:p>
        </w:tc>
        <w:tc>
          <w:tcPr>
            <w:tcW w:w="2280" w:type="dxa"/>
            <w:gridSpan w:val="2"/>
            <w:vMerge/>
            <w:vAlign w:val="bottom"/>
          </w:tcPr>
          <w:p w14:paraId="4A6F3747" w14:textId="77777777" w:rsidR="00661EA8" w:rsidRPr="00FC3B7C" w:rsidRDefault="00661EA8" w:rsidP="00244780">
            <w:pPr>
              <w:rPr>
                <w:szCs w:val="24"/>
              </w:rPr>
            </w:pPr>
          </w:p>
        </w:tc>
        <w:tc>
          <w:tcPr>
            <w:tcW w:w="0" w:type="dxa"/>
            <w:vAlign w:val="bottom"/>
          </w:tcPr>
          <w:p w14:paraId="4A6F3748" w14:textId="77777777" w:rsidR="00661EA8" w:rsidRPr="00FC3B7C" w:rsidRDefault="00661EA8" w:rsidP="00244780">
            <w:pPr>
              <w:rPr>
                <w:sz w:val="1"/>
                <w:szCs w:val="1"/>
              </w:rPr>
            </w:pPr>
          </w:p>
        </w:tc>
      </w:tr>
    </w:tbl>
    <w:p w14:paraId="4A6F374A" w14:textId="77777777" w:rsidR="00661EA8" w:rsidRPr="00FC3B7C" w:rsidRDefault="00661EA8" w:rsidP="00661EA8">
      <w:pPr>
        <w:spacing w:line="20" w:lineRule="exact"/>
        <w:rPr>
          <w:sz w:val="20"/>
          <w:szCs w:val="20"/>
        </w:rPr>
      </w:pPr>
      <w:r w:rsidRPr="00FC3B7C">
        <w:rPr>
          <w:noProof/>
          <w:sz w:val="20"/>
          <w:szCs w:val="20"/>
        </w:rPr>
        <w:drawing>
          <wp:anchor distT="0" distB="0" distL="114300" distR="114300" simplePos="0" relativeHeight="251638272" behindDoc="1" locked="0" layoutInCell="0" allowOverlap="1" wp14:anchorId="4A6F5C92" wp14:editId="430798EB">
            <wp:simplePos x="0" y="0"/>
            <wp:positionH relativeFrom="column">
              <wp:posOffset>-14605</wp:posOffset>
            </wp:positionH>
            <wp:positionV relativeFrom="paragraph">
              <wp:posOffset>-999490</wp:posOffset>
            </wp:positionV>
            <wp:extent cx="5782945" cy="29972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6"/>
                    <a:srcRect/>
                    <a:stretch>
                      <a:fillRect/>
                    </a:stretch>
                  </pic:blipFill>
                  <pic:spPr bwMode="auto">
                    <a:xfrm>
                      <a:off x="0" y="0"/>
                      <a:ext cx="5782945" cy="299720"/>
                    </a:xfrm>
                    <a:prstGeom prst="rect">
                      <a:avLst/>
                    </a:prstGeom>
                    <a:noFill/>
                  </pic:spPr>
                </pic:pic>
              </a:graphicData>
            </a:graphic>
          </wp:anchor>
        </w:drawing>
      </w:r>
      <w:r w:rsidRPr="00FC3B7C">
        <w:rPr>
          <w:noProof/>
          <w:sz w:val="20"/>
          <w:szCs w:val="20"/>
        </w:rPr>
        <w:drawing>
          <wp:anchor distT="0" distB="0" distL="114300" distR="114300" simplePos="0" relativeHeight="251640320" behindDoc="1" locked="0" layoutInCell="0" allowOverlap="1" wp14:anchorId="4A6F5C94" wp14:editId="15824026">
            <wp:simplePos x="0" y="0"/>
            <wp:positionH relativeFrom="column">
              <wp:posOffset>-14605</wp:posOffset>
            </wp:positionH>
            <wp:positionV relativeFrom="paragraph">
              <wp:posOffset>-460375</wp:posOffset>
            </wp:positionV>
            <wp:extent cx="5782945" cy="28765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7"/>
                    <a:srcRect/>
                    <a:stretch>
                      <a:fillRect/>
                    </a:stretch>
                  </pic:blipFill>
                  <pic:spPr bwMode="auto">
                    <a:xfrm>
                      <a:off x="0" y="0"/>
                      <a:ext cx="5782945" cy="287655"/>
                    </a:xfrm>
                    <a:prstGeom prst="rect">
                      <a:avLst/>
                    </a:prstGeom>
                    <a:noFill/>
                  </pic:spPr>
                </pic:pic>
              </a:graphicData>
            </a:graphic>
          </wp:anchor>
        </w:drawing>
      </w:r>
      <w:r w:rsidRPr="00FC3B7C">
        <w:rPr>
          <w:noProof/>
          <w:sz w:val="20"/>
          <w:szCs w:val="20"/>
        </w:rPr>
        <w:drawing>
          <wp:anchor distT="0" distB="0" distL="114300" distR="114300" simplePos="0" relativeHeight="251642368" behindDoc="1" locked="0" layoutInCell="0" allowOverlap="1" wp14:anchorId="4A6F5C96" wp14:editId="40E3A967">
            <wp:simplePos x="0" y="0"/>
            <wp:positionH relativeFrom="column">
              <wp:posOffset>-10795</wp:posOffset>
            </wp:positionH>
            <wp:positionV relativeFrom="paragraph">
              <wp:posOffset>63500</wp:posOffset>
            </wp:positionV>
            <wp:extent cx="5767070" cy="3746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8"/>
                    <a:srcRect/>
                    <a:stretch>
                      <a:fillRect/>
                    </a:stretch>
                  </pic:blipFill>
                  <pic:spPr bwMode="auto">
                    <a:xfrm>
                      <a:off x="0" y="0"/>
                      <a:ext cx="5767070" cy="37465"/>
                    </a:xfrm>
                    <a:prstGeom prst="rect">
                      <a:avLst/>
                    </a:prstGeom>
                    <a:noFill/>
                  </pic:spPr>
                </pic:pic>
              </a:graphicData>
            </a:graphic>
          </wp:anchor>
        </w:drawing>
      </w:r>
    </w:p>
    <w:p w14:paraId="4A6F374B" w14:textId="77777777" w:rsidR="00661EA8" w:rsidRPr="00FC3B7C" w:rsidRDefault="00661EA8" w:rsidP="00661EA8">
      <w:pPr>
        <w:spacing w:line="105" w:lineRule="exact"/>
        <w:rPr>
          <w:sz w:val="20"/>
          <w:szCs w:val="20"/>
        </w:rPr>
      </w:pPr>
    </w:p>
    <w:p w14:paraId="4A6F374C" w14:textId="77777777" w:rsidR="00661EA8" w:rsidRPr="00FC3B7C" w:rsidRDefault="00661EA8" w:rsidP="00661EA8">
      <w:pPr>
        <w:rPr>
          <w:sz w:val="20"/>
          <w:szCs w:val="20"/>
        </w:rPr>
      </w:pPr>
      <w:r w:rsidRPr="00FC3B7C">
        <w:rPr>
          <w:rFonts w:eastAsia="Times New Roman"/>
          <w:sz w:val="20"/>
          <w:szCs w:val="20"/>
        </w:rPr>
        <w:t>Zdroj: základní úrokové sazby, ČNB</w:t>
      </w:r>
    </w:p>
    <w:p w14:paraId="4A6F374D" w14:textId="77777777" w:rsidR="00661EA8" w:rsidRPr="00FC3B7C" w:rsidRDefault="00661EA8" w:rsidP="00661EA8">
      <w:pPr>
        <w:spacing w:line="111" w:lineRule="exact"/>
        <w:rPr>
          <w:sz w:val="20"/>
          <w:szCs w:val="20"/>
        </w:rPr>
      </w:pPr>
    </w:p>
    <w:p w14:paraId="4A6F3750" w14:textId="72BD02DD" w:rsidR="00661EA8" w:rsidRPr="0007131F" w:rsidRDefault="00661EA8" w:rsidP="0007131F">
      <w:pPr>
        <w:ind w:firstLine="720"/>
        <w:rPr>
          <w:sz w:val="20"/>
          <w:szCs w:val="20"/>
        </w:rPr>
      </w:pPr>
      <w:r w:rsidRPr="00FC3B7C">
        <w:rPr>
          <w:rFonts w:eastAsia="Times New Roman"/>
        </w:rPr>
        <w:t>Plovoucí kurz koruny se stal během krize významným přizpůsobovacím mechanismem, jeho znehodnocení na začátku roku 2009 podpořilo konkurenceschopnost vývozců a zároveň pomáhalo tlumit dezinflační poptávkové tlaky</w:t>
      </w:r>
      <w:r w:rsidR="0007131F">
        <w:rPr>
          <w:sz w:val="20"/>
          <w:szCs w:val="20"/>
        </w:rPr>
        <w:t xml:space="preserve"> </w:t>
      </w:r>
      <w:r w:rsidRPr="00FC3B7C">
        <w:rPr>
          <w:rFonts w:eastAsia="Times New Roman"/>
          <w:szCs w:val="24"/>
        </w:rPr>
        <w:t>ČNB začala více než v minulosti používat slovní intervence (prohlášení guvernéra, členů bankovní rady).</w:t>
      </w:r>
    </w:p>
    <w:p w14:paraId="4A6F3751" w14:textId="77777777" w:rsidR="00661EA8" w:rsidRPr="00FC3B7C" w:rsidRDefault="00661EA8" w:rsidP="00661EA8">
      <w:pPr>
        <w:spacing w:line="158" w:lineRule="exact"/>
        <w:rPr>
          <w:sz w:val="20"/>
          <w:szCs w:val="20"/>
        </w:rPr>
      </w:pPr>
    </w:p>
    <w:p w14:paraId="4A6F3752" w14:textId="77777777" w:rsidR="00661EA8" w:rsidRPr="00BA2AA0" w:rsidRDefault="00661EA8" w:rsidP="007A1445">
      <w:pPr>
        <w:pStyle w:val="Nadpis3"/>
        <w:rPr>
          <w:color w:val="1F3864" w:themeColor="accent1" w:themeShade="80"/>
          <w:sz w:val="20"/>
          <w:szCs w:val="20"/>
        </w:rPr>
      </w:pPr>
      <w:r w:rsidRPr="00BA2AA0">
        <w:rPr>
          <w:rFonts w:eastAsia="Times New Roman"/>
          <w:color w:val="1F3864" w:themeColor="accent1" w:themeShade="80"/>
        </w:rPr>
        <w:t>Rok 2012</w:t>
      </w:r>
    </w:p>
    <w:p w14:paraId="4A6F3753" w14:textId="77777777" w:rsidR="00661EA8" w:rsidRPr="00FC3B7C" w:rsidRDefault="00661EA8" w:rsidP="00661EA8">
      <w:pPr>
        <w:spacing w:line="214" w:lineRule="exact"/>
        <w:rPr>
          <w:sz w:val="20"/>
          <w:szCs w:val="20"/>
        </w:rPr>
      </w:pPr>
    </w:p>
    <w:p w14:paraId="4A6F3754" w14:textId="77777777" w:rsidR="00661EA8" w:rsidRPr="00FC3B7C" w:rsidRDefault="00661EA8" w:rsidP="0007131F">
      <w:pPr>
        <w:ind w:firstLine="720"/>
        <w:rPr>
          <w:sz w:val="20"/>
          <w:szCs w:val="20"/>
        </w:rPr>
      </w:pPr>
      <w:r w:rsidRPr="00FC3B7C">
        <w:rPr>
          <w:rFonts w:eastAsia="Times New Roman"/>
        </w:rPr>
        <w:t>V červenci r. 2012 provedla rekordní snížení úrokových sazeb i Evropská centrální banka, jejíž základní úroková sazba je 0,75 %. ČR není ojedinělým případem, kdy se úrokové sazby blíží nule, ještě blíže dosahují hodnoty u bank ve VB, USA, Japonsku či Švýcarsku.</w:t>
      </w:r>
    </w:p>
    <w:p w14:paraId="4A6F3755" w14:textId="77777777" w:rsidR="00661EA8" w:rsidRPr="00FC3B7C" w:rsidRDefault="00661EA8" w:rsidP="00661EA8">
      <w:pPr>
        <w:ind w:left="20"/>
        <w:rPr>
          <w:sz w:val="20"/>
          <w:szCs w:val="20"/>
        </w:rPr>
      </w:pPr>
      <w:bookmarkStart w:id="168" w:name="page168"/>
      <w:bookmarkEnd w:id="168"/>
      <w:r w:rsidRPr="00FC3B7C">
        <w:rPr>
          <w:rFonts w:eastAsia="Times New Roman"/>
          <w:b/>
          <w:bCs/>
          <w:szCs w:val="24"/>
        </w:rPr>
        <w:t>Tab. č. 4: Přehled výše základních úrokových sazeb v roce 2012:</w:t>
      </w:r>
    </w:p>
    <w:p w14:paraId="4A6F3756" w14:textId="77777777" w:rsidR="00661EA8" w:rsidRPr="00FC3B7C" w:rsidRDefault="00661EA8" w:rsidP="00661EA8">
      <w:pPr>
        <w:spacing w:line="20" w:lineRule="exact"/>
        <w:rPr>
          <w:sz w:val="20"/>
          <w:szCs w:val="20"/>
        </w:rPr>
      </w:pPr>
      <w:r w:rsidRPr="00FC3B7C">
        <w:rPr>
          <w:noProof/>
          <w:sz w:val="20"/>
          <w:szCs w:val="20"/>
        </w:rPr>
        <w:drawing>
          <wp:anchor distT="0" distB="0" distL="114300" distR="114300" simplePos="0" relativeHeight="251673088" behindDoc="1" locked="0" layoutInCell="0" allowOverlap="1" wp14:anchorId="4A6F5C98" wp14:editId="78E6A5B6">
            <wp:simplePos x="0" y="0"/>
            <wp:positionH relativeFrom="column">
              <wp:posOffset>10160</wp:posOffset>
            </wp:positionH>
            <wp:positionV relativeFrom="paragraph">
              <wp:posOffset>90170</wp:posOffset>
            </wp:positionV>
            <wp:extent cx="5757545" cy="3746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5"/>
                    <a:srcRect/>
                    <a:stretch>
                      <a:fillRect/>
                    </a:stretch>
                  </pic:blipFill>
                  <pic:spPr bwMode="auto">
                    <a:xfrm>
                      <a:off x="0" y="0"/>
                      <a:ext cx="5757545" cy="37465"/>
                    </a:xfrm>
                    <a:prstGeom prst="rect">
                      <a:avLst/>
                    </a:prstGeom>
                    <a:noFill/>
                  </pic:spPr>
                </pic:pic>
              </a:graphicData>
            </a:graphic>
          </wp:anchor>
        </w:drawing>
      </w:r>
    </w:p>
    <w:p w14:paraId="4A6F3757" w14:textId="77777777" w:rsidR="00661EA8" w:rsidRPr="00FC3B7C" w:rsidRDefault="00661EA8" w:rsidP="00661EA8">
      <w:pPr>
        <w:spacing w:line="15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1280"/>
        <w:gridCol w:w="980"/>
        <w:gridCol w:w="20"/>
        <w:gridCol w:w="2240"/>
        <w:gridCol w:w="20"/>
        <w:gridCol w:w="2240"/>
        <w:gridCol w:w="20"/>
        <w:gridCol w:w="1400"/>
        <w:gridCol w:w="860"/>
        <w:gridCol w:w="20"/>
      </w:tblGrid>
      <w:tr w:rsidR="00661EA8" w:rsidRPr="00FC3B7C" w14:paraId="4A6F3763" w14:textId="77777777" w:rsidTr="00244780">
        <w:trPr>
          <w:trHeight w:val="287"/>
        </w:trPr>
        <w:tc>
          <w:tcPr>
            <w:tcW w:w="20" w:type="dxa"/>
            <w:vAlign w:val="bottom"/>
          </w:tcPr>
          <w:p w14:paraId="4A6F3758" w14:textId="77777777" w:rsidR="00661EA8" w:rsidRPr="00FC3B7C" w:rsidRDefault="00661EA8" w:rsidP="00244780">
            <w:pPr>
              <w:rPr>
                <w:szCs w:val="24"/>
              </w:rPr>
            </w:pPr>
          </w:p>
        </w:tc>
        <w:tc>
          <w:tcPr>
            <w:tcW w:w="1280" w:type="dxa"/>
            <w:vAlign w:val="bottom"/>
          </w:tcPr>
          <w:p w14:paraId="4A6F3759" w14:textId="77777777" w:rsidR="00661EA8" w:rsidRPr="00FC3B7C" w:rsidRDefault="00661EA8" w:rsidP="00244780">
            <w:pPr>
              <w:ind w:left="100"/>
              <w:rPr>
                <w:sz w:val="20"/>
                <w:szCs w:val="20"/>
              </w:rPr>
            </w:pPr>
            <w:r w:rsidRPr="00FC3B7C">
              <w:rPr>
                <w:rFonts w:eastAsia="Times New Roman"/>
                <w:b/>
                <w:bCs/>
              </w:rPr>
              <w:t>Datum</w:t>
            </w:r>
          </w:p>
        </w:tc>
        <w:tc>
          <w:tcPr>
            <w:tcW w:w="980" w:type="dxa"/>
            <w:vAlign w:val="bottom"/>
          </w:tcPr>
          <w:p w14:paraId="4A6F375A" w14:textId="77777777" w:rsidR="00661EA8" w:rsidRPr="00FC3B7C" w:rsidRDefault="00661EA8" w:rsidP="00244780">
            <w:pPr>
              <w:rPr>
                <w:szCs w:val="24"/>
              </w:rPr>
            </w:pPr>
          </w:p>
        </w:tc>
        <w:tc>
          <w:tcPr>
            <w:tcW w:w="20" w:type="dxa"/>
            <w:vAlign w:val="bottom"/>
          </w:tcPr>
          <w:p w14:paraId="4A6F375B" w14:textId="77777777" w:rsidR="00661EA8" w:rsidRPr="00FC3B7C" w:rsidRDefault="00661EA8" w:rsidP="00244780">
            <w:pPr>
              <w:rPr>
                <w:szCs w:val="24"/>
              </w:rPr>
            </w:pPr>
          </w:p>
        </w:tc>
        <w:tc>
          <w:tcPr>
            <w:tcW w:w="2240" w:type="dxa"/>
            <w:vAlign w:val="bottom"/>
          </w:tcPr>
          <w:p w14:paraId="4A6F375C" w14:textId="77777777" w:rsidR="00661EA8" w:rsidRPr="00FC3B7C" w:rsidRDefault="00661EA8" w:rsidP="00244780">
            <w:pPr>
              <w:ind w:left="80"/>
              <w:rPr>
                <w:sz w:val="20"/>
                <w:szCs w:val="20"/>
              </w:rPr>
            </w:pPr>
            <w:r w:rsidRPr="00FC3B7C">
              <w:rPr>
                <w:rFonts w:eastAsia="Times New Roman"/>
                <w:b/>
                <w:bCs/>
              </w:rPr>
              <w:t>2T repo sazba</w:t>
            </w:r>
          </w:p>
        </w:tc>
        <w:tc>
          <w:tcPr>
            <w:tcW w:w="20" w:type="dxa"/>
            <w:vAlign w:val="bottom"/>
          </w:tcPr>
          <w:p w14:paraId="4A6F375D" w14:textId="77777777" w:rsidR="00661EA8" w:rsidRPr="00FC3B7C" w:rsidRDefault="00661EA8" w:rsidP="00244780">
            <w:pPr>
              <w:rPr>
                <w:szCs w:val="24"/>
              </w:rPr>
            </w:pPr>
          </w:p>
        </w:tc>
        <w:tc>
          <w:tcPr>
            <w:tcW w:w="2240" w:type="dxa"/>
            <w:vAlign w:val="bottom"/>
          </w:tcPr>
          <w:p w14:paraId="4A6F375E" w14:textId="77777777" w:rsidR="00661EA8" w:rsidRPr="00FC3B7C" w:rsidRDefault="00661EA8" w:rsidP="00244780">
            <w:pPr>
              <w:ind w:left="80"/>
              <w:rPr>
                <w:sz w:val="20"/>
                <w:szCs w:val="20"/>
              </w:rPr>
            </w:pPr>
            <w:r w:rsidRPr="00FC3B7C">
              <w:rPr>
                <w:rFonts w:eastAsia="Times New Roman"/>
                <w:b/>
                <w:bCs/>
              </w:rPr>
              <w:t>Diskontní sazba (%)</w:t>
            </w:r>
          </w:p>
        </w:tc>
        <w:tc>
          <w:tcPr>
            <w:tcW w:w="20" w:type="dxa"/>
            <w:vAlign w:val="bottom"/>
          </w:tcPr>
          <w:p w14:paraId="4A6F375F" w14:textId="77777777" w:rsidR="00661EA8" w:rsidRPr="00FC3B7C" w:rsidRDefault="00661EA8" w:rsidP="00244780">
            <w:pPr>
              <w:rPr>
                <w:szCs w:val="24"/>
              </w:rPr>
            </w:pPr>
          </w:p>
        </w:tc>
        <w:tc>
          <w:tcPr>
            <w:tcW w:w="1400" w:type="dxa"/>
            <w:vAlign w:val="bottom"/>
          </w:tcPr>
          <w:p w14:paraId="4A6F3760" w14:textId="77777777" w:rsidR="00661EA8" w:rsidRPr="00FC3B7C" w:rsidRDefault="00661EA8" w:rsidP="00244780">
            <w:pPr>
              <w:ind w:left="100"/>
              <w:rPr>
                <w:sz w:val="20"/>
                <w:szCs w:val="20"/>
              </w:rPr>
            </w:pPr>
            <w:r w:rsidRPr="00FC3B7C">
              <w:rPr>
                <w:rFonts w:eastAsia="Times New Roman"/>
                <w:b/>
                <w:bCs/>
              </w:rPr>
              <w:t>Lombardní</w:t>
            </w:r>
          </w:p>
        </w:tc>
        <w:tc>
          <w:tcPr>
            <w:tcW w:w="860" w:type="dxa"/>
            <w:vAlign w:val="bottom"/>
          </w:tcPr>
          <w:p w14:paraId="4A6F3761" w14:textId="77777777" w:rsidR="00661EA8" w:rsidRPr="00FC3B7C" w:rsidRDefault="00661EA8" w:rsidP="00244780">
            <w:pPr>
              <w:ind w:left="220"/>
              <w:rPr>
                <w:sz w:val="20"/>
                <w:szCs w:val="20"/>
              </w:rPr>
            </w:pPr>
            <w:r w:rsidRPr="00FC3B7C">
              <w:rPr>
                <w:rFonts w:eastAsia="Times New Roman"/>
                <w:b/>
                <w:bCs/>
              </w:rPr>
              <w:t>sazba</w:t>
            </w:r>
          </w:p>
        </w:tc>
        <w:tc>
          <w:tcPr>
            <w:tcW w:w="0" w:type="dxa"/>
            <w:vAlign w:val="bottom"/>
          </w:tcPr>
          <w:p w14:paraId="4A6F3762" w14:textId="77777777" w:rsidR="00661EA8" w:rsidRPr="00FC3B7C" w:rsidRDefault="00661EA8" w:rsidP="00244780">
            <w:pPr>
              <w:rPr>
                <w:sz w:val="1"/>
                <w:szCs w:val="1"/>
              </w:rPr>
            </w:pPr>
          </w:p>
        </w:tc>
      </w:tr>
      <w:tr w:rsidR="00661EA8" w:rsidRPr="00FC3B7C" w14:paraId="4A6F376E" w14:textId="77777777" w:rsidTr="00244780">
        <w:trPr>
          <w:trHeight w:val="379"/>
        </w:trPr>
        <w:tc>
          <w:tcPr>
            <w:tcW w:w="20" w:type="dxa"/>
            <w:vAlign w:val="bottom"/>
          </w:tcPr>
          <w:p w14:paraId="4A6F3764" w14:textId="77777777" w:rsidR="00661EA8" w:rsidRPr="00FC3B7C" w:rsidRDefault="00661EA8" w:rsidP="00244780">
            <w:pPr>
              <w:rPr>
                <w:szCs w:val="24"/>
              </w:rPr>
            </w:pPr>
          </w:p>
        </w:tc>
        <w:tc>
          <w:tcPr>
            <w:tcW w:w="1280" w:type="dxa"/>
            <w:vAlign w:val="bottom"/>
          </w:tcPr>
          <w:p w14:paraId="4A6F3765" w14:textId="77777777" w:rsidR="00661EA8" w:rsidRPr="00FC3B7C" w:rsidRDefault="00661EA8" w:rsidP="00244780">
            <w:pPr>
              <w:rPr>
                <w:szCs w:val="24"/>
              </w:rPr>
            </w:pPr>
          </w:p>
        </w:tc>
        <w:tc>
          <w:tcPr>
            <w:tcW w:w="980" w:type="dxa"/>
            <w:vAlign w:val="bottom"/>
          </w:tcPr>
          <w:p w14:paraId="4A6F3766" w14:textId="77777777" w:rsidR="00661EA8" w:rsidRPr="00FC3B7C" w:rsidRDefault="00661EA8" w:rsidP="00244780">
            <w:pPr>
              <w:rPr>
                <w:szCs w:val="24"/>
              </w:rPr>
            </w:pPr>
          </w:p>
        </w:tc>
        <w:tc>
          <w:tcPr>
            <w:tcW w:w="20" w:type="dxa"/>
            <w:vAlign w:val="bottom"/>
          </w:tcPr>
          <w:p w14:paraId="4A6F3767" w14:textId="77777777" w:rsidR="00661EA8" w:rsidRPr="00FC3B7C" w:rsidRDefault="00661EA8" w:rsidP="00244780">
            <w:pPr>
              <w:rPr>
                <w:szCs w:val="24"/>
              </w:rPr>
            </w:pPr>
          </w:p>
        </w:tc>
        <w:tc>
          <w:tcPr>
            <w:tcW w:w="2240" w:type="dxa"/>
            <w:vAlign w:val="bottom"/>
          </w:tcPr>
          <w:p w14:paraId="4A6F3768" w14:textId="77777777" w:rsidR="00661EA8" w:rsidRPr="00FC3B7C" w:rsidRDefault="00661EA8" w:rsidP="00244780">
            <w:pPr>
              <w:rPr>
                <w:szCs w:val="24"/>
              </w:rPr>
            </w:pPr>
          </w:p>
        </w:tc>
        <w:tc>
          <w:tcPr>
            <w:tcW w:w="20" w:type="dxa"/>
            <w:vAlign w:val="bottom"/>
          </w:tcPr>
          <w:p w14:paraId="4A6F3769" w14:textId="77777777" w:rsidR="00661EA8" w:rsidRPr="00FC3B7C" w:rsidRDefault="00661EA8" w:rsidP="00244780">
            <w:pPr>
              <w:rPr>
                <w:szCs w:val="24"/>
              </w:rPr>
            </w:pPr>
          </w:p>
        </w:tc>
        <w:tc>
          <w:tcPr>
            <w:tcW w:w="2240" w:type="dxa"/>
            <w:vAlign w:val="bottom"/>
          </w:tcPr>
          <w:p w14:paraId="4A6F376A" w14:textId="77777777" w:rsidR="00661EA8" w:rsidRPr="00FC3B7C" w:rsidRDefault="00661EA8" w:rsidP="00244780">
            <w:pPr>
              <w:rPr>
                <w:szCs w:val="24"/>
              </w:rPr>
            </w:pPr>
          </w:p>
        </w:tc>
        <w:tc>
          <w:tcPr>
            <w:tcW w:w="1420" w:type="dxa"/>
            <w:gridSpan w:val="2"/>
            <w:vAlign w:val="bottom"/>
          </w:tcPr>
          <w:p w14:paraId="4A6F376B" w14:textId="77777777" w:rsidR="00661EA8" w:rsidRPr="00FC3B7C" w:rsidRDefault="00661EA8" w:rsidP="00244780">
            <w:pPr>
              <w:ind w:left="120"/>
              <w:rPr>
                <w:sz w:val="20"/>
                <w:szCs w:val="20"/>
              </w:rPr>
            </w:pPr>
            <w:r w:rsidRPr="00FC3B7C">
              <w:rPr>
                <w:rFonts w:eastAsia="Times New Roman"/>
                <w:b/>
                <w:bCs/>
              </w:rPr>
              <w:t>(%)</w:t>
            </w:r>
          </w:p>
        </w:tc>
        <w:tc>
          <w:tcPr>
            <w:tcW w:w="860" w:type="dxa"/>
            <w:vAlign w:val="bottom"/>
          </w:tcPr>
          <w:p w14:paraId="4A6F376C" w14:textId="77777777" w:rsidR="00661EA8" w:rsidRPr="00FC3B7C" w:rsidRDefault="00661EA8" w:rsidP="00244780">
            <w:pPr>
              <w:rPr>
                <w:szCs w:val="24"/>
              </w:rPr>
            </w:pPr>
          </w:p>
        </w:tc>
        <w:tc>
          <w:tcPr>
            <w:tcW w:w="0" w:type="dxa"/>
            <w:vAlign w:val="bottom"/>
          </w:tcPr>
          <w:p w14:paraId="4A6F376D" w14:textId="77777777" w:rsidR="00661EA8" w:rsidRPr="00FC3B7C" w:rsidRDefault="00661EA8" w:rsidP="00244780">
            <w:pPr>
              <w:rPr>
                <w:sz w:val="1"/>
                <w:szCs w:val="1"/>
              </w:rPr>
            </w:pPr>
          </w:p>
        </w:tc>
      </w:tr>
      <w:tr w:rsidR="00661EA8" w:rsidRPr="00FC3B7C" w14:paraId="4A6F377A" w14:textId="77777777" w:rsidTr="00244780">
        <w:trPr>
          <w:trHeight w:val="107"/>
        </w:trPr>
        <w:tc>
          <w:tcPr>
            <w:tcW w:w="20" w:type="dxa"/>
            <w:vAlign w:val="bottom"/>
          </w:tcPr>
          <w:p w14:paraId="4A6F376F" w14:textId="77777777" w:rsidR="00661EA8" w:rsidRPr="00FC3B7C" w:rsidRDefault="00661EA8" w:rsidP="00244780">
            <w:pPr>
              <w:rPr>
                <w:sz w:val="9"/>
                <w:szCs w:val="9"/>
              </w:rPr>
            </w:pPr>
          </w:p>
        </w:tc>
        <w:tc>
          <w:tcPr>
            <w:tcW w:w="1280" w:type="dxa"/>
            <w:tcBorders>
              <w:bottom w:val="single" w:sz="8" w:space="0" w:color="4472C4"/>
            </w:tcBorders>
            <w:vAlign w:val="bottom"/>
          </w:tcPr>
          <w:p w14:paraId="4A6F3770" w14:textId="77777777" w:rsidR="00661EA8" w:rsidRPr="00FC3B7C" w:rsidRDefault="00661EA8" w:rsidP="00244780">
            <w:pPr>
              <w:rPr>
                <w:sz w:val="9"/>
                <w:szCs w:val="9"/>
              </w:rPr>
            </w:pPr>
          </w:p>
        </w:tc>
        <w:tc>
          <w:tcPr>
            <w:tcW w:w="980" w:type="dxa"/>
            <w:tcBorders>
              <w:bottom w:val="single" w:sz="8" w:space="0" w:color="4472C4"/>
            </w:tcBorders>
            <w:vAlign w:val="bottom"/>
          </w:tcPr>
          <w:p w14:paraId="4A6F3771" w14:textId="77777777" w:rsidR="00661EA8" w:rsidRPr="00FC3B7C" w:rsidRDefault="00661EA8" w:rsidP="00244780">
            <w:pPr>
              <w:rPr>
                <w:sz w:val="9"/>
                <w:szCs w:val="9"/>
              </w:rPr>
            </w:pPr>
          </w:p>
        </w:tc>
        <w:tc>
          <w:tcPr>
            <w:tcW w:w="20" w:type="dxa"/>
            <w:vAlign w:val="bottom"/>
          </w:tcPr>
          <w:p w14:paraId="4A6F3772" w14:textId="77777777" w:rsidR="00661EA8" w:rsidRPr="00FC3B7C" w:rsidRDefault="00661EA8" w:rsidP="00244780">
            <w:pPr>
              <w:rPr>
                <w:sz w:val="9"/>
                <w:szCs w:val="9"/>
              </w:rPr>
            </w:pPr>
          </w:p>
        </w:tc>
        <w:tc>
          <w:tcPr>
            <w:tcW w:w="2240" w:type="dxa"/>
            <w:tcBorders>
              <w:bottom w:val="single" w:sz="8" w:space="0" w:color="4472C4"/>
            </w:tcBorders>
            <w:vAlign w:val="bottom"/>
          </w:tcPr>
          <w:p w14:paraId="4A6F3773" w14:textId="77777777" w:rsidR="00661EA8" w:rsidRPr="00FC3B7C" w:rsidRDefault="00661EA8" w:rsidP="00244780">
            <w:pPr>
              <w:rPr>
                <w:sz w:val="9"/>
                <w:szCs w:val="9"/>
              </w:rPr>
            </w:pPr>
          </w:p>
        </w:tc>
        <w:tc>
          <w:tcPr>
            <w:tcW w:w="20" w:type="dxa"/>
            <w:vAlign w:val="bottom"/>
          </w:tcPr>
          <w:p w14:paraId="4A6F3774" w14:textId="77777777" w:rsidR="00661EA8" w:rsidRPr="00FC3B7C" w:rsidRDefault="00661EA8" w:rsidP="00244780">
            <w:pPr>
              <w:rPr>
                <w:sz w:val="9"/>
                <w:szCs w:val="9"/>
              </w:rPr>
            </w:pPr>
          </w:p>
        </w:tc>
        <w:tc>
          <w:tcPr>
            <w:tcW w:w="2240" w:type="dxa"/>
            <w:tcBorders>
              <w:bottom w:val="single" w:sz="8" w:space="0" w:color="4472C4"/>
            </w:tcBorders>
            <w:vAlign w:val="bottom"/>
          </w:tcPr>
          <w:p w14:paraId="4A6F3775" w14:textId="77777777" w:rsidR="00661EA8" w:rsidRPr="00FC3B7C" w:rsidRDefault="00661EA8" w:rsidP="00244780">
            <w:pPr>
              <w:rPr>
                <w:sz w:val="9"/>
                <w:szCs w:val="9"/>
              </w:rPr>
            </w:pPr>
          </w:p>
        </w:tc>
        <w:tc>
          <w:tcPr>
            <w:tcW w:w="20" w:type="dxa"/>
            <w:vAlign w:val="bottom"/>
          </w:tcPr>
          <w:p w14:paraId="4A6F3776" w14:textId="77777777" w:rsidR="00661EA8" w:rsidRPr="00FC3B7C" w:rsidRDefault="00661EA8" w:rsidP="00244780">
            <w:pPr>
              <w:rPr>
                <w:sz w:val="9"/>
                <w:szCs w:val="9"/>
              </w:rPr>
            </w:pPr>
          </w:p>
        </w:tc>
        <w:tc>
          <w:tcPr>
            <w:tcW w:w="1400" w:type="dxa"/>
            <w:tcBorders>
              <w:bottom w:val="single" w:sz="8" w:space="0" w:color="4472C4"/>
            </w:tcBorders>
            <w:vAlign w:val="bottom"/>
          </w:tcPr>
          <w:p w14:paraId="4A6F3777" w14:textId="77777777" w:rsidR="00661EA8" w:rsidRPr="00FC3B7C" w:rsidRDefault="00661EA8" w:rsidP="00244780">
            <w:pPr>
              <w:rPr>
                <w:sz w:val="9"/>
                <w:szCs w:val="9"/>
              </w:rPr>
            </w:pPr>
          </w:p>
        </w:tc>
        <w:tc>
          <w:tcPr>
            <w:tcW w:w="860" w:type="dxa"/>
            <w:tcBorders>
              <w:bottom w:val="single" w:sz="8" w:space="0" w:color="4472C4"/>
            </w:tcBorders>
            <w:vAlign w:val="bottom"/>
          </w:tcPr>
          <w:p w14:paraId="4A6F3778" w14:textId="77777777" w:rsidR="00661EA8" w:rsidRPr="00FC3B7C" w:rsidRDefault="00661EA8" w:rsidP="00244780">
            <w:pPr>
              <w:rPr>
                <w:sz w:val="9"/>
                <w:szCs w:val="9"/>
              </w:rPr>
            </w:pPr>
          </w:p>
        </w:tc>
        <w:tc>
          <w:tcPr>
            <w:tcW w:w="0" w:type="dxa"/>
            <w:vAlign w:val="bottom"/>
          </w:tcPr>
          <w:p w14:paraId="4A6F3779" w14:textId="77777777" w:rsidR="00661EA8" w:rsidRPr="00FC3B7C" w:rsidRDefault="00661EA8" w:rsidP="00244780">
            <w:pPr>
              <w:rPr>
                <w:sz w:val="1"/>
                <w:szCs w:val="1"/>
              </w:rPr>
            </w:pPr>
          </w:p>
        </w:tc>
      </w:tr>
      <w:tr w:rsidR="00661EA8" w:rsidRPr="00FC3B7C" w14:paraId="4A6F3786" w14:textId="77777777" w:rsidTr="00244780">
        <w:trPr>
          <w:trHeight w:val="317"/>
        </w:trPr>
        <w:tc>
          <w:tcPr>
            <w:tcW w:w="20" w:type="dxa"/>
            <w:vAlign w:val="bottom"/>
          </w:tcPr>
          <w:p w14:paraId="4A6F377B" w14:textId="77777777" w:rsidR="00661EA8" w:rsidRPr="00FC3B7C" w:rsidRDefault="00661EA8" w:rsidP="00244780">
            <w:pPr>
              <w:rPr>
                <w:szCs w:val="24"/>
              </w:rPr>
            </w:pPr>
          </w:p>
        </w:tc>
        <w:tc>
          <w:tcPr>
            <w:tcW w:w="1280" w:type="dxa"/>
            <w:vAlign w:val="bottom"/>
          </w:tcPr>
          <w:p w14:paraId="4A6F377C" w14:textId="77777777" w:rsidR="00661EA8" w:rsidRPr="00FC3B7C" w:rsidRDefault="00661EA8" w:rsidP="00244780">
            <w:pPr>
              <w:ind w:left="100"/>
              <w:rPr>
                <w:sz w:val="20"/>
                <w:szCs w:val="20"/>
              </w:rPr>
            </w:pPr>
            <w:r w:rsidRPr="00FC3B7C">
              <w:rPr>
                <w:rFonts w:eastAsia="Times New Roman"/>
                <w:b/>
                <w:bCs/>
                <w:szCs w:val="24"/>
              </w:rPr>
              <w:t>29. 6. 2012</w:t>
            </w:r>
          </w:p>
        </w:tc>
        <w:tc>
          <w:tcPr>
            <w:tcW w:w="980" w:type="dxa"/>
            <w:shd w:val="clear" w:color="auto" w:fill="D0DBF0"/>
            <w:vAlign w:val="bottom"/>
          </w:tcPr>
          <w:p w14:paraId="4A6F377D" w14:textId="77777777" w:rsidR="00661EA8" w:rsidRPr="00FC3B7C" w:rsidRDefault="00661EA8" w:rsidP="00244780">
            <w:pPr>
              <w:rPr>
                <w:szCs w:val="24"/>
              </w:rPr>
            </w:pPr>
          </w:p>
        </w:tc>
        <w:tc>
          <w:tcPr>
            <w:tcW w:w="20" w:type="dxa"/>
            <w:vAlign w:val="bottom"/>
          </w:tcPr>
          <w:p w14:paraId="4A6F377E" w14:textId="77777777" w:rsidR="00661EA8" w:rsidRPr="00FC3B7C" w:rsidRDefault="00661EA8" w:rsidP="00244780">
            <w:pPr>
              <w:rPr>
                <w:szCs w:val="24"/>
              </w:rPr>
            </w:pPr>
          </w:p>
        </w:tc>
        <w:tc>
          <w:tcPr>
            <w:tcW w:w="2240" w:type="dxa"/>
            <w:vAlign w:val="bottom"/>
          </w:tcPr>
          <w:p w14:paraId="4A6F377F" w14:textId="77777777" w:rsidR="00661EA8" w:rsidRPr="00FC3B7C" w:rsidRDefault="00661EA8" w:rsidP="00244780">
            <w:pPr>
              <w:ind w:left="80"/>
              <w:rPr>
                <w:sz w:val="20"/>
                <w:szCs w:val="20"/>
              </w:rPr>
            </w:pPr>
            <w:r w:rsidRPr="00FC3B7C">
              <w:rPr>
                <w:rFonts w:eastAsia="Times New Roman"/>
                <w:szCs w:val="24"/>
              </w:rPr>
              <w:t>0,50</w:t>
            </w:r>
          </w:p>
        </w:tc>
        <w:tc>
          <w:tcPr>
            <w:tcW w:w="20" w:type="dxa"/>
            <w:vAlign w:val="bottom"/>
          </w:tcPr>
          <w:p w14:paraId="4A6F3780" w14:textId="77777777" w:rsidR="00661EA8" w:rsidRPr="00FC3B7C" w:rsidRDefault="00661EA8" w:rsidP="00244780">
            <w:pPr>
              <w:rPr>
                <w:szCs w:val="24"/>
              </w:rPr>
            </w:pPr>
          </w:p>
        </w:tc>
        <w:tc>
          <w:tcPr>
            <w:tcW w:w="2240" w:type="dxa"/>
            <w:vAlign w:val="bottom"/>
          </w:tcPr>
          <w:p w14:paraId="4A6F3781" w14:textId="77777777" w:rsidR="00661EA8" w:rsidRPr="00FC3B7C" w:rsidRDefault="00661EA8" w:rsidP="00244780">
            <w:pPr>
              <w:ind w:left="80"/>
              <w:rPr>
                <w:sz w:val="20"/>
                <w:szCs w:val="20"/>
              </w:rPr>
            </w:pPr>
            <w:r w:rsidRPr="00FC3B7C">
              <w:rPr>
                <w:rFonts w:eastAsia="Times New Roman"/>
                <w:szCs w:val="24"/>
              </w:rPr>
              <w:t>0,25</w:t>
            </w:r>
          </w:p>
        </w:tc>
        <w:tc>
          <w:tcPr>
            <w:tcW w:w="20" w:type="dxa"/>
            <w:vAlign w:val="bottom"/>
          </w:tcPr>
          <w:p w14:paraId="4A6F3782" w14:textId="77777777" w:rsidR="00661EA8" w:rsidRPr="00FC3B7C" w:rsidRDefault="00661EA8" w:rsidP="00244780">
            <w:pPr>
              <w:rPr>
                <w:szCs w:val="24"/>
              </w:rPr>
            </w:pPr>
          </w:p>
        </w:tc>
        <w:tc>
          <w:tcPr>
            <w:tcW w:w="1400" w:type="dxa"/>
            <w:vAlign w:val="bottom"/>
          </w:tcPr>
          <w:p w14:paraId="4A6F3783" w14:textId="77777777" w:rsidR="00661EA8" w:rsidRPr="00FC3B7C" w:rsidRDefault="00661EA8" w:rsidP="00244780">
            <w:pPr>
              <w:ind w:left="100"/>
              <w:rPr>
                <w:sz w:val="20"/>
                <w:szCs w:val="20"/>
              </w:rPr>
            </w:pPr>
            <w:r w:rsidRPr="00FC3B7C">
              <w:rPr>
                <w:rFonts w:eastAsia="Times New Roman"/>
                <w:szCs w:val="24"/>
              </w:rPr>
              <w:t>1,50</w:t>
            </w:r>
          </w:p>
        </w:tc>
        <w:tc>
          <w:tcPr>
            <w:tcW w:w="860" w:type="dxa"/>
            <w:vAlign w:val="bottom"/>
          </w:tcPr>
          <w:p w14:paraId="4A6F3784" w14:textId="77777777" w:rsidR="00661EA8" w:rsidRPr="00FC3B7C" w:rsidRDefault="00661EA8" w:rsidP="00244780">
            <w:pPr>
              <w:rPr>
                <w:szCs w:val="24"/>
              </w:rPr>
            </w:pPr>
          </w:p>
        </w:tc>
        <w:tc>
          <w:tcPr>
            <w:tcW w:w="0" w:type="dxa"/>
            <w:vAlign w:val="bottom"/>
          </w:tcPr>
          <w:p w14:paraId="4A6F3785" w14:textId="77777777" w:rsidR="00661EA8" w:rsidRPr="00FC3B7C" w:rsidRDefault="00661EA8" w:rsidP="00244780">
            <w:pPr>
              <w:rPr>
                <w:sz w:val="1"/>
                <w:szCs w:val="1"/>
              </w:rPr>
            </w:pPr>
          </w:p>
        </w:tc>
      </w:tr>
      <w:tr w:rsidR="00661EA8" w:rsidRPr="00FC3B7C" w14:paraId="4A6F378F" w14:textId="77777777" w:rsidTr="00244780">
        <w:trPr>
          <w:trHeight w:val="95"/>
        </w:trPr>
        <w:tc>
          <w:tcPr>
            <w:tcW w:w="20" w:type="dxa"/>
            <w:vAlign w:val="bottom"/>
          </w:tcPr>
          <w:p w14:paraId="4A6F3787" w14:textId="77777777" w:rsidR="00661EA8" w:rsidRPr="00FC3B7C" w:rsidRDefault="00661EA8" w:rsidP="00244780">
            <w:pPr>
              <w:rPr>
                <w:sz w:val="8"/>
                <w:szCs w:val="8"/>
              </w:rPr>
            </w:pPr>
          </w:p>
        </w:tc>
        <w:tc>
          <w:tcPr>
            <w:tcW w:w="1280" w:type="dxa"/>
            <w:vMerge w:val="restart"/>
            <w:vAlign w:val="bottom"/>
          </w:tcPr>
          <w:p w14:paraId="4A6F3788" w14:textId="77777777" w:rsidR="00661EA8" w:rsidRPr="00FC3B7C" w:rsidRDefault="00661EA8" w:rsidP="00244780">
            <w:pPr>
              <w:ind w:left="100"/>
              <w:rPr>
                <w:sz w:val="20"/>
                <w:szCs w:val="20"/>
              </w:rPr>
            </w:pPr>
            <w:r w:rsidRPr="00FC3B7C">
              <w:rPr>
                <w:rFonts w:eastAsia="Times New Roman"/>
                <w:b/>
                <w:bCs/>
                <w:szCs w:val="24"/>
              </w:rPr>
              <w:t>1. 10. 2012</w:t>
            </w:r>
          </w:p>
        </w:tc>
        <w:tc>
          <w:tcPr>
            <w:tcW w:w="980" w:type="dxa"/>
            <w:shd w:val="clear" w:color="auto" w:fill="D0DBF0"/>
            <w:vAlign w:val="bottom"/>
          </w:tcPr>
          <w:p w14:paraId="4A6F3789" w14:textId="77777777" w:rsidR="00661EA8" w:rsidRPr="00FC3B7C" w:rsidRDefault="00661EA8" w:rsidP="00244780">
            <w:pPr>
              <w:rPr>
                <w:sz w:val="8"/>
                <w:szCs w:val="8"/>
              </w:rPr>
            </w:pPr>
          </w:p>
        </w:tc>
        <w:tc>
          <w:tcPr>
            <w:tcW w:w="2260" w:type="dxa"/>
            <w:gridSpan w:val="2"/>
            <w:vMerge w:val="restart"/>
            <w:vAlign w:val="bottom"/>
          </w:tcPr>
          <w:p w14:paraId="4A6F378A" w14:textId="77777777" w:rsidR="00661EA8" w:rsidRPr="00FC3B7C" w:rsidRDefault="00661EA8" w:rsidP="00244780">
            <w:pPr>
              <w:ind w:left="100"/>
              <w:rPr>
                <w:sz w:val="20"/>
                <w:szCs w:val="20"/>
              </w:rPr>
            </w:pPr>
            <w:r w:rsidRPr="00FC3B7C">
              <w:rPr>
                <w:rFonts w:eastAsia="Times New Roman"/>
                <w:szCs w:val="24"/>
              </w:rPr>
              <w:t>0,25</w:t>
            </w:r>
          </w:p>
        </w:tc>
        <w:tc>
          <w:tcPr>
            <w:tcW w:w="2260" w:type="dxa"/>
            <w:gridSpan w:val="2"/>
            <w:vMerge w:val="restart"/>
            <w:vAlign w:val="bottom"/>
          </w:tcPr>
          <w:p w14:paraId="4A6F378B" w14:textId="77777777" w:rsidR="00661EA8" w:rsidRPr="00FC3B7C" w:rsidRDefault="00661EA8" w:rsidP="00244780">
            <w:pPr>
              <w:ind w:left="100"/>
              <w:rPr>
                <w:sz w:val="20"/>
                <w:szCs w:val="20"/>
              </w:rPr>
            </w:pPr>
            <w:r w:rsidRPr="00FC3B7C">
              <w:rPr>
                <w:rFonts w:eastAsia="Times New Roman"/>
                <w:szCs w:val="24"/>
              </w:rPr>
              <w:t>0,10</w:t>
            </w:r>
          </w:p>
        </w:tc>
        <w:tc>
          <w:tcPr>
            <w:tcW w:w="1420" w:type="dxa"/>
            <w:gridSpan w:val="2"/>
            <w:vMerge w:val="restart"/>
            <w:vAlign w:val="bottom"/>
          </w:tcPr>
          <w:p w14:paraId="4A6F378C" w14:textId="77777777" w:rsidR="00661EA8" w:rsidRPr="00FC3B7C" w:rsidRDefault="00661EA8" w:rsidP="00244780">
            <w:pPr>
              <w:ind w:left="120"/>
              <w:rPr>
                <w:sz w:val="20"/>
                <w:szCs w:val="20"/>
              </w:rPr>
            </w:pPr>
            <w:r w:rsidRPr="00FC3B7C">
              <w:rPr>
                <w:rFonts w:eastAsia="Times New Roman"/>
                <w:szCs w:val="24"/>
              </w:rPr>
              <w:t>0,75</w:t>
            </w:r>
          </w:p>
        </w:tc>
        <w:tc>
          <w:tcPr>
            <w:tcW w:w="860" w:type="dxa"/>
            <w:vAlign w:val="bottom"/>
          </w:tcPr>
          <w:p w14:paraId="4A6F378D" w14:textId="77777777" w:rsidR="00661EA8" w:rsidRPr="00FC3B7C" w:rsidRDefault="00661EA8" w:rsidP="00244780">
            <w:pPr>
              <w:rPr>
                <w:sz w:val="8"/>
                <w:szCs w:val="8"/>
              </w:rPr>
            </w:pPr>
          </w:p>
        </w:tc>
        <w:tc>
          <w:tcPr>
            <w:tcW w:w="0" w:type="dxa"/>
            <w:vAlign w:val="bottom"/>
          </w:tcPr>
          <w:p w14:paraId="4A6F378E" w14:textId="77777777" w:rsidR="00661EA8" w:rsidRPr="00FC3B7C" w:rsidRDefault="00661EA8" w:rsidP="00244780">
            <w:pPr>
              <w:rPr>
                <w:sz w:val="1"/>
                <w:szCs w:val="1"/>
              </w:rPr>
            </w:pPr>
          </w:p>
        </w:tc>
      </w:tr>
      <w:tr w:rsidR="00661EA8" w:rsidRPr="00FC3B7C" w14:paraId="4A6F3798" w14:textId="77777777" w:rsidTr="00244780">
        <w:trPr>
          <w:trHeight w:val="293"/>
        </w:trPr>
        <w:tc>
          <w:tcPr>
            <w:tcW w:w="20" w:type="dxa"/>
            <w:vAlign w:val="bottom"/>
          </w:tcPr>
          <w:p w14:paraId="4A6F3790" w14:textId="77777777" w:rsidR="00661EA8" w:rsidRPr="00FC3B7C" w:rsidRDefault="00661EA8" w:rsidP="00244780">
            <w:pPr>
              <w:rPr>
                <w:szCs w:val="24"/>
              </w:rPr>
            </w:pPr>
          </w:p>
        </w:tc>
        <w:tc>
          <w:tcPr>
            <w:tcW w:w="1280" w:type="dxa"/>
            <w:vMerge/>
            <w:vAlign w:val="bottom"/>
          </w:tcPr>
          <w:p w14:paraId="4A6F3791" w14:textId="77777777" w:rsidR="00661EA8" w:rsidRPr="00FC3B7C" w:rsidRDefault="00661EA8" w:rsidP="00244780">
            <w:pPr>
              <w:rPr>
                <w:szCs w:val="24"/>
              </w:rPr>
            </w:pPr>
          </w:p>
        </w:tc>
        <w:tc>
          <w:tcPr>
            <w:tcW w:w="980" w:type="dxa"/>
            <w:vAlign w:val="bottom"/>
          </w:tcPr>
          <w:p w14:paraId="4A6F3792" w14:textId="77777777" w:rsidR="00661EA8" w:rsidRPr="00FC3B7C" w:rsidRDefault="00661EA8" w:rsidP="00244780">
            <w:pPr>
              <w:rPr>
                <w:szCs w:val="24"/>
              </w:rPr>
            </w:pPr>
          </w:p>
        </w:tc>
        <w:tc>
          <w:tcPr>
            <w:tcW w:w="2260" w:type="dxa"/>
            <w:gridSpan w:val="2"/>
            <w:vMerge/>
            <w:vAlign w:val="bottom"/>
          </w:tcPr>
          <w:p w14:paraId="4A6F3793" w14:textId="77777777" w:rsidR="00661EA8" w:rsidRPr="00FC3B7C" w:rsidRDefault="00661EA8" w:rsidP="00244780">
            <w:pPr>
              <w:rPr>
                <w:szCs w:val="24"/>
              </w:rPr>
            </w:pPr>
          </w:p>
        </w:tc>
        <w:tc>
          <w:tcPr>
            <w:tcW w:w="2260" w:type="dxa"/>
            <w:gridSpan w:val="2"/>
            <w:vMerge/>
            <w:vAlign w:val="bottom"/>
          </w:tcPr>
          <w:p w14:paraId="4A6F3794" w14:textId="77777777" w:rsidR="00661EA8" w:rsidRPr="00FC3B7C" w:rsidRDefault="00661EA8" w:rsidP="00244780">
            <w:pPr>
              <w:rPr>
                <w:szCs w:val="24"/>
              </w:rPr>
            </w:pPr>
          </w:p>
        </w:tc>
        <w:tc>
          <w:tcPr>
            <w:tcW w:w="1420" w:type="dxa"/>
            <w:gridSpan w:val="2"/>
            <w:vMerge/>
            <w:vAlign w:val="bottom"/>
          </w:tcPr>
          <w:p w14:paraId="4A6F3795" w14:textId="77777777" w:rsidR="00661EA8" w:rsidRPr="00FC3B7C" w:rsidRDefault="00661EA8" w:rsidP="00244780">
            <w:pPr>
              <w:rPr>
                <w:szCs w:val="24"/>
              </w:rPr>
            </w:pPr>
          </w:p>
        </w:tc>
        <w:tc>
          <w:tcPr>
            <w:tcW w:w="860" w:type="dxa"/>
            <w:vAlign w:val="bottom"/>
          </w:tcPr>
          <w:p w14:paraId="4A6F3796" w14:textId="77777777" w:rsidR="00661EA8" w:rsidRPr="00FC3B7C" w:rsidRDefault="00661EA8" w:rsidP="00244780">
            <w:pPr>
              <w:rPr>
                <w:szCs w:val="24"/>
              </w:rPr>
            </w:pPr>
          </w:p>
        </w:tc>
        <w:tc>
          <w:tcPr>
            <w:tcW w:w="0" w:type="dxa"/>
            <w:vAlign w:val="bottom"/>
          </w:tcPr>
          <w:p w14:paraId="4A6F3797" w14:textId="77777777" w:rsidR="00661EA8" w:rsidRPr="00FC3B7C" w:rsidRDefault="00661EA8" w:rsidP="00244780">
            <w:pPr>
              <w:rPr>
                <w:sz w:val="1"/>
                <w:szCs w:val="1"/>
              </w:rPr>
            </w:pPr>
          </w:p>
        </w:tc>
      </w:tr>
      <w:tr w:rsidR="00661EA8" w:rsidRPr="00FC3B7C" w14:paraId="4A6F37A1" w14:textId="77777777" w:rsidTr="00244780">
        <w:trPr>
          <w:trHeight w:val="120"/>
        </w:trPr>
        <w:tc>
          <w:tcPr>
            <w:tcW w:w="20" w:type="dxa"/>
            <w:vAlign w:val="bottom"/>
          </w:tcPr>
          <w:p w14:paraId="4A6F3799" w14:textId="77777777" w:rsidR="00661EA8" w:rsidRPr="00FC3B7C" w:rsidRDefault="00661EA8" w:rsidP="00244780">
            <w:pPr>
              <w:rPr>
                <w:sz w:val="10"/>
                <w:szCs w:val="10"/>
              </w:rPr>
            </w:pPr>
          </w:p>
        </w:tc>
        <w:tc>
          <w:tcPr>
            <w:tcW w:w="1280" w:type="dxa"/>
            <w:vMerge w:val="restart"/>
            <w:vAlign w:val="bottom"/>
          </w:tcPr>
          <w:p w14:paraId="4A6F379A" w14:textId="77777777" w:rsidR="00661EA8" w:rsidRPr="00FC3B7C" w:rsidRDefault="00661EA8" w:rsidP="00244780">
            <w:pPr>
              <w:ind w:left="100"/>
              <w:rPr>
                <w:sz w:val="20"/>
                <w:szCs w:val="20"/>
              </w:rPr>
            </w:pPr>
            <w:r w:rsidRPr="00FC3B7C">
              <w:rPr>
                <w:rFonts w:eastAsia="Times New Roman"/>
                <w:b/>
                <w:bCs/>
                <w:szCs w:val="24"/>
              </w:rPr>
              <w:t>2. 11. 2012</w:t>
            </w:r>
          </w:p>
        </w:tc>
        <w:tc>
          <w:tcPr>
            <w:tcW w:w="980" w:type="dxa"/>
            <w:vAlign w:val="bottom"/>
          </w:tcPr>
          <w:p w14:paraId="4A6F379B" w14:textId="77777777" w:rsidR="00661EA8" w:rsidRPr="00FC3B7C" w:rsidRDefault="00661EA8" w:rsidP="00244780">
            <w:pPr>
              <w:rPr>
                <w:sz w:val="10"/>
                <w:szCs w:val="10"/>
              </w:rPr>
            </w:pPr>
          </w:p>
        </w:tc>
        <w:tc>
          <w:tcPr>
            <w:tcW w:w="2260" w:type="dxa"/>
            <w:gridSpan w:val="2"/>
            <w:vMerge w:val="restart"/>
            <w:vAlign w:val="bottom"/>
          </w:tcPr>
          <w:p w14:paraId="4A6F379C" w14:textId="77777777" w:rsidR="00661EA8" w:rsidRPr="00FC3B7C" w:rsidRDefault="00661EA8" w:rsidP="00244780">
            <w:pPr>
              <w:ind w:left="100"/>
              <w:rPr>
                <w:sz w:val="20"/>
                <w:szCs w:val="20"/>
              </w:rPr>
            </w:pPr>
            <w:r w:rsidRPr="00FC3B7C">
              <w:rPr>
                <w:rFonts w:eastAsia="Times New Roman"/>
                <w:b/>
                <w:bCs/>
                <w:szCs w:val="24"/>
              </w:rPr>
              <w:t>0,05</w:t>
            </w:r>
          </w:p>
        </w:tc>
        <w:tc>
          <w:tcPr>
            <w:tcW w:w="2260" w:type="dxa"/>
            <w:gridSpan w:val="2"/>
            <w:vMerge w:val="restart"/>
            <w:vAlign w:val="bottom"/>
          </w:tcPr>
          <w:p w14:paraId="4A6F379D" w14:textId="77777777" w:rsidR="00661EA8" w:rsidRPr="00FC3B7C" w:rsidRDefault="00661EA8" w:rsidP="00244780">
            <w:pPr>
              <w:ind w:left="100"/>
              <w:rPr>
                <w:sz w:val="20"/>
                <w:szCs w:val="20"/>
              </w:rPr>
            </w:pPr>
            <w:r w:rsidRPr="00FC3B7C">
              <w:rPr>
                <w:rFonts w:eastAsia="Times New Roman"/>
                <w:b/>
                <w:bCs/>
                <w:szCs w:val="24"/>
              </w:rPr>
              <w:t>0,05</w:t>
            </w:r>
          </w:p>
        </w:tc>
        <w:tc>
          <w:tcPr>
            <w:tcW w:w="1420" w:type="dxa"/>
            <w:gridSpan w:val="2"/>
            <w:vMerge w:val="restart"/>
            <w:vAlign w:val="bottom"/>
          </w:tcPr>
          <w:p w14:paraId="4A6F379E" w14:textId="77777777" w:rsidR="00661EA8" w:rsidRPr="00FC3B7C" w:rsidRDefault="00661EA8" w:rsidP="00244780">
            <w:pPr>
              <w:ind w:left="120"/>
              <w:rPr>
                <w:sz w:val="20"/>
                <w:szCs w:val="20"/>
              </w:rPr>
            </w:pPr>
            <w:r w:rsidRPr="00FC3B7C">
              <w:rPr>
                <w:rFonts w:eastAsia="Times New Roman"/>
                <w:b/>
                <w:bCs/>
                <w:szCs w:val="24"/>
              </w:rPr>
              <w:t>0,25</w:t>
            </w:r>
          </w:p>
        </w:tc>
        <w:tc>
          <w:tcPr>
            <w:tcW w:w="860" w:type="dxa"/>
            <w:vAlign w:val="bottom"/>
          </w:tcPr>
          <w:p w14:paraId="4A6F379F" w14:textId="77777777" w:rsidR="00661EA8" w:rsidRPr="00FC3B7C" w:rsidRDefault="00661EA8" w:rsidP="00244780">
            <w:pPr>
              <w:rPr>
                <w:sz w:val="10"/>
                <w:szCs w:val="10"/>
              </w:rPr>
            </w:pPr>
          </w:p>
        </w:tc>
        <w:tc>
          <w:tcPr>
            <w:tcW w:w="0" w:type="dxa"/>
            <w:vAlign w:val="bottom"/>
          </w:tcPr>
          <w:p w14:paraId="4A6F37A0" w14:textId="77777777" w:rsidR="00661EA8" w:rsidRPr="00FC3B7C" w:rsidRDefault="00661EA8" w:rsidP="00244780">
            <w:pPr>
              <w:rPr>
                <w:sz w:val="1"/>
                <w:szCs w:val="1"/>
              </w:rPr>
            </w:pPr>
          </w:p>
        </w:tc>
      </w:tr>
      <w:tr w:rsidR="00661EA8" w:rsidRPr="00FC3B7C" w14:paraId="4A6F37AA" w14:textId="77777777" w:rsidTr="00244780">
        <w:trPr>
          <w:trHeight w:val="293"/>
        </w:trPr>
        <w:tc>
          <w:tcPr>
            <w:tcW w:w="20" w:type="dxa"/>
            <w:vAlign w:val="bottom"/>
          </w:tcPr>
          <w:p w14:paraId="4A6F37A2" w14:textId="77777777" w:rsidR="00661EA8" w:rsidRPr="00FC3B7C" w:rsidRDefault="00661EA8" w:rsidP="00244780">
            <w:pPr>
              <w:rPr>
                <w:szCs w:val="24"/>
              </w:rPr>
            </w:pPr>
          </w:p>
        </w:tc>
        <w:tc>
          <w:tcPr>
            <w:tcW w:w="1280" w:type="dxa"/>
            <w:vMerge/>
            <w:vAlign w:val="bottom"/>
          </w:tcPr>
          <w:p w14:paraId="4A6F37A3" w14:textId="77777777" w:rsidR="00661EA8" w:rsidRPr="00FC3B7C" w:rsidRDefault="00661EA8" w:rsidP="00244780">
            <w:pPr>
              <w:rPr>
                <w:szCs w:val="24"/>
              </w:rPr>
            </w:pPr>
          </w:p>
        </w:tc>
        <w:tc>
          <w:tcPr>
            <w:tcW w:w="980" w:type="dxa"/>
            <w:shd w:val="clear" w:color="auto" w:fill="D0DBF0"/>
            <w:vAlign w:val="bottom"/>
          </w:tcPr>
          <w:p w14:paraId="4A6F37A4" w14:textId="77777777" w:rsidR="00661EA8" w:rsidRPr="00FC3B7C" w:rsidRDefault="00661EA8" w:rsidP="00244780">
            <w:pPr>
              <w:rPr>
                <w:szCs w:val="24"/>
              </w:rPr>
            </w:pPr>
          </w:p>
        </w:tc>
        <w:tc>
          <w:tcPr>
            <w:tcW w:w="2260" w:type="dxa"/>
            <w:gridSpan w:val="2"/>
            <w:vMerge/>
            <w:vAlign w:val="bottom"/>
          </w:tcPr>
          <w:p w14:paraId="4A6F37A5" w14:textId="77777777" w:rsidR="00661EA8" w:rsidRPr="00FC3B7C" w:rsidRDefault="00661EA8" w:rsidP="00244780">
            <w:pPr>
              <w:rPr>
                <w:szCs w:val="24"/>
              </w:rPr>
            </w:pPr>
          </w:p>
        </w:tc>
        <w:tc>
          <w:tcPr>
            <w:tcW w:w="2260" w:type="dxa"/>
            <w:gridSpan w:val="2"/>
            <w:vMerge/>
            <w:vAlign w:val="bottom"/>
          </w:tcPr>
          <w:p w14:paraId="4A6F37A6" w14:textId="77777777" w:rsidR="00661EA8" w:rsidRPr="00FC3B7C" w:rsidRDefault="00661EA8" w:rsidP="00244780">
            <w:pPr>
              <w:rPr>
                <w:szCs w:val="24"/>
              </w:rPr>
            </w:pPr>
          </w:p>
        </w:tc>
        <w:tc>
          <w:tcPr>
            <w:tcW w:w="1420" w:type="dxa"/>
            <w:gridSpan w:val="2"/>
            <w:vMerge/>
            <w:vAlign w:val="bottom"/>
          </w:tcPr>
          <w:p w14:paraId="4A6F37A7" w14:textId="77777777" w:rsidR="00661EA8" w:rsidRPr="00FC3B7C" w:rsidRDefault="00661EA8" w:rsidP="00244780">
            <w:pPr>
              <w:rPr>
                <w:szCs w:val="24"/>
              </w:rPr>
            </w:pPr>
          </w:p>
        </w:tc>
        <w:tc>
          <w:tcPr>
            <w:tcW w:w="860" w:type="dxa"/>
            <w:vAlign w:val="bottom"/>
          </w:tcPr>
          <w:p w14:paraId="4A6F37A8" w14:textId="77777777" w:rsidR="00661EA8" w:rsidRPr="00FC3B7C" w:rsidRDefault="00661EA8" w:rsidP="00244780">
            <w:pPr>
              <w:rPr>
                <w:szCs w:val="24"/>
              </w:rPr>
            </w:pPr>
          </w:p>
        </w:tc>
        <w:tc>
          <w:tcPr>
            <w:tcW w:w="0" w:type="dxa"/>
            <w:vAlign w:val="bottom"/>
          </w:tcPr>
          <w:p w14:paraId="4A6F37A9" w14:textId="77777777" w:rsidR="00661EA8" w:rsidRPr="00FC3B7C" w:rsidRDefault="00661EA8" w:rsidP="00244780">
            <w:pPr>
              <w:rPr>
                <w:sz w:val="1"/>
                <w:szCs w:val="1"/>
              </w:rPr>
            </w:pPr>
          </w:p>
        </w:tc>
      </w:tr>
      <w:tr w:rsidR="00661EA8" w:rsidRPr="00FC3B7C" w14:paraId="4A6F37B6" w14:textId="77777777" w:rsidTr="00244780">
        <w:trPr>
          <w:trHeight w:val="125"/>
        </w:trPr>
        <w:tc>
          <w:tcPr>
            <w:tcW w:w="20" w:type="dxa"/>
            <w:tcBorders>
              <w:bottom w:val="single" w:sz="8" w:space="0" w:color="4472C4"/>
            </w:tcBorders>
            <w:vAlign w:val="bottom"/>
          </w:tcPr>
          <w:p w14:paraId="4A6F37AB" w14:textId="77777777" w:rsidR="00661EA8" w:rsidRPr="00FC3B7C" w:rsidRDefault="00661EA8" w:rsidP="00244780">
            <w:pPr>
              <w:rPr>
                <w:sz w:val="10"/>
                <w:szCs w:val="10"/>
              </w:rPr>
            </w:pPr>
          </w:p>
        </w:tc>
        <w:tc>
          <w:tcPr>
            <w:tcW w:w="1280" w:type="dxa"/>
            <w:tcBorders>
              <w:bottom w:val="single" w:sz="8" w:space="0" w:color="4472C4"/>
            </w:tcBorders>
            <w:vAlign w:val="bottom"/>
          </w:tcPr>
          <w:p w14:paraId="4A6F37AC" w14:textId="77777777" w:rsidR="00661EA8" w:rsidRPr="00FC3B7C" w:rsidRDefault="00661EA8" w:rsidP="00244780">
            <w:pPr>
              <w:rPr>
                <w:sz w:val="10"/>
                <w:szCs w:val="10"/>
              </w:rPr>
            </w:pPr>
          </w:p>
        </w:tc>
        <w:tc>
          <w:tcPr>
            <w:tcW w:w="980" w:type="dxa"/>
            <w:tcBorders>
              <w:bottom w:val="single" w:sz="8" w:space="0" w:color="4472C4"/>
            </w:tcBorders>
            <w:shd w:val="clear" w:color="auto" w:fill="D0DBF0"/>
            <w:vAlign w:val="bottom"/>
          </w:tcPr>
          <w:p w14:paraId="4A6F37AD" w14:textId="77777777" w:rsidR="00661EA8" w:rsidRPr="00FC3B7C" w:rsidRDefault="00661EA8" w:rsidP="00244780">
            <w:pPr>
              <w:rPr>
                <w:sz w:val="10"/>
                <w:szCs w:val="10"/>
              </w:rPr>
            </w:pPr>
          </w:p>
        </w:tc>
        <w:tc>
          <w:tcPr>
            <w:tcW w:w="20" w:type="dxa"/>
            <w:tcBorders>
              <w:bottom w:val="single" w:sz="8" w:space="0" w:color="4472C4"/>
            </w:tcBorders>
            <w:vAlign w:val="bottom"/>
          </w:tcPr>
          <w:p w14:paraId="4A6F37AE" w14:textId="77777777" w:rsidR="00661EA8" w:rsidRPr="00FC3B7C" w:rsidRDefault="00661EA8" w:rsidP="00244780">
            <w:pPr>
              <w:rPr>
                <w:sz w:val="10"/>
                <w:szCs w:val="10"/>
              </w:rPr>
            </w:pPr>
          </w:p>
        </w:tc>
        <w:tc>
          <w:tcPr>
            <w:tcW w:w="2240" w:type="dxa"/>
            <w:tcBorders>
              <w:bottom w:val="single" w:sz="8" w:space="0" w:color="4472C4"/>
            </w:tcBorders>
            <w:vAlign w:val="bottom"/>
          </w:tcPr>
          <w:p w14:paraId="4A6F37AF" w14:textId="77777777" w:rsidR="00661EA8" w:rsidRPr="00FC3B7C" w:rsidRDefault="00661EA8" w:rsidP="00244780">
            <w:pPr>
              <w:rPr>
                <w:sz w:val="10"/>
                <w:szCs w:val="10"/>
              </w:rPr>
            </w:pPr>
          </w:p>
        </w:tc>
        <w:tc>
          <w:tcPr>
            <w:tcW w:w="20" w:type="dxa"/>
            <w:tcBorders>
              <w:bottom w:val="single" w:sz="8" w:space="0" w:color="4472C4"/>
            </w:tcBorders>
            <w:vAlign w:val="bottom"/>
          </w:tcPr>
          <w:p w14:paraId="4A6F37B0" w14:textId="77777777" w:rsidR="00661EA8" w:rsidRPr="00FC3B7C" w:rsidRDefault="00661EA8" w:rsidP="00244780">
            <w:pPr>
              <w:rPr>
                <w:sz w:val="10"/>
                <w:szCs w:val="10"/>
              </w:rPr>
            </w:pPr>
          </w:p>
        </w:tc>
        <w:tc>
          <w:tcPr>
            <w:tcW w:w="2240" w:type="dxa"/>
            <w:tcBorders>
              <w:bottom w:val="single" w:sz="8" w:space="0" w:color="4472C4"/>
            </w:tcBorders>
            <w:vAlign w:val="bottom"/>
          </w:tcPr>
          <w:p w14:paraId="4A6F37B1" w14:textId="77777777" w:rsidR="00661EA8" w:rsidRPr="00FC3B7C" w:rsidRDefault="00661EA8" w:rsidP="00244780">
            <w:pPr>
              <w:rPr>
                <w:sz w:val="10"/>
                <w:szCs w:val="10"/>
              </w:rPr>
            </w:pPr>
          </w:p>
        </w:tc>
        <w:tc>
          <w:tcPr>
            <w:tcW w:w="20" w:type="dxa"/>
            <w:tcBorders>
              <w:bottom w:val="single" w:sz="8" w:space="0" w:color="4472C4"/>
            </w:tcBorders>
            <w:vAlign w:val="bottom"/>
          </w:tcPr>
          <w:p w14:paraId="4A6F37B2" w14:textId="77777777" w:rsidR="00661EA8" w:rsidRPr="00FC3B7C" w:rsidRDefault="00661EA8" w:rsidP="00244780">
            <w:pPr>
              <w:rPr>
                <w:sz w:val="10"/>
                <w:szCs w:val="10"/>
              </w:rPr>
            </w:pPr>
          </w:p>
        </w:tc>
        <w:tc>
          <w:tcPr>
            <w:tcW w:w="1400" w:type="dxa"/>
            <w:tcBorders>
              <w:bottom w:val="single" w:sz="8" w:space="0" w:color="4472C4"/>
            </w:tcBorders>
            <w:vAlign w:val="bottom"/>
          </w:tcPr>
          <w:p w14:paraId="4A6F37B3" w14:textId="77777777" w:rsidR="00661EA8" w:rsidRPr="00FC3B7C" w:rsidRDefault="00661EA8" w:rsidP="00244780">
            <w:pPr>
              <w:rPr>
                <w:sz w:val="10"/>
                <w:szCs w:val="10"/>
              </w:rPr>
            </w:pPr>
          </w:p>
        </w:tc>
        <w:tc>
          <w:tcPr>
            <w:tcW w:w="860" w:type="dxa"/>
            <w:tcBorders>
              <w:bottom w:val="single" w:sz="8" w:space="0" w:color="4472C4"/>
            </w:tcBorders>
            <w:vAlign w:val="bottom"/>
          </w:tcPr>
          <w:p w14:paraId="4A6F37B4" w14:textId="77777777" w:rsidR="00661EA8" w:rsidRPr="00FC3B7C" w:rsidRDefault="00661EA8" w:rsidP="00244780">
            <w:pPr>
              <w:rPr>
                <w:sz w:val="10"/>
                <w:szCs w:val="10"/>
              </w:rPr>
            </w:pPr>
          </w:p>
        </w:tc>
        <w:tc>
          <w:tcPr>
            <w:tcW w:w="0" w:type="dxa"/>
            <w:vAlign w:val="bottom"/>
          </w:tcPr>
          <w:p w14:paraId="4A6F37B5" w14:textId="77777777" w:rsidR="00661EA8" w:rsidRPr="00FC3B7C" w:rsidRDefault="00661EA8" w:rsidP="00244780">
            <w:pPr>
              <w:rPr>
                <w:sz w:val="1"/>
                <w:szCs w:val="1"/>
              </w:rPr>
            </w:pPr>
          </w:p>
        </w:tc>
      </w:tr>
    </w:tbl>
    <w:p w14:paraId="4A6F37B7" w14:textId="77777777" w:rsidR="00661EA8" w:rsidRPr="00FC3B7C" w:rsidRDefault="00661EA8" w:rsidP="00661EA8">
      <w:pPr>
        <w:spacing w:line="20" w:lineRule="exact"/>
        <w:rPr>
          <w:sz w:val="20"/>
          <w:szCs w:val="20"/>
        </w:rPr>
      </w:pPr>
      <w:r w:rsidRPr="00FC3B7C">
        <w:rPr>
          <w:noProof/>
          <w:sz w:val="20"/>
          <w:szCs w:val="20"/>
        </w:rPr>
        <w:drawing>
          <wp:anchor distT="0" distB="0" distL="114300" distR="114300" simplePos="0" relativeHeight="251687424" behindDoc="1" locked="0" layoutInCell="0" allowOverlap="1" wp14:anchorId="4A6F5C9A" wp14:editId="43703A64">
            <wp:simplePos x="0" y="0"/>
            <wp:positionH relativeFrom="column">
              <wp:posOffset>-1905</wp:posOffset>
            </wp:positionH>
            <wp:positionV relativeFrom="paragraph">
              <wp:posOffset>-826135</wp:posOffset>
            </wp:positionV>
            <wp:extent cx="5782945" cy="29972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6"/>
                    <a:srcRect/>
                    <a:stretch>
                      <a:fillRect/>
                    </a:stretch>
                  </pic:blipFill>
                  <pic:spPr bwMode="auto">
                    <a:xfrm>
                      <a:off x="0" y="0"/>
                      <a:ext cx="5782945" cy="299720"/>
                    </a:xfrm>
                    <a:prstGeom prst="rect">
                      <a:avLst/>
                    </a:prstGeom>
                    <a:noFill/>
                  </pic:spPr>
                </pic:pic>
              </a:graphicData>
            </a:graphic>
          </wp:anchor>
        </w:drawing>
      </w:r>
      <w:r w:rsidRPr="00FC3B7C">
        <w:rPr>
          <w:noProof/>
          <w:sz w:val="20"/>
          <w:szCs w:val="20"/>
        </w:rPr>
        <w:drawing>
          <wp:anchor distT="0" distB="0" distL="114300" distR="114300" simplePos="0" relativeHeight="251693568" behindDoc="1" locked="0" layoutInCell="0" allowOverlap="1" wp14:anchorId="4A6F5C9C" wp14:editId="437CF129">
            <wp:simplePos x="0" y="0"/>
            <wp:positionH relativeFrom="column">
              <wp:posOffset>-1905</wp:posOffset>
            </wp:positionH>
            <wp:positionV relativeFrom="paragraph">
              <wp:posOffset>-289560</wp:posOffset>
            </wp:positionV>
            <wp:extent cx="5782945" cy="30289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9"/>
                    <a:srcRect/>
                    <a:stretch>
                      <a:fillRect/>
                    </a:stretch>
                  </pic:blipFill>
                  <pic:spPr bwMode="auto">
                    <a:xfrm>
                      <a:off x="0" y="0"/>
                      <a:ext cx="5782945" cy="302895"/>
                    </a:xfrm>
                    <a:prstGeom prst="rect">
                      <a:avLst/>
                    </a:prstGeom>
                    <a:noFill/>
                  </pic:spPr>
                </pic:pic>
              </a:graphicData>
            </a:graphic>
          </wp:anchor>
        </w:drawing>
      </w:r>
    </w:p>
    <w:p w14:paraId="4A6F37B8" w14:textId="77777777" w:rsidR="00661EA8" w:rsidRPr="00FC3B7C" w:rsidRDefault="00661EA8" w:rsidP="00661EA8">
      <w:pPr>
        <w:ind w:left="20"/>
        <w:rPr>
          <w:sz w:val="20"/>
          <w:szCs w:val="20"/>
        </w:rPr>
      </w:pPr>
      <w:r w:rsidRPr="00FC3B7C">
        <w:rPr>
          <w:rFonts w:eastAsia="Times New Roman"/>
          <w:sz w:val="20"/>
          <w:szCs w:val="20"/>
        </w:rPr>
        <w:t>Zdroj: Základní úrokové sazby, ČNB</w:t>
      </w:r>
    </w:p>
    <w:p w14:paraId="4A6F37B9" w14:textId="77777777" w:rsidR="00661EA8" w:rsidRPr="00FC3B7C" w:rsidRDefault="00661EA8" w:rsidP="00661EA8">
      <w:pPr>
        <w:spacing w:line="91" w:lineRule="exact"/>
        <w:rPr>
          <w:sz w:val="20"/>
          <w:szCs w:val="20"/>
        </w:rPr>
      </w:pPr>
    </w:p>
    <w:p w14:paraId="4A6F37BA" w14:textId="77777777" w:rsidR="007A1445" w:rsidRDefault="007A1445" w:rsidP="00661EA8">
      <w:pPr>
        <w:ind w:left="20"/>
        <w:rPr>
          <w:rFonts w:eastAsia="Times New Roman"/>
          <w:b/>
          <w:bCs/>
          <w:i/>
          <w:iCs/>
          <w:szCs w:val="24"/>
        </w:rPr>
      </w:pPr>
    </w:p>
    <w:p w14:paraId="4A6F37BB" w14:textId="77777777" w:rsidR="007A1445" w:rsidRDefault="007A1445" w:rsidP="00661EA8">
      <w:pPr>
        <w:ind w:left="20"/>
        <w:rPr>
          <w:rFonts w:eastAsia="Times New Roman"/>
          <w:b/>
          <w:bCs/>
          <w:i/>
          <w:iCs/>
          <w:szCs w:val="24"/>
        </w:rPr>
      </w:pPr>
    </w:p>
    <w:p w14:paraId="4A6F37BC" w14:textId="77777777" w:rsidR="00B80D64" w:rsidRDefault="00B80D64">
      <w:pPr>
        <w:spacing w:line="240" w:lineRule="auto"/>
        <w:jc w:val="left"/>
        <w:rPr>
          <w:rFonts w:eastAsia="Times New Roman"/>
          <w:b/>
          <w:bCs/>
          <w:i/>
          <w:iCs/>
          <w:szCs w:val="24"/>
        </w:rPr>
      </w:pPr>
      <w:r>
        <w:rPr>
          <w:rFonts w:eastAsia="Times New Roman"/>
          <w:b/>
          <w:bCs/>
          <w:i/>
          <w:iCs/>
          <w:szCs w:val="24"/>
        </w:rPr>
        <w:br w:type="page"/>
      </w:r>
    </w:p>
    <w:p w14:paraId="4A6F37BD" w14:textId="77777777" w:rsidR="00661EA8" w:rsidRPr="00FC3B7C" w:rsidRDefault="00661EA8" w:rsidP="00661EA8">
      <w:pPr>
        <w:ind w:left="20"/>
        <w:rPr>
          <w:sz w:val="20"/>
          <w:szCs w:val="20"/>
        </w:rPr>
      </w:pPr>
      <w:r w:rsidRPr="00FC3B7C">
        <w:rPr>
          <w:rFonts w:eastAsia="Times New Roman"/>
          <w:b/>
          <w:bCs/>
          <w:i/>
          <w:iCs/>
          <w:szCs w:val="24"/>
        </w:rPr>
        <w:lastRenderedPageBreak/>
        <w:t>Pozitivní faktory české ekonomiky při vypořádání se s krizí:</w:t>
      </w:r>
    </w:p>
    <w:p w14:paraId="4A6F37BE" w14:textId="77777777" w:rsidR="00661EA8" w:rsidRPr="00FC3B7C" w:rsidRDefault="00661EA8" w:rsidP="00661EA8">
      <w:pPr>
        <w:spacing w:line="157" w:lineRule="exact"/>
        <w:rPr>
          <w:sz w:val="20"/>
          <w:szCs w:val="20"/>
        </w:rPr>
      </w:pPr>
    </w:p>
    <w:p w14:paraId="4A6F37BF" w14:textId="77777777" w:rsidR="00661EA8" w:rsidRPr="007A1445" w:rsidRDefault="00661EA8" w:rsidP="00D46B53">
      <w:pPr>
        <w:numPr>
          <w:ilvl w:val="0"/>
          <w:numId w:val="155"/>
        </w:numPr>
        <w:tabs>
          <w:tab w:val="left" w:pos="1440"/>
        </w:tabs>
        <w:ind w:left="1440" w:hanging="366"/>
        <w:rPr>
          <w:rFonts w:eastAsia="Arial"/>
          <w:szCs w:val="24"/>
        </w:rPr>
      </w:pPr>
      <w:r w:rsidRPr="00FC3B7C">
        <w:rPr>
          <w:rFonts w:eastAsia="Times New Roman"/>
          <w:szCs w:val="24"/>
        </w:rPr>
        <w:t>Zdravý finanční sektor</w:t>
      </w:r>
    </w:p>
    <w:p w14:paraId="4A6F37C0" w14:textId="77777777" w:rsidR="00661EA8" w:rsidRPr="007A1445" w:rsidRDefault="00661EA8" w:rsidP="00D46B53">
      <w:pPr>
        <w:numPr>
          <w:ilvl w:val="0"/>
          <w:numId w:val="155"/>
        </w:numPr>
        <w:tabs>
          <w:tab w:val="left" w:pos="1440"/>
        </w:tabs>
        <w:ind w:left="1440" w:hanging="366"/>
        <w:rPr>
          <w:rFonts w:eastAsia="Arial"/>
          <w:szCs w:val="24"/>
        </w:rPr>
      </w:pPr>
      <w:r w:rsidRPr="00FC3B7C">
        <w:rPr>
          <w:rFonts w:eastAsia="Times New Roman"/>
          <w:szCs w:val="24"/>
        </w:rPr>
        <w:t>Nízké vnější zadlužení</w:t>
      </w:r>
    </w:p>
    <w:p w14:paraId="4A6F37C1" w14:textId="77777777" w:rsidR="00661EA8" w:rsidRPr="007A1445" w:rsidRDefault="00661EA8" w:rsidP="00D46B53">
      <w:pPr>
        <w:numPr>
          <w:ilvl w:val="0"/>
          <w:numId w:val="155"/>
        </w:numPr>
        <w:tabs>
          <w:tab w:val="left" w:pos="1440"/>
        </w:tabs>
        <w:ind w:left="1440" w:hanging="366"/>
        <w:rPr>
          <w:rFonts w:eastAsia="Arial"/>
          <w:szCs w:val="24"/>
        </w:rPr>
      </w:pPr>
      <w:r w:rsidRPr="00FC3B7C">
        <w:rPr>
          <w:rFonts w:eastAsia="Times New Roman"/>
          <w:szCs w:val="24"/>
        </w:rPr>
        <w:t>Dlouhodobě nízká inflace a nízko ukotvená inflační očekávání</w:t>
      </w:r>
    </w:p>
    <w:p w14:paraId="4A6F37C2" w14:textId="77777777" w:rsidR="00661EA8" w:rsidRPr="007A1445" w:rsidRDefault="00661EA8" w:rsidP="00D46B53">
      <w:pPr>
        <w:numPr>
          <w:ilvl w:val="0"/>
          <w:numId w:val="155"/>
        </w:numPr>
        <w:tabs>
          <w:tab w:val="left" w:pos="1440"/>
        </w:tabs>
        <w:ind w:left="1440" w:hanging="366"/>
        <w:rPr>
          <w:rFonts w:eastAsia="Arial"/>
          <w:szCs w:val="24"/>
        </w:rPr>
      </w:pPr>
      <w:r w:rsidRPr="00FC3B7C">
        <w:rPr>
          <w:rFonts w:eastAsia="Times New Roman"/>
          <w:szCs w:val="24"/>
        </w:rPr>
        <w:t>Poměrně nízké deficity veřejných financí</w:t>
      </w:r>
    </w:p>
    <w:p w14:paraId="4A6F37C3" w14:textId="77777777" w:rsidR="00661EA8" w:rsidRPr="00FC3B7C" w:rsidRDefault="00661EA8" w:rsidP="00D46B53">
      <w:pPr>
        <w:numPr>
          <w:ilvl w:val="0"/>
          <w:numId w:val="155"/>
        </w:numPr>
        <w:tabs>
          <w:tab w:val="left" w:pos="1440"/>
        </w:tabs>
        <w:ind w:left="1440" w:hanging="366"/>
        <w:rPr>
          <w:rFonts w:eastAsia="Arial"/>
          <w:szCs w:val="24"/>
        </w:rPr>
      </w:pPr>
      <w:r w:rsidRPr="00FC3B7C">
        <w:rPr>
          <w:rFonts w:eastAsia="Times New Roman"/>
          <w:szCs w:val="24"/>
        </w:rPr>
        <w:t>Pružný kurz</w:t>
      </w:r>
    </w:p>
    <w:p w14:paraId="4A6F37C4" w14:textId="77777777" w:rsidR="00661EA8" w:rsidRPr="00FC3B7C" w:rsidRDefault="00661EA8" w:rsidP="00661EA8">
      <w:pPr>
        <w:spacing w:line="336" w:lineRule="exact"/>
        <w:rPr>
          <w:sz w:val="20"/>
          <w:szCs w:val="20"/>
        </w:rPr>
      </w:pPr>
    </w:p>
    <w:p w14:paraId="4A6F37C5" w14:textId="77777777" w:rsidR="00661EA8" w:rsidRPr="00FC3B7C" w:rsidRDefault="00661EA8" w:rsidP="00661EA8">
      <w:pPr>
        <w:ind w:left="20"/>
        <w:rPr>
          <w:sz w:val="20"/>
          <w:szCs w:val="20"/>
        </w:rPr>
      </w:pPr>
      <w:r w:rsidRPr="00FC3B7C">
        <w:rPr>
          <w:rFonts w:eastAsia="Times New Roman"/>
          <w:b/>
          <w:bCs/>
          <w:i/>
          <w:iCs/>
          <w:szCs w:val="24"/>
        </w:rPr>
        <w:t>Negativní faktory české ekonomiky při vypořádání se s krizí:</w:t>
      </w:r>
    </w:p>
    <w:p w14:paraId="4A6F37C6" w14:textId="77777777" w:rsidR="00661EA8" w:rsidRPr="00FC3B7C" w:rsidRDefault="00661EA8" w:rsidP="00661EA8">
      <w:pPr>
        <w:spacing w:line="157" w:lineRule="exact"/>
        <w:rPr>
          <w:sz w:val="20"/>
          <w:szCs w:val="20"/>
        </w:rPr>
      </w:pPr>
    </w:p>
    <w:p w14:paraId="4A6F37C7" w14:textId="77777777" w:rsidR="00661EA8" w:rsidRPr="00FC3B7C" w:rsidRDefault="00661EA8" w:rsidP="00D46B53">
      <w:pPr>
        <w:numPr>
          <w:ilvl w:val="0"/>
          <w:numId w:val="156"/>
        </w:numPr>
        <w:tabs>
          <w:tab w:val="left" w:pos="1440"/>
        </w:tabs>
        <w:ind w:left="1440" w:hanging="366"/>
        <w:rPr>
          <w:rFonts w:eastAsia="Arial"/>
          <w:szCs w:val="24"/>
        </w:rPr>
      </w:pPr>
      <w:r w:rsidRPr="00FC3B7C">
        <w:rPr>
          <w:rFonts w:eastAsia="Times New Roman"/>
          <w:szCs w:val="24"/>
        </w:rPr>
        <w:t>Vysoký podíl čistých vývozů na HDP</w:t>
      </w:r>
    </w:p>
    <w:p w14:paraId="4A6F37C8" w14:textId="77777777" w:rsidR="00661EA8" w:rsidRPr="007A1445" w:rsidRDefault="00661EA8" w:rsidP="00D46B53">
      <w:pPr>
        <w:numPr>
          <w:ilvl w:val="0"/>
          <w:numId w:val="156"/>
        </w:numPr>
        <w:tabs>
          <w:tab w:val="left" w:pos="1440"/>
        </w:tabs>
        <w:ind w:left="1440" w:hanging="366"/>
        <w:rPr>
          <w:rFonts w:eastAsia="Arial"/>
          <w:szCs w:val="24"/>
        </w:rPr>
      </w:pPr>
      <w:r w:rsidRPr="00FC3B7C">
        <w:rPr>
          <w:rFonts w:eastAsia="Times New Roman"/>
          <w:szCs w:val="24"/>
        </w:rPr>
        <w:t>Vysoký podíl cyklicky citlivých oborů v ekonomice</w:t>
      </w:r>
    </w:p>
    <w:p w14:paraId="4A6F37C9" w14:textId="77777777" w:rsidR="00661EA8" w:rsidRPr="007A1445" w:rsidRDefault="00661EA8" w:rsidP="00D46B53">
      <w:pPr>
        <w:numPr>
          <w:ilvl w:val="0"/>
          <w:numId w:val="156"/>
        </w:numPr>
        <w:tabs>
          <w:tab w:val="left" w:pos="1440"/>
        </w:tabs>
        <w:ind w:left="1440" w:hanging="366"/>
        <w:rPr>
          <w:rFonts w:eastAsia="Arial"/>
          <w:szCs w:val="24"/>
        </w:rPr>
      </w:pPr>
      <w:r w:rsidRPr="00FC3B7C">
        <w:rPr>
          <w:rFonts w:eastAsia="Times New Roman"/>
          <w:szCs w:val="24"/>
        </w:rPr>
        <w:t>Nedostatečně pružný trh práce</w:t>
      </w:r>
    </w:p>
    <w:p w14:paraId="4A6F37CA" w14:textId="77777777" w:rsidR="00661EA8" w:rsidRPr="00FC3B7C" w:rsidRDefault="00661EA8" w:rsidP="00D46B53">
      <w:pPr>
        <w:numPr>
          <w:ilvl w:val="0"/>
          <w:numId w:val="156"/>
        </w:numPr>
        <w:tabs>
          <w:tab w:val="left" w:pos="1440"/>
        </w:tabs>
        <w:ind w:left="1440" w:hanging="366"/>
        <w:rPr>
          <w:rFonts w:eastAsia="Arial"/>
          <w:szCs w:val="24"/>
        </w:rPr>
      </w:pPr>
      <w:r w:rsidRPr="00FC3B7C">
        <w:rPr>
          <w:rFonts w:eastAsia="Times New Roman"/>
          <w:szCs w:val="24"/>
        </w:rPr>
        <w:t>Politická situace (udržovací vláda)</w:t>
      </w:r>
    </w:p>
    <w:p w14:paraId="4A6F37CB" w14:textId="77777777" w:rsidR="00661EA8" w:rsidRPr="00FC3B7C" w:rsidRDefault="00661EA8" w:rsidP="00661EA8">
      <w:pPr>
        <w:spacing w:line="344" w:lineRule="exact"/>
        <w:rPr>
          <w:sz w:val="20"/>
          <w:szCs w:val="20"/>
        </w:rPr>
      </w:pPr>
    </w:p>
    <w:p w14:paraId="4A6F37CC" w14:textId="77777777" w:rsidR="00661EA8" w:rsidRPr="00BA2AA0" w:rsidRDefault="00661EA8" w:rsidP="00D738E5">
      <w:pPr>
        <w:pStyle w:val="Nadpis3"/>
        <w:rPr>
          <w:color w:val="1F3864" w:themeColor="accent1" w:themeShade="80"/>
          <w:sz w:val="20"/>
          <w:szCs w:val="20"/>
        </w:rPr>
      </w:pPr>
      <w:r w:rsidRPr="00BA2AA0">
        <w:rPr>
          <w:rFonts w:eastAsia="Times New Roman"/>
          <w:color w:val="1F3864" w:themeColor="accent1" w:themeShade="80"/>
        </w:rPr>
        <w:t xml:space="preserve">Měnová </w:t>
      </w:r>
      <w:r w:rsidRPr="00BA2AA0">
        <w:rPr>
          <w:color w:val="1F3864" w:themeColor="accent1" w:themeShade="80"/>
        </w:rPr>
        <w:t>intervence</w:t>
      </w:r>
      <w:r w:rsidRPr="00BA2AA0">
        <w:rPr>
          <w:rFonts w:eastAsia="Times New Roman"/>
          <w:color w:val="1F3864" w:themeColor="accent1" w:themeShade="80"/>
        </w:rPr>
        <w:t xml:space="preserve"> 2013</w:t>
      </w:r>
    </w:p>
    <w:p w14:paraId="4A6F37CD" w14:textId="77777777" w:rsidR="00661EA8" w:rsidRDefault="00661EA8" w:rsidP="0007131F">
      <w:pPr>
        <w:ind w:firstLine="720"/>
        <w:rPr>
          <w:rFonts w:eastAsia="Times New Roman"/>
        </w:rPr>
      </w:pPr>
      <w:r w:rsidRPr="00FC3B7C">
        <w:rPr>
          <w:rFonts w:eastAsia="Times New Roman"/>
        </w:rPr>
        <w:t>Dne 7. listopadu 2013 ČNB rozhodla o použití měnové kurzu jako nástroje měnové politiky a tedy o zahájení devizových intervencí. Tento nástroj je pro Českou republiku, která je malou otevřenou ekonomikou s dlouhodobým přebytkem likvidity v bankovním sektoru, účinnější k uvolnění měnových podmínek než jiné nástroje. Měnová intervence se uskutečnila s cílem zabránit hrozící deflaci a dodržet tím stanovený inflační cíl. Jedním z důvodů pro použití měnové intervence je dlouhodobě velice nízká úroková míra.</w:t>
      </w:r>
      <w:r w:rsidRPr="00FC3B7C">
        <w:rPr>
          <w:sz w:val="20"/>
          <w:szCs w:val="20"/>
        </w:rPr>
        <w:t xml:space="preserve"> </w:t>
      </w:r>
      <w:r w:rsidRPr="00FC3B7C">
        <w:rPr>
          <w:rFonts w:eastAsia="Times New Roman"/>
        </w:rPr>
        <w:t>ČNB zdůrazňuje, že kurz koruny nestal novým cílem měnové politiky, ale pouze jejím nástrojem používaným v tuto chvíli k plnění inflačního cíle. O tom, že dalším případným nástrojem uvolnění měnové politiky po dosažení nulové spodní hranice úrokových sazeb bude kurz koruny, rozhodla bankovní rada již na podzim roku 2012.</w:t>
      </w:r>
    </w:p>
    <w:p w14:paraId="4A6F37CE" w14:textId="77777777" w:rsidR="007A1445" w:rsidRPr="00FC3B7C" w:rsidRDefault="007A1445" w:rsidP="00661EA8">
      <w:pPr>
        <w:spacing w:line="359" w:lineRule="auto"/>
        <w:ind w:left="20"/>
        <w:rPr>
          <w:sz w:val="20"/>
          <w:szCs w:val="20"/>
        </w:rPr>
      </w:pPr>
    </w:p>
    <w:p w14:paraId="4A6F37CF" w14:textId="77777777" w:rsidR="00661EA8" w:rsidRPr="00BA2AA0" w:rsidRDefault="00661EA8" w:rsidP="007A1445">
      <w:pPr>
        <w:pStyle w:val="Nadpis4"/>
        <w:rPr>
          <w:color w:val="1F3864" w:themeColor="accent1" w:themeShade="80"/>
          <w:sz w:val="20"/>
          <w:szCs w:val="20"/>
        </w:rPr>
      </w:pPr>
      <w:r w:rsidRPr="00BA2AA0">
        <w:rPr>
          <w:rFonts w:eastAsia="Times New Roman"/>
          <w:color w:val="1F3864" w:themeColor="accent1" w:themeShade="80"/>
        </w:rPr>
        <w:t>Provedení intervence</w:t>
      </w:r>
    </w:p>
    <w:p w14:paraId="4A6F37D0" w14:textId="77777777" w:rsidR="00661EA8" w:rsidRPr="00FC3B7C" w:rsidRDefault="00661EA8" w:rsidP="00661EA8">
      <w:pPr>
        <w:spacing w:line="167" w:lineRule="exact"/>
        <w:rPr>
          <w:sz w:val="20"/>
          <w:szCs w:val="20"/>
        </w:rPr>
      </w:pPr>
    </w:p>
    <w:p w14:paraId="4A6F37D1" w14:textId="77777777" w:rsidR="00661EA8" w:rsidRPr="00FC3B7C" w:rsidRDefault="00661EA8" w:rsidP="002759EF">
      <w:pPr>
        <w:ind w:firstLine="720"/>
        <w:rPr>
          <w:sz w:val="20"/>
          <w:szCs w:val="20"/>
        </w:rPr>
      </w:pPr>
      <w:r w:rsidRPr="00FC3B7C">
        <w:rPr>
          <w:rFonts w:eastAsia="Times New Roman"/>
        </w:rPr>
        <w:t>ČNB na základě pokynů Bankovní rady dle potřeby a podmínek na trhu nakupuje zahraniční měnu tak, aby dosáhla požadovaného uvolnění měnových podmínek. Na devizovém trhu bude ČNB intervenovat na oslabení kurzu koruny tak, aby udržovala kurz koruny vůči euru – v souladu s rozhodnutím bankovní rady – poblíž hladiny 27 CZK/EUR. ČNB zároveň brání Koruně, aby posilovala.</w:t>
      </w:r>
    </w:p>
    <w:p w14:paraId="4A6F37D2" w14:textId="77777777" w:rsidR="00661EA8" w:rsidRPr="00FC3B7C" w:rsidRDefault="00661EA8" w:rsidP="00661EA8">
      <w:pPr>
        <w:spacing w:line="198" w:lineRule="exact"/>
        <w:rPr>
          <w:sz w:val="20"/>
          <w:szCs w:val="20"/>
        </w:rPr>
      </w:pPr>
    </w:p>
    <w:p w14:paraId="4A6F37D3" w14:textId="77777777" w:rsidR="00661EA8" w:rsidRPr="00BA2AA0" w:rsidRDefault="00661EA8" w:rsidP="007A1445">
      <w:pPr>
        <w:pStyle w:val="Nadpis4"/>
        <w:rPr>
          <w:color w:val="1F3864" w:themeColor="accent1" w:themeShade="80"/>
          <w:sz w:val="20"/>
          <w:szCs w:val="20"/>
        </w:rPr>
      </w:pPr>
      <w:r w:rsidRPr="00BA2AA0">
        <w:rPr>
          <w:rFonts w:eastAsia="Times New Roman"/>
          <w:color w:val="1F3864" w:themeColor="accent1" w:themeShade="80"/>
        </w:rPr>
        <w:lastRenderedPageBreak/>
        <w:t>Důsledky intervence</w:t>
      </w:r>
    </w:p>
    <w:p w14:paraId="4A6F37D4" w14:textId="77777777" w:rsidR="00661EA8" w:rsidRPr="00FC3B7C" w:rsidRDefault="00661EA8" w:rsidP="00661EA8">
      <w:pPr>
        <w:spacing w:line="167" w:lineRule="exact"/>
        <w:rPr>
          <w:sz w:val="20"/>
          <w:szCs w:val="20"/>
        </w:rPr>
      </w:pPr>
    </w:p>
    <w:p w14:paraId="4A6F37D5" w14:textId="77777777" w:rsidR="00661EA8" w:rsidRPr="00FC3B7C" w:rsidRDefault="00661EA8" w:rsidP="0007131F">
      <w:pPr>
        <w:ind w:left="568" w:firstLine="720"/>
        <w:rPr>
          <w:sz w:val="20"/>
          <w:szCs w:val="20"/>
        </w:rPr>
      </w:pPr>
      <w:r w:rsidRPr="00FC3B7C">
        <w:rPr>
          <w:rFonts w:eastAsia="Times New Roman"/>
        </w:rPr>
        <w:t>Oslabení kurzu koruny vede zvýšení dovozních cen, a tím i celkové cenové hladiny ČR. V menší míře má podpořit i domácí ekonomickou aktivitu. Intervence se promítne nejen do oslabení koruny vůči euru, ale také koruny vůči ostatním měnám. Ve střednědobém horizontu intervence zlepší také hospodaření samotné ČNB, i když to není jejím prvotním cílem. Tím je péče o cenovou stabilitu země.</w:t>
      </w:r>
    </w:p>
    <w:p w14:paraId="4A6F37D6" w14:textId="77777777" w:rsidR="00661EA8" w:rsidRPr="00FC3B7C" w:rsidRDefault="00661EA8" w:rsidP="00661EA8">
      <w:pPr>
        <w:spacing w:line="4" w:lineRule="exact"/>
        <w:rPr>
          <w:sz w:val="20"/>
          <w:szCs w:val="20"/>
        </w:rPr>
      </w:pPr>
    </w:p>
    <w:p w14:paraId="4A6F37D7" w14:textId="77777777" w:rsidR="00661EA8" w:rsidRPr="00FC3B7C" w:rsidRDefault="00661EA8" w:rsidP="00661EA8">
      <w:pPr>
        <w:rPr>
          <w:sz w:val="20"/>
          <w:szCs w:val="20"/>
        </w:rPr>
      </w:pPr>
      <w:r w:rsidRPr="00FC3B7C">
        <w:rPr>
          <w:rFonts w:eastAsia="Times New Roman"/>
          <w:b/>
          <w:bCs/>
          <w:i/>
          <w:iCs/>
          <w:szCs w:val="24"/>
        </w:rPr>
        <w:t>Očekávaná pozitiva intervence</w:t>
      </w:r>
    </w:p>
    <w:p w14:paraId="4A6F37D8" w14:textId="77777777" w:rsidR="00661EA8" w:rsidRPr="00FC3B7C" w:rsidRDefault="00661EA8" w:rsidP="00661EA8">
      <w:pPr>
        <w:spacing w:line="157" w:lineRule="exact"/>
        <w:rPr>
          <w:sz w:val="20"/>
          <w:szCs w:val="20"/>
        </w:rPr>
      </w:pPr>
    </w:p>
    <w:p w14:paraId="4A6F37D9" w14:textId="77777777" w:rsidR="00661EA8" w:rsidRPr="00FC3B7C" w:rsidRDefault="00661EA8" w:rsidP="00D46B53">
      <w:pPr>
        <w:numPr>
          <w:ilvl w:val="0"/>
          <w:numId w:val="157"/>
        </w:numPr>
        <w:tabs>
          <w:tab w:val="left" w:pos="1420"/>
        </w:tabs>
        <w:spacing w:line="366" w:lineRule="auto"/>
        <w:ind w:left="1420" w:hanging="366"/>
        <w:rPr>
          <w:rFonts w:eastAsia="Arial"/>
          <w:szCs w:val="24"/>
        </w:rPr>
      </w:pPr>
      <w:r w:rsidRPr="00FC3B7C">
        <w:rPr>
          <w:rFonts w:eastAsia="Times New Roman"/>
          <w:szCs w:val="24"/>
        </w:rPr>
        <w:t>Podpoření českého exportu a zvýšení konkurenceschopnosti českých podniků a jejich ochoty investovat</w:t>
      </w:r>
    </w:p>
    <w:p w14:paraId="4A6F37DA" w14:textId="77777777" w:rsidR="00661EA8" w:rsidRPr="00FC3B7C" w:rsidRDefault="00661EA8" w:rsidP="00661EA8">
      <w:pPr>
        <w:spacing w:line="1" w:lineRule="exact"/>
        <w:rPr>
          <w:rFonts w:eastAsia="Arial"/>
          <w:szCs w:val="24"/>
        </w:rPr>
      </w:pPr>
    </w:p>
    <w:p w14:paraId="4A6F37DB" w14:textId="77777777" w:rsidR="00661EA8" w:rsidRPr="007A1445" w:rsidRDefault="00661EA8" w:rsidP="00D46B53">
      <w:pPr>
        <w:numPr>
          <w:ilvl w:val="0"/>
          <w:numId w:val="157"/>
        </w:numPr>
        <w:tabs>
          <w:tab w:val="left" w:pos="1420"/>
        </w:tabs>
        <w:ind w:left="1420" w:hanging="366"/>
        <w:rPr>
          <w:rFonts w:eastAsia="Arial"/>
          <w:szCs w:val="24"/>
        </w:rPr>
      </w:pPr>
      <w:r w:rsidRPr="00FC3B7C">
        <w:rPr>
          <w:rFonts w:eastAsia="Times New Roman"/>
          <w:szCs w:val="24"/>
        </w:rPr>
        <w:t>Oživení výroby má přispět k nárůstu zaměstnanosti a mezd</w:t>
      </w:r>
    </w:p>
    <w:p w14:paraId="4A6F37DC" w14:textId="77777777" w:rsidR="00661EA8" w:rsidRPr="007A1445" w:rsidRDefault="00661EA8" w:rsidP="00D46B53">
      <w:pPr>
        <w:numPr>
          <w:ilvl w:val="0"/>
          <w:numId w:val="157"/>
        </w:numPr>
        <w:tabs>
          <w:tab w:val="left" w:pos="1420"/>
        </w:tabs>
        <w:ind w:left="1420" w:hanging="366"/>
        <w:rPr>
          <w:rFonts w:eastAsia="Arial"/>
          <w:szCs w:val="24"/>
        </w:rPr>
      </w:pPr>
      <w:r w:rsidRPr="00FC3B7C">
        <w:rPr>
          <w:rFonts w:eastAsia="Times New Roman"/>
          <w:szCs w:val="24"/>
        </w:rPr>
        <w:t>V konečném důsledku by se měla zvýšit i kupní síla domácností</w:t>
      </w:r>
    </w:p>
    <w:p w14:paraId="4A6F37DD" w14:textId="77777777" w:rsidR="00661EA8" w:rsidRPr="00FC3B7C" w:rsidRDefault="00661EA8" w:rsidP="00D46B53">
      <w:pPr>
        <w:numPr>
          <w:ilvl w:val="0"/>
          <w:numId w:val="157"/>
        </w:numPr>
        <w:tabs>
          <w:tab w:val="left" w:pos="1420"/>
        </w:tabs>
        <w:spacing w:line="366" w:lineRule="auto"/>
        <w:ind w:left="1420" w:hanging="366"/>
        <w:rPr>
          <w:rFonts w:eastAsia="Arial"/>
          <w:szCs w:val="24"/>
        </w:rPr>
      </w:pPr>
      <w:r w:rsidRPr="00FC3B7C">
        <w:rPr>
          <w:rFonts w:eastAsia="Times New Roman"/>
          <w:szCs w:val="24"/>
        </w:rPr>
        <w:t>Zdražení dovozu povede k částečnému přesměrování poptávky na domácí zboží a služby</w:t>
      </w:r>
    </w:p>
    <w:p w14:paraId="4A6F37DE" w14:textId="77777777" w:rsidR="00661EA8" w:rsidRPr="00FC3B7C" w:rsidRDefault="00661EA8" w:rsidP="00661EA8">
      <w:pPr>
        <w:spacing w:line="1" w:lineRule="exact"/>
        <w:rPr>
          <w:rFonts w:eastAsia="Arial"/>
          <w:szCs w:val="24"/>
        </w:rPr>
      </w:pPr>
    </w:p>
    <w:p w14:paraId="4A6F37DF" w14:textId="77777777" w:rsidR="00661EA8" w:rsidRPr="00FC3B7C" w:rsidRDefault="00661EA8" w:rsidP="00D46B53">
      <w:pPr>
        <w:numPr>
          <w:ilvl w:val="0"/>
          <w:numId w:val="157"/>
        </w:numPr>
        <w:tabs>
          <w:tab w:val="left" w:pos="1420"/>
        </w:tabs>
        <w:ind w:left="1420" w:hanging="366"/>
        <w:rPr>
          <w:rFonts w:eastAsia="Arial"/>
          <w:szCs w:val="24"/>
        </w:rPr>
      </w:pPr>
      <w:r w:rsidRPr="00FC3B7C">
        <w:rPr>
          <w:rFonts w:eastAsia="Times New Roman"/>
          <w:szCs w:val="24"/>
        </w:rPr>
        <w:t>Nižší reálná úroková míra v důsledku zvýšení inflačních očekávání</w:t>
      </w:r>
    </w:p>
    <w:p w14:paraId="4A6F37E0" w14:textId="77777777" w:rsidR="00661EA8" w:rsidRPr="00FC3B7C" w:rsidRDefault="00661EA8" w:rsidP="00661EA8">
      <w:pPr>
        <w:ind w:left="4"/>
        <w:rPr>
          <w:rFonts w:eastAsia="Times New Roman"/>
          <w:b/>
          <w:bCs/>
          <w:i/>
          <w:iCs/>
          <w:szCs w:val="24"/>
        </w:rPr>
      </w:pPr>
      <w:bookmarkStart w:id="169" w:name="page170"/>
      <w:bookmarkEnd w:id="169"/>
    </w:p>
    <w:p w14:paraId="4A6F37E1" w14:textId="77777777" w:rsidR="00661EA8" w:rsidRPr="00FC3B7C" w:rsidRDefault="00661EA8" w:rsidP="00661EA8">
      <w:pPr>
        <w:ind w:left="4"/>
        <w:rPr>
          <w:sz w:val="20"/>
          <w:szCs w:val="20"/>
        </w:rPr>
      </w:pPr>
      <w:r w:rsidRPr="00FC3B7C">
        <w:rPr>
          <w:rFonts w:eastAsia="Times New Roman"/>
          <w:b/>
          <w:bCs/>
          <w:i/>
          <w:iCs/>
          <w:szCs w:val="24"/>
        </w:rPr>
        <w:t>Očekávaná negativa intervence</w:t>
      </w:r>
    </w:p>
    <w:p w14:paraId="4A6F37E2" w14:textId="77777777" w:rsidR="00661EA8" w:rsidRPr="00FC3B7C" w:rsidRDefault="00661EA8" w:rsidP="00661EA8">
      <w:pPr>
        <w:spacing w:line="157" w:lineRule="exact"/>
        <w:rPr>
          <w:sz w:val="20"/>
          <w:szCs w:val="20"/>
        </w:rPr>
      </w:pPr>
    </w:p>
    <w:p w14:paraId="4A6F37E3" w14:textId="77777777" w:rsidR="00661EA8" w:rsidRPr="00FC3B7C" w:rsidRDefault="00661EA8" w:rsidP="00D46B53">
      <w:pPr>
        <w:numPr>
          <w:ilvl w:val="0"/>
          <w:numId w:val="158"/>
        </w:numPr>
        <w:tabs>
          <w:tab w:val="left" w:pos="1424"/>
        </w:tabs>
        <w:spacing w:line="348" w:lineRule="auto"/>
        <w:ind w:left="1424" w:right="40" w:hanging="366"/>
        <w:rPr>
          <w:rFonts w:eastAsia="Arial"/>
          <w:szCs w:val="24"/>
        </w:rPr>
      </w:pPr>
      <w:r w:rsidRPr="00FC3B7C">
        <w:rPr>
          <w:rFonts w:eastAsia="Times New Roman"/>
          <w:szCs w:val="24"/>
        </w:rPr>
        <w:t>Inflace přerozděluje bohatství, zejména to platí mezi dlužníky a věřiteli. V konečném důsledku inflace snižuje i dluh státu a zároveň dochází k poklesu hodnoty úspor. Během jediného dne po intervenci české domácnosti zchudly téměř o 76 mld. Kč.</w:t>
      </w:r>
    </w:p>
    <w:p w14:paraId="4A6F37E4" w14:textId="77777777" w:rsidR="00661EA8" w:rsidRPr="00FC3B7C" w:rsidRDefault="00661EA8" w:rsidP="00661EA8">
      <w:pPr>
        <w:spacing w:line="4" w:lineRule="exact"/>
        <w:rPr>
          <w:rFonts w:eastAsia="Arial"/>
          <w:szCs w:val="24"/>
        </w:rPr>
      </w:pPr>
    </w:p>
    <w:p w14:paraId="4A6F37E5" w14:textId="77777777" w:rsidR="00661EA8" w:rsidRPr="00FC3B7C" w:rsidRDefault="00661EA8" w:rsidP="00D46B53">
      <w:pPr>
        <w:numPr>
          <w:ilvl w:val="0"/>
          <w:numId w:val="158"/>
        </w:numPr>
        <w:tabs>
          <w:tab w:val="left" w:pos="1424"/>
        </w:tabs>
        <w:spacing w:line="343" w:lineRule="auto"/>
        <w:ind w:left="1424" w:right="40" w:hanging="366"/>
        <w:rPr>
          <w:rFonts w:eastAsia="Arial"/>
          <w:szCs w:val="24"/>
        </w:rPr>
      </w:pPr>
      <w:r w:rsidRPr="00FC3B7C">
        <w:rPr>
          <w:rFonts w:eastAsia="Times New Roman"/>
          <w:szCs w:val="24"/>
        </w:rPr>
        <w:t>Odpůrci intervence uvádějí, že cenová deflace sama o sobě není hrozbou pro hospodářský růst. Deflace by musela být doprovázena bankovní krizí, kterou ovšem české banky netrpí.</w:t>
      </w:r>
    </w:p>
    <w:p w14:paraId="4A6F37E6" w14:textId="77777777" w:rsidR="00661EA8" w:rsidRPr="00FC3B7C" w:rsidRDefault="00661EA8" w:rsidP="00661EA8">
      <w:pPr>
        <w:spacing w:line="2" w:lineRule="exact"/>
        <w:rPr>
          <w:rFonts w:eastAsia="Arial"/>
          <w:szCs w:val="24"/>
        </w:rPr>
      </w:pPr>
    </w:p>
    <w:p w14:paraId="4A6F37E7" w14:textId="77777777" w:rsidR="00661EA8" w:rsidRPr="00FC3B7C" w:rsidRDefault="00661EA8" w:rsidP="00D46B53">
      <w:pPr>
        <w:numPr>
          <w:ilvl w:val="0"/>
          <w:numId w:val="158"/>
        </w:numPr>
        <w:tabs>
          <w:tab w:val="left" w:pos="1424"/>
        </w:tabs>
        <w:spacing w:line="344" w:lineRule="auto"/>
        <w:ind w:left="1424" w:right="40" w:hanging="366"/>
        <w:rPr>
          <w:rFonts w:eastAsia="Arial"/>
          <w:szCs w:val="24"/>
        </w:rPr>
      </w:pPr>
      <w:r w:rsidRPr="00FC3B7C">
        <w:rPr>
          <w:rFonts w:eastAsia="Times New Roman"/>
          <w:szCs w:val="24"/>
        </w:rPr>
        <w:t>ČNB sice své kroky podle některých komentátorů naznačovala delší dobu, přesto ale podcenila komunikaci a intervenci byla pro veřejnost nečekaná. Tím pravděpodobně alespoň částečně ztratí na své důvěryhodnosti.</w:t>
      </w:r>
    </w:p>
    <w:p w14:paraId="4A6F37E8" w14:textId="77777777" w:rsidR="00661EA8" w:rsidRPr="00FC3B7C" w:rsidRDefault="00661EA8" w:rsidP="00661EA8">
      <w:pPr>
        <w:spacing w:line="3" w:lineRule="exact"/>
        <w:rPr>
          <w:rFonts w:eastAsia="Arial"/>
          <w:szCs w:val="24"/>
        </w:rPr>
      </w:pPr>
    </w:p>
    <w:p w14:paraId="4A6F37E9" w14:textId="77777777" w:rsidR="00661EA8" w:rsidRPr="007A1445" w:rsidRDefault="00661EA8" w:rsidP="00D46B53">
      <w:pPr>
        <w:numPr>
          <w:ilvl w:val="0"/>
          <w:numId w:val="158"/>
        </w:numPr>
        <w:tabs>
          <w:tab w:val="left" w:pos="1424"/>
        </w:tabs>
        <w:ind w:left="1424" w:hanging="366"/>
        <w:rPr>
          <w:rFonts w:eastAsia="Arial"/>
          <w:szCs w:val="24"/>
        </w:rPr>
      </w:pPr>
      <w:r w:rsidRPr="00FC3B7C">
        <w:rPr>
          <w:rFonts w:eastAsia="Times New Roman"/>
          <w:szCs w:val="24"/>
        </w:rPr>
        <w:t>Stimulace exportu bude mít podle očekávání jen krátkodobý efekt.</w:t>
      </w:r>
    </w:p>
    <w:p w14:paraId="4A6F37EA" w14:textId="77777777" w:rsidR="00661EA8" w:rsidRPr="00FC3B7C" w:rsidRDefault="00661EA8" w:rsidP="00D46B53">
      <w:pPr>
        <w:numPr>
          <w:ilvl w:val="0"/>
          <w:numId w:val="158"/>
        </w:numPr>
        <w:tabs>
          <w:tab w:val="left" w:pos="1424"/>
        </w:tabs>
        <w:ind w:left="1424" w:hanging="366"/>
        <w:rPr>
          <w:rFonts w:eastAsia="Arial"/>
          <w:szCs w:val="24"/>
        </w:rPr>
      </w:pPr>
      <w:r w:rsidRPr="00FC3B7C">
        <w:rPr>
          <w:rFonts w:eastAsia="Times New Roman"/>
          <w:szCs w:val="24"/>
        </w:rPr>
        <w:t>Zvýšení spotřeby nezajistí hospodářský růst.</w:t>
      </w:r>
    </w:p>
    <w:p w14:paraId="4A6F37EB" w14:textId="77777777" w:rsidR="00661EA8" w:rsidRPr="00FC3B7C" w:rsidRDefault="00661EA8" w:rsidP="00D46B53">
      <w:pPr>
        <w:numPr>
          <w:ilvl w:val="0"/>
          <w:numId w:val="158"/>
        </w:numPr>
        <w:tabs>
          <w:tab w:val="left" w:pos="1424"/>
        </w:tabs>
        <w:ind w:left="1424" w:hanging="366"/>
        <w:rPr>
          <w:rFonts w:eastAsia="Arial"/>
          <w:szCs w:val="24"/>
        </w:rPr>
      </w:pPr>
      <w:r w:rsidRPr="00FC3B7C">
        <w:rPr>
          <w:rFonts w:eastAsia="Times New Roman"/>
          <w:szCs w:val="24"/>
        </w:rPr>
        <w:t>Pro firmy to opět znamená pokles stability ekonomiky.</w:t>
      </w:r>
    </w:p>
    <w:p w14:paraId="4A6F37EC" w14:textId="77777777" w:rsidR="00661EA8" w:rsidRPr="00FC3B7C" w:rsidRDefault="00661EA8" w:rsidP="00661EA8">
      <w:pPr>
        <w:spacing w:line="292" w:lineRule="exact"/>
        <w:rPr>
          <w:sz w:val="20"/>
          <w:szCs w:val="20"/>
        </w:rPr>
      </w:pPr>
    </w:p>
    <w:p w14:paraId="4A6F37ED" w14:textId="77777777" w:rsidR="00661EA8" w:rsidRPr="00FC3B7C" w:rsidRDefault="00661EA8" w:rsidP="00661EA8">
      <w:pPr>
        <w:ind w:left="1084"/>
        <w:rPr>
          <w:rFonts w:eastAsia="Arial"/>
          <w:color w:val="C00000"/>
          <w:szCs w:val="24"/>
        </w:rPr>
      </w:pPr>
    </w:p>
    <w:p w14:paraId="4A6F37EE" w14:textId="77777777" w:rsidR="00661EA8" w:rsidRPr="00FC3B7C" w:rsidRDefault="00661EA8" w:rsidP="00661EA8">
      <w:pPr>
        <w:spacing w:line="20" w:lineRule="exact"/>
        <w:rPr>
          <w:sz w:val="20"/>
          <w:szCs w:val="20"/>
        </w:rPr>
      </w:pPr>
    </w:p>
    <w:p w14:paraId="4A6F37EF" w14:textId="77777777" w:rsidR="00661EA8" w:rsidRPr="00FC3B7C" w:rsidRDefault="00661EA8" w:rsidP="00661EA8">
      <w:pPr>
        <w:spacing w:line="200" w:lineRule="exact"/>
        <w:rPr>
          <w:sz w:val="20"/>
          <w:szCs w:val="20"/>
        </w:rPr>
      </w:pPr>
    </w:p>
    <w:p w14:paraId="4A6F37F0" w14:textId="77777777" w:rsidR="00661EA8" w:rsidRPr="00FC3B7C" w:rsidRDefault="00661EA8" w:rsidP="00661EA8">
      <w:pPr>
        <w:spacing w:line="200" w:lineRule="exact"/>
        <w:rPr>
          <w:sz w:val="20"/>
          <w:szCs w:val="20"/>
        </w:rPr>
      </w:pPr>
    </w:p>
    <w:p w14:paraId="4A6F37F1" w14:textId="77777777" w:rsidR="00661EA8" w:rsidRPr="004B6CDE" w:rsidRDefault="00661EA8" w:rsidP="00D738E5">
      <w:pPr>
        <w:pStyle w:val="Nadpis2"/>
        <w:rPr>
          <w:color w:val="1F3864" w:themeColor="accent1" w:themeShade="80"/>
          <w:sz w:val="20"/>
          <w:szCs w:val="20"/>
        </w:rPr>
      </w:pPr>
      <w:bookmarkStart w:id="170" w:name="page171"/>
      <w:bookmarkEnd w:id="170"/>
      <w:r w:rsidRPr="004B6CDE">
        <w:rPr>
          <w:color w:val="1F3864" w:themeColor="accent1" w:themeShade="80"/>
          <w:sz w:val="20"/>
          <w:szCs w:val="20"/>
        </w:rPr>
        <w:lastRenderedPageBreak/>
        <w:tab/>
      </w:r>
      <w:r w:rsidRPr="004B6CDE">
        <w:rPr>
          <w:rFonts w:eastAsia="Times New Roman"/>
          <w:color w:val="1F3864" w:themeColor="accent1" w:themeShade="80"/>
        </w:rPr>
        <w:t xml:space="preserve">DISKUZE NAD </w:t>
      </w:r>
      <w:r w:rsidRPr="004B6CDE">
        <w:rPr>
          <w:color w:val="1F3864" w:themeColor="accent1" w:themeShade="80"/>
        </w:rPr>
        <w:t>VSTUPEM</w:t>
      </w:r>
      <w:r w:rsidRPr="004B6CDE">
        <w:rPr>
          <w:rFonts w:eastAsia="Times New Roman"/>
          <w:color w:val="1F3864" w:themeColor="accent1" w:themeShade="80"/>
        </w:rPr>
        <w:t xml:space="preserve"> ČR DO EUROZÓNY</w:t>
      </w:r>
    </w:p>
    <w:p w14:paraId="4A6F37F2" w14:textId="77777777" w:rsidR="00661EA8" w:rsidRPr="00FC3B7C" w:rsidRDefault="00661EA8" w:rsidP="00661EA8">
      <w:pPr>
        <w:spacing w:line="200" w:lineRule="exact"/>
        <w:rPr>
          <w:sz w:val="20"/>
          <w:szCs w:val="20"/>
        </w:rPr>
      </w:pPr>
    </w:p>
    <w:p w14:paraId="4A6F37F3" w14:textId="77777777" w:rsidR="00661EA8" w:rsidRPr="00FC3B7C" w:rsidRDefault="00661EA8" w:rsidP="00661EA8">
      <w:pPr>
        <w:spacing w:line="232" w:lineRule="exact"/>
        <w:rPr>
          <w:sz w:val="20"/>
          <w:szCs w:val="20"/>
        </w:rPr>
      </w:pPr>
    </w:p>
    <w:p w14:paraId="4A6F37F4" w14:textId="77777777" w:rsidR="00661EA8" w:rsidRPr="00FC3B7C" w:rsidRDefault="00661EA8" w:rsidP="0007131F">
      <w:pPr>
        <w:ind w:left="4" w:right="20" w:firstLine="716"/>
        <w:rPr>
          <w:sz w:val="20"/>
          <w:szCs w:val="20"/>
        </w:rPr>
      </w:pPr>
      <w:r w:rsidRPr="00FC3B7C">
        <w:rPr>
          <w:rFonts w:eastAsia="Times New Roman"/>
          <w:szCs w:val="24"/>
        </w:rPr>
        <w:t>Česká republika se od svého vstupu do EU snaží o splňování jednotlivých konvergenčních kritérií. V souvislosti s celosvětovou krizí a při pohledu na některé zasažené ekonomiky, např. Řecko, zájem o vstup do eurozóny poněkud upadá.</w:t>
      </w:r>
    </w:p>
    <w:p w14:paraId="4A6F37F5" w14:textId="77777777" w:rsidR="00661EA8" w:rsidRPr="00FC3B7C" w:rsidRDefault="00661EA8" w:rsidP="00661EA8">
      <w:pPr>
        <w:spacing w:line="1" w:lineRule="exact"/>
        <w:rPr>
          <w:sz w:val="20"/>
          <w:szCs w:val="20"/>
        </w:rPr>
      </w:pPr>
    </w:p>
    <w:p w14:paraId="4A6F37F6" w14:textId="71FB87BE" w:rsidR="00661EA8" w:rsidRPr="00FC3B7C" w:rsidRDefault="00661EA8" w:rsidP="0007131F">
      <w:pPr>
        <w:ind w:firstLine="720"/>
        <w:rPr>
          <w:sz w:val="20"/>
          <w:szCs w:val="20"/>
        </w:rPr>
      </w:pPr>
      <w:r w:rsidRPr="00FC3B7C">
        <w:rPr>
          <w:rFonts w:eastAsia="Times New Roman"/>
        </w:rPr>
        <w:t>Závazek přijmout jednotnou měnu euro vzala Česká republika za svůj podpisem přístupové smlouvy v dubnu 2003. V souvislosti s přeřvávající dluhovou krizí a nestabilitou eurozóny stále častěji zaznívají nejen hlasy požadující vystoupení některých problematických zemí z eurozóny, ale i přání týkající se odstoupení od závazku v budoucnu do eurozóny vstoupit, tzn. dojednat trvalou výjimku na zavedení eura. Česká republika je právně vázána jednotnou měnu přijmout. Tato povinnost vyplývá především z přístupových smluv, které zavazují k převzetí veškeré evropské legislativy, a to včetně závazku usilovat o zavedení společné měny euro. Ve skutečnosti vstup zemí EU do eurozóny závisí čistě na rozhodnutí jejich vlád, centrálních bank a národních parlamentů o termínu vstupu do systému směnných kurzů ERM II a na schopnosti jejich ekonomik plnit dlouhodobě a důvěryhodně ekonomická kritéria. Žádná země EU nemůže být ke vstupu do eurozóny přinucena proti své vlastní vůli, i kdyby všechna ekonomická kritéria plnila, jak ukazuje mimo jiné i případ Švédska.</w:t>
      </w:r>
    </w:p>
    <w:p w14:paraId="4A6F37F7" w14:textId="77777777" w:rsidR="00661EA8" w:rsidRPr="00FC3B7C" w:rsidRDefault="00661EA8" w:rsidP="00661EA8">
      <w:pPr>
        <w:spacing w:line="9" w:lineRule="exact"/>
        <w:rPr>
          <w:sz w:val="20"/>
          <w:szCs w:val="20"/>
        </w:rPr>
      </w:pPr>
    </w:p>
    <w:p w14:paraId="4A6F37F8" w14:textId="77777777" w:rsidR="00661EA8" w:rsidRPr="00FC3B7C" w:rsidRDefault="00661EA8" w:rsidP="00661EA8">
      <w:pPr>
        <w:ind w:left="4"/>
        <w:rPr>
          <w:sz w:val="20"/>
          <w:szCs w:val="20"/>
        </w:rPr>
      </w:pPr>
      <w:r w:rsidRPr="00FC3B7C">
        <w:rPr>
          <w:rFonts w:eastAsia="Times New Roman"/>
          <w:b/>
          <w:bCs/>
          <w:i/>
          <w:iCs/>
          <w:szCs w:val="24"/>
        </w:rPr>
        <w:t>Před přijetím eura musí země splnit tyto podmínky:</w:t>
      </w:r>
    </w:p>
    <w:p w14:paraId="4A6F37F9" w14:textId="77777777" w:rsidR="00661EA8" w:rsidRPr="00FC3B7C" w:rsidRDefault="00661EA8" w:rsidP="00661EA8">
      <w:pPr>
        <w:spacing w:line="94" w:lineRule="exact"/>
        <w:rPr>
          <w:sz w:val="20"/>
          <w:szCs w:val="20"/>
        </w:rPr>
      </w:pPr>
    </w:p>
    <w:p w14:paraId="4A6F37FA" w14:textId="77777777" w:rsidR="00661EA8" w:rsidRPr="00D738E5" w:rsidRDefault="00661EA8" w:rsidP="00D46B53">
      <w:pPr>
        <w:numPr>
          <w:ilvl w:val="0"/>
          <w:numId w:val="159"/>
        </w:numPr>
        <w:tabs>
          <w:tab w:val="left" w:pos="1424"/>
        </w:tabs>
        <w:ind w:left="1424" w:hanging="366"/>
        <w:rPr>
          <w:rFonts w:eastAsia="Arial"/>
          <w:szCs w:val="24"/>
        </w:rPr>
      </w:pPr>
      <w:r w:rsidRPr="00FC3B7C">
        <w:rPr>
          <w:rFonts w:eastAsia="Times New Roman"/>
          <w:b/>
          <w:bCs/>
          <w:szCs w:val="24"/>
        </w:rPr>
        <w:t xml:space="preserve">kompatibilita statutů ČNB a ECB </w:t>
      </w:r>
      <w:r w:rsidRPr="00FC3B7C">
        <w:rPr>
          <w:rFonts w:eastAsia="Times New Roman"/>
          <w:szCs w:val="24"/>
        </w:rPr>
        <w:t>- dokončeno</w:t>
      </w:r>
    </w:p>
    <w:p w14:paraId="4A6F37FB" w14:textId="77777777" w:rsidR="00661EA8" w:rsidRPr="00D738E5" w:rsidRDefault="00661EA8" w:rsidP="00D46B53">
      <w:pPr>
        <w:numPr>
          <w:ilvl w:val="0"/>
          <w:numId w:val="159"/>
        </w:numPr>
        <w:tabs>
          <w:tab w:val="left" w:pos="1424"/>
        </w:tabs>
        <w:ind w:left="1424" w:hanging="366"/>
        <w:rPr>
          <w:rFonts w:eastAsia="Arial"/>
          <w:szCs w:val="24"/>
        </w:rPr>
      </w:pPr>
      <w:r w:rsidRPr="00FC3B7C">
        <w:rPr>
          <w:rFonts w:eastAsia="Times New Roman"/>
          <w:b/>
          <w:bCs/>
          <w:szCs w:val="24"/>
        </w:rPr>
        <w:t xml:space="preserve">harmonizace měnové statistiky a statistiky platební bilance </w:t>
      </w:r>
      <w:r w:rsidRPr="00FC3B7C">
        <w:rPr>
          <w:rFonts w:eastAsia="Times New Roman"/>
          <w:szCs w:val="24"/>
        </w:rPr>
        <w:t>- dokončeno</w:t>
      </w:r>
    </w:p>
    <w:p w14:paraId="4A6F37FC" w14:textId="77777777" w:rsidR="00661EA8" w:rsidRPr="00D738E5" w:rsidRDefault="00661EA8" w:rsidP="00D46B53">
      <w:pPr>
        <w:numPr>
          <w:ilvl w:val="0"/>
          <w:numId w:val="159"/>
        </w:numPr>
        <w:tabs>
          <w:tab w:val="left" w:pos="1424"/>
        </w:tabs>
        <w:ind w:left="1424" w:hanging="366"/>
        <w:rPr>
          <w:rFonts w:eastAsia="Arial"/>
          <w:szCs w:val="24"/>
        </w:rPr>
      </w:pPr>
      <w:r w:rsidRPr="00FC3B7C">
        <w:rPr>
          <w:rFonts w:eastAsia="Times New Roman"/>
          <w:b/>
          <w:bCs/>
          <w:szCs w:val="24"/>
        </w:rPr>
        <w:t xml:space="preserve">nominální konvergence </w:t>
      </w:r>
      <w:r w:rsidRPr="00FC3B7C">
        <w:rPr>
          <w:rFonts w:eastAsia="Times New Roman"/>
          <w:szCs w:val="24"/>
        </w:rPr>
        <w:t>(plnění Maastrichtských kritérií =&gt; kritérium cenové stability, kritérium stavu veřejných financí, kritérium konvergence úrokových sazeb – vše plníme, kritérium účasti v mechanismu směnných kurzů – záměrně se neúčastníme)</w:t>
      </w:r>
    </w:p>
    <w:p w14:paraId="4A6F37FD" w14:textId="77777777" w:rsidR="00661EA8" w:rsidRPr="00FC3B7C" w:rsidRDefault="00661EA8" w:rsidP="00D46B53">
      <w:pPr>
        <w:numPr>
          <w:ilvl w:val="0"/>
          <w:numId w:val="159"/>
        </w:numPr>
        <w:tabs>
          <w:tab w:val="left" w:pos="1424"/>
        </w:tabs>
        <w:spacing w:line="372" w:lineRule="auto"/>
        <w:ind w:left="1424" w:right="20" w:hanging="366"/>
        <w:rPr>
          <w:rFonts w:eastAsia="Arial"/>
          <w:szCs w:val="24"/>
        </w:rPr>
      </w:pPr>
      <w:r w:rsidRPr="00FC3B7C">
        <w:rPr>
          <w:rFonts w:eastAsia="Times New Roman"/>
          <w:b/>
          <w:bCs/>
          <w:szCs w:val="24"/>
        </w:rPr>
        <w:t xml:space="preserve">reálná konvergence </w:t>
      </w:r>
      <w:r w:rsidRPr="00FC3B7C">
        <w:rPr>
          <w:rFonts w:eastAsia="Times New Roman"/>
          <w:szCs w:val="24"/>
        </w:rPr>
        <w:t>(sbližování úrovně</w:t>
      </w:r>
      <w:r w:rsidRPr="00FC3B7C">
        <w:rPr>
          <w:rFonts w:eastAsia="Times New Roman"/>
          <w:b/>
          <w:bCs/>
          <w:szCs w:val="24"/>
        </w:rPr>
        <w:t xml:space="preserve"> </w:t>
      </w:r>
      <w:r w:rsidRPr="00FC3B7C">
        <w:rPr>
          <w:rFonts w:eastAsia="Times New Roman"/>
          <w:szCs w:val="24"/>
        </w:rPr>
        <w:t>ostatních makroekonomických veličin)</w:t>
      </w:r>
      <w:r w:rsidRPr="00FC3B7C">
        <w:rPr>
          <w:rFonts w:eastAsia="Times New Roman"/>
          <w:b/>
          <w:bCs/>
          <w:szCs w:val="24"/>
        </w:rPr>
        <w:t xml:space="preserve"> </w:t>
      </w:r>
      <w:r w:rsidRPr="00FC3B7C">
        <w:rPr>
          <w:rFonts w:eastAsia="Times New Roman"/>
          <w:szCs w:val="24"/>
        </w:rPr>
        <w:t>- nedokončeno. Životní ČR úroveň by se měla blížit aspoň průměru EU. Do EU je ale přijímáno čím dál více chudších zemí (měřeno HDP na obyvatele), a tak se relativní životní úroveň ČR zvyšuje.</w:t>
      </w:r>
    </w:p>
    <w:p w14:paraId="4A6F37FE" w14:textId="77777777" w:rsidR="00661EA8" w:rsidRPr="00FC3B7C" w:rsidRDefault="00661EA8" w:rsidP="00D738E5">
      <w:pPr>
        <w:spacing w:line="20" w:lineRule="exact"/>
        <w:rPr>
          <w:sz w:val="20"/>
          <w:szCs w:val="20"/>
        </w:rPr>
      </w:pPr>
    </w:p>
    <w:p w14:paraId="4A6F37FF" w14:textId="77777777" w:rsidR="00661EA8" w:rsidRPr="00FC3B7C" w:rsidRDefault="00661EA8" w:rsidP="00D46B53">
      <w:pPr>
        <w:numPr>
          <w:ilvl w:val="0"/>
          <w:numId w:val="160"/>
        </w:numPr>
        <w:tabs>
          <w:tab w:val="left" w:pos="1424"/>
        </w:tabs>
        <w:spacing w:line="366" w:lineRule="auto"/>
        <w:ind w:left="1424" w:right="20" w:hanging="366"/>
        <w:rPr>
          <w:rFonts w:eastAsia="Arial"/>
          <w:szCs w:val="24"/>
        </w:rPr>
      </w:pPr>
      <w:bookmarkStart w:id="171" w:name="page172"/>
      <w:bookmarkEnd w:id="171"/>
      <w:r w:rsidRPr="00FC3B7C">
        <w:rPr>
          <w:rFonts w:eastAsia="Times New Roman"/>
          <w:b/>
          <w:bCs/>
          <w:szCs w:val="24"/>
        </w:rPr>
        <w:t xml:space="preserve">Snižování mezer ekonomické výkonnosti v absolutní i relativní výši </w:t>
      </w:r>
      <w:r w:rsidRPr="00FC3B7C">
        <w:rPr>
          <w:rFonts w:eastAsia="Times New Roman"/>
          <w:szCs w:val="24"/>
        </w:rPr>
        <w:t>- k tomu</w:t>
      </w:r>
      <w:r w:rsidRPr="00FC3B7C">
        <w:rPr>
          <w:rFonts w:eastAsia="Times New Roman"/>
          <w:b/>
          <w:bCs/>
          <w:szCs w:val="24"/>
        </w:rPr>
        <w:t xml:space="preserve"> </w:t>
      </w:r>
      <w:r w:rsidRPr="00FC3B7C">
        <w:rPr>
          <w:rFonts w:eastAsia="Times New Roman"/>
          <w:szCs w:val="24"/>
        </w:rPr>
        <w:t>dochází téměř u všech nových zemí, protože tyto země rostou téměř 4x rychleji než původní země EU.</w:t>
      </w:r>
    </w:p>
    <w:p w14:paraId="4A6F3800" w14:textId="77777777" w:rsidR="00661EA8" w:rsidRPr="00FC3B7C" w:rsidRDefault="00661EA8" w:rsidP="00661EA8">
      <w:pPr>
        <w:spacing w:line="4" w:lineRule="exact"/>
        <w:rPr>
          <w:rFonts w:eastAsia="Arial"/>
          <w:szCs w:val="24"/>
        </w:rPr>
      </w:pPr>
    </w:p>
    <w:p w14:paraId="4A6F3801" w14:textId="77777777" w:rsidR="00661EA8" w:rsidRPr="00FC3B7C" w:rsidRDefault="00661EA8" w:rsidP="00D46B53">
      <w:pPr>
        <w:numPr>
          <w:ilvl w:val="0"/>
          <w:numId w:val="160"/>
        </w:numPr>
        <w:tabs>
          <w:tab w:val="left" w:pos="1424"/>
        </w:tabs>
        <w:spacing w:line="385" w:lineRule="auto"/>
        <w:ind w:left="1424" w:right="20" w:hanging="366"/>
        <w:rPr>
          <w:rFonts w:eastAsia="Arial"/>
          <w:szCs w:val="24"/>
        </w:rPr>
      </w:pPr>
      <w:r w:rsidRPr="00FC3B7C">
        <w:rPr>
          <w:rFonts w:eastAsia="Times New Roman"/>
          <w:szCs w:val="24"/>
        </w:rPr>
        <w:t>Neměly by být problémy přijmout EURO, ale náklady na přijetí jsou nyní pro subjekty ekonomiky vyšší než užitek z přijetí společné měny</w:t>
      </w:r>
    </w:p>
    <w:p w14:paraId="4A6F3802" w14:textId="77777777" w:rsidR="00661EA8" w:rsidRPr="00FC3B7C" w:rsidRDefault="00661EA8" w:rsidP="00661EA8">
      <w:pPr>
        <w:spacing w:line="141" w:lineRule="exact"/>
        <w:rPr>
          <w:sz w:val="20"/>
          <w:szCs w:val="20"/>
        </w:rPr>
      </w:pPr>
    </w:p>
    <w:p w14:paraId="4A6F3803" w14:textId="77777777" w:rsidR="00661EA8" w:rsidRPr="00BA2AA0" w:rsidRDefault="00661EA8" w:rsidP="00D738E5">
      <w:pPr>
        <w:pStyle w:val="Nadpis3"/>
        <w:rPr>
          <w:color w:val="1F3864" w:themeColor="accent1" w:themeShade="80"/>
          <w:sz w:val="20"/>
          <w:szCs w:val="20"/>
        </w:rPr>
      </w:pPr>
      <w:r w:rsidRPr="00BA2AA0">
        <w:rPr>
          <w:rFonts w:eastAsia="Times New Roman"/>
          <w:color w:val="1F3864" w:themeColor="accent1" w:themeShade="80"/>
        </w:rPr>
        <w:t xml:space="preserve">Jak je </w:t>
      </w:r>
      <w:r w:rsidRPr="00BA2AA0">
        <w:rPr>
          <w:color w:val="1F3864" w:themeColor="accent1" w:themeShade="80"/>
        </w:rPr>
        <w:t>ČR</w:t>
      </w:r>
      <w:r w:rsidRPr="00BA2AA0">
        <w:rPr>
          <w:rFonts w:eastAsia="Times New Roman"/>
          <w:color w:val="1F3864" w:themeColor="accent1" w:themeShade="80"/>
        </w:rPr>
        <w:t xml:space="preserve"> připravena?</w:t>
      </w:r>
    </w:p>
    <w:p w14:paraId="4A6F3804" w14:textId="77777777" w:rsidR="00661EA8" w:rsidRPr="00FC3B7C" w:rsidRDefault="00661EA8" w:rsidP="0007131F">
      <w:pPr>
        <w:ind w:firstLine="568"/>
        <w:rPr>
          <w:sz w:val="20"/>
          <w:szCs w:val="20"/>
        </w:rPr>
      </w:pPr>
      <w:r w:rsidRPr="00FC3B7C">
        <w:rPr>
          <w:rFonts w:eastAsia="Times New Roman"/>
        </w:rPr>
        <w:t>Na straně českého hospodářství bude z hlediska přínosů a nákladů přijetí eura klíčová pružnost české ekonomiky a její odolnost vůči šokům a dostatečný stupeň podobnosti celkového ekonomického vývoje a struktury hospodářství České republiky s eurozónou.</w:t>
      </w:r>
    </w:p>
    <w:p w14:paraId="4A6F3805" w14:textId="77777777" w:rsidR="00661EA8" w:rsidRPr="00BA2AA0" w:rsidRDefault="00661EA8" w:rsidP="00661EA8">
      <w:pPr>
        <w:spacing w:line="180" w:lineRule="exact"/>
        <w:rPr>
          <w:color w:val="1F3864" w:themeColor="accent1" w:themeShade="80"/>
          <w:sz w:val="20"/>
          <w:szCs w:val="20"/>
        </w:rPr>
      </w:pPr>
    </w:p>
    <w:p w14:paraId="4A6F3806" w14:textId="77777777" w:rsidR="00661EA8" w:rsidRPr="00FC3B7C" w:rsidRDefault="00661EA8" w:rsidP="00D738E5">
      <w:pPr>
        <w:pStyle w:val="Nadpis4"/>
        <w:rPr>
          <w:sz w:val="20"/>
          <w:szCs w:val="20"/>
        </w:rPr>
      </w:pPr>
      <w:r w:rsidRPr="00BA2AA0">
        <w:rPr>
          <w:rFonts w:eastAsia="Times New Roman"/>
          <w:color w:val="1F3864" w:themeColor="accent1" w:themeShade="80"/>
        </w:rPr>
        <w:t>Ekonomické ukazatele hovoří dlouhodobě pro přijetí eura</w:t>
      </w:r>
      <w:r w:rsidRPr="00FC3B7C">
        <w:rPr>
          <w:rFonts w:eastAsia="Times New Roman"/>
        </w:rPr>
        <w:t>:</w:t>
      </w:r>
    </w:p>
    <w:p w14:paraId="4A6F3807" w14:textId="77777777" w:rsidR="00661EA8" w:rsidRPr="00FC3B7C" w:rsidRDefault="00661EA8" w:rsidP="00661EA8">
      <w:pPr>
        <w:spacing w:line="181" w:lineRule="exact"/>
        <w:rPr>
          <w:sz w:val="20"/>
          <w:szCs w:val="20"/>
        </w:rPr>
      </w:pPr>
    </w:p>
    <w:p w14:paraId="4A6F3808" w14:textId="77777777" w:rsidR="00661EA8" w:rsidRPr="00D738E5" w:rsidRDefault="00661EA8" w:rsidP="00D46B53">
      <w:pPr>
        <w:numPr>
          <w:ilvl w:val="0"/>
          <w:numId w:val="161"/>
        </w:numPr>
        <w:tabs>
          <w:tab w:val="left" w:pos="1424"/>
        </w:tabs>
        <w:ind w:left="1424" w:hanging="366"/>
        <w:rPr>
          <w:rFonts w:eastAsia="Arial"/>
          <w:szCs w:val="24"/>
        </w:rPr>
      </w:pPr>
      <w:r w:rsidRPr="00FC3B7C">
        <w:rPr>
          <w:rFonts w:eastAsia="Times New Roman"/>
          <w:szCs w:val="24"/>
        </w:rPr>
        <w:t>vysoká míra otevřenosti české ekonomiky</w:t>
      </w:r>
    </w:p>
    <w:p w14:paraId="4A6F3809" w14:textId="77777777" w:rsidR="00661EA8" w:rsidRPr="00FC3B7C" w:rsidRDefault="00661EA8" w:rsidP="00D46B53">
      <w:pPr>
        <w:numPr>
          <w:ilvl w:val="0"/>
          <w:numId w:val="161"/>
        </w:numPr>
        <w:tabs>
          <w:tab w:val="left" w:pos="1424"/>
        </w:tabs>
        <w:ind w:left="1424" w:hanging="366"/>
        <w:rPr>
          <w:rFonts w:eastAsia="Arial"/>
          <w:szCs w:val="24"/>
        </w:rPr>
      </w:pPr>
      <w:r w:rsidRPr="00FC3B7C">
        <w:rPr>
          <w:rFonts w:eastAsia="Times New Roman"/>
          <w:szCs w:val="24"/>
        </w:rPr>
        <w:t>velká obchodní i vlastnická provázanost s eurozónou</w:t>
      </w:r>
    </w:p>
    <w:p w14:paraId="4A6F380A" w14:textId="77777777" w:rsidR="00661EA8" w:rsidRPr="00FC3B7C" w:rsidRDefault="00661EA8" w:rsidP="00661EA8">
      <w:pPr>
        <w:spacing w:line="337" w:lineRule="exact"/>
        <w:rPr>
          <w:sz w:val="20"/>
          <w:szCs w:val="20"/>
        </w:rPr>
      </w:pPr>
    </w:p>
    <w:p w14:paraId="4A6F380B" w14:textId="77777777" w:rsidR="00661EA8" w:rsidRPr="00FC3B7C" w:rsidRDefault="00661EA8" w:rsidP="0007131F">
      <w:pPr>
        <w:ind w:left="568" w:firstLine="720"/>
        <w:rPr>
          <w:sz w:val="20"/>
          <w:szCs w:val="20"/>
        </w:rPr>
      </w:pPr>
      <w:r w:rsidRPr="00FC3B7C">
        <w:rPr>
          <w:rFonts w:eastAsia="Times New Roman"/>
        </w:rPr>
        <w:t>Tyto faktory vytvářejí předpoklady pro existenci mikroekonomických přínosů zavedení eura. Příznivým faktorem je též dosažení dlouhodobé konvergence v míře inflace a spolu s tím i v nominálních úrokových sazbách, což zmenšuje makroekonomická finanční rizika spojená s případným přijetím eura. Překážkou pro vstup do eurozóny není ani český finanční sektor, který je schopný napomáhat při vstřebávání ekonomických šoků a je – přes dočasné zhoršení během nedávné krize - silně integrovaný s eurozónou.</w:t>
      </w:r>
    </w:p>
    <w:p w14:paraId="4A6F380C" w14:textId="77777777" w:rsidR="00661EA8" w:rsidRPr="00FC3B7C" w:rsidRDefault="00661EA8" w:rsidP="00661EA8">
      <w:pPr>
        <w:spacing w:line="195" w:lineRule="exact"/>
        <w:rPr>
          <w:sz w:val="20"/>
          <w:szCs w:val="20"/>
        </w:rPr>
      </w:pPr>
    </w:p>
    <w:p w14:paraId="4A6F380D" w14:textId="77777777" w:rsidR="00661EA8" w:rsidRPr="00BA2AA0" w:rsidRDefault="00661EA8" w:rsidP="00D738E5">
      <w:pPr>
        <w:pStyle w:val="Nadpis4"/>
        <w:rPr>
          <w:color w:val="1F3864" w:themeColor="accent1" w:themeShade="80"/>
          <w:sz w:val="20"/>
          <w:szCs w:val="20"/>
        </w:rPr>
      </w:pPr>
      <w:r w:rsidRPr="00BA2AA0">
        <w:rPr>
          <w:rFonts w:eastAsia="Times New Roman"/>
          <w:color w:val="1F3864" w:themeColor="accent1" w:themeShade="80"/>
        </w:rPr>
        <w:t>Ekonomické ukazatele, které představují z hlediska přijetí eura v ČR riziko:</w:t>
      </w:r>
    </w:p>
    <w:p w14:paraId="4A6F380E" w14:textId="77777777" w:rsidR="00661EA8" w:rsidRPr="00FC3B7C" w:rsidRDefault="00661EA8" w:rsidP="00661EA8">
      <w:pPr>
        <w:spacing w:line="167" w:lineRule="exact"/>
        <w:rPr>
          <w:sz w:val="20"/>
          <w:szCs w:val="20"/>
        </w:rPr>
      </w:pPr>
    </w:p>
    <w:p w14:paraId="4A6F380F" w14:textId="189E04B6" w:rsidR="00661EA8" w:rsidRDefault="00661EA8" w:rsidP="0007131F">
      <w:pPr>
        <w:ind w:left="568" w:firstLine="720"/>
        <w:rPr>
          <w:rFonts w:eastAsia="Times New Roman"/>
          <w:szCs w:val="24"/>
        </w:rPr>
      </w:pPr>
      <w:r w:rsidRPr="00FC3B7C">
        <w:rPr>
          <w:rFonts w:eastAsia="Times New Roman"/>
        </w:rPr>
        <w:t>Těmi jsou makroekonomické náklady, které ale v posledních letech vykázaly některá zlepšení. Cyklická sladěnost vývoje ekonomické aktivity v České republice a v eurozóně se v posledním období výrazně zvýšila. To je však do značné míry způsobeno extrémním globálním vývojem, je tedy nutné počkat na potvrzení nebo vyvrácení. Příznivý vývoj z pohledu pružnosti trhu práce představovalo v minulých letech i snižování poměru minimální mzdy k průměrné mzdě. V reálném vyjádření však ke zvýšení pružnosti mezd prozatím nedošlo. Snížily se regionální rozdíly v míře nezaměstnanosti. Za pozitivní z hlediska pružnosti trhu práce lze označit také schopnost využít přílivu zahraniční pracovní síly v době hospodářského růstu a naopak snižovat počet zahraničních pracovníků v době ekonomického útlumu. K postupnému zlepšování</w:t>
      </w:r>
      <w:bookmarkStart w:id="172" w:name="page173"/>
      <w:bookmarkEnd w:id="172"/>
      <w:r w:rsidRPr="00FC3B7C">
        <w:rPr>
          <w:rFonts w:eastAsia="Times New Roman"/>
        </w:rPr>
        <w:t xml:space="preserve"> </w:t>
      </w:r>
      <w:r w:rsidRPr="00FC3B7C">
        <w:rPr>
          <w:rFonts w:eastAsia="Times New Roman"/>
          <w:szCs w:val="24"/>
        </w:rPr>
        <w:t>dochází v oblasti podmínek pro podnikání, přestože některé bariéry podnikání přetrvávají a jsou oproti jiným srovnávaným zemím nadále výraznější.</w:t>
      </w:r>
    </w:p>
    <w:p w14:paraId="01278BF1" w14:textId="65305D83" w:rsidR="00BA2AA0" w:rsidRDefault="00BA2AA0" w:rsidP="0007131F">
      <w:pPr>
        <w:ind w:left="568" w:firstLine="720"/>
        <w:rPr>
          <w:rFonts w:eastAsia="Times New Roman"/>
          <w:szCs w:val="24"/>
        </w:rPr>
      </w:pPr>
    </w:p>
    <w:p w14:paraId="0B8056F1" w14:textId="77777777" w:rsidR="00BA2AA0" w:rsidRPr="00FC3B7C" w:rsidRDefault="00BA2AA0" w:rsidP="0007131F">
      <w:pPr>
        <w:ind w:left="568" w:firstLine="720"/>
        <w:rPr>
          <w:sz w:val="20"/>
          <w:szCs w:val="20"/>
        </w:rPr>
      </w:pPr>
    </w:p>
    <w:p w14:paraId="4A6F3810" w14:textId="77777777" w:rsidR="00661EA8" w:rsidRPr="00FC3B7C" w:rsidRDefault="00661EA8" w:rsidP="00661EA8">
      <w:pPr>
        <w:spacing w:line="167" w:lineRule="exact"/>
        <w:rPr>
          <w:sz w:val="20"/>
          <w:szCs w:val="20"/>
        </w:rPr>
      </w:pPr>
    </w:p>
    <w:p w14:paraId="4A6F3811" w14:textId="77777777" w:rsidR="00661EA8" w:rsidRPr="00BA2AA0" w:rsidRDefault="00661EA8" w:rsidP="00D738E5">
      <w:pPr>
        <w:pStyle w:val="Nadpis4"/>
        <w:rPr>
          <w:color w:val="1F3864" w:themeColor="accent1" w:themeShade="80"/>
          <w:sz w:val="20"/>
          <w:szCs w:val="20"/>
        </w:rPr>
      </w:pPr>
      <w:r w:rsidRPr="00BA2AA0">
        <w:rPr>
          <w:rFonts w:eastAsia="Times New Roman"/>
          <w:color w:val="1F3864" w:themeColor="accent1" w:themeShade="80"/>
        </w:rPr>
        <w:lastRenderedPageBreak/>
        <w:t>Oblasti, kde byl dlouhodobě pozitivní vývoj narušen globální krizí</w:t>
      </w:r>
    </w:p>
    <w:p w14:paraId="4A6F3812" w14:textId="77777777" w:rsidR="00661EA8" w:rsidRPr="00FC3B7C" w:rsidRDefault="00661EA8" w:rsidP="00661EA8">
      <w:pPr>
        <w:spacing w:line="167" w:lineRule="exact"/>
        <w:rPr>
          <w:sz w:val="20"/>
          <w:szCs w:val="20"/>
        </w:rPr>
      </w:pPr>
    </w:p>
    <w:p w14:paraId="4A6F3813" w14:textId="77777777" w:rsidR="00661EA8" w:rsidRPr="00FC3B7C" w:rsidRDefault="00661EA8" w:rsidP="0007131F">
      <w:pPr>
        <w:ind w:left="568" w:firstLine="720"/>
        <w:rPr>
          <w:sz w:val="20"/>
          <w:szCs w:val="20"/>
        </w:rPr>
      </w:pPr>
      <w:r w:rsidRPr="00FC3B7C">
        <w:rPr>
          <w:rFonts w:eastAsia="Times New Roman"/>
        </w:rPr>
        <w:t>Reálná ekonomická konvergence České republiky k eurozóně, která probíhala až do roku 2008, se v posledních letech zastavila. Měřeno ukazatelem HDP na obyvatele je tak Česká republika sice vyspělejší než nejméně rozvinuté země eurozóny, to však evidentně není zárukou budoucího bezproblémového fungování ekonomiky v měnové unii.</w:t>
      </w:r>
    </w:p>
    <w:p w14:paraId="4A6F3814" w14:textId="77777777" w:rsidR="00661EA8" w:rsidRPr="00FC3B7C" w:rsidRDefault="00661EA8" w:rsidP="0007131F">
      <w:pPr>
        <w:ind w:left="568" w:firstLine="720"/>
        <w:rPr>
          <w:sz w:val="20"/>
          <w:szCs w:val="20"/>
        </w:rPr>
      </w:pPr>
      <w:r w:rsidRPr="00FC3B7C">
        <w:rPr>
          <w:rFonts w:eastAsia="Times New Roman"/>
        </w:rPr>
        <w:t>Zjevný rozdíl vůči průměru eurozóny přetrvává v cenové hladině, u které rovněž došlo v roce 2009 v důsledku výrazné depreciace kurzu koruny k dočasnému přerušení předchozího konvergenčního trendu, který se však zřejmě počínaje rokem 2010 obnovil.</w:t>
      </w:r>
    </w:p>
    <w:p w14:paraId="4A6F3815" w14:textId="77777777" w:rsidR="00661EA8" w:rsidRPr="00FC3B7C" w:rsidRDefault="00661EA8" w:rsidP="00661EA8">
      <w:pPr>
        <w:spacing w:line="1" w:lineRule="exact"/>
        <w:rPr>
          <w:sz w:val="20"/>
          <w:szCs w:val="20"/>
        </w:rPr>
      </w:pPr>
    </w:p>
    <w:p w14:paraId="4A6F3816" w14:textId="764EA1D0" w:rsidR="00661EA8" w:rsidRPr="00FC3B7C" w:rsidRDefault="00661EA8" w:rsidP="0007131F">
      <w:pPr>
        <w:spacing w:line="345" w:lineRule="auto"/>
        <w:ind w:left="568" w:firstLine="716"/>
        <w:rPr>
          <w:sz w:val="20"/>
          <w:szCs w:val="20"/>
        </w:rPr>
      </w:pPr>
      <w:r w:rsidRPr="00FC3B7C">
        <w:rPr>
          <w:rFonts w:eastAsia="Times New Roman"/>
          <w:szCs w:val="24"/>
        </w:rPr>
        <w:t>V důsledku hospodářského propadu a přijatých protikrizových fiskálních opatření došlo k výraznému zhoršení deficitu veřejných financí. Proces konsolidace veřejných financí byl již sice zahájen, přesto jsou však fiskální ukazatele zřetelně horší než před krizí, když celkový rozpočtový deficit v roce 2010 činil 4,8 % HDP a celkový vládní dluh vzrostl na 37,6 % HDP. Dopady předchozího hospodářského útlumu se projevují také v nárůstu dlouhodobé nezaměstnanosti.</w:t>
      </w:r>
    </w:p>
    <w:p w14:paraId="4A6F3817" w14:textId="77777777" w:rsidR="00661EA8" w:rsidRPr="00FC3B7C" w:rsidRDefault="00661EA8" w:rsidP="00661EA8">
      <w:pPr>
        <w:spacing w:line="220" w:lineRule="exact"/>
        <w:rPr>
          <w:sz w:val="20"/>
          <w:szCs w:val="20"/>
        </w:rPr>
      </w:pPr>
    </w:p>
    <w:p w14:paraId="4A6F3818" w14:textId="77777777" w:rsidR="00661EA8" w:rsidRPr="00BA2AA0" w:rsidRDefault="00661EA8" w:rsidP="00D738E5">
      <w:pPr>
        <w:pStyle w:val="Nadpis4"/>
        <w:rPr>
          <w:color w:val="1F3864" w:themeColor="accent1" w:themeShade="80"/>
          <w:sz w:val="20"/>
          <w:szCs w:val="20"/>
        </w:rPr>
      </w:pPr>
      <w:r w:rsidRPr="00BA2AA0">
        <w:rPr>
          <w:rFonts w:eastAsia="Times New Roman"/>
          <w:color w:val="1F3864" w:themeColor="accent1" w:themeShade="80"/>
        </w:rPr>
        <w:t>Oblasti vykazující dlouhodobé problémy z hlediska pružnosti české ekonomiky a její schopnosti přizpůsobit se šokům, u nichž nedochází k významnému zlepšení</w:t>
      </w:r>
    </w:p>
    <w:p w14:paraId="4A6F3819" w14:textId="77777777" w:rsidR="00661EA8" w:rsidRPr="00FC3B7C" w:rsidRDefault="00661EA8" w:rsidP="00661EA8">
      <w:pPr>
        <w:spacing w:line="66" w:lineRule="exact"/>
        <w:rPr>
          <w:sz w:val="20"/>
          <w:szCs w:val="20"/>
        </w:rPr>
      </w:pPr>
    </w:p>
    <w:p w14:paraId="4A6F381A" w14:textId="41A2AE4F" w:rsidR="00661EA8" w:rsidRPr="00FC3B7C" w:rsidRDefault="00661EA8" w:rsidP="0007131F">
      <w:pPr>
        <w:ind w:left="568" w:firstLine="720"/>
        <w:rPr>
          <w:sz w:val="20"/>
          <w:szCs w:val="20"/>
        </w:rPr>
      </w:pPr>
      <w:r w:rsidRPr="00FC3B7C">
        <w:rPr>
          <w:rFonts w:eastAsia="Times New Roman"/>
        </w:rPr>
        <w:t>Strukturální problémy na trhu práce plynoucí z nastavení daní a dávek a z pracovní legislativy nadále vedou k poměrně vysoké strnulosti pracovního trhu, malé motivaci části populace k práci a nepružnosti zaměstnávání.</w:t>
      </w:r>
    </w:p>
    <w:p w14:paraId="4A6F381B" w14:textId="77777777" w:rsidR="00661EA8" w:rsidRPr="00FC3B7C" w:rsidRDefault="00661EA8" w:rsidP="00661EA8">
      <w:pPr>
        <w:spacing w:line="1" w:lineRule="exact"/>
        <w:rPr>
          <w:sz w:val="20"/>
          <w:szCs w:val="20"/>
        </w:rPr>
      </w:pPr>
    </w:p>
    <w:p w14:paraId="4A6F381C" w14:textId="77777777" w:rsidR="00661EA8" w:rsidRPr="00FC3B7C" w:rsidRDefault="00661EA8" w:rsidP="0007131F">
      <w:pPr>
        <w:ind w:left="568" w:firstLine="720"/>
        <w:rPr>
          <w:sz w:val="20"/>
          <w:szCs w:val="20"/>
        </w:rPr>
      </w:pPr>
      <w:r w:rsidRPr="00FC3B7C">
        <w:rPr>
          <w:rFonts w:eastAsia="Times New Roman"/>
        </w:rPr>
        <w:t>Trvalým problémem je také nízká či nevyhovující kvalifikace dlouhodobě nezaměstnaných osob.</w:t>
      </w:r>
      <w:bookmarkStart w:id="173" w:name="page174"/>
      <w:bookmarkStart w:id="174" w:name="page175"/>
      <w:bookmarkEnd w:id="173"/>
      <w:bookmarkEnd w:id="174"/>
    </w:p>
    <w:p w14:paraId="4A6F381D" w14:textId="77777777" w:rsidR="00661EA8" w:rsidRDefault="00661EA8" w:rsidP="00661EA8">
      <w:pPr>
        <w:rPr>
          <w:sz w:val="20"/>
          <w:szCs w:val="20"/>
        </w:rPr>
      </w:pPr>
    </w:p>
    <w:p w14:paraId="4A6F381E" w14:textId="77777777" w:rsidR="00D738E5" w:rsidRDefault="00D738E5" w:rsidP="00661EA8">
      <w:pPr>
        <w:rPr>
          <w:sz w:val="20"/>
          <w:szCs w:val="20"/>
        </w:rPr>
      </w:pPr>
    </w:p>
    <w:p w14:paraId="4A6F381F" w14:textId="77777777" w:rsidR="00D738E5" w:rsidRDefault="00D738E5" w:rsidP="00661EA8">
      <w:pPr>
        <w:rPr>
          <w:sz w:val="20"/>
          <w:szCs w:val="20"/>
        </w:rPr>
      </w:pPr>
    </w:p>
    <w:p w14:paraId="4A6F3820" w14:textId="77777777" w:rsidR="00D738E5" w:rsidRDefault="00D738E5" w:rsidP="00661EA8">
      <w:pPr>
        <w:rPr>
          <w:sz w:val="20"/>
          <w:szCs w:val="20"/>
        </w:rPr>
      </w:pPr>
    </w:p>
    <w:p w14:paraId="4A6F3821" w14:textId="77777777" w:rsidR="00D738E5" w:rsidRDefault="00D738E5" w:rsidP="00661EA8">
      <w:pPr>
        <w:rPr>
          <w:sz w:val="20"/>
          <w:szCs w:val="20"/>
        </w:rPr>
      </w:pPr>
    </w:p>
    <w:p w14:paraId="4A6F3822" w14:textId="77777777" w:rsidR="00D738E5" w:rsidRDefault="00D738E5" w:rsidP="00661EA8">
      <w:pPr>
        <w:rPr>
          <w:sz w:val="20"/>
          <w:szCs w:val="20"/>
        </w:rPr>
      </w:pPr>
    </w:p>
    <w:p w14:paraId="4A6F3823" w14:textId="77777777" w:rsidR="00D738E5" w:rsidRDefault="00D738E5" w:rsidP="00661EA8">
      <w:pPr>
        <w:rPr>
          <w:sz w:val="20"/>
          <w:szCs w:val="20"/>
        </w:rPr>
      </w:pPr>
    </w:p>
    <w:p w14:paraId="4A6F3824" w14:textId="77777777" w:rsidR="00D738E5" w:rsidRDefault="00D738E5" w:rsidP="00661EA8">
      <w:pPr>
        <w:rPr>
          <w:sz w:val="20"/>
          <w:szCs w:val="20"/>
        </w:rPr>
      </w:pPr>
    </w:p>
    <w:p w14:paraId="4A6F3825" w14:textId="77777777" w:rsidR="00D738E5" w:rsidRDefault="00D738E5" w:rsidP="00661EA8">
      <w:pPr>
        <w:rPr>
          <w:sz w:val="20"/>
          <w:szCs w:val="20"/>
        </w:rPr>
      </w:pPr>
    </w:p>
    <w:p w14:paraId="4A6F382C" w14:textId="77777777" w:rsidR="00D738E5" w:rsidRPr="00FC3B7C" w:rsidRDefault="00D738E5" w:rsidP="00661EA8">
      <w:pPr>
        <w:rPr>
          <w:sz w:val="20"/>
          <w:szCs w:val="20"/>
        </w:rPr>
      </w:pPr>
    </w:p>
    <w:p w14:paraId="1CC3D254" w14:textId="77777777" w:rsidR="000A0DA5" w:rsidRPr="000A0DA5" w:rsidRDefault="000A0DA5" w:rsidP="000A0DA5">
      <w:pPr>
        <w:pStyle w:val="Nadpis1"/>
        <w:ind w:left="432"/>
        <w:rPr>
          <w:color w:val="1F3864" w:themeColor="accent1" w:themeShade="80"/>
        </w:rPr>
      </w:pPr>
      <w:bookmarkStart w:id="175" w:name="page177"/>
      <w:bookmarkStart w:id="176" w:name="_Toc535504906"/>
      <w:bookmarkStart w:id="177" w:name="_Toc54254080"/>
      <w:bookmarkEnd w:id="175"/>
      <w:r w:rsidRPr="000A0DA5">
        <w:rPr>
          <w:color w:val="1F3864" w:themeColor="accent1" w:themeShade="80"/>
        </w:rPr>
        <w:lastRenderedPageBreak/>
        <w:t>HOSPODÁŘSKÁ POLITIKA V OTEVŘENÉ EKONOMICE</w:t>
      </w:r>
      <w:bookmarkEnd w:id="176"/>
      <w:bookmarkEnd w:id="177"/>
    </w:p>
    <w:p w14:paraId="1F689365" w14:textId="77777777" w:rsidR="000A0DA5" w:rsidRPr="00D738E5" w:rsidRDefault="000A0DA5" w:rsidP="000A0DA5">
      <w:pPr>
        <w:rPr>
          <w:rFonts w:eastAsia="Times New Roman"/>
          <w:b/>
          <w:bCs/>
          <w:sz w:val="28"/>
          <w:szCs w:val="28"/>
        </w:rPr>
      </w:pPr>
      <w:r w:rsidRPr="00FC3B7C">
        <w:rPr>
          <w:rFonts w:eastAsia="Times New Roman"/>
          <w:b/>
          <w:bCs/>
          <w:sz w:val="28"/>
          <w:szCs w:val="28"/>
        </w:rPr>
        <w:t>Slovníček pojmů:</w:t>
      </w:r>
    </w:p>
    <w:p w14:paraId="09EB49FC" w14:textId="77777777" w:rsidR="000A0DA5" w:rsidRPr="00FC3B7C" w:rsidRDefault="000A0DA5" w:rsidP="000A0DA5">
      <w:pPr>
        <w:rPr>
          <w:sz w:val="20"/>
          <w:szCs w:val="20"/>
        </w:rPr>
      </w:pPr>
      <w:r w:rsidRPr="00FC3B7C">
        <w:rPr>
          <w:rFonts w:eastAsia="Times New Roman"/>
          <w:b/>
          <w:i/>
          <w:iCs/>
        </w:rPr>
        <w:t>Agregátní nabídka</w:t>
      </w:r>
      <w:r w:rsidRPr="00FC3B7C">
        <w:rPr>
          <w:rFonts w:eastAsia="Times New Roman"/>
          <w:i/>
          <w:iCs/>
        </w:rPr>
        <w:t xml:space="preserve"> </w:t>
      </w:r>
      <w:r w:rsidRPr="00FC3B7C">
        <w:rPr>
          <w:rFonts w:eastAsia="Times New Roman"/>
        </w:rPr>
        <w:t>– funkce vyjadřující závislost reálného domácího produktu, který</w:t>
      </w:r>
      <w:r w:rsidRPr="00FC3B7C">
        <w:rPr>
          <w:rFonts w:eastAsia="Times New Roman"/>
          <w:i/>
          <w:iCs/>
        </w:rPr>
        <w:t xml:space="preserve"> </w:t>
      </w:r>
      <w:r w:rsidRPr="00FC3B7C">
        <w:rPr>
          <w:rFonts w:eastAsia="Times New Roman"/>
        </w:rPr>
        <w:t>firmy</w:t>
      </w:r>
    </w:p>
    <w:p w14:paraId="2281F62E" w14:textId="77777777" w:rsidR="000A0DA5" w:rsidRPr="00FC3B7C" w:rsidRDefault="000A0DA5" w:rsidP="000A0DA5">
      <w:pPr>
        <w:rPr>
          <w:sz w:val="20"/>
          <w:szCs w:val="20"/>
        </w:rPr>
      </w:pPr>
      <w:r w:rsidRPr="00FC3B7C">
        <w:rPr>
          <w:rFonts w:eastAsia="Times New Roman"/>
        </w:rPr>
        <w:t>chtějí vyrábět, na cenové hladině.</w:t>
      </w:r>
    </w:p>
    <w:p w14:paraId="6ECE0DF0" w14:textId="77777777" w:rsidR="000A0DA5" w:rsidRPr="00FC3B7C" w:rsidRDefault="000A0DA5" w:rsidP="000A0DA5">
      <w:pPr>
        <w:rPr>
          <w:sz w:val="20"/>
          <w:szCs w:val="20"/>
        </w:rPr>
      </w:pPr>
      <w:r w:rsidRPr="00FC3B7C">
        <w:rPr>
          <w:rFonts w:eastAsia="Times New Roman"/>
          <w:b/>
          <w:i/>
          <w:iCs/>
        </w:rPr>
        <w:t>Agregátní poptávka</w:t>
      </w:r>
      <w:r w:rsidRPr="00FC3B7C">
        <w:rPr>
          <w:rFonts w:eastAsia="Times New Roman"/>
          <w:i/>
          <w:iCs/>
        </w:rPr>
        <w:t xml:space="preserve"> </w:t>
      </w:r>
      <w:r w:rsidRPr="00FC3B7C">
        <w:rPr>
          <w:rFonts w:eastAsia="Times New Roman"/>
        </w:rPr>
        <w:t>– funkce vyjadřující závislost reálného domácího produktu, který</w:t>
      </w:r>
      <w:r w:rsidRPr="00FC3B7C">
        <w:rPr>
          <w:rFonts w:eastAsia="Times New Roman"/>
          <w:i/>
          <w:iCs/>
        </w:rPr>
        <w:t xml:space="preserve"> </w:t>
      </w:r>
      <w:r w:rsidRPr="00FC3B7C">
        <w:rPr>
          <w:rFonts w:eastAsia="Times New Roman"/>
        </w:rPr>
        <w:t>lidé</w:t>
      </w:r>
    </w:p>
    <w:p w14:paraId="71F9981C" w14:textId="77777777" w:rsidR="000A0DA5" w:rsidRPr="00FC3B7C" w:rsidRDefault="000A0DA5" w:rsidP="000A0DA5">
      <w:pPr>
        <w:rPr>
          <w:sz w:val="20"/>
          <w:szCs w:val="20"/>
        </w:rPr>
      </w:pPr>
      <w:r w:rsidRPr="00FC3B7C">
        <w:rPr>
          <w:rFonts w:eastAsia="Times New Roman"/>
        </w:rPr>
        <w:t>chtějí nakupovat, na cenové hladině.</w:t>
      </w:r>
    </w:p>
    <w:p w14:paraId="0F4D67FB" w14:textId="77777777" w:rsidR="000A0DA5" w:rsidRPr="00FC3B7C" w:rsidRDefault="000A0DA5" w:rsidP="000A0DA5">
      <w:pPr>
        <w:rPr>
          <w:sz w:val="20"/>
          <w:szCs w:val="20"/>
        </w:rPr>
      </w:pPr>
      <w:r w:rsidRPr="00FC3B7C">
        <w:rPr>
          <w:rFonts w:eastAsia="Times New Roman"/>
          <w:b/>
          <w:i/>
          <w:iCs/>
        </w:rPr>
        <w:t>Agregátní výdaje</w:t>
      </w:r>
      <w:r w:rsidRPr="00FC3B7C">
        <w:rPr>
          <w:rFonts w:eastAsia="Times New Roman"/>
          <w:i/>
          <w:iCs/>
        </w:rPr>
        <w:t xml:space="preserve"> </w:t>
      </w:r>
      <w:r w:rsidRPr="00FC3B7C">
        <w:rPr>
          <w:rFonts w:eastAsia="Times New Roman"/>
        </w:rPr>
        <w:t>– výdaje soukromých osob na spotřebu, investice,</w:t>
      </w:r>
      <w:r w:rsidRPr="00FC3B7C">
        <w:rPr>
          <w:rFonts w:eastAsia="Times New Roman"/>
          <w:i/>
          <w:iCs/>
        </w:rPr>
        <w:t xml:space="preserve"> </w:t>
      </w:r>
      <w:r w:rsidRPr="00FC3B7C">
        <w:rPr>
          <w:rFonts w:eastAsia="Times New Roman"/>
        </w:rPr>
        <w:t>čistý</w:t>
      </w:r>
      <w:r w:rsidRPr="00FC3B7C">
        <w:rPr>
          <w:rFonts w:eastAsia="Times New Roman"/>
          <w:i/>
          <w:iCs/>
        </w:rPr>
        <w:t xml:space="preserve"> </w:t>
      </w:r>
      <w:r w:rsidRPr="00FC3B7C">
        <w:rPr>
          <w:rFonts w:eastAsia="Times New Roman"/>
        </w:rPr>
        <w:t>vývoz a výdaje</w:t>
      </w:r>
    </w:p>
    <w:p w14:paraId="279ABAC3" w14:textId="77777777" w:rsidR="000A0DA5" w:rsidRPr="00FC3B7C" w:rsidRDefault="000A0DA5" w:rsidP="000A0DA5">
      <w:pPr>
        <w:rPr>
          <w:sz w:val="20"/>
          <w:szCs w:val="20"/>
        </w:rPr>
      </w:pPr>
      <w:r w:rsidRPr="00FC3B7C">
        <w:rPr>
          <w:rFonts w:eastAsia="Times New Roman"/>
        </w:rPr>
        <w:t>veřejného sektoru na zboží a služby.</w:t>
      </w:r>
    </w:p>
    <w:p w14:paraId="75FB959E" w14:textId="427B57A4" w:rsidR="000A0DA5" w:rsidRPr="000506FA" w:rsidRDefault="000A0DA5" w:rsidP="000A0DA5">
      <w:pPr>
        <w:rPr>
          <w:rFonts w:eastAsia="Times New Roman"/>
          <w:b/>
          <w:i/>
          <w:iCs/>
        </w:rPr>
      </w:pPr>
      <w:r w:rsidRPr="00FC3B7C">
        <w:rPr>
          <w:rFonts w:eastAsia="Times New Roman"/>
          <w:b/>
          <w:i/>
          <w:iCs/>
        </w:rPr>
        <w:t>Apreciace</w:t>
      </w:r>
      <w:r w:rsidR="000506FA">
        <w:rPr>
          <w:rFonts w:eastAsia="Times New Roman"/>
          <w:b/>
          <w:i/>
          <w:iCs/>
        </w:rPr>
        <w:t xml:space="preserve"> </w:t>
      </w:r>
      <w:r w:rsidRPr="00FC3B7C">
        <w:rPr>
          <w:rFonts w:eastAsia="Times New Roman"/>
        </w:rPr>
        <w:t>– zhodnocení měnového kurzu vůči zahraničním měnám.</w:t>
      </w:r>
    </w:p>
    <w:p w14:paraId="4FA7B2E0" w14:textId="77777777" w:rsidR="000A0DA5" w:rsidRPr="00FC3B7C" w:rsidRDefault="000A0DA5" w:rsidP="000A0DA5">
      <w:pPr>
        <w:rPr>
          <w:sz w:val="20"/>
          <w:szCs w:val="20"/>
        </w:rPr>
      </w:pPr>
      <w:r w:rsidRPr="00FC3B7C">
        <w:rPr>
          <w:rFonts w:eastAsia="Times New Roman"/>
          <w:b/>
          <w:i/>
          <w:iCs/>
        </w:rPr>
        <w:t>Běžný účet</w:t>
      </w:r>
      <w:r w:rsidRPr="00FC3B7C">
        <w:rPr>
          <w:rFonts w:eastAsia="Times New Roman"/>
          <w:i/>
          <w:iCs/>
        </w:rPr>
        <w:t xml:space="preserve"> </w:t>
      </w:r>
      <w:r w:rsidRPr="00FC3B7C">
        <w:rPr>
          <w:rFonts w:eastAsia="Times New Roman"/>
        </w:rPr>
        <w:t>– účet platební bilance, zachycující platby za vývoz a dovoz zboží a služeb a</w:t>
      </w:r>
    </w:p>
    <w:p w14:paraId="6F862B8A" w14:textId="77777777" w:rsidR="000A0DA5" w:rsidRPr="00FC3B7C" w:rsidRDefault="000A0DA5" w:rsidP="000A0DA5">
      <w:pPr>
        <w:rPr>
          <w:sz w:val="20"/>
          <w:szCs w:val="20"/>
        </w:rPr>
      </w:pPr>
      <w:r w:rsidRPr="00FC3B7C">
        <w:rPr>
          <w:rFonts w:eastAsia="Times New Roman"/>
        </w:rPr>
        <w:t>některé další položky.</w:t>
      </w:r>
    </w:p>
    <w:p w14:paraId="09414A1E" w14:textId="5FAF33A6" w:rsidR="000A0DA5" w:rsidRPr="00FC3B7C" w:rsidRDefault="000A0DA5" w:rsidP="000A0DA5">
      <w:pPr>
        <w:rPr>
          <w:sz w:val="20"/>
          <w:szCs w:val="20"/>
        </w:rPr>
      </w:pPr>
      <w:r w:rsidRPr="00FC3B7C">
        <w:rPr>
          <w:rFonts w:eastAsia="Times New Roman"/>
          <w:b/>
          <w:i/>
          <w:iCs/>
        </w:rPr>
        <w:t>Clo</w:t>
      </w:r>
      <w:r w:rsidR="000506FA">
        <w:rPr>
          <w:rFonts w:eastAsia="Times New Roman"/>
          <w:b/>
          <w:i/>
          <w:iCs/>
        </w:rPr>
        <w:t xml:space="preserve"> </w:t>
      </w:r>
      <w:r w:rsidRPr="00FC3B7C">
        <w:rPr>
          <w:rFonts w:eastAsia="Times New Roman"/>
        </w:rPr>
        <w:t>– dávka vybíraná státem při přechodu zboží přes celní hranici.</w:t>
      </w:r>
    </w:p>
    <w:p w14:paraId="28C5137A" w14:textId="77777777" w:rsidR="000A0DA5" w:rsidRPr="00FC3B7C" w:rsidRDefault="000A0DA5" w:rsidP="000A0DA5">
      <w:pPr>
        <w:rPr>
          <w:sz w:val="20"/>
          <w:szCs w:val="20"/>
        </w:rPr>
      </w:pPr>
      <w:r w:rsidRPr="00FC3B7C">
        <w:rPr>
          <w:rFonts w:eastAsia="Times New Roman"/>
          <w:b/>
          <w:i/>
          <w:iCs/>
        </w:rPr>
        <w:t>Czech Trade</w:t>
      </w:r>
      <w:r w:rsidRPr="00FC3B7C">
        <w:rPr>
          <w:rFonts w:eastAsia="Times New Roman"/>
          <w:i/>
          <w:iCs/>
        </w:rPr>
        <w:t xml:space="preserve"> </w:t>
      </w:r>
      <w:r w:rsidRPr="00FC3B7C">
        <w:rPr>
          <w:rFonts w:eastAsia="Times New Roman"/>
        </w:rPr>
        <w:t>– vládní agentura s informacemi o světových trzích a</w:t>
      </w:r>
      <w:r w:rsidRPr="00FC3B7C">
        <w:rPr>
          <w:rFonts w:eastAsia="Times New Roman"/>
          <w:i/>
          <w:iCs/>
        </w:rPr>
        <w:t xml:space="preserve"> </w:t>
      </w:r>
      <w:r w:rsidRPr="00FC3B7C">
        <w:rPr>
          <w:rFonts w:eastAsia="Times New Roman"/>
        </w:rPr>
        <w:t>širokou sítí zahraničních</w:t>
      </w:r>
      <w:r w:rsidRPr="00FC3B7C">
        <w:rPr>
          <w:rFonts w:eastAsia="Times New Roman"/>
          <w:i/>
          <w:iCs/>
        </w:rPr>
        <w:t xml:space="preserve"> </w:t>
      </w:r>
      <w:r w:rsidRPr="00FC3B7C">
        <w:rPr>
          <w:rFonts w:eastAsia="Times New Roman"/>
        </w:rPr>
        <w:t>a regionálních kanceláří.</w:t>
      </w:r>
    </w:p>
    <w:p w14:paraId="2B88FA1A" w14:textId="77777777" w:rsidR="000A0DA5" w:rsidRPr="00FC3B7C" w:rsidRDefault="000A0DA5" w:rsidP="000A0DA5">
      <w:pPr>
        <w:rPr>
          <w:sz w:val="20"/>
          <w:szCs w:val="20"/>
        </w:rPr>
      </w:pPr>
      <w:r w:rsidRPr="00FC3B7C">
        <w:rPr>
          <w:rFonts w:eastAsia="Times New Roman"/>
          <w:i/>
          <w:iCs/>
          <w:sz w:val="23"/>
          <w:szCs w:val="23"/>
        </w:rPr>
        <w:t>Česká exportní banka(ČEB)</w:t>
      </w:r>
      <w:r w:rsidRPr="00FC3B7C">
        <w:rPr>
          <w:rFonts w:eastAsia="Times New Roman"/>
          <w:sz w:val="23"/>
          <w:szCs w:val="23"/>
        </w:rPr>
        <w:t>– je specializovaná bankovní instituce pro státní podporu vývozu</w:t>
      </w:r>
    </w:p>
    <w:p w14:paraId="40EF7590" w14:textId="77777777" w:rsidR="000A0DA5" w:rsidRPr="00FC3B7C" w:rsidRDefault="000A0DA5" w:rsidP="000A0DA5">
      <w:pPr>
        <w:rPr>
          <w:sz w:val="20"/>
          <w:szCs w:val="20"/>
        </w:rPr>
      </w:pPr>
      <w:r w:rsidRPr="00FC3B7C">
        <w:rPr>
          <w:rFonts w:eastAsia="Times New Roman"/>
        </w:rPr>
        <w:t>vlastněná státem.</w:t>
      </w:r>
    </w:p>
    <w:p w14:paraId="3D7DDF0B" w14:textId="2CDE1A99" w:rsidR="000A0DA5" w:rsidRPr="00FC3B7C" w:rsidRDefault="000A0DA5" w:rsidP="000A0DA5">
      <w:pPr>
        <w:rPr>
          <w:sz w:val="20"/>
          <w:szCs w:val="20"/>
        </w:rPr>
      </w:pPr>
      <w:r w:rsidRPr="00FC3B7C">
        <w:rPr>
          <w:rFonts w:eastAsia="Times New Roman"/>
          <w:b/>
          <w:i/>
          <w:iCs/>
        </w:rPr>
        <w:t>Depreciace</w:t>
      </w:r>
      <w:r w:rsidR="000506FA">
        <w:rPr>
          <w:rFonts w:eastAsia="Times New Roman"/>
          <w:b/>
          <w:i/>
          <w:iCs/>
        </w:rPr>
        <w:t xml:space="preserve"> </w:t>
      </w:r>
      <w:r w:rsidRPr="00FC3B7C">
        <w:rPr>
          <w:rFonts w:eastAsia="Times New Roman"/>
        </w:rPr>
        <w:t>– znehodnocení domácí měny vůči zahraničním měnám.</w:t>
      </w:r>
    </w:p>
    <w:p w14:paraId="20E278A6" w14:textId="77777777" w:rsidR="000A0DA5" w:rsidRPr="00FC3B7C" w:rsidRDefault="000A0DA5" w:rsidP="000A0DA5">
      <w:pPr>
        <w:rPr>
          <w:sz w:val="20"/>
          <w:szCs w:val="20"/>
        </w:rPr>
      </w:pPr>
      <w:r w:rsidRPr="00FC3B7C">
        <w:rPr>
          <w:rFonts w:eastAsia="Times New Roman"/>
          <w:b/>
          <w:i/>
          <w:iCs/>
        </w:rPr>
        <w:t>Devizové rezervy</w:t>
      </w:r>
      <w:r w:rsidRPr="00FC3B7C">
        <w:rPr>
          <w:rFonts w:eastAsia="Times New Roman"/>
          <w:i/>
          <w:iCs/>
        </w:rPr>
        <w:t xml:space="preserve"> </w:t>
      </w:r>
      <w:r w:rsidRPr="00FC3B7C">
        <w:rPr>
          <w:rFonts w:eastAsia="Times New Roman"/>
        </w:rPr>
        <w:t>– jsou rezervy v zahraniční měně, které drží CB, je to nástroj k ovlivňování</w:t>
      </w:r>
      <w:r w:rsidRPr="00FC3B7C">
        <w:rPr>
          <w:rFonts w:eastAsia="Times New Roman"/>
          <w:i/>
          <w:iCs/>
        </w:rPr>
        <w:t xml:space="preserve"> </w:t>
      </w:r>
      <w:r w:rsidRPr="00FC3B7C">
        <w:rPr>
          <w:rFonts w:eastAsia="Times New Roman"/>
        </w:rPr>
        <w:t>kurzu v rámci měnové politiky.</w:t>
      </w:r>
    </w:p>
    <w:p w14:paraId="2B3B2F01" w14:textId="2C2A9AA1" w:rsidR="000A0DA5" w:rsidRPr="00FC3B7C" w:rsidRDefault="000A0DA5" w:rsidP="000A0DA5">
      <w:pPr>
        <w:rPr>
          <w:sz w:val="20"/>
          <w:szCs w:val="20"/>
        </w:rPr>
      </w:pPr>
      <w:r w:rsidRPr="00FC3B7C">
        <w:rPr>
          <w:rFonts w:eastAsia="Times New Roman"/>
          <w:b/>
          <w:i/>
          <w:iCs/>
        </w:rPr>
        <w:t>Domácí produkt</w:t>
      </w:r>
      <w:r w:rsidR="000506FA">
        <w:rPr>
          <w:rFonts w:eastAsia="Times New Roman"/>
          <w:b/>
          <w:i/>
          <w:iCs/>
        </w:rPr>
        <w:t xml:space="preserve"> </w:t>
      </w:r>
      <w:r w:rsidRPr="00FC3B7C">
        <w:rPr>
          <w:rFonts w:eastAsia="Times New Roman"/>
        </w:rPr>
        <w:t>– zboží a služby vyrobené a poskytované na území daného státu za určité</w:t>
      </w:r>
      <w:r w:rsidRPr="00FC3B7C">
        <w:rPr>
          <w:rFonts w:eastAsia="Times New Roman"/>
          <w:i/>
          <w:iCs/>
        </w:rPr>
        <w:t xml:space="preserve"> </w:t>
      </w:r>
      <w:r w:rsidRPr="00FC3B7C">
        <w:rPr>
          <w:rFonts w:eastAsia="Times New Roman"/>
        </w:rPr>
        <w:t>období.</w:t>
      </w:r>
    </w:p>
    <w:p w14:paraId="188703C5" w14:textId="797AD1CD" w:rsidR="000A0DA5" w:rsidRPr="00FC3B7C" w:rsidRDefault="000A0DA5" w:rsidP="000A0DA5">
      <w:pPr>
        <w:rPr>
          <w:sz w:val="20"/>
          <w:szCs w:val="20"/>
        </w:rPr>
      </w:pPr>
      <w:r w:rsidRPr="00FC3B7C">
        <w:rPr>
          <w:rFonts w:eastAsia="Times New Roman"/>
          <w:b/>
          <w:i/>
          <w:iCs/>
        </w:rPr>
        <w:t>Exportní garanční a pojišťovací společnost</w:t>
      </w:r>
      <w:r w:rsidR="000506FA">
        <w:rPr>
          <w:rFonts w:eastAsia="Times New Roman"/>
          <w:b/>
          <w:i/>
          <w:iCs/>
        </w:rPr>
        <w:t xml:space="preserve"> </w:t>
      </w:r>
      <w:r w:rsidRPr="00FC3B7C">
        <w:rPr>
          <w:rFonts w:eastAsia="Times New Roman"/>
          <w:b/>
          <w:i/>
          <w:iCs/>
        </w:rPr>
        <w:t>(EGAP)</w:t>
      </w:r>
      <w:r w:rsidRPr="00FC3B7C">
        <w:rPr>
          <w:rFonts w:eastAsia="Times New Roman"/>
          <w:i/>
          <w:iCs/>
        </w:rPr>
        <w:t xml:space="preserve"> </w:t>
      </w:r>
      <w:r w:rsidRPr="00FC3B7C">
        <w:rPr>
          <w:rFonts w:eastAsia="Times New Roman"/>
        </w:rPr>
        <w:t>–specializovaná státní úvěrová</w:t>
      </w:r>
      <w:r w:rsidRPr="00FC3B7C">
        <w:rPr>
          <w:rFonts w:eastAsia="Times New Roman"/>
          <w:i/>
          <w:iCs/>
        </w:rPr>
        <w:t xml:space="preserve"> </w:t>
      </w:r>
      <w:r w:rsidRPr="00FC3B7C">
        <w:rPr>
          <w:rFonts w:eastAsia="Times New Roman"/>
        </w:rPr>
        <w:t>pojišťovna.</w:t>
      </w:r>
    </w:p>
    <w:p w14:paraId="0EA85E35" w14:textId="77777777" w:rsidR="000A0DA5" w:rsidRPr="00FC3B7C" w:rsidRDefault="000A0DA5" w:rsidP="000A0DA5">
      <w:pPr>
        <w:rPr>
          <w:sz w:val="20"/>
          <w:szCs w:val="20"/>
        </w:rPr>
      </w:pPr>
      <w:r w:rsidRPr="00FC3B7C">
        <w:rPr>
          <w:rFonts w:eastAsia="Times New Roman"/>
          <w:b/>
          <w:i/>
          <w:iCs/>
        </w:rPr>
        <w:t>Finanční účet</w:t>
      </w:r>
      <w:r w:rsidRPr="00FC3B7C">
        <w:rPr>
          <w:rFonts w:eastAsia="Times New Roman"/>
          <w:i/>
          <w:iCs/>
        </w:rPr>
        <w:t xml:space="preserve"> </w:t>
      </w:r>
      <w:r w:rsidRPr="00FC3B7C">
        <w:rPr>
          <w:rFonts w:eastAsia="Times New Roman"/>
        </w:rPr>
        <w:t>– účet PB, který</w:t>
      </w:r>
      <w:r w:rsidRPr="00FC3B7C">
        <w:rPr>
          <w:rFonts w:eastAsia="Times New Roman"/>
          <w:i/>
          <w:iCs/>
        </w:rPr>
        <w:t xml:space="preserve"> </w:t>
      </w:r>
      <w:r w:rsidRPr="00FC3B7C">
        <w:rPr>
          <w:rFonts w:eastAsia="Times New Roman"/>
        </w:rPr>
        <w:t>zachycuje dovozy zahraničního kapitálu a vývozy kapitálu do</w:t>
      </w:r>
      <w:r w:rsidRPr="00FC3B7C">
        <w:rPr>
          <w:rFonts w:eastAsia="Times New Roman"/>
          <w:i/>
          <w:iCs/>
        </w:rPr>
        <w:t xml:space="preserve"> </w:t>
      </w:r>
      <w:r w:rsidRPr="00FC3B7C">
        <w:rPr>
          <w:rFonts w:eastAsia="Times New Roman"/>
        </w:rPr>
        <w:t>zahraničí (nákup zahraničních aktiv domácími subjekty).</w:t>
      </w:r>
    </w:p>
    <w:p w14:paraId="6C32CF39" w14:textId="77777777" w:rsidR="000A0DA5" w:rsidRPr="00FC3B7C" w:rsidRDefault="000A0DA5" w:rsidP="000A0DA5">
      <w:pPr>
        <w:rPr>
          <w:rFonts w:eastAsia="Times New Roman"/>
        </w:rPr>
      </w:pPr>
      <w:r w:rsidRPr="00FC3B7C">
        <w:rPr>
          <w:rFonts w:eastAsia="Times New Roman"/>
          <w:b/>
          <w:i/>
          <w:iCs/>
        </w:rPr>
        <w:t>Hospodářská politika</w:t>
      </w:r>
      <w:r w:rsidRPr="00FC3B7C">
        <w:rPr>
          <w:rFonts w:eastAsia="Times New Roman"/>
          <w:i/>
          <w:iCs/>
        </w:rPr>
        <w:t xml:space="preserve"> </w:t>
      </w:r>
      <w:r w:rsidRPr="00FC3B7C">
        <w:rPr>
          <w:rFonts w:eastAsia="Times New Roman"/>
        </w:rPr>
        <w:t>– soubor nástrojů, opatření a procesů, prostřednictvím nichž</w:t>
      </w:r>
      <w:r w:rsidRPr="00FC3B7C">
        <w:rPr>
          <w:rFonts w:eastAsia="Times New Roman"/>
          <w:i/>
          <w:iCs/>
        </w:rPr>
        <w:t xml:space="preserve"> </w:t>
      </w:r>
      <w:r w:rsidRPr="00FC3B7C">
        <w:rPr>
          <w:rFonts w:eastAsia="Times New Roman"/>
        </w:rPr>
        <w:t>je možno</w:t>
      </w:r>
      <w:r w:rsidRPr="00FC3B7C">
        <w:rPr>
          <w:rFonts w:eastAsia="Times New Roman"/>
          <w:i/>
          <w:iCs/>
        </w:rPr>
        <w:t xml:space="preserve"> </w:t>
      </w:r>
      <w:r w:rsidRPr="00FC3B7C">
        <w:rPr>
          <w:rFonts w:eastAsia="Times New Roman"/>
        </w:rPr>
        <w:t xml:space="preserve">působit na makroekonomickou a mikroekonomickou oblast národního hospodářství. </w:t>
      </w:r>
    </w:p>
    <w:p w14:paraId="7444B1D8" w14:textId="77777777" w:rsidR="000A0DA5" w:rsidRPr="00FC3B7C" w:rsidRDefault="000A0DA5" w:rsidP="000A0DA5">
      <w:pPr>
        <w:rPr>
          <w:rFonts w:eastAsia="Times New Roman"/>
          <w:i/>
          <w:iCs/>
        </w:rPr>
      </w:pPr>
      <w:r w:rsidRPr="00FC3B7C">
        <w:rPr>
          <w:rFonts w:eastAsia="Times New Roman"/>
          <w:b/>
          <w:i/>
          <w:iCs/>
        </w:rPr>
        <w:t xml:space="preserve">Komparativní výhoda </w:t>
      </w:r>
      <w:r w:rsidRPr="00FC3B7C">
        <w:rPr>
          <w:rFonts w:eastAsia="Times New Roman"/>
          <w:b/>
        </w:rPr>
        <w:t>–</w:t>
      </w:r>
      <w:r w:rsidRPr="00FC3B7C">
        <w:rPr>
          <w:rFonts w:eastAsia="Times New Roman"/>
        </w:rPr>
        <w:t xml:space="preserve"> má ji</w:t>
      </w:r>
      <w:r w:rsidRPr="00FC3B7C">
        <w:rPr>
          <w:rFonts w:eastAsia="Times New Roman"/>
          <w:i/>
          <w:iCs/>
        </w:rPr>
        <w:t xml:space="preserve"> </w:t>
      </w:r>
      <w:r w:rsidRPr="00FC3B7C">
        <w:rPr>
          <w:rFonts w:eastAsia="Times New Roman"/>
        </w:rPr>
        <w:t>člověk v té</w:t>
      </w:r>
      <w:r w:rsidRPr="00FC3B7C">
        <w:rPr>
          <w:rFonts w:eastAsia="Times New Roman"/>
          <w:i/>
          <w:iCs/>
        </w:rPr>
        <w:t xml:space="preserve"> </w:t>
      </w:r>
      <w:r w:rsidRPr="00FC3B7C">
        <w:rPr>
          <w:rFonts w:eastAsia="Times New Roman"/>
        </w:rPr>
        <w:t>činnosti, ve které je lepší než</w:t>
      </w:r>
      <w:r w:rsidRPr="00FC3B7C">
        <w:rPr>
          <w:rFonts w:eastAsia="Times New Roman"/>
          <w:i/>
          <w:iCs/>
        </w:rPr>
        <w:t xml:space="preserve"> </w:t>
      </w:r>
      <w:r w:rsidRPr="00FC3B7C">
        <w:rPr>
          <w:rFonts w:eastAsia="Times New Roman"/>
        </w:rPr>
        <w:t>v jiných</w:t>
      </w:r>
      <w:r w:rsidRPr="00FC3B7C">
        <w:rPr>
          <w:rFonts w:eastAsia="Times New Roman"/>
          <w:i/>
          <w:iCs/>
        </w:rPr>
        <w:t xml:space="preserve"> </w:t>
      </w:r>
      <w:r w:rsidRPr="00FC3B7C">
        <w:rPr>
          <w:rFonts w:eastAsia="Times New Roman"/>
        </w:rPr>
        <w:t>činnostech.</w:t>
      </w:r>
      <w:r w:rsidRPr="00FC3B7C">
        <w:rPr>
          <w:rFonts w:eastAsia="Times New Roman"/>
          <w:i/>
          <w:iCs/>
        </w:rPr>
        <w:t xml:space="preserve"> </w:t>
      </w:r>
    </w:p>
    <w:p w14:paraId="0A679A4B" w14:textId="711FB188" w:rsidR="000A0DA5" w:rsidRPr="00FC3B7C" w:rsidRDefault="000A0DA5" w:rsidP="000A0DA5">
      <w:pPr>
        <w:rPr>
          <w:sz w:val="20"/>
          <w:szCs w:val="20"/>
        </w:rPr>
      </w:pPr>
      <w:r w:rsidRPr="00FC3B7C">
        <w:rPr>
          <w:rFonts w:eastAsia="Times New Roman"/>
          <w:b/>
          <w:i/>
          <w:iCs/>
        </w:rPr>
        <w:t>Měnový kurz</w:t>
      </w:r>
      <w:r w:rsidR="000506FA">
        <w:rPr>
          <w:rFonts w:eastAsia="Times New Roman"/>
          <w:b/>
          <w:i/>
          <w:iCs/>
        </w:rPr>
        <w:t xml:space="preserve"> </w:t>
      </w:r>
      <w:r w:rsidRPr="00FC3B7C">
        <w:rPr>
          <w:rFonts w:eastAsia="Times New Roman"/>
        </w:rPr>
        <w:t>– cena měny země</w:t>
      </w:r>
      <w:r w:rsidRPr="00FC3B7C">
        <w:rPr>
          <w:rFonts w:eastAsia="Times New Roman"/>
          <w:i/>
          <w:iCs/>
        </w:rPr>
        <w:t xml:space="preserve"> </w:t>
      </w:r>
      <w:r w:rsidRPr="00FC3B7C">
        <w:rPr>
          <w:rFonts w:eastAsia="Times New Roman"/>
        </w:rPr>
        <w:t>vyjádřená v měnových jednotkách jiné země.</w:t>
      </w:r>
      <w:r w:rsidRPr="00FC3B7C">
        <w:rPr>
          <w:rFonts w:eastAsia="Times New Roman"/>
          <w:i/>
          <w:iCs/>
        </w:rPr>
        <w:t xml:space="preserve"> Nominální domácí produkt</w:t>
      </w:r>
      <w:r w:rsidR="000506FA">
        <w:rPr>
          <w:rFonts w:eastAsia="Times New Roman"/>
          <w:i/>
          <w:iCs/>
        </w:rPr>
        <w:t xml:space="preserve"> </w:t>
      </w:r>
      <w:r w:rsidRPr="00FC3B7C">
        <w:rPr>
          <w:rFonts w:eastAsia="Times New Roman"/>
        </w:rPr>
        <w:t>– domácí produkt měřený</w:t>
      </w:r>
      <w:r w:rsidRPr="00FC3B7C">
        <w:rPr>
          <w:rFonts w:eastAsia="Times New Roman"/>
          <w:i/>
          <w:iCs/>
        </w:rPr>
        <w:t xml:space="preserve"> </w:t>
      </w:r>
      <w:r w:rsidRPr="00FC3B7C">
        <w:rPr>
          <w:rFonts w:eastAsia="Times New Roman"/>
        </w:rPr>
        <w:t>v běžných cenách.</w:t>
      </w:r>
    </w:p>
    <w:p w14:paraId="4396D53C" w14:textId="67EA9189" w:rsidR="000A0DA5" w:rsidRPr="00FC3B7C" w:rsidRDefault="000A0DA5" w:rsidP="000A0DA5">
      <w:pPr>
        <w:rPr>
          <w:sz w:val="20"/>
          <w:szCs w:val="20"/>
        </w:rPr>
      </w:pPr>
      <w:r w:rsidRPr="00FC3B7C">
        <w:rPr>
          <w:rFonts w:eastAsia="Times New Roman"/>
          <w:b/>
          <w:i/>
          <w:iCs/>
        </w:rPr>
        <w:t>Platební bilance</w:t>
      </w:r>
      <w:r w:rsidR="000506FA">
        <w:rPr>
          <w:rFonts w:eastAsia="Times New Roman"/>
          <w:b/>
          <w:i/>
          <w:iCs/>
        </w:rPr>
        <w:t xml:space="preserve"> </w:t>
      </w:r>
      <w:r w:rsidRPr="00FC3B7C">
        <w:rPr>
          <w:rFonts w:eastAsia="Times New Roman"/>
        </w:rPr>
        <w:t>– soustava účtů</w:t>
      </w:r>
      <w:r w:rsidRPr="00FC3B7C">
        <w:rPr>
          <w:rFonts w:eastAsia="Times New Roman"/>
          <w:i/>
          <w:iCs/>
        </w:rPr>
        <w:t xml:space="preserve"> </w:t>
      </w:r>
      <w:r w:rsidRPr="00FC3B7C">
        <w:rPr>
          <w:rFonts w:eastAsia="Times New Roman"/>
        </w:rPr>
        <w:t>zachycujících platební transakce země</w:t>
      </w:r>
      <w:r w:rsidRPr="00FC3B7C">
        <w:rPr>
          <w:rFonts w:eastAsia="Times New Roman"/>
          <w:i/>
          <w:iCs/>
        </w:rPr>
        <w:t xml:space="preserve"> </w:t>
      </w:r>
      <w:r w:rsidRPr="00FC3B7C">
        <w:rPr>
          <w:rFonts w:eastAsia="Times New Roman"/>
        </w:rPr>
        <w:t>se zahraničím v</w:t>
      </w:r>
    </w:p>
    <w:p w14:paraId="0C7F3C29" w14:textId="77777777" w:rsidR="000A0DA5" w:rsidRPr="00FC3B7C" w:rsidRDefault="000A0DA5" w:rsidP="000A0DA5">
      <w:pPr>
        <w:rPr>
          <w:sz w:val="20"/>
          <w:szCs w:val="20"/>
        </w:rPr>
      </w:pPr>
      <w:bookmarkStart w:id="178" w:name="page178"/>
      <w:bookmarkEnd w:id="178"/>
      <w:r w:rsidRPr="00FC3B7C">
        <w:rPr>
          <w:rFonts w:eastAsia="Times New Roman"/>
        </w:rPr>
        <w:t>daném roce.</w:t>
      </w:r>
    </w:p>
    <w:p w14:paraId="0833B0D0" w14:textId="10DE07F9" w:rsidR="000A0DA5" w:rsidRPr="00FC3B7C" w:rsidRDefault="000A0DA5" w:rsidP="000A0DA5">
      <w:pPr>
        <w:rPr>
          <w:sz w:val="20"/>
          <w:szCs w:val="20"/>
        </w:rPr>
      </w:pPr>
      <w:r w:rsidRPr="00FC3B7C">
        <w:rPr>
          <w:rFonts w:eastAsia="Times New Roman"/>
          <w:b/>
          <w:i/>
          <w:iCs/>
        </w:rPr>
        <w:lastRenderedPageBreak/>
        <w:t>Potenciální produkt</w:t>
      </w:r>
      <w:r w:rsidR="000506FA">
        <w:rPr>
          <w:rFonts w:eastAsia="Times New Roman"/>
          <w:b/>
          <w:i/>
          <w:iCs/>
        </w:rPr>
        <w:t xml:space="preserve"> </w:t>
      </w:r>
      <w:r w:rsidRPr="00FC3B7C">
        <w:rPr>
          <w:rFonts w:eastAsia="Times New Roman"/>
        </w:rPr>
        <w:t>– domácí produkt vytvořený</w:t>
      </w:r>
      <w:r w:rsidRPr="00FC3B7C">
        <w:rPr>
          <w:rFonts w:eastAsia="Times New Roman"/>
          <w:i/>
          <w:iCs/>
        </w:rPr>
        <w:t xml:space="preserve"> </w:t>
      </w:r>
      <w:r w:rsidRPr="00FC3B7C">
        <w:rPr>
          <w:rFonts w:eastAsia="Times New Roman"/>
        </w:rPr>
        <w:t>při přirozené míře nezaměstnanosti.</w:t>
      </w:r>
    </w:p>
    <w:p w14:paraId="4212CCB7" w14:textId="498EAC8B" w:rsidR="000A0DA5" w:rsidRPr="00FC3B7C" w:rsidRDefault="000A0DA5" w:rsidP="000A0DA5">
      <w:pPr>
        <w:rPr>
          <w:sz w:val="20"/>
          <w:szCs w:val="20"/>
        </w:rPr>
      </w:pPr>
      <w:r w:rsidRPr="00FC3B7C">
        <w:rPr>
          <w:rFonts w:eastAsia="Times New Roman"/>
          <w:b/>
          <w:i/>
          <w:iCs/>
        </w:rPr>
        <w:t>Reálný domácí produkt</w:t>
      </w:r>
      <w:r w:rsidR="000506FA">
        <w:rPr>
          <w:rFonts w:eastAsia="Times New Roman"/>
          <w:b/>
          <w:i/>
          <w:iCs/>
        </w:rPr>
        <w:t xml:space="preserve"> </w:t>
      </w:r>
      <w:r w:rsidRPr="00FC3B7C">
        <w:rPr>
          <w:rFonts w:eastAsia="Times New Roman"/>
        </w:rPr>
        <w:t>–</w:t>
      </w:r>
      <w:r w:rsidR="000506FA">
        <w:rPr>
          <w:rFonts w:eastAsia="Times New Roman"/>
        </w:rPr>
        <w:t xml:space="preserve"> </w:t>
      </w:r>
      <w:r w:rsidRPr="00FC3B7C">
        <w:rPr>
          <w:rFonts w:eastAsia="Times New Roman"/>
        </w:rPr>
        <w:t>domácí produkt vyjádřený</w:t>
      </w:r>
      <w:r w:rsidRPr="00FC3B7C">
        <w:rPr>
          <w:rFonts w:eastAsia="Times New Roman"/>
          <w:i/>
          <w:iCs/>
        </w:rPr>
        <w:t xml:space="preserve"> </w:t>
      </w:r>
      <w:r w:rsidRPr="00FC3B7C">
        <w:rPr>
          <w:rFonts w:eastAsia="Times New Roman"/>
        </w:rPr>
        <w:t>ve stálých cenách.</w:t>
      </w:r>
    </w:p>
    <w:p w14:paraId="66446850" w14:textId="77777777" w:rsidR="000A0DA5" w:rsidRPr="00FC3B7C" w:rsidRDefault="000A0DA5" w:rsidP="000A0DA5">
      <w:pPr>
        <w:rPr>
          <w:sz w:val="20"/>
          <w:szCs w:val="20"/>
        </w:rPr>
      </w:pPr>
      <w:r w:rsidRPr="00FC3B7C">
        <w:rPr>
          <w:rFonts w:eastAsia="Times New Roman"/>
          <w:b/>
          <w:i/>
          <w:iCs/>
        </w:rPr>
        <w:t>Vnější rovnováha</w:t>
      </w:r>
      <w:r w:rsidRPr="00FC3B7C">
        <w:rPr>
          <w:rFonts w:eastAsia="Times New Roman"/>
          <w:i/>
          <w:iCs/>
        </w:rPr>
        <w:t xml:space="preserve"> </w:t>
      </w:r>
      <w:r w:rsidRPr="00FC3B7C">
        <w:rPr>
          <w:rFonts w:eastAsia="Times New Roman"/>
        </w:rPr>
        <w:t>– situace, kdy je saldo BÚ PB právě</w:t>
      </w:r>
      <w:r w:rsidRPr="00FC3B7C">
        <w:rPr>
          <w:rFonts w:eastAsia="Times New Roman"/>
          <w:i/>
          <w:iCs/>
        </w:rPr>
        <w:t xml:space="preserve"> </w:t>
      </w:r>
      <w:r w:rsidRPr="00FC3B7C">
        <w:rPr>
          <w:rFonts w:eastAsia="Times New Roman"/>
        </w:rPr>
        <w:t>rovno opačnému saldu FÚ PB,</w:t>
      </w:r>
      <w:r w:rsidRPr="00FC3B7C">
        <w:rPr>
          <w:rFonts w:eastAsia="Times New Roman"/>
          <w:i/>
          <w:iCs/>
        </w:rPr>
        <w:t xml:space="preserve"> </w:t>
      </w:r>
      <w:r w:rsidRPr="00FC3B7C">
        <w:rPr>
          <w:rFonts w:eastAsia="Times New Roman"/>
        </w:rPr>
        <w:t>nevzniká tlak na změnu devizových rezerv.</w:t>
      </w:r>
    </w:p>
    <w:p w14:paraId="6962AB1D" w14:textId="77777777" w:rsidR="000A0DA5" w:rsidRPr="00FC3B7C" w:rsidRDefault="000A0DA5" w:rsidP="000A0DA5">
      <w:pPr>
        <w:spacing w:line="349" w:lineRule="exact"/>
        <w:rPr>
          <w:sz w:val="20"/>
          <w:szCs w:val="20"/>
        </w:rPr>
      </w:pPr>
    </w:p>
    <w:p w14:paraId="094B6083" w14:textId="77777777" w:rsidR="000A0DA5" w:rsidRPr="000A0DA5" w:rsidRDefault="000A0DA5" w:rsidP="000A0DA5">
      <w:pPr>
        <w:pStyle w:val="Nadpis2"/>
        <w:rPr>
          <w:color w:val="1F3864" w:themeColor="accent1" w:themeShade="80"/>
          <w:szCs w:val="28"/>
        </w:rPr>
      </w:pPr>
      <w:r w:rsidRPr="000A0DA5">
        <w:rPr>
          <w:rFonts w:eastAsia="Times New Roman"/>
          <w:color w:val="1F3864" w:themeColor="accent1" w:themeShade="80"/>
          <w:sz w:val="36"/>
          <w:szCs w:val="36"/>
        </w:rPr>
        <w:t xml:space="preserve"> </w:t>
      </w:r>
      <w:r w:rsidRPr="000A0DA5">
        <w:rPr>
          <w:rFonts w:eastAsia="Times New Roman"/>
          <w:color w:val="1F3864" w:themeColor="accent1" w:themeShade="80"/>
          <w:szCs w:val="28"/>
        </w:rPr>
        <w:t>OTEVŘENÁ EKONOMIKA</w:t>
      </w:r>
    </w:p>
    <w:p w14:paraId="2BC2476D" w14:textId="77777777" w:rsidR="000A0DA5" w:rsidRPr="004B6CDE" w:rsidRDefault="000A0DA5" w:rsidP="00D46B53">
      <w:pPr>
        <w:numPr>
          <w:ilvl w:val="0"/>
          <w:numId w:val="162"/>
        </w:numPr>
        <w:tabs>
          <w:tab w:val="left" w:pos="820"/>
        </w:tabs>
        <w:ind w:left="820" w:hanging="348"/>
        <w:rPr>
          <w:rFonts w:eastAsia="Times New Roman"/>
          <w:szCs w:val="24"/>
        </w:rPr>
      </w:pPr>
      <w:r w:rsidRPr="004B6CDE">
        <w:rPr>
          <w:rFonts w:eastAsia="Times New Roman"/>
          <w:szCs w:val="24"/>
        </w:rPr>
        <w:t xml:space="preserve">Globalizace přispívá k růstu otevřenosti ekonomiky </w:t>
      </w:r>
    </w:p>
    <w:p w14:paraId="573ADF29" w14:textId="77777777" w:rsidR="000A0DA5" w:rsidRPr="004B6CDE" w:rsidRDefault="000A0DA5" w:rsidP="00D46B53">
      <w:pPr>
        <w:numPr>
          <w:ilvl w:val="0"/>
          <w:numId w:val="162"/>
        </w:numPr>
        <w:tabs>
          <w:tab w:val="left" w:pos="820"/>
        </w:tabs>
        <w:ind w:left="820" w:hanging="348"/>
        <w:rPr>
          <w:rFonts w:eastAsia="Times New Roman"/>
          <w:szCs w:val="24"/>
        </w:rPr>
      </w:pPr>
      <w:r w:rsidRPr="004B6CDE">
        <w:rPr>
          <w:rFonts w:eastAsia="Times New Roman"/>
          <w:szCs w:val="24"/>
        </w:rPr>
        <w:t>Měřena podílem vývozu (resp. dovozu) k HDP</w:t>
      </w:r>
    </w:p>
    <w:p w14:paraId="08901B70" w14:textId="77777777" w:rsidR="000A0DA5" w:rsidRPr="004B6CDE" w:rsidRDefault="000A0DA5" w:rsidP="00D46B53">
      <w:pPr>
        <w:numPr>
          <w:ilvl w:val="0"/>
          <w:numId w:val="162"/>
        </w:numPr>
        <w:tabs>
          <w:tab w:val="left" w:pos="820"/>
        </w:tabs>
        <w:ind w:left="820" w:hanging="348"/>
        <w:rPr>
          <w:rFonts w:eastAsia="Times New Roman"/>
          <w:szCs w:val="24"/>
        </w:rPr>
      </w:pPr>
      <w:r w:rsidRPr="004B6CDE">
        <w:rPr>
          <w:rFonts w:eastAsia="Times New Roman"/>
          <w:szCs w:val="24"/>
        </w:rPr>
        <w:t>Malá otevřená ekonomika:</w:t>
      </w:r>
    </w:p>
    <w:p w14:paraId="1B794E9D" w14:textId="7F6D5B08" w:rsidR="000A0DA5" w:rsidRPr="004B6CDE" w:rsidRDefault="000A0DA5" w:rsidP="00D46B53">
      <w:pPr>
        <w:pStyle w:val="Odstavecseseznamem"/>
        <w:numPr>
          <w:ilvl w:val="0"/>
          <w:numId w:val="603"/>
        </w:numPr>
        <w:spacing w:line="248" w:lineRule="auto"/>
        <w:ind w:right="60"/>
        <w:rPr>
          <w:sz w:val="20"/>
          <w:szCs w:val="20"/>
        </w:rPr>
      </w:pPr>
      <w:r w:rsidRPr="004B6CDE">
        <w:rPr>
          <w:rFonts w:eastAsia="Courier New"/>
          <w:szCs w:val="24"/>
        </w:rPr>
        <w:t xml:space="preserve"> </w:t>
      </w:r>
      <w:r w:rsidRPr="004B6CDE">
        <w:rPr>
          <w:rFonts w:eastAsia="Times New Roman"/>
          <w:szCs w:val="24"/>
        </w:rPr>
        <w:t>je spoj</w:t>
      </w:r>
      <w:r w:rsidR="007E5E16">
        <w:rPr>
          <w:rFonts w:eastAsia="Times New Roman"/>
          <w:szCs w:val="24"/>
        </w:rPr>
        <w:t xml:space="preserve">ena se světovým obchodem zboží, služeb, </w:t>
      </w:r>
      <w:r w:rsidRPr="004B6CDE">
        <w:rPr>
          <w:rFonts w:eastAsia="Times New Roman"/>
          <w:szCs w:val="24"/>
        </w:rPr>
        <w:t>kapitálu a různými</w:t>
      </w:r>
      <w:r w:rsidR="003376E1">
        <w:rPr>
          <w:rFonts w:eastAsia="Times New Roman"/>
          <w:szCs w:val="24"/>
        </w:rPr>
        <w:t xml:space="preserve">   </w:t>
      </w:r>
      <w:r w:rsidRPr="004B6CDE">
        <w:rPr>
          <w:rFonts w:eastAsia="Times New Roman"/>
          <w:szCs w:val="24"/>
        </w:rPr>
        <w:t>finančními</w:t>
      </w:r>
      <w:r w:rsidRPr="004B6CDE">
        <w:rPr>
          <w:rFonts w:eastAsia="Courier New"/>
          <w:szCs w:val="24"/>
        </w:rPr>
        <w:t xml:space="preserve"> </w:t>
      </w:r>
      <w:r w:rsidRPr="004B6CDE">
        <w:rPr>
          <w:rFonts w:eastAsia="Times New Roman"/>
          <w:szCs w:val="24"/>
        </w:rPr>
        <w:t>toky</w:t>
      </w:r>
    </w:p>
    <w:p w14:paraId="17C995FC" w14:textId="77777777" w:rsidR="000A0DA5" w:rsidRPr="003B7FC9" w:rsidRDefault="000A0DA5" w:rsidP="000A0DA5">
      <w:pPr>
        <w:spacing w:line="248" w:lineRule="auto"/>
        <w:ind w:left="720" w:right="60"/>
        <w:rPr>
          <w:sz w:val="20"/>
          <w:szCs w:val="20"/>
        </w:rPr>
      </w:pPr>
    </w:p>
    <w:p w14:paraId="2B8B99D3" w14:textId="77777777" w:rsidR="000A0DA5" w:rsidRPr="00FC3B7C" w:rsidRDefault="000A0DA5" w:rsidP="000A0DA5">
      <w:pPr>
        <w:spacing w:line="2" w:lineRule="exact"/>
        <w:rPr>
          <w:sz w:val="20"/>
          <w:szCs w:val="20"/>
        </w:rPr>
      </w:pPr>
    </w:p>
    <w:p w14:paraId="2598ECC0" w14:textId="77777777" w:rsidR="000A0DA5" w:rsidRPr="00D738E5" w:rsidRDefault="000A0DA5" w:rsidP="00D46B53">
      <w:pPr>
        <w:pStyle w:val="Odstavecseseznamem"/>
        <w:numPr>
          <w:ilvl w:val="0"/>
          <w:numId w:val="603"/>
        </w:numPr>
        <w:tabs>
          <w:tab w:val="left" w:pos="1486"/>
        </w:tabs>
        <w:spacing w:line="385" w:lineRule="auto"/>
        <w:ind w:right="220"/>
        <w:rPr>
          <w:rFonts w:eastAsia="Courier New"/>
          <w:szCs w:val="24"/>
        </w:rPr>
      </w:pPr>
      <w:r w:rsidRPr="00D738E5">
        <w:rPr>
          <w:rFonts w:eastAsia="Times New Roman"/>
          <w:szCs w:val="24"/>
        </w:rPr>
        <w:t>Je ovlivňována faktory z okolních států (např. přebírá jejich ceny) a států, se kterými je propojena, ale sama je dokáže ovlivnit jen velmi málo</w:t>
      </w:r>
    </w:p>
    <w:p w14:paraId="76BF44F5" w14:textId="77777777" w:rsidR="000A0DA5" w:rsidRPr="00FC3B7C" w:rsidRDefault="000A0DA5" w:rsidP="000A0DA5">
      <w:pPr>
        <w:spacing w:line="375" w:lineRule="exact"/>
        <w:rPr>
          <w:sz w:val="20"/>
          <w:szCs w:val="20"/>
        </w:rPr>
      </w:pPr>
    </w:p>
    <w:p w14:paraId="22C56896" w14:textId="77777777" w:rsidR="000A0DA5" w:rsidRPr="002331D3" w:rsidRDefault="000A0DA5" w:rsidP="000A0DA5">
      <w:pPr>
        <w:pStyle w:val="Nadpis3"/>
        <w:rPr>
          <w:color w:val="1F3864" w:themeColor="accent1" w:themeShade="80"/>
          <w:sz w:val="20"/>
          <w:szCs w:val="20"/>
        </w:rPr>
      </w:pPr>
      <w:r w:rsidRPr="002331D3">
        <w:rPr>
          <w:rFonts w:eastAsia="Times New Roman"/>
          <w:color w:val="1F3864" w:themeColor="accent1" w:themeShade="80"/>
        </w:rPr>
        <w:t>Míra otevřenosti ekonomiky</w:t>
      </w:r>
    </w:p>
    <w:p w14:paraId="0A4A0675" w14:textId="77777777" w:rsidR="000A0DA5" w:rsidRPr="00FC3B7C" w:rsidRDefault="000A0DA5" w:rsidP="00D46B53">
      <w:pPr>
        <w:numPr>
          <w:ilvl w:val="0"/>
          <w:numId w:val="163"/>
        </w:numPr>
        <w:tabs>
          <w:tab w:val="left" w:pos="824"/>
        </w:tabs>
        <w:spacing w:line="377" w:lineRule="auto"/>
        <w:ind w:left="840" w:right="80" w:hanging="368"/>
        <w:rPr>
          <w:rFonts w:eastAsia="Times New Roman"/>
          <w:szCs w:val="24"/>
        </w:rPr>
      </w:pPr>
      <w:r w:rsidRPr="00FC3B7C">
        <w:rPr>
          <w:rFonts w:eastAsia="Times New Roman"/>
          <w:szCs w:val="24"/>
        </w:rPr>
        <w:t>Měří se jako poměr EXPORTU</w:t>
      </w:r>
      <w:r>
        <w:rPr>
          <w:rFonts w:eastAsia="Times New Roman"/>
          <w:szCs w:val="24"/>
        </w:rPr>
        <w:t xml:space="preserve"> a </w:t>
      </w:r>
      <w:r w:rsidRPr="00FC3B7C">
        <w:rPr>
          <w:rFonts w:eastAsia="Times New Roman"/>
          <w:szCs w:val="24"/>
        </w:rPr>
        <w:t>IMPORTU k HDP (pro srovnání mezi státy se tento poměr přepočítává na jednoho obyvatele)</w:t>
      </w:r>
    </w:p>
    <w:p w14:paraId="54E66050" w14:textId="77777777" w:rsidR="000A0DA5" w:rsidRPr="00FC3B7C" w:rsidRDefault="000A0DA5" w:rsidP="000A0DA5">
      <w:pPr>
        <w:spacing w:line="1" w:lineRule="exact"/>
        <w:rPr>
          <w:rFonts w:eastAsia="Times New Roman"/>
          <w:szCs w:val="24"/>
        </w:rPr>
      </w:pPr>
    </w:p>
    <w:p w14:paraId="2509C48A" w14:textId="77777777" w:rsidR="000A0DA5" w:rsidRPr="00FC3B7C" w:rsidRDefault="000A0DA5" w:rsidP="00D46B53">
      <w:pPr>
        <w:numPr>
          <w:ilvl w:val="0"/>
          <w:numId w:val="163"/>
        </w:numPr>
        <w:tabs>
          <w:tab w:val="left" w:pos="824"/>
        </w:tabs>
        <w:spacing w:line="375" w:lineRule="auto"/>
        <w:ind w:left="840" w:right="160" w:hanging="368"/>
        <w:rPr>
          <w:rFonts w:eastAsia="Times New Roman"/>
          <w:szCs w:val="24"/>
        </w:rPr>
      </w:pPr>
      <w:r w:rsidRPr="00FC3B7C">
        <w:rPr>
          <w:rFonts w:eastAsia="Times New Roman"/>
          <w:szCs w:val="24"/>
        </w:rPr>
        <w:t xml:space="preserve">Závisí na několika faktorech, jako je politické uspořádání, alokace vzácných zdrojů, </w:t>
      </w:r>
      <w:r w:rsidRPr="003B7FC9">
        <w:rPr>
          <w:rFonts w:eastAsia="Times New Roman"/>
          <w:color w:val="FF0000"/>
          <w:szCs w:val="24"/>
        </w:rPr>
        <w:t>s</w:t>
      </w:r>
      <w:r w:rsidRPr="00FC3B7C">
        <w:rPr>
          <w:rFonts w:eastAsia="Times New Roman"/>
          <w:szCs w:val="24"/>
        </w:rPr>
        <w:t>urovinová základna atp.</w:t>
      </w:r>
    </w:p>
    <w:p w14:paraId="02C5B60E" w14:textId="77777777" w:rsidR="000A0DA5" w:rsidRPr="00FC3B7C" w:rsidRDefault="000A0DA5" w:rsidP="000A0DA5">
      <w:pPr>
        <w:spacing w:line="1" w:lineRule="exact"/>
        <w:rPr>
          <w:rFonts w:eastAsia="Times New Roman"/>
          <w:szCs w:val="24"/>
        </w:rPr>
      </w:pPr>
    </w:p>
    <w:p w14:paraId="75E5FB58" w14:textId="77777777" w:rsidR="000A0DA5" w:rsidRPr="002331D3" w:rsidRDefault="000A0DA5" w:rsidP="00D46B53">
      <w:pPr>
        <w:numPr>
          <w:ilvl w:val="0"/>
          <w:numId w:val="163"/>
        </w:numPr>
        <w:tabs>
          <w:tab w:val="left" w:pos="820"/>
        </w:tabs>
        <w:ind w:left="820" w:hanging="348"/>
        <w:rPr>
          <w:rFonts w:eastAsia="Times New Roman"/>
          <w:szCs w:val="24"/>
        </w:rPr>
      </w:pPr>
      <w:r w:rsidRPr="00FC3B7C">
        <w:rPr>
          <w:rFonts w:eastAsia="Times New Roman"/>
          <w:szCs w:val="24"/>
        </w:rPr>
        <w:t>pro malé otevřené ekonomiky je velmi důležitá komparativní výhoda</w:t>
      </w:r>
    </w:p>
    <w:p w14:paraId="12E84B05" w14:textId="77777777" w:rsidR="000A0DA5" w:rsidRPr="002331D3" w:rsidRDefault="000A0DA5" w:rsidP="000A0DA5">
      <w:pPr>
        <w:pStyle w:val="Nadpis3"/>
        <w:rPr>
          <w:rFonts w:eastAsia="Times New Roman"/>
          <w:color w:val="1F3864" w:themeColor="accent1" w:themeShade="80"/>
        </w:rPr>
      </w:pPr>
      <w:r w:rsidRPr="002331D3">
        <w:rPr>
          <w:rFonts w:eastAsia="Times New Roman"/>
          <w:color w:val="1F3864" w:themeColor="accent1" w:themeShade="80"/>
        </w:rPr>
        <w:t>Vnitřní a vnější rovnováha ekonomiky</w:t>
      </w:r>
    </w:p>
    <w:p w14:paraId="7492C685" w14:textId="77777777" w:rsidR="000A0DA5" w:rsidRPr="004B6CDE" w:rsidRDefault="000A0DA5" w:rsidP="000A0DA5">
      <w:pPr>
        <w:rPr>
          <w:b/>
          <w:bCs/>
          <w:u w:val="single"/>
        </w:rPr>
      </w:pPr>
      <w:r w:rsidRPr="004B6CDE">
        <w:rPr>
          <w:b/>
          <w:bCs/>
          <w:u w:val="single"/>
        </w:rPr>
        <w:t>Vnitřní</w:t>
      </w:r>
    </w:p>
    <w:p w14:paraId="3DD6D600" w14:textId="77777777" w:rsidR="000A0DA5" w:rsidRPr="004B6CDE" w:rsidRDefault="000A0DA5" w:rsidP="000A0DA5">
      <w:pPr>
        <w:tabs>
          <w:tab w:val="left" w:pos="824"/>
        </w:tabs>
        <w:ind w:right="20"/>
        <w:rPr>
          <w:rFonts w:eastAsia="Times New Roman"/>
          <w:szCs w:val="24"/>
        </w:rPr>
      </w:pPr>
      <w:r w:rsidRPr="004B6CDE">
        <w:rPr>
          <w:rFonts w:eastAsia="Times New Roman"/>
          <w:szCs w:val="24"/>
          <w:u w:val="single"/>
        </w:rPr>
        <w:t>Cíl:</w:t>
      </w:r>
      <w:r w:rsidRPr="004B6CDE">
        <w:rPr>
          <w:rFonts w:eastAsia="Times New Roman"/>
          <w:szCs w:val="24"/>
        </w:rPr>
        <w:t xml:space="preserve"> dosažení takové úrovně reálného důchodu, která odpovídá přirozené míře nezaměstnanosti (počet lidí opouštějících práci se rovná počtu lidí nalézajících práci) a cenové stabilitě</w:t>
      </w:r>
    </w:p>
    <w:p w14:paraId="75DC973D" w14:textId="77777777" w:rsidR="000A0DA5" w:rsidRPr="004B6CDE" w:rsidRDefault="000A0DA5" w:rsidP="000A0DA5">
      <w:pPr>
        <w:tabs>
          <w:tab w:val="left" w:pos="824"/>
        </w:tabs>
        <w:spacing w:line="250" w:lineRule="auto"/>
        <w:ind w:left="840" w:right="20"/>
        <w:rPr>
          <w:rFonts w:eastAsia="Times New Roman"/>
          <w:szCs w:val="24"/>
        </w:rPr>
      </w:pPr>
    </w:p>
    <w:p w14:paraId="2AA2E5D0" w14:textId="77777777" w:rsidR="000A0DA5" w:rsidRPr="004B6CDE" w:rsidRDefault="000A0DA5" w:rsidP="000A0DA5">
      <w:pPr>
        <w:spacing w:line="1" w:lineRule="exact"/>
        <w:rPr>
          <w:rFonts w:eastAsia="Times New Roman"/>
          <w:szCs w:val="24"/>
        </w:rPr>
      </w:pPr>
    </w:p>
    <w:p w14:paraId="465730B5" w14:textId="77777777" w:rsidR="000A0DA5" w:rsidRPr="004B6CDE" w:rsidRDefault="000A0DA5" w:rsidP="000A0DA5">
      <w:pPr>
        <w:tabs>
          <w:tab w:val="left" w:pos="460"/>
        </w:tabs>
        <w:rPr>
          <w:rFonts w:eastAsia="Times New Roman"/>
          <w:b/>
          <w:bCs/>
          <w:szCs w:val="24"/>
          <w:u w:val="single"/>
        </w:rPr>
      </w:pPr>
      <w:r w:rsidRPr="004B6CDE">
        <w:rPr>
          <w:rFonts w:eastAsia="Times New Roman"/>
          <w:b/>
          <w:bCs/>
          <w:szCs w:val="24"/>
          <w:u w:val="single"/>
        </w:rPr>
        <w:t>Vnější:</w:t>
      </w:r>
    </w:p>
    <w:p w14:paraId="19F468EC" w14:textId="77777777" w:rsidR="000A0DA5" w:rsidRPr="004B6CDE" w:rsidRDefault="000A0DA5" w:rsidP="000A0DA5">
      <w:pPr>
        <w:tabs>
          <w:tab w:val="left" w:pos="820"/>
        </w:tabs>
        <w:rPr>
          <w:rFonts w:eastAsia="Times New Roman"/>
          <w:szCs w:val="24"/>
        </w:rPr>
      </w:pPr>
      <w:r w:rsidRPr="004B6CDE">
        <w:rPr>
          <w:rFonts w:eastAsia="Times New Roman"/>
          <w:szCs w:val="24"/>
          <w:u w:val="single"/>
        </w:rPr>
        <w:t>Cíl:</w:t>
      </w:r>
      <w:r w:rsidRPr="004B6CDE">
        <w:rPr>
          <w:rFonts w:eastAsia="Times New Roman"/>
          <w:szCs w:val="24"/>
        </w:rPr>
        <w:t xml:space="preserve"> Vyrovnanost platební bilance (export = import). </w:t>
      </w:r>
    </w:p>
    <w:p w14:paraId="5069DF0E" w14:textId="77777777" w:rsidR="000A0DA5" w:rsidRPr="004B6CDE" w:rsidRDefault="000A0DA5" w:rsidP="000A0DA5">
      <w:pPr>
        <w:tabs>
          <w:tab w:val="left" w:pos="820"/>
        </w:tabs>
        <w:rPr>
          <w:rFonts w:eastAsia="Times New Roman"/>
          <w:szCs w:val="24"/>
        </w:rPr>
      </w:pPr>
      <w:r w:rsidRPr="004B6CDE">
        <w:rPr>
          <w:rFonts w:eastAsia="Times New Roman"/>
          <w:szCs w:val="24"/>
        </w:rPr>
        <w:t xml:space="preserve">Uskutečňují ji: Vláda, Ministerstva, Centrální banka a další pověřené instituce (např. EGAP, ČEB, Cech Trade) </w:t>
      </w:r>
    </w:p>
    <w:p w14:paraId="089EF435" w14:textId="77777777" w:rsidR="000A0DA5" w:rsidRDefault="000A0DA5" w:rsidP="000A0DA5">
      <w:pPr>
        <w:rPr>
          <w:color w:val="FF0000"/>
        </w:rPr>
      </w:pPr>
    </w:p>
    <w:p w14:paraId="550B39BE" w14:textId="77777777" w:rsidR="000A0DA5" w:rsidRDefault="000A0DA5" w:rsidP="000A0DA5">
      <w:pPr>
        <w:rPr>
          <w:color w:val="FF0000"/>
        </w:rPr>
      </w:pPr>
    </w:p>
    <w:p w14:paraId="2AB31979" w14:textId="77777777" w:rsidR="000A0DA5" w:rsidRDefault="000A0DA5" w:rsidP="000A0DA5">
      <w:pPr>
        <w:rPr>
          <w:color w:val="FF0000"/>
        </w:rPr>
      </w:pPr>
    </w:p>
    <w:p w14:paraId="33E4FC91" w14:textId="77777777" w:rsidR="000A0DA5" w:rsidRPr="00205A45" w:rsidRDefault="000A0DA5" w:rsidP="000A0DA5">
      <w:pPr>
        <w:rPr>
          <w:color w:val="FF0000"/>
        </w:rPr>
        <w:sectPr w:rsidR="000A0DA5" w:rsidRPr="00205A45">
          <w:pgSz w:w="11900" w:h="16840"/>
          <w:pgMar w:top="1440" w:right="1440" w:bottom="1440" w:left="1420" w:header="0" w:footer="0" w:gutter="0"/>
          <w:cols w:space="708" w:equalWidth="0">
            <w:col w:w="9040"/>
          </w:cols>
        </w:sectPr>
      </w:pPr>
    </w:p>
    <w:p w14:paraId="72BA16B2" w14:textId="77777777" w:rsidR="000A0DA5" w:rsidRPr="000A0DA5" w:rsidRDefault="000A0DA5" w:rsidP="000A0DA5">
      <w:pPr>
        <w:pStyle w:val="Nadpis3"/>
        <w:rPr>
          <w:color w:val="1F3864" w:themeColor="accent1" w:themeShade="80"/>
          <w:sz w:val="20"/>
          <w:szCs w:val="20"/>
        </w:rPr>
      </w:pPr>
      <w:bookmarkStart w:id="179" w:name="page179"/>
      <w:bookmarkEnd w:id="179"/>
      <w:r w:rsidRPr="000A0DA5">
        <w:rPr>
          <w:rFonts w:eastAsia="Times New Roman"/>
          <w:color w:val="1F3864" w:themeColor="accent1" w:themeShade="80"/>
        </w:rPr>
        <w:lastRenderedPageBreak/>
        <w:t>Řešení konfliktu vnitřní a vnější nerovnováhy</w:t>
      </w:r>
    </w:p>
    <w:p w14:paraId="6805AA91" w14:textId="77777777" w:rsidR="000A0DA5" w:rsidRPr="002331D3" w:rsidRDefault="000A0DA5" w:rsidP="00D46B53">
      <w:pPr>
        <w:numPr>
          <w:ilvl w:val="0"/>
          <w:numId w:val="164"/>
        </w:numPr>
        <w:tabs>
          <w:tab w:val="left" w:pos="820"/>
        </w:tabs>
        <w:ind w:left="820" w:hanging="348"/>
        <w:rPr>
          <w:rFonts w:eastAsia="Times New Roman"/>
          <w:szCs w:val="24"/>
        </w:rPr>
      </w:pPr>
      <w:r w:rsidRPr="00FC3B7C">
        <w:rPr>
          <w:rFonts w:eastAsia="Times New Roman"/>
          <w:szCs w:val="24"/>
        </w:rPr>
        <w:t>stabilizační politika by měla usilovat o dosažení obou rovnováh</w:t>
      </w:r>
      <w:r>
        <w:rPr>
          <w:rFonts w:eastAsia="Times New Roman"/>
          <w:szCs w:val="24"/>
        </w:rPr>
        <w:t>, č</w:t>
      </w:r>
      <w:r w:rsidRPr="002331D3">
        <w:rPr>
          <w:rFonts w:eastAsia="Times New Roman"/>
          <w:szCs w:val="24"/>
        </w:rPr>
        <w:t>asto ovšem nastává situace, kdy je možné dosáhnout pouze jedné rovnováhy</w:t>
      </w:r>
    </w:p>
    <w:p w14:paraId="3C6D58EA" w14:textId="77777777" w:rsidR="000A0DA5" w:rsidRPr="002331D3" w:rsidRDefault="000A0DA5" w:rsidP="00D46B53">
      <w:pPr>
        <w:numPr>
          <w:ilvl w:val="0"/>
          <w:numId w:val="165"/>
        </w:numPr>
        <w:tabs>
          <w:tab w:val="left" w:pos="824"/>
        </w:tabs>
        <w:ind w:left="840" w:right="20" w:hanging="368"/>
        <w:rPr>
          <w:rFonts w:eastAsia="Times New Roman"/>
          <w:szCs w:val="24"/>
        </w:rPr>
      </w:pPr>
      <w:r w:rsidRPr="00FC3B7C">
        <w:rPr>
          <w:rFonts w:eastAsia="Times New Roman"/>
          <w:szCs w:val="24"/>
        </w:rPr>
        <w:t>pracujeme s předpokladem neměnného devizového kurzu a nepočítáme se změnami na finančním účtu</w:t>
      </w:r>
    </w:p>
    <w:p w14:paraId="49F8D37C" w14:textId="77777777" w:rsidR="000A0DA5" w:rsidRPr="004B6CDE" w:rsidRDefault="000A0DA5" w:rsidP="00D46B53">
      <w:pPr>
        <w:numPr>
          <w:ilvl w:val="0"/>
          <w:numId w:val="165"/>
        </w:numPr>
        <w:tabs>
          <w:tab w:val="left" w:pos="824"/>
        </w:tabs>
        <w:ind w:left="840" w:right="80" w:hanging="368"/>
        <w:rPr>
          <w:rFonts w:eastAsia="Times New Roman"/>
          <w:szCs w:val="24"/>
        </w:rPr>
      </w:pPr>
      <w:r w:rsidRPr="00FC3B7C">
        <w:rPr>
          <w:rFonts w:eastAsia="Times New Roman"/>
          <w:szCs w:val="24"/>
        </w:rPr>
        <w:t xml:space="preserve">politika přesunující výdaje – k přesunu výdajů dochází mezi domácím a </w:t>
      </w:r>
      <w:r w:rsidRPr="004B6CDE">
        <w:rPr>
          <w:rFonts w:eastAsia="Times New Roman"/>
          <w:szCs w:val="24"/>
        </w:rPr>
        <w:t>zahraničním sektorem</w:t>
      </w:r>
    </w:p>
    <w:p w14:paraId="69D62B03" w14:textId="77777777" w:rsidR="000A0DA5" w:rsidRPr="004B6CDE" w:rsidRDefault="000A0DA5" w:rsidP="00D46B53">
      <w:pPr>
        <w:numPr>
          <w:ilvl w:val="0"/>
          <w:numId w:val="165"/>
        </w:numPr>
        <w:tabs>
          <w:tab w:val="left" w:pos="820"/>
        </w:tabs>
        <w:ind w:left="820" w:hanging="348"/>
        <w:rPr>
          <w:rFonts w:eastAsia="Times New Roman"/>
          <w:szCs w:val="24"/>
        </w:rPr>
      </w:pPr>
      <w:r w:rsidRPr="004B6CDE">
        <w:rPr>
          <w:rFonts w:eastAsia="Times New Roman"/>
          <w:szCs w:val="24"/>
        </w:rPr>
        <w:t>nástroje CB v oblasti stanovování měnových kurzů</w:t>
      </w:r>
    </w:p>
    <w:p w14:paraId="583D12AA" w14:textId="1AC1B800" w:rsidR="000A0DA5" w:rsidRPr="004B6CDE" w:rsidRDefault="000A0DA5" w:rsidP="000A0DA5">
      <w:pPr>
        <w:pStyle w:val="Odstavecseseznamem"/>
        <w:numPr>
          <w:ilvl w:val="0"/>
          <w:numId w:val="144"/>
        </w:numPr>
        <w:ind w:hanging="294"/>
        <w:rPr>
          <w:sz w:val="20"/>
          <w:szCs w:val="20"/>
        </w:rPr>
      </w:pPr>
      <w:r w:rsidRPr="004B6CDE">
        <w:rPr>
          <w:rFonts w:eastAsia="Times New Roman"/>
          <w:szCs w:val="24"/>
        </w:rPr>
        <w:t>v případě</w:t>
      </w:r>
      <w:r w:rsidRPr="004B6CDE">
        <w:rPr>
          <w:rFonts w:eastAsia="Courier New"/>
          <w:szCs w:val="24"/>
        </w:rPr>
        <w:t xml:space="preserve"> </w:t>
      </w:r>
      <w:r w:rsidRPr="004B6CDE">
        <w:rPr>
          <w:rFonts w:eastAsia="Times New Roman"/>
          <w:szCs w:val="24"/>
        </w:rPr>
        <w:t>fixního kurzu se jedná o devalvaci (znehodnocení) a revalvaci (zhodnocení)</w:t>
      </w:r>
    </w:p>
    <w:p w14:paraId="3A01F846" w14:textId="214A30CD" w:rsidR="000A0DA5" w:rsidRPr="004B6CDE" w:rsidRDefault="000A0DA5" w:rsidP="000A0DA5">
      <w:pPr>
        <w:pStyle w:val="Odstavecseseznamem"/>
        <w:numPr>
          <w:ilvl w:val="0"/>
          <w:numId w:val="144"/>
        </w:numPr>
        <w:ind w:hanging="294"/>
        <w:rPr>
          <w:sz w:val="20"/>
          <w:szCs w:val="20"/>
        </w:rPr>
      </w:pPr>
      <w:r w:rsidRPr="004B6CDE">
        <w:rPr>
          <w:rFonts w:eastAsia="Times New Roman"/>
          <w:szCs w:val="24"/>
        </w:rPr>
        <w:t>v případě</w:t>
      </w:r>
      <w:r w:rsidRPr="004B6CDE">
        <w:rPr>
          <w:rFonts w:eastAsia="Courier New"/>
          <w:szCs w:val="24"/>
        </w:rPr>
        <w:t xml:space="preserve"> </w:t>
      </w:r>
      <w:r w:rsidRPr="004B6CDE">
        <w:rPr>
          <w:rFonts w:eastAsia="Times New Roman"/>
          <w:szCs w:val="24"/>
        </w:rPr>
        <w:t>floatingu se jedná o depreciaci</w:t>
      </w:r>
      <w:r w:rsidR="007E5E16">
        <w:rPr>
          <w:rFonts w:eastAsia="Times New Roman"/>
          <w:szCs w:val="24"/>
        </w:rPr>
        <w:t xml:space="preserve"> </w:t>
      </w:r>
      <w:r w:rsidRPr="004B6CDE">
        <w:rPr>
          <w:rFonts w:eastAsia="Times New Roman"/>
          <w:szCs w:val="24"/>
        </w:rPr>
        <w:t>(znehodnocení) a apreciaci (zhodnocení)</w:t>
      </w:r>
    </w:p>
    <w:p w14:paraId="789E5A36" w14:textId="40BFF8DF" w:rsidR="000A0DA5" w:rsidRPr="004B6CDE" w:rsidRDefault="000A0DA5" w:rsidP="00D46B53">
      <w:pPr>
        <w:numPr>
          <w:ilvl w:val="0"/>
          <w:numId w:val="166"/>
        </w:numPr>
        <w:tabs>
          <w:tab w:val="left" w:pos="824"/>
        </w:tabs>
        <w:ind w:left="840" w:right="1669" w:hanging="368"/>
        <w:rPr>
          <w:rFonts w:eastAsia="Times New Roman"/>
          <w:szCs w:val="24"/>
        </w:rPr>
      </w:pPr>
      <w:r w:rsidRPr="004B6CDE">
        <w:rPr>
          <w:rFonts w:eastAsia="Times New Roman"/>
          <w:szCs w:val="24"/>
        </w:rPr>
        <w:t>nástroje omezující zahraniční obchod</w:t>
      </w:r>
      <w:r w:rsidR="003376E1">
        <w:rPr>
          <w:rFonts w:eastAsia="Times New Roman"/>
          <w:szCs w:val="24"/>
        </w:rPr>
        <w:t xml:space="preserve"> </w:t>
      </w:r>
      <w:r w:rsidRPr="004B6CDE">
        <w:rPr>
          <w:rFonts w:eastAsia="Times New Roman"/>
          <w:szCs w:val="24"/>
        </w:rPr>
        <w:t>např. cla, kvóty</w:t>
      </w:r>
    </w:p>
    <w:p w14:paraId="6DF7C014" w14:textId="77777777" w:rsidR="000A0DA5" w:rsidRPr="004B6CDE" w:rsidRDefault="000A0DA5" w:rsidP="00D46B53">
      <w:pPr>
        <w:numPr>
          <w:ilvl w:val="0"/>
          <w:numId w:val="166"/>
        </w:numPr>
        <w:tabs>
          <w:tab w:val="left" w:pos="820"/>
        </w:tabs>
        <w:ind w:left="820" w:hanging="348"/>
        <w:rPr>
          <w:rFonts w:eastAsia="Times New Roman"/>
          <w:szCs w:val="24"/>
        </w:rPr>
      </w:pPr>
      <w:r w:rsidRPr="004B6CDE">
        <w:rPr>
          <w:rFonts w:eastAsia="Times New Roman"/>
          <w:szCs w:val="24"/>
        </w:rPr>
        <w:t>změny domácí cenové hladiny</w:t>
      </w:r>
    </w:p>
    <w:p w14:paraId="54909FD9" w14:textId="77777777" w:rsidR="000A0DA5" w:rsidRPr="00FC3B7C" w:rsidRDefault="000A0DA5" w:rsidP="000A0DA5">
      <w:pPr>
        <w:spacing w:line="389" w:lineRule="exact"/>
        <w:rPr>
          <w:sz w:val="20"/>
          <w:szCs w:val="20"/>
        </w:rPr>
      </w:pPr>
    </w:p>
    <w:p w14:paraId="4B5126EA" w14:textId="77777777" w:rsidR="000A0DA5" w:rsidRPr="002331D3" w:rsidRDefault="000A0DA5" w:rsidP="000A0DA5">
      <w:pPr>
        <w:pStyle w:val="Nadpis3"/>
        <w:rPr>
          <w:color w:val="1F3864" w:themeColor="accent1" w:themeShade="80"/>
          <w:sz w:val="20"/>
          <w:szCs w:val="20"/>
        </w:rPr>
      </w:pPr>
      <w:r w:rsidRPr="002331D3">
        <w:rPr>
          <w:rFonts w:eastAsia="Times New Roman"/>
          <w:color w:val="1F3864" w:themeColor="accent1" w:themeShade="80"/>
        </w:rPr>
        <w:t>Politika měnící výdaje</w:t>
      </w:r>
    </w:p>
    <w:p w14:paraId="034ECC1C" w14:textId="77777777" w:rsidR="000A0DA5" w:rsidRPr="00A0748E" w:rsidRDefault="000A0DA5" w:rsidP="00D46B53">
      <w:pPr>
        <w:numPr>
          <w:ilvl w:val="0"/>
          <w:numId w:val="167"/>
        </w:numPr>
        <w:tabs>
          <w:tab w:val="left" w:pos="820"/>
        </w:tabs>
        <w:ind w:left="820" w:hanging="348"/>
        <w:rPr>
          <w:rFonts w:eastAsia="Times New Roman"/>
          <w:szCs w:val="24"/>
        </w:rPr>
      </w:pPr>
      <w:r w:rsidRPr="00FC3B7C">
        <w:rPr>
          <w:rFonts w:eastAsia="Times New Roman"/>
          <w:szCs w:val="24"/>
        </w:rPr>
        <w:t>změna vládních výdajů</w:t>
      </w:r>
    </w:p>
    <w:p w14:paraId="00F8ED45" w14:textId="77777777" w:rsidR="000A0DA5" w:rsidRPr="00A0748E" w:rsidRDefault="000A0DA5" w:rsidP="00D46B53">
      <w:pPr>
        <w:numPr>
          <w:ilvl w:val="0"/>
          <w:numId w:val="167"/>
        </w:numPr>
        <w:tabs>
          <w:tab w:val="left" w:pos="820"/>
        </w:tabs>
        <w:ind w:left="820" w:hanging="348"/>
        <w:rPr>
          <w:rFonts w:eastAsia="Times New Roman"/>
          <w:szCs w:val="24"/>
        </w:rPr>
      </w:pPr>
      <w:r w:rsidRPr="00FC3B7C">
        <w:rPr>
          <w:rFonts w:eastAsia="Times New Roman"/>
          <w:szCs w:val="24"/>
        </w:rPr>
        <w:t>změna daňového zatížení</w:t>
      </w:r>
    </w:p>
    <w:p w14:paraId="749C8CD8" w14:textId="09671D9B" w:rsidR="000A0DA5" w:rsidRDefault="00A15E2D" w:rsidP="00D46B53">
      <w:pPr>
        <w:numPr>
          <w:ilvl w:val="0"/>
          <w:numId w:val="167"/>
        </w:numPr>
        <w:tabs>
          <w:tab w:val="left" w:pos="824"/>
        </w:tabs>
        <w:ind w:left="840" w:right="20" w:hanging="368"/>
        <w:rPr>
          <w:rFonts w:eastAsia="Times New Roman"/>
          <w:szCs w:val="24"/>
        </w:rPr>
      </w:pPr>
      <w:r w:rsidRPr="00FC3B7C">
        <w:rPr>
          <w:noProof/>
          <w:sz w:val="20"/>
          <w:szCs w:val="20"/>
        </w:rPr>
        <w:drawing>
          <wp:anchor distT="0" distB="0" distL="114300" distR="114300" simplePos="0" relativeHeight="251766272" behindDoc="1" locked="0" layoutInCell="0" allowOverlap="1" wp14:anchorId="1DE9DE68" wp14:editId="2B3C7BC7">
            <wp:simplePos x="0" y="0"/>
            <wp:positionH relativeFrom="column">
              <wp:posOffset>746125</wp:posOffset>
            </wp:positionH>
            <wp:positionV relativeFrom="paragraph">
              <wp:posOffset>1102360</wp:posOffset>
            </wp:positionV>
            <wp:extent cx="4265930" cy="2905125"/>
            <wp:effectExtent l="0" t="0" r="1270" b="9525"/>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0"/>
                    <a:srcRect/>
                    <a:stretch>
                      <a:fillRect/>
                    </a:stretch>
                  </pic:blipFill>
                  <pic:spPr bwMode="auto">
                    <a:xfrm>
                      <a:off x="0" y="0"/>
                      <a:ext cx="4265930" cy="2905125"/>
                    </a:xfrm>
                    <a:prstGeom prst="rect">
                      <a:avLst/>
                    </a:prstGeom>
                    <a:noFill/>
                  </pic:spPr>
                </pic:pic>
              </a:graphicData>
            </a:graphic>
            <wp14:sizeRelH relativeFrom="margin">
              <wp14:pctWidth>0</wp14:pctWidth>
            </wp14:sizeRelH>
            <wp14:sizeRelV relativeFrom="margin">
              <wp14:pctHeight>0</wp14:pctHeight>
            </wp14:sizeRelV>
          </wp:anchor>
        </w:drawing>
      </w:r>
      <w:r w:rsidR="000A0DA5" w:rsidRPr="00FC3B7C">
        <w:rPr>
          <w:rFonts w:eastAsia="Times New Roman"/>
          <w:szCs w:val="24"/>
        </w:rPr>
        <w:t xml:space="preserve">dosažení vnitřní a vnější ekonomické rovnováhy představuje dva základní ekonomické cíle, které mohou být buď </w:t>
      </w:r>
      <w:r w:rsidR="000A0DA5" w:rsidRPr="00FC3B7C">
        <w:rPr>
          <w:rFonts w:eastAsia="Times New Roman"/>
          <w:b/>
          <w:bCs/>
          <w:szCs w:val="24"/>
        </w:rPr>
        <w:t>podpůrné</w:t>
      </w:r>
      <w:r w:rsidR="000A0DA5" w:rsidRPr="00FC3B7C">
        <w:rPr>
          <w:rFonts w:eastAsia="Times New Roman"/>
          <w:szCs w:val="24"/>
        </w:rPr>
        <w:t xml:space="preserve">, nebo </w:t>
      </w:r>
      <w:r w:rsidR="000A0DA5" w:rsidRPr="00FC3B7C">
        <w:rPr>
          <w:rFonts w:eastAsia="Times New Roman"/>
          <w:b/>
          <w:bCs/>
          <w:szCs w:val="24"/>
        </w:rPr>
        <w:t>konfliktní</w:t>
      </w:r>
      <w:r w:rsidR="000A0DA5" w:rsidRPr="00FC3B7C">
        <w:rPr>
          <w:rFonts w:eastAsia="Times New Roman"/>
          <w:szCs w:val="24"/>
        </w:rPr>
        <w:t xml:space="preserve"> (zpravidla se v tržní ekonomice setkáváme s tím, že dosahování jedné rovnováhy je možné jen při nenaplnění druhé rovnováhy)</w:t>
      </w:r>
    </w:p>
    <w:p w14:paraId="5BA888C6" w14:textId="2BA8E508" w:rsidR="00A15E2D" w:rsidRPr="00A15E2D" w:rsidRDefault="00A15E2D" w:rsidP="00A15E2D">
      <w:pPr>
        <w:spacing w:line="269" w:lineRule="auto"/>
        <w:ind w:right="260"/>
        <w:rPr>
          <w:rFonts w:eastAsia="Times New Roman"/>
          <w:szCs w:val="24"/>
        </w:rPr>
      </w:pPr>
      <w:r w:rsidRPr="00A15E2D">
        <w:rPr>
          <w:rFonts w:eastAsia="Times New Roman"/>
          <w:szCs w:val="24"/>
        </w:rPr>
        <w:t>předpoklad: nemění se výše devizového kurzu, nepočítáme se změnami ve vývoji na finančním účtu</w:t>
      </w:r>
      <w:bookmarkStart w:id="180" w:name="page181"/>
      <w:bookmarkEnd w:id="180"/>
    </w:p>
    <w:p w14:paraId="3D97FAF2" w14:textId="34C7EB59" w:rsidR="00A15E2D" w:rsidRPr="000A0DA5" w:rsidRDefault="00A15E2D" w:rsidP="00A15E2D">
      <w:pPr>
        <w:tabs>
          <w:tab w:val="left" w:pos="824"/>
        </w:tabs>
        <w:ind w:left="840" w:right="20"/>
        <w:rPr>
          <w:rFonts w:eastAsia="Times New Roman"/>
          <w:szCs w:val="24"/>
        </w:rPr>
        <w:sectPr w:rsidR="00A15E2D" w:rsidRPr="000A0DA5">
          <w:pgSz w:w="11900" w:h="16840"/>
          <w:pgMar w:top="1393" w:right="1440" w:bottom="1440" w:left="1420" w:header="0" w:footer="0" w:gutter="0"/>
          <w:cols w:space="708" w:equalWidth="0">
            <w:col w:w="9040"/>
          </w:cols>
        </w:sectPr>
      </w:pPr>
    </w:p>
    <w:p w14:paraId="133E534B" w14:textId="77777777" w:rsidR="000A0DA5" w:rsidRPr="00FC3B7C" w:rsidRDefault="000A0DA5" w:rsidP="00A15E2D">
      <w:pPr>
        <w:spacing w:line="269" w:lineRule="auto"/>
        <w:ind w:right="260"/>
        <w:rPr>
          <w:sz w:val="20"/>
          <w:szCs w:val="20"/>
        </w:rPr>
      </w:pPr>
      <w:bookmarkStart w:id="181" w:name="page180"/>
      <w:bookmarkEnd w:id="181"/>
    </w:p>
    <w:p w14:paraId="590E274E" w14:textId="77777777" w:rsidR="000A0DA5" w:rsidRPr="00FC3B7C" w:rsidRDefault="000A0DA5" w:rsidP="000A0DA5">
      <w:pPr>
        <w:ind w:left="120"/>
        <w:rPr>
          <w:sz w:val="20"/>
          <w:szCs w:val="20"/>
        </w:rPr>
      </w:pPr>
      <w:r w:rsidRPr="00FC3B7C">
        <w:rPr>
          <w:rFonts w:eastAsia="Times New Roman"/>
          <w:b/>
          <w:bCs/>
          <w:szCs w:val="24"/>
        </w:rPr>
        <w:t>Situace 1</w:t>
      </w:r>
    </w:p>
    <w:p w14:paraId="0F06CAFB" w14:textId="77777777" w:rsidR="000A0DA5" w:rsidRPr="00FC3B7C" w:rsidRDefault="000A0DA5" w:rsidP="00D46B53">
      <w:pPr>
        <w:numPr>
          <w:ilvl w:val="0"/>
          <w:numId w:val="168"/>
        </w:numPr>
        <w:tabs>
          <w:tab w:val="left" w:pos="824"/>
        </w:tabs>
        <w:spacing w:line="377" w:lineRule="auto"/>
        <w:ind w:left="840" w:right="580" w:hanging="368"/>
        <w:rPr>
          <w:rFonts w:eastAsia="Times New Roman"/>
          <w:szCs w:val="24"/>
        </w:rPr>
      </w:pPr>
      <w:r w:rsidRPr="00FC3B7C">
        <w:rPr>
          <w:rFonts w:eastAsia="Times New Roman"/>
          <w:szCs w:val="24"/>
        </w:rPr>
        <w:t>deficit obchodní bilance, ekonomika v inflační mezeře (nacházíme se vpravo od Přímky Y)</w:t>
      </w:r>
    </w:p>
    <w:p w14:paraId="12A5CB64" w14:textId="77777777" w:rsidR="000A0DA5" w:rsidRPr="00FC3B7C" w:rsidRDefault="000A0DA5" w:rsidP="000A0DA5">
      <w:pPr>
        <w:spacing w:line="1" w:lineRule="exact"/>
        <w:rPr>
          <w:rFonts w:eastAsia="Times New Roman"/>
          <w:szCs w:val="24"/>
        </w:rPr>
      </w:pPr>
    </w:p>
    <w:p w14:paraId="7D786463" w14:textId="77777777" w:rsidR="000A0DA5" w:rsidRPr="00A0748E" w:rsidRDefault="000A0DA5" w:rsidP="00D46B53">
      <w:pPr>
        <w:numPr>
          <w:ilvl w:val="0"/>
          <w:numId w:val="168"/>
        </w:numPr>
        <w:tabs>
          <w:tab w:val="left" w:pos="820"/>
        </w:tabs>
        <w:ind w:left="820" w:hanging="348"/>
        <w:rPr>
          <w:rFonts w:eastAsia="Times New Roman"/>
          <w:szCs w:val="24"/>
        </w:rPr>
      </w:pPr>
      <w:r w:rsidRPr="00FC3B7C">
        <w:rPr>
          <w:rFonts w:eastAsia="Times New Roman"/>
          <w:szCs w:val="24"/>
        </w:rPr>
        <w:t>bude se omezovat import snižováním agregátní poptávky</w:t>
      </w:r>
    </w:p>
    <w:p w14:paraId="0EB0187D" w14:textId="77777777" w:rsidR="000A0DA5" w:rsidRPr="00FC3B7C" w:rsidRDefault="000A0DA5" w:rsidP="00D46B53">
      <w:pPr>
        <w:numPr>
          <w:ilvl w:val="0"/>
          <w:numId w:val="168"/>
        </w:numPr>
        <w:tabs>
          <w:tab w:val="left" w:pos="820"/>
        </w:tabs>
        <w:ind w:left="820" w:hanging="348"/>
        <w:rPr>
          <w:rFonts w:eastAsia="Times New Roman"/>
          <w:szCs w:val="24"/>
        </w:rPr>
      </w:pPr>
      <w:r w:rsidRPr="00FC3B7C">
        <w:rPr>
          <w:rFonts w:eastAsia="Times New Roman"/>
          <w:szCs w:val="24"/>
        </w:rPr>
        <w:t>nejedná se o konfliktní situaci</w:t>
      </w:r>
    </w:p>
    <w:p w14:paraId="14A823E4" w14:textId="77777777" w:rsidR="000A0DA5" w:rsidRPr="00FC3B7C" w:rsidRDefault="000A0DA5" w:rsidP="000A0DA5">
      <w:pPr>
        <w:spacing w:line="299" w:lineRule="exact"/>
        <w:rPr>
          <w:sz w:val="20"/>
          <w:szCs w:val="20"/>
        </w:rPr>
      </w:pPr>
    </w:p>
    <w:p w14:paraId="1175A950" w14:textId="77777777" w:rsidR="000A0DA5" w:rsidRPr="00FC3B7C" w:rsidRDefault="000A0DA5" w:rsidP="000A0DA5">
      <w:pPr>
        <w:ind w:left="120"/>
        <w:rPr>
          <w:sz w:val="20"/>
          <w:szCs w:val="20"/>
        </w:rPr>
      </w:pPr>
      <w:r w:rsidRPr="00FC3B7C">
        <w:rPr>
          <w:rFonts w:eastAsia="Times New Roman"/>
          <w:b/>
          <w:bCs/>
          <w:szCs w:val="24"/>
        </w:rPr>
        <w:t>Situace 2</w:t>
      </w:r>
    </w:p>
    <w:p w14:paraId="69ED207A" w14:textId="77777777" w:rsidR="000A0DA5" w:rsidRPr="00A0748E" w:rsidRDefault="000A0DA5" w:rsidP="00D46B53">
      <w:pPr>
        <w:numPr>
          <w:ilvl w:val="0"/>
          <w:numId w:val="169"/>
        </w:numPr>
        <w:tabs>
          <w:tab w:val="left" w:pos="820"/>
        </w:tabs>
        <w:ind w:left="820" w:hanging="348"/>
        <w:rPr>
          <w:rFonts w:eastAsia="Times New Roman"/>
          <w:szCs w:val="24"/>
        </w:rPr>
      </w:pPr>
      <w:r w:rsidRPr="00FC3B7C">
        <w:rPr>
          <w:rFonts w:eastAsia="Times New Roman"/>
          <w:szCs w:val="24"/>
        </w:rPr>
        <w:t>deficit obchodní bilance, recesní mezera</w:t>
      </w:r>
    </w:p>
    <w:p w14:paraId="4903CDEC" w14:textId="77777777" w:rsidR="000A0DA5" w:rsidRPr="00FC3B7C" w:rsidRDefault="000A0DA5" w:rsidP="00D46B53">
      <w:pPr>
        <w:numPr>
          <w:ilvl w:val="0"/>
          <w:numId w:val="169"/>
        </w:numPr>
        <w:tabs>
          <w:tab w:val="left" w:pos="824"/>
        </w:tabs>
        <w:spacing w:line="256" w:lineRule="auto"/>
        <w:ind w:left="840" w:right="380" w:hanging="368"/>
        <w:rPr>
          <w:rFonts w:eastAsia="Times New Roman"/>
          <w:szCs w:val="24"/>
        </w:rPr>
      </w:pPr>
      <w:r w:rsidRPr="00FC3B7C">
        <w:rPr>
          <w:rFonts w:eastAsia="Times New Roman"/>
          <w:szCs w:val="24"/>
        </w:rPr>
        <w:t>vláda bude stimulovat agregátní poptávku, aby odstranila recesní mezeru, zároveň však dojde k prohloubení deficitu obchodní bilance (zvýší se import)</w:t>
      </w:r>
    </w:p>
    <w:p w14:paraId="31FFBC43" w14:textId="77777777" w:rsidR="000A0DA5" w:rsidRPr="00FC3B7C" w:rsidRDefault="000A0DA5" w:rsidP="000A0DA5">
      <w:pPr>
        <w:spacing w:line="1" w:lineRule="exact"/>
        <w:rPr>
          <w:rFonts w:eastAsia="Times New Roman"/>
          <w:szCs w:val="24"/>
        </w:rPr>
      </w:pPr>
    </w:p>
    <w:p w14:paraId="3AE634E6" w14:textId="77777777" w:rsidR="000A0DA5" w:rsidRPr="00FC3B7C" w:rsidRDefault="000A0DA5" w:rsidP="00D46B53">
      <w:pPr>
        <w:numPr>
          <w:ilvl w:val="0"/>
          <w:numId w:val="169"/>
        </w:numPr>
        <w:tabs>
          <w:tab w:val="left" w:pos="820"/>
        </w:tabs>
        <w:ind w:left="820" w:hanging="348"/>
        <w:rPr>
          <w:rFonts w:eastAsia="Times New Roman"/>
          <w:szCs w:val="24"/>
        </w:rPr>
      </w:pPr>
      <w:r w:rsidRPr="00FC3B7C">
        <w:rPr>
          <w:rFonts w:eastAsia="Times New Roman"/>
          <w:szCs w:val="24"/>
        </w:rPr>
        <w:t>konfliktní situace</w:t>
      </w:r>
    </w:p>
    <w:p w14:paraId="2C883E3D" w14:textId="77777777" w:rsidR="000A0DA5" w:rsidRPr="00FC3B7C" w:rsidRDefault="000A0DA5" w:rsidP="000A0DA5">
      <w:pPr>
        <w:ind w:left="120"/>
        <w:rPr>
          <w:sz w:val="20"/>
          <w:szCs w:val="20"/>
        </w:rPr>
      </w:pPr>
      <w:r w:rsidRPr="00FC3B7C">
        <w:rPr>
          <w:rFonts w:eastAsia="Times New Roman"/>
          <w:b/>
          <w:bCs/>
          <w:szCs w:val="24"/>
        </w:rPr>
        <w:t>Situace 3</w:t>
      </w:r>
    </w:p>
    <w:p w14:paraId="01C8661B" w14:textId="77777777" w:rsidR="000A0DA5" w:rsidRPr="00A0748E" w:rsidRDefault="000A0DA5" w:rsidP="00D46B53">
      <w:pPr>
        <w:numPr>
          <w:ilvl w:val="0"/>
          <w:numId w:val="170"/>
        </w:numPr>
        <w:tabs>
          <w:tab w:val="left" w:pos="820"/>
        </w:tabs>
        <w:ind w:left="820" w:hanging="348"/>
        <w:rPr>
          <w:rFonts w:eastAsia="Times New Roman"/>
          <w:szCs w:val="24"/>
        </w:rPr>
      </w:pPr>
      <w:r w:rsidRPr="00FC3B7C">
        <w:rPr>
          <w:rFonts w:eastAsia="Times New Roman"/>
          <w:szCs w:val="24"/>
        </w:rPr>
        <w:t>přebytek obchodní bilance, recesní mezera</w:t>
      </w:r>
    </w:p>
    <w:p w14:paraId="0001D947" w14:textId="77777777" w:rsidR="000A0DA5" w:rsidRPr="00FC3B7C" w:rsidRDefault="000A0DA5" w:rsidP="00D46B53">
      <w:pPr>
        <w:numPr>
          <w:ilvl w:val="0"/>
          <w:numId w:val="170"/>
        </w:numPr>
        <w:tabs>
          <w:tab w:val="left" w:pos="824"/>
        </w:tabs>
        <w:ind w:left="840" w:right="60" w:hanging="368"/>
        <w:rPr>
          <w:rFonts w:eastAsia="Times New Roman"/>
          <w:szCs w:val="24"/>
        </w:rPr>
      </w:pPr>
      <w:r w:rsidRPr="00FC3B7C">
        <w:rPr>
          <w:rFonts w:eastAsia="Times New Roman"/>
          <w:szCs w:val="24"/>
        </w:rPr>
        <w:t>expanze agregátní poptávky, která by měla vést k odstranění mezery recese, se děje v období přebytku obchodní bilance. Díky expanzi poptávky dojde k zvýšení dovozu a tím i k poklesu přebytku obchodní bilance.</w:t>
      </w:r>
    </w:p>
    <w:p w14:paraId="61F92680" w14:textId="77777777" w:rsidR="000A0DA5" w:rsidRPr="00FC3B7C" w:rsidRDefault="000A0DA5" w:rsidP="00D46B53">
      <w:pPr>
        <w:numPr>
          <w:ilvl w:val="0"/>
          <w:numId w:val="170"/>
        </w:numPr>
        <w:tabs>
          <w:tab w:val="left" w:pos="820"/>
        </w:tabs>
        <w:ind w:left="820" w:hanging="348"/>
        <w:rPr>
          <w:rFonts w:eastAsia="Times New Roman"/>
          <w:szCs w:val="24"/>
        </w:rPr>
      </w:pPr>
      <w:r w:rsidRPr="00FC3B7C">
        <w:rPr>
          <w:rFonts w:eastAsia="Times New Roman"/>
          <w:szCs w:val="24"/>
        </w:rPr>
        <w:t>nejedná se o konfliktní situaci</w:t>
      </w:r>
    </w:p>
    <w:p w14:paraId="2E46E5B2" w14:textId="77777777" w:rsidR="000A0DA5" w:rsidRPr="00FC3B7C" w:rsidRDefault="000A0DA5" w:rsidP="000A0DA5">
      <w:pPr>
        <w:ind w:left="120"/>
        <w:rPr>
          <w:sz w:val="20"/>
          <w:szCs w:val="20"/>
        </w:rPr>
      </w:pPr>
      <w:r w:rsidRPr="00FC3B7C">
        <w:rPr>
          <w:rFonts w:eastAsia="Times New Roman"/>
          <w:b/>
          <w:bCs/>
          <w:szCs w:val="24"/>
        </w:rPr>
        <w:t>Situace 4</w:t>
      </w:r>
    </w:p>
    <w:p w14:paraId="70E6A79E" w14:textId="77777777" w:rsidR="000A0DA5" w:rsidRPr="00A0748E" w:rsidRDefault="000A0DA5" w:rsidP="00D46B53">
      <w:pPr>
        <w:numPr>
          <w:ilvl w:val="0"/>
          <w:numId w:val="171"/>
        </w:numPr>
        <w:tabs>
          <w:tab w:val="left" w:pos="820"/>
        </w:tabs>
        <w:ind w:left="820" w:hanging="348"/>
        <w:rPr>
          <w:rFonts w:eastAsia="Times New Roman"/>
          <w:szCs w:val="24"/>
        </w:rPr>
      </w:pPr>
      <w:r w:rsidRPr="00FC3B7C">
        <w:rPr>
          <w:rFonts w:eastAsia="Times New Roman"/>
          <w:szCs w:val="24"/>
        </w:rPr>
        <w:t>přebytek obchodní bilance, inflační mezera</w:t>
      </w:r>
      <w:r>
        <w:rPr>
          <w:rFonts w:eastAsia="Times New Roman"/>
          <w:szCs w:val="24"/>
        </w:rPr>
        <w:t>. P</w:t>
      </w:r>
      <w:r w:rsidRPr="00A0748E">
        <w:rPr>
          <w:rFonts w:eastAsia="Times New Roman"/>
          <w:szCs w:val="24"/>
        </w:rPr>
        <w:t>okud by aktivistická politika směřovala k snížení agregátní poptávky s cílem odstranit inflační mezeru, sníží se zároveň objem dovozu a zvýší setím přebytek obchodní bilance</w:t>
      </w:r>
    </w:p>
    <w:p w14:paraId="5BB93CF3" w14:textId="77777777" w:rsidR="000A0DA5" w:rsidRPr="00FC3B7C" w:rsidRDefault="000A0DA5" w:rsidP="000A0DA5">
      <w:pPr>
        <w:spacing w:line="1" w:lineRule="exact"/>
        <w:rPr>
          <w:sz w:val="20"/>
          <w:szCs w:val="20"/>
        </w:rPr>
      </w:pPr>
    </w:p>
    <w:p w14:paraId="6C642D7C" w14:textId="77777777" w:rsidR="000A0DA5" w:rsidRPr="00A0748E" w:rsidRDefault="000A0DA5" w:rsidP="00D46B53">
      <w:pPr>
        <w:numPr>
          <w:ilvl w:val="0"/>
          <w:numId w:val="172"/>
        </w:numPr>
        <w:tabs>
          <w:tab w:val="left" w:pos="920"/>
        </w:tabs>
        <w:ind w:left="920" w:hanging="348"/>
        <w:rPr>
          <w:rFonts w:eastAsia="Times New Roman"/>
          <w:szCs w:val="24"/>
        </w:rPr>
      </w:pPr>
      <w:r w:rsidRPr="00FC3B7C">
        <w:rPr>
          <w:rFonts w:eastAsia="Times New Roman"/>
          <w:szCs w:val="24"/>
        </w:rPr>
        <w:t>konfliktní situace</w:t>
      </w:r>
    </w:p>
    <w:p w14:paraId="5A31EDE0" w14:textId="77777777" w:rsidR="000A0DA5" w:rsidRPr="002331D3" w:rsidRDefault="000A0DA5" w:rsidP="000A0DA5">
      <w:pPr>
        <w:pStyle w:val="Nadpis3"/>
        <w:rPr>
          <w:color w:val="1F3864" w:themeColor="accent1" w:themeShade="80"/>
          <w:sz w:val="20"/>
          <w:szCs w:val="20"/>
        </w:rPr>
      </w:pPr>
      <w:r w:rsidRPr="002331D3">
        <w:rPr>
          <w:rFonts w:eastAsia="Times New Roman"/>
          <w:color w:val="1F3864" w:themeColor="accent1" w:themeShade="80"/>
        </w:rPr>
        <w:t>Zapojení do mezinárodní dělby práce</w:t>
      </w:r>
    </w:p>
    <w:p w14:paraId="487F7FB8" w14:textId="77777777" w:rsidR="000A0DA5" w:rsidRPr="00FC3B7C" w:rsidRDefault="000A0DA5" w:rsidP="00D46B53">
      <w:pPr>
        <w:numPr>
          <w:ilvl w:val="0"/>
          <w:numId w:val="173"/>
        </w:numPr>
        <w:tabs>
          <w:tab w:val="left" w:pos="920"/>
        </w:tabs>
        <w:ind w:left="920" w:hanging="348"/>
        <w:rPr>
          <w:rFonts w:eastAsia="Times New Roman"/>
          <w:szCs w:val="24"/>
        </w:rPr>
      </w:pPr>
      <w:r w:rsidRPr="00FC3B7C">
        <w:rPr>
          <w:rFonts w:eastAsia="Times New Roman"/>
          <w:szCs w:val="24"/>
        </w:rPr>
        <w:t>Negativní korelace mezi ekonomickým rozměrem a mírou otevřenosti</w:t>
      </w:r>
    </w:p>
    <w:p w14:paraId="5E538B69" w14:textId="77777777" w:rsidR="000A0DA5" w:rsidRPr="00FC3B7C" w:rsidRDefault="000A0DA5" w:rsidP="00D46B53">
      <w:pPr>
        <w:numPr>
          <w:ilvl w:val="0"/>
          <w:numId w:val="173"/>
        </w:numPr>
        <w:tabs>
          <w:tab w:val="left" w:pos="920"/>
        </w:tabs>
        <w:ind w:left="920" w:hanging="348"/>
        <w:rPr>
          <w:rFonts w:eastAsia="Times New Roman"/>
          <w:szCs w:val="24"/>
        </w:rPr>
      </w:pPr>
      <w:r w:rsidRPr="00FC3B7C">
        <w:rPr>
          <w:rFonts w:eastAsia="Times New Roman"/>
          <w:szCs w:val="24"/>
        </w:rPr>
        <w:t>čím je ekonomika větší, tím je průměrné zapojení do mezinárodní dělby práce menší a naopak</w:t>
      </w:r>
    </w:p>
    <w:p w14:paraId="4618259E" w14:textId="77777777" w:rsidR="000A0DA5" w:rsidRPr="00FC3B7C" w:rsidRDefault="000A0DA5" w:rsidP="00D46B53">
      <w:pPr>
        <w:numPr>
          <w:ilvl w:val="0"/>
          <w:numId w:val="174"/>
        </w:numPr>
        <w:tabs>
          <w:tab w:val="left" w:pos="920"/>
        </w:tabs>
        <w:ind w:left="920" w:hanging="348"/>
        <w:rPr>
          <w:rFonts w:eastAsia="Times New Roman"/>
          <w:szCs w:val="24"/>
        </w:rPr>
      </w:pPr>
      <w:r w:rsidRPr="00FC3B7C">
        <w:rPr>
          <w:rFonts w:eastAsia="Times New Roman"/>
          <w:szCs w:val="24"/>
        </w:rPr>
        <w:t>pozitivní korelace mezi zapojení do mezinárodní dělby práce a vyspělostí</w:t>
      </w:r>
    </w:p>
    <w:p w14:paraId="2767FC83" w14:textId="77777777" w:rsidR="000A0DA5" w:rsidRPr="00FC3B7C" w:rsidRDefault="000A0DA5" w:rsidP="000A0DA5">
      <w:pPr>
        <w:spacing w:line="35" w:lineRule="exact"/>
        <w:rPr>
          <w:rFonts w:eastAsia="Times New Roman"/>
          <w:szCs w:val="24"/>
        </w:rPr>
      </w:pPr>
    </w:p>
    <w:p w14:paraId="5B4EE676" w14:textId="772A4D4E" w:rsidR="000A0DA5" w:rsidRDefault="000A0DA5" w:rsidP="00D46B53">
      <w:pPr>
        <w:numPr>
          <w:ilvl w:val="0"/>
          <w:numId w:val="174"/>
        </w:numPr>
        <w:tabs>
          <w:tab w:val="left" w:pos="924"/>
        </w:tabs>
        <w:spacing w:line="256" w:lineRule="auto"/>
        <w:ind w:left="940" w:right="180" w:hanging="368"/>
        <w:rPr>
          <w:rFonts w:eastAsia="Times New Roman"/>
          <w:szCs w:val="24"/>
        </w:rPr>
      </w:pPr>
      <w:r w:rsidRPr="00FC3B7C">
        <w:rPr>
          <w:rFonts w:eastAsia="Times New Roman"/>
          <w:szCs w:val="24"/>
        </w:rPr>
        <w:t>čím více je subjekt zapojen do mezinárodní dělby práce, tím vyšší vyspělost vykazuje a naopak</w:t>
      </w:r>
    </w:p>
    <w:p w14:paraId="58A84324" w14:textId="77777777" w:rsidR="00A15E2D" w:rsidRDefault="00A15E2D" w:rsidP="00A15E2D">
      <w:pPr>
        <w:pStyle w:val="Odstavecseseznamem"/>
        <w:rPr>
          <w:rFonts w:eastAsia="Times New Roman"/>
          <w:szCs w:val="24"/>
        </w:rPr>
      </w:pPr>
    </w:p>
    <w:p w14:paraId="2CE49802" w14:textId="4A24A1AE" w:rsidR="00A15E2D" w:rsidRDefault="00A15E2D" w:rsidP="00A15E2D">
      <w:pPr>
        <w:tabs>
          <w:tab w:val="left" w:pos="924"/>
        </w:tabs>
        <w:spacing w:line="256" w:lineRule="auto"/>
        <w:ind w:left="940" w:right="180"/>
        <w:rPr>
          <w:rFonts w:eastAsia="Times New Roman"/>
          <w:szCs w:val="24"/>
        </w:rPr>
      </w:pPr>
    </w:p>
    <w:p w14:paraId="7A5B75BC" w14:textId="21C0B239" w:rsidR="00A15E2D" w:rsidRDefault="00A15E2D" w:rsidP="00A15E2D">
      <w:pPr>
        <w:tabs>
          <w:tab w:val="left" w:pos="924"/>
        </w:tabs>
        <w:spacing w:line="256" w:lineRule="auto"/>
        <w:ind w:left="940" w:right="180"/>
        <w:rPr>
          <w:rFonts w:eastAsia="Times New Roman"/>
          <w:szCs w:val="24"/>
        </w:rPr>
      </w:pPr>
    </w:p>
    <w:p w14:paraId="7881F12C" w14:textId="77777777" w:rsidR="00A15E2D" w:rsidRPr="00FC3B7C" w:rsidRDefault="00A15E2D" w:rsidP="00A15E2D">
      <w:pPr>
        <w:tabs>
          <w:tab w:val="left" w:pos="924"/>
        </w:tabs>
        <w:spacing w:line="256" w:lineRule="auto"/>
        <w:ind w:left="940" w:right="180"/>
        <w:rPr>
          <w:rFonts w:eastAsia="Times New Roman"/>
          <w:szCs w:val="24"/>
        </w:rPr>
      </w:pPr>
    </w:p>
    <w:p w14:paraId="7CEC1188" w14:textId="77777777" w:rsidR="000A0DA5" w:rsidRPr="00FC3B7C" w:rsidRDefault="000A0DA5" w:rsidP="000A0DA5"/>
    <w:tbl>
      <w:tblPr>
        <w:tblStyle w:val="Mkatabulky"/>
        <w:tblW w:w="0" w:type="auto"/>
        <w:tblLook w:val="04A0" w:firstRow="1" w:lastRow="0" w:firstColumn="1" w:lastColumn="0" w:noHBand="0" w:noVBand="1"/>
      </w:tblPr>
      <w:tblGrid>
        <w:gridCol w:w="4535"/>
        <w:gridCol w:w="4535"/>
      </w:tblGrid>
      <w:tr w:rsidR="000A0DA5" w:rsidRPr="00FC3B7C" w14:paraId="08275705" w14:textId="77777777" w:rsidTr="004A163A">
        <w:trPr>
          <w:trHeight w:val="567"/>
        </w:trPr>
        <w:tc>
          <w:tcPr>
            <w:tcW w:w="4535" w:type="dxa"/>
            <w:shd w:val="clear" w:color="auto" w:fill="00B050"/>
            <w:vAlign w:val="center"/>
          </w:tcPr>
          <w:p w14:paraId="0769985A" w14:textId="77777777" w:rsidR="000A0DA5" w:rsidRPr="00FC3B7C" w:rsidRDefault="000A0DA5" w:rsidP="004A163A">
            <w:pPr>
              <w:jc w:val="center"/>
              <w:rPr>
                <w:b/>
                <w:sz w:val="20"/>
                <w:szCs w:val="20"/>
              </w:rPr>
            </w:pPr>
            <w:r w:rsidRPr="00FC3B7C">
              <w:rPr>
                <w:rFonts w:eastAsia="Times New Roman"/>
                <w:b/>
              </w:rPr>
              <w:lastRenderedPageBreak/>
              <w:t>Výhody otevřené ekonomiky</w:t>
            </w:r>
          </w:p>
        </w:tc>
        <w:tc>
          <w:tcPr>
            <w:tcW w:w="4535" w:type="dxa"/>
            <w:shd w:val="clear" w:color="auto" w:fill="FF0000"/>
            <w:vAlign w:val="center"/>
          </w:tcPr>
          <w:p w14:paraId="7906779A" w14:textId="77777777" w:rsidR="000A0DA5" w:rsidRPr="00FC3B7C" w:rsidRDefault="000A0DA5" w:rsidP="004A163A">
            <w:pPr>
              <w:ind w:left="780"/>
              <w:rPr>
                <w:b/>
              </w:rPr>
            </w:pPr>
            <w:r w:rsidRPr="00FC3B7C">
              <w:rPr>
                <w:rFonts w:eastAsia="Times New Roman"/>
                <w:b/>
              </w:rPr>
              <w:t>Nevýhody otevřené ekonomiky</w:t>
            </w:r>
          </w:p>
        </w:tc>
      </w:tr>
      <w:tr w:rsidR="000A0DA5" w:rsidRPr="00FC3B7C" w14:paraId="13665CA3" w14:textId="77777777" w:rsidTr="004A163A">
        <w:trPr>
          <w:trHeight w:val="567"/>
        </w:trPr>
        <w:tc>
          <w:tcPr>
            <w:tcW w:w="4535" w:type="dxa"/>
            <w:vAlign w:val="center"/>
          </w:tcPr>
          <w:p w14:paraId="684208E5" w14:textId="77777777" w:rsidR="000A0DA5" w:rsidRPr="00FC3B7C" w:rsidRDefault="000A0DA5" w:rsidP="004A163A">
            <w:pPr>
              <w:ind w:left="340"/>
              <w:jc w:val="center"/>
            </w:pPr>
            <w:r w:rsidRPr="00FC3B7C">
              <w:rPr>
                <w:rFonts w:eastAsia="Times New Roman"/>
                <w:sz w:val="23"/>
                <w:szCs w:val="23"/>
              </w:rPr>
              <w:t xml:space="preserve">Komparativní a absolutní výhody spojené </w:t>
            </w:r>
            <w:r w:rsidRPr="00FC3B7C">
              <w:rPr>
                <w:rFonts w:eastAsia="Times New Roman"/>
              </w:rPr>
              <w:t>s mezinárodním obchodem</w:t>
            </w:r>
          </w:p>
        </w:tc>
        <w:tc>
          <w:tcPr>
            <w:tcW w:w="4535" w:type="dxa"/>
            <w:vAlign w:val="center"/>
          </w:tcPr>
          <w:p w14:paraId="485C2E3B" w14:textId="77777777" w:rsidR="000A0DA5" w:rsidRPr="00FC3B7C" w:rsidRDefault="000A0DA5" w:rsidP="004A163A">
            <w:pPr>
              <w:jc w:val="center"/>
            </w:pPr>
            <w:r w:rsidRPr="00FC3B7C">
              <w:rPr>
                <w:rFonts w:eastAsia="Times New Roman"/>
              </w:rPr>
              <w:t>Citlivost na hospodářské výkyvy partnerských zemí</w:t>
            </w:r>
          </w:p>
        </w:tc>
      </w:tr>
      <w:tr w:rsidR="000A0DA5" w:rsidRPr="00FC3B7C" w14:paraId="4A39732D" w14:textId="77777777" w:rsidTr="004A163A">
        <w:trPr>
          <w:trHeight w:val="567"/>
        </w:trPr>
        <w:tc>
          <w:tcPr>
            <w:tcW w:w="4535" w:type="dxa"/>
            <w:vAlign w:val="center"/>
          </w:tcPr>
          <w:p w14:paraId="58FC8C77" w14:textId="77777777" w:rsidR="000A0DA5" w:rsidRPr="00FC3B7C" w:rsidRDefault="000A0DA5" w:rsidP="004A163A">
            <w:pPr>
              <w:ind w:left="340"/>
              <w:jc w:val="center"/>
            </w:pPr>
            <w:r w:rsidRPr="00FC3B7C">
              <w:rPr>
                <w:rFonts w:eastAsia="Times New Roman"/>
              </w:rPr>
              <w:t>Růst produktivity</w:t>
            </w:r>
          </w:p>
        </w:tc>
        <w:tc>
          <w:tcPr>
            <w:tcW w:w="4535" w:type="dxa"/>
            <w:vAlign w:val="center"/>
          </w:tcPr>
          <w:p w14:paraId="6BA5945C" w14:textId="77777777" w:rsidR="000A0DA5" w:rsidRPr="00FC3B7C" w:rsidRDefault="000A0DA5" w:rsidP="004A163A">
            <w:pPr>
              <w:jc w:val="center"/>
            </w:pPr>
            <w:r w:rsidRPr="00FC3B7C">
              <w:rPr>
                <w:rFonts w:eastAsia="Times New Roman"/>
              </w:rPr>
              <w:t>Klesající autonomie HP</w:t>
            </w:r>
          </w:p>
        </w:tc>
      </w:tr>
      <w:tr w:rsidR="000A0DA5" w:rsidRPr="00FC3B7C" w14:paraId="4B243BEE" w14:textId="77777777" w:rsidTr="004A163A">
        <w:trPr>
          <w:trHeight w:val="567"/>
        </w:trPr>
        <w:tc>
          <w:tcPr>
            <w:tcW w:w="4535" w:type="dxa"/>
            <w:vAlign w:val="center"/>
          </w:tcPr>
          <w:p w14:paraId="1904529A" w14:textId="77777777" w:rsidR="000A0DA5" w:rsidRPr="00FC3B7C" w:rsidRDefault="000A0DA5" w:rsidP="004A163A">
            <w:pPr>
              <w:ind w:left="600"/>
              <w:jc w:val="center"/>
            </w:pPr>
            <w:r w:rsidRPr="00FC3B7C">
              <w:rPr>
                <w:rFonts w:eastAsia="Times New Roman"/>
              </w:rPr>
              <w:t>Dovoz technologií a proces učení se</w:t>
            </w:r>
          </w:p>
        </w:tc>
        <w:tc>
          <w:tcPr>
            <w:tcW w:w="4535" w:type="dxa"/>
            <w:vAlign w:val="center"/>
          </w:tcPr>
          <w:p w14:paraId="55E19BD6" w14:textId="77777777" w:rsidR="000A0DA5" w:rsidRPr="00FC3B7C" w:rsidRDefault="000A0DA5" w:rsidP="004A163A">
            <w:pPr>
              <w:ind w:left="540"/>
              <w:jc w:val="center"/>
            </w:pPr>
            <w:r w:rsidRPr="00FC3B7C">
              <w:rPr>
                <w:rFonts w:eastAsia="Times New Roman"/>
              </w:rPr>
              <w:t>Import inflace obchodních partnerů</w:t>
            </w:r>
          </w:p>
        </w:tc>
      </w:tr>
      <w:tr w:rsidR="000A0DA5" w:rsidRPr="00FC3B7C" w14:paraId="1BD36C2A" w14:textId="77777777" w:rsidTr="004A163A">
        <w:trPr>
          <w:trHeight w:val="567"/>
        </w:trPr>
        <w:tc>
          <w:tcPr>
            <w:tcW w:w="4535" w:type="dxa"/>
            <w:vAlign w:val="center"/>
          </w:tcPr>
          <w:p w14:paraId="481BF579" w14:textId="77777777" w:rsidR="000A0DA5" w:rsidRPr="00FC3B7C" w:rsidRDefault="000A0DA5" w:rsidP="004A163A">
            <w:pPr>
              <w:ind w:left="680"/>
              <w:jc w:val="center"/>
            </w:pPr>
            <w:r w:rsidRPr="00FC3B7C">
              <w:rPr>
                <w:rFonts w:eastAsia="Times New Roman"/>
              </w:rPr>
              <w:t>Zvětšení trhu, zvýšení konkurence</w:t>
            </w:r>
          </w:p>
        </w:tc>
        <w:tc>
          <w:tcPr>
            <w:tcW w:w="4535" w:type="dxa"/>
            <w:vMerge w:val="restart"/>
          </w:tcPr>
          <w:p w14:paraId="73A4FEE4" w14:textId="77777777" w:rsidR="000A0DA5" w:rsidRPr="00FC3B7C" w:rsidRDefault="000A0DA5" w:rsidP="004A163A"/>
        </w:tc>
      </w:tr>
      <w:tr w:rsidR="000A0DA5" w:rsidRPr="00FC3B7C" w14:paraId="2161275C" w14:textId="77777777" w:rsidTr="004A163A">
        <w:trPr>
          <w:trHeight w:val="567"/>
        </w:trPr>
        <w:tc>
          <w:tcPr>
            <w:tcW w:w="4535" w:type="dxa"/>
            <w:vAlign w:val="center"/>
          </w:tcPr>
          <w:p w14:paraId="18E93A23" w14:textId="77777777" w:rsidR="000A0DA5" w:rsidRPr="00FC3B7C" w:rsidRDefault="000A0DA5" w:rsidP="004A163A">
            <w:pPr>
              <w:ind w:left="600"/>
              <w:jc w:val="center"/>
            </w:pPr>
            <w:r w:rsidRPr="00FC3B7C">
              <w:rPr>
                <w:rFonts w:eastAsia="Times New Roman"/>
              </w:rPr>
              <w:t>Efektivní alokace výrobních faktorů</w:t>
            </w:r>
          </w:p>
        </w:tc>
        <w:tc>
          <w:tcPr>
            <w:tcW w:w="4535" w:type="dxa"/>
            <w:vMerge/>
          </w:tcPr>
          <w:p w14:paraId="46681101" w14:textId="77777777" w:rsidR="000A0DA5" w:rsidRPr="00FC3B7C" w:rsidRDefault="000A0DA5" w:rsidP="004A163A"/>
        </w:tc>
      </w:tr>
      <w:tr w:rsidR="000A0DA5" w:rsidRPr="00FC3B7C" w14:paraId="18FF4DCD" w14:textId="77777777" w:rsidTr="004A163A">
        <w:trPr>
          <w:trHeight w:val="567"/>
        </w:trPr>
        <w:tc>
          <w:tcPr>
            <w:tcW w:w="4535" w:type="dxa"/>
            <w:vAlign w:val="center"/>
          </w:tcPr>
          <w:p w14:paraId="272FBFA7" w14:textId="77777777" w:rsidR="000A0DA5" w:rsidRPr="00FC3B7C" w:rsidRDefault="000A0DA5" w:rsidP="004A163A">
            <w:pPr>
              <w:ind w:left="340"/>
              <w:jc w:val="center"/>
            </w:pPr>
            <w:r w:rsidRPr="00FC3B7C">
              <w:rPr>
                <w:rFonts w:eastAsia="Times New Roman"/>
              </w:rPr>
              <w:t>Snížení cen</w:t>
            </w:r>
          </w:p>
        </w:tc>
        <w:tc>
          <w:tcPr>
            <w:tcW w:w="4535" w:type="dxa"/>
            <w:vMerge/>
          </w:tcPr>
          <w:p w14:paraId="6DD82B3A" w14:textId="77777777" w:rsidR="000A0DA5" w:rsidRPr="00FC3B7C" w:rsidRDefault="000A0DA5" w:rsidP="004A163A"/>
        </w:tc>
      </w:tr>
    </w:tbl>
    <w:p w14:paraId="7EA983F8" w14:textId="267B03C0" w:rsidR="00A15E2D" w:rsidRPr="00FC3B7C" w:rsidRDefault="00A15E2D" w:rsidP="00A15E2D">
      <w:pPr>
        <w:spacing w:line="297" w:lineRule="exact"/>
        <w:rPr>
          <w:sz w:val="20"/>
          <w:szCs w:val="20"/>
        </w:rPr>
      </w:pPr>
    </w:p>
    <w:p w14:paraId="4838C44B" w14:textId="77777777" w:rsidR="00A15E2D" w:rsidRPr="002331D3" w:rsidRDefault="00A15E2D" w:rsidP="00A15E2D">
      <w:pPr>
        <w:pStyle w:val="Nadpis2"/>
        <w:rPr>
          <w:color w:val="1F3864" w:themeColor="accent1" w:themeShade="80"/>
          <w:szCs w:val="28"/>
        </w:rPr>
      </w:pPr>
      <w:r w:rsidRPr="002331D3">
        <w:rPr>
          <w:rFonts w:eastAsia="Times New Roman"/>
          <w:color w:val="1F3864" w:themeColor="accent1" w:themeShade="80"/>
          <w:szCs w:val="28"/>
        </w:rPr>
        <w:t>VNĚJŠÍ HOSPODÁŘSKÁ POLITIKA</w:t>
      </w:r>
    </w:p>
    <w:p w14:paraId="44CF4D2F" w14:textId="77777777" w:rsidR="00A15E2D" w:rsidRPr="00FC3B7C" w:rsidRDefault="00A15E2D" w:rsidP="00A15E2D">
      <w:pPr>
        <w:spacing w:line="309" w:lineRule="exact"/>
        <w:rPr>
          <w:sz w:val="20"/>
          <w:szCs w:val="20"/>
        </w:rPr>
      </w:pPr>
    </w:p>
    <w:p w14:paraId="5FD0D90B" w14:textId="77777777" w:rsidR="00A15E2D" w:rsidRDefault="00A15E2D" w:rsidP="00A15E2D">
      <w:pPr>
        <w:rPr>
          <w:rFonts w:eastAsia="Times New Roman"/>
        </w:rPr>
      </w:pPr>
      <w:r w:rsidRPr="00FC3B7C">
        <w:rPr>
          <w:rFonts w:eastAsia="Times New Roman"/>
        </w:rPr>
        <w:t>Vnější hospodářská politika je definována jako disciplína zabývající se zahraničně – obchodními vztahy s cílem zabezpečit vnější ekonomickou rovnováhu (rovnováha obchodní bilance), řeší obchodní vztahy se zahraničím</w:t>
      </w:r>
      <w:r>
        <w:rPr>
          <w:rFonts w:eastAsia="Times New Roman"/>
        </w:rPr>
        <w:t>.</w:t>
      </w:r>
    </w:p>
    <w:p w14:paraId="6A235415" w14:textId="77777777" w:rsidR="00A15E2D" w:rsidRPr="00B676E2" w:rsidRDefault="00A15E2D" w:rsidP="00A15E2D">
      <w:pPr>
        <w:rPr>
          <w:rFonts w:eastAsia="Times New Roman"/>
        </w:rPr>
      </w:pPr>
    </w:p>
    <w:p w14:paraId="685DA8B5" w14:textId="77777777" w:rsidR="00A15E2D" w:rsidRPr="002331D3" w:rsidRDefault="00A15E2D" w:rsidP="00A15E2D">
      <w:pPr>
        <w:pStyle w:val="Nadpis3"/>
        <w:rPr>
          <w:color w:val="1F3864" w:themeColor="accent1" w:themeShade="80"/>
          <w:sz w:val="20"/>
          <w:szCs w:val="20"/>
        </w:rPr>
      </w:pPr>
      <w:r w:rsidRPr="002331D3">
        <w:rPr>
          <w:rFonts w:eastAsia="Times New Roman"/>
          <w:color w:val="1F3864" w:themeColor="accent1" w:themeShade="80"/>
        </w:rPr>
        <w:t>Kdo provádí vnější hospodářskou politiku?</w:t>
      </w:r>
    </w:p>
    <w:p w14:paraId="6C1E03FD" w14:textId="77777777" w:rsidR="00A15E2D" w:rsidRPr="00FC3B7C" w:rsidRDefault="00A15E2D" w:rsidP="00A15E2D">
      <w:pPr>
        <w:ind w:left="580"/>
        <w:rPr>
          <w:sz w:val="20"/>
          <w:szCs w:val="20"/>
        </w:rPr>
      </w:pPr>
      <w:r w:rsidRPr="00FC3B7C">
        <w:rPr>
          <w:rFonts w:eastAsia="Times New Roman"/>
          <w:szCs w:val="24"/>
        </w:rPr>
        <w:t>1)</w:t>
      </w:r>
      <w:r w:rsidRPr="00FC3B7C">
        <w:rPr>
          <w:rFonts w:eastAsia="Times New Roman"/>
          <w:b/>
          <w:bCs/>
          <w:szCs w:val="24"/>
        </w:rPr>
        <w:t>Vláda</w:t>
      </w:r>
    </w:p>
    <w:p w14:paraId="568BF1C0" w14:textId="77777777" w:rsidR="00A15E2D" w:rsidRPr="00FC3B7C" w:rsidRDefault="00A15E2D" w:rsidP="00A15E2D">
      <w:pPr>
        <w:ind w:left="580"/>
        <w:rPr>
          <w:sz w:val="20"/>
          <w:szCs w:val="20"/>
        </w:rPr>
      </w:pPr>
      <w:r w:rsidRPr="00FC3B7C">
        <w:rPr>
          <w:rFonts w:eastAsia="Times New Roman"/>
          <w:szCs w:val="24"/>
        </w:rPr>
        <w:t>2)</w:t>
      </w:r>
      <w:r w:rsidRPr="00FC3B7C">
        <w:rPr>
          <w:rFonts w:eastAsia="Times New Roman"/>
          <w:b/>
          <w:bCs/>
          <w:szCs w:val="24"/>
        </w:rPr>
        <w:t>Ministerstva</w:t>
      </w:r>
      <w:r w:rsidRPr="00FC3B7C">
        <w:rPr>
          <w:rFonts w:eastAsia="Times New Roman"/>
          <w:szCs w:val="24"/>
        </w:rPr>
        <w:t xml:space="preserve"> (MZ, MPO)</w:t>
      </w:r>
    </w:p>
    <w:p w14:paraId="51C641DE" w14:textId="77777777" w:rsidR="00A15E2D" w:rsidRPr="00FC3B7C" w:rsidRDefault="00A15E2D" w:rsidP="00A15E2D">
      <w:pPr>
        <w:spacing w:line="40" w:lineRule="exact"/>
        <w:rPr>
          <w:sz w:val="20"/>
          <w:szCs w:val="20"/>
        </w:rPr>
      </w:pPr>
    </w:p>
    <w:p w14:paraId="3DD9C9CD" w14:textId="77777777" w:rsidR="00A15E2D" w:rsidRPr="00FC3B7C" w:rsidRDefault="00A15E2D" w:rsidP="00A15E2D">
      <w:pPr>
        <w:ind w:left="580" w:right="260"/>
        <w:rPr>
          <w:sz w:val="20"/>
          <w:szCs w:val="20"/>
        </w:rPr>
      </w:pPr>
      <w:r w:rsidRPr="00FC3B7C">
        <w:rPr>
          <w:rFonts w:eastAsia="Times New Roman"/>
          <w:szCs w:val="24"/>
        </w:rPr>
        <w:t>3)</w:t>
      </w:r>
      <w:r>
        <w:rPr>
          <w:rFonts w:eastAsia="Times New Roman"/>
          <w:szCs w:val="24"/>
        </w:rPr>
        <w:t xml:space="preserve"> </w:t>
      </w:r>
      <w:r w:rsidRPr="00FC3B7C">
        <w:rPr>
          <w:rFonts w:eastAsia="Times New Roman"/>
          <w:szCs w:val="24"/>
        </w:rPr>
        <w:t xml:space="preserve">Další pověřené instituce jako např. </w:t>
      </w:r>
      <w:r w:rsidRPr="00FC3B7C">
        <w:rPr>
          <w:rFonts w:eastAsia="Times New Roman"/>
          <w:b/>
          <w:bCs/>
          <w:szCs w:val="24"/>
        </w:rPr>
        <w:t>EGAP</w:t>
      </w:r>
      <w:r w:rsidRPr="00FC3B7C">
        <w:rPr>
          <w:rFonts w:eastAsia="Times New Roman"/>
          <w:szCs w:val="24"/>
        </w:rPr>
        <w:t xml:space="preserve"> (úvěrová pojišťovna se zaměřením na tržně nepojistitelná politická a komerční rizika spojená s financováním vývozu zboží, služeb a investic z ČR), </w:t>
      </w:r>
      <w:r w:rsidRPr="00FC3B7C">
        <w:rPr>
          <w:rFonts w:eastAsia="Times New Roman"/>
          <w:b/>
          <w:bCs/>
          <w:szCs w:val="24"/>
        </w:rPr>
        <w:t>ČEB</w:t>
      </w:r>
      <w:r w:rsidRPr="00FC3B7C">
        <w:rPr>
          <w:rFonts w:eastAsia="Times New Roman"/>
          <w:szCs w:val="24"/>
        </w:rPr>
        <w:t xml:space="preserve"> (Česká exportní banka), </w:t>
      </w:r>
      <w:r w:rsidRPr="00FC3B7C">
        <w:rPr>
          <w:rFonts w:eastAsia="Times New Roman"/>
          <w:b/>
          <w:bCs/>
          <w:szCs w:val="24"/>
        </w:rPr>
        <w:t>CzechTrade</w:t>
      </w:r>
      <w:r w:rsidRPr="00FC3B7C">
        <w:rPr>
          <w:rFonts w:eastAsia="Times New Roman"/>
          <w:szCs w:val="24"/>
        </w:rPr>
        <w:t xml:space="preserve"> (agentura s informacemi o světových trzích)</w:t>
      </w:r>
    </w:p>
    <w:p w14:paraId="671F8361" w14:textId="77777777" w:rsidR="00A15E2D" w:rsidRPr="00FC3B7C" w:rsidRDefault="00A15E2D" w:rsidP="00A15E2D">
      <w:pPr>
        <w:ind w:left="580"/>
        <w:rPr>
          <w:sz w:val="20"/>
          <w:szCs w:val="20"/>
        </w:rPr>
      </w:pPr>
      <w:r w:rsidRPr="00FC3B7C">
        <w:rPr>
          <w:rFonts w:eastAsia="Times New Roman"/>
          <w:szCs w:val="24"/>
        </w:rPr>
        <w:t>4)</w:t>
      </w:r>
      <w:r w:rsidRPr="00FC3B7C">
        <w:rPr>
          <w:rFonts w:eastAsia="Times New Roman"/>
          <w:b/>
          <w:bCs/>
          <w:szCs w:val="24"/>
        </w:rPr>
        <w:t>Centrální banka</w:t>
      </w:r>
    </w:p>
    <w:p w14:paraId="3F000C23" w14:textId="77777777" w:rsidR="00A15E2D" w:rsidRPr="00FC3B7C" w:rsidRDefault="00A15E2D" w:rsidP="00A15E2D">
      <w:pPr>
        <w:spacing w:line="390" w:lineRule="exact"/>
        <w:rPr>
          <w:sz w:val="20"/>
          <w:szCs w:val="20"/>
        </w:rPr>
      </w:pPr>
    </w:p>
    <w:p w14:paraId="7FDE63C4" w14:textId="77777777" w:rsidR="00A15E2D" w:rsidRPr="002331D3" w:rsidRDefault="00A15E2D" w:rsidP="00A15E2D">
      <w:pPr>
        <w:pStyle w:val="Nadpis3"/>
        <w:rPr>
          <w:color w:val="1F3864" w:themeColor="accent1" w:themeShade="80"/>
          <w:sz w:val="20"/>
          <w:szCs w:val="20"/>
        </w:rPr>
      </w:pPr>
      <w:r w:rsidRPr="002331D3">
        <w:rPr>
          <w:rFonts w:eastAsia="Times New Roman"/>
          <w:color w:val="1F3864" w:themeColor="accent1" w:themeShade="80"/>
        </w:rPr>
        <w:t>Z jakých dílčích politik se skládá vnější hospodářská politika státu?</w:t>
      </w:r>
    </w:p>
    <w:p w14:paraId="11A65A3B" w14:textId="77777777" w:rsidR="00A15E2D" w:rsidRPr="00FC3B7C" w:rsidRDefault="00A15E2D" w:rsidP="00A15E2D">
      <w:pPr>
        <w:ind w:left="480"/>
        <w:rPr>
          <w:sz w:val="20"/>
          <w:szCs w:val="20"/>
        </w:rPr>
      </w:pPr>
      <w:r w:rsidRPr="00FC3B7C">
        <w:rPr>
          <w:rFonts w:eastAsia="Times New Roman"/>
          <w:szCs w:val="24"/>
        </w:rPr>
        <w:t>1)</w:t>
      </w:r>
      <w:r>
        <w:rPr>
          <w:rFonts w:eastAsia="Times New Roman"/>
          <w:szCs w:val="24"/>
        </w:rPr>
        <w:t xml:space="preserve"> </w:t>
      </w:r>
      <w:r w:rsidRPr="00FC3B7C">
        <w:rPr>
          <w:rFonts w:eastAsia="Times New Roman"/>
          <w:szCs w:val="24"/>
        </w:rPr>
        <w:t>zahraniční politika,</w:t>
      </w:r>
    </w:p>
    <w:p w14:paraId="35E03F02" w14:textId="77777777" w:rsidR="00A15E2D" w:rsidRPr="00FC3B7C" w:rsidRDefault="00A15E2D" w:rsidP="00A15E2D">
      <w:pPr>
        <w:ind w:left="480"/>
        <w:rPr>
          <w:sz w:val="20"/>
          <w:szCs w:val="20"/>
        </w:rPr>
      </w:pPr>
      <w:r w:rsidRPr="00FC3B7C">
        <w:rPr>
          <w:rFonts w:eastAsia="Times New Roman"/>
          <w:szCs w:val="24"/>
        </w:rPr>
        <w:t>2)</w:t>
      </w:r>
      <w:r>
        <w:rPr>
          <w:rFonts w:eastAsia="Times New Roman"/>
          <w:szCs w:val="24"/>
        </w:rPr>
        <w:t xml:space="preserve"> </w:t>
      </w:r>
      <w:r w:rsidRPr="00FC3B7C">
        <w:rPr>
          <w:rFonts w:eastAsia="Times New Roman"/>
          <w:szCs w:val="24"/>
        </w:rPr>
        <w:t>devizová a úvěrová politika,</w:t>
      </w:r>
    </w:p>
    <w:p w14:paraId="76DE04B1" w14:textId="77777777" w:rsidR="00A15E2D" w:rsidRPr="00FC3B7C" w:rsidRDefault="00A15E2D" w:rsidP="00A15E2D">
      <w:pPr>
        <w:ind w:left="480"/>
        <w:rPr>
          <w:sz w:val="20"/>
          <w:szCs w:val="20"/>
        </w:rPr>
      </w:pPr>
      <w:r w:rsidRPr="00FC3B7C">
        <w:rPr>
          <w:rFonts w:eastAsia="Times New Roman"/>
          <w:szCs w:val="24"/>
        </w:rPr>
        <w:t>3)</w:t>
      </w:r>
      <w:r>
        <w:rPr>
          <w:rFonts w:eastAsia="Times New Roman"/>
          <w:szCs w:val="24"/>
        </w:rPr>
        <w:t xml:space="preserve"> </w:t>
      </w:r>
      <w:r w:rsidRPr="00FC3B7C">
        <w:rPr>
          <w:rFonts w:eastAsia="Times New Roman"/>
          <w:szCs w:val="24"/>
        </w:rPr>
        <w:t>kapitálová a investiční politika,</w:t>
      </w:r>
    </w:p>
    <w:p w14:paraId="3E66F9C1" w14:textId="77777777" w:rsidR="00A15E2D" w:rsidRPr="00FC3B7C" w:rsidRDefault="00A15E2D" w:rsidP="00A15E2D">
      <w:pPr>
        <w:ind w:left="480"/>
        <w:rPr>
          <w:sz w:val="20"/>
          <w:szCs w:val="20"/>
        </w:rPr>
      </w:pPr>
      <w:r w:rsidRPr="00FC3B7C">
        <w:rPr>
          <w:rFonts w:eastAsia="Times New Roman"/>
          <w:szCs w:val="24"/>
        </w:rPr>
        <w:t>4)</w:t>
      </w:r>
      <w:r>
        <w:rPr>
          <w:rFonts w:eastAsia="Times New Roman"/>
          <w:szCs w:val="24"/>
        </w:rPr>
        <w:t xml:space="preserve"> </w:t>
      </w:r>
      <w:r w:rsidRPr="00FC3B7C">
        <w:rPr>
          <w:rFonts w:eastAsia="Times New Roman"/>
          <w:szCs w:val="24"/>
        </w:rPr>
        <w:t>migrační politika.</w:t>
      </w:r>
    </w:p>
    <w:p w14:paraId="0F8839E8" w14:textId="77777777" w:rsidR="00A15E2D" w:rsidRPr="00FC3B7C" w:rsidRDefault="00A15E2D" w:rsidP="00A15E2D">
      <w:pPr>
        <w:spacing w:line="277" w:lineRule="exact"/>
        <w:rPr>
          <w:sz w:val="20"/>
          <w:szCs w:val="20"/>
        </w:rPr>
      </w:pPr>
    </w:p>
    <w:p w14:paraId="7822361F" w14:textId="77777777" w:rsidR="00A15E2D" w:rsidRPr="002331D3" w:rsidRDefault="00A15E2D" w:rsidP="00A15E2D">
      <w:pPr>
        <w:pStyle w:val="Nadpis3"/>
        <w:rPr>
          <w:color w:val="1F3864" w:themeColor="accent1" w:themeShade="80"/>
          <w:sz w:val="20"/>
          <w:szCs w:val="20"/>
        </w:rPr>
      </w:pPr>
      <w:r w:rsidRPr="002331D3">
        <w:rPr>
          <w:rFonts w:eastAsia="Times New Roman"/>
          <w:color w:val="1F3864" w:themeColor="accent1" w:themeShade="80"/>
        </w:rPr>
        <w:lastRenderedPageBreak/>
        <w:t>Nositelé (ti, kdo VHP provádějí)</w:t>
      </w:r>
    </w:p>
    <w:p w14:paraId="53832FFB" w14:textId="77777777" w:rsidR="00A15E2D" w:rsidRDefault="00A15E2D" w:rsidP="00A15E2D">
      <w:pPr>
        <w:rPr>
          <w:rFonts w:eastAsia="Times New Roman"/>
        </w:rPr>
      </w:pPr>
      <w:bookmarkStart w:id="182" w:name="page183"/>
      <w:bookmarkEnd w:id="182"/>
      <w:r w:rsidRPr="00FC3B7C">
        <w:rPr>
          <w:rFonts w:eastAsia="Times New Roman"/>
        </w:rPr>
        <w:t>Snaží se pomocí vybraných nástrojů dosáhnout určitého stavu ekonomiky dané země. Cíl může být vyrovnaná platební bilance=&gt; cíle VHP a HP můžou být někdy v rozporu. Používají i dalších nástrojů hospodářských politik, jako například monetární nástroje, sociální či fiskální, z čehož plyne provázanost hospodářské politiky s vnější hospodářskou politikou.</w:t>
      </w:r>
    </w:p>
    <w:p w14:paraId="6AD49F9A" w14:textId="77777777" w:rsidR="00A15E2D" w:rsidRPr="00303CE3" w:rsidRDefault="00A15E2D" w:rsidP="00A15E2D">
      <w:pPr>
        <w:rPr>
          <w:rFonts w:eastAsia="Times New Roman"/>
        </w:rPr>
      </w:pPr>
    </w:p>
    <w:p w14:paraId="79FBB49A" w14:textId="77777777" w:rsidR="00A15E2D" w:rsidRPr="00A15E2D" w:rsidRDefault="00A15E2D" w:rsidP="00A15E2D">
      <w:pPr>
        <w:pStyle w:val="Nadpis3"/>
        <w:rPr>
          <w:color w:val="1F3864" w:themeColor="accent1" w:themeShade="80"/>
          <w:sz w:val="20"/>
          <w:szCs w:val="20"/>
        </w:rPr>
      </w:pPr>
      <w:r w:rsidRPr="00A15E2D">
        <w:rPr>
          <w:rFonts w:eastAsia="Cambria"/>
          <w:color w:val="1F3864" w:themeColor="accent1" w:themeShade="80"/>
        </w:rPr>
        <w:t>Nástroje vnější hospodářské politiky</w:t>
      </w:r>
      <w:r w:rsidRPr="00A15E2D">
        <w:rPr>
          <w:rFonts w:eastAsia="Cambria"/>
          <w:color w:val="1F3864" w:themeColor="accent1" w:themeShade="80"/>
          <w:szCs w:val="28"/>
        </w:rPr>
        <w:t xml:space="preserve"> </w:t>
      </w:r>
      <w:r w:rsidRPr="00A15E2D">
        <w:rPr>
          <w:rFonts w:eastAsia="Times New Roman"/>
          <w:bCs/>
          <w:i/>
          <w:iCs/>
          <w:color w:val="1F3864" w:themeColor="accent1" w:themeShade="80"/>
          <w:szCs w:val="28"/>
        </w:rPr>
        <w:t>(obsaženo v ot.</w:t>
      </w:r>
      <w:r w:rsidRPr="00A15E2D">
        <w:rPr>
          <w:rFonts w:eastAsia="Cambria"/>
          <w:color w:val="1F3864" w:themeColor="accent1" w:themeShade="80"/>
          <w:szCs w:val="28"/>
        </w:rPr>
        <w:t xml:space="preserve"> </w:t>
      </w:r>
      <w:r w:rsidRPr="00A15E2D">
        <w:rPr>
          <w:rFonts w:eastAsia="Times New Roman"/>
          <w:bCs/>
          <w:i/>
          <w:iCs/>
          <w:color w:val="1F3864" w:themeColor="accent1" w:themeShade="80"/>
          <w:szCs w:val="28"/>
        </w:rPr>
        <w:t>č. 8)</w:t>
      </w:r>
    </w:p>
    <w:p w14:paraId="484C7A3F" w14:textId="77777777" w:rsidR="00A15E2D" w:rsidRPr="00B676E2" w:rsidRDefault="00A15E2D" w:rsidP="00D46B53">
      <w:pPr>
        <w:numPr>
          <w:ilvl w:val="0"/>
          <w:numId w:val="175"/>
        </w:numPr>
        <w:tabs>
          <w:tab w:val="left" w:pos="820"/>
        </w:tabs>
        <w:ind w:left="820" w:hanging="348"/>
        <w:rPr>
          <w:rFonts w:eastAsia="Times New Roman"/>
          <w:szCs w:val="24"/>
        </w:rPr>
      </w:pPr>
      <w:r w:rsidRPr="00FC3B7C">
        <w:rPr>
          <w:rFonts w:eastAsia="Times New Roman"/>
          <w:szCs w:val="24"/>
        </w:rPr>
        <w:t>Nástroje omezující dovoz-ochraňující domácí výrobce</w:t>
      </w:r>
    </w:p>
    <w:p w14:paraId="38FA97EE" w14:textId="77777777" w:rsidR="00A15E2D" w:rsidRPr="00B676E2" w:rsidRDefault="00A15E2D" w:rsidP="00D46B53">
      <w:pPr>
        <w:numPr>
          <w:ilvl w:val="0"/>
          <w:numId w:val="175"/>
        </w:numPr>
        <w:tabs>
          <w:tab w:val="left" w:pos="820"/>
        </w:tabs>
        <w:ind w:left="820" w:hanging="348"/>
        <w:rPr>
          <w:rFonts w:eastAsia="Times New Roman"/>
          <w:szCs w:val="24"/>
        </w:rPr>
      </w:pPr>
      <w:r w:rsidRPr="00FC3B7C">
        <w:rPr>
          <w:rFonts w:eastAsia="Times New Roman"/>
          <w:szCs w:val="24"/>
        </w:rPr>
        <w:t>Nástroje podporující vývoz-podpora domácích exportéru ve formě subvencí atd.</w:t>
      </w:r>
    </w:p>
    <w:p w14:paraId="00A36586" w14:textId="77777777" w:rsidR="00A15E2D" w:rsidRPr="004B6CDE" w:rsidRDefault="00A15E2D" w:rsidP="00D46B53">
      <w:pPr>
        <w:numPr>
          <w:ilvl w:val="0"/>
          <w:numId w:val="175"/>
        </w:numPr>
        <w:tabs>
          <w:tab w:val="left" w:pos="824"/>
        </w:tabs>
        <w:spacing w:line="362" w:lineRule="auto"/>
        <w:ind w:left="1200" w:right="40" w:hanging="728"/>
        <w:rPr>
          <w:rFonts w:eastAsia="Times New Roman"/>
          <w:szCs w:val="24"/>
        </w:rPr>
      </w:pPr>
      <w:r w:rsidRPr="00FC3B7C">
        <w:rPr>
          <w:rFonts w:eastAsia="Times New Roman"/>
          <w:szCs w:val="24"/>
        </w:rPr>
        <w:t xml:space="preserve">Smluvní nástroje (ujednání mezi subjekty, které mají rozdílný cíl, smlouvy mezi </w:t>
      </w:r>
      <w:r w:rsidRPr="004B6CDE">
        <w:rPr>
          <w:rFonts w:eastAsia="Times New Roman"/>
          <w:szCs w:val="24"/>
        </w:rPr>
        <w:t xml:space="preserve">státy </w:t>
      </w:r>
      <w:r w:rsidRPr="004B6CDE">
        <w:rPr>
          <w:rFonts w:eastAsia="Courier New"/>
          <w:szCs w:val="24"/>
        </w:rPr>
        <w:t xml:space="preserve">O </w:t>
      </w:r>
      <w:r w:rsidRPr="004B6CDE">
        <w:rPr>
          <w:rFonts w:eastAsia="Times New Roman"/>
          <w:szCs w:val="24"/>
        </w:rPr>
        <w:t>bilaterální, multilaterální)</w:t>
      </w:r>
    </w:p>
    <w:p w14:paraId="177A73EA" w14:textId="77777777" w:rsidR="00A15E2D" w:rsidRPr="004B6CDE" w:rsidRDefault="00A15E2D" w:rsidP="00A15E2D">
      <w:pPr>
        <w:spacing w:line="1" w:lineRule="exact"/>
        <w:rPr>
          <w:rFonts w:eastAsia="Times New Roman"/>
          <w:szCs w:val="24"/>
        </w:rPr>
      </w:pPr>
    </w:p>
    <w:p w14:paraId="4FBD8E42" w14:textId="77777777" w:rsidR="00A15E2D" w:rsidRPr="004B6CDE" w:rsidRDefault="00A15E2D" w:rsidP="00A15E2D">
      <w:pPr>
        <w:tabs>
          <w:tab w:val="left" w:pos="820"/>
        </w:tabs>
        <w:rPr>
          <w:rFonts w:eastAsia="Times New Roman"/>
          <w:szCs w:val="24"/>
          <w:u w:val="single"/>
        </w:rPr>
      </w:pPr>
      <w:r w:rsidRPr="004B6CDE">
        <w:rPr>
          <w:rFonts w:eastAsia="Times New Roman"/>
          <w:szCs w:val="24"/>
          <w:u w:val="single"/>
        </w:rPr>
        <w:t>Autonomní nástroje</w:t>
      </w:r>
    </w:p>
    <w:p w14:paraId="36074C70" w14:textId="77777777" w:rsidR="00A15E2D" w:rsidRPr="004B6CDE" w:rsidRDefault="00A15E2D" w:rsidP="00A15E2D">
      <w:pPr>
        <w:pStyle w:val="Odstavecseseznamem"/>
        <w:numPr>
          <w:ilvl w:val="0"/>
          <w:numId w:val="144"/>
        </w:numPr>
        <w:tabs>
          <w:tab w:val="left" w:pos="1480"/>
        </w:tabs>
        <w:rPr>
          <w:rFonts w:eastAsia="Courier New"/>
          <w:szCs w:val="24"/>
        </w:rPr>
      </w:pPr>
      <w:r w:rsidRPr="004B6CDE">
        <w:rPr>
          <w:rFonts w:eastAsia="Times New Roman"/>
          <w:szCs w:val="24"/>
        </w:rPr>
        <w:t>opatření měnového nebo platebního charakteru</w:t>
      </w:r>
    </w:p>
    <w:p w14:paraId="510C275F" w14:textId="77777777" w:rsidR="00A15E2D" w:rsidRPr="004B6CDE" w:rsidRDefault="00A15E2D" w:rsidP="00A15E2D">
      <w:pPr>
        <w:pStyle w:val="Odstavecseseznamem"/>
        <w:numPr>
          <w:ilvl w:val="0"/>
          <w:numId w:val="144"/>
        </w:numPr>
        <w:tabs>
          <w:tab w:val="left" w:pos="1480"/>
        </w:tabs>
        <w:rPr>
          <w:rFonts w:eastAsia="Courier New"/>
          <w:szCs w:val="24"/>
        </w:rPr>
      </w:pPr>
      <w:r w:rsidRPr="004B6CDE">
        <w:rPr>
          <w:rFonts w:eastAsia="Times New Roman"/>
          <w:szCs w:val="24"/>
        </w:rPr>
        <w:t>stanovení devizového kurzu, úrokových měr, poplatků nebo daní</w:t>
      </w:r>
    </w:p>
    <w:p w14:paraId="5A4F5AAD" w14:textId="77777777" w:rsidR="00A15E2D" w:rsidRPr="004B6CDE" w:rsidRDefault="00A15E2D" w:rsidP="00A15E2D">
      <w:pPr>
        <w:pStyle w:val="Odstavecseseznamem"/>
        <w:numPr>
          <w:ilvl w:val="0"/>
          <w:numId w:val="144"/>
        </w:numPr>
        <w:tabs>
          <w:tab w:val="left" w:pos="1480"/>
        </w:tabs>
        <w:rPr>
          <w:rFonts w:eastAsia="Courier New"/>
          <w:szCs w:val="24"/>
        </w:rPr>
      </w:pPr>
      <w:r w:rsidRPr="004B6CDE">
        <w:rPr>
          <w:rFonts w:eastAsia="Times New Roman"/>
          <w:szCs w:val="24"/>
        </w:rPr>
        <w:t>mimo celní bariéry</w:t>
      </w:r>
    </w:p>
    <w:p w14:paraId="31567FA8" w14:textId="77777777" w:rsidR="00A15E2D" w:rsidRPr="004B6CDE" w:rsidRDefault="00A15E2D" w:rsidP="00A15E2D">
      <w:pPr>
        <w:pStyle w:val="Odstavecseseznamem"/>
        <w:numPr>
          <w:ilvl w:val="0"/>
          <w:numId w:val="144"/>
        </w:numPr>
        <w:tabs>
          <w:tab w:val="left" w:pos="1480"/>
        </w:tabs>
        <w:rPr>
          <w:rFonts w:eastAsia="Courier New"/>
          <w:szCs w:val="24"/>
        </w:rPr>
      </w:pPr>
      <w:r w:rsidRPr="004B6CDE">
        <w:rPr>
          <w:rFonts w:eastAsia="Times New Roman"/>
          <w:szCs w:val="24"/>
        </w:rPr>
        <w:t>hygienické normy (omezení dovozu)</w:t>
      </w:r>
    </w:p>
    <w:p w14:paraId="5E6C1D95" w14:textId="77777777" w:rsidR="00A15E2D" w:rsidRPr="004B6CDE" w:rsidRDefault="00A15E2D" w:rsidP="00A15E2D">
      <w:pPr>
        <w:pStyle w:val="Odstavecseseznamem"/>
        <w:numPr>
          <w:ilvl w:val="0"/>
          <w:numId w:val="144"/>
        </w:numPr>
        <w:tabs>
          <w:tab w:val="left" w:pos="1480"/>
        </w:tabs>
        <w:rPr>
          <w:rFonts w:eastAsia="Courier New"/>
          <w:szCs w:val="24"/>
        </w:rPr>
      </w:pPr>
      <w:r w:rsidRPr="004B6CDE">
        <w:rPr>
          <w:rFonts w:eastAsia="Times New Roman"/>
          <w:szCs w:val="24"/>
        </w:rPr>
        <w:t>snaha o zabránění volného obchodu</w:t>
      </w:r>
    </w:p>
    <w:p w14:paraId="74B7B6E4" w14:textId="77777777" w:rsidR="00A15E2D" w:rsidRPr="004B6CDE" w:rsidRDefault="00A15E2D" w:rsidP="00A15E2D">
      <w:pPr>
        <w:pStyle w:val="Odstavecseseznamem"/>
        <w:numPr>
          <w:ilvl w:val="0"/>
          <w:numId w:val="144"/>
        </w:numPr>
        <w:tabs>
          <w:tab w:val="left" w:pos="1480"/>
        </w:tabs>
        <w:rPr>
          <w:rFonts w:eastAsia="Courier New"/>
          <w:szCs w:val="24"/>
        </w:rPr>
      </w:pPr>
      <w:r w:rsidRPr="004B6CDE">
        <w:rPr>
          <w:rFonts w:eastAsia="Times New Roman"/>
          <w:szCs w:val="24"/>
        </w:rPr>
        <w:t>subvence a dotace domácím výrobcům (podpora vývozu)</w:t>
      </w:r>
    </w:p>
    <w:p w14:paraId="46F039E5" w14:textId="77777777" w:rsidR="00A15E2D" w:rsidRPr="004B6CDE" w:rsidRDefault="00A15E2D" w:rsidP="00A15E2D">
      <w:pPr>
        <w:pStyle w:val="Odstavecseseznamem"/>
        <w:numPr>
          <w:ilvl w:val="0"/>
          <w:numId w:val="144"/>
        </w:numPr>
        <w:tabs>
          <w:tab w:val="left" w:pos="1480"/>
        </w:tabs>
        <w:rPr>
          <w:rFonts w:eastAsia="Courier New"/>
          <w:szCs w:val="24"/>
        </w:rPr>
      </w:pPr>
      <w:r w:rsidRPr="004B6CDE">
        <w:rPr>
          <w:rFonts w:eastAsia="Times New Roman"/>
          <w:szCs w:val="24"/>
        </w:rPr>
        <w:t>chrání domácí vývozce, ale je nevýhodné pro spotřebitele (zvyšuje cenu)</w:t>
      </w:r>
    </w:p>
    <w:p w14:paraId="08E9E3C8" w14:textId="77777777" w:rsidR="00A15E2D" w:rsidRPr="004B6CDE" w:rsidRDefault="00A15E2D" w:rsidP="00A15E2D">
      <w:pPr>
        <w:spacing w:line="135" w:lineRule="exact"/>
        <w:rPr>
          <w:rFonts w:eastAsia="Courier New"/>
          <w:szCs w:val="24"/>
        </w:rPr>
      </w:pPr>
    </w:p>
    <w:p w14:paraId="0FD41E1D" w14:textId="77777777" w:rsidR="00A15E2D" w:rsidRPr="004B6CDE" w:rsidRDefault="00A15E2D" w:rsidP="00A15E2D">
      <w:pPr>
        <w:tabs>
          <w:tab w:val="left" w:pos="820"/>
        </w:tabs>
        <w:rPr>
          <w:rFonts w:eastAsia="Times New Roman"/>
          <w:szCs w:val="24"/>
        </w:rPr>
      </w:pPr>
      <w:r w:rsidRPr="004B6CDE">
        <w:rPr>
          <w:rFonts w:eastAsia="Times New Roman"/>
          <w:szCs w:val="24"/>
          <w:u w:val="single"/>
        </w:rPr>
        <w:t>Netarifní nástroje</w:t>
      </w:r>
      <w:r w:rsidRPr="004B6CDE">
        <w:rPr>
          <w:rFonts w:eastAsia="Times New Roman"/>
          <w:szCs w:val="24"/>
        </w:rPr>
        <w:t xml:space="preserve"> (výhodné pro domácí výrobce, ale nevýhodné pro spotřebitele)</w:t>
      </w:r>
    </w:p>
    <w:p w14:paraId="579409B0" w14:textId="77777777" w:rsidR="00A15E2D" w:rsidRPr="004B6CDE" w:rsidRDefault="00A15E2D" w:rsidP="00A15E2D">
      <w:pPr>
        <w:spacing w:line="156" w:lineRule="exact"/>
        <w:rPr>
          <w:rFonts w:eastAsia="Times New Roman"/>
          <w:szCs w:val="24"/>
        </w:rPr>
      </w:pPr>
    </w:p>
    <w:p w14:paraId="654485E5" w14:textId="363EFBB8" w:rsidR="00A15E2D" w:rsidRPr="004B6CDE" w:rsidRDefault="00A15E2D" w:rsidP="00A15E2D">
      <w:pPr>
        <w:pStyle w:val="Odstavecseseznamem"/>
        <w:numPr>
          <w:ilvl w:val="0"/>
          <w:numId w:val="144"/>
        </w:numPr>
        <w:tabs>
          <w:tab w:val="left" w:pos="1480"/>
        </w:tabs>
        <w:rPr>
          <w:rFonts w:eastAsia="Courier New"/>
          <w:szCs w:val="24"/>
        </w:rPr>
      </w:pPr>
      <w:r w:rsidRPr="004B6CDE">
        <w:rPr>
          <w:rFonts w:eastAsia="Times New Roman"/>
          <w:szCs w:val="24"/>
        </w:rPr>
        <w:t>kvóty na dovoz</w:t>
      </w:r>
      <w:r w:rsidR="007E5E16">
        <w:rPr>
          <w:rFonts w:eastAsia="Times New Roman"/>
          <w:szCs w:val="24"/>
        </w:rPr>
        <w:t xml:space="preserve"> </w:t>
      </w:r>
      <w:r w:rsidRPr="004B6CDE">
        <w:rPr>
          <w:rFonts w:eastAsia="Times New Roman"/>
          <w:szCs w:val="24"/>
        </w:rPr>
        <w:t>– zvyšují cenu, protože snižují množství zboží na trhu</w:t>
      </w:r>
    </w:p>
    <w:p w14:paraId="10D17DAF" w14:textId="77777777" w:rsidR="00A15E2D" w:rsidRPr="004B6CDE" w:rsidRDefault="00A15E2D" w:rsidP="00A15E2D">
      <w:pPr>
        <w:spacing w:line="135" w:lineRule="exact"/>
        <w:rPr>
          <w:rFonts w:eastAsia="Courier New"/>
          <w:szCs w:val="24"/>
        </w:rPr>
      </w:pPr>
    </w:p>
    <w:p w14:paraId="4FCF4DBB" w14:textId="77777777" w:rsidR="00A15E2D" w:rsidRPr="004B6CDE" w:rsidRDefault="00A15E2D" w:rsidP="00A15E2D">
      <w:pPr>
        <w:tabs>
          <w:tab w:val="left" w:pos="820"/>
        </w:tabs>
        <w:rPr>
          <w:rFonts w:eastAsia="Times New Roman"/>
          <w:szCs w:val="24"/>
          <w:u w:val="single"/>
        </w:rPr>
      </w:pPr>
      <w:r w:rsidRPr="004B6CDE">
        <w:rPr>
          <w:rFonts w:eastAsia="Times New Roman"/>
          <w:szCs w:val="24"/>
          <w:u w:val="single"/>
        </w:rPr>
        <w:t>Tarifní nástroje</w:t>
      </w:r>
    </w:p>
    <w:p w14:paraId="5EE5F0C0" w14:textId="77777777" w:rsidR="00A15E2D" w:rsidRPr="004B6CDE" w:rsidRDefault="00A15E2D" w:rsidP="00A15E2D">
      <w:pPr>
        <w:spacing w:line="160" w:lineRule="exact"/>
        <w:rPr>
          <w:rFonts w:eastAsia="Times New Roman"/>
          <w:szCs w:val="24"/>
        </w:rPr>
      </w:pPr>
    </w:p>
    <w:p w14:paraId="3651CC38" w14:textId="77777777" w:rsidR="00A15E2D" w:rsidRPr="004B6CDE" w:rsidRDefault="00A15E2D" w:rsidP="00A15E2D">
      <w:pPr>
        <w:pStyle w:val="Odstavecseseznamem"/>
        <w:numPr>
          <w:ilvl w:val="0"/>
          <w:numId w:val="144"/>
        </w:numPr>
        <w:tabs>
          <w:tab w:val="left" w:pos="1480"/>
        </w:tabs>
        <w:rPr>
          <w:rFonts w:eastAsia="Courier New"/>
          <w:szCs w:val="24"/>
        </w:rPr>
      </w:pPr>
      <w:r w:rsidRPr="004B6CDE">
        <w:rPr>
          <w:rFonts w:eastAsia="Times New Roman"/>
          <w:szCs w:val="24"/>
        </w:rPr>
        <w:t>dovozní cla – prodražují dovoz</w:t>
      </w:r>
    </w:p>
    <w:p w14:paraId="7B144B58" w14:textId="77777777" w:rsidR="00A15E2D" w:rsidRPr="004B6CDE" w:rsidRDefault="00A15E2D" w:rsidP="00A15E2D">
      <w:pPr>
        <w:spacing w:line="12" w:lineRule="exact"/>
        <w:rPr>
          <w:sz w:val="20"/>
          <w:szCs w:val="20"/>
        </w:rPr>
      </w:pPr>
    </w:p>
    <w:p w14:paraId="549B685A" w14:textId="77777777" w:rsidR="00A15E2D" w:rsidRPr="004B6CDE" w:rsidRDefault="00A15E2D" w:rsidP="00A15E2D">
      <w:pPr>
        <w:pStyle w:val="Odstavecseseznamem"/>
        <w:numPr>
          <w:ilvl w:val="0"/>
          <w:numId w:val="144"/>
        </w:numPr>
        <w:tabs>
          <w:tab w:val="left" w:pos="1480"/>
        </w:tabs>
        <w:rPr>
          <w:rFonts w:eastAsia="Courier New"/>
          <w:szCs w:val="24"/>
        </w:rPr>
      </w:pPr>
      <w:r w:rsidRPr="004B6CDE">
        <w:rPr>
          <w:rFonts w:eastAsia="Times New Roman"/>
          <w:szCs w:val="24"/>
        </w:rPr>
        <w:t>vývozní cla – zamezují vývozu některých surovin</w:t>
      </w:r>
    </w:p>
    <w:p w14:paraId="68FF286C" w14:textId="77777777" w:rsidR="00A15E2D" w:rsidRPr="004B6CDE" w:rsidRDefault="00A15E2D" w:rsidP="00A15E2D">
      <w:pPr>
        <w:spacing w:line="1" w:lineRule="exact"/>
        <w:rPr>
          <w:sz w:val="20"/>
          <w:szCs w:val="20"/>
        </w:rPr>
      </w:pPr>
    </w:p>
    <w:p w14:paraId="1FBEAE5F" w14:textId="77777777" w:rsidR="00A15E2D" w:rsidRPr="002331D3" w:rsidRDefault="00A15E2D" w:rsidP="00A15E2D">
      <w:pPr>
        <w:pStyle w:val="Odstavecseseznamem"/>
        <w:numPr>
          <w:ilvl w:val="0"/>
          <w:numId w:val="144"/>
        </w:numPr>
        <w:tabs>
          <w:tab w:val="left" w:pos="1480"/>
        </w:tabs>
        <w:rPr>
          <w:rFonts w:eastAsia="Courier New"/>
          <w:szCs w:val="24"/>
        </w:rPr>
      </w:pPr>
      <w:r w:rsidRPr="004B6CDE">
        <w:rPr>
          <w:rFonts w:eastAsia="Times New Roman"/>
          <w:szCs w:val="24"/>
        </w:rPr>
        <w:t xml:space="preserve">tranzitní cla – hlavní </w:t>
      </w:r>
      <w:r w:rsidRPr="002331D3">
        <w:rPr>
          <w:rFonts w:eastAsia="Times New Roman"/>
          <w:szCs w:val="24"/>
        </w:rPr>
        <w:t>důvod je fiskální=příjem státního rozpočtu</w:t>
      </w:r>
    </w:p>
    <w:p w14:paraId="71344501" w14:textId="77777777" w:rsidR="00A15E2D" w:rsidRPr="00FC3B7C" w:rsidRDefault="00A15E2D" w:rsidP="00A15E2D">
      <w:pPr>
        <w:spacing w:line="259" w:lineRule="exact"/>
        <w:rPr>
          <w:sz w:val="20"/>
          <w:szCs w:val="20"/>
        </w:rPr>
      </w:pPr>
    </w:p>
    <w:p w14:paraId="7D48370A" w14:textId="77777777" w:rsidR="00A15E2D" w:rsidRPr="00FC3B7C" w:rsidRDefault="00A15E2D" w:rsidP="00A15E2D">
      <w:pPr>
        <w:rPr>
          <w:sz w:val="20"/>
          <w:szCs w:val="20"/>
        </w:rPr>
      </w:pPr>
      <w:r w:rsidRPr="00FC3B7C">
        <w:rPr>
          <w:rFonts w:eastAsia="Times New Roman"/>
          <w:sz w:val="23"/>
          <w:szCs w:val="23"/>
        </w:rPr>
        <w:t xml:space="preserve">pozn.: Protekcionismus klade překážky mezinárodnímu obchodu. Většinou je důsledkem protekcionistických opatření vyšší vzácnost určitého zboží na domácím trhu a tím i jeho vyšší cena. Na tom sice profitují tuzemští výrobci a jejich dodavatelé, na druhou stranu oběťmi protekcionismu jsou všichni poptávající daných statků, kteří musí platit vyšší cenu. Následkem toho jsou nuceni omezit a poptávku po jiných statcích. Celkové dopady protekcionismu na </w:t>
      </w:r>
      <w:r w:rsidRPr="00FC3B7C">
        <w:rPr>
          <w:rFonts w:eastAsia="Times New Roman"/>
          <w:sz w:val="23"/>
          <w:szCs w:val="23"/>
        </w:rPr>
        <w:lastRenderedPageBreak/>
        <w:t>ekonomiku jsou tedy negativní. Dlouhodobé bránění konkurence navíc způsobuje stagnaci pokroku.</w:t>
      </w:r>
    </w:p>
    <w:p w14:paraId="46BE2F0B" w14:textId="77777777" w:rsidR="00A15E2D" w:rsidRPr="00FC3B7C" w:rsidRDefault="00A15E2D" w:rsidP="00A15E2D">
      <w:pPr>
        <w:pStyle w:val="Nadpis2"/>
        <w:rPr>
          <w:sz w:val="20"/>
          <w:szCs w:val="20"/>
        </w:rPr>
      </w:pPr>
      <w:r w:rsidRPr="00303CE3">
        <w:rPr>
          <w:rFonts w:eastAsia="Times New Roman"/>
          <w:color w:val="1F3864" w:themeColor="accent1" w:themeShade="80"/>
        </w:rPr>
        <w:t>Instituce ovlivňující vnější hospodářskou politiku států</w:t>
      </w:r>
    </w:p>
    <w:p w14:paraId="091F8248" w14:textId="77777777" w:rsidR="00A15E2D" w:rsidRPr="000D0FAD" w:rsidRDefault="00A15E2D" w:rsidP="00D46B53">
      <w:pPr>
        <w:numPr>
          <w:ilvl w:val="0"/>
          <w:numId w:val="185"/>
        </w:numPr>
        <w:tabs>
          <w:tab w:val="left" w:pos="840"/>
        </w:tabs>
        <w:ind w:left="840" w:hanging="368"/>
        <w:rPr>
          <w:rFonts w:eastAsia="Times New Roman"/>
          <w:szCs w:val="24"/>
        </w:rPr>
      </w:pPr>
      <w:r w:rsidRPr="00FC3B7C">
        <w:rPr>
          <w:rFonts w:eastAsia="Times New Roman"/>
          <w:szCs w:val="24"/>
        </w:rPr>
        <w:t>Světová banka</w:t>
      </w:r>
    </w:p>
    <w:p w14:paraId="18D5A9FF" w14:textId="77777777" w:rsidR="00A15E2D" w:rsidRPr="00FC3B7C" w:rsidRDefault="00A15E2D" w:rsidP="00D46B53">
      <w:pPr>
        <w:numPr>
          <w:ilvl w:val="1"/>
          <w:numId w:val="185"/>
        </w:numPr>
        <w:tabs>
          <w:tab w:val="left" w:pos="1244"/>
        </w:tabs>
        <w:spacing w:line="245" w:lineRule="auto"/>
        <w:ind w:left="1200" w:right="40" w:hanging="368"/>
        <w:rPr>
          <w:rFonts w:eastAsia="Times New Roman"/>
          <w:szCs w:val="24"/>
        </w:rPr>
      </w:pPr>
      <w:r w:rsidRPr="00FC3B7C">
        <w:rPr>
          <w:rFonts w:eastAsia="Times New Roman"/>
          <w:szCs w:val="24"/>
        </w:rPr>
        <w:t>skupina, kterou tvoří pět institucí: Mezinárodní banka pro obnovu a rozvoj, Mezinárodní finanční korporace, Mezinárodní asociace pro rozvoj, Multilaterální agentura pro investiční záruky a Mezinárodní centrum pro řešení investičních sporů. Společným cílem je snížení chudoby ve světě posilováním ekonomik chudých států.</w:t>
      </w:r>
    </w:p>
    <w:p w14:paraId="57E76B0F" w14:textId="77777777" w:rsidR="00A15E2D" w:rsidRPr="00FC3B7C" w:rsidRDefault="00A15E2D" w:rsidP="00A15E2D">
      <w:pPr>
        <w:spacing w:line="4" w:lineRule="exact"/>
        <w:rPr>
          <w:rFonts w:eastAsia="Times New Roman"/>
          <w:szCs w:val="24"/>
        </w:rPr>
      </w:pPr>
    </w:p>
    <w:p w14:paraId="64030CF7" w14:textId="77777777" w:rsidR="00A15E2D" w:rsidRPr="000D0FAD" w:rsidRDefault="00A15E2D" w:rsidP="00D46B53">
      <w:pPr>
        <w:numPr>
          <w:ilvl w:val="0"/>
          <w:numId w:val="185"/>
        </w:numPr>
        <w:tabs>
          <w:tab w:val="left" w:pos="840"/>
        </w:tabs>
        <w:ind w:left="840" w:hanging="368"/>
        <w:rPr>
          <w:rFonts w:eastAsia="Times New Roman"/>
          <w:szCs w:val="24"/>
        </w:rPr>
      </w:pPr>
      <w:r w:rsidRPr="00FC3B7C">
        <w:rPr>
          <w:rFonts w:eastAsia="Times New Roman"/>
          <w:szCs w:val="24"/>
        </w:rPr>
        <w:t>Mezinárodní měnový fond</w:t>
      </w:r>
    </w:p>
    <w:p w14:paraId="64155CDC" w14:textId="77777777" w:rsidR="00A15E2D" w:rsidRPr="00FC3B7C" w:rsidRDefault="00A15E2D" w:rsidP="00D46B53">
      <w:pPr>
        <w:numPr>
          <w:ilvl w:val="1"/>
          <w:numId w:val="185"/>
        </w:numPr>
        <w:tabs>
          <w:tab w:val="left" w:pos="1184"/>
        </w:tabs>
        <w:spacing w:line="250" w:lineRule="auto"/>
        <w:ind w:left="1200" w:right="280" w:hanging="368"/>
        <w:rPr>
          <w:rFonts w:eastAsia="Times New Roman"/>
          <w:szCs w:val="24"/>
        </w:rPr>
      </w:pPr>
      <w:r w:rsidRPr="00FC3B7C">
        <w:rPr>
          <w:rFonts w:eastAsia="Times New Roman"/>
          <w:szCs w:val="24"/>
        </w:rPr>
        <w:t>fond vznikl ve čtyřicátých letech jako obrana před možnou další hospodářskou krizí. Má za úkol dohlížet nad stabilitou finančních systémů a pomáhá zadluženým státům</w:t>
      </w:r>
    </w:p>
    <w:p w14:paraId="22984ACD" w14:textId="77777777" w:rsidR="00A15E2D" w:rsidRPr="00FC3B7C" w:rsidRDefault="00A15E2D" w:rsidP="00A15E2D">
      <w:pPr>
        <w:spacing w:line="1" w:lineRule="exact"/>
        <w:rPr>
          <w:rFonts w:eastAsia="Times New Roman"/>
          <w:szCs w:val="24"/>
        </w:rPr>
      </w:pPr>
    </w:p>
    <w:p w14:paraId="477A5D02" w14:textId="77777777" w:rsidR="00A15E2D" w:rsidRPr="00FC3B7C" w:rsidRDefault="00A15E2D" w:rsidP="00D46B53">
      <w:pPr>
        <w:numPr>
          <w:ilvl w:val="1"/>
          <w:numId w:val="185"/>
        </w:numPr>
        <w:tabs>
          <w:tab w:val="left" w:pos="1180"/>
        </w:tabs>
        <w:ind w:left="1180" w:hanging="349"/>
        <w:rPr>
          <w:rFonts w:eastAsia="Times New Roman"/>
          <w:szCs w:val="24"/>
        </w:rPr>
      </w:pPr>
      <w:r w:rsidRPr="00FC3B7C">
        <w:rPr>
          <w:rFonts w:eastAsia="Times New Roman"/>
          <w:szCs w:val="24"/>
        </w:rPr>
        <w:t>V současnosti je jejím členem 187 států.</w:t>
      </w:r>
    </w:p>
    <w:p w14:paraId="3C4EFAF5" w14:textId="77777777" w:rsidR="00A15E2D" w:rsidRPr="00FC3B7C" w:rsidRDefault="00A15E2D" w:rsidP="00A15E2D">
      <w:pPr>
        <w:spacing w:line="12" w:lineRule="exact"/>
        <w:rPr>
          <w:rFonts w:eastAsia="Times New Roman"/>
          <w:szCs w:val="24"/>
        </w:rPr>
      </w:pPr>
    </w:p>
    <w:p w14:paraId="3CFE4BB1" w14:textId="77777777" w:rsidR="00A15E2D" w:rsidRPr="00FC3B7C" w:rsidRDefault="00A15E2D" w:rsidP="00D46B53">
      <w:pPr>
        <w:numPr>
          <w:ilvl w:val="0"/>
          <w:numId w:val="185"/>
        </w:numPr>
        <w:tabs>
          <w:tab w:val="left" w:pos="840"/>
        </w:tabs>
        <w:ind w:left="840" w:hanging="368"/>
        <w:rPr>
          <w:rFonts w:eastAsia="Times New Roman"/>
          <w:szCs w:val="24"/>
        </w:rPr>
      </w:pPr>
      <w:r w:rsidRPr="00FC3B7C">
        <w:rPr>
          <w:rFonts w:eastAsia="Times New Roman"/>
          <w:szCs w:val="24"/>
        </w:rPr>
        <w:t>OPEC</w:t>
      </w:r>
    </w:p>
    <w:p w14:paraId="02AA921B" w14:textId="77777777" w:rsidR="00A15E2D" w:rsidRPr="000D0FAD" w:rsidRDefault="00A15E2D" w:rsidP="00A15E2D">
      <w:pPr>
        <w:pStyle w:val="Odstavecseseznamem"/>
        <w:tabs>
          <w:tab w:val="left" w:pos="800"/>
        </w:tabs>
        <w:rPr>
          <w:rFonts w:eastAsia="Arial"/>
          <w:szCs w:val="24"/>
        </w:rPr>
      </w:pPr>
      <w:bookmarkStart w:id="183" w:name="page193"/>
      <w:bookmarkEnd w:id="183"/>
      <w:r w:rsidRPr="000D0FAD">
        <w:rPr>
          <w:rFonts w:eastAsia="Times New Roman"/>
          <w:szCs w:val="24"/>
        </w:rPr>
        <w:t>Mezinárodní organizace založená v roce1960 v Bagdádu, se sídlem ve Vídni</w:t>
      </w:r>
    </w:p>
    <w:p w14:paraId="64B3D040" w14:textId="77777777" w:rsidR="00A15E2D" w:rsidRPr="00FC3B7C" w:rsidRDefault="00A15E2D" w:rsidP="00A15E2D">
      <w:pPr>
        <w:spacing w:line="37" w:lineRule="exact"/>
        <w:rPr>
          <w:sz w:val="20"/>
          <w:szCs w:val="20"/>
        </w:rPr>
      </w:pPr>
    </w:p>
    <w:p w14:paraId="61491B2A" w14:textId="77777777" w:rsidR="00A15E2D" w:rsidRPr="00FC3B7C" w:rsidRDefault="00A15E2D" w:rsidP="00D46B53">
      <w:pPr>
        <w:numPr>
          <w:ilvl w:val="0"/>
          <w:numId w:val="186"/>
        </w:numPr>
        <w:tabs>
          <w:tab w:val="left" w:pos="796"/>
        </w:tabs>
        <w:spacing w:line="239" w:lineRule="auto"/>
        <w:ind w:left="800" w:right="580" w:hanging="360"/>
        <w:rPr>
          <w:rFonts w:eastAsia="Times New Roman"/>
          <w:szCs w:val="24"/>
        </w:rPr>
      </w:pPr>
      <w:r w:rsidRPr="00FC3B7C">
        <w:rPr>
          <w:rFonts w:eastAsia="Times New Roman"/>
          <w:szCs w:val="24"/>
        </w:rPr>
        <w:t>Cílem je koordinace ropné politiky, zejména stanovení exportních cen ropy a koncesních poplatků ropných společností, koordinace těžebních plánů a produkčních kvót, finanční pomoc poskytovaná rozvojovým zemím.</w:t>
      </w:r>
    </w:p>
    <w:p w14:paraId="4CA40B06" w14:textId="77777777" w:rsidR="00A15E2D" w:rsidRPr="00FC3B7C" w:rsidRDefault="00A15E2D" w:rsidP="00A15E2D">
      <w:pPr>
        <w:spacing w:line="1" w:lineRule="exact"/>
        <w:rPr>
          <w:rFonts w:eastAsia="Times New Roman"/>
          <w:szCs w:val="24"/>
        </w:rPr>
      </w:pPr>
    </w:p>
    <w:p w14:paraId="4C47CD2E" w14:textId="77777777" w:rsidR="00A15E2D" w:rsidRPr="000D0FAD" w:rsidRDefault="00A15E2D" w:rsidP="00D46B53">
      <w:pPr>
        <w:numPr>
          <w:ilvl w:val="1"/>
          <w:numId w:val="186"/>
        </w:numPr>
        <w:tabs>
          <w:tab w:val="left" w:pos="820"/>
        </w:tabs>
        <w:ind w:left="820" w:hanging="368"/>
        <w:rPr>
          <w:rFonts w:eastAsia="Times New Roman"/>
          <w:szCs w:val="24"/>
        </w:rPr>
      </w:pPr>
      <w:r w:rsidRPr="00FC3B7C">
        <w:rPr>
          <w:rFonts w:eastAsia="Times New Roman"/>
          <w:szCs w:val="24"/>
        </w:rPr>
        <w:t>OECD</w:t>
      </w:r>
    </w:p>
    <w:p w14:paraId="79973C0B" w14:textId="77777777" w:rsidR="00A15E2D" w:rsidRPr="000D0FAD" w:rsidRDefault="00A15E2D" w:rsidP="00D46B53">
      <w:pPr>
        <w:numPr>
          <w:ilvl w:val="0"/>
          <w:numId w:val="186"/>
        </w:numPr>
        <w:tabs>
          <w:tab w:val="left" w:pos="800"/>
        </w:tabs>
        <w:ind w:left="800" w:hanging="360"/>
        <w:rPr>
          <w:rFonts w:eastAsia="Times New Roman"/>
          <w:szCs w:val="24"/>
        </w:rPr>
      </w:pPr>
      <w:r w:rsidRPr="00FC3B7C">
        <w:rPr>
          <w:rFonts w:eastAsia="Times New Roman"/>
          <w:szCs w:val="24"/>
        </w:rPr>
        <w:t>Organizace pro hospodářskou spolupráci a rozvoj</w:t>
      </w:r>
    </w:p>
    <w:p w14:paraId="39E76623" w14:textId="77777777" w:rsidR="00A15E2D" w:rsidRPr="00FC3B7C" w:rsidRDefault="00A15E2D" w:rsidP="00D46B53">
      <w:pPr>
        <w:numPr>
          <w:ilvl w:val="0"/>
          <w:numId w:val="186"/>
        </w:numPr>
        <w:tabs>
          <w:tab w:val="left" w:pos="796"/>
        </w:tabs>
        <w:spacing w:line="259" w:lineRule="auto"/>
        <w:ind w:left="800" w:right="580" w:hanging="360"/>
        <w:rPr>
          <w:rFonts w:eastAsia="Times New Roman"/>
          <w:szCs w:val="24"/>
        </w:rPr>
      </w:pPr>
      <w:r w:rsidRPr="00FC3B7C">
        <w:rPr>
          <w:rFonts w:eastAsia="Times New Roman"/>
          <w:szCs w:val="24"/>
        </w:rPr>
        <w:t>vstoupilo 34 zemí, které přijaly principy demokracie a tržní ekonomiky, byla založena v roce1960.Zabývá se hlavně ekonomickým růstem, zvyšováním blahobytu a rozvojem světového obchodu.</w:t>
      </w:r>
    </w:p>
    <w:p w14:paraId="7D46152B" w14:textId="77777777" w:rsidR="00A15E2D" w:rsidRPr="00FC3B7C" w:rsidRDefault="00A15E2D" w:rsidP="00A15E2D">
      <w:pPr>
        <w:spacing w:line="109" w:lineRule="exact"/>
        <w:rPr>
          <w:rFonts w:eastAsia="Times New Roman"/>
          <w:szCs w:val="24"/>
        </w:rPr>
      </w:pPr>
    </w:p>
    <w:p w14:paraId="04A70544" w14:textId="77777777" w:rsidR="00A15E2D" w:rsidRPr="000D0FAD" w:rsidRDefault="00A15E2D" w:rsidP="00D46B53">
      <w:pPr>
        <w:numPr>
          <w:ilvl w:val="1"/>
          <w:numId w:val="187"/>
        </w:numPr>
        <w:tabs>
          <w:tab w:val="left" w:pos="820"/>
        </w:tabs>
        <w:ind w:left="820" w:hanging="368"/>
        <w:rPr>
          <w:rFonts w:eastAsia="Times New Roman"/>
          <w:szCs w:val="24"/>
        </w:rPr>
      </w:pPr>
      <w:r w:rsidRPr="00FC3B7C">
        <w:rPr>
          <w:rFonts w:eastAsia="Times New Roman"/>
          <w:szCs w:val="24"/>
        </w:rPr>
        <w:t>EU</w:t>
      </w:r>
    </w:p>
    <w:p w14:paraId="1681B1E3" w14:textId="77777777" w:rsidR="00A15E2D" w:rsidRPr="00FC3B7C" w:rsidRDefault="00A15E2D" w:rsidP="00D46B53">
      <w:pPr>
        <w:numPr>
          <w:ilvl w:val="0"/>
          <w:numId w:val="187"/>
        </w:numPr>
        <w:tabs>
          <w:tab w:val="left" w:pos="796"/>
        </w:tabs>
        <w:spacing w:line="250" w:lineRule="auto"/>
        <w:ind w:left="800" w:right="360" w:hanging="360"/>
        <w:rPr>
          <w:rFonts w:eastAsia="Times New Roman"/>
          <w:szCs w:val="24"/>
        </w:rPr>
      </w:pPr>
      <w:r w:rsidRPr="00FC3B7C">
        <w:rPr>
          <w:rFonts w:eastAsia="Times New Roman"/>
          <w:szCs w:val="24"/>
        </w:rPr>
        <w:t>Politická a ekonomická unie, která sdružuje 27 členských států. Vedoucí orgán částečně přejal některé pravomoci a vydává směrnice a doporučení, kterými se zahraniční politiky členských zemí řídí.</w:t>
      </w:r>
    </w:p>
    <w:p w14:paraId="0891FD14" w14:textId="77777777" w:rsidR="00A15E2D" w:rsidRPr="00FC3B7C" w:rsidRDefault="00A15E2D" w:rsidP="00A15E2D">
      <w:pPr>
        <w:spacing w:line="1" w:lineRule="exact"/>
        <w:rPr>
          <w:rFonts w:eastAsia="Times New Roman"/>
          <w:szCs w:val="24"/>
        </w:rPr>
      </w:pPr>
    </w:p>
    <w:p w14:paraId="63A690CD" w14:textId="77777777" w:rsidR="00A15E2D" w:rsidRPr="000D0FAD" w:rsidRDefault="00A15E2D" w:rsidP="00D46B53">
      <w:pPr>
        <w:numPr>
          <w:ilvl w:val="1"/>
          <w:numId w:val="188"/>
        </w:numPr>
        <w:tabs>
          <w:tab w:val="left" w:pos="820"/>
        </w:tabs>
        <w:ind w:left="820" w:hanging="368"/>
        <w:rPr>
          <w:rFonts w:eastAsia="Times New Roman"/>
          <w:szCs w:val="24"/>
        </w:rPr>
      </w:pPr>
      <w:r w:rsidRPr="00FC3B7C">
        <w:rPr>
          <w:rFonts w:eastAsia="Times New Roman"/>
          <w:szCs w:val="24"/>
        </w:rPr>
        <w:t>WTO</w:t>
      </w:r>
    </w:p>
    <w:p w14:paraId="080DEC95" w14:textId="77777777" w:rsidR="00A15E2D" w:rsidRPr="00FC3B7C" w:rsidRDefault="00A15E2D" w:rsidP="00D46B53">
      <w:pPr>
        <w:numPr>
          <w:ilvl w:val="0"/>
          <w:numId w:val="188"/>
        </w:numPr>
        <w:tabs>
          <w:tab w:val="left" w:pos="796"/>
        </w:tabs>
        <w:spacing w:line="244" w:lineRule="auto"/>
        <w:ind w:left="800" w:right="140" w:hanging="360"/>
        <w:rPr>
          <w:rFonts w:eastAsia="Times New Roman"/>
          <w:szCs w:val="24"/>
        </w:rPr>
      </w:pPr>
      <w:r w:rsidRPr="00FC3B7C">
        <w:rPr>
          <w:rFonts w:eastAsia="Times New Roman"/>
          <w:szCs w:val="24"/>
        </w:rPr>
        <w:t xml:space="preserve">Světová obchodní organizace (WTO) (World Trade Organization) je organizace, která zakládá pravidla mezinárodního obchodu prostřednictvím konsenzu mezi jeho členskými státy a řeší </w:t>
      </w:r>
      <w:r w:rsidRPr="00FC3B7C">
        <w:rPr>
          <w:rFonts w:eastAsia="Calibri"/>
          <w:szCs w:val="24"/>
        </w:rPr>
        <w:t>mezinárodní obchodní spory</w:t>
      </w:r>
      <w:r w:rsidRPr="00FC3B7C">
        <w:rPr>
          <w:rFonts w:eastAsia="Times New Roman"/>
          <w:szCs w:val="24"/>
        </w:rPr>
        <w:t xml:space="preserve"> mezi členskými státy. Vznikla v roce 1995 jako nástupce Všeobecné dohody o </w:t>
      </w:r>
      <w:r w:rsidRPr="00B80D64">
        <w:rPr>
          <w:rFonts w:eastAsia="Times New Roman"/>
          <w:szCs w:val="24"/>
        </w:rPr>
        <w:t>clech a obchodu (</w:t>
      </w:r>
      <w:r w:rsidRPr="00B80D64">
        <w:rPr>
          <w:rFonts w:eastAsia="Calibri"/>
          <w:szCs w:val="24"/>
          <w:u w:val="single"/>
        </w:rPr>
        <w:t>GATT</w:t>
      </w:r>
      <w:r w:rsidRPr="00B80D64">
        <w:rPr>
          <w:rFonts w:eastAsia="Times New Roman"/>
          <w:szCs w:val="24"/>
        </w:rPr>
        <w:t xml:space="preserve">). Sídlem organizace je </w:t>
      </w:r>
      <w:r w:rsidRPr="00B80D64">
        <w:rPr>
          <w:rFonts w:eastAsia="Calibri"/>
          <w:szCs w:val="24"/>
          <w:u w:val="single"/>
        </w:rPr>
        <w:t>Ženeva.</w:t>
      </w:r>
    </w:p>
    <w:p w14:paraId="1939B705" w14:textId="77777777" w:rsidR="00A15E2D" w:rsidRPr="00FC3B7C" w:rsidRDefault="00A15E2D" w:rsidP="00A15E2D">
      <w:pPr>
        <w:spacing w:line="4" w:lineRule="exact"/>
        <w:rPr>
          <w:rFonts w:eastAsia="Times New Roman"/>
          <w:szCs w:val="24"/>
        </w:rPr>
      </w:pPr>
    </w:p>
    <w:p w14:paraId="562EF8B5" w14:textId="77777777" w:rsidR="00A15E2D" w:rsidRPr="000D0FAD" w:rsidRDefault="00A15E2D" w:rsidP="00D46B53">
      <w:pPr>
        <w:numPr>
          <w:ilvl w:val="1"/>
          <w:numId w:val="189"/>
        </w:numPr>
        <w:tabs>
          <w:tab w:val="left" w:pos="820"/>
        </w:tabs>
        <w:ind w:left="820" w:hanging="368"/>
        <w:rPr>
          <w:rFonts w:eastAsia="Times New Roman"/>
          <w:szCs w:val="24"/>
        </w:rPr>
      </w:pPr>
      <w:r w:rsidRPr="00FC3B7C">
        <w:rPr>
          <w:rFonts w:eastAsia="Times New Roman"/>
          <w:szCs w:val="24"/>
        </w:rPr>
        <w:t>EGAP</w:t>
      </w:r>
    </w:p>
    <w:p w14:paraId="630812F1" w14:textId="77777777" w:rsidR="00A15E2D" w:rsidRPr="00FC3B7C" w:rsidRDefault="00A15E2D" w:rsidP="00D46B53">
      <w:pPr>
        <w:numPr>
          <w:ilvl w:val="0"/>
          <w:numId w:val="189"/>
        </w:numPr>
        <w:tabs>
          <w:tab w:val="left" w:pos="796"/>
        </w:tabs>
        <w:spacing w:line="250" w:lineRule="auto"/>
        <w:ind w:left="800" w:right="260" w:hanging="360"/>
        <w:rPr>
          <w:rFonts w:eastAsia="Times New Roman"/>
          <w:szCs w:val="24"/>
        </w:rPr>
      </w:pPr>
      <w:r w:rsidRPr="00FC3B7C">
        <w:rPr>
          <w:rFonts w:eastAsia="Times New Roman"/>
          <w:szCs w:val="24"/>
        </w:rPr>
        <w:t>Exportní a garanční pojišťovací společnost se zaměřením na pojišťování vývozních úvěrů proti teritoriálním a tržně nepojistitelným komerčním rizikům spojeným s vývozem zboží a služeb z České republiky</w:t>
      </w:r>
    </w:p>
    <w:p w14:paraId="47CB8390" w14:textId="77777777" w:rsidR="00A15E2D" w:rsidRPr="00FC3B7C" w:rsidRDefault="00A15E2D" w:rsidP="00A15E2D">
      <w:pPr>
        <w:tabs>
          <w:tab w:val="left" w:pos="796"/>
        </w:tabs>
        <w:spacing w:line="250" w:lineRule="auto"/>
        <w:ind w:right="260"/>
        <w:rPr>
          <w:rFonts w:eastAsia="Times New Roman"/>
          <w:szCs w:val="24"/>
        </w:rPr>
      </w:pPr>
    </w:p>
    <w:p w14:paraId="6583073F" w14:textId="77777777" w:rsidR="00A15E2D" w:rsidRPr="00FC3B7C" w:rsidRDefault="00A15E2D" w:rsidP="00A15E2D">
      <w:pPr>
        <w:spacing w:line="1" w:lineRule="exact"/>
        <w:rPr>
          <w:rFonts w:eastAsia="Times New Roman"/>
          <w:szCs w:val="24"/>
        </w:rPr>
      </w:pPr>
    </w:p>
    <w:p w14:paraId="6EB9F737" w14:textId="77777777" w:rsidR="00A15E2D" w:rsidRPr="000D0FAD" w:rsidRDefault="00A15E2D" w:rsidP="00D46B53">
      <w:pPr>
        <w:numPr>
          <w:ilvl w:val="1"/>
          <w:numId w:val="190"/>
        </w:numPr>
        <w:tabs>
          <w:tab w:val="left" w:pos="820"/>
        </w:tabs>
        <w:ind w:left="820" w:hanging="368"/>
        <w:rPr>
          <w:rFonts w:eastAsia="Times New Roman"/>
          <w:szCs w:val="24"/>
        </w:rPr>
      </w:pPr>
      <w:r w:rsidRPr="00FC3B7C">
        <w:rPr>
          <w:rFonts w:eastAsia="Times New Roman"/>
          <w:szCs w:val="24"/>
        </w:rPr>
        <w:t>Ratingové agentury</w:t>
      </w:r>
    </w:p>
    <w:p w14:paraId="6F4DF86E" w14:textId="77777777" w:rsidR="00A15E2D" w:rsidRPr="00FC3B7C" w:rsidRDefault="00A15E2D" w:rsidP="00D46B53">
      <w:pPr>
        <w:numPr>
          <w:ilvl w:val="0"/>
          <w:numId w:val="190"/>
        </w:numPr>
        <w:tabs>
          <w:tab w:val="left" w:pos="796"/>
        </w:tabs>
        <w:spacing w:line="256" w:lineRule="auto"/>
        <w:ind w:left="800" w:right="20" w:hanging="360"/>
        <w:rPr>
          <w:rFonts w:eastAsia="Times New Roman"/>
          <w:szCs w:val="24"/>
        </w:rPr>
      </w:pPr>
      <w:r w:rsidRPr="00FC3B7C">
        <w:rPr>
          <w:rFonts w:eastAsia="Times New Roman"/>
          <w:szCs w:val="24"/>
        </w:rPr>
        <w:lastRenderedPageBreak/>
        <w:t>Hodnotí schopnost hodnoceného subjektu (podniku, státu) splatit dluhy, od toho se odvíjí možnost umisťovat státní dluhopis</w:t>
      </w:r>
    </w:p>
    <w:p w14:paraId="1D40931E" w14:textId="77777777" w:rsidR="00A15E2D" w:rsidRPr="00FC3B7C" w:rsidRDefault="00A15E2D" w:rsidP="00A15E2D">
      <w:pPr>
        <w:spacing w:line="1" w:lineRule="exact"/>
        <w:rPr>
          <w:rFonts w:eastAsia="Times New Roman"/>
          <w:szCs w:val="24"/>
        </w:rPr>
      </w:pPr>
    </w:p>
    <w:p w14:paraId="5158A2D0" w14:textId="77777777" w:rsidR="00A15E2D" w:rsidRPr="00303CE3" w:rsidRDefault="00A15E2D" w:rsidP="00D46B53">
      <w:pPr>
        <w:numPr>
          <w:ilvl w:val="0"/>
          <w:numId w:val="190"/>
        </w:numPr>
        <w:tabs>
          <w:tab w:val="left" w:pos="796"/>
        </w:tabs>
        <w:spacing w:line="386" w:lineRule="auto"/>
        <w:ind w:left="800" w:right="940" w:hanging="360"/>
        <w:rPr>
          <w:rFonts w:eastAsia="Times New Roman"/>
          <w:szCs w:val="24"/>
        </w:rPr>
      </w:pPr>
      <w:r w:rsidRPr="00FC3B7C">
        <w:rPr>
          <w:rFonts w:eastAsia="Times New Roman"/>
          <w:szCs w:val="24"/>
        </w:rPr>
        <w:t>tzv. „velká trojka“ mezi ratingovými agenturami jsou označovány Moody's, Standard &amp;Poor'sa Fitch Ratings.</w:t>
      </w:r>
    </w:p>
    <w:p w14:paraId="03AFAC5E" w14:textId="77777777" w:rsidR="00A15E2D" w:rsidRPr="002331D3" w:rsidRDefault="00A15E2D" w:rsidP="00A15E2D">
      <w:pPr>
        <w:pStyle w:val="Nadpis2"/>
        <w:rPr>
          <w:color w:val="1F3864" w:themeColor="accent1" w:themeShade="80"/>
          <w:szCs w:val="28"/>
        </w:rPr>
      </w:pPr>
      <w:r w:rsidRPr="002331D3">
        <w:rPr>
          <w:rFonts w:eastAsia="Times New Roman"/>
          <w:color w:val="1F3864" w:themeColor="accent1" w:themeShade="80"/>
          <w:szCs w:val="28"/>
        </w:rPr>
        <w:t>PLATEBNÍ BILANCE</w:t>
      </w:r>
    </w:p>
    <w:p w14:paraId="0574476D" w14:textId="77777777" w:rsidR="00A15E2D" w:rsidRPr="00FC3B7C" w:rsidRDefault="00A15E2D" w:rsidP="00D46B53">
      <w:pPr>
        <w:numPr>
          <w:ilvl w:val="0"/>
          <w:numId w:val="176"/>
        </w:numPr>
        <w:tabs>
          <w:tab w:val="left" w:pos="804"/>
        </w:tabs>
        <w:ind w:left="820" w:right="320" w:hanging="368"/>
        <w:rPr>
          <w:rFonts w:eastAsia="Times New Roman"/>
          <w:szCs w:val="24"/>
        </w:rPr>
      </w:pPr>
      <w:r w:rsidRPr="00FC3B7C">
        <w:rPr>
          <w:rFonts w:eastAsia="Times New Roman"/>
          <w:szCs w:val="24"/>
        </w:rPr>
        <w:t>jedná se o soustavu účtů, které zachycují finanční toky se zahraničím v průběhu daného období</w:t>
      </w:r>
      <w:bookmarkStart w:id="184" w:name="page184"/>
      <w:bookmarkEnd w:id="184"/>
    </w:p>
    <w:p w14:paraId="58E4D9B1" w14:textId="77777777" w:rsidR="00A15E2D" w:rsidRPr="00FC3B7C" w:rsidRDefault="00A15E2D" w:rsidP="00D46B53">
      <w:pPr>
        <w:numPr>
          <w:ilvl w:val="0"/>
          <w:numId w:val="176"/>
        </w:numPr>
        <w:tabs>
          <w:tab w:val="left" w:pos="804"/>
        </w:tabs>
        <w:ind w:left="820" w:right="320" w:hanging="368"/>
        <w:rPr>
          <w:rFonts w:eastAsia="Times New Roman"/>
          <w:szCs w:val="24"/>
        </w:rPr>
      </w:pPr>
      <w:r w:rsidRPr="00FC3B7C">
        <w:rPr>
          <w:rFonts w:eastAsia="Times New Roman"/>
          <w:szCs w:val="24"/>
        </w:rPr>
        <w:t>transakce jsou tvořeny vývozem a dovozem statků a služeb, pohybem investičních zdrojů, přesunem peněžních prostředků (např. dary)</w:t>
      </w:r>
    </w:p>
    <w:p w14:paraId="5E8044E0" w14:textId="77777777" w:rsidR="00A15E2D" w:rsidRPr="00FC3B7C" w:rsidRDefault="00A15E2D" w:rsidP="00D46B53">
      <w:pPr>
        <w:numPr>
          <w:ilvl w:val="0"/>
          <w:numId w:val="176"/>
        </w:numPr>
        <w:tabs>
          <w:tab w:val="left" w:pos="804"/>
        </w:tabs>
        <w:ind w:left="820" w:right="200" w:hanging="368"/>
        <w:rPr>
          <w:rFonts w:eastAsia="Times New Roman"/>
          <w:szCs w:val="24"/>
        </w:rPr>
      </w:pPr>
      <w:r w:rsidRPr="00FC3B7C">
        <w:rPr>
          <w:rFonts w:eastAsia="Times New Roman"/>
          <w:szCs w:val="24"/>
        </w:rPr>
        <w:t>To, že musí být platební bilance v rovnováze, pro ně platí jako pro celek, ne pro její dílčí části</w:t>
      </w:r>
    </w:p>
    <w:p w14:paraId="79DF1C97" w14:textId="77777777" w:rsidR="00A15E2D" w:rsidRPr="00FC3B7C" w:rsidRDefault="00A15E2D" w:rsidP="00D46B53">
      <w:pPr>
        <w:numPr>
          <w:ilvl w:val="0"/>
          <w:numId w:val="176"/>
        </w:numPr>
        <w:tabs>
          <w:tab w:val="left" w:pos="804"/>
        </w:tabs>
        <w:ind w:left="820" w:right="320" w:hanging="368"/>
        <w:rPr>
          <w:rFonts w:eastAsia="Times New Roman"/>
          <w:szCs w:val="24"/>
        </w:rPr>
      </w:pPr>
      <w:r w:rsidRPr="00FC3B7C">
        <w:rPr>
          <w:rFonts w:eastAsia="Times New Roman"/>
          <w:szCs w:val="24"/>
        </w:rPr>
        <w:t>Výpadek v příjmech kapitálového účtu může být nahrazen zvýšeným příjmem účtu finančního</w:t>
      </w:r>
    </w:p>
    <w:p w14:paraId="7F58B72D" w14:textId="77777777" w:rsidR="00A15E2D" w:rsidRPr="00FC3B7C" w:rsidRDefault="00A15E2D" w:rsidP="00A15E2D">
      <w:pPr>
        <w:spacing w:line="254" w:lineRule="exact"/>
        <w:rPr>
          <w:sz w:val="20"/>
          <w:szCs w:val="20"/>
        </w:rPr>
      </w:pPr>
    </w:p>
    <w:p w14:paraId="09782FF6" w14:textId="77777777" w:rsidR="00A15E2D" w:rsidRPr="00FC3B7C" w:rsidRDefault="00A15E2D" w:rsidP="00A15E2D">
      <w:pPr>
        <w:ind w:left="100"/>
        <w:rPr>
          <w:sz w:val="20"/>
          <w:szCs w:val="20"/>
        </w:rPr>
      </w:pPr>
      <w:r w:rsidRPr="00FC3B7C">
        <w:rPr>
          <w:rFonts w:eastAsia="Times New Roman"/>
          <w:b/>
          <w:bCs/>
          <w:szCs w:val="24"/>
        </w:rPr>
        <w:t>Důležitá ekonomická kategorie vypovídající o:</w:t>
      </w:r>
    </w:p>
    <w:p w14:paraId="62D4B885" w14:textId="77777777" w:rsidR="00A15E2D" w:rsidRPr="00B676E2" w:rsidRDefault="00A15E2D" w:rsidP="00A15E2D">
      <w:pPr>
        <w:pStyle w:val="Odstavecseseznamem"/>
        <w:numPr>
          <w:ilvl w:val="0"/>
          <w:numId w:val="144"/>
        </w:numPr>
        <w:tabs>
          <w:tab w:val="left" w:pos="800"/>
        </w:tabs>
        <w:rPr>
          <w:rFonts w:eastAsia="Times New Roman"/>
          <w:szCs w:val="24"/>
        </w:rPr>
      </w:pPr>
      <w:r>
        <w:rPr>
          <w:rFonts w:eastAsia="Times New Roman"/>
          <w:szCs w:val="24"/>
        </w:rPr>
        <w:t xml:space="preserve"> </w:t>
      </w:r>
      <w:r w:rsidRPr="00B676E2">
        <w:rPr>
          <w:rFonts w:eastAsia="Times New Roman"/>
          <w:szCs w:val="24"/>
        </w:rPr>
        <w:t>stavu ekonomiky a její vnější výkonnosti</w:t>
      </w:r>
    </w:p>
    <w:p w14:paraId="15B7C373" w14:textId="77777777" w:rsidR="00A15E2D" w:rsidRPr="00B676E2" w:rsidRDefault="00A15E2D" w:rsidP="00A15E2D">
      <w:pPr>
        <w:pStyle w:val="Odstavecseseznamem"/>
        <w:numPr>
          <w:ilvl w:val="0"/>
          <w:numId w:val="144"/>
        </w:numPr>
        <w:tabs>
          <w:tab w:val="left" w:pos="800"/>
        </w:tabs>
        <w:rPr>
          <w:rFonts w:eastAsia="Times New Roman"/>
          <w:szCs w:val="24"/>
        </w:rPr>
      </w:pPr>
      <w:r>
        <w:rPr>
          <w:rFonts w:eastAsia="Times New Roman"/>
          <w:szCs w:val="24"/>
        </w:rPr>
        <w:t xml:space="preserve"> </w:t>
      </w:r>
      <w:r w:rsidRPr="00B676E2">
        <w:rPr>
          <w:rFonts w:eastAsia="Times New Roman"/>
          <w:szCs w:val="24"/>
        </w:rPr>
        <w:t>charakteru jejího rozvoje i zaměření</w:t>
      </w:r>
    </w:p>
    <w:p w14:paraId="45D1D34A" w14:textId="77777777" w:rsidR="00A15E2D" w:rsidRDefault="00A15E2D" w:rsidP="00A15E2D">
      <w:pPr>
        <w:pStyle w:val="Odstavecseseznamem"/>
        <w:numPr>
          <w:ilvl w:val="0"/>
          <w:numId w:val="144"/>
        </w:numPr>
        <w:tabs>
          <w:tab w:val="left" w:pos="804"/>
        </w:tabs>
        <w:spacing w:line="250" w:lineRule="auto"/>
        <w:ind w:right="60"/>
        <w:rPr>
          <w:rFonts w:eastAsia="Times New Roman"/>
          <w:szCs w:val="24"/>
        </w:rPr>
      </w:pPr>
      <w:r>
        <w:rPr>
          <w:rFonts w:eastAsia="Times New Roman"/>
          <w:szCs w:val="24"/>
        </w:rPr>
        <w:t xml:space="preserve"> </w:t>
      </w:r>
      <w:r w:rsidRPr="00B676E2">
        <w:rPr>
          <w:rFonts w:eastAsia="Times New Roman"/>
          <w:szCs w:val="24"/>
        </w:rPr>
        <w:t>úspěšnosti prováděné hospodářské politiky v dané zemi používaná k posouzení vnější ekonomické rovnováhy na makroekonomické úrovni, její vyrovnanost je považovaná za dosažený cíl vnější rovnováhy</w:t>
      </w:r>
    </w:p>
    <w:p w14:paraId="1DA3A6C9" w14:textId="77777777" w:rsidR="00A15E2D" w:rsidRPr="00B676E2" w:rsidRDefault="00A15E2D" w:rsidP="00A15E2D">
      <w:pPr>
        <w:pStyle w:val="Odstavecseseznamem"/>
        <w:tabs>
          <w:tab w:val="left" w:pos="804"/>
        </w:tabs>
        <w:spacing w:line="250" w:lineRule="auto"/>
        <w:ind w:right="60"/>
        <w:rPr>
          <w:rFonts w:eastAsia="Times New Roman"/>
          <w:szCs w:val="24"/>
        </w:rPr>
      </w:pPr>
    </w:p>
    <w:p w14:paraId="2A422BE3" w14:textId="77777777" w:rsidR="00A15E2D" w:rsidRPr="00FC3B7C" w:rsidRDefault="00A15E2D" w:rsidP="00A15E2D">
      <w:pPr>
        <w:spacing w:line="1" w:lineRule="exact"/>
        <w:rPr>
          <w:sz w:val="20"/>
          <w:szCs w:val="20"/>
        </w:rPr>
      </w:pPr>
    </w:p>
    <w:p w14:paraId="479A6627" w14:textId="77777777" w:rsidR="00A15E2D" w:rsidRPr="00FC3B7C" w:rsidRDefault="00A15E2D" w:rsidP="00A15E2D">
      <w:pPr>
        <w:ind w:left="100"/>
        <w:rPr>
          <w:sz w:val="20"/>
          <w:szCs w:val="20"/>
        </w:rPr>
      </w:pPr>
      <w:r w:rsidRPr="00FC3B7C">
        <w:rPr>
          <w:rFonts w:eastAsia="Times New Roman"/>
          <w:sz w:val="23"/>
          <w:szCs w:val="23"/>
        </w:rPr>
        <w:t>Platební bilance má podobu účtu, na kterém jsou zaznamenávány kreditní a debetní položky:</w:t>
      </w:r>
    </w:p>
    <w:p w14:paraId="094DB2F9" w14:textId="77777777" w:rsidR="00A15E2D" w:rsidRPr="00FC3B7C" w:rsidRDefault="00A15E2D" w:rsidP="00A15E2D">
      <w:pPr>
        <w:spacing w:line="143" w:lineRule="exact"/>
        <w:rPr>
          <w:sz w:val="20"/>
          <w:szCs w:val="20"/>
        </w:rPr>
      </w:pPr>
    </w:p>
    <w:p w14:paraId="04D7B4E8" w14:textId="77777777" w:rsidR="00A15E2D" w:rsidRPr="00FC3B7C" w:rsidRDefault="00A15E2D" w:rsidP="00A15E2D">
      <w:pPr>
        <w:ind w:left="100"/>
        <w:rPr>
          <w:sz w:val="20"/>
          <w:szCs w:val="20"/>
        </w:rPr>
      </w:pPr>
      <w:r w:rsidRPr="00FC3B7C">
        <w:rPr>
          <w:rFonts w:eastAsia="Times New Roman"/>
          <w:b/>
          <w:bCs/>
          <w:szCs w:val="24"/>
        </w:rPr>
        <w:t>Horizontální dělení</w:t>
      </w:r>
    </w:p>
    <w:p w14:paraId="6243CF78" w14:textId="77777777" w:rsidR="00A15E2D" w:rsidRPr="00FC3B7C" w:rsidRDefault="00A15E2D" w:rsidP="00A15E2D">
      <w:pPr>
        <w:rPr>
          <w:sz w:val="20"/>
          <w:szCs w:val="20"/>
        </w:rPr>
      </w:pPr>
    </w:p>
    <w:p w14:paraId="5E7B085B" w14:textId="77777777" w:rsidR="00A15E2D" w:rsidRPr="002331D3" w:rsidRDefault="00A15E2D" w:rsidP="00A15E2D">
      <w:pPr>
        <w:tabs>
          <w:tab w:val="left" w:pos="800"/>
        </w:tabs>
        <w:rPr>
          <w:rFonts w:eastAsia="Times New Roman"/>
          <w:szCs w:val="24"/>
          <w:u w:val="single"/>
        </w:rPr>
      </w:pPr>
      <w:r w:rsidRPr="002331D3">
        <w:rPr>
          <w:rFonts w:eastAsia="Times New Roman"/>
          <w:szCs w:val="24"/>
          <w:u w:val="single"/>
        </w:rPr>
        <w:t>Běžný účet – obchodování se zbožím a službami</w:t>
      </w:r>
    </w:p>
    <w:p w14:paraId="30FC7C20" w14:textId="77777777" w:rsidR="00A15E2D" w:rsidRPr="002331D3" w:rsidRDefault="00A15E2D" w:rsidP="00A15E2D">
      <w:pPr>
        <w:pStyle w:val="Odstavecseseznamem"/>
        <w:numPr>
          <w:ilvl w:val="0"/>
          <w:numId w:val="144"/>
        </w:numPr>
        <w:rPr>
          <w:rFonts w:eastAsia="Times New Roman"/>
          <w:szCs w:val="24"/>
        </w:rPr>
      </w:pPr>
      <w:r w:rsidRPr="002331D3">
        <w:rPr>
          <w:rFonts w:eastAsia="Courier New"/>
          <w:szCs w:val="24"/>
        </w:rPr>
        <w:t xml:space="preserve"> </w:t>
      </w:r>
      <w:r w:rsidRPr="002331D3">
        <w:rPr>
          <w:rFonts w:eastAsia="Times New Roman"/>
          <w:szCs w:val="24"/>
        </w:rPr>
        <w:t>Obchodní bilance – obchod se statky</w:t>
      </w:r>
    </w:p>
    <w:p w14:paraId="6132B522" w14:textId="294B941E" w:rsidR="00A15E2D" w:rsidRPr="002331D3" w:rsidRDefault="00A15E2D" w:rsidP="00A15E2D">
      <w:pPr>
        <w:pStyle w:val="Odstavecseseznamem"/>
        <w:numPr>
          <w:ilvl w:val="0"/>
          <w:numId w:val="144"/>
        </w:numPr>
        <w:rPr>
          <w:rFonts w:eastAsia="Times New Roman"/>
          <w:szCs w:val="24"/>
        </w:rPr>
      </w:pPr>
      <w:r w:rsidRPr="002331D3">
        <w:rPr>
          <w:rFonts w:eastAsia="Courier New"/>
          <w:szCs w:val="24"/>
        </w:rPr>
        <w:t xml:space="preserve"> </w:t>
      </w:r>
      <w:r w:rsidRPr="002331D3">
        <w:rPr>
          <w:rFonts w:eastAsia="Times New Roman"/>
          <w:szCs w:val="24"/>
        </w:rPr>
        <w:t>Bilance služeb</w:t>
      </w:r>
      <w:r w:rsidR="007E5E16">
        <w:rPr>
          <w:rFonts w:eastAsia="Times New Roman"/>
          <w:szCs w:val="24"/>
        </w:rPr>
        <w:t xml:space="preserve"> </w:t>
      </w:r>
      <w:r w:rsidRPr="002331D3">
        <w:rPr>
          <w:rFonts w:eastAsia="Times New Roman"/>
          <w:szCs w:val="24"/>
        </w:rPr>
        <w:t>– obchod např. s cestovním ruchem, doprava</w:t>
      </w:r>
    </w:p>
    <w:p w14:paraId="715BCD90" w14:textId="77777777" w:rsidR="00A15E2D" w:rsidRPr="002331D3" w:rsidRDefault="00A15E2D" w:rsidP="00A15E2D">
      <w:pPr>
        <w:pStyle w:val="Odstavecseseznamem"/>
        <w:numPr>
          <w:ilvl w:val="0"/>
          <w:numId w:val="144"/>
        </w:numPr>
        <w:rPr>
          <w:rFonts w:eastAsia="Times New Roman"/>
          <w:szCs w:val="24"/>
        </w:rPr>
      </w:pPr>
      <w:r w:rsidRPr="002331D3">
        <w:rPr>
          <w:rFonts w:eastAsia="Courier New"/>
          <w:szCs w:val="24"/>
        </w:rPr>
        <w:t xml:space="preserve"> </w:t>
      </w:r>
      <w:r w:rsidRPr="002331D3">
        <w:rPr>
          <w:rFonts w:eastAsia="Times New Roman"/>
          <w:szCs w:val="24"/>
        </w:rPr>
        <w:t>Důchodová a výnosová bilance – důchody z výrobních faktorů</w:t>
      </w:r>
    </w:p>
    <w:p w14:paraId="69EA02F3" w14:textId="537E074F" w:rsidR="00A15E2D" w:rsidRPr="002331D3" w:rsidRDefault="00A15E2D" w:rsidP="00A15E2D">
      <w:pPr>
        <w:pStyle w:val="Odstavecseseznamem"/>
        <w:numPr>
          <w:ilvl w:val="0"/>
          <w:numId w:val="144"/>
        </w:numPr>
        <w:ind w:right="400"/>
        <w:rPr>
          <w:rFonts w:eastAsia="Times New Roman"/>
          <w:szCs w:val="24"/>
        </w:rPr>
      </w:pPr>
      <w:r w:rsidRPr="002331D3">
        <w:rPr>
          <w:rFonts w:eastAsia="Courier New"/>
          <w:szCs w:val="24"/>
        </w:rPr>
        <w:t xml:space="preserve"> </w:t>
      </w:r>
      <w:r w:rsidRPr="002331D3">
        <w:rPr>
          <w:rFonts w:eastAsia="Times New Roman"/>
          <w:szCs w:val="24"/>
        </w:rPr>
        <w:t>Bilance transferových plateb a převodů</w:t>
      </w:r>
      <w:r w:rsidR="007E5E16">
        <w:rPr>
          <w:rFonts w:eastAsia="Times New Roman"/>
          <w:szCs w:val="24"/>
        </w:rPr>
        <w:t xml:space="preserve"> </w:t>
      </w:r>
      <w:r w:rsidRPr="002331D3">
        <w:rPr>
          <w:rFonts w:eastAsia="Times New Roman"/>
          <w:szCs w:val="24"/>
        </w:rPr>
        <w:t>– důchody ze zahraničí, bezúplatné</w:t>
      </w:r>
      <w:r w:rsidRPr="002331D3">
        <w:rPr>
          <w:rFonts w:eastAsia="Courier New"/>
          <w:szCs w:val="24"/>
        </w:rPr>
        <w:t xml:space="preserve"> </w:t>
      </w:r>
      <w:r w:rsidRPr="002331D3">
        <w:rPr>
          <w:rFonts w:eastAsia="Times New Roman"/>
          <w:szCs w:val="24"/>
        </w:rPr>
        <w:t>převody</w:t>
      </w:r>
    </w:p>
    <w:p w14:paraId="51800502" w14:textId="77777777" w:rsidR="00A15E2D" w:rsidRPr="002331D3" w:rsidRDefault="00A15E2D" w:rsidP="00A15E2D">
      <w:pPr>
        <w:tabs>
          <w:tab w:val="left" w:pos="800"/>
        </w:tabs>
        <w:rPr>
          <w:rFonts w:eastAsia="Times New Roman"/>
          <w:szCs w:val="24"/>
          <w:u w:val="single"/>
        </w:rPr>
      </w:pPr>
      <w:r w:rsidRPr="002331D3">
        <w:rPr>
          <w:rFonts w:eastAsia="Times New Roman"/>
          <w:szCs w:val="24"/>
          <w:u w:val="single"/>
        </w:rPr>
        <w:t>Kapitálový účet</w:t>
      </w:r>
    </w:p>
    <w:p w14:paraId="374D0AAC" w14:textId="77777777" w:rsidR="00A15E2D" w:rsidRPr="002331D3" w:rsidRDefault="00A15E2D" w:rsidP="00A15E2D">
      <w:pPr>
        <w:pStyle w:val="Odstavecseseznamem"/>
        <w:numPr>
          <w:ilvl w:val="0"/>
          <w:numId w:val="144"/>
        </w:numPr>
        <w:tabs>
          <w:tab w:val="left" w:pos="1460"/>
        </w:tabs>
        <w:rPr>
          <w:rFonts w:eastAsia="Courier New"/>
          <w:szCs w:val="24"/>
        </w:rPr>
      </w:pPr>
      <w:r w:rsidRPr="002331D3">
        <w:rPr>
          <w:rFonts w:eastAsia="Times New Roman"/>
          <w:szCs w:val="24"/>
        </w:rPr>
        <w:t>Převody kapitálového charakteru</w:t>
      </w:r>
    </w:p>
    <w:p w14:paraId="219F465F" w14:textId="77777777" w:rsidR="00A15E2D" w:rsidRPr="002331D3" w:rsidRDefault="00A15E2D" w:rsidP="00A15E2D">
      <w:pPr>
        <w:tabs>
          <w:tab w:val="left" w:pos="800"/>
        </w:tabs>
        <w:rPr>
          <w:rFonts w:eastAsia="Times New Roman"/>
          <w:szCs w:val="24"/>
          <w:u w:val="single"/>
        </w:rPr>
      </w:pPr>
      <w:r w:rsidRPr="002331D3">
        <w:rPr>
          <w:rFonts w:eastAsia="Times New Roman"/>
          <w:szCs w:val="24"/>
          <w:u w:val="single"/>
        </w:rPr>
        <w:t>Finanční účet</w:t>
      </w:r>
    </w:p>
    <w:p w14:paraId="765B74D6" w14:textId="77777777" w:rsidR="00A15E2D" w:rsidRPr="002331D3" w:rsidRDefault="00A15E2D" w:rsidP="00A15E2D">
      <w:pPr>
        <w:pStyle w:val="Odstavecseseznamem"/>
        <w:numPr>
          <w:ilvl w:val="0"/>
          <w:numId w:val="144"/>
        </w:numPr>
        <w:tabs>
          <w:tab w:val="left" w:pos="1460"/>
        </w:tabs>
        <w:rPr>
          <w:rFonts w:eastAsia="Courier New"/>
          <w:szCs w:val="24"/>
        </w:rPr>
      </w:pPr>
      <w:r w:rsidRPr="002331D3">
        <w:rPr>
          <w:rFonts w:eastAsia="Times New Roman"/>
          <w:szCs w:val="24"/>
        </w:rPr>
        <w:t>Přímé zahraniční investice</w:t>
      </w:r>
    </w:p>
    <w:p w14:paraId="2D9E3D24" w14:textId="77777777" w:rsidR="00A15E2D" w:rsidRPr="002331D3" w:rsidRDefault="00A15E2D" w:rsidP="00A15E2D">
      <w:pPr>
        <w:pStyle w:val="Odstavecseseznamem"/>
        <w:numPr>
          <w:ilvl w:val="0"/>
          <w:numId w:val="144"/>
        </w:numPr>
        <w:tabs>
          <w:tab w:val="left" w:pos="1460"/>
        </w:tabs>
        <w:rPr>
          <w:rFonts w:eastAsia="Courier New"/>
          <w:szCs w:val="24"/>
        </w:rPr>
      </w:pPr>
      <w:r w:rsidRPr="002331D3">
        <w:rPr>
          <w:rFonts w:eastAsia="Times New Roman"/>
          <w:szCs w:val="24"/>
        </w:rPr>
        <w:t>Portfoliové investice do cenných papírů</w:t>
      </w:r>
    </w:p>
    <w:p w14:paraId="2A9C4A3F" w14:textId="77777777" w:rsidR="00A15E2D" w:rsidRPr="002331D3" w:rsidRDefault="00A15E2D" w:rsidP="00A15E2D">
      <w:pPr>
        <w:pStyle w:val="Odstavecseseznamem"/>
        <w:numPr>
          <w:ilvl w:val="0"/>
          <w:numId w:val="144"/>
        </w:numPr>
        <w:tabs>
          <w:tab w:val="left" w:pos="1460"/>
        </w:tabs>
        <w:rPr>
          <w:rFonts w:eastAsia="Courier New"/>
          <w:szCs w:val="24"/>
        </w:rPr>
      </w:pPr>
      <w:r w:rsidRPr="002331D3">
        <w:rPr>
          <w:rFonts w:eastAsia="Times New Roman"/>
          <w:szCs w:val="24"/>
        </w:rPr>
        <w:lastRenderedPageBreak/>
        <w:t>Ostatní investice</w:t>
      </w:r>
    </w:p>
    <w:p w14:paraId="48D92741" w14:textId="77777777" w:rsidR="00A15E2D" w:rsidRPr="00DE129C" w:rsidRDefault="00A15E2D" w:rsidP="00A15E2D">
      <w:pPr>
        <w:tabs>
          <w:tab w:val="left" w:pos="800"/>
        </w:tabs>
        <w:rPr>
          <w:rFonts w:eastAsia="Times New Roman"/>
          <w:szCs w:val="24"/>
          <w:u w:val="single"/>
        </w:rPr>
      </w:pPr>
      <w:r w:rsidRPr="00DE129C">
        <w:rPr>
          <w:rFonts w:eastAsia="Times New Roman"/>
          <w:szCs w:val="24"/>
          <w:u w:val="single"/>
        </w:rPr>
        <w:t>Saldo chyba opomenutí</w:t>
      </w:r>
    </w:p>
    <w:p w14:paraId="4DC3D6AF" w14:textId="77777777" w:rsidR="00A15E2D" w:rsidRPr="00DE129C" w:rsidRDefault="00A15E2D" w:rsidP="00A15E2D">
      <w:pPr>
        <w:pStyle w:val="Odstavecseseznamem"/>
        <w:numPr>
          <w:ilvl w:val="0"/>
          <w:numId w:val="144"/>
        </w:numPr>
        <w:tabs>
          <w:tab w:val="left" w:pos="1460"/>
        </w:tabs>
        <w:rPr>
          <w:rFonts w:eastAsia="Courier New"/>
          <w:szCs w:val="24"/>
        </w:rPr>
      </w:pPr>
      <w:r w:rsidRPr="00DE129C">
        <w:rPr>
          <w:rFonts w:eastAsia="Times New Roman"/>
          <w:szCs w:val="24"/>
        </w:rPr>
        <w:t>Vyrovnání chyba nepřesností při výpočtu bilance</w:t>
      </w:r>
    </w:p>
    <w:p w14:paraId="6900A5BB" w14:textId="77777777" w:rsidR="00A15E2D" w:rsidRPr="00DE129C" w:rsidRDefault="00A15E2D" w:rsidP="00A15E2D">
      <w:pPr>
        <w:tabs>
          <w:tab w:val="left" w:pos="800"/>
        </w:tabs>
        <w:rPr>
          <w:rFonts w:eastAsia="Times New Roman"/>
          <w:szCs w:val="24"/>
          <w:u w:val="single"/>
        </w:rPr>
      </w:pPr>
      <w:r w:rsidRPr="00DE129C">
        <w:rPr>
          <w:rFonts w:eastAsia="Times New Roman"/>
          <w:szCs w:val="24"/>
          <w:u w:val="single"/>
        </w:rPr>
        <w:t>Účet devizových rezerv</w:t>
      </w:r>
    </w:p>
    <w:p w14:paraId="58E2F0C4" w14:textId="77777777" w:rsidR="00A15E2D" w:rsidRPr="00DE129C" w:rsidRDefault="00A15E2D" w:rsidP="00A15E2D">
      <w:pPr>
        <w:pStyle w:val="Odstavecseseznamem"/>
        <w:numPr>
          <w:ilvl w:val="0"/>
          <w:numId w:val="144"/>
        </w:numPr>
        <w:tabs>
          <w:tab w:val="left" w:pos="1460"/>
        </w:tabs>
        <w:rPr>
          <w:rFonts w:eastAsia="Courier New"/>
          <w:szCs w:val="24"/>
        </w:rPr>
      </w:pPr>
      <w:r w:rsidRPr="00DE129C">
        <w:rPr>
          <w:rFonts w:eastAsia="Times New Roman"/>
          <w:szCs w:val="24"/>
        </w:rPr>
        <w:t>Rezervy cizích měn centrální banky</w:t>
      </w:r>
    </w:p>
    <w:p w14:paraId="153B7662" w14:textId="77777777" w:rsidR="00A15E2D" w:rsidRPr="00FC3B7C" w:rsidRDefault="00A15E2D" w:rsidP="00A15E2D">
      <w:pPr>
        <w:spacing w:line="136" w:lineRule="exact"/>
        <w:rPr>
          <w:sz w:val="20"/>
          <w:szCs w:val="20"/>
        </w:rPr>
      </w:pPr>
    </w:p>
    <w:p w14:paraId="253945A6" w14:textId="77777777" w:rsidR="00A15E2D" w:rsidRPr="00FC3B7C" w:rsidRDefault="00A15E2D" w:rsidP="00A15E2D">
      <w:pPr>
        <w:tabs>
          <w:tab w:val="left" w:pos="1460"/>
        </w:tabs>
        <w:rPr>
          <w:rFonts w:eastAsia="Courier New"/>
          <w:szCs w:val="24"/>
        </w:rPr>
      </w:pPr>
      <w:r w:rsidRPr="00FC3B7C">
        <w:rPr>
          <w:rFonts w:eastAsia="Times New Roman"/>
          <w:szCs w:val="24"/>
        </w:rPr>
        <w:t>Mají podobu investic do cenných papírů, vkladů, zlata, úvěrů MMF apod.</w:t>
      </w:r>
    </w:p>
    <w:p w14:paraId="2131C60D" w14:textId="77777777" w:rsidR="00A15E2D" w:rsidRPr="00FC3B7C" w:rsidRDefault="00A15E2D" w:rsidP="00A15E2D">
      <w:pPr>
        <w:spacing w:line="131" w:lineRule="exact"/>
        <w:rPr>
          <w:sz w:val="20"/>
          <w:szCs w:val="20"/>
        </w:rPr>
      </w:pPr>
    </w:p>
    <w:p w14:paraId="0D87A4E9" w14:textId="77777777" w:rsidR="00A15E2D" w:rsidRPr="00FC3B7C" w:rsidRDefault="00A15E2D" w:rsidP="00A15E2D">
      <w:pPr>
        <w:tabs>
          <w:tab w:val="left" w:pos="1460"/>
        </w:tabs>
        <w:rPr>
          <w:sz w:val="20"/>
          <w:szCs w:val="20"/>
        </w:rPr>
      </w:pPr>
      <w:r w:rsidRPr="00FC3B7C">
        <w:rPr>
          <w:rFonts w:eastAsia="Times New Roman"/>
          <w:szCs w:val="24"/>
        </w:rPr>
        <w:t>Jsou zaznamenávány s opačným znamínkem („–“=zvýšení DR, „+“=</w:t>
      </w:r>
      <w:r>
        <w:rPr>
          <w:rFonts w:eastAsia="Times New Roman"/>
          <w:szCs w:val="24"/>
        </w:rPr>
        <w:t xml:space="preserve"> </w:t>
      </w:r>
      <w:r w:rsidRPr="00FC3B7C">
        <w:rPr>
          <w:rFonts w:eastAsia="Times New Roman"/>
          <w:szCs w:val="24"/>
        </w:rPr>
        <w:t>snížení</w:t>
      </w:r>
      <w:bookmarkStart w:id="185" w:name="page185"/>
      <w:bookmarkEnd w:id="185"/>
      <w:r w:rsidRPr="00FC3B7C">
        <w:rPr>
          <w:rFonts w:eastAsia="Times New Roman"/>
          <w:szCs w:val="24"/>
        </w:rPr>
        <w:t xml:space="preserve"> DR)</w:t>
      </w:r>
    </w:p>
    <w:p w14:paraId="27CE3D5C" w14:textId="77777777" w:rsidR="00A15E2D" w:rsidRPr="00FC3B7C" w:rsidRDefault="00A15E2D" w:rsidP="00A15E2D">
      <w:pPr>
        <w:spacing w:line="200" w:lineRule="exact"/>
        <w:rPr>
          <w:sz w:val="20"/>
          <w:szCs w:val="20"/>
        </w:rPr>
      </w:pPr>
    </w:p>
    <w:p w14:paraId="2E14CD89" w14:textId="77777777" w:rsidR="00A15E2D" w:rsidRPr="00FC3B7C" w:rsidRDefault="00A15E2D" w:rsidP="00A15E2D">
      <w:pPr>
        <w:spacing w:line="200" w:lineRule="exact"/>
        <w:rPr>
          <w:sz w:val="20"/>
          <w:szCs w:val="20"/>
        </w:rPr>
      </w:pPr>
      <w:r w:rsidRPr="00FC3B7C">
        <w:rPr>
          <w:noProof/>
          <w:sz w:val="20"/>
          <w:szCs w:val="20"/>
        </w:rPr>
        <w:drawing>
          <wp:anchor distT="0" distB="0" distL="114300" distR="114300" simplePos="0" relativeHeight="251789824" behindDoc="1" locked="0" layoutInCell="0" allowOverlap="1" wp14:anchorId="65D42898" wp14:editId="4A653884">
            <wp:simplePos x="0" y="0"/>
            <wp:positionH relativeFrom="margin">
              <wp:posOffset>36505</wp:posOffset>
            </wp:positionH>
            <wp:positionV relativeFrom="paragraph">
              <wp:posOffset>8403</wp:posOffset>
            </wp:positionV>
            <wp:extent cx="5876290" cy="3115310"/>
            <wp:effectExtent l="0" t="0" r="0" b="889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1"/>
                    <a:srcRect/>
                    <a:stretch>
                      <a:fillRect/>
                    </a:stretch>
                  </pic:blipFill>
                  <pic:spPr bwMode="auto">
                    <a:xfrm>
                      <a:off x="0" y="0"/>
                      <a:ext cx="5876290" cy="3115310"/>
                    </a:xfrm>
                    <a:prstGeom prst="rect">
                      <a:avLst/>
                    </a:prstGeom>
                    <a:noFill/>
                  </pic:spPr>
                </pic:pic>
              </a:graphicData>
            </a:graphic>
          </wp:anchor>
        </w:drawing>
      </w:r>
      <w:r w:rsidRPr="00FC3B7C">
        <w:rPr>
          <w:rFonts w:eastAsia="Times New Roman"/>
          <w:b/>
          <w:bCs/>
          <w:szCs w:val="24"/>
        </w:rPr>
        <w:t>Vertikální dělení položek</w:t>
      </w:r>
    </w:p>
    <w:p w14:paraId="6F1DD5D0" w14:textId="77777777" w:rsidR="00A15E2D" w:rsidRPr="00FC3B7C" w:rsidRDefault="00A15E2D" w:rsidP="00A15E2D">
      <w:pPr>
        <w:spacing w:line="157" w:lineRule="exact"/>
        <w:rPr>
          <w:sz w:val="20"/>
          <w:szCs w:val="20"/>
        </w:rPr>
      </w:pPr>
    </w:p>
    <w:p w14:paraId="66A06C9E" w14:textId="77777777" w:rsidR="00A15E2D" w:rsidRPr="00B676E2" w:rsidRDefault="00A15E2D" w:rsidP="00D46B53">
      <w:pPr>
        <w:numPr>
          <w:ilvl w:val="0"/>
          <w:numId w:val="177"/>
        </w:numPr>
        <w:tabs>
          <w:tab w:val="left" w:pos="824"/>
        </w:tabs>
        <w:ind w:left="824" w:hanging="348"/>
        <w:rPr>
          <w:rFonts w:eastAsia="Times New Roman"/>
          <w:szCs w:val="24"/>
        </w:rPr>
      </w:pPr>
      <w:r w:rsidRPr="00FC3B7C">
        <w:rPr>
          <w:rFonts w:eastAsia="Times New Roman"/>
          <w:szCs w:val="24"/>
        </w:rPr>
        <w:t>na kreditní– „dal“ (kladné)</w:t>
      </w:r>
    </w:p>
    <w:p w14:paraId="3373E482" w14:textId="77777777" w:rsidR="00A15E2D" w:rsidRPr="00FC3B7C" w:rsidRDefault="00A15E2D" w:rsidP="00D46B53">
      <w:pPr>
        <w:numPr>
          <w:ilvl w:val="0"/>
          <w:numId w:val="177"/>
        </w:numPr>
        <w:tabs>
          <w:tab w:val="left" w:pos="824"/>
        </w:tabs>
        <w:ind w:left="824" w:hanging="348"/>
        <w:rPr>
          <w:rFonts w:eastAsia="Times New Roman"/>
          <w:szCs w:val="24"/>
        </w:rPr>
      </w:pPr>
      <w:r w:rsidRPr="00FC3B7C">
        <w:rPr>
          <w:rFonts w:eastAsia="Times New Roman"/>
          <w:szCs w:val="24"/>
        </w:rPr>
        <w:t>na debetní– „má dáti“ (záporné)</w:t>
      </w:r>
    </w:p>
    <w:p w14:paraId="0012136A" w14:textId="77777777" w:rsidR="00A15E2D" w:rsidRPr="00FC3B7C" w:rsidRDefault="00A15E2D" w:rsidP="00A15E2D">
      <w:pPr>
        <w:spacing w:line="200" w:lineRule="exact"/>
        <w:rPr>
          <w:sz w:val="20"/>
          <w:szCs w:val="20"/>
        </w:rPr>
      </w:pPr>
    </w:p>
    <w:p w14:paraId="507F8839" w14:textId="77777777" w:rsidR="00A15E2D" w:rsidRPr="00DE129C" w:rsidRDefault="00A15E2D" w:rsidP="00A15E2D">
      <w:pPr>
        <w:pStyle w:val="Nadpis3"/>
        <w:rPr>
          <w:color w:val="1F3864" w:themeColor="accent1" w:themeShade="80"/>
          <w:sz w:val="20"/>
          <w:szCs w:val="20"/>
        </w:rPr>
      </w:pPr>
      <w:r w:rsidRPr="00DE129C">
        <w:rPr>
          <w:rFonts w:eastAsia="Times New Roman"/>
          <w:color w:val="1F3864" w:themeColor="accent1" w:themeShade="80"/>
        </w:rPr>
        <w:t>Faktory ovlivňující platební bilanci</w:t>
      </w:r>
    </w:p>
    <w:p w14:paraId="4799CDD2" w14:textId="77777777" w:rsidR="00A15E2D" w:rsidRPr="00FC3B7C" w:rsidRDefault="00A15E2D" w:rsidP="00D46B53">
      <w:pPr>
        <w:numPr>
          <w:ilvl w:val="0"/>
          <w:numId w:val="178"/>
        </w:numPr>
        <w:tabs>
          <w:tab w:val="left" w:pos="828"/>
        </w:tabs>
        <w:spacing w:line="256" w:lineRule="auto"/>
        <w:ind w:left="844" w:right="480" w:hanging="368"/>
        <w:rPr>
          <w:rFonts w:eastAsia="Times New Roman"/>
          <w:szCs w:val="24"/>
        </w:rPr>
      </w:pPr>
      <w:r w:rsidRPr="00FC3B7C">
        <w:rPr>
          <w:rFonts w:eastAsia="Times New Roman"/>
          <w:szCs w:val="24"/>
        </w:rPr>
        <w:t>míra inflace (vysoká inflace vede k růstu importu zahraničního zboží a k poklesu exportu domácího zboží)</w:t>
      </w:r>
    </w:p>
    <w:p w14:paraId="7279D3F8" w14:textId="77777777" w:rsidR="00A15E2D" w:rsidRPr="00FC3B7C" w:rsidRDefault="00A15E2D" w:rsidP="00A15E2D">
      <w:pPr>
        <w:spacing w:line="1" w:lineRule="exact"/>
        <w:rPr>
          <w:rFonts w:eastAsia="Times New Roman"/>
          <w:szCs w:val="24"/>
        </w:rPr>
      </w:pPr>
    </w:p>
    <w:p w14:paraId="46C5B366" w14:textId="77777777" w:rsidR="00A15E2D" w:rsidRPr="00FC3B7C" w:rsidRDefault="00A15E2D" w:rsidP="00D46B53">
      <w:pPr>
        <w:numPr>
          <w:ilvl w:val="0"/>
          <w:numId w:val="178"/>
        </w:numPr>
        <w:tabs>
          <w:tab w:val="left" w:pos="828"/>
        </w:tabs>
        <w:spacing w:line="249" w:lineRule="auto"/>
        <w:ind w:left="844" w:right="960" w:hanging="368"/>
        <w:rPr>
          <w:rFonts w:eastAsia="Times New Roman"/>
          <w:szCs w:val="24"/>
        </w:rPr>
      </w:pPr>
      <w:r w:rsidRPr="00FC3B7C">
        <w:rPr>
          <w:rFonts w:eastAsia="Times New Roman"/>
          <w:szCs w:val="24"/>
        </w:rPr>
        <w:t>růst reálného produktu (vysoká tempa růstu domácího produktu vedou k vyšším úrovním importů zboží a služeb)</w:t>
      </w:r>
    </w:p>
    <w:p w14:paraId="298035E2" w14:textId="77777777" w:rsidR="00A15E2D" w:rsidRPr="00FC3B7C" w:rsidRDefault="00A15E2D" w:rsidP="00A15E2D">
      <w:pPr>
        <w:spacing w:line="1" w:lineRule="exact"/>
        <w:rPr>
          <w:rFonts w:eastAsia="Times New Roman"/>
          <w:szCs w:val="24"/>
        </w:rPr>
      </w:pPr>
    </w:p>
    <w:p w14:paraId="369FF32C" w14:textId="77777777" w:rsidR="00A15E2D" w:rsidRPr="00FC3B7C" w:rsidRDefault="00A15E2D" w:rsidP="00D46B53">
      <w:pPr>
        <w:numPr>
          <w:ilvl w:val="0"/>
          <w:numId w:val="178"/>
        </w:numPr>
        <w:tabs>
          <w:tab w:val="left" w:pos="828"/>
        </w:tabs>
        <w:ind w:left="844" w:right="160" w:hanging="368"/>
        <w:rPr>
          <w:rFonts w:eastAsia="Times New Roman"/>
          <w:szCs w:val="24"/>
        </w:rPr>
      </w:pPr>
      <w:r w:rsidRPr="00FC3B7C">
        <w:rPr>
          <w:rFonts w:eastAsia="Times New Roman"/>
          <w:szCs w:val="24"/>
        </w:rPr>
        <w:t>úrokové sazby (rostou-li v domácí ekonomice, lze předpokládat vyšší příliv kapitálu do země)</w:t>
      </w:r>
    </w:p>
    <w:p w14:paraId="3140B12F" w14:textId="77777777" w:rsidR="00A15E2D" w:rsidRPr="00FC3B7C" w:rsidRDefault="00A15E2D" w:rsidP="00D46B53">
      <w:pPr>
        <w:numPr>
          <w:ilvl w:val="0"/>
          <w:numId w:val="178"/>
        </w:numPr>
        <w:tabs>
          <w:tab w:val="left" w:pos="828"/>
        </w:tabs>
        <w:spacing w:line="241" w:lineRule="auto"/>
        <w:ind w:left="844" w:right="420" w:hanging="368"/>
        <w:rPr>
          <w:rFonts w:eastAsia="Times New Roman"/>
          <w:szCs w:val="24"/>
        </w:rPr>
      </w:pPr>
      <w:r w:rsidRPr="00FC3B7C">
        <w:rPr>
          <w:rFonts w:eastAsia="Times New Roman"/>
          <w:szCs w:val="24"/>
        </w:rPr>
        <w:t>nominální měnový kurs (zhodnocení kurzu vede k růstu importu, znehodnocení k růstu exportu)</w:t>
      </w:r>
    </w:p>
    <w:p w14:paraId="19DA1585" w14:textId="77777777" w:rsidR="00A15E2D" w:rsidRPr="00FC3B7C" w:rsidRDefault="00A15E2D" w:rsidP="00A15E2D">
      <w:pPr>
        <w:spacing w:after="160" w:line="259" w:lineRule="auto"/>
        <w:rPr>
          <w:sz w:val="20"/>
          <w:szCs w:val="20"/>
        </w:rPr>
      </w:pPr>
      <w:r w:rsidRPr="00FC3B7C">
        <w:rPr>
          <w:sz w:val="20"/>
          <w:szCs w:val="20"/>
        </w:rPr>
        <w:br w:type="page"/>
      </w:r>
    </w:p>
    <w:p w14:paraId="5E7840B1" w14:textId="77777777" w:rsidR="00A15E2D" w:rsidRPr="00DE129C" w:rsidRDefault="00A15E2D" w:rsidP="00A15E2D">
      <w:pPr>
        <w:ind w:left="4"/>
        <w:rPr>
          <w:sz w:val="22"/>
        </w:rPr>
      </w:pPr>
      <w:r w:rsidRPr="00DE129C">
        <w:rPr>
          <w:rFonts w:eastAsia="Times New Roman"/>
          <w:b/>
          <w:bCs/>
          <w:sz w:val="28"/>
          <w:szCs w:val="28"/>
        </w:rPr>
        <w:lastRenderedPageBreak/>
        <w:t>Vyrovnávací mechanismy:</w:t>
      </w:r>
    </w:p>
    <w:p w14:paraId="4656BB0A" w14:textId="77777777" w:rsidR="00A15E2D" w:rsidRPr="00FC3B7C" w:rsidRDefault="00A15E2D" w:rsidP="00A15E2D">
      <w:pPr>
        <w:spacing w:line="276" w:lineRule="exact"/>
        <w:rPr>
          <w:sz w:val="20"/>
          <w:szCs w:val="20"/>
        </w:rPr>
      </w:pPr>
    </w:p>
    <w:p w14:paraId="08524853" w14:textId="77777777" w:rsidR="00A15E2D" w:rsidRPr="00FC3B7C" w:rsidRDefault="00A15E2D" w:rsidP="00A15E2D">
      <w:pPr>
        <w:ind w:left="4"/>
        <w:rPr>
          <w:sz w:val="20"/>
          <w:szCs w:val="20"/>
        </w:rPr>
      </w:pPr>
      <w:r w:rsidRPr="00FC3B7C">
        <w:rPr>
          <w:rFonts w:eastAsia="Times New Roman"/>
          <w:b/>
          <w:bCs/>
          <w:szCs w:val="24"/>
        </w:rPr>
        <w:t xml:space="preserve">1) </w:t>
      </w:r>
      <w:r>
        <w:rPr>
          <w:rFonts w:eastAsia="Times New Roman"/>
          <w:b/>
          <w:bCs/>
          <w:szCs w:val="24"/>
        </w:rPr>
        <w:t>M</w:t>
      </w:r>
      <w:r w:rsidRPr="00FC3B7C">
        <w:rPr>
          <w:rFonts w:eastAsia="Times New Roman"/>
          <w:b/>
          <w:bCs/>
          <w:szCs w:val="24"/>
        </w:rPr>
        <w:t>ěnový mechanismus</w:t>
      </w:r>
    </w:p>
    <w:p w14:paraId="57AD5BE3" w14:textId="77777777" w:rsidR="00A15E2D" w:rsidRPr="00FC3B7C" w:rsidRDefault="00A15E2D" w:rsidP="00A15E2D">
      <w:pPr>
        <w:spacing w:line="40" w:lineRule="exact"/>
        <w:rPr>
          <w:sz w:val="20"/>
          <w:szCs w:val="20"/>
        </w:rPr>
      </w:pPr>
    </w:p>
    <w:p w14:paraId="30AAF519" w14:textId="77777777" w:rsidR="00A15E2D" w:rsidRPr="00FC3B7C" w:rsidRDefault="00A15E2D" w:rsidP="00D46B53">
      <w:pPr>
        <w:numPr>
          <w:ilvl w:val="0"/>
          <w:numId w:val="179"/>
        </w:numPr>
        <w:tabs>
          <w:tab w:val="left" w:pos="319"/>
        </w:tabs>
        <w:ind w:left="4" w:hanging="4"/>
        <w:rPr>
          <w:rFonts w:eastAsia="Times New Roman"/>
          <w:szCs w:val="24"/>
        </w:rPr>
      </w:pPr>
      <w:r w:rsidRPr="00FC3B7C">
        <w:rPr>
          <w:rFonts w:eastAsia="Times New Roman"/>
          <w:szCs w:val="24"/>
        </w:rPr>
        <w:t>funguje v případě floatingu (při fixním kurzu by docházelo k úbytku devizových rezerv a ČNB by nakonec byla nucena měnový kurz znehodnotit</w:t>
      </w:r>
    </w:p>
    <w:p w14:paraId="29898D8F" w14:textId="77777777" w:rsidR="00A15E2D" w:rsidRPr="00FC3B7C" w:rsidRDefault="00A15E2D" w:rsidP="00D46B53">
      <w:pPr>
        <w:numPr>
          <w:ilvl w:val="0"/>
          <w:numId w:val="179"/>
        </w:numPr>
        <w:tabs>
          <w:tab w:val="left" w:pos="304"/>
        </w:tabs>
        <w:ind w:left="304" w:hanging="304"/>
        <w:rPr>
          <w:rFonts w:eastAsia="Times New Roman"/>
          <w:szCs w:val="24"/>
        </w:rPr>
      </w:pPr>
      <w:r w:rsidRPr="00FC3B7C">
        <w:rPr>
          <w:rFonts w:eastAsia="Times New Roman"/>
          <w:szCs w:val="24"/>
        </w:rPr>
        <w:t>domácí ekonomika více dováží</w:t>
      </w:r>
    </w:p>
    <w:p w14:paraId="1D0879BF" w14:textId="77777777" w:rsidR="00A15E2D" w:rsidRPr="00FC3B7C" w:rsidRDefault="00A15E2D" w:rsidP="00D46B53">
      <w:pPr>
        <w:numPr>
          <w:ilvl w:val="0"/>
          <w:numId w:val="180"/>
        </w:numPr>
        <w:tabs>
          <w:tab w:val="left" w:pos="327"/>
        </w:tabs>
        <w:spacing w:line="255" w:lineRule="auto"/>
        <w:ind w:left="4" w:right="40" w:hanging="4"/>
        <w:rPr>
          <w:rFonts w:eastAsia="Times New Roman"/>
          <w:szCs w:val="24"/>
        </w:rPr>
      </w:pPr>
      <w:r w:rsidRPr="00FC3B7C">
        <w:rPr>
          <w:rFonts w:eastAsia="Times New Roman"/>
          <w:szCs w:val="24"/>
        </w:rPr>
        <w:t>za svůj dovoz musí platit stále víc zahraniční měny tzn. větší poptávka po zahraniční měně</w:t>
      </w:r>
      <w:bookmarkStart w:id="186" w:name="page186"/>
      <w:bookmarkEnd w:id="186"/>
    </w:p>
    <w:p w14:paraId="69336336" w14:textId="77777777" w:rsidR="00A15E2D" w:rsidRPr="00FC3B7C" w:rsidRDefault="00A15E2D" w:rsidP="00D46B53">
      <w:pPr>
        <w:numPr>
          <w:ilvl w:val="0"/>
          <w:numId w:val="180"/>
        </w:numPr>
        <w:tabs>
          <w:tab w:val="left" w:pos="327"/>
        </w:tabs>
        <w:spacing w:line="255" w:lineRule="auto"/>
        <w:ind w:left="4" w:right="40" w:hanging="4"/>
        <w:rPr>
          <w:rFonts w:eastAsia="Times New Roman"/>
          <w:szCs w:val="24"/>
        </w:rPr>
      </w:pPr>
      <w:r w:rsidRPr="00FC3B7C">
        <w:rPr>
          <w:rFonts w:eastAsia="Times New Roman"/>
          <w:szCs w:val="24"/>
        </w:rPr>
        <w:t>větší nabídka domácí měny → znehodnocení domácí měny → to vede k růstu exportu a poklesu importu → obchodní bilance se začíná zlepšovat</w:t>
      </w:r>
    </w:p>
    <w:p w14:paraId="7371EBC0" w14:textId="77777777" w:rsidR="00A15E2D" w:rsidRPr="00FC3B7C" w:rsidRDefault="00A15E2D" w:rsidP="00A15E2D">
      <w:pPr>
        <w:spacing w:line="1" w:lineRule="exact"/>
        <w:rPr>
          <w:rFonts w:eastAsia="Times New Roman"/>
          <w:szCs w:val="24"/>
        </w:rPr>
      </w:pPr>
    </w:p>
    <w:p w14:paraId="746E1C7C" w14:textId="77777777" w:rsidR="00A15E2D" w:rsidRPr="00FC3B7C" w:rsidRDefault="00A15E2D" w:rsidP="00A15E2D">
      <w:pPr>
        <w:spacing w:line="241" w:lineRule="auto"/>
        <w:ind w:left="4" w:right="40"/>
        <w:rPr>
          <w:rFonts w:eastAsia="Times New Roman"/>
          <w:szCs w:val="24"/>
        </w:rPr>
      </w:pPr>
      <w:r w:rsidRPr="00FC3B7C">
        <w:rPr>
          <w:rFonts w:eastAsia="Times New Roman"/>
          <w:szCs w:val="24"/>
        </w:rPr>
        <w:t>rostoucí přebytek obchodní bilance: pokud NX &gt;0, tj. X&gt; M, potom ↑D po domácí měně →zhodnocení domácí měny → zhoršení NX domácí země (↑ M, ↓X)</w:t>
      </w:r>
    </w:p>
    <w:p w14:paraId="3F47A514" w14:textId="77777777" w:rsidR="00A15E2D" w:rsidRPr="00FC3B7C" w:rsidRDefault="00A15E2D" w:rsidP="00A15E2D">
      <w:pPr>
        <w:spacing w:line="234" w:lineRule="exact"/>
        <w:rPr>
          <w:sz w:val="20"/>
          <w:szCs w:val="20"/>
        </w:rPr>
      </w:pPr>
    </w:p>
    <w:p w14:paraId="3A94B6A0" w14:textId="77777777" w:rsidR="00A15E2D" w:rsidRPr="00FC3B7C" w:rsidRDefault="00A15E2D" w:rsidP="00A15E2D">
      <w:pPr>
        <w:ind w:left="4"/>
        <w:rPr>
          <w:sz w:val="20"/>
          <w:szCs w:val="20"/>
        </w:rPr>
      </w:pPr>
      <w:r w:rsidRPr="00FC3B7C">
        <w:rPr>
          <w:rFonts w:eastAsia="Times New Roman"/>
          <w:b/>
          <w:bCs/>
          <w:szCs w:val="24"/>
        </w:rPr>
        <w:t xml:space="preserve">2) </w:t>
      </w:r>
      <w:r>
        <w:rPr>
          <w:rFonts w:eastAsia="Times New Roman"/>
          <w:b/>
          <w:bCs/>
          <w:szCs w:val="24"/>
        </w:rPr>
        <w:t>D</w:t>
      </w:r>
      <w:r w:rsidRPr="00FC3B7C">
        <w:rPr>
          <w:rFonts w:eastAsia="Times New Roman"/>
          <w:b/>
          <w:bCs/>
          <w:szCs w:val="24"/>
        </w:rPr>
        <w:t>ůchodový mechanismus</w:t>
      </w:r>
    </w:p>
    <w:p w14:paraId="762EE11A" w14:textId="77777777" w:rsidR="00A15E2D" w:rsidRPr="00FC3B7C" w:rsidRDefault="00A15E2D" w:rsidP="00A15E2D">
      <w:pPr>
        <w:spacing w:line="39" w:lineRule="exact"/>
        <w:rPr>
          <w:sz w:val="20"/>
          <w:szCs w:val="20"/>
        </w:rPr>
      </w:pPr>
    </w:p>
    <w:p w14:paraId="7F7E9F7F" w14:textId="77777777" w:rsidR="00A15E2D" w:rsidRPr="00FC3B7C" w:rsidRDefault="00A15E2D" w:rsidP="00D46B53">
      <w:pPr>
        <w:numPr>
          <w:ilvl w:val="0"/>
          <w:numId w:val="181"/>
        </w:numPr>
        <w:tabs>
          <w:tab w:val="left" w:pos="304"/>
        </w:tabs>
        <w:ind w:left="304" w:hanging="304"/>
        <w:rPr>
          <w:rFonts w:eastAsia="Times New Roman"/>
          <w:szCs w:val="24"/>
        </w:rPr>
      </w:pPr>
      <w:r w:rsidRPr="00FC3B7C">
        <w:rPr>
          <w:rFonts w:eastAsia="Times New Roman"/>
          <w:szCs w:val="24"/>
        </w:rPr>
        <w:t>domácí ekonomika více dováží a méně se věnuje domácí produkci</w:t>
      </w:r>
    </w:p>
    <w:p w14:paraId="37B9D17C" w14:textId="77777777" w:rsidR="00A15E2D" w:rsidRPr="00FC3B7C" w:rsidRDefault="00A15E2D" w:rsidP="00D46B53">
      <w:pPr>
        <w:numPr>
          <w:ilvl w:val="0"/>
          <w:numId w:val="181"/>
        </w:numPr>
        <w:tabs>
          <w:tab w:val="left" w:pos="304"/>
        </w:tabs>
        <w:ind w:left="304" w:hanging="304"/>
        <w:rPr>
          <w:rFonts w:eastAsia="Times New Roman"/>
          <w:szCs w:val="24"/>
        </w:rPr>
      </w:pPr>
      <w:r w:rsidRPr="00FC3B7C">
        <w:rPr>
          <w:rFonts w:eastAsia="Times New Roman"/>
          <w:szCs w:val="24"/>
        </w:rPr>
        <w:t>nastává pokles HDP (část importu je ale závislá na HDP)</w:t>
      </w:r>
    </w:p>
    <w:p w14:paraId="6EA64FBF" w14:textId="77777777" w:rsidR="00A15E2D" w:rsidRPr="00FC3B7C" w:rsidRDefault="00A15E2D" w:rsidP="00D46B53">
      <w:pPr>
        <w:numPr>
          <w:ilvl w:val="0"/>
          <w:numId w:val="181"/>
        </w:numPr>
        <w:tabs>
          <w:tab w:val="left" w:pos="304"/>
        </w:tabs>
        <w:ind w:left="304" w:hanging="304"/>
        <w:rPr>
          <w:rFonts w:eastAsia="Times New Roman"/>
          <w:szCs w:val="24"/>
        </w:rPr>
      </w:pPr>
      <w:r w:rsidRPr="00FC3B7C">
        <w:rPr>
          <w:rFonts w:eastAsia="Times New Roman"/>
          <w:szCs w:val="24"/>
        </w:rPr>
        <w:t>pokles importu</w:t>
      </w:r>
    </w:p>
    <w:p w14:paraId="7D4E3A16" w14:textId="77777777" w:rsidR="00A15E2D" w:rsidRPr="00FC3B7C" w:rsidRDefault="00A15E2D" w:rsidP="00A15E2D">
      <w:pPr>
        <w:ind w:left="4" w:right="180"/>
        <w:rPr>
          <w:sz w:val="20"/>
          <w:szCs w:val="20"/>
        </w:rPr>
      </w:pPr>
      <w:r w:rsidRPr="00FC3B7C">
        <w:rPr>
          <w:rFonts w:eastAsia="Times New Roman"/>
          <w:szCs w:val="24"/>
        </w:rPr>
        <w:t>rostoucí přebytek obchodní bilance (NX &gt;0) → ↑HDP→ ↑indukovaného importu, tj. m · Y(HDP) → ↑M → zhoršení NX</w:t>
      </w:r>
    </w:p>
    <w:p w14:paraId="3D1746D1" w14:textId="77777777" w:rsidR="00A15E2D" w:rsidRPr="00FC3B7C" w:rsidRDefault="00A15E2D" w:rsidP="00A15E2D">
      <w:pPr>
        <w:spacing w:line="236" w:lineRule="exact"/>
        <w:rPr>
          <w:sz w:val="20"/>
          <w:szCs w:val="20"/>
        </w:rPr>
      </w:pPr>
    </w:p>
    <w:p w14:paraId="65F9BCBA" w14:textId="6960D968" w:rsidR="00A15E2D" w:rsidRDefault="00A15E2D" w:rsidP="00A15E2D">
      <w:pPr>
        <w:spacing w:line="276" w:lineRule="auto"/>
        <w:ind w:left="4"/>
        <w:rPr>
          <w:sz w:val="20"/>
          <w:szCs w:val="20"/>
        </w:rPr>
      </w:pPr>
      <w:r w:rsidRPr="00FC3B7C">
        <w:rPr>
          <w:rFonts w:eastAsia="Times New Roman"/>
          <w:i/>
          <w:iCs/>
          <w:szCs w:val="24"/>
        </w:rPr>
        <w:t>zdroj: Bakalářská práce Srovnání moderních teorií vyrovnávacích mechanismů platební balance, autor Lukáš Veitz, NF VŠE, 2013</w:t>
      </w:r>
      <w:r w:rsidRPr="00A15E2D">
        <w:rPr>
          <w:sz w:val="20"/>
          <w:szCs w:val="20"/>
        </w:rPr>
        <w:t xml:space="preserve"> </w:t>
      </w:r>
    </w:p>
    <w:p w14:paraId="7FA44377" w14:textId="5BBD36EC" w:rsidR="00A15E2D" w:rsidRDefault="00A15E2D" w:rsidP="00A15E2D">
      <w:pPr>
        <w:spacing w:line="150" w:lineRule="exact"/>
        <w:rPr>
          <w:sz w:val="20"/>
          <w:szCs w:val="20"/>
        </w:rPr>
      </w:pPr>
    </w:p>
    <w:p w14:paraId="04F0DDF8" w14:textId="77777777" w:rsidR="00A15E2D" w:rsidRPr="00FC3B7C" w:rsidRDefault="00A15E2D" w:rsidP="00A15E2D">
      <w:pPr>
        <w:spacing w:line="150" w:lineRule="exact"/>
        <w:rPr>
          <w:sz w:val="20"/>
          <w:szCs w:val="20"/>
        </w:rPr>
      </w:pPr>
    </w:p>
    <w:p w14:paraId="38CA0749" w14:textId="77777777" w:rsidR="00A15E2D" w:rsidRPr="00DE129C" w:rsidRDefault="00A15E2D" w:rsidP="00A15E2D">
      <w:pPr>
        <w:pStyle w:val="Nadpis3"/>
        <w:rPr>
          <w:color w:val="1F3864" w:themeColor="accent1" w:themeShade="80"/>
          <w:sz w:val="20"/>
          <w:szCs w:val="20"/>
        </w:rPr>
      </w:pPr>
      <w:r w:rsidRPr="00DE129C">
        <w:rPr>
          <w:rFonts w:eastAsia="Times New Roman"/>
          <w:color w:val="1F3864" w:themeColor="accent1" w:themeShade="80"/>
        </w:rPr>
        <w:t>Měnový</w:t>
      </w:r>
      <w:r w:rsidRPr="00DE129C">
        <w:rPr>
          <w:rFonts w:eastAsia="Times New Roman"/>
          <w:color w:val="1F3864" w:themeColor="accent1" w:themeShade="80"/>
          <w:sz w:val="32"/>
          <w:szCs w:val="32"/>
        </w:rPr>
        <w:t xml:space="preserve"> </w:t>
      </w:r>
      <w:r w:rsidRPr="00DE129C">
        <w:rPr>
          <w:rFonts w:eastAsia="Times New Roman"/>
          <w:color w:val="1F3864" w:themeColor="accent1" w:themeShade="80"/>
        </w:rPr>
        <w:t>kurz</w:t>
      </w:r>
    </w:p>
    <w:p w14:paraId="39863B95" w14:textId="77777777" w:rsidR="00A15E2D" w:rsidRPr="000D0FAD" w:rsidRDefault="00A15E2D" w:rsidP="00A15E2D">
      <w:pPr>
        <w:tabs>
          <w:tab w:val="left" w:pos="824"/>
        </w:tabs>
        <w:ind w:right="300"/>
        <w:rPr>
          <w:rFonts w:eastAsia="Times New Roman"/>
          <w:szCs w:val="24"/>
        </w:rPr>
      </w:pPr>
      <w:r w:rsidRPr="000D0FAD">
        <w:rPr>
          <w:rFonts w:eastAsia="Times New Roman"/>
          <w:szCs w:val="24"/>
        </w:rPr>
        <w:t xml:space="preserve"> </w:t>
      </w:r>
      <w:r w:rsidRPr="000D0FAD">
        <w:rPr>
          <w:rFonts w:eastAsia="Times New Roman"/>
          <w:i/>
          <w:szCs w:val="24"/>
        </w:rPr>
        <w:t>Nominální měnový kurz</w:t>
      </w:r>
      <w:r w:rsidRPr="000D0FAD">
        <w:rPr>
          <w:rFonts w:eastAsia="Times New Roman"/>
          <w:szCs w:val="24"/>
        </w:rPr>
        <w:t xml:space="preserve"> – nominální měnový kurz je cena jedné měny vyjádřená v jednotkách měny druhé</w:t>
      </w:r>
    </w:p>
    <w:p w14:paraId="6DA8A894" w14:textId="77777777" w:rsidR="00A15E2D" w:rsidRDefault="00A15E2D" w:rsidP="00A15E2D">
      <w:pPr>
        <w:rPr>
          <w:rFonts w:eastAsia="Times New Roman"/>
          <w:i/>
        </w:rPr>
      </w:pPr>
    </w:p>
    <w:p w14:paraId="7A5833B8" w14:textId="77777777" w:rsidR="00A15E2D" w:rsidRDefault="00A15E2D" w:rsidP="00A15E2D">
      <w:pPr>
        <w:rPr>
          <w:rFonts w:eastAsia="Times New Roman"/>
        </w:rPr>
      </w:pPr>
      <w:r w:rsidRPr="000D0FAD">
        <w:rPr>
          <w:rFonts w:eastAsia="Times New Roman"/>
          <w:i/>
        </w:rPr>
        <w:t xml:space="preserve"> Reálný měnový kurz</w:t>
      </w:r>
      <w:r>
        <w:rPr>
          <w:rFonts w:eastAsia="Times New Roman"/>
          <w:i/>
        </w:rPr>
        <w:t xml:space="preserve"> </w:t>
      </w:r>
      <w:r w:rsidRPr="000D0FAD">
        <w:rPr>
          <w:rFonts w:eastAsia="Times New Roman"/>
        </w:rPr>
        <w:t>-</w:t>
      </w:r>
      <w:r>
        <w:rPr>
          <w:rFonts w:eastAsia="Times New Roman"/>
        </w:rPr>
        <w:t xml:space="preserve"> </w:t>
      </w:r>
      <w:r w:rsidRPr="000D0FAD">
        <w:rPr>
          <w:rFonts w:eastAsia="Times New Roman"/>
        </w:rPr>
        <w:t xml:space="preserve">je to nominální měnový kurz vynásobený poměrem </w:t>
      </w:r>
      <w:r>
        <w:rPr>
          <w:rFonts w:eastAsia="Times New Roman"/>
        </w:rPr>
        <w:t>cenových hladin,</w:t>
      </w:r>
      <w:r>
        <w:rPr>
          <w:rFonts w:eastAsia="Times New Roman"/>
        </w:rPr>
        <w:br/>
      </w:r>
      <w:r w:rsidRPr="000D0FAD">
        <w:rPr>
          <w:rFonts w:eastAsia="Times New Roman"/>
        </w:rPr>
        <w:t xml:space="preserve">tedy zahraniční k domácí cenové hladině. </w:t>
      </w:r>
    </w:p>
    <w:p w14:paraId="24C500B9" w14:textId="77777777" w:rsidR="00A15E2D" w:rsidRDefault="00A15E2D" w:rsidP="00A15E2D">
      <w:pPr>
        <w:rPr>
          <w:rFonts w:eastAsia="Times New Roman"/>
        </w:rPr>
      </w:pPr>
    </w:p>
    <w:p w14:paraId="34B97BD2" w14:textId="77777777" w:rsidR="00A15E2D" w:rsidRPr="00DE129C" w:rsidRDefault="00A15E2D" w:rsidP="00A15E2D">
      <w:pPr>
        <w:rPr>
          <w:rFonts w:eastAsia="Times New Roman"/>
        </w:rPr>
      </w:pPr>
      <w:r w:rsidRPr="000D0FAD">
        <w:rPr>
          <w:rFonts w:eastAsia="Times New Roman"/>
        </w:rPr>
        <w:t>Reálným měnový kurz ovlivňuje konkurenceschopnost domácího zboží vůči zahraničnímu</w:t>
      </w:r>
    </w:p>
    <w:p w14:paraId="4ACFED1F" w14:textId="77777777" w:rsidR="00A15E2D" w:rsidRPr="00DE129C" w:rsidRDefault="00A15E2D" w:rsidP="00A15E2D">
      <w:pPr>
        <w:ind w:left="1200"/>
        <w:rPr>
          <w:rFonts w:eastAsia="Times New Roman"/>
          <w:szCs w:val="24"/>
        </w:rPr>
      </w:pPr>
      <w:r w:rsidRPr="00FC3B7C">
        <w:rPr>
          <w:rFonts w:eastAsia="Courier New"/>
          <w:szCs w:val="24"/>
        </w:rPr>
        <w:t xml:space="preserve">O </w:t>
      </w:r>
      <w:r w:rsidRPr="00FC3B7C">
        <w:rPr>
          <w:rFonts w:eastAsia="Times New Roman"/>
          <w:szCs w:val="24"/>
        </w:rPr>
        <w:t>E</w:t>
      </w:r>
      <w:r w:rsidRPr="00FC3B7C">
        <w:rPr>
          <w:rFonts w:eastAsia="Times New Roman"/>
          <w:sz w:val="15"/>
          <w:szCs w:val="15"/>
        </w:rPr>
        <w:t>r</w:t>
      </w:r>
      <w:r w:rsidRPr="00FC3B7C">
        <w:rPr>
          <w:rFonts w:eastAsia="Courier New"/>
          <w:szCs w:val="24"/>
        </w:rPr>
        <w:t xml:space="preserve"> </w:t>
      </w:r>
      <w:r w:rsidRPr="00FC3B7C">
        <w:rPr>
          <w:rFonts w:eastAsia="Times New Roman"/>
          <w:szCs w:val="24"/>
        </w:rPr>
        <w:t>&gt;1… domácí zboží je více konkurenceschopné</w:t>
      </w:r>
    </w:p>
    <w:p w14:paraId="25C8A331" w14:textId="77777777" w:rsidR="00A15E2D" w:rsidRPr="00DE129C" w:rsidRDefault="00A15E2D" w:rsidP="00D46B53">
      <w:pPr>
        <w:numPr>
          <w:ilvl w:val="0"/>
          <w:numId w:val="182"/>
        </w:numPr>
        <w:tabs>
          <w:tab w:val="left" w:pos="1480"/>
        </w:tabs>
        <w:ind w:left="1480" w:hanging="288"/>
        <w:rPr>
          <w:rFonts w:eastAsia="Courier New"/>
          <w:szCs w:val="24"/>
        </w:rPr>
      </w:pPr>
      <w:r w:rsidRPr="00FC3B7C">
        <w:rPr>
          <w:rFonts w:eastAsia="Times New Roman"/>
          <w:szCs w:val="24"/>
        </w:rPr>
        <w:t>E</w:t>
      </w:r>
      <w:r w:rsidRPr="00FC3B7C">
        <w:rPr>
          <w:rFonts w:eastAsia="Times New Roman"/>
          <w:sz w:val="15"/>
          <w:szCs w:val="15"/>
        </w:rPr>
        <w:t>r</w:t>
      </w:r>
      <w:r w:rsidRPr="00FC3B7C">
        <w:rPr>
          <w:rFonts w:eastAsia="Times New Roman"/>
          <w:szCs w:val="24"/>
        </w:rPr>
        <w:t xml:space="preserve"> &lt;1… domácí zboží je méně konkurenceschopné</w:t>
      </w:r>
    </w:p>
    <w:p w14:paraId="1D295BFB" w14:textId="77777777" w:rsidR="00A15E2D" w:rsidRPr="00DE129C" w:rsidRDefault="00A15E2D" w:rsidP="00D46B53">
      <w:pPr>
        <w:numPr>
          <w:ilvl w:val="1"/>
          <w:numId w:val="183"/>
        </w:numPr>
        <w:tabs>
          <w:tab w:val="left" w:pos="1480"/>
        </w:tabs>
        <w:ind w:left="1480" w:hanging="288"/>
        <w:rPr>
          <w:rFonts w:eastAsia="Courier New"/>
          <w:szCs w:val="24"/>
        </w:rPr>
      </w:pPr>
      <w:r w:rsidRPr="00FC3B7C">
        <w:rPr>
          <w:rFonts w:eastAsia="Times New Roman"/>
          <w:szCs w:val="24"/>
        </w:rPr>
        <w:t>E</w:t>
      </w:r>
      <w:r w:rsidRPr="00FC3B7C">
        <w:rPr>
          <w:rFonts w:eastAsia="Times New Roman"/>
          <w:sz w:val="15"/>
          <w:szCs w:val="15"/>
        </w:rPr>
        <w:t>r</w:t>
      </w:r>
      <w:r w:rsidRPr="00FC3B7C">
        <w:rPr>
          <w:rFonts w:eastAsia="Times New Roman"/>
          <w:szCs w:val="24"/>
        </w:rPr>
        <w:t xml:space="preserve"> =1… domácí i zahraniční zboží je stejně konkurenceschopné</w:t>
      </w:r>
    </w:p>
    <w:p w14:paraId="56BA631B" w14:textId="77777777" w:rsidR="00A15E2D" w:rsidRPr="00DE129C" w:rsidRDefault="00A15E2D" w:rsidP="00D46B53">
      <w:pPr>
        <w:numPr>
          <w:ilvl w:val="0"/>
          <w:numId w:val="183"/>
        </w:numPr>
        <w:tabs>
          <w:tab w:val="left" w:pos="820"/>
        </w:tabs>
        <w:ind w:left="820" w:hanging="348"/>
        <w:rPr>
          <w:rFonts w:eastAsia="Times New Roman"/>
          <w:szCs w:val="24"/>
        </w:rPr>
      </w:pPr>
      <w:r w:rsidRPr="00FC3B7C">
        <w:rPr>
          <w:rFonts w:eastAsia="Times New Roman"/>
          <w:szCs w:val="24"/>
        </w:rPr>
        <w:t>Přímá kotace– 25 CZK/EUR</w:t>
      </w:r>
    </w:p>
    <w:p w14:paraId="4778E21E" w14:textId="77777777" w:rsidR="00A15E2D" w:rsidRPr="00FC3B7C" w:rsidRDefault="00A15E2D" w:rsidP="00D46B53">
      <w:pPr>
        <w:numPr>
          <w:ilvl w:val="0"/>
          <w:numId w:val="183"/>
        </w:numPr>
        <w:tabs>
          <w:tab w:val="left" w:pos="820"/>
        </w:tabs>
        <w:ind w:left="820" w:hanging="348"/>
        <w:rPr>
          <w:rFonts w:eastAsia="Times New Roman"/>
          <w:szCs w:val="24"/>
        </w:rPr>
      </w:pPr>
      <w:r w:rsidRPr="00FC3B7C">
        <w:rPr>
          <w:rFonts w:eastAsia="Times New Roman"/>
          <w:szCs w:val="24"/>
        </w:rPr>
        <w:t>Nepřímá kotace – 0,04 EUR/CZK</w:t>
      </w:r>
    </w:p>
    <w:p w14:paraId="0387748A" w14:textId="77777777" w:rsidR="00A15E2D" w:rsidRPr="00FC3B7C" w:rsidRDefault="00A15E2D" w:rsidP="00A15E2D">
      <w:pPr>
        <w:spacing w:line="160" w:lineRule="exact"/>
        <w:rPr>
          <w:sz w:val="20"/>
          <w:szCs w:val="20"/>
        </w:rPr>
      </w:pPr>
    </w:p>
    <w:p w14:paraId="7E8E8B3A" w14:textId="77777777" w:rsidR="00A15E2D" w:rsidRPr="00FC3B7C" w:rsidRDefault="00A15E2D" w:rsidP="00A15E2D">
      <w:pPr>
        <w:ind w:left="120"/>
        <w:rPr>
          <w:sz w:val="20"/>
          <w:szCs w:val="20"/>
        </w:rPr>
      </w:pPr>
      <w:r w:rsidRPr="00FC3B7C">
        <w:rPr>
          <w:rFonts w:eastAsia="Times New Roman"/>
          <w:b/>
          <w:bCs/>
          <w:szCs w:val="24"/>
        </w:rPr>
        <w:lastRenderedPageBreak/>
        <w:t>Režim měnového kurzu může být fixní nebo plovoucí</w:t>
      </w:r>
    </w:p>
    <w:p w14:paraId="3D8019A5" w14:textId="77777777" w:rsidR="00A15E2D" w:rsidRPr="004B6CDE" w:rsidRDefault="00A15E2D" w:rsidP="00A15E2D">
      <w:pPr>
        <w:tabs>
          <w:tab w:val="left" w:pos="820"/>
        </w:tabs>
        <w:ind w:left="820"/>
        <w:rPr>
          <w:rFonts w:eastAsia="Courier New"/>
          <w:szCs w:val="24"/>
        </w:rPr>
      </w:pPr>
      <w:r w:rsidRPr="004B6CDE">
        <w:rPr>
          <w:rFonts w:eastAsia="Times New Roman"/>
          <w:b/>
          <w:bCs/>
          <w:szCs w:val="24"/>
          <w:u w:val="single"/>
        </w:rPr>
        <w:t xml:space="preserve">Fixní </w:t>
      </w:r>
      <w:r w:rsidRPr="004B6CDE">
        <w:rPr>
          <w:rFonts w:eastAsia="Times New Roman"/>
          <w:szCs w:val="24"/>
        </w:rPr>
        <w:t xml:space="preserve">- pevně </w:t>
      </w:r>
      <w:r w:rsidRPr="00DE129C">
        <w:rPr>
          <w:rFonts w:eastAsia="Times New Roman"/>
          <w:szCs w:val="24"/>
        </w:rPr>
        <w:t>stanovený nominální měnový kurz</w:t>
      </w:r>
      <w:r>
        <w:rPr>
          <w:rFonts w:eastAsia="Times New Roman"/>
          <w:szCs w:val="24"/>
        </w:rPr>
        <w:t>,</w:t>
      </w:r>
      <w:r w:rsidRPr="00DE129C">
        <w:rPr>
          <w:rFonts w:eastAsia="Times New Roman"/>
          <w:szCs w:val="24"/>
        </w:rPr>
        <w:t xml:space="preserve"> </w:t>
      </w:r>
      <w:r w:rsidRPr="00FC3B7C">
        <w:rPr>
          <w:rFonts w:eastAsia="Times New Roman"/>
          <w:szCs w:val="24"/>
        </w:rPr>
        <w:t>země udržují měnový kurz ve předem stanoveném rozmezí kolem určité výše</w:t>
      </w:r>
      <w:r>
        <w:rPr>
          <w:rFonts w:eastAsia="Courier New"/>
          <w:szCs w:val="24"/>
        </w:rPr>
        <w:t xml:space="preserve"> </w:t>
      </w:r>
      <w:r w:rsidRPr="00FC3B7C">
        <w:rPr>
          <w:rFonts w:eastAsia="Times New Roman"/>
          <w:szCs w:val="24"/>
        </w:rPr>
        <w:t>(stará se o to centrální banka)</w:t>
      </w:r>
      <w:r w:rsidRPr="00DE129C">
        <w:rPr>
          <w:rFonts w:eastAsia="Times New Roman"/>
          <w:szCs w:val="24"/>
        </w:rPr>
        <w:t xml:space="preserve"> </w:t>
      </w:r>
      <w:r w:rsidRPr="00FC3B7C">
        <w:rPr>
          <w:rFonts w:eastAsia="Times New Roman"/>
          <w:szCs w:val="24"/>
        </w:rPr>
        <w:t xml:space="preserve">oscilační pásmo (např. 1 % nebo 15 % </w:t>
      </w:r>
      <w:r w:rsidRPr="004B6CDE">
        <w:rPr>
          <w:rFonts w:eastAsia="Times New Roman"/>
          <w:szCs w:val="24"/>
        </w:rPr>
        <w:t>kolem stanovené výše-úzké a široké fluktuační pásmo)</w:t>
      </w:r>
    </w:p>
    <w:p w14:paraId="7664A63B" w14:textId="77777777" w:rsidR="00A15E2D" w:rsidRPr="004B6CDE" w:rsidRDefault="00A15E2D" w:rsidP="00A15E2D">
      <w:pPr>
        <w:tabs>
          <w:tab w:val="left" w:pos="820"/>
        </w:tabs>
        <w:ind w:left="820"/>
        <w:rPr>
          <w:rFonts w:eastAsia="Times New Roman"/>
          <w:szCs w:val="24"/>
        </w:rPr>
      </w:pPr>
      <w:r w:rsidRPr="004B6CDE">
        <w:rPr>
          <w:rFonts w:eastAsia="Times New Roman"/>
          <w:szCs w:val="24"/>
        </w:rPr>
        <w:tab/>
        <w:t xml:space="preserve">• Crawling peg (posuvné zavěšení) – fixní kurz s fluktuačním pásmem (úzké a široké) a s přiznaným trendem nominálního kurzu, vhodné pro transformující se ekonomiky s relativně vyšší mírou inflace (Polsko, Maďarsko) </w:t>
      </w:r>
    </w:p>
    <w:p w14:paraId="0E4A16BB" w14:textId="77777777" w:rsidR="00A15E2D" w:rsidRPr="004B6CDE" w:rsidRDefault="00A15E2D" w:rsidP="00A15E2D">
      <w:pPr>
        <w:tabs>
          <w:tab w:val="left" w:pos="820"/>
        </w:tabs>
        <w:ind w:left="820"/>
        <w:rPr>
          <w:rFonts w:eastAsia="Times New Roman"/>
          <w:szCs w:val="24"/>
        </w:rPr>
      </w:pPr>
      <w:r w:rsidRPr="004B6CDE">
        <w:rPr>
          <w:rFonts w:eastAsia="Times New Roman"/>
          <w:szCs w:val="24"/>
        </w:rPr>
        <w:tab/>
        <w:t xml:space="preserve">• Currency Board (měnový výbor) – systém fixního kurzu bez pásem oscilace, CB se vzdává autonomní měnové politiky </w:t>
      </w:r>
    </w:p>
    <w:p w14:paraId="4B56A99F" w14:textId="77777777" w:rsidR="00A15E2D" w:rsidRPr="004B6CDE" w:rsidRDefault="00A15E2D" w:rsidP="00A15E2D">
      <w:pPr>
        <w:tabs>
          <w:tab w:val="left" w:pos="1488"/>
        </w:tabs>
        <w:ind w:right="340"/>
        <w:rPr>
          <w:rFonts w:eastAsia="Courier New"/>
          <w:szCs w:val="24"/>
        </w:rPr>
      </w:pPr>
    </w:p>
    <w:p w14:paraId="56B6209C" w14:textId="77777777" w:rsidR="00A15E2D" w:rsidRPr="004B6CDE" w:rsidRDefault="00A15E2D" w:rsidP="00A15E2D">
      <w:pPr>
        <w:tabs>
          <w:tab w:val="left" w:pos="820"/>
        </w:tabs>
        <w:ind w:left="820"/>
        <w:rPr>
          <w:rFonts w:eastAsia="Times New Roman"/>
          <w:szCs w:val="24"/>
        </w:rPr>
      </w:pPr>
      <w:r w:rsidRPr="004B6CDE">
        <w:rPr>
          <w:rFonts w:eastAsia="Times New Roman"/>
          <w:b/>
          <w:bCs/>
          <w:szCs w:val="24"/>
          <w:u w:val="single"/>
        </w:rPr>
        <w:t xml:space="preserve">Plovoucí </w:t>
      </w:r>
      <w:r w:rsidRPr="004B6CDE">
        <w:rPr>
          <w:rFonts w:eastAsia="Times New Roman"/>
          <w:szCs w:val="24"/>
        </w:rPr>
        <w:t xml:space="preserve">– volně pohyblivý měnový kurz ovlivňovaný devizovým trhem v závislosti na D a S. Centrální banka neintervenuje a nechává pohybování měnových kurzů na působení tržních sil. </w:t>
      </w:r>
    </w:p>
    <w:p w14:paraId="240DF76F" w14:textId="77777777" w:rsidR="00A15E2D" w:rsidRPr="004B6CDE" w:rsidRDefault="00A15E2D" w:rsidP="00A15E2D">
      <w:pPr>
        <w:tabs>
          <w:tab w:val="left" w:pos="820"/>
        </w:tabs>
        <w:ind w:left="820"/>
        <w:rPr>
          <w:rFonts w:eastAsia="Times New Roman"/>
          <w:szCs w:val="24"/>
        </w:rPr>
      </w:pPr>
      <w:r w:rsidRPr="004B6CDE">
        <w:rPr>
          <w:rFonts w:eastAsia="Times New Roman"/>
          <w:szCs w:val="24"/>
        </w:rPr>
        <w:tab/>
        <w:t>• Čistým floatingem - CB se vzdává možnosti intervenovat, kurz je výsledkem interakce mezi D a S na devizovém trhu vyskytuje se ale jen velmi málo, většina centrálních bank je pod velkým tlakem ze strany vývozců, kteří si nepřejí velkou apreciaci měny (apreciaci = nižší konkurenceschopnost = nižší export) (USA, Japonsko, Austrálie, JAR)</w:t>
      </w:r>
    </w:p>
    <w:p w14:paraId="46DA3358" w14:textId="77777777" w:rsidR="00A15E2D" w:rsidRPr="004B6CDE" w:rsidRDefault="00A15E2D" w:rsidP="00A15E2D">
      <w:pPr>
        <w:tabs>
          <w:tab w:val="left" w:pos="820"/>
        </w:tabs>
        <w:ind w:left="820"/>
        <w:rPr>
          <w:rFonts w:eastAsia="Times New Roman"/>
          <w:szCs w:val="24"/>
        </w:rPr>
      </w:pPr>
      <w:r w:rsidRPr="004B6CDE">
        <w:rPr>
          <w:noProof/>
          <w:sz w:val="20"/>
          <w:szCs w:val="20"/>
        </w:rPr>
        <w:drawing>
          <wp:anchor distT="0" distB="0" distL="114300" distR="114300" simplePos="0" relativeHeight="251794944" behindDoc="1" locked="0" layoutInCell="0" allowOverlap="1" wp14:anchorId="1432C66E" wp14:editId="2835F4C6">
            <wp:simplePos x="0" y="0"/>
            <wp:positionH relativeFrom="margin">
              <wp:posOffset>149860</wp:posOffset>
            </wp:positionH>
            <wp:positionV relativeFrom="margin">
              <wp:posOffset>579120</wp:posOffset>
            </wp:positionV>
            <wp:extent cx="5437505" cy="2645410"/>
            <wp:effectExtent l="0" t="0" r="0" b="2540"/>
            <wp:wrapTight wrapText="bothSides">
              <wp:wrapPolygon edited="0">
                <wp:start x="8551" y="0"/>
                <wp:lineTo x="605" y="1555"/>
                <wp:lineTo x="454" y="2489"/>
                <wp:lineTo x="908" y="2489"/>
                <wp:lineTo x="530" y="3111"/>
                <wp:lineTo x="1059" y="4977"/>
                <wp:lineTo x="378" y="6688"/>
                <wp:lineTo x="378" y="7000"/>
                <wp:lineTo x="1362" y="7466"/>
                <wp:lineTo x="0" y="8866"/>
                <wp:lineTo x="0" y="10888"/>
                <wp:lineTo x="2951" y="12444"/>
                <wp:lineTo x="454" y="12444"/>
                <wp:lineTo x="605" y="14932"/>
                <wp:lineTo x="10746" y="14932"/>
                <wp:lineTo x="681" y="16021"/>
                <wp:lineTo x="454" y="17110"/>
                <wp:lineTo x="1741" y="17421"/>
                <wp:lineTo x="454" y="18043"/>
                <wp:lineTo x="378" y="18199"/>
                <wp:lineTo x="908" y="19910"/>
                <wp:lineTo x="605" y="20221"/>
                <wp:lineTo x="454" y="20687"/>
                <wp:lineTo x="454" y="21465"/>
                <wp:lineTo x="21265" y="21465"/>
                <wp:lineTo x="21416" y="20843"/>
                <wp:lineTo x="21189" y="20221"/>
                <wp:lineTo x="20962" y="19910"/>
                <wp:lineTo x="21265" y="18043"/>
                <wp:lineTo x="21416" y="16799"/>
                <wp:lineTo x="20205" y="16488"/>
                <wp:lineTo x="10746" y="14932"/>
                <wp:lineTo x="21189" y="13688"/>
                <wp:lineTo x="21189" y="13221"/>
                <wp:lineTo x="12411" y="12444"/>
                <wp:lineTo x="13319" y="12444"/>
                <wp:lineTo x="21265" y="10266"/>
                <wp:lineTo x="21416" y="8088"/>
                <wp:lineTo x="21037" y="7933"/>
                <wp:lineTo x="17783" y="7466"/>
                <wp:lineTo x="21340" y="6844"/>
                <wp:lineTo x="21113" y="6377"/>
                <wp:lineTo x="4767" y="4977"/>
                <wp:lineTo x="21113" y="3422"/>
                <wp:lineTo x="21265" y="2955"/>
                <wp:lineTo x="16346" y="2489"/>
                <wp:lineTo x="20583" y="1244"/>
                <wp:lineTo x="20508" y="0"/>
                <wp:lineTo x="8551"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2">
                      <a:clrChange>
                        <a:clrFrom>
                          <a:srgbClr val="FFFFFF"/>
                        </a:clrFrom>
                        <a:clrTo>
                          <a:srgbClr val="FFFFFF">
                            <a:alpha val="0"/>
                          </a:srgbClr>
                        </a:clrTo>
                      </a:clrChange>
                    </a:blip>
                    <a:srcRect/>
                    <a:stretch>
                      <a:fillRect/>
                    </a:stretch>
                  </pic:blipFill>
                  <pic:spPr bwMode="auto">
                    <a:xfrm>
                      <a:off x="0" y="0"/>
                      <a:ext cx="5437505" cy="2645410"/>
                    </a:xfrm>
                    <a:prstGeom prst="rect">
                      <a:avLst/>
                    </a:prstGeom>
                    <a:noFill/>
                  </pic:spPr>
                </pic:pic>
              </a:graphicData>
            </a:graphic>
          </wp:anchor>
        </w:drawing>
      </w:r>
      <w:r w:rsidRPr="004B6CDE">
        <w:rPr>
          <w:rFonts w:eastAsia="Times New Roman"/>
          <w:szCs w:val="24"/>
        </w:rPr>
        <w:tab/>
        <w:t>• Řízený floating – CB zasahuje do dění na devizovém a měnovém trhu, pokud to uzná za vhodné (ČR)</w:t>
      </w:r>
    </w:p>
    <w:p w14:paraId="44A8CC46" w14:textId="0911CBC5" w:rsidR="00A15E2D" w:rsidRDefault="00A15E2D" w:rsidP="00A15E2D">
      <w:pPr>
        <w:rPr>
          <w:rFonts w:eastAsia="Times New Roman"/>
          <w:b/>
          <w:bCs/>
        </w:rPr>
      </w:pPr>
    </w:p>
    <w:p w14:paraId="0AC2EF0E" w14:textId="73599F2F" w:rsidR="00A15E2D" w:rsidRDefault="00A15E2D" w:rsidP="00A15E2D">
      <w:pPr>
        <w:rPr>
          <w:rFonts w:eastAsia="Times New Roman"/>
          <w:b/>
          <w:bCs/>
        </w:rPr>
      </w:pPr>
    </w:p>
    <w:p w14:paraId="503CC9A1" w14:textId="77777777" w:rsidR="00A15E2D" w:rsidRDefault="00A15E2D" w:rsidP="00A15E2D">
      <w:pPr>
        <w:rPr>
          <w:rFonts w:eastAsia="Times New Roman"/>
          <w:b/>
          <w:bCs/>
        </w:rPr>
      </w:pPr>
    </w:p>
    <w:p w14:paraId="1AB16064" w14:textId="77777777" w:rsidR="00A15E2D" w:rsidRPr="00DE129C" w:rsidRDefault="00A15E2D" w:rsidP="00A15E2D">
      <w:pPr>
        <w:pStyle w:val="Nadpis4"/>
        <w:rPr>
          <w:color w:val="1F3864" w:themeColor="accent1" w:themeShade="80"/>
          <w:sz w:val="20"/>
          <w:szCs w:val="20"/>
        </w:rPr>
      </w:pPr>
      <w:r w:rsidRPr="00DE129C">
        <w:rPr>
          <w:rFonts w:eastAsia="Times New Roman"/>
          <w:color w:val="1F3864" w:themeColor="accent1" w:themeShade="80"/>
        </w:rPr>
        <w:lastRenderedPageBreak/>
        <w:t>Vyrovnávací procesy</w:t>
      </w:r>
    </w:p>
    <w:p w14:paraId="21CB9055" w14:textId="77777777" w:rsidR="00A15E2D" w:rsidRPr="000D0FAD" w:rsidRDefault="00A15E2D" w:rsidP="00D46B53">
      <w:pPr>
        <w:numPr>
          <w:ilvl w:val="0"/>
          <w:numId w:val="184"/>
        </w:numPr>
        <w:tabs>
          <w:tab w:val="left" w:pos="820"/>
        </w:tabs>
        <w:ind w:left="820" w:hanging="348"/>
        <w:rPr>
          <w:rFonts w:eastAsia="Times New Roman"/>
          <w:szCs w:val="24"/>
        </w:rPr>
      </w:pPr>
      <w:r w:rsidRPr="00FC3B7C">
        <w:rPr>
          <w:rFonts w:eastAsia="Times New Roman"/>
          <w:szCs w:val="24"/>
        </w:rPr>
        <w:t>Provádí CB</w:t>
      </w:r>
    </w:p>
    <w:p w14:paraId="196CC29B" w14:textId="77777777" w:rsidR="00A15E2D" w:rsidRPr="00DE129C" w:rsidRDefault="00A15E2D" w:rsidP="00D46B53">
      <w:pPr>
        <w:numPr>
          <w:ilvl w:val="0"/>
          <w:numId w:val="184"/>
        </w:numPr>
        <w:tabs>
          <w:tab w:val="left" w:pos="824"/>
        </w:tabs>
        <w:ind w:left="840" w:right="20" w:hanging="368"/>
        <w:rPr>
          <w:rFonts w:eastAsia="Times New Roman"/>
          <w:szCs w:val="24"/>
        </w:rPr>
      </w:pPr>
      <w:r w:rsidRPr="00FC3B7C">
        <w:rPr>
          <w:rFonts w:eastAsia="Times New Roman"/>
          <w:szCs w:val="24"/>
        </w:rPr>
        <w:t>V plovoucím kurzu platební bilanci vyrovnává samotný nominální kurz tím, že se pohybuje nahoru nebo dolů podle toho, jestli je platební bilance právě v deficitu nebo přebytku.</w:t>
      </w:r>
    </w:p>
    <w:p w14:paraId="7C7270D9" w14:textId="77777777" w:rsidR="00A15E2D" w:rsidRPr="000D0FAD" w:rsidRDefault="00A15E2D" w:rsidP="00D46B53">
      <w:pPr>
        <w:numPr>
          <w:ilvl w:val="0"/>
          <w:numId w:val="184"/>
        </w:numPr>
        <w:tabs>
          <w:tab w:val="left" w:pos="820"/>
        </w:tabs>
        <w:ind w:left="820" w:hanging="348"/>
        <w:rPr>
          <w:rFonts w:eastAsia="Times New Roman"/>
          <w:szCs w:val="24"/>
        </w:rPr>
      </w:pPr>
      <w:r w:rsidRPr="00FC3B7C">
        <w:rPr>
          <w:rFonts w:eastAsia="Times New Roman"/>
          <w:szCs w:val="24"/>
        </w:rPr>
        <w:t>Deficit platební bilance=IMPORT&gt; EXPORT Er=</w:t>
      </w:r>
      <w:r w:rsidRPr="00FC3B7C">
        <w:rPr>
          <w:rFonts w:eastAsia="MS Mincho"/>
          <w:szCs w:val="24"/>
        </w:rPr>
        <w:t>↑</w:t>
      </w:r>
      <w:r w:rsidRPr="00FC3B7C">
        <w:rPr>
          <w:rFonts w:eastAsia="Times New Roman"/>
          <w:szCs w:val="24"/>
        </w:rPr>
        <w:t xml:space="preserve"> En.</w:t>
      </w:r>
    </w:p>
    <w:p w14:paraId="4D602C0B" w14:textId="77777777" w:rsidR="00A15E2D" w:rsidRPr="00DE129C" w:rsidRDefault="00A15E2D" w:rsidP="00D46B53">
      <w:pPr>
        <w:numPr>
          <w:ilvl w:val="0"/>
          <w:numId w:val="184"/>
        </w:numPr>
        <w:tabs>
          <w:tab w:val="left" w:pos="824"/>
        </w:tabs>
        <w:ind w:left="840" w:right="480" w:hanging="368"/>
        <w:rPr>
          <w:rFonts w:eastAsia="Times New Roman"/>
          <w:szCs w:val="24"/>
        </w:rPr>
      </w:pPr>
      <w:r w:rsidRPr="00FC3B7C">
        <w:rPr>
          <w:rFonts w:eastAsia="Times New Roman"/>
          <w:szCs w:val="24"/>
        </w:rPr>
        <w:t>Ve zmíněném vzorci se zvýší nominální kurz a to způsobí, že se platební bilance Dostane zpět do rovnováhy.</w:t>
      </w:r>
    </w:p>
    <w:p w14:paraId="7D867B88" w14:textId="77777777" w:rsidR="00A15E2D" w:rsidRPr="000D0FAD" w:rsidRDefault="00A15E2D" w:rsidP="00D46B53">
      <w:pPr>
        <w:numPr>
          <w:ilvl w:val="0"/>
          <w:numId w:val="184"/>
        </w:numPr>
        <w:tabs>
          <w:tab w:val="left" w:pos="820"/>
        </w:tabs>
        <w:ind w:left="820" w:hanging="348"/>
        <w:rPr>
          <w:rFonts w:eastAsia="Times New Roman"/>
          <w:szCs w:val="24"/>
        </w:rPr>
      </w:pPr>
      <w:r w:rsidRPr="00FC3B7C">
        <w:rPr>
          <w:rFonts w:eastAsia="Times New Roman"/>
          <w:szCs w:val="24"/>
        </w:rPr>
        <w:t>Ve fixním kurzu se vyrovnávání děje prostřednictvím domácí cenové hladiny.</w:t>
      </w:r>
    </w:p>
    <w:p w14:paraId="2B3E12EF" w14:textId="77777777" w:rsidR="00A15E2D" w:rsidRPr="00DE129C" w:rsidRDefault="00A15E2D" w:rsidP="00D46B53">
      <w:pPr>
        <w:numPr>
          <w:ilvl w:val="0"/>
          <w:numId w:val="184"/>
        </w:numPr>
        <w:tabs>
          <w:tab w:val="left" w:pos="820"/>
        </w:tabs>
        <w:ind w:left="820" w:hanging="348"/>
        <w:rPr>
          <w:rFonts w:eastAsia="Times New Roman"/>
          <w:szCs w:val="24"/>
        </w:rPr>
      </w:pPr>
      <w:r w:rsidRPr="00FC3B7C">
        <w:rPr>
          <w:rFonts w:eastAsia="Times New Roman"/>
          <w:szCs w:val="24"/>
        </w:rPr>
        <w:t xml:space="preserve">Deficit platební bilance=IMPORT&gt; EXPORT Er=En. </w:t>
      </w:r>
      <w:r w:rsidRPr="00FC3B7C">
        <w:rPr>
          <w:rFonts w:eastAsia="MS Mincho"/>
          <w:szCs w:val="24"/>
        </w:rPr>
        <w:t>↑</w:t>
      </w:r>
    </w:p>
    <w:p w14:paraId="07691E7D" w14:textId="67F0E972" w:rsidR="00A15E2D" w:rsidRDefault="003376E1" w:rsidP="00A15E2D">
      <w:pPr>
        <w:tabs>
          <w:tab w:val="left" w:pos="824"/>
        </w:tabs>
        <w:ind w:right="60"/>
        <w:rPr>
          <w:rFonts w:eastAsia="Times New Roman"/>
          <w:szCs w:val="24"/>
        </w:rPr>
      </w:pPr>
      <w:r>
        <w:rPr>
          <w:rFonts w:eastAsia="Times New Roman"/>
          <w:szCs w:val="24"/>
        </w:rPr>
        <w:t xml:space="preserve">    </w:t>
      </w:r>
      <w:r w:rsidR="00A15E2D">
        <w:rPr>
          <w:rFonts w:eastAsia="Times New Roman"/>
          <w:szCs w:val="24"/>
        </w:rPr>
        <w:t>-</w:t>
      </w:r>
      <w:r>
        <w:rPr>
          <w:rFonts w:eastAsia="Times New Roman"/>
          <w:szCs w:val="24"/>
        </w:rPr>
        <w:t xml:space="preserve"> </w:t>
      </w:r>
      <w:r w:rsidR="00A15E2D">
        <w:rPr>
          <w:rFonts w:eastAsia="Times New Roman"/>
          <w:szCs w:val="24"/>
        </w:rPr>
        <w:t xml:space="preserve"> </w:t>
      </w:r>
      <w:r w:rsidR="00A15E2D" w:rsidRPr="00FC3B7C">
        <w:rPr>
          <w:rFonts w:eastAsia="Times New Roman"/>
          <w:szCs w:val="24"/>
        </w:rPr>
        <w:t>Pokud je deficit platební bilance, domácí cenová hladina ve vzorci poklesne (CB bude nakupovat domácí měnu), což zvýší celý poměr cenových hladin =&gt; stejný efekt, jako u plovoucího kurzu.</w:t>
      </w:r>
    </w:p>
    <w:p w14:paraId="66C355B5" w14:textId="77777777" w:rsidR="00A15E2D" w:rsidRPr="00FC3B7C" w:rsidRDefault="00A15E2D" w:rsidP="00A15E2D">
      <w:pPr>
        <w:tabs>
          <w:tab w:val="left" w:pos="824"/>
        </w:tabs>
        <w:spacing w:line="255" w:lineRule="auto"/>
        <w:ind w:right="60"/>
        <w:rPr>
          <w:rFonts w:eastAsia="Times New Roman"/>
          <w:szCs w:val="24"/>
        </w:rPr>
      </w:pPr>
    </w:p>
    <w:p w14:paraId="6EBBF8B6" w14:textId="77777777" w:rsidR="00A15E2D" w:rsidRPr="00DE129C" w:rsidRDefault="00A15E2D" w:rsidP="00A15E2D">
      <w:pPr>
        <w:pStyle w:val="Nadpis4"/>
        <w:rPr>
          <w:color w:val="1F3864" w:themeColor="accent1" w:themeShade="80"/>
          <w:sz w:val="20"/>
          <w:szCs w:val="20"/>
        </w:rPr>
      </w:pPr>
      <w:r w:rsidRPr="00DE129C">
        <w:rPr>
          <w:rFonts w:eastAsia="Times New Roman"/>
          <w:color w:val="1F3864" w:themeColor="accent1" w:themeShade="80"/>
        </w:rPr>
        <w:t xml:space="preserve">Kurzové režimy v </w:t>
      </w:r>
      <w:r w:rsidRPr="00DE129C">
        <w:rPr>
          <w:rFonts w:eastAsia="Arial"/>
          <w:color w:val="1F3864" w:themeColor="accent1" w:themeShade="80"/>
        </w:rPr>
        <w:t>Č</w:t>
      </w:r>
      <w:r w:rsidRPr="00DE129C">
        <w:rPr>
          <w:rFonts w:eastAsia="Times New Roman"/>
          <w:color w:val="1F3864" w:themeColor="accent1" w:themeShade="80"/>
        </w:rPr>
        <w:t>eské Republice</w:t>
      </w:r>
    </w:p>
    <w:p w14:paraId="3C4156E7" w14:textId="77777777" w:rsidR="00A15E2D" w:rsidRPr="00FC3B7C" w:rsidRDefault="00A15E2D" w:rsidP="00A15E2D">
      <w:pPr>
        <w:ind w:left="120"/>
        <w:rPr>
          <w:sz w:val="20"/>
          <w:szCs w:val="20"/>
        </w:rPr>
      </w:pPr>
      <w:r w:rsidRPr="00FC3B7C">
        <w:rPr>
          <w:rFonts w:eastAsia="Times New Roman"/>
          <w:szCs w:val="24"/>
        </w:rPr>
        <w:t>1991–1992 režim fixních kurzů</w:t>
      </w:r>
    </w:p>
    <w:p w14:paraId="31AFAE44" w14:textId="77777777" w:rsidR="00A15E2D" w:rsidRPr="00FC3B7C" w:rsidRDefault="00A15E2D" w:rsidP="00A15E2D">
      <w:pPr>
        <w:ind w:left="120"/>
        <w:rPr>
          <w:sz w:val="20"/>
          <w:szCs w:val="20"/>
        </w:rPr>
      </w:pPr>
      <w:r w:rsidRPr="00FC3B7C">
        <w:rPr>
          <w:rFonts w:eastAsia="Times New Roman"/>
          <w:szCs w:val="24"/>
        </w:rPr>
        <w:t>1992–1996 režim fixních kurzů s úzkým fluktuačním pásmem</w:t>
      </w:r>
    </w:p>
    <w:p w14:paraId="3BBD3215" w14:textId="77777777" w:rsidR="00A15E2D" w:rsidRPr="00FC3B7C" w:rsidRDefault="00A15E2D" w:rsidP="00A15E2D">
      <w:pPr>
        <w:ind w:left="120" w:right="2900"/>
        <w:rPr>
          <w:sz w:val="20"/>
          <w:szCs w:val="20"/>
        </w:rPr>
      </w:pPr>
      <w:r w:rsidRPr="00FC3B7C">
        <w:rPr>
          <w:rFonts w:eastAsia="Times New Roman"/>
          <w:szCs w:val="24"/>
        </w:rPr>
        <w:t>1996–1997 režim fixních kurzů se širším fluktuačním pásmem 1997 – dosud špinavý floating</w:t>
      </w:r>
    </w:p>
    <w:p w14:paraId="64371F20" w14:textId="77777777" w:rsidR="00A15E2D" w:rsidRPr="00FC3B7C" w:rsidRDefault="00A15E2D" w:rsidP="00A15E2D">
      <w:pPr>
        <w:sectPr w:rsidR="00A15E2D" w:rsidRPr="00FC3B7C">
          <w:pgSz w:w="11900" w:h="16840"/>
          <w:pgMar w:top="1440" w:right="1440" w:bottom="1440" w:left="1420" w:header="0" w:footer="0" w:gutter="0"/>
          <w:cols w:space="708" w:equalWidth="0">
            <w:col w:w="9040"/>
          </w:cols>
        </w:sectPr>
      </w:pPr>
    </w:p>
    <w:p w14:paraId="31B2041D" w14:textId="77777777" w:rsidR="00A15E2D" w:rsidRPr="00DE129C" w:rsidRDefault="00A15E2D" w:rsidP="00A15E2D">
      <w:pPr>
        <w:pStyle w:val="Nadpis2"/>
        <w:rPr>
          <w:color w:val="1F3864" w:themeColor="accent1" w:themeShade="80"/>
          <w:sz w:val="20"/>
          <w:szCs w:val="20"/>
        </w:rPr>
      </w:pPr>
      <w:bookmarkStart w:id="187" w:name="page189"/>
      <w:bookmarkEnd w:id="187"/>
      <w:r w:rsidRPr="00DE129C">
        <w:rPr>
          <w:rFonts w:eastAsia="Times New Roman"/>
          <w:color w:val="1F3864" w:themeColor="accent1" w:themeShade="80"/>
          <w:sz w:val="36"/>
          <w:szCs w:val="36"/>
        </w:rPr>
        <w:lastRenderedPageBreak/>
        <w:t>F</w:t>
      </w:r>
      <w:r w:rsidRPr="00DE129C">
        <w:rPr>
          <w:rFonts w:eastAsia="Times New Roman"/>
          <w:color w:val="1F3864" w:themeColor="accent1" w:themeShade="80"/>
        </w:rPr>
        <w:t>ISKÁLNÍ A MONETÁRNÍ POLITIKA V ALTERNATIVNÍCH</w:t>
      </w:r>
      <w:r w:rsidRPr="00DE129C">
        <w:rPr>
          <w:rFonts w:eastAsia="Times New Roman"/>
          <w:color w:val="1F3864" w:themeColor="accent1" w:themeShade="80"/>
          <w:sz w:val="36"/>
          <w:szCs w:val="36"/>
        </w:rPr>
        <w:t xml:space="preserve"> </w:t>
      </w:r>
      <w:r w:rsidRPr="00DE129C">
        <w:rPr>
          <w:rFonts w:eastAsia="Times New Roman"/>
          <w:color w:val="1F3864" w:themeColor="accent1" w:themeShade="80"/>
        </w:rPr>
        <w:t>REŽIMECH SMĚNNÝCH KURZŮ</w:t>
      </w:r>
    </w:p>
    <w:p w14:paraId="15549F2F" w14:textId="77777777" w:rsidR="00A15E2D" w:rsidRPr="00FC3B7C" w:rsidRDefault="00A15E2D" w:rsidP="00A15E2D">
      <w:pPr>
        <w:spacing w:line="231" w:lineRule="exact"/>
        <w:rPr>
          <w:sz w:val="20"/>
          <w:szCs w:val="20"/>
        </w:rPr>
      </w:pPr>
    </w:p>
    <w:p w14:paraId="6A6B8EF6" w14:textId="77777777" w:rsidR="00A15E2D" w:rsidRPr="00DE129C" w:rsidRDefault="00A15E2D" w:rsidP="00A15E2D">
      <w:pPr>
        <w:pStyle w:val="Nadpis3"/>
        <w:rPr>
          <w:color w:val="1F3864" w:themeColor="accent1" w:themeShade="80"/>
          <w:sz w:val="20"/>
          <w:szCs w:val="20"/>
        </w:rPr>
      </w:pPr>
      <w:r w:rsidRPr="00DE129C">
        <w:rPr>
          <w:rFonts w:eastAsia="Times New Roman"/>
          <w:color w:val="1F3864" w:themeColor="accent1" w:themeShade="80"/>
        </w:rPr>
        <w:t>Monetární politika při fixních kurzech:</w:t>
      </w:r>
    </w:p>
    <w:p w14:paraId="3B5858BF" w14:textId="77777777" w:rsidR="00A15E2D" w:rsidRPr="00FC3B7C" w:rsidRDefault="00A15E2D" w:rsidP="00A15E2D">
      <w:pPr>
        <w:spacing w:line="212" w:lineRule="exact"/>
        <w:rPr>
          <w:sz w:val="20"/>
          <w:szCs w:val="20"/>
        </w:rPr>
      </w:pPr>
    </w:p>
    <w:p w14:paraId="47516802" w14:textId="77777777" w:rsidR="00A15E2D" w:rsidRPr="00FC3B7C" w:rsidRDefault="00A15E2D" w:rsidP="00A15E2D">
      <w:pPr>
        <w:rPr>
          <w:sz w:val="20"/>
          <w:szCs w:val="20"/>
        </w:rPr>
      </w:pPr>
      <w:r w:rsidRPr="00FC3B7C">
        <w:rPr>
          <w:rFonts w:eastAsia="Times New Roman"/>
        </w:rPr>
        <w:t xml:space="preserve">Centrální banka pomocí zvyšování zásoby peněz v oběhu stimuluje AD </w:t>
      </w:r>
      <w:r w:rsidRPr="00FC3B7C">
        <w:rPr>
          <w:rFonts w:eastAsia="MS Mincho"/>
        </w:rPr>
        <w:t>→</w:t>
      </w:r>
      <w:r w:rsidRPr="00FC3B7C">
        <w:rPr>
          <w:rFonts w:eastAsia="Times New Roman"/>
        </w:rPr>
        <w:t xml:space="preserve"> pokles úrokové míry</w:t>
      </w:r>
      <w:r w:rsidRPr="00FC3B7C">
        <w:rPr>
          <w:rFonts w:eastAsia="MS Mincho"/>
        </w:rPr>
        <w:t>→</w:t>
      </w:r>
      <w:r w:rsidRPr="00FC3B7C">
        <w:rPr>
          <w:rFonts w:eastAsia="Times New Roman"/>
        </w:rPr>
        <w:t xml:space="preserve"> tlak na odliv kapitálu ze země, což ale CB nemůže dopustit (právě kvůli fixnímu kurzu), musí znovu intervenovat. Politika je zcela </w:t>
      </w:r>
      <w:r w:rsidRPr="00DE129C">
        <w:rPr>
          <w:rFonts w:eastAsia="Times New Roman"/>
          <w:u w:val="single"/>
        </w:rPr>
        <w:t>neúčinná.</w:t>
      </w:r>
    </w:p>
    <w:p w14:paraId="190FFFA7" w14:textId="77777777" w:rsidR="00A15E2D" w:rsidRPr="00FC3B7C" w:rsidRDefault="00A15E2D" w:rsidP="00A15E2D">
      <w:pPr>
        <w:spacing w:line="20" w:lineRule="exact"/>
        <w:rPr>
          <w:sz w:val="20"/>
          <w:szCs w:val="20"/>
        </w:rPr>
      </w:pPr>
    </w:p>
    <w:p w14:paraId="15CF64DD" w14:textId="77777777" w:rsidR="00A15E2D" w:rsidRPr="00FC3B7C" w:rsidRDefault="00A15E2D" w:rsidP="00A15E2D">
      <w:pPr>
        <w:spacing w:line="200" w:lineRule="exact"/>
        <w:rPr>
          <w:sz w:val="20"/>
          <w:szCs w:val="20"/>
        </w:rPr>
      </w:pPr>
      <w:r w:rsidRPr="00FC3B7C">
        <w:rPr>
          <w:noProof/>
          <w:sz w:val="20"/>
          <w:szCs w:val="20"/>
        </w:rPr>
        <w:drawing>
          <wp:anchor distT="0" distB="0" distL="114300" distR="114300" simplePos="0" relativeHeight="251796992" behindDoc="1" locked="0" layoutInCell="0" allowOverlap="1" wp14:anchorId="39841DAD" wp14:editId="38FC1B15">
            <wp:simplePos x="0" y="0"/>
            <wp:positionH relativeFrom="margin">
              <wp:posOffset>0</wp:posOffset>
            </wp:positionH>
            <wp:positionV relativeFrom="paragraph">
              <wp:posOffset>2540</wp:posOffset>
            </wp:positionV>
            <wp:extent cx="4337050" cy="2929255"/>
            <wp:effectExtent l="0" t="0" r="6350" b="4445"/>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3"/>
                    <a:srcRect/>
                    <a:stretch>
                      <a:fillRect/>
                    </a:stretch>
                  </pic:blipFill>
                  <pic:spPr bwMode="auto">
                    <a:xfrm>
                      <a:off x="0" y="0"/>
                      <a:ext cx="4337050" cy="2929255"/>
                    </a:xfrm>
                    <a:prstGeom prst="rect">
                      <a:avLst/>
                    </a:prstGeom>
                    <a:noFill/>
                  </pic:spPr>
                </pic:pic>
              </a:graphicData>
            </a:graphic>
          </wp:anchor>
        </w:drawing>
      </w:r>
    </w:p>
    <w:p w14:paraId="505D38CB" w14:textId="77777777" w:rsidR="00A15E2D" w:rsidRPr="00FC3B7C" w:rsidRDefault="00A15E2D" w:rsidP="00A15E2D">
      <w:pPr>
        <w:spacing w:line="200" w:lineRule="exact"/>
        <w:rPr>
          <w:sz w:val="20"/>
          <w:szCs w:val="20"/>
        </w:rPr>
      </w:pPr>
    </w:p>
    <w:p w14:paraId="23589AAA" w14:textId="77777777" w:rsidR="00A15E2D" w:rsidRPr="00FC3B7C" w:rsidRDefault="00A15E2D" w:rsidP="00A15E2D">
      <w:pPr>
        <w:spacing w:line="200" w:lineRule="exact"/>
        <w:rPr>
          <w:sz w:val="20"/>
          <w:szCs w:val="20"/>
        </w:rPr>
      </w:pPr>
    </w:p>
    <w:p w14:paraId="19323A36" w14:textId="77777777" w:rsidR="00A15E2D" w:rsidRPr="00FC3B7C" w:rsidRDefault="00A15E2D" w:rsidP="00A15E2D">
      <w:pPr>
        <w:spacing w:line="200" w:lineRule="exact"/>
        <w:rPr>
          <w:sz w:val="20"/>
          <w:szCs w:val="20"/>
        </w:rPr>
      </w:pPr>
    </w:p>
    <w:p w14:paraId="36EFE3EA" w14:textId="77777777" w:rsidR="00A15E2D" w:rsidRPr="00FC3B7C" w:rsidRDefault="00A15E2D" w:rsidP="00A15E2D">
      <w:pPr>
        <w:spacing w:line="200" w:lineRule="exact"/>
        <w:rPr>
          <w:sz w:val="20"/>
          <w:szCs w:val="20"/>
        </w:rPr>
      </w:pPr>
    </w:p>
    <w:p w14:paraId="2C0747A0" w14:textId="77777777" w:rsidR="00A15E2D" w:rsidRPr="00FC3B7C" w:rsidRDefault="00A15E2D" w:rsidP="00A15E2D">
      <w:pPr>
        <w:spacing w:line="200" w:lineRule="exact"/>
        <w:rPr>
          <w:sz w:val="20"/>
          <w:szCs w:val="20"/>
        </w:rPr>
      </w:pPr>
    </w:p>
    <w:p w14:paraId="2E5380C5" w14:textId="77777777" w:rsidR="00A15E2D" w:rsidRPr="00FC3B7C" w:rsidRDefault="00A15E2D" w:rsidP="00A15E2D">
      <w:pPr>
        <w:spacing w:line="200" w:lineRule="exact"/>
        <w:rPr>
          <w:sz w:val="20"/>
          <w:szCs w:val="20"/>
        </w:rPr>
      </w:pPr>
    </w:p>
    <w:p w14:paraId="547FCF85" w14:textId="77777777" w:rsidR="00A15E2D" w:rsidRPr="00FC3B7C" w:rsidRDefault="00A15E2D" w:rsidP="00A15E2D">
      <w:pPr>
        <w:spacing w:line="200" w:lineRule="exact"/>
        <w:rPr>
          <w:sz w:val="20"/>
          <w:szCs w:val="20"/>
        </w:rPr>
      </w:pPr>
    </w:p>
    <w:p w14:paraId="464905DF" w14:textId="77777777" w:rsidR="00A15E2D" w:rsidRPr="00FC3B7C" w:rsidRDefault="00A15E2D" w:rsidP="00A15E2D">
      <w:pPr>
        <w:spacing w:line="200" w:lineRule="exact"/>
        <w:rPr>
          <w:sz w:val="20"/>
          <w:szCs w:val="20"/>
        </w:rPr>
      </w:pPr>
    </w:p>
    <w:p w14:paraId="7A730CB5" w14:textId="77777777" w:rsidR="00A15E2D" w:rsidRPr="00FC3B7C" w:rsidRDefault="00A15E2D" w:rsidP="00A15E2D">
      <w:pPr>
        <w:spacing w:line="200" w:lineRule="exact"/>
        <w:rPr>
          <w:sz w:val="20"/>
          <w:szCs w:val="20"/>
        </w:rPr>
      </w:pPr>
    </w:p>
    <w:p w14:paraId="2ABB6DA6" w14:textId="77777777" w:rsidR="00A15E2D" w:rsidRPr="00FC3B7C" w:rsidRDefault="00A15E2D" w:rsidP="00A15E2D">
      <w:pPr>
        <w:spacing w:line="200" w:lineRule="exact"/>
        <w:rPr>
          <w:sz w:val="20"/>
          <w:szCs w:val="20"/>
        </w:rPr>
      </w:pPr>
    </w:p>
    <w:p w14:paraId="736A3060" w14:textId="77777777" w:rsidR="00A15E2D" w:rsidRPr="00FC3B7C" w:rsidRDefault="00A15E2D" w:rsidP="00A15E2D">
      <w:pPr>
        <w:spacing w:line="200" w:lineRule="exact"/>
        <w:rPr>
          <w:sz w:val="20"/>
          <w:szCs w:val="20"/>
        </w:rPr>
      </w:pPr>
    </w:p>
    <w:p w14:paraId="4BCEC01F" w14:textId="77777777" w:rsidR="00A15E2D" w:rsidRPr="00FC3B7C" w:rsidRDefault="00A15E2D" w:rsidP="00A15E2D">
      <w:pPr>
        <w:spacing w:line="200" w:lineRule="exact"/>
        <w:rPr>
          <w:sz w:val="20"/>
          <w:szCs w:val="20"/>
        </w:rPr>
      </w:pPr>
    </w:p>
    <w:p w14:paraId="55AD38CE" w14:textId="77777777" w:rsidR="00A15E2D" w:rsidRPr="00FC3B7C" w:rsidRDefault="00A15E2D" w:rsidP="00A15E2D">
      <w:pPr>
        <w:spacing w:line="200" w:lineRule="exact"/>
        <w:rPr>
          <w:sz w:val="20"/>
          <w:szCs w:val="20"/>
        </w:rPr>
      </w:pPr>
    </w:p>
    <w:p w14:paraId="716924FA" w14:textId="77777777" w:rsidR="00A15E2D" w:rsidRPr="00FC3B7C" w:rsidRDefault="00A15E2D" w:rsidP="00A15E2D">
      <w:pPr>
        <w:spacing w:line="200" w:lineRule="exact"/>
        <w:rPr>
          <w:sz w:val="20"/>
          <w:szCs w:val="20"/>
        </w:rPr>
      </w:pPr>
    </w:p>
    <w:p w14:paraId="69BC8B78" w14:textId="77777777" w:rsidR="00A15E2D" w:rsidRPr="00FC3B7C" w:rsidRDefault="00A15E2D" w:rsidP="00A15E2D">
      <w:pPr>
        <w:spacing w:line="200" w:lineRule="exact"/>
        <w:rPr>
          <w:sz w:val="20"/>
          <w:szCs w:val="20"/>
        </w:rPr>
      </w:pPr>
    </w:p>
    <w:p w14:paraId="013F7628" w14:textId="77777777" w:rsidR="00A15E2D" w:rsidRPr="00FC3B7C" w:rsidRDefault="00A15E2D" w:rsidP="00A15E2D">
      <w:pPr>
        <w:spacing w:line="200" w:lineRule="exact"/>
        <w:rPr>
          <w:sz w:val="20"/>
          <w:szCs w:val="20"/>
        </w:rPr>
      </w:pPr>
    </w:p>
    <w:p w14:paraId="7AA47DCC" w14:textId="77777777" w:rsidR="00A15E2D" w:rsidRPr="00FC3B7C" w:rsidRDefault="00A15E2D" w:rsidP="00A15E2D">
      <w:pPr>
        <w:spacing w:line="200" w:lineRule="exact"/>
        <w:rPr>
          <w:sz w:val="20"/>
          <w:szCs w:val="20"/>
        </w:rPr>
      </w:pPr>
    </w:p>
    <w:p w14:paraId="137AEDD4" w14:textId="77777777" w:rsidR="00A15E2D" w:rsidRPr="00FC3B7C" w:rsidRDefault="00A15E2D" w:rsidP="00A15E2D">
      <w:pPr>
        <w:spacing w:line="200" w:lineRule="exact"/>
        <w:rPr>
          <w:sz w:val="20"/>
          <w:szCs w:val="20"/>
        </w:rPr>
      </w:pPr>
    </w:p>
    <w:p w14:paraId="6E02A0A0" w14:textId="77777777" w:rsidR="00A15E2D" w:rsidRPr="00FC3B7C" w:rsidRDefault="00A15E2D" w:rsidP="00A15E2D">
      <w:pPr>
        <w:spacing w:line="200" w:lineRule="exact"/>
        <w:rPr>
          <w:sz w:val="20"/>
          <w:szCs w:val="20"/>
        </w:rPr>
      </w:pPr>
    </w:p>
    <w:p w14:paraId="75D90652" w14:textId="77777777" w:rsidR="00A15E2D" w:rsidRPr="00FC3B7C" w:rsidRDefault="00A15E2D" w:rsidP="00A15E2D">
      <w:pPr>
        <w:spacing w:line="200" w:lineRule="exact"/>
        <w:rPr>
          <w:sz w:val="20"/>
          <w:szCs w:val="20"/>
        </w:rPr>
      </w:pPr>
    </w:p>
    <w:p w14:paraId="21D45CB8" w14:textId="77777777" w:rsidR="00A15E2D" w:rsidRPr="00FC3B7C" w:rsidRDefault="00A15E2D" w:rsidP="00A15E2D">
      <w:pPr>
        <w:spacing w:line="200" w:lineRule="exact"/>
        <w:rPr>
          <w:sz w:val="20"/>
          <w:szCs w:val="20"/>
        </w:rPr>
      </w:pPr>
    </w:p>
    <w:p w14:paraId="6AF5CC18" w14:textId="77777777" w:rsidR="00A15E2D" w:rsidRPr="00FC3B7C" w:rsidRDefault="00A15E2D" w:rsidP="00A15E2D">
      <w:pPr>
        <w:spacing w:line="200" w:lineRule="exact"/>
        <w:rPr>
          <w:sz w:val="20"/>
          <w:szCs w:val="20"/>
        </w:rPr>
      </w:pPr>
    </w:p>
    <w:p w14:paraId="72A398F8" w14:textId="77777777" w:rsidR="00A15E2D" w:rsidRPr="00FC3B7C" w:rsidRDefault="00A15E2D" w:rsidP="00A15E2D">
      <w:pPr>
        <w:spacing w:line="353" w:lineRule="exact"/>
        <w:rPr>
          <w:sz w:val="20"/>
          <w:szCs w:val="20"/>
        </w:rPr>
      </w:pPr>
    </w:p>
    <w:p w14:paraId="093063CC" w14:textId="77777777" w:rsidR="00A15E2D" w:rsidRPr="00DE129C" w:rsidRDefault="00A15E2D" w:rsidP="00A15E2D">
      <w:pPr>
        <w:pStyle w:val="Nadpis3"/>
        <w:rPr>
          <w:color w:val="1F3864" w:themeColor="accent1" w:themeShade="80"/>
          <w:sz w:val="20"/>
          <w:szCs w:val="20"/>
        </w:rPr>
      </w:pPr>
      <w:r w:rsidRPr="00DE129C">
        <w:rPr>
          <w:rFonts w:eastAsia="Times New Roman"/>
          <w:color w:val="1F3864" w:themeColor="accent1" w:themeShade="80"/>
        </w:rPr>
        <w:t>Monetární politika při pohyblivých kurzech:</w:t>
      </w:r>
    </w:p>
    <w:p w14:paraId="20714CC6" w14:textId="77777777" w:rsidR="00A15E2D" w:rsidRPr="00FC3B7C" w:rsidRDefault="00A15E2D" w:rsidP="00A15E2D">
      <w:pPr>
        <w:rPr>
          <w:sz w:val="20"/>
          <w:szCs w:val="20"/>
        </w:rPr>
      </w:pPr>
      <w:bookmarkStart w:id="188" w:name="page190"/>
      <w:bookmarkEnd w:id="188"/>
      <w:r w:rsidRPr="00FC3B7C">
        <w:rPr>
          <w:rFonts w:eastAsia="Times New Roman"/>
        </w:rPr>
        <w:t xml:space="preserve">Centrální banka stimuluje AD expanzivní měnovou politikou, což má za následek pokles úrokové míry. To vyvolá odliv kapitálu, měna depreciuje a roste export =růst HDP. Politika je zcela </w:t>
      </w:r>
      <w:r w:rsidRPr="00DE129C">
        <w:rPr>
          <w:rFonts w:eastAsia="Times New Roman"/>
          <w:u w:val="single"/>
        </w:rPr>
        <w:t>účinná</w:t>
      </w:r>
      <w:r w:rsidRPr="00FC3B7C">
        <w:rPr>
          <w:rFonts w:eastAsia="Times New Roman"/>
        </w:rPr>
        <w:t>.</w:t>
      </w:r>
    </w:p>
    <w:p w14:paraId="359AFC3B" w14:textId="77777777" w:rsidR="00A15E2D" w:rsidRPr="00FC3B7C" w:rsidRDefault="00A15E2D" w:rsidP="00A15E2D">
      <w:pPr>
        <w:spacing w:line="20" w:lineRule="exact"/>
        <w:rPr>
          <w:sz w:val="20"/>
          <w:szCs w:val="20"/>
        </w:rPr>
      </w:pPr>
      <w:r w:rsidRPr="00FC3B7C">
        <w:rPr>
          <w:noProof/>
          <w:sz w:val="20"/>
          <w:szCs w:val="20"/>
        </w:rPr>
        <w:drawing>
          <wp:anchor distT="0" distB="0" distL="114300" distR="114300" simplePos="0" relativeHeight="251801088" behindDoc="1" locked="0" layoutInCell="0" allowOverlap="1" wp14:anchorId="0E0CECE4" wp14:editId="3AA7D596">
            <wp:simplePos x="0" y="0"/>
            <wp:positionH relativeFrom="column">
              <wp:posOffset>1905</wp:posOffset>
            </wp:positionH>
            <wp:positionV relativeFrom="paragraph">
              <wp:posOffset>8255</wp:posOffset>
            </wp:positionV>
            <wp:extent cx="4130040" cy="2813050"/>
            <wp:effectExtent l="0" t="0" r="3810" b="6350"/>
            <wp:wrapTight wrapText="bothSides">
              <wp:wrapPolygon edited="0">
                <wp:start x="0" y="0"/>
                <wp:lineTo x="0" y="21502"/>
                <wp:lineTo x="21520" y="21502"/>
                <wp:lineTo x="21520"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4"/>
                    <a:srcRect/>
                    <a:stretch>
                      <a:fillRect/>
                    </a:stretch>
                  </pic:blipFill>
                  <pic:spPr bwMode="auto">
                    <a:xfrm>
                      <a:off x="0" y="0"/>
                      <a:ext cx="4130040" cy="2813050"/>
                    </a:xfrm>
                    <a:prstGeom prst="rect">
                      <a:avLst/>
                    </a:prstGeom>
                    <a:noFill/>
                  </pic:spPr>
                </pic:pic>
              </a:graphicData>
            </a:graphic>
          </wp:anchor>
        </w:drawing>
      </w:r>
    </w:p>
    <w:p w14:paraId="15CB3509" w14:textId="77777777" w:rsidR="00A15E2D" w:rsidRPr="00FC3B7C" w:rsidRDefault="00A15E2D" w:rsidP="00A15E2D">
      <w:pPr>
        <w:spacing w:line="200" w:lineRule="exact"/>
        <w:rPr>
          <w:sz w:val="20"/>
          <w:szCs w:val="20"/>
        </w:rPr>
      </w:pPr>
    </w:p>
    <w:p w14:paraId="2FBE4654" w14:textId="77777777" w:rsidR="00A15E2D" w:rsidRPr="00FC3B7C" w:rsidRDefault="00A15E2D" w:rsidP="00A15E2D">
      <w:pPr>
        <w:spacing w:line="200" w:lineRule="exact"/>
        <w:rPr>
          <w:sz w:val="20"/>
          <w:szCs w:val="20"/>
        </w:rPr>
      </w:pPr>
    </w:p>
    <w:p w14:paraId="319CD6DD" w14:textId="77777777" w:rsidR="00A15E2D" w:rsidRPr="00FC3B7C" w:rsidRDefault="00A15E2D" w:rsidP="00A15E2D">
      <w:pPr>
        <w:spacing w:line="200" w:lineRule="exact"/>
        <w:rPr>
          <w:sz w:val="20"/>
          <w:szCs w:val="20"/>
        </w:rPr>
      </w:pPr>
    </w:p>
    <w:p w14:paraId="68EBA7A9" w14:textId="77777777" w:rsidR="00A15E2D" w:rsidRPr="00FC3B7C" w:rsidRDefault="00A15E2D" w:rsidP="00A15E2D">
      <w:pPr>
        <w:spacing w:line="200" w:lineRule="exact"/>
        <w:rPr>
          <w:sz w:val="20"/>
          <w:szCs w:val="20"/>
        </w:rPr>
      </w:pPr>
    </w:p>
    <w:p w14:paraId="338BF442" w14:textId="77777777" w:rsidR="00A15E2D" w:rsidRPr="00FC3B7C" w:rsidRDefault="00A15E2D" w:rsidP="00A15E2D">
      <w:pPr>
        <w:spacing w:line="200" w:lineRule="exact"/>
        <w:rPr>
          <w:sz w:val="20"/>
          <w:szCs w:val="20"/>
        </w:rPr>
      </w:pPr>
    </w:p>
    <w:p w14:paraId="1B26571A" w14:textId="77777777" w:rsidR="00A15E2D" w:rsidRPr="00FC3B7C" w:rsidRDefault="00A15E2D" w:rsidP="00A15E2D">
      <w:pPr>
        <w:spacing w:line="200" w:lineRule="exact"/>
        <w:rPr>
          <w:sz w:val="20"/>
          <w:szCs w:val="20"/>
        </w:rPr>
      </w:pPr>
    </w:p>
    <w:p w14:paraId="28E85318" w14:textId="77777777" w:rsidR="00A15E2D" w:rsidRPr="00FC3B7C" w:rsidRDefault="00A15E2D" w:rsidP="00A15E2D">
      <w:pPr>
        <w:spacing w:line="200" w:lineRule="exact"/>
        <w:rPr>
          <w:sz w:val="20"/>
          <w:szCs w:val="20"/>
        </w:rPr>
      </w:pPr>
    </w:p>
    <w:p w14:paraId="73C8809B" w14:textId="77777777" w:rsidR="00A15E2D" w:rsidRPr="00FC3B7C" w:rsidRDefault="00A15E2D" w:rsidP="00A15E2D">
      <w:pPr>
        <w:spacing w:line="200" w:lineRule="exact"/>
        <w:rPr>
          <w:sz w:val="20"/>
          <w:szCs w:val="20"/>
        </w:rPr>
      </w:pPr>
    </w:p>
    <w:p w14:paraId="6DFA9FAF" w14:textId="77777777" w:rsidR="00A15E2D" w:rsidRPr="00FC3B7C" w:rsidRDefault="00A15E2D" w:rsidP="00A15E2D">
      <w:pPr>
        <w:spacing w:line="200" w:lineRule="exact"/>
        <w:rPr>
          <w:sz w:val="20"/>
          <w:szCs w:val="20"/>
        </w:rPr>
      </w:pPr>
    </w:p>
    <w:p w14:paraId="42CCF3A3" w14:textId="77777777" w:rsidR="00A15E2D" w:rsidRPr="00FC3B7C" w:rsidRDefault="00A15E2D" w:rsidP="00A15E2D">
      <w:pPr>
        <w:spacing w:line="200" w:lineRule="exact"/>
        <w:rPr>
          <w:sz w:val="20"/>
          <w:szCs w:val="20"/>
        </w:rPr>
      </w:pPr>
    </w:p>
    <w:p w14:paraId="4BAB7FD1" w14:textId="77777777" w:rsidR="00A15E2D" w:rsidRPr="00FC3B7C" w:rsidRDefault="00A15E2D" w:rsidP="00A15E2D">
      <w:pPr>
        <w:spacing w:line="200" w:lineRule="exact"/>
        <w:rPr>
          <w:sz w:val="20"/>
          <w:szCs w:val="20"/>
        </w:rPr>
      </w:pPr>
    </w:p>
    <w:p w14:paraId="0D535955" w14:textId="77777777" w:rsidR="00A15E2D" w:rsidRPr="00FC3B7C" w:rsidRDefault="00A15E2D" w:rsidP="00A15E2D">
      <w:pPr>
        <w:spacing w:line="200" w:lineRule="exact"/>
        <w:rPr>
          <w:sz w:val="20"/>
          <w:szCs w:val="20"/>
        </w:rPr>
      </w:pPr>
    </w:p>
    <w:p w14:paraId="5196D4A4" w14:textId="77777777" w:rsidR="00A15E2D" w:rsidRPr="00FC3B7C" w:rsidRDefault="00A15E2D" w:rsidP="00A15E2D">
      <w:pPr>
        <w:spacing w:line="200" w:lineRule="exact"/>
        <w:rPr>
          <w:sz w:val="20"/>
          <w:szCs w:val="20"/>
        </w:rPr>
      </w:pPr>
    </w:p>
    <w:p w14:paraId="22686B5A" w14:textId="77777777" w:rsidR="00A15E2D" w:rsidRPr="00FC3B7C" w:rsidRDefault="00A15E2D" w:rsidP="00A15E2D">
      <w:pPr>
        <w:spacing w:line="200" w:lineRule="exact"/>
        <w:rPr>
          <w:sz w:val="20"/>
          <w:szCs w:val="20"/>
        </w:rPr>
      </w:pPr>
    </w:p>
    <w:p w14:paraId="1AEB1205" w14:textId="77777777" w:rsidR="00A15E2D" w:rsidRPr="00FC3B7C" w:rsidRDefault="00A15E2D" w:rsidP="00A15E2D">
      <w:pPr>
        <w:spacing w:line="200" w:lineRule="exact"/>
        <w:rPr>
          <w:sz w:val="20"/>
          <w:szCs w:val="20"/>
        </w:rPr>
      </w:pPr>
    </w:p>
    <w:p w14:paraId="471F17BE" w14:textId="77777777" w:rsidR="00A15E2D" w:rsidRPr="00FC3B7C" w:rsidRDefault="00A15E2D" w:rsidP="00A15E2D">
      <w:pPr>
        <w:spacing w:line="244" w:lineRule="auto"/>
        <w:rPr>
          <w:rFonts w:eastAsia="Times New Roman"/>
          <w:b/>
          <w:bCs/>
          <w:i/>
          <w:iCs/>
          <w:szCs w:val="24"/>
        </w:rPr>
      </w:pPr>
    </w:p>
    <w:p w14:paraId="0EDEAA45" w14:textId="77777777" w:rsidR="00A15E2D" w:rsidRPr="00DE129C" w:rsidRDefault="00A15E2D" w:rsidP="00A15E2D">
      <w:pPr>
        <w:pStyle w:val="Nadpis3"/>
        <w:rPr>
          <w:color w:val="1F3864" w:themeColor="accent1" w:themeShade="80"/>
          <w:sz w:val="20"/>
          <w:szCs w:val="20"/>
        </w:rPr>
      </w:pPr>
      <w:r w:rsidRPr="00DE129C">
        <w:rPr>
          <w:rFonts w:eastAsia="Times New Roman"/>
          <w:color w:val="1F3864" w:themeColor="accent1" w:themeShade="80"/>
        </w:rPr>
        <w:lastRenderedPageBreak/>
        <w:t>Fiskální politika</w:t>
      </w:r>
      <w:r w:rsidRPr="00DE129C">
        <w:rPr>
          <w:rFonts w:eastAsia="Times New Roman"/>
          <w:color w:val="1F3864" w:themeColor="accent1" w:themeShade="80"/>
          <w:sz w:val="32"/>
          <w:szCs w:val="32"/>
        </w:rPr>
        <w:t xml:space="preserve"> </w:t>
      </w:r>
      <w:r w:rsidRPr="00DE129C">
        <w:rPr>
          <w:rFonts w:eastAsia="Times New Roman"/>
          <w:color w:val="1F3864" w:themeColor="accent1" w:themeShade="80"/>
        </w:rPr>
        <w:t>při fixních kurzech:</w:t>
      </w:r>
    </w:p>
    <w:p w14:paraId="0F36CF2B" w14:textId="77777777" w:rsidR="00A15E2D" w:rsidRPr="00FC3B7C" w:rsidRDefault="00A15E2D" w:rsidP="00A15E2D">
      <w:pPr>
        <w:spacing w:line="244" w:lineRule="auto"/>
        <w:ind w:left="6700"/>
        <w:rPr>
          <w:sz w:val="20"/>
          <w:szCs w:val="20"/>
        </w:rPr>
      </w:pPr>
    </w:p>
    <w:p w14:paraId="44B65DA4" w14:textId="6E695989" w:rsidR="00A15E2D" w:rsidRPr="00FC3B7C" w:rsidRDefault="00A15E2D" w:rsidP="00A15E2D">
      <w:pPr>
        <w:rPr>
          <w:sz w:val="20"/>
          <w:szCs w:val="20"/>
        </w:rPr>
      </w:pPr>
      <w:r w:rsidRPr="00FC3B7C">
        <w:rPr>
          <w:rFonts w:eastAsia="Times New Roman"/>
        </w:rPr>
        <w:t>Vláda provádí expanzivní fiskální politiku, která stimuluje AD, zvýší se úroková míra, a to znamená příliv zahraničního kapitálu</w:t>
      </w:r>
      <w:r w:rsidR="007E5E16">
        <w:rPr>
          <w:rFonts w:eastAsia="Times New Roman"/>
        </w:rPr>
        <w:t xml:space="preserve"> </w:t>
      </w:r>
      <w:r w:rsidRPr="00FC3B7C">
        <w:rPr>
          <w:rFonts w:eastAsia="MS Mincho"/>
        </w:rPr>
        <w:t>→</w:t>
      </w:r>
      <w:r w:rsidRPr="00FC3B7C">
        <w:rPr>
          <w:rFonts w:eastAsia="Times New Roman"/>
        </w:rPr>
        <w:t xml:space="preserve"> měna by chtěla apreciovat, ale nemůže kvůli fixnímu režimu</w:t>
      </w:r>
      <w:r w:rsidRPr="00FC3B7C">
        <w:rPr>
          <w:rFonts w:eastAsia="MS Mincho"/>
        </w:rPr>
        <w:t>→</w:t>
      </w:r>
      <w:r w:rsidRPr="00FC3B7C">
        <w:rPr>
          <w:rFonts w:eastAsia="Times New Roman"/>
        </w:rPr>
        <w:t xml:space="preserve"> CB prodává domácí měnu </w:t>
      </w:r>
      <w:r w:rsidRPr="00FC3B7C">
        <w:rPr>
          <w:rFonts w:eastAsia="MS Mincho"/>
        </w:rPr>
        <w:t>→</w:t>
      </w:r>
      <w:r w:rsidR="007E5E16">
        <w:rPr>
          <w:rFonts w:eastAsia="MS Mincho"/>
        </w:rPr>
        <w:t xml:space="preserve"> </w:t>
      </w:r>
      <w:r w:rsidRPr="00FC3B7C">
        <w:rPr>
          <w:rFonts w:eastAsia="Times New Roman"/>
        </w:rPr>
        <w:t xml:space="preserve">růst HDP. Politika je zcela </w:t>
      </w:r>
      <w:r w:rsidRPr="00DE129C">
        <w:rPr>
          <w:rFonts w:eastAsia="Times New Roman"/>
          <w:u w:val="single"/>
        </w:rPr>
        <w:t>účinná.</w:t>
      </w:r>
    </w:p>
    <w:p w14:paraId="23333F30" w14:textId="77777777" w:rsidR="00A15E2D" w:rsidRPr="00FC3B7C" w:rsidRDefault="00A15E2D" w:rsidP="00A15E2D">
      <w:pPr>
        <w:spacing w:line="20" w:lineRule="exact"/>
        <w:rPr>
          <w:sz w:val="20"/>
          <w:szCs w:val="20"/>
        </w:rPr>
      </w:pPr>
      <w:r w:rsidRPr="00FC3B7C">
        <w:rPr>
          <w:noProof/>
          <w:sz w:val="20"/>
          <w:szCs w:val="20"/>
        </w:rPr>
        <w:drawing>
          <wp:anchor distT="0" distB="0" distL="114300" distR="114300" simplePos="0" relativeHeight="251803136" behindDoc="1" locked="0" layoutInCell="0" allowOverlap="1" wp14:anchorId="15AB3D10" wp14:editId="53B9B6FB">
            <wp:simplePos x="0" y="0"/>
            <wp:positionH relativeFrom="column">
              <wp:posOffset>76495</wp:posOffset>
            </wp:positionH>
            <wp:positionV relativeFrom="paragraph">
              <wp:posOffset>49028</wp:posOffset>
            </wp:positionV>
            <wp:extent cx="4788535" cy="3258185"/>
            <wp:effectExtent l="0" t="0" r="0" b="0"/>
            <wp:wrapTight wrapText="bothSides">
              <wp:wrapPolygon edited="0">
                <wp:start x="0" y="0"/>
                <wp:lineTo x="0" y="21469"/>
                <wp:lineTo x="21483" y="21469"/>
                <wp:lineTo x="21483"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5"/>
                    <a:srcRect/>
                    <a:stretch>
                      <a:fillRect/>
                    </a:stretch>
                  </pic:blipFill>
                  <pic:spPr bwMode="auto">
                    <a:xfrm>
                      <a:off x="0" y="0"/>
                      <a:ext cx="4788535" cy="3258185"/>
                    </a:xfrm>
                    <a:prstGeom prst="rect">
                      <a:avLst/>
                    </a:prstGeom>
                    <a:noFill/>
                  </pic:spPr>
                </pic:pic>
              </a:graphicData>
            </a:graphic>
          </wp:anchor>
        </w:drawing>
      </w:r>
    </w:p>
    <w:p w14:paraId="000BC96B" w14:textId="77777777" w:rsidR="00A15E2D" w:rsidRPr="00FC3B7C" w:rsidRDefault="00A15E2D" w:rsidP="00A15E2D">
      <w:pPr>
        <w:spacing w:line="200" w:lineRule="exact"/>
        <w:rPr>
          <w:sz w:val="20"/>
          <w:szCs w:val="20"/>
        </w:rPr>
      </w:pPr>
    </w:p>
    <w:p w14:paraId="5F3AAB17" w14:textId="77777777" w:rsidR="00A15E2D" w:rsidRPr="00FC3B7C" w:rsidRDefault="00A15E2D" w:rsidP="00A15E2D">
      <w:pPr>
        <w:spacing w:line="200" w:lineRule="exact"/>
        <w:rPr>
          <w:sz w:val="20"/>
          <w:szCs w:val="20"/>
        </w:rPr>
      </w:pPr>
    </w:p>
    <w:p w14:paraId="68C28B6A" w14:textId="77777777" w:rsidR="00A15E2D" w:rsidRPr="00FC3B7C" w:rsidRDefault="00A15E2D" w:rsidP="00A15E2D">
      <w:pPr>
        <w:spacing w:line="200" w:lineRule="exact"/>
        <w:rPr>
          <w:sz w:val="20"/>
          <w:szCs w:val="20"/>
        </w:rPr>
      </w:pPr>
    </w:p>
    <w:p w14:paraId="0A6B44DE" w14:textId="77777777" w:rsidR="00A15E2D" w:rsidRPr="00FC3B7C" w:rsidRDefault="00A15E2D" w:rsidP="00A15E2D">
      <w:pPr>
        <w:spacing w:line="200" w:lineRule="exact"/>
        <w:rPr>
          <w:sz w:val="20"/>
          <w:szCs w:val="20"/>
        </w:rPr>
      </w:pPr>
    </w:p>
    <w:p w14:paraId="503DA694" w14:textId="77777777" w:rsidR="00A15E2D" w:rsidRPr="00FC3B7C" w:rsidRDefault="00A15E2D" w:rsidP="00A15E2D">
      <w:pPr>
        <w:spacing w:line="200" w:lineRule="exact"/>
        <w:rPr>
          <w:sz w:val="20"/>
          <w:szCs w:val="20"/>
        </w:rPr>
      </w:pPr>
    </w:p>
    <w:p w14:paraId="682C62DD" w14:textId="77777777" w:rsidR="00A15E2D" w:rsidRPr="00FC3B7C" w:rsidRDefault="00A15E2D" w:rsidP="00A15E2D">
      <w:pPr>
        <w:spacing w:line="200" w:lineRule="exact"/>
        <w:rPr>
          <w:sz w:val="20"/>
          <w:szCs w:val="20"/>
        </w:rPr>
      </w:pPr>
    </w:p>
    <w:p w14:paraId="09D9B618" w14:textId="77777777" w:rsidR="00A15E2D" w:rsidRPr="00FC3B7C" w:rsidRDefault="00A15E2D" w:rsidP="00A15E2D">
      <w:pPr>
        <w:spacing w:line="200" w:lineRule="exact"/>
        <w:rPr>
          <w:sz w:val="20"/>
          <w:szCs w:val="20"/>
        </w:rPr>
      </w:pPr>
    </w:p>
    <w:p w14:paraId="002B693A" w14:textId="77777777" w:rsidR="00A15E2D" w:rsidRPr="00FC3B7C" w:rsidRDefault="00A15E2D" w:rsidP="00A15E2D">
      <w:pPr>
        <w:spacing w:line="200" w:lineRule="exact"/>
        <w:rPr>
          <w:sz w:val="20"/>
          <w:szCs w:val="20"/>
        </w:rPr>
      </w:pPr>
    </w:p>
    <w:p w14:paraId="1C707385" w14:textId="77777777" w:rsidR="00A15E2D" w:rsidRPr="00FC3B7C" w:rsidRDefault="00A15E2D" w:rsidP="00A15E2D">
      <w:pPr>
        <w:spacing w:line="200" w:lineRule="exact"/>
        <w:rPr>
          <w:sz w:val="20"/>
          <w:szCs w:val="20"/>
        </w:rPr>
      </w:pPr>
    </w:p>
    <w:p w14:paraId="210C778F" w14:textId="77777777" w:rsidR="00A15E2D" w:rsidRPr="00FC3B7C" w:rsidRDefault="00A15E2D" w:rsidP="00A15E2D">
      <w:pPr>
        <w:spacing w:line="200" w:lineRule="exact"/>
        <w:rPr>
          <w:sz w:val="20"/>
          <w:szCs w:val="20"/>
        </w:rPr>
      </w:pPr>
    </w:p>
    <w:p w14:paraId="76535A53" w14:textId="77777777" w:rsidR="00A15E2D" w:rsidRPr="00FC3B7C" w:rsidRDefault="00A15E2D" w:rsidP="00A15E2D">
      <w:pPr>
        <w:spacing w:line="200" w:lineRule="exact"/>
        <w:rPr>
          <w:sz w:val="20"/>
          <w:szCs w:val="20"/>
        </w:rPr>
      </w:pPr>
    </w:p>
    <w:p w14:paraId="76BD16E3" w14:textId="77777777" w:rsidR="00A15E2D" w:rsidRPr="00FC3B7C" w:rsidRDefault="00A15E2D" w:rsidP="00A15E2D">
      <w:pPr>
        <w:spacing w:line="200" w:lineRule="exact"/>
        <w:rPr>
          <w:sz w:val="20"/>
          <w:szCs w:val="20"/>
        </w:rPr>
      </w:pPr>
    </w:p>
    <w:p w14:paraId="4F2402AB" w14:textId="77777777" w:rsidR="00A15E2D" w:rsidRPr="00FC3B7C" w:rsidRDefault="00A15E2D" w:rsidP="00A15E2D">
      <w:pPr>
        <w:spacing w:line="200" w:lineRule="exact"/>
        <w:rPr>
          <w:sz w:val="20"/>
          <w:szCs w:val="20"/>
        </w:rPr>
      </w:pPr>
    </w:p>
    <w:p w14:paraId="33872BDE" w14:textId="77777777" w:rsidR="00A15E2D" w:rsidRPr="00FC3B7C" w:rsidRDefault="00A15E2D" w:rsidP="00A15E2D">
      <w:pPr>
        <w:spacing w:line="200" w:lineRule="exact"/>
        <w:rPr>
          <w:sz w:val="20"/>
          <w:szCs w:val="20"/>
        </w:rPr>
      </w:pPr>
    </w:p>
    <w:p w14:paraId="63AAC401" w14:textId="77777777" w:rsidR="00A15E2D" w:rsidRPr="00FC3B7C" w:rsidRDefault="00A15E2D" w:rsidP="00A15E2D">
      <w:pPr>
        <w:spacing w:line="200" w:lineRule="exact"/>
        <w:rPr>
          <w:sz w:val="20"/>
          <w:szCs w:val="20"/>
        </w:rPr>
      </w:pPr>
    </w:p>
    <w:p w14:paraId="292E4AD5" w14:textId="77777777" w:rsidR="00A15E2D" w:rsidRPr="00FC3B7C" w:rsidRDefault="00A15E2D" w:rsidP="00A15E2D">
      <w:pPr>
        <w:spacing w:line="200" w:lineRule="exact"/>
        <w:rPr>
          <w:sz w:val="20"/>
          <w:szCs w:val="20"/>
        </w:rPr>
      </w:pPr>
    </w:p>
    <w:p w14:paraId="6FF99981" w14:textId="77777777" w:rsidR="00A15E2D" w:rsidRPr="00FC3B7C" w:rsidRDefault="00A15E2D" w:rsidP="00A15E2D">
      <w:pPr>
        <w:spacing w:line="200" w:lineRule="exact"/>
        <w:rPr>
          <w:sz w:val="20"/>
          <w:szCs w:val="20"/>
        </w:rPr>
      </w:pPr>
    </w:p>
    <w:p w14:paraId="5582D8AE" w14:textId="77777777" w:rsidR="00A15E2D" w:rsidRPr="00FC3B7C" w:rsidRDefault="00A15E2D" w:rsidP="00A15E2D">
      <w:pPr>
        <w:spacing w:line="200" w:lineRule="exact"/>
        <w:rPr>
          <w:sz w:val="20"/>
          <w:szCs w:val="20"/>
        </w:rPr>
      </w:pPr>
    </w:p>
    <w:p w14:paraId="17BF7DEE" w14:textId="77777777" w:rsidR="00A15E2D" w:rsidRPr="00FC3B7C" w:rsidRDefault="00A15E2D" w:rsidP="00A15E2D">
      <w:pPr>
        <w:spacing w:line="200" w:lineRule="exact"/>
        <w:rPr>
          <w:sz w:val="20"/>
          <w:szCs w:val="20"/>
        </w:rPr>
      </w:pPr>
    </w:p>
    <w:p w14:paraId="284ECA76" w14:textId="77777777" w:rsidR="00A15E2D" w:rsidRPr="00FC3B7C" w:rsidRDefault="00A15E2D" w:rsidP="00A15E2D">
      <w:pPr>
        <w:spacing w:line="200" w:lineRule="exact"/>
        <w:rPr>
          <w:sz w:val="20"/>
          <w:szCs w:val="20"/>
        </w:rPr>
      </w:pPr>
    </w:p>
    <w:p w14:paraId="71B9D0C7" w14:textId="77777777" w:rsidR="00A15E2D" w:rsidRPr="00FC3B7C" w:rsidRDefault="00A15E2D" w:rsidP="00A15E2D">
      <w:pPr>
        <w:spacing w:line="200" w:lineRule="exact"/>
        <w:rPr>
          <w:sz w:val="20"/>
          <w:szCs w:val="20"/>
        </w:rPr>
      </w:pPr>
    </w:p>
    <w:p w14:paraId="008B602D" w14:textId="77777777" w:rsidR="00A15E2D" w:rsidRPr="00FC3B7C" w:rsidRDefault="00A15E2D" w:rsidP="00A15E2D">
      <w:pPr>
        <w:spacing w:line="200" w:lineRule="exact"/>
        <w:rPr>
          <w:sz w:val="20"/>
          <w:szCs w:val="20"/>
        </w:rPr>
      </w:pPr>
    </w:p>
    <w:p w14:paraId="7DF557D0" w14:textId="77777777" w:rsidR="00A15E2D" w:rsidRPr="00FC3B7C" w:rsidRDefault="00A15E2D" w:rsidP="00A15E2D">
      <w:pPr>
        <w:spacing w:line="200" w:lineRule="exact"/>
        <w:rPr>
          <w:sz w:val="20"/>
          <w:szCs w:val="20"/>
        </w:rPr>
      </w:pPr>
    </w:p>
    <w:p w14:paraId="4836D2FB" w14:textId="77777777" w:rsidR="00A15E2D" w:rsidRPr="00FC3B7C" w:rsidRDefault="00A15E2D" w:rsidP="00A15E2D">
      <w:pPr>
        <w:spacing w:line="200" w:lineRule="exact"/>
        <w:rPr>
          <w:sz w:val="20"/>
          <w:szCs w:val="20"/>
        </w:rPr>
      </w:pPr>
    </w:p>
    <w:p w14:paraId="7A48B555" w14:textId="77777777" w:rsidR="00A15E2D" w:rsidRPr="00FC3B7C" w:rsidRDefault="00A15E2D" w:rsidP="00A15E2D">
      <w:pPr>
        <w:spacing w:line="200" w:lineRule="exact"/>
        <w:rPr>
          <w:sz w:val="20"/>
          <w:szCs w:val="20"/>
        </w:rPr>
      </w:pPr>
    </w:p>
    <w:p w14:paraId="52616907" w14:textId="77777777" w:rsidR="00A15E2D" w:rsidRPr="00FC3B7C" w:rsidRDefault="00A15E2D" w:rsidP="00A15E2D">
      <w:pPr>
        <w:spacing w:line="200" w:lineRule="exact"/>
        <w:rPr>
          <w:sz w:val="20"/>
          <w:szCs w:val="20"/>
        </w:rPr>
      </w:pPr>
    </w:p>
    <w:p w14:paraId="7E0701CA" w14:textId="77777777" w:rsidR="00A15E2D" w:rsidRPr="00FC3B7C" w:rsidRDefault="00A15E2D" w:rsidP="00A15E2D">
      <w:pPr>
        <w:spacing w:line="358" w:lineRule="exact"/>
        <w:rPr>
          <w:sz w:val="20"/>
          <w:szCs w:val="20"/>
        </w:rPr>
      </w:pPr>
    </w:p>
    <w:p w14:paraId="6DDC90D3" w14:textId="77777777" w:rsidR="00A15E2D" w:rsidRPr="00DE129C" w:rsidRDefault="00A15E2D" w:rsidP="00A15E2D">
      <w:pPr>
        <w:pStyle w:val="Nadpis3"/>
        <w:rPr>
          <w:color w:val="1F3864" w:themeColor="accent1" w:themeShade="80"/>
          <w:sz w:val="20"/>
          <w:szCs w:val="20"/>
        </w:rPr>
      </w:pPr>
      <w:r w:rsidRPr="00DE129C">
        <w:rPr>
          <w:rFonts w:eastAsia="Times New Roman"/>
          <w:color w:val="1F3864" w:themeColor="accent1" w:themeShade="80"/>
        </w:rPr>
        <w:t>Fiskální politika při pohyblivých kurzech:</w:t>
      </w:r>
    </w:p>
    <w:p w14:paraId="41ACE4F7" w14:textId="77777777" w:rsidR="00A15E2D" w:rsidRPr="00FC3B7C" w:rsidRDefault="00A15E2D" w:rsidP="00A15E2D">
      <w:pPr>
        <w:rPr>
          <w:sz w:val="20"/>
          <w:szCs w:val="20"/>
        </w:rPr>
      </w:pPr>
      <w:bookmarkStart w:id="189" w:name="page191"/>
      <w:bookmarkEnd w:id="189"/>
      <w:r w:rsidRPr="00FC3B7C">
        <w:rPr>
          <w:rFonts w:eastAsia="Times New Roman"/>
        </w:rPr>
        <w:t>Expanzivní fiskální politika znamená růst AD, zvedne úrokovou míru, vyvolá apreciaci a sníží se vývoz</w:t>
      </w:r>
      <w:r w:rsidRPr="00FC3B7C">
        <w:rPr>
          <w:rFonts w:eastAsia="MS Mincho"/>
        </w:rPr>
        <w:t>→</w:t>
      </w:r>
      <w:r w:rsidRPr="00FC3B7C">
        <w:rPr>
          <w:rFonts w:eastAsia="Times New Roman"/>
        </w:rPr>
        <w:t xml:space="preserve"> snížení HDP. Politika je zcela </w:t>
      </w:r>
      <w:r w:rsidRPr="00DE129C">
        <w:rPr>
          <w:rFonts w:eastAsia="Times New Roman"/>
          <w:u w:val="single"/>
        </w:rPr>
        <w:t>neúčinná.</w:t>
      </w:r>
    </w:p>
    <w:p w14:paraId="20D8AA61" w14:textId="77777777" w:rsidR="00A15E2D" w:rsidRPr="00FC3B7C" w:rsidRDefault="00A15E2D" w:rsidP="00A15E2D">
      <w:pPr>
        <w:spacing w:line="20" w:lineRule="exact"/>
        <w:rPr>
          <w:sz w:val="20"/>
          <w:szCs w:val="20"/>
        </w:rPr>
      </w:pPr>
      <w:r w:rsidRPr="00FC3B7C">
        <w:rPr>
          <w:noProof/>
          <w:sz w:val="20"/>
          <w:szCs w:val="20"/>
        </w:rPr>
        <w:drawing>
          <wp:anchor distT="0" distB="0" distL="114300" distR="114300" simplePos="0" relativeHeight="251805184" behindDoc="1" locked="0" layoutInCell="0" allowOverlap="1" wp14:anchorId="22B140EF" wp14:editId="16AD8CB5">
            <wp:simplePos x="0" y="0"/>
            <wp:positionH relativeFrom="column">
              <wp:posOffset>523875</wp:posOffset>
            </wp:positionH>
            <wp:positionV relativeFrom="paragraph">
              <wp:posOffset>165100</wp:posOffset>
            </wp:positionV>
            <wp:extent cx="4077335" cy="2838450"/>
            <wp:effectExtent l="0" t="0" r="0" b="0"/>
            <wp:wrapTight wrapText="bothSides">
              <wp:wrapPolygon edited="0">
                <wp:start x="0" y="0"/>
                <wp:lineTo x="0" y="21455"/>
                <wp:lineTo x="21496" y="21455"/>
                <wp:lineTo x="21496" y="0"/>
                <wp:lineTo x="0"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6"/>
                    <a:srcRect/>
                    <a:stretch>
                      <a:fillRect/>
                    </a:stretch>
                  </pic:blipFill>
                  <pic:spPr bwMode="auto">
                    <a:xfrm>
                      <a:off x="0" y="0"/>
                      <a:ext cx="4077335" cy="2838450"/>
                    </a:xfrm>
                    <a:prstGeom prst="rect">
                      <a:avLst/>
                    </a:prstGeom>
                    <a:noFill/>
                  </pic:spPr>
                </pic:pic>
              </a:graphicData>
            </a:graphic>
            <wp14:sizeRelH relativeFrom="margin">
              <wp14:pctWidth>0</wp14:pctWidth>
            </wp14:sizeRelH>
            <wp14:sizeRelV relativeFrom="margin">
              <wp14:pctHeight>0</wp14:pctHeight>
            </wp14:sizeRelV>
          </wp:anchor>
        </w:drawing>
      </w:r>
    </w:p>
    <w:p w14:paraId="330D0C21" w14:textId="77777777" w:rsidR="00A15E2D" w:rsidRPr="00FC3B7C" w:rsidRDefault="00A15E2D" w:rsidP="00A15E2D">
      <w:pPr>
        <w:sectPr w:rsidR="00A15E2D" w:rsidRPr="00FC3B7C">
          <w:pgSz w:w="11900" w:h="16840"/>
          <w:pgMar w:top="1397" w:right="1440" w:bottom="1440" w:left="1440" w:header="0" w:footer="0" w:gutter="0"/>
          <w:cols w:space="708" w:equalWidth="0">
            <w:col w:w="9020"/>
          </w:cols>
        </w:sectPr>
      </w:pPr>
    </w:p>
    <w:p w14:paraId="16970D01" w14:textId="77777777" w:rsidR="00A15E2D" w:rsidRPr="00FC3B7C" w:rsidRDefault="00A15E2D" w:rsidP="00A15E2D">
      <w:pPr>
        <w:spacing w:line="84" w:lineRule="exact"/>
        <w:rPr>
          <w:b/>
          <w:color w:val="000000" w:themeColor="text1"/>
          <w:szCs w:val="24"/>
        </w:rPr>
      </w:pPr>
      <w:bookmarkStart w:id="190" w:name="page192"/>
      <w:bookmarkEnd w:id="190"/>
    </w:p>
    <w:p w14:paraId="3BDAAFFD" w14:textId="77777777" w:rsidR="00A15E2D" w:rsidRPr="00DE129C" w:rsidRDefault="00A15E2D" w:rsidP="00A15E2D">
      <w:pPr>
        <w:pStyle w:val="Nadpis3"/>
        <w:rPr>
          <w:color w:val="1F3864" w:themeColor="accent1" w:themeShade="80"/>
        </w:rPr>
      </w:pPr>
      <w:r w:rsidRPr="00DE129C">
        <w:rPr>
          <w:rFonts w:eastAsia="Cambria"/>
          <w:color w:val="1F3864" w:themeColor="accent1" w:themeShade="80"/>
        </w:rPr>
        <w:t>Česká (zahraniční) ekonomika v číslech</w:t>
      </w:r>
    </w:p>
    <w:p w14:paraId="4F9E4178" w14:textId="77777777" w:rsidR="00A15E2D" w:rsidRPr="004B6CDE" w:rsidRDefault="00A15E2D" w:rsidP="00A15E2D">
      <w:pPr>
        <w:spacing w:line="257" w:lineRule="auto"/>
        <w:ind w:right="680"/>
        <w:jc w:val="left"/>
        <w:rPr>
          <w:rFonts w:eastAsia="Times New Roman"/>
          <w:sz w:val="23"/>
          <w:szCs w:val="23"/>
          <w:u w:val="single"/>
        </w:rPr>
      </w:pPr>
      <w:r w:rsidRPr="004B6CDE">
        <w:rPr>
          <w:rFonts w:eastAsia="Times New Roman"/>
          <w:sz w:val="23"/>
          <w:szCs w:val="23"/>
        </w:rPr>
        <w:t xml:space="preserve">Česká republika – základní data viz: </w:t>
      </w:r>
      <w:hyperlink r:id="rId77" w:history="1">
        <w:r w:rsidRPr="004B6CDE">
          <w:rPr>
            <w:rStyle w:val="Hypertextovodkaz"/>
            <w:rFonts w:eastAsia="Times New Roman"/>
            <w:color w:val="auto"/>
            <w:sz w:val="23"/>
            <w:szCs w:val="23"/>
          </w:rPr>
          <w:t>http://www.patria.cz/ekonomika/makroprehled/cz.html</w:t>
        </w:r>
      </w:hyperlink>
      <w:r w:rsidRPr="004B6CDE">
        <w:rPr>
          <w:rFonts w:eastAsia="Times New Roman"/>
          <w:sz w:val="23"/>
          <w:szCs w:val="23"/>
          <w:u w:val="single"/>
        </w:rPr>
        <w:t xml:space="preserve"> </w:t>
      </w:r>
    </w:p>
    <w:p w14:paraId="05427A27" w14:textId="77777777" w:rsidR="00A15E2D" w:rsidRPr="004B6CDE" w:rsidRDefault="00A15E2D" w:rsidP="00A15E2D">
      <w:pPr>
        <w:spacing w:line="257" w:lineRule="auto"/>
        <w:ind w:right="680"/>
        <w:jc w:val="left"/>
        <w:rPr>
          <w:rFonts w:eastAsia="Times New Roman"/>
          <w:sz w:val="23"/>
          <w:szCs w:val="23"/>
          <w:u w:val="single"/>
        </w:rPr>
      </w:pPr>
      <w:r w:rsidRPr="004B6CDE">
        <w:rPr>
          <w:rFonts w:eastAsia="Times New Roman"/>
          <w:sz w:val="23"/>
          <w:szCs w:val="23"/>
          <w:u w:val="single"/>
        </w:rPr>
        <w:br/>
      </w:r>
      <w:r w:rsidRPr="004B6CDE">
        <w:rPr>
          <w:rFonts w:eastAsia="Times New Roman"/>
          <w:sz w:val="23"/>
          <w:szCs w:val="23"/>
        </w:rPr>
        <w:t xml:space="preserve">Čtvrtletní platební bilance České Republiky: </w:t>
      </w:r>
      <w:hyperlink r:id="rId78" w:history="1">
        <w:r w:rsidRPr="004B6CDE">
          <w:rPr>
            <w:rStyle w:val="Hypertextovodkaz"/>
            <w:color w:val="auto"/>
          </w:rPr>
          <w:t>https://www.cnb.cz/cs/statistika/platebni_bilance_stat/platebni_bilance_q/</w:t>
        </w:r>
      </w:hyperlink>
      <w:r w:rsidRPr="004B6CDE">
        <w:t xml:space="preserve"> </w:t>
      </w:r>
    </w:p>
    <w:p w14:paraId="6254F0AC" w14:textId="77777777" w:rsidR="00A15E2D" w:rsidRDefault="00A15E2D" w:rsidP="00A15E2D">
      <w:pPr>
        <w:spacing w:line="257" w:lineRule="auto"/>
        <w:ind w:right="680"/>
        <w:jc w:val="left"/>
        <w:rPr>
          <w:rFonts w:eastAsia="Times New Roman"/>
          <w:color w:val="0000FF"/>
          <w:sz w:val="23"/>
          <w:szCs w:val="23"/>
          <w:u w:val="single"/>
        </w:rPr>
      </w:pPr>
    </w:p>
    <w:p w14:paraId="6FA1F3C3" w14:textId="77777777" w:rsidR="00A15E2D" w:rsidRPr="00FC3B7C" w:rsidRDefault="00A15E2D" w:rsidP="00A15E2D">
      <w:pPr>
        <w:spacing w:line="257" w:lineRule="auto"/>
        <w:ind w:right="680"/>
        <w:jc w:val="left"/>
        <w:rPr>
          <w:sz w:val="20"/>
          <w:szCs w:val="20"/>
        </w:rPr>
      </w:pPr>
    </w:p>
    <w:p w14:paraId="331174A7" w14:textId="77777777" w:rsidR="00A15E2D" w:rsidRPr="00303CE3" w:rsidRDefault="00A15E2D" w:rsidP="00A15E2D">
      <w:pPr>
        <w:spacing w:line="141" w:lineRule="exact"/>
        <w:rPr>
          <w:sz w:val="22"/>
        </w:rPr>
      </w:pPr>
      <w:bookmarkStart w:id="191" w:name="page194"/>
      <w:bookmarkEnd w:id="191"/>
    </w:p>
    <w:p w14:paraId="3FB50B67" w14:textId="77777777" w:rsidR="00A15E2D" w:rsidRPr="00303CE3" w:rsidRDefault="00A15E2D" w:rsidP="00A15E2D">
      <w:pPr>
        <w:pStyle w:val="Nadpis2"/>
        <w:rPr>
          <w:rFonts w:eastAsia="Times New Roman"/>
          <w:color w:val="1F3864" w:themeColor="accent1" w:themeShade="80"/>
          <w:szCs w:val="28"/>
        </w:rPr>
      </w:pPr>
      <w:r w:rsidRPr="00303CE3">
        <w:rPr>
          <w:rFonts w:eastAsia="Times New Roman"/>
          <w:color w:val="1F3864" w:themeColor="accent1" w:themeShade="80"/>
          <w:szCs w:val="28"/>
        </w:rPr>
        <w:t xml:space="preserve">VÝVOJ VNĚJŠÍ NEROVNOVÁHY ČESKÉ EKONOMIKY V OBDOBÍ TRANSFORMACE A OPATŘENÍ ČNB A DALŠÍCH NOSITELŮ HOSPODÁŘSKÉ POLITIKY PŘI SNAZE O JEJÍ ZMÍRNĚNÍ </w:t>
      </w:r>
    </w:p>
    <w:p w14:paraId="1F833501" w14:textId="77777777" w:rsidR="00A15E2D" w:rsidRPr="00FC3B7C" w:rsidRDefault="00A15E2D" w:rsidP="00A15E2D">
      <w:pPr>
        <w:spacing w:line="335" w:lineRule="exact"/>
        <w:rPr>
          <w:sz w:val="20"/>
          <w:szCs w:val="20"/>
        </w:rPr>
      </w:pPr>
    </w:p>
    <w:p w14:paraId="07951EE4" w14:textId="77777777" w:rsidR="00A15E2D" w:rsidRPr="00303CE3" w:rsidRDefault="00A15E2D" w:rsidP="00A15E2D">
      <w:pPr>
        <w:pStyle w:val="Nadpis3"/>
        <w:rPr>
          <w:color w:val="1F3864" w:themeColor="accent1" w:themeShade="80"/>
          <w:sz w:val="20"/>
          <w:szCs w:val="20"/>
        </w:rPr>
      </w:pPr>
      <w:r w:rsidRPr="00303CE3">
        <w:rPr>
          <w:rFonts w:eastAsia="Times New Roman"/>
          <w:color w:val="1F3864" w:themeColor="accent1" w:themeShade="80"/>
        </w:rPr>
        <w:t>Zahraniční obchod</w:t>
      </w:r>
    </w:p>
    <w:p w14:paraId="7ECEB4CA" w14:textId="77777777" w:rsidR="00A15E2D" w:rsidRPr="00303CE3" w:rsidRDefault="00A15E2D" w:rsidP="00D46B53">
      <w:pPr>
        <w:numPr>
          <w:ilvl w:val="0"/>
          <w:numId w:val="191"/>
        </w:numPr>
        <w:tabs>
          <w:tab w:val="left" w:pos="828"/>
        </w:tabs>
        <w:ind w:left="844" w:right="280" w:hanging="368"/>
        <w:rPr>
          <w:rFonts w:eastAsia="Times New Roman"/>
          <w:szCs w:val="24"/>
        </w:rPr>
      </w:pPr>
      <w:r w:rsidRPr="00FC3B7C">
        <w:rPr>
          <w:rFonts w:eastAsia="Times New Roman"/>
          <w:szCs w:val="24"/>
        </w:rPr>
        <w:t>nebyl nástrojem realizace komparativních výhod, ale stal se prostředkem získávání deviz</w:t>
      </w:r>
    </w:p>
    <w:p w14:paraId="5AFAB0C7" w14:textId="77777777" w:rsidR="00A15E2D" w:rsidRPr="00303CE3" w:rsidRDefault="00A15E2D" w:rsidP="00D46B53">
      <w:pPr>
        <w:numPr>
          <w:ilvl w:val="0"/>
          <w:numId w:val="191"/>
        </w:numPr>
        <w:tabs>
          <w:tab w:val="left" w:pos="828"/>
        </w:tabs>
        <w:ind w:left="844" w:right="160" w:hanging="368"/>
        <w:rPr>
          <w:rFonts w:eastAsia="Times New Roman"/>
          <w:szCs w:val="24"/>
        </w:rPr>
      </w:pPr>
      <w:r w:rsidRPr="00FC3B7C">
        <w:rPr>
          <w:rFonts w:eastAsia="Times New Roman"/>
          <w:szCs w:val="24"/>
        </w:rPr>
        <w:t>byl monopolizován podniky zahraničního obchodu (tzv. Pézetky) – bylo jich zhruba 100, většinou si nekonkurovali a obchodovali na příkaz státu</w:t>
      </w:r>
    </w:p>
    <w:p w14:paraId="5E5CA4D2" w14:textId="77777777" w:rsidR="00A15E2D" w:rsidRPr="00303CE3" w:rsidRDefault="00A15E2D" w:rsidP="00A15E2D">
      <w:pPr>
        <w:pStyle w:val="Odstavecseseznamem"/>
        <w:numPr>
          <w:ilvl w:val="0"/>
          <w:numId w:val="144"/>
        </w:numPr>
        <w:tabs>
          <w:tab w:val="left" w:pos="1496"/>
        </w:tabs>
        <w:ind w:right="800"/>
        <w:rPr>
          <w:rFonts w:eastAsia="Courier New"/>
          <w:szCs w:val="24"/>
        </w:rPr>
      </w:pPr>
      <w:r w:rsidRPr="00303CE3">
        <w:rPr>
          <w:rFonts w:eastAsia="Times New Roman"/>
          <w:szCs w:val="24"/>
        </w:rPr>
        <w:t>1991 liberalizace transakcí na běžném účtu pb a podnikovému sektoru umožněn přístup ke směnitelným měnám (nemusely využívat podniků zahraničního obchodu)</w:t>
      </w:r>
    </w:p>
    <w:p w14:paraId="232C0706" w14:textId="77777777" w:rsidR="00A15E2D" w:rsidRPr="00303CE3" w:rsidRDefault="00A15E2D" w:rsidP="00D46B53">
      <w:pPr>
        <w:numPr>
          <w:ilvl w:val="0"/>
          <w:numId w:val="192"/>
        </w:numPr>
        <w:tabs>
          <w:tab w:val="left" w:pos="828"/>
        </w:tabs>
        <w:ind w:left="844" w:right="140" w:hanging="368"/>
        <w:rPr>
          <w:rFonts w:eastAsia="Times New Roman"/>
          <w:szCs w:val="24"/>
        </w:rPr>
      </w:pPr>
      <w:r w:rsidRPr="00FC3B7C">
        <w:rPr>
          <w:rFonts w:eastAsia="Times New Roman"/>
          <w:szCs w:val="24"/>
        </w:rPr>
        <w:t>V první fázi reforem byl zahraniční obchod charakterizován změnou v teritoriální struktuře vývozů a dovozů-dramatický pokles objemu obchodu se zeměmi RVHP, rostl podíl vyspělých evropských ekonomik</w:t>
      </w:r>
    </w:p>
    <w:p w14:paraId="6B1638E2" w14:textId="77777777" w:rsidR="00A15E2D" w:rsidRPr="00303CE3" w:rsidRDefault="00A15E2D" w:rsidP="00D46B53">
      <w:pPr>
        <w:numPr>
          <w:ilvl w:val="0"/>
          <w:numId w:val="192"/>
        </w:numPr>
        <w:tabs>
          <w:tab w:val="left" w:pos="824"/>
        </w:tabs>
        <w:ind w:left="824" w:hanging="348"/>
        <w:rPr>
          <w:rFonts w:eastAsia="Times New Roman"/>
          <w:szCs w:val="24"/>
        </w:rPr>
      </w:pPr>
      <w:r w:rsidRPr="00FC3B7C">
        <w:rPr>
          <w:rFonts w:eastAsia="Times New Roman"/>
          <w:szCs w:val="24"/>
        </w:rPr>
        <w:t>1995 zavedena volná směnitelnost koruny</w:t>
      </w:r>
    </w:p>
    <w:p w14:paraId="4E912FC9" w14:textId="69745C79" w:rsidR="00A15E2D" w:rsidRPr="00303CE3" w:rsidRDefault="00A15E2D" w:rsidP="00D46B53">
      <w:pPr>
        <w:numPr>
          <w:ilvl w:val="0"/>
          <w:numId w:val="192"/>
        </w:numPr>
        <w:tabs>
          <w:tab w:val="left" w:pos="828"/>
        </w:tabs>
        <w:ind w:left="844" w:right="180" w:hanging="368"/>
        <w:rPr>
          <w:rFonts w:eastAsia="Times New Roman"/>
          <w:szCs w:val="24"/>
        </w:rPr>
      </w:pPr>
      <w:r w:rsidRPr="00FC3B7C">
        <w:rPr>
          <w:rFonts w:eastAsia="Times New Roman"/>
          <w:szCs w:val="24"/>
        </w:rPr>
        <w:t xml:space="preserve">Bilance zahraničního obchodu ČR byla od počátku transformace až do </w:t>
      </w:r>
      <w:r w:rsidR="007E5E16" w:rsidRPr="00FC3B7C">
        <w:rPr>
          <w:rFonts w:eastAsia="Times New Roman"/>
          <w:szCs w:val="24"/>
        </w:rPr>
        <w:t>r. 2004</w:t>
      </w:r>
      <w:r w:rsidRPr="00FC3B7C">
        <w:rPr>
          <w:rFonts w:eastAsia="Times New Roman"/>
          <w:szCs w:val="24"/>
        </w:rPr>
        <w:t xml:space="preserve"> prakticky trvale deficitní (vyšší objem dovozu než vývozu) a až v roce 2005 se tento trend začal obracet</w:t>
      </w:r>
    </w:p>
    <w:p w14:paraId="32E30B43" w14:textId="77777777" w:rsidR="00A15E2D" w:rsidRPr="00FC3B7C" w:rsidRDefault="00A15E2D" w:rsidP="00D46B53">
      <w:pPr>
        <w:numPr>
          <w:ilvl w:val="0"/>
          <w:numId w:val="192"/>
        </w:numPr>
        <w:tabs>
          <w:tab w:val="left" w:pos="828"/>
        </w:tabs>
        <w:ind w:left="844" w:right="60" w:hanging="368"/>
        <w:rPr>
          <w:rFonts w:eastAsia="Times New Roman"/>
          <w:szCs w:val="24"/>
        </w:rPr>
      </w:pPr>
      <w:r w:rsidRPr="00FC3B7C">
        <w:rPr>
          <w:rFonts w:eastAsia="Times New Roman"/>
          <w:szCs w:val="24"/>
        </w:rPr>
        <w:t>Od počátku devadesátých let se spolu s otevíráním naší ekonomiky vůči zahraničí výrazným způsobem zvyšuje dovoz i vývoz, přičemž tento trend nabývá v souvislosti s přičleněním země do EU na své dynamice</w:t>
      </w:r>
    </w:p>
    <w:p w14:paraId="4B33C9A1" w14:textId="77777777" w:rsidR="00A15E2D" w:rsidRPr="000D0FAD" w:rsidRDefault="00A15E2D" w:rsidP="00D46B53">
      <w:pPr>
        <w:numPr>
          <w:ilvl w:val="0"/>
          <w:numId w:val="192"/>
        </w:numPr>
        <w:tabs>
          <w:tab w:val="left" w:pos="828"/>
        </w:tabs>
        <w:ind w:left="844" w:right="920" w:hanging="368"/>
        <w:rPr>
          <w:rFonts w:eastAsia="Times New Roman"/>
          <w:szCs w:val="24"/>
        </w:rPr>
      </w:pPr>
      <w:r w:rsidRPr="00FC3B7C">
        <w:rPr>
          <w:rFonts w:eastAsia="Times New Roman"/>
          <w:szCs w:val="24"/>
        </w:rPr>
        <w:t>V současnosti je ČR relativně velmi otevřenou malou ekonomikou, přičemž dominantní část zahraničního obchodu je vázána na trhy EU</w:t>
      </w:r>
      <w:r>
        <w:rPr>
          <w:rFonts w:eastAsia="Times New Roman"/>
          <w:szCs w:val="24"/>
        </w:rPr>
        <w:t>.</w:t>
      </w:r>
      <w:r w:rsidRPr="000D0FAD">
        <w:rPr>
          <w:rFonts w:eastAsia="Times New Roman"/>
          <w:szCs w:val="24"/>
        </w:rPr>
        <w:br w:type="page"/>
      </w:r>
    </w:p>
    <w:p w14:paraId="1CCAF97C" w14:textId="77777777" w:rsidR="00A15E2D" w:rsidRPr="00303CE3" w:rsidRDefault="00A15E2D" w:rsidP="00A15E2D">
      <w:pPr>
        <w:pStyle w:val="Nadpis3"/>
        <w:rPr>
          <w:color w:val="1F3864" w:themeColor="accent1" w:themeShade="80"/>
          <w:sz w:val="20"/>
          <w:szCs w:val="20"/>
        </w:rPr>
      </w:pPr>
      <w:r w:rsidRPr="00303CE3">
        <w:rPr>
          <w:rFonts w:eastAsia="Times New Roman"/>
          <w:color w:val="1F3864" w:themeColor="accent1" w:themeShade="80"/>
        </w:rPr>
        <w:lastRenderedPageBreak/>
        <w:t>Vnější nerovnováha</w:t>
      </w:r>
    </w:p>
    <w:p w14:paraId="31D1D547" w14:textId="77777777" w:rsidR="00A15E2D" w:rsidRPr="00FC3B7C" w:rsidRDefault="00A15E2D" w:rsidP="00A15E2D">
      <w:pPr>
        <w:spacing w:line="226" w:lineRule="exact"/>
        <w:rPr>
          <w:sz w:val="20"/>
          <w:szCs w:val="20"/>
        </w:rPr>
      </w:pPr>
    </w:p>
    <w:p w14:paraId="59EFC65B" w14:textId="77777777" w:rsidR="00A15E2D" w:rsidRPr="00FC3B7C" w:rsidRDefault="00A15E2D" w:rsidP="00A15E2D">
      <w:pPr>
        <w:rPr>
          <w:rFonts w:eastAsia="Times New Roman"/>
        </w:rPr>
      </w:pPr>
      <w:r w:rsidRPr="00FC3B7C">
        <w:rPr>
          <w:rFonts w:eastAsia="Times New Roman"/>
        </w:rPr>
        <w:t>Československá centrálně plánovaná ekonomika se vyznačovala uzavřeností na běžném i kapitálovém účtu PB a měla nesměnitelnou měnu. V obavě, aby nedocházelo ke zhoršování PB zavedla CB stabilní kurz koruny na 28 Kč (s fluktuačním pásmem 2, 5 %) za dolar (cenová hladina byla tehdy cca 3krát menší než dnes!)</w:t>
      </w:r>
    </w:p>
    <w:p w14:paraId="5E99686C" w14:textId="77777777" w:rsidR="00A15E2D" w:rsidRPr="00FC3B7C" w:rsidRDefault="00A15E2D" w:rsidP="00A15E2D">
      <w:pPr>
        <w:rPr>
          <w:rFonts w:eastAsia="Times New Roman"/>
        </w:rPr>
      </w:pPr>
      <w:r w:rsidRPr="00FC3B7C">
        <w:rPr>
          <w:rFonts w:eastAsia="Times New Roman"/>
        </w:rPr>
        <w:t>Koruna byla hluboce podhodnocena. V 1. pol. 90. let došlo k oživení v podobě rychle rostoucí domácí poptávky hnané hlavně</w:t>
      </w:r>
      <w:r w:rsidRPr="00FC3B7C">
        <w:rPr>
          <w:sz w:val="20"/>
          <w:szCs w:val="20"/>
        </w:rPr>
        <w:t xml:space="preserve"> </w:t>
      </w:r>
      <w:r w:rsidRPr="00FC3B7C">
        <w:rPr>
          <w:rFonts w:eastAsia="Times New Roman"/>
        </w:rPr>
        <w:t>růstem mezd, domácí nabídka ale nebyla dostatečná a měla špatnou strukturu. Zvýšená poptávka byla řešena přílivem zahraničního zboží, což se odrazilo v rostoucím deficitu běžného účtu PB (1994-1997 docházelo k nepřetržitému poklesu salda běžného účtu PB).</w:t>
      </w:r>
    </w:p>
    <w:p w14:paraId="3E47EF7F" w14:textId="77777777" w:rsidR="00A15E2D" w:rsidRPr="00FC3B7C" w:rsidRDefault="00A15E2D" w:rsidP="00A15E2D">
      <w:pPr>
        <w:rPr>
          <w:sz w:val="20"/>
          <w:szCs w:val="20"/>
        </w:rPr>
      </w:pPr>
      <w:r w:rsidRPr="00FC3B7C">
        <w:rPr>
          <w:rFonts w:eastAsia="Times New Roman"/>
        </w:rPr>
        <w:t>Inflace se pohybovala okolo 10 % (více než v západní Evropě a USA).</w:t>
      </w:r>
    </w:p>
    <w:p w14:paraId="68BBA311" w14:textId="77777777" w:rsidR="00A15E2D" w:rsidRPr="00FC3B7C" w:rsidRDefault="00A15E2D" w:rsidP="00A15E2D">
      <w:pPr>
        <w:rPr>
          <w:sz w:val="20"/>
          <w:szCs w:val="20"/>
        </w:rPr>
      </w:pPr>
      <w:r w:rsidRPr="00FC3B7C">
        <w:rPr>
          <w:rFonts w:eastAsia="Times New Roman"/>
          <w:szCs w:val="24"/>
        </w:rPr>
        <w:t>Koruna reálně</w:t>
      </w:r>
      <w:bookmarkStart w:id="192" w:name="page195"/>
      <w:bookmarkEnd w:id="192"/>
      <w:r w:rsidRPr="00FC3B7C">
        <w:rPr>
          <w:rFonts w:eastAsia="Times New Roman"/>
          <w:szCs w:val="24"/>
        </w:rPr>
        <w:t xml:space="preserve"> </w:t>
      </w:r>
      <w:r w:rsidRPr="00FC3B7C">
        <w:rPr>
          <w:rFonts w:eastAsia="Times New Roman"/>
        </w:rPr>
        <w:t>apreciovala a naše cenová hladina se postupně přibližovala cenovým hladinám našich hlavních obchodních partnerů. České zboží ztrácelo kvůli reálné apreciaci konkurenceschopnost, příčinou apreciace byly vysoké domácí investice. Díky ekonomickému růstu, makroekonomické stabilitě a kladnému úrokovému diferenciálu vznikl přebytek finančního účtu PB (příliv zahraničního kapitálu) -&gt; tlak narůst peněžní zásoby</w:t>
      </w:r>
    </w:p>
    <w:p w14:paraId="016BAB68" w14:textId="77777777" w:rsidR="00A15E2D" w:rsidRPr="00FC3B7C" w:rsidRDefault="00A15E2D" w:rsidP="00A15E2D">
      <w:pPr>
        <w:spacing w:line="88" w:lineRule="exact"/>
        <w:rPr>
          <w:sz w:val="20"/>
          <w:szCs w:val="20"/>
        </w:rPr>
      </w:pPr>
    </w:p>
    <w:p w14:paraId="1A9B5B4C" w14:textId="77777777" w:rsidR="00A15E2D" w:rsidRPr="00FC3B7C" w:rsidRDefault="00A15E2D" w:rsidP="00D46B53">
      <w:pPr>
        <w:numPr>
          <w:ilvl w:val="0"/>
          <w:numId w:val="193"/>
        </w:numPr>
        <w:tabs>
          <w:tab w:val="left" w:pos="800"/>
        </w:tabs>
        <w:ind w:left="800" w:hanging="348"/>
        <w:rPr>
          <w:rFonts w:eastAsia="Times New Roman"/>
          <w:szCs w:val="24"/>
        </w:rPr>
      </w:pPr>
      <w:r w:rsidRPr="00FC3B7C">
        <w:rPr>
          <w:rFonts w:eastAsia="Times New Roman"/>
          <w:szCs w:val="24"/>
        </w:rPr>
        <w:t>ČNB se pokoušela dopad přílivu kapitálu na peněžní zásobu sterilizovat, ale pouze s</w:t>
      </w:r>
    </w:p>
    <w:p w14:paraId="550A3406" w14:textId="77777777" w:rsidR="00A15E2D" w:rsidRPr="00FC3B7C" w:rsidRDefault="00A15E2D" w:rsidP="00A15E2D">
      <w:pPr>
        <w:spacing w:line="156" w:lineRule="exact"/>
        <w:rPr>
          <w:sz w:val="20"/>
          <w:szCs w:val="20"/>
        </w:rPr>
      </w:pPr>
    </w:p>
    <w:p w14:paraId="037A9F1D" w14:textId="77777777" w:rsidR="00A15E2D" w:rsidRPr="00FC3B7C" w:rsidRDefault="00A15E2D" w:rsidP="00A15E2D">
      <w:pPr>
        <w:ind w:left="820"/>
        <w:rPr>
          <w:sz w:val="20"/>
          <w:szCs w:val="20"/>
        </w:rPr>
      </w:pPr>
      <w:r w:rsidRPr="00FC3B7C">
        <w:rPr>
          <w:rFonts w:eastAsia="Times New Roman"/>
          <w:szCs w:val="24"/>
        </w:rPr>
        <w:t>částečným úspěchem</w:t>
      </w:r>
    </w:p>
    <w:p w14:paraId="1236DDED" w14:textId="77777777" w:rsidR="00A15E2D" w:rsidRPr="00FC3B7C" w:rsidRDefault="00A15E2D" w:rsidP="00A15E2D">
      <w:pPr>
        <w:spacing w:line="156" w:lineRule="exact"/>
        <w:rPr>
          <w:sz w:val="20"/>
          <w:szCs w:val="20"/>
        </w:rPr>
      </w:pPr>
    </w:p>
    <w:p w14:paraId="5DEC7E06" w14:textId="77777777" w:rsidR="00A15E2D" w:rsidRPr="00FC3B7C" w:rsidRDefault="00A15E2D" w:rsidP="00D46B53">
      <w:pPr>
        <w:numPr>
          <w:ilvl w:val="0"/>
          <w:numId w:val="194"/>
        </w:numPr>
        <w:tabs>
          <w:tab w:val="left" w:pos="1500"/>
        </w:tabs>
        <w:ind w:left="1500" w:hanging="328"/>
        <w:rPr>
          <w:rFonts w:eastAsia="Courier New"/>
          <w:szCs w:val="24"/>
        </w:rPr>
      </w:pPr>
      <w:r w:rsidRPr="00FC3B7C">
        <w:rPr>
          <w:rFonts w:eastAsia="Times New Roman"/>
          <w:szCs w:val="24"/>
        </w:rPr>
        <w:t>proto ČNB v r. 1996 rozšířila fluktuační pásmo (7,5 %) koruny, což vedlo</w:t>
      </w:r>
    </w:p>
    <w:p w14:paraId="54AB9D78" w14:textId="77777777" w:rsidR="00A15E2D" w:rsidRPr="00FC3B7C" w:rsidRDefault="00A15E2D" w:rsidP="00A15E2D">
      <w:pPr>
        <w:spacing w:line="37" w:lineRule="exact"/>
        <w:rPr>
          <w:sz w:val="20"/>
          <w:szCs w:val="20"/>
        </w:rPr>
      </w:pPr>
    </w:p>
    <w:p w14:paraId="56C4F702" w14:textId="77777777" w:rsidR="00A15E2D" w:rsidRPr="00FC3B7C" w:rsidRDefault="00A15E2D" w:rsidP="00A15E2D">
      <w:pPr>
        <w:spacing w:line="238" w:lineRule="auto"/>
        <w:ind w:left="1540" w:right="220"/>
        <w:rPr>
          <w:sz w:val="20"/>
          <w:szCs w:val="20"/>
        </w:rPr>
      </w:pPr>
      <w:r w:rsidRPr="00FC3B7C">
        <w:rPr>
          <w:rFonts w:eastAsia="Times New Roman"/>
          <w:szCs w:val="24"/>
        </w:rPr>
        <w:t>k nejistotě zahraničních investorů a poklesu přílivu krátkodobého kapitálu (pokles finančního účtu)</w:t>
      </w:r>
    </w:p>
    <w:p w14:paraId="5D44EF93" w14:textId="77777777" w:rsidR="00A15E2D" w:rsidRPr="00FC3B7C" w:rsidRDefault="00A15E2D" w:rsidP="00A15E2D">
      <w:pPr>
        <w:spacing w:line="2" w:lineRule="exact"/>
        <w:rPr>
          <w:sz w:val="20"/>
          <w:szCs w:val="20"/>
        </w:rPr>
      </w:pPr>
    </w:p>
    <w:p w14:paraId="38A7D12A" w14:textId="77777777" w:rsidR="00A15E2D" w:rsidRPr="00FC3B7C" w:rsidRDefault="00A15E2D" w:rsidP="00D46B53">
      <w:pPr>
        <w:numPr>
          <w:ilvl w:val="1"/>
          <w:numId w:val="195"/>
        </w:numPr>
        <w:tabs>
          <w:tab w:val="left" w:pos="1466"/>
        </w:tabs>
        <w:spacing w:line="354" w:lineRule="auto"/>
        <w:ind w:left="1500" w:right="400" w:hanging="328"/>
        <w:rPr>
          <w:rFonts w:eastAsia="Courier New"/>
          <w:szCs w:val="24"/>
        </w:rPr>
      </w:pPr>
      <w:r w:rsidRPr="00FC3B7C">
        <w:rPr>
          <w:rFonts w:eastAsia="Times New Roman"/>
          <w:szCs w:val="24"/>
        </w:rPr>
        <w:t>přebytek na finančním účtu již nestačil pokrývat deficit běžného účtu a PB poprvé od vzniku ČR skončila v deficitu</w:t>
      </w:r>
    </w:p>
    <w:p w14:paraId="19100E47" w14:textId="77777777" w:rsidR="00A15E2D" w:rsidRPr="00FC3B7C" w:rsidRDefault="00A15E2D" w:rsidP="00A15E2D">
      <w:pPr>
        <w:spacing w:line="1" w:lineRule="exact"/>
        <w:rPr>
          <w:rFonts w:eastAsia="Courier New"/>
          <w:szCs w:val="24"/>
        </w:rPr>
      </w:pPr>
    </w:p>
    <w:p w14:paraId="1800815A" w14:textId="77777777" w:rsidR="00A15E2D" w:rsidRPr="00FC3B7C" w:rsidRDefault="00A15E2D" w:rsidP="00D46B53">
      <w:pPr>
        <w:numPr>
          <w:ilvl w:val="0"/>
          <w:numId w:val="195"/>
        </w:numPr>
        <w:tabs>
          <w:tab w:val="left" w:pos="804"/>
        </w:tabs>
        <w:spacing w:line="273" w:lineRule="auto"/>
        <w:ind w:left="820" w:right="140" w:hanging="368"/>
        <w:rPr>
          <w:rFonts w:eastAsia="Times New Roman"/>
          <w:szCs w:val="24"/>
        </w:rPr>
      </w:pPr>
      <w:r w:rsidRPr="00FC3B7C">
        <w:rPr>
          <w:rFonts w:eastAsia="Times New Roman"/>
          <w:szCs w:val="24"/>
        </w:rPr>
        <w:t>1997 vysoký deficit běžného účtu, růst zadluženosti, odliv kapitálu i přes zvýšení IR, což mělo za následek silný tlak na kurz</w:t>
      </w:r>
    </w:p>
    <w:p w14:paraId="666F1F14" w14:textId="77777777" w:rsidR="00A15E2D" w:rsidRPr="00FC3B7C" w:rsidRDefault="00A15E2D" w:rsidP="00A15E2D">
      <w:pPr>
        <w:spacing w:line="78" w:lineRule="exact"/>
        <w:rPr>
          <w:sz w:val="20"/>
          <w:szCs w:val="20"/>
        </w:rPr>
      </w:pPr>
    </w:p>
    <w:p w14:paraId="500823BF" w14:textId="77777777" w:rsidR="00A15E2D" w:rsidRPr="00FC3B7C" w:rsidRDefault="00A15E2D" w:rsidP="00A15E2D">
      <w:pPr>
        <w:rPr>
          <w:sz w:val="20"/>
          <w:szCs w:val="20"/>
        </w:rPr>
      </w:pPr>
      <w:r w:rsidRPr="00FC3B7C">
        <w:rPr>
          <w:rFonts w:eastAsia="Times New Roman"/>
        </w:rPr>
        <w:t>Nárůst vnější nerovnováhy vedl k měnové krizi v květnu 1997. ČNB se snažila zabránit devalvaci, ale po 10 dnech devizových intervencí kurz uvolnila. Díky uvolnění fixního kurzu došlo ke zlepšení stavu PB – devalvace kurzu a restriktivní HP vedla k obratu ve vývoji vnější nerovnováhy-snížení deficitu běžného účtu, změna struktury finančního účtu – zvýšil se Podíl přímých zahraničních investic (program investičních pobídek).</w:t>
      </w:r>
    </w:p>
    <w:p w14:paraId="63503C4A" w14:textId="77777777" w:rsidR="00A15E2D" w:rsidRDefault="00A15E2D" w:rsidP="00A15E2D"/>
    <w:p w14:paraId="1825BDEC" w14:textId="77777777" w:rsidR="00A15E2D" w:rsidRDefault="00A15E2D" w:rsidP="00A15E2D"/>
    <w:p w14:paraId="7AF3D4CE" w14:textId="77777777" w:rsidR="00A15E2D" w:rsidRDefault="00A15E2D" w:rsidP="00A15E2D"/>
    <w:p w14:paraId="7737ED60" w14:textId="77777777" w:rsidR="00A15E2D" w:rsidRPr="004B6CDE" w:rsidRDefault="00A15E2D" w:rsidP="00A15E2D">
      <w:pPr>
        <w:rPr>
          <w:b/>
          <w:bCs/>
          <w:sz w:val="28"/>
          <w:szCs w:val="24"/>
        </w:rPr>
      </w:pPr>
      <w:r w:rsidRPr="004B6CDE">
        <w:rPr>
          <w:b/>
          <w:bCs/>
          <w:sz w:val="28"/>
          <w:szCs w:val="24"/>
        </w:rPr>
        <w:lastRenderedPageBreak/>
        <w:t>Kurzové režimy v České republice</w:t>
      </w:r>
    </w:p>
    <w:p w14:paraId="379A7689" w14:textId="77777777" w:rsidR="00A15E2D" w:rsidRPr="004B6CDE" w:rsidRDefault="00A15E2D" w:rsidP="00A15E2D">
      <w:pPr>
        <w:pStyle w:val="Odstavecseseznamem"/>
      </w:pPr>
      <w:r w:rsidRPr="004B6CDE">
        <w:t xml:space="preserve">• 1991–1992 režim fixních kurzů </w:t>
      </w:r>
    </w:p>
    <w:p w14:paraId="3BC22695" w14:textId="77777777" w:rsidR="00A15E2D" w:rsidRPr="004B6CDE" w:rsidRDefault="00A15E2D" w:rsidP="00A15E2D">
      <w:pPr>
        <w:pStyle w:val="Odstavecseseznamem"/>
      </w:pPr>
      <w:r w:rsidRPr="004B6CDE">
        <w:t xml:space="preserve">• 1992–1996 režim fixních kurzů s úzkým fluktuačním pásmem </w:t>
      </w:r>
    </w:p>
    <w:p w14:paraId="224F008A" w14:textId="77777777" w:rsidR="00A15E2D" w:rsidRPr="004B6CDE" w:rsidRDefault="00A15E2D" w:rsidP="00A15E2D">
      <w:pPr>
        <w:pStyle w:val="Odstavecseseznamem"/>
      </w:pPr>
      <w:r w:rsidRPr="004B6CDE">
        <w:t xml:space="preserve">• 1996–1997 režim fixních kurzů se širším fluktuačním pásmem </w:t>
      </w:r>
    </w:p>
    <w:p w14:paraId="4BD482E0" w14:textId="77777777" w:rsidR="00A15E2D" w:rsidRPr="004B6CDE" w:rsidRDefault="00A15E2D" w:rsidP="00A15E2D">
      <w:pPr>
        <w:pStyle w:val="Odstavecseseznamem"/>
      </w:pPr>
      <w:r w:rsidRPr="004B6CDE">
        <w:t xml:space="preserve">• 1997 – dosud špinavý floating </w:t>
      </w:r>
    </w:p>
    <w:p w14:paraId="32ADB5ED" w14:textId="4710138F" w:rsidR="00A15E2D" w:rsidRPr="004B6CDE" w:rsidRDefault="00A15E2D" w:rsidP="00A15E2D">
      <w:pPr>
        <w:pStyle w:val="Odstavecseseznamem"/>
      </w:pPr>
      <w:r w:rsidRPr="004B6CDE">
        <w:t>• Listopad 2013 – začátek devizových intervencí</w:t>
      </w:r>
    </w:p>
    <w:p w14:paraId="2B11BC5C" w14:textId="77777777" w:rsidR="00A15E2D" w:rsidRPr="004B6CDE" w:rsidRDefault="00A15E2D" w:rsidP="00A15E2D">
      <w:pPr>
        <w:ind w:left="100" w:firstLine="620"/>
        <w:sectPr w:rsidR="00A15E2D" w:rsidRPr="004B6CDE">
          <w:pgSz w:w="11900" w:h="16840"/>
          <w:pgMar w:top="1397" w:right="1440" w:bottom="1440" w:left="1440" w:header="0" w:footer="0" w:gutter="0"/>
          <w:cols w:space="708" w:equalWidth="0">
            <w:col w:w="9020"/>
          </w:cols>
        </w:sectPr>
      </w:pPr>
      <w:r w:rsidRPr="004B6CDE">
        <w:t>• Duben 2017 – ukončení režimu fixního měnového kurzu – měna začala posilovat</w:t>
      </w:r>
    </w:p>
    <w:p w14:paraId="447E3B3F" w14:textId="77777777" w:rsidR="000A0DA5" w:rsidRPr="00FC3B7C" w:rsidRDefault="000A0DA5" w:rsidP="000A0DA5">
      <w:pPr>
        <w:ind w:left="100"/>
        <w:rPr>
          <w:sz w:val="20"/>
          <w:szCs w:val="20"/>
        </w:rPr>
      </w:pPr>
      <w:bookmarkStart w:id="193" w:name="page182"/>
      <w:bookmarkStart w:id="194" w:name="page187"/>
      <w:bookmarkStart w:id="195" w:name="page188"/>
      <w:bookmarkStart w:id="196" w:name="page196"/>
      <w:bookmarkEnd w:id="193"/>
      <w:bookmarkEnd w:id="194"/>
      <w:bookmarkEnd w:id="195"/>
      <w:bookmarkEnd w:id="196"/>
      <w:r w:rsidRPr="00FC3B7C">
        <w:rPr>
          <w:rFonts w:eastAsia="Times New Roman"/>
          <w:b/>
          <w:bCs/>
          <w:sz w:val="28"/>
          <w:szCs w:val="28"/>
        </w:rPr>
        <w:lastRenderedPageBreak/>
        <w:t>Zdroje</w:t>
      </w:r>
    </w:p>
    <w:p w14:paraId="39B3BD66" w14:textId="77777777" w:rsidR="000A0DA5" w:rsidRPr="00FC3B7C" w:rsidRDefault="000A0DA5" w:rsidP="000A0DA5">
      <w:pPr>
        <w:spacing w:line="347" w:lineRule="exact"/>
        <w:rPr>
          <w:sz w:val="20"/>
          <w:szCs w:val="20"/>
        </w:rPr>
      </w:pPr>
    </w:p>
    <w:p w14:paraId="3F75BFE8" w14:textId="77777777" w:rsidR="000A0DA5" w:rsidRPr="00FC3B7C" w:rsidRDefault="000A0DA5" w:rsidP="000A0DA5">
      <w:pPr>
        <w:ind w:left="100"/>
        <w:rPr>
          <w:sz w:val="20"/>
          <w:szCs w:val="20"/>
        </w:rPr>
      </w:pPr>
      <w:r w:rsidRPr="00FC3B7C">
        <w:rPr>
          <w:rFonts w:eastAsia="Times New Roman"/>
          <w:szCs w:val="24"/>
        </w:rPr>
        <w:t>HOLMAN, R. a kol.: Dějiny ekonomického myšlení. 3. Vydání. Praha, C.H. Beck, 2005</w:t>
      </w:r>
    </w:p>
    <w:p w14:paraId="234FF68F" w14:textId="77777777" w:rsidR="000A0DA5" w:rsidRPr="00FC3B7C" w:rsidRDefault="000A0DA5" w:rsidP="000A0DA5">
      <w:pPr>
        <w:spacing w:line="156" w:lineRule="exact"/>
        <w:rPr>
          <w:sz w:val="20"/>
          <w:szCs w:val="20"/>
        </w:rPr>
      </w:pPr>
    </w:p>
    <w:p w14:paraId="4DB2862B" w14:textId="77777777" w:rsidR="000A0DA5" w:rsidRPr="00FC3B7C" w:rsidRDefault="000A0DA5" w:rsidP="000A0DA5">
      <w:pPr>
        <w:ind w:left="100"/>
        <w:rPr>
          <w:sz w:val="20"/>
          <w:szCs w:val="20"/>
        </w:rPr>
      </w:pPr>
      <w:r w:rsidRPr="00FC3B7C">
        <w:rPr>
          <w:rFonts w:eastAsia="Times New Roman"/>
          <w:szCs w:val="24"/>
        </w:rPr>
        <w:t>HOLMAN, R. Ekonomie, 4. aktualizované vyd. Praha: C.H. Beck, 2005, 710 s., ISBN 80-</w:t>
      </w:r>
    </w:p>
    <w:p w14:paraId="54D1FEA1" w14:textId="77777777" w:rsidR="000A0DA5" w:rsidRPr="00FC3B7C" w:rsidRDefault="000A0DA5" w:rsidP="000A0DA5">
      <w:pPr>
        <w:spacing w:line="156" w:lineRule="exact"/>
        <w:rPr>
          <w:sz w:val="20"/>
          <w:szCs w:val="20"/>
        </w:rPr>
      </w:pPr>
    </w:p>
    <w:p w14:paraId="17224C9E" w14:textId="77777777" w:rsidR="000A0DA5" w:rsidRPr="00FC3B7C" w:rsidRDefault="000A0DA5" w:rsidP="000A0DA5">
      <w:pPr>
        <w:ind w:left="100"/>
        <w:rPr>
          <w:sz w:val="20"/>
          <w:szCs w:val="20"/>
        </w:rPr>
      </w:pPr>
      <w:r w:rsidRPr="00FC3B7C">
        <w:rPr>
          <w:rFonts w:eastAsia="Times New Roman"/>
          <w:szCs w:val="24"/>
        </w:rPr>
        <w:t>7179-891-6.</w:t>
      </w:r>
    </w:p>
    <w:p w14:paraId="19E212FB" w14:textId="77777777" w:rsidR="000A0DA5" w:rsidRPr="00FC3B7C" w:rsidRDefault="000A0DA5" w:rsidP="000A0DA5">
      <w:pPr>
        <w:spacing w:line="161" w:lineRule="exact"/>
        <w:rPr>
          <w:sz w:val="20"/>
          <w:szCs w:val="20"/>
        </w:rPr>
      </w:pPr>
    </w:p>
    <w:p w14:paraId="10FEE8E6" w14:textId="77777777" w:rsidR="000A0DA5" w:rsidRPr="00FC3B7C" w:rsidRDefault="000A0DA5" w:rsidP="000A0DA5">
      <w:pPr>
        <w:ind w:left="100"/>
        <w:rPr>
          <w:sz w:val="20"/>
          <w:szCs w:val="20"/>
        </w:rPr>
      </w:pPr>
      <w:r w:rsidRPr="00FC3B7C">
        <w:rPr>
          <w:rFonts w:eastAsia="Times New Roman"/>
          <w:szCs w:val="24"/>
        </w:rPr>
        <w:t>HOLMAN, R. Makroekonomie. Středně pokročilý kurz. 2. vydání. Praha: C. H. Beck, 2010.</w:t>
      </w:r>
    </w:p>
    <w:p w14:paraId="1E397E7F" w14:textId="77777777" w:rsidR="000A0DA5" w:rsidRPr="00FC3B7C" w:rsidRDefault="000A0DA5" w:rsidP="000A0DA5">
      <w:pPr>
        <w:spacing w:line="156" w:lineRule="exact"/>
        <w:rPr>
          <w:sz w:val="20"/>
          <w:szCs w:val="20"/>
        </w:rPr>
      </w:pPr>
    </w:p>
    <w:p w14:paraId="1EB697CB" w14:textId="77777777" w:rsidR="000A0DA5" w:rsidRPr="00FC3B7C" w:rsidRDefault="000A0DA5" w:rsidP="000A0DA5">
      <w:pPr>
        <w:ind w:left="100"/>
        <w:rPr>
          <w:sz w:val="20"/>
          <w:szCs w:val="20"/>
        </w:rPr>
      </w:pPr>
      <w:r w:rsidRPr="00FC3B7C">
        <w:rPr>
          <w:rFonts w:eastAsia="Times New Roman"/>
          <w:szCs w:val="24"/>
        </w:rPr>
        <w:t>424 s. ISBN 978-80-7179-861-3</w:t>
      </w:r>
    </w:p>
    <w:p w14:paraId="5DEA0F6D" w14:textId="77777777" w:rsidR="000A0DA5" w:rsidRPr="00FC3B7C" w:rsidRDefault="000A0DA5" w:rsidP="000A0DA5">
      <w:pPr>
        <w:spacing w:line="156" w:lineRule="exact"/>
        <w:rPr>
          <w:sz w:val="20"/>
          <w:szCs w:val="20"/>
        </w:rPr>
      </w:pPr>
    </w:p>
    <w:p w14:paraId="775EA9C7" w14:textId="77777777" w:rsidR="000A0DA5" w:rsidRPr="00FC3B7C" w:rsidRDefault="000A0DA5" w:rsidP="000A0DA5">
      <w:pPr>
        <w:ind w:left="100"/>
        <w:rPr>
          <w:sz w:val="20"/>
          <w:szCs w:val="20"/>
        </w:rPr>
      </w:pPr>
      <w:r w:rsidRPr="00FC3B7C">
        <w:rPr>
          <w:rFonts w:eastAsia="Times New Roman"/>
          <w:szCs w:val="24"/>
        </w:rPr>
        <w:t>ŠŤASTNÝ, D., Protekcionismus: „ptolemaiovský“ systém populární ekonomie dostupné</w:t>
      </w:r>
    </w:p>
    <w:p w14:paraId="05A427B0" w14:textId="77777777" w:rsidR="000A0DA5" w:rsidRPr="00FC3B7C" w:rsidRDefault="000A0DA5" w:rsidP="000A0DA5">
      <w:pPr>
        <w:spacing w:line="161" w:lineRule="exact"/>
        <w:rPr>
          <w:sz w:val="20"/>
          <w:szCs w:val="20"/>
        </w:rPr>
      </w:pPr>
    </w:p>
    <w:p w14:paraId="0593501A" w14:textId="77777777" w:rsidR="000A0DA5" w:rsidRPr="00FC3B7C" w:rsidRDefault="000A0DA5" w:rsidP="000A0DA5">
      <w:pPr>
        <w:spacing w:line="265" w:lineRule="auto"/>
        <w:ind w:left="100" w:right="60"/>
        <w:rPr>
          <w:sz w:val="20"/>
          <w:szCs w:val="20"/>
        </w:rPr>
      </w:pPr>
      <w:r w:rsidRPr="00FC3B7C">
        <w:rPr>
          <w:rFonts w:eastAsia="Times New Roman"/>
          <w:sz w:val="23"/>
          <w:szCs w:val="23"/>
        </w:rPr>
        <w:t xml:space="preserve">online:&lt; </w:t>
      </w:r>
      <w:r w:rsidRPr="00FC3B7C">
        <w:rPr>
          <w:rFonts w:eastAsia="Times New Roman"/>
          <w:color w:val="0000FF"/>
          <w:sz w:val="23"/>
          <w:szCs w:val="23"/>
          <w:u w:val="single"/>
        </w:rPr>
        <w:t>http://nb.vse.cz/~svobodam/Archiv_textu/Mezinarodni_obchod/Stastny_Protekcioni</w:t>
      </w:r>
      <w:r w:rsidRPr="00FC3B7C">
        <w:rPr>
          <w:rFonts w:eastAsia="Times New Roman"/>
          <w:sz w:val="23"/>
          <w:szCs w:val="23"/>
        </w:rPr>
        <w:t xml:space="preserve"> </w:t>
      </w:r>
      <w:r w:rsidRPr="00FC3B7C">
        <w:rPr>
          <w:rFonts w:eastAsia="Times New Roman"/>
          <w:color w:val="0000FF"/>
          <w:sz w:val="23"/>
          <w:szCs w:val="23"/>
          <w:u w:val="single"/>
        </w:rPr>
        <w:t>smus.pd</w:t>
      </w:r>
      <w:r w:rsidRPr="00FC3B7C">
        <w:rPr>
          <w:rFonts w:eastAsia="Times New Roman"/>
          <w:color w:val="0000FF"/>
          <w:sz w:val="23"/>
          <w:szCs w:val="23"/>
        </w:rPr>
        <w:t xml:space="preserve"> </w:t>
      </w:r>
      <w:r w:rsidRPr="00FC3B7C">
        <w:rPr>
          <w:rFonts w:eastAsia="Times New Roman"/>
          <w:color w:val="000000"/>
          <w:sz w:val="23"/>
          <w:szCs w:val="23"/>
        </w:rPr>
        <w:t>f&gt;</w:t>
      </w:r>
    </w:p>
    <w:p w14:paraId="7F749BA8" w14:textId="77777777" w:rsidR="000A0DA5" w:rsidRPr="00FC3B7C" w:rsidRDefault="000A0DA5" w:rsidP="000A0DA5">
      <w:pPr>
        <w:spacing w:line="1" w:lineRule="exact"/>
        <w:rPr>
          <w:sz w:val="20"/>
          <w:szCs w:val="20"/>
        </w:rPr>
      </w:pPr>
    </w:p>
    <w:p w14:paraId="37846E4C" w14:textId="7CA1B321" w:rsidR="000A0DA5" w:rsidRDefault="000A0DA5" w:rsidP="000A0DA5">
      <w:pPr>
        <w:spacing w:line="242" w:lineRule="auto"/>
        <w:ind w:left="100" w:right="860"/>
        <w:jc w:val="left"/>
        <w:rPr>
          <w:rFonts w:eastAsia="Times New Roman"/>
          <w:szCs w:val="24"/>
        </w:rPr>
      </w:pPr>
      <w:r w:rsidRPr="00FC3B7C">
        <w:rPr>
          <w:rFonts w:eastAsia="Times New Roman"/>
          <w:szCs w:val="24"/>
        </w:rPr>
        <w:t>ŽÁK, M., Hospodářská politika, dostupné online:</w:t>
      </w:r>
      <w:hyperlink r:id="rId79" w:history="1">
        <w:r w:rsidR="00A15E2D" w:rsidRPr="00B656F2">
          <w:rPr>
            <w:rStyle w:val="Hypertextovodkaz"/>
            <w:rFonts w:eastAsia="Times New Roman"/>
            <w:szCs w:val="24"/>
          </w:rPr>
          <w:t>http://www.vsem.cz/data/data/sis-ukazkykapitol/uc_hp_kapitola.pdf</w:t>
        </w:r>
      </w:hyperlink>
    </w:p>
    <w:p w14:paraId="1697103E" w14:textId="77777777" w:rsidR="00A15E2D" w:rsidRPr="00FC3B7C" w:rsidRDefault="00A15E2D" w:rsidP="000A0DA5">
      <w:pPr>
        <w:spacing w:line="242" w:lineRule="auto"/>
        <w:ind w:left="100" w:right="860"/>
        <w:jc w:val="left"/>
        <w:rPr>
          <w:sz w:val="20"/>
          <w:szCs w:val="20"/>
        </w:rPr>
      </w:pPr>
    </w:p>
    <w:p w14:paraId="6E883399" w14:textId="77777777" w:rsidR="000A0DA5" w:rsidRPr="00FC3B7C" w:rsidRDefault="000A0DA5" w:rsidP="000A0DA5">
      <w:pPr>
        <w:ind w:left="100"/>
        <w:rPr>
          <w:sz w:val="20"/>
          <w:szCs w:val="20"/>
        </w:rPr>
      </w:pPr>
      <w:r w:rsidRPr="00FC3B7C">
        <w:rPr>
          <w:rFonts w:eastAsia="Times New Roman"/>
          <w:szCs w:val="24"/>
        </w:rPr>
        <w:t>Český statistický úřa</w:t>
      </w:r>
      <w:r w:rsidRPr="00FC3B7C">
        <w:rPr>
          <w:rFonts w:eastAsia="Times New Roman"/>
          <w:color w:val="0000FF"/>
          <w:szCs w:val="24"/>
          <w:u w:val="single"/>
        </w:rPr>
        <w:t>d: http://www.czso.cz</w:t>
      </w:r>
    </w:p>
    <w:p w14:paraId="7A305430" w14:textId="77777777" w:rsidR="000A0DA5" w:rsidRPr="00FC3B7C" w:rsidRDefault="000A0DA5" w:rsidP="000A0DA5">
      <w:pPr>
        <w:spacing w:line="123" w:lineRule="exact"/>
        <w:rPr>
          <w:sz w:val="20"/>
          <w:szCs w:val="20"/>
        </w:rPr>
      </w:pPr>
    </w:p>
    <w:p w14:paraId="2B1AACF3" w14:textId="77777777" w:rsidR="000A0DA5" w:rsidRPr="00FC3B7C" w:rsidRDefault="000A0DA5" w:rsidP="000A0DA5">
      <w:pPr>
        <w:ind w:left="100"/>
        <w:rPr>
          <w:sz w:val="20"/>
          <w:szCs w:val="20"/>
        </w:rPr>
      </w:pPr>
      <w:r w:rsidRPr="00FC3B7C">
        <w:rPr>
          <w:rFonts w:eastAsia="Times New Roman"/>
          <w:szCs w:val="24"/>
        </w:rPr>
        <w:t>ŠEVČÍK, Miroslav.Kurz5HP200, ZS2011/2012</w:t>
      </w:r>
    </w:p>
    <w:p w14:paraId="3969B554" w14:textId="77777777" w:rsidR="000A0DA5" w:rsidRPr="00FC3B7C" w:rsidRDefault="000A0DA5" w:rsidP="000A0DA5">
      <w:pPr>
        <w:spacing w:line="161" w:lineRule="exact"/>
        <w:rPr>
          <w:sz w:val="20"/>
          <w:szCs w:val="20"/>
        </w:rPr>
      </w:pPr>
    </w:p>
    <w:p w14:paraId="26373654" w14:textId="7110FD52" w:rsidR="000A0DA5" w:rsidRPr="00FC3B7C" w:rsidRDefault="000A0DA5" w:rsidP="00A15E2D">
      <w:pPr>
        <w:ind w:left="100"/>
        <w:rPr>
          <w:sz w:val="20"/>
          <w:szCs w:val="20"/>
        </w:rPr>
      </w:pPr>
      <w:r w:rsidRPr="00FC3B7C">
        <w:rPr>
          <w:rFonts w:eastAsia="Times New Roman"/>
          <w:szCs w:val="24"/>
        </w:rPr>
        <w:t>Jaký je rozdíl mezi pevným a plovoucím měnovým kurzem? ČNB. [online]. [cit. 2013-03</w:t>
      </w:r>
      <w:r w:rsidR="00A15E2D">
        <w:rPr>
          <w:rFonts w:eastAsia="Times New Roman"/>
          <w:szCs w:val="24"/>
        </w:rPr>
        <w:t>-</w:t>
      </w:r>
      <w:r w:rsidRPr="00FC3B7C">
        <w:rPr>
          <w:rFonts w:eastAsia="Times New Roman"/>
          <w:szCs w:val="24"/>
        </w:rPr>
        <w:t>31]. Dostupné z:</w:t>
      </w:r>
      <w:r w:rsidR="00A15E2D">
        <w:rPr>
          <w:sz w:val="20"/>
          <w:szCs w:val="20"/>
        </w:rPr>
        <w:t xml:space="preserve"> </w:t>
      </w:r>
      <w:r w:rsidRPr="00FC3B7C">
        <w:rPr>
          <w:rFonts w:eastAsia="Times New Roman"/>
          <w:sz w:val="23"/>
          <w:szCs w:val="23"/>
        </w:rPr>
        <w:t>&lt;</w:t>
      </w:r>
      <w:r w:rsidRPr="00FC3B7C">
        <w:rPr>
          <w:rFonts w:eastAsia="Times New Roman"/>
          <w:color w:val="0000FF"/>
          <w:sz w:val="23"/>
          <w:szCs w:val="23"/>
          <w:u w:val="single"/>
        </w:rPr>
        <w:t>http://www.cnb.cz/cs/faq/jaky_je_rozdil_mezi_pevnym_a_plovoucim_menovym_kurzem.</w:t>
      </w:r>
      <w:r w:rsidRPr="00FC3B7C">
        <w:rPr>
          <w:rFonts w:eastAsia="Times New Roman"/>
          <w:sz w:val="23"/>
          <w:szCs w:val="23"/>
        </w:rPr>
        <w:t xml:space="preserve"> </w:t>
      </w:r>
      <w:r w:rsidRPr="00FC3B7C">
        <w:rPr>
          <w:rFonts w:eastAsia="Times New Roman"/>
          <w:color w:val="0000FF"/>
          <w:sz w:val="23"/>
          <w:szCs w:val="23"/>
          <w:u w:val="single"/>
        </w:rPr>
        <w:t>ht</w:t>
      </w:r>
      <w:r w:rsidRPr="00FC3B7C">
        <w:rPr>
          <w:rFonts w:eastAsia="Times New Roman"/>
          <w:color w:val="0000FF"/>
          <w:sz w:val="23"/>
          <w:szCs w:val="23"/>
        </w:rPr>
        <w:t xml:space="preserve"> </w:t>
      </w:r>
      <w:r w:rsidRPr="00FC3B7C">
        <w:rPr>
          <w:rFonts w:eastAsia="Times New Roman"/>
          <w:color w:val="000000"/>
          <w:sz w:val="23"/>
          <w:szCs w:val="23"/>
        </w:rPr>
        <w:t>ml&gt;</w:t>
      </w:r>
    </w:p>
    <w:p w14:paraId="2F2BF4CE" w14:textId="77777777" w:rsidR="000A0DA5" w:rsidRPr="00FC3B7C" w:rsidRDefault="000A0DA5" w:rsidP="000A0DA5">
      <w:pPr>
        <w:spacing w:line="2" w:lineRule="exact"/>
        <w:rPr>
          <w:sz w:val="20"/>
          <w:szCs w:val="20"/>
        </w:rPr>
      </w:pPr>
    </w:p>
    <w:p w14:paraId="445B56D5" w14:textId="77777777" w:rsidR="000A0DA5" w:rsidRPr="00FC3B7C" w:rsidRDefault="000A0DA5" w:rsidP="000A0DA5">
      <w:pPr>
        <w:ind w:left="100"/>
        <w:rPr>
          <w:sz w:val="20"/>
          <w:szCs w:val="20"/>
        </w:rPr>
      </w:pPr>
      <w:r w:rsidRPr="00FC3B7C">
        <w:rPr>
          <w:rFonts w:eastAsia="Times New Roman"/>
          <w:szCs w:val="24"/>
        </w:rPr>
        <w:t>Co to je nominální a reálný měnový kurz? ČNB. [online]. [cit. 2013-03-31]. Dostupné z:</w:t>
      </w:r>
    </w:p>
    <w:p w14:paraId="7F1EF49A" w14:textId="77777777" w:rsidR="000A0DA5" w:rsidRPr="00FC3B7C" w:rsidRDefault="000A0DA5" w:rsidP="000A0DA5">
      <w:pPr>
        <w:spacing w:line="127" w:lineRule="exact"/>
        <w:rPr>
          <w:sz w:val="20"/>
          <w:szCs w:val="20"/>
        </w:rPr>
      </w:pPr>
    </w:p>
    <w:p w14:paraId="619AC63B" w14:textId="77777777" w:rsidR="000A0DA5" w:rsidRPr="00FC3B7C" w:rsidRDefault="000A0DA5" w:rsidP="000A0DA5">
      <w:pPr>
        <w:ind w:left="100"/>
        <w:rPr>
          <w:sz w:val="20"/>
          <w:szCs w:val="20"/>
        </w:rPr>
      </w:pPr>
      <w:r w:rsidRPr="00FC3B7C">
        <w:rPr>
          <w:rFonts w:eastAsia="Times New Roman"/>
          <w:szCs w:val="24"/>
        </w:rPr>
        <w:t>&lt;</w:t>
      </w:r>
      <w:r w:rsidRPr="00FC3B7C">
        <w:rPr>
          <w:rFonts w:eastAsia="Times New Roman"/>
          <w:color w:val="0000FF"/>
          <w:szCs w:val="24"/>
          <w:u w:val="single"/>
        </w:rPr>
        <w:t>http://www.cnb.cz/cs/faq/co_to_je_nominalni_a_realny_menovy_kurz.html</w:t>
      </w:r>
      <w:r w:rsidRPr="00FC3B7C">
        <w:rPr>
          <w:rFonts w:eastAsia="Times New Roman"/>
          <w:szCs w:val="24"/>
        </w:rPr>
        <w:t>&gt;</w:t>
      </w:r>
    </w:p>
    <w:p w14:paraId="09B3C33E" w14:textId="77777777" w:rsidR="000A0DA5" w:rsidRPr="00FC3B7C" w:rsidRDefault="000A0DA5" w:rsidP="000A0DA5">
      <w:pPr>
        <w:spacing w:line="156" w:lineRule="exact"/>
        <w:rPr>
          <w:sz w:val="20"/>
          <w:szCs w:val="20"/>
        </w:rPr>
      </w:pPr>
    </w:p>
    <w:p w14:paraId="5055D406" w14:textId="77777777" w:rsidR="000A0DA5" w:rsidRPr="00FC3B7C" w:rsidRDefault="000A0DA5" w:rsidP="000A0DA5">
      <w:pPr>
        <w:ind w:left="100"/>
        <w:rPr>
          <w:sz w:val="20"/>
          <w:szCs w:val="20"/>
        </w:rPr>
      </w:pPr>
      <w:r w:rsidRPr="00FC3B7C">
        <w:rPr>
          <w:rFonts w:eastAsia="Times New Roman"/>
          <w:szCs w:val="24"/>
        </w:rPr>
        <w:t>Platební bilance, devizový trh a vnější měnový trh. [online].[cit. 2013-03-31]. Dostupné z:</w:t>
      </w:r>
    </w:p>
    <w:p w14:paraId="07B3D45B" w14:textId="77777777" w:rsidR="000A0DA5" w:rsidRPr="00FC3B7C" w:rsidRDefault="000A0DA5" w:rsidP="000A0DA5">
      <w:pPr>
        <w:spacing w:line="156" w:lineRule="exact"/>
        <w:rPr>
          <w:sz w:val="20"/>
          <w:szCs w:val="20"/>
        </w:rPr>
      </w:pPr>
    </w:p>
    <w:p w14:paraId="18E6694C" w14:textId="77777777" w:rsidR="000A0DA5" w:rsidRPr="00FC3B7C" w:rsidRDefault="000A0DA5" w:rsidP="000A0DA5">
      <w:pPr>
        <w:ind w:left="100"/>
        <w:rPr>
          <w:sz w:val="20"/>
          <w:szCs w:val="20"/>
        </w:rPr>
      </w:pPr>
      <w:r w:rsidRPr="00FC3B7C">
        <w:rPr>
          <w:rFonts w:eastAsia="Times New Roman"/>
          <w:szCs w:val="24"/>
        </w:rPr>
        <w:t>&lt;</w:t>
      </w:r>
      <w:r w:rsidRPr="00FC3B7C">
        <w:rPr>
          <w:rFonts w:eastAsia="Times New Roman"/>
          <w:color w:val="0000FF"/>
          <w:szCs w:val="24"/>
          <w:u w:val="single"/>
        </w:rPr>
        <w:t>http://www.miras.cz/seminarky/makroekonomie-n09-platebni-bilance.php&gt;</w:t>
      </w:r>
    </w:p>
    <w:p w14:paraId="5A6251F6" w14:textId="77777777" w:rsidR="000A0DA5" w:rsidRPr="00FC3B7C" w:rsidRDefault="000A0DA5" w:rsidP="000A0DA5">
      <w:pPr>
        <w:spacing w:line="152" w:lineRule="exact"/>
        <w:rPr>
          <w:sz w:val="20"/>
          <w:szCs w:val="20"/>
        </w:rPr>
      </w:pPr>
    </w:p>
    <w:p w14:paraId="08EF43E8" w14:textId="77777777" w:rsidR="000A0DA5" w:rsidRPr="00FC3B7C" w:rsidRDefault="000A0DA5" w:rsidP="000A0DA5">
      <w:pPr>
        <w:spacing w:line="326" w:lineRule="auto"/>
        <w:ind w:left="100" w:right="360"/>
        <w:rPr>
          <w:sz w:val="20"/>
          <w:szCs w:val="20"/>
        </w:rPr>
      </w:pPr>
      <w:r w:rsidRPr="00FC3B7C">
        <w:rPr>
          <w:rFonts w:eastAsia="Times New Roman"/>
          <w:szCs w:val="24"/>
        </w:rPr>
        <w:t xml:space="preserve">KUBÍČEK, Jan. </w:t>
      </w:r>
      <w:r w:rsidRPr="00FC3B7C">
        <w:rPr>
          <w:rFonts w:eastAsia="Times New Roman"/>
          <w:i/>
          <w:iCs/>
          <w:szCs w:val="24"/>
        </w:rPr>
        <w:t>Hospodářská politika</w:t>
      </w:r>
      <w:r w:rsidRPr="00FC3B7C">
        <w:rPr>
          <w:rFonts w:eastAsia="Times New Roman"/>
          <w:szCs w:val="24"/>
        </w:rPr>
        <w:t>. Plzeň: Vydavatelství a nakladatelství Aleš Čeněk, 2006, 302 s. Vysokoškolské učebnice (Aleš Čeněk). ISBN 80-868-9899-7.</w:t>
      </w:r>
    </w:p>
    <w:p w14:paraId="5E0CC038" w14:textId="77777777" w:rsidR="000A0DA5" w:rsidRPr="00FC3B7C" w:rsidRDefault="000A0DA5" w:rsidP="000A0DA5">
      <w:pPr>
        <w:ind w:left="120"/>
        <w:rPr>
          <w:sz w:val="20"/>
          <w:szCs w:val="20"/>
        </w:rPr>
      </w:pPr>
      <w:r w:rsidRPr="00FC3B7C">
        <w:rPr>
          <w:rFonts w:eastAsia="Times New Roman"/>
          <w:szCs w:val="24"/>
        </w:rPr>
        <w:t xml:space="preserve">Vybrané devizové kurzy. </w:t>
      </w:r>
      <w:r w:rsidRPr="00FC3B7C">
        <w:rPr>
          <w:rFonts w:eastAsia="Times New Roman"/>
          <w:i/>
          <w:iCs/>
          <w:szCs w:val="24"/>
        </w:rPr>
        <w:t>Česká národní banka</w:t>
      </w:r>
      <w:r w:rsidRPr="00FC3B7C">
        <w:rPr>
          <w:rFonts w:eastAsia="Times New Roman"/>
          <w:szCs w:val="24"/>
        </w:rPr>
        <w:t xml:space="preserve"> [online]. [cit. 2017-03-17]. Dostupné z:</w:t>
      </w:r>
    </w:p>
    <w:p w14:paraId="2A37133D" w14:textId="77777777" w:rsidR="000A0DA5" w:rsidRPr="00FC3B7C" w:rsidRDefault="000A0DA5" w:rsidP="000A0DA5">
      <w:pPr>
        <w:ind w:left="120"/>
        <w:rPr>
          <w:sz w:val="20"/>
          <w:szCs w:val="20"/>
        </w:rPr>
      </w:pPr>
      <w:r w:rsidRPr="00FC3B7C">
        <w:rPr>
          <w:rFonts w:eastAsia="Times New Roman"/>
          <w:color w:val="0000FF"/>
          <w:szCs w:val="24"/>
          <w:u w:val="single"/>
        </w:rPr>
        <w:t>https://www.cnb.cz/cs/financni_trhy/devizovy_trh/kurzy_devizoveho_trhu/grafy_form.jsp</w:t>
      </w:r>
    </w:p>
    <w:p w14:paraId="4A6F3A7A" w14:textId="77777777" w:rsidR="00661EA8" w:rsidRPr="00FC3B7C" w:rsidRDefault="00661EA8" w:rsidP="00661EA8"/>
    <w:p w14:paraId="4A6F3A7B" w14:textId="77777777" w:rsidR="00661EA8" w:rsidRPr="00FC3B7C" w:rsidRDefault="00661EA8" w:rsidP="00661EA8"/>
    <w:p w14:paraId="4A6F3A7C" w14:textId="77777777" w:rsidR="00661EA8" w:rsidRPr="00FC3B7C" w:rsidRDefault="00661EA8" w:rsidP="00661EA8"/>
    <w:p w14:paraId="4A6F3A7E" w14:textId="77777777" w:rsidR="00661EA8" w:rsidRPr="00FC3B7C" w:rsidRDefault="00661EA8" w:rsidP="00661EA8"/>
    <w:p w14:paraId="3FE341D6" w14:textId="1E33E0BA" w:rsidR="00A15E2D" w:rsidRPr="00244BB9" w:rsidRDefault="00A15E2D" w:rsidP="00A15E2D">
      <w:pPr>
        <w:pStyle w:val="Nadpis1"/>
        <w:ind w:left="0" w:hanging="6"/>
        <w:rPr>
          <w:color w:val="1F3864" w:themeColor="accent1" w:themeShade="80"/>
          <w:sz w:val="20"/>
          <w:szCs w:val="20"/>
        </w:rPr>
      </w:pPr>
      <w:bookmarkStart w:id="197" w:name="_Toc535504907"/>
      <w:bookmarkStart w:id="198" w:name="_Toc54254081"/>
      <w:r w:rsidRPr="00244BB9">
        <w:rPr>
          <w:color w:val="1F3864" w:themeColor="accent1" w:themeShade="80"/>
        </w:rPr>
        <w:lastRenderedPageBreak/>
        <w:t>OBCHODNÍ POLITIKA</w:t>
      </w:r>
      <w:bookmarkEnd w:id="197"/>
      <w:bookmarkEnd w:id="198"/>
    </w:p>
    <w:p w14:paraId="0C617747" w14:textId="77777777" w:rsidR="00A15E2D" w:rsidRPr="00FC3B7C" w:rsidRDefault="00A15E2D" w:rsidP="00A15E2D">
      <w:pPr>
        <w:rPr>
          <w:sz w:val="20"/>
          <w:szCs w:val="20"/>
        </w:rPr>
      </w:pPr>
      <w:r w:rsidRPr="00FC3B7C">
        <w:rPr>
          <w:rFonts w:eastAsia="Times New Roman"/>
          <w:b/>
          <w:bCs/>
          <w:sz w:val="28"/>
          <w:szCs w:val="28"/>
        </w:rPr>
        <w:t>Slovníček pojmů:</w:t>
      </w:r>
    </w:p>
    <w:p w14:paraId="12298BAE" w14:textId="300C8E4F" w:rsidR="00A15E2D" w:rsidRPr="00FC3B7C" w:rsidRDefault="00A15E2D" w:rsidP="00A15E2D">
      <w:pPr>
        <w:rPr>
          <w:sz w:val="20"/>
          <w:szCs w:val="20"/>
        </w:rPr>
      </w:pPr>
      <w:r w:rsidRPr="00A15E2D">
        <w:rPr>
          <w:rFonts w:eastAsia="Times New Roman"/>
          <w:bCs/>
          <w:i/>
          <w:iCs/>
          <w:u w:val="single"/>
        </w:rPr>
        <w:t>Internacionalizace</w:t>
      </w:r>
      <w:r w:rsidR="007E5E16">
        <w:rPr>
          <w:rFonts w:eastAsia="Times New Roman"/>
          <w:bCs/>
          <w:i/>
          <w:iCs/>
        </w:rPr>
        <w:t xml:space="preserve"> </w:t>
      </w:r>
      <w:r w:rsidRPr="00FC3B7C">
        <w:rPr>
          <w:rFonts w:eastAsia="Times New Roman"/>
        </w:rPr>
        <w:t>– zmezinárodňování</w:t>
      </w:r>
    </w:p>
    <w:p w14:paraId="5EE03E1E" w14:textId="6CBC4C4E" w:rsidR="00A15E2D" w:rsidRPr="00FC3B7C" w:rsidRDefault="00A15E2D" w:rsidP="00A15E2D">
      <w:pPr>
        <w:rPr>
          <w:sz w:val="20"/>
          <w:szCs w:val="20"/>
        </w:rPr>
      </w:pPr>
      <w:r w:rsidRPr="00A15E2D">
        <w:rPr>
          <w:rFonts w:eastAsia="Times New Roman"/>
          <w:bCs/>
          <w:i/>
          <w:iCs/>
          <w:u w:val="single"/>
        </w:rPr>
        <w:t>Globalizace</w:t>
      </w:r>
      <w:r w:rsidR="007E5E16">
        <w:rPr>
          <w:rFonts w:eastAsia="Times New Roman"/>
          <w:bCs/>
          <w:i/>
          <w:iCs/>
        </w:rPr>
        <w:t xml:space="preserve"> </w:t>
      </w:r>
      <w:r w:rsidRPr="007E5E16">
        <w:rPr>
          <w:rFonts w:eastAsia="Times New Roman"/>
          <w:bCs/>
          <w:i/>
          <w:iCs/>
        </w:rPr>
        <w:t>–</w:t>
      </w:r>
      <w:r w:rsidRPr="00FC3B7C">
        <w:rPr>
          <w:rFonts w:eastAsia="Times New Roman"/>
        </w:rPr>
        <w:t xml:space="preserve"> propojování politických a sociokulturních událostí ve světě, některé země</w:t>
      </w:r>
      <w:r w:rsidRPr="00FC3B7C">
        <w:rPr>
          <w:rFonts w:eastAsia="Times New Roman"/>
          <w:i/>
          <w:iCs/>
        </w:rPr>
        <w:t xml:space="preserve"> </w:t>
      </w:r>
      <w:r w:rsidRPr="00FC3B7C">
        <w:rPr>
          <w:rFonts w:eastAsia="Times New Roman"/>
        </w:rPr>
        <w:t>se v</w:t>
      </w:r>
      <w:r w:rsidRPr="00FC3B7C">
        <w:rPr>
          <w:rFonts w:eastAsia="Times New Roman"/>
          <w:i/>
          <w:iCs/>
        </w:rPr>
        <w:t xml:space="preserve"> </w:t>
      </w:r>
      <w:r w:rsidRPr="00FC3B7C">
        <w:rPr>
          <w:rFonts w:eastAsia="Times New Roman"/>
        </w:rPr>
        <w:t>důsledku tohoto procesu přibližují, jiné oddalují</w:t>
      </w:r>
    </w:p>
    <w:p w14:paraId="5BBBEFAB" w14:textId="0EC843DA" w:rsidR="00A15E2D" w:rsidRPr="00FC3B7C" w:rsidRDefault="00A15E2D" w:rsidP="00A15E2D">
      <w:pPr>
        <w:rPr>
          <w:sz w:val="20"/>
          <w:szCs w:val="20"/>
        </w:rPr>
      </w:pPr>
      <w:r w:rsidRPr="00A15E2D">
        <w:rPr>
          <w:rFonts w:eastAsia="Times New Roman"/>
          <w:bCs/>
          <w:i/>
          <w:iCs/>
          <w:u w:val="single"/>
        </w:rPr>
        <w:t>Autarkie</w:t>
      </w:r>
      <w:r w:rsidR="007E5E16">
        <w:rPr>
          <w:rFonts w:eastAsia="Times New Roman"/>
          <w:bCs/>
          <w:i/>
          <w:iCs/>
        </w:rPr>
        <w:t xml:space="preserve"> </w:t>
      </w:r>
      <w:r w:rsidRPr="00FC3B7C">
        <w:rPr>
          <w:rFonts w:eastAsia="Times New Roman"/>
        </w:rPr>
        <w:t>– uzavření domácího trhu pro dovozy a znemožnění vývozů</w:t>
      </w:r>
    </w:p>
    <w:p w14:paraId="53E66D1A" w14:textId="26AB6BC8" w:rsidR="00A15E2D" w:rsidRPr="00FC3B7C" w:rsidRDefault="00A15E2D" w:rsidP="00A15E2D">
      <w:pPr>
        <w:rPr>
          <w:sz w:val="20"/>
          <w:szCs w:val="20"/>
        </w:rPr>
      </w:pPr>
      <w:r w:rsidRPr="00A15E2D">
        <w:rPr>
          <w:rFonts w:eastAsia="Times New Roman"/>
          <w:bCs/>
          <w:i/>
          <w:iCs/>
          <w:u w:val="single"/>
        </w:rPr>
        <w:t>Apreciace</w:t>
      </w:r>
      <w:r w:rsidR="007E5E16">
        <w:rPr>
          <w:rFonts w:eastAsia="Times New Roman"/>
          <w:bCs/>
        </w:rPr>
        <w:t xml:space="preserve"> - </w:t>
      </w:r>
      <w:r w:rsidRPr="00FC3B7C">
        <w:rPr>
          <w:rFonts w:eastAsia="Times New Roman"/>
        </w:rPr>
        <w:t xml:space="preserve"> zhodnocení domácí měny (v případě</w:t>
      </w:r>
      <w:r w:rsidRPr="00FC3B7C">
        <w:rPr>
          <w:rFonts w:eastAsia="Times New Roman"/>
          <w:i/>
          <w:iCs/>
        </w:rPr>
        <w:t xml:space="preserve"> </w:t>
      </w:r>
      <w:r w:rsidRPr="00FC3B7C">
        <w:rPr>
          <w:rFonts w:eastAsia="Times New Roman"/>
        </w:rPr>
        <w:t>plovoucích kurzů)</w:t>
      </w:r>
    </w:p>
    <w:p w14:paraId="49F4738F" w14:textId="6D16AEFB" w:rsidR="00A15E2D" w:rsidRPr="00FC3B7C" w:rsidRDefault="00A15E2D" w:rsidP="00A15E2D">
      <w:pPr>
        <w:rPr>
          <w:sz w:val="20"/>
          <w:szCs w:val="20"/>
        </w:rPr>
      </w:pPr>
      <w:r w:rsidRPr="00A15E2D">
        <w:rPr>
          <w:rFonts w:eastAsia="Times New Roman"/>
          <w:bCs/>
          <w:i/>
          <w:iCs/>
          <w:u w:val="single"/>
        </w:rPr>
        <w:t>Depreciace</w:t>
      </w:r>
      <w:r w:rsidR="007E5E16">
        <w:rPr>
          <w:rFonts w:eastAsia="Times New Roman"/>
          <w:bCs/>
          <w:i/>
          <w:iCs/>
        </w:rPr>
        <w:t xml:space="preserve"> </w:t>
      </w:r>
      <w:r w:rsidRPr="007E5E16">
        <w:rPr>
          <w:rFonts w:eastAsia="Times New Roman"/>
          <w:bCs/>
        </w:rPr>
        <w:t>–</w:t>
      </w:r>
      <w:r w:rsidRPr="00FC3B7C">
        <w:rPr>
          <w:rFonts w:eastAsia="Times New Roman"/>
        </w:rPr>
        <w:t xml:space="preserve"> znehodnocení domácí měny (v případě</w:t>
      </w:r>
      <w:r w:rsidRPr="00FC3B7C">
        <w:rPr>
          <w:rFonts w:eastAsia="Times New Roman"/>
          <w:i/>
          <w:iCs/>
        </w:rPr>
        <w:t xml:space="preserve"> </w:t>
      </w:r>
      <w:r w:rsidRPr="00FC3B7C">
        <w:rPr>
          <w:rFonts w:eastAsia="Times New Roman"/>
        </w:rPr>
        <w:t>plovoucích kurzů)</w:t>
      </w:r>
    </w:p>
    <w:p w14:paraId="42020B1E" w14:textId="1A43D2B7" w:rsidR="00A15E2D" w:rsidRPr="00FC3B7C" w:rsidRDefault="00A15E2D" w:rsidP="00A15E2D">
      <w:pPr>
        <w:rPr>
          <w:sz w:val="20"/>
          <w:szCs w:val="20"/>
        </w:rPr>
      </w:pPr>
      <w:r w:rsidRPr="00A15E2D">
        <w:rPr>
          <w:rFonts w:eastAsia="Times New Roman"/>
          <w:bCs/>
          <w:i/>
          <w:iCs/>
          <w:u w:val="single"/>
        </w:rPr>
        <w:t>Revalvace</w:t>
      </w:r>
      <w:r w:rsidR="007E5E16">
        <w:rPr>
          <w:rFonts w:eastAsia="Times New Roman"/>
          <w:bCs/>
          <w:i/>
          <w:iCs/>
        </w:rPr>
        <w:t xml:space="preserve"> </w:t>
      </w:r>
      <w:r w:rsidRPr="00FC3B7C">
        <w:rPr>
          <w:rFonts w:eastAsia="Times New Roman"/>
        </w:rPr>
        <w:t>– zhodnocení (v případě</w:t>
      </w:r>
      <w:r w:rsidRPr="00FC3B7C">
        <w:rPr>
          <w:rFonts w:eastAsia="Times New Roman"/>
          <w:i/>
          <w:iCs/>
        </w:rPr>
        <w:t xml:space="preserve"> </w:t>
      </w:r>
      <w:r w:rsidRPr="00FC3B7C">
        <w:rPr>
          <w:rFonts w:eastAsia="Times New Roman"/>
        </w:rPr>
        <w:t>fixních měnových kurzů)</w:t>
      </w:r>
    </w:p>
    <w:p w14:paraId="63715364" w14:textId="36F76FF4" w:rsidR="00A15E2D" w:rsidRPr="00FC3B7C" w:rsidRDefault="00A15E2D" w:rsidP="00A15E2D">
      <w:pPr>
        <w:rPr>
          <w:sz w:val="20"/>
          <w:szCs w:val="20"/>
        </w:rPr>
      </w:pPr>
      <w:r w:rsidRPr="00A15E2D">
        <w:rPr>
          <w:rFonts w:eastAsia="Times New Roman"/>
          <w:bCs/>
          <w:i/>
          <w:iCs/>
          <w:u w:val="single"/>
        </w:rPr>
        <w:t>Devalvace</w:t>
      </w:r>
      <w:r w:rsidR="007E5E16">
        <w:rPr>
          <w:rFonts w:eastAsia="Times New Roman"/>
          <w:bCs/>
          <w:i/>
          <w:iCs/>
        </w:rPr>
        <w:t xml:space="preserve"> </w:t>
      </w:r>
      <w:r w:rsidRPr="007E5E16">
        <w:rPr>
          <w:rFonts w:eastAsia="Times New Roman"/>
          <w:bCs/>
        </w:rPr>
        <w:t>–</w:t>
      </w:r>
      <w:r w:rsidRPr="00FC3B7C">
        <w:rPr>
          <w:rFonts w:eastAsia="Times New Roman"/>
        </w:rPr>
        <w:t xml:space="preserve"> znehodnocení (v případě</w:t>
      </w:r>
      <w:r w:rsidRPr="00FC3B7C">
        <w:rPr>
          <w:rFonts w:eastAsia="Times New Roman"/>
          <w:i/>
          <w:iCs/>
        </w:rPr>
        <w:t xml:space="preserve"> </w:t>
      </w:r>
      <w:r w:rsidRPr="00FC3B7C">
        <w:rPr>
          <w:rFonts w:eastAsia="Times New Roman"/>
        </w:rPr>
        <w:t>fixních měnových kurzů)</w:t>
      </w:r>
    </w:p>
    <w:p w14:paraId="0D9906D6" w14:textId="4D8EA354" w:rsidR="00A15E2D" w:rsidRPr="00FC3B7C" w:rsidRDefault="00A15E2D" w:rsidP="00A15E2D">
      <w:pPr>
        <w:rPr>
          <w:sz w:val="20"/>
          <w:szCs w:val="20"/>
        </w:rPr>
      </w:pPr>
      <w:r w:rsidRPr="00A15E2D">
        <w:rPr>
          <w:rFonts w:eastAsia="Times New Roman"/>
          <w:bCs/>
          <w:i/>
          <w:iCs/>
          <w:u w:val="single"/>
        </w:rPr>
        <w:t>Fixní měnový kurz</w:t>
      </w:r>
      <w:r w:rsidR="007E5E16">
        <w:rPr>
          <w:rFonts w:eastAsia="Times New Roman"/>
          <w:bCs/>
          <w:i/>
          <w:iCs/>
        </w:rPr>
        <w:t xml:space="preserve"> </w:t>
      </w:r>
      <w:r w:rsidRPr="007E5E16">
        <w:rPr>
          <w:rFonts w:eastAsia="Times New Roman"/>
          <w:bCs/>
        </w:rPr>
        <w:t>–</w:t>
      </w:r>
      <w:r w:rsidRPr="00FC3B7C">
        <w:rPr>
          <w:rFonts w:eastAsia="Times New Roman"/>
        </w:rPr>
        <w:t xml:space="preserve"> stabilní měnový</w:t>
      </w:r>
      <w:r w:rsidRPr="00FC3B7C">
        <w:rPr>
          <w:rFonts w:eastAsia="Times New Roman"/>
          <w:i/>
          <w:iCs/>
        </w:rPr>
        <w:t xml:space="preserve"> </w:t>
      </w:r>
      <w:r w:rsidRPr="00FC3B7C">
        <w:rPr>
          <w:rFonts w:eastAsia="Times New Roman"/>
        </w:rPr>
        <w:t>kurz udržovaný</w:t>
      </w:r>
      <w:r w:rsidRPr="00FC3B7C">
        <w:rPr>
          <w:rFonts w:eastAsia="Times New Roman"/>
          <w:i/>
          <w:iCs/>
        </w:rPr>
        <w:t xml:space="preserve"> </w:t>
      </w:r>
      <w:r w:rsidRPr="00FC3B7C">
        <w:rPr>
          <w:rFonts w:eastAsia="Times New Roman"/>
        </w:rPr>
        <w:t>intervencemi centrální banky</w:t>
      </w:r>
    </w:p>
    <w:p w14:paraId="42A7FB9C" w14:textId="741CB67D" w:rsidR="00A15E2D" w:rsidRPr="00FC3B7C" w:rsidRDefault="00A15E2D" w:rsidP="00A15E2D">
      <w:pPr>
        <w:rPr>
          <w:sz w:val="20"/>
          <w:szCs w:val="20"/>
        </w:rPr>
      </w:pPr>
      <w:r w:rsidRPr="00A15E2D">
        <w:rPr>
          <w:rFonts w:eastAsia="Times New Roman"/>
          <w:bCs/>
          <w:i/>
          <w:iCs/>
          <w:u w:val="single"/>
        </w:rPr>
        <w:t>Flexibilní měnový kurz</w:t>
      </w:r>
      <w:r w:rsidR="007E5E16">
        <w:rPr>
          <w:rFonts w:eastAsia="Times New Roman"/>
          <w:bCs/>
          <w:i/>
          <w:iCs/>
        </w:rPr>
        <w:t xml:space="preserve"> </w:t>
      </w:r>
      <w:r w:rsidRPr="00FC3B7C">
        <w:rPr>
          <w:rFonts w:eastAsia="Times New Roman"/>
        </w:rPr>
        <w:t>– floating-volně</w:t>
      </w:r>
      <w:r w:rsidRPr="00FC3B7C">
        <w:rPr>
          <w:rFonts w:eastAsia="Times New Roman"/>
          <w:i/>
          <w:iCs/>
        </w:rPr>
        <w:t xml:space="preserve"> </w:t>
      </w:r>
      <w:r w:rsidRPr="00FC3B7C">
        <w:rPr>
          <w:rFonts w:eastAsia="Times New Roman"/>
        </w:rPr>
        <w:t>pohyblivý</w:t>
      </w:r>
      <w:r w:rsidRPr="00FC3B7C">
        <w:rPr>
          <w:rFonts w:eastAsia="Times New Roman"/>
          <w:i/>
          <w:iCs/>
        </w:rPr>
        <w:t xml:space="preserve"> </w:t>
      </w:r>
      <w:r w:rsidRPr="00FC3B7C">
        <w:rPr>
          <w:rFonts w:eastAsia="Times New Roman"/>
        </w:rPr>
        <w:t>měnový</w:t>
      </w:r>
      <w:r w:rsidRPr="00FC3B7C">
        <w:rPr>
          <w:rFonts w:eastAsia="Times New Roman"/>
          <w:i/>
          <w:iCs/>
        </w:rPr>
        <w:t xml:space="preserve"> </w:t>
      </w:r>
      <w:r w:rsidRPr="00FC3B7C">
        <w:rPr>
          <w:rFonts w:eastAsia="Times New Roman"/>
        </w:rPr>
        <w:t>kurz ovlivňovaný</w:t>
      </w:r>
      <w:r w:rsidRPr="00FC3B7C">
        <w:rPr>
          <w:rFonts w:eastAsia="Times New Roman"/>
          <w:i/>
          <w:iCs/>
        </w:rPr>
        <w:t xml:space="preserve"> </w:t>
      </w:r>
      <w:r w:rsidRPr="00FC3B7C">
        <w:rPr>
          <w:rFonts w:eastAsia="Times New Roman"/>
        </w:rPr>
        <w:t>trhem</w:t>
      </w:r>
    </w:p>
    <w:p w14:paraId="416C6E88" w14:textId="77777777" w:rsidR="00A15E2D" w:rsidRPr="00FC3B7C" w:rsidRDefault="00A15E2D" w:rsidP="00A15E2D">
      <w:pPr>
        <w:rPr>
          <w:sz w:val="20"/>
          <w:szCs w:val="20"/>
        </w:rPr>
      </w:pPr>
      <w:r w:rsidRPr="00A15E2D">
        <w:rPr>
          <w:rFonts w:eastAsia="Times New Roman"/>
          <w:bCs/>
          <w:i/>
          <w:iCs/>
          <w:u w:val="single"/>
        </w:rPr>
        <w:t xml:space="preserve">Liberalismus </w:t>
      </w:r>
      <w:r w:rsidRPr="00FC3B7C">
        <w:rPr>
          <w:rFonts w:eastAsia="Times New Roman"/>
        </w:rPr>
        <w:t>– politická a hospodářská svoboda, svobodný</w:t>
      </w:r>
      <w:r w:rsidRPr="00FC3B7C">
        <w:rPr>
          <w:rFonts w:eastAsia="Times New Roman"/>
          <w:i/>
          <w:iCs/>
        </w:rPr>
        <w:t xml:space="preserve"> </w:t>
      </w:r>
      <w:r w:rsidRPr="00FC3B7C">
        <w:rPr>
          <w:rFonts w:eastAsia="Times New Roman"/>
        </w:rPr>
        <w:t>obchod</w:t>
      </w:r>
    </w:p>
    <w:p w14:paraId="77D92F98" w14:textId="77777777" w:rsidR="00A15E2D" w:rsidRPr="00FC3B7C" w:rsidRDefault="00A15E2D" w:rsidP="00A15E2D">
      <w:pPr>
        <w:rPr>
          <w:sz w:val="20"/>
          <w:szCs w:val="20"/>
        </w:rPr>
      </w:pPr>
      <w:r w:rsidRPr="00A15E2D">
        <w:rPr>
          <w:rFonts w:eastAsia="Times New Roman"/>
          <w:bCs/>
          <w:i/>
          <w:iCs/>
          <w:u w:val="single"/>
        </w:rPr>
        <w:t>Protekcionismus</w:t>
      </w:r>
      <w:r w:rsidRPr="00FC3B7C">
        <w:rPr>
          <w:rFonts w:eastAsia="Times New Roman"/>
          <w:i/>
          <w:iCs/>
        </w:rPr>
        <w:t xml:space="preserve"> </w:t>
      </w:r>
      <w:r w:rsidRPr="00FC3B7C">
        <w:rPr>
          <w:rFonts w:eastAsia="Times New Roman"/>
        </w:rPr>
        <w:t>– ochranářství</w:t>
      </w:r>
    </w:p>
    <w:p w14:paraId="6203D267" w14:textId="0C91C59C" w:rsidR="00A15E2D" w:rsidRPr="00FC3B7C" w:rsidRDefault="00A15E2D" w:rsidP="00A15E2D">
      <w:pPr>
        <w:rPr>
          <w:sz w:val="20"/>
          <w:szCs w:val="20"/>
        </w:rPr>
      </w:pPr>
      <w:r w:rsidRPr="00A15E2D">
        <w:rPr>
          <w:rFonts w:eastAsia="Times New Roman"/>
          <w:bCs/>
          <w:i/>
          <w:iCs/>
          <w:u w:val="single"/>
        </w:rPr>
        <w:t>Internalizace externalit</w:t>
      </w:r>
      <w:r w:rsidR="007E5E16">
        <w:rPr>
          <w:rFonts w:eastAsia="Times New Roman"/>
          <w:bCs/>
          <w:i/>
          <w:iCs/>
        </w:rPr>
        <w:t xml:space="preserve"> </w:t>
      </w:r>
      <w:r w:rsidRPr="00FC3B7C">
        <w:rPr>
          <w:rFonts w:eastAsia="Times New Roman"/>
        </w:rPr>
        <w:t>– opatření, aby původce externalit plně</w:t>
      </w:r>
      <w:r w:rsidRPr="00FC3B7C">
        <w:rPr>
          <w:rFonts w:eastAsia="Times New Roman"/>
          <w:i/>
          <w:iCs/>
        </w:rPr>
        <w:t xml:space="preserve"> </w:t>
      </w:r>
      <w:r w:rsidRPr="00FC3B7C">
        <w:rPr>
          <w:rFonts w:eastAsia="Times New Roman"/>
        </w:rPr>
        <w:t>nesl náklady a výnosy své</w:t>
      </w:r>
      <w:r w:rsidRPr="00FC3B7C">
        <w:rPr>
          <w:rFonts w:eastAsia="Times New Roman"/>
          <w:i/>
          <w:iCs/>
        </w:rPr>
        <w:t xml:space="preserve"> </w:t>
      </w:r>
      <w:r w:rsidRPr="00FC3B7C">
        <w:rPr>
          <w:rFonts w:eastAsia="Times New Roman"/>
        </w:rPr>
        <w:t>činnosti, tedy daně a subvence (Pigou)</w:t>
      </w:r>
    </w:p>
    <w:p w14:paraId="47ABA0BE" w14:textId="77777777" w:rsidR="00A15E2D" w:rsidRPr="00FC3B7C" w:rsidRDefault="00A15E2D" w:rsidP="00A15E2D">
      <w:pPr>
        <w:rPr>
          <w:sz w:val="20"/>
          <w:szCs w:val="20"/>
        </w:rPr>
      </w:pPr>
      <w:r w:rsidRPr="00A15E2D">
        <w:rPr>
          <w:rFonts w:eastAsia="Times New Roman"/>
          <w:bCs/>
          <w:i/>
          <w:iCs/>
          <w:u w:val="single"/>
        </w:rPr>
        <w:t>Embargo</w:t>
      </w:r>
      <w:r w:rsidRPr="00FC3B7C">
        <w:rPr>
          <w:rFonts w:eastAsia="Times New Roman"/>
          <w:b/>
          <w:i/>
          <w:iCs/>
        </w:rPr>
        <w:t xml:space="preserve"> </w:t>
      </w:r>
      <w:r w:rsidRPr="00FC3B7C">
        <w:rPr>
          <w:rFonts w:eastAsia="Times New Roman"/>
        </w:rPr>
        <w:t>– zamezení obchodu s daným produktem</w:t>
      </w:r>
    </w:p>
    <w:p w14:paraId="1E42855F" w14:textId="77777777" w:rsidR="00A15E2D" w:rsidRDefault="00A15E2D" w:rsidP="00A15E2D">
      <w:pPr>
        <w:rPr>
          <w:sz w:val="20"/>
          <w:szCs w:val="20"/>
        </w:rPr>
      </w:pPr>
      <w:r w:rsidRPr="00A15E2D">
        <w:rPr>
          <w:rFonts w:eastAsia="Times New Roman"/>
          <w:bCs/>
          <w:i/>
          <w:iCs/>
          <w:u w:val="single"/>
        </w:rPr>
        <w:t>Dumping</w:t>
      </w:r>
      <w:r w:rsidRPr="00FC3B7C">
        <w:rPr>
          <w:rFonts w:eastAsia="Times New Roman"/>
          <w:b/>
          <w:i/>
          <w:iCs/>
        </w:rPr>
        <w:t xml:space="preserve"> </w:t>
      </w:r>
      <w:r w:rsidRPr="00FC3B7C">
        <w:rPr>
          <w:rFonts w:eastAsia="Times New Roman"/>
        </w:rPr>
        <w:t>– prodej produktu v zahraničí za cenu nižší než</w:t>
      </w:r>
      <w:r w:rsidRPr="00FC3B7C">
        <w:rPr>
          <w:rFonts w:eastAsia="Times New Roman"/>
          <w:i/>
          <w:iCs/>
        </w:rPr>
        <w:t xml:space="preserve"> </w:t>
      </w:r>
      <w:r w:rsidRPr="00FC3B7C">
        <w:rPr>
          <w:rFonts w:eastAsia="Times New Roman"/>
        </w:rPr>
        <w:t>na domácím trhu nebo za cenu nižší</w:t>
      </w:r>
      <w:r w:rsidRPr="00FC3B7C">
        <w:rPr>
          <w:rFonts w:eastAsia="Times New Roman"/>
          <w:i/>
          <w:iCs/>
        </w:rPr>
        <w:t xml:space="preserve"> </w:t>
      </w:r>
      <w:r w:rsidRPr="00FC3B7C">
        <w:rPr>
          <w:rFonts w:eastAsia="Times New Roman"/>
        </w:rPr>
        <w:t>než produkční náklady</w:t>
      </w:r>
    </w:p>
    <w:p w14:paraId="79035A03" w14:textId="77777777" w:rsidR="00A15E2D" w:rsidRPr="00303CE3" w:rsidRDefault="00A15E2D" w:rsidP="00A15E2D">
      <w:pPr>
        <w:rPr>
          <w:sz w:val="20"/>
          <w:szCs w:val="20"/>
        </w:rPr>
        <w:sectPr w:rsidR="00A15E2D" w:rsidRPr="00303CE3">
          <w:pgSz w:w="11900" w:h="16840"/>
          <w:pgMar w:top="1388" w:right="1440" w:bottom="1440" w:left="1440" w:header="0" w:footer="0" w:gutter="0"/>
          <w:cols w:space="708" w:equalWidth="0">
            <w:col w:w="9020"/>
          </w:cols>
        </w:sectPr>
      </w:pPr>
    </w:p>
    <w:p w14:paraId="10A11064" w14:textId="77777777" w:rsidR="00A15E2D" w:rsidRPr="00FC3B7C" w:rsidRDefault="00A15E2D" w:rsidP="00A15E2D">
      <w:pPr>
        <w:spacing w:line="104" w:lineRule="exact"/>
        <w:rPr>
          <w:sz w:val="20"/>
          <w:szCs w:val="20"/>
        </w:rPr>
      </w:pPr>
      <w:bookmarkStart w:id="199" w:name="page199"/>
      <w:bookmarkEnd w:id="199"/>
    </w:p>
    <w:p w14:paraId="0DFE8401" w14:textId="66B127EC" w:rsidR="00A15E2D" w:rsidRPr="00303CE3" w:rsidRDefault="00A15E2D" w:rsidP="00A15E2D">
      <w:pPr>
        <w:pStyle w:val="Nadpis2"/>
        <w:rPr>
          <w:color w:val="1F3864" w:themeColor="accent1" w:themeShade="80"/>
          <w:sz w:val="20"/>
          <w:szCs w:val="20"/>
        </w:rPr>
      </w:pPr>
      <w:r w:rsidRPr="00303CE3">
        <w:rPr>
          <w:rFonts w:eastAsia="Times New Roman"/>
          <w:color w:val="1F3864" w:themeColor="accent1" w:themeShade="80"/>
        </w:rPr>
        <w:t xml:space="preserve">NORMATIVNÍ ANALÝZA SVOBODNÉHO OBCHODU </w:t>
      </w:r>
    </w:p>
    <w:p w14:paraId="781ACC43" w14:textId="77777777" w:rsidR="00A15E2D" w:rsidRPr="00FC3B7C" w:rsidRDefault="00A15E2D" w:rsidP="00A15E2D">
      <w:pPr>
        <w:spacing w:line="226" w:lineRule="exact"/>
        <w:rPr>
          <w:sz w:val="20"/>
          <w:szCs w:val="20"/>
        </w:rPr>
      </w:pPr>
    </w:p>
    <w:p w14:paraId="371B257E" w14:textId="77777777" w:rsidR="00A15E2D" w:rsidRPr="00FC3B7C" w:rsidRDefault="00A15E2D" w:rsidP="00A15E2D">
      <w:pPr>
        <w:rPr>
          <w:sz w:val="20"/>
          <w:szCs w:val="20"/>
        </w:rPr>
      </w:pPr>
      <w:r w:rsidRPr="00FC3B7C">
        <w:rPr>
          <w:rFonts w:eastAsia="Times New Roman"/>
        </w:rPr>
        <w:t>Obchodní politika je souhrn záměrů, strategií, zásad, opatření, nástrojů, smluv a institucí, jejichž prostřednictvím ovlivňují vlády zahraničně obchodní vztahy a vnitřní ekonomický vývoj národního hospodářství.</w:t>
      </w:r>
    </w:p>
    <w:p w14:paraId="277A360E" w14:textId="77777777" w:rsidR="00A15E2D" w:rsidRPr="00FC3B7C" w:rsidRDefault="00A15E2D" w:rsidP="00A15E2D">
      <w:pPr>
        <w:spacing w:line="1" w:lineRule="exact"/>
        <w:rPr>
          <w:sz w:val="20"/>
          <w:szCs w:val="20"/>
        </w:rPr>
      </w:pPr>
    </w:p>
    <w:p w14:paraId="1678846A" w14:textId="77777777" w:rsidR="00A15E2D" w:rsidRPr="00FC3B7C" w:rsidRDefault="00A15E2D" w:rsidP="00A15E2D">
      <w:pPr>
        <w:rPr>
          <w:sz w:val="20"/>
          <w:szCs w:val="20"/>
        </w:rPr>
      </w:pPr>
      <w:r w:rsidRPr="00FC3B7C">
        <w:rPr>
          <w:rFonts w:eastAsia="Times New Roman"/>
        </w:rPr>
        <w:t>Obchodní politika je podsystém hospodářské politiky a s ostatními politikami státu je úzce propojena.</w:t>
      </w:r>
    </w:p>
    <w:p w14:paraId="287C9B5E" w14:textId="77777777" w:rsidR="00A15E2D" w:rsidRPr="00FC3B7C" w:rsidRDefault="00A15E2D" w:rsidP="00A15E2D">
      <w:pPr>
        <w:rPr>
          <w:sz w:val="20"/>
          <w:szCs w:val="20"/>
        </w:rPr>
      </w:pPr>
      <w:r w:rsidRPr="00FC3B7C">
        <w:rPr>
          <w:rFonts w:eastAsia="Times New Roman"/>
        </w:rPr>
        <w:t>Rozlišujeme:</w:t>
      </w:r>
    </w:p>
    <w:p w14:paraId="4F613C37" w14:textId="77777777" w:rsidR="00A15E2D" w:rsidRPr="00377017" w:rsidRDefault="00A15E2D" w:rsidP="00D46B53">
      <w:pPr>
        <w:numPr>
          <w:ilvl w:val="0"/>
          <w:numId w:val="196"/>
        </w:numPr>
        <w:tabs>
          <w:tab w:val="left" w:pos="820"/>
        </w:tabs>
        <w:ind w:left="820" w:hanging="348"/>
        <w:rPr>
          <w:rFonts w:eastAsia="Times New Roman"/>
          <w:szCs w:val="24"/>
        </w:rPr>
      </w:pPr>
      <w:r w:rsidRPr="00FC3B7C">
        <w:rPr>
          <w:rFonts w:eastAsia="Times New Roman"/>
          <w:szCs w:val="24"/>
        </w:rPr>
        <w:t>vnitřní vazby-jsou ukotveny v zákoně</w:t>
      </w:r>
    </w:p>
    <w:p w14:paraId="604FE65E" w14:textId="77777777" w:rsidR="00A15E2D" w:rsidRPr="00FC3B7C" w:rsidRDefault="00A15E2D" w:rsidP="00D46B53">
      <w:pPr>
        <w:numPr>
          <w:ilvl w:val="0"/>
          <w:numId w:val="196"/>
        </w:numPr>
        <w:tabs>
          <w:tab w:val="left" w:pos="824"/>
        </w:tabs>
        <w:spacing w:line="295" w:lineRule="auto"/>
        <w:ind w:left="840" w:right="40" w:hanging="368"/>
        <w:rPr>
          <w:rFonts w:eastAsia="Times New Roman"/>
          <w:sz w:val="23"/>
          <w:szCs w:val="23"/>
        </w:rPr>
      </w:pPr>
      <w:r w:rsidRPr="00FC3B7C">
        <w:rPr>
          <w:rFonts w:eastAsia="Times New Roman"/>
          <w:sz w:val="23"/>
          <w:szCs w:val="23"/>
        </w:rPr>
        <w:t>vnější vazby-přesahují rámec státu a spojují obchodní politiku se systémy obchodních politik dalších států (členství v mezinárodních ekonomických organizacích)</w:t>
      </w:r>
    </w:p>
    <w:p w14:paraId="74457C90" w14:textId="77777777" w:rsidR="00A15E2D" w:rsidRPr="00FC3B7C" w:rsidRDefault="00A15E2D" w:rsidP="00A15E2D">
      <w:pPr>
        <w:spacing w:line="51" w:lineRule="exact"/>
        <w:rPr>
          <w:sz w:val="20"/>
          <w:szCs w:val="20"/>
        </w:rPr>
      </w:pPr>
    </w:p>
    <w:p w14:paraId="28C8870A" w14:textId="77777777" w:rsidR="00A15E2D" w:rsidRPr="00FC3B7C" w:rsidRDefault="00A15E2D" w:rsidP="00A15E2D">
      <w:pPr>
        <w:rPr>
          <w:sz w:val="20"/>
          <w:szCs w:val="20"/>
        </w:rPr>
      </w:pPr>
      <w:r w:rsidRPr="00FC3B7C">
        <w:rPr>
          <w:rFonts w:eastAsia="Times New Roman"/>
        </w:rPr>
        <w:t>Stát využívá obchodní politiku k dosahování optimální ekonomické situace a používá k tomu:</w:t>
      </w:r>
    </w:p>
    <w:p w14:paraId="2FF165AC" w14:textId="77777777" w:rsidR="00A15E2D" w:rsidRPr="00377017" w:rsidRDefault="00A15E2D" w:rsidP="00D46B53">
      <w:pPr>
        <w:numPr>
          <w:ilvl w:val="0"/>
          <w:numId w:val="197"/>
        </w:numPr>
        <w:tabs>
          <w:tab w:val="left" w:pos="820"/>
        </w:tabs>
        <w:ind w:left="820" w:hanging="348"/>
        <w:rPr>
          <w:rFonts w:eastAsia="Times New Roman"/>
          <w:szCs w:val="24"/>
        </w:rPr>
      </w:pPr>
      <w:r w:rsidRPr="00FC3B7C">
        <w:rPr>
          <w:rFonts w:eastAsia="Times New Roman"/>
          <w:szCs w:val="24"/>
        </w:rPr>
        <w:t>aktivity vyvíjené navenek vůči ostatním zemím (např. normy na dovezené zboží)</w:t>
      </w:r>
    </w:p>
    <w:p w14:paraId="5AD6458F" w14:textId="77777777" w:rsidR="00A15E2D" w:rsidRPr="00FC3B7C" w:rsidRDefault="00A15E2D" w:rsidP="00D46B53">
      <w:pPr>
        <w:numPr>
          <w:ilvl w:val="0"/>
          <w:numId w:val="197"/>
        </w:numPr>
        <w:tabs>
          <w:tab w:val="left" w:pos="820"/>
        </w:tabs>
        <w:ind w:left="820" w:hanging="350"/>
        <w:rPr>
          <w:rFonts w:eastAsia="Times New Roman"/>
          <w:szCs w:val="24"/>
        </w:rPr>
      </w:pPr>
      <w:r w:rsidRPr="00FC3B7C">
        <w:rPr>
          <w:rFonts w:eastAsia="Times New Roman"/>
          <w:szCs w:val="24"/>
        </w:rPr>
        <w:t>aktivity vyvíjené dovnitř vůči exportérům (např. vývozní podpory)</w:t>
      </w:r>
    </w:p>
    <w:p w14:paraId="69376320" w14:textId="77777777" w:rsidR="00A15E2D" w:rsidRPr="00FC3B7C" w:rsidRDefault="00A15E2D" w:rsidP="00A15E2D">
      <w:pPr>
        <w:spacing w:line="200" w:lineRule="exact"/>
        <w:rPr>
          <w:sz w:val="20"/>
          <w:szCs w:val="20"/>
        </w:rPr>
      </w:pPr>
    </w:p>
    <w:p w14:paraId="0CE2BD36" w14:textId="77777777" w:rsidR="00A15E2D" w:rsidRPr="00FC3B7C" w:rsidRDefault="00A15E2D" w:rsidP="00A15E2D">
      <w:pPr>
        <w:spacing w:line="200" w:lineRule="exact"/>
        <w:rPr>
          <w:sz w:val="20"/>
          <w:szCs w:val="20"/>
        </w:rPr>
      </w:pPr>
    </w:p>
    <w:p w14:paraId="71817A62" w14:textId="77777777" w:rsidR="00A15E2D" w:rsidRPr="00FC3B7C" w:rsidRDefault="00A15E2D" w:rsidP="00A15E2D">
      <w:pPr>
        <w:spacing w:line="225" w:lineRule="exact"/>
        <w:rPr>
          <w:sz w:val="20"/>
          <w:szCs w:val="20"/>
        </w:rPr>
      </w:pPr>
    </w:p>
    <w:p w14:paraId="0F410388" w14:textId="77777777" w:rsidR="00A15E2D" w:rsidRPr="00303CE3" w:rsidRDefault="00A15E2D" w:rsidP="00A15E2D">
      <w:pPr>
        <w:pStyle w:val="Nadpis2"/>
        <w:rPr>
          <w:color w:val="1F3864" w:themeColor="accent1" w:themeShade="80"/>
          <w:sz w:val="20"/>
          <w:szCs w:val="20"/>
        </w:rPr>
      </w:pPr>
      <w:r w:rsidRPr="00303CE3">
        <w:rPr>
          <w:rFonts w:eastAsia="Times New Roman"/>
          <w:color w:val="1F3864" w:themeColor="accent1" w:themeShade="80"/>
        </w:rPr>
        <w:t>PODSTATA A DŮSLEDKY NÁSTROJŮ OBCHODNÍ POLITIKY</w:t>
      </w:r>
    </w:p>
    <w:p w14:paraId="4C312AAF" w14:textId="77777777" w:rsidR="00A15E2D" w:rsidRPr="00FC3B7C" w:rsidRDefault="00A15E2D" w:rsidP="00A15E2D">
      <w:pPr>
        <w:rPr>
          <w:rFonts w:eastAsia="Times New Roman"/>
        </w:rPr>
      </w:pPr>
      <w:r w:rsidRPr="00FC3B7C">
        <w:rPr>
          <w:rFonts w:eastAsia="Times New Roman"/>
        </w:rPr>
        <w:t>V současné době jsou ekonomiky zemí stále více ovlivňovány internacionalizací a globalizací. Tradiční teorie obchodu navazuje na koncept komparativní výhody (Ricardo), který zdůrazňuje výhody svobodného mezinárodního obchodu díky dělbě práce a specializaci. Přesto většina vyspělých zemí uplatňuje politická opatření, která svobodný obchod omezují. Příčinou tohoto rozporu je skutečnost, že užitky ze svobodného obchodu nejsou rozděleny rovnoměrně. Svobodný obchod zesiluje tlak na konkurence schopnost domácích producentů na domácími zahraničním trhu a ti se pomocí ochranářských opatření snaží tento tlak oslabit.</w:t>
      </w:r>
    </w:p>
    <w:p w14:paraId="153F50D8" w14:textId="77777777" w:rsidR="00A15E2D" w:rsidRPr="00FC3B7C" w:rsidRDefault="00A15E2D" w:rsidP="00A15E2D">
      <w:pPr>
        <w:spacing w:line="255" w:lineRule="auto"/>
        <w:ind w:left="120" w:right="40"/>
        <w:rPr>
          <w:sz w:val="20"/>
          <w:szCs w:val="20"/>
        </w:rPr>
      </w:pPr>
    </w:p>
    <w:p w14:paraId="390D3D12" w14:textId="77777777" w:rsidR="00A15E2D" w:rsidRPr="00FC3B7C" w:rsidRDefault="00A15E2D" w:rsidP="00A15E2D">
      <w:pPr>
        <w:spacing w:line="1" w:lineRule="exact"/>
        <w:rPr>
          <w:sz w:val="20"/>
          <w:szCs w:val="20"/>
        </w:rPr>
      </w:pPr>
    </w:p>
    <w:p w14:paraId="4BECA3C5" w14:textId="77777777" w:rsidR="00A15E2D" w:rsidRPr="00303CE3" w:rsidRDefault="00A15E2D" w:rsidP="00A15E2D">
      <w:pPr>
        <w:pStyle w:val="Nadpis3"/>
        <w:rPr>
          <w:color w:val="1F3864" w:themeColor="accent1" w:themeShade="80"/>
        </w:rPr>
      </w:pPr>
      <w:r w:rsidRPr="00303CE3">
        <w:rPr>
          <w:rFonts w:eastAsia="Cambria"/>
          <w:color w:val="1F3864" w:themeColor="accent1" w:themeShade="80"/>
        </w:rPr>
        <w:t>Směry</w:t>
      </w:r>
      <w:r w:rsidRPr="00303CE3">
        <w:rPr>
          <w:color w:val="1F3864" w:themeColor="accent1" w:themeShade="80"/>
        </w:rPr>
        <w:t xml:space="preserve"> </w:t>
      </w:r>
      <w:r w:rsidRPr="00303CE3">
        <w:rPr>
          <w:rFonts w:eastAsia="Cambria"/>
          <w:color w:val="1F3864" w:themeColor="accent1" w:themeShade="80"/>
        </w:rPr>
        <w:t>obchodní</w:t>
      </w:r>
      <w:r w:rsidRPr="00303CE3">
        <w:rPr>
          <w:color w:val="1F3864" w:themeColor="accent1" w:themeShade="80"/>
        </w:rPr>
        <w:t xml:space="preserve"> </w:t>
      </w:r>
      <w:r w:rsidRPr="00303CE3">
        <w:rPr>
          <w:rFonts w:eastAsia="Cambria"/>
          <w:color w:val="1F3864" w:themeColor="accent1" w:themeShade="80"/>
        </w:rPr>
        <w:t>politiky</w:t>
      </w:r>
    </w:p>
    <w:p w14:paraId="50539A4D" w14:textId="77777777" w:rsidR="00A15E2D" w:rsidRPr="00FC3B7C" w:rsidRDefault="00A15E2D" w:rsidP="00A15E2D">
      <w:pPr>
        <w:rPr>
          <w:sz w:val="20"/>
          <w:szCs w:val="20"/>
        </w:rPr>
      </w:pPr>
      <w:r w:rsidRPr="00FC3B7C">
        <w:rPr>
          <w:rFonts w:eastAsia="Times New Roman"/>
        </w:rPr>
        <w:t xml:space="preserve">V teorii se objevují dva směry, které jsou ale pouze krajními situacemi a v praxi se téměř nevyskytují. Obchodní politiky států jsou vždy kompromisem mezi otevřenou ekonomikou a </w:t>
      </w:r>
      <w:r w:rsidRPr="00FC3B7C">
        <w:rPr>
          <w:rFonts w:eastAsia="Times New Roman"/>
          <w:szCs w:val="24"/>
        </w:rPr>
        <w:t>ochranou domácí ekonomiky. Země tak váží přínosy obou směrů a berou ohled na obchodní a politické vztahy s dalšími zeměmi. Oba směry mají pozitivní i negativní dopady, ale vždy záleží na ostatních ekonomických a sociálních souvislostech v určité zemi.</w:t>
      </w:r>
    </w:p>
    <w:p w14:paraId="32535EBB" w14:textId="77777777" w:rsidR="00A15E2D" w:rsidRPr="00FC3B7C" w:rsidRDefault="00A15E2D" w:rsidP="00A15E2D">
      <w:pPr>
        <w:sectPr w:rsidR="00A15E2D" w:rsidRPr="00FC3B7C">
          <w:pgSz w:w="11900" w:h="16840"/>
          <w:pgMar w:top="1440" w:right="1420" w:bottom="1440" w:left="1420" w:header="0" w:footer="0" w:gutter="0"/>
          <w:cols w:space="708" w:equalWidth="0">
            <w:col w:w="9060"/>
          </w:cols>
        </w:sectPr>
      </w:pPr>
    </w:p>
    <w:p w14:paraId="4365EED8" w14:textId="77777777" w:rsidR="00A15E2D" w:rsidRPr="00FC3B7C" w:rsidRDefault="00A15E2D" w:rsidP="00A15E2D">
      <w:pPr>
        <w:spacing w:line="29" w:lineRule="exact"/>
        <w:rPr>
          <w:sz w:val="26"/>
          <w:szCs w:val="26"/>
        </w:rPr>
      </w:pPr>
      <w:bookmarkStart w:id="200" w:name="page200"/>
      <w:bookmarkEnd w:id="200"/>
    </w:p>
    <w:p w14:paraId="3888B62D" w14:textId="77777777" w:rsidR="00A15E2D" w:rsidRPr="00FC3B7C" w:rsidRDefault="00A15E2D" w:rsidP="00A15E2D">
      <w:pPr>
        <w:spacing w:line="1" w:lineRule="exact"/>
        <w:rPr>
          <w:sz w:val="26"/>
          <w:szCs w:val="26"/>
        </w:rPr>
      </w:pPr>
    </w:p>
    <w:p w14:paraId="6FC1B0CA" w14:textId="77777777" w:rsidR="00A15E2D" w:rsidRPr="00413472" w:rsidRDefault="00A15E2D" w:rsidP="00A15E2D">
      <w:pPr>
        <w:pStyle w:val="Nadpis4"/>
        <w:rPr>
          <w:color w:val="1F3864" w:themeColor="accent1" w:themeShade="80"/>
        </w:rPr>
      </w:pPr>
      <w:r w:rsidRPr="00413472">
        <w:rPr>
          <w:rFonts w:eastAsia="Cambria"/>
          <w:color w:val="1F3864" w:themeColor="accent1" w:themeShade="80"/>
        </w:rPr>
        <w:t xml:space="preserve">Liberalismus </w:t>
      </w:r>
      <w:r w:rsidRPr="00413472">
        <w:rPr>
          <w:rFonts w:eastAsia="Times New Roman"/>
          <w:color w:val="1F3864" w:themeColor="accent1" w:themeShade="80"/>
        </w:rPr>
        <w:t>(volný, svobodný</w:t>
      </w:r>
      <w:r w:rsidRPr="00413472">
        <w:rPr>
          <w:rFonts w:eastAsia="Cambria"/>
          <w:color w:val="1F3864" w:themeColor="accent1" w:themeShade="80"/>
        </w:rPr>
        <w:t xml:space="preserve"> </w:t>
      </w:r>
      <w:r w:rsidRPr="00413472">
        <w:rPr>
          <w:rFonts w:eastAsia="Times New Roman"/>
          <w:color w:val="1F3864" w:themeColor="accent1" w:themeShade="80"/>
        </w:rPr>
        <w:t>obchod)</w:t>
      </w:r>
    </w:p>
    <w:p w14:paraId="74A82A6B" w14:textId="77777777" w:rsidR="00A15E2D" w:rsidRPr="00FC3B7C" w:rsidRDefault="00A15E2D" w:rsidP="00A15E2D">
      <w:pPr>
        <w:spacing w:line="253" w:lineRule="exact"/>
        <w:rPr>
          <w:sz w:val="20"/>
          <w:szCs w:val="20"/>
        </w:rPr>
      </w:pPr>
    </w:p>
    <w:p w14:paraId="72704095" w14:textId="77777777" w:rsidR="00A15E2D" w:rsidRPr="00FC3B7C" w:rsidRDefault="00A15E2D" w:rsidP="00A15E2D">
      <w:pPr>
        <w:rPr>
          <w:sz w:val="20"/>
          <w:szCs w:val="20"/>
        </w:rPr>
      </w:pPr>
      <w:r w:rsidRPr="00FC3B7C">
        <w:rPr>
          <w:rFonts w:eastAsia="Times New Roman"/>
        </w:rPr>
        <w:t>Trhy reagují na změnu nabídky</w:t>
      </w:r>
      <w:r w:rsidRPr="00FC3B7C">
        <w:rPr>
          <w:sz w:val="20"/>
          <w:szCs w:val="20"/>
        </w:rPr>
        <w:t xml:space="preserve"> </w:t>
      </w:r>
      <w:r w:rsidRPr="00FC3B7C">
        <w:rPr>
          <w:rFonts w:eastAsia="Times New Roman"/>
        </w:rPr>
        <w:t>a poptávky.</w:t>
      </w:r>
    </w:p>
    <w:p w14:paraId="576A7BC1" w14:textId="77777777" w:rsidR="00A15E2D" w:rsidRPr="00FC3B7C" w:rsidRDefault="00A15E2D" w:rsidP="00A15E2D">
      <w:pPr>
        <w:rPr>
          <w:sz w:val="20"/>
          <w:szCs w:val="20"/>
        </w:rPr>
      </w:pPr>
      <w:r w:rsidRPr="00FC3B7C">
        <w:rPr>
          <w:rFonts w:eastAsia="Times New Roman"/>
        </w:rPr>
        <w:t>Je chápán jako naprostá svoboda nákupů a prodejů v celosvětovém měřítku:</w:t>
      </w:r>
    </w:p>
    <w:p w14:paraId="2B1A7D0C" w14:textId="77777777" w:rsidR="00A15E2D" w:rsidRPr="00377017" w:rsidRDefault="00A15E2D" w:rsidP="00D46B53">
      <w:pPr>
        <w:numPr>
          <w:ilvl w:val="0"/>
          <w:numId w:val="198"/>
        </w:numPr>
        <w:tabs>
          <w:tab w:val="left" w:pos="800"/>
        </w:tabs>
        <w:ind w:left="800" w:hanging="348"/>
        <w:rPr>
          <w:rFonts w:eastAsia="Times New Roman"/>
          <w:szCs w:val="24"/>
        </w:rPr>
      </w:pPr>
      <w:r w:rsidRPr="00FC3B7C">
        <w:rPr>
          <w:rFonts w:eastAsia="Times New Roman"/>
          <w:szCs w:val="24"/>
        </w:rPr>
        <w:t>odstranění překážek obchodu (tarifní/netarifní bariéry)</w:t>
      </w:r>
    </w:p>
    <w:p w14:paraId="323BF859" w14:textId="77777777" w:rsidR="00A15E2D" w:rsidRPr="00377017" w:rsidRDefault="00A15E2D" w:rsidP="00D46B53">
      <w:pPr>
        <w:numPr>
          <w:ilvl w:val="0"/>
          <w:numId w:val="198"/>
        </w:numPr>
        <w:tabs>
          <w:tab w:val="left" w:pos="800"/>
        </w:tabs>
        <w:ind w:left="800" w:hanging="348"/>
        <w:rPr>
          <w:rFonts w:eastAsia="Times New Roman"/>
          <w:szCs w:val="24"/>
        </w:rPr>
      </w:pPr>
      <w:r w:rsidRPr="00FC3B7C">
        <w:rPr>
          <w:rFonts w:eastAsia="Times New Roman"/>
          <w:szCs w:val="24"/>
        </w:rPr>
        <w:t>otevření všech sektorů vnitřního trhu zahraniční konkurenci</w:t>
      </w:r>
    </w:p>
    <w:p w14:paraId="41B330A5" w14:textId="77777777" w:rsidR="00A15E2D" w:rsidRPr="00FC3B7C" w:rsidRDefault="00A15E2D" w:rsidP="00D46B53">
      <w:pPr>
        <w:numPr>
          <w:ilvl w:val="0"/>
          <w:numId w:val="198"/>
        </w:numPr>
        <w:tabs>
          <w:tab w:val="left" w:pos="800"/>
        </w:tabs>
        <w:ind w:left="800" w:hanging="348"/>
        <w:rPr>
          <w:rFonts w:eastAsia="Times New Roman"/>
          <w:szCs w:val="24"/>
        </w:rPr>
      </w:pPr>
      <w:r w:rsidRPr="00FC3B7C">
        <w:rPr>
          <w:rFonts w:eastAsia="Times New Roman"/>
          <w:szCs w:val="24"/>
        </w:rPr>
        <w:t>odstranění přímých i nepřímých podpor státu ve všech oblastech ekonomiky</w:t>
      </w:r>
    </w:p>
    <w:p w14:paraId="125DFA45" w14:textId="77777777" w:rsidR="00A15E2D" w:rsidRPr="00FC3B7C" w:rsidRDefault="00A15E2D" w:rsidP="00A15E2D">
      <w:pPr>
        <w:spacing w:line="294" w:lineRule="exact"/>
        <w:rPr>
          <w:sz w:val="20"/>
          <w:szCs w:val="20"/>
        </w:rPr>
      </w:pPr>
    </w:p>
    <w:p w14:paraId="3A56D1C1" w14:textId="77777777" w:rsidR="00A15E2D" w:rsidRPr="00FC3B7C" w:rsidRDefault="00A15E2D" w:rsidP="00A15E2D">
      <w:pPr>
        <w:ind w:left="100"/>
        <w:rPr>
          <w:sz w:val="20"/>
          <w:szCs w:val="20"/>
        </w:rPr>
      </w:pPr>
      <w:r w:rsidRPr="00FC3B7C">
        <w:rPr>
          <w:rFonts w:eastAsia="Times New Roman"/>
          <w:b/>
          <w:bCs/>
          <w:szCs w:val="24"/>
        </w:rPr>
        <w:t>Pozitiva:</w:t>
      </w:r>
    </w:p>
    <w:p w14:paraId="2FB9A4CB" w14:textId="77777777" w:rsidR="00A15E2D" w:rsidRDefault="00A15E2D" w:rsidP="00A15E2D">
      <w:pPr>
        <w:spacing w:line="250" w:lineRule="auto"/>
        <w:ind w:left="100" w:right="20"/>
        <w:rPr>
          <w:rFonts w:eastAsia="Times New Roman"/>
          <w:szCs w:val="24"/>
        </w:rPr>
      </w:pPr>
      <w:r w:rsidRPr="00FC3B7C">
        <w:rPr>
          <w:rFonts w:eastAsia="Times New Roman"/>
          <w:szCs w:val="24"/>
        </w:rPr>
        <w:t>Zvýšení konkurence na domácím trhu, růst dělby práce a specializace, větší využití komparativních výhod, urychlení rozvoje, nižší spotřebitelské ceny, cenová stabilita, vliv konkurence zvyšuje kvalitu zboží.</w:t>
      </w:r>
    </w:p>
    <w:p w14:paraId="7FF3C4C0" w14:textId="77777777" w:rsidR="00A15E2D" w:rsidRPr="00FC3B7C" w:rsidRDefault="00A15E2D" w:rsidP="00A15E2D">
      <w:pPr>
        <w:spacing w:line="250" w:lineRule="auto"/>
        <w:ind w:left="100" w:right="20"/>
        <w:rPr>
          <w:sz w:val="20"/>
          <w:szCs w:val="20"/>
        </w:rPr>
      </w:pPr>
    </w:p>
    <w:p w14:paraId="45D0051E" w14:textId="77777777" w:rsidR="00A15E2D" w:rsidRPr="00FC3B7C" w:rsidRDefault="00A15E2D" w:rsidP="00A15E2D">
      <w:pPr>
        <w:spacing w:line="1" w:lineRule="exact"/>
        <w:rPr>
          <w:sz w:val="20"/>
          <w:szCs w:val="20"/>
        </w:rPr>
      </w:pPr>
    </w:p>
    <w:p w14:paraId="5861240B" w14:textId="77777777" w:rsidR="00A15E2D" w:rsidRPr="00FC3B7C" w:rsidRDefault="00A15E2D" w:rsidP="00A15E2D">
      <w:pPr>
        <w:ind w:left="100"/>
        <w:rPr>
          <w:sz w:val="20"/>
          <w:szCs w:val="20"/>
        </w:rPr>
      </w:pPr>
      <w:r w:rsidRPr="00FC3B7C">
        <w:rPr>
          <w:rFonts w:eastAsia="Times New Roman"/>
          <w:b/>
          <w:bCs/>
          <w:szCs w:val="24"/>
        </w:rPr>
        <w:t>Negativa:</w:t>
      </w:r>
    </w:p>
    <w:p w14:paraId="21B0932A" w14:textId="77777777" w:rsidR="00A15E2D" w:rsidRPr="00FC3B7C" w:rsidRDefault="00A15E2D" w:rsidP="00A15E2D">
      <w:pPr>
        <w:spacing w:line="256" w:lineRule="auto"/>
        <w:ind w:left="100" w:right="1160"/>
        <w:rPr>
          <w:rFonts w:eastAsia="Times New Roman"/>
          <w:szCs w:val="24"/>
        </w:rPr>
      </w:pPr>
      <w:r w:rsidRPr="00FC3B7C">
        <w:rPr>
          <w:rFonts w:eastAsia="Times New Roman"/>
          <w:szCs w:val="24"/>
        </w:rPr>
        <w:t>Snížení mezd nebo zvýšení nezaměstnanosti, rostoucí závislost země na dovozech.</w:t>
      </w:r>
    </w:p>
    <w:p w14:paraId="0E0A6B95" w14:textId="77777777" w:rsidR="00A15E2D" w:rsidRPr="00FC3B7C" w:rsidRDefault="00A15E2D" w:rsidP="00A15E2D">
      <w:pPr>
        <w:spacing w:line="256" w:lineRule="auto"/>
        <w:ind w:left="100" w:right="1160"/>
        <w:rPr>
          <w:sz w:val="20"/>
          <w:szCs w:val="20"/>
        </w:rPr>
      </w:pPr>
    </w:p>
    <w:p w14:paraId="40CDE4E2" w14:textId="77777777" w:rsidR="00A15E2D" w:rsidRPr="00FC3B7C" w:rsidRDefault="00A15E2D" w:rsidP="00A15E2D">
      <w:pPr>
        <w:spacing w:line="1" w:lineRule="exact"/>
        <w:rPr>
          <w:sz w:val="20"/>
          <w:szCs w:val="20"/>
        </w:rPr>
      </w:pPr>
    </w:p>
    <w:p w14:paraId="35D27CF5" w14:textId="77777777" w:rsidR="00A15E2D" w:rsidRPr="00413472" w:rsidRDefault="00A15E2D" w:rsidP="00A15E2D">
      <w:pPr>
        <w:pStyle w:val="Nadpis4"/>
        <w:rPr>
          <w:color w:val="1F3864" w:themeColor="accent1" w:themeShade="80"/>
        </w:rPr>
      </w:pPr>
      <w:r w:rsidRPr="00413472">
        <w:rPr>
          <w:rFonts w:eastAsia="Cambria"/>
          <w:color w:val="1F3864" w:themeColor="accent1" w:themeShade="80"/>
        </w:rPr>
        <w:t xml:space="preserve">Protekcionismus </w:t>
      </w:r>
      <w:r w:rsidRPr="00413472">
        <w:rPr>
          <w:rFonts w:eastAsia="Times New Roman"/>
          <w:bCs/>
          <w:color w:val="1F3864" w:themeColor="accent1" w:themeShade="80"/>
        </w:rPr>
        <w:t>(ochranářství)</w:t>
      </w:r>
    </w:p>
    <w:p w14:paraId="67108816" w14:textId="77777777" w:rsidR="00A15E2D" w:rsidRPr="00FC3B7C" w:rsidRDefault="00A15E2D" w:rsidP="00A15E2D">
      <w:pPr>
        <w:spacing w:line="204" w:lineRule="exact"/>
        <w:rPr>
          <w:sz w:val="20"/>
          <w:szCs w:val="20"/>
        </w:rPr>
      </w:pPr>
    </w:p>
    <w:p w14:paraId="00419FF8" w14:textId="77777777" w:rsidR="00A15E2D" w:rsidRPr="00FC3B7C" w:rsidRDefault="00A15E2D" w:rsidP="00A15E2D">
      <w:pPr>
        <w:rPr>
          <w:sz w:val="20"/>
          <w:szCs w:val="20"/>
        </w:rPr>
      </w:pPr>
      <w:r w:rsidRPr="00FC3B7C">
        <w:rPr>
          <w:rFonts w:eastAsia="Times New Roman"/>
        </w:rPr>
        <w:t>Směr chránící domácí politiku před vnějšími vlivy, brání vstupu zahraniční konkurence. Jsou to jakékoliv zásahy státu do dobrovolné směny. Ochrana nekonkurenceschopných odvětví (argument zachování pracovních míst, nedospělost odvětví).</w:t>
      </w:r>
    </w:p>
    <w:p w14:paraId="70A296C0" w14:textId="77777777" w:rsidR="00A15E2D" w:rsidRPr="00FC3B7C" w:rsidRDefault="00A15E2D" w:rsidP="00A15E2D">
      <w:pPr>
        <w:spacing w:line="3" w:lineRule="exact"/>
        <w:rPr>
          <w:sz w:val="20"/>
          <w:szCs w:val="20"/>
        </w:rPr>
      </w:pPr>
    </w:p>
    <w:p w14:paraId="287E43A8" w14:textId="77777777" w:rsidR="00A15E2D" w:rsidRPr="00FC3B7C" w:rsidRDefault="00A15E2D" w:rsidP="00A15E2D">
      <w:pPr>
        <w:rPr>
          <w:sz w:val="20"/>
          <w:szCs w:val="20"/>
        </w:rPr>
      </w:pPr>
      <w:r w:rsidRPr="00FC3B7C">
        <w:rPr>
          <w:rFonts w:eastAsia="Times New Roman"/>
        </w:rPr>
        <w:t>Dochází</w:t>
      </w:r>
      <w:r>
        <w:rPr>
          <w:rFonts w:eastAsia="Times New Roman"/>
        </w:rPr>
        <w:t xml:space="preserve"> </w:t>
      </w:r>
      <w:r w:rsidRPr="00FC3B7C">
        <w:rPr>
          <w:rFonts w:eastAsia="Times New Roman"/>
        </w:rPr>
        <w:t>k</w:t>
      </w:r>
      <w:r>
        <w:rPr>
          <w:rFonts w:eastAsia="Times New Roman"/>
        </w:rPr>
        <w:t> </w:t>
      </w:r>
      <w:r w:rsidRPr="00FC3B7C">
        <w:rPr>
          <w:rFonts w:eastAsia="Times New Roman"/>
        </w:rPr>
        <w:t>expanzi</w:t>
      </w:r>
      <w:r>
        <w:rPr>
          <w:rFonts w:eastAsia="Times New Roman"/>
        </w:rPr>
        <w:t xml:space="preserve"> </w:t>
      </w:r>
      <w:r w:rsidRPr="00FC3B7C">
        <w:rPr>
          <w:rFonts w:eastAsia="Times New Roman"/>
        </w:rPr>
        <w:t>chráněných</w:t>
      </w:r>
      <w:r>
        <w:rPr>
          <w:rFonts w:eastAsia="Times New Roman"/>
        </w:rPr>
        <w:t xml:space="preserve"> </w:t>
      </w:r>
      <w:r w:rsidRPr="00FC3B7C">
        <w:rPr>
          <w:rFonts w:eastAsia="Times New Roman"/>
        </w:rPr>
        <w:t>odvětví</w:t>
      </w:r>
      <w:r>
        <w:rPr>
          <w:rFonts w:eastAsia="Times New Roman"/>
        </w:rPr>
        <w:t xml:space="preserve"> </w:t>
      </w:r>
      <w:r w:rsidRPr="00FC3B7C">
        <w:rPr>
          <w:rFonts w:eastAsia="Times New Roman"/>
        </w:rPr>
        <w:t>na</w:t>
      </w:r>
      <w:r>
        <w:rPr>
          <w:rFonts w:eastAsia="Times New Roman"/>
        </w:rPr>
        <w:t xml:space="preserve"> </w:t>
      </w:r>
      <w:r w:rsidRPr="00FC3B7C">
        <w:rPr>
          <w:rFonts w:eastAsia="Times New Roman"/>
        </w:rPr>
        <w:t>úkor</w:t>
      </w:r>
      <w:r>
        <w:rPr>
          <w:rFonts w:eastAsia="Times New Roman"/>
        </w:rPr>
        <w:t xml:space="preserve"> </w:t>
      </w:r>
      <w:r w:rsidRPr="00FC3B7C">
        <w:rPr>
          <w:rFonts w:eastAsia="Times New Roman"/>
        </w:rPr>
        <w:t>ostatních</w:t>
      </w:r>
      <w:r>
        <w:rPr>
          <w:rFonts w:eastAsia="Times New Roman"/>
        </w:rPr>
        <w:t xml:space="preserve"> </w:t>
      </w:r>
      <w:r w:rsidRPr="00FC3B7C">
        <w:rPr>
          <w:rFonts w:eastAsia="Times New Roman"/>
        </w:rPr>
        <w:t>a</w:t>
      </w:r>
      <w:r>
        <w:rPr>
          <w:rFonts w:eastAsia="Times New Roman"/>
        </w:rPr>
        <w:t xml:space="preserve"> </w:t>
      </w:r>
      <w:r w:rsidRPr="00FC3B7C">
        <w:rPr>
          <w:rFonts w:eastAsia="Times New Roman"/>
        </w:rPr>
        <w:t>ne</w:t>
      </w:r>
      <w:r>
        <w:rPr>
          <w:rFonts w:eastAsia="Times New Roman"/>
        </w:rPr>
        <w:t>-</w:t>
      </w:r>
      <w:r w:rsidRPr="00FC3B7C">
        <w:rPr>
          <w:rFonts w:eastAsia="Times New Roman"/>
        </w:rPr>
        <w:t>efektivní</w:t>
      </w:r>
      <w:r>
        <w:rPr>
          <w:rFonts w:eastAsia="Times New Roman"/>
        </w:rPr>
        <w:t xml:space="preserve"> </w:t>
      </w:r>
      <w:r w:rsidRPr="00FC3B7C">
        <w:rPr>
          <w:rFonts w:eastAsia="Times New Roman"/>
        </w:rPr>
        <w:t>alokaci</w:t>
      </w:r>
      <w:r>
        <w:rPr>
          <w:rFonts w:eastAsia="Times New Roman"/>
        </w:rPr>
        <w:t xml:space="preserve"> </w:t>
      </w:r>
      <w:r w:rsidRPr="00FC3B7C">
        <w:rPr>
          <w:rFonts w:eastAsia="Times New Roman"/>
        </w:rPr>
        <w:t>zdrojů.</w:t>
      </w:r>
      <w:r>
        <w:rPr>
          <w:rFonts w:eastAsia="Times New Roman"/>
        </w:rPr>
        <w:br/>
        <w:t xml:space="preserve">Vede </w:t>
      </w:r>
      <w:r w:rsidRPr="00FC3B7C">
        <w:rPr>
          <w:rFonts w:eastAsia="Times New Roman"/>
        </w:rPr>
        <w:t xml:space="preserve">ke konzervaci stereotypů v domácí ekonomice, mizí tlak na kvalitu, cenu </w:t>
      </w:r>
      <w:r>
        <w:rPr>
          <w:rFonts w:eastAsia="Times New Roman"/>
        </w:rPr>
        <w:br/>
      </w:r>
      <w:r w:rsidRPr="00FC3B7C">
        <w:rPr>
          <w:rFonts w:eastAsia="Times New Roman"/>
        </w:rPr>
        <w:t>i technologickou inovaci.</w:t>
      </w:r>
    </w:p>
    <w:p w14:paraId="0EF6484B" w14:textId="77777777" w:rsidR="00A15E2D" w:rsidRPr="00FC3B7C" w:rsidRDefault="00A15E2D" w:rsidP="00A15E2D">
      <w:pPr>
        <w:spacing w:line="103" w:lineRule="exact"/>
        <w:rPr>
          <w:sz w:val="20"/>
          <w:szCs w:val="20"/>
        </w:rPr>
      </w:pPr>
    </w:p>
    <w:p w14:paraId="19402AEF" w14:textId="77777777" w:rsidR="00A15E2D" w:rsidRPr="00377017" w:rsidRDefault="00A15E2D" w:rsidP="00D46B53">
      <w:pPr>
        <w:numPr>
          <w:ilvl w:val="0"/>
          <w:numId w:val="199"/>
        </w:numPr>
        <w:tabs>
          <w:tab w:val="left" w:pos="800"/>
        </w:tabs>
        <w:ind w:left="800" w:hanging="348"/>
        <w:rPr>
          <w:rFonts w:eastAsia="Times New Roman"/>
          <w:szCs w:val="24"/>
        </w:rPr>
      </w:pPr>
      <w:r w:rsidRPr="00FC3B7C">
        <w:rPr>
          <w:rFonts w:eastAsia="Times New Roman"/>
          <w:szCs w:val="24"/>
        </w:rPr>
        <w:t>Importní cla</w:t>
      </w:r>
    </w:p>
    <w:p w14:paraId="4DBBC374" w14:textId="77777777" w:rsidR="00A15E2D" w:rsidRPr="00377017" w:rsidRDefault="00A15E2D" w:rsidP="00D46B53">
      <w:pPr>
        <w:numPr>
          <w:ilvl w:val="0"/>
          <w:numId w:val="199"/>
        </w:numPr>
        <w:tabs>
          <w:tab w:val="left" w:pos="800"/>
        </w:tabs>
        <w:ind w:left="800" w:hanging="348"/>
        <w:rPr>
          <w:rFonts w:eastAsia="Times New Roman"/>
          <w:szCs w:val="24"/>
        </w:rPr>
      </w:pPr>
      <w:r w:rsidRPr="00FC3B7C">
        <w:rPr>
          <w:rFonts w:eastAsia="Times New Roman"/>
          <w:szCs w:val="24"/>
        </w:rPr>
        <w:t>Množstevní omezení</w:t>
      </w:r>
    </w:p>
    <w:p w14:paraId="37460E8F" w14:textId="6254835A" w:rsidR="00A15E2D" w:rsidRPr="00377017" w:rsidRDefault="00A15E2D" w:rsidP="00D46B53">
      <w:pPr>
        <w:numPr>
          <w:ilvl w:val="0"/>
          <w:numId w:val="199"/>
        </w:numPr>
        <w:tabs>
          <w:tab w:val="left" w:pos="800"/>
        </w:tabs>
        <w:ind w:left="800" w:hanging="348"/>
        <w:rPr>
          <w:rFonts w:eastAsia="Times New Roman"/>
          <w:szCs w:val="24"/>
        </w:rPr>
      </w:pPr>
      <w:r w:rsidRPr="00FC3B7C">
        <w:rPr>
          <w:rFonts w:eastAsia="Times New Roman"/>
          <w:szCs w:val="24"/>
        </w:rPr>
        <w:t>Technické překážky (splnění určitých podmínek vztahujících se k</w:t>
      </w:r>
      <w:r w:rsidR="007E5E16">
        <w:rPr>
          <w:rFonts w:eastAsia="Times New Roman"/>
          <w:szCs w:val="24"/>
        </w:rPr>
        <w:t xml:space="preserve"> </w:t>
      </w:r>
      <w:r w:rsidRPr="00FC3B7C">
        <w:rPr>
          <w:rFonts w:eastAsia="Times New Roman"/>
          <w:szCs w:val="24"/>
        </w:rPr>
        <w:t>výrobku)</w:t>
      </w:r>
    </w:p>
    <w:p w14:paraId="15A9607D" w14:textId="77777777" w:rsidR="00A15E2D" w:rsidRDefault="00A15E2D" w:rsidP="00D46B53">
      <w:pPr>
        <w:numPr>
          <w:ilvl w:val="0"/>
          <w:numId w:val="199"/>
        </w:numPr>
        <w:tabs>
          <w:tab w:val="left" w:pos="800"/>
        </w:tabs>
        <w:ind w:left="800" w:hanging="348"/>
        <w:rPr>
          <w:rFonts w:eastAsia="Times New Roman"/>
          <w:szCs w:val="24"/>
        </w:rPr>
      </w:pPr>
      <w:r w:rsidRPr="00FC3B7C">
        <w:rPr>
          <w:rFonts w:eastAsia="Times New Roman"/>
          <w:szCs w:val="24"/>
        </w:rPr>
        <w:t>Dobrovolná omezení exportu (obchodní diplomatické aktivity státu</w:t>
      </w:r>
    </w:p>
    <w:p w14:paraId="1DE75B67" w14:textId="77777777" w:rsidR="00A15E2D" w:rsidRPr="00377017" w:rsidRDefault="00A15E2D" w:rsidP="00A15E2D">
      <w:pPr>
        <w:tabs>
          <w:tab w:val="left" w:pos="800"/>
        </w:tabs>
        <w:ind w:left="800"/>
        <w:rPr>
          <w:rFonts w:eastAsia="Times New Roman"/>
          <w:szCs w:val="24"/>
        </w:rPr>
      </w:pPr>
    </w:p>
    <w:p w14:paraId="4FAA368A" w14:textId="77777777" w:rsidR="00A15E2D" w:rsidRPr="00FC3B7C" w:rsidRDefault="00A15E2D" w:rsidP="00A15E2D">
      <w:pPr>
        <w:ind w:left="100"/>
        <w:rPr>
          <w:sz w:val="20"/>
          <w:szCs w:val="20"/>
        </w:rPr>
      </w:pPr>
      <w:r w:rsidRPr="00FC3B7C">
        <w:rPr>
          <w:rFonts w:eastAsia="Times New Roman"/>
          <w:b/>
          <w:bCs/>
          <w:szCs w:val="24"/>
        </w:rPr>
        <w:t>Pozitiva:</w:t>
      </w:r>
    </w:p>
    <w:p w14:paraId="4FFB27D8" w14:textId="77777777" w:rsidR="00A15E2D" w:rsidRPr="00FC3B7C" w:rsidRDefault="00A15E2D" w:rsidP="00A15E2D">
      <w:pPr>
        <w:spacing w:line="255" w:lineRule="auto"/>
        <w:ind w:left="100" w:right="20"/>
        <w:rPr>
          <w:sz w:val="20"/>
          <w:szCs w:val="20"/>
        </w:rPr>
      </w:pPr>
      <w:bookmarkStart w:id="201" w:name="page201"/>
      <w:bookmarkEnd w:id="201"/>
      <w:r w:rsidRPr="00FC3B7C">
        <w:rPr>
          <w:rFonts w:eastAsia="Times New Roman"/>
          <w:szCs w:val="24"/>
        </w:rPr>
        <w:t>Vyšší mzdy nebo zvýšení nezaměstnanosti, zachování národní tradice, základní soběstačnost ekonomiky a vyloučení její závislosti na zahraničních zdrojích, chrání domácí politiku před vstupem zahraniční konkurence</w:t>
      </w:r>
    </w:p>
    <w:p w14:paraId="71346FE5" w14:textId="77777777" w:rsidR="00A15E2D" w:rsidRPr="00FC3B7C" w:rsidRDefault="00A15E2D" w:rsidP="00A15E2D">
      <w:pPr>
        <w:sectPr w:rsidR="00A15E2D" w:rsidRPr="00FC3B7C">
          <w:pgSz w:w="11900" w:h="16840"/>
          <w:pgMar w:top="1397" w:right="1440" w:bottom="1440" w:left="1440" w:header="0" w:footer="0" w:gutter="0"/>
          <w:cols w:space="708" w:equalWidth="0">
            <w:col w:w="9020"/>
          </w:cols>
        </w:sectPr>
      </w:pPr>
    </w:p>
    <w:p w14:paraId="03B589A6" w14:textId="77777777" w:rsidR="00A15E2D" w:rsidRPr="00FC3B7C" w:rsidRDefault="00A15E2D" w:rsidP="00A15E2D">
      <w:pPr>
        <w:spacing w:line="28" w:lineRule="exact"/>
        <w:rPr>
          <w:sz w:val="20"/>
          <w:szCs w:val="20"/>
        </w:rPr>
      </w:pPr>
      <w:bookmarkStart w:id="202" w:name="page202"/>
      <w:bookmarkEnd w:id="202"/>
    </w:p>
    <w:p w14:paraId="666E56AE" w14:textId="77777777" w:rsidR="00A15E2D" w:rsidRPr="00FC3B7C" w:rsidRDefault="00A15E2D" w:rsidP="00A15E2D">
      <w:pPr>
        <w:ind w:left="120"/>
        <w:rPr>
          <w:sz w:val="20"/>
          <w:szCs w:val="20"/>
        </w:rPr>
      </w:pPr>
      <w:r w:rsidRPr="00FC3B7C">
        <w:rPr>
          <w:rFonts w:eastAsia="Times New Roman"/>
          <w:b/>
          <w:bCs/>
          <w:szCs w:val="24"/>
        </w:rPr>
        <w:t>Negativa:</w:t>
      </w:r>
    </w:p>
    <w:p w14:paraId="320045F3" w14:textId="77777777" w:rsidR="00A15E2D" w:rsidRPr="00FC3B7C" w:rsidRDefault="00A15E2D" w:rsidP="00A15E2D">
      <w:pPr>
        <w:spacing w:line="118" w:lineRule="exact"/>
        <w:rPr>
          <w:sz w:val="20"/>
          <w:szCs w:val="20"/>
        </w:rPr>
      </w:pPr>
    </w:p>
    <w:p w14:paraId="4F8854F7" w14:textId="77777777" w:rsidR="00A15E2D" w:rsidRPr="00FC3B7C" w:rsidRDefault="00A15E2D" w:rsidP="00A15E2D">
      <w:pPr>
        <w:spacing w:line="255" w:lineRule="auto"/>
        <w:ind w:left="120" w:right="60"/>
        <w:rPr>
          <w:sz w:val="20"/>
          <w:szCs w:val="20"/>
        </w:rPr>
      </w:pPr>
      <w:r w:rsidRPr="00FC3B7C">
        <w:rPr>
          <w:rFonts w:eastAsia="Times New Roman"/>
          <w:szCs w:val="24"/>
        </w:rPr>
        <w:t>Potlačení konkurence, vytvoření skleníkového efektu, pomalejší technický rozvoj, nižší přínosy z komparativních výhod, vyšší ceny, expanze chráněných odvětví na úkor ostatních= neefektivní alokace zdrojů</w:t>
      </w:r>
    </w:p>
    <w:p w14:paraId="3C3071D4" w14:textId="77777777" w:rsidR="00A15E2D" w:rsidRPr="00FC3B7C" w:rsidRDefault="00A15E2D" w:rsidP="00A15E2D">
      <w:pPr>
        <w:spacing w:line="235" w:lineRule="exact"/>
        <w:rPr>
          <w:sz w:val="20"/>
          <w:szCs w:val="20"/>
        </w:rPr>
      </w:pPr>
    </w:p>
    <w:p w14:paraId="298BB3A6" w14:textId="77777777" w:rsidR="00A15E2D" w:rsidRPr="00413472" w:rsidRDefault="00A15E2D" w:rsidP="00A15E2D">
      <w:pPr>
        <w:pStyle w:val="Nadpis4"/>
        <w:rPr>
          <w:color w:val="1F3864" w:themeColor="accent1" w:themeShade="80"/>
        </w:rPr>
      </w:pPr>
      <w:r w:rsidRPr="00413472">
        <w:rPr>
          <w:rFonts w:eastAsia="Times New Roman"/>
          <w:color w:val="1F3864" w:themeColor="accent1" w:themeShade="80"/>
        </w:rPr>
        <w:t>Autarkie</w:t>
      </w:r>
    </w:p>
    <w:p w14:paraId="6F77B4C7" w14:textId="77777777" w:rsidR="00A15E2D" w:rsidRPr="00FC3B7C" w:rsidRDefault="00A15E2D" w:rsidP="00A15E2D">
      <w:pPr>
        <w:spacing w:line="165" w:lineRule="exact"/>
        <w:rPr>
          <w:sz w:val="20"/>
          <w:szCs w:val="20"/>
        </w:rPr>
      </w:pPr>
    </w:p>
    <w:p w14:paraId="5E5F2F73" w14:textId="77777777" w:rsidR="00A15E2D" w:rsidRPr="00FC3B7C" w:rsidRDefault="00A15E2D" w:rsidP="00A15E2D">
      <w:pPr>
        <w:rPr>
          <w:sz w:val="20"/>
          <w:szCs w:val="20"/>
        </w:rPr>
      </w:pPr>
      <w:r w:rsidRPr="00FC3B7C">
        <w:rPr>
          <w:rFonts w:eastAsia="Times New Roman"/>
        </w:rPr>
        <w:t>Extrémní případ protekcionismu je autarkie, jejímž principem je uzavření domácího trhu pro dovozy a znemožnění vývozů. Stát tak nevyužívá možných komparativních výhod, a to vede ke konzervaci chudoby, zastaralých technologií a nárůst výrobních nákladů. Příkladem byla částečně Čína, dnes je to hlavně Severní Korea.</w:t>
      </w:r>
    </w:p>
    <w:p w14:paraId="04AC440B" w14:textId="77777777" w:rsidR="00A15E2D" w:rsidRPr="00FC3B7C" w:rsidRDefault="00A15E2D" w:rsidP="00A15E2D">
      <w:pPr>
        <w:spacing w:line="1" w:lineRule="exact"/>
        <w:rPr>
          <w:sz w:val="20"/>
          <w:szCs w:val="20"/>
        </w:rPr>
      </w:pPr>
    </w:p>
    <w:p w14:paraId="5FBB17BC" w14:textId="77777777" w:rsidR="00A15E2D" w:rsidRPr="00FC3B7C" w:rsidRDefault="00A15E2D" w:rsidP="00A15E2D">
      <w:pPr>
        <w:ind w:left="120"/>
        <w:rPr>
          <w:sz w:val="20"/>
          <w:szCs w:val="20"/>
        </w:rPr>
      </w:pPr>
      <w:r w:rsidRPr="00FC3B7C">
        <w:rPr>
          <w:rFonts w:eastAsia="Times New Roman"/>
          <w:b/>
          <w:bCs/>
          <w:szCs w:val="24"/>
        </w:rPr>
        <w:t>Pozitiva:</w:t>
      </w:r>
    </w:p>
    <w:p w14:paraId="278A7AEA" w14:textId="32CD6F57" w:rsidR="00A15E2D" w:rsidRPr="00FC3B7C" w:rsidRDefault="00A15E2D" w:rsidP="00A15E2D">
      <w:pPr>
        <w:ind w:left="120"/>
        <w:rPr>
          <w:sz w:val="20"/>
          <w:szCs w:val="20"/>
        </w:rPr>
      </w:pPr>
      <w:r w:rsidRPr="00FC3B7C">
        <w:rPr>
          <w:rFonts w:eastAsia="Times New Roman"/>
          <w:szCs w:val="24"/>
        </w:rPr>
        <w:t xml:space="preserve">Vyšší mzdy, vyšší zaměstnanost, soběstačnost </w:t>
      </w:r>
      <w:r>
        <w:rPr>
          <w:rFonts w:eastAsia="Times New Roman"/>
          <w:szCs w:val="24"/>
        </w:rPr>
        <w:t>ekonomiky, vyloučení závislosti</w:t>
      </w:r>
      <w:r>
        <w:rPr>
          <w:rFonts w:eastAsia="Times New Roman"/>
          <w:szCs w:val="24"/>
        </w:rPr>
        <w:br/>
      </w:r>
      <w:r w:rsidRPr="00FC3B7C">
        <w:rPr>
          <w:rFonts w:eastAsia="Times New Roman"/>
          <w:szCs w:val="24"/>
        </w:rPr>
        <w:t>na</w:t>
      </w:r>
      <w:r>
        <w:rPr>
          <w:rFonts w:eastAsia="Times New Roman"/>
          <w:szCs w:val="24"/>
        </w:rPr>
        <w:t xml:space="preserve">zahraničních </w:t>
      </w:r>
      <w:r w:rsidR="007E5E16">
        <w:rPr>
          <w:rFonts w:eastAsia="Times New Roman"/>
          <w:szCs w:val="24"/>
        </w:rPr>
        <w:t>zdrojů.</w:t>
      </w:r>
    </w:p>
    <w:p w14:paraId="069A20E7" w14:textId="77777777" w:rsidR="00A15E2D" w:rsidRPr="00FC3B7C" w:rsidRDefault="00A15E2D" w:rsidP="00A15E2D">
      <w:pPr>
        <w:spacing w:line="124" w:lineRule="exact"/>
        <w:rPr>
          <w:sz w:val="20"/>
          <w:szCs w:val="20"/>
        </w:rPr>
      </w:pPr>
    </w:p>
    <w:p w14:paraId="61ECF2BE" w14:textId="77777777" w:rsidR="00A15E2D" w:rsidRPr="00FC3B7C" w:rsidRDefault="00A15E2D" w:rsidP="00A15E2D">
      <w:pPr>
        <w:ind w:left="120"/>
        <w:rPr>
          <w:sz w:val="20"/>
          <w:szCs w:val="20"/>
        </w:rPr>
      </w:pPr>
      <w:r w:rsidRPr="00FC3B7C">
        <w:rPr>
          <w:rFonts w:eastAsia="Times New Roman"/>
          <w:b/>
          <w:bCs/>
          <w:szCs w:val="24"/>
        </w:rPr>
        <w:t>Negativa:</w:t>
      </w:r>
    </w:p>
    <w:p w14:paraId="5A293F09" w14:textId="77777777" w:rsidR="00A15E2D" w:rsidRPr="00FC3B7C" w:rsidRDefault="00A15E2D" w:rsidP="00A15E2D">
      <w:pPr>
        <w:spacing w:line="273" w:lineRule="auto"/>
        <w:ind w:left="120" w:right="80"/>
        <w:rPr>
          <w:sz w:val="20"/>
          <w:szCs w:val="20"/>
        </w:rPr>
      </w:pPr>
      <w:r w:rsidRPr="00FC3B7C">
        <w:rPr>
          <w:rFonts w:eastAsia="Times New Roman"/>
          <w:szCs w:val="24"/>
        </w:rPr>
        <w:t>Potlačení konkurence, pomalejší technický vývoj, vyšší ceny, nižší kvalita výrobku, vytvoření skleníkového efektu.</w:t>
      </w:r>
    </w:p>
    <w:p w14:paraId="7B641834" w14:textId="77777777" w:rsidR="00A15E2D" w:rsidRPr="00FC3B7C" w:rsidRDefault="00A15E2D" w:rsidP="00A15E2D">
      <w:pPr>
        <w:spacing w:line="200" w:lineRule="exact"/>
        <w:rPr>
          <w:sz w:val="20"/>
          <w:szCs w:val="20"/>
        </w:rPr>
      </w:pPr>
    </w:p>
    <w:p w14:paraId="4A017E39" w14:textId="77777777" w:rsidR="00A15E2D" w:rsidRPr="00FC3B7C" w:rsidRDefault="00A15E2D" w:rsidP="00A15E2D">
      <w:pPr>
        <w:spacing w:line="220" w:lineRule="exact"/>
        <w:rPr>
          <w:sz w:val="20"/>
          <w:szCs w:val="20"/>
        </w:rPr>
      </w:pPr>
    </w:p>
    <w:p w14:paraId="365429F3" w14:textId="77777777" w:rsidR="00A15E2D" w:rsidRPr="00413472" w:rsidRDefault="00A15E2D" w:rsidP="00A15E2D">
      <w:pPr>
        <w:pStyle w:val="Nadpis3"/>
        <w:rPr>
          <w:color w:val="1F3864" w:themeColor="accent1" w:themeShade="80"/>
        </w:rPr>
      </w:pPr>
      <w:r w:rsidRPr="00413472">
        <w:rPr>
          <w:rFonts w:eastAsia="Times New Roman"/>
          <w:color w:val="1F3864" w:themeColor="accent1" w:themeShade="80"/>
        </w:rPr>
        <w:t>Nástroje obchodní politiky</w:t>
      </w:r>
    </w:p>
    <w:p w14:paraId="55DA0F91" w14:textId="77777777" w:rsidR="00A15E2D" w:rsidRPr="00413472" w:rsidRDefault="00A15E2D" w:rsidP="00A15E2D">
      <w:pPr>
        <w:pStyle w:val="Nadpis4"/>
        <w:rPr>
          <w:color w:val="1F3864" w:themeColor="accent1" w:themeShade="80"/>
          <w:sz w:val="20"/>
          <w:szCs w:val="20"/>
        </w:rPr>
      </w:pPr>
      <w:r w:rsidRPr="00413472">
        <w:rPr>
          <w:rFonts w:eastAsia="Times New Roman"/>
          <w:color w:val="1F3864" w:themeColor="accent1" w:themeShade="80"/>
        </w:rPr>
        <w:t>Nadnárodní institucionální rámec obchodní politiky</w:t>
      </w:r>
    </w:p>
    <w:p w14:paraId="299401AC" w14:textId="77777777" w:rsidR="00A15E2D" w:rsidRPr="00FC3B7C" w:rsidRDefault="00A15E2D" w:rsidP="00A15E2D">
      <w:pPr>
        <w:spacing w:line="159" w:lineRule="exact"/>
        <w:rPr>
          <w:sz w:val="20"/>
          <w:szCs w:val="20"/>
        </w:rPr>
      </w:pPr>
    </w:p>
    <w:p w14:paraId="2E10EEB7" w14:textId="77777777" w:rsidR="00A15E2D" w:rsidRPr="00FC3B7C" w:rsidRDefault="00A15E2D" w:rsidP="00A15E2D">
      <w:pPr>
        <w:rPr>
          <w:sz w:val="20"/>
          <w:szCs w:val="20"/>
        </w:rPr>
      </w:pPr>
      <w:r w:rsidRPr="00FC3B7C">
        <w:rPr>
          <w:rFonts w:eastAsia="Times New Roman"/>
          <w:b/>
          <w:bCs/>
          <w:szCs w:val="24"/>
        </w:rPr>
        <w:t>Smluvní nástroje:</w:t>
      </w:r>
    </w:p>
    <w:p w14:paraId="5AA2A40B" w14:textId="77777777" w:rsidR="00A15E2D" w:rsidRPr="00FC3B7C" w:rsidRDefault="00A15E2D" w:rsidP="00A15E2D">
      <w:pPr>
        <w:spacing w:line="118" w:lineRule="exact"/>
        <w:rPr>
          <w:sz w:val="20"/>
          <w:szCs w:val="20"/>
        </w:rPr>
      </w:pPr>
    </w:p>
    <w:p w14:paraId="2C7C115D" w14:textId="77777777" w:rsidR="00A15E2D" w:rsidRPr="00FC3B7C" w:rsidRDefault="00A15E2D" w:rsidP="00A15E2D">
      <w:pPr>
        <w:rPr>
          <w:sz w:val="20"/>
          <w:szCs w:val="20"/>
        </w:rPr>
      </w:pPr>
      <w:r w:rsidRPr="00FC3B7C">
        <w:rPr>
          <w:rFonts w:eastAsia="Times New Roman"/>
        </w:rPr>
        <w:t>Základem jsou dohody a ujednání mezi dvěma (bilaterální smlouvy) nebo více státy (multilaterální smlouvy). Obchodní smlouvy, obchodní dohody (konkretizují obchodní smlouvu), platební dohody (veškeré platební podmínky, způsoby vyrovnání), výměnné obchody (barter – v naturální směně).</w:t>
      </w:r>
    </w:p>
    <w:p w14:paraId="2EB2EEAF" w14:textId="77777777" w:rsidR="00A15E2D" w:rsidRPr="00FC3B7C" w:rsidRDefault="00A15E2D" w:rsidP="00A15E2D">
      <w:pPr>
        <w:spacing w:line="1" w:lineRule="exact"/>
        <w:rPr>
          <w:sz w:val="20"/>
          <w:szCs w:val="20"/>
        </w:rPr>
      </w:pPr>
    </w:p>
    <w:p w14:paraId="217B7782" w14:textId="77777777" w:rsidR="00A15E2D" w:rsidRPr="00FC3B7C" w:rsidRDefault="00A15E2D" w:rsidP="00A15E2D">
      <w:pPr>
        <w:tabs>
          <w:tab w:val="left" w:pos="2640"/>
        </w:tabs>
        <w:rPr>
          <w:sz w:val="20"/>
          <w:szCs w:val="20"/>
        </w:rPr>
      </w:pPr>
      <w:r w:rsidRPr="00FC3B7C">
        <w:rPr>
          <w:rFonts w:eastAsia="Times New Roman"/>
          <w:b/>
          <w:bCs/>
          <w:szCs w:val="24"/>
        </w:rPr>
        <w:t>Mezinárodní</w:t>
      </w:r>
      <w:r w:rsidRPr="00FC3B7C">
        <w:rPr>
          <w:sz w:val="20"/>
          <w:szCs w:val="20"/>
        </w:rPr>
        <w:t xml:space="preserve"> </w:t>
      </w:r>
      <w:r w:rsidRPr="00FC3B7C">
        <w:rPr>
          <w:rFonts w:eastAsia="Times New Roman"/>
          <w:b/>
          <w:bCs/>
          <w:szCs w:val="24"/>
        </w:rPr>
        <w:t>ekonomické integrace:</w:t>
      </w:r>
    </w:p>
    <w:p w14:paraId="18A47817" w14:textId="77777777" w:rsidR="00A15E2D" w:rsidRPr="00377017" w:rsidRDefault="00A15E2D" w:rsidP="00D46B53">
      <w:pPr>
        <w:numPr>
          <w:ilvl w:val="1"/>
          <w:numId w:val="200"/>
        </w:numPr>
        <w:tabs>
          <w:tab w:val="left" w:pos="820"/>
        </w:tabs>
        <w:ind w:left="820" w:hanging="348"/>
        <w:rPr>
          <w:rFonts w:eastAsia="Times New Roman"/>
          <w:szCs w:val="24"/>
        </w:rPr>
      </w:pPr>
      <w:r w:rsidRPr="00413472">
        <w:rPr>
          <w:rFonts w:eastAsia="Times New Roman"/>
          <w:szCs w:val="24"/>
          <w:u w:val="single"/>
        </w:rPr>
        <w:t>zóna volného obchodu</w:t>
      </w:r>
      <w:r w:rsidRPr="00FC3B7C">
        <w:rPr>
          <w:rFonts w:eastAsia="Times New Roman"/>
          <w:szCs w:val="24"/>
        </w:rPr>
        <w:t xml:space="preserve"> – odstranění bariér (např. CEFTA, NAFTA, ESVO),</w:t>
      </w:r>
    </w:p>
    <w:p w14:paraId="789FD73B" w14:textId="77777777" w:rsidR="00A15E2D" w:rsidRPr="00413472" w:rsidRDefault="00A15E2D" w:rsidP="00D46B53">
      <w:pPr>
        <w:numPr>
          <w:ilvl w:val="0"/>
          <w:numId w:val="200"/>
        </w:numPr>
        <w:tabs>
          <w:tab w:val="left" w:pos="820"/>
        </w:tabs>
        <w:ind w:left="820" w:hanging="360"/>
        <w:rPr>
          <w:rFonts w:eastAsia="Times New Roman"/>
          <w:szCs w:val="24"/>
          <w:u w:val="single"/>
        </w:rPr>
      </w:pPr>
      <w:r w:rsidRPr="00413472">
        <w:rPr>
          <w:rFonts w:eastAsia="Times New Roman"/>
          <w:szCs w:val="24"/>
          <w:u w:val="single"/>
        </w:rPr>
        <w:t>celní unie</w:t>
      </w:r>
    </w:p>
    <w:p w14:paraId="2710DA36" w14:textId="77777777" w:rsidR="00A15E2D" w:rsidRPr="00377017" w:rsidRDefault="00A15E2D" w:rsidP="00D46B53">
      <w:pPr>
        <w:numPr>
          <w:ilvl w:val="0"/>
          <w:numId w:val="200"/>
        </w:numPr>
        <w:tabs>
          <w:tab w:val="left" w:pos="820"/>
        </w:tabs>
        <w:ind w:left="820" w:hanging="360"/>
        <w:rPr>
          <w:rFonts w:eastAsia="Times New Roman"/>
          <w:szCs w:val="24"/>
        </w:rPr>
      </w:pPr>
      <w:r w:rsidRPr="00413472">
        <w:rPr>
          <w:rFonts w:eastAsia="Times New Roman"/>
          <w:szCs w:val="24"/>
          <w:u w:val="single"/>
        </w:rPr>
        <w:t>společný trh</w:t>
      </w:r>
      <w:r w:rsidRPr="00FC3B7C">
        <w:rPr>
          <w:rFonts w:eastAsia="Times New Roman"/>
          <w:szCs w:val="24"/>
        </w:rPr>
        <w:t xml:space="preserve"> – celní unie +volný pohyb zboží, služeb, osob a kapitálu,</w:t>
      </w:r>
    </w:p>
    <w:p w14:paraId="4C90131F" w14:textId="77777777" w:rsidR="00A15E2D" w:rsidRPr="00377017" w:rsidRDefault="00A15E2D" w:rsidP="00D46B53">
      <w:pPr>
        <w:numPr>
          <w:ilvl w:val="0"/>
          <w:numId w:val="200"/>
        </w:numPr>
        <w:tabs>
          <w:tab w:val="left" w:pos="820"/>
        </w:tabs>
        <w:ind w:left="820" w:hanging="360"/>
        <w:rPr>
          <w:rFonts w:eastAsia="Times New Roman"/>
          <w:sz w:val="23"/>
          <w:szCs w:val="23"/>
        </w:rPr>
      </w:pPr>
      <w:r w:rsidRPr="00413472">
        <w:rPr>
          <w:rFonts w:eastAsia="Times New Roman"/>
          <w:sz w:val="23"/>
          <w:szCs w:val="23"/>
          <w:u w:val="single"/>
        </w:rPr>
        <w:t>hospodářská a měnová unie</w:t>
      </w:r>
      <w:r w:rsidRPr="00FC3B7C">
        <w:rPr>
          <w:rFonts w:eastAsia="Times New Roman"/>
          <w:sz w:val="23"/>
          <w:szCs w:val="23"/>
        </w:rPr>
        <w:t xml:space="preserve"> – EMU – společná měnová politika, zavedení jedné měny,</w:t>
      </w:r>
    </w:p>
    <w:p w14:paraId="4E3A6D5E" w14:textId="77777777" w:rsidR="00A15E2D" w:rsidRPr="00FC3B7C" w:rsidRDefault="00A15E2D" w:rsidP="00D46B53">
      <w:pPr>
        <w:numPr>
          <w:ilvl w:val="0"/>
          <w:numId w:val="200"/>
        </w:numPr>
        <w:tabs>
          <w:tab w:val="left" w:pos="820"/>
        </w:tabs>
        <w:ind w:left="820" w:hanging="360"/>
        <w:rPr>
          <w:rFonts w:eastAsia="Times New Roman"/>
          <w:szCs w:val="24"/>
        </w:rPr>
      </w:pPr>
      <w:r w:rsidRPr="00413472">
        <w:rPr>
          <w:rFonts w:eastAsia="Times New Roman"/>
          <w:szCs w:val="24"/>
          <w:u w:val="single"/>
        </w:rPr>
        <w:t>politická unie</w:t>
      </w:r>
      <w:r w:rsidRPr="00FC3B7C">
        <w:rPr>
          <w:rFonts w:eastAsia="Times New Roman"/>
          <w:szCs w:val="24"/>
        </w:rPr>
        <w:t xml:space="preserve"> – vnitřní, zahraniční, bezpečnostní a obranná politika.</w:t>
      </w:r>
    </w:p>
    <w:p w14:paraId="32829893" w14:textId="77777777" w:rsidR="00A15E2D" w:rsidRPr="00FC3B7C" w:rsidRDefault="00A15E2D" w:rsidP="00A15E2D">
      <w:pPr>
        <w:sectPr w:rsidR="00A15E2D" w:rsidRPr="00FC3B7C">
          <w:pgSz w:w="11900" w:h="16840"/>
          <w:pgMar w:top="1440" w:right="1440" w:bottom="1440" w:left="1440" w:header="0" w:footer="0" w:gutter="0"/>
          <w:cols w:space="708" w:equalWidth="0">
            <w:col w:w="9020"/>
          </w:cols>
        </w:sectPr>
      </w:pPr>
      <w:bookmarkStart w:id="203" w:name="page203"/>
      <w:bookmarkEnd w:id="203"/>
    </w:p>
    <w:p w14:paraId="572408AE" w14:textId="77777777" w:rsidR="00A15E2D" w:rsidRPr="00FC3B7C" w:rsidRDefault="00A15E2D" w:rsidP="00A15E2D">
      <w:pPr>
        <w:spacing w:line="28" w:lineRule="exact"/>
        <w:rPr>
          <w:sz w:val="20"/>
          <w:szCs w:val="20"/>
        </w:rPr>
      </w:pPr>
      <w:bookmarkStart w:id="204" w:name="page204"/>
      <w:bookmarkEnd w:id="204"/>
    </w:p>
    <w:p w14:paraId="1C6DEDC7" w14:textId="77777777" w:rsidR="00A15E2D" w:rsidRPr="00FC3B7C" w:rsidRDefault="00A15E2D" w:rsidP="00A15E2D">
      <w:pPr>
        <w:ind w:left="100"/>
        <w:rPr>
          <w:sz w:val="20"/>
          <w:szCs w:val="20"/>
        </w:rPr>
      </w:pPr>
      <w:r w:rsidRPr="00FC3B7C">
        <w:rPr>
          <w:rFonts w:eastAsia="Times New Roman"/>
          <w:b/>
          <w:bCs/>
          <w:szCs w:val="24"/>
        </w:rPr>
        <w:t>Autonomní nástroje:</w:t>
      </w:r>
    </w:p>
    <w:p w14:paraId="4047BAB8" w14:textId="77777777" w:rsidR="00A15E2D" w:rsidRPr="00FC3B7C" w:rsidRDefault="00A15E2D" w:rsidP="00A15E2D">
      <w:pPr>
        <w:spacing w:line="118" w:lineRule="exact"/>
        <w:rPr>
          <w:sz w:val="20"/>
          <w:szCs w:val="20"/>
        </w:rPr>
      </w:pPr>
    </w:p>
    <w:p w14:paraId="1AD2ED01" w14:textId="6223261F" w:rsidR="00A15E2D" w:rsidRPr="00413472" w:rsidRDefault="00A15E2D" w:rsidP="00A15E2D">
      <w:pPr>
        <w:ind w:left="100"/>
        <w:rPr>
          <w:sz w:val="20"/>
          <w:szCs w:val="20"/>
        </w:rPr>
      </w:pPr>
      <w:r w:rsidRPr="00FC3B7C">
        <w:rPr>
          <w:rFonts w:eastAsia="Times New Roman"/>
          <w:szCs w:val="24"/>
        </w:rPr>
        <w:t>Na</w:t>
      </w:r>
      <w:r w:rsidR="003376E1">
        <w:rPr>
          <w:rFonts w:eastAsia="Times New Roman"/>
          <w:szCs w:val="24"/>
        </w:rPr>
        <w:t xml:space="preserve"> </w:t>
      </w:r>
      <w:r w:rsidRPr="00FC3B7C">
        <w:rPr>
          <w:rFonts w:eastAsia="Times New Roman"/>
          <w:szCs w:val="24"/>
        </w:rPr>
        <w:t>základě</w:t>
      </w:r>
      <w:r w:rsidR="003376E1">
        <w:rPr>
          <w:rFonts w:eastAsia="Times New Roman"/>
          <w:szCs w:val="24"/>
        </w:rPr>
        <w:t xml:space="preserve"> </w:t>
      </w:r>
      <w:r w:rsidRPr="00FC3B7C">
        <w:rPr>
          <w:rFonts w:eastAsia="Times New Roman"/>
          <w:szCs w:val="24"/>
        </w:rPr>
        <w:t>jednostranného</w:t>
      </w:r>
      <w:r w:rsidR="003376E1">
        <w:rPr>
          <w:rFonts w:eastAsia="Times New Roman"/>
          <w:szCs w:val="24"/>
        </w:rPr>
        <w:t xml:space="preserve"> </w:t>
      </w:r>
      <w:r w:rsidRPr="00FC3B7C">
        <w:rPr>
          <w:rFonts w:eastAsia="Times New Roman"/>
          <w:szCs w:val="24"/>
        </w:rPr>
        <w:t>rozhodnutí</w:t>
      </w:r>
      <w:r w:rsidR="003376E1">
        <w:rPr>
          <w:rFonts w:eastAsia="Times New Roman"/>
          <w:szCs w:val="24"/>
        </w:rPr>
        <w:t xml:space="preserve"> </w:t>
      </w:r>
      <w:r w:rsidRPr="00FC3B7C">
        <w:rPr>
          <w:rFonts w:eastAsia="Times New Roman"/>
          <w:szCs w:val="24"/>
        </w:rPr>
        <w:t>státu.</w:t>
      </w:r>
      <w:r w:rsidR="003376E1">
        <w:rPr>
          <w:rFonts w:eastAsia="Times New Roman"/>
          <w:szCs w:val="24"/>
        </w:rPr>
        <w:t xml:space="preserve"> </w:t>
      </w:r>
      <w:r w:rsidRPr="00FC3B7C">
        <w:rPr>
          <w:rFonts w:eastAsia="Times New Roman"/>
          <w:szCs w:val="24"/>
        </w:rPr>
        <w:t>Používány</w:t>
      </w:r>
      <w:r w:rsidR="003376E1">
        <w:rPr>
          <w:rFonts w:eastAsia="Times New Roman"/>
          <w:szCs w:val="24"/>
        </w:rPr>
        <w:t xml:space="preserve"> </w:t>
      </w:r>
      <w:r w:rsidRPr="00FC3B7C">
        <w:rPr>
          <w:rFonts w:eastAsia="Times New Roman"/>
          <w:szCs w:val="24"/>
        </w:rPr>
        <w:t>jsou</w:t>
      </w:r>
      <w:r w:rsidR="003376E1">
        <w:rPr>
          <w:rFonts w:eastAsia="Times New Roman"/>
          <w:szCs w:val="24"/>
        </w:rPr>
        <w:t xml:space="preserve"> </w:t>
      </w:r>
      <w:r w:rsidRPr="00FC3B7C">
        <w:rPr>
          <w:rFonts w:eastAsia="Times New Roman"/>
          <w:szCs w:val="24"/>
        </w:rPr>
        <w:t>však</w:t>
      </w:r>
      <w:r w:rsidR="003376E1">
        <w:rPr>
          <w:rFonts w:eastAsia="Times New Roman"/>
          <w:szCs w:val="24"/>
        </w:rPr>
        <w:t xml:space="preserve"> </w:t>
      </w:r>
      <w:r w:rsidRPr="00FC3B7C">
        <w:rPr>
          <w:rFonts w:eastAsia="Times New Roman"/>
          <w:szCs w:val="24"/>
        </w:rPr>
        <w:t>v</w:t>
      </w:r>
      <w:r>
        <w:rPr>
          <w:rFonts w:eastAsia="Times New Roman"/>
          <w:szCs w:val="24"/>
        </w:rPr>
        <w:t> </w:t>
      </w:r>
      <w:r w:rsidRPr="00FC3B7C">
        <w:rPr>
          <w:rFonts w:eastAsia="Times New Roman"/>
          <w:szCs w:val="24"/>
        </w:rPr>
        <w:t>rámci</w:t>
      </w:r>
      <w:r>
        <w:rPr>
          <w:sz w:val="20"/>
          <w:szCs w:val="20"/>
        </w:rPr>
        <w:t xml:space="preserve"> </w:t>
      </w:r>
      <w:r w:rsidRPr="00FC3B7C">
        <w:rPr>
          <w:rFonts w:eastAsia="Times New Roman"/>
          <w:szCs w:val="24"/>
        </w:rPr>
        <w:t>mezinárodněprávního systému. Příkladem je stanovení všeobecné celní sazby.</w:t>
      </w:r>
    </w:p>
    <w:p w14:paraId="28DAEFC5" w14:textId="77777777" w:rsidR="00A15E2D" w:rsidRPr="00FC3B7C" w:rsidRDefault="00A15E2D" w:rsidP="00A15E2D">
      <w:pPr>
        <w:spacing w:line="235" w:lineRule="auto"/>
        <w:ind w:left="100" w:right="1280"/>
        <w:rPr>
          <w:sz w:val="20"/>
          <w:szCs w:val="20"/>
        </w:rPr>
      </w:pPr>
    </w:p>
    <w:p w14:paraId="722D1914" w14:textId="77777777" w:rsidR="00A15E2D" w:rsidRPr="00FC3B7C" w:rsidRDefault="00A15E2D" w:rsidP="00A15E2D">
      <w:pPr>
        <w:spacing w:line="1" w:lineRule="exact"/>
        <w:rPr>
          <w:sz w:val="20"/>
          <w:szCs w:val="20"/>
        </w:rPr>
      </w:pPr>
    </w:p>
    <w:p w14:paraId="4727FD2A" w14:textId="77777777" w:rsidR="00A15E2D" w:rsidRPr="00413472" w:rsidRDefault="00A15E2D" w:rsidP="00A15E2D">
      <w:pPr>
        <w:pStyle w:val="Nadpis4"/>
        <w:rPr>
          <w:color w:val="1F3864" w:themeColor="accent1" w:themeShade="80"/>
        </w:rPr>
      </w:pPr>
      <w:r w:rsidRPr="00413472">
        <w:rPr>
          <w:rFonts w:eastAsia="Cambria"/>
          <w:color w:val="1F3864" w:themeColor="accent1" w:themeShade="80"/>
        </w:rPr>
        <w:t>Národní obchodní politika</w:t>
      </w:r>
    </w:p>
    <w:p w14:paraId="6428197C" w14:textId="77777777" w:rsidR="00A15E2D" w:rsidRPr="00FC3B7C" w:rsidRDefault="00A15E2D" w:rsidP="00A15E2D">
      <w:pPr>
        <w:rPr>
          <w:sz w:val="20"/>
          <w:szCs w:val="20"/>
        </w:rPr>
      </w:pPr>
      <w:r w:rsidRPr="00FC3B7C">
        <w:rPr>
          <w:rFonts w:eastAsia="Times New Roman"/>
          <w:b/>
          <w:bCs/>
          <w:szCs w:val="24"/>
          <w:u w:val="single"/>
        </w:rPr>
        <w:t>Politika vůči dovozům</w:t>
      </w:r>
      <w:r>
        <w:rPr>
          <w:rFonts w:eastAsia="Times New Roman"/>
          <w:b/>
          <w:bCs/>
          <w:szCs w:val="24"/>
          <w:u w:val="single"/>
        </w:rPr>
        <w:t xml:space="preserve"> </w:t>
      </w:r>
      <w:r w:rsidRPr="00FC3B7C">
        <w:rPr>
          <w:rFonts w:eastAsia="Times New Roman"/>
          <w:b/>
          <w:bCs/>
          <w:szCs w:val="24"/>
        </w:rPr>
        <w:t>-</w:t>
      </w:r>
      <w:r>
        <w:rPr>
          <w:rFonts w:eastAsia="Times New Roman"/>
          <w:b/>
          <w:bCs/>
          <w:szCs w:val="24"/>
        </w:rPr>
        <w:t xml:space="preserve"> </w:t>
      </w:r>
      <w:r w:rsidRPr="00FC3B7C">
        <w:rPr>
          <w:rFonts w:eastAsia="Times New Roman"/>
          <w:szCs w:val="24"/>
        </w:rPr>
        <w:t>spíše regulační charakter</w:t>
      </w:r>
    </w:p>
    <w:p w14:paraId="71669318" w14:textId="77777777" w:rsidR="00A15E2D" w:rsidRPr="00FC3B7C" w:rsidRDefault="00A15E2D" w:rsidP="00A15E2D">
      <w:pPr>
        <w:spacing w:line="114" w:lineRule="exact"/>
        <w:rPr>
          <w:sz w:val="20"/>
          <w:szCs w:val="20"/>
        </w:rPr>
      </w:pPr>
    </w:p>
    <w:p w14:paraId="0725F2E3" w14:textId="77777777" w:rsidR="00A15E2D" w:rsidRPr="00FC3B7C" w:rsidRDefault="00A15E2D" w:rsidP="00A15E2D">
      <w:pPr>
        <w:tabs>
          <w:tab w:val="left" w:pos="1080"/>
        </w:tabs>
        <w:rPr>
          <w:sz w:val="20"/>
          <w:szCs w:val="20"/>
        </w:rPr>
      </w:pPr>
      <w:r w:rsidRPr="00FC3B7C">
        <w:rPr>
          <w:rFonts w:eastAsia="Times New Roman"/>
          <w:b/>
          <w:bCs/>
          <w:szCs w:val="24"/>
        </w:rPr>
        <w:t>Tarifní ba</w:t>
      </w:r>
      <w:r w:rsidRPr="00413472">
        <w:rPr>
          <w:rFonts w:eastAsia="Times New Roman"/>
          <w:b/>
          <w:bCs/>
          <w:szCs w:val="24"/>
        </w:rPr>
        <w:t>riéry - cla</w:t>
      </w:r>
    </w:p>
    <w:p w14:paraId="55E3A8FC" w14:textId="77777777" w:rsidR="00A15E2D" w:rsidRPr="00FC3B7C" w:rsidRDefault="00A15E2D" w:rsidP="00A15E2D">
      <w:pPr>
        <w:rPr>
          <w:sz w:val="20"/>
          <w:szCs w:val="20"/>
        </w:rPr>
      </w:pPr>
      <w:r w:rsidRPr="00FC3B7C">
        <w:rPr>
          <w:rFonts w:eastAsia="Times New Roman"/>
        </w:rPr>
        <w:t xml:space="preserve">Daně uvalené na dovozy, které zvyšují cenu pro domácí spotřebitele a snižují cenovou konkurenceschopnost dovážených produktů. Méně často jsou tarify uvalovány i na vývoz. Tarify mohou být stanoveny jako: </w:t>
      </w:r>
      <w:r w:rsidRPr="00413472">
        <w:rPr>
          <w:rFonts w:eastAsia="Times New Roman"/>
          <w:u w:val="single"/>
        </w:rPr>
        <w:t>valorické</w:t>
      </w:r>
      <w:r w:rsidRPr="00FC3B7C">
        <w:rPr>
          <w:rFonts w:eastAsia="Times New Roman"/>
        </w:rPr>
        <w:t xml:space="preserve"> (procentuální sazba), </w:t>
      </w:r>
      <w:r w:rsidRPr="00413472">
        <w:rPr>
          <w:rFonts w:eastAsia="Times New Roman"/>
          <w:u w:val="single"/>
        </w:rPr>
        <w:t>specifické</w:t>
      </w:r>
      <w:r w:rsidRPr="00FC3B7C">
        <w:rPr>
          <w:rFonts w:eastAsia="Times New Roman"/>
        </w:rPr>
        <w:t xml:space="preserve"> (fixní sazba) nebo složené (kombinace obou).</w:t>
      </w:r>
    </w:p>
    <w:p w14:paraId="19D6A012" w14:textId="77777777" w:rsidR="00A15E2D" w:rsidRPr="00FC3B7C" w:rsidRDefault="00A15E2D" w:rsidP="00A15E2D">
      <w:pPr>
        <w:spacing w:line="93" w:lineRule="exact"/>
        <w:rPr>
          <w:sz w:val="20"/>
          <w:szCs w:val="20"/>
        </w:rPr>
      </w:pPr>
    </w:p>
    <w:p w14:paraId="59C781D1" w14:textId="77777777" w:rsidR="00A15E2D" w:rsidRPr="00FC3B7C" w:rsidRDefault="00A15E2D" w:rsidP="00D46B53">
      <w:pPr>
        <w:numPr>
          <w:ilvl w:val="0"/>
          <w:numId w:val="201"/>
        </w:numPr>
        <w:tabs>
          <w:tab w:val="left" w:pos="762"/>
        </w:tabs>
        <w:ind w:left="420" w:right="2216" w:hanging="6"/>
        <w:rPr>
          <w:rFonts w:eastAsia="Times New Roman"/>
          <w:szCs w:val="24"/>
        </w:rPr>
      </w:pPr>
      <w:r w:rsidRPr="00FC3B7C">
        <w:rPr>
          <w:rFonts w:eastAsia="Times New Roman"/>
          <w:szCs w:val="24"/>
        </w:rPr>
        <w:t>p</w:t>
      </w:r>
      <w:r>
        <w:rPr>
          <w:rFonts w:eastAsia="Times New Roman"/>
          <w:szCs w:val="24"/>
        </w:rPr>
        <w:t xml:space="preserve">říjmový efekt: zdroj příjmů pro </w:t>
      </w:r>
      <w:r w:rsidRPr="00FC3B7C">
        <w:rPr>
          <w:rFonts w:eastAsia="Times New Roman"/>
          <w:szCs w:val="24"/>
        </w:rPr>
        <w:t>vládu</w:t>
      </w:r>
    </w:p>
    <w:p w14:paraId="55CC205E" w14:textId="77777777" w:rsidR="00A15E2D" w:rsidRPr="00FC3B7C" w:rsidRDefault="00A15E2D" w:rsidP="00D46B53">
      <w:pPr>
        <w:numPr>
          <w:ilvl w:val="1"/>
          <w:numId w:val="201"/>
        </w:numPr>
        <w:tabs>
          <w:tab w:val="left" w:pos="804"/>
        </w:tabs>
        <w:ind w:left="820" w:right="20" w:hanging="368"/>
        <w:rPr>
          <w:rFonts w:eastAsia="Times New Roman"/>
          <w:szCs w:val="24"/>
        </w:rPr>
      </w:pPr>
      <w:r w:rsidRPr="00FC3B7C">
        <w:rPr>
          <w:rFonts w:eastAsia="Times New Roman"/>
          <w:szCs w:val="24"/>
        </w:rPr>
        <w:t>efekt ochrany: ochrana domácích producentů – snížení spotřebitelského přebytku, ztráta mrtvé váhy (prostředky vynaložené na vyšší produkci + na méně žádoucí substituty)</w:t>
      </w:r>
    </w:p>
    <w:p w14:paraId="13029024" w14:textId="77777777" w:rsidR="00A15E2D" w:rsidRPr="00FC3B7C" w:rsidRDefault="00A15E2D" w:rsidP="00D46B53">
      <w:pPr>
        <w:numPr>
          <w:ilvl w:val="1"/>
          <w:numId w:val="201"/>
        </w:numPr>
        <w:tabs>
          <w:tab w:val="left" w:pos="791"/>
        </w:tabs>
        <w:ind w:left="800" w:right="20" w:hanging="350"/>
        <w:rPr>
          <w:rFonts w:eastAsia="Times New Roman"/>
          <w:szCs w:val="24"/>
        </w:rPr>
      </w:pPr>
      <w:r w:rsidRPr="00FC3B7C">
        <w:rPr>
          <w:rFonts w:eastAsia="Times New Roman"/>
          <w:szCs w:val="24"/>
        </w:rPr>
        <w:t>optimální tarif: země díky své tržní síle dokáže ovlivnit světové ceny a ostatní země nereagují odvetnými opatřeními (pakliže nedisponuje dostatečnou tržní silou, snižuje se ekonomický blahobyt země)</w:t>
      </w:r>
    </w:p>
    <w:p w14:paraId="64606E52" w14:textId="77777777" w:rsidR="00A15E2D" w:rsidRPr="00FC3B7C" w:rsidRDefault="00A15E2D" w:rsidP="00A15E2D">
      <w:pPr>
        <w:tabs>
          <w:tab w:val="left" w:pos="1200"/>
          <w:tab w:val="left" w:pos="2160"/>
          <w:tab w:val="left" w:pos="2480"/>
          <w:tab w:val="left" w:pos="3320"/>
        </w:tabs>
        <w:ind w:left="100"/>
        <w:rPr>
          <w:rFonts w:eastAsia="Times New Roman"/>
          <w:b/>
          <w:bCs/>
          <w:szCs w:val="24"/>
        </w:rPr>
      </w:pPr>
      <w:r w:rsidRPr="00FC3B7C">
        <w:rPr>
          <w:rFonts w:eastAsia="Times New Roman"/>
          <w:b/>
          <w:bCs/>
          <w:szCs w:val="24"/>
        </w:rPr>
        <w:t>Netarifní bariéry - přímá</w:t>
      </w:r>
      <w:r w:rsidRPr="00FC3B7C">
        <w:rPr>
          <w:sz w:val="20"/>
          <w:szCs w:val="20"/>
        </w:rPr>
        <w:t xml:space="preserve"> </w:t>
      </w:r>
      <w:r w:rsidRPr="00FC3B7C">
        <w:rPr>
          <w:rFonts w:eastAsia="Times New Roman"/>
          <w:b/>
          <w:bCs/>
          <w:sz w:val="23"/>
          <w:szCs w:val="23"/>
        </w:rPr>
        <w:t xml:space="preserve">dovozní </w:t>
      </w:r>
      <w:r w:rsidRPr="00FC3B7C">
        <w:rPr>
          <w:rFonts w:eastAsia="Times New Roman"/>
          <w:b/>
          <w:bCs/>
          <w:szCs w:val="24"/>
        </w:rPr>
        <w:t>omezení</w:t>
      </w:r>
    </w:p>
    <w:p w14:paraId="6275374C" w14:textId="77777777" w:rsidR="00A15E2D" w:rsidRDefault="00A15E2D" w:rsidP="00D46B53">
      <w:pPr>
        <w:numPr>
          <w:ilvl w:val="0"/>
          <w:numId w:val="202"/>
        </w:numPr>
        <w:tabs>
          <w:tab w:val="left" w:pos="804"/>
        </w:tabs>
        <w:ind w:left="820" w:right="20" w:hanging="368"/>
        <w:rPr>
          <w:rFonts w:eastAsia="Times New Roman"/>
          <w:szCs w:val="24"/>
        </w:rPr>
      </w:pPr>
      <w:r w:rsidRPr="00FC3B7C">
        <w:rPr>
          <w:rFonts w:eastAsia="Times New Roman"/>
          <w:b/>
          <w:bCs/>
          <w:szCs w:val="24"/>
        </w:rPr>
        <w:t xml:space="preserve">kvóta – omezení </w:t>
      </w:r>
      <w:r w:rsidRPr="00FC3B7C">
        <w:rPr>
          <w:rFonts w:eastAsia="Times New Roman"/>
          <w:szCs w:val="24"/>
        </w:rPr>
        <w:t>množství nebo hodnoty produktu, specifickým případem je</w:t>
      </w:r>
      <w:r w:rsidRPr="00FC3B7C">
        <w:rPr>
          <w:rFonts w:eastAsia="Times New Roman"/>
          <w:b/>
          <w:bCs/>
          <w:szCs w:val="24"/>
        </w:rPr>
        <w:t xml:space="preserve"> embargo</w:t>
      </w:r>
      <w:r w:rsidRPr="00FC3B7C">
        <w:rPr>
          <w:rFonts w:eastAsia="Times New Roman"/>
          <w:szCs w:val="24"/>
        </w:rPr>
        <w:t>, které zcela zamezuje obchodu s daným produktem. Opět rostou ceny a</w:t>
      </w:r>
      <w:r w:rsidRPr="00FC3B7C">
        <w:rPr>
          <w:rFonts w:eastAsia="Times New Roman"/>
          <w:b/>
          <w:bCs/>
          <w:szCs w:val="24"/>
        </w:rPr>
        <w:t xml:space="preserve"> </w:t>
      </w:r>
      <w:r w:rsidRPr="00FC3B7C">
        <w:rPr>
          <w:rFonts w:eastAsia="Times New Roman"/>
          <w:szCs w:val="24"/>
        </w:rPr>
        <w:t>dovoz klesá, což zvyšuje domácí produkci.</w:t>
      </w:r>
    </w:p>
    <w:p w14:paraId="45D753F2" w14:textId="77777777" w:rsidR="00A15E2D" w:rsidRDefault="00A15E2D" w:rsidP="00A15E2D">
      <w:pPr>
        <w:pStyle w:val="Odstavecseseznamem"/>
        <w:numPr>
          <w:ilvl w:val="0"/>
          <w:numId w:val="144"/>
        </w:numPr>
        <w:tabs>
          <w:tab w:val="left" w:pos="804"/>
        </w:tabs>
        <w:ind w:right="20"/>
        <w:rPr>
          <w:rFonts w:eastAsia="Times New Roman"/>
          <w:szCs w:val="24"/>
        </w:rPr>
      </w:pPr>
      <w:r w:rsidRPr="00413472">
        <w:rPr>
          <w:rFonts w:eastAsia="Times New Roman"/>
          <w:szCs w:val="24"/>
        </w:rPr>
        <w:t>nealokovaná globální kvóta-omezení množství/hodnoty bez ohledu na dodavatele</w:t>
      </w:r>
    </w:p>
    <w:p w14:paraId="70BC55FC" w14:textId="77777777" w:rsidR="00A15E2D" w:rsidRDefault="00A15E2D" w:rsidP="00A15E2D">
      <w:pPr>
        <w:pStyle w:val="Odstavecseseznamem"/>
        <w:numPr>
          <w:ilvl w:val="0"/>
          <w:numId w:val="144"/>
        </w:numPr>
        <w:tabs>
          <w:tab w:val="left" w:pos="804"/>
        </w:tabs>
        <w:ind w:right="20"/>
        <w:rPr>
          <w:rFonts w:eastAsia="Times New Roman"/>
          <w:szCs w:val="24"/>
        </w:rPr>
      </w:pPr>
      <w:r w:rsidRPr="00413472">
        <w:rPr>
          <w:rFonts w:eastAsia="Times New Roman"/>
          <w:szCs w:val="24"/>
        </w:rPr>
        <w:t>kvótová licence-povolení dovážet určité množství produktu ve stanoveném časovém období</w:t>
      </w:r>
    </w:p>
    <w:p w14:paraId="043B940B" w14:textId="77777777" w:rsidR="00A15E2D" w:rsidRPr="00413472" w:rsidRDefault="00A15E2D" w:rsidP="00A15E2D">
      <w:pPr>
        <w:pStyle w:val="Odstavecseseznamem"/>
        <w:numPr>
          <w:ilvl w:val="0"/>
          <w:numId w:val="144"/>
        </w:numPr>
        <w:tabs>
          <w:tab w:val="left" w:pos="804"/>
        </w:tabs>
        <w:ind w:right="20"/>
        <w:rPr>
          <w:rFonts w:eastAsia="Times New Roman"/>
          <w:szCs w:val="24"/>
        </w:rPr>
      </w:pPr>
      <w:r w:rsidRPr="00413472">
        <w:rPr>
          <w:rFonts w:eastAsia="Times New Roman"/>
          <w:szCs w:val="24"/>
        </w:rPr>
        <w:t>kvótová renta-rozdíl světové ceny a ceny na kvótou chráněném trhu, který připadne dovozci</w:t>
      </w:r>
    </w:p>
    <w:p w14:paraId="7CAB2842" w14:textId="77777777" w:rsidR="00A15E2D" w:rsidRPr="00FC3B7C" w:rsidRDefault="00A15E2D" w:rsidP="00A15E2D">
      <w:pPr>
        <w:spacing w:line="326" w:lineRule="exact"/>
        <w:rPr>
          <w:sz w:val="20"/>
          <w:szCs w:val="20"/>
        </w:rPr>
      </w:pPr>
    </w:p>
    <w:p w14:paraId="4D346A01" w14:textId="77777777" w:rsidR="00A15E2D" w:rsidRPr="00FC3B7C" w:rsidRDefault="00A15E2D" w:rsidP="00A15E2D">
      <w:pPr>
        <w:sectPr w:rsidR="00A15E2D" w:rsidRPr="00FC3B7C">
          <w:pgSz w:w="11900" w:h="16840"/>
          <w:pgMar w:top="1440" w:right="1440" w:bottom="1440" w:left="1440" w:header="0" w:footer="0" w:gutter="0"/>
          <w:cols w:space="708" w:equalWidth="0">
            <w:col w:w="9020"/>
          </w:cols>
        </w:sectPr>
      </w:pPr>
    </w:p>
    <w:p w14:paraId="6ED39648" w14:textId="77777777" w:rsidR="00A15E2D" w:rsidRPr="00FC3B7C" w:rsidRDefault="00A15E2D" w:rsidP="00A15E2D">
      <w:pPr>
        <w:spacing w:line="226" w:lineRule="auto"/>
        <w:rPr>
          <w:sz w:val="20"/>
          <w:szCs w:val="20"/>
        </w:rPr>
      </w:pPr>
      <w:bookmarkStart w:id="205" w:name="page205"/>
      <w:bookmarkEnd w:id="205"/>
    </w:p>
    <w:p w14:paraId="463933E7" w14:textId="77777777" w:rsidR="00A15E2D" w:rsidRPr="00FC3B7C" w:rsidRDefault="00A15E2D" w:rsidP="00A15E2D">
      <w:pPr>
        <w:spacing w:line="4" w:lineRule="exact"/>
        <w:rPr>
          <w:sz w:val="20"/>
          <w:szCs w:val="20"/>
        </w:rPr>
      </w:pPr>
      <w:bookmarkStart w:id="206" w:name="page206"/>
      <w:bookmarkEnd w:id="206"/>
    </w:p>
    <w:p w14:paraId="1B89068D" w14:textId="77777777" w:rsidR="00A15E2D" w:rsidRPr="00FC3B7C" w:rsidRDefault="00A15E2D" w:rsidP="00D46B53">
      <w:pPr>
        <w:numPr>
          <w:ilvl w:val="0"/>
          <w:numId w:val="203"/>
        </w:numPr>
        <w:tabs>
          <w:tab w:val="left" w:pos="804"/>
        </w:tabs>
        <w:ind w:left="820" w:right="20" w:hanging="368"/>
        <w:rPr>
          <w:rFonts w:eastAsia="Times New Roman"/>
          <w:szCs w:val="24"/>
        </w:rPr>
      </w:pPr>
      <w:r w:rsidRPr="00FC3B7C">
        <w:rPr>
          <w:rFonts w:eastAsia="Times New Roman"/>
          <w:b/>
          <w:bCs/>
          <w:szCs w:val="24"/>
        </w:rPr>
        <w:t>minimální dovozní cena, maximální prodejní cena</w:t>
      </w:r>
      <w:r>
        <w:rPr>
          <w:rFonts w:eastAsia="Times New Roman"/>
          <w:b/>
          <w:bCs/>
          <w:szCs w:val="24"/>
        </w:rPr>
        <w:t xml:space="preserve"> </w:t>
      </w:r>
      <w:r w:rsidRPr="00FC3B7C">
        <w:rPr>
          <w:rFonts w:eastAsia="Times New Roman"/>
          <w:b/>
          <w:bCs/>
          <w:szCs w:val="24"/>
        </w:rPr>
        <w:t>-</w:t>
      </w:r>
      <w:r>
        <w:rPr>
          <w:rFonts w:eastAsia="Times New Roman"/>
          <w:b/>
          <w:bCs/>
          <w:szCs w:val="24"/>
        </w:rPr>
        <w:t xml:space="preserve"> </w:t>
      </w:r>
      <w:r w:rsidRPr="00FC3B7C">
        <w:rPr>
          <w:rFonts w:eastAsia="Times New Roman"/>
          <w:szCs w:val="24"/>
        </w:rPr>
        <w:t>jsou používány v rámci</w:t>
      </w:r>
      <w:r w:rsidRPr="00FC3B7C">
        <w:rPr>
          <w:rFonts w:eastAsia="Times New Roman"/>
          <w:b/>
          <w:bCs/>
          <w:szCs w:val="24"/>
        </w:rPr>
        <w:t xml:space="preserve"> </w:t>
      </w:r>
      <w:r w:rsidRPr="00FC3B7C">
        <w:rPr>
          <w:rFonts w:eastAsia="Times New Roman"/>
          <w:szCs w:val="24"/>
        </w:rPr>
        <w:t>mezinárodně právního systému, opatření měnového nebo platebního charakteru, stanovení devizového kurzu, úrokových měr, poplatků nebo daní, subvence a dotace domácím výrobcům, všeobecné celní sazby.</w:t>
      </w:r>
    </w:p>
    <w:p w14:paraId="72CD1CB2" w14:textId="77777777" w:rsidR="00A15E2D" w:rsidRPr="00FC3B7C" w:rsidRDefault="00A15E2D" w:rsidP="00D46B53">
      <w:pPr>
        <w:numPr>
          <w:ilvl w:val="0"/>
          <w:numId w:val="203"/>
        </w:numPr>
        <w:tabs>
          <w:tab w:val="left" w:pos="804"/>
        </w:tabs>
        <w:ind w:left="820" w:right="20" w:hanging="368"/>
        <w:rPr>
          <w:rFonts w:eastAsia="Times New Roman"/>
          <w:szCs w:val="24"/>
        </w:rPr>
      </w:pPr>
      <w:r w:rsidRPr="00FC3B7C">
        <w:rPr>
          <w:rFonts w:eastAsia="Times New Roman"/>
          <w:b/>
          <w:bCs/>
          <w:szCs w:val="24"/>
        </w:rPr>
        <w:t xml:space="preserve">antidumpingová opatření </w:t>
      </w:r>
      <w:r w:rsidRPr="00FC3B7C">
        <w:rPr>
          <w:rFonts w:eastAsia="Times New Roman"/>
          <w:szCs w:val="24"/>
        </w:rPr>
        <w:t>– odvetné clo, je uvaleno až</w:t>
      </w:r>
      <w:r w:rsidRPr="00FC3B7C">
        <w:rPr>
          <w:rFonts w:eastAsia="Times New Roman"/>
          <w:b/>
          <w:bCs/>
          <w:szCs w:val="24"/>
        </w:rPr>
        <w:t xml:space="preserve"> </w:t>
      </w:r>
      <w:r w:rsidRPr="00FC3B7C">
        <w:rPr>
          <w:rFonts w:eastAsia="Times New Roman"/>
          <w:szCs w:val="24"/>
        </w:rPr>
        <w:t>po prokázání,</w:t>
      </w:r>
      <w:r w:rsidRPr="00FC3B7C">
        <w:rPr>
          <w:rFonts w:eastAsia="Times New Roman"/>
          <w:b/>
          <w:bCs/>
          <w:szCs w:val="24"/>
        </w:rPr>
        <w:t xml:space="preserve"> </w:t>
      </w:r>
      <w:r w:rsidRPr="00FC3B7C">
        <w:rPr>
          <w:rFonts w:eastAsia="Times New Roman"/>
          <w:szCs w:val="24"/>
        </w:rPr>
        <w:t>že zboží bylo</w:t>
      </w:r>
      <w:r w:rsidRPr="00FC3B7C">
        <w:rPr>
          <w:rFonts w:eastAsia="Times New Roman"/>
          <w:b/>
          <w:bCs/>
          <w:szCs w:val="24"/>
        </w:rPr>
        <w:t xml:space="preserve"> </w:t>
      </w:r>
      <w:r w:rsidRPr="00FC3B7C">
        <w:rPr>
          <w:rFonts w:eastAsia="Times New Roman"/>
          <w:szCs w:val="24"/>
        </w:rPr>
        <w:t>prodáváno za dumpingovou cenu, a že jsou zde negativní dopady dovozů na domácí průmysl (</w:t>
      </w:r>
      <w:r w:rsidRPr="00FC3B7C">
        <w:rPr>
          <w:rFonts w:eastAsia="Times New Roman"/>
          <w:b/>
          <w:bCs/>
          <w:szCs w:val="24"/>
        </w:rPr>
        <w:t>dumping</w:t>
      </w:r>
      <w:r w:rsidRPr="00FC3B7C">
        <w:rPr>
          <w:rFonts w:eastAsia="Times New Roman"/>
          <w:szCs w:val="24"/>
        </w:rPr>
        <w:t>=prodej produktu v zahraničí za cenu nižší než na domácím trhu nebo za cenu nižší než produkční náklady. Přináší užitek spotřebitelům a ztrátu konkurenčním producentům)</w:t>
      </w:r>
    </w:p>
    <w:p w14:paraId="41D2D1D3" w14:textId="77777777" w:rsidR="00A15E2D" w:rsidRPr="00FC3B7C" w:rsidRDefault="00A15E2D" w:rsidP="00D46B53">
      <w:pPr>
        <w:numPr>
          <w:ilvl w:val="0"/>
          <w:numId w:val="203"/>
        </w:numPr>
        <w:tabs>
          <w:tab w:val="left" w:pos="800"/>
        </w:tabs>
        <w:ind w:left="800" w:hanging="348"/>
        <w:rPr>
          <w:rFonts w:eastAsia="Times New Roman"/>
          <w:szCs w:val="24"/>
        </w:rPr>
      </w:pPr>
      <w:r w:rsidRPr="00FC3B7C">
        <w:rPr>
          <w:rFonts w:eastAsia="Times New Roman"/>
          <w:b/>
          <w:bCs/>
          <w:szCs w:val="24"/>
        </w:rPr>
        <w:t>dovozní přirážka</w:t>
      </w:r>
      <w:r w:rsidRPr="00FC3B7C">
        <w:rPr>
          <w:rFonts w:eastAsia="Times New Roman"/>
          <w:szCs w:val="24"/>
        </w:rPr>
        <w:t>-zvyšuje cenu zboží na domácí úroveň</w:t>
      </w:r>
    </w:p>
    <w:p w14:paraId="4FC85A8D" w14:textId="77777777" w:rsidR="00A15E2D" w:rsidRPr="00FC3B7C" w:rsidRDefault="00A15E2D" w:rsidP="00D46B53">
      <w:pPr>
        <w:numPr>
          <w:ilvl w:val="0"/>
          <w:numId w:val="203"/>
        </w:numPr>
        <w:tabs>
          <w:tab w:val="left" w:pos="800"/>
        </w:tabs>
        <w:ind w:left="800" w:hanging="348"/>
        <w:rPr>
          <w:rFonts w:eastAsia="Times New Roman"/>
          <w:szCs w:val="24"/>
        </w:rPr>
      </w:pPr>
      <w:r w:rsidRPr="00FC3B7C">
        <w:rPr>
          <w:rFonts w:eastAsia="Times New Roman"/>
          <w:b/>
          <w:bCs/>
          <w:szCs w:val="24"/>
        </w:rPr>
        <w:t xml:space="preserve">dovozní depozita </w:t>
      </w:r>
      <w:r w:rsidRPr="00FC3B7C">
        <w:rPr>
          <w:rFonts w:eastAsia="Times New Roman"/>
          <w:szCs w:val="24"/>
        </w:rPr>
        <w:t>–</w:t>
      </w:r>
      <w:r w:rsidRPr="00FC3B7C">
        <w:rPr>
          <w:rFonts w:eastAsia="Times New Roman"/>
          <w:b/>
          <w:bCs/>
          <w:szCs w:val="24"/>
        </w:rPr>
        <w:t xml:space="preserve"> </w:t>
      </w:r>
      <w:r w:rsidRPr="00FC3B7C">
        <w:rPr>
          <w:rFonts w:eastAsia="Times New Roman"/>
          <w:szCs w:val="24"/>
        </w:rPr>
        <w:t>částka složená při dovozu</w:t>
      </w:r>
    </w:p>
    <w:p w14:paraId="5446B753" w14:textId="08CB8B68" w:rsidR="00A15E2D" w:rsidRPr="00FC3B7C" w:rsidRDefault="00A15E2D" w:rsidP="00D46B53">
      <w:pPr>
        <w:numPr>
          <w:ilvl w:val="0"/>
          <w:numId w:val="203"/>
        </w:numPr>
        <w:tabs>
          <w:tab w:val="left" w:pos="804"/>
        </w:tabs>
        <w:ind w:left="820" w:right="20" w:hanging="368"/>
        <w:rPr>
          <w:rFonts w:eastAsia="Times New Roman"/>
          <w:szCs w:val="24"/>
        </w:rPr>
      </w:pPr>
      <w:r w:rsidRPr="00FC3B7C">
        <w:rPr>
          <w:rFonts w:eastAsia="Times New Roman"/>
          <w:b/>
          <w:bCs/>
          <w:szCs w:val="24"/>
        </w:rPr>
        <w:t>regulační a byrokratické nástroje</w:t>
      </w:r>
      <w:r w:rsidR="007E5E16">
        <w:rPr>
          <w:rFonts w:eastAsia="Times New Roman"/>
          <w:b/>
          <w:bCs/>
          <w:szCs w:val="24"/>
        </w:rPr>
        <w:t xml:space="preserve"> </w:t>
      </w:r>
      <w:r w:rsidRPr="00FC3B7C">
        <w:rPr>
          <w:rFonts w:eastAsia="Times New Roman"/>
          <w:szCs w:val="24"/>
        </w:rPr>
        <w:t>-</w:t>
      </w:r>
      <w:r w:rsidR="007E5E16">
        <w:rPr>
          <w:rFonts w:eastAsia="Times New Roman"/>
          <w:szCs w:val="24"/>
        </w:rPr>
        <w:t xml:space="preserve"> </w:t>
      </w:r>
      <w:r w:rsidRPr="00FC3B7C">
        <w:rPr>
          <w:rFonts w:eastAsia="Times New Roman"/>
          <w:szCs w:val="24"/>
        </w:rPr>
        <w:t>technické normy, certifikáty jakosti</w:t>
      </w:r>
      <w:r w:rsidR="007E5E16">
        <w:rPr>
          <w:rFonts w:eastAsia="Times New Roman"/>
          <w:szCs w:val="24"/>
        </w:rPr>
        <w:t xml:space="preserve"> </w:t>
      </w:r>
      <w:r w:rsidRPr="00FC3B7C">
        <w:rPr>
          <w:rFonts w:eastAsia="Times New Roman"/>
          <w:szCs w:val="24"/>
        </w:rPr>
        <w:t>–požadavky</w:t>
      </w:r>
      <w:r w:rsidRPr="00FC3B7C">
        <w:rPr>
          <w:rFonts w:eastAsia="Times New Roman"/>
          <w:b/>
          <w:bCs/>
          <w:szCs w:val="24"/>
        </w:rPr>
        <w:t xml:space="preserve"> </w:t>
      </w:r>
      <w:r w:rsidRPr="00FC3B7C">
        <w:rPr>
          <w:rFonts w:eastAsia="Times New Roman"/>
          <w:szCs w:val="24"/>
        </w:rPr>
        <w:t>na kvalitu a charakteristické rysy výrobku, informace na balení, záruky</w:t>
      </w:r>
    </w:p>
    <w:p w14:paraId="37F3DEC4" w14:textId="082F8E56" w:rsidR="00A15E2D" w:rsidRPr="00FC3B7C" w:rsidRDefault="00A15E2D" w:rsidP="00D46B53">
      <w:pPr>
        <w:numPr>
          <w:ilvl w:val="0"/>
          <w:numId w:val="203"/>
        </w:numPr>
        <w:tabs>
          <w:tab w:val="left" w:pos="804"/>
        </w:tabs>
        <w:ind w:left="820" w:right="20" w:hanging="368"/>
        <w:rPr>
          <w:rFonts w:eastAsia="Times New Roman"/>
          <w:szCs w:val="24"/>
        </w:rPr>
      </w:pPr>
      <w:r w:rsidRPr="00FC3B7C">
        <w:rPr>
          <w:rFonts w:eastAsia="Times New Roman"/>
          <w:b/>
          <w:bCs/>
          <w:szCs w:val="24"/>
        </w:rPr>
        <w:t>politiky veřejných zakázek</w:t>
      </w:r>
      <w:r w:rsidR="007E5E16">
        <w:rPr>
          <w:rFonts w:eastAsia="Times New Roman"/>
          <w:b/>
          <w:bCs/>
          <w:szCs w:val="24"/>
        </w:rPr>
        <w:t xml:space="preserve"> </w:t>
      </w:r>
      <w:r w:rsidRPr="00FC3B7C">
        <w:rPr>
          <w:rFonts w:eastAsia="Times New Roman"/>
          <w:szCs w:val="24"/>
        </w:rPr>
        <w:t>-</w:t>
      </w:r>
      <w:r w:rsidR="007E5E16">
        <w:rPr>
          <w:rFonts w:eastAsia="Times New Roman"/>
          <w:szCs w:val="24"/>
        </w:rPr>
        <w:t xml:space="preserve"> </w:t>
      </w:r>
      <w:r w:rsidRPr="00FC3B7C">
        <w:rPr>
          <w:rFonts w:eastAsia="Times New Roman"/>
          <w:szCs w:val="24"/>
        </w:rPr>
        <w:t>vládní nákupy od domácích producentů, např.do</w:t>
      </w:r>
      <w:r w:rsidRPr="00FC3B7C">
        <w:rPr>
          <w:rFonts w:eastAsia="Times New Roman"/>
          <w:b/>
          <w:bCs/>
          <w:szCs w:val="24"/>
        </w:rPr>
        <w:t xml:space="preserve"> </w:t>
      </w:r>
      <w:r w:rsidRPr="00FC3B7C">
        <w:rPr>
          <w:rFonts w:eastAsia="Times New Roman"/>
          <w:szCs w:val="24"/>
        </w:rPr>
        <w:t>stanovené úrovně rozdílu mezi domácí cenou a cenou nabízenou zahraničním dodavatelem, příp. stanovení minimálního podílu domácí produkce v obsahu nakupovaných statků</w:t>
      </w:r>
    </w:p>
    <w:p w14:paraId="21B5E976" w14:textId="77777777" w:rsidR="00A15E2D" w:rsidRPr="00FC3B7C" w:rsidRDefault="00A15E2D" w:rsidP="00D46B53">
      <w:pPr>
        <w:numPr>
          <w:ilvl w:val="0"/>
          <w:numId w:val="203"/>
        </w:numPr>
        <w:tabs>
          <w:tab w:val="left" w:pos="800"/>
        </w:tabs>
        <w:ind w:left="800" w:hanging="348"/>
        <w:rPr>
          <w:rFonts w:eastAsia="Times New Roman"/>
          <w:szCs w:val="24"/>
        </w:rPr>
      </w:pPr>
      <w:r w:rsidRPr="00FC3B7C">
        <w:rPr>
          <w:rFonts w:eastAsia="Times New Roman"/>
          <w:b/>
          <w:bCs/>
          <w:szCs w:val="24"/>
        </w:rPr>
        <w:t xml:space="preserve">dodatečné daně a přirážky </w:t>
      </w:r>
      <w:r w:rsidRPr="00FC3B7C">
        <w:rPr>
          <w:rFonts w:eastAsia="Times New Roman"/>
          <w:szCs w:val="24"/>
        </w:rPr>
        <w:t>– kolky apod.</w:t>
      </w:r>
    </w:p>
    <w:p w14:paraId="5ACA08B1" w14:textId="77777777" w:rsidR="00A15E2D" w:rsidRPr="00AE3931" w:rsidRDefault="00A15E2D" w:rsidP="00A15E2D">
      <w:pPr>
        <w:tabs>
          <w:tab w:val="left" w:pos="1740"/>
        </w:tabs>
        <w:rPr>
          <w:rFonts w:eastAsia="Times New Roman"/>
          <w:b/>
          <w:bCs/>
          <w:szCs w:val="24"/>
        </w:rPr>
      </w:pPr>
      <w:r w:rsidRPr="00FC3B7C">
        <w:rPr>
          <w:rFonts w:eastAsia="Times New Roman"/>
          <w:b/>
          <w:bCs/>
          <w:szCs w:val="24"/>
        </w:rPr>
        <w:t>Politika</w:t>
      </w:r>
      <w:r w:rsidRPr="00FC3B7C">
        <w:rPr>
          <w:sz w:val="20"/>
          <w:szCs w:val="20"/>
        </w:rPr>
        <w:t xml:space="preserve"> </w:t>
      </w:r>
      <w:r>
        <w:rPr>
          <w:rFonts w:eastAsia="Times New Roman"/>
          <w:b/>
          <w:bCs/>
          <w:szCs w:val="24"/>
        </w:rPr>
        <w:t>vůči vývozům</w:t>
      </w:r>
    </w:p>
    <w:p w14:paraId="13BC4A51" w14:textId="77777777" w:rsidR="00A15E2D" w:rsidRPr="00FC3B7C" w:rsidRDefault="00A15E2D" w:rsidP="00A15E2D">
      <w:pPr>
        <w:rPr>
          <w:sz w:val="20"/>
          <w:szCs w:val="20"/>
        </w:rPr>
      </w:pPr>
      <w:r w:rsidRPr="00FC3B7C">
        <w:rPr>
          <w:rFonts w:eastAsia="Times New Roman"/>
        </w:rPr>
        <w:t>Neboli tzv. proexportní politika, má spíše stimulační charakter, zahrnuje fiskální a finanční výhody, specifické celní a daňové úlevy (např. příjmy z vývozu podléhají nižší daňové sazbě). Patří zde i financování institucí podporujících vývoz, vytváření vývozních zón a zón volného obchodu. Přípustné jsou subvence na podporu určité firmy, sektoru nebo regionu. V případě negativního dopadu na protistranu můžou být zavedena odvetná opatření. Státy svým vývozcům poskytují i nefinanční podpory v podobě poskytování informací, zajišťování výstav</w:t>
      </w:r>
      <w:r w:rsidRPr="00FC3B7C">
        <w:rPr>
          <w:sz w:val="20"/>
          <w:szCs w:val="20"/>
        </w:rPr>
        <w:t xml:space="preserve"> a </w:t>
      </w:r>
      <w:r w:rsidRPr="00FC3B7C">
        <w:rPr>
          <w:rFonts w:eastAsia="Times New Roman"/>
        </w:rPr>
        <w:t>veletrhů.</w:t>
      </w:r>
      <w:r w:rsidRPr="00FC3B7C">
        <w:rPr>
          <w:rFonts w:eastAsia="Times New Roman"/>
          <w:sz w:val="27"/>
          <w:szCs w:val="27"/>
          <w:vertAlign w:val="superscript"/>
        </w:rPr>
        <w:t xml:space="preserve"> </w:t>
      </w:r>
      <w:r>
        <w:rPr>
          <w:rStyle w:val="Znakapoznpodarou"/>
          <w:rFonts w:eastAsia="Times New Roman"/>
          <w:sz w:val="27"/>
          <w:szCs w:val="27"/>
        </w:rPr>
        <w:footnoteReference w:id="33"/>
      </w:r>
    </w:p>
    <w:p w14:paraId="397BBB00" w14:textId="77777777" w:rsidR="00A15E2D" w:rsidRPr="00FC3B7C" w:rsidRDefault="00A15E2D" w:rsidP="00A15E2D">
      <w:pPr>
        <w:spacing w:line="261" w:lineRule="exact"/>
        <w:rPr>
          <w:sz w:val="20"/>
          <w:szCs w:val="20"/>
        </w:rPr>
      </w:pPr>
    </w:p>
    <w:p w14:paraId="5AC1C3F8" w14:textId="77777777" w:rsidR="00A15E2D" w:rsidRPr="00FC3B7C" w:rsidRDefault="00A15E2D" w:rsidP="00A15E2D">
      <w:pPr>
        <w:rPr>
          <w:sz w:val="20"/>
          <w:szCs w:val="20"/>
        </w:rPr>
      </w:pPr>
      <w:r w:rsidRPr="00FC3B7C">
        <w:rPr>
          <w:rFonts w:eastAsia="Times New Roman"/>
          <w:b/>
          <w:bCs/>
        </w:rPr>
        <w:t xml:space="preserve">Vývozní dotace </w:t>
      </w:r>
      <w:r w:rsidRPr="00FC3B7C">
        <w:rPr>
          <w:rFonts w:eastAsia="Times New Roman"/>
        </w:rPr>
        <w:t>– umožňuje stanovit výrobcům nižší cenu a získat tak větší podíl na</w:t>
      </w:r>
      <w:r w:rsidRPr="00FC3B7C">
        <w:rPr>
          <w:rFonts w:eastAsia="Times New Roman"/>
          <w:b/>
          <w:bCs/>
        </w:rPr>
        <w:t xml:space="preserve"> </w:t>
      </w:r>
      <w:r w:rsidRPr="00FC3B7C">
        <w:rPr>
          <w:rFonts w:eastAsia="Times New Roman"/>
        </w:rPr>
        <w:t>zahraničním trhu. Mohou mít různé podoby: daňové úlevy, dotované půjčky zahraničním kupujícím, pojišťovací záruky, vládní financování výzkumu a vývoje, přímé granty nebo</w:t>
      </w:r>
    </w:p>
    <w:p w14:paraId="5687DA2F" w14:textId="77777777" w:rsidR="00A15E2D" w:rsidRPr="00FC3B7C" w:rsidRDefault="00A15E2D" w:rsidP="00A15E2D">
      <w:pPr>
        <w:tabs>
          <w:tab w:val="left" w:pos="2160"/>
        </w:tabs>
        <w:rPr>
          <w:sz w:val="20"/>
          <w:szCs w:val="20"/>
        </w:rPr>
      </w:pPr>
      <w:r w:rsidRPr="00FC3B7C">
        <w:rPr>
          <w:rFonts w:eastAsia="Times New Roman"/>
          <w:szCs w:val="24"/>
        </w:rPr>
        <w:t>Dotované</w:t>
      </w:r>
      <w:r w:rsidRPr="00FC3B7C">
        <w:rPr>
          <w:sz w:val="20"/>
          <w:szCs w:val="20"/>
        </w:rPr>
        <w:t xml:space="preserve"> </w:t>
      </w:r>
      <w:r w:rsidRPr="00FC3B7C">
        <w:rPr>
          <w:rFonts w:eastAsia="Times New Roman"/>
          <w:szCs w:val="24"/>
        </w:rPr>
        <w:t>půjčky producentům</w:t>
      </w:r>
    </w:p>
    <w:p w14:paraId="34CA15CA" w14:textId="77777777" w:rsidR="00A15E2D" w:rsidRPr="00FC3B7C" w:rsidRDefault="00A15E2D" w:rsidP="00A15E2D">
      <w:pPr>
        <w:spacing w:line="200" w:lineRule="exact"/>
        <w:rPr>
          <w:sz w:val="20"/>
          <w:szCs w:val="20"/>
        </w:rPr>
      </w:pPr>
    </w:p>
    <w:p w14:paraId="47B2C29F" w14:textId="77777777" w:rsidR="00A15E2D" w:rsidRPr="00FC3B7C" w:rsidRDefault="00A15E2D" w:rsidP="00A15E2D">
      <w:pPr>
        <w:spacing w:line="23" w:lineRule="exact"/>
        <w:rPr>
          <w:sz w:val="20"/>
          <w:szCs w:val="20"/>
        </w:rPr>
      </w:pPr>
      <w:bookmarkStart w:id="207" w:name="page207"/>
      <w:bookmarkEnd w:id="207"/>
    </w:p>
    <w:p w14:paraId="2FE1183E" w14:textId="77777777" w:rsidR="00A15E2D" w:rsidRPr="00FC3B7C" w:rsidRDefault="00A15E2D" w:rsidP="00A15E2D">
      <w:pPr>
        <w:rPr>
          <w:sz w:val="20"/>
          <w:szCs w:val="20"/>
        </w:rPr>
      </w:pPr>
      <w:r w:rsidRPr="00FC3B7C">
        <w:rPr>
          <w:rFonts w:eastAsia="Times New Roman"/>
          <w:b/>
          <w:bCs/>
        </w:rPr>
        <w:lastRenderedPageBreak/>
        <w:t xml:space="preserve">Dobrovolná omezení vývozu </w:t>
      </w:r>
      <w:r w:rsidRPr="00FC3B7C">
        <w:rPr>
          <w:rFonts w:eastAsia="Times New Roman"/>
        </w:rPr>
        <w:t>– dohoda mezi zeměmi, kdy vyvážející země</w:t>
      </w:r>
      <w:r w:rsidRPr="00FC3B7C">
        <w:rPr>
          <w:rFonts w:eastAsia="Times New Roman"/>
          <w:b/>
          <w:bCs/>
        </w:rPr>
        <w:t xml:space="preserve"> </w:t>
      </w:r>
      <w:r w:rsidRPr="00FC3B7C">
        <w:rPr>
          <w:rFonts w:eastAsia="Times New Roman"/>
        </w:rPr>
        <w:t>souhlasí</w:t>
      </w:r>
      <w:r w:rsidRPr="00FC3B7C">
        <w:rPr>
          <w:rFonts w:eastAsia="Times New Roman"/>
          <w:b/>
          <w:bCs/>
        </w:rPr>
        <w:t xml:space="preserve"> </w:t>
      </w:r>
      <w:r w:rsidRPr="00FC3B7C">
        <w:rPr>
          <w:rFonts w:eastAsia="Times New Roman"/>
        </w:rPr>
        <w:t>s omezením množství svých vývozů. Vývozci potom mohou zvýšit ceny a získávají kromě normálních zisků i rentu; snižují společenský blahobyt dovážející země</w:t>
      </w:r>
    </w:p>
    <w:p w14:paraId="696BCB20" w14:textId="77777777" w:rsidR="00A15E2D" w:rsidRPr="00FC3B7C" w:rsidRDefault="00A15E2D" w:rsidP="00A15E2D">
      <w:pPr>
        <w:rPr>
          <w:sz w:val="20"/>
          <w:szCs w:val="20"/>
        </w:rPr>
      </w:pPr>
      <w:r w:rsidRPr="00FC3B7C">
        <w:rPr>
          <w:rFonts w:eastAsia="Times New Roman"/>
          <w:b/>
          <w:bCs/>
          <w:szCs w:val="24"/>
        </w:rPr>
        <w:t>Kursová politika</w:t>
      </w:r>
      <w:r>
        <w:rPr>
          <w:rFonts w:eastAsia="Times New Roman"/>
          <w:b/>
          <w:bCs/>
          <w:szCs w:val="24"/>
        </w:rPr>
        <w:t xml:space="preserve"> </w:t>
      </w:r>
      <w:r w:rsidRPr="00FC3B7C">
        <w:rPr>
          <w:rFonts w:eastAsia="Times New Roman"/>
          <w:szCs w:val="24"/>
        </w:rPr>
        <w:t>-</w:t>
      </w:r>
      <w:r>
        <w:rPr>
          <w:rFonts w:eastAsia="Times New Roman"/>
          <w:szCs w:val="24"/>
        </w:rPr>
        <w:t xml:space="preserve"> </w:t>
      </w:r>
      <w:r w:rsidRPr="00FC3B7C">
        <w:rPr>
          <w:rFonts w:eastAsia="Times New Roman"/>
          <w:szCs w:val="24"/>
        </w:rPr>
        <w:t>snížení ceny vývozů</w:t>
      </w:r>
      <w:r w:rsidRPr="00FC3B7C">
        <w:rPr>
          <w:rFonts w:eastAsia="Times New Roman"/>
          <w:b/>
          <w:bCs/>
          <w:szCs w:val="24"/>
        </w:rPr>
        <w:t xml:space="preserve"> </w:t>
      </w:r>
      <w:r w:rsidRPr="00FC3B7C">
        <w:rPr>
          <w:rFonts w:eastAsia="Times New Roman"/>
          <w:szCs w:val="24"/>
        </w:rPr>
        <w:t>prostřednictvím devalvace domácí měny</w:t>
      </w:r>
    </w:p>
    <w:p w14:paraId="675C8B33" w14:textId="77777777" w:rsidR="00A15E2D" w:rsidRPr="00FC3B7C" w:rsidRDefault="00A15E2D" w:rsidP="00A15E2D">
      <w:pPr>
        <w:spacing w:line="200" w:lineRule="exact"/>
        <w:rPr>
          <w:sz w:val="20"/>
          <w:szCs w:val="20"/>
        </w:rPr>
      </w:pPr>
    </w:p>
    <w:p w14:paraId="6455180A" w14:textId="77777777" w:rsidR="00A15E2D" w:rsidRPr="00413472" w:rsidRDefault="00A15E2D" w:rsidP="00A15E2D">
      <w:pPr>
        <w:pStyle w:val="Nadpis4"/>
        <w:rPr>
          <w:color w:val="1F3864" w:themeColor="accent1" w:themeShade="80"/>
          <w:sz w:val="20"/>
          <w:szCs w:val="20"/>
        </w:rPr>
      </w:pPr>
      <w:r w:rsidRPr="00413472">
        <w:rPr>
          <w:rFonts w:eastAsia="Times New Roman"/>
          <w:color w:val="1F3864" w:themeColor="accent1" w:themeShade="80"/>
        </w:rPr>
        <w:t>Politiky vůči zahraničním investicím</w:t>
      </w:r>
    </w:p>
    <w:p w14:paraId="2F8822C8" w14:textId="77777777" w:rsidR="00A15E2D" w:rsidRPr="00FC3B7C" w:rsidRDefault="00A15E2D" w:rsidP="00A15E2D">
      <w:pPr>
        <w:rPr>
          <w:sz w:val="20"/>
          <w:szCs w:val="20"/>
        </w:rPr>
      </w:pPr>
      <w:r w:rsidRPr="00FC3B7C">
        <w:rPr>
          <w:rFonts w:eastAsia="Times New Roman"/>
        </w:rPr>
        <w:t>Zahrnuje investice zahraničních firem v dané zemi a investice domácích firem v zahraničí. Většina národních politik se soustřeďuje na zahraniční investice v dané zemi, které mají omezující i podporující charakter a lze je rozdělit do čtyř skupin:</w:t>
      </w:r>
    </w:p>
    <w:p w14:paraId="14AB22C2" w14:textId="77777777" w:rsidR="00A15E2D" w:rsidRPr="00FC3B7C" w:rsidRDefault="00A15E2D" w:rsidP="00D46B53">
      <w:pPr>
        <w:numPr>
          <w:ilvl w:val="0"/>
          <w:numId w:val="204"/>
        </w:numPr>
        <w:tabs>
          <w:tab w:val="left" w:pos="824"/>
        </w:tabs>
        <w:ind w:left="840" w:right="20" w:hanging="368"/>
        <w:rPr>
          <w:rFonts w:eastAsia="Times New Roman"/>
          <w:szCs w:val="24"/>
        </w:rPr>
      </w:pPr>
      <w:r w:rsidRPr="00FC3B7C">
        <w:rPr>
          <w:rFonts w:eastAsia="Times New Roman"/>
          <w:szCs w:val="24"/>
          <w:u w:val="single"/>
        </w:rPr>
        <w:t>politiky vůči vstupu</w:t>
      </w:r>
      <w:r w:rsidRPr="00413472">
        <w:rPr>
          <w:rFonts w:eastAsia="Times New Roman"/>
          <w:szCs w:val="24"/>
        </w:rPr>
        <w:t xml:space="preserve"> </w:t>
      </w:r>
      <w:r w:rsidRPr="00FC3B7C">
        <w:rPr>
          <w:rFonts w:eastAsia="Times New Roman"/>
          <w:szCs w:val="24"/>
        </w:rPr>
        <w:t>-</w:t>
      </w:r>
      <w:r>
        <w:rPr>
          <w:rFonts w:eastAsia="Times New Roman"/>
          <w:szCs w:val="24"/>
        </w:rPr>
        <w:t xml:space="preserve"> </w:t>
      </w:r>
      <w:r w:rsidRPr="00FC3B7C">
        <w:rPr>
          <w:rFonts w:eastAsia="Times New Roman"/>
          <w:szCs w:val="24"/>
        </w:rPr>
        <w:t>omezen vstup do některých odvětví, stanovena specifická struktura vlastnictví, podíl zahraničního kapitálu ve firmě, obsazení manažerských pozic</w:t>
      </w:r>
    </w:p>
    <w:p w14:paraId="046126A0" w14:textId="77777777" w:rsidR="00A15E2D" w:rsidRPr="00FC3B7C" w:rsidRDefault="00A15E2D" w:rsidP="00D46B53">
      <w:pPr>
        <w:numPr>
          <w:ilvl w:val="0"/>
          <w:numId w:val="204"/>
        </w:numPr>
        <w:tabs>
          <w:tab w:val="left" w:pos="824"/>
        </w:tabs>
        <w:ind w:left="840" w:right="800" w:hanging="368"/>
        <w:rPr>
          <w:rFonts w:eastAsia="Times New Roman"/>
          <w:sz w:val="23"/>
          <w:szCs w:val="23"/>
        </w:rPr>
      </w:pPr>
      <w:r w:rsidRPr="00FC3B7C">
        <w:rPr>
          <w:rFonts w:eastAsia="Times New Roman"/>
          <w:sz w:val="23"/>
          <w:szCs w:val="23"/>
          <w:u w:val="single"/>
        </w:rPr>
        <w:t>působení zahraničních firem</w:t>
      </w:r>
      <w:r w:rsidRPr="00413472">
        <w:rPr>
          <w:rFonts w:eastAsia="Times New Roman"/>
          <w:sz w:val="23"/>
          <w:szCs w:val="23"/>
        </w:rPr>
        <w:t xml:space="preserve"> -</w:t>
      </w:r>
      <w:r>
        <w:rPr>
          <w:rFonts w:eastAsia="Times New Roman"/>
          <w:sz w:val="23"/>
          <w:szCs w:val="23"/>
        </w:rPr>
        <w:t xml:space="preserve"> </w:t>
      </w:r>
      <w:r w:rsidRPr="00FC3B7C">
        <w:rPr>
          <w:rFonts w:eastAsia="Times New Roman"/>
          <w:sz w:val="23"/>
          <w:szCs w:val="23"/>
        </w:rPr>
        <w:t>např. požadavek určité úrovně lokálního obsahu výrobních aktivit, vývoz určitého podílu produkce, lokalizační omezení</w:t>
      </w:r>
    </w:p>
    <w:p w14:paraId="1E1379CE" w14:textId="77777777" w:rsidR="00A15E2D" w:rsidRPr="00FC3B7C" w:rsidRDefault="00A15E2D" w:rsidP="00D46B53">
      <w:pPr>
        <w:numPr>
          <w:ilvl w:val="0"/>
          <w:numId w:val="204"/>
        </w:numPr>
        <w:tabs>
          <w:tab w:val="left" w:pos="824"/>
        </w:tabs>
        <w:ind w:left="840" w:right="20" w:hanging="368"/>
        <w:rPr>
          <w:rFonts w:eastAsia="Times New Roman"/>
          <w:szCs w:val="24"/>
        </w:rPr>
      </w:pPr>
      <w:r w:rsidRPr="00FC3B7C">
        <w:rPr>
          <w:rFonts w:eastAsia="Times New Roman"/>
          <w:szCs w:val="24"/>
          <w:u w:val="single"/>
        </w:rPr>
        <w:t>firemní zisky a transfery kapitálu</w:t>
      </w:r>
      <w:r w:rsidRPr="00413472">
        <w:rPr>
          <w:rFonts w:eastAsia="Times New Roman"/>
          <w:szCs w:val="24"/>
        </w:rPr>
        <w:t xml:space="preserve"> </w:t>
      </w:r>
      <w:r w:rsidRPr="00FC3B7C">
        <w:rPr>
          <w:rFonts w:eastAsia="Times New Roman"/>
          <w:szCs w:val="24"/>
        </w:rPr>
        <w:t>-</w:t>
      </w:r>
      <w:r>
        <w:rPr>
          <w:rFonts w:eastAsia="Times New Roman"/>
          <w:szCs w:val="24"/>
        </w:rPr>
        <w:t xml:space="preserve"> </w:t>
      </w:r>
      <w:r w:rsidRPr="00FC3B7C">
        <w:rPr>
          <w:rFonts w:eastAsia="Times New Roman"/>
          <w:szCs w:val="24"/>
        </w:rPr>
        <w:t>snaha minimalizovat odliv kapitálu ze země a zdanit co největší část zisků; omezení přesunu zisků a kapitálu do zahraničí, specifické zdanění zisků zahraničních firem</w:t>
      </w:r>
    </w:p>
    <w:p w14:paraId="6C3497B8" w14:textId="77777777" w:rsidR="00A15E2D" w:rsidRPr="00FC3B7C" w:rsidRDefault="00A15E2D" w:rsidP="00D46B53">
      <w:pPr>
        <w:numPr>
          <w:ilvl w:val="0"/>
          <w:numId w:val="204"/>
        </w:numPr>
        <w:tabs>
          <w:tab w:val="left" w:pos="811"/>
        </w:tabs>
        <w:ind w:left="820" w:right="20" w:hanging="350"/>
        <w:rPr>
          <w:rFonts w:eastAsia="Times New Roman"/>
          <w:szCs w:val="24"/>
        </w:rPr>
      </w:pPr>
      <w:r w:rsidRPr="00FC3B7C">
        <w:rPr>
          <w:rFonts w:eastAsia="Times New Roman"/>
          <w:szCs w:val="24"/>
          <w:u w:val="single"/>
        </w:rPr>
        <w:t>podpora zahraničních investicí</w:t>
      </w:r>
      <w:r w:rsidRPr="00FC3B7C">
        <w:rPr>
          <w:rFonts w:eastAsia="Times New Roman"/>
          <w:szCs w:val="24"/>
        </w:rPr>
        <w:t xml:space="preserve"> – daňová zvýhodnění (daňové prázdniny, rychlejší odepsání počátečních investic, snížená sazba daně z příjmu společnosti)</w:t>
      </w:r>
    </w:p>
    <w:p w14:paraId="38AD5D6A" w14:textId="77777777" w:rsidR="00A15E2D" w:rsidRPr="00FC3B7C" w:rsidRDefault="00A15E2D" w:rsidP="00A15E2D">
      <w:pPr>
        <w:spacing w:line="230" w:lineRule="exact"/>
        <w:rPr>
          <w:sz w:val="20"/>
          <w:szCs w:val="20"/>
        </w:rPr>
      </w:pPr>
    </w:p>
    <w:p w14:paraId="6DE570D0" w14:textId="77777777" w:rsidR="00A15E2D" w:rsidRPr="00413472" w:rsidRDefault="00A15E2D" w:rsidP="00A15E2D">
      <w:pPr>
        <w:pStyle w:val="Nadpis2"/>
        <w:rPr>
          <w:color w:val="1F3864" w:themeColor="accent1" w:themeShade="80"/>
          <w:szCs w:val="28"/>
        </w:rPr>
      </w:pPr>
      <w:r w:rsidRPr="00413472">
        <w:rPr>
          <w:rFonts w:eastAsia="Times New Roman"/>
          <w:color w:val="1F3864" w:themeColor="accent1" w:themeShade="80"/>
          <w:szCs w:val="28"/>
        </w:rPr>
        <w:t>TRADIČNÍA NOVÉ PŘÍSTUPYV TEORIIOBCHODU</w:t>
      </w:r>
    </w:p>
    <w:p w14:paraId="1625DC71" w14:textId="77777777" w:rsidR="00A15E2D" w:rsidRPr="00413472" w:rsidRDefault="00A15E2D" w:rsidP="00A15E2D">
      <w:pPr>
        <w:pStyle w:val="Nadpis3"/>
        <w:rPr>
          <w:color w:val="1F3864" w:themeColor="accent1" w:themeShade="80"/>
          <w:sz w:val="20"/>
          <w:szCs w:val="20"/>
        </w:rPr>
      </w:pPr>
      <w:r w:rsidRPr="00413472">
        <w:rPr>
          <w:rFonts w:eastAsia="Times New Roman"/>
          <w:color w:val="1F3864" w:themeColor="accent1" w:themeShade="80"/>
        </w:rPr>
        <w:t>Tradiční přístupy</w:t>
      </w:r>
      <w:r>
        <w:rPr>
          <w:rFonts w:eastAsia="Times New Roman"/>
          <w:color w:val="1F3864" w:themeColor="accent1" w:themeShade="80"/>
        </w:rPr>
        <w:t xml:space="preserve"> </w:t>
      </w:r>
      <w:r w:rsidRPr="00413472">
        <w:rPr>
          <w:rStyle w:val="Znakapoznpodarou"/>
          <w:color w:val="1F3864" w:themeColor="accent1" w:themeShade="80"/>
          <w:sz w:val="20"/>
          <w:szCs w:val="20"/>
        </w:rPr>
        <w:footnoteReference w:id="34"/>
      </w:r>
    </w:p>
    <w:p w14:paraId="45869EB6" w14:textId="77777777" w:rsidR="00A15E2D" w:rsidRPr="00413472" w:rsidRDefault="00A15E2D" w:rsidP="00A15E2D">
      <w:pPr>
        <w:pStyle w:val="Nadpis4"/>
        <w:rPr>
          <w:color w:val="1F3864" w:themeColor="accent1" w:themeShade="80"/>
          <w:sz w:val="20"/>
          <w:szCs w:val="20"/>
        </w:rPr>
      </w:pPr>
      <w:r w:rsidRPr="00413472">
        <w:rPr>
          <w:rFonts w:eastAsia="Times New Roman"/>
          <w:color w:val="1F3864" w:themeColor="accent1" w:themeShade="80"/>
        </w:rPr>
        <w:t>Merkantilisté</w:t>
      </w:r>
    </w:p>
    <w:p w14:paraId="588386C7" w14:textId="77777777" w:rsidR="00A15E2D" w:rsidRPr="00FC3B7C" w:rsidRDefault="00A15E2D" w:rsidP="00A15E2D">
      <w:pPr>
        <w:spacing w:line="165" w:lineRule="exact"/>
        <w:rPr>
          <w:sz w:val="20"/>
          <w:szCs w:val="20"/>
        </w:rPr>
      </w:pPr>
    </w:p>
    <w:p w14:paraId="48D67841" w14:textId="77777777" w:rsidR="00A15E2D" w:rsidRPr="00FC3B7C" w:rsidRDefault="00A15E2D" w:rsidP="00A15E2D">
      <w:pPr>
        <w:rPr>
          <w:sz w:val="20"/>
          <w:szCs w:val="20"/>
        </w:rPr>
      </w:pPr>
      <w:r w:rsidRPr="00FC3B7C">
        <w:rPr>
          <w:rFonts w:eastAsia="Times New Roman"/>
        </w:rPr>
        <w:t xml:space="preserve">Ztotožňují bohatství se zásobou drahých kovů v zemi a aktivní obchodní bilancí. Podporovali tedy vývoz, který jim přinášel příliv drahých kovů, a dovoz se snažili co nejvíce omezovat. Zahraniční obchod byl pro ně hra s nulovým součtem, neboť když jedna země měla přebytek obchodní bilance, druhá musela být ve ztrátě. Představitelem byl </w:t>
      </w:r>
      <w:r w:rsidRPr="00FC3B7C">
        <w:rPr>
          <w:rFonts w:eastAsia="Times New Roman"/>
          <w:b/>
          <w:bCs/>
        </w:rPr>
        <w:t>Thomas Mun</w:t>
      </w:r>
      <w:r w:rsidRPr="00FC3B7C">
        <w:rPr>
          <w:rFonts w:eastAsia="Times New Roman"/>
        </w:rPr>
        <w:t xml:space="preserve">, který prosazoval názor, že není nutné mít aktivní obchodní bilanci se všemi zeměmi, ale stačí mít </w:t>
      </w:r>
      <w:r w:rsidRPr="00FC3B7C">
        <w:rPr>
          <w:rFonts w:eastAsia="Times New Roman"/>
          <w:szCs w:val="24"/>
        </w:rPr>
        <w:t>aktivní celkovou obchodní bilanci. Prosazoval teorii reexportu, kdy země nejdříve doveze suroviny, které zpracuje a podobě hotového zboží je vyváží.</w:t>
      </w:r>
    </w:p>
    <w:p w14:paraId="66D02808" w14:textId="77777777" w:rsidR="00A15E2D" w:rsidRPr="00FC3B7C" w:rsidRDefault="00A15E2D" w:rsidP="00A15E2D">
      <w:pPr>
        <w:spacing w:line="200" w:lineRule="exact"/>
        <w:rPr>
          <w:sz w:val="20"/>
          <w:szCs w:val="20"/>
        </w:rPr>
      </w:pPr>
    </w:p>
    <w:p w14:paraId="5A9CB39D" w14:textId="77777777" w:rsidR="00A15E2D" w:rsidRPr="00FC3B7C" w:rsidRDefault="00A15E2D" w:rsidP="00A15E2D">
      <w:pPr>
        <w:spacing w:line="244" w:lineRule="exact"/>
        <w:rPr>
          <w:sz w:val="20"/>
          <w:szCs w:val="20"/>
        </w:rPr>
      </w:pPr>
    </w:p>
    <w:p w14:paraId="48A37FC7" w14:textId="77777777" w:rsidR="00A15E2D" w:rsidRPr="00FC3B7C" w:rsidRDefault="00A15E2D" w:rsidP="00A15E2D">
      <w:pPr>
        <w:sectPr w:rsidR="00A15E2D" w:rsidRPr="00FC3B7C">
          <w:pgSz w:w="11900" w:h="16840"/>
          <w:pgMar w:top="1440" w:right="1440" w:bottom="1440" w:left="1420" w:header="0" w:footer="0" w:gutter="0"/>
          <w:cols w:space="708" w:equalWidth="0">
            <w:col w:w="9040"/>
          </w:cols>
        </w:sectPr>
      </w:pPr>
    </w:p>
    <w:p w14:paraId="4369C4CB" w14:textId="77777777" w:rsidR="00A15E2D" w:rsidRPr="00413472" w:rsidRDefault="00A15E2D" w:rsidP="00A15E2D">
      <w:pPr>
        <w:pStyle w:val="Nadpis4"/>
        <w:rPr>
          <w:color w:val="1F3864" w:themeColor="accent1" w:themeShade="80"/>
          <w:sz w:val="20"/>
          <w:szCs w:val="20"/>
        </w:rPr>
      </w:pPr>
      <w:bookmarkStart w:id="208" w:name="page208"/>
      <w:bookmarkEnd w:id="208"/>
      <w:r w:rsidRPr="00413472">
        <w:rPr>
          <w:rFonts w:eastAsia="Times New Roman"/>
          <w:color w:val="1F3864" w:themeColor="accent1" w:themeShade="80"/>
        </w:rPr>
        <w:lastRenderedPageBreak/>
        <w:t xml:space="preserve"> Klasikové</w:t>
      </w:r>
    </w:p>
    <w:p w14:paraId="4BAF6EDF" w14:textId="77777777" w:rsidR="00A15E2D" w:rsidRPr="00FC3B7C" w:rsidRDefault="00A15E2D" w:rsidP="00A15E2D">
      <w:pPr>
        <w:spacing w:line="165" w:lineRule="exact"/>
        <w:rPr>
          <w:sz w:val="20"/>
          <w:szCs w:val="20"/>
        </w:rPr>
      </w:pPr>
    </w:p>
    <w:p w14:paraId="243D33A9" w14:textId="77777777" w:rsidR="00A15E2D" w:rsidRPr="00FC3B7C" w:rsidRDefault="00A15E2D" w:rsidP="00A15E2D">
      <w:pPr>
        <w:rPr>
          <w:sz w:val="20"/>
          <w:szCs w:val="20"/>
        </w:rPr>
      </w:pPr>
      <w:r w:rsidRPr="00FC3B7C">
        <w:rPr>
          <w:rFonts w:eastAsia="Times New Roman"/>
        </w:rPr>
        <w:t xml:space="preserve">Další směr, který přispěl k teoretickému vymezení mezinárodního obchodu, byli klasikové. </w:t>
      </w:r>
      <w:r w:rsidRPr="00FC3B7C">
        <w:rPr>
          <w:rFonts w:eastAsia="Times New Roman"/>
          <w:b/>
          <w:bCs/>
        </w:rPr>
        <w:t xml:space="preserve">David Hume </w:t>
      </w:r>
      <w:r w:rsidRPr="00FC3B7C">
        <w:rPr>
          <w:rFonts w:eastAsia="Times New Roman"/>
        </w:rPr>
        <w:t>zdůrazňoval,</w:t>
      </w:r>
      <w:r w:rsidRPr="00FC3B7C">
        <w:rPr>
          <w:rFonts w:eastAsia="Times New Roman"/>
          <w:b/>
          <w:bCs/>
        </w:rPr>
        <w:t xml:space="preserve"> </w:t>
      </w:r>
      <w:r w:rsidRPr="00FC3B7C">
        <w:rPr>
          <w:rFonts w:eastAsia="Times New Roman"/>
        </w:rPr>
        <w:t>že zahraniční obchod může být výhodný</w:t>
      </w:r>
      <w:r w:rsidRPr="00FC3B7C">
        <w:rPr>
          <w:rFonts w:eastAsia="Times New Roman"/>
          <w:b/>
          <w:bCs/>
        </w:rPr>
        <w:t xml:space="preserve"> </w:t>
      </w:r>
      <w:r w:rsidRPr="00FC3B7C">
        <w:rPr>
          <w:rFonts w:eastAsia="Times New Roman"/>
        </w:rPr>
        <w:t>pro obě</w:t>
      </w:r>
      <w:r w:rsidRPr="00FC3B7C">
        <w:rPr>
          <w:rFonts w:eastAsia="Times New Roman"/>
          <w:b/>
          <w:bCs/>
        </w:rPr>
        <w:t xml:space="preserve"> </w:t>
      </w:r>
      <w:r w:rsidRPr="00FC3B7C">
        <w:rPr>
          <w:rFonts w:eastAsia="Times New Roman"/>
        </w:rPr>
        <w:t>země. Na něho</w:t>
      </w:r>
      <w:r w:rsidRPr="00FC3B7C">
        <w:rPr>
          <w:rFonts w:eastAsia="Times New Roman"/>
          <w:b/>
          <w:bCs/>
        </w:rPr>
        <w:t xml:space="preserve"> </w:t>
      </w:r>
      <w:r w:rsidRPr="00FC3B7C">
        <w:rPr>
          <w:rFonts w:eastAsia="Times New Roman"/>
        </w:rPr>
        <w:t xml:space="preserve">navazuje </w:t>
      </w:r>
      <w:r w:rsidRPr="00FC3B7C">
        <w:rPr>
          <w:rFonts w:eastAsia="Times New Roman"/>
          <w:b/>
          <w:bCs/>
        </w:rPr>
        <w:t>Adam Smith</w:t>
      </w:r>
      <w:r w:rsidRPr="00FC3B7C">
        <w:rPr>
          <w:rFonts w:eastAsia="Times New Roman"/>
        </w:rPr>
        <w:t xml:space="preserve">, který podporoval dělbu práce, otevřenost trhu, volný obchod se zahraničím. Nově přichází s teorií </w:t>
      </w:r>
      <w:r w:rsidRPr="00FC3B7C">
        <w:rPr>
          <w:rFonts w:eastAsia="Times New Roman"/>
          <w:b/>
          <w:bCs/>
        </w:rPr>
        <w:t>absolutní výhody</w:t>
      </w:r>
      <w:r w:rsidRPr="00FC3B7C">
        <w:rPr>
          <w:rFonts w:eastAsia="Times New Roman"/>
        </w:rPr>
        <w:t xml:space="preserve">, kdy by se země měla specializovat na výrobu toho zboží, které je schopna vyrobit levněji než ostatní země. Tuto teorii pak rozpracovává </w:t>
      </w:r>
      <w:r w:rsidRPr="00FC3B7C">
        <w:rPr>
          <w:rFonts w:eastAsia="Times New Roman"/>
          <w:b/>
          <w:bCs/>
        </w:rPr>
        <w:t>David Ricardo</w:t>
      </w:r>
      <w:r w:rsidRPr="00FC3B7C">
        <w:rPr>
          <w:rFonts w:eastAsia="Times New Roman"/>
        </w:rPr>
        <w:t xml:space="preserve"> a přináší teorii </w:t>
      </w:r>
      <w:r w:rsidRPr="00FC3B7C">
        <w:rPr>
          <w:rFonts w:eastAsia="Times New Roman"/>
          <w:b/>
          <w:bCs/>
        </w:rPr>
        <w:t>komparativních výhod</w:t>
      </w:r>
      <w:r w:rsidRPr="00FC3B7C">
        <w:rPr>
          <w:rFonts w:eastAsia="Times New Roman"/>
        </w:rPr>
        <w:t>, kdy je obchod výhodný, i když země nemá žádnou absolutní výhodu.</w:t>
      </w:r>
    </w:p>
    <w:p w14:paraId="5AF39B48" w14:textId="77777777" w:rsidR="00A15E2D" w:rsidRPr="00FC3B7C" w:rsidRDefault="00A15E2D" w:rsidP="00A15E2D">
      <w:pPr>
        <w:spacing w:line="4" w:lineRule="exact"/>
        <w:rPr>
          <w:sz w:val="20"/>
          <w:szCs w:val="20"/>
        </w:rPr>
      </w:pPr>
    </w:p>
    <w:p w14:paraId="4E98FE89" w14:textId="77777777" w:rsidR="00A15E2D" w:rsidRPr="00FC3B7C" w:rsidRDefault="00A15E2D" w:rsidP="00A15E2D">
      <w:pPr>
        <w:rPr>
          <w:sz w:val="20"/>
          <w:szCs w:val="20"/>
        </w:rPr>
      </w:pPr>
      <w:r w:rsidRPr="00FC3B7C">
        <w:rPr>
          <w:rFonts w:eastAsia="Times New Roman"/>
        </w:rPr>
        <w:t>Z Ricardovy teorie vychází tradiční přístup, kdy se obchodující země specializují na produkci těch statků, v nichž dosahují relativní nákladové výhody. Za hlavní zdroj komparativních výhod jsou odlišnosti v produkčních technologiích mezi zeměmi. Technologické odlišnosti jsou exogenní proměnou, jsou dané a jejich příčiny nejsou vysvětlené.</w:t>
      </w:r>
    </w:p>
    <w:p w14:paraId="5E699E64" w14:textId="77777777" w:rsidR="00A15E2D" w:rsidRPr="00FC3B7C" w:rsidRDefault="00A15E2D" w:rsidP="00A15E2D">
      <w:pPr>
        <w:spacing w:line="200" w:lineRule="exact"/>
        <w:rPr>
          <w:sz w:val="20"/>
          <w:szCs w:val="20"/>
        </w:rPr>
      </w:pPr>
    </w:p>
    <w:p w14:paraId="14EE4D41" w14:textId="77777777" w:rsidR="00A15E2D" w:rsidRPr="00413472" w:rsidRDefault="00A15E2D" w:rsidP="00A15E2D">
      <w:pPr>
        <w:spacing w:line="240" w:lineRule="exact"/>
        <w:rPr>
          <w:color w:val="1F3864" w:themeColor="accent1" w:themeShade="80"/>
          <w:sz w:val="20"/>
          <w:szCs w:val="20"/>
        </w:rPr>
      </w:pPr>
    </w:p>
    <w:p w14:paraId="151671CF" w14:textId="77777777" w:rsidR="00A15E2D" w:rsidRPr="00413472" w:rsidRDefault="00A15E2D" w:rsidP="00A15E2D">
      <w:pPr>
        <w:pStyle w:val="Nadpis4"/>
        <w:rPr>
          <w:color w:val="1F3864" w:themeColor="accent1" w:themeShade="80"/>
          <w:sz w:val="20"/>
          <w:szCs w:val="20"/>
        </w:rPr>
      </w:pPr>
      <w:r w:rsidRPr="00413472">
        <w:rPr>
          <w:rFonts w:eastAsia="Times New Roman"/>
          <w:color w:val="1F3864" w:themeColor="accent1" w:themeShade="80"/>
        </w:rPr>
        <w:t>Heckscherova-Ohlinova teorie obchodu</w:t>
      </w:r>
    </w:p>
    <w:p w14:paraId="1918D8B6" w14:textId="77777777" w:rsidR="00A15E2D" w:rsidRPr="00FC3B7C" w:rsidRDefault="00A15E2D" w:rsidP="00A15E2D">
      <w:pPr>
        <w:spacing w:line="165" w:lineRule="exact"/>
        <w:rPr>
          <w:sz w:val="20"/>
          <w:szCs w:val="20"/>
        </w:rPr>
      </w:pPr>
    </w:p>
    <w:p w14:paraId="693E6EAB" w14:textId="77777777" w:rsidR="00A15E2D" w:rsidRPr="00FC3B7C" w:rsidRDefault="00A15E2D" w:rsidP="00A15E2D">
      <w:pPr>
        <w:rPr>
          <w:sz w:val="20"/>
          <w:szCs w:val="20"/>
        </w:rPr>
      </w:pPr>
      <w:r w:rsidRPr="00FC3B7C">
        <w:rPr>
          <w:rFonts w:eastAsia="Times New Roman"/>
        </w:rPr>
        <w:t>Předpokládá, že produkční technologie jsou mezi zeměmi stejné (nelze při výrobě nahrazovat práci kapitálem), ale že je zde odlišnost ve vybavenosti výrobními faktory (práce a kapitál), ale zároveň pohyblivost výrobních faktorů je omezena. Model předpokládá, že země, která je lépe vybavena kapitálem (kapitál je pro ni levnější) se zaměří na výrobu kapitálově náročných výrobků (a bude je vyvážet), zatímco země s lepší vybaveností prací, se zaměří na pracovně náročné výrobky.</w:t>
      </w:r>
    </w:p>
    <w:p w14:paraId="1B288AF0" w14:textId="77777777" w:rsidR="00A15E2D" w:rsidRPr="00FC3B7C" w:rsidRDefault="00A15E2D" w:rsidP="00A15E2D">
      <w:pPr>
        <w:spacing w:line="6" w:lineRule="exact"/>
        <w:rPr>
          <w:sz w:val="20"/>
          <w:szCs w:val="20"/>
        </w:rPr>
      </w:pPr>
    </w:p>
    <w:p w14:paraId="7D66D37A" w14:textId="77777777" w:rsidR="00A15E2D" w:rsidRPr="00FC3B7C" w:rsidRDefault="00A15E2D" w:rsidP="00A15E2D">
      <w:pPr>
        <w:rPr>
          <w:sz w:val="20"/>
          <w:szCs w:val="20"/>
        </w:rPr>
      </w:pPr>
      <w:r w:rsidRPr="00FC3B7C">
        <w:rPr>
          <w:rFonts w:eastAsia="Times New Roman"/>
        </w:rPr>
        <w:t xml:space="preserve">Tzv. specializace na základě </w:t>
      </w:r>
      <w:r w:rsidRPr="00FC3B7C">
        <w:rPr>
          <w:rFonts w:eastAsia="Times New Roman"/>
          <w:b/>
          <w:bCs/>
        </w:rPr>
        <w:t>komparativních nákladů</w:t>
      </w:r>
      <w:r w:rsidRPr="00FC3B7C">
        <w:rPr>
          <w:rFonts w:eastAsia="Times New Roman"/>
        </w:rPr>
        <w:t>, která přináší dvojí užitky:</w:t>
      </w:r>
    </w:p>
    <w:p w14:paraId="6CCBFBA9" w14:textId="77777777" w:rsidR="00A15E2D" w:rsidRPr="00FC3B7C" w:rsidRDefault="00A15E2D" w:rsidP="00D46B53">
      <w:pPr>
        <w:numPr>
          <w:ilvl w:val="0"/>
          <w:numId w:val="205"/>
        </w:numPr>
        <w:tabs>
          <w:tab w:val="left" w:pos="824"/>
        </w:tabs>
        <w:spacing w:line="375" w:lineRule="auto"/>
        <w:ind w:left="840" w:right="140" w:hanging="368"/>
        <w:rPr>
          <w:rFonts w:eastAsia="Times New Roman"/>
          <w:szCs w:val="24"/>
        </w:rPr>
      </w:pPr>
      <w:r w:rsidRPr="00FC3B7C">
        <w:rPr>
          <w:rFonts w:eastAsia="Times New Roman"/>
          <w:szCs w:val="24"/>
        </w:rPr>
        <w:t xml:space="preserve">statické užitky-zvýšení ekonomického blahobytu díky změnám spotřeby </w:t>
      </w:r>
      <w:r>
        <w:rPr>
          <w:rFonts w:eastAsia="Times New Roman"/>
          <w:szCs w:val="24"/>
        </w:rPr>
        <w:br/>
      </w:r>
      <w:r w:rsidRPr="00FC3B7C">
        <w:rPr>
          <w:rFonts w:eastAsia="Times New Roman"/>
          <w:szCs w:val="24"/>
        </w:rPr>
        <w:t>a produkce, snížení cen, zvýšení efektivnosti využívání zdrojů</w:t>
      </w:r>
    </w:p>
    <w:p w14:paraId="68826479" w14:textId="77777777" w:rsidR="00A15E2D" w:rsidRPr="00FC3B7C" w:rsidRDefault="00A15E2D" w:rsidP="00A15E2D">
      <w:pPr>
        <w:spacing w:line="1" w:lineRule="exact"/>
        <w:rPr>
          <w:rFonts w:eastAsia="Times New Roman"/>
          <w:szCs w:val="24"/>
        </w:rPr>
      </w:pPr>
    </w:p>
    <w:p w14:paraId="6D556D51" w14:textId="77777777" w:rsidR="00A15E2D" w:rsidRPr="00FC3B7C" w:rsidRDefault="00A15E2D" w:rsidP="00D46B53">
      <w:pPr>
        <w:numPr>
          <w:ilvl w:val="0"/>
          <w:numId w:val="205"/>
        </w:numPr>
        <w:tabs>
          <w:tab w:val="left" w:pos="824"/>
        </w:tabs>
        <w:ind w:left="840" w:right="80" w:hanging="368"/>
        <w:rPr>
          <w:rFonts w:eastAsia="Times New Roman"/>
          <w:szCs w:val="24"/>
        </w:rPr>
      </w:pPr>
      <w:r w:rsidRPr="00FC3B7C">
        <w:rPr>
          <w:rFonts w:eastAsia="Times New Roman"/>
          <w:szCs w:val="24"/>
        </w:rPr>
        <w:t>dynamické užitky – vztah mezi obchodem a hospodářským růstem, zvýšení blahobytu prostřednictvím obchodu a zvýšení produktivity, technologický pokrok, konkurence, motivace, úspory z rozsahu, zvýšení domácích i zahraničních úspor pro financování investic</w:t>
      </w:r>
    </w:p>
    <w:p w14:paraId="014FA3D5" w14:textId="77777777" w:rsidR="00A15E2D" w:rsidRPr="00FC3B7C" w:rsidRDefault="00A15E2D" w:rsidP="00A15E2D">
      <w:pPr>
        <w:spacing w:line="93" w:lineRule="exact"/>
        <w:rPr>
          <w:sz w:val="20"/>
          <w:szCs w:val="20"/>
        </w:rPr>
      </w:pPr>
    </w:p>
    <w:p w14:paraId="674CC8F7" w14:textId="77777777" w:rsidR="00A15E2D" w:rsidRPr="00AE3931" w:rsidRDefault="00A15E2D" w:rsidP="00A15E2D">
      <w:pPr>
        <w:rPr>
          <w:sz w:val="20"/>
          <w:szCs w:val="20"/>
        </w:rPr>
        <w:sectPr w:rsidR="00A15E2D" w:rsidRPr="00AE3931">
          <w:pgSz w:w="11900" w:h="16840"/>
          <w:pgMar w:top="1397" w:right="1400" w:bottom="1440" w:left="1420" w:header="0" w:footer="0" w:gutter="0"/>
          <w:cols w:space="708" w:equalWidth="0">
            <w:col w:w="9080"/>
          </w:cols>
        </w:sectPr>
      </w:pPr>
      <w:r w:rsidRPr="00FC3B7C">
        <w:rPr>
          <w:rFonts w:eastAsia="Times New Roman"/>
        </w:rPr>
        <w:t>Kritika HO modelu vychází ze špatných předpokladů modelu, neboť práce se dá kapitálem nahradit. Stejně tak je kapitál nebo práce mobilní a není třeba, aby země, která je například lépe vybavená práci, se trvale orientovala na pracovně náročné výrobky.</w:t>
      </w:r>
    </w:p>
    <w:p w14:paraId="07C69A7B" w14:textId="77777777" w:rsidR="00A15E2D" w:rsidRPr="00FC3B7C" w:rsidRDefault="00A15E2D" w:rsidP="00A15E2D">
      <w:pPr>
        <w:spacing w:line="143" w:lineRule="exact"/>
        <w:rPr>
          <w:sz w:val="20"/>
          <w:szCs w:val="20"/>
        </w:rPr>
      </w:pPr>
      <w:bookmarkStart w:id="209" w:name="page209"/>
      <w:bookmarkEnd w:id="209"/>
    </w:p>
    <w:p w14:paraId="69210B17" w14:textId="77777777" w:rsidR="00A15E2D" w:rsidRPr="00413472" w:rsidRDefault="00A15E2D" w:rsidP="00A15E2D">
      <w:pPr>
        <w:pStyle w:val="Nadpis3"/>
        <w:rPr>
          <w:color w:val="1F3864" w:themeColor="accent1" w:themeShade="80"/>
          <w:sz w:val="20"/>
          <w:szCs w:val="20"/>
        </w:rPr>
      </w:pPr>
      <w:r w:rsidRPr="00413472">
        <w:rPr>
          <w:rFonts w:eastAsia="Times New Roman"/>
          <w:color w:val="1F3864" w:themeColor="accent1" w:themeShade="80"/>
        </w:rPr>
        <w:t>Nové přístupy</w:t>
      </w:r>
    </w:p>
    <w:p w14:paraId="33B36A37" w14:textId="77777777" w:rsidR="00A15E2D" w:rsidRPr="00FC3B7C" w:rsidRDefault="00A15E2D" w:rsidP="00A15E2D">
      <w:pPr>
        <w:spacing w:line="181" w:lineRule="exact"/>
        <w:rPr>
          <w:sz w:val="20"/>
          <w:szCs w:val="20"/>
        </w:rPr>
      </w:pPr>
    </w:p>
    <w:p w14:paraId="04FE994D" w14:textId="77777777" w:rsidR="00A15E2D" w:rsidRDefault="00A15E2D" w:rsidP="00A15E2D">
      <w:pPr>
        <w:rPr>
          <w:rFonts w:eastAsia="Times New Roman"/>
        </w:rPr>
      </w:pPr>
      <w:r w:rsidRPr="00FC3B7C">
        <w:rPr>
          <w:rFonts w:eastAsia="Times New Roman"/>
        </w:rPr>
        <w:t xml:space="preserve">Od 80. let se snaží nové přístupy rozšířit a rozvinout úlohu technologických změn, úspor </w:t>
      </w:r>
      <w:r>
        <w:rPr>
          <w:rFonts w:eastAsia="Times New Roman"/>
        </w:rPr>
        <w:br/>
      </w:r>
      <w:r w:rsidRPr="00FC3B7C">
        <w:rPr>
          <w:rFonts w:eastAsia="Times New Roman"/>
        </w:rPr>
        <w:t>z rozsahu, externalit, produktové diferenciace, monopolistické a oligopolistické struktury. Teorie obchodu se tak stále vrací k základní Ricardově myšlence o vlivu mezinárodní odlišnosti technologií spíše než na vybavení výrobními faktory. Nové technologie se zaměřují na vysvětlení zdrojů technologických odlišností.</w:t>
      </w:r>
    </w:p>
    <w:p w14:paraId="364BBFDE" w14:textId="77777777" w:rsidR="00A15E2D" w:rsidRPr="00FC3B7C" w:rsidRDefault="00A15E2D" w:rsidP="00A15E2D">
      <w:pPr>
        <w:rPr>
          <w:sz w:val="20"/>
          <w:szCs w:val="20"/>
        </w:rPr>
      </w:pPr>
    </w:p>
    <w:p w14:paraId="130C7786" w14:textId="77777777" w:rsidR="00A15E2D" w:rsidRPr="00FC3B7C" w:rsidRDefault="00A15E2D" w:rsidP="00A15E2D">
      <w:pPr>
        <w:spacing w:line="1" w:lineRule="exact"/>
        <w:rPr>
          <w:sz w:val="20"/>
          <w:szCs w:val="20"/>
        </w:rPr>
      </w:pPr>
    </w:p>
    <w:p w14:paraId="60521B48" w14:textId="77777777" w:rsidR="00A15E2D" w:rsidRPr="00413472" w:rsidRDefault="00A15E2D" w:rsidP="00A15E2D">
      <w:pPr>
        <w:tabs>
          <w:tab w:val="left" w:pos="1340"/>
        </w:tabs>
        <w:rPr>
          <w:color w:val="1F3864" w:themeColor="accent1" w:themeShade="80"/>
          <w:sz w:val="20"/>
          <w:szCs w:val="20"/>
          <w:u w:val="single"/>
        </w:rPr>
      </w:pPr>
      <w:r w:rsidRPr="00413472">
        <w:rPr>
          <w:rFonts w:eastAsia="Times New Roman"/>
          <w:b/>
          <w:bCs/>
          <w:color w:val="1F3864" w:themeColor="accent1" w:themeShade="80"/>
          <w:szCs w:val="24"/>
          <w:u w:val="single"/>
        </w:rPr>
        <w:t>Intra</w:t>
      </w:r>
      <w:r w:rsidRPr="00413472">
        <w:rPr>
          <w:color w:val="1F3864" w:themeColor="accent1" w:themeShade="80"/>
          <w:sz w:val="20"/>
          <w:szCs w:val="20"/>
          <w:u w:val="single"/>
        </w:rPr>
        <w:t xml:space="preserve"> </w:t>
      </w:r>
      <w:r w:rsidRPr="00413472">
        <w:rPr>
          <w:rFonts w:eastAsia="Times New Roman"/>
          <w:b/>
          <w:bCs/>
          <w:color w:val="1F3864" w:themeColor="accent1" w:themeShade="80"/>
          <w:szCs w:val="24"/>
          <w:u w:val="single"/>
        </w:rPr>
        <w:t>odvětvový obchod:</w:t>
      </w:r>
    </w:p>
    <w:p w14:paraId="48ED7D8F" w14:textId="77777777" w:rsidR="00A15E2D" w:rsidRPr="00FC3B7C" w:rsidRDefault="00A15E2D" w:rsidP="00A15E2D">
      <w:pPr>
        <w:spacing w:line="118" w:lineRule="exact"/>
        <w:rPr>
          <w:sz w:val="20"/>
          <w:szCs w:val="20"/>
        </w:rPr>
      </w:pPr>
    </w:p>
    <w:p w14:paraId="59F6C013" w14:textId="77777777" w:rsidR="00A15E2D" w:rsidRPr="00FC3B7C" w:rsidRDefault="00A15E2D" w:rsidP="00A15E2D">
      <w:pPr>
        <w:rPr>
          <w:sz w:val="20"/>
          <w:szCs w:val="20"/>
        </w:rPr>
      </w:pPr>
      <w:r w:rsidRPr="00FC3B7C">
        <w:rPr>
          <w:rFonts w:eastAsia="Times New Roman"/>
        </w:rPr>
        <w:t xml:space="preserve">Země vyváží a dováží komodity stejného druhu, význam nedokonalé konkurence, </w:t>
      </w:r>
      <w:r w:rsidRPr="00FC3B7C">
        <w:rPr>
          <w:rFonts w:eastAsia="Times New Roman"/>
          <w:b/>
          <w:bCs/>
        </w:rPr>
        <w:t>produktové diferenciace</w:t>
      </w:r>
      <w:r w:rsidRPr="00FC3B7C">
        <w:rPr>
          <w:rFonts w:eastAsia="Times New Roman"/>
        </w:rPr>
        <w:t>, úspor z rozsahu, pro kupující je důležitá kromě</w:t>
      </w:r>
      <w:r w:rsidRPr="00FC3B7C">
        <w:rPr>
          <w:rFonts w:eastAsia="Times New Roman"/>
          <w:b/>
          <w:bCs/>
        </w:rPr>
        <w:t xml:space="preserve"> </w:t>
      </w:r>
      <w:r w:rsidRPr="00FC3B7C">
        <w:rPr>
          <w:rFonts w:eastAsia="Times New Roman"/>
        </w:rPr>
        <w:t>ceny také kvalita,</w:t>
      </w:r>
      <w:r w:rsidRPr="00FC3B7C">
        <w:rPr>
          <w:rFonts w:eastAsia="Times New Roman"/>
          <w:b/>
          <w:bCs/>
        </w:rPr>
        <w:t xml:space="preserve"> </w:t>
      </w:r>
      <w:r w:rsidRPr="00FC3B7C">
        <w:rPr>
          <w:rFonts w:eastAsia="Times New Roman"/>
        </w:rPr>
        <w:t>životnost, poprodejní služby.</w:t>
      </w:r>
    </w:p>
    <w:p w14:paraId="6A336CAC" w14:textId="77777777" w:rsidR="00A15E2D" w:rsidRPr="00FC3B7C" w:rsidRDefault="00A15E2D" w:rsidP="00A15E2D">
      <w:pPr>
        <w:spacing w:line="1" w:lineRule="exact"/>
        <w:rPr>
          <w:sz w:val="20"/>
          <w:szCs w:val="20"/>
        </w:rPr>
      </w:pPr>
    </w:p>
    <w:p w14:paraId="51DCDF2B" w14:textId="77777777" w:rsidR="00A15E2D" w:rsidRDefault="00A15E2D" w:rsidP="00A15E2D">
      <w:pPr>
        <w:tabs>
          <w:tab w:val="left" w:pos="1340"/>
        </w:tabs>
        <w:ind w:left="120"/>
        <w:rPr>
          <w:rFonts w:eastAsia="Times New Roman"/>
          <w:b/>
          <w:bCs/>
          <w:szCs w:val="24"/>
        </w:rPr>
      </w:pPr>
    </w:p>
    <w:p w14:paraId="216A68E9" w14:textId="77777777" w:rsidR="00A15E2D" w:rsidRPr="00413472" w:rsidRDefault="00A15E2D" w:rsidP="00A15E2D">
      <w:pPr>
        <w:tabs>
          <w:tab w:val="left" w:pos="1340"/>
        </w:tabs>
        <w:rPr>
          <w:sz w:val="20"/>
          <w:szCs w:val="20"/>
          <w:u w:val="single"/>
        </w:rPr>
      </w:pPr>
      <w:r w:rsidRPr="00413472">
        <w:rPr>
          <w:rFonts w:eastAsia="Times New Roman"/>
          <w:b/>
          <w:bCs/>
          <w:szCs w:val="24"/>
          <w:u w:val="single"/>
        </w:rPr>
        <w:t>Intra</w:t>
      </w:r>
      <w:r w:rsidRPr="00413472">
        <w:rPr>
          <w:sz w:val="20"/>
          <w:szCs w:val="20"/>
          <w:u w:val="single"/>
        </w:rPr>
        <w:t xml:space="preserve"> </w:t>
      </w:r>
      <w:r w:rsidRPr="00413472">
        <w:rPr>
          <w:rFonts w:eastAsia="Times New Roman"/>
          <w:b/>
          <w:bCs/>
          <w:szCs w:val="24"/>
          <w:u w:val="single"/>
        </w:rPr>
        <w:t>firemní obchod:</w:t>
      </w:r>
    </w:p>
    <w:p w14:paraId="0A4788E4" w14:textId="77777777" w:rsidR="00A15E2D" w:rsidRPr="00FC3B7C" w:rsidRDefault="00A15E2D" w:rsidP="00A15E2D">
      <w:pPr>
        <w:spacing w:line="115" w:lineRule="exact"/>
        <w:rPr>
          <w:sz w:val="20"/>
          <w:szCs w:val="20"/>
        </w:rPr>
      </w:pPr>
    </w:p>
    <w:p w14:paraId="755B48EC" w14:textId="77777777" w:rsidR="00A15E2D" w:rsidRDefault="00A15E2D" w:rsidP="00A15E2D">
      <w:pPr>
        <w:rPr>
          <w:rFonts w:eastAsia="Times New Roman"/>
        </w:rPr>
      </w:pPr>
      <w:r w:rsidRPr="00FC3B7C">
        <w:rPr>
          <w:rFonts w:eastAsia="Times New Roman"/>
        </w:rPr>
        <w:t xml:space="preserve">Mezinárodní obchodní toky v rámci jedné firmy, významnou roli hrají nadnárodní korporace. Firmy zde dosahují úspor z rozsahu, diverzifikace, internalizují externality, jsou schopné šířit technologie v globálním měřítku, vyrovnávat náklady, mají nejlepší konkurenceschopnost </w:t>
      </w:r>
      <w:r>
        <w:rPr>
          <w:rFonts w:eastAsia="Times New Roman"/>
        </w:rPr>
        <w:br/>
      </w:r>
      <w:r w:rsidRPr="00FC3B7C">
        <w:rPr>
          <w:rFonts w:eastAsia="Times New Roman"/>
        </w:rPr>
        <w:t>v cenách, kvalitě a službách.</w:t>
      </w:r>
    </w:p>
    <w:p w14:paraId="4A098B7B" w14:textId="77777777" w:rsidR="00A15E2D" w:rsidRPr="00FC3B7C" w:rsidRDefault="00A15E2D" w:rsidP="00A15E2D">
      <w:pPr>
        <w:rPr>
          <w:sz w:val="20"/>
          <w:szCs w:val="20"/>
        </w:rPr>
      </w:pPr>
    </w:p>
    <w:p w14:paraId="6B38D05D" w14:textId="77777777" w:rsidR="00A15E2D" w:rsidRPr="00FC3B7C" w:rsidRDefault="00A15E2D" w:rsidP="00A15E2D">
      <w:pPr>
        <w:spacing w:line="1" w:lineRule="exact"/>
        <w:rPr>
          <w:sz w:val="20"/>
          <w:szCs w:val="20"/>
        </w:rPr>
      </w:pPr>
    </w:p>
    <w:p w14:paraId="7D9E6216" w14:textId="77777777" w:rsidR="00A15E2D" w:rsidRPr="00413472" w:rsidRDefault="00A15E2D" w:rsidP="00A15E2D">
      <w:pPr>
        <w:rPr>
          <w:sz w:val="20"/>
          <w:szCs w:val="20"/>
          <w:u w:val="single"/>
        </w:rPr>
      </w:pPr>
      <w:r w:rsidRPr="00413472">
        <w:rPr>
          <w:rFonts w:eastAsia="Times New Roman"/>
          <w:b/>
          <w:bCs/>
          <w:szCs w:val="24"/>
          <w:u w:val="single"/>
        </w:rPr>
        <w:t>Technologický přístup:</w:t>
      </w:r>
    </w:p>
    <w:p w14:paraId="4025F22F" w14:textId="77777777" w:rsidR="00A15E2D" w:rsidRPr="00FC3B7C" w:rsidRDefault="00A15E2D" w:rsidP="00A15E2D">
      <w:pPr>
        <w:spacing w:line="118" w:lineRule="exact"/>
        <w:rPr>
          <w:sz w:val="20"/>
          <w:szCs w:val="20"/>
        </w:rPr>
      </w:pPr>
    </w:p>
    <w:p w14:paraId="0AC8C939" w14:textId="77777777" w:rsidR="00A15E2D" w:rsidRPr="00FC3B7C" w:rsidRDefault="00A15E2D" w:rsidP="00A15E2D">
      <w:pPr>
        <w:rPr>
          <w:sz w:val="20"/>
          <w:szCs w:val="20"/>
        </w:rPr>
      </w:pPr>
      <w:r w:rsidRPr="00FC3B7C">
        <w:rPr>
          <w:rFonts w:eastAsia="Times New Roman"/>
        </w:rPr>
        <w:t xml:space="preserve">Zdůrazňuje význam inovací a jejich uplatnění. Zavádění inovací přináší firmám dočasné renty, díky zpoždění v ekonomice </w:t>
      </w:r>
      <w:r w:rsidRPr="00FC3B7C">
        <w:rPr>
          <w:rFonts w:eastAsia="Times New Roman"/>
          <w:b/>
          <w:bCs/>
        </w:rPr>
        <w:t>(teorie technologické mezery)</w:t>
      </w:r>
      <w:r w:rsidRPr="00FC3B7C">
        <w:rPr>
          <w:rFonts w:eastAsia="Times New Roman"/>
        </w:rPr>
        <w:t xml:space="preserve">. Technologické schopnosti jsou významným zdrojem konkurenční výhody. Vyspělost a jedinečnost firemních technologií a produktů usnadňuje udržení monopolní síly, necenový charakter konkurenceschopnosti i úspory z rozsahu. </w:t>
      </w:r>
      <w:r w:rsidRPr="00FC3B7C">
        <w:rPr>
          <w:rFonts w:eastAsia="Times New Roman"/>
          <w:b/>
          <w:bCs/>
        </w:rPr>
        <w:t>Teorie produktového cyklu</w:t>
      </w:r>
      <w:r w:rsidRPr="00FC3B7C">
        <w:rPr>
          <w:rFonts w:eastAsia="Times New Roman"/>
        </w:rPr>
        <w:t xml:space="preserve"> – posun od nestabilních inovací ke standardizovaným produktům.</w:t>
      </w:r>
    </w:p>
    <w:p w14:paraId="53DC4282" w14:textId="77777777" w:rsidR="00A15E2D" w:rsidRPr="00FC3B7C" w:rsidRDefault="00A15E2D" w:rsidP="00A15E2D">
      <w:pPr>
        <w:spacing w:line="6" w:lineRule="exact"/>
        <w:rPr>
          <w:sz w:val="20"/>
          <w:szCs w:val="20"/>
        </w:rPr>
      </w:pPr>
    </w:p>
    <w:p w14:paraId="43F054E9" w14:textId="77777777" w:rsidR="00A15E2D" w:rsidRDefault="00A15E2D" w:rsidP="00A15E2D">
      <w:pPr>
        <w:ind w:left="120"/>
        <w:rPr>
          <w:rFonts w:eastAsia="Times New Roman"/>
          <w:b/>
          <w:bCs/>
          <w:szCs w:val="24"/>
        </w:rPr>
      </w:pPr>
    </w:p>
    <w:p w14:paraId="75F646C2" w14:textId="77777777" w:rsidR="00A15E2D" w:rsidRPr="00413472" w:rsidRDefault="00A15E2D" w:rsidP="00A15E2D">
      <w:pPr>
        <w:rPr>
          <w:sz w:val="20"/>
          <w:szCs w:val="20"/>
          <w:u w:val="single"/>
        </w:rPr>
      </w:pPr>
      <w:r w:rsidRPr="00413472">
        <w:rPr>
          <w:rFonts w:eastAsia="Times New Roman"/>
          <w:b/>
          <w:bCs/>
          <w:szCs w:val="24"/>
          <w:u w:val="single"/>
        </w:rPr>
        <w:t>Regionální přístup:</w:t>
      </w:r>
    </w:p>
    <w:p w14:paraId="040571B2" w14:textId="77777777" w:rsidR="00A15E2D" w:rsidRPr="00FC3B7C" w:rsidRDefault="00A15E2D" w:rsidP="00A15E2D">
      <w:pPr>
        <w:spacing w:line="115" w:lineRule="exact"/>
        <w:rPr>
          <w:sz w:val="20"/>
          <w:szCs w:val="20"/>
        </w:rPr>
      </w:pPr>
    </w:p>
    <w:p w14:paraId="5FE77ED2" w14:textId="77777777" w:rsidR="00A15E2D" w:rsidRPr="00FC3B7C" w:rsidRDefault="00A15E2D" w:rsidP="00A15E2D">
      <w:pPr>
        <w:rPr>
          <w:sz w:val="20"/>
          <w:szCs w:val="20"/>
        </w:rPr>
      </w:pPr>
      <w:r w:rsidRPr="00FC3B7C">
        <w:rPr>
          <w:rFonts w:eastAsia="Times New Roman"/>
        </w:rPr>
        <w:t>Seskupení zemí, mezi kterými se tak snižují obchodní překážky. Takováto uskupení vznikají u zemí s podobnou ekonomickou úrovní, s geografickou nebo kulturní blízkostí. Odstranění vnitřních překážek obchodu, využívání komparativních výhod vůči členským zemím, diskriminace ostatních zemí a protekcionismus. Důsledkem může být přesun obchodu od výrobců s nízkými náklady k výrobcům s náklady vyššími.</w:t>
      </w:r>
    </w:p>
    <w:p w14:paraId="4EF9313A" w14:textId="77777777" w:rsidR="00A15E2D" w:rsidRPr="00413472" w:rsidRDefault="00A15E2D" w:rsidP="00A15E2D">
      <w:pPr>
        <w:pStyle w:val="Nadpis2"/>
        <w:rPr>
          <w:color w:val="1F3864" w:themeColor="accent1" w:themeShade="80"/>
          <w:szCs w:val="28"/>
        </w:rPr>
      </w:pPr>
      <w:bookmarkStart w:id="210" w:name="page210"/>
      <w:bookmarkStart w:id="211" w:name="page211"/>
      <w:bookmarkEnd w:id="210"/>
      <w:bookmarkEnd w:id="211"/>
      <w:r w:rsidRPr="00413472">
        <w:rPr>
          <w:rFonts w:eastAsia="Times New Roman"/>
          <w:color w:val="1F3864" w:themeColor="accent1" w:themeShade="80"/>
          <w:szCs w:val="28"/>
        </w:rPr>
        <w:lastRenderedPageBreak/>
        <w:t>VZTAH STRUKTURÁLNÍ AOBCHODNÍ POLITIKY</w:t>
      </w:r>
    </w:p>
    <w:p w14:paraId="48E27056" w14:textId="77777777" w:rsidR="00A15E2D" w:rsidRPr="00FC3B7C" w:rsidRDefault="00A15E2D" w:rsidP="00A15E2D">
      <w:pPr>
        <w:spacing w:line="224" w:lineRule="exact"/>
        <w:rPr>
          <w:sz w:val="20"/>
          <w:szCs w:val="20"/>
        </w:rPr>
      </w:pPr>
    </w:p>
    <w:p w14:paraId="31FC6D28" w14:textId="77777777" w:rsidR="00A15E2D" w:rsidRPr="00FC3B7C" w:rsidRDefault="00A15E2D" w:rsidP="00A15E2D">
      <w:pPr>
        <w:rPr>
          <w:sz w:val="20"/>
          <w:szCs w:val="20"/>
        </w:rPr>
      </w:pPr>
      <w:r w:rsidRPr="00FC3B7C">
        <w:rPr>
          <w:rFonts w:eastAsia="Times New Roman"/>
          <w:b/>
          <w:bCs/>
          <w:szCs w:val="24"/>
        </w:rPr>
        <w:t>Strukturální politika</w:t>
      </w:r>
    </w:p>
    <w:p w14:paraId="3BF4702C" w14:textId="77777777" w:rsidR="00A15E2D" w:rsidRPr="00FC3B7C" w:rsidRDefault="00A15E2D" w:rsidP="00A15E2D">
      <w:pPr>
        <w:rPr>
          <w:sz w:val="20"/>
          <w:szCs w:val="20"/>
        </w:rPr>
      </w:pPr>
      <w:r w:rsidRPr="00FC3B7C">
        <w:rPr>
          <w:rFonts w:eastAsia="Times New Roman"/>
        </w:rPr>
        <w:t>Je to soubor hospodářsko-politických opatření vlády, prostřednictvím nichž se stát snaží ovlivňovat proces přizpůsobování strukturálním změnám. Snaží se ovlivňovat odvětvovou či regionální strukturu ekonomiky, prostřednictvím daní nebo dotací a regulací se snaží určovat alokaci zdrojů na konkrétní užití.</w:t>
      </w:r>
    </w:p>
    <w:p w14:paraId="2B801D41" w14:textId="77777777" w:rsidR="00A15E2D" w:rsidRPr="00FC3B7C" w:rsidRDefault="00A15E2D" w:rsidP="00A15E2D">
      <w:pPr>
        <w:spacing w:line="1" w:lineRule="exact"/>
        <w:rPr>
          <w:sz w:val="20"/>
          <w:szCs w:val="20"/>
        </w:rPr>
      </w:pPr>
    </w:p>
    <w:p w14:paraId="6CEF1536" w14:textId="77777777" w:rsidR="00A15E2D" w:rsidRPr="00FC3B7C" w:rsidRDefault="00A15E2D" w:rsidP="00A15E2D">
      <w:pPr>
        <w:rPr>
          <w:sz w:val="20"/>
          <w:szCs w:val="20"/>
        </w:rPr>
      </w:pPr>
      <w:r w:rsidRPr="00FC3B7C">
        <w:rPr>
          <w:rFonts w:eastAsia="Times New Roman"/>
          <w:b/>
          <w:bCs/>
          <w:szCs w:val="24"/>
        </w:rPr>
        <w:t>Hlavní druhy strukturální politiky</w:t>
      </w:r>
      <w:r>
        <w:rPr>
          <w:rFonts w:eastAsia="Times New Roman"/>
          <w:b/>
          <w:bCs/>
          <w:szCs w:val="24"/>
        </w:rPr>
        <w:t xml:space="preserve"> </w:t>
      </w:r>
      <w:r w:rsidRPr="00FC3B7C">
        <w:rPr>
          <w:rFonts w:eastAsia="Times New Roman"/>
          <w:szCs w:val="24"/>
        </w:rPr>
        <w:t>-</w:t>
      </w:r>
      <w:r>
        <w:rPr>
          <w:rFonts w:eastAsia="Times New Roman"/>
          <w:szCs w:val="24"/>
        </w:rPr>
        <w:t xml:space="preserve"> </w:t>
      </w:r>
      <w:r w:rsidRPr="00FC3B7C">
        <w:rPr>
          <w:rFonts w:eastAsia="Times New Roman"/>
          <w:szCs w:val="24"/>
        </w:rPr>
        <w:t>zemědělská, průmyslová obchodní.</w:t>
      </w:r>
    </w:p>
    <w:p w14:paraId="2B0DA737" w14:textId="77777777" w:rsidR="00A15E2D" w:rsidRPr="00FC3B7C" w:rsidRDefault="00A15E2D" w:rsidP="00A15E2D">
      <w:pPr>
        <w:rPr>
          <w:sz w:val="20"/>
          <w:szCs w:val="20"/>
        </w:rPr>
      </w:pPr>
      <w:r w:rsidRPr="00FC3B7C">
        <w:rPr>
          <w:rFonts w:eastAsia="Times New Roman"/>
        </w:rPr>
        <w:t xml:space="preserve">Existují fiskální a normativní </w:t>
      </w:r>
      <w:r w:rsidRPr="00FC3B7C">
        <w:rPr>
          <w:rFonts w:eastAsia="Times New Roman"/>
          <w:b/>
          <w:bCs/>
        </w:rPr>
        <w:t>nástroje strukturální politiky</w:t>
      </w:r>
      <w:r w:rsidRPr="00FC3B7C">
        <w:rPr>
          <w:rFonts w:eastAsia="Times New Roman"/>
        </w:rPr>
        <w:t xml:space="preserve"> – přímé dotace na projekty či konkrétním podnikům, daňové úlevy, zvláštní zdanění vybraných aktivit, územní plánování, vydávání licencí, cenové regulace, př. minimální výkupní ceny.</w:t>
      </w:r>
    </w:p>
    <w:p w14:paraId="45D4A05A" w14:textId="77777777" w:rsidR="00A15E2D" w:rsidRDefault="00A15E2D" w:rsidP="00A15E2D">
      <w:pPr>
        <w:ind w:left="120"/>
        <w:rPr>
          <w:rFonts w:eastAsia="Times New Roman"/>
          <w:b/>
          <w:bCs/>
          <w:szCs w:val="24"/>
        </w:rPr>
      </w:pPr>
    </w:p>
    <w:p w14:paraId="09187F74" w14:textId="77777777" w:rsidR="00A15E2D" w:rsidRPr="00FC3B7C" w:rsidRDefault="00A15E2D" w:rsidP="00A15E2D">
      <w:pPr>
        <w:rPr>
          <w:sz w:val="20"/>
          <w:szCs w:val="20"/>
        </w:rPr>
      </w:pPr>
      <w:r w:rsidRPr="00FC3B7C">
        <w:rPr>
          <w:rFonts w:eastAsia="Times New Roman"/>
          <w:b/>
          <w:bCs/>
          <w:szCs w:val="24"/>
        </w:rPr>
        <w:t>Obchodní politika</w:t>
      </w:r>
    </w:p>
    <w:p w14:paraId="0BDE480E" w14:textId="3A014ABC" w:rsidR="00A15E2D" w:rsidRPr="00FC3B7C" w:rsidRDefault="00A15E2D" w:rsidP="00A15E2D">
      <w:pPr>
        <w:rPr>
          <w:sz w:val="20"/>
          <w:szCs w:val="20"/>
        </w:rPr>
      </w:pPr>
      <w:r w:rsidRPr="00FC3B7C">
        <w:rPr>
          <w:rFonts w:eastAsia="Times New Roman"/>
        </w:rPr>
        <w:t>Aktivní státní podpora či naopak restrikce ob</w:t>
      </w:r>
      <w:r w:rsidR="007E5E16">
        <w:rPr>
          <w:rFonts w:eastAsia="Times New Roman"/>
        </w:rPr>
        <w:t>chodu, zejména mezinárodního. C</w:t>
      </w:r>
      <w:r w:rsidRPr="00FC3B7C">
        <w:rPr>
          <w:rFonts w:eastAsia="Times New Roman"/>
        </w:rPr>
        <w:t xml:space="preserve">ílem je ovlivňování platební bilance. </w:t>
      </w:r>
      <w:r w:rsidRPr="00FC3B7C">
        <w:rPr>
          <w:rFonts w:eastAsia="Times New Roman"/>
          <w:b/>
          <w:bCs/>
        </w:rPr>
        <w:t>Nástroje</w:t>
      </w:r>
      <w:r w:rsidRPr="00FC3B7C">
        <w:rPr>
          <w:rFonts w:eastAsia="Times New Roman"/>
        </w:rPr>
        <w:t xml:space="preserve"> – cla, kvóty, technické a bezpečnostní předpisy, daně, dotace.</w:t>
      </w:r>
    </w:p>
    <w:p w14:paraId="697EFC6D" w14:textId="77777777" w:rsidR="00A15E2D" w:rsidRPr="00FC3B7C" w:rsidRDefault="00A15E2D" w:rsidP="00A15E2D">
      <w:pPr>
        <w:spacing w:line="1" w:lineRule="exact"/>
        <w:rPr>
          <w:sz w:val="20"/>
          <w:szCs w:val="20"/>
        </w:rPr>
      </w:pPr>
    </w:p>
    <w:p w14:paraId="47A6DC68" w14:textId="77777777" w:rsidR="00A15E2D" w:rsidRDefault="00A15E2D" w:rsidP="00A15E2D">
      <w:pPr>
        <w:rPr>
          <w:rFonts w:eastAsia="Times New Roman"/>
          <w:b/>
          <w:bCs/>
          <w:szCs w:val="24"/>
        </w:rPr>
      </w:pPr>
    </w:p>
    <w:p w14:paraId="67625074" w14:textId="77777777" w:rsidR="00A15E2D" w:rsidRPr="00FC3B7C" w:rsidRDefault="00A15E2D" w:rsidP="00A15E2D">
      <w:pPr>
        <w:rPr>
          <w:sz w:val="20"/>
          <w:szCs w:val="20"/>
        </w:rPr>
      </w:pPr>
      <w:r w:rsidRPr="00FC3B7C">
        <w:rPr>
          <w:rFonts w:eastAsia="Times New Roman"/>
          <w:b/>
          <w:bCs/>
          <w:szCs w:val="24"/>
        </w:rPr>
        <w:t>Strategické politiky</w:t>
      </w:r>
    </w:p>
    <w:p w14:paraId="41B567B4" w14:textId="77777777" w:rsidR="00A15E2D" w:rsidRPr="00FC3B7C" w:rsidRDefault="00A15E2D" w:rsidP="00A15E2D">
      <w:pPr>
        <w:rPr>
          <w:sz w:val="20"/>
          <w:szCs w:val="20"/>
        </w:rPr>
      </w:pPr>
      <w:r w:rsidRPr="00FC3B7C">
        <w:rPr>
          <w:rFonts w:eastAsia="Times New Roman"/>
        </w:rPr>
        <w:t>Usilují o rozvoj specifických odvětví, podporují domácí firmy na mezinárodním trhu. Tato politika může kombinovat obchodně a odvětvově politické nástroje (tarify, daně, dotace).</w:t>
      </w:r>
    </w:p>
    <w:p w14:paraId="67583E01" w14:textId="77777777" w:rsidR="00A15E2D" w:rsidRDefault="00A15E2D" w:rsidP="00A15E2D">
      <w:pPr>
        <w:rPr>
          <w:sz w:val="20"/>
          <w:szCs w:val="20"/>
        </w:rPr>
      </w:pPr>
    </w:p>
    <w:p w14:paraId="3F4F8F7E" w14:textId="77777777" w:rsidR="00A15E2D" w:rsidRPr="00FC3B7C" w:rsidRDefault="00A15E2D" w:rsidP="00A15E2D">
      <w:pPr>
        <w:rPr>
          <w:sz w:val="20"/>
          <w:szCs w:val="20"/>
        </w:rPr>
      </w:pPr>
      <w:r w:rsidRPr="00FC3B7C">
        <w:rPr>
          <w:rFonts w:eastAsia="Times New Roman"/>
          <w:b/>
          <w:bCs/>
          <w:szCs w:val="24"/>
        </w:rPr>
        <w:t>Přizpůsobovací politiky</w:t>
      </w:r>
    </w:p>
    <w:p w14:paraId="6A40BA86" w14:textId="77777777" w:rsidR="00A15E2D" w:rsidRPr="00FC3B7C" w:rsidRDefault="00A15E2D" w:rsidP="00A15E2D">
      <w:pPr>
        <w:rPr>
          <w:sz w:val="20"/>
          <w:szCs w:val="20"/>
        </w:rPr>
      </w:pPr>
      <w:r w:rsidRPr="00FC3B7C">
        <w:rPr>
          <w:rFonts w:eastAsia="Times New Roman"/>
        </w:rPr>
        <w:t>Usilují nápravu tržních selhání, která brání přirozenému přizpůsobení upadajících sektorů.</w:t>
      </w:r>
    </w:p>
    <w:p w14:paraId="50409A25" w14:textId="77777777" w:rsidR="00A15E2D" w:rsidRPr="00FC3B7C" w:rsidRDefault="00A15E2D" w:rsidP="00A15E2D">
      <w:pPr>
        <w:spacing w:line="121" w:lineRule="exact"/>
        <w:rPr>
          <w:sz w:val="20"/>
          <w:szCs w:val="20"/>
        </w:rPr>
      </w:pPr>
    </w:p>
    <w:p w14:paraId="596653C2" w14:textId="77777777" w:rsidR="00A15E2D" w:rsidRPr="00FC3B7C" w:rsidRDefault="00A15E2D" w:rsidP="00A15E2D">
      <w:pPr>
        <w:rPr>
          <w:sz w:val="20"/>
          <w:szCs w:val="20"/>
        </w:rPr>
      </w:pPr>
      <w:r w:rsidRPr="00FC3B7C">
        <w:rPr>
          <w:rFonts w:eastAsia="Times New Roman"/>
          <w:b/>
          <w:bCs/>
          <w:szCs w:val="24"/>
        </w:rPr>
        <w:t>Horizontální politiky</w:t>
      </w:r>
    </w:p>
    <w:p w14:paraId="45A81CE8" w14:textId="77777777" w:rsidR="00A15E2D" w:rsidRPr="00FC3B7C" w:rsidRDefault="00A15E2D" w:rsidP="00A15E2D">
      <w:pPr>
        <w:rPr>
          <w:sz w:val="20"/>
          <w:szCs w:val="20"/>
        </w:rPr>
      </w:pPr>
      <w:r w:rsidRPr="00FC3B7C">
        <w:rPr>
          <w:rFonts w:eastAsia="Times New Roman"/>
        </w:rPr>
        <w:t>Usilují o změnu alokace zdrojů určitého typu odvětví směrem ke specifickým vstupům (investice do vědy a výzkumu) nebo aktivitám (zlepšení kvality, podpora exportu). Překonává tak externality či jiná tržní selhání.</w:t>
      </w:r>
    </w:p>
    <w:p w14:paraId="5D69CB8B" w14:textId="77777777" w:rsidR="00A15E2D" w:rsidRPr="00FC3B7C" w:rsidRDefault="00A15E2D" w:rsidP="00A15E2D">
      <w:pPr>
        <w:spacing w:line="139" w:lineRule="exact"/>
        <w:rPr>
          <w:sz w:val="20"/>
          <w:szCs w:val="20"/>
        </w:rPr>
      </w:pPr>
    </w:p>
    <w:p w14:paraId="3EB2767A" w14:textId="77777777" w:rsidR="00A15E2D" w:rsidRPr="00413472" w:rsidRDefault="00A15E2D" w:rsidP="00A15E2D">
      <w:pPr>
        <w:pStyle w:val="Nadpis3"/>
        <w:rPr>
          <w:color w:val="1F3864" w:themeColor="accent1" w:themeShade="80"/>
          <w:sz w:val="20"/>
          <w:szCs w:val="20"/>
        </w:rPr>
      </w:pPr>
      <w:r w:rsidRPr="00413472">
        <w:rPr>
          <w:rFonts w:eastAsia="Times New Roman"/>
          <w:color w:val="1F3864" w:themeColor="accent1" w:themeShade="80"/>
        </w:rPr>
        <w:t>Typy strukturální politiky</w:t>
      </w:r>
    </w:p>
    <w:p w14:paraId="5F77FE22" w14:textId="77777777" w:rsidR="00A15E2D" w:rsidRPr="00FC3B7C" w:rsidRDefault="00A15E2D" w:rsidP="00A15E2D">
      <w:pPr>
        <w:rPr>
          <w:sz w:val="20"/>
          <w:szCs w:val="20"/>
        </w:rPr>
      </w:pPr>
      <w:r w:rsidRPr="00FC3B7C">
        <w:rPr>
          <w:rFonts w:eastAsia="Times New Roman"/>
        </w:rPr>
        <w:t xml:space="preserve">Typy strukturální politiky jsou podle způsobu ovlivňování, rychlosti procesu přizpůsobení </w:t>
      </w:r>
      <w:r>
        <w:rPr>
          <w:rFonts w:eastAsia="Times New Roman"/>
        </w:rPr>
        <w:br/>
      </w:r>
      <w:r w:rsidRPr="00FC3B7C">
        <w:rPr>
          <w:rFonts w:eastAsia="Times New Roman"/>
        </w:rPr>
        <w:t>a</w:t>
      </w:r>
      <w:r>
        <w:rPr>
          <w:sz w:val="20"/>
          <w:szCs w:val="20"/>
        </w:rPr>
        <w:t xml:space="preserve"> </w:t>
      </w:r>
      <w:r w:rsidRPr="00FC3B7C">
        <w:rPr>
          <w:rFonts w:eastAsia="Times New Roman"/>
          <w:szCs w:val="24"/>
        </w:rPr>
        <w:t>působení tržního mechanismu rozděleny</w:t>
      </w:r>
      <w:r>
        <w:rPr>
          <w:sz w:val="20"/>
          <w:szCs w:val="20"/>
        </w:rPr>
        <w:t xml:space="preserve"> </w:t>
      </w:r>
      <w:r w:rsidRPr="00FC3B7C">
        <w:rPr>
          <w:rFonts w:eastAsia="Times New Roman"/>
          <w:szCs w:val="24"/>
        </w:rPr>
        <w:t>na:</w:t>
      </w:r>
    </w:p>
    <w:p w14:paraId="195D5A10" w14:textId="77777777" w:rsidR="00A15E2D" w:rsidRPr="00FC3B7C" w:rsidRDefault="00A15E2D" w:rsidP="00A15E2D">
      <w:pPr>
        <w:rPr>
          <w:sz w:val="20"/>
          <w:szCs w:val="20"/>
        </w:rPr>
      </w:pPr>
      <w:r w:rsidRPr="00413472">
        <w:rPr>
          <w:rFonts w:eastAsia="Times New Roman"/>
          <w:b/>
          <w:bCs/>
          <w:u w:val="single"/>
        </w:rPr>
        <w:t>Akcelerační</w:t>
      </w:r>
      <w:r>
        <w:rPr>
          <w:rFonts w:eastAsia="Times New Roman"/>
          <w:b/>
          <w:bCs/>
        </w:rPr>
        <w:t xml:space="preserve"> </w:t>
      </w:r>
      <w:r>
        <w:rPr>
          <w:sz w:val="20"/>
          <w:szCs w:val="20"/>
        </w:rPr>
        <w:br/>
      </w:r>
      <w:r w:rsidRPr="00FC3B7C">
        <w:rPr>
          <w:rFonts w:eastAsia="Times New Roman"/>
        </w:rPr>
        <w:t xml:space="preserve">Usiluje o urychlení inovačního procesu přizpůsobení pomocí finanční podpory firmám, </w:t>
      </w:r>
      <w:r>
        <w:rPr>
          <w:rFonts w:eastAsia="Times New Roman"/>
        </w:rPr>
        <w:br/>
      </w:r>
      <w:r w:rsidRPr="00FC3B7C">
        <w:rPr>
          <w:rFonts w:eastAsia="Times New Roman"/>
        </w:rPr>
        <w:t>u kterých je největší pravděpodobnost užitku.</w:t>
      </w:r>
    </w:p>
    <w:p w14:paraId="2D54C705" w14:textId="77777777" w:rsidR="00A15E2D" w:rsidRPr="00FC3B7C" w:rsidRDefault="00A15E2D" w:rsidP="00A15E2D">
      <w:pPr>
        <w:spacing w:line="1" w:lineRule="exact"/>
        <w:rPr>
          <w:sz w:val="20"/>
          <w:szCs w:val="20"/>
        </w:rPr>
      </w:pPr>
    </w:p>
    <w:p w14:paraId="2863CEEE" w14:textId="77777777" w:rsidR="00A15E2D" w:rsidRPr="00413472" w:rsidRDefault="00A15E2D" w:rsidP="00A15E2D">
      <w:pPr>
        <w:rPr>
          <w:sz w:val="20"/>
          <w:szCs w:val="20"/>
          <w:u w:val="single"/>
        </w:rPr>
      </w:pPr>
      <w:r w:rsidRPr="00413472">
        <w:rPr>
          <w:rFonts w:eastAsia="Times New Roman"/>
          <w:b/>
          <w:bCs/>
          <w:szCs w:val="24"/>
          <w:u w:val="single"/>
        </w:rPr>
        <w:lastRenderedPageBreak/>
        <w:t>Decelerační</w:t>
      </w:r>
      <w:bookmarkStart w:id="212" w:name="page212"/>
      <w:bookmarkEnd w:id="212"/>
    </w:p>
    <w:p w14:paraId="18063836" w14:textId="77777777" w:rsidR="00A15E2D" w:rsidRPr="00FC3B7C" w:rsidRDefault="00A15E2D" w:rsidP="00A15E2D">
      <w:pPr>
        <w:rPr>
          <w:sz w:val="20"/>
          <w:szCs w:val="20"/>
        </w:rPr>
      </w:pPr>
      <w:r w:rsidRPr="00FC3B7C">
        <w:rPr>
          <w:rFonts w:eastAsia="Times New Roman"/>
        </w:rPr>
        <w:t xml:space="preserve">Zabraňuje bankrotu úspěšných firem (většinou větší firmy), které se dočasně potýkají </w:t>
      </w:r>
      <w:r>
        <w:rPr>
          <w:rFonts w:eastAsia="Times New Roman"/>
        </w:rPr>
        <w:br/>
      </w:r>
      <w:r w:rsidRPr="00FC3B7C">
        <w:rPr>
          <w:rFonts w:eastAsia="Times New Roman"/>
        </w:rPr>
        <w:t>s problémy, například pomocí zlepšení spektra produktů. Zmírňuje tak efekt externalit při uzavření firem, zmírňuje dopady, poskytuje čas na přizpůsobení (např. přeškolení pracovníků) a možnost založení nových firem. Je zde problém s nedostatečnými informacemi, kdy není možné rozeznat, jestli záchrana firmy není zbytečná a není to jen plýtváním zdrojů.</w:t>
      </w:r>
    </w:p>
    <w:p w14:paraId="41A7287D" w14:textId="77777777" w:rsidR="00A15E2D" w:rsidRPr="00FC3B7C" w:rsidRDefault="00A15E2D" w:rsidP="00A15E2D">
      <w:pPr>
        <w:spacing w:line="5" w:lineRule="exact"/>
        <w:rPr>
          <w:sz w:val="20"/>
          <w:szCs w:val="20"/>
        </w:rPr>
      </w:pPr>
    </w:p>
    <w:p w14:paraId="44C91814" w14:textId="77777777" w:rsidR="00A15E2D" w:rsidRDefault="00A15E2D" w:rsidP="00A15E2D">
      <w:pPr>
        <w:spacing w:after="160" w:line="259" w:lineRule="auto"/>
        <w:rPr>
          <w:rFonts w:eastAsia="Times New Roman"/>
          <w:b/>
          <w:bCs/>
          <w:szCs w:val="24"/>
        </w:rPr>
      </w:pPr>
    </w:p>
    <w:p w14:paraId="71AD9AD8" w14:textId="77777777" w:rsidR="00A15E2D" w:rsidRPr="00413472" w:rsidRDefault="00A15E2D" w:rsidP="00A15E2D">
      <w:pPr>
        <w:spacing w:after="160" w:line="259" w:lineRule="auto"/>
        <w:rPr>
          <w:rFonts w:eastAsia="Times New Roman"/>
          <w:b/>
          <w:bCs/>
          <w:szCs w:val="24"/>
          <w:u w:val="single"/>
        </w:rPr>
      </w:pPr>
      <w:r w:rsidRPr="00413472">
        <w:rPr>
          <w:rFonts w:eastAsia="Times New Roman"/>
          <w:b/>
          <w:bCs/>
          <w:szCs w:val="24"/>
          <w:u w:val="single"/>
        </w:rPr>
        <w:t>Neutrální</w:t>
      </w:r>
    </w:p>
    <w:p w14:paraId="2C1A39AB" w14:textId="77777777" w:rsidR="00A15E2D" w:rsidRPr="00FC3B7C" w:rsidRDefault="00A15E2D" w:rsidP="00A15E2D">
      <w:pPr>
        <w:rPr>
          <w:sz w:val="20"/>
          <w:szCs w:val="20"/>
        </w:rPr>
      </w:pPr>
      <w:r w:rsidRPr="00FC3B7C">
        <w:rPr>
          <w:rFonts w:eastAsia="Times New Roman"/>
        </w:rPr>
        <w:t xml:space="preserve">Usiluje o zlepšení tržního rámce, vytváří příznivé ekonomické prostředí pro efektivní </w:t>
      </w:r>
      <w:r>
        <w:rPr>
          <w:rFonts w:eastAsia="Times New Roman"/>
        </w:rPr>
        <w:br/>
      </w:r>
      <w:r w:rsidRPr="00FC3B7C">
        <w:rPr>
          <w:rFonts w:eastAsia="Times New Roman"/>
        </w:rPr>
        <w:t>a inovativní aktivity, zvyšuje mobilitu pracovní síly, zlepšuje dlouhodobé perspektivy zaměstnanosti. Vymezuje vlastnické právo, které vede občany k získání soukromého vlastnictví (správné nastavení právního systému). Odstraňuje institucionální překážky vstupu nových firem.</w:t>
      </w:r>
    </w:p>
    <w:p w14:paraId="05232FDD" w14:textId="77777777" w:rsidR="00A15E2D" w:rsidRPr="00FC3B7C" w:rsidRDefault="00A15E2D" w:rsidP="00A15E2D">
      <w:pPr>
        <w:spacing w:line="1" w:lineRule="exact"/>
        <w:rPr>
          <w:sz w:val="20"/>
          <w:szCs w:val="20"/>
        </w:rPr>
      </w:pPr>
    </w:p>
    <w:p w14:paraId="31EFE37D" w14:textId="77777777" w:rsidR="00A15E2D" w:rsidRPr="00FC3B7C" w:rsidRDefault="00A15E2D" w:rsidP="00A15E2D">
      <w:pPr>
        <w:rPr>
          <w:sz w:val="20"/>
          <w:szCs w:val="20"/>
        </w:rPr>
      </w:pPr>
      <w:r w:rsidRPr="00FC3B7C">
        <w:rPr>
          <w:rFonts w:eastAsia="Times New Roman"/>
        </w:rPr>
        <w:t xml:space="preserve">Problém je zde v asymetrii informací, kdy stát nemá dostatek informací ke svému rozhodování a jsou tedy upřednostňována plošná opatření (podpora investic, výzkumu, rozvoje), spíše, než aby se zaměřil na určitá odvětví. S tímto problémem je spojeno </w:t>
      </w:r>
      <w:r>
        <w:rPr>
          <w:rFonts w:eastAsia="Times New Roman"/>
        </w:rPr>
        <w:br/>
      </w:r>
      <w:r w:rsidRPr="00FC3B7C">
        <w:rPr>
          <w:rFonts w:eastAsia="Times New Roman"/>
        </w:rPr>
        <w:t>i dobývání renty, kdy stát může přesunout peníze do neproduktivních aktivit. Často zde hrají roli byrokracie a zájmové skupiny, které jednají ve svůj prospěch.</w:t>
      </w:r>
    </w:p>
    <w:p w14:paraId="5AF700B5" w14:textId="77777777" w:rsidR="00A15E2D" w:rsidRPr="00FC3B7C" w:rsidRDefault="00A15E2D" w:rsidP="00A15E2D">
      <w:pPr>
        <w:spacing w:line="2" w:lineRule="exact"/>
        <w:rPr>
          <w:sz w:val="20"/>
          <w:szCs w:val="20"/>
        </w:rPr>
      </w:pPr>
    </w:p>
    <w:p w14:paraId="50E318D6" w14:textId="77777777" w:rsidR="00A15E2D" w:rsidRPr="00FC3B7C" w:rsidRDefault="00A15E2D" w:rsidP="00A15E2D">
      <w:pPr>
        <w:rPr>
          <w:sz w:val="20"/>
          <w:szCs w:val="20"/>
        </w:rPr>
      </w:pPr>
      <w:r w:rsidRPr="00FC3B7C">
        <w:rPr>
          <w:rFonts w:eastAsia="Times New Roman"/>
        </w:rPr>
        <w:t xml:space="preserve">Struktura ekonomického systému je charakterizována uspořádáním jednotlivých prvků </w:t>
      </w:r>
      <w:r>
        <w:rPr>
          <w:rFonts w:eastAsia="Times New Roman"/>
        </w:rPr>
        <w:br/>
      </w:r>
      <w:r w:rsidRPr="00FC3B7C">
        <w:rPr>
          <w:rFonts w:eastAsia="Times New Roman"/>
        </w:rPr>
        <w:t xml:space="preserve">a vzájemných vazeb. Je dána věkovým složením populace, složením ekonomicky aktivního obyvatelstva, prostorovým a odvětvovým rozdělením produkce. Strukturální změny mohou být způsobeny vnějšími šoky (např. ropné šoky, s větový růst úrokových sazeb). Problém je </w:t>
      </w:r>
      <w:r>
        <w:rPr>
          <w:rFonts w:eastAsia="Times New Roman"/>
        </w:rPr>
        <w:br/>
      </w:r>
      <w:r w:rsidRPr="00FC3B7C">
        <w:rPr>
          <w:rFonts w:eastAsia="Times New Roman"/>
        </w:rPr>
        <w:t>v krátkém období rozlišovat trvalé a přechodné změny. Strukturální změny zahrnují v čase se měnící rozdělení produkce a využití výrobních faktorů.</w:t>
      </w:r>
    </w:p>
    <w:p w14:paraId="333CB7F6" w14:textId="77777777" w:rsidR="00A15E2D" w:rsidRPr="00FC3B7C" w:rsidRDefault="00A15E2D" w:rsidP="00A15E2D">
      <w:pPr>
        <w:spacing w:line="5" w:lineRule="exact"/>
        <w:rPr>
          <w:sz w:val="20"/>
          <w:szCs w:val="20"/>
        </w:rPr>
      </w:pPr>
    </w:p>
    <w:p w14:paraId="3B6A39A0" w14:textId="77777777" w:rsidR="00A15E2D" w:rsidRPr="00FC3B7C" w:rsidRDefault="00A15E2D" w:rsidP="00A15E2D">
      <w:pPr>
        <w:rPr>
          <w:sz w:val="20"/>
          <w:szCs w:val="20"/>
        </w:rPr>
      </w:pPr>
      <w:r w:rsidRPr="00FC3B7C">
        <w:rPr>
          <w:rFonts w:eastAsia="Times New Roman"/>
        </w:rPr>
        <w:t xml:space="preserve">Poptávkové změny jsou spojeny s preferencemi ve spotřebě, změnami cen a důchodu. </w:t>
      </w:r>
      <w:r>
        <w:rPr>
          <w:rFonts w:eastAsia="Times New Roman"/>
        </w:rPr>
        <w:br/>
      </w:r>
      <w:r w:rsidRPr="00FC3B7C">
        <w:rPr>
          <w:rFonts w:eastAsia="Times New Roman"/>
        </w:rPr>
        <w:t>S růstem disponibilního důchodu roste poptávka v různých odvětvích jinou měrou. Nabídkové změny jsou technologické pokroky, změny cen vstupů.</w:t>
      </w:r>
    </w:p>
    <w:p w14:paraId="7531801F" w14:textId="77777777" w:rsidR="00A15E2D" w:rsidRPr="00FC3B7C" w:rsidRDefault="00A15E2D" w:rsidP="00A15E2D">
      <w:pPr>
        <w:spacing w:line="399" w:lineRule="exact"/>
        <w:rPr>
          <w:sz w:val="20"/>
          <w:szCs w:val="20"/>
        </w:rPr>
      </w:pPr>
    </w:p>
    <w:p w14:paraId="070D0CAB" w14:textId="77777777" w:rsidR="00A15E2D" w:rsidRPr="00413472" w:rsidRDefault="00A15E2D" w:rsidP="00A15E2D">
      <w:pPr>
        <w:pStyle w:val="Nadpis3"/>
        <w:rPr>
          <w:color w:val="1F3864" w:themeColor="accent1" w:themeShade="80"/>
          <w:sz w:val="20"/>
          <w:szCs w:val="20"/>
        </w:rPr>
      </w:pPr>
      <w:r w:rsidRPr="00413472">
        <w:rPr>
          <w:color w:val="1F3864" w:themeColor="accent1" w:themeShade="80"/>
        </w:rPr>
        <w:t xml:space="preserve">Nástroje strukturální politiky </w:t>
      </w:r>
    </w:p>
    <w:p w14:paraId="1AABA2B6" w14:textId="77777777" w:rsidR="00A15E2D" w:rsidRPr="00FC3B7C" w:rsidRDefault="00A15E2D" w:rsidP="00A15E2D">
      <w:pPr>
        <w:spacing w:line="230" w:lineRule="exact"/>
        <w:rPr>
          <w:sz w:val="20"/>
          <w:szCs w:val="20"/>
        </w:rPr>
      </w:pPr>
    </w:p>
    <w:p w14:paraId="458DE87F" w14:textId="77777777" w:rsidR="00A15E2D" w:rsidRPr="00413472" w:rsidRDefault="00A15E2D" w:rsidP="00A15E2D">
      <w:pPr>
        <w:rPr>
          <w:sz w:val="20"/>
          <w:szCs w:val="20"/>
          <w:u w:val="single"/>
        </w:rPr>
      </w:pPr>
      <w:r w:rsidRPr="00413472">
        <w:rPr>
          <w:rFonts w:eastAsia="Times New Roman"/>
          <w:b/>
          <w:bCs/>
          <w:szCs w:val="24"/>
          <w:u w:val="single"/>
        </w:rPr>
        <w:t>Stimulační</w:t>
      </w:r>
    </w:p>
    <w:p w14:paraId="701D3BCE" w14:textId="77777777" w:rsidR="00A15E2D" w:rsidRPr="00FC3B7C" w:rsidRDefault="00A15E2D" w:rsidP="00A15E2D">
      <w:pPr>
        <w:rPr>
          <w:sz w:val="20"/>
          <w:szCs w:val="20"/>
        </w:rPr>
      </w:pPr>
      <w:r w:rsidRPr="00FC3B7C">
        <w:rPr>
          <w:rFonts w:eastAsia="Times New Roman"/>
        </w:rPr>
        <w:t xml:space="preserve">Podporují inovační proces, kdy jsou inovující firmy daňově zvýhodněné. Zejména jde </w:t>
      </w:r>
      <w:r>
        <w:rPr>
          <w:rFonts w:eastAsia="Times New Roman"/>
        </w:rPr>
        <w:br/>
      </w:r>
      <w:r w:rsidRPr="00FC3B7C">
        <w:rPr>
          <w:rFonts w:eastAsia="Times New Roman"/>
        </w:rPr>
        <w:t xml:space="preserve">o podporu vývoje a výzkumu, kde jsou daňové úlevy, slevy na daních. Stát podporuje </w:t>
      </w:r>
      <w:r>
        <w:rPr>
          <w:rFonts w:eastAsia="Times New Roman"/>
        </w:rPr>
        <w:br/>
      </w:r>
      <w:r w:rsidRPr="00FC3B7C">
        <w:rPr>
          <w:rFonts w:eastAsia="Times New Roman"/>
        </w:rPr>
        <w:lastRenderedPageBreak/>
        <w:t>i instituce, které se zabývají poskytováním informací (ekonomické, právnické, vědeckotechnické).</w:t>
      </w:r>
    </w:p>
    <w:p w14:paraId="2C8C4EB7" w14:textId="77777777" w:rsidR="00A15E2D" w:rsidRPr="00FC3B7C" w:rsidRDefault="00A15E2D" w:rsidP="00A15E2D">
      <w:pPr>
        <w:spacing w:line="1" w:lineRule="exact"/>
        <w:rPr>
          <w:sz w:val="20"/>
          <w:szCs w:val="20"/>
        </w:rPr>
      </w:pPr>
    </w:p>
    <w:p w14:paraId="1DB48625" w14:textId="77777777" w:rsidR="00A15E2D" w:rsidRPr="00FC3B7C" w:rsidRDefault="00A15E2D" w:rsidP="00A15E2D">
      <w:pPr>
        <w:rPr>
          <w:rFonts w:eastAsia="Times New Roman"/>
        </w:rPr>
      </w:pPr>
      <w:r w:rsidRPr="00FC3B7C">
        <w:rPr>
          <w:rFonts w:eastAsia="Times New Roman"/>
        </w:rPr>
        <w:t>Dále podporují investiční proces, pomocí snížené daně z příjmů. Důležitou roli hrají Zahraniční investoři a mezinárodní dohody, které ochraňují a podporují investice.</w:t>
      </w:r>
    </w:p>
    <w:p w14:paraId="318AEDBE" w14:textId="77777777" w:rsidR="00A15E2D" w:rsidRPr="00FC3B7C" w:rsidRDefault="00A15E2D" w:rsidP="00A15E2D">
      <w:pPr>
        <w:rPr>
          <w:sz w:val="20"/>
          <w:szCs w:val="20"/>
        </w:rPr>
      </w:pPr>
      <w:r w:rsidRPr="00FC3B7C">
        <w:rPr>
          <w:rFonts w:eastAsia="Times New Roman"/>
          <w:sz w:val="23"/>
          <w:szCs w:val="23"/>
        </w:rPr>
        <w:t>Finanční</w:t>
      </w:r>
      <w:bookmarkStart w:id="213" w:name="page213"/>
      <w:bookmarkEnd w:id="213"/>
      <w:r w:rsidRPr="00FC3B7C">
        <w:rPr>
          <w:sz w:val="20"/>
          <w:szCs w:val="20"/>
        </w:rPr>
        <w:t xml:space="preserve"> </w:t>
      </w:r>
      <w:r w:rsidRPr="00FC3B7C">
        <w:rPr>
          <w:rFonts w:eastAsia="Times New Roman"/>
        </w:rPr>
        <w:t>opatření jsou zaměřená na poskytování úvěrů za výhodných sazeb, dotace nebo investice do rizikového kapitálu.</w:t>
      </w:r>
    </w:p>
    <w:p w14:paraId="39CF639F" w14:textId="77777777" w:rsidR="00A15E2D" w:rsidRPr="00FC3B7C" w:rsidRDefault="00A15E2D" w:rsidP="00A15E2D">
      <w:pPr>
        <w:spacing w:line="1" w:lineRule="exact"/>
        <w:rPr>
          <w:sz w:val="20"/>
          <w:szCs w:val="20"/>
        </w:rPr>
      </w:pPr>
    </w:p>
    <w:p w14:paraId="642D9D2E" w14:textId="77777777" w:rsidR="00A15E2D" w:rsidRPr="00FC3B7C" w:rsidRDefault="00A15E2D" w:rsidP="00A15E2D">
      <w:pPr>
        <w:rPr>
          <w:sz w:val="20"/>
          <w:szCs w:val="20"/>
        </w:rPr>
      </w:pPr>
      <w:r w:rsidRPr="00FC3B7C">
        <w:rPr>
          <w:rFonts w:eastAsia="Times New Roman"/>
        </w:rPr>
        <w:t>Dále je podporován export, podnikání malých a středních firem, kde je počáteční nedostatek kapitálu, a podpora podnikání ve vybraných regionech.</w:t>
      </w:r>
    </w:p>
    <w:p w14:paraId="44F3E66C" w14:textId="77777777" w:rsidR="00A15E2D" w:rsidRPr="00413472" w:rsidRDefault="00A15E2D" w:rsidP="00A15E2D">
      <w:pPr>
        <w:rPr>
          <w:rFonts w:eastAsia="Times New Roman"/>
          <w:b/>
          <w:bCs/>
          <w:szCs w:val="24"/>
          <w:u w:val="single"/>
        </w:rPr>
      </w:pPr>
    </w:p>
    <w:p w14:paraId="5BDB889C" w14:textId="77777777" w:rsidR="00A15E2D" w:rsidRPr="00413472" w:rsidRDefault="00A15E2D" w:rsidP="00A15E2D">
      <w:pPr>
        <w:rPr>
          <w:sz w:val="20"/>
          <w:szCs w:val="20"/>
          <w:u w:val="single"/>
        </w:rPr>
      </w:pPr>
      <w:r w:rsidRPr="00413472">
        <w:rPr>
          <w:rFonts w:eastAsia="Times New Roman"/>
          <w:b/>
          <w:bCs/>
          <w:szCs w:val="24"/>
          <w:u w:val="single"/>
        </w:rPr>
        <w:t>Podpora přizpůsobení</w:t>
      </w:r>
    </w:p>
    <w:p w14:paraId="1014BE8A" w14:textId="77777777" w:rsidR="00A15E2D" w:rsidRPr="00FC3B7C" w:rsidRDefault="00A15E2D" w:rsidP="00A15E2D">
      <w:pPr>
        <w:rPr>
          <w:sz w:val="20"/>
          <w:szCs w:val="20"/>
        </w:rPr>
      </w:pPr>
      <w:r w:rsidRPr="00FC3B7C">
        <w:rPr>
          <w:rFonts w:eastAsia="Times New Roman"/>
        </w:rPr>
        <w:t>Zaměřeno na strukturální změny a na růstový potenciál ekonomiky. Privatizace posiluje aktivitu na straně nabídky, snižuje náklady, roste produktivita, podněcuje soutěživost. Deregulace odstraňuje regulační opatření, které pod záminkou ochrany spotřebitelů nebo výrobců ve skutečnosti oslabují konkurenci.</w:t>
      </w:r>
    </w:p>
    <w:p w14:paraId="06DE5CE6" w14:textId="77777777" w:rsidR="00A15E2D" w:rsidRPr="00FC3B7C" w:rsidRDefault="00A15E2D" w:rsidP="00A15E2D">
      <w:pPr>
        <w:spacing w:after="160" w:line="259" w:lineRule="auto"/>
        <w:rPr>
          <w:sz w:val="20"/>
          <w:szCs w:val="20"/>
        </w:rPr>
      </w:pPr>
      <w:r w:rsidRPr="00FC3B7C">
        <w:rPr>
          <w:sz w:val="20"/>
          <w:szCs w:val="20"/>
        </w:rPr>
        <w:br w:type="page"/>
      </w:r>
    </w:p>
    <w:p w14:paraId="1B9E8FD7" w14:textId="77777777" w:rsidR="00A15E2D" w:rsidRPr="00413472" w:rsidRDefault="00A15E2D" w:rsidP="00A15E2D">
      <w:pPr>
        <w:pStyle w:val="Nadpis2"/>
        <w:rPr>
          <w:color w:val="1F3864" w:themeColor="accent1" w:themeShade="80"/>
          <w:szCs w:val="28"/>
        </w:rPr>
      </w:pPr>
      <w:r w:rsidRPr="00413472">
        <w:rPr>
          <w:rFonts w:eastAsia="Times New Roman"/>
          <w:color w:val="1F3864" w:themeColor="accent1" w:themeShade="80"/>
          <w:szCs w:val="28"/>
        </w:rPr>
        <w:lastRenderedPageBreak/>
        <w:t>STRUKTURÁLNÍ ZMĚNY OBCHODNÍCH TOKŮ A VÝVOJ OBCHODNÍ BILANCE ČR</w:t>
      </w:r>
    </w:p>
    <w:p w14:paraId="2D00EBFF" w14:textId="77777777" w:rsidR="00A15E2D" w:rsidRPr="00FC3B7C" w:rsidRDefault="00A15E2D" w:rsidP="00A15E2D">
      <w:pPr>
        <w:spacing w:line="2" w:lineRule="exact"/>
        <w:rPr>
          <w:sz w:val="20"/>
          <w:szCs w:val="20"/>
        </w:rPr>
      </w:pPr>
    </w:p>
    <w:p w14:paraId="176A54A7" w14:textId="77777777" w:rsidR="00A15E2D" w:rsidRPr="00FC3B7C" w:rsidRDefault="00A15E2D" w:rsidP="00A15E2D">
      <w:pPr>
        <w:rPr>
          <w:sz w:val="20"/>
          <w:szCs w:val="20"/>
        </w:rPr>
      </w:pPr>
      <w:r w:rsidRPr="00FC3B7C">
        <w:rPr>
          <w:rFonts w:eastAsia="Times New Roman"/>
        </w:rPr>
        <w:t>Ekonomická transformace v ČR od centrálně plánovaného řízení na tržní ekonomiku přinesla systémové změny, které se projevily ve struktuře zahraničního obchodu z hlediska teritoriální a komoditní struktury, ale i v dynamice obchodu. Zahraniční obchod prodělal zásadní změny. Státní organizace pro zahraniční obchod byly převedeny ve firmy realizující export a import, docházelo k postupnému odstraňování překážek při obchodování a otevírání ekonomiky zahraniční konkurenci.</w:t>
      </w:r>
    </w:p>
    <w:p w14:paraId="653E5B4A" w14:textId="77777777" w:rsidR="00A15E2D" w:rsidRPr="00FC3B7C" w:rsidRDefault="00A15E2D" w:rsidP="00A15E2D">
      <w:pPr>
        <w:spacing w:line="2" w:lineRule="exact"/>
        <w:rPr>
          <w:sz w:val="20"/>
          <w:szCs w:val="20"/>
        </w:rPr>
      </w:pPr>
    </w:p>
    <w:p w14:paraId="244110CF" w14:textId="77777777" w:rsidR="00A15E2D" w:rsidRPr="00FC3B7C" w:rsidRDefault="00A15E2D" w:rsidP="00A15E2D">
      <w:pPr>
        <w:rPr>
          <w:sz w:val="20"/>
          <w:szCs w:val="20"/>
        </w:rPr>
      </w:pPr>
      <w:r w:rsidRPr="00FC3B7C">
        <w:rPr>
          <w:rFonts w:eastAsia="Times New Roman"/>
        </w:rPr>
        <w:t>Díky dovozu specializovaných technologických kapacit mohly být lépe využity výrobní kapacity a zajistila se tak plynulost domácího reprodukčního procesu. Rozšířily se možnosti variant alokace zdrojů. Vzrostla rozmanitost a kvalita výrobků a služeb na spotřebitelském trhu.</w:t>
      </w:r>
    </w:p>
    <w:p w14:paraId="6F2E9064" w14:textId="77777777" w:rsidR="00A15E2D" w:rsidRPr="00FC3B7C" w:rsidRDefault="00A15E2D" w:rsidP="00A15E2D">
      <w:pPr>
        <w:rPr>
          <w:sz w:val="20"/>
          <w:szCs w:val="20"/>
        </w:rPr>
      </w:pPr>
      <w:r w:rsidRPr="00FC3B7C">
        <w:rPr>
          <w:rFonts w:eastAsia="Times New Roman"/>
        </w:rPr>
        <w:t xml:space="preserve">Od poloviny 90. let rostl podíl strojů na celkovém vývozu. Největší skupinou zboží ve vývozu se staly stroje a dopravní prostředky. Mezi </w:t>
      </w:r>
      <w:r w:rsidRPr="00FC3B7C">
        <w:rPr>
          <w:rFonts w:eastAsia="Times New Roman"/>
          <w:u w:val="single"/>
        </w:rPr>
        <w:t>důležitá odvětví vývozu</w:t>
      </w:r>
      <w:r w:rsidRPr="00FC3B7C">
        <w:rPr>
          <w:rFonts w:eastAsia="Times New Roman"/>
        </w:rPr>
        <w:t xml:space="preserve"> patří výroba automobilů, zemědělské stroje, přístroje pro domácnost, zbraně, baterie, motocykly, kola, hudební nástroje, sportovní zboží.</w:t>
      </w:r>
    </w:p>
    <w:p w14:paraId="68663932" w14:textId="77777777" w:rsidR="00A15E2D" w:rsidRPr="00FC3B7C" w:rsidRDefault="00A15E2D" w:rsidP="00A15E2D">
      <w:pPr>
        <w:rPr>
          <w:sz w:val="20"/>
          <w:szCs w:val="20"/>
        </w:rPr>
      </w:pPr>
      <w:r w:rsidRPr="00FC3B7C">
        <w:rPr>
          <w:rFonts w:eastAsia="Times New Roman"/>
        </w:rPr>
        <w:t xml:space="preserve">Pro komoditní </w:t>
      </w:r>
      <w:r w:rsidRPr="00FC3B7C">
        <w:rPr>
          <w:rFonts w:eastAsia="Times New Roman"/>
          <w:u w:val="single"/>
        </w:rPr>
        <w:t>strukturu</w:t>
      </w:r>
      <w:r w:rsidRPr="00FC3B7C">
        <w:rPr>
          <w:rFonts w:eastAsia="Times New Roman"/>
        </w:rPr>
        <w:t xml:space="preserve"> </w:t>
      </w:r>
      <w:r w:rsidRPr="00FC3B7C">
        <w:rPr>
          <w:rFonts w:eastAsia="Times New Roman"/>
          <w:u w:val="single"/>
        </w:rPr>
        <w:t>českého dovozu</w:t>
      </w:r>
      <w:r w:rsidRPr="00FC3B7C">
        <w:rPr>
          <w:rFonts w:eastAsia="Times New Roman"/>
        </w:rPr>
        <w:t xml:space="preserve"> i jeho dynamiku se stal nejdůležitější vysoký nárůst dovozu skupiny strojů a dopravních prostředků. Narůst celkového dovozu strojů se nejvíce podílel dovoz elektrických zařízení, silničních vozidel a průmyslových strojů.</w:t>
      </w:r>
    </w:p>
    <w:p w14:paraId="34AD3085" w14:textId="77777777" w:rsidR="00A15E2D" w:rsidRPr="00FC3B7C" w:rsidRDefault="00A15E2D" w:rsidP="00A15E2D">
      <w:pPr>
        <w:spacing w:line="200" w:lineRule="exact"/>
        <w:rPr>
          <w:sz w:val="20"/>
          <w:szCs w:val="20"/>
        </w:rPr>
      </w:pPr>
    </w:p>
    <w:p w14:paraId="732B33BB" w14:textId="77777777" w:rsidR="00A15E2D" w:rsidRPr="00FC3B7C" w:rsidRDefault="00A15E2D" w:rsidP="00A15E2D">
      <w:pPr>
        <w:spacing w:line="280" w:lineRule="exact"/>
        <w:rPr>
          <w:sz w:val="20"/>
          <w:szCs w:val="20"/>
        </w:rPr>
      </w:pPr>
    </w:p>
    <w:p w14:paraId="5B6C8FD5" w14:textId="77777777" w:rsidR="00A15E2D" w:rsidRPr="00FC3B7C" w:rsidRDefault="00A15E2D" w:rsidP="00A15E2D">
      <w:pPr>
        <w:sectPr w:rsidR="00A15E2D" w:rsidRPr="00FC3B7C">
          <w:pgSz w:w="11900" w:h="16840"/>
          <w:pgMar w:top="1440" w:right="1420" w:bottom="1440" w:left="1420" w:header="0" w:footer="0" w:gutter="0"/>
          <w:cols w:space="708" w:equalWidth="0">
            <w:col w:w="9060"/>
          </w:cols>
        </w:sectPr>
      </w:pPr>
    </w:p>
    <w:p w14:paraId="6ED6C4CE" w14:textId="77777777" w:rsidR="00A15E2D" w:rsidRPr="00FC3B7C" w:rsidRDefault="00A15E2D" w:rsidP="00A15E2D">
      <w:pPr>
        <w:spacing w:line="7" w:lineRule="exact"/>
        <w:rPr>
          <w:sz w:val="20"/>
          <w:szCs w:val="20"/>
        </w:rPr>
      </w:pPr>
      <w:bookmarkStart w:id="214" w:name="page214"/>
      <w:bookmarkEnd w:id="214"/>
    </w:p>
    <w:p w14:paraId="4048F84A" w14:textId="77777777" w:rsidR="00A15E2D" w:rsidRPr="00413472" w:rsidRDefault="00A15E2D" w:rsidP="00A15E2D">
      <w:pPr>
        <w:pStyle w:val="Nadpis2"/>
        <w:rPr>
          <w:color w:val="1F3864" w:themeColor="accent1" w:themeShade="80"/>
          <w:szCs w:val="28"/>
        </w:rPr>
      </w:pPr>
      <w:bookmarkStart w:id="215" w:name="page215"/>
      <w:bookmarkEnd w:id="215"/>
      <w:r w:rsidRPr="00413472">
        <w:rPr>
          <w:rFonts w:eastAsia="Times New Roman"/>
          <w:color w:val="1F3864" w:themeColor="accent1" w:themeShade="80"/>
          <w:szCs w:val="28"/>
        </w:rPr>
        <w:t>VLIV KURSOVÉ POLITIKY NA OBCHODNÍ TOKY</w:t>
      </w:r>
    </w:p>
    <w:p w14:paraId="4A6A06A0" w14:textId="417D1B2D" w:rsidR="00A15E2D" w:rsidRPr="00FC3B7C" w:rsidRDefault="00A15E2D" w:rsidP="00A15E2D">
      <w:pPr>
        <w:rPr>
          <w:sz w:val="20"/>
          <w:szCs w:val="20"/>
        </w:rPr>
      </w:pPr>
      <w:r w:rsidRPr="00FC3B7C">
        <w:rPr>
          <w:rFonts w:eastAsia="Times New Roman"/>
        </w:rPr>
        <w:t xml:space="preserve">Vývozci českého zboží a služeb vytvářejí nabídku zahraniční měny a poptávku po českých korunách (za zboží, které vyvezou, dostanou zaplaceno v cizí měně, tu pak nabízejí, </w:t>
      </w:r>
      <w:r>
        <w:rPr>
          <w:rFonts w:eastAsia="Times New Roman"/>
        </w:rPr>
        <w:br/>
      </w:r>
      <w:r w:rsidRPr="00FC3B7C">
        <w:rPr>
          <w:rFonts w:eastAsia="Times New Roman"/>
        </w:rPr>
        <w:t>a poptávají domácí měnu). Dovozci zahraničního zboží a služeb naopak vytvářejí nabídku koruna poptávají cizí měnu.</w:t>
      </w:r>
    </w:p>
    <w:p w14:paraId="608CF680" w14:textId="77777777" w:rsidR="00A15E2D" w:rsidRPr="00FC3B7C" w:rsidRDefault="00A15E2D" w:rsidP="00A15E2D">
      <w:pPr>
        <w:spacing w:line="1" w:lineRule="exact"/>
        <w:rPr>
          <w:sz w:val="20"/>
          <w:szCs w:val="20"/>
        </w:rPr>
      </w:pPr>
    </w:p>
    <w:p w14:paraId="1AD96631" w14:textId="77777777" w:rsidR="00A15E2D" w:rsidRPr="00FC3B7C" w:rsidRDefault="00A15E2D" w:rsidP="00A15E2D">
      <w:pPr>
        <w:rPr>
          <w:sz w:val="20"/>
          <w:szCs w:val="20"/>
        </w:rPr>
      </w:pPr>
      <w:r w:rsidRPr="00FC3B7C">
        <w:rPr>
          <w:rFonts w:eastAsia="Times New Roman"/>
        </w:rPr>
        <w:t xml:space="preserve">Při </w:t>
      </w:r>
      <w:r w:rsidRPr="00FC3B7C">
        <w:rPr>
          <w:rFonts w:eastAsia="Times New Roman"/>
          <w:b/>
          <w:bCs/>
        </w:rPr>
        <w:t>depreciaci</w:t>
      </w:r>
      <w:r w:rsidRPr="00FC3B7C">
        <w:rPr>
          <w:rFonts w:eastAsia="Times New Roman"/>
        </w:rPr>
        <w:t xml:space="preserve"> (kurz se mění např. z30Kč/EUR na 40Kč/EUR) roste konkurenceschopnost domácího zboží a poroste vývoz, neboť je to pro prodejce výhodnější, dostanou zaplaceno např. 100 EUR, což vymění např. za4000Kč na místo 3000Kč.</w:t>
      </w:r>
    </w:p>
    <w:p w14:paraId="2132298A" w14:textId="77777777" w:rsidR="00A15E2D" w:rsidRPr="00FC3B7C" w:rsidRDefault="00A15E2D" w:rsidP="00A15E2D">
      <w:pPr>
        <w:spacing w:line="2" w:lineRule="exact"/>
        <w:rPr>
          <w:sz w:val="20"/>
          <w:szCs w:val="20"/>
        </w:rPr>
      </w:pPr>
    </w:p>
    <w:p w14:paraId="1C704E67" w14:textId="77777777" w:rsidR="00A15E2D" w:rsidRPr="00FC3B7C" w:rsidRDefault="00A15E2D" w:rsidP="00A15E2D">
      <w:pPr>
        <w:rPr>
          <w:sz w:val="20"/>
          <w:szCs w:val="20"/>
        </w:rPr>
      </w:pPr>
      <w:r w:rsidRPr="00FC3B7C">
        <w:rPr>
          <w:rFonts w:eastAsia="Times New Roman"/>
        </w:rPr>
        <w:t xml:space="preserve">Naopak při </w:t>
      </w:r>
      <w:r w:rsidRPr="00FC3B7C">
        <w:rPr>
          <w:rFonts w:eastAsia="Times New Roman"/>
          <w:b/>
          <w:bCs/>
        </w:rPr>
        <w:t>apreciaci</w:t>
      </w:r>
      <w:r w:rsidRPr="00FC3B7C">
        <w:rPr>
          <w:rFonts w:eastAsia="Times New Roman"/>
        </w:rPr>
        <w:t xml:space="preserve"> (z 30Kč/EUR na 15Kč/EUR), konkurenceschopnost českého zboží klesá a poroste dovoz.</w:t>
      </w:r>
    </w:p>
    <w:p w14:paraId="1B7C92E5" w14:textId="77777777" w:rsidR="00A15E2D" w:rsidRPr="00FC3B7C" w:rsidRDefault="00A15E2D" w:rsidP="00A15E2D">
      <w:pPr>
        <w:rPr>
          <w:sz w:val="20"/>
          <w:szCs w:val="20"/>
        </w:rPr>
      </w:pPr>
      <w:r w:rsidRPr="00FC3B7C">
        <w:rPr>
          <w:rFonts w:eastAsia="Times New Roman"/>
          <w:u w:val="single"/>
        </w:rPr>
        <w:t>Změny nominálního měnového kurzu</w:t>
      </w:r>
      <w:r w:rsidRPr="00FC3B7C">
        <w:rPr>
          <w:rFonts w:eastAsia="Times New Roman"/>
        </w:rPr>
        <w:t xml:space="preserve"> jsou vyvolány změnami nominální peněžní zásoby. Pokud centrální banka zvýší peněžní zásobu, poroste cenová hladina, rovnováha je narušena </w:t>
      </w:r>
      <w:r>
        <w:rPr>
          <w:rFonts w:eastAsia="Times New Roman"/>
        </w:rPr>
        <w:br/>
      </w:r>
      <w:r w:rsidRPr="00FC3B7C">
        <w:rPr>
          <w:rFonts w:eastAsia="Times New Roman"/>
        </w:rPr>
        <w:t>a čistý vývoz klesá (resp. Roste čistý dovoz), měna pak nominálně depreciuje, dokud se rovnováha neobnoví.</w:t>
      </w:r>
    </w:p>
    <w:p w14:paraId="151C2DFD" w14:textId="77777777" w:rsidR="00A15E2D" w:rsidRPr="00FC3B7C" w:rsidRDefault="00A15E2D" w:rsidP="00A15E2D">
      <w:pPr>
        <w:rPr>
          <w:sz w:val="20"/>
          <w:szCs w:val="20"/>
        </w:rPr>
      </w:pPr>
      <w:r w:rsidRPr="00FC3B7C">
        <w:rPr>
          <w:rFonts w:eastAsia="Times New Roman"/>
        </w:rPr>
        <w:t>Když naopak centrální banka nominální zásobu peněz sníží, poklesne cenová hladina, poroste</w:t>
      </w:r>
    </w:p>
    <w:p w14:paraId="751D11BB" w14:textId="77777777" w:rsidR="00A15E2D" w:rsidRPr="00FC3B7C" w:rsidRDefault="00A15E2D" w:rsidP="00A15E2D">
      <w:pPr>
        <w:spacing w:line="139" w:lineRule="exact"/>
        <w:rPr>
          <w:sz w:val="20"/>
          <w:szCs w:val="20"/>
        </w:rPr>
      </w:pPr>
    </w:p>
    <w:p w14:paraId="773E366E" w14:textId="77777777" w:rsidR="00A15E2D" w:rsidRPr="00FC3B7C" w:rsidRDefault="00A15E2D" w:rsidP="00A15E2D">
      <w:pPr>
        <w:rPr>
          <w:sz w:val="20"/>
          <w:szCs w:val="20"/>
        </w:rPr>
      </w:pPr>
      <w:r w:rsidRPr="00FC3B7C">
        <w:rPr>
          <w:rFonts w:eastAsia="Times New Roman"/>
        </w:rPr>
        <w:t>Čistý vývoz a měna nominálně apreciuje, aby se opět rovnováha obnovila.</w:t>
      </w:r>
    </w:p>
    <w:p w14:paraId="28BB11C6" w14:textId="77777777" w:rsidR="00A15E2D" w:rsidRPr="00FC3B7C" w:rsidRDefault="00A15E2D" w:rsidP="00A15E2D">
      <w:pPr>
        <w:spacing w:line="83" w:lineRule="exact"/>
        <w:rPr>
          <w:sz w:val="20"/>
          <w:szCs w:val="20"/>
        </w:rPr>
      </w:pPr>
    </w:p>
    <w:p w14:paraId="2BA59D7E" w14:textId="77777777" w:rsidR="00A15E2D" w:rsidRPr="00FC3B7C" w:rsidRDefault="00A15E2D" w:rsidP="00A15E2D">
      <w:pPr>
        <w:rPr>
          <w:sz w:val="20"/>
          <w:szCs w:val="20"/>
        </w:rPr>
      </w:pPr>
      <w:r w:rsidRPr="00FC3B7C">
        <w:rPr>
          <w:rFonts w:eastAsia="Times New Roman"/>
        </w:rPr>
        <w:t>Změny peněžní zásoby nemají v dlouhém období vliv na reálný měnový kurz, ovlivňují pouze nominální měnový kurz.</w:t>
      </w:r>
    </w:p>
    <w:p w14:paraId="0B97A5F8" w14:textId="77777777" w:rsidR="00A15E2D" w:rsidRPr="00FC3B7C" w:rsidRDefault="00A15E2D" w:rsidP="00A15E2D">
      <w:pPr>
        <w:spacing w:line="1" w:lineRule="exact"/>
        <w:rPr>
          <w:sz w:val="20"/>
          <w:szCs w:val="20"/>
        </w:rPr>
      </w:pPr>
    </w:p>
    <w:p w14:paraId="53C6E19A" w14:textId="77777777" w:rsidR="00A15E2D" w:rsidRPr="00FC3B7C" w:rsidRDefault="00A15E2D" w:rsidP="00A15E2D">
      <w:pPr>
        <w:rPr>
          <w:sz w:val="20"/>
          <w:szCs w:val="20"/>
        </w:rPr>
      </w:pPr>
      <w:r w:rsidRPr="00FC3B7C">
        <w:rPr>
          <w:rFonts w:eastAsia="Times New Roman"/>
        </w:rPr>
        <w:t>Zvýšení domácích investic vyvolá zvýšení čistého dovozu a měna reálně apreciuje. Stejný dopad má i růst schodků veřejných rozpočtů. Zatímco ale investice podporují hospodářský růst, vytváří tak zdroje pro splácení zahraničních dluhů, u schodků veřejných rozpočtů je tomu naopak.</w:t>
      </w:r>
    </w:p>
    <w:p w14:paraId="0FC9A7DE" w14:textId="77777777" w:rsidR="00A15E2D" w:rsidRDefault="00A15E2D" w:rsidP="00A15E2D">
      <w:pPr>
        <w:spacing w:line="349" w:lineRule="exact"/>
        <w:rPr>
          <w:sz w:val="20"/>
          <w:szCs w:val="20"/>
        </w:rPr>
      </w:pPr>
    </w:p>
    <w:p w14:paraId="463997BC" w14:textId="77777777" w:rsidR="00A15E2D" w:rsidRDefault="00A15E2D" w:rsidP="00A15E2D">
      <w:pPr>
        <w:spacing w:line="349" w:lineRule="exact"/>
        <w:rPr>
          <w:sz w:val="20"/>
          <w:szCs w:val="20"/>
        </w:rPr>
      </w:pPr>
    </w:p>
    <w:p w14:paraId="2A7EE7F5" w14:textId="77777777" w:rsidR="00A15E2D" w:rsidRDefault="00A15E2D" w:rsidP="00A15E2D">
      <w:pPr>
        <w:spacing w:line="240" w:lineRule="auto"/>
        <w:jc w:val="left"/>
        <w:rPr>
          <w:sz w:val="20"/>
          <w:szCs w:val="20"/>
        </w:rPr>
      </w:pPr>
      <w:r>
        <w:rPr>
          <w:sz w:val="20"/>
          <w:szCs w:val="20"/>
        </w:rPr>
        <w:br w:type="page"/>
      </w:r>
    </w:p>
    <w:p w14:paraId="6195619E" w14:textId="77777777" w:rsidR="00A15E2D" w:rsidRPr="00413472" w:rsidRDefault="00A15E2D" w:rsidP="00A15E2D">
      <w:pPr>
        <w:pStyle w:val="Nadpis2"/>
        <w:rPr>
          <w:color w:val="1F3864" w:themeColor="accent1" w:themeShade="80"/>
          <w:szCs w:val="28"/>
        </w:rPr>
      </w:pPr>
      <w:r w:rsidRPr="00413472">
        <w:rPr>
          <w:rFonts w:eastAsia="Times New Roman"/>
          <w:color w:val="1F3864" w:themeColor="accent1" w:themeShade="80"/>
          <w:szCs w:val="28"/>
        </w:rPr>
        <w:lastRenderedPageBreak/>
        <w:t>VÝVOJ POLITIKY VE VZTAHU K DOVOZŮM A VÝVOZŮM</w:t>
      </w:r>
    </w:p>
    <w:p w14:paraId="3ACECC68" w14:textId="77777777" w:rsidR="00A15E2D" w:rsidRPr="00FC3B7C" w:rsidRDefault="00A15E2D" w:rsidP="00A15E2D">
      <w:r w:rsidRPr="00FC3B7C">
        <w:rPr>
          <w:rFonts w:eastAsia="Times New Roman"/>
        </w:rPr>
        <w:t>V období merkantilismu převládá myšlenka podpory vývozu, zatímco dovoz byl co nejvíce omezován, což je základní myšlenka protekcionismu, kdy vláda uplatňuje ochranářská opatření, omezuje dovoz různými nástroji, aby tak chránila vlastní politiku, vývoz je naopak podporován subvencemi.</w:t>
      </w:r>
    </w:p>
    <w:p w14:paraId="2A847BBD" w14:textId="77777777" w:rsidR="00A15E2D" w:rsidRPr="00FC3B7C" w:rsidRDefault="00A15E2D" w:rsidP="00A15E2D">
      <w:pPr>
        <w:spacing w:line="200" w:lineRule="exact"/>
        <w:rPr>
          <w:szCs w:val="24"/>
        </w:rPr>
      </w:pPr>
    </w:p>
    <w:p w14:paraId="378BBFDA" w14:textId="77777777" w:rsidR="00A15E2D" w:rsidRPr="00FC3B7C" w:rsidRDefault="00A15E2D" w:rsidP="00A15E2D">
      <w:r w:rsidRPr="00FC3B7C">
        <w:rPr>
          <w:rFonts w:eastAsia="Times New Roman"/>
        </w:rPr>
        <w:t>Po Velké hospodářské krizi dochází k uvolnění v důsledku hledání nových odbytišť. Začíná se pomalu prosazovat myšlenka liberalismu. Postupem času vlády přijímají ochranářská opatření a subvence na podporu vývozu. Tyto nástroje používají jen výjimečně pro lepší vyjednávací pozice, při válečných konfliktech nebo v postupu vůči rozvojovým zemím</w:t>
      </w:r>
    </w:p>
    <w:p w14:paraId="074BDEE6" w14:textId="77777777" w:rsidR="00A15E2D" w:rsidRPr="00FC3B7C" w:rsidRDefault="00A15E2D" w:rsidP="00A15E2D">
      <w:pPr>
        <w:spacing w:line="398" w:lineRule="exact"/>
        <w:rPr>
          <w:sz w:val="20"/>
          <w:szCs w:val="20"/>
        </w:rPr>
      </w:pPr>
    </w:p>
    <w:p w14:paraId="04B2C2B9" w14:textId="77777777" w:rsidR="00A15E2D" w:rsidRPr="00FC3B7C" w:rsidRDefault="00A15E2D" w:rsidP="00A15E2D">
      <w:pPr>
        <w:sectPr w:rsidR="00A15E2D" w:rsidRPr="00FC3B7C">
          <w:pgSz w:w="11900" w:h="16840"/>
          <w:pgMar w:top="1440" w:right="1440" w:bottom="1440" w:left="1420" w:header="0" w:footer="0" w:gutter="0"/>
          <w:cols w:space="708" w:equalWidth="0">
            <w:col w:w="9040"/>
          </w:cols>
        </w:sectPr>
      </w:pPr>
    </w:p>
    <w:p w14:paraId="58E4EA47" w14:textId="77777777" w:rsidR="00A15E2D" w:rsidRPr="00FC3B7C" w:rsidRDefault="00A15E2D" w:rsidP="00A15E2D">
      <w:pPr>
        <w:spacing w:line="24" w:lineRule="exact"/>
        <w:rPr>
          <w:sz w:val="20"/>
          <w:szCs w:val="20"/>
        </w:rPr>
      </w:pPr>
      <w:bookmarkStart w:id="216" w:name="page216"/>
      <w:bookmarkEnd w:id="216"/>
    </w:p>
    <w:p w14:paraId="60FC9309" w14:textId="77777777" w:rsidR="00A15E2D" w:rsidRPr="00FC3B7C" w:rsidRDefault="00A15E2D" w:rsidP="00A15E2D">
      <w:pPr>
        <w:ind w:left="100"/>
        <w:rPr>
          <w:sz w:val="20"/>
          <w:szCs w:val="20"/>
        </w:rPr>
      </w:pPr>
      <w:r w:rsidRPr="00FC3B7C">
        <w:rPr>
          <w:rFonts w:eastAsia="Times New Roman"/>
          <w:b/>
          <w:bCs/>
          <w:sz w:val="28"/>
          <w:szCs w:val="28"/>
        </w:rPr>
        <w:t>Zdroje</w:t>
      </w:r>
    </w:p>
    <w:p w14:paraId="54A1BA07" w14:textId="77777777" w:rsidR="00A15E2D" w:rsidRPr="00FC3B7C" w:rsidRDefault="00A15E2D" w:rsidP="00A15E2D">
      <w:pPr>
        <w:ind w:left="100"/>
        <w:rPr>
          <w:sz w:val="20"/>
          <w:szCs w:val="20"/>
        </w:rPr>
      </w:pPr>
      <w:r w:rsidRPr="00FC3B7C">
        <w:rPr>
          <w:rFonts w:eastAsia="Times New Roman"/>
          <w:szCs w:val="24"/>
        </w:rPr>
        <w:t>KALÍNSKÁ, Emilie a Ludmila ŠTĚRBOVÁ.Mezinárodníobchod:(pro2MO301). Vyd.1.</w:t>
      </w:r>
    </w:p>
    <w:p w14:paraId="5B6A7EC0" w14:textId="77777777" w:rsidR="00A15E2D" w:rsidRPr="00FC3B7C" w:rsidRDefault="00A15E2D" w:rsidP="00A15E2D">
      <w:pPr>
        <w:ind w:left="100"/>
        <w:rPr>
          <w:sz w:val="20"/>
          <w:szCs w:val="20"/>
        </w:rPr>
      </w:pPr>
      <w:r w:rsidRPr="00FC3B7C">
        <w:rPr>
          <w:rFonts w:eastAsia="Times New Roman"/>
          <w:szCs w:val="24"/>
        </w:rPr>
        <w:t>V Praze: Oeconomica, 2007, 147 s.ISBN 978-802-4512-990.</w:t>
      </w:r>
    </w:p>
    <w:p w14:paraId="1F8D6E48" w14:textId="77777777" w:rsidR="00A15E2D" w:rsidRDefault="00A15E2D" w:rsidP="00A15E2D">
      <w:pPr>
        <w:ind w:left="100" w:right="220"/>
        <w:rPr>
          <w:rFonts w:eastAsia="Times New Roman"/>
          <w:szCs w:val="24"/>
        </w:rPr>
      </w:pPr>
    </w:p>
    <w:p w14:paraId="0FCC9487" w14:textId="77777777" w:rsidR="00A15E2D" w:rsidRPr="00FC3B7C" w:rsidRDefault="00A15E2D" w:rsidP="00A15E2D">
      <w:pPr>
        <w:ind w:left="100" w:right="220"/>
        <w:rPr>
          <w:sz w:val="20"/>
          <w:szCs w:val="20"/>
        </w:rPr>
      </w:pPr>
      <w:r w:rsidRPr="00FC3B7C">
        <w:rPr>
          <w:rFonts w:eastAsia="Times New Roman"/>
          <w:szCs w:val="24"/>
        </w:rPr>
        <w:t>ŽÁK, Milan.UčebnicehospodářsképolitikyII. (HP202). Vyd.1.Praha: Vysoká škola ekonomická, Národohospodářská fakulta, 2000, 202 s.ISBN 80-245-0028-0. PřednáškyEvropskáunieajejí politiky, Ševčíková, LS2011/2012.</w:t>
      </w:r>
    </w:p>
    <w:p w14:paraId="366AC6C0" w14:textId="77777777" w:rsidR="00A15E2D" w:rsidRDefault="00A15E2D" w:rsidP="00A15E2D">
      <w:pPr>
        <w:ind w:left="100" w:right="40"/>
        <w:rPr>
          <w:rFonts w:eastAsia="Times New Roman"/>
          <w:szCs w:val="24"/>
        </w:rPr>
      </w:pPr>
    </w:p>
    <w:p w14:paraId="76319166" w14:textId="77777777" w:rsidR="00124942" w:rsidRDefault="00A15E2D" w:rsidP="00A15E2D">
      <w:pPr>
        <w:ind w:left="100" w:right="40"/>
        <w:rPr>
          <w:rFonts w:eastAsia="Times New Roman"/>
          <w:szCs w:val="24"/>
        </w:rPr>
      </w:pPr>
      <w:r w:rsidRPr="00FC3B7C">
        <w:rPr>
          <w:rFonts w:eastAsia="Times New Roman"/>
          <w:szCs w:val="24"/>
        </w:rPr>
        <w:t>VOSTROVSKÁ</w:t>
      </w:r>
      <w:r w:rsidR="007E5E16">
        <w:rPr>
          <w:rFonts w:eastAsia="Times New Roman"/>
          <w:szCs w:val="24"/>
        </w:rPr>
        <w:t xml:space="preserve"> </w:t>
      </w:r>
      <w:r w:rsidRPr="00FC3B7C">
        <w:rPr>
          <w:rFonts w:eastAsia="Times New Roman"/>
          <w:szCs w:val="24"/>
        </w:rPr>
        <w:t>Z., akol., Skripta</w:t>
      </w:r>
      <w:r w:rsidR="007E5E16">
        <w:rPr>
          <w:rFonts w:eastAsia="Times New Roman"/>
          <w:szCs w:val="24"/>
        </w:rPr>
        <w:t xml:space="preserve"> </w:t>
      </w:r>
      <w:r w:rsidRPr="00FC3B7C">
        <w:rPr>
          <w:rFonts w:eastAsia="Times New Roman"/>
          <w:szCs w:val="24"/>
        </w:rPr>
        <w:t>ke</w:t>
      </w:r>
      <w:r w:rsidR="007E5E16">
        <w:rPr>
          <w:rFonts w:eastAsia="Times New Roman"/>
          <w:szCs w:val="24"/>
        </w:rPr>
        <w:t xml:space="preserve"> </w:t>
      </w:r>
      <w:r w:rsidRPr="00FC3B7C">
        <w:rPr>
          <w:rFonts w:eastAsia="Times New Roman"/>
          <w:szCs w:val="24"/>
        </w:rPr>
        <w:t>státní</w:t>
      </w:r>
      <w:r w:rsidR="007E5E16">
        <w:rPr>
          <w:rFonts w:eastAsia="Times New Roman"/>
          <w:szCs w:val="24"/>
        </w:rPr>
        <w:t xml:space="preserve"> </w:t>
      </w:r>
      <w:r w:rsidRPr="00FC3B7C">
        <w:rPr>
          <w:rFonts w:eastAsia="Times New Roman"/>
          <w:szCs w:val="24"/>
        </w:rPr>
        <w:t>zkoušce</w:t>
      </w:r>
      <w:r w:rsidR="007E5E16">
        <w:rPr>
          <w:rFonts w:eastAsia="Times New Roman"/>
          <w:szCs w:val="24"/>
        </w:rPr>
        <w:t xml:space="preserve"> </w:t>
      </w:r>
      <w:r w:rsidRPr="00FC3B7C">
        <w:rPr>
          <w:rFonts w:eastAsia="Times New Roman"/>
          <w:szCs w:val="24"/>
        </w:rPr>
        <w:t>ze</w:t>
      </w:r>
      <w:r w:rsidR="007E5E16">
        <w:rPr>
          <w:rFonts w:eastAsia="Times New Roman"/>
          <w:szCs w:val="24"/>
        </w:rPr>
        <w:t xml:space="preserve"> </w:t>
      </w:r>
      <w:r w:rsidRPr="00FC3B7C">
        <w:rPr>
          <w:rFonts w:eastAsia="Times New Roman"/>
          <w:szCs w:val="24"/>
        </w:rPr>
        <w:t>studijního</w:t>
      </w:r>
      <w:r w:rsidR="007E5E16">
        <w:rPr>
          <w:rFonts w:eastAsia="Times New Roman"/>
          <w:szCs w:val="24"/>
        </w:rPr>
        <w:t xml:space="preserve"> </w:t>
      </w:r>
      <w:r w:rsidRPr="00FC3B7C">
        <w:rPr>
          <w:rFonts w:eastAsia="Times New Roman"/>
          <w:szCs w:val="24"/>
        </w:rPr>
        <w:t>oboru</w:t>
      </w:r>
      <w:r w:rsidR="007E5E16">
        <w:rPr>
          <w:rFonts w:eastAsia="Times New Roman"/>
          <w:szCs w:val="24"/>
        </w:rPr>
        <w:t xml:space="preserve"> </w:t>
      </w:r>
      <w:r w:rsidRPr="00FC3B7C">
        <w:rPr>
          <w:rFonts w:eastAsia="Times New Roman"/>
          <w:szCs w:val="24"/>
        </w:rPr>
        <w:t>Národ</w:t>
      </w:r>
    </w:p>
    <w:p w14:paraId="39578712" w14:textId="66A3E120" w:rsidR="00A15E2D" w:rsidRPr="00FC3B7C" w:rsidRDefault="00A15E2D" w:rsidP="00124942">
      <w:pPr>
        <w:ind w:right="40"/>
        <w:rPr>
          <w:sz w:val="20"/>
          <w:szCs w:val="20"/>
        </w:rPr>
      </w:pPr>
      <w:r w:rsidRPr="00FC3B7C">
        <w:rPr>
          <w:rFonts w:eastAsia="Times New Roman"/>
          <w:szCs w:val="24"/>
        </w:rPr>
        <w:t>ní hospodářství, sebrané referáty</w:t>
      </w:r>
      <w:r w:rsidR="007E5E16">
        <w:rPr>
          <w:rFonts w:eastAsia="Times New Roman"/>
          <w:szCs w:val="24"/>
        </w:rPr>
        <w:t xml:space="preserve"> </w:t>
      </w:r>
      <w:r w:rsidRPr="00FC3B7C">
        <w:rPr>
          <w:rFonts w:eastAsia="Times New Roman"/>
          <w:szCs w:val="24"/>
        </w:rPr>
        <w:t>z</w:t>
      </w:r>
      <w:r w:rsidR="007E5E16">
        <w:rPr>
          <w:rFonts w:eastAsia="Times New Roman"/>
          <w:szCs w:val="24"/>
        </w:rPr>
        <w:t xml:space="preserve"> </w:t>
      </w:r>
      <w:r w:rsidRPr="00FC3B7C">
        <w:rPr>
          <w:rFonts w:eastAsia="Times New Roman"/>
          <w:szCs w:val="24"/>
        </w:rPr>
        <w:t>kurzu 5HP324-ZS 2013.</w:t>
      </w:r>
    </w:p>
    <w:p w14:paraId="6DE596C7" w14:textId="77777777" w:rsidR="00A15E2D" w:rsidRPr="00FC3B7C" w:rsidRDefault="00A15E2D" w:rsidP="00A15E2D">
      <w:pPr>
        <w:rPr>
          <w:sz w:val="20"/>
          <w:szCs w:val="20"/>
        </w:rPr>
      </w:pPr>
    </w:p>
    <w:p w14:paraId="1BD636F3" w14:textId="360A406D" w:rsidR="00A15E2D" w:rsidRPr="00FC3B7C" w:rsidRDefault="00A15E2D" w:rsidP="00A15E2D">
      <w:pPr>
        <w:ind w:left="100" w:right="20"/>
        <w:rPr>
          <w:sz w:val="20"/>
          <w:szCs w:val="20"/>
        </w:rPr>
      </w:pPr>
      <w:r w:rsidRPr="00FC3B7C">
        <w:rPr>
          <w:rFonts w:eastAsia="Times New Roman"/>
          <w:szCs w:val="24"/>
        </w:rPr>
        <w:t>VOSTROVSKÁZ., akol., Skripta</w:t>
      </w:r>
      <w:r w:rsidR="007E5E16">
        <w:rPr>
          <w:rFonts w:eastAsia="Times New Roman"/>
          <w:szCs w:val="24"/>
        </w:rPr>
        <w:t xml:space="preserve"> </w:t>
      </w:r>
      <w:r w:rsidRPr="00FC3B7C">
        <w:rPr>
          <w:rFonts w:eastAsia="Times New Roman"/>
          <w:szCs w:val="24"/>
        </w:rPr>
        <w:t>ke</w:t>
      </w:r>
      <w:r w:rsidR="007E5E16">
        <w:rPr>
          <w:rFonts w:eastAsia="Times New Roman"/>
          <w:szCs w:val="24"/>
        </w:rPr>
        <w:t xml:space="preserve"> </w:t>
      </w:r>
      <w:r w:rsidRPr="00FC3B7C">
        <w:rPr>
          <w:rFonts w:eastAsia="Times New Roman"/>
          <w:szCs w:val="24"/>
        </w:rPr>
        <w:t>státní</w:t>
      </w:r>
      <w:r w:rsidR="007E5E16">
        <w:rPr>
          <w:rFonts w:eastAsia="Times New Roman"/>
          <w:szCs w:val="24"/>
        </w:rPr>
        <w:t xml:space="preserve"> </w:t>
      </w:r>
      <w:r w:rsidRPr="00FC3B7C">
        <w:rPr>
          <w:rFonts w:eastAsia="Times New Roman"/>
          <w:szCs w:val="24"/>
        </w:rPr>
        <w:t>zkoušce</w:t>
      </w:r>
      <w:r w:rsidR="007E5E16">
        <w:rPr>
          <w:rFonts w:eastAsia="Times New Roman"/>
          <w:szCs w:val="24"/>
        </w:rPr>
        <w:t xml:space="preserve"> </w:t>
      </w:r>
      <w:r w:rsidRPr="00FC3B7C">
        <w:rPr>
          <w:rFonts w:eastAsia="Times New Roman"/>
          <w:szCs w:val="24"/>
        </w:rPr>
        <w:t>ze</w:t>
      </w:r>
      <w:r w:rsidR="007E5E16">
        <w:rPr>
          <w:rFonts w:eastAsia="Times New Roman"/>
          <w:szCs w:val="24"/>
        </w:rPr>
        <w:t xml:space="preserve"> </w:t>
      </w:r>
      <w:r w:rsidRPr="00FC3B7C">
        <w:rPr>
          <w:rFonts w:eastAsia="Times New Roman"/>
          <w:szCs w:val="24"/>
        </w:rPr>
        <w:t>studijního</w:t>
      </w:r>
      <w:r w:rsidR="007E5E16">
        <w:rPr>
          <w:rFonts w:eastAsia="Times New Roman"/>
          <w:szCs w:val="24"/>
        </w:rPr>
        <w:t xml:space="preserve"> </w:t>
      </w:r>
      <w:r w:rsidRPr="00FC3B7C">
        <w:rPr>
          <w:rFonts w:eastAsia="Times New Roman"/>
          <w:szCs w:val="24"/>
        </w:rPr>
        <w:t>oboru</w:t>
      </w:r>
      <w:r w:rsidR="007E5E16">
        <w:rPr>
          <w:rFonts w:eastAsia="Times New Roman"/>
          <w:szCs w:val="24"/>
        </w:rPr>
        <w:t xml:space="preserve"> </w:t>
      </w:r>
      <w:r w:rsidRPr="00FC3B7C">
        <w:rPr>
          <w:rFonts w:eastAsia="Times New Roman"/>
          <w:szCs w:val="24"/>
        </w:rPr>
        <w:t>Národní hospodářství, sebrané referáty</w:t>
      </w:r>
      <w:r w:rsidR="007E5E16">
        <w:rPr>
          <w:rFonts w:eastAsia="Times New Roman"/>
          <w:szCs w:val="24"/>
        </w:rPr>
        <w:t xml:space="preserve"> </w:t>
      </w:r>
      <w:r w:rsidRPr="00FC3B7C">
        <w:rPr>
          <w:rFonts w:eastAsia="Times New Roman"/>
          <w:szCs w:val="24"/>
        </w:rPr>
        <w:t>z</w:t>
      </w:r>
      <w:r w:rsidR="007E5E16">
        <w:rPr>
          <w:rFonts w:eastAsia="Times New Roman"/>
          <w:szCs w:val="24"/>
        </w:rPr>
        <w:t xml:space="preserve"> </w:t>
      </w:r>
      <w:r w:rsidRPr="00FC3B7C">
        <w:rPr>
          <w:rFonts w:eastAsia="Times New Roman"/>
          <w:szCs w:val="24"/>
        </w:rPr>
        <w:t>kurzu 5HP324-LS2013.</w:t>
      </w:r>
    </w:p>
    <w:p w14:paraId="0406B610" w14:textId="77777777" w:rsidR="00A15E2D" w:rsidRPr="00FC3B7C" w:rsidRDefault="00A15E2D" w:rsidP="00A15E2D">
      <w:pPr>
        <w:ind w:left="100"/>
        <w:rPr>
          <w:sz w:val="20"/>
          <w:szCs w:val="20"/>
        </w:rPr>
      </w:pPr>
      <w:r w:rsidRPr="00FC3B7C">
        <w:rPr>
          <w:rFonts w:eastAsia="Times New Roman"/>
          <w:szCs w:val="24"/>
        </w:rPr>
        <w:t>HOLMAN, Robert.Dějiny ekonomickéhomyšlení.3. vyd. Praha: C.H.Beck,2005, xxv,539</w:t>
      </w:r>
    </w:p>
    <w:p w14:paraId="1083369E" w14:textId="77777777" w:rsidR="00A15E2D" w:rsidRPr="00FC3B7C" w:rsidRDefault="00A15E2D" w:rsidP="00A15E2D">
      <w:pPr>
        <w:ind w:left="100"/>
        <w:rPr>
          <w:sz w:val="20"/>
          <w:szCs w:val="20"/>
        </w:rPr>
      </w:pPr>
      <w:r w:rsidRPr="00FC3B7C">
        <w:rPr>
          <w:rFonts w:eastAsia="Times New Roman"/>
          <w:szCs w:val="24"/>
        </w:rPr>
        <w:t>s.ISBN 80-717-9380-9.</w:t>
      </w:r>
    </w:p>
    <w:p w14:paraId="14D304B9" w14:textId="77777777" w:rsidR="00A15E2D" w:rsidRDefault="00A15E2D" w:rsidP="00A15E2D">
      <w:pPr>
        <w:rPr>
          <w:sz w:val="20"/>
          <w:szCs w:val="20"/>
        </w:rPr>
      </w:pPr>
    </w:p>
    <w:p w14:paraId="7E68DEF5" w14:textId="77777777" w:rsidR="00A15E2D" w:rsidRPr="00FC3B7C" w:rsidRDefault="00A15E2D" w:rsidP="00A15E2D">
      <w:pPr>
        <w:rPr>
          <w:sz w:val="20"/>
          <w:szCs w:val="20"/>
        </w:rPr>
      </w:pPr>
      <w:r>
        <w:rPr>
          <w:sz w:val="20"/>
          <w:szCs w:val="20"/>
        </w:rPr>
        <w:t xml:space="preserve"> </w:t>
      </w:r>
      <w:r w:rsidRPr="00FC3B7C">
        <w:rPr>
          <w:rFonts w:eastAsia="Times New Roman"/>
          <w:szCs w:val="24"/>
        </w:rPr>
        <w:t>HOLMAN, Robert.Makroekonomie: středněpokročilýkurz.2.vyd.Praha: C.H.Beck,2010,</w:t>
      </w:r>
    </w:p>
    <w:p w14:paraId="183E4E39" w14:textId="77777777" w:rsidR="00A15E2D" w:rsidRPr="00FC3B7C" w:rsidRDefault="00A15E2D" w:rsidP="00A15E2D">
      <w:pPr>
        <w:ind w:left="100"/>
        <w:rPr>
          <w:sz w:val="20"/>
          <w:szCs w:val="20"/>
        </w:rPr>
      </w:pPr>
      <w:r w:rsidRPr="00FC3B7C">
        <w:rPr>
          <w:rFonts w:eastAsia="Times New Roman"/>
          <w:szCs w:val="24"/>
        </w:rPr>
        <w:t>xiv, 424 s. Beckovyekonomickéučebnice.ISBN978-80-7179-861-3.</w:t>
      </w:r>
    </w:p>
    <w:p w14:paraId="294BA5DE" w14:textId="77777777" w:rsidR="00A15E2D" w:rsidRDefault="00A15E2D" w:rsidP="00A15E2D">
      <w:pPr>
        <w:tabs>
          <w:tab w:val="left" w:pos="1940"/>
          <w:tab w:val="left" w:pos="8600"/>
        </w:tabs>
        <w:ind w:left="100"/>
        <w:rPr>
          <w:rFonts w:eastAsia="Times New Roman"/>
          <w:szCs w:val="24"/>
        </w:rPr>
      </w:pPr>
    </w:p>
    <w:p w14:paraId="56270239" w14:textId="77777777" w:rsidR="00A15E2D" w:rsidRPr="00413472" w:rsidRDefault="00A15E2D" w:rsidP="00A15E2D">
      <w:pPr>
        <w:tabs>
          <w:tab w:val="left" w:pos="8931"/>
        </w:tabs>
        <w:ind w:left="100"/>
        <w:rPr>
          <w:rFonts w:eastAsia="Times New Roman"/>
          <w:szCs w:val="24"/>
        </w:rPr>
      </w:pPr>
      <w:r w:rsidRPr="00FC3B7C">
        <w:rPr>
          <w:rFonts w:eastAsia="Times New Roman"/>
          <w:szCs w:val="24"/>
        </w:rPr>
        <w:t>Veřejnádatabáze:</w:t>
      </w:r>
      <w:r>
        <w:rPr>
          <w:rFonts w:eastAsia="Times New Roman"/>
          <w:szCs w:val="24"/>
        </w:rPr>
        <w:t xml:space="preserve"> </w:t>
      </w:r>
      <w:r w:rsidRPr="00FC3B7C">
        <w:rPr>
          <w:rFonts w:eastAsia="Times New Roman"/>
          <w:szCs w:val="24"/>
        </w:rPr>
        <w:t>Vývoz</w:t>
      </w:r>
      <w:r>
        <w:rPr>
          <w:rFonts w:eastAsia="Times New Roman"/>
          <w:szCs w:val="24"/>
        </w:rPr>
        <w:t xml:space="preserve"> </w:t>
      </w:r>
      <w:r w:rsidRPr="00FC3B7C">
        <w:rPr>
          <w:rFonts w:eastAsia="Times New Roman"/>
          <w:szCs w:val="24"/>
        </w:rPr>
        <w:t>zboží</w:t>
      </w:r>
      <w:r>
        <w:rPr>
          <w:rFonts w:eastAsia="Times New Roman"/>
          <w:szCs w:val="24"/>
        </w:rPr>
        <w:t xml:space="preserve"> </w:t>
      </w:r>
      <w:r w:rsidRPr="00FC3B7C">
        <w:rPr>
          <w:rFonts w:eastAsia="Times New Roman"/>
          <w:szCs w:val="24"/>
        </w:rPr>
        <w:t>podle</w:t>
      </w:r>
      <w:r>
        <w:rPr>
          <w:rFonts w:eastAsia="Times New Roman"/>
          <w:szCs w:val="24"/>
        </w:rPr>
        <w:t xml:space="preserve"> </w:t>
      </w:r>
      <w:r w:rsidRPr="00FC3B7C">
        <w:rPr>
          <w:rFonts w:eastAsia="Times New Roman"/>
          <w:szCs w:val="24"/>
        </w:rPr>
        <w:t>komodit</w:t>
      </w:r>
      <w:r>
        <w:rPr>
          <w:rFonts w:eastAsia="Times New Roman"/>
          <w:szCs w:val="24"/>
        </w:rPr>
        <w:t xml:space="preserve"> </w:t>
      </w:r>
      <w:r w:rsidRPr="00FC3B7C">
        <w:rPr>
          <w:rFonts w:eastAsia="Times New Roman"/>
          <w:szCs w:val="24"/>
        </w:rPr>
        <w:t>a</w:t>
      </w:r>
      <w:r>
        <w:rPr>
          <w:rFonts w:eastAsia="Times New Roman"/>
          <w:szCs w:val="24"/>
        </w:rPr>
        <w:t xml:space="preserve"> </w:t>
      </w:r>
      <w:r w:rsidRPr="00FC3B7C">
        <w:rPr>
          <w:rFonts w:eastAsia="Times New Roman"/>
          <w:szCs w:val="24"/>
        </w:rPr>
        <w:t>krajů.</w:t>
      </w:r>
      <w:r>
        <w:rPr>
          <w:rFonts w:eastAsia="Times New Roman"/>
          <w:szCs w:val="24"/>
        </w:rPr>
        <w:t xml:space="preserve"> </w:t>
      </w:r>
      <w:r w:rsidRPr="00FC3B7C">
        <w:rPr>
          <w:rFonts w:eastAsia="Times New Roman"/>
          <w:szCs w:val="24"/>
        </w:rPr>
        <w:t>Český</w:t>
      </w:r>
      <w:r>
        <w:rPr>
          <w:rFonts w:eastAsia="Times New Roman"/>
          <w:szCs w:val="24"/>
        </w:rPr>
        <w:t xml:space="preserve"> </w:t>
      </w:r>
      <w:r w:rsidRPr="00FC3B7C">
        <w:rPr>
          <w:rFonts w:eastAsia="Times New Roman"/>
          <w:szCs w:val="24"/>
        </w:rPr>
        <w:t>statistický</w:t>
      </w:r>
      <w:r>
        <w:rPr>
          <w:rFonts w:eastAsia="Times New Roman"/>
          <w:szCs w:val="24"/>
        </w:rPr>
        <w:t xml:space="preserve"> </w:t>
      </w:r>
      <w:r w:rsidRPr="00FC3B7C">
        <w:rPr>
          <w:rFonts w:eastAsia="Times New Roman"/>
          <w:szCs w:val="24"/>
        </w:rPr>
        <w:t>úřad</w:t>
      </w:r>
      <w:r>
        <w:rPr>
          <w:rFonts w:eastAsia="Times New Roman"/>
          <w:szCs w:val="24"/>
        </w:rPr>
        <w:t xml:space="preserve"> </w:t>
      </w:r>
      <w:r w:rsidRPr="00FC3B7C">
        <w:rPr>
          <w:rFonts w:eastAsia="Times New Roman"/>
          <w:szCs w:val="24"/>
        </w:rPr>
        <w:t>[online].2010 [cit.2013-11-11]</w:t>
      </w:r>
      <w:r>
        <w:rPr>
          <w:rFonts w:eastAsia="Times New Roman"/>
          <w:szCs w:val="24"/>
        </w:rPr>
        <w:t xml:space="preserve">. </w:t>
      </w:r>
      <w:r w:rsidRPr="00FC3B7C">
        <w:rPr>
          <w:rFonts w:eastAsia="Times New Roman"/>
          <w:szCs w:val="24"/>
        </w:rPr>
        <w:t>Dostupné</w:t>
      </w:r>
      <w:r>
        <w:rPr>
          <w:rFonts w:eastAsia="Times New Roman"/>
          <w:szCs w:val="24"/>
        </w:rPr>
        <w:t xml:space="preserve"> </w:t>
      </w:r>
      <w:r w:rsidRPr="00FC3B7C">
        <w:rPr>
          <w:rFonts w:eastAsia="Times New Roman"/>
          <w:szCs w:val="24"/>
        </w:rPr>
        <w:t>z:</w:t>
      </w:r>
      <w:r>
        <w:rPr>
          <w:rFonts w:eastAsia="Times New Roman"/>
          <w:szCs w:val="24"/>
        </w:rPr>
        <w:t xml:space="preserve"> </w:t>
      </w:r>
      <w:r w:rsidRPr="00FC3B7C">
        <w:rPr>
          <w:rFonts w:eastAsia="Times New Roman"/>
          <w:color w:val="0000FF"/>
          <w:sz w:val="23"/>
          <w:szCs w:val="23"/>
          <w:u w:val="single"/>
        </w:rPr>
        <w:t>http://vdb.czso.cz/vdbvo/tabparamzdr.jsp?voa=graf&amp;cislotab=VZO0020UU&amp;vo=graf&amp;kapi tola_id=27</w:t>
      </w:r>
    </w:p>
    <w:p w14:paraId="318D36F9" w14:textId="77777777" w:rsidR="00A15E2D" w:rsidRPr="00FC3B7C" w:rsidRDefault="00A15E2D" w:rsidP="00A15E2D">
      <w:pPr>
        <w:rPr>
          <w:sz w:val="20"/>
          <w:szCs w:val="20"/>
        </w:rPr>
      </w:pPr>
    </w:p>
    <w:p w14:paraId="1182C860" w14:textId="77777777" w:rsidR="00A15E2D" w:rsidRPr="00FC3B7C" w:rsidRDefault="00A15E2D" w:rsidP="00A15E2D">
      <w:pPr>
        <w:ind w:left="100" w:right="20"/>
        <w:rPr>
          <w:sz w:val="20"/>
          <w:szCs w:val="20"/>
        </w:rPr>
      </w:pPr>
      <w:r w:rsidRPr="00FC3B7C">
        <w:rPr>
          <w:rFonts w:eastAsia="Times New Roman"/>
          <w:szCs w:val="24"/>
        </w:rPr>
        <w:t>Veřejnádatabáze: Vývoz, dovoz</w:t>
      </w:r>
      <w:r>
        <w:rPr>
          <w:rFonts w:eastAsia="Times New Roman"/>
          <w:szCs w:val="24"/>
        </w:rPr>
        <w:t xml:space="preserve"> </w:t>
      </w:r>
      <w:r w:rsidRPr="00FC3B7C">
        <w:rPr>
          <w:rFonts w:eastAsia="Times New Roman"/>
          <w:szCs w:val="24"/>
        </w:rPr>
        <w:t>a</w:t>
      </w:r>
      <w:r>
        <w:rPr>
          <w:rFonts w:eastAsia="Times New Roman"/>
          <w:szCs w:val="24"/>
        </w:rPr>
        <w:t xml:space="preserve"> </w:t>
      </w:r>
      <w:r w:rsidRPr="00FC3B7C">
        <w:rPr>
          <w:rFonts w:eastAsia="Times New Roman"/>
          <w:szCs w:val="24"/>
        </w:rPr>
        <w:t>bilance</w:t>
      </w:r>
      <w:r>
        <w:rPr>
          <w:rFonts w:eastAsia="Times New Roman"/>
          <w:szCs w:val="24"/>
        </w:rPr>
        <w:t xml:space="preserve"> </w:t>
      </w:r>
      <w:r w:rsidRPr="00FC3B7C">
        <w:rPr>
          <w:rFonts w:eastAsia="Times New Roman"/>
          <w:szCs w:val="24"/>
        </w:rPr>
        <w:t>zboží</w:t>
      </w:r>
      <w:r>
        <w:rPr>
          <w:rFonts w:eastAsia="Times New Roman"/>
          <w:szCs w:val="24"/>
        </w:rPr>
        <w:t xml:space="preserve"> </w:t>
      </w:r>
      <w:r w:rsidRPr="00FC3B7C">
        <w:rPr>
          <w:rFonts w:eastAsia="Times New Roman"/>
          <w:szCs w:val="24"/>
        </w:rPr>
        <w:t>s</w:t>
      </w:r>
      <w:r>
        <w:rPr>
          <w:rFonts w:eastAsia="Times New Roman"/>
          <w:szCs w:val="24"/>
        </w:rPr>
        <w:t> </w:t>
      </w:r>
      <w:r w:rsidRPr="00FC3B7C">
        <w:rPr>
          <w:rFonts w:eastAsia="Times New Roman"/>
          <w:szCs w:val="24"/>
        </w:rPr>
        <w:t>vybranou</w:t>
      </w:r>
      <w:r>
        <w:rPr>
          <w:rFonts w:eastAsia="Times New Roman"/>
          <w:szCs w:val="24"/>
        </w:rPr>
        <w:t xml:space="preserve"> </w:t>
      </w:r>
      <w:r w:rsidRPr="00FC3B7C">
        <w:rPr>
          <w:rFonts w:eastAsia="Times New Roman"/>
          <w:szCs w:val="24"/>
        </w:rPr>
        <w:t>zemí-roční</w:t>
      </w:r>
      <w:r>
        <w:rPr>
          <w:rFonts w:eastAsia="Times New Roman"/>
          <w:szCs w:val="24"/>
        </w:rPr>
        <w:t xml:space="preserve"> </w:t>
      </w:r>
      <w:r w:rsidRPr="00FC3B7C">
        <w:rPr>
          <w:rFonts w:eastAsia="Times New Roman"/>
          <w:szCs w:val="24"/>
        </w:rPr>
        <w:t>údaje. Český statistický</w:t>
      </w:r>
      <w:r>
        <w:rPr>
          <w:rFonts w:eastAsia="Times New Roman"/>
          <w:szCs w:val="24"/>
        </w:rPr>
        <w:t xml:space="preserve"> </w:t>
      </w:r>
      <w:r w:rsidRPr="00FC3B7C">
        <w:rPr>
          <w:rFonts w:eastAsia="Times New Roman"/>
          <w:szCs w:val="24"/>
        </w:rPr>
        <w:t>úřad [online]. 2012 [cit. 2013-11-11]. Dostupné</w:t>
      </w:r>
      <w:r>
        <w:rPr>
          <w:rFonts w:eastAsia="Times New Roman"/>
          <w:szCs w:val="24"/>
        </w:rPr>
        <w:t xml:space="preserve"> </w:t>
      </w:r>
      <w:r w:rsidRPr="00FC3B7C">
        <w:rPr>
          <w:rFonts w:eastAsia="Times New Roman"/>
          <w:szCs w:val="24"/>
        </w:rPr>
        <w:t>z:</w:t>
      </w:r>
    </w:p>
    <w:p w14:paraId="614DBD26" w14:textId="77777777" w:rsidR="00A15E2D" w:rsidRPr="00FC3B7C" w:rsidRDefault="00A15E2D" w:rsidP="00A15E2D">
      <w:pPr>
        <w:ind w:left="100" w:right="60"/>
        <w:rPr>
          <w:sz w:val="20"/>
          <w:szCs w:val="20"/>
        </w:rPr>
      </w:pPr>
      <w:r w:rsidRPr="00FC3B7C">
        <w:rPr>
          <w:rFonts w:eastAsia="Times New Roman"/>
          <w:color w:val="0000FF"/>
          <w:sz w:val="23"/>
          <w:szCs w:val="23"/>
          <w:u w:val="single"/>
        </w:rPr>
        <w:t>http://vdb.czso.cz/vdbvo/tabparamzdr.jsp?voa=graf&amp;cislotab=VZO1031CU&amp;vo=graf&amp;kapi tola_id=636</w:t>
      </w:r>
    </w:p>
    <w:p w14:paraId="4A6F3BB7" w14:textId="77777777" w:rsidR="00661EA8" w:rsidRPr="00FC3B7C" w:rsidRDefault="00661EA8" w:rsidP="00661EA8"/>
    <w:p w14:paraId="4A6F3BB8" w14:textId="77777777" w:rsidR="008E0F74" w:rsidRPr="00FC3B7C" w:rsidRDefault="008E0F74">
      <w:pPr>
        <w:sectPr w:rsidR="008E0F74" w:rsidRPr="00FC3B7C">
          <w:pgSz w:w="11900" w:h="16840"/>
          <w:pgMar w:top="1440" w:right="1440" w:bottom="1440" w:left="1440" w:header="0" w:footer="0" w:gutter="0"/>
          <w:cols w:space="708" w:equalWidth="0">
            <w:col w:w="9020"/>
          </w:cols>
        </w:sectPr>
      </w:pPr>
    </w:p>
    <w:p w14:paraId="4A6F3BB9" w14:textId="77777777" w:rsidR="008E0F74" w:rsidRPr="00201107" w:rsidRDefault="00256F29" w:rsidP="00201107">
      <w:pPr>
        <w:pStyle w:val="Nadpis1"/>
        <w:ind w:left="0" w:hanging="8"/>
        <w:rPr>
          <w:color w:val="1F3864" w:themeColor="accent1" w:themeShade="80"/>
        </w:rPr>
      </w:pPr>
      <w:bookmarkStart w:id="217" w:name="page218"/>
      <w:bookmarkStart w:id="218" w:name="_Toc54254082"/>
      <w:bookmarkEnd w:id="217"/>
      <w:r w:rsidRPr="00201107">
        <w:rPr>
          <w:color w:val="1F3864" w:themeColor="accent1" w:themeShade="80"/>
        </w:rPr>
        <w:lastRenderedPageBreak/>
        <w:t>POLITIKA OCHRANY HOSPODÁŘSKÉ SOUTĚŽE</w:t>
      </w:r>
      <w:bookmarkEnd w:id="218"/>
    </w:p>
    <w:p w14:paraId="4A6F3BBA" w14:textId="77777777" w:rsidR="008E0F74" w:rsidRPr="00FC3B7C" w:rsidRDefault="00256F29">
      <w:pPr>
        <w:rPr>
          <w:sz w:val="20"/>
          <w:szCs w:val="20"/>
        </w:rPr>
      </w:pPr>
      <w:r w:rsidRPr="00FC3B7C">
        <w:rPr>
          <w:rFonts w:eastAsia="Times New Roman"/>
          <w:b/>
          <w:bCs/>
          <w:sz w:val="28"/>
          <w:szCs w:val="28"/>
        </w:rPr>
        <w:t>Slovníček pojmů:</w:t>
      </w:r>
    </w:p>
    <w:p w14:paraId="4A6F3BBB" w14:textId="77777777" w:rsidR="008E0F74" w:rsidRPr="00FC3B7C" w:rsidRDefault="00256F29" w:rsidP="004B4706">
      <w:pPr>
        <w:rPr>
          <w:sz w:val="20"/>
          <w:szCs w:val="20"/>
        </w:rPr>
      </w:pPr>
      <w:r w:rsidRPr="00FC3B7C">
        <w:rPr>
          <w:rFonts w:eastAsia="Times New Roman"/>
          <w:i/>
          <w:iCs/>
          <w:u w:val="single"/>
        </w:rPr>
        <w:t>Bid rigging</w:t>
      </w:r>
      <w:r w:rsidRPr="00FC3B7C">
        <w:rPr>
          <w:rFonts w:eastAsia="Times New Roman"/>
          <w:i/>
          <w:iCs/>
        </w:rPr>
        <w:t xml:space="preserve"> </w:t>
      </w:r>
      <w:r w:rsidRPr="00FC3B7C">
        <w:rPr>
          <w:rFonts w:eastAsia="Times New Roman"/>
        </w:rPr>
        <w:t>– Tímto pojmem se označuje tajná dohoda uchazečů</w:t>
      </w:r>
      <w:r w:rsidRPr="00FC3B7C">
        <w:rPr>
          <w:rFonts w:eastAsia="Times New Roman"/>
          <w:i/>
          <w:iCs/>
        </w:rPr>
        <w:t xml:space="preserve"> </w:t>
      </w:r>
      <w:r w:rsidRPr="00FC3B7C">
        <w:rPr>
          <w:rFonts w:eastAsia="Times New Roman"/>
        </w:rPr>
        <w:t>o veřejnou zakázku, kteří se</w:t>
      </w:r>
      <w:r w:rsidRPr="00FC3B7C">
        <w:rPr>
          <w:rFonts w:eastAsia="Times New Roman"/>
          <w:i/>
          <w:iCs/>
        </w:rPr>
        <w:t xml:space="preserve"> </w:t>
      </w:r>
      <w:r w:rsidRPr="00FC3B7C">
        <w:rPr>
          <w:rFonts w:eastAsia="Times New Roman"/>
        </w:rPr>
        <w:t>místo vzájemné konkurence dohodli na záměrném zvýšení ceny nebo snížení kvality podané nabídky.</w:t>
      </w:r>
    </w:p>
    <w:p w14:paraId="4A6F3BBC" w14:textId="77777777" w:rsidR="008E0F74" w:rsidRPr="00FC3B7C" w:rsidRDefault="008E0F74">
      <w:pPr>
        <w:spacing w:line="2" w:lineRule="exact"/>
        <w:rPr>
          <w:sz w:val="20"/>
          <w:szCs w:val="20"/>
        </w:rPr>
      </w:pPr>
    </w:p>
    <w:p w14:paraId="4A6F3BBD" w14:textId="77777777" w:rsidR="008E0F74" w:rsidRPr="00FC3B7C" w:rsidRDefault="00256F29" w:rsidP="004B4706">
      <w:pPr>
        <w:rPr>
          <w:sz w:val="20"/>
          <w:szCs w:val="20"/>
        </w:rPr>
      </w:pPr>
      <w:r w:rsidRPr="00FC3B7C">
        <w:rPr>
          <w:rFonts w:eastAsia="Times New Roman"/>
          <w:i/>
          <w:iCs/>
          <w:u w:val="single"/>
        </w:rPr>
        <w:t>Dominantní postavení</w:t>
      </w:r>
      <w:r w:rsidRPr="00FC3B7C">
        <w:rPr>
          <w:rFonts w:eastAsia="Times New Roman"/>
          <w:i/>
          <w:iCs/>
        </w:rPr>
        <w:t xml:space="preserve"> </w:t>
      </w:r>
      <w:r w:rsidRPr="00FC3B7C">
        <w:rPr>
          <w:rFonts w:eastAsia="Times New Roman"/>
        </w:rPr>
        <w:t>– má soutěžitel nebo společně</w:t>
      </w:r>
      <w:r w:rsidRPr="00FC3B7C">
        <w:rPr>
          <w:rFonts w:eastAsia="Times New Roman"/>
          <w:i/>
          <w:iCs/>
        </w:rPr>
        <w:t xml:space="preserve"> </w:t>
      </w:r>
      <w:r w:rsidRPr="00FC3B7C">
        <w:rPr>
          <w:rFonts w:eastAsia="Times New Roman"/>
        </w:rPr>
        <w:t>více soutěžitelů</w:t>
      </w:r>
      <w:r w:rsidRPr="00FC3B7C">
        <w:rPr>
          <w:rFonts w:eastAsia="Times New Roman"/>
          <w:i/>
          <w:iCs/>
        </w:rPr>
        <w:t xml:space="preserve"> </w:t>
      </w:r>
      <w:r w:rsidRPr="00FC3B7C">
        <w:rPr>
          <w:rFonts w:eastAsia="Times New Roman"/>
        </w:rPr>
        <w:t xml:space="preserve">(potom se hovoří </w:t>
      </w:r>
      <w:r w:rsidR="003375BB">
        <w:rPr>
          <w:rFonts w:eastAsia="Times New Roman"/>
        </w:rPr>
        <w:br/>
      </w:r>
      <w:r w:rsidRPr="00FC3B7C">
        <w:rPr>
          <w:rFonts w:eastAsia="Times New Roman"/>
        </w:rPr>
        <w:t>o</w:t>
      </w:r>
      <w:r w:rsidRPr="00FC3B7C">
        <w:rPr>
          <w:rFonts w:eastAsia="Times New Roman"/>
          <w:i/>
          <w:iCs/>
        </w:rPr>
        <w:t xml:space="preserve"> </w:t>
      </w:r>
      <w:r w:rsidRPr="00FC3B7C">
        <w:rPr>
          <w:rFonts w:eastAsia="Times New Roman"/>
        </w:rPr>
        <w:t>společné dominanci), kterým jejich tržní síla umožňuje chovat se ve značné míře nezávisle na jiných soutěžitelích nebo spotřebitelích. Dominantní postavení zaujímá subjekt, který dosáhl na trhu alespoň 40 % tržní podíl.</w:t>
      </w:r>
    </w:p>
    <w:p w14:paraId="4A6F3BBE" w14:textId="77777777" w:rsidR="008E0F74" w:rsidRPr="00FC3B7C" w:rsidRDefault="00256F29" w:rsidP="004B4706">
      <w:pPr>
        <w:rPr>
          <w:sz w:val="20"/>
          <w:szCs w:val="20"/>
        </w:rPr>
      </w:pPr>
      <w:r w:rsidRPr="00FC3B7C">
        <w:rPr>
          <w:rFonts w:eastAsia="Times New Roman"/>
          <w:i/>
          <w:iCs/>
          <w:u w:val="single"/>
        </w:rPr>
        <w:t>Fúze</w:t>
      </w:r>
      <w:r w:rsidRPr="00FC3B7C">
        <w:rPr>
          <w:rFonts w:eastAsia="Times New Roman"/>
          <w:i/>
          <w:iCs/>
        </w:rPr>
        <w:t xml:space="preserve"> </w:t>
      </w:r>
      <w:r w:rsidRPr="00FC3B7C">
        <w:rPr>
          <w:rFonts w:eastAsia="Times New Roman"/>
        </w:rPr>
        <w:t>– zákonné sloučení dvou a více podnikatelských subjektů</w:t>
      </w:r>
      <w:r w:rsidRPr="00FC3B7C">
        <w:rPr>
          <w:rFonts w:eastAsia="Times New Roman"/>
          <w:i/>
          <w:iCs/>
        </w:rPr>
        <w:t xml:space="preserve"> </w:t>
      </w:r>
      <w:r w:rsidRPr="00FC3B7C">
        <w:rPr>
          <w:rFonts w:eastAsia="Times New Roman"/>
        </w:rPr>
        <w:t xml:space="preserve">do jednoho celku. Jedná se </w:t>
      </w:r>
      <w:r w:rsidR="003375BB">
        <w:rPr>
          <w:rFonts w:eastAsia="Times New Roman"/>
        </w:rPr>
        <w:br/>
      </w:r>
      <w:r w:rsidRPr="00FC3B7C">
        <w:rPr>
          <w:rFonts w:eastAsia="Times New Roman"/>
        </w:rPr>
        <w:t>o</w:t>
      </w:r>
      <w:r w:rsidRPr="00FC3B7C">
        <w:rPr>
          <w:rFonts w:eastAsia="Times New Roman"/>
          <w:i/>
          <w:iCs/>
        </w:rPr>
        <w:t xml:space="preserve"> </w:t>
      </w:r>
      <w:r w:rsidRPr="00FC3B7C">
        <w:rPr>
          <w:rFonts w:eastAsia="Times New Roman"/>
        </w:rPr>
        <w:t>externí způsob růstu.</w:t>
      </w:r>
    </w:p>
    <w:p w14:paraId="4A6F3BBF" w14:textId="77777777" w:rsidR="008E0F74" w:rsidRPr="00FC3B7C" w:rsidRDefault="00256F29" w:rsidP="004B4706">
      <w:pPr>
        <w:rPr>
          <w:sz w:val="20"/>
          <w:szCs w:val="20"/>
        </w:rPr>
      </w:pPr>
      <w:r w:rsidRPr="00FC3B7C">
        <w:rPr>
          <w:rFonts w:eastAsia="Times New Roman"/>
          <w:i/>
          <w:iCs/>
          <w:u w:val="single"/>
        </w:rPr>
        <w:t>Hospodářská soutěž</w:t>
      </w:r>
      <w:r w:rsidRPr="00FC3B7C">
        <w:rPr>
          <w:rFonts w:eastAsia="Times New Roman"/>
          <w:i/>
          <w:iCs/>
        </w:rPr>
        <w:t xml:space="preserve"> </w:t>
      </w:r>
      <w:r w:rsidRPr="00FC3B7C">
        <w:rPr>
          <w:rFonts w:eastAsia="Times New Roman"/>
          <w:i/>
          <w:iCs/>
          <w:u w:val="single"/>
        </w:rPr>
        <w:t>(konkurence)</w:t>
      </w:r>
      <w:r w:rsidRPr="00FC3B7C">
        <w:rPr>
          <w:rFonts w:eastAsia="Times New Roman"/>
          <w:i/>
          <w:iCs/>
        </w:rPr>
        <w:t xml:space="preserve"> </w:t>
      </w:r>
      <w:r w:rsidRPr="00FC3B7C">
        <w:rPr>
          <w:rFonts w:eastAsia="Times New Roman"/>
        </w:rPr>
        <w:t>- souběžná snaha subjektů</w:t>
      </w:r>
      <w:r w:rsidRPr="00FC3B7C">
        <w:rPr>
          <w:rFonts w:eastAsia="Times New Roman"/>
          <w:i/>
          <w:iCs/>
        </w:rPr>
        <w:t xml:space="preserve"> </w:t>
      </w:r>
      <w:r w:rsidRPr="00FC3B7C">
        <w:rPr>
          <w:rFonts w:eastAsia="Times New Roman"/>
        </w:rPr>
        <w:t>na trhu určitého statku, jejichž</w:t>
      </w:r>
      <w:r w:rsidRPr="00FC3B7C">
        <w:rPr>
          <w:rFonts w:eastAsia="Times New Roman"/>
          <w:i/>
          <w:iCs/>
        </w:rPr>
        <w:t xml:space="preserve"> </w:t>
      </w:r>
      <w:r w:rsidRPr="00FC3B7C">
        <w:rPr>
          <w:rFonts w:eastAsia="Times New Roman"/>
        </w:rPr>
        <w:t>cílem je dosažení určitých výhod před ostatními v oblasti hospodářských užitků a jež vzájemně ovlivňuje jejich hospodářskou činnost. Je základním mechanismem fungování tržní ekonomiky a je rozhodující pro zvyšování konkurenceschopnosti ekonomiky a hospodářský růst země. Soutěž je efektivní, pokud je trh tvořen firmami podléhajícími konkurenčnímu tlaku. Hospodářská soutěž přispívá k podpoře inovací, umožňuje omezovat náklady.</w:t>
      </w:r>
    </w:p>
    <w:p w14:paraId="4A6F3BC0" w14:textId="77777777" w:rsidR="008E0F74" w:rsidRPr="00FC3B7C" w:rsidRDefault="00256F29" w:rsidP="004B4706">
      <w:pPr>
        <w:rPr>
          <w:sz w:val="20"/>
          <w:szCs w:val="20"/>
        </w:rPr>
      </w:pPr>
      <w:r w:rsidRPr="00FC3B7C">
        <w:rPr>
          <w:rFonts w:eastAsia="Times New Roman"/>
          <w:i/>
          <w:iCs/>
          <w:u w:val="single"/>
        </w:rPr>
        <w:t>Kartel</w:t>
      </w:r>
      <w:r w:rsidRPr="00FC3B7C">
        <w:rPr>
          <w:rFonts w:eastAsia="Times New Roman"/>
          <w:i/>
          <w:iCs/>
        </w:rPr>
        <w:t xml:space="preserve"> – Skupina </w:t>
      </w:r>
      <w:r w:rsidRPr="00FC3B7C">
        <w:rPr>
          <w:rFonts w:eastAsia="Times New Roman"/>
        </w:rPr>
        <w:t xml:space="preserve">konkurentů, které se spojí, aby mohly omezovat hospodářskou soutěž. </w:t>
      </w:r>
      <w:r w:rsidR="003375BB">
        <w:rPr>
          <w:rFonts w:eastAsia="Times New Roman"/>
        </w:rPr>
        <w:br/>
      </w:r>
      <w:r w:rsidRPr="00FC3B7C">
        <w:rPr>
          <w:rFonts w:eastAsia="Times New Roman"/>
        </w:rPr>
        <w:t>Ve</w:t>
      </w:r>
      <w:r w:rsidRPr="00FC3B7C">
        <w:rPr>
          <w:rFonts w:eastAsia="Times New Roman"/>
          <w:i/>
          <w:iCs/>
        </w:rPr>
        <w:t xml:space="preserve"> </w:t>
      </w:r>
      <w:r w:rsidRPr="00FC3B7C">
        <w:rPr>
          <w:rFonts w:eastAsia="Times New Roman"/>
        </w:rPr>
        <w:t>většině států zakázaný.</w:t>
      </w:r>
    </w:p>
    <w:p w14:paraId="4A6F3BC1" w14:textId="77777777" w:rsidR="008E0F74" w:rsidRPr="00FC3B7C" w:rsidRDefault="00256F29" w:rsidP="004B4706">
      <w:pPr>
        <w:rPr>
          <w:sz w:val="20"/>
          <w:szCs w:val="20"/>
        </w:rPr>
      </w:pPr>
      <w:r w:rsidRPr="00FC3B7C">
        <w:rPr>
          <w:rFonts w:eastAsia="Times New Roman"/>
          <w:i/>
          <w:iCs/>
          <w:u w:val="single"/>
        </w:rPr>
        <w:t>Koluze</w:t>
      </w:r>
      <w:r w:rsidRPr="00FC3B7C">
        <w:rPr>
          <w:rFonts w:eastAsia="Times New Roman"/>
          <w:i/>
          <w:iCs/>
        </w:rPr>
        <w:t xml:space="preserve"> </w:t>
      </w:r>
      <w:r w:rsidRPr="00FC3B7C">
        <w:rPr>
          <w:rFonts w:eastAsia="Times New Roman"/>
        </w:rPr>
        <w:t>– Koordinované chování firem za účelem zvýšení tržní moci.</w:t>
      </w:r>
    </w:p>
    <w:p w14:paraId="4A6F3BC2" w14:textId="77777777" w:rsidR="008E0F74" w:rsidRPr="00FC3B7C" w:rsidRDefault="00256F29" w:rsidP="004B4706">
      <w:pPr>
        <w:rPr>
          <w:sz w:val="20"/>
          <w:szCs w:val="20"/>
        </w:rPr>
      </w:pPr>
      <w:r w:rsidRPr="00FC3B7C">
        <w:rPr>
          <w:rFonts w:eastAsia="Times New Roman"/>
          <w:i/>
          <w:iCs/>
          <w:u w:val="single"/>
        </w:rPr>
        <w:t>Leniency program</w:t>
      </w:r>
      <w:r w:rsidRPr="00FC3B7C">
        <w:rPr>
          <w:rFonts w:eastAsia="Times New Roman"/>
          <w:i/>
          <w:iCs/>
        </w:rPr>
        <w:t xml:space="preserve"> </w:t>
      </w:r>
      <w:r w:rsidRPr="00FC3B7C">
        <w:rPr>
          <w:rFonts w:eastAsia="Times New Roman"/>
        </w:rPr>
        <w:t>– V rámci tohoto programu se účastníkům kartelů</w:t>
      </w:r>
      <w:r w:rsidRPr="00FC3B7C">
        <w:rPr>
          <w:rFonts w:eastAsia="Times New Roman"/>
          <w:i/>
          <w:iCs/>
        </w:rPr>
        <w:t xml:space="preserve"> </w:t>
      </w:r>
      <w:r w:rsidRPr="00FC3B7C">
        <w:rPr>
          <w:rFonts w:eastAsia="Times New Roman"/>
        </w:rPr>
        <w:t xml:space="preserve">nabízí shovívavost </w:t>
      </w:r>
      <w:r w:rsidR="003375BB">
        <w:rPr>
          <w:rFonts w:eastAsia="Times New Roman"/>
        </w:rPr>
        <w:br/>
      </w:r>
      <w:r w:rsidRPr="00FC3B7C">
        <w:rPr>
          <w:rFonts w:eastAsia="Times New Roman"/>
        </w:rPr>
        <w:t>a</w:t>
      </w:r>
      <w:r w:rsidRPr="00FC3B7C">
        <w:rPr>
          <w:rFonts w:eastAsia="Times New Roman"/>
          <w:i/>
          <w:iCs/>
        </w:rPr>
        <w:t xml:space="preserve"> </w:t>
      </w:r>
      <w:r w:rsidRPr="00FC3B7C">
        <w:rPr>
          <w:rFonts w:eastAsia="Times New Roman"/>
        </w:rPr>
        <w:t>případně i možnost neudělení pokuty. Pokud soutěžitel kartel ohlásí a poskytne k němu veškeré jemu dostupné informace a důkazy, může se kompletně vyhnout postihu či dosáhnout alespoň podstatného snížení pokuty.</w:t>
      </w:r>
    </w:p>
    <w:p w14:paraId="4A6F3BC3" w14:textId="77777777" w:rsidR="008E0F74" w:rsidRPr="00FC3B7C" w:rsidRDefault="008E0F74">
      <w:pPr>
        <w:sectPr w:rsidR="008E0F74" w:rsidRPr="00FC3B7C">
          <w:pgSz w:w="11900" w:h="16840"/>
          <w:pgMar w:top="1388" w:right="1400" w:bottom="1440" w:left="1420" w:header="0" w:footer="0" w:gutter="0"/>
          <w:cols w:space="708" w:equalWidth="0">
            <w:col w:w="9080"/>
          </w:cols>
        </w:sectPr>
      </w:pPr>
    </w:p>
    <w:p w14:paraId="4A6F3BC4" w14:textId="77777777" w:rsidR="008E0F74" w:rsidRPr="00FC3B7C" w:rsidRDefault="00256F29" w:rsidP="004B4706">
      <w:pPr>
        <w:rPr>
          <w:sz w:val="20"/>
          <w:szCs w:val="20"/>
        </w:rPr>
      </w:pPr>
      <w:bookmarkStart w:id="219" w:name="page219"/>
      <w:bookmarkEnd w:id="219"/>
      <w:r w:rsidRPr="00FC3B7C">
        <w:rPr>
          <w:rFonts w:eastAsia="Times New Roman"/>
          <w:i/>
          <w:iCs/>
          <w:u w:val="single"/>
        </w:rPr>
        <w:lastRenderedPageBreak/>
        <w:t>Monopolistická konkurence</w:t>
      </w:r>
      <w:r w:rsidRPr="00FC3B7C">
        <w:rPr>
          <w:rFonts w:eastAsia="Times New Roman"/>
          <w:i/>
          <w:iCs/>
        </w:rPr>
        <w:t xml:space="preserve"> </w:t>
      </w:r>
      <w:r w:rsidRPr="00FC3B7C">
        <w:rPr>
          <w:rFonts w:eastAsia="Times New Roman"/>
        </w:rPr>
        <w:t>– Na trhu se vyskytuje mnoho firem, ale nejedná se o dokonalou</w:t>
      </w:r>
      <w:r w:rsidRPr="00FC3B7C">
        <w:rPr>
          <w:rFonts w:eastAsia="Times New Roman"/>
          <w:i/>
          <w:iCs/>
        </w:rPr>
        <w:t xml:space="preserve"> </w:t>
      </w:r>
      <w:r w:rsidRPr="00FC3B7C">
        <w:rPr>
          <w:rFonts w:eastAsia="Times New Roman"/>
        </w:rPr>
        <w:t xml:space="preserve">konkurenci. Na rozdíl od dokonalé konkurence zde má firma určitou tržní moc a to díky diferenciaci produktu. To umožňuje firmě stanovit cenu vyšší, než jsou mezní náklady. Neexistují bariéry vstupu na trh, a proto se zde projevuje tendence k nulovému zisku </w:t>
      </w:r>
      <w:r w:rsidR="003375BB">
        <w:rPr>
          <w:rFonts w:eastAsia="Times New Roman"/>
        </w:rPr>
        <w:br/>
      </w:r>
      <w:r w:rsidRPr="00FC3B7C">
        <w:rPr>
          <w:rFonts w:eastAsia="Times New Roman"/>
        </w:rPr>
        <w:t>v dlouhém období.</w:t>
      </w:r>
    </w:p>
    <w:p w14:paraId="4A6F3BC5" w14:textId="77777777" w:rsidR="008E0F74" w:rsidRPr="00FC3B7C" w:rsidRDefault="008E0F74">
      <w:pPr>
        <w:spacing w:line="5" w:lineRule="exact"/>
        <w:rPr>
          <w:sz w:val="20"/>
          <w:szCs w:val="20"/>
        </w:rPr>
      </w:pPr>
    </w:p>
    <w:p w14:paraId="4A6F3BC6" w14:textId="77777777" w:rsidR="008E0F74" w:rsidRPr="00FC3B7C" w:rsidRDefault="00256F29" w:rsidP="004B4706">
      <w:pPr>
        <w:rPr>
          <w:sz w:val="20"/>
          <w:szCs w:val="20"/>
        </w:rPr>
      </w:pPr>
      <w:r w:rsidRPr="00FC3B7C">
        <w:rPr>
          <w:rFonts w:eastAsia="Times New Roman"/>
          <w:i/>
          <w:iCs/>
          <w:u w:val="single"/>
        </w:rPr>
        <w:t>Nekalá soutěž</w:t>
      </w:r>
      <w:r w:rsidRPr="00FC3B7C">
        <w:rPr>
          <w:rFonts w:eastAsia="Times New Roman"/>
          <w:i/>
          <w:iCs/>
        </w:rPr>
        <w:t xml:space="preserve"> </w:t>
      </w:r>
      <w:r w:rsidRPr="00FC3B7C">
        <w:rPr>
          <w:rFonts w:eastAsia="Times New Roman"/>
          <w:u w:val="single"/>
        </w:rPr>
        <w:t>– Jednání</w:t>
      </w:r>
      <w:r w:rsidRPr="00FC3B7C">
        <w:rPr>
          <w:rFonts w:eastAsia="Times New Roman"/>
          <w:i/>
          <w:iCs/>
        </w:rPr>
        <w:t xml:space="preserve"> </w:t>
      </w:r>
      <w:r w:rsidRPr="00FC3B7C">
        <w:rPr>
          <w:rFonts w:eastAsia="Times New Roman"/>
        </w:rPr>
        <w:t xml:space="preserve">v hospodářské soutěži, které je v rozporu s dobrými mravy soutěže </w:t>
      </w:r>
      <w:r w:rsidR="003375BB">
        <w:rPr>
          <w:rFonts w:eastAsia="Times New Roman"/>
        </w:rPr>
        <w:br/>
      </w:r>
      <w:r w:rsidRPr="00FC3B7C">
        <w:rPr>
          <w:rFonts w:eastAsia="Times New Roman"/>
        </w:rPr>
        <w:t>a</w:t>
      </w:r>
      <w:r w:rsidRPr="00FC3B7C">
        <w:rPr>
          <w:rFonts w:eastAsia="Times New Roman"/>
          <w:i/>
          <w:iCs/>
        </w:rPr>
        <w:t xml:space="preserve"> </w:t>
      </w:r>
      <w:r w:rsidRPr="00FC3B7C">
        <w:rPr>
          <w:rFonts w:eastAsia="Times New Roman"/>
        </w:rPr>
        <w:t>je způsobilé přivodit újmu jiným soutěžitelům nebo spotřebitelům.</w:t>
      </w:r>
    </w:p>
    <w:p w14:paraId="4A6F3BC7" w14:textId="77777777" w:rsidR="008E0F74" w:rsidRPr="00FC3B7C" w:rsidRDefault="00256F29" w:rsidP="004B4706">
      <w:pPr>
        <w:rPr>
          <w:sz w:val="20"/>
          <w:szCs w:val="20"/>
        </w:rPr>
      </w:pPr>
      <w:r w:rsidRPr="00FC3B7C">
        <w:rPr>
          <w:rFonts w:eastAsia="Times New Roman"/>
          <w:i/>
          <w:iCs/>
          <w:u w:val="single"/>
        </w:rPr>
        <w:t>Politika ochrany hospodářské soutěže</w:t>
      </w:r>
      <w:r w:rsidRPr="00FC3B7C">
        <w:rPr>
          <w:rFonts w:eastAsia="Times New Roman"/>
          <w:i/>
          <w:iCs/>
        </w:rPr>
        <w:t xml:space="preserve"> </w:t>
      </w:r>
      <w:r w:rsidRPr="00FC3B7C">
        <w:rPr>
          <w:rFonts w:eastAsia="Times New Roman"/>
        </w:rPr>
        <w:t>– Soubor opatření, který</w:t>
      </w:r>
      <w:r w:rsidRPr="00FC3B7C">
        <w:rPr>
          <w:rFonts w:eastAsia="Times New Roman"/>
          <w:i/>
          <w:iCs/>
        </w:rPr>
        <w:t xml:space="preserve"> </w:t>
      </w:r>
      <w:r w:rsidRPr="00FC3B7C">
        <w:rPr>
          <w:rFonts w:eastAsia="Times New Roman"/>
        </w:rPr>
        <w:t>usiluje o posílení</w:t>
      </w:r>
      <w:r w:rsidRPr="00FC3B7C">
        <w:rPr>
          <w:rFonts w:eastAsia="Times New Roman"/>
          <w:i/>
          <w:iCs/>
        </w:rPr>
        <w:t xml:space="preserve"> </w:t>
      </w:r>
      <w:r w:rsidRPr="00FC3B7C">
        <w:rPr>
          <w:rFonts w:eastAsia="Times New Roman"/>
        </w:rPr>
        <w:t xml:space="preserve">konkurenčního prostředí a o odstranění a zabránění vzniku překážek, které konkurenci oslabují nebo omezují její fungování. Hlavní funkcí je tedy otevřít pro subjekty na trhu svobodný konkurenční prostor. Dále stanovuje právní normy v rámci soutěžního práva </w:t>
      </w:r>
      <w:r w:rsidR="003375BB">
        <w:rPr>
          <w:rFonts w:eastAsia="Times New Roman"/>
        </w:rPr>
        <w:br/>
      </w:r>
      <w:r w:rsidRPr="00FC3B7C">
        <w:rPr>
          <w:rFonts w:eastAsia="Times New Roman"/>
        </w:rPr>
        <w:t>a dohlíží nad jeho výkonem.</w:t>
      </w:r>
    </w:p>
    <w:p w14:paraId="4A6F3BC8" w14:textId="77777777" w:rsidR="008E0F74" w:rsidRPr="00FC3B7C" w:rsidRDefault="00256F29" w:rsidP="004B4706">
      <w:pPr>
        <w:rPr>
          <w:sz w:val="20"/>
          <w:szCs w:val="20"/>
        </w:rPr>
      </w:pPr>
      <w:r w:rsidRPr="00FC3B7C">
        <w:rPr>
          <w:rFonts w:eastAsia="Times New Roman"/>
          <w:i/>
          <w:iCs/>
          <w:u w:val="single"/>
        </w:rPr>
        <w:t>Relevantní trh</w:t>
      </w:r>
      <w:r w:rsidRPr="00FC3B7C">
        <w:rPr>
          <w:rFonts w:eastAsia="Times New Roman"/>
          <w:i/>
          <w:iCs/>
        </w:rPr>
        <w:t xml:space="preserve"> </w:t>
      </w:r>
      <w:r w:rsidRPr="00FC3B7C">
        <w:rPr>
          <w:rFonts w:eastAsia="Times New Roman"/>
        </w:rPr>
        <w:t>– Trh se zbožím, které je z hlediska jeho charakteristiky, ceny a zamýšleného</w:t>
      </w:r>
      <w:r w:rsidRPr="00FC3B7C">
        <w:rPr>
          <w:rFonts w:eastAsia="Times New Roman"/>
          <w:i/>
          <w:iCs/>
        </w:rPr>
        <w:t xml:space="preserve"> </w:t>
      </w:r>
      <w:r w:rsidRPr="00FC3B7C">
        <w:rPr>
          <w:rFonts w:eastAsia="Times New Roman"/>
        </w:rPr>
        <w:t>použití shodné, porovnatelné nebo vzájemně zastupitelné, a to na území, na němž jsou soutěžní podmínky dostatečně homogenní a zřetelně odlišitelné od ostatních území.</w:t>
      </w:r>
    </w:p>
    <w:p w14:paraId="4A6F3BC9" w14:textId="77777777" w:rsidR="008E0F74" w:rsidRPr="00FC3B7C" w:rsidRDefault="008E0F74">
      <w:pPr>
        <w:spacing w:line="3" w:lineRule="exact"/>
        <w:rPr>
          <w:sz w:val="20"/>
          <w:szCs w:val="20"/>
        </w:rPr>
      </w:pPr>
    </w:p>
    <w:p w14:paraId="4A6F3BCA" w14:textId="77777777" w:rsidR="003375BB" w:rsidRPr="003375BB" w:rsidRDefault="00256F29" w:rsidP="004B4706">
      <w:pPr>
        <w:rPr>
          <w:rFonts w:eastAsia="Times New Roman"/>
        </w:rPr>
      </w:pPr>
      <w:r w:rsidRPr="00FC3B7C">
        <w:rPr>
          <w:rFonts w:eastAsia="Times New Roman"/>
          <w:i/>
          <w:iCs/>
          <w:u w:val="single"/>
        </w:rPr>
        <w:t>Soutěžitel</w:t>
      </w:r>
      <w:r w:rsidRPr="00FC3B7C">
        <w:rPr>
          <w:rFonts w:eastAsia="Times New Roman"/>
          <w:i/>
          <w:iCs/>
        </w:rPr>
        <w:t xml:space="preserve"> </w:t>
      </w:r>
      <w:r w:rsidRPr="00FC3B7C">
        <w:rPr>
          <w:rFonts w:eastAsia="Times New Roman"/>
        </w:rPr>
        <w:t>– FO i PO, dále sdružení těchto osob, není ani nutné, aby byli podnikateli. Tyto osoby</w:t>
      </w:r>
      <w:r w:rsidRPr="00FC3B7C">
        <w:rPr>
          <w:rFonts w:eastAsia="Times New Roman"/>
          <w:i/>
          <w:iCs/>
        </w:rPr>
        <w:t xml:space="preserve"> </w:t>
      </w:r>
      <w:r w:rsidRPr="00FC3B7C">
        <w:rPr>
          <w:rFonts w:eastAsia="Times New Roman"/>
        </w:rPr>
        <w:t>se účastní hospodářské soutěže nebo ji mohou svým jednáním ovlivňovat a jsou povinni dodržovat právně závazná pravidla. Pod pojem soutěžitel lze zahrnout následující osoby:</w:t>
      </w:r>
    </w:p>
    <w:p w14:paraId="4A6F3BCB" w14:textId="77777777" w:rsidR="008E0F74" w:rsidRPr="00FC3B7C" w:rsidRDefault="008E0F74">
      <w:pPr>
        <w:spacing w:line="3" w:lineRule="exact"/>
        <w:rPr>
          <w:sz w:val="20"/>
          <w:szCs w:val="20"/>
        </w:rPr>
      </w:pPr>
    </w:p>
    <w:p w14:paraId="4A6F3BCC" w14:textId="77777777" w:rsidR="008E0F74" w:rsidRPr="00FC3B7C" w:rsidRDefault="00256F29" w:rsidP="00D46B53">
      <w:pPr>
        <w:numPr>
          <w:ilvl w:val="0"/>
          <w:numId w:val="206"/>
        </w:numPr>
        <w:tabs>
          <w:tab w:val="left" w:pos="720"/>
        </w:tabs>
        <w:ind w:left="720" w:hanging="364"/>
        <w:rPr>
          <w:rFonts w:eastAsia="Arial"/>
          <w:szCs w:val="24"/>
        </w:rPr>
      </w:pPr>
      <w:r w:rsidRPr="00FC3B7C">
        <w:rPr>
          <w:rFonts w:eastAsia="Times New Roman"/>
          <w:szCs w:val="24"/>
        </w:rPr>
        <w:t>individuální podnikatelé, tedy FO, mezi které patří zejména nejrůznější živnostníci</w:t>
      </w:r>
    </w:p>
    <w:p w14:paraId="4A6F3BCD" w14:textId="77777777" w:rsidR="008E0F74" w:rsidRPr="00FC3B7C" w:rsidRDefault="00256F29" w:rsidP="00D46B53">
      <w:pPr>
        <w:numPr>
          <w:ilvl w:val="0"/>
          <w:numId w:val="206"/>
        </w:numPr>
        <w:tabs>
          <w:tab w:val="left" w:pos="720"/>
        </w:tabs>
        <w:ind w:left="720" w:hanging="364"/>
        <w:rPr>
          <w:rFonts w:eastAsia="Arial"/>
          <w:szCs w:val="24"/>
        </w:rPr>
      </w:pPr>
      <w:r w:rsidRPr="00FC3B7C">
        <w:rPr>
          <w:rFonts w:eastAsia="Times New Roman"/>
          <w:szCs w:val="24"/>
        </w:rPr>
        <w:t>obchodní společnosti a družstva, tedy osoby právnické</w:t>
      </w:r>
    </w:p>
    <w:p w14:paraId="4A6F3BCE" w14:textId="77777777" w:rsidR="008E0F74" w:rsidRPr="00FC3B7C" w:rsidRDefault="00256F29" w:rsidP="00D46B53">
      <w:pPr>
        <w:numPr>
          <w:ilvl w:val="0"/>
          <w:numId w:val="206"/>
        </w:numPr>
        <w:tabs>
          <w:tab w:val="left" w:pos="720"/>
        </w:tabs>
        <w:ind w:left="720" w:hanging="364"/>
        <w:rPr>
          <w:rFonts w:eastAsia="Arial"/>
          <w:szCs w:val="24"/>
        </w:rPr>
      </w:pPr>
      <w:r w:rsidRPr="00FC3B7C">
        <w:rPr>
          <w:rFonts w:eastAsia="Times New Roman"/>
          <w:szCs w:val="24"/>
        </w:rPr>
        <w:t>společnosti veřejného práva, např. Středisko cenných papírů</w:t>
      </w:r>
    </w:p>
    <w:p w14:paraId="4A6F3BCF" w14:textId="77777777" w:rsidR="008E0F74" w:rsidRPr="00FC3B7C" w:rsidRDefault="00256F29" w:rsidP="00D46B53">
      <w:pPr>
        <w:numPr>
          <w:ilvl w:val="0"/>
          <w:numId w:val="206"/>
        </w:numPr>
        <w:tabs>
          <w:tab w:val="left" w:pos="720"/>
        </w:tabs>
        <w:ind w:left="720" w:right="60" w:hanging="364"/>
        <w:rPr>
          <w:rFonts w:eastAsia="Arial"/>
          <w:szCs w:val="24"/>
        </w:rPr>
      </w:pPr>
      <w:r w:rsidRPr="00FC3B7C">
        <w:rPr>
          <w:rFonts w:eastAsia="Times New Roman"/>
          <w:szCs w:val="24"/>
        </w:rPr>
        <w:t>sdružení individuálních soutěžitelů, a to bez ohledu na existenci jeho právní subjektivity, profesní komory</w:t>
      </w:r>
    </w:p>
    <w:p w14:paraId="4A6F3BD0" w14:textId="77777777" w:rsidR="008E0F74" w:rsidRPr="00FC3B7C" w:rsidRDefault="008E0F74">
      <w:pPr>
        <w:spacing w:line="120" w:lineRule="exact"/>
        <w:rPr>
          <w:sz w:val="20"/>
          <w:szCs w:val="20"/>
        </w:rPr>
      </w:pPr>
    </w:p>
    <w:p w14:paraId="4A6F3BD1" w14:textId="77777777" w:rsidR="008E0F74" w:rsidRPr="00FC3B7C" w:rsidRDefault="00256F29" w:rsidP="003375BB">
      <w:pPr>
        <w:rPr>
          <w:sz w:val="20"/>
          <w:szCs w:val="20"/>
        </w:rPr>
      </w:pPr>
      <w:r w:rsidRPr="00FC3B7C">
        <w:rPr>
          <w:rFonts w:eastAsia="Times New Roman"/>
          <w:i/>
          <w:iCs/>
          <w:u w:val="single"/>
        </w:rPr>
        <w:t>Tržní moc</w:t>
      </w:r>
      <w:r w:rsidRPr="00FC3B7C">
        <w:rPr>
          <w:rFonts w:eastAsia="Times New Roman"/>
          <w:i/>
          <w:iCs/>
        </w:rPr>
        <w:t xml:space="preserve"> </w:t>
      </w:r>
      <w:r w:rsidRPr="00FC3B7C">
        <w:rPr>
          <w:rFonts w:eastAsia="Times New Roman"/>
        </w:rPr>
        <w:t>– Stupeň</w:t>
      </w:r>
      <w:r w:rsidRPr="00FC3B7C">
        <w:rPr>
          <w:rFonts w:eastAsia="Times New Roman"/>
          <w:i/>
          <w:iCs/>
        </w:rPr>
        <w:t xml:space="preserve"> </w:t>
      </w:r>
      <w:r w:rsidRPr="00FC3B7C">
        <w:rPr>
          <w:rFonts w:eastAsia="Times New Roman"/>
        </w:rPr>
        <w:t>kontroly, kterou má jediná firma nebo malý</w:t>
      </w:r>
      <w:r w:rsidRPr="00FC3B7C">
        <w:rPr>
          <w:rFonts w:eastAsia="Times New Roman"/>
          <w:i/>
          <w:iCs/>
        </w:rPr>
        <w:t xml:space="preserve"> </w:t>
      </w:r>
      <w:r w:rsidRPr="00FC3B7C">
        <w:rPr>
          <w:rFonts w:eastAsia="Times New Roman"/>
        </w:rPr>
        <w:t xml:space="preserve">počet firem nad cenou </w:t>
      </w:r>
      <w:r w:rsidR="003375BB">
        <w:rPr>
          <w:rFonts w:eastAsia="Times New Roman"/>
        </w:rPr>
        <w:br/>
      </w:r>
      <w:r w:rsidRPr="00FC3B7C">
        <w:rPr>
          <w:rFonts w:eastAsia="Times New Roman"/>
        </w:rPr>
        <w:t>a</w:t>
      </w:r>
      <w:r w:rsidRPr="00FC3B7C">
        <w:rPr>
          <w:rFonts w:eastAsia="Times New Roman"/>
          <w:i/>
          <w:iCs/>
        </w:rPr>
        <w:t xml:space="preserve"> </w:t>
      </w:r>
      <w:r w:rsidRPr="00FC3B7C">
        <w:rPr>
          <w:rFonts w:eastAsia="Times New Roman"/>
        </w:rPr>
        <w:t>výrobními rozhodnutími v odvětví. Souvisí se schopností firem stanovit cenu nad náklady, tedy dosáhnout zisku.</w:t>
      </w:r>
    </w:p>
    <w:p w14:paraId="4A6F3BD2" w14:textId="77777777" w:rsidR="008E0F74" w:rsidRDefault="008E0F74">
      <w:pPr>
        <w:spacing w:line="200" w:lineRule="exact"/>
        <w:rPr>
          <w:sz w:val="20"/>
          <w:szCs w:val="20"/>
        </w:rPr>
      </w:pPr>
    </w:p>
    <w:p w14:paraId="4A6F3BD3" w14:textId="77777777" w:rsidR="003375BB" w:rsidRDefault="003375BB">
      <w:pPr>
        <w:spacing w:line="200" w:lineRule="exact"/>
        <w:rPr>
          <w:sz w:val="20"/>
          <w:szCs w:val="20"/>
        </w:rPr>
      </w:pPr>
    </w:p>
    <w:p w14:paraId="4A6F3BD4" w14:textId="77777777" w:rsidR="003375BB" w:rsidRDefault="003375BB">
      <w:pPr>
        <w:spacing w:line="200" w:lineRule="exact"/>
        <w:rPr>
          <w:sz w:val="20"/>
          <w:szCs w:val="20"/>
        </w:rPr>
      </w:pPr>
    </w:p>
    <w:p w14:paraId="4A6F3BD5" w14:textId="77777777" w:rsidR="003375BB" w:rsidRDefault="003375BB">
      <w:pPr>
        <w:spacing w:line="200" w:lineRule="exact"/>
        <w:rPr>
          <w:sz w:val="20"/>
          <w:szCs w:val="20"/>
        </w:rPr>
      </w:pPr>
    </w:p>
    <w:p w14:paraId="4A6F3BD6" w14:textId="77777777" w:rsidR="003375BB" w:rsidRDefault="003375BB">
      <w:pPr>
        <w:spacing w:line="200" w:lineRule="exact"/>
        <w:rPr>
          <w:sz w:val="20"/>
          <w:szCs w:val="20"/>
        </w:rPr>
      </w:pPr>
    </w:p>
    <w:p w14:paraId="4A6F3BD7" w14:textId="77777777" w:rsidR="003375BB" w:rsidRDefault="003375BB">
      <w:pPr>
        <w:spacing w:line="200" w:lineRule="exact"/>
        <w:rPr>
          <w:sz w:val="20"/>
          <w:szCs w:val="20"/>
        </w:rPr>
      </w:pPr>
    </w:p>
    <w:p w14:paraId="4A6F3BD8" w14:textId="77777777" w:rsidR="003375BB" w:rsidRDefault="003375BB">
      <w:pPr>
        <w:spacing w:line="200" w:lineRule="exact"/>
        <w:rPr>
          <w:sz w:val="20"/>
          <w:szCs w:val="20"/>
        </w:rPr>
      </w:pPr>
    </w:p>
    <w:p w14:paraId="4A6F3BD9" w14:textId="77777777" w:rsidR="003375BB" w:rsidRDefault="003375BB">
      <w:pPr>
        <w:spacing w:line="200" w:lineRule="exact"/>
        <w:rPr>
          <w:sz w:val="20"/>
          <w:szCs w:val="20"/>
        </w:rPr>
      </w:pPr>
    </w:p>
    <w:p w14:paraId="4A6F3BDA" w14:textId="77777777" w:rsidR="003375BB" w:rsidRDefault="003375BB" w:rsidP="003375BB">
      <w:pPr>
        <w:spacing w:line="240" w:lineRule="auto"/>
        <w:jc w:val="left"/>
        <w:rPr>
          <w:sz w:val="20"/>
          <w:szCs w:val="20"/>
        </w:rPr>
      </w:pPr>
    </w:p>
    <w:p w14:paraId="4A6F3BDB" w14:textId="77777777" w:rsidR="003375BB" w:rsidRDefault="003375BB" w:rsidP="003375BB">
      <w:pPr>
        <w:spacing w:line="240" w:lineRule="auto"/>
        <w:jc w:val="left"/>
        <w:rPr>
          <w:sz w:val="20"/>
          <w:szCs w:val="20"/>
        </w:rPr>
      </w:pPr>
    </w:p>
    <w:p w14:paraId="4A6F3BDC" w14:textId="77777777" w:rsidR="003375BB" w:rsidRDefault="003375BB" w:rsidP="003375BB">
      <w:pPr>
        <w:spacing w:line="240" w:lineRule="auto"/>
        <w:jc w:val="left"/>
        <w:rPr>
          <w:sz w:val="20"/>
          <w:szCs w:val="20"/>
        </w:rPr>
      </w:pPr>
    </w:p>
    <w:p w14:paraId="4A6F3BDD" w14:textId="77777777" w:rsidR="003375BB" w:rsidRDefault="003375BB" w:rsidP="003375BB">
      <w:pPr>
        <w:spacing w:line="240" w:lineRule="auto"/>
        <w:jc w:val="left"/>
        <w:rPr>
          <w:sz w:val="20"/>
          <w:szCs w:val="20"/>
        </w:rPr>
      </w:pPr>
    </w:p>
    <w:p w14:paraId="4A6F3BDE" w14:textId="77777777" w:rsidR="003375BB" w:rsidRPr="00FC3B7C" w:rsidRDefault="003375BB" w:rsidP="003375BB">
      <w:pPr>
        <w:spacing w:line="240" w:lineRule="auto"/>
        <w:jc w:val="left"/>
        <w:rPr>
          <w:sz w:val="20"/>
          <w:szCs w:val="20"/>
        </w:rPr>
      </w:pPr>
    </w:p>
    <w:p w14:paraId="4A6F3BDF" w14:textId="77777777" w:rsidR="008E0F74" w:rsidRPr="00FC3B7C" w:rsidRDefault="008E0F74">
      <w:pPr>
        <w:spacing w:line="217" w:lineRule="exact"/>
        <w:rPr>
          <w:sz w:val="20"/>
          <w:szCs w:val="20"/>
        </w:rPr>
      </w:pPr>
    </w:p>
    <w:p w14:paraId="4A6F3BE0" w14:textId="77777777" w:rsidR="008E0F74" w:rsidRPr="00201107" w:rsidRDefault="00256F29" w:rsidP="003375BB">
      <w:pPr>
        <w:pStyle w:val="Nadpis2"/>
        <w:rPr>
          <w:color w:val="1F3864" w:themeColor="accent1" w:themeShade="80"/>
          <w:sz w:val="20"/>
          <w:szCs w:val="20"/>
        </w:rPr>
      </w:pPr>
      <w:r w:rsidRPr="00201107">
        <w:rPr>
          <w:rFonts w:eastAsia="Times New Roman"/>
          <w:color w:val="1F3864" w:themeColor="accent1" w:themeShade="80"/>
        </w:rPr>
        <w:lastRenderedPageBreak/>
        <w:t>KONKURENCE</w:t>
      </w:r>
    </w:p>
    <w:p w14:paraId="4A6F3BE1" w14:textId="07A0589B" w:rsidR="008E0F74" w:rsidRPr="00FC3B7C" w:rsidRDefault="00232D39" w:rsidP="003375BB">
      <w:pPr>
        <w:rPr>
          <w:sz w:val="20"/>
          <w:szCs w:val="20"/>
        </w:rPr>
      </w:pPr>
      <w:r w:rsidRPr="004B6CDE">
        <w:rPr>
          <w:rFonts w:eastAsia="Times New Roman"/>
        </w:rPr>
        <w:t>Konkurence je p</w:t>
      </w:r>
      <w:r w:rsidR="00256F29" w:rsidRPr="004B6CDE">
        <w:rPr>
          <w:rFonts w:eastAsia="Times New Roman"/>
        </w:rPr>
        <w:t xml:space="preserve">ředpokladem pro fungování tržního mechanismu. Podstata konkurence se skrývá ve střetávání zájmů dvou a více subjektů. Konkurence napříč </w:t>
      </w:r>
      <w:r w:rsidR="00256F29" w:rsidRPr="00FC3B7C">
        <w:rPr>
          <w:rFonts w:eastAsia="Times New Roman"/>
        </w:rPr>
        <w:t>trhem je dána přítomností nabídky a poptávky na každém trhu. Existuje také konkurence na straně poptávky, nejdůležitější je ale konkurence na straně nabídky.</w:t>
      </w:r>
    </w:p>
    <w:p w14:paraId="4A6F3BE2" w14:textId="77777777" w:rsidR="008E0F74" w:rsidRPr="00FC3B7C" w:rsidRDefault="008E0F74">
      <w:pPr>
        <w:spacing w:line="183" w:lineRule="exact"/>
        <w:rPr>
          <w:sz w:val="20"/>
          <w:szCs w:val="20"/>
        </w:rPr>
      </w:pPr>
    </w:p>
    <w:p w14:paraId="4A6F3BE3" w14:textId="65E3B97C" w:rsidR="008E0F74" w:rsidRPr="00FC3B7C" w:rsidRDefault="003376E1" w:rsidP="003375BB">
      <w:pPr>
        <w:pStyle w:val="Nadpis3"/>
        <w:rPr>
          <w:sz w:val="20"/>
          <w:szCs w:val="20"/>
        </w:rPr>
      </w:pPr>
      <w:r>
        <w:rPr>
          <w:rFonts w:eastAsia="Times New Roman"/>
        </w:rPr>
        <w:t xml:space="preserve"> </w:t>
      </w:r>
      <w:r w:rsidR="00256F29" w:rsidRPr="00201107">
        <w:rPr>
          <w:rFonts w:eastAsia="Times New Roman"/>
          <w:color w:val="1F3864" w:themeColor="accent1" w:themeShade="80"/>
        </w:rPr>
        <w:t>Statistické a dynamické pojetí konkurence</w:t>
      </w:r>
    </w:p>
    <w:p w14:paraId="4A6F3BE4" w14:textId="77777777" w:rsidR="008E0F74" w:rsidRPr="00FC3B7C" w:rsidRDefault="008E0F74">
      <w:pPr>
        <w:spacing w:line="240" w:lineRule="exact"/>
        <w:rPr>
          <w:sz w:val="20"/>
          <w:szCs w:val="20"/>
        </w:rPr>
      </w:pPr>
    </w:p>
    <w:p w14:paraId="4A6F3BE5" w14:textId="54D6C550" w:rsidR="008E0F74" w:rsidRPr="00201107" w:rsidRDefault="00B90844" w:rsidP="00B90844">
      <w:pPr>
        <w:pStyle w:val="Nadpis4"/>
        <w:ind w:left="567" w:firstLine="0"/>
        <w:rPr>
          <w:color w:val="1F3864" w:themeColor="accent1" w:themeShade="80"/>
          <w:sz w:val="20"/>
          <w:szCs w:val="20"/>
        </w:rPr>
      </w:pPr>
      <w:r w:rsidRPr="00201107">
        <w:rPr>
          <w:rFonts w:eastAsia="Times New Roman"/>
          <w:color w:val="1F3864" w:themeColor="accent1" w:themeShade="80"/>
        </w:rPr>
        <w:t xml:space="preserve"> </w:t>
      </w:r>
      <w:r w:rsidR="00256F29" w:rsidRPr="00201107">
        <w:rPr>
          <w:rFonts w:eastAsia="Times New Roman"/>
          <w:color w:val="1F3864" w:themeColor="accent1" w:themeShade="80"/>
        </w:rPr>
        <w:t>Statické pojetí</w:t>
      </w:r>
    </w:p>
    <w:p w14:paraId="4A6F3BE6" w14:textId="77777777" w:rsidR="008E0F74" w:rsidRPr="00FC3B7C" w:rsidRDefault="008E0F74">
      <w:pPr>
        <w:spacing w:line="128" w:lineRule="exact"/>
        <w:rPr>
          <w:sz w:val="20"/>
          <w:szCs w:val="20"/>
        </w:rPr>
      </w:pPr>
    </w:p>
    <w:p w14:paraId="3FEE5F04" w14:textId="77777777" w:rsidR="00232D39" w:rsidRPr="004B6CDE" w:rsidRDefault="00256F29" w:rsidP="00232D39">
      <w:pPr>
        <w:rPr>
          <w:rFonts w:eastAsia="Times New Roman"/>
        </w:rPr>
      </w:pPr>
      <w:r w:rsidRPr="004B6CDE">
        <w:rPr>
          <w:rFonts w:eastAsia="Times New Roman"/>
        </w:rPr>
        <w:t>Typické pro klasickou teorii – pouze teoretický model. Síla konkurence spočívá v počtu výrobců na trhu</w:t>
      </w:r>
      <w:r w:rsidR="00232D39" w:rsidRPr="004B6CDE">
        <w:rPr>
          <w:rFonts w:eastAsia="Times New Roman"/>
        </w:rPr>
        <w:t>. Č</w:t>
      </w:r>
      <w:r w:rsidRPr="004B6CDE">
        <w:rPr>
          <w:rFonts w:eastAsia="Times New Roman"/>
        </w:rPr>
        <w:t xml:space="preserve">ím více </w:t>
      </w:r>
      <w:r w:rsidR="00232D39" w:rsidRPr="004B6CDE">
        <w:rPr>
          <w:rFonts w:eastAsia="Times New Roman"/>
        </w:rPr>
        <w:t xml:space="preserve">výrobců, </w:t>
      </w:r>
      <w:r w:rsidRPr="004B6CDE">
        <w:rPr>
          <w:rFonts w:eastAsia="Times New Roman"/>
        </w:rPr>
        <w:t xml:space="preserve">tím větší konkurence. Statické pojetí se zabývá statickým stavem rovnováhy v krátkém období. Statická efektivnost konkurence – firma vyrábí efektivní množství, počet firem v dlouhém období na trhu je efektivní, z toho plyne, že dokonalá konkurence vede k maximální efektivnosti ve statickém smyslu, tedy při dané technologii. </w:t>
      </w:r>
    </w:p>
    <w:p w14:paraId="4A6F3BE7" w14:textId="40CAD230" w:rsidR="008E0F74" w:rsidRPr="00FC3B7C" w:rsidRDefault="00256F29" w:rsidP="00232D39">
      <w:pPr>
        <w:ind w:firstLine="720"/>
        <w:rPr>
          <w:sz w:val="20"/>
          <w:szCs w:val="20"/>
        </w:rPr>
      </w:pPr>
      <w:r w:rsidRPr="004B6CDE">
        <w:rPr>
          <w:rFonts w:eastAsia="Times New Roman"/>
        </w:rPr>
        <w:t xml:space="preserve">Toto pojetí je kritizováno liberálními ekonomy </w:t>
      </w:r>
      <w:r w:rsidRPr="00FC3B7C">
        <w:rPr>
          <w:rFonts w:eastAsia="Times New Roman"/>
        </w:rPr>
        <w:t>z hlediska naprosté statičnosti, podlamuje motivace k produktovým a produkčním zlepšením, také kvůli neexistující nejistotě a nedosažitelnosti úspor z rozsahu. Podle nich dokonalá konkurence neumožňuje naplnit pravou podstatu. Model selhává v reálném světě, neodpovídá reálným procesům a je nedosažitelnou utopií, proto i regulace vedená tímto konceptem postrádá smysl.</w:t>
      </w:r>
    </w:p>
    <w:p w14:paraId="4A6F3BE8" w14:textId="77777777" w:rsidR="003375BB" w:rsidRDefault="003375BB">
      <w:pPr>
        <w:tabs>
          <w:tab w:val="left" w:pos="1560"/>
        </w:tabs>
        <w:ind w:left="500"/>
        <w:rPr>
          <w:rFonts w:eastAsia="Times New Roman"/>
          <w:b/>
          <w:bCs/>
          <w:i/>
          <w:iCs/>
          <w:szCs w:val="24"/>
        </w:rPr>
      </w:pPr>
      <w:bookmarkStart w:id="220" w:name="page220"/>
      <w:bookmarkEnd w:id="220"/>
    </w:p>
    <w:p w14:paraId="4A6F3BE9" w14:textId="77777777" w:rsidR="008E0F74" w:rsidRPr="00201107" w:rsidRDefault="00256F29" w:rsidP="003375BB">
      <w:pPr>
        <w:pStyle w:val="Nadpis4"/>
        <w:rPr>
          <w:color w:val="1F3864" w:themeColor="accent1" w:themeShade="80"/>
          <w:sz w:val="20"/>
          <w:szCs w:val="20"/>
        </w:rPr>
      </w:pPr>
      <w:r w:rsidRPr="00201107">
        <w:rPr>
          <w:rFonts w:eastAsia="Times New Roman"/>
          <w:color w:val="1F3864" w:themeColor="accent1" w:themeShade="80"/>
        </w:rPr>
        <w:t>Dynamické pojetí</w:t>
      </w:r>
    </w:p>
    <w:p w14:paraId="4A6F3BEA" w14:textId="77777777" w:rsidR="008E0F74" w:rsidRPr="00FC3B7C" w:rsidRDefault="008E0F74">
      <w:pPr>
        <w:spacing w:line="128" w:lineRule="exact"/>
        <w:rPr>
          <w:sz w:val="20"/>
          <w:szCs w:val="20"/>
        </w:rPr>
      </w:pPr>
    </w:p>
    <w:p w14:paraId="4A6F3BEB" w14:textId="77777777" w:rsidR="008E0F74" w:rsidRPr="00FC3B7C" w:rsidRDefault="00256F29" w:rsidP="003375BB">
      <w:pPr>
        <w:rPr>
          <w:sz w:val="20"/>
          <w:szCs w:val="20"/>
        </w:rPr>
      </w:pPr>
      <w:r w:rsidRPr="00FC3B7C">
        <w:rPr>
          <w:rFonts w:eastAsia="Times New Roman"/>
        </w:rPr>
        <w:t>V tomto pojetí se odráží učení Rakouské školy. Konkurence je dynamický proces, kde inovace jsou hlavní hnací silou. Dynamická efektivnost znamená zlepšení v důsledku inovací a nových technologií. Výsledkem tohoto procesu konkurence tudíž může být i firma s určitou monopolní silou, což může zapříčinit vznik překážek vstupu na trh pro ostatní konkurenční firmy,</w:t>
      </w:r>
      <w:r w:rsidR="003375BB">
        <w:rPr>
          <w:rFonts w:eastAsia="Times New Roman"/>
        </w:rPr>
        <w:br/>
      </w:r>
      <w:r w:rsidRPr="00FC3B7C">
        <w:rPr>
          <w:rFonts w:eastAsia="Times New Roman"/>
        </w:rPr>
        <w:t xml:space="preserve"> z pohledu dynamické efektivnosti by však stát neměl přistupovat k regulaci. Konkurence se vysvětluje jako proces hledání příležitostí, cenového přizpůsobování, konkurenčních reakcí, inovací a produktové diferenciace. Nezávisí na momentálním počtu firem na trhu, ale na otevřenosti trhu. Je-li trh otevřený pro vstup nových firem, je to trh konkurenční. Dynamické pojetí konkurence sleduje vývoj trhů v dlouhém období – důležitou roli hraje technologický pokrok.</w:t>
      </w:r>
    </w:p>
    <w:p w14:paraId="4A6F3BED" w14:textId="70600CB5" w:rsidR="008E0F74" w:rsidRPr="00FC3B7C" w:rsidRDefault="003375BB" w:rsidP="00BA3CE7">
      <w:pPr>
        <w:spacing w:line="240" w:lineRule="auto"/>
        <w:jc w:val="left"/>
        <w:rPr>
          <w:sz w:val="20"/>
          <w:szCs w:val="20"/>
        </w:rPr>
      </w:pPr>
      <w:r>
        <w:rPr>
          <w:sz w:val="20"/>
          <w:szCs w:val="20"/>
        </w:rPr>
        <w:br w:type="page"/>
      </w:r>
    </w:p>
    <w:p w14:paraId="4A6F3BEE" w14:textId="514C5B35" w:rsidR="008E0F74" w:rsidRPr="00201107" w:rsidRDefault="00B90844" w:rsidP="003375BB">
      <w:pPr>
        <w:pStyle w:val="Nadpis2"/>
        <w:rPr>
          <w:color w:val="1F3864" w:themeColor="accent1" w:themeShade="80"/>
          <w:sz w:val="20"/>
          <w:szCs w:val="20"/>
        </w:rPr>
      </w:pPr>
      <w:r w:rsidRPr="00201107">
        <w:rPr>
          <w:rFonts w:eastAsia="Times New Roman"/>
          <w:color w:val="1F3864" w:themeColor="accent1" w:themeShade="80"/>
        </w:rPr>
        <w:lastRenderedPageBreak/>
        <w:t xml:space="preserve"> </w:t>
      </w:r>
      <w:r w:rsidR="00256F29" w:rsidRPr="00201107">
        <w:rPr>
          <w:rFonts w:eastAsia="Times New Roman"/>
          <w:color w:val="1F3864" w:themeColor="accent1" w:themeShade="80"/>
        </w:rPr>
        <w:t>PŘEKÁŽKY VSTUPU NA TRH</w:t>
      </w:r>
    </w:p>
    <w:p w14:paraId="4A6F3BEF" w14:textId="77777777" w:rsidR="008E0F74" w:rsidRPr="00FC3B7C" w:rsidRDefault="008E0F74">
      <w:pPr>
        <w:spacing w:line="246" w:lineRule="exact"/>
        <w:rPr>
          <w:sz w:val="20"/>
          <w:szCs w:val="20"/>
        </w:rPr>
      </w:pPr>
    </w:p>
    <w:p w14:paraId="4A6F3BF0" w14:textId="3786E81F" w:rsidR="008E0F74" w:rsidRPr="00FC3B7C" w:rsidRDefault="00256F29" w:rsidP="003375BB">
      <w:pPr>
        <w:rPr>
          <w:sz w:val="20"/>
          <w:szCs w:val="20"/>
        </w:rPr>
      </w:pPr>
      <w:r w:rsidRPr="00FC3B7C">
        <w:rPr>
          <w:rFonts w:eastAsia="Times New Roman"/>
        </w:rPr>
        <w:t xml:space="preserve">Tyto překážky jsou hlavním důvodem omezování konkurence. </w:t>
      </w:r>
      <w:r w:rsidR="00B90844">
        <w:rPr>
          <w:rFonts w:eastAsia="Times New Roman"/>
        </w:rPr>
        <w:t>B</w:t>
      </w:r>
      <w:r w:rsidRPr="00FC3B7C">
        <w:rPr>
          <w:rFonts w:eastAsia="Times New Roman"/>
        </w:rPr>
        <w:t xml:space="preserve">ariéry můžeme vidět </w:t>
      </w:r>
      <w:r w:rsidR="003375BB">
        <w:rPr>
          <w:rFonts w:eastAsia="Times New Roman"/>
        </w:rPr>
        <w:br/>
      </w:r>
      <w:r w:rsidRPr="00FC3B7C">
        <w:rPr>
          <w:rFonts w:eastAsia="Times New Roman"/>
        </w:rPr>
        <w:t xml:space="preserve">ve výhodách firem v odvětví již </w:t>
      </w:r>
      <w:r w:rsidRPr="004B6CDE">
        <w:rPr>
          <w:rFonts w:eastAsia="Times New Roman"/>
        </w:rPr>
        <w:t>stávajícím, před firmami</w:t>
      </w:r>
      <w:r w:rsidR="00B90844" w:rsidRPr="004B6CDE">
        <w:rPr>
          <w:rFonts w:eastAsia="Times New Roman"/>
        </w:rPr>
        <w:t>, které na trh teprve vstupují.</w:t>
      </w:r>
    </w:p>
    <w:p w14:paraId="4A6F3BF1" w14:textId="77777777" w:rsidR="008E0F74" w:rsidRPr="00FC3B7C" w:rsidRDefault="008E0F74">
      <w:pPr>
        <w:spacing w:line="167" w:lineRule="exact"/>
        <w:rPr>
          <w:sz w:val="20"/>
          <w:szCs w:val="20"/>
        </w:rPr>
      </w:pPr>
    </w:p>
    <w:p w14:paraId="76C56BF7" w14:textId="47C7F9C6" w:rsidR="00B90844" w:rsidRPr="00B90844" w:rsidRDefault="00B90844" w:rsidP="00B90844">
      <w:pPr>
        <w:pStyle w:val="Nadpis3"/>
        <w:rPr>
          <w:rFonts w:eastAsia="Times New Roman"/>
          <w:color w:val="2F5496" w:themeColor="accent1" w:themeShade="BF"/>
        </w:rPr>
      </w:pPr>
      <w:r>
        <w:rPr>
          <w:rFonts w:eastAsia="Times New Roman"/>
        </w:rPr>
        <w:t xml:space="preserve"> </w:t>
      </w:r>
      <w:r w:rsidR="00256F29" w:rsidRPr="00201107">
        <w:rPr>
          <w:rFonts w:eastAsia="Times New Roman"/>
          <w:color w:val="1F3864" w:themeColor="accent1" w:themeShade="80"/>
        </w:rPr>
        <w:t>Typy překážek vstupu na trh</w:t>
      </w:r>
    </w:p>
    <w:p w14:paraId="46BA5BF3" w14:textId="77777777" w:rsidR="00B90844" w:rsidRPr="004B6CDE" w:rsidRDefault="00256F29" w:rsidP="00B90844">
      <w:pPr>
        <w:rPr>
          <w:rFonts w:eastAsia="Times New Roman"/>
        </w:rPr>
      </w:pPr>
      <w:r w:rsidRPr="00FC3B7C">
        <w:rPr>
          <w:rFonts w:eastAsia="Times New Roman"/>
          <w:b/>
          <w:bCs/>
        </w:rPr>
        <w:t xml:space="preserve">Ekonomické překážky </w:t>
      </w:r>
      <w:r w:rsidRPr="00FC3B7C">
        <w:rPr>
          <w:rFonts w:eastAsia="Times New Roman"/>
        </w:rPr>
        <w:t>– omezují konkurenci v malém počtu konkurentů</w:t>
      </w:r>
      <w:r w:rsidRPr="00FC3B7C">
        <w:rPr>
          <w:rFonts w:eastAsia="Times New Roman"/>
          <w:b/>
          <w:bCs/>
        </w:rPr>
        <w:t xml:space="preserve"> </w:t>
      </w:r>
      <w:r w:rsidRPr="00FC3B7C">
        <w:rPr>
          <w:rFonts w:eastAsia="Times New Roman"/>
        </w:rPr>
        <w:t>a vysoké tržní</w:t>
      </w:r>
      <w:r w:rsidRPr="00FC3B7C">
        <w:rPr>
          <w:rFonts w:eastAsia="Times New Roman"/>
          <w:b/>
          <w:bCs/>
        </w:rPr>
        <w:t xml:space="preserve"> </w:t>
      </w:r>
      <w:r w:rsidRPr="004B6CDE">
        <w:rPr>
          <w:rFonts w:eastAsia="Times New Roman"/>
        </w:rPr>
        <w:t xml:space="preserve">koncentraci. </w:t>
      </w:r>
      <w:r w:rsidR="00B90844" w:rsidRPr="004B6CDE">
        <w:rPr>
          <w:rFonts w:eastAsia="Times New Roman"/>
        </w:rPr>
        <w:t>Zde se projevuje výhoda první firmy na trhu.</w:t>
      </w:r>
    </w:p>
    <w:p w14:paraId="4A6F3BF3" w14:textId="0E7D0E81" w:rsidR="008E0F74" w:rsidRPr="004B6CDE" w:rsidRDefault="00D941BE" w:rsidP="00B90844">
      <w:pPr>
        <w:rPr>
          <w:sz w:val="20"/>
          <w:szCs w:val="20"/>
        </w:rPr>
      </w:pPr>
      <w:r w:rsidRPr="004B6CDE">
        <w:rPr>
          <w:rFonts w:eastAsia="Times New Roman"/>
          <w:u w:val="single"/>
        </w:rPr>
        <w:t>Příklad</w:t>
      </w:r>
      <w:r w:rsidR="00256F29" w:rsidRPr="004B6CDE">
        <w:rPr>
          <w:rFonts w:eastAsia="Times New Roman"/>
          <w:u w:val="single"/>
        </w:rPr>
        <w:t>:</w:t>
      </w:r>
      <w:r w:rsidR="00256F29" w:rsidRPr="004B6CDE">
        <w:rPr>
          <w:rFonts w:eastAsia="Times New Roman"/>
        </w:rPr>
        <w:t xml:space="preserve"> vysoké transakční náklady, přístup ke kapitálu, úspory</w:t>
      </w:r>
      <w:r w:rsidR="003375BB" w:rsidRPr="004B6CDE">
        <w:rPr>
          <w:rFonts w:eastAsia="Times New Roman"/>
        </w:rPr>
        <w:br/>
      </w:r>
      <w:r w:rsidR="00256F29" w:rsidRPr="004B6CDE">
        <w:rPr>
          <w:rFonts w:eastAsia="Times New Roman"/>
        </w:rPr>
        <w:t>z rozsahu, loajalita zákazníků, reputace či náklady na změnu dodavatele</w:t>
      </w:r>
    </w:p>
    <w:p w14:paraId="4A6F3BF4" w14:textId="77777777" w:rsidR="008E0F74" w:rsidRPr="004B6CDE" w:rsidRDefault="008E0F74">
      <w:pPr>
        <w:spacing w:line="69" w:lineRule="exact"/>
        <w:rPr>
          <w:sz w:val="20"/>
          <w:szCs w:val="20"/>
        </w:rPr>
      </w:pPr>
    </w:p>
    <w:p w14:paraId="35A10E2C" w14:textId="77777777" w:rsidR="00B90844" w:rsidRPr="004B6CDE" w:rsidRDefault="00256F29" w:rsidP="003375BB">
      <w:pPr>
        <w:rPr>
          <w:rFonts w:eastAsia="Times New Roman"/>
        </w:rPr>
      </w:pPr>
      <w:r w:rsidRPr="004B6CDE">
        <w:rPr>
          <w:rFonts w:eastAsia="Times New Roman"/>
          <w:b/>
          <w:bCs/>
        </w:rPr>
        <w:t xml:space="preserve">Endogenní (strategické) překážky </w:t>
      </w:r>
      <w:r w:rsidRPr="004B6CDE">
        <w:rPr>
          <w:rFonts w:eastAsia="Times New Roman"/>
        </w:rPr>
        <w:t>– tyto překážky vytvářejí samotné firmy, zabraňující</w:t>
      </w:r>
      <w:r w:rsidRPr="004B6CDE">
        <w:rPr>
          <w:rFonts w:eastAsia="Times New Roman"/>
          <w:b/>
          <w:bCs/>
        </w:rPr>
        <w:t xml:space="preserve"> </w:t>
      </w:r>
      <w:r w:rsidRPr="004B6CDE">
        <w:rPr>
          <w:rFonts w:eastAsia="Times New Roman"/>
        </w:rPr>
        <w:t xml:space="preserve">vstupu nových firem – konkurentů – na trh. </w:t>
      </w:r>
    </w:p>
    <w:p w14:paraId="4A6F3BF5" w14:textId="2BB93A6A" w:rsidR="008E0F74" w:rsidRPr="004B6CDE" w:rsidRDefault="00D941BE" w:rsidP="003375BB">
      <w:pPr>
        <w:rPr>
          <w:sz w:val="20"/>
          <w:szCs w:val="20"/>
        </w:rPr>
      </w:pPr>
      <w:r w:rsidRPr="004B6CDE">
        <w:rPr>
          <w:rFonts w:eastAsia="Times New Roman"/>
          <w:u w:val="single"/>
        </w:rPr>
        <w:t>Příklad</w:t>
      </w:r>
      <w:r w:rsidRPr="004B6CDE">
        <w:rPr>
          <w:rFonts w:eastAsia="Times New Roman"/>
        </w:rPr>
        <w:t>:</w:t>
      </w:r>
      <w:r w:rsidR="00256F29" w:rsidRPr="004B6CDE">
        <w:rPr>
          <w:rFonts w:eastAsia="Times New Roman"/>
        </w:rPr>
        <w:t xml:space="preserve"> cenová diskriminace, zastrašování, vysoké investice, predátorské ceny, kartelové dohody</w:t>
      </w:r>
    </w:p>
    <w:p w14:paraId="4A6F3BF6" w14:textId="77777777" w:rsidR="008E0F74" w:rsidRPr="004B6CDE" w:rsidRDefault="008E0F74">
      <w:pPr>
        <w:spacing w:line="56" w:lineRule="exact"/>
        <w:rPr>
          <w:sz w:val="20"/>
          <w:szCs w:val="20"/>
        </w:rPr>
      </w:pPr>
    </w:p>
    <w:p w14:paraId="5E052F2C" w14:textId="77777777" w:rsidR="00D941BE" w:rsidRPr="004B6CDE" w:rsidRDefault="00256F29" w:rsidP="003375BB">
      <w:pPr>
        <w:rPr>
          <w:rFonts w:eastAsia="Times New Roman"/>
        </w:rPr>
      </w:pPr>
      <w:r w:rsidRPr="004B6CDE">
        <w:rPr>
          <w:rFonts w:eastAsia="Times New Roman"/>
          <w:b/>
          <w:bCs/>
        </w:rPr>
        <w:t xml:space="preserve">Exogenní (administrativní) překážky </w:t>
      </w:r>
      <w:r w:rsidRPr="004B6CDE">
        <w:rPr>
          <w:rFonts w:eastAsia="Times New Roman"/>
        </w:rPr>
        <w:t xml:space="preserve">– jsou dány technologiemi a dostupnými zdroji, ale </w:t>
      </w:r>
      <w:r w:rsidR="003375BB" w:rsidRPr="004B6CDE">
        <w:rPr>
          <w:rFonts w:eastAsia="Times New Roman"/>
        </w:rPr>
        <w:br/>
      </w:r>
      <w:r w:rsidRPr="004B6CDE">
        <w:rPr>
          <w:rFonts w:eastAsia="Times New Roman"/>
        </w:rPr>
        <w:t>i</w:t>
      </w:r>
      <w:r w:rsidRPr="004B6CDE">
        <w:rPr>
          <w:rFonts w:eastAsia="Times New Roman"/>
          <w:b/>
          <w:bCs/>
        </w:rPr>
        <w:t xml:space="preserve"> </w:t>
      </w:r>
      <w:r w:rsidRPr="004B6CDE">
        <w:rPr>
          <w:rFonts w:eastAsia="Times New Roman"/>
        </w:rPr>
        <w:t xml:space="preserve">státními intervencemi. </w:t>
      </w:r>
    </w:p>
    <w:p w14:paraId="4A6F3BF7" w14:textId="3D955BE1" w:rsidR="008E0F74" w:rsidRPr="004B6CDE" w:rsidRDefault="00D941BE" w:rsidP="003375BB">
      <w:pPr>
        <w:rPr>
          <w:sz w:val="20"/>
          <w:szCs w:val="20"/>
        </w:rPr>
      </w:pPr>
      <w:r w:rsidRPr="004B6CDE">
        <w:rPr>
          <w:rFonts w:eastAsia="Times New Roman"/>
          <w:u w:val="single"/>
        </w:rPr>
        <w:t>Příklad:</w:t>
      </w:r>
      <w:r w:rsidRPr="004B6CDE">
        <w:rPr>
          <w:rFonts w:eastAsia="Times New Roman"/>
        </w:rPr>
        <w:t xml:space="preserve"> p</w:t>
      </w:r>
      <w:r w:rsidR="00256F29" w:rsidRPr="004B6CDE">
        <w:rPr>
          <w:rFonts w:eastAsia="Times New Roman"/>
        </w:rPr>
        <w:t>atenty, regulace, subvence, dotace, licen</w:t>
      </w:r>
      <w:r w:rsidRPr="004B6CDE">
        <w:rPr>
          <w:rFonts w:eastAsia="Times New Roman"/>
        </w:rPr>
        <w:t xml:space="preserve">ce </w:t>
      </w:r>
    </w:p>
    <w:p w14:paraId="4A6F3BF8" w14:textId="77777777" w:rsidR="008E0F74" w:rsidRPr="00FC3B7C" w:rsidRDefault="008E0F74">
      <w:pPr>
        <w:spacing w:line="392" w:lineRule="exact"/>
        <w:rPr>
          <w:sz w:val="20"/>
          <w:szCs w:val="20"/>
        </w:rPr>
      </w:pPr>
    </w:p>
    <w:p w14:paraId="4A6F3BF9" w14:textId="77777777" w:rsidR="008E0F74" w:rsidRPr="00201107" w:rsidRDefault="00256F29" w:rsidP="003375BB">
      <w:pPr>
        <w:pStyle w:val="Nadpis2"/>
        <w:rPr>
          <w:color w:val="1F3864" w:themeColor="accent1" w:themeShade="80"/>
          <w:sz w:val="20"/>
          <w:szCs w:val="20"/>
        </w:rPr>
      </w:pPr>
      <w:r w:rsidRPr="00201107">
        <w:rPr>
          <w:rFonts w:eastAsia="Times New Roman"/>
          <w:color w:val="1F3864" w:themeColor="accent1" w:themeShade="80"/>
        </w:rPr>
        <w:t>CHARAKTERISTIKA FOREM KONKURENCE</w:t>
      </w:r>
    </w:p>
    <w:p w14:paraId="4A6F3BFA" w14:textId="77777777" w:rsidR="008E0F74" w:rsidRPr="00FC3B7C" w:rsidRDefault="008E0F74">
      <w:pPr>
        <w:spacing w:line="240" w:lineRule="exact"/>
        <w:rPr>
          <w:sz w:val="20"/>
          <w:szCs w:val="20"/>
        </w:rPr>
      </w:pPr>
    </w:p>
    <w:p w14:paraId="4A6F3BFB" w14:textId="00532B77" w:rsidR="008E0F74" w:rsidRPr="00201107" w:rsidRDefault="00256F29" w:rsidP="00F862FD">
      <w:pPr>
        <w:pStyle w:val="Nadpis3"/>
        <w:ind w:left="1276" w:hanging="1276"/>
        <w:rPr>
          <w:color w:val="1F3864" w:themeColor="accent1" w:themeShade="80"/>
          <w:sz w:val="20"/>
          <w:szCs w:val="20"/>
        </w:rPr>
      </w:pPr>
      <w:r w:rsidRPr="00201107">
        <w:rPr>
          <w:rFonts w:eastAsia="Times New Roman"/>
          <w:color w:val="1F3864" w:themeColor="accent1" w:themeShade="80"/>
        </w:rPr>
        <w:t>Dokonalá konkurence</w:t>
      </w:r>
    </w:p>
    <w:p w14:paraId="4A6F3BFC" w14:textId="77777777" w:rsidR="008E0F74" w:rsidRPr="00FC3B7C" w:rsidRDefault="008E0F74">
      <w:pPr>
        <w:spacing w:line="246" w:lineRule="exact"/>
        <w:rPr>
          <w:sz w:val="20"/>
          <w:szCs w:val="20"/>
        </w:rPr>
      </w:pPr>
    </w:p>
    <w:p w14:paraId="4A6F3BFD" w14:textId="2D0B29E8" w:rsidR="008E0F74" w:rsidRPr="00FC3B7C" w:rsidRDefault="00256F29" w:rsidP="003375BB">
      <w:pPr>
        <w:rPr>
          <w:sz w:val="20"/>
          <w:szCs w:val="20"/>
        </w:rPr>
      </w:pPr>
      <w:r w:rsidRPr="00FC3B7C">
        <w:rPr>
          <w:rFonts w:eastAsia="Times New Roman"/>
        </w:rPr>
        <w:t>D</w:t>
      </w:r>
      <w:r w:rsidR="00D941BE">
        <w:rPr>
          <w:rFonts w:eastAsia="Times New Roman"/>
        </w:rPr>
        <w:t>K</w:t>
      </w:r>
      <w:r w:rsidRPr="00FC3B7C">
        <w:rPr>
          <w:rFonts w:eastAsia="Times New Roman"/>
        </w:rPr>
        <w:t xml:space="preserve"> </w:t>
      </w:r>
      <w:r w:rsidRPr="004B6CDE">
        <w:rPr>
          <w:rFonts w:eastAsia="Times New Roman"/>
        </w:rPr>
        <w:t xml:space="preserve">představuje </w:t>
      </w:r>
      <w:r w:rsidR="00D941BE" w:rsidRPr="004B6CDE">
        <w:rPr>
          <w:rFonts w:eastAsia="Times New Roman"/>
        </w:rPr>
        <w:t xml:space="preserve">ideální, ale </w:t>
      </w:r>
      <w:r w:rsidRPr="004B6CDE">
        <w:rPr>
          <w:rFonts w:eastAsia="Times New Roman"/>
        </w:rPr>
        <w:t>neexistující model</w:t>
      </w:r>
      <w:r w:rsidR="00D941BE" w:rsidRPr="004B6CDE">
        <w:rPr>
          <w:rFonts w:eastAsia="Times New Roman"/>
        </w:rPr>
        <w:t xml:space="preserve">. V realitě model dokonalé konkurence nenajdeme, jelikož zde nikdy nejsou splněny všechny podmínky, při nichž je trh považován za dokonale konkurenční. </w:t>
      </w:r>
      <w:r w:rsidRPr="004B6CDE">
        <w:rPr>
          <w:rFonts w:eastAsia="Times New Roman"/>
        </w:rPr>
        <w:t>Žádná z firem zde nedisponuje tržní mocí</w:t>
      </w:r>
      <w:r w:rsidR="00D941BE" w:rsidRPr="004B6CDE">
        <w:rPr>
          <w:rFonts w:eastAsia="Times New Roman"/>
        </w:rPr>
        <w:t xml:space="preserve"> </w:t>
      </w:r>
      <w:r w:rsidRPr="004B6CDE">
        <w:rPr>
          <w:rFonts w:eastAsia="Times New Roman"/>
        </w:rPr>
        <w:t xml:space="preserve">a nedokáže změnou objemu své produkce ovlivňovat tržní cenu. Cena se rovná mezním </w:t>
      </w:r>
      <w:r w:rsidRPr="00FC3B7C">
        <w:rPr>
          <w:rFonts w:eastAsia="Times New Roman"/>
        </w:rPr>
        <w:t xml:space="preserve">nákladům a je určená trhem, maximalizovat zisk může firma pouze rozhodováním o velikosti produktu. </w:t>
      </w:r>
    </w:p>
    <w:p w14:paraId="4A6F3BFE" w14:textId="253DF230" w:rsidR="008E0F74" w:rsidRDefault="00256F29">
      <w:pPr>
        <w:spacing w:line="236" w:lineRule="auto"/>
        <w:rPr>
          <w:rFonts w:eastAsia="Times New Roman"/>
          <w:szCs w:val="24"/>
        </w:rPr>
      </w:pPr>
      <w:r w:rsidRPr="00FC3B7C">
        <w:rPr>
          <w:rFonts w:eastAsia="Times New Roman"/>
          <w:szCs w:val="24"/>
        </w:rPr>
        <w:t>Podmínky, které musí splňovat dokonale konkurenční trh:</w:t>
      </w:r>
    </w:p>
    <w:p w14:paraId="5480E863" w14:textId="77777777" w:rsidR="00BA3CE7" w:rsidRPr="00FC3B7C" w:rsidRDefault="00BA3CE7">
      <w:pPr>
        <w:spacing w:line="236" w:lineRule="auto"/>
        <w:rPr>
          <w:sz w:val="20"/>
          <w:szCs w:val="20"/>
        </w:rPr>
      </w:pPr>
    </w:p>
    <w:p w14:paraId="4A6F3BFF" w14:textId="77777777" w:rsidR="008E0F74" w:rsidRPr="00FC3B7C" w:rsidRDefault="008E0F74">
      <w:pPr>
        <w:spacing w:line="1" w:lineRule="exact"/>
        <w:rPr>
          <w:sz w:val="20"/>
          <w:szCs w:val="20"/>
        </w:rPr>
      </w:pPr>
    </w:p>
    <w:p w14:paraId="4A6F3C00" w14:textId="77777777" w:rsidR="008E0F74" w:rsidRPr="00FC3B7C" w:rsidRDefault="00256F29" w:rsidP="00D46B53">
      <w:pPr>
        <w:numPr>
          <w:ilvl w:val="0"/>
          <w:numId w:val="207"/>
        </w:numPr>
        <w:tabs>
          <w:tab w:val="left" w:pos="720"/>
        </w:tabs>
        <w:ind w:left="720" w:hanging="367"/>
        <w:rPr>
          <w:rFonts w:eastAsia="Arial"/>
          <w:szCs w:val="24"/>
        </w:rPr>
      </w:pPr>
      <w:r w:rsidRPr="00FC3B7C">
        <w:rPr>
          <w:rFonts w:eastAsia="Times New Roman"/>
          <w:szCs w:val="24"/>
        </w:rPr>
        <w:t>velký počet firem</w:t>
      </w:r>
    </w:p>
    <w:p w14:paraId="4A6F3C01" w14:textId="77777777" w:rsidR="008E0F74" w:rsidRPr="00FC3B7C" w:rsidRDefault="00256F29" w:rsidP="00D46B53">
      <w:pPr>
        <w:numPr>
          <w:ilvl w:val="0"/>
          <w:numId w:val="207"/>
        </w:numPr>
        <w:tabs>
          <w:tab w:val="left" w:pos="720"/>
        </w:tabs>
        <w:ind w:left="720" w:hanging="367"/>
        <w:rPr>
          <w:rFonts w:eastAsia="Arial"/>
          <w:szCs w:val="24"/>
        </w:rPr>
      </w:pPr>
      <w:r w:rsidRPr="00FC3B7C">
        <w:rPr>
          <w:rFonts w:eastAsia="Times New Roman"/>
          <w:szCs w:val="24"/>
        </w:rPr>
        <w:t>volný vstup a výstup z odvětví</w:t>
      </w:r>
    </w:p>
    <w:p w14:paraId="4A6F3C02" w14:textId="77777777" w:rsidR="008E0F74" w:rsidRPr="00FC3B7C" w:rsidRDefault="00256F29" w:rsidP="00D46B53">
      <w:pPr>
        <w:numPr>
          <w:ilvl w:val="0"/>
          <w:numId w:val="207"/>
        </w:numPr>
        <w:tabs>
          <w:tab w:val="left" w:pos="720"/>
        </w:tabs>
        <w:ind w:left="720" w:hanging="367"/>
        <w:rPr>
          <w:rFonts w:eastAsia="Arial"/>
          <w:szCs w:val="24"/>
        </w:rPr>
      </w:pPr>
      <w:r w:rsidRPr="00FC3B7C">
        <w:rPr>
          <w:rFonts w:eastAsia="Times New Roman"/>
          <w:szCs w:val="24"/>
        </w:rPr>
        <w:t>homogenní produkt</w:t>
      </w:r>
    </w:p>
    <w:p w14:paraId="4A6F3C03" w14:textId="77777777" w:rsidR="008E0F74" w:rsidRPr="00FC3B7C" w:rsidRDefault="00256F29" w:rsidP="00D46B53">
      <w:pPr>
        <w:numPr>
          <w:ilvl w:val="0"/>
          <w:numId w:val="207"/>
        </w:numPr>
        <w:tabs>
          <w:tab w:val="left" w:pos="720"/>
        </w:tabs>
        <w:ind w:left="720" w:hanging="367"/>
        <w:rPr>
          <w:rFonts w:eastAsia="Arial"/>
          <w:szCs w:val="24"/>
        </w:rPr>
      </w:pPr>
      <w:r w:rsidRPr="00FC3B7C">
        <w:rPr>
          <w:rFonts w:eastAsia="Times New Roman"/>
          <w:szCs w:val="24"/>
        </w:rPr>
        <w:t>dokonalá informovanost kupujících i prodávajících</w:t>
      </w:r>
    </w:p>
    <w:p w14:paraId="4A6F3C04" w14:textId="77777777" w:rsidR="008E0F74" w:rsidRPr="00FC3B7C" w:rsidRDefault="00256F29" w:rsidP="00D46B53">
      <w:pPr>
        <w:numPr>
          <w:ilvl w:val="0"/>
          <w:numId w:val="207"/>
        </w:numPr>
        <w:tabs>
          <w:tab w:val="left" w:pos="720"/>
        </w:tabs>
        <w:ind w:left="720" w:hanging="367"/>
        <w:rPr>
          <w:rFonts w:eastAsia="Arial"/>
          <w:szCs w:val="24"/>
        </w:rPr>
      </w:pPr>
      <w:r w:rsidRPr="00FC3B7C">
        <w:rPr>
          <w:rFonts w:eastAsia="Times New Roman"/>
          <w:szCs w:val="24"/>
        </w:rPr>
        <w:t>firmy mají stejný přístup k technologiím</w:t>
      </w:r>
    </w:p>
    <w:p w14:paraId="4A6F3C05" w14:textId="77777777" w:rsidR="008E0F74" w:rsidRPr="00FC3B7C" w:rsidRDefault="00256F29" w:rsidP="00D46B53">
      <w:pPr>
        <w:numPr>
          <w:ilvl w:val="0"/>
          <w:numId w:val="207"/>
        </w:numPr>
        <w:tabs>
          <w:tab w:val="left" w:pos="720"/>
        </w:tabs>
        <w:ind w:left="720" w:hanging="364"/>
        <w:rPr>
          <w:rFonts w:eastAsia="Arial"/>
          <w:szCs w:val="24"/>
        </w:rPr>
      </w:pPr>
      <w:r w:rsidRPr="00FC3B7C">
        <w:rPr>
          <w:rFonts w:eastAsia="Times New Roman"/>
          <w:szCs w:val="24"/>
        </w:rPr>
        <w:t>nulové náklady na změnu dodavatele</w:t>
      </w:r>
    </w:p>
    <w:p w14:paraId="4A6F3C06" w14:textId="77777777" w:rsidR="008E0F74" w:rsidRPr="00FC3B7C" w:rsidRDefault="008E0F74">
      <w:pPr>
        <w:sectPr w:rsidR="008E0F74" w:rsidRPr="00FC3B7C">
          <w:pgSz w:w="11900" w:h="16840"/>
          <w:pgMar w:top="1391" w:right="1340" w:bottom="1440" w:left="1420" w:header="0" w:footer="0" w:gutter="0"/>
          <w:cols w:space="708" w:equalWidth="0">
            <w:col w:w="9140"/>
          </w:cols>
        </w:sectPr>
      </w:pPr>
    </w:p>
    <w:p w14:paraId="4A6F3C07" w14:textId="7BEEB807" w:rsidR="008E0F74" w:rsidRPr="00201107" w:rsidRDefault="00256F29" w:rsidP="00F862FD">
      <w:pPr>
        <w:pStyle w:val="Nadpis3"/>
        <w:ind w:left="1276" w:hanging="1276"/>
        <w:rPr>
          <w:color w:val="1F3864" w:themeColor="accent1" w:themeShade="80"/>
          <w:sz w:val="20"/>
          <w:szCs w:val="20"/>
        </w:rPr>
      </w:pPr>
      <w:bookmarkStart w:id="221" w:name="page221"/>
      <w:bookmarkEnd w:id="221"/>
      <w:r w:rsidRPr="00201107">
        <w:rPr>
          <w:rFonts w:eastAsia="Times New Roman"/>
          <w:color w:val="1F3864" w:themeColor="accent1" w:themeShade="80"/>
        </w:rPr>
        <w:lastRenderedPageBreak/>
        <w:t>Nedokonalá konkurence</w:t>
      </w:r>
    </w:p>
    <w:p w14:paraId="4A6F3C08" w14:textId="77777777" w:rsidR="008E0F74" w:rsidRPr="00FC3B7C" w:rsidRDefault="008E0F74">
      <w:pPr>
        <w:spacing w:line="246" w:lineRule="exact"/>
        <w:rPr>
          <w:sz w:val="20"/>
          <w:szCs w:val="20"/>
        </w:rPr>
      </w:pPr>
    </w:p>
    <w:p w14:paraId="4A6F3C0A" w14:textId="550B8183" w:rsidR="008E0F74" w:rsidRPr="004B6CDE" w:rsidRDefault="00256F29" w:rsidP="00F862FD">
      <w:pPr>
        <w:rPr>
          <w:color w:val="1F3864" w:themeColor="accent1" w:themeShade="80"/>
          <w:sz w:val="20"/>
          <w:szCs w:val="20"/>
        </w:rPr>
      </w:pPr>
      <w:r w:rsidRPr="00FC3B7C">
        <w:rPr>
          <w:rFonts w:eastAsia="Times New Roman"/>
        </w:rPr>
        <w:t xml:space="preserve">Vzniká při </w:t>
      </w:r>
      <w:r w:rsidRPr="004B6CDE">
        <w:rPr>
          <w:rFonts w:eastAsia="Times New Roman"/>
        </w:rPr>
        <w:t xml:space="preserve">nesplnění kterékoliv </w:t>
      </w:r>
      <w:r w:rsidR="00F862FD" w:rsidRPr="004B6CDE">
        <w:rPr>
          <w:rFonts w:eastAsia="Times New Roman"/>
        </w:rPr>
        <w:t xml:space="preserve">z </w:t>
      </w:r>
      <w:r w:rsidRPr="004B6CDE">
        <w:rPr>
          <w:rFonts w:eastAsia="Times New Roman"/>
        </w:rPr>
        <w:t>podmín</w:t>
      </w:r>
      <w:r w:rsidR="00F862FD" w:rsidRPr="004B6CDE">
        <w:rPr>
          <w:rFonts w:eastAsia="Times New Roman"/>
        </w:rPr>
        <w:t>ek</w:t>
      </w:r>
      <w:r w:rsidRPr="004B6CDE">
        <w:rPr>
          <w:rFonts w:eastAsia="Times New Roman"/>
        </w:rPr>
        <w:t xml:space="preserve"> pro DK. U </w:t>
      </w:r>
      <w:r w:rsidRPr="00FC3B7C">
        <w:rPr>
          <w:rFonts w:eastAsia="Times New Roman"/>
        </w:rPr>
        <w:t>tohoto typu konkurence výrobce může ovlivnit cenu.</w:t>
      </w:r>
    </w:p>
    <w:p w14:paraId="4A6F3C0B" w14:textId="2A5FA118" w:rsidR="008E0F74" w:rsidRPr="004B6CDE" w:rsidRDefault="00256F29" w:rsidP="003375BB">
      <w:pPr>
        <w:pStyle w:val="Nadpis4"/>
        <w:rPr>
          <w:color w:val="1F3864" w:themeColor="accent1" w:themeShade="80"/>
          <w:sz w:val="20"/>
          <w:szCs w:val="20"/>
        </w:rPr>
      </w:pPr>
      <w:r w:rsidRPr="004B6CDE">
        <w:rPr>
          <w:rFonts w:eastAsia="Times New Roman"/>
          <w:color w:val="1F3864" w:themeColor="accent1" w:themeShade="80"/>
        </w:rPr>
        <w:t xml:space="preserve">Typy </w:t>
      </w:r>
      <w:r w:rsidR="00F862FD" w:rsidRPr="004B6CDE">
        <w:rPr>
          <w:rFonts w:eastAsia="Times New Roman"/>
          <w:color w:val="1F3864" w:themeColor="accent1" w:themeShade="80"/>
        </w:rPr>
        <w:t>nedokonalé konkurence</w:t>
      </w:r>
      <w:r w:rsidRPr="004B6CDE">
        <w:rPr>
          <w:rFonts w:eastAsia="Times New Roman"/>
          <w:color w:val="1F3864" w:themeColor="accent1" w:themeShade="80"/>
        </w:rPr>
        <w:t>:</w:t>
      </w:r>
    </w:p>
    <w:p w14:paraId="4A6F3C0C" w14:textId="77777777" w:rsidR="008E0F74" w:rsidRPr="00FC3B7C" w:rsidRDefault="008E0F74">
      <w:pPr>
        <w:spacing w:line="122" w:lineRule="exact"/>
        <w:rPr>
          <w:sz w:val="20"/>
          <w:szCs w:val="20"/>
        </w:rPr>
      </w:pPr>
    </w:p>
    <w:p w14:paraId="4A6F3C0D" w14:textId="290595C1" w:rsidR="003375BB" w:rsidRDefault="00256F29" w:rsidP="003375BB">
      <w:pPr>
        <w:rPr>
          <w:rFonts w:eastAsia="Times New Roman"/>
        </w:rPr>
      </w:pPr>
      <w:r w:rsidRPr="00EA7C80">
        <w:rPr>
          <w:rFonts w:eastAsia="Times New Roman"/>
          <w:b/>
          <w:bCs/>
          <w:u w:val="single"/>
        </w:rPr>
        <w:t>Monopolistická konkurence</w:t>
      </w:r>
      <w:r w:rsidR="00EA7C80">
        <w:rPr>
          <w:rFonts w:eastAsia="Times New Roman"/>
          <w:b/>
          <w:bCs/>
          <w:u w:val="single"/>
        </w:rPr>
        <w:t xml:space="preserve"> </w:t>
      </w:r>
      <w:r w:rsidRPr="00FC3B7C">
        <w:rPr>
          <w:rFonts w:eastAsia="Times New Roman"/>
        </w:rPr>
        <w:t>– tento typ se nejvíce blíží DK. Firmy vyrábějí rozdílný</w:t>
      </w:r>
      <w:r w:rsidRPr="00FC3B7C">
        <w:rPr>
          <w:rFonts w:eastAsia="Times New Roman"/>
          <w:b/>
          <w:bCs/>
        </w:rPr>
        <w:t xml:space="preserve"> </w:t>
      </w:r>
      <w:r w:rsidRPr="00FC3B7C">
        <w:rPr>
          <w:rFonts w:eastAsia="Times New Roman"/>
        </w:rPr>
        <w:t xml:space="preserve">produkt, získávají určitou tržní moc a mohou určit cenu vyšší než výše mezních nákladů. </w:t>
      </w:r>
      <w:r w:rsidR="003375BB">
        <w:rPr>
          <w:rFonts w:eastAsia="Times New Roman"/>
        </w:rPr>
        <w:br/>
      </w:r>
      <w:r w:rsidRPr="00FC3B7C">
        <w:rPr>
          <w:rFonts w:eastAsia="Times New Roman"/>
        </w:rPr>
        <w:t xml:space="preserve">V krátkém období lze dosáhnout ekonomického zisku, díky neexistujícím překážkám vstupu na trh však dochází ke zvyšování počtu firem, ekonomický zisk tedy v dlouhém období vede </w:t>
      </w:r>
      <w:r w:rsidR="003375BB">
        <w:rPr>
          <w:rFonts w:eastAsia="Times New Roman"/>
        </w:rPr>
        <w:br/>
      </w:r>
      <w:r w:rsidRPr="00FC3B7C">
        <w:rPr>
          <w:rFonts w:eastAsia="Times New Roman"/>
        </w:rPr>
        <w:t>k nule.</w:t>
      </w:r>
    </w:p>
    <w:p w14:paraId="5F3F0F84" w14:textId="77777777" w:rsidR="00F862FD" w:rsidRPr="003375BB" w:rsidRDefault="00F862FD" w:rsidP="003375BB">
      <w:pPr>
        <w:rPr>
          <w:rFonts w:eastAsia="Times New Roman"/>
        </w:rPr>
      </w:pPr>
    </w:p>
    <w:p w14:paraId="4A6F3C0E" w14:textId="77777777" w:rsidR="008E0F74" w:rsidRPr="00FC3B7C" w:rsidRDefault="008E0F74">
      <w:pPr>
        <w:spacing w:line="4" w:lineRule="exact"/>
        <w:rPr>
          <w:rFonts w:eastAsia="Arial"/>
          <w:szCs w:val="24"/>
        </w:rPr>
      </w:pPr>
    </w:p>
    <w:p w14:paraId="4B0B443A" w14:textId="77777777" w:rsidR="00F862FD" w:rsidRPr="004B6CDE" w:rsidRDefault="00256F29" w:rsidP="003375BB">
      <w:pPr>
        <w:rPr>
          <w:rFonts w:eastAsia="Times New Roman"/>
        </w:rPr>
      </w:pPr>
      <w:r w:rsidRPr="00EA7C80">
        <w:rPr>
          <w:rFonts w:eastAsia="Times New Roman"/>
          <w:b/>
          <w:bCs/>
          <w:u w:val="single"/>
        </w:rPr>
        <w:t>Monopol</w:t>
      </w:r>
      <w:r w:rsidRPr="00FC3B7C">
        <w:rPr>
          <w:rFonts w:eastAsia="Times New Roman"/>
          <w:b/>
          <w:bCs/>
        </w:rPr>
        <w:t xml:space="preserve"> </w:t>
      </w:r>
      <w:r w:rsidRPr="00FC3B7C">
        <w:rPr>
          <w:rFonts w:eastAsia="Times New Roman"/>
        </w:rPr>
        <w:t>– na trhu existuje pouze jedna firma, která nabízí daný</w:t>
      </w:r>
      <w:r w:rsidRPr="00FC3B7C">
        <w:rPr>
          <w:rFonts w:eastAsia="Times New Roman"/>
          <w:b/>
          <w:bCs/>
        </w:rPr>
        <w:t xml:space="preserve"> </w:t>
      </w:r>
      <w:r w:rsidRPr="00FC3B7C">
        <w:rPr>
          <w:rFonts w:eastAsia="Times New Roman"/>
        </w:rPr>
        <w:t>produkt, sám si určuje</w:t>
      </w:r>
      <w:r w:rsidRPr="00FC3B7C">
        <w:rPr>
          <w:rFonts w:eastAsia="Times New Roman"/>
          <w:b/>
          <w:bCs/>
        </w:rPr>
        <w:t xml:space="preserve"> </w:t>
      </w:r>
      <w:r w:rsidRPr="00FC3B7C">
        <w:rPr>
          <w:rFonts w:eastAsia="Times New Roman"/>
        </w:rPr>
        <w:t xml:space="preserve">cenu. Nabízející je však vystaven konkurenci substitutů daného statku. Platí, čím vzdálenější jsou </w:t>
      </w:r>
      <w:r w:rsidRPr="004B6CDE">
        <w:rPr>
          <w:rFonts w:eastAsia="Times New Roman"/>
        </w:rPr>
        <w:t>substituty, tím větší tržní moc monopol má. Monopol je společensky neefektivní, vzniká zde alokační neefektivnost</w:t>
      </w:r>
      <w:r w:rsidR="00F862FD" w:rsidRPr="004B6CDE">
        <w:rPr>
          <w:rFonts w:eastAsia="Times New Roman"/>
        </w:rPr>
        <w:t xml:space="preserve"> (DWL – náklady mrtvé váhy). Monopol vyrábí</w:t>
      </w:r>
      <w:r w:rsidRPr="004B6CDE">
        <w:rPr>
          <w:rFonts w:eastAsia="Times New Roman"/>
        </w:rPr>
        <w:t xml:space="preserve"> nižší množství statku, než je optimální množství, avšak za vyšší cenu, než jsou jeho MC. Přebytek se tedy přesouvá od spotřebitele na výrobce. Příčinou vzniku monopolů jsou bariéry vstupu na trh. </w:t>
      </w:r>
    </w:p>
    <w:p w14:paraId="205CC1DC" w14:textId="77777777" w:rsidR="00F862FD" w:rsidRPr="004B6CDE" w:rsidRDefault="00256F29" w:rsidP="003375BB">
      <w:pPr>
        <w:rPr>
          <w:rFonts w:eastAsia="Times New Roman"/>
        </w:rPr>
      </w:pPr>
      <w:r w:rsidRPr="004B6CDE">
        <w:rPr>
          <w:rFonts w:eastAsia="Times New Roman"/>
          <w:i/>
          <w:iCs/>
        </w:rPr>
        <w:t>Statické pojetí monopolu</w:t>
      </w:r>
      <w:r w:rsidRPr="004B6CDE">
        <w:rPr>
          <w:rFonts w:eastAsia="Times New Roman"/>
        </w:rPr>
        <w:t xml:space="preserve"> – monopol chápán jako tržní struktura. </w:t>
      </w:r>
    </w:p>
    <w:p w14:paraId="03A41ABD" w14:textId="49A28373" w:rsidR="00EA7C80" w:rsidRPr="004B6CDE" w:rsidRDefault="00256F29" w:rsidP="003375BB">
      <w:pPr>
        <w:rPr>
          <w:rFonts w:eastAsia="Times New Roman"/>
        </w:rPr>
      </w:pPr>
      <w:r w:rsidRPr="004B6CDE">
        <w:rPr>
          <w:rFonts w:eastAsia="Times New Roman"/>
          <w:i/>
          <w:iCs/>
        </w:rPr>
        <w:t>Dynamické pojetí</w:t>
      </w:r>
      <w:r w:rsidRPr="004B6CDE">
        <w:rPr>
          <w:rFonts w:eastAsia="Times New Roman"/>
        </w:rPr>
        <w:t xml:space="preserve"> – výsledek inovace, </w:t>
      </w:r>
      <w:r w:rsidR="00EA7C80" w:rsidRPr="004B6CDE">
        <w:rPr>
          <w:rFonts w:eastAsia="Times New Roman"/>
        </w:rPr>
        <w:t xml:space="preserve">kterou nejsou konkurenti po nějakou dobu schopni napodobit. </w:t>
      </w:r>
    </w:p>
    <w:p w14:paraId="75BC2CD7" w14:textId="4F113AE7" w:rsidR="00EA7C80" w:rsidRPr="004B6CDE" w:rsidRDefault="00EA7C80" w:rsidP="003375BB">
      <w:pPr>
        <w:rPr>
          <w:rFonts w:eastAsia="Times New Roman"/>
          <w:u w:val="single"/>
        </w:rPr>
      </w:pPr>
      <w:r w:rsidRPr="004B6CDE">
        <w:rPr>
          <w:rFonts w:eastAsia="Times New Roman"/>
          <w:u w:val="single"/>
        </w:rPr>
        <w:t xml:space="preserve">Typy monopolu: </w:t>
      </w:r>
    </w:p>
    <w:p w14:paraId="4A6F3C10" w14:textId="77777777" w:rsidR="008E0F74" w:rsidRPr="00FC3B7C" w:rsidRDefault="008E0F74">
      <w:pPr>
        <w:spacing w:line="1" w:lineRule="exact"/>
        <w:rPr>
          <w:rFonts w:eastAsia="Arial"/>
          <w:szCs w:val="24"/>
        </w:rPr>
      </w:pPr>
    </w:p>
    <w:p w14:paraId="4A6F3C11" w14:textId="77777777" w:rsidR="008E0F74" w:rsidRPr="00FC3B7C" w:rsidRDefault="00256F29" w:rsidP="00D46B53">
      <w:pPr>
        <w:numPr>
          <w:ilvl w:val="0"/>
          <w:numId w:val="208"/>
        </w:numPr>
        <w:tabs>
          <w:tab w:val="left" w:pos="560"/>
        </w:tabs>
        <w:ind w:left="560" w:right="60" w:hanging="357"/>
        <w:rPr>
          <w:rFonts w:eastAsia="Arial"/>
          <w:szCs w:val="24"/>
        </w:rPr>
      </w:pPr>
      <w:r w:rsidRPr="00FC3B7C">
        <w:rPr>
          <w:rFonts w:eastAsia="Times New Roman"/>
          <w:b/>
          <w:bCs/>
          <w:szCs w:val="24"/>
        </w:rPr>
        <w:t xml:space="preserve">Přirozený monopol </w:t>
      </w:r>
      <w:r w:rsidRPr="00FC3B7C">
        <w:rPr>
          <w:rFonts w:eastAsia="Times New Roman"/>
          <w:szCs w:val="24"/>
        </w:rPr>
        <w:t>– vzniká v tzv. síťových odvětvích, jako je</w:t>
      </w:r>
      <w:r w:rsidRPr="00FC3B7C">
        <w:rPr>
          <w:rFonts w:eastAsia="Times New Roman"/>
          <w:b/>
          <w:bCs/>
          <w:szCs w:val="24"/>
        </w:rPr>
        <w:t xml:space="preserve"> </w:t>
      </w:r>
      <w:r w:rsidRPr="00FC3B7C">
        <w:rPr>
          <w:rFonts w:eastAsia="Times New Roman"/>
          <w:szCs w:val="24"/>
        </w:rPr>
        <w:t>železnice,</w:t>
      </w:r>
      <w:r w:rsidRPr="00FC3B7C">
        <w:rPr>
          <w:rFonts w:eastAsia="Times New Roman"/>
          <w:b/>
          <w:bCs/>
          <w:szCs w:val="24"/>
        </w:rPr>
        <w:t xml:space="preserve"> </w:t>
      </w:r>
      <w:r w:rsidRPr="00FC3B7C">
        <w:rPr>
          <w:rFonts w:eastAsia="Times New Roman"/>
          <w:szCs w:val="24"/>
        </w:rPr>
        <w:t xml:space="preserve">telekomunikace či energetická soustava. Důvodem je schopnost jediné firmy uspokojit tržní poptávku po daném zboží z hlediska nákladové efektivnosti. Ta to dokáže </w:t>
      </w:r>
      <w:r w:rsidR="003375BB">
        <w:rPr>
          <w:rFonts w:eastAsia="Times New Roman"/>
          <w:szCs w:val="24"/>
        </w:rPr>
        <w:br/>
      </w:r>
      <w:r w:rsidRPr="00FC3B7C">
        <w:rPr>
          <w:rFonts w:eastAsia="Times New Roman"/>
          <w:szCs w:val="24"/>
        </w:rPr>
        <w:t>s mnohem nižšími průměrnými náklady, než kdyby bylo v odvětví více firem. Tyto průměrné náklady jsou vysoké díky vázanosti výroby na dodávkovou síť. Díky neexistujícím substitutům má firma výhradní monopolní postavení a může si určovat cenu i daleko nad mezními náklady. Tento typ monopolu se řeší cenovou regulací nebo převedením do vlastnictví státu.</w:t>
      </w:r>
    </w:p>
    <w:p w14:paraId="4A6F3C12" w14:textId="77777777" w:rsidR="008E0F74" w:rsidRPr="00FC3B7C" w:rsidRDefault="008E0F74">
      <w:pPr>
        <w:spacing w:line="8" w:lineRule="exact"/>
        <w:rPr>
          <w:rFonts w:eastAsia="Arial"/>
          <w:szCs w:val="24"/>
        </w:rPr>
      </w:pPr>
    </w:p>
    <w:p w14:paraId="4A6F3C13" w14:textId="77777777" w:rsidR="008E0F74" w:rsidRPr="00FC3B7C" w:rsidRDefault="00256F29" w:rsidP="00D46B53">
      <w:pPr>
        <w:numPr>
          <w:ilvl w:val="0"/>
          <w:numId w:val="208"/>
        </w:numPr>
        <w:tabs>
          <w:tab w:val="left" w:pos="560"/>
        </w:tabs>
        <w:ind w:left="560" w:hanging="357"/>
        <w:rPr>
          <w:rFonts w:eastAsia="Arial"/>
          <w:szCs w:val="24"/>
        </w:rPr>
      </w:pPr>
      <w:r w:rsidRPr="00FC3B7C">
        <w:rPr>
          <w:rFonts w:eastAsia="Times New Roman"/>
          <w:b/>
          <w:bCs/>
          <w:szCs w:val="24"/>
        </w:rPr>
        <w:t xml:space="preserve">Monopol z vlastnictví jedinečného výrobního faktoru </w:t>
      </w:r>
      <w:r w:rsidRPr="00FC3B7C">
        <w:rPr>
          <w:rFonts w:eastAsia="Times New Roman"/>
          <w:szCs w:val="24"/>
        </w:rPr>
        <w:t>– jediná firma kontroluje zdroje</w:t>
      </w:r>
      <w:r w:rsidRPr="00FC3B7C">
        <w:rPr>
          <w:rFonts w:eastAsia="Times New Roman"/>
          <w:b/>
          <w:bCs/>
          <w:szCs w:val="24"/>
        </w:rPr>
        <w:t xml:space="preserve"> </w:t>
      </w:r>
      <w:r w:rsidRPr="00FC3B7C">
        <w:rPr>
          <w:rFonts w:eastAsia="Times New Roman"/>
          <w:szCs w:val="24"/>
        </w:rPr>
        <w:t>nezbytné pro výrobu. Zboží produkované vlastníkem daného VF nemá blízký substitut. Vzniká ekonomická renta z vlastnictví jedinečného VF, která je rovna rozdílu mezi příjmem, který vlastník daného VF dostává, a nejlepším dalším možným příjmem.</w:t>
      </w:r>
    </w:p>
    <w:p w14:paraId="4A6F3C14" w14:textId="77777777" w:rsidR="008E0F74" w:rsidRPr="00FC3B7C" w:rsidRDefault="008E0F74">
      <w:pPr>
        <w:spacing w:line="1" w:lineRule="exact"/>
        <w:rPr>
          <w:rFonts w:eastAsia="Arial"/>
          <w:szCs w:val="24"/>
        </w:rPr>
      </w:pPr>
    </w:p>
    <w:p w14:paraId="4A6F3C15" w14:textId="77777777" w:rsidR="008E0F74" w:rsidRPr="00FC3B7C" w:rsidRDefault="00256F29" w:rsidP="00D46B53">
      <w:pPr>
        <w:numPr>
          <w:ilvl w:val="0"/>
          <w:numId w:val="208"/>
        </w:numPr>
        <w:tabs>
          <w:tab w:val="left" w:pos="560"/>
        </w:tabs>
        <w:ind w:left="560" w:hanging="357"/>
        <w:rPr>
          <w:rFonts w:eastAsia="Arial"/>
          <w:szCs w:val="24"/>
        </w:rPr>
      </w:pPr>
      <w:r w:rsidRPr="00FC3B7C">
        <w:rPr>
          <w:rFonts w:eastAsia="Times New Roman"/>
          <w:b/>
          <w:bCs/>
          <w:szCs w:val="24"/>
        </w:rPr>
        <w:lastRenderedPageBreak/>
        <w:t xml:space="preserve">Administrativní monopol </w:t>
      </w:r>
      <w:r w:rsidRPr="00FC3B7C">
        <w:rPr>
          <w:rFonts w:eastAsia="Times New Roman"/>
          <w:szCs w:val="24"/>
        </w:rPr>
        <w:t>– vzniká v důsledku právních restrikcí v podobě</w:t>
      </w:r>
      <w:r w:rsidRPr="00FC3B7C">
        <w:rPr>
          <w:rFonts w:eastAsia="Times New Roman"/>
          <w:b/>
          <w:bCs/>
          <w:szCs w:val="24"/>
        </w:rPr>
        <w:t xml:space="preserve"> </w:t>
      </w:r>
      <w:r w:rsidRPr="00FC3B7C">
        <w:rPr>
          <w:rFonts w:eastAsia="Times New Roman"/>
          <w:szCs w:val="24"/>
        </w:rPr>
        <w:t>licencí,</w:t>
      </w:r>
      <w:r w:rsidRPr="00FC3B7C">
        <w:rPr>
          <w:rFonts w:eastAsia="Times New Roman"/>
          <w:b/>
          <w:bCs/>
          <w:szCs w:val="24"/>
        </w:rPr>
        <w:t xml:space="preserve"> </w:t>
      </w:r>
      <w:r w:rsidRPr="00FC3B7C">
        <w:rPr>
          <w:rFonts w:eastAsia="Times New Roman"/>
          <w:szCs w:val="24"/>
        </w:rPr>
        <w:t>patentů apod. Stát určí služby, které by měly být dostupné všem a dá určité firmě právo tuto službu či statek poskytovat.</w:t>
      </w:r>
    </w:p>
    <w:p w14:paraId="4A6F3C16" w14:textId="77777777" w:rsidR="008E0F74" w:rsidRPr="00FC3B7C" w:rsidRDefault="008E0F74">
      <w:pPr>
        <w:spacing w:line="2" w:lineRule="exact"/>
        <w:rPr>
          <w:rFonts w:eastAsia="Arial"/>
          <w:szCs w:val="24"/>
        </w:rPr>
      </w:pPr>
    </w:p>
    <w:p w14:paraId="4A6F3C17" w14:textId="77777777" w:rsidR="008E0F74" w:rsidRPr="00FC3B7C" w:rsidRDefault="00256F29" w:rsidP="00D46B53">
      <w:pPr>
        <w:numPr>
          <w:ilvl w:val="0"/>
          <w:numId w:val="208"/>
        </w:numPr>
        <w:tabs>
          <w:tab w:val="left" w:pos="560"/>
        </w:tabs>
        <w:ind w:left="560" w:hanging="357"/>
        <w:rPr>
          <w:rFonts w:eastAsia="Arial"/>
          <w:szCs w:val="24"/>
        </w:rPr>
      </w:pPr>
      <w:r w:rsidRPr="00FC3B7C">
        <w:rPr>
          <w:rFonts w:eastAsia="Times New Roman"/>
          <w:b/>
          <w:bCs/>
          <w:szCs w:val="24"/>
        </w:rPr>
        <w:t xml:space="preserve">Spravedlivý monopol </w:t>
      </w:r>
      <w:r w:rsidRPr="00FC3B7C">
        <w:rPr>
          <w:rFonts w:eastAsia="Times New Roman"/>
          <w:szCs w:val="24"/>
        </w:rPr>
        <w:t>– plyne z inovace, jež</w:t>
      </w:r>
      <w:r w:rsidRPr="00FC3B7C">
        <w:rPr>
          <w:rFonts w:eastAsia="Times New Roman"/>
          <w:b/>
          <w:bCs/>
          <w:szCs w:val="24"/>
        </w:rPr>
        <w:t xml:space="preserve"> </w:t>
      </w:r>
      <w:r w:rsidRPr="00FC3B7C">
        <w:rPr>
          <w:rFonts w:eastAsia="Times New Roman"/>
          <w:szCs w:val="24"/>
        </w:rPr>
        <w:t>ostatní výrobci nějakou dobu nejsou schopni</w:t>
      </w:r>
      <w:r w:rsidRPr="00FC3B7C">
        <w:rPr>
          <w:rFonts w:eastAsia="Times New Roman"/>
          <w:b/>
          <w:bCs/>
          <w:szCs w:val="24"/>
        </w:rPr>
        <w:t xml:space="preserve"> </w:t>
      </w:r>
      <w:r w:rsidRPr="00FC3B7C">
        <w:rPr>
          <w:rFonts w:eastAsia="Times New Roman"/>
          <w:szCs w:val="24"/>
        </w:rPr>
        <w:t>napodobit.</w:t>
      </w:r>
    </w:p>
    <w:p w14:paraId="4A6F3C18" w14:textId="77777777" w:rsidR="008E0F74" w:rsidRPr="00FC3B7C" w:rsidRDefault="008E0F74">
      <w:pPr>
        <w:spacing w:line="120" w:lineRule="exact"/>
        <w:rPr>
          <w:sz w:val="20"/>
          <w:szCs w:val="20"/>
        </w:rPr>
      </w:pPr>
    </w:p>
    <w:p w14:paraId="4A6F3C19" w14:textId="77777777" w:rsidR="008E0F74" w:rsidRPr="00FC3B7C" w:rsidRDefault="00256F29" w:rsidP="003375BB">
      <w:pPr>
        <w:rPr>
          <w:sz w:val="20"/>
          <w:szCs w:val="20"/>
        </w:rPr>
      </w:pPr>
      <w:r w:rsidRPr="00FC3B7C">
        <w:rPr>
          <w:rFonts w:eastAsia="Times New Roman"/>
          <w:b/>
          <w:bCs/>
        </w:rPr>
        <w:t xml:space="preserve">DWL </w:t>
      </w:r>
      <w:r w:rsidRPr="00FC3B7C">
        <w:rPr>
          <w:rFonts w:eastAsia="Times New Roman"/>
        </w:rPr>
        <w:t>= náklady mrtvé váhy = mrtvá ztráta – potenciální přebytek výrobce</w:t>
      </w:r>
      <w:r w:rsidRPr="00FC3B7C">
        <w:rPr>
          <w:rFonts w:eastAsia="Times New Roman"/>
          <w:b/>
          <w:bCs/>
        </w:rPr>
        <w:t xml:space="preserve"> </w:t>
      </w:r>
      <w:r w:rsidRPr="00FC3B7C">
        <w:rPr>
          <w:rFonts w:eastAsia="Times New Roman"/>
        </w:rPr>
        <w:t>či spotřebitele, který</w:t>
      </w:r>
      <w:r w:rsidRPr="00FC3B7C">
        <w:rPr>
          <w:rFonts w:eastAsia="Times New Roman"/>
          <w:b/>
          <w:bCs/>
        </w:rPr>
        <w:t xml:space="preserve"> </w:t>
      </w:r>
      <w:r w:rsidRPr="00FC3B7C">
        <w:rPr>
          <w:rFonts w:eastAsia="Times New Roman"/>
        </w:rPr>
        <w:t>však není realizován z důvodu neefektivnosti monopolu.</w:t>
      </w:r>
    </w:p>
    <w:p w14:paraId="4A6F3C1A" w14:textId="77777777" w:rsidR="008E0F74" w:rsidRPr="00FC3B7C" w:rsidRDefault="008E0F74">
      <w:pPr>
        <w:spacing w:line="2" w:lineRule="exact"/>
        <w:rPr>
          <w:sz w:val="20"/>
          <w:szCs w:val="20"/>
        </w:rPr>
      </w:pPr>
    </w:p>
    <w:p w14:paraId="4A6F3C1B" w14:textId="795E6750" w:rsidR="008E0F74" w:rsidRPr="00FC3B7C" w:rsidRDefault="00256F29" w:rsidP="003375BB">
      <w:pPr>
        <w:rPr>
          <w:rFonts w:eastAsia="Arial"/>
        </w:rPr>
      </w:pPr>
      <w:r w:rsidRPr="00FC3B7C">
        <w:rPr>
          <w:rFonts w:eastAsia="Times New Roman"/>
          <w:b/>
          <w:bCs/>
        </w:rPr>
        <w:t xml:space="preserve">Oligopol </w:t>
      </w:r>
      <w:r w:rsidRPr="00FC3B7C">
        <w:rPr>
          <w:rFonts w:eastAsia="Times New Roman"/>
        </w:rPr>
        <w:t>– na tomto trhu se v LR i v SR vyskytuje pouze několik firem. Jejich velikost</w:t>
      </w:r>
      <w:r w:rsidRPr="00FC3B7C">
        <w:rPr>
          <w:rFonts w:eastAsia="Times New Roman"/>
          <w:b/>
          <w:bCs/>
        </w:rPr>
        <w:t xml:space="preserve"> </w:t>
      </w:r>
      <w:r w:rsidRPr="00FC3B7C">
        <w:rPr>
          <w:rFonts w:eastAsia="Times New Roman"/>
        </w:rPr>
        <w:t xml:space="preserve">i počet je omezený z důvodu vysokých nákladů. Projevuje se zde oligopolní závislost, kdy každá </w:t>
      </w:r>
      <w:r w:rsidR="003375BB">
        <w:rPr>
          <w:rFonts w:eastAsia="Times New Roman"/>
        </w:rPr>
        <w:br/>
      </w:r>
      <w:r w:rsidRPr="00FC3B7C">
        <w:rPr>
          <w:rFonts w:eastAsia="Times New Roman"/>
        </w:rPr>
        <w:t>z firem může svým rozhodnu</w:t>
      </w:r>
      <w:r w:rsidRPr="004B6CDE">
        <w:rPr>
          <w:rFonts w:eastAsia="Times New Roman"/>
        </w:rPr>
        <w:t xml:space="preserve">tím o změně ceny či množství vyráběného výrobku ovlivnit zisk </w:t>
      </w:r>
      <w:r w:rsidR="003375BB" w:rsidRPr="004B6CDE">
        <w:rPr>
          <w:rFonts w:eastAsia="Times New Roman"/>
        </w:rPr>
        <w:br/>
      </w:r>
      <w:r w:rsidRPr="004B6CDE">
        <w:rPr>
          <w:rFonts w:eastAsia="Times New Roman"/>
        </w:rPr>
        <w:t xml:space="preserve">i svých konkurentů. Existují různé modely oligopolních trhů. </w:t>
      </w:r>
      <w:r w:rsidR="00EA7C80" w:rsidRPr="004B6CDE">
        <w:rPr>
          <w:rFonts w:eastAsia="Times New Roman"/>
        </w:rPr>
        <w:t>N</w:t>
      </w:r>
      <w:r w:rsidRPr="004B6CDE">
        <w:rPr>
          <w:rFonts w:eastAsia="Times New Roman"/>
        </w:rPr>
        <w:t xml:space="preserve">ejdůležitější </w:t>
      </w:r>
      <w:r w:rsidR="00EA7C80" w:rsidRPr="004B6CDE">
        <w:rPr>
          <w:rFonts w:eastAsia="Times New Roman"/>
        </w:rPr>
        <w:t>je</w:t>
      </w:r>
      <w:r w:rsidRPr="004B6CDE">
        <w:rPr>
          <w:rFonts w:eastAsia="Times New Roman"/>
        </w:rPr>
        <w:t xml:space="preserve"> Bertrandův a Cournotův, pracující ve statickém prostředí.</w:t>
      </w:r>
    </w:p>
    <w:p w14:paraId="4A6F3C1C" w14:textId="77777777" w:rsidR="008E0F74" w:rsidRPr="00FC3B7C" w:rsidRDefault="008E0F74">
      <w:pPr>
        <w:spacing w:line="104" w:lineRule="exact"/>
        <w:rPr>
          <w:sz w:val="20"/>
          <w:szCs w:val="20"/>
        </w:rPr>
      </w:pPr>
    </w:p>
    <w:p w14:paraId="4A6F3C1D" w14:textId="77777777" w:rsidR="008E0F74" w:rsidRPr="00FC3B7C" w:rsidRDefault="00256F29">
      <w:pPr>
        <w:ind w:left="120"/>
        <w:rPr>
          <w:sz w:val="20"/>
          <w:szCs w:val="20"/>
        </w:rPr>
      </w:pPr>
      <w:r w:rsidRPr="00FC3B7C">
        <w:rPr>
          <w:rFonts w:eastAsia="Times New Roman"/>
          <w:b/>
          <w:bCs/>
          <w:szCs w:val="24"/>
        </w:rPr>
        <w:t>Předpoklady a charakteristiky oligopolního trhu:</w:t>
      </w:r>
    </w:p>
    <w:p w14:paraId="4A6F3C1E" w14:textId="77777777" w:rsidR="008E0F74" w:rsidRPr="00FC3B7C" w:rsidRDefault="008E0F74">
      <w:pPr>
        <w:spacing w:line="39" w:lineRule="exact"/>
        <w:rPr>
          <w:sz w:val="20"/>
          <w:szCs w:val="20"/>
        </w:rPr>
      </w:pPr>
    </w:p>
    <w:p w14:paraId="4A6F3C20" w14:textId="7EB82EA7" w:rsidR="008E0F74" w:rsidRPr="00EA7C80" w:rsidRDefault="00256F29" w:rsidP="00D46B53">
      <w:pPr>
        <w:numPr>
          <w:ilvl w:val="0"/>
          <w:numId w:val="209"/>
        </w:numPr>
        <w:tabs>
          <w:tab w:val="left" w:pos="560"/>
        </w:tabs>
        <w:ind w:left="560" w:hanging="354"/>
        <w:rPr>
          <w:rFonts w:eastAsia="Arial"/>
          <w:szCs w:val="24"/>
        </w:rPr>
      </w:pPr>
      <w:r w:rsidRPr="00FC3B7C">
        <w:rPr>
          <w:rFonts w:eastAsia="Times New Roman"/>
          <w:szCs w:val="24"/>
        </w:rPr>
        <w:t>spotřebitelé přijímají ceny (existuje velmi mnoho spotřebitelů, z nichž žádný nemůže ovlivnit cenu výrobku)</w:t>
      </w:r>
    </w:p>
    <w:p w14:paraId="4A6F3C21" w14:textId="77777777" w:rsidR="008E0F74" w:rsidRPr="00FC3B7C" w:rsidRDefault="00256F29" w:rsidP="00D46B53">
      <w:pPr>
        <w:numPr>
          <w:ilvl w:val="0"/>
          <w:numId w:val="209"/>
        </w:numPr>
        <w:tabs>
          <w:tab w:val="left" w:pos="560"/>
        </w:tabs>
        <w:ind w:left="560" w:hanging="354"/>
        <w:rPr>
          <w:rFonts w:eastAsia="Arial"/>
          <w:szCs w:val="24"/>
        </w:rPr>
      </w:pPr>
      <w:r w:rsidRPr="00FC3B7C">
        <w:rPr>
          <w:rFonts w:eastAsia="Times New Roman"/>
          <w:szCs w:val="24"/>
        </w:rPr>
        <w:t>spotřebitelé považují nabízený výrobek, který firmy na daném trhu vyrábí za homogenní</w:t>
      </w:r>
    </w:p>
    <w:p w14:paraId="4A6F3C22" w14:textId="77777777" w:rsidR="008E0F74" w:rsidRPr="00FC3B7C" w:rsidRDefault="00256F29" w:rsidP="00D46B53">
      <w:pPr>
        <w:numPr>
          <w:ilvl w:val="0"/>
          <w:numId w:val="210"/>
        </w:numPr>
        <w:tabs>
          <w:tab w:val="left" w:pos="560"/>
        </w:tabs>
        <w:ind w:left="560" w:hanging="354"/>
        <w:rPr>
          <w:rFonts w:eastAsia="Arial"/>
          <w:szCs w:val="24"/>
        </w:rPr>
      </w:pPr>
      <w:bookmarkStart w:id="222" w:name="page222"/>
      <w:bookmarkEnd w:id="222"/>
      <w:r w:rsidRPr="00FC3B7C">
        <w:rPr>
          <w:rFonts w:eastAsia="Times New Roman"/>
          <w:szCs w:val="24"/>
        </w:rPr>
        <w:t>počet firem na trhu je konstantní v čase (překážky vstupu na trh ve zkoumaném čase jsou významné)</w:t>
      </w:r>
    </w:p>
    <w:p w14:paraId="4A6F3C26" w14:textId="589AD00C" w:rsidR="008E0F74" w:rsidRPr="00EA7C80" w:rsidRDefault="00256F29" w:rsidP="00D46B53">
      <w:pPr>
        <w:numPr>
          <w:ilvl w:val="0"/>
          <w:numId w:val="210"/>
        </w:numPr>
        <w:tabs>
          <w:tab w:val="left" w:pos="560"/>
        </w:tabs>
        <w:ind w:left="560" w:right="20" w:hanging="354"/>
        <w:rPr>
          <w:rFonts w:eastAsia="Arial"/>
          <w:szCs w:val="24"/>
        </w:rPr>
      </w:pPr>
      <w:r w:rsidRPr="00FC3B7C">
        <w:rPr>
          <w:rFonts w:eastAsia="Times New Roman"/>
          <w:szCs w:val="24"/>
        </w:rPr>
        <w:t>malý počet firem má velkou tržní moc a mohou tak nastavit P&gt;MC, takže i dlouhodobě mohou dosahovat ekonomického zisku</w:t>
      </w:r>
    </w:p>
    <w:p w14:paraId="4A6F3C27" w14:textId="77777777" w:rsidR="008E0F74" w:rsidRPr="00FC3B7C" w:rsidRDefault="008E0F74">
      <w:pPr>
        <w:spacing w:line="200" w:lineRule="exact"/>
        <w:rPr>
          <w:sz w:val="20"/>
          <w:szCs w:val="20"/>
        </w:rPr>
      </w:pPr>
    </w:p>
    <w:p w14:paraId="4A6F3C28" w14:textId="77777777" w:rsidR="008E0F74" w:rsidRPr="00FC3B7C" w:rsidRDefault="008E0F74">
      <w:pPr>
        <w:spacing w:line="302" w:lineRule="exact"/>
        <w:rPr>
          <w:sz w:val="20"/>
          <w:szCs w:val="20"/>
        </w:rPr>
      </w:pPr>
    </w:p>
    <w:p w14:paraId="4A6F3C29" w14:textId="77777777" w:rsidR="008E0F74" w:rsidRPr="00201107" w:rsidRDefault="00256F29" w:rsidP="00EA7C80">
      <w:pPr>
        <w:pStyle w:val="Nadpis2"/>
        <w:ind w:left="851" w:hanging="851"/>
        <w:rPr>
          <w:color w:val="1F3864" w:themeColor="accent1" w:themeShade="80"/>
          <w:sz w:val="20"/>
          <w:szCs w:val="20"/>
        </w:rPr>
      </w:pPr>
      <w:r w:rsidRPr="00201107">
        <w:rPr>
          <w:rFonts w:eastAsia="Times New Roman"/>
          <w:color w:val="1F3864" w:themeColor="accent1" w:themeShade="80"/>
        </w:rPr>
        <w:t>FORMY OMEZOVÁNÍ KONKURENCE</w:t>
      </w:r>
    </w:p>
    <w:p w14:paraId="4A6F3C2A" w14:textId="77777777" w:rsidR="008E0F74" w:rsidRPr="00EA7C80" w:rsidRDefault="008E0F74">
      <w:pPr>
        <w:spacing w:line="240" w:lineRule="exact"/>
        <w:rPr>
          <w:color w:val="2F5496" w:themeColor="accent1" w:themeShade="BF"/>
          <w:sz w:val="20"/>
          <w:szCs w:val="20"/>
        </w:rPr>
      </w:pPr>
    </w:p>
    <w:p w14:paraId="4A6F3C2B" w14:textId="11BB6F61" w:rsidR="008E0F74" w:rsidRPr="00AE6CBA" w:rsidRDefault="00256F29" w:rsidP="00EA7C80">
      <w:pPr>
        <w:pStyle w:val="Nadpis3"/>
        <w:ind w:left="1276" w:hanging="1276"/>
        <w:rPr>
          <w:color w:val="1F3864" w:themeColor="accent1" w:themeShade="80"/>
          <w:sz w:val="20"/>
          <w:szCs w:val="20"/>
        </w:rPr>
      </w:pPr>
      <w:r w:rsidRPr="00AE6CBA">
        <w:rPr>
          <w:rFonts w:eastAsia="Times New Roman"/>
          <w:color w:val="1F3864" w:themeColor="accent1" w:themeShade="80"/>
        </w:rPr>
        <w:t>Nedovolené narušování či omezování hospodářské soutěže</w:t>
      </w:r>
    </w:p>
    <w:p w14:paraId="4A6F3C2C" w14:textId="77777777" w:rsidR="008E0F74" w:rsidRPr="00FC3B7C" w:rsidRDefault="00256F29" w:rsidP="003375BB">
      <w:pPr>
        <w:rPr>
          <w:sz w:val="20"/>
          <w:szCs w:val="20"/>
        </w:rPr>
      </w:pPr>
      <w:r w:rsidRPr="00FC3B7C">
        <w:rPr>
          <w:rFonts w:eastAsia="Times New Roman"/>
        </w:rPr>
        <w:t>Toto upravuje speciální zákon na ochranu hospodářské soutěže. Cílem není ani tak chránit výrobce, jako přímo hospodářskou soutěž samotnou.</w:t>
      </w:r>
    </w:p>
    <w:p w14:paraId="4A6F3C2D" w14:textId="77777777" w:rsidR="008E0F74" w:rsidRPr="00FC3B7C" w:rsidRDefault="008E0F74">
      <w:pPr>
        <w:spacing w:line="167" w:lineRule="exact"/>
        <w:rPr>
          <w:sz w:val="20"/>
          <w:szCs w:val="20"/>
        </w:rPr>
      </w:pPr>
    </w:p>
    <w:p w14:paraId="4A6F3C2E" w14:textId="77777777" w:rsidR="008E0F74" w:rsidRPr="00AE6CBA" w:rsidRDefault="00256F29" w:rsidP="003375BB">
      <w:pPr>
        <w:pStyle w:val="Nadpis4"/>
        <w:rPr>
          <w:color w:val="1F3864" w:themeColor="accent1" w:themeShade="80"/>
          <w:sz w:val="20"/>
          <w:szCs w:val="20"/>
        </w:rPr>
      </w:pPr>
      <w:r w:rsidRPr="00AE6CBA">
        <w:rPr>
          <w:rFonts w:eastAsia="Times New Roman"/>
          <w:color w:val="1F3864" w:themeColor="accent1" w:themeShade="80"/>
        </w:rPr>
        <w:t>Dohody narušující hospodářskou soutěž</w:t>
      </w:r>
    </w:p>
    <w:p w14:paraId="4A6F3C2F" w14:textId="77777777" w:rsidR="008E0F74" w:rsidRPr="00FC3B7C" w:rsidRDefault="008E0F74">
      <w:pPr>
        <w:spacing w:line="95" w:lineRule="exact"/>
        <w:rPr>
          <w:sz w:val="20"/>
          <w:szCs w:val="20"/>
        </w:rPr>
      </w:pPr>
    </w:p>
    <w:p w14:paraId="4A6F3C30" w14:textId="77777777" w:rsidR="008E0F74" w:rsidRPr="00FC3B7C" w:rsidRDefault="00256F29" w:rsidP="003375BB">
      <w:pPr>
        <w:rPr>
          <w:sz w:val="20"/>
          <w:szCs w:val="20"/>
        </w:rPr>
      </w:pPr>
      <w:r w:rsidRPr="00FC3B7C">
        <w:rPr>
          <w:rFonts w:eastAsia="Times New Roman"/>
        </w:rPr>
        <w:t>Takové dohody jsou zakázané, pokud ovšem není stanovený zvláštní zákon nebo ÚOHS</w:t>
      </w:r>
      <w:r w:rsidR="00937FF4">
        <w:rPr>
          <w:rFonts w:eastAsia="Times New Roman"/>
          <w:sz w:val="31"/>
          <w:szCs w:val="31"/>
          <w:vertAlign w:val="superscript"/>
        </w:rPr>
        <w:t xml:space="preserve"> </w:t>
      </w:r>
      <w:r w:rsidR="00937FF4">
        <w:rPr>
          <w:rFonts w:eastAsia="Times New Roman"/>
        </w:rPr>
        <w:t xml:space="preserve">(Úřad pro ochranu hospodářské soutěže) </w:t>
      </w:r>
      <w:r w:rsidRPr="00FC3B7C">
        <w:rPr>
          <w:rFonts w:eastAsia="Times New Roman"/>
        </w:rPr>
        <w:t>nepovolí výjimku.</w:t>
      </w:r>
    </w:p>
    <w:p w14:paraId="4A6F3C31" w14:textId="77777777" w:rsidR="008E0F74" w:rsidRPr="00FC3B7C" w:rsidRDefault="00256F29" w:rsidP="00D46B53">
      <w:pPr>
        <w:numPr>
          <w:ilvl w:val="0"/>
          <w:numId w:val="211"/>
        </w:numPr>
        <w:tabs>
          <w:tab w:val="left" w:pos="1420"/>
        </w:tabs>
        <w:ind w:left="1420" w:hanging="366"/>
        <w:rPr>
          <w:rFonts w:eastAsia="Arial"/>
          <w:szCs w:val="24"/>
        </w:rPr>
      </w:pPr>
      <w:r w:rsidRPr="00FC3B7C">
        <w:rPr>
          <w:rFonts w:eastAsia="Times New Roman"/>
          <w:szCs w:val="24"/>
        </w:rPr>
        <w:t>Určení cen</w:t>
      </w:r>
    </w:p>
    <w:p w14:paraId="4A6F3C32" w14:textId="77777777" w:rsidR="008E0F74" w:rsidRPr="00FC3B7C" w:rsidRDefault="00256F29" w:rsidP="00D46B53">
      <w:pPr>
        <w:numPr>
          <w:ilvl w:val="0"/>
          <w:numId w:val="211"/>
        </w:numPr>
        <w:tabs>
          <w:tab w:val="left" w:pos="1420"/>
        </w:tabs>
        <w:ind w:left="1420" w:hanging="366"/>
        <w:rPr>
          <w:rFonts w:eastAsia="Arial"/>
          <w:szCs w:val="24"/>
        </w:rPr>
      </w:pPr>
      <w:r w:rsidRPr="00FC3B7C">
        <w:rPr>
          <w:rFonts w:eastAsia="Times New Roman"/>
          <w:szCs w:val="24"/>
        </w:rPr>
        <w:t>Rozdělení trhu nebo nákupních zdrojů</w:t>
      </w:r>
    </w:p>
    <w:p w14:paraId="4A6F3C33" w14:textId="77777777" w:rsidR="008E0F74" w:rsidRPr="00FC3B7C" w:rsidRDefault="00256F29" w:rsidP="00D46B53">
      <w:pPr>
        <w:numPr>
          <w:ilvl w:val="0"/>
          <w:numId w:val="211"/>
        </w:numPr>
        <w:tabs>
          <w:tab w:val="left" w:pos="1420"/>
        </w:tabs>
        <w:ind w:left="1420" w:hanging="366"/>
        <w:rPr>
          <w:rFonts w:eastAsia="Arial"/>
          <w:szCs w:val="24"/>
        </w:rPr>
      </w:pPr>
      <w:r w:rsidRPr="00FC3B7C">
        <w:rPr>
          <w:rFonts w:eastAsia="Times New Roman"/>
          <w:szCs w:val="24"/>
        </w:rPr>
        <w:t>Omezení nebo kontrola výroby a odbytu</w:t>
      </w:r>
    </w:p>
    <w:p w14:paraId="4A6F3C34" w14:textId="77777777" w:rsidR="008E0F74" w:rsidRPr="00FC3B7C" w:rsidRDefault="00256F29" w:rsidP="00D46B53">
      <w:pPr>
        <w:numPr>
          <w:ilvl w:val="0"/>
          <w:numId w:val="211"/>
        </w:numPr>
        <w:tabs>
          <w:tab w:val="left" w:pos="1420"/>
        </w:tabs>
        <w:ind w:left="1420" w:right="40" w:hanging="366"/>
        <w:rPr>
          <w:rFonts w:eastAsia="Arial"/>
          <w:szCs w:val="24"/>
        </w:rPr>
      </w:pPr>
      <w:r w:rsidRPr="00FC3B7C">
        <w:rPr>
          <w:rFonts w:eastAsia="Times New Roman"/>
          <w:szCs w:val="24"/>
        </w:rPr>
        <w:lastRenderedPageBreak/>
        <w:t>Účastníci dohody nebudou obchodovat nebo jinak spolupracovat se soutěžiteli, kteří nejsou účastníky dohody</w:t>
      </w:r>
    </w:p>
    <w:p w14:paraId="4A6F3C35" w14:textId="77777777" w:rsidR="008E0F74" w:rsidRPr="00FC3B7C" w:rsidRDefault="00256F29">
      <w:pPr>
        <w:rPr>
          <w:sz w:val="20"/>
          <w:szCs w:val="20"/>
        </w:rPr>
      </w:pPr>
      <w:r w:rsidRPr="00FC3B7C">
        <w:rPr>
          <w:rFonts w:eastAsia="Times New Roman"/>
          <w:b/>
          <w:bCs/>
          <w:szCs w:val="24"/>
        </w:rPr>
        <w:t>Kartel a koluze</w:t>
      </w:r>
    </w:p>
    <w:p w14:paraId="4A6F3C36" w14:textId="77777777" w:rsidR="008E0F74" w:rsidRPr="00FC3B7C" w:rsidRDefault="008E0F74">
      <w:pPr>
        <w:spacing w:line="40" w:lineRule="exact"/>
        <w:rPr>
          <w:sz w:val="20"/>
          <w:szCs w:val="20"/>
        </w:rPr>
      </w:pPr>
    </w:p>
    <w:p w14:paraId="4A6F3C37" w14:textId="5178BD85" w:rsidR="008E0F74" w:rsidRPr="004B6CDE" w:rsidRDefault="003825F3" w:rsidP="003375BB">
      <w:pPr>
        <w:rPr>
          <w:sz w:val="20"/>
          <w:szCs w:val="20"/>
        </w:rPr>
      </w:pPr>
      <w:r w:rsidRPr="004B6CDE">
        <w:rPr>
          <w:rFonts w:eastAsia="Times New Roman"/>
        </w:rPr>
        <w:t>Jedná se o koordinované chování firem za účelem zvýšení tržní síly n</w:t>
      </w:r>
      <w:r w:rsidR="00256F29" w:rsidRPr="004B6CDE">
        <w:rPr>
          <w:rFonts w:eastAsia="Times New Roman"/>
        </w:rPr>
        <w:t>a základě smluvní dohody</w:t>
      </w:r>
      <w:r w:rsidRPr="004B6CDE">
        <w:rPr>
          <w:rFonts w:eastAsia="Times New Roman"/>
        </w:rPr>
        <w:t xml:space="preserve">. </w:t>
      </w:r>
      <w:r w:rsidR="00256F29" w:rsidRPr="004B6CDE">
        <w:rPr>
          <w:rFonts w:eastAsia="Times New Roman"/>
        </w:rPr>
        <w:t>Dohoda vzniká nejen mezi skutečnými, ale také potencionálními účastníky trhu, jejímž výsledkem je odstranění konkurence a tím také podnikatelského rizika.</w:t>
      </w:r>
    </w:p>
    <w:p w14:paraId="4A6F3C38" w14:textId="77777777" w:rsidR="008E0F74" w:rsidRPr="004B6CDE" w:rsidRDefault="008E0F74">
      <w:pPr>
        <w:spacing w:line="3" w:lineRule="exact"/>
        <w:rPr>
          <w:sz w:val="20"/>
          <w:szCs w:val="20"/>
        </w:rPr>
      </w:pPr>
    </w:p>
    <w:p w14:paraId="4A6F3C39" w14:textId="77777777" w:rsidR="008E0F74" w:rsidRPr="004B6CDE" w:rsidRDefault="00256F29">
      <w:pPr>
        <w:ind w:right="40"/>
        <w:rPr>
          <w:sz w:val="20"/>
          <w:szCs w:val="20"/>
        </w:rPr>
      </w:pPr>
      <w:r w:rsidRPr="004B6CDE">
        <w:rPr>
          <w:rFonts w:eastAsia="Times New Roman"/>
          <w:i/>
          <w:iCs/>
          <w:szCs w:val="24"/>
          <w:u w:val="single"/>
        </w:rPr>
        <w:t>Koluze:</w:t>
      </w:r>
      <w:r w:rsidRPr="004B6CDE">
        <w:rPr>
          <w:rFonts w:eastAsia="Times New Roman"/>
          <w:szCs w:val="24"/>
        </w:rPr>
        <w:t xml:space="preserve"> koordinované chování firem za účelem zvýšení tržní síly, může být implicitní (tichá dohoda)</w:t>
      </w:r>
    </w:p>
    <w:p w14:paraId="4A6F3C3A" w14:textId="77777777" w:rsidR="008E0F74" w:rsidRPr="004B6CDE" w:rsidRDefault="00256F29" w:rsidP="003375BB">
      <w:pPr>
        <w:rPr>
          <w:sz w:val="20"/>
          <w:szCs w:val="20"/>
        </w:rPr>
      </w:pPr>
      <w:r w:rsidRPr="004B6CDE">
        <w:rPr>
          <w:rFonts w:eastAsia="Times New Roman"/>
          <w:i/>
          <w:iCs/>
          <w:u w:val="single"/>
        </w:rPr>
        <w:t>Kartelová dohoda:</w:t>
      </w:r>
      <w:r w:rsidRPr="004B6CDE">
        <w:rPr>
          <w:rFonts w:eastAsia="Times New Roman"/>
        </w:rPr>
        <w:t xml:space="preserve"> explicitní koordinace chování firem za účelem maximalizace zisku (dohoda o cenách, dohody o rozdělení území), přičemž dochází k odstraňování konkurence. Rozlišujeme </w:t>
      </w:r>
      <w:r w:rsidRPr="004B6CDE">
        <w:rPr>
          <w:rFonts w:eastAsia="Times New Roman"/>
          <w:i/>
          <w:iCs/>
        </w:rPr>
        <w:t>horizontální</w:t>
      </w:r>
      <w:r w:rsidRPr="004B6CDE">
        <w:rPr>
          <w:rFonts w:eastAsia="Times New Roman"/>
        </w:rPr>
        <w:t xml:space="preserve"> (dohody mezi konkurenty) a </w:t>
      </w:r>
      <w:r w:rsidRPr="004B6CDE">
        <w:rPr>
          <w:rFonts w:eastAsia="Times New Roman"/>
          <w:i/>
          <w:iCs/>
        </w:rPr>
        <w:t>vertikální</w:t>
      </w:r>
      <w:r w:rsidRPr="004B6CDE">
        <w:rPr>
          <w:rFonts w:eastAsia="Times New Roman"/>
        </w:rPr>
        <w:t xml:space="preserve"> kartely (jejich výroba na sebe navazuje).</w:t>
      </w:r>
    </w:p>
    <w:p w14:paraId="4A6F3C3B" w14:textId="77777777" w:rsidR="008E0F74" w:rsidRPr="004B6CDE" w:rsidRDefault="00256F29" w:rsidP="003375BB">
      <w:pPr>
        <w:rPr>
          <w:sz w:val="20"/>
          <w:szCs w:val="20"/>
        </w:rPr>
      </w:pPr>
      <w:r w:rsidRPr="004B6CDE">
        <w:rPr>
          <w:rFonts w:eastAsia="Times New Roman"/>
        </w:rPr>
        <w:t>Faktory podporující vznik kartelů:</w:t>
      </w:r>
    </w:p>
    <w:p w14:paraId="4A6F3C3C" w14:textId="77777777" w:rsidR="008E0F74" w:rsidRPr="00FC3B7C" w:rsidRDefault="008E0F74">
      <w:pPr>
        <w:spacing w:line="1" w:lineRule="exact"/>
        <w:rPr>
          <w:sz w:val="20"/>
          <w:szCs w:val="20"/>
        </w:rPr>
      </w:pPr>
    </w:p>
    <w:p w14:paraId="4A6F3C3D" w14:textId="77777777" w:rsidR="008E0F74" w:rsidRPr="00FC3B7C" w:rsidRDefault="00256F29" w:rsidP="00D46B53">
      <w:pPr>
        <w:numPr>
          <w:ilvl w:val="0"/>
          <w:numId w:val="212"/>
        </w:numPr>
        <w:tabs>
          <w:tab w:val="left" w:pos="1420"/>
        </w:tabs>
        <w:ind w:left="1420" w:hanging="366"/>
        <w:rPr>
          <w:rFonts w:eastAsia="Arial"/>
          <w:szCs w:val="24"/>
        </w:rPr>
      </w:pPr>
      <w:r w:rsidRPr="00FC3B7C">
        <w:rPr>
          <w:rFonts w:eastAsia="Times New Roman"/>
          <w:szCs w:val="24"/>
        </w:rPr>
        <w:t>Nízký počet firem na trhu</w:t>
      </w:r>
    </w:p>
    <w:p w14:paraId="4A6F3C3E" w14:textId="77777777" w:rsidR="008E0F74" w:rsidRPr="00FC3B7C" w:rsidRDefault="00256F29" w:rsidP="00D46B53">
      <w:pPr>
        <w:numPr>
          <w:ilvl w:val="0"/>
          <w:numId w:val="212"/>
        </w:numPr>
        <w:tabs>
          <w:tab w:val="left" w:pos="1420"/>
        </w:tabs>
        <w:ind w:left="1420" w:hanging="366"/>
        <w:rPr>
          <w:rFonts w:eastAsia="Arial"/>
          <w:szCs w:val="24"/>
        </w:rPr>
      </w:pPr>
      <w:r w:rsidRPr="00FC3B7C">
        <w:rPr>
          <w:rFonts w:eastAsia="Times New Roman"/>
          <w:szCs w:val="24"/>
        </w:rPr>
        <w:t>Existence významných bariér vstupu na trh</w:t>
      </w:r>
    </w:p>
    <w:p w14:paraId="4A6F3C3F" w14:textId="77777777" w:rsidR="008E0F74" w:rsidRPr="00FC3B7C" w:rsidRDefault="00256F29" w:rsidP="00D46B53">
      <w:pPr>
        <w:numPr>
          <w:ilvl w:val="0"/>
          <w:numId w:val="212"/>
        </w:numPr>
        <w:tabs>
          <w:tab w:val="left" w:pos="1420"/>
        </w:tabs>
        <w:ind w:left="1420" w:hanging="366"/>
        <w:rPr>
          <w:rFonts w:eastAsia="Arial"/>
          <w:szCs w:val="24"/>
        </w:rPr>
      </w:pPr>
      <w:r w:rsidRPr="00FC3B7C">
        <w:rPr>
          <w:rFonts w:eastAsia="Times New Roman"/>
          <w:szCs w:val="24"/>
        </w:rPr>
        <w:t>Homogenní produkce</w:t>
      </w:r>
    </w:p>
    <w:p w14:paraId="4A6F3C40" w14:textId="77777777" w:rsidR="008E0F74" w:rsidRPr="00FC3B7C" w:rsidRDefault="00256F29" w:rsidP="00D46B53">
      <w:pPr>
        <w:numPr>
          <w:ilvl w:val="0"/>
          <w:numId w:val="212"/>
        </w:numPr>
        <w:tabs>
          <w:tab w:val="left" w:pos="1420"/>
        </w:tabs>
        <w:ind w:left="1420" w:hanging="366"/>
        <w:rPr>
          <w:rFonts w:eastAsia="Arial"/>
          <w:szCs w:val="24"/>
        </w:rPr>
      </w:pPr>
      <w:r w:rsidRPr="00FC3B7C">
        <w:rPr>
          <w:rFonts w:eastAsia="Times New Roman"/>
          <w:szCs w:val="24"/>
        </w:rPr>
        <w:t>Nevyužité výrobní kapacity</w:t>
      </w:r>
    </w:p>
    <w:p w14:paraId="4A6F3C41" w14:textId="77777777" w:rsidR="008E0F74" w:rsidRPr="00FC3B7C" w:rsidRDefault="00256F29" w:rsidP="00D46B53">
      <w:pPr>
        <w:numPr>
          <w:ilvl w:val="0"/>
          <w:numId w:val="212"/>
        </w:numPr>
        <w:tabs>
          <w:tab w:val="left" w:pos="1420"/>
        </w:tabs>
        <w:ind w:left="1420" w:hanging="366"/>
        <w:rPr>
          <w:rFonts w:eastAsia="Arial"/>
          <w:szCs w:val="24"/>
        </w:rPr>
      </w:pPr>
      <w:r w:rsidRPr="00FC3B7C">
        <w:rPr>
          <w:rFonts w:eastAsia="Times New Roman"/>
          <w:szCs w:val="24"/>
        </w:rPr>
        <w:t>Klesající nebo stagnující poptávka</w:t>
      </w:r>
    </w:p>
    <w:p w14:paraId="4A6F3C42" w14:textId="77777777" w:rsidR="008E0F74" w:rsidRPr="00FC3B7C" w:rsidRDefault="008E0F74">
      <w:pPr>
        <w:spacing w:line="115" w:lineRule="exact"/>
        <w:rPr>
          <w:sz w:val="20"/>
          <w:szCs w:val="20"/>
        </w:rPr>
      </w:pPr>
    </w:p>
    <w:p w14:paraId="4A6F3C43" w14:textId="77777777" w:rsidR="008E0F74" w:rsidRPr="00FC3B7C" w:rsidRDefault="00256F29">
      <w:pPr>
        <w:rPr>
          <w:sz w:val="20"/>
          <w:szCs w:val="20"/>
        </w:rPr>
      </w:pPr>
      <w:r w:rsidRPr="00FC3B7C">
        <w:rPr>
          <w:rFonts w:eastAsia="Times New Roman"/>
          <w:b/>
          <w:bCs/>
          <w:szCs w:val="24"/>
        </w:rPr>
        <w:t>Zneužití tržní síly (dominantního postavení) soutěžitelů</w:t>
      </w:r>
    </w:p>
    <w:p w14:paraId="4A6F3C44" w14:textId="77777777" w:rsidR="008E0F74" w:rsidRPr="00FC3B7C" w:rsidRDefault="008E0F74">
      <w:pPr>
        <w:spacing w:line="42" w:lineRule="exact"/>
        <w:rPr>
          <w:sz w:val="20"/>
          <w:szCs w:val="20"/>
        </w:rPr>
      </w:pPr>
    </w:p>
    <w:p w14:paraId="4A6F3C48" w14:textId="4768C076" w:rsidR="008E0F74" w:rsidRPr="00FC3B7C" w:rsidRDefault="00256F29" w:rsidP="00937FF4">
      <w:pPr>
        <w:rPr>
          <w:sz w:val="20"/>
          <w:szCs w:val="20"/>
        </w:rPr>
      </w:pPr>
      <w:r w:rsidRPr="00FC3B7C">
        <w:rPr>
          <w:rFonts w:eastAsia="Times New Roman"/>
        </w:rPr>
        <w:t>Samotné dosažení dominantního postavení není nezákonné, česká právní soustava upravuje pouze zneužití tohoto postavení na úkor ostatních soutěžitelů nebo spotřebitelů. Dominantní postavení znamená dosažení 40 % a více tržního podílu. Tohoto může dosáhnout jediná firma</w:t>
      </w:r>
      <w:r w:rsidR="003825F3">
        <w:rPr>
          <w:rFonts w:eastAsia="Times New Roman"/>
        </w:rPr>
        <w:t xml:space="preserve"> </w:t>
      </w:r>
      <w:r w:rsidR="00937FF4">
        <w:rPr>
          <w:rFonts w:eastAsia="Times New Roman"/>
        </w:rPr>
        <w:t>nebo d</w:t>
      </w:r>
      <w:r w:rsidRPr="00FC3B7C">
        <w:rPr>
          <w:rFonts w:eastAsia="Times New Roman"/>
        </w:rPr>
        <w:t>vě firmy společně.</w:t>
      </w:r>
      <w:r w:rsidR="003825F3" w:rsidRPr="003825F3">
        <w:rPr>
          <w:rStyle w:val="Znakapoznpodarou"/>
          <w:rFonts w:eastAsia="Times New Roman"/>
          <w:sz w:val="15"/>
          <w:szCs w:val="15"/>
        </w:rPr>
        <w:t xml:space="preserve"> </w:t>
      </w:r>
      <w:r w:rsidR="003825F3">
        <w:rPr>
          <w:rStyle w:val="Znakapoznpodarou"/>
          <w:rFonts w:eastAsia="Times New Roman"/>
          <w:sz w:val="15"/>
          <w:szCs w:val="15"/>
        </w:rPr>
        <w:footnoteReference w:id="35"/>
      </w:r>
      <w:bookmarkStart w:id="223" w:name="page223"/>
      <w:bookmarkEnd w:id="223"/>
      <w:r w:rsidR="003376E1">
        <w:rPr>
          <w:rFonts w:eastAsia="Times New Roman"/>
        </w:rPr>
        <w:t xml:space="preserve"> </w:t>
      </w:r>
      <w:r w:rsidRPr="00FC3B7C">
        <w:rPr>
          <w:rFonts w:eastAsia="Times New Roman"/>
        </w:rPr>
        <w:t>Díky tomuto postavení se firma může chovat značně nezávisle na ostatních soutěžitelích.</w:t>
      </w:r>
    </w:p>
    <w:p w14:paraId="4A6F3C49" w14:textId="77777777" w:rsidR="008E0F74" w:rsidRPr="00FC3B7C" w:rsidRDefault="00256F29" w:rsidP="00937FF4">
      <w:pPr>
        <w:rPr>
          <w:sz w:val="20"/>
          <w:szCs w:val="20"/>
        </w:rPr>
      </w:pPr>
      <w:r w:rsidRPr="00FC3B7C">
        <w:rPr>
          <w:rFonts w:eastAsia="Times New Roman"/>
        </w:rPr>
        <w:t>Příklady pro zneužití dominantního postavení</w:t>
      </w:r>
      <w:r w:rsidRPr="00FC3B7C">
        <w:rPr>
          <w:rFonts w:eastAsia="Times New Roman"/>
          <w:b/>
          <w:bCs/>
        </w:rPr>
        <w:t>:</w:t>
      </w:r>
    </w:p>
    <w:p w14:paraId="4A6F3C4A" w14:textId="77777777" w:rsidR="008E0F74" w:rsidRPr="00FC3B7C" w:rsidRDefault="008E0F74">
      <w:pPr>
        <w:spacing w:line="1" w:lineRule="exact"/>
        <w:rPr>
          <w:sz w:val="20"/>
          <w:szCs w:val="20"/>
        </w:rPr>
      </w:pPr>
    </w:p>
    <w:p w14:paraId="4A6F3C4B" w14:textId="77777777" w:rsidR="008E0F74" w:rsidRPr="00FC3B7C" w:rsidRDefault="00256F29" w:rsidP="00D46B53">
      <w:pPr>
        <w:numPr>
          <w:ilvl w:val="0"/>
          <w:numId w:val="213"/>
        </w:numPr>
        <w:tabs>
          <w:tab w:val="left" w:pos="1424"/>
        </w:tabs>
        <w:ind w:left="1424" w:right="20" w:hanging="363"/>
        <w:rPr>
          <w:rFonts w:eastAsia="Arial"/>
          <w:szCs w:val="24"/>
        </w:rPr>
      </w:pPr>
      <w:r w:rsidRPr="00FC3B7C">
        <w:rPr>
          <w:rFonts w:eastAsia="Times New Roman"/>
          <w:szCs w:val="24"/>
        </w:rPr>
        <w:t xml:space="preserve">přímé nebo nepřímé vynucování nepřiměřených podmínek ve smlouvách </w:t>
      </w:r>
      <w:r w:rsidR="00937FF4">
        <w:rPr>
          <w:rFonts w:eastAsia="Times New Roman"/>
          <w:szCs w:val="24"/>
        </w:rPr>
        <w:br/>
      </w:r>
      <w:r w:rsidRPr="00FC3B7C">
        <w:rPr>
          <w:rFonts w:eastAsia="Times New Roman"/>
          <w:szCs w:val="24"/>
        </w:rPr>
        <w:t>s jinými účastníky trhu</w:t>
      </w:r>
    </w:p>
    <w:p w14:paraId="4A6F3C4C" w14:textId="77777777" w:rsidR="008E0F74" w:rsidRPr="00FC3B7C" w:rsidRDefault="00256F29" w:rsidP="00D46B53">
      <w:pPr>
        <w:numPr>
          <w:ilvl w:val="0"/>
          <w:numId w:val="213"/>
        </w:numPr>
        <w:tabs>
          <w:tab w:val="left" w:pos="1424"/>
        </w:tabs>
        <w:ind w:left="1424" w:right="20" w:hanging="363"/>
        <w:rPr>
          <w:rFonts w:eastAsia="Arial"/>
          <w:szCs w:val="24"/>
        </w:rPr>
      </w:pPr>
      <w:r w:rsidRPr="00FC3B7C">
        <w:rPr>
          <w:rFonts w:eastAsia="Times New Roman"/>
          <w:szCs w:val="24"/>
        </w:rPr>
        <w:t>zastavení nebo omezení výroby, odbytu nebo výzkumu a vývoje na úkor spotřebitelů</w:t>
      </w:r>
    </w:p>
    <w:p w14:paraId="4A6F3C4D" w14:textId="77777777" w:rsidR="008E0F74" w:rsidRPr="00FC3B7C" w:rsidRDefault="00256F29" w:rsidP="00D46B53">
      <w:pPr>
        <w:numPr>
          <w:ilvl w:val="0"/>
          <w:numId w:val="213"/>
        </w:numPr>
        <w:tabs>
          <w:tab w:val="left" w:pos="1424"/>
        </w:tabs>
        <w:ind w:left="1424" w:right="20" w:hanging="363"/>
        <w:rPr>
          <w:rFonts w:eastAsia="Arial"/>
          <w:szCs w:val="24"/>
        </w:rPr>
      </w:pPr>
      <w:r w:rsidRPr="00FC3B7C">
        <w:rPr>
          <w:rFonts w:eastAsia="Times New Roman"/>
          <w:szCs w:val="24"/>
        </w:rPr>
        <w:t>tzv. diskriminační chování – uplatňování rozdílných podmínek vůči obchodním partnerům</w:t>
      </w:r>
    </w:p>
    <w:p w14:paraId="4A6F3C4E" w14:textId="77777777" w:rsidR="008E0F74" w:rsidRPr="00FC3B7C" w:rsidRDefault="00256F29" w:rsidP="00D46B53">
      <w:pPr>
        <w:numPr>
          <w:ilvl w:val="0"/>
          <w:numId w:val="213"/>
        </w:numPr>
        <w:tabs>
          <w:tab w:val="left" w:pos="1424"/>
        </w:tabs>
        <w:ind w:left="1424" w:right="20" w:hanging="363"/>
        <w:rPr>
          <w:rFonts w:eastAsia="Arial"/>
          <w:szCs w:val="24"/>
        </w:rPr>
      </w:pPr>
      <w:r w:rsidRPr="00FC3B7C">
        <w:rPr>
          <w:rFonts w:eastAsia="Times New Roman"/>
          <w:szCs w:val="24"/>
        </w:rPr>
        <w:lastRenderedPageBreak/>
        <w:t>podmiňování uzavření smluv tím, že druhá strana přijme další plnění, která ani věcně ani podle obchodních zvyklostí s předmětem těchto smluv nesouvisejí</w:t>
      </w:r>
    </w:p>
    <w:p w14:paraId="4A6F3C4F" w14:textId="77777777" w:rsidR="008E0F74" w:rsidRPr="00FC3B7C" w:rsidRDefault="00256F29" w:rsidP="00D46B53">
      <w:pPr>
        <w:numPr>
          <w:ilvl w:val="0"/>
          <w:numId w:val="213"/>
        </w:numPr>
        <w:tabs>
          <w:tab w:val="left" w:pos="1424"/>
        </w:tabs>
        <w:ind w:left="1424" w:right="20" w:hanging="363"/>
        <w:rPr>
          <w:rFonts w:eastAsia="Arial"/>
          <w:szCs w:val="24"/>
        </w:rPr>
      </w:pPr>
      <w:r w:rsidRPr="00FC3B7C">
        <w:rPr>
          <w:rFonts w:eastAsia="Times New Roman"/>
          <w:szCs w:val="24"/>
        </w:rPr>
        <w:t>dlouhodobé nabízení a prodej zboží za nepřiměřeně nízké ceny (to může mít za následek nepřiměřeně nízké ceny – dumpingové ceny)</w:t>
      </w:r>
    </w:p>
    <w:p w14:paraId="4A6F3C50" w14:textId="77777777" w:rsidR="008E0F74" w:rsidRPr="00FC3B7C" w:rsidRDefault="00256F29" w:rsidP="00D46B53">
      <w:pPr>
        <w:numPr>
          <w:ilvl w:val="0"/>
          <w:numId w:val="213"/>
        </w:numPr>
        <w:tabs>
          <w:tab w:val="left" w:pos="1424"/>
        </w:tabs>
        <w:ind w:left="1424" w:hanging="363"/>
        <w:rPr>
          <w:rFonts w:eastAsia="Arial"/>
          <w:szCs w:val="24"/>
        </w:rPr>
      </w:pPr>
      <w:r w:rsidRPr="00FC3B7C">
        <w:rPr>
          <w:rFonts w:eastAsia="Times New Roman"/>
          <w:szCs w:val="24"/>
        </w:rPr>
        <w:t>vázaný prodej</w:t>
      </w:r>
    </w:p>
    <w:p w14:paraId="4A6F3C51" w14:textId="77777777" w:rsidR="008E0F74" w:rsidRPr="00FC3B7C" w:rsidRDefault="00256F29" w:rsidP="00D46B53">
      <w:pPr>
        <w:numPr>
          <w:ilvl w:val="0"/>
          <w:numId w:val="213"/>
        </w:numPr>
        <w:tabs>
          <w:tab w:val="left" w:pos="1424"/>
        </w:tabs>
        <w:ind w:left="1424" w:hanging="363"/>
        <w:rPr>
          <w:rFonts w:eastAsia="Arial"/>
          <w:szCs w:val="24"/>
        </w:rPr>
      </w:pPr>
      <w:r w:rsidRPr="00FC3B7C">
        <w:rPr>
          <w:rFonts w:eastAsia="Times New Roman"/>
          <w:szCs w:val="24"/>
        </w:rPr>
        <w:t>získávání podílů v konkurenčních firmách a propojené řízení</w:t>
      </w:r>
    </w:p>
    <w:p w14:paraId="4A6F3C52" w14:textId="77777777" w:rsidR="008E0F74" w:rsidRPr="00FC3B7C" w:rsidRDefault="00256F29" w:rsidP="00D46B53">
      <w:pPr>
        <w:numPr>
          <w:ilvl w:val="0"/>
          <w:numId w:val="213"/>
        </w:numPr>
        <w:tabs>
          <w:tab w:val="left" w:pos="1424"/>
        </w:tabs>
        <w:ind w:left="1424" w:right="20" w:hanging="363"/>
        <w:rPr>
          <w:rFonts w:eastAsia="Arial"/>
          <w:szCs w:val="24"/>
        </w:rPr>
      </w:pPr>
      <w:r w:rsidRPr="00FC3B7C">
        <w:rPr>
          <w:rFonts w:eastAsia="Times New Roman"/>
          <w:szCs w:val="24"/>
        </w:rPr>
        <w:t>vázané dohody o odběru zboží, reciproční dohody (vzájemný odběr zboží), odbytové dohody (určení konkrétních zákazníků a oblastí zásobování), vynucování jednostranně výhodných podmínek</w:t>
      </w:r>
    </w:p>
    <w:p w14:paraId="4A6F3C53" w14:textId="77777777" w:rsidR="008E0F74" w:rsidRPr="00FC3B7C" w:rsidRDefault="00256F29" w:rsidP="00D46B53">
      <w:pPr>
        <w:numPr>
          <w:ilvl w:val="0"/>
          <w:numId w:val="213"/>
        </w:numPr>
        <w:tabs>
          <w:tab w:val="left" w:pos="1424"/>
        </w:tabs>
        <w:ind w:left="1424" w:hanging="363"/>
        <w:rPr>
          <w:rFonts w:eastAsia="Arial"/>
          <w:szCs w:val="24"/>
        </w:rPr>
      </w:pPr>
      <w:r w:rsidRPr="00FC3B7C">
        <w:rPr>
          <w:rFonts w:eastAsia="Times New Roman"/>
          <w:szCs w:val="24"/>
        </w:rPr>
        <w:t>omezení nebo odepření dodávek</w:t>
      </w:r>
    </w:p>
    <w:p w14:paraId="4A6F3C54" w14:textId="77777777" w:rsidR="008E0F74" w:rsidRPr="00FC3B7C" w:rsidRDefault="00256F29" w:rsidP="00D46B53">
      <w:pPr>
        <w:numPr>
          <w:ilvl w:val="0"/>
          <w:numId w:val="213"/>
        </w:numPr>
        <w:tabs>
          <w:tab w:val="left" w:pos="1424"/>
        </w:tabs>
        <w:ind w:left="1424" w:hanging="363"/>
        <w:rPr>
          <w:rFonts w:eastAsia="Arial"/>
          <w:szCs w:val="24"/>
        </w:rPr>
      </w:pPr>
      <w:r w:rsidRPr="00FC3B7C">
        <w:rPr>
          <w:rFonts w:eastAsia="Times New Roman"/>
          <w:szCs w:val="24"/>
        </w:rPr>
        <w:t>přímé vykořisťování</w:t>
      </w:r>
    </w:p>
    <w:p w14:paraId="4A6F3C55" w14:textId="77777777" w:rsidR="008E0F74" w:rsidRPr="00FC3B7C" w:rsidRDefault="008E0F74">
      <w:pPr>
        <w:spacing w:line="77" w:lineRule="exact"/>
        <w:rPr>
          <w:sz w:val="20"/>
          <w:szCs w:val="20"/>
        </w:rPr>
      </w:pPr>
    </w:p>
    <w:p w14:paraId="4A6F3C56" w14:textId="77777777" w:rsidR="008E0F74" w:rsidRPr="00FC3B7C" w:rsidRDefault="00256F29">
      <w:pPr>
        <w:ind w:left="4"/>
        <w:rPr>
          <w:sz w:val="20"/>
          <w:szCs w:val="20"/>
        </w:rPr>
      </w:pPr>
      <w:r w:rsidRPr="00FC3B7C">
        <w:rPr>
          <w:rFonts w:eastAsia="Times New Roman"/>
          <w:b/>
          <w:bCs/>
          <w:szCs w:val="24"/>
        </w:rPr>
        <w:t>Fúze</w:t>
      </w:r>
    </w:p>
    <w:p w14:paraId="4A6F3C57" w14:textId="77777777" w:rsidR="008E0F74" w:rsidRPr="00FC3B7C" w:rsidRDefault="008E0F74">
      <w:pPr>
        <w:spacing w:line="42" w:lineRule="exact"/>
        <w:rPr>
          <w:sz w:val="20"/>
          <w:szCs w:val="20"/>
        </w:rPr>
      </w:pPr>
    </w:p>
    <w:p w14:paraId="4A6F3C58" w14:textId="77777777" w:rsidR="008E0F74" w:rsidRPr="00FC3B7C" w:rsidRDefault="00256F29" w:rsidP="00937FF4">
      <w:pPr>
        <w:rPr>
          <w:sz w:val="20"/>
          <w:szCs w:val="20"/>
        </w:rPr>
      </w:pPr>
      <w:r w:rsidRPr="00FC3B7C">
        <w:rPr>
          <w:rFonts w:eastAsia="Times New Roman"/>
        </w:rPr>
        <w:t>Spojení dosud si konkurujících soutěžitelů a vznik jednoho ekonomického a právního celku spojený s růstem koncentrace trhu. Spojení velkých ekonomických subjektů podléhá kontrole a regulaci. K fúzi může docházet buď způsobem sloučení, nebo splynutí.</w:t>
      </w:r>
    </w:p>
    <w:p w14:paraId="4A6F3C59" w14:textId="77777777" w:rsidR="008E0F74" w:rsidRPr="00FC3B7C" w:rsidRDefault="00256F29">
      <w:pPr>
        <w:ind w:left="4"/>
        <w:rPr>
          <w:sz w:val="20"/>
          <w:szCs w:val="20"/>
        </w:rPr>
      </w:pPr>
      <w:r w:rsidRPr="00FC3B7C">
        <w:rPr>
          <w:rFonts w:eastAsia="Times New Roman"/>
          <w:szCs w:val="24"/>
        </w:rPr>
        <w:t>Sloučení: dochází k zániku jedné nebo více společností a veškeré vztahy a majetek přechází na společnost druhou (nástupnickou).</w:t>
      </w:r>
    </w:p>
    <w:p w14:paraId="4A6F3C5A" w14:textId="31760EA3" w:rsidR="008E0F74" w:rsidRDefault="00256F29" w:rsidP="00937FF4">
      <w:pPr>
        <w:rPr>
          <w:rFonts w:eastAsia="Times New Roman"/>
        </w:rPr>
      </w:pPr>
      <w:r w:rsidRPr="003825F3">
        <w:rPr>
          <w:rFonts w:eastAsia="Times New Roman"/>
          <w:i/>
          <w:iCs/>
          <w:u w:val="single"/>
        </w:rPr>
        <w:t>Splynutí:</w:t>
      </w:r>
      <w:r w:rsidRPr="00FC3B7C">
        <w:rPr>
          <w:rFonts w:eastAsia="Times New Roman"/>
        </w:rPr>
        <w:t xml:space="preserve"> zánik obou nebo více firem a jejich vztahy a majetek přechází na nově založenou nástupnickou společnost.</w:t>
      </w:r>
    </w:p>
    <w:p w14:paraId="191C496D" w14:textId="77777777" w:rsidR="003825F3" w:rsidRDefault="003825F3" w:rsidP="00937FF4">
      <w:pPr>
        <w:rPr>
          <w:rFonts w:eastAsia="Times New Roman"/>
        </w:rPr>
      </w:pPr>
    </w:p>
    <w:p w14:paraId="6A8A0118" w14:textId="77777777" w:rsidR="003825F3" w:rsidRPr="00FC3B7C" w:rsidRDefault="003825F3" w:rsidP="003825F3">
      <w:pPr>
        <w:rPr>
          <w:sz w:val="20"/>
          <w:szCs w:val="20"/>
        </w:rPr>
      </w:pPr>
      <w:r w:rsidRPr="00FC3B7C">
        <w:rPr>
          <w:rFonts w:eastAsia="Times New Roman"/>
          <w:b/>
          <w:bCs/>
          <w:szCs w:val="24"/>
        </w:rPr>
        <w:t>Rozlišujeme:</w:t>
      </w:r>
    </w:p>
    <w:p w14:paraId="4B58F58C" w14:textId="77777777" w:rsidR="003825F3" w:rsidRPr="00FC3B7C" w:rsidRDefault="003825F3" w:rsidP="003825F3">
      <w:pPr>
        <w:spacing w:line="39" w:lineRule="exact"/>
        <w:rPr>
          <w:sz w:val="20"/>
          <w:szCs w:val="20"/>
        </w:rPr>
      </w:pPr>
    </w:p>
    <w:p w14:paraId="2ED0D10E" w14:textId="77777777" w:rsidR="003825F3" w:rsidRPr="00FC3B7C" w:rsidRDefault="003825F3" w:rsidP="00D46B53">
      <w:pPr>
        <w:numPr>
          <w:ilvl w:val="0"/>
          <w:numId w:val="214"/>
        </w:numPr>
        <w:tabs>
          <w:tab w:val="left" w:pos="720"/>
        </w:tabs>
        <w:ind w:left="720" w:hanging="364"/>
        <w:rPr>
          <w:rFonts w:eastAsia="Arial"/>
          <w:szCs w:val="24"/>
        </w:rPr>
      </w:pPr>
      <w:r w:rsidRPr="00FC3B7C">
        <w:rPr>
          <w:rFonts w:eastAsia="Times New Roman"/>
          <w:b/>
          <w:bCs/>
          <w:szCs w:val="24"/>
        </w:rPr>
        <w:t>interní růst (vnitřní růst)</w:t>
      </w:r>
    </w:p>
    <w:p w14:paraId="1BF0CDB8" w14:textId="77777777" w:rsidR="003825F3" w:rsidRPr="00FC3B7C" w:rsidRDefault="003825F3" w:rsidP="003825F3">
      <w:pPr>
        <w:spacing w:line="2" w:lineRule="exact"/>
        <w:rPr>
          <w:rFonts w:eastAsia="Arial"/>
          <w:szCs w:val="24"/>
        </w:rPr>
      </w:pPr>
    </w:p>
    <w:p w14:paraId="0010D833" w14:textId="77777777" w:rsidR="003825F3" w:rsidRPr="00FC3B7C" w:rsidRDefault="003825F3" w:rsidP="00D46B53">
      <w:pPr>
        <w:numPr>
          <w:ilvl w:val="1"/>
          <w:numId w:val="214"/>
        </w:numPr>
        <w:tabs>
          <w:tab w:val="left" w:pos="1420"/>
        </w:tabs>
        <w:ind w:left="1420" w:hanging="366"/>
        <w:rPr>
          <w:rFonts w:eastAsia="Arial"/>
          <w:szCs w:val="24"/>
        </w:rPr>
      </w:pPr>
      <w:r w:rsidRPr="00FC3B7C">
        <w:rPr>
          <w:rFonts w:eastAsia="Times New Roman"/>
          <w:szCs w:val="24"/>
        </w:rPr>
        <w:t>horizontální – výroby většího množství výrobků</w:t>
      </w:r>
    </w:p>
    <w:p w14:paraId="2142D387" w14:textId="77777777" w:rsidR="003825F3" w:rsidRPr="00FC3B7C" w:rsidRDefault="003825F3" w:rsidP="00D46B53">
      <w:pPr>
        <w:numPr>
          <w:ilvl w:val="1"/>
          <w:numId w:val="214"/>
        </w:numPr>
        <w:tabs>
          <w:tab w:val="left" w:pos="1420"/>
        </w:tabs>
        <w:ind w:left="1420" w:hanging="366"/>
        <w:rPr>
          <w:rFonts w:eastAsia="Arial"/>
          <w:szCs w:val="24"/>
        </w:rPr>
      </w:pPr>
      <w:r w:rsidRPr="00FC3B7C">
        <w:rPr>
          <w:rFonts w:eastAsia="Times New Roman"/>
          <w:szCs w:val="24"/>
        </w:rPr>
        <w:t>vertikální – rozšiřování výroby o výrobu potřebných vstupů</w:t>
      </w:r>
    </w:p>
    <w:p w14:paraId="1BB9A1F6" w14:textId="77777777" w:rsidR="003825F3" w:rsidRPr="00FC3B7C" w:rsidRDefault="003825F3" w:rsidP="003825F3">
      <w:pPr>
        <w:spacing w:line="114" w:lineRule="exact"/>
        <w:rPr>
          <w:rFonts w:eastAsia="Arial"/>
          <w:szCs w:val="24"/>
        </w:rPr>
      </w:pPr>
    </w:p>
    <w:p w14:paraId="3B871928" w14:textId="77777777" w:rsidR="003825F3" w:rsidRPr="00FC3B7C" w:rsidRDefault="003825F3" w:rsidP="00D46B53">
      <w:pPr>
        <w:numPr>
          <w:ilvl w:val="0"/>
          <w:numId w:val="214"/>
        </w:numPr>
        <w:tabs>
          <w:tab w:val="left" w:pos="720"/>
        </w:tabs>
        <w:ind w:left="720" w:hanging="364"/>
        <w:rPr>
          <w:rFonts w:eastAsia="Arial"/>
          <w:szCs w:val="24"/>
        </w:rPr>
      </w:pPr>
      <w:r w:rsidRPr="00FC3B7C">
        <w:rPr>
          <w:rFonts w:eastAsia="Times New Roman"/>
          <w:b/>
          <w:bCs/>
          <w:szCs w:val="24"/>
        </w:rPr>
        <w:t>externí růst (vnější)</w:t>
      </w:r>
    </w:p>
    <w:p w14:paraId="48DCF59D" w14:textId="77777777" w:rsidR="003825F3" w:rsidRPr="00FC3B7C" w:rsidRDefault="003825F3" w:rsidP="003825F3">
      <w:pPr>
        <w:spacing w:line="43" w:lineRule="exact"/>
        <w:rPr>
          <w:rFonts w:eastAsia="Arial"/>
          <w:szCs w:val="24"/>
        </w:rPr>
      </w:pPr>
    </w:p>
    <w:p w14:paraId="5FC758F5" w14:textId="77777777" w:rsidR="003825F3" w:rsidRPr="00FC3B7C" w:rsidRDefault="003825F3" w:rsidP="00D46B53">
      <w:pPr>
        <w:numPr>
          <w:ilvl w:val="1"/>
          <w:numId w:val="214"/>
        </w:numPr>
        <w:tabs>
          <w:tab w:val="left" w:pos="1420"/>
        </w:tabs>
        <w:ind w:left="1420" w:hanging="366"/>
        <w:rPr>
          <w:rFonts w:eastAsia="Arial"/>
          <w:szCs w:val="24"/>
        </w:rPr>
      </w:pPr>
      <w:r w:rsidRPr="00FC3B7C">
        <w:rPr>
          <w:rFonts w:eastAsia="Times New Roman"/>
          <w:szCs w:val="24"/>
        </w:rPr>
        <w:t>horizontální – spojování podniků vyrábějících stejný produkt</w:t>
      </w:r>
    </w:p>
    <w:p w14:paraId="7DAC8F6F" w14:textId="77777777" w:rsidR="003825F3" w:rsidRPr="00FC3B7C" w:rsidRDefault="003825F3" w:rsidP="00D46B53">
      <w:pPr>
        <w:numPr>
          <w:ilvl w:val="1"/>
          <w:numId w:val="214"/>
        </w:numPr>
        <w:tabs>
          <w:tab w:val="left" w:pos="1420"/>
        </w:tabs>
        <w:ind w:left="1420" w:hanging="366"/>
        <w:rPr>
          <w:rFonts w:eastAsia="Arial"/>
          <w:szCs w:val="24"/>
        </w:rPr>
      </w:pPr>
      <w:r w:rsidRPr="00FC3B7C">
        <w:rPr>
          <w:rFonts w:eastAsia="Times New Roman"/>
          <w:szCs w:val="24"/>
        </w:rPr>
        <w:t>vertikální – spojování podniků navazujících výrob</w:t>
      </w:r>
    </w:p>
    <w:p w14:paraId="60078CC2" w14:textId="77777777" w:rsidR="003825F3" w:rsidRPr="00FC3B7C" w:rsidRDefault="003825F3" w:rsidP="00D46B53">
      <w:pPr>
        <w:numPr>
          <w:ilvl w:val="1"/>
          <w:numId w:val="214"/>
        </w:numPr>
        <w:tabs>
          <w:tab w:val="left" w:pos="1420"/>
        </w:tabs>
        <w:ind w:left="1420" w:right="40" w:hanging="366"/>
        <w:rPr>
          <w:rFonts w:eastAsia="Arial"/>
          <w:szCs w:val="24"/>
        </w:rPr>
      </w:pPr>
      <w:r w:rsidRPr="00FC3B7C">
        <w:rPr>
          <w:rFonts w:eastAsia="Times New Roman"/>
          <w:szCs w:val="24"/>
        </w:rPr>
        <w:t>konglomerátní – spojování podniků ve vzájemně nesouvisejících odvětvích, tento vnější růst nabývá podob</w:t>
      </w:r>
    </w:p>
    <w:p w14:paraId="1CAFDD00" w14:textId="77777777" w:rsidR="003825F3" w:rsidRPr="00FC3B7C" w:rsidRDefault="003825F3" w:rsidP="003825F3">
      <w:pPr>
        <w:spacing w:line="124" w:lineRule="exact"/>
        <w:rPr>
          <w:sz w:val="20"/>
          <w:szCs w:val="20"/>
        </w:rPr>
      </w:pPr>
    </w:p>
    <w:p w14:paraId="21BDF968" w14:textId="77777777" w:rsidR="003825F3" w:rsidRPr="00FC3B7C" w:rsidRDefault="003825F3" w:rsidP="00D46B53">
      <w:pPr>
        <w:numPr>
          <w:ilvl w:val="0"/>
          <w:numId w:val="215"/>
        </w:numPr>
        <w:tabs>
          <w:tab w:val="left" w:pos="980"/>
        </w:tabs>
        <w:ind w:left="980" w:right="40" w:hanging="351"/>
        <w:rPr>
          <w:rFonts w:eastAsia="Arial"/>
          <w:szCs w:val="24"/>
        </w:rPr>
      </w:pPr>
      <w:r w:rsidRPr="003825F3">
        <w:rPr>
          <w:rFonts w:eastAsia="Times New Roman"/>
          <w:i/>
          <w:iCs/>
          <w:szCs w:val="24"/>
        </w:rPr>
        <w:t>fúze</w:t>
      </w:r>
      <w:r w:rsidRPr="00FC3B7C">
        <w:rPr>
          <w:rFonts w:eastAsia="Times New Roman"/>
          <w:szCs w:val="24"/>
        </w:rPr>
        <w:t xml:space="preserve"> – dochází k zániku jedné či více společností a veškeré jmění přechází na druhou společnost</w:t>
      </w:r>
    </w:p>
    <w:p w14:paraId="1015CB4C" w14:textId="77777777" w:rsidR="003825F3" w:rsidRPr="00FC3B7C" w:rsidRDefault="003825F3" w:rsidP="00D46B53">
      <w:pPr>
        <w:numPr>
          <w:ilvl w:val="0"/>
          <w:numId w:val="215"/>
        </w:numPr>
        <w:tabs>
          <w:tab w:val="left" w:pos="980"/>
        </w:tabs>
        <w:ind w:left="980" w:hanging="351"/>
        <w:rPr>
          <w:rFonts w:eastAsia="Arial"/>
          <w:szCs w:val="24"/>
        </w:rPr>
      </w:pPr>
      <w:r w:rsidRPr="003825F3">
        <w:rPr>
          <w:rFonts w:eastAsia="Times New Roman"/>
          <w:i/>
          <w:iCs/>
          <w:szCs w:val="24"/>
        </w:rPr>
        <w:t xml:space="preserve">akvizice </w:t>
      </w:r>
      <w:r w:rsidRPr="00FC3B7C">
        <w:rPr>
          <w:rFonts w:eastAsia="Times New Roman"/>
          <w:szCs w:val="24"/>
        </w:rPr>
        <w:t>– převzetí kontroly nad podnikem nákupem akcií nebo obchodních podílů</w:t>
      </w:r>
    </w:p>
    <w:p w14:paraId="2F24E526" w14:textId="77777777" w:rsidR="003825F3" w:rsidRPr="00FC3B7C" w:rsidRDefault="003825F3" w:rsidP="00D46B53">
      <w:pPr>
        <w:numPr>
          <w:ilvl w:val="0"/>
          <w:numId w:val="215"/>
        </w:numPr>
        <w:tabs>
          <w:tab w:val="left" w:pos="980"/>
        </w:tabs>
        <w:ind w:left="980" w:hanging="351"/>
        <w:rPr>
          <w:rFonts w:eastAsia="Arial"/>
          <w:szCs w:val="24"/>
        </w:rPr>
      </w:pPr>
      <w:r w:rsidRPr="003825F3">
        <w:rPr>
          <w:rFonts w:eastAsia="Times New Roman"/>
          <w:i/>
          <w:iCs/>
          <w:szCs w:val="24"/>
        </w:rPr>
        <w:t>založení koncernu</w:t>
      </w:r>
      <w:r w:rsidRPr="00FC3B7C">
        <w:rPr>
          <w:rFonts w:eastAsia="Times New Roman"/>
          <w:szCs w:val="24"/>
        </w:rPr>
        <w:t xml:space="preserve"> – smluvní spojení podniků pod společným vedením</w:t>
      </w:r>
    </w:p>
    <w:p w14:paraId="3577A1AC" w14:textId="77777777" w:rsidR="003825F3" w:rsidRPr="00FC3B7C" w:rsidRDefault="003825F3" w:rsidP="00D46B53">
      <w:pPr>
        <w:numPr>
          <w:ilvl w:val="0"/>
          <w:numId w:val="215"/>
        </w:numPr>
        <w:tabs>
          <w:tab w:val="left" w:pos="980"/>
        </w:tabs>
        <w:ind w:left="980" w:hanging="351"/>
        <w:rPr>
          <w:rFonts w:eastAsia="Arial"/>
          <w:szCs w:val="24"/>
        </w:rPr>
      </w:pPr>
      <w:r w:rsidRPr="003825F3">
        <w:rPr>
          <w:rFonts w:eastAsia="Times New Roman"/>
          <w:i/>
          <w:iCs/>
          <w:szCs w:val="24"/>
        </w:rPr>
        <w:lastRenderedPageBreak/>
        <w:t>smlouvy mezi podniky</w:t>
      </w:r>
      <w:r w:rsidRPr="00FC3B7C">
        <w:rPr>
          <w:rFonts w:eastAsia="Times New Roman"/>
          <w:szCs w:val="24"/>
        </w:rPr>
        <w:t xml:space="preserve"> (dohoda o pronájmu)</w:t>
      </w:r>
    </w:p>
    <w:p w14:paraId="4982062C" w14:textId="77777777" w:rsidR="003825F3" w:rsidRPr="00FC3B7C" w:rsidRDefault="003825F3" w:rsidP="00D46B53">
      <w:pPr>
        <w:numPr>
          <w:ilvl w:val="0"/>
          <w:numId w:val="215"/>
        </w:numPr>
        <w:tabs>
          <w:tab w:val="left" w:pos="980"/>
        </w:tabs>
        <w:ind w:left="980" w:hanging="351"/>
        <w:rPr>
          <w:rFonts w:eastAsia="Arial"/>
          <w:szCs w:val="24"/>
        </w:rPr>
      </w:pPr>
      <w:r w:rsidRPr="003825F3">
        <w:rPr>
          <w:rFonts w:eastAsia="Times New Roman"/>
          <w:i/>
          <w:iCs/>
          <w:szCs w:val="24"/>
        </w:rPr>
        <w:t>personální unie</w:t>
      </w:r>
      <w:r w:rsidRPr="00FC3B7C">
        <w:rPr>
          <w:rFonts w:eastAsia="Times New Roman"/>
          <w:szCs w:val="24"/>
        </w:rPr>
        <w:t xml:space="preserve"> – obsazení klíčových pozic ve firmách stejnými lidmi</w:t>
      </w:r>
    </w:p>
    <w:p w14:paraId="1C3392CA" w14:textId="77777777" w:rsidR="003825F3" w:rsidRPr="00FC3B7C" w:rsidRDefault="003825F3" w:rsidP="003825F3">
      <w:pPr>
        <w:spacing w:line="121" w:lineRule="exact"/>
        <w:rPr>
          <w:sz w:val="20"/>
          <w:szCs w:val="20"/>
        </w:rPr>
      </w:pPr>
    </w:p>
    <w:p w14:paraId="019309D5" w14:textId="77777777" w:rsidR="003825F3" w:rsidRDefault="003825F3" w:rsidP="003825F3">
      <w:pPr>
        <w:rPr>
          <w:rFonts w:eastAsia="Times New Roman"/>
        </w:rPr>
      </w:pPr>
      <w:r w:rsidRPr="00FC3B7C">
        <w:rPr>
          <w:rFonts w:eastAsia="Times New Roman"/>
        </w:rPr>
        <w:t xml:space="preserve">Čím větší množství firem na trhu po provedení fúze je, tím nastává nižší pravděpodobnost, </w:t>
      </w:r>
      <w:r>
        <w:rPr>
          <w:rFonts w:eastAsia="Times New Roman"/>
        </w:rPr>
        <w:br/>
      </w:r>
      <w:r w:rsidRPr="00FC3B7C">
        <w:rPr>
          <w:rFonts w:eastAsia="Times New Roman"/>
        </w:rPr>
        <w:t>že by fúze měla negativní důsledky. Podle ÚOHS je nebezpečný pouze růst vnější.</w:t>
      </w:r>
    </w:p>
    <w:p w14:paraId="00ECD792" w14:textId="77777777" w:rsidR="003825F3" w:rsidRDefault="003825F3" w:rsidP="003825F3">
      <w:pPr>
        <w:rPr>
          <w:rFonts w:eastAsia="Times New Roman"/>
        </w:rPr>
      </w:pPr>
    </w:p>
    <w:p w14:paraId="1916AF72" w14:textId="77777777" w:rsidR="003825F3" w:rsidRDefault="003825F3" w:rsidP="003825F3">
      <w:pPr>
        <w:spacing w:line="238" w:lineRule="auto"/>
        <w:rPr>
          <w:rFonts w:eastAsia="Times New Roman"/>
          <w:szCs w:val="24"/>
        </w:rPr>
      </w:pPr>
      <w:r w:rsidRPr="00FC3B7C">
        <w:rPr>
          <w:rFonts w:eastAsia="Times New Roman"/>
          <w:b/>
          <w:bCs/>
          <w:szCs w:val="24"/>
        </w:rPr>
        <w:t>Rozlišujeme dva typy důsledků</w:t>
      </w:r>
      <w:r w:rsidRPr="00FC3B7C">
        <w:rPr>
          <w:rFonts w:eastAsia="Times New Roman"/>
          <w:szCs w:val="24"/>
        </w:rPr>
        <w:t>:</w:t>
      </w:r>
    </w:p>
    <w:p w14:paraId="16555842" w14:textId="77777777" w:rsidR="003825F3" w:rsidRPr="00FC3B7C" w:rsidRDefault="003825F3" w:rsidP="003825F3">
      <w:pPr>
        <w:spacing w:line="238" w:lineRule="auto"/>
        <w:rPr>
          <w:sz w:val="20"/>
          <w:szCs w:val="20"/>
        </w:rPr>
      </w:pPr>
    </w:p>
    <w:p w14:paraId="63278AC4" w14:textId="77777777" w:rsidR="003825F3" w:rsidRPr="00FC3B7C" w:rsidRDefault="003825F3" w:rsidP="003825F3">
      <w:pPr>
        <w:spacing w:line="1" w:lineRule="exact"/>
        <w:rPr>
          <w:sz w:val="20"/>
          <w:szCs w:val="20"/>
        </w:rPr>
      </w:pPr>
    </w:p>
    <w:p w14:paraId="7F037EE4" w14:textId="77777777" w:rsidR="003825F3" w:rsidRPr="00FC3B7C" w:rsidRDefault="003825F3" w:rsidP="003825F3">
      <w:pPr>
        <w:rPr>
          <w:rFonts w:eastAsia="Arial"/>
        </w:rPr>
      </w:pPr>
      <w:r w:rsidRPr="00FC3B7C">
        <w:rPr>
          <w:rFonts w:eastAsia="Times New Roman"/>
          <w:b/>
          <w:bCs/>
        </w:rPr>
        <w:t xml:space="preserve">Pozitivní důsledky </w:t>
      </w:r>
      <w:r w:rsidRPr="00FC3B7C">
        <w:rPr>
          <w:rFonts w:eastAsia="Times New Roman"/>
        </w:rPr>
        <w:t>– úspory z rozsahu a ze</w:t>
      </w:r>
      <w:r w:rsidRPr="00FC3B7C">
        <w:rPr>
          <w:rFonts w:eastAsia="Times New Roman"/>
          <w:b/>
          <w:bCs/>
        </w:rPr>
        <w:t xml:space="preserve"> </w:t>
      </w:r>
      <w:r w:rsidRPr="00FC3B7C">
        <w:rPr>
          <w:rFonts w:eastAsia="Times New Roman"/>
        </w:rPr>
        <w:t>šíře sortimentu, zvýšení</w:t>
      </w:r>
      <w:r w:rsidRPr="00FC3B7C">
        <w:rPr>
          <w:rFonts w:eastAsia="Times New Roman"/>
          <w:b/>
          <w:bCs/>
        </w:rPr>
        <w:t xml:space="preserve"> </w:t>
      </w:r>
      <w:r w:rsidRPr="00FC3B7C">
        <w:rPr>
          <w:rFonts w:eastAsia="Times New Roman"/>
        </w:rPr>
        <w:t>konkurenceschopnosti firem na zahraničních trzích, diverzifikace výrobního programu, snížení rizik spojených s výkyvy poptávky, společný výzkum, vývoj a marketing, internalizace transakčních nákladů, stabilita.</w:t>
      </w:r>
    </w:p>
    <w:p w14:paraId="4427F8C0" w14:textId="77777777" w:rsidR="003825F3" w:rsidRPr="00FC3B7C" w:rsidRDefault="003825F3" w:rsidP="003825F3">
      <w:pPr>
        <w:spacing w:line="1" w:lineRule="exact"/>
        <w:rPr>
          <w:rFonts w:eastAsia="Arial"/>
          <w:szCs w:val="24"/>
        </w:rPr>
      </w:pPr>
    </w:p>
    <w:p w14:paraId="4C7EA468" w14:textId="77777777" w:rsidR="003825F3" w:rsidRDefault="003825F3" w:rsidP="003825F3">
      <w:pPr>
        <w:rPr>
          <w:rFonts w:eastAsia="Times New Roman"/>
        </w:rPr>
      </w:pPr>
      <w:r w:rsidRPr="00FC3B7C">
        <w:rPr>
          <w:rFonts w:eastAsia="Times New Roman"/>
          <w:b/>
          <w:bCs/>
        </w:rPr>
        <w:t xml:space="preserve">Negativní důsledky </w:t>
      </w:r>
      <w:r w:rsidRPr="00FC3B7C">
        <w:rPr>
          <w:rFonts w:eastAsia="Times New Roman"/>
        </w:rPr>
        <w:t>– růst bariér vstupu do odvětví, firmy jsou méně</w:t>
      </w:r>
      <w:r w:rsidRPr="00FC3B7C">
        <w:rPr>
          <w:rFonts w:eastAsia="Times New Roman"/>
          <w:b/>
          <w:bCs/>
        </w:rPr>
        <w:t xml:space="preserve"> </w:t>
      </w:r>
      <w:r w:rsidRPr="00FC3B7C">
        <w:rPr>
          <w:rFonts w:eastAsia="Times New Roman"/>
        </w:rPr>
        <w:t>pružné, rostou</w:t>
      </w:r>
      <w:r w:rsidRPr="00FC3B7C">
        <w:rPr>
          <w:rFonts w:eastAsia="Times New Roman"/>
          <w:b/>
          <w:bCs/>
        </w:rPr>
        <w:t xml:space="preserve"> </w:t>
      </w:r>
      <w:r w:rsidRPr="00FC3B7C">
        <w:rPr>
          <w:rFonts w:eastAsia="Times New Roman"/>
        </w:rPr>
        <w:t>náklady monitoringu a koordinace, možnost zneužití zvýšení tržního podílu. Na koncentrovanějších trzích je vyšší pravděpodobnost koluze.</w:t>
      </w:r>
    </w:p>
    <w:p w14:paraId="4A6F3C5B" w14:textId="77777777" w:rsidR="00937FF4" w:rsidRPr="00FC3B7C" w:rsidRDefault="00937FF4" w:rsidP="00937FF4">
      <w:pPr>
        <w:rPr>
          <w:sz w:val="20"/>
          <w:szCs w:val="20"/>
        </w:rPr>
      </w:pPr>
    </w:p>
    <w:p w14:paraId="4A6F3C5C" w14:textId="5CA4EB2F" w:rsidR="008E0F74" w:rsidRDefault="00256F29">
      <w:pPr>
        <w:spacing w:line="215" w:lineRule="auto"/>
        <w:ind w:left="4"/>
        <w:rPr>
          <w:rFonts w:eastAsia="Times New Roman"/>
          <w:b/>
          <w:bCs/>
          <w:i/>
          <w:iCs/>
          <w:szCs w:val="24"/>
        </w:rPr>
      </w:pPr>
      <w:r w:rsidRPr="00FC3B7C">
        <w:rPr>
          <w:rFonts w:eastAsia="Times New Roman"/>
          <w:b/>
          <w:bCs/>
          <w:i/>
          <w:iCs/>
          <w:szCs w:val="24"/>
        </w:rPr>
        <w:t>Příklad č. 1: Fúze výrobců trubek</w:t>
      </w:r>
      <w:r w:rsidR="003825F3">
        <w:rPr>
          <w:rFonts w:eastAsia="Times New Roman"/>
          <w:b/>
          <w:bCs/>
          <w:i/>
          <w:iCs/>
          <w:szCs w:val="24"/>
        </w:rPr>
        <w:t xml:space="preserve">: </w:t>
      </w:r>
      <w:r w:rsidR="00937FF4" w:rsidRPr="003825F3">
        <w:rPr>
          <w:rFonts w:eastAsia="Times New Roman"/>
          <w:b/>
          <w:bCs/>
          <w:i/>
          <w:iCs/>
          <w:szCs w:val="24"/>
          <w:vertAlign w:val="superscript"/>
        </w:rPr>
        <w:footnoteReference w:id="36"/>
      </w:r>
    </w:p>
    <w:p w14:paraId="1A8CD368" w14:textId="77777777" w:rsidR="003825F3" w:rsidRPr="00FC3B7C" w:rsidRDefault="003825F3">
      <w:pPr>
        <w:spacing w:line="215" w:lineRule="auto"/>
        <w:ind w:left="4"/>
        <w:rPr>
          <w:sz w:val="20"/>
          <w:szCs w:val="20"/>
        </w:rPr>
      </w:pPr>
    </w:p>
    <w:p w14:paraId="4A6F3C5D" w14:textId="77777777" w:rsidR="008E0F74" w:rsidRPr="00FC3B7C" w:rsidRDefault="008E0F74">
      <w:pPr>
        <w:spacing w:line="1" w:lineRule="exact"/>
        <w:rPr>
          <w:sz w:val="20"/>
          <w:szCs w:val="20"/>
        </w:rPr>
      </w:pPr>
    </w:p>
    <w:p w14:paraId="4A6F3C5E" w14:textId="6A6B8AE0" w:rsidR="008E0F74" w:rsidRDefault="00256F29" w:rsidP="00937FF4">
      <w:pPr>
        <w:rPr>
          <w:rFonts w:eastAsia="Times New Roman"/>
        </w:rPr>
      </w:pPr>
      <w:r w:rsidRPr="00FC3B7C">
        <w:rPr>
          <w:rFonts w:eastAsia="Times New Roman"/>
        </w:rPr>
        <w:t>Představme si situaci, kdy jsou v zemi jen 2 výrobci ocelových trubek. Obě firmy se dohodnou na fúzi, protože je takové spojení kapitálově posílí a umožní jim také snížit výrobní náklady. Avšak stát fúzi nepovolí, protože se obává, že by spojením obou firem vznikla firma s dominantním postavením, což by ohrozilo konkurenci na trhu trubek. Je to správná politika? Myslíte si, že je lepší, když k fúzi nedojde a obě firmy si budou nadále konkurovat? Dobrá, uvažujme, co se stane, když k fúzi nedojde. Místo jedné silné firmy budou existovat dvě menší a slabší firmy, které budou mít vyšší náklady (než kdyby se spojily). Budou sotva schopny odolávat konkurenci větších a kapitálově silnějších zahr. výrobců trubek, kteří se budou s úspěchem prodírat na trh a vytlačovat z něho obě domácí firmy. Ty pak s velkou pravděpodobností budou od státu vyžadovat ochranu před zahraniční konkurencí: „Když jste nám zabránili ve fúzi, tak nás teď ochraňujte před silnějšími zahraničními konkurenty".</w:t>
      </w:r>
    </w:p>
    <w:p w14:paraId="3ABB9B14" w14:textId="6D3995A4" w:rsidR="003825F3" w:rsidRDefault="003825F3" w:rsidP="00937FF4">
      <w:pPr>
        <w:rPr>
          <w:sz w:val="20"/>
          <w:szCs w:val="20"/>
        </w:rPr>
      </w:pPr>
    </w:p>
    <w:p w14:paraId="552E9383" w14:textId="12CD0E00" w:rsidR="003825F3" w:rsidRDefault="003825F3" w:rsidP="00937FF4">
      <w:pPr>
        <w:rPr>
          <w:sz w:val="20"/>
          <w:szCs w:val="20"/>
        </w:rPr>
      </w:pPr>
    </w:p>
    <w:p w14:paraId="5F9ED816" w14:textId="6BD4A5C5" w:rsidR="004A43AA" w:rsidRDefault="004A43AA" w:rsidP="00937FF4">
      <w:pPr>
        <w:rPr>
          <w:sz w:val="20"/>
          <w:szCs w:val="20"/>
        </w:rPr>
      </w:pPr>
    </w:p>
    <w:p w14:paraId="57E87857" w14:textId="0C5D9287" w:rsidR="004A43AA" w:rsidRDefault="004A43AA" w:rsidP="00937FF4">
      <w:pPr>
        <w:rPr>
          <w:sz w:val="20"/>
          <w:szCs w:val="20"/>
        </w:rPr>
      </w:pPr>
    </w:p>
    <w:p w14:paraId="7CCAEE40" w14:textId="77777777" w:rsidR="004A43AA" w:rsidRDefault="004A43AA" w:rsidP="00937FF4">
      <w:pPr>
        <w:rPr>
          <w:sz w:val="20"/>
          <w:szCs w:val="20"/>
        </w:rPr>
      </w:pPr>
    </w:p>
    <w:p w14:paraId="3A135E52" w14:textId="14165386" w:rsidR="003825F3" w:rsidRDefault="003825F3" w:rsidP="00937FF4">
      <w:pPr>
        <w:rPr>
          <w:sz w:val="20"/>
          <w:szCs w:val="20"/>
        </w:rPr>
      </w:pPr>
    </w:p>
    <w:p w14:paraId="378EE617" w14:textId="77777777" w:rsidR="003825F3" w:rsidRPr="00FC3B7C" w:rsidRDefault="003825F3" w:rsidP="00937FF4">
      <w:pPr>
        <w:rPr>
          <w:sz w:val="20"/>
          <w:szCs w:val="20"/>
        </w:rPr>
      </w:pPr>
    </w:p>
    <w:p w14:paraId="4A6F3C5F" w14:textId="4A3910BA" w:rsidR="008E0F74" w:rsidRDefault="00256F29">
      <w:pPr>
        <w:spacing w:line="222" w:lineRule="auto"/>
        <w:ind w:left="4"/>
        <w:rPr>
          <w:rFonts w:eastAsia="Times New Roman"/>
          <w:b/>
          <w:bCs/>
          <w:i/>
          <w:iCs/>
          <w:szCs w:val="24"/>
        </w:rPr>
      </w:pPr>
      <w:r w:rsidRPr="00FC3B7C">
        <w:rPr>
          <w:rFonts w:eastAsia="Times New Roman"/>
          <w:b/>
          <w:bCs/>
          <w:i/>
          <w:iCs/>
          <w:szCs w:val="24"/>
        </w:rPr>
        <w:lastRenderedPageBreak/>
        <w:t>Příklad č. 2: Spojení pivovarů:</w:t>
      </w:r>
      <w:r w:rsidR="003825F3">
        <w:rPr>
          <w:rFonts w:eastAsia="Times New Roman"/>
          <w:b/>
          <w:bCs/>
          <w:i/>
          <w:iCs/>
          <w:szCs w:val="24"/>
        </w:rPr>
        <w:t xml:space="preserve"> </w:t>
      </w:r>
      <w:r w:rsidR="00937FF4" w:rsidRPr="003825F3">
        <w:rPr>
          <w:rStyle w:val="Znakapoznpodarou"/>
          <w:rFonts w:eastAsia="Times New Roman"/>
          <w:b/>
          <w:bCs/>
          <w:i/>
          <w:iCs/>
          <w:szCs w:val="24"/>
        </w:rPr>
        <w:footnoteReference w:id="37"/>
      </w:r>
    </w:p>
    <w:p w14:paraId="66521137" w14:textId="77777777" w:rsidR="003825F3" w:rsidRPr="00FC3B7C" w:rsidRDefault="003825F3">
      <w:pPr>
        <w:spacing w:line="222" w:lineRule="auto"/>
        <w:ind w:left="4"/>
        <w:rPr>
          <w:sz w:val="20"/>
          <w:szCs w:val="20"/>
        </w:rPr>
      </w:pPr>
    </w:p>
    <w:p w14:paraId="4A6F3C60" w14:textId="77777777" w:rsidR="008E0F74" w:rsidRPr="00937FF4" w:rsidRDefault="00256F29" w:rsidP="00937FF4">
      <w:pPr>
        <w:rPr>
          <w:sz w:val="20"/>
          <w:szCs w:val="20"/>
        </w:rPr>
      </w:pPr>
      <w:r w:rsidRPr="00FC3B7C">
        <w:rPr>
          <w:rFonts w:eastAsia="Times New Roman"/>
        </w:rPr>
        <w:t>„Fúzi pivovarů Prazdroj a Radegast projednává v současné době ÚOHS. Podle úřadu však existují stále silné argumenty proti tomuto spojení. Takto zfúzovaný podnik by ovládal přes 40</w:t>
      </w:r>
      <w:r w:rsidR="00937FF4">
        <w:rPr>
          <w:sz w:val="20"/>
          <w:szCs w:val="20"/>
        </w:rPr>
        <w:t xml:space="preserve">% </w:t>
      </w:r>
      <w:r w:rsidRPr="00FC3B7C">
        <w:rPr>
          <w:rFonts w:eastAsia="Times New Roman"/>
          <w:szCs w:val="24"/>
        </w:rPr>
        <w:t>českého trhu s pivem. Navíc Prazdroj a Radegast prý ani nedokázaly podložit potřebu spojení zásadními argumenty."</w:t>
      </w:r>
    </w:p>
    <w:p w14:paraId="4A6F3C61" w14:textId="77777777" w:rsidR="008E0F74" w:rsidRPr="00FC3B7C" w:rsidRDefault="008E0F74">
      <w:pPr>
        <w:spacing w:line="20" w:lineRule="exact"/>
        <w:rPr>
          <w:sz w:val="20"/>
          <w:szCs w:val="20"/>
        </w:rPr>
      </w:pPr>
    </w:p>
    <w:p w14:paraId="3CFA6E9D" w14:textId="77777777" w:rsidR="003825F3" w:rsidRPr="00FC3B7C" w:rsidRDefault="003825F3" w:rsidP="00525FA8">
      <w:pPr>
        <w:rPr>
          <w:rFonts w:eastAsia="Arial"/>
        </w:rPr>
      </w:pPr>
      <w:bookmarkStart w:id="224" w:name="page224"/>
      <w:bookmarkStart w:id="225" w:name="page225"/>
      <w:bookmarkEnd w:id="224"/>
      <w:bookmarkEnd w:id="225"/>
    </w:p>
    <w:p w14:paraId="4A6F3C7B" w14:textId="137BB6FB" w:rsidR="008E0F74" w:rsidRPr="00AE6CBA" w:rsidRDefault="003825F3" w:rsidP="003825F3">
      <w:pPr>
        <w:pStyle w:val="Nadpis3"/>
        <w:ind w:left="1418" w:hanging="1134"/>
        <w:rPr>
          <w:color w:val="1F3864" w:themeColor="accent1" w:themeShade="80"/>
          <w:sz w:val="20"/>
          <w:szCs w:val="20"/>
        </w:rPr>
      </w:pPr>
      <w:r w:rsidRPr="00AE6CBA">
        <w:rPr>
          <w:rFonts w:eastAsia="Times New Roman"/>
          <w:color w:val="1F3864" w:themeColor="accent1" w:themeShade="80"/>
        </w:rPr>
        <w:t xml:space="preserve"> </w:t>
      </w:r>
      <w:r w:rsidR="00256F29" w:rsidRPr="00AE6CBA">
        <w:rPr>
          <w:rFonts w:eastAsia="Times New Roman"/>
          <w:color w:val="1F3864" w:themeColor="accent1" w:themeShade="80"/>
        </w:rPr>
        <w:t>Nekalá soutěž</w:t>
      </w:r>
    </w:p>
    <w:p w14:paraId="4A6F3C7C" w14:textId="63C5E929" w:rsidR="008E0F74" w:rsidRPr="004B6CDE" w:rsidRDefault="00256F29" w:rsidP="00525FA8">
      <w:pPr>
        <w:rPr>
          <w:rFonts w:eastAsia="Times New Roman"/>
        </w:rPr>
      </w:pPr>
      <w:r w:rsidRPr="00FC3B7C">
        <w:rPr>
          <w:rFonts w:eastAsia="Times New Roman"/>
        </w:rPr>
        <w:t xml:space="preserve">Takové jednání v HS, které je v rozporu s dobrými mravy soutěže a může přivodit újmu jiným soutěžitelům nebo spotřebitelům. Upravuje ji </w:t>
      </w:r>
      <w:r w:rsidRPr="00FC3B7C">
        <w:rPr>
          <w:rFonts w:eastAsia="Times New Roman"/>
          <w:b/>
          <w:bCs/>
        </w:rPr>
        <w:t>občanský</w:t>
      </w:r>
      <w:r w:rsidRPr="00FC3B7C">
        <w:rPr>
          <w:rFonts w:eastAsia="Times New Roman"/>
        </w:rPr>
        <w:t xml:space="preserve"> </w:t>
      </w:r>
      <w:r w:rsidRPr="00FC3B7C">
        <w:rPr>
          <w:rFonts w:eastAsia="Times New Roman"/>
          <w:b/>
          <w:bCs/>
        </w:rPr>
        <w:t>zákoník (č. 89/2012 Sb.)</w:t>
      </w:r>
      <w:r w:rsidRPr="00FC3B7C">
        <w:rPr>
          <w:rFonts w:eastAsia="Times New Roman"/>
        </w:rPr>
        <w:t xml:space="preserve">. Ochrany proti nekalé soutěži se dostane pomocí přiměřeného zadostiučinění, náhrady škody a vydání </w:t>
      </w:r>
      <w:r w:rsidRPr="004B6CDE">
        <w:rPr>
          <w:rFonts w:eastAsia="Times New Roman"/>
        </w:rPr>
        <w:t>bezdůvodného obohacení. Dále možno požadovat, aby se rušitel jednání zdržel anebo odstranil závadný stav.</w:t>
      </w:r>
    </w:p>
    <w:p w14:paraId="3A8EAE4D" w14:textId="3D63CD0D" w:rsidR="009B3F5C" w:rsidRPr="004B6CDE" w:rsidRDefault="009B3F5C" w:rsidP="00525FA8">
      <w:pPr>
        <w:rPr>
          <w:sz w:val="20"/>
          <w:szCs w:val="20"/>
        </w:rPr>
      </w:pPr>
      <w:r w:rsidRPr="004B6CDE">
        <w:rPr>
          <w:rFonts w:eastAsia="Times New Roman"/>
        </w:rPr>
        <w:t xml:space="preserve">Příklady nekalé soutěže: </w:t>
      </w:r>
    </w:p>
    <w:p w14:paraId="4A6F3C7D" w14:textId="77777777" w:rsidR="008E0F74" w:rsidRPr="004B6CDE" w:rsidRDefault="008E0F74">
      <w:pPr>
        <w:spacing w:line="5" w:lineRule="exact"/>
        <w:rPr>
          <w:sz w:val="20"/>
          <w:szCs w:val="20"/>
        </w:rPr>
      </w:pPr>
    </w:p>
    <w:p w14:paraId="4A6F3C7E" w14:textId="77777777" w:rsidR="008E0F74" w:rsidRPr="004B6CDE" w:rsidRDefault="00256F29" w:rsidP="00D46B53">
      <w:pPr>
        <w:numPr>
          <w:ilvl w:val="0"/>
          <w:numId w:val="216"/>
        </w:numPr>
        <w:tabs>
          <w:tab w:val="left" w:pos="720"/>
        </w:tabs>
        <w:ind w:left="720" w:hanging="367"/>
        <w:rPr>
          <w:rFonts w:eastAsia="Arial"/>
          <w:szCs w:val="24"/>
        </w:rPr>
      </w:pPr>
      <w:r w:rsidRPr="004B6CDE">
        <w:rPr>
          <w:rFonts w:eastAsia="Times New Roman"/>
          <w:szCs w:val="24"/>
        </w:rPr>
        <w:t>klamavá reklama</w:t>
      </w:r>
    </w:p>
    <w:p w14:paraId="4A6F3C7F" w14:textId="77777777" w:rsidR="008E0F74" w:rsidRPr="00FC3B7C" w:rsidRDefault="00256F29" w:rsidP="00D46B53">
      <w:pPr>
        <w:numPr>
          <w:ilvl w:val="0"/>
          <w:numId w:val="216"/>
        </w:numPr>
        <w:tabs>
          <w:tab w:val="left" w:pos="720"/>
        </w:tabs>
        <w:ind w:left="720" w:hanging="367"/>
        <w:rPr>
          <w:rFonts w:eastAsia="Arial"/>
          <w:szCs w:val="24"/>
        </w:rPr>
      </w:pPr>
      <w:r w:rsidRPr="004B6CDE">
        <w:rPr>
          <w:rFonts w:eastAsia="Times New Roman"/>
          <w:szCs w:val="24"/>
        </w:rPr>
        <w:t xml:space="preserve">klamavé označování </w:t>
      </w:r>
      <w:r w:rsidRPr="00FC3B7C">
        <w:rPr>
          <w:rFonts w:eastAsia="Times New Roman"/>
          <w:szCs w:val="24"/>
        </w:rPr>
        <w:t>zboží a služeb</w:t>
      </w:r>
    </w:p>
    <w:p w14:paraId="4A6F3C80" w14:textId="77777777" w:rsidR="008E0F74" w:rsidRPr="00FC3B7C" w:rsidRDefault="00256F29" w:rsidP="00D46B53">
      <w:pPr>
        <w:numPr>
          <w:ilvl w:val="0"/>
          <w:numId w:val="216"/>
        </w:numPr>
        <w:tabs>
          <w:tab w:val="left" w:pos="720"/>
        </w:tabs>
        <w:ind w:left="720" w:hanging="367"/>
        <w:rPr>
          <w:rFonts w:eastAsia="Arial"/>
          <w:szCs w:val="24"/>
        </w:rPr>
      </w:pPr>
      <w:r w:rsidRPr="00FC3B7C">
        <w:rPr>
          <w:rFonts w:eastAsia="Times New Roman"/>
          <w:szCs w:val="24"/>
        </w:rPr>
        <w:t>vyvolávání nebezpečí záměny</w:t>
      </w:r>
    </w:p>
    <w:p w14:paraId="4A6F3C81" w14:textId="77777777" w:rsidR="008E0F74" w:rsidRPr="00FC3B7C" w:rsidRDefault="00256F29" w:rsidP="00D46B53">
      <w:pPr>
        <w:numPr>
          <w:ilvl w:val="0"/>
          <w:numId w:val="216"/>
        </w:numPr>
        <w:tabs>
          <w:tab w:val="left" w:pos="720"/>
        </w:tabs>
        <w:ind w:left="720" w:right="100" w:hanging="367"/>
        <w:rPr>
          <w:rFonts w:eastAsia="Arial"/>
          <w:szCs w:val="24"/>
        </w:rPr>
      </w:pPr>
      <w:r w:rsidRPr="00FC3B7C">
        <w:rPr>
          <w:rFonts w:eastAsia="Times New Roman"/>
          <w:szCs w:val="24"/>
        </w:rPr>
        <w:t>parazitování na pověsti závodu, výrobků nebo služeb jiného soutěžitele = šíření nepravdivých informací</w:t>
      </w:r>
    </w:p>
    <w:p w14:paraId="4A6F3C82" w14:textId="77777777" w:rsidR="008E0F74" w:rsidRPr="00FC3B7C" w:rsidRDefault="00256F29" w:rsidP="00D46B53">
      <w:pPr>
        <w:numPr>
          <w:ilvl w:val="0"/>
          <w:numId w:val="216"/>
        </w:numPr>
        <w:tabs>
          <w:tab w:val="left" w:pos="720"/>
        </w:tabs>
        <w:ind w:left="720" w:hanging="367"/>
        <w:rPr>
          <w:rFonts w:eastAsia="Arial"/>
          <w:szCs w:val="24"/>
        </w:rPr>
      </w:pPr>
      <w:r w:rsidRPr="00FC3B7C">
        <w:rPr>
          <w:rFonts w:eastAsia="Times New Roman"/>
          <w:szCs w:val="24"/>
        </w:rPr>
        <w:t>podplácení</w:t>
      </w:r>
    </w:p>
    <w:p w14:paraId="4A6F3C83" w14:textId="77777777" w:rsidR="008E0F74" w:rsidRPr="00FC3B7C" w:rsidRDefault="00256F29" w:rsidP="00D46B53">
      <w:pPr>
        <w:numPr>
          <w:ilvl w:val="0"/>
          <w:numId w:val="216"/>
        </w:numPr>
        <w:tabs>
          <w:tab w:val="left" w:pos="720"/>
        </w:tabs>
        <w:ind w:left="720" w:hanging="367"/>
        <w:rPr>
          <w:rFonts w:eastAsia="Arial"/>
          <w:szCs w:val="24"/>
        </w:rPr>
      </w:pPr>
      <w:r w:rsidRPr="00FC3B7C">
        <w:rPr>
          <w:rFonts w:eastAsia="Times New Roman"/>
          <w:szCs w:val="24"/>
        </w:rPr>
        <w:t>zlehčování</w:t>
      </w:r>
    </w:p>
    <w:p w14:paraId="4A6F3C84" w14:textId="77777777" w:rsidR="008E0F74" w:rsidRPr="00FC3B7C" w:rsidRDefault="00256F29" w:rsidP="00D46B53">
      <w:pPr>
        <w:numPr>
          <w:ilvl w:val="0"/>
          <w:numId w:val="216"/>
        </w:numPr>
        <w:tabs>
          <w:tab w:val="left" w:pos="720"/>
        </w:tabs>
        <w:ind w:left="720" w:hanging="367"/>
        <w:rPr>
          <w:rFonts w:eastAsia="Arial"/>
          <w:szCs w:val="24"/>
        </w:rPr>
      </w:pPr>
      <w:r w:rsidRPr="00FC3B7C">
        <w:rPr>
          <w:rFonts w:eastAsia="Times New Roman"/>
          <w:szCs w:val="24"/>
        </w:rPr>
        <w:t>srovnávací reklama, pokud není dovolena jako přípustná</w:t>
      </w:r>
    </w:p>
    <w:p w14:paraId="4A6F3C85" w14:textId="77777777" w:rsidR="008E0F74" w:rsidRPr="00FC3B7C" w:rsidRDefault="00256F29" w:rsidP="00D46B53">
      <w:pPr>
        <w:numPr>
          <w:ilvl w:val="0"/>
          <w:numId w:val="216"/>
        </w:numPr>
        <w:tabs>
          <w:tab w:val="left" w:pos="720"/>
        </w:tabs>
        <w:ind w:left="720" w:hanging="367"/>
        <w:rPr>
          <w:rFonts w:eastAsia="Arial"/>
          <w:szCs w:val="24"/>
        </w:rPr>
      </w:pPr>
      <w:r w:rsidRPr="00FC3B7C">
        <w:rPr>
          <w:rFonts w:eastAsia="Times New Roman"/>
          <w:szCs w:val="24"/>
        </w:rPr>
        <w:t>porušování obchodního tajemství</w:t>
      </w:r>
    </w:p>
    <w:p w14:paraId="4A6F3C86" w14:textId="77777777" w:rsidR="008E0F74" w:rsidRPr="00FC3B7C" w:rsidRDefault="00256F29" w:rsidP="00D46B53">
      <w:pPr>
        <w:numPr>
          <w:ilvl w:val="0"/>
          <w:numId w:val="216"/>
        </w:numPr>
        <w:tabs>
          <w:tab w:val="left" w:pos="720"/>
        </w:tabs>
        <w:ind w:left="720" w:hanging="367"/>
        <w:rPr>
          <w:rFonts w:eastAsia="Arial"/>
          <w:szCs w:val="24"/>
        </w:rPr>
      </w:pPr>
      <w:r w:rsidRPr="00FC3B7C">
        <w:rPr>
          <w:rFonts w:eastAsia="Times New Roman"/>
          <w:szCs w:val="24"/>
        </w:rPr>
        <w:t>dotěrné obtěžování</w:t>
      </w:r>
    </w:p>
    <w:p w14:paraId="4A6F3C87" w14:textId="77777777" w:rsidR="008E0F74" w:rsidRPr="00525FA8" w:rsidRDefault="00256F29" w:rsidP="00D46B53">
      <w:pPr>
        <w:numPr>
          <w:ilvl w:val="0"/>
          <w:numId w:val="216"/>
        </w:numPr>
        <w:tabs>
          <w:tab w:val="left" w:pos="720"/>
        </w:tabs>
        <w:ind w:left="720" w:hanging="364"/>
        <w:rPr>
          <w:rFonts w:eastAsia="Arial"/>
          <w:szCs w:val="24"/>
        </w:rPr>
      </w:pPr>
      <w:r w:rsidRPr="00FC3B7C">
        <w:rPr>
          <w:rFonts w:eastAsia="Times New Roman"/>
          <w:szCs w:val="24"/>
        </w:rPr>
        <w:t>ohrožování zdraví spotřebitelů a životního prostředí</w:t>
      </w:r>
    </w:p>
    <w:p w14:paraId="4A6F3C88" w14:textId="77777777" w:rsidR="00525FA8" w:rsidRDefault="00525FA8" w:rsidP="00525FA8">
      <w:pPr>
        <w:tabs>
          <w:tab w:val="left" w:pos="720"/>
        </w:tabs>
        <w:ind w:left="720"/>
        <w:rPr>
          <w:rFonts w:eastAsia="Times New Roman"/>
          <w:szCs w:val="24"/>
        </w:rPr>
      </w:pPr>
    </w:p>
    <w:p w14:paraId="4A6F3C89" w14:textId="77777777" w:rsidR="008E0F74" w:rsidRPr="004A43AA" w:rsidRDefault="00256F29" w:rsidP="009B3F5C">
      <w:pPr>
        <w:pStyle w:val="Nadpis2"/>
        <w:ind w:left="851" w:hanging="851"/>
        <w:rPr>
          <w:color w:val="1F3864" w:themeColor="accent1" w:themeShade="80"/>
          <w:sz w:val="20"/>
          <w:szCs w:val="20"/>
        </w:rPr>
      </w:pPr>
      <w:bookmarkStart w:id="226" w:name="page226"/>
      <w:bookmarkEnd w:id="226"/>
      <w:r w:rsidRPr="004A43AA">
        <w:rPr>
          <w:rFonts w:eastAsia="Times New Roman"/>
          <w:color w:val="1F3864" w:themeColor="accent1" w:themeShade="80"/>
        </w:rPr>
        <w:t>UKAZATELÉ TRŽNÍ KONCENTRACE</w:t>
      </w:r>
    </w:p>
    <w:p w14:paraId="4A6F3C8A" w14:textId="77777777" w:rsidR="008E0F74" w:rsidRPr="00FC3B7C" w:rsidRDefault="008E0F74">
      <w:pPr>
        <w:spacing w:line="240" w:lineRule="exact"/>
        <w:rPr>
          <w:sz w:val="20"/>
          <w:szCs w:val="20"/>
        </w:rPr>
      </w:pPr>
    </w:p>
    <w:p w14:paraId="4A6F3C8B" w14:textId="77777777" w:rsidR="008E0F74" w:rsidRPr="004A43AA" w:rsidRDefault="00256F29" w:rsidP="009B3F5C">
      <w:pPr>
        <w:pStyle w:val="Nadpis3"/>
        <w:ind w:left="1276" w:hanging="992"/>
        <w:rPr>
          <w:color w:val="1F3864" w:themeColor="accent1" w:themeShade="80"/>
          <w:sz w:val="20"/>
          <w:szCs w:val="20"/>
        </w:rPr>
      </w:pPr>
      <w:r w:rsidRPr="004A43AA">
        <w:rPr>
          <w:rFonts w:eastAsia="Times New Roman"/>
          <w:color w:val="1F3864" w:themeColor="accent1" w:themeShade="80"/>
        </w:rPr>
        <w:t>Stupeň koncentrace = concentration ratio</w:t>
      </w:r>
    </w:p>
    <w:p w14:paraId="04191FD2" w14:textId="28310BBC" w:rsidR="009B3F5C" w:rsidRPr="009B3F5C" w:rsidRDefault="00256F29" w:rsidP="009B3F5C">
      <w:pPr>
        <w:rPr>
          <w:rFonts w:eastAsia="Times New Roman"/>
        </w:rPr>
      </w:pPr>
      <w:r w:rsidRPr="00FC3B7C">
        <w:rPr>
          <w:rFonts w:eastAsia="Times New Roman"/>
        </w:rPr>
        <w:t xml:space="preserve">X – tržní podíl největších firem na trhu uváděný v rozmezí 0-100 %. Čím vyšší hodnota tím koncentrovanější trh. Firmy s CR1&gt; 40% jsou podle soutěžního práva v monopolním </w:t>
      </w:r>
      <w:r w:rsidRPr="00FC3B7C">
        <w:rPr>
          <w:rFonts w:eastAsia="Times New Roman"/>
        </w:rPr>
        <w:lastRenderedPageBreak/>
        <w:t>postavení. U diverzifikované výroby má však malou vypovídací hodnotu, jelikož zjištění tržní síly společností neuvádí vzájemné rozložení moci mezi nimi.</w:t>
      </w:r>
    </w:p>
    <w:p w14:paraId="4A6F3C8E" w14:textId="77777777" w:rsidR="008E0F74" w:rsidRPr="00AE6CBA" w:rsidRDefault="00256F29" w:rsidP="009B3F5C">
      <w:pPr>
        <w:pStyle w:val="Nadpis3"/>
        <w:ind w:left="1276" w:hanging="992"/>
        <w:rPr>
          <w:color w:val="1F3864" w:themeColor="accent1" w:themeShade="80"/>
          <w:sz w:val="20"/>
          <w:szCs w:val="20"/>
        </w:rPr>
      </w:pPr>
      <w:r w:rsidRPr="00AE6CBA">
        <w:rPr>
          <w:rFonts w:eastAsia="Times New Roman"/>
          <w:color w:val="1F3864" w:themeColor="accent1" w:themeShade="80"/>
        </w:rPr>
        <w:t>Herfindahl-Hirshmanův index (HHI)</w:t>
      </w:r>
    </w:p>
    <w:p w14:paraId="4A6F3C8F" w14:textId="77777777" w:rsidR="008E0F74" w:rsidRPr="00FC3B7C" w:rsidRDefault="00256F29" w:rsidP="00525FA8">
      <w:pPr>
        <w:rPr>
          <w:sz w:val="20"/>
          <w:szCs w:val="20"/>
        </w:rPr>
      </w:pPr>
      <w:r w:rsidRPr="00FC3B7C">
        <w:rPr>
          <w:rFonts w:eastAsia="Times New Roman"/>
        </w:rPr>
        <w:t>Součet druhých mocnin všech tržních podílů firem na trhu. Výhoda oproti CR – bere v úvahu i velikostní strukturu firem.</w:t>
      </w:r>
    </w:p>
    <w:p w14:paraId="4A6F3C90" w14:textId="77777777" w:rsidR="008E0F74" w:rsidRPr="00FC3B7C" w:rsidRDefault="008E0F74">
      <w:pPr>
        <w:spacing w:line="203" w:lineRule="exact"/>
        <w:rPr>
          <w:sz w:val="20"/>
          <w:szCs w:val="20"/>
        </w:rPr>
      </w:pPr>
    </w:p>
    <w:p w14:paraId="4A6F3C91" w14:textId="77777777" w:rsidR="008E0F74" w:rsidRPr="00FC3B7C" w:rsidRDefault="00256F29" w:rsidP="00D46B53">
      <w:pPr>
        <w:numPr>
          <w:ilvl w:val="0"/>
          <w:numId w:val="217"/>
        </w:numPr>
        <w:tabs>
          <w:tab w:val="left" w:pos="720"/>
        </w:tabs>
        <w:ind w:left="720" w:hanging="364"/>
        <w:rPr>
          <w:rFonts w:eastAsia="Arial"/>
          <w:szCs w:val="24"/>
        </w:rPr>
      </w:pPr>
      <w:r w:rsidRPr="00FC3B7C">
        <w:rPr>
          <w:rFonts w:eastAsia="Times New Roman"/>
          <w:szCs w:val="24"/>
        </w:rPr>
        <w:t>HHI &lt;1000 – nekoncentrovaný trh</w:t>
      </w:r>
    </w:p>
    <w:p w14:paraId="4A6F3C92" w14:textId="77777777" w:rsidR="008E0F74" w:rsidRPr="00FC3B7C" w:rsidRDefault="00256F29" w:rsidP="00D46B53">
      <w:pPr>
        <w:numPr>
          <w:ilvl w:val="0"/>
          <w:numId w:val="217"/>
        </w:numPr>
        <w:tabs>
          <w:tab w:val="left" w:pos="720"/>
        </w:tabs>
        <w:ind w:left="720" w:hanging="364"/>
        <w:rPr>
          <w:rFonts w:eastAsia="Arial"/>
          <w:szCs w:val="24"/>
        </w:rPr>
      </w:pPr>
      <w:r w:rsidRPr="00FC3B7C">
        <w:rPr>
          <w:rFonts w:eastAsia="Times New Roman"/>
          <w:szCs w:val="24"/>
        </w:rPr>
        <w:t>HHI 1000 až 1800 – středně koncentrovaný trh</w:t>
      </w:r>
    </w:p>
    <w:p w14:paraId="6EDAB3DD" w14:textId="2308EB21" w:rsidR="009B3F5C" w:rsidRPr="009B3F5C" w:rsidRDefault="00256F29" w:rsidP="00D46B53">
      <w:pPr>
        <w:numPr>
          <w:ilvl w:val="0"/>
          <w:numId w:val="217"/>
        </w:numPr>
        <w:tabs>
          <w:tab w:val="left" w:pos="720"/>
        </w:tabs>
        <w:ind w:left="720" w:hanging="364"/>
        <w:rPr>
          <w:rFonts w:eastAsia="Arial"/>
          <w:szCs w:val="24"/>
        </w:rPr>
      </w:pPr>
      <w:r w:rsidRPr="00FC3B7C">
        <w:rPr>
          <w:rFonts w:eastAsia="Times New Roman"/>
          <w:szCs w:val="24"/>
        </w:rPr>
        <w:t>HHI&gt; 1800 – vysoce koncentrovaný trh</w:t>
      </w:r>
    </w:p>
    <w:p w14:paraId="4A6F3C94" w14:textId="77777777" w:rsidR="008E0F74" w:rsidRPr="00AE6CBA" w:rsidRDefault="00256F29" w:rsidP="009B3F5C">
      <w:pPr>
        <w:pStyle w:val="Nadpis3"/>
        <w:ind w:left="1276" w:hanging="992"/>
        <w:rPr>
          <w:color w:val="1F3864" w:themeColor="accent1" w:themeShade="80"/>
          <w:sz w:val="20"/>
          <w:szCs w:val="20"/>
        </w:rPr>
      </w:pPr>
      <w:r w:rsidRPr="00AE6CBA">
        <w:rPr>
          <w:rFonts w:eastAsia="Times New Roman"/>
          <w:color w:val="1F3864" w:themeColor="accent1" w:themeShade="80"/>
        </w:rPr>
        <w:t>Lernerův index (LI)</w:t>
      </w:r>
    </w:p>
    <w:p w14:paraId="4A6F3C95" w14:textId="77777777" w:rsidR="008E0F74" w:rsidRPr="00FC3B7C" w:rsidRDefault="00256F29" w:rsidP="00525FA8">
      <w:pPr>
        <w:rPr>
          <w:sz w:val="20"/>
          <w:szCs w:val="20"/>
        </w:rPr>
      </w:pPr>
      <w:r w:rsidRPr="00FC3B7C">
        <w:rPr>
          <w:rFonts w:eastAsia="Times New Roman"/>
        </w:rPr>
        <w:t>Index monopolní síly firmy. Vychází z předpokladu DK: P=MC. Čím větší vliv má firma na tvorbu ceny, tím se zvyšuje rozdíl mezi cenou a mezními náklady a tím je odvětví koncentrovanější. Výsledek nabývá hodnoty od 0 do 1, čím je hodnota blíže 1, tím více je firma v monopolním postavení.</w:t>
      </w:r>
    </w:p>
    <w:p w14:paraId="4A6F3C96" w14:textId="77777777" w:rsidR="008E0F74" w:rsidRPr="00FC3B7C" w:rsidRDefault="008E0F74">
      <w:pPr>
        <w:spacing w:line="4" w:lineRule="exact"/>
        <w:rPr>
          <w:sz w:val="20"/>
          <w:szCs w:val="20"/>
        </w:rPr>
      </w:pPr>
    </w:p>
    <w:p w14:paraId="4A6F3C9A" w14:textId="7C9BEE5B" w:rsidR="008E0F74" w:rsidRPr="00FC3B7C" w:rsidRDefault="00256F29" w:rsidP="009B3F5C">
      <w:pPr>
        <w:rPr>
          <w:sz w:val="20"/>
          <w:szCs w:val="20"/>
        </w:rPr>
      </w:pPr>
      <w:r w:rsidRPr="00FC3B7C">
        <w:rPr>
          <w:rFonts w:eastAsia="Times New Roman"/>
          <w:szCs w:val="24"/>
          <w:u w:val="single"/>
        </w:rPr>
        <w:t>Výpočet:</w:t>
      </w:r>
      <w:r w:rsidRPr="00FC3B7C">
        <w:rPr>
          <w:rFonts w:eastAsia="Times New Roman"/>
          <w:szCs w:val="24"/>
        </w:rPr>
        <w:t xml:space="preserve"> LI = (P-MC) /P</w:t>
      </w:r>
    </w:p>
    <w:p w14:paraId="4A6F3C9B" w14:textId="77777777" w:rsidR="008E0F74" w:rsidRPr="009B3F5C" w:rsidRDefault="008E0F74">
      <w:pPr>
        <w:spacing w:line="314" w:lineRule="exact"/>
        <w:rPr>
          <w:color w:val="2F5496" w:themeColor="accent1" w:themeShade="BF"/>
          <w:sz w:val="20"/>
          <w:szCs w:val="20"/>
        </w:rPr>
      </w:pPr>
    </w:p>
    <w:p w14:paraId="4A6F3C9C" w14:textId="77777777" w:rsidR="008E0F74" w:rsidRPr="00AE6CBA" w:rsidRDefault="00256F29" w:rsidP="009B3F5C">
      <w:pPr>
        <w:pStyle w:val="Nadpis2"/>
        <w:ind w:left="851" w:hanging="851"/>
        <w:rPr>
          <w:color w:val="1F3864" w:themeColor="accent1" w:themeShade="80"/>
          <w:sz w:val="20"/>
          <w:szCs w:val="20"/>
        </w:rPr>
      </w:pPr>
      <w:r w:rsidRPr="00AE6CBA">
        <w:rPr>
          <w:rFonts w:eastAsia="Times New Roman"/>
          <w:color w:val="1F3864" w:themeColor="accent1" w:themeShade="80"/>
        </w:rPr>
        <w:t>POLITIKA OCHRANY HOSPODÁŘSKÉ SOUTĚŽE</w:t>
      </w:r>
    </w:p>
    <w:p w14:paraId="4A6F3C9D" w14:textId="77777777" w:rsidR="008E0F74" w:rsidRPr="00FC3B7C" w:rsidRDefault="00256F29" w:rsidP="00525FA8">
      <w:pPr>
        <w:rPr>
          <w:sz w:val="20"/>
          <w:szCs w:val="20"/>
        </w:rPr>
      </w:pPr>
      <w:r w:rsidRPr="00FC3B7C">
        <w:rPr>
          <w:rFonts w:eastAsia="Times New Roman"/>
        </w:rPr>
        <w:t>POHS usiluje o zajištění konkurenčního tržního prostředí nebo o odstranění překážek, které konkurenci oslabují. Opírá se o platnou legislativu a institucionální rámec. POHS zasahuje pouze při zneužívání koncentrovaných struktur. Soutěžní zákony zakazují určité chování, které považují za zneužívání dominantního postavení, zakazují kartelové dohody, upravují schvalování fúzí apod.</w:t>
      </w:r>
    </w:p>
    <w:p w14:paraId="4A6F3C9E" w14:textId="77777777" w:rsidR="008E0F74" w:rsidRPr="00FC3B7C" w:rsidRDefault="008E0F74">
      <w:pPr>
        <w:spacing w:line="196" w:lineRule="exact"/>
        <w:rPr>
          <w:sz w:val="20"/>
          <w:szCs w:val="20"/>
        </w:rPr>
      </w:pPr>
    </w:p>
    <w:p w14:paraId="4A6F3C9F" w14:textId="77777777" w:rsidR="008E0F74" w:rsidRPr="00AE6CBA" w:rsidRDefault="00256F29" w:rsidP="009B3F5C">
      <w:pPr>
        <w:pStyle w:val="Nadpis3"/>
        <w:ind w:left="1276" w:hanging="992"/>
        <w:rPr>
          <w:color w:val="1F3864" w:themeColor="accent1" w:themeShade="80"/>
          <w:sz w:val="20"/>
          <w:szCs w:val="20"/>
        </w:rPr>
      </w:pPr>
      <w:r w:rsidRPr="00AE6CBA">
        <w:rPr>
          <w:rFonts w:eastAsia="Times New Roman"/>
          <w:color w:val="1F3864" w:themeColor="accent1" w:themeShade="80"/>
        </w:rPr>
        <w:t>Platná legislativa a institucionální rámec</w:t>
      </w:r>
    </w:p>
    <w:p w14:paraId="4A6F3CA0" w14:textId="77777777" w:rsidR="008E0F74" w:rsidRPr="00FC3B7C" w:rsidRDefault="00256F29" w:rsidP="00525FA8">
      <w:pPr>
        <w:rPr>
          <w:sz w:val="20"/>
          <w:szCs w:val="20"/>
        </w:rPr>
      </w:pPr>
      <w:r w:rsidRPr="00FC3B7C">
        <w:rPr>
          <w:rFonts w:eastAsia="Times New Roman"/>
        </w:rPr>
        <w:t>Jedna ze základních politik EU, v nichž členské země podléhají příslušné legislativě EU, mají však i vlastní národní zákony.</w:t>
      </w:r>
    </w:p>
    <w:p w14:paraId="4A6F3CA1" w14:textId="77777777" w:rsidR="008E0F74" w:rsidRPr="00FC3B7C" w:rsidRDefault="008E0F74">
      <w:pPr>
        <w:spacing w:line="1" w:lineRule="exact"/>
        <w:rPr>
          <w:sz w:val="20"/>
          <w:szCs w:val="20"/>
        </w:rPr>
      </w:pPr>
    </w:p>
    <w:p w14:paraId="4A6F3CA2" w14:textId="77777777" w:rsidR="008E0F74" w:rsidRPr="00FC3B7C" w:rsidRDefault="00256F29" w:rsidP="00525FA8">
      <w:pPr>
        <w:rPr>
          <w:sz w:val="20"/>
          <w:szCs w:val="20"/>
        </w:rPr>
      </w:pPr>
      <w:r w:rsidRPr="00FC3B7C">
        <w:rPr>
          <w:rFonts w:eastAsia="Times New Roman"/>
          <w:u w:val="single"/>
        </w:rPr>
        <w:t>Evropská komise</w:t>
      </w:r>
      <w:r w:rsidRPr="00FC3B7C">
        <w:rPr>
          <w:rFonts w:eastAsia="Times New Roman"/>
        </w:rPr>
        <w:t xml:space="preserve"> – dohlíží nad dodržováním předpisů podniků a vlád, pokud jde </w:t>
      </w:r>
      <w:r w:rsidR="00525FA8">
        <w:rPr>
          <w:rFonts w:eastAsia="Times New Roman"/>
        </w:rPr>
        <w:br/>
      </w:r>
      <w:r w:rsidRPr="00FC3B7C">
        <w:rPr>
          <w:rFonts w:eastAsia="Times New Roman"/>
        </w:rPr>
        <w:t xml:space="preserve">o spravedlivou hospodářskou soutěž. V této oblasti se opírá o právní předpisy zakotvené ve (Smlouvě o založení Evropského společenství) </w:t>
      </w:r>
      <w:r w:rsidRPr="00FC3B7C">
        <w:rPr>
          <w:rFonts w:eastAsia="Times New Roman"/>
          <w:b/>
          <w:bCs/>
        </w:rPr>
        <w:t>Smlouvě</w:t>
      </w:r>
      <w:r w:rsidRPr="00FC3B7C">
        <w:rPr>
          <w:rFonts w:eastAsia="Times New Roman"/>
        </w:rPr>
        <w:t xml:space="preserve"> </w:t>
      </w:r>
      <w:r w:rsidRPr="00FC3B7C">
        <w:rPr>
          <w:rFonts w:eastAsia="Times New Roman"/>
          <w:b/>
          <w:bCs/>
        </w:rPr>
        <w:t>o fungování Evropské unie</w:t>
      </w:r>
      <w:r w:rsidRPr="00FC3B7C">
        <w:rPr>
          <w:rFonts w:eastAsia="Times New Roman"/>
        </w:rPr>
        <w:t>. Větší podniky, které se hodlají spojit, musí získat souhlas Evropské komise. Sleduje rozsah podpory, kterou podnikům poskytují vlády členských států.</w:t>
      </w:r>
    </w:p>
    <w:p w14:paraId="4A6F3CA3" w14:textId="77777777" w:rsidR="008E0F74" w:rsidRPr="00FC3B7C" w:rsidRDefault="00256F29">
      <w:pPr>
        <w:ind w:left="4"/>
        <w:rPr>
          <w:sz w:val="20"/>
          <w:szCs w:val="20"/>
        </w:rPr>
      </w:pPr>
      <w:bookmarkStart w:id="227" w:name="page227"/>
      <w:bookmarkEnd w:id="227"/>
      <w:r w:rsidRPr="00FC3B7C">
        <w:rPr>
          <w:rFonts w:eastAsia="Times New Roman"/>
          <w:szCs w:val="24"/>
          <w:u w:val="single"/>
        </w:rPr>
        <w:t>Právní normy ČR</w:t>
      </w:r>
    </w:p>
    <w:p w14:paraId="4A6F3CA4" w14:textId="77777777" w:rsidR="008E0F74" w:rsidRPr="00FC3B7C" w:rsidRDefault="008E0F74">
      <w:pPr>
        <w:spacing w:line="33" w:lineRule="exact"/>
        <w:rPr>
          <w:sz w:val="20"/>
          <w:szCs w:val="20"/>
        </w:rPr>
      </w:pPr>
    </w:p>
    <w:p w14:paraId="4A6F3CA5" w14:textId="77777777" w:rsidR="008E0F74" w:rsidRPr="00FC3B7C" w:rsidRDefault="00256F29" w:rsidP="00D46B53">
      <w:pPr>
        <w:numPr>
          <w:ilvl w:val="1"/>
          <w:numId w:val="218"/>
        </w:numPr>
        <w:tabs>
          <w:tab w:val="left" w:pos="724"/>
        </w:tabs>
        <w:ind w:left="724" w:right="200" w:hanging="364"/>
        <w:rPr>
          <w:rFonts w:eastAsia="Arial"/>
          <w:szCs w:val="24"/>
        </w:rPr>
      </w:pPr>
      <w:r w:rsidRPr="00FC3B7C">
        <w:rPr>
          <w:rFonts w:eastAsia="Times New Roman"/>
          <w:szCs w:val="24"/>
        </w:rPr>
        <w:t>Zákon č. 143/2001 Sb., o ochraně hospodářské soutěže (penalizuje porušování hospodářské soutěže).</w:t>
      </w:r>
    </w:p>
    <w:p w14:paraId="4A6F3CA6" w14:textId="77777777" w:rsidR="008E0F74" w:rsidRPr="00FC3B7C" w:rsidRDefault="00256F29" w:rsidP="00D46B53">
      <w:pPr>
        <w:numPr>
          <w:ilvl w:val="1"/>
          <w:numId w:val="218"/>
        </w:numPr>
        <w:tabs>
          <w:tab w:val="left" w:pos="724"/>
        </w:tabs>
        <w:ind w:left="724" w:right="220" w:hanging="364"/>
        <w:rPr>
          <w:rFonts w:eastAsia="Arial"/>
          <w:szCs w:val="24"/>
        </w:rPr>
      </w:pPr>
      <w:r w:rsidRPr="00FC3B7C">
        <w:rPr>
          <w:rFonts w:eastAsia="Times New Roman"/>
          <w:szCs w:val="24"/>
        </w:rPr>
        <w:lastRenderedPageBreak/>
        <w:t xml:space="preserve">Zákon č. 395/2009 Sb., o významné tržní síle při prodeji zemědělských </w:t>
      </w:r>
      <w:r w:rsidR="00525FA8">
        <w:rPr>
          <w:rFonts w:eastAsia="Times New Roman"/>
          <w:szCs w:val="24"/>
        </w:rPr>
        <w:br/>
      </w:r>
      <w:r w:rsidRPr="00FC3B7C">
        <w:rPr>
          <w:rFonts w:eastAsia="Times New Roman"/>
          <w:szCs w:val="24"/>
        </w:rPr>
        <w:t>a potravinářských produktů a jejím zneužití.</w:t>
      </w:r>
    </w:p>
    <w:p w14:paraId="4A6F3CA7" w14:textId="77777777" w:rsidR="008E0F74" w:rsidRPr="00FC3B7C" w:rsidRDefault="00256F29" w:rsidP="00D46B53">
      <w:pPr>
        <w:numPr>
          <w:ilvl w:val="1"/>
          <w:numId w:val="218"/>
        </w:numPr>
        <w:tabs>
          <w:tab w:val="left" w:pos="724"/>
        </w:tabs>
        <w:ind w:left="724" w:right="140" w:hanging="364"/>
        <w:rPr>
          <w:rFonts w:eastAsia="Arial"/>
          <w:szCs w:val="24"/>
        </w:rPr>
      </w:pPr>
      <w:r w:rsidRPr="00FC3B7C">
        <w:rPr>
          <w:rFonts w:eastAsia="Times New Roman"/>
          <w:szCs w:val="24"/>
        </w:rPr>
        <w:t>Zákon č. 125/2008 Sb., o přeměnách obchodních společností a družstev (zabývá se problematikou fúzí).</w:t>
      </w:r>
    </w:p>
    <w:p w14:paraId="4A6F3CA9" w14:textId="16A44CF2" w:rsidR="008E0F74" w:rsidRPr="009B3F5C" w:rsidRDefault="00256F29" w:rsidP="00D46B53">
      <w:pPr>
        <w:numPr>
          <w:ilvl w:val="1"/>
          <w:numId w:val="218"/>
        </w:numPr>
        <w:tabs>
          <w:tab w:val="left" w:pos="724"/>
        </w:tabs>
        <w:ind w:left="724" w:hanging="364"/>
        <w:rPr>
          <w:rFonts w:eastAsia="Arial"/>
          <w:szCs w:val="24"/>
        </w:rPr>
      </w:pPr>
      <w:r w:rsidRPr="00FC3B7C">
        <w:rPr>
          <w:rFonts w:eastAsia="Times New Roman"/>
          <w:szCs w:val="24"/>
        </w:rPr>
        <w:t>Zákon č. 273/1996 Sb., o působnosti Úřadu pro ochranu hospodářské soutěže.</w:t>
      </w:r>
    </w:p>
    <w:p w14:paraId="4A6F3CAA" w14:textId="77777777" w:rsidR="008E0F74" w:rsidRPr="00FC3B7C" w:rsidRDefault="00256F29" w:rsidP="00D46B53">
      <w:pPr>
        <w:numPr>
          <w:ilvl w:val="0"/>
          <w:numId w:val="218"/>
        </w:numPr>
        <w:tabs>
          <w:tab w:val="left" w:pos="704"/>
        </w:tabs>
        <w:ind w:left="704" w:right="60" w:hanging="355"/>
        <w:rPr>
          <w:rFonts w:eastAsia="Arial"/>
          <w:szCs w:val="24"/>
        </w:rPr>
      </w:pPr>
      <w:r w:rsidRPr="00FC3B7C">
        <w:rPr>
          <w:rFonts w:eastAsia="Times New Roman"/>
          <w:szCs w:val="24"/>
        </w:rPr>
        <w:t>Nový občanský zákoník č. 89/2012 Sb. (Obchodní zákoník zrušen, ale integrován</w:t>
      </w:r>
      <w:r w:rsidR="00525FA8">
        <w:rPr>
          <w:rFonts w:eastAsia="Times New Roman"/>
          <w:szCs w:val="24"/>
        </w:rPr>
        <w:br/>
      </w:r>
      <w:r w:rsidRPr="00FC3B7C">
        <w:rPr>
          <w:rFonts w:eastAsia="Times New Roman"/>
          <w:szCs w:val="24"/>
        </w:rPr>
        <w:t>do NOZ) – stanovuje pravidla chování.</w:t>
      </w:r>
    </w:p>
    <w:p w14:paraId="4A6F3CAB" w14:textId="77777777" w:rsidR="008E0F74" w:rsidRPr="00FC3B7C" w:rsidRDefault="00256F29" w:rsidP="00D46B53">
      <w:pPr>
        <w:numPr>
          <w:ilvl w:val="1"/>
          <w:numId w:val="218"/>
        </w:numPr>
        <w:tabs>
          <w:tab w:val="left" w:pos="724"/>
        </w:tabs>
        <w:ind w:left="724" w:hanging="364"/>
        <w:rPr>
          <w:rFonts w:eastAsia="Arial"/>
          <w:szCs w:val="24"/>
        </w:rPr>
      </w:pPr>
      <w:r w:rsidRPr="00FC3B7C">
        <w:rPr>
          <w:rFonts w:eastAsia="Times New Roman"/>
          <w:szCs w:val="24"/>
        </w:rPr>
        <w:t>Zákon o cenách, zákon o ochraně spotřebitele.</w:t>
      </w:r>
    </w:p>
    <w:p w14:paraId="4A6F3CAC" w14:textId="77777777" w:rsidR="008E0F74" w:rsidRPr="00FC3B7C" w:rsidRDefault="00256F29" w:rsidP="00D46B53">
      <w:pPr>
        <w:numPr>
          <w:ilvl w:val="1"/>
          <w:numId w:val="218"/>
        </w:numPr>
        <w:tabs>
          <w:tab w:val="left" w:pos="724"/>
        </w:tabs>
        <w:ind w:left="724" w:right="100" w:hanging="364"/>
        <w:rPr>
          <w:rFonts w:eastAsia="Arial"/>
          <w:szCs w:val="24"/>
        </w:rPr>
      </w:pPr>
      <w:r w:rsidRPr="00FC3B7C">
        <w:rPr>
          <w:rFonts w:eastAsia="Times New Roman"/>
          <w:szCs w:val="24"/>
        </w:rPr>
        <w:t>Článek č. 81 zakazující kartelové dohody a článek 82 zakazující zneužití dominantního postavení Smlouvy o založení Evropského společenství.</w:t>
      </w:r>
    </w:p>
    <w:p w14:paraId="4A6F3CAD" w14:textId="77777777" w:rsidR="008E0F74" w:rsidRPr="00525FA8" w:rsidRDefault="00256F29" w:rsidP="00D46B53">
      <w:pPr>
        <w:numPr>
          <w:ilvl w:val="1"/>
          <w:numId w:val="218"/>
        </w:numPr>
        <w:tabs>
          <w:tab w:val="left" w:pos="724"/>
        </w:tabs>
        <w:ind w:left="724" w:hanging="364"/>
        <w:rPr>
          <w:rFonts w:eastAsia="Arial"/>
          <w:szCs w:val="24"/>
        </w:rPr>
      </w:pPr>
      <w:r w:rsidRPr="00FC3B7C">
        <w:rPr>
          <w:rFonts w:eastAsia="Times New Roman"/>
          <w:szCs w:val="24"/>
        </w:rPr>
        <w:t>Nařízení Rady č. 139/2004 o kontrole spojování podniků.</w:t>
      </w:r>
    </w:p>
    <w:p w14:paraId="4A6F3CAE" w14:textId="77777777" w:rsidR="00525FA8" w:rsidRPr="00FC3B7C" w:rsidRDefault="00525FA8" w:rsidP="00525FA8">
      <w:pPr>
        <w:tabs>
          <w:tab w:val="left" w:pos="724"/>
        </w:tabs>
        <w:ind w:left="724"/>
        <w:rPr>
          <w:rFonts w:eastAsia="Arial"/>
          <w:szCs w:val="24"/>
        </w:rPr>
      </w:pPr>
    </w:p>
    <w:p w14:paraId="4A6F3CAF" w14:textId="77777777" w:rsidR="008E0F74" w:rsidRPr="00FC3B7C" w:rsidRDefault="008E0F74">
      <w:pPr>
        <w:spacing w:line="116" w:lineRule="exact"/>
        <w:rPr>
          <w:sz w:val="20"/>
          <w:szCs w:val="20"/>
        </w:rPr>
      </w:pPr>
    </w:p>
    <w:p w14:paraId="4A6F3CB0" w14:textId="77777777" w:rsidR="008E0F74" w:rsidRPr="00FC3B7C" w:rsidRDefault="00256F29" w:rsidP="00525FA8">
      <w:pPr>
        <w:rPr>
          <w:sz w:val="20"/>
          <w:szCs w:val="20"/>
        </w:rPr>
      </w:pPr>
      <w:r w:rsidRPr="00FC3B7C">
        <w:rPr>
          <w:rFonts w:eastAsia="Times New Roman"/>
          <w:b/>
          <w:bCs/>
          <w:u w:val="single"/>
        </w:rPr>
        <w:t>Úřad pro ochranu hospodářské soutěže</w:t>
      </w:r>
      <w:r w:rsidRPr="00FC3B7C">
        <w:rPr>
          <w:rFonts w:eastAsia="Times New Roman"/>
          <w:b/>
          <w:bCs/>
        </w:rPr>
        <w:t xml:space="preserve"> </w:t>
      </w:r>
      <w:r w:rsidRPr="00FC3B7C">
        <w:rPr>
          <w:rFonts w:eastAsia="Times New Roman"/>
        </w:rPr>
        <w:t>– sídlí v Brně, založen roku 1996 a má za úkol</w:t>
      </w:r>
      <w:r w:rsidRPr="00FC3B7C">
        <w:rPr>
          <w:rFonts w:eastAsia="Times New Roman"/>
          <w:b/>
          <w:bCs/>
        </w:rPr>
        <w:t xml:space="preserve"> </w:t>
      </w:r>
      <w:r w:rsidRPr="00FC3B7C">
        <w:rPr>
          <w:rFonts w:eastAsia="Times New Roman"/>
        </w:rPr>
        <w:t>provádět POHS. Disponuje pravomocemi v oblasti ochrany hospodářské soutěže, dohledu nad zadáváním veřejných zakázek a v monitoringu a koordinaci veřejné podpory. Dohlíží nad dodržováním soutěžního práva a zasahuje proti chování narušujícím hospodářskou soutěž. Posuzuje fúze a tržní moc, trestá kartelové dohody a zneužití dominantního postavení.</w:t>
      </w:r>
    </w:p>
    <w:p w14:paraId="4A6F3CB1" w14:textId="77777777" w:rsidR="008E0F74" w:rsidRPr="00FC3B7C" w:rsidRDefault="008E0F74">
      <w:pPr>
        <w:spacing w:line="3" w:lineRule="exact"/>
        <w:rPr>
          <w:sz w:val="20"/>
          <w:szCs w:val="20"/>
        </w:rPr>
      </w:pPr>
    </w:p>
    <w:p w14:paraId="4A6F3CB2" w14:textId="77777777" w:rsidR="008E0F74" w:rsidRPr="00FC3B7C" w:rsidRDefault="00256F29" w:rsidP="00D46B53">
      <w:pPr>
        <w:numPr>
          <w:ilvl w:val="0"/>
          <w:numId w:val="219"/>
        </w:numPr>
        <w:tabs>
          <w:tab w:val="left" w:pos="724"/>
        </w:tabs>
        <w:ind w:left="724" w:right="100" w:hanging="364"/>
        <w:rPr>
          <w:rFonts w:eastAsia="Arial"/>
          <w:szCs w:val="24"/>
        </w:rPr>
      </w:pPr>
      <w:r w:rsidRPr="008B0BD2">
        <w:rPr>
          <w:rFonts w:eastAsia="Times New Roman"/>
          <w:i/>
          <w:iCs/>
          <w:szCs w:val="24"/>
        </w:rPr>
        <w:t>Protikartelové zákonodárství</w:t>
      </w:r>
      <w:r w:rsidRPr="00FC3B7C">
        <w:rPr>
          <w:rFonts w:eastAsia="Times New Roman"/>
          <w:szCs w:val="24"/>
        </w:rPr>
        <w:t xml:space="preserve"> = tzv. leniency program nabízí subjektům kartelových dohod možnost snížení nebo odpuštění postihu v případě, že tuto dohodu ohlásí </w:t>
      </w:r>
      <w:r w:rsidR="00525FA8">
        <w:rPr>
          <w:rFonts w:eastAsia="Times New Roman"/>
          <w:szCs w:val="24"/>
        </w:rPr>
        <w:br/>
      </w:r>
      <w:r w:rsidRPr="00FC3B7C">
        <w:rPr>
          <w:rFonts w:eastAsia="Times New Roman"/>
          <w:szCs w:val="24"/>
        </w:rPr>
        <w:t>a poskytne k ní patřičné podklady k prokázání.</w:t>
      </w:r>
    </w:p>
    <w:p w14:paraId="4A6F3CB3" w14:textId="77777777" w:rsidR="008E0F74" w:rsidRPr="00FC3B7C" w:rsidRDefault="00256F29" w:rsidP="00D46B53">
      <w:pPr>
        <w:numPr>
          <w:ilvl w:val="0"/>
          <w:numId w:val="219"/>
        </w:numPr>
        <w:tabs>
          <w:tab w:val="left" w:pos="724"/>
        </w:tabs>
        <w:ind w:left="724" w:right="120" w:hanging="364"/>
        <w:rPr>
          <w:rFonts w:eastAsia="Arial"/>
          <w:szCs w:val="24"/>
        </w:rPr>
      </w:pPr>
      <w:r w:rsidRPr="008B0BD2">
        <w:rPr>
          <w:rFonts w:eastAsia="Times New Roman"/>
          <w:i/>
          <w:iCs/>
          <w:szCs w:val="24"/>
        </w:rPr>
        <w:t xml:space="preserve">Kontrola fúzí </w:t>
      </w:r>
      <w:r w:rsidRPr="00FC3B7C">
        <w:rPr>
          <w:rFonts w:eastAsia="Times New Roman"/>
          <w:szCs w:val="24"/>
        </w:rPr>
        <w:t>– fúze jsou zakázány, jestliže vedou ke zlepšení podmínek konkurence nebo nesplňují podmínky na přezkoumání (nárůst HHI, výrazný tržní podíl).</w:t>
      </w:r>
    </w:p>
    <w:p w14:paraId="4A6F3CB4" w14:textId="77777777" w:rsidR="008E0F74" w:rsidRPr="00FC3B7C" w:rsidRDefault="008E0F74">
      <w:pPr>
        <w:spacing w:line="194" w:lineRule="exact"/>
        <w:rPr>
          <w:sz w:val="20"/>
          <w:szCs w:val="20"/>
        </w:rPr>
      </w:pPr>
    </w:p>
    <w:p w14:paraId="4A6F3CB5" w14:textId="77777777" w:rsidR="008E0F74" w:rsidRPr="00AE6CBA" w:rsidRDefault="00256F29" w:rsidP="008B0BD2">
      <w:pPr>
        <w:pStyle w:val="Nadpis3"/>
        <w:ind w:left="1418" w:hanging="1134"/>
        <w:rPr>
          <w:color w:val="1F3864" w:themeColor="accent1" w:themeShade="80"/>
          <w:sz w:val="20"/>
          <w:szCs w:val="20"/>
        </w:rPr>
      </w:pPr>
      <w:r w:rsidRPr="00AE6CBA">
        <w:rPr>
          <w:rFonts w:eastAsia="Times New Roman"/>
          <w:color w:val="1F3864" w:themeColor="accent1" w:themeShade="80"/>
        </w:rPr>
        <w:t>Normativní stránka</w:t>
      </w:r>
    </w:p>
    <w:p w14:paraId="4A6F3CB6" w14:textId="77777777" w:rsidR="008E0F74" w:rsidRPr="00FC3B7C" w:rsidRDefault="00256F29" w:rsidP="00525FA8">
      <w:pPr>
        <w:rPr>
          <w:sz w:val="20"/>
          <w:szCs w:val="20"/>
        </w:rPr>
      </w:pPr>
      <w:r w:rsidRPr="00FC3B7C">
        <w:rPr>
          <w:rFonts w:eastAsia="Times New Roman"/>
        </w:rPr>
        <w:t>Cílem POHS v širším pojetí je monitorování legislativy a státních zásahů, které jsou součástí dalších politik zasahujících do ekonomiky, z hlediska dopadů a efektů na konkurenci jako předpokladu blahobytu společnosti.</w:t>
      </w:r>
    </w:p>
    <w:p w14:paraId="4A6F3CB7" w14:textId="77777777" w:rsidR="008E0F74" w:rsidRPr="00FC3B7C" w:rsidRDefault="008E0F74">
      <w:pPr>
        <w:spacing w:line="180" w:lineRule="exact"/>
        <w:rPr>
          <w:sz w:val="20"/>
          <w:szCs w:val="20"/>
        </w:rPr>
      </w:pPr>
    </w:p>
    <w:p w14:paraId="4A6F3CB8" w14:textId="77777777" w:rsidR="008E0F74" w:rsidRPr="00AE6CBA" w:rsidRDefault="00256F29" w:rsidP="008B0BD2">
      <w:pPr>
        <w:pStyle w:val="Nadpis3"/>
        <w:ind w:left="1276" w:hanging="992"/>
        <w:rPr>
          <w:color w:val="1F3864" w:themeColor="accent1" w:themeShade="80"/>
          <w:sz w:val="20"/>
          <w:szCs w:val="20"/>
        </w:rPr>
      </w:pPr>
      <w:r w:rsidRPr="00AE6CBA">
        <w:rPr>
          <w:rFonts w:eastAsia="Times New Roman"/>
          <w:color w:val="1F3864" w:themeColor="accent1" w:themeShade="80"/>
        </w:rPr>
        <w:t>Alternativní pojetí konkurence</w:t>
      </w:r>
    </w:p>
    <w:p w14:paraId="4A6F3CB9" w14:textId="77777777" w:rsidR="008E0F74" w:rsidRPr="00FC3B7C" w:rsidRDefault="00256F29" w:rsidP="00525FA8">
      <w:pPr>
        <w:rPr>
          <w:sz w:val="20"/>
          <w:szCs w:val="20"/>
        </w:rPr>
      </w:pPr>
      <w:r w:rsidRPr="00FC3B7C">
        <w:rPr>
          <w:rFonts w:eastAsia="Times New Roman"/>
          <w:b/>
          <w:bCs/>
        </w:rPr>
        <w:t xml:space="preserve">Pojetí vycházející z dokonalé konkurence </w:t>
      </w:r>
      <w:r w:rsidRPr="00FC3B7C">
        <w:rPr>
          <w:rFonts w:eastAsia="Times New Roman"/>
        </w:rPr>
        <w:t>– motivace pro inovaci = alespoň</w:t>
      </w:r>
      <w:r w:rsidRPr="00FC3B7C">
        <w:rPr>
          <w:rFonts w:eastAsia="Times New Roman"/>
          <w:b/>
          <w:bCs/>
        </w:rPr>
        <w:t xml:space="preserve"> </w:t>
      </w:r>
      <w:r w:rsidRPr="00FC3B7C">
        <w:rPr>
          <w:rFonts w:eastAsia="Times New Roman"/>
        </w:rPr>
        <w:t>krátkodobý</w:t>
      </w:r>
      <w:r w:rsidRPr="00FC3B7C">
        <w:rPr>
          <w:rFonts w:eastAsia="Times New Roman"/>
          <w:b/>
          <w:bCs/>
        </w:rPr>
        <w:t xml:space="preserve"> </w:t>
      </w:r>
      <w:r w:rsidRPr="00FC3B7C">
        <w:rPr>
          <w:rFonts w:eastAsia="Times New Roman"/>
        </w:rPr>
        <w:t>zisk.</w:t>
      </w:r>
      <w:r w:rsidRPr="00FC3B7C">
        <w:rPr>
          <w:rFonts w:eastAsia="Times New Roman"/>
          <w:b/>
          <w:bCs/>
        </w:rPr>
        <w:t xml:space="preserve"> </w:t>
      </w:r>
      <w:r w:rsidRPr="00FC3B7C">
        <w:rPr>
          <w:rFonts w:eastAsia="Times New Roman"/>
        </w:rPr>
        <w:t>Kritika – vzdálenost ekonomické realitě, naprostá statičnost, neexistence nejistoty, nedosažitelnost úspor z rozsahu.</w:t>
      </w:r>
    </w:p>
    <w:p w14:paraId="4A6F3CBB" w14:textId="14509442" w:rsidR="008E0F74" w:rsidRPr="004B6CDE" w:rsidRDefault="00256F29" w:rsidP="008B0BD2">
      <w:pPr>
        <w:ind w:left="4"/>
        <w:rPr>
          <w:sz w:val="20"/>
          <w:szCs w:val="20"/>
        </w:rPr>
      </w:pPr>
      <w:r w:rsidRPr="00FC3B7C">
        <w:rPr>
          <w:rFonts w:eastAsia="Times New Roman"/>
          <w:b/>
          <w:bCs/>
          <w:szCs w:val="24"/>
        </w:rPr>
        <w:t xml:space="preserve">Pojetí vycházející ze svobody konkurence </w:t>
      </w:r>
      <w:r w:rsidRPr="00FC3B7C">
        <w:rPr>
          <w:rFonts w:eastAsia="Times New Roman"/>
          <w:szCs w:val="24"/>
        </w:rPr>
        <w:t xml:space="preserve">– </w:t>
      </w:r>
      <w:r w:rsidRPr="004B6CDE">
        <w:rPr>
          <w:rFonts w:eastAsia="Times New Roman"/>
          <w:szCs w:val="24"/>
        </w:rPr>
        <w:t>vychází z ordoliberalismu. Svoboda konkurenc</w:t>
      </w:r>
      <w:r w:rsidR="008B0BD2" w:rsidRPr="004B6CDE">
        <w:rPr>
          <w:rFonts w:eastAsia="Times New Roman"/>
          <w:szCs w:val="24"/>
        </w:rPr>
        <w:t xml:space="preserve">e, </w:t>
      </w:r>
      <w:r w:rsidRPr="004B6CDE">
        <w:rPr>
          <w:rFonts w:eastAsia="Times New Roman"/>
        </w:rPr>
        <w:t xml:space="preserve">jednání a rozhodování ekonomických subjektů. Těmto požadavkům </w:t>
      </w:r>
      <w:r w:rsidRPr="00FC3B7C">
        <w:rPr>
          <w:rFonts w:eastAsia="Times New Roman"/>
        </w:rPr>
        <w:t xml:space="preserve">odpovídá </w:t>
      </w:r>
      <w:r w:rsidRPr="004B6CDE">
        <w:rPr>
          <w:rFonts w:eastAsia="Times New Roman"/>
        </w:rPr>
        <w:lastRenderedPageBreak/>
        <w:t>ekonomika monopolistické konkurence. Co největší prostor pro svobodnou soutěž při existenci institucionální struktury – silná ruka státu.</w:t>
      </w:r>
    </w:p>
    <w:p w14:paraId="4A6F3CBC" w14:textId="77777777" w:rsidR="008E0F74" w:rsidRPr="004B6CDE" w:rsidRDefault="008E0F74">
      <w:pPr>
        <w:spacing w:line="3" w:lineRule="exact"/>
        <w:rPr>
          <w:rFonts w:eastAsia="Times New Roman"/>
          <w:szCs w:val="24"/>
        </w:rPr>
      </w:pPr>
    </w:p>
    <w:p w14:paraId="4A6F3CBD" w14:textId="7B715142" w:rsidR="008E0F74" w:rsidRPr="004B6CDE" w:rsidRDefault="00256F29" w:rsidP="00525FA8">
      <w:pPr>
        <w:rPr>
          <w:rFonts w:eastAsia="Times New Roman"/>
        </w:rPr>
      </w:pPr>
      <w:r w:rsidRPr="004B6CDE">
        <w:rPr>
          <w:rFonts w:eastAsia="Times New Roman"/>
          <w:b/>
          <w:bCs/>
        </w:rPr>
        <w:t xml:space="preserve">Pojetí funkce schopné konkurence (Harvardská koncepce) - </w:t>
      </w:r>
      <w:r w:rsidR="008B0BD2" w:rsidRPr="004B6CDE">
        <w:rPr>
          <w:rFonts w:eastAsia="Times New Roman"/>
        </w:rPr>
        <w:t>R</w:t>
      </w:r>
      <w:r w:rsidRPr="004B6CDE">
        <w:rPr>
          <w:rFonts w:eastAsia="Times New Roman"/>
        </w:rPr>
        <w:t>eakce na pojetí</w:t>
      </w:r>
      <w:r w:rsidRPr="004B6CDE">
        <w:rPr>
          <w:rFonts w:eastAsia="Times New Roman"/>
          <w:b/>
          <w:bCs/>
        </w:rPr>
        <w:t xml:space="preserve"> </w:t>
      </w:r>
      <w:r w:rsidRPr="004B6CDE">
        <w:rPr>
          <w:rFonts w:eastAsia="Times New Roman"/>
        </w:rPr>
        <w:t>dokonalé konkurence. Konkurenční situaci v tomto pojetí popisují tři kritéria: tržné struktura, tržní chování, výsledek. Vyžadují silný antimonopolní úřad a přísné antimonopolní zákony.</w:t>
      </w:r>
    </w:p>
    <w:p w14:paraId="4A6F3CBE" w14:textId="77777777" w:rsidR="008E0F74" w:rsidRPr="004B6CDE" w:rsidRDefault="00256F29">
      <w:pPr>
        <w:ind w:left="4"/>
        <w:rPr>
          <w:rFonts w:eastAsia="Times New Roman"/>
          <w:szCs w:val="24"/>
        </w:rPr>
      </w:pPr>
      <w:r w:rsidRPr="004B6CDE">
        <w:rPr>
          <w:rFonts w:eastAsia="Times New Roman"/>
          <w:b/>
          <w:bCs/>
          <w:sz w:val="23"/>
          <w:szCs w:val="23"/>
        </w:rPr>
        <w:t xml:space="preserve">Pojetí vycházející z optimální intenzity konkurence </w:t>
      </w:r>
      <w:r w:rsidRPr="004B6CDE">
        <w:rPr>
          <w:rFonts w:eastAsia="Times New Roman"/>
          <w:sz w:val="23"/>
          <w:szCs w:val="23"/>
        </w:rPr>
        <w:t>– Toto pojetí je založeno na předpokladu,</w:t>
      </w:r>
    </w:p>
    <w:p w14:paraId="4A6F3CBF" w14:textId="77777777" w:rsidR="008E0F74" w:rsidRPr="004B6CDE" w:rsidRDefault="008E0F74">
      <w:pPr>
        <w:spacing w:line="11" w:lineRule="exact"/>
        <w:rPr>
          <w:rFonts w:eastAsia="Times New Roman"/>
          <w:szCs w:val="24"/>
        </w:rPr>
      </w:pPr>
    </w:p>
    <w:p w14:paraId="4A6F3CC0" w14:textId="77777777" w:rsidR="008E0F74" w:rsidRPr="004B6CDE" w:rsidRDefault="00256F29" w:rsidP="00525FA8">
      <w:pPr>
        <w:rPr>
          <w:rFonts w:eastAsia="Times New Roman"/>
        </w:rPr>
      </w:pPr>
      <w:r w:rsidRPr="004B6CDE">
        <w:rPr>
          <w:rFonts w:eastAsia="Times New Roman"/>
        </w:rPr>
        <w:t>že intenzita konkurence je dána vztahem mezi tržní strukturou a tržní nedokonalostí. Doporučený model – široký oligopol.</w:t>
      </w:r>
    </w:p>
    <w:p w14:paraId="4A6F3CC1" w14:textId="77777777" w:rsidR="008E0F74" w:rsidRPr="00FC3B7C" w:rsidRDefault="00256F29" w:rsidP="00525FA8">
      <w:pPr>
        <w:rPr>
          <w:rFonts w:eastAsia="Times New Roman"/>
        </w:rPr>
      </w:pPr>
      <w:r w:rsidRPr="00FC3B7C">
        <w:rPr>
          <w:rFonts w:eastAsia="Times New Roman"/>
          <w:b/>
          <w:bCs/>
        </w:rPr>
        <w:t xml:space="preserve">Pojetí chicagské školy </w:t>
      </w:r>
      <w:r w:rsidRPr="00FC3B7C">
        <w:rPr>
          <w:rFonts w:eastAsia="Times New Roman"/>
        </w:rPr>
        <w:t>– mezifiremní soutěž</w:t>
      </w:r>
      <w:r w:rsidRPr="00FC3B7C">
        <w:rPr>
          <w:rFonts w:eastAsia="Times New Roman"/>
          <w:b/>
          <w:bCs/>
        </w:rPr>
        <w:t xml:space="preserve"> </w:t>
      </w:r>
      <w:r w:rsidRPr="00FC3B7C">
        <w:rPr>
          <w:rFonts w:eastAsia="Times New Roman"/>
        </w:rPr>
        <w:t>jako přirozená součást konkurenčního procesu.</w:t>
      </w:r>
      <w:r w:rsidRPr="00FC3B7C">
        <w:rPr>
          <w:rFonts w:eastAsia="Times New Roman"/>
          <w:b/>
          <w:bCs/>
        </w:rPr>
        <w:t xml:space="preserve"> </w:t>
      </w:r>
      <w:r w:rsidRPr="00FC3B7C">
        <w:rPr>
          <w:rFonts w:eastAsia="Times New Roman"/>
        </w:rPr>
        <w:t>Zásahy POHS jsou nežádoucí, zbytečné a škodlivé. Požadavek zrušení antimonopolní politiky.</w:t>
      </w:r>
    </w:p>
    <w:p w14:paraId="4A6F3CC3" w14:textId="77777777" w:rsidR="00525FA8" w:rsidRDefault="00525FA8" w:rsidP="008B0BD2">
      <w:pPr>
        <w:rPr>
          <w:rFonts w:eastAsia="Times New Roman"/>
          <w:b/>
          <w:bCs/>
          <w:sz w:val="28"/>
          <w:szCs w:val="28"/>
        </w:rPr>
      </w:pPr>
      <w:bookmarkStart w:id="228" w:name="page228"/>
      <w:bookmarkEnd w:id="228"/>
    </w:p>
    <w:p w14:paraId="4A6F3CC4" w14:textId="77777777" w:rsidR="008E0F74" w:rsidRPr="00AE6CBA" w:rsidRDefault="00256F29" w:rsidP="008B0BD2">
      <w:pPr>
        <w:pStyle w:val="Nadpis2"/>
        <w:ind w:left="851" w:hanging="851"/>
        <w:rPr>
          <w:color w:val="1F3864" w:themeColor="accent1" w:themeShade="80"/>
          <w:sz w:val="20"/>
          <w:szCs w:val="20"/>
        </w:rPr>
      </w:pPr>
      <w:r w:rsidRPr="00AE6CBA">
        <w:rPr>
          <w:rFonts w:eastAsia="Times New Roman"/>
          <w:color w:val="1F3864" w:themeColor="accent1" w:themeShade="80"/>
        </w:rPr>
        <w:t>OCHRANA DUŠEVNÍHO VLASTNICTVÍ</w:t>
      </w:r>
    </w:p>
    <w:p w14:paraId="4A6F3CC5" w14:textId="77777777" w:rsidR="008E0F74" w:rsidRPr="00FC3B7C" w:rsidRDefault="008E0F74">
      <w:pPr>
        <w:spacing w:line="246" w:lineRule="exact"/>
        <w:rPr>
          <w:sz w:val="20"/>
          <w:szCs w:val="20"/>
        </w:rPr>
      </w:pPr>
    </w:p>
    <w:p w14:paraId="1F1D897D" w14:textId="2F333531" w:rsidR="008B0BD2" w:rsidRPr="004B6CDE" w:rsidRDefault="00256F29" w:rsidP="00525FA8">
      <w:pPr>
        <w:rPr>
          <w:rFonts w:eastAsia="Times New Roman"/>
        </w:rPr>
      </w:pPr>
      <w:r w:rsidRPr="00FC3B7C">
        <w:rPr>
          <w:rFonts w:eastAsia="Times New Roman"/>
        </w:rPr>
        <w:t xml:space="preserve">Právo duševního vlastnictví zahrnuje veškerá práva na originální výtvory, jako jsou komerční </w:t>
      </w:r>
      <w:r w:rsidRPr="004B6CDE">
        <w:rPr>
          <w:rFonts w:eastAsia="Times New Roman"/>
        </w:rPr>
        <w:t xml:space="preserve">a umělecké produkty. Ochrana je poskytována hmotným i nehmotným výtvorům. V ČR je ochrana DV garantována </w:t>
      </w:r>
      <w:r w:rsidRPr="004B6CDE">
        <w:rPr>
          <w:rFonts w:eastAsia="Times New Roman"/>
          <w:b/>
          <w:bCs/>
        </w:rPr>
        <w:t xml:space="preserve">Listinou základních práv a svobod a dále upravena zákonem </w:t>
      </w:r>
      <w:r w:rsidR="00525FA8" w:rsidRPr="004B6CDE">
        <w:rPr>
          <w:rFonts w:eastAsia="Times New Roman"/>
          <w:b/>
          <w:bCs/>
        </w:rPr>
        <w:br/>
      </w:r>
      <w:r w:rsidRPr="004B6CDE">
        <w:rPr>
          <w:rFonts w:eastAsia="Times New Roman"/>
          <w:b/>
          <w:bCs/>
        </w:rPr>
        <w:t xml:space="preserve">č. 121/2000 Sb. Autorský zákon, dále zákonem č. 175/1996 Sb. </w:t>
      </w:r>
      <w:r w:rsidRPr="004B6CDE">
        <w:rPr>
          <w:rFonts w:eastAsia="Times New Roman"/>
        </w:rPr>
        <w:t xml:space="preserve">O dílech literárních, vědeckých a uměleckých. Mezinárodní instituce chránící právo duševního vlastnictví – Světová organizace duševního vlastnictví (WIPO) a Světová obchodní organizace (WTO) Důsledkem existence práv k duševnímu vlastnictví je snadnější šíření. </w:t>
      </w:r>
      <w:r w:rsidR="008B0BD2" w:rsidRPr="004B6CDE">
        <w:rPr>
          <w:rFonts w:eastAsia="Times New Roman"/>
        </w:rPr>
        <w:t>Úřad průmyslového vlastnictví (zřízen 1. 1. 1993) plní funkci patentového a známkového úřadu a dohlíží na dodržování mezinárodních smluv o ochraně průmyslového vlastnictví.</w:t>
      </w:r>
    </w:p>
    <w:p w14:paraId="4A6F3CC6" w14:textId="135E997E" w:rsidR="008E0F74" w:rsidRPr="004B6CDE" w:rsidRDefault="00256F29" w:rsidP="00525FA8">
      <w:pPr>
        <w:rPr>
          <w:sz w:val="20"/>
          <w:szCs w:val="20"/>
        </w:rPr>
      </w:pPr>
      <w:r w:rsidRPr="004B6CDE">
        <w:rPr>
          <w:rFonts w:eastAsia="Times New Roman"/>
        </w:rPr>
        <w:t xml:space="preserve">Cíl: podpora inovace, ekonomického růstu, soutěživosti a v důsledku toho zlepšení blahobytu spotřebitele. </w:t>
      </w:r>
    </w:p>
    <w:p w14:paraId="4A6F3CC7" w14:textId="77777777" w:rsidR="008E0F74" w:rsidRPr="00FC3B7C" w:rsidRDefault="008E0F74">
      <w:pPr>
        <w:spacing w:line="200" w:lineRule="exact"/>
        <w:rPr>
          <w:sz w:val="20"/>
          <w:szCs w:val="20"/>
        </w:rPr>
      </w:pPr>
    </w:p>
    <w:p w14:paraId="4A6F3CC8" w14:textId="77777777" w:rsidR="008E0F74" w:rsidRPr="00AE6CBA" w:rsidRDefault="00256F29" w:rsidP="008B0BD2">
      <w:pPr>
        <w:pStyle w:val="Nadpis3"/>
        <w:ind w:left="1276" w:hanging="992"/>
        <w:rPr>
          <w:color w:val="1F3864" w:themeColor="accent1" w:themeShade="80"/>
          <w:sz w:val="20"/>
          <w:szCs w:val="20"/>
        </w:rPr>
      </w:pPr>
      <w:r w:rsidRPr="00AE6CBA">
        <w:rPr>
          <w:rFonts w:eastAsia="Times New Roman"/>
          <w:color w:val="1F3864" w:themeColor="accent1" w:themeShade="80"/>
        </w:rPr>
        <w:t>Duševní vlastnictví</w:t>
      </w:r>
    </w:p>
    <w:p w14:paraId="4A6F3CC9" w14:textId="77777777" w:rsidR="008E0F74" w:rsidRPr="00FC3B7C" w:rsidRDefault="00256F29" w:rsidP="00525FA8">
      <w:pPr>
        <w:rPr>
          <w:sz w:val="20"/>
          <w:szCs w:val="20"/>
        </w:rPr>
      </w:pPr>
      <w:r w:rsidRPr="00FC3B7C">
        <w:rPr>
          <w:rFonts w:eastAsia="Times New Roman"/>
        </w:rPr>
        <w:t>Množina práv k nehmotným statkům, jež jsou výsledkem kreativní duševní činnosti, lidské tvořivosti, zkoumání a myšlení.</w:t>
      </w:r>
    </w:p>
    <w:p w14:paraId="4A6F3CCA" w14:textId="77777777" w:rsidR="008E0F74" w:rsidRPr="00AE6CBA" w:rsidRDefault="008E0F74">
      <w:pPr>
        <w:spacing w:line="158" w:lineRule="exact"/>
        <w:rPr>
          <w:color w:val="1F3864" w:themeColor="accent1" w:themeShade="80"/>
          <w:sz w:val="20"/>
          <w:szCs w:val="20"/>
        </w:rPr>
      </w:pPr>
    </w:p>
    <w:p w14:paraId="4A6F3CCB" w14:textId="77777777" w:rsidR="008E0F74" w:rsidRPr="00AE6CBA" w:rsidRDefault="00256F29" w:rsidP="00525FA8">
      <w:pPr>
        <w:pStyle w:val="Nadpis4"/>
        <w:rPr>
          <w:color w:val="1F3864" w:themeColor="accent1" w:themeShade="80"/>
          <w:sz w:val="20"/>
          <w:szCs w:val="20"/>
        </w:rPr>
      </w:pPr>
      <w:r w:rsidRPr="00AE6CBA">
        <w:rPr>
          <w:rFonts w:eastAsia="Times New Roman"/>
          <w:color w:val="1F3864" w:themeColor="accent1" w:themeShade="80"/>
        </w:rPr>
        <w:t>Autorská práva (copyright)</w:t>
      </w:r>
    </w:p>
    <w:p w14:paraId="4A6F3CCC" w14:textId="77777777" w:rsidR="008E0F74" w:rsidRPr="00FC3B7C" w:rsidRDefault="008E0F74">
      <w:pPr>
        <w:spacing w:line="128" w:lineRule="exact"/>
        <w:rPr>
          <w:sz w:val="20"/>
          <w:szCs w:val="20"/>
        </w:rPr>
      </w:pPr>
    </w:p>
    <w:p w14:paraId="4A6F3CCD" w14:textId="77777777" w:rsidR="008E0F74" w:rsidRPr="004B6CDE" w:rsidRDefault="00256F29" w:rsidP="00525FA8">
      <w:pPr>
        <w:rPr>
          <w:sz w:val="20"/>
          <w:szCs w:val="20"/>
        </w:rPr>
      </w:pPr>
      <w:r w:rsidRPr="00FC3B7C">
        <w:rPr>
          <w:rFonts w:eastAsia="Times New Roman"/>
        </w:rPr>
        <w:t xml:space="preserve">Díla literární, vědecká, výtvarná, hudební, fotografická, kartografická, ale i počítačové programy. Chrání ztvárnění myšlenky, nikoliv myšlenku jako takovou. Vzniká v den vzniku díla, kdy je naplněna definice díla a není třeba o něj nikde žádat nebo ho registrovat. Autorské </w:t>
      </w:r>
      <w:r w:rsidRPr="00FC3B7C">
        <w:rPr>
          <w:rFonts w:eastAsia="Times New Roman"/>
        </w:rPr>
        <w:lastRenderedPageBreak/>
        <w:t xml:space="preserve">právo zahrnuje </w:t>
      </w:r>
      <w:r w:rsidRPr="0089544B">
        <w:rPr>
          <w:rFonts w:eastAsia="Times New Roman"/>
          <w:i/>
          <w:iCs/>
        </w:rPr>
        <w:t>osobnostní práva autora</w:t>
      </w:r>
      <w:r w:rsidRPr="00FC3B7C">
        <w:rPr>
          <w:rFonts w:eastAsia="Times New Roman"/>
        </w:rPr>
        <w:t xml:space="preserve"> (např. právo rozhodovat o zveřejnění díla) </w:t>
      </w:r>
      <w:r w:rsidR="00525FA8">
        <w:rPr>
          <w:rFonts w:eastAsia="Times New Roman"/>
        </w:rPr>
        <w:br/>
      </w:r>
      <w:r w:rsidRPr="00FC3B7C">
        <w:rPr>
          <w:rFonts w:eastAsia="Times New Roman"/>
        </w:rPr>
        <w:t xml:space="preserve">a </w:t>
      </w:r>
      <w:r w:rsidRPr="0089544B">
        <w:rPr>
          <w:rFonts w:eastAsia="Times New Roman"/>
          <w:i/>
          <w:iCs/>
        </w:rPr>
        <w:t>majetková práva autora</w:t>
      </w:r>
      <w:r w:rsidRPr="00FC3B7C">
        <w:rPr>
          <w:rFonts w:eastAsia="Times New Roman"/>
        </w:rPr>
        <w:t xml:space="preserve"> (výlučné právo na rozhodování o užívání díla, právo na pronájem, půjčování nebo vystavování díla). Toto právo je nepřenosné a platí po celou dobu autorova života plus 70 let po jeho smrti. Obchodovatelnost podle licenčních smluv. Autorovo výlučné právo může být omezeno zákonem ve formě volného užití díla a zákonné licence. V ČR </w:t>
      </w:r>
      <w:r w:rsidRPr="004B6CDE">
        <w:rPr>
          <w:rFonts w:eastAsia="Times New Roman"/>
        </w:rPr>
        <w:t>upraveno autorským zákonem.</w:t>
      </w:r>
    </w:p>
    <w:p w14:paraId="4A6F3CCE" w14:textId="054C37E9" w:rsidR="008E0F74" w:rsidRPr="004B6CDE" w:rsidRDefault="00256F29" w:rsidP="00525FA8">
      <w:pPr>
        <w:rPr>
          <w:sz w:val="20"/>
          <w:szCs w:val="20"/>
        </w:rPr>
      </w:pPr>
      <w:r w:rsidRPr="004B6CDE">
        <w:rPr>
          <w:rFonts w:eastAsia="Times New Roman"/>
        </w:rPr>
        <w:t>Práva související s</w:t>
      </w:r>
      <w:r w:rsidR="0089544B" w:rsidRPr="004B6CDE">
        <w:rPr>
          <w:rFonts w:eastAsia="Times New Roman"/>
        </w:rPr>
        <w:t xml:space="preserve"> autor</w:t>
      </w:r>
      <w:r w:rsidR="007E5E16">
        <w:rPr>
          <w:rFonts w:eastAsia="Times New Roman"/>
        </w:rPr>
        <w:t>s</w:t>
      </w:r>
      <w:r w:rsidR="0089544B" w:rsidRPr="004B6CDE">
        <w:rPr>
          <w:rFonts w:eastAsia="Times New Roman"/>
        </w:rPr>
        <w:t>kým</w:t>
      </w:r>
      <w:r w:rsidRPr="004B6CDE">
        <w:rPr>
          <w:rFonts w:eastAsia="Times New Roman"/>
        </w:rPr>
        <w:t xml:space="preserve"> právem</w:t>
      </w:r>
      <w:r w:rsidR="00525FA8" w:rsidRPr="004B6CDE">
        <w:rPr>
          <w:rStyle w:val="Znakapoznpodarou"/>
          <w:sz w:val="20"/>
          <w:szCs w:val="20"/>
        </w:rPr>
        <w:footnoteReference w:id="38"/>
      </w:r>
    </w:p>
    <w:p w14:paraId="4A6F3CCF" w14:textId="77777777" w:rsidR="008E0F74" w:rsidRPr="004B6CDE" w:rsidRDefault="008E0F74">
      <w:pPr>
        <w:spacing w:line="1" w:lineRule="exact"/>
        <w:rPr>
          <w:sz w:val="20"/>
          <w:szCs w:val="20"/>
        </w:rPr>
      </w:pPr>
    </w:p>
    <w:p w14:paraId="4A6F3CD0" w14:textId="77777777" w:rsidR="008E0F74" w:rsidRPr="004B6CDE" w:rsidRDefault="00256F29" w:rsidP="00D46B53">
      <w:pPr>
        <w:numPr>
          <w:ilvl w:val="0"/>
          <w:numId w:val="220"/>
        </w:numPr>
        <w:tabs>
          <w:tab w:val="left" w:pos="720"/>
        </w:tabs>
        <w:ind w:left="720" w:hanging="364"/>
        <w:rPr>
          <w:rFonts w:eastAsia="Arial"/>
          <w:szCs w:val="24"/>
        </w:rPr>
      </w:pPr>
      <w:r w:rsidRPr="004B6CDE">
        <w:rPr>
          <w:rFonts w:eastAsia="Times New Roman"/>
          <w:szCs w:val="24"/>
        </w:rPr>
        <w:t>práva výkonného umělce k uměleckému výkonu</w:t>
      </w:r>
    </w:p>
    <w:p w14:paraId="4A6F3CD1" w14:textId="77777777" w:rsidR="008E0F74" w:rsidRPr="004B6CDE" w:rsidRDefault="00256F29" w:rsidP="00D46B53">
      <w:pPr>
        <w:numPr>
          <w:ilvl w:val="0"/>
          <w:numId w:val="220"/>
        </w:numPr>
        <w:tabs>
          <w:tab w:val="left" w:pos="720"/>
        </w:tabs>
        <w:ind w:left="720" w:hanging="364"/>
        <w:rPr>
          <w:rFonts w:eastAsia="Arial"/>
          <w:szCs w:val="24"/>
        </w:rPr>
      </w:pPr>
      <w:r w:rsidRPr="004B6CDE">
        <w:rPr>
          <w:rFonts w:eastAsia="Times New Roman"/>
          <w:szCs w:val="24"/>
        </w:rPr>
        <w:t>právo výrobce zvukového záznamu k jeho záznamu</w:t>
      </w:r>
    </w:p>
    <w:p w14:paraId="4A6F3CD2" w14:textId="77777777" w:rsidR="008E0F74" w:rsidRPr="004B6CDE" w:rsidRDefault="00256F29" w:rsidP="00D46B53">
      <w:pPr>
        <w:numPr>
          <w:ilvl w:val="0"/>
          <w:numId w:val="220"/>
        </w:numPr>
        <w:tabs>
          <w:tab w:val="left" w:pos="720"/>
        </w:tabs>
        <w:ind w:left="720" w:hanging="364"/>
        <w:rPr>
          <w:rFonts w:eastAsia="Arial"/>
          <w:szCs w:val="24"/>
        </w:rPr>
      </w:pPr>
      <w:r w:rsidRPr="004B6CDE">
        <w:rPr>
          <w:rFonts w:eastAsia="Times New Roman"/>
          <w:szCs w:val="24"/>
        </w:rPr>
        <w:t>právo výrobce zvukově obrazového záznamu k jeho prvotnímu záznamu</w:t>
      </w:r>
    </w:p>
    <w:p w14:paraId="4A6F3CD3" w14:textId="77777777" w:rsidR="008E0F74" w:rsidRPr="004B6CDE" w:rsidRDefault="00256F29" w:rsidP="00D46B53">
      <w:pPr>
        <w:numPr>
          <w:ilvl w:val="0"/>
          <w:numId w:val="220"/>
        </w:numPr>
        <w:tabs>
          <w:tab w:val="left" w:pos="720"/>
        </w:tabs>
        <w:ind w:left="720" w:hanging="364"/>
        <w:rPr>
          <w:rFonts w:eastAsia="Arial"/>
          <w:szCs w:val="24"/>
        </w:rPr>
      </w:pPr>
      <w:r w:rsidRPr="004B6CDE">
        <w:rPr>
          <w:rFonts w:eastAsia="Times New Roman"/>
          <w:szCs w:val="24"/>
        </w:rPr>
        <w:t>právo rozhlasového a televizního vysílatele k jeho původnímu vysílání</w:t>
      </w:r>
    </w:p>
    <w:p w14:paraId="4A6F3CD4" w14:textId="77777777" w:rsidR="008E0F74" w:rsidRPr="00FC3B7C" w:rsidRDefault="00256F29" w:rsidP="00D46B53">
      <w:pPr>
        <w:numPr>
          <w:ilvl w:val="0"/>
          <w:numId w:val="220"/>
        </w:numPr>
        <w:tabs>
          <w:tab w:val="left" w:pos="720"/>
        </w:tabs>
        <w:ind w:left="720" w:right="40" w:hanging="364"/>
        <w:rPr>
          <w:rFonts w:eastAsia="Arial"/>
          <w:szCs w:val="24"/>
        </w:rPr>
      </w:pPr>
      <w:r w:rsidRPr="004B6CDE">
        <w:rPr>
          <w:rFonts w:eastAsia="Times New Roman"/>
          <w:szCs w:val="24"/>
        </w:rPr>
        <w:t xml:space="preserve">právo zveřejnitele k dosud nezveřejněnému </w:t>
      </w:r>
      <w:r w:rsidRPr="00FC3B7C">
        <w:rPr>
          <w:rFonts w:eastAsia="Times New Roman"/>
          <w:szCs w:val="24"/>
        </w:rPr>
        <w:t>dílu, k němuž uplynula doba trvání majetkových práv</w:t>
      </w:r>
    </w:p>
    <w:p w14:paraId="3CA4DBD4" w14:textId="77777777" w:rsidR="0089544B" w:rsidRDefault="00256F29" w:rsidP="00D46B53">
      <w:pPr>
        <w:numPr>
          <w:ilvl w:val="0"/>
          <w:numId w:val="220"/>
        </w:numPr>
        <w:tabs>
          <w:tab w:val="left" w:pos="720"/>
        </w:tabs>
        <w:ind w:left="720" w:right="100" w:hanging="364"/>
        <w:rPr>
          <w:rFonts w:eastAsia="Arial"/>
          <w:szCs w:val="24"/>
        </w:rPr>
      </w:pPr>
      <w:r w:rsidRPr="00FC3B7C">
        <w:rPr>
          <w:rFonts w:eastAsia="Times New Roman"/>
          <w:szCs w:val="24"/>
        </w:rPr>
        <w:t>právo nakladatele na odměnu v souvislosti se zhotovením rozmnoženiny jím vydaného díla pro osobní potřebu</w:t>
      </w:r>
    </w:p>
    <w:p w14:paraId="4A6F3CD7" w14:textId="50FBE77B" w:rsidR="008E0F74" w:rsidRPr="0089544B" w:rsidRDefault="0089544B" w:rsidP="00D46B53">
      <w:pPr>
        <w:numPr>
          <w:ilvl w:val="0"/>
          <w:numId w:val="220"/>
        </w:numPr>
        <w:tabs>
          <w:tab w:val="left" w:pos="720"/>
        </w:tabs>
        <w:ind w:left="720" w:right="100" w:hanging="364"/>
        <w:rPr>
          <w:rFonts w:eastAsia="Arial"/>
          <w:szCs w:val="24"/>
        </w:rPr>
      </w:pPr>
      <w:r>
        <w:rPr>
          <w:rFonts w:eastAsia="Times New Roman"/>
        </w:rPr>
        <w:t>p</w:t>
      </w:r>
      <w:r w:rsidR="00256F29" w:rsidRPr="0089544B">
        <w:rPr>
          <w:rFonts w:eastAsia="Times New Roman"/>
        </w:rPr>
        <w:t>rávo pořizovatele k jím pořízené databázi</w:t>
      </w:r>
      <w:r w:rsidR="00525FA8" w:rsidRPr="0089544B">
        <w:rPr>
          <w:rFonts w:eastAsia="Times New Roman"/>
        </w:rPr>
        <w:t>.</w:t>
      </w:r>
    </w:p>
    <w:p w14:paraId="4A6F3CD8" w14:textId="77777777" w:rsidR="008E0F74" w:rsidRPr="00FC3B7C" w:rsidRDefault="008E0F74">
      <w:pPr>
        <w:spacing w:line="200" w:lineRule="exact"/>
        <w:rPr>
          <w:sz w:val="20"/>
          <w:szCs w:val="20"/>
        </w:rPr>
      </w:pPr>
    </w:p>
    <w:p w14:paraId="4A6F3CD9" w14:textId="77777777" w:rsidR="008E0F74" w:rsidRPr="00FC3B7C" w:rsidRDefault="008E0F74">
      <w:pPr>
        <w:spacing w:line="200" w:lineRule="exact"/>
        <w:rPr>
          <w:sz w:val="20"/>
          <w:szCs w:val="20"/>
        </w:rPr>
      </w:pPr>
    </w:p>
    <w:p w14:paraId="4A6F3CDA" w14:textId="77777777" w:rsidR="008E0F74" w:rsidRPr="00AE6CBA" w:rsidRDefault="00256F29" w:rsidP="00525FA8">
      <w:pPr>
        <w:pStyle w:val="Nadpis4"/>
        <w:rPr>
          <w:color w:val="1F3864" w:themeColor="accent1" w:themeShade="80"/>
          <w:sz w:val="20"/>
          <w:szCs w:val="20"/>
        </w:rPr>
      </w:pPr>
      <w:bookmarkStart w:id="229" w:name="page229"/>
      <w:bookmarkEnd w:id="229"/>
      <w:r w:rsidRPr="00AE6CBA">
        <w:rPr>
          <w:rFonts w:eastAsia="Times New Roman"/>
          <w:color w:val="1F3864" w:themeColor="accent1" w:themeShade="80"/>
        </w:rPr>
        <w:t>Průmyslová práva</w:t>
      </w:r>
    </w:p>
    <w:p w14:paraId="4A6F3CDB" w14:textId="77777777" w:rsidR="008E0F74" w:rsidRPr="00FC3B7C" w:rsidRDefault="008E0F74">
      <w:pPr>
        <w:spacing w:line="128" w:lineRule="exact"/>
        <w:rPr>
          <w:sz w:val="20"/>
          <w:szCs w:val="20"/>
        </w:rPr>
      </w:pPr>
    </w:p>
    <w:p w14:paraId="4A6F3CDC" w14:textId="77777777" w:rsidR="008E0F74" w:rsidRPr="00FC3B7C" w:rsidRDefault="00256F29" w:rsidP="00525FA8">
      <w:pPr>
        <w:rPr>
          <w:sz w:val="20"/>
          <w:szCs w:val="20"/>
        </w:rPr>
      </w:pPr>
      <w:r w:rsidRPr="00FC3B7C">
        <w:rPr>
          <w:rFonts w:eastAsia="Times New Roman"/>
        </w:rPr>
        <w:t>Tímto právem rozumíme ochranu výsledků technické tvořivé činnosti (vynálezy a užitné vzory), předměty průmyslového výtvarnictví, práva na označení (ochranné známky a označení původu), také konstrukční schémata polovodičových výrobků a další. Patenty a vynálezy, užitné vzory nebo modely, obchodní známky a obchodní jména.</w:t>
      </w:r>
    </w:p>
    <w:p w14:paraId="4A6F3CDD" w14:textId="77777777" w:rsidR="008E0F74" w:rsidRPr="00FC3B7C" w:rsidRDefault="008E0F74">
      <w:pPr>
        <w:spacing w:line="3" w:lineRule="exact"/>
        <w:rPr>
          <w:sz w:val="20"/>
          <w:szCs w:val="20"/>
        </w:rPr>
      </w:pPr>
    </w:p>
    <w:p w14:paraId="4A6F3CDE" w14:textId="77777777" w:rsidR="008E0F74" w:rsidRPr="00FC3B7C" w:rsidRDefault="00256F29" w:rsidP="00D46B53">
      <w:pPr>
        <w:numPr>
          <w:ilvl w:val="0"/>
          <w:numId w:val="221"/>
        </w:numPr>
        <w:tabs>
          <w:tab w:val="left" w:pos="1420"/>
        </w:tabs>
        <w:ind w:left="1420" w:hanging="366"/>
        <w:rPr>
          <w:rFonts w:eastAsia="Arial"/>
          <w:szCs w:val="24"/>
        </w:rPr>
      </w:pPr>
      <w:r w:rsidRPr="00FC3B7C">
        <w:rPr>
          <w:rFonts w:eastAsia="Times New Roman"/>
          <w:b/>
          <w:bCs/>
          <w:szCs w:val="24"/>
        </w:rPr>
        <w:t xml:space="preserve">Patenty </w:t>
      </w:r>
      <w:r w:rsidRPr="00FC3B7C">
        <w:rPr>
          <w:rFonts w:eastAsia="Times New Roman"/>
          <w:szCs w:val="24"/>
        </w:rPr>
        <w:t>– ochrana vynálezů</w:t>
      </w:r>
      <w:r w:rsidRPr="00FC3B7C">
        <w:rPr>
          <w:rFonts w:eastAsia="Times New Roman"/>
          <w:b/>
          <w:bCs/>
          <w:szCs w:val="24"/>
        </w:rPr>
        <w:t xml:space="preserve"> </w:t>
      </w:r>
      <w:r w:rsidRPr="00FC3B7C">
        <w:rPr>
          <w:rFonts w:eastAsia="Times New Roman"/>
          <w:szCs w:val="24"/>
        </w:rPr>
        <w:t>jako myšlenek, ne jejich ztvárnění ani samotné</w:t>
      </w:r>
      <w:r w:rsidRPr="00FC3B7C">
        <w:rPr>
          <w:rFonts w:eastAsia="Times New Roman"/>
          <w:b/>
          <w:bCs/>
          <w:szCs w:val="24"/>
        </w:rPr>
        <w:t xml:space="preserve"> </w:t>
      </w:r>
      <w:r w:rsidRPr="00FC3B7C">
        <w:rPr>
          <w:rFonts w:eastAsia="Times New Roman"/>
          <w:szCs w:val="24"/>
        </w:rPr>
        <w:t xml:space="preserve">produkty. Udělení patentu s sebou nese </w:t>
      </w:r>
      <w:r w:rsidRPr="0089544B">
        <w:rPr>
          <w:rFonts w:eastAsia="Times New Roman"/>
          <w:i/>
          <w:iCs/>
          <w:szCs w:val="24"/>
        </w:rPr>
        <w:t>3 podmínky</w:t>
      </w:r>
      <w:r w:rsidRPr="00FC3B7C">
        <w:rPr>
          <w:rFonts w:eastAsia="Times New Roman"/>
          <w:szCs w:val="24"/>
        </w:rPr>
        <w:t>: novost, vynálezecká činnost a průmyslová využitelnost. Uděluje je patentový úřad na 20 let od podání přihlášky, musí se udržovat poplatky. Řízení o udělení trvá většinou 3-5 let, tedy max. doba účinnosti patentu je 17 let. Patent dává majiteli výlučné právo využívat vynález, poskytnout souhlas k užívání vynálezu a patent převést. K umožnění využití patentu slouží licenční smlouvy, lze je také prodat.</w:t>
      </w:r>
    </w:p>
    <w:p w14:paraId="4A6F3CDF" w14:textId="77777777" w:rsidR="008E0F74" w:rsidRPr="00FC3B7C" w:rsidRDefault="00256F29" w:rsidP="00D46B53">
      <w:pPr>
        <w:numPr>
          <w:ilvl w:val="0"/>
          <w:numId w:val="221"/>
        </w:numPr>
        <w:tabs>
          <w:tab w:val="left" w:pos="1420"/>
        </w:tabs>
        <w:ind w:left="1420" w:right="20" w:hanging="366"/>
        <w:rPr>
          <w:rFonts w:eastAsia="Arial"/>
          <w:szCs w:val="24"/>
        </w:rPr>
      </w:pPr>
      <w:r w:rsidRPr="00FC3B7C">
        <w:rPr>
          <w:rFonts w:eastAsia="Times New Roman"/>
          <w:b/>
          <w:bCs/>
          <w:szCs w:val="24"/>
        </w:rPr>
        <w:t xml:space="preserve">Užitný vzor </w:t>
      </w:r>
      <w:r w:rsidRPr="00FC3B7C">
        <w:rPr>
          <w:rFonts w:eastAsia="Times New Roman"/>
          <w:szCs w:val="24"/>
        </w:rPr>
        <w:t>– nazýván také malým patentem a je</w:t>
      </w:r>
      <w:r w:rsidRPr="00FC3B7C">
        <w:rPr>
          <w:rFonts w:eastAsia="Times New Roman"/>
          <w:b/>
          <w:bCs/>
          <w:szCs w:val="24"/>
        </w:rPr>
        <w:t xml:space="preserve"> </w:t>
      </w:r>
      <w:r w:rsidRPr="00FC3B7C">
        <w:rPr>
          <w:rFonts w:eastAsia="Times New Roman"/>
          <w:szCs w:val="24"/>
        </w:rPr>
        <w:t>řešením pro menší vynálezy.</w:t>
      </w:r>
      <w:r w:rsidRPr="00FC3B7C">
        <w:rPr>
          <w:rFonts w:eastAsia="Times New Roman"/>
          <w:b/>
          <w:bCs/>
          <w:szCs w:val="24"/>
        </w:rPr>
        <w:t xml:space="preserve"> </w:t>
      </w:r>
      <w:r w:rsidRPr="00FC3B7C">
        <w:rPr>
          <w:rFonts w:eastAsia="Times New Roman"/>
          <w:color w:val="242111"/>
          <w:szCs w:val="24"/>
        </w:rPr>
        <w:t>Jednodušší, rychlejší a méně nákladná ochrana</w:t>
      </w:r>
      <w:r w:rsidRPr="00FC3B7C">
        <w:rPr>
          <w:rFonts w:eastAsia="Times New Roman"/>
          <w:color w:val="000000"/>
          <w:szCs w:val="24"/>
        </w:rPr>
        <w:t>. Nezkoumá se novost a tvůrčí</w:t>
      </w:r>
      <w:r w:rsidRPr="00FC3B7C">
        <w:rPr>
          <w:rFonts w:eastAsia="Times New Roman"/>
          <w:color w:val="242111"/>
          <w:szCs w:val="24"/>
        </w:rPr>
        <w:t xml:space="preserve"> </w:t>
      </w:r>
      <w:r w:rsidRPr="00FC3B7C">
        <w:rPr>
          <w:rFonts w:eastAsia="Times New Roman"/>
          <w:color w:val="000000"/>
          <w:szCs w:val="24"/>
        </w:rPr>
        <w:lastRenderedPageBreak/>
        <w:t xml:space="preserve">úroveň, a proto je jeho registrace rychlejší. Udělení užitného vzoru trvá </w:t>
      </w:r>
      <w:r w:rsidR="00877FBE">
        <w:rPr>
          <w:rFonts w:eastAsia="Times New Roman"/>
          <w:color w:val="000000"/>
          <w:szCs w:val="24"/>
        </w:rPr>
        <w:t>o</w:t>
      </w:r>
      <w:r w:rsidRPr="00FC3B7C">
        <w:rPr>
          <w:rFonts w:eastAsia="Times New Roman"/>
          <w:color w:val="000000"/>
          <w:szCs w:val="24"/>
        </w:rPr>
        <w:t>bvykle tři až čtyři měsíce po podání přihlášky, platí 4 roky a lze ho prodloužit postupně až na dobu 10 let.</w:t>
      </w:r>
    </w:p>
    <w:p w14:paraId="4A6F3CE0" w14:textId="77777777" w:rsidR="008E0F74" w:rsidRPr="00FC3B7C" w:rsidRDefault="008E0F74" w:rsidP="00525FA8">
      <w:pPr>
        <w:rPr>
          <w:rFonts w:eastAsia="Arial"/>
          <w:szCs w:val="24"/>
        </w:rPr>
      </w:pPr>
    </w:p>
    <w:p w14:paraId="4A6F3CE1" w14:textId="77777777" w:rsidR="008E0F74" w:rsidRPr="00FC3B7C" w:rsidRDefault="00256F29" w:rsidP="00D46B53">
      <w:pPr>
        <w:numPr>
          <w:ilvl w:val="0"/>
          <w:numId w:val="221"/>
        </w:numPr>
        <w:tabs>
          <w:tab w:val="left" w:pos="1420"/>
        </w:tabs>
        <w:ind w:left="1420" w:right="20" w:hanging="366"/>
        <w:rPr>
          <w:rFonts w:eastAsia="Arial"/>
          <w:szCs w:val="24"/>
        </w:rPr>
      </w:pPr>
      <w:r w:rsidRPr="00FC3B7C">
        <w:rPr>
          <w:rFonts w:eastAsia="Times New Roman"/>
          <w:b/>
          <w:bCs/>
          <w:color w:val="242111"/>
          <w:szCs w:val="24"/>
        </w:rPr>
        <w:t xml:space="preserve">Ochranné známky </w:t>
      </w:r>
      <w:r w:rsidRPr="00FC3B7C">
        <w:rPr>
          <w:rFonts w:eastAsia="Times New Roman"/>
          <w:color w:val="242111"/>
          <w:szCs w:val="24"/>
        </w:rPr>
        <w:t>– označení</w:t>
      </w:r>
      <w:r w:rsidRPr="00FC3B7C">
        <w:rPr>
          <w:rFonts w:eastAsia="Times New Roman"/>
          <w:b/>
          <w:bCs/>
          <w:color w:val="242111"/>
          <w:szCs w:val="24"/>
        </w:rPr>
        <w:t xml:space="preserve"> </w:t>
      </w:r>
      <w:r w:rsidRPr="00FC3B7C">
        <w:rPr>
          <w:rFonts w:eastAsia="Times New Roman"/>
          <w:color w:val="000000"/>
          <w:szCs w:val="24"/>
        </w:rPr>
        <w:t>grafického znázornění, tvořené zejména slovy,</w:t>
      </w:r>
      <w:r w:rsidRPr="00FC3B7C">
        <w:rPr>
          <w:rFonts w:eastAsia="Times New Roman"/>
          <w:b/>
          <w:bCs/>
          <w:color w:val="242111"/>
          <w:szCs w:val="24"/>
        </w:rPr>
        <w:t xml:space="preserve"> </w:t>
      </w:r>
      <w:r w:rsidRPr="00FC3B7C">
        <w:rPr>
          <w:rFonts w:eastAsia="Times New Roman"/>
          <w:color w:val="000000"/>
          <w:szCs w:val="24"/>
        </w:rPr>
        <w:t xml:space="preserve">písmeny, číslicemi, barvou, kresbou nebo tvarem výrobku či jeho obalu, určené k rozlišení výrobků nebo služeb. Označení, které slouží k odlišení firmy </w:t>
      </w:r>
      <w:r w:rsidR="00525FA8">
        <w:rPr>
          <w:rFonts w:eastAsia="Times New Roman"/>
          <w:color w:val="000000"/>
          <w:szCs w:val="24"/>
        </w:rPr>
        <w:br/>
      </w:r>
      <w:r w:rsidRPr="00FC3B7C">
        <w:rPr>
          <w:rFonts w:eastAsia="Times New Roman"/>
          <w:color w:val="000000"/>
          <w:szCs w:val="24"/>
        </w:rPr>
        <w:t>od ostatních firem. Zapisuje se do rejstříku ochranných známek, který vede Úřad průmyslového vlastnictví. Zápisem do rejstříku získává vlastník ochranné známky výlučné právo tuto známku používat. Platnost zápisu trvá 10 let a je možno ji prodloužit vždy o dalších 10 let.</w:t>
      </w:r>
    </w:p>
    <w:p w14:paraId="4A6F3CE2" w14:textId="77777777" w:rsidR="008E0F74" w:rsidRPr="00FC3B7C" w:rsidRDefault="008E0F74">
      <w:pPr>
        <w:spacing w:line="200" w:lineRule="exact"/>
        <w:rPr>
          <w:sz w:val="20"/>
          <w:szCs w:val="20"/>
        </w:rPr>
      </w:pPr>
    </w:p>
    <w:p w14:paraId="4A6F3CE3" w14:textId="77777777" w:rsidR="008E0F74" w:rsidRPr="00FC3B7C" w:rsidRDefault="008E0F74">
      <w:pPr>
        <w:spacing w:line="243" w:lineRule="exact"/>
        <w:rPr>
          <w:sz w:val="20"/>
          <w:szCs w:val="20"/>
        </w:rPr>
      </w:pPr>
    </w:p>
    <w:p w14:paraId="4A6F3CE4" w14:textId="77777777" w:rsidR="008E0F74" w:rsidRPr="00AE6CBA" w:rsidRDefault="00256F29" w:rsidP="00AE6CBA">
      <w:pPr>
        <w:pStyle w:val="Nadpis2"/>
        <w:ind w:left="0" w:firstLine="0"/>
        <w:jc w:val="center"/>
        <w:rPr>
          <w:color w:val="1F3864" w:themeColor="accent1" w:themeShade="80"/>
          <w:sz w:val="20"/>
          <w:szCs w:val="20"/>
        </w:rPr>
      </w:pPr>
      <w:r w:rsidRPr="00AE6CBA">
        <w:rPr>
          <w:rFonts w:eastAsia="Times New Roman"/>
          <w:color w:val="1F3864" w:themeColor="accent1" w:themeShade="80"/>
        </w:rPr>
        <w:t>PŘÍKLADY</w:t>
      </w:r>
      <w:r w:rsidRPr="00AE6CBA">
        <w:rPr>
          <w:color w:val="1F3864" w:themeColor="accent1" w:themeShade="80"/>
          <w:sz w:val="20"/>
          <w:szCs w:val="20"/>
        </w:rPr>
        <w:t xml:space="preserve"> </w:t>
      </w:r>
      <w:r w:rsidR="00525FA8" w:rsidRPr="00AE6CBA">
        <w:rPr>
          <w:rFonts w:eastAsia="Times New Roman"/>
          <w:color w:val="1F3864" w:themeColor="accent1" w:themeShade="80"/>
        </w:rPr>
        <w:t xml:space="preserve">APLIKACE POLITIKY OCHRANY </w:t>
      </w:r>
      <w:r w:rsidRPr="00AE6CBA">
        <w:rPr>
          <w:rFonts w:eastAsia="Times New Roman"/>
          <w:color w:val="1F3864" w:themeColor="accent1" w:themeShade="80"/>
        </w:rPr>
        <w:t>HOSPODÁŘSKÉ SOUTĚŽE</w:t>
      </w:r>
    </w:p>
    <w:p w14:paraId="4A6F3CE5" w14:textId="77777777" w:rsidR="008E0F74" w:rsidRPr="00FC3B7C" w:rsidRDefault="008E0F74">
      <w:pPr>
        <w:spacing w:line="145" w:lineRule="exact"/>
        <w:rPr>
          <w:sz w:val="20"/>
          <w:szCs w:val="20"/>
        </w:rPr>
      </w:pPr>
    </w:p>
    <w:p w14:paraId="4A6F3CE6" w14:textId="219BA37E" w:rsidR="008E0F74" w:rsidRPr="004B6CDE" w:rsidRDefault="0089544B" w:rsidP="0089544B">
      <w:pPr>
        <w:pStyle w:val="Nadpis3"/>
        <w:ind w:left="1276" w:hanging="992"/>
        <w:rPr>
          <w:color w:val="1F3864" w:themeColor="accent1" w:themeShade="80"/>
          <w:sz w:val="20"/>
          <w:szCs w:val="20"/>
        </w:rPr>
      </w:pPr>
      <w:r w:rsidRPr="004B6CDE">
        <w:rPr>
          <w:rFonts w:eastAsia="Times New Roman"/>
          <w:color w:val="1F3864" w:themeColor="accent1" w:themeShade="80"/>
        </w:rPr>
        <w:t>Cenová válka</w:t>
      </w:r>
      <w:r w:rsidR="00256F29" w:rsidRPr="004B6CDE">
        <w:rPr>
          <w:rFonts w:eastAsia="Times New Roman"/>
          <w:color w:val="1F3864" w:themeColor="accent1" w:themeShade="80"/>
        </w:rPr>
        <w:t xml:space="preserve"> – České Dráhy</w:t>
      </w:r>
    </w:p>
    <w:p w14:paraId="4A6F3CE7" w14:textId="2664F0F6" w:rsidR="008E0F74" w:rsidRPr="00FC3B7C" w:rsidRDefault="00256F29" w:rsidP="00525FA8">
      <w:pPr>
        <w:rPr>
          <w:sz w:val="20"/>
          <w:szCs w:val="20"/>
        </w:rPr>
      </w:pPr>
      <w:r w:rsidRPr="00FC3B7C">
        <w:rPr>
          <w:rFonts w:eastAsia="Times New Roman"/>
        </w:rPr>
        <w:t>Antimonopolní úřad (ÚOHS) se začal zabývat cenovou válkou (v lednu 2012), která se na českých kolejích rozhořela poté, co společnost RegioJet začala provozovat vlastní spoje. Úřad podezřívá České dráhy, že se své konkurence na trati Praha -</w:t>
      </w:r>
      <w:r w:rsidR="0089544B">
        <w:rPr>
          <w:rFonts w:eastAsia="Times New Roman"/>
        </w:rPr>
        <w:t xml:space="preserve"> </w:t>
      </w:r>
      <w:r w:rsidRPr="00FC3B7C">
        <w:rPr>
          <w:rFonts w:eastAsia="Times New Roman"/>
        </w:rPr>
        <w:t xml:space="preserve">Ostrava chtěl zbavit a zneužít svého dominantního postavení. Nový dopravce, dokud nedosáhne tržního podílu 40 procent, má právo při vstupu na trh jezdit za marketingové podnákladové ceny. Zákon říká, </w:t>
      </w:r>
      <w:r w:rsidR="00525FA8">
        <w:rPr>
          <w:rFonts w:eastAsia="Times New Roman"/>
        </w:rPr>
        <w:br/>
      </w:r>
      <w:r w:rsidRPr="00FC3B7C">
        <w:rPr>
          <w:rFonts w:eastAsia="Times New Roman"/>
        </w:rPr>
        <w:t>že dlouhodobě nesmí být na podnákladových cenách ten, kdo má na trhu dominantní postavení. ČD právě takovéto postavení mají a RegioJet získal i informace o jejich nákladech na jednotlivých trasách, které</w:t>
      </w:r>
      <w:r w:rsidR="003562E9">
        <w:rPr>
          <w:rFonts w:eastAsia="Times New Roman"/>
        </w:rPr>
        <w:t xml:space="preserve"> potvrdili, že jezdili pod nákl</w:t>
      </w:r>
      <w:r w:rsidRPr="00FC3B7C">
        <w:rPr>
          <w:rFonts w:eastAsia="Times New Roman"/>
        </w:rPr>
        <w:t>ady. Rozhodnutí ÚOHS by mělo potvrdit zneužití dominantního postavení ze strany ČD.</w:t>
      </w:r>
    </w:p>
    <w:p w14:paraId="4A6F3CE8" w14:textId="77777777" w:rsidR="008E0F74" w:rsidRPr="00FC3B7C" w:rsidRDefault="008E0F74">
      <w:pPr>
        <w:spacing w:line="201" w:lineRule="exact"/>
        <w:rPr>
          <w:sz w:val="20"/>
          <w:szCs w:val="20"/>
        </w:rPr>
      </w:pPr>
    </w:p>
    <w:p w14:paraId="4A6F3CE9" w14:textId="1C503DA8" w:rsidR="008E0F74" w:rsidRPr="004B6CDE" w:rsidRDefault="00256F29" w:rsidP="0089544B">
      <w:pPr>
        <w:pStyle w:val="Nadpis3"/>
        <w:ind w:left="1276" w:hanging="1134"/>
        <w:rPr>
          <w:color w:val="1F3864" w:themeColor="accent1" w:themeShade="80"/>
          <w:sz w:val="20"/>
          <w:szCs w:val="20"/>
        </w:rPr>
      </w:pPr>
      <w:r w:rsidRPr="00AE6CBA">
        <w:rPr>
          <w:rFonts w:eastAsia="Times New Roman"/>
          <w:color w:val="1F3864" w:themeColor="accent1" w:themeShade="80"/>
        </w:rPr>
        <w:t>Kartel</w:t>
      </w:r>
      <w:r w:rsidR="0089544B" w:rsidRPr="00AE6CBA">
        <w:rPr>
          <w:rFonts w:eastAsia="Times New Roman"/>
          <w:color w:val="1F3864" w:themeColor="accent1" w:themeShade="80"/>
        </w:rPr>
        <w:t xml:space="preserve"> </w:t>
      </w:r>
      <w:r w:rsidR="0089544B" w:rsidRPr="004B6CDE">
        <w:rPr>
          <w:rFonts w:eastAsia="Times New Roman"/>
          <w:color w:val="1F3864" w:themeColor="accent1" w:themeShade="80"/>
        </w:rPr>
        <w:t xml:space="preserve">– Gillette Czech, s. r. o. </w:t>
      </w:r>
    </w:p>
    <w:p w14:paraId="4A6F3CEA" w14:textId="77777777" w:rsidR="008E0F74" w:rsidRPr="00FC3B7C" w:rsidRDefault="00256F29" w:rsidP="0089544B">
      <w:pPr>
        <w:rPr>
          <w:sz w:val="20"/>
          <w:szCs w:val="20"/>
        </w:rPr>
      </w:pPr>
      <w:r w:rsidRPr="00FC3B7C">
        <w:rPr>
          <w:rFonts w:eastAsia="Times New Roman"/>
        </w:rPr>
        <w:t>Společnost GILLETTE CZECH, s.r.o. uzavřela ve smlouvách uzavíraných v roce 1998 a 1999 s velkoobchodními prodejci - odběrateli zboží značky Gillette (včetně zboží značky Astra), Oral B a Duracel dohodu, dle níž se odběratelé zavazovali dodržovat doporučené ceny pro maloobchodní prodejce podle ceníku společnosti Gillette Czech, s.r.o. Tuto dohodu kvalifikoval Úřad jako zakázanou a neplatnou dohodu o přímém určení ceny zboží pro prodej</w:t>
      </w:r>
    </w:p>
    <w:p w14:paraId="4A6F3CEB" w14:textId="16A4FA9A" w:rsidR="008E0F74" w:rsidRDefault="00256F29" w:rsidP="0089544B">
      <w:pPr>
        <w:rPr>
          <w:rFonts w:eastAsia="Times New Roman"/>
          <w:szCs w:val="24"/>
        </w:rPr>
      </w:pPr>
      <w:bookmarkStart w:id="230" w:name="page230"/>
      <w:bookmarkEnd w:id="230"/>
      <w:r w:rsidRPr="00FC3B7C">
        <w:rPr>
          <w:rFonts w:eastAsia="Times New Roman"/>
          <w:szCs w:val="24"/>
        </w:rPr>
        <w:t xml:space="preserve">maloobchodním odběratelům ve smyslu § 3 odst. 2 písm. a) zákona o ochraně hospodářské soutěže, která v letech 1998 a 1999 vedla k narušení hospodářské soutěže na trhu výrobku pro </w:t>
      </w:r>
      <w:r w:rsidRPr="00FC3B7C">
        <w:rPr>
          <w:rFonts w:eastAsia="Times New Roman"/>
          <w:szCs w:val="24"/>
        </w:rPr>
        <w:lastRenderedPageBreak/>
        <w:t>mokré holení, na trhu prostředků pro m</w:t>
      </w:r>
      <w:r w:rsidR="003562E9">
        <w:rPr>
          <w:rFonts w:eastAsia="Times New Roman"/>
          <w:szCs w:val="24"/>
        </w:rPr>
        <w:t>echanické čištění chru</w:t>
      </w:r>
      <w:r w:rsidRPr="00FC3B7C">
        <w:rPr>
          <w:rFonts w:eastAsia="Times New Roman"/>
          <w:szCs w:val="24"/>
        </w:rPr>
        <w:t>pu a na trhu kosmetických přípravku před, při a po holení. Za porušení zákazu uvedeného v § 3 odst. 1 zákona uložil úřad společnosti GILLETTE CZECH, s.r.o. pokutu ve výši 800 000,- Kč.</w:t>
      </w:r>
    </w:p>
    <w:p w14:paraId="4A6F3CEC" w14:textId="77777777" w:rsidR="00877FBE" w:rsidRPr="00FC3B7C" w:rsidRDefault="00877FBE">
      <w:pPr>
        <w:spacing w:line="247" w:lineRule="auto"/>
        <w:rPr>
          <w:sz w:val="20"/>
          <w:szCs w:val="20"/>
        </w:rPr>
      </w:pPr>
    </w:p>
    <w:p w14:paraId="4A6F3CED" w14:textId="77777777" w:rsidR="008E0F74" w:rsidRPr="00FC3B7C" w:rsidRDefault="008E0F74">
      <w:pPr>
        <w:spacing w:line="170" w:lineRule="exact"/>
        <w:rPr>
          <w:sz w:val="20"/>
          <w:szCs w:val="20"/>
        </w:rPr>
      </w:pPr>
    </w:p>
    <w:p w14:paraId="4A6F3CEE" w14:textId="36864B2B" w:rsidR="008E0F74" w:rsidRPr="004B6CDE" w:rsidRDefault="00256F29" w:rsidP="0089544B">
      <w:pPr>
        <w:pStyle w:val="Nadpis3"/>
        <w:ind w:left="1276" w:hanging="992"/>
        <w:rPr>
          <w:color w:val="1F3864" w:themeColor="accent1" w:themeShade="80"/>
          <w:szCs w:val="28"/>
        </w:rPr>
      </w:pPr>
      <w:r w:rsidRPr="004B6CDE">
        <w:rPr>
          <w:rFonts w:eastAsia="Times New Roman"/>
          <w:color w:val="1F3864" w:themeColor="accent1" w:themeShade="80"/>
          <w:szCs w:val="28"/>
        </w:rPr>
        <w:t>Fúze</w:t>
      </w:r>
      <w:r w:rsidR="00F8654C" w:rsidRPr="004B6CDE">
        <w:rPr>
          <w:rFonts w:eastAsia="Times New Roman"/>
          <w:color w:val="1F3864" w:themeColor="accent1" w:themeShade="80"/>
          <w:szCs w:val="28"/>
        </w:rPr>
        <w:t xml:space="preserve"> – Delta pekárny </w:t>
      </w:r>
      <w:r w:rsidR="00877FBE" w:rsidRPr="004B6CDE">
        <w:rPr>
          <w:rStyle w:val="Znakapoznpodarou"/>
          <w:color w:val="1F3864" w:themeColor="accent1" w:themeShade="80"/>
          <w:szCs w:val="28"/>
        </w:rPr>
        <w:footnoteReference w:id="39"/>
      </w:r>
    </w:p>
    <w:p w14:paraId="4A6F3CEF" w14:textId="522EAD34" w:rsidR="008E0F74" w:rsidRPr="00FC3B7C" w:rsidRDefault="00256F29" w:rsidP="00877FBE">
      <w:pPr>
        <w:rPr>
          <w:sz w:val="20"/>
          <w:szCs w:val="20"/>
        </w:rPr>
      </w:pPr>
      <w:r w:rsidRPr="00FC3B7C">
        <w:rPr>
          <w:rFonts w:eastAsia="Times New Roman"/>
        </w:rPr>
        <w:t xml:space="preserve">Předseda Úřadu pro ochranu hospodářské soutěže Josef Bednář svým druhostupňovým rozhodnutím ze dne 1. února 2005 zamítl návrh na povolení spojení lucemburské společnosti Bakeries International Luxembourg a české společnosti DELTA PEKÁRNY a.s. </w:t>
      </w:r>
      <w:r w:rsidR="00877FBE">
        <w:rPr>
          <w:rFonts w:eastAsia="Times New Roman"/>
        </w:rPr>
        <w:br/>
      </w:r>
      <w:r w:rsidRPr="00FC3B7C">
        <w:rPr>
          <w:rFonts w:eastAsia="Times New Roman"/>
        </w:rPr>
        <w:t xml:space="preserve">Při posouzení návrhu na povolení spojení soutěžitelů byla zhodnocena všechna rozhodná kritéria pro zjištění dopadu z koncentrace na trh. Jde o výši tržního podílu spojením vzniklého subjektu, odstup tržních podílu nejbližších konkurentu, hospodářskou a finanční sílu spojujících se soutěžitelů, schopnost komplexně zásobovat své odběratelé, zejména obchodní řetězce, významné rozšíření výrobkového portfolia, jakož i kontrolu podstatné části surovinové základny – mouky pro pekárenskou, cukrářskou a těstovinářskou výrobu ze strany spojením vzniklého subjektu. Zejména byly zhodnoceny možné cenové dopady na spotřebitele, neboť významné postavení spojujících se subjektu by mohlo vést ke zvýšení cenové hladiny pekárenských výrobku pro konečného zákazníka. Spojením vzniklý subjekt by disponoval takovou finanční a hospodářskou silou, jež by mu umožnila chovat se </w:t>
      </w:r>
      <w:r w:rsidR="00877FBE">
        <w:rPr>
          <w:rFonts w:eastAsia="Times New Roman"/>
        </w:rPr>
        <w:br/>
      </w:r>
      <w:r w:rsidRPr="00FC3B7C">
        <w:rPr>
          <w:rFonts w:eastAsia="Times New Roman"/>
        </w:rPr>
        <w:t>v podstatné míře nezávisle na ostatních soutěžitelích a spotřebitelích, což by mohlo vést ke značnému omezení hospodářské soutěže na trhu čerstvého běžného pečiva a chleba v ČR. Společnost Bakeries Int. kontroluje v ČR radu významných společností působících v oblasti výroby a prodeje pekařských, mlýnských a ostatních potravinářských výrobku, např. ODKOLEK a.s. či DELTA MLÝNY s.r.o. Nabytím kontroly nad DELTA PEKÁRNY by rovněž získala nejvýznamnějšího soutěžitele na pekárenském trhu. Následkem uskutečnění spojení by došlo k propojení dvou nejvýznamnějších subjektu na</w:t>
      </w:r>
      <w:r w:rsidR="00877FBE">
        <w:rPr>
          <w:rFonts w:eastAsia="Times New Roman"/>
        </w:rPr>
        <w:t xml:space="preserve"> trhu. Spojením vzniklý subjekt </w:t>
      </w:r>
      <w:r w:rsidRPr="00FC3B7C">
        <w:rPr>
          <w:rFonts w:eastAsia="Times New Roman"/>
        </w:rPr>
        <w:t xml:space="preserve">by v porovnání s ostatními soutěžiteli disponoval nejvyšší tržní silou, více než 10 tisíci odběrnými místy, největší surovinovou základnou pro pekárenskou výrobu (50 % své produkce mouky dodává svým konkurentům). Dále by tento subjekt disponoval sítí pekáren rovnoměrně rozmístěnou po celém území České republiky, která by mu umožnila trvale zásobovat všechny klíčové odběratele, zejména obchodní řetězce, a tím si tak vytvořit lepší vyjednávací pozice oproti ostatním na trhu působícím soutěžitelům. Snížení poctu </w:t>
      </w:r>
      <w:r w:rsidRPr="00FC3B7C">
        <w:rPr>
          <w:rFonts w:eastAsia="Times New Roman"/>
        </w:rPr>
        <w:lastRenderedPageBreak/>
        <w:t xml:space="preserve">významných soutěžitelů působících v oblasti pekárenských výrobku by rovněž mohlo vést </w:t>
      </w:r>
      <w:r w:rsidR="00877FBE">
        <w:rPr>
          <w:rFonts w:eastAsia="Times New Roman"/>
        </w:rPr>
        <w:br/>
      </w:r>
      <w:r w:rsidRPr="00FC3B7C">
        <w:rPr>
          <w:rFonts w:eastAsia="Times New Roman"/>
        </w:rPr>
        <w:t>k snadnější realizaci protisoutěžních praktik, a tím i k narušení struktury trhu.</w:t>
      </w:r>
    </w:p>
    <w:p w14:paraId="4A6F3CF0" w14:textId="77777777" w:rsidR="008E0F74" w:rsidRPr="00FC3B7C" w:rsidRDefault="008E0F74">
      <w:pPr>
        <w:spacing w:line="200" w:lineRule="exact"/>
        <w:rPr>
          <w:sz w:val="20"/>
          <w:szCs w:val="20"/>
        </w:rPr>
      </w:pPr>
    </w:p>
    <w:p w14:paraId="4A6F3CF1" w14:textId="77777777" w:rsidR="008E0F74" w:rsidRPr="00FC3B7C" w:rsidRDefault="008E0F74">
      <w:pPr>
        <w:spacing w:line="227" w:lineRule="exact"/>
        <w:rPr>
          <w:sz w:val="20"/>
          <w:szCs w:val="20"/>
        </w:rPr>
      </w:pPr>
    </w:p>
    <w:p w14:paraId="4A6F3CF2" w14:textId="09610ED0" w:rsidR="008E0F74" w:rsidRDefault="00256F29" w:rsidP="0089544B">
      <w:pPr>
        <w:pStyle w:val="Nadpis3"/>
        <w:ind w:left="1276" w:hanging="992"/>
        <w:rPr>
          <w:rFonts w:eastAsia="Times New Roman"/>
          <w:color w:val="2F5496" w:themeColor="accent1" w:themeShade="BF"/>
          <w:szCs w:val="28"/>
        </w:rPr>
      </w:pPr>
      <w:bookmarkStart w:id="231" w:name="page231"/>
      <w:bookmarkEnd w:id="231"/>
      <w:r w:rsidRPr="00AE6CBA">
        <w:rPr>
          <w:rFonts w:eastAsia="Times New Roman"/>
          <w:color w:val="1F3864" w:themeColor="accent1" w:themeShade="80"/>
          <w:szCs w:val="28"/>
        </w:rPr>
        <w:t xml:space="preserve">Zneužití </w:t>
      </w:r>
      <w:r w:rsidR="0089544B" w:rsidRPr="00AE6CBA">
        <w:rPr>
          <w:rFonts w:eastAsia="Times New Roman"/>
          <w:color w:val="1F3864" w:themeColor="accent1" w:themeShade="80"/>
          <w:szCs w:val="28"/>
        </w:rPr>
        <w:t>do</w:t>
      </w:r>
      <w:r w:rsidRPr="00AE6CBA">
        <w:rPr>
          <w:rFonts w:eastAsia="Times New Roman"/>
          <w:color w:val="1F3864" w:themeColor="accent1" w:themeShade="80"/>
          <w:szCs w:val="28"/>
        </w:rPr>
        <w:t xml:space="preserve">minantního postavení </w:t>
      </w:r>
      <w:r w:rsidRPr="004B6CDE">
        <w:rPr>
          <w:rFonts w:eastAsia="Times New Roman"/>
          <w:color w:val="1F3864" w:themeColor="accent1" w:themeShade="80"/>
          <w:szCs w:val="28"/>
        </w:rPr>
        <w:t>na trhu</w:t>
      </w:r>
      <w:r w:rsidR="00F8654C" w:rsidRPr="004B6CDE">
        <w:rPr>
          <w:rFonts w:eastAsia="Times New Roman"/>
          <w:color w:val="1F3864" w:themeColor="accent1" w:themeShade="80"/>
          <w:szCs w:val="28"/>
        </w:rPr>
        <w:t xml:space="preserve"> – Eurotel </w:t>
      </w:r>
      <w:r w:rsidR="00877FBE" w:rsidRPr="004B6CDE">
        <w:rPr>
          <w:rStyle w:val="Znakapoznpodarou"/>
          <w:color w:val="1F3864" w:themeColor="accent1" w:themeShade="80"/>
          <w:szCs w:val="28"/>
        </w:rPr>
        <w:footnoteReference w:id="40"/>
      </w:r>
    </w:p>
    <w:p w14:paraId="2CA25321" w14:textId="77777777" w:rsidR="0089544B" w:rsidRPr="00FC3B7C" w:rsidRDefault="0089544B" w:rsidP="0089544B">
      <w:pPr>
        <w:rPr>
          <w:sz w:val="20"/>
          <w:szCs w:val="20"/>
        </w:rPr>
      </w:pPr>
      <w:r w:rsidRPr="00FC3B7C">
        <w:rPr>
          <w:rFonts w:eastAsia="Times New Roman"/>
        </w:rPr>
        <w:t xml:space="preserve">V roce 2001 ÚOHS řešil jednání společnosti Eurotel a posoudil jej jako zneužívání jejího dominantní postavení. Firmě uložil dokonce pokutu ve výši 48 milionů Kč. Důvodem bylo to, že bez objektivně ospravedlnitelných důvodů účtovala svým zákazníkům za minutu volání do </w:t>
      </w:r>
      <w:r w:rsidRPr="0089544B">
        <w:rPr>
          <w:rFonts w:eastAsia="Times New Roman"/>
        </w:rPr>
        <w:t>sítě provozované společností</w:t>
      </w:r>
      <w:r w:rsidRPr="00FC3B7C">
        <w:rPr>
          <w:rFonts w:eastAsia="Times New Roman"/>
        </w:rPr>
        <w:t xml:space="preserve"> Český Mobil více, než za minutu volání do sítě provozované společností RadioMobil. Jednáním společnosti Eurotel vznikla újma nejen společnosti Český Mobil, ale i zákazníkům samotného Eurotelu. Pro úplnost je však třeba podotknout, že Ústavní soud pokutu z procesních důvodů zrušil.</w:t>
      </w:r>
    </w:p>
    <w:p w14:paraId="679A7C60" w14:textId="6909E9C3" w:rsidR="0089544B" w:rsidRDefault="0089544B" w:rsidP="0089544B"/>
    <w:p w14:paraId="3C59C804" w14:textId="52EA1778" w:rsidR="00873C2F" w:rsidRPr="004B6CDE" w:rsidRDefault="00873C2F" w:rsidP="0089544B">
      <w:pPr>
        <w:rPr>
          <w:rFonts w:eastAsia="Times New Roman" w:cstheme="majorBidi"/>
          <w:b/>
          <w:color w:val="1F3864" w:themeColor="accent1" w:themeShade="80"/>
          <w:sz w:val="28"/>
          <w:szCs w:val="28"/>
        </w:rPr>
      </w:pPr>
      <w:r w:rsidRPr="004B6CDE">
        <w:rPr>
          <w:rFonts w:eastAsia="Times New Roman" w:cstheme="majorBidi"/>
          <w:b/>
          <w:color w:val="1F3864" w:themeColor="accent1" w:themeShade="80"/>
          <w:sz w:val="28"/>
          <w:szCs w:val="28"/>
          <w:u w:val="single"/>
        </w:rPr>
        <w:t>Otázky na procvičení</w:t>
      </w:r>
      <w:r w:rsidRPr="004B6CDE">
        <w:rPr>
          <w:rFonts w:eastAsia="Times New Roman" w:cstheme="majorBidi"/>
          <w:b/>
          <w:color w:val="1F3864" w:themeColor="accent1" w:themeShade="80"/>
          <w:sz w:val="28"/>
          <w:szCs w:val="28"/>
        </w:rPr>
        <w:t>:</w:t>
      </w:r>
    </w:p>
    <w:p w14:paraId="34EE7345" w14:textId="77777777" w:rsidR="00873C2F" w:rsidRPr="004B6CDE" w:rsidRDefault="00873C2F" w:rsidP="00873C2F">
      <w:pPr>
        <w:jc w:val="left"/>
        <w:rPr>
          <w:rFonts w:eastAsia="Times New Roman"/>
        </w:rPr>
      </w:pPr>
      <w:r w:rsidRPr="004B6CDE">
        <w:rPr>
          <w:rFonts w:eastAsia="Times New Roman"/>
        </w:rPr>
        <w:t>1. Co je předmětem ochrany HS, jako součást HP státu?</w:t>
      </w:r>
      <w:r w:rsidRPr="004B6CDE">
        <w:rPr>
          <w:rFonts w:eastAsia="Times New Roman"/>
        </w:rPr>
        <w:br/>
        <w:t>2. Jak chápe konkurenci Rakouská škola?</w:t>
      </w:r>
      <w:r w:rsidRPr="004B6CDE">
        <w:rPr>
          <w:rFonts w:eastAsia="Times New Roman"/>
        </w:rPr>
        <w:br/>
        <w:t>3. Jaké jsou bariéry vstupu na trh? Uveďte příklady ekonomických a administrativních bariér?</w:t>
      </w:r>
      <w:r w:rsidRPr="004B6CDE">
        <w:rPr>
          <w:rFonts w:eastAsia="Times New Roman"/>
        </w:rPr>
        <w:br/>
        <w:t>4. Jaké má výhody a nevýhody monopol na trhu? Uveďte příklady jednotlivých typů monopolů.</w:t>
      </w:r>
      <w:r w:rsidRPr="004B6CDE">
        <w:rPr>
          <w:rFonts w:eastAsia="Times New Roman"/>
        </w:rPr>
        <w:br/>
        <w:t>5. Jaké znáte formy (dohody) omezující konkurenci? Uveďte příklady.</w:t>
      </w:r>
      <w:r w:rsidRPr="004B6CDE">
        <w:rPr>
          <w:rFonts w:eastAsia="Times New Roman"/>
        </w:rPr>
        <w:br/>
        <w:t>6. Jakými ukazateli měříme tržní konkurenci?</w:t>
      </w:r>
      <w:r w:rsidRPr="004B6CDE">
        <w:rPr>
          <w:rFonts w:eastAsia="Times New Roman"/>
        </w:rPr>
        <w:br/>
        <w:t>7. Charakterizujte právně-institucionální rámec ochrany HS v ČR.</w:t>
      </w:r>
      <w:r w:rsidRPr="004B6CDE">
        <w:rPr>
          <w:rFonts w:eastAsia="Times New Roman"/>
        </w:rPr>
        <w:br/>
        <w:t>8. Charakterizujte roli a postavení Úřadu na ochranu HS v ČR.</w:t>
      </w:r>
      <w:r w:rsidRPr="004B6CDE">
        <w:rPr>
          <w:rFonts w:eastAsia="Times New Roman"/>
        </w:rPr>
        <w:br/>
        <w:t>9. Jaké znáte formy nekalé soutěže omezující konkurenci?</w:t>
      </w:r>
      <w:r w:rsidRPr="004B6CDE">
        <w:rPr>
          <w:rFonts w:eastAsia="Times New Roman"/>
        </w:rPr>
        <w:br/>
        <w:t>10. Jaký je váš názor na ochranu duševního vlastnictví, a jak je tato ochrana zabezpečena v ČR a EU?</w:t>
      </w:r>
      <w:r w:rsidRPr="004B6CDE">
        <w:rPr>
          <w:rFonts w:eastAsia="Times New Roman"/>
        </w:rPr>
        <w:br/>
        <w:t>11. Proč Chicagská škola kritizuje antimonopolní politiku?</w:t>
      </w:r>
      <w:r w:rsidRPr="004B6CDE">
        <w:rPr>
          <w:rFonts w:eastAsia="Times New Roman"/>
        </w:rPr>
        <w:br/>
        <w:t>12. Uveďte příklady aplikace politiky ochrany HS (soudní judikáty) v ČR a ve světě.</w:t>
      </w:r>
    </w:p>
    <w:p w14:paraId="54386B80" w14:textId="77777777" w:rsidR="00873C2F" w:rsidRPr="00873C2F" w:rsidRDefault="00873C2F" w:rsidP="0089544B">
      <w:pPr>
        <w:rPr>
          <w:rFonts w:eastAsia="Times New Roman" w:cstheme="majorBidi"/>
          <w:b/>
          <w:color w:val="1F3864" w:themeColor="accent1" w:themeShade="80"/>
          <w:sz w:val="28"/>
          <w:szCs w:val="28"/>
        </w:rPr>
      </w:pPr>
    </w:p>
    <w:p w14:paraId="64B33E5C" w14:textId="4B6C2B5C" w:rsidR="0089544B" w:rsidRDefault="0089544B" w:rsidP="0089544B"/>
    <w:p w14:paraId="0FC83D65" w14:textId="0FE7FE6C" w:rsidR="0089544B" w:rsidRDefault="0089544B" w:rsidP="0089544B"/>
    <w:p w14:paraId="4A6F3D17" w14:textId="77777777" w:rsidR="008E0F74" w:rsidRPr="00FC3B7C" w:rsidRDefault="008E0F74">
      <w:pPr>
        <w:spacing w:line="20" w:lineRule="exact"/>
        <w:rPr>
          <w:sz w:val="20"/>
          <w:szCs w:val="20"/>
        </w:rPr>
      </w:pPr>
    </w:p>
    <w:p w14:paraId="4A6F3D18" w14:textId="77777777" w:rsidR="008E0F74" w:rsidRPr="00FC3B7C" w:rsidRDefault="00256F29">
      <w:pPr>
        <w:rPr>
          <w:sz w:val="20"/>
          <w:szCs w:val="20"/>
        </w:rPr>
      </w:pPr>
      <w:bookmarkStart w:id="232" w:name="page232"/>
      <w:bookmarkStart w:id="233" w:name="page233"/>
      <w:bookmarkEnd w:id="232"/>
      <w:bookmarkEnd w:id="233"/>
      <w:r w:rsidRPr="00FC3B7C">
        <w:rPr>
          <w:rFonts w:eastAsia="Times New Roman"/>
          <w:b/>
          <w:bCs/>
          <w:sz w:val="28"/>
          <w:szCs w:val="28"/>
        </w:rPr>
        <w:lastRenderedPageBreak/>
        <w:t>Zdroje:</w:t>
      </w:r>
    </w:p>
    <w:p w14:paraId="4A6F3D19" w14:textId="77777777" w:rsidR="008E0F74" w:rsidRPr="00FC3B7C" w:rsidRDefault="008E0F74">
      <w:pPr>
        <w:spacing w:line="294" w:lineRule="exact"/>
        <w:rPr>
          <w:sz w:val="20"/>
          <w:szCs w:val="20"/>
        </w:rPr>
      </w:pPr>
    </w:p>
    <w:p w14:paraId="4A6F3D1A" w14:textId="77777777" w:rsidR="008E0F74" w:rsidRPr="00FC3B7C" w:rsidRDefault="00256F29">
      <w:pPr>
        <w:ind w:left="280"/>
        <w:rPr>
          <w:sz w:val="20"/>
          <w:szCs w:val="20"/>
        </w:rPr>
      </w:pPr>
      <w:r w:rsidRPr="00FC3B7C">
        <w:rPr>
          <w:rFonts w:eastAsia="Times New Roman"/>
          <w:szCs w:val="24"/>
        </w:rPr>
        <w:t>HOLMAN, Robert. Ekonomie.Praha: C.H. Beck 3. vydání, 2005. 709 s.</w:t>
      </w:r>
    </w:p>
    <w:p w14:paraId="4A6F3D1B" w14:textId="77777777" w:rsidR="008E0F74" w:rsidRPr="00FC3B7C" w:rsidRDefault="008E0F74">
      <w:pPr>
        <w:spacing w:line="36" w:lineRule="exact"/>
        <w:rPr>
          <w:sz w:val="20"/>
          <w:szCs w:val="20"/>
        </w:rPr>
      </w:pPr>
    </w:p>
    <w:p w14:paraId="4A6F3D1C" w14:textId="77777777" w:rsidR="008E0F74" w:rsidRPr="00FC3B7C" w:rsidRDefault="00256F29">
      <w:pPr>
        <w:ind w:left="280"/>
        <w:rPr>
          <w:sz w:val="20"/>
          <w:szCs w:val="20"/>
        </w:rPr>
      </w:pPr>
      <w:r w:rsidRPr="00FC3B7C">
        <w:rPr>
          <w:rFonts w:eastAsia="Times New Roman"/>
          <w:szCs w:val="24"/>
        </w:rPr>
        <w:t>HOLMAN, R. a kol.: Dějiny ekonomického myšlení. 3. Vydání. Praha, C. H. Beck, 2005</w:t>
      </w:r>
    </w:p>
    <w:p w14:paraId="4A6F3D1D" w14:textId="77777777" w:rsidR="008E0F74" w:rsidRPr="00FC3B7C" w:rsidRDefault="00256F29">
      <w:pPr>
        <w:ind w:left="280"/>
        <w:rPr>
          <w:sz w:val="20"/>
          <w:szCs w:val="20"/>
        </w:rPr>
      </w:pPr>
      <w:r w:rsidRPr="00FC3B7C">
        <w:rPr>
          <w:rFonts w:eastAsia="Times New Roman"/>
          <w:szCs w:val="24"/>
        </w:rPr>
        <w:t xml:space="preserve">KLIKOVÁ, Christiana. </w:t>
      </w:r>
      <w:r w:rsidRPr="00FC3B7C">
        <w:rPr>
          <w:rFonts w:eastAsia="Times New Roman"/>
          <w:i/>
          <w:iCs/>
          <w:szCs w:val="24"/>
        </w:rPr>
        <w:t>Hospodářská politika</w:t>
      </w:r>
      <w:r w:rsidRPr="00FC3B7C">
        <w:rPr>
          <w:rFonts w:eastAsia="Times New Roman"/>
          <w:szCs w:val="24"/>
        </w:rPr>
        <w:t>. 3. vyd. Ostrava: Institut vzdělávání Sokrates, 2012, 293 s. ISBN 978-80-86572-76-5.</w:t>
      </w:r>
    </w:p>
    <w:p w14:paraId="4A6F3D1E" w14:textId="77777777" w:rsidR="008E0F74" w:rsidRPr="00FC3B7C" w:rsidRDefault="00256F29">
      <w:pPr>
        <w:ind w:left="280"/>
        <w:rPr>
          <w:sz w:val="20"/>
          <w:szCs w:val="20"/>
        </w:rPr>
      </w:pPr>
      <w:r w:rsidRPr="00FC3B7C">
        <w:rPr>
          <w:rFonts w:eastAsia="Times New Roman"/>
          <w:szCs w:val="24"/>
        </w:rPr>
        <w:t>VORLÍČEK, Jan a VOSTROVSKÁ, Zdena. Úvod do hospodářské a sociální politiky. Vyd.</w:t>
      </w:r>
    </w:p>
    <w:p w14:paraId="4A6F3D1F" w14:textId="77777777" w:rsidR="008E0F74" w:rsidRPr="00FC3B7C" w:rsidRDefault="00256F29">
      <w:pPr>
        <w:ind w:left="280"/>
        <w:rPr>
          <w:sz w:val="20"/>
          <w:szCs w:val="20"/>
        </w:rPr>
      </w:pPr>
      <w:r w:rsidRPr="00FC3B7C">
        <w:rPr>
          <w:rFonts w:eastAsia="Times New Roman"/>
          <w:szCs w:val="24"/>
        </w:rPr>
        <w:t>1. Praha: Oeconomica, 2005, 96 s. ISBN 80-245-0954-7.</w:t>
      </w:r>
    </w:p>
    <w:p w14:paraId="4A6F3D20" w14:textId="77777777" w:rsidR="008E0F74" w:rsidRPr="00FC3B7C" w:rsidRDefault="00256F29">
      <w:pPr>
        <w:ind w:left="280"/>
        <w:rPr>
          <w:sz w:val="20"/>
          <w:szCs w:val="20"/>
        </w:rPr>
      </w:pPr>
      <w:r w:rsidRPr="00FC3B7C">
        <w:rPr>
          <w:rFonts w:eastAsia="Times New Roman"/>
          <w:szCs w:val="24"/>
        </w:rPr>
        <w:t>ZEMPLINEROVÁ, Alena. Úvod do organizace odvětví a trhů. Praha: VŠE, 2008. 211 s.</w:t>
      </w:r>
    </w:p>
    <w:p w14:paraId="4A6F3D21" w14:textId="77777777" w:rsidR="008E0F74" w:rsidRPr="00FC3B7C" w:rsidRDefault="00256F29">
      <w:pPr>
        <w:ind w:left="280"/>
        <w:rPr>
          <w:sz w:val="20"/>
          <w:szCs w:val="20"/>
        </w:rPr>
      </w:pPr>
      <w:r w:rsidRPr="00FC3B7C">
        <w:rPr>
          <w:rFonts w:eastAsia="Times New Roman"/>
          <w:szCs w:val="24"/>
        </w:rPr>
        <w:t xml:space="preserve">Úřad průmyslového vlastnictví: </w:t>
      </w:r>
      <w:r w:rsidRPr="00FC3B7C">
        <w:rPr>
          <w:rFonts w:eastAsia="Times New Roman"/>
          <w:color w:val="0000FF"/>
          <w:szCs w:val="24"/>
          <w:u w:val="single"/>
        </w:rPr>
        <w:t>www.upv.cz</w:t>
      </w:r>
    </w:p>
    <w:p w14:paraId="4A6F3D22" w14:textId="77777777" w:rsidR="008E0F74" w:rsidRPr="00FC3B7C" w:rsidRDefault="00256F29">
      <w:pPr>
        <w:ind w:left="280"/>
        <w:rPr>
          <w:sz w:val="20"/>
          <w:szCs w:val="20"/>
        </w:rPr>
      </w:pPr>
      <w:r w:rsidRPr="00FC3B7C">
        <w:rPr>
          <w:rFonts w:eastAsia="Times New Roman"/>
          <w:szCs w:val="24"/>
        </w:rPr>
        <w:t>Úřad pro ochranu hospodářské soutěže: www.uohs.cz</w:t>
      </w:r>
    </w:p>
    <w:p w14:paraId="4A6F3D23" w14:textId="77777777" w:rsidR="008E0F74" w:rsidRPr="00FC3B7C" w:rsidRDefault="00256F29">
      <w:pPr>
        <w:ind w:left="280"/>
        <w:rPr>
          <w:sz w:val="20"/>
          <w:szCs w:val="20"/>
        </w:rPr>
      </w:pPr>
      <w:r w:rsidRPr="00FC3B7C">
        <w:rPr>
          <w:rFonts w:eastAsia="Times New Roman"/>
          <w:szCs w:val="24"/>
        </w:rPr>
        <w:t>Portál Euroskop.cz: &lt;</w:t>
      </w:r>
      <w:r w:rsidRPr="00FC3B7C">
        <w:rPr>
          <w:rFonts w:eastAsia="Times New Roman"/>
          <w:color w:val="0000FF"/>
          <w:szCs w:val="24"/>
          <w:u w:val="single"/>
        </w:rPr>
        <w:t>https://www.euroskop.cz/8927/sekce/hospodarska-soutez/</w:t>
      </w:r>
      <w:r w:rsidRPr="00FC3B7C">
        <w:rPr>
          <w:rFonts w:eastAsia="Times New Roman"/>
          <w:szCs w:val="24"/>
        </w:rPr>
        <w:t>&gt;</w:t>
      </w:r>
    </w:p>
    <w:p w14:paraId="4A6F3D24" w14:textId="77777777" w:rsidR="008E0F74" w:rsidRPr="00FC3B7C" w:rsidRDefault="00256F29" w:rsidP="00877FBE">
      <w:pPr>
        <w:tabs>
          <w:tab w:val="left" w:pos="1440"/>
          <w:tab w:val="left" w:pos="3400"/>
          <w:tab w:val="left" w:pos="4680"/>
          <w:tab w:val="left" w:pos="6300"/>
          <w:tab w:val="left" w:pos="7760"/>
          <w:tab w:val="left" w:pos="8480"/>
        </w:tabs>
        <w:ind w:left="280"/>
        <w:rPr>
          <w:sz w:val="20"/>
          <w:szCs w:val="20"/>
        </w:rPr>
      </w:pPr>
      <w:r w:rsidRPr="00FC3B7C">
        <w:rPr>
          <w:rFonts w:eastAsia="Times New Roman"/>
          <w:szCs w:val="24"/>
        </w:rPr>
        <w:t>Portál</w:t>
      </w:r>
      <w:r w:rsidR="00877FBE">
        <w:rPr>
          <w:sz w:val="20"/>
          <w:szCs w:val="20"/>
        </w:rPr>
        <w:t xml:space="preserve"> </w:t>
      </w:r>
      <w:r w:rsidRPr="00FC3B7C">
        <w:rPr>
          <w:rFonts w:eastAsia="Times New Roman"/>
          <w:szCs w:val="24"/>
        </w:rPr>
        <w:t>Podnikatel.cz,</w:t>
      </w:r>
      <w:r w:rsidR="00877FBE">
        <w:rPr>
          <w:sz w:val="20"/>
          <w:szCs w:val="20"/>
        </w:rPr>
        <w:t xml:space="preserve"> </w:t>
      </w:r>
      <w:r w:rsidRPr="00FC3B7C">
        <w:rPr>
          <w:rFonts w:eastAsia="Times New Roman"/>
          <w:szCs w:val="24"/>
        </w:rPr>
        <w:t>online,</w:t>
      </w:r>
      <w:r w:rsidR="00877FBE">
        <w:rPr>
          <w:sz w:val="20"/>
          <w:szCs w:val="20"/>
        </w:rPr>
        <w:t xml:space="preserve"> </w:t>
      </w:r>
      <w:r w:rsidRPr="00FC3B7C">
        <w:rPr>
          <w:rFonts w:eastAsia="Times New Roman"/>
          <w:szCs w:val="24"/>
        </w:rPr>
        <w:t>4.11.2013,</w:t>
      </w:r>
      <w:r w:rsidR="00877FBE">
        <w:rPr>
          <w:sz w:val="20"/>
          <w:szCs w:val="20"/>
        </w:rPr>
        <w:t xml:space="preserve"> </w:t>
      </w:r>
      <w:r w:rsidRPr="00FC3B7C">
        <w:rPr>
          <w:rFonts w:eastAsia="Times New Roman"/>
          <w:szCs w:val="24"/>
        </w:rPr>
        <w:t>dostupné</w:t>
      </w:r>
      <w:r w:rsidR="00877FBE">
        <w:rPr>
          <w:sz w:val="20"/>
          <w:szCs w:val="20"/>
        </w:rPr>
        <w:t xml:space="preserve"> </w:t>
      </w:r>
      <w:r w:rsidRPr="00FC3B7C">
        <w:rPr>
          <w:rFonts w:eastAsia="Times New Roman"/>
          <w:szCs w:val="24"/>
        </w:rPr>
        <w:t>z</w:t>
      </w:r>
      <w:r w:rsidR="00877FBE">
        <w:rPr>
          <w:sz w:val="20"/>
          <w:szCs w:val="20"/>
        </w:rPr>
        <w:t xml:space="preserve"> </w:t>
      </w:r>
      <w:r w:rsidRPr="00FC3B7C">
        <w:rPr>
          <w:rFonts w:eastAsia="Times New Roman"/>
          <w:sz w:val="23"/>
          <w:szCs w:val="23"/>
        </w:rPr>
        <w:t>www:</w:t>
      </w:r>
    </w:p>
    <w:p w14:paraId="4A6F3D25" w14:textId="77777777" w:rsidR="008E0F74" w:rsidRPr="00FC3B7C" w:rsidRDefault="00256F29">
      <w:pPr>
        <w:ind w:left="280"/>
        <w:rPr>
          <w:sz w:val="20"/>
          <w:szCs w:val="20"/>
        </w:rPr>
      </w:pPr>
      <w:r w:rsidRPr="00FC3B7C">
        <w:rPr>
          <w:rFonts w:eastAsia="Times New Roman"/>
          <w:szCs w:val="24"/>
        </w:rPr>
        <w:t>&lt;</w:t>
      </w:r>
      <w:r w:rsidRPr="00FC3B7C">
        <w:rPr>
          <w:rFonts w:eastAsia="Times New Roman"/>
          <w:color w:val="0000FF"/>
          <w:szCs w:val="24"/>
          <w:u w:val="single"/>
        </w:rPr>
        <w:t>http://www.podnikatel.cz/clanky/zneuzila-firma-student-agency-sveho-postaveni/</w:t>
      </w:r>
      <w:r w:rsidRPr="00FC3B7C">
        <w:rPr>
          <w:rFonts w:eastAsia="Times New Roman"/>
          <w:szCs w:val="24"/>
        </w:rPr>
        <w:t>&gt;</w:t>
      </w:r>
    </w:p>
    <w:p w14:paraId="4A6F3D26" w14:textId="77777777" w:rsidR="008E0F74" w:rsidRPr="00FC3B7C" w:rsidRDefault="00256F29" w:rsidP="00877FBE">
      <w:pPr>
        <w:tabs>
          <w:tab w:val="left" w:pos="1600"/>
          <w:tab w:val="left" w:pos="3060"/>
          <w:tab w:val="left" w:pos="4180"/>
          <w:tab w:val="left" w:pos="5640"/>
          <w:tab w:val="left" w:pos="7320"/>
          <w:tab w:val="left" w:pos="8840"/>
        </w:tabs>
        <w:ind w:left="280"/>
        <w:jc w:val="left"/>
        <w:rPr>
          <w:sz w:val="20"/>
          <w:szCs w:val="20"/>
        </w:rPr>
      </w:pPr>
      <w:r w:rsidRPr="00FC3B7C">
        <w:rPr>
          <w:rFonts w:eastAsia="Times New Roman"/>
          <w:szCs w:val="24"/>
        </w:rPr>
        <w:t>Infolist</w:t>
      </w:r>
      <w:r w:rsidR="00877FBE">
        <w:rPr>
          <w:sz w:val="20"/>
          <w:szCs w:val="20"/>
        </w:rPr>
        <w:t xml:space="preserve"> </w:t>
      </w:r>
      <w:r w:rsidRPr="00FC3B7C">
        <w:rPr>
          <w:rFonts w:eastAsia="Times New Roman"/>
          <w:szCs w:val="24"/>
        </w:rPr>
        <w:t>2005-01</w:t>
      </w:r>
      <w:r w:rsidR="00877FBE">
        <w:rPr>
          <w:sz w:val="20"/>
          <w:szCs w:val="20"/>
        </w:rPr>
        <w:t xml:space="preserve"> </w:t>
      </w:r>
      <w:r w:rsidRPr="00FC3B7C">
        <w:rPr>
          <w:rFonts w:eastAsia="Times New Roman"/>
          <w:szCs w:val="24"/>
        </w:rPr>
        <w:t>fúze,</w:t>
      </w:r>
      <w:r w:rsidR="00877FBE">
        <w:rPr>
          <w:sz w:val="20"/>
          <w:szCs w:val="20"/>
        </w:rPr>
        <w:t xml:space="preserve"> </w:t>
      </w:r>
      <w:r w:rsidRPr="00FC3B7C">
        <w:rPr>
          <w:rFonts w:eastAsia="Times New Roman"/>
          <w:szCs w:val="24"/>
        </w:rPr>
        <w:t>[online],4.11.2013,</w:t>
      </w:r>
      <w:r w:rsidR="00877FBE">
        <w:rPr>
          <w:sz w:val="20"/>
          <w:szCs w:val="20"/>
        </w:rPr>
        <w:t xml:space="preserve"> </w:t>
      </w:r>
      <w:r w:rsidRPr="00FC3B7C">
        <w:rPr>
          <w:rFonts w:eastAsia="Times New Roman"/>
          <w:szCs w:val="24"/>
        </w:rPr>
        <w:t>dostupné</w:t>
      </w:r>
      <w:r w:rsidR="00877FBE">
        <w:rPr>
          <w:rFonts w:eastAsia="Times New Roman"/>
          <w:szCs w:val="24"/>
        </w:rPr>
        <w:t xml:space="preserve"> </w:t>
      </w:r>
      <w:r w:rsidRPr="00FC3B7C">
        <w:rPr>
          <w:rFonts w:eastAsia="Times New Roman"/>
        </w:rPr>
        <w:t>z:</w:t>
      </w:r>
    </w:p>
    <w:p w14:paraId="4A6F3D27" w14:textId="77777777" w:rsidR="008E0F74" w:rsidRPr="00FC3B7C" w:rsidRDefault="00256F29">
      <w:pPr>
        <w:ind w:left="280"/>
        <w:rPr>
          <w:sz w:val="20"/>
          <w:szCs w:val="20"/>
        </w:rPr>
      </w:pPr>
      <w:r w:rsidRPr="00FC3B7C">
        <w:rPr>
          <w:rFonts w:eastAsia="Times New Roman"/>
          <w:color w:val="0000FF"/>
          <w:szCs w:val="24"/>
          <w:u w:val="single"/>
        </w:rPr>
        <w:t>https://www.google.cz/url?sa=t&amp;rct=j&amp;q=&amp;esrc=s&amp;source=web&amp;cd=4&amp;cad=rja&amp;ved=0</w:t>
      </w:r>
    </w:p>
    <w:p w14:paraId="4A6F3D28" w14:textId="77777777" w:rsidR="008E0F74" w:rsidRPr="00FC3B7C" w:rsidRDefault="00256F29">
      <w:pPr>
        <w:ind w:left="280"/>
        <w:rPr>
          <w:sz w:val="20"/>
          <w:szCs w:val="20"/>
        </w:rPr>
      </w:pPr>
      <w:r w:rsidRPr="00FC3B7C">
        <w:rPr>
          <w:rFonts w:eastAsia="Times New Roman"/>
          <w:color w:val="0000FF"/>
          <w:szCs w:val="24"/>
          <w:u w:val="single"/>
        </w:rPr>
        <w:t>CEEQFjAD&amp;url=http%3A%2F%2Fwww.uohs.cz%2Fdownload%2FInformacni_listy%2</w:t>
      </w:r>
    </w:p>
    <w:p w14:paraId="4A6F3D29" w14:textId="77777777" w:rsidR="008E0F74" w:rsidRPr="00FC3B7C" w:rsidRDefault="00256F29">
      <w:pPr>
        <w:ind w:left="280"/>
        <w:rPr>
          <w:sz w:val="20"/>
          <w:szCs w:val="20"/>
        </w:rPr>
      </w:pPr>
      <w:r w:rsidRPr="00FC3B7C">
        <w:rPr>
          <w:rFonts w:eastAsia="Times New Roman"/>
          <w:color w:val="0000FF"/>
          <w:szCs w:val="24"/>
          <w:u w:val="single"/>
        </w:rPr>
        <w:t>F2005%2FInfolist2005-</w:t>
      </w:r>
    </w:p>
    <w:p w14:paraId="4A6F3D2A" w14:textId="77777777" w:rsidR="008E0F74" w:rsidRPr="00FC3B7C" w:rsidRDefault="00256F29">
      <w:pPr>
        <w:ind w:left="280"/>
        <w:rPr>
          <w:sz w:val="20"/>
          <w:szCs w:val="20"/>
        </w:rPr>
      </w:pPr>
      <w:r w:rsidRPr="00FC3B7C">
        <w:rPr>
          <w:rFonts w:eastAsia="Times New Roman"/>
          <w:color w:val="0000FF"/>
          <w:szCs w:val="24"/>
          <w:u w:val="single"/>
        </w:rPr>
        <w:t>01fuze.pdf&amp;ei=sb53UrS8EsmN4ASNm4AY&amp;usg=AFQjCNHEV2-</w:t>
      </w:r>
    </w:p>
    <w:p w14:paraId="4A6F3D2B" w14:textId="77777777" w:rsidR="008E0F74" w:rsidRPr="00FC3B7C" w:rsidRDefault="00256F29">
      <w:pPr>
        <w:ind w:left="280"/>
        <w:rPr>
          <w:sz w:val="20"/>
          <w:szCs w:val="20"/>
        </w:rPr>
      </w:pPr>
      <w:r w:rsidRPr="00FC3B7C">
        <w:rPr>
          <w:rFonts w:eastAsia="Times New Roman"/>
          <w:color w:val="0000FF"/>
          <w:szCs w:val="24"/>
          <w:u w:val="single"/>
        </w:rPr>
        <w:t>Q0iEbKApvtYnQlR2AGWA8mg&amp;sig2=Q61nspFt5g6W4I9ImW4hRw&amp;bvm=bv.558194</w:t>
      </w:r>
    </w:p>
    <w:p w14:paraId="4A6F3D2C" w14:textId="77777777" w:rsidR="008E0F74" w:rsidRPr="00FC3B7C" w:rsidRDefault="00256F29">
      <w:pPr>
        <w:ind w:left="280"/>
        <w:rPr>
          <w:sz w:val="20"/>
          <w:szCs w:val="20"/>
        </w:rPr>
      </w:pPr>
      <w:r w:rsidRPr="00FC3B7C">
        <w:rPr>
          <w:rFonts w:eastAsia="Times New Roman"/>
          <w:color w:val="0000FF"/>
          <w:szCs w:val="24"/>
          <w:u w:val="single"/>
        </w:rPr>
        <w:t>44, d.bGE</w:t>
      </w:r>
    </w:p>
    <w:p w14:paraId="4A6F3D2D" w14:textId="77777777" w:rsidR="008E0F74" w:rsidRPr="00FC3B7C" w:rsidRDefault="008E0F74">
      <w:pPr>
        <w:sectPr w:rsidR="008E0F74" w:rsidRPr="00FC3B7C">
          <w:pgSz w:w="11900" w:h="16840"/>
          <w:pgMar w:top="1390" w:right="1400" w:bottom="1440" w:left="1420" w:header="0" w:footer="0" w:gutter="0"/>
          <w:cols w:space="708" w:equalWidth="0">
            <w:col w:w="9080"/>
          </w:cols>
        </w:sectPr>
      </w:pPr>
    </w:p>
    <w:p w14:paraId="4A6F3D2E" w14:textId="77777777" w:rsidR="008E0F74" w:rsidRPr="00AE6CBA" w:rsidRDefault="00256F29" w:rsidP="00AE6CBA">
      <w:pPr>
        <w:pStyle w:val="Nadpis1"/>
        <w:ind w:left="0" w:hanging="8"/>
        <w:rPr>
          <w:color w:val="1F3864" w:themeColor="accent1" w:themeShade="80"/>
          <w:sz w:val="20"/>
          <w:szCs w:val="20"/>
        </w:rPr>
      </w:pPr>
      <w:bookmarkStart w:id="234" w:name="page234"/>
      <w:bookmarkEnd w:id="234"/>
      <w:r w:rsidRPr="00AE6CBA">
        <w:rPr>
          <w:color w:val="1F3864" w:themeColor="accent1" w:themeShade="80"/>
          <w:sz w:val="20"/>
          <w:szCs w:val="20"/>
        </w:rPr>
        <w:lastRenderedPageBreak/>
        <w:tab/>
      </w:r>
      <w:bookmarkStart w:id="235" w:name="_Toc54254083"/>
      <w:r w:rsidRPr="00AE6CBA">
        <w:rPr>
          <w:color w:val="1F3864" w:themeColor="accent1" w:themeShade="80"/>
          <w:sz w:val="36"/>
          <w:szCs w:val="36"/>
        </w:rPr>
        <w:t>V</w:t>
      </w:r>
      <w:r w:rsidRPr="00AE6CBA">
        <w:rPr>
          <w:color w:val="1F3864" w:themeColor="accent1" w:themeShade="80"/>
        </w:rPr>
        <w:t>EŘEJNÝ</w:t>
      </w:r>
      <w:r w:rsidRPr="00AE6CBA">
        <w:rPr>
          <w:color w:val="1F3864" w:themeColor="accent1" w:themeShade="80"/>
          <w:sz w:val="36"/>
          <w:szCs w:val="36"/>
        </w:rPr>
        <w:t xml:space="preserve"> </w:t>
      </w:r>
      <w:r w:rsidRPr="00AE6CBA">
        <w:rPr>
          <w:color w:val="1F3864" w:themeColor="accent1" w:themeShade="80"/>
        </w:rPr>
        <w:t>SEKTOR</w:t>
      </w:r>
      <w:bookmarkEnd w:id="235"/>
    </w:p>
    <w:p w14:paraId="4A6F3D2F" w14:textId="77777777" w:rsidR="008E0F74" w:rsidRPr="00AE6CBA" w:rsidRDefault="00256F29" w:rsidP="00877FBE">
      <w:pPr>
        <w:pStyle w:val="Nadpis2"/>
        <w:rPr>
          <w:color w:val="1F3864" w:themeColor="accent1" w:themeShade="80"/>
          <w:sz w:val="20"/>
          <w:szCs w:val="20"/>
        </w:rPr>
      </w:pPr>
      <w:r w:rsidRPr="00AE6CBA">
        <w:rPr>
          <w:rFonts w:eastAsia="Times New Roman"/>
          <w:color w:val="1F3864" w:themeColor="accent1" w:themeShade="80"/>
        </w:rPr>
        <w:t>Vymezení veřejného sektoru</w:t>
      </w:r>
    </w:p>
    <w:p w14:paraId="4A6F3D30" w14:textId="77777777" w:rsidR="008E0F74" w:rsidRPr="00FC3B7C" w:rsidRDefault="00256F29" w:rsidP="00877FBE">
      <w:pPr>
        <w:rPr>
          <w:sz w:val="20"/>
          <w:szCs w:val="20"/>
        </w:rPr>
      </w:pPr>
      <w:r w:rsidRPr="00FC3B7C">
        <w:rPr>
          <w:rFonts w:eastAsia="Times New Roman"/>
        </w:rPr>
        <w:t xml:space="preserve">V ekonomice existují dva ekonomické sektory: </w:t>
      </w:r>
      <w:r w:rsidRPr="00FC3B7C">
        <w:rPr>
          <w:rFonts w:eastAsia="Times New Roman"/>
          <w:b/>
          <w:bCs/>
        </w:rPr>
        <w:t>veřejný</w:t>
      </w:r>
      <w:r w:rsidRPr="00FC3B7C">
        <w:rPr>
          <w:rFonts w:eastAsia="Times New Roman"/>
        </w:rPr>
        <w:t xml:space="preserve"> </w:t>
      </w:r>
      <w:r w:rsidRPr="00FC3B7C">
        <w:rPr>
          <w:rFonts w:eastAsia="Times New Roman"/>
          <w:b/>
          <w:bCs/>
        </w:rPr>
        <w:t>a soukromý</w:t>
      </w:r>
      <w:r w:rsidRPr="00FC3B7C">
        <w:rPr>
          <w:rFonts w:eastAsia="Times New Roman"/>
        </w:rPr>
        <w:t>. Vymezení veřejného sektoru je společenský problém, protože každá kultura má jinou představu, co by měl veřejný sektor obstarávat.</w:t>
      </w:r>
    </w:p>
    <w:p w14:paraId="4A6F3D31" w14:textId="77777777" w:rsidR="008E0F74" w:rsidRPr="00FC3B7C" w:rsidRDefault="00256F29" w:rsidP="00877FBE">
      <w:pPr>
        <w:rPr>
          <w:sz w:val="20"/>
          <w:szCs w:val="20"/>
        </w:rPr>
      </w:pPr>
      <w:r w:rsidRPr="00FC3B7C">
        <w:rPr>
          <w:rFonts w:eastAsia="Times New Roman"/>
        </w:rPr>
        <w:t>Veřejný sektor by měl vytvářet prostředí, v němž jsou lidé šťastni. Uplatňuje se tam, kde selhává trh.</w:t>
      </w:r>
    </w:p>
    <w:p w14:paraId="4A6F3D32" w14:textId="77777777" w:rsidR="008E0F74" w:rsidRPr="004B6CDE" w:rsidRDefault="00256F29" w:rsidP="00877FBE">
      <w:pPr>
        <w:rPr>
          <w:sz w:val="20"/>
          <w:szCs w:val="20"/>
        </w:rPr>
      </w:pPr>
      <w:r w:rsidRPr="00FC3B7C">
        <w:rPr>
          <w:rFonts w:eastAsia="Times New Roman"/>
        </w:rPr>
        <w:t xml:space="preserve">„Za veřejný sektor lze v optimálním případě považovat instituce poskytující společnosti takový druh služeb, které by bylo nevýhodné, nepraktické až nemožné poskytovat soukromými firmami či jednotlivci. Neexistuje zde totiž přímý vztah mezi uživatelem (plátcem) služby a jejím poskytovatelem. Veřejný sektor je proto financován zdaní a poplatků vybraných od domácností a firem. Jedná se například o obranu (armáda), bezpečnost (policie), zákonodárství, soudnictví, </w:t>
      </w:r>
      <w:r w:rsidRPr="004B6CDE">
        <w:rPr>
          <w:rFonts w:eastAsia="Times New Roman"/>
        </w:rPr>
        <w:t>dohled nad hospodářskou soutěží, správu nezbytné infrastruktury, veřejné osvětlení, poskytování základního stupně vzdělání…“</w:t>
      </w:r>
      <w:r w:rsidR="00877FBE" w:rsidRPr="004B6CDE">
        <w:rPr>
          <w:rStyle w:val="Znakapoznpodarou"/>
          <w:rFonts w:eastAsia="Times New Roman"/>
          <w:sz w:val="33"/>
          <w:szCs w:val="33"/>
        </w:rPr>
        <w:footnoteReference w:id="41"/>
      </w:r>
    </w:p>
    <w:p w14:paraId="4A6F3D33" w14:textId="28901F09" w:rsidR="008E0F74" w:rsidRPr="004B6CDE" w:rsidRDefault="00E16157" w:rsidP="001A0DD2">
      <w:pPr>
        <w:rPr>
          <w:i/>
          <w:iCs/>
        </w:rPr>
      </w:pPr>
      <w:r w:rsidRPr="004B6CDE">
        <w:rPr>
          <w:i/>
          <w:iCs/>
        </w:rPr>
        <w:t xml:space="preserve">Ve VS pracuje přibližně </w:t>
      </w:r>
      <w:r w:rsidRPr="004B6CDE">
        <w:rPr>
          <w:b/>
          <w:bCs/>
          <w:i/>
          <w:iCs/>
        </w:rPr>
        <w:t xml:space="preserve">430 tis. </w:t>
      </w:r>
      <w:r w:rsidR="001A0DD2" w:rsidRPr="004B6CDE">
        <w:rPr>
          <w:b/>
          <w:bCs/>
          <w:i/>
          <w:iCs/>
        </w:rPr>
        <w:t>l</w:t>
      </w:r>
      <w:r w:rsidRPr="004B6CDE">
        <w:rPr>
          <w:b/>
          <w:bCs/>
          <w:i/>
          <w:iCs/>
        </w:rPr>
        <w:t>idí</w:t>
      </w:r>
      <w:r w:rsidR="001A0DD2" w:rsidRPr="004B6CDE">
        <w:rPr>
          <w:i/>
          <w:iCs/>
        </w:rPr>
        <w:t xml:space="preserve"> (každý </w:t>
      </w:r>
      <w:r w:rsidR="001A0DD2" w:rsidRPr="004B6CDE">
        <w:rPr>
          <w:i/>
          <w:iCs/>
          <w:u w:val="single"/>
        </w:rPr>
        <w:t>pátý</w:t>
      </w:r>
      <w:r w:rsidR="001A0DD2" w:rsidRPr="004B6CDE">
        <w:rPr>
          <w:i/>
          <w:iCs/>
        </w:rPr>
        <w:t xml:space="preserve"> zaměstnanec pracuje ve VS)</w:t>
      </w:r>
    </w:p>
    <w:p w14:paraId="4A6F3D34" w14:textId="77777777" w:rsidR="008E0F74" w:rsidRPr="00AE6CBA" w:rsidRDefault="00256F29" w:rsidP="00877FBE">
      <w:pPr>
        <w:pStyle w:val="Nadpis2"/>
        <w:rPr>
          <w:color w:val="1F3864" w:themeColor="accent1" w:themeShade="80"/>
          <w:sz w:val="20"/>
          <w:szCs w:val="20"/>
        </w:rPr>
      </w:pPr>
      <w:r w:rsidRPr="00AE6CBA">
        <w:rPr>
          <w:color w:val="1F3864" w:themeColor="accent1" w:themeShade="80"/>
          <w:sz w:val="20"/>
          <w:szCs w:val="20"/>
        </w:rPr>
        <w:tab/>
      </w:r>
      <w:r w:rsidRPr="00AE6CBA">
        <w:rPr>
          <w:rFonts w:eastAsia="Times New Roman"/>
          <w:color w:val="1F3864" w:themeColor="accent1" w:themeShade="80"/>
        </w:rPr>
        <w:t>Tržní selhání</w:t>
      </w:r>
    </w:p>
    <w:p w14:paraId="4A6F3D35" w14:textId="70F7C157" w:rsidR="008E0F74" w:rsidRPr="00AE6CBA" w:rsidRDefault="00AE6CBA" w:rsidP="00877FBE">
      <w:pPr>
        <w:pStyle w:val="Nadpis3"/>
        <w:rPr>
          <w:color w:val="1F3864" w:themeColor="accent1" w:themeShade="80"/>
          <w:sz w:val="20"/>
          <w:szCs w:val="20"/>
        </w:rPr>
      </w:pPr>
      <w:r>
        <w:rPr>
          <w:rFonts w:eastAsia="Times New Roman"/>
          <w:color w:val="1F3864" w:themeColor="accent1" w:themeShade="80"/>
        </w:rPr>
        <w:t xml:space="preserve"> </w:t>
      </w:r>
      <w:r w:rsidR="00256F29" w:rsidRPr="00AE6CBA">
        <w:rPr>
          <w:rFonts w:eastAsia="Times New Roman"/>
          <w:color w:val="1F3864" w:themeColor="accent1" w:themeShade="80"/>
        </w:rPr>
        <w:t>Selhání</w:t>
      </w:r>
      <w:r w:rsidR="00877FBE" w:rsidRPr="00AE6CBA">
        <w:rPr>
          <w:rFonts w:eastAsia="Times New Roman"/>
          <w:color w:val="1F3864" w:themeColor="accent1" w:themeShade="80"/>
        </w:rPr>
        <w:t xml:space="preserve"> </w:t>
      </w:r>
      <w:r w:rsidR="00256F29" w:rsidRPr="00AE6CBA">
        <w:rPr>
          <w:rFonts w:eastAsia="Times New Roman"/>
          <w:color w:val="1F3864" w:themeColor="accent1" w:themeShade="80"/>
        </w:rPr>
        <w:t>konkurence</w:t>
      </w:r>
    </w:p>
    <w:p w14:paraId="4A6F3D36" w14:textId="77777777" w:rsidR="008E0F74" w:rsidRPr="00FC3B7C" w:rsidRDefault="008E0F74">
      <w:pPr>
        <w:spacing w:line="172" w:lineRule="exact"/>
        <w:rPr>
          <w:sz w:val="20"/>
          <w:szCs w:val="20"/>
        </w:rPr>
      </w:pPr>
    </w:p>
    <w:p w14:paraId="4A6F3D37" w14:textId="77777777" w:rsidR="008E0F74" w:rsidRPr="00FC3B7C" w:rsidRDefault="00256F29" w:rsidP="00877FBE">
      <w:pPr>
        <w:rPr>
          <w:sz w:val="20"/>
          <w:szCs w:val="20"/>
        </w:rPr>
      </w:pPr>
      <w:r w:rsidRPr="00FC3B7C">
        <w:rPr>
          <w:rFonts w:eastAsia="Times New Roman"/>
        </w:rPr>
        <w:t>Konkurence je nezbytnou podmínkou pro fungování neviditelné ruky trhu. Pokud existuje velký počet potencionálních konkurentů, nemohou firmy zavedené na trhu zvyšovat cenu nad její konkurenční úroveň nemohou se chovat monopolně), protože bytím poskytly důvod ke vstupu na trh pro potencionální konkurenty a cena by se vrátila zpět na konkurenční úroveň. Nedokonalou konkurenci utváří přirozené a umělé překážky vstupu na trh. Vznik monopolu může mít několik příčin: výlučná kontrola významných zdrojů, úspory z rozsahu (přirozený monopol), patenty, vládní licence nebo koncese (administrativní monopol), smluvní monopol (koluze– kartel), vysoké náklady vstupu do odvětví.</w:t>
      </w:r>
      <w:r w:rsidR="00877FBE">
        <w:rPr>
          <w:rFonts w:eastAsia="Times New Roman"/>
        </w:rPr>
        <w:t xml:space="preserve"> </w:t>
      </w:r>
      <w:r w:rsidRPr="00FC3B7C">
        <w:rPr>
          <w:rFonts w:eastAsia="Times New Roman"/>
          <w:szCs w:val="24"/>
        </w:rPr>
        <w:t>Dosáhne-li firma monopolu v důsledku využívání výnosů z rozsahu, jedná se o přirozený monopol. Náklady na jednotku výroby při zvyšování výroby klesají, takže malé firmy mají mnohem vyšší náklady než firmy zavedené.</w:t>
      </w:r>
    </w:p>
    <w:p w14:paraId="4A6F3D39" w14:textId="73D3FFC4" w:rsidR="008E0F74" w:rsidRPr="00FC3B7C" w:rsidRDefault="00AE6CBA" w:rsidP="00877FBE">
      <w:pPr>
        <w:pStyle w:val="Nadpis3"/>
        <w:rPr>
          <w:sz w:val="20"/>
          <w:szCs w:val="20"/>
        </w:rPr>
      </w:pPr>
      <w:bookmarkStart w:id="236" w:name="page235"/>
      <w:bookmarkEnd w:id="236"/>
      <w:r>
        <w:rPr>
          <w:rFonts w:eastAsia="Times New Roman"/>
        </w:rPr>
        <w:lastRenderedPageBreak/>
        <w:t xml:space="preserve"> </w:t>
      </w:r>
      <w:r w:rsidR="00256F29" w:rsidRPr="00AE6CBA">
        <w:rPr>
          <w:rFonts w:eastAsia="Times New Roman"/>
          <w:color w:val="1F3864" w:themeColor="accent1" w:themeShade="80"/>
        </w:rPr>
        <w:t>Veřejné</w:t>
      </w:r>
      <w:r w:rsidR="00877FBE" w:rsidRPr="00AE6CBA">
        <w:rPr>
          <w:rFonts w:eastAsia="Times New Roman"/>
          <w:color w:val="1F3864" w:themeColor="accent1" w:themeShade="80"/>
        </w:rPr>
        <w:t xml:space="preserve"> </w:t>
      </w:r>
      <w:r w:rsidR="00256F29" w:rsidRPr="00AE6CBA">
        <w:rPr>
          <w:rFonts w:eastAsia="Times New Roman"/>
          <w:color w:val="1F3864" w:themeColor="accent1" w:themeShade="80"/>
        </w:rPr>
        <w:t>statky</w:t>
      </w:r>
    </w:p>
    <w:p w14:paraId="4A6F3D3A" w14:textId="0FE0F1CF" w:rsidR="008E0F74" w:rsidRPr="00FC3B7C" w:rsidRDefault="00256F29" w:rsidP="00877FBE">
      <w:pPr>
        <w:rPr>
          <w:sz w:val="20"/>
          <w:szCs w:val="20"/>
        </w:rPr>
      </w:pPr>
      <w:r w:rsidRPr="00FC3B7C">
        <w:rPr>
          <w:rFonts w:eastAsia="Times New Roman"/>
        </w:rPr>
        <w:t>V ekonomii existují statky, které nejsou za</w:t>
      </w:r>
      <w:r w:rsidR="003562E9">
        <w:rPr>
          <w:rFonts w:eastAsia="Times New Roman"/>
        </w:rPr>
        <w:t xml:space="preserve">bezpečovány tržním mechanismem, </w:t>
      </w:r>
      <w:r w:rsidRPr="00FC3B7C">
        <w:rPr>
          <w:rFonts w:eastAsia="Times New Roman"/>
        </w:rPr>
        <w:t xml:space="preserve">např. národní obrana. Takové statky nebo služby nazýváme </w:t>
      </w:r>
      <w:r w:rsidRPr="00FC3B7C">
        <w:rPr>
          <w:rFonts w:eastAsia="Times New Roman"/>
          <w:b/>
          <w:bCs/>
        </w:rPr>
        <w:t>čistě</w:t>
      </w:r>
      <w:r w:rsidRPr="00FC3B7C">
        <w:rPr>
          <w:rFonts w:eastAsia="Times New Roman"/>
        </w:rPr>
        <w:t xml:space="preserve"> </w:t>
      </w:r>
      <w:r w:rsidRPr="00FC3B7C">
        <w:rPr>
          <w:rFonts w:eastAsia="Times New Roman"/>
          <w:b/>
          <w:bCs/>
        </w:rPr>
        <w:t>veřejné statky</w:t>
      </w:r>
      <w:r w:rsidRPr="00FC3B7C">
        <w:rPr>
          <w:rFonts w:eastAsia="Times New Roman"/>
        </w:rPr>
        <w:t xml:space="preserve">. Charakterizuje je </w:t>
      </w:r>
      <w:r w:rsidRPr="004E23ED">
        <w:rPr>
          <w:rFonts w:eastAsia="Times New Roman"/>
          <w:b/>
          <w:bCs/>
        </w:rPr>
        <w:t xml:space="preserve">nerivalita </w:t>
      </w:r>
      <w:r w:rsidRPr="004E23ED">
        <w:rPr>
          <w:rFonts w:eastAsia="Times New Roman"/>
        </w:rPr>
        <w:t>a</w:t>
      </w:r>
      <w:r w:rsidRPr="004E23ED">
        <w:rPr>
          <w:rFonts w:eastAsia="Times New Roman"/>
          <w:b/>
          <w:bCs/>
        </w:rPr>
        <w:t xml:space="preserve"> nevylučitelnost</w:t>
      </w:r>
      <w:r w:rsidRPr="00FC3B7C">
        <w:rPr>
          <w:rFonts w:eastAsia="Times New Roman"/>
          <w:i/>
          <w:iCs/>
        </w:rPr>
        <w:t xml:space="preserve"> </w:t>
      </w:r>
      <w:r w:rsidRPr="00FC3B7C">
        <w:rPr>
          <w:rFonts w:eastAsia="Times New Roman"/>
        </w:rPr>
        <w:t>ze spotřeby. Náklady veřejných statků</w:t>
      </w:r>
      <w:r w:rsidRPr="00FC3B7C">
        <w:rPr>
          <w:rFonts w:eastAsia="Times New Roman"/>
          <w:i/>
          <w:iCs/>
        </w:rPr>
        <w:t xml:space="preserve"> </w:t>
      </w:r>
      <w:r w:rsidRPr="00FC3B7C">
        <w:rPr>
          <w:rFonts w:eastAsia="Times New Roman"/>
        </w:rPr>
        <w:t>jsou nezávislé na počtu</w:t>
      </w:r>
      <w:r w:rsidRPr="00FC3B7C">
        <w:rPr>
          <w:rFonts w:eastAsia="Times New Roman"/>
          <w:i/>
          <w:iCs/>
        </w:rPr>
        <w:t xml:space="preserve"> </w:t>
      </w:r>
      <w:r w:rsidRPr="00FC3B7C">
        <w:rPr>
          <w:rFonts w:eastAsia="Times New Roman"/>
        </w:rPr>
        <w:t xml:space="preserve">spotřebitelů a z jejich využívání nemůže být vyloučen spotřebitel, který za něj nezaplatí (teoreticky ano, ale prakticky by to bylo natolik nákladné, že by se to nevyplatilo). Tím vzniká tzv. </w:t>
      </w:r>
      <w:r w:rsidRPr="004E23ED">
        <w:rPr>
          <w:rFonts w:eastAsia="Times New Roman"/>
          <w:b/>
          <w:bCs/>
        </w:rPr>
        <w:t>problém černého pasažéra</w:t>
      </w:r>
      <w:r w:rsidRPr="00FC3B7C">
        <w:rPr>
          <w:rFonts w:eastAsia="Times New Roman"/>
        </w:rPr>
        <w:t xml:space="preserve"> (freerider problem).</w:t>
      </w:r>
    </w:p>
    <w:p w14:paraId="4A6F3D3B" w14:textId="77777777" w:rsidR="008E0F74" w:rsidRPr="00FC3B7C" w:rsidRDefault="008E0F74">
      <w:pPr>
        <w:spacing w:line="122" w:lineRule="exact"/>
        <w:rPr>
          <w:sz w:val="20"/>
          <w:szCs w:val="20"/>
        </w:rPr>
      </w:pPr>
    </w:p>
    <w:p w14:paraId="4A6F3D3C" w14:textId="77777777" w:rsidR="00877FBE" w:rsidRDefault="00256F29" w:rsidP="00877FBE">
      <w:pPr>
        <w:rPr>
          <w:rFonts w:eastAsia="Times New Roman"/>
        </w:rPr>
      </w:pPr>
      <w:r w:rsidRPr="00FC3B7C">
        <w:rPr>
          <w:rFonts w:eastAsia="Times New Roman"/>
        </w:rPr>
        <w:t xml:space="preserve">Veřejný sektor financuje veřejné statky z daní. Veřejný statek může ale produkovat </w:t>
      </w:r>
    </w:p>
    <w:p w14:paraId="4A6F3D3D" w14:textId="77777777" w:rsidR="008E0F74" w:rsidRPr="00FC3B7C" w:rsidRDefault="00256F29" w:rsidP="00FF0837">
      <w:pPr>
        <w:spacing w:after="240"/>
        <w:rPr>
          <w:sz w:val="20"/>
          <w:szCs w:val="20"/>
        </w:rPr>
      </w:pPr>
      <w:r w:rsidRPr="00FC3B7C">
        <w:rPr>
          <w:rFonts w:eastAsia="Times New Roman"/>
        </w:rPr>
        <w:t>i soukromý sektor, např. soukromé televizní nebo rozhlasové vysílání.</w:t>
      </w:r>
    </w:p>
    <w:p w14:paraId="4A6F3D3F" w14:textId="2707E556" w:rsidR="008E0F74" w:rsidRPr="00AE6CBA" w:rsidRDefault="00AE6CBA" w:rsidP="00877FBE">
      <w:pPr>
        <w:pStyle w:val="Nadpis3"/>
        <w:rPr>
          <w:color w:val="1F3864" w:themeColor="accent1" w:themeShade="80"/>
          <w:sz w:val="20"/>
          <w:szCs w:val="20"/>
        </w:rPr>
      </w:pPr>
      <w:r>
        <w:rPr>
          <w:rFonts w:eastAsia="Times New Roman"/>
          <w:color w:val="1F3864" w:themeColor="accent1" w:themeShade="80"/>
        </w:rPr>
        <w:t xml:space="preserve"> </w:t>
      </w:r>
      <w:r w:rsidR="00256F29" w:rsidRPr="00AE6CBA">
        <w:rPr>
          <w:rFonts w:eastAsia="Times New Roman"/>
          <w:color w:val="1F3864" w:themeColor="accent1" w:themeShade="80"/>
        </w:rPr>
        <w:t>Externality</w:t>
      </w:r>
    </w:p>
    <w:p w14:paraId="4A6F3D40" w14:textId="77777777" w:rsidR="008E0F74" w:rsidRPr="00FC3B7C" w:rsidRDefault="00256F29" w:rsidP="00877FBE">
      <w:pPr>
        <w:rPr>
          <w:sz w:val="20"/>
          <w:szCs w:val="20"/>
        </w:rPr>
      </w:pPr>
      <w:r w:rsidRPr="00FC3B7C">
        <w:rPr>
          <w:rFonts w:eastAsia="Times New Roman"/>
        </w:rPr>
        <w:t xml:space="preserve">Externalitou nazýváme situaci, kdy nějaký subjekt provádí činnost, která není v rozporu </w:t>
      </w:r>
      <w:r w:rsidR="00877FBE">
        <w:rPr>
          <w:rFonts w:eastAsia="Times New Roman"/>
        </w:rPr>
        <w:br/>
      </w:r>
      <w:r w:rsidRPr="00FC3B7C">
        <w:rPr>
          <w:rFonts w:eastAsia="Times New Roman"/>
        </w:rPr>
        <w:t xml:space="preserve">s vlastnickým právem, a přitom nenese veškeré důsledky. V případě </w:t>
      </w:r>
      <w:r w:rsidRPr="00B4055B">
        <w:rPr>
          <w:rFonts w:eastAsia="Times New Roman"/>
          <w:b/>
          <w:bCs/>
        </w:rPr>
        <w:t>negativní</w:t>
      </w:r>
      <w:r w:rsidRPr="00FC3B7C">
        <w:rPr>
          <w:rFonts w:eastAsia="Times New Roman"/>
        </w:rPr>
        <w:t xml:space="preserve"> externality nedopadají na producenta externality veškeré náklady a v případě </w:t>
      </w:r>
      <w:r w:rsidRPr="00B4055B">
        <w:rPr>
          <w:rFonts w:eastAsia="Times New Roman"/>
          <w:b/>
          <w:bCs/>
        </w:rPr>
        <w:t>pozitivní</w:t>
      </w:r>
      <w:r w:rsidRPr="00FC3B7C">
        <w:rPr>
          <w:rFonts w:eastAsia="Times New Roman"/>
        </w:rPr>
        <w:t xml:space="preserve"> externality nezískává všechny výnosy. Dochází k nezamýšlenému dopadu na užitek nebo produkční funkci spotřebitele či firmy.</w:t>
      </w:r>
    </w:p>
    <w:p w14:paraId="4A6F3D41" w14:textId="77777777" w:rsidR="008E0F74" w:rsidRPr="00FC3B7C" w:rsidRDefault="008E0F74">
      <w:pPr>
        <w:spacing w:line="1" w:lineRule="exact"/>
        <w:rPr>
          <w:sz w:val="20"/>
          <w:szCs w:val="20"/>
        </w:rPr>
      </w:pPr>
    </w:p>
    <w:p w14:paraId="4A6F3D42" w14:textId="77777777" w:rsidR="008E0F74" w:rsidRPr="00FC3B7C" w:rsidRDefault="00256F29" w:rsidP="00877FBE">
      <w:pPr>
        <w:rPr>
          <w:sz w:val="20"/>
          <w:szCs w:val="20"/>
        </w:rPr>
      </w:pPr>
      <w:r w:rsidRPr="00FC3B7C">
        <w:rPr>
          <w:rFonts w:eastAsia="Times New Roman"/>
        </w:rPr>
        <w:t>Existence externalit vede k nepareto-optimální alokaci volných zdrojů. Při negativní externalitě bude docházet k vyšší produkci, než by bylo efektivní kvůli podhodnoceným nákladům. Naopak při pozitivní externalitě bude produkováno nižší než efektivní množství, protože nedojde k plné kompenzaci.</w:t>
      </w:r>
    </w:p>
    <w:p w14:paraId="4A6F3D43" w14:textId="77777777" w:rsidR="008E0F74" w:rsidRPr="00FC3B7C" w:rsidRDefault="00256F29" w:rsidP="00FF0837">
      <w:pPr>
        <w:spacing w:after="240"/>
        <w:rPr>
          <w:sz w:val="20"/>
          <w:szCs w:val="20"/>
        </w:rPr>
      </w:pPr>
      <w:r w:rsidRPr="00FC3B7C">
        <w:rPr>
          <w:rFonts w:eastAsia="Times New Roman"/>
        </w:rPr>
        <w:t xml:space="preserve">Externality se řeší ex post pomocí </w:t>
      </w:r>
      <w:r w:rsidRPr="00FC3B7C">
        <w:rPr>
          <w:rFonts w:eastAsia="Times New Roman"/>
          <w:b/>
          <w:bCs/>
        </w:rPr>
        <w:t>Piguovských daní</w:t>
      </w:r>
      <w:r w:rsidRPr="00FC3B7C">
        <w:rPr>
          <w:rFonts w:eastAsia="Times New Roman"/>
        </w:rPr>
        <w:t xml:space="preserve"> (negativní externality) </w:t>
      </w:r>
      <w:r w:rsidRPr="00FC3B7C">
        <w:rPr>
          <w:rFonts w:eastAsia="Times New Roman"/>
          <w:b/>
          <w:bCs/>
        </w:rPr>
        <w:t>a dotací</w:t>
      </w:r>
      <w:r w:rsidRPr="00FC3B7C">
        <w:rPr>
          <w:rFonts w:eastAsia="Times New Roman"/>
        </w:rPr>
        <w:t xml:space="preserve"> (pozitivní externality). Ex ante je možné jim zamezit pomocí </w:t>
      </w:r>
      <w:r w:rsidRPr="00FC3B7C">
        <w:rPr>
          <w:rFonts w:eastAsia="Times New Roman"/>
          <w:b/>
          <w:bCs/>
        </w:rPr>
        <w:t>Coasova teorému</w:t>
      </w:r>
      <w:r w:rsidRPr="00FC3B7C">
        <w:rPr>
          <w:rFonts w:eastAsia="Times New Roman"/>
        </w:rPr>
        <w:t xml:space="preserve"> (internalizací externalit), jsou-li transakční náklady na vyjednávání nulové (nízké).</w:t>
      </w:r>
    </w:p>
    <w:p w14:paraId="4A6F3D45" w14:textId="19EBFA07" w:rsidR="008E0F74" w:rsidRPr="00B4055B" w:rsidRDefault="00256F29" w:rsidP="00270319">
      <w:pPr>
        <w:pStyle w:val="Nadpis3"/>
        <w:rPr>
          <w:sz w:val="20"/>
          <w:szCs w:val="20"/>
        </w:rPr>
      </w:pPr>
      <w:r w:rsidRPr="00FC3B7C">
        <w:rPr>
          <w:rFonts w:eastAsia="Times New Roman"/>
        </w:rPr>
        <w:t xml:space="preserve"> </w:t>
      </w:r>
      <w:r w:rsidR="00B4055B" w:rsidRPr="00AE6CBA">
        <w:rPr>
          <w:rFonts w:eastAsia="Times New Roman"/>
          <w:color w:val="1F3864" w:themeColor="accent1" w:themeShade="80"/>
        </w:rPr>
        <w:t>Nedostatek informací a jejich asymetrie</w:t>
      </w:r>
    </w:p>
    <w:p w14:paraId="4A6F3D46" w14:textId="77777777" w:rsidR="008E0F74" w:rsidRPr="00FC3B7C" w:rsidRDefault="00256F29" w:rsidP="003B47BD">
      <w:pPr>
        <w:rPr>
          <w:sz w:val="20"/>
          <w:szCs w:val="20"/>
        </w:rPr>
      </w:pPr>
      <w:r w:rsidRPr="00FC3B7C">
        <w:rPr>
          <w:rFonts w:eastAsia="Times New Roman"/>
        </w:rPr>
        <w:t>Informace jsou v řadě ohledů veřejným statkem. Efektivní alokace vyžaduje, aby se</w:t>
      </w:r>
    </w:p>
    <w:p w14:paraId="4A6F3D47" w14:textId="77777777" w:rsidR="008E0F74" w:rsidRPr="00FC3B7C" w:rsidRDefault="00256F29" w:rsidP="003B47BD">
      <w:pPr>
        <w:rPr>
          <w:sz w:val="20"/>
          <w:szCs w:val="20"/>
        </w:rPr>
      </w:pPr>
      <w:r w:rsidRPr="00FC3B7C">
        <w:rPr>
          <w:rFonts w:eastAsia="Times New Roman"/>
        </w:rPr>
        <w:t>Informace šířily bezplatně, anebo jen za cenu jejich předávání. Soukromé trhy často poskytují pouze omezené informace (např. bez vládního nařízení by popis výrobku obsahoval jen některé informace).</w:t>
      </w:r>
    </w:p>
    <w:p w14:paraId="27A47B52" w14:textId="77777777" w:rsidR="00B4055B" w:rsidRPr="00FC3B7C" w:rsidRDefault="00B4055B" w:rsidP="00B4055B">
      <w:pPr>
        <w:rPr>
          <w:sz w:val="20"/>
          <w:szCs w:val="20"/>
        </w:rPr>
      </w:pPr>
      <w:r w:rsidRPr="00FC3B7C">
        <w:rPr>
          <w:rFonts w:eastAsia="Times New Roman"/>
        </w:rPr>
        <w:t xml:space="preserve">Při asymetrických informacích má jedna strana trhu více relevantních informací než druhá. Na základě asymetrických informací dochází k </w:t>
      </w:r>
      <w:r w:rsidRPr="00B4055B">
        <w:rPr>
          <w:rFonts w:eastAsia="Times New Roman"/>
          <w:b/>
          <w:bCs/>
        </w:rPr>
        <w:t>problému pána a správce</w:t>
      </w:r>
      <w:r w:rsidRPr="00FC3B7C">
        <w:rPr>
          <w:rFonts w:eastAsia="Times New Roman"/>
        </w:rPr>
        <w:t xml:space="preserve"> (principal-agent problem) a morálnímu hazardu.</w:t>
      </w:r>
    </w:p>
    <w:p w14:paraId="6C1BC716" w14:textId="77777777" w:rsidR="00B4055B" w:rsidRPr="00B4055B" w:rsidRDefault="00B4055B" w:rsidP="00B4055B">
      <w:pPr>
        <w:spacing w:after="240"/>
        <w:rPr>
          <w:i/>
          <w:iCs/>
          <w:sz w:val="20"/>
          <w:szCs w:val="20"/>
        </w:rPr>
      </w:pPr>
      <w:r w:rsidRPr="00B4055B">
        <w:rPr>
          <w:rFonts w:eastAsia="Times New Roman"/>
          <w:i/>
          <w:iCs/>
        </w:rPr>
        <w:lastRenderedPageBreak/>
        <w:t>Odpůrci namítají, že povinné informování spotřebitelů není nutné, protože sama konkurence nutí firmy informace poskytovat. Spotřebitelům informace často nic nepřinesou a pouze dochází ke zvyšování nákladů firem a vlády, která musí dodržování kontrolovat.</w:t>
      </w:r>
    </w:p>
    <w:p w14:paraId="4A6F3D53" w14:textId="77777777" w:rsidR="008E0F74" w:rsidRPr="00AE6CBA" w:rsidRDefault="00256F29" w:rsidP="00B4055B">
      <w:pPr>
        <w:pStyle w:val="Nadpis2"/>
        <w:spacing w:before="0"/>
        <w:rPr>
          <w:color w:val="1F3864" w:themeColor="accent1" w:themeShade="80"/>
          <w:sz w:val="20"/>
          <w:szCs w:val="20"/>
        </w:rPr>
      </w:pPr>
      <w:r w:rsidRPr="00AE6CBA">
        <w:rPr>
          <w:rFonts w:eastAsia="Times New Roman"/>
          <w:color w:val="1F3864" w:themeColor="accent1" w:themeShade="80"/>
        </w:rPr>
        <w:t>Vládní selhání</w:t>
      </w:r>
    </w:p>
    <w:p w14:paraId="4A6F3D54" w14:textId="77777777" w:rsidR="008E0F74" w:rsidRPr="00FC3B7C" w:rsidRDefault="008E0F74">
      <w:pPr>
        <w:spacing w:line="42" w:lineRule="exact"/>
        <w:rPr>
          <w:sz w:val="20"/>
          <w:szCs w:val="20"/>
        </w:rPr>
      </w:pPr>
    </w:p>
    <w:p w14:paraId="4A6F3D55" w14:textId="77777777" w:rsidR="008E0F74" w:rsidRPr="00FC3B7C" w:rsidRDefault="00256F29" w:rsidP="003B47BD">
      <w:pPr>
        <w:rPr>
          <w:sz w:val="20"/>
          <w:szCs w:val="20"/>
        </w:rPr>
      </w:pPr>
      <w:r w:rsidRPr="00FC3B7C">
        <w:rPr>
          <w:rFonts w:eastAsia="Times New Roman"/>
        </w:rPr>
        <w:t>Kromě selhání trhu existují také vládní selhání (selhání veřejného sektoru):</w:t>
      </w:r>
    </w:p>
    <w:p w14:paraId="4A6F3D56" w14:textId="77777777" w:rsidR="008E0F74" w:rsidRPr="003B47BD" w:rsidRDefault="00256F29" w:rsidP="00D46B53">
      <w:pPr>
        <w:pStyle w:val="Odstavecseseznamem"/>
        <w:numPr>
          <w:ilvl w:val="0"/>
          <w:numId w:val="599"/>
        </w:numPr>
        <w:rPr>
          <w:sz w:val="20"/>
          <w:szCs w:val="20"/>
        </w:rPr>
      </w:pPr>
      <w:r w:rsidRPr="003B47BD">
        <w:rPr>
          <w:rFonts w:eastAsia="Times New Roman"/>
        </w:rPr>
        <w:t>nesoulad deklarovaných cílů se skutečnými zájmy</w:t>
      </w:r>
    </w:p>
    <w:p w14:paraId="4A6F3D57" w14:textId="77777777" w:rsidR="008E0F74" w:rsidRPr="003B47BD" w:rsidRDefault="00256F29" w:rsidP="00D46B53">
      <w:pPr>
        <w:pStyle w:val="Odstavecseseznamem"/>
        <w:numPr>
          <w:ilvl w:val="0"/>
          <w:numId w:val="599"/>
        </w:numPr>
        <w:rPr>
          <w:sz w:val="20"/>
          <w:szCs w:val="20"/>
        </w:rPr>
      </w:pPr>
      <w:r w:rsidRPr="003B47BD">
        <w:rPr>
          <w:rFonts w:eastAsia="Times New Roman"/>
        </w:rPr>
        <w:t>nedokonalá informovanost</w:t>
      </w:r>
    </w:p>
    <w:p w14:paraId="4A6F3D58" w14:textId="77777777" w:rsidR="008E0F74" w:rsidRPr="003B47BD" w:rsidRDefault="00256F29" w:rsidP="00D46B53">
      <w:pPr>
        <w:pStyle w:val="Odstavecseseznamem"/>
        <w:numPr>
          <w:ilvl w:val="0"/>
          <w:numId w:val="599"/>
        </w:numPr>
        <w:rPr>
          <w:sz w:val="20"/>
          <w:szCs w:val="20"/>
        </w:rPr>
      </w:pPr>
      <w:r w:rsidRPr="003B47BD">
        <w:rPr>
          <w:rFonts w:eastAsia="Times New Roman"/>
        </w:rPr>
        <w:t>nekvalifikovanost a nekompetentnost vhodnou politiku definovat a realizovat</w:t>
      </w:r>
    </w:p>
    <w:p w14:paraId="4A6F3D59" w14:textId="77777777" w:rsidR="008E0F74" w:rsidRPr="003B47BD" w:rsidRDefault="00256F29" w:rsidP="00D46B53">
      <w:pPr>
        <w:pStyle w:val="Odstavecseseznamem"/>
        <w:numPr>
          <w:ilvl w:val="0"/>
          <w:numId w:val="599"/>
        </w:numPr>
        <w:rPr>
          <w:sz w:val="20"/>
          <w:szCs w:val="20"/>
        </w:rPr>
      </w:pPr>
      <w:r w:rsidRPr="003B47BD">
        <w:rPr>
          <w:rFonts w:eastAsia="Times New Roman"/>
        </w:rPr>
        <w:t>nedokonalá kontrola reakcí soukromého sektoru</w:t>
      </w:r>
    </w:p>
    <w:p w14:paraId="4A6F3D5A" w14:textId="77777777" w:rsidR="008E0F74" w:rsidRPr="003B47BD" w:rsidRDefault="00256F29" w:rsidP="00D46B53">
      <w:pPr>
        <w:pStyle w:val="Odstavecseseznamem"/>
        <w:numPr>
          <w:ilvl w:val="0"/>
          <w:numId w:val="599"/>
        </w:numPr>
        <w:rPr>
          <w:sz w:val="20"/>
          <w:szCs w:val="20"/>
        </w:rPr>
      </w:pPr>
      <w:r w:rsidRPr="003B47BD">
        <w:rPr>
          <w:rFonts w:eastAsia="Times New Roman"/>
        </w:rPr>
        <w:t>nedokonalá kontrola byrokratického aparátu vlády</w:t>
      </w:r>
    </w:p>
    <w:p w14:paraId="4A6F3D5B" w14:textId="77777777" w:rsidR="008E0F74" w:rsidRPr="003B47BD" w:rsidRDefault="00256F29" w:rsidP="00D46B53">
      <w:pPr>
        <w:pStyle w:val="Odstavecseseznamem"/>
        <w:numPr>
          <w:ilvl w:val="0"/>
          <w:numId w:val="599"/>
        </w:numPr>
        <w:rPr>
          <w:sz w:val="20"/>
          <w:szCs w:val="20"/>
        </w:rPr>
      </w:pPr>
      <w:r w:rsidRPr="003B47BD">
        <w:rPr>
          <w:rFonts w:eastAsia="Times New Roman"/>
        </w:rPr>
        <w:t>existence časových zpoždění</w:t>
      </w:r>
    </w:p>
    <w:p w14:paraId="4A6F3D5C" w14:textId="77777777" w:rsidR="008E0F74" w:rsidRPr="003B47BD" w:rsidRDefault="00256F29" w:rsidP="00D46B53">
      <w:pPr>
        <w:pStyle w:val="Odstavecseseznamem"/>
        <w:numPr>
          <w:ilvl w:val="0"/>
          <w:numId w:val="599"/>
        </w:numPr>
        <w:rPr>
          <w:sz w:val="20"/>
          <w:szCs w:val="20"/>
        </w:rPr>
      </w:pPr>
      <w:r w:rsidRPr="003B47BD">
        <w:rPr>
          <w:rFonts w:eastAsia="Times New Roman"/>
        </w:rPr>
        <w:t>nedisciplinovanost vlády</w:t>
      </w:r>
    </w:p>
    <w:p w14:paraId="4A6F3D5D" w14:textId="77777777" w:rsidR="008E0F74" w:rsidRPr="00FC3B7C" w:rsidRDefault="008E0F74">
      <w:pPr>
        <w:spacing w:line="276" w:lineRule="exact"/>
        <w:rPr>
          <w:sz w:val="20"/>
          <w:szCs w:val="20"/>
        </w:rPr>
      </w:pPr>
    </w:p>
    <w:p w14:paraId="4A6F3D5E" w14:textId="77777777" w:rsidR="008E0F74" w:rsidRPr="00FC3B7C" w:rsidRDefault="00256F29" w:rsidP="003B47BD">
      <w:pPr>
        <w:rPr>
          <w:sz w:val="20"/>
          <w:szCs w:val="20"/>
        </w:rPr>
      </w:pPr>
      <w:r w:rsidRPr="00FC3B7C">
        <w:rPr>
          <w:rFonts w:eastAsia="Times New Roman"/>
        </w:rPr>
        <w:t xml:space="preserve">Problémem veřejného sektoru je jeho rozpínání do oblastí, kde neselhává trh. Jedním </w:t>
      </w:r>
      <w:r w:rsidR="003B47BD">
        <w:rPr>
          <w:rFonts w:eastAsia="Times New Roman"/>
        </w:rPr>
        <w:br/>
      </w:r>
      <w:r w:rsidRPr="00FC3B7C">
        <w:rPr>
          <w:rFonts w:eastAsia="Times New Roman"/>
        </w:rPr>
        <w:t xml:space="preserve">z důvodů pro narůstání veřejného sektoru je tzv. </w:t>
      </w:r>
      <w:r w:rsidRPr="009A030D">
        <w:rPr>
          <w:rFonts w:eastAsia="Times New Roman"/>
          <w:b/>
          <w:bCs/>
        </w:rPr>
        <w:t>efekt západky</w:t>
      </w:r>
      <w:r w:rsidRPr="00FC3B7C">
        <w:rPr>
          <w:rFonts w:eastAsia="Times New Roman"/>
        </w:rPr>
        <w:t>. Jakmile jsou jednou zavedeny programy státu blahobytu, je velmi těžké je poté odstranit a vznikají nevratné rozpočtové důsledky. Dále růst veřejného sektoru souvisí s procesem urbanizace. Seskupování obyvatelstva do větších sídel souvisí s problémem externalit (znečištění, zásobování vodou, energiemi). Nerovnoměrná hustota obyvatel klade větší důraz na formu infrastruktury, což motivuje ke zvětšování státu, vlády.</w:t>
      </w:r>
    </w:p>
    <w:p w14:paraId="4A6F3D5F" w14:textId="77777777" w:rsidR="008E0F74" w:rsidRPr="00FC3B7C" w:rsidRDefault="00256F29" w:rsidP="003B47BD">
      <w:pPr>
        <w:rPr>
          <w:sz w:val="20"/>
          <w:szCs w:val="20"/>
        </w:rPr>
      </w:pPr>
      <w:r w:rsidRPr="00FC3B7C">
        <w:rPr>
          <w:rFonts w:eastAsia="Times New Roman"/>
        </w:rPr>
        <w:t>Z ekonomické teorie vyplývá mnoho dalších problémů:</w:t>
      </w:r>
    </w:p>
    <w:p w14:paraId="4A6F3D60" w14:textId="77777777" w:rsidR="008E0F74" w:rsidRPr="00FC3B7C" w:rsidRDefault="008E0F74">
      <w:pPr>
        <w:spacing w:line="1" w:lineRule="exact"/>
        <w:rPr>
          <w:sz w:val="20"/>
          <w:szCs w:val="20"/>
        </w:rPr>
      </w:pPr>
    </w:p>
    <w:p w14:paraId="4A6F3D61" w14:textId="77777777" w:rsidR="008E0F74" w:rsidRPr="00FC3B7C" w:rsidRDefault="00256F29" w:rsidP="00D46B53">
      <w:pPr>
        <w:numPr>
          <w:ilvl w:val="0"/>
          <w:numId w:val="222"/>
        </w:numPr>
        <w:tabs>
          <w:tab w:val="left" w:pos="840"/>
        </w:tabs>
        <w:ind w:left="840" w:hanging="368"/>
        <w:rPr>
          <w:rFonts w:eastAsia="Arial"/>
          <w:szCs w:val="24"/>
        </w:rPr>
      </w:pPr>
      <w:r w:rsidRPr="00FC3B7C">
        <w:rPr>
          <w:rFonts w:eastAsia="Times New Roman"/>
          <w:szCs w:val="24"/>
        </w:rPr>
        <w:t>problém pána a správce – regulátor nedisponuje dostatečným množstvím informací</w:t>
      </w:r>
    </w:p>
    <w:p w14:paraId="4A6F3D62" w14:textId="77777777" w:rsidR="008E0F74" w:rsidRPr="00FC3B7C" w:rsidRDefault="00256F29" w:rsidP="00D46B53">
      <w:pPr>
        <w:numPr>
          <w:ilvl w:val="0"/>
          <w:numId w:val="222"/>
        </w:numPr>
        <w:tabs>
          <w:tab w:val="left" w:pos="840"/>
        </w:tabs>
        <w:ind w:left="840" w:hanging="368"/>
        <w:rPr>
          <w:rFonts w:eastAsia="Arial"/>
          <w:szCs w:val="24"/>
        </w:rPr>
      </w:pPr>
      <w:r w:rsidRPr="00FC3B7C">
        <w:rPr>
          <w:rFonts w:eastAsia="Times New Roman"/>
          <w:szCs w:val="24"/>
        </w:rPr>
        <w:t>dobývání renty a problematika zájmových skupin (Stigler-Peltzman model)</w:t>
      </w:r>
    </w:p>
    <w:p w14:paraId="4A6F3D63" w14:textId="77777777" w:rsidR="008E0F74" w:rsidRPr="00FC3B7C" w:rsidRDefault="00256F29" w:rsidP="00D46B53">
      <w:pPr>
        <w:numPr>
          <w:ilvl w:val="0"/>
          <w:numId w:val="222"/>
        </w:numPr>
        <w:tabs>
          <w:tab w:val="left" w:pos="840"/>
        </w:tabs>
        <w:ind w:left="840" w:hanging="368"/>
        <w:rPr>
          <w:rFonts w:eastAsia="Arial"/>
          <w:szCs w:val="24"/>
        </w:rPr>
      </w:pPr>
      <w:r w:rsidRPr="00FC3B7C">
        <w:rPr>
          <w:rFonts w:eastAsia="Times New Roman"/>
          <w:szCs w:val="24"/>
        </w:rPr>
        <w:t>problematika politických cyklů</w:t>
      </w:r>
    </w:p>
    <w:p w14:paraId="4A6F3D64" w14:textId="4A132036" w:rsidR="008E0F74" w:rsidRDefault="00256F29" w:rsidP="003B47BD">
      <w:pPr>
        <w:rPr>
          <w:rFonts w:eastAsia="Times New Roman"/>
        </w:rPr>
      </w:pPr>
      <w:r w:rsidRPr="00FC3B7C">
        <w:rPr>
          <w:rFonts w:eastAsia="Times New Roman"/>
        </w:rPr>
        <w:t xml:space="preserve">Alternativní vysvětlení narůstání VS poskytuje tzv. </w:t>
      </w:r>
      <w:r w:rsidRPr="009A030D">
        <w:rPr>
          <w:rFonts w:eastAsia="Times New Roman"/>
          <w:b/>
          <w:bCs/>
        </w:rPr>
        <w:t>Baumolův efekt</w:t>
      </w:r>
      <w:r w:rsidR="009A030D">
        <w:rPr>
          <w:rFonts w:eastAsia="Times New Roman"/>
        </w:rPr>
        <w:t>.</w:t>
      </w:r>
      <w:r w:rsidRPr="00FC3B7C">
        <w:rPr>
          <w:rFonts w:eastAsia="Times New Roman"/>
        </w:rPr>
        <w:t xml:space="preserve"> Z důvodu vysoké pracovní náročnosti (těžké substituce práce kapitálem</w:t>
      </w:r>
      <w:r w:rsidRPr="00FC3B7C">
        <w:rPr>
          <w:rFonts w:eastAsia="Times New Roman"/>
          <w:sz w:val="27"/>
          <w:szCs w:val="27"/>
        </w:rPr>
        <w:t>)</w:t>
      </w:r>
      <w:r w:rsidRPr="00FC3B7C">
        <w:rPr>
          <w:rFonts w:eastAsia="Times New Roman"/>
        </w:rPr>
        <w:t xml:space="preserve"> roste cena statků a služeb, které jsou poskytovány vládou (vzdělání, bezpečnost, obrana). Zároveň zde roste produktivita práce pouze slabě. Ceny rostou rychleji než v odvětvích, kde produktivita práce rovnoměrně narůstá v čase (možná substituce práce kapitálem, dochází k úsporám, snižuje se cena, je dodržen plánovaný zisk, případně zisk narůstá). Produktivita služeb veřejného sektoru je nižší než produktivita služeb v sektoru soukromém.</w:t>
      </w:r>
      <w:bookmarkStart w:id="237" w:name="page237"/>
      <w:bookmarkEnd w:id="237"/>
    </w:p>
    <w:p w14:paraId="4A6F3D65" w14:textId="77777777" w:rsidR="003B47BD" w:rsidRPr="00FC3B7C" w:rsidRDefault="003B47BD" w:rsidP="003B47BD">
      <w:pPr>
        <w:rPr>
          <w:sz w:val="20"/>
          <w:szCs w:val="20"/>
        </w:rPr>
      </w:pPr>
    </w:p>
    <w:p w14:paraId="4A6F3D66" w14:textId="77777777" w:rsidR="008E0F74" w:rsidRPr="00FC3B7C" w:rsidRDefault="00256F29" w:rsidP="003B47BD">
      <w:pPr>
        <w:pStyle w:val="Nadpis2"/>
        <w:rPr>
          <w:sz w:val="20"/>
          <w:szCs w:val="20"/>
        </w:rPr>
      </w:pPr>
      <w:r w:rsidRPr="00FC3B7C">
        <w:rPr>
          <w:sz w:val="20"/>
          <w:szCs w:val="20"/>
        </w:rPr>
        <w:lastRenderedPageBreak/>
        <w:tab/>
      </w:r>
      <w:r w:rsidRPr="00AE6CBA">
        <w:rPr>
          <w:rFonts w:eastAsia="Times New Roman"/>
          <w:color w:val="1F3864" w:themeColor="accent1" w:themeShade="80"/>
        </w:rPr>
        <w:t>Funkce veřejného sektoru</w:t>
      </w:r>
    </w:p>
    <w:p w14:paraId="4A6F3D67" w14:textId="77777777" w:rsidR="008E0F74" w:rsidRPr="00FC3B7C" w:rsidRDefault="00256F29" w:rsidP="003B47BD">
      <w:pPr>
        <w:rPr>
          <w:sz w:val="20"/>
          <w:szCs w:val="20"/>
        </w:rPr>
      </w:pPr>
      <w:r w:rsidRPr="00FC3B7C">
        <w:rPr>
          <w:rFonts w:eastAsia="Times New Roman"/>
        </w:rPr>
        <w:t xml:space="preserve">Ztotožníme-li veřejný sektor se státem, je jeho základní funkcí </w:t>
      </w:r>
      <w:r w:rsidRPr="00FC3B7C">
        <w:rPr>
          <w:rFonts w:eastAsia="Times New Roman"/>
          <w:b/>
          <w:bCs/>
        </w:rPr>
        <w:t>garantovat práva</w:t>
      </w:r>
      <w:r w:rsidRPr="00FC3B7C">
        <w:rPr>
          <w:rFonts w:eastAsia="Times New Roman"/>
        </w:rPr>
        <w:t xml:space="preserve">, zejména vlastnická. Obecně můžeme funkce veřejného sektoru rozdělit na </w:t>
      </w:r>
      <w:r w:rsidRPr="009A030D">
        <w:rPr>
          <w:rFonts w:eastAsia="Times New Roman"/>
          <w:i/>
          <w:iCs/>
        </w:rPr>
        <w:t xml:space="preserve">alokační, redistribuční </w:t>
      </w:r>
      <w:r w:rsidR="003B47BD" w:rsidRPr="009A030D">
        <w:rPr>
          <w:rFonts w:eastAsia="Times New Roman"/>
          <w:i/>
          <w:iCs/>
        </w:rPr>
        <w:br/>
      </w:r>
      <w:r w:rsidRPr="009A030D">
        <w:rPr>
          <w:rFonts w:eastAsia="Times New Roman"/>
          <w:i/>
          <w:iCs/>
        </w:rPr>
        <w:t>a stabilizační funkci.</w:t>
      </w:r>
    </w:p>
    <w:p w14:paraId="4A6F3D68" w14:textId="77777777" w:rsidR="008E0F74" w:rsidRPr="00FC3B7C" w:rsidRDefault="00256F29" w:rsidP="003B47BD">
      <w:pPr>
        <w:rPr>
          <w:sz w:val="20"/>
          <w:szCs w:val="20"/>
        </w:rPr>
      </w:pPr>
      <w:r w:rsidRPr="00FC3B7C">
        <w:rPr>
          <w:rFonts w:eastAsia="Times New Roman"/>
          <w:b/>
          <w:bCs/>
        </w:rPr>
        <w:t xml:space="preserve">Alokační funkce </w:t>
      </w:r>
      <w:r w:rsidRPr="00FC3B7C">
        <w:rPr>
          <w:rFonts w:eastAsia="Times New Roman"/>
        </w:rPr>
        <w:t>slouží k zajištění poskytování služeb veřejného charakteru v oblastech,</w:t>
      </w:r>
      <w:r w:rsidRPr="00FC3B7C">
        <w:rPr>
          <w:rFonts w:eastAsia="Times New Roman"/>
          <w:b/>
          <w:bCs/>
        </w:rPr>
        <w:t xml:space="preserve"> </w:t>
      </w:r>
      <w:r w:rsidRPr="00FC3B7C">
        <w:rPr>
          <w:rFonts w:eastAsia="Times New Roman"/>
        </w:rPr>
        <w:t xml:space="preserve">které jsou vyloženě veřejného charakteru (obrana, bezpečnost, justice) nebo v oblastech, kde je výhodnější, aby se v nich angažoval veřejný sektor místo soukromých osob (výstavba </w:t>
      </w:r>
      <w:r w:rsidR="003B47BD">
        <w:rPr>
          <w:rFonts w:eastAsia="Times New Roman"/>
        </w:rPr>
        <w:br/>
      </w:r>
      <w:r w:rsidRPr="00FC3B7C">
        <w:rPr>
          <w:rFonts w:eastAsia="Times New Roman"/>
        </w:rPr>
        <w:t>a údržba dopravní infrastruktury atd.)</w:t>
      </w:r>
    </w:p>
    <w:p w14:paraId="4A6F3D69" w14:textId="77777777" w:rsidR="008E0F74" w:rsidRPr="00FC3B7C" w:rsidRDefault="00256F29" w:rsidP="003B47BD">
      <w:pPr>
        <w:rPr>
          <w:sz w:val="20"/>
          <w:szCs w:val="20"/>
        </w:rPr>
      </w:pPr>
      <w:r w:rsidRPr="00FC3B7C">
        <w:rPr>
          <w:rFonts w:eastAsia="Times New Roman"/>
        </w:rPr>
        <w:t xml:space="preserve">Pomocí </w:t>
      </w:r>
      <w:r w:rsidRPr="00FC3B7C">
        <w:rPr>
          <w:rFonts w:eastAsia="Times New Roman"/>
          <w:b/>
          <w:bCs/>
        </w:rPr>
        <w:t>redistribuční funkce</w:t>
      </w:r>
      <w:r w:rsidRPr="00FC3B7C">
        <w:rPr>
          <w:rFonts w:eastAsia="Times New Roman"/>
        </w:rPr>
        <w:t xml:space="preserve"> se zmírňují rozdíly mezi jednotlivci ve společnosti přerozdělováním důchodů, např. progresivním zdaněním příjmů, poskytováním sociálních dávek apod.</w:t>
      </w:r>
    </w:p>
    <w:p w14:paraId="4A6F3D6A" w14:textId="105033F6" w:rsidR="008E0F74" w:rsidRPr="00FC3B7C" w:rsidRDefault="00256F29" w:rsidP="009A030D">
      <w:pPr>
        <w:spacing w:after="240"/>
        <w:rPr>
          <w:sz w:val="20"/>
          <w:szCs w:val="20"/>
        </w:rPr>
      </w:pPr>
      <w:r w:rsidRPr="00FC3B7C">
        <w:rPr>
          <w:rFonts w:eastAsia="Times New Roman"/>
          <w:b/>
          <w:bCs/>
        </w:rPr>
        <w:t xml:space="preserve">Stabilizační funkce </w:t>
      </w:r>
      <w:r w:rsidRPr="00FC3B7C">
        <w:rPr>
          <w:rFonts w:eastAsia="Times New Roman"/>
        </w:rPr>
        <w:t>ovlivňuje makroekonomický</w:t>
      </w:r>
      <w:r w:rsidRPr="00FC3B7C">
        <w:rPr>
          <w:rFonts w:eastAsia="Times New Roman"/>
          <w:b/>
          <w:bCs/>
        </w:rPr>
        <w:t xml:space="preserve"> </w:t>
      </w:r>
      <w:r w:rsidRPr="00FC3B7C">
        <w:rPr>
          <w:rFonts w:eastAsia="Times New Roman"/>
        </w:rPr>
        <w:t>vývoj ekonomiky. Cílem stabilizační</w:t>
      </w:r>
      <w:r w:rsidRPr="00FC3B7C">
        <w:rPr>
          <w:rFonts w:eastAsia="Times New Roman"/>
          <w:b/>
          <w:bCs/>
        </w:rPr>
        <w:t xml:space="preserve"> </w:t>
      </w:r>
      <w:r w:rsidRPr="00FC3B7C">
        <w:rPr>
          <w:rFonts w:eastAsia="Times New Roman"/>
        </w:rPr>
        <w:t xml:space="preserve">funkce je udržení vysoké zaměstnanosti, stabilita cenové hladiny, příznivý vývoj platební bilance a dynamika ekonomického růstu. Pokud nejsou tyto cíle dosahovány trhem, má vláda (veřejný sektor) možnost působit na ně prostřednictvím nástrojů měnové, fiskální </w:t>
      </w:r>
      <w:r w:rsidR="003B47BD">
        <w:rPr>
          <w:rFonts w:eastAsia="Times New Roman"/>
        </w:rPr>
        <w:br/>
      </w:r>
      <w:r w:rsidRPr="00FC3B7C">
        <w:rPr>
          <w:rFonts w:eastAsia="Times New Roman"/>
        </w:rPr>
        <w:t>a důchodové politiky.</w:t>
      </w:r>
      <w:r w:rsidR="00287A56">
        <w:rPr>
          <w:rFonts w:eastAsia="Times New Roman"/>
        </w:rPr>
        <w:t xml:space="preserve"> </w:t>
      </w:r>
    </w:p>
    <w:p w14:paraId="4A6F3D6B" w14:textId="77777777" w:rsidR="008E0F74" w:rsidRPr="00FC3B7C" w:rsidRDefault="008E0F74">
      <w:pPr>
        <w:spacing w:line="3" w:lineRule="exact"/>
        <w:rPr>
          <w:sz w:val="20"/>
          <w:szCs w:val="20"/>
        </w:rPr>
      </w:pPr>
    </w:p>
    <w:p w14:paraId="4A6F3D6C" w14:textId="77777777" w:rsidR="008E0F74" w:rsidRPr="00FC3B7C" w:rsidRDefault="00256F29" w:rsidP="003B47BD">
      <w:pPr>
        <w:rPr>
          <w:sz w:val="20"/>
          <w:szCs w:val="20"/>
        </w:rPr>
      </w:pPr>
      <w:r w:rsidRPr="00FC3B7C">
        <w:rPr>
          <w:rFonts w:eastAsia="Times New Roman"/>
        </w:rPr>
        <w:t>Dále veřejný sektor poskytuje veřejné statky. Ale ty mohou být poskytovány i soukromým sektorem jako komplementy (např. televizní vysílání). Veřejný sektor v současnosti zajišťuje daleko více funkcí (vyrábí, investuje apod.)</w:t>
      </w:r>
    </w:p>
    <w:p w14:paraId="4A6F3D6D" w14:textId="77777777" w:rsidR="008E0F74" w:rsidRPr="00FC3B7C" w:rsidRDefault="008E0F74">
      <w:pPr>
        <w:spacing w:line="2" w:lineRule="exact"/>
        <w:rPr>
          <w:sz w:val="20"/>
          <w:szCs w:val="20"/>
        </w:rPr>
      </w:pPr>
    </w:p>
    <w:p w14:paraId="4A6F3D6E" w14:textId="5AC78577" w:rsidR="008E0F74" w:rsidRPr="00FC3B7C" w:rsidRDefault="00256F29" w:rsidP="003B47BD">
      <w:pPr>
        <w:rPr>
          <w:sz w:val="20"/>
          <w:szCs w:val="20"/>
        </w:rPr>
      </w:pPr>
      <w:r w:rsidRPr="00FC3B7C">
        <w:rPr>
          <w:rFonts w:eastAsia="Times New Roman"/>
        </w:rPr>
        <w:t xml:space="preserve">Dále existuje ještě rozdělení funkcí veřejného sektoru na </w:t>
      </w:r>
      <w:r w:rsidRPr="009A030D">
        <w:rPr>
          <w:rFonts w:eastAsia="Times New Roman"/>
          <w:i/>
          <w:iCs/>
        </w:rPr>
        <w:t>ekonomickou, sociální a</w:t>
      </w:r>
      <w:r w:rsidR="009A030D" w:rsidRPr="009A030D">
        <w:rPr>
          <w:rFonts w:eastAsia="Times New Roman"/>
          <w:i/>
          <w:iCs/>
        </w:rPr>
        <w:t xml:space="preserve"> </w:t>
      </w:r>
      <w:r w:rsidRPr="009A030D">
        <w:rPr>
          <w:rFonts w:eastAsia="Times New Roman"/>
          <w:i/>
          <w:iCs/>
        </w:rPr>
        <w:t>politickou.</w:t>
      </w:r>
      <w:r w:rsidRPr="00FC3B7C">
        <w:rPr>
          <w:rFonts w:eastAsia="Times New Roman"/>
        </w:rPr>
        <w:t xml:space="preserve"> </w:t>
      </w:r>
      <w:r w:rsidRPr="00FC3B7C">
        <w:rPr>
          <w:rFonts w:eastAsia="Times New Roman"/>
          <w:b/>
          <w:bCs/>
        </w:rPr>
        <w:t xml:space="preserve">Ekonomická funkce </w:t>
      </w:r>
      <w:r w:rsidRPr="00FC3B7C">
        <w:rPr>
          <w:rFonts w:eastAsia="Times New Roman"/>
        </w:rPr>
        <w:t>se týká zabezpečení veřejných statků</w:t>
      </w:r>
      <w:r w:rsidRPr="00FC3B7C">
        <w:rPr>
          <w:rFonts w:eastAsia="Times New Roman"/>
          <w:b/>
          <w:bCs/>
        </w:rPr>
        <w:t xml:space="preserve"> </w:t>
      </w:r>
      <w:r w:rsidRPr="00FC3B7C">
        <w:rPr>
          <w:rFonts w:eastAsia="Times New Roman"/>
        </w:rPr>
        <w:t>a odstraňování následků,</w:t>
      </w:r>
      <w:r w:rsidRPr="00FC3B7C">
        <w:rPr>
          <w:rFonts w:eastAsia="Times New Roman"/>
          <w:b/>
          <w:bCs/>
        </w:rPr>
        <w:t xml:space="preserve"> </w:t>
      </w:r>
      <w:r w:rsidRPr="00FC3B7C">
        <w:rPr>
          <w:rFonts w:eastAsia="Times New Roman"/>
        </w:rPr>
        <w:t>především negativních externalit z důvodu selhání trhu. Dále souvisí s vytvářením pracovních</w:t>
      </w:r>
    </w:p>
    <w:p w14:paraId="4A6F3D6F" w14:textId="77777777" w:rsidR="008E0F74" w:rsidRPr="00FC3B7C" w:rsidRDefault="008E0F74">
      <w:pPr>
        <w:spacing w:line="2" w:lineRule="exact"/>
        <w:rPr>
          <w:sz w:val="20"/>
          <w:szCs w:val="20"/>
        </w:rPr>
      </w:pPr>
    </w:p>
    <w:p w14:paraId="4A6F3D70" w14:textId="77777777" w:rsidR="008E0F74" w:rsidRPr="00FC3B7C" w:rsidRDefault="00256F29" w:rsidP="003B47BD">
      <w:pPr>
        <w:rPr>
          <w:sz w:val="20"/>
          <w:szCs w:val="20"/>
        </w:rPr>
      </w:pPr>
      <w:r w:rsidRPr="00FC3B7C">
        <w:rPr>
          <w:rFonts w:eastAsia="Times New Roman"/>
          <w:szCs w:val="24"/>
        </w:rPr>
        <w:t>míst, tudíž ovlivňuje celkovou míru zaměstnanosti.</w:t>
      </w:r>
    </w:p>
    <w:p w14:paraId="4A6F3D71" w14:textId="77777777" w:rsidR="008E0F74" w:rsidRPr="00FC3B7C" w:rsidRDefault="00256F29" w:rsidP="003B47BD">
      <w:pPr>
        <w:rPr>
          <w:sz w:val="20"/>
          <w:szCs w:val="20"/>
        </w:rPr>
      </w:pPr>
      <w:bookmarkStart w:id="238" w:name="page238"/>
      <w:bookmarkEnd w:id="238"/>
      <w:r w:rsidRPr="00FC3B7C">
        <w:rPr>
          <w:rFonts w:eastAsia="Times New Roman"/>
          <w:b/>
          <w:bCs/>
        </w:rPr>
        <w:t xml:space="preserve">Sociální funkce </w:t>
      </w:r>
      <w:r w:rsidRPr="00FC3B7C">
        <w:rPr>
          <w:rFonts w:eastAsia="Times New Roman"/>
        </w:rPr>
        <w:t>značí prospěšnost výsledků</w:t>
      </w:r>
      <w:r w:rsidRPr="00FC3B7C">
        <w:rPr>
          <w:rFonts w:eastAsia="Times New Roman"/>
          <w:b/>
          <w:bCs/>
        </w:rPr>
        <w:t xml:space="preserve"> </w:t>
      </w:r>
      <w:r w:rsidRPr="00FC3B7C">
        <w:rPr>
          <w:rFonts w:eastAsia="Times New Roman"/>
        </w:rPr>
        <w:t>veřejného sektoru/služeb, zejména pro sociálně</w:t>
      </w:r>
      <w:r w:rsidRPr="00FC3B7C">
        <w:rPr>
          <w:rFonts w:eastAsia="Times New Roman"/>
          <w:b/>
          <w:bCs/>
        </w:rPr>
        <w:t xml:space="preserve"> </w:t>
      </w:r>
      <w:r w:rsidRPr="00FC3B7C">
        <w:rPr>
          <w:rFonts w:eastAsia="Times New Roman"/>
        </w:rPr>
        <w:t xml:space="preserve">slabší vrstvy obyvatel, především v oblasti sociální péče a neziskových organizací ve </w:t>
      </w:r>
      <w:r w:rsidR="009016EA">
        <w:rPr>
          <w:rFonts w:eastAsia="Times New Roman"/>
        </w:rPr>
        <w:t>v</w:t>
      </w:r>
      <w:r w:rsidRPr="00FC3B7C">
        <w:rPr>
          <w:rFonts w:eastAsia="Times New Roman"/>
        </w:rPr>
        <w:t>eřejném sektoru, které je pro sociálně potřebné občany zajišťují. Veřejný sektor tím ovlivňuje sociální vazby a sociální postavení občanů.</w:t>
      </w:r>
    </w:p>
    <w:p w14:paraId="4A6F3D72" w14:textId="77777777" w:rsidR="008E0F74" w:rsidRPr="00FC3B7C" w:rsidRDefault="008E0F74">
      <w:pPr>
        <w:spacing w:line="3" w:lineRule="exact"/>
        <w:rPr>
          <w:sz w:val="20"/>
          <w:szCs w:val="20"/>
        </w:rPr>
      </w:pPr>
    </w:p>
    <w:p w14:paraId="4A6F3D73" w14:textId="77777777" w:rsidR="008E0F74" w:rsidRPr="00FC3B7C" w:rsidRDefault="00256F29" w:rsidP="003B47BD">
      <w:pPr>
        <w:rPr>
          <w:sz w:val="20"/>
          <w:szCs w:val="20"/>
        </w:rPr>
      </w:pPr>
      <w:r w:rsidRPr="00FC3B7C">
        <w:rPr>
          <w:rFonts w:eastAsia="Times New Roman"/>
          <w:b/>
          <w:bCs/>
        </w:rPr>
        <w:t xml:space="preserve">Politická funkce </w:t>
      </w:r>
      <w:r w:rsidRPr="00FC3B7C">
        <w:rPr>
          <w:rFonts w:eastAsia="Times New Roman"/>
        </w:rPr>
        <w:t>souvisí s využitím veřejného sektoru v politickém klání a v procesu veřejné</w:t>
      </w:r>
      <w:r w:rsidRPr="00FC3B7C">
        <w:rPr>
          <w:rFonts w:eastAsia="Times New Roman"/>
          <w:b/>
          <w:bCs/>
        </w:rPr>
        <w:t xml:space="preserve"> </w:t>
      </w:r>
      <w:r w:rsidRPr="00FC3B7C">
        <w:rPr>
          <w:rFonts w:eastAsia="Times New Roman"/>
        </w:rPr>
        <w:t>volby. Činnost veřejného sektoru ovlivňuje hospodářská politika státu, která má charakter veřejné politiky. Činnost jednotlivých resortů veřejného sektoru ovlivňují jednotlivé dílčí hospodářské politiky (bezpečnostní, školská, zdravotní, sociální atd.) a úzce souvisí</w:t>
      </w:r>
      <w:r w:rsidR="009016EA">
        <w:rPr>
          <w:sz w:val="20"/>
          <w:szCs w:val="20"/>
        </w:rPr>
        <w:t xml:space="preserve"> </w:t>
      </w:r>
      <w:r w:rsidRPr="00FC3B7C">
        <w:rPr>
          <w:rFonts w:eastAsia="Times New Roman"/>
          <w:szCs w:val="24"/>
        </w:rPr>
        <w:t>momentálním politickým vývojem v dané zemi.</w:t>
      </w:r>
    </w:p>
    <w:p w14:paraId="4A6F3D74" w14:textId="77777777" w:rsidR="008E0F74" w:rsidRPr="00FC3B7C" w:rsidRDefault="008E0F74">
      <w:pPr>
        <w:spacing w:line="347" w:lineRule="exact"/>
        <w:rPr>
          <w:sz w:val="20"/>
          <w:szCs w:val="20"/>
        </w:rPr>
      </w:pPr>
    </w:p>
    <w:p w14:paraId="4A6F3D75" w14:textId="77777777" w:rsidR="008E0F74" w:rsidRPr="00AE6CBA" w:rsidRDefault="00256F29" w:rsidP="003B47BD">
      <w:pPr>
        <w:pStyle w:val="Nadpis2"/>
        <w:rPr>
          <w:color w:val="1F3864" w:themeColor="accent1" w:themeShade="80"/>
          <w:szCs w:val="28"/>
        </w:rPr>
      </w:pPr>
      <w:r w:rsidRPr="00AE6CBA">
        <w:rPr>
          <w:rFonts w:eastAsia="Times New Roman"/>
          <w:color w:val="1F3864" w:themeColor="accent1" w:themeShade="80"/>
          <w:szCs w:val="28"/>
        </w:rPr>
        <w:lastRenderedPageBreak/>
        <w:t>BYROKRACIE</w:t>
      </w:r>
    </w:p>
    <w:p w14:paraId="4A6F3D76" w14:textId="77777777" w:rsidR="008E0F74" w:rsidRPr="00FC3B7C" w:rsidRDefault="00256F29" w:rsidP="003B47BD">
      <w:pPr>
        <w:rPr>
          <w:sz w:val="20"/>
          <w:szCs w:val="20"/>
        </w:rPr>
      </w:pPr>
      <w:r w:rsidRPr="00FC3B7C">
        <w:rPr>
          <w:rFonts w:eastAsia="Times New Roman"/>
        </w:rPr>
        <w:t>Účastníci nejsou voleni, ale jmenováni, jejich mandát není časově omezen. V některých státech není dělení mezi politiky a byrokracií tak ostré, např. v USA odchází jak politik, tak úředníci (celá sféra).</w:t>
      </w:r>
    </w:p>
    <w:p w14:paraId="4A6F3D77" w14:textId="77777777" w:rsidR="008E0F74" w:rsidRPr="00FC3B7C" w:rsidRDefault="008E0F74">
      <w:pPr>
        <w:spacing w:line="1" w:lineRule="exact"/>
        <w:rPr>
          <w:sz w:val="20"/>
          <w:szCs w:val="20"/>
        </w:rPr>
      </w:pPr>
    </w:p>
    <w:p w14:paraId="4A6F3D78" w14:textId="1B9160DA" w:rsidR="008E0F74" w:rsidRPr="00FC3B7C" w:rsidRDefault="00256F29" w:rsidP="003B47BD">
      <w:pPr>
        <w:rPr>
          <w:sz w:val="20"/>
          <w:szCs w:val="20"/>
        </w:rPr>
      </w:pPr>
      <w:r w:rsidRPr="00FC3B7C">
        <w:rPr>
          <w:rFonts w:eastAsia="Times New Roman"/>
        </w:rPr>
        <w:t>Byrokraty potřebují jak občané, tak politici</w:t>
      </w:r>
      <w:r w:rsidR="00202C71">
        <w:rPr>
          <w:rFonts w:eastAsia="Times New Roman"/>
        </w:rPr>
        <w:t>. S</w:t>
      </w:r>
      <w:r w:rsidRPr="00FC3B7C">
        <w:rPr>
          <w:rFonts w:eastAsia="Times New Roman"/>
        </w:rPr>
        <w:t xml:space="preserve">kupiny byrokratů ovlivňují politické dění </w:t>
      </w:r>
      <w:r w:rsidR="003B47BD">
        <w:rPr>
          <w:rFonts w:eastAsia="Times New Roman"/>
        </w:rPr>
        <w:br/>
      </w:r>
      <w:r w:rsidRPr="00FC3B7C">
        <w:rPr>
          <w:rFonts w:eastAsia="Times New Roman"/>
        </w:rPr>
        <w:t>a rozhodování.</w:t>
      </w:r>
    </w:p>
    <w:p w14:paraId="4A6F3D79" w14:textId="35FDBDD6" w:rsidR="008E0F74" w:rsidRDefault="00256F29" w:rsidP="003B47BD">
      <w:pPr>
        <w:rPr>
          <w:rFonts w:eastAsia="Times New Roman"/>
        </w:rPr>
      </w:pPr>
      <w:r w:rsidRPr="00FC3B7C">
        <w:rPr>
          <w:rFonts w:eastAsia="Times New Roman"/>
        </w:rPr>
        <w:t>Byrokratický aparát se vyznačuje rozsáhlou centralizací rozhodování. Problém nastává, když nejsou rozhodnutí činěna na nižších úrovních, kde lze předpokládat důvěrnější znalost reality.</w:t>
      </w:r>
    </w:p>
    <w:p w14:paraId="62687CD4" w14:textId="43A9503D" w:rsidR="00973B68" w:rsidRPr="00202C71" w:rsidRDefault="00202C71" w:rsidP="00202C71">
      <w:pPr>
        <w:spacing w:after="240"/>
        <w:rPr>
          <w:b/>
          <w:bCs/>
          <w:sz w:val="20"/>
          <w:szCs w:val="20"/>
        </w:rPr>
      </w:pPr>
      <w:r w:rsidRPr="00202C71">
        <w:rPr>
          <w:rFonts w:eastAsia="Times New Roman"/>
          <w:b/>
          <w:bCs/>
        </w:rPr>
        <w:t>Byrokraci</w:t>
      </w:r>
      <w:r w:rsidR="003562E9">
        <w:rPr>
          <w:rFonts w:eastAsia="Times New Roman"/>
          <w:b/>
          <w:bCs/>
        </w:rPr>
        <w:t>i</w:t>
      </w:r>
      <w:r w:rsidRPr="00202C71">
        <w:rPr>
          <w:rFonts w:eastAsia="Times New Roman"/>
          <w:b/>
          <w:bCs/>
        </w:rPr>
        <w:t xml:space="preserve"> v ČR je velmi rozsáhlá.</w:t>
      </w:r>
    </w:p>
    <w:p w14:paraId="4A6F3D7A" w14:textId="258B6300" w:rsidR="008E0F74" w:rsidRPr="00FC3B7C" w:rsidRDefault="00AE6CBA" w:rsidP="003B47BD">
      <w:pPr>
        <w:pStyle w:val="Nadpis3"/>
        <w:rPr>
          <w:sz w:val="20"/>
          <w:szCs w:val="20"/>
        </w:rPr>
      </w:pPr>
      <w:r>
        <w:rPr>
          <w:rFonts w:eastAsia="Times New Roman"/>
        </w:rPr>
        <w:t xml:space="preserve"> </w:t>
      </w:r>
      <w:r w:rsidR="00256F29" w:rsidRPr="00AE6CBA">
        <w:rPr>
          <w:rFonts w:eastAsia="Times New Roman"/>
          <w:color w:val="1F3864" w:themeColor="accent1" w:themeShade="80"/>
        </w:rPr>
        <w:t>Teorie byrokracie</w:t>
      </w:r>
    </w:p>
    <w:p w14:paraId="4A6F3D7B" w14:textId="7E701EBC" w:rsidR="008E0F74" w:rsidRPr="00FC3B7C" w:rsidRDefault="00256F29" w:rsidP="003B47BD">
      <w:pPr>
        <w:ind w:left="120"/>
        <w:rPr>
          <w:sz w:val="20"/>
          <w:szCs w:val="20"/>
        </w:rPr>
      </w:pPr>
      <w:r w:rsidRPr="00FC3B7C">
        <w:rPr>
          <w:rFonts w:eastAsia="Times New Roman"/>
          <w:szCs w:val="24"/>
          <w:u w:val="single"/>
        </w:rPr>
        <w:t>Max Weber</w:t>
      </w:r>
      <w:r w:rsidR="00202C71">
        <w:rPr>
          <w:rFonts w:eastAsia="Times New Roman"/>
          <w:szCs w:val="24"/>
        </w:rPr>
        <w:t xml:space="preserve"> - </w:t>
      </w:r>
      <w:r w:rsidRPr="00FC3B7C">
        <w:rPr>
          <w:rFonts w:eastAsia="Times New Roman"/>
          <w:szCs w:val="24"/>
        </w:rPr>
        <w:t>sociologický úhel pohledu, laissez faire vs. byrokracie.</w:t>
      </w:r>
    </w:p>
    <w:p w14:paraId="4A6F3D7C" w14:textId="259FA9BF" w:rsidR="008E0F74" w:rsidRPr="00FC3B7C" w:rsidRDefault="00256F29" w:rsidP="003B47BD">
      <w:pPr>
        <w:ind w:left="120" w:right="260"/>
        <w:rPr>
          <w:sz w:val="20"/>
          <w:szCs w:val="20"/>
        </w:rPr>
      </w:pPr>
      <w:r w:rsidRPr="00FC3B7C">
        <w:rPr>
          <w:rFonts w:eastAsia="Times New Roman"/>
          <w:szCs w:val="24"/>
          <w:u w:val="single"/>
        </w:rPr>
        <w:t>Ludwig von Mises</w:t>
      </w:r>
      <w:r w:rsidR="00202C71">
        <w:rPr>
          <w:rFonts w:eastAsia="Times New Roman"/>
          <w:szCs w:val="24"/>
        </w:rPr>
        <w:t xml:space="preserve"> - </w:t>
      </w:r>
      <w:r w:rsidRPr="00FC3B7C">
        <w:rPr>
          <w:rFonts w:eastAsia="Times New Roman"/>
          <w:szCs w:val="24"/>
        </w:rPr>
        <w:t>hierarchicky utvářená soustava, jsou si navzájem podřízeni</w:t>
      </w:r>
      <w:r w:rsidR="003B47BD">
        <w:rPr>
          <w:rFonts w:eastAsia="Times New Roman"/>
          <w:szCs w:val="24"/>
        </w:rPr>
        <w:br/>
      </w:r>
      <w:r w:rsidRPr="00FC3B7C">
        <w:rPr>
          <w:rFonts w:eastAsia="Times New Roman"/>
          <w:szCs w:val="24"/>
        </w:rPr>
        <w:t xml:space="preserve"> a nadřízeni, zabýval se ekonomickými konsekvencemi (otec moderní teorie), výstup byrokrata nelze hodnotit v peněžních jednotkách.</w:t>
      </w:r>
    </w:p>
    <w:p w14:paraId="4A6F3D7D" w14:textId="296F20F9" w:rsidR="008E0F74" w:rsidRPr="00FC3B7C" w:rsidRDefault="00256F29" w:rsidP="00202C71">
      <w:pPr>
        <w:spacing w:after="240"/>
        <w:ind w:left="120" w:right="120"/>
        <w:rPr>
          <w:sz w:val="20"/>
          <w:szCs w:val="20"/>
        </w:rPr>
      </w:pPr>
      <w:r w:rsidRPr="00FC3B7C">
        <w:rPr>
          <w:rFonts w:eastAsia="Times New Roman"/>
          <w:szCs w:val="24"/>
          <w:u w:val="single"/>
        </w:rPr>
        <w:t>William A. Niskanen</w:t>
      </w:r>
      <w:r w:rsidR="00202C71">
        <w:rPr>
          <w:rFonts w:eastAsia="Times New Roman"/>
          <w:szCs w:val="24"/>
        </w:rPr>
        <w:t xml:space="preserve"> - </w:t>
      </w:r>
      <w:r w:rsidRPr="00FC3B7C">
        <w:rPr>
          <w:rFonts w:eastAsia="Times New Roman"/>
          <w:szCs w:val="24"/>
        </w:rPr>
        <w:t>moderní teorie byrokrata, úředníci usilují o maximální rozpočet svého úřadu, využívají svých informačních výhod</w:t>
      </w:r>
      <w:r w:rsidR="00202C71">
        <w:rPr>
          <w:rFonts w:eastAsia="Times New Roman"/>
          <w:szCs w:val="24"/>
        </w:rPr>
        <w:t xml:space="preserve"> </w:t>
      </w:r>
      <w:r w:rsidRPr="00FC3B7C">
        <w:rPr>
          <w:rFonts w:eastAsia="Times New Roman"/>
          <w:szCs w:val="24"/>
        </w:rPr>
        <w:t>a monopolu nabídky/specifické úřednické služby).</w:t>
      </w:r>
    </w:p>
    <w:p w14:paraId="4A6F3D7F" w14:textId="6F61C260" w:rsidR="008E0F74" w:rsidRPr="00AE6CBA" w:rsidRDefault="00AE6CBA" w:rsidP="003B47BD">
      <w:pPr>
        <w:pStyle w:val="Nadpis3"/>
        <w:rPr>
          <w:color w:val="1F3864" w:themeColor="accent1" w:themeShade="80"/>
          <w:sz w:val="20"/>
          <w:szCs w:val="20"/>
        </w:rPr>
      </w:pPr>
      <w:r>
        <w:rPr>
          <w:rFonts w:eastAsia="Times New Roman"/>
          <w:color w:val="1F3864" w:themeColor="accent1" w:themeShade="80"/>
        </w:rPr>
        <w:t xml:space="preserve"> </w:t>
      </w:r>
      <w:r w:rsidR="00256F29" w:rsidRPr="00AE6CBA">
        <w:rPr>
          <w:rFonts w:eastAsia="Times New Roman"/>
          <w:color w:val="1F3864" w:themeColor="accent1" w:themeShade="80"/>
        </w:rPr>
        <w:t>Důsledky byrokratizace společnosti</w:t>
      </w:r>
    </w:p>
    <w:p w14:paraId="4A6F3D80" w14:textId="77777777" w:rsidR="008E0F74" w:rsidRPr="00453F87" w:rsidRDefault="00256F29" w:rsidP="00D46B53">
      <w:pPr>
        <w:pStyle w:val="Odstavecseseznamem"/>
        <w:numPr>
          <w:ilvl w:val="0"/>
          <w:numId w:val="634"/>
        </w:numPr>
        <w:rPr>
          <w:sz w:val="20"/>
          <w:szCs w:val="20"/>
        </w:rPr>
      </w:pPr>
      <w:r w:rsidRPr="00453F87">
        <w:rPr>
          <w:rFonts w:eastAsia="Times New Roman"/>
          <w:b/>
          <w:bCs/>
        </w:rPr>
        <w:t xml:space="preserve">rostoucí počet úředníků </w:t>
      </w:r>
      <w:r w:rsidRPr="00453F87">
        <w:rPr>
          <w:rFonts w:eastAsia="Times New Roman"/>
        </w:rPr>
        <w:t>zužuje prostor pro svobodnou volbu jednotlivce</w:t>
      </w:r>
      <w:r w:rsidRPr="00453F87">
        <w:rPr>
          <w:rFonts w:eastAsia="Times New Roman"/>
          <w:b/>
          <w:bCs/>
        </w:rPr>
        <w:t xml:space="preserve"> </w:t>
      </w:r>
      <w:r w:rsidRPr="00453F87">
        <w:rPr>
          <w:rFonts w:eastAsia="Times New Roman"/>
        </w:rPr>
        <w:t>(jak nakládat s vlastním majetkem)</w:t>
      </w:r>
    </w:p>
    <w:p w14:paraId="4A6F3D81" w14:textId="77777777" w:rsidR="008E0F74" w:rsidRPr="00453F87" w:rsidRDefault="00256F29" w:rsidP="00D46B53">
      <w:pPr>
        <w:pStyle w:val="Odstavecseseznamem"/>
        <w:numPr>
          <w:ilvl w:val="0"/>
          <w:numId w:val="634"/>
        </w:numPr>
        <w:rPr>
          <w:sz w:val="20"/>
          <w:szCs w:val="20"/>
        </w:rPr>
      </w:pPr>
      <w:r w:rsidRPr="00453F87">
        <w:rPr>
          <w:rFonts w:eastAsia="Times New Roman"/>
          <w:b/>
          <w:bCs/>
          <w:sz w:val="23"/>
          <w:szCs w:val="23"/>
        </w:rPr>
        <w:t xml:space="preserve">snižování celkové užitečné produkce na jednoho občana </w:t>
      </w:r>
      <w:r w:rsidRPr="00453F87">
        <w:rPr>
          <w:rFonts w:eastAsia="Times New Roman"/>
          <w:sz w:val="23"/>
          <w:szCs w:val="23"/>
        </w:rPr>
        <w:t>(čím méně</w:t>
      </w:r>
      <w:r w:rsidRPr="00453F87">
        <w:rPr>
          <w:rFonts w:eastAsia="Times New Roman"/>
          <w:b/>
          <w:bCs/>
          <w:sz w:val="23"/>
          <w:szCs w:val="23"/>
        </w:rPr>
        <w:t xml:space="preserve"> </w:t>
      </w:r>
      <w:r w:rsidRPr="00453F87">
        <w:rPr>
          <w:rFonts w:eastAsia="Times New Roman"/>
          <w:sz w:val="23"/>
          <w:szCs w:val="23"/>
        </w:rPr>
        <w:t>lidí je</w:t>
      </w:r>
      <w:r w:rsidRPr="00453F87">
        <w:rPr>
          <w:rFonts w:eastAsia="Times New Roman"/>
          <w:b/>
          <w:bCs/>
          <w:sz w:val="23"/>
          <w:szCs w:val="23"/>
        </w:rPr>
        <w:t xml:space="preserve"> </w:t>
      </w:r>
      <w:r w:rsidRPr="00453F87">
        <w:rPr>
          <w:rFonts w:eastAsia="Times New Roman"/>
          <w:sz w:val="23"/>
          <w:szCs w:val="23"/>
        </w:rPr>
        <w:t>zaměstnaných ve výrobní sféře, tím méně je vyrobených statků a služeb k</w:t>
      </w:r>
      <w:r w:rsidR="009016EA" w:rsidRPr="00453F87">
        <w:rPr>
          <w:rFonts w:eastAsia="Times New Roman"/>
          <w:sz w:val="23"/>
          <w:szCs w:val="23"/>
        </w:rPr>
        <w:t xml:space="preserve"> </w:t>
      </w:r>
      <w:r w:rsidRPr="00453F87">
        <w:rPr>
          <w:rFonts w:eastAsia="Times New Roman"/>
          <w:sz w:val="23"/>
          <w:szCs w:val="23"/>
        </w:rPr>
        <w:t>dispozici); dochází k růstu počtu úředníků a zároveň k poklesu počtu daňových poplatníků</w:t>
      </w:r>
    </w:p>
    <w:p w14:paraId="4A6F3D82" w14:textId="51781D49" w:rsidR="008E0F74" w:rsidRPr="00453F87" w:rsidRDefault="00256F29" w:rsidP="00D46B53">
      <w:pPr>
        <w:pStyle w:val="Odstavecseseznamem"/>
        <w:numPr>
          <w:ilvl w:val="0"/>
          <w:numId w:val="634"/>
        </w:numPr>
        <w:rPr>
          <w:sz w:val="20"/>
          <w:szCs w:val="20"/>
        </w:rPr>
      </w:pPr>
      <w:r w:rsidRPr="00453F87">
        <w:rPr>
          <w:rFonts w:eastAsia="Times New Roman"/>
        </w:rPr>
        <w:t>pokud se udržují</w:t>
      </w:r>
      <w:r w:rsidR="003562E9">
        <w:rPr>
          <w:rFonts w:eastAsia="Times New Roman"/>
        </w:rPr>
        <w:t xml:space="preserve"> </w:t>
      </w:r>
      <w:r w:rsidRPr="00453F87">
        <w:rPr>
          <w:rFonts w:eastAsia="Times New Roman"/>
        </w:rPr>
        <w:t xml:space="preserve">(zvyšují) mzdy úředníků, dochází k </w:t>
      </w:r>
      <w:r w:rsidRPr="00453F87">
        <w:rPr>
          <w:rFonts w:eastAsia="Times New Roman"/>
          <w:b/>
          <w:bCs/>
        </w:rPr>
        <w:t>navýšení daní</w:t>
      </w:r>
      <w:r w:rsidRPr="00453F87">
        <w:rPr>
          <w:rFonts w:eastAsia="Times New Roman"/>
        </w:rPr>
        <w:t>, je potřeba větší množství peněz na mzdy (platy)</w:t>
      </w:r>
    </w:p>
    <w:p w14:paraId="4A6F3D83" w14:textId="77777777" w:rsidR="003B47BD" w:rsidRPr="00453F87" w:rsidRDefault="00256F29" w:rsidP="00D46B53">
      <w:pPr>
        <w:pStyle w:val="Odstavecseseznamem"/>
        <w:numPr>
          <w:ilvl w:val="0"/>
          <w:numId w:val="634"/>
        </w:numPr>
        <w:rPr>
          <w:sz w:val="20"/>
          <w:szCs w:val="20"/>
        </w:rPr>
      </w:pPr>
      <w:r w:rsidRPr="00453F87">
        <w:rPr>
          <w:rFonts w:eastAsia="Times New Roman"/>
          <w:b/>
          <w:bCs/>
          <w:sz w:val="23"/>
          <w:szCs w:val="23"/>
        </w:rPr>
        <w:t xml:space="preserve">brzdění rozvoje společnosti </w:t>
      </w:r>
      <w:r w:rsidRPr="00453F87">
        <w:rPr>
          <w:rFonts w:eastAsia="Times New Roman"/>
          <w:sz w:val="23"/>
          <w:szCs w:val="23"/>
        </w:rPr>
        <w:t>(vyšší daně, vyšší administrativní náklady), nedochází k</w:t>
      </w:r>
      <w:r w:rsidR="003B47BD" w:rsidRPr="00453F87">
        <w:rPr>
          <w:rFonts w:eastAsia="Times New Roman"/>
          <w:sz w:val="23"/>
          <w:szCs w:val="23"/>
        </w:rPr>
        <w:t xml:space="preserve"> </w:t>
      </w:r>
      <w:r w:rsidR="003B47BD" w:rsidRPr="00453F87">
        <w:rPr>
          <w:rFonts w:eastAsia="Times New Roman"/>
        </w:rPr>
        <w:t>t</w:t>
      </w:r>
      <w:r w:rsidRPr="00453F87">
        <w:rPr>
          <w:rFonts w:eastAsia="Times New Roman"/>
        </w:rPr>
        <w:t>echnologickému pokroku</w:t>
      </w:r>
    </w:p>
    <w:p w14:paraId="4A6F3D84" w14:textId="77777777" w:rsidR="008E0F74" w:rsidRPr="00453F87" w:rsidRDefault="00256F29" w:rsidP="00D46B53">
      <w:pPr>
        <w:pStyle w:val="Odstavecseseznamem"/>
        <w:numPr>
          <w:ilvl w:val="0"/>
          <w:numId w:val="634"/>
        </w:numPr>
        <w:rPr>
          <w:sz w:val="20"/>
          <w:szCs w:val="20"/>
        </w:rPr>
      </w:pPr>
      <w:r w:rsidRPr="00453F87">
        <w:rPr>
          <w:rFonts w:eastAsia="Times New Roman"/>
        </w:rPr>
        <w:t xml:space="preserve">tendence k </w:t>
      </w:r>
      <w:r w:rsidRPr="00453F87">
        <w:rPr>
          <w:rFonts w:eastAsia="Times New Roman"/>
          <w:b/>
          <w:bCs/>
        </w:rPr>
        <w:t>zakonzervování stavu</w:t>
      </w:r>
      <w:r w:rsidRPr="00453F87">
        <w:rPr>
          <w:rFonts w:eastAsia="Times New Roman"/>
        </w:rPr>
        <w:t xml:space="preserve"> (status quo)</w:t>
      </w:r>
    </w:p>
    <w:p w14:paraId="4A6F3D86" w14:textId="63208285" w:rsidR="008E0F74" w:rsidRPr="00453F87" w:rsidRDefault="00256F29" w:rsidP="00D46B53">
      <w:pPr>
        <w:pStyle w:val="Odstavecseseznamem"/>
        <w:numPr>
          <w:ilvl w:val="0"/>
          <w:numId w:val="634"/>
        </w:numPr>
        <w:rPr>
          <w:sz w:val="20"/>
          <w:szCs w:val="20"/>
        </w:rPr>
      </w:pPr>
      <w:bookmarkStart w:id="239" w:name="page239"/>
      <w:bookmarkEnd w:id="239"/>
      <w:r w:rsidRPr="00453F87">
        <w:rPr>
          <w:rFonts w:eastAsia="Times New Roman"/>
        </w:rPr>
        <w:t xml:space="preserve">dochází ke </w:t>
      </w:r>
      <w:r w:rsidRPr="00453F87">
        <w:rPr>
          <w:rFonts w:eastAsia="Times New Roman"/>
          <w:b/>
          <w:bCs/>
        </w:rPr>
        <w:t>změně</w:t>
      </w:r>
      <w:r w:rsidRPr="00453F87">
        <w:rPr>
          <w:rFonts w:eastAsia="Times New Roman"/>
        </w:rPr>
        <w:t xml:space="preserve"> </w:t>
      </w:r>
      <w:r w:rsidRPr="00453F87">
        <w:rPr>
          <w:rFonts w:eastAsia="Times New Roman"/>
          <w:b/>
          <w:bCs/>
        </w:rPr>
        <w:t>národní mentality</w:t>
      </w:r>
      <w:r w:rsidRPr="00453F87">
        <w:rPr>
          <w:rFonts w:eastAsia="Times New Roman"/>
        </w:rPr>
        <w:t xml:space="preserve"> – pracovní, kulturní, sociální návyky; na trhu nemá zákazník k uspokojení nároků žádné právo, ale díky konkurenci to funguje; úředníci nemají motivaci vyhovět nároku, nejsou závislí na platbách od klienta (dostanou zaplaceno předem, klienti pro něj představují nepříjemné břemeno); je placen z</w:t>
      </w:r>
      <w:r w:rsidR="00453F87" w:rsidRPr="00453F87">
        <w:rPr>
          <w:rFonts w:eastAsia="Times New Roman"/>
        </w:rPr>
        <w:t xml:space="preserve"> </w:t>
      </w:r>
      <w:r w:rsidRPr="00453F87">
        <w:rPr>
          <w:rFonts w:eastAsia="Times New Roman"/>
        </w:rPr>
        <w:t>daní, přímé vynucení odběru (povinnost něco udělat za tolik a tolik), nepřímé vynucení odběru</w:t>
      </w:r>
    </w:p>
    <w:p w14:paraId="4A6F3D87" w14:textId="77777777" w:rsidR="008E0F74" w:rsidRPr="00453F87" w:rsidRDefault="00256F29" w:rsidP="00D46B53">
      <w:pPr>
        <w:pStyle w:val="Odstavecseseznamem"/>
        <w:numPr>
          <w:ilvl w:val="0"/>
          <w:numId w:val="634"/>
        </w:numPr>
        <w:rPr>
          <w:sz w:val="20"/>
          <w:szCs w:val="20"/>
        </w:rPr>
      </w:pPr>
      <w:r w:rsidRPr="00453F87">
        <w:rPr>
          <w:rFonts w:eastAsia="Times New Roman"/>
        </w:rPr>
        <w:lastRenderedPageBreak/>
        <w:t>relativní</w:t>
      </w:r>
      <w:r w:rsidRPr="00453F87">
        <w:rPr>
          <w:sz w:val="20"/>
          <w:szCs w:val="20"/>
        </w:rPr>
        <w:t xml:space="preserve"> </w:t>
      </w:r>
      <w:r w:rsidRPr="00453F87">
        <w:rPr>
          <w:rFonts w:eastAsia="Times New Roman"/>
          <w:b/>
          <w:bCs/>
        </w:rPr>
        <w:t xml:space="preserve">nezávislost jakéhokoliv kariérního postupu na měřitelném pracovním výkonu </w:t>
      </w:r>
      <w:r w:rsidRPr="00453F87">
        <w:rPr>
          <w:rFonts w:eastAsia="Times New Roman"/>
        </w:rPr>
        <w:t>(měření je složité, téměř</w:t>
      </w:r>
      <w:r w:rsidRPr="00453F87">
        <w:rPr>
          <w:rFonts w:eastAsia="Times New Roman"/>
          <w:b/>
          <w:bCs/>
        </w:rPr>
        <w:t xml:space="preserve"> </w:t>
      </w:r>
      <w:r w:rsidRPr="00453F87">
        <w:rPr>
          <w:rFonts w:eastAsia="Times New Roman"/>
        </w:rPr>
        <w:t>nemožné)</w:t>
      </w:r>
    </w:p>
    <w:p w14:paraId="4A6F3D88" w14:textId="77777777" w:rsidR="008E0F74" w:rsidRPr="00FC3B7C" w:rsidRDefault="008E0F74">
      <w:pPr>
        <w:spacing w:line="229" w:lineRule="exact"/>
        <w:rPr>
          <w:sz w:val="20"/>
          <w:szCs w:val="20"/>
        </w:rPr>
      </w:pPr>
    </w:p>
    <w:p w14:paraId="4A6F3D89" w14:textId="146AD2BD" w:rsidR="008E0F74" w:rsidRPr="00FC3B7C" w:rsidRDefault="00AE6CBA" w:rsidP="009016EA">
      <w:pPr>
        <w:pStyle w:val="Nadpis3"/>
        <w:rPr>
          <w:sz w:val="20"/>
          <w:szCs w:val="20"/>
        </w:rPr>
      </w:pPr>
      <w:r>
        <w:rPr>
          <w:rFonts w:eastAsia="Times New Roman"/>
        </w:rPr>
        <w:t xml:space="preserve"> </w:t>
      </w:r>
      <w:r w:rsidR="00256F29" w:rsidRPr="00AE6CBA">
        <w:rPr>
          <w:rFonts w:eastAsia="Times New Roman"/>
          <w:color w:val="1F3864" w:themeColor="accent1" w:themeShade="80"/>
        </w:rPr>
        <w:t>Příčiny byrokracie</w:t>
      </w:r>
    </w:p>
    <w:p w14:paraId="4A6F3D8B" w14:textId="77777777" w:rsidR="008E0F74" w:rsidRPr="009016EA" w:rsidRDefault="00256F29" w:rsidP="00D46B53">
      <w:pPr>
        <w:pStyle w:val="Odstavecseseznamem"/>
        <w:numPr>
          <w:ilvl w:val="1"/>
          <w:numId w:val="635"/>
        </w:numPr>
        <w:ind w:left="851"/>
        <w:rPr>
          <w:sz w:val="20"/>
          <w:szCs w:val="20"/>
        </w:rPr>
      </w:pPr>
      <w:r w:rsidRPr="009016EA">
        <w:rPr>
          <w:rFonts w:eastAsia="Times New Roman"/>
          <w:szCs w:val="24"/>
        </w:rPr>
        <w:t>úřady u nás disponují monopolním postavením</w:t>
      </w:r>
    </w:p>
    <w:p w14:paraId="4A6F3D8C" w14:textId="77777777" w:rsidR="008E0F74" w:rsidRPr="009016EA" w:rsidRDefault="00256F29" w:rsidP="00D46B53">
      <w:pPr>
        <w:pStyle w:val="Odstavecseseznamem"/>
        <w:numPr>
          <w:ilvl w:val="1"/>
          <w:numId w:val="635"/>
        </w:numPr>
        <w:ind w:left="851"/>
        <w:rPr>
          <w:sz w:val="20"/>
          <w:szCs w:val="20"/>
        </w:rPr>
      </w:pPr>
      <w:r w:rsidRPr="009016EA">
        <w:rPr>
          <w:rFonts w:eastAsia="Times New Roman"/>
          <w:szCs w:val="24"/>
        </w:rPr>
        <w:t>asymetrie informací</w:t>
      </w:r>
    </w:p>
    <w:p w14:paraId="4A6F3D8D" w14:textId="77777777" w:rsidR="008E0F74" w:rsidRPr="009016EA" w:rsidRDefault="00256F29" w:rsidP="00D46B53">
      <w:pPr>
        <w:pStyle w:val="Odstavecseseznamem"/>
        <w:numPr>
          <w:ilvl w:val="1"/>
          <w:numId w:val="635"/>
        </w:numPr>
        <w:ind w:left="851" w:right="140"/>
        <w:rPr>
          <w:sz w:val="20"/>
          <w:szCs w:val="20"/>
        </w:rPr>
      </w:pPr>
      <w:r w:rsidRPr="009016EA">
        <w:rPr>
          <w:rFonts w:eastAsia="Times New Roman"/>
          <w:szCs w:val="24"/>
        </w:rPr>
        <w:t>výstup byrokrata nemá peněžní vyjádření (za službu se neplatí přímo, nedá se sestrojit poptávková křivka po statcích byrokracie, jediné, co můžeme vyčíslit, jsou náklady), těžko se měří efektivita, úspěšnost – čím vyšší náklady tím vyšší zisk</w:t>
      </w:r>
    </w:p>
    <w:p w14:paraId="4A6F3D8E" w14:textId="52C243DE" w:rsidR="008E0F74" w:rsidRPr="009016EA" w:rsidRDefault="00256F29" w:rsidP="00D46B53">
      <w:pPr>
        <w:pStyle w:val="Odstavecseseznamem"/>
        <w:numPr>
          <w:ilvl w:val="1"/>
          <w:numId w:val="635"/>
        </w:numPr>
        <w:spacing w:after="240"/>
        <w:ind w:left="851" w:right="120"/>
        <w:rPr>
          <w:sz w:val="20"/>
          <w:szCs w:val="20"/>
        </w:rPr>
      </w:pPr>
      <w:r w:rsidRPr="009016EA">
        <w:rPr>
          <w:rFonts w:eastAsia="Times New Roman"/>
          <w:szCs w:val="24"/>
        </w:rPr>
        <w:t>problém pána a správce –</w:t>
      </w:r>
      <w:r w:rsidR="00453F87">
        <w:rPr>
          <w:rFonts w:eastAsia="Times New Roman"/>
          <w:szCs w:val="24"/>
        </w:rPr>
        <w:t xml:space="preserve"> </w:t>
      </w:r>
      <w:r w:rsidRPr="009016EA">
        <w:rPr>
          <w:rFonts w:eastAsia="Times New Roman"/>
          <w:szCs w:val="24"/>
        </w:rPr>
        <w:t>rozdílná pozice pána (politika) a správce (byrokrata), politik část své správy přemisťuje na byrokrata – mají rozdílnou užitkovou funkci, tedy rozdílný zájem</w:t>
      </w:r>
      <w:r w:rsidR="009016EA" w:rsidRPr="009016EA">
        <w:rPr>
          <w:sz w:val="20"/>
          <w:szCs w:val="20"/>
        </w:rPr>
        <w:t xml:space="preserve"> - </w:t>
      </w:r>
      <w:r w:rsidRPr="009016EA">
        <w:rPr>
          <w:rFonts w:eastAsia="Times New Roman"/>
          <w:szCs w:val="24"/>
        </w:rPr>
        <w:t>nemožnost bankrotu</w:t>
      </w:r>
    </w:p>
    <w:p w14:paraId="4A6F3D91" w14:textId="77777777" w:rsidR="008E0F74" w:rsidRPr="00AE6CBA" w:rsidRDefault="00256F29" w:rsidP="00453F87">
      <w:pPr>
        <w:pStyle w:val="Nadpis2"/>
        <w:spacing w:before="0"/>
        <w:rPr>
          <w:color w:val="1F3864" w:themeColor="accent1" w:themeShade="80"/>
          <w:szCs w:val="28"/>
        </w:rPr>
      </w:pPr>
      <w:r w:rsidRPr="00AE6CBA">
        <w:rPr>
          <w:rFonts w:eastAsia="Times New Roman"/>
          <w:color w:val="1F3864" w:themeColor="accent1" w:themeShade="80"/>
          <w:szCs w:val="28"/>
        </w:rPr>
        <w:t>ŘÍZENÍ VEŘEJNÉHO SEKTORU, PŘÍJMYA VÝDAJE</w:t>
      </w:r>
    </w:p>
    <w:p w14:paraId="4A6F3D92" w14:textId="77777777" w:rsidR="008E0F74" w:rsidRPr="00FC3B7C" w:rsidRDefault="00256F29" w:rsidP="00453F87">
      <w:pPr>
        <w:spacing w:after="240"/>
        <w:rPr>
          <w:sz w:val="20"/>
          <w:szCs w:val="20"/>
        </w:rPr>
      </w:pPr>
      <w:r w:rsidRPr="00FC3B7C">
        <w:rPr>
          <w:rFonts w:eastAsia="Times New Roman"/>
        </w:rPr>
        <w:t>Veřejný sektor je řízen a spravován veřejnou správou, je financován z veřejných financí (daně daňových poplatníků). Účinnost řízení veřejného sektoru veřejnou správou je závislá na tom, do jaké míry dokáže veřejný sektor využít v praxi obecné poznatky řízení a do jaké míry dokáže zohlednit vliv specifických faktorů (vlastních veřejnému sektoru i veřejné správě) při konkrétním využití konkrétních poznatků.</w:t>
      </w:r>
    </w:p>
    <w:p w14:paraId="4A6F3D93" w14:textId="3E5FC5AB" w:rsidR="008E0F74" w:rsidRPr="00FC3B7C" w:rsidRDefault="00AE6CBA" w:rsidP="009016EA">
      <w:pPr>
        <w:pStyle w:val="Nadpis3"/>
        <w:rPr>
          <w:sz w:val="20"/>
          <w:szCs w:val="20"/>
        </w:rPr>
      </w:pPr>
      <w:r>
        <w:rPr>
          <w:rFonts w:eastAsia="Times New Roman"/>
        </w:rPr>
        <w:t xml:space="preserve"> </w:t>
      </w:r>
      <w:r w:rsidR="00256F29" w:rsidRPr="00AE6CBA">
        <w:rPr>
          <w:rFonts w:eastAsia="Times New Roman"/>
          <w:color w:val="1F3864" w:themeColor="accent1" w:themeShade="80"/>
        </w:rPr>
        <w:t>Horizontální a vertikální dělba práce</w:t>
      </w:r>
    </w:p>
    <w:p w14:paraId="4A6F3D94" w14:textId="77777777" w:rsidR="008E0F74" w:rsidRPr="00FC3B7C" w:rsidRDefault="00256F29" w:rsidP="009016EA">
      <w:pPr>
        <w:rPr>
          <w:sz w:val="20"/>
          <w:szCs w:val="20"/>
        </w:rPr>
      </w:pPr>
      <w:r w:rsidRPr="00FC3B7C">
        <w:rPr>
          <w:rFonts w:eastAsia="Times New Roman"/>
        </w:rPr>
        <w:t xml:space="preserve">Jedním z praktických (ale i teoretických) problémů řízení veřejného sektoru je optimalizace dělby práce mezi jednotlivými stupni řízení a </w:t>
      </w:r>
      <w:r w:rsidRPr="00453F87">
        <w:rPr>
          <w:rFonts w:eastAsia="Times New Roman"/>
        </w:rPr>
        <w:t xml:space="preserve">mezi </w:t>
      </w:r>
      <w:r w:rsidRPr="00453F87">
        <w:rPr>
          <w:rFonts w:eastAsia="Times New Roman"/>
          <w:b/>
          <w:bCs/>
        </w:rPr>
        <w:t>státní správou a samosprávou</w:t>
      </w:r>
      <w:r w:rsidRPr="00453F87">
        <w:rPr>
          <w:rFonts w:eastAsia="Times New Roman"/>
          <w:i/>
          <w:iCs/>
        </w:rPr>
        <w:t>.</w:t>
      </w:r>
    </w:p>
    <w:p w14:paraId="4A6F3D95" w14:textId="77777777" w:rsidR="008E0F74" w:rsidRPr="00FC3B7C" w:rsidRDefault="00256F29" w:rsidP="009016EA">
      <w:pPr>
        <w:rPr>
          <w:sz w:val="20"/>
          <w:szCs w:val="20"/>
        </w:rPr>
      </w:pPr>
      <w:r w:rsidRPr="00FC3B7C">
        <w:rPr>
          <w:rFonts w:eastAsia="Times New Roman"/>
        </w:rPr>
        <w:t xml:space="preserve">Odborníci se shodují na použití dvou kritérií: míra objektivní potřebnosti uspokojovat určité potřeby </w:t>
      </w:r>
      <w:r w:rsidRPr="00453F87">
        <w:rPr>
          <w:rFonts w:eastAsia="Times New Roman"/>
          <w:i/>
          <w:iCs/>
        </w:rPr>
        <w:t>plošně</w:t>
      </w:r>
      <w:r w:rsidRPr="00FC3B7C">
        <w:rPr>
          <w:rFonts w:eastAsia="Times New Roman"/>
        </w:rPr>
        <w:t xml:space="preserve"> (tj. na území celého státu podle stejných pravidel) a míra objektivní potřebnosti poznat, formulovat a prosadit zájmy obyvatel </w:t>
      </w:r>
      <w:r w:rsidRPr="00453F87">
        <w:rPr>
          <w:rFonts w:eastAsia="Times New Roman"/>
          <w:i/>
          <w:iCs/>
        </w:rPr>
        <w:t>určité části země</w:t>
      </w:r>
      <w:r w:rsidRPr="00FC3B7C">
        <w:rPr>
          <w:rFonts w:eastAsia="Times New Roman"/>
        </w:rPr>
        <w:t>. Tam, kde převažuje vliv prvního kritéria, přebírá větší kompetenci státní správa (buď tyto činnosti řídí, nebo dohlíží na jejich realizaci). Tam, kde převažuje vliv druhého kritéria, tam přebírá větší kompetenci samospráva.</w:t>
      </w:r>
    </w:p>
    <w:p w14:paraId="4A6F3D96" w14:textId="08084D4B" w:rsidR="008E0F74" w:rsidRPr="00FC3B7C" w:rsidRDefault="00256F29" w:rsidP="009016EA">
      <w:pPr>
        <w:rPr>
          <w:sz w:val="20"/>
          <w:szCs w:val="20"/>
        </w:rPr>
      </w:pPr>
      <w:r w:rsidRPr="00FC3B7C">
        <w:rPr>
          <w:rFonts w:eastAsia="Times New Roman"/>
        </w:rPr>
        <w:t>Plošně jednotné zabezpečení potřeb lze zajistit i zákonně přijatými normami (např.</w:t>
      </w:r>
      <w:r w:rsidR="009016EA">
        <w:rPr>
          <w:sz w:val="20"/>
          <w:szCs w:val="20"/>
        </w:rPr>
        <w:t xml:space="preserve"> </w:t>
      </w:r>
      <w:r w:rsidRPr="00FC3B7C">
        <w:rPr>
          <w:rFonts w:eastAsia="Times New Roman"/>
          <w:sz w:val="23"/>
          <w:szCs w:val="23"/>
        </w:rPr>
        <w:t>počet dětí na jednu základní školu) – státní správa pak pouze dohlíží na dodržení těchto norem</w:t>
      </w:r>
      <w:bookmarkStart w:id="240" w:name="page240"/>
      <w:bookmarkEnd w:id="240"/>
      <w:r w:rsidR="003562E9">
        <w:rPr>
          <w:rFonts w:eastAsia="Times New Roman"/>
          <w:sz w:val="23"/>
          <w:szCs w:val="23"/>
        </w:rPr>
        <w:t xml:space="preserve"> </w:t>
      </w:r>
      <w:r w:rsidRPr="00FC3B7C">
        <w:rPr>
          <w:rFonts w:eastAsia="Times New Roman"/>
          <w:szCs w:val="24"/>
        </w:rPr>
        <w:t xml:space="preserve">(standardů), případně přiděluje prostředky přímo ze státního rozpočtu tam, kde se prostředky </w:t>
      </w:r>
      <w:r w:rsidR="009016EA">
        <w:rPr>
          <w:rFonts w:eastAsia="Times New Roman"/>
          <w:szCs w:val="24"/>
        </w:rPr>
        <w:br/>
      </w:r>
      <w:r w:rsidRPr="00FC3B7C">
        <w:rPr>
          <w:rFonts w:eastAsia="Times New Roman"/>
          <w:szCs w:val="24"/>
        </w:rPr>
        <w:t>z objektivních důvodů nedostávají.</w:t>
      </w:r>
    </w:p>
    <w:p w14:paraId="4A6F3D97" w14:textId="77777777" w:rsidR="008E0F74" w:rsidRPr="00FC3B7C" w:rsidRDefault="008E0F74">
      <w:pPr>
        <w:spacing w:line="1" w:lineRule="exact"/>
        <w:rPr>
          <w:sz w:val="20"/>
          <w:szCs w:val="20"/>
        </w:rPr>
      </w:pPr>
    </w:p>
    <w:p w14:paraId="4A6F3D98" w14:textId="36C26A0A" w:rsidR="008E0F74" w:rsidRPr="00FC3B7C" w:rsidRDefault="00256F29" w:rsidP="00453F87">
      <w:pPr>
        <w:rPr>
          <w:sz w:val="20"/>
          <w:szCs w:val="20"/>
        </w:rPr>
      </w:pPr>
      <w:r w:rsidRPr="00FC3B7C">
        <w:rPr>
          <w:rFonts w:eastAsia="Times New Roman"/>
        </w:rPr>
        <w:t>V demokratických státech můžeme pozorovat obecnou tendenci přesunu kompetencí od státní správy k samosprávě, o prosazení této tendence je však nutno neustále usilovat</w:t>
      </w:r>
      <w:r w:rsidR="00453F87">
        <w:rPr>
          <w:rFonts w:eastAsia="Times New Roman"/>
        </w:rPr>
        <w:t xml:space="preserve"> - </w:t>
      </w:r>
      <w:r w:rsidRPr="00FC3B7C">
        <w:rPr>
          <w:rFonts w:eastAsia="Times New Roman"/>
        </w:rPr>
        <w:t xml:space="preserve">státní správa má </w:t>
      </w:r>
      <w:r w:rsidRPr="00FC3B7C">
        <w:rPr>
          <w:rFonts w:eastAsia="Times New Roman"/>
        </w:rPr>
        <w:lastRenderedPageBreak/>
        <w:t>značnou setrvačnost, úředníci státních orgánů, zvláště centrálních, se neradi vzdávají svých kompetencí.</w:t>
      </w:r>
    </w:p>
    <w:p w14:paraId="4A6F3D99" w14:textId="7D48AA1F" w:rsidR="008E0F74" w:rsidRPr="00FC3B7C" w:rsidRDefault="00256F29" w:rsidP="00453F87">
      <w:pPr>
        <w:spacing w:after="240"/>
        <w:rPr>
          <w:sz w:val="20"/>
          <w:szCs w:val="20"/>
        </w:rPr>
      </w:pPr>
      <w:r w:rsidRPr="00FC3B7C">
        <w:rPr>
          <w:rFonts w:eastAsia="Times New Roman"/>
          <w:sz w:val="23"/>
          <w:szCs w:val="23"/>
        </w:rPr>
        <w:t xml:space="preserve">Pokud se jedná o dělbu práce mezi jednotlivými stupni řízení, především v samosprávě, prosazuje se </w:t>
      </w:r>
      <w:r w:rsidRPr="00FC3B7C">
        <w:rPr>
          <w:rFonts w:eastAsia="Times New Roman"/>
          <w:b/>
          <w:bCs/>
          <w:sz w:val="23"/>
          <w:szCs w:val="23"/>
        </w:rPr>
        <w:t>princip subsidiarity</w:t>
      </w:r>
      <w:r w:rsidR="00453F87">
        <w:rPr>
          <w:rFonts w:eastAsia="Times New Roman"/>
          <w:sz w:val="23"/>
          <w:szCs w:val="23"/>
        </w:rPr>
        <w:t xml:space="preserve"> - </w:t>
      </w:r>
      <w:r w:rsidRPr="00FC3B7C">
        <w:rPr>
          <w:rFonts w:eastAsia="Times New Roman"/>
          <w:sz w:val="23"/>
          <w:szCs w:val="23"/>
        </w:rPr>
        <w:t>tento princip vyžaduje, aby bylo rozhodování ve veřejném</w:t>
      </w:r>
      <w:r w:rsidR="009016EA">
        <w:rPr>
          <w:rFonts w:eastAsia="Times New Roman"/>
          <w:sz w:val="23"/>
          <w:szCs w:val="23"/>
        </w:rPr>
        <w:t xml:space="preserve"> s</w:t>
      </w:r>
      <w:r w:rsidRPr="00FC3B7C">
        <w:rPr>
          <w:rFonts w:eastAsia="Times New Roman"/>
        </w:rPr>
        <w:t>ektoru přiřazeno na co nejnižší stupeň řízení, na který jeho možno z objektivních důvodů ještě přiřadit.</w:t>
      </w:r>
    </w:p>
    <w:p w14:paraId="4A6F3D9B" w14:textId="15BE16CE" w:rsidR="008E0F74" w:rsidRPr="00FC3B7C" w:rsidRDefault="00AE6CBA" w:rsidP="009016EA">
      <w:pPr>
        <w:pStyle w:val="Nadpis3"/>
        <w:rPr>
          <w:sz w:val="20"/>
          <w:szCs w:val="20"/>
        </w:rPr>
      </w:pPr>
      <w:r>
        <w:rPr>
          <w:rFonts w:eastAsia="Times New Roman"/>
        </w:rPr>
        <w:t xml:space="preserve"> </w:t>
      </w:r>
      <w:r w:rsidR="00256F29" w:rsidRPr="00AE6CBA">
        <w:rPr>
          <w:rFonts w:eastAsia="Times New Roman"/>
          <w:color w:val="1F3864" w:themeColor="accent1" w:themeShade="80"/>
        </w:rPr>
        <w:t>Specifikum rozhodování ve veřejném sektoru</w:t>
      </w:r>
    </w:p>
    <w:p w14:paraId="4A6F3D9C" w14:textId="77777777" w:rsidR="008E0F74" w:rsidRPr="00FC3B7C" w:rsidRDefault="00256F29" w:rsidP="009016EA">
      <w:pPr>
        <w:rPr>
          <w:sz w:val="20"/>
          <w:szCs w:val="20"/>
        </w:rPr>
      </w:pPr>
      <w:r w:rsidRPr="00FC3B7C">
        <w:rPr>
          <w:rFonts w:eastAsia="Times New Roman"/>
        </w:rPr>
        <w:t>Rozhodovací cyklus obecně probíhá v následujících etapách:</w:t>
      </w:r>
    </w:p>
    <w:p w14:paraId="4A6F3D9D" w14:textId="77777777" w:rsidR="008E0F74" w:rsidRPr="00FC3B7C" w:rsidRDefault="008E0F74">
      <w:pPr>
        <w:spacing w:line="161" w:lineRule="exact"/>
        <w:rPr>
          <w:sz w:val="20"/>
          <w:szCs w:val="20"/>
        </w:rPr>
      </w:pPr>
    </w:p>
    <w:p w14:paraId="4A6F3D9E" w14:textId="77DC3181" w:rsidR="008E0F74" w:rsidRPr="00453F87" w:rsidRDefault="00256F29" w:rsidP="00D46B53">
      <w:pPr>
        <w:pStyle w:val="Odstavecseseznamem"/>
        <w:numPr>
          <w:ilvl w:val="0"/>
          <w:numId w:val="636"/>
        </w:numPr>
        <w:ind w:left="1134" w:right="40"/>
        <w:rPr>
          <w:sz w:val="20"/>
          <w:szCs w:val="20"/>
        </w:rPr>
      </w:pPr>
      <w:r w:rsidRPr="00453F87">
        <w:rPr>
          <w:rFonts w:eastAsia="Times New Roman"/>
          <w:szCs w:val="24"/>
        </w:rPr>
        <w:t>Diagnostika problému, který má být rozhodnutím řešen, a stanovení kritérií optimality řešení problému</w:t>
      </w:r>
    </w:p>
    <w:p w14:paraId="4A6F3D9F" w14:textId="7C22C770" w:rsidR="008E0F74" w:rsidRPr="00453F87" w:rsidRDefault="00256F29" w:rsidP="00D46B53">
      <w:pPr>
        <w:pStyle w:val="Odstavecseseznamem"/>
        <w:numPr>
          <w:ilvl w:val="0"/>
          <w:numId w:val="636"/>
        </w:numPr>
        <w:ind w:left="1134"/>
        <w:rPr>
          <w:sz w:val="20"/>
          <w:szCs w:val="20"/>
        </w:rPr>
      </w:pPr>
      <w:r w:rsidRPr="00453F87">
        <w:rPr>
          <w:rFonts w:eastAsia="Times New Roman"/>
          <w:szCs w:val="24"/>
        </w:rPr>
        <w:t>Zjištění informací potřebných pro kvalitní rozhodnutí</w:t>
      </w:r>
    </w:p>
    <w:p w14:paraId="4A6F3DA0" w14:textId="7E42FFA3" w:rsidR="008E0F74" w:rsidRPr="00453F87" w:rsidRDefault="00256F29" w:rsidP="00D46B53">
      <w:pPr>
        <w:pStyle w:val="Odstavecseseznamem"/>
        <w:numPr>
          <w:ilvl w:val="0"/>
          <w:numId w:val="636"/>
        </w:numPr>
        <w:ind w:left="1134"/>
        <w:rPr>
          <w:sz w:val="20"/>
          <w:szCs w:val="20"/>
        </w:rPr>
      </w:pPr>
      <w:r w:rsidRPr="00453F87">
        <w:rPr>
          <w:rFonts w:eastAsia="Times New Roman"/>
          <w:szCs w:val="24"/>
        </w:rPr>
        <w:t>Analýza informací a zpracování variant řešení diagnostikovaného problému</w:t>
      </w:r>
    </w:p>
    <w:p w14:paraId="4A6F3DA1" w14:textId="5FE04945" w:rsidR="008E0F74" w:rsidRPr="00453F87" w:rsidRDefault="00256F29" w:rsidP="00D46B53">
      <w:pPr>
        <w:pStyle w:val="Odstavecseseznamem"/>
        <w:numPr>
          <w:ilvl w:val="0"/>
          <w:numId w:val="636"/>
        </w:numPr>
        <w:ind w:left="1134"/>
        <w:rPr>
          <w:sz w:val="20"/>
          <w:szCs w:val="20"/>
        </w:rPr>
      </w:pPr>
      <w:r w:rsidRPr="00453F87">
        <w:rPr>
          <w:rFonts w:eastAsia="Times New Roman"/>
          <w:szCs w:val="24"/>
        </w:rPr>
        <w:t>Rozhodnutí</w:t>
      </w:r>
    </w:p>
    <w:p w14:paraId="4A6F3DA2" w14:textId="38B74B93" w:rsidR="008E0F74" w:rsidRPr="00453F87" w:rsidRDefault="00256F29" w:rsidP="00D46B53">
      <w:pPr>
        <w:pStyle w:val="Odstavecseseznamem"/>
        <w:numPr>
          <w:ilvl w:val="0"/>
          <w:numId w:val="636"/>
        </w:numPr>
        <w:ind w:left="1134"/>
        <w:rPr>
          <w:sz w:val="20"/>
          <w:szCs w:val="20"/>
        </w:rPr>
      </w:pPr>
      <w:r w:rsidRPr="00453F87">
        <w:rPr>
          <w:rFonts w:eastAsia="Times New Roman"/>
          <w:szCs w:val="24"/>
        </w:rPr>
        <w:t>Kontrola průběhu plnění rozhodnutí a dosaženého výsledku</w:t>
      </w:r>
    </w:p>
    <w:p w14:paraId="4A6F3DA3" w14:textId="77777777" w:rsidR="008E0F74" w:rsidRPr="00FC3B7C" w:rsidRDefault="008E0F74">
      <w:pPr>
        <w:spacing w:line="74" w:lineRule="exact"/>
        <w:rPr>
          <w:sz w:val="20"/>
          <w:szCs w:val="20"/>
        </w:rPr>
      </w:pPr>
    </w:p>
    <w:p w14:paraId="4A6F3DA4" w14:textId="632EDF7B" w:rsidR="008E0F74" w:rsidRPr="00FC3B7C" w:rsidRDefault="00256F29" w:rsidP="00453F87">
      <w:pPr>
        <w:spacing w:after="240"/>
        <w:rPr>
          <w:sz w:val="20"/>
          <w:szCs w:val="20"/>
        </w:rPr>
      </w:pPr>
      <w:r w:rsidRPr="00FC3B7C">
        <w:rPr>
          <w:rFonts w:eastAsia="Times New Roman"/>
        </w:rPr>
        <w:t>V řízení veřejného sektoru, kde převládá rozhodování cestou veřejné volby, dochází ke specifické dělbě práce mezi volenými funkcionáři a profesionálním aparátem</w:t>
      </w:r>
      <w:r w:rsidR="00453F87">
        <w:rPr>
          <w:rFonts w:eastAsia="Times New Roman"/>
        </w:rPr>
        <w:t xml:space="preserve"> - </w:t>
      </w:r>
      <w:r w:rsidRPr="00FC3B7C">
        <w:rPr>
          <w:rFonts w:eastAsia="Times New Roman"/>
        </w:rPr>
        <w:t xml:space="preserve">profesionální </w:t>
      </w:r>
      <w:r w:rsidR="009016EA">
        <w:rPr>
          <w:rFonts w:eastAsia="Times New Roman"/>
        </w:rPr>
        <w:t>a</w:t>
      </w:r>
      <w:r w:rsidRPr="00FC3B7C">
        <w:rPr>
          <w:rFonts w:eastAsia="Times New Roman"/>
        </w:rPr>
        <w:t>parát (např. na obecních úřadech) připravuje a zajišťuje realizaci rozhodnutí, rozhodnutí však přijímají veřejnou volbu zastupitelstva, tedy poslanci.</w:t>
      </w:r>
    </w:p>
    <w:p w14:paraId="4A6F3DA6" w14:textId="27147AE8" w:rsidR="008E0F74" w:rsidRPr="00AE6CBA" w:rsidRDefault="003376E1" w:rsidP="00FF0837">
      <w:pPr>
        <w:pStyle w:val="Nadpis3"/>
        <w:rPr>
          <w:color w:val="1F3864" w:themeColor="accent1" w:themeShade="80"/>
          <w:sz w:val="20"/>
          <w:szCs w:val="20"/>
        </w:rPr>
      </w:pPr>
      <w:r>
        <w:rPr>
          <w:rFonts w:eastAsia="Times New Roman"/>
          <w:color w:val="1F3864" w:themeColor="accent1" w:themeShade="80"/>
        </w:rPr>
        <w:t xml:space="preserve"> </w:t>
      </w:r>
      <w:r w:rsidR="00256F29" w:rsidRPr="00AE6CBA">
        <w:rPr>
          <w:rFonts w:eastAsia="Times New Roman"/>
          <w:color w:val="1F3864" w:themeColor="accent1" w:themeShade="80"/>
        </w:rPr>
        <w:t>Formy, nástroje a metody</w:t>
      </w:r>
      <w:r w:rsidR="00256F29" w:rsidRPr="00AE6CBA">
        <w:rPr>
          <w:rFonts w:eastAsia="Times New Roman"/>
          <w:color w:val="1F3864" w:themeColor="accent1" w:themeShade="80"/>
          <w:sz w:val="32"/>
          <w:szCs w:val="32"/>
        </w:rPr>
        <w:t xml:space="preserve"> </w:t>
      </w:r>
      <w:r w:rsidR="00256F29" w:rsidRPr="00AE6CBA">
        <w:rPr>
          <w:rFonts w:eastAsia="Times New Roman"/>
          <w:color w:val="1F3864" w:themeColor="accent1" w:themeShade="80"/>
        </w:rPr>
        <w:t>řízení veřejného sektoru</w:t>
      </w:r>
    </w:p>
    <w:p w14:paraId="4A6F3DA7" w14:textId="77777777" w:rsidR="008E0F74" w:rsidRPr="00AE6CBA" w:rsidRDefault="00256F29" w:rsidP="009016EA">
      <w:pPr>
        <w:pStyle w:val="Nadpis4"/>
        <w:rPr>
          <w:color w:val="1F3864" w:themeColor="accent1" w:themeShade="80"/>
          <w:sz w:val="20"/>
          <w:szCs w:val="20"/>
        </w:rPr>
      </w:pPr>
      <w:r w:rsidRPr="00AE6CBA">
        <w:rPr>
          <w:rFonts w:eastAsia="Times New Roman"/>
          <w:color w:val="1F3864" w:themeColor="accent1" w:themeShade="80"/>
        </w:rPr>
        <w:t>Forma řízení</w:t>
      </w:r>
    </w:p>
    <w:p w14:paraId="4A6F3DA8" w14:textId="77777777" w:rsidR="008E0F74" w:rsidRPr="00FC3B7C" w:rsidRDefault="00256F29" w:rsidP="00453F87">
      <w:r w:rsidRPr="00FC3B7C">
        <w:rPr>
          <w:rFonts w:eastAsia="Times New Roman"/>
        </w:rPr>
        <w:t xml:space="preserve">Forma řízení je základní charakteristikou řídicího systému, která je určena mírou centralizace (mírou decentralizace) rozhodovacích kompetencí. Podle teorie řízení rozlišujeme tři formy: </w:t>
      </w:r>
      <w:r w:rsidRPr="00453F87">
        <w:rPr>
          <w:rFonts w:eastAsia="Times New Roman"/>
          <w:i/>
          <w:iCs/>
        </w:rPr>
        <w:t>přímou direktivní, přímou nedirektivní a nepřímou.</w:t>
      </w:r>
    </w:p>
    <w:p w14:paraId="17C8CE86" w14:textId="77777777" w:rsidR="00453F87" w:rsidRDefault="00256F29" w:rsidP="00453F87">
      <w:pPr>
        <w:rPr>
          <w:rFonts w:eastAsia="Times New Roman"/>
        </w:rPr>
      </w:pPr>
      <w:r w:rsidRPr="00FC3B7C">
        <w:rPr>
          <w:rFonts w:eastAsia="Times New Roman"/>
          <w:b/>
          <w:bCs/>
        </w:rPr>
        <w:t xml:space="preserve">Přímá direktivní forma </w:t>
      </w:r>
      <w:r w:rsidRPr="00FC3B7C">
        <w:rPr>
          <w:rFonts w:eastAsia="Times New Roman"/>
        </w:rPr>
        <w:t>se vyznačuje vysokou mírou centralizace rozhodovacích</w:t>
      </w:r>
      <w:r w:rsidRPr="00FC3B7C">
        <w:rPr>
          <w:rFonts w:eastAsia="Times New Roman"/>
          <w:b/>
          <w:bCs/>
        </w:rPr>
        <w:t xml:space="preserve"> </w:t>
      </w:r>
      <w:r w:rsidRPr="00FC3B7C">
        <w:rPr>
          <w:rFonts w:eastAsia="Times New Roman"/>
        </w:rPr>
        <w:t>kompetencí. Nástroje, které používá, mají autoritativní charakter, od řízeného systému se očekává iniciativa pouze ve smyslu dobrého plnění uložených úkolů. Řídícím orgánům na nižších stupních je vlastně vymezen prostor pro správní činnosti</w:t>
      </w:r>
      <w:r w:rsidR="00453F87">
        <w:rPr>
          <w:rFonts w:eastAsia="Times New Roman"/>
        </w:rPr>
        <w:t xml:space="preserve"> - </w:t>
      </w:r>
      <w:r w:rsidRPr="00FC3B7C">
        <w:rPr>
          <w:rFonts w:eastAsia="Times New Roman"/>
        </w:rPr>
        <w:t xml:space="preserve">od řídících činností se liší tím, že v nich chybí skutečný rozhodovací proces. </w:t>
      </w:r>
    </w:p>
    <w:p w14:paraId="4A6F3DA9" w14:textId="7FC3A2F7" w:rsidR="008E0F74" w:rsidRDefault="00256F29" w:rsidP="00453F87">
      <w:pPr>
        <w:rPr>
          <w:rFonts w:eastAsia="Times New Roman"/>
          <w:szCs w:val="24"/>
        </w:rPr>
      </w:pPr>
      <w:r w:rsidRPr="00FC3B7C">
        <w:rPr>
          <w:rFonts w:eastAsia="Times New Roman"/>
          <w:b/>
          <w:bCs/>
        </w:rPr>
        <w:t xml:space="preserve">Přímá nedirektivní forma </w:t>
      </w:r>
      <w:r w:rsidRPr="00FC3B7C">
        <w:rPr>
          <w:rFonts w:eastAsia="Times New Roman"/>
        </w:rPr>
        <w:t>se vyznačuje tím,</w:t>
      </w:r>
      <w:r w:rsidRPr="00FC3B7C">
        <w:rPr>
          <w:rFonts w:eastAsia="Times New Roman"/>
          <w:b/>
          <w:bCs/>
        </w:rPr>
        <w:t xml:space="preserve"> </w:t>
      </w:r>
      <w:r w:rsidRPr="00FC3B7C">
        <w:rPr>
          <w:rFonts w:eastAsia="Times New Roman"/>
        </w:rPr>
        <w:t>že</w:t>
      </w:r>
      <w:r w:rsidRPr="00FC3B7C">
        <w:rPr>
          <w:rFonts w:eastAsia="Times New Roman"/>
          <w:b/>
          <w:bCs/>
        </w:rPr>
        <w:t xml:space="preserve"> </w:t>
      </w:r>
      <w:r w:rsidRPr="00FC3B7C">
        <w:rPr>
          <w:rFonts w:eastAsia="Times New Roman"/>
        </w:rPr>
        <w:t>řídící centrum stanovuje</w:t>
      </w:r>
      <w:r w:rsidRPr="00FC3B7C">
        <w:rPr>
          <w:rFonts w:eastAsia="Times New Roman"/>
          <w:b/>
          <w:bCs/>
        </w:rPr>
        <w:t xml:space="preserve"> </w:t>
      </w:r>
      <w:r w:rsidRPr="00FC3B7C">
        <w:rPr>
          <w:rFonts w:eastAsia="Times New Roman"/>
        </w:rPr>
        <w:t>řízeným</w:t>
      </w:r>
      <w:r w:rsidRPr="00FC3B7C">
        <w:rPr>
          <w:rFonts w:eastAsia="Times New Roman"/>
          <w:b/>
          <w:bCs/>
        </w:rPr>
        <w:t xml:space="preserve"> </w:t>
      </w:r>
      <w:r w:rsidRPr="00FC3B7C">
        <w:rPr>
          <w:rFonts w:eastAsia="Times New Roman"/>
        </w:rPr>
        <w:t>subjektům jejich poslání (vymezené např. ve statutu nebo jiném dokumentu), případně i hlavní cíle. Volí se nástroje řízení obvykle motivačního, zvláště finančního charakteru, které vedou řízené subjekty k vymezení takových cílů a takových způsobů</w:t>
      </w:r>
      <w:bookmarkStart w:id="241" w:name="page241"/>
      <w:bookmarkEnd w:id="241"/>
      <w:r w:rsidR="009016EA">
        <w:rPr>
          <w:rFonts w:eastAsia="Times New Roman"/>
        </w:rPr>
        <w:t xml:space="preserve"> j</w:t>
      </w:r>
      <w:r w:rsidRPr="00FC3B7C">
        <w:rPr>
          <w:rFonts w:eastAsia="Times New Roman"/>
          <w:szCs w:val="24"/>
        </w:rPr>
        <w:t xml:space="preserve">ejich dosažení, které vedou optimální cestou k </w:t>
      </w:r>
      <w:r w:rsidRPr="00FC3B7C">
        <w:rPr>
          <w:rFonts w:eastAsia="Times New Roman"/>
          <w:szCs w:val="24"/>
        </w:rPr>
        <w:lastRenderedPageBreak/>
        <w:t>naplňování poslání. Přímá nedirektivní forma řízení je velmi účinná za předpokladu volby vhodných nástrojů řízení. Tato forma je nejvíce uplatněna v řízení po linii samosprávy.</w:t>
      </w:r>
    </w:p>
    <w:p w14:paraId="4A6F3DAA" w14:textId="22CED1BC" w:rsidR="008E0F74" w:rsidRPr="00FC3B7C" w:rsidRDefault="00256F29" w:rsidP="00562D8C">
      <w:pPr>
        <w:spacing w:after="240"/>
      </w:pPr>
      <w:r w:rsidRPr="00FC3B7C">
        <w:rPr>
          <w:rFonts w:eastAsia="Times New Roman"/>
          <w:szCs w:val="24"/>
        </w:rPr>
        <w:t xml:space="preserve">U </w:t>
      </w:r>
      <w:r w:rsidRPr="00FC3B7C">
        <w:rPr>
          <w:rFonts w:eastAsia="Times New Roman"/>
          <w:b/>
          <w:bCs/>
          <w:szCs w:val="24"/>
        </w:rPr>
        <w:t>nepřímé formy</w:t>
      </w:r>
      <w:r w:rsidRPr="00FC3B7C">
        <w:rPr>
          <w:rFonts w:eastAsia="Times New Roman"/>
          <w:szCs w:val="24"/>
        </w:rPr>
        <w:t xml:space="preserve"> stanoví řídící centrum úkoly samo pro sebe, řízeným subjektům nic nevymezuje a volí takové motivační nástroje, které vedou řízené subjekty ke stanovení svého poslání a cílů, pomocí nichž budou naplňovány úkoly, které si řídící centrum stanovilo samo pro sebe. Tato forma se používá tehdy, když řídící subjekt není vůči svému okolí v roli statutárního řídícího subjektu, ale chce chování tohoto okolí ovlivnit. V řízení veřejného sektoru je tato forma používaná všemi zastupitelskými sbory tam, kde jednání občanů není stanoveno zákonem nebo vyhláškou, ale zastupitelské sbory chtějí takové jednání občanů vyvolat.</w:t>
      </w:r>
    </w:p>
    <w:p w14:paraId="4A6F3DAC" w14:textId="77777777" w:rsidR="008E0F74" w:rsidRPr="00AE6CBA" w:rsidRDefault="00256F29" w:rsidP="009016EA">
      <w:pPr>
        <w:pStyle w:val="Nadpis4"/>
        <w:rPr>
          <w:color w:val="1F3864" w:themeColor="accent1" w:themeShade="80"/>
          <w:sz w:val="20"/>
          <w:szCs w:val="20"/>
        </w:rPr>
      </w:pPr>
      <w:bookmarkStart w:id="242" w:name="page242"/>
      <w:bookmarkEnd w:id="242"/>
      <w:r w:rsidRPr="00AE6CBA">
        <w:rPr>
          <w:rFonts w:eastAsia="Times New Roman"/>
          <w:color w:val="1F3864" w:themeColor="accent1" w:themeShade="80"/>
        </w:rPr>
        <w:t>Nástroje řízení</w:t>
      </w:r>
    </w:p>
    <w:p w14:paraId="4A6F3DAE" w14:textId="77777777" w:rsidR="008E0F74" w:rsidRPr="00FC3B7C" w:rsidRDefault="00256F29" w:rsidP="00562D8C">
      <w:pPr>
        <w:rPr>
          <w:sz w:val="20"/>
          <w:szCs w:val="20"/>
        </w:rPr>
      </w:pPr>
      <w:r w:rsidRPr="00FC3B7C">
        <w:rPr>
          <w:rFonts w:eastAsia="Times New Roman"/>
          <w:b/>
          <w:bCs/>
        </w:rPr>
        <w:t>Koncepce</w:t>
      </w:r>
      <w:r w:rsidRPr="00FC3B7C">
        <w:rPr>
          <w:rFonts w:eastAsia="Times New Roman"/>
        </w:rPr>
        <w:t>: má za úkol stanovit základní cíle veřejného sektoru, jeho bloků, odvětví</w:t>
      </w:r>
      <w:r w:rsidRPr="00FC3B7C">
        <w:rPr>
          <w:rFonts w:eastAsia="Times New Roman"/>
          <w:b/>
          <w:bCs/>
        </w:rPr>
        <w:t xml:space="preserve"> </w:t>
      </w:r>
      <w:r w:rsidRPr="00FC3B7C">
        <w:rPr>
          <w:rFonts w:eastAsia="Times New Roman"/>
        </w:rPr>
        <w:t>i institucí a základní způsoby jejich dosažení.</w:t>
      </w:r>
    </w:p>
    <w:p w14:paraId="4A6F3DAF" w14:textId="77777777" w:rsidR="009016EA" w:rsidRDefault="00256F29" w:rsidP="00562D8C">
      <w:pPr>
        <w:rPr>
          <w:rFonts w:eastAsia="Times New Roman"/>
          <w:sz w:val="23"/>
          <w:szCs w:val="23"/>
        </w:rPr>
      </w:pPr>
      <w:r w:rsidRPr="00FC3B7C">
        <w:rPr>
          <w:rFonts w:eastAsia="Times New Roman"/>
          <w:b/>
          <w:bCs/>
          <w:sz w:val="23"/>
          <w:szCs w:val="23"/>
        </w:rPr>
        <w:t>Plán</w:t>
      </w:r>
      <w:r w:rsidRPr="00FC3B7C">
        <w:rPr>
          <w:rFonts w:eastAsia="Times New Roman"/>
          <w:sz w:val="23"/>
          <w:szCs w:val="23"/>
        </w:rPr>
        <w:t>: má za úkol zajistit realizaci koncepčních cílů</w:t>
      </w:r>
      <w:r w:rsidRPr="00FC3B7C">
        <w:rPr>
          <w:rFonts w:eastAsia="Times New Roman"/>
          <w:b/>
          <w:bCs/>
          <w:sz w:val="23"/>
          <w:szCs w:val="23"/>
        </w:rPr>
        <w:t xml:space="preserve"> </w:t>
      </w:r>
      <w:r w:rsidRPr="00FC3B7C">
        <w:rPr>
          <w:rFonts w:eastAsia="Times New Roman"/>
          <w:sz w:val="23"/>
          <w:szCs w:val="23"/>
        </w:rPr>
        <w:t>tím,</w:t>
      </w:r>
      <w:r w:rsidRPr="00FC3B7C">
        <w:rPr>
          <w:rFonts w:eastAsia="Times New Roman"/>
          <w:b/>
          <w:bCs/>
          <w:sz w:val="23"/>
          <w:szCs w:val="23"/>
        </w:rPr>
        <w:t xml:space="preserve"> </w:t>
      </w:r>
      <w:r w:rsidRPr="00FC3B7C">
        <w:rPr>
          <w:rFonts w:eastAsia="Times New Roman"/>
          <w:sz w:val="23"/>
          <w:szCs w:val="23"/>
        </w:rPr>
        <w:t>že komplexníma</w:t>
      </w:r>
      <w:r w:rsidRPr="00FC3B7C">
        <w:rPr>
          <w:rFonts w:eastAsia="Times New Roman"/>
          <w:b/>
          <w:bCs/>
          <w:sz w:val="23"/>
          <w:szCs w:val="23"/>
        </w:rPr>
        <w:t xml:space="preserve"> </w:t>
      </w:r>
      <w:r w:rsidRPr="00FC3B7C">
        <w:rPr>
          <w:rFonts w:eastAsia="Times New Roman"/>
          <w:sz w:val="23"/>
          <w:szCs w:val="23"/>
        </w:rPr>
        <w:t>konzistentním způsobem určí co, kde, kdo, kdy a jak učiní.</w:t>
      </w:r>
    </w:p>
    <w:p w14:paraId="4A6F3DB0" w14:textId="77777777" w:rsidR="008E0F74" w:rsidRPr="00FC3B7C" w:rsidRDefault="00256F29" w:rsidP="00562D8C">
      <w:pPr>
        <w:rPr>
          <w:sz w:val="20"/>
          <w:szCs w:val="20"/>
        </w:rPr>
      </w:pPr>
      <w:r w:rsidRPr="00FC3B7C">
        <w:rPr>
          <w:rFonts w:eastAsia="Times New Roman"/>
          <w:b/>
          <w:bCs/>
          <w:sz w:val="23"/>
          <w:szCs w:val="23"/>
        </w:rPr>
        <w:t>Právní a organizační normy</w:t>
      </w:r>
      <w:r w:rsidRPr="00FC3B7C">
        <w:rPr>
          <w:rFonts w:eastAsia="Times New Roman"/>
          <w:sz w:val="23"/>
          <w:szCs w:val="23"/>
        </w:rPr>
        <w:t>: stanovují pravidla výkonu</w:t>
      </w:r>
      <w:r w:rsidRPr="00FC3B7C">
        <w:rPr>
          <w:rFonts w:eastAsia="Times New Roman"/>
          <w:b/>
          <w:bCs/>
          <w:sz w:val="23"/>
          <w:szCs w:val="23"/>
        </w:rPr>
        <w:t xml:space="preserve"> </w:t>
      </w:r>
      <w:r w:rsidRPr="00FC3B7C">
        <w:rPr>
          <w:rFonts w:eastAsia="Times New Roman"/>
          <w:sz w:val="23"/>
          <w:szCs w:val="23"/>
        </w:rPr>
        <w:t>činností ve veřejném</w:t>
      </w:r>
      <w:r w:rsidRPr="00FC3B7C">
        <w:rPr>
          <w:rFonts w:eastAsia="Times New Roman"/>
          <w:b/>
          <w:bCs/>
          <w:sz w:val="23"/>
          <w:szCs w:val="23"/>
        </w:rPr>
        <w:t xml:space="preserve"> </w:t>
      </w:r>
      <w:r w:rsidRPr="00FC3B7C">
        <w:rPr>
          <w:rFonts w:eastAsia="Times New Roman"/>
          <w:sz w:val="23"/>
          <w:szCs w:val="23"/>
        </w:rPr>
        <w:t>sektoru, a to jak činností primárních funkcí, tak činností sekundárních funkcí.</w:t>
      </w:r>
    </w:p>
    <w:p w14:paraId="4A6F3DB1" w14:textId="77777777" w:rsidR="008E0F74" w:rsidRPr="00FC3B7C" w:rsidRDefault="00256F29" w:rsidP="00562D8C">
      <w:pPr>
        <w:rPr>
          <w:sz w:val="20"/>
          <w:szCs w:val="20"/>
        </w:rPr>
      </w:pPr>
      <w:r w:rsidRPr="00FC3B7C">
        <w:rPr>
          <w:rFonts w:eastAsia="Times New Roman"/>
          <w:b/>
          <w:bCs/>
        </w:rPr>
        <w:t>Motivační nástroje</w:t>
      </w:r>
      <w:r w:rsidRPr="00FC3B7C">
        <w:rPr>
          <w:rFonts w:eastAsia="Times New Roman"/>
        </w:rPr>
        <w:t>:</w:t>
      </w:r>
      <w:r w:rsidRPr="00FC3B7C">
        <w:rPr>
          <w:rFonts w:eastAsia="Times New Roman"/>
          <w:b/>
          <w:bCs/>
        </w:rPr>
        <w:t xml:space="preserve"> </w:t>
      </w:r>
      <w:r w:rsidRPr="00FC3B7C">
        <w:rPr>
          <w:rFonts w:eastAsia="Times New Roman"/>
        </w:rPr>
        <w:t>členíme je na hmotné (finanční) amorální, mají za úkol ovlivnit</w:t>
      </w:r>
      <w:r w:rsidRPr="00FC3B7C">
        <w:rPr>
          <w:rFonts w:eastAsia="Times New Roman"/>
          <w:b/>
          <w:bCs/>
        </w:rPr>
        <w:t xml:space="preserve"> </w:t>
      </w:r>
      <w:r w:rsidRPr="00FC3B7C">
        <w:rPr>
          <w:rFonts w:eastAsia="Times New Roman"/>
        </w:rPr>
        <w:t>chování řízených subjektů způsobem, které řídící subjekt cílově sleduje.</w:t>
      </w:r>
    </w:p>
    <w:p w14:paraId="4A6F3DB3" w14:textId="59996707" w:rsidR="008E0F74" w:rsidRPr="00FC3B7C" w:rsidRDefault="00256F29" w:rsidP="00562D8C">
      <w:pPr>
        <w:spacing w:after="240"/>
        <w:rPr>
          <w:sz w:val="20"/>
          <w:szCs w:val="20"/>
        </w:rPr>
      </w:pPr>
      <w:r w:rsidRPr="00FC3B7C">
        <w:rPr>
          <w:rFonts w:eastAsia="Times New Roman"/>
          <w:b/>
          <w:bCs/>
        </w:rPr>
        <w:t>Nástroje kontroly</w:t>
      </w:r>
      <w:r w:rsidRPr="00FC3B7C">
        <w:rPr>
          <w:rFonts w:eastAsia="Times New Roman"/>
        </w:rPr>
        <w:t>: zajišťují tzv. zpětnou vazbu, tedy přinášejí</w:t>
      </w:r>
      <w:r w:rsidRPr="00FC3B7C">
        <w:rPr>
          <w:rFonts w:eastAsia="Times New Roman"/>
          <w:b/>
          <w:bCs/>
        </w:rPr>
        <w:t xml:space="preserve"> </w:t>
      </w:r>
      <w:r w:rsidRPr="00FC3B7C">
        <w:rPr>
          <w:rFonts w:eastAsia="Times New Roman"/>
        </w:rPr>
        <w:t>řídícímu subjektu</w:t>
      </w:r>
      <w:r w:rsidRPr="00FC3B7C">
        <w:rPr>
          <w:rFonts w:eastAsia="Times New Roman"/>
          <w:b/>
          <w:bCs/>
        </w:rPr>
        <w:t xml:space="preserve"> </w:t>
      </w:r>
      <w:r w:rsidRPr="00FC3B7C">
        <w:rPr>
          <w:rFonts w:eastAsia="Times New Roman"/>
        </w:rPr>
        <w:t>Informace o tom, jak je plněno a splněno to, co má být splněno.</w:t>
      </w:r>
    </w:p>
    <w:p w14:paraId="4A6F3DB4" w14:textId="77777777" w:rsidR="008E0F74" w:rsidRPr="00AE6CBA" w:rsidRDefault="00256F29" w:rsidP="000B13B0">
      <w:pPr>
        <w:pStyle w:val="Nadpis4"/>
        <w:rPr>
          <w:color w:val="1F3864" w:themeColor="accent1" w:themeShade="80"/>
          <w:sz w:val="20"/>
          <w:szCs w:val="20"/>
        </w:rPr>
      </w:pPr>
      <w:r w:rsidRPr="00AE6CBA">
        <w:rPr>
          <w:rFonts w:eastAsia="Times New Roman"/>
          <w:color w:val="1F3864" w:themeColor="accent1" w:themeShade="80"/>
        </w:rPr>
        <w:t>Veřejná kontrola</w:t>
      </w:r>
    </w:p>
    <w:p w14:paraId="4A6F3DB5" w14:textId="77777777" w:rsidR="008E0F74" w:rsidRPr="00FC3B7C" w:rsidRDefault="00256F29" w:rsidP="000B13B0">
      <w:r w:rsidRPr="00FC3B7C">
        <w:rPr>
          <w:rFonts w:eastAsia="Times New Roman"/>
          <w:szCs w:val="24"/>
        </w:rPr>
        <w:t xml:space="preserve">Veřejná kontrola je jeden z charakteristických znaků veřejného sektoru. Rozlišujeme dvě formy: </w:t>
      </w:r>
      <w:r w:rsidRPr="00562D8C">
        <w:rPr>
          <w:rFonts w:eastAsia="Times New Roman"/>
          <w:i/>
          <w:iCs/>
          <w:szCs w:val="24"/>
        </w:rPr>
        <w:t>laickou a profesionální.</w:t>
      </w:r>
    </w:p>
    <w:p w14:paraId="4A6F3DB6" w14:textId="4189EC92" w:rsidR="008E0F74" w:rsidRPr="00FC3B7C" w:rsidRDefault="00256F29" w:rsidP="000B13B0">
      <w:r w:rsidRPr="00FC3B7C">
        <w:rPr>
          <w:rFonts w:eastAsia="Times New Roman"/>
          <w:b/>
          <w:bCs/>
          <w:szCs w:val="24"/>
        </w:rPr>
        <w:t>Laickou</w:t>
      </w:r>
      <w:r w:rsidR="003562E9">
        <w:rPr>
          <w:rFonts w:eastAsia="Times New Roman"/>
          <w:b/>
          <w:bCs/>
          <w:szCs w:val="24"/>
        </w:rPr>
        <w:t xml:space="preserve"> </w:t>
      </w:r>
      <w:r w:rsidRPr="00FC3B7C">
        <w:rPr>
          <w:rFonts w:eastAsia="Times New Roman"/>
          <w:b/>
          <w:bCs/>
          <w:szCs w:val="24"/>
        </w:rPr>
        <w:t xml:space="preserve">(občanskou) kontrolu </w:t>
      </w:r>
      <w:r w:rsidRPr="00FC3B7C">
        <w:rPr>
          <w:rFonts w:eastAsia="Times New Roman"/>
          <w:szCs w:val="24"/>
        </w:rPr>
        <w:t>má každý</w:t>
      </w:r>
      <w:r w:rsidRPr="00FC3B7C">
        <w:rPr>
          <w:rFonts w:eastAsia="Times New Roman"/>
          <w:b/>
          <w:bCs/>
          <w:szCs w:val="24"/>
        </w:rPr>
        <w:t xml:space="preserve"> </w:t>
      </w:r>
      <w:r w:rsidRPr="00FC3B7C">
        <w:rPr>
          <w:rFonts w:eastAsia="Times New Roman"/>
          <w:szCs w:val="24"/>
        </w:rPr>
        <w:t>občan právo a povinnost provádět buď</w:t>
      </w:r>
      <w:r w:rsidRPr="00FC3B7C">
        <w:rPr>
          <w:rFonts w:eastAsia="Times New Roman"/>
          <w:b/>
          <w:bCs/>
          <w:szCs w:val="24"/>
        </w:rPr>
        <w:t xml:space="preserve"> </w:t>
      </w:r>
      <w:r w:rsidRPr="00FC3B7C">
        <w:rPr>
          <w:rFonts w:eastAsia="Times New Roman"/>
          <w:szCs w:val="24"/>
        </w:rPr>
        <w:t>svou účastí na zasedání zastupitelstva, nebo prostřednictvím svých zástupců ve volených orgánech. Je zaměřena na ty činnosti (statky) produkované ve veřejném sektoru, které může laik posoudit.</w:t>
      </w:r>
    </w:p>
    <w:p w14:paraId="4A6F3DB9" w14:textId="63456AF6" w:rsidR="008E0F74" w:rsidRPr="00FC3B7C" w:rsidRDefault="00256F29" w:rsidP="00562D8C">
      <w:pPr>
        <w:spacing w:after="240"/>
        <w:rPr>
          <w:sz w:val="20"/>
          <w:szCs w:val="20"/>
        </w:rPr>
      </w:pPr>
      <w:r w:rsidRPr="00FC3B7C">
        <w:rPr>
          <w:rFonts w:eastAsia="Times New Roman"/>
          <w:b/>
          <w:bCs/>
          <w:szCs w:val="24"/>
        </w:rPr>
        <w:t xml:space="preserve">Profesionální kontrolu </w:t>
      </w:r>
      <w:r w:rsidRPr="00FC3B7C">
        <w:rPr>
          <w:rFonts w:eastAsia="Times New Roman"/>
          <w:szCs w:val="24"/>
        </w:rPr>
        <w:t>provádějí odborné kontrolní orgány (např. ve</w:t>
      </w:r>
      <w:r w:rsidRPr="00FC3B7C">
        <w:rPr>
          <w:rFonts w:eastAsia="Times New Roman"/>
          <w:b/>
          <w:bCs/>
          <w:szCs w:val="24"/>
        </w:rPr>
        <w:t xml:space="preserve"> </w:t>
      </w:r>
      <w:r w:rsidRPr="00FC3B7C">
        <w:rPr>
          <w:rFonts w:eastAsia="Times New Roman"/>
          <w:szCs w:val="24"/>
        </w:rPr>
        <w:t>školství</w:t>
      </w:r>
      <w:r w:rsidR="003562E9">
        <w:rPr>
          <w:rFonts w:eastAsia="Times New Roman"/>
          <w:szCs w:val="24"/>
        </w:rPr>
        <w:t xml:space="preserve"> </w:t>
      </w:r>
      <w:r w:rsidRPr="00FC3B7C">
        <w:rPr>
          <w:rFonts w:eastAsia="Times New Roman"/>
          <w:szCs w:val="24"/>
        </w:rPr>
        <w:t>– státní</w:t>
      </w:r>
      <w:r w:rsidRPr="00FC3B7C">
        <w:rPr>
          <w:rFonts w:eastAsia="Times New Roman"/>
          <w:b/>
          <w:bCs/>
          <w:szCs w:val="24"/>
        </w:rPr>
        <w:t xml:space="preserve"> </w:t>
      </w:r>
      <w:r w:rsidRPr="00FC3B7C">
        <w:rPr>
          <w:rFonts w:eastAsia="Times New Roman"/>
          <w:szCs w:val="24"/>
        </w:rPr>
        <w:t>školská inspekce). Kontrola je prováděna jednak ze zákona, jednak z podnětů laické kontroly a ze své laické iniciativy. Výsledky kontroly musí být zveřejňovány. Nezastupitelnou roli hrají média.</w:t>
      </w:r>
    </w:p>
    <w:p w14:paraId="4A6F3DBA" w14:textId="7B2F0676" w:rsidR="008E0F74" w:rsidRPr="00FC3B7C" w:rsidRDefault="00AE6CBA" w:rsidP="000B13B0">
      <w:pPr>
        <w:pStyle w:val="Nadpis3"/>
        <w:rPr>
          <w:sz w:val="20"/>
          <w:szCs w:val="20"/>
        </w:rPr>
      </w:pPr>
      <w:r>
        <w:rPr>
          <w:rFonts w:eastAsia="Times New Roman"/>
        </w:rPr>
        <w:t xml:space="preserve"> </w:t>
      </w:r>
      <w:r w:rsidR="00256F29" w:rsidRPr="00AE6CBA">
        <w:rPr>
          <w:rFonts w:eastAsia="Times New Roman"/>
          <w:color w:val="1F3864" w:themeColor="accent1" w:themeShade="80"/>
        </w:rPr>
        <w:t>Veřejné výdaje</w:t>
      </w:r>
    </w:p>
    <w:p w14:paraId="4A6F3DBB" w14:textId="77777777" w:rsidR="008E0F74" w:rsidRPr="00FC3B7C" w:rsidRDefault="00256F29" w:rsidP="000B13B0">
      <w:pPr>
        <w:rPr>
          <w:sz w:val="20"/>
          <w:szCs w:val="20"/>
        </w:rPr>
      </w:pPr>
      <w:r w:rsidRPr="00FC3B7C">
        <w:rPr>
          <w:rFonts w:eastAsia="Times New Roman"/>
        </w:rPr>
        <w:t xml:space="preserve">Veřejnými výdaji se rozumí tok finančních prostředků, které jsou v rámci veřejné rozpočtové soustavy alokovány na realizaci různých fiskálních funkcí státu (resp. vlády, měst či obcí), a to </w:t>
      </w:r>
      <w:r w:rsidRPr="00FC3B7C">
        <w:rPr>
          <w:rFonts w:eastAsia="Times New Roman"/>
        </w:rPr>
        <w:lastRenderedPageBreak/>
        <w:t xml:space="preserve">na principu </w:t>
      </w:r>
      <w:r w:rsidRPr="00562D8C">
        <w:rPr>
          <w:rFonts w:eastAsia="Times New Roman"/>
          <w:i/>
          <w:iCs/>
        </w:rPr>
        <w:t>nenávratnosti</w:t>
      </w:r>
      <w:r w:rsidRPr="00FC3B7C">
        <w:rPr>
          <w:rFonts w:eastAsia="Times New Roman"/>
        </w:rPr>
        <w:t xml:space="preserve"> (částečné nebo plné) a </w:t>
      </w:r>
      <w:r w:rsidRPr="00562D8C">
        <w:rPr>
          <w:rFonts w:eastAsia="Times New Roman"/>
          <w:i/>
          <w:iCs/>
        </w:rPr>
        <w:t>neekvivalence</w:t>
      </w:r>
      <w:r w:rsidRPr="00FC3B7C">
        <w:rPr>
          <w:rFonts w:eastAsia="Times New Roman"/>
        </w:rPr>
        <w:t xml:space="preserve">. Zdrojem krytí veřejných výdajů jsou v rámci veřejných rozpočtů </w:t>
      </w:r>
      <w:r w:rsidRPr="00562D8C">
        <w:rPr>
          <w:rFonts w:eastAsia="Times New Roman"/>
          <w:b/>
          <w:bCs/>
        </w:rPr>
        <w:t>veřejné příjmy</w:t>
      </w:r>
      <w:r w:rsidRPr="00FC3B7C">
        <w:rPr>
          <w:rFonts w:eastAsia="Times New Roman"/>
        </w:rPr>
        <w:t>, také ale může docházet k jejich dluhovému financování. Účelem veřejných výdajů je profinancování činností samotné vlády a státní či místní správy, včetně jejich orgánů, institucí a organizací. Veřejné výdaje ovlivňují</w:t>
      </w:r>
    </w:p>
    <w:p w14:paraId="4A6F3DBC" w14:textId="6F6759C8" w:rsidR="008E0F74" w:rsidRPr="00FC3B7C" w:rsidRDefault="00256F29" w:rsidP="00562D8C">
      <w:pPr>
        <w:spacing w:after="240"/>
        <w:rPr>
          <w:sz w:val="20"/>
          <w:szCs w:val="20"/>
        </w:rPr>
      </w:pPr>
      <w:r w:rsidRPr="00FC3B7C">
        <w:rPr>
          <w:rFonts w:eastAsia="Times New Roman"/>
          <w:szCs w:val="24"/>
        </w:rPr>
        <w:t>ekonomiku dané země</w:t>
      </w:r>
      <w:r w:rsidR="00562D8C">
        <w:rPr>
          <w:rFonts w:eastAsia="Times New Roman"/>
          <w:szCs w:val="24"/>
        </w:rPr>
        <w:t xml:space="preserve"> - </w:t>
      </w:r>
      <w:r w:rsidRPr="00FC3B7C">
        <w:rPr>
          <w:rFonts w:eastAsia="Times New Roman"/>
          <w:szCs w:val="24"/>
        </w:rPr>
        <w:t xml:space="preserve">na makroekonomické úrovni (agregátní objem veřejných výdajů má vliv na hospodářský růst a cyklus), ale i na mikroekonomické úrovni (struktura výdajů determinuje hospodářskou strukturu země, neboť zasahuje do odvětvové i regionální alokace zdrojů). Nejvýznamnější a nejrychleji rostoucí položku dle druhu představují </w:t>
      </w:r>
      <w:r w:rsidRPr="00FC3B7C">
        <w:rPr>
          <w:rFonts w:eastAsia="Times New Roman"/>
          <w:b/>
          <w:bCs/>
          <w:szCs w:val="24"/>
        </w:rPr>
        <w:t xml:space="preserve">transfery </w:t>
      </w:r>
      <w:r w:rsidRPr="00FC3B7C">
        <w:rPr>
          <w:rFonts w:eastAsia="Times New Roman"/>
          <w:szCs w:val="24"/>
        </w:rPr>
        <w:t>domácnostem, dle funkce</w:t>
      </w:r>
      <w:r w:rsidRPr="00FC3B7C">
        <w:rPr>
          <w:rFonts w:eastAsia="Times New Roman"/>
          <w:b/>
          <w:bCs/>
          <w:szCs w:val="24"/>
        </w:rPr>
        <w:t xml:space="preserve"> </w:t>
      </w:r>
      <w:r w:rsidRPr="00562D8C">
        <w:rPr>
          <w:rFonts w:eastAsia="Times New Roman"/>
          <w:szCs w:val="24"/>
        </w:rPr>
        <w:t>výdaje na sociální služby</w:t>
      </w:r>
      <w:r w:rsidRPr="00FC3B7C">
        <w:rPr>
          <w:rFonts w:eastAsia="Times New Roman"/>
          <w:b/>
          <w:bCs/>
          <w:szCs w:val="24"/>
        </w:rPr>
        <w:t xml:space="preserve"> </w:t>
      </w:r>
      <w:r w:rsidRPr="00FC3B7C">
        <w:rPr>
          <w:rFonts w:eastAsia="Times New Roman"/>
          <w:szCs w:val="24"/>
        </w:rPr>
        <w:t xml:space="preserve">čili </w:t>
      </w:r>
      <w:r w:rsidRPr="00562D8C">
        <w:rPr>
          <w:rFonts w:eastAsia="Times New Roman"/>
          <w:b/>
          <w:bCs/>
          <w:szCs w:val="24"/>
        </w:rPr>
        <w:t>výdaje na sociální zabezpečení</w:t>
      </w:r>
      <w:r w:rsidRPr="00FC3B7C">
        <w:rPr>
          <w:rFonts w:eastAsia="Times New Roman"/>
          <w:szCs w:val="24"/>
        </w:rPr>
        <w:t xml:space="preserve">, </w:t>
      </w:r>
      <w:r w:rsidRPr="00562D8C">
        <w:rPr>
          <w:rFonts w:eastAsia="Times New Roman"/>
          <w:b/>
          <w:bCs/>
          <w:szCs w:val="24"/>
        </w:rPr>
        <w:t>politiku zaměstnanosti a sociální péči a sociální pomoc</w:t>
      </w:r>
      <w:r w:rsidRPr="00FC3B7C">
        <w:rPr>
          <w:rFonts w:eastAsia="Times New Roman"/>
          <w:szCs w:val="24"/>
        </w:rPr>
        <w:t>.</w:t>
      </w:r>
    </w:p>
    <w:p w14:paraId="4A6F3DBE" w14:textId="13DEE39B" w:rsidR="008E0F74" w:rsidRPr="00FC3B7C" w:rsidRDefault="00256F29" w:rsidP="00562D8C">
      <w:pPr>
        <w:spacing w:after="240"/>
        <w:rPr>
          <w:sz w:val="20"/>
          <w:szCs w:val="20"/>
        </w:rPr>
      </w:pPr>
      <w:r w:rsidRPr="00FC3B7C">
        <w:rPr>
          <w:rFonts w:eastAsia="Times New Roman"/>
          <w:b/>
          <w:bCs/>
          <w:szCs w:val="24"/>
        </w:rPr>
        <w:t xml:space="preserve">Vládní výdaje </w:t>
      </w:r>
      <w:r w:rsidRPr="00FC3B7C">
        <w:rPr>
          <w:rFonts w:eastAsia="Times New Roman"/>
          <w:szCs w:val="24"/>
        </w:rPr>
        <w:t>jsou prostředky, které slouží k financování institucí i k financování projektů</w:t>
      </w:r>
      <w:r w:rsidRPr="00FC3B7C">
        <w:rPr>
          <w:rFonts w:eastAsia="Times New Roman"/>
          <w:b/>
          <w:bCs/>
          <w:szCs w:val="24"/>
        </w:rPr>
        <w:t xml:space="preserve"> </w:t>
      </w:r>
      <w:r w:rsidRPr="00FC3B7C">
        <w:rPr>
          <w:rFonts w:eastAsia="Times New Roman"/>
          <w:szCs w:val="24"/>
        </w:rPr>
        <w:t>nebo programů (realizovány nejen státními a místními institucemi, organizacemi či firmami, ale také soukromými ziskovými a neziskovými firmami formou spolufinancování nebo veřejných zakázek). V důsledku vládních výdajů vzniká produkce statků a služeb</w:t>
      </w:r>
      <w:r w:rsidR="00562D8C">
        <w:rPr>
          <w:rFonts w:eastAsia="Times New Roman"/>
          <w:szCs w:val="24"/>
        </w:rPr>
        <w:t xml:space="preserve"> - </w:t>
      </w:r>
      <w:r w:rsidRPr="00FC3B7C">
        <w:rPr>
          <w:rFonts w:eastAsia="Times New Roman"/>
          <w:szCs w:val="24"/>
        </w:rPr>
        <w:t>použití veřejných výdajů na tyto účely zabraňuje jejich využití v soukromém sektoru, náklady</w:t>
      </w:r>
      <w:r w:rsidR="005C77AB" w:rsidRPr="00FC3B7C">
        <w:rPr>
          <w:rFonts w:eastAsia="Times New Roman"/>
          <w:szCs w:val="24"/>
        </w:rPr>
        <w:t xml:space="preserve"> </w:t>
      </w:r>
      <w:bookmarkStart w:id="243" w:name="page243"/>
      <w:bookmarkEnd w:id="243"/>
      <w:r w:rsidRPr="00FC3B7C">
        <w:rPr>
          <w:rFonts w:eastAsia="Times New Roman"/>
          <w:szCs w:val="24"/>
        </w:rPr>
        <w:t xml:space="preserve">obětovaných příležitostí těchto veřejných výdajů spočívají i v ušlém výstupu ostatních sektorů ekonomiky, přímo zatěžují produkční kapacitu země (spotřebovávají komodity jako ocel, mikropočítače, práci), jde tedy o tzv. ujídající výdaje. Vládní výdaje souvisí s realizací alokační fiskální funkce (tzn. odstranit tržní selhání v oblasti alokace vzácných zdrojů). </w:t>
      </w:r>
      <w:r w:rsidRPr="00FC3B7C">
        <w:rPr>
          <w:rFonts w:eastAsia="Times New Roman"/>
          <w:b/>
          <w:bCs/>
          <w:szCs w:val="24"/>
        </w:rPr>
        <w:t xml:space="preserve">Transfery </w:t>
      </w:r>
      <w:r w:rsidRPr="00FC3B7C">
        <w:rPr>
          <w:rFonts w:eastAsia="Times New Roman"/>
          <w:szCs w:val="24"/>
        </w:rPr>
        <w:t>(záporné daně) jsou prostředky, které jsou poskytovány s určitým cílem různým</w:t>
      </w:r>
      <w:r w:rsidRPr="00FC3B7C">
        <w:rPr>
          <w:rFonts w:eastAsia="Times New Roman"/>
          <w:b/>
          <w:bCs/>
          <w:szCs w:val="24"/>
        </w:rPr>
        <w:t xml:space="preserve"> </w:t>
      </w:r>
      <w:r w:rsidRPr="00FC3B7C">
        <w:rPr>
          <w:rFonts w:eastAsia="Times New Roman"/>
          <w:szCs w:val="24"/>
        </w:rPr>
        <w:t>subjektům, ale nevzniká zde žádné protiplnění (subjekt obdrží transfer, ale nemusí nic vyprodukovat ani poskytnout) – např. výplaty starobních důchodů, dávek státního pojištění, podpora v nezaměstnanosti atd. Transfery zvyšují důchody lidí, dovolují jim nakupovat statky a služby. Množství statků a služeb disponibilních pro soukromou potřebu a soukromé investice však přímo nesnižují (tzv. neujídající výdaje). Dále transfery ovlivňují motivaci příjemců k většímu nebo menšímu úsilí (pracovnímu či investičnímu). Také souvisí s realizací redistribuční fiskální funkce.</w:t>
      </w:r>
    </w:p>
    <w:p w14:paraId="4A6F3DBF" w14:textId="77777777" w:rsidR="008E0F74" w:rsidRPr="000B13B0" w:rsidRDefault="00256F29" w:rsidP="000B13B0">
      <w:pPr>
        <w:rPr>
          <w:b/>
          <w:sz w:val="20"/>
          <w:szCs w:val="20"/>
        </w:rPr>
      </w:pPr>
      <w:r w:rsidRPr="000B13B0">
        <w:rPr>
          <w:rFonts w:eastAsia="Times New Roman"/>
          <w:b/>
        </w:rPr>
        <w:t>Faktory ovlivňující výši veřejných výdajů</w:t>
      </w:r>
    </w:p>
    <w:p w14:paraId="32A84862" w14:textId="4A419206" w:rsidR="00562D8C" w:rsidRPr="00562D8C" w:rsidRDefault="00256F29" w:rsidP="00D46B53">
      <w:pPr>
        <w:pStyle w:val="Odstavecseseznamem"/>
        <w:numPr>
          <w:ilvl w:val="1"/>
          <w:numId w:val="604"/>
        </w:numPr>
        <w:ind w:left="851" w:right="818"/>
        <w:jc w:val="left"/>
        <w:rPr>
          <w:sz w:val="20"/>
          <w:szCs w:val="20"/>
        </w:rPr>
      </w:pPr>
      <w:r w:rsidRPr="000B13B0">
        <w:rPr>
          <w:rFonts w:eastAsia="Times New Roman"/>
          <w:b/>
          <w:bCs/>
          <w:i/>
          <w:iCs/>
          <w:szCs w:val="24"/>
        </w:rPr>
        <w:t>inflační tendence</w:t>
      </w:r>
      <w:r w:rsidR="00562D8C">
        <w:rPr>
          <w:rFonts w:eastAsia="Times New Roman"/>
          <w:szCs w:val="24"/>
        </w:rPr>
        <w:t xml:space="preserve"> - </w:t>
      </w:r>
      <w:r w:rsidRPr="000B13B0">
        <w:rPr>
          <w:rFonts w:eastAsia="Times New Roman"/>
          <w:szCs w:val="24"/>
        </w:rPr>
        <w:t>vyšší nákladovost zabezpečovaných veřejných statků</w:t>
      </w:r>
      <w:r w:rsidRPr="000B13B0">
        <w:rPr>
          <w:rFonts w:eastAsia="Times New Roman"/>
          <w:b/>
          <w:bCs/>
          <w:i/>
          <w:iCs/>
          <w:szCs w:val="24"/>
        </w:rPr>
        <w:t xml:space="preserve"> </w:t>
      </w:r>
    </w:p>
    <w:p w14:paraId="0F6A89FD" w14:textId="77777777" w:rsidR="00562D8C" w:rsidRPr="00562D8C" w:rsidRDefault="00256F29" w:rsidP="00D46B53">
      <w:pPr>
        <w:pStyle w:val="Odstavecseseznamem"/>
        <w:numPr>
          <w:ilvl w:val="1"/>
          <w:numId w:val="604"/>
        </w:numPr>
        <w:ind w:left="851" w:right="818"/>
        <w:jc w:val="left"/>
        <w:rPr>
          <w:sz w:val="20"/>
          <w:szCs w:val="20"/>
        </w:rPr>
      </w:pPr>
      <w:r w:rsidRPr="000B13B0">
        <w:rPr>
          <w:rFonts w:eastAsia="Times New Roman"/>
          <w:b/>
          <w:bCs/>
          <w:i/>
          <w:iCs/>
          <w:szCs w:val="24"/>
        </w:rPr>
        <w:t>demografický vývoj</w:t>
      </w:r>
      <w:r w:rsidR="00562D8C">
        <w:rPr>
          <w:rFonts w:eastAsia="Times New Roman"/>
          <w:szCs w:val="24"/>
        </w:rPr>
        <w:t xml:space="preserve"> - </w:t>
      </w:r>
      <w:r w:rsidRPr="000B13B0">
        <w:rPr>
          <w:rFonts w:eastAsia="Times New Roman"/>
          <w:szCs w:val="24"/>
        </w:rPr>
        <w:t>velké nepravidelnosti v tomto vývoji, populační vlny</w:t>
      </w:r>
      <w:r w:rsidRPr="000B13B0">
        <w:rPr>
          <w:rFonts w:eastAsia="Times New Roman"/>
          <w:b/>
          <w:bCs/>
          <w:i/>
          <w:iCs/>
          <w:szCs w:val="24"/>
        </w:rPr>
        <w:t xml:space="preserve"> </w:t>
      </w:r>
    </w:p>
    <w:p w14:paraId="4A6F3DC1" w14:textId="4BCCEB45" w:rsidR="008E0F74" w:rsidRPr="000B13B0" w:rsidRDefault="00256F29" w:rsidP="00D46B53">
      <w:pPr>
        <w:pStyle w:val="Odstavecseseznamem"/>
        <w:numPr>
          <w:ilvl w:val="1"/>
          <w:numId w:val="604"/>
        </w:numPr>
        <w:ind w:left="851" w:right="818"/>
        <w:jc w:val="left"/>
        <w:rPr>
          <w:sz w:val="20"/>
          <w:szCs w:val="20"/>
        </w:rPr>
      </w:pPr>
      <w:r w:rsidRPr="000B13B0">
        <w:rPr>
          <w:rFonts w:eastAsia="Times New Roman"/>
          <w:b/>
          <w:bCs/>
          <w:i/>
          <w:iCs/>
          <w:szCs w:val="24"/>
        </w:rPr>
        <w:t>měkké rozpočtové omezení</w:t>
      </w:r>
    </w:p>
    <w:p w14:paraId="45587240" w14:textId="46758B57" w:rsidR="00562D8C" w:rsidRPr="00562D8C" w:rsidRDefault="00256F29" w:rsidP="00D46B53">
      <w:pPr>
        <w:pStyle w:val="Odstavecseseznamem"/>
        <w:numPr>
          <w:ilvl w:val="1"/>
          <w:numId w:val="604"/>
        </w:numPr>
        <w:ind w:left="851" w:right="818"/>
        <w:jc w:val="left"/>
        <w:rPr>
          <w:sz w:val="20"/>
          <w:szCs w:val="20"/>
        </w:rPr>
      </w:pPr>
      <w:r w:rsidRPr="000B13B0">
        <w:rPr>
          <w:rFonts w:eastAsia="Times New Roman"/>
          <w:b/>
          <w:bCs/>
          <w:i/>
          <w:iCs/>
          <w:szCs w:val="24"/>
        </w:rPr>
        <w:t>technologické změny</w:t>
      </w:r>
      <w:r w:rsidR="00562D8C">
        <w:rPr>
          <w:rFonts w:eastAsia="Times New Roman"/>
          <w:b/>
          <w:bCs/>
          <w:i/>
          <w:iCs/>
          <w:szCs w:val="24"/>
        </w:rPr>
        <w:t xml:space="preserve"> </w:t>
      </w:r>
      <w:r w:rsidR="00562D8C">
        <w:rPr>
          <w:rFonts w:eastAsia="Times New Roman"/>
          <w:szCs w:val="24"/>
        </w:rPr>
        <w:t xml:space="preserve">- </w:t>
      </w:r>
      <w:r w:rsidRPr="000B13B0">
        <w:rPr>
          <w:rFonts w:eastAsia="Times New Roman"/>
          <w:szCs w:val="24"/>
        </w:rPr>
        <w:t>např. vynález spalovacího motoru</w:t>
      </w:r>
      <w:r w:rsidR="00562D8C">
        <w:rPr>
          <w:rFonts w:eastAsia="Times New Roman"/>
          <w:szCs w:val="24"/>
        </w:rPr>
        <w:t xml:space="preserve"> - </w:t>
      </w:r>
      <w:r w:rsidRPr="000B13B0">
        <w:rPr>
          <w:rFonts w:eastAsia="Times New Roman"/>
          <w:szCs w:val="24"/>
        </w:rPr>
        <w:t>tlaky na stavbu silnic</w:t>
      </w:r>
      <w:r w:rsidRPr="000B13B0">
        <w:rPr>
          <w:rFonts w:eastAsia="Times New Roman"/>
          <w:b/>
          <w:bCs/>
          <w:i/>
          <w:iCs/>
          <w:szCs w:val="24"/>
        </w:rPr>
        <w:t xml:space="preserve"> </w:t>
      </w:r>
    </w:p>
    <w:p w14:paraId="4A6F3DC2" w14:textId="27B587AA" w:rsidR="008E0F74" w:rsidRPr="000B13B0" w:rsidRDefault="00256F29" w:rsidP="00D46B53">
      <w:pPr>
        <w:pStyle w:val="Odstavecseseznamem"/>
        <w:numPr>
          <w:ilvl w:val="1"/>
          <w:numId w:val="604"/>
        </w:numPr>
        <w:ind w:left="851" w:right="818"/>
        <w:jc w:val="left"/>
        <w:rPr>
          <w:sz w:val="20"/>
          <w:szCs w:val="20"/>
        </w:rPr>
      </w:pPr>
      <w:r w:rsidRPr="000B13B0">
        <w:rPr>
          <w:rFonts w:eastAsia="Times New Roman"/>
          <w:b/>
          <w:bCs/>
          <w:i/>
          <w:iCs/>
          <w:szCs w:val="24"/>
        </w:rPr>
        <w:lastRenderedPageBreak/>
        <w:t>urbanizace</w:t>
      </w:r>
      <w:r w:rsidR="00562D8C">
        <w:rPr>
          <w:rFonts w:eastAsia="Times New Roman"/>
          <w:szCs w:val="24"/>
        </w:rPr>
        <w:t xml:space="preserve"> - </w:t>
      </w:r>
      <w:r w:rsidRPr="000B13B0">
        <w:rPr>
          <w:rFonts w:eastAsia="Times New Roman"/>
          <w:szCs w:val="24"/>
        </w:rPr>
        <w:t>přechod od zemědělství k průmyslové výrobě, stěhování do měst</w:t>
      </w:r>
      <w:r w:rsidR="00562D8C">
        <w:rPr>
          <w:rFonts w:eastAsia="Times New Roman"/>
          <w:szCs w:val="24"/>
        </w:rPr>
        <w:t xml:space="preserve"> - p</w:t>
      </w:r>
      <w:r w:rsidRPr="000B13B0">
        <w:rPr>
          <w:rFonts w:eastAsia="Times New Roman"/>
          <w:szCs w:val="24"/>
        </w:rPr>
        <w:t>otřeba kanalizace, veřejného osvětlení, MHD</w:t>
      </w:r>
    </w:p>
    <w:p w14:paraId="4A6F3DC3" w14:textId="3E33A0CC" w:rsidR="008E0F74" w:rsidRPr="000B13B0" w:rsidRDefault="00256F29" w:rsidP="00D46B53">
      <w:pPr>
        <w:pStyle w:val="Odstavecseseznamem"/>
        <w:numPr>
          <w:ilvl w:val="1"/>
          <w:numId w:val="604"/>
        </w:numPr>
        <w:ind w:left="851" w:right="818"/>
        <w:jc w:val="left"/>
        <w:rPr>
          <w:sz w:val="20"/>
          <w:szCs w:val="20"/>
        </w:rPr>
      </w:pPr>
      <w:r w:rsidRPr="000B13B0">
        <w:rPr>
          <w:rFonts w:eastAsia="Times New Roman"/>
          <w:b/>
          <w:bCs/>
          <w:i/>
          <w:iCs/>
          <w:szCs w:val="24"/>
        </w:rPr>
        <w:t>politické</w:t>
      </w:r>
      <w:r w:rsidRPr="000B13B0">
        <w:rPr>
          <w:sz w:val="20"/>
          <w:szCs w:val="20"/>
        </w:rPr>
        <w:t xml:space="preserve"> </w:t>
      </w:r>
      <w:r w:rsidRPr="000B13B0">
        <w:rPr>
          <w:rFonts w:eastAsia="Times New Roman"/>
          <w:b/>
          <w:bCs/>
          <w:i/>
          <w:iCs/>
          <w:szCs w:val="24"/>
        </w:rPr>
        <w:t>a sociální vlivy</w:t>
      </w:r>
      <w:r w:rsidR="00562D8C">
        <w:rPr>
          <w:rFonts w:eastAsia="Times New Roman"/>
          <w:b/>
          <w:bCs/>
          <w:i/>
          <w:iCs/>
          <w:szCs w:val="24"/>
        </w:rPr>
        <w:t xml:space="preserve"> </w:t>
      </w:r>
      <w:r w:rsidR="00562D8C" w:rsidRPr="00562D8C">
        <w:rPr>
          <w:rFonts w:eastAsia="Times New Roman"/>
          <w:szCs w:val="24"/>
        </w:rPr>
        <w:t xml:space="preserve">- </w:t>
      </w:r>
      <w:r w:rsidRPr="00562D8C">
        <w:rPr>
          <w:rFonts w:eastAsia="Times New Roman"/>
          <w:szCs w:val="24"/>
        </w:rPr>
        <w:t>r</w:t>
      </w:r>
      <w:r w:rsidRPr="000B13B0">
        <w:rPr>
          <w:rFonts w:eastAsia="Times New Roman"/>
          <w:szCs w:val="24"/>
        </w:rPr>
        <w:t>ealizace politiky státního blahobytu, zvyšování</w:t>
      </w:r>
      <w:r w:rsidRPr="000B13B0">
        <w:rPr>
          <w:rFonts w:eastAsia="Times New Roman"/>
          <w:b/>
          <w:bCs/>
          <w:i/>
          <w:iCs/>
          <w:szCs w:val="24"/>
        </w:rPr>
        <w:t xml:space="preserve"> </w:t>
      </w:r>
      <w:r w:rsidRPr="000B13B0">
        <w:rPr>
          <w:rFonts w:eastAsia="Times New Roman"/>
          <w:szCs w:val="24"/>
        </w:rPr>
        <w:t>veřejných výdajů za účelem udržet voliče</w:t>
      </w:r>
    </w:p>
    <w:p w14:paraId="4A6F3DC4" w14:textId="79255BF8" w:rsidR="008E0F74" w:rsidRPr="000B13B0" w:rsidRDefault="00256F29" w:rsidP="00D46B53">
      <w:pPr>
        <w:pStyle w:val="Odstavecseseznamem"/>
        <w:numPr>
          <w:ilvl w:val="1"/>
          <w:numId w:val="604"/>
        </w:numPr>
        <w:spacing w:after="240"/>
        <w:ind w:left="851" w:right="818"/>
        <w:jc w:val="left"/>
        <w:rPr>
          <w:sz w:val="20"/>
          <w:szCs w:val="20"/>
        </w:rPr>
      </w:pPr>
      <w:r w:rsidRPr="000B13B0">
        <w:rPr>
          <w:rFonts w:eastAsia="Times New Roman"/>
          <w:b/>
          <w:bCs/>
          <w:i/>
          <w:iCs/>
          <w:szCs w:val="24"/>
        </w:rPr>
        <w:t>prahové efekty</w:t>
      </w:r>
      <w:r w:rsidR="00562D8C" w:rsidRPr="00562D8C">
        <w:rPr>
          <w:rFonts w:eastAsia="Times New Roman"/>
          <w:b/>
          <w:bCs/>
          <w:szCs w:val="24"/>
        </w:rPr>
        <w:t xml:space="preserve"> -</w:t>
      </w:r>
      <w:r w:rsidR="00562D8C">
        <w:rPr>
          <w:rFonts w:eastAsia="Times New Roman"/>
          <w:b/>
          <w:bCs/>
          <w:i/>
          <w:iCs/>
          <w:szCs w:val="24"/>
        </w:rPr>
        <w:t xml:space="preserve"> </w:t>
      </w:r>
      <w:r w:rsidRPr="000B13B0">
        <w:rPr>
          <w:rFonts w:eastAsia="Times New Roman"/>
          <w:szCs w:val="24"/>
        </w:rPr>
        <w:t>spojený</w:t>
      </w:r>
      <w:r w:rsidRPr="000B13B0">
        <w:rPr>
          <w:rFonts w:eastAsia="Times New Roman"/>
          <w:b/>
          <w:bCs/>
          <w:i/>
          <w:iCs/>
          <w:szCs w:val="24"/>
        </w:rPr>
        <w:t xml:space="preserve"> </w:t>
      </w:r>
      <w:r w:rsidRPr="000B13B0">
        <w:rPr>
          <w:rFonts w:eastAsia="Times New Roman"/>
          <w:szCs w:val="24"/>
        </w:rPr>
        <w:t>s mimořádnou událostí (např. válečný</w:t>
      </w:r>
      <w:r w:rsidRPr="000B13B0">
        <w:rPr>
          <w:rFonts w:eastAsia="Times New Roman"/>
          <w:b/>
          <w:bCs/>
          <w:i/>
          <w:iCs/>
          <w:szCs w:val="24"/>
        </w:rPr>
        <w:t xml:space="preserve"> </w:t>
      </w:r>
      <w:r w:rsidRPr="000B13B0">
        <w:rPr>
          <w:rFonts w:eastAsia="Times New Roman"/>
          <w:szCs w:val="24"/>
        </w:rPr>
        <w:t>konflikt</w:t>
      </w:r>
      <w:r w:rsidR="003562E9">
        <w:rPr>
          <w:rFonts w:eastAsia="Times New Roman"/>
          <w:szCs w:val="24"/>
        </w:rPr>
        <w:t xml:space="preserve"> </w:t>
      </w:r>
      <w:r w:rsidRPr="000B13B0">
        <w:rPr>
          <w:rFonts w:eastAsia="Times New Roman"/>
          <w:szCs w:val="24"/>
        </w:rPr>
        <w:t>– tzv.</w:t>
      </w:r>
      <w:r w:rsidRPr="000B13B0">
        <w:rPr>
          <w:rFonts w:eastAsia="Times New Roman"/>
          <w:b/>
          <w:bCs/>
          <w:i/>
          <w:iCs/>
          <w:szCs w:val="24"/>
        </w:rPr>
        <w:t xml:space="preserve"> </w:t>
      </w:r>
      <w:r w:rsidRPr="00562D8C">
        <w:rPr>
          <w:rFonts w:eastAsia="Times New Roman"/>
          <w:i/>
          <w:iCs/>
          <w:szCs w:val="24"/>
        </w:rPr>
        <w:t>Peacockův zákon</w:t>
      </w:r>
      <w:r w:rsidRPr="000B13B0">
        <w:rPr>
          <w:rFonts w:eastAsia="Times New Roman"/>
          <w:szCs w:val="24"/>
        </w:rPr>
        <w:t>: v období prahových situací dojde</w:t>
      </w:r>
      <w:r w:rsidR="000B13B0">
        <w:rPr>
          <w:rFonts w:eastAsia="Times New Roman"/>
          <w:szCs w:val="24"/>
        </w:rPr>
        <w:br/>
      </w:r>
      <w:r w:rsidRPr="000B13B0">
        <w:rPr>
          <w:rFonts w:eastAsia="Times New Roman"/>
          <w:szCs w:val="24"/>
        </w:rPr>
        <w:t xml:space="preserve"> k zvýšení veřejných výdajů, ale po jejich uplynutí se výše těchto výdajů nevrátí na původní úroveň, pouze se změní jejich struktura)</w:t>
      </w:r>
    </w:p>
    <w:p w14:paraId="4A6F3DC6" w14:textId="77777777" w:rsidR="008E0F74" w:rsidRPr="00FC3B7C" w:rsidRDefault="00256F29">
      <w:pPr>
        <w:ind w:left="120"/>
        <w:rPr>
          <w:sz w:val="20"/>
          <w:szCs w:val="20"/>
        </w:rPr>
      </w:pPr>
      <w:r w:rsidRPr="00FC3B7C">
        <w:rPr>
          <w:rFonts w:eastAsia="Times New Roman"/>
          <w:b/>
          <w:bCs/>
          <w:szCs w:val="24"/>
        </w:rPr>
        <w:t>Druhy veřejných výdajů</w:t>
      </w:r>
    </w:p>
    <w:p w14:paraId="4A6F3DC8" w14:textId="1D8EDCC4" w:rsidR="008E0F74" w:rsidRPr="00562D8C" w:rsidRDefault="00256F29" w:rsidP="00D46B53">
      <w:pPr>
        <w:pStyle w:val="Odstavecseseznamem"/>
        <w:numPr>
          <w:ilvl w:val="0"/>
          <w:numId w:val="637"/>
        </w:numPr>
        <w:tabs>
          <w:tab w:val="left" w:pos="851"/>
        </w:tabs>
        <w:ind w:left="851"/>
        <w:jc w:val="left"/>
        <w:rPr>
          <w:rFonts w:eastAsia="Times New Roman"/>
        </w:rPr>
      </w:pPr>
      <w:r w:rsidRPr="00562D8C">
        <w:rPr>
          <w:rFonts w:eastAsia="Times New Roman"/>
          <w:b/>
          <w:bCs/>
          <w:i/>
          <w:iCs/>
        </w:rPr>
        <w:t>mandatorní výdaje</w:t>
      </w:r>
      <w:r w:rsidR="00562D8C" w:rsidRPr="00562D8C">
        <w:rPr>
          <w:rFonts w:eastAsia="Times New Roman"/>
        </w:rPr>
        <w:t xml:space="preserve"> - </w:t>
      </w:r>
      <w:r w:rsidRPr="00562D8C">
        <w:rPr>
          <w:rFonts w:eastAsia="Times New Roman"/>
        </w:rPr>
        <w:t>výdaje, které musí vláda vydávat ze zákona (dávky sociálního</w:t>
      </w:r>
      <w:r w:rsidRPr="00562D8C">
        <w:rPr>
          <w:rFonts w:eastAsia="Times New Roman"/>
          <w:b/>
          <w:bCs/>
          <w:i/>
          <w:iCs/>
        </w:rPr>
        <w:t xml:space="preserve"> </w:t>
      </w:r>
      <w:r w:rsidRPr="00562D8C">
        <w:rPr>
          <w:rFonts w:eastAsia="Times New Roman"/>
        </w:rPr>
        <w:t>zabezpečení, státní příspěvek na penzijní připojištění a stavební spoření, dávky státní sociální podpory, dávky v nezaměstnanosti aj.)</w:t>
      </w:r>
    </w:p>
    <w:p w14:paraId="4A6F3DC9" w14:textId="35237134" w:rsidR="000B13B0" w:rsidRPr="00562D8C" w:rsidRDefault="00256F29" w:rsidP="00D46B53">
      <w:pPr>
        <w:pStyle w:val="Odstavecseseznamem"/>
        <w:numPr>
          <w:ilvl w:val="0"/>
          <w:numId w:val="637"/>
        </w:numPr>
        <w:tabs>
          <w:tab w:val="left" w:pos="851"/>
        </w:tabs>
        <w:ind w:left="851"/>
        <w:jc w:val="left"/>
        <w:rPr>
          <w:sz w:val="20"/>
          <w:szCs w:val="20"/>
        </w:rPr>
      </w:pPr>
      <w:r w:rsidRPr="00562D8C">
        <w:rPr>
          <w:rFonts w:eastAsia="Times New Roman"/>
          <w:b/>
          <w:bCs/>
          <w:i/>
          <w:iCs/>
        </w:rPr>
        <w:t>ostatní mandatorní výdaje</w:t>
      </w:r>
      <w:r w:rsidR="00562D8C" w:rsidRPr="00562D8C">
        <w:rPr>
          <w:rFonts w:eastAsia="Times New Roman"/>
        </w:rPr>
        <w:t xml:space="preserve"> - </w:t>
      </w:r>
      <w:r w:rsidRPr="00562D8C">
        <w:rPr>
          <w:rFonts w:eastAsia="Times New Roman"/>
        </w:rPr>
        <w:t>hypotéční úrokové podpory, kurzové ztráty při správě</w:t>
      </w:r>
      <w:r w:rsidRPr="00562D8C">
        <w:rPr>
          <w:rFonts w:eastAsia="Times New Roman"/>
          <w:b/>
          <w:bCs/>
          <w:i/>
          <w:iCs/>
        </w:rPr>
        <w:t xml:space="preserve"> </w:t>
      </w:r>
      <w:r w:rsidRPr="00562D8C">
        <w:rPr>
          <w:rFonts w:eastAsia="Times New Roman"/>
        </w:rPr>
        <w:t>státního</w:t>
      </w:r>
      <w:r w:rsidRPr="00562D8C">
        <w:rPr>
          <w:rFonts w:eastAsia="Times New Roman"/>
          <w:b/>
          <w:bCs/>
          <w:i/>
          <w:iCs/>
        </w:rPr>
        <w:t xml:space="preserve"> </w:t>
      </w:r>
      <w:r w:rsidRPr="00562D8C">
        <w:rPr>
          <w:rFonts w:eastAsia="Times New Roman"/>
        </w:rPr>
        <w:t xml:space="preserve">dluhu, realizace státních záruk, transfery mezinárodním organizacím aj. </w:t>
      </w:r>
    </w:p>
    <w:p w14:paraId="4A6F3DCA" w14:textId="659EDF75" w:rsidR="008E0F74" w:rsidRPr="00562D8C" w:rsidRDefault="000B13B0" w:rsidP="00D46B53">
      <w:pPr>
        <w:pStyle w:val="Odstavecseseznamem"/>
        <w:numPr>
          <w:ilvl w:val="0"/>
          <w:numId w:val="637"/>
        </w:numPr>
        <w:tabs>
          <w:tab w:val="left" w:pos="851"/>
        </w:tabs>
        <w:ind w:left="851"/>
        <w:jc w:val="left"/>
        <w:rPr>
          <w:sz w:val="20"/>
          <w:szCs w:val="20"/>
        </w:rPr>
      </w:pPr>
      <w:r w:rsidRPr="00562D8C">
        <w:rPr>
          <w:rFonts w:eastAsia="Times New Roman"/>
        </w:rPr>
        <w:t>k</w:t>
      </w:r>
      <w:r w:rsidR="00256F29" w:rsidRPr="00562D8C">
        <w:rPr>
          <w:rFonts w:eastAsia="Times New Roman"/>
          <w:b/>
          <w:bCs/>
          <w:i/>
          <w:iCs/>
        </w:rPr>
        <w:t>vazimandatorní výdaje</w:t>
      </w:r>
      <w:r w:rsidR="00562D8C" w:rsidRPr="00562D8C">
        <w:rPr>
          <w:rFonts w:eastAsia="Times New Roman"/>
        </w:rPr>
        <w:t xml:space="preserve"> - </w:t>
      </w:r>
      <w:r w:rsidR="00256F29" w:rsidRPr="00562D8C">
        <w:rPr>
          <w:rFonts w:eastAsia="Times New Roman"/>
        </w:rPr>
        <w:t xml:space="preserve">výdaje na aktivní politiku zaměstnanosti, výdaje na </w:t>
      </w:r>
      <w:r w:rsidR="003562E9" w:rsidRPr="00562D8C">
        <w:rPr>
          <w:rFonts w:eastAsia="Times New Roman"/>
        </w:rPr>
        <w:t>armádu, zahraniční</w:t>
      </w:r>
      <w:r w:rsidR="00256F29" w:rsidRPr="00562D8C">
        <w:rPr>
          <w:rFonts w:eastAsia="Times New Roman"/>
        </w:rPr>
        <w:t xml:space="preserve"> pomoc, mzdy zaměstnanců veřejného sektoru aj.</w:t>
      </w:r>
    </w:p>
    <w:p w14:paraId="4A6F3DCC" w14:textId="63FB1046" w:rsidR="008E0F74" w:rsidRPr="00B571F4" w:rsidRDefault="00256F29" w:rsidP="00D46B53">
      <w:pPr>
        <w:pStyle w:val="Odstavecseseznamem"/>
        <w:numPr>
          <w:ilvl w:val="0"/>
          <w:numId w:val="637"/>
        </w:numPr>
        <w:tabs>
          <w:tab w:val="left" w:pos="851"/>
        </w:tabs>
        <w:spacing w:after="240" w:line="344" w:lineRule="exact"/>
        <w:ind w:left="851"/>
        <w:jc w:val="left"/>
        <w:rPr>
          <w:sz w:val="20"/>
          <w:szCs w:val="20"/>
        </w:rPr>
      </w:pPr>
      <w:r w:rsidRPr="00B571F4">
        <w:rPr>
          <w:rFonts w:eastAsia="Times New Roman"/>
          <w:b/>
          <w:bCs/>
          <w:i/>
          <w:iCs/>
          <w:sz w:val="23"/>
          <w:szCs w:val="23"/>
        </w:rPr>
        <w:t>ostatní výdaje</w:t>
      </w:r>
      <w:r w:rsidR="00B571F4" w:rsidRPr="00B571F4">
        <w:rPr>
          <w:rFonts w:eastAsia="Times New Roman"/>
          <w:sz w:val="23"/>
          <w:szCs w:val="23"/>
        </w:rPr>
        <w:t xml:space="preserve"> - </w:t>
      </w:r>
      <w:r w:rsidRPr="00B571F4">
        <w:rPr>
          <w:rFonts w:eastAsia="Times New Roman"/>
          <w:sz w:val="23"/>
          <w:szCs w:val="23"/>
        </w:rPr>
        <w:t>stát nemá povinnost tyto výdaje realizovat, ale činí je např. kvůli vládnímu programu (nákup cenných papírů, dotace, návratné finanční výpomoci a příspěvky aj.)</w:t>
      </w:r>
    </w:p>
    <w:p w14:paraId="4A6F3DCD" w14:textId="5617D8CC" w:rsidR="008E0F74" w:rsidRPr="00FC3B7C" w:rsidRDefault="00AE6CBA" w:rsidP="000B13B0">
      <w:pPr>
        <w:pStyle w:val="Nadpis3"/>
        <w:rPr>
          <w:sz w:val="20"/>
          <w:szCs w:val="20"/>
        </w:rPr>
      </w:pPr>
      <w:r>
        <w:rPr>
          <w:rFonts w:eastAsia="Times New Roman"/>
        </w:rPr>
        <w:t xml:space="preserve"> </w:t>
      </w:r>
      <w:r w:rsidR="00256F29" w:rsidRPr="00AE6CBA">
        <w:rPr>
          <w:rFonts w:eastAsia="Times New Roman"/>
          <w:color w:val="1F3864" w:themeColor="accent1" w:themeShade="80"/>
        </w:rPr>
        <w:t>Veřejné příjmy</w:t>
      </w:r>
    </w:p>
    <w:p w14:paraId="4A6F3DCE" w14:textId="77777777" w:rsidR="008E0F74" w:rsidRPr="00FC3B7C" w:rsidRDefault="00256F29" w:rsidP="00EA0B1C">
      <w:pPr>
        <w:rPr>
          <w:sz w:val="20"/>
          <w:szCs w:val="20"/>
        </w:rPr>
      </w:pPr>
      <w:r w:rsidRPr="00FC3B7C">
        <w:rPr>
          <w:rFonts w:eastAsia="Times New Roman"/>
        </w:rPr>
        <w:t xml:space="preserve">Prostředky vytvářené na příjmové straně státního rozpočtu a jiných veřejných rozpočtů, převážně na principu </w:t>
      </w:r>
      <w:r w:rsidRPr="00B571F4">
        <w:rPr>
          <w:rFonts w:eastAsia="Times New Roman"/>
          <w:i/>
          <w:iCs/>
        </w:rPr>
        <w:t>nenávratnosti, neekvivalence a nedobrovolnosti</w:t>
      </w:r>
      <w:r w:rsidRPr="00FC3B7C">
        <w:rPr>
          <w:rFonts w:eastAsia="Times New Roman"/>
        </w:rPr>
        <w:t>.</w:t>
      </w:r>
    </w:p>
    <w:p w14:paraId="4A6F3DCF" w14:textId="77777777" w:rsidR="008E0F74" w:rsidRPr="00FC3B7C" w:rsidRDefault="00256F29" w:rsidP="00EA0B1C">
      <w:pPr>
        <w:rPr>
          <w:sz w:val="20"/>
          <w:szCs w:val="20"/>
        </w:rPr>
      </w:pPr>
      <w:bookmarkStart w:id="244" w:name="page244"/>
      <w:bookmarkEnd w:id="244"/>
      <w:r w:rsidRPr="00FC3B7C">
        <w:rPr>
          <w:rFonts w:eastAsia="Times New Roman"/>
        </w:rPr>
        <w:t xml:space="preserve">Veřejné příjmy se rozdělují na </w:t>
      </w:r>
      <w:r w:rsidRPr="00B571F4">
        <w:rPr>
          <w:rFonts w:eastAsia="Times New Roman"/>
          <w:i/>
          <w:iCs/>
        </w:rPr>
        <w:t>daňové a nedaňové.</w:t>
      </w:r>
    </w:p>
    <w:p w14:paraId="4A6F3DD0" w14:textId="77777777" w:rsidR="008E0F74" w:rsidRPr="00FC3B7C" w:rsidRDefault="00256F29" w:rsidP="00EA0B1C">
      <w:r w:rsidRPr="00FC3B7C">
        <w:rPr>
          <w:rFonts w:eastAsia="Times New Roman"/>
          <w:b/>
          <w:bCs/>
          <w:szCs w:val="24"/>
        </w:rPr>
        <w:t xml:space="preserve">Daň </w:t>
      </w:r>
      <w:r w:rsidRPr="00FC3B7C">
        <w:rPr>
          <w:rFonts w:eastAsia="Times New Roman"/>
          <w:szCs w:val="24"/>
        </w:rPr>
        <w:t>je zákonem daná povinná platba, která je neadresná (neúčelová), neekvivalentní</w:t>
      </w:r>
      <w:r w:rsidRPr="00FC3B7C">
        <w:rPr>
          <w:rFonts w:eastAsia="Times New Roman"/>
          <w:b/>
          <w:bCs/>
          <w:szCs w:val="24"/>
        </w:rPr>
        <w:t xml:space="preserve"> </w:t>
      </w:r>
      <w:r w:rsidRPr="00FC3B7C">
        <w:rPr>
          <w:rFonts w:eastAsia="Times New Roman"/>
          <w:szCs w:val="24"/>
        </w:rPr>
        <w:t xml:space="preserve">a nenávratná. </w:t>
      </w:r>
      <w:r w:rsidRPr="00B571F4">
        <w:rPr>
          <w:rFonts w:eastAsia="Times New Roman"/>
          <w:i/>
          <w:iCs/>
          <w:szCs w:val="24"/>
        </w:rPr>
        <w:t>Neekvivalentní</w:t>
      </w:r>
      <w:r w:rsidRPr="00FC3B7C">
        <w:rPr>
          <w:rFonts w:eastAsia="Times New Roman"/>
          <w:szCs w:val="24"/>
        </w:rPr>
        <w:t xml:space="preserve"> platba znamená, že poplatník neobdrží zasvé peníze protihodnotu, která by odpovídala jeho podílu na spolufinancování veřejného sektoru. Daň je </w:t>
      </w:r>
      <w:r w:rsidRPr="00B571F4">
        <w:rPr>
          <w:rFonts w:eastAsia="Times New Roman"/>
          <w:i/>
          <w:iCs/>
          <w:szCs w:val="24"/>
        </w:rPr>
        <w:t xml:space="preserve">jednostranný transfer </w:t>
      </w:r>
      <w:r w:rsidRPr="00FC3B7C">
        <w:rPr>
          <w:rFonts w:eastAsia="Times New Roman"/>
          <w:szCs w:val="24"/>
        </w:rPr>
        <w:t xml:space="preserve">peněz od soukromého sektoru k veřejnému. Je </w:t>
      </w:r>
      <w:r w:rsidRPr="00B571F4">
        <w:rPr>
          <w:rFonts w:eastAsia="Times New Roman"/>
          <w:i/>
          <w:iCs/>
          <w:szCs w:val="24"/>
        </w:rPr>
        <w:t>neúčelová</w:t>
      </w:r>
      <w:r w:rsidRPr="00FC3B7C">
        <w:rPr>
          <w:rFonts w:eastAsia="Times New Roman"/>
          <w:szCs w:val="24"/>
        </w:rPr>
        <w:t>, protože její výnos není určen na konkrétní vládní výdaj a jednotlivé druhy daní nemají za úkol financovat jednotlivé vládní aktivity. Mezi daně řadíme také cla (daně ukládané na dovoz nebo vývoz) a příspěvky na sociální zabezpečení, které jsou placeny do státního rozpočtu či do zvláštních veřejných fondů.</w:t>
      </w:r>
    </w:p>
    <w:p w14:paraId="4A6F3DD1" w14:textId="77777777" w:rsidR="008E0F74" w:rsidRPr="00FC3B7C" w:rsidRDefault="008E0F74">
      <w:pPr>
        <w:spacing w:line="3" w:lineRule="exact"/>
        <w:rPr>
          <w:sz w:val="20"/>
          <w:szCs w:val="20"/>
        </w:rPr>
      </w:pPr>
    </w:p>
    <w:p w14:paraId="4A6F3DD2" w14:textId="77777777" w:rsidR="008E0F74" w:rsidRPr="00FC3B7C" w:rsidRDefault="00256F29" w:rsidP="00B571F4">
      <w:pPr>
        <w:rPr>
          <w:sz w:val="20"/>
          <w:szCs w:val="20"/>
        </w:rPr>
      </w:pPr>
      <w:r w:rsidRPr="00FC3B7C">
        <w:rPr>
          <w:rFonts w:eastAsia="Times New Roman"/>
          <w:b/>
          <w:bCs/>
        </w:rPr>
        <w:t xml:space="preserve">Přímé daně </w:t>
      </w:r>
      <w:r w:rsidRPr="00FC3B7C">
        <w:rPr>
          <w:rFonts w:eastAsia="Times New Roman"/>
        </w:rPr>
        <w:t>zdaňují majetek nebo příjem.</w:t>
      </w:r>
    </w:p>
    <w:p w14:paraId="4A6F3DD3" w14:textId="77777777" w:rsidR="008E0F74" w:rsidRPr="00B571F4" w:rsidRDefault="00256F29" w:rsidP="00D46B53">
      <w:pPr>
        <w:pStyle w:val="Odstavecseseznamem"/>
        <w:numPr>
          <w:ilvl w:val="0"/>
          <w:numId w:val="638"/>
        </w:numPr>
        <w:rPr>
          <w:sz w:val="20"/>
          <w:szCs w:val="20"/>
        </w:rPr>
      </w:pPr>
      <w:r w:rsidRPr="00B571F4">
        <w:rPr>
          <w:rFonts w:eastAsia="Times New Roman"/>
        </w:rPr>
        <w:t>daň z příjmu fyzických osob (sazba15%)</w:t>
      </w:r>
    </w:p>
    <w:p w14:paraId="4A6F3DD4" w14:textId="77777777" w:rsidR="008E0F74" w:rsidRPr="00B571F4" w:rsidRDefault="00256F29" w:rsidP="00D46B53">
      <w:pPr>
        <w:pStyle w:val="Odstavecseseznamem"/>
        <w:numPr>
          <w:ilvl w:val="0"/>
          <w:numId w:val="638"/>
        </w:numPr>
        <w:rPr>
          <w:sz w:val="20"/>
          <w:szCs w:val="20"/>
        </w:rPr>
      </w:pPr>
      <w:r w:rsidRPr="00B571F4">
        <w:rPr>
          <w:rFonts w:eastAsia="Times New Roman"/>
        </w:rPr>
        <w:t>daň z příjmu právnických osob (sazba19%)</w:t>
      </w:r>
    </w:p>
    <w:p w14:paraId="4A6F3DD5" w14:textId="77777777" w:rsidR="008E0F74" w:rsidRPr="00B571F4" w:rsidRDefault="00256F29" w:rsidP="00D46B53">
      <w:pPr>
        <w:pStyle w:val="Odstavecseseznamem"/>
        <w:numPr>
          <w:ilvl w:val="0"/>
          <w:numId w:val="638"/>
        </w:numPr>
        <w:rPr>
          <w:sz w:val="20"/>
          <w:szCs w:val="20"/>
        </w:rPr>
      </w:pPr>
      <w:r w:rsidRPr="00B571F4">
        <w:rPr>
          <w:rFonts w:eastAsia="Times New Roman"/>
        </w:rPr>
        <w:t>daň z nemovitosti (daň dle m</w:t>
      </w:r>
      <w:r w:rsidRPr="00B571F4">
        <w:rPr>
          <w:rFonts w:eastAsia="Times New Roman"/>
          <w:sz w:val="15"/>
          <w:szCs w:val="15"/>
        </w:rPr>
        <w:t>2</w:t>
      </w:r>
      <w:r w:rsidRPr="00B571F4">
        <w:rPr>
          <w:rFonts w:eastAsia="Times New Roman"/>
        </w:rPr>
        <w:t>)</w:t>
      </w:r>
    </w:p>
    <w:p w14:paraId="4A6F3DD6" w14:textId="77777777" w:rsidR="008E0F74" w:rsidRPr="00B571F4" w:rsidRDefault="00256F29" w:rsidP="00D46B53">
      <w:pPr>
        <w:pStyle w:val="Odstavecseseznamem"/>
        <w:numPr>
          <w:ilvl w:val="0"/>
          <w:numId w:val="638"/>
        </w:numPr>
        <w:rPr>
          <w:sz w:val="20"/>
          <w:szCs w:val="20"/>
        </w:rPr>
      </w:pPr>
      <w:r w:rsidRPr="00B571F4">
        <w:rPr>
          <w:rFonts w:eastAsia="Times New Roman"/>
        </w:rPr>
        <w:lastRenderedPageBreak/>
        <w:t>daň z nabytí nemovitých věcí</w:t>
      </w:r>
    </w:p>
    <w:p w14:paraId="4A6F3DD7" w14:textId="77777777" w:rsidR="008E0F74" w:rsidRPr="00B571F4" w:rsidRDefault="00EA0B1C" w:rsidP="00D46B53">
      <w:pPr>
        <w:pStyle w:val="Odstavecseseznamem"/>
        <w:numPr>
          <w:ilvl w:val="0"/>
          <w:numId w:val="638"/>
        </w:numPr>
        <w:spacing w:after="240"/>
        <w:rPr>
          <w:sz w:val="20"/>
          <w:szCs w:val="20"/>
        </w:rPr>
      </w:pPr>
      <w:r w:rsidRPr="00B571F4">
        <w:rPr>
          <w:rFonts w:eastAsia="Times New Roman"/>
          <w:sz w:val="23"/>
          <w:szCs w:val="23"/>
        </w:rPr>
        <w:t>d</w:t>
      </w:r>
      <w:r w:rsidR="00256F29" w:rsidRPr="00B571F4">
        <w:rPr>
          <w:rFonts w:eastAsia="Times New Roman"/>
          <w:sz w:val="23"/>
          <w:szCs w:val="23"/>
        </w:rPr>
        <w:t>aň silniční (daň dle objemu motoru, hmotnosti či počtu náprav), může být uváděna jako nepřímá selektivní daň ze spotřeby, z užívání</w:t>
      </w:r>
    </w:p>
    <w:p w14:paraId="4A6F3DD8" w14:textId="77777777" w:rsidR="008E0F74" w:rsidRPr="00FC3B7C" w:rsidRDefault="008E0F74" w:rsidP="00EA0B1C">
      <w:pPr>
        <w:spacing w:line="77" w:lineRule="exact"/>
        <w:ind w:left="142"/>
        <w:rPr>
          <w:sz w:val="20"/>
          <w:szCs w:val="20"/>
        </w:rPr>
      </w:pPr>
    </w:p>
    <w:p w14:paraId="4A6F3DD9" w14:textId="77777777" w:rsidR="008E0F74" w:rsidRPr="004B6CDE" w:rsidRDefault="00EA0B1C" w:rsidP="00B571F4">
      <w:pPr>
        <w:rPr>
          <w:sz w:val="20"/>
          <w:szCs w:val="20"/>
        </w:rPr>
      </w:pPr>
      <w:r w:rsidRPr="004B6CDE">
        <w:rPr>
          <w:rFonts w:eastAsia="Times New Roman"/>
          <w:b/>
          <w:bCs/>
        </w:rPr>
        <w:t>N</w:t>
      </w:r>
      <w:r w:rsidR="00256F29" w:rsidRPr="004B6CDE">
        <w:rPr>
          <w:rFonts w:eastAsia="Times New Roman"/>
          <w:b/>
          <w:bCs/>
        </w:rPr>
        <w:t xml:space="preserve">epřímé daně </w:t>
      </w:r>
      <w:r w:rsidR="00256F29" w:rsidRPr="004B6CDE">
        <w:rPr>
          <w:rFonts w:eastAsia="Times New Roman"/>
        </w:rPr>
        <w:t>zdaňují prodej zboží nebo služeb.</w:t>
      </w:r>
    </w:p>
    <w:p w14:paraId="4A6F3DDC" w14:textId="5657A4D4" w:rsidR="008E0F74" w:rsidRPr="00B571F4" w:rsidRDefault="003562E9" w:rsidP="00D46B53">
      <w:pPr>
        <w:pStyle w:val="Odstavecseseznamem"/>
        <w:numPr>
          <w:ilvl w:val="0"/>
          <w:numId w:val="639"/>
        </w:numPr>
        <w:rPr>
          <w:sz w:val="20"/>
          <w:szCs w:val="20"/>
        </w:rPr>
      </w:pPr>
      <w:r w:rsidRPr="00B571F4">
        <w:rPr>
          <w:rFonts w:eastAsia="Times New Roman"/>
          <w:b/>
          <w:bCs/>
        </w:rPr>
        <w:t>S</w:t>
      </w:r>
      <w:r w:rsidR="00256F29" w:rsidRPr="00B571F4">
        <w:rPr>
          <w:rFonts w:eastAsia="Times New Roman"/>
          <w:b/>
          <w:bCs/>
        </w:rPr>
        <w:t>elektivní</w:t>
      </w:r>
      <w:r>
        <w:rPr>
          <w:rFonts w:eastAsia="Times New Roman"/>
          <w:b/>
          <w:bCs/>
        </w:rPr>
        <w:t xml:space="preserve"> </w:t>
      </w:r>
      <w:r w:rsidR="00256F29" w:rsidRPr="00B571F4">
        <w:rPr>
          <w:rFonts w:eastAsia="Times New Roman"/>
        </w:rPr>
        <w:t>– spotřební daň</w:t>
      </w:r>
      <w:r w:rsidR="00256F29" w:rsidRPr="00B571F4">
        <w:rPr>
          <w:rFonts w:eastAsia="Times New Roman"/>
          <w:b/>
          <w:bCs/>
        </w:rPr>
        <w:t xml:space="preserve"> </w:t>
      </w:r>
      <w:r w:rsidR="00256F29" w:rsidRPr="00B571F4">
        <w:rPr>
          <w:rFonts w:eastAsia="Times New Roman"/>
        </w:rPr>
        <w:t>(daň</w:t>
      </w:r>
      <w:r w:rsidR="00256F29" w:rsidRPr="00B571F4">
        <w:rPr>
          <w:rFonts w:eastAsia="Times New Roman"/>
          <w:b/>
          <w:bCs/>
        </w:rPr>
        <w:t xml:space="preserve"> </w:t>
      </w:r>
      <w:r w:rsidR="00256F29" w:rsidRPr="00B571F4">
        <w:rPr>
          <w:rFonts w:eastAsia="Times New Roman"/>
        </w:rPr>
        <w:t>z lihu, z piva, z vína a meziproduktů, z</w:t>
      </w:r>
      <w:r w:rsidR="00256F29" w:rsidRPr="00B571F4">
        <w:rPr>
          <w:rFonts w:eastAsia="Times New Roman"/>
          <w:b/>
          <w:bCs/>
        </w:rPr>
        <w:t xml:space="preserve"> </w:t>
      </w:r>
      <w:r w:rsidR="00256F29" w:rsidRPr="00B571F4">
        <w:rPr>
          <w:rFonts w:eastAsia="Times New Roman"/>
        </w:rPr>
        <w:t xml:space="preserve">minerálních olejů a daň z tabákových výrobků, daň dle objemu, kusů či hmotnosti), ekologická daň (daň dle normy vozidla) </w:t>
      </w:r>
      <w:r w:rsidR="00256F29" w:rsidRPr="00B571F4">
        <w:rPr>
          <w:rFonts w:eastAsia="Times New Roman"/>
          <w:b/>
          <w:bCs/>
        </w:rPr>
        <w:t>univerzální</w:t>
      </w:r>
      <w:r w:rsidR="00256F29" w:rsidRPr="00B571F4">
        <w:rPr>
          <w:rFonts w:eastAsia="Times New Roman"/>
        </w:rPr>
        <w:t>-DPH (základní sazba21%, sníženásazba15 %)</w:t>
      </w:r>
    </w:p>
    <w:p w14:paraId="70523701" w14:textId="77777777" w:rsidR="00B571F4" w:rsidRPr="00B571F4" w:rsidRDefault="00256F29" w:rsidP="00D46B53">
      <w:pPr>
        <w:pStyle w:val="Odstavecseseznamem"/>
        <w:numPr>
          <w:ilvl w:val="0"/>
          <w:numId w:val="639"/>
        </w:numPr>
        <w:rPr>
          <w:sz w:val="20"/>
          <w:szCs w:val="20"/>
        </w:rPr>
      </w:pPr>
      <w:r w:rsidRPr="00B571F4">
        <w:rPr>
          <w:rFonts w:eastAsia="Times New Roman"/>
          <w:b/>
          <w:bCs/>
        </w:rPr>
        <w:t xml:space="preserve">Kvazidaně </w:t>
      </w:r>
      <w:r w:rsidRPr="00B571F4">
        <w:rPr>
          <w:rFonts w:eastAsia="Times New Roman"/>
        </w:rPr>
        <w:t>jsou povinné platby, které musí poplatník</w:t>
      </w:r>
      <w:r w:rsidRPr="00B571F4">
        <w:rPr>
          <w:rFonts w:eastAsia="Times New Roman"/>
          <w:b/>
          <w:bCs/>
        </w:rPr>
        <w:t xml:space="preserve"> </w:t>
      </w:r>
      <w:r w:rsidRPr="00B571F4">
        <w:rPr>
          <w:rFonts w:eastAsia="Times New Roman"/>
        </w:rPr>
        <w:t>či plátce platit, ale oproti nim existuje</w:t>
      </w:r>
      <w:r w:rsidRPr="00B571F4">
        <w:rPr>
          <w:rFonts w:eastAsia="Times New Roman"/>
          <w:b/>
          <w:bCs/>
        </w:rPr>
        <w:t xml:space="preserve"> </w:t>
      </w:r>
      <w:r w:rsidRPr="00B571F4">
        <w:rPr>
          <w:rFonts w:eastAsia="Times New Roman"/>
        </w:rPr>
        <w:t>nárok na určité stanovené plnění. Mezi kvazidaně řadíme povinné zdravotní a sociální pojištění, poplatek za svoz komunálního odpadu, poplatek za TV a rozhlas, povinné ručení u motorových vozidel, povinné pojištění cestovních kanceláří atd.</w:t>
      </w:r>
      <w:r w:rsidR="00B571F4">
        <w:rPr>
          <w:rFonts w:eastAsia="Times New Roman"/>
        </w:rPr>
        <w:t xml:space="preserve"> </w:t>
      </w:r>
    </w:p>
    <w:p w14:paraId="4A6F3DDF" w14:textId="5ABBC3C5" w:rsidR="008E0F74" w:rsidRPr="00B571F4" w:rsidRDefault="00256F29" w:rsidP="00B571F4">
      <w:pPr>
        <w:pStyle w:val="Odstavecseseznamem"/>
        <w:rPr>
          <w:sz w:val="20"/>
          <w:szCs w:val="20"/>
        </w:rPr>
      </w:pPr>
      <w:r w:rsidRPr="00B571F4">
        <w:rPr>
          <w:rFonts w:eastAsia="Times New Roman"/>
        </w:rPr>
        <w:t>Odvod pojistného na sociální zabezpečení:</w:t>
      </w:r>
    </w:p>
    <w:p w14:paraId="4A6F3DE0" w14:textId="77777777" w:rsidR="008E0F74" w:rsidRPr="00FC3B7C" w:rsidRDefault="008E0F74">
      <w:pPr>
        <w:spacing w:line="127" w:lineRule="exact"/>
        <w:rPr>
          <w:sz w:val="20"/>
          <w:szCs w:val="20"/>
        </w:rPr>
      </w:pPr>
    </w:p>
    <w:p w14:paraId="4A6F3DE1" w14:textId="77777777" w:rsidR="008E0F74" w:rsidRPr="00B571F4" w:rsidRDefault="00256F29" w:rsidP="00D46B53">
      <w:pPr>
        <w:pStyle w:val="Odstavecseseznamem"/>
        <w:numPr>
          <w:ilvl w:val="1"/>
          <w:numId w:val="639"/>
        </w:numPr>
        <w:rPr>
          <w:rFonts w:eastAsia="Arial"/>
        </w:rPr>
      </w:pPr>
      <w:r w:rsidRPr="00B571F4">
        <w:rPr>
          <w:rFonts w:eastAsia="Times New Roman"/>
          <w:u w:val="single"/>
        </w:rPr>
        <w:t>Zaměstnavatelé</w:t>
      </w:r>
      <w:r w:rsidRPr="00B571F4">
        <w:rPr>
          <w:rFonts w:eastAsia="Times New Roman"/>
        </w:rPr>
        <w:t>: 25 % (2,3 % nemocenské pojištění, 21,5% důchodové, 1,2%</w:t>
      </w:r>
      <w:r w:rsidR="00EA0B1C" w:rsidRPr="00B571F4">
        <w:rPr>
          <w:rFonts w:eastAsia="Arial"/>
        </w:rPr>
        <w:t xml:space="preserve"> </w:t>
      </w:r>
      <w:r w:rsidRPr="00B571F4">
        <w:rPr>
          <w:rFonts w:eastAsia="Times New Roman"/>
        </w:rPr>
        <w:t>příspěvek na státní politiku zaměstnanosti)</w:t>
      </w:r>
    </w:p>
    <w:p w14:paraId="4A6F3DE2" w14:textId="77777777" w:rsidR="008E0F74" w:rsidRPr="00B571F4" w:rsidRDefault="00256F29" w:rsidP="00D46B53">
      <w:pPr>
        <w:pStyle w:val="Odstavecseseznamem"/>
        <w:numPr>
          <w:ilvl w:val="1"/>
          <w:numId w:val="639"/>
        </w:numPr>
        <w:rPr>
          <w:rFonts w:eastAsia="Arial"/>
        </w:rPr>
      </w:pPr>
      <w:r w:rsidRPr="00B571F4">
        <w:rPr>
          <w:rFonts w:eastAsia="Times New Roman"/>
          <w:u w:val="single"/>
        </w:rPr>
        <w:t>Zaměstnanci</w:t>
      </w:r>
      <w:r w:rsidRPr="00B571F4">
        <w:rPr>
          <w:rFonts w:eastAsia="Times New Roman"/>
        </w:rPr>
        <w:t>:6,5 % (jen na důchodové pojištění, ostatní zaměstnanec neplatí)</w:t>
      </w:r>
    </w:p>
    <w:p w14:paraId="4A6F3DE3" w14:textId="1C121C09" w:rsidR="008E0F74" w:rsidRPr="00B571F4" w:rsidRDefault="00256F29" w:rsidP="00D46B53">
      <w:pPr>
        <w:pStyle w:val="Odstavecseseznamem"/>
        <w:numPr>
          <w:ilvl w:val="1"/>
          <w:numId w:val="639"/>
        </w:numPr>
        <w:rPr>
          <w:rFonts w:eastAsia="Arial"/>
        </w:rPr>
      </w:pPr>
      <w:r w:rsidRPr="00B571F4">
        <w:rPr>
          <w:rFonts w:eastAsia="Times New Roman"/>
        </w:rPr>
        <w:t>OSVČ: 29,2 % (28 %</w:t>
      </w:r>
      <w:r w:rsidR="003562E9">
        <w:rPr>
          <w:rFonts w:eastAsia="Times New Roman"/>
        </w:rPr>
        <w:t xml:space="preserve"> </w:t>
      </w:r>
      <w:r w:rsidRPr="00B571F4">
        <w:rPr>
          <w:rFonts w:eastAsia="Times New Roman"/>
        </w:rPr>
        <w:t>na</w:t>
      </w:r>
      <w:r w:rsidR="003562E9">
        <w:rPr>
          <w:rFonts w:eastAsia="Times New Roman"/>
        </w:rPr>
        <w:t xml:space="preserve"> </w:t>
      </w:r>
      <w:r w:rsidRPr="00B571F4">
        <w:rPr>
          <w:rFonts w:eastAsia="Times New Roman"/>
        </w:rPr>
        <w:t>důchodové</w:t>
      </w:r>
      <w:r w:rsidR="003562E9">
        <w:rPr>
          <w:rFonts w:eastAsia="Times New Roman"/>
        </w:rPr>
        <w:t xml:space="preserve"> </w:t>
      </w:r>
      <w:r w:rsidRPr="00B571F4">
        <w:rPr>
          <w:rFonts w:eastAsia="Times New Roman"/>
        </w:rPr>
        <w:t>pojištění, 1,2%příspěvek na státní politiku zaměstnanosti)</w:t>
      </w:r>
    </w:p>
    <w:p w14:paraId="4A6F3DE4" w14:textId="31296D43" w:rsidR="008E0F74" w:rsidRPr="00B571F4" w:rsidRDefault="00256F29" w:rsidP="00D46B53">
      <w:pPr>
        <w:pStyle w:val="Odstavecseseznamem"/>
        <w:numPr>
          <w:ilvl w:val="1"/>
          <w:numId w:val="639"/>
        </w:numPr>
        <w:rPr>
          <w:rFonts w:eastAsia="Arial"/>
          <w:sz w:val="23"/>
          <w:szCs w:val="23"/>
        </w:rPr>
      </w:pPr>
      <w:r w:rsidRPr="00B571F4">
        <w:rPr>
          <w:rFonts w:eastAsia="Times New Roman"/>
          <w:sz w:val="23"/>
          <w:szCs w:val="23"/>
          <w:u w:val="single"/>
        </w:rPr>
        <w:t>Zaměstnavate</w:t>
      </w:r>
      <w:r w:rsidR="00B571F4">
        <w:rPr>
          <w:rFonts w:eastAsia="Times New Roman"/>
          <w:sz w:val="23"/>
          <w:szCs w:val="23"/>
          <w:u w:val="single"/>
        </w:rPr>
        <w:t>l</w:t>
      </w:r>
      <w:r w:rsidRPr="00B571F4">
        <w:rPr>
          <w:rFonts w:eastAsia="Times New Roman"/>
          <w:sz w:val="23"/>
          <w:szCs w:val="23"/>
        </w:rPr>
        <w:t>: 9%</w:t>
      </w:r>
    </w:p>
    <w:p w14:paraId="4A6F3DE5" w14:textId="77777777" w:rsidR="008E0F74" w:rsidRPr="00B571F4" w:rsidRDefault="00256F29" w:rsidP="00D46B53">
      <w:pPr>
        <w:pStyle w:val="Odstavecseseznamem"/>
        <w:numPr>
          <w:ilvl w:val="1"/>
          <w:numId w:val="639"/>
        </w:numPr>
        <w:rPr>
          <w:rFonts w:eastAsia="Arial"/>
          <w:sz w:val="23"/>
          <w:szCs w:val="23"/>
        </w:rPr>
      </w:pPr>
      <w:r w:rsidRPr="00B571F4">
        <w:rPr>
          <w:rFonts w:eastAsia="Times New Roman"/>
          <w:sz w:val="23"/>
          <w:szCs w:val="23"/>
          <w:u w:val="single"/>
        </w:rPr>
        <w:t>Zaměstnanec</w:t>
      </w:r>
      <w:r w:rsidRPr="00B571F4">
        <w:rPr>
          <w:rFonts w:eastAsia="Times New Roman"/>
          <w:sz w:val="23"/>
          <w:szCs w:val="23"/>
        </w:rPr>
        <w:t>: 4,5%</w:t>
      </w:r>
    </w:p>
    <w:p w14:paraId="4A6F3DE8" w14:textId="51C29826" w:rsidR="008E0F74" w:rsidRPr="00B571F4" w:rsidRDefault="00256F29" w:rsidP="00D46B53">
      <w:pPr>
        <w:pStyle w:val="Odstavecseseznamem"/>
        <w:numPr>
          <w:ilvl w:val="1"/>
          <w:numId w:val="639"/>
        </w:numPr>
        <w:tabs>
          <w:tab w:val="left" w:pos="700"/>
        </w:tabs>
        <w:spacing w:after="240"/>
        <w:rPr>
          <w:rFonts w:eastAsia="MS Mincho"/>
          <w:szCs w:val="24"/>
        </w:rPr>
      </w:pPr>
      <w:r w:rsidRPr="00B571F4">
        <w:rPr>
          <w:rFonts w:eastAsia="Times New Roman"/>
          <w:u w:val="single"/>
        </w:rPr>
        <w:t>OSVČ</w:t>
      </w:r>
      <w:r w:rsidRPr="00B571F4">
        <w:rPr>
          <w:rFonts w:eastAsia="Times New Roman"/>
        </w:rPr>
        <w:t>:</w:t>
      </w:r>
      <w:r w:rsidR="005C77AB" w:rsidRPr="00B571F4">
        <w:rPr>
          <w:rFonts w:eastAsia="Times New Roman"/>
        </w:rPr>
        <w:t xml:space="preserve"> </w:t>
      </w:r>
      <w:bookmarkStart w:id="245" w:name="page245"/>
      <w:bookmarkEnd w:id="245"/>
      <w:r w:rsidRPr="00B571F4">
        <w:rPr>
          <w:rFonts w:eastAsia="Times New Roman"/>
        </w:rPr>
        <w:t>6,75%</w:t>
      </w:r>
      <w:r w:rsidR="00B571F4" w:rsidRPr="00B571F4">
        <w:rPr>
          <w:rFonts w:eastAsia="Times New Roman"/>
        </w:rPr>
        <w:t xml:space="preserve"> ze zisku (</w:t>
      </w:r>
      <w:r w:rsidRPr="00B571F4">
        <w:rPr>
          <w:rFonts w:eastAsia="Times New Roman"/>
          <w:szCs w:val="24"/>
        </w:rPr>
        <w:t>13,5 % z vyměř. základu)</w:t>
      </w:r>
    </w:p>
    <w:p w14:paraId="4A6F3DEA" w14:textId="77777777" w:rsidR="008E0F74" w:rsidRPr="00FC3B7C" w:rsidRDefault="00256F29" w:rsidP="00EA0B1C">
      <w:pPr>
        <w:rPr>
          <w:sz w:val="20"/>
          <w:szCs w:val="20"/>
        </w:rPr>
      </w:pPr>
      <w:r w:rsidRPr="00FC3B7C">
        <w:rPr>
          <w:rFonts w:eastAsia="Times New Roman"/>
        </w:rPr>
        <w:t xml:space="preserve">Mezi </w:t>
      </w:r>
      <w:r w:rsidRPr="00FC3B7C">
        <w:rPr>
          <w:rFonts w:eastAsia="Times New Roman"/>
          <w:b/>
          <w:bCs/>
        </w:rPr>
        <w:t>nedaňové příjmy</w:t>
      </w:r>
      <w:r w:rsidRPr="00FC3B7C">
        <w:rPr>
          <w:rFonts w:eastAsia="Times New Roman"/>
        </w:rPr>
        <w:t xml:space="preserve"> řadíme poplatky, kapitálové příjmy, půjčky a složené daňové kvóty. </w:t>
      </w:r>
      <w:r w:rsidRPr="00FC3B7C">
        <w:rPr>
          <w:rFonts w:eastAsia="Times New Roman"/>
          <w:b/>
          <w:bCs/>
        </w:rPr>
        <w:t xml:space="preserve">Poplatek </w:t>
      </w:r>
      <w:r w:rsidRPr="00FC3B7C">
        <w:rPr>
          <w:rFonts w:eastAsia="Times New Roman"/>
        </w:rPr>
        <w:t>je dobrovolná, ekvivalentní a účelová platba. Jeto cena za službu, kterou poskytuje</w:t>
      </w:r>
      <w:r w:rsidRPr="00FC3B7C">
        <w:rPr>
          <w:rFonts w:eastAsia="Times New Roman"/>
          <w:b/>
          <w:bCs/>
        </w:rPr>
        <w:t xml:space="preserve"> </w:t>
      </w:r>
      <w:r w:rsidRPr="00FC3B7C">
        <w:rPr>
          <w:rFonts w:eastAsia="Times New Roman"/>
        </w:rPr>
        <w:t>veřejný sektor. V praxi často výše poplatku neodpovídá ceně-je záměrně stanoven jako nižší nebo vyšší, než jsou výrobní náklady, rozdíl je pak dotován z veřejného rozpočtu nebo sestává jeho zdrojem. Mezi poplatky např. patří: správní poplatky, poplatek za TV vysílání, za psa apod.</w:t>
      </w:r>
    </w:p>
    <w:p w14:paraId="4A6F3DED" w14:textId="05848041" w:rsidR="008E0F74" w:rsidRPr="00FC3B7C" w:rsidRDefault="00256F29" w:rsidP="00B571F4">
      <w:pPr>
        <w:rPr>
          <w:sz w:val="20"/>
          <w:szCs w:val="20"/>
        </w:rPr>
      </w:pPr>
      <w:r w:rsidRPr="00FC3B7C">
        <w:rPr>
          <w:rFonts w:eastAsia="Times New Roman"/>
          <w:b/>
          <w:bCs/>
          <w:szCs w:val="24"/>
        </w:rPr>
        <w:t>Kapitálové příjmy:</w:t>
      </w:r>
    </w:p>
    <w:p w14:paraId="4A6F3DEE" w14:textId="77777777" w:rsidR="008E0F74" w:rsidRPr="00B571F4" w:rsidRDefault="00256F29" w:rsidP="00D46B53">
      <w:pPr>
        <w:pStyle w:val="Odstavecseseznamem"/>
        <w:numPr>
          <w:ilvl w:val="0"/>
          <w:numId w:val="640"/>
        </w:numPr>
        <w:rPr>
          <w:sz w:val="20"/>
          <w:szCs w:val="20"/>
        </w:rPr>
      </w:pPr>
      <w:r w:rsidRPr="00B571F4">
        <w:rPr>
          <w:rFonts w:eastAsia="Times New Roman"/>
        </w:rPr>
        <w:t>z prodeje nemovitého majetku</w:t>
      </w:r>
    </w:p>
    <w:p w14:paraId="4A6F3DEF" w14:textId="77777777" w:rsidR="008E0F74" w:rsidRPr="00B571F4" w:rsidRDefault="00256F29" w:rsidP="00D46B53">
      <w:pPr>
        <w:pStyle w:val="Odstavecseseznamem"/>
        <w:numPr>
          <w:ilvl w:val="0"/>
          <w:numId w:val="640"/>
        </w:numPr>
        <w:rPr>
          <w:sz w:val="20"/>
          <w:szCs w:val="20"/>
        </w:rPr>
      </w:pPr>
      <w:r w:rsidRPr="00B571F4">
        <w:rPr>
          <w:rFonts w:eastAsia="Times New Roman"/>
        </w:rPr>
        <w:t>z prodeje akcií a podílů</w:t>
      </w:r>
    </w:p>
    <w:p w14:paraId="4A6F3DF0" w14:textId="77777777" w:rsidR="008E0F74" w:rsidRPr="00B571F4" w:rsidRDefault="00256F29" w:rsidP="00D46B53">
      <w:pPr>
        <w:pStyle w:val="Odstavecseseznamem"/>
        <w:numPr>
          <w:ilvl w:val="0"/>
          <w:numId w:val="640"/>
        </w:numPr>
        <w:rPr>
          <w:sz w:val="20"/>
          <w:szCs w:val="20"/>
        </w:rPr>
      </w:pPr>
      <w:r w:rsidRPr="00B571F4">
        <w:rPr>
          <w:rFonts w:eastAsia="Times New Roman"/>
        </w:rPr>
        <w:t>dotace z mimorozpočtových fondů</w:t>
      </w:r>
    </w:p>
    <w:p w14:paraId="4A6F3DF1" w14:textId="77777777" w:rsidR="008E0F74" w:rsidRPr="00B571F4" w:rsidRDefault="00256F29" w:rsidP="00D46B53">
      <w:pPr>
        <w:pStyle w:val="Odstavecseseznamem"/>
        <w:numPr>
          <w:ilvl w:val="0"/>
          <w:numId w:val="640"/>
        </w:numPr>
        <w:rPr>
          <w:sz w:val="20"/>
          <w:szCs w:val="20"/>
        </w:rPr>
      </w:pPr>
      <w:r w:rsidRPr="00B571F4">
        <w:rPr>
          <w:rFonts w:eastAsia="Times New Roman"/>
        </w:rPr>
        <w:t>vratky z dříve poskytnutých transferů</w:t>
      </w:r>
    </w:p>
    <w:p w14:paraId="4A6F3DF2" w14:textId="3B7B096E" w:rsidR="008E0F74" w:rsidRPr="00B571F4" w:rsidRDefault="00256F29" w:rsidP="00D46B53">
      <w:pPr>
        <w:pStyle w:val="Odstavecseseznamem"/>
        <w:numPr>
          <w:ilvl w:val="0"/>
          <w:numId w:val="640"/>
        </w:numPr>
        <w:rPr>
          <w:sz w:val="20"/>
          <w:szCs w:val="20"/>
        </w:rPr>
      </w:pPr>
      <w:r w:rsidRPr="00B571F4">
        <w:rPr>
          <w:rFonts w:eastAsia="Times New Roman"/>
        </w:rPr>
        <w:t xml:space="preserve">příjmy </w:t>
      </w:r>
      <w:r w:rsidR="003562E9" w:rsidRPr="00B571F4">
        <w:rPr>
          <w:rFonts w:eastAsia="Times New Roman"/>
        </w:rPr>
        <w:t>zem</w:t>
      </w:r>
      <w:r w:rsidR="003562E9">
        <w:rPr>
          <w:rFonts w:eastAsia="Times New Roman"/>
        </w:rPr>
        <w:t>í</w:t>
      </w:r>
      <w:r w:rsidRPr="00B571F4">
        <w:rPr>
          <w:rFonts w:eastAsia="Times New Roman"/>
        </w:rPr>
        <w:t xml:space="preserve"> </w:t>
      </w:r>
      <w:r w:rsidR="003562E9">
        <w:rPr>
          <w:rFonts w:eastAsia="Times New Roman"/>
        </w:rPr>
        <w:t>z</w:t>
      </w:r>
      <w:r w:rsidRPr="00B571F4">
        <w:rPr>
          <w:rFonts w:eastAsia="Times New Roman"/>
        </w:rPr>
        <w:t>e</w:t>
      </w:r>
      <w:r w:rsidR="003562E9">
        <w:rPr>
          <w:rFonts w:eastAsia="Times New Roman"/>
        </w:rPr>
        <w:t xml:space="preserve"> </w:t>
      </w:r>
      <w:r w:rsidRPr="00B571F4">
        <w:rPr>
          <w:rFonts w:eastAsia="Times New Roman"/>
        </w:rPr>
        <w:t>státních obligací</w:t>
      </w:r>
    </w:p>
    <w:p w14:paraId="4A6F3DF3" w14:textId="77777777" w:rsidR="008E0F74" w:rsidRPr="00B571F4" w:rsidRDefault="00256F29" w:rsidP="00D46B53">
      <w:pPr>
        <w:pStyle w:val="Odstavecseseznamem"/>
        <w:numPr>
          <w:ilvl w:val="0"/>
          <w:numId w:val="640"/>
        </w:numPr>
        <w:spacing w:after="240"/>
        <w:rPr>
          <w:rFonts w:eastAsia="Times New Roman"/>
        </w:rPr>
      </w:pPr>
      <w:bookmarkStart w:id="246" w:name="page246"/>
      <w:bookmarkEnd w:id="246"/>
      <w:r w:rsidRPr="00B571F4">
        <w:rPr>
          <w:rFonts w:eastAsia="Times New Roman"/>
        </w:rPr>
        <w:t>přijaté splátky z vládních úvěrů</w:t>
      </w:r>
    </w:p>
    <w:p w14:paraId="4A6F3DF7" w14:textId="306CDE4A" w:rsidR="008E0F74" w:rsidRPr="00FC3B7C" w:rsidRDefault="00256F29" w:rsidP="00FF0837">
      <w:pPr>
        <w:spacing w:after="240"/>
        <w:rPr>
          <w:sz w:val="20"/>
          <w:szCs w:val="20"/>
        </w:rPr>
      </w:pPr>
      <w:r w:rsidRPr="00FC3B7C">
        <w:rPr>
          <w:rFonts w:eastAsia="Times New Roman"/>
          <w:b/>
          <w:bCs/>
        </w:rPr>
        <w:lastRenderedPageBreak/>
        <w:t xml:space="preserve">Složená daňová kvóta </w:t>
      </w:r>
      <w:r w:rsidRPr="00FC3B7C">
        <w:rPr>
          <w:rFonts w:eastAsia="Times New Roman"/>
        </w:rPr>
        <w:t>je nejobjektivnější ukazatel daňového zatížení společnosti. Jedná se</w:t>
      </w:r>
      <w:r w:rsidRPr="00FC3B7C">
        <w:rPr>
          <w:rFonts w:eastAsia="Times New Roman"/>
          <w:b/>
          <w:bCs/>
        </w:rPr>
        <w:t xml:space="preserve"> </w:t>
      </w:r>
      <w:r w:rsidR="003562E9">
        <w:rPr>
          <w:rFonts w:eastAsia="Times New Roman"/>
          <w:b/>
          <w:bCs/>
        </w:rPr>
        <w:br/>
      </w:r>
      <w:r w:rsidRPr="00FC3B7C">
        <w:rPr>
          <w:rFonts w:eastAsia="Times New Roman"/>
        </w:rPr>
        <w:t>o souhrn všech přímých daní (fyzických i právnických osob), nepřímých daní (spotřební a DPH), majetkových daní, sociálního a zdravotního pojištění vztažený k hodnotě ročního HDP. Představuje tedy podíl daní a kvazidaní na HDP</w:t>
      </w:r>
      <w:r w:rsidR="003562E9">
        <w:rPr>
          <w:rFonts w:eastAsia="Times New Roman"/>
        </w:rPr>
        <w:t xml:space="preserve"> </w:t>
      </w:r>
      <w:r w:rsidRPr="00FC3B7C">
        <w:rPr>
          <w:rFonts w:eastAsia="Times New Roman"/>
        </w:rPr>
        <w:t xml:space="preserve">– kolik domácího produktu se přerozděluje. </w:t>
      </w:r>
      <w:r w:rsidR="003562E9">
        <w:rPr>
          <w:rFonts w:eastAsia="Times New Roman"/>
        </w:rPr>
        <w:br/>
      </w:r>
      <w:r w:rsidRPr="00FC3B7C">
        <w:rPr>
          <w:rFonts w:eastAsia="Times New Roman"/>
        </w:rPr>
        <w:t>V ČR se složená daňová kvóta pohybuje kolem 34 %.</w:t>
      </w:r>
    </w:p>
    <w:p w14:paraId="4A6F3DF8" w14:textId="77777777" w:rsidR="008E0F74" w:rsidRPr="00AE6CBA" w:rsidRDefault="00256F29" w:rsidP="00EA0B1C">
      <w:pPr>
        <w:pStyle w:val="Nadpis2"/>
        <w:rPr>
          <w:color w:val="1F3864" w:themeColor="accent1" w:themeShade="80"/>
          <w:szCs w:val="28"/>
        </w:rPr>
      </w:pPr>
      <w:r w:rsidRPr="00AE6CBA">
        <w:rPr>
          <w:rFonts w:eastAsia="Times New Roman"/>
          <w:color w:val="1F3864" w:themeColor="accent1" w:themeShade="80"/>
          <w:szCs w:val="28"/>
        </w:rPr>
        <w:t>HISTORICKÝ VÝVOJ HOSPODÁŘSKÉ POLITIKY VEŘEJNÉHO SEKTORU</w:t>
      </w:r>
    </w:p>
    <w:p w14:paraId="4A6F3DFA" w14:textId="5B988B8E" w:rsidR="008E0F74" w:rsidRPr="00FF0837" w:rsidRDefault="00256F29" w:rsidP="00EA0B1C">
      <w:pPr>
        <w:rPr>
          <w:i/>
          <w:iCs/>
          <w:sz w:val="20"/>
          <w:szCs w:val="20"/>
        </w:rPr>
      </w:pPr>
      <w:r w:rsidRPr="00FC3B7C">
        <w:rPr>
          <w:rFonts w:eastAsia="Times New Roman"/>
        </w:rPr>
        <w:t xml:space="preserve">Do značné míry se úloha státu v ekonomice vyvíjela se změnami ekonomických směrů. Mezi dva základní přístupy ovlivňující politiku veřejného sektoru řadíme </w:t>
      </w:r>
      <w:r w:rsidRPr="00FF0837">
        <w:rPr>
          <w:rFonts w:eastAsia="Times New Roman"/>
          <w:i/>
          <w:iCs/>
        </w:rPr>
        <w:t>liberální přístup (laissez faire)</w:t>
      </w:r>
      <w:r w:rsidRPr="00FC3B7C">
        <w:rPr>
          <w:rFonts w:eastAsia="Times New Roman"/>
        </w:rPr>
        <w:t xml:space="preserve"> </w:t>
      </w:r>
      <w:r w:rsidR="003562E9">
        <w:rPr>
          <w:rFonts w:eastAsia="Times New Roman"/>
        </w:rPr>
        <w:br/>
      </w:r>
      <w:r w:rsidRPr="00FC3B7C">
        <w:rPr>
          <w:rFonts w:eastAsia="Times New Roman"/>
        </w:rPr>
        <w:t xml:space="preserve">a </w:t>
      </w:r>
      <w:r w:rsidRPr="00FF0837">
        <w:rPr>
          <w:rFonts w:eastAsia="Times New Roman"/>
          <w:i/>
          <w:iCs/>
        </w:rPr>
        <w:t>keynesiánský přístup (intervencionalismus).</w:t>
      </w:r>
    </w:p>
    <w:p w14:paraId="4A6F3DFB" w14:textId="77777777" w:rsidR="008E0F74" w:rsidRPr="00FC3B7C" w:rsidRDefault="00EA0B1C" w:rsidP="00EA0B1C">
      <w:pPr>
        <w:rPr>
          <w:sz w:val="20"/>
          <w:szCs w:val="20"/>
        </w:rPr>
      </w:pPr>
      <w:r>
        <w:rPr>
          <w:rFonts w:eastAsia="Times New Roman"/>
          <w:b/>
          <w:bCs/>
          <w:sz w:val="23"/>
          <w:szCs w:val="23"/>
        </w:rPr>
        <w:t>L</w:t>
      </w:r>
      <w:r w:rsidR="00256F29" w:rsidRPr="00FC3B7C">
        <w:rPr>
          <w:rFonts w:eastAsia="Times New Roman"/>
          <w:b/>
          <w:bCs/>
          <w:sz w:val="23"/>
          <w:szCs w:val="23"/>
        </w:rPr>
        <w:t xml:space="preserve">iberálové </w:t>
      </w:r>
      <w:r w:rsidR="00256F29" w:rsidRPr="00FC3B7C">
        <w:rPr>
          <w:rFonts w:eastAsia="Times New Roman"/>
          <w:sz w:val="23"/>
          <w:szCs w:val="23"/>
        </w:rPr>
        <w:t xml:space="preserve">požadují </w:t>
      </w:r>
      <w:r w:rsidR="00256F29" w:rsidRPr="00FF0837">
        <w:rPr>
          <w:rFonts w:eastAsia="Times New Roman"/>
          <w:i/>
          <w:iCs/>
          <w:sz w:val="23"/>
          <w:szCs w:val="23"/>
        </w:rPr>
        <w:t>minimální rozsah veřejného sektoru</w:t>
      </w:r>
      <w:r w:rsidR="00256F29" w:rsidRPr="00FC3B7C">
        <w:rPr>
          <w:rFonts w:eastAsia="Times New Roman"/>
          <w:sz w:val="23"/>
          <w:szCs w:val="23"/>
        </w:rPr>
        <w:t xml:space="preserve">, kladou důraz na </w:t>
      </w:r>
      <w:r w:rsidR="00256F29" w:rsidRPr="00FF0837">
        <w:rPr>
          <w:rFonts w:eastAsia="Times New Roman"/>
          <w:i/>
          <w:iCs/>
          <w:sz w:val="23"/>
          <w:szCs w:val="23"/>
        </w:rPr>
        <w:t>trh jako na</w:t>
      </w:r>
      <w:r w:rsidR="00256F29" w:rsidRPr="00FF0837">
        <w:rPr>
          <w:rFonts w:eastAsia="Times New Roman"/>
          <w:b/>
          <w:bCs/>
          <w:i/>
          <w:iCs/>
          <w:sz w:val="23"/>
          <w:szCs w:val="23"/>
        </w:rPr>
        <w:t xml:space="preserve"> </w:t>
      </w:r>
      <w:r w:rsidR="00256F29" w:rsidRPr="00FF0837">
        <w:rPr>
          <w:rFonts w:eastAsia="Times New Roman"/>
          <w:i/>
          <w:iCs/>
          <w:sz w:val="23"/>
          <w:szCs w:val="23"/>
        </w:rPr>
        <w:t>nejlepší alokátor vzácných zdrojů.</w:t>
      </w:r>
      <w:r w:rsidR="00256F29" w:rsidRPr="00FC3B7C">
        <w:rPr>
          <w:rFonts w:eastAsia="Times New Roman"/>
          <w:sz w:val="23"/>
          <w:szCs w:val="23"/>
        </w:rPr>
        <w:t xml:space="preserve"> Tvrdí, že každé přerozdělování je neefektivní, snižuje ekonomickou výkonnost. Stát má pouze stanovovat „pravidla hry“ (stanovení zákonů, realizace hospodářské soutěže), kontrolovat a vymáhat jejich dodržování.</w:t>
      </w:r>
    </w:p>
    <w:p w14:paraId="4A6F3DFC" w14:textId="7C8E70C0" w:rsidR="008E0F74" w:rsidRPr="00FC3B7C" w:rsidRDefault="00EA0B1C" w:rsidP="00FF0837">
      <w:pPr>
        <w:spacing w:after="240"/>
        <w:rPr>
          <w:sz w:val="20"/>
          <w:szCs w:val="20"/>
        </w:rPr>
      </w:pPr>
      <w:r>
        <w:rPr>
          <w:rFonts w:eastAsia="Times New Roman"/>
          <w:b/>
          <w:bCs/>
          <w:sz w:val="23"/>
          <w:szCs w:val="23"/>
        </w:rPr>
        <w:t>K</w:t>
      </w:r>
      <w:r w:rsidR="00256F29" w:rsidRPr="00FC3B7C">
        <w:rPr>
          <w:rFonts w:eastAsia="Times New Roman"/>
          <w:b/>
          <w:bCs/>
          <w:sz w:val="23"/>
          <w:szCs w:val="23"/>
        </w:rPr>
        <w:t xml:space="preserve">eynesiánci </w:t>
      </w:r>
      <w:r w:rsidR="00256F29" w:rsidRPr="00FC3B7C">
        <w:rPr>
          <w:rFonts w:eastAsia="Times New Roman"/>
          <w:sz w:val="23"/>
          <w:szCs w:val="23"/>
        </w:rPr>
        <w:t>zastávají názor,</w:t>
      </w:r>
      <w:r w:rsidR="00256F29" w:rsidRPr="00FC3B7C">
        <w:rPr>
          <w:rFonts w:eastAsia="Times New Roman"/>
          <w:b/>
          <w:bCs/>
          <w:sz w:val="23"/>
          <w:szCs w:val="23"/>
        </w:rPr>
        <w:t xml:space="preserve"> </w:t>
      </w:r>
      <w:r w:rsidR="00256F29" w:rsidRPr="00FC3B7C">
        <w:rPr>
          <w:rFonts w:eastAsia="Times New Roman"/>
          <w:sz w:val="23"/>
          <w:szCs w:val="23"/>
        </w:rPr>
        <w:t>že veřejný</w:t>
      </w:r>
      <w:r w:rsidR="00256F29" w:rsidRPr="00FC3B7C">
        <w:rPr>
          <w:rFonts w:eastAsia="Times New Roman"/>
          <w:b/>
          <w:bCs/>
          <w:sz w:val="23"/>
          <w:szCs w:val="23"/>
        </w:rPr>
        <w:t xml:space="preserve"> </w:t>
      </w:r>
      <w:r w:rsidR="00256F29" w:rsidRPr="00FC3B7C">
        <w:rPr>
          <w:rFonts w:eastAsia="Times New Roman"/>
          <w:sz w:val="23"/>
          <w:szCs w:val="23"/>
        </w:rPr>
        <w:t>sektor je z hlediska docílení a udržení vnitřní</w:t>
      </w:r>
      <w:r w:rsidR="00256F29" w:rsidRPr="00FC3B7C">
        <w:rPr>
          <w:rFonts w:eastAsia="Times New Roman"/>
          <w:b/>
          <w:bCs/>
          <w:sz w:val="23"/>
          <w:szCs w:val="23"/>
        </w:rPr>
        <w:t xml:space="preserve"> </w:t>
      </w:r>
      <w:r w:rsidR="00256F29" w:rsidRPr="00FC3B7C">
        <w:rPr>
          <w:rFonts w:eastAsia="Times New Roman"/>
          <w:sz w:val="23"/>
          <w:szCs w:val="23"/>
        </w:rPr>
        <w:t xml:space="preserve">ekonomické rovnováhy </w:t>
      </w:r>
      <w:r w:rsidR="00256F29" w:rsidRPr="00FF0837">
        <w:rPr>
          <w:rFonts w:eastAsia="Times New Roman"/>
          <w:i/>
          <w:iCs/>
          <w:sz w:val="23"/>
          <w:szCs w:val="23"/>
        </w:rPr>
        <w:t>nepostradatelný</w:t>
      </w:r>
      <w:r w:rsidR="00256F29" w:rsidRPr="00FC3B7C">
        <w:rPr>
          <w:rFonts w:eastAsia="Times New Roman"/>
          <w:sz w:val="23"/>
          <w:szCs w:val="23"/>
        </w:rPr>
        <w:t xml:space="preserve">. </w:t>
      </w:r>
      <w:r w:rsidR="00256F29" w:rsidRPr="003562E9">
        <w:rPr>
          <w:rFonts w:eastAsia="Times New Roman"/>
          <w:iCs/>
          <w:sz w:val="23"/>
          <w:szCs w:val="23"/>
        </w:rPr>
        <w:t>Trh nedokáže vyřešit všechny problémy</w:t>
      </w:r>
      <w:r w:rsidR="00256F29" w:rsidRPr="00FC3B7C">
        <w:rPr>
          <w:rFonts w:eastAsia="Times New Roman"/>
          <w:sz w:val="23"/>
          <w:szCs w:val="23"/>
        </w:rPr>
        <w:t>, protože vychází z nedostatečné agregátní poptávky</w:t>
      </w:r>
      <w:r w:rsidR="003562E9">
        <w:rPr>
          <w:rFonts w:eastAsia="Times New Roman"/>
          <w:sz w:val="23"/>
          <w:szCs w:val="23"/>
        </w:rPr>
        <w:t xml:space="preserve"> </w:t>
      </w:r>
      <w:r w:rsidR="00256F29" w:rsidRPr="00FC3B7C">
        <w:rPr>
          <w:rFonts w:eastAsia="Times New Roman"/>
          <w:sz w:val="23"/>
          <w:szCs w:val="23"/>
        </w:rPr>
        <w:t>-</w:t>
      </w:r>
      <w:r w:rsidR="003562E9">
        <w:rPr>
          <w:rFonts w:eastAsia="Times New Roman"/>
          <w:sz w:val="23"/>
          <w:szCs w:val="23"/>
        </w:rPr>
        <w:t xml:space="preserve"> </w:t>
      </w:r>
      <w:r w:rsidR="00256F29" w:rsidRPr="00FC3B7C">
        <w:rPr>
          <w:rFonts w:eastAsia="Times New Roman"/>
          <w:sz w:val="23"/>
          <w:szCs w:val="23"/>
        </w:rPr>
        <w:t>v ekonomice nedochází k využití všech vzácných zdrojů</w:t>
      </w:r>
      <w:r w:rsidR="003562E9">
        <w:rPr>
          <w:rFonts w:eastAsia="Times New Roman"/>
          <w:sz w:val="23"/>
          <w:szCs w:val="23"/>
        </w:rPr>
        <w:t>,</w:t>
      </w:r>
      <w:r w:rsidR="00256F29" w:rsidRPr="00FC3B7C">
        <w:rPr>
          <w:rFonts w:eastAsia="Times New Roman"/>
          <w:sz w:val="23"/>
          <w:szCs w:val="23"/>
        </w:rPr>
        <w:t xml:space="preserve"> a</w:t>
      </w:r>
      <w:r w:rsidR="003562E9">
        <w:rPr>
          <w:rFonts w:eastAsia="Times New Roman"/>
          <w:sz w:val="23"/>
          <w:szCs w:val="23"/>
        </w:rPr>
        <w:t xml:space="preserve"> </w:t>
      </w:r>
      <w:r w:rsidR="00256F29" w:rsidRPr="00FC3B7C">
        <w:rPr>
          <w:rFonts w:eastAsia="Times New Roman"/>
          <w:sz w:val="23"/>
          <w:szCs w:val="23"/>
        </w:rPr>
        <w:t>tak pracuje pod svým potenciálem, proto je potřeba zvýšit agregátní poptávku prostřednictvím výdajů veřejného sektoru.</w:t>
      </w:r>
    </w:p>
    <w:p w14:paraId="4A6F3DFE" w14:textId="0F560AEA" w:rsidR="008E0F74" w:rsidRPr="00FC3B7C" w:rsidRDefault="00256F29" w:rsidP="00FF0837">
      <w:pPr>
        <w:spacing w:after="240"/>
        <w:rPr>
          <w:rFonts w:eastAsia="Times New Roman"/>
        </w:rPr>
      </w:pPr>
      <w:r w:rsidRPr="00FC3B7C">
        <w:rPr>
          <w:rFonts w:eastAsia="Times New Roman"/>
        </w:rPr>
        <w:t>Největší rozmach veřejného sektoru ve světě (mimo zemí s centrálně plánovanou ekonomikou) po druhé světové válce byl v 50.</w:t>
      </w:r>
      <w:r w:rsidR="00B571F4">
        <w:rPr>
          <w:rFonts w:eastAsia="Times New Roman"/>
        </w:rPr>
        <w:t xml:space="preserve"> </w:t>
      </w:r>
      <w:r w:rsidRPr="00FC3B7C">
        <w:rPr>
          <w:rFonts w:eastAsia="Times New Roman"/>
        </w:rPr>
        <w:t>a</w:t>
      </w:r>
      <w:r w:rsidR="00B571F4">
        <w:rPr>
          <w:rFonts w:eastAsia="Times New Roman"/>
        </w:rPr>
        <w:t xml:space="preserve"> </w:t>
      </w:r>
      <w:r w:rsidRPr="00FC3B7C">
        <w:rPr>
          <w:rFonts w:eastAsia="Times New Roman"/>
        </w:rPr>
        <w:t>60. letech při realizaci poptávkově orientované hospodářské politiky (USA: New economics, UK: Stop and Go), v 70. letech pod vlivem ropných šoků a díky změnám institucionálních podmínek došlo ke stagflaci (stagnace ekonomiky, nerostoucí HDP, společně s vysokou inflací), jenž si vyžádal opuštění politiky realizace silného veřejného sektoru a státu blahobytu (USA: Reaganomika, UK: Thatcherismus).</w:t>
      </w:r>
    </w:p>
    <w:p w14:paraId="4A6F3E01" w14:textId="2C402ABD" w:rsidR="005C77AB" w:rsidRPr="00FC3B7C" w:rsidRDefault="00256F29" w:rsidP="00B571F4">
      <w:pPr>
        <w:spacing w:after="240"/>
      </w:pPr>
      <w:r w:rsidRPr="00FC3B7C">
        <w:rPr>
          <w:rFonts w:eastAsia="Times New Roman"/>
        </w:rPr>
        <w:t xml:space="preserve">Představitelé </w:t>
      </w:r>
      <w:r w:rsidRPr="00FC3B7C">
        <w:rPr>
          <w:rFonts w:eastAsia="Times New Roman"/>
          <w:b/>
          <w:bCs/>
        </w:rPr>
        <w:t>školy veřejné volby</w:t>
      </w:r>
      <w:r w:rsidRPr="00FC3B7C">
        <w:rPr>
          <w:rFonts w:eastAsia="Times New Roman"/>
        </w:rPr>
        <w:t xml:space="preserve"> (Public choice) přišli s názorem, že veřejný statek je takový statek, na kterém se politická reprezentace shodla, že je statkem veřejným. Kritériem rozdělení statků na veřejné a soukromé je kolektivní volba.</w:t>
      </w:r>
    </w:p>
    <w:p w14:paraId="4A6F3E02" w14:textId="5DE0FEFD" w:rsidR="008E0F74" w:rsidRPr="00AE6CBA" w:rsidRDefault="003376E1" w:rsidP="00EA0B1C">
      <w:pPr>
        <w:pStyle w:val="Nadpis3"/>
        <w:rPr>
          <w:color w:val="1F3864" w:themeColor="accent1" w:themeShade="80"/>
          <w:sz w:val="20"/>
          <w:szCs w:val="20"/>
        </w:rPr>
      </w:pPr>
      <w:bookmarkStart w:id="247" w:name="page247"/>
      <w:bookmarkEnd w:id="247"/>
      <w:r>
        <w:rPr>
          <w:rFonts w:eastAsia="Times New Roman"/>
          <w:color w:val="1F3864" w:themeColor="accent1" w:themeShade="80"/>
        </w:rPr>
        <w:t xml:space="preserve"> </w:t>
      </w:r>
      <w:r w:rsidR="00256F29" w:rsidRPr="00AE6CBA">
        <w:rPr>
          <w:rFonts w:eastAsia="Times New Roman"/>
          <w:color w:val="1F3864" w:themeColor="accent1" w:themeShade="80"/>
        </w:rPr>
        <w:t>Stručný</w:t>
      </w:r>
      <w:r w:rsidR="00256F29" w:rsidRPr="00AE6CBA">
        <w:rPr>
          <w:rFonts w:eastAsia="Times New Roman"/>
          <w:color w:val="1F3864" w:themeColor="accent1" w:themeShade="80"/>
          <w:sz w:val="32"/>
          <w:szCs w:val="32"/>
        </w:rPr>
        <w:t xml:space="preserve"> </w:t>
      </w:r>
      <w:r w:rsidR="00256F29" w:rsidRPr="00AE6CBA">
        <w:rPr>
          <w:rFonts w:eastAsia="Times New Roman"/>
          <w:color w:val="1F3864" w:themeColor="accent1" w:themeShade="80"/>
        </w:rPr>
        <w:t>historický</w:t>
      </w:r>
      <w:r w:rsidR="00256F29" w:rsidRPr="00AE6CBA">
        <w:rPr>
          <w:rFonts w:eastAsia="Times New Roman"/>
          <w:color w:val="1F3864" w:themeColor="accent1" w:themeShade="80"/>
          <w:sz w:val="32"/>
          <w:szCs w:val="32"/>
        </w:rPr>
        <w:t xml:space="preserve"> </w:t>
      </w:r>
      <w:r w:rsidR="00256F29" w:rsidRPr="00AE6CBA">
        <w:rPr>
          <w:rFonts w:eastAsia="Times New Roman"/>
          <w:color w:val="1F3864" w:themeColor="accent1" w:themeShade="80"/>
        </w:rPr>
        <w:t>vývoj</w:t>
      </w:r>
    </w:p>
    <w:p w14:paraId="4A6F3E03" w14:textId="77777777" w:rsidR="008E0F74" w:rsidRPr="00FC3B7C" w:rsidRDefault="00256F29" w:rsidP="00D46B53">
      <w:pPr>
        <w:numPr>
          <w:ilvl w:val="0"/>
          <w:numId w:val="223"/>
        </w:numPr>
        <w:tabs>
          <w:tab w:val="left" w:pos="360"/>
        </w:tabs>
        <w:ind w:left="360" w:hanging="248"/>
        <w:rPr>
          <w:rFonts w:eastAsia="Times New Roman"/>
          <w:b/>
          <w:bCs/>
          <w:szCs w:val="24"/>
        </w:rPr>
      </w:pPr>
      <w:r w:rsidRPr="00FC3B7C">
        <w:rPr>
          <w:rFonts w:eastAsia="Times New Roman"/>
          <w:b/>
          <w:bCs/>
          <w:szCs w:val="24"/>
        </w:rPr>
        <w:t xml:space="preserve">etapa – </w:t>
      </w:r>
      <w:r w:rsidRPr="00FC3B7C">
        <w:rPr>
          <w:rFonts w:eastAsia="Times New Roman"/>
          <w:szCs w:val="24"/>
        </w:rPr>
        <w:t xml:space="preserve">přelom 16. a 17. století, </w:t>
      </w:r>
      <w:r w:rsidRPr="00FF0837">
        <w:rPr>
          <w:rFonts w:eastAsia="Times New Roman"/>
          <w:b/>
          <w:bCs/>
          <w:szCs w:val="24"/>
        </w:rPr>
        <w:t>merkantilisté</w:t>
      </w:r>
    </w:p>
    <w:p w14:paraId="4A6F3E05" w14:textId="61A7B8CA" w:rsidR="008E0F74" w:rsidRPr="00FC3B7C" w:rsidRDefault="00256F29" w:rsidP="00EA0B1C">
      <w:pPr>
        <w:ind w:left="112"/>
        <w:rPr>
          <w:sz w:val="20"/>
          <w:szCs w:val="20"/>
        </w:rPr>
      </w:pPr>
      <w:r w:rsidRPr="00FC3B7C">
        <w:rPr>
          <w:rFonts w:eastAsia="Times New Roman"/>
        </w:rPr>
        <w:lastRenderedPageBreak/>
        <w:t xml:space="preserve">Merkantilisté učinili první pokus o intervenční či explicitní hospodářskou politiku v tom smyslu, že již tehdy požadovali podporu vývozní produkce (státní subvence) a omezení vývozu surovin (celní bariéry). Za hlavní zdroj bohatství společnosti považovali obchodování a aktivní obchodní bilanci. Nejznámějším představitelem je </w:t>
      </w:r>
      <w:r w:rsidRPr="00FF0837">
        <w:rPr>
          <w:rFonts w:eastAsia="Times New Roman"/>
          <w:i/>
          <w:iCs/>
        </w:rPr>
        <w:t>Thomas Mun</w:t>
      </w:r>
      <w:r w:rsidR="00FF0837">
        <w:rPr>
          <w:rFonts w:eastAsia="Times New Roman"/>
        </w:rPr>
        <w:t xml:space="preserve"> a</w:t>
      </w:r>
      <w:r w:rsidRPr="00FC3B7C">
        <w:rPr>
          <w:rFonts w:eastAsia="Times New Roman"/>
        </w:rPr>
        <w:t xml:space="preserve"> jeho dílo „Bohatství Anglie ze zahraničního obchodu"(neboli bilance našeho zahraničního obchodu jako regulátor bohatství).</w:t>
      </w:r>
    </w:p>
    <w:p w14:paraId="4A6F3E06" w14:textId="77777777" w:rsidR="008E0F74" w:rsidRPr="00FC3B7C" w:rsidRDefault="008E0F74">
      <w:pPr>
        <w:spacing w:line="2" w:lineRule="exact"/>
        <w:rPr>
          <w:sz w:val="20"/>
          <w:szCs w:val="20"/>
        </w:rPr>
      </w:pPr>
    </w:p>
    <w:p w14:paraId="4A6F3E07" w14:textId="77777777" w:rsidR="008E0F74" w:rsidRPr="00FC3B7C" w:rsidRDefault="00256F29" w:rsidP="00D46B53">
      <w:pPr>
        <w:numPr>
          <w:ilvl w:val="0"/>
          <w:numId w:val="224"/>
        </w:numPr>
        <w:tabs>
          <w:tab w:val="left" w:pos="360"/>
        </w:tabs>
        <w:ind w:left="360" w:hanging="248"/>
        <w:rPr>
          <w:rFonts w:eastAsia="Times New Roman"/>
          <w:b/>
          <w:bCs/>
          <w:szCs w:val="24"/>
        </w:rPr>
      </w:pPr>
      <w:r w:rsidRPr="00FC3B7C">
        <w:rPr>
          <w:rFonts w:eastAsia="Times New Roman"/>
          <w:b/>
          <w:bCs/>
          <w:szCs w:val="24"/>
        </w:rPr>
        <w:t xml:space="preserve">etapa – </w:t>
      </w:r>
      <w:r w:rsidRPr="00FC3B7C">
        <w:rPr>
          <w:rFonts w:eastAsia="Times New Roman"/>
          <w:szCs w:val="24"/>
        </w:rPr>
        <w:t xml:space="preserve">poč. 18. století, </w:t>
      </w:r>
      <w:r w:rsidRPr="00FF0837">
        <w:rPr>
          <w:rFonts w:eastAsia="Times New Roman"/>
          <w:b/>
          <w:bCs/>
          <w:szCs w:val="24"/>
        </w:rPr>
        <w:t>fyziokraté</w:t>
      </w:r>
    </w:p>
    <w:p w14:paraId="4A6F3E08" w14:textId="7A691065" w:rsidR="008E0F74" w:rsidRPr="00FC3B7C" w:rsidRDefault="00256F29" w:rsidP="00EA0B1C">
      <w:pPr>
        <w:ind w:left="112"/>
        <w:rPr>
          <w:sz w:val="20"/>
          <w:szCs w:val="20"/>
        </w:rPr>
      </w:pPr>
      <w:r w:rsidRPr="00FC3B7C">
        <w:rPr>
          <w:rFonts w:eastAsia="Times New Roman"/>
        </w:rPr>
        <w:t>Základním myšlenkovým přínosem fyziokratů je idea přirozeného řádu, resp. poznání, že peníze samy o sobě nejsou zdrojem bohatství. Svou kritikou merkantilismu stojí fyziokrati</w:t>
      </w:r>
      <w:r w:rsidR="00EA0B1C">
        <w:rPr>
          <w:rFonts w:eastAsia="Times New Roman"/>
        </w:rPr>
        <w:br/>
      </w:r>
      <w:r w:rsidRPr="00FC3B7C">
        <w:rPr>
          <w:rFonts w:eastAsia="Times New Roman"/>
        </w:rPr>
        <w:t xml:space="preserve"> u zrodu liberalismu v hospodářské politice, jakož i u pokusu o komplexnější přístup </w:t>
      </w:r>
      <w:r w:rsidR="00EA0B1C">
        <w:rPr>
          <w:rFonts w:eastAsia="Times New Roman"/>
        </w:rPr>
        <w:br/>
      </w:r>
      <w:r w:rsidRPr="00FC3B7C">
        <w:rPr>
          <w:rFonts w:eastAsia="Times New Roman"/>
        </w:rPr>
        <w:t xml:space="preserve">k hospodářství a o jeho modelování. Nejznámějším představitelem je </w:t>
      </w:r>
      <w:r w:rsidRPr="00FF0837">
        <w:rPr>
          <w:rFonts w:eastAsia="Times New Roman"/>
          <w:i/>
          <w:iCs/>
        </w:rPr>
        <w:t>Francois Quesnay</w:t>
      </w:r>
      <w:r w:rsidRPr="00FC3B7C">
        <w:rPr>
          <w:rFonts w:eastAsia="Times New Roman"/>
        </w:rPr>
        <w:t xml:space="preserve"> </w:t>
      </w:r>
      <w:r w:rsidR="00EA0B1C">
        <w:rPr>
          <w:rFonts w:eastAsia="Times New Roman"/>
        </w:rPr>
        <w:br/>
      </w:r>
      <w:r w:rsidRPr="00FC3B7C">
        <w:rPr>
          <w:rFonts w:eastAsia="Times New Roman"/>
        </w:rPr>
        <w:t>a jeho „Ekonomická tabulka" (česky vyšla v roce 1958) jako první pokus o jakýsi „model" národního hospodářství.</w:t>
      </w:r>
    </w:p>
    <w:p w14:paraId="4A6F3E09" w14:textId="77777777" w:rsidR="008E0F74" w:rsidRPr="00FC3B7C" w:rsidRDefault="008E0F74">
      <w:pPr>
        <w:spacing w:line="4" w:lineRule="exact"/>
        <w:rPr>
          <w:sz w:val="20"/>
          <w:szCs w:val="20"/>
        </w:rPr>
      </w:pPr>
    </w:p>
    <w:p w14:paraId="4A6F3E0A" w14:textId="77777777" w:rsidR="008E0F74" w:rsidRPr="00FC3B7C" w:rsidRDefault="00256F29" w:rsidP="00D46B53">
      <w:pPr>
        <w:numPr>
          <w:ilvl w:val="0"/>
          <w:numId w:val="225"/>
        </w:numPr>
        <w:tabs>
          <w:tab w:val="left" w:pos="360"/>
        </w:tabs>
        <w:ind w:left="360" w:hanging="248"/>
        <w:rPr>
          <w:rFonts w:eastAsia="Times New Roman"/>
          <w:b/>
          <w:bCs/>
          <w:szCs w:val="24"/>
        </w:rPr>
      </w:pPr>
      <w:r w:rsidRPr="00FC3B7C">
        <w:rPr>
          <w:rFonts w:eastAsia="Times New Roman"/>
          <w:b/>
          <w:bCs/>
          <w:szCs w:val="24"/>
        </w:rPr>
        <w:t xml:space="preserve">etapa – </w:t>
      </w:r>
      <w:r w:rsidRPr="00FC3B7C">
        <w:rPr>
          <w:rFonts w:eastAsia="Times New Roman"/>
          <w:szCs w:val="24"/>
        </w:rPr>
        <w:t xml:space="preserve">2. pol. 18. století a poč. 19. století, </w:t>
      </w:r>
      <w:r w:rsidRPr="00FF0837">
        <w:rPr>
          <w:rFonts w:eastAsia="Times New Roman"/>
          <w:b/>
          <w:bCs/>
          <w:szCs w:val="24"/>
        </w:rPr>
        <w:t>klasická škola</w:t>
      </w:r>
    </w:p>
    <w:p w14:paraId="4A6F3E0B" w14:textId="77777777" w:rsidR="008E0F74" w:rsidRPr="00FC3B7C" w:rsidRDefault="00256F29" w:rsidP="00EA0B1C">
      <w:pPr>
        <w:ind w:left="112"/>
        <w:rPr>
          <w:sz w:val="20"/>
          <w:szCs w:val="20"/>
        </w:rPr>
      </w:pPr>
      <w:r w:rsidRPr="00FC3B7C">
        <w:rPr>
          <w:rFonts w:eastAsia="Times New Roman"/>
        </w:rPr>
        <w:t xml:space="preserve">Podstata klasické školy vychází z ideje přirozeného řádu, existence přirozených zákonů </w:t>
      </w:r>
      <w:r w:rsidR="00EA0B1C">
        <w:rPr>
          <w:rFonts w:eastAsia="Times New Roman"/>
        </w:rPr>
        <w:br/>
      </w:r>
      <w:r w:rsidRPr="00FC3B7C">
        <w:rPr>
          <w:rFonts w:eastAsia="Times New Roman"/>
        </w:rPr>
        <w:t>a svobodné soutěže. Hnacím motorem ekonomické činnosti je tzv. hédonismus</w:t>
      </w:r>
      <w:r w:rsidR="00EA0B1C">
        <w:rPr>
          <w:rFonts w:eastAsia="Times New Roman"/>
        </w:rPr>
        <w:t xml:space="preserve"> </w:t>
      </w:r>
      <w:r w:rsidRPr="00FC3B7C">
        <w:rPr>
          <w:rFonts w:eastAsia="Times New Roman"/>
          <w:szCs w:val="24"/>
        </w:rPr>
        <w:t>sledování vlastního zájmu jednotlivců, svobodný mezinárodní obchod s tím, že společenský koordinační mechanismus zajišťuje tzv. neviditelná ruka trhu. Tento „klasický liberalismus" připouští pouze malou roli státu (ochrana vlastnictví a</w:t>
      </w:r>
      <w:r w:rsidR="00EA0B1C">
        <w:rPr>
          <w:rFonts w:eastAsia="Times New Roman"/>
          <w:szCs w:val="24"/>
        </w:rPr>
        <w:t xml:space="preserve"> </w:t>
      </w:r>
      <w:r w:rsidRPr="00FC3B7C">
        <w:rPr>
          <w:rFonts w:eastAsia="Times New Roman"/>
          <w:szCs w:val="24"/>
        </w:rPr>
        <w:t xml:space="preserve">bezpečnosti). Nejznámějším představitelem je </w:t>
      </w:r>
      <w:r w:rsidRPr="00FF0837">
        <w:rPr>
          <w:rFonts w:eastAsia="Times New Roman"/>
          <w:i/>
          <w:iCs/>
          <w:szCs w:val="24"/>
        </w:rPr>
        <w:t>Adam Smith</w:t>
      </w:r>
      <w:r w:rsidRPr="00FC3B7C">
        <w:rPr>
          <w:rFonts w:eastAsia="Times New Roman"/>
          <w:szCs w:val="24"/>
        </w:rPr>
        <w:t>, jehož hlavní dílo</w:t>
      </w:r>
      <w:r w:rsidR="00EA0B1C">
        <w:rPr>
          <w:rFonts w:eastAsia="Times New Roman"/>
          <w:szCs w:val="24"/>
        </w:rPr>
        <w:t xml:space="preserve"> </w:t>
      </w:r>
      <w:r w:rsidRPr="00FC3B7C">
        <w:rPr>
          <w:rFonts w:eastAsia="Times New Roman"/>
          <w:szCs w:val="24"/>
        </w:rPr>
        <w:t>„Pojednání o podstatě a původu bohatství národů" je nejen vrcholným dílem ekonomického liberalismu, ale základem vzniku nové vědní disciplíny-politické ekonomie. Dalšími významnými představiteli jsou: Thomas R. Malthus, Jean B. Say, David Ricardo, John S. Mill.</w:t>
      </w:r>
    </w:p>
    <w:p w14:paraId="4A6F3E0C" w14:textId="77777777" w:rsidR="008E0F74" w:rsidRPr="00FC3B7C" w:rsidRDefault="008E0F74">
      <w:pPr>
        <w:spacing w:line="1" w:lineRule="exact"/>
        <w:rPr>
          <w:sz w:val="20"/>
          <w:szCs w:val="20"/>
        </w:rPr>
      </w:pPr>
    </w:p>
    <w:p w14:paraId="4A6F3E0D" w14:textId="77777777" w:rsidR="008E0F74" w:rsidRPr="00FC3B7C" w:rsidRDefault="00256F29" w:rsidP="00D46B53">
      <w:pPr>
        <w:numPr>
          <w:ilvl w:val="0"/>
          <w:numId w:val="226"/>
        </w:numPr>
        <w:tabs>
          <w:tab w:val="left" w:pos="360"/>
        </w:tabs>
        <w:ind w:left="360" w:hanging="248"/>
        <w:rPr>
          <w:rFonts w:eastAsia="Times New Roman"/>
          <w:b/>
          <w:bCs/>
          <w:szCs w:val="24"/>
        </w:rPr>
      </w:pPr>
      <w:r w:rsidRPr="00FC3B7C">
        <w:rPr>
          <w:rFonts w:eastAsia="Times New Roman"/>
          <w:b/>
          <w:bCs/>
          <w:szCs w:val="24"/>
        </w:rPr>
        <w:t xml:space="preserve">etapa – </w:t>
      </w:r>
      <w:r w:rsidRPr="00FC3B7C">
        <w:rPr>
          <w:rFonts w:eastAsia="Times New Roman"/>
          <w:szCs w:val="24"/>
        </w:rPr>
        <w:t xml:space="preserve">přelom 19. a20. století, </w:t>
      </w:r>
      <w:r w:rsidRPr="00FF0837">
        <w:rPr>
          <w:rFonts w:eastAsia="Times New Roman"/>
          <w:b/>
          <w:bCs/>
          <w:szCs w:val="24"/>
        </w:rPr>
        <w:t>neoklasická škola</w:t>
      </w:r>
    </w:p>
    <w:p w14:paraId="4A6F3E0E" w14:textId="77777777" w:rsidR="008E0F74" w:rsidRPr="00FC3B7C" w:rsidRDefault="00256F29" w:rsidP="00FF0837">
      <w:r w:rsidRPr="00FC3B7C">
        <w:rPr>
          <w:rFonts w:eastAsia="Times New Roman"/>
        </w:rPr>
        <w:t xml:space="preserve">Neoklasikové považují národní hospodářství za soustavu dílčích trhů směřující spontánně </w:t>
      </w:r>
      <w:r w:rsidR="00EA0B1C">
        <w:rPr>
          <w:rFonts w:eastAsia="Times New Roman"/>
        </w:rPr>
        <w:br/>
      </w:r>
      <w:r w:rsidRPr="00FC3B7C">
        <w:rPr>
          <w:rFonts w:eastAsia="Times New Roman"/>
        </w:rPr>
        <w:t xml:space="preserve">k rovnováze a ekonomii za vědu o optimální alokaci zdrojů a optimální distribuci se zaměřením na ekonomickou rovnováhu a ekonomický blahobyt. Mezi hlavní představitele patří </w:t>
      </w:r>
      <w:r w:rsidRPr="00FF0837">
        <w:rPr>
          <w:rFonts w:eastAsia="Times New Roman"/>
          <w:i/>
          <w:iCs/>
        </w:rPr>
        <w:t>Alfred Marshall, dále Leon Walras, Vilfredo Pareto</w:t>
      </w:r>
      <w:r w:rsidRPr="00FC3B7C">
        <w:rPr>
          <w:rFonts w:eastAsia="Times New Roman"/>
        </w:rPr>
        <w:t xml:space="preserve"> - jsou známí především rozvinutím matematických přístupů k ekonomii.</w:t>
      </w:r>
    </w:p>
    <w:p w14:paraId="4A6F3E0F" w14:textId="77777777" w:rsidR="008E0F74" w:rsidRPr="00FC3B7C" w:rsidRDefault="008E0F74">
      <w:pPr>
        <w:spacing w:line="23" w:lineRule="exact"/>
        <w:rPr>
          <w:sz w:val="20"/>
          <w:szCs w:val="20"/>
        </w:rPr>
      </w:pPr>
      <w:bookmarkStart w:id="248" w:name="page248"/>
      <w:bookmarkEnd w:id="248"/>
    </w:p>
    <w:p w14:paraId="4A6F3E10" w14:textId="2BA6EBED" w:rsidR="008E0F74" w:rsidRPr="00FC3B7C" w:rsidRDefault="00256F29" w:rsidP="00D46B53">
      <w:pPr>
        <w:numPr>
          <w:ilvl w:val="0"/>
          <w:numId w:val="227"/>
        </w:numPr>
        <w:tabs>
          <w:tab w:val="left" w:pos="244"/>
        </w:tabs>
        <w:ind w:left="356" w:hanging="244"/>
      </w:pPr>
      <w:r w:rsidRPr="00EA0B1C">
        <w:rPr>
          <w:rFonts w:eastAsia="Times New Roman"/>
          <w:b/>
          <w:bCs/>
          <w:szCs w:val="24"/>
        </w:rPr>
        <w:t xml:space="preserve">etapa – vývoj </w:t>
      </w:r>
      <w:r w:rsidRPr="00EA0B1C">
        <w:rPr>
          <w:rFonts w:eastAsia="Times New Roman"/>
          <w:szCs w:val="24"/>
        </w:rPr>
        <w:t>ekonomického myšlení ve</w:t>
      </w:r>
      <w:r w:rsidR="00FF0837">
        <w:rPr>
          <w:rFonts w:eastAsia="Times New Roman"/>
          <w:szCs w:val="24"/>
        </w:rPr>
        <w:t xml:space="preserve"> </w:t>
      </w:r>
      <w:r w:rsidRPr="00EA0B1C">
        <w:rPr>
          <w:rFonts w:eastAsia="Times New Roman"/>
          <w:szCs w:val="24"/>
        </w:rPr>
        <w:t xml:space="preserve">20. století, </w:t>
      </w:r>
      <w:r w:rsidRPr="00FF0837">
        <w:rPr>
          <w:rFonts w:eastAsia="Times New Roman"/>
          <w:b/>
          <w:bCs/>
          <w:szCs w:val="24"/>
        </w:rPr>
        <w:t>keynesiánství</w:t>
      </w:r>
    </w:p>
    <w:p w14:paraId="4A6F3E12" w14:textId="3DB5B90A" w:rsidR="008E0F74" w:rsidRPr="00FC3B7C" w:rsidRDefault="00256F29" w:rsidP="00B571F4">
      <w:pPr>
        <w:spacing w:after="240"/>
        <w:ind w:left="112"/>
        <w:rPr>
          <w:sz w:val="20"/>
          <w:szCs w:val="20"/>
        </w:rPr>
      </w:pPr>
      <w:r w:rsidRPr="00FC3B7C">
        <w:rPr>
          <w:rFonts w:eastAsia="Times New Roman"/>
          <w:szCs w:val="24"/>
        </w:rPr>
        <w:t>Po desetiletích dominující keynesiánské ekonomie přišly roky ropných šoků a stagflace, které popíraly Keynesovo učení. Začaly se prosazovat nové směry</w:t>
      </w:r>
      <w:r w:rsidR="00FF0837">
        <w:rPr>
          <w:rFonts w:eastAsia="Times New Roman"/>
          <w:szCs w:val="24"/>
        </w:rPr>
        <w:t xml:space="preserve"> </w:t>
      </w:r>
      <w:r w:rsidRPr="00FC3B7C">
        <w:rPr>
          <w:rFonts w:eastAsia="Times New Roman"/>
          <w:szCs w:val="24"/>
        </w:rPr>
        <w:t>(monetarismus) a nové přístupy k hospodářské politice. V současnosti však můžeme opět vidět, že Keynesiánské učení převládá.</w:t>
      </w:r>
    </w:p>
    <w:p w14:paraId="4A6F3E13" w14:textId="77777777" w:rsidR="008E0F74" w:rsidRPr="00AE6CBA" w:rsidRDefault="00256F29" w:rsidP="00EA0B1C">
      <w:pPr>
        <w:pStyle w:val="Nadpis2"/>
        <w:rPr>
          <w:color w:val="1F3864" w:themeColor="accent1" w:themeShade="80"/>
          <w:szCs w:val="28"/>
        </w:rPr>
      </w:pPr>
      <w:r w:rsidRPr="00AE6CBA">
        <w:rPr>
          <w:rFonts w:eastAsia="Times New Roman"/>
          <w:color w:val="1F3864" w:themeColor="accent1" w:themeShade="80"/>
          <w:szCs w:val="28"/>
        </w:rPr>
        <w:lastRenderedPageBreak/>
        <w:t>VEŘEJNÉ VÝDAJOVÉ PROGRAMY</w:t>
      </w:r>
    </w:p>
    <w:p w14:paraId="4A6F3E14" w14:textId="77777777" w:rsidR="008E0F74" w:rsidRPr="00FC3B7C" w:rsidRDefault="00256F29" w:rsidP="00EA0B1C">
      <w:pPr>
        <w:rPr>
          <w:sz w:val="20"/>
          <w:szCs w:val="20"/>
        </w:rPr>
      </w:pPr>
      <w:r w:rsidRPr="00FC3B7C">
        <w:rPr>
          <w:rFonts w:eastAsia="Times New Roman"/>
        </w:rPr>
        <w:t xml:space="preserve">Veřejné výdajové programy jsou výdajové akce založené na programovém financování. Mají jasný </w:t>
      </w:r>
      <w:r w:rsidRPr="00FC3B7C">
        <w:rPr>
          <w:rFonts w:eastAsia="Times New Roman"/>
          <w:b/>
          <w:bCs/>
        </w:rPr>
        <w:t>výdajový</w:t>
      </w:r>
      <w:r w:rsidRPr="00FC3B7C">
        <w:rPr>
          <w:rFonts w:eastAsia="Times New Roman"/>
        </w:rPr>
        <w:t xml:space="preserve"> </w:t>
      </w:r>
      <w:r w:rsidRPr="00FC3B7C">
        <w:rPr>
          <w:rFonts w:eastAsia="Times New Roman"/>
          <w:b/>
          <w:bCs/>
        </w:rPr>
        <w:t>cíl</w:t>
      </w:r>
      <w:r w:rsidRPr="00FC3B7C">
        <w:rPr>
          <w:rFonts w:eastAsia="Times New Roman"/>
        </w:rPr>
        <w:t xml:space="preserve"> (alokační, redistribuční, stabilizační), který je vyhodnotitelný. Pro veřejné výdajové programy jsou stanoveny </w:t>
      </w:r>
      <w:r w:rsidRPr="00FC3B7C">
        <w:rPr>
          <w:rFonts w:eastAsia="Times New Roman"/>
          <w:b/>
          <w:bCs/>
        </w:rPr>
        <w:t>priority pořadí</w:t>
      </w:r>
      <w:r w:rsidRPr="00FC3B7C">
        <w:rPr>
          <w:rFonts w:eastAsia="Times New Roman"/>
        </w:rPr>
        <w:t xml:space="preserve">, takže v případě restrikce je omezován nejméně preferovaný program. Měly by sledovat </w:t>
      </w:r>
      <w:r w:rsidRPr="00FC3B7C">
        <w:rPr>
          <w:rFonts w:eastAsia="Times New Roman"/>
          <w:b/>
          <w:bCs/>
        </w:rPr>
        <w:t>veřejný</w:t>
      </w:r>
      <w:r w:rsidRPr="00FC3B7C">
        <w:rPr>
          <w:rFonts w:eastAsia="Times New Roman"/>
        </w:rPr>
        <w:t xml:space="preserve"> </w:t>
      </w:r>
      <w:r w:rsidRPr="00FC3B7C">
        <w:rPr>
          <w:rFonts w:eastAsia="Times New Roman"/>
          <w:b/>
          <w:bCs/>
        </w:rPr>
        <w:t>zájem</w:t>
      </w:r>
      <w:r w:rsidRPr="00FC3B7C">
        <w:rPr>
          <w:rFonts w:eastAsia="Times New Roman"/>
        </w:rPr>
        <w:t>, ten ale může být protichůdný (např. stavba dálnice a ponechání vlastnictví pozemků).</w:t>
      </w:r>
    </w:p>
    <w:p w14:paraId="4A6F3E15" w14:textId="77777777" w:rsidR="008E0F74" w:rsidRPr="00FC3B7C" w:rsidRDefault="00256F29" w:rsidP="00EA0B1C">
      <w:pPr>
        <w:rPr>
          <w:sz w:val="20"/>
          <w:szCs w:val="20"/>
        </w:rPr>
      </w:pPr>
      <w:r w:rsidRPr="00FC3B7C">
        <w:rPr>
          <w:rFonts w:eastAsia="Times New Roman"/>
        </w:rPr>
        <w:t xml:space="preserve">Pro veřejné výdajové programy jsou </w:t>
      </w:r>
      <w:r w:rsidRPr="00FC3B7C">
        <w:rPr>
          <w:rFonts w:eastAsia="Times New Roman"/>
          <w:b/>
          <w:bCs/>
        </w:rPr>
        <w:t>stanoveny ukazatele</w:t>
      </w:r>
      <w:r w:rsidRPr="00FC3B7C">
        <w:rPr>
          <w:rFonts w:eastAsia="Times New Roman"/>
        </w:rPr>
        <w:t xml:space="preserve"> hospodárnosti, efektivnosti, účelovosti a dopadu na cílovou skupinu. Programy jsou </w:t>
      </w:r>
      <w:r w:rsidRPr="00FC3B7C">
        <w:rPr>
          <w:rFonts w:eastAsia="Times New Roman"/>
          <w:b/>
          <w:bCs/>
        </w:rPr>
        <w:t>sledovány na základě</w:t>
      </w:r>
      <w:r w:rsidRPr="00FC3B7C">
        <w:rPr>
          <w:rFonts w:eastAsia="Times New Roman"/>
        </w:rPr>
        <w:t xml:space="preserve"> </w:t>
      </w:r>
      <w:r w:rsidRPr="00FC3B7C">
        <w:rPr>
          <w:rFonts w:eastAsia="Times New Roman"/>
          <w:b/>
          <w:bCs/>
        </w:rPr>
        <w:t>kontroly</w:t>
      </w:r>
      <w:r w:rsidRPr="00FC3B7C">
        <w:rPr>
          <w:rFonts w:eastAsia="Times New Roman"/>
        </w:rPr>
        <w:t xml:space="preserve"> ex ante a ex post.</w:t>
      </w:r>
    </w:p>
    <w:p w14:paraId="4A6F3E16" w14:textId="116C1781" w:rsidR="008E0F74" w:rsidRPr="00FC3B7C" w:rsidRDefault="00256F29" w:rsidP="00EA0B1C">
      <w:pPr>
        <w:rPr>
          <w:sz w:val="20"/>
          <w:szCs w:val="20"/>
        </w:rPr>
      </w:pPr>
      <w:r w:rsidRPr="00FC3B7C">
        <w:rPr>
          <w:rFonts w:eastAsia="Times New Roman"/>
        </w:rPr>
        <w:t xml:space="preserve">V současné době jsou aktuální zejména operační programy EU. Ty jsou financovány pomocí strukturálních fondů (Evropský fond pro obnovu a rozvoj a Evropský sociální fond). Fondy EU rozdělují finanční prostředky určené ke snižování ekonomických asociálních rozdílů mezi členskými státy a jejich regiony. </w:t>
      </w:r>
    </w:p>
    <w:p w14:paraId="4A6F3E17" w14:textId="77777777" w:rsidR="008E0F74" w:rsidRPr="00FC3B7C" w:rsidRDefault="008E0F74">
      <w:pPr>
        <w:spacing w:line="5" w:lineRule="exact"/>
        <w:rPr>
          <w:sz w:val="20"/>
          <w:szCs w:val="20"/>
        </w:rPr>
      </w:pPr>
    </w:p>
    <w:p w14:paraId="4A6F3E19" w14:textId="0C04FB3F" w:rsidR="008E0F74" w:rsidRPr="00FC3B7C" w:rsidRDefault="00256F29" w:rsidP="00B571F4">
      <w:r w:rsidRPr="00FC3B7C">
        <w:rPr>
          <w:rFonts w:eastAsia="Times New Roman"/>
        </w:rPr>
        <w:t xml:space="preserve">Existuje však několik </w:t>
      </w:r>
      <w:r w:rsidRPr="00B571F4">
        <w:rPr>
          <w:rFonts w:eastAsia="Times New Roman"/>
          <w:i/>
          <w:iCs/>
        </w:rPr>
        <w:t>nevýhod</w:t>
      </w:r>
      <w:r w:rsidRPr="00FC3B7C">
        <w:rPr>
          <w:rFonts w:eastAsia="Times New Roman"/>
        </w:rPr>
        <w:t>:</w:t>
      </w:r>
    </w:p>
    <w:p w14:paraId="64711EAD" w14:textId="77777777" w:rsidR="00B571F4" w:rsidRPr="00B571F4" w:rsidRDefault="00256F29" w:rsidP="00D46B53">
      <w:pPr>
        <w:pStyle w:val="Odstavecseseznamem"/>
        <w:numPr>
          <w:ilvl w:val="0"/>
          <w:numId w:val="641"/>
        </w:numPr>
      </w:pPr>
      <w:r w:rsidRPr="00B571F4">
        <w:rPr>
          <w:rFonts w:eastAsia="Times New Roman"/>
        </w:rPr>
        <w:t>velký dotační mechanismus, který může deformovat</w:t>
      </w:r>
      <w:r w:rsidR="00AD3D59" w:rsidRPr="00B571F4">
        <w:rPr>
          <w:rFonts w:eastAsia="Times New Roman"/>
        </w:rPr>
        <w:t xml:space="preserve"> </w:t>
      </w:r>
      <w:r w:rsidRPr="00B571F4">
        <w:rPr>
          <w:rFonts w:eastAsia="Times New Roman"/>
        </w:rPr>
        <w:t>trh</w:t>
      </w:r>
    </w:p>
    <w:p w14:paraId="2EC30E36" w14:textId="77777777" w:rsidR="00B571F4" w:rsidRPr="00B571F4" w:rsidRDefault="00256F29" w:rsidP="00D46B53">
      <w:pPr>
        <w:pStyle w:val="Odstavecseseznamem"/>
        <w:numPr>
          <w:ilvl w:val="0"/>
          <w:numId w:val="641"/>
        </w:numPr>
      </w:pPr>
      <w:r w:rsidRPr="00B571F4">
        <w:rPr>
          <w:rFonts w:eastAsia="Times New Roman"/>
        </w:rPr>
        <w:t xml:space="preserve">nutnost další byrokratizace k obsluze fondů a procesů </w:t>
      </w:r>
    </w:p>
    <w:p w14:paraId="4A6F3E1B" w14:textId="1CBECEA5" w:rsidR="008E0F74" w:rsidRPr="004B6CDE" w:rsidRDefault="00256F29" w:rsidP="00D46B53">
      <w:pPr>
        <w:pStyle w:val="Odstavecseseznamem"/>
        <w:numPr>
          <w:ilvl w:val="0"/>
          <w:numId w:val="641"/>
        </w:numPr>
        <w:spacing w:after="240"/>
      </w:pPr>
      <w:r w:rsidRPr="004B6CDE">
        <w:rPr>
          <w:rFonts w:eastAsia="Times New Roman"/>
        </w:rPr>
        <w:t>často neprůhlednost financování (specificky v ČR) problémy s čerpáním fondů atd.</w:t>
      </w:r>
    </w:p>
    <w:p w14:paraId="4A6F3E1C" w14:textId="77777777" w:rsidR="00AD3D59" w:rsidRPr="004B6CDE" w:rsidRDefault="00AD3D59" w:rsidP="00627DAC">
      <w:pPr>
        <w:rPr>
          <w:rFonts w:eastAsia="Times New Roman"/>
          <w:b/>
          <w:sz w:val="28"/>
          <w:szCs w:val="28"/>
        </w:rPr>
      </w:pPr>
      <w:r w:rsidRPr="004B6CDE">
        <w:rPr>
          <w:rFonts w:eastAsia="Times New Roman"/>
          <w:b/>
          <w:sz w:val="28"/>
          <w:szCs w:val="28"/>
        </w:rPr>
        <w:t xml:space="preserve">Programové období 2014-2020 </w:t>
      </w:r>
    </w:p>
    <w:p w14:paraId="4A6F3E1D" w14:textId="319DE522" w:rsidR="00EA0B1C" w:rsidRDefault="00AD3D59" w:rsidP="00EA0B1C">
      <w:pPr>
        <w:rPr>
          <w:rFonts w:eastAsia="Times New Roman"/>
        </w:rPr>
      </w:pPr>
      <w:r w:rsidRPr="00FC3B7C">
        <w:rPr>
          <w:rFonts w:eastAsia="Times New Roman"/>
        </w:rPr>
        <w:t xml:space="preserve">Pro Českou republiku byly vyčleněny prostředky ve výši téměř 24 miliard eur. </w:t>
      </w:r>
      <w:r w:rsidR="008D47D1">
        <w:rPr>
          <w:rFonts w:eastAsia="Times New Roman"/>
        </w:rPr>
        <w:t>Prostředky jsou čerpány prostřednictvím 10ti tematických programů.</w:t>
      </w:r>
      <w:r w:rsidR="008D47D1" w:rsidRPr="00FC3B7C">
        <w:rPr>
          <w:rFonts w:eastAsia="Times New Roman"/>
        </w:rPr>
        <w:t xml:space="preserve"> </w:t>
      </w:r>
      <w:r w:rsidRPr="00FC3B7C">
        <w:rPr>
          <w:rFonts w:eastAsia="Times New Roman"/>
        </w:rPr>
        <w:t xml:space="preserve">Fondy Evropské unie zahrnují celou škálu nástrojů finanční pomoci. Slouží především k podpoře hospodářského růstu členských zemí EU a snižování sociálních a ekonomických nerovností mezi státy a regiony (tzv. politika soudržnosti). V programovém období 2014–2020 jsou v České republice nastavena společná pravidla pro pět fondů, které dohromady tvoří Evropské strukturální a investiční fondy (ESI). </w:t>
      </w:r>
    </w:p>
    <w:p w14:paraId="4A6F3E1F" w14:textId="588BDE7D" w:rsidR="008E0F74" w:rsidRPr="00FC3B7C" w:rsidRDefault="00AD3D59" w:rsidP="00B571F4">
      <w:pPr>
        <w:rPr>
          <w:sz w:val="20"/>
          <w:szCs w:val="20"/>
        </w:rPr>
      </w:pPr>
      <w:r w:rsidRPr="00FC3B7C">
        <w:t>Fondy:</w:t>
      </w:r>
      <w:r w:rsidR="00B571F4">
        <w:t xml:space="preserve"> </w:t>
      </w:r>
      <w:r w:rsidRPr="00FC3B7C">
        <w:t>Fond soudržnosti (udržitelný růst), Evropský fond</w:t>
      </w:r>
      <w:r w:rsidR="003376E1">
        <w:t xml:space="preserve"> </w:t>
      </w:r>
      <w:r w:rsidRPr="00FC3B7C">
        <w:t>pro regionální rozvoj (růst konkurenceschopnosti a vytváření pracovních míst), Evropský rybářský a námořní fond, Evropský sociální fond (zaměstnávání a vzdělávání), Evropský zeměd</w:t>
      </w:r>
      <w:r w:rsidR="006B2031" w:rsidRPr="00FC3B7C">
        <w:t>ělský fond pro rozvoj venkova</w:t>
      </w:r>
      <w:bookmarkStart w:id="249" w:name="page249"/>
      <w:bookmarkEnd w:id="249"/>
    </w:p>
    <w:p w14:paraId="04851FA7" w14:textId="1475691C" w:rsidR="00BC0E9F" w:rsidRPr="00BC0E9F" w:rsidRDefault="003376E1" w:rsidP="00EA0B1C">
      <w:pPr>
        <w:pStyle w:val="Nadpis3"/>
        <w:rPr>
          <w:sz w:val="20"/>
          <w:szCs w:val="20"/>
        </w:rPr>
      </w:pPr>
      <w:r>
        <w:rPr>
          <w:rFonts w:eastAsia="Times New Roman"/>
        </w:rPr>
        <w:t xml:space="preserve"> </w:t>
      </w:r>
      <w:r w:rsidR="00256F29" w:rsidRPr="00AE6CBA">
        <w:rPr>
          <w:rFonts w:eastAsia="Times New Roman"/>
          <w:color w:val="1F3864" w:themeColor="accent1" w:themeShade="80"/>
        </w:rPr>
        <w:t>Metody hodnocení veřejných výdajových programů</w:t>
      </w:r>
    </w:p>
    <w:p w14:paraId="4A6F3E20" w14:textId="6F081271" w:rsidR="008E0F74" w:rsidRPr="00BC0E9F" w:rsidRDefault="00976F6E" w:rsidP="00D46B53">
      <w:pPr>
        <w:pStyle w:val="Odstavecseseznamem"/>
        <w:numPr>
          <w:ilvl w:val="0"/>
          <w:numId w:val="607"/>
        </w:numPr>
        <w:rPr>
          <w:i/>
          <w:iCs/>
          <w:sz w:val="20"/>
          <w:szCs w:val="20"/>
        </w:rPr>
      </w:pPr>
      <w:r w:rsidRPr="00BC0E9F">
        <w:rPr>
          <w:rFonts w:eastAsia="Times New Roman"/>
          <w:i/>
          <w:iCs/>
        </w:rPr>
        <w:t xml:space="preserve">složité </w:t>
      </w:r>
      <w:r w:rsidR="00BC0E9F" w:rsidRPr="00BC0E9F">
        <w:rPr>
          <w:rFonts w:eastAsia="Times New Roman"/>
          <w:i/>
          <w:iCs/>
        </w:rPr>
        <w:t>na měření</w:t>
      </w:r>
    </w:p>
    <w:p w14:paraId="4A6F3E21" w14:textId="77777777" w:rsidR="008E0F74" w:rsidRPr="00FC3B7C" w:rsidRDefault="008E0F74">
      <w:pPr>
        <w:spacing w:line="53" w:lineRule="exact"/>
        <w:rPr>
          <w:sz w:val="20"/>
          <w:szCs w:val="20"/>
        </w:rPr>
      </w:pPr>
    </w:p>
    <w:p w14:paraId="4A6F3E22" w14:textId="5A0FA237" w:rsidR="008E0F74" w:rsidRPr="00AE6CBA" w:rsidRDefault="00256F29" w:rsidP="00EA0B1C">
      <w:pPr>
        <w:pStyle w:val="Nadpis4"/>
        <w:rPr>
          <w:color w:val="1F3864" w:themeColor="accent1" w:themeShade="80"/>
          <w:sz w:val="20"/>
          <w:szCs w:val="20"/>
        </w:rPr>
      </w:pPr>
      <w:r w:rsidRPr="00AE6CBA">
        <w:rPr>
          <w:rFonts w:eastAsia="Cambria"/>
          <w:color w:val="1F3864" w:themeColor="accent1" w:themeShade="80"/>
        </w:rPr>
        <w:t>Audit ex-ant</w:t>
      </w:r>
    </w:p>
    <w:p w14:paraId="4A6F3E23" w14:textId="77777777" w:rsidR="008E0F74" w:rsidRPr="00FC3B7C" w:rsidRDefault="00256F29" w:rsidP="00EA0B1C">
      <w:pPr>
        <w:rPr>
          <w:sz w:val="20"/>
          <w:szCs w:val="20"/>
        </w:rPr>
      </w:pPr>
      <w:r w:rsidRPr="00FC3B7C">
        <w:rPr>
          <w:rFonts w:eastAsia="Times New Roman"/>
        </w:rPr>
        <w:t xml:space="preserve">Probíhá na začátku cyklu před přijetím programu, pomáhá zajistit maximální věcnost </w:t>
      </w:r>
      <w:r w:rsidR="00EA0B1C">
        <w:rPr>
          <w:rFonts w:eastAsia="Times New Roman"/>
        </w:rPr>
        <w:br/>
      </w:r>
      <w:r w:rsidRPr="00FC3B7C">
        <w:rPr>
          <w:rFonts w:eastAsia="Times New Roman"/>
        </w:rPr>
        <w:t xml:space="preserve">a promyšlenost programu. Výsledky by měly být zahrnuty do programu při procesu rozhodování. </w:t>
      </w:r>
      <w:r w:rsidRPr="00FC3B7C">
        <w:rPr>
          <w:rFonts w:eastAsia="Times New Roman"/>
        </w:rPr>
        <w:lastRenderedPageBreak/>
        <w:t>Poskytuje prvotní závěry o tom, zda otázky rozvoje byly správně určeny, zda navržená strategie a úkoly jsou relevantní, zda existuje soulad s politikou a legislativou EU, zda jsou očekávané dopady realistické atd. Návrhem jasných a pokud možno kvantifikovatelných úkolů zároveň poskytuje nezbytné podklady pro monitoring a pro budoucí hodnocení.</w:t>
      </w:r>
    </w:p>
    <w:p w14:paraId="4A6F3E24" w14:textId="77777777" w:rsidR="008E0F74" w:rsidRPr="00FC3B7C" w:rsidRDefault="008E0F74">
      <w:pPr>
        <w:spacing w:line="8" w:lineRule="exact"/>
        <w:rPr>
          <w:sz w:val="20"/>
          <w:szCs w:val="20"/>
        </w:rPr>
      </w:pPr>
    </w:p>
    <w:p w14:paraId="4A6F3E25" w14:textId="24CF09A6" w:rsidR="008E0F74" w:rsidRPr="00AE6CBA" w:rsidRDefault="00256F29" w:rsidP="00EA0B1C">
      <w:pPr>
        <w:pStyle w:val="Nadpis4"/>
        <w:rPr>
          <w:color w:val="1F3864" w:themeColor="accent1" w:themeShade="80"/>
          <w:sz w:val="20"/>
          <w:szCs w:val="20"/>
        </w:rPr>
      </w:pPr>
      <w:r w:rsidRPr="00AE6CBA">
        <w:rPr>
          <w:rFonts w:eastAsia="Cambria"/>
          <w:color w:val="1F3864" w:themeColor="accent1" w:themeShade="80"/>
        </w:rPr>
        <w:t>Audit ex-post</w:t>
      </w:r>
    </w:p>
    <w:p w14:paraId="4A6F3E26" w14:textId="77777777" w:rsidR="008E0F74" w:rsidRPr="00FC3B7C" w:rsidRDefault="00256F29" w:rsidP="00EA0B1C">
      <w:pPr>
        <w:rPr>
          <w:sz w:val="20"/>
          <w:szCs w:val="20"/>
        </w:rPr>
      </w:pPr>
      <w:r w:rsidRPr="00FC3B7C">
        <w:rPr>
          <w:rFonts w:eastAsia="Times New Roman"/>
        </w:rPr>
        <w:t xml:space="preserve">Rekapituluje a posuzuje celý program, především jeho dopady. Analyzuje vyžití zdrojů </w:t>
      </w:r>
      <w:r w:rsidR="00EA0B1C">
        <w:rPr>
          <w:rFonts w:eastAsia="Times New Roman"/>
        </w:rPr>
        <w:br/>
      </w:r>
      <w:r w:rsidRPr="00FC3B7C">
        <w:rPr>
          <w:rFonts w:eastAsia="Times New Roman"/>
        </w:rPr>
        <w:t xml:space="preserve">a výsledná zpráva informuje o účinnosti a o (ne)naplnění očekávaných efektů. Závěry mohou být aplikovány později na další programy. Hodnocení ex-post provádí Komise ve spolupráci </w:t>
      </w:r>
      <w:r w:rsidR="00EA0B1C">
        <w:rPr>
          <w:rFonts w:eastAsia="Times New Roman"/>
        </w:rPr>
        <w:br/>
      </w:r>
      <w:r w:rsidRPr="00FC3B7C">
        <w:rPr>
          <w:rFonts w:eastAsia="Times New Roman"/>
        </w:rPr>
        <w:t xml:space="preserve">s členským státem a řídicím orgánem. Dodatečné hodnocení provádí nezávislý hodnotitel </w:t>
      </w:r>
      <w:r w:rsidR="00EA0B1C">
        <w:rPr>
          <w:rFonts w:eastAsia="Times New Roman"/>
        </w:rPr>
        <w:br/>
      </w:r>
      <w:r w:rsidRPr="00FC3B7C">
        <w:rPr>
          <w:rFonts w:eastAsia="Times New Roman"/>
        </w:rPr>
        <w:t>a musí být dokončeno nejpozději dva nebo tři roky po skončení programovacího období.</w:t>
      </w:r>
    </w:p>
    <w:p w14:paraId="4A6F3E27" w14:textId="77777777" w:rsidR="008E0F74" w:rsidRPr="00FC3B7C" w:rsidRDefault="008E0F74">
      <w:pPr>
        <w:spacing w:line="4" w:lineRule="exact"/>
        <w:rPr>
          <w:sz w:val="20"/>
          <w:szCs w:val="20"/>
        </w:rPr>
      </w:pPr>
    </w:p>
    <w:p w14:paraId="4A6F3E28" w14:textId="77777777" w:rsidR="008E0F74" w:rsidRPr="00FC3B7C" w:rsidRDefault="00256F29" w:rsidP="00EA0B1C">
      <w:pPr>
        <w:rPr>
          <w:sz w:val="20"/>
          <w:szCs w:val="20"/>
        </w:rPr>
      </w:pPr>
      <w:r w:rsidRPr="00FC3B7C">
        <w:rPr>
          <w:rFonts w:eastAsia="Times New Roman"/>
          <w:szCs w:val="24"/>
        </w:rPr>
        <w:t xml:space="preserve">Audit má tři základní kritéria: </w:t>
      </w:r>
      <w:r w:rsidRPr="00773AFB">
        <w:rPr>
          <w:rFonts w:eastAsia="Times New Roman"/>
          <w:i/>
          <w:iCs/>
          <w:szCs w:val="24"/>
        </w:rPr>
        <w:t>hospodárnost, efektivnost a účelnost</w:t>
      </w:r>
      <w:r w:rsidRPr="00FC3B7C">
        <w:rPr>
          <w:rFonts w:eastAsia="Times New Roman"/>
          <w:szCs w:val="24"/>
        </w:rPr>
        <w:t>.</w:t>
      </w:r>
    </w:p>
    <w:p w14:paraId="4A6F3E29" w14:textId="724BE8F0" w:rsidR="008E0F74" w:rsidRPr="00773AFB" w:rsidRDefault="00256F29" w:rsidP="00D46B53">
      <w:pPr>
        <w:pStyle w:val="Odstavecseseznamem"/>
        <w:numPr>
          <w:ilvl w:val="3"/>
          <w:numId w:val="642"/>
        </w:numPr>
        <w:ind w:left="426"/>
        <w:rPr>
          <w:sz w:val="20"/>
          <w:szCs w:val="20"/>
        </w:rPr>
      </w:pPr>
      <w:r w:rsidRPr="00773AFB">
        <w:rPr>
          <w:rFonts w:eastAsia="Times New Roman"/>
          <w:szCs w:val="24"/>
        </w:rPr>
        <w:t>Hospodárnost</w:t>
      </w:r>
    </w:p>
    <w:p w14:paraId="4A6F3E2A" w14:textId="77777777" w:rsidR="008E0F74" w:rsidRPr="00773AFB" w:rsidRDefault="00256F29" w:rsidP="00D46B53">
      <w:pPr>
        <w:pStyle w:val="Odstavecseseznamem"/>
        <w:numPr>
          <w:ilvl w:val="0"/>
          <w:numId w:val="643"/>
        </w:numPr>
        <w:rPr>
          <w:sz w:val="20"/>
          <w:szCs w:val="20"/>
        </w:rPr>
      </w:pPr>
      <w:r w:rsidRPr="00773AFB">
        <w:rPr>
          <w:rFonts w:eastAsia="Times New Roman"/>
          <w:szCs w:val="24"/>
        </w:rPr>
        <w:t>Sleduje minimalizování nákladů</w:t>
      </w:r>
    </w:p>
    <w:p w14:paraId="4A6F3E2B" w14:textId="77777777" w:rsidR="008E0F74" w:rsidRPr="00773AFB" w:rsidRDefault="00256F29" w:rsidP="00D46B53">
      <w:pPr>
        <w:pStyle w:val="Odstavecseseznamem"/>
        <w:numPr>
          <w:ilvl w:val="0"/>
          <w:numId w:val="643"/>
        </w:numPr>
        <w:rPr>
          <w:sz w:val="20"/>
          <w:szCs w:val="20"/>
        </w:rPr>
      </w:pPr>
      <w:r w:rsidRPr="00773AFB">
        <w:rPr>
          <w:rFonts w:eastAsia="Times New Roman"/>
          <w:sz w:val="23"/>
          <w:szCs w:val="23"/>
        </w:rPr>
        <w:t>Použije se tehdy, když předpokládané výstupy dosahují předem definovanou kvalitu,</w:t>
      </w:r>
    </w:p>
    <w:p w14:paraId="4A6F3E2C" w14:textId="77777777" w:rsidR="008E0F74" w:rsidRPr="00773AFB" w:rsidRDefault="00256F29" w:rsidP="00D46B53">
      <w:pPr>
        <w:pStyle w:val="Odstavecseseznamem"/>
        <w:numPr>
          <w:ilvl w:val="0"/>
          <w:numId w:val="643"/>
        </w:numPr>
        <w:rPr>
          <w:sz w:val="20"/>
          <w:szCs w:val="20"/>
        </w:rPr>
      </w:pPr>
      <w:r w:rsidRPr="00773AFB">
        <w:rPr>
          <w:rFonts w:eastAsia="Times New Roman"/>
          <w:szCs w:val="24"/>
        </w:rPr>
        <w:t>úroveň</w:t>
      </w:r>
    </w:p>
    <w:p w14:paraId="4A6F3E2D" w14:textId="77777777" w:rsidR="003A3ADA" w:rsidRPr="00773AFB" w:rsidRDefault="00256F29" w:rsidP="00D46B53">
      <w:pPr>
        <w:pStyle w:val="Odstavecseseznamem"/>
        <w:numPr>
          <w:ilvl w:val="0"/>
          <w:numId w:val="643"/>
        </w:numPr>
        <w:rPr>
          <w:rFonts w:eastAsia="Times New Roman"/>
          <w:szCs w:val="24"/>
        </w:rPr>
      </w:pPr>
      <w:r w:rsidRPr="00773AFB">
        <w:rPr>
          <w:rFonts w:eastAsia="Times New Roman"/>
          <w:szCs w:val="24"/>
        </w:rPr>
        <w:t>Pak se vybere varianta s nejnižšími náklady</w:t>
      </w:r>
    </w:p>
    <w:p w14:paraId="4A6F3E2E" w14:textId="77777777" w:rsidR="003A3ADA" w:rsidRPr="00773AFB" w:rsidRDefault="00256F29" w:rsidP="00D46B53">
      <w:pPr>
        <w:pStyle w:val="Odstavecseseznamem"/>
        <w:numPr>
          <w:ilvl w:val="0"/>
          <w:numId w:val="643"/>
        </w:numPr>
        <w:rPr>
          <w:rFonts w:eastAsia="Times New Roman"/>
          <w:szCs w:val="24"/>
        </w:rPr>
      </w:pPr>
      <w:r w:rsidRPr="00773AFB">
        <w:rPr>
          <w:rFonts w:eastAsia="Times New Roman"/>
          <w:szCs w:val="24"/>
        </w:rPr>
        <w:t>Pokud není splněno, nesmíme toto kritérium použít</w:t>
      </w:r>
    </w:p>
    <w:p w14:paraId="4A6F3E2F" w14:textId="77777777" w:rsidR="008E0F74" w:rsidRPr="00773AFB" w:rsidRDefault="00256F29" w:rsidP="00D46B53">
      <w:pPr>
        <w:pStyle w:val="Odstavecseseznamem"/>
        <w:numPr>
          <w:ilvl w:val="0"/>
          <w:numId w:val="643"/>
        </w:numPr>
        <w:rPr>
          <w:sz w:val="20"/>
          <w:szCs w:val="20"/>
        </w:rPr>
      </w:pPr>
      <w:r w:rsidRPr="00773AFB">
        <w:rPr>
          <w:rFonts w:eastAsia="Times New Roman"/>
          <w:szCs w:val="24"/>
        </w:rPr>
        <w:t>Metoda CMA</w:t>
      </w:r>
    </w:p>
    <w:p w14:paraId="4A6F3E31" w14:textId="77777777" w:rsidR="008E0F74" w:rsidRPr="00FC3B7C" w:rsidRDefault="008E0F74" w:rsidP="00773AFB">
      <w:pPr>
        <w:spacing w:line="29" w:lineRule="exact"/>
        <w:ind w:left="426"/>
        <w:rPr>
          <w:sz w:val="20"/>
          <w:szCs w:val="20"/>
        </w:rPr>
      </w:pPr>
      <w:bookmarkStart w:id="250" w:name="page250"/>
      <w:bookmarkEnd w:id="250"/>
    </w:p>
    <w:p w14:paraId="4A6F3E32" w14:textId="3806E163" w:rsidR="008E0F74" w:rsidRPr="00773AFB" w:rsidRDefault="00256F29" w:rsidP="00D46B53">
      <w:pPr>
        <w:pStyle w:val="Odstavecseseznamem"/>
        <w:numPr>
          <w:ilvl w:val="0"/>
          <w:numId w:val="642"/>
        </w:numPr>
        <w:ind w:left="426"/>
        <w:rPr>
          <w:sz w:val="20"/>
          <w:szCs w:val="20"/>
        </w:rPr>
      </w:pPr>
      <w:r w:rsidRPr="00773AFB">
        <w:rPr>
          <w:rFonts w:eastAsia="Times New Roman"/>
          <w:szCs w:val="24"/>
        </w:rPr>
        <w:t>Efektivnost</w:t>
      </w:r>
    </w:p>
    <w:p w14:paraId="4A6F3E33" w14:textId="77777777" w:rsidR="008E0F74" w:rsidRPr="00773AFB" w:rsidRDefault="00256F29" w:rsidP="00D46B53">
      <w:pPr>
        <w:pStyle w:val="Odstavecseseznamem"/>
        <w:numPr>
          <w:ilvl w:val="0"/>
          <w:numId w:val="644"/>
        </w:numPr>
        <w:spacing w:line="276" w:lineRule="auto"/>
        <w:rPr>
          <w:sz w:val="20"/>
          <w:szCs w:val="20"/>
        </w:rPr>
      </w:pPr>
      <w:r w:rsidRPr="00773AFB">
        <w:rPr>
          <w:rFonts w:eastAsia="Times New Roman"/>
          <w:szCs w:val="24"/>
        </w:rPr>
        <w:t>Náklady na jednotku výstupu – čím nižší náklady, tím lepší varianta, metoda CEA</w:t>
      </w:r>
    </w:p>
    <w:p w14:paraId="4A6F3E34" w14:textId="77777777" w:rsidR="008E0F74" w:rsidRPr="00773AFB" w:rsidRDefault="00256F29" w:rsidP="00D46B53">
      <w:pPr>
        <w:pStyle w:val="Odstavecseseznamem"/>
        <w:numPr>
          <w:ilvl w:val="0"/>
          <w:numId w:val="644"/>
        </w:numPr>
        <w:spacing w:line="276" w:lineRule="auto"/>
        <w:rPr>
          <w:sz w:val="20"/>
          <w:szCs w:val="20"/>
        </w:rPr>
      </w:pPr>
      <w:r w:rsidRPr="00773AFB">
        <w:rPr>
          <w:rFonts w:eastAsia="Times New Roman"/>
          <w:szCs w:val="24"/>
        </w:rPr>
        <w:t>Sleduje se v minimalizaci vstupů na požadované výstupy</w:t>
      </w:r>
    </w:p>
    <w:p w14:paraId="4A6F3E35" w14:textId="77777777" w:rsidR="008E0F74" w:rsidRPr="00773AFB" w:rsidRDefault="00256F29" w:rsidP="00D46B53">
      <w:pPr>
        <w:pStyle w:val="Odstavecseseznamem"/>
        <w:numPr>
          <w:ilvl w:val="0"/>
          <w:numId w:val="644"/>
        </w:numPr>
        <w:spacing w:line="276" w:lineRule="auto"/>
        <w:rPr>
          <w:sz w:val="20"/>
          <w:szCs w:val="20"/>
        </w:rPr>
      </w:pPr>
      <w:r w:rsidRPr="00773AFB">
        <w:rPr>
          <w:rFonts w:eastAsia="Times New Roman"/>
          <w:szCs w:val="24"/>
        </w:rPr>
        <w:t>Výhoda: bere na zřetel vstupy a výstupy, zdroje a užitky</w:t>
      </w:r>
    </w:p>
    <w:p w14:paraId="4A6F3E36" w14:textId="77777777" w:rsidR="008E0F74" w:rsidRPr="00773AFB" w:rsidRDefault="00256F29" w:rsidP="00D46B53">
      <w:pPr>
        <w:pStyle w:val="Odstavecseseznamem"/>
        <w:numPr>
          <w:ilvl w:val="0"/>
          <w:numId w:val="644"/>
        </w:numPr>
        <w:spacing w:line="276" w:lineRule="auto"/>
        <w:rPr>
          <w:sz w:val="20"/>
          <w:szCs w:val="20"/>
        </w:rPr>
      </w:pPr>
      <w:r w:rsidRPr="00773AFB">
        <w:rPr>
          <w:rFonts w:eastAsia="Times New Roman"/>
          <w:szCs w:val="24"/>
        </w:rPr>
        <w:t>Nevýhoda: neodhaluje racionalitu a účelnost výdaje</w:t>
      </w:r>
    </w:p>
    <w:p w14:paraId="4A6F3E37" w14:textId="77777777" w:rsidR="008E0F74" w:rsidRPr="00773AFB" w:rsidRDefault="00256F29" w:rsidP="00D46B53">
      <w:pPr>
        <w:pStyle w:val="Odstavecseseznamem"/>
        <w:numPr>
          <w:ilvl w:val="0"/>
          <w:numId w:val="644"/>
        </w:numPr>
        <w:spacing w:line="276" w:lineRule="auto"/>
        <w:rPr>
          <w:sz w:val="20"/>
          <w:szCs w:val="20"/>
        </w:rPr>
      </w:pPr>
      <w:r w:rsidRPr="00773AFB">
        <w:rPr>
          <w:rFonts w:eastAsia="Times New Roman"/>
          <w:szCs w:val="24"/>
        </w:rPr>
        <w:t>Nezaručuje naprosto efektivní užití zdrojů, protože může měřit ztrátovou akci</w:t>
      </w:r>
    </w:p>
    <w:p w14:paraId="4A6F3E38" w14:textId="77777777" w:rsidR="008E0F74" w:rsidRPr="00FC3B7C" w:rsidRDefault="008E0F74" w:rsidP="00773AFB">
      <w:pPr>
        <w:spacing w:line="151" w:lineRule="exact"/>
        <w:ind w:left="426"/>
        <w:rPr>
          <w:sz w:val="20"/>
          <w:szCs w:val="20"/>
        </w:rPr>
      </w:pPr>
    </w:p>
    <w:p w14:paraId="4A6F3E39" w14:textId="5DE1AD62" w:rsidR="008E0F74" w:rsidRPr="00773AFB" w:rsidRDefault="00256F29" w:rsidP="00D46B53">
      <w:pPr>
        <w:pStyle w:val="Odstavecseseznamem"/>
        <w:numPr>
          <w:ilvl w:val="0"/>
          <w:numId w:val="642"/>
        </w:numPr>
        <w:ind w:left="426"/>
        <w:rPr>
          <w:sz w:val="20"/>
          <w:szCs w:val="20"/>
        </w:rPr>
      </w:pPr>
      <w:r w:rsidRPr="00773AFB">
        <w:rPr>
          <w:rFonts w:eastAsia="Times New Roman"/>
          <w:szCs w:val="24"/>
        </w:rPr>
        <w:t>Účelnost</w:t>
      </w:r>
    </w:p>
    <w:p w14:paraId="4A6F3E3A" w14:textId="77777777" w:rsidR="008E0F74" w:rsidRPr="00773AFB" w:rsidRDefault="00256F29" w:rsidP="00D46B53">
      <w:pPr>
        <w:pStyle w:val="Odstavecseseznamem"/>
        <w:numPr>
          <w:ilvl w:val="0"/>
          <w:numId w:val="645"/>
        </w:numPr>
        <w:rPr>
          <w:sz w:val="20"/>
          <w:szCs w:val="20"/>
        </w:rPr>
      </w:pPr>
      <w:r w:rsidRPr="00773AFB">
        <w:rPr>
          <w:rFonts w:eastAsia="Times New Roman"/>
          <w:szCs w:val="24"/>
        </w:rPr>
        <w:t>Měří stupeň naplnění výdajových cílů</w:t>
      </w:r>
    </w:p>
    <w:p w14:paraId="4A6F3E3B" w14:textId="77777777" w:rsidR="008E0F74" w:rsidRPr="00773AFB" w:rsidRDefault="00256F29" w:rsidP="00D46B53">
      <w:pPr>
        <w:pStyle w:val="Odstavecseseznamem"/>
        <w:numPr>
          <w:ilvl w:val="0"/>
          <w:numId w:val="645"/>
        </w:numPr>
        <w:rPr>
          <w:sz w:val="20"/>
          <w:szCs w:val="20"/>
        </w:rPr>
      </w:pPr>
      <w:r w:rsidRPr="00773AFB">
        <w:rPr>
          <w:rFonts w:eastAsia="Times New Roman"/>
          <w:szCs w:val="24"/>
        </w:rPr>
        <w:t>Vychází z jejich racionality, proč mám danou výdajovou akci realizovat?</w:t>
      </w:r>
    </w:p>
    <w:p w14:paraId="4A6F3E3C" w14:textId="77777777" w:rsidR="008E0F74" w:rsidRPr="00773AFB" w:rsidRDefault="00256F29" w:rsidP="00D46B53">
      <w:pPr>
        <w:pStyle w:val="Odstavecseseznamem"/>
        <w:numPr>
          <w:ilvl w:val="0"/>
          <w:numId w:val="645"/>
        </w:numPr>
        <w:rPr>
          <w:sz w:val="20"/>
          <w:szCs w:val="20"/>
        </w:rPr>
      </w:pPr>
      <w:r w:rsidRPr="00773AFB">
        <w:rPr>
          <w:rFonts w:eastAsia="Times New Roman"/>
          <w:szCs w:val="24"/>
        </w:rPr>
        <w:t>Účel užití zdrojů, určující kritérium při hodnocení výdajového programu</w:t>
      </w:r>
    </w:p>
    <w:p w14:paraId="4A6F3E3D" w14:textId="77777777" w:rsidR="008E0F74" w:rsidRPr="00773AFB" w:rsidRDefault="00256F29" w:rsidP="00D46B53">
      <w:pPr>
        <w:pStyle w:val="Odstavecseseznamem"/>
        <w:numPr>
          <w:ilvl w:val="0"/>
          <w:numId w:val="645"/>
        </w:numPr>
        <w:spacing w:after="240"/>
        <w:rPr>
          <w:rFonts w:eastAsia="Times New Roman"/>
          <w:szCs w:val="24"/>
        </w:rPr>
      </w:pPr>
      <w:r w:rsidRPr="00773AFB">
        <w:rPr>
          <w:rFonts w:eastAsia="Times New Roman"/>
          <w:szCs w:val="24"/>
        </w:rPr>
        <w:t>Nejkomplexnější</w:t>
      </w:r>
    </w:p>
    <w:p w14:paraId="4A6F3E3F" w14:textId="77777777" w:rsidR="008E0F74" w:rsidRPr="00FC3B7C" w:rsidRDefault="008E0F74">
      <w:pPr>
        <w:spacing w:line="36" w:lineRule="exact"/>
        <w:rPr>
          <w:sz w:val="20"/>
          <w:szCs w:val="20"/>
        </w:rPr>
      </w:pPr>
    </w:p>
    <w:p w14:paraId="4A6F3E40" w14:textId="7F886936" w:rsidR="008E0F74" w:rsidRPr="00FC3B7C" w:rsidRDefault="00256F29" w:rsidP="003A3ADA">
      <w:pPr>
        <w:rPr>
          <w:sz w:val="20"/>
          <w:szCs w:val="20"/>
        </w:rPr>
      </w:pPr>
      <w:r w:rsidRPr="00FC3B7C">
        <w:rPr>
          <w:rFonts w:eastAsia="Times New Roman"/>
          <w:szCs w:val="24"/>
        </w:rPr>
        <w:t xml:space="preserve">Pro fungování auditu je nutné vytvořit </w:t>
      </w:r>
      <w:r w:rsidRPr="00FC3B7C">
        <w:rPr>
          <w:rFonts w:eastAsia="Times New Roman"/>
          <w:b/>
          <w:bCs/>
          <w:szCs w:val="24"/>
        </w:rPr>
        <w:t>informační systém</w:t>
      </w:r>
      <w:r w:rsidR="003562E9">
        <w:rPr>
          <w:rFonts w:eastAsia="Times New Roman"/>
          <w:b/>
          <w:bCs/>
          <w:szCs w:val="24"/>
        </w:rPr>
        <w:t xml:space="preserve"> </w:t>
      </w:r>
      <w:r w:rsidRPr="00FC3B7C">
        <w:rPr>
          <w:rFonts w:eastAsia="Times New Roman"/>
          <w:szCs w:val="24"/>
        </w:rPr>
        <w:t>– existují dvě možnosti:</w:t>
      </w:r>
    </w:p>
    <w:p w14:paraId="4A6F3E41" w14:textId="77777777" w:rsidR="008E0F74" w:rsidRPr="00FC3B7C" w:rsidRDefault="00256F29" w:rsidP="003A3ADA">
      <w:pPr>
        <w:rPr>
          <w:sz w:val="20"/>
          <w:szCs w:val="20"/>
        </w:rPr>
      </w:pPr>
      <w:r w:rsidRPr="00FC3B7C">
        <w:rPr>
          <w:rFonts w:eastAsia="Times New Roman"/>
          <w:b/>
          <w:bCs/>
          <w:i/>
          <w:iCs/>
        </w:rPr>
        <w:t>Báze jednoduché zpětné vazby</w:t>
      </w:r>
      <w:r w:rsidRPr="00FC3B7C">
        <w:rPr>
          <w:rFonts w:eastAsia="Times New Roman"/>
        </w:rPr>
        <w:t>, díky které získáme informace ke korekci cílových</w:t>
      </w:r>
      <w:r w:rsidRPr="00FC3B7C">
        <w:rPr>
          <w:rFonts w:eastAsia="Times New Roman"/>
          <w:b/>
          <w:bCs/>
          <w:i/>
          <w:iCs/>
        </w:rPr>
        <w:t xml:space="preserve"> </w:t>
      </w:r>
      <w:r w:rsidRPr="00FC3B7C">
        <w:rPr>
          <w:rFonts w:eastAsia="Times New Roman"/>
        </w:rPr>
        <w:t>stavů, když získáme výstup. Je jednoduchá na ovládání, ale aktuální informace jsou staré. Na této bázi je založen informační systém v ČR.</w:t>
      </w:r>
    </w:p>
    <w:p w14:paraId="4A6F3E42" w14:textId="77777777" w:rsidR="008E0F74" w:rsidRPr="00FC3B7C" w:rsidRDefault="00256F29" w:rsidP="003A3ADA">
      <w:pPr>
        <w:rPr>
          <w:sz w:val="20"/>
          <w:szCs w:val="20"/>
        </w:rPr>
      </w:pPr>
      <w:r w:rsidRPr="00FC3B7C">
        <w:rPr>
          <w:rFonts w:eastAsia="Times New Roman"/>
          <w:b/>
          <w:bCs/>
          <w:i/>
          <w:iCs/>
        </w:rPr>
        <w:lastRenderedPageBreak/>
        <w:t xml:space="preserve">Báze dopřednézpětné vazby </w:t>
      </w:r>
      <w:r w:rsidRPr="00FC3B7C">
        <w:rPr>
          <w:rFonts w:eastAsia="Times New Roman"/>
        </w:rPr>
        <w:t>provádí potřebnou korekci na vstupu, je zde zabudován</w:t>
      </w:r>
      <w:r w:rsidRPr="00FC3B7C">
        <w:rPr>
          <w:rFonts w:eastAsia="Times New Roman"/>
          <w:b/>
          <w:bCs/>
          <w:i/>
          <w:iCs/>
        </w:rPr>
        <w:t xml:space="preserve"> </w:t>
      </w:r>
      <w:r w:rsidRPr="00FC3B7C">
        <w:rPr>
          <w:rFonts w:eastAsia="Times New Roman"/>
        </w:rPr>
        <w:t>vestavěný stabilizátor, který indikuje možné odchylky ve výstupech a provádí korekci. Upozorňuje, že je potřebné změnové řízení (změna výdajů s ohledem na plánované výdaje).</w:t>
      </w:r>
    </w:p>
    <w:p w14:paraId="4A6F3E43" w14:textId="77777777" w:rsidR="008E0F74" w:rsidRPr="00FC3B7C" w:rsidRDefault="00256F29" w:rsidP="003A3ADA">
      <w:pPr>
        <w:rPr>
          <w:sz w:val="20"/>
          <w:szCs w:val="20"/>
        </w:rPr>
      </w:pPr>
      <w:r w:rsidRPr="00FC3B7C">
        <w:rPr>
          <w:rFonts w:eastAsia="Times New Roman"/>
        </w:rPr>
        <w:t xml:space="preserve">Existuje několik </w:t>
      </w:r>
      <w:r w:rsidRPr="00FC3B7C">
        <w:rPr>
          <w:rFonts w:eastAsia="Times New Roman"/>
          <w:b/>
          <w:bCs/>
        </w:rPr>
        <w:t>metod hodnocení</w:t>
      </w:r>
      <w:r w:rsidRPr="00FC3B7C">
        <w:rPr>
          <w:rFonts w:eastAsia="Times New Roman"/>
        </w:rPr>
        <w:t xml:space="preserve"> veřejných výdajových programů.</w:t>
      </w:r>
    </w:p>
    <w:p w14:paraId="4A6F3E44" w14:textId="77777777" w:rsidR="008E0F74" w:rsidRPr="00FC3B7C" w:rsidRDefault="008E0F74">
      <w:pPr>
        <w:spacing w:line="126" w:lineRule="exact"/>
        <w:rPr>
          <w:sz w:val="20"/>
          <w:szCs w:val="20"/>
        </w:rPr>
      </w:pPr>
    </w:p>
    <w:p w14:paraId="4A6F3E45" w14:textId="77777777" w:rsidR="008E0F74" w:rsidRPr="00FC3B7C" w:rsidRDefault="00256F29">
      <w:pPr>
        <w:ind w:left="100"/>
        <w:rPr>
          <w:sz w:val="20"/>
          <w:szCs w:val="20"/>
        </w:rPr>
      </w:pPr>
      <w:r w:rsidRPr="00FC3B7C">
        <w:rPr>
          <w:rFonts w:eastAsia="Times New Roman"/>
          <w:b/>
          <w:bCs/>
          <w:i/>
          <w:iCs/>
          <w:szCs w:val="24"/>
        </w:rPr>
        <w:t>Řízení podle úkolů</w:t>
      </w:r>
    </w:p>
    <w:p w14:paraId="4A6F3E46" w14:textId="77777777" w:rsidR="008E0F74" w:rsidRPr="003A3ADA" w:rsidRDefault="00256F29" w:rsidP="00D46B53">
      <w:pPr>
        <w:pStyle w:val="Odstavecseseznamem"/>
        <w:numPr>
          <w:ilvl w:val="0"/>
          <w:numId w:val="214"/>
        </w:numPr>
        <w:ind w:left="567"/>
        <w:rPr>
          <w:sz w:val="20"/>
          <w:szCs w:val="20"/>
        </w:rPr>
      </w:pPr>
      <w:r w:rsidRPr="003A3ADA">
        <w:rPr>
          <w:rFonts w:eastAsia="Times New Roman"/>
          <w:szCs w:val="24"/>
        </w:rPr>
        <w:t>cíle jsou dány direktivně a jednotliví zaměstnanci vykonávají pouze zadané úkoly</w:t>
      </w:r>
    </w:p>
    <w:p w14:paraId="4A6F3E47" w14:textId="77777777" w:rsidR="008E0F74" w:rsidRPr="003A3ADA" w:rsidRDefault="00256F29" w:rsidP="00D46B53">
      <w:pPr>
        <w:pStyle w:val="Odstavecseseznamem"/>
        <w:numPr>
          <w:ilvl w:val="0"/>
          <w:numId w:val="214"/>
        </w:numPr>
        <w:ind w:left="567"/>
        <w:rPr>
          <w:sz w:val="20"/>
          <w:szCs w:val="20"/>
        </w:rPr>
      </w:pPr>
      <w:r w:rsidRPr="003A3ADA">
        <w:rPr>
          <w:rFonts w:eastAsia="Times New Roman"/>
          <w:szCs w:val="24"/>
        </w:rPr>
        <w:t>vhodné na příklad u postupu při hašení požáru</w:t>
      </w:r>
    </w:p>
    <w:p w14:paraId="4A6F3E48" w14:textId="77777777" w:rsidR="008E0F74" w:rsidRPr="00FC3B7C" w:rsidRDefault="008E0F74">
      <w:pPr>
        <w:spacing w:line="155" w:lineRule="exact"/>
        <w:rPr>
          <w:sz w:val="20"/>
          <w:szCs w:val="20"/>
        </w:rPr>
      </w:pPr>
    </w:p>
    <w:p w14:paraId="4A6F3E49" w14:textId="77777777" w:rsidR="008E0F74" w:rsidRPr="00FC3B7C" w:rsidRDefault="00256F29">
      <w:pPr>
        <w:ind w:left="100"/>
        <w:rPr>
          <w:sz w:val="20"/>
          <w:szCs w:val="20"/>
        </w:rPr>
      </w:pPr>
      <w:r w:rsidRPr="00FC3B7C">
        <w:rPr>
          <w:rFonts w:eastAsia="Times New Roman"/>
          <w:b/>
          <w:bCs/>
          <w:i/>
          <w:iCs/>
          <w:szCs w:val="24"/>
        </w:rPr>
        <w:t>Metoda řízení podle cílů</w:t>
      </w:r>
    </w:p>
    <w:p w14:paraId="4A6F3E4A" w14:textId="77777777" w:rsidR="008E0F74" w:rsidRPr="003A3ADA" w:rsidRDefault="00256F29" w:rsidP="00D46B53">
      <w:pPr>
        <w:pStyle w:val="Odstavecseseznamem"/>
        <w:numPr>
          <w:ilvl w:val="0"/>
          <w:numId w:val="214"/>
        </w:numPr>
        <w:ind w:left="567"/>
        <w:rPr>
          <w:sz w:val="20"/>
          <w:szCs w:val="20"/>
        </w:rPr>
      </w:pPr>
      <w:r w:rsidRPr="003A3ADA">
        <w:rPr>
          <w:rFonts w:eastAsia="Times New Roman"/>
          <w:szCs w:val="24"/>
        </w:rPr>
        <w:t>založena na principu, že vrcholový management stanoví cíle a jednotliví vedoucí</w:t>
      </w:r>
    </w:p>
    <w:p w14:paraId="4A6F3E4B" w14:textId="55B630A8" w:rsidR="008E0F74" w:rsidRPr="003A3ADA" w:rsidRDefault="003562E9" w:rsidP="00D46B53">
      <w:pPr>
        <w:pStyle w:val="Odstavecseseznamem"/>
        <w:numPr>
          <w:ilvl w:val="0"/>
          <w:numId w:val="214"/>
        </w:numPr>
        <w:ind w:left="567"/>
        <w:rPr>
          <w:sz w:val="20"/>
          <w:szCs w:val="20"/>
        </w:rPr>
      </w:pPr>
      <w:r w:rsidRPr="003A3ADA">
        <w:rPr>
          <w:rFonts w:eastAsia="Times New Roman"/>
          <w:szCs w:val="24"/>
        </w:rPr>
        <w:t>zaměstnanci</w:t>
      </w:r>
      <w:r w:rsidR="00256F29" w:rsidRPr="003A3ADA">
        <w:rPr>
          <w:rFonts w:eastAsia="Times New Roman"/>
          <w:szCs w:val="24"/>
        </w:rPr>
        <w:t xml:space="preserve"> společně se zaměstnanci se snaží ztotožnit s těmito cíli</w:t>
      </w:r>
    </w:p>
    <w:p w14:paraId="4A6F3E4C" w14:textId="77777777" w:rsidR="008E0F74" w:rsidRPr="00FC3B7C" w:rsidRDefault="008E0F74" w:rsidP="003A3ADA">
      <w:pPr>
        <w:spacing w:line="156" w:lineRule="exact"/>
        <w:ind w:left="567"/>
        <w:rPr>
          <w:sz w:val="20"/>
          <w:szCs w:val="20"/>
        </w:rPr>
      </w:pPr>
    </w:p>
    <w:p w14:paraId="4A6F3E4D" w14:textId="77777777" w:rsidR="008E0F74" w:rsidRPr="003A3ADA" w:rsidRDefault="00256F29" w:rsidP="00D46B53">
      <w:pPr>
        <w:pStyle w:val="Odstavecseseznamem"/>
        <w:numPr>
          <w:ilvl w:val="0"/>
          <w:numId w:val="214"/>
        </w:numPr>
        <w:ind w:left="567"/>
        <w:rPr>
          <w:sz w:val="20"/>
          <w:szCs w:val="20"/>
        </w:rPr>
      </w:pPr>
      <w:r w:rsidRPr="003A3ADA">
        <w:rPr>
          <w:rFonts w:eastAsia="Times New Roman"/>
          <w:szCs w:val="24"/>
        </w:rPr>
        <w:t>cíl nižšího stupně je provázaný a navazuje na cíl vrcholového managementu</w:t>
      </w:r>
    </w:p>
    <w:p w14:paraId="4A6F3E4E" w14:textId="77777777" w:rsidR="008E0F74" w:rsidRPr="003A3ADA" w:rsidRDefault="00256F29" w:rsidP="00D46B53">
      <w:pPr>
        <w:pStyle w:val="Odstavecseseznamem"/>
        <w:numPr>
          <w:ilvl w:val="0"/>
          <w:numId w:val="214"/>
        </w:numPr>
        <w:ind w:left="567"/>
        <w:rPr>
          <w:sz w:val="20"/>
          <w:szCs w:val="20"/>
        </w:rPr>
      </w:pPr>
      <w:r w:rsidRPr="003A3ADA">
        <w:rPr>
          <w:rFonts w:eastAsia="Times New Roman"/>
          <w:szCs w:val="24"/>
        </w:rPr>
        <w:t>tato metoda propojí jednotlivé cíle se stanovenými cíli jednotlivých zaměstnanců</w:t>
      </w:r>
    </w:p>
    <w:p w14:paraId="4A6F3E4F" w14:textId="77777777" w:rsidR="008E0F74" w:rsidRPr="003A3ADA" w:rsidRDefault="00256F29" w:rsidP="00D46B53">
      <w:pPr>
        <w:pStyle w:val="Odstavecseseznamem"/>
        <w:numPr>
          <w:ilvl w:val="0"/>
          <w:numId w:val="214"/>
        </w:numPr>
        <w:spacing w:line="256" w:lineRule="auto"/>
        <w:ind w:left="567" w:right="720"/>
        <w:rPr>
          <w:sz w:val="20"/>
          <w:szCs w:val="20"/>
        </w:rPr>
      </w:pPr>
      <w:r w:rsidRPr="003A3ADA">
        <w:rPr>
          <w:rFonts w:eastAsia="Times New Roman"/>
          <w:szCs w:val="24"/>
        </w:rPr>
        <w:t>při této metodě lze vytvořit soustavu cílů na úrovni jednotlivých orgánů veřejné správy</w:t>
      </w:r>
    </w:p>
    <w:p w14:paraId="4A6F3E50" w14:textId="77777777" w:rsidR="003A3ADA" w:rsidRPr="003A3ADA" w:rsidRDefault="003A3ADA" w:rsidP="003A3ADA">
      <w:pPr>
        <w:pStyle w:val="Odstavecseseznamem"/>
        <w:spacing w:line="256" w:lineRule="auto"/>
        <w:ind w:left="567" w:right="720"/>
        <w:rPr>
          <w:sz w:val="20"/>
          <w:szCs w:val="20"/>
        </w:rPr>
      </w:pPr>
    </w:p>
    <w:p w14:paraId="4A6F3E51" w14:textId="77777777" w:rsidR="008E0F74" w:rsidRDefault="008E0F74">
      <w:pPr>
        <w:spacing w:line="1" w:lineRule="exact"/>
        <w:rPr>
          <w:sz w:val="20"/>
          <w:szCs w:val="20"/>
        </w:rPr>
      </w:pPr>
    </w:p>
    <w:p w14:paraId="4A6F3E52" w14:textId="77777777" w:rsidR="003A3ADA" w:rsidRPr="00FC3B7C" w:rsidRDefault="003A3ADA">
      <w:pPr>
        <w:spacing w:line="1" w:lineRule="exact"/>
        <w:rPr>
          <w:sz w:val="20"/>
          <w:szCs w:val="20"/>
        </w:rPr>
      </w:pPr>
    </w:p>
    <w:p w14:paraId="4A6F3E53" w14:textId="77777777" w:rsidR="008E0F74" w:rsidRPr="00FC3B7C" w:rsidRDefault="00256F29">
      <w:pPr>
        <w:ind w:left="100"/>
        <w:rPr>
          <w:sz w:val="20"/>
          <w:szCs w:val="20"/>
        </w:rPr>
      </w:pPr>
      <w:r w:rsidRPr="00FC3B7C">
        <w:rPr>
          <w:rFonts w:eastAsia="Times New Roman"/>
          <w:b/>
          <w:bCs/>
          <w:i/>
          <w:iCs/>
          <w:szCs w:val="24"/>
        </w:rPr>
        <w:t>Brainstorming</w:t>
      </w:r>
      <w:r w:rsidRPr="00FC3B7C">
        <w:rPr>
          <w:rFonts w:eastAsia="Times New Roman"/>
          <w:szCs w:val="24"/>
        </w:rPr>
        <w:t>-týmová práce</w:t>
      </w:r>
    </w:p>
    <w:p w14:paraId="4A6F3E54" w14:textId="77777777" w:rsidR="008E0F74" w:rsidRPr="00FC3B7C" w:rsidRDefault="008E0F74">
      <w:pPr>
        <w:spacing w:line="10" w:lineRule="exact"/>
        <w:rPr>
          <w:sz w:val="20"/>
          <w:szCs w:val="20"/>
        </w:rPr>
      </w:pPr>
      <w:bookmarkStart w:id="251" w:name="page251"/>
      <w:bookmarkEnd w:id="251"/>
    </w:p>
    <w:p w14:paraId="4A6F3E55" w14:textId="77777777" w:rsidR="008E0F74" w:rsidRPr="003A3ADA" w:rsidRDefault="00256F29" w:rsidP="00D46B53">
      <w:pPr>
        <w:pStyle w:val="Odstavecseseznamem"/>
        <w:numPr>
          <w:ilvl w:val="0"/>
          <w:numId w:val="214"/>
        </w:numPr>
        <w:ind w:left="567"/>
        <w:rPr>
          <w:sz w:val="20"/>
          <w:szCs w:val="20"/>
        </w:rPr>
      </w:pPr>
      <w:r w:rsidRPr="003A3ADA">
        <w:rPr>
          <w:rFonts w:eastAsia="Times New Roman"/>
        </w:rPr>
        <w:t>všichni členové</w:t>
      </w:r>
      <w:r w:rsidRPr="003A3ADA">
        <w:rPr>
          <w:sz w:val="20"/>
          <w:szCs w:val="20"/>
        </w:rPr>
        <w:t xml:space="preserve"> </w:t>
      </w:r>
      <w:r w:rsidRPr="003A3ADA">
        <w:rPr>
          <w:rFonts w:eastAsia="Times New Roman"/>
        </w:rPr>
        <w:t>skupiny spontánně vyjadřují své nápady a myšlenky, není dovoleno kritizovat myšlenky a nápady ostatních</w:t>
      </w:r>
    </w:p>
    <w:p w14:paraId="4A6F3E56" w14:textId="77777777" w:rsidR="008E0F74" w:rsidRPr="00FC3B7C" w:rsidRDefault="008E0F74">
      <w:pPr>
        <w:spacing w:line="1" w:lineRule="exact"/>
        <w:rPr>
          <w:sz w:val="20"/>
          <w:szCs w:val="20"/>
        </w:rPr>
      </w:pPr>
    </w:p>
    <w:p w14:paraId="4A6F3E57" w14:textId="77777777" w:rsidR="003A3ADA" w:rsidRPr="003A3ADA" w:rsidRDefault="003A3ADA" w:rsidP="00D46B53">
      <w:pPr>
        <w:pStyle w:val="Odstavecseseznamem"/>
        <w:numPr>
          <w:ilvl w:val="0"/>
          <w:numId w:val="214"/>
        </w:numPr>
        <w:spacing w:line="365" w:lineRule="auto"/>
        <w:ind w:left="567" w:right="1620"/>
        <w:rPr>
          <w:sz w:val="20"/>
          <w:szCs w:val="20"/>
        </w:rPr>
      </w:pPr>
      <w:r w:rsidRPr="003A3ADA">
        <w:rPr>
          <w:rFonts w:eastAsia="Times New Roman"/>
          <w:szCs w:val="24"/>
        </w:rPr>
        <w:t>v</w:t>
      </w:r>
      <w:r w:rsidR="00256F29" w:rsidRPr="003A3ADA">
        <w:rPr>
          <w:rFonts w:eastAsia="Times New Roman"/>
          <w:szCs w:val="24"/>
        </w:rPr>
        <w:t xml:space="preserve">šechny nápady se zaznamenávají pro účely pozdějšího vyhodnocení </w:t>
      </w:r>
    </w:p>
    <w:p w14:paraId="4A6F3E58" w14:textId="77777777" w:rsidR="008E0F74" w:rsidRPr="003A3ADA" w:rsidRDefault="00256F29" w:rsidP="003A3ADA">
      <w:pPr>
        <w:spacing w:line="365" w:lineRule="auto"/>
        <w:ind w:right="1620"/>
        <w:rPr>
          <w:sz w:val="20"/>
          <w:szCs w:val="20"/>
        </w:rPr>
      </w:pPr>
      <w:r w:rsidRPr="003A3ADA">
        <w:rPr>
          <w:rFonts w:eastAsia="Times New Roman"/>
          <w:b/>
          <w:bCs/>
          <w:i/>
          <w:iCs/>
          <w:szCs w:val="24"/>
        </w:rPr>
        <w:t>Delfská metoda</w:t>
      </w:r>
    </w:p>
    <w:p w14:paraId="4A6F3E59" w14:textId="77777777" w:rsidR="008E0F74" w:rsidRPr="00FC3B7C" w:rsidRDefault="008E0F74">
      <w:pPr>
        <w:spacing w:line="1" w:lineRule="exact"/>
        <w:rPr>
          <w:sz w:val="20"/>
          <w:szCs w:val="20"/>
        </w:rPr>
      </w:pPr>
    </w:p>
    <w:p w14:paraId="4A6F3E5A" w14:textId="49757C44" w:rsidR="008E0F74" w:rsidRPr="00FC3B7C" w:rsidRDefault="003A3ADA" w:rsidP="003A3ADA">
      <w:pPr>
        <w:rPr>
          <w:sz w:val="20"/>
          <w:szCs w:val="20"/>
        </w:rPr>
      </w:pPr>
      <w:r>
        <w:rPr>
          <w:rFonts w:eastAsia="Times New Roman"/>
        </w:rPr>
        <w:t>V</w:t>
      </w:r>
      <w:r w:rsidR="00256F29" w:rsidRPr="00FC3B7C">
        <w:rPr>
          <w:rFonts w:eastAsia="Times New Roman"/>
        </w:rPr>
        <w:t>edoucí si vyžádá názory na určitý problém od odborníků</w:t>
      </w:r>
      <w:r w:rsidR="003562E9">
        <w:rPr>
          <w:rFonts w:eastAsia="Times New Roman"/>
        </w:rPr>
        <w:t>,</w:t>
      </w:r>
      <w:r w:rsidR="00256F29" w:rsidRPr="00FC3B7C">
        <w:rPr>
          <w:rFonts w:eastAsia="Times New Roman"/>
        </w:rPr>
        <w:t xml:space="preserve"> prostřednictvím dotazníku návrhy shrne a předloží stejným odborníkům</w:t>
      </w:r>
      <w:r>
        <w:rPr>
          <w:sz w:val="20"/>
          <w:szCs w:val="20"/>
        </w:rPr>
        <w:t>. C</w:t>
      </w:r>
      <w:r w:rsidR="00256F29" w:rsidRPr="00FC3B7C">
        <w:rPr>
          <w:rFonts w:eastAsia="Times New Roman"/>
        </w:rPr>
        <w:t>elý proces se opakuje tak dlouho, dokud se odborníci na nějaké variantě neshodnou odborníci spolu nespolupracují a každý předkládá pouze svůj názor</w:t>
      </w:r>
    </w:p>
    <w:p w14:paraId="4A6F3E5B" w14:textId="77777777" w:rsidR="008E0F74" w:rsidRPr="00FC3B7C" w:rsidRDefault="00256F29" w:rsidP="003A3ADA">
      <w:pPr>
        <w:rPr>
          <w:sz w:val="20"/>
          <w:szCs w:val="20"/>
        </w:rPr>
      </w:pPr>
      <w:r w:rsidRPr="00FC3B7C">
        <w:rPr>
          <w:rFonts w:eastAsia="Times New Roman"/>
          <w:b/>
          <w:bCs/>
          <w:i/>
          <w:iCs/>
          <w:szCs w:val="24"/>
        </w:rPr>
        <w:t>Matice SWOT</w:t>
      </w:r>
    </w:p>
    <w:p w14:paraId="4A6F3E5C" w14:textId="6CAAA652" w:rsidR="008E0F74" w:rsidRPr="00FC3B7C" w:rsidRDefault="003A3ADA" w:rsidP="003A3ADA">
      <w:pPr>
        <w:spacing w:line="375" w:lineRule="auto"/>
        <w:rPr>
          <w:sz w:val="20"/>
          <w:szCs w:val="20"/>
        </w:rPr>
      </w:pPr>
      <w:r>
        <w:rPr>
          <w:sz w:val="20"/>
          <w:szCs w:val="20"/>
        </w:rPr>
        <w:t>K</w:t>
      </w:r>
      <w:r w:rsidR="00256F29" w:rsidRPr="00FC3B7C">
        <w:rPr>
          <w:rFonts w:eastAsia="Times New Roman"/>
          <w:szCs w:val="24"/>
        </w:rPr>
        <w:t xml:space="preserve">oncipována na základě silných a slabých stránek jednotlivých koncepcí nebo strategií sloupce matice tvoří silné stránky "S" a slabé </w:t>
      </w:r>
      <w:r w:rsidR="003562E9" w:rsidRPr="00FC3B7C">
        <w:rPr>
          <w:rFonts w:eastAsia="Times New Roman"/>
          <w:szCs w:val="24"/>
        </w:rPr>
        <w:t>stránky „W“, řádky</w:t>
      </w:r>
      <w:r w:rsidR="00256F29" w:rsidRPr="00FC3B7C">
        <w:rPr>
          <w:rFonts w:eastAsia="Times New Roman"/>
          <w:szCs w:val="24"/>
        </w:rPr>
        <w:t xml:space="preserve"> matice tvoří vnější příležitosti "O" a vnější hrozby "T"</w:t>
      </w:r>
      <w:r>
        <w:rPr>
          <w:rFonts w:eastAsia="Times New Roman"/>
          <w:szCs w:val="24"/>
        </w:rPr>
        <w:t>.</w:t>
      </w:r>
    </w:p>
    <w:p w14:paraId="4A6F3E5D" w14:textId="77777777" w:rsidR="008E0F74" w:rsidRPr="00FC3B7C" w:rsidRDefault="003A3ADA" w:rsidP="003A3ADA">
      <w:pPr>
        <w:rPr>
          <w:sz w:val="20"/>
          <w:szCs w:val="20"/>
        </w:rPr>
      </w:pPr>
      <w:r>
        <w:rPr>
          <w:rFonts w:eastAsia="Times New Roman"/>
        </w:rPr>
        <w:t>V</w:t>
      </w:r>
      <w:r w:rsidR="00256F29" w:rsidRPr="00FC3B7C">
        <w:rPr>
          <w:rFonts w:eastAsia="Times New Roman"/>
        </w:rPr>
        <w:t xml:space="preserve"> první fázi dojde k vypracování několika variant, které se formou silných a slabých stránek variant posuzují, na závěr celého procesu je vybrána nejvhodnější varianta</w:t>
      </w:r>
    </w:p>
    <w:p w14:paraId="4A6F3E5E" w14:textId="77777777" w:rsidR="008E0F74" w:rsidRPr="00FC3B7C" w:rsidRDefault="008E0F74">
      <w:pPr>
        <w:spacing w:line="2" w:lineRule="exact"/>
        <w:rPr>
          <w:sz w:val="20"/>
          <w:szCs w:val="20"/>
        </w:rPr>
      </w:pPr>
    </w:p>
    <w:p w14:paraId="4A6F3E5F" w14:textId="77777777" w:rsidR="008E0F74" w:rsidRPr="00FC3B7C" w:rsidRDefault="00256F29" w:rsidP="003A3ADA">
      <w:pPr>
        <w:rPr>
          <w:sz w:val="20"/>
          <w:szCs w:val="20"/>
        </w:rPr>
      </w:pPr>
      <w:r w:rsidRPr="00FC3B7C">
        <w:rPr>
          <w:rFonts w:eastAsia="Times New Roman"/>
          <w:b/>
          <w:bCs/>
          <w:i/>
          <w:iCs/>
          <w:szCs w:val="24"/>
        </w:rPr>
        <w:t>CMA – cost-minimize analysis</w:t>
      </w:r>
    </w:p>
    <w:p w14:paraId="4A6F3E60" w14:textId="77777777" w:rsidR="008E0F74" w:rsidRPr="00FC3B7C" w:rsidRDefault="003A3ADA" w:rsidP="003A3ADA">
      <w:pPr>
        <w:rPr>
          <w:sz w:val="20"/>
          <w:szCs w:val="20"/>
        </w:rPr>
      </w:pPr>
      <w:r>
        <w:rPr>
          <w:rFonts w:eastAsia="Times New Roman"/>
        </w:rPr>
        <w:t>M</w:t>
      </w:r>
      <w:r w:rsidR="00256F29" w:rsidRPr="00FC3B7C">
        <w:rPr>
          <w:rFonts w:eastAsia="Times New Roman"/>
        </w:rPr>
        <w:t>ěří se pouze vstupy, ne výstupy</w:t>
      </w:r>
      <w:r>
        <w:rPr>
          <w:rFonts w:eastAsia="Times New Roman"/>
        </w:rPr>
        <w:t>.</w:t>
      </w:r>
    </w:p>
    <w:p w14:paraId="4A6F3E61" w14:textId="77777777" w:rsidR="008E0F74" w:rsidRPr="00FC3B7C" w:rsidRDefault="003A3ADA" w:rsidP="003A3ADA">
      <w:pPr>
        <w:rPr>
          <w:sz w:val="20"/>
          <w:szCs w:val="20"/>
        </w:rPr>
      </w:pPr>
      <w:r>
        <w:rPr>
          <w:sz w:val="20"/>
          <w:szCs w:val="20"/>
        </w:rPr>
        <w:t>L</w:t>
      </w:r>
      <w:r w:rsidR="00256F29" w:rsidRPr="00FC3B7C">
        <w:rPr>
          <w:rFonts w:eastAsia="Times New Roman"/>
        </w:rPr>
        <w:t>ze ji použít při programovém rozdělování zdrojů, při výběru alternativy při reorganizaci útvaru orgánu veřejné správy</w:t>
      </w:r>
    </w:p>
    <w:p w14:paraId="4A6F3E62" w14:textId="77777777" w:rsidR="008E0F74" w:rsidRPr="00FC3B7C" w:rsidRDefault="008E0F74">
      <w:pPr>
        <w:spacing w:line="1" w:lineRule="exact"/>
        <w:rPr>
          <w:sz w:val="20"/>
          <w:szCs w:val="20"/>
        </w:rPr>
      </w:pPr>
    </w:p>
    <w:p w14:paraId="4A6F3E63" w14:textId="77777777" w:rsidR="008E0F74" w:rsidRPr="00FC3B7C" w:rsidRDefault="00256F29" w:rsidP="003A3ADA">
      <w:pPr>
        <w:rPr>
          <w:sz w:val="20"/>
          <w:szCs w:val="20"/>
        </w:rPr>
      </w:pPr>
      <w:r w:rsidRPr="00FC3B7C">
        <w:rPr>
          <w:rFonts w:eastAsia="Times New Roman"/>
          <w:b/>
          <w:bCs/>
          <w:i/>
          <w:iCs/>
          <w:szCs w:val="24"/>
        </w:rPr>
        <w:lastRenderedPageBreak/>
        <w:t>CEA – cost-effectivenessanalysis</w:t>
      </w:r>
    </w:p>
    <w:p w14:paraId="4A6F3E64" w14:textId="0EE04BBF" w:rsidR="003A3ADA" w:rsidRDefault="003A3ADA" w:rsidP="004F3007">
      <w:pPr>
        <w:rPr>
          <w:rFonts w:eastAsia="Times New Roman"/>
        </w:rPr>
      </w:pPr>
      <w:r>
        <w:rPr>
          <w:rFonts w:eastAsia="Times New Roman"/>
        </w:rPr>
        <w:t>P</w:t>
      </w:r>
      <w:r w:rsidR="00256F29" w:rsidRPr="00FC3B7C">
        <w:rPr>
          <w:rFonts w:eastAsia="Times New Roman"/>
        </w:rPr>
        <w:t>ostup je na základě definování jednoho cíle (programu, akce), snažíme se dosáhnout tohoto cíle</w:t>
      </w:r>
      <w:r w:rsidR="00BC6716">
        <w:rPr>
          <w:rFonts w:eastAsia="Times New Roman"/>
        </w:rPr>
        <w:t xml:space="preserve"> co nejlevněji. P</w:t>
      </w:r>
      <w:r w:rsidR="00256F29" w:rsidRPr="00FC3B7C">
        <w:rPr>
          <w:rFonts w:eastAsia="Times New Roman"/>
        </w:rPr>
        <w:t>ři zjišťování výstupů můžeme použít nepeněžní vyjádření, například počet ošetřených pacientů, počet vyškolených zaměstnanců</w:t>
      </w:r>
      <w:r>
        <w:rPr>
          <w:sz w:val="20"/>
          <w:szCs w:val="20"/>
        </w:rPr>
        <w:t>. V</w:t>
      </w:r>
      <w:r w:rsidR="00256F29" w:rsidRPr="00FC3B7C">
        <w:rPr>
          <w:rFonts w:eastAsia="Times New Roman"/>
        </w:rPr>
        <w:t xml:space="preserve"> rámci porovnání jednotlivých variant vyjadřujeme výstupy stejně</w:t>
      </w:r>
      <w:r w:rsidR="004F3007">
        <w:rPr>
          <w:rFonts w:eastAsia="Times New Roman"/>
        </w:rPr>
        <w:t>.</w:t>
      </w:r>
    </w:p>
    <w:p w14:paraId="4A6F3E65" w14:textId="77777777" w:rsidR="008E0F74" w:rsidRPr="00FC3B7C" w:rsidRDefault="00256F29" w:rsidP="003A3ADA">
      <w:pPr>
        <w:rPr>
          <w:sz w:val="20"/>
          <w:szCs w:val="20"/>
        </w:rPr>
      </w:pPr>
      <w:r w:rsidRPr="00FC3B7C">
        <w:rPr>
          <w:rFonts w:eastAsia="Times New Roman"/>
          <w:b/>
          <w:bCs/>
          <w:i/>
          <w:iCs/>
        </w:rPr>
        <w:t>CBA – cost-benefit analysis</w:t>
      </w:r>
    </w:p>
    <w:p w14:paraId="4A6F3E66" w14:textId="77777777" w:rsidR="008E0F74" w:rsidRPr="00FC3B7C" w:rsidRDefault="008E0F74">
      <w:pPr>
        <w:spacing w:line="2" w:lineRule="exact"/>
        <w:rPr>
          <w:sz w:val="20"/>
          <w:szCs w:val="20"/>
        </w:rPr>
      </w:pPr>
    </w:p>
    <w:p w14:paraId="4A6F3E67" w14:textId="77777777" w:rsidR="008E0F74" w:rsidRPr="00FC3B7C" w:rsidRDefault="003A3ADA" w:rsidP="003A3ADA">
      <w:pPr>
        <w:rPr>
          <w:sz w:val="20"/>
          <w:szCs w:val="20"/>
        </w:rPr>
      </w:pPr>
      <w:r>
        <w:rPr>
          <w:rFonts w:eastAsia="Times New Roman"/>
        </w:rPr>
        <w:t>P</w:t>
      </w:r>
      <w:r w:rsidR="00256F29" w:rsidRPr="00FC3B7C">
        <w:rPr>
          <w:rFonts w:eastAsia="Times New Roman"/>
        </w:rPr>
        <w:t>orovnávají se přínosy navrhovaných alternativ a doporučuje se nejvhodnější alternativa</w:t>
      </w:r>
      <w:r>
        <w:rPr>
          <w:rFonts w:eastAsia="Times New Roman"/>
        </w:rPr>
        <w:t>.</w:t>
      </w:r>
    </w:p>
    <w:p w14:paraId="4A6F3E68" w14:textId="77777777" w:rsidR="008E0F74" w:rsidRPr="00FC3B7C" w:rsidRDefault="003A3ADA" w:rsidP="003A3ADA">
      <w:pPr>
        <w:rPr>
          <w:sz w:val="20"/>
          <w:szCs w:val="20"/>
        </w:rPr>
      </w:pPr>
      <w:r>
        <w:rPr>
          <w:rFonts w:eastAsia="Times New Roman"/>
        </w:rPr>
        <w:t>P</w:t>
      </w:r>
      <w:r w:rsidR="00256F29" w:rsidRPr="00FC3B7C">
        <w:rPr>
          <w:rFonts w:eastAsia="Times New Roman"/>
        </w:rPr>
        <w:t xml:space="preserve">ři použití této metody kalkulujeme celkové zdroje a celkové výstupy, lze využít </w:t>
      </w:r>
      <w:r w:rsidR="00256F29" w:rsidRPr="00FC3B7C">
        <w:rPr>
          <w:rFonts w:eastAsia="Times New Roman"/>
          <w:b/>
          <w:bCs/>
        </w:rPr>
        <w:t>dva</w:t>
      </w:r>
      <w:r w:rsidR="00256F29" w:rsidRPr="00FC3B7C">
        <w:rPr>
          <w:rFonts w:eastAsia="Times New Roman"/>
        </w:rPr>
        <w:t xml:space="preserve"> </w:t>
      </w:r>
      <w:r w:rsidR="00256F29" w:rsidRPr="00FC3B7C">
        <w:rPr>
          <w:rFonts w:eastAsia="Times New Roman"/>
          <w:b/>
          <w:bCs/>
        </w:rPr>
        <w:t>základní postupy:</w:t>
      </w:r>
    </w:p>
    <w:p w14:paraId="4A6F3E69" w14:textId="77777777" w:rsidR="008E0F74" w:rsidRPr="00FC3B7C" w:rsidRDefault="008E0F74">
      <w:pPr>
        <w:spacing w:line="10" w:lineRule="exact"/>
        <w:rPr>
          <w:sz w:val="20"/>
          <w:szCs w:val="20"/>
        </w:rPr>
      </w:pPr>
    </w:p>
    <w:p w14:paraId="4A6F3E6A" w14:textId="77777777" w:rsidR="008E0F74" w:rsidRPr="00FC3B7C" w:rsidRDefault="00256F29" w:rsidP="00D46B53">
      <w:pPr>
        <w:numPr>
          <w:ilvl w:val="0"/>
          <w:numId w:val="228"/>
        </w:numPr>
        <w:tabs>
          <w:tab w:val="left" w:pos="700"/>
        </w:tabs>
        <w:ind w:left="700" w:hanging="364"/>
        <w:rPr>
          <w:rFonts w:eastAsia="Arial"/>
          <w:szCs w:val="24"/>
        </w:rPr>
      </w:pPr>
      <w:r w:rsidRPr="00FC3B7C">
        <w:rPr>
          <w:rFonts w:eastAsia="Times New Roman"/>
          <w:szCs w:val="24"/>
        </w:rPr>
        <w:t>Rozdíl mezi současnou hodnotou výstupů (B) a současnou hodnotou zdrojů (C) = B-C</w:t>
      </w:r>
    </w:p>
    <w:p w14:paraId="4A6F3E6B" w14:textId="77777777" w:rsidR="008E0F74" w:rsidRPr="003A3ADA" w:rsidRDefault="00DD5C49" w:rsidP="00D46B53">
      <w:pPr>
        <w:numPr>
          <w:ilvl w:val="0"/>
          <w:numId w:val="229"/>
        </w:numPr>
        <w:tabs>
          <w:tab w:val="left" w:pos="709"/>
        </w:tabs>
        <w:ind w:left="709" w:right="1140" w:hanging="425"/>
        <w:jc w:val="left"/>
        <w:rPr>
          <w:rFonts w:eastAsia="Arial"/>
          <w:szCs w:val="24"/>
        </w:rPr>
      </w:pPr>
      <w:bookmarkStart w:id="252" w:name="page252"/>
      <w:bookmarkEnd w:id="252"/>
      <w:r>
        <w:rPr>
          <w:rFonts w:eastAsia="Times New Roman"/>
          <w:szCs w:val="24"/>
        </w:rPr>
        <w:t>P</w:t>
      </w:r>
      <w:r w:rsidR="00256F29" w:rsidRPr="00FC3B7C">
        <w:rPr>
          <w:rFonts w:eastAsia="Times New Roman"/>
          <w:szCs w:val="24"/>
        </w:rPr>
        <w:t>oměr mezi současnou hodnotou v</w:t>
      </w:r>
      <w:r w:rsidR="003A3ADA">
        <w:rPr>
          <w:rFonts w:eastAsia="Times New Roman"/>
          <w:szCs w:val="24"/>
        </w:rPr>
        <w:t xml:space="preserve">ýstupů (B) a současnou hodnoto zdrojů </w:t>
      </w:r>
      <w:r w:rsidR="00256F29" w:rsidRPr="00FC3B7C">
        <w:rPr>
          <w:rFonts w:eastAsia="Times New Roman"/>
          <w:szCs w:val="24"/>
        </w:rPr>
        <w:t>(C), kde platí, že</w:t>
      </w:r>
      <w:r w:rsidR="003A3ADA">
        <w:rPr>
          <w:rFonts w:eastAsia="Arial"/>
          <w:szCs w:val="24"/>
        </w:rPr>
        <w:t xml:space="preserve"> </w:t>
      </w:r>
      <w:r w:rsidR="00256F29" w:rsidRPr="003A3ADA">
        <w:rPr>
          <w:rFonts w:eastAsia="Times New Roman"/>
          <w:szCs w:val="24"/>
        </w:rPr>
        <w:t xml:space="preserve">projekt je přínosný, když </w:t>
      </w:r>
      <w:r w:rsidR="00256F29" w:rsidRPr="003A3ADA">
        <w:rPr>
          <w:rFonts w:eastAsia="Times New Roman"/>
        </w:rPr>
        <w:t>ukazatel je v</w:t>
      </w:r>
      <w:r w:rsidR="003A3ADA" w:rsidRPr="003A3ADA">
        <w:rPr>
          <w:rFonts w:eastAsia="Times New Roman"/>
        </w:rPr>
        <w:t xml:space="preserve">ětší než1 nebo mezi projekty má </w:t>
      </w:r>
      <w:r w:rsidR="00256F29" w:rsidRPr="003A3ADA">
        <w:rPr>
          <w:rFonts w:eastAsia="Times New Roman"/>
        </w:rPr>
        <w:t>největší</w:t>
      </w:r>
      <w:r w:rsidR="003A3ADA" w:rsidRPr="003A3ADA">
        <w:rPr>
          <w:rFonts w:eastAsia="Arial"/>
          <w:szCs w:val="24"/>
        </w:rPr>
        <w:t xml:space="preserve"> </w:t>
      </w:r>
      <w:r w:rsidR="00256F29" w:rsidRPr="003A3ADA">
        <w:rPr>
          <w:rFonts w:eastAsia="Times New Roman"/>
          <w:sz w:val="23"/>
          <w:szCs w:val="23"/>
        </w:rPr>
        <w:t xml:space="preserve">kladnou hodnotu = </w:t>
      </w:r>
      <w:r w:rsidR="00256F29" w:rsidRPr="003A3ADA">
        <w:rPr>
          <w:rFonts w:eastAsia="Times New Roman"/>
          <w:b/>
          <w:bCs/>
          <w:sz w:val="23"/>
          <w:szCs w:val="23"/>
        </w:rPr>
        <w:t>B/C</w:t>
      </w:r>
    </w:p>
    <w:p w14:paraId="4A6F3E6C" w14:textId="77777777" w:rsidR="008E0F74" w:rsidRPr="00FC3B7C" w:rsidRDefault="008E0F74">
      <w:pPr>
        <w:spacing w:line="142" w:lineRule="exact"/>
        <w:rPr>
          <w:sz w:val="20"/>
          <w:szCs w:val="20"/>
        </w:rPr>
      </w:pPr>
    </w:p>
    <w:p w14:paraId="4A6F3E6D" w14:textId="77777777" w:rsidR="008E0F74" w:rsidRPr="00FC3B7C" w:rsidRDefault="00256F29" w:rsidP="00DD5C49">
      <w:pPr>
        <w:rPr>
          <w:sz w:val="20"/>
          <w:szCs w:val="20"/>
        </w:rPr>
      </w:pPr>
      <w:r w:rsidRPr="00FC3B7C">
        <w:rPr>
          <w:rFonts w:eastAsia="Times New Roman"/>
          <w:b/>
          <w:bCs/>
          <w:i/>
          <w:iCs/>
          <w:szCs w:val="24"/>
        </w:rPr>
        <w:t>Obsahová analýza</w:t>
      </w:r>
    </w:p>
    <w:p w14:paraId="4A6F3E6E" w14:textId="77777777" w:rsidR="00DD5C49" w:rsidRDefault="00DD5C49" w:rsidP="004F3007">
      <w:pPr>
        <w:rPr>
          <w:rFonts w:eastAsia="Times New Roman"/>
        </w:rPr>
      </w:pPr>
      <w:r>
        <w:rPr>
          <w:rFonts w:eastAsia="Times New Roman"/>
        </w:rPr>
        <w:t>V</w:t>
      </w:r>
      <w:r w:rsidR="00256F29" w:rsidRPr="00FC3B7C">
        <w:rPr>
          <w:rFonts w:eastAsia="Times New Roman"/>
        </w:rPr>
        <w:t>e veřejné správě se využívá ke kontrolní činnosti (například následná řídící kontrola, monitorování)</w:t>
      </w:r>
      <w:r>
        <w:rPr>
          <w:rFonts w:eastAsia="Times New Roman"/>
        </w:rPr>
        <w:t xml:space="preserve"> </w:t>
      </w:r>
      <w:r w:rsidR="00256F29" w:rsidRPr="00FC3B7C">
        <w:rPr>
          <w:rFonts w:eastAsia="Times New Roman"/>
        </w:rPr>
        <w:t xml:space="preserve">potřebné informace jsou vyhledávány ve vnějších i vnitřních dokladech </w:t>
      </w:r>
    </w:p>
    <w:p w14:paraId="4A6F3E70" w14:textId="77777777" w:rsidR="008E0F74" w:rsidRPr="00FC3B7C" w:rsidRDefault="00256F29" w:rsidP="00DD5C49">
      <w:pPr>
        <w:rPr>
          <w:sz w:val="20"/>
          <w:szCs w:val="20"/>
        </w:rPr>
      </w:pPr>
      <w:r w:rsidRPr="00FC3B7C">
        <w:rPr>
          <w:rFonts w:eastAsia="Times New Roman"/>
          <w:b/>
          <w:bCs/>
          <w:i/>
          <w:iCs/>
        </w:rPr>
        <w:t>Strukturálně funkční analýza</w:t>
      </w:r>
    </w:p>
    <w:p w14:paraId="4A6F3E71" w14:textId="77777777" w:rsidR="008E0F74" w:rsidRPr="00FC3B7C" w:rsidRDefault="008E0F74">
      <w:pPr>
        <w:spacing w:line="1" w:lineRule="exact"/>
        <w:rPr>
          <w:sz w:val="20"/>
          <w:szCs w:val="20"/>
        </w:rPr>
      </w:pPr>
    </w:p>
    <w:p w14:paraId="4A6F3E72" w14:textId="77777777" w:rsidR="008E0F74" w:rsidRPr="00FC3B7C" w:rsidRDefault="00DD5C49" w:rsidP="00DD5C49">
      <w:pPr>
        <w:rPr>
          <w:sz w:val="20"/>
          <w:szCs w:val="20"/>
        </w:rPr>
      </w:pPr>
      <w:r>
        <w:rPr>
          <w:rFonts w:eastAsia="Times New Roman"/>
        </w:rPr>
        <w:t>D</w:t>
      </w:r>
      <w:r w:rsidR="00256F29" w:rsidRPr="00FC3B7C">
        <w:rPr>
          <w:rFonts w:eastAsia="Times New Roman"/>
        </w:rPr>
        <w:t>aný problém analyzuje jako systém vzájemně funkčně propojených vztahů mezi jednotlivými prvky systému</w:t>
      </w:r>
    </w:p>
    <w:p w14:paraId="4A6F3E73" w14:textId="77777777" w:rsidR="008E0F74" w:rsidRPr="00FC3B7C" w:rsidRDefault="008E0F74">
      <w:pPr>
        <w:spacing w:line="91" w:lineRule="exact"/>
        <w:rPr>
          <w:sz w:val="20"/>
          <w:szCs w:val="20"/>
        </w:rPr>
      </w:pPr>
    </w:p>
    <w:p w14:paraId="4A6F3E74" w14:textId="77777777" w:rsidR="008E0F74" w:rsidRPr="00FC3B7C" w:rsidRDefault="00256F29" w:rsidP="00DD5C49">
      <w:pPr>
        <w:rPr>
          <w:sz w:val="20"/>
          <w:szCs w:val="20"/>
        </w:rPr>
      </w:pPr>
      <w:r w:rsidRPr="00FC3B7C">
        <w:rPr>
          <w:rFonts w:eastAsia="Times New Roman"/>
          <w:b/>
          <w:bCs/>
          <w:i/>
          <w:iCs/>
          <w:szCs w:val="24"/>
        </w:rPr>
        <w:t>CUA – cost-utility analysis</w:t>
      </w:r>
    </w:p>
    <w:p w14:paraId="4A6F3E75" w14:textId="77777777" w:rsidR="008E0F74" w:rsidRPr="00DD5C49" w:rsidRDefault="00256F29" w:rsidP="00D46B53">
      <w:pPr>
        <w:pStyle w:val="Odstavecseseznamem"/>
        <w:numPr>
          <w:ilvl w:val="0"/>
          <w:numId w:val="605"/>
        </w:numPr>
        <w:rPr>
          <w:sz w:val="20"/>
          <w:szCs w:val="20"/>
        </w:rPr>
      </w:pPr>
      <w:r w:rsidRPr="00DD5C49">
        <w:rPr>
          <w:rFonts w:eastAsia="Times New Roman"/>
        </w:rPr>
        <w:t xml:space="preserve">založena na porovnávání přírůstku zdrojů s výsledky, které vyjádříme ve formě užitku </w:t>
      </w:r>
      <w:r w:rsidR="00DD5C49" w:rsidRPr="00DD5C49">
        <w:rPr>
          <w:rFonts w:eastAsia="Times New Roman"/>
        </w:rPr>
        <w:br/>
      </w:r>
      <w:r w:rsidRPr="00DD5C49">
        <w:rPr>
          <w:rFonts w:eastAsia="Times New Roman"/>
        </w:rPr>
        <w:t>z daného programu, projektu, akce atd.</w:t>
      </w:r>
    </w:p>
    <w:p w14:paraId="4A6F3E76" w14:textId="77777777" w:rsidR="008E0F74" w:rsidRPr="00DD5C49" w:rsidRDefault="00256F29" w:rsidP="00D46B53">
      <w:pPr>
        <w:pStyle w:val="Odstavecseseznamem"/>
        <w:numPr>
          <w:ilvl w:val="0"/>
          <w:numId w:val="605"/>
        </w:numPr>
        <w:rPr>
          <w:sz w:val="20"/>
          <w:szCs w:val="20"/>
        </w:rPr>
      </w:pPr>
      <w:r w:rsidRPr="00DD5C49">
        <w:rPr>
          <w:rFonts w:eastAsia="Times New Roman"/>
        </w:rPr>
        <w:t>užitek můžeme zobrazit pomocí bodovací stupnice (škály), kterou si vytvoří interní auditor</w:t>
      </w:r>
    </w:p>
    <w:p w14:paraId="4A6F3E77" w14:textId="77777777" w:rsidR="008E0F74" w:rsidRPr="00DD5C49" w:rsidRDefault="00256F29" w:rsidP="00D46B53">
      <w:pPr>
        <w:pStyle w:val="Odstavecseseznamem"/>
        <w:numPr>
          <w:ilvl w:val="0"/>
          <w:numId w:val="605"/>
        </w:numPr>
        <w:rPr>
          <w:sz w:val="20"/>
          <w:szCs w:val="20"/>
        </w:rPr>
      </w:pPr>
      <w:r w:rsidRPr="00DD5C49">
        <w:rPr>
          <w:rFonts w:eastAsia="Times New Roman"/>
        </w:rPr>
        <w:t>na základě bodovací stupnice (škály) se vyjadřuje pocit uspokojení z jednotlivých alternativ jednotlivých hodnotitelů, měření užitku vychází ze subjektivního vyjádření například managementu, interního auditora, experta, která třídíme dle bodovací stupnice (škály) sestupně nebo vzestupně</w:t>
      </w:r>
    </w:p>
    <w:p w14:paraId="4A6F3E78" w14:textId="77777777" w:rsidR="008E0F74" w:rsidRPr="00DD5C49" w:rsidRDefault="00256F29" w:rsidP="00D46B53">
      <w:pPr>
        <w:pStyle w:val="Odstavecseseznamem"/>
        <w:numPr>
          <w:ilvl w:val="0"/>
          <w:numId w:val="605"/>
        </w:numPr>
        <w:rPr>
          <w:sz w:val="20"/>
          <w:szCs w:val="20"/>
        </w:rPr>
      </w:pPr>
      <w:r w:rsidRPr="00DD5C49">
        <w:rPr>
          <w:rFonts w:eastAsia="Times New Roman"/>
        </w:rPr>
        <w:t>ze zařazení v bodovací stupnici (škále) nám vyplyne, jak jsou splněny dané cíle hodnocené alternativy</w:t>
      </w:r>
    </w:p>
    <w:p w14:paraId="4A6F3E79" w14:textId="77777777" w:rsidR="008E0F74" w:rsidRPr="00DD5C49" w:rsidRDefault="00256F29" w:rsidP="00D46B53">
      <w:pPr>
        <w:pStyle w:val="Odstavecseseznamem"/>
        <w:numPr>
          <w:ilvl w:val="0"/>
          <w:numId w:val="605"/>
        </w:numPr>
        <w:rPr>
          <w:sz w:val="20"/>
          <w:szCs w:val="20"/>
        </w:rPr>
      </w:pPr>
      <w:r w:rsidRPr="00DD5C49">
        <w:rPr>
          <w:rFonts w:eastAsia="Times New Roman"/>
        </w:rPr>
        <w:t>na závěr tohoto postupu získáme celkové ohodnocení alternativy</w:t>
      </w:r>
    </w:p>
    <w:p w14:paraId="4A6F3E7A" w14:textId="77777777" w:rsidR="008E0F74" w:rsidRPr="00DD5C49" w:rsidRDefault="00256F29" w:rsidP="00D46B53">
      <w:pPr>
        <w:pStyle w:val="Odstavecseseznamem"/>
        <w:numPr>
          <w:ilvl w:val="0"/>
          <w:numId w:val="605"/>
        </w:numPr>
        <w:rPr>
          <w:sz w:val="20"/>
          <w:szCs w:val="20"/>
        </w:rPr>
      </w:pPr>
      <w:r w:rsidRPr="00DD5C49">
        <w:rPr>
          <w:rFonts w:eastAsia="Times New Roman"/>
          <w:sz w:val="23"/>
          <w:szCs w:val="23"/>
        </w:rPr>
        <w:t>použití metody CUA ve veřejné správě je vhodné například při hodnocení zdravotních</w:t>
      </w:r>
    </w:p>
    <w:p w14:paraId="4A6F3E7B" w14:textId="77777777" w:rsidR="008E0F74" w:rsidRPr="00DD5C49" w:rsidRDefault="00256F29" w:rsidP="00D46B53">
      <w:pPr>
        <w:pStyle w:val="Odstavecseseznamem"/>
        <w:numPr>
          <w:ilvl w:val="0"/>
          <w:numId w:val="605"/>
        </w:numPr>
        <w:spacing w:after="240"/>
        <w:rPr>
          <w:sz w:val="20"/>
          <w:szCs w:val="20"/>
        </w:rPr>
      </w:pPr>
      <w:r w:rsidRPr="00DD5C49">
        <w:rPr>
          <w:rFonts w:eastAsia="Times New Roman"/>
        </w:rPr>
        <w:t>programů, hodnocení veřejných zakázek u zakázek s technickými parametry</w:t>
      </w:r>
    </w:p>
    <w:p w14:paraId="4A6F3E7E" w14:textId="77777777" w:rsidR="008E0F74" w:rsidRPr="00AE6CBA" w:rsidRDefault="00256F29" w:rsidP="00DD5C49">
      <w:pPr>
        <w:pStyle w:val="Nadpis2"/>
        <w:rPr>
          <w:color w:val="1F3864" w:themeColor="accent1" w:themeShade="80"/>
          <w:szCs w:val="28"/>
        </w:rPr>
      </w:pPr>
      <w:r w:rsidRPr="00AE6CBA">
        <w:rPr>
          <w:rFonts w:eastAsia="Times New Roman"/>
          <w:color w:val="1F3864" w:themeColor="accent1" w:themeShade="80"/>
          <w:szCs w:val="28"/>
        </w:rPr>
        <w:lastRenderedPageBreak/>
        <w:t>ROZPOČTOVÝ DEFICIT A VEŘEJNÝ DLUH, VEŘEJNÉ VÝDAJE A PŘÍJMY ČR</w:t>
      </w:r>
    </w:p>
    <w:p w14:paraId="4A6F3E7F" w14:textId="02DB7552" w:rsidR="008E0F74" w:rsidRPr="00FC3B7C" w:rsidRDefault="00AE6CBA" w:rsidP="00DD5C49">
      <w:pPr>
        <w:pStyle w:val="Nadpis3"/>
        <w:rPr>
          <w:sz w:val="20"/>
          <w:szCs w:val="20"/>
        </w:rPr>
      </w:pPr>
      <w:r>
        <w:rPr>
          <w:rFonts w:eastAsia="Times New Roman"/>
        </w:rPr>
        <w:t xml:space="preserve"> </w:t>
      </w:r>
      <w:r w:rsidR="00256F29" w:rsidRPr="00AE6CBA">
        <w:rPr>
          <w:rFonts w:eastAsia="Times New Roman"/>
          <w:color w:val="1F3864" w:themeColor="accent1" w:themeShade="80"/>
        </w:rPr>
        <w:t>Rozpočtový</w:t>
      </w:r>
      <w:r w:rsidR="00256F29" w:rsidRPr="00AE6CBA">
        <w:rPr>
          <w:rFonts w:eastAsia="Times New Roman"/>
          <w:color w:val="1F3864" w:themeColor="accent1" w:themeShade="80"/>
          <w:sz w:val="32"/>
          <w:szCs w:val="32"/>
        </w:rPr>
        <w:t xml:space="preserve"> </w:t>
      </w:r>
      <w:r w:rsidR="00256F29" w:rsidRPr="00AE6CBA">
        <w:rPr>
          <w:rFonts w:eastAsia="Times New Roman"/>
          <w:color w:val="1F3864" w:themeColor="accent1" w:themeShade="80"/>
        </w:rPr>
        <w:t>deficit a veřejný</w:t>
      </w:r>
      <w:r w:rsidR="00256F29" w:rsidRPr="00AE6CBA">
        <w:rPr>
          <w:rFonts w:eastAsia="Times New Roman"/>
          <w:color w:val="1F3864" w:themeColor="accent1" w:themeShade="80"/>
          <w:sz w:val="32"/>
          <w:szCs w:val="32"/>
        </w:rPr>
        <w:t xml:space="preserve"> </w:t>
      </w:r>
      <w:r w:rsidR="00256F29" w:rsidRPr="00AE6CBA">
        <w:rPr>
          <w:rFonts w:eastAsia="Times New Roman"/>
          <w:color w:val="1F3864" w:themeColor="accent1" w:themeShade="80"/>
        </w:rPr>
        <w:t>dluh</w:t>
      </w:r>
    </w:p>
    <w:p w14:paraId="4A6F3E80" w14:textId="77777777" w:rsidR="008E0F74" w:rsidRPr="00FC3B7C" w:rsidRDefault="00256F29" w:rsidP="00DD5C49">
      <w:pPr>
        <w:rPr>
          <w:sz w:val="20"/>
          <w:szCs w:val="20"/>
        </w:rPr>
      </w:pPr>
      <w:r w:rsidRPr="00FC3B7C">
        <w:rPr>
          <w:rFonts w:eastAsia="Times New Roman"/>
          <w:b/>
          <w:bCs/>
        </w:rPr>
        <w:t xml:space="preserve">Rozpočtový deficit </w:t>
      </w:r>
      <w:r w:rsidRPr="00FC3B7C">
        <w:rPr>
          <w:rFonts w:eastAsia="Times New Roman"/>
        </w:rPr>
        <w:t>vzniká, jestliže v určitém rozpočtovém období objem veřejných výdajů</w:t>
      </w:r>
      <w:r w:rsidRPr="00FC3B7C">
        <w:rPr>
          <w:rFonts w:eastAsia="Times New Roman"/>
          <w:b/>
          <w:bCs/>
        </w:rPr>
        <w:t xml:space="preserve"> </w:t>
      </w:r>
      <w:r w:rsidRPr="00FC3B7C">
        <w:rPr>
          <w:rFonts w:eastAsia="Times New Roman"/>
        </w:rPr>
        <w:t>převyšuje objem veřejných příjmů. Deficit je známkou špatného finančního hospodaření</w:t>
      </w:r>
    </w:p>
    <w:p w14:paraId="4A6F3E81" w14:textId="77777777" w:rsidR="008E0F74" w:rsidRPr="00FC3B7C" w:rsidRDefault="008E0F74">
      <w:pPr>
        <w:spacing w:line="29" w:lineRule="exact"/>
        <w:rPr>
          <w:sz w:val="20"/>
          <w:szCs w:val="20"/>
        </w:rPr>
      </w:pPr>
      <w:bookmarkStart w:id="253" w:name="page253"/>
      <w:bookmarkEnd w:id="253"/>
    </w:p>
    <w:p w14:paraId="4A6F3E82" w14:textId="77777777" w:rsidR="008E0F74" w:rsidRPr="00FC3B7C" w:rsidRDefault="00256F29">
      <w:pPr>
        <w:spacing w:line="273" w:lineRule="auto"/>
        <w:ind w:right="300"/>
        <w:rPr>
          <w:sz w:val="20"/>
          <w:szCs w:val="20"/>
        </w:rPr>
      </w:pPr>
      <w:r w:rsidRPr="00FC3B7C">
        <w:rPr>
          <w:rFonts w:eastAsia="Times New Roman"/>
          <w:szCs w:val="24"/>
        </w:rPr>
        <w:t>vlády a může poukazovat na silný veřejný sektor. Existuje několik způsobů krytí rozpočtového deficitu:</w:t>
      </w:r>
    </w:p>
    <w:p w14:paraId="4A6F3E83" w14:textId="77777777" w:rsidR="00DD5C49" w:rsidRDefault="00256F29" w:rsidP="00D46B53">
      <w:pPr>
        <w:numPr>
          <w:ilvl w:val="0"/>
          <w:numId w:val="230"/>
        </w:numPr>
        <w:tabs>
          <w:tab w:val="left" w:pos="1106"/>
        </w:tabs>
        <w:ind w:left="780" w:right="760" w:hanging="1"/>
        <w:rPr>
          <w:rFonts w:eastAsia="Times New Roman"/>
          <w:szCs w:val="24"/>
        </w:rPr>
      </w:pPr>
      <w:r w:rsidRPr="00FC3B7C">
        <w:rPr>
          <w:rFonts w:eastAsia="Times New Roman"/>
          <w:szCs w:val="24"/>
        </w:rPr>
        <w:t xml:space="preserve">dluhové krytí (transformace deficitu do veřejného dluhu, emise státních dluhopisů) </w:t>
      </w:r>
    </w:p>
    <w:p w14:paraId="4A6F3E84" w14:textId="77777777" w:rsidR="008E0F74" w:rsidRPr="00FC3B7C" w:rsidRDefault="00256F29" w:rsidP="00D46B53">
      <w:pPr>
        <w:numPr>
          <w:ilvl w:val="0"/>
          <w:numId w:val="230"/>
        </w:numPr>
        <w:tabs>
          <w:tab w:val="left" w:pos="1106"/>
        </w:tabs>
        <w:ind w:left="780" w:right="760" w:hanging="1"/>
        <w:rPr>
          <w:rFonts w:eastAsia="Times New Roman"/>
          <w:szCs w:val="24"/>
        </w:rPr>
      </w:pPr>
      <w:r w:rsidRPr="00FC3B7C">
        <w:rPr>
          <w:rFonts w:eastAsia="Times New Roman"/>
          <w:szCs w:val="24"/>
        </w:rPr>
        <w:t>peněžní krytí (monetizace státního dluhu – centrální banka poskytne vládě úvěr, ve většině zemí zakázané)</w:t>
      </w:r>
    </w:p>
    <w:p w14:paraId="4A6F3E85" w14:textId="77777777" w:rsidR="00DD5C49" w:rsidRPr="00DD5C49" w:rsidRDefault="00256F29" w:rsidP="00D46B53">
      <w:pPr>
        <w:numPr>
          <w:ilvl w:val="0"/>
          <w:numId w:val="231"/>
        </w:numPr>
        <w:tabs>
          <w:tab w:val="left" w:pos="1068"/>
        </w:tabs>
        <w:ind w:left="780" w:right="3710" w:hanging="1"/>
        <w:rPr>
          <w:rFonts w:eastAsia="Times New Roman"/>
          <w:szCs w:val="24"/>
        </w:rPr>
      </w:pPr>
      <w:r w:rsidRPr="00FC3B7C">
        <w:rPr>
          <w:rFonts w:eastAsia="Times New Roman"/>
          <w:szCs w:val="24"/>
        </w:rPr>
        <w:t>krytí p</w:t>
      </w:r>
      <w:r w:rsidR="00DD5C49">
        <w:rPr>
          <w:rFonts w:eastAsia="Times New Roman"/>
          <w:szCs w:val="24"/>
        </w:rPr>
        <w:t xml:space="preserve">rostřednictvím prodeje státních </w:t>
      </w:r>
      <w:r w:rsidRPr="00FC3B7C">
        <w:rPr>
          <w:rFonts w:eastAsia="Times New Roman"/>
          <w:szCs w:val="24"/>
        </w:rPr>
        <w:t xml:space="preserve">aktiv </w:t>
      </w:r>
      <w:r w:rsidR="00DD5C49">
        <w:rPr>
          <w:rFonts w:eastAsia="Times New Roman"/>
          <w:szCs w:val="24"/>
        </w:rPr>
        <w:br/>
      </w:r>
      <w:r w:rsidRPr="00FC3B7C">
        <w:rPr>
          <w:rFonts w:eastAsia="Times New Roman"/>
          <w:szCs w:val="24"/>
        </w:rPr>
        <w:t>d) krytí přebytkem z minulých le</w:t>
      </w:r>
      <w:r w:rsidR="00DD5C49">
        <w:rPr>
          <w:rFonts w:eastAsia="Times New Roman"/>
          <w:szCs w:val="24"/>
        </w:rPr>
        <w:t>t</w:t>
      </w:r>
    </w:p>
    <w:p w14:paraId="4A6F3E86" w14:textId="77777777" w:rsidR="008E0F74" w:rsidRPr="00FC3B7C" w:rsidRDefault="00256F29" w:rsidP="00D46B53">
      <w:pPr>
        <w:numPr>
          <w:ilvl w:val="0"/>
          <w:numId w:val="232"/>
        </w:numPr>
        <w:tabs>
          <w:tab w:val="left" w:pos="1063"/>
        </w:tabs>
        <w:ind w:left="780" w:right="840" w:hanging="1"/>
        <w:rPr>
          <w:rFonts w:eastAsia="Times New Roman"/>
          <w:szCs w:val="24"/>
        </w:rPr>
      </w:pPr>
      <w:r w:rsidRPr="00FC3B7C">
        <w:rPr>
          <w:rFonts w:eastAsia="Times New Roman"/>
          <w:szCs w:val="24"/>
        </w:rPr>
        <w:t>krytí prostřednictvím snižování veřejných výdajů nebo zvyšováním daňové zátěže</w:t>
      </w:r>
    </w:p>
    <w:p w14:paraId="3F6415D8" w14:textId="5E0F3F51" w:rsidR="00773AFB" w:rsidRDefault="00256F29" w:rsidP="00FF0837">
      <w:pPr>
        <w:rPr>
          <w:rFonts w:eastAsia="Times New Roman"/>
        </w:rPr>
      </w:pPr>
      <w:r w:rsidRPr="00FC3B7C">
        <w:rPr>
          <w:rFonts w:eastAsia="Times New Roman"/>
          <w:b/>
          <w:bCs/>
        </w:rPr>
        <w:t xml:space="preserve">Veřejný dluh </w:t>
      </w:r>
      <w:r w:rsidRPr="00FC3B7C">
        <w:rPr>
          <w:rFonts w:eastAsia="Times New Roman"/>
        </w:rPr>
        <w:t>je celkové zadlužení vlády a nižších správních celků</w:t>
      </w:r>
      <w:r w:rsidRPr="00FC3B7C">
        <w:rPr>
          <w:rFonts w:eastAsia="Times New Roman"/>
          <w:b/>
          <w:bCs/>
        </w:rPr>
        <w:t xml:space="preserve"> </w:t>
      </w:r>
      <w:r w:rsidRPr="00FC3B7C">
        <w:rPr>
          <w:rFonts w:eastAsia="Times New Roman"/>
        </w:rPr>
        <w:t>(krajů</w:t>
      </w:r>
      <w:r w:rsidRPr="00FC3B7C">
        <w:rPr>
          <w:rFonts w:eastAsia="Times New Roman"/>
          <w:b/>
          <w:bCs/>
        </w:rPr>
        <w:t xml:space="preserve"> </w:t>
      </w:r>
      <w:r w:rsidRPr="00FC3B7C">
        <w:rPr>
          <w:rFonts w:eastAsia="Times New Roman"/>
        </w:rPr>
        <w:t>a obcí). Je</w:t>
      </w:r>
      <w:r w:rsidRPr="00FC3B7C">
        <w:rPr>
          <w:rFonts w:eastAsia="Times New Roman"/>
          <w:b/>
          <w:bCs/>
        </w:rPr>
        <w:t xml:space="preserve"> </w:t>
      </w:r>
      <w:r w:rsidRPr="00FC3B7C">
        <w:rPr>
          <w:rFonts w:eastAsia="Times New Roman"/>
        </w:rPr>
        <w:t>tvořen státním dluhem, dluhem mimorozpočtových fondů, místních rozpočtů a dluhem zdravotních pojišťoven. Veřejný dluh je souhrnem pohledávek ostatních ekonomických subjektů vůči státu (bez ohledu na to, zda vznikly tyto pohledávky cestou státního rozpočtu či jinak). Pro veřejný charakter dluhu není podstatný způsob jeho vzniku, ale způsob jeho úhrady – skutečnost, že představuje pohledávku vůči současným i budoucím daňovým platbám obyvatelstva. Ve většině případů má veřejný dluh formu vládních dluhopisů – obligací, které nakupují jednotlivé ekonomické subjekty uvnitř země nebo i v zahraničí.</w:t>
      </w:r>
    </w:p>
    <w:p w14:paraId="4A6F3F47" w14:textId="4551C639" w:rsidR="008E0F74" w:rsidRPr="004B6CDE" w:rsidRDefault="003C0305" w:rsidP="003C0305">
      <w:pPr>
        <w:pStyle w:val="Nadpis3"/>
        <w:rPr>
          <w:color w:val="1F3864" w:themeColor="accent1" w:themeShade="80"/>
        </w:rPr>
      </w:pPr>
      <w:r w:rsidRPr="004B6CDE">
        <w:rPr>
          <w:color w:val="1F3864" w:themeColor="accent1" w:themeShade="80"/>
        </w:rPr>
        <w:t xml:space="preserve"> Situace v ČR</w:t>
      </w:r>
    </w:p>
    <w:p w14:paraId="7242908B" w14:textId="10B81379" w:rsidR="003C0305" w:rsidRPr="003C0305" w:rsidRDefault="003C0305" w:rsidP="003C0305">
      <w:r w:rsidRPr="00773AFB">
        <w:t>Státní rozpočet v mld.</w:t>
      </w:r>
    </w:p>
    <w:tbl>
      <w:tblPr>
        <w:tblW w:w="9477" w:type="dxa"/>
        <w:tblCellMar>
          <w:left w:w="0" w:type="dxa"/>
          <w:right w:w="0" w:type="dxa"/>
        </w:tblCellMar>
        <w:tblLook w:val="0600" w:firstRow="0" w:lastRow="0" w:firstColumn="0" w:lastColumn="0" w:noHBand="1" w:noVBand="1"/>
      </w:tblPr>
      <w:tblGrid>
        <w:gridCol w:w="2206"/>
        <w:gridCol w:w="1751"/>
        <w:gridCol w:w="1380"/>
        <w:gridCol w:w="1380"/>
        <w:gridCol w:w="1380"/>
        <w:gridCol w:w="1380"/>
      </w:tblGrid>
      <w:tr w:rsidR="003C0305" w:rsidRPr="003C0305" w14:paraId="5FDEFA59" w14:textId="77777777" w:rsidTr="004F3007">
        <w:trPr>
          <w:trHeight w:val="178"/>
        </w:trPr>
        <w:tc>
          <w:tcPr>
            <w:tcW w:w="2206"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0AAE986D" w14:textId="77777777" w:rsidR="003C0305" w:rsidRPr="003C0305" w:rsidRDefault="003C0305" w:rsidP="003C0305">
            <w:pPr>
              <w:spacing w:line="240" w:lineRule="auto"/>
              <w:jc w:val="lef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Rok</w:t>
            </w:r>
          </w:p>
        </w:tc>
        <w:tc>
          <w:tcPr>
            <w:tcW w:w="1751"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671A3D2D"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2015</w:t>
            </w:r>
          </w:p>
        </w:tc>
        <w:tc>
          <w:tcPr>
            <w:tcW w:w="138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74A9CE4C"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2016</w:t>
            </w:r>
          </w:p>
        </w:tc>
        <w:tc>
          <w:tcPr>
            <w:tcW w:w="138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315C297B"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2017</w:t>
            </w:r>
          </w:p>
        </w:tc>
        <w:tc>
          <w:tcPr>
            <w:tcW w:w="138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37B00E81"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2018</w:t>
            </w:r>
          </w:p>
        </w:tc>
        <w:tc>
          <w:tcPr>
            <w:tcW w:w="138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782934E4"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2019</w:t>
            </w:r>
          </w:p>
        </w:tc>
      </w:tr>
      <w:tr w:rsidR="003C0305" w:rsidRPr="003C0305" w14:paraId="670E3270" w14:textId="77777777" w:rsidTr="004F3007">
        <w:trPr>
          <w:trHeight w:val="335"/>
        </w:trPr>
        <w:tc>
          <w:tcPr>
            <w:tcW w:w="2206"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08371B5A" w14:textId="77777777" w:rsidR="003C0305" w:rsidRPr="003C0305" w:rsidRDefault="003C0305" w:rsidP="003C0305">
            <w:pPr>
              <w:spacing w:line="240" w:lineRule="auto"/>
              <w:jc w:val="lef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Skutečné příjmy</w:t>
            </w:r>
          </w:p>
        </w:tc>
        <w:tc>
          <w:tcPr>
            <w:tcW w:w="1751"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4520F834"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1234.52</w:t>
            </w:r>
          </w:p>
        </w:tc>
        <w:tc>
          <w:tcPr>
            <w:tcW w:w="138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1CDEB8B0"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1281.62</w:t>
            </w:r>
          </w:p>
        </w:tc>
        <w:tc>
          <w:tcPr>
            <w:tcW w:w="138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275FEA97"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1273.64</w:t>
            </w:r>
          </w:p>
        </w:tc>
        <w:tc>
          <w:tcPr>
            <w:tcW w:w="138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25B7749B"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1403.92</w:t>
            </w:r>
          </w:p>
        </w:tc>
        <w:tc>
          <w:tcPr>
            <w:tcW w:w="138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0A01184F"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1523.23</w:t>
            </w:r>
          </w:p>
        </w:tc>
      </w:tr>
      <w:tr w:rsidR="003C0305" w:rsidRPr="003C0305" w14:paraId="5B720E23" w14:textId="77777777" w:rsidTr="004F3007">
        <w:trPr>
          <w:trHeight w:val="335"/>
        </w:trPr>
        <w:tc>
          <w:tcPr>
            <w:tcW w:w="2206"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26B1E52E" w14:textId="77777777" w:rsidR="003C0305" w:rsidRPr="003C0305" w:rsidRDefault="003C0305" w:rsidP="003C0305">
            <w:pPr>
              <w:spacing w:line="240" w:lineRule="auto"/>
              <w:jc w:val="lef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Skutečné výdaje</w:t>
            </w:r>
          </w:p>
        </w:tc>
        <w:tc>
          <w:tcPr>
            <w:tcW w:w="1751"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11B1DE2B"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1297.32</w:t>
            </w:r>
          </w:p>
        </w:tc>
        <w:tc>
          <w:tcPr>
            <w:tcW w:w="138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6FA4E3E5"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1219.84</w:t>
            </w:r>
          </w:p>
        </w:tc>
        <w:tc>
          <w:tcPr>
            <w:tcW w:w="138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23C7C4F3"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1279.8</w:t>
            </w:r>
          </w:p>
        </w:tc>
        <w:tc>
          <w:tcPr>
            <w:tcW w:w="138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41DB6263"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1400.97</w:t>
            </w:r>
          </w:p>
        </w:tc>
        <w:tc>
          <w:tcPr>
            <w:tcW w:w="138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185A4E14"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1551.74</w:t>
            </w:r>
          </w:p>
        </w:tc>
      </w:tr>
      <w:tr w:rsidR="003C0305" w:rsidRPr="003C0305" w14:paraId="74662974" w14:textId="77777777" w:rsidTr="004F3007">
        <w:trPr>
          <w:trHeight w:val="178"/>
        </w:trPr>
        <w:tc>
          <w:tcPr>
            <w:tcW w:w="2206"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41952962" w14:textId="77777777" w:rsidR="003C0305" w:rsidRPr="003C0305" w:rsidRDefault="003C0305" w:rsidP="003C0305">
            <w:pPr>
              <w:spacing w:line="240" w:lineRule="auto"/>
              <w:jc w:val="lef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Bilance</w:t>
            </w:r>
          </w:p>
        </w:tc>
        <w:tc>
          <w:tcPr>
            <w:tcW w:w="1751"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1261782F"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-62.80</w:t>
            </w:r>
          </w:p>
        </w:tc>
        <w:tc>
          <w:tcPr>
            <w:tcW w:w="138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404C65E9"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61.78</w:t>
            </w:r>
          </w:p>
        </w:tc>
        <w:tc>
          <w:tcPr>
            <w:tcW w:w="138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4DEE7662"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-6.16</w:t>
            </w:r>
          </w:p>
        </w:tc>
        <w:tc>
          <w:tcPr>
            <w:tcW w:w="138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5040662B"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2.95</w:t>
            </w:r>
          </w:p>
        </w:tc>
        <w:tc>
          <w:tcPr>
            <w:tcW w:w="138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519C4DEC"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-28.51</w:t>
            </w:r>
          </w:p>
        </w:tc>
      </w:tr>
    </w:tbl>
    <w:p w14:paraId="5D52DEA7" w14:textId="172F6DD1" w:rsidR="008E0F74" w:rsidRPr="004F3007" w:rsidRDefault="003C0305" w:rsidP="004F3007">
      <w:pPr>
        <w:jc w:val="left"/>
        <w:rPr>
          <w:noProof/>
        </w:rPr>
      </w:pPr>
      <w:r w:rsidRPr="004F3007">
        <w:rPr>
          <w:noProof/>
        </w:rPr>
        <w:t>Státní dluh v mld.</w:t>
      </w:r>
    </w:p>
    <w:tbl>
      <w:tblPr>
        <w:tblW w:w="9493" w:type="dxa"/>
        <w:tblCellMar>
          <w:left w:w="0" w:type="dxa"/>
          <w:right w:w="0" w:type="dxa"/>
        </w:tblCellMar>
        <w:tblLook w:val="0600" w:firstRow="0" w:lastRow="0" w:firstColumn="0" w:lastColumn="0" w:noHBand="1" w:noVBand="1"/>
      </w:tblPr>
      <w:tblGrid>
        <w:gridCol w:w="2210"/>
        <w:gridCol w:w="1755"/>
        <w:gridCol w:w="1382"/>
        <w:gridCol w:w="1382"/>
        <w:gridCol w:w="1382"/>
        <w:gridCol w:w="1382"/>
      </w:tblGrid>
      <w:tr w:rsidR="003C0305" w:rsidRPr="003C0305" w14:paraId="49F9B80D" w14:textId="77777777" w:rsidTr="004F3007">
        <w:trPr>
          <w:trHeight w:val="269"/>
        </w:trPr>
        <w:tc>
          <w:tcPr>
            <w:tcW w:w="221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4530E1CB" w14:textId="77777777" w:rsidR="003C0305" w:rsidRPr="003C0305" w:rsidRDefault="003C0305" w:rsidP="003C0305">
            <w:pPr>
              <w:spacing w:line="240" w:lineRule="auto"/>
              <w:jc w:val="lef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 xml:space="preserve">Rok </w:t>
            </w:r>
          </w:p>
        </w:tc>
        <w:tc>
          <w:tcPr>
            <w:tcW w:w="1755"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7F530042"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2015</w:t>
            </w:r>
          </w:p>
        </w:tc>
        <w:tc>
          <w:tcPr>
            <w:tcW w:w="1382"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2E3DEA2D"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2016</w:t>
            </w:r>
          </w:p>
        </w:tc>
        <w:tc>
          <w:tcPr>
            <w:tcW w:w="1382"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184D801D"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2017</w:t>
            </w:r>
          </w:p>
        </w:tc>
        <w:tc>
          <w:tcPr>
            <w:tcW w:w="1382"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7038A21D"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2018</w:t>
            </w:r>
          </w:p>
        </w:tc>
        <w:tc>
          <w:tcPr>
            <w:tcW w:w="1382"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47B01A9C"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2019</w:t>
            </w:r>
          </w:p>
        </w:tc>
      </w:tr>
      <w:tr w:rsidR="003C0305" w:rsidRPr="003C0305" w14:paraId="5B95C74F" w14:textId="77777777" w:rsidTr="004F3007">
        <w:trPr>
          <w:trHeight w:val="269"/>
        </w:trPr>
        <w:tc>
          <w:tcPr>
            <w:tcW w:w="221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0C169B59" w14:textId="77777777" w:rsidR="003C0305" w:rsidRPr="003C0305" w:rsidRDefault="003C0305" w:rsidP="003C0305">
            <w:pPr>
              <w:spacing w:line="240" w:lineRule="auto"/>
              <w:jc w:val="lef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 xml:space="preserve">Státní dluh </w:t>
            </w:r>
          </w:p>
        </w:tc>
        <w:tc>
          <w:tcPr>
            <w:tcW w:w="1755"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5A5269E4"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1673</w:t>
            </w:r>
          </w:p>
        </w:tc>
        <w:tc>
          <w:tcPr>
            <w:tcW w:w="1382"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26B53163"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1613.4</w:t>
            </w:r>
          </w:p>
        </w:tc>
        <w:tc>
          <w:tcPr>
            <w:tcW w:w="1382"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1034697A"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1624.7</w:t>
            </w:r>
          </w:p>
        </w:tc>
        <w:tc>
          <w:tcPr>
            <w:tcW w:w="1382"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45BF1DE0"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1622</w:t>
            </w:r>
          </w:p>
        </w:tc>
        <w:tc>
          <w:tcPr>
            <w:tcW w:w="1382"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4FE9E8D3"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1640.2</w:t>
            </w:r>
          </w:p>
        </w:tc>
      </w:tr>
      <w:tr w:rsidR="003C0305" w:rsidRPr="003C0305" w14:paraId="2F3251BF" w14:textId="77777777" w:rsidTr="004F3007">
        <w:trPr>
          <w:trHeight w:val="269"/>
        </w:trPr>
        <w:tc>
          <w:tcPr>
            <w:tcW w:w="2210"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1C0C07AE" w14:textId="77777777" w:rsidR="003C0305" w:rsidRPr="003C0305" w:rsidRDefault="003C0305" w:rsidP="003C0305">
            <w:pPr>
              <w:spacing w:line="240" w:lineRule="auto"/>
              <w:jc w:val="lef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Podíl na HDP</w:t>
            </w:r>
          </w:p>
        </w:tc>
        <w:tc>
          <w:tcPr>
            <w:tcW w:w="1755"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148F59DB"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36.70%</w:t>
            </w:r>
          </w:p>
        </w:tc>
        <w:tc>
          <w:tcPr>
            <w:tcW w:w="1382"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5A76F083"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34.20%</w:t>
            </w:r>
          </w:p>
        </w:tc>
        <w:tc>
          <w:tcPr>
            <w:tcW w:w="1382"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1FF5B625"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32.20%</w:t>
            </w:r>
          </w:p>
        </w:tc>
        <w:tc>
          <w:tcPr>
            <w:tcW w:w="1382"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30597A24" w14:textId="77777777" w:rsidR="003C0305" w:rsidRPr="003C0305" w:rsidRDefault="003C0305" w:rsidP="003C0305">
            <w:pPr>
              <w:spacing w:line="240" w:lineRule="auto"/>
              <w:jc w:val="right"/>
              <w:textAlignment w:val="bottom"/>
              <w:rPr>
                <w:rFonts w:ascii="Arial" w:eastAsia="Times New Roman" w:hAnsi="Arial" w:cs="Arial"/>
                <w:sz w:val="36"/>
                <w:szCs w:val="36"/>
              </w:rPr>
            </w:pPr>
            <w:r w:rsidRPr="003C0305">
              <w:rPr>
                <w:rFonts w:ascii="Century Schoolbook" w:eastAsia="Times New Roman" w:hAnsi="Century Schoolbook" w:cs="Arial"/>
                <w:color w:val="000000" w:themeColor="dark1"/>
                <w:kern w:val="24"/>
                <w:sz w:val="22"/>
              </w:rPr>
              <w:t>30.50%</w:t>
            </w:r>
          </w:p>
        </w:tc>
        <w:tc>
          <w:tcPr>
            <w:tcW w:w="1382" w:type="dxa"/>
            <w:tcBorders>
              <w:top w:val="single" w:sz="8" w:space="0" w:color="FFFFFF"/>
              <w:left w:val="single" w:sz="8" w:space="0" w:color="FFFFFF"/>
              <w:bottom w:val="single" w:sz="8" w:space="0" w:color="FFFFFF"/>
              <w:right w:val="single" w:sz="8" w:space="0" w:color="FFFFFF"/>
            </w:tcBorders>
            <w:shd w:val="clear" w:color="auto" w:fill="EBEBEC"/>
            <w:tcMar>
              <w:top w:w="12" w:type="dxa"/>
              <w:left w:w="12" w:type="dxa"/>
              <w:bottom w:w="0" w:type="dxa"/>
              <w:right w:w="12" w:type="dxa"/>
            </w:tcMar>
            <w:vAlign w:val="bottom"/>
            <w:hideMark/>
          </w:tcPr>
          <w:p w14:paraId="73AF829A" w14:textId="2C32CAE3" w:rsidR="003C0305" w:rsidRPr="003C0305" w:rsidRDefault="00714624" w:rsidP="00714624">
            <w:pPr>
              <w:spacing w:line="240" w:lineRule="auto"/>
              <w:jc w:val="right"/>
              <w:rPr>
                <w:rFonts w:ascii="Arial" w:eastAsia="Times New Roman" w:hAnsi="Arial" w:cs="Arial"/>
                <w:sz w:val="36"/>
                <w:szCs w:val="36"/>
              </w:rPr>
            </w:pPr>
            <w:r>
              <w:rPr>
                <w:rFonts w:ascii="Century Schoolbook" w:eastAsia="Times New Roman" w:hAnsi="Century Schoolbook" w:cs="Arial"/>
                <w:color w:val="000000" w:themeColor="dark1"/>
                <w:kern w:val="24"/>
                <w:sz w:val="22"/>
              </w:rPr>
              <w:t>29</w:t>
            </w:r>
            <w:r w:rsidRPr="003C0305">
              <w:rPr>
                <w:rFonts w:ascii="Century Schoolbook" w:eastAsia="Times New Roman" w:hAnsi="Century Schoolbook" w:cs="Arial"/>
                <w:color w:val="000000" w:themeColor="dark1"/>
                <w:kern w:val="24"/>
                <w:sz w:val="22"/>
              </w:rPr>
              <w:t>%</w:t>
            </w:r>
          </w:p>
        </w:tc>
      </w:tr>
    </w:tbl>
    <w:p w14:paraId="4A6F3F4E" w14:textId="4F349F62" w:rsidR="003C0305" w:rsidRPr="00FC3B7C" w:rsidRDefault="003C0305" w:rsidP="003C0305">
      <w:pPr>
        <w:jc w:val="left"/>
        <w:sectPr w:rsidR="003C0305" w:rsidRPr="00FC3B7C">
          <w:pgSz w:w="11900" w:h="16840"/>
          <w:pgMar w:top="1440" w:right="1100" w:bottom="1440" w:left="1420" w:header="0" w:footer="0" w:gutter="0"/>
          <w:cols w:space="708" w:equalWidth="0">
            <w:col w:w="9380"/>
          </w:cols>
        </w:sectPr>
      </w:pPr>
    </w:p>
    <w:p w14:paraId="1624333C" w14:textId="1B4A28E0" w:rsidR="00873C2F" w:rsidRPr="004B6CDE" w:rsidRDefault="00873C2F">
      <w:pPr>
        <w:rPr>
          <w:rFonts w:eastAsia="Times New Roman"/>
          <w:b/>
          <w:bCs/>
          <w:color w:val="1F3864" w:themeColor="accent1" w:themeShade="80"/>
          <w:sz w:val="28"/>
          <w:szCs w:val="28"/>
          <w:u w:val="single"/>
        </w:rPr>
      </w:pPr>
      <w:bookmarkStart w:id="254" w:name="page254"/>
      <w:bookmarkStart w:id="255" w:name="page255"/>
      <w:bookmarkEnd w:id="254"/>
      <w:bookmarkEnd w:id="255"/>
      <w:r w:rsidRPr="004B6CDE">
        <w:rPr>
          <w:rFonts w:eastAsia="Times New Roman"/>
          <w:b/>
          <w:bCs/>
          <w:color w:val="1F3864" w:themeColor="accent1" w:themeShade="80"/>
          <w:sz w:val="28"/>
          <w:szCs w:val="28"/>
          <w:u w:val="single"/>
        </w:rPr>
        <w:lastRenderedPageBreak/>
        <w:t xml:space="preserve">Otázky na procvičení: </w:t>
      </w:r>
    </w:p>
    <w:p w14:paraId="60C0F73E" w14:textId="77777777" w:rsidR="00873C2F" w:rsidRPr="004B6CDE" w:rsidRDefault="00873C2F" w:rsidP="00873C2F">
      <w:pPr>
        <w:jc w:val="left"/>
        <w:rPr>
          <w:rFonts w:cstheme="minorHAnsi"/>
          <w:szCs w:val="24"/>
          <w:shd w:val="clear" w:color="auto" w:fill="FFFFFF"/>
        </w:rPr>
      </w:pPr>
      <w:r w:rsidRPr="004B6CDE">
        <w:rPr>
          <w:rFonts w:cstheme="minorHAnsi"/>
          <w:szCs w:val="24"/>
          <w:shd w:val="clear" w:color="auto" w:fill="FFFFFF"/>
        </w:rPr>
        <w:t>1. Charakterizujte zásadní odlišnosti veřejného a soukromého sektoru.</w:t>
      </w:r>
      <w:r w:rsidRPr="004B6CDE">
        <w:rPr>
          <w:rFonts w:cstheme="minorHAnsi"/>
          <w:szCs w:val="24"/>
        </w:rPr>
        <w:br/>
      </w:r>
      <w:r w:rsidRPr="004B6CDE">
        <w:rPr>
          <w:rFonts w:cstheme="minorHAnsi"/>
          <w:szCs w:val="24"/>
          <w:shd w:val="clear" w:color="auto" w:fill="FFFFFF"/>
        </w:rPr>
        <w:t>2. Co je charakteristické pro veřejný sektor?</w:t>
      </w:r>
      <w:r w:rsidRPr="004B6CDE">
        <w:rPr>
          <w:rFonts w:cstheme="minorHAnsi"/>
          <w:szCs w:val="24"/>
        </w:rPr>
        <w:br/>
      </w:r>
      <w:r w:rsidRPr="004B6CDE">
        <w:rPr>
          <w:rFonts w:cstheme="minorHAnsi"/>
          <w:szCs w:val="24"/>
          <w:shd w:val="clear" w:color="auto" w:fill="FFFFFF"/>
        </w:rPr>
        <w:t>3. Uveďte konkrétní příklady rostoucí alokační a stabilizační funkce veřejného sektoru v období současného nouzového stavu.</w:t>
      </w:r>
      <w:r w:rsidRPr="004B6CDE">
        <w:rPr>
          <w:rFonts w:cstheme="minorHAnsi"/>
          <w:szCs w:val="24"/>
        </w:rPr>
        <w:br/>
      </w:r>
      <w:r w:rsidRPr="004B6CDE">
        <w:rPr>
          <w:rFonts w:cstheme="minorHAnsi"/>
          <w:szCs w:val="24"/>
          <w:shd w:val="clear" w:color="auto" w:fill="FFFFFF"/>
        </w:rPr>
        <w:t>4. Uveďte hlavní důvody regulace trhu.</w:t>
      </w:r>
      <w:r w:rsidRPr="004B6CDE">
        <w:rPr>
          <w:rFonts w:cstheme="minorHAnsi"/>
          <w:szCs w:val="24"/>
        </w:rPr>
        <w:br/>
      </w:r>
      <w:r w:rsidRPr="004B6CDE">
        <w:rPr>
          <w:rFonts w:cstheme="minorHAnsi"/>
          <w:szCs w:val="24"/>
          <w:shd w:val="clear" w:color="auto" w:fill="FFFFFF"/>
        </w:rPr>
        <w:t>5. Jaké jsou důvody neustálého růstu veřejného sektoru - uveďte alespoň 3 konkrétní případy.</w:t>
      </w:r>
      <w:r w:rsidRPr="004B6CDE">
        <w:rPr>
          <w:rFonts w:cstheme="minorHAnsi"/>
          <w:szCs w:val="24"/>
        </w:rPr>
        <w:br/>
      </w:r>
      <w:r w:rsidRPr="004B6CDE">
        <w:rPr>
          <w:rFonts w:cstheme="minorHAnsi"/>
          <w:szCs w:val="24"/>
          <w:shd w:val="clear" w:color="auto" w:fill="FFFFFF"/>
        </w:rPr>
        <w:t>6. Jakými způsoby můžeme měřit velikost veřejného sektoru? Uveďte konkrétní metriky pro ČR.</w:t>
      </w:r>
      <w:r w:rsidRPr="004B6CDE">
        <w:rPr>
          <w:rFonts w:cstheme="minorHAnsi"/>
          <w:szCs w:val="24"/>
        </w:rPr>
        <w:br/>
      </w:r>
      <w:r w:rsidRPr="004B6CDE">
        <w:rPr>
          <w:rFonts w:cstheme="minorHAnsi"/>
          <w:szCs w:val="24"/>
          <w:shd w:val="clear" w:color="auto" w:fill="FFFFFF"/>
        </w:rPr>
        <w:t>7. Jaké jsou hlavní příčiny a důsledky byrokratizace ve společnosti.</w:t>
      </w:r>
      <w:r w:rsidRPr="004B6CDE">
        <w:rPr>
          <w:rFonts w:cstheme="minorHAnsi"/>
          <w:szCs w:val="24"/>
        </w:rPr>
        <w:br/>
      </w:r>
      <w:r w:rsidRPr="004B6CDE">
        <w:rPr>
          <w:rFonts w:cstheme="minorHAnsi"/>
          <w:szCs w:val="24"/>
          <w:shd w:val="clear" w:color="auto" w:fill="FFFFFF"/>
        </w:rPr>
        <w:t>8. Vyjmenujte základní druhy veřejných výdajů a příjmů.</w:t>
      </w:r>
      <w:r w:rsidRPr="004B6CDE">
        <w:rPr>
          <w:rFonts w:cstheme="minorHAnsi"/>
          <w:szCs w:val="24"/>
        </w:rPr>
        <w:br/>
      </w:r>
      <w:r w:rsidRPr="004B6CDE">
        <w:rPr>
          <w:rFonts w:cstheme="minorHAnsi"/>
          <w:szCs w:val="24"/>
          <w:shd w:val="clear" w:color="auto" w:fill="FFFFFF"/>
        </w:rPr>
        <w:t>9. Jaké faktory ovlivňují výši veřejných rozpočtů? Který z nich považujete v současné době za zásadní</w:t>
      </w:r>
    </w:p>
    <w:p w14:paraId="65D9E19C" w14:textId="77777777" w:rsidR="00873C2F" w:rsidRPr="004B6CDE" w:rsidRDefault="00873C2F" w:rsidP="00873C2F">
      <w:pPr>
        <w:jc w:val="left"/>
        <w:rPr>
          <w:rFonts w:cstheme="minorHAnsi"/>
          <w:szCs w:val="24"/>
          <w:shd w:val="clear" w:color="auto" w:fill="FFFFFF"/>
        </w:rPr>
      </w:pPr>
      <w:r w:rsidRPr="004B6CDE">
        <w:rPr>
          <w:rFonts w:cstheme="minorHAnsi"/>
          <w:szCs w:val="24"/>
          <w:shd w:val="clear" w:color="auto" w:fill="FFFFFF"/>
        </w:rPr>
        <w:t>Pochopitelně si můžete sami vymyslet série dalších otázek. Myslím, že nastane diskuse na téma koronaviru a následné ekonomické krize.</w:t>
      </w:r>
      <w:r w:rsidRPr="004B6CDE">
        <w:rPr>
          <w:rFonts w:cstheme="minorHAnsi"/>
          <w:szCs w:val="24"/>
        </w:rPr>
        <w:br/>
      </w:r>
      <w:r w:rsidRPr="004B6CDE">
        <w:rPr>
          <w:rFonts w:cstheme="minorHAnsi"/>
          <w:szCs w:val="24"/>
          <w:shd w:val="clear" w:color="auto" w:fill="FFFFFF"/>
        </w:rPr>
        <w:t>Výše struktura a způsob financování veřejného sektoru se budou zásadně měnit.</w:t>
      </w:r>
    </w:p>
    <w:p w14:paraId="070EE056" w14:textId="77777777" w:rsidR="00873C2F" w:rsidRDefault="00873C2F">
      <w:pPr>
        <w:rPr>
          <w:rFonts w:eastAsia="Times New Roman"/>
          <w:b/>
          <w:bCs/>
          <w:sz w:val="28"/>
          <w:szCs w:val="28"/>
        </w:rPr>
      </w:pPr>
    </w:p>
    <w:p w14:paraId="56962177" w14:textId="77777777" w:rsidR="00873C2F" w:rsidRDefault="00873C2F">
      <w:pPr>
        <w:rPr>
          <w:rFonts w:eastAsia="Times New Roman"/>
          <w:b/>
          <w:bCs/>
          <w:sz w:val="28"/>
          <w:szCs w:val="28"/>
        </w:rPr>
      </w:pPr>
    </w:p>
    <w:p w14:paraId="789C2FF8" w14:textId="77777777" w:rsidR="00873C2F" w:rsidRDefault="00873C2F">
      <w:pPr>
        <w:rPr>
          <w:rFonts w:eastAsia="Times New Roman"/>
          <w:b/>
          <w:bCs/>
          <w:sz w:val="28"/>
          <w:szCs w:val="28"/>
        </w:rPr>
      </w:pPr>
    </w:p>
    <w:p w14:paraId="006B83BD" w14:textId="77777777" w:rsidR="00873C2F" w:rsidRDefault="00873C2F">
      <w:pPr>
        <w:rPr>
          <w:rFonts w:eastAsia="Times New Roman"/>
          <w:b/>
          <w:bCs/>
          <w:sz w:val="28"/>
          <w:szCs w:val="28"/>
        </w:rPr>
      </w:pPr>
    </w:p>
    <w:p w14:paraId="7F96C98D" w14:textId="77777777" w:rsidR="00873C2F" w:rsidRDefault="00873C2F">
      <w:pPr>
        <w:rPr>
          <w:rFonts w:eastAsia="Times New Roman"/>
          <w:b/>
          <w:bCs/>
          <w:sz w:val="28"/>
          <w:szCs w:val="28"/>
        </w:rPr>
      </w:pPr>
    </w:p>
    <w:p w14:paraId="7C8E4839" w14:textId="77777777" w:rsidR="00873C2F" w:rsidRDefault="00873C2F">
      <w:pPr>
        <w:rPr>
          <w:rFonts w:eastAsia="Times New Roman"/>
          <w:b/>
          <w:bCs/>
          <w:sz w:val="28"/>
          <w:szCs w:val="28"/>
        </w:rPr>
      </w:pPr>
    </w:p>
    <w:p w14:paraId="3285D004" w14:textId="77777777" w:rsidR="00873C2F" w:rsidRDefault="00873C2F">
      <w:pPr>
        <w:rPr>
          <w:rFonts w:eastAsia="Times New Roman"/>
          <w:b/>
          <w:bCs/>
          <w:sz w:val="28"/>
          <w:szCs w:val="28"/>
        </w:rPr>
      </w:pPr>
    </w:p>
    <w:p w14:paraId="13F222D1" w14:textId="77777777" w:rsidR="00873C2F" w:rsidRDefault="00873C2F">
      <w:pPr>
        <w:rPr>
          <w:rFonts w:eastAsia="Times New Roman"/>
          <w:b/>
          <w:bCs/>
          <w:sz w:val="28"/>
          <w:szCs w:val="28"/>
        </w:rPr>
      </w:pPr>
    </w:p>
    <w:p w14:paraId="4F6A68EE" w14:textId="77777777" w:rsidR="00873C2F" w:rsidRDefault="00873C2F">
      <w:pPr>
        <w:rPr>
          <w:rFonts w:eastAsia="Times New Roman"/>
          <w:b/>
          <w:bCs/>
          <w:sz w:val="28"/>
          <w:szCs w:val="28"/>
        </w:rPr>
      </w:pPr>
    </w:p>
    <w:p w14:paraId="331C5B32" w14:textId="77777777" w:rsidR="00873C2F" w:rsidRDefault="00873C2F">
      <w:pPr>
        <w:rPr>
          <w:rFonts w:eastAsia="Times New Roman"/>
          <w:b/>
          <w:bCs/>
          <w:sz w:val="28"/>
          <w:szCs w:val="28"/>
        </w:rPr>
      </w:pPr>
    </w:p>
    <w:p w14:paraId="683ECDB6" w14:textId="77777777" w:rsidR="00873C2F" w:rsidRDefault="00873C2F">
      <w:pPr>
        <w:rPr>
          <w:rFonts w:eastAsia="Times New Roman"/>
          <w:b/>
          <w:bCs/>
          <w:sz w:val="28"/>
          <w:szCs w:val="28"/>
        </w:rPr>
      </w:pPr>
    </w:p>
    <w:p w14:paraId="198AA3B6" w14:textId="77777777" w:rsidR="00873C2F" w:rsidRDefault="00873C2F">
      <w:pPr>
        <w:rPr>
          <w:rFonts w:eastAsia="Times New Roman"/>
          <w:b/>
          <w:bCs/>
          <w:sz w:val="28"/>
          <w:szCs w:val="28"/>
        </w:rPr>
      </w:pPr>
    </w:p>
    <w:p w14:paraId="6C62CDCD" w14:textId="77777777" w:rsidR="00873C2F" w:rsidRDefault="00873C2F">
      <w:pPr>
        <w:rPr>
          <w:rFonts w:eastAsia="Times New Roman"/>
          <w:b/>
          <w:bCs/>
          <w:sz w:val="28"/>
          <w:szCs w:val="28"/>
        </w:rPr>
      </w:pPr>
    </w:p>
    <w:p w14:paraId="75AC06F0" w14:textId="77777777" w:rsidR="00873C2F" w:rsidRDefault="00873C2F">
      <w:pPr>
        <w:rPr>
          <w:rFonts w:eastAsia="Times New Roman"/>
          <w:b/>
          <w:bCs/>
          <w:sz w:val="28"/>
          <w:szCs w:val="28"/>
        </w:rPr>
      </w:pPr>
    </w:p>
    <w:p w14:paraId="3AA13D2A" w14:textId="77777777" w:rsidR="00873C2F" w:rsidRDefault="00873C2F">
      <w:pPr>
        <w:rPr>
          <w:rFonts w:eastAsia="Times New Roman"/>
          <w:b/>
          <w:bCs/>
          <w:sz w:val="28"/>
          <w:szCs w:val="28"/>
        </w:rPr>
      </w:pPr>
    </w:p>
    <w:p w14:paraId="4A6F403B" w14:textId="00904B31" w:rsidR="008E0F74" w:rsidRPr="00FC3B7C" w:rsidRDefault="00256F29">
      <w:pPr>
        <w:rPr>
          <w:sz w:val="20"/>
          <w:szCs w:val="20"/>
        </w:rPr>
      </w:pPr>
      <w:r w:rsidRPr="00FC3B7C">
        <w:rPr>
          <w:rFonts w:eastAsia="Times New Roman"/>
          <w:b/>
          <w:bCs/>
          <w:sz w:val="28"/>
          <w:szCs w:val="28"/>
        </w:rPr>
        <w:lastRenderedPageBreak/>
        <w:t>Zdroje:</w:t>
      </w:r>
    </w:p>
    <w:p w14:paraId="4A6F403C" w14:textId="77777777" w:rsidR="008E0F74" w:rsidRPr="00FC3B7C" w:rsidRDefault="008E0F74">
      <w:pPr>
        <w:spacing w:line="284" w:lineRule="exact"/>
        <w:rPr>
          <w:sz w:val="20"/>
          <w:szCs w:val="20"/>
        </w:rPr>
      </w:pPr>
    </w:p>
    <w:p w14:paraId="050FDB67" w14:textId="77777777" w:rsidR="00124942" w:rsidRPr="00FC3B7C" w:rsidRDefault="00124942" w:rsidP="00124942">
      <w:pPr>
        <w:ind w:left="100" w:right="40"/>
        <w:rPr>
          <w:sz w:val="20"/>
          <w:szCs w:val="20"/>
        </w:rPr>
      </w:pPr>
      <w:r w:rsidRPr="00FC3B7C">
        <w:rPr>
          <w:rFonts w:eastAsia="Times New Roman"/>
          <w:szCs w:val="24"/>
        </w:rPr>
        <w:t>VOSTROVSKÁ</w:t>
      </w:r>
      <w:r>
        <w:rPr>
          <w:rFonts w:eastAsia="Times New Roman"/>
          <w:szCs w:val="24"/>
        </w:rPr>
        <w:t xml:space="preserve"> </w:t>
      </w:r>
      <w:r w:rsidRPr="00FC3B7C">
        <w:rPr>
          <w:rFonts w:eastAsia="Times New Roman"/>
          <w:szCs w:val="24"/>
        </w:rPr>
        <w:t>Z., akol., Skripta</w:t>
      </w:r>
      <w:r>
        <w:rPr>
          <w:rFonts w:eastAsia="Times New Roman"/>
          <w:szCs w:val="24"/>
        </w:rPr>
        <w:t xml:space="preserve"> </w:t>
      </w:r>
      <w:r w:rsidRPr="00FC3B7C">
        <w:rPr>
          <w:rFonts w:eastAsia="Times New Roman"/>
          <w:szCs w:val="24"/>
        </w:rPr>
        <w:t>ke</w:t>
      </w:r>
      <w:r>
        <w:rPr>
          <w:rFonts w:eastAsia="Times New Roman"/>
          <w:szCs w:val="24"/>
        </w:rPr>
        <w:t xml:space="preserve"> </w:t>
      </w:r>
      <w:r w:rsidRPr="00FC3B7C">
        <w:rPr>
          <w:rFonts w:eastAsia="Times New Roman"/>
          <w:szCs w:val="24"/>
        </w:rPr>
        <w:t>státní</w:t>
      </w:r>
      <w:r>
        <w:rPr>
          <w:rFonts w:eastAsia="Times New Roman"/>
          <w:szCs w:val="24"/>
        </w:rPr>
        <w:t xml:space="preserve"> </w:t>
      </w:r>
      <w:r w:rsidRPr="00FC3B7C">
        <w:rPr>
          <w:rFonts w:eastAsia="Times New Roman"/>
          <w:szCs w:val="24"/>
        </w:rPr>
        <w:t>zkoušce</w:t>
      </w:r>
      <w:r>
        <w:rPr>
          <w:rFonts w:eastAsia="Times New Roman"/>
          <w:szCs w:val="24"/>
        </w:rPr>
        <w:t xml:space="preserve"> </w:t>
      </w:r>
      <w:r w:rsidRPr="00FC3B7C">
        <w:rPr>
          <w:rFonts w:eastAsia="Times New Roman"/>
          <w:szCs w:val="24"/>
        </w:rPr>
        <w:t>ze</w:t>
      </w:r>
      <w:r>
        <w:rPr>
          <w:rFonts w:eastAsia="Times New Roman"/>
          <w:szCs w:val="24"/>
        </w:rPr>
        <w:t xml:space="preserve"> </w:t>
      </w:r>
      <w:r w:rsidRPr="00FC3B7C">
        <w:rPr>
          <w:rFonts w:eastAsia="Times New Roman"/>
          <w:szCs w:val="24"/>
        </w:rPr>
        <w:t>studijního</w:t>
      </w:r>
      <w:r>
        <w:rPr>
          <w:rFonts w:eastAsia="Times New Roman"/>
          <w:szCs w:val="24"/>
        </w:rPr>
        <w:t xml:space="preserve"> </w:t>
      </w:r>
      <w:r w:rsidRPr="00FC3B7C">
        <w:rPr>
          <w:rFonts w:eastAsia="Times New Roman"/>
          <w:szCs w:val="24"/>
        </w:rPr>
        <w:t>oboru</w:t>
      </w:r>
      <w:r>
        <w:rPr>
          <w:rFonts w:eastAsia="Times New Roman"/>
          <w:szCs w:val="24"/>
        </w:rPr>
        <w:t xml:space="preserve"> </w:t>
      </w:r>
      <w:r w:rsidRPr="00FC3B7C">
        <w:rPr>
          <w:rFonts w:eastAsia="Times New Roman"/>
          <w:szCs w:val="24"/>
        </w:rPr>
        <w:t>Národní hospodářství, sebrané referáty</w:t>
      </w:r>
      <w:r>
        <w:rPr>
          <w:rFonts w:eastAsia="Times New Roman"/>
          <w:szCs w:val="24"/>
        </w:rPr>
        <w:t xml:space="preserve"> </w:t>
      </w:r>
      <w:r w:rsidRPr="00FC3B7C">
        <w:rPr>
          <w:rFonts w:eastAsia="Times New Roman"/>
          <w:szCs w:val="24"/>
        </w:rPr>
        <w:t>z</w:t>
      </w:r>
      <w:r>
        <w:rPr>
          <w:rFonts w:eastAsia="Times New Roman"/>
          <w:szCs w:val="24"/>
        </w:rPr>
        <w:t xml:space="preserve"> </w:t>
      </w:r>
      <w:r w:rsidRPr="00FC3B7C">
        <w:rPr>
          <w:rFonts w:eastAsia="Times New Roman"/>
          <w:szCs w:val="24"/>
        </w:rPr>
        <w:t>kurzu 5HP324-ZS 2013.</w:t>
      </w:r>
    </w:p>
    <w:p w14:paraId="4A6F403E" w14:textId="77777777" w:rsidR="008E0F74" w:rsidRPr="00FC3B7C" w:rsidRDefault="008E0F74" w:rsidP="00AE6CBA">
      <w:pPr>
        <w:spacing w:line="286" w:lineRule="exact"/>
        <w:rPr>
          <w:rFonts w:eastAsia="Arial"/>
          <w:sz w:val="23"/>
          <w:szCs w:val="23"/>
        </w:rPr>
      </w:pPr>
    </w:p>
    <w:p w14:paraId="4A6F403F" w14:textId="2F10EAEE" w:rsidR="008E0F74" w:rsidRPr="00FC3B7C" w:rsidRDefault="00256F29" w:rsidP="00AE6CBA">
      <w:pPr>
        <w:tabs>
          <w:tab w:val="left" w:pos="720"/>
        </w:tabs>
        <w:rPr>
          <w:rFonts w:eastAsia="Arial"/>
          <w:szCs w:val="24"/>
        </w:rPr>
      </w:pPr>
      <w:r w:rsidRPr="00FC3B7C">
        <w:rPr>
          <w:rFonts w:eastAsia="Times New Roman"/>
          <w:szCs w:val="24"/>
        </w:rPr>
        <w:t>SCHWARZ, J.– přednášky</w:t>
      </w:r>
      <w:r w:rsidR="00BC6716">
        <w:rPr>
          <w:rFonts w:eastAsia="Times New Roman"/>
          <w:szCs w:val="24"/>
        </w:rPr>
        <w:t xml:space="preserve"> </w:t>
      </w:r>
      <w:r w:rsidRPr="00FC3B7C">
        <w:rPr>
          <w:rFonts w:eastAsia="Times New Roman"/>
          <w:szCs w:val="24"/>
        </w:rPr>
        <w:t>k předmětu Ekonomie</w:t>
      </w:r>
      <w:r w:rsidR="00BC6716">
        <w:rPr>
          <w:rFonts w:eastAsia="Times New Roman"/>
          <w:szCs w:val="24"/>
        </w:rPr>
        <w:t xml:space="preserve"> </w:t>
      </w:r>
      <w:r w:rsidRPr="00FC3B7C">
        <w:rPr>
          <w:rFonts w:eastAsia="Times New Roman"/>
          <w:szCs w:val="24"/>
        </w:rPr>
        <w:t>veřejného sektoru</w:t>
      </w:r>
    </w:p>
    <w:p w14:paraId="4A6F4040" w14:textId="77777777" w:rsidR="008E0F74" w:rsidRPr="00FC3B7C" w:rsidRDefault="008E0F74" w:rsidP="00AE6CBA">
      <w:pPr>
        <w:spacing w:line="274" w:lineRule="exact"/>
        <w:rPr>
          <w:rFonts w:eastAsia="Arial"/>
          <w:szCs w:val="24"/>
        </w:rPr>
      </w:pPr>
    </w:p>
    <w:p w14:paraId="4A6F4041" w14:textId="3711670E" w:rsidR="008E0F74" w:rsidRPr="00FC3B7C" w:rsidRDefault="00256F29" w:rsidP="00AE6CBA">
      <w:pPr>
        <w:tabs>
          <w:tab w:val="left" w:pos="720"/>
        </w:tabs>
        <w:rPr>
          <w:rFonts w:eastAsia="Arial"/>
          <w:szCs w:val="24"/>
        </w:rPr>
      </w:pPr>
      <w:r w:rsidRPr="00FC3B7C">
        <w:rPr>
          <w:rFonts w:eastAsia="Times New Roman"/>
          <w:szCs w:val="24"/>
        </w:rPr>
        <w:t>Český statistický úřad [online]. 2013 [cit. 2013-04-07]. Dostupné</w:t>
      </w:r>
      <w:r w:rsidR="00BC6716">
        <w:rPr>
          <w:rFonts w:eastAsia="Times New Roman"/>
          <w:szCs w:val="24"/>
        </w:rPr>
        <w:t xml:space="preserve"> </w:t>
      </w:r>
      <w:r w:rsidRPr="00FC3B7C">
        <w:rPr>
          <w:rFonts w:eastAsia="Times New Roman"/>
          <w:szCs w:val="24"/>
        </w:rPr>
        <w:t xml:space="preserve">z: </w:t>
      </w:r>
      <w:r w:rsidRPr="00FC3B7C">
        <w:rPr>
          <w:rFonts w:eastAsia="Times New Roman"/>
          <w:szCs w:val="24"/>
          <w:u w:val="single"/>
        </w:rPr>
        <w:t>www.czso.cz</w:t>
      </w:r>
    </w:p>
    <w:p w14:paraId="4A6F4042" w14:textId="77777777" w:rsidR="008E0F74" w:rsidRPr="00FC3B7C" w:rsidRDefault="008E0F74" w:rsidP="00AE6CBA">
      <w:pPr>
        <w:spacing w:line="274" w:lineRule="exact"/>
        <w:rPr>
          <w:rFonts w:eastAsia="Arial"/>
          <w:szCs w:val="24"/>
        </w:rPr>
      </w:pPr>
    </w:p>
    <w:p w14:paraId="4A6F4043" w14:textId="77777777" w:rsidR="008E0F74" w:rsidRPr="00FC3B7C" w:rsidRDefault="00256F29" w:rsidP="00AE6CBA">
      <w:pPr>
        <w:tabs>
          <w:tab w:val="left" w:pos="720"/>
        </w:tabs>
        <w:rPr>
          <w:rFonts w:eastAsia="Arial"/>
          <w:sz w:val="23"/>
          <w:szCs w:val="23"/>
        </w:rPr>
      </w:pPr>
      <w:r w:rsidRPr="00FC3B7C">
        <w:rPr>
          <w:rFonts w:eastAsia="Times New Roman"/>
          <w:sz w:val="23"/>
          <w:szCs w:val="23"/>
        </w:rPr>
        <w:t xml:space="preserve">Ministerstvo financí [online]. © 2005-2009 [cit. 2013-04-07]. Dostupnéz: </w:t>
      </w:r>
      <w:r w:rsidRPr="00FC3B7C">
        <w:rPr>
          <w:rFonts w:eastAsia="Times New Roman"/>
          <w:sz w:val="23"/>
          <w:szCs w:val="23"/>
          <w:u w:val="single"/>
        </w:rPr>
        <w:t>www.mfcr.cz</w:t>
      </w:r>
    </w:p>
    <w:p w14:paraId="4A6F4044" w14:textId="77777777" w:rsidR="008E0F74" w:rsidRPr="00FC3B7C" w:rsidRDefault="008E0F74" w:rsidP="00AE6CBA">
      <w:pPr>
        <w:spacing w:line="291" w:lineRule="exact"/>
        <w:rPr>
          <w:rFonts w:eastAsia="Arial"/>
          <w:sz w:val="23"/>
          <w:szCs w:val="23"/>
        </w:rPr>
      </w:pPr>
    </w:p>
    <w:p w14:paraId="4A6F4045" w14:textId="77777777" w:rsidR="008E0F74" w:rsidRPr="00FC3B7C" w:rsidRDefault="00256F29" w:rsidP="00AE6CBA">
      <w:pPr>
        <w:tabs>
          <w:tab w:val="left" w:pos="720"/>
        </w:tabs>
        <w:spacing w:line="268" w:lineRule="auto"/>
        <w:rPr>
          <w:rFonts w:eastAsia="Arial"/>
          <w:szCs w:val="24"/>
        </w:rPr>
      </w:pPr>
      <w:r w:rsidRPr="00FC3B7C">
        <w:rPr>
          <w:rFonts w:eastAsia="Times New Roman"/>
          <w:szCs w:val="24"/>
        </w:rPr>
        <w:t>STIGLITZ, JosephE. Ekonomie veřejného sektoru. 1.vyd. Praha: GradaPublishing, 1997, 661 s.ISBN 80-716-9454-1</w:t>
      </w:r>
    </w:p>
    <w:p w14:paraId="4A6F4046" w14:textId="77777777" w:rsidR="008E0F74" w:rsidRPr="00FC3B7C" w:rsidRDefault="008E0F74" w:rsidP="00AE6CBA">
      <w:pPr>
        <w:spacing w:line="208" w:lineRule="exact"/>
        <w:rPr>
          <w:rFonts w:eastAsia="Arial"/>
          <w:szCs w:val="24"/>
        </w:rPr>
      </w:pPr>
    </w:p>
    <w:p w14:paraId="4A6F4047" w14:textId="77777777" w:rsidR="008E0F74" w:rsidRPr="00FC3B7C" w:rsidRDefault="00256F29" w:rsidP="00AE6CBA">
      <w:pPr>
        <w:tabs>
          <w:tab w:val="left" w:pos="720"/>
        </w:tabs>
        <w:rPr>
          <w:rFonts w:eastAsia="Arial"/>
          <w:szCs w:val="24"/>
        </w:rPr>
      </w:pPr>
      <w:r w:rsidRPr="00FC3B7C">
        <w:rPr>
          <w:rFonts w:eastAsia="Times New Roman"/>
          <w:szCs w:val="24"/>
        </w:rPr>
        <w:t>Finance.cz [online]. 2013[cit. 2013-11-17]. Dostupnéz: http://www.finance.cz/</w:t>
      </w:r>
    </w:p>
    <w:p w14:paraId="4A6F4048" w14:textId="77777777" w:rsidR="008E0F74" w:rsidRPr="00FC3B7C" w:rsidRDefault="008E0F74" w:rsidP="00AE6CBA">
      <w:pPr>
        <w:spacing w:line="300" w:lineRule="exact"/>
        <w:rPr>
          <w:rFonts w:eastAsia="Arial"/>
          <w:szCs w:val="24"/>
        </w:rPr>
      </w:pPr>
    </w:p>
    <w:p w14:paraId="4A6F4049" w14:textId="77777777" w:rsidR="008E0F74" w:rsidRPr="00FC3B7C" w:rsidRDefault="00256F29" w:rsidP="00AE6CBA">
      <w:pPr>
        <w:tabs>
          <w:tab w:val="left" w:pos="720"/>
        </w:tabs>
        <w:rPr>
          <w:rFonts w:eastAsia="Arial"/>
          <w:szCs w:val="24"/>
        </w:rPr>
      </w:pPr>
      <w:r w:rsidRPr="00FC3B7C">
        <w:rPr>
          <w:rFonts w:eastAsia="Times New Roman"/>
        </w:rPr>
        <w:t xml:space="preserve">VANČUROVÁ, Alena a Lenka LÁCHOVÁ, 2016. </w:t>
      </w:r>
      <w:r w:rsidRPr="00FC3B7C">
        <w:rPr>
          <w:rFonts w:eastAsia="Times New Roman"/>
          <w:i/>
          <w:iCs/>
        </w:rPr>
        <w:t>Daňový</w:t>
      </w:r>
      <w:r w:rsidRPr="00FC3B7C">
        <w:rPr>
          <w:rFonts w:eastAsia="Times New Roman"/>
        </w:rPr>
        <w:t xml:space="preserve"> </w:t>
      </w:r>
      <w:r w:rsidRPr="00FC3B7C">
        <w:rPr>
          <w:rFonts w:eastAsia="Times New Roman"/>
          <w:i/>
          <w:iCs/>
        </w:rPr>
        <w:t>systém</w:t>
      </w:r>
      <w:r w:rsidRPr="00FC3B7C">
        <w:rPr>
          <w:rFonts w:eastAsia="Times New Roman"/>
        </w:rPr>
        <w:t xml:space="preserve"> </w:t>
      </w:r>
      <w:r w:rsidRPr="00FC3B7C">
        <w:rPr>
          <w:rFonts w:eastAsia="Times New Roman"/>
          <w:i/>
          <w:iCs/>
        </w:rPr>
        <w:t>ČR 2016</w:t>
      </w:r>
      <w:r w:rsidRPr="00FC3B7C">
        <w:rPr>
          <w:rFonts w:eastAsia="Times New Roman"/>
        </w:rPr>
        <w:t>. ISBN 978-80-</w:t>
      </w:r>
    </w:p>
    <w:p w14:paraId="4A6F404A" w14:textId="77777777" w:rsidR="008E0F74" w:rsidRPr="00FC3B7C" w:rsidRDefault="008E0F74" w:rsidP="00AE6CBA">
      <w:pPr>
        <w:spacing w:line="6" w:lineRule="exact"/>
        <w:rPr>
          <w:sz w:val="20"/>
          <w:szCs w:val="20"/>
        </w:rPr>
      </w:pPr>
    </w:p>
    <w:p w14:paraId="4A6F404C" w14:textId="189209AB" w:rsidR="008E0F74" w:rsidRPr="004A163A" w:rsidRDefault="00256F29">
      <w:pPr>
        <w:rPr>
          <w:sz w:val="20"/>
          <w:szCs w:val="20"/>
        </w:rPr>
        <w:sectPr w:rsidR="008E0F74" w:rsidRPr="004A163A">
          <w:pgSz w:w="11900" w:h="16840"/>
          <w:pgMar w:top="1414" w:right="1400" w:bottom="1440" w:left="1420" w:header="0" w:footer="0" w:gutter="0"/>
          <w:cols w:space="708" w:equalWidth="0">
            <w:col w:w="9080"/>
          </w:cols>
        </w:sectPr>
      </w:pPr>
      <w:r w:rsidRPr="00AE6CBA">
        <w:rPr>
          <w:rFonts w:eastAsia="Times New Roman"/>
        </w:rPr>
        <w:t>87480-44-1</w:t>
      </w:r>
    </w:p>
    <w:p w14:paraId="4A6F404D" w14:textId="77777777" w:rsidR="008E0F74" w:rsidRPr="00FC3B7C" w:rsidRDefault="008E0F74">
      <w:pPr>
        <w:rPr>
          <w:sz w:val="20"/>
          <w:szCs w:val="20"/>
        </w:rPr>
      </w:pPr>
      <w:bookmarkStart w:id="256" w:name="page256"/>
      <w:bookmarkEnd w:id="256"/>
    </w:p>
    <w:p w14:paraId="4A6F404E" w14:textId="77777777" w:rsidR="00906FCE" w:rsidRPr="004A163A" w:rsidRDefault="00906FCE" w:rsidP="004A163A">
      <w:pPr>
        <w:pStyle w:val="Nadpis1"/>
        <w:ind w:left="0" w:hanging="7"/>
        <w:rPr>
          <w:color w:val="1F3864" w:themeColor="accent1" w:themeShade="80"/>
        </w:rPr>
      </w:pPr>
      <w:bookmarkStart w:id="257" w:name="page257"/>
      <w:bookmarkStart w:id="258" w:name="page268"/>
      <w:bookmarkStart w:id="259" w:name="page266"/>
      <w:bookmarkStart w:id="260" w:name="page267"/>
      <w:bookmarkStart w:id="261" w:name="page275"/>
      <w:bookmarkStart w:id="262" w:name="_Toc54254084"/>
      <w:bookmarkEnd w:id="257"/>
      <w:bookmarkEnd w:id="258"/>
      <w:bookmarkEnd w:id="259"/>
      <w:bookmarkEnd w:id="260"/>
      <w:bookmarkEnd w:id="261"/>
      <w:r w:rsidRPr="004A163A">
        <w:rPr>
          <w:color w:val="1F3864" w:themeColor="accent1" w:themeShade="80"/>
        </w:rPr>
        <w:t>POLITIKA PŘEROZDĚLOVÁNÍ</w:t>
      </w:r>
      <w:bookmarkEnd w:id="262"/>
    </w:p>
    <w:p w14:paraId="4A6F404F" w14:textId="77777777" w:rsidR="00906FCE" w:rsidRPr="007B743B" w:rsidRDefault="00906FCE" w:rsidP="007B743B">
      <w:pPr>
        <w:rPr>
          <w:i/>
          <w:sz w:val="20"/>
          <w:szCs w:val="20"/>
        </w:rPr>
      </w:pPr>
      <w:r w:rsidRPr="007B743B">
        <w:rPr>
          <w:rFonts w:eastAsia="Times New Roman"/>
          <w:i/>
        </w:rPr>
        <w:t>Pohled na politiku přerozdělování, sociální spravedlnost, Chudoba, měření nerovnosti, základní nástroje přerozdělování. Srovnání jednotlivých typů daní z hlediska politiky rozdělování, diskuse přístupů k reformám penzijních systémů, výsledky přerozdělovacích programů, sociální struktura české společnosti z hlediska vývoje rozdělení příjmů.</w:t>
      </w:r>
    </w:p>
    <w:p w14:paraId="4A6F4050" w14:textId="77777777" w:rsidR="007B743B" w:rsidRDefault="007B743B" w:rsidP="007B743B">
      <w:pPr>
        <w:rPr>
          <w:rFonts w:eastAsia="Times New Roman"/>
          <w:b/>
          <w:bCs/>
          <w:sz w:val="28"/>
          <w:szCs w:val="28"/>
        </w:rPr>
      </w:pPr>
    </w:p>
    <w:p w14:paraId="4A6F4052" w14:textId="24AC7546" w:rsidR="00B826D2" w:rsidRPr="00FC3B7C" w:rsidRDefault="00906FCE" w:rsidP="007B743B">
      <w:pPr>
        <w:rPr>
          <w:rFonts w:eastAsia="Times New Roman"/>
          <w:b/>
          <w:bCs/>
          <w:sz w:val="28"/>
          <w:szCs w:val="28"/>
        </w:rPr>
      </w:pPr>
      <w:r w:rsidRPr="00FC3B7C">
        <w:rPr>
          <w:rFonts w:eastAsia="Times New Roman"/>
          <w:b/>
          <w:bCs/>
          <w:sz w:val="28"/>
          <w:szCs w:val="28"/>
        </w:rPr>
        <w:t>Slovníček pojmů</w:t>
      </w:r>
    </w:p>
    <w:p w14:paraId="4A6F4054" w14:textId="071BC52A" w:rsidR="00B826D2" w:rsidRPr="004A163A" w:rsidRDefault="00906FCE" w:rsidP="007B743B">
      <w:pPr>
        <w:rPr>
          <w:sz w:val="20"/>
          <w:szCs w:val="20"/>
        </w:rPr>
      </w:pPr>
      <w:r w:rsidRPr="004A163A">
        <w:rPr>
          <w:rFonts w:eastAsia="Times New Roman"/>
          <w:i/>
          <w:iCs/>
          <w:u w:val="single"/>
        </w:rPr>
        <w:t>Politika přerozdělování</w:t>
      </w:r>
      <w:r w:rsidRPr="00FC3B7C">
        <w:rPr>
          <w:rFonts w:eastAsia="Times New Roman"/>
          <w:i/>
          <w:iCs/>
        </w:rPr>
        <w:t xml:space="preserve"> – </w:t>
      </w:r>
      <w:r w:rsidRPr="00FC3B7C">
        <w:rPr>
          <w:rFonts w:eastAsia="Times New Roman"/>
          <w:iCs/>
        </w:rPr>
        <w:t xml:space="preserve">mění </w:t>
      </w:r>
      <w:r w:rsidRPr="00FC3B7C">
        <w:rPr>
          <w:rFonts w:eastAsia="Times New Roman"/>
        </w:rPr>
        <w:t>původní rozdělení důchodů a vyrovnává tím určité</w:t>
      </w:r>
      <w:r w:rsidRPr="00FC3B7C">
        <w:rPr>
          <w:rFonts w:eastAsia="Times New Roman"/>
          <w:i/>
          <w:iCs/>
        </w:rPr>
        <w:t xml:space="preserve"> </w:t>
      </w:r>
      <w:r w:rsidRPr="00FC3B7C">
        <w:rPr>
          <w:rFonts w:eastAsia="Times New Roman"/>
        </w:rPr>
        <w:t xml:space="preserve">nespravedlnosti trhu. Je zaměřena především na přerozdělování důchodů, životních šancí </w:t>
      </w:r>
      <w:r w:rsidR="007B743B">
        <w:rPr>
          <w:rFonts w:eastAsia="Times New Roman"/>
        </w:rPr>
        <w:br/>
      </w:r>
      <w:r w:rsidRPr="00FC3B7C">
        <w:rPr>
          <w:rFonts w:eastAsia="Times New Roman"/>
        </w:rPr>
        <w:t>a příležitostí formou daní a transferů.</w:t>
      </w:r>
    </w:p>
    <w:p w14:paraId="4A6F4056" w14:textId="4F67A1B7" w:rsidR="00B826D2" w:rsidRPr="004A163A" w:rsidRDefault="00906FCE" w:rsidP="007B743B">
      <w:pPr>
        <w:rPr>
          <w:sz w:val="20"/>
          <w:szCs w:val="20"/>
        </w:rPr>
      </w:pPr>
      <w:r w:rsidRPr="004A163A">
        <w:rPr>
          <w:rFonts w:eastAsia="Times New Roman"/>
          <w:i/>
          <w:iCs/>
          <w:u w:val="single"/>
        </w:rPr>
        <w:t xml:space="preserve">Přerozdělování </w:t>
      </w:r>
      <w:r w:rsidRPr="00FC3B7C">
        <w:rPr>
          <w:rFonts w:eastAsia="Times New Roman"/>
        </w:rPr>
        <w:t>– progresivní vertikální přerozdělování =státem vynucený převod prostředků</w:t>
      </w:r>
      <w:r w:rsidRPr="00FC3B7C">
        <w:rPr>
          <w:rFonts w:eastAsia="Times New Roman"/>
          <w:i/>
          <w:iCs/>
        </w:rPr>
        <w:t xml:space="preserve"> </w:t>
      </w:r>
      <w:r w:rsidRPr="00FC3B7C">
        <w:rPr>
          <w:rFonts w:eastAsia="Times New Roman"/>
        </w:rPr>
        <w:t>od bohatších k chudším. Horizontálního přerozdělování = přerozdělování příjmů mezi segmenty populace bez ohledu na splnění kritéria, že příjemci přerozdělování musí mít nižší tržní příjem než jeho plátci (staří a mladí, zdraví a nemocní…).</w:t>
      </w:r>
    </w:p>
    <w:p w14:paraId="4A6F4058" w14:textId="55B3D1EE" w:rsidR="00B826D2" w:rsidRPr="004A163A" w:rsidRDefault="00906FCE" w:rsidP="007B743B">
      <w:pPr>
        <w:rPr>
          <w:sz w:val="20"/>
          <w:szCs w:val="20"/>
        </w:rPr>
      </w:pPr>
      <w:r w:rsidRPr="004A163A">
        <w:rPr>
          <w:rFonts w:eastAsia="Times New Roman"/>
          <w:i/>
          <w:iCs/>
          <w:u w:val="single"/>
        </w:rPr>
        <w:t>Tržní rozdělování</w:t>
      </w:r>
      <w:r w:rsidRPr="00FC3B7C">
        <w:rPr>
          <w:rFonts w:eastAsia="Times New Roman"/>
          <w:i/>
          <w:iCs/>
        </w:rPr>
        <w:t xml:space="preserve"> </w:t>
      </w:r>
      <w:r w:rsidRPr="00FC3B7C">
        <w:rPr>
          <w:rFonts w:eastAsia="Times New Roman"/>
        </w:rPr>
        <w:t>– rozdělování příjmů</w:t>
      </w:r>
      <w:r w:rsidRPr="00FC3B7C">
        <w:rPr>
          <w:rFonts w:eastAsia="Times New Roman"/>
          <w:i/>
          <w:iCs/>
        </w:rPr>
        <w:t xml:space="preserve"> </w:t>
      </w:r>
      <w:r w:rsidRPr="00FC3B7C">
        <w:rPr>
          <w:rFonts w:eastAsia="Times New Roman"/>
        </w:rPr>
        <w:t>v podmínkách nerovného soukromého vlastnictví</w:t>
      </w:r>
      <w:r w:rsidRPr="00FC3B7C">
        <w:rPr>
          <w:rFonts w:eastAsia="Times New Roman"/>
          <w:i/>
          <w:iCs/>
        </w:rPr>
        <w:t xml:space="preserve"> </w:t>
      </w:r>
      <w:r w:rsidRPr="00FC3B7C">
        <w:rPr>
          <w:rFonts w:eastAsia="Times New Roman"/>
        </w:rPr>
        <w:t>výrobních prostředků, ke kterému by došlo, kdyby stát ani jednotlivci neuplatňovali žádné mechanismy přerozdělování či charity.</w:t>
      </w:r>
    </w:p>
    <w:p w14:paraId="4A6F405A" w14:textId="6E89793D" w:rsidR="00B826D2" w:rsidRPr="004A163A" w:rsidRDefault="00906FCE" w:rsidP="007B743B">
      <w:pPr>
        <w:rPr>
          <w:sz w:val="20"/>
          <w:szCs w:val="20"/>
        </w:rPr>
      </w:pPr>
      <w:r w:rsidRPr="004A163A">
        <w:rPr>
          <w:rFonts w:eastAsia="Times New Roman"/>
          <w:i/>
          <w:iCs/>
          <w:u w:val="single"/>
        </w:rPr>
        <w:t>Míra přerozdělení</w:t>
      </w:r>
      <w:r w:rsidRPr="00FC3B7C">
        <w:rPr>
          <w:rFonts w:eastAsia="Times New Roman"/>
          <w:i/>
          <w:iCs/>
        </w:rPr>
        <w:t xml:space="preserve"> </w:t>
      </w:r>
      <w:r w:rsidRPr="00FC3B7C">
        <w:rPr>
          <w:rFonts w:eastAsia="Times New Roman"/>
        </w:rPr>
        <w:t>– udává, jak velká část příjmu je přerozdělována. Nachází se v</w:t>
      </w:r>
      <w:r w:rsidRPr="00FC3B7C">
        <w:rPr>
          <w:rFonts w:eastAsia="Times New Roman"/>
          <w:i/>
          <w:iCs/>
        </w:rPr>
        <w:t xml:space="preserve"> </w:t>
      </w:r>
      <w:r w:rsidRPr="00FC3B7C">
        <w:rPr>
          <w:rFonts w:eastAsia="Times New Roman"/>
        </w:rPr>
        <w:t>intervalu mezi 0 a 1, přičemž 0 =tržní rozdělování a 1 =úplné přerozdělování (všichni mají stejný příjem).</w:t>
      </w:r>
    </w:p>
    <w:p w14:paraId="4A6F405C" w14:textId="652AD592" w:rsidR="00B826D2" w:rsidRPr="004A163A" w:rsidRDefault="00906FCE" w:rsidP="007B743B">
      <w:pPr>
        <w:rPr>
          <w:sz w:val="20"/>
          <w:szCs w:val="20"/>
        </w:rPr>
      </w:pPr>
      <w:r w:rsidRPr="004A163A">
        <w:rPr>
          <w:rFonts w:eastAsia="Times New Roman"/>
          <w:i/>
          <w:iCs/>
          <w:u w:val="single"/>
        </w:rPr>
        <w:t>Sociální spravedlnost</w:t>
      </w:r>
      <w:r w:rsidR="004A163A">
        <w:rPr>
          <w:rFonts w:eastAsia="Times New Roman"/>
          <w:i/>
          <w:iCs/>
        </w:rPr>
        <w:t xml:space="preserve"> </w:t>
      </w:r>
      <w:r w:rsidRPr="00FC3B7C">
        <w:rPr>
          <w:rFonts w:eastAsia="Times New Roman"/>
        </w:rPr>
        <w:t>-</w:t>
      </w:r>
      <w:r w:rsidR="004A163A">
        <w:rPr>
          <w:rFonts w:eastAsia="Times New Roman"/>
        </w:rPr>
        <w:t xml:space="preserve"> </w:t>
      </w:r>
      <w:r w:rsidRPr="00FC3B7C">
        <w:rPr>
          <w:rFonts w:eastAsia="Times New Roman"/>
        </w:rPr>
        <w:t>pravidla, podle nichž jsou ve společnosti rozdělovány příjmy,</w:t>
      </w:r>
      <w:r w:rsidRPr="00FC3B7C">
        <w:rPr>
          <w:rFonts w:eastAsia="Times New Roman"/>
          <w:i/>
          <w:iCs/>
        </w:rPr>
        <w:t xml:space="preserve"> </w:t>
      </w:r>
      <w:r w:rsidRPr="00FC3B7C">
        <w:rPr>
          <w:rFonts w:eastAsia="Times New Roman"/>
        </w:rPr>
        <w:t>bohatství a životní příležitosti.</w:t>
      </w:r>
    </w:p>
    <w:p w14:paraId="4A6F405E" w14:textId="4AFF33BE" w:rsidR="00B826D2" w:rsidRPr="004A163A" w:rsidRDefault="00906FCE" w:rsidP="007B743B">
      <w:pPr>
        <w:rPr>
          <w:rFonts w:eastAsia="Times New Roman"/>
        </w:rPr>
      </w:pPr>
      <w:r w:rsidRPr="004A163A">
        <w:rPr>
          <w:rFonts w:eastAsia="Times New Roman"/>
          <w:i/>
          <w:iCs/>
          <w:u w:val="single"/>
        </w:rPr>
        <w:t>Životní minimum</w:t>
      </w:r>
      <w:r w:rsidRPr="00FC3B7C">
        <w:rPr>
          <w:rFonts w:eastAsia="Times New Roman"/>
          <w:i/>
          <w:iCs/>
        </w:rPr>
        <w:t xml:space="preserve"> </w:t>
      </w:r>
      <w:r w:rsidRPr="00FC3B7C">
        <w:rPr>
          <w:rFonts w:eastAsia="Times New Roman"/>
        </w:rPr>
        <w:t>– minimální společensky uznaná hranice peněžních příjmů k zajištění</w:t>
      </w:r>
      <w:r w:rsidRPr="00FC3B7C">
        <w:rPr>
          <w:rFonts w:eastAsia="Times New Roman"/>
          <w:i/>
          <w:iCs/>
        </w:rPr>
        <w:t xml:space="preserve"> </w:t>
      </w:r>
      <w:r w:rsidRPr="00FC3B7C">
        <w:rPr>
          <w:rFonts w:eastAsia="Times New Roman"/>
        </w:rPr>
        <w:t>výživy a ostatních základních osobních potřeb. ŽM =3410,-Kč</w:t>
      </w:r>
    </w:p>
    <w:p w14:paraId="4A6F405F" w14:textId="2B7C1960" w:rsidR="00906FCE" w:rsidRPr="004B6CDE" w:rsidRDefault="00906FCE" w:rsidP="007B743B">
      <w:pPr>
        <w:rPr>
          <w:sz w:val="20"/>
          <w:szCs w:val="20"/>
        </w:rPr>
      </w:pPr>
      <w:r w:rsidRPr="004B6CDE">
        <w:rPr>
          <w:rFonts w:eastAsia="Times New Roman"/>
          <w:i/>
          <w:iCs/>
          <w:u w:val="single"/>
        </w:rPr>
        <w:t>Existenční minimum</w:t>
      </w:r>
      <w:r w:rsidR="004A163A" w:rsidRPr="004B6CDE">
        <w:rPr>
          <w:rFonts w:eastAsia="Times New Roman"/>
        </w:rPr>
        <w:t xml:space="preserve"> </w:t>
      </w:r>
      <w:r w:rsidRPr="004B6CDE">
        <w:rPr>
          <w:rFonts w:eastAsia="Times New Roman"/>
        </w:rPr>
        <w:t>-</w:t>
      </w:r>
      <w:r w:rsidR="004A163A" w:rsidRPr="004B6CDE">
        <w:rPr>
          <w:rFonts w:eastAsia="Times New Roman"/>
        </w:rPr>
        <w:t xml:space="preserve"> </w:t>
      </w:r>
      <w:r w:rsidRPr="004B6CDE">
        <w:rPr>
          <w:rFonts w:eastAsia="Times New Roman"/>
        </w:rPr>
        <w:t>minimální hranicí peněžních příjmů, která se považuje za nezbytnou</w:t>
      </w:r>
    </w:p>
    <w:p w14:paraId="5518217B" w14:textId="3B70CF99" w:rsidR="0023251A" w:rsidRPr="004B6CDE" w:rsidRDefault="00906FCE" w:rsidP="007B743B">
      <w:pPr>
        <w:rPr>
          <w:rFonts w:eastAsia="Times New Roman"/>
        </w:rPr>
      </w:pPr>
      <w:r w:rsidRPr="004B6CDE">
        <w:rPr>
          <w:rFonts w:eastAsia="Times New Roman"/>
        </w:rPr>
        <w:t xml:space="preserve">k zajištění výživy a ostatních základních osobních potřeb na úrovni umožňující přežití. </w:t>
      </w:r>
      <w:r w:rsidR="0023251A" w:rsidRPr="004B6CDE">
        <w:rPr>
          <w:rFonts w:eastAsia="Times New Roman"/>
        </w:rPr>
        <w:t>EM = 2490,- Kč (od dubna 2020)</w:t>
      </w:r>
    </w:p>
    <w:p w14:paraId="311F1872" w14:textId="77777777" w:rsidR="00906FCE" w:rsidRPr="004B6CDE" w:rsidRDefault="00906FCE" w:rsidP="00906FCE">
      <w:pPr>
        <w:rPr>
          <w:rFonts w:eastAsia="Times New Roman"/>
        </w:rPr>
      </w:pPr>
      <w:r w:rsidRPr="004B6CDE">
        <w:rPr>
          <w:rFonts w:eastAsia="Times New Roman"/>
          <w:i/>
          <w:iCs/>
          <w:u w:val="single"/>
        </w:rPr>
        <w:t>Minimální mzda</w:t>
      </w:r>
      <w:r w:rsidRPr="004B6CDE">
        <w:rPr>
          <w:rFonts w:eastAsia="Times New Roman"/>
          <w:i/>
          <w:iCs/>
        </w:rPr>
        <w:t xml:space="preserve"> </w:t>
      </w:r>
      <w:r w:rsidRPr="004B6CDE">
        <w:rPr>
          <w:rFonts w:eastAsia="Times New Roman"/>
        </w:rPr>
        <w:t>– nejnižší přípustná výše odměny za práci v pracovně právním vztahu.</w:t>
      </w:r>
      <w:r w:rsidRPr="004B6CDE">
        <w:rPr>
          <w:rFonts w:eastAsia="Times New Roman"/>
          <w:i/>
          <w:iCs/>
        </w:rPr>
        <w:t xml:space="preserve"> </w:t>
      </w:r>
      <w:r w:rsidR="0023251A" w:rsidRPr="004B6CDE">
        <w:rPr>
          <w:rFonts w:eastAsia="Times New Roman"/>
        </w:rPr>
        <w:t>Minimální mzda se v roce 2020 zvýšila na 14 600 korun.</w:t>
      </w:r>
    </w:p>
    <w:p w14:paraId="4A6F4063" w14:textId="6BCCF6A5" w:rsidR="0023251A" w:rsidRPr="00FC3B7C" w:rsidRDefault="0023251A" w:rsidP="00906FCE">
      <w:pPr>
        <w:sectPr w:rsidR="0023251A" w:rsidRPr="00FC3B7C">
          <w:pgSz w:w="11900" w:h="16840"/>
          <w:pgMar w:top="1388" w:right="1440" w:bottom="1440" w:left="1440" w:header="0" w:footer="0" w:gutter="0"/>
          <w:cols w:space="708" w:equalWidth="0">
            <w:col w:w="9020"/>
          </w:cols>
        </w:sectPr>
      </w:pPr>
    </w:p>
    <w:p w14:paraId="4A6F4064" w14:textId="77777777" w:rsidR="00906FCE" w:rsidRPr="00FC3B7C" w:rsidRDefault="00906FCE" w:rsidP="00906FCE">
      <w:pPr>
        <w:spacing w:line="141" w:lineRule="exact"/>
        <w:rPr>
          <w:sz w:val="20"/>
          <w:szCs w:val="20"/>
        </w:rPr>
      </w:pPr>
      <w:bookmarkStart w:id="263" w:name="page258"/>
      <w:bookmarkEnd w:id="263"/>
    </w:p>
    <w:p w14:paraId="4A6F4065" w14:textId="77777777" w:rsidR="00906FCE" w:rsidRPr="004B6CDE" w:rsidRDefault="00906FCE" w:rsidP="00B826D2">
      <w:pPr>
        <w:pStyle w:val="Nadpis2"/>
        <w:rPr>
          <w:color w:val="1F3864" w:themeColor="accent1" w:themeShade="80"/>
          <w:sz w:val="20"/>
          <w:szCs w:val="20"/>
        </w:rPr>
      </w:pPr>
      <w:r w:rsidRPr="004B6CDE">
        <w:rPr>
          <w:rFonts w:eastAsia="Times New Roman"/>
          <w:color w:val="1F3864" w:themeColor="accent1" w:themeShade="80"/>
        </w:rPr>
        <w:t>POHLED NA POLITIKU PŘEROZDĚLOVÁNÍ</w:t>
      </w:r>
    </w:p>
    <w:p w14:paraId="4A6F4066" w14:textId="70EF6B04" w:rsidR="00906FCE" w:rsidRPr="00FC3B7C" w:rsidRDefault="00851057" w:rsidP="00851057">
      <w:pPr>
        <w:ind w:firstLine="576"/>
        <w:rPr>
          <w:rFonts w:eastAsia="Times New Roman"/>
        </w:rPr>
      </w:pPr>
      <w:r>
        <w:rPr>
          <w:rFonts w:eastAsia="Times New Roman"/>
        </w:rPr>
        <w:t>T</w:t>
      </w:r>
      <w:r w:rsidR="00906FCE" w:rsidRPr="00FC3B7C">
        <w:rPr>
          <w:rFonts w:eastAsia="Times New Roman"/>
        </w:rPr>
        <w:t>ržní ekonomice dochází k </w:t>
      </w:r>
      <w:r w:rsidR="00906FCE" w:rsidRPr="00FC3B7C">
        <w:rPr>
          <w:rFonts w:eastAsia="Times New Roman"/>
          <w:b/>
          <w:bCs/>
        </w:rPr>
        <w:t xml:space="preserve">nerovnoměrnému rozložení důchodů </w:t>
      </w:r>
      <w:r w:rsidR="00906FCE" w:rsidRPr="00FC3B7C">
        <w:rPr>
          <w:rFonts w:eastAsia="Times New Roman"/>
        </w:rPr>
        <w:t>mezi jednotlivci. Tyto rozdíly v důchodech mají příčinu v rozdílném bohatství domácností (rozdíly ve vlastnictví půdy a kapitálu) a rozdílu ve mzdách. Původní rozdělení důchodů ve společnosti je tak kombinací vlivů, které jednotlivec nemůže ovlivnit (dědictví) a faktorů, které ovlivnit může (vlastní úsilí).</w:t>
      </w:r>
    </w:p>
    <w:p w14:paraId="4A6F4067" w14:textId="77777777" w:rsidR="00906FCE" w:rsidRPr="00FC3B7C" w:rsidRDefault="00906FCE" w:rsidP="00906FCE">
      <w:pPr>
        <w:spacing w:line="1" w:lineRule="exact"/>
        <w:rPr>
          <w:rFonts w:eastAsia="Times New Roman"/>
          <w:szCs w:val="24"/>
        </w:rPr>
      </w:pPr>
    </w:p>
    <w:p w14:paraId="4A6F4068" w14:textId="77777777" w:rsidR="00906FCE" w:rsidRPr="00B826D2" w:rsidRDefault="00906FCE" w:rsidP="00B826D2">
      <w:pPr>
        <w:rPr>
          <w:rFonts w:eastAsia="Times New Roman"/>
          <w:b/>
          <w:szCs w:val="24"/>
        </w:rPr>
      </w:pPr>
      <w:r w:rsidRPr="00B826D2">
        <w:rPr>
          <w:rFonts w:eastAsia="Times New Roman"/>
          <w:b/>
        </w:rPr>
        <w:t>Z ekonomického hlediska existují dvě základní nerovnosti</w:t>
      </w:r>
    </w:p>
    <w:p w14:paraId="4A6F4069" w14:textId="77777777" w:rsidR="00906FCE" w:rsidRPr="00FC3B7C" w:rsidRDefault="00906FCE" w:rsidP="00906FCE">
      <w:pPr>
        <w:spacing w:line="125" w:lineRule="exact"/>
        <w:rPr>
          <w:rFonts w:eastAsia="Times New Roman"/>
          <w:szCs w:val="24"/>
        </w:rPr>
      </w:pPr>
    </w:p>
    <w:p w14:paraId="4A6F406A" w14:textId="77777777" w:rsidR="00906FCE" w:rsidRPr="00FC3B7C" w:rsidRDefault="00B826D2" w:rsidP="00D46B53">
      <w:pPr>
        <w:numPr>
          <w:ilvl w:val="1"/>
          <w:numId w:val="233"/>
        </w:numPr>
        <w:tabs>
          <w:tab w:val="left" w:pos="820"/>
        </w:tabs>
        <w:ind w:left="820" w:hanging="348"/>
        <w:rPr>
          <w:rFonts w:eastAsia="Times New Roman"/>
          <w:sz w:val="23"/>
          <w:szCs w:val="23"/>
        </w:rPr>
      </w:pPr>
      <w:r w:rsidRPr="00B826D2">
        <w:rPr>
          <w:rFonts w:eastAsia="Times New Roman"/>
          <w:iCs/>
          <w:sz w:val="23"/>
          <w:szCs w:val="23"/>
        </w:rPr>
        <w:t>n</w:t>
      </w:r>
      <w:r w:rsidR="00906FCE" w:rsidRPr="00B826D2">
        <w:rPr>
          <w:rFonts w:eastAsia="Times New Roman"/>
          <w:sz w:val="23"/>
          <w:szCs w:val="23"/>
        </w:rPr>
        <w:t>erovnost</w:t>
      </w:r>
      <w:r w:rsidR="00906FCE" w:rsidRPr="00FC3B7C">
        <w:rPr>
          <w:rFonts w:eastAsia="Times New Roman"/>
          <w:sz w:val="23"/>
          <w:szCs w:val="23"/>
        </w:rPr>
        <w:t xml:space="preserve"> v pracovních důchodech</w:t>
      </w:r>
      <w:r w:rsidR="00906FCE" w:rsidRPr="00FC3B7C">
        <w:rPr>
          <w:rFonts w:eastAsia="Times New Roman"/>
          <w:i/>
          <w:iCs/>
          <w:sz w:val="23"/>
          <w:szCs w:val="23"/>
        </w:rPr>
        <w:t xml:space="preserve"> (odměna za práci)</w:t>
      </w:r>
    </w:p>
    <w:p w14:paraId="4A6F406B" w14:textId="77777777" w:rsidR="00906FCE" w:rsidRPr="00FC3B7C" w:rsidRDefault="00906FCE" w:rsidP="00D46B53">
      <w:pPr>
        <w:numPr>
          <w:ilvl w:val="1"/>
          <w:numId w:val="233"/>
        </w:numPr>
        <w:tabs>
          <w:tab w:val="left" w:pos="820"/>
        </w:tabs>
        <w:ind w:left="820" w:hanging="348"/>
        <w:rPr>
          <w:rFonts w:eastAsia="Times New Roman"/>
          <w:sz w:val="23"/>
          <w:szCs w:val="23"/>
        </w:rPr>
      </w:pPr>
      <w:r w:rsidRPr="00FC3B7C">
        <w:rPr>
          <w:rFonts w:eastAsia="Times New Roman"/>
          <w:sz w:val="23"/>
          <w:szCs w:val="23"/>
        </w:rPr>
        <w:t xml:space="preserve">nerovnost ve vlastnických důchodech </w:t>
      </w:r>
      <w:r w:rsidRPr="00FC3B7C">
        <w:rPr>
          <w:rFonts w:eastAsia="Times New Roman"/>
          <w:i/>
          <w:iCs/>
          <w:sz w:val="23"/>
          <w:szCs w:val="23"/>
        </w:rPr>
        <w:t>(z majetku)</w:t>
      </w:r>
    </w:p>
    <w:p w14:paraId="4A6F406C" w14:textId="6EDBB56E" w:rsidR="00906FCE" w:rsidRPr="00FC3B7C" w:rsidRDefault="00906FCE" w:rsidP="00851057">
      <w:pPr>
        <w:ind w:firstLine="472"/>
        <w:rPr>
          <w:sz w:val="20"/>
          <w:szCs w:val="20"/>
        </w:rPr>
      </w:pPr>
      <w:r w:rsidRPr="00FC3B7C">
        <w:rPr>
          <w:rFonts w:eastAsia="Times New Roman"/>
        </w:rPr>
        <w:t xml:space="preserve">Přerozdělování je jednou z </w:t>
      </w:r>
      <w:r w:rsidRPr="00FC3B7C">
        <w:rPr>
          <w:rFonts w:eastAsia="Times New Roman"/>
          <w:b/>
          <w:bCs/>
        </w:rPr>
        <w:t>nejvýznamnějších funkcí sociální politiky</w:t>
      </w:r>
      <w:r w:rsidRPr="00FC3B7C">
        <w:rPr>
          <w:rFonts w:eastAsia="Times New Roman"/>
        </w:rPr>
        <w:t xml:space="preserve">, kterou je určován podíl jednotlivců na výsledku ekonomické činnosti a na společenském bohatství. </w:t>
      </w:r>
      <w:r w:rsidR="00BC6716">
        <w:rPr>
          <w:rFonts w:eastAsia="Times New Roman"/>
        </w:rPr>
        <w:br/>
      </w:r>
      <w:r w:rsidRPr="00FC3B7C">
        <w:rPr>
          <w:rFonts w:eastAsia="Times New Roman"/>
        </w:rPr>
        <w:t xml:space="preserve">Je zaměřena na přerozdělování důchodů, ale také životních šancí a příležitostí. Cílem </w:t>
      </w:r>
      <w:r w:rsidR="00BC6716">
        <w:rPr>
          <w:rFonts w:eastAsia="Times New Roman"/>
        </w:rPr>
        <w:br/>
      </w:r>
      <w:r w:rsidRPr="00FC3B7C">
        <w:rPr>
          <w:rFonts w:eastAsia="Times New Roman"/>
        </w:rPr>
        <w:t xml:space="preserve">je přerozdělení toho, co už jednou bylo nedokonale nebo „nespravedlivě“ rozděleno trhem. Přerozdělování </w:t>
      </w:r>
      <w:r w:rsidR="001D2E9D">
        <w:rPr>
          <w:rFonts w:eastAsia="Times New Roman"/>
        </w:rPr>
        <w:br/>
      </w:r>
      <w:r w:rsidRPr="00FC3B7C">
        <w:rPr>
          <w:rFonts w:eastAsia="Times New Roman"/>
        </w:rPr>
        <w:t xml:space="preserve">se uskutečňuje především prostřednictvím </w:t>
      </w:r>
      <w:r w:rsidRPr="00FC3B7C">
        <w:rPr>
          <w:rFonts w:eastAsia="Times New Roman"/>
          <w:b/>
          <w:bCs/>
        </w:rPr>
        <w:t>daní a transferových plateb</w:t>
      </w:r>
      <w:r w:rsidRPr="00FC3B7C">
        <w:rPr>
          <w:rFonts w:eastAsia="Times New Roman"/>
        </w:rPr>
        <w:t>.</w:t>
      </w:r>
    </w:p>
    <w:p w14:paraId="4A6F406D" w14:textId="77777777" w:rsidR="00906FCE" w:rsidRPr="00FC3B7C" w:rsidRDefault="00906FCE" w:rsidP="00906FCE">
      <w:pPr>
        <w:spacing w:line="200" w:lineRule="exact"/>
        <w:rPr>
          <w:sz w:val="20"/>
          <w:szCs w:val="20"/>
        </w:rPr>
      </w:pPr>
    </w:p>
    <w:p w14:paraId="4A6F406E" w14:textId="77777777" w:rsidR="00906FCE" w:rsidRPr="00B826D2" w:rsidRDefault="00906FCE" w:rsidP="00B826D2">
      <w:pPr>
        <w:rPr>
          <w:b/>
          <w:sz w:val="20"/>
          <w:szCs w:val="20"/>
        </w:rPr>
      </w:pPr>
      <w:r w:rsidRPr="00B826D2">
        <w:rPr>
          <w:rFonts w:eastAsia="Times New Roman"/>
          <w:b/>
        </w:rPr>
        <w:t>2 stupně redistribuce:</w:t>
      </w:r>
    </w:p>
    <w:p w14:paraId="4A6F406F" w14:textId="77777777" w:rsidR="00906FCE" w:rsidRPr="00FC3B7C" w:rsidRDefault="00906FCE" w:rsidP="00B826D2">
      <w:pPr>
        <w:rPr>
          <w:sz w:val="20"/>
          <w:szCs w:val="20"/>
        </w:rPr>
      </w:pPr>
      <w:r w:rsidRPr="00FC3B7C">
        <w:rPr>
          <w:rFonts w:eastAsia="Times New Roman"/>
          <w:b/>
          <w:bCs/>
        </w:rPr>
        <w:t>Primární</w:t>
      </w:r>
      <w:r w:rsidRPr="00FC3B7C">
        <w:rPr>
          <w:rFonts w:eastAsia="Times New Roman"/>
        </w:rPr>
        <w:t>– Zajišťuje trh, Jedinec získává příjmy z ekonomické aktivity a vlastnictví. Tyto příjmy</w:t>
      </w:r>
      <w:r w:rsidRPr="00FC3B7C">
        <w:rPr>
          <w:rFonts w:eastAsia="Times New Roman"/>
          <w:b/>
          <w:bCs/>
        </w:rPr>
        <w:t xml:space="preserve"> </w:t>
      </w:r>
      <w:r w:rsidRPr="00FC3B7C">
        <w:rPr>
          <w:rFonts w:eastAsia="Times New Roman"/>
        </w:rPr>
        <w:t>vytvářejí základní nerovnost ve společnosti</w:t>
      </w:r>
    </w:p>
    <w:p w14:paraId="4A6F4070" w14:textId="7DCC27A8" w:rsidR="00906FCE" w:rsidRPr="00FC3B7C" w:rsidRDefault="00906FCE" w:rsidP="00B826D2">
      <w:pPr>
        <w:rPr>
          <w:rFonts w:eastAsia="Times New Roman"/>
        </w:rPr>
      </w:pPr>
      <w:r w:rsidRPr="00FC3B7C">
        <w:rPr>
          <w:rFonts w:eastAsia="Times New Roman"/>
          <w:b/>
          <w:bCs/>
        </w:rPr>
        <w:t>Sekundární</w:t>
      </w:r>
      <w:r w:rsidRPr="00FC3B7C">
        <w:rPr>
          <w:rFonts w:eastAsia="Times New Roman"/>
        </w:rPr>
        <w:t>– Vstupuje do systému a pomocí daní, dávek a příspěvků</w:t>
      </w:r>
      <w:r w:rsidRPr="00FC3B7C">
        <w:rPr>
          <w:rFonts w:eastAsia="Times New Roman"/>
          <w:b/>
          <w:bCs/>
        </w:rPr>
        <w:t xml:space="preserve"> </w:t>
      </w:r>
      <w:r w:rsidRPr="00FC3B7C">
        <w:rPr>
          <w:rFonts w:eastAsia="Times New Roman"/>
        </w:rPr>
        <w:t>zmírňuje příjmovou</w:t>
      </w:r>
      <w:r w:rsidRPr="00FC3B7C">
        <w:rPr>
          <w:rFonts w:eastAsia="Times New Roman"/>
          <w:b/>
          <w:bCs/>
        </w:rPr>
        <w:t xml:space="preserve"> </w:t>
      </w:r>
      <w:r w:rsidRPr="00FC3B7C">
        <w:rPr>
          <w:rFonts w:eastAsia="Times New Roman"/>
        </w:rPr>
        <w:t xml:space="preserve">nerovnost, redistribuční funkce státu souvisí s politickými představami o míře rovnosti </w:t>
      </w:r>
      <w:r w:rsidR="00BC6716">
        <w:rPr>
          <w:rFonts w:eastAsia="Times New Roman"/>
        </w:rPr>
        <w:br/>
      </w:r>
      <w:r w:rsidRPr="00FC3B7C">
        <w:rPr>
          <w:rFonts w:eastAsia="Times New Roman"/>
        </w:rPr>
        <w:t>ve společnosti.</w:t>
      </w:r>
    </w:p>
    <w:p w14:paraId="4A6F4071" w14:textId="77777777" w:rsidR="00906FCE" w:rsidRPr="00FC3B7C" w:rsidRDefault="00906FCE" w:rsidP="00906FCE">
      <w:pPr>
        <w:spacing w:line="269" w:lineRule="exact"/>
        <w:rPr>
          <w:sz w:val="20"/>
          <w:szCs w:val="20"/>
        </w:rPr>
      </w:pPr>
    </w:p>
    <w:p w14:paraId="4A6F4072" w14:textId="77777777" w:rsidR="00906FCE" w:rsidRPr="00FC3B7C" w:rsidRDefault="00906FCE" w:rsidP="00B826D2">
      <w:pPr>
        <w:ind w:left="120"/>
        <w:rPr>
          <w:sz w:val="20"/>
          <w:szCs w:val="20"/>
        </w:rPr>
      </w:pPr>
      <w:r w:rsidRPr="00FC3B7C">
        <w:rPr>
          <w:rFonts w:eastAsia="Times New Roman"/>
          <w:b/>
          <w:bCs/>
          <w:szCs w:val="24"/>
        </w:rPr>
        <w:t>Redistribuci dělíme na:</w:t>
      </w:r>
    </w:p>
    <w:p w14:paraId="4A6F4073" w14:textId="77777777" w:rsidR="00906FCE" w:rsidRPr="00FC3B7C" w:rsidRDefault="00906FCE" w:rsidP="00D46B53">
      <w:pPr>
        <w:numPr>
          <w:ilvl w:val="0"/>
          <w:numId w:val="234"/>
        </w:numPr>
        <w:tabs>
          <w:tab w:val="left" w:pos="824"/>
        </w:tabs>
        <w:ind w:left="840" w:right="560" w:hanging="368"/>
        <w:rPr>
          <w:rFonts w:eastAsia="Times New Roman"/>
          <w:szCs w:val="24"/>
        </w:rPr>
      </w:pPr>
      <w:r w:rsidRPr="00FC3B7C">
        <w:rPr>
          <w:rFonts w:eastAsia="Times New Roman"/>
          <w:b/>
          <w:szCs w:val="24"/>
        </w:rPr>
        <w:t>Nepřímou</w:t>
      </w:r>
      <w:r w:rsidRPr="00FC3B7C">
        <w:rPr>
          <w:rFonts w:eastAsia="Times New Roman"/>
          <w:szCs w:val="24"/>
        </w:rPr>
        <w:t xml:space="preserve"> – prostřednictvím progresivních daní a prostřednictvím daní na luxusní zboží (zboží, které spotřebovávají lidé s vyššími příjmy)</w:t>
      </w:r>
    </w:p>
    <w:p w14:paraId="4A6F4074" w14:textId="77777777" w:rsidR="00906FCE" w:rsidRPr="00FC3B7C" w:rsidRDefault="00906FCE" w:rsidP="00D46B53">
      <w:pPr>
        <w:numPr>
          <w:ilvl w:val="0"/>
          <w:numId w:val="234"/>
        </w:numPr>
        <w:tabs>
          <w:tab w:val="left" w:pos="820"/>
        </w:tabs>
        <w:ind w:left="820" w:hanging="348"/>
        <w:rPr>
          <w:rFonts w:eastAsia="Times New Roman"/>
          <w:sz w:val="23"/>
          <w:szCs w:val="23"/>
        </w:rPr>
      </w:pPr>
      <w:r w:rsidRPr="00FC3B7C">
        <w:rPr>
          <w:rFonts w:eastAsia="Times New Roman"/>
          <w:b/>
          <w:sz w:val="23"/>
          <w:szCs w:val="23"/>
        </w:rPr>
        <w:t>Přímou</w:t>
      </w:r>
      <w:r w:rsidRPr="00FC3B7C">
        <w:rPr>
          <w:rFonts w:eastAsia="Times New Roman"/>
          <w:sz w:val="23"/>
          <w:szCs w:val="23"/>
        </w:rPr>
        <w:t xml:space="preserve"> – prostřednictvím adresných peněžních transferů (dotací jedincům a skupinám</w:t>
      </w:r>
    </w:p>
    <w:p w14:paraId="4A6F4075" w14:textId="7ECD1DB0" w:rsidR="00906FCE" w:rsidRDefault="00906FCE" w:rsidP="00B826D2">
      <w:pPr>
        <w:ind w:left="112" w:firstLine="708"/>
        <w:rPr>
          <w:rFonts w:eastAsia="Times New Roman"/>
          <w:szCs w:val="24"/>
        </w:rPr>
      </w:pPr>
      <w:r w:rsidRPr="00FC3B7C">
        <w:rPr>
          <w:rFonts w:eastAsia="Times New Roman"/>
          <w:szCs w:val="24"/>
        </w:rPr>
        <w:t>s nízkými příjmy</w:t>
      </w:r>
      <w:r w:rsidR="00BC6716">
        <w:rPr>
          <w:rFonts w:eastAsia="Times New Roman"/>
          <w:szCs w:val="24"/>
        </w:rPr>
        <w:t xml:space="preserve">, </w:t>
      </w:r>
      <w:r w:rsidRPr="00FC3B7C">
        <w:rPr>
          <w:rFonts w:eastAsia="Times New Roman"/>
          <w:szCs w:val="24"/>
        </w:rPr>
        <w:t>např. státní sociální podpora)</w:t>
      </w:r>
    </w:p>
    <w:p w14:paraId="4A6F4076" w14:textId="77777777" w:rsidR="00B826D2" w:rsidRPr="00FC3B7C" w:rsidRDefault="00B826D2" w:rsidP="00B826D2">
      <w:pPr>
        <w:ind w:left="112" w:firstLine="708"/>
        <w:rPr>
          <w:sz w:val="20"/>
          <w:szCs w:val="20"/>
        </w:rPr>
      </w:pPr>
    </w:p>
    <w:p w14:paraId="4A6F4077" w14:textId="3589B512" w:rsidR="00906FCE" w:rsidRPr="00FC3B7C" w:rsidRDefault="004A163A" w:rsidP="00B826D2">
      <w:pPr>
        <w:pStyle w:val="Nadpis3"/>
        <w:rPr>
          <w:sz w:val="20"/>
          <w:szCs w:val="20"/>
        </w:rPr>
      </w:pPr>
      <w:r>
        <w:rPr>
          <w:rFonts w:eastAsia="Times New Roman"/>
        </w:rPr>
        <w:t xml:space="preserve"> </w:t>
      </w:r>
      <w:r w:rsidR="00906FCE" w:rsidRPr="004A163A">
        <w:rPr>
          <w:rFonts w:eastAsia="Times New Roman"/>
          <w:color w:val="1F3864" w:themeColor="accent1" w:themeShade="80"/>
        </w:rPr>
        <w:t>Důvody přerozdělování</w:t>
      </w:r>
    </w:p>
    <w:p w14:paraId="4A6F4078" w14:textId="77777777" w:rsidR="00906FCE" w:rsidRPr="00FC3B7C" w:rsidRDefault="00906FCE" w:rsidP="00B826D2">
      <w:pPr>
        <w:tabs>
          <w:tab w:val="left" w:pos="800"/>
        </w:tabs>
        <w:ind w:left="820" w:right="440" w:hanging="359"/>
        <w:rPr>
          <w:sz w:val="20"/>
          <w:szCs w:val="20"/>
        </w:rPr>
      </w:pPr>
      <w:r w:rsidRPr="00FC3B7C">
        <w:rPr>
          <w:rFonts w:eastAsia="Times New Roman"/>
          <w:szCs w:val="24"/>
        </w:rPr>
        <w:t>·</w:t>
      </w:r>
      <w:r w:rsidRPr="00FC3B7C">
        <w:rPr>
          <w:rFonts w:eastAsia="Times New Roman"/>
          <w:szCs w:val="24"/>
        </w:rPr>
        <w:tab/>
        <w:t xml:space="preserve">důstojný život pro všechny-především pro společenské skupiny, které se </w:t>
      </w:r>
      <w:r w:rsidR="001D2E9D">
        <w:rPr>
          <w:rFonts w:eastAsia="Times New Roman"/>
          <w:szCs w:val="24"/>
        </w:rPr>
        <w:br/>
      </w:r>
      <w:r w:rsidRPr="00FC3B7C">
        <w:rPr>
          <w:rFonts w:eastAsia="Times New Roman"/>
          <w:szCs w:val="24"/>
        </w:rPr>
        <w:t>z objektivních příčin nemohou efektivně podílet na ekonomickém procesu (nemocní, postižení…)</w:t>
      </w:r>
    </w:p>
    <w:p w14:paraId="4A6F4079" w14:textId="77777777" w:rsidR="00906FCE" w:rsidRPr="00B826D2" w:rsidRDefault="00906FCE" w:rsidP="00D46B53">
      <w:pPr>
        <w:numPr>
          <w:ilvl w:val="0"/>
          <w:numId w:val="235"/>
        </w:numPr>
        <w:tabs>
          <w:tab w:val="left" w:pos="820"/>
        </w:tabs>
        <w:ind w:left="820" w:hanging="348"/>
        <w:rPr>
          <w:rFonts w:eastAsia="Times New Roman"/>
          <w:szCs w:val="24"/>
        </w:rPr>
      </w:pPr>
      <w:r w:rsidRPr="00B826D2">
        <w:rPr>
          <w:rFonts w:eastAsia="Times New Roman"/>
          <w:szCs w:val="24"/>
        </w:rPr>
        <w:t>rovnost šancí pro všechny</w:t>
      </w:r>
    </w:p>
    <w:p w14:paraId="4A6F407A" w14:textId="77777777" w:rsidR="00906FCE" w:rsidRPr="00FC3B7C" w:rsidRDefault="00906FCE" w:rsidP="00D46B53">
      <w:pPr>
        <w:numPr>
          <w:ilvl w:val="0"/>
          <w:numId w:val="235"/>
        </w:numPr>
        <w:tabs>
          <w:tab w:val="left" w:pos="824"/>
        </w:tabs>
        <w:ind w:left="840" w:right="140" w:hanging="368"/>
        <w:rPr>
          <w:rFonts w:eastAsia="Times New Roman"/>
          <w:szCs w:val="24"/>
        </w:rPr>
      </w:pPr>
      <w:r w:rsidRPr="00FC3B7C">
        <w:rPr>
          <w:rFonts w:eastAsia="Times New Roman"/>
          <w:szCs w:val="24"/>
        </w:rPr>
        <w:lastRenderedPageBreak/>
        <w:t>spotřeba veřejných statků (např. obrana, bezpečnost, sociální smír, vzdělání, zdravotní péče, právní ochrana, péče o životní prostředí, sociální práva a jistoty)</w:t>
      </w:r>
    </w:p>
    <w:p w14:paraId="4A6F407B" w14:textId="37BDDE4E" w:rsidR="00906FCE" w:rsidRPr="00B826D2" w:rsidRDefault="00906FCE" w:rsidP="00D46B53">
      <w:pPr>
        <w:numPr>
          <w:ilvl w:val="0"/>
          <w:numId w:val="235"/>
        </w:numPr>
        <w:tabs>
          <w:tab w:val="left" w:pos="820"/>
        </w:tabs>
        <w:ind w:left="820" w:hanging="348"/>
        <w:rPr>
          <w:sz w:val="20"/>
          <w:szCs w:val="20"/>
        </w:rPr>
      </w:pPr>
      <w:r w:rsidRPr="00B826D2">
        <w:rPr>
          <w:rFonts w:eastAsia="Times New Roman"/>
          <w:szCs w:val="24"/>
        </w:rPr>
        <w:t>odstranění deformací primárního rozdělování</w:t>
      </w:r>
      <w:r w:rsidR="00B826D2" w:rsidRPr="00B826D2">
        <w:rPr>
          <w:rFonts w:eastAsia="Times New Roman"/>
          <w:szCs w:val="24"/>
        </w:rPr>
        <w:t xml:space="preserve">. </w:t>
      </w:r>
      <w:r w:rsidR="00BC6716" w:rsidRPr="00B826D2">
        <w:rPr>
          <w:rFonts w:eastAsia="Times New Roman"/>
          <w:szCs w:val="24"/>
        </w:rPr>
        <w:t>Tržní</w:t>
      </w:r>
      <w:r w:rsidR="00B826D2" w:rsidRPr="00B826D2">
        <w:rPr>
          <w:rFonts w:eastAsia="Times New Roman"/>
          <w:szCs w:val="24"/>
        </w:rPr>
        <w:t xml:space="preserve"> mechanismus je poruchový - </w:t>
      </w:r>
      <w:r w:rsidRPr="00B826D2">
        <w:rPr>
          <w:rFonts w:eastAsia="Times New Roman"/>
          <w:szCs w:val="24"/>
        </w:rPr>
        <w:t>selhání trhu, zejména z důvodů neexistence dokonalé konkurence</w:t>
      </w:r>
      <w:bookmarkStart w:id="264" w:name="page259"/>
      <w:bookmarkEnd w:id="264"/>
    </w:p>
    <w:p w14:paraId="4A6F407C" w14:textId="77777777" w:rsidR="00B826D2" w:rsidRDefault="00B826D2" w:rsidP="00B826D2">
      <w:pPr>
        <w:tabs>
          <w:tab w:val="left" w:pos="820"/>
        </w:tabs>
        <w:spacing w:line="200" w:lineRule="exact"/>
        <w:ind w:left="820"/>
        <w:rPr>
          <w:rFonts w:eastAsia="Times New Roman"/>
          <w:szCs w:val="24"/>
        </w:rPr>
      </w:pPr>
    </w:p>
    <w:p w14:paraId="4A6F407D" w14:textId="77777777" w:rsidR="00B826D2" w:rsidRPr="00B826D2" w:rsidRDefault="00B826D2" w:rsidP="00B826D2">
      <w:pPr>
        <w:tabs>
          <w:tab w:val="left" w:pos="820"/>
        </w:tabs>
        <w:spacing w:line="200" w:lineRule="exact"/>
        <w:ind w:left="820"/>
        <w:rPr>
          <w:sz w:val="20"/>
          <w:szCs w:val="20"/>
        </w:rPr>
      </w:pPr>
    </w:p>
    <w:p w14:paraId="4A6F407E" w14:textId="7EF4461B" w:rsidR="00906FCE" w:rsidRPr="003738DA" w:rsidRDefault="004A163A" w:rsidP="003738DA">
      <w:pPr>
        <w:pStyle w:val="Nadpis3"/>
        <w:rPr>
          <w:sz w:val="20"/>
          <w:szCs w:val="20"/>
        </w:rPr>
      </w:pPr>
      <w:r>
        <w:rPr>
          <w:rFonts w:eastAsia="Times New Roman"/>
        </w:rPr>
        <w:t xml:space="preserve"> </w:t>
      </w:r>
      <w:r w:rsidR="00906FCE" w:rsidRPr="004A163A">
        <w:rPr>
          <w:rFonts w:eastAsia="Times New Roman"/>
          <w:color w:val="1F3864" w:themeColor="accent1" w:themeShade="80"/>
        </w:rPr>
        <w:t>Výsledek přerozdělování</w:t>
      </w:r>
    </w:p>
    <w:p w14:paraId="4A6F4081" w14:textId="004AA978" w:rsidR="00906FCE" w:rsidRPr="00FC3B7C" w:rsidRDefault="00906FCE" w:rsidP="00D23426">
      <w:pPr>
        <w:ind w:firstLine="720"/>
        <w:rPr>
          <w:sz w:val="20"/>
          <w:szCs w:val="20"/>
        </w:rPr>
      </w:pPr>
      <w:r w:rsidRPr="00FC3B7C">
        <w:rPr>
          <w:rFonts w:eastAsia="Times New Roman"/>
        </w:rPr>
        <w:t>Konečné rozdělení důchodů, pro něž je typická menší nerovnost než pro prvotní rozdělení.</w:t>
      </w:r>
      <w:r w:rsidR="00D23426">
        <w:rPr>
          <w:sz w:val="20"/>
          <w:szCs w:val="20"/>
        </w:rPr>
        <w:t xml:space="preserve"> </w:t>
      </w:r>
      <w:r w:rsidRPr="00FC3B7C">
        <w:rPr>
          <w:rFonts w:eastAsia="Times New Roman"/>
        </w:rPr>
        <w:t>Důležitá je míra přerozdělování.</w:t>
      </w:r>
    </w:p>
    <w:p w14:paraId="4A6F4082" w14:textId="77777777" w:rsidR="00906FCE" w:rsidRPr="00FC3B7C" w:rsidRDefault="00906FCE" w:rsidP="00906FCE">
      <w:pPr>
        <w:spacing w:line="278" w:lineRule="exact"/>
        <w:rPr>
          <w:sz w:val="20"/>
          <w:szCs w:val="20"/>
        </w:rPr>
      </w:pPr>
    </w:p>
    <w:p w14:paraId="4A6F4083" w14:textId="7C328074" w:rsidR="00906FCE" w:rsidRPr="004A163A" w:rsidRDefault="004A163A" w:rsidP="003738DA">
      <w:pPr>
        <w:pStyle w:val="Nadpis3"/>
        <w:rPr>
          <w:color w:val="1F3864" w:themeColor="accent1" w:themeShade="80"/>
          <w:sz w:val="20"/>
          <w:szCs w:val="20"/>
        </w:rPr>
      </w:pPr>
      <w:r>
        <w:rPr>
          <w:rFonts w:eastAsia="Times New Roman"/>
          <w:color w:val="1F3864" w:themeColor="accent1" w:themeShade="80"/>
        </w:rPr>
        <w:t xml:space="preserve"> </w:t>
      </w:r>
      <w:r w:rsidR="00906FCE" w:rsidRPr="004A163A">
        <w:rPr>
          <w:rFonts w:eastAsia="Times New Roman"/>
          <w:color w:val="1F3864" w:themeColor="accent1" w:themeShade="80"/>
        </w:rPr>
        <w:t>Nástroje přerozdělování</w:t>
      </w:r>
    </w:p>
    <w:p w14:paraId="4A6F4084" w14:textId="77777777" w:rsidR="00906FCE" w:rsidRPr="004A163A" w:rsidRDefault="00906FCE" w:rsidP="003738DA">
      <w:pPr>
        <w:pStyle w:val="Nadpis4"/>
        <w:rPr>
          <w:color w:val="1F3864" w:themeColor="accent1" w:themeShade="80"/>
          <w:sz w:val="20"/>
          <w:szCs w:val="20"/>
        </w:rPr>
      </w:pPr>
      <w:r w:rsidRPr="004A163A">
        <w:rPr>
          <w:rFonts w:eastAsia="Times New Roman"/>
          <w:color w:val="1F3864" w:themeColor="accent1" w:themeShade="80"/>
        </w:rPr>
        <w:t>Souhrnný veřejný rozpočet</w:t>
      </w:r>
    </w:p>
    <w:p w14:paraId="4A6F4085" w14:textId="77777777" w:rsidR="00906FCE" w:rsidRPr="00FC3B7C" w:rsidRDefault="00906FCE" w:rsidP="00906FCE">
      <w:pPr>
        <w:spacing w:line="165" w:lineRule="exact"/>
        <w:rPr>
          <w:sz w:val="20"/>
          <w:szCs w:val="20"/>
        </w:rPr>
      </w:pPr>
    </w:p>
    <w:p w14:paraId="4A6F4086" w14:textId="77777777" w:rsidR="00906FCE" w:rsidRPr="00FC3B7C" w:rsidRDefault="00906FCE" w:rsidP="00D23426">
      <w:pPr>
        <w:ind w:left="472" w:firstLine="720"/>
        <w:rPr>
          <w:rFonts w:eastAsia="Times New Roman"/>
        </w:rPr>
      </w:pPr>
      <w:r w:rsidRPr="00FC3B7C">
        <w:rPr>
          <w:rFonts w:eastAsia="Times New Roman"/>
        </w:rPr>
        <w:t>K aktivnímu provádění přerozdělovací politiky využívá příjmovou i výdajovou stránku, nejvýznamnější nástroje:</w:t>
      </w:r>
    </w:p>
    <w:p w14:paraId="4A6F4087" w14:textId="77777777" w:rsidR="00906FCE" w:rsidRPr="00FC3B7C" w:rsidRDefault="00906FCE" w:rsidP="00906FCE">
      <w:pPr>
        <w:spacing w:line="254" w:lineRule="auto"/>
        <w:ind w:left="120" w:right="720"/>
        <w:rPr>
          <w:sz w:val="20"/>
          <w:szCs w:val="20"/>
        </w:rPr>
      </w:pPr>
    </w:p>
    <w:p w14:paraId="4A6F4088" w14:textId="77777777" w:rsidR="00906FCE" w:rsidRPr="00FC3B7C" w:rsidRDefault="00906FCE" w:rsidP="00906FCE">
      <w:pPr>
        <w:spacing w:line="1" w:lineRule="exact"/>
        <w:rPr>
          <w:sz w:val="20"/>
          <w:szCs w:val="20"/>
        </w:rPr>
      </w:pPr>
    </w:p>
    <w:p w14:paraId="4A6F4089" w14:textId="2AE31AFA" w:rsidR="00906FCE" w:rsidRPr="00FC3B7C" w:rsidRDefault="00906FCE" w:rsidP="00D46B53">
      <w:pPr>
        <w:numPr>
          <w:ilvl w:val="0"/>
          <w:numId w:val="236"/>
        </w:numPr>
        <w:tabs>
          <w:tab w:val="left" w:pos="824"/>
        </w:tabs>
        <w:ind w:left="840" w:right="1180" w:hanging="368"/>
        <w:rPr>
          <w:rFonts w:eastAsia="Times New Roman"/>
          <w:szCs w:val="24"/>
        </w:rPr>
      </w:pPr>
      <w:r w:rsidRPr="00FC3B7C">
        <w:rPr>
          <w:rFonts w:eastAsia="Times New Roman"/>
          <w:b/>
          <w:bCs/>
          <w:szCs w:val="24"/>
        </w:rPr>
        <w:t>sociální zabezpečení</w:t>
      </w:r>
      <w:r w:rsidR="00BC6716">
        <w:rPr>
          <w:rFonts w:eastAsia="Times New Roman"/>
          <w:b/>
          <w:bCs/>
          <w:szCs w:val="24"/>
        </w:rPr>
        <w:t xml:space="preserve"> </w:t>
      </w:r>
      <w:r w:rsidRPr="00FC3B7C">
        <w:rPr>
          <w:rFonts w:eastAsia="Times New Roman"/>
          <w:b/>
          <w:bCs/>
          <w:szCs w:val="24"/>
        </w:rPr>
        <w:t>-</w:t>
      </w:r>
      <w:r w:rsidR="00BC6716">
        <w:rPr>
          <w:rFonts w:eastAsia="Times New Roman"/>
          <w:b/>
          <w:bCs/>
          <w:szCs w:val="24"/>
        </w:rPr>
        <w:t xml:space="preserve"> </w:t>
      </w:r>
      <w:r w:rsidRPr="00FC3B7C">
        <w:rPr>
          <w:rFonts w:eastAsia="Times New Roman"/>
          <w:szCs w:val="24"/>
        </w:rPr>
        <w:t>pojištění v nezaměstnanosti, pojištění nemocenské a</w:t>
      </w:r>
      <w:r w:rsidRPr="00FC3B7C">
        <w:rPr>
          <w:rFonts w:eastAsia="Times New Roman"/>
          <w:b/>
          <w:bCs/>
          <w:szCs w:val="24"/>
        </w:rPr>
        <w:t xml:space="preserve"> </w:t>
      </w:r>
      <w:r w:rsidRPr="00FC3B7C">
        <w:rPr>
          <w:rFonts w:eastAsia="Times New Roman"/>
          <w:szCs w:val="24"/>
        </w:rPr>
        <w:t>důchodové</w:t>
      </w:r>
    </w:p>
    <w:p w14:paraId="4A6F408A" w14:textId="77777777" w:rsidR="00906FCE" w:rsidRPr="00FC3B7C" w:rsidRDefault="00906FCE" w:rsidP="00D46B53">
      <w:pPr>
        <w:numPr>
          <w:ilvl w:val="0"/>
          <w:numId w:val="236"/>
        </w:numPr>
        <w:tabs>
          <w:tab w:val="left" w:pos="824"/>
        </w:tabs>
        <w:ind w:left="840" w:right="220" w:hanging="368"/>
        <w:rPr>
          <w:rFonts w:eastAsia="Times New Roman"/>
          <w:szCs w:val="24"/>
        </w:rPr>
      </w:pPr>
      <w:r w:rsidRPr="00FC3B7C">
        <w:rPr>
          <w:rFonts w:eastAsia="Times New Roman"/>
          <w:b/>
          <w:bCs/>
          <w:szCs w:val="24"/>
        </w:rPr>
        <w:t xml:space="preserve">státní sociální podpora </w:t>
      </w:r>
      <w:r w:rsidRPr="00FC3B7C">
        <w:rPr>
          <w:rFonts w:eastAsia="Times New Roman"/>
          <w:bCs/>
          <w:szCs w:val="24"/>
        </w:rPr>
        <w:t>–</w:t>
      </w:r>
      <w:r w:rsidRPr="00FC3B7C">
        <w:rPr>
          <w:rFonts w:eastAsia="Times New Roman"/>
          <w:b/>
          <w:bCs/>
          <w:szCs w:val="24"/>
        </w:rPr>
        <w:t xml:space="preserve"> </w:t>
      </w:r>
      <w:r w:rsidRPr="00FC3B7C">
        <w:rPr>
          <w:rFonts w:eastAsia="Times New Roman"/>
          <w:bCs/>
          <w:szCs w:val="24"/>
        </w:rPr>
        <w:t>přídavek</w:t>
      </w:r>
      <w:r w:rsidRPr="00FC3B7C">
        <w:rPr>
          <w:rFonts w:eastAsia="Times New Roman"/>
          <w:b/>
          <w:bCs/>
          <w:szCs w:val="24"/>
        </w:rPr>
        <w:t xml:space="preserve"> </w:t>
      </w:r>
      <w:r w:rsidRPr="00FC3B7C">
        <w:rPr>
          <w:rFonts w:eastAsia="Times New Roman"/>
          <w:szCs w:val="24"/>
        </w:rPr>
        <w:t>na dítě, sociální příplatek, příspěvek na bydlení,</w:t>
      </w:r>
      <w:r w:rsidRPr="00FC3B7C">
        <w:rPr>
          <w:rFonts w:eastAsia="Times New Roman"/>
          <w:b/>
          <w:bCs/>
          <w:szCs w:val="24"/>
        </w:rPr>
        <w:t xml:space="preserve"> </w:t>
      </w:r>
      <w:r w:rsidRPr="00FC3B7C">
        <w:rPr>
          <w:rFonts w:eastAsia="Times New Roman"/>
          <w:szCs w:val="24"/>
        </w:rPr>
        <w:t>rodičovský příspěvek, dávky pěstounské péče, porodné, pohřebné</w:t>
      </w:r>
    </w:p>
    <w:p w14:paraId="4A6F408B" w14:textId="77777777" w:rsidR="00906FCE" w:rsidRPr="00FC3B7C" w:rsidRDefault="00906FCE" w:rsidP="00D46B53">
      <w:pPr>
        <w:numPr>
          <w:ilvl w:val="0"/>
          <w:numId w:val="236"/>
        </w:numPr>
        <w:tabs>
          <w:tab w:val="left" w:pos="824"/>
        </w:tabs>
        <w:ind w:left="840" w:right="840" w:hanging="368"/>
        <w:rPr>
          <w:rFonts w:eastAsia="Times New Roman"/>
          <w:szCs w:val="24"/>
        </w:rPr>
      </w:pPr>
      <w:r w:rsidRPr="00FC3B7C">
        <w:rPr>
          <w:rFonts w:eastAsia="Times New Roman"/>
          <w:b/>
          <w:bCs/>
          <w:szCs w:val="24"/>
        </w:rPr>
        <w:t>progresivní zdanění příjmů</w:t>
      </w:r>
      <w:r w:rsidRPr="00FC3B7C">
        <w:rPr>
          <w:rFonts w:eastAsia="Times New Roman"/>
          <w:szCs w:val="24"/>
        </w:rPr>
        <w:t>-vyšší mezní daňové sazby pro vysoko příjmové</w:t>
      </w:r>
      <w:r w:rsidRPr="00FC3B7C">
        <w:rPr>
          <w:rFonts w:eastAsia="Times New Roman"/>
          <w:b/>
          <w:bCs/>
          <w:szCs w:val="24"/>
        </w:rPr>
        <w:t xml:space="preserve"> </w:t>
      </w:r>
      <w:r w:rsidRPr="00FC3B7C">
        <w:rPr>
          <w:rFonts w:eastAsia="Times New Roman"/>
          <w:szCs w:val="24"/>
        </w:rPr>
        <w:t>domácnosti</w:t>
      </w:r>
    </w:p>
    <w:p w14:paraId="4A6F408C" w14:textId="77777777" w:rsidR="003738DA" w:rsidRDefault="00906FCE" w:rsidP="00D46B53">
      <w:pPr>
        <w:numPr>
          <w:ilvl w:val="0"/>
          <w:numId w:val="236"/>
        </w:numPr>
        <w:tabs>
          <w:tab w:val="left" w:pos="824"/>
        </w:tabs>
        <w:ind w:left="840" w:right="640" w:hanging="368"/>
        <w:rPr>
          <w:rFonts w:eastAsia="Times New Roman"/>
          <w:szCs w:val="24"/>
        </w:rPr>
      </w:pPr>
      <w:r w:rsidRPr="00FC3B7C">
        <w:rPr>
          <w:rFonts w:eastAsia="Times New Roman"/>
          <w:b/>
          <w:bCs/>
          <w:szCs w:val="24"/>
        </w:rPr>
        <w:t>minimální příjmové veličiny – minimální mzda</w:t>
      </w:r>
      <w:r w:rsidRPr="00FC3B7C">
        <w:rPr>
          <w:rFonts w:eastAsia="Times New Roman"/>
          <w:szCs w:val="24"/>
        </w:rPr>
        <w:t>,</w:t>
      </w:r>
      <w:r w:rsidRPr="00FC3B7C">
        <w:rPr>
          <w:rFonts w:eastAsia="Times New Roman"/>
          <w:b/>
          <w:bCs/>
          <w:szCs w:val="24"/>
        </w:rPr>
        <w:t xml:space="preserve"> </w:t>
      </w:r>
      <w:r w:rsidRPr="00FC3B7C">
        <w:rPr>
          <w:rFonts w:eastAsia="Times New Roman"/>
          <w:szCs w:val="24"/>
        </w:rPr>
        <w:t>životní minimum, existenční</w:t>
      </w:r>
      <w:r w:rsidRPr="00FC3B7C">
        <w:rPr>
          <w:rFonts w:eastAsia="Times New Roman"/>
          <w:b/>
          <w:bCs/>
          <w:szCs w:val="24"/>
        </w:rPr>
        <w:t xml:space="preserve"> </w:t>
      </w:r>
      <w:r w:rsidRPr="00FC3B7C">
        <w:rPr>
          <w:rFonts w:eastAsia="Times New Roman"/>
          <w:szCs w:val="24"/>
        </w:rPr>
        <w:t>minimum</w:t>
      </w:r>
    </w:p>
    <w:p w14:paraId="4A6F408D" w14:textId="77777777" w:rsidR="003738DA" w:rsidRPr="003738DA" w:rsidRDefault="003738DA" w:rsidP="00D46B53">
      <w:pPr>
        <w:numPr>
          <w:ilvl w:val="0"/>
          <w:numId w:val="236"/>
        </w:numPr>
        <w:tabs>
          <w:tab w:val="left" w:pos="824"/>
        </w:tabs>
        <w:ind w:left="840" w:right="640" w:hanging="368"/>
        <w:rPr>
          <w:rFonts w:eastAsia="Times New Roman"/>
          <w:szCs w:val="24"/>
        </w:rPr>
      </w:pPr>
    </w:p>
    <w:p w14:paraId="4A6F408E" w14:textId="77777777" w:rsidR="00906FCE" w:rsidRPr="004A163A" w:rsidRDefault="00906FCE" w:rsidP="003738DA">
      <w:pPr>
        <w:pStyle w:val="Nadpis4"/>
        <w:rPr>
          <w:color w:val="1F3864" w:themeColor="accent1" w:themeShade="80"/>
          <w:sz w:val="20"/>
          <w:szCs w:val="20"/>
        </w:rPr>
      </w:pPr>
      <w:r w:rsidRPr="004A163A">
        <w:rPr>
          <w:rFonts w:eastAsia="Times New Roman"/>
          <w:color w:val="1F3864" w:themeColor="accent1" w:themeShade="80"/>
        </w:rPr>
        <w:t>Para fiskální (mimorozpočtové) systémy</w:t>
      </w:r>
    </w:p>
    <w:p w14:paraId="4A6F408F" w14:textId="77777777" w:rsidR="00906FCE" w:rsidRPr="00FC3B7C" w:rsidRDefault="00906FCE" w:rsidP="00906FCE">
      <w:pPr>
        <w:spacing w:line="165" w:lineRule="exact"/>
        <w:rPr>
          <w:sz w:val="20"/>
          <w:szCs w:val="20"/>
        </w:rPr>
      </w:pPr>
    </w:p>
    <w:p w14:paraId="4A6F4090" w14:textId="77777777" w:rsidR="00906FCE" w:rsidRDefault="00906FCE" w:rsidP="00D23426">
      <w:pPr>
        <w:ind w:left="568" w:firstLine="720"/>
        <w:rPr>
          <w:rFonts w:eastAsia="Times New Roman"/>
        </w:rPr>
      </w:pPr>
      <w:r w:rsidRPr="00FC3B7C">
        <w:rPr>
          <w:rFonts w:eastAsia="Times New Roman"/>
        </w:rPr>
        <w:t>Instituce, které naplňují úkoly v rámci „veřejného zájmu“ - veřejné zdravotní, pojišťovny, neziskové organizace, nadace, náboženské organizace.</w:t>
      </w:r>
    </w:p>
    <w:p w14:paraId="4A6F4091" w14:textId="77777777" w:rsidR="003738DA" w:rsidRPr="00FC3B7C" w:rsidRDefault="003738DA" w:rsidP="003738DA">
      <w:pPr>
        <w:rPr>
          <w:sz w:val="20"/>
          <w:szCs w:val="20"/>
        </w:rPr>
      </w:pPr>
    </w:p>
    <w:p w14:paraId="4A6F4092" w14:textId="77777777" w:rsidR="00906FCE" w:rsidRPr="00FC3B7C" w:rsidRDefault="00906FCE" w:rsidP="00906FCE">
      <w:pPr>
        <w:spacing w:line="251" w:lineRule="exact"/>
        <w:rPr>
          <w:sz w:val="20"/>
          <w:szCs w:val="20"/>
        </w:rPr>
      </w:pPr>
    </w:p>
    <w:p w14:paraId="4A6F4093" w14:textId="77777777" w:rsidR="00906FCE" w:rsidRPr="00FC3B7C" w:rsidRDefault="00906FCE" w:rsidP="003738DA">
      <w:pPr>
        <w:pStyle w:val="Nadpis4"/>
        <w:rPr>
          <w:rFonts w:eastAsia="Times New Roman"/>
        </w:rPr>
      </w:pPr>
      <w:r w:rsidRPr="00FC3B7C">
        <w:rPr>
          <w:rFonts w:eastAsia="Times New Roman"/>
        </w:rPr>
        <w:t>Právní úpravy některých podmínek přerozdělování</w:t>
      </w:r>
    </w:p>
    <w:p w14:paraId="4A6F4094" w14:textId="77777777" w:rsidR="00906FCE" w:rsidRPr="00FC3B7C" w:rsidRDefault="00906FCE" w:rsidP="00906FCE">
      <w:pPr>
        <w:spacing w:line="33" w:lineRule="exact"/>
        <w:rPr>
          <w:sz w:val="20"/>
          <w:szCs w:val="20"/>
        </w:rPr>
      </w:pPr>
    </w:p>
    <w:p w14:paraId="4A6F4096" w14:textId="1315A284" w:rsidR="00906FCE" w:rsidRPr="00D23426" w:rsidRDefault="00906FCE" w:rsidP="00D23426">
      <w:pPr>
        <w:ind w:left="568" w:firstLine="720"/>
        <w:rPr>
          <w:sz w:val="20"/>
          <w:szCs w:val="20"/>
        </w:rPr>
      </w:pPr>
      <w:r w:rsidRPr="00FC3B7C">
        <w:rPr>
          <w:rFonts w:eastAsia="Times New Roman"/>
        </w:rPr>
        <w:t>Týká se zejména trhu práce, stát reguluje a stanovuje pravidla pro jeho fungování jako např.</w:t>
      </w:r>
      <w:r w:rsidR="00D23426">
        <w:rPr>
          <w:sz w:val="20"/>
          <w:szCs w:val="20"/>
        </w:rPr>
        <w:t xml:space="preserve"> </w:t>
      </w:r>
      <w:r w:rsidR="00D23426">
        <w:rPr>
          <w:rFonts w:eastAsia="Times New Roman"/>
        </w:rPr>
        <w:t>z</w:t>
      </w:r>
      <w:r w:rsidRPr="00FC3B7C">
        <w:rPr>
          <w:rFonts w:eastAsia="Times New Roman"/>
        </w:rPr>
        <w:t>ákonná délka pracovní doby, nárok na nemocenskou atd.</w:t>
      </w:r>
    </w:p>
    <w:p w14:paraId="4A6F4097" w14:textId="77777777" w:rsidR="003738DA" w:rsidRDefault="003738DA" w:rsidP="003738DA">
      <w:pPr>
        <w:rPr>
          <w:rFonts w:eastAsia="Times New Roman"/>
        </w:rPr>
      </w:pPr>
    </w:p>
    <w:p w14:paraId="4A6F4098" w14:textId="77777777" w:rsidR="003738DA" w:rsidRPr="00FC3B7C" w:rsidRDefault="003738DA" w:rsidP="003738DA">
      <w:pPr>
        <w:rPr>
          <w:sz w:val="20"/>
          <w:szCs w:val="20"/>
        </w:rPr>
      </w:pPr>
    </w:p>
    <w:p w14:paraId="4A6F4099" w14:textId="77777777" w:rsidR="00906FCE" w:rsidRPr="00FC3B7C" w:rsidRDefault="00906FCE" w:rsidP="00906FCE">
      <w:pPr>
        <w:spacing w:line="341" w:lineRule="exact"/>
        <w:rPr>
          <w:sz w:val="20"/>
          <w:szCs w:val="20"/>
        </w:rPr>
      </w:pPr>
    </w:p>
    <w:p w14:paraId="4A6F409C" w14:textId="14060D46" w:rsidR="00906FCE" w:rsidRPr="004A163A" w:rsidRDefault="00906FCE" w:rsidP="00D23426">
      <w:pPr>
        <w:pStyle w:val="Nadpis4"/>
        <w:rPr>
          <w:color w:val="1F3864" w:themeColor="accent1" w:themeShade="80"/>
          <w:sz w:val="20"/>
          <w:szCs w:val="20"/>
        </w:rPr>
      </w:pPr>
      <w:r w:rsidRPr="004A163A">
        <w:rPr>
          <w:rFonts w:eastAsia="Times New Roman"/>
          <w:color w:val="1F3864" w:themeColor="accent1" w:themeShade="80"/>
        </w:rPr>
        <w:t>Účast státu v jednáních mezi jednotlivými sociálními partnery</w:t>
      </w:r>
    </w:p>
    <w:p w14:paraId="4A6F409D" w14:textId="77777777" w:rsidR="00906FCE" w:rsidRPr="00FC3B7C" w:rsidRDefault="00906FCE" w:rsidP="00D23426">
      <w:pPr>
        <w:ind w:left="568" w:firstLine="720"/>
        <w:rPr>
          <w:sz w:val="20"/>
          <w:szCs w:val="20"/>
        </w:rPr>
      </w:pPr>
      <w:r w:rsidRPr="00FC3B7C">
        <w:rPr>
          <w:rFonts w:eastAsia="Times New Roman"/>
        </w:rPr>
        <w:t>Tripartita – stát vstupuje do procesu vyjednávání mezi zaměstnavateli a zaměstnanci reprezentovanými odbory.</w:t>
      </w:r>
      <w:r w:rsidR="003738DA">
        <w:rPr>
          <w:rStyle w:val="Znakapoznpodarou"/>
          <w:sz w:val="20"/>
          <w:szCs w:val="20"/>
        </w:rPr>
        <w:footnoteReference w:id="42"/>
      </w:r>
    </w:p>
    <w:p w14:paraId="4A6F409E" w14:textId="77777777" w:rsidR="00906FCE" w:rsidRPr="00FC3B7C" w:rsidRDefault="00906FCE" w:rsidP="00906FCE">
      <w:pPr>
        <w:spacing w:line="20" w:lineRule="exact"/>
        <w:rPr>
          <w:sz w:val="20"/>
          <w:szCs w:val="20"/>
        </w:rPr>
      </w:pPr>
    </w:p>
    <w:p w14:paraId="4A6F409F" w14:textId="77777777" w:rsidR="00906FCE" w:rsidRPr="00FC3B7C" w:rsidRDefault="00906FCE" w:rsidP="00906FCE">
      <w:pPr>
        <w:spacing w:line="200" w:lineRule="exact"/>
        <w:rPr>
          <w:sz w:val="20"/>
          <w:szCs w:val="20"/>
        </w:rPr>
      </w:pPr>
    </w:p>
    <w:p w14:paraId="4A6F40A1" w14:textId="3876CBB7" w:rsidR="00906FCE" w:rsidRPr="004A163A" w:rsidRDefault="004A163A" w:rsidP="001D2E9D">
      <w:pPr>
        <w:pStyle w:val="Nadpis3"/>
        <w:rPr>
          <w:color w:val="1F3864" w:themeColor="accent1" w:themeShade="80"/>
          <w:sz w:val="20"/>
          <w:szCs w:val="20"/>
        </w:rPr>
      </w:pPr>
      <w:bookmarkStart w:id="265" w:name="page260"/>
      <w:bookmarkEnd w:id="265"/>
      <w:r w:rsidRPr="004A163A">
        <w:rPr>
          <w:rFonts w:eastAsia="Times New Roman"/>
          <w:color w:val="1F3864" w:themeColor="accent1" w:themeShade="80"/>
        </w:rPr>
        <w:t xml:space="preserve"> </w:t>
      </w:r>
      <w:r w:rsidR="00906FCE" w:rsidRPr="004A163A">
        <w:rPr>
          <w:rFonts w:eastAsia="Times New Roman"/>
          <w:color w:val="1F3864" w:themeColor="accent1" w:themeShade="80"/>
        </w:rPr>
        <w:t>Míra redistribuce</w:t>
      </w:r>
    </w:p>
    <w:p w14:paraId="4A6F40A2" w14:textId="77777777" w:rsidR="00906FCE" w:rsidRPr="00FC3B7C" w:rsidRDefault="00906FCE" w:rsidP="00906FCE">
      <w:pPr>
        <w:spacing w:line="226" w:lineRule="exact"/>
        <w:rPr>
          <w:sz w:val="20"/>
          <w:szCs w:val="20"/>
        </w:rPr>
      </w:pPr>
    </w:p>
    <w:p w14:paraId="4A6F40A3" w14:textId="77777777" w:rsidR="00906FCE" w:rsidRPr="00FC3B7C" w:rsidRDefault="00906FCE" w:rsidP="00D23426">
      <w:pPr>
        <w:ind w:firstLine="720"/>
        <w:rPr>
          <w:sz w:val="20"/>
          <w:szCs w:val="20"/>
        </w:rPr>
      </w:pPr>
      <w:r w:rsidRPr="00FC3B7C">
        <w:rPr>
          <w:rFonts w:eastAsia="Times New Roman"/>
        </w:rPr>
        <w:t xml:space="preserve">Závisí např. na ekonomické situaci a vyspělosti, citlivosti k sociálním problémům, vnímání sociální spravedlnosti, tradicích a zvyklostech, politické stabilitě atd. Příliš </w:t>
      </w:r>
      <w:r w:rsidRPr="00FC3B7C">
        <w:rPr>
          <w:rFonts w:eastAsia="Times New Roman"/>
          <w:b/>
          <w:bCs/>
        </w:rPr>
        <w:t xml:space="preserve">vysoká </w:t>
      </w:r>
      <w:r w:rsidRPr="00FC3B7C">
        <w:rPr>
          <w:rFonts w:eastAsia="Times New Roman"/>
        </w:rPr>
        <w:t xml:space="preserve">míra přerozdělování oslabuje podněty k práci a podnikání, zatímco příliš </w:t>
      </w:r>
      <w:r w:rsidRPr="00FC3B7C">
        <w:rPr>
          <w:rFonts w:eastAsia="Times New Roman"/>
          <w:b/>
          <w:bCs/>
        </w:rPr>
        <w:t xml:space="preserve">nízká </w:t>
      </w:r>
      <w:r w:rsidRPr="00FC3B7C">
        <w:rPr>
          <w:rFonts w:eastAsia="Times New Roman"/>
        </w:rPr>
        <w:t>míra přerozdělování může oslabit stabilitu a rozvoj společnosti.</w:t>
      </w:r>
    </w:p>
    <w:p w14:paraId="4A6F40A4" w14:textId="77777777" w:rsidR="00906FCE" w:rsidRPr="00FC3B7C" w:rsidRDefault="00906FCE" w:rsidP="00906FCE">
      <w:pPr>
        <w:spacing w:line="1" w:lineRule="exact"/>
        <w:rPr>
          <w:sz w:val="20"/>
          <w:szCs w:val="20"/>
        </w:rPr>
      </w:pPr>
    </w:p>
    <w:p w14:paraId="4A6F40A5" w14:textId="77777777" w:rsidR="00906FCE" w:rsidRPr="00FC3B7C" w:rsidRDefault="00906FCE" w:rsidP="001D2E9D">
      <w:pPr>
        <w:rPr>
          <w:rFonts w:eastAsia="Times New Roman"/>
          <w:b/>
          <w:bCs/>
        </w:rPr>
      </w:pPr>
      <w:r w:rsidRPr="00FC3B7C">
        <w:rPr>
          <w:rFonts w:eastAsia="Times New Roman"/>
          <w:b/>
          <w:bCs/>
        </w:rPr>
        <w:t xml:space="preserve">Daňová kvóta </w:t>
      </w:r>
      <w:r w:rsidRPr="00FC3B7C">
        <w:rPr>
          <w:rFonts w:eastAsia="Times New Roman"/>
        </w:rPr>
        <w:t>– celkový rozsah přerozdělení = podíl daní, tj. státního rozpočtu na HDP</w:t>
      </w:r>
      <w:r w:rsidRPr="00FC3B7C">
        <w:rPr>
          <w:rFonts w:eastAsia="Times New Roman"/>
          <w:b/>
          <w:bCs/>
        </w:rPr>
        <w:t xml:space="preserve"> </w:t>
      </w:r>
    </w:p>
    <w:p w14:paraId="4A6F40A6" w14:textId="658EBAF1" w:rsidR="00906FCE" w:rsidRPr="00FC3B7C" w:rsidRDefault="00906FCE" w:rsidP="001D2E9D">
      <w:pPr>
        <w:rPr>
          <w:sz w:val="20"/>
          <w:szCs w:val="20"/>
        </w:rPr>
      </w:pPr>
      <w:r w:rsidRPr="00FC3B7C">
        <w:rPr>
          <w:rFonts w:eastAsia="Times New Roman"/>
          <w:b/>
          <w:bCs/>
        </w:rPr>
        <w:t>Progresivní míra zdanění</w:t>
      </w:r>
      <w:r w:rsidR="00BC6716">
        <w:rPr>
          <w:rFonts w:eastAsia="Times New Roman"/>
          <w:b/>
          <w:bCs/>
        </w:rPr>
        <w:t xml:space="preserve"> </w:t>
      </w:r>
      <w:r w:rsidRPr="00FC3B7C">
        <w:rPr>
          <w:rFonts w:eastAsia="Times New Roman"/>
        </w:rPr>
        <w:t>– přímé a nepřímé danosti</w:t>
      </w:r>
    </w:p>
    <w:p w14:paraId="4A6F40A7" w14:textId="77777777" w:rsidR="00906FCE" w:rsidRPr="00FC3B7C" w:rsidRDefault="00906FCE" w:rsidP="00906FCE">
      <w:pPr>
        <w:spacing w:line="397" w:lineRule="exact"/>
        <w:rPr>
          <w:sz w:val="20"/>
          <w:szCs w:val="20"/>
        </w:rPr>
      </w:pPr>
    </w:p>
    <w:p w14:paraId="4A6F40A8" w14:textId="407202C6" w:rsidR="00906FCE" w:rsidRPr="00FC3B7C" w:rsidRDefault="004A163A" w:rsidP="001D2E9D">
      <w:pPr>
        <w:pStyle w:val="Nadpis3"/>
        <w:rPr>
          <w:sz w:val="20"/>
          <w:szCs w:val="20"/>
        </w:rPr>
      </w:pPr>
      <w:r>
        <w:rPr>
          <w:rFonts w:eastAsia="Times New Roman"/>
        </w:rPr>
        <w:t xml:space="preserve"> </w:t>
      </w:r>
      <w:r w:rsidR="00906FCE" w:rsidRPr="004A163A">
        <w:rPr>
          <w:rFonts w:eastAsia="Times New Roman"/>
          <w:color w:val="1F3864" w:themeColor="accent1" w:themeShade="80"/>
        </w:rPr>
        <w:t>Pohledy na politiku přerozdělování</w:t>
      </w:r>
    </w:p>
    <w:p w14:paraId="4A6F40A9" w14:textId="77777777" w:rsidR="00906FCE" w:rsidRPr="00FC3B7C" w:rsidRDefault="00906FCE" w:rsidP="00906FCE">
      <w:pPr>
        <w:spacing w:line="226" w:lineRule="exact"/>
        <w:rPr>
          <w:sz w:val="20"/>
          <w:szCs w:val="20"/>
        </w:rPr>
      </w:pPr>
    </w:p>
    <w:p w14:paraId="4A6F40AA" w14:textId="77777777" w:rsidR="00906FCE" w:rsidRPr="00FC3B7C" w:rsidRDefault="00906FCE" w:rsidP="00D46B53">
      <w:pPr>
        <w:numPr>
          <w:ilvl w:val="0"/>
          <w:numId w:val="237"/>
        </w:numPr>
        <w:tabs>
          <w:tab w:val="left" w:pos="824"/>
        </w:tabs>
        <w:ind w:left="840" w:right="140" w:hanging="368"/>
        <w:rPr>
          <w:rFonts w:eastAsia="Times New Roman"/>
          <w:szCs w:val="24"/>
        </w:rPr>
      </w:pPr>
      <w:r w:rsidRPr="00FC3B7C">
        <w:rPr>
          <w:rFonts w:eastAsia="Times New Roman"/>
          <w:b/>
          <w:szCs w:val="24"/>
        </w:rPr>
        <w:t xml:space="preserve">Model demokratického socialismu </w:t>
      </w:r>
      <w:r w:rsidRPr="00FC3B7C">
        <w:rPr>
          <w:rFonts w:eastAsia="Times New Roman"/>
          <w:szCs w:val="24"/>
        </w:rPr>
        <w:t>– údajné nedostatky kapitalismu nahrazuje iniciací státu, prosazuje sociální pojištění, sociální spravedlnost či rovnost.</w:t>
      </w:r>
    </w:p>
    <w:p w14:paraId="4A6F40AB" w14:textId="77777777" w:rsidR="00906FCE" w:rsidRPr="00FC3B7C" w:rsidRDefault="00906FCE" w:rsidP="00D46B53">
      <w:pPr>
        <w:numPr>
          <w:ilvl w:val="0"/>
          <w:numId w:val="237"/>
        </w:numPr>
        <w:tabs>
          <w:tab w:val="left" w:pos="824"/>
        </w:tabs>
        <w:ind w:left="840" w:right="400" w:hanging="368"/>
        <w:rPr>
          <w:rFonts w:eastAsia="Times New Roman"/>
          <w:szCs w:val="24"/>
        </w:rPr>
      </w:pPr>
      <w:r w:rsidRPr="00FC3B7C">
        <w:rPr>
          <w:rFonts w:eastAsia="Times New Roman"/>
          <w:b/>
          <w:szCs w:val="24"/>
        </w:rPr>
        <w:t>Model sociálnědemokratický</w:t>
      </w:r>
      <w:r w:rsidRPr="00FC3B7C">
        <w:rPr>
          <w:rFonts w:eastAsia="Times New Roman"/>
          <w:szCs w:val="24"/>
        </w:rPr>
        <w:t xml:space="preserve"> – nižší míra redistribuce, důraz na svobodu, sociální spravedlnost, participace, solidarity, snaha o sociální rovnost. Výkonový typ.</w:t>
      </w:r>
    </w:p>
    <w:p w14:paraId="4A6F40AC" w14:textId="77777777" w:rsidR="00906FCE" w:rsidRPr="00FC3B7C" w:rsidRDefault="00906FCE" w:rsidP="00D46B53">
      <w:pPr>
        <w:numPr>
          <w:ilvl w:val="0"/>
          <w:numId w:val="237"/>
        </w:numPr>
        <w:tabs>
          <w:tab w:val="left" w:pos="824"/>
        </w:tabs>
        <w:ind w:left="840" w:right="180" w:hanging="368"/>
        <w:rPr>
          <w:rFonts w:eastAsia="Times New Roman"/>
          <w:szCs w:val="24"/>
        </w:rPr>
      </w:pPr>
      <w:r w:rsidRPr="00FC3B7C">
        <w:rPr>
          <w:rFonts w:eastAsia="Times New Roman"/>
          <w:b/>
          <w:szCs w:val="24"/>
        </w:rPr>
        <w:t>Model sociálně liberální</w:t>
      </w:r>
      <w:r w:rsidRPr="00FC3B7C">
        <w:rPr>
          <w:rFonts w:eastAsia="Times New Roman"/>
          <w:szCs w:val="24"/>
        </w:rPr>
        <w:t xml:space="preserve"> – zásahy státu na nezbytném minimu, míra redistribuce je limitována, sociální nerovnost je přirozený stav, omezení solidarity a důraz na osobní zodpovědnost. Reziduální typ.</w:t>
      </w:r>
    </w:p>
    <w:p w14:paraId="4A6F40AD" w14:textId="77777777" w:rsidR="00906FCE" w:rsidRPr="004B6CDE" w:rsidRDefault="00906FCE" w:rsidP="00906FCE">
      <w:pPr>
        <w:spacing w:line="390" w:lineRule="exact"/>
        <w:rPr>
          <w:color w:val="1F3864" w:themeColor="accent1" w:themeShade="80"/>
          <w:sz w:val="20"/>
          <w:szCs w:val="20"/>
        </w:rPr>
      </w:pPr>
    </w:p>
    <w:p w14:paraId="4A6F40AE" w14:textId="77777777" w:rsidR="00906FCE" w:rsidRPr="004B6CDE" w:rsidRDefault="00906FCE" w:rsidP="001D2E9D">
      <w:pPr>
        <w:pStyle w:val="Nadpis2"/>
        <w:rPr>
          <w:color w:val="1F3864" w:themeColor="accent1" w:themeShade="80"/>
          <w:szCs w:val="28"/>
        </w:rPr>
      </w:pPr>
      <w:r w:rsidRPr="004B6CDE">
        <w:rPr>
          <w:rFonts w:eastAsia="Times New Roman"/>
          <w:color w:val="1F3864" w:themeColor="accent1" w:themeShade="80"/>
          <w:szCs w:val="28"/>
        </w:rPr>
        <w:t>SOCIÁLNÍ SPRAVEDLNOST</w:t>
      </w:r>
    </w:p>
    <w:p w14:paraId="4A6F40AF" w14:textId="77777777" w:rsidR="00906FCE" w:rsidRPr="00FC3B7C" w:rsidRDefault="00906FCE" w:rsidP="00906FCE">
      <w:pPr>
        <w:spacing w:line="74" w:lineRule="exact"/>
        <w:rPr>
          <w:sz w:val="20"/>
          <w:szCs w:val="20"/>
        </w:rPr>
      </w:pPr>
    </w:p>
    <w:p w14:paraId="4A6F40B2" w14:textId="43AD7DC0" w:rsidR="00906FCE" w:rsidRPr="00711B32" w:rsidRDefault="00906FCE" w:rsidP="00711B32">
      <w:pPr>
        <w:ind w:firstLine="720"/>
        <w:rPr>
          <w:sz w:val="20"/>
          <w:szCs w:val="20"/>
        </w:rPr>
      </w:pPr>
      <w:r w:rsidRPr="00FC3B7C">
        <w:rPr>
          <w:rFonts w:eastAsia="Times New Roman"/>
        </w:rPr>
        <w:t>Vláda se při provádění přerozdělovací politiky, tedy snižování rozdílů v důchodech, ocitá v konfliktu mezi cíli hospodářské efektivnosti a sociální spravedlnosti.</w:t>
      </w:r>
      <w:r w:rsidR="00711B32">
        <w:rPr>
          <w:sz w:val="20"/>
          <w:szCs w:val="20"/>
        </w:rPr>
        <w:t xml:space="preserve"> </w:t>
      </w:r>
      <w:r w:rsidRPr="00FC3B7C">
        <w:rPr>
          <w:rFonts w:eastAsia="Times New Roman"/>
        </w:rPr>
        <w:t xml:space="preserve">Sociální spravedlnost představuje pravidla, podle nichž jsou ve společnosti rozdělovány příjmy, bohatství a životní příležitosti (vzdělání, zdrav. péče, uplatnění na trhu práce). Největší </w:t>
      </w:r>
      <w:r w:rsidRPr="00FC3B7C">
        <w:rPr>
          <w:rFonts w:eastAsia="Times New Roman"/>
        </w:rPr>
        <w:lastRenderedPageBreak/>
        <w:t>problém je vymezení pojmu spravedlnost, protože co je spravedlivé pro jednoho, nemusí byt spravedlivé pro druhého.</w:t>
      </w:r>
    </w:p>
    <w:p w14:paraId="4A6F40B3" w14:textId="77777777" w:rsidR="00906FCE" w:rsidRPr="00FC3B7C" w:rsidRDefault="00906FCE" w:rsidP="00906FCE">
      <w:pPr>
        <w:ind w:left="120" w:right="460"/>
        <w:rPr>
          <w:sz w:val="20"/>
          <w:szCs w:val="20"/>
        </w:rPr>
      </w:pPr>
    </w:p>
    <w:p w14:paraId="4A6F40B4" w14:textId="77777777" w:rsidR="00906FCE" w:rsidRPr="00FC3B7C" w:rsidRDefault="00906FCE" w:rsidP="00D46B53">
      <w:pPr>
        <w:numPr>
          <w:ilvl w:val="0"/>
          <w:numId w:val="238"/>
        </w:numPr>
        <w:tabs>
          <w:tab w:val="left" w:pos="820"/>
        </w:tabs>
        <w:ind w:left="820" w:hanging="348"/>
        <w:rPr>
          <w:rFonts w:eastAsia="Times New Roman"/>
          <w:szCs w:val="24"/>
        </w:rPr>
      </w:pPr>
      <w:r w:rsidRPr="00FC3B7C">
        <w:rPr>
          <w:rFonts w:eastAsia="Times New Roman"/>
          <w:szCs w:val="24"/>
        </w:rPr>
        <w:t>Základní princip sociální politiky</w:t>
      </w:r>
    </w:p>
    <w:p w14:paraId="4A6F40B5" w14:textId="77777777" w:rsidR="00906FCE" w:rsidRPr="00FC3B7C" w:rsidRDefault="00906FCE" w:rsidP="00D46B53">
      <w:pPr>
        <w:numPr>
          <w:ilvl w:val="0"/>
          <w:numId w:val="238"/>
        </w:numPr>
        <w:tabs>
          <w:tab w:val="left" w:pos="820"/>
        </w:tabs>
        <w:ind w:left="820" w:hanging="348"/>
        <w:rPr>
          <w:rFonts w:eastAsia="Times New Roman"/>
          <w:szCs w:val="24"/>
        </w:rPr>
      </w:pPr>
      <w:r w:rsidRPr="00FC3B7C">
        <w:rPr>
          <w:rFonts w:eastAsia="Times New Roman"/>
          <w:szCs w:val="24"/>
        </w:rPr>
        <w:t>Pojem spojený s procesy přerozdělování příjmů, šancí a majetku</w:t>
      </w:r>
    </w:p>
    <w:p w14:paraId="4A6F40B6" w14:textId="77777777" w:rsidR="00906FCE" w:rsidRPr="00FC3B7C" w:rsidRDefault="00906FCE" w:rsidP="00D46B53">
      <w:pPr>
        <w:numPr>
          <w:ilvl w:val="0"/>
          <w:numId w:val="238"/>
        </w:numPr>
        <w:tabs>
          <w:tab w:val="left" w:pos="824"/>
        </w:tabs>
        <w:ind w:left="840" w:right="180" w:hanging="368"/>
        <w:rPr>
          <w:rFonts w:eastAsia="Times New Roman"/>
          <w:szCs w:val="24"/>
        </w:rPr>
      </w:pPr>
      <w:r w:rsidRPr="00FC3B7C">
        <w:rPr>
          <w:rFonts w:eastAsia="Times New Roman"/>
          <w:szCs w:val="24"/>
        </w:rPr>
        <w:t>Způsob, jakým společnost rozděluje předpoklady a prostředky k vytvoření suverenity a bezpečí svých občanů</w:t>
      </w:r>
    </w:p>
    <w:p w14:paraId="4A6F40B7" w14:textId="77777777" w:rsidR="00906FCE" w:rsidRPr="00FC3B7C" w:rsidRDefault="00906FCE" w:rsidP="00D46B53">
      <w:pPr>
        <w:numPr>
          <w:ilvl w:val="0"/>
          <w:numId w:val="238"/>
        </w:numPr>
        <w:tabs>
          <w:tab w:val="left" w:pos="824"/>
        </w:tabs>
        <w:ind w:left="840" w:right="680" w:hanging="368"/>
        <w:rPr>
          <w:rFonts w:eastAsia="Times New Roman"/>
          <w:szCs w:val="24"/>
        </w:rPr>
      </w:pPr>
      <w:r w:rsidRPr="00FC3B7C">
        <w:rPr>
          <w:rFonts w:eastAsia="Times New Roman"/>
          <w:szCs w:val="24"/>
        </w:rPr>
        <w:t>Nelze obecně určit co je sociálně spravedlivé, záleží to pouze na společenském vnímání tohoto pojmu</w:t>
      </w:r>
    </w:p>
    <w:p w14:paraId="4A6F40B8" w14:textId="77777777" w:rsidR="00906FCE" w:rsidRPr="00FC3B7C" w:rsidRDefault="00906FCE" w:rsidP="00906FCE">
      <w:pPr>
        <w:pStyle w:val="Odstavecseseznamem"/>
        <w:rPr>
          <w:rFonts w:eastAsia="Times New Roman"/>
          <w:szCs w:val="24"/>
        </w:rPr>
      </w:pPr>
    </w:p>
    <w:p w14:paraId="4A6F40B9" w14:textId="77777777" w:rsidR="00906FCE" w:rsidRPr="00FC3B7C" w:rsidRDefault="00906FCE" w:rsidP="00906FCE">
      <w:pPr>
        <w:spacing w:line="150" w:lineRule="exact"/>
        <w:rPr>
          <w:sz w:val="20"/>
          <w:szCs w:val="20"/>
        </w:rPr>
      </w:pPr>
      <w:bookmarkStart w:id="266" w:name="page261"/>
      <w:bookmarkEnd w:id="266"/>
    </w:p>
    <w:p w14:paraId="4A6F40BA" w14:textId="70E130DB" w:rsidR="00906FCE" w:rsidRPr="00FC3B7C" w:rsidRDefault="004A163A" w:rsidP="001D2E9D">
      <w:pPr>
        <w:pStyle w:val="Nadpis3"/>
        <w:rPr>
          <w:sz w:val="20"/>
          <w:szCs w:val="20"/>
        </w:rPr>
      </w:pPr>
      <w:r>
        <w:rPr>
          <w:rFonts w:eastAsia="Times New Roman"/>
        </w:rPr>
        <w:t xml:space="preserve"> </w:t>
      </w:r>
      <w:r w:rsidR="00906FCE" w:rsidRPr="004A163A">
        <w:rPr>
          <w:rFonts w:eastAsia="Times New Roman"/>
          <w:color w:val="1F3864" w:themeColor="accent1" w:themeShade="80"/>
        </w:rPr>
        <w:t>Základní principy spravedlnosti</w:t>
      </w:r>
    </w:p>
    <w:p w14:paraId="4A6F40BB" w14:textId="77777777" w:rsidR="00906FCE" w:rsidRPr="00FC3B7C" w:rsidRDefault="00906FCE" w:rsidP="00906FCE">
      <w:pPr>
        <w:spacing w:line="231" w:lineRule="exact"/>
        <w:rPr>
          <w:sz w:val="20"/>
          <w:szCs w:val="20"/>
        </w:rPr>
      </w:pPr>
    </w:p>
    <w:p w14:paraId="4A6F40BC" w14:textId="77777777" w:rsidR="00906FCE" w:rsidRPr="00FC3B7C" w:rsidRDefault="00906FCE" w:rsidP="00D46B53">
      <w:pPr>
        <w:numPr>
          <w:ilvl w:val="0"/>
          <w:numId w:val="239"/>
        </w:numPr>
        <w:tabs>
          <w:tab w:val="left" w:pos="820"/>
        </w:tabs>
        <w:ind w:left="820" w:hanging="348"/>
        <w:rPr>
          <w:rFonts w:eastAsia="Times New Roman"/>
          <w:szCs w:val="24"/>
        </w:rPr>
      </w:pPr>
      <w:r w:rsidRPr="00FC3B7C">
        <w:rPr>
          <w:rFonts w:eastAsia="Times New Roman"/>
          <w:szCs w:val="24"/>
        </w:rPr>
        <w:t>princip zásluhovosti</w:t>
      </w:r>
    </w:p>
    <w:p w14:paraId="4A6F40BD" w14:textId="77777777" w:rsidR="00906FCE" w:rsidRPr="00FC3B7C" w:rsidRDefault="00906FCE" w:rsidP="00D46B53">
      <w:pPr>
        <w:numPr>
          <w:ilvl w:val="0"/>
          <w:numId w:val="239"/>
        </w:numPr>
        <w:tabs>
          <w:tab w:val="left" w:pos="820"/>
        </w:tabs>
        <w:ind w:left="820" w:hanging="348"/>
        <w:rPr>
          <w:rFonts w:eastAsia="Times New Roman"/>
          <w:szCs w:val="24"/>
        </w:rPr>
      </w:pPr>
      <w:r w:rsidRPr="00FC3B7C">
        <w:rPr>
          <w:rFonts w:eastAsia="Times New Roman"/>
          <w:szCs w:val="24"/>
        </w:rPr>
        <w:t>princip potřebnosti</w:t>
      </w:r>
    </w:p>
    <w:p w14:paraId="4A6F40BE" w14:textId="77777777" w:rsidR="00906FCE" w:rsidRPr="00FC3B7C" w:rsidRDefault="00906FCE" w:rsidP="00D46B53">
      <w:pPr>
        <w:numPr>
          <w:ilvl w:val="0"/>
          <w:numId w:val="239"/>
        </w:numPr>
        <w:tabs>
          <w:tab w:val="left" w:pos="820"/>
        </w:tabs>
        <w:ind w:left="820" w:hanging="348"/>
        <w:rPr>
          <w:rFonts w:eastAsia="Times New Roman"/>
          <w:szCs w:val="24"/>
        </w:rPr>
      </w:pPr>
      <w:r w:rsidRPr="00FC3B7C">
        <w:rPr>
          <w:rFonts w:eastAsia="Times New Roman"/>
          <w:szCs w:val="24"/>
        </w:rPr>
        <w:t>princip rovnosti v odměně-všichni by měli dostávat stejně nebo alespoň skoro stejně</w:t>
      </w:r>
    </w:p>
    <w:p w14:paraId="4A6F40BF" w14:textId="77777777" w:rsidR="00906FCE" w:rsidRPr="00FC3B7C" w:rsidRDefault="00906FCE" w:rsidP="00D46B53">
      <w:pPr>
        <w:numPr>
          <w:ilvl w:val="0"/>
          <w:numId w:val="239"/>
        </w:numPr>
        <w:tabs>
          <w:tab w:val="left" w:pos="820"/>
        </w:tabs>
        <w:ind w:left="820" w:hanging="348"/>
        <w:rPr>
          <w:rFonts w:eastAsia="Times New Roman"/>
          <w:szCs w:val="24"/>
        </w:rPr>
      </w:pPr>
      <w:r w:rsidRPr="00FC3B7C">
        <w:rPr>
          <w:rFonts w:eastAsia="Times New Roman"/>
          <w:szCs w:val="24"/>
        </w:rPr>
        <w:t>princip rovnosti příležitostí</w:t>
      </w:r>
    </w:p>
    <w:p w14:paraId="4A6F40C0" w14:textId="77777777" w:rsidR="00906FCE" w:rsidRPr="00FC3B7C" w:rsidRDefault="00906FCE" w:rsidP="00D46B53">
      <w:pPr>
        <w:numPr>
          <w:ilvl w:val="0"/>
          <w:numId w:val="239"/>
        </w:numPr>
        <w:tabs>
          <w:tab w:val="left" w:pos="820"/>
        </w:tabs>
        <w:ind w:left="820" w:hanging="348"/>
        <w:rPr>
          <w:rFonts w:eastAsia="Times New Roman"/>
          <w:szCs w:val="24"/>
        </w:rPr>
      </w:pPr>
      <w:r w:rsidRPr="00FC3B7C">
        <w:rPr>
          <w:rFonts w:eastAsia="Times New Roman"/>
          <w:szCs w:val="24"/>
        </w:rPr>
        <w:t>princip souladu mezi ”vstupy a výstupy”</w:t>
      </w:r>
    </w:p>
    <w:p w14:paraId="4A6F40C1" w14:textId="77777777" w:rsidR="00906FCE" w:rsidRPr="00FC3B7C" w:rsidRDefault="00906FCE" w:rsidP="00906FCE">
      <w:pPr>
        <w:spacing w:line="200" w:lineRule="exact"/>
        <w:rPr>
          <w:sz w:val="20"/>
          <w:szCs w:val="20"/>
        </w:rPr>
      </w:pPr>
    </w:p>
    <w:p w14:paraId="4A6F40C2" w14:textId="77777777" w:rsidR="00906FCE" w:rsidRPr="00FC3B7C" w:rsidRDefault="00906FCE" w:rsidP="00906FCE">
      <w:pPr>
        <w:spacing w:line="278" w:lineRule="exact"/>
        <w:rPr>
          <w:sz w:val="20"/>
          <w:szCs w:val="20"/>
        </w:rPr>
      </w:pPr>
    </w:p>
    <w:p w14:paraId="4A6F40C3" w14:textId="77777777" w:rsidR="00906FCE" w:rsidRPr="00FC3B7C" w:rsidRDefault="00906FCE" w:rsidP="00711B32">
      <w:pPr>
        <w:ind w:firstLine="720"/>
        <w:rPr>
          <w:sz w:val="20"/>
          <w:szCs w:val="20"/>
        </w:rPr>
      </w:pPr>
      <w:r w:rsidRPr="00FC3B7C">
        <w:rPr>
          <w:rFonts w:eastAsia="Times New Roman"/>
        </w:rPr>
        <w:t>To, který z těchto principů je považován za dominantní, je podmíněno povahou sociální situace v dané společnosti.</w:t>
      </w:r>
      <w:r w:rsidRPr="00FC3B7C">
        <w:rPr>
          <w:sz w:val="20"/>
          <w:szCs w:val="20"/>
        </w:rPr>
        <w:t xml:space="preserve"> </w:t>
      </w:r>
      <w:r w:rsidRPr="00FC3B7C">
        <w:rPr>
          <w:rFonts w:eastAsia="Times New Roman"/>
        </w:rPr>
        <w:t>Pokud je hlavním cílem zvýšení produktivity nebo celkové efektivity systému, roste význam výkonového či zásluhového principu.</w:t>
      </w:r>
    </w:p>
    <w:p w14:paraId="4A6F40C4" w14:textId="77777777" w:rsidR="00906FCE" w:rsidRPr="00FC3B7C" w:rsidRDefault="00906FCE" w:rsidP="00711B32">
      <w:pPr>
        <w:ind w:firstLine="720"/>
        <w:rPr>
          <w:sz w:val="20"/>
          <w:szCs w:val="20"/>
        </w:rPr>
      </w:pPr>
      <w:r w:rsidRPr="00FC3B7C">
        <w:rPr>
          <w:rFonts w:eastAsia="Times New Roman"/>
        </w:rPr>
        <w:t>V situaci, kdy jde o zachování určité sociální harmonie nebo o její dosažení, důraz se přesouvá na princip rovnosti.</w:t>
      </w:r>
      <w:r w:rsidRPr="00FC3B7C">
        <w:rPr>
          <w:sz w:val="20"/>
          <w:szCs w:val="20"/>
        </w:rPr>
        <w:t xml:space="preserve"> </w:t>
      </w:r>
      <w:r w:rsidRPr="00FC3B7C">
        <w:rPr>
          <w:rFonts w:eastAsia="Times New Roman"/>
        </w:rPr>
        <w:t>Princip potřeby se stává dominantním tehdy, je-li cílem dosažení více či méně vyrovnané úrovně standardu pro všechny, kteří se nacházejí v určitých sociálních situacích.</w:t>
      </w:r>
      <w:r w:rsidRPr="00FC3B7C">
        <w:rPr>
          <w:sz w:val="20"/>
          <w:szCs w:val="20"/>
        </w:rPr>
        <w:t xml:space="preserve"> </w:t>
      </w:r>
    </w:p>
    <w:p w14:paraId="4A6F40C5" w14:textId="77777777" w:rsidR="00906FCE" w:rsidRPr="00FC3B7C" w:rsidRDefault="00906FCE" w:rsidP="00711B32">
      <w:pPr>
        <w:ind w:firstLine="720"/>
        <w:rPr>
          <w:sz w:val="20"/>
          <w:szCs w:val="20"/>
        </w:rPr>
      </w:pPr>
      <w:r w:rsidRPr="00FC3B7C">
        <w:rPr>
          <w:rFonts w:eastAsia="Times New Roman"/>
        </w:rPr>
        <w:t>Ani v relativně stabilních společnostech se nelze opřít o předpoklad existence pouze jednoho dominantního principu distribuční spravedlnosti, na kterém by byl založen jak proces přerozdělování, tak vnímání nerovností, které z něho plynou.</w:t>
      </w:r>
    </w:p>
    <w:p w14:paraId="4A6F40C6" w14:textId="77777777" w:rsidR="00906FCE" w:rsidRPr="00FC3B7C" w:rsidRDefault="00906FCE" w:rsidP="00711B32">
      <w:pPr>
        <w:ind w:firstLine="576"/>
        <w:rPr>
          <w:sz w:val="20"/>
          <w:szCs w:val="20"/>
        </w:rPr>
      </w:pPr>
      <w:r w:rsidRPr="00FC3B7C">
        <w:rPr>
          <w:rFonts w:eastAsia="Times New Roman"/>
        </w:rPr>
        <w:t>Na straně druhé, uplatňování jenom jednoho principu by mohlo generovat další nespravedlnosti: např. všem stejně je nevýhodné pro ekonomicky aktivní, pro lidi se specifickými např. zdravotními potřebami, zásluhový princip je zase nevýhodný pro jakkoli handicapované lidi.</w:t>
      </w:r>
    </w:p>
    <w:p w14:paraId="4A6F40C7" w14:textId="77777777" w:rsidR="00906FCE" w:rsidRPr="00FC3B7C" w:rsidRDefault="00906FCE" w:rsidP="00906FCE">
      <w:pPr>
        <w:spacing w:line="386" w:lineRule="exact"/>
        <w:rPr>
          <w:sz w:val="20"/>
          <w:szCs w:val="20"/>
        </w:rPr>
      </w:pPr>
    </w:p>
    <w:p w14:paraId="4A6F40C8" w14:textId="77777777" w:rsidR="001D2E9D" w:rsidRPr="004B6CDE" w:rsidRDefault="00906FCE" w:rsidP="00906FCE">
      <w:pPr>
        <w:pStyle w:val="Nadpis2"/>
        <w:rPr>
          <w:rFonts w:eastAsia="Times New Roman"/>
          <w:color w:val="1F3864" w:themeColor="accent1" w:themeShade="80"/>
          <w:sz w:val="27"/>
          <w:szCs w:val="27"/>
        </w:rPr>
      </w:pPr>
      <w:r w:rsidRPr="004B6CDE">
        <w:rPr>
          <w:rFonts w:eastAsia="Times New Roman"/>
          <w:color w:val="1F3864" w:themeColor="accent1" w:themeShade="80"/>
        </w:rPr>
        <w:lastRenderedPageBreak/>
        <w:t>C</w:t>
      </w:r>
      <w:r w:rsidRPr="004B6CDE">
        <w:rPr>
          <w:rFonts w:eastAsia="Times New Roman"/>
          <w:color w:val="1F3864" w:themeColor="accent1" w:themeShade="80"/>
          <w:sz w:val="27"/>
          <w:szCs w:val="27"/>
        </w:rPr>
        <w:t>HUDOBA</w:t>
      </w:r>
    </w:p>
    <w:p w14:paraId="4A6F40C9" w14:textId="77777777" w:rsidR="001D2E9D" w:rsidRPr="001D2E9D" w:rsidRDefault="001D2E9D" w:rsidP="001D2E9D"/>
    <w:p w14:paraId="4A6F40CA" w14:textId="77777777" w:rsidR="00906FCE" w:rsidRPr="00FC3B7C" w:rsidRDefault="00906FCE" w:rsidP="00711B32">
      <w:pPr>
        <w:ind w:firstLine="576"/>
        <w:rPr>
          <w:sz w:val="20"/>
          <w:szCs w:val="20"/>
        </w:rPr>
      </w:pPr>
      <w:r w:rsidRPr="00FC3B7C">
        <w:rPr>
          <w:rFonts w:eastAsia="Times New Roman"/>
        </w:rPr>
        <w:t>Chudoba označuje sociální status člověka vyznačující se hmotným nedostatkem. Pojem chudoba se spojuje zejména s životními poměry lidí v rozvojových zemích a používá se pro stav, který nezajišťuje člověku základní podmínky pro důstojný život a uspokojení nejzákladnějších lidských potřeb. Je spojen se značnou hmotnou nouzí, nedostatkem potravin, špatným přístupem ke zdravotní péči atd.</w:t>
      </w:r>
    </w:p>
    <w:p w14:paraId="4A6F40CB" w14:textId="77777777" w:rsidR="00906FCE" w:rsidRPr="00FC3B7C" w:rsidRDefault="00906FCE" w:rsidP="00906FCE">
      <w:pPr>
        <w:rPr>
          <w:sz w:val="20"/>
          <w:szCs w:val="20"/>
        </w:rPr>
      </w:pPr>
    </w:p>
    <w:p w14:paraId="4A6F40CC" w14:textId="33CCDEE0" w:rsidR="00906FCE" w:rsidRPr="004B6CDE" w:rsidRDefault="00906FCE" w:rsidP="00711B32">
      <w:pPr>
        <w:ind w:firstLine="576"/>
        <w:rPr>
          <w:sz w:val="20"/>
          <w:szCs w:val="20"/>
        </w:rPr>
      </w:pPr>
      <w:r w:rsidRPr="00FC3B7C">
        <w:rPr>
          <w:rFonts w:eastAsia="Times New Roman"/>
          <w:b/>
          <w:bCs/>
        </w:rPr>
        <w:t xml:space="preserve">Klasifikace chudoby podle Světové </w:t>
      </w:r>
      <w:r w:rsidRPr="004B6CDE">
        <w:rPr>
          <w:rFonts w:eastAsia="Times New Roman"/>
          <w:b/>
          <w:bCs/>
        </w:rPr>
        <w:t xml:space="preserve">banky </w:t>
      </w:r>
      <w:r w:rsidRPr="004B6CDE">
        <w:rPr>
          <w:rFonts w:eastAsia="Times New Roman"/>
        </w:rPr>
        <w:t>–</w:t>
      </w:r>
      <w:r w:rsidR="0023251A" w:rsidRPr="004B6CDE">
        <w:rPr>
          <w:rFonts w:eastAsia="Times New Roman"/>
        </w:rPr>
        <w:t xml:space="preserve"> hranice denních příjmů na osobu je nižší než</w:t>
      </w:r>
      <w:r w:rsidR="0023251A" w:rsidRPr="004B6CDE">
        <w:rPr>
          <w:rFonts w:eastAsia="Times New Roman"/>
          <w:b/>
          <w:bCs/>
        </w:rPr>
        <w:t xml:space="preserve"> </w:t>
      </w:r>
      <w:r w:rsidR="0023251A" w:rsidRPr="004B6CDE">
        <w:rPr>
          <w:rFonts w:eastAsia="Times New Roman"/>
        </w:rPr>
        <w:t>1.90 USD (v r. 2015 to bylo 736 milionů lidí, nejvíce v Subsaharské Africe a JV Asii).</w:t>
      </w:r>
    </w:p>
    <w:p w14:paraId="4A6F40CD" w14:textId="77777777" w:rsidR="00906FCE" w:rsidRPr="00FC3B7C" w:rsidRDefault="00906FCE" w:rsidP="001D2E9D">
      <w:pPr>
        <w:rPr>
          <w:sz w:val="20"/>
          <w:szCs w:val="20"/>
        </w:rPr>
      </w:pPr>
      <w:bookmarkStart w:id="267" w:name="page262"/>
      <w:bookmarkEnd w:id="267"/>
      <w:r w:rsidRPr="004B6CDE">
        <w:rPr>
          <w:rFonts w:eastAsia="Times New Roman"/>
        </w:rPr>
        <w:t xml:space="preserve">Za chudé jsou považovány státy, v nichž HDP v přepočtu na obyvatele </w:t>
      </w:r>
      <w:r w:rsidRPr="00FC3B7C">
        <w:rPr>
          <w:rFonts w:eastAsia="Times New Roman"/>
        </w:rPr>
        <w:t>je nižší než 600 dolarů, takových států je dnes kolem 60.</w:t>
      </w:r>
    </w:p>
    <w:p w14:paraId="4A6F40CE" w14:textId="77777777" w:rsidR="001D2E9D" w:rsidRDefault="001D2E9D" w:rsidP="001D2E9D">
      <w:pPr>
        <w:rPr>
          <w:rFonts w:eastAsia="Times New Roman"/>
        </w:rPr>
      </w:pPr>
    </w:p>
    <w:p w14:paraId="4A6F40CF" w14:textId="77777777" w:rsidR="00906FCE" w:rsidRPr="00FC3B7C" w:rsidRDefault="00906FCE" w:rsidP="00711B32">
      <w:pPr>
        <w:ind w:firstLine="720"/>
        <w:rPr>
          <w:sz w:val="20"/>
          <w:szCs w:val="20"/>
        </w:rPr>
      </w:pPr>
      <w:r w:rsidRPr="00FC3B7C">
        <w:rPr>
          <w:rFonts w:eastAsia="Times New Roman"/>
        </w:rPr>
        <w:t>Chudobu a její následky řeší moderní státy ve značné míře pomocí rozvětveného systému různých dávek, podpor i služeb, které jsou financovány z veřejných rozpočtů. Z toho vzniká pro stát velké dilema: míra sociální nerovnosti vs. dlouhodobá ekonomická prosperita. Zásadní otázkou je, jaká nerovnost je přijatelná a opodstatněná z hlediska svých stimulačních dopadů na pobídku a efektivnost a jakými nástroji na nerovnost působit.</w:t>
      </w:r>
    </w:p>
    <w:p w14:paraId="4A6F40D0" w14:textId="77777777" w:rsidR="00906FCE" w:rsidRPr="00FC3B7C" w:rsidRDefault="00906FCE" w:rsidP="00906FCE">
      <w:pPr>
        <w:spacing w:line="200" w:lineRule="exact"/>
        <w:rPr>
          <w:sz w:val="20"/>
          <w:szCs w:val="20"/>
        </w:rPr>
      </w:pPr>
    </w:p>
    <w:p w14:paraId="4A6F40D1" w14:textId="77777777" w:rsidR="00906FCE" w:rsidRPr="00FC3B7C" w:rsidRDefault="00906FCE" w:rsidP="00906FCE">
      <w:pPr>
        <w:spacing w:line="274" w:lineRule="exact"/>
        <w:rPr>
          <w:sz w:val="20"/>
          <w:szCs w:val="20"/>
        </w:rPr>
      </w:pPr>
    </w:p>
    <w:p w14:paraId="4A6F40D2" w14:textId="6172B7F2" w:rsidR="001D2E9D" w:rsidRPr="004A163A" w:rsidRDefault="004A163A" w:rsidP="001D2E9D">
      <w:pPr>
        <w:pStyle w:val="Nadpis3"/>
        <w:rPr>
          <w:color w:val="1F3864" w:themeColor="accent1" w:themeShade="80"/>
          <w:sz w:val="20"/>
          <w:szCs w:val="20"/>
        </w:rPr>
      </w:pPr>
      <w:r>
        <w:rPr>
          <w:rFonts w:eastAsia="Times New Roman"/>
          <w:color w:val="1F3864" w:themeColor="accent1" w:themeShade="80"/>
        </w:rPr>
        <w:t xml:space="preserve"> </w:t>
      </w:r>
      <w:r w:rsidR="00906FCE" w:rsidRPr="004A163A">
        <w:rPr>
          <w:rFonts w:eastAsia="Times New Roman"/>
          <w:color w:val="1F3864" w:themeColor="accent1" w:themeShade="80"/>
        </w:rPr>
        <w:t>Koncept chudoby</w:t>
      </w:r>
    </w:p>
    <w:p w14:paraId="4A6F40D3" w14:textId="77777777" w:rsidR="00906FCE" w:rsidRPr="004A163A" w:rsidRDefault="00906FCE" w:rsidP="001D2E9D">
      <w:pPr>
        <w:pStyle w:val="Nadpis4"/>
        <w:rPr>
          <w:color w:val="1F3864" w:themeColor="accent1" w:themeShade="80"/>
          <w:sz w:val="20"/>
          <w:szCs w:val="20"/>
        </w:rPr>
      </w:pPr>
      <w:r w:rsidRPr="004A163A">
        <w:rPr>
          <w:rFonts w:eastAsia="Times New Roman"/>
          <w:color w:val="1F3864" w:themeColor="accent1" w:themeShade="80"/>
        </w:rPr>
        <w:t>Subjektivní chudoba</w:t>
      </w:r>
    </w:p>
    <w:p w14:paraId="4A6F40D4" w14:textId="12A37167" w:rsidR="00906FCE" w:rsidRPr="00FC3B7C" w:rsidRDefault="00906FCE" w:rsidP="00D46B53">
      <w:pPr>
        <w:numPr>
          <w:ilvl w:val="0"/>
          <w:numId w:val="240"/>
        </w:numPr>
        <w:ind w:left="142" w:right="880" w:hanging="142"/>
        <w:rPr>
          <w:rFonts w:eastAsia="Times New Roman"/>
          <w:szCs w:val="24"/>
        </w:rPr>
      </w:pPr>
      <w:r w:rsidRPr="00FC3B7C">
        <w:rPr>
          <w:rFonts w:eastAsia="Times New Roman"/>
          <w:szCs w:val="24"/>
        </w:rPr>
        <w:t>založen na hodnocení vlastní životní situace jedincem či domácností, zda se lidé subjektivně cítí být chudými</w:t>
      </w:r>
      <w:r w:rsidR="00FB4B26">
        <w:rPr>
          <w:rFonts w:eastAsia="Times New Roman"/>
          <w:szCs w:val="24"/>
        </w:rPr>
        <w:t>.</w:t>
      </w:r>
    </w:p>
    <w:p w14:paraId="4A6F40D7" w14:textId="23422C00" w:rsidR="00906FCE" w:rsidRPr="004A163A" w:rsidRDefault="00FB4B26" w:rsidP="00D46B53">
      <w:pPr>
        <w:numPr>
          <w:ilvl w:val="1"/>
          <w:numId w:val="240"/>
        </w:numPr>
        <w:ind w:left="142" w:right="640" w:hanging="142"/>
        <w:rPr>
          <w:rFonts w:eastAsia="Times New Roman"/>
          <w:szCs w:val="24"/>
        </w:rPr>
      </w:pPr>
      <w:r>
        <w:rPr>
          <w:rFonts w:eastAsia="Times New Roman"/>
          <w:szCs w:val="24"/>
        </w:rPr>
        <w:t>T</w:t>
      </w:r>
      <w:r w:rsidR="00906FCE" w:rsidRPr="00FC3B7C">
        <w:rPr>
          <w:rFonts w:eastAsia="Times New Roman"/>
          <w:szCs w:val="24"/>
        </w:rPr>
        <w:t>ento koncept není dostatečně přesný, někteří lidé se mohou cítit chudí, přestože nejsou, jiní mohou být chudými, aniž chudobu pociťují</w:t>
      </w:r>
      <w:r>
        <w:rPr>
          <w:rFonts w:eastAsia="Times New Roman"/>
          <w:szCs w:val="24"/>
        </w:rPr>
        <w:t xml:space="preserve"> </w:t>
      </w:r>
      <w:r w:rsidR="00906FCE" w:rsidRPr="00FC3B7C">
        <w:rPr>
          <w:rFonts w:eastAsia="Arial Unicode MS"/>
          <w:szCs w:val="24"/>
        </w:rPr>
        <w:t>→</w:t>
      </w:r>
      <w:r w:rsidR="00906FCE" w:rsidRPr="00FC3B7C">
        <w:rPr>
          <w:rFonts w:eastAsia="Times New Roman"/>
          <w:szCs w:val="24"/>
        </w:rPr>
        <w:t xml:space="preserve"> neslouží ke stanovení oficiálních hranic chudoby, přesto je cenný z hlediska vyjádření určité nálady ve společnosti.</w:t>
      </w:r>
    </w:p>
    <w:p w14:paraId="4A6F40D8" w14:textId="77777777" w:rsidR="00906FCE" w:rsidRPr="004A163A" w:rsidRDefault="00906FCE" w:rsidP="001D2E9D">
      <w:pPr>
        <w:pStyle w:val="Nadpis4"/>
        <w:rPr>
          <w:color w:val="1F3864" w:themeColor="accent1" w:themeShade="80"/>
          <w:sz w:val="20"/>
          <w:szCs w:val="20"/>
        </w:rPr>
      </w:pPr>
      <w:r w:rsidRPr="004A163A">
        <w:rPr>
          <w:rFonts w:eastAsia="Times New Roman"/>
          <w:color w:val="1F3864" w:themeColor="accent1" w:themeShade="80"/>
        </w:rPr>
        <w:t>Objektivní chudoba</w:t>
      </w:r>
    </w:p>
    <w:p w14:paraId="4A6F40D9" w14:textId="77777777" w:rsidR="00906FCE" w:rsidRPr="00FC3B7C" w:rsidRDefault="00906FCE" w:rsidP="00D46B53">
      <w:pPr>
        <w:numPr>
          <w:ilvl w:val="0"/>
          <w:numId w:val="241"/>
        </w:numPr>
        <w:ind w:left="142" w:hanging="206"/>
        <w:rPr>
          <w:rFonts w:eastAsia="Times New Roman"/>
          <w:szCs w:val="24"/>
        </w:rPr>
      </w:pPr>
      <w:r w:rsidRPr="00FC3B7C">
        <w:rPr>
          <w:rFonts w:eastAsia="Times New Roman"/>
          <w:szCs w:val="24"/>
        </w:rPr>
        <w:t>vychází z analýz sociálně ekonomických informací o souborech domácností</w:t>
      </w:r>
    </w:p>
    <w:p w14:paraId="4A6F40DA" w14:textId="77777777" w:rsidR="00906FCE" w:rsidRPr="00FC3B7C" w:rsidRDefault="00906FCE" w:rsidP="00D46B53">
      <w:pPr>
        <w:numPr>
          <w:ilvl w:val="0"/>
          <w:numId w:val="241"/>
        </w:numPr>
        <w:ind w:left="142" w:right="1280" w:hanging="206"/>
        <w:rPr>
          <w:rFonts w:eastAsia="Times New Roman"/>
          <w:szCs w:val="24"/>
        </w:rPr>
      </w:pPr>
      <w:r w:rsidRPr="00FC3B7C">
        <w:rPr>
          <w:rFonts w:eastAsia="Times New Roman"/>
          <w:szCs w:val="24"/>
        </w:rPr>
        <w:t xml:space="preserve">chudoba je tak stanovena určitou autoritou, zpravidla státem </w:t>
      </w:r>
      <w:r w:rsidR="001D2E9D">
        <w:rPr>
          <w:rFonts w:eastAsia="Times New Roman"/>
          <w:szCs w:val="24"/>
        </w:rPr>
        <w:br/>
      </w:r>
      <w:r w:rsidRPr="00FC3B7C">
        <w:rPr>
          <w:rFonts w:eastAsia="Times New Roman"/>
          <w:szCs w:val="24"/>
        </w:rPr>
        <w:t>a respektuje i makro ekonomické souvislosti</w:t>
      </w:r>
    </w:p>
    <w:p w14:paraId="4A6F40DB" w14:textId="77777777" w:rsidR="00906FCE" w:rsidRPr="00FC3B7C" w:rsidRDefault="00906FCE" w:rsidP="00906FCE">
      <w:pPr>
        <w:rPr>
          <w:rFonts w:eastAsia="Times New Roman"/>
          <w:szCs w:val="24"/>
        </w:rPr>
      </w:pPr>
    </w:p>
    <w:p w14:paraId="4A6F40DC" w14:textId="77777777" w:rsidR="00906FCE" w:rsidRPr="004A163A" w:rsidRDefault="00906FCE" w:rsidP="001D2E9D">
      <w:pPr>
        <w:pStyle w:val="Nadpis4"/>
        <w:rPr>
          <w:rFonts w:eastAsia="Times New Roman"/>
          <w:color w:val="1F3864" w:themeColor="accent1" w:themeShade="80"/>
        </w:rPr>
      </w:pPr>
      <w:r w:rsidRPr="004A163A">
        <w:rPr>
          <w:rFonts w:eastAsia="Times New Roman"/>
          <w:color w:val="1F3864" w:themeColor="accent1" w:themeShade="80"/>
        </w:rPr>
        <w:lastRenderedPageBreak/>
        <w:t>Absolutní chudoba</w:t>
      </w:r>
    </w:p>
    <w:p w14:paraId="4A6F40DD" w14:textId="77777777" w:rsidR="00906FCE" w:rsidRPr="00FC3B7C" w:rsidRDefault="00906FCE" w:rsidP="001D2E9D">
      <w:pPr>
        <w:rPr>
          <w:sz w:val="20"/>
          <w:szCs w:val="20"/>
        </w:rPr>
      </w:pPr>
      <w:r w:rsidRPr="00FC3B7C">
        <w:rPr>
          <w:rFonts w:eastAsia="Times New Roman"/>
        </w:rPr>
        <w:t>Souvisí s ohrožením života, její hranice jsou dány subsistenčním minimem =</w:t>
      </w:r>
    </w:p>
    <w:p w14:paraId="4A6F40DE" w14:textId="77777777" w:rsidR="00906FCE" w:rsidRPr="00FC3B7C" w:rsidRDefault="00906FCE" w:rsidP="001D2E9D">
      <w:pPr>
        <w:rPr>
          <w:sz w:val="20"/>
          <w:szCs w:val="20"/>
        </w:rPr>
      </w:pPr>
      <w:r w:rsidRPr="00FC3B7C">
        <w:rPr>
          <w:rFonts w:eastAsia="Times New Roman"/>
        </w:rPr>
        <w:t>prostředky, které dovolují uhradit potřeby holého přežití ve společnosti</w:t>
      </w:r>
    </w:p>
    <w:p w14:paraId="4A6F40DF" w14:textId="77777777" w:rsidR="00906FCE" w:rsidRPr="00FC3B7C" w:rsidRDefault="00906FCE" w:rsidP="00906FCE">
      <w:pPr>
        <w:rPr>
          <w:sz w:val="20"/>
          <w:szCs w:val="20"/>
        </w:rPr>
      </w:pPr>
    </w:p>
    <w:p w14:paraId="4A6F40E0" w14:textId="77777777" w:rsidR="00906FCE" w:rsidRPr="004A163A" w:rsidRDefault="00906FCE" w:rsidP="00932ABC">
      <w:pPr>
        <w:pStyle w:val="Nadpis4"/>
        <w:rPr>
          <w:color w:val="1F3864" w:themeColor="accent1" w:themeShade="80"/>
          <w:sz w:val="20"/>
          <w:szCs w:val="20"/>
        </w:rPr>
      </w:pPr>
      <w:r w:rsidRPr="004A163A">
        <w:rPr>
          <w:rFonts w:eastAsia="Times New Roman"/>
          <w:color w:val="1F3864" w:themeColor="accent1" w:themeShade="80"/>
        </w:rPr>
        <w:t>Relativní chudoba</w:t>
      </w:r>
    </w:p>
    <w:p w14:paraId="4A6F40E1" w14:textId="77777777" w:rsidR="00906FCE" w:rsidRPr="00FC3B7C" w:rsidRDefault="00906FCE" w:rsidP="001D2E9D">
      <w:pPr>
        <w:rPr>
          <w:sz w:val="20"/>
          <w:szCs w:val="20"/>
        </w:rPr>
      </w:pPr>
      <w:r w:rsidRPr="00FC3B7C">
        <w:rPr>
          <w:rFonts w:eastAsia="Times New Roman"/>
        </w:rPr>
        <w:t>Pohyblivá v</w:t>
      </w:r>
      <w:r w:rsidRPr="00FC3B7C">
        <w:rPr>
          <w:sz w:val="20"/>
          <w:szCs w:val="20"/>
        </w:rPr>
        <w:t> </w:t>
      </w:r>
      <w:r w:rsidRPr="00FC3B7C">
        <w:rPr>
          <w:rFonts w:eastAsia="Times New Roman"/>
        </w:rPr>
        <w:t>závislosti na vývoji celkové příjmové úrovně, je určena vzdáleností od průměrného životního standardu ve společnosti, umožňuje člověku žít, ale přesto není schopen zabezpečit své životní potřeby v míře, která je ve společnosti obvyklá</w:t>
      </w:r>
    </w:p>
    <w:p w14:paraId="4A6F40E2" w14:textId="77777777" w:rsidR="00906FCE" w:rsidRPr="00FC3B7C" w:rsidRDefault="00906FCE" w:rsidP="00906FCE"/>
    <w:p w14:paraId="4A6F40E3" w14:textId="77777777" w:rsidR="00906FCE" w:rsidRPr="00FC3B7C" w:rsidRDefault="00906FCE" w:rsidP="00906FCE">
      <w:pPr>
        <w:spacing w:line="158" w:lineRule="exact"/>
        <w:rPr>
          <w:sz w:val="20"/>
          <w:szCs w:val="20"/>
        </w:rPr>
      </w:pPr>
      <w:bookmarkStart w:id="268" w:name="page263"/>
      <w:bookmarkEnd w:id="268"/>
    </w:p>
    <w:p w14:paraId="4A6F40E4" w14:textId="77777777" w:rsidR="00906FCE" w:rsidRPr="004B6CDE" w:rsidRDefault="00906FCE" w:rsidP="001D2E9D">
      <w:pPr>
        <w:pStyle w:val="Nadpis4"/>
        <w:rPr>
          <w:color w:val="1F3864" w:themeColor="accent1" w:themeShade="80"/>
          <w:sz w:val="20"/>
          <w:szCs w:val="20"/>
        </w:rPr>
      </w:pPr>
      <w:r w:rsidRPr="004B6CDE">
        <w:rPr>
          <w:rFonts w:eastAsia="Times New Roman"/>
          <w:color w:val="1F3864" w:themeColor="accent1" w:themeShade="80"/>
        </w:rPr>
        <w:t>Moderní chudoba</w:t>
      </w:r>
    </w:p>
    <w:p w14:paraId="4A6F40E5" w14:textId="77777777" w:rsidR="00906FCE" w:rsidRPr="00FC3B7C" w:rsidRDefault="00906FCE" w:rsidP="00906FCE">
      <w:pPr>
        <w:spacing w:line="165" w:lineRule="exact"/>
        <w:rPr>
          <w:sz w:val="20"/>
          <w:szCs w:val="20"/>
        </w:rPr>
      </w:pPr>
    </w:p>
    <w:p w14:paraId="4A6F40E6" w14:textId="458910A4" w:rsidR="00906FCE" w:rsidRPr="004B6CDE" w:rsidRDefault="00906FCE" w:rsidP="00D46B53">
      <w:pPr>
        <w:pStyle w:val="Odstavecseseznamem"/>
        <w:numPr>
          <w:ilvl w:val="0"/>
          <w:numId w:val="715"/>
        </w:numPr>
        <w:tabs>
          <w:tab w:val="left" w:pos="0"/>
        </w:tabs>
        <w:spacing w:line="254" w:lineRule="auto"/>
        <w:ind w:left="-142" w:right="500"/>
        <w:rPr>
          <w:rFonts w:eastAsia="Times New Roman"/>
          <w:szCs w:val="24"/>
        </w:rPr>
      </w:pPr>
      <w:r w:rsidRPr="0023251A">
        <w:rPr>
          <w:rFonts w:eastAsia="Times New Roman"/>
          <w:szCs w:val="24"/>
        </w:rPr>
        <w:t xml:space="preserve">souvisí s relativní chudobou, nepředstavuje ani tak tíživý hmotný </w:t>
      </w:r>
      <w:r w:rsidRPr="004B6CDE">
        <w:rPr>
          <w:rFonts w:eastAsia="Times New Roman"/>
          <w:szCs w:val="24"/>
        </w:rPr>
        <w:t>nedostatek, jako spíše pocit, že nemáme to, co ostatní</w:t>
      </w:r>
    </w:p>
    <w:p w14:paraId="4A6F40E7" w14:textId="77777777" w:rsidR="00906FCE" w:rsidRPr="004B6CDE" w:rsidRDefault="00906FCE" w:rsidP="004B6CDE">
      <w:pPr>
        <w:tabs>
          <w:tab w:val="left" w:pos="0"/>
        </w:tabs>
        <w:spacing w:line="1" w:lineRule="exact"/>
        <w:ind w:left="-142" w:hanging="142"/>
        <w:rPr>
          <w:rFonts w:eastAsia="Times New Roman"/>
          <w:szCs w:val="24"/>
        </w:rPr>
      </w:pPr>
    </w:p>
    <w:p w14:paraId="64C34C05" w14:textId="77777777" w:rsidR="0023251A" w:rsidRPr="004B6CDE" w:rsidRDefault="0023251A" w:rsidP="00D46B53">
      <w:pPr>
        <w:pStyle w:val="Odstavecseseznamem"/>
        <w:numPr>
          <w:ilvl w:val="0"/>
          <w:numId w:val="715"/>
        </w:numPr>
        <w:tabs>
          <w:tab w:val="left" w:pos="0"/>
        </w:tabs>
        <w:ind w:left="-142"/>
        <w:rPr>
          <w:rFonts w:eastAsia="Times New Roman"/>
          <w:szCs w:val="24"/>
        </w:rPr>
      </w:pPr>
      <w:r w:rsidRPr="004B6CDE">
        <w:rPr>
          <w:rFonts w:eastAsia="Times New Roman"/>
          <w:szCs w:val="24"/>
        </w:rPr>
        <w:t>kategorie sociálně slabých v EU: měsíční příjem nedosahuje 60 % průměrné čisté mzdy v daném státě (v ČR cca 20 000 Kč, 4Q 2019: průměrná hrubá mzda: 34 125 Kč</w:t>
      </w:r>
      <w:r w:rsidRPr="004B6CDE">
        <w:rPr>
          <w:rFonts w:eastAsia="Times New Roman"/>
        </w:rPr>
        <w:t>)</w:t>
      </w:r>
    </w:p>
    <w:p w14:paraId="33485B0C" w14:textId="77777777" w:rsidR="0023251A" w:rsidRPr="004B6CDE" w:rsidRDefault="0023251A" w:rsidP="004B6CDE">
      <w:pPr>
        <w:spacing w:line="240" w:lineRule="auto"/>
        <w:ind w:left="-142"/>
        <w:rPr>
          <w:rFonts w:eastAsia="Times New Roman"/>
          <w:szCs w:val="24"/>
        </w:rPr>
      </w:pPr>
    </w:p>
    <w:p w14:paraId="79D99F2B" w14:textId="77777777" w:rsidR="0023251A" w:rsidRPr="004B6CDE" w:rsidRDefault="0023251A" w:rsidP="00D46B53">
      <w:pPr>
        <w:pStyle w:val="Odstavecseseznamem"/>
        <w:numPr>
          <w:ilvl w:val="0"/>
          <w:numId w:val="715"/>
        </w:numPr>
        <w:tabs>
          <w:tab w:val="left" w:pos="0"/>
        </w:tabs>
        <w:spacing w:line="240" w:lineRule="auto"/>
        <w:ind w:left="-142"/>
        <w:rPr>
          <w:rFonts w:eastAsia="Times New Roman"/>
          <w:szCs w:val="24"/>
        </w:rPr>
      </w:pPr>
      <w:r w:rsidRPr="004B6CDE">
        <w:rPr>
          <w:rFonts w:eastAsia="Times New Roman"/>
          <w:szCs w:val="24"/>
        </w:rPr>
        <w:t>2018: zhruba 110 milionů občanů EU je ohroženo chudobou (21,7 % populace EU)</w:t>
      </w:r>
    </w:p>
    <w:p w14:paraId="2CBC1D39" w14:textId="77777777" w:rsidR="0023251A" w:rsidRPr="004B6CDE" w:rsidRDefault="0023251A" w:rsidP="004B6CDE">
      <w:pPr>
        <w:spacing w:line="240" w:lineRule="auto"/>
        <w:ind w:left="-142"/>
        <w:rPr>
          <w:rFonts w:eastAsia="Times New Roman"/>
          <w:szCs w:val="24"/>
        </w:rPr>
      </w:pPr>
    </w:p>
    <w:p w14:paraId="47B9DD10" w14:textId="77777777" w:rsidR="0023251A" w:rsidRPr="004B6CDE" w:rsidRDefault="0023251A" w:rsidP="00D46B53">
      <w:pPr>
        <w:pStyle w:val="Odstavecseseznamem"/>
        <w:numPr>
          <w:ilvl w:val="0"/>
          <w:numId w:val="715"/>
        </w:numPr>
        <w:tabs>
          <w:tab w:val="left" w:pos="0"/>
        </w:tabs>
        <w:spacing w:line="240" w:lineRule="auto"/>
        <w:ind w:left="-142"/>
        <w:rPr>
          <w:rFonts w:eastAsia="Times New Roman"/>
          <w:szCs w:val="24"/>
        </w:rPr>
      </w:pPr>
      <w:r w:rsidRPr="004B6CDE">
        <w:rPr>
          <w:rFonts w:eastAsia="Times New Roman"/>
          <w:szCs w:val="24"/>
        </w:rPr>
        <w:t>2017: v ČR se týká zhruba 12,2 % obyvatel (jeden z nejlepších výsledků v EU)</w:t>
      </w:r>
    </w:p>
    <w:p w14:paraId="4A6F40EB" w14:textId="77777777" w:rsidR="00906FCE" w:rsidRPr="00FC3B7C" w:rsidRDefault="00906FCE" w:rsidP="00906FCE">
      <w:pPr>
        <w:spacing w:line="213" w:lineRule="exact"/>
        <w:rPr>
          <w:sz w:val="20"/>
          <w:szCs w:val="20"/>
        </w:rPr>
      </w:pPr>
    </w:p>
    <w:p w14:paraId="4A6F40EC" w14:textId="77777777" w:rsidR="00906FCE" w:rsidRPr="004A163A" w:rsidRDefault="00906FCE" w:rsidP="001D2E9D">
      <w:pPr>
        <w:pStyle w:val="Nadpis4"/>
        <w:rPr>
          <w:color w:val="1F3864" w:themeColor="accent1" w:themeShade="80"/>
        </w:rPr>
      </w:pPr>
      <w:r w:rsidRPr="004A163A">
        <w:rPr>
          <w:rFonts w:eastAsia="Times New Roman"/>
          <w:color w:val="1F3864" w:themeColor="accent1" w:themeShade="80"/>
        </w:rPr>
        <w:t>Vnější příčiny chudoby</w:t>
      </w:r>
    </w:p>
    <w:p w14:paraId="4A6F40ED" w14:textId="77777777" w:rsidR="00906FCE" w:rsidRPr="00FC3B7C" w:rsidRDefault="00906FCE" w:rsidP="00906FCE">
      <w:pPr>
        <w:spacing w:line="167" w:lineRule="exact"/>
        <w:rPr>
          <w:sz w:val="20"/>
          <w:szCs w:val="20"/>
        </w:rPr>
      </w:pPr>
    </w:p>
    <w:p w14:paraId="4A6F40EE" w14:textId="77777777" w:rsidR="00906FCE" w:rsidRPr="00FC3B7C" w:rsidRDefault="00906FCE" w:rsidP="00D46B53">
      <w:pPr>
        <w:numPr>
          <w:ilvl w:val="0"/>
          <w:numId w:val="242"/>
        </w:numPr>
        <w:tabs>
          <w:tab w:val="left" w:pos="284"/>
        </w:tabs>
        <w:ind w:left="840" w:right="260" w:hanging="840"/>
        <w:rPr>
          <w:rFonts w:eastAsia="Times New Roman"/>
          <w:szCs w:val="24"/>
        </w:rPr>
      </w:pPr>
      <w:r w:rsidRPr="00FC3B7C">
        <w:rPr>
          <w:rFonts w:eastAsia="Times New Roman"/>
          <w:b/>
          <w:szCs w:val="24"/>
        </w:rPr>
        <w:t xml:space="preserve">Geografie </w:t>
      </w:r>
      <w:r w:rsidRPr="00FC3B7C">
        <w:rPr>
          <w:rFonts w:eastAsia="Times New Roman"/>
          <w:szCs w:val="24"/>
        </w:rPr>
        <w:t>– poloha státu (nepřítomnost moří, řek, izolovanost, překážky obchodních cest, pouště, hory)</w:t>
      </w:r>
    </w:p>
    <w:p w14:paraId="4A6F40EF" w14:textId="77777777" w:rsidR="00906FCE" w:rsidRPr="00FC3B7C" w:rsidRDefault="00906FCE" w:rsidP="00D46B53">
      <w:pPr>
        <w:numPr>
          <w:ilvl w:val="0"/>
          <w:numId w:val="242"/>
        </w:numPr>
        <w:tabs>
          <w:tab w:val="left" w:pos="284"/>
        </w:tabs>
        <w:ind w:left="820" w:hanging="840"/>
        <w:rPr>
          <w:rFonts w:eastAsia="Times New Roman"/>
          <w:szCs w:val="24"/>
        </w:rPr>
      </w:pPr>
      <w:r w:rsidRPr="00FC3B7C">
        <w:rPr>
          <w:rFonts w:eastAsia="Times New Roman"/>
          <w:b/>
          <w:szCs w:val="24"/>
        </w:rPr>
        <w:t>Přírodní zdroje</w:t>
      </w:r>
      <w:r w:rsidRPr="00FC3B7C">
        <w:rPr>
          <w:rFonts w:eastAsia="Times New Roman"/>
          <w:szCs w:val="24"/>
        </w:rPr>
        <w:t xml:space="preserve"> – nepřítomnost přírodních zdrojů v dané zemi</w:t>
      </w:r>
    </w:p>
    <w:p w14:paraId="4A6F40F0" w14:textId="77777777" w:rsidR="00906FCE" w:rsidRPr="00FC3B7C" w:rsidRDefault="00906FCE" w:rsidP="00D46B53">
      <w:pPr>
        <w:numPr>
          <w:ilvl w:val="0"/>
          <w:numId w:val="242"/>
        </w:numPr>
        <w:tabs>
          <w:tab w:val="left" w:pos="284"/>
        </w:tabs>
        <w:ind w:left="820" w:hanging="840"/>
        <w:rPr>
          <w:rFonts w:eastAsia="Times New Roman"/>
          <w:szCs w:val="24"/>
        </w:rPr>
      </w:pPr>
      <w:r w:rsidRPr="00FC3B7C">
        <w:rPr>
          <w:rFonts w:eastAsia="Times New Roman"/>
          <w:b/>
          <w:szCs w:val="24"/>
        </w:rPr>
        <w:t>Populační růst</w:t>
      </w:r>
      <w:r w:rsidRPr="00FC3B7C">
        <w:rPr>
          <w:rFonts w:eastAsia="Times New Roman"/>
          <w:szCs w:val="24"/>
        </w:rPr>
        <w:t xml:space="preserve"> – může být problém, postupně dochází</w:t>
      </w:r>
      <w:r w:rsidR="001D2E9D">
        <w:rPr>
          <w:rFonts w:eastAsia="Times New Roman"/>
          <w:szCs w:val="24"/>
        </w:rPr>
        <w:t xml:space="preserve"> k nedostatku zemědělské půdy a </w:t>
      </w:r>
      <w:r w:rsidRPr="00FC3B7C">
        <w:rPr>
          <w:rFonts w:eastAsia="Times New Roman"/>
          <w:szCs w:val="24"/>
        </w:rPr>
        <w:t>nedostatku potravin</w:t>
      </w:r>
    </w:p>
    <w:p w14:paraId="4A6F40F2" w14:textId="77777777" w:rsidR="00906FCE" w:rsidRPr="00FC3B7C" w:rsidRDefault="00906FCE" w:rsidP="00906FCE">
      <w:pPr>
        <w:spacing w:line="327" w:lineRule="exact"/>
        <w:rPr>
          <w:sz w:val="20"/>
          <w:szCs w:val="20"/>
        </w:rPr>
      </w:pPr>
    </w:p>
    <w:p w14:paraId="4A6F40F3" w14:textId="77777777" w:rsidR="00906FCE" w:rsidRPr="004A163A" w:rsidRDefault="00906FCE" w:rsidP="001D2E9D">
      <w:pPr>
        <w:pStyle w:val="Nadpis4"/>
        <w:rPr>
          <w:color w:val="1F3864" w:themeColor="accent1" w:themeShade="80"/>
          <w:sz w:val="20"/>
          <w:szCs w:val="20"/>
        </w:rPr>
      </w:pPr>
      <w:r w:rsidRPr="004A163A">
        <w:rPr>
          <w:rFonts w:eastAsia="Times New Roman"/>
          <w:color w:val="1F3864" w:themeColor="accent1" w:themeShade="80"/>
        </w:rPr>
        <w:t>Vnitřní příčiny chudoby</w:t>
      </w:r>
    </w:p>
    <w:p w14:paraId="4A6F40F4" w14:textId="77777777" w:rsidR="00906FCE" w:rsidRPr="00FC3B7C" w:rsidRDefault="00906FCE" w:rsidP="00906FCE">
      <w:pPr>
        <w:spacing w:line="161" w:lineRule="exact"/>
        <w:rPr>
          <w:sz w:val="20"/>
          <w:szCs w:val="20"/>
        </w:rPr>
      </w:pPr>
    </w:p>
    <w:p w14:paraId="4A6F40F5" w14:textId="77777777" w:rsidR="00906FCE" w:rsidRPr="00FC3B7C" w:rsidRDefault="00906FCE" w:rsidP="00D46B53">
      <w:pPr>
        <w:numPr>
          <w:ilvl w:val="0"/>
          <w:numId w:val="243"/>
        </w:numPr>
        <w:tabs>
          <w:tab w:val="left" w:pos="142"/>
        </w:tabs>
        <w:ind w:left="820" w:hanging="820"/>
        <w:rPr>
          <w:rFonts w:eastAsia="Times New Roman"/>
          <w:szCs w:val="24"/>
        </w:rPr>
      </w:pPr>
      <w:r w:rsidRPr="00FC3B7C">
        <w:rPr>
          <w:rFonts w:eastAsia="Times New Roman"/>
          <w:b/>
          <w:szCs w:val="24"/>
        </w:rPr>
        <w:t>Zdraví a výživa</w:t>
      </w:r>
      <w:r w:rsidRPr="00FC3B7C">
        <w:rPr>
          <w:rFonts w:eastAsia="Times New Roman"/>
          <w:szCs w:val="24"/>
        </w:rPr>
        <w:t xml:space="preserve"> – spojeno s nízkou produktivitou daných jedinců</w:t>
      </w:r>
    </w:p>
    <w:p w14:paraId="4A6F40F6" w14:textId="77777777" w:rsidR="00906FCE" w:rsidRPr="00FC3B7C" w:rsidRDefault="00906FCE" w:rsidP="00D46B53">
      <w:pPr>
        <w:numPr>
          <w:ilvl w:val="0"/>
          <w:numId w:val="243"/>
        </w:numPr>
        <w:tabs>
          <w:tab w:val="left" w:pos="142"/>
        </w:tabs>
        <w:ind w:left="820" w:hanging="820"/>
        <w:rPr>
          <w:rFonts w:eastAsia="Times New Roman"/>
          <w:szCs w:val="24"/>
        </w:rPr>
      </w:pPr>
      <w:r w:rsidRPr="00FC3B7C">
        <w:rPr>
          <w:rFonts w:eastAsia="Times New Roman"/>
          <w:szCs w:val="24"/>
        </w:rPr>
        <w:t>Vzdělání</w:t>
      </w:r>
    </w:p>
    <w:p w14:paraId="4A6F40F7" w14:textId="77777777" w:rsidR="00906FCE" w:rsidRPr="00FC3B7C" w:rsidRDefault="00906FCE" w:rsidP="00D46B53">
      <w:pPr>
        <w:numPr>
          <w:ilvl w:val="0"/>
          <w:numId w:val="243"/>
        </w:numPr>
        <w:tabs>
          <w:tab w:val="left" w:pos="142"/>
        </w:tabs>
        <w:ind w:left="840" w:right="400" w:hanging="820"/>
        <w:rPr>
          <w:rFonts w:eastAsia="Times New Roman"/>
          <w:szCs w:val="24"/>
        </w:rPr>
      </w:pPr>
      <w:r w:rsidRPr="00FC3B7C">
        <w:rPr>
          <w:rFonts w:eastAsia="Times New Roman"/>
          <w:b/>
          <w:szCs w:val="24"/>
        </w:rPr>
        <w:t>Instituce</w:t>
      </w:r>
      <w:r w:rsidRPr="00FC3B7C">
        <w:rPr>
          <w:rFonts w:eastAsia="Times New Roman"/>
          <w:szCs w:val="24"/>
        </w:rPr>
        <w:t xml:space="preserve"> – vlastnická práva, svobody jednotlivce, demokratický systém, otevřenost trhů</w:t>
      </w:r>
    </w:p>
    <w:p w14:paraId="4A6F40F8" w14:textId="77777777" w:rsidR="00906FCE" w:rsidRPr="00FC3B7C" w:rsidRDefault="00906FCE" w:rsidP="00D46B53">
      <w:pPr>
        <w:numPr>
          <w:ilvl w:val="0"/>
          <w:numId w:val="243"/>
        </w:numPr>
        <w:tabs>
          <w:tab w:val="left" w:pos="142"/>
        </w:tabs>
        <w:ind w:left="820" w:hanging="820"/>
        <w:rPr>
          <w:rFonts w:eastAsia="Times New Roman"/>
          <w:szCs w:val="24"/>
        </w:rPr>
      </w:pPr>
      <w:r w:rsidRPr="00FC3B7C">
        <w:rPr>
          <w:rFonts w:eastAsia="Times New Roman"/>
          <w:b/>
          <w:szCs w:val="24"/>
        </w:rPr>
        <w:t>Rozdíly ve mzdách</w:t>
      </w:r>
      <w:r w:rsidRPr="00FC3B7C">
        <w:rPr>
          <w:rFonts w:eastAsia="Times New Roman"/>
          <w:szCs w:val="24"/>
        </w:rPr>
        <w:t>, nízké výdělky ze zaměstnání – zavedení min. mzdy</w:t>
      </w:r>
    </w:p>
    <w:p w14:paraId="4A6F40F9" w14:textId="77777777" w:rsidR="00906FCE" w:rsidRPr="00FC3B7C" w:rsidRDefault="00906FCE" w:rsidP="00D46B53">
      <w:pPr>
        <w:numPr>
          <w:ilvl w:val="0"/>
          <w:numId w:val="243"/>
        </w:numPr>
        <w:tabs>
          <w:tab w:val="left" w:pos="142"/>
        </w:tabs>
        <w:ind w:left="820" w:hanging="820"/>
        <w:rPr>
          <w:rFonts w:eastAsia="Times New Roman"/>
          <w:szCs w:val="24"/>
        </w:rPr>
      </w:pPr>
      <w:r w:rsidRPr="00FC3B7C">
        <w:rPr>
          <w:rFonts w:eastAsia="Times New Roman"/>
          <w:b/>
          <w:szCs w:val="24"/>
        </w:rPr>
        <w:t>Nezaměstnanost</w:t>
      </w:r>
      <w:r w:rsidRPr="00FC3B7C">
        <w:rPr>
          <w:rFonts w:eastAsia="Times New Roman"/>
          <w:szCs w:val="24"/>
        </w:rPr>
        <w:t xml:space="preserve"> – spojena s dlouhodobým poklesem příjmů, může vést k chudobě</w:t>
      </w:r>
    </w:p>
    <w:p w14:paraId="4A6F40FA" w14:textId="77777777" w:rsidR="00906FCE" w:rsidRPr="00FC3B7C" w:rsidRDefault="00906FCE" w:rsidP="00D46B53">
      <w:pPr>
        <w:numPr>
          <w:ilvl w:val="0"/>
          <w:numId w:val="243"/>
        </w:numPr>
        <w:tabs>
          <w:tab w:val="left" w:pos="142"/>
        </w:tabs>
        <w:ind w:left="840" w:right="600" w:hanging="820"/>
        <w:rPr>
          <w:rFonts w:eastAsia="Times New Roman"/>
          <w:szCs w:val="24"/>
        </w:rPr>
      </w:pPr>
      <w:r w:rsidRPr="00FC3B7C">
        <w:rPr>
          <w:rFonts w:eastAsia="Times New Roman"/>
          <w:b/>
          <w:szCs w:val="24"/>
        </w:rPr>
        <w:t>Rozdíly ve vlastněném bohatství –</w:t>
      </w:r>
      <w:r w:rsidRPr="00FC3B7C">
        <w:rPr>
          <w:rFonts w:eastAsia="Times New Roman"/>
          <w:szCs w:val="24"/>
        </w:rPr>
        <w:t xml:space="preserve"> neexistence m</w:t>
      </w:r>
      <w:r w:rsidR="001D2E9D">
        <w:rPr>
          <w:rFonts w:eastAsia="Times New Roman"/>
          <w:szCs w:val="24"/>
        </w:rPr>
        <w:t xml:space="preserve">ajetku a bohatství nenese žádný </w:t>
      </w:r>
      <w:r w:rsidRPr="00FC3B7C">
        <w:rPr>
          <w:rFonts w:eastAsia="Times New Roman"/>
          <w:szCs w:val="24"/>
        </w:rPr>
        <w:t>důchod</w:t>
      </w:r>
    </w:p>
    <w:p w14:paraId="4A6F40FB" w14:textId="77777777" w:rsidR="00906FCE" w:rsidRPr="00FC3B7C" w:rsidRDefault="00906FCE" w:rsidP="00D46B53">
      <w:pPr>
        <w:numPr>
          <w:ilvl w:val="0"/>
          <w:numId w:val="243"/>
        </w:numPr>
        <w:tabs>
          <w:tab w:val="left" w:pos="142"/>
        </w:tabs>
        <w:ind w:left="820" w:hanging="820"/>
        <w:rPr>
          <w:rFonts w:eastAsia="Times New Roman"/>
          <w:b/>
          <w:szCs w:val="24"/>
        </w:rPr>
      </w:pPr>
      <w:r w:rsidRPr="00FC3B7C">
        <w:rPr>
          <w:rFonts w:eastAsia="Times New Roman"/>
          <w:b/>
          <w:szCs w:val="24"/>
        </w:rPr>
        <w:lastRenderedPageBreak/>
        <w:t>Zdravotní stav a předčasná invalidita</w:t>
      </w:r>
    </w:p>
    <w:p w14:paraId="4A6F40FE" w14:textId="77777777" w:rsidR="00906FCE" w:rsidRPr="004A163A" w:rsidRDefault="00906FCE" w:rsidP="001D2E9D">
      <w:pPr>
        <w:pStyle w:val="Nadpis4"/>
        <w:rPr>
          <w:color w:val="1F3864" w:themeColor="accent1" w:themeShade="80"/>
          <w:sz w:val="20"/>
          <w:szCs w:val="20"/>
        </w:rPr>
      </w:pPr>
      <w:r w:rsidRPr="004A163A">
        <w:rPr>
          <w:rFonts w:eastAsia="Times New Roman"/>
          <w:color w:val="1F3864" w:themeColor="accent1" w:themeShade="80"/>
        </w:rPr>
        <w:t>Nástroje měření chudoby</w:t>
      </w:r>
    </w:p>
    <w:p w14:paraId="4A6F40FF" w14:textId="77777777" w:rsidR="00906FCE" w:rsidRPr="00FC3B7C" w:rsidRDefault="00906FCE" w:rsidP="00D46B53">
      <w:pPr>
        <w:numPr>
          <w:ilvl w:val="0"/>
          <w:numId w:val="244"/>
        </w:numPr>
        <w:tabs>
          <w:tab w:val="left" w:pos="820"/>
        </w:tabs>
        <w:ind w:left="820" w:hanging="348"/>
        <w:rPr>
          <w:rFonts w:eastAsia="Times New Roman"/>
          <w:szCs w:val="24"/>
        </w:rPr>
      </w:pPr>
      <w:r w:rsidRPr="00FC3B7C">
        <w:rPr>
          <w:rFonts w:eastAsia="Times New Roman"/>
          <w:szCs w:val="24"/>
        </w:rPr>
        <w:t>V praxi se obě metody často kombinují</w:t>
      </w:r>
    </w:p>
    <w:p w14:paraId="4A6F4100" w14:textId="77777777" w:rsidR="00906FCE" w:rsidRPr="00FC3B7C" w:rsidRDefault="00906FCE" w:rsidP="00D46B53">
      <w:pPr>
        <w:numPr>
          <w:ilvl w:val="0"/>
          <w:numId w:val="244"/>
        </w:numPr>
        <w:tabs>
          <w:tab w:val="left" w:pos="820"/>
        </w:tabs>
        <w:ind w:left="820" w:hanging="348"/>
        <w:rPr>
          <w:rFonts w:eastAsia="Times New Roman"/>
          <w:szCs w:val="24"/>
        </w:rPr>
      </w:pPr>
      <w:r w:rsidRPr="00FC3B7C">
        <w:rPr>
          <w:rFonts w:eastAsia="Times New Roman"/>
          <w:b/>
          <w:bCs/>
          <w:szCs w:val="24"/>
        </w:rPr>
        <w:t>Normativní (absolutní) metoda</w:t>
      </w:r>
    </w:p>
    <w:p w14:paraId="4A6F4101" w14:textId="77777777" w:rsidR="00906FCE" w:rsidRPr="00FC3B7C" w:rsidRDefault="00906FCE" w:rsidP="00D46B53">
      <w:pPr>
        <w:pStyle w:val="Odstavecseseznamem"/>
        <w:numPr>
          <w:ilvl w:val="0"/>
          <w:numId w:val="579"/>
        </w:numPr>
        <w:ind w:right="260"/>
        <w:rPr>
          <w:sz w:val="20"/>
          <w:szCs w:val="20"/>
        </w:rPr>
      </w:pPr>
      <w:r w:rsidRPr="00FC3B7C">
        <w:rPr>
          <w:rFonts w:eastAsia="Times New Roman"/>
          <w:szCs w:val="24"/>
        </w:rPr>
        <w:t>Stanovuje minimální společensky přijatelný spotřební koš</w:t>
      </w:r>
      <w:r w:rsidRPr="00FC3B7C">
        <w:rPr>
          <w:rFonts w:eastAsia="Courier New"/>
          <w:szCs w:val="24"/>
        </w:rPr>
        <w:t xml:space="preserve"> </w:t>
      </w:r>
      <w:r w:rsidRPr="00FC3B7C">
        <w:rPr>
          <w:rFonts w:eastAsia="Times New Roman"/>
          <w:szCs w:val="24"/>
        </w:rPr>
        <w:t>(obsahuje základní</w:t>
      </w:r>
      <w:r w:rsidRPr="00FC3B7C">
        <w:rPr>
          <w:rFonts w:eastAsia="Courier New"/>
          <w:szCs w:val="24"/>
        </w:rPr>
        <w:t xml:space="preserve"> </w:t>
      </w:r>
      <w:r w:rsidRPr="00FC3B7C">
        <w:rPr>
          <w:rFonts w:eastAsia="Times New Roman"/>
          <w:szCs w:val="24"/>
        </w:rPr>
        <w:t>zboží a služby) vyjádřený v penězích</w:t>
      </w:r>
    </w:p>
    <w:p w14:paraId="4A6F4102" w14:textId="77777777" w:rsidR="00906FCE" w:rsidRPr="00FC3B7C" w:rsidRDefault="00906FCE" w:rsidP="00D46B53">
      <w:pPr>
        <w:pStyle w:val="Odstavecseseznamem"/>
        <w:numPr>
          <w:ilvl w:val="0"/>
          <w:numId w:val="579"/>
        </w:numPr>
        <w:rPr>
          <w:sz w:val="20"/>
          <w:szCs w:val="20"/>
        </w:rPr>
      </w:pPr>
      <w:r w:rsidRPr="00FC3B7C">
        <w:rPr>
          <w:rFonts w:eastAsia="Times New Roman"/>
          <w:b/>
          <w:szCs w:val="24"/>
        </w:rPr>
        <w:t>výhoda:</w:t>
      </w:r>
      <w:r w:rsidRPr="00FC3B7C">
        <w:rPr>
          <w:rFonts w:eastAsia="Times New Roman"/>
          <w:szCs w:val="24"/>
        </w:rPr>
        <w:t xml:space="preserve"> nižší možnost zneužívání sociálního systému</w:t>
      </w:r>
    </w:p>
    <w:p w14:paraId="4A6F4103" w14:textId="77777777" w:rsidR="00906FCE" w:rsidRPr="00FC3B7C" w:rsidRDefault="00906FCE" w:rsidP="00D46B53">
      <w:pPr>
        <w:pStyle w:val="Odstavecseseznamem"/>
        <w:numPr>
          <w:ilvl w:val="0"/>
          <w:numId w:val="579"/>
        </w:numPr>
        <w:ind w:right="340"/>
        <w:rPr>
          <w:sz w:val="20"/>
          <w:szCs w:val="20"/>
        </w:rPr>
      </w:pPr>
      <w:r w:rsidRPr="00FC3B7C">
        <w:rPr>
          <w:rFonts w:eastAsia="Times New Roman"/>
          <w:b/>
          <w:szCs w:val="24"/>
        </w:rPr>
        <w:t>nevýhoda:</w:t>
      </w:r>
      <w:r w:rsidRPr="00FC3B7C">
        <w:rPr>
          <w:rFonts w:eastAsia="Times New Roman"/>
          <w:szCs w:val="24"/>
        </w:rPr>
        <w:t xml:space="preserve"> stanovit vyrovnaný spotřební koš</w:t>
      </w:r>
      <w:r w:rsidRPr="00FC3B7C">
        <w:rPr>
          <w:rFonts w:eastAsia="Courier New"/>
          <w:szCs w:val="24"/>
        </w:rPr>
        <w:t xml:space="preserve"> </w:t>
      </w:r>
      <w:r w:rsidRPr="00FC3B7C">
        <w:rPr>
          <w:rFonts w:eastAsia="Times New Roman"/>
          <w:szCs w:val="24"/>
        </w:rPr>
        <w:t>je velmi náročné, spotřební koš</w:t>
      </w:r>
      <w:r w:rsidRPr="00FC3B7C">
        <w:rPr>
          <w:rFonts w:eastAsia="Courier New"/>
          <w:szCs w:val="24"/>
        </w:rPr>
        <w:t xml:space="preserve"> </w:t>
      </w:r>
      <w:r w:rsidRPr="00FC3B7C">
        <w:rPr>
          <w:rFonts w:eastAsia="Times New Roman"/>
          <w:szCs w:val="24"/>
        </w:rPr>
        <w:t>velmi pomalu reaguje na změny ve společnosti</w:t>
      </w:r>
    </w:p>
    <w:p w14:paraId="4A6F4104" w14:textId="77777777" w:rsidR="00906FCE" w:rsidRPr="00FC3B7C" w:rsidRDefault="00906FCE" w:rsidP="00D46B53">
      <w:pPr>
        <w:numPr>
          <w:ilvl w:val="0"/>
          <w:numId w:val="245"/>
        </w:numPr>
        <w:tabs>
          <w:tab w:val="left" w:pos="820"/>
        </w:tabs>
        <w:ind w:left="820" w:hanging="348"/>
        <w:rPr>
          <w:rFonts w:eastAsia="Times New Roman"/>
          <w:szCs w:val="24"/>
        </w:rPr>
      </w:pPr>
      <w:bookmarkStart w:id="269" w:name="page265"/>
      <w:bookmarkEnd w:id="269"/>
      <w:r w:rsidRPr="00FC3B7C">
        <w:rPr>
          <w:rFonts w:eastAsia="Times New Roman"/>
          <w:b/>
          <w:bCs/>
          <w:szCs w:val="24"/>
        </w:rPr>
        <w:t>Metoda příjmů (relativní metoda)</w:t>
      </w:r>
    </w:p>
    <w:p w14:paraId="4A6F4105" w14:textId="77777777" w:rsidR="00906FCE" w:rsidRPr="00FC3B7C" w:rsidRDefault="00906FCE" w:rsidP="00D46B53">
      <w:pPr>
        <w:pStyle w:val="Odstavecseseznamem"/>
        <w:numPr>
          <w:ilvl w:val="0"/>
          <w:numId w:val="580"/>
        </w:numPr>
        <w:rPr>
          <w:sz w:val="20"/>
          <w:szCs w:val="20"/>
        </w:rPr>
      </w:pPr>
      <w:r w:rsidRPr="00FC3B7C">
        <w:rPr>
          <w:rFonts w:eastAsia="Times New Roman"/>
          <w:szCs w:val="24"/>
        </w:rPr>
        <w:t>stanovení úrovně příjmů ve vztahu k průměrnému příjmu v dané zemi</w:t>
      </w:r>
    </w:p>
    <w:p w14:paraId="4A6F4106" w14:textId="77777777" w:rsidR="00906FCE" w:rsidRPr="00FC3B7C" w:rsidRDefault="00906FCE" w:rsidP="00D46B53">
      <w:pPr>
        <w:pStyle w:val="Odstavecseseznamem"/>
        <w:numPr>
          <w:ilvl w:val="0"/>
          <w:numId w:val="580"/>
        </w:numPr>
        <w:rPr>
          <w:sz w:val="20"/>
          <w:szCs w:val="20"/>
        </w:rPr>
      </w:pPr>
      <w:r w:rsidRPr="00FC3B7C">
        <w:rPr>
          <w:rFonts w:eastAsia="Times New Roman"/>
          <w:szCs w:val="24"/>
        </w:rPr>
        <w:t>lidé, kteří mají příjem pod touto hranicí, mají nárok na sociální pomoc</w:t>
      </w:r>
      <w:r w:rsidRPr="00FC3B7C">
        <w:rPr>
          <w:rFonts w:eastAsia="Courier New"/>
          <w:szCs w:val="24"/>
        </w:rPr>
        <w:t xml:space="preserve"> </w:t>
      </w:r>
    </w:p>
    <w:p w14:paraId="4A6F4107" w14:textId="77777777" w:rsidR="00906FCE" w:rsidRPr="00FC3B7C" w:rsidRDefault="00906FCE" w:rsidP="00D46B53">
      <w:pPr>
        <w:pStyle w:val="Odstavecseseznamem"/>
        <w:numPr>
          <w:ilvl w:val="0"/>
          <w:numId w:val="580"/>
        </w:numPr>
        <w:rPr>
          <w:sz w:val="20"/>
          <w:szCs w:val="20"/>
        </w:rPr>
      </w:pPr>
      <w:r w:rsidRPr="00FC3B7C">
        <w:rPr>
          <w:rFonts w:eastAsia="Times New Roman"/>
          <w:szCs w:val="24"/>
        </w:rPr>
        <w:t>v Evropě se tato hranice pohybuje mezi 50-70 %průměrných příjmů</w:t>
      </w:r>
    </w:p>
    <w:p w14:paraId="4A6F4108" w14:textId="77777777" w:rsidR="00906FCE" w:rsidRPr="00FC3B7C" w:rsidRDefault="00906FCE" w:rsidP="00D46B53">
      <w:pPr>
        <w:pStyle w:val="Odstavecseseznamem"/>
        <w:numPr>
          <w:ilvl w:val="0"/>
          <w:numId w:val="580"/>
        </w:numPr>
        <w:rPr>
          <w:sz w:val="20"/>
          <w:szCs w:val="20"/>
        </w:rPr>
      </w:pPr>
      <w:r w:rsidRPr="00FC3B7C">
        <w:rPr>
          <w:rFonts w:eastAsia="Times New Roman"/>
          <w:b/>
          <w:szCs w:val="24"/>
        </w:rPr>
        <w:t>výhoda:</w:t>
      </w:r>
      <w:r w:rsidRPr="00FC3B7C">
        <w:rPr>
          <w:rFonts w:eastAsia="Times New Roman"/>
          <w:szCs w:val="24"/>
        </w:rPr>
        <w:t xml:space="preserve"> možnost relativně pružně</w:t>
      </w:r>
      <w:r w:rsidRPr="00FC3B7C">
        <w:rPr>
          <w:rFonts w:eastAsia="Courier New"/>
          <w:szCs w:val="24"/>
        </w:rPr>
        <w:t xml:space="preserve"> </w:t>
      </w:r>
      <w:r w:rsidRPr="00FC3B7C">
        <w:rPr>
          <w:rFonts w:eastAsia="Times New Roman"/>
          <w:szCs w:val="24"/>
        </w:rPr>
        <w:t>reagovat na ekonomický a sociální vývoj</w:t>
      </w:r>
    </w:p>
    <w:p w14:paraId="4A6F4109" w14:textId="77777777" w:rsidR="00906FCE" w:rsidRPr="00FC3B7C" w:rsidRDefault="00906FCE" w:rsidP="00D46B53">
      <w:pPr>
        <w:pStyle w:val="Odstavecseseznamem"/>
        <w:numPr>
          <w:ilvl w:val="0"/>
          <w:numId w:val="580"/>
        </w:numPr>
        <w:ind w:right="680"/>
        <w:rPr>
          <w:sz w:val="20"/>
          <w:szCs w:val="20"/>
        </w:rPr>
      </w:pPr>
      <w:r w:rsidRPr="00FC3B7C">
        <w:rPr>
          <w:rFonts w:eastAsia="Times New Roman"/>
          <w:b/>
          <w:szCs w:val="24"/>
        </w:rPr>
        <w:t>nevýhoda:</w:t>
      </w:r>
      <w:r w:rsidRPr="00FC3B7C">
        <w:rPr>
          <w:rFonts w:eastAsia="Times New Roman"/>
          <w:szCs w:val="24"/>
        </w:rPr>
        <w:t xml:space="preserve"> nadhodnocení sociálních dávek a nebezpečí,</w:t>
      </w:r>
      <w:r w:rsidRPr="00FC3B7C">
        <w:rPr>
          <w:rFonts w:eastAsia="Courier New"/>
          <w:szCs w:val="24"/>
        </w:rPr>
        <w:t xml:space="preserve"> </w:t>
      </w:r>
      <w:r w:rsidRPr="00FC3B7C">
        <w:rPr>
          <w:rFonts w:eastAsia="Times New Roman"/>
          <w:szCs w:val="24"/>
        </w:rPr>
        <w:t>že politici využijí</w:t>
      </w:r>
      <w:r w:rsidRPr="00FC3B7C">
        <w:rPr>
          <w:rFonts w:eastAsia="Courier New"/>
          <w:szCs w:val="24"/>
        </w:rPr>
        <w:t xml:space="preserve"> </w:t>
      </w:r>
      <w:r w:rsidRPr="00FC3B7C">
        <w:rPr>
          <w:rFonts w:eastAsia="Times New Roman"/>
          <w:szCs w:val="24"/>
        </w:rPr>
        <w:t>návyku jejich čerpání</w:t>
      </w:r>
    </w:p>
    <w:p w14:paraId="4A6F410B" w14:textId="77777777" w:rsidR="00906FCE" w:rsidRPr="00FC3B7C" w:rsidRDefault="00906FCE" w:rsidP="00906FCE">
      <w:pPr>
        <w:spacing w:line="218" w:lineRule="exact"/>
        <w:rPr>
          <w:sz w:val="20"/>
          <w:szCs w:val="20"/>
        </w:rPr>
      </w:pPr>
    </w:p>
    <w:p w14:paraId="4A6F410C" w14:textId="77777777" w:rsidR="00906FCE" w:rsidRPr="004A163A" w:rsidRDefault="00906FCE" w:rsidP="001D2E9D">
      <w:pPr>
        <w:pStyle w:val="Nadpis4"/>
        <w:rPr>
          <w:color w:val="1F3864" w:themeColor="accent1" w:themeShade="80"/>
          <w:sz w:val="20"/>
          <w:szCs w:val="20"/>
        </w:rPr>
      </w:pPr>
      <w:r w:rsidRPr="004A163A">
        <w:rPr>
          <w:rFonts w:eastAsia="Times New Roman"/>
          <w:color w:val="1F3864" w:themeColor="accent1" w:themeShade="80"/>
        </w:rPr>
        <w:t>Řešení chudoby</w:t>
      </w:r>
    </w:p>
    <w:p w14:paraId="4A6F410D" w14:textId="77777777" w:rsidR="00906FCE" w:rsidRPr="00FC3B7C" w:rsidRDefault="00906FCE" w:rsidP="00906FCE">
      <w:pPr>
        <w:rPr>
          <w:sz w:val="20"/>
          <w:szCs w:val="20"/>
        </w:rPr>
      </w:pPr>
      <w:r w:rsidRPr="00FC3B7C">
        <w:rPr>
          <w:rFonts w:eastAsia="Times New Roman"/>
          <w:b/>
          <w:bCs/>
        </w:rPr>
        <w:t>Prevence chudoby</w:t>
      </w:r>
    </w:p>
    <w:p w14:paraId="4A6F410E" w14:textId="77777777" w:rsidR="00906FCE" w:rsidRPr="00FC3B7C" w:rsidRDefault="00906FCE" w:rsidP="00906FCE">
      <w:pPr>
        <w:tabs>
          <w:tab w:val="left" w:pos="800"/>
        </w:tabs>
        <w:ind w:left="480"/>
        <w:rPr>
          <w:sz w:val="20"/>
          <w:szCs w:val="20"/>
        </w:rPr>
      </w:pPr>
      <w:r w:rsidRPr="00FC3B7C">
        <w:rPr>
          <w:rFonts w:eastAsia="Times New Roman"/>
          <w:szCs w:val="24"/>
        </w:rPr>
        <w:t>–</w:t>
      </w:r>
      <w:r w:rsidRPr="00FC3B7C">
        <w:rPr>
          <w:rFonts w:eastAsia="Times New Roman"/>
          <w:szCs w:val="24"/>
        </w:rPr>
        <w:tab/>
        <w:t>zejména vzdělávací politika, politika sociálního zabezpečení, politika zaměstnanosti</w:t>
      </w:r>
    </w:p>
    <w:p w14:paraId="4A6F410F" w14:textId="77777777" w:rsidR="00906FCE" w:rsidRPr="00FC3B7C" w:rsidRDefault="00906FCE" w:rsidP="00906FCE">
      <w:pPr>
        <w:tabs>
          <w:tab w:val="left" w:pos="800"/>
        </w:tabs>
        <w:ind w:left="480"/>
        <w:rPr>
          <w:sz w:val="20"/>
          <w:szCs w:val="20"/>
        </w:rPr>
      </w:pPr>
    </w:p>
    <w:p w14:paraId="4A6F4110" w14:textId="77777777" w:rsidR="00906FCE" w:rsidRPr="00FC3B7C" w:rsidRDefault="00906FCE" w:rsidP="001D2E9D">
      <w:pPr>
        <w:pStyle w:val="Nadpis4"/>
        <w:rPr>
          <w:sz w:val="20"/>
          <w:szCs w:val="20"/>
        </w:rPr>
      </w:pPr>
      <w:r w:rsidRPr="00FC3B7C">
        <w:rPr>
          <w:rFonts w:eastAsia="Times New Roman"/>
        </w:rPr>
        <w:t>Sociálně politická opatření zaměřená na řešení následků chudoby</w:t>
      </w:r>
    </w:p>
    <w:p w14:paraId="4A6F4111" w14:textId="77777777" w:rsidR="00906FCE" w:rsidRPr="00FC3B7C" w:rsidRDefault="00906FCE" w:rsidP="00906FCE">
      <w:pPr>
        <w:spacing w:line="165" w:lineRule="exact"/>
        <w:rPr>
          <w:sz w:val="20"/>
          <w:szCs w:val="20"/>
        </w:rPr>
      </w:pPr>
    </w:p>
    <w:p w14:paraId="4A6F4112" w14:textId="0890CD41" w:rsidR="00906FCE" w:rsidRPr="00FC3B7C" w:rsidRDefault="00906FCE" w:rsidP="00906FCE">
      <w:pPr>
        <w:ind w:left="800" w:right="580" w:hanging="322"/>
        <w:rPr>
          <w:sz w:val="20"/>
          <w:szCs w:val="20"/>
        </w:rPr>
      </w:pPr>
      <w:r w:rsidRPr="00FC3B7C">
        <w:rPr>
          <w:rFonts w:eastAsia="Times New Roman"/>
          <w:szCs w:val="24"/>
        </w:rPr>
        <w:t>–</w:t>
      </w:r>
      <w:r w:rsidR="003376E1">
        <w:rPr>
          <w:rFonts w:eastAsia="Times New Roman"/>
          <w:szCs w:val="24"/>
        </w:rPr>
        <w:t xml:space="preserve"> </w:t>
      </w:r>
      <w:r w:rsidRPr="00FC3B7C">
        <w:rPr>
          <w:rFonts w:eastAsia="Times New Roman"/>
          <w:szCs w:val="24"/>
        </w:rPr>
        <w:t>Záporné zdanění – do určité výše příjmu připadajícího na hlavu není daň placena a domácnostem, které ji nedosahují, je naopak příjem do této hranice dorovnáván</w:t>
      </w:r>
    </w:p>
    <w:p w14:paraId="4A6F4113" w14:textId="3C9EBC97" w:rsidR="00906FCE" w:rsidRPr="00FC3B7C" w:rsidRDefault="00906FCE" w:rsidP="00906FCE">
      <w:pPr>
        <w:ind w:left="840" w:right="260" w:hanging="360"/>
        <w:rPr>
          <w:sz w:val="20"/>
          <w:szCs w:val="20"/>
        </w:rPr>
      </w:pPr>
      <w:r w:rsidRPr="00FC3B7C">
        <w:rPr>
          <w:rFonts w:eastAsia="Times New Roman"/>
          <w:szCs w:val="24"/>
        </w:rPr>
        <w:t>–</w:t>
      </w:r>
      <w:r w:rsidR="003376E1">
        <w:rPr>
          <w:rFonts w:eastAsia="Times New Roman"/>
          <w:szCs w:val="24"/>
        </w:rPr>
        <w:t xml:space="preserve"> </w:t>
      </w:r>
      <w:r w:rsidRPr="00FC3B7C">
        <w:rPr>
          <w:rFonts w:eastAsia="Times New Roman"/>
          <w:szCs w:val="24"/>
        </w:rPr>
        <w:t>Minimální příjmové veličiny</w:t>
      </w:r>
      <w:r w:rsidR="00FB4B26">
        <w:rPr>
          <w:rFonts w:eastAsia="Times New Roman"/>
          <w:szCs w:val="24"/>
        </w:rPr>
        <w:t xml:space="preserve"> </w:t>
      </w:r>
      <w:r w:rsidRPr="00FC3B7C">
        <w:rPr>
          <w:rFonts w:eastAsia="Times New Roman"/>
          <w:szCs w:val="24"/>
        </w:rPr>
        <w:t>– minimální mzda, minimální starobní důchod, sociální minimum, existenční minimum, veřejná sociální pomoc</w:t>
      </w:r>
    </w:p>
    <w:p w14:paraId="4A6F4114" w14:textId="77777777" w:rsidR="00906FCE" w:rsidRPr="00FC3B7C" w:rsidRDefault="00906FCE" w:rsidP="00906FCE">
      <w:pPr>
        <w:spacing w:line="237" w:lineRule="exact"/>
        <w:rPr>
          <w:sz w:val="20"/>
          <w:szCs w:val="20"/>
        </w:rPr>
      </w:pPr>
    </w:p>
    <w:p w14:paraId="4A6F4115" w14:textId="77777777" w:rsidR="001D2E9D" w:rsidRDefault="00906FCE" w:rsidP="00711B32">
      <w:pPr>
        <w:ind w:firstLine="720"/>
        <w:rPr>
          <w:rFonts w:eastAsia="Times New Roman"/>
        </w:rPr>
      </w:pPr>
      <w:r w:rsidRPr="00FC3B7C">
        <w:rPr>
          <w:rFonts w:eastAsia="Times New Roman"/>
          <w:b/>
          <w:bCs/>
        </w:rPr>
        <w:t>Důsledk</w:t>
      </w:r>
      <w:r w:rsidR="001D2E9D">
        <w:rPr>
          <w:rFonts w:eastAsia="Times New Roman"/>
          <w:b/>
          <w:bCs/>
        </w:rPr>
        <w:t>em</w:t>
      </w:r>
      <w:r w:rsidRPr="00FC3B7C">
        <w:rPr>
          <w:rFonts w:eastAsia="Times New Roman"/>
          <w:b/>
          <w:bCs/>
        </w:rPr>
        <w:t xml:space="preserve"> chudoby </w:t>
      </w:r>
      <w:r w:rsidRPr="00FC3B7C">
        <w:rPr>
          <w:rFonts w:eastAsia="Times New Roman"/>
        </w:rPr>
        <w:t>je nevzdělanost, podvýživa, chronický hlad, vysoká dětská úmrtnost,</w:t>
      </w:r>
      <w:r w:rsidRPr="00FC3B7C">
        <w:rPr>
          <w:rFonts w:eastAsia="Times New Roman"/>
          <w:b/>
          <w:bCs/>
        </w:rPr>
        <w:t xml:space="preserve"> </w:t>
      </w:r>
      <w:r w:rsidRPr="00FC3B7C">
        <w:rPr>
          <w:rFonts w:eastAsia="Times New Roman"/>
        </w:rPr>
        <w:t>nízká doba dožití atd.</w:t>
      </w:r>
    </w:p>
    <w:p w14:paraId="4A6F4116" w14:textId="7F60DD73" w:rsidR="00906FCE" w:rsidRDefault="00906FCE" w:rsidP="00711B32">
      <w:pPr>
        <w:ind w:firstLine="720"/>
        <w:rPr>
          <w:rFonts w:eastAsia="Times New Roman"/>
        </w:rPr>
      </w:pPr>
      <w:r w:rsidRPr="00FC3B7C">
        <w:rPr>
          <w:rFonts w:eastAsia="Times New Roman"/>
          <w:b/>
          <w:bCs/>
        </w:rPr>
        <w:t xml:space="preserve">Nástroje odstraňování chudoby </w:t>
      </w:r>
      <w:r w:rsidRPr="00FC3B7C">
        <w:rPr>
          <w:rFonts w:eastAsia="Times New Roman"/>
        </w:rPr>
        <w:t>odstraňováním cel a kvót, oddlužování nejchudších zemí,</w:t>
      </w:r>
      <w:r w:rsidRPr="00FC3B7C">
        <w:rPr>
          <w:rFonts w:eastAsia="Times New Roman"/>
          <w:b/>
          <w:bCs/>
        </w:rPr>
        <w:t xml:space="preserve"> </w:t>
      </w:r>
      <w:r w:rsidRPr="00FC3B7C">
        <w:rPr>
          <w:rFonts w:eastAsia="Times New Roman"/>
        </w:rPr>
        <w:t>vytváření pracovních příležitostí pro mladé, rozvoj infrastruktury, investiční pobídky, podpora vzdělání, zajištění zdravotní péče, demokratizace atd.</w:t>
      </w:r>
    </w:p>
    <w:p w14:paraId="422A92E7" w14:textId="77777777" w:rsidR="004A163A" w:rsidRPr="004B6CDE" w:rsidRDefault="004A163A" w:rsidP="004B6CDE">
      <w:pPr>
        <w:rPr>
          <w:color w:val="1F3864" w:themeColor="accent1" w:themeShade="80"/>
          <w:sz w:val="20"/>
          <w:szCs w:val="20"/>
        </w:rPr>
      </w:pPr>
    </w:p>
    <w:p w14:paraId="4A6F4117" w14:textId="1A5A5BD8" w:rsidR="00906FCE" w:rsidRPr="004B6CDE" w:rsidRDefault="00711B32" w:rsidP="001D2E9D">
      <w:pPr>
        <w:pStyle w:val="Nadpis2"/>
        <w:rPr>
          <w:color w:val="1F3864" w:themeColor="accent1" w:themeShade="80"/>
          <w:szCs w:val="28"/>
        </w:rPr>
      </w:pPr>
      <w:r w:rsidRPr="004B6CDE">
        <w:rPr>
          <w:rFonts w:eastAsia="Times New Roman"/>
          <w:color w:val="1F3864" w:themeColor="accent1" w:themeShade="80"/>
          <w:szCs w:val="28"/>
        </w:rPr>
        <w:t>M</w:t>
      </w:r>
      <w:r w:rsidR="00906FCE" w:rsidRPr="004B6CDE">
        <w:rPr>
          <w:rFonts w:eastAsia="Times New Roman"/>
          <w:color w:val="1F3864" w:themeColor="accent1" w:themeShade="80"/>
          <w:szCs w:val="28"/>
        </w:rPr>
        <w:t>ĚŘENÍ NEROVNOSTÍ</w:t>
      </w:r>
    </w:p>
    <w:p w14:paraId="4A6F4119" w14:textId="57233752" w:rsidR="00906FCE" w:rsidRPr="00FC3B7C" w:rsidRDefault="004A163A" w:rsidP="001D2E9D">
      <w:pPr>
        <w:pStyle w:val="Nadpis3"/>
        <w:rPr>
          <w:sz w:val="20"/>
          <w:szCs w:val="20"/>
        </w:rPr>
      </w:pPr>
      <w:r>
        <w:rPr>
          <w:rFonts w:eastAsia="Times New Roman"/>
        </w:rPr>
        <w:t xml:space="preserve"> </w:t>
      </w:r>
      <w:r w:rsidR="00906FCE" w:rsidRPr="004A163A">
        <w:rPr>
          <w:rFonts w:eastAsia="Times New Roman"/>
          <w:color w:val="1F3864" w:themeColor="accent1" w:themeShade="80"/>
        </w:rPr>
        <w:t>Lorenzova křivka</w:t>
      </w:r>
    </w:p>
    <w:p w14:paraId="4A6F411F" w14:textId="10DF0447" w:rsidR="00906FCE" w:rsidRPr="00711B32" w:rsidRDefault="00906FCE" w:rsidP="00711B32">
      <w:pPr>
        <w:ind w:firstLine="720"/>
        <w:rPr>
          <w:sz w:val="20"/>
          <w:szCs w:val="20"/>
        </w:rPr>
      </w:pPr>
      <w:r w:rsidRPr="00FC3B7C">
        <w:rPr>
          <w:rFonts w:eastAsia="Times New Roman"/>
        </w:rPr>
        <w:t>Ukazuje,</w:t>
      </w:r>
      <w:r w:rsidRPr="00FC3B7C">
        <w:rPr>
          <w:sz w:val="20"/>
          <w:szCs w:val="20"/>
        </w:rPr>
        <w:t xml:space="preserve"> </w:t>
      </w:r>
      <w:r w:rsidRPr="00FC3B7C">
        <w:rPr>
          <w:rFonts w:eastAsia="Times New Roman"/>
        </w:rPr>
        <w:t>jak</w:t>
      </w:r>
      <w:r w:rsidRPr="00FC3B7C">
        <w:rPr>
          <w:sz w:val="20"/>
          <w:szCs w:val="20"/>
        </w:rPr>
        <w:t xml:space="preserve"> </w:t>
      </w:r>
      <w:r w:rsidRPr="00FC3B7C">
        <w:rPr>
          <w:rFonts w:eastAsia="Times New Roman"/>
        </w:rPr>
        <w:t>je</w:t>
      </w:r>
      <w:r w:rsidRPr="00FC3B7C">
        <w:rPr>
          <w:sz w:val="20"/>
          <w:szCs w:val="20"/>
        </w:rPr>
        <w:t xml:space="preserve"> </w:t>
      </w:r>
      <w:r w:rsidRPr="00FC3B7C">
        <w:rPr>
          <w:rFonts w:eastAsia="Times New Roman"/>
        </w:rPr>
        <w:t>v</w:t>
      </w:r>
      <w:r w:rsidRPr="00FC3B7C">
        <w:rPr>
          <w:sz w:val="20"/>
          <w:szCs w:val="20"/>
        </w:rPr>
        <w:t> </w:t>
      </w:r>
      <w:r w:rsidRPr="00FC3B7C">
        <w:rPr>
          <w:rFonts w:eastAsia="Times New Roman"/>
          <w:sz w:val="23"/>
          <w:szCs w:val="23"/>
        </w:rPr>
        <w:t>zemi</w:t>
      </w:r>
      <w:r w:rsidRPr="00FC3B7C">
        <w:rPr>
          <w:sz w:val="20"/>
          <w:szCs w:val="20"/>
        </w:rPr>
        <w:t xml:space="preserve"> </w:t>
      </w:r>
      <w:r w:rsidRPr="00FC3B7C">
        <w:rPr>
          <w:rFonts w:eastAsia="Times New Roman"/>
        </w:rPr>
        <w:t>alokováno/distribuováno</w:t>
      </w:r>
      <w:r w:rsidRPr="00FC3B7C">
        <w:rPr>
          <w:sz w:val="20"/>
          <w:szCs w:val="20"/>
        </w:rPr>
        <w:t xml:space="preserve"> </w:t>
      </w:r>
      <w:r w:rsidRPr="00FC3B7C">
        <w:rPr>
          <w:rFonts w:eastAsia="Times New Roman"/>
        </w:rPr>
        <w:t>bohatství</w:t>
      </w:r>
      <w:r w:rsidR="00711B32">
        <w:rPr>
          <w:sz w:val="20"/>
          <w:szCs w:val="20"/>
        </w:rPr>
        <w:t xml:space="preserve">. </w:t>
      </w:r>
      <w:r w:rsidRPr="00FC3B7C">
        <w:rPr>
          <w:rFonts w:eastAsia="Times New Roman"/>
        </w:rPr>
        <w:t>Na horizontální</w:t>
      </w:r>
      <w:r w:rsidRPr="00FC3B7C">
        <w:rPr>
          <w:sz w:val="20"/>
          <w:szCs w:val="20"/>
        </w:rPr>
        <w:t xml:space="preserve"> </w:t>
      </w:r>
      <w:r w:rsidRPr="00FC3B7C">
        <w:rPr>
          <w:rFonts w:eastAsia="Times New Roman"/>
        </w:rPr>
        <w:t>ose jsou</w:t>
      </w:r>
      <w:r w:rsidRPr="00FC3B7C">
        <w:rPr>
          <w:sz w:val="20"/>
          <w:szCs w:val="20"/>
        </w:rPr>
        <w:t xml:space="preserve"> </w:t>
      </w:r>
      <w:r w:rsidRPr="00FC3B7C">
        <w:rPr>
          <w:rFonts w:eastAsia="Times New Roman"/>
        </w:rPr>
        <w:t>kumulativně</w:t>
      </w:r>
      <w:r w:rsidRPr="00FC3B7C">
        <w:rPr>
          <w:sz w:val="20"/>
          <w:szCs w:val="20"/>
        </w:rPr>
        <w:t xml:space="preserve"> </w:t>
      </w:r>
      <w:r w:rsidRPr="00FC3B7C">
        <w:rPr>
          <w:rFonts w:eastAsia="Times New Roman"/>
          <w:sz w:val="23"/>
          <w:szCs w:val="23"/>
        </w:rPr>
        <w:t>seřazeny domácnosti</w:t>
      </w:r>
      <w:r w:rsidRPr="00FC3B7C">
        <w:rPr>
          <w:sz w:val="20"/>
          <w:szCs w:val="20"/>
        </w:rPr>
        <w:t xml:space="preserve"> </w:t>
      </w:r>
      <w:r w:rsidRPr="00FC3B7C">
        <w:rPr>
          <w:rFonts w:eastAsia="Times New Roman"/>
        </w:rPr>
        <w:t>podle výše příjmů a na vertikální ose procentuální</w:t>
      </w:r>
      <w:r w:rsidRPr="00FC3B7C">
        <w:rPr>
          <w:sz w:val="20"/>
          <w:szCs w:val="20"/>
        </w:rPr>
        <w:t xml:space="preserve"> </w:t>
      </w:r>
      <w:r w:rsidRPr="00FC3B7C">
        <w:rPr>
          <w:rFonts w:eastAsia="Times New Roman"/>
        </w:rPr>
        <w:t>podíl těchto domácností na</w:t>
      </w:r>
      <w:r w:rsidRPr="00FC3B7C">
        <w:rPr>
          <w:sz w:val="20"/>
          <w:szCs w:val="20"/>
        </w:rPr>
        <w:t xml:space="preserve"> </w:t>
      </w:r>
      <w:r w:rsidRPr="00FC3B7C">
        <w:rPr>
          <w:rFonts w:eastAsia="Times New Roman"/>
          <w:sz w:val="23"/>
          <w:szCs w:val="23"/>
        </w:rPr>
        <w:t>celkových</w:t>
      </w:r>
      <w:r w:rsidRPr="00FC3B7C">
        <w:rPr>
          <w:rFonts w:eastAsia="Times New Roman"/>
        </w:rPr>
        <w:t xml:space="preserve"> příjmech</w:t>
      </w:r>
      <w:r w:rsidR="00711B32">
        <w:rPr>
          <w:sz w:val="20"/>
          <w:szCs w:val="20"/>
        </w:rPr>
        <w:t xml:space="preserve">. </w:t>
      </w:r>
      <w:r w:rsidR="001D2E9D">
        <w:rPr>
          <w:rFonts w:eastAsia="Times New Roman"/>
        </w:rPr>
        <w:t xml:space="preserve">Dva extrémy – absolutní rovnost </w:t>
      </w:r>
      <w:r w:rsidRPr="00FC3B7C">
        <w:rPr>
          <w:rFonts w:eastAsia="Times New Roman"/>
        </w:rPr>
        <w:t>a absolutní nerovnost. Skutečné rozdělení důchodů je někde mezi těmito dvěma extrémy</w:t>
      </w:r>
      <w:r w:rsidR="00711B32">
        <w:rPr>
          <w:sz w:val="20"/>
          <w:szCs w:val="20"/>
        </w:rPr>
        <w:t xml:space="preserve">. </w:t>
      </w:r>
      <w:r w:rsidRPr="00FC3B7C">
        <w:rPr>
          <w:rFonts w:eastAsia="Times New Roman"/>
        </w:rPr>
        <w:t xml:space="preserve">Pokud ve společnosti existuje </w:t>
      </w:r>
      <w:r w:rsidRPr="00FC3B7C">
        <w:rPr>
          <w:rFonts w:eastAsia="Times New Roman"/>
          <w:b/>
          <w:bCs/>
          <w:i/>
          <w:iCs/>
        </w:rPr>
        <w:t xml:space="preserve">absolutní rovnost </w:t>
      </w:r>
      <w:r w:rsidRPr="00FC3B7C">
        <w:rPr>
          <w:rFonts w:eastAsia="Times New Roman"/>
        </w:rPr>
        <w:t>rozdělení důchodů (např. že30 % obyvatelstva obdrží 30 % důchodů), má Lorenzova křivka tvar úhlopříčky</w:t>
      </w:r>
      <w:r w:rsidR="00711B32">
        <w:rPr>
          <w:sz w:val="20"/>
          <w:szCs w:val="20"/>
        </w:rPr>
        <w:t xml:space="preserve">. </w:t>
      </w:r>
      <w:r w:rsidRPr="00FC3B7C">
        <w:rPr>
          <w:rFonts w:eastAsia="Times New Roman"/>
        </w:rPr>
        <w:t xml:space="preserve">V případě </w:t>
      </w:r>
      <w:r w:rsidRPr="00FC3B7C">
        <w:rPr>
          <w:rFonts w:eastAsia="Times New Roman"/>
          <w:b/>
          <w:bCs/>
        </w:rPr>
        <w:t>absolutní nerovnosti</w:t>
      </w:r>
      <w:r w:rsidRPr="00FC3B7C">
        <w:rPr>
          <w:rFonts w:eastAsia="Times New Roman"/>
        </w:rPr>
        <w:t xml:space="preserve"> (veškerý důchod dostává1 osoba) má pravoúhlý tvar</w:t>
      </w:r>
      <w:r w:rsidR="00711B32">
        <w:rPr>
          <w:sz w:val="20"/>
          <w:szCs w:val="20"/>
        </w:rPr>
        <w:t xml:space="preserve">. </w:t>
      </w:r>
      <w:r w:rsidRPr="00FC3B7C">
        <w:rPr>
          <w:rFonts w:eastAsia="Times New Roman"/>
        </w:rPr>
        <w:t>Skutečné rozdělení důchodů znázorňuje odchylku od absolutní rovnost</w:t>
      </w:r>
    </w:p>
    <w:p w14:paraId="4A6F4121" w14:textId="77777777" w:rsidR="00906FCE" w:rsidRPr="00FC3B7C" w:rsidRDefault="00906FCE" w:rsidP="004A163A">
      <w:pPr>
        <w:rPr>
          <w:sz w:val="20"/>
          <w:szCs w:val="20"/>
        </w:rPr>
      </w:pPr>
    </w:p>
    <w:p w14:paraId="4A6F4122" w14:textId="76528773" w:rsidR="00906FCE" w:rsidRPr="004A163A" w:rsidRDefault="004A163A" w:rsidP="001D2E9D">
      <w:pPr>
        <w:pStyle w:val="Nadpis3"/>
        <w:rPr>
          <w:color w:val="1F3864" w:themeColor="accent1" w:themeShade="80"/>
          <w:sz w:val="20"/>
          <w:szCs w:val="20"/>
        </w:rPr>
      </w:pPr>
      <w:r>
        <w:rPr>
          <w:rFonts w:eastAsia="Times New Roman"/>
          <w:color w:val="1F3864" w:themeColor="accent1" w:themeShade="80"/>
        </w:rPr>
        <w:t xml:space="preserve"> </w:t>
      </w:r>
      <w:r w:rsidR="00906FCE" w:rsidRPr="004A163A">
        <w:rPr>
          <w:rFonts w:eastAsia="Times New Roman"/>
          <w:color w:val="1F3864" w:themeColor="accent1" w:themeShade="80"/>
        </w:rPr>
        <w:t>Giniho koeficient</w:t>
      </w:r>
    </w:p>
    <w:p w14:paraId="4A6F4126" w14:textId="3C593804" w:rsidR="00906FCE" w:rsidRPr="004B6CDE" w:rsidRDefault="00906FCE" w:rsidP="00711B32">
      <w:pPr>
        <w:ind w:firstLine="720"/>
        <w:rPr>
          <w:sz w:val="20"/>
          <w:szCs w:val="20"/>
        </w:rPr>
      </w:pPr>
      <w:r w:rsidRPr="00FC3B7C">
        <w:rPr>
          <w:rFonts w:eastAsia="Times New Roman"/>
        </w:rPr>
        <w:t>Odvozen od Lorenzovy křivky</w:t>
      </w:r>
      <w:r w:rsidR="00711B32">
        <w:rPr>
          <w:sz w:val="20"/>
          <w:szCs w:val="20"/>
        </w:rPr>
        <w:t xml:space="preserve">. </w:t>
      </w:r>
      <w:r w:rsidRPr="00FC3B7C">
        <w:rPr>
          <w:rFonts w:eastAsia="Times New Roman"/>
        </w:rPr>
        <w:t>Giniho koeficient poměřuje</w:t>
      </w:r>
      <w:r w:rsidRPr="00FC3B7C">
        <w:rPr>
          <w:sz w:val="20"/>
          <w:szCs w:val="20"/>
        </w:rPr>
        <w:t xml:space="preserve"> </w:t>
      </w:r>
      <w:r w:rsidRPr="00FC3B7C">
        <w:rPr>
          <w:rFonts w:eastAsia="Times New Roman"/>
        </w:rPr>
        <w:t>rozdíl mezi plochou pod</w:t>
      </w:r>
      <w:r w:rsidRPr="00FC3B7C">
        <w:rPr>
          <w:sz w:val="20"/>
          <w:szCs w:val="20"/>
        </w:rPr>
        <w:t xml:space="preserve"> </w:t>
      </w:r>
      <w:r w:rsidRPr="00FC3B7C">
        <w:rPr>
          <w:rFonts w:eastAsia="Times New Roman"/>
        </w:rPr>
        <w:t>ideální Lorenzovou křivkou</w:t>
      </w:r>
      <w:r w:rsidRPr="00FC3B7C">
        <w:rPr>
          <w:sz w:val="20"/>
          <w:szCs w:val="20"/>
        </w:rPr>
        <w:t xml:space="preserve"> </w:t>
      </w:r>
      <w:r w:rsidRPr="00FC3B7C">
        <w:rPr>
          <w:rFonts w:eastAsia="Times New Roman"/>
        </w:rPr>
        <w:t xml:space="preserve">a plochou pod skutečnou Lorenzovo křivkou (G= (A/ A+B) a </w:t>
      </w:r>
      <w:r w:rsidRPr="004B6CDE">
        <w:rPr>
          <w:rFonts w:eastAsia="Times New Roman"/>
        </w:rPr>
        <w:t>nabývá hodnot mezi 0 až1.</w:t>
      </w:r>
      <w:r w:rsidR="00711B32" w:rsidRPr="004B6CDE">
        <w:rPr>
          <w:sz w:val="20"/>
          <w:szCs w:val="20"/>
        </w:rPr>
        <w:t xml:space="preserve"> </w:t>
      </w:r>
      <w:r w:rsidRPr="004B6CDE">
        <w:rPr>
          <w:rFonts w:eastAsia="Times New Roman"/>
        </w:rPr>
        <w:t>Čím více se hodnota blíží k 0, tím je rozdělení rovnější a naopak</w:t>
      </w:r>
      <w:r w:rsidR="00711B32" w:rsidRPr="004B6CDE">
        <w:rPr>
          <w:sz w:val="20"/>
          <w:szCs w:val="20"/>
        </w:rPr>
        <w:t xml:space="preserve">. </w:t>
      </w:r>
      <w:r w:rsidRPr="004B6CDE">
        <w:rPr>
          <w:rFonts w:eastAsia="Times New Roman"/>
        </w:rPr>
        <w:t>Giniho koeficient sděluje, kolik procent</w:t>
      </w:r>
      <w:r w:rsidRPr="004B6CDE">
        <w:rPr>
          <w:sz w:val="20"/>
          <w:szCs w:val="20"/>
        </w:rPr>
        <w:t xml:space="preserve"> </w:t>
      </w:r>
      <w:r w:rsidRPr="004B6CDE">
        <w:rPr>
          <w:rFonts w:eastAsia="Times New Roman"/>
        </w:rPr>
        <w:t>mezd je třeba vyplatit navíc, aby bylo dosaženo dané diferenciace.</w:t>
      </w:r>
    </w:p>
    <w:p w14:paraId="4A6F4128" w14:textId="0972100F" w:rsidR="00906FCE" w:rsidRPr="004B6CDE" w:rsidRDefault="0023251A" w:rsidP="004A163A">
      <w:pPr>
        <w:rPr>
          <w:sz w:val="20"/>
          <w:szCs w:val="20"/>
        </w:rPr>
      </w:pPr>
      <w:r w:rsidRPr="004B6CDE">
        <w:rPr>
          <w:rFonts w:eastAsia="Times New Roman"/>
        </w:rPr>
        <w:t>2020: V ČR Giniho koeficient 0,25; 2018: EU 19 0,31</w:t>
      </w:r>
    </w:p>
    <w:p w14:paraId="4A6F4129" w14:textId="7D0E1808" w:rsidR="00906FCE" w:rsidRPr="004A163A" w:rsidRDefault="004A163A" w:rsidP="001D2E9D">
      <w:pPr>
        <w:pStyle w:val="Nadpis3"/>
        <w:rPr>
          <w:color w:val="1F3864" w:themeColor="accent1" w:themeShade="80"/>
          <w:sz w:val="20"/>
          <w:szCs w:val="20"/>
        </w:rPr>
      </w:pPr>
      <w:r>
        <w:rPr>
          <w:rFonts w:eastAsia="Times New Roman"/>
          <w:color w:val="1F3864" w:themeColor="accent1" w:themeShade="80"/>
        </w:rPr>
        <w:t xml:space="preserve"> </w:t>
      </w:r>
      <w:r w:rsidR="00906FCE" w:rsidRPr="004A163A">
        <w:rPr>
          <w:rFonts w:eastAsia="Times New Roman"/>
          <w:color w:val="1F3864" w:themeColor="accent1" w:themeShade="80"/>
        </w:rPr>
        <w:t>Robin Hood index</w:t>
      </w:r>
    </w:p>
    <w:p w14:paraId="4A6F412A" w14:textId="77777777" w:rsidR="00906FCE" w:rsidRPr="00FC3B7C" w:rsidRDefault="00906FCE" w:rsidP="00711B32">
      <w:pPr>
        <w:ind w:firstLine="720"/>
        <w:rPr>
          <w:sz w:val="20"/>
          <w:szCs w:val="20"/>
        </w:rPr>
      </w:pPr>
      <w:r w:rsidRPr="00FC3B7C">
        <w:rPr>
          <w:rFonts w:eastAsia="Times New Roman"/>
        </w:rPr>
        <w:t>Vyjádřen maximální vertikální vzdáleností mezi Lorenzovou křivkou a křivkou absolutní rovností.</w:t>
      </w:r>
    </w:p>
    <w:p w14:paraId="4A6F412C" w14:textId="734172A5" w:rsidR="00906FCE" w:rsidRPr="00711B32" w:rsidRDefault="00906FCE" w:rsidP="00711B32">
      <w:pPr>
        <w:ind w:firstLine="720"/>
        <w:rPr>
          <w:sz w:val="20"/>
          <w:szCs w:val="20"/>
        </w:rPr>
      </w:pPr>
      <w:r w:rsidRPr="00FC3B7C">
        <w:rPr>
          <w:rFonts w:eastAsia="Times New Roman"/>
        </w:rPr>
        <w:t>Udává, jak velkou část důchodu společnosti by bylo třeba rozdělit od bohatých k chudým, aby bylo ve společnosti dosaženo absolutní rovnosti.</w:t>
      </w:r>
      <w:r w:rsidR="00711B32">
        <w:rPr>
          <w:sz w:val="20"/>
          <w:szCs w:val="20"/>
        </w:rPr>
        <w:t xml:space="preserve"> </w:t>
      </w:r>
      <w:r w:rsidRPr="00FC3B7C">
        <w:rPr>
          <w:rFonts w:eastAsia="Times New Roman"/>
        </w:rPr>
        <w:t>Procentní množství populace, které se dostane pod hranici chudoby. Chudoba je subjektivně daná v každé společnosti jako určitá min. úroveň příjmů k přežití</w:t>
      </w:r>
    </w:p>
    <w:p w14:paraId="4A6F412E" w14:textId="77777777" w:rsidR="00906FCE" w:rsidRPr="00FC3B7C" w:rsidRDefault="00906FCE" w:rsidP="004A163A">
      <w:pPr>
        <w:ind w:right="880"/>
        <w:rPr>
          <w:sz w:val="20"/>
          <w:szCs w:val="20"/>
        </w:rPr>
      </w:pPr>
    </w:p>
    <w:p w14:paraId="4A6F412F" w14:textId="20BCE38B" w:rsidR="00906FCE" w:rsidRPr="004A163A" w:rsidRDefault="004A163A" w:rsidP="001D2E9D">
      <w:pPr>
        <w:pStyle w:val="Nadpis3"/>
        <w:rPr>
          <w:color w:val="1F3864" w:themeColor="accent1" w:themeShade="80"/>
          <w:sz w:val="20"/>
          <w:szCs w:val="20"/>
        </w:rPr>
      </w:pPr>
      <w:r>
        <w:rPr>
          <w:rFonts w:eastAsia="Times New Roman"/>
          <w:color w:val="1F3864" w:themeColor="accent1" w:themeShade="80"/>
        </w:rPr>
        <w:t xml:space="preserve"> </w:t>
      </w:r>
      <w:r w:rsidR="00906FCE" w:rsidRPr="004A163A">
        <w:rPr>
          <w:rFonts w:eastAsia="Times New Roman"/>
          <w:color w:val="1F3864" w:themeColor="accent1" w:themeShade="80"/>
        </w:rPr>
        <w:t>Míra příjmové nerovnosti</w:t>
      </w:r>
    </w:p>
    <w:p w14:paraId="4A6F4131" w14:textId="6C09D28D" w:rsidR="00906FCE" w:rsidRPr="00FC3B7C" w:rsidRDefault="001D2E9D" w:rsidP="00711B32">
      <w:pPr>
        <w:ind w:firstLine="720"/>
        <w:rPr>
          <w:sz w:val="20"/>
          <w:szCs w:val="20"/>
        </w:rPr>
      </w:pPr>
      <w:r>
        <w:rPr>
          <w:rFonts w:eastAsia="Times New Roman"/>
        </w:rPr>
        <w:t>S</w:t>
      </w:r>
      <w:r w:rsidR="00906FCE" w:rsidRPr="00FC3B7C">
        <w:rPr>
          <w:rFonts w:eastAsia="Times New Roman"/>
        </w:rPr>
        <w:t>tandardizované rozdělení obyvatelstva do příjmových skupin, většinou kvantily</w:t>
      </w:r>
      <w:r w:rsidR="00711B32">
        <w:rPr>
          <w:sz w:val="20"/>
          <w:szCs w:val="20"/>
        </w:rPr>
        <w:t xml:space="preserve"> </w:t>
      </w:r>
      <w:r w:rsidR="00906FCE" w:rsidRPr="00FC3B7C">
        <w:rPr>
          <w:rFonts w:eastAsia="Times New Roman"/>
          <w:szCs w:val="24"/>
        </w:rPr>
        <w:t>(5 skupin po 20 %). Pak si klademe otázku: Jaký podíl na celkových příjmech připadá na 20 % obyvatelstva s nejnižšími příjmy, příp. na 20 % s nejvyššími příjmy. Vypovídá o distribuci příjmů v dané společnosti.</w:t>
      </w:r>
    </w:p>
    <w:p w14:paraId="4A6F4132" w14:textId="77777777" w:rsidR="00906FCE" w:rsidRPr="00FC3B7C" w:rsidRDefault="00906FCE" w:rsidP="00906FCE">
      <w:pPr>
        <w:rPr>
          <w:sz w:val="20"/>
          <w:szCs w:val="20"/>
        </w:rPr>
      </w:pPr>
    </w:p>
    <w:p w14:paraId="4A6F4133" w14:textId="3910E273" w:rsidR="00906FCE" w:rsidRPr="004A163A" w:rsidRDefault="004A163A" w:rsidP="00217AF8">
      <w:pPr>
        <w:pStyle w:val="Nadpis3"/>
        <w:rPr>
          <w:color w:val="1F3864" w:themeColor="accent1" w:themeShade="80"/>
          <w:sz w:val="20"/>
          <w:szCs w:val="20"/>
        </w:rPr>
      </w:pPr>
      <w:r>
        <w:rPr>
          <w:rFonts w:eastAsia="Times New Roman"/>
          <w:color w:val="1F3864" w:themeColor="accent1" w:themeShade="80"/>
        </w:rPr>
        <w:lastRenderedPageBreak/>
        <w:t xml:space="preserve"> </w:t>
      </w:r>
      <w:r w:rsidR="00906FCE" w:rsidRPr="004A163A">
        <w:rPr>
          <w:rFonts w:eastAsia="Times New Roman"/>
          <w:color w:val="1F3864" w:themeColor="accent1" w:themeShade="80"/>
        </w:rPr>
        <w:t>Index chudoby</w:t>
      </w:r>
    </w:p>
    <w:p w14:paraId="4A6F4135" w14:textId="4621C887" w:rsidR="00217AF8" w:rsidRPr="004A163A" w:rsidRDefault="00217AF8" w:rsidP="004A163A">
      <w:pPr>
        <w:ind w:firstLine="576"/>
        <w:rPr>
          <w:rFonts w:eastAsia="Times New Roman"/>
        </w:rPr>
      </w:pPr>
      <w:r>
        <w:rPr>
          <w:rFonts w:eastAsia="Times New Roman"/>
        </w:rPr>
        <w:t>Vyjadřuje</w:t>
      </w:r>
      <w:r w:rsidR="00906FCE" w:rsidRPr="00FC3B7C">
        <w:rPr>
          <w:rFonts w:eastAsia="Times New Roman"/>
        </w:rPr>
        <w:t xml:space="preserve"> procento populace, která se dostane pod hranici chudoby, tzn. pod určitou minimální úroveň příjmů, které postačí k živobytí</w:t>
      </w:r>
      <w:r w:rsidR="00906FCE" w:rsidRPr="00FC3B7C">
        <w:rPr>
          <w:sz w:val="20"/>
          <w:szCs w:val="20"/>
        </w:rPr>
        <w:t xml:space="preserve">. </w:t>
      </w:r>
      <w:r w:rsidR="00FB4B26">
        <w:rPr>
          <w:rFonts w:eastAsia="Times New Roman"/>
        </w:rPr>
        <w:t>N</w:t>
      </w:r>
      <w:r w:rsidR="00906FCE" w:rsidRPr="00FC3B7C">
        <w:rPr>
          <w:rFonts w:eastAsia="Times New Roman"/>
        </w:rPr>
        <w:t>ejnižší ve skandinávských zemích, nejvyšší v zemích Subsaharské Afriky.</w:t>
      </w:r>
    </w:p>
    <w:p w14:paraId="4A6F4136" w14:textId="77777777" w:rsidR="00906FCE" w:rsidRPr="00FC3B7C" w:rsidRDefault="00906FCE" w:rsidP="00906FCE">
      <w:pPr>
        <w:spacing w:line="200" w:lineRule="exact"/>
        <w:rPr>
          <w:sz w:val="20"/>
          <w:szCs w:val="20"/>
        </w:rPr>
      </w:pPr>
    </w:p>
    <w:p w14:paraId="4A6F4137" w14:textId="77777777" w:rsidR="00906FCE" w:rsidRPr="00FC3B7C" w:rsidRDefault="00906FCE" w:rsidP="00906FCE">
      <w:pPr>
        <w:spacing w:line="220" w:lineRule="exact"/>
        <w:rPr>
          <w:sz w:val="20"/>
          <w:szCs w:val="20"/>
        </w:rPr>
      </w:pPr>
    </w:p>
    <w:p w14:paraId="4A6F4138" w14:textId="77777777" w:rsidR="00906FCE" w:rsidRPr="004B6CDE" w:rsidRDefault="00906FCE" w:rsidP="00217AF8">
      <w:pPr>
        <w:pStyle w:val="Nadpis2"/>
        <w:rPr>
          <w:color w:val="1F3864" w:themeColor="accent1" w:themeShade="80"/>
        </w:rPr>
      </w:pPr>
      <w:r w:rsidRPr="004B6CDE">
        <w:rPr>
          <w:rFonts w:eastAsia="Cambria"/>
          <w:color w:val="1F3864" w:themeColor="accent1" w:themeShade="80"/>
        </w:rPr>
        <w:t>ZÁKLADNÍ NÁSTROJE PŘEROZDĚLOVÁNÍ</w:t>
      </w:r>
    </w:p>
    <w:p w14:paraId="4A6F4139" w14:textId="77777777" w:rsidR="00906FCE" w:rsidRPr="00FC3B7C" w:rsidRDefault="00906FCE" w:rsidP="00711B32">
      <w:pPr>
        <w:ind w:firstLine="720"/>
        <w:rPr>
          <w:sz w:val="20"/>
          <w:szCs w:val="20"/>
        </w:rPr>
      </w:pPr>
      <w:r w:rsidRPr="00FC3B7C">
        <w:rPr>
          <w:rFonts w:eastAsia="Times New Roman"/>
        </w:rPr>
        <w:t>Hlavním kritériem pro použití nástrojů k přerozdělování je kromě kritérií sociální spravedlnosti požadavek, aby dané nástroje a opatření podporovaly a pomáhaly</w:t>
      </w:r>
    </w:p>
    <w:p w14:paraId="4A6F413A" w14:textId="77777777" w:rsidR="00906FCE" w:rsidRPr="00FC3B7C" w:rsidRDefault="00906FCE" w:rsidP="00906FCE">
      <w:pPr>
        <w:spacing w:line="3" w:lineRule="exact"/>
        <w:rPr>
          <w:sz w:val="20"/>
          <w:szCs w:val="20"/>
        </w:rPr>
      </w:pPr>
    </w:p>
    <w:p w14:paraId="4A6F413B" w14:textId="77777777" w:rsidR="00906FCE" w:rsidRPr="00FC3B7C" w:rsidRDefault="00906FCE" w:rsidP="00906FCE">
      <w:pPr>
        <w:rPr>
          <w:sz w:val="20"/>
          <w:szCs w:val="20"/>
        </w:rPr>
      </w:pPr>
      <w:r w:rsidRPr="00FC3B7C">
        <w:rPr>
          <w:rFonts w:eastAsia="Times New Roman"/>
          <w:szCs w:val="24"/>
        </w:rPr>
        <w:t>k ekonomickému růstu a pokud možno ho nijak nebrzdily a nepodvazovaly.</w:t>
      </w:r>
    </w:p>
    <w:p w14:paraId="4A6F413C" w14:textId="77777777" w:rsidR="00906FCE" w:rsidRPr="00FC3B7C" w:rsidRDefault="00906FCE" w:rsidP="00906FCE">
      <w:pPr>
        <w:spacing w:line="356" w:lineRule="exact"/>
        <w:rPr>
          <w:sz w:val="20"/>
          <w:szCs w:val="20"/>
        </w:rPr>
      </w:pPr>
    </w:p>
    <w:p w14:paraId="4A6F413D" w14:textId="57CC2CC5" w:rsidR="00906FCE" w:rsidRPr="004A163A" w:rsidRDefault="004A163A" w:rsidP="00217AF8">
      <w:pPr>
        <w:pStyle w:val="Nadpis3"/>
        <w:rPr>
          <w:color w:val="1F3864" w:themeColor="accent1" w:themeShade="80"/>
          <w:sz w:val="20"/>
          <w:szCs w:val="20"/>
        </w:rPr>
      </w:pPr>
      <w:r>
        <w:rPr>
          <w:rFonts w:eastAsia="Times New Roman"/>
          <w:color w:val="1F3864" w:themeColor="accent1" w:themeShade="80"/>
        </w:rPr>
        <w:t xml:space="preserve"> </w:t>
      </w:r>
      <w:r w:rsidR="00906FCE" w:rsidRPr="004A163A">
        <w:rPr>
          <w:rFonts w:eastAsia="Times New Roman"/>
          <w:color w:val="1F3864" w:themeColor="accent1" w:themeShade="80"/>
        </w:rPr>
        <w:t>Nejčastěji používané nástroje</w:t>
      </w:r>
    </w:p>
    <w:p w14:paraId="4A6F413E" w14:textId="1916CC78" w:rsidR="00906FCE" w:rsidRPr="00FC3B7C" w:rsidRDefault="00906FCE" w:rsidP="00711B32">
      <w:pPr>
        <w:ind w:firstLine="720"/>
        <w:rPr>
          <w:sz w:val="20"/>
          <w:szCs w:val="20"/>
        </w:rPr>
      </w:pPr>
      <w:r w:rsidRPr="00FC3B7C">
        <w:rPr>
          <w:rFonts w:eastAsia="Times New Roman"/>
        </w:rPr>
        <w:t>Mezi nejčastěji používané nástroje přerozdělování patří rozpočtové soustavy a jejich prvky; para fiskální (mimorozpočtové) systémy</w:t>
      </w:r>
      <w:r w:rsidR="00FB4B26">
        <w:rPr>
          <w:rFonts w:eastAsia="Times New Roman"/>
        </w:rPr>
        <w:t xml:space="preserve"> </w:t>
      </w:r>
      <w:r w:rsidRPr="00FC3B7C">
        <w:rPr>
          <w:rFonts w:eastAsia="Times New Roman"/>
        </w:rPr>
        <w:t>– státní mimorozpočtové fondy (životního prostředí, kultury atd.), rozpočty zdravotních pojišťoven, fond sociálního zabezpečení, účelové fondy obcí atd.; právní úpravy podmínek rozdělování; účast státu v jednáních mezi jednotlivými sociálními partnery. Při používání prvků rozpočtových soustav je nutné rozlišit příjmovou a výdajovou stránku.</w:t>
      </w:r>
    </w:p>
    <w:p w14:paraId="4A6F413F" w14:textId="77777777" w:rsidR="00906FCE" w:rsidRPr="00FC3B7C" w:rsidRDefault="00906FCE" w:rsidP="00906FCE">
      <w:pPr>
        <w:spacing w:line="200" w:lineRule="exact"/>
        <w:rPr>
          <w:sz w:val="20"/>
          <w:szCs w:val="20"/>
        </w:rPr>
      </w:pPr>
    </w:p>
    <w:p w14:paraId="4A6F4140" w14:textId="77777777" w:rsidR="00906FCE" w:rsidRPr="00FC3B7C" w:rsidRDefault="00906FCE" w:rsidP="00217AF8">
      <w:pPr>
        <w:rPr>
          <w:sz w:val="20"/>
          <w:szCs w:val="20"/>
        </w:rPr>
      </w:pPr>
      <w:r w:rsidRPr="00FC3B7C">
        <w:rPr>
          <w:rFonts w:eastAsia="Times New Roman"/>
        </w:rPr>
        <w:t>Na straně příjmové jsou to především daně, z nichž v současných rozpočtových soustavách jsou nejvýznamnější důchodové, spotřební daně a DPH</w:t>
      </w:r>
    </w:p>
    <w:p w14:paraId="4A6F4141" w14:textId="77777777" w:rsidR="00906FCE" w:rsidRPr="00FC3B7C" w:rsidRDefault="00906FCE" w:rsidP="00906FCE">
      <w:pPr>
        <w:spacing w:line="1" w:lineRule="exact"/>
        <w:rPr>
          <w:sz w:val="20"/>
          <w:szCs w:val="20"/>
        </w:rPr>
      </w:pPr>
    </w:p>
    <w:p w14:paraId="4A6F4142" w14:textId="77777777" w:rsidR="00906FCE" w:rsidRPr="00217AF8" w:rsidRDefault="00906FCE" w:rsidP="00D46B53">
      <w:pPr>
        <w:pStyle w:val="Odstavecseseznamem"/>
        <w:numPr>
          <w:ilvl w:val="0"/>
          <w:numId w:val="586"/>
        </w:numPr>
        <w:ind w:left="993" w:right="400"/>
        <w:rPr>
          <w:sz w:val="20"/>
          <w:szCs w:val="20"/>
        </w:rPr>
      </w:pPr>
      <w:r w:rsidRPr="00FC3B7C">
        <w:rPr>
          <w:rFonts w:eastAsia="Times New Roman"/>
          <w:b/>
          <w:bCs/>
          <w:szCs w:val="24"/>
        </w:rPr>
        <w:t xml:space="preserve">Důchodové daně </w:t>
      </w:r>
      <w:r w:rsidRPr="00FC3B7C">
        <w:rPr>
          <w:rFonts w:eastAsia="Times New Roman"/>
          <w:szCs w:val="24"/>
        </w:rPr>
        <w:t xml:space="preserve">(přímé) - rozdílné pro fyzické a právnické osoby, daně </w:t>
      </w:r>
      <w:r w:rsidR="00217AF8">
        <w:rPr>
          <w:rFonts w:eastAsia="Times New Roman"/>
          <w:szCs w:val="24"/>
        </w:rPr>
        <w:br/>
      </w:r>
      <w:r w:rsidRPr="00FC3B7C">
        <w:rPr>
          <w:rFonts w:eastAsia="Times New Roman"/>
          <w:szCs w:val="24"/>
        </w:rPr>
        <w:t>z příjmů fyzických osob jsou objemově důležitější</w:t>
      </w:r>
    </w:p>
    <w:p w14:paraId="4A6F4143" w14:textId="77777777" w:rsidR="00906FCE" w:rsidRPr="00FC3B7C" w:rsidRDefault="00906FCE" w:rsidP="00D46B53">
      <w:pPr>
        <w:pStyle w:val="Odstavecseseznamem"/>
        <w:numPr>
          <w:ilvl w:val="0"/>
          <w:numId w:val="585"/>
        </w:numPr>
        <w:ind w:left="993"/>
        <w:rPr>
          <w:sz w:val="20"/>
          <w:szCs w:val="20"/>
        </w:rPr>
      </w:pPr>
      <w:r w:rsidRPr="00FC3B7C">
        <w:rPr>
          <w:rFonts w:eastAsia="Times New Roman"/>
          <w:b/>
          <w:bCs/>
          <w:szCs w:val="24"/>
        </w:rPr>
        <w:t>Negativní důchodová daň</w:t>
      </w:r>
      <w:r w:rsidRPr="00FC3B7C">
        <w:rPr>
          <w:rFonts w:eastAsia="Times New Roman"/>
          <w:szCs w:val="24"/>
        </w:rPr>
        <w:t>-zákonem se stanoví určitá mez a každý, jehož příjem</w:t>
      </w:r>
    </w:p>
    <w:p w14:paraId="4A6F4144" w14:textId="77777777" w:rsidR="00906FCE" w:rsidRPr="00FC3B7C" w:rsidRDefault="00906FCE" w:rsidP="00217AF8">
      <w:pPr>
        <w:ind w:left="993" w:right="120"/>
        <w:rPr>
          <w:sz w:val="20"/>
          <w:szCs w:val="20"/>
        </w:rPr>
      </w:pPr>
      <w:r w:rsidRPr="00FC3B7C">
        <w:rPr>
          <w:rFonts w:eastAsia="Times New Roman"/>
          <w:sz w:val="23"/>
          <w:szCs w:val="23"/>
        </w:rPr>
        <w:t xml:space="preserve">tuto mez přesáhne, odvede určité procento z rozdílu svého příjmu přesahujícího tuto mez. Naopak kdo má příjem menší než stanovenou mez, dostane určité procento </w:t>
      </w:r>
      <w:r w:rsidR="00217AF8">
        <w:rPr>
          <w:rFonts w:eastAsia="Times New Roman"/>
          <w:sz w:val="23"/>
          <w:szCs w:val="23"/>
        </w:rPr>
        <w:br/>
      </w:r>
      <w:r w:rsidRPr="00FC3B7C">
        <w:rPr>
          <w:rFonts w:eastAsia="Times New Roman"/>
          <w:sz w:val="23"/>
          <w:szCs w:val="23"/>
        </w:rPr>
        <w:t>z toho, co mu do této meze chybí. Negativní daň v podstatě představuje sociální dávku.</w:t>
      </w:r>
    </w:p>
    <w:p w14:paraId="4A6F4145" w14:textId="77777777" w:rsidR="00906FCE" w:rsidRPr="00217AF8" w:rsidRDefault="00906FCE" w:rsidP="00D46B53">
      <w:pPr>
        <w:pStyle w:val="Odstavecseseznamem"/>
        <w:numPr>
          <w:ilvl w:val="0"/>
          <w:numId w:val="584"/>
        </w:numPr>
        <w:ind w:left="993" w:right="840"/>
        <w:rPr>
          <w:rFonts w:eastAsia="Times New Roman"/>
          <w:szCs w:val="24"/>
        </w:rPr>
      </w:pPr>
      <w:r w:rsidRPr="00FC3B7C">
        <w:rPr>
          <w:rFonts w:eastAsia="Times New Roman"/>
          <w:b/>
          <w:bCs/>
          <w:szCs w:val="24"/>
        </w:rPr>
        <w:t xml:space="preserve">Rovná daň </w:t>
      </w:r>
      <w:r w:rsidRPr="00FC3B7C">
        <w:rPr>
          <w:rFonts w:eastAsia="Times New Roman"/>
          <w:szCs w:val="24"/>
        </w:rPr>
        <w:t>– představuje sjednocení všech daní na stejnou procentní sazbu bez většiny výjimek a úlev. Znamená zjednodušení a zúžení administrativ</w:t>
      </w:r>
    </w:p>
    <w:p w14:paraId="4A6F4147" w14:textId="35BD6C29" w:rsidR="00906FCE" w:rsidRPr="004B6CDE" w:rsidRDefault="00906FCE" w:rsidP="00D46B53">
      <w:pPr>
        <w:pStyle w:val="Odstavecseseznamem"/>
        <w:numPr>
          <w:ilvl w:val="0"/>
          <w:numId w:val="583"/>
        </w:numPr>
        <w:ind w:left="993" w:right="120"/>
        <w:rPr>
          <w:sz w:val="20"/>
          <w:szCs w:val="20"/>
        </w:rPr>
      </w:pPr>
      <w:r w:rsidRPr="00FC3B7C">
        <w:rPr>
          <w:rFonts w:eastAsia="Times New Roman"/>
          <w:b/>
          <w:bCs/>
          <w:szCs w:val="24"/>
        </w:rPr>
        <w:t>Nepřímé daně</w:t>
      </w:r>
      <w:r w:rsidRPr="00FC3B7C">
        <w:rPr>
          <w:rFonts w:eastAsia="Times New Roman"/>
          <w:szCs w:val="24"/>
        </w:rPr>
        <w:t xml:space="preserve"> (spotřební, DPH) – snáze se vybírají a kontrolují než důchodové daně, tzv. skryté daně</w:t>
      </w:r>
    </w:p>
    <w:p w14:paraId="0C0FC8AC" w14:textId="77777777" w:rsidR="004A163A" w:rsidRPr="004B6CDE" w:rsidRDefault="004A163A" w:rsidP="004B6CDE">
      <w:pPr>
        <w:spacing w:line="278" w:lineRule="auto"/>
        <w:ind w:right="120"/>
        <w:rPr>
          <w:sz w:val="20"/>
          <w:szCs w:val="20"/>
        </w:rPr>
      </w:pPr>
    </w:p>
    <w:p w14:paraId="4A6F4148" w14:textId="77777777" w:rsidR="00906FCE" w:rsidRPr="004A163A" w:rsidRDefault="00906FCE" w:rsidP="00217AF8">
      <w:pPr>
        <w:pStyle w:val="Nadpis4"/>
        <w:rPr>
          <w:color w:val="1F3864" w:themeColor="accent1" w:themeShade="80"/>
          <w:sz w:val="20"/>
          <w:szCs w:val="20"/>
        </w:rPr>
      </w:pPr>
      <w:r w:rsidRPr="004A163A">
        <w:rPr>
          <w:rFonts w:eastAsia="Times New Roman"/>
          <w:color w:val="1F3864" w:themeColor="accent1" w:themeShade="80"/>
        </w:rPr>
        <w:lastRenderedPageBreak/>
        <w:t>Daně z hlediska politiky rozdělování</w:t>
      </w:r>
    </w:p>
    <w:p w14:paraId="4A6F4149" w14:textId="77777777" w:rsidR="00906FCE" w:rsidRPr="00FC3B7C" w:rsidRDefault="00906FCE" w:rsidP="00906FCE">
      <w:pPr>
        <w:spacing w:line="165" w:lineRule="exact"/>
        <w:rPr>
          <w:sz w:val="20"/>
          <w:szCs w:val="20"/>
        </w:rPr>
      </w:pPr>
    </w:p>
    <w:p w14:paraId="4A6F414A" w14:textId="77777777" w:rsidR="00906FCE" w:rsidRPr="00FC3B7C" w:rsidRDefault="00906FCE" w:rsidP="00711B32">
      <w:pPr>
        <w:ind w:left="568" w:firstLine="720"/>
        <w:rPr>
          <w:rFonts w:eastAsia="Times New Roman"/>
        </w:rPr>
      </w:pPr>
      <w:r w:rsidRPr="00FC3B7C">
        <w:rPr>
          <w:rFonts w:eastAsia="Times New Roman"/>
        </w:rPr>
        <w:t xml:space="preserve">Většinová část společnosti nepovažuje rozdělení bohatství a důchodů za spravedlivé. Veřejné finance mají za úkol pomocí daní a transferů přesouvat část bohatství směrem od bohatších </w:t>
      </w:r>
      <w:r w:rsidR="00B14127">
        <w:rPr>
          <w:rFonts w:eastAsia="Times New Roman"/>
        </w:rPr>
        <w:br/>
      </w:r>
      <w:r w:rsidRPr="00FC3B7C">
        <w:rPr>
          <w:rFonts w:eastAsia="Times New Roman"/>
        </w:rPr>
        <w:t>k chudším skupinám společnosti.</w:t>
      </w:r>
    </w:p>
    <w:p w14:paraId="4A6F414B" w14:textId="77777777" w:rsidR="00906FCE" w:rsidRPr="00FC3B7C" w:rsidRDefault="00906FCE" w:rsidP="00906FCE">
      <w:pPr>
        <w:spacing w:line="250" w:lineRule="auto"/>
        <w:ind w:left="120" w:right="480"/>
        <w:rPr>
          <w:sz w:val="20"/>
          <w:szCs w:val="20"/>
        </w:rPr>
      </w:pPr>
    </w:p>
    <w:p w14:paraId="4A6F414C" w14:textId="77777777" w:rsidR="00906FCE" w:rsidRPr="00FC3B7C" w:rsidRDefault="00906FCE" w:rsidP="00906FCE">
      <w:pPr>
        <w:spacing w:line="1" w:lineRule="exact"/>
        <w:rPr>
          <w:sz w:val="20"/>
          <w:szCs w:val="20"/>
        </w:rPr>
      </w:pPr>
    </w:p>
    <w:p w14:paraId="4A6F414D" w14:textId="77777777" w:rsidR="00906FCE" w:rsidRPr="00FC3B7C" w:rsidRDefault="00906FCE" w:rsidP="00711B32">
      <w:pPr>
        <w:ind w:left="568"/>
        <w:rPr>
          <w:sz w:val="20"/>
          <w:szCs w:val="20"/>
        </w:rPr>
      </w:pPr>
      <w:r w:rsidRPr="00FC3B7C">
        <w:rPr>
          <w:rFonts w:eastAsia="Times New Roman"/>
        </w:rPr>
        <w:t>Tato funkce se nazývá redistribuční a můžeme ji rozdělit na:</w:t>
      </w:r>
    </w:p>
    <w:p w14:paraId="4A6F414E" w14:textId="77777777" w:rsidR="00906FCE" w:rsidRPr="00FC3B7C" w:rsidRDefault="00906FCE" w:rsidP="00711B32">
      <w:pPr>
        <w:spacing w:line="121" w:lineRule="exact"/>
        <w:ind w:left="568"/>
        <w:rPr>
          <w:sz w:val="20"/>
          <w:szCs w:val="20"/>
        </w:rPr>
      </w:pPr>
    </w:p>
    <w:p w14:paraId="4A6F414F" w14:textId="77777777" w:rsidR="00906FCE" w:rsidRPr="00FC3B7C" w:rsidRDefault="00906FCE" w:rsidP="00D46B53">
      <w:pPr>
        <w:numPr>
          <w:ilvl w:val="0"/>
          <w:numId w:val="246"/>
        </w:numPr>
        <w:tabs>
          <w:tab w:val="left" w:pos="820"/>
        </w:tabs>
        <w:ind w:left="1388" w:hanging="348"/>
        <w:rPr>
          <w:rFonts w:eastAsia="Times New Roman"/>
          <w:szCs w:val="24"/>
        </w:rPr>
      </w:pPr>
      <w:r w:rsidRPr="00FC3B7C">
        <w:rPr>
          <w:rFonts w:eastAsia="Times New Roman"/>
          <w:szCs w:val="24"/>
        </w:rPr>
        <w:t xml:space="preserve">Redistribuci ve prospěch chudých = </w:t>
      </w:r>
      <w:r w:rsidRPr="00FC3B7C">
        <w:rPr>
          <w:rFonts w:eastAsia="Times New Roman"/>
          <w:b/>
          <w:bCs/>
          <w:szCs w:val="24"/>
        </w:rPr>
        <w:t>progresivní</w:t>
      </w:r>
    </w:p>
    <w:p w14:paraId="4A6F4150" w14:textId="77777777" w:rsidR="00906FCE" w:rsidRPr="00FC3B7C" w:rsidRDefault="00906FCE" w:rsidP="00D46B53">
      <w:pPr>
        <w:numPr>
          <w:ilvl w:val="0"/>
          <w:numId w:val="246"/>
        </w:numPr>
        <w:tabs>
          <w:tab w:val="left" w:pos="820"/>
        </w:tabs>
        <w:ind w:left="1388" w:hanging="348"/>
        <w:rPr>
          <w:rFonts w:eastAsia="Times New Roman"/>
          <w:szCs w:val="24"/>
        </w:rPr>
      </w:pPr>
      <w:r w:rsidRPr="00FC3B7C">
        <w:rPr>
          <w:rFonts w:eastAsia="Times New Roman"/>
          <w:szCs w:val="24"/>
        </w:rPr>
        <w:t xml:space="preserve">Redistribuci ve prospěch bohatých = </w:t>
      </w:r>
      <w:r w:rsidRPr="00FC3B7C">
        <w:rPr>
          <w:rFonts w:eastAsia="Times New Roman"/>
          <w:b/>
          <w:bCs/>
          <w:szCs w:val="24"/>
        </w:rPr>
        <w:t>regresivní</w:t>
      </w:r>
    </w:p>
    <w:p w14:paraId="4A6F4151" w14:textId="77777777" w:rsidR="00906FCE" w:rsidRPr="00FC3B7C" w:rsidRDefault="00906FCE" w:rsidP="00906FCE">
      <w:pPr>
        <w:spacing w:line="242" w:lineRule="exact"/>
        <w:rPr>
          <w:sz w:val="20"/>
          <w:szCs w:val="20"/>
        </w:rPr>
      </w:pPr>
    </w:p>
    <w:p w14:paraId="4A6F4152" w14:textId="77777777" w:rsidR="00906FCE" w:rsidRPr="00FC3B7C" w:rsidRDefault="00906FCE" w:rsidP="00711B32">
      <w:pPr>
        <w:ind w:left="720"/>
        <w:rPr>
          <w:sz w:val="20"/>
          <w:szCs w:val="20"/>
        </w:rPr>
      </w:pPr>
      <w:r w:rsidRPr="00FC3B7C">
        <w:rPr>
          <w:rFonts w:eastAsia="Times New Roman"/>
        </w:rPr>
        <w:t>K přerozdělování příjmů jsou poté uplatňovány 2 přístupy:</w:t>
      </w:r>
    </w:p>
    <w:p w14:paraId="4A6F4153" w14:textId="77777777" w:rsidR="00906FCE" w:rsidRPr="00FC3B7C" w:rsidRDefault="00906FCE" w:rsidP="00711B32">
      <w:pPr>
        <w:spacing w:line="156" w:lineRule="exact"/>
        <w:ind w:left="720"/>
        <w:rPr>
          <w:sz w:val="20"/>
          <w:szCs w:val="20"/>
        </w:rPr>
      </w:pPr>
    </w:p>
    <w:p w14:paraId="4A6F4154" w14:textId="1AAEE0E0" w:rsidR="00906FCE" w:rsidRPr="00FC3B7C" w:rsidRDefault="00906FCE" w:rsidP="00D46B53">
      <w:pPr>
        <w:numPr>
          <w:ilvl w:val="0"/>
          <w:numId w:val="247"/>
        </w:numPr>
        <w:tabs>
          <w:tab w:val="left" w:pos="824"/>
        </w:tabs>
        <w:ind w:left="1560" w:right="360" w:hanging="368"/>
        <w:rPr>
          <w:rFonts w:eastAsia="Times New Roman"/>
          <w:szCs w:val="24"/>
        </w:rPr>
      </w:pPr>
      <w:r w:rsidRPr="00FC3B7C">
        <w:rPr>
          <w:rFonts w:eastAsia="Times New Roman"/>
          <w:b/>
          <w:szCs w:val="24"/>
        </w:rPr>
        <w:t>Normativní</w:t>
      </w:r>
      <w:r w:rsidRPr="00FC3B7C">
        <w:rPr>
          <w:rFonts w:eastAsia="Times New Roman"/>
          <w:szCs w:val="24"/>
        </w:rPr>
        <w:t xml:space="preserve"> – jakou redistribuci je třeba usilovat, zda na základě prospěšnosti, využitelnosti či rovnosti</w:t>
      </w:r>
      <w:r w:rsidR="00FB4B26">
        <w:rPr>
          <w:rFonts w:eastAsia="Times New Roman"/>
          <w:szCs w:val="24"/>
        </w:rPr>
        <w:t xml:space="preserve"> </w:t>
      </w:r>
      <w:r w:rsidRPr="00FC3B7C">
        <w:rPr>
          <w:rFonts w:eastAsia="Times New Roman"/>
          <w:szCs w:val="24"/>
        </w:rPr>
        <w:t>– základem jsou individuální preference a prospěch občana</w:t>
      </w:r>
    </w:p>
    <w:p w14:paraId="4A6F4155" w14:textId="77777777" w:rsidR="00906FCE" w:rsidRPr="00FC3B7C" w:rsidRDefault="00906FCE" w:rsidP="00D46B53">
      <w:pPr>
        <w:numPr>
          <w:ilvl w:val="0"/>
          <w:numId w:val="247"/>
        </w:numPr>
        <w:tabs>
          <w:tab w:val="left" w:pos="820"/>
        </w:tabs>
        <w:ind w:left="1540" w:hanging="348"/>
        <w:rPr>
          <w:rFonts w:eastAsia="Times New Roman"/>
          <w:szCs w:val="24"/>
        </w:rPr>
      </w:pPr>
      <w:r w:rsidRPr="00FC3B7C">
        <w:rPr>
          <w:rFonts w:eastAsia="Times New Roman"/>
          <w:b/>
          <w:szCs w:val="24"/>
        </w:rPr>
        <w:t xml:space="preserve">Pozitivní </w:t>
      </w:r>
      <w:r w:rsidRPr="00FC3B7C">
        <w:rPr>
          <w:rFonts w:eastAsia="Times New Roman"/>
          <w:szCs w:val="24"/>
        </w:rPr>
        <w:t>– otázka opodstatněnosti, vhodnosti redistribuce</w:t>
      </w:r>
    </w:p>
    <w:p w14:paraId="4A6F4156" w14:textId="77777777" w:rsidR="00906FCE" w:rsidRPr="00FC3B7C" w:rsidRDefault="00906FCE" w:rsidP="00906FCE">
      <w:pPr>
        <w:spacing w:line="200" w:lineRule="exact"/>
        <w:rPr>
          <w:sz w:val="20"/>
          <w:szCs w:val="20"/>
        </w:rPr>
      </w:pPr>
    </w:p>
    <w:p w14:paraId="4A6F4157" w14:textId="77777777" w:rsidR="00906FCE" w:rsidRPr="00FC3B7C" w:rsidRDefault="00906FCE" w:rsidP="00906FCE">
      <w:pPr>
        <w:spacing w:line="200" w:lineRule="exact"/>
        <w:rPr>
          <w:sz w:val="20"/>
          <w:szCs w:val="20"/>
        </w:rPr>
      </w:pPr>
    </w:p>
    <w:p w14:paraId="4A6F4158" w14:textId="77777777" w:rsidR="00906FCE" w:rsidRPr="00FC3B7C" w:rsidRDefault="00906FCE" w:rsidP="00906FCE">
      <w:pPr>
        <w:spacing w:line="212" w:lineRule="exact"/>
        <w:rPr>
          <w:b/>
          <w:sz w:val="20"/>
          <w:szCs w:val="20"/>
        </w:rPr>
      </w:pPr>
    </w:p>
    <w:p w14:paraId="4A6F4159" w14:textId="77777777" w:rsidR="00906FCE" w:rsidRPr="00FC3B7C" w:rsidRDefault="00906FCE" w:rsidP="00711B32">
      <w:pPr>
        <w:ind w:left="720"/>
        <w:rPr>
          <w:rFonts w:eastAsia="Times New Roman"/>
          <w:b/>
          <w:szCs w:val="24"/>
        </w:rPr>
      </w:pPr>
      <w:r w:rsidRPr="00FC3B7C">
        <w:rPr>
          <w:rFonts w:eastAsia="Times New Roman"/>
          <w:b/>
          <w:szCs w:val="24"/>
        </w:rPr>
        <w:t>Daňový systém dělíme na:</w:t>
      </w:r>
    </w:p>
    <w:p w14:paraId="4A6F415B" w14:textId="77777777" w:rsidR="00906FCE" w:rsidRPr="00FC3B7C" w:rsidRDefault="00906FCE" w:rsidP="00D46B53">
      <w:pPr>
        <w:numPr>
          <w:ilvl w:val="0"/>
          <w:numId w:val="248"/>
        </w:numPr>
        <w:tabs>
          <w:tab w:val="left" w:pos="820"/>
        </w:tabs>
        <w:ind w:left="1420" w:hanging="348"/>
        <w:rPr>
          <w:rFonts w:eastAsia="Times New Roman"/>
        </w:rPr>
      </w:pPr>
      <w:r w:rsidRPr="00FC3B7C">
        <w:rPr>
          <w:rFonts w:eastAsia="Times New Roman"/>
          <w:b/>
        </w:rPr>
        <w:t>Progresivní</w:t>
      </w:r>
      <w:r w:rsidRPr="00FC3B7C">
        <w:rPr>
          <w:rFonts w:eastAsia="Times New Roman"/>
        </w:rPr>
        <w:t xml:space="preserve"> – funguje na principu stejné mezní oběti, každý cítí stejnou mezní újmu.</w:t>
      </w:r>
    </w:p>
    <w:p w14:paraId="4A6F415C" w14:textId="77777777" w:rsidR="00906FCE" w:rsidRPr="00FC3B7C" w:rsidRDefault="00906FCE" w:rsidP="00711B32">
      <w:pPr>
        <w:ind w:left="1451"/>
        <w:rPr>
          <w:sz w:val="20"/>
          <w:szCs w:val="20"/>
        </w:rPr>
      </w:pPr>
      <w:r w:rsidRPr="00FC3B7C">
        <w:rPr>
          <w:rFonts w:eastAsia="Times New Roman"/>
          <w:szCs w:val="24"/>
        </w:rPr>
        <w:t>Čím vyšší jsou příjmy (daňový základ) tím vyšší je procentuální sazba daně, demotivující, neefektivní.</w:t>
      </w:r>
    </w:p>
    <w:p w14:paraId="4A6F415D" w14:textId="58AA1F47" w:rsidR="00906FCE" w:rsidRPr="00FC3B7C" w:rsidRDefault="00906FCE" w:rsidP="00D46B53">
      <w:pPr>
        <w:numPr>
          <w:ilvl w:val="0"/>
          <w:numId w:val="249"/>
        </w:numPr>
        <w:tabs>
          <w:tab w:val="left" w:pos="820"/>
        </w:tabs>
        <w:ind w:left="1420" w:hanging="348"/>
        <w:rPr>
          <w:rFonts w:eastAsia="Times New Roman"/>
          <w:szCs w:val="24"/>
        </w:rPr>
      </w:pPr>
      <w:r w:rsidRPr="00FC3B7C">
        <w:rPr>
          <w:rFonts w:eastAsia="Times New Roman"/>
          <w:b/>
          <w:szCs w:val="24"/>
        </w:rPr>
        <w:t>Regresivní</w:t>
      </w:r>
      <w:r w:rsidR="00711B32">
        <w:rPr>
          <w:rFonts w:eastAsia="Times New Roman"/>
          <w:b/>
          <w:szCs w:val="24"/>
        </w:rPr>
        <w:t xml:space="preserve"> </w:t>
      </w:r>
      <w:r w:rsidRPr="00FC3B7C">
        <w:rPr>
          <w:rFonts w:eastAsia="Times New Roman"/>
          <w:szCs w:val="24"/>
        </w:rPr>
        <w:t>-</w:t>
      </w:r>
      <w:r w:rsidR="00711B32">
        <w:rPr>
          <w:rFonts w:eastAsia="Times New Roman"/>
          <w:szCs w:val="24"/>
        </w:rPr>
        <w:t xml:space="preserve"> </w:t>
      </w:r>
      <w:r w:rsidRPr="00FC3B7C">
        <w:rPr>
          <w:rFonts w:eastAsia="Times New Roman"/>
          <w:szCs w:val="24"/>
        </w:rPr>
        <w:t>s rostoucím příjmem zaplacená daň klesá. Vyskytuje se obvykle u spotřební daně na tabák, či alkohol. Chudší lidé zaplatí za tabák větší podíl svého příjmu.</w:t>
      </w:r>
    </w:p>
    <w:p w14:paraId="4A6F415E" w14:textId="77777777" w:rsidR="00906FCE" w:rsidRPr="00FC3B7C" w:rsidRDefault="00906FCE" w:rsidP="00D46B53">
      <w:pPr>
        <w:pStyle w:val="Odstavecseseznamem"/>
        <w:numPr>
          <w:ilvl w:val="0"/>
          <w:numId w:val="249"/>
        </w:numPr>
        <w:tabs>
          <w:tab w:val="left" w:pos="820"/>
        </w:tabs>
        <w:ind w:left="1320"/>
        <w:rPr>
          <w:rFonts w:eastAsia="Times New Roman"/>
          <w:szCs w:val="24"/>
        </w:rPr>
      </w:pPr>
      <w:r w:rsidRPr="00FC3B7C">
        <w:rPr>
          <w:rFonts w:eastAsia="Times New Roman"/>
          <w:b/>
          <w:szCs w:val="24"/>
        </w:rPr>
        <w:t>Lineární (konstantní)</w:t>
      </w:r>
      <w:r w:rsidRPr="00FC3B7C">
        <w:rPr>
          <w:rFonts w:eastAsia="Times New Roman"/>
          <w:szCs w:val="24"/>
        </w:rPr>
        <w:t xml:space="preserve"> – princip stejné relativní oběti, procentuální sazba daně je pro</w:t>
      </w:r>
    </w:p>
    <w:p w14:paraId="4A6F415F" w14:textId="77777777" w:rsidR="00906FCE" w:rsidRPr="00FC3B7C" w:rsidRDefault="00906FCE" w:rsidP="00711B32">
      <w:pPr>
        <w:ind w:left="1420"/>
        <w:rPr>
          <w:sz w:val="20"/>
          <w:szCs w:val="20"/>
        </w:rPr>
      </w:pPr>
      <w:r w:rsidRPr="00FC3B7C">
        <w:rPr>
          <w:rFonts w:eastAsia="Times New Roman"/>
          <w:szCs w:val="24"/>
        </w:rPr>
        <w:t>Všechny stejná, tzn. rovná daň. např. bohatší mají větší majetek, a tedy vice využívají ochranu majetku státem, proto platí absolutně vice.</w:t>
      </w:r>
    </w:p>
    <w:p w14:paraId="4A6F4160" w14:textId="719BECD6" w:rsidR="00906FCE" w:rsidRPr="00FC3B7C" w:rsidRDefault="00906FCE" w:rsidP="00D46B53">
      <w:pPr>
        <w:pStyle w:val="Odstavecseseznamem"/>
        <w:numPr>
          <w:ilvl w:val="0"/>
          <w:numId w:val="581"/>
        </w:numPr>
        <w:tabs>
          <w:tab w:val="left" w:pos="824"/>
        </w:tabs>
        <w:ind w:left="1320"/>
        <w:rPr>
          <w:rFonts w:eastAsia="Arial"/>
          <w:szCs w:val="24"/>
        </w:rPr>
      </w:pPr>
      <w:r w:rsidRPr="00FC3B7C">
        <w:rPr>
          <w:rFonts w:eastAsia="Times New Roman"/>
          <w:b/>
          <w:szCs w:val="24"/>
        </w:rPr>
        <w:t>Daň z hlavy</w:t>
      </w:r>
      <w:r w:rsidRPr="00FC3B7C">
        <w:rPr>
          <w:rFonts w:eastAsia="Times New Roman"/>
          <w:szCs w:val="24"/>
        </w:rPr>
        <w:t xml:space="preserve"> – princip stejné absolutní oběti, všichni platí stejnou absolutní částku. </w:t>
      </w:r>
      <w:r w:rsidR="00B14127">
        <w:rPr>
          <w:rFonts w:eastAsia="Times New Roman"/>
          <w:szCs w:val="24"/>
        </w:rPr>
        <w:br/>
      </w:r>
      <w:r w:rsidR="003376E1">
        <w:rPr>
          <w:rFonts w:eastAsia="Times New Roman"/>
          <w:szCs w:val="24"/>
        </w:rPr>
        <w:t xml:space="preserve"> </w:t>
      </w:r>
      <w:r w:rsidRPr="00FC3B7C">
        <w:rPr>
          <w:rFonts w:eastAsia="Times New Roman"/>
          <w:szCs w:val="24"/>
        </w:rPr>
        <w:t>V</w:t>
      </w:r>
      <w:r w:rsidR="003376E1">
        <w:rPr>
          <w:rFonts w:eastAsia="Times New Roman"/>
          <w:szCs w:val="24"/>
        </w:rPr>
        <w:t xml:space="preserve"> </w:t>
      </w:r>
      <w:r w:rsidRPr="00FC3B7C">
        <w:rPr>
          <w:rFonts w:eastAsia="Times New Roman"/>
          <w:szCs w:val="24"/>
        </w:rPr>
        <w:t>praxi se ji neúspěšně snažila zavést Margaret Tchatcherová ve VB.</w:t>
      </w:r>
      <w:r w:rsidR="00B14127">
        <w:rPr>
          <w:rStyle w:val="Znakapoznpodarou"/>
          <w:rFonts w:eastAsia="Times New Roman"/>
          <w:sz w:val="31"/>
          <w:szCs w:val="31"/>
        </w:rPr>
        <w:footnoteReference w:id="43"/>
      </w:r>
    </w:p>
    <w:p w14:paraId="4A6F4162" w14:textId="77777777" w:rsidR="00B14127" w:rsidRPr="00FC3B7C" w:rsidRDefault="00B14127" w:rsidP="00906FCE">
      <w:pPr>
        <w:spacing w:line="316" w:lineRule="exact"/>
        <w:rPr>
          <w:sz w:val="20"/>
          <w:szCs w:val="20"/>
        </w:rPr>
      </w:pPr>
    </w:p>
    <w:p w14:paraId="4A6F4163" w14:textId="77777777" w:rsidR="00906FCE" w:rsidRPr="004B6CDE" w:rsidRDefault="00906FCE" w:rsidP="00B14127">
      <w:pPr>
        <w:pStyle w:val="Nadpis2"/>
        <w:rPr>
          <w:color w:val="1F3864" w:themeColor="accent1" w:themeShade="80"/>
          <w:szCs w:val="28"/>
        </w:rPr>
      </w:pPr>
      <w:r w:rsidRPr="004B6CDE">
        <w:rPr>
          <w:rFonts w:eastAsia="Times New Roman"/>
          <w:color w:val="1F3864" w:themeColor="accent1" w:themeShade="80"/>
          <w:szCs w:val="28"/>
        </w:rPr>
        <w:t>DISKUSE PŘÍSTUPŮ K REFORMÁM PENZIJNÍCH SYSTÉMŮ</w:t>
      </w:r>
    </w:p>
    <w:p w14:paraId="4A6F4164" w14:textId="77777777" w:rsidR="00906FCE" w:rsidRPr="00FC3B7C" w:rsidRDefault="00906FCE" w:rsidP="00906FCE">
      <w:pPr>
        <w:spacing w:line="200" w:lineRule="exact"/>
        <w:rPr>
          <w:sz w:val="20"/>
          <w:szCs w:val="20"/>
        </w:rPr>
      </w:pPr>
    </w:p>
    <w:p w14:paraId="4A6F4165" w14:textId="549223D5" w:rsidR="00906FCE" w:rsidRPr="004A163A" w:rsidRDefault="004A163A" w:rsidP="00B14127">
      <w:pPr>
        <w:pStyle w:val="Nadpis3"/>
        <w:rPr>
          <w:color w:val="1F3864" w:themeColor="accent1" w:themeShade="80"/>
          <w:sz w:val="20"/>
          <w:szCs w:val="20"/>
        </w:rPr>
      </w:pPr>
      <w:r>
        <w:rPr>
          <w:rFonts w:eastAsia="Times New Roman"/>
          <w:color w:val="1F3864" w:themeColor="accent1" w:themeShade="80"/>
        </w:rPr>
        <w:t xml:space="preserve"> </w:t>
      </w:r>
      <w:r w:rsidR="00906FCE" w:rsidRPr="004A163A">
        <w:rPr>
          <w:rFonts w:eastAsia="Times New Roman"/>
          <w:color w:val="1F3864" w:themeColor="accent1" w:themeShade="80"/>
        </w:rPr>
        <w:t>Rozdělení z hlediska pilířů důchodového systému</w:t>
      </w:r>
    </w:p>
    <w:p w14:paraId="4A6F4166" w14:textId="77777777" w:rsidR="00906FCE" w:rsidRPr="00FC3B7C" w:rsidRDefault="00906FCE" w:rsidP="00906FCE">
      <w:pPr>
        <w:spacing w:line="231" w:lineRule="exact"/>
        <w:rPr>
          <w:sz w:val="20"/>
          <w:szCs w:val="20"/>
        </w:rPr>
      </w:pPr>
    </w:p>
    <w:p w14:paraId="4A6F4167" w14:textId="77777777" w:rsidR="00906FCE" w:rsidRPr="00FC3B7C" w:rsidRDefault="00906FCE" w:rsidP="00D46B53">
      <w:pPr>
        <w:numPr>
          <w:ilvl w:val="0"/>
          <w:numId w:val="250"/>
        </w:numPr>
        <w:tabs>
          <w:tab w:val="left" w:pos="820"/>
        </w:tabs>
        <w:ind w:left="820" w:hanging="348"/>
        <w:rPr>
          <w:rFonts w:eastAsia="Times New Roman"/>
          <w:szCs w:val="24"/>
        </w:rPr>
      </w:pPr>
      <w:r w:rsidRPr="00FC3B7C">
        <w:rPr>
          <w:rFonts w:eastAsia="Times New Roman"/>
          <w:szCs w:val="24"/>
        </w:rPr>
        <w:t>Jedno pilířový systém</w:t>
      </w:r>
    </w:p>
    <w:p w14:paraId="4A6F4168" w14:textId="41F5BD94" w:rsidR="00906FCE" w:rsidRPr="00FC3B7C" w:rsidRDefault="00906FCE" w:rsidP="00D46B53">
      <w:pPr>
        <w:numPr>
          <w:ilvl w:val="0"/>
          <w:numId w:val="250"/>
        </w:numPr>
        <w:tabs>
          <w:tab w:val="left" w:pos="824"/>
        </w:tabs>
        <w:ind w:left="840" w:right="620" w:hanging="368"/>
        <w:rPr>
          <w:rFonts w:eastAsia="Times New Roman"/>
          <w:szCs w:val="24"/>
        </w:rPr>
      </w:pPr>
      <w:r w:rsidRPr="00FC3B7C">
        <w:rPr>
          <w:rFonts w:eastAsia="Times New Roman"/>
          <w:szCs w:val="24"/>
        </w:rPr>
        <w:t>Více pilířový systém</w:t>
      </w:r>
      <w:r w:rsidR="00FB4B26">
        <w:rPr>
          <w:rFonts w:eastAsia="Times New Roman"/>
          <w:szCs w:val="24"/>
        </w:rPr>
        <w:t xml:space="preserve"> </w:t>
      </w:r>
      <w:r w:rsidRPr="00FC3B7C">
        <w:rPr>
          <w:rFonts w:eastAsia="Times New Roman"/>
          <w:szCs w:val="24"/>
        </w:rPr>
        <w:t>– 3 možné pilíře: průběžný, kapitálový, povinný a kapitálový dobrovolný</w:t>
      </w:r>
    </w:p>
    <w:p w14:paraId="4A6F4169" w14:textId="77777777" w:rsidR="00906FCE" w:rsidRPr="00FC3B7C" w:rsidRDefault="00906FCE" w:rsidP="00906FCE">
      <w:pPr>
        <w:spacing w:line="329" w:lineRule="exact"/>
        <w:rPr>
          <w:sz w:val="20"/>
          <w:szCs w:val="20"/>
        </w:rPr>
      </w:pPr>
    </w:p>
    <w:p w14:paraId="4A6F416A" w14:textId="77777777" w:rsidR="00906FCE" w:rsidRPr="004A163A" w:rsidRDefault="00906FCE" w:rsidP="00932ABC">
      <w:pPr>
        <w:pStyle w:val="Nadpis4"/>
        <w:rPr>
          <w:color w:val="1F3864" w:themeColor="accent1" w:themeShade="80"/>
          <w:sz w:val="20"/>
          <w:szCs w:val="20"/>
        </w:rPr>
      </w:pPr>
      <w:bookmarkStart w:id="270" w:name="page269"/>
      <w:bookmarkEnd w:id="270"/>
      <w:r w:rsidRPr="004A163A">
        <w:rPr>
          <w:rFonts w:eastAsia="Times New Roman"/>
          <w:color w:val="1F3864" w:themeColor="accent1" w:themeShade="80"/>
        </w:rPr>
        <w:t>Průběžný povinný pilíř (dávkově definovaný)</w:t>
      </w:r>
    </w:p>
    <w:p w14:paraId="4A6F416B" w14:textId="117EC9A0" w:rsidR="00906FCE" w:rsidRPr="00FC3B7C" w:rsidRDefault="00906FCE" w:rsidP="00711B32">
      <w:pPr>
        <w:ind w:left="568" w:firstLine="720"/>
        <w:rPr>
          <w:sz w:val="20"/>
          <w:szCs w:val="20"/>
        </w:rPr>
      </w:pPr>
      <w:r w:rsidRPr="00FC3B7C">
        <w:rPr>
          <w:rFonts w:eastAsia="Times New Roman"/>
        </w:rPr>
        <w:t>Financován metodou průběžného financování. Financování je založeno na solidaritě mezi generacemi, kdy dnes vyplácené penze jsou hrazeny z příspěvků dnešních aktivních (tj. výdělečně činných) občanů. Jejích nárok na penzi by měl být na oplátku po uplynutí příslušné doby financován z příspěvků pozdějších generací, a tak v zásadě nezávisí na objemu příspěvků, které jednotlivec během svého produktivního věku skutečně odvedl.</w:t>
      </w:r>
    </w:p>
    <w:p w14:paraId="4A6F416C" w14:textId="77777777" w:rsidR="00906FCE" w:rsidRPr="00FC3B7C" w:rsidRDefault="00906FCE" w:rsidP="00906FCE">
      <w:pPr>
        <w:spacing w:line="200" w:lineRule="exact"/>
        <w:rPr>
          <w:sz w:val="20"/>
          <w:szCs w:val="20"/>
        </w:rPr>
      </w:pPr>
    </w:p>
    <w:p w14:paraId="4A6F416D" w14:textId="77777777" w:rsidR="00906FCE" w:rsidRPr="00FC3B7C" w:rsidRDefault="00906FCE" w:rsidP="00906FCE">
      <w:pPr>
        <w:spacing w:line="203" w:lineRule="exact"/>
        <w:rPr>
          <w:sz w:val="20"/>
          <w:szCs w:val="20"/>
        </w:rPr>
      </w:pPr>
    </w:p>
    <w:p w14:paraId="4A6F416E" w14:textId="77777777" w:rsidR="00906FCE" w:rsidRPr="004A163A" w:rsidRDefault="00906FCE" w:rsidP="00932ABC">
      <w:pPr>
        <w:pStyle w:val="Nadpis4"/>
        <w:rPr>
          <w:color w:val="1F3864" w:themeColor="accent1" w:themeShade="80"/>
          <w:sz w:val="20"/>
          <w:szCs w:val="20"/>
        </w:rPr>
      </w:pPr>
      <w:r w:rsidRPr="004A163A">
        <w:rPr>
          <w:rFonts w:eastAsia="Times New Roman"/>
          <w:color w:val="1F3864" w:themeColor="accent1" w:themeShade="80"/>
        </w:rPr>
        <w:t>Kapitálový</w:t>
      </w:r>
      <w:r w:rsidR="00932ABC" w:rsidRPr="004A163A">
        <w:rPr>
          <w:rFonts w:eastAsia="Times New Roman"/>
          <w:color w:val="1F3864" w:themeColor="accent1" w:themeShade="80"/>
        </w:rPr>
        <w:t xml:space="preserve"> </w:t>
      </w:r>
      <w:r w:rsidRPr="004A163A">
        <w:rPr>
          <w:rFonts w:eastAsia="Times New Roman"/>
          <w:color w:val="1F3864" w:themeColor="accent1" w:themeShade="80"/>
        </w:rPr>
        <w:t>povinný</w:t>
      </w:r>
      <w:r w:rsidR="00932ABC" w:rsidRPr="004A163A">
        <w:rPr>
          <w:rFonts w:eastAsia="Times New Roman"/>
          <w:color w:val="1F3864" w:themeColor="accent1" w:themeShade="80"/>
        </w:rPr>
        <w:t xml:space="preserve"> </w:t>
      </w:r>
      <w:r w:rsidRPr="004A163A">
        <w:rPr>
          <w:rFonts w:eastAsia="Times New Roman"/>
          <w:color w:val="1F3864" w:themeColor="accent1" w:themeShade="80"/>
        </w:rPr>
        <w:t>pilíř (příspěvkově definovaný)</w:t>
      </w:r>
    </w:p>
    <w:p w14:paraId="4A6F416F" w14:textId="77777777" w:rsidR="00906FCE" w:rsidRPr="00FC3B7C" w:rsidRDefault="00906FCE" w:rsidP="00711B32">
      <w:pPr>
        <w:ind w:left="568" w:firstLine="720"/>
        <w:rPr>
          <w:sz w:val="20"/>
          <w:szCs w:val="20"/>
        </w:rPr>
      </w:pPr>
      <w:r w:rsidRPr="00FC3B7C">
        <w:rPr>
          <w:rFonts w:eastAsia="Times New Roman"/>
        </w:rPr>
        <w:t>Neposkytuje svým účastníkům takovou míru jistoty ohledně výše jejich budoucích penzí. Účastníci platí stanovenou příspěvkovou sazbu, ale výše jejich budoucích penzí závisí, kromě velikosti odvedených příspěvků, také na míře výnosu z investování úspor na kapitálovém trhu. Neobsahuje mezi generační ani vnitro generační solidaritu, jako průběžný povinný systém.</w:t>
      </w:r>
    </w:p>
    <w:p w14:paraId="4A6F4170" w14:textId="77777777" w:rsidR="00906FCE" w:rsidRPr="00FC3B7C" w:rsidRDefault="00906FCE" w:rsidP="00906FCE">
      <w:pPr>
        <w:spacing w:line="397" w:lineRule="exact"/>
        <w:rPr>
          <w:sz w:val="20"/>
          <w:szCs w:val="20"/>
        </w:rPr>
      </w:pPr>
    </w:p>
    <w:p w14:paraId="4A6F4171" w14:textId="77777777" w:rsidR="00906FCE" w:rsidRPr="004A163A" w:rsidRDefault="00906FCE" w:rsidP="00932ABC">
      <w:pPr>
        <w:pStyle w:val="Nadpis4"/>
        <w:rPr>
          <w:color w:val="1F3864" w:themeColor="accent1" w:themeShade="80"/>
          <w:sz w:val="20"/>
          <w:szCs w:val="20"/>
        </w:rPr>
      </w:pPr>
      <w:r w:rsidRPr="004A163A">
        <w:rPr>
          <w:rFonts w:eastAsia="Times New Roman"/>
          <w:color w:val="1F3864" w:themeColor="accent1" w:themeShade="80"/>
        </w:rPr>
        <w:t>Kapitálový dobrovolný pilíř</w:t>
      </w:r>
    </w:p>
    <w:p w14:paraId="4A6F4173" w14:textId="0D8B323A" w:rsidR="00906FCE" w:rsidRDefault="00906FCE" w:rsidP="004B6CDE">
      <w:pPr>
        <w:ind w:left="568" w:firstLine="720"/>
        <w:rPr>
          <w:sz w:val="20"/>
          <w:szCs w:val="20"/>
        </w:rPr>
      </w:pPr>
      <w:r w:rsidRPr="00FC3B7C">
        <w:rPr>
          <w:rFonts w:eastAsia="Times New Roman"/>
        </w:rPr>
        <w:t>Účastníci si dobrovolně spoří určitou část svého důchodu na stáří (zahrnuje státní dotaci) a naspořená částka je poté vydělena pravděpodobností dožití</w:t>
      </w:r>
    </w:p>
    <w:p w14:paraId="4A6F4175" w14:textId="77777777" w:rsidR="00906FCE" w:rsidRPr="004A163A" w:rsidRDefault="00932ABC" w:rsidP="00932ABC">
      <w:pPr>
        <w:pStyle w:val="Nadpis3"/>
        <w:rPr>
          <w:color w:val="1F3864" w:themeColor="accent1" w:themeShade="80"/>
          <w:sz w:val="20"/>
          <w:szCs w:val="20"/>
        </w:rPr>
      </w:pPr>
      <w:r w:rsidRPr="004A163A">
        <w:rPr>
          <w:rFonts w:eastAsia="Times New Roman"/>
          <w:color w:val="1F3864" w:themeColor="accent1" w:themeShade="80"/>
        </w:rPr>
        <w:t xml:space="preserve"> </w:t>
      </w:r>
      <w:r w:rsidR="00906FCE" w:rsidRPr="004A163A">
        <w:rPr>
          <w:rFonts w:eastAsia="Times New Roman"/>
          <w:color w:val="1F3864" w:themeColor="accent1" w:themeShade="80"/>
        </w:rPr>
        <w:t>Rozdělení z hlediska způsobu financování</w:t>
      </w:r>
    </w:p>
    <w:p w14:paraId="4A6F4176" w14:textId="77777777" w:rsidR="00906FCE" w:rsidRPr="004A163A" w:rsidRDefault="00906FCE" w:rsidP="00906FCE">
      <w:pPr>
        <w:spacing w:line="288" w:lineRule="exact"/>
        <w:rPr>
          <w:color w:val="1F3864" w:themeColor="accent1" w:themeShade="80"/>
          <w:sz w:val="20"/>
          <w:szCs w:val="20"/>
        </w:rPr>
      </w:pPr>
    </w:p>
    <w:p w14:paraId="4A6F4177" w14:textId="77777777" w:rsidR="00906FCE" w:rsidRPr="004A163A" w:rsidRDefault="00906FCE" w:rsidP="00932ABC">
      <w:pPr>
        <w:pStyle w:val="Nadpis4"/>
        <w:rPr>
          <w:color w:val="1F3864" w:themeColor="accent1" w:themeShade="80"/>
          <w:sz w:val="20"/>
          <w:szCs w:val="20"/>
        </w:rPr>
      </w:pPr>
      <w:r w:rsidRPr="004A163A">
        <w:rPr>
          <w:rFonts w:eastAsia="Times New Roman"/>
          <w:color w:val="1F3864" w:themeColor="accent1" w:themeShade="80"/>
        </w:rPr>
        <w:t>Průběžný způsob (PAYG)</w:t>
      </w:r>
    </w:p>
    <w:p w14:paraId="4A6F4178" w14:textId="77777777" w:rsidR="00906FCE" w:rsidRPr="00FC3B7C" w:rsidRDefault="00906FCE" w:rsidP="00D46B53">
      <w:pPr>
        <w:numPr>
          <w:ilvl w:val="0"/>
          <w:numId w:val="251"/>
        </w:numPr>
        <w:tabs>
          <w:tab w:val="left" w:pos="824"/>
        </w:tabs>
        <w:ind w:left="840" w:right="480" w:hanging="368"/>
        <w:rPr>
          <w:rFonts w:eastAsia="Times New Roman"/>
          <w:szCs w:val="24"/>
        </w:rPr>
      </w:pPr>
      <w:r w:rsidRPr="00FC3B7C">
        <w:rPr>
          <w:rFonts w:eastAsia="Times New Roman"/>
          <w:szCs w:val="24"/>
        </w:rPr>
        <w:t>do systému platí ekonomicky aktivní a peníze dostávají ti, kterým nastane sociální událost</w:t>
      </w:r>
    </w:p>
    <w:p w14:paraId="4A6F4179" w14:textId="77777777" w:rsidR="00906FCE" w:rsidRPr="00FC3B7C" w:rsidRDefault="00906FCE" w:rsidP="00906FCE">
      <w:pPr>
        <w:spacing w:line="1" w:lineRule="exact"/>
        <w:rPr>
          <w:rFonts w:eastAsia="Times New Roman"/>
          <w:szCs w:val="24"/>
        </w:rPr>
      </w:pPr>
    </w:p>
    <w:p w14:paraId="4A6F417A" w14:textId="77777777" w:rsidR="00906FCE" w:rsidRPr="00FC3B7C" w:rsidRDefault="00906FCE" w:rsidP="00906FCE">
      <w:pPr>
        <w:tabs>
          <w:tab w:val="left" w:pos="820"/>
        </w:tabs>
        <w:rPr>
          <w:rFonts w:eastAsia="Times New Roman"/>
          <w:b/>
          <w:szCs w:val="24"/>
        </w:rPr>
      </w:pPr>
      <w:r w:rsidRPr="00FC3B7C">
        <w:rPr>
          <w:rFonts w:eastAsia="Times New Roman"/>
          <w:b/>
          <w:szCs w:val="24"/>
        </w:rPr>
        <w:t>Výhody:</w:t>
      </w:r>
    </w:p>
    <w:p w14:paraId="4A6F417B" w14:textId="77777777" w:rsidR="00906FCE" w:rsidRPr="00FC3B7C" w:rsidRDefault="00906FCE" w:rsidP="00932ABC">
      <w:pPr>
        <w:rPr>
          <w:sz w:val="20"/>
          <w:szCs w:val="20"/>
        </w:rPr>
      </w:pPr>
      <w:r w:rsidRPr="00FC3B7C">
        <w:rPr>
          <w:rFonts w:eastAsia="Times New Roman"/>
          <w:b/>
          <w:szCs w:val="24"/>
        </w:rPr>
        <w:t>Bezpečný systém</w:t>
      </w:r>
      <w:r w:rsidRPr="00FC3B7C">
        <w:rPr>
          <w:rFonts w:eastAsia="Times New Roman"/>
          <w:szCs w:val="24"/>
        </w:rPr>
        <w:t xml:space="preserve"> (vždy někdo pracovat bude)</w:t>
      </w:r>
      <w:r w:rsidR="00932ABC">
        <w:rPr>
          <w:rFonts w:eastAsia="Times New Roman"/>
          <w:szCs w:val="24"/>
        </w:rPr>
        <w:t>.</w:t>
      </w:r>
    </w:p>
    <w:p w14:paraId="4A6F417C" w14:textId="77777777" w:rsidR="00906FCE" w:rsidRPr="00FC3B7C" w:rsidRDefault="00932ABC" w:rsidP="00932ABC">
      <w:pPr>
        <w:ind w:right="280"/>
        <w:rPr>
          <w:sz w:val="20"/>
          <w:szCs w:val="20"/>
        </w:rPr>
      </w:pPr>
      <w:r>
        <w:rPr>
          <w:rFonts w:eastAsia="Times New Roman"/>
          <w:b/>
          <w:szCs w:val="24"/>
        </w:rPr>
        <w:lastRenderedPageBreak/>
        <w:t>U</w:t>
      </w:r>
      <w:r w:rsidR="00906FCE" w:rsidRPr="00FC3B7C">
        <w:rPr>
          <w:rFonts w:eastAsia="Times New Roman"/>
          <w:b/>
          <w:szCs w:val="24"/>
        </w:rPr>
        <w:t>možňuje mezigenerační</w:t>
      </w:r>
      <w:r w:rsidR="00906FCE" w:rsidRPr="00FC3B7C">
        <w:rPr>
          <w:rFonts w:eastAsia="Times New Roman"/>
          <w:szCs w:val="24"/>
        </w:rPr>
        <w:t xml:space="preserve"> (aktivní x postaktivní) </w:t>
      </w:r>
      <w:r w:rsidR="00906FCE" w:rsidRPr="00FC3B7C">
        <w:rPr>
          <w:rFonts w:eastAsia="Times New Roman"/>
          <w:b/>
          <w:szCs w:val="24"/>
        </w:rPr>
        <w:t>a vnitro generační příjmovou</w:t>
      </w:r>
      <w:r w:rsidR="00906FCE" w:rsidRPr="00FC3B7C">
        <w:rPr>
          <w:rFonts w:eastAsia="Courier New"/>
          <w:b/>
          <w:szCs w:val="24"/>
        </w:rPr>
        <w:t xml:space="preserve"> </w:t>
      </w:r>
      <w:r w:rsidR="00906FCE" w:rsidRPr="00FC3B7C">
        <w:rPr>
          <w:rFonts w:eastAsia="Times New Roman"/>
          <w:b/>
          <w:szCs w:val="24"/>
        </w:rPr>
        <w:t>solidaritu</w:t>
      </w:r>
      <w:r w:rsidR="00906FCE" w:rsidRPr="00FC3B7C">
        <w:rPr>
          <w:rFonts w:eastAsia="Times New Roman"/>
          <w:szCs w:val="24"/>
        </w:rPr>
        <w:t xml:space="preserve"> (penze jsou stejné na rozdíl od odlišných výší mezd)</w:t>
      </w:r>
      <w:r>
        <w:rPr>
          <w:rFonts w:eastAsia="Times New Roman"/>
          <w:szCs w:val="24"/>
        </w:rPr>
        <w:t>.</w:t>
      </w:r>
    </w:p>
    <w:p w14:paraId="4A6F417D" w14:textId="77777777" w:rsidR="00906FCE" w:rsidRPr="00FC3B7C" w:rsidRDefault="00932ABC" w:rsidP="00932ABC">
      <w:pPr>
        <w:rPr>
          <w:b/>
          <w:sz w:val="20"/>
          <w:szCs w:val="20"/>
        </w:rPr>
      </w:pPr>
      <w:r>
        <w:rPr>
          <w:rFonts w:eastAsia="Times New Roman"/>
          <w:b/>
          <w:szCs w:val="24"/>
        </w:rPr>
        <w:t>Jde</w:t>
      </w:r>
      <w:r w:rsidR="00906FCE" w:rsidRPr="00FC3B7C">
        <w:rPr>
          <w:rFonts w:eastAsia="Times New Roman"/>
          <w:b/>
          <w:szCs w:val="24"/>
        </w:rPr>
        <w:t xml:space="preserve"> nastartovat okamžitě</w:t>
      </w:r>
      <w:r>
        <w:rPr>
          <w:rFonts w:eastAsia="Times New Roman"/>
          <w:b/>
          <w:szCs w:val="24"/>
        </w:rPr>
        <w:t>.</w:t>
      </w:r>
    </w:p>
    <w:p w14:paraId="4A6F417E" w14:textId="77777777" w:rsidR="00906FCE" w:rsidRPr="00FC3B7C" w:rsidRDefault="00932ABC" w:rsidP="00932ABC">
      <w:pPr>
        <w:rPr>
          <w:b/>
          <w:sz w:val="20"/>
          <w:szCs w:val="20"/>
        </w:rPr>
      </w:pPr>
      <w:r>
        <w:rPr>
          <w:rFonts w:eastAsia="Times New Roman"/>
          <w:b/>
          <w:szCs w:val="24"/>
        </w:rPr>
        <w:t>J</w:t>
      </w:r>
      <w:r w:rsidR="00906FCE" w:rsidRPr="00FC3B7C">
        <w:rPr>
          <w:rFonts w:eastAsia="Times New Roman"/>
          <w:b/>
          <w:szCs w:val="24"/>
        </w:rPr>
        <w:t>e velmi levný</w:t>
      </w:r>
      <w:r w:rsidR="00906FCE" w:rsidRPr="00FC3B7C">
        <w:rPr>
          <w:rFonts w:eastAsia="Courier New"/>
          <w:b/>
          <w:szCs w:val="24"/>
        </w:rPr>
        <w:t xml:space="preserve"> </w:t>
      </w:r>
      <w:r w:rsidR="00906FCE" w:rsidRPr="00FC3B7C">
        <w:rPr>
          <w:rFonts w:eastAsia="Times New Roman"/>
          <w:b/>
          <w:szCs w:val="24"/>
        </w:rPr>
        <w:t>(nízké režijní náklady)</w:t>
      </w:r>
      <w:r>
        <w:rPr>
          <w:rFonts w:eastAsia="Times New Roman"/>
          <w:b/>
          <w:szCs w:val="24"/>
        </w:rPr>
        <w:t>.</w:t>
      </w:r>
    </w:p>
    <w:p w14:paraId="4A6F417F" w14:textId="77777777" w:rsidR="00906FCE" w:rsidRPr="00FC3B7C" w:rsidRDefault="00932ABC" w:rsidP="00932ABC">
      <w:pPr>
        <w:rPr>
          <w:b/>
          <w:sz w:val="20"/>
          <w:szCs w:val="20"/>
        </w:rPr>
      </w:pPr>
      <w:r>
        <w:rPr>
          <w:rFonts w:eastAsia="Times New Roman"/>
          <w:b/>
          <w:szCs w:val="24"/>
        </w:rPr>
        <w:t>U</w:t>
      </w:r>
      <w:r w:rsidR="00906FCE" w:rsidRPr="00FC3B7C">
        <w:rPr>
          <w:rFonts w:eastAsia="Times New Roman"/>
          <w:b/>
          <w:szCs w:val="24"/>
        </w:rPr>
        <w:t>možňuje náhradní doby</w:t>
      </w:r>
      <w:r>
        <w:rPr>
          <w:rFonts w:eastAsia="Times New Roman"/>
          <w:b/>
          <w:szCs w:val="24"/>
        </w:rPr>
        <w:t>.</w:t>
      </w:r>
    </w:p>
    <w:p w14:paraId="4A6F4180" w14:textId="77777777" w:rsidR="00906FCE" w:rsidRPr="00FC3B7C" w:rsidRDefault="00906FCE" w:rsidP="00906FCE">
      <w:pPr>
        <w:rPr>
          <w:sz w:val="20"/>
          <w:szCs w:val="20"/>
        </w:rPr>
      </w:pPr>
    </w:p>
    <w:p w14:paraId="4A6F4181" w14:textId="77777777" w:rsidR="00906FCE" w:rsidRPr="00FC3B7C" w:rsidRDefault="00906FCE" w:rsidP="00906FCE">
      <w:pPr>
        <w:tabs>
          <w:tab w:val="left" w:pos="820"/>
        </w:tabs>
        <w:rPr>
          <w:rFonts w:eastAsia="Times New Roman"/>
          <w:b/>
          <w:szCs w:val="24"/>
        </w:rPr>
      </w:pPr>
      <w:r w:rsidRPr="00FC3B7C">
        <w:rPr>
          <w:rFonts w:eastAsia="Times New Roman"/>
          <w:b/>
          <w:szCs w:val="24"/>
        </w:rPr>
        <w:t>Nevýhody:</w:t>
      </w:r>
    </w:p>
    <w:p w14:paraId="4A6F4182" w14:textId="77777777" w:rsidR="00906FCE" w:rsidRPr="00FC3B7C" w:rsidRDefault="00906FCE" w:rsidP="00906FCE">
      <w:pPr>
        <w:ind w:right="220"/>
        <w:rPr>
          <w:sz w:val="20"/>
          <w:szCs w:val="20"/>
        </w:rPr>
      </w:pPr>
      <w:r w:rsidRPr="00FC3B7C">
        <w:rPr>
          <w:rFonts w:eastAsia="Times New Roman"/>
          <w:b/>
          <w:szCs w:val="24"/>
        </w:rPr>
        <w:t>Závislost na demografickém vývoji</w:t>
      </w:r>
      <w:r w:rsidRPr="00FC3B7C">
        <w:rPr>
          <w:rFonts w:eastAsia="Times New Roman"/>
          <w:szCs w:val="24"/>
        </w:rPr>
        <w:t xml:space="preserve"> (stárnutí obyvatel, kdy klesá počet plátců,</w:t>
      </w:r>
      <w:r w:rsidRPr="00FC3B7C">
        <w:rPr>
          <w:rFonts w:eastAsia="Courier New"/>
          <w:szCs w:val="24"/>
        </w:rPr>
        <w:t xml:space="preserve"> </w:t>
      </w:r>
      <w:r w:rsidRPr="00FC3B7C">
        <w:rPr>
          <w:rFonts w:eastAsia="Times New Roman"/>
          <w:szCs w:val="24"/>
        </w:rPr>
        <w:t>ale roste počet těch, co dávky berou – poprvé v historii)</w:t>
      </w:r>
    </w:p>
    <w:p w14:paraId="4A6F4183" w14:textId="77777777" w:rsidR="00906FCE" w:rsidRPr="00FC3B7C" w:rsidRDefault="00906FCE" w:rsidP="00906FCE">
      <w:pPr>
        <w:ind w:right="200"/>
        <w:rPr>
          <w:sz w:val="20"/>
          <w:szCs w:val="20"/>
        </w:rPr>
      </w:pPr>
      <w:r w:rsidRPr="00FC3B7C">
        <w:rPr>
          <w:rFonts w:eastAsia="Times New Roman"/>
          <w:b/>
          <w:szCs w:val="24"/>
        </w:rPr>
        <w:t>Nevytváří zdroje pro rozvoj ekonomiky</w:t>
      </w:r>
      <w:r w:rsidRPr="00FC3B7C">
        <w:rPr>
          <w:rFonts w:eastAsia="Times New Roman"/>
          <w:szCs w:val="24"/>
        </w:rPr>
        <w:t xml:space="preserve"> (vybrané zdroje (300 mld.) jsou ihned</w:t>
      </w:r>
      <w:r w:rsidRPr="00FC3B7C">
        <w:rPr>
          <w:rFonts w:eastAsia="Courier New"/>
          <w:szCs w:val="24"/>
        </w:rPr>
        <w:t xml:space="preserve"> </w:t>
      </w:r>
      <w:r w:rsidRPr="00FC3B7C">
        <w:rPr>
          <w:rFonts w:eastAsia="Times New Roman"/>
          <w:szCs w:val="24"/>
        </w:rPr>
        <w:t>utráceny)</w:t>
      </w:r>
    </w:p>
    <w:p w14:paraId="4A6F4184" w14:textId="2BBCBBCE" w:rsidR="00906FCE" w:rsidRPr="00FC3B7C" w:rsidRDefault="00906FCE" w:rsidP="00906FCE">
      <w:pPr>
        <w:ind w:right="580"/>
        <w:rPr>
          <w:sz w:val="20"/>
          <w:szCs w:val="20"/>
        </w:rPr>
      </w:pPr>
      <w:r w:rsidRPr="00FC3B7C">
        <w:rPr>
          <w:rFonts w:eastAsia="Times New Roman"/>
          <w:b/>
          <w:szCs w:val="24"/>
        </w:rPr>
        <w:t>Působí negativně na trh práce</w:t>
      </w:r>
      <w:r w:rsidRPr="00FC3B7C">
        <w:rPr>
          <w:rFonts w:eastAsia="Times New Roman"/>
          <w:szCs w:val="24"/>
        </w:rPr>
        <w:t xml:space="preserve"> (lidé se snaží minimalizovat platby</w:t>
      </w:r>
      <w:r w:rsidR="00FE4A28">
        <w:rPr>
          <w:rFonts w:eastAsia="Times New Roman"/>
          <w:szCs w:val="24"/>
        </w:rPr>
        <w:t xml:space="preserve"> </w:t>
      </w:r>
      <w:r w:rsidRPr="00FC3B7C">
        <w:rPr>
          <w:rFonts w:eastAsia="Times New Roman"/>
          <w:szCs w:val="24"/>
        </w:rPr>
        <w:t>– skryté</w:t>
      </w:r>
      <w:r w:rsidRPr="00FC3B7C">
        <w:rPr>
          <w:rFonts w:eastAsia="Courier New"/>
          <w:szCs w:val="24"/>
        </w:rPr>
        <w:t xml:space="preserve"> </w:t>
      </w:r>
      <w:r w:rsidRPr="00FC3B7C">
        <w:rPr>
          <w:rFonts w:eastAsia="Times New Roman"/>
          <w:szCs w:val="24"/>
        </w:rPr>
        <w:t>zaměstnávání)</w:t>
      </w:r>
    </w:p>
    <w:p w14:paraId="4A6F4185" w14:textId="77777777" w:rsidR="00906FCE" w:rsidRPr="00FC3B7C" w:rsidRDefault="00906FCE" w:rsidP="00906FCE">
      <w:pPr>
        <w:spacing w:line="200" w:lineRule="exact"/>
        <w:rPr>
          <w:sz w:val="20"/>
          <w:szCs w:val="20"/>
        </w:rPr>
      </w:pPr>
      <w:bookmarkStart w:id="271" w:name="page270"/>
      <w:bookmarkEnd w:id="271"/>
    </w:p>
    <w:p w14:paraId="4A6F4187" w14:textId="77777777" w:rsidR="00906FCE" w:rsidRPr="004A163A" w:rsidRDefault="00906FCE" w:rsidP="00932ABC">
      <w:pPr>
        <w:pStyle w:val="Nadpis4"/>
        <w:rPr>
          <w:color w:val="1F3864" w:themeColor="accent1" w:themeShade="80"/>
          <w:sz w:val="20"/>
          <w:szCs w:val="20"/>
        </w:rPr>
      </w:pPr>
      <w:r w:rsidRPr="004A163A">
        <w:rPr>
          <w:rFonts w:eastAsia="Times New Roman"/>
          <w:color w:val="1F3864" w:themeColor="accent1" w:themeShade="80"/>
        </w:rPr>
        <w:t>Kapitálový</w:t>
      </w:r>
      <w:r w:rsidR="00932ABC" w:rsidRPr="004A163A">
        <w:rPr>
          <w:rFonts w:eastAsia="Times New Roman"/>
          <w:color w:val="1F3864" w:themeColor="accent1" w:themeShade="80"/>
        </w:rPr>
        <w:t xml:space="preserve"> </w:t>
      </w:r>
      <w:r w:rsidRPr="004A163A">
        <w:rPr>
          <w:rFonts w:eastAsia="Times New Roman"/>
          <w:color w:val="1F3864" w:themeColor="accent1" w:themeShade="80"/>
        </w:rPr>
        <w:t>způsob</w:t>
      </w:r>
    </w:p>
    <w:p w14:paraId="4A6F4188" w14:textId="77777777" w:rsidR="00906FCE" w:rsidRPr="00FC3B7C" w:rsidRDefault="00906FCE" w:rsidP="00D46B53">
      <w:pPr>
        <w:numPr>
          <w:ilvl w:val="0"/>
          <w:numId w:val="252"/>
        </w:numPr>
        <w:tabs>
          <w:tab w:val="left" w:pos="820"/>
        </w:tabs>
        <w:ind w:left="820" w:hanging="348"/>
        <w:rPr>
          <w:rFonts w:eastAsia="Times New Roman"/>
          <w:szCs w:val="24"/>
        </w:rPr>
      </w:pPr>
      <w:r w:rsidRPr="00FC3B7C">
        <w:rPr>
          <w:rFonts w:eastAsia="Times New Roman"/>
          <w:szCs w:val="24"/>
        </w:rPr>
        <w:t>každý si spoří sám na sebe na vlastní účet</w:t>
      </w:r>
    </w:p>
    <w:p w14:paraId="4A6F4189" w14:textId="77777777" w:rsidR="00906FCE" w:rsidRPr="00FC3B7C" w:rsidRDefault="00906FCE" w:rsidP="00906FCE">
      <w:pPr>
        <w:tabs>
          <w:tab w:val="left" w:pos="820"/>
        </w:tabs>
        <w:rPr>
          <w:rFonts w:eastAsia="Times New Roman"/>
          <w:b/>
          <w:szCs w:val="24"/>
        </w:rPr>
      </w:pPr>
      <w:r w:rsidRPr="00FC3B7C">
        <w:rPr>
          <w:rFonts w:eastAsia="Times New Roman"/>
          <w:b/>
          <w:szCs w:val="24"/>
        </w:rPr>
        <w:t>Výhody:</w:t>
      </w:r>
    </w:p>
    <w:p w14:paraId="4A6F418A" w14:textId="77777777" w:rsidR="00906FCE" w:rsidRPr="00FC3B7C" w:rsidRDefault="00932ABC" w:rsidP="00906FCE">
      <w:pPr>
        <w:rPr>
          <w:b/>
          <w:sz w:val="20"/>
          <w:szCs w:val="20"/>
        </w:rPr>
      </w:pPr>
      <w:r w:rsidRPr="00932ABC">
        <w:rPr>
          <w:rFonts w:eastAsia="Times New Roman"/>
          <w:b/>
          <w:szCs w:val="24"/>
        </w:rPr>
        <w:t>M</w:t>
      </w:r>
      <w:r w:rsidR="00906FCE" w:rsidRPr="00FC3B7C">
        <w:rPr>
          <w:rFonts w:eastAsia="Times New Roman"/>
          <w:b/>
          <w:szCs w:val="24"/>
        </w:rPr>
        <w:t>enší závislost na demografickém vývoji</w:t>
      </w:r>
      <w:r>
        <w:rPr>
          <w:rFonts w:eastAsia="Times New Roman"/>
          <w:b/>
          <w:szCs w:val="24"/>
        </w:rPr>
        <w:t>.</w:t>
      </w:r>
    </w:p>
    <w:p w14:paraId="4A6F418B" w14:textId="77777777" w:rsidR="00906FCE" w:rsidRPr="00FC3B7C" w:rsidRDefault="00932ABC" w:rsidP="00906FCE">
      <w:pPr>
        <w:rPr>
          <w:b/>
          <w:sz w:val="20"/>
          <w:szCs w:val="20"/>
        </w:rPr>
      </w:pPr>
      <w:r w:rsidRPr="00FC3B7C">
        <w:rPr>
          <w:rFonts w:eastAsia="Times New Roman"/>
          <w:b/>
          <w:szCs w:val="24"/>
        </w:rPr>
        <w:t>S</w:t>
      </w:r>
      <w:r w:rsidR="00906FCE" w:rsidRPr="00FC3B7C">
        <w:rPr>
          <w:rFonts w:eastAsia="Times New Roman"/>
          <w:b/>
          <w:szCs w:val="24"/>
        </w:rPr>
        <w:t>ystém získává dostatečné a dlouhodobé zdroje použitelné pro rozvoj</w:t>
      </w:r>
      <w:r w:rsidR="00906FCE" w:rsidRPr="00FC3B7C">
        <w:rPr>
          <w:b/>
          <w:sz w:val="20"/>
          <w:szCs w:val="20"/>
        </w:rPr>
        <w:t xml:space="preserve"> </w:t>
      </w:r>
      <w:r w:rsidR="00906FCE" w:rsidRPr="00FC3B7C">
        <w:rPr>
          <w:rFonts w:eastAsia="Times New Roman"/>
          <w:b/>
          <w:szCs w:val="24"/>
        </w:rPr>
        <w:t>ekonomiky</w:t>
      </w:r>
      <w:r>
        <w:rPr>
          <w:rFonts w:eastAsia="Times New Roman"/>
          <w:b/>
          <w:szCs w:val="24"/>
        </w:rPr>
        <w:t>.</w:t>
      </w:r>
    </w:p>
    <w:p w14:paraId="4A6F418C" w14:textId="77777777" w:rsidR="00906FCE" w:rsidRPr="00FC3B7C" w:rsidRDefault="00932ABC" w:rsidP="00906FCE">
      <w:pPr>
        <w:rPr>
          <w:b/>
          <w:sz w:val="20"/>
          <w:szCs w:val="20"/>
        </w:rPr>
      </w:pPr>
      <w:r w:rsidRPr="00FC3B7C">
        <w:rPr>
          <w:rFonts w:eastAsia="Times New Roman"/>
          <w:b/>
          <w:szCs w:val="24"/>
        </w:rPr>
        <w:t>M</w:t>
      </w:r>
      <w:r w:rsidR="00906FCE" w:rsidRPr="00FC3B7C">
        <w:rPr>
          <w:rFonts w:eastAsia="Times New Roman"/>
          <w:b/>
          <w:szCs w:val="24"/>
        </w:rPr>
        <w:t>otivátor pro aktivní pracující</w:t>
      </w:r>
      <w:r>
        <w:rPr>
          <w:rFonts w:eastAsia="Times New Roman"/>
          <w:b/>
          <w:szCs w:val="24"/>
        </w:rPr>
        <w:t>.</w:t>
      </w:r>
    </w:p>
    <w:p w14:paraId="4A6F418E" w14:textId="77777777" w:rsidR="00906FCE" w:rsidRPr="00FC3B7C" w:rsidRDefault="00906FCE" w:rsidP="00906FCE">
      <w:pPr>
        <w:tabs>
          <w:tab w:val="left" w:pos="820"/>
        </w:tabs>
        <w:rPr>
          <w:rFonts w:eastAsia="Times New Roman"/>
          <w:b/>
          <w:szCs w:val="24"/>
        </w:rPr>
      </w:pPr>
      <w:r w:rsidRPr="00FC3B7C">
        <w:rPr>
          <w:rFonts w:eastAsia="Times New Roman"/>
          <w:b/>
          <w:szCs w:val="24"/>
        </w:rPr>
        <w:t>Nevýhody:</w:t>
      </w:r>
    </w:p>
    <w:p w14:paraId="4A6F418F" w14:textId="77777777" w:rsidR="00906FCE" w:rsidRPr="00FC3B7C" w:rsidRDefault="00932ABC" w:rsidP="00906FCE">
      <w:pPr>
        <w:ind w:right="300"/>
        <w:rPr>
          <w:sz w:val="20"/>
          <w:szCs w:val="20"/>
        </w:rPr>
      </w:pPr>
      <w:r w:rsidRPr="00FC3B7C">
        <w:rPr>
          <w:rFonts w:eastAsia="Times New Roman"/>
          <w:b/>
          <w:szCs w:val="24"/>
        </w:rPr>
        <w:t>Z</w:t>
      </w:r>
      <w:r w:rsidR="00906FCE" w:rsidRPr="00FC3B7C">
        <w:rPr>
          <w:rFonts w:eastAsia="Times New Roman"/>
          <w:b/>
          <w:szCs w:val="24"/>
        </w:rPr>
        <w:t>ahájení je finančně</w:t>
      </w:r>
      <w:r w:rsidR="00906FCE" w:rsidRPr="00FC3B7C">
        <w:rPr>
          <w:rFonts w:eastAsia="Courier New"/>
          <w:b/>
          <w:szCs w:val="24"/>
        </w:rPr>
        <w:t xml:space="preserve"> </w:t>
      </w:r>
      <w:r w:rsidR="00906FCE" w:rsidRPr="00FC3B7C">
        <w:rPr>
          <w:rFonts w:eastAsia="Times New Roman"/>
          <w:b/>
          <w:szCs w:val="24"/>
        </w:rPr>
        <w:t>a časově velmi náročné (</w:t>
      </w:r>
      <w:r w:rsidR="00906FCE" w:rsidRPr="00FC3B7C">
        <w:rPr>
          <w:rFonts w:eastAsia="Times New Roman"/>
          <w:szCs w:val="24"/>
        </w:rPr>
        <w:t>původní průběžný systém bude</w:t>
      </w:r>
      <w:r w:rsidR="00906FCE" w:rsidRPr="00FC3B7C">
        <w:rPr>
          <w:rFonts w:eastAsia="Courier New"/>
          <w:szCs w:val="24"/>
        </w:rPr>
        <w:t xml:space="preserve"> </w:t>
      </w:r>
      <w:r w:rsidR="00906FCE" w:rsidRPr="00FC3B7C">
        <w:rPr>
          <w:rFonts w:eastAsia="Times New Roman"/>
          <w:szCs w:val="24"/>
        </w:rPr>
        <w:t>dobíhat ještě 30 let)</w:t>
      </w:r>
      <w:r>
        <w:rPr>
          <w:rFonts w:eastAsia="Times New Roman"/>
          <w:szCs w:val="24"/>
        </w:rPr>
        <w:t>.</w:t>
      </w:r>
    </w:p>
    <w:p w14:paraId="4A6F4190" w14:textId="77777777" w:rsidR="00906FCE" w:rsidRPr="00FC3B7C" w:rsidRDefault="00932ABC" w:rsidP="00906FCE">
      <w:pPr>
        <w:ind w:right="500"/>
        <w:rPr>
          <w:sz w:val="20"/>
          <w:szCs w:val="20"/>
        </w:rPr>
      </w:pPr>
      <w:r w:rsidRPr="00FC3B7C">
        <w:rPr>
          <w:rFonts w:eastAsia="Times New Roman"/>
          <w:b/>
          <w:szCs w:val="24"/>
        </w:rPr>
        <w:t>R</w:t>
      </w:r>
      <w:r w:rsidR="00906FCE" w:rsidRPr="00FC3B7C">
        <w:rPr>
          <w:rFonts w:eastAsia="Times New Roman"/>
          <w:b/>
          <w:szCs w:val="24"/>
        </w:rPr>
        <w:t>elativně</w:t>
      </w:r>
      <w:r w:rsidR="00906FCE" w:rsidRPr="00FC3B7C">
        <w:rPr>
          <w:rFonts w:eastAsia="Courier New"/>
          <w:b/>
          <w:szCs w:val="24"/>
        </w:rPr>
        <w:t xml:space="preserve"> </w:t>
      </w:r>
      <w:r w:rsidR="00906FCE" w:rsidRPr="00FC3B7C">
        <w:rPr>
          <w:rFonts w:eastAsia="Times New Roman"/>
          <w:b/>
          <w:szCs w:val="24"/>
        </w:rPr>
        <w:t>menší jistota systému</w:t>
      </w:r>
      <w:r w:rsidR="00906FCE" w:rsidRPr="00FC3B7C">
        <w:rPr>
          <w:rFonts w:eastAsia="Times New Roman"/>
          <w:szCs w:val="24"/>
        </w:rPr>
        <w:t xml:space="preserve"> (fondy mohou zkrachovat</w:t>
      </w:r>
      <w:r w:rsidR="00906FCE" w:rsidRPr="00FC3B7C">
        <w:rPr>
          <w:rFonts w:eastAsia="Courier New"/>
          <w:szCs w:val="24"/>
        </w:rPr>
        <w:t xml:space="preserve"> </w:t>
      </w:r>
      <w:r w:rsidR="00906FCE" w:rsidRPr="00FC3B7C">
        <w:rPr>
          <w:rFonts w:eastAsia="Times New Roman"/>
          <w:szCs w:val="24"/>
        </w:rPr>
        <w:t>či nastat krize na</w:t>
      </w:r>
      <w:r w:rsidR="00906FCE" w:rsidRPr="00FC3B7C">
        <w:rPr>
          <w:rFonts w:eastAsia="Courier New"/>
          <w:szCs w:val="24"/>
        </w:rPr>
        <w:t xml:space="preserve"> </w:t>
      </w:r>
      <w:r w:rsidR="00906FCE" w:rsidRPr="00FC3B7C">
        <w:rPr>
          <w:rFonts w:eastAsia="Times New Roman"/>
          <w:szCs w:val="24"/>
        </w:rPr>
        <w:t>světových trzích)</w:t>
      </w:r>
      <w:r>
        <w:rPr>
          <w:rFonts w:eastAsia="Times New Roman"/>
          <w:szCs w:val="24"/>
        </w:rPr>
        <w:t>.</w:t>
      </w:r>
    </w:p>
    <w:p w14:paraId="4A6F4191" w14:textId="77777777" w:rsidR="00906FCE" w:rsidRPr="00FC3B7C" w:rsidRDefault="00932ABC" w:rsidP="00906FCE">
      <w:pPr>
        <w:rPr>
          <w:b/>
          <w:sz w:val="20"/>
          <w:szCs w:val="20"/>
        </w:rPr>
      </w:pPr>
      <w:r w:rsidRPr="00FC3B7C">
        <w:rPr>
          <w:rFonts w:eastAsia="Times New Roman"/>
          <w:b/>
          <w:szCs w:val="24"/>
        </w:rPr>
        <w:t>S</w:t>
      </w:r>
      <w:r w:rsidR="00906FCE" w:rsidRPr="00FC3B7C">
        <w:rPr>
          <w:rFonts w:eastAsia="Times New Roman"/>
          <w:b/>
          <w:szCs w:val="24"/>
        </w:rPr>
        <w:t>ystém je drahý v nákladech na provoz</w:t>
      </w:r>
      <w:r>
        <w:rPr>
          <w:rFonts w:eastAsia="Times New Roman"/>
          <w:b/>
          <w:szCs w:val="24"/>
        </w:rPr>
        <w:t>.</w:t>
      </w:r>
    </w:p>
    <w:p w14:paraId="4A6F4192" w14:textId="77777777" w:rsidR="00906FCE" w:rsidRPr="00FC3B7C" w:rsidRDefault="00932ABC" w:rsidP="00906FCE">
      <w:pPr>
        <w:rPr>
          <w:b/>
          <w:sz w:val="20"/>
          <w:szCs w:val="20"/>
        </w:rPr>
      </w:pPr>
      <w:r w:rsidRPr="00FC3B7C">
        <w:rPr>
          <w:rFonts w:eastAsia="Times New Roman"/>
          <w:b/>
          <w:szCs w:val="24"/>
        </w:rPr>
        <w:t>N</w:t>
      </w:r>
      <w:r w:rsidR="00906FCE" w:rsidRPr="00FC3B7C">
        <w:rPr>
          <w:rFonts w:eastAsia="Times New Roman"/>
          <w:b/>
          <w:szCs w:val="24"/>
        </w:rPr>
        <w:t>eumožňuje solidaritu</w:t>
      </w:r>
      <w:r>
        <w:rPr>
          <w:rFonts w:eastAsia="Times New Roman"/>
          <w:b/>
          <w:szCs w:val="24"/>
        </w:rPr>
        <w:t>.</w:t>
      </w:r>
    </w:p>
    <w:p w14:paraId="4A6F4193" w14:textId="77777777" w:rsidR="00906FCE" w:rsidRPr="00932ABC" w:rsidRDefault="00906FCE" w:rsidP="00906FCE">
      <w:pPr>
        <w:ind w:right="-99"/>
        <w:rPr>
          <w:sz w:val="20"/>
          <w:szCs w:val="20"/>
        </w:rPr>
      </w:pPr>
      <w:r w:rsidRPr="00932ABC">
        <w:rPr>
          <w:rFonts w:eastAsia="Times New Roman"/>
          <w:szCs w:val="24"/>
        </w:rPr>
        <w:t>Trendem je přecházet postupně</w:t>
      </w:r>
      <w:r w:rsidRPr="00932ABC">
        <w:rPr>
          <w:rFonts w:eastAsia="Courier New"/>
          <w:szCs w:val="24"/>
        </w:rPr>
        <w:t xml:space="preserve"> </w:t>
      </w:r>
      <w:r w:rsidRPr="00932ABC">
        <w:rPr>
          <w:rFonts w:eastAsia="Times New Roman"/>
          <w:szCs w:val="24"/>
        </w:rPr>
        <w:t>z průběžného způsobu ke kapitálovému.</w:t>
      </w:r>
    </w:p>
    <w:p w14:paraId="4A6F4194" w14:textId="77777777" w:rsidR="00906FCE" w:rsidRPr="00FC3B7C" w:rsidRDefault="00906FCE" w:rsidP="00906FCE">
      <w:pPr>
        <w:spacing w:line="200" w:lineRule="exact"/>
        <w:rPr>
          <w:sz w:val="20"/>
          <w:szCs w:val="20"/>
        </w:rPr>
      </w:pPr>
    </w:p>
    <w:p w14:paraId="4A6F4195" w14:textId="77777777" w:rsidR="00906FCE" w:rsidRPr="00FC3B7C" w:rsidRDefault="00906FCE" w:rsidP="00906FCE">
      <w:pPr>
        <w:spacing w:line="285" w:lineRule="exact"/>
        <w:rPr>
          <w:sz w:val="20"/>
          <w:szCs w:val="20"/>
        </w:rPr>
      </w:pPr>
    </w:p>
    <w:p w14:paraId="4A6F4196" w14:textId="057588CF" w:rsidR="00A40E2E" w:rsidRPr="004A163A" w:rsidRDefault="004A163A" w:rsidP="00A40E2E">
      <w:pPr>
        <w:pStyle w:val="Nadpis3"/>
        <w:rPr>
          <w:color w:val="1F3864" w:themeColor="accent1" w:themeShade="80"/>
          <w:sz w:val="20"/>
          <w:szCs w:val="20"/>
        </w:rPr>
      </w:pPr>
      <w:r>
        <w:rPr>
          <w:rFonts w:eastAsia="Times New Roman"/>
          <w:color w:val="1F3864" w:themeColor="accent1" w:themeShade="80"/>
        </w:rPr>
        <w:t xml:space="preserve"> </w:t>
      </w:r>
      <w:r w:rsidR="00906FCE" w:rsidRPr="004A163A">
        <w:rPr>
          <w:rFonts w:eastAsia="Times New Roman"/>
          <w:color w:val="1F3864" w:themeColor="accent1" w:themeShade="80"/>
        </w:rPr>
        <w:t>Rozdělení z hlediska způsobu výpočtu důchodová dávky</w:t>
      </w:r>
    </w:p>
    <w:p w14:paraId="4A6F4197" w14:textId="77777777" w:rsidR="00906FCE" w:rsidRPr="004A163A" w:rsidRDefault="00906FCE" w:rsidP="00906FCE">
      <w:pPr>
        <w:spacing w:line="294" w:lineRule="exact"/>
        <w:rPr>
          <w:color w:val="1F3864" w:themeColor="accent1" w:themeShade="80"/>
          <w:sz w:val="20"/>
          <w:szCs w:val="20"/>
        </w:rPr>
      </w:pPr>
    </w:p>
    <w:p w14:paraId="4A6F4198" w14:textId="77777777" w:rsidR="00906FCE" w:rsidRPr="004A163A" w:rsidRDefault="00906FCE" w:rsidP="00A40E2E">
      <w:pPr>
        <w:pStyle w:val="Nadpis4"/>
        <w:rPr>
          <w:color w:val="1F3864" w:themeColor="accent1" w:themeShade="80"/>
          <w:sz w:val="20"/>
          <w:szCs w:val="20"/>
        </w:rPr>
      </w:pPr>
      <w:r w:rsidRPr="004A163A">
        <w:rPr>
          <w:rFonts w:eastAsia="Times New Roman"/>
          <w:color w:val="1F3864" w:themeColor="accent1" w:themeShade="80"/>
        </w:rPr>
        <w:t>Dávkově definovaný systém (DB-Defined Benefit)</w:t>
      </w:r>
    </w:p>
    <w:p w14:paraId="4A6F4199" w14:textId="77777777" w:rsidR="00906FCE" w:rsidRPr="00FC3B7C" w:rsidRDefault="00906FCE" w:rsidP="00906FCE">
      <w:pPr>
        <w:spacing w:line="165" w:lineRule="exact"/>
        <w:rPr>
          <w:sz w:val="20"/>
          <w:szCs w:val="20"/>
        </w:rPr>
      </w:pPr>
    </w:p>
    <w:p w14:paraId="4A6F419A" w14:textId="05C22CA7" w:rsidR="00906FCE" w:rsidRPr="00FC3B7C" w:rsidRDefault="00906FCE" w:rsidP="00D46B53">
      <w:pPr>
        <w:numPr>
          <w:ilvl w:val="0"/>
          <w:numId w:val="253"/>
        </w:numPr>
        <w:tabs>
          <w:tab w:val="left" w:pos="824"/>
        </w:tabs>
        <w:ind w:left="840" w:right="420" w:hanging="368"/>
        <w:rPr>
          <w:rFonts w:eastAsia="Times New Roman"/>
          <w:szCs w:val="24"/>
        </w:rPr>
      </w:pPr>
      <w:r w:rsidRPr="00FC3B7C">
        <w:rPr>
          <w:rFonts w:eastAsia="Times New Roman"/>
          <w:szCs w:val="24"/>
        </w:rPr>
        <w:t xml:space="preserve">dávka </w:t>
      </w:r>
      <w:r w:rsidR="00FE4A28" w:rsidRPr="00FC3B7C">
        <w:rPr>
          <w:rFonts w:eastAsia="Times New Roman"/>
          <w:szCs w:val="24"/>
        </w:rPr>
        <w:t>závisí, napočtu</w:t>
      </w:r>
      <w:r w:rsidRPr="00FC3B7C">
        <w:rPr>
          <w:rFonts w:eastAsia="Times New Roman"/>
          <w:szCs w:val="24"/>
        </w:rPr>
        <w:t xml:space="preserve"> let pojištění, počtu let předdůchodových příjmů a jejich výši, umožňuje přerozdělení</w:t>
      </w:r>
    </w:p>
    <w:p w14:paraId="4A6F419B" w14:textId="77777777" w:rsidR="00906FCE" w:rsidRPr="00FC3B7C" w:rsidRDefault="00906FCE" w:rsidP="00906FCE">
      <w:pPr>
        <w:spacing w:line="125" w:lineRule="exact"/>
        <w:rPr>
          <w:sz w:val="20"/>
          <w:szCs w:val="20"/>
        </w:rPr>
      </w:pPr>
    </w:p>
    <w:p w14:paraId="4A6F419C" w14:textId="77777777" w:rsidR="00906FCE" w:rsidRPr="00FC3B7C" w:rsidRDefault="00906FCE" w:rsidP="00A40E2E">
      <w:pPr>
        <w:pStyle w:val="Nadpis4"/>
        <w:rPr>
          <w:sz w:val="20"/>
          <w:szCs w:val="20"/>
        </w:rPr>
      </w:pPr>
      <w:r w:rsidRPr="004A163A">
        <w:rPr>
          <w:rFonts w:eastAsia="Cambria"/>
          <w:color w:val="1F3864" w:themeColor="accent1" w:themeShade="80"/>
        </w:rPr>
        <w:lastRenderedPageBreak/>
        <w:t>Příspěvkově definovaný systém (DC – Defined Contribution)</w:t>
      </w:r>
    </w:p>
    <w:p w14:paraId="4A6F419D" w14:textId="77777777" w:rsidR="00906FCE" w:rsidRPr="00FC3B7C" w:rsidRDefault="00906FCE" w:rsidP="00906FCE">
      <w:pPr>
        <w:spacing w:line="170" w:lineRule="exact"/>
        <w:rPr>
          <w:sz w:val="20"/>
          <w:szCs w:val="20"/>
        </w:rPr>
      </w:pPr>
    </w:p>
    <w:p w14:paraId="4A6F419E" w14:textId="0537C2E3" w:rsidR="00906FCE" w:rsidRPr="00FC3B7C" w:rsidRDefault="00906FCE" w:rsidP="00D46B53">
      <w:pPr>
        <w:numPr>
          <w:ilvl w:val="0"/>
          <w:numId w:val="254"/>
        </w:numPr>
        <w:tabs>
          <w:tab w:val="left" w:pos="824"/>
        </w:tabs>
        <w:ind w:left="840" w:right="120" w:hanging="368"/>
        <w:rPr>
          <w:rFonts w:eastAsia="Times New Roman"/>
          <w:szCs w:val="24"/>
        </w:rPr>
      </w:pPr>
      <w:r w:rsidRPr="00FC3B7C">
        <w:rPr>
          <w:rFonts w:eastAsia="Times New Roman"/>
          <w:szCs w:val="24"/>
        </w:rPr>
        <w:t>výše důchodu závisí na naspořené částce dělené pravděpodobnou dobou dožití, částka je zhodnocovaná institucí, umožňuje určitý stupeň redistribuce (např. člověk zemře před dobou dožití</w:t>
      </w:r>
      <w:r w:rsidR="00FE4A28">
        <w:rPr>
          <w:rFonts w:eastAsia="Times New Roman"/>
          <w:szCs w:val="24"/>
        </w:rPr>
        <w:t xml:space="preserve"> </w:t>
      </w:r>
      <w:r w:rsidRPr="00FC3B7C">
        <w:rPr>
          <w:rFonts w:eastAsia="Arial Unicode MS"/>
          <w:szCs w:val="24"/>
        </w:rPr>
        <w:t>→</w:t>
      </w:r>
      <w:r w:rsidRPr="00FC3B7C">
        <w:rPr>
          <w:rFonts w:eastAsia="Times New Roman"/>
          <w:szCs w:val="24"/>
        </w:rPr>
        <w:t xml:space="preserve"> zbytek důchodu jde do fondu a přerozdělí se osobě starší než předpokládaný věk dožití)</w:t>
      </w:r>
    </w:p>
    <w:p w14:paraId="4A6F419F" w14:textId="77777777" w:rsidR="00906FCE" w:rsidRPr="004A163A" w:rsidRDefault="00906FCE" w:rsidP="00906FCE">
      <w:pPr>
        <w:spacing w:line="170" w:lineRule="exact"/>
        <w:rPr>
          <w:color w:val="1F3864" w:themeColor="accent1" w:themeShade="80"/>
          <w:sz w:val="20"/>
          <w:szCs w:val="20"/>
        </w:rPr>
      </w:pPr>
    </w:p>
    <w:p w14:paraId="4A6F41A0" w14:textId="77777777" w:rsidR="00906FCE" w:rsidRPr="00FC3B7C" w:rsidRDefault="00906FCE" w:rsidP="00A40E2E">
      <w:pPr>
        <w:pStyle w:val="Nadpis4"/>
        <w:rPr>
          <w:sz w:val="20"/>
          <w:szCs w:val="20"/>
        </w:rPr>
      </w:pPr>
      <w:r w:rsidRPr="004A163A">
        <w:rPr>
          <w:rFonts w:eastAsia="Times New Roman"/>
          <w:color w:val="1F3864" w:themeColor="accent1" w:themeShade="80"/>
        </w:rPr>
        <w:t>Hypoteticky příspěvkově definované systémy (NDC</w:t>
      </w:r>
      <w:r w:rsidRPr="00FC3B7C">
        <w:rPr>
          <w:rFonts w:eastAsia="Times New Roman"/>
        </w:rPr>
        <w:t>)</w:t>
      </w:r>
    </w:p>
    <w:p w14:paraId="4A6F41A1" w14:textId="77777777" w:rsidR="00906FCE" w:rsidRPr="00FC3B7C" w:rsidRDefault="00906FCE" w:rsidP="00906FCE">
      <w:pPr>
        <w:spacing w:line="161" w:lineRule="exact"/>
        <w:rPr>
          <w:sz w:val="20"/>
          <w:szCs w:val="20"/>
        </w:rPr>
      </w:pPr>
    </w:p>
    <w:p w14:paraId="4A6F41A2" w14:textId="77777777" w:rsidR="00906FCE" w:rsidRDefault="00906FCE" w:rsidP="00D46B53">
      <w:pPr>
        <w:numPr>
          <w:ilvl w:val="0"/>
          <w:numId w:val="255"/>
        </w:numPr>
        <w:tabs>
          <w:tab w:val="left" w:pos="824"/>
        </w:tabs>
        <w:ind w:left="840" w:right="180" w:hanging="368"/>
        <w:rPr>
          <w:rFonts w:eastAsia="Times New Roman"/>
          <w:szCs w:val="24"/>
        </w:rPr>
      </w:pPr>
      <w:r w:rsidRPr="00FC3B7C">
        <w:rPr>
          <w:rFonts w:eastAsia="Times New Roman"/>
          <w:szCs w:val="24"/>
        </w:rPr>
        <w:t>každý účastník má v rámci systému svůj (zdánlivý) individuální účet, na který se mu připisují jím odvedené příspěvky a jejich zhodnocování v čase. Toto zhodnocení je závislé na hypotetické míře výnosnosti systému. Ta nepředstavuje tržní výnos, ale míru růstu základu, z něhož jsou placeny příspěvky (např. růst/pokles objemu mezd a platů)</w:t>
      </w:r>
    </w:p>
    <w:p w14:paraId="4A6F41A3" w14:textId="77777777" w:rsidR="00A40E2E" w:rsidRDefault="00A40E2E" w:rsidP="00A40E2E">
      <w:pPr>
        <w:tabs>
          <w:tab w:val="left" w:pos="824"/>
        </w:tabs>
        <w:ind w:right="180"/>
        <w:rPr>
          <w:rFonts w:eastAsia="Times New Roman"/>
          <w:szCs w:val="24"/>
        </w:rPr>
      </w:pPr>
    </w:p>
    <w:p w14:paraId="4A6F41A4" w14:textId="090E2C4B" w:rsidR="00906FCE" w:rsidRPr="004A163A" w:rsidRDefault="004A163A" w:rsidP="00A40E2E">
      <w:pPr>
        <w:pStyle w:val="Nadpis3"/>
        <w:rPr>
          <w:color w:val="1F3864" w:themeColor="accent1" w:themeShade="80"/>
          <w:sz w:val="20"/>
          <w:szCs w:val="20"/>
        </w:rPr>
      </w:pPr>
      <w:bookmarkStart w:id="272" w:name="page271"/>
      <w:bookmarkEnd w:id="272"/>
      <w:r>
        <w:rPr>
          <w:rFonts w:eastAsia="Times New Roman"/>
          <w:color w:val="1F3864" w:themeColor="accent1" w:themeShade="80"/>
        </w:rPr>
        <w:t xml:space="preserve"> </w:t>
      </w:r>
      <w:r w:rsidR="00906FCE" w:rsidRPr="004A163A">
        <w:rPr>
          <w:rFonts w:eastAsia="Times New Roman"/>
          <w:color w:val="1F3864" w:themeColor="accent1" w:themeShade="80"/>
        </w:rPr>
        <w:t>Typy reforem</w:t>
      </w:r>
    </w:p>
    <w:p w14:paraId="4A6F41A5" w14:textId="77777777" w:rsidR="00906FCE" w:rsidRPr="00FC3B7C" w:rsidRDefault="00906FCE" w:rsidP="00906FCE">
      <w:pPr>
        <w:spacing w:line="226" w:lineRule="exact"/>
        <w:rPr>
          <w:sz w:val="20"/>
          <w:szCs w:val="20"/>
        </w:rPr>
      </w:pPr>
    </w:p>
    <w:p w14:paraId="4A6F41A6" w14:textId="77777777" w:rsidR="00906FCE" w:rsidRPr="00FC3B7C" w:rsidRDefault="00906FCE" w:rsidP="00D46B53">
      <w:pPr>
        <w:numPr>
          <w:ilvl w:val="0"/>
          <w:numId w:val="256"/>
        </w:numPr>
        <w:tabs>
          <w:tab w:val="left" w:pos="824"/>
        </w:tabs>
        <w:ind w:left="840" w:right="260" w:hanging="368"/>
        <w:rPr>
          <w:rFonts w:eastAsia="Times New Roman"/>
          <w:szCs w:val="24"/>
        </w:rPr>
      </w:pPr>
      <w:r w:rsidRPr="00FC3B7C">
        <w:rPr>
          <w:rFonts w:eastAsia="Times New Roman"/>
          <w:b/>
          <w:szCs w:val="24"/>
        </w:rPr>
        <w:t>Parametrické reformy</w:t>
      </w:r>
      <w:r w:rsidRPr="00FC3B7C">
        <w:rPr>
          <w:rFonts w:eastAsia="Times New Roman"/>
          <w:szCs w:val="24"/>
        </w:rPr>
        <w:t>-změna parametrů na stránce příjmové i výdajové (např. výše sazeb, věk odchodu do důchodu). Státem dobře nastavené parametry umožní zvýšení příjmů a přibrzdění výdajů</w:t>
      </w:r>
    </w:p>
    <w:p w14:paraId="4A6F41A7" w14:textId="77777777" w:rsidR="00906FCE" w:rsidRPr="00FC3B7C" w:rsidRDefault="00906FCE" w:rsidP="00D46B53">
      <w:pPr>
        <w:numPr>
          <w:ilvl w:val="0"/>
          <w:numId w:val="256"/>
        </w:numPr>
        <w:tabs>
          <w:tab w:val="left" w:pos="824"/>
        </w:tabs>
        <w:ind w:left="840" w:right="560" w:hanging="368"/>
        <w:rPr>
          <w:rFonts w:eastAsia="Times New Roman"/>
          <w:szCs w:val="24"/>
        </w:rPr>
      </w:pPr>
      <w:r w:rsidRPr="00FC3B7C">
        <w:rPr>
          <w:rFonts w:eastAsia="Times New Roman"/>
          <w:b/>
          <w:szCs w:val="24"/>
        </w:rPr>
        <w:t>Systémové reformy</w:t>
      </w:r>
      <w:r w:rsidRPr="00FC3B7C">
        <w:rPr>
          <w:rFonts w:eastAsia="Times New Roman"/>
          <w:szCs w:val="24"/>
        </w:rPr>
        <w:t>-snaha změnit celý systém v oblasti financování, výpočtu dávek atp. Reforma musí být pro každou zemi specifická.</w:t>
      </w:r>
    </w:p>
    <w:p w14:paraId="4A6F41A8" w14:textId="77777777" w:rsidR="00906FCE" w:rsidRPr="00FC3B7C" w:rsidRDefault="00906FCE" w:rsidP="00906FCE">
      <w:pPr>
        <w:tabs>
          <w:tab w:val="left" w:pos="824"/>
        </w:tabs>
        <w:ind w:left="840" w:right="560"/>
        <w:rPr>
          <w:rFonts w:eastAsia="Times New Roman"/>
          <w:szCs w:val="24"/>
        </w:rPr>
      </w:pPr>
    </w:p>
    <w:p w14:paraId="4A6F41A9" w14:textId="77777777" w:rsidR="00906FCE" w:rsidRPr="004A163A" w:rsidRDefault="00906FCE" w:rsidP="00A40E2E">
      <w:pPr>
        <w:pStyle w:val="Nadpis4"/>
        <w:rPr>
          <w:color w:val="1F3864" w:themeColor="accent1" w:themeShade="80"/>
          <w:sz w:val="20"/>
          <w:szCs w:val="20"/>
        </w:rPr>
      </w:pPr>
      <w:r w:rsidRPr="004A163A">
        <w:rPr>
          <w:rFonts w:eastAsia="Times New Roman"/>
          <w:color w:val="1F3864" w:themeColor="accent1" w:themeShade="80"/>
        </w:rPr>
        <w:t>Problém přechodu z průběžného na fondový systém</w:t>
      </w:r>
    </w:p>
    <w:p w14:paraId="4A6F41AA" w14:textId="77777777" w:rsidR="00906FCE" w:rsidRPr="00FC3B7C" w:rsidRDefault="00906FCE" w:rsidP="00906FCE">
      <w:pPr>
        <w:spacing w:line="161" w:lineRule="exact"/>
        <w:rPr>
          <w:sz w:val="20"/>
          <w:szCs w:val="20"/>
        </w:rPr>
      </w:pPr>
    </w:p>
    <w:p w14:paraId="4A6F41AB" w14:textId="77777777" w:rsidR="00906FCE" w:rsidRPr="00FC3B7C" w:rsidRDefault="00906FCE" w:rsidP="00711B32">
      <w:pPr>
        <w:ind w:left="568" w:firstLine="720"/>
        <w:rPr>
          <w:sz w:val="20"/>
          <w:szCs w:val="20"/>
        </w:rPr>
      </w:pPr>
      <w:r w:rsidRPr="00FC3B7C">
        <w:rPr>
          <w:rFonts w:eastAsia="Times New Roman"/>
        </w:rPr>
        <w:t>Přechod na fondový penzijní systém by byl doprovázen vznikem penzijního dluhu kvůli tomu,</w:t>
      </w:r>
      <w:r w:rsidRPr="00FC3B7C">
        <w:rPr>
          <w:sz w:val="20"/>
          <w:szCs w:val="20"/>
        </w:rPr>
        <w:t xml:space="preserve"> </w:t>
      </w:r>
      <w:r w:rsidRPr="00FC3B7C">
        <w:rPr>
          <w:rFonts w:eastAsia="Times New Roman"/>
        </w:rPr>
        <w:t>že při okamžitém přesměrování příspěvků pracovníků do fondu by na jedné straně ustal příliv peněž do průběžného systému, ale na druhé straně by se nezastavily výdaje průběžného systému. Stát by musel situaci řešit radikálním zvýšení daní.</w:t>
      </w:r>
    </w:p>
    <w:p w14:paraId="4A6F41AD" w14:textId="77777777" w:rsidR="00906FCE" w:rsidRPr="004A163A" w:rsidRDefault="00906FCE" w:rsidP="00A40E2E">
      <w:pPr>
        <w:pStyle w:val="Nadpis4"/>
        <w:rPr>
          <w:color w:val="1F3864" w:themeColor="accent1" w:themeShade="80"/>
          <w:sz w:val="20"/>
          <w:szCs w:val="20"/>
        </w:rPr>
      </w:pPr>
      <w:r w:rsidRPr="004A163A">
        <w:rPr>
          <w:rFonts w:eastAsia="Times New Roman"/>
          <w:color w:val="1F3864" w:themeColor="accent1" w:themeShade="80"/>
        </w:rPr>
        <w:t>Důvody k důchodovým reformám</w:t>
      </w:r>
    </w:p>
    <w:p w14:paraId="4A6F41AE" w14:textId="77777777" w:rsidR="00906FCE" w:rsidRPr="00FC3B7C" w:rsidRDefault="00906FCE" w:rsidP="00D46B53">
      <w:pPr>
        <w:pStyle w:val="Odstavecseseznamem"/>
        <w:numPr>
          <w:ilvl w:val="0"/>
          <w:numId w:val="582"/>
        </w:numPr>
        <w:ind w:left="2977"/>
        <w:rPr>
          <w:sz w:val="20"/>
          <w:szCs w:val="20"/>
        </w:rPr>
      </w:pPr>
      <w:r w:rsidRPr="00FC3B7C">
        <w:rPr>
          <w:rFonts w:eastAsia="Times New Roman"/>
          <w:szCs w:val="24"/>
        </w:rPr>
        <w:t>Demografické</w:t>
      </w:r>
    </w:p>
    <w:p w14:paraId="4A6F41AF" w14:textId="77777777" w:rsidR="00906FCE" w:rsidRPr="00FC3B7C" w:rsidRDefault="00906FCE" w:rsidP="00A40E2E">
      <w:pPr>
        <w:spacing w:line="61" w:lineRule="exact"/>
        <w:ind w:left="2977"/>
        <w:rPr>
          <w:sz w:val="20"/>
          <w:szCs w:val="20"/>
        </w:rPr>
      </w:pPr>
    </w:p>
    <w:p w14:paraId="4A6F41B0" w14:textId="77777777" w:rsidR="00906FCE" w:rsidRPr="00FC3B7C" w:rsidRDefault="00906FCE" w:rsidP="00D46B53">
      <w:pPr>
        <w:pStyle w:val="Odstavecseseznamem"/>
        <w:numPr>
          <w:ilvl w:val="0"/>
          <w:numId w:val="582"/>
        </w:numPr>
        <w:ind w:left="2977"/>
        <w:rPr>
          <w:sz w:val="20"/>
          <w:szCs w:val="20"/>
        </w:rPr>
      </w:pPr>
      <w:r w:rsidRPr="00FC3B7C">
        <w:rPr>
          <w:rFonts w:eastAsia="Times New Roman"/>
          <w:szCs w:val="24"/>
        </w:rPr>
        <w:t>Omezení přerozdělování</w:t>
      </w:r>
    </w:p>
    <w:p w14:paraId="4A6F41B1" w14:textId="77777777" w:rsidR="00906FCE" w:rsidRPr="00FC3B7C" w:rsidRDefault="00906FCE" w:rsidP="00A40E2E">
      <w:pPr>
        <w:spacing w:line="25" w:lineRule="exact"/>
        <w:ind w:left="2977"/>
        <w:rPr>
          <w:sz w:val="20"/>
          <w:szCs w:val="20"/>
        </w:rPr>
      </w:pPr>
    </w:p>
    <w:p w14:paraId="4A6F41B2" w14:textId="77777777" w:rsidR="00906FCE" w:rsidRPr="00FC3B7C" w:rsidRDefault="00906FCE" w:rsidP="00D46B53">
      <w:pPr>
        <w:pStyle w:val="Odstavecseseznamem"/>
        <w:numPr>
          <w:ilvl w:val="0"/>
          <w:numId w:val="582"/>
        </w:numPr>
        <w:ind w:left="2977"/>
        <w:rPr>
          <w:sz w:val="20"/>
          <w:szCs w:val="20"/>
        </w:rPr>
      </w:pPr>
      <w:r w:rsidRPr="00FC3B7C">
        <w:rPr>
          <w:rFonts w:eastAsia="Times New Roman"/>
          <w:szCs w:val="24"/>
        </w:rPr>
        <w:t>Omezení úlohy státu</w:t>
      </w:r>
    </w:p>
    <w:p w14:paraId="4A6F41B3" w14:textId="77777777" w:rsidR="00906FCE" w:rsidRPr="00FC3B7C" w:rsidRDefault="00906FCE" w:rsidP="00906FCE">
      <w:pPr>
        <w:spacing w:line="239" w:lineRule="exact"/>
        <w:rPr>
          <w:sz w:val="20"/>
          <w:szCs w:val="20"/>
        </w:rPr>
      </w:pPr>
    </w:p>
    <w:p w14:paraId="4A6F41B4" w14:textId="7FC5EA78" w:rsidR="00906FCE" w:rsidRPr="004A163A" w:rsidRDefault="004A163A" w:rsidP="00A40E2E">
      <w:pPr>
        <w:pStyle w:val="Nadpis3"/>
        <w:rPr>
          <w:color w:val="1F3864" w:themeColor="accent1" w:themeShade="80"/>
          <w:sz w:val="20"/>
          <w:szCs w:val="20"/>
        </w:rPr>
      </w:pPr>
      <w:r>
        <w:rPr>
          <w:rFonts w:eastAsia="Times New Roman"/>
          <w:color w:val="1F3864" w:themeColor="accent1" w:themeShade="80"/>
        </w:rPr>
        <w:lastRenderedPageBreak/>
        <w:t xml:space="preserve"> </w:t>
      </w:r>
      <w:r w:rsidR="00906FCE" w:rsidRPr="004A163A">
        <w:rPr>
          <w:rFonts w:eastAsia="Times New Roman"/>
          <w:color w:val="1F3864" w:themeColor="accent1" w:themeShade="80"/>
        </w:rPr>
        <w:t>Malá důchodová reforma 2011</w:t>
      </w:r>
    </w:p>
    <w:p w14:paraId="4A6F41B5" w14:textId="77777777" w:rsidR="00906FCE" w:rsidRPr="00FC3B7C" w:rsidRDefault="00906FCE" w:rsidP="00906FCE">
      <w:pPr>
        <w:spacing w:line="47" w:lineRule="exact"/>
        <w:rPr>
          <w:sz w:val="20"/>
          <w:szCs w:val="20"/>
        </w:rPr>
      </w:pPr>
    </w:p>
    <w:p w14:paraId="4A6F41B6" w14:textId="77777777" w:rsidR="00906FCE" w:rsidRPr="00FC3B7C" w:rsidRDefault="00906FCE" w:rsidP="00D46B53">
      <w:pPr>
        <w:numPr>
          <w:ilvl w:val="0"/>
          <w:numId w:val="257"/>
        </w:numPr>
        <w:tabs>
          <w:tab w:val="left" w:pos="840"/>
        </w:tabs>
        <w:ind w:left="840" w:hanging="368"/>
        <w:rPr>
          <w:rFonts w:eastAsia="Arial"/>
          <w:szCs w:val="24"/>
        </w:rPr>
      </w:pPr>
      <w:r w:rsidRPr="00FC3B7C">
        <w:rPr>
          <w:rFonts w:eastAsia="Times New Roman"/>
          <w:szCs w:val="24"/>
        </w:rPr>
        <w:t>Zahrnovala parametrické změny.</w:t>
      </w:r>
    </w:p>
    <w:p w14:paraId="4A6F41B7" w14:textId="77777777" w:rsidR="00906FCE" w:rsidRPr="00FC3B7C" w:rsidRDefault="00906FCE" w:rsidP="00711B32">
      <w:pPr>
        <w:rPr>
          <w:rFonts w:eastAsia="Arial"/>
          <w:szCs w:val="24"/>
        </w:rPr>
      </w:pPr>
    </w:p>
    <w:p w14:paraId="4A6F41B8" w14:textId="77777777" w:rsidR="00906FCE" w:rsidRPr="00FC3B7C" w:rsidRDefault="00906FCE" w:rsidP="00D46B53">
      <w:pPr>
        <w:numPr>
          <w:ilvl w:val="0"/>
          <w:numId w:val="257"/>
        </w:numPr>
        <w:tabs>
          <w:tab w:val="left" w:pos="840"/>
        </w:tabs>
        <w:ind w:left="840" w:hanging="368"/>
        <w:rPr>
          <w:rFonts w:eastAsia="Arial"/>
          <w:szCs w:val="24"/>
        </w:rPr>
      </w:pPr>
      <w:r w:rsidRPr="00FC3B7C">
        <w:rPr>
          <w:rFonts w:eastAsia="Times New Roman"/>
          <w:szCs w:val="24"/>
        </w:rPr>
        <w:t>Zejména šlo o změnu výpočtu důchodů odstraněním redukční hranice, zabraňující tvorbě vysokých důchodů. Toto zvýšení důchodů lidem s vyšším příjmem je financováno na úkor lidí se středními příjmy (80 % obyv.), neboť těm s nejnižšími příjmy již není co sebrat.</w:t>
      </w:r>
    </w:p>
    <w:p w14:paraId="4A6F41B9" w14:textId="77777777" w:rsidR="00906FCE" w:rsidRPr="00FC3B7C" w:rsidRDefault="00906FCE" w:rsidP="00711B32">
      <w:pPr>
        <w:rPr>
          <w:rFonts w:eastAsia="Arial"/>
          <w:szCs w:val="24"/>
        </w:rPr>
      </w:pPr>
    </w:p>
    <w:p w14:paraId="4A6F41BA" w14:textId="77777777" w:rsidR="00906FCE" w:rsidRPr="00FC3B7C" w:rsidRDefault="00906FCE" w:rsidP="00D46B53">
      <w:pPr>
        <w:numPr>
          <w:ilvl w:val="0"/>
          <w:numId w:val="257"/>
        </w:numPr>
        <w:tabs>
          <w:tab w:val="left" w:pos="840"/>
        </w:tabs>
        <w:ind w:left="840" w:hanging="368"/>
        <w:rPr>
          <w:rFonts w:eastAsia="Arial"/>
          <w:szCs w:val="24"/>
        </w:rPr>
      </w:pPr>
      <w:r w:rsidRPr="00FC3B7C">
        <w:rPr>
          <w:rFonts w:eastAsia="Times New Roman"/>
          <w:szCs w:val="24"/>
        </w:rPr>
        <w:t>Zvyšování věku odchodu do důchodu každým rokem o dva měsíce a sjednocení věku odchodu do důchodu pro muže a ženy.</w:t>
      </w:r>
    </w:p>
    <w:p w14:paraId="4A6F41BB" w14:textId="77777777" w:rsidR="00906FCE" w:rsidRPr="00FC3B7C" w:rsidRDefault="00906FCE" w:rsidP="00711B32">
      <w:pPr>
        <w:rPr>
          <w:rFonts w:eastAsia="Arial"/>
          <w:szCs w:val="24"/>
        </w:rPr>
      </w:pPr>
    </w:p>
    <w:p w14:paraId="4A6F41BC" w14:textId="77777777" w:rsidR="00906FCE" w:rsidRPr="00FC3B7C" w:rsidRDefault="00906FCE" w:rsidP="00D46B53">
      <w:pPr>
        <w:numPr>
          <w:ilvl w:val="0"/>
          <w:numId w:val="257"/>
        </w:numPr>
        <w:tabs>
          <w:tab w:val="left" w:pos="840"/>
        </w:tabs>
        <w:ind w:left="840" w:hanging="368"/>
        <w:rPr>
          <w:rFonts w:eastAsia="Arial"/>
          <w:szCs w:val="24"/>
        </w:rPr>
      </w:pPr>
      <w:r w:rsidRPr="00FC3B7C">
        <w:rPr>
          <w:rFonts w:eastAsia="Times New Roman"/>
          <w:szCs w:val="24"/>
        </w:rPr>
        <w:t>Zpřísnění a snížení předčasných důchodů.</w:t>
      </w:r>
    </w:p>
    <w:p w14:paraId="4A6F41BD" w14:textId="77777777" w:rsidR="00906FCE" w:rsidRPr="00FC3B7C" w:rsidRDefault="00906FCE" w:rsidP="00D46B53">
      <w:pPr>
        <w:numPr>
          <w:ilvl w:val="0"/>
          <w:numId w:val="257"/>
        </w:numPr>
        <w:tabs>
          <w:tab w:val="left" w:pos="840"/>
        </w:tabs>
        <w:ind w:left="840" w:hanging="368"/>
        <w:rPr>
          <w:rFonts w:eastAsia="Arial"/>
          <w:szCs w:val="24"/>
        </w:rPr>
      </w:pPr>
      <w:r w:rsidRPr="00FC3B7C">
        <w:rPr>
          <w:rFonts w:eastAsia="Times New Roman"/>
          <w:szCs w:val="24"/>
        </w:rPr>
        <w:t>Změna pravidel valorizace, posledně valorizace jen o 1/3 míry inflace.</w:t>
      </w:r>
    </w:p>
    <w:p w14:paraId="4A6F41BE" w14:textId="77777777" w:rsidR="00906FCE" w:rsidRPr="00FC3B7C" w:rsidRDefault="00906FCE" w:rsidP="00906FCE">
      <w:pPr>
        <w:spacing w:line="200" w:lineRule="exact"/>
        <w:rPr>
          <w:sz w:val="20"/>
          <w:szCs w:val="20"/>
        </w:rPr>
      </w:pPr>
    </w:p>
    <w:p w14:paraId="4A6F41BF" w14:textId="77777777" w:rsidR="00906FCE" w:rsidRPr="004A163A" w:rsidRDefault="00906FCE" w:rsidP="00906FCE">
      <w:pPr>
        <w:spacing w:line="277" w:lineRule="exact"/>
        <w:rPr>
          <w:color w:val="1F3864" w:themeColor="accent1" w:themeShade="80"/>
          <w:sz w:val="20"/>
          <w:szCs w:val="20"/>
        </w:rPr>
      </w:pPr>
    </w:p>
    <w:p w14:paraId="4A6F41C0" w14:textId="66C10AC2" w:rsidR="00906FCE" w:rsidRPr="004A163A" w:rsidRDefault="004A163A" w:rsidP="00A40E2E">
      <w:pPr>
        <w:pStyle w:val="Nadpis3"/>
        <w:rPr>
          <w:color w:val="1F3864" w:themeColor="accent1" w:themeShade="80"/>
          <w:sz w:val="20"/>
          <w:szCs w:val="20"/>
        </w:rPr>
      </w:pPr>
      <w:r>
        <w:rPr>
          <w:rFonts w:eastAsia="Times New Roman"/>
          <w:color w:val="1F3864" w:themeColor="accent1" w:themeShade="80"/>
        </w:rPr>
        <w:t xml:space="preserve"> </w:t>
      </w:r>
      <w:r w:rsidR="00906FCE" w:rsidRPr="004A163A">
        <w:rPr>
          <w:rFonts w:eastAsia="Times New Roman"/>
          <w:color w:val="1F3864" w:themeColor="accent1" w:themeShade="80"/>
        </w:rPr>
        <w:t>Velká důchodová reforma 2013</w:t>
      </w:r>
    </w:p>
    <w:p w14:paraId="4A6F41C1" w14:textId="77777777" w:rsidR="00906FCE" w:rsidRPr="00FC3B7C" w:rsidRDefault="00906FCE" w:rsidP="00906FCE">
      <w:pPr>
        <w:spacing w:line="278" w:lineRule="exact"/>
        <w:rPr>
          <w:sz w:val="20"/>
          <w:szCs w:val="20"/>
        </w:rPr>
      </w:pPr>
    </w:p>
    <w:p w14:paraId="4A6F41C2" w14:textId="77777777" w:rsidR="00906FCE" w:rsidRPr="004A163A" w:rsidRDefault="00906FCE" w:rsidP="00A40E2E">
      <w:pPr>
        <w:pStyle w:val="Nadpis4"/>
        <w:rPr>
          <w:color w:val="1F3864" w:themeColor="accent1" w:themeShade="80"/>
          <w:sz w:val="20"/>
          <w:szCs w:val="20"/>
        </w:rPr>
      </w:pPr>
      <w:r w:rsidRPr="004A163A">
        <w:rPr>
          <w:rFonts w:eastAsia="Times New Roman"/>
          <w:color w:val="1F3864" w:themeColor="accent1" w:themeShade="80"/>
        </w:rPr>
        <w:t>První pilíř</w:t>
      </w:r>
    </w:p>
    <w:p w14:paraId="4A6F41C3" w14:textId="77777777" w:rsidR="00906FCE" w:rsidRPr="00FC3B7C" w:rsidRDefault="00906FCE" w:rsidP="00906FCE">
      <w:pPr>
        <w:spacing w:line="33" w:lineRule="exact"/>
        <w:rPr>
          <w:sz w:val="20"/>
          <w:szCs w:val="20"/>
        </w:rPr>
      </w:pPr>
    </w:p>
    <w:p w14:paraId="4A6F41C4" w14:textId="77777777" w:rsidR="00A40E2E" w:rsidRPr="00A40E2E" w:rsidRDefault="00906FCE" w:rsidP="00D46B53">
      <w:pPr>
        <w:numPr>
          <w:ilvl w:val="0"/>
          <w:numId w:val="258"/>
        </w:numPr>
        <w:tabs>
          <w:tab w:val="left" w:pos="840"/>
        </w:tabs>
        <w:ind w:left="840" w:hanging="368"/>
        <w:rPr>
          <w:rFonts w:eastAsia="Arial"/>
          <w:szCs w:val="24"/>
        </w:rPr>
      </w:pPr>
      <w:r w:rsidRPr="00FC3B7C">
        <w:rPr>
          <w:rFonts w:eastAsia="Times New Roman"/>
          <w:szCs w:val="24"/>
        </w:rPr>
        <w:t>Výše zmíněné parametrické úpravy.</w:t>
      </w:r>
    </w:p>
    <w:p w14:paraId="4A6F41C5" w14:textId="59210777" w:rsidR="00906FCE" w:rsidRPr="00FC3B7C" w:rsidRDefault="00711B32" w:rsidP="00D46B53">
      <w:pPr>
        <w:numPr>
          <w:ilvl w:val="0"/>
          <w:numId w:val="258"/>
        </w:numPr>
        <w:tabs>
          <w:tab w:val="left" w:pos="900"/>
        </w:tabs>
        <w:ind w:left="900" w:hanging="428"/>
        <w:rPr>
          <w:rFonts w:eastAsia="Arial"/>
          <w:szCs w:val="24"/>
        </w:rPr>
      </w:pPr>
      <w:r>
        <w:rPr>
          <w:rFonts w:eastAsia="Times New Roman"/>
          <w:szCs w:val="24"/>
        </w:rPr>
        <w:t>P</w:t>
      </w:r>
      <w:r w:rsidR="00906FCE" w:rsidRPr="00FC3B7C">
        <w:rPr>
          <w:rFonts w:eastAsia="Times New Roman"/>
          <w:szCs w:val="24"/>
        </w:rPr>
        <w:t>růběžný, státní, dávkově definovaný, povinný.</w:t>
      </w:r>
    </w:p>
    <w:p w14:paraId="4A6F41C6" w14:textId="77777777" w:rsidR="00906FCE" w:rsidRPr="00FC3B7C" w:rsidRDefault="00906FCE" w:rsidP="00906FCE">
      <w:pPr>
        <w:tabs>
          <w:tab w:val="left" w:pos="900"/>
        </w:tabs>
        <w:spacing w:line="238" w:lineRule="auto"/>
        <w:rPr>
          <w:rFonts w:eastAsia="Arial"/>
          <w:szCs w:val="24"/>
        </w:rPr>
      </w:pPr>
    </w:p>
    <w:p w14:paraId="4A6F41C7" w14:textId="77777777" w:rsidR="00906FCE" w:rsidRPr="004A163A" w:rsidRDefault="00906FCE" w:rsidP="00A40E2E">
      <w:pPr>
        <w:pStyle w:val="Nadpis4"/>
        <w:rPr>
          <w:color w:val="1F3864" w:themeColor="accent1" w:themeShade="80"/>
          <w:sz w:val="20"/>
          <w:szCs w:val="20"/>
        </w:rPr>
      </w:pPr>
      <w:r w:rsidRPr="004A163A">
        <w:rPr>
          <w:rFonts w:eastAsia="Times New Roman"/>
          <w:color w:val="1F3864" w:themeColor="accent1" w:themeShade="80"/>
        </w:rPr>
        <w:t>Druhý pilíř</w:t>
      </w:r>
    </w:p>
    <w:p w14:paraId="4A6F41C8" w14:textId="77777777" w:rsidR="00906FCE" w:rsidRPr="00FC3B7C" w:rsidRDefault="00906FCE" w:rsidP="00906FCE">
      <w:pPr>
        <w:spacing w:line="33" w:lineRule="exact"/>
        <w:rPr>
          <w:sz w:val="20"/>
          <w:szCs w:val="20"/>
        </w:rPr>
      </w:pPr>
    </w:p>
    <w:p w14:paraId="4A6F41C9" w14:textId="77777777" w:rsidR="00906FCE" w:rsidRPr="00FC3B7C" w:rsidRDefault="00906FCE" w:rsidP="00D46B53">
      <w:pPr>
        <w:numPr>
          <w:ilvl w:val="0"/>
          <w:numId w:val="259"/>
        </w:numPr>
        <w:tabs>
          <w:tab w:val="left" w:pos="840"/>
        </w:tabs>
        <w:ind w:left="840" w:hanging="368"/>
        <w:rPr>
          <w:rFonts w:eastAsia="Arial"/>
          <w:szCs w:val="24"/>
        </w:rPr>
      </w:pPr>
      <w:r w:rsidRPr="00FC3B7C">
        <w:rPr>
          <w:rFonts w:eastAsia="Times New Roman"/>
          <w:szCs w:val="24"/>
        </w:rPr>
        <w:t>Byl vytvořen.</w:t>
      </w:r>
    </w:p>
    <w:p w14:paraId="4A6F41CA" w14:textId="77777777" w:rsidR="00906FCE" w:rsidRPr="00FC3B7C" w:rsidRDefault="00906FCE" w:rsidP="00D46B53">
      <w:pPr>
        <w:numPr>
          <w:ilvl w:val="0"/>
          <w:numId w:val="259"/>
        </w:numPr>
        <w:tabs>
          <w:tab w:val="left" w:pos="840"/>
        </w:tabs>
        <w:ind w:left="840" w:hanging="368"/>
        <w:rPr>
          <w:rFonts w:eastAsia="Arial"/>
          <w:szCs w:val="24"/>
        </w:rPr>
      </w:pPr>
      <w:r w:rsidRPr="00FC3B7C">
        <w:rPr>
          <w:rFonts w:eastAsia="Times New Roman"/>
          <w:szCs w:val="24"/>
        </w:rPr>
        <w:t>Jde o pilíř kapitálový, soukromý, příspěvkově definovaný, dobrovolný.</w:t>
      </w:r>
    </w:p>
    <w:p w14:paraId="4A6F41CB" w14:textId="77777777" w:rsidR="00906FCE" w:rsidRPr="00FC3B7C" w:rsidRDefault="00906FCE" w:rsidP="00D46B53">
      <w:pPr>
        <w:numPr>
          <w:ilvl w:val="0"/>
          <w:numId w:val="259"/>
        </w:numPr>
        <w:tabs>
          <w:tab w:val="left" w:pos="840"/>
        </w:tabs>
        <w:ind w:left="840" w:hanging="368"/>
        <w:rPr>
          <w:rFonts w:eastAsia="Arial"/>
          <w:szCs w:val="24"/>
        </w:rPr>
      </w:pPr>
      <w:r w:rsidRPr="00FC3B7C">
        <w:rPr>
          <w:rFonts w:eastAsia="Times New Roman"/>
          <w:szCs w:val="24"/>
        </w:rPr>
        <w:t>Dobrovolný jen pro vstup do 35 let bez možnosti výstupu.</w:t>
      </w:r>
    </w:p>
    <w:p w14:paraId="4A6F41CC" w14:textId="77777777" w:rsidR="00906FCE" w:rsidRPr="00FC3B7C" w:rsidRDefault="00906FCE" w:rsidP="00D46B53">
      <w:pPr>
        <w:numPr>
          <w:ilvl w:val="0"/>
          <w:numId w:val="260"/>
        </w:numPr>
        <w:tabs>
          <w:tab w:val="left" w:pos="840"/>
        </w:tabs>
        <w:ind w:left="840" w:right="20" w:hanging="368"/>
        <w:rPr>
          <w:rFonts w:eastAsia="Arial"/>
          <w:sz w:val="23"/>
          <w:szCs w:val="23"/>
        </w:rPr>
      </w:pPr>
      <w:bookmarkStart w:id="273" w:name="page272"/>
      <w:bookmarkEnd w:id="273"/>
      <w:r w:rsidRPr="00FC3B7C">
        <w:rPr>
          <w:rFonts w:eastAsia="Times New Roman"/>
          <w:sz w:val="23"/>
          <w:szCs w:val="23"/>
        </w:rPr>
        <w:t>Představuje možnost fondového penzijního spoření (tzv. Op-out) v podobě vyvedení 3 % sociálního pojištění na soukromé účty vedené u penzijních společností za podmínky dodatečné vlastní platby ve výši 2 % ze základu pro výpočet odvodu na sociální pojištění.</w:t>
      </w:r>
    </w:p>
    <w:p w14:paraId="4A6F41CD" w14:textId="77777777" w:rsidR="00906FCE" w:rsidRPr="00A40E2E" w:rsidRDefault="00906FCE" w:rsidP="00D46B53">
      <w:pPr>
        <w:numPr>
          <w:ilvl w:val="0"/>
          <w:numId w:val="260"/>
        </w:numPr>
        <w:tabs>
          <w:tab w:val="left" w:pos="840"/>
        </w:tabs>
        <w:ind w:left="840" w:right="20" w:hanging="368"/>
        <w:rPr>
          <w:rFonts w:eastAsia="Arial"/>
          <w:szCs w:val="24"/>
        </w:rPr>
      </w:pPr>
      <w:r w:rsidRPr="00A40E2E">
        <w:rPr>
          <w:rFonts w:eastAsia="Times New Roman"/>
          <w:szCs w:val="24"/>
        </w:rPr>
        <w:t>Dochází, ze zákona, ke tvorbě čtyř fondů podle míry rizika a úroků – dynamický, vyvážený, konzervativní a fond státních dluhopisů.</w:t>
      </w:r>
    </w:p>
    <w:p w14:paraId="4A6F41CE" w14:textId="77777777" w:rsidR="00906FCE" w:rsidRPr="00FC3B7C" w:rsidRDefault="00906FCE" w:rsidP="00D46B53">
      <w:pPr>
        <w:numPr>
          <w:ilvl w:val="0"/>
          <w:numId w:val="260"/>
        </w:numPr>
        <w:tabs>
          <w:tab w:val="left" w:pos="840"/>
        </w:tabs>
        <w:ind w:left="840" w:right="20" w:hanging="368"/>
        <w:rPr>
          <w:rFonts w:eastAsia="Arial"/>
          <w:szCs w:val="24"/>
        </w:rPr>
      </w:pPr>
      <w:r w:rsidRPr="00FC3B7C">
        <w:rPr>
          <w:rFonts w:eastAsia="Times New Roman"/>
          <w:szCs w:val="24"/>
        </w:rPr>
        <w:t xml:space="preserve">Prostředky lze pobírat doživotně, aniž by byly předmětem dědictví (přerozdělování od těch, kteří žijí kratší dobu, k těm, kteří žijí déle), také s možností sjednání </w:t>
      </w:r>
      <w:r w:rsidRPr="00FC3B7C">
        <w:rPr>
          <w:rFonts w:eastAsia="Times New Roman"/>
          <w:szCs w:val="24"/>
        </w:rPr>
        <w:lastRenderedPageBreak/>
        <w:t>pozůstalostní penze na 3 roky pro osobu, kterou uvedeme ve smlouvě. Nebo lze prostředky čerpat jen po dvacet let s možností je dědit, když člověk zemře dříve.</w:t>
      </w:r>
    </w:p>
    <w:p w14:paraId="4A6F41CF" w14:textId="77777777" w:rsidR="00906FCE" w:rsidRPr="00FC3B7C" w:rsidRDefault="00906FCE" w:rsidP="00D46B53">
      <w:pPr>
        <w:numPr>
          <w:ilvl w:val="0"/>
          <w:numId w:val="260"/>
        </w:numPr>
        <w:tabs>
          <w:tab w:val="left" w:pos="840"/>
        </w:tabs>
        <w:ind w:left="840" w:right="20" w:hanging="368"/>
        <w:rPr>
          <w:rFonts w:eastAsia="Arial"/>
          <w:szCs w:val="24"/>
        </w:rPr>
      </w:pPr>
      <w:r w:rsidRPr="00FC3B7C">
        <w:rPr>
          <w:rFonts w:eastAsia="Times New Roman"/>
          <w:szCs w:val="24"/>
        </w:rPr>
        <w:t>Ve třetím pilíři je přes 350 milionů Kč a 84 tisíc účastníků (2014), přičemž 78,4 tisíc účastníků, do pilíře vstoupilo v polovině roku 2013. Lidé do pilíře nevstupují, nejen kvůli nízkému zhodnocení vkladů, ale i kvůli jeho očekávanému zrušení současnou vládou (2014).</w:t>
      </w:r>
    </w:p>
    <w:p w14:paraId="4A6F41D0" w14:textId="77777777" w:rsidR="00906FCE" w:rsidRPr="00FC3B7C" w:rsidRDefault="00906FCE" w:rsidP="00906FCE">
      <w:pPr>
        <w:spacing w:line="200" w:lineRule="exact"/>
        <w:rPr>
          <w:sz w:val="20"/>
          <w:szCs w:val="20"/>
        </w:rPr>
      </w:pPr>
    </w:p>
    <w:p w14:paraId="4A6F41D1" w14:textId="77777777" w:rsidR="00906FCE" w:rsidRPr="00FC3B7C" w:rsidRDefault="00906FCE" w:rsidP="00906FCE">
      <w:pPr>
        <w:spacing w:line="242" w:lineRule="exact"/>
        <w:rPr>
          <w:sz w:val="20"/>
          <w:szCs w:val="20"/>
        </w:rPr>
      </w:pPr>
    </w:p>
    <w:p w14:paraId="4A6F41D2" w14:textId="77777777" w:rsidR="00906FCE" w:rsidRPr="004A163A" w:rsidRDefault="00906FCE" w:rsidP="00A40E2E">
      <w:pPr>
        <w:pStyle w:val="Nadpis4"/>
        <w:rPr>
          <w:color w:val="1F3864" w:themeColor="accent1" w:themeShade="80"/>
          <w:sz w:val="20"/>
          <w:szCs w:val="20"/>
        </w:rPr>
      </w:pPr>
      <w:r w:rsidRPr="004A163A">
        <w:rPr>
          <w:rFonts w:eastAsia="Times New Roman"/>
          <w:color w:val="1F3864" w:themeColor="accent1" w:themeShade="80"/>
        </w:rPr>
        <w:t>Třetí pilíř</w:t>
      </w:r>
    </w:p>
    <w:p w14:paraId="4A6F41D3" w14:textId="77777777" w:rsidR="00906FCE" w:rsidRPr="00FC3B7C" w:rsidRDefault="00906FCE" w:rsidP="00906FCE">
      <w:pPr>
        <w:spacing w:line="28" w:lineRule="exact"/>
        <w:rPr>
          <w:sz w:val="20"/>
          <w:szCs w:val="20"/>
        </w:rPr>
      </w:pPr>
    </w:p>
    <w:p w14:paraId="4A6F41D4" w14:textId="77777777" w:rsidR="00906FCE" w:rsidRPr="00FC3B7C" w:rsidRDefault="00906FCE" w:rsidP="00D46B53">
      <w:pPr>
        <w:numPr>
          <w:ilvl w:val="0"/>
          <w:numId w:val="261"/>
        </w:numPr>
        <w:tabs>
          <w:tab w:val="left" w:pos="840"/>
        </w:tabs>
        <w:ind w:left="840" w:hanging="368"/>
        <w:rPr>
          <w:rFonts w:eastAsia="Arial"/>
          <w:szCs w:val="24"/>
        </w:rPr>
      </w:pPr>
      <w:r w:rsidRPr="00FC3B7C">
        <w:rPr>
          <w:rFonts w:eastAsia="Times New Roman"/>
          <w:szCs w:val="24"/>
        </w:rPr>
        <w:t>Tzv. penzijní připojištění.</w:t>
      </w:r>
    </w:p>
    <w:p w14:paraId="4A6F41D5" w14:textId="77777777" w:rsidR="00906FCE" w:rsidRPr="00FC3B7C" w:rsidRDefault="00906FCE" w:rsidP="00D46B53">
      <w:pPr>
        <w:numPr>
          <w:ilvl w:val="0"/>
          <w:numId w:val="261"/>
        </w:numPr>
        <w:tabs>
          <w:tab w:val="left" w:pos="840"/>
        </w:tabs>
        <w:ind w:left="840" w:hanging="368"/>
        <w:rPr>
          <w:rFonts w:eastAsia="Arial"/>
          <w:szCs w:val="24"/>
        </w:rPr>
      </w:pPr>
      <w:r w:rsidRPr="00FC3B7C">
        <w:rPr>
          <w:rFonts w:eastAsia="Times New Roman"/>
          <w:szCs w:val="24"/>
        </w:rPr>
        <w:t>Pilíř byl transformován.</w:t>
      </w:r>
    </w:p>
    <w:p w14:paraId="4A6F41D6" w14:textId="77777777" w:rsidR="00906FCE" w:rsidRPr="00FC3B7C" w:rsidRDefault="00906FCE" w:rsidP="00D46B53">
      <w:pPr>
        <w:numPr>
          <w:ilvl w:val="0"/>
          <w:numId w:val="261"/>
        </w:numPr>
        <w:tabs>
          <w:tab w:val="left" w:pos="840"/>
        </w:tabs>
        <w:ind w:left="840" w:hanging="368"/>
        <w:rPr>
          <w:rFonts w:eastAsia="Arial"/>
          <w:szCs w:val="24"/>
        </w:rPr>
      </w:pPr>
      <w:r w:rsidRPr="00FC3B7C">
        <w:rPr>
          <w:rFonts w:eastAsia="Times New Roman"/>
          <w:szCs w:val="24"/>
        </w:rPr>
        <w:t>Jde o pilíř kapitálový, soukromý, příspěvkově definovaný, dobrovolný.</w:t>
      </w:r>
    </w:p>
    <w:p w14:paraId="4A6F41D7" w14:textId="77777777" w:rsidR="00906FCE" w:rsidRPr="00FC3B7C" w:rsidRDefault="00906FCE" w:rsidP="00D46B53">
      <w:pPr>
        <w:numPr>
          <w:ilvl w:val="0"/>
          <w:numId w:val="261"/>
        </w:numPr>
        <w:tabs>
          <w:tab w:val="left" w:pos="840"/>
        </w:tabs>
        <w:ind w:left="840" w:right="20" w:hanging="368"/>
        <w:rPr>
          <w:rFonts w:eastAsia="Arial"/>
          <w:szCs w:val="24"/>
        </w:rPr>
      </w:pPr>
      <w:r w:rsidRPr="00FC3B7C">
        <w:rPr>
          <w:rFonts w:eastAsia="Times New Roman"/>
          <w:szCs w:val="24"/>
        </w:rPr>
        <w:t>Méně než 5 milionů účastníků, přičemž drtivá většina z nich je v transformovaném fondu, do nějž bylo možno vstoupit jen před transformací. Pro transformovaný fond platí nezáporné zhodnocení vkladů.</w:t>
      </w:r>
    </w:p>
    <w:p w14:paraId="4A6F41D8" w14:textId="77777777" w:rsidR="00906FCE" w:rsidRPr="00FC3B7C" w:rsidRDefault="00906FCE" w:rsidP="00D46B53">
      <w:pPr>
        <w:numPr>
          <w:ilvl w:val="0"/>
          <w:numId w:val="261"/>
        </w:numPr>
        <w:tabs>
          <w:tab w:val="left" w:pos="840"/>
        </w:tabs>
        <w:ind w:left="840" w:hanging="368"/>
        <w:rPr>
          <w:rFonts w:eastAsia="Arial"/>
          <w:szCs w:val="24"/>
        </w:rPr>
      </w:pPr>
      <w:r w:rsidRPr="00FC3B7C">
        <w:rPr>
          <w:rFonts w:eastAsia="Times New Roman"/>
          <w:szCs w:val="24"/>
        </w:rPr>
        <w:t>Nově vzniklý účastnický fond tvoří druhy fondů jako u 2. pilíře. Umožňuje také čerpat před důchody, tedy čerpat prostředky až pět let před odchodem do důchodu, to je ale možné jen pří dosažení stanovené výše úspor.</w:t>
      </w:r>
    </w:p>
    <w:p w14:paraId="4A6F41D9" w14:textId="77777777" w:rsidR="00906FCE" w:rsidRPr="00FC3B7C" w:rsidRDefault="00906FCE" w:rsidP="00D46B53">
      <w:pPr>
        <w:numPr>
          <w:ilvl w:val="0"/>
          <w:numId w:val="261"/>
        </w:numPr>
        <w:tabs>
          <w:tab w:val="left" w:pos="840"/>
        </w:tabs>
        <w:ind w:left="840" w:right="20" w:hanging="368"/>
        <w:rPr>
          <w:rFonts w:eastAsia="Arial"/>
          <w:szCs w:val="24"/>
        </w:rPr>
      </w:pPr>
      <w:r w:rsidRPr="00FC3B7C">
        <w:rPr>
          <w:rFonts w:eastAsia="Times New Roman"/>
          <w:szCs w:val="24"/>
        </w:rPr>
        <w:t>Pro oba fondy platí zvýšení hranic výše měsíčních příspěvků pro získání státní podpory a daňových úlev.</w:t>
      </w:r>
    </w:p>
    <w:p w14:paraId="55B682B7" w14:textId="6061B008" w:rsidR="004B6CDE" w:rsidRPr="004A43AA" w:rsidRDefault="00906FCE" w:rsidP="00D46B53">
      <w:pPr>
        <w:numPr>
          <w:ilvl w:val="0"/>
          <w:numId w:val="261"/>
        </w:numPr>
        <w:tabs>
          <w:tab w:val="left" w:pos="840"/>
        </w:tabs>
        <w:ind w:left="840" w:right="20"/>
        <w:rPr>
          <w:rFonts w:eastAsia="Arial"/>
          <w:szCs w:val="24"/>
        </w:rPr>
      </w:pPr>
      <w:r w:rsidRPr="00FC3B7C">
        <w:rPr>
          <w:rFonts w:eastAsia="Times New Roman"/>
          <w:szCs w:val="24"/>
        </w:rPr>
        <w:t>Nevýhodou je, že si lidé málo spoří, proto pilíř generuje málo prostředků, dále nepříznivá věková struktura klientů (málo mladých lidí), nízké zhodnocení vkladů, malé množství penzí (lidé si úspory často vyberou najednou).</w:t>
      </w:r>
    </w:p>
    <w:p w14:paraId="7EA07636" w14:textId="77777777" w:rsidR="004B6CDE" w:rsidRPr="00FC3B7C" w:rsidRDefault="004B6CDE" w:rsidP="00A40E2E">
      <w:pPr>
        <w:tabs>
          <w:tab w:val="left" w:pos="840"/>
        </w:tabs>
        <w:ind w:left="840" w:right="20"/>
        <w:rPr>
          <w:rFonts w:eastAsia="Arial"/>
          <w:szCs w:val="24"/>
        </w:rPr>
      </w:pPr>
    </w:p>
    <w:p w14:paraId="4A6F41DD" w14:textId="77777777" w:rsidR="00906FCE" w:rsidRPr="00FC3B7C" w:rsidRDefault="00906FCE" w:rsidP="00906FCE">
      <w:pPr>
        <w:spacing w:line="84" w:lineRule="exact"/>
        <w:rPr>
          <w:sz w:val="20"/>
          <w:szCs w:val="20"/>
        </w:rPr>
      </w:pPr>
    </w:p>
    <w:p w14:paraId="4A6F41DE" w14:textId="77777777" w:rsidR="00906FCE" w:rsidRPr="004A163A" w:rsidRDefault="00906FCE" w:rsidP="00A40E2E">
      <w:pPr>
        <w:pStyle w:val="Nadpis2"/>
        <w:rPr>
          <w:color w:val="1F3864" w:themeColor="accent1" w:themeShade="80"/>
          <w:szCs w:val="28"/>
        </w:rPr>
      </w:pPr>
      <w:r w:rsidRPr="004A163A">
        <w:rPr>
          <w:rFonts w:eastAsia="Times New Roman"/>
          <w:color w:val="1F3864" w:themeColor="accent1" w:themeShade="80"/>
          <w:szCs w:val="28"/>
        </w:rPr>
        <w:t>VÝSLEDKY PŘEROZDĚLOVACÍCH PROGRAMŮ</w:t>
      </w:r>
    </w:p>
    <w:p w14:paraId="4A6F41DF" w14:textId="77777777" w:rsidR="00906FCE" w:rsidRPr="00FC3B7C" w:rsidRDefault="00906FCE" w:rsidP="00906FCE">
      <w:pPr>
        <w:spacing w:line="309" w:lineRule="exact"/>
        <w:rPr>
          <w:sz w:val="20"/>
          <w:szCs w:val="20"/>
        </w:rPr>
      </w:pPr>
    </w:p>
    <w:p w14:paraId="4A6F41E0" w14:textId="77777777" w:rsidR="00906FCE" w:rsidRPr="00FC3B7C" w:rsidRDefault="00906FCE" w:rsidP="00D46B53">
      <w:pPr>
        <w:numPr>
          <w:ilvl w:val="0"/>
          <w:numId w:val="262"/>
        </w:numPr>
        <w:tabs>
          <w:tab w:val="left" w:pos="820"/>
        </w:tabs>
        <w:ind w:left="820" w:hanging="348"/>
        <w:rPr>
          <w:rFonts w:eastAsia="Times New Roman"/>
          <w:szCs w:val="24"/>
        </w:rPr>
      </w:pPr>
      <w:r w:rsidRPr="00FC3B7C">
        <w:rPr>
          <w:rFonts w:eastAsia="Times New Roman"/>
          <w:szCs w:val="24"/>
        </w:rPr>
        <w:t>Výsledkem je konečné rozdělení důchodů ve směru od bohatých k chudým</w:t>
      </w:r>
    </w:p>
    <w:p w14:paraId="4A6F41E1" w14:textId="26BE3068" w:rsidR="00906FCE" w:rsidRPr="00FC3B7C" w:rsidRDefault="00906FCE" w:rsidP="00D46B53">
      <w:pPr>
        <w:numPr>
          <w:ilvl w:val="0"/>
          <w:numId w:val="262"/>
        </w:numPr>
        <w:tabs>
          <w:tab w:val="left" w:pos="824"/>
        </w:tabs>
        <w:ind w:left="480" w:right="20" w:hanging="8"/>
        <w:rPr>
          <w:rFonts w:eastAsia="Times New Roman"/>
          <w:szCs w:val="24"/>
        </w:rPr>
      </w:pPr>
      <w:r w:rsidRPr="00FC3B7C">
        <w:rPr>
          <w:rFonts w:eastAsia="Times New Roman"/>
          <w:szCs w:val="24"/>
        </w:rPr>
        <w:t xml:space="preserve">Snížení Giniho koeficientu, resp. přiblížení důchodové Lorenzovy křivky směrem </w:t>
      </w:r>
      <w:r w:rsidR="00A40E2E">
        <w:rPr>
          <w:rFonts w:eastAsia="Times New Roman"/>
          <w:szCs w:val="24"/>
        </w:rPr>
        <w:br/>
      </w:r>
      <w:r w:rsidR="003376E1">
        <w:rPr>
          <w:rFonts w:eastAsia="Times New Roman"/>
          <w:szCs w:val="24"/>
        </w:rPr>
        <w:t xml:space="preserve">   </w:t>
      </w:r>
      <w:r w:rsidRPr="00FC3B7C">
        <w:rPr>
          <w:rFonts w:eastAsia="Times New Roman"/>
          <w:szCs w:val="24"/>
        </w:rPr>
        <w:t>ke</w:t>
      </w:r>
      <w:r w:rsidR="003376E1">
        <w:rPr>
          <w:rFonts w:eastAsia="Times New Roman"/>
          <w:szCs w:val="24"/>
        </w:rPr>
        <w:t xml:space="preserve"> </w:t>
      </w:r>
      <w:r w:rsidRPr="00FC3B7C">
        <w:rPr>
          <w:rFonts w:eastAsia="Times New Roman"/>
          <w:szCs w:val="24"/>
        </w:rPr>
        <w:t>křivce ideální</w:t>
      </w:r>
    </w:p>
    <w:p w14:paraId="4A6F41E2" w14:textId="77777777" w:rsidR="00906FCE" w:rsidRPr="00FC3B7C" w:rsidRDefault="00906FCE" w:rsidP="00D46B53">
      <w:pPr>
        <w:numPr>
          <w:ilvl w:val="0"/>
          <w:numId w:val="262"/>
        </w:numPr>
        <w:tabs>
          <w:tab w:val="left" w:pos="824"/>
        </w:tabs>
        <w:ind w:left="840" w:right="1180" w:hanging="368"/>
        <w:rPr>
          <w:rFonts w:eastAsia="Times New Roman"/>
          <w:szCs w:val="24"/>
        </w:rPr>
      </w:pPr>
      <w:r w:rsidRPr="00FC3B7C">
        <w:rPr>
          <w:rFonts w:eastAsia="Times New Roman"/>
          <w:szCs w:val="24"/>
        </w:rPr>
        <w:t>Snižuje disponibilní důchod společnosti kvůli administrativním nákladům a demotivaci ekonomicky aktivních jedinců</w:t>
      </w:r>
    </w:p>
    <w:p w14:paraId="4A6F41E3" w14:textId="21AECEFD" w:rsidR="00906FCE" w:rsidRDefault="00906FCE" w:rsidP="00D46B53">
      <w:pPr>
        <w:numPr>
          <w:ilvl w:val="0"/>
          <w:numId w:val="262"/>
        </w:numPr>
        <w:tabs>
          <w:tab w:val="left" w:pos="820"/>
        </w:tabs>
        <w:ind w:left="820" w:hanging="348"/>
        <w:rPr>
          <w:rFonts w:eastAsia="Times New Roman"/>
          <w:szCs w:val="24"/>
        </w:rPr>
      </w:pPr>
      <w:r w:rsidRPr="00FC3B7C">
        <w:rPr>
          <w:rFonts w:eastAsia="Times New Roman"/>
          <w:szCs w:val="24"/>
        </w:rPr>
        <w:t>Deformuje tržní proces a alokační efektivnost, kvůli zkreslení informací</w:t>
      </w:r>
    </w:p>
    <w:p w14:paraId="4A478C7D" w14:textId="77777777" w:rsidR="004A163A" w:rsidRDefault="004A163A" w:rsidP="004A163A">
      <w:pPr>
        <w:tabs>
          <w:tab w:val="left" w:pos="820"/>
        </w:tabs>
        <w:ind w:left="820"/>
        <w:rPr>
          <w:rFonts w:eastAsia="Times New Roman"/>
          <w:szCs w:val="24"/>
        </w:rPr>
      </w:pPr>
    </w:p>
    <w:p w14:paraId="4A6F41E6" w14:textId="77777777" w:rsidR="00906FCE" w:rsidRPr="004B6CDE" w:rsidRDefault="00906FCE" w:rsidP="00A40E2E">
      <w:pPr>
        <w:pStyle w:val="Nadpis2"/>
        <w:rPr>
          <w:color w:val="1F3864" w:themeColor="accent1" w:themeShade="80"/>
          <w:szCs w:val="28"/>
        </w:rPr>
      </w:pPr>
      <w:bookmarkStart w:id="274" w:name="page273"/>
      <w:bookmarkEnd w:id="274"/>
      <w:r w:rsidRPr="004B6CDE">
        <w:rPr>
          <w:rFonts w:eastAsia="Times New Roman"/>
          <w:color w:val="1F3864" w:themeColor="accent1" w:themeShade="80"/>
          <w:szCs w:val="28"/>
        </w:rPr>
        <w:lastRenderedPageBreak/>
        <w:t>SOCIÁLNÍ STRUKTURA ČESKÉ SPOLEČNOSTI Z HLEDISKA VÝVOJE ROZDĚLENÍ PŘÍJMŮ</w:t>
      </w:r>
    </w:p>
    <w:p w14:paraId="4A6F41E7" w14:textId="77777777" w:rsidR="00906FCE" w:rsidRPr="00FC3B7C" w:rsidRDefault="00906FCE" w:rsidP="00906FCE">
      <w:pPr>
        <w:spacing w:line="244" w:lineRule="auto"/>
        <w:ind w:left="120" w:right="260"/>
        <w:rPr>
          <w:rFonts w:eastAsia="Times New Roman"/>
          <w:szCs w:val="24"/>
        </w:rPr>
      </w:pPr>
    </w:p>
    <w:p w14:paraId="4A6F41EA" w14:textId="6328520B" w:rsidR="00906FCE" w:rsidRPr="00FC3B7C" w:rsidRDefault="00906FCE" w:rsidP="00711B32">
      <w:pPr>
        <w:ind w:firstLine="576"/>
        <w:rPr>
          <w:rFonts w:eastAsia="Times New Roman"/>
        </w:rPr>
      </w:pPr>
      <w:r w:rsidRPr="00FC3B7C">
        <w:rPr>
          <w:rFonts w:eastAsia="Times New Roman"/>
        </w:rPr>
        <w:t xml:space="preserve">Podrobný vývoj Giniho koeficientu pro ČR: Zvýše uvedeného vývoje Giniho koeficient </w:t>
      </w:r>
      <w:r w:rsidRPr="00244BB9">
        <w:rPr>
          <w:rFonts w:eastAsia="Times New Roman"/>
        </w:rPr>
        <w:t xml:space="preserve">lze pro Giniho index učinit několik důležitých závěrů jak za celou Českou republiku, tak dle jednotlivých kategorií: </w:t>
      </w:r>
      <w:r w:rsidR="00EC5DF9" w:rsidRPr="00244BB9">
        <w:rPr>
          <w:rFonts w:eastAsia="Times New Roman"/>
        </w:rPr>
        <w:t xml:space="preserve">Hodnoty Giniho indexu za sledované období kolísají, kopírují však hodnotu 0,25. </w:t>
      </w:r>
      <w:r w:rsidRPr="00244BB9">
        <w:rPr>
          <w:rFonts w:eastAsia="Times New Roman"/>
        </w:rPr>
        <w:t>Pro muže je hodnota indexu výrazně vyšší než pro ženy po celé sledované období, téměř se neliší věkové skupiny 30-50 let a nad 50 let. Výrazně nižší hodnotu nabývá index pro věkovou skupinu do 30 let. V Praze je hodnota výrazně vyšší, srovnatelná s vyspělými zeměmi OECD</w:t>
      </w:r>
      <w:r w:rsidRPr="00FC3B7C">
        <w:rPr>
          <w:rFonts w:eastAsia="Times New Roman"/>
        </w:rPr>
        <w:t>.</w:t>
      </w:r>
    </w:p>
    <w:p w14:paraId="4A6F41EB" w14:textId="77777777" w:rsidR="00906FCE" w:rsidRDefault="00906FCE" w:rsidP="00906FCE">
      <w:pPr>
        <w:ind w:left="120"/>
        <w:rPr>
          <w:rFonts w:eastAsia="Times New Roman"/>
          <w:szCs w:val="24"/>
        </w:rPr>
      </w:pPr>
    </w:p>
    <w:p w14:paraId="4A6F41EC" w14:textId="77777777" w:rsidR="00A40E2E" w:rsidRDefault="00A40E2E">
      <w:pPr>
        <w:spacing w:line="240" w:lineRule="auto"/>
        <w:jc w:val="left"/>
        <w:rPr>
          <w:rFonts w:eastAsia="Times New Roman"/>
          <w:szCs w:val="24"/>
        </w:rPr>
      </w:pPr>
      <w:r>
        <w:rPr>
          <w:rFonts w:eastAsia="Times New Roman"/>
          <w:szCs w:val="24"/>
        </w:rPr>
        <w:br w:type="page"/>
      </w:r>
    </w:p>
    <w:p w14:paraId="4A6F41ED" w14:textId="77777777" w:rsidR="00906FCE" w:rsidRPr="00FC3B7C" w:rsidRDefault="00906FCE" w:rsidP="00906FCE">
      <w:pPr>
        <w:rPr>
          <w:sz w:val="20"/>
          <w:szCs w:val="20"/>
        </w:rPr>
      </w:pPr>
      <w:r w:rsidRPr="00FC3B7C">
        <w:rPr>
          <w:rFonts w:eastAsia="Times New Roman"/>
          <w:b/>
          <w:bCs/>
          <w:sz w:val="26"/>
          <w:szCs w:val="26"/>
        </w:rPr>
        <w:lastRenderedPageBreak/>
        <w:t>Zdroje</w:t>
      </w:r>
    </w:p>
    <w:p w14:paraId="4A6F41EE" w14:textId="77777777" w:rsidR="00906FCE" w:rsidRPr="00FC3B7C" w:rsidRDefault="00906FCE" w:rsidP="00906FCE">
      <w:pPr>
        <w:spacing w:line="43" w:lineRule="exact"/>
        <w:rPr>
          <w:sz w:val="20"/>
          <w:szCs w:val="20"/>
        </w:rPr>
      </w:pPr>
    </w:p>
    <w:p w14:paraId="4A6F41EF" w14:textId="77777777" w:rsidR="00906FCE" w:rsidRPr="00FC3B7C" w:rsidRDefault="00906FCE" w:rsidP="004A163A">
      <w:pPr>
        <w:spacing w:after="240"/>
        <w:rPr>
          <w:sz w:val="20"/>
          <w:szCs w:val="20"/>
        </w:rPr>
      </w:pPr>
      <w:r w:rsidRPr="00FC3B7C">
        <w:rPr>
          <w:rFonts w:eastAsia="Times New Roman"/>
          <w:sz w:val="26"/>
          <w:szCs w:val="26"/>
        </w:rPr>
        <w:t xml:space="preserve">KLIKOVÁ, Christiana; KOTLÁN, Igor. </w:t>
      </w:r>
      <w:r w:rsidRPr="00FC3B7C">
        <w:rPr>
          <w:rFonts w:eastAsia="Times New Roman"/>
          <w:i/>
          <w:iCs/>
          <w:sz w:val="26"/>
          <w:szCs w:val="26"/>
        </w:rPr>
        <w:t>Hospodářská politika</w:t>
      </w:r>
      <w:r w:rsidRPr="00FC3B7C">
        <w:rPr>
          <w:rFonts w:eastAsia="Times New Roman"/>
          <w:sz w:val="26"/>
          <w:szCs w:val="26"/>
        </w:rPr>
        <w:t>. Ostrava: Institut vzdělávání Sokrates, 2006, s. 339</w:t>
      </w:r>
    </w:p>
    <w:p w14:paraId="4A6F41F0" w14:textId="77777777" w:rsidR="00906FCE" w:rsidRPr="00FC3B7C" w:rsidRDefault="00906FCE" w:rsidP="004A163A">
      <w:pPr>
        <w:spacing w:after="240"/>
        <w:rPr>
          <w:sz w:val="20"/>
          <w:szCs w:val="20"/>
        </w:rPr>
      </w:pPr>
      <w:r w:rsidRPr="00FC3B7C">
        <w:rPr>
          <w:rFonts w:eastAsia="Times New Roman"/>
          <w:sz w:val="26"/>
          <w:szCs w:val="26"/>
        </w:rPr>
        <w:t xml:space="preserve">KREBS, Vojtěch; a kol. </w:t>
      </w:r>
      <w:r w:rsidRPr="00FC3B7C">
        <w:rPr>
          <w:rFonts w:eastAsia="Times New Roman"/>
          <w:i/>
          <w:iCs/>
          <w:sz w:val="26"/>
          <w:szCs w:val="26"/>
        </w:rPr>
        <w:t>Sociální politika</w:t>
      </w:r>
      <w:r w:rsidRPr="00FC3B7C">
        <w:rPr>
          <w:rFonts w:eastAsia="Times New Roman"/>
          <w:sz w:val="26"/>
          <w:szCs w:val="26"/>
        </w:rPr>
        <w:t>. Praha: ASPI, a. s., 2007, s. 504.</w:t>
      </w:r>
    </w:p>
    <w:p w14:paraId="4A6F41F1" w14:textId="77777777" w:rsidR="00906FCE" w:rsidRPr="00FC3B7C" w:rsidRDefault="00906FCE" w:rsidP="004A163A">
      <w:pPr>
        <w:spacing w:after="240"/>
        <w:rPr>
          <w:sz w:val="20"/>
          <w:szCs w:val="20"/>
        </w:rPr>
      </w:pPr>
      <w:r w:rsidRPr="00FC3B7C">
        <w:rPr>
          <w:rFonts w:eastAsia="Times New Roman"/>
          <w:sz w:val="26"/>
          <w:szCs w:val="26"/>
        </w:rPr>
        <w:t>Přednášky předmětu Sociální a zdravotní systém 5HP 301, ZS 2013/2014</w:t>
      </w:r>
    </w:p>
    <w:p w14:paraId="4A6F41F2" w14:textId="77777777" w:rsidR="00906FCE" w:rsidRPr="00FC3B7C" w:rsidRDefault="00906FCE" w:rsidP="004A163A">
      <w:pPr>
        <w:spacing w:after="240"/>
        <w:rPr>
          <w:sz w:val="20"/>
          <w:szCs w:val="20"/>
        </w:rPr>
      </w:pPr>
      <w:r w:rsidRPr="00FC3B7C">
        <w:rPr>
          <w:rFonts w:eastAsia="Times New Roman"/>
          <w:sz w:val="26"/>
          <w:szCs w:val="26"/>
        </w:rPr>
        <w:t>Přednášky předmětu Ekonomie veřejného sektoru 5EN 302, LS 2013/2014</w:t>
      </w:r>
    </w:p>
    <w:p w14:paraId="4A6F41F3" w14:textId="77777777" w:rsidR="00906FCE" w:rsidRPr="00FC3B7C" w:rsidRDefault="00906FCE" w:rsidP="004A163A">
      <w:pPr>
        <w:spacing w:after="240" w:line="3" w:lineRule="exact"/>
        <w:rPr>
          <w:sz w:val="20"/>
          <w:szCs w:val="20"/>
        </w:rPr>
      </w:pPr>
    </w:p>
    <w:p w14:paraId="4A6F41F4" w14:textId="77777777" w:rsidR="00906FCE" w:rsidRPr="00FC3B7C" w:rsidRDefault="00906FCE" w:rsidP="004A163A">
      <w:pPr>
        <w:spacing w:after="240"/>
        <w:rPr>
          <w:sz w:val="20"/>
          <w:szCs w:val="20"/>
        </w:rPr>
      </w:pPr>
      <w:r w:rsidRPr="00FC3B7C">
        <w:rPr>
          <w:rFonts w:eastAsia="Times New Roman"/>
          <w:sz w:val="25"/>
          <w:szCs w:val="25"/>
          <w:u w:val="single"/>
        </w:rPr>
        <w:t>http://epp.eurostat.ec.europa.eu/cache/ITY_PUBLIC/3-05122013-AP/EN/3-05122013-</w:t>
      </w:r>
    </w:p>
    <w:p w14:paraId="4A6F41F5" w14:textId="77777777" w:rsidR="00906FCE" w:rsidRPr="00FC3B7C" w:rsidRDefault="00906FCE" w:rsidP="004A163A">
      <w:pPr>
        <w:spacing w:after="240" w:line="9" w:lineRule="exact"/>
        <w:rPr>
          <w:sz w:val="20"/>
          <w:szCs w:val="20"/>
        </w:rPr>
      </w:pPr>
    </w:p>
    <w:p w14:paraId="4A6F41F6" w14:textId="77777777" w:rsidR="00906FCE" w:rsidRPr="00FC3B7C" w:rsidRDefault="00906FCE" w:rsidP="004A163A">
      <w:pPr>
        <w:spacing w:after="240"/>
        <w:rPr>
          <w:sz w:val="20"/>
          <w:szCs w:val="20"/>
        </w:rPr>
      </w:pPr>
      <w:r w:rsidRPr="00FC3B7C">
        <w:rPr>
          <w:rFonts w:eastAsia="Times New Roman"/>
          <w:sz w:val="26"/>
          <w:szCs w:val="26"/>
          <w:u w:val="single"/>
        </w:rPr>
        <w:t>AP-EN.PDF (22</w:t>
      </w:r>
      <w:r w:rsidRPr="00FC3B7C">
        <w:rPr>
          <w:rFonts w:eastAsia="Times New Roman"/>
          <w:sz w:val="26"/>
          <w:szCs w:val="26"/>
        </w:rPr>
        <w:t>. 11. 2014)</w:t>
      </w:r>
    </w:p>
    <w:p w14:paraId="4A6F41F7" w14:textId="77777777" w:rsidR="00906FCE" w:rsidRPr="00FC3B7C" w:rsidRDefault="00906FCE" w:rsidP="004A163A">
      <w:pPr>
        <w:spacing w:after="240"/>
        <w:rPr>
          <w:sz w:val="20"/>
          <w:szCs w:val="20"/>
        </w:rPr>
      </w:pPr>
      <w:r w:rsidRPr="00FC3B7C">
        <w:rPr>
          <w:rFonts w:eastAsia="Times New Roman"/>
          <w:sz w:val="26"/>
          <w:szCs w:val="26"/>
          <w:u w:val="single"/>
        </w:rPr>
        <w:t>http://data.worldbank.org/indicator/SI.POV.GINI (22</w:t>
      </w:r>
      <w:r w:rsidRPr="00FC3B7C">
        <w:rPr>
          <w:rFonts w:eastAsia="Times New Roman"/>
          <w:sz w:val="26"/>
          <w:szCs w:val="26"/>
        </w:rPr>
        <w:t>. 11. 2014)</w:t>
      </w:r>
    </w:p>
    <w:p w14:paraId="4A6F41F8" w14:textId="77777777" w:rsidR="00906FCE" w:rsidRPr="00FC3B7C" w:rsidRDefault="00906FCE" w:rsidP="004A163A">
      <w:pPr>
        <w:spacing w:after="240" w:line="2" w:lineRule="exact"/>
        <w:rPr>
          <w:sz w:val="20"/>
          <w:szCs w:val="20"/>
        </w:rPr>
      </w:pPr>
    </w:p>
    <w:p w14:paraId="4A6F41F9" w14:textId="77777777" w:rsidR="00906FCE" w:rsidRPr="00FC3B7C" w:rsidRDefault="00906FCE" w:rsidP="004A163A">
      <w:pPr>
        <w:spacing w:after="240"/>
        <w:rPr>
          <w:sz w:val="20"/>
          <w:szCs w:val="20"/>
        </w:rPr>
      </w:pPr>
      <w:r w:rsidRPr="00FC3B7C">
        <w:rPr>
          <w:rFonts w:eastAsia="Times New Roman"/>
          <w:sz w:val="26"/>
          <w:szCs w:val="26"/>
          <w:u w:val="single"/>
        </w:rPr>
        <w:t>http://www.worldbank.org/en/topic/measuringpoverty (29</w:t>
      </w:r>
      <w:r w:rsidRPr="00FC3B7C">
        <w:rPr>
          <w:rFonts w:eastAsia="Times New Roman"/>
          <w:sz w:val="26"/>
          <w:szCs w:val="26"/>
        </w:rPr>
        <w:t>. 11. 2014)</w:t>
      </w:r>
    </w:p>
    <w:p w14:paraId="4A6F41FA" w14:textId="77777777" w:rsidR="00906FCE" w:rsidRPr="00FC3B7C" w:rsidRDefault="00906FCE" w:rsidP="00906FCE"/>
    <w:p w14:paraId="4A6F41FB" w14:textId="77777777" w:rsidR="00906FCE" w:rsidRPr="00FC3B7C" w:rsidRDefault="00906FCE" w:rsidP="00906FCE">
      <w:pPr>
        <w:ind w:right="840"/>
        <w:rPr>
          <w:sz w:val="20"/>
          <w:szCs w:val="20"/>
        </w:rPr>
        <w:sectPr w:rsidR="00906FCE" w:rsidRPr="00FC3B7C">
          <w:pgSz w:w="11900" w:h="16840"/>
          <w:pgMar w:top="1393" w:right="1440" w:bottom="1440" w:left="1420" w:header="0" w:footer="0" w:gutter="0"/>
          <w:cols w:space="708" w:equalWidth="0">
            <w:col w:w="9040"/>
          </w:cols>
        </w:sectPr>
      </w:pPr>
    </w:p>
    <w:p w14:paraId="4A6F41FC" w14:textId="77777777" w:rsidR="00CE6695" w:rsidRPr="00FC3B7C" w:rsidRDefault="00CE6695" w:rsidP="004A163A">
      <w:pPr>
        <w:pStyle w:val="Nadpis1"/>
        <w:ind w:left="0" w:hanging="7"/>
      </w:pPr>
      <w:bookmarkStart w:id="275" w:name="page276"/>
      <w:bookmarkStart w:id="276" w:name="page303"/>
      <w:bookmarkEnd w:id="275"/>
      <w:bookmarkEnd w:id="276"/>
      <w:r w:rsidRPr="00FC3B7C">
        <w:lastRenderedPageBreak/>
        <w:tab/>
      </w:r>
      <w:bookmarkStart w:id="277" w:name="_Toc54254085"/>
      <w:r w:rsidRPr="004A163A">
        <w:rPr>
          <w:color w:val="1F3864" w:themeColor="accent1" w:themeShade="80"/>
        </w:rPr>
        <w:t>POLITIKA TRHU PRÁCE</w:t>
      </w:r>
      <w:bookmarkEnd w:id="277"/>
    </w:p>
    <w:p w14:paraId="4A6F41FD" w14:textId="77777777" w:rsidR="00CE6695" w:rsidRPr="00FC3B7C" w:rsidRDefault="00CE6695" w:rsidP="00CE6695">
      <w:pPr>
        <w:spacing w:line="240" w:lineRule="auto"/>
        <w:rPr>
          <w:b/>
        </w:rPr>
      </w:pPr>
    </w:p>
    <w:p w14:paraId="4A6F41FE" w14:textId="77777777" w:rsidR="00F85EC7" w:rsidRDefault="00F85EC7" w:rsidP="00CE6695">
      <w:pPr>
        <w:spacing w:line="240" w:lineRule="auto"/>
        <w:rPr>
          <w:u w:val="single"/>
        </w:rPr>
      </w:pPr>
      <w:r w:rsidRPr="00FC3B7C">
        <w:rPr>
          <w:rFonts w:eastAsia="Times New Roman"/>
          <w:b/>
          <w:bCs/>
          <w:sz w:val="28"/>
          <w:szCs w:val="28"/>
        </w:rPr>
        <w:t>Slovníček pojmů</w:t>
      </w:r>
      <w:r w:rsidRPr="00FC3B7C">
        <w:rPr>
          <w:u w:val="single"/>
        </w:rPr>
        <w:t xml:space="preserve"> </w:t>
      </w:r>
    </w:p>
    <w:p w14:paraId="4A6F41FF" w14:textId="413E1FB6" w:rsidR="00CE6695" w:rsidRPr="00244BB9" w:rsidRDefault="00CE6695" w:rsidP="00F85EC7">
      <w:r w:rsidRPr="004A163A">
        <w:rPr>
          <w:i/>
          <w:iCs/>
          <w:u w:val="single"/>
        </w:rPr>
        <w:t>Aktivní politika zaměstnanosti</w:t>
      </w:r>
      <w:r w:rsidRPr="00FC3B7C">
        <w:rPr>
          <w:u w:val="single"/>
        </w:rPr>
        <w:t xml:space="preserve"> </w:t>
      </w:r>
      <w:r w:rsidRPr="00FC3B7C">
        <w:t xml:space="preserve">– jsou to cílené programy k řešení zaměstnanosti, kdy se </w:t>
      </w:r>
      <w:r w:rsidRPr="00244BB9">
        <w:t>podporuje zaměstnavatel, aby vytvářel další pracovní místa, např. i pro handicapované</w:t>
      </w:r>
    </w:p>
    <w:p w14:paraId="4A6F4200" w14:textId="3E46E7F9" w:rsidR="00CE6695" w:rsidRPr="00244BB9" w:rsidRDefault="00CE6695" w:rsidP="00F85EC7">
      <w:r w:rsidRPr="00244BB9">
        <w:rPr>
          <w:i/>
          <w:iCs/>
          <w:u w:val="single"/>
        </w:rPr>
        <w:t>Pasivní politika zaměstnanosti</w:t>
      </w:r>
      <w:r w:rsidRPr="00244BB9">
        <w:t xml:space="preserve"> – </w:t>
      </w:r>
      <w:r w:rsidR="007264DF" w:rsidRPr="00244BB9">
        <w:t>jejím smyslem je</w:t>
      </w:r>
      <w:r w:rsidRPr="00244BB9">
        <w:t xml:space="preserve"> poskytovat nezaměstnaným v případě ztráty zaměstnání po určitou dobu a v určité míře kompenzaci za ztrátu příjmů</w:t>
      </w:r>
    </w:p>
    <w:p w14:paraId="4A6F4201" w14:textId="70F13222" w:rsidR="00CE6695" w:rsidRPr="00244BB9" w:rsidRDefault="00CE6695" w:rsidP="00F85EC7">
      <w:r w:rsidRPr="00244BB9">
        <w:rPr>
          <w:i/>
          <w:iCs/>
          <w:u w:val="single"/>
        </w:rPr>
        <w:t>Příspěvek na státní politiku</w:t>
      </w:r>
      <w:r w:rsidRPr="00244BB9">
        <w:rPr>
          <w:u w:val="single"/>
        </w:rPr>
        <w:t xml:space="preserve"> nezaměstnanosti </w:t>
      </w:r>
      <w:r w:rsidRPr="00244BB9">
        <w:t xml:space="preserve">– </w:t>
      </w:r>
      <w:r w:rsidR="007264DF" w:rsidRPr="00244BB9">
        <w:t>je s</w:t>
      </w:r>
      <w:r w:rsidRPr="00244BB9">
        <w:t>oučástí sociálního pojištění, platí ho zaměstnavatelé a OSVČ, jeho výše je 1,2 %, zaměstnanci ho neplatí</w:t>
      </w:r>
    </w:p>
    <w:p w14:paraId="4A6F4202" w14:textId="2DB2C0D0" w:rsidR="00CE6695" w:rsidRPr="00244BB9" w:rsidRDefault="00CE6695" w:rsidP="00F85EC7">
      <w:r w:rsidRPr="00244BB9">
        <w:rPr>
          <w:i/>
          <w:iCs/>
          <w:u w:val="single"/>
        </w:rPr>
        <w:t>Mzda</w:t>
      </w:r>
      <w:r w:rsidRPr="00244BB9">
        <w:rPr>
          <w:i/>
          <w:iCs/>
        </w:rPr>
        <w:t xml:space="preserve"> </w:t>
      </w:r>
      <w:r w:rsidRPr="00244BB9">
        <w:t xml:space="preserve">– </w:t>
      </w:r>
      <w:r w:rsidR="007264DF" w:rsidRPr="00244BB9">
        <w:t>n</w:t>
      </w:r>
      <w:r w:rsidRPr="00244BB9">
        <w:t>ástroj, který slaďuje poptávku po práci s nabídkou práce</w:t>
      </w:r>
    </w:p>
    <w:p w14:paraId="4A6F4203" w14:textId="068C5F0C" w:rsidR="00CE6695" w:rsidRPr="00244BB9" w:rsidRDefault="00CE6695" w:rsidP="00F85EC7">
      <w:r w:rsidRPr="00244BB9">
        <w:rPr>
          <w:i/>
          <w:iCs/>
          <w:u w:val="single"/>
        </w:rPr>
        <w:t>Minimální mzda</w:t>
      </w:r>
      <w:r w:rsidR="007264DF" w:rsidRPr="00244BB9">
        <w:rPr>
          <w:u w:val="single"/>
        </w:rPr>
        <w:t xml:space="preserve"> </w:t>
      </w:r>
      <w:r w:rsidRPr="00244BB9">
        <w:t xml:space="preserve">– </w:t>
      </w:r>
      <w:r w:rsidR="007264DF" w:rsidRPr="00244BB9">
        <w:t>n</w:t>
      </w:r>
      <w:r w:rsidRPr="00244BB9">
        <w:t>ejnižší přípustná výše odměny, kterou je povinen zaměstnavatel</w:t>
      </w:r>
    </w:p>
    <w:p w14:paraId="4A6F4204" w14:textId="77777777" w:rsidR="00CE6695" w:rsidRPr="00244BB9" w:rsidRDefault="00CE6695" w:rsidP="00F85EC7">
      <w:r w:rsidRPr="00244BB9">
        <w:t xml:space="preserve">poskytnout za práci svému zaměstnanci </w:t>
      </w:r>
    </w:p>
    <w:p w14:paraId="4A6F4205" w14:textId="0307EAA3" w:rsidR="00CE6695" w:rsidRPr="00244BB9" w:rsidRDefault="00CE6695" w:rsidP="00F85EC7">
      <w:r w:rsidRPr="00244BB9">
        <w:t xml:space="preserve">Minimální mzda od </w:t>
      </w:r>
      <w:r w:rsidR="00FE4A28" w:rsidRPr="00244BB9">
        <w:t>1. 1. 2020</w:t>
      </w:r>
      <w:r w:rsidRPr="00244BB9">
        <w:t xml:space="preserve"> je 1</w:t>
      </w:r>
      <w:r w:rsidR="007264DF" w:rsidRPr="00244BB9">
        <w:t>4 600</w:t>
      </w:r>
      <w:r w:rsidRPr="00244BB9">
        <w:t xml:space="preserve"> Kč.</w:t>
      </w:r>
    </w:p>
    <w:p w14:paraId="4A6F4206" w14:textId="2DD1F32B" w:rsidR="00CE6695" w:rsidRPr="00FC3B7C" w:rsidRDefault="00CE6695" w:rsidP="00F85EC7">
      <w:r w:rsidRPr="00244BB9">
        <w:rPr>
          <w:i/>
          <w:iCs/>
          <w:u w:val="single"/>
        </w:rPr>
        <w:t>Diskriminace</w:t>
      </w:r>
      <w:r w:rsidRPr="00244BB9">
        <w:t xml:space="preserve"> – </w:t>
      </w:r>
      <w:r w:rsidR="007264DF" w:rsidRPr="00244BB9">
        <w:t>t</w:t>
      </w:r>
      <w:r w:rsidRPr="00244BB9">
        <w:t xml:space="preserve">ermín, který označuje </w:t>
      </w:r>
      <w:r w:rsidRPr="00FC3B7C">
        <w:t xml:space="preserve">nějaké rozlišování. Nejčastěji se používá </w:t>
      </w:r>
      <w:r w:rsidR="00F85EC7">
        <w:br/>
      </w:r>
      <w:r w:rsidRPr="00FC3B7C">
        <w:t>v negativním významu rozlišování lidí na základě příslušnosti k nějaké obecné skupině, bez ohledu na schopnosti konkrétního jedince. V ekonomii nejčastěji hovoříme o mzdové diskriminaci.</w:t>
      </w:r>
    </w:p>
    <w:p w14:paraId="4A6F4207" w14:textId="77777777" w:rsidR="00CE6695" w:rsidRPr="00FC3B7C" w:rsidRDefault="00CE6695" w:rsidP="00CE6695">
      <w:pPr>
        <w:tabs>
          <w:tab w:val="left" w:pos="1515"/>
        </w:tabs>
        <w:spacing w:line="240" w:lineRule="auto"/>
      </w:pPr>
      <w:r w:rsidRPr="00FC3B7C">
        <w:tab/>
      </w:r>
    </w:p>
    <w:p w14:paraId="4A6F4208" w14:textId="77777777" w:rsidR="00CE6695" w:rsidRPr="004A163A" w:rsidRDefault="00CE6695" w:rsidP="00F85EC7">
      <w:pPr>
        <w:pStyle w:val="Nadpis2"/>
        <w:rPr>
          <w:color w:val="1F3864" w:themeColor="accent1" w:themeShade="80"/>
        </w:rPr>
      </w:pPr>
      <w:r w:rsidRPr="004A163A">
        <w:rPr>
          <w:color w:val="1F3864" w:themeColor="accent1" w:themeShade="80"/>
        </w:rPr>
        <w:t>POLITIKA ZAMĚSTNANOSTI</w:t>
      </w:r>
    </w:p>
    <w:p w14:paraId="4A6F4209" w14:textId="77777777" w:rsidR="00CE6695" w:rsidRPr="00FC3B7C" w:rsidRDefault="00CE6695" w:rsidP="00F85EC7">
      <w:r w:rsidRPr="00FC3B7C">
        <w:t>Jedná se o soubor opatření, kterými jsou spoluvytvářeny podmínky pro dynamickou rovnováhu na trhu práce a pro efektivní využití pracovních sil. Politika zaměstnanosti je součást hospodářské a sociální politiky státu, usiluje o dosažení rovnováhy mezi nabídkou práce a poptávkou po práci.</w:t>
      </w:r>
    </w:p>
    <w:p w14:paraId="4A6F420A" w14:textId="77777777" w:rsidR="00CE6695" w:rsidRPr="00FC3B7C" w:rsidRDefault="00CE6695" w:rsidP="00CE6695">
      <w:pPr>
        <w:spacing w:line="240" w:lineRule="auto"/>
      </w:pPr>
    </w:p>
    <w:p w14:paraId="4A6F420B" w14:textId="77777777" w:rsidR="00CE6695" w:rsidRPr="00FC3B7C" w:rsidRDefault="00CE6695" w:rsidP="00F85EC7">
      <w:pPr>
        <w:rPr>
          <w:b/>
        </w:rPr>
      </w:pPr>
      <w:r w:rsidRPr="00FC3B7C">
        <w:rPr>
          <w:b/>
        </w:rPr>
        <w:t>Státní politika zaměstnanosti usiluje o:</w:t>
      </w:r>
    </w:p>
    <w:p w14:paraId="4A6F420C" w14:textId="77777777" w:rsidR="00CE6695" w:rsidRPr="00FC3B7C" w:rsidRDefault="00CE6695" w:rsidP="00D46B53">
      <w:pPr>
        <w:pStyle w:val="Odstavecseseznamem"/>
        <w:numPr>
          <w:ilvl w:val="0"/>
          <w:numId w:val="214"/>
        </w:numPr>
      </w:pPr>
      <w:r w:rsidRPr="00FC3B7C">
        <w:t>dosažení rovnováhy mezi nabídkou a poptávkou po pracovních silách</w:t>
      </w:r>
    </w:p>
    <w:p w14:paraId="4A6F420D" w14:textId="77777777" w:rsidR="00CE6695" w:rsidRPr="00FC3B7C" w:rsidRDefault="00CE6695" w:rsidP="00D46B53">
      <w:pPr>
        <w:pStyle w:val="Odstavecseseznamem"/>
        <w:numPr>
          <w:ilvl w:val="0"/>
          <w:numId w:val="214"/>
        </w:numPr>
      </w:pPr>
      <w:r w:rsidRPr="00FC3B7C">
        <w:t>produktivní využití zdrojů pracovních sil</w:t>
      </w:r>
    </w:p>
    <w:p w14:paraId="4A6F420E" w14:textId="77777777" w:rsidR="00CE6695" w:rsidRPr="00FC3B7C" w:rsidRDefault="00CE6695" w:rsidP="00D46B53">
      <w:pPr>
        <w:pStyle w:val="Odstavecseseznamem"/>
        <w:numPr>
          <w:ilvl w:val="0"/>
          <w:numId w:val="214"/>
        </w:numPr>
      </w:pPr>
      <w:r w:rsidRPr="00FC3B7C">
        <w:t>zabezpečení práva občanů na zaměstnání</w:t>
      </w:r>
    </w:p>
    <w:p w14:paraId="4A6F420F" w14:textId="77777777" w:rsidR="00CE6695" w:rsidRPr="00FC3B7C" w:rsidRDefault="00CE6695" w:rsidP="00CE6695">
      <w:pPr>
        <w:spacing w:line="240" w:lineRule="auto"/>
        <w:rPr>
          <w:b/>
        </w:rPr>
      </w:pPr>
    </w:p>
    <w:p w14:paraId="4A6F4210" w14:textId="77777777" w:rsidR="00CE6695" w:rsidRPr="00FC3B7C" w:rsidRDefault="00CE6695" w:rsidP="00F85EC7">
      <w:pPr>
        <w:rPr>
          <w:b/>
        </w:rPr>
      </w:pPr>
      <w:r w:rsidRPr="00FC3B7C">
        <w:rPr>
          <w:b/>
        </w:rPr>
        <w:t>Úrovně chápání SPZ:</w:t>
      </w:r>
    </w:p>
    <w:p w14:paraId="4A6F4211" w14:textId="77777777" w:rsidR="00CE6695" w:rsidRPr="00FC3B7C" w:rsidRDefault="00CE6695" w:rsidP="00F85EC7">
      <w:r w:rsidRPr="00FC3B7C">
        <w:tab/>
      </w:r>
      <w:r w:rsidRPr="00FC3B7C">
        <w:rPr>
          <w:u w:val="single"/>
        </w:rPr>
        <w:t>Makroekonomické</w:t>
      </w:r>
      <w:r w:rsidRPr="00FC3B7C">
        <w:t xml:space="preserve"> – zaměřuje se na odstranění příčin nadměrné nezaměstnanosti; působí plošně (především na straně poptávky); cíl nízké nezaměstnanosti je v konfliktu se základními cíli HP (zejména s cílem nízké inflace)</w:t>
      </w:r>
    </w:p>
    <w:p w14:paraId="4A6F4212" w14:textId="77777777" w:rsidR="00CE6695" w:rsidRPr="00FC3B7C" w:rsidRDefault="00CE6695" w:rsidP="00F85EC7">
      <w:r w:rsidRPr="00FC3B7C">
        <w:lastRenderedPageBreak/>
        <w:tab/>
      </w:r>
      <w:r w:rsidRPr="00FC3B7C">
        <w:rPr>
          <w:u w:val="single"/>
        </w:rPr>
        <w:t>Regionální</w:t>
      </w:r>
      <w:r w:rsidRPr="00FC3B7C">
        <w:t xml:space="preserve"> – řeší důsledky existující nerovnováhy na trhu práce a zohledňuje regionální aspekty nezaměstnanosti pomocí různých programů, které jsou zaměřeny na řešení konkrétní situace na konkrétním území</w:t>
      </w:r>
    </w:p>
    <w:p w14:paraId="4A6F4213" w14:textId="77777777" w:rsidR="00CE6695" w:rsidRPr="00FC3B7C" w:rsidRDefault="00CE6695" w:rsidP="00F85EC7">
      <w:r w:rsidRPr="00FC3B7C">
        <w:tab/>
      </w:r>
      <w:r w:rsidRPr="00FC3B7C">
        <w:rPr>
          <w:u w:val="single"/>
        </w:rPr>
        <w:t>Mikroekonomické</w:t>
      </w:r>
      <w:r w:rsidRPr="00FC3B7C">
        <w:t xml:space="preserve"> – formulace vlastních zásad ze strany firem pro přijímání </w:t>
      </w:r>
      <w:r w:rsidR="00F85EC7">
        <w:br/>
      </w:r>
      <w:r w:rsidRPr="00FC3B7C">
        <w:t>a propouštění pracovníků, pro vývoj mezd a pro další záležitosti v intencích platných</w:t>
      </w:r>
    </w:p>
    <w:p w14:paraId="4A6F4214" w14:textId="77777777" w:rsidR="00CE6695" w:rsidRPr="00FC3B7C" w:rsidRDefault="00CE6695" w:rsidP="00F85EC7">
      <w:r w:rsidRPr="00FC3B7C">
        <w:t>legislativních norem</w:t>
      </w:r>
    </w:p>
    <w:p w14:paraId="4A6F4215" w14:textId="77777777" w:rsidR="00CE6695" w:rsidRPr="00FC3B7C" w:rsidRDefault="00CE6695" w:rsidP="00CE6695">
      <w:pPr>
        <w:spacing w:line="240" w:lineRule="auto"/>
      </w:pPr>
    </w:p>
    <w:p w14:paraId="4A6F4216" w14:textId="77777777" w:rsidR="00CE6695" w:rsidRPr="004A163A" w:rsidRDefault="00CE6695" w:rsidP="00F85EC7">
      <w:pPr>
        <w:pStyle w:val="Nadpis3"/>
        <w:rPr>
          <w:color w:val="1F3864" w:themeColor="accent1" w:themeShade="80"/>
        </w:rPr>
      </w:pPr>
      <w:r w:rsidRPr="004A163A">
        <w:rPr>
          <w:color w:val="1F3864" w:themeColor="accent1" w:themeShade="80"/>
        </w:rPr>
        <w:t>Cíl politiky zaměstnanosti</w:t>
      </w:r>
    </w:p>
    <w:p w14:paraId="4A6F4217" w14:textId="77777777" w:rsidR="00CE6695" w:rsidRPr="00FC3B7C" w:rsidRDefault="00CE6695" w:rsidP="00F85EC7">
      <w:r w:rsidRPr="00FC3B7C">
        <w:t>Hlavním cílem SPZ je zabezpečení práva na zaměstnání (dosáhnout plné zaměstnanosti a ochrana proti nezaměstnanosti).</w:t>
      </w:r>
    </w:p>
    <w:p w14:paraId="4A6F4218" w14:textId="77777777" w:rsidR="00CE6695" w:rsidRPr="00FC3B7C" w:rsidRDefault="00CE6695" w:rsidP="00CE6695">
      <w:pPr>
        <w:spacing w:line="240" w:lineRule="auto"/>
      </w:pPr>
      <w:r w:rsidRPr="00FC3B7C">
        <w:t>Další cíle:</w:t>
      </w:r>
    </w:p>
    <w:p w14:paraId="4A6F4219" w14:textId="77777777" w:rsidR="00CE6695" w:rsidRPr="00FC3B7C" w:rsidRDefault="00CE6695" w:rsidP="00D46B53">
      <w:pPr>
        <w:pStyle w:val="Odstavecseseznamem"/>
        <w:numPr>
          <w:ilvl w:val="0"/>
          <w:numId w:val="214"/>
        </w:numPr>
        <w:ind w:left="1134" w:hanging="414"/>
      </w:pPr>
      <w:r w:rsidRPr="00FC3B7C">
        <w:t>průběžné vyhodnocování situace na trhu práce a zpracovávání prognóz zaměstnanosti</w:t>
      </w:r>
    </w:p>
    <w:p w14:paraId="4A6F421A" w14:textId="77777777" w:rsidR="00CE6695" w:rsidRPr="00FC3B7C" w:rsidRDefault="00CE6695" w:rsidP="00D46B53">
      <w:pPr>
        <w:pStyle w:val="Odstavecseseznamem"/>
        <w:numPr>
          <w:ilvl w:val="0"/>
          <w:numId w:val="214"/>
        </w:numPr>
        <w:ind w:left="1134" w:hanging="414"/>
      </w:pPr>
      <w:r w:rsidRPr="00FC3B7C">
        <w:t>zabezpečení efektivního využívání pracovních sil</w:t>
      </w:r>
    </w:p>
    <w:p w14:paraId="4A6F421B" w14:textId="77777777" w:rsidR="00CE6695" w:rsidRPr="00FC3B7C" w:rsidRDefault="00CE6695" w:rsidP="00D46B53">
      <w:pPr>
        <w:pStyle w:val="Odstavecseseznamem"/>
        <w:numPr>
          <w:ilvl w:val="0"/>
          <w:numId w:val="214"/>
        </w:numPr>
        <w:ind w:left="1134" w:hanging="414"/>
      </w:pPr>
      <w:r w:rsidRPr="00FC3B7C">
        <w:t>omezení diskriminace – zabezpečit právo na stejnou práci všem zaměstnancům bez ohledu na rasu, pohlaví, věk, náboženství, národnost i zdravotní stav</w:t>
      </w:r>
    </w:p>
    <w:p w14:paraId="4A6F421C" w14:textId="77777777" w:rsidR="00CE6695" w:rsidRPr="00FC3B7C" w:rsidRDefault="00CE6695" w:rsidP="00D46B53">
      <w:pPr>
        <w:pStyle w:val="Odstavecseseznamem"/>
        <w:numPr>
          <w:ilvl w:val="0"/>
          <w:numId w:val="214"/>
        </w:numPr>
        <w:ind w:left="1134" w:hanging="414"/>
      </w:pPr>
      <w:r w:rsidRPr="00FC3B7C">
        <w:t>rovnováha mezi nabídkou a poptávkou po pracovních silách</w:t>
      </w:r>
    </w:p>
    <w:p w14:paraId="4A6F421D" w14:textId="77777777" w:rsidR="00CE6695" w:rsidRPr="004A163A" w:rsidRDefault="00CE6695" w:rsidP="00CE6695">
      <w:pPr>
        <w:spacing w:line="240" w:lineRule="auto"/>
        <w:rPr>
          <w:b/>
          <w:color w:val="1F3864" w:themeColor="accent1" w:themeShade="80"/>
        </w:rPr>
      </w:pPr>
    </w:p>
    <w:p w14:paraId="4A6F421E" w14:textId="77777777" w:rsidR="00CE6695" w:rsidRPr="004A163A" w:rsidRDefault="00CE6695" w:rsidP="00F85EC7">
      <w:pPr>
        <w:pStyle w:val="Nadpis3"/>
        <w:rPr>
          <w:color w:val="1F3864" w:themeColor="accent1" w:themeShade="80"/>
        </w:rPr>
      </w:pPr>
      <w:r w:rsidRPr="004A163A">
        <w:rPr>
          <w:color w:val="1F3864" w:themeColor="accent1" w:themeShade="80"/>
        </w:rPr>
        <w:t>Nástroje politiky zaměstnanosti</w:t>
      </w:r>
    </w:p>
    <w:p w14:paraId="4A6F4220" w14:textId="77777777" w:rsidR="00CE6695" w:rsidRPr="004A163A" w:rsidRDefault="00CE6695" w:rsidP="00F85EC7">
      <w:pPr>
        <w:pStyle w:val="Nadpis4"/>
        <w:rPr>
          <w:color w:val="1F3864" w:themeColor="accent1" w:themeShade="80"/>
        </w:rPr>
      </w:pPr>
      <w:r w:rsidRPr="004A163A">
        <w:rPr>
          <w:color w:val="1F3864" w:themeColor="accent1" w:themeShade="80"/>
        </w:rPr>
        <w:t>Pasivní politika zaměstnanosti</w:t>
      </w:r>
    </w:p>
    <w:p w14:paraId="4A6F4221" w14:textId="77777777" w:rsidR="00CE6695" w:rsidRPr="00FC3B7C" w:rsidRDefault="00CE6695" w:rsidP="00F85EC7">
      <w:r w:rsidRPr="00FC3B7C">
        <w:t>Smyslem je poskytování nezaměstnanému v případě ztráty zaměstnání po určitou dobu jistou kompenzaci za ztrátu příjmů, a to formou vyplácené podpory v nezaměstnanosti (tato podpora je podmíněna evidencí uchazeče na ÚP), dále formou podpory při rekvalifikaci, zdravotní prohlídky uchazečů o zaměstnání k určení vhodnosti zaměstnání nebo před nástupem do rekvalifikace. Finanční prostředky na tyto dávky jsou čerpány z příspěvků na SPZ.</w:t>
      </w:r>
    </w:p>
    <w:p w14:paraId="4A6F4222" w14:textId="77777777" w:rsidR="00CE6695" w:rsidRPr="00FC3B7C" w:rsidRDefault="00CE6695" w:rsidP="00CE6695">
      <w:pPr>
        <w:spacing w:line="240" w:lineRule="auto"/>
      </w:pPr>
      <w:r w:rsidRPr="00FC3B7C">
        <w:rPr>
          <w:b/>
        </w:rPr>
        <w:t>Pasivní politika zaměstnanosti má podobu</w:t>
      </w:r>
      <w:r w:rsidRPr="00FC3B7C">
        <w:t>:</w:t>
      </w:r>
    </w:p>
    <w:p w14:paraId="4A6F4223" w14:textId="77777777" w:rsidR="00CE6695" w:rsidRPr="00FC3B7C" w:rsidRDefault="00CE6695" w:rsidP="00D46B53">
      <w:pPr>
        <w:pStyle w:val="Odstavecseseznamem"/>
        <w:numPr>
          <w:ilvl w:val="0"/>
          <w:numId w:val="214"/>
        </w:numPr>
      </w:pPr>
      <w:r w:rsidRPr="00FC3B7C">
        <w:t>Systém pojištění v nezaměstnanosti, tj. podpora v</w:t>
      </w:r>
      <w:r w:rsidR="00F85EC7">
        <w:t> </w:t>
      </w:r>
      <w:r w:rsidRPr="00FC3B7C">
        <w:t>nezaměstnání</w:t>
      </w:r>
    </w:p>
    <w:p w14:paraId="4A6F4224" w14:textId="77777777" w:rsidR="00CE6695" w:rsidRPr="00FC3B7C" w:rsidRDefault="00CE6695" w:rsidP="00D46B53">
      <w:pPr>
        <w:pStyle w:val="Odstavecseseznamem"/>
        <w:numPr>
          <w:ilvl w:val="0"/>
          <w:numId w:val="214"/>
        </w:numPr>
      </w:pPr>
      <w:r w:rsidRPr="00FC3B7C">
        <w:t>Systém státní pomoci v nezaměstnanosti, tj. dávky sociální pomoci</w:t>
      </w:r>
    </w:p>
    <w:p w14:paraId="4A6F4225" w14:textId="77777777" w:rsidR="00CE6695" w:rsidRPr="00FC3B7C" w:rsidRDefault="00CE6695" w:rsidP="00D46B53">
      <w:pPr>
        <w:pStyle w:val="Odstavecseseznamem"/>
        <w:numPr>
          <w:ilvl w:val="0"/>
          <w:numId w:val="214"/>
        </w:numPr>
      </w:pPr>
      <w:r w:rsidRPr="00FC3B7C">
        <w:t>Podpora při rekvalifikaci</w:t>
      </w:r>
    </w:p>
    <w:p w14:paraId="4A6F4226" w14:textId="77777777" w:rsidR="00CE6695" w:rsidRPr="00FC3B7C" w:rsidRDefault="00CE6695" w:rsidP="00CE6695">
      <w:pPr>
        <w:spacing w:line="240" w:lineRule="auto"/>
        <w:rPr>
          <w:b/>
        </w:rPr>
      </w:pPr>
      <w:r w:rsidRPr="00FC3B7C">
        <w:rPr>
          <w:b/>
        </w:rPr>
        <w:t>Nárok na podporu MÁ ten, kdo:</w:t>
      </w:r>
    </w:p>
    <w:p w14:paraId="4A6F4227" w14:textId="50A0755F" w:rsidR="00CE6695" w:rsidRPr="00FC3B7C" w:rsidRDefault="00CE6695" w:rsidP="00E76179">
      <w:r w:rsidRPr="00FC3B7C">
        <w:t xml:space="preserve">Za poslední dva roky odpracoval nejméně 12 měsíců, </w:t>
      </w:r>
      <w:r w:rsidR="00FE4A28" w:rsidRPr="00FC3B7C">
        <w:t>tzn., platil</w:t>
      </w:r>
      <w:r w:rsidRPr="00FC3B7C">
        <w:t xml:space="preserve"> důchodové pojištění, nepočítá se z dohody o provedení práce – tuto podmínku lze splnit i započtením náhradní doby zaměstnání.</w:t>
      </w:r>
    </w:p>
    <w:p w14:paraId="4A6F4228" w14:textId="77777777" w:rsidR="00CE6695" w:rsidRPr="00E76179" w:rsidRDefault="00CE6695" w:rsidP="00E76179">
      <w:pPr>
        <w:rPr>
          <w:i/>
        </w:rPr>
      </w:pPr>
      <w:r w:rsidRPr="00E76179">
        <w:rPr>
          <w:i/>
        </w:rPr>
        <w:t>Náhradní doba zaměstnání:</w:t>
      </w:r>
    </w:p>
    <w:p w14:paraId="4A6F4229" w14:textId="77777777" w:rsidR="00CE6695" w:rsidRPr="00FC3B7C" w:rsidRDefault="00CE6695" w:rsidP="00D46B53">
      <w:pPr>
        <w:pStyle w:val="Odstavecseseznamem"/>
        <w:numPr>
          <w:ilvl w:val="0"/>
          <w:numId w:val="214"/>
        </w:numPr>
        <w:ind w:left="0"/>
      </w:pPr>
      <w:r w:rsidRPr="00FC3B7C">
        <w:lastRenderedPageBreak/>
        <w:t>Příprava osoby se zdravotním postižením k</w:t>
      </w:r>
      <w:r w:rsidR="00E76179">
        <w:t> </w:t>
      </w:r>
      <w:r w:rsidRPr="00FC3B7C">
        <w:t>práci</w:t>
      </w:r>
    </w:p>
    <w:p w14:paraId="4A6F422A" w14:textId="11B8D620" w:rsidR="00CE6695" w:rsidRPr="00FC3B7C" w:rsidRDefault="00CE6695" w:rsidP="00D46B53">
      <w:pPr>
        <w:pStyle w:val="Odstavecseseznamem"/>
        <w:numPr>
          <w:ilvl w:val="0"/>
          <w:numId w:val="214"/>
        </w:numPr>
        <w:ind w:left="0"/>
      </w:pPr>
      <w:r w:rsidRPr="00FC3B7C">
        <w:t xml:space="preserve">Pobírání invalidního důchodu pro invaliditu 3. </w:t>
      </w:r>
      <w:r w:rsidR="007264DF">
        <w:t>s</w:t>
      </w:r>
      <w:r w:rsidRPr="00FC3B7C">
        <w:t>tupně</w:t>
      </w:r>
    </w:p>
    <w:p w14:paraId="4A6F422B" w14:textId="77777777" w:rsidR="00CE6695" w:rsidRPr="00FC3B7C" w:rsidRDefault="00CE6695" w:rsidP="00D46B53">
      <w:pPr>
        <w:pStyle w:val="Odstavecseseznamem"/>
        <w:numPr>
          <w:ilvl w:val="0"/>
          <w:numId w:val="214"/>
        </w:numPr>
        <w:ind w:left="0"/>
      </w:pPr>
      <w:r w:rsidRPr="00FC3B7C">
        <w:t>Osobní péče o dítě ve věku do 4 let</w:t>
      </w:r>
    </w:p>
    <w:p w14:paraId="4A6F422C" w14:textId="77777777" w:rsidR="00CE6695" w:rsidRPr="00FC3B7C" w:rsidRDefault="00CE6695" w:rsidP="00D46B53">
      <w:pPr>
        <w:pStyle w:val="Odstavecseseznamem"/>
        <w:numPr>
          <w:ilvl w:val="0"/>
          <w:numId w:val="214"/>
        </w:numPr>
        <w:ind w:left="709" w:hanging="709"/>
      </w:pPr>
      <w:r w:rsidRPr="00FC3B7C">
        <w:t>Osobní péče o fyzickou osobu závislou na pomoci jiné osoby ve stupni II, III, IV (středně těžká, těžká a úplná závislost), pokud s uchazečem o zaměstnání trvale žije a společně uhrazují náklady na své potřeby</w:t>
      </w:r>
    </w:p>
    <w:p w14:paraId="4A6F422D" w14:textId="77777777" w:rsidR="00CE6695" w:rsidRPr="00FC3B7C" w:rsidRDefault="00CE6695" w:rsidP="00D46B53">
      <w:pPr>
        <w:pStyle w:val="Odstavecseseznamem"/>
        <w:numPr>
          <w:ilvl w:val="0"/>
          <w:numId w:val="214"/>
        </w:numPr>
        <w:ind w:left="709" w:hanging="709"/>
      </w:pPr>
      <w:r w:rsidRPr="00FC3B7C">
        <w:t>Výkon dlouhodobé dobrovolnické služby na základě smlouvy dobrovolníka s vysílající organizací, které byla udělena akreditace Ministerstva vnitra, nebo výkon veřejné služby na základě smlouvy o výkonu veřejné služby</w:t>
      </w:r>
    </w:p>
    <w:p w14:paraId="4A6F422E" w14:textId="77777777" w:rsidR="00CE6695" w:rsidRPr="00FC3B7C" w:rsidRDefault="00CE6695" w:rsidP="00D46B53">
      <w:pPr>
        <w:pStyle w:val="Odstavecseseznamem"/>
        <w:numPr>
          <w:ilvl w:val="0"/>
          <w:numId w:val="214"/>
        </w:numPr>
        <w:ind w:left="709" w:hanging="709"/>
      </w:pPr>
      <w:r w:rsidRPr="00FC3B7C">
        <w:t>Osobní péče o fyzickou osobu mladší 10 let, která je závislá na pomoci jiné fyzické osoby ve stupni I. (lehká závislost)</w:t>
      </w:r>
    </w:p>
    <w:p w14:paraId="4A6F422F" w14:textId="77777777" w:rsidR="00CE6695" w:rsidRPr="00FC3B7C" w:rsidRDefault="00CE6695" w:rsidP="00D46B53">
      <w:pPr>
        <w:pStyle w:val="Odstavecseseznamem"/>
        <w:numPr>
          <w:ilvl w:val="0"/>
          <w:numId w:val="214"/>
        </w:numPr>
        <w:ind w:left="0"/>
      </w:pPr>
      <w:r w:rsidRPr="00FC3B7C">
        <w:t>Požádá o podporu na ÚP</w:t>
      </w:r>
    </w:p>
    <w:p w14:paraId="4A6F4231" w14:textId="4C8A4834" w:rsidR="00E76179" w:rsidRPr="00FC3B7C" w:rsidRDefault="00CE6695" w:rsidP="00D46B53">
      <w:pPr>
        <w:pStyle w:val="Odstavecseseznamem"/>
        <w:numPr>
          <w:ilvl w:val="0"/>
          <w:numId w:val="214"/>
        </w:numPr>
        <w:spacing w:after="240"/>
        <w:ind w:left="0"/>
      </w:pPr>
      <w:r w:rsidRPr="00FC3B7C">
        <w:t>Není poživatelem starobního důchodu (ale může pobírat invalidní důchod).</w:t>
      </w:r>
    </w:p>
    <w:p w14:paraId="4A6F4232" w14:textId="77777777" w:rsidR="00CE6695" w:rsidRPr="00FC3B7C" w:rsidRDefault="00CE6695" w:rsidP="00E76179">
      <w:pPr>
        <w:rPr>
          <w:b/>
        </w:rPr>
      </w:pPr>
      <w:r w:rsidRPr="00FC3B7C">
        <w:rPr>
          <w:b/>
        </w:rPr>
        <w:t>Nárok na podporu NEMÁ ten, kdo:</w:t>
      </w:r>
    </w:p>
    <w:p w14:paraId="4A6F4233" w14:textId="757D7BAC" w:rsidR="00CE6695" w:rsidRPr="00244BB9" w:rsidRDefault="00CE6695" w:rsidP="00D46B53">
      <w:pPr>
        <w:pStyle w:val="Odstavecseseznamem"/>
        <w:numPr>
          <w:ilvl w:val="0"/>
          <w:numId w:val="214"/>
        </w:numPr>
        <w:ind w:left="0"/>
      </w:pPr>
      <w:r w:rsidRPr="00244BB9">
        <w:t>Ukončí bez vážného důvodu sám opakovaně vhodné zaměstnání zprostředkované ÚP</w:t>
      </w:r>
    </w:p>
    <w:p w14:paraId="25A4B87C" w14:textId="606CA033" w:rsidR="001C57B6" w:rsidRPr="00244BB9" w:rsidRDefault="00CE6695" w:rsidP="00D46B53">
      <w:pPr>
        <w:pStyle w:val="Odstavecseseznamem"/>
        <w:numPr>
          <w:ilvl w:val="0"/>
          <w:numId w:val="214"/>
        </w:numPr>
        <w:ind w:left="709" w:hanging="709"/>
      </w:pPr>
      <w:r w:rsidRPr="00244BB9">
        <w:t xml:space="preserve">V posledních 6 měsících před zařazením do evidence </w:t>
      </w:r>
      <w:r w:rsidR="001C57B6" w:rsidRPr="00244BB9">
        <w:t>porušil povinnosti zaměstnance a následně byl kvůli tomuto činu ze strany zaměstnavatele ukončen pracovní poměr</w:t>
      </w:r>
    </w:p>
    <w:p w14:paraId="4A6F4235" w14:textId="412E3B46" w:rsidR="00CE6695" w:rsidRPr="00FC3B7C" w:rsidRDefault="00CE6695" w:rsidP="00D46B53">
      <w:pPr>
        <w:pStyle w:val="Odstavecseseznamem"/>
        <w:numPr>
          <w:ilvl w:val="0"/>
          <w:numId w:val="214"/>
        </w:numPr>
        <w:ind w:left="709" w:hanging="709"/>
      </w:pPr>
      <w:r w:rsidRPr="00244BB9">
        <w:t xml:space="preserve">Kterému vznikl nárok na výsluhu a tento příspěvek je vyšší než podpora v nezaměstnanosti (pokud je nižší, náleží mu podpora ve </w:t>
      </w:r>
      <w:r w:rsidRPr="00FC3B7C">
        <w:t>výši odpovídající rozdílu mezi podporou v nezaměstnanosti a příspěvkem)</w:t>
      </w:r>
    </w:p>
    <w:p w14:paraId="4A6F4237" w14:textId="7093471E" w:rsidR="00CE6695" w:rsidRPr="001C57B6" w:rsidRDefault="00CE6695" w:rsidP="00D46B53">
      <w:pPr>
        <w:pStyle w:val="Odstavecseseznamem"/>
        <w:numPr>
          <w:ilvl w:val="0"/>
          <w:numId w:val="214"/>
        </w:numPr>
        <w:spacing w:after="240"/>
        <w:ind w:left="0"/>
      </w:pPr>
      <w:r w:rsidRPr="00FC3B7C">
        <w:t xml:space="preserve">Vykonává nekolidující zaměstnání během doby pobírání podpor </w:t>
      </w:r>
    </w:p>
    <w:p w14:paraId="4A6F4238" w14:textId="4D31135F" w:rsidR="00CE6695" w:rsidRPr="00FC3B7C" w:rsidRDefault="00CE6695" w:rsidP="00E76179">
      <w:pPr>
        <w:rPr>
          <w:b/>
        </w:rPr>
      </w:pPr>
      <w:r w:rsidRPr="00FC3B7C">
        <w:rPr>
          <w:b/>
        </w:rPr>
        <w:t xml:space="preserve">Podpora v nezaměstnanosti se </w:t>
      </w:r>
      <w:r w:rsidR="001C57B6" w:rsidRPr="00FC3B7C">
        <w:rPr>
          <w:b/>
        </w:rPr>
        <w:t>NEPOSKYTUJE</w:t>
      </w:r>
      <w:r w:rsidRPr="00FC3B7C">
        <w:rPr>
          <w:b/>
        </w:rPr>
        <w:t xml:space="preserve"> tehdy:</w:t>
      </w:r>
    </w:p>
    <w:p w14:paraId="4A6F4239" w14:textId="77777777" w:rsidR="00CE6695" w:rsidRPr="00FC3B7C" w:rsidRDefault="00CE6695" w:rsidP="00D46B53">
      <w:pPr>
        <w:pStyle w:val="Odstavecseseznamem"/>
        <w:numPr>
          <w:ilvl w:val="0"/>
          <w:numId w:val="214"/>
        </w:numPr>
        <w:ind w:left="1134" w:hanging="414"/>
      </w:pPr>
      <w:r w:rsidRPr="00FC3B7C">
        <w:t>Je-li člověk ve vazbě</w:t>
      </w:r>
    </w:p>
    <w:p w14:paraId="4A6F423A" w14:textId="77777777" w:rsidR="00CE6695" w:rsidRPr="00FC3B7C" w:rsidRDefault="00CE6695" w:rsidP="00D46B53">
      <w:pPr>
        <w:pStyle w:val="Odstavecseseznamem"/>
        <w:numPr>
          <w:ilvl w:val="0"/>
          <w:numId w:val="214"/>
        </w:numPr>
        <w:ind w:left="1134" w:hanging="414"/>
      </w:pPr>
      <w:r w:rsidRPr="00FC3B7C">
        <w:t>Pobírá-li člověk dávky nemocenského pojištění (nemocenská, peněžitá pomoc v mateřství, ošetřovné, vyrovnávací příspěvek v těhotenství a mateřství) nebo starobní důchod</w:t>
      </w:r>
    </w:p>
    <w:p w14:paraId="4A6F423B" w14:textId="77777777" w:rsidR="00CE6695" w:rsidRPr="00FC3B7C" w:rsidRDefault="00CE6695" w:rsidP="00D46B53">
      <w:pPr>
        <w:pStyle w:val="Odstavecseseznamem"/>
        <w:numPr>
          <w:ilvl w:val="0"/>
          <w:numId w:val="214"/>
        </w:numPr>
        <w:ind w:left="1134" w:hanging="414"/>
      </w:pPr>
      <w:r w:rsidRPr="00FC3B7C">
        <w:t>Je-li člověk vyřazen z evidence ÚP</w:t>
      </w:r>
    </w:p>
    <w:p w14:paraId="4A6F423C" w14:textId="77777777" w:rsidR="00CE6695" w:rsidRPr="00FC3B7C" w:rsidRDefault="00CE6695" w:rsidP="00D46B53">
      <w:pPr>
        <w:pStyle w:val="Odstavecseseznamem"/>
        <w:numPr>
          <w:ilvl w:val="0"/>
          <w:numId w:val="214"/>
        </w:numPr>
        <w:ind w:left="1134" w:hanging="414"/>
      </w:pPr>
      <w:r w:rsidRPr="00FC3B7C">
        <w:t>Pobírá-li člověk podporu při rekvalifikaci</w:t>
      </w:r>
    </w:p>
    <w:p w14:paraId="4A6F423F" w14:textId="364BE110" w:rsidR="00E76179" w:rsidRPr="001C57B6" w:rsidRDefault="00CE6695" w:rsidP="00D46B53">
      <w:pPr>
        <w:pStyle w:val="Odstavecseseznamem"/>
        <w:numPr>
          <w:ilvl w:val="0"/>
          <w:numId w:val="214"/>
        </w:numPr>
        <w:spacing w:after="240"/>
        <w:ind w:left="1134" w:hanging="414"/>
      </w:pPr>
      <w:r w:rsidRPr="00FC3B7C">
        <w:t>Pobírá-li uchazeč o zaměstnání odstupné, odbytné nebo odchodné</w:t>
      </w:r>
    </w:p>
    <w:p w14:paraId="4A6F4240" w14:textId="77777777" w:rsidR="00CE6695" w:rsidRPr="00E76179" w:rsidRDefault="00CE6695" w:rsidP="00E76179">
      <w:pPr>
        <w:rPr>
          <w:b/>
        </w:rPr>
      </w:pPr>
      <w:r w:rsidRPr="00E76179">
        <w:rPr>
          <w:b/>
        </w:rPr>
        <w:t>Podpora v nezaměstnanosti je poskytována po tzv. podpůrčí dobu:</w:t>
      </w:r>
    </w:p>
    <w:p w14:paraId="4A6F4241" w14:textId="77777777" w:rsidR="00CE6695" w:rsidRPr="00FC3B7C" w:rsidRDefault="00CE6695" w:rsidP="00D46B53">
      <w:pPr>
        <w:pStyle w:val="Odstavecseseznamem"/>
        <w:numPr>
          <w:ilvl w:val="0"/>
          <w:numId w:val="214"/>
        </w:numPr>
      </w:pPr>
      <w:r w:rsidRPr="00FC3B7C">
        <w:t>Lidé ve věku do 50 let – podpora se poskytuje po dobu 5 měsíců</w:t>
      </w:r>
    </w:p>
    <w:p w14:paraId="4A6F4242" w14:textId="77777777" w:rsidR="00CE6695" w:rsidRPr="00FC3B7C" w:rsidRDefault="00CE6695" w:rsidP="00D46B53">
      <w:pPr>
        <w:pStyle w:val="Odstavecseseznamem"/>
        <w:numPr>
          <w:ilvl w:val="0"/>
          <w:numId w:val="214"/>
        </w:numPr>
      </w:pPr>
      <w:r w:rsidRPr="00FC3B7C">
        <w:t>Lidé ve věku 50–55 let – podpora se poskytuje po dobu 8 měsíců</w:t>
      </w:r>
    </w:p>
    <w:p w14:paraId="4A6F4243" w14:textId="36C39B9F" w:rsidR="00CE6695" w:rsidRPr="00FC3B7C" w:rsidRDefault="00CE6695" w:rsidP="00D46B53">
      <w:pPr>
        <w:pStyle w:val="Odstavecseseznamem"/>
        <w:numPr>
          <w:ilvl w:val="0"/>
          <w:numId w:val="214"/>
        </w:numPr>
      </w:pPr>
      <w:r w:rsidRPr="00FC3B7C">
        <w:lastRenderedPageBreak/>
        <w:t>Lidé ve věku nad 55 let</w:t>
      </w:r>
      <w:r w:rsidR="00FE4A28">
        <w:t xml:space="preserve"> </w:t>
      </w:r>
      <w:r w:rsidRPr="00FC3B7C">
        <w:t>– podpora se poskytuje po dobu 11 měsíců</w:t>
      </w:r>
    </w:p>
    <w:p w14:paraId="4A6F4245" w14:textId="02F93DC6" w:rsidR="00CE6695" w:rsidRPr="00FC3B7C" w:rsidRDefault="00CE6695" w:rsidP="001C57B6">
      <w:pPr>
        <w:spacing w:before="240"/>
      </w:pPr>
      <w:r w:rsidRPr="00FC3B7C">
        <w:t>Do podpůrčí doby se nezapočítává doba, po kterou uchazeč pobírá nemocenské dávky a z tohoto důvodu mu nebyla vyplácena podpora v nezaměstnanosti (doba pobírání podpory se prodlužuje)</w:t>
      </w:r>
      <w:r w:rsidR="001C57B6">
        <w:t>.</w:t>
      </w:r>
    </w:p>
    <w:p w14:paraId="4A6F4246" w14:textId="77777777" w:rsidR="00CE6695" w:rsidRPr="00FC3B7C" w:rsidRDefault="00CE6695" w:rsidP="00E76179">
      <w:r w:rsidRPr="00FC3B7C">
        <w:t>Po skončení podpůrčí doby se uchazeč o zaměstnání nachází ve stavu hmotné nouze a má nárok na dávky státní sociální podpory.</w:t>
      </w:r>
    </w:p>
    <w:p w14:paraId="4A6F4247" w14:textId="77777777" w:rsidR="00CE6695" w:rsidRPr="00FC3B7C" w:rsidRDefault="00CE6695" w:rsidP="00CE6695">
      <w:pPr>
        <w:spacing w:line="240" w:lineRule="auto"/>
      </w:pPr>
    </w:p>
    <w:p w14:paraId="4A6F4248" w14:textId="77777777" w:rsidR="00CE6695" w:rsidRPr="00FC3B7C" w:rsidRDefault="00CE6695" w:rsidP="00CE6695">
      <w:pPr>
        <w:spacing w:line="240" w:lineRule="auto"/>
        <w:rPr>
          <w:b/>
        </w:rPr>
      </w:pPr>
      <w:r w:rsidRPr="00FC3B7C">
        <w:rPr>
          <w:b/>
          <w:u w:val="single"/>
        </w:rPr>
        <w:t>Výše podpory v nezaměstnanosti</w:t>
      </w:r>
      <w:r w:rsidRPr="00FC3B7C">
        <w:rPr>
          <w:b/>
        </w:rPr>
        <w:t>:</w:t>
      </w:r>
    </w:p>
    <w:p w14:paraId="4A6F424A" w14:textId="77777777" w:rsidR="00E76179" w:rsidRDefault="00CE6695" w:rsidP="001C57B6">
      <w:pPr>
        <w:spacing w:before="240"/>
      </w:pPr>
      <w:r w:rsidRPr="00FC3B7C">
        <w:t xml:space="preserve">U zaměstnance se stanovuje procentuálně z průměrného čistého měsíčního výdělku z posledního zaměstnání u OSVČ se stanovuje procentuální sazbou z posledního vyměřovacího základu přepočteného na 1 kalendářní měsíc. </w:t>
      </w:r>
    </w:p>
    <w:p w14:paraId="4A6F424B" w14:textId="77777777" w:rsidR="00E76179" w:rsidRDefault="00E76179" w:rsidP="00E76179"/>
    <w:p w14:paraId="4A6F424C" w14:textId="77777777" w:rsidR="00E76179" w:rsidRPr="00827023" w:rsidRDefault="00E76179" w:rsidP="00D32A9F">
      <w:pPr>
        <w:spacing w:after="240"/>
        <w:rPr>
          <w:b/>
          <w:bCs/>
        </w:rPr>
      </w:pPr>
      <w:r w:rsidRPr="00827023">
        <w:rPr>
          <w:b/>
          <w:bCs/>
        </w:rPr>
        <w:t>Tabulka č. 1: Výše podpory</w:t>
      </w:r>
    </w:p>
    <w:p w14:paraId="4A6F424D" w14:textId="77777777" w:rsidR="00E76179" w:rsidRDefault="00E76179" w:rsidP="00D32A9F">
      <w:pPr>
        <w:spacing w:after="240"/>
      </w:pPr>
      <w:r w:rsidRPr="00FC3B7C">
        <w:rPr>
          <w:noProof/>
        </w:rPr>
        <w:drawing>
          <wp:inline distT="0" distB="0" distL="0" distR="0" wp14:anchorId="4A6F5CD8" wp14:editId="1AFBC736">
            <wp:extent cx="5740400" cy="1992562"/>
            <wp:effectExtent l="0" t="0" r="0" b="8255"/>
            <wp:docPr id="1031" name="Obrázek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40400" cy="1992562"/>
                    </a:xfrm>
                    <a:prstGeom prst="rect">
                      <a:avLst/>
                    </a:prstGeom>
                  </pic:spPr>
                </pic:pic>
              </a:graphicData>
            </a:graphic>
          </wp:inline>
        </w:drawing>
      </w:r>
    </w:p>
    <w:p w14:paraId="4A6F4251" w14:textId="77777777" w:rsidR="00CE6695" w:rsidRPr="00FC3B7C" w:rsidRDefault="00CE6695" w:rsidP="001F2774">
      <w:pPr>
        <w:spacing w:after="240" w:line="240" w:lineRule="auto"/>
      </w:pPr>
      <w:r w:rsidRPr="00FC3B7C">
        <w:t>Sazby jsou degresivní – aby motivovaly nezaměstnané k hledání práce</w:t>
      </w:r>
    </w:p>
    <w:p w14:paraId="4A6F4252" w14:textId="77777777" w:rsidR="00CE6695" w:rsidRPr="00FC3B7C" w:rsidRDefault="00CE6695" w:rsidP="00E76179">
      <w:r w:rsidRPr="00FC3B7C">
        <w:t xml:space="preserve">Výše podpory se také vypočítává jako násobek z průměrné mzdy v NH za 1. až 3. čtvrtletí kalendářního roku předcházejícího tomu, v němž byla žádost o podporu podána </w:t>
      </w:r>
      <w:r w:rsidR="00E76179">
        <w:br/>
      </w:r>
      <w:r w:rsidRPr="00FC3B7C">
        <w:t>v případě, že:</w:t>
      </w:r>
    </w:p>
    <w:p w14:paraId="4A6F4254" w14:textId="77777777" w:rsidR="00CE6695" w:rsidRPr="00FC3B7C" w:rsidRDefault="00CE6695" w:rsidP="00D46B53">
      <w:pPr>
        <w:numPr>
          <w:ilvl w:val="0"/>
          <w:numId w:val="646"/>
        </w:numPr>
        <w:contextualSpacing/>
      </w:pPr>
      <w:r w:rsidRPr="00FC3B7C">
        <w:t>Doba předchozího zaměstnání je splněna započtením náhradní doby zaměstnání a tato doba se posuzuje jako poslední zaměstnání</w:t>
      </w:r>
    </w:p>
    <w:p w14:paraId="4A6F425B" w14:textId="23525749" w:rsidR="00CE6695" w:rsidRPr="00FC3B7C" w:rsidRDefault="00CE6695" w:rsidP="00D46B53">
      <w:pPr>
        <w:numPr>
          <w:ilvl w:val="0"/>
          <w:numId w:val="646"/>
        </w:numPr>
        <w:spacing w:after="240"/>
        <w:contextualSpacing/>
      </w:pPr>
      <w:r w:rsidRPr="00FC3B7C">
        <w:t>Uchazeč o zaměstnání bez svého zavinění nemůže osvědčit výši průměrného měsíčního čistého výdělku nebo vyměřovacího základu</w:t>
      </w:r>
    </w:p>
    <w:p w14:paraId="4A6F425C" w14:textId="77777777" w:rsidR="00CE6695" w:rsidRPr="00FC3B7C" w:rsidRDefault="00CE6695" w:rsidP="001F2774">
      <w:pPr>
        <w:spacing w:before="240"/>
        <w:rPr>
          <w:b/>
        </w:rPr>
      </w:pPr>
      <w:r w:rsidRPr="00FC3B7C">
        <w:rPr>
          <w:b/>
        </w:rPr>
        <w:t>Podpora při rekvalifikaci:</w:t>
      </w:r>
    </w:p>
    <w:p w14:paraId="4A6F425D" w14:textId="77777777" w:rsidR="00CE6695" w:rsidRPr="00FC3B7C" w:rsidRDefault="00CE6695" w:rsidP="00D46B53">
      <w:pPr>
        <w:pStyle w:val="Odstavecseseznamem"/>
        <w:numPr>
          <w:ilvl w:val="0"/>
          <w:numId w:val="647"/>
        </w:numPr>
      </w:pPr>
      <w:r w:rsidRPr="00FC3B7C">
        <w:t>Částečná kompenzace ztráty příjmů v době kvalifikace pro získání nového zaměstnání</w:t>
      </w:r>
    </w:p>
    <w:p w14:paraId="4A6F425E" w14:textId="77777777" w:rsidR="00CE6695" w:rsidRPr="00FC3B7C" w:rsidRDefault="00CE6695" w:rsidP="00D46B53">
      <w:pPr>
        <w:pStyle w:val="Odstavecseseznamem"/>
        <w:numPr>
          <w:ilvl w:val="0"/>
          <w:numId w:val="647"/>
        </w:numPr>
      </w:pPr>
      <w:r w:rsidRPr="00FC3B7C">
        <w:lastRenderedPageBreak/>
        <w:t>Může ji dosáhnout uchazeč o zaměstnání evidovaný na ÚP, který je účasten rekvalifikace zabezpečované krajskou pobočkou ÚP</w:t>
      </w:r>
      <w:r w:rsidR="00E76179">
        <w:t>.</w:t>
      </w:r>
    </w:p>
    <w:p w14:paraId="4A6F425F" w14:textId="77777777" w:rsidR="00CE6695" w:rsidRPr="00FC3B7C" w:rsidRDefault="00CE6695" w:rsidP="00D46B53">
      <w:pPr>
        <w:pStyle w:val="Odstavecseseznamem"/>
        <w:numPr>
          <w:ilvl w:val="0"/>
          <w:numId w:val="647"/>
        </w:numPr>
      </w:pPr>
      <w:r w:rsidRPr="00FC3B7C">
        <w:t>Poskytuje se po celou dobu rekvalifikace, s výjimkou dob požívání starobního důchodu, doby poskytování dávek nemocenského pojištění a doby, kterou tráví osoba ve vazbě</w:t>
      </w:r>
      <w:r w:rsidR="00E76179">
        <w:t>.</w:t>
      </w:r>
    </w:p>
    <w:p w14:paraId="4A6F4260" w14:textId="77777777" w:rsidR="00CE6695" w:rsidRPr="00FC3B7C" w:rsidRDefault="00CE6695" w:rsidP="00D46B53">
      <w:pPr>
        <w:pStyle w:val="Odstavecseseznamem"/>
        <w:numPr>
          <w:ilvl w:val="0"/>
          <w:numId w:val="647"/>
        </w:numPr>
        <w:spacing w:after="240"/>
      </w:pPr>
      <w:r w:rsidRPr="00FC3B7C">
        <w:t>Výše podpory při rekvalifikaci činí 60 % průměrného měsíčního čistého výdělku, kterého uchazeč dosáhl ve svém posledním zaměstnání (u OSVČ z vyměřovacího základu přepočteného na jeden kalendářní měsíc)</w:t>
      </w:r>
      <w:r w:rsidR="00E76179">
        <w:t>.</w:t>
      </w:r>
    </w:p>
    <w:p w14:paraId="4A6F427D" w14:textId="77777777" w:rsidR="00CE6695" w:rsidRPr="004A163A" w:rsidRDefault="00CE6695" w:rsidP="00F109C5">
      <w:pPr>
        <w:pStyle w:val="Nadpis4"/>
        <w:rPr>
          <w:color w:val="1F3864" w:themeColor="accent1" w:themeShade="80"/>
        </w:rPr>
      </w:pPr>
      <w:r w:rsidRPr="004A163A">
        <w:rPr>
          <w:color w:val="1F3864" w:themeColor="accent1" w:themeShade="80"/>
        </w:rPr>
        <w:tab/>
        <w:t>Aktivní politika zaměstnanosti</w:t>
      </w:r>
    </w:p>
    <w:p w14:paraId="4A6F427E" w14:textId="77777777" w:rsidR="00CE6695" w:rsidRPr="00FC3B7C" w:rsidRDefault="00CE6695" w:rsidP="00D46B53">
      <w:pPr>
        <w:pStyle w:val="Odstavecseseznamem"/>
        <w:numPr>
          <w:ilvl w:val="0"/>
          <w:numId w:val="648"/>
        </w:numPr>
      </w:pPr>
      <w:r w:rsidRPr="00FC3B7C">
        <w:t>Jedná se o opatření, která mají aktivně stimulovat nezaměstnané ke změně jejich postavení na trhu práce.</w:t>
      </w:r>
    </w:p>
    <w:p w14:paraId="4A6F427F" w14:textId="77777777" w:rsidR="00CE6695" w:rsidRPr="00FC3B7C" w:rsidRDefault="00CE6695" w:rsidP="00D46B53">
      <w:pPr>
        <w:pStyle w:val="Odstavecseseznamem"/>
        <w:numPr>
          <w:ilvl w:val="0"/>
          <w:numId w:val="648"/>
        </w:numPr>
      </w:pPr>
      <w:r w:rsidRPr="00FC3B7C">
        <w:t>Cílem je zvýšení zaměstnanosti tak, aby v ekonomice nedošlo k podstatnému nárůstu inflace a ke změně struktury nezaměstnanosti.</w:t>
      </w:r>
    </w:p>
    <w:p w14:paraId="4A6F4280" w14:textId="77777777" w:rsidR="00CE6695" w:rsidRPr="00FC3B7C" w:rsidRDefault="00CE6695" w:rsidP="00D46B53">
      <w:pPr>
        <w:pStyle w:val="Odstavecseseznamem"/>
        <w:numPr>
          <w:ilvl w:val="0"/>
          <w:numId w:val="648"/>
        </w:numPr>
      </w:pPr>
      <w:r w:rsidRPr="00FC3B7C">
        <w:t>Je prováděna MPSV a ÚP za případné kooperace s dalšími subjekty.</w:t>
      </w:r>
    </w:p>
    <w:p w14:paraId="4A6F4281" w14:textId="77777777" w:rsidR="00CE6695" w:rsidRPr="00FC3B7C" w:rsidRDefault="00CE6695" w:rsidP="00D46B53">
      <w:pPr>
        <w:pStyle w:val="Odstavecseseznamem"/>
        <w:numPr>
          <w:ilvl w:val="0"/>
          <w:numId w:val="648"/>
        </w:numPr>
      </w:pPr>
      <w:r w:rsidRPr="00FC3B7C">
        <w:t>Financována je z prostředků státního rozpočtu – zdrojem je příspěvek na státní politiku zaměstnanosti (od r. 2009 změna – příspěvek na SPZ platí jen zaměstnavatelé a OSVČ – 1,2%).</w:t>
      </w:r>
    </w:p>
    <w:p w14:paraId="4A6F4282" w14:textId="77777777" w:rsidR="00CE6695" w:rsidRPr="00FC3B7C" w:rsidRDefault="00CE6695" w:rsidP="00D46B53">
      <w:pPr>
        <w:pStyle w:val="Odstavecseseznamem"/>
        <w:numPr>
          <w:ilvl w:val="0"/>
          <w:numId w:val="648"/>
        </w:numPr>
      </w:pPr>
      <w:r w:rsidRPr="00FC3B7C">
        <w:t>APZ se zaměřuje zejména na následující aktivity:</w:t>
      </w:r>
    </w:p>
    <w:p w14:paraId="4A6F4283" w14:textId="27CD9BCE" w:rsidR="00CE6695" w:rsidRPr="00FC3B7C" w:rsidRDefault="00CE6695" w:rsidP="00D46B53">
      <w:pPr>
        <w:pStyle w:val="Odstavecseseznamem"/>
        <w:numPr>
          <w:ilvl w:val="1"/>
          <w:numId w:val="649"/>
        </w:numPr>
      </w:pPr>
      <w:r w:rsidRPr="00FC3B7C">
        <w:t>Na rozvoj infrastruktury trhu práce: prostřednictvím sítě specializovaných institucí zabezpečuje zprostředkovatelské, informační a poradenské služby. Vytvářejí tak dokonalejší informovanost o volných pracovních místech (jejich struktuře a náročnosti) a o uchazečích o práci (jejich kvalifikaci, požadavcích)</w:t>
      </w:r>
    </w:p>
    <w:p w14:paraId="4A6F4284" w14:textId="25075E2F" w:rsidR="00F109C5" w:rsidRDefault="00CE6695" w:rsidP="00D46B53">
      <w:pPr>
        <w:pStyle w:val="Odstavecseseznamem"/>
        <w:numPr>
          <w:ilvl w:val="1"/>
          <w:numId w:val="649"/>
        </w:numPr>
      </w:pPr>
      <w:r w:rsidRPr="00FC3B7C">
        <w:t xml:space="preserve">Na podporu vytváření nových pracovních míst a pracovních činností: např. tím, že poskytuje finanční podpory na nová pracovní místa, usnadňuje zaměstnávání mladistvých </w:t>
      </w:r>
      <w:r w:rsidR="00F109C5">
        <w:t>a handicapovaných občanů</w:t>
      </w:r>
    </w:p>
    <w:p w14:paraId="4A6F4285" w14:textId="77777777" w:rsidR="00CE6695" w:rsidRPr="00FC3B7C" w:rsidRDefault="00CE6695" w:rsidP="00D46B53">
      <w:pPr>
        <w:pStyle w:val="Odstavecseseznamem"/>
        <w:numPr>
          <w:ilvl w:val="1"/>
          <w:numId w:val="649"/>
        </w:numPr>
        <w:ind w:left="709"/>
      </w:pPr>
      <w:r w:rsidRPr="00FC3B7C">
        <w:t>Zaměřuje se na zvýšení adaptability pracovní síly: to je nutné při růstu strukturální nezaměstnanosti, přispívá např. podporou rekvalifikačních programů</w:t>
      </w:r>
    </w:p>
    <w:p w14:paraId="4A6F4286" w14:textId="77777777" w:rsidR="00CE6695" w:rsidRDefault="00CE6695" w:rsidP="00CE6695">
      <w:pPr>
        <w:spacing w:line="240" w:lineRule="auto"/>
        <w:rPr>
          <w:b/>
        </w:rPr>
      </w:pPr>
      <w:r w:rsidRPr="00FC3B7C">
        <w:rPr>
          <w:b/>
        </w:rPr>
        <w:t>Nástroje APZ:</w:t>
      </w:r>
    </w:p>
    <w:p w14:paraId="4A6F4287" w14:textId="77777777" w:rsidR="00F109C5" w:rsidRPr="00FC3B7C" w:rsidRDefault="00F109C5" w:rsidP="00CE6695">
      <w:pPr>
        <w:spacing w:line="240" w:lineRule="auto"/>
        <w:rPr>
          <w:b/>
        </w:rPr>
      </w:pPr>
    </w:p>
    <w:p w14:paraId="4A6F4288" w14:textId="77777777" w:rsidR="00CE6695" w:rsidRPr="00FC3B7C" w:rsidRDefault="00CE6695" w:rsidP="00D46B53">
      <w:pPr>
        <w:numPr>
          <w:ilvl w:val="0"/>
          <w:numId w:val="588"/>
        </w:numPr>
        <w:contextualSpacing/>
        <w:rPr>
          <w:b/>
        </w:rPr>
      </w:pPr>
      <w:r w:rsidRPr="00FC3B7C">
        <w:rPr>
          <w:b/>
        </w:rPr>
        <w:t>Rekvalifikace</w:t>
      </w:r>
    </w:p>
    <w:p w14:paraId="4A6F4289" w14:textId="77777777" w:rsidR="00CE6695" w:rsidRPr="00FC3B7C" w:rsidRDefault="00CE6695" w:rsidP="00F109C5">
      <w:r w:rsidRPr="00FC3B7C">
        <w:t>Zabezpečují jí úřady práce, které zabezpečují rekvalifikaci pro uchazeče nebo zájemce o zaměstnání v případech, kdy struktura poptávky trhu práce neodpovídá struktuře nabídky pracovních sil.</w:t>
      </w:r>
    </w:p>
    <w:p w14:paraId="4A6F428A" w14:textId="77777777" w:rsidR="00CE6695" w:rsidRPr="00FC3B7C" w:rsidRDefault="00CE6695" w:rsidP="00F109C5">
      <w:r w:rsidRPr="00FC3B7C">
        <w:t>Případná rekvalifikace umožňuje nové nebo další uplatnění ve vhodném zaměstnání.</w:t>
      </w:r>
    </w:p>
    <w:p w14:paraId="4A6F428B" w14:textId="77777777" w:rsidR="00CE6695" w:rsidRPr="00FC3B7C" w:rsidRDefault="00CE6695" w:rsidP="00F109C5">
      <w:r w:rsidRPr="00FC3B7C">
        <w:lastRenderedPageBreak/>
        <w:t>Řeší situaci, kdy ekonomika má kvalitní lidi, kteří ale neumí ty druhy práce, o které je na trhu práce zájem, rekvalifikace se uskutečňuje na základě dohody mezi úřadem práce a uchazečem o zaměstnání (náklady hradí ÚP + může poskytnout příspěvek na úhradu prokázaných nutných nákladů spojených s rekvalifikací = stravné, jízdné, nocležné, pojištění).</w:t>
      </w:r>
    </w:p>
    <w:p w14:paraId="4A6F428C" w14:textId="77777777" w:rsidR="00CE6695" w:rsidRPr="00FC3B7C" w:rsidRDefault="00CE6695" w:rsidP="00F109C5">
      <w:r w:rsidRPr="00FC3B7C">
        <w:t>Může být uskutečněna i u zaměstnavatele – ÚP uhradí částečné či celkové náklady.</w:t>
      </w:r>
    </w:p>
    <w:p w14:paraId="4A6F428D" w14:textId="77777777" w:rsidR="00CE6695" w:rsidRPr="00FC3B7C" w:rsidRDefault="00CE6695" w:rsidP="00F109C5">
      <w:r w:rsidRPr="00FC3B7C">
        <w:t>Rekvalifikace se uskutečňuje formou vzdělávání:</w:t>
      </w:r>
    </w:p>
    <w:p w14:paraId="4A6F428E" w14:textId="77777777" w:rsidR="00CE6695" w:rsidRPr="00FC3B7C" w:rsidRDefault="00CE6695" w:rsidP="00D46B53">
      <w:pPr>
        <w:pStyle w:val="Odstavecseseznamem"/>
        <w:numPr>
          <w:ilvl w:val="0"/>
          <w:numId w:val="650"/>
        </w:numPr>
        <w:ind w:left="1134" w:hanging="577"/>
      </w:pPr>
      <w:r w:rsidRPr="00FC3B7C">
        <w:t>ve vzdělávacích programech dalšího profesního vzdělávání</w:t>
      </w:r>
    </w:p>
    <w:p w14:paraId="4A6F428F" w14:textId="77777777" w:rsidR="00CE6695" w:rsidRPr="00FC3B7C" w:rsidRDefault="00CE6695" w:rsidP="00D46B53">
      <w:pPr>
        <w:pStyle w:val="Odstavecseseznamem"/>
        <w:numPr>
          <w:ilvl w:val="0"/>
          <w:numId w:val="650"/>
        </w:numPr>
        <w:ind w:left="1134" w:hanging="577"/>
      </w:pPr>
      <w:r w:rsidRPr="00FC3B7C">
        <w:t>ve speciálních programech k získání konkrétní pracovní dovednosti</w:t>
      </w:r>
    </w:p>
    <w:p w14:paraId="4A6F4290" w14:textId="77777777" w:rsidR="00CE6695" w:rsidRPr="00FC3B7C" w:rsidRDefault="00CE6695" w:rsidP="00D46B53">
      <w:pPr>
        <w:pStyle w:val="Odstavecseseznamem"/>
        <w:numPr>
          <w:ilvl w:val="0"/>
          <w:numId w:val="650"/>
        </w:numPr>
        <w:ind w:left="1134" w:hanging="577"/>
      </w:pPr>
      <w:r w:rsidRPr="00FC3B7C">
        <w:t>ve vzdělávacích aktivitách v rámci mezinárodních programů</w:t>
      </w:r>
    </w:p>
    <w:p w14:paraId="4A6F4291" w14:textId="77777777" w:rsidR="00CE6695" w:rsidRPr="00FC3B7C" w:rsidRDefault="00CE6695" w:rsidP="00D46B53">
      <w:pPr>
        <w:pStyle w:val="Odstavecseseznamem"/>
        <w:numPr>
          <w:ilvl w:val="0"/>
          <w:numId w:val="650"/>
        </w:numPr>
        <w:ind w:left="1134" w:hanging="577"/>
      </w:pPr>
      <w:r w:rsidRPr="00FC3B7C">
        <w:t>ve vzdělávacích programech určených pro uchazeče o zaměstnání, kterým se věnuje zvýšená pozornost při zprostředkování podle § 33 zákona o zaměstnanost</w:t>
      </w:r>
      <w:r w:rsidR="00F109C5">
        <w:t xml:space="preserve">i </w:t>
      </w:r>
      <w:r w:rsidRPr="00FC3B7C">
        <w:t>ve školních vzdělávacích programech pro střední vzdělávání v rámci soustavy oboru vzdělávání</w:t>
      </w:r>
    </w:p>
    <w:p w14:paraId="4A6F4292" w14:textId="77777777" w:rsidR="00CE6695" w:rsidRPr="00FC3B7C" w:rsidRDefault="00CE6695" w:rsidP="00D46B53">
      <w:pPr>
        <w:pStyle w:val="Odstavecseseznamem"/>
        <w:numPr>
          <w:ilvl w:val="0"/>
          <w:numId w:val="650"/>
        </w:numPr>
        <w:spacing w:after="240"/>
        <w:ind w:left="1134" w:hanging="577"/>
      </w:pPr>
      <w:r w:rsidRPr="00FC3B7C">
        <w:t>v jiných vzdělávacích aktivitách, které směřují k získání nové kvalifikace nebo rozšíření stávající</w:t>
      </w:r>
    </w:p>
    <w:p w14:paraId="4A6F4294" w14:textId="77777777" w:rsidR="00CE6695" w:rsidRPr="00FC3B7C" w:rsidRDefault="00CE6695" w:rsidP="00D46B53">
      <w:pPr>
        <w:numPr>
          <w:ilvl w:val="0"/>
          <w:numId w:val="588"/>
        </w:numPr>
        <w:contextualSpacing/>
        <w:rPr>
          <w:b/>
        </w:rPr>
      </w:pPr>
      <w:r w:rsidRPr="00FC3B7C">
        <w:rPr>
          <w:b/>
        </w:rPr>
        <w:t>Investiční pobídky</w:t>
      </w:r>
    </w:p>
    <w:p w14:paraId="4A6F4295" w14:textId="77777777" w:rsidR="00CE6695" w:rsidRPr="00FC3B7C" w:rsidRDefault="00CE6695" w:rsidP="00F109C5">
      <w:r w:rsidRPr="00FC3B7C">
        <w:t>Jsou směrovány především do oblastí, kde je nezaměstnanost vyšší než průměrná nezaměstnanost na trhu práce.</w:t>
      </w:r>
    </w:p>
    <w:p w14:paraId="4A6F4296" w14:textId="77777777" w:rsidR="00CE6695" w:rsidRPr="00FC3B7C" w:rsidRDefault="00CE6695" w:rsidP="00F109C5">
      <w:r w:rsidRPr="00FC3B7C">
        <w:t>Výše je dána nařízením vlády.</w:t>
      </w:r>
    </w:p>
    <w:p w14:paraId="4A6F429A" w14:textId="788FE815" w:rsidR="00CE6695" w:rsidRPr="00FC3B7C" w:rsidRDefault="00CE6695" w:rsidP="001F2774">
      <w:pPr>
        <w:spacing w:after="240"/>
      </w:pPr>
      <w:r w:rsidRPr="00FC3B7C">
        <w:t>Zaměstnavatel je podporován k tvorbě nových pracovních míst a k rekvalifikacím ve formě například snížení daní, vybudování infrastruktury, zajištění bydlení pro zaměstnance, pozemků pro stavbu podniku apod.</w:t>
      </w:r>
    </w:p>
    <w:p w14:paraId="4A6F429B" w14:textId="77777777" w:rsidR="00CE6695" w:rsidRPr="00FC3B7C" w:rsidRDefault="00CE6695" w:rsidP="00D46B53">
      <w:pPr>
        <w:numPr>
          <w:ilvl w:val="0"/>
          <w:numId w:val="588"/>
        </w:numPr>
        <w:contextualSpacing/>
        <w:rPr>
          <w:b/>
        </w:rPr>
      </w:pPr>
      <w:r w:rsidRPr="00FC3B7C">
        <w:rPr>
          <w:b/>
        </w:rPr>
        <w:t>Veřejně prospěšné práce</w:t>
      </w:r>
    </w:p>
    <w:p w14:paraId="4A6F429C" w14:textId="77777777" w:rsidR="00CE6695" w:rsidRPr="00FC3B7C" w:rsidRDefault="00CE6695" w:rsidP="001F2774">
      <w:r w:rsidRPr="00FC3B7C">
        <w:t>Jsou to časově omezené pracovní příležitosti vytvořené především pro obtížně umístitelné a dlouhodobě nezaměstnané uchazeče o zaměstnání evidované na ÚP.</w:t>
      </w:r>
    </w:p>
    <w:p w14:paraId="4A6F429E" w14:textId="3B9B79B1" w:rsidR="00F109C5" w:rsidRPr="00FC3B7C" w:rsidRDefault="00CE6695" w:rsidP="001F2774">
      <w:pPr>
        <w:spacing w:after="240"/>
      </w:pPr>
      <w:r w:rsidRPr="00FC3B7C">
        <w:t>Místa vytvořená zaměstnavatelem max. na 12 měsíců (ÚP poskytne zaměstnavateli příspěvek až do výše mzdových nákladů včetně pojistného, to zaměstnavatel odvádí)</w:t>
      </w:r>
    </w:p>
    <w:p w14:paraId="4A6F429F" w14:textId="77777777" w:rsidR="00CE6695" w:rsidRPr="00FC3B7C" w:rsidRDefault="00CE6695" w:rsidP="00D46B53">
      <w:pPr>
        <w:numPr>
          <w:ilvl w:val="0"/>
          <w:numId w:val="588"/>
        </w:numPr>
        <w:contextualSpacing/>
        <w:rPr>
          <w:b/>
        </w:rPr>
      </w:pPr>
      <w:r w:rsidRPr="00FC3B7C">
        <w:rPr>
          <w:b/>
        </w:rPr>
        <w:t>Společensky účelná pracovní místa (SÚPM)</w:t>
      </w:r>
    </w:p>
    <w:p w14:paraId="4A6F42A0" w14:textId="77777777" w:rsidR="00CE6695" w:rsidRPr="00FC3B7C" w:rsidRDefault="00CE6695" w:rsidP="00F109C5">
      <w:r w:rsidRPr="00FC3B7C">
        <w:t>Zařizována z důvodu nízkého stavu nabídky volných pracovních míst.</w:t>
      </w:r>
    </w:p>
    <w:p w14:paraId="4A6F42A1" w14:textId="6BB87936" w:rsidR="00CE6695" w:rsidRPr="00FC3B7C" w:rsidRDefault="00CE6695" w:rsidP="00F109C5">
      <w:r w:rsidRPr="00FC3B7C">
        <w:t>Cílem poskytnutí příspěvku na zřízení nebo vyhrazení SÚPM je obsazení míst uchazeči o zaměstnání, kterým nelze zajistit jiným způsobem pracovní umístění, včetně zahájení samostatné výdělečné činnosti uchazečem</w:t>
      </w:r>
      <w:r w:rsidR="001F2774">
        <w:t>.</w:t>
      </w:r>
    </w:p>
    <w:p w14:paraId="4A6F42A2" w14:textId="77777777" w:rsidR="00CE6695" w:rsidRPr="00FC3B7C" w:rsidRDefault="00CE6695" w:rsidP="00F109C5">
      <w:r w:rsidRPr="00FC3B7C">
        <w:lastRenderedPageBreak/>
        <w:t>SÚPM je pracovní místo, které zaměstnavatel zřizuje na základě písemné dohody s ÚP na různě dlouhou dobu, je obsazováno uchazeči evidovanými na ÚP, kterým nelze zajistit jiným způsobem pracovní uplatnění nebo nově zřízené pracovní místo pro uchazeče o zaměstnání evidovaného na ÚP, který začne vykonávat samostatnou výdělečnou činnost.</w:t>
      </w:r>
    </w:p>
    <w:p w14:paraId="4A6F42A4" w14:textId="1F0F0EFF" w:rsidR="00CE6695" w:rsidRPr="00FC3B7C" w:rsidRDefault="00CE6695" w:rsidP="001F2774">
      <w:pPr>
        <w:spacing w:after="240"/>
      </w:pPr>
      <w:r w:rsidRPr="00FC3B7C">
        <w:t>Příspěvek zaměstnavateli může/nemusí ÚP uhradit.</w:t>
      </w:r>
    </w:p>
    <w:p w14:paraId="4A6F42A5" w14:textId="77777777" w:rsidR="00CE6695" w:rsidRPr="00FC3B7C" w:rsidRDefault="00CE6695" w:rsidP="00D46B53">
      <w:pPr>
        <w:numPr>
          <w:ilvl w:val="0"/>
          <w:numId w:val="588"/>
        </w:numPr>
        <w:contextualSpacing/>
        <w:rPr>
          <w:b/>
        </w:rPr>
      </w:pPr>
      <w:r w:rsidRPr="00FC3B7C">
        <w:rPr>
          <w:b/>
        </w:rPr>
        <w:t>Překlenovací příspěvek</w:t>
      </w:r>
    </w:p>
    <w:p w14:paraId="4A6F42A6" w14:textId="77777777" w:rsidR="00CE6695" w:rsidRPr="00FC3B7C" w:rsidRDefault="00CE6695" w:rsidP="001F2774">
      <w:r w:rsidRPr="00FC3B7C">
        <w:t>OSVČ, která zahájila SVČ na základě dohody s ÚP o něj může do 30 dnů od uzavření této dohody požádat ÚP.</w:t>
      </w:r>
    </w:p>
    <w:p w14:paraId="4A6F42A7" w14:textId="77777777" w:rsidR="00CE6695" w:rsidRPr="00FC3B7C" w:rsidRDefault="00CE6695" w:rsidP="001F2774">
      <w:pPr>
        <w:spacing w:after="240"/>
      </w:pPr>
      <w:r w:rsidRPr="00FC3B7C">
        <w:t>Tento příspěvek je určen na částečnou úhradu provozních nákladů spojených s výkonem SVČ.</w:t>
      </w:r>
    </w:p>
    <w:p w14:paraId="4A6F42A9" w14:textId="77777777" w:rsidR="00CE6695" w:rsidRPr="00FC3B7C" w:rsidRDefault="00CE6695" w:rsidP="00D46B53">
      <w:pPr>
        <w:numPr>
          <w:ilvl w:val="0"/>
          <w:numId w:val="588"/>
        </w:numPr>
        <w:contextualSpacing/>
        <w:rPr>
          <w:b/>
        </w:rPr>
      </w:pPr>
      <w:r w:rsidRPr="00FC3B7C">
        <w:rPr>
          <w:b/>
        </w:rPr>
        <w:t>Příspěvek na zapracování</w:t>
      </w:r>
    </w:p>
    <w:p w14:paraId="4A6F42AA" w14:textId="77777777" w:rsidR="00CE6695" w:rsidRPr="00244BB9" w:rsidRDefault="00CE6695" w:rsidP="00F109C5">
      <w:r w:rsidRPr="00FC3B7C">
        <w:t xml:space="preserve">ÚP ho zaměstnavateli může poskytnout, pokud přijme uchazeče, který vyžaduje zvýšenou </w:t>
      </w:r>
      <w:r w:rsidRPr="00244BB9">
        <w:t>péči.</w:t>
      </w:r>
    </w:p>
    <w:p w14:paraId="4A6F42AC" w14:textId="279DEF8B" w:rsidR="00CE6695" w:rsidRPr="00244BB9" w:rsidRDefault="00CE6695" w:rsidP="001F2774">
      <w:pPr>
        <w:spacing w:after="240"/>
      </w:pPr>
      <w:r w:rsidRPr="00244BB9">
        <w:t xml:space="preserve">Max. doba poskytování je 3 měsíce (měsíčně max. 1/2 minimální mzdy = </w:t>
      </w:r>
      <w:r w:rsidR="001F2774" w:rsidRPr="00244BB9">
        <w:t>7 300</w:t>
      </w:r>
      <w:r w:rsidRPr="00244BB9">
        <w:t xml:space="preserve"> Kč).</w:t>
      </w:r>
    </w:p>
    <w:p w14:paraId="4A6F42AD" w14:textId="77777777" w:rsidR="00CE6695" w:rsidRPr="00244BB9" w:rsidRDefault="00CE6695" w:rsidP="00D46B53">
      <w:pPr>
        <w:numPr>
          <w:ilvl w:val="0"/>
          <w:numId w:val="588"/>
        </w:numPr>
        <w:contextualSpacing/>
        <w:rPr>
          <w:b/>
        </w:rPr>
      </w:pPr>
      <w:r w:rsidRPr="00244BB9">
        <w:rPr>
          <w:b/>
        </w:rPr>
        <w:t>Příspěvek při přechodu na nový podnikatelský program</w:t>
      </w:r>
    </w:p>
    <w:p w14:paraId="4A6F42AE" w14:textId="77777777" w:rsidR="00CE6695" w:rsidRPr="00244BB9" w:rsidRDefault="00CE6695" w:rsidP="00F109C5">
      <w:r w:rsidRPr="00244BB9">
        <w:t>Pro zaměstnavatele, jež přechází na jiný výrobní program (např. zásadní technologická změna, změna předmětu podnikání) a nemůže svým zaměstnancům zajistit práci v rozsahu stanovené týdenní pracovní doby.</w:t>
      </w:r>
    </w:p>
    <w:p w14:paraId="4A6F42AF" w14:textId="77777777" w:rsidR="00CE6695" w:rsidRPr="00244BB9" w:rsidRDefault="00CE6695" w:rsidP="00F109C5">
      <w:r w:rsidRPr="00244BB9">
        <w:t>Je poskytován na částečnou úhradu náhrady mzdy zaměstnancům maximálně po dobu 6 měsíců, která zaměstnancům přísluší podle pracovněprávních předpisů.</w:t>
      </w:r>
    </w:p>
    <w:p w14:paraId="4A6F42B1" w14:textId="69778B42" w:rsidR="00CE6695" w:rsidRPr="00244BB9" w:rsidRDefault="00CE6695" w:rsidP="001F2774">
      <w:pPr>
        <w:spacing w:after="240"/>
      </w:pPr>
      <w:r w:rsidRPr="00244BB9">
        <w:t xml:space="preserve">Měsíční příspěvek na jednoho zaměstnance může činit maximálně polovinu minimální mzdy, měsíčně max. 1/2 minimální mzdy (takže </w:t>
      </w:r>
      <w:r w:rsidR="001F2774" w:rsidRPr="00244BB9">
        <w:t xml:space="preserve">7 300 </w:t>
      </w:r>
      <w:r w:rsidRPr="00244BB9">
        <w:t>Kč).</w:t>
      </w:r>
    </w:p>
    <w:p w14:paraId="4A6F42B2" w14:textId="77777777" w:rsidR="00CE6695" w:rsidRPr="00FC3B7C" w:rsidRDefault="00CE6695" w:rsidP="00D46B53">
      <w:pPr>
        <w:numPr>
          <w:ilvl w:val="0"/>
          <w:numId w:val="588"/>
        </w:numPr>
        <w:contextualSpacing/>
        <w:rPr>
          <w:b/>
        </w:rPr>
      </w:pPr>
      <w:r w:rsidRPr="00FC3B7C">
        <w:rPr>
          <w:b/>
        </w:rPr>
        <w:t>Poradenství</w:t>
      </w:r>
    </w:p>
    <w:p w14:paraId="4A6F42B3" w14:textId="77777777" w:rsidR="00CE6695" w:rsidRPr="00FC3B7C" w:rsidRDefault="00CE6695" w:rsidP="00F109C5">
      <w:r w:rsidRPr="00FC3B7C">
        <w:t>Poradenstvím se rozumí poskytování odborných poradenských služeb v oblasti pracovního uplatnění všem občanům, jako prevence nezaměstnanosti a aktivizace klientů, včetně poradenství pro volbu povolání.</w:t>
      </w:r>
    </w:p>
    <w:p w14:paraId="4A6F42B5" w14:textId="351B79C7" w:rsidR="00CE6695" w:rsidRPr="00FC3B7C" w:rsidRDefault="00CE6695" w:rsidP="00437200">
      <w:pPr>
        <w:spacing w:after="240"/>
      </w:pPr>
      <w:r w:rsidRPr="00FC3B7C">
        <w:t>Některé druhy nákladů spojené s poradenstvím, které stanoví ministerstvo, jsou hrazeny ÚP.</w:t>
      </w:r>
    </w:p>
    <w:p w14:paraId="4A6F42B6" w14:textId="77777777" w:rsidR="00CE6695" w:rsidRPr="00FC3B7C" w:rsidRDefault="00CE6695" w:rsidP="00D46B53">
      <w:pPr>
        <w:numPr>
          <w:ilvl w:val="0"/>
          <w:numId w:val="588"/>
        </w:numPr>
        <w:contextualSpacing/>
        <w:rPr>
          <w:b/>
        </w:rPr>
      </w:pPr>
      <w:r w:rsidRPr="00FC3B7C">
        <w:rPr>
          <w:b/>
        </w:rPr>
        <w:t>Opatření na podporu zaměstnávání osob se zdravotním postižením</w:t>
      </w:r>
    </w:p>
    <w:p w14:paraId="4A6F42B7" w14:textId="57857BC7" w:rsidR="00CE6695" w:rsidRPr="00FC3B7C" w:rsidRDefault="00437200" w:rsidP="00F109C5">
      <w:r>
        <w:t>C</w:t>
      </w:r>
      <w:r w:rsidR="00CE6695" w:rsidRPr="00FC3B7C">
        <w:t>hráněné pracovní místo (CHPM) a chráněná pracovní dílna (CHPD) pro osoby se zdravotním postižením chráněné pracovní místo (CHPM) je pracovní místo zřízené zaměstnavatelem pro osobu se zdravotním postižením na základě písemné dohody s ÚP.</w:t>
      </w:r>
    </w:p>
    <w:p w14:paraId="4A6F42B8" w14:textId="77777777" w:rsidR="00CE6695" w:rsidRPr="00FC3B7C" w:rsidRDefault="00CE6695" w:rsidP="00F109C5">
      <w:r w:rsidRPr="00FC3B7C">
        <w:lastRenderedPageBreak/>
        <w:t>Na zřízení CHPM poskytuje ÚP zaměstnavateli příspěvek.</w:t>
      </w:r>
    </w:p>
    <w:p w14:paraId="4A6F42B9" w14:textId="77777777" w:rsidR="00CE6695" w:rsidRPr="00FC3B7C" w:rsidRDefault="00CE6695" w:rsidP="00F109C5">
      <w:r w:rsidRPr="00FC3B7C">
        <w:t>CHPM musí být obsazeno po dobu 3 let.</w:t>
      </w:r>
    </w:p>
    <w:p w14:paraId="4A6F42BA" w14:textId="77777777" w:rsidR="00CE6695" w:rsidRPr="00FC3B7C" w:rsidRDefault="00CE6695" w:rsidP="00F109C5">
      <w:r w:rsidRPr="00FC3B7C">
        <w:t>ÚP může uzavřít dohodu o zřízení či vymezení CHPM i s osobou se zdravotním postižením, která se rozhodne vykonávat samostatnou výdělečnou činnost.</w:t>
      </w:r>
    </w:p>
    <w:p w14:paraId="4A6F42BB" w14:textId="77777777" w:rsidR="00CE6695" w:rsidRPr="00FC3B7C" w:rsidRDefault="00CE6695" w:rsidP="00F109C5">
      <w:r w:rsidRPr="00FC3B7C">
        <w:t>CHPD je pracoviště zaměstnavatele, kde pracuje průměrně min. 60 % zaměstnanců se</w:t>
      </w:r>
    </w:p>
    <w:p w14:paraId="4A6F42BC" w14:textId="36EA5E5B" w:rsidR="00CE6695" w:rsidRPr="00FC3B7C" w:rsidRDefault="00CE6695" w:rsidP="00437200">
      <w:pPr>
        <w:tabs>
          <w:tab w:val="center" w:pos="4520"/>
        </w:tabs>
        <w:spacing w:after="240"/>
      </w:pPr>
      <w:r w:rsidRPr="00FC3B7C">
        <w:t>zdravotním postižením, min. 24 měsíců.</w:t>
      </w:r>
      <w:r w:rsidR="00437200">
        <w:tab/>
      </w:r>
    </w:p>
    <w:p w14:paraId="4A6F42BE" w14:textId="77777777" w:rsidR="00CE6695" w:rsidRPr="00FC3B7C" w:rsidRDefault="00CE6695" w:rsidP="00D46B53">
      <w:pPr>
        <w:numPr>
          <w:ilvl w:val="0"/>
          <w:numId w:val="588"/>
        </w:numPr>
        <w:contextualSpacing/>
      </w:pPr>
      <w:r w:rsidRPr="00FC3B7C">
        <w:rPr>
          <w:b/>
        </w:rPr>
        <w:t>Současné programy realizované ESF na podporu zaměstnanosti:</w:t>
      </w:r>
      <w:r w:rsidRPr="00FC3B7C">
        <w:t>108</w:t>
      </w:r>
    </w:p>
    <w:p w14:paraId="4A6F42BF" w14:textId="77777777" w:rsidR="00CE6695" w:rsidRPr="00FC3B7C" w:rsidRDefault="00CE6695" w:rsidP="00F109C5">
      <w:r w:rsidRPr="00437200">
        <w:rPr>
          <w:i/>
          <w:iCs/>
        </w:rPr>
        <w:t>Podpora odborného vzdělávání zaměstnanců II</w:t>
      </w:r>
      <w:r w:rsidRPr="00FC3B7C">
        <w:t xml:space="preserve"> – řeší problém neochoty zaměstnavatelů investovat do vzdělávání vlastních zaměstnanců</w:t>
      </w:r>
    </w:p>
    <w:p w14:paraId="4A6F42C0" w14:textId="77777777" w:rsidR="00CE6695" w:rsidRPr="00FC3B7C" w:rsidRDefault="00CE6695" w:rsidP="00F109C5">
      <w:r w:rsidRPr="00437200">
        <w:rPr>
          <w:i/>
          <w:iCs/>
        </w:rPr>
        <w:t>Vzdělávání a dovednosti pro trhu práce II</w:t>
      </w:r>
      <w:r w:rsidRPr="00FC3B7C">
        <w:t xml:space="preserve"> – se zabývá neodpovídající kvalifikací uchazečů o zaměstnání potřebám trhu práce</w:t>
      </w:r>
    </w:p>
    <w:p w14:paraId="4A6F42C1" w14:textId="77777777" w:rsidR="00CE6695" w:rsidRPr="00FC3B7C" w:rsidRDefault="00CE6695" w:rsidP="00F109C5">
      <w:r w:rsidRPr="00437200">
        <w:rPr>
          <w:i/>
          <w:iCs/>
        </w:rPr>
        <w:t>Efektivní služby zaměstnanosti –</w:t>
      </w:r>
      <w:r w:rsidRPr="00FC3B7C">
        <w:t xml:space="preserve"> cílem projektu je zefektivnit poskytované služby Úřadu práce ČR</w:t>
      </w:r>
    </w:p>
    <w:p w14:paraId="4A6F42C2" w14:textId="77777777" w:rsidR="00CE6695" w:rsidRPr="00FC3B7C" w:rsidRDefault="00CE6695" w:rsidP="00F109C5">
      <w:r w:rsidRPr="00437200">
        <w:rPr>
          <w:i/>
          <w:iCs/>
        </w:rPr>
        <w:t>Evropské služby zaměstnanosti ČR II</w:t>
      </w:r>
      <w:r w:rsidRPr="00FC3B7C">
        <w:t xml:space="preserve"> – podpora mezinárodní pracovní mobility</w:t>
      </w:r>
    </w:p>
    <w:p w14:paraId="4A6F42C3" w14:textId="77777777" w:rsidR="00CE6695" w:rsidRPr="00FC3B7C" w:rsidRDefault="00CE6695" w:rsidP="00F109C5">
      <w:r w:rsidRPr="00437200">
        <w:rPr>
          <w:i/>
          <w:iCs/>
        </w:rPr>
        <w:t>Nové pracovní příležitosti</w:t>
      </w:r>
      <w:r w:rsidRPr="00FC3B7C">
        <w:t xml:space="preserve"> – projekt je zaměřen na podporu vstupu nebo návratu osob dlouhodobě nezaměstnaných na pracovní trh (včetně nových pracovních příležitostí SÚPM a VPP)</w:t>
      </w:r>
    </w:p>
    <w:p w14:paraId="4A6F42C4" w14:textId="048DF2B0" w:rsidR="00CE6695" w:rsidRPr="00FC3B7C" w:rsidRDefault="00CE6695" w:rsidP="00F109C5">
      <w:r w:rsidRPr="00437200">
        <w:rPr>
          <w:i/>
          <w:iCs/>
        </w:rPr>
        <w:t>Podpora informačních a poradenských</w:t>
      </w:r>
      <w:r w:rsidR="003376E1">
        <w:rPr>
          <w:i/>
          <w:iCs/>
        </w:rPr>
        <w:t xml:space="preserve"> </w:t>
      </w:r>
      <w:r w:rsidRPr="00437200">
        <w:rPr>
          <w:i/>
          <w:iCs/>
        </w:rPr>
        <w:t>středisek</w:t>
      </w:r>
      <w:r w:rsidR="003376E1">
        <w:rPr>
          <w:i/>
          <w:iCs/>
        </w:rPr>
        <w:t xml:space="preserve"> </w:t>
      </w:r>
      <w:r w:rsidRPr="00437200">
        <w:rPr>
          <w:i/>
          <w:iCs/>
        </w:rPr>
        <w:t>ÚP ČR</w:t>
      </w:r>
      <w:r w:rsidR="003376E1">
        <w:t xml:space="preserve"> </w:t>
      </w:r>
      <w:r w:rsidRPr="00FC3B7C">
        <w:t>–</w:t>
      </w:r>
      <w:r w:rsidR="003376E1">
        <w:t xml:space="preserve"> </w:t>
      </w:r>
      <w:r w:rsidRPr="00FC3B7C">
        <w:t>cílem</w:t>
      </w:r>
      <w:r w:rsidR="003376E1">
        <w:t xml:space="preserve"> </w:t>
      </w:r>
      <w:r w:rsidRPr="00FC3B7C">
        <w:t>je</w:t>
      </w:r>
      <w:r w:rsidR="003376E1">
        <w:t xml:space="preserve"> </w:t>
      </w:r>
      <w:r w:rsidRPr="00FC3B7C">
        <w:t>zvýšit</w:t>
      </w:r>
    </w:p>
    <w:p w14:paraId="4A6F42C9" w14:textId="1C317A70" w:rsidR="00F109C5" w:rsidRDefault="00CE6695" w:rsidP="00437200">
      <w:pPr>
        <w:spacing w:after="240"/>
        <w:rPr>
          <w:b/>
        </w:rPr>
      </w:pPr>
      <w:r w:rsidRPr="00FC3B7C">
        <w:t>kapacitu a kvalitu služeb poskytovaných institucemi veřejných služeb zaměstnanosti</w:t>
      </w:r>
    </w:p>
    <w:p w14:paraId="4A6F42CA" w14:textId="77777777" w:rsidR="00CE6695" w:rsidRPr="00F109C5" w:rsidRDefault="00CE6695" w:rsidP="00F109C5">
      <w:pPr>
        <w:rPr>
          <w:b/>
        </w:rPr>
      </w:pPr>
      <w:r w:rsidRPr="00F109C5">
        <w:rPr>
          <w:b/>
        </w:rPr>
        <w:t>Nová strategie politiky zaměstnanosti: (Strategie politiky zaměstnanosti do roku 2020)</w:t>
      </w:r>
    </w:p>
    <w:p w14:paraId="4A6F42CB" w14:textId="77777777" w:rsidR="00CE6695" w:rsidRPr="00FC3B7C" w:rsidRDefault="00CE6695" w:rsidP="00F109C5">
      <w:r w:rsidRPr="00FC3B7C">
        <w:t>Vláda v roce 2014 schválila novou strategii politiky zaměstnanosti.</w:t>
      </w:r>
    </w:p>
    <w:p w14:paraId="4A6F42CC" w14:textId="77777777" w:rsidR="00CE6695" w:rsidRPr="00FC3B7C" w:rsidRDefault="00CE6695" w:rsidP="00F109C5">
      <w:r w:rsidRPr="00FC3B7C">
        <w:t>Smyslem strategie je přispět k naplnění národních cílů, které si Česká republika stanovila v návaznosti na Strategii Evropa 2020. Jedná se o zvýšení celkové míry zaměstnanosti věkové skupiny občanů 20–64 let na 75 %, zvýšení zaměstnanosti žen na 65 %, starších lidí (55–64 let) na 55 %, o snížení nezaměstnanosti mládeže a osob s nízkou kvalifikací</w:t>
      </w:r>
    </w:p>
    <w:p w14:paraId="4A6F42CD" w14:textId="77777777" w:rsidR="00CE6695" w:rsidRPr="00FC3B7C" w:rsidRDefault="00CE6695" w:rsidP="00F109C5">
      <w:r w:rsidRPr="00FC3B7C">
        <w:t>Strategie identifikuje problémové oblasti trhu práce a navrhuje opatření na řešení. Tím určuje zaměření intervencí ovlivňujících trh práce. Problémovým okruhům odpovídá členění strategie na čtyři priority:</w:t>
      </w:r>
    </w:p>
    <w:p w14:paraId="4A6F42CE" w14:textId="09360200" w:rsidR="00CE6695" w:rsidRPr="00FC3B7C" w:rsidRDefault="00CE6695" w:rsidP="00D46B53">
      <w:pPr>
        <w:pStyle w:val="Odstavecseseznamem"/>
        <w:numPr>
          <w:ilvl w:val="0"/>
          <w:numId w:val="214"/>
        </w:numPr>
      </w:pPr>
      <w:r w:rsidRPr="00FC3B7C">
        <w:t>podpora přístupu k zaměstnání, zejména pro skupiny ohrožené na trhu prác</w:t>
      </w:r>
      <w:r w:rsidR="00FE4A28">
        <w:t>e</w:t>
      </w:r>
    </w:p>
    <w:p w14:paraId="4A6F42CF" w14:textId="77777777" w:rsidR="00CE6695" w:rsidRPr="00FC3B7C" w:rsidRDefault="00CE6695" w:rsidP="00D46B53">
      <w:pPr>
        <w:pStyle w:val="Odstavecseseznamem"/>
        <w:numPr>
          <w:ilvl w:val="0"/>
          <w:numId w:val="214"/>
        </w:numPr>
      </w:pPr>
      <w:r w:rsidRPr="00FC3B7C">
        <w:t>podpora rovnosti žen a mužů na trhu práce,</w:t>
      </w:r>
    </w:p>
    <w:p w14:paraId="4A6F42D0" w14:textId="77777777" w:rsidR="00CE6695" w:rsidRPr="00FC3B7C" w:rsidRDefault="00CE6695" w:rsidP="00D46B53">
      <w:pPr>
        <w:pStyle w:val="Odstavecseseznamem"/>
        <w:numPr>
          <w:ilvl w:val="0"/>
          <w:numId w:val="214"/>
        </w:numPr>
      </w:pPr>
      <w:r w:rsidRPr="00FC3B7C">
        <w:t>podpora přizpůsobení podniků a zaměstnanců změnám a potřebám trhu práce,</w:t>
      </w:r>
    </w:p>
    <w:p w14:paraId="4A6F42D1" w14:textId="77777777" w:rsidR="00CE6695" w:rsidRPr="00FC3B7C" w:rsidRDefault="00CE6695" w:rsidP="00D46B53">
      <w:pPr>
        <w:pStyle w:val="Odstavecseseznamem"/>
        <w:numPr>
          <w:ilvl w:val="0"/>
          <w:numId w:val="214"/>
        </w:numPr>
      </w:pPr>
      <w:r w:rsidRPr="00FC3B7C">
        <w:t>rozvoj veřejných služeb zaměstnanosti.</w:t>
      </w:r>
    </w:p>
    <w:p w14:paraId="4A6F42D2" w14:textId="77777777" w:rsidR="00CE6695" w:rsidRPr="00FC3B7C" w:rsidRDefault="00CE6695" w:rsidP="00CE6695">
      <w:pPr>
        <w:spacing w:line="240" w:lineRule="auto"/>
      </w:pPr>
    </w:p>
    <w:p w14:paraId="4A6F42D3" w14:textId="77777777" w:rsidR="00CE6695" w:rsidRPr="00FC3B7C" w:rsidRDefault="00CE6695" w:rsidP="00437200">
      <w:pPr>
        <w:spacing w:after="240"/>
        <w:rPr>
          <w:b/>
        </w:rPr>
      </w:pPr>
      <w:r w:rsidRPr="00FC3B7C">
        <w:rPr>
          <w:b/>
        </w:rPr>
        <w:lastRenderedPageBreak/>
        <w:t>Rozdělení evropských zemí do 5 skupin (na základě jejich přístupu k politice zaměstnanosti):</w:t>
      </w:r>
    </w:p>
    <w:p w14:paraId="4A6F42D5" w14:textId="77777777" w:rsidR="00CE6695" w:rsidRPr="00FC3B7C" w:rsidRDefault="00934E2E" w:rsidP="00F109C5">
      <w:r>
        <w:rPr>
          <w:b/>
        </w:rPr>
        <w:t>Skupina</w:t>
      </w:r>
      <w:r w:rsidR="00CE6695" w:rsidRPr="00FC3B7C">
        <w:rPr>
          <w:b/>
        </w:rPr>
        <w:t>1</w:t>
      </w:r>
      <w:r w:rsidR="00F109C5">
        <w:br/>
      </w:r>
      <w:r w:rsidR="00CE6695" w:rsidRPr="00FC3B7C">
        <w:t xml:space="preserve"> </w:t>
      </w:r>
      <w:r w:rsidR="00F109C5">
        <w:t>P</w:t>
      </w:r>
      <w:r w:rsidR="00CE6695" w:rsidRPr="00FC3B7C">
        <w:t>atří sem státy s re distributivním typem sociální politiky – Švédsko, Norsko, Finsko (Skandinávské státy)</w:t>
      </w:r>
    </w:p>
    <w:p w14:paraId="4A6F42D6" w14:textId="77777777" w:rsidR="00CE6695" w:rsidRPr="00FC3B7C" w:rsidRDefault="00CE6695" w:rsidP="00D46B53">
      <w:pPr>
        <w:pStyle w:val="Odstavecseseznamem"/>
        <w:numPr>
          <w:ilvl w:val="0"/>
          <w:numId w:val="214"/>
        </w:numPr>
      </w:pPr>
      <w:r w:rsidRPr="00FC3B7C">
        <w:t>štědrý systém podpory – nárok a výše dávek</w:t>
      </w:r>
    </w:p>
    <w:p w14:paraId="4A6F42D7" w14:textId="77777777" w:rsidR="00CE6695" w:rsidRPr="00FC3B7C" w:rsidRDefault="00CE6695" w:rsidP="00D46B53">
      <w:pPr>
        <w:pStyle w:val="Odstavecseseznamem"/>
        <w:numPr>
          <w:ilvl w:val="0"/>
          <w:numId w:val="214"/>
        </w:numPr>
      </w:pPr>
      <w:r w:rsidRPr="00FC3B7C">
        <w:t>dlouhá doba pobírání dávky</w:t>
      </w:r>
    </w:p>
    <w:p w14:paraId="4A6F42D8" w14:textId="77777777" w:rsidR="00CE6695" w:rsidRPr="00FC3B7C" w:rsidRDefault="00CE6695" w:rsidP="00D46B53">
      <w:pPr>
        <w:pStyle w:val="Odstavecseseznamem"/>
        <w:numPr>
          <w:ilvl w:val="0"/>
          <w:numId w:val="214"/>
        </w:numPr>
      </w:pPr>
      <w:r w:rsidRPr="00FC3B7C">
        <w:t>vysoký čistý náhradový poměr</w:t>
      </w:r>
    </w:p>
    <w:p w14:paraId="4A6F42D9" w14:textId="3EC8260D" w:rsidR="00CE6695" w:rsidRPr="00FC3B7C" w:rsidRDefault="00CE6695" w:rsidP="00D46B53">
      <w:pPr>
        <w:pStyle w:val="Odstavecseseznamem"/>
        <w:numPr>
          <w:ilvl w:val="0"/>
          <w:numId w:val="214"/>
        </w:numPr>
        <w:ind w:left="1418" w:hanging="698"/>
      </w:pPr>
      <w:r w:rsidRPr="00FC3B7C">
        <w:t>aktivní</w:t>
      </w:r>
      <w:r w:rsidR="003376E1">
        <w:t xml:space="preserve"> </w:t>
      </w:r>
      <w:r w:rsidRPr="00FC3B7C">
        <w:t>politiky</w:t>
      </w:r>
      <w:r w:rsidR="003376E1">
        <w:t xml:space="preserve"> </w:t>
      </w:r>
      <w:r w:rsidRPr="00FC3B7C">
        <w:t>trhu</w:t>
      </w:r>
      <w:r w:rsidR="003376E1">
        <w:t xml:space="preserve"> </w:t>
      </w:r>
      <w:r w:rsidRPr="00FC3B7C">
        <w:t>práce</w:t>
      </w:r>
      <w:r w:rsidR="003376E1">
        <w:t xml:space="preserve"> </w:t>
      </w:r>
      <w:r w:rsidRPr="00FC3B7C">
        <w:t>zde</w:t>
      </w:r>
      <w:r w:rsidR="003376E1">
        <w:t xml:space="preserve"> </w:t>
      </w:r>
      <w:r w:rsidRPr="00FC3B7C">
        <w:t>hrají</w:t>
      </w:r>
      <w:r w:rsidR="003376E1">
        <w:t xml:space="preserve"> </w:t>
      </w:r>
      <w:r w:rsidRPr="00FC3B7C">
        <w:t>významnou</w:t>
      </w:r>
      <w:r w:rsidR="003376E1">
        <w:t xml:space="preserve"> </w:t>
      </w:r>
      <w:r w:rsidRPr="00FC3B7C">
        <w:t>roli</w:t>
      </w:r>
      <w:r w:rsidR="003376E1">
        <w:t xml:space="preserve"> </w:t>
      </w:r>
      <w:r w:rsidRPr="00FC3B7C">
        <w:t>a</w:t>
      </w:r>
      <w:r w:rsidR="003376E1">
        <w:t xml:space="preserve"> </w:t>
      </w:r>
      <w:r w:rsidRPr="00FC3B7C">
        <w:t>existují</w:t>
      </w:r>
      <w:r w:rsidR="003376E1">
        <w:t xml:space="preserve"> </w:t>
      </w:r>
      <w:r w:rsidRPr="00FC3B7C">
        <w:t>zde</w:t>
      </w:r>
      <w:r w:rsidR="003376E1">
        <w:t xml:space="preserve"> </w:t>
      </w:r>
      <w:r w:rsidRPr="00FC3B7C">
        <w:t>přísné podmínky pro toho, kdo hledá práci (nutnost se čas to hlásit, zapojovat se do aktivit, spolupracovat atd.).</w:t>
      </w:r>
    </w:p>
    <w:p w14:paraId="4A6F42DB" w14:textId="77777777" w:rsidR="00CE6695" w:rsidRPr="00FC3B7C" w:rsidRDefault="00934E2E" w:rsidP="00F109C5">
      <w:r>
        <w:rPr>
          <w:b/>
        </w:rPr>
        <w:t>Skupina</w:t>
      </w:r>
      <w:r w:rsidR="00F109C5">
        <w:rPr>
          <w:b/>
        </w:rPr>
        <w:t>2</w:t>
      </w:r>
      <w:r w:rsidR="00CE6695" w:rsidRPr="00FC3B7C">
        <w:t xml:space="preserve"> </w:t>
      </w:r>
      <w:r w:rsidR="00F109C5">
        <w:br/>
        <w:t>P</w:t>
      </w:r>
      <w:r w:rsidR="00CE6695" w:rsidRPr="00FC3B7C">
        <w:t>atří sem státy s kontinentálním typem sociální politiky – Francie, Německo, Lucembursko</w:t>
      </w:r>
    </w:p>
    <w:p w14:paraId="4A6F42DC" w14:textId="77777777" w:rsidR="00CE6695" w:rsidRPr="00FC3B7C" w:rsidRDefault="00CE6695" w:rsidP="00D46B53">
      <w:pPr>
        <w:pStyle w:val="Odstavecseseznamem"/>
        <w:numPr>
          <w:ilvl w:val="0"/>
          <w:numId w:val="214"/>
        </w:numPr>
      </w:pPr>
      <w:r w:rsidRPr="00FC3B7C">
        <w:t>také poměrně velkorysý systém pojištění v</w:t>
      </w:r>
      <w:r w:rsidR="00F109C5">
        <w:t> </w:t>
      </w:r>
      <w:r w:rsidRPr="00FC3B7C">
        <w:t>nezaměstnanosti</w:t>
      </w:r>
    </w:p>
    <w:p w14:paraId="4A6F42DD" w14:textId="77777777" w:rsidR="00CE6695" w:rsidRPr="00FC3B7C" w:rsidRDefault="00CE6695" w:rsidP="00D46B53">
      <w:pPr>
        <w:pStyle w:val="Odstavecseseznamem"/>
        <w:numPr>
          <w:ilvl w:val="0"/>
          <w:numId w:val="214"/>
        </w:numPr>
      </w:pPr>
      <w:r w:rsidRPr="00FC3B7C">
        <w:t>doba pobírání dávek je obecně kratší</w:t>
      </w:r>
    </w:p>
    <w:p w14:paraId="4A6F42DE" w14:textId="77777777" w:rsidR="00CE6695" w:rsidRPr="00FC3B7C" w:rsidRDefault="00CE6695" w:rsidP="00D46B53">
      <w:pPr>
        <w:pStyle w:val="Odstavecseseznamem"/>
        <w:numPr>
          <w:ilvl w:val="0"/>
          <w:numId w:val="214"/>
        </w:numPr>
      </w:pPr>
      <w:r w:rsidRPr="00FC3B7C">
        <w:t>čisté náhradové poměry jsou nižší, než u zemí ve Skupině</w:t>
      </w:r>
    </w:p>
    <w:p w14:paraId="4A6F42DF" w14:textId="77777777" w:rsidR="00CE6695" w:rsidRPr="00FC3B7C" w:rsidRDefault="00CE6695" w:rsidP="00D46B53">
      <w:pPr>
        <w:pStyle w:val="Odstavecseseznamem"/>
        <w:numPr>
          <w:ilvl w:val="0"/>
          <w:numId w:val="214"/>
        </w:numPr>
      </w:pPr>
      <w:r w:rsidRPr="00FC3B7C">
        <w:t>pokrytí potřebných dávkami v nezaměstnanosti je velmi široké a zajišťuje, že</w:t>
      </w:r>
    </w:p>
    <w:p w14:paraId="4A6F42E0" w14:textId="77777777" w:rsidR="00CE6695" w:rsidRDefault="00CE6695" w:rsidP="00F109C5">
      <w:pPr>
        <w:ind w:left="1560" w:hanging="142"/>
      </w:pPr>
      <w:r w:rsidRPr="00FC3B7C">
        <w:t>většina z nezaměstnaných dávky v nezaměstnanosti pobírá</w:t>
      </w:r>
    </w:p>
    <w:p w14:paraId="4A6F42E2" w14:textId="77777777" w:rsidR="00CE6695" w:rsidRPr="00FC3B7C" w:rsidRDefault="00934E2E" w:rsidP="00F109C5">
      <w:r>
        <w:rPr>
          <w:b/>
        </w:rPr>
        <w:t>Skupina</w:t>
      </w:r>
      <w:r w:rsidR="00CE6695" w:rsidRPr="00FC3B7C">
        <w:rPr>
          <w:b/>
        </w:rPr>
        <w:t>3</w:t>
      </w:r>
      <w:r w:rsidR="00F109C5">
        <w:br/>
        <w:t>P</w:t>
      </w:r>
      <w:r w:rsidR="00CE6695" w:rsidRPr="00FC3B7C">
        <w:t>atří sem státy s liberálním typem sociální politiky – Velká Británie, Irsko</w:t>
      </w:r>
    </w:p>
    <w:p w14:paraId="4A6F42E3" w14:textId="77777777" w:rsidR="00CE6695" w:rsidRPr="00FC3B7C" w:rsidRDefault="00CE6695" w:rsidP="00D46B53">
      <w:pPr>
        <w:pStyle w:val="Odstavecseseznamem"/>
        <w:numPr>
          <w:ilvl w:val="0"/>
          <w:numId w:val="214"/>
        </w:numPr>
      </w:pPr>
      <w:r w:rsidRPr="00FC3B7C">
        <w:t>dávky v nezaměstnanosti poměrně skromné</w:t>
      </w:r>
    </w:p>
    <w:p w14:paraId="4A6F42E4" w14:textId="77777777" w:rsidR="00CE6695" w:rsidRPr="00FC3B7C" w:rsidRDefault="00CE6695" w:rsidP="00D46B53">
      <w:pPr>
        <w:pStyle w:val="Odstavecseseznamem"/>
        <w:numPr>
          <w:ilvl w:val="0"/>
          <w:numId w:val="214"/>
        </w:numPr>
      </w:pPr>
      <w:r w:rsidRPr="00FC3B7C">
        <w:t>krátké trvání</w:t>
      </w:r>
    </w:p>
    <w:p w14:paraId="4A6F42E5" w14:textId="77777777" w:rsidR="00CE6695" w:rsidRPr="00FC3B7C" w:rsidRDefault="00CE6695" w:rsidP="00D46B53">
      <w:pPr>
        <w:pStyle w:val="Odstavecseseznamem"/>
        <w:numPr>
          <w:ilvl w:val="0"/>
          <w:numId w:val="214"/>
        </w:numPr>
        <w:ind w:left="1418" w:hanging="698"/>
      </w:pPr>
      <w:r w:rsidRPr="00FC3B7C">
        <w:t>osoby z majetkově velmi chudých poměrů – vyšší dávky než v p</w:t>
      </w:r>
      <w:r w:rsidR="00F109C5">
        <w:t xml:space="preserve">řípadě „bohatších“ </w:t>
      </w:r>
      <w:r w:rsidRPr="00FC3B7C">
        <w:t>osob, a obvykle jsou poskytovány i na delší dobu</w:t>
      </w:r>
    </w:p>
    <w:p w14:paraId="4A6F42E6" w14:textId="77777777" w:rsidR="00CE6695" w:rsidRPr="00FC3B7C" w:rsidRDefault="00CE6695" w:rsidP="00D46B53">
      <w:pPr>
        <w:pStyle w:val="Odstavecseseznamem"/>
        <w:numPr>
          <w:ilvl w:val="0"/>
          <w:numId w:val="214"/>
        </w:numPr>
        <w:ind w:left="1418" w:hanging="698"/>
      </w:pPr>
      <w:r w:rsidRPr="00FC3B7C">
        <w:t>povinnosti pro ty, kteří hledají práci, jsou velmi přísné podobně jako ve skupině 1</w:t>
      </w:r>
    </w:p>
    <w:p w14:paraId="4A6F42E7" w14:textId="77777777" w:rsidR="00CE6695" w:rsidRPr="00FC3B7C" w:rsidRDefault="00CE6695" w:rsidP="00F109C5">
      <w:pPr>
        <w:ind w:left="1418" w:hanging="698"/>
      </w:pPr>
      <w:r w:rsidRPr="00FC3B7C">
        <w:tab/>
        <w:t>na rozdíl od skupiny 1 jsou zde ale výdaje na aktivní politiky trhu práce jen minimální</w:t>
      </w:r>
    </w:p>
    <w:p w14:paraId="4A6F42E8" w14:textId="77777777" w:rsidR="00CE6695" w:rsidRPr="00FC3B7C" w:rsidRDefault="00CE6695" w:rsidP="00F109C5">
      <w:pPr>
        <w:ind w:left="1418" w:hanging="698"/>
      </w:pPr>
      <w:r w:rsidRPr="00FC3B7C">
        <w:tab/>
        <w:t>dávky v nezaměstnanosti se významně liší v závislosti na věku a době placení příspěvku – ti, kteří přispívali delší dobu, a jsou starší, mají nárok na dlouhodobé výhody s velmi vysokými náhradovými poměry</w:t>
      </w:r>
    </w:p>
    <w:p w14:paraId="4A6F42E9" w14:textId="77777777" w:rsidR="00CE6695" w:rsidRPr="00FC3B7C" w:rsidRDefault="00CE6695" w:rsidP="00D46B53">
      <w:pPr>
        <w:pStyle w:val="Odstavecseseznamem"/>
        <w:numPr>
          <w:ilvl w:val="0"/>
          <w:numId w:val="214"/>
        </w:numPr>
      </w:pPr>
      <w:r w:rsidRPr="00FC3B7C">
        <w:t>zvýhodňováni jsou tak státní zaměstnanci</w:t>
      </w:r>
    </w:p>
    <w:p w14:paraId="4A6F42EA" w14:textId="77777777" w:rsidR="00CE6695" w:rsidRPr="00FC3B7C" w:rsidRDefault="00CE6695" w:rsidP="00D46B53">
      <w:pPr>
        <w:pStyle w:val="Odstavecseseznamem"/>
        <w:numPr>
          <w:ilvl w:val="0"/>
          <w:numId w:val="214"/>
        </w:numPr>
      </w:pPr>
      <w:r w:rsidRPr="00FC3B7C">
        <w:t>aktivní politika trhu práce je zde velmi rozšířená, ale často neúčinná</w:t>
      </w:r>
    </w:p>
    <w:p w14:paraId="4A6F42EB" w14:textId="77777777" w:rsidR="00CE6695" w:rsidRPr="00FC3B7C" w:rsidRDefault="00CE6695" w:rsidP="00D46B53">
      <w:pPr>
        <w:pStyle w:val="Odstavecseseznamem"/>
        <w:numPr>
          <w:ilvl w:val="0"/>
          <w:numId w:val="214"/>
        </w:numPr>
      </w:pPr>
      <w:r w:rsidRPr="00FC3B7C">
        <w:lastRenderedPageBreak/>
        <w:t>dávky v nezaměstnanosti jsou omezeny jak z hlediska výše, tak délky trvání</w:t>
      </w:r>
    </w:p>
    <w:p w14:paraId="4A6F42EC" w14:textId="77777777" w:rsidR="00CE6695" w:rsidRPr="00FC3B7C" w:rsidRDefault="00CE6695" w:rsidP="00D46B53">
      <w:pPr>
        <w:pStyle w:val="Odstavecseseznamem"/>
        <w:numPr>
          <w:ilvl w:val="0"/>
          <w:numId w:val="214"/>
        </w:numPr>
        <w:ind w:left="1418" w:hanging="698"/>
      </w:pPr>
      <w:r w:rsidRPr="00FC3B7C">
        <w:t>čisté náhradové poměry mohou být vysoké na začátku nezaměstnanosti, ale prudce poklesnou po prvním roce nezaměstnanosti</w:t>
      </w:r>
    </w:p>
    <w:p w14:paraId="4A6F42ED" w14:textId="77777777" w:rsidR="00CE6695" w:rsidRPr="00FC3B7C" w:rsidRDefault="00CE6695" w:rsidP="00D46B53">
      <w:pPr>
        <w:pStyle w:val="Odstavecseseznamem"/>
        <w:numPr>
          <w:ilvl w:val="0"/>
          <w:numId w:val="214"/>
        </w:numPr>
        <w:ind w:left="1418" w:hanging="698"/>
      </w:pPr>
      <w:r w:rsidRPr="00FC3B7C">
        <w:t>podpora v nezaměstnanosti hraje v těchto zemích vedlejší roli, i kvůli situaci na trhu práce</w:t>
      </w:r>
    </w:p>
    <w:p w14:paraId="4A6F42EE" w14:textId="77777777" w:rsidR="00CE6695" w:rsidRPr="00FC3B7C" w:rsidRDefault="00CE6695" w:rsidP="00D46B53">
      <w:pPr>
        <w:pStyle w:val="Odstavecseseznamem"/>
        <w:numPr>
          <w:ilvl w:val="0"/>
          <w:numId w:val="214"/>
        </w:numPr>
        <w:ind w:left="1418" w:hanging="698"/>
      </w:pPr>
      <w:r w:rsidRPr="00FC3B7C">
        <w:t>aktivní politika trhu práce a rozsah nabízených služeb úřady a dalšími organizacemi nejsou dobře rozvinuté</w:t>
      </w:r>
    </w:p>
    <w:p w14:paraId="4A6F42F0" w14:textId="323948D0" w:rsidR="00CE6695" w:rsidRPr="00FC3B7C" w:rsidRDefault="00CE6695" w:rsidP="00D46B53">
      <w:pPr>
        <w:pStyle w:val="Odstavecseseznamem"/>
        <w:numPr>
          <w:ilvl w:val="0"/>
          <w:numId w:val="214"/>
        </w:numPr>
        <w:spacing w:after="240" w:line="240" w:lineRule="auto"/>
        <w:ind w:left="1418" w:hanging="698"/>
      </w:pPr>
      <w:r w:rsidRPr="00FC3B7C">
        <w:t>povinnosti a podmínky nezaměstnaných (např. účast na školeních, pravidelná komunikace s úřadem atd.) nejsou nijak přísné</w:t>
      </w:r>
    </w:p>
    <w:p w14:paraId="4A6F42F1" w14:textId="6D3BDD78" w:rsidR="00CE6695" w:rsidRPr="00FC3B7C" w:rsidRDefault="004A163A" w:rsidP="0067182B">
      <w:pPr>
        <w:pStyle w:val="Nadpis3"/>
      </w:pPr>
      <w:r>
        <w:t xml:space="preserve"> </w:t>
      </w:r>
      <w:r w:rsidR="00CE6695" w:rsidRPr="004A163A">
        <w:rPr>
          <w:color w:val="1F3864" w:themeColor="accent1" w:themeShade="80"/>
        </w:rPr>
        <w:t>Institucionální zabezpečení SPZ</w:t>
      </w:r>
    </w:p>
    <w:p w14:paraId="4A6F42F2" w14:textId="77777777" w:rsidR="00CE6695" w:rsidRPr="00FC3B7C" w:rsidRDefault="00CE6695" w:rsidP="0067182B">
      <w:r w:rsidRPr="00FC3B7C">
        <w:t xml:space="preserve">Právní vztahy na poli zaměstnanosti jsou upraveny zejména zákonem o zaměstnanosti </w:t>
      </w:r>
      <w:r w:rsidR="00934E2E">
        <w:br/>
      </w:r>
      <w:r w:rsidRPr="00FC3B7C">
        <w:t>a zákoníkem práce.</w:t>
      </w:r>
    </w:p>
    <w:p w14:paraId="4A6F42F3" w14:textId="77777777" w:rsidR="00CE6695" w:rsidRPr="00FC3B7C" w:rsidRDefault="00CE6695" w:rsidP="0067182B">
      <w:r w:rsidRPr="00FC3B7C">
        <w:t>Institucionální zabezpečení vytváří stát spolu s dalšími subjekty – se zaměstnavateli, odborovými organizacemi a dalšími nestátními organizacemi:</w:t>
      </w:r>
    </w:p>
    <w:p w14:paraId="4A6F42F4" w14:textId="77777777" w:rsidR="00CE6695" w:rsidRPr="00FC3B7C" w:rsidRDefault="00CE6695" w:rsidP="0067182B">
      <w:r w:rsidRPr="00FC3B7C">
        <w:t>státní správu v oblasti SPZ vykonávají zejména MPSV a úřady práce (vedle toho působí soukromé agentury práce)</w:t>
      </w:r>
    </w:p>
    <w:p w14:paraId="4A6F42F5" w14:textId="77777777" w:rsidR="00CE6695" w:rsidRPr="00FC3B7C" w:rsidRDefault="00CE6695" w:rsidP="0067182B">
      <w:r w:rsidRPr="00FC3B7C">
        <w:t>odbory – v rámci kolektivního vyjednávání (v kolektivních smlouvách si mohou stanovit lepší podmínky než ty, které vyplývají ze zákoníku práce)</w:t>
      </w:r>
      <w:r w:rsidR="0067182B">
        <w:t xml:space="preserve"> </w:t>
      </w:r>
      <w:r w:rsidRPr="00FC3B7C">
        <w:t>velké podniky, které si vytváří svá interní pravidla a předpisy</w:t>
      </w:r>
    </w:p>
    <w:p w14:paraId="4A6F42F6" w14:textId="77777777" w:rsidR="00CE6695" w:rsidRPr="00FC3B7C" w:rsidRDefault="00CE6695" w:rsidP="00437200">
      <w:pPr>
        <w:spacing w:after="240"/>
      </w:pPr>
      <w:r w:rsidRPr="00FC3B7C">
        <w:t>sociální síly – velké sociální skupiny, které si mohou vynutit lepší pozici na trhu práce (např. lékaři a zdravotníci)</w:t>
      </w:r>
    </w:p>
    <w:p w14:paraId="4A6F42F9" w14:textId="2F9DB5C3" w:rsidR="00CE6695" w:rsidRPr="004A163A" w:rsidRDefault="00CE6695" w:rsidP="00437200">
      <w:pPr>
        <w:pStyle w:val="Nadpis4"/>
        <w:spacing w:after="240"/>
        <w:rPr>
          <w:color w:val="1F3864" w:themeColor="accent1" w:themeShade="80"/>
        </w:rPr>
      </w:pPr>
      <w:r w:rsidRPr="004A163A">
        <w:rPr>
          <w:color w:val="1F3864" w:themeColor="accent1" w:themeShade="80"/>
        </w:rPr>
        <w:t>Základní právní předpisy o zaměstnanosti</w:t>
      </w:r>
    </w:p>
    <w:p w14:paraId="4A6F42FA" w14:textId="77777777" w:rsidR="00CE6695" w:rsidRPr="00FC3B7C" w:rsidRDefault="00CE6695" w:rsidP="00D46B53">
      <w:pPr>
        <w:pStyle w:val="Odstavecseseznamem"/>
        <w:numPr>
          <w:ilvl w:val="0"/>
          <w:numId w:val="214"/>
        </w:numPr>
        <w:ind w:left="142" w:hanging="142"/>
      </w:pPr>
      <w:r w:rsidRPr="00FC3B7C">
        <w:t>Zákon č. 435/2004 Sb., o zaměstnanosti („zákon o zaměstnanosti“)</w:t>
      </w:r>
    </w:p>
    <w:p w14:paraId="4A6F42FB" w14:textId="77777777" w:rsidR="00CE6695" w:rsidRPr="00FC3B7C" w:rsidRDefault="00CE6695" w:rsidP="00D46B53">
      <w:pPr>
        <w:pStyle w:val="Odstavecseseznamem"/>
        <w:numPr>
          <w:ilvl w:val="0"/>
          <w:numId w:val="214"/>
        </w:numPr>
        <w:ind w:left="142" w:hanging="142"/>
      </w:pPr>
      <w:r w:rsidRPr="00FC3B7C">
        <w:t>Zákon č. 73/2011 Sb., o Úřadu práce České republiky a změně souvisejících zákonů</w:t>
      </w:r>
    </w:p>
    <w:p w14:paraId="4A6F42FC" w14:textId="77777777" w:rsidR="00CE6695" w:rsidRPr="00FC3B7C" w:rsidRDefault="00CE6695" w:rsidP="00D46B53">
      <w:pPr>
        <w:pStyle w:val="Odstavecseseznamem"/>
        <w:numPr>
          <w:ilvl w:val="0"/>
          <w:numId w:val="214"/>
        </w:numPr>
        <w:ind w:left="142" w:hanging="142"/>
      </w:pPr>
      <w:r w:rsidRPr="00FC3B7C">
        <w:t>Vyhláška MPSV č. 518/2004 Sb., kterou s e provádí zákon č. 435/2004 Sb., o zaměstnanosti („prováděcí vyhláška“)</w:t>
      </w:r>
    </w:p>
    <w:p w14:paraId="4A6F42FD" w14:textId="77777777" w:rsidR="00CE6695" w:rsidRPr="00FC3B7C" w:rsidRDefault="00CE6695" w:rsidP="00D46B53">
      <w:pPr>
        <w:pStyle w:val="Odstavecseseznamem"/>
        <w:numPr>
          <w:ilvl w:val="0"/>
          <w:numId w:val="214"/>
        </w:numPr>
        <w:ind w:left="142" w:hanging="142"/>
      </w:pPr>
      <w:r w:rsidRPr="00FC3B7C">
        <w:t>Vyhláška MPSV č. 519/2004 Sb., o rekvalifikaci uchazečů o zaměstnání a zájemců</w:t>
      </w:r>
      <w:r w:rsidR="00934E2E">
        <w:br/>
      </w:r>
      <w:r w:rsidRPr="00FC3B7C">
        <w:t xml:space="preserve"> o zaměstnání a o rekvalifikaci zaměstnanců</w:t>
      </w:r>
    </w:p>
    <w:p w14:paraId="4A6F42FE" w14:textId="77777777" w:rsidR="00CE6695" w:rsidRPr="00FC3B7C" w:rsidRDefault="00CE6695" w:rsidP="00D46B53">
      <w:pPr>
        <w:pStyle w:val="Odstavecseseznamem"/>
        <w:numPr>
          <w:ilvl w:val="0"/>
          <w:numId w:val="214"/>
        </w:numPr>
        <w:ind w:left="142" w:hanging="142"/>
      </w:pPr>
      <w:r w:rsidRPr="00FC3B7C">
        <w:t>Nařízení vlády č. 515/2004 Sb., o hmotné podpoře na vytváření pracovních míst a hmotné podpoře rekvalifikace nebo školení zaměstnanců v rámci investičních pobídek</w:t>
      </w:r>
    </w:p>
    <w:p w14:paraId="4A6F42FF" w14:textId="77777777" w:rsidR="00CE6695" w:rsidRPr="00FC3B7C" w:rsidRDefault="00CE6695" w:rsidP="00CE6695">
      <w:pPr>
        <w:spacing w:line="240" w:lineRule="auto"/>
      </w:pPr>
    </w:p>
    <w:p w14:paraId="4A6F4300" w14:textId="77777777" w:rsidR="00CE6695" w:rsidRPr="00FC3B7C" w:rsidRDefault="00CE6695" w:rsidP="00CE6695">
      <w:pPr>
        <w:spacing w:line="240" w:lineRule="auto"/>
        <w:rPr>
          <w:b/>
        </w:rPr>
      </w:pPr>
    </w:p>
    <w:p w14:paraId="4A6F4301" w14:textId="77777777" w:rsidR="00CE6695" w:rsidRPr="00FC3B7C" w:rsidRDefault="00CE6695" w:rsidP="00CE6695">
      <w:pPr>
        <w:spacing w:line="240" w:lineRule="auto"/>
        <w:rPr>
          <w:b/>
        </w:rPr>
      </w:pPr>
    </w:p>
    <w:p w14:paraId="4A6F4303" w14:textId="71EDBEB5" w:rsidR="00CE6695" w:rsidRPr="004A163A" w:rsidRDefault="00CE6695" w:rsidP="00437200">
      <w:pPr>
        <w:pStyle w:val="Nadpis4"/>
        <w:spacing w:after="240" w:line="240" w:lineRule="auto"/>
        <w:rPr>
          <w:color w:val="1F3864" w:themeColor="accent1" w:themeShade="80"/>
        </w:rPr>
      </w:pPr>
      <w:r w:rsidRPr="004A163A">
        <w:rPr>
          <w:color w:val="1F3864" w:themeColor="accent1" w:themeShade="80"/>
        </w:rPr>
        <w:lastRenderedPageBreak/>
        <w:t>Institucionální změny</w:t>
      </w:r>
    </w:p>
    <w:p w14:paraId="4A6F4304" w14:textId="77777777" w:rsidR="00CE6695" w:rsidRPr="00FC3B7C" w:rsidRDefault="00CE6695" w:rsidP="0067182B">
      <w:r w:rsidRPr="00FC3B7C">
        <w:t xml:space="preserve">Přivýdělek k podpoře není možný – v r. 2010 bylo možné si při pobírání podpory </w:t>
      </w:r>
      <w:r w:rsidR="0067182B">
        <w:br/>
      </w:r>
      <w:r w:rsidRPr="00FC3B7C">
        <w:t>v nezaměstnanosti přivydělat polovinu minimální mzdy (tehdy 4000 Kč), toto není dále možné od r. 2011; pokud si uchazeč chce přivydělávat na částečný úvazek, přijde o podporu.</w:t>
      </w:r>
    </w:p>
    <w:p w14:paraId="4A6F4306" w14:textId="0EA98F28" w:rsidR="00CE6695" w:rsidRPr="00FC3B7C" w:rsidRDefault="00CE6695" w:rsidP="00437200">
      <w:pPr>
        <w:spacing w:after="240"/>
      </w:pPr>
      <w:r w:rsidRPr="00FC3B7C">
        <w:t>Odstupné od 1. 1. 2011 – uchazeč pobírající odstupné, odbytné nebo odchodné již po dobu pobírání tohoto příspěvku nemá nárok na podporu v nezaměstnanosti; podpůrčí doba se však nekrátí, pouze se posune o dobu pobírání odstupného atd.</w:t>
      </w:r>
    </w:p>
    <w:p w14:paraId="4A6F4308" w14:textId="2F022827" w:rsidR="00CE6695" w:rsidRPr="004A163A" w:rsidRDefault="004A163A" w:rsidP="00437200">
      <w:pPr>
        <w:pStyle w:val="Nadpis3"/>
        <w:spacing w:after="240"/>
        <w:rPr>
          <w:color w:val="1F3864" w:themeColor="accent1" w:themeShade="80"/>
        </w:rPr>
      </w:pPr>
      <w:r w:rsidRPr="004A163A">
        <w:rPr>
          <w:color w:val="1F3864" w:themeColor="accent1" w:themeShade="80"/>
        </w:rPr>
        <w:t xml:space="preserve"> </w:t>
      </w:r>
      <w:r w:rsidR="00CE6695" w:rsidRPr="004A163A">
        <w:rPr>
          <w:color w:val="1F3864" w:themeColor="accent1" w:themeShade="80"/>
        </w:rPr>
        <w:t>Účinnost politiky zaměstnanosti</w:t>
      </w:r>
    </w:p>
    <w:p w14:paraId="4A6F4309" w14:textId="77777777" w:rsidR="00CE6695" w:rsidRPr="004A163A" w:rsidRDefault="00CE6695" w:rsidP="00F40907">
      <w:pPr>
        <w:pStyle w:val="Nadpis4"/>
        <w:rPr>
          <w:color w:val="1F3864" w:themeColor="accent1" w:themeShade="80"/>
        </w:rPr>
      </w:pPr>
      <w:r w:rsidRPr="004A163A">
        <w:rPr>
          <w:color w:val="1F3864" w:themeColor="accent1" w:themeShade="80"/>
        </w:rPr>
        <w:t>Hodnocení účinnosti politiky zaměstnanosti</w:t>
      </w:r>
    </w:p>
    <w:p w14:paraId="4A6F430A" w14:textId="77777777" w:rsidR="00CE6695" w:rsidRPr="00FC3B7C" w:rsidRDefault="00CE6695" w:rsidP="00F40907">
      <w:r w:rsidRPr="00FC3B7C">
        <w:t>V souvislosti s nároky na rozsah, cílenost, kvalitu a pracovní náročnost opatření politiky zaměstnanosti se dostávají do popředí otázky po přínosu a účincích těchto opatření – jde konkrétně o to, jak jsou programy účinné.</w:t>
      </w:r>
    </w:p>
    <w:p w14:paraId="4A6F430B" w14:textId="77777777" w:rsidR="00CE6695" w:rsidRPr="00FC3B7C" w:rsidRDefault="00CE6695" w:rsidP="00F40907">
      <w:r w:rsidRPr="00FC3B7C">
        <w:t xml:space="preserve">Zhodnocení jejich přínosu vyžaduje porovnání se situací, kdy opatření nejsou uplatněna, </w:t>
      </w:r>
      <w:r w:rsidR="00F40907">
        <w:br/>
      </w:r>
      <w:r w:rsidRPr="00FC3B7C">
        <w:t>i porovnání přínosů různých opatření mezi sebou a konečně porovnání přínosu opatření pro různé skupiny nezaměstnaných.</w:t>
      </w:r>
    </w:p>
    <w:p w14:paraId="4A6F430C" w14:textId="77777777" w:rsidR="00CE6695" w:rsidRPr="00FC3B7C" w:rsidRDefault="00CE6695" w:rsidP="00F40907">
      <w:r w:rsidRPr="00FC3B7C">
        <w:t xml:space="preserve">V zemích Evropské unie či v zemích OECD představuje hodnocení programů PZ jeden </w:t>
      </w:r>
      <w:r w:rsidR="00F40907">
        <w:br/>
      </w:r>
      <w:r w:rsidRPr="00FC3B7C">
        <w:t>z hlavních směrů hodnocení veřejných programů.</w:t>
      </w:r>
    </w:p>
    <w:p w14:paraId="4A6F430D" w14:textId="77777777" w:rsidR="00CE6695" w:rsidRPr="00FC3B7C" w:rsidRDefault="00CE6695" w:rsidP="00F40907">
      <w:r w:rsidRPr="00FC3B7C">
        <w:t>Zabývají se jím jak instituce veřejných služeb zaměstnanosti, tak i výzkumné instituce.</w:t>
      </w:r>
    </w:p>
    <w:p w14:paraId="4A6F430E" w14:textId="77777777" w:rsidR="00CE6695" w:rsidRPr="00FC3B7C" w:rsidRDefault="00CE6695" w:rsidP="00437200">
      <w:pPr>
        <w:spacing w:after="240"/>
      </w:pPr>
      <w:r w:rsidRPr="00FC3B7C">
        <w:t>Veřejné služby zaměstnanosti přitom sledují stanovené indikátory výkonu a případné účinky politiky zaměstnanosti, jež jsou východiskem pro operativní hodnocení a jsou doplněny dalšími výzkumnými metodami, jako je typicky následné sledování účastníků programů. Tento zájem roste nejnověji v souvislosti s poskytováním prostředků Evropského sociálního fondu členským zemím EU. Evropská komise klade jednoznačné požadavky na kontrolu vynaložení prostředků, zvláště na vyhodnocení účinků opatření jako základní podmínku pro poskytnutí příslušných fondů.</w:t>
      </w:r>
    </w:p>
    <w:p w14:paraId="4A6F4311" w14:textId="3B5FB211" w:rsidR="00CE6695" w:rsidRPr="004A163A" w:rsidRDefault="00CE6695" w:rsidP="00437200">
      <w:pPr>
        <w:pStyle w:val="Nadpis4"/>
        <w:spacing w:after="240" w:line="240" w:lineRule="auto"/>
        <w:rPr>
          <w:color w:val="1F3864" w:themeColor="accent1" w:themeShade="80"/>
        </w:rPr>
      </w:pPr>
      <w:r w:rsidRPr="004A163A">
        <w:rPr>
          <w:color w:val="1F3864" w:themeColor="accent1" w:themeShade="80"/>
        </w:rPr>
        <w:t>Zdroje dat</w:t>
      </w:r>
    </w:p>
    <w:p w14:paraId="4A6F4312" w14:textId="77777777" w:rsidR="00CE6695" w:rsidRPr="00FC3B7C" w:rsidRDefault="00CE6695" w:rsidP="00F40907">
      <w:r w:rsidRPr="00FC3B7C">
        <w:t>Domácnostní šetření.</w:t>
      </w:r>
    </w:p>
    <w:p w14:paraId="4A6F4313" w14:textId="77777777" w:rsidR="00CE6695" w:rsidRPr="00FC3B7C" w:rsidRDefault="00CE6695" w:rsidP="00F40907">
      <w:r w:rsidRPr="00FC3B7C">
        <w:t>Nejdůležitějším domácnostním šetřením je výběrové šetření pracovních sil (VŠPS). Od roku</w:t>
      </w:r>
    </w:p>
    <w:p w14:paraId="4A6F4314" w14:textId="77777777" w:rsidR="00CE6695" w:rsidRPr="00FC3B7C" w:rsidRDefault="00CE6695" w:rsidP="00F40907">
      <w:r w:rsidRPr="00FC3B7C">
        <w:t xml:space="preserve">1993 poskytuje informace o výši a struktuře zaměstnanosti, nezaměstnanosti </w:t>
      </w:r>
      <w:r w:rsidR="00F40907">
        <w:br/>
      </w:r>
      <w:r w:rsidRPr="00FC3B7C">
        <w:t>a podzaměstnanosti. Šetření je řízeno podle mezinárodních definic a doporučení Mezinárodní</w:t>
      </w:r>
    </w:p>
    <w:p w14:paraId="4A6F4315" w14:textId="77777777" w:rsidR="00CE6695" w:rsidRPr="00FC3B7C" w:rsidRDefault="00CE6695" w:rsidP="00F40907">
      <w:r w:rsidRPr="00FC3B7C">
        <w:t>organizace práce (ILO).</w:t>
      </w:r>
    </w:p>
    <w:p w14:paraId="4A6F4316" w14:textId="77777777" w:rsidR="00CE6695" w:rsidRPr="00FC3B7C" w:rsidRDefault="00CE6695" w:rsidP="00F40907">
      <w:pPr>
        <w:rPr>
          <w:u w:val="single"/>
        </w:rPr>
      </w:pPr>
      <w:r w:rsidRPr="00FC3B7C">
        <w:rPr>
          <w:u w:val="single"/>
        </w:rPr>
        <w:lastRenderedPageBreak/>
        <w:t>Podniková šetření</w:t>
      </w:r>
    </w:p>
    <w:p w14:paraId="4A6F4317" w14:textId="69695BEA" w:rsidR="00CE6695" w:rsidRPr="00FC3B7C" w:rsidRDefault="00FE4A28" w:rsidP="00F40907">
      <w:r w:rsidRPr="00FC3B7C">
        <w:t>Evidenční</w:t>
      </w:r>
      <w:r w:rsidR="00CE6695" w:rsidRPr="00FC3B7C">
        <w:t xml:space="preserve"> počty zaměstnanců a objemy mzdových prostředků jsou zjišťovány podnikovými výkazy Českého statistického úřadu.</w:t>
      </w:r>
    </w:p>
    <w:p w14:paraId="4A6F4318" w14:textId="77777777" w:rsidR="00CE6695" w:rsidRPr="00FC3B7C" w:rsidRDefault="00CE6695" w:rsidP="00F40907">
      <w:r w:rsidRPr="00FC3B7C">
        <w:t xml:space="preserve">Na základě těchto údajů jsou vypočítávány přehledy o vývoji počtu zaměstnanců </w:t>
      </w:r>
      <w:r w:rsidR="00F40907">
        <w:br/>
      </w:r>
      <w:r w:rsidRPr="00FC3B7C">
        <w:t>a průměrných mezd, v třídění zejména za odvětví.</w:t>
      </w:r>
    </w:p>
    <w:p w14:paraId="4A6F4319" w14:textId="77777777" w:rsidR="00CE6695" w:rsidRPr="00FC3B7C" w:rsidRDefault="00CE6695" w:rsidP="00F40907">
      <w:r w:rsidRPr="00FC3B7C">
        <w:t>Čtvrtletně jsou však zjišťovány jen podniky s 20 a více zaměstnanci a výsledky za menší subjekty se odhadují.</w:t>
      </w:r>
    </w:p>
    <w:p w14:paraId="4A6F431A" w14:textId="77777777" w:rsidR="00CE6695" w:rsidRPr="00FC3B7C" w:rsidRDefault="00CE6695" w:rsidP="00F40907">
      <w:pPr>
        <w:rPr>
          <w:u w:val="single"/>
        </w:rPr>
      </w:pPr>
      <w:r w:rsidRPr="00FC3B7C">
        <w:rPr>
          <w:u w:val="single"/>
        </w:rPr>
        <w:t>Administrativní zdroje dat</w:t>
      </w:r>
    </w:p>
    <w:p w14:paraId="4A6F431B" w14:textId="77777777" w:rsidR="00CE6695" w:rsidRPr="00FC3B7C" w:rsidRDefault="00CE6695" w:rsidP="00F40907">
      <w:r w:rsidRPr="00FC3B7C">
        <w:t>Dalším zdrojem údajů o nezaměstnanosti jsou statistiky úřadů práce, které zjišťují vedle počtu uchazečů o zaměstnání (tzv. registrovaná nezaměstnanost) také počty volných pracovních míst.</w:t>
      </w:r>
    </w:p>
    <w:p w14:paraId="4A6F431C" w14:textId="77777777" w:rsidR="00CE6695" w:rsidRPr="00FC3B7C" w:rsidRDefault="00CE6695" w:rsidP="00CE6695">
      <w:pPr>
        <w:spacing w:line="240" w:lineRule="auto"/>
      </w:pPr>
    </w:p>
    <w:p w14:paraId="4A6F4321" w14:textId="3F6779D3" w:rsidR="00CE6695" w:rsidRPr="00FC3B7C" w:rsidRDefault="00CE6695" w:rsidP="00C11755">
      <w:pPr>
        <w:pStyle w:val="Nadpis3"/>
        <w:spacing w:after="240"/>
      </w:pPr>
      <w:r w:rsidRPr="00FC3B7C">
        <w:tab/>
      </w:r>
      <w:r w:rsidRPr="004A163A">
        <w:rPr>
          <w:color w:val="1F3864" w:themeColor="accent1" w:themeShade="80"/>
        </w:rPr>
        <w:t>Výdaje na státní politiku zaměstnanosti</w:t>
      </w:r>
    </w:p>
    <w:p w14:paraId="2DFDDCE6" w14:textId="090CA28A" w:rsidR="00C11755" w:rsidRPr="00244BB9" w:rsidRDefault="00CE6695" w:rsidP="00C11755">
      <w:pPr>
        <w:spacing w:after="240" w:line="240" w:lineRule="auto"/>
        <w:rPr>
          <w:b/>
          <w:bCs/>
        </w:rPr>
      </w:pPr>
      <w:r w:rsidRPr="00827023">
        <w:rPr>
          <w:b/>
          <w:bCs/>
        </w:rPr>
        <w:t>Ta</w:t>
      </w:r>
      <w:r w:rsidRPr="00244BB9">
        <w:rPr>
          <w:b/>
          <w:bCs/>
        </w:rPr>
        <w:t xml:space="preserve">bulka č. </w:t>
      </w:r>
      <w:r w:rsidR="00D32A9F" w:rsidRPr="00244BB9">
        <w:rPr>
          <w:b/>
          <w:bCs/>
        </w:rPr>
        <w:t>2</w:t>
      </w:r>
      <w:r w:rsidRPr="00244BB9">
        <w:rPr>
          <w:b/>
          <w:bCs/>
        </w:rPr>
        <w:t>: Výdaje na státní politiku zaměstnanosti v tis. Kč</w:t>
      </w:r>
    </w:p>
    <w:tbl>
      <w:tblPr>
        <w:tblW w:w="8778" w:type="dxa"/>
        <w:tblCellMar>
          <w:left w:w="70" w:type="dxa"/>
          <w:right w:w="70" w:type="dxa"/>
        </w:tblCellMar>
        <w:tblLook w:val="04A0" w:firstRow="1" w:lastRow="0" w:firstColumn="1" w:lastColumn="0" w:noHBand="0" w:noVBand="1"/>
      </w:tblPr>
      <w:tblGrid>
        <w:gridCol w:w="2061"/>
        <w:gridCol w:w="1106"/>
        <w:gridCol w:w="1118"/>
        <w:gridCol w:w="1117"/>
        <w:gridCol w:w="1093"/>
        <w:gridCol w:w="1132"/>
        <w:gridCol w:w="1151"/>
      </w:tblGrid>
      <w:tr w:rsidR="00C11755" w:rsidRPr="00A11ECB" w14:paraId="03709F0E" w14:textId="77777777" w:rsidTr="00C11755">
        <w:trPr>
          <w:trHeight w:val="255"/>
        </w:trPr>
        <w:tc>
          <w:tcPr>
            <w:tcW w:w="2061" w:type="dxa"/>
            <w:tcBorders>
              <w:top w:val="single" w:sz="8" w:space="0" w:color="auto"/>
              <w:left w:val="nil"/>
              <w:bottom w:val="nil"/>
              <w:right w:val="nil"/>
            </w:tcBorders>
            <w:shd w:val="clear" w:color="auto" w:fill="auto"/>
            <w:noWrap/>
            <w:vAlign w:val="bottom"/>
            <w:hideMark/>
          </w:tcPr>
          <w:p w14:paraId="7F102689" w14:textId="77777777" w:rsidR="00C11755" w:rsidRPr="00A11ECB" w:rsidRDefault="00C11755" w:rsidP="00C11755">
            <w:pPr>
              <w:spacing w:line="240" w:lineRule="auto"/>
              <w:jc w:val="right"/>
              <w:rPr>
                <w:rFonts w:ascii="Arial CE" w:eastAsia="Times New Roman" w:hAnsi="Arial CE" w:cs="Arial CE"/>
                <w:b/>
                <w:bCs/>
                <w:sz w:val="20"/>
                <w:szCs w:val="20"/>
              </w:rPr>
            </w:pPr>
            <w:r w:rsidRPr="00A11ECB">
              <w:rPr>
                <w:rFonts w:ascii="Arial CE" w:eastAsia="Times New Roman" w:hAnsi="Arial CE" w:cs="Arial CE"/>
                <w:b/>
                <w:bCs/>
                <w:sz w:val="20"/>
                <w:szCs w:val="20"/>
              </w:rPr>
              <w:t>2006</w:t>
            </w:r>
          </w:p>
        </w:tc>
        <w:tc>
          <w:tcPr>
            <w:tcW w:w="1106" w:type="dxa"/>
            <w:tcBorders>
              <w:top w:val="single" w:sz="8" w:space="0" w:color="auto"/>
              <w:left w:val="nil"/>
              <w:bottom w:val="nil"/>
              <w:right w:val="nil"/>
            </w:tcBorders>
            <w:shd w:val="clear" w:color="auto" w:fill="auto"/>
            <w:noWrap/>
            <w:vAlign w:val="bottom"/>
            <w:hideMark/>
          </w:tcPr>
          <w:p w14:paraId="29A364CF" w14:textId="77777777" w:rsidR="00C11755" w:rsidRPr="00A11ECB" w:rsidRDefault="00C11755" w:rsidP="00C11755">
            <w:pPr>
              <w:spacing w:line="240" w:lineRule="auto"/>
              <w:jc w:val="right"/>
              <w:rPr>
                <w:rFonts w:ascii="Arial CE" w:eastAsia="Times New Roman" w:hAnsi="Arial CE" w:cs="Arial CE"/>
                <w:b/>
                <w:bCs/>
                <w:sz w:val="20"/>
                <w:szCs w:val="20"/>
              </w:rPr>
            </w:pPr>
            <w:r w:rsidRPr="00A11ECB">
              <w:rPr>
                <w:rFonts w:ascii="Arial CE" w:eastAsia="Times New Roman" w:hAnsi="Arial CE" w:cs="Arial CE"/>
                <w:b/>
                <w:bCs/>
                <w:sz w:val="20"/>
                <w:szCs w:val="20"/>
              </w:rPr>
              <w:t>2007</w:t>
            </w:r>
          </w:p>
        </w:tc>
        <w:tc>
          <w:tcPr>
            <w:tcW w:w="1118" w:type="dxa"/>
            <w:tcBorders>
              <w:top w:val="single" w:sz="8" w:space="0" w:color="auto"/>
              <w:left w:val="nil"/>
              <w:bottom w:val="nil"/>
              <w:right w:val="nil"/>
            </w:tcBorders>
            <w:shd w:val="clear" w:color="auto" w:fill="auto"/>
            <w:noWrap/>
            <w:vAlign w:val="bottom"/>
            <w:hideMark/>
          </w:tcPr>
          <w:p w14:paraId="7C5F2998" w14:textId="77777777" w:rsidR="00C11755" w:rsidRPr="00A11ECB" w:rsidRDefault="00C11755" w:rsidP="00C11755">
            <w:pPr>
              <w:spacing w:line="240" w:lineRule="auto"/>
              <w:jc w:val="right"/>
              <w:rPr>
                <w:rFonts w:ascii="Arial CE" w:eastAsia="Times New Roman" w:hAnsi="Arial CE" w:cs="Arial CE"/>
                <w:b/>
                <w:bCs/>
                <w:sz w:val="20"/>
                <w:szCs w:val="20"/>
              </w:rPr>
            </w:pPr>
            <w:r w:rsidRPr="00A11ECB">
              <w:rPr>
                <w:rFonts w:ascii="Arial CE" w:eastAsia="Times New Roman" w:hAnsi="Arial CE" w:cs="Arial CE"/>
                <w:b/>
                <w:bCs/>
                <w:sz w:val="20"/>
                <w:szCs w:val="20"/>
              </w:rPr>
              <w:t>2008</w:t>
            </w:r>
          </w:p>
        </w:tc>
        <w:tc>
          <w:tcPr>
            <w:tcW w:w="1117" w:type="dxa"/>
            <w:tcBorders>
              <w:top w:val="single" w:sz="8" w:space="0" w:color="auto"/>
              <w:left w:val="nil"/>
              <w:bottom w:val="nil"/>
              <w:right w:val="nil"/>
            </w:tcBorders>
            <w:shd w:val="clear" w:color="auto" w:fill="auto"/>
            <w:noWrap/>
            <w:vAlign w:val="bottom"/>
            <w:hideMark/>
          </w:tcPr>
          <w:p w14:paraId="69CBA899" w14:textId="77777777" w:rsidR="00C11755" w:rsidRPr="00A11ECB" w:rsidRDefault="00C11755" w:rsidP="00C11755">
            <w:pPr>
              <w:spacing w:line="240" w:lineRule="auto"/>
              <w:jc w:val="right"/>
              <w:rPr>
                <w:rFonts w:ascii="Arial CE" w:eastAsia="Times New Roman" w:hAnsi="Arial CE" w:cs="Arial CE"/>
                <w:b/>
                <w:bCs/>
                <w:sz w:val="20"/>
                <w:szCs w:val="20"/>
              </w:rPr>
            </w:pPr>
            <w:r w:rsidRPr="00A11ECB">
              <w:rPr>
                <w:rFonts w:ascii="Arial CE" w:eastAsia="Times New Roman" w:hAnsi="Arial CE" w:cs="Arial CE"/>
                <w:b/>
                <w:bCs/>
                <w:sz w:val="20"/>
                <w:szCs w:val="20"/>
              </w:rPr>
              <w:t>2009</w:t>
            </w:r>
          </w:p>
        </w:tc>
        <w:tc>
          <w:tcPr>
            <w:tcW w:w="1093" w:type="dxa"/>
            <w:tcBorders>
              <w:top w:val="single" w:sz="8" w:space="0" w:color="auto"/>
              <w:left w:val="nil"/>
              <w:bottom w:val="nil"/>
              <w:right w:val="nil"/>
            </w:tcBorders>
            <w:shd w:val="clear" w:color="auto" w:fill="auto"/>
            <w:noWrap/>
            <w:vAlign w:val="bottom"/>
            <w:hideMark/>
          </w:tcPr>
          <w:p w14:paraId="450FE380" w14:textId="77777777" w:rsidR="00C11755" w:rsidRPr="00A11ECB" w:rsidRDefault="00C11755" w:rsidP="00C11755">
            <w:pPr>
              <w:spacing w:line="240" w:lineRule="auto"/>
              <w:jc w:val="right"/>
              <w:rPr>
                <w:rFonts w:ascii="Arial CE" w:eastAsia="Times New Roman" w:hAnsi="Arial CE" w:cs="Arial CE"/>
                <w:b/>
                <w:bCs/>
                <w:sz w:val="20"/>
                <w:szCs w:val="20"/>
              </w:rPr>
            </w:pPr>
            <w:r w:rsidRPr="00A11ECB">
              <w:rPr>
                <w:rFonts w:ascii="Arial CE" w:eastAsia="Times New Roman" w:hAnsi="Arial CE" w:cs="Arial CE"/>
                <w:b/>
                <w:bCs/>
                <w:sz w:val="20"/>
                <w:szCs w:val="20"/>
              </w:rPr>
              <w:t>2010</w:t>
            </w:r>
          </w:p>
        </w:tc>
        <w:tc>
          <w:tcPr>
            <w:tcW w:w="1132" w:type="dxa"/>
            <w:tcBorders>
              <w:top w:val="single" w:sz="8" w:space="0" w:color="auto"/>
              <w:left w:val="nil"/>
              <w:bottom w:val="nil"/>
              <w:right w:val="nil"/>
            </w:tcBorders>
            <w:shd w:val="clear" w:color="auto" w:fill="auto"/>
            <w:noWrap/>
            <w:vAlign w:val="bottom"/>
            <w:hideMark/>
          </w:tcPr>
          <w:p w14:paraId="0D979140" w14:textId="77777777" w:rsidR="00C11755" w:rsidRPr="00A11ECB" w:rsidRDefault="00C11755" w:rsidP="00C11755">
            <w:pPr>
              <w:spacing w:line="240" w:lineRule="auto"/>
              <w:jc w:val="right"/>
              <w:rPr>
                <w:rFonts w:ascii="Arial CE" w:eastAsia="Times New Roman" w:hAnsi="Arial CE" w:cs="Arial CE"/>
                <w:b/>
                <w:bCs/>
                <w:sz w:val="20"/>
                <w:szCs w:val="20"/>
              </w:rPr>
            </w:pPr>
            <w:r w:rsidRPr="00A11ECB">
              <w:rPr>
                <w:rFonts w:ascii="Arial CE" w:eastAsia="Times New Roman" w:hAnsi="Arial CE" w:cs="Arial CE"/>
                <w:b/>
                <w:bCs/>
                <w:sz w:val="20"/>
                <w:szCs w:val="20"/>
              </w:rPr>
              <w:t>2011</w:t>
            </w:r>
          </w:p>
        </w:tc>
        <w:tc>
          <w:tcPr>
            <w:tcW w:w="1151" w:type="dxa"/>
            <w:tcBorders>
              <w:top w:val="single" w:sz="8" w:space="0" w:color="auto"/>
              <w:left w:val="nil"/>
              <w:bottom w:val="nil"/>
              <w:right w:val="nil"/>
            </w:tcBorders>
            <w:shd w:val="clear" w:color="auto" w:fill="auto"/>
            <w:noWrap/>
            <w:vAlign w:val="bottom"/>
            <w:hideMark/>
          </w:tcPr>
          <w:p w14:paraId="0AABFF5F" w14:textId="77777777" w:rsidR="00C11755" w:rsidRPr="00A11ECB" w:rsidRDefault="00C11755" w:rsidP="00C11755">
            <w:pPr>
              <w:spacing w:line="240" w:lineRule="auto"/>
              <w:jc w:val="right"/>
              <w:rPr>
                <w:rFonts w:ascii="Arial CE" w:eastAsia="Times New Roman" w:hAnsi="Arial CE" w:cs="Arial CE"/>
                <w:b/>
                <w:bCs/>
                <w:sz w:val="20"/>
                <w:szCs w:val="20"/>
              </w:rPr>
            </w:pPr>
            <w:r w:rsidRPr="00A11ECB">
              <w:rPr>
                <w:rFonts w:ascii="Arial CE" w:eastAsia="Times New Roman" w:hAnsi="Arial CE" w:cs="Arial CE"/>
                <w:b/>
                <w:bCs/>
                <w:sz w:val="20"/>
                <w:szCs w:val="20"/>
              </w:rPr>
              <w:t>2012</w:t>
            </w:r>
          </w:p>
        </w:tc>
      </w:tr>
      <w:tr w:rsidR="00C11755" w:rsidRPr="00A11ECB" w14:paraId="11849CE2" w14:textId="77777777" w:rsidTr="00C11755">
        <w:trPr>
          <w:trHeight w:val="255"/>
        </w:trPr>
        <w:tc>
          <w:tcPr>
            <w:tcW w:w="2061" w:type="dxa"/>
            <w:tcBorders>
              <w:top w:val="nil"/>
              <w:left w:val="nil"/>
              <w:bottom w:val="nil"/>
              <w:right w:val="nil"/>
            </w:tcBorders>
            <w:shd w:val="clear" w:color="auto" w:fill="auto"/>
            <w:noWrap/>
            <w:vAlign w:val="bottom"/>
            <w:hideMark/>
          </w:tcPr>
          <w:p w14:paraId="129290C3" w14:textId="079FFEC9" w:rsidR="00C11755" w:rsidRPr="00A11ECB" w:rsidRDefault="00C11755" w:rsidP="00C11755">
            <w:pPr>
              <w:spacing w:line="240" w:lineRule="auto"/>
              <w:jc w:val="right"/>
              <w:rPr>
                <w:rFonts w:ascii="Arial CE" w:eastAsia="Times New Roman" w:hAnsi="Arial CE" w:cs="Arial CE"/>
                <w:sz w:val="16"/>
                <w:szCs w:val="16"/>
              </w:rPr>
            </w:pPr>
            <w:r w:rsidRPr="00D74D8A">
              <w:rPr>
                <w:rFonts w:ascii="Arial CE" w:eastAsia="Times New Roman" w:hAnsi="Arial CE" w:cs="Arial CE"/>
                <w:b/>
                <w:bCs/>
                <w:sz w:val="16"/>
                <w:szCs w:val="16"/>
              </w:rPr>
              <w:t>SPZ (tis. Kč)</w:t>
            </w:r>
            <w:r w:rsidR="003376E1">
              <w:rPr>
                <w:rFonts w:ascii="Arial CE" w:eastAsia="Times New Roman" w:hAnsi="Arial CE" w:cs="Arial CE"/>
                <w:sz w:val="16"/>
                <w:szCs w:val="16"/>
              </w:rPr>
              <w:t xml:space="preserve"> </w:t>
            </w:r>
            <w:r w:rsidRPr="00A11ECB">
              <w:rPr>
                <w:rFonts w:ascii="Arial CE" w:eastAsia="Times New Roman" w:hAnsi="Arial CE" w:cs="Arial CE"/>
                <w:sz w:val="16"/>
                <w:szCs w:val="16"/>
              </w:rPr>
              <w:t>14 202 321</w:t>
            </w:r>
          </w:p>
        </w:tc>
        <w:tc>
          <w:tcPr>
            <w:tcW w:w="1106" w:type="dxa"/>
            <w:tcBorders>
              <w:top w:val="nil"/>
              <w:left w:val="nil"/>
              <w:bottom w:val="nil"/>
              <w:right w:val="nil"/>
            </w:tcBorders>
            <w:shd w:val="clear" w:color="auto" w:fill="auto"/>
            <w:noWrap/>
            <w:vAlign w:val="bottom"/>
            <w:hideMark/>
          </w:tcPr>
          <w:p w14:paraId="1BC856EB"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15 072 541</w:t>
            </w:r>
          </w:p>
        </w:tc>
        <w:tc>
          <w:tcPr>
            <w:tcW w:w="1118" w:type="dxa"/>
            <w:tcBorders>
              <w:top w:val="nil"/>
              <w:left w:val="nil"/>
              <w:bottom w:val="nil"/>
              <w:right w:val="nil"/>
            </w:tcBorders>
            <w:shd w:val="clear" w:color="auto" w:fill="auto"/>
            <w:noWrap/>
            <w:vAlign w:val="bottom"/>
            <w:hideMark/>
          </w:tcPr>
          <w:p w14:paraId="6FBB332F"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15 680 608</w:t>
            </w:r>
          </w:p>
        </w:tc>
        <w:tc>
          <w:tcPr>
            <w:tcW w:w="1117" w:type="dxa"/>
            <w:tcBorders>
              <w:top w:val="nil"/>
              <w:left w:val="nil"/>
              <w:bottom w:val="nil"/>
              <w:right w:val="nil"/>
            </w:tcBorders>
            <w:shd w:val="clear" w:color="auto" w:fill="auto"/>
            <w:noWrap/>
            <w:vAlign w:val="bottom"/>
            <w:hideMark/>
          </w:tcPr>
          <w:p w14:paraId="7BA78CA7"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23 132 685</w:t>
            </w:r>
          </w:p>
        </w:tc>
        <w:tc>
          <w:tcPr>
            <w:tcW w:w="1093" w:type="dxa"/>
            <w:tcBorders>
              <w:top w:val="nil"/>
              <w:left w:val="nil"/>
              <w:bottom w:val="nil"/>
              <w:right w:val="nil"/>
            </w:tcBorders>
            <w:shd w:val="clear" w:color="auto" w:fill="auto"/>
            <w:noWrap/>
            <w:vAlign w:val="bottom"/>
            <w:hideMark/>
          </w:tcPr>
          <w:p w14:paraId="65CBE92A"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22 736 413</w:t>
            </w:r>
          </w:p>
        </w:tc>
        <w:tc>
          <w:tcPr>
            <w:tcW w:w="1132" w:type="dxa"/>
            <w:tcBorders>
              <w:top w:val="nil"/>
              <w:left w:val="nil"/>
              <w:bottom w:val="nil"/>
              <w:right w:val="nil"/>
            </w:tcBorders>
            <w:shd w:val="clear" w:color="auto" w:fill="auto"/>
            <w:noWrap/>
            <w:vAlign w:val="bottom"/>
            <w:hideMark/>
          </w:tcPr>
          <w:p w14:paraId="5ABCCBE5"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17 836 581</w:t>
            </w:r>
          </w:p>
        </w:tc>
        <w:tc>
          <w:tcPr>
            <w:tcW w:w="1151" w:type="dxa"/>
            <w:tcBorders>
              <w:top w:val="nil"/>
              <w:left w:val="nil"/>
              <w:bottom w:val="nil"/>
              <w:right w:val="nil"/>
            </w:tcBorders>
            <w:shd w:val="clear" w:color="auto" w:fill="auto"/>
            <w:noWrap/>
            <w:vAlign w:val="bottom"/>
            <w:hideMark/>
          </w:tcPr>
          <w:p w14:paraId="17E6EFA7"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15 130 916</w:t>
            </w:r>
          </w:p>
        </w:tc>
      </w:tr>
      <w:tr w:rsidR="00C11755" w:rsidRPr="00A11ECB" w14:paraId="1E42ED69" w14:textId="77777777" w:rsidTr="00C11755">
        <w:trPr>
          <w:trHeight w:val="255"/>
        </w:trPr>
        <w:tc>
          <w:tcPr>
            <w:tcW w:w="2061" w:type="dxa"/>
            <w:tcBorders>
              <w:top w:val="nil"/>
              <w:left w:val="nil"/>
              <w:bottom w:val="nil"/>
              <w:right w:val="nil"/>
            </w:tcBorders>
            <w:shd w:val="clear" w:color="auto" w:fill="auto"/>
            <w:noWrap/>
            <w:vAlign w:val="bottom"/>
            <w:hideMark/>
          </w:tcPr>
          <w:p w14:paraId="27833AF5" w14:textId="733AC394" w:rsidR="00C11755" w:rsidRPr="00A11ECB" w:rsidRDefault="00C11755" w:rsidP="00C11755">
            <w:pPr>
              <w:spacing w:line="240" w:lineRule="auto"/>
              <w:jc w:val="right"/>
              <w:rPr>
                <w:rFonts w:ascii="Arial CE" w:eastAsia="Times New Roman" w:hAnsi="Arial CE" w:cs="Arial CE"/>
                <w:sz w:val="16"/>
                <w:szCs w:val="16"/>
              </w:rPr>
            </w:pPr>
            <w:r w:rsidRPr="00D74D8A">
              <w:rPr>
                <w:rFonts w:ascii="Arial CE" w:eastAsia="Times New Roman" w:hAnsi="Arial CE" w:cs="Arial CE"/>
                <w:b/>
                <w:bCs/>
                <w:sz w:val="16"/>
                <w:szCs w:val="16"/>
              </w:rPr>
              <w:t>PPZ (tis. Kč)</w:t>
            </w:r>
            <w:r w:rsidR="003376E1">
              <w:rPr>
                <w:rFonts w:ascii="Arial CE" w:eastAsia="Times New Roman" w:hAnsi="Arial CE" w:cs="Arial CE"/>
                <w:b/>
                <w:bCs/>
                <w:sz w:val="16"/>
                <w:szCs w:val="16"/>
              </w:rPr>
              <w:t xml:space="preserve"> </w:t>
            </w:r>
            <w:r>
              <w:rPr>
                <w:rFonts w:ascii="Arial CE" w:eastAsia="Times New Roman" w:hAnsi="Arial CE" w:cs="Arial CE"/>
                <w:sz w:val="16"/>
                <w:szCs w:val="16"/>
              </w:rPr>
              <w:t xml:space="preserve"> </w:t>
            </w:r>
            <w:r w:rsidRPr="00A11ECB">
              <w:rPr>
                <w:rFonts w:ascii="Arial CE" w:eastAsia="Times New Roman" w:hAnsi="Arial CE" w:cs="Arial CE"/>
                <w:sz w:val="16"/>
                <w:szCs w:val="16"/>
              </w:rPr>
              <w:t>7 307 521</w:t>
            </w:r>
          </w:p>
        </w:tc>
        <w:tc>
          <w:tcPr>
            <w:tcW w:w="1106" w:type="dxa"/>
            <w:tcBorders>
              <w:top w:val="nil"/>
              <w:left w:val="nil"/>
              <w:bottom w:val="nil"/>
              <w:right w:val="nil"/>
            </w:tcBorders>
            <w:shd w:val="clear" w:color="auto" w:fill="auto"/>
            <w:noWrap/>
            <w:vAlign w:val="bottom"/>
            <w:hideMark/>
          </w:tcPr>
          <w:p w14:paraId="70798CF6"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7 015 755</w:t>
            </w:r>
          </w:p>
        </w:tc>
        <w:tc>
          <w:tcPr>
            <w:tcW w:w="1118" w:type="dxa"/>
            <w:tcBorders>
              <w:top w:val="nil"/>
              <w:left w:val="nil"/>
              <w:bottom w:val="nil"/>
              <w:right w:val="nil"/>
            </w:tcBorders>
            <w:shd w:val="clear" w:color="auto" w:fill="auto"/>
            <w:noWrap/>
            <w:vAlign w:val="bottom"/>
            <w:hideMark/>
          </w:tcPr>
          <w:p w14:paraId="0221AFE8"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7 114 895</w:t>
            </w:r>
          </w:p>
        </w:tc>
        <w:tc>
          <w:tcPr>
            <w:tcW w:w="1117" w:type="dxa"/>
            <w:tcBorders>
              <w:top w:val="nil"/>
              <w:left w:val="nil"/>
              <w:bottom w:val="nil"/>
              <w:right w:val="nil"/>
            </w:tcBorders>
            <w:shd w:val="clear" w:color="auto" w:fill="auto"/>
            <w:noWrap/>
            <w:vAlign w:val="bottom"/>
            <w:hideMark/>
          </w:tcPr>
          <w:p w14:paraId="6166188B"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15 077 723</w:t>
            </w:r>
          </w:p>
        </w:tc>
        <w:tc>
          <w:tcPr>
            <w:tcW w:w="1093" w:type="dxa"/>
            <w:tcBorders>
              <w:top w:val="nil"/>
              <w:left w:val="nil"/>
              <w:bottom w:val="nil"/>
              <w:right w:val="nil"/>
            </w:tcBorders>
            <w:shd w:val="clear" w:color="auto" w:fill="auto"/>
            <w:noWrap/>
            <w:vAlign w:val="bottom"/>
            <w:hideMark/>
          </w:tcPr>
          <w:p w14:paraId="24C86E5B"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13 354 778</w:t>
            </w:r>
          </w:p>
        </w:tc>
        <w:tc>
          <w:tcPr>
            <w:tcW w:w="1132" w:type="dxa"/>
            <w:tcBorders>
              <w:top w:val="nil"/>
              <w:left w:val="nil"/>
              <w:bottom w:val="nil"/>
              <w:right w:val="nil"/>
            </w:tcBorders>
            <w:shd w:val="clear" w:color="auto" w:fill="auto"/>
            <w:noWrap/>
            <w:vAlign w:val="bottom"/>
            <w:hideMark/>
          </w:tcPr>
          <w:p w14:paraId="383E6C14"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10 349 149</w:t>
            </w:r>
          </w:p>
        </w:tc>
        <w:tc>
          <w:tcPr>
            <w:tcW w:w="1151" w:type="dxa"/>
            <w:tcBorders>
              <w:top w:val="nil"/>
              <w:left w:val="nil"/>
              <w:bottom w:val="nil"/>
              <w:right w:val="nil"/>
            </w:tcBorders>
            <w:shd w:val="clear" w:color="auto" w:fill="auto"/>
            <w:noWrap/>
            <w:vAlign w:val="bottom"/>
            <w:hideMark/>
          </w:tcPr>
          <w:p w14:paraId="4DC51EFF"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8 759 749</w:t>
            </w:r>
          </w:p>
        </w:tc>
      </w:tr>
      <w:tr w:rsidR="00C11755" w:rsidRPr="00A11ECB" w14:paraId="68A0199D" w14:textId="77777777" w:rsidTr="00C11755">
        <w:trPr>
          <w:trHeight w:val="270"/>
        </w:trPr>
        <w:tc>
          <w:tcPr>
            <w:tcW w:w="2061" w:type="dxa"/>
            <w:tcBorders>
              <w:top w:val="nil"/>
              <w:left w:val="nil"/>
              <w:bottom w:val="single" w:sz="8" w:space="0" w:color="auto"/>
              <w:right w:val="nil"/>
            </w:tcBorders>
            <w:shd w:val="clear" w:color="auto" w:fill="auto"/>
            <w:noWrap/>
            <w:vAlign w:val="bottom"/>
            <w:hideMark/>
          </w:tcPr>
          <w:p w14:paraId="089AA7A5" w14:textId="08BE6477" w:rsidR="00C11755" w:rsidRPr="00A11ECB" w:rsidRDefault="00C11755" w:rsidP="00C11755">
            <w:pPr>
              <w:spacing w:line="240" w:lineRule="auto"/>
              <w:jc w:val="right"/>
              <w:rPr>
                <w:rFonts w:ascii="Arial CE" w:eastAsia="Times New Roman" w:hAnsi="Arial CE" w:cs="Arial CE"/>
                <w:sz w:val="16"/>
                <w:szCs w:val="16"/>
              </w:rPr>
            </w:pPr>
            <w:r w:rsidRPr="00D74D8A">
              <w:rPr>
                <w:rFonts w:ascii="Arial CE" w:eastAsia="Times New Roman" w:hAnsi="Arial CE" w:cs="Arial CE"/>
                <w:b/>
                <w:bCs/>
                <w:sz w:val="16"/>
                <w:szCs w:val="16"/>
              </w:rPr>
              <w:t>APZ (tis. Kč)</w:t>
            </w:r>
            <w:r w:rsidR="003376E1">
              <w:rPr>
                <w:rFonts w:ascii="Arial CE" w:eastAsia="Times New Roman" w:hAnsi="Arial CE" w:cs="Arial CE"/>
                <w:b/>
                <w:bCs/>
                <w:sz w:val="16"/>
                <w:szCs w:val="16"/>
              </w:rPr>
              <w:t xml:space="preserve"> </w:t>
            </w:r>
            <w:r>
              <w:rPr>
                <w:rFonts w:ascii="Arial CE" w:eastAsia="Times New Roman" w:hAnsi="Arial CE" w:cs="Arial CE"/>
                <w:sz w:val="16"/>
                <w:szCs w:val="16"/>
              </w:rPr>
              <w:t xml:space="preserve"> </w:t>
            </w:r>
            <w:r w:rsidRPr="00A11ECB">
              <w:rPr>
                <w:rFonts w:ascii="Arial CE" w:eastAsia="Times New Roman" w:hAnsi="Arial CE" w:cs="Arial CE"/>
                <w:sz w:val="16"/>
                <w:szCs w:val="16"/>
              </w:rPr>
              <w:t>5 300 675</w:t>
            </w:r>
          </w:p>
        </w:tc>
        <w:tc>
          <w:tcPr>
            <w:tcW w:w="1106" w:type="dxa"/>
            <w:tcBorders>
              <w:top w:val="nil"/>
              <w:left w:val="nil"/>
              <w:bottom w:val="single" w:sz="8" w:space="0" w:color="auto"/>
              <w:right w:val="nil"/>
            </w:tcBorders>
            <w:shd w:val="clear" w:color="auto" w:fill="auto"/>
            <w:noWrap/>
            <w:vAlign w:val="bottom"/>
            <w:hideMark/>
          </w:tcPr>
          <w:p w14:paraId="301E17E5"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5 673 321</w:t>
            </w:r>
          </w:p>
        </w:tc>
        <w:tc>
          <w:tcPr>
            <w:tcW w:w="1118" w:type="dxa"/>
            <w:tcBorders>
              <w:top w:val="nil"/>
              <w:left w:val="nil"/>
              <w:bottom w:val="single" w:sz="8" w:space="0" w:color="auto"/>
              <w:right w:val="nil"/>
            </w:tcBorders>
            <w:shd w:val="clear" w:color="auto" w:fill="auto"/>
            <w:noWrap/>
            <w:vAlign w:val="bottom"/>
            <w:hideMark/>
          </w:tcPr>
          <w:p w14:paraId="0D877374"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6 131 729</w:t>
            </w:r>
          </w:p>
        </w:tc>
        <w:tc>
          <w:tcPr>
            <w:tcW w:w="1117" w:type="dxa"/>
            <w:tcBorders>
              <w:top w:val="nil"/>
              <w:left w:val="nil"/>
              <w:bottom w:val="single" w:sz="8" w:space="0" w:color="auto"/>
              <w:right w:val="nil"/>
            </w:tcBorders>
            <w:shd w:val="clear" w:color="auto" w:fill="auto"/>
            <w:noWrap/>
            <w:vAlign w:val="bottom"/>
            <w:hideMark/>
          </w:tcPr>
          <w:p w14:paraId="2064D2A7"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4 953 467</w:t>
            </w:r>
          </w:p>
        </w:tc>
        <w:tc>
          <w:tcPr>
            <w:tcW w:w="1093" w:type="dxa"/>
            <w:tcBorders>
              <w:top w:val="nil"/>
              <w:left w:val="nil"/>
              <w:bottom w:val="single" w:sz="8" w:space="0" w:color="auto"/>
              <w:right w:val="nil"/>
            </w:tcBorders>
            <w:shd w:val="clear" w:color="auto" w:fill="auto"/>
            <w:noWrap/>
            <w:vAlign w:val="bottom"/>
            <w:hideMark/>
          </w:tcPr>
          <w:p w14:paraId="56F21C45"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6 171 493</w:t>
            </w:r>
          </w:p>
        </w:tc>
        <w:tc>
          <w:tcPr>
            <w:tcW w:w="1132" w:type="dxa"/>
            <w:tcBorders>
              <w:top w:val="nil"/>
              <w:left w:val="nil"/>
              <w:bottom w:val="single" w:sz="8" w:space="0" w:color="auto"/>
              <w:right w:val="nil"/>
            </w:tcBorders>
            <w:shd w:val="clear" w:color="auto" w:fill="auto"/>
            <w:noWrap/>
            <w:vAlign w:val="bottom"/>
            <w:hideMark/>
          </w:tcPr>
          <w:p w14:paraId="21336779"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3 815 885</w:t>
            </w:r>
          </w:p>
        </w:tc>
        <w:tc>
          <w:tcPr>
            <w:tcW w:w="1151" w:type="dxa"/>
            <w:tcBorders>
              <w:top w:val="nil"/>
              <w:left w:val="nil"/>
              <w:bottom w:val="single" w:sz="8" w:space="0" w:color="auto"/>
              <w:right w:val="nil"/>
            </w:tcBorders>
            <w:shd w:val="clear" w:color="auto" w:fill="auto"/>
            <w:noWrap/>
            <w:vAlign w:val="bottom"/>
            <w:hideMark/>
          </w:tcPr>
          <w:p w14:paraId="4C154FB8"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2 451 117</w:t>
            </w:r>
          </w:p>
        </w:tc>
      </w:tr>
      <w:tr w:rsidR="00C11755" w:rsidRPr="00A11ECB" w14:paraId="54ECA3EF" w14:textId="77777777" w:rsidTr="00C11755">
        <w:trPr>
          <w:trHeight w:val="270"/>
        </w:trPr>
        <w:tc>
          <w:tcPr>
            <w:tcW w:w="2061" w:type="dxa"/>
            <w:tcBorders>
              <w:top w:val="nil"/>
              <w:left w:val="nil"/>
              <w:bottom w:val="single" w:sz="8" w:space="0" w:color="auto"/>
              <w:right w:val="nil"/>
            </w:tcBorders>
            <w:shd w:val="clear" w:color="auto" w:fill="auto"/>
            <w:noWrap/>
            <w:vAlign w:val="bottom"/>
            <w:hideMark/>
          </w:tcPr>
          <w:p w14:paraId="610378B8" w14:textId="77777777" w:rsidR="00C11755" w:rsidRPr="00A11ECB" w:rsidRDefault="00C11755" w:rsidP="00C11755">
            <w:pPr>
              <w:spacing w:line="240" w:lineRule="auto"/>
              <w:jc w:val="right"/>
              <w:rPr>
                <w:rFonts w:ascii="Arial CE" w:eastAsia="Times New Roman" w:hAnsi="Arial CE" w:cs="Arial CE"/>
                <w:b/>
                <w:bCs/>
                <w:sz w:val="20"/>
                <w:szCs w:val="20"/>
              </w:rPr>
            </w:pPr>
            <w:r w:rsidRPr="00A11ECB">
              <w:rPr>
                <w:rFonts w:ascii="Arial CE" w:eastAsia="Times New Roman" w:hAnsi="Arial CE" w:cs="Arial CE"/>
                <w:b/>
                <w:bCs/>
                <w:sz w:val="20"/>
                <w:szCs w:val="20"/>
              </w:rPr>
              <w:t>2013</w:t>
            </w:r>
          </w:p>
        </w:tc>
        <w:tc>
          <w:tcPr>
            <w:tcW w:w="1106" w:type="dxa"/>
            <w:tcBorders>
              <w:top w:val="nil"/>
              <w:left w:val="nil"/>
              <w:bottom w:val="single" w:sz="8" w:space="0" w:color="auto"/>
              <w:right w:val="nil"/>
            </w:tcBorders>
            <w:shd w:val="clear" w:color="auto" w:fill="auto"/>
            <w:noWrap/>
            <w:vAlign w:val="bottom"/>
            <w:hideMark/>
          </w:tcPr>
          <w:p w14:paraId="5D3B1F22" w14:textId="77777777" w:rsidR="00C11755" w:rsidRPr="00A11ECB" w:rsidRDefault="00C11755" w:rsidP="00C11755">
            <w:pPr>
              <w:spacing w:line="240" w:lineRule="auto"/>
              <w:jc w:val="right"/>
              <w:rPr>
                <w:rFonts w:ascii="Arial CE" w:eastAsia="Times New Roman" w:hAnsi="Arial CE" w:cs="Arial CE"/>
                <w:b/>
                <w:bCs/>
                <w:sz w:val="20"/>
                <w:szCs w:val="20"/>
              </w:rPr>
            </w:pPr>
            <w:r w:rsidRPr="00A11ECB">
              <w:rPr>
                <w:rFonts w:ascii="Arial CE" w:eastAsia="Times New Roman" w:hAnsi="Arial CE" w:cs="Arial CE"/>
                <w:b/>
                <w:bCs/>
                <w:sz w:val="20"/>
                <w:szCs w:val="20"/>
              </w:rPr>
              <w:t>2014</w:t>
            </w:r>
          </w:p>
        </w:tc>
        <w:tc>
          <w:tcPr>
            <w:tcW w:w="1118" w:type="dxa"/>
            <w:tcBorders>
              <w:top w:val="nil"/>
              <w:left w:val="nil"/>
              <w:bottom w:val="single" w:sz="8" w:space="0" w:color="auto"/>
              <w:right w:val="nil"/>
            </w:tcBorders>
            <w:shd w:val="clear" w:color="auto" w:fill="auto"/>
            <w:noWrap/>
            <w:vAlign w:val="bottom"/>
            <w:hideMark/>
          </w:tcPr>
          <w:p w14:paraId="40263198" w14:textId="77777777" w:rsidR="00C11755" w:rsidRPr="00A11ECB" w:rsidRDefault="00C11755" w:rsidP="00C11755">
            <w:pPr>
              <w:spacing w:line="240" w:lineRule="auto"/>
              <w:jc w:val="right"/>
              <w:rPr>
                <w:rFonts w:ascii="Arial CE" w:eastAsia="Times New Roman" w:hAnsi="Arial CE" w:cs="Arial CE"/>
                <w:b/>
                <w:bCs/>
                <w:sz w:val="20"/>
                <w:szCs w:val="20"/>
              </w:rPr>
            </w:pPr>
            <w:r w:rsidRPr="00A11ECB">
              <w:rPr>
                <w:rFonts w:ascii="Arial CE" w:eastAsia="Times New Roman" w:hAnsi="Arial CE" w:cs="Arial CE"/>
                <w:b/>
                <w:bCs/>
                <w:sz w:val="20"/>
                <w:szCs w:val="20"/>
              </w:rPr>
              <w:t>2015</w:t>
            </w:r>
          </w:p>
        </w:tc>
        <w:tc>
          <w:tcPr>
            <w:tcW w:w="1117" w:type="dxa"/>
            <w:tcBorders>
              <w:top w:val="nil"/>
              <w:left w:val="nil"/>
              <w:bottom w:val="single" w:sz="8" w:space="0" w:color="auto"/>
              <w:right w:val="nil"/>
            </w:tcBorders>
            <w:shd w:val="clear" w:color="auto" w:fill="auto"/>
            <w:noWrap/>
            <w:vAlign w:val="bottom"/>
            <w:hideMark/>
          </w:tcPr>
          <w:p w14:paraId="144970AF" w14:textId="77777777" w:rsidR="00C11755" w:rsidRPr="00A11ECB" w:rsidRDefault="00C11755" w:rsidP="00C11755">
            <w:pPr>
              <w:spacing w:line="240" w:lineRule="auto"/>
              <w:jc w:val="right"/>
              <w:rPr>
                <w:rFonts w:ascii="Arial CE" w:eastAsia="Times New Roman" w:hAnsi="Arial CE" w:cs="Arial CE"/>
                <w:b/>
                <w:bCs/>
                <w:sz w:val="20"/>
                <w:szCs w:val="20"/>
              </w:rPr>
            </w:pPr>
            <w:r w:rsidRPr="00A11ECB">
              <w:rPr>
                <w:rFonts w:ascii="Arial CE" w:eastAsia="Times New Roman" w:hAnsi="Arial CE" w:cs="Arial CE"/>
                <w:b/>
                <w:bCs/>
                <w:sz w:val="20"/>
                <w:szCs w:val="20"/>
              </w:rPr>
              <w:t>2016</w:t>
            </w:r>
          </w:p>
        </w:tc>
        <w:tc>
          <w:tcPr>
            <w:tcW w:w="1093" w:type="dxa"/>
            <w:tcBorders>
              <w:top w:val="nil"/>
              <w:left w:val="nil"/>
              <w:bottom w:val="single" w:sz="8" w:space="0" w:color="auto"/>
              <w:right w:val="nil"/>
            </w:tcBorders>
            <w:shd w:val="clear" w:color="auto" w:fill="auto"/>
            <w:noWrap/>
            <w:vAlign w:val="bottom"/>
            <w:hideMark/>
          </w:tcPr>
          <w:p w14:paraId="6074A298" w14:textId="77777777" w:rsidR="00C11755" w:rsidRPr="00A11ECB" w:rsidRDefault="00C11755" w:rsidP="00C11755">
            <w:pPr>
              <w:spacing w:line="240" w:lineRule="auto"/>
              <w:jc w:val="right"/>
              <w:rPr>
                <w:rFonts w:ascii="Arial CE" w:eastAsia="Times New Roman" w:hAnsi="Arial CE" w:cs="Arial CE"/>
                <w:b/>
                <w:bCs/>
                <w:sz w:val="20"/>
                <w:szCs w:val="20"/>
              </w:rPr>
            </w:pPr>
            <w:r w:rsidRPr="00A11ECB">
              <w:rPr>
                <w:rFonts w:ascii="Arial CE" w:eastAsia="Times New Roman" w:hAnsi="Arial CE" w:cs="Arial CE"/>
                <w:b/>
                <w:bCs/>
                <w:sz w:val="20"/>
                <w:szCs w:val="20"/>
              </w:rPr>
              <w:t>2017</w:t>
            </w:r>
          </w:p>
        </w:tc>
        <w:tc>
          <w:tcPr>
            <w:tcW w:w="1132" w:type="dxa"/>
            <w:tcBorders>
              <w:top w:val="nil"/>
              <w:left w:val="nil"/>
              <w:bottom w:val="single" w:sz="8" w:space="0" w:color="auto"/>
              <w:right w:val="nil"/>
            </w:tcBorders>
            <w:shd w:val="clear" w:color="auto" w:fill="auto"/>
            <w:noWrap/>
            <w:vAlign w:val="bottom"/>
            <w:hideMark/>
          </w:tcPr>
          <w:p w14:paraId="758E83D2" w14:textId="77777777" w:rsidR="00C11755" w:rsidRPr="00A11ECB" w:rsidRDefault="00C11755" w:rsidP="00C11755">
            <w:pPr>
              <w:spacing w:line="240" w:lineRule="auto"/>
              <w:jc w:val="right"/>
              <w:rPr>
                <w:rFonts w:ascii="Arial CE" w:eastAsia="Times New Roman" w:hAnsi="Arial CE" w:cs="Arial CE"/>
                <w:b/>
                <w:bCs/>
                <w:sz w:val="20"/>
                <w:szCs w:val="20"/>
              </w:rPr>
            </w:pPr>
            <w:r w:rsidRPr="00A11ECB">
              <w:rPr>
                <w:rFonts w:ascii="Arial CE" w:eastAsia="Times New Roman" w:hAnsi="Arial CE" w:cs="Arial CE"/>
                <w:b/>
                <w:bCs/>
                <w:sz w:val="20"/>
                <w:szCs w:val="20"/>
              </w:rPr>
              <w:t>2018</w:t>
            </w:r>
          </w:p>
        </w:tc>
        <w:tc>
          <w:tcPr>
            <w:tcW w:w="1151" w:type="dxa"/>
            <w:tcBorders>
              <w:top w:val="nil"/>
              <w:left w:val="nil"/>
              <w:bottom w:val="single" w:sz="8" w:space="0" w:color="auto"/>
              <w:right w:val="nil"/>
            </w:tcBorders>
            <w:shd w:val="clear" w:color="auto" w:fill="auto"/>
            <w:noWrap/>
            <w:vAlign w:val="bottom"/>
            <w:hideMark/>
          </w:tcPr>
          <w:p w14:paraId="776410FD" w14:textId="77777777" w:rsidR="00C11755" w:rsidRPr="00A11ECB" w:rsidRDefault="00C11755" w:rsidP="00C11755">
            <w:pPr>
              <w:spacing w:line="240" w:lineRule="auto"/>
              <w:jc w:val="right"/>
              <w:rPr>
                <w:rFonts w:ascii="Arial CE" w:eastAsia="Times New Roman" w:hAnsi="Arial CE" w:cs="Arial CE"/>
                <w:b/>
                <w:bCs/>
                <w:sz w:val="20"/>
                <w:szCs w:val="20"/>
              </w:rPr>
            </w:pPr>
            <w:r w:rsidRPr="00A11ECB">
              <w:rPr>
                <w:rFonts w:ascii="Arial CE" w:eastAsia="Times New Roman" w:hAnsi="Arial CE" w:cs="Arial CE"/>
                <w:b/>
                <w:bCs/>
                <w:sz w:val="20"/>
                <w:szCs w:val="20"/>
              </w:rPr>
              <w:t>2019</w:t>
            </w:r>
          </w:p>
        </w:tc>
      </w:tr>
      <w:tr w:rsidR="00C11755" w:rsidRPr="00A11ECB" w14:paraId="6AAF586E" w14:textId="77777777" w:rsidTr="00C11755">
        <w:trPr>
          <w:trHeight w:val="270"/>
        </w:trPr>
        <w:tc>
          <w:tcPr>
            <w:tcW w:w="2061" w:type="dxa"/>
            <w:tcBorders>
              <w:top w:val="nil"/>
              <w:left w:val="nil"/>
              <w:bottom w:val="single" w:sz="8" w:space="0" w:color="auto"/>
              <w:right w:val="nil"/>
            </w:tcBorders>
            <w:shd w:val="clear" w:color="auto" w:fill="auto"/>
            <w:noWrap/>
            <w:vAlign w:val="bottom"/>
            <w:hideMark/>
          </w:tcPr>
          <w:p w14:paraId="1559E291" w14:textId="051F102F" w:rsidR="00C11755" w:rsidRPr="00A11ECB" w:rsidRDefault="00C11755" w:rsidP="00C11755">
            <w:pPr>
              <w:spacing w:line="240" w:lineRule="auto"/>
              <w:jc w:val="right"/>
              <w:rPr>
                <w:rFonts w:ascii="Arial CE" w:eastAsia="Times New Roman" w:hAnsi="Arial CE" w:cs="Arial CE"/>
                <w:sz w:val="16"/>
                <w:szCs w:val="16"/>
              </w:rPr>
            </w:pPr>
            <w:r w:rsidRPr="00D74D8A">
              <w:rPr>
                <w:rFonts w:ascii="Arial CE" w:eastAsia="Times New Roman" w:hAnsi="Arial CE" w:cs="Arial CE"/>
                <w:b/>
                <w:bCs/>
                <w:sz w:val="16"/>
                <w:szCs w:val="16"/>
              </w:rPr>
              <w:t>SPZ (tis. Kč)</w:t>
            </w:r>
            <w:r w:rsidR="003376E1">
              <w:rPr>
                <w:rFonts w:ascii="Arial CE" w:eastAsia="Times New Roman" w:hAnsi="Arial CE" w:cs="Arial CE"/>
                <w:sz w:val="16"/>
                <w:szCs w:val="16"/>
              </w:rPr>
              <w:t xml:space="preserve"> </w:t>
            </w:r>
            <w:r w:rsidRPr="00A11ECB">
              <w:rPr>
                <w:rFonts w:ascii="Arial CE" w:eastAsia="Times New Roman" w:hAnsi="Arial CE" w:cs="Arial CE"/>
                <w:sz w:val="16"/>
                <w:szCs w:val="16"/>
              </w:rPr>
              <w:t>17 929 288</w:t>
            </w:r>
          </w:p>
        </w:tc>
        <w:tc>
          <w:tcPr>
            <w:tcW w:w="1106" w:type="dxa"/>
            <w:tcBorders>
              <w:top w:val="nil"/>
              <w:left w:val="nil"/>
              <w:bottom w:val="single" w:sz="8" w:space="0" w:color="auto"/>
              <w:right w:val="nil"/>
            </w:tcBorders>
            <w:shd w:val="clear" w:color="auto" w:fill="auto"/>
            <w:noWrap/>
            <w:vAlign w:val="bottom"/>
            <w:hideMark/>
          </w:tcPr>
          <w:p w14:paraId="345586E1"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20 076 846</w:t>
            </w:r>
          </w:p>
        </w:tc>
        <w:tc>
          <w:tcPr>
            <w:tcW w:w="1118" w:type="dxa"/>
            <w:tcBorders>
              <w:top w:val="nil"/>
              <w:left w:val="nil"/>
              <w:bottom w:val="single" w:sz="8" w:space="0" w:color="auto"/>
              <w:right w:val="nil"/>
            </w:tcBorders>
            <w:shd w:val="clear" w:color="auto" w:fill="auto"/>
            <w:noWrap/>
            <w:vAlign w:val="bottom"/>
            <w:hideMark/>
          </w:tcPr>
          <w:p w14:paraId="5024340A"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22 521 725</w:t>
            </w:r>
          </w:p>
        </w:tc>
        <w:tc>
          <w:tcPr>
            <w:tcW w:w="1117" w:type="dxa"/>
            <w:tcBorders>
              <w:top w:val="nil"/>
              <w:left w:val="nil"/>
              <w:bottom w:val="single" w:sz="8" w:space="0" w:color="auto"/>
              <w:right w:val="nil"/>
            </w:tcBorders>
            <w:shd w:val="clear" w:color="auto" w:fill="auto"/>
            <w:noWrap/>
            <w:vAlign w:val="bottom"/>
            <w:hideMark/>
          </w:tcPr>
          <w:p w14:paraId="17ED365B"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20 318 256</w:t>
            </w:r>
          </w:p>
        </w:tc>
        <w:tc>
          <w:tcPr>
            <w:tcW w:w="1093" w:type="dxa"/>
            <w:tcBorders>
              <w:top w:val="nil"/>
              <w:left w:val="nil"/>
              <w:bottom w:val="single" w:sz="8" w:space="0" w:color="auto"/>
              <w:right w:val="nil"/>
            </w:tcBorders>
            <w:shd w:val="clear" w:color="auto" w:fill="auto"/>
            <w:noWrap/>
            <w:vAlign w:val="bottom"/>
            <w:hideMark/>
          </w:tcPr>
          <w:p w14:paraId="024B08EB"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18 399 624</w:t>
            </w:r>
          </w:p>
        </w:tc>
        <w:tc>
          <w:tcPr>
            <w:tcW w:w="1132" w:type="dxa"/>
            <w:tcBorders>
              <w:top w:val="nil"/>
              <w:left w:val="nil"/>
              <w:bottom w:val="single" w:sz="8" w:space="0" w:color="auto"/>
              <w:right w:val="nil"/>
            </w:tcBorders>
            <w:shd w:val="clear" w:color="auto" w:fill="auto"/>
            <w:noWrap/>
            <w:vAlign w:val="bottom"/>
            <w:hideMark/>
          </w:tcPr>
          <w:p w14:paraId="13A1DA45"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18 891 482</w:t>
            </w:r>
          </w:p>
        </w:tc>
        <w:tc>
          <w:tcPr>
            <w:tcW w:w="1151" w:type="dxa"/>
            <w:tcBorders>
              <w:top w:val="nil"/>
              <w:left w:val="nil"/>
              <w:bottom w:val="single" w:sz="8" w:space="0" w:color="auto"/>
              <w:right w:val="nil"/>
            </w:tcBorders>
            <w:shd w:val="clear" w:color="auto" w:fill="auto"/>
            <w:noWrap/>
            <w:vAlign w:val="bottom"/>
            <w:hideMark/>
          </w:tcPr>
          <w:p w14:paraId="433F33B4"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18 100 547</w:t>
            </w:r>
          </w:p>
        </w:tc>
      </w:tr>
      <w:tr w:rsidR="00C11755" w:rsidRPr="00A11ECB" w14:paraId="3544A054" w14:textId="77777777" w:rsidTr="00C11755">
        <w:trPr>
          <w:trHeight w:val="270"/>
        </w:trPr>
        <w:tc>
          <w:tcPr>
            <w:tcW w:w="2061" w:type="dxa"/>
            <w:tcBorders>
              <w:top w:val="nil"/>
              <w:left w:val="nil"/>
              <w:bottom w:val="single" w:sz="8" w:space="0" w:color="auto"/>
              <w:right w:val="nil"/>
            </w:tcBorders>
            <w:shd w:val="clear" w:color="auto" w:fill="auto"/>
            <w:noWrap/>
            <w:vAlign w:val="bottom"/>
            <w:hideMark/>
          </w:tcPr>
          <w:p w14:paraId="63E05E35" w14:textId="413485BC" w:rsidR="00C11755" w:rsidRPr="00A11ECB" w:rsidRDefault="00C11755" w:rsidP="00C11755">
            <w:pPr>
              <w:spacing w:line="240" w:lineRule="auto"/>
              <w:jc w:val="right"/>
              <w:rPr>
                <w:rFonts w:ascii="Arial CE" w:eastAsia="Times New Roman" w:hAnsi="Arial CE" w:cs="Arial CE"/>
                <w:sz w:val="16"/>
                <w:szCs w:val="16"/>
              </w:rPr>
            </w:pPr>
            <w:r w:rsidRPr="00D74D8A">
              <w:rPr>
                <w:rFonts w:ascii="Arial CE" w:eastAsia="Times New Roman" w:hAnsi="Arial CE" w:cs="Arial CE"/>
                <w:b/>
                <w:bCs/>
                <w:sz w:val="16"/>
                <w:szCs w:val="16"/>
              </w:rPr>
              <w:t>PPZ (tis. Kč)</w:t>
            </w:r>
            <w:r w:rsidR="003376E1">
              <w:rPr>
                <w:rFonts w:ascii="Arial CE" w:eastAsia="Times New Roman" w:hAnsi="Arial CE" w:cs="Arial CE"/>
                <w:sz w:val="16"/>
                <w:szCs w:val="16"/>
              </w:rPr>
              <w:t xml:space="preserve"> </w:t>
            </w:r>
            <w:r>
              <w:rPr>
                <w:rFonts w:ascii="Arial CE" w:eastAsia="Times New Roman" w:hAnsi="Arial CE" w:cs="Arial CE"/>
                <w:sz w:val="16"/>
                <w:szCs w:val="16"/>
              </w:rPr>
              <w:t xml:space="preserve"> </w:t>
            </w:r>
            <w:r w:rsidRPr="00A11ECB">
              <w:rPr>
                <w:rFonts w:ascii="Arial CE" w:eastAsia="Times New Roman" w:hAnsi="Arial CE" w:cs="Arial CE"/>
                <w:sz w:val="16"/>
                <w:szCs w:val="16"/>
              </w:rPr>
              <w:t>9 674 752</w:t>
            </w:r>
          </w:p>
        </w:tc>
        <w:tc>
          <w:tcPr>
            <w:tcW w:w="1106" w:type="dxa"/>
            <w:tcBorders>
              <w:top w:val="nil"/>
              <w:left w:val="nil"/>
              <w:bottom w:val="single" w:sz="8" w:space="0" w:color="auto"/>
              <w:right w:val="nil"/>
            </w:tcBorders>
            <w:shd w:val="clear" w:color="auto" w:fill="auto"/>
            <w:noWrap/>
            <w:vAlign w:val="bottom"/>
            <w:hideMark/>
          </w:tcPr>
          <w:p w14:paraId="318B06D3"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9 279 634</w:t>
            </w:r>
          </w:p>
        </w:tc>
        <w:tc>
          <w:tcPr>
            <w:tcW w:w="1118" w:type="dxa"/>
            <w:tcBorders>
              <w:top w:val="nil"/>
              <w:left w:val="nil"/>
              <w:bottom w:val="single" w:sz="8" w:space="0" w:color="auto"/>
              <w:right w:val="nil"/>
            </w:tcBorders>
            <w:shd w:val="clear" w:color="auto" w:fill="auto"/>
            <w:noWrap/>
            <w:vAlign w:val="bottom"/>
            <w:hideMark/>
          </w:tcPr>
          <w:p w14:paraId="3D9191E3"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8 303 370</w:t>
            </w:r>
          </w:p>
        </w:tc>
        <w:tc>
          <w:tcPr>
            <w:tcW w:w="1117" w:type="dxa"/>
            <w:tcBorders>
              <w:top w:val="nil"/>
              <w:left w:val="nil"/>
              <w:bottom w:val="single" w:sz="8" w:space="0" w:color="auto"/>
              <w:right w:val="nil"/>
            </w:tcBorders>
            <w:shd w:val="clear" w:color="auto" w:fill="auto"/>
            <w:noWrap/>
            <w:vAlign w:val="bottom"/>
            <w:hideMark/>
          </w:tcPr>
          <w:p w14:paraId="14968503"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8 254 527</w:t>
            </w:r>
          </w:p>
        </w:tc>
        <w:tc>
          <w:tcPr>
            <w:tcW w:w="1093" w:type="dxa"/>
            <w:tcBorders>
              <w:top w:val="nil"/>
              <w:left w:val="nil"/>
              <w:bottom w:val="single" w:sz="8" w:space="0" w:color="auto"/>
              <w:right w:val="nil"/>
            </w:tcBorders>
            <w:shd w:val="clear" w:color="auto" w:fill="auto"/>
            <w:noWrap/>
            <w:vAlign w:val="bottom"/>
            <w:hideMark/>
          </w:tcPr>
          <w:p w14:paraId="6D798BDE"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7 853 520</w:t>
            </w:r>
          </w:p>
        </w:tc>
        <w:tc>
          <w:tcPr>
            <w:tcW w:w="1132" w:type="dxa"/>
            <w:tcBorders>
              <w:top w:val="nil"/>
              <w:left w:val="nil"/>
              <w:bottom w:val="single" w:sz="8" w:space="0" w:color="auto"/>
              <w:right w:val="nil"/>
            </w:tcBorders>
            <w:shd w:val="clear" w:color="auto" w:fill="auto"/>
            <w:noWrap/>
            <w:vAlign w:val="bottom"/>
            <w:hideMark/>
          </w:tcPr>
          <w:p w14:paraId="6AF7C44C"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7 542 836</w:t>
            </w:r>
          </w:p>
        </w:tc>
        <w:tc>
          <w:tcPr>
            <w:tcW w:w="1151" w:type="dxa"/>
            <w:tcBorders>
              <w:top w:val="nil"/>
              <w:left w:val="nil"/>
              <w:bottom w:val="single" w:sz="8" w:space="0" w:color="auto"/>
              <w:right w:val="nil"/>
            </w:tcBorders>
            <w:shd w:val="clear" w:color="auto" w:fill="auto"/>
            <w:noWrap/>
            <w:vAlign w:val="bottom"/>
            <w:hideMark/>
          </w:tcPr>
          <w:p w14:paraId="3E32932B"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8 144 407</w:t>
            </w:r>
          </w:p>
        </w:tc>
      </w:tr>
      <w:tr w:rsidR="00C11755" w:rsidRPr="00A11ECB" w14:paraId="320A356F" w14:textId="77777777" w:rsidTr="00C11755">
        <w:trPr>
          <w:trHeight w:val="270"/>
        </w:trPr>
        <w:tc>
          <w:tcPr>
            <w:tcW w:w="2061" w:type="dxa"/>
            <w:tcBorders>
              <w:top w:val="nil"/>
              <w:left w:val="nil"/>
              <w:bottom w:val="single" w:sz="8" w:space="0" w:color="auto"/>
              <w:right w:val="nil"/>
            </w:tcBorders>
            <w:shd w:val="clear" w:color="auto" w:fill="auto"/>
            <w:noWrap/>
            <w:vAlign w:val="bottom"/>
            <w:hideMark/>
          </w:tcPr>
          <w:p w14:paraId="24C789D6" w14:textId="42F74F23" w:rsidR="00C11755" w:rsidRPr="00A11ECB" w:rsidRDefault="00C11755" w:rsidP="00C11755">
            <w:pPr>
              <w:spacing w:line="240" w:lineRule="auto"/>
              <w:jc w:val="right"/>
              <w:rPr>
                <w:rFonts w:ascii="Arial CE" w:eastAsia="Times New Roman" w:hAnsi="Arial CE" w:cs="Arial CE"/>
                <w:sz w:val="16"/>
                <w:szCs w:val="16"/>
              </w:rPr>
            </w:pPr>
            <w:r w:rsidRPr="00D74D8A">
              <w:rPr>
                <w:rFonts w:ascii="Arial CE" w:eastAsia="Times New Roman" w:hAnsi="Arial CE" w:cs="Arial CE"/>
                <w:b/>
                <w:bCs/>
                <w:sz w:val="16"/>
                <w:szCs w:val="16"/>
              </w:rPr>
              <w:t>APZ (tis. Kč)</w:t>
            </w:r>
            <w:r w:rsidR="003376E1">
              <w:rPr>
                <w:rFonts w:ascii="Arial CE" w:eastAsia="Times New Roman" w:hAnsi="Arial CE" w:cs="Arial CE"/>
                <w:b/>
                <w:bCs/>
                <w:sz w:val="16"/>
                <w:szCs w:val="16"/>
              </w:rPr>
              <w:t xml:space="preserve"> </w:t>
            </w:r>
            <w:r>
              <w:rPr>
                <w:rFonts w:ascii="Arial CE" w:eastAsia="Times New Roman" w:hAnsi="Arial CE" w:cs="Arial CE"/>
                <w:sz w:val="16"/>
                <w:szCs w:val="16"/>
              </w:rPr>
              <w:t xml:space="preserve"> </w:t>
            </w:r>
            <w:r w:rsidRPr="00A11ECB">
              <w:rPr>
                <w:rFonts w:ascii="Arial CE" w:eastAsia="Times New Roman" w:hAnsi="Arial CE" w:cs="Arial CE"/>
                <w:sz w:val="16"/>
                <w:szCs w:val="16"/>
              </w:rPr>
              <w:t>4 251 090</w:t>
            </w:r>
          </w:p>
        </w:tc>
        <w:tc>
          <w:tcPr>
            <w:tcW w:w="1106" w:type="dxa"/>
            <w:tcBorders>
              <w:top w:val="nil"/>
              <w:left w:val="nil"/>
              <w:bottom w:val="single" w:sz="8" w:space="0" w:color="auto"/>
              <w:right w:val="nil"/>
            </w:tcBorders>
            <w:shd w:val="clear" w:color="auto" w:fill="auto"/>
            <w:noWrap/>
            <w:vAlign w:val="bottom"/>
            <w:hideMark/>
          </w:tcPr>
          <w:p w14:paraId="15FFAFFC"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6 386 632</w:t>
            </w:r>
          </w:p>
        </w:tc>
        <w:tc>
          <w:tcPr>
            <w:tcW w:w="1118" w:type="dxa"/>
            <w:tcBorders>
              <w:top w:val="nil"/>
              <w:left w:val="nil"/>
              <w:bottom w:val="single" w:sz="8" w:space="0" w:color="auto"/>
              <w:right w:val="nil"/>
            </w:tcBorders>
            <w:shd w:val="clear" w:color="auto" w:fill="auto"/>
            <w:noWrap/>
            <w:vAlign w:val="bottom"/>
            <w:hideMark/>
          </w:tcPr>
          <w:p w14:paraId="0D0F16D7"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9 668 796</w:t>
            </w:r>
          </w:p>
        </w:tc>
        <w:tc>
          <w:tcPr>
            <w:tcW w:w="1117" w:type="dxa"/>
            <w:tcBorders>
              <w:top w:val="nil"/>
              <w:left w:val="nil"/>
              <w:bottom w:val="single" w:sz="8" w:space="0" w:color="auto"/>
              <w:right w:val="nil"/>
            </w:tcBorders>
            <w:shd w:val="clear" w:color="auto" w:fill="auto"/>
            <w:noWrap/>
            <w:vAlign w:val="bottom"/>
            <w:hideMark/>
          </w:tcPr>
          <w:p w14:paraId="16EBE3BD"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6 860 879</w:t>
            </w:r>
          </w:p>
        </w:tc>
        <w:tc>
          <w:tcPr>
            <w:tcW w:w="1093" w:type="dxa"/>
            <w:tcBorders>
              <w:top w:val="nil"/>
              <w:left w:val="nil"/>
              <w:bottom w:val="single" w:sz="8" w:space="0" w:color="auto"/>
              <w:right w:val="nil"/>
            </w:tcBorders>
            <w:shd w:val="clear" w:color="auto" w:fill="auto"/>
            <w:noWrap/>
            <w:vAlign w:val="bottom"/>
            <w:hideMark/>
          </w:tcPr>
          <w:p w14:paraId="728C94E3"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4 703 189</w:t>
            </w:r>
          </w:p>
        </w:tc>
        <w:tc>
          <w:tcPr>
            <w:tcW w:w="1132" w:type="dxa"/>
            <w:tcBorders>
              <w:top w:val="nil"/>
              <w:left w:val="nil"/>
              <w:bottom w:val="single" w:sz="8" w:space="0" w:color="auto"/>
              <w:right w:val="nil"/>
            </w:tcBorders>
            <w:shd w:val="clear" w:color="auto" w:fill="auto"/>
            <w:noWrap/>
            <w:vAlign w:val="bottom"/>
            <w:hideMark/>
          </w:tcPr>
          <w:p w14:paraId="1638B065"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4 336 836</w:t>
            </w:r>
          </w:p>
        </w:tc>
        <w:tc>
          <w:tcPr>
            <w:tcW w:w="1151" w:type="dxa"/>
            <w:tcBorders>
              <w:top w:val="nil"/>
              <w:left w:val="nil"/>
              <w:bottom w:val="single" w:sz="8" w:space="0" w:color="auto"/>
              <w:right w:val="nil"/>
            </w:tcBorders>
            <w:shd w:val="clear" w:color="auto" w:fill="auto"/>
            <w:noWrap/>
            <w:vAlign w:val="bottom"/>
            <w:hideMark/>
          </w:tcPr>
          <w:p w14:paraId="17D3C3C6" w14:textId="77777777" w:rsidR="00C11755" w:rsidRPr="00A11ECB" w:rsidRDefault="00C11755" w:rsidP="00C11755">
            <w:pPr>
              <w:spacing w:line="240" w:lineRule="auto"/>
              <w:jc w:val="right"/>
              <w:rPr>
                <w:rFonts w:ascii="Arial CE" w:eastAsia="Times New Roman" w:hAnsi="Arial CE" w:cs="Arial CE"/>
                <w:sz w:val="16"/>
                <w:szCs w:val="16"/>
              </w:rPr>
            </w:pPr>
            <w:r w:rsidRPr="00A11ECB">
              <w:rPr>
                <w:rFonts w:ascii="Arial CE" w:eastAsia="Times New Roman" w:hAnsi="Arial CE" w:cs="Arial CE"/>
                <w:sz w:val="16"/>
                <w:szCs w:val="16"/>
              </w:rPr>
              <w:t>2 273 719</w:t>
            </w:r>
          </w:p>
        </w:tc>
      </w:tr>
    </w:tbl>
    <w:p w14:paraId="4A6F4323" w14:textId="08989ADA" w:rsidR="00CE6695" w:rsidRPr="00FC3B7C" w:rsidRDefault="00CE6695" w:rsidP="00CE6695">
      <w:pPr>
        <w:spacing w:line="240" w:lineRule="auto"/>
      </w:pPr>
      <w:r w:rsidRPr="00FC3B7C">
        <w:tab/>
      </w:r>
    </w:p>
    <w:p w14:paraId="4A6F4329" w14:textId="74D438B0" w:rsidR="00CE6695" w:rsidRPr="00FC3B7C" w:rsidRDefault="00CE6695" w:rsidP="00C11755">
      <w:pPr>
        <w:spacing w:after="240"/>
      </w:pPr>
      <w:r w:rsidRPr="00C11755">
        <w:t>Zdroj: MPSV, 20</w:t>
      </w:r>
      <w:r w:rsidR="00C11755" w:rsidRPr="00C11755">
        <w:t>20</w:t>
      </w:r>
    </w:p>
    <w:p w14:paraId="4A6F432A" w14:textId="25E423EA" w:rsidR="00CE6695" w:rsidRPr="00244BB9" w:rsidRDefault="00CE6695" w:rsidP="00CE6695">
      <w:pPr>
        <w:spacing w:line="240" w:lineRule="auto"/>
        <w:rPr>
          <w:b/>
          <w:bCs/>
        </w:rPr>
      </w:pPr>
      <w:r w:rsidRPr="00244BB9">
        <w:rPr>
          <w:b/>
          <w:bCs/>
        </w:rPr>
        <w:t xml:space="preserve">Graf č. </w:t>
      </w:r>
      <w:r w:rsidR="00D32A9F" w:rsidRPr="00244BB9">
        <w:rPr>
          <w:b/>
          <w:bCs/>
        </w:rPr>
        <w:t>1</w:t>
      </w:r>
      <w:r w:rsidRPr="00244BB9">
        <w:rPr>
          <w:b/>
          <w:bCs/>
        </w:rPr>
        <w:t>: Výdaje na APZ a PPZ v mld. Kč</w:t>
      </w:r>
    </w:p>
    <w:p w14:paraId="4A6F432B" w14:textId="091AC1D5" w:rsidR="00CE6695" w:rsidRPr="00FC3B7C" w:rsidRDefault="00CE6695" w:rsidP="00CE6695">
      <w:pPr>
        <w:spacing w:line="240" w:lineRule="auto"/>
      </w:pPr>
    </w:p>
    <w:p w14:paraId="4A6F432C" w14:textId="652D6CD0" w:rsidR="00CE6695" w:rsidRPr="00FC3B7C" w:rsidRDefault="00C11755" w:rsidP="00CE6695">
      <w:pPr>
        <w:spacing w:line="240" w:lineRule="auto"/>
      </w:pPr>
      <w:r>
        <w:rPr>
          <w:noProof/>
        </w:rPr>
        <w:drawing>
          <wp:inline distT="0" distB="0" distL="0" distR="0" wp14:anchorId="1AB453FD" wp14:editId="481612B9">
            <wp:extent cx="5459239" cy="2333625"/>
            <wp:effectExtent l="0" t="0" r="825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53412" t="16855" r="2957" b="8421"/>
                    <a:stretch/>
                  </pic:blipFill>
                  <pic:spPr bwMode="auto">
                    <a:xfrm>
                      <a:off x="0" y="0"/>
                      <a:ext cx="5526939" cy="2362564"/>
                    </a:xfrm>
                    <a:prstGeom prst="rect">
                      <a:avLst/>
                    </a:prstGeom>
                    <a:ln>
                      <a:noFill/>
                    </a:ln>
                    <a:extLst>
                      <a:ext uri="{53640926-AAD7-44D8-BBD7-CCE9431645EC}">
                        <a14:shadowObscured xmlns:a14="http://schemas.microsoft.com/office/drawing/2010/main"/>
                      </a:ext>
                    </a:extLst>
                  </pic:spPr>
                </pic:pic>
              </a:graphicData>
            </a:graphic>
          </wp:inline>
        </w:drawing>
      </w:r>
    </w:p>
    <w:p w14:paraId="0AE0CBD1" w14:textId="6E4DBA53" w:rsidR="00C11755" w:rsidRDefault="00CE6695" w:rsidP="00C11755">
      <w:pPr>
        <w:spacing w:after="240" w:line="240" w:lineRule="auto"/>
      </w:pPr>
      <w:r w:rsidRPr="00FC3B7C">
        <w:t xml:space="preserve">Zdroj: MPSV, zpracovaní </w:t>
      </w:r>
      <w:r w:rsidR="00C11755">
        <w:t>vlastní</w:t>
      </w:r>
      <w:r w:rsidR="00C11755">
        <w:br w:type="page"/>
      </w:r>
    </w:p>
    <w:p w14:paraId="4A6F4335" w14:textId="00CB20C3" w:rsidR="00CE6695" w:rsidRPr="00FC3B7C" w:rsidRDefault="004A163A" w:rsidP="00F40907">
      <w:pPr>
        <w:pStyle w:val="Nadpis3"/>
      </w:pPr>
      <w:r>
        <w:lastRenderedPageBreak/>
        <w:t xml:space="preserve"> </w:t>
      </w:r>
      <w:r w:rsidR="00CE6695" w:rsidRPr="004A163A">
        <w:rPr>
          <w:color w:val="1F3864" w:themeColor="accent1" w:themeShade="80"/>
        </w:rPr>
        <w:t>Politika zaměstnanosti Evropské Unie</w:t>
      </w:r>
    </w:p>
    <w:p w14:paraId="4A6F4337" w14:textId="604E15C6" w:rsidR="00CE6695" w:rsidRPr="00244BB9" w:rsidRDefault="00CE6695" w:rsidP="00C11755">
      <w:pPr>
        <w:spacing w:after="240" w:line="240" w:lineRule="auto"/>
        <w:rPr>
          <w:b/>
          <w:bCs/>
        </w:rPr>
      </w:pPr>
      <w:r w:rsidRPr="00827023">
        <w:rPr>
          <w:b/>
          <w:bCs/>
        </w:rPr>
        <w:t xml:space="preserve">Graf č. </w:t>
      </w:r>
      <w:r w:rsidR="00D32A9F" w:rsidRPr="00827023">
        <w:rPr>
          <w:b/>
          <w:bCs/>
        </w:rPr>
        <w:t>2</w:t>
      </w:r>
      <w:r w:rsidRPr="00827023">
        <w:rPr>
          <w:b/>
          <w:bCs/>
        </w:rPr>
        <w:t xml:space="preserve">.: </w:t>
      </w:r>
      <w:r w:rsidRPr="00244BB9">
        <w:rPr>
          <w:b/>
          <w:bCs/>
        </w:rPr>
        <w:t>Srovnání míry nezaměstnanosti evropských zemí k roku 201</w:t>
      </w:r>
      <w:r w:rsidR="00C11755" w:rsidRPr="00244BB9">
        <w:rPr>
          <w:b/>
          <w:bCs/>
        </w:rPr>
        <w:t>9</w:t>
      </w:r>
      <w:r w:rsidRPr="00244BB9">
        <w:rPr>
          <w:b/>
          <w:bCs/>
        </w:rPr>
        <w:t>:</w:t>
      </w:r>
    </w:p>
    <w:p w14:paraId="4A6F4338" w14:textId="3F00AF32" w:rsidR="00CE6695" w:rsidRPr="00FC3B7C" w:rsidRDefault="00C11755" w:rsidP="00CE6695">
      <w:pPr>
        <w:spacing w:line="240" w:lineRule="auto"/>
      </w:pPr>
      <w:r>
        <w:rPr>
          <w:noProof/>
        </w:rPr>
        <w:drawing>
          <wp:inline distT="0" distB="0" distL="0" distR="0" wp14:anchorId="184DE0C2" wp14:editId="11D90E37">
            <wp:extent cx="4088921" cy="4365295"/>
            <wp:effectExtent l="0" t="0" r="698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73746" t="18228" r="3856" b="9023"/>
                    <a:stretch/>
                  </pic:blipFill>
                  <pic:spPr bwMode="auto">
                    <a:xfrm>
                      <a:off x="0" y="0"/>
                      <a:ext cx="4111530" cy="4389433"/>
                    </a:xfrm>
                    <a:prstGeom prst="rect">
                      <a:avLst/>
                    </a:prstGeom>
                    <a:ln>
                      <a:noFill/>
                    </a:ln>
                    <a:extLst>
                      <a:ext uri="{53640926-AAD7-44D8-BBD7-CCE9431645EC}">
                        <a14:shadowObscured xmlns:a14="http://schemas.microsoft.com/office/drawing/2010/main"/>
                      </a:ext>
                    </a:extLst>
                  </pic:spPr>
                </pic:pic>
              </a:graphicData>
            </a:graphic>
          </wp:inline>
        </w:drawing>
      </w:r>
    </w:p>
    <w:p w14:paraId="4A6F433A" w14:textId="77777777" w:rsidR="00CE6695" w:rsidRPr="00FC3B7C" w:rsidRDefault="00CE6695" w:rsidP="00CE6695">
      <w:pPr>
        <w:spacing w:line="240" w:lineRule="auto"/>
      </w:pPr>
    </w:p>
    <w:p w14:paraId="4A6F433B" w14:textId="1E527D90" w:rsidR="00CE6695" w:rsidRPr="00FC3B7C" w:rsidRDefault="00CE6695" w:rsidP="00F40907">
      <w:pPr>
        <w:pStyle w:val="Nadpis3"/>
      </w:pPr>
      <w:r w:rsidRPr="00FC3B7C">
        <w:tab/>
      </w:r>
      <w:r w:rsidRPr="004A163A">
        <w:rPr>
          <w:color w:val="1F3864" w:themeColor="accent1" w:themeShade="80"/>
        </w:rPr>
        <w:t>Evropská strategie zaměstnanosti</w:t>
      </w:r>
      <w:r w:rsidR="008E6302" w:rsidRPr="004A163A">
        <w:rPr>
          <w:color w:val="1F3864" w:themeColor="accent1" w:themeShade="80"/>
        </w:rPr>
        <w:t xml:space="preserve"> </w:t>
      </w:r>
      <w:r w:rsidRPr="004A163A">
        <w:rPr>
          <w:color w:val="1F3864" w:themeColor="accent1" w:themeShade="80"/>
        </w:rPr>
        <w:t>110</w:t>
      </w:r>
    </w:p>
    <w:p w14:paraId="4A6F433C" w14:textId="77777777" w:rsidR="00CE6695" w:rsidRPr="00FC3B7C" w:rsidRDefault="00CE6695" w:rsidP="00F40907">
      <w:r w:rsidRPr="00FC3B7C">
        <w:t xml:space="preserve">Cílem Evropské strategie zaměstnanosti je vytvářet v celé EU více pracovních míst </w:t>
      </w:r>
      <w:r w:rsidR="00F40907">
        <w:br/>
      </w:r>
      <w:r w:rsidRPr="00FC3B7C">
        <w:t>a zvyšovat jejich kvalitu. Strategie zaměstnanosti vychází ze strategie Evropa 2020 pro hospodářský růst.</w:t>
      </w:r>
    </w:p>
    <w:p w14:paraId="4A6F433D" w14:textId="77777777" w:rsidR="00CE6695" w:rsidRPr="00FC3B7C" w:rsidRDefault="00CE6695" w:rsidP="00F40907">
      <w:r w:rsidRPr="00FC3B7C">
        <w:t>V reakci na vysokou nezaměstnanost v EU představila v dubnu 2012 Evropská komise řadu opatření, která by měla pomoci vytvořit nová pracovní místa – tzv. „balíček týkající se zaměstnanosti“. Jeho účelem je:</w:t>
      </w:r>
    </w:p>
    <w:p w14:paraId="4A6F433E" w14:textId="77777777" w:rsidR="00CE6695" w:rsidRPr="00FC3B7C" w:rsidRDefault="00CE6695" w:rsidP="00D46B53">
      <w:pPr>
        <w:pStyle w:val="Odstavecseseznamem"/>
        <w:numPr>
          <w:ilvl w:val="0"/>
          <w:numId w:val="214"/>
        </w:numPr>
      </w:pPr>
      <w:r w:rsidRPr="00FC3B7C">
        <w:t>podpořit vytváření pracovních příležitostí,</w:t>
      </w:r>
    </w:p>
    <w:p w14:paraId="4A6F433F" w14:textId="77777777" w:rsidR="00CE6695" w:rsidRPr="00FC3B7C" w:rsidRDefault="00CE6695" w:rsidP="00D46B53">
      <w:pPr>
        <w:pStyle w:val="Odstavecseseznamem"/>
        <w:numPr>
          <w:ilvl w:val="0"/>
          <w:numId w:val="214"/>
        </w:numPr>
      </w:pPr>
      <w:r w:rsidRPr="00FC3B7C">
        <w:t>oživit dynamiku pracovních trhů,</w:t>
      </w:r>
    </w:p>
    <w:p w14:paraId="4A6F4340" w14:textId="77777777" w:rsidR="00CE6695" w:rsidRDefault="00CE6695" w:rsidP="00D46B53">
      <w:pPr>
        <w:pStyle w:val="Odstavecseseznamem"/>
        <w:numPr>
          <w:ilvl w:val="0"/>
          <w:numId w:val="214"/>
        </w:numPr>
      </w:pPr>
      <w:r w:rsidRPr="00FC3B7C">
        <w:t>posílit řízení politik v oblasti zaměstnanosti.</w:t>
      </w:r>
    </w:p>
    <w:p w14:paraId="4A6F4341" w14:textId="77777777" w:rsidR="00F40907" w:rsidRPr="00FC3B7C" w:rsidRDefault="00F40907" w:rsidP="00F40907">
      <w:pPr>
        <w:ind w:left="720"/>
      </w:pPr>
    </w:p>
    <w:p w14:paraId="4A6F4342" w14:textId="77777777" w:rsidR="00CE6695" w:rsidRPr="00FC3B7C" w:rsidRDefault="00CE6695" w:rsidP="00CE6695">
      <w:pPr>
        <w:spacing w:line="240" w:lineRule="auto"/>
      </w:pPr>
      <w:r w:rsidRPr="00FC3B7C">
        <w:tab/>
      </w:r>
    </w:p>
    <w:p w14:paraId="4A6F4343" w14:textId="77777777" w:rsidR="00CE6695" w:rsidRPr="004A163A" w:rsidRDefault="00CE6695" w:rsidP="00F40907">
      <w:pPr>
        <w:pStyle w:val="Nadpis4"/>
        <w:rPr>
          <w:color w:val="1F3864" w:themeColor="accent1" w:themeShade="80"/>
        </w:rPr>
      </w:pPr>
      <w:r w:rsidRPr="004A163A">
        <w:rPr>
          <w:color w:val="1F3864" w:themeColor="accent1" w:themeShade="80"/>
        </w:rPr>
        <w:lastRenderedPageBreak/>
        <w:tab/>
        <w:t>EURES111</w:t>
      </w:r>
    </w:p>
    <w:p w14:paraId="4A6F4344" w14:textId="77777777" w:rsidR="00CE6695" w:rsidRPr="00FC3B7C" w:rsidRDefault="00CE6695" w:rsidP="00C11755">
      <w:r w:rsidRPr="00FC3B7C">
        <w:t>Úřady práce se po připojení České republiky k Evropské unii staly součástí sítě EURES, jejímž základním posláním je usnadňovat mezinárodní mobilitu pracovních sil.</w:t>
      </w:r>
    </w:p>
    <w:p w14:paraId="4A6F4345" w14:textId="77777777" w:rsidR="00CE6695" w:rsidRPr="00FC3B7C" w:rsidRDefault="00CE6695" w:rsidP="00C11755">
      <w:r w:rsidRPr="00FC3B7C">
        <w:t xml:space="preserve">Službu EURES (EURopean Employment Services – Evropské služby zaměstnanosti) nabízí veřejné služby zaměstnanosti všech 27 členských států EU, dále Norska, Islandu </w:t>
      </w:r>
      <w:r w:rsidR="00F40907">
        <w:br/>
      </w:r>
      <w:r w:rsidRPr="00FC3B7C">
        <w:t xml:space="preserve">a Lichtenštejnska, které jsou součástí Evropského hospodářského prostoru (EHP). Dohodu </w:t>
      </w:r>
      <w:r w:rsidR="00F40907">
        <w:br/>
      </w:r>
      <w:r w:rsidRPr="00FC3B7C">
        <w:t>o účasti v síti EURES má i Švýcarsko.</w:t>
      </w:r>
    </w:p>
    <w:p w14:paraId="4A6F4346" w14:textId="77777777" w:rsidR="00CE6695" w:rsidRPr="00FC3B7C" w:rsidRDefault="00CE6695" w:rsidP="00C11755">
      <w:r w:rsidRPr="00FC3B7C">
        <w:t xml:space="preserve">Základním úkolem sítě EURES je poskytovat služby, užitečné pracovníkům, uchazečům </w:t>
      </w:r>
      <w:r w:rsidR="00F40907">
        <w:br/>
      </w:r>
      <w:r w:rsidRPr="00FC3B7C">
        <w:t>a zájemcům o práci i zaměstnavatelům, respektive všem občanům, kteří mají zájem využívat svého práva volného pohybu osob.</w:t>
      </w:r>
    </w:p>
    <w:p w14:paraId="4A6F4347" w14:textId="77777777" w:rsidR="00CE6695" w:rsidRPr="00FC3B7C" w:rsidRDefault="00CE6695" w:rsidP="00CE6695">
      <w:pPr>
        <w:spacing w:line="240" w:lineRule="auto"/>
      </w:pPr>
    </w:p>
    <w:p w14:paraId="4A6F4348" w14:textId="77777777" w:rsidR="00CE6695" w:rsidRPr="004A163A" w:rsidRDefault="00CE6695" w:rsidP="00F40907">
      <w:pPr>
        <w:pStyle w:val="Nadpis4"/>
        <w:rPr>
          <w:color w:val="1F3864" w:themeColor="accent1" w:themeShade="80"/>
        </w:rPr>
      </w:pPr>
      <w:r w:rsidRPr="004A163A">
        <w:rPr>
          <w:color w:val="1F3864" w:themeColor="accent1" w:themeShade="80"/>
        </w:rPr>
        <w:t>Transfer dávek</w:t>
      </w:r>
    </w:p>
    <w:p w14:paraId="4A6F434A" w14:textId="77777777" w:rsidR="00CE6695" w:rsidRPr="00FC3B7C" w:rsidRDefault="00CE6695" w:rsidP="00F40907">
      <w:r w:rsidRPr="00FC3B7C">
        <w:t>Nezaměstnaná osoba má možnost hledat práci v jiném členském státě a nadále pobírat dávky v nezaměstnanosti od státu posledního zaměstnání.</w:t>
      </w:r>
    </w:p>
    <w:p w14:paraId="4A6F434B" w14:textId="77777777" w:rsidR="00CE6695" w:rsidRPr="00FC3B7C" w:rsidRDefault="00CE6695" w:rsidP="00F40907">
      <w:r w:rsidRPr="00FC3B7C">
        <w:t xml:space="preserve">Migrující pracovníci tedy spadají pod sociální systém toho státu, na jehož území pracují </w:t>
      </w:r>
      <w:r w:rsidR="00F40907">
        <w:br/>
      </w:r>
      <w:r w:rsidRPr="00FC3B7C">
        <w:t>a odvádějí příspěvky na sociální zabezpečení. Na základě těchto odvodů pak tento stát poskytuje sociální dávky, včetně dávek v nezaměstnanosti. Výjimku z uvedeného pravidla tvoří tzv. přeshraniční pracovníci, kteří mohou nárokovat dávky v nezaměstnanosti ve státě bydliště. Přeshraničními pracovníky jsou osoby, které pracují v jiné zemi, než ve které bydlí, zachovají si centrum zájmů v jednom státě a na omezenou dobu se přesunou za zaměstnáním do jiného státu. Specifickou kategorií přeshraničních pracovníků jsou příhraniční pracovníci (tzv. pendleři), kteří z jednoho státu pravidelně dojíždějí přes hranice do zaměstnání v jiném státě, přičemž se minimálně jednou týdně vracejí zpět do státu bydliště. Pendleři mohou žádat o dávky v nezaměstnanosti pouze ve státě bydliště.</w:t>
      </w:r>
    </w:p>
    <w:p w14:paraId="4A6F434C" w14:textId="77777777" w:rsidR="00CE6695" w:rsidRPr="00FC3B7C" w:rsidRDefault="00CE6695" w:rsidP="00CE6695">
      <w:pPr>
        <w:spacing w:line="240" w:lineRule="auto"/>
      </w:pPr>
    </w:p>
    <w:p w14:paraId="4A6F434D" w14:textId="77777777" w:rsidR="00CE6695" w:rsidRPr="004A163A" w:rsidRDefault="00CE6695" w:rsidP="00F40907">
      <w:pPr>
        <w:pStyle w:val="Nadpis4"/>
        <w:rPr>
          <w:color w:val="1F3864" w:themeColor="accent1" w:themeShade="80"/>
        </w:rPr>
      </w:pPr>
      <w:r w:rsidRPr="004A163A">
        <w:rPr>
          <w:color w:val="1F3864" w:themeColor="accent1" w:themeShade="80"/>
        </w:rPr>
        <w:t>Dokumenty důležité pro politiku zaměstnanosti</w:t>
      </w:r>
    </w:p>
    <w:p w14:paraId="4A6F434F" w14:textId="77777777" w:rsidR="00CE6695" w:rsidRPr="00FC3B7C" w:rsidRDefault="00CE6695" w:rsidP="008E6302">
      <w:pPr>
        <w:spacing w:after="240"/>
      </w:pPr>
      <w:r w:rsidRPr="00FC3B7C">
        <w:rPr>
          <w:b/>
        </w:rPr>
        <w:t>Bílá kniha 1993</w:t>
      </w:r>
      <w:r w:rsidRPr="00FC3B7C">
        <w:t xml:space="preserve"> – důvodem jejího sepsání byla přetrvávající nezaměstnanost ze 70. let, obsahovala střednědobou strategii růstu a identifikovala problémy, které ale nyní stále existují.</w:t>
      </w:r>
    </w:p>
    <w:p w14:paraId="4A6F4350" w14:textId="77777777" w:rsidR="00CE6695" w:rsidRPr="00FC3B7C" w:rsidRDefault="00CE6695" w:rsidP="008E6302">
      <w:pPr>
        <w:spacing w:after="240"/>
      </w:pPr>
      <w:r w:rsidRPr="00FC3B7C">
        <w:rPr>
          <w:b/>
        </w:rPr>
        <w:t>Amsterodamská smlouva 1997</w:t>
      </w:r>
      <w:r w:rsidRPr="00FC3B7C">
        <w:t xml:space="preserve"> – zde již byla ukotvena koordinace trhu práce </w:t>
      </w:r>
      <w:r w:rsidR="00F40907">
        <w:br/>
      </w:r>
      <w:r w:rsidRPr="00FC3B7C">
        <w:t>zaměstnanosti.</w:t>
      </w:r>
    </w:p>
    <w:p w14:paraId="4A6F4351" w14:textId="77777777" w:rsidR="00CE6695" w:rsidRPr="00FC3B7C" w:rsidRDefault="00CE6695" w:rsidP="008E6302">
      <w:pPr>
        <w:spacing w:after="240"/>
      </w:pPr>
      <w:r w:rsidRPr="00FC3B7C">
        <w:rPr>
          <w:b/>
        </w:rPr>
        <w:t>Lucemburský, Essenský a Cardifský summit</w:t>
      </w:r>
      <w:r w:rsidRPr="00FC3B7C">
        <w:t xml:space="preserve"> – na těchto summitech se jednalo o politice zaměstnanosti, o směrnicích a pravidlech pro členské státy. Státy se těmito pravidly mají řídit, </w:t>
      </w:r>
      <w:r w:rsidRPr="00FC3B7C">
        <w:lastRenderedPageBreak/>
        <w:t xml:space="preserve">pokud do EU vstoupí. Členské státy budou tvořit tzv. Národní akční plány, ve kterých budou uvádět svoje záměry z oblasti politiky zaměstnanosti (hlavně té aktivní) a každý rok budou podávat zprávu o výsledcích svého snažení. ČR svůj první Národní akční plán vytvořila již r. 1998, od r. 2000 jej tvořila pravidelně každoročně a od r. 2001 měl již standarty EU. Vytvořila ho proto, aby dala najevo, že o vstup do EU stojí a chce dodržovat pravidla. </w:t>
      </w:r>
    </w:p>
    <w:p w14:paraId="4A6F4352" w14:textId="77777777" w:rsidR="00CE6695" w:rsidRPr="00FC3B7C" w:rsidRDefault="00CE6695" w:rsidP="008E6302">
      <w:pPr>
        <w:spacing w:after="240"/>
      </w:pPr>
      <w:r w:rsidRPr="00FC3B7C">
        <w:rPr>
          <w:b/>
        </w:rPr>
        <w:t>Lisabonská strategie 2000</w:t>
      </w:r>
      <w:r w:rsidRPr="00FC3B7C">
        <w:t xml:space="preserve"> – včlenila do sebe všechny předchozí summity, měla ambiciózní cíle, které vzhledem k situaci v EU (zaostávala a zaostává za USA) nebylo možné naplnit. Obsahovala témata diskutovaná již v Delorsově Bílé knize 1993. Ve Strategii byla aplikována tzv. otevřená metoda koordinace (dohodnuté směrnice, harmonogram plnění cílů, monitorování a hodnocení pokroku členských států). Hlavním cílem Strategie bylo vytvoření lepších a více pracovních míst (70 % zaměstnanost a 60 % zaměstnanost žen do r. 2010). </w:t>
      </w:r>
    </w:p>
    <w:p w14:paraId="4A6F4353" w14:textId="77777777" w:rsidR="00CE6695" w:rsidRPr="00FC3B7C" w:rsidRDefault="00CE6695" w:rsidP="008E6302">
      <w:pPr>
        <w:spacing w:after="240"/>
      </w:pPr>
      <w:r w:rsidRPr="00FC3B7C">
        <w:rPr>
          <w:b/>
        </w:rPr>
        <w:t xml:space="preserve">WimKokova zpráva 2004 </w:t>
      </w:r>
      <w:r w:rsidRPr="00FC3B7C">
        <w:t>– reaguje velmi negativně na Lisabonskou strategii, zredukovala cíle (cíle Strategie totiž plnilo pouze několik států: Dánsko, Švédsko, Nizozemí, Německo, Rakousko, … a většina z nich tyto cíle plnila už r. 2000). Kritizovala Strategii kvůli její neúspěšnosti, pouze na problémy upozornila, ale nevyřešila je.</w:t>
      </w:r>
    </w:p>
    <w:p w14:paraId="4A6F4354" w14:textId="77777777" w:rsidR="00CE6695" w:rsidRPr="00FC3B7C" w:rsidRDefault="00CE6695" w:rsidP="00F40907">
      <w:r w:rsidRPr="00FC3B7C">
        <w:rPr>
          <w:b/>
        </w:rPr>
        <w:t>Evropa 2020</w:t>
      </w:r>
      <w:r w:rsidRPr="00FC3B7C">
        <w:t xml:space="preserve"> – navazuje na Lisabonskou strategii, má analogické cíle, chce 75 % celkovou zaměstnanost, 40 % populace ve věku 30-39 let má mít vysokoškolské vzdělání a pod 10% hranici má spadnout podíl lidí s nedokončeným základním vzděláním.</w:t>
      </w:r>
    </w:p>
    <w:p w14:paraId="4A6F4355" w14:textId="77777777" w:rsidR="00CE6695" w:rsidRPr="00FC3B7C" w:rsidRDefault="00CE6695" w:rsidP="00CE6695">
      <w:pPr>
        <w:spacing w:line="240" w:lineRule="auto"/>
      </w:pPr>
    </w:p>
    <w:p w14:paraId="4A6F4356" w14:textId="77777777" w:rsidR="00CE6695" w:rsidRPr="004A163A" w:rsidRDefault="00CE6695" w:rsidP="00F40907">
      <w:pPr>
        <w:pStyle w:val="Nadpis2"/>
        <w:rPr>
          <w:color w:val="1F3864" w:themeColor="accent1" w:themeShade="80"/>
        </w:rPr>
      </w:pPr>
      <w:r w:rsidRPr="004A163A">
        <w:rPr>
          <w:color w:val="1F3864" w:themeColor="accent1" w:themeShade="80"/>
        </w:rPr>
        <w:t>NEZAMĚSTNANOST</w:t>
      </w:r>
    </w:p>
    <w:p w14:paraId="4A6F4357" w14:textId="77777777" w:rsidR="00CE6695" w:rsidRPr="00FC3B7C" w:rsidRDefault="00CE6695" w:rsidP="00F40907">
      <w:r w:rsidRPr="00FC3B7C">
        <w:rPr>
          <w:b/>
        </w:rPr>
        <w:t>Nezaměstnanost</w:t>
      </w:r>
      <w:r w:rsidRPr="00FC3B7C">
        <w:t xml:space="preserve"> je situace na trhu práce, kdy dochází k převisu nabídky práce nad poptávkou po práci.</w:t>
      </w:r>
    </w:p>
    <w:p w14:paraId="4A6F4358" w14:textId="77777777" w:rsidR="00CE6695" w:rsidRPr="00FC3B7C" w:rsidRDefault="00CE6695" w:rsidP="00F40907">
      <w:r w:rsidRPr="00FC3B7C">
        <w:rPr>
          <w:b/>
        </w:rPr>
        <w:t>Nezaměstnaný</w:t>
      </w:r>
      <w:r w:rsidRPr="00FC3B7C">
        <w:t xml:space="preserve"> je jedinec schopný a ochotný pracovat, která však nemůže najít placené zaměstnání, splňujíce následující podmínky:</w:t>
      </w:r>
    </w:p>
    <w:p w14:paraId="4A6F4359" w14:textId="77777777" w:rsidR="00F40907" w:rsidRDefault="00CE6695" w:rsidP="00D46B53">
      <w:pPr>
        <w:pStyle w:val="Odstavecseseznamem"/>
        <w:numPr>
          <w:ilvl w:val="0"/>
          <w:numId w:val="651"/>
        </w:numPr>
        <w:ind w:left="142"/>
      </w:pPr>
      <w:r w:rsidRPr="00FC3B7C">
        <w:t>je ev</w:t>
      </w:r>
      <w:r w:rsidR="00F40907">
        <w:t>idovaný na ÚP</w:t>
      </w:r>
    </w:p>
    <w:p w14:paraId="4A6F435A" w14:textId="047A2E9D" w:rsidR="00CE6695" w:rsidRPr="00FC3B7C" w:rsidRDefault="00CE6695" w:rsidP="00D46B53">
      <w:pPr>
        <w:pStyle w:val="Odstavecseseznamem"/>
        <w:numPr>
          <w:ilvl w:val="0"/>
          <w:numId w:val="651"/>
        </w:numPr>
        <w:ind w:left="142"/>
      </w:pPr>
      <w:r w:rsidRPr="00FC3B7C">
        <w:t xml:space="preserve">aktivně si hledá zaměstnání – prostřednictvím ÚP, pracovní agentury, přímo </w:t>
      </w:r>
      <w:r w:rsidR="00FE4A28" w:rsidRPr="00FC3B7C">
        <w:t>ve</w:t>
      </w:r>
      <w:r w:rsidR="00FE4A28">
        <w:t xml:space="preserve"> firmách</w:t>
      </w:r>
      <w:r w:rsidRPr="00FC3B7C">
        <w:t>, pomocí inzerce, nebo podniká kroky pro založení vlastní firmy atd.</w:t>
      </w:r>
    </w:p>
    <w:p w14:paraId="4A6F435C" w14:textId="2BFFE840" w:rsidR="00CE6695" w:rsidRPr="00FC3B7C" w:rsidRDefault="00CE6695" w:rsidP="00D46B53">
      <w:pPr>
        <w:pStyle w:val="Odstavecseseznamem"/>
        <w:numPr>
          <w:ilvl w:val="0"/>
          <w:numId w:val="651"/>
        </w:numPr>
        <w:ind w:left="142"/>
      </w:pPr>
      <w:r w:rsidRPr="00FC3B7C">
        <w:t xml:space="preserve">je okamžitě připraven k nástupu do práce – nejpozději do 14 dnů je k dispozici </w:t>
      </w:r>
      <w:r w:rsidR="00FE4A28" w:rsidRPr="00FC3B7C">
        <w:t>pro</w:t>
      </w:r>
      <w:r w:rsidR="00FE4A28">
        <w:t xml:space="preserve"> výkon</w:t>
      </w:r>
      <w:r w:rsidRPr="00FC3B7C">
        <w:t xml:space="preserve"> placeného zaměstnání nebo zaměstnání ve vlastním podniku</w:t>
      </w:r>
    </w:p>
    <w:p w14:paraId="4A6F435D" w14:textId="77777777" w:rsidR="00CE6695" w:rsidRPr="00FC3B7C" w:rsidRDefault="00CE6695" w:rsidP="00F40907">
      <w:r w:rsidRPr="00FC3B7C">
        <w:rPr>
          <w:b/>
        </w:rPr>
        <w:t>Míra nezaměstnanosti</w:t>
      </w:r>
      <w:r w:rsidRPr="00FC3B7C">
        <w:t xml:space="preserve"> u: vyjadřuje procentuální podíl nezaměstnaných U na celkové pracovní síle (L+U).</w:t>
      </w:r>
    </w:p>
    <w:p w14:paraId="4A6F435E" w14:textId="77777777" w:rsidR="00CE6695" w:rsidRPr="00FC3B7C" w:rsidRDefault="00F40907" w:rsidP="00F40907">
      <w:pPr>
        <w:rPr>
          <w:b/>
        </w:rPr>
      </w:pPr>
      <w:r>
        <w:rPr>
          <w:b/>
        </w:rPr>
        <w:t>u = (U / L+U) * 100</w:t>
      </w:r>
    </w:p>
    <w:p w14:paraId="4A6F435F" w14:textId="77777777" w:rsidR="00CE6695" w:rsidRPr="00FC3B7C" w:rsidRDefault="00CE6695" w:rsidP="00D46B53">
      <w:pPr>
        <w:pStyle w:val="Odstavecseseznamem"/>
        <w:numPr>
          <w:ilvl w:val="0"/>
          <w:numId w:val="652"/>
        </w:numPr>
        <w:ind w:left="567" w:hanging="425"/>
      </w:pPr>
      <w:r w:rsidRPr="00FC3B7C">
        <w:lastRenderedPageBreak/>
        <w:t>pracovní síla (ekonomicky aktivní) = počet zaměstnaných L a nezaměstnaných U</w:t>
      </w:r>
    </w:p>
    <w:p w14:paraId="4A6F4360" w14:textId="0B8B0698" w:rsidR="00CE6695" w:rsidRPr="00FC3B7C" w:rsidRDefault="00CE6695" w:rsidP="00D46B53">
      <w:pPr>
        <w:pStyle w:val="Odstavecseseznamem"/>
        <w:numPr>
          <w:ilvl w:val="0"/>
          <w:numId w:val="652"/>
        </w:numPr>
        <w:ind w:left="567" w:hanging="425"/>
      </w:pPr>
      <w:r w:rsidRPr="00FC3B7C">
        <w:t>současná obecná míra nezaměstnanosti je 2,8 %</w:t>
      </w:r>
      <w:r w:rsidR="003376E1">
        <w:t xml:space="preserve"> </w:t>
      </w:r>
      <w:r w:rsidRPr="00FC3B7C">
        <w:t>– listopad 2018</w:t>
      </w:r>
    </w:p>
    <w:p w14:paraId="4A6F4361" w14:textId="6FEEF350" w:rsidR="00CE6695" w:rsidRDefault="00CE6695" w:rsidP="00D46B53">
      <w:pPr>
        <w:pStyle w:val="Odstavecseseznamem"/>
        <w:numPr>
          <w:ilvl w:val="0"/>
          <w:numId w:val="652"/>
        </w:numPr>
        <w:ind w:left="567" w:hanging="425"/>
      </w:pPr>
      <w:r w:rsidRPr="00FC3B7C">
        <w:t>Obecná míra nezaměstnanosti vyjadřuje podíl počtu nezaměstnaných na celkové pracovní síle (v procentech), kde čitatel i jmenovatel jsou ukazatele konstruované podle mezinárodních definic a doporučení aplikovaných ve VŠPS.</w:t>
      </w:r>
      <w:r w:rsidR="00F40907">
        <w:t xml:space="preserve"> </w:t>
      </w:r>
      <w:r w:rsidRPr="00FC3B7C">
        <w:t>Ukazatel je konstruován podle metodiky Eurostatu vypracované na základě doporučení Mezinárodní organizace práce (ILO).</w:t>
      </w:r>
    </w:p>
    <w:p w14:paraId="3CF94889" w14:textId="77777777" w:rsidR="004A43AA" w:rsidRPr="00FC3B7C" w:rsidRDefault="004A43AA" w:rsidP="004A43AA">
      <w:pPr>
        <w:pStyle w:val="Odstavecseseznamem"/>
        <w:ind w:left="567"/>
      </w:pPr>
    </w:p>
    <w:p w14:paraId="4A6F4362" w14:textId="77777777" w:rsidR="00CE6695" w:rsidRPr="004A163A" w:rsidRDefault="00CE6695" w:rsidP="00F40907">
      <w:pPr>
        <w:pStyle w:val="Nadpis3"/>
        <w:rPr>
          <w:color w:val="1F3864" w:themeColor="accent1" w:themeShade="80"/>
        </w:rPr>
      </w:pPr>
      <w:r w:rsidRPr="004A163A">
        <w:rPr>
          <w:color w:val="1F3864" w:themeColor="accent1" w:themeShade="80"/>
        </w:rPr>
        <w:tab/>
        <w:t>Nově používané měření MPSV</w:t>
      </w:r>
    </w:p>
    <w:p w14:paraId="4A6F4363" w14:textId="77777777" w:rsidR="00CE6695" w:rsidRPr="00FC3B7C" w:rsidRDefault="00CE6695" w:rsidP="00F40907">
      <w:r w:rsidRPr="00FC3B7C">
        <w:t>Nově se nyní od r. 2013 používá k měření nezaměstnanosti „podíl nezaměstnaných osob 15-64 let“, tato míra nezaměstnanosti vychází nižší než z původního měření (uvažuje celkové</w:t>
      </w:r>
      <w:r w:rsidR="00F40907">
        <w:t xml:space="preserve"> </w:t>
      </w:r>
      <w:r w:rsidRPr="00FC3B7C">
        <w:t>obyvatelstvo – ekonomicky aktivní + ekonomicky neaktivní obyvatelstvo). V únoru 2017 dosahovala míra nezaměstna</w:t>
      </w:r>
      <w:r w:rsidR="00F40907">
        <w:t xml:space="preserve">nosti podle tohoto měření (PNO) </w:t>
      </w:r>
      <w:r w:rsidRPr="00FC3B7C">
        <w:t>2,8 % (listopad 2018).</w:t>
      </w:r>
    </w:p>
    <w:p w14:paraId="4A6F4364" w14:textId="77777777" w:rsidR="00CE6695" w:rsidRPr="00FC3B7C" w:rsidRDefault="00CE6695" w:rsidP="00F40907">
      <w:r w:rsidRPr="00FC3B7C">
        <w:t>Původní měření, které MPSV používalo, byl podíl uchazečů o zaměstnání (registrovaná</w:t>
      </w:r>
    </w:p>
    <w:p w14:paraId="4A6F4365" w14:textId="77777777" w:rsidR="00CE6695" w:rsidRPr="00FC3B7C" w:rsidRDefault="00CE6695" w:rsidP="00F40907">
      <w:r w:rsidRPr="00FC3B7C">
        <w:t>nezaměstnanost) na ekonomicky aktivní obyvatelstvo, z tohoto měření vycházela tzv. míra</w:t>
      </w:r>
    </w:p>
    <w:p w14:paraId="4A6F4366" w14:textId="77777777" w:rsidR="00CE6695" w:rsidRPr="00FC3B7C" w:rsidRDefault="00CE6695" w:rsidP="00F40907">
      <w:r w:rsidRPr="00FC3B7C">
        <w:t>registrované nezaměstnanosti. ČSÚ používá rozdílnou metodiku měření a to tzv. výběrové</w:t>
      </w:r>
    </w:p>
    <w:p w14:paraId="4A6F4367" w14:textId="77777777" w:rsidR="00CE6695" w:rsidRPr="00FC3B7C" w:rsidRDefault="00CE6695" w:rsidP="00F40907">
      <w:r w:rsidRPr="00FC3B7C">
        <w:t xml:space="preserve">šetření pracovních sil, a to dle doporučení Eurostatu, z tohoto </w:t>
      </w:r>
      <w:r w:rsidR="00F40907">
        <w:t xml:space="preserve">měření vychází tzv. obecná míra </w:t>
      </w:r>
      <w:r w:rsidRPr="00FC3B7C">
        <w:t>nezaměstnanosti používaná pro mezinárodní srovnání.</w:t>
      </w:r>
    </w:p>
    <w:p w14:paraId="4A6F4369" w14:textId="3A82E57B" w:rsidR="00CE6695" w:rsidRPr="00FC3B7C" w:rsidRDefault="00CE6695" w:rsidP="00CE6695">
      <w:pPr>
        <w:spacing w:line="240" w:lineRule="auto"/>
      </w:pPr>
      <w:r w:rsidRPr="00FC3B7C">
        <w:rPr>
          <w:b/>
        </w:rPr>
        <w:t>Nové měření vypadá takto:</w:t>
      </w:r>
    </w:p>
    <w:p w14:paraId="4A6F436A" w14:textId="77777777" w:rsidR="00CE6695" w:rsidRPr="00FC3B7C" w:rsidRDefault="00CE6695" w:rsidP="00CE6695">
      <w:pPr>
        <w:spacing w:line="240" w:lineRule="auto"/>
        <w:jc w:val="center"/>
        <w:rPr>
          <w:sz w:val="32"/>
          <w:szCs w:val="32"/>
        </w:rPr>
      </w:pPr>
      <w:r w:rsidRPr="00FC3B7C">
        <w:rPr>
          <w:sz w:val="32"/>
          <w:szCs w:val="32"/>
        </w:rPr>
        <w:t>u=</w:t>
      </w:r>
      <m:oMath>
        <m:f>
          <m:fPr>
            <m:ctrlPr>
              <w:rPr>
                <w:rFonts w:ascii="Cambria Math" w:hAnsi="Cambria Math"/>
                <w:i/>
                <w:iCs/>
                <w:sz w:val="32"/>
                <w:szCs w:val="32"/>
              </w:rPr>
            </m:ctrlPr>
          </m:fPr>
          <m:num>
            <m:r>
              <w:rPr>
                <w:rFonts w:ascii="Cambria Math" w:hAnsi="Cambria Math"/>
                <w:sz w:val="32"/>
                <w:szCs w:val="32"/>
              </w:rPr>
              <m:t>U</m:t>
            </m:r>
          </m:num>
          <m:den>
            <m:r>
              <w:rPr>
                <w:rFonts w:ascii="Cambria Math" w:hAnsi="Cambria Math"/>
                <w:sz w:val="32"/>
                <w:szCs w:val="32"/>
              </w:rPr>
              <m:t>E+U</m:t>
            </m:r>
          </m:den>
        </m:f>
      </m:oMath>
      <w:r w:rsidRPr="00FC3B7C">
        <w:rPr>
          <w:sz w:val="32"/>
          <w:szCs w:val="32"/>
        </w:rPr>
        <w:sym w:font="Symbol" w:char="F02A"/>
      </w:r>
      <w:r w:rsidRPr="00FC3B7C">
        <w:rPr>
          <w:sz w:val="32"/>
          <w:szCs w:val="32"/>
        </w:rPr>
        <w:t>100</w:t>
      </w:r>
    </w:p>
    <w:p w14:paraId="4A6F436B" w14:textId="77777777" w:rsidR="00CE6695" w:rsidRPr="00FC3B7C" w:rsidRDefault="00CE6695" w:rsidP="00CE6695">
      <w:pPr>
        <w:spacing w:line="240" w:lineRule="auto"/>
      </w:pPr>
    </w:p>
    <w:p w14:paraId="4A6F436C" w14:textId="77777777" w:rsidR="00CE6695" w:rsidRPr="00FC3B7C" w:rsidRDefault="00F40907" w:rsidP="00F40907">
      <w:r>
        <w:rPr>
          <w:b/>
        </w:rPr>
        <w:t>E</w:t>
      </w:r>
      <w:r w:rsidR="00CE6695" w:rsidRPr="00FC3B7C">
        <w:rPr>
          <w:b/>
        </w:rPr>
        <w:t>konomicky aktivní obyvatelstvo</w:t>
      </w:r>
      <w:r w:rsidR="00CE6695" w:rsidRPr="00FC3B7C">
        <w:t xml:space="preserve"> – jedinci ve věku od 15 let, kteří buď pracují, nebo jsou nezaměstnaní, ale hledají si zaměstnání, nebo čekají, až se budou moct vrátit do práce po dočasném přerušení pracovního poměru</w:t>
      </w:r>
    </w:p>
    <w:p w14:paraId="4A6F436D" w14:textId="677F8184" w:rsidR="00CE6695" w:rsidRPr="00FC3B7C" w:rsidRDefault="00F40907" w:rsidP="00F40907">
      <w:pPr>
        <w:rPr>
          <w:b/>
        </w:rPr>
      </w:pPr>
      <w:r>
        <w:rPr>
          <w:b/>
        </w:rPr>
        <w:t>E</w:t>
      </w:r>
      <w:r w:rsidR="00CE6695" w:rsidRPr="00FC3B7C">
        <w:rPr>
          <w:b/>
        </w:rPr>
        <w:t>konomicky neaktivní obyvatelstvo –</w:t>
      </w:r>
      <w:r w:rsidR="003376E1">
        <w:rPr>
          <w:b/>
        </w:rPr>
        <w:t xml:space="preserve"> </w:t>
      </w:r>
      <w:r w:rsidR="00CE6695" w:rsidRPr="00FC3B7C">
        <w:rPr>
          <w:b/>
        </w:rPr>
        <w:t>nejsou</w:t>
      </w:r>
      <w:r w:rsidR="003376E1">
        <w:rPr>
          <w:b/>
        </w:rPr>
        <w:t xml:space="preserve"> </w:t>
      </w:r>
      <w:r w:rsidR="00CE6695" w:rsidRPr="00FC3B7C">
        <w:rPr>
          <w:b/>
        </w:rPr>
        <w:t>zaměstnaní</w:t>
      </w:r>
      <w:r w:rsidR="003376E1">
        <w:rPr>
          <w:b/>
        </w:rPr>
        <w:t xml:space="preserve"> </w:t>
      </w:r>
      <w:r w:rsidR="00CE6695" w:rsidRPr="00FC3B7C">
        <w:rPr>
          <w:b/>
        </w:rPr>
        <w:t>a</w:t>
      </w:r>
      <w:r w:rsidR="003376E1">
        <w:rPr>
          <w:b/>
        </w:rPr>
        <w:t xml:space="preserve"> </w:t>
      </w:r>
      <w:r w:rsidR="00CE6695" w:rsidRPr="00FC3B7C">
        <w:rPr>
          <w:b/>
        </w:rPr>
        <w:t>práci</w:t>
      </w:r>
      <w:r w:rsidR="003376E1">
        <w:rPr>
          <w:b/>
        </w:rPr>
        <w:t xml:space="preserve"> </w:t>
      </w:r>
      <w:r w:rsidR="00CE6695" w:rsidRPr="00FC3B7C">
        <w:rPr>
          <w:b/>
        </w:rPr>
        <w:t>si</w:t>
      </w:r>
      <w:r w:rsidR="003376E1">
        <w:rPr>
          <w:b/>
        </w:rPr>
        <w:t xml:space="preserve"> </w:t>
      </w:r>
      <w:r w:rsidR="00CE6695" w:rsidRPr="00FC3B7C">
        <w:rPr>
          <w:b/>
        </w:rPr>
        <w:t>nehledají,</w:t>
      </w:r>
    </w:p>
    <w:p w14:paraId="4A6F436E" w14:textId="048D64C9" w:rsidR="00C11755" w:rsidRDefault="00CE6695" w:rsidP="00C11755">
      <w:pPr>
        <w:spacing w:after="240"/>
      </w:pPr>
      <w:r w:rsidRPr="00FC3B7C">
        <w:t>nepatří mezi nezaměstnané (starobní a invalidní důchodci, ženy v domácnosti, studenti)</w:t>
      </w:r>
    </w:p>
    <w:p w14:paraId="4A6F4371" w14:textId="39C7E71B" w:rsidR="00CE6695" w:rsidRPr="00827023" w:rsidRDefault="00C11755" w:rsidP="00C11755">
      <w:pPr>
        <w:spacing w:after="240" w:line="240" w:lineRule="auto"/>
        <w:jc w:val="left"/>
        <w:rPr>
          <w:b/>
          <w:bCs/>
        </w:rPr>
      </w:pPr>
      <w:r>
        <w:br w:type="page"/>
      </w:r>
      <w:r w:rsidR="00CE6695" w:rsidRPr="00827023">
        <w:rPr>
          <w:b/>
          <w:bCs/>
        </w:rPr>
        <w:lastRenderedPageBreak/>
        <w:t xml:space="preserve">Graf č. </w:t>
      </w:r>
      <w:r w:rsidR="00D32A9F" w:rsidRPr="00827023">
        <w:rPr>
          <w:b/>
          <w:bCs/>
        </w:rPr>
        <w:t>3</w:t>
      </w:r>
      <w:r w:rsidR="00CE6695" w:rsidRPr="00827023">
        <w:rPr>
          <w:b/>
          <w:bCs/>
        </w:rPr>
        <w:t xml:space="preserve">: </w:t>
      </w:r>
      <w:r w:rsidRPr="00244BB9">
        <w:rPr>
          <w:b/>
          <w:bCs/>
        </w:rPr>
        <w:t>Vývoj indexů nezaměstnanosti v ČR dle měření MPSV a ČSÚ:</w:t>
      </w:r>
    </w:p>
    <w:p w14:paraId="4A6F4372" w14:textId="08942F65" w:rsidR="00CE6695" w:rsidRPr="00FC3B7C" w:rsidRDefault="00C11755" w:rsidP="00CE6695">
      <w:pPr>
        <w:spacing w:line="240" w:lineRule="auto"/>
      </w:pPr>
      <w:r>
        <w:rPr>
          <w:b/>
          <w:bCs/>
          <w:noProof/>
        </w:rPr>
        <w:drawing>
          <wp:inline distT="0" distB="0" distL="0" distR="0" wp14:anchorId="37EAFD19" wp14:editId="4F0300A3">
            <wp:extent cx="4572000" cy="2742897"/>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BEBA8EAE-BF5A-486C-A8C5-ECC9F3942E4B}">
                          <a14:imgProps xmlns:a14="http://schemas.microsoft.com/office/drawing/2010/main">
                            <a14:imgLayer r:embed="rId8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674202" cy="2804211"/>
                    </a:xfrm>
                    <a:prstGeom prst="rect">
                      <a:avLst/>
                    </a:prstGeom>
                    <a:noFill/>
                    <a:ln>
                      <a:noFill/>
                    </a:ln>
                  </pic:spPr>
                </pic:pic>
              </a:graphicData>
            </a:graphic>
          </wp:inline>
        </w:drawing>
      </w:r>
    </w:p>
    <w:p w14:paraId="4A6F4376" w14:textId="3509CBDC" w:rsidR="00F40907" w:rsidRPr="00FC3B7C" w:rsidRDefault="00CE6695" w:rsidP="00C11755">
      <w:pPr>
        <w:spacing w:after="240" w:line="240" w:lineRule="auto"/>
      </w:pPr>
      <w:r w:rsidRPr="00FC3B7C">
        <w:t>Zdroj ČSÚ; zpracování vlastní</w:t>
      </w:r>
    </w:p>
    <w:p w14:paraId="4A6F4377" w14:textId="77777777" w:rsidR="00CE6695" w:rsidRPr="00FC3B7C" w:rsidRDefault="00CE6695" w:rsidP="00F40907">
      <w:pPr>
        <w:rPr>
          <w:b/>
        </w:rPr>
      </w:pPr>
      <w:r w:rsidRPr="00FC3B7C">
        <w:rPr>
          <w:b/>
        </w:rPr>
        <w:t>Přirozená míra nezaměstnanosti u*:</w:t>
      </w:r>
    </w:p>
    <w:p w14:paraId="4A6F4378" w14:textId="77777777" w:rsidR="00CE6695" w:rsidRPr="00FC3B7C" w:rsidRDefault="00F40907" w:rsidP="00F40907">
      <w:r>
        <w:t>J</w:t>
      </w:r>
      <w:r w:rsidR="00CE6695" w:rsidRPr="00FC3B7C">
        <w:t>e taková míra nezaměstnanosti, na kterou se trh práce vrací po prolomení mzdových strnulostí a po vyprchání peněžních iluzí (=nejnižší dlouhodobě udržitelná míra nezaměstnanosti odpovídající potenciálnímu produktu).</w:t>
      </w:r>
    </w:p>
    <w:p w14:paraId="4A6F4379" w14:textId="77777777" w:rsidR="00CE6695" w:rsidRPr="00FC3B7C" w:rsidRDefault="00CE6695" w:rsidP="00F40907">
      <w:r w:rsidRPr="00FC3B7C">
        <w:t>Její výše je pro každou ekonomiku jiná a nelze ani říci, že by tato míra byla žádoucí.</w:t>
      </w:r>
    </w:p>
    <w:p w14:paraId="4A6F437A" w14:textId="77777777" w:rsidR="00CE6695" w:rsidRPr="00FC3B7C" w:rsidRDefault="00CE6695" w:rsidP="00F40907">
      <w:r w:rsidRPr="00FC3B7C">
        <w:t>Pracovní trh je v rovnováze, pokud pracuje na přirozené míře nezaměstnanosti (úroveň potenciálního produktu) – není nedostatek pracovníku ani nedobrovolná nezaměstnanost.</w:t>
      </w:r>
    </w:p>
    <w:p w14:paraId="4A6F437B" w14:textId="77777777" w:rsidR="00CE6695" w:rsidRPr="00FC3B7C" w:rsidRDefault="00CE6695" w:rsidP="00F40907">
      <w:r w:rsidRPr="00FC3B7C">
        <w:t xml:space="preserve">Zahrnuje frikční, strukturální i dobrovolnou nezaměstnanost, nedochází při ní ani </w:t>
      </w:r>
      <w:r w:rsidR="00F40907">
        <w:br/>
      </w:r>
      <w:r w:rsidRPr="00FC3B7C">
        <w:t>k akceleraci, ani k deceleraci inflace – NAIRU (Nonaccelerating Inflaction Rate of Unemployment – míra nezaměstnanosti neakcelerující inflaci) – vyznačuje se stabilitou nominálních mzdových sazeb, ekonomika se nachází na úrovni potenciálního produktu.</w:t>
      </w:r>
    </w:p>
    <w:p w14:paraId="4A6F437C" w14:textId="77777777" w:rsidR="00CE6695" w:rsidRPr="00FC3B7C" w:rsidRDefault="00CE6695" w:rsidP="00F40907">
      <w:r w:rsidRPr="00FC3B7C">
        <w:t>Čitatel = míra ztráty práce, jmenovatel = míra ztráty práce + míra nalézání práce</w:t>
      </w:r>
    </w:p>
    <w:p w14:paraId="4A6F437D" w14:textId="77777777" w:rsidR="00CE6695" w:rsidRPr="00FC3B7C" w:rsidRDefault="00CE6695" w:rsidP="00CE6695">
      <w:pPr>
        <w:spacing w:line="240" w:lineRule="auto"/>
      </w:pPr>
    </w:p>
    <w:p w14:paraId="4A6F437E" w14:textId="77777777" w:rsidR="00CE6695" w:rsidRPr="00F40907" w:rsidRDefault="00CE6695" w:rsidP="00F40907">
      <w:pPr>
        <w:rPr>
          <w:b/>
        </w:rPr>
      </w:pPr>
      <w:r w:rsidRPr="00FC3B7C">
        <w:rPr>
          <w:b/>
        </w:rPr>
        <w:t>Faktory ovlivňující přirozenou míru nezaměstnanosti:</w:t>
      </w:r>
    </w:p>
    <w:p w14:paraId="4A6F437F" w14:textId="77777777" w:rsidR="00CE6695" w:rsidRPr="00FC3B7C" w:rsidRDefault="00CE6695" w:rsidP="00D46B53">
      <w:pPr>
        <w:pStyle w:val="Odstavecseseznamem"/>
        <w:numPr>
          <w:ilvl w:val="0"/>
          <w:numId w:val="653"/>
        </w:numPr>
        <w:ind w:left="851" w:hanging="425"/>
      </w:pPr>
      <w:r w:rsidRPr="00FC3B7C">
        <w:t>Ιnformovanost na trhu práce – čím větší je informovanost, tím menší je přirozená míra nezaměstnanosti (výhodné pro zaměstnavatele – může zažádat o seznam uchazečů o práci vhodných pro určitý typ pracovního povolání, výhodné pro zaměstnance – možnost jak rychleji najít práci vhodnou z hlediska jejich kvalifikace)</w:t>
      </w:r>
    </w:p>
    <w:p w14:paraId="4A6F4380" w14:textId="77777777" w:rsidR="00CE6695" w:rsidRPr="00FC3B7C" w:rsidRDefault="00CE6695" w:rsidP="00D46B53">
      <w:pPr>
        <w:pStyle w:val="Odstavecseseznamem"/>
        <w:numPr>
          <w:ilvl w:val="0"/>
          <w:numId w:val="653"/>
        </w:numPr>
        <w:ind w:left="851" w:hanging="425"/>
      </w:pPr>
      <w:r w:rsidRPr="00FC3B7C">
        <w:t>Νástroje pasivní politiky zaměstnanosti (podpora v nezaměstnanosti) a sociální dávky – čím vyšší je vyplácená částka a čím delší je podpůrčí doba =&gt; tím vyšší přirozená míra nezaměstnanosti</w:t>
      </w:r>
    </w:p>
    <w:p w14:paraId="4A6F4381" w14:textId="58AB5F1B" w:rsidR="00CE6695" w:rsidRPr="00FC3B7C" w:rsidRDefault="00FE4A28" w:rsidP="00D46B53">
      <w:pPr>
        <w:pStyle w:val="Odstavecseseznamem"/>
        <w:numPr>
          <w:ilvl w:val="0"/>
          <w:numId w:val="653"/>
        </w:numPr>
        <w:ind w:left="851" w:hanging="425"/>
      </w:pPr>
      <w:r w:rsidRPr="00FC3B7C">
        <w:lastRenderedPageBreak/>
        <w:t>Minimální</w:t>
      </w:r>
      <w:r w:rsidR="00CE6695" w:rsidRPr="00FC3B7C">
        <w:t xml:space="preserve"> mzda</w:t>
      </w:r>
      <w:r w:rsidR="00F40907">
        <w:t>.</w:t>
      </w:r>
    </w:p>
    <w:p w14:paraId="4A6F4382" w14:textId="77777777" w:rsidR="00CE6695" w:rsidRPr="00FC3B7C" w:rsidRDefault="00CE6695" w:rsidP="00D46B53">
      <w:pPr>
        <w:pStyle w:val="Odstavecseseznamem"/>
        <w:numPr>
          <w:ilvl w:val="0"/>
          <w:numId w:val="653"/>
        </w:numPr>
        <w:ind w:left="851" w:hanging="425"/>
      </w:pPr>
      <w:r w:rsidRPr="00FC3B7C">
        <w:t>Míra zdanění práce (viz. Lafferova křivka – lidé jsou ochotni pracovat pouze do určité výše míry zdanění, poté dochází k daňovým únikům či změně prostředí (migrace obyvatelstva, či dokonoce emigrace)</w:t>
      </w:r>
    </w:p>
    <w:p w14:paraId="4A6F4383" w14:textId="77777777" w:rsidR="00CE6695" w:rsidRPr="00FC3B7C" w:rsidRDefault="00CE6695" w:rsidP="00D46B53">
      <w:pPr>
        <w:pStyle w:val="Odstavecseseznamem"/>
        <w:numPr>
          <w:ilvl w:val="0"/>
          <w:numId w:val="653"/>
        </w:numPr>
        <w:ind w:left="851" w:hanging="425"/>
      </w:pPr>
      <w:r w:rsidRPr="00FC3B7C">
        <w:t>Míra flexibility jedinců na trhu práce (v ČR nedokonalá mobilita obyvatelstva – lidé často nejsou ochotní dojíždět dlouho do práce, natož se za prací stěhovat)</w:t>
      </w:r>
    </w:p>
    <w:p w14:paraId="4A6F4387" w14:textId="4F9888BE" w:rsidR="00F40907" w:rsidRPr="00FC3B7C" w:rsidRDefault="00CE6695" w:rsidP="00D46B53">
      <w:pPr>
        <w:pStyle w:val="Odstavecseseznamem"/>
        <w:numPr>
          <w:ilvl w:val="0"/>
          <w:numId w:val="653"/>
        </w:numPr>
        <w:spacing w:after="240"/>
        <w:ind w:left="851" w:hanging="425"/>
      </w:pPr>
      <w:r w:rsidRPr="00FC3B7C">
        <w:t>Konkrétní ekonomická situace v daném regionu</w:t>
      </w:r>
    </w:p>
    <w:p w14:paraId="4A6F4388" w14:textId="5DA7C0E5" w:rsidR="00CE6695" w:rsidRPr="00FC3B7C" w:rsidRDefault="004A163A" w:rsidP="00F40907">
      <w:pPr>
        <w:pStyle w:val="Nadpis3"/>
      </w:pPr>
      <w:r>
        <w:t xml:space="preserve"> </w:t>
      </w:r>
      <w:r w:rsidR="00CE6695" w:rsidRPr="004A163A">
        <w:rPr>
          <w:color w:val="1F3864" w:themeColor="accent1" w:themeShade="80"/>
        </w:rPr>
        <w:t>Druhy nezaměstnanosti</w:t>
      </w:r>
    </w:p>
    <w:p w14:paraId="4A6F4389" w14:textId="77777777" w:rsidR="00CE6695" w:rsidRPr="004A163A" w:rsidRDefault="00CE6695" w:rsidP="00F40907">
      <w:pPr>
        <w:pStyle w:val="Nadpis4"/>
        <w:rPr>
          <w:color w:val="1F3864" w:themeColor="accent1" w:themeShade="80"/>
        </w:rPr>
      </w:pPr>
      <w:r w:rsidRPr="004A163A">
        <w:rPr>
          <w:color w:val="1F3864" w:themeColor="accent1" w:themeShade="80"/>
        </w:rPr>
        <w:t>Rozdělení podle příčin, které nezaměstnanost vyvolávají:</w:t>
      </w:r>
    </w:p>
    <w:p w14:paraId="4A6F438A" w14:textId="77777777" w:rsidR="00CE6695" w:rsidRPr="00F40907" w:rsidRDefault="00CE6695" w:rsidP="00F40907">
      <w:pPr>
        <w:rPr>
          <w:b/>
        </w:rPr>
      </w:pPr>
      <w:r w:rsidRPr="00F40907">
        <w:rPr>
          <w:b/>
        </w:rPr>
        <w:t>Frikční nezaměstnanost</w:t>
      </w:r>
    </w:p>
    <w:p w14:paraId="4A6F438B" w14:textId="77777777" w:rsidR="00CE6695" w:rsidRPr="00FC3B7C" w:rsidRDefault="00F40907" w:rsidP="00F40907">
      <w:r>
        <w:t>K</w:t>
      </w:r>
      <w:r w:rsidR="00CE6695" w:rsidRPr="00FC3B7C">
        <w:t>rátkodobá nezaměstnanost způsobená hledáním lepšího místa</w:t>
      </w:r>
      <w:r>
        <w:t>.</w:t>
      </w:r>
    </w:p>
    <w:p w14:paraId="4A6F438C" w14:textId="77777777" w:rsidR="00CE6695" w:rsidRPr="00FC3B7C" w:rsidRDefault="00F40907" w:rsidP="00F40907">
      <w:r>
        <w:t>Z</w:t>
      </w:r>
      <w:r w:rsidR="00CE6695" w:rsidRPr="00FC3B7C">
        <w:t>ahrnuje ty, kteří jsou dočasně nezaměstnaní, protože opustili původní zaměstnání a po nějakou dobu si hledají nové místo (nepřijmou hned první nabídku, čekají na lepší), proto je považována za dobrovolnou nezaměstnanost</w:t>
      </w:r>
      <w:r>
        <w:tab/>
        <w:t>n</w:t>
      </w:r>
      <w:r w:rsidR="00CE6695" w:rsidRPr="00FC3B7C">
        <w:t>edokonalá mobilita – lidé hledají práci ve svém okolí a nechce se jim za prací, nebo se za prací stěhovat</w:t>
      </w:r>
      <w:r>
        <w:t>.</w:t>
      </w:r>
    </w:p>
    <w:p w14:paraId="4A6F438E" w14:textId="1C2C1B67" w:rsidR="00CE6695" w:rsidRPr="00FC3B7C" w:rsidRDefault="00F40907" w:rsidP="008E6302">
      <w:pPr>
        <w:spacing w:after="240"/>
      </w:pPr>
      <w:r>
        <w:t>N</w:t>
      </w:r>
      <w:r w:rsidR="00CE6695" w:rsidRPr="00FC3B7C">
        <w:t>elze z ekonomiky zcela odstranit, ale lze ji pouze snížit pomocí APZ</w:t>
      </w:r>
      <w:r w:rsidR="00CE6695" w:rsidRPr="00FC3B7C">
        <w:tab/>
      </w:r>
    </w:p>
    <w:p w14:paraId="4A6F438F" w14:textId="77777777" w:rsidR="00CE6695" w:rsidRPr="00F40907" w:rsidRDefault="00CE6695" w:rsidP="00F40907">
      <w:pPr>
        <w:rPr>
          <w:b/>
        </w:rPr>
      </w:pPr>
      <w:r w:rsidRPr="00F40907">
        <w:rPr>
          <w:b/>
        </w:rPr>
        <w:t>Strukturální nezaměstnanost</w:t>
      </w:r>
    </w:p>
    <w:p w14:paraId="4A6F4390" w14:textId="77777777" w:rsidR="00CE6695" w:rsidRPr="00FC3B7C" w:rsidRDefault="00F40907" w:rsidP="00F40907">
      <w:r>
        <w:t>V</w:t>
      </w:r>
      <w:r w:rsidR="00CE6695" w:rsidRPr="00FC3B7C">
        <w:t>zniká v důsledku strukturálních změn v ekonomice, kdy se některá odvětví zmenšují a jiná naopak expandují</w:t>
      </w:r>
      <w:r>
        <w:t>.</w:t>
      </w:r>
    </w:p>
    <w:p w14:paraId="4A6F4391" w14:textId="77777777" w:rsidR="00CE6695" w:rsidRPr="00FC3B7C" w:rsidRDefault="00F40907" w:rsidP="00F40907">
      <w:r>
        <w:t>K</w:t>
      </w:r>
      <w:r w:rsidR="00CE6695" w:rsidRPr="00FC3B7C">
        <w:t>lesá poptávka po některých profesích, roste poptávka po jiných</w:t>
      </w:r>
    </w:p>
    <w:p w14:paraId="4A6F4392" w14:textId="77777777" w:rsidR="00CE6695" w:rsidRPr="00FC3B7C" w:rsidRDefault="00052E60" w:rsidP="00F40907">
      <w:r>
        <w:t>T</w:t>
      </w:r>
      <w:r w:rsidR="00CE6695" w:rsidRPr="00FC3B7C">
        <w:t>rvá déle než frikční nezaměstnanost</w:t>
      </w:r>
    </w:p>
    <w:p w14:paraId="4A6F4393" w14:textId="77777777" w:rsidR="00CE6695" w:rsidRPr="00FC3B7C" w:rsidRDefault="00052E60" w:rsidP="00F40907">
      <w:r>
        <w:t>P</w:t>
      </w:r>
      <w:r w:rsidR="00CE6695" w:rsidRPr="00FC3B7C">
        <w:t>ředstavuje větší zásah do života, lidé mění profese, prochází rekvalifikačními kurzy apod.</w:t>
      </w:r>
    </w:p>
    <w:p w14:paraId="4A6F4394" w14:textId="77777777" w:rsidR="00CE6695" w:rsidRPr="00FC3B7C" w:rsidRDefault="00052E60" w:rsidP="00F40907">
      <w:r>
        <w:t>P</w:t>
      </w:r>
      <w:r w:rsidR="00CE6695" w:rsidRPr="00FC3B7C">
        <w:t>řirozená nezaměstnanost, trh se přirozeně vyvíjí, pokud by tomu tak nebylo, trh by se vyřadil ze světové soutěže a zaostával by</w:t>
      </w:r>
    </w:p>
    <w:p w14:paraId="4A6F4396" w14:textId="77777777" w:rsidR="00CE6695" w:rsidRPr="00F40907" w:rsidRDefault="00CE6695" w:rsidP="008E6302">
      <w:pPr>
        <w:spacing w:before="240"/>
        <w:rPr>
          <w:b/>
        </w:rPr>
      </w:pPr>
      <w:r w:rsidRPr="00F40907">
        <w:rPr>
          <w:b/>
        </w:rPr>
        <w:t>Cyklická nezaměstnanost</w:t>
      </w:r>
    </w:p>
    <w:p w14:paraId="4A6F4397" w14:textId="77777777" w:rsidR="00CE6695" w:rsidRPr="00FC3B7C" w:rsidRDefault="00F40907" w:rsidP="00F40907">
      <w:r>
        <w:t>N</w:t>
      </w:r>
      <w:r w:rsidR="00CE6695" w:rsidRPr="00FC3B7C">
        <w:t>astává, když je ekonomika v poklesu (recesi) a nastává pokles zaměstnanosti prakticky ve všech odvětvích</w:t>
      </w:r>
    </w:p>
    <w:p w14:paraId="4A6F4398" w14:textId="77777777" w:rsidR="00CE6695" w:rsidRPr="00FC3B7C" w:rsidRDefault="00F40907" w:rsidP="00F40907">
      <w:r>
        <w:t>N</w:t>
      </w:r>
      <w:r w:rsidR="00CE6695" w:rsidRPr="00FC3B7C">
        <w:t>ení téměř možné se rekvalifikovat na jinou profesi a najít práci</w:t>
      </w:r>
    </w:p>
    <w:p w14:paraId="4A6F4399" w14:textId="77777777" w:rsidR="00CE6695" w:rsidRPr="00FC3B7C" w:rsidRDefault="00F40907" w:rsidP="00F40907">
      <w:r>
        <w:t>J</w:t>
      </w:r>
      <w:r w:rsidR="00CE6695" w:rsidRPr="00FC3B7C">
        <w:t>e možné ji potlačit stabilizací ekonomiky a minimalizací doby hospodářského poklesu</w:t>
      </w:r>
    </w:p>
    <w:p w14:paraId="4A6F439B" w14:textId="77777777" w:rsidR="00CE6695" w:rsidRPr="00FC3B7C" w:rsidRDefault="00CE6695" w:rsidP="008E6302">
      <w:pPr>
        <w:spacing w:before="240"/>
      </w:pPr>
      <w:r w:rsidRPr="00F40907">
        <w:rPr>
          <w:b/>
        </w:rPr>
        <w:t>Sezónní nezaměstnanost</w:t>
      </w:r>
      <w:r w:rsidRPr="00FC3B7C">
        <w:t xml:space="preserve"> (není již tak důležitá)</w:t>
      </w:r>
    </w:p>
    <w:p w14:paraId="4A6F439C" w14:textId="77777777" w:rsidR="00CE6695" w:rsidRDefault="00F40907" w:rsidP="00C11755">
      <w:pPr>
        <w:spacing w:after="240"/>
      </w:pPr>
      <w:r>
        <w:t xml:space="preserve">Nedobrovolná. Konec sezónních prací, brigád. </w:t>
      </w:r>
      <w:r w:rsidR="00CE6695" w:rsidRPr="00FC3B7C">
        <w:t>Postihuje ve větší míře muže</w:t>
      </w:r>
      <w:r w:rsidR="00052E60">
        <w:t>.</w:t>
      </w:r>
    </w:p>
    <w:p w14:paraId="4A6F439F" w14:textId="77777777" w:rsidR="00CE6695" w:rsidRPr="004A163A" w:rsidRDefault="00CE6695" w:rsidP="00052E60">
      <w:pPr>
        <w:pStyle w:val="Nadpis4"/>
        <w:rPr>
          <w:color w:val="1F3864" w:themeColor="accent1" w:themeShade="80"/>
        </w:rPr>
      </w:pPr>
      <w:r w:rsidRPr="004A163A">
        <w:rPr>
          <w:color w:val="1F3864" w:themeColor="accent1" w:themeShade="80"/>
        </w:rPr>
        <w:lastRenderedPageBreak/>
        <w:t>Rozdělení podle časového hlediska:</w:t>
      </w:r>
    </w:p>
    <w:p w14:paraId="4A6F43A0" w14:textId="77777777" w:rsidR="00CE6695" w:rsidRPr="00FC3B7C" w:rsidRDefault="00CE6695" w:rsidP="00D46B53">
      <w:pPr>
        <w:pStyle w:val="Odstavecseseznamem"/>
        <w:numPr>
          <w:ilvl w:val="0"/>
          <w:numId w:val="214"/>
        </w:numPr>
        <w:ind w:left="-142"/>
      </w:pPr>
      <w:r w:rsidRPr="00FC3B7C">
        <w:t>Krátkodobá – do 3 měsíců</w:t>
      </w:r>
    </w:p>
    <w:p w14:paraId="4A6F43A1" w14:textId="77777777" w:rsidR="00CE6695" w:rsidRPr="00FC3B7C" w:rsidRDefault="00CE6695" w:rsidP="00D46B53">
      <w:pPr>
        <w:pStyle w:val="Odstavecseseznamem"/>
        <w:numPr>
          <w:ilvl w:val="0"/>
          <w:numId w:val="214"/>
        </w:numPr>
        <w:ind w:left="-142"/>
      </w:pPr>
      <w:r w:rsidRPr="00FC3B7C">
        <w:t>Střednědobá – do 12 měsíců</w:t>
      </w:r>
    </w:p>
    <w:p w14:paraId="4A6F43A2" w14:textId="77777777" w:rsidR="00CE6695" w:rsidRPr="00FC3B7C" w:rsidRDefault="00CE6695" w:rsidP="00D46B53">
      <w:pPr>
        <w:pStyle w:val="Odstavecseseznamem"/>
        <w:numPr>
          <w:ilvl w:val="0"/>
          <w:numId w:val="214"/>
        </w:numPr>
        <w:ind w:left="-142"/>
      </w:pPr>
      <w:r w:rsidRPr="00FC3B7C">
        <w:t>Dlouhodobá – nad 12 měsíců</w:t>
      </w:r>
    </w:p>
    <w:p w14:paraId="4A6F43A3" w14:textId="77777777" w:rsidR="00CE6695" w:rsidRPr="00FC3B7C" w:rsidRDefault="00CE6695" w:rsidP="00052E60">
      <w:r w:rsidRPr="00FC3B7C">
        <w:t>Příčinu hledáme v dlouhotrvající hospodářské recesi, dlouhodobé mzdové strnulosti, vyšších podporách v nezaměstnanosti.</w:t>
      </w:r>
    </w:p>
    <w:p w14:paraId="4A6F43A4" w14:textId="77777777" w:rsidR="00CE6695" w:rsidRPr="00FC3B7C" w:rsidRDefault="00CE6695" w:rsidP="00052E60">
      <w:r w:rsidRPr="00FC3B7C">
        <w:t>Může se samovolně změnit z nedobrovolné na dobrovolnou – lidé postupem času ztrácí motivaci hledat si práci, ztrácí naději v nalezení místa, zvyknou si na skromnější (ale pohodlnější) živobytí ze státních podpor.</w:t>
      </w:r>
    </w:p>
    <w:p w14:paraId="4A6F43A5" w14:textId="77777777" w:rsidR="00CE6695" w:rsidRPr="00FC3B7C" w:rsidRDefault="00CE6695" w:rsidP="00CE6695">
      <w:pPr>
        <w:spacing w:line="240" w:lineRule="auto"/>
      </w:pPr>
    </w:p>
    <w:p w14:paraId="4A6F43A6" w14:textId="77777777" w:rsidR="00CE6695" w:rsidRPr="004A163A" w:rsidRDefault="00CE6695" w:rsidP="0087376E">
      <w:pPr>
        <w:pStyle w:val="Nadpis4"/>
        <w:rPr>
          <w:color w:val="1F3864" w:themeColor="accent1" w:themeShade="80"/>
        </w:rPr>
      </w:pPr>
      <w:r w:rsidRPr="004A163A">
        <w:rPr>
          <w:color w:val="1F3864" w:themeColor="accent1" w:themeShade="80"/>
        </w:rPr>
        <w:t>Další rozdělení:</w:t>
      </w:r>
    </w:p>
    <w:p w14:paraId="4A6F43A7" w14:textId="77777777" w:rsidR="00CE6695" w:rsidRPr="0087376E" w:rsidRDefault="00CE6695" w:rsidP="0087376E">
      <w:pPr>
        <w:rPr>
          <w:b/>
        </w:rPr>
      </w:pPr>
      <w:r w:rsidRPr="0087376E">
        <w:rPr>
          <w:b/>
        </w:rPr>
        <w:t>Dobrovolná nezaměstnanost</w:t>
      </w:r>
    </w:p>
    <w:p w14:paraId="4A6F43A8" w14:textId="734D7784" w:rsidR="00CE6695" w:rsidRPr="00FC3B7C" w:rsidRDefault="00CE6695" w:rsidP="0087376E">
      <w:r w:rsidRPr="00FC3B7C">
        <w:t xml:space="preserve">Nezaměstnaný hledá práci, avšak za vyšší mzdu, než která převládá na trhu </w:t>
      </w:r>
      <w:r w:rsidR="0087376E">
        <w:t xml:space="preserve">práce → nemůže najít zaměstnání. </w:t>
      </w:r>
      <w:r w:rsidRPr="00FC3B7C">
        <w:t>Délka závisí na alternativních příležitostech nezaměstnaných</w:t>
      </w:r>
      <w:r w:rsidR="0087376E">
        <w:t>.</w:t>
      </w:r>
      <w:r w:rsidR="003376E1">
        <w:t xml:space="preserve"> </w:t>
      </w:r>
      <w:r w:rsidRPr="00FC3B7C">
        <w:t>Pokud jsou podpory v nezaměstnanosti nízké a doba poskytování podpor krátká, bude dobrovolná nezaměstnanost nižší (větší motivaci nezaměstnaných nalézt nové místo)</w:t>
      </w:r>
    </w:p>
    <w:p w14:paraId="4A6F43A9" w14:textId="77777777" w:rsidR="00CE6695" w:rsidRPr="0087376E" w:rsidRDefault="00CE6695" w:rsidP="0087376E">
      <w:pPr>
        <w:rPr>
          <w:b/>
        </w:rPr>
      </w:pPr>
      <w:r w:rsidRPr="0087376E">
        <w:rPr>
          <w:b/>
        </w:rPr>
        <w:t>Nedobrovolná nezaměstnanost</w:t>
      </w:r>
    </w:p>
    <w:p w14:paraId="4A6F43AA" w14:textId="77777777" w:rsidR="00CE6695" w:rsidRPr="00FC3B7C" w:rsidRDefault="00CE6695" w:rsidP="0087376E">
      <w:r w:rsidRPr="00FC3B7C">
        <w:t>Nezaměstnaný si práci hledá za mzdu převládající na</w:t>
      </w:r>
      <w:r w:rsidR="0087376E">
        <w:t xml:space="preserve"> trhu, nicméně ji nemůže nalézt. </w:t>
      </w:r>
      <w:r w:rsidRPr="00FC3B7C">
        <w:t>Horší důsledky než u dobrovolné nezaměstnanosti, jelikož s sebou nese existenční potíže, pocit beznaděje a zklamání</w:t>
      </w:r>
      <w:r w:rsidR="0087376E">
        <w:t>.</w:t>
      </w:r>
    </w:p>
    <w:p w14:paraId="4A6F43AB" w14:textId="77777777" w:rsidR="00CE6695" w:rsidRPr="00FC3B7C" w:rsidRDefault="00CE6695" w:rsidP="00CE6695">
      <w:pPr>
        <w:spacing w:line="240" w:lineRule="auto"/>
      </w:pPr>
    </w:p>
    <w:p w14:paraId="4A6F43AC" w14:textId="77777777" w:rsidR="00CE6695" w:rsidRPr="004A163A" w:rsidRDefault="00CE6695" w:rsidP="0087376E">
      <w:pPr>
        <w:pStyle w:val="Nadpis4"/>
        <w:rPr>
          <w:color w:val="1F3864" w:themeColor="accent1" w:themeShade="80"/>
        </w:rPr>
      </w:pPr>
      <w:r w:rsidRPr="004A163A">
        <w:rPr>
          <w:color w:val="1F3864" w:themeColor="accent1" w:themeShade="80"/>
        </w:rPr>
        <w:t>Další koncepty z literatury</w:t>
      </w:r>
    </w:p>
    <w:p w14:paraId="4A6F43AD" w14:textId="77777777" w:rsidR="00CE6695" w:rsidRPr="00FC3B7C" w:rsidRDefault="00CE6695" w:rsidP="00CE6695">
      <w:pPr>
        <w:spacing w:line="240" w:lineRule="auto"/>
      </w:pPr>
    </w:p>
    <w:p w14:paraId="4A6F43AE" w14:textId="77777777" w:rsidR="00CE6695" w:rsidRPr="00FC3B7C" w:rsidRDefault="00CE6695" w:rsidP="0087376E">
      <w:r w:rsidRPr="00FC3B7C">
        <w:t>„</w:t>
      </w:r>
      <w:r w:rsidRPr="00FC3B7C">
        <w:rPr>
          <w:b/>
        </w:rPr>
        <w:t>Work reduction</w:t>
      </w:r>
      <w:r w:rsidRPr="00FC3B7C">
        <w:t>“ – jedná se o nezaměstnanost, ke které dochází v důsledku odbytových potíží firmy nebo celé ekonomiky</w:t>
      </w:r>
    </w:p>
    <w:p w14:paraId="4A6F43AF" w14:textId="77777777" w:rsidR="00CE6695" w:rsidRPr="00FC3B7C" w:rsidRDefault="00CE6695" w:rsidP="0087376E">
      <w:r w:rsidRPr="00FC3B7C">
        <w:t>„</w:t>
      </w:r>
      <w:r w:rsidRPr="00FC3B7C">
        <w:rPr>
          <w:b/>
        </w:rPr>
        <w:t>Job reduction</w:t>
      </w:r>
      <w:r w:rsidRPr="00FC3B7C">
        <w:t>“ – jedná se o nezaměstnanost v důsledku technologických změn v obsahu práce a ve struktuře ekonomiky</w:t>
      </w:r>
    </w:p>
    <w:p w14:paraId="4A6F43B0" w14:textId="77777777" w:rsidR="0087376E" w:rsidRDefault="0087376E" w:rsidP="0087376E">
      <w:pPr>
        <w:rPr>
          <w:b/>
        </w:rPr>
      </w:pPr>
    </w:p>
    <w:p w14:paraId="4A6F43B1" w14:textId="77777777" w:rsidR="00CE6695" w:rsidRPr="00FC3B7C" w:rsidRDefault="00CE6695" w:rsidP="0087376E">
      <w:pPr>
        <w:rPr>
          <w:b/>
        </w:rPr>
      </w:pPr>
      <w:r w:rsidRPr="00FC3B7C">
        <w:rPr>
          <w:b/>
        </w:rPr>
        <w:t>Minimální mzda:</w:t>
      </w:r>
    </w:p>
    <w:p w14:paraId="4A6F43B2" w14:textId="77777777" w:rsidR="00CE6695" w:rsidRPr="00FC3B7C" w:rsidRDefault="00CE6695" w:rsidP="00D46B53">
      <w:pPr>
        <w:pStyle w:val="Odstavecseseznamem"/>
        <w:numPr>
          <w:ilvl w:val="0"/>
          <w:numId w:val="214"/>
        </w:numPr>
      </w:pPr>
      <w:r w:rsidRPr="00FC3B7C">
        <w:t>Je nejnižší přípustná výše odměny za práci v pracovněprávním vztahu.</w:t>
      </w:r>
    </w:p>
    <w:p w14:paraId="4A6F43B3" w14:textId="31FDB5E8" w:rsidR="00CE6695" w:rsidRPr="00FC3B7C" w:rsidRDefault="00CE6695" w:rsidP="00D46B53">
      <w:pPr>
        <w:pStyle w:val="Odstavecseseznamem"/>
        <w:numPr>
          <w:ilvl w:val="0"/>
          <w:numId w:val="214"/>
        </w:numPr>
        <w:ind w:left="1418" w:hanging="698"/>
      </w:pPr>
      <w:r w:rsidRPr="00FC3B7C">
        <w:t xml:space="preserve">Její </w:t>
      </w:r>
      <w:r w:rsidRPr="00244BB9">
        <w:t xml:space="preserve">základní úpravu stanoví zákoník práce, aktuální sazby pak upravuje vláda skrze vládní nařízení. Pro rok 2015 činila 9 200,- </w:t>
      </w:r>
      <w:r w:rsidR="00FE4A28" w:rsidRPr="00244BB9">
        <w:t>Kč, k 1. 1. 2016</w:t>
      </w:r>
      <w:r w:rsidRPr="00244BB9">
        <w:t xml:space="preserve"> činí 9 900 Kč</w:t>
      </w:r>
      <w:r w:rsidR="008E6302" w:rsidRPr="00244BB9">
        <w:t xml:space="preserve">, </w:t>
      </w:r>
      <w:r w:rsidRPr="00244BB9">
        <w:t>pro rok 2017 činila 10 500 Kč</w:t>
      </w:r>
      <w:r w:rsidR="008E6302" w:rsidRPr="00244BB9">
        <w:t xml:space="preserve">, pro rok </w:t>
      </w:r>
      <w:r w:rsidRPr="00244BB9">
        <w:t xml:space="preserve">2018 minimální mzda </w:t>
      </w:r>
      <w:r w:rsidR="00410105" w:rsidRPr="00244BB9">
        <w:t>byla</w:t>
      </w:r>
      <w:r w:rsidRPr="00244BB9">
        <w:t xml:space="preserve"> 12 200 Kč</w:t>
      </w:r>
      <w:r w:rsidR="00410105" w:rsidRPr="00244BB9">
        <w:t xml:space="preserve"> a pro rok 2020 je 14 600 Kč</w:t>
      </w:r>
    </w:p>
    <w:p w14:paraId="4A6F43B6" w14:textId="77777777" w:rsidR="00CE6695" w:rsidRPr="00FC3B7C" w:rsidRDefault="00CE6695" w:rsidP="00410105">
      <w:pPr>
        <w:spacing w:before="240"/>
        <w:rPr>
          <w:b/>
        </w:rPr>
      </w:pPr>
      <w:r w:rsidRPr="00FC3B7C">
        <w:rPr>
          <w:b/>
        </w:rPr>
        <w:lastRenderedPageBreak/>
        <w:t>Kromě minimální mzdy existují dále:</w:t>
      </w:r>
    </w:p>
    <w:p w14:paraId="4A6F43B7" w14:textId="77777777" w:rsidR="00CE6695" w:rsidRPr="00FC3B7C" w:rsidRDefault="00CE6695" w:rsidP="0087376E">
      <w:pPr>
        <w:rPr>
          <w:b/>
        </w:rPr>
      </w:pPr>
      <w:r w:rsidRPr="00FC3B7C">
        <w:rPr>
          <w:b/>
        </w:rPr>
        <w:tab/>
        <w:t>Nejnižší úrovně zaručené mzdy</w:t>
      </w:r>
    </w:p>
    <w:p w14:paraId="4A6F43B8" w14:textId="77777777" w:rsidR="00CE6695" w:rsidRPr="00FC3B7C" w:rsidRDefault="0087376E" w:rsidP="0087376E">
      <w:r>
        <w:tab/>
      </w:r>
      <w:r w:rsidR="00CE6695" w:rsidRPr="00FC3B7C">
        <w:t>Podle složitosti, odpovědnosti a namáhavosti dané práce je stanoveno 8 skupin</w:t>
      </w:r>
    </w:p>
    <w:p w14:paraId="4A6F43B9" w14:textId="77777777" w:rsidR="00CE6695" w:rsidRPr="00FC3B7C" w:rsidRDefault="00CE6695" w:rsidP="0087376E">
      <w:pPr>
        <w:rPr>
          <w:b/>
        </w:rPr>
      </w:pPr>
      <w:r w:rsidRPr="00FC3B7C">
        <w:rPr>
          <w:b/>
        </w:rPr>
        <w:tab/>
        <w:t>Systém platových tarifů</w:t>
      </w:r>
    </w:p>
    <w:p w14:paraId="4A6F43BA" w14:textId="77777777" w:rsidR="00CE6695" w:rsidRPr="00FC3B7C" w:rsidRDefault="0087376E" w:rsidP="0087376E">
      <w:r>
        <w:tab/>
      </w:r>
      <w:r w:rsidR="00CE6695" w:rsidRPr="00FC3B7C">
        <w:t>Skládá se z 16 tříd, které jsou odstupňované podle praktických zkušeností</w:t>
      </w:r>
    </w:p>
    <w:p w14:paraId="4A6F43BB" w14:textId="77777777" w:rsidR="00CE6695" w:rsidRPr="00FC3B7C" w:rsidRDefault="00CE6695" w:rsidP="00CE6695">
      <w:pPr>
        <w:spacing w:line="240" w:lineRule="auto"/>
      </w:pPr>
    </w:p>
    <w:p w14:paraId="4A6F43BC" w14:textId="77777777" w:rsidR="00CE6695" w:rsidRPr="004A163A" w:rsidRDefault="00CE6695" w:rsidP="00D32A9F">
      <w:pPr>
        <w:pStyle w:val="Nadpis2"/>
        <w:spacing w:after="240"/>
        <w:rPr>
          <w:color w:val="1F3864" w:themeColor="accent1" w:themeShade="80"/>
        </w:rPr>
      </w:pPr>
      <w:r w:rsidRPr="004A163A">
        <w:rPr>
          <w:color w:val="1F3864" w:themeColor="accent1" w:themeShade="80"/>
        </w:rPr>
        <w:t>TRH PRÁCE</w:t>
      </w:r>
    </w:p>
    <w:p w14:paraId="4A6F43BE" w14:textId="77777777" w:rsidR="00CE6695" w:rsidRPr="004A163A" w:rsidRDefault="00CE6695" w:rsidP="0087376E">
      <w:pPr>
        <w:pStyle w:val="Nadpis3"/>
        <w:rPr>
          <w:color w:val="1F3864" w:themeColor="accent1" w:themeShade="80"/>
        </w:rPr>
      </w:pPr>
      <w:r w:rsidRPr="004A163A">
        <w:rPr>
          <w:color w:val="1F3864" w:themeColor="accent1" w:themeShade="80"/>
        </w:rPr>
        <w:t>Charakteristika trhu práce</w:t>
      </w:r>
    </w:p>
    <w:p w14:paraId="4A6F43BF" w14:textId="77777777" w:rsidR="00CE6695" w:rsidRPr="00FC3B7C" w:rsidRDefault="00CE6695" w:rsidP="0087376E">
      <w:r w:rsidRPr="00FC3B7C">
        <w:t xml:space="preserve">Trh práce je specifický trh, jelikož práce je funkcí pracovní síly, která je úzce spojena </w:t>
      </w:r>
      <w:r w:rsidR="0087376E">
        <w:br/>
      </w:r>
      <w:r w:rsidRPr="00FC3B7C">
        <w:t>s osobností jedince. Střetává se na něm tržní nabídka práce s tržní poptávkou po práci.</w:t>
      </w:r>
    </w:p>
    <w:p w14:paraId="4A6F43C0" w14:textId="77777777" w:rsidR="00CE6695" w:rsidRPr="00FC3B7C" w:rsidRDefault="00CE6695" w:rsidP="00D32A9F">
      <w:pPr>
        <w:spacing w:after="240"/>
      </w:pPr>
      <w:r w:rsidRPr="00FC3B7C">
        <w:t>Práce – jeden z klíčových výrobních faktorů.</w:t>
      </w:r>
    </w:p>
    <w:p w14:paraId="4A6F43C2" w14:textId="07A00B41" w:rsidR="00CE6695" w:rsidRPr="004A163A" w:rsidRDefault="004A163A" w:rsidP="0087376E">
      <w:pPr>
        <w:pStyle w:val="Nadpis3"/>
        <w:rPr>
          <w:color w:val="1F3864" w:themeColor="accent1" w:themeShade="80"/>
        </w:rPr>
      </w:pPr>
      <w:r>
        <w:rPr>
          <w:color w:val="1F3864" w:themeColor="accent1" w:themeShade="80"/>
        </w:rPr>
        <w:t xml:space="preserve"> </w:t>
      </w:r>
      <w:r w:rsidR="00CE6695" w:rsidRPr="004A163A">
        <w:rPr>
          <w:color w:val="1F3864" w:themeColor="accent1" w:themeShade="80"/>
        </w:rPr>
        <w:t>Fungování trhu práce</w:t>
      </w:r>
    </w:p>
    <w:p w14:paraId="4A6F43C3" w14:textId="77777777" w:rsidR="00CE6695" w:rsidRPr="00FC3B7C" w:rsidRDefault="00CE6695" w:rsidP="0087376E">
      <w:r w:rsidRPr="00FC3B7C">
        <w:t>Trh práce = trh, na kterém je poptávána a nabízena práce jako výrobní faktor.</w:t>
      </w:r>
    </w:p>
    <w:p w14:paraId="4A6F43C4" w14:textId="77777777" w:rsidR="00CE6695" w:rsidRPr="00FC3B7C" w:rsidRDefault="00CE6695" w:rsidP="0087376E">
      <w:r w:rsidRPr="00FC3B7C">
        <w:t>Na straně nabídky stojí zaměstnanec a na straně poptávky zaměstnavatel.</w:t>
      </w:r>
    </w:p>
    <w:p w14:paraId="4A6F43C5" w14:textId="77777777" w:rsidR="00CE6695" w:rsidRPr="00FC3B7C" w:rsidRDefault="00CE6695" w:rsidP="0087376E">
      <w:r w:rsidRPr="00FC3B7C">
        <w:t xml:space="preserve">Dlouhodobá povaha vztahů na trhu práce – udržení stabilního pracovního kolektivu </w:t>
      </w:r>
      <w:r w:rsidR="0087376E">
        <w:br/>
      </w:r>
      <w:r w:rsidRPr="00FC3B7C">
        <w:t>z hlediska zaměstnavatele, pocit jistoty a bezpečí pracovního kolektivu pro pracovníka (například proto zaměstnavatel nechce zaměstnávat další pracovníky, aby udržel stabilní pracovní kolektiv).</w:t>
      </w:r>
    </w:p>
    <w:p w14:paraId="4A6F43C6" w14:textId="77777777" w:rsidR="00CE6695" w:rsidRPr="00FC3B7C" w:rsidRDefault="00CE6695" w:rsidP="0087376E">
      <w:r w:rsidRPr="00FC3B7C">
        <w:t>Pracovníci mohou vylepšovat svoji pozici na trhu investicí do lidského kapitálu.</w:t>
      </w:r>
    </w:p>
    <w:p w14:paraId="4A6F43C7" w14:textId="77777777" w:rsidR="00CE6695" w:rsidRPr="00FC3B7C" w:rsidRDefault="00CE6695" w:rsidP="0087376E">
      <w:r w:rsidRPr="00FC3B7C">
        <w:t>Do trhu práce může zasahovat stát a například upravovat pracovní domu a minimální mzdu.</w:t>
      </w:r>
    </w:p>
    <w:p w14:paraId="4A6F43C8" w14:textId="77777777" w:rsidR="00CE6695" w:rsidRPr="00FC3B7C" w:rsidRDefault="00CE6695" w:rsidP="0087376E">
      <w:r w:rsidRPr="00FC3B7C">
        <w:t>Na trh práce má značný vliv také kolektivní vyjednávání (odbory) - usilují např. o vyšší mzdy nebo zaměstnanecké výhody.</w:t>
      </w:r>
    </w:p>
    <w:p w14:paraId="4A6F43C9" w14:textId="77777777" w:rsidR="00CE6695" w:rsidRPr="00FC3B7C" w:rsidRDefault="00CE6695" w:rsidP="0087376E">
      <w:r w:rsidRPr="00FC3B7C">
        <w:t xml:space="preserve">Trh práce tedy svým fungováním vede k nedokonalosti a nezaměstnanosti. Vyznačuje se </w:t>
      </w:r>
      <w:r w:rsidR="0087376E">
        <w:br/>
      </w:r>
      <w:r w:rsidRPr="00FC3B7C">
        <w:t>i dalšími znaky:</w:t>
      </w:r>
    </w:p>
    <w:p w14:paraId="4A6F43CA" w14:textId="77777777" w:rsidR="00CE6695" w:rsidRPr="00FC3B7C" w:rsidRDefault="00CE6695" w:rsidP="00D46B53">
      <w:pPr>
        <w:pStyle w:val="Odstavecseseznamem"/>
        <w:numPr>
          <w:ilvl w:val="0"/>
          <w:numId w:val="214"/>
        </w:numPr>
      </w:pPr>
      <w:r w:rsidRPr="00FC3B7C">
        <w:t>různost povolání – dělník nedělá práci doktora</w:t>
      </w:r>
    </w:p>
    <w:p w14:paraId="4A6F43CB" w14:textId="77777777" w:rsidR="00CE6695" w:rsidRPr="00FC3B7C" w:rsidRDefault="00CE6695" w:rsidP="00D46B53">
      <w:pPr>
        <w:pStyle w:val="Odstavecseseznamem"/>
        <w:numPr>
          <w:ilvl w:val="0"/>
          <w:numId w:val="214"/>
        </w:numPr>
      </w:pPr>
      <w:r w:rsidRPr="00FC3B7C">
        <w:t>nepružnost mezd směrem dolů – minimální mzda</w:t>
      </w:r>
    </w:p>
    <w:p w14:paraId="4A6F43CC" w14:textId="77777777" w:rsidR="00CE6695" w:rsidRPr="00FC3B7C" w:rsidRDefault="00CE6695" w:rsidP="00D46B53">
      <w:pPr>
        <w:pStyle w:val="Odstavecseseznamem"/>
        <w:numPr>
          <w:ilvl w:val="0"/>
          <w:numId w:val="214"/>
        </w:numPr>
      </w:pPr>
      <w:r w:rsidRPr="00FC3B7C">
        <w:t>obtíže při výpovědi – výpovědní lhůta, odstupné</w:t>
      </w:r>
    </w:p>
    <w:p w14:paraId="4A6F43CD" w14:textId="77777777" w:rsidR="00CE6695" w:rsidRPr="00FC3B7C" w:rsidRDefault="00CE6695" w:rsidP="00D46B53">
      <w:pPr>
        <w:pStyle w:val="Odstavecseseznamem"/>
        <w:numPr>
          <w:ilvl w:val="0"/>
          <w:numId w:val="214"/>
        </w:numPr>
        <w:spacing w:after="240"/>
      </w:pPr>
      <w:r w:rsidRPr="00FC3B7C">
        <w:t>zaškolování nových zaměstnanců</w:t>
      </w:r>
    </w:p>
    <w:p w14:paraId="4A6F43CF" w14:textId="47BD2B8F" w:rsidR="00CE6695" w:rsidRPr="00FC3B7C" w:rsidRDefault="00334DBF" w:rsidP="0087376E">
      <w:pPr>
        <w:pStyle w:val="Nadpis3"/>
      </w:pPr>
      <w:r>
        <w:t xml:space="preserve"> </w:t>
      </w:r>
      <w:r w:rsidR="00CE6695" w:rsidRPr="004A163A">
        <w:rPr>
          <w:color w:val="1F3864" w:themeColor="accent1" w:themeShade="80"/>
        </w:rPr>
        <w:t>Nabídka na trhu práce</w:t>
      </w:r>
    </w:p>
    <w:p w14:paraId="4A6F43D0" w14:textId="77777777" w:rsidR="00CE6695" w:rsidRPr="00FC3B7C" w:rsidRDefault="00CE6695" w:rsidP="0087376E">
      <w:r w:rsidRPr="00FC3B7C">
        <w:t>Nabídku práce tvoří zaměstnanci, kteří se rozhodují mezi tím, zda budou nebo nebudou pracovat (práce vs. volný čas).</w:t>
      </w:r>
    </w:p>
    <w:p w14:paraId="4A6F43D1" w14:textId="6D386364" w:rsidR="00CE6695" w:rsidRPr="00FC3B7C" w:rsidRDefault="00CE6695" w:rsidP="0087376E">
      <w:r w:rsidRPr="00FC3B7C">
        <w:lastRenderedPageBreak/>
        <w:t xml:space="preserve">Pro jedince je výkon práce spojen s újmou a s náklady obětované příležitosti (obětování volného času) – proto se snaží o vyrovnání mezní újmy z práce a mezního užitku; mezní </w:t>
      </w:r>
      <w:r w:rsidR="00FE4A28">
        <w:t>u</w:t>
      </w:r>
      <w:r w:rsidRPr="00FC3B7C">
        <w:t>žitek je užitek plynoucí ze mzdy a dalších nepeněžních faktorů (sociální status, služební auto).</w:t>
      </w:r>
    </w:p>
    <w:p w14:paraId="4A6F43D2" w14:textId="77777777" w:rsidR="00CE6695" w:rsidRPr="00FC3B7C" w:rsidRDefault="00CE6695" w:rsidP="0087376E">
      <w:pPr>
        <w:rPr>
          <w:b/>
        </w:rPr>
      </w:pPr>
      <w:r w:rsidRPr="00FC3B7C">
        <w:t xml:space="preserve"> </w:t>
      </w:r>
      <w:r w:rsidRPr="00FC3B7C">
        <w:rPr>
          <w:b/>
        </w:rPr>
        <w:t>Nabídku práce ovlivňuje:</w:t>
      </w:r>
    </w:p>
    <w:p w14:paraId="4A6F43D3" w14:textId="77777777" w:rsidR="00CE6695" w:rsidRPr="00FC3B7C" w:rsidRDefault="00CE6695" w:rsidP="00D46B53">
      <w:pPr>
        <w:numPr>
          <w:ilvl w:val="0"/>
          <w:numId w:val="589"/>
        </w:numPr>
        <w:contextualSpacing/>
      </w:pPr>
      <w:r w:rsidRPr="00FC3B7C">
        <w:t>počet obyvatel v produktivním věku (ovlivňuje jej demografický vývoj obyvatelstva – počet narozených, migrace, mortalita; úprava legislativy (stanovení věku pro nárok na starobní důchod – zvyšuje se s ročníky narození)</w:t>
      </w:r>
    </w:p>
    <w:p w14:paraId="4A6F43D4" w14:textId="77777777" w:rsidR="00CE6695" w:rsidRPr="00FC3B7C" w:rsidRDefault="00CE6695" w:rsidP="00D46B53">
      <w:pPr>
        <w:numPr>
          <w:ilvl w:val="0"/>
          <w:numId w:val="589"/>
        </w:numPr>
        <w:contextualSpacing/>
      </w:pPr>
      <w:r w:rsidRPr="00FC3B7C">
        <w:t>počet ekonomicky aktivních cizinců</w:t>
      </w:r>
    </w:p>
    <w:p w14:paraId="4A6F43D5" w14:textId="77777777" w:rsidR="00CE6695" w:rsidRPr="00FC3B7C" w:rsidRDefault="00CE6695" w:rsidP="00D46B53">
      <w:pPr>
        <w:numPr>
          <w:ilvl w:val="0"/>
          <w:numId w:val="589"/>
        </w:numPr>
        <w:spacing w:after="240"/>
        <w:contextualSpacing/>
      </w:pPr>
      <w:r w:rsidRPr="00FC3B7C">
        <w:t>feminizace pracovní síly (převaha žen)</w:t>
      </w:r>
    </w:p>
    <w:p w14:paraId="4A6F43D7" w14:textId="77777777" w:rsidR="00CE6695" w:rsidRPr="00FC3B7C" w:rsidRDefault="00CE6695" w:rsidP="0087376E">
      <w:pPr>
        <w:rPr>
          <w:b/>
        </w:rPr>
      </w:pPr>
      <w:r w:rsidRPr="00FC3B7C">
        <w:rPr>
          <w:b/>
        </w:rPr>
        <w:t>Průběh nabídky práce vysvětlujeme dle působení 2 efektů:</w:t>
      </w:r>
    </w:p>
    <w:p w14:paraId="4A6F43D8" w14:textId="77777777" w:rsidR="00CE6695" w:rsidRPr="00FC3B7C" w:rsidRDefault="00CE6695" w:rsidP="0087376E">
      <w:r w:rsidRPr="00FC3B7C">
        <w:rPr>
          <w:b/>
        </w:rPr>
        <w:t xml:space="preserve">substituční efekt </w:t>
      </w:r>
      <w:r w:rsidRPr="00FC3B7C">
        <w:t>– nahrazování volného času prací → při růstu mzdy člověk nabízí více práce</w:t>
      </w:r>
    </w:p>
    <w:p w14:paraId="4A6F43D9" w14:textId="77777777" w:rsidR="00CE6695" w:rsidRPr="00FC3B7C" w:rsidRDefault="00CE6695" w:rsidP="0087376E">
      <w:r w:rsidRPr="00FC3B7C">
        <w:rPr>
          <w:b/>
        </w:rPr>
        <w:t>důchodový efekt</w:t>
      </w:r>
      <w:r w:rsidRPr="00FC3B7C">
        <w:t xml:space="preserve"> – čím větší důchod, tím více statků a služeb si může člověk dovolit → při růstu mzdy člověk nabízí méně práce</w:t>
      </w:r>
    </w:p>
    <w:p w14:paraId="4A6F43DA" w14:textId="77777777" w:rsidR="00CE6695" w:rsidRPr="00FC3B7C" w:rsidRDefault="00CE6695" w:rsidP="0087376E">
      <w:r w:rsidRPr="00FC3B7C">
        <w:t>SE&gt; DE → při zvýšení mzdy člověk nabízí více práce</w:t>
      </w:r>
    </w:p>
    <w:p w14:paraId="4A6F43DC" w14:textId="3661DED6" w:rsidR="00CE6695" w:rsidRPr="00FC3B7C" w:rsidRDefault="00CE6695" w:rsidP="00D32A9F">
      <w:pPr>
        <w:spacing w:after="240"/>
      </w:pPr>
      <w:r w:rsidRPr="00FC3B7C">
        <w:t>DE&gt; SE → při zvýšení mzdy bude člověk nabízet méně práce, protože se cítí být natolik bohatý, že bude upřednostňovat volný čas před prací</w:t>
      </w:r>
    </w:p>
    <w:p w14:paraId="4A6F43DD" w14:textId="116A3E72" w:rsidR="00CE6695" w:rsidRPr="004A163A" w:rsidRDefault="004A163A" w:rsidP="0087376E">
      <w:pPr>
        <w:pStyle w:val="Nadpis3"/>
        <w:rPr>
          <w:color w:val="1F3864" w:themeColor="accent1" w:themeShade="80"/>
        </w:rPr>
      </w:pPr>
      <w:r w:rsidRPr="004A163A">
        <w:rPr>
          <w:color w:val="1F3864" w:themeColor="accent1" w:themeShade="80"/>
        </w:rPr>
        <w:t xml:space="preserve"> </w:t>
      </w:r>
      <w:r w:rsidR="00CE6695" w:rsidRPr="004A163A">
        <w:rPr>
          <w:color w:val="1F3864" w:themeColor="accent1" w:themeShade="80"/>
        </w:rPr>
        <w:t>Poptávka na trhu práce</w:t>
      </w:r>
    </w:p>
    <w:p w14:paraId="4A6F43DE" w14:textId="77777777" w:rsidR="00CE6695" w:rsidRPr="00FC3B7C" w:rsidRDefault="00CE6695" w:rsidP="0087376E">
      <w:r w:rsidRPr="00FC3B7C">
        <w:t>Poptávka po práci = objem vytvořených pracovních míst, která jsou na trhu práce k dispozici.</w:t>
      </w:r>
    </w:p>
    <w:p w14:paraId="4A6F43DF" w14:textId="77777777" w:rsidR="00CE6695" w:rsidRPr="00FC3B7C" w:rsidRDefault="00CE6695" w:rsidP="0087376E">
      <w:r w:rsidRPr="00FC3B7C">
        <w:t>Zaměstnavatel porovnává mzdu, kterou platí svým zaměstnancům, s mezním produktem práce, který bude zaměstnanci vytvořen – bude poptávat takové množství práce, při kterém je mezní produkt práce roven/ vyšší než cena.</w:t>
      </w:r>
    </w:p>
    <w:p w14:paraId="4A6F43E0" w14:textId="77777777" w:rsidR="00CE6695" w:rsidRPr="00FC3B7C" w:rsidRDefault="00CE6695" w:rsidP="0087376E">
      <w:r w:rsidRPr="00FC3B7C">
        <w:t>Poptávka po práci je odvozena od poptávky po zboží a sl</w:t>
      </w:r>
      <w:r w:rsidR="0087376E">
        <w:t xml:space="preserve">užbách, na jejichž výrobu a </w:t>
      </w:r>
      <w:r w:rsidRPr="00FC3B7C">
        <w:t>zajištění je vynakládána.</w:t>
      </w:r>
    </w:p>
    <w:p w14:paraId="4A6F43E1" w14:textId="77777777" w:rsidR="00CE6695" w:rsidRPr="00FC3B7C" w:rsidRDefault="0087376E" w:rsidP="00D32A9F">
      <w:pPr>
        <w:spacing w:after="240"/>
      </w:pPr>
      <w:r>
        <w:t>P</w:t>
      </w:r>
      <w:r w:rsidR="00CE6695" w:rsidRPr="00FC3B7C">
        <w:t>roduktivita práce – ovlivněna technologickým pokrokem, který snižuje poptávku po práci (především po pra</w:t>
      </w:r>
      <w:r>
        <w:t xml:space="preserve">covnících s nízkou kvalifikací) </w:t>
      </w:r>
      <w:r w:rsidR="00CE6695" w:rsidRPr="00FC3B7C">
        <w:t>výše nákladů na nákup práce (minimální mzda, pojistné na sociální</w:t>
      </w:r>
      <w:r>
        <w:t xml:space="preserve"> zabezpečení atd., </w:t>
      </w:r>
      <w:r w:rsidR="00CE6695" w:rsidRPr="00FC3B7C">
        <w:t>náklady máme buď úplné – mzdové a nemzdové náklady práce závislé na délce a intenzitě práce, nebo jednorázové – na najímání/propouštění zaměstnanců, zaškolení, zaměstnanecké výhody</w:t>
      </w:r>
    </w:p>
    <w:p w14:paraId="4A6F43E3" w14:textId="33EA61FF" w:rsidR="00CE6695" w:rsidRPr="004A163A" w:rsidRDefault="004A163A" w:rsidP="0087376E">
      <w:pPr>
        <w:pStyle w:val="Nadpis3"/>
        <w:rPr>
          <w:color w:val="1F3864" w:themeColor="accent1" w:themeShade="80"/>
        </w:rPr>
      </w:pPr>
      <w:r w:rsidRPr="004A163A">
        <w:rPr>
          <w:color w:val="1F3864" w:themeColor="accent1" w:themeShade="80"/>
        </w:rPr>
        <w:lastRenderedPageBreak/>
        <w:t xml:space="preserve"> </w:t>
      </w:r>
      <w:r w:rsidR="00CE6695" w:rsidRPr="004A163A">
        <w:rPr>
          <w:color w:val="1F3864" w:themeColor="accent1" w:themeShade="80"/>
        </w:rPr>
        <w:t>Nerovnováha trhu práce</w:t>
      </w:r>
    </w:p>
    <w:p w14:paraId="4A6F43E4" w14:textId="77777777" w:rsidR="00CE6695" w:rsidRPr="00FC3B7C" w:rsidRDefault="00CE6695" w:rsidP="0087376E">
      <w:r w:rsidRPr="00FC3B7C">
        <w:t>Přebytek práce i nedostatek práce je pouze dočasná situace, rovnováha nastává pohybem reálné mzdy.</w:t>
      </w:r>
    </w:p>
    <w:p w14:paraId="4A6F43E5" w14:textId="77777777" w:rsidR="00CE6695" w:rsidRPr="00FC3B7C" w:rsidRDefault="00CE6695" w:rsidP="0087376E">
      <w:r w:rsidRPr="00FC3B7C">
        <w:t xml:space="preserve">Při nižší než rovnovážné mzdě (W1) by byl na trhu nedostatek práce – firmy by nenacházely takové množství práce, jaké by chtěly zaměstnat. Konkurence mezi firmami by vyháněla mzdu vzhůru, což by vedlo lidi ke zvětšování nabízeného množství práce a firmy </w:t>
      </w:r>
      <w:r w:rsidR="0087376E">
        <w:br/>
      </w:r>
      <w:r w:rsidRPr="00FC3B7C">
        <w:t>ke snižování poptávaného množství práce (až na úroveň Le).</w:t>
      </w:r>
    </w:p>
    <w:p w14:paraId="4A6F43E8" w14:textId="7FBF4F24" w:rsidR="00CE6695" w:rsidRPr="00FC3B7C" w:rsidRDefault="00CE6695" w:rsidP="00D32A9F">
      <w:pPr>
        <w:spacing w:after="240"/>
        <w:rPr>
          <w:b/>
        </w:rPr>
      </w:pPr>
      <w:r w:rsidRPr="00FC3B7C">
        <w:t>Při vyšší než rovnovážné mzdě (W2) by vznikl na trhu práce přebytek, tj. nezaměstnanost. Konkurence mezi lidmi hledajícími práci by ale tlačila mzdu dolů až na úroveň rovnovážné mzdy (We) dokud by nezaměstnanost nezmizela.</w:t>
      </w:r>
      <w:r w:rsidR="00D32A9F">
        <w:t xml:space="preserve"> </w:t>
      </w:r>
      <w:r w:rsidRPr="00FC3B7C">
        <w:t>(pouze model!!!!)</w:t>
      </w:r>
    </w:p>
    <w:p w14:paraId="4A6F43E9" w14:textId="77777777" w:rsidR="00CE6695" w:rsidRPr="004A163A" w:rsidRDefault="00CE6695" w:rsidP="0087376E">
      <w:pPr>
        <w:pStyle w:val="Nadpis4"/>
        <w:rPr>
          <w:color w:val="1F3864" w:themeColor="accent1" w:themeShade="80"/>
        </w:rPr>
      </w:pPr>
      <w:r w:rsidRPr="004A163A">
        <w:rPr>
          <w:color w:val="1F3864" w:themeColor="accent1" w:themeShade="80"/>
        </w:rPr>
        <w:t>Bariéry bránící poklesu mezd</w:t>
      </w:r>
    </w:p>
    <w:p w14:paraId="4A6F43EA" w14:textId="77777777" w:rsidR="00CE6695" w:rsidRPr="00FC3B7C" w:rsidRDefault="00CE6695" w:rsidP="0087376E">
      <w:r w:rsidRPr="00FC3B7C">
        <w:t>Mzdové strnulosti – způsobené kolektivním vyjednáváním (mzda ukotvena v pracovní smlouvě), mzdové tarify (dle délky praxe, vzdělání, náročnost povolání)</w:t>
      </w:r>
      <w:r w:rsidR="0087376E">
        <w:t>.</w:t>
      </w:r>
    </w:p>
    <w:p w14:paraId="4A6F43EB" w14:textId="77777777" w:rsidR="00CE6695" w:rsidRPr="00FC3B7C" w:rsidRDefault="00CE6695" w:rsidP="0087376E">
      <w:r w:rsidRPr="00FC3B7C">
        <w:t>Odbory – v případě, že jeden z cílů je prosazování vysokých mezd nebo zkracování pracovní doby</w:t>
      </w:r>
      <w:r w:rsidR="0087376E">
        <w:t>.</w:t>
      </w:r>
    </w:p>
    <w:p w14:paraId="4A6F43ED" w14:textId="51B30A0C" w:rsidR="00CE6695" w:rsidRPr="00FC3B7C" w:rsidRDefault="00CE6695" w:rsidP="00D32A9F">
      <w:pPr>
        <w:spacing w:after="240"/>
      </w:pPr>
      <w:r w:rsidRPr="00FC3B7C">
        <w:t>Povinnost chovat se při najímání zaměstnanců podle zákona (např. minimální mzda)</w:t>
      </w:r>
      <w:r w:rsidR="0087376E">
        <w:t>.</w:t>
      </w:r>
    </w:p>
    <w:p w14:paraId="4A6F43EE" w14:textId="77777777" w:rsidR="00CE6695" w:rsidRPr="004A163A" w:rsidRDefault="00CE6695" w:rsidP="0087376E">
      <w:pPr>
        <w:pStyle w:val="Nadpis4"/>
        <w:rPr>
          <w:color w:val="1F3864" w:themeColor="accent1" w:themeShade="80"/>
        </w:rPr>
      </w:pPr>
      <w:r w:rsidRPr="004A163A">
        <w:rPr>
          <w:color w:val="1F3864" w:themeColor="accent1" w:themeShade="80"/>
        </w:rPr>
        <w:t>Institucionální nepružnosti na trhu práce</w:t>
      </w:r>
    </w:p>
    <w:p w14:paraId="4A6F43EF" w14:textId="77777777" w:rsidR="00CE6695" w:rsidRPr="00FC3B7C" w:rsidRDefault="00CE6695" w:rsidP="006179BC">
      <w:r w:rsidRPr="00FC3B7C">
        <w:t>Motivace lidí je podmíněna institucionální organizací trhu práce a s tím související nepružnosti:</w:t>
      </w:r>
    </w:p>
    <w:p w14:paraId="4A6F43F0" w14:textId="77777777" w:rsidR="00CE6695" w:rsidRPr="00FC3B7C" w:rsidRDefault="00CE6695" w:rsidP="00D46B53">
      <w:pPr>
        <w:pStyle w:val="Odstavecseseznamem"/>
        <w:numPr>
          <w:ilvl w:val="0"/>
          <w:numId w:val="214"/>
        </w:numPr>
        <w:ind w:left="709" w:hanging="283"/>
      </w:pPr>
      <w:r w:rsidRPr="00FC3B7C">
        <w:t>Způsob a rychlost šíření informací</w:t>
      </w:r>
    </w:p>
    <w:p w14:paraId="4A6F43F1" w14:textId="77777777" w:rsidR="00CE6695" w:rsidRPr="00FC3B7C" w:rsidRDefault="00CE6695" w:rsidP="00D46B53">
      <w:pPr>
        <w:pStyle w:val="Odstavecseseznamem"/>
        <w:numPr>
          <w:ilvl w:val="0"/>
          <w:numId w:val="214"/>
        </w:numPr>
        <w:ind w:left="709" w:hanging="283"/>
      </w:pPr>
      <w:r w:rsidRPr="00FC3B7C">
        <w:t>Mzdové strnulosti způsobené vládními intervencemi nebo odbory</w:t>
      </w:r>
    </w:p>
    <w:p w14:paraId="4A6F43F2" w14:textId="77777777" w:rsidR="00CE6695" w:rsidRPr="00FC3B7C" w:rsidRDefault="00CE6695" w:rsidP="00D46B53">
      <w:pPr>
        <w:pStyle w:val="Odstavecseseznamem"/>
        <w:numPr>
          <w:ilvl w:val="0"/>
          <w:numId w:val="214"/>
        </w:numPr>
        <w:ind w:left="709" w:hanging="283"/>
      </w:pPr>
      <w:r w:rsidRPr="00FC3B7C">
        <w:t xml:space="preserve">Výše podpor v nezaměstnanosti a dalších sociálních dávek, jejich dosažitelnost </w:t>
      </w:r>
      <w:r w:rsidR="006179BC">
        <w:br/>
      </w:r>
      <w:r w:rsidRPr="00FC3B7C">
        <w:t>a délka vyplácení</w:t>
      </w:r>
    </w:p>
    <w:p w14:paraId="4A6F43F3" w14:textId="77777777" w:rsidR="00CE6695" w:rsidRPr="00FC3B7C" w:rsidRDefault="00CE6695" w:rsidP="00D46B53">
      <w:pPr>
        <w:pStyle w:val="Odstavecseseznamem"/>
        <w:numPr>
          <w:ilvl w:val="0"/>
          <w:numId w:val="214"/>
        </w:numPr>
        <w:ind w:left="709" w:hanging="283"/>
      </w:pPr>
      <w:r w:rsidRPr="00FC3B7C">
        <w:t>Dopravní infrastruktura</w:t>
      </w:r>
    </w:p>
    <w:p w14:paraId="4A6F43F4" w14:textId="77777777" w:rsidR="00CE6695" w:rsidRPr="00FC3B7C" w:rsidRDefault="00CE6695" w:rsidP="00D46B53">
      <w:pPr>
        <w:pStyle w:val="Odstavecseseznamem"/>
        <w:numPr>
          <w:ilvl w:val="0"/>
          <w:numId w:val="214"/>
        </w:numPr>
        <w:ind w:left="709" w:hanging="283"/>
      </w:pPr>
      <w:r w:rsidRPr="00FC3B7C">
        <w:t>Fungování trhu nájemního bydlení</w:t>
      </w:r>
    </w:p>
    <w:p w14:paraId="4A6F43F5" w14:textId="77777777" w:rsidR="00CE6695" w:rsidRPr="00FC3B7C" w:rsidRDefault="00CE6695" w:rsidP="00D46B53">
      <w:pPr>
        <w:pStyle w:val="Odstavecseseznamem"/>
        <w:numPr>
          <w:ilvl w:val="0"/>
          <w:numId w:val="214"/>
        </w:numPr>
        <w:ind w:left="709" w:hanging="283"/>
      </w:pPr>
      <w:r w:rsidRPr="00FC3B7C">
        <w:t>Sociální zvyklosti a tradice</w:t>
      </w:r>
    </w:p>
    <w:p w14:paraId="4A6F43F7" w14:textId="2B79B8AC" w:rsidR="00CE6695" w:rsidRPr="00FC3B7C" w:rsidRDefault="00CE6695" w:rsidP="00D46B53">
      <w:pPr>
        <w:pStyle w:val="Odstavecseseznamem"/>
        <w:numPr>
          <w:ilvl w:val="0"/>
          <w:numId w:val="214"/>
        </w:numPr>
        <w:spacing w:after="240"/>
        <w:ind w:left="709" w:hanging="283"/>
      </w:pPr>
      <w:r w:rsidRPr="00FC3B7C">
        <w:t>Demografická struktura obyvatelstva</w:t>
      </w:r>
    </w:p>
    <w:p w14:paraId="4A6F43F8" w14:textId="77777777" w:rsidR="00CE6695" w:rsidRPr="004A163A" w:rsidRDefault="00CE6695" w:rsidP="0087376E">
      <w:pPr>
        <w:pStyle w:val="Nadpis4"/>
        <w:rPr>
          <w:color w:val="1F3864" w:themeColor="accent1" w:themeShade="80"/>
        </w:rPr>
      </w:pPr>
      <w:r w:rsidRPr="004A163A">
        <w:rPr>
          <w:color w:val="1F3864" w:themeColor="accent1" w:themeShade="80"/>
        </w:rPr>
        <w:t>Nepružené mzdy</w:t>
      </w:r>
    </w:p>
    <w:p w14:paraId="4A6F43F9" w14:textId="77777777" w:rsidR="00CE6695" w:rsidRPr="00FC3B7C" w:rsidRDefault="00CE6695" w:rsidP="006179BC">
      <w:r w:rsidRPr="00FC3B7C">
        <w:t xml:space="preserve">Základem je mikroekonomické chování ekonomických subjektů při stanovení mezd, což znamená, že podnikatelé nebudou nahrazovat osvědčené pracovníky nezaměstnanými, kteří by byli ochotni nastoupit za nižší mzdy, protože by to s sebou přineslo dodatečné náklady na najímání, zaučování a zapracování nových pracovníků, kteří by se nakonec také nemuseli </w:t>
      </w:r>
      <w:r w:rsidRPr="00FC3B7C">
        <w:lastRenderedPageBreak/>
        <w:t>osvědčit. Proto nedochází v období velké nezaměstnanosti k automatickému snižování mezd, mzdy se trhu přizpůsobují velmi pomalu a spíše směrem vzhůru.</w:t>
      </w:r>
    </w:p>
    <w:p w14:paraId="4A6F43FB" w14:textId="07863373" w:rsidR="00CE6695" w:rsidRPr="00FC3B7C" w:rsidRDefault="00CE6695" w:rsidP="00D32A9F">
      <w:pPr>
        <w:spacing w:after="240"/>
      </w:pPr>
      <w:r w:rsidRPr="00FC3B7C">
        <w:t>Trh práce je nedokonale konkurenčním prostředím (nabídka se nerovná poptávce), je rozdělen do nekonkurujících si skupin – to znamená, že existují různé druhy povolání vyžadujících zvláštní kvalifikaci.</w:t>
      </w:r>
    </w:p>
    <w:p w14:paraId="4A6F43FC" w14:textId="77777777" w:rsidR="00CE6695" w:rsidRPr="00FC3B7C" w:rsidRDefault="00CE6695" w:rsidP="006179BC">
      <w:pPr>
        <w:rPr>
          <w:b/>
        </w:rPr>
      </w:pPr>
      <w:r w:rsidRPr="00FC3B7C">
        <w:rPr>
          <w:b/>
        </w:rPr>
        <w:t>Za cenovou strnulost mohou:</w:t>
      </w:r>
    </w:p>
    <w:p w14:paraId="4A6F43FD" w14:textId="77777777" w:rsidR="00CE6695" w:rsidRPr="00FC3B7C" w:rsidRDefault="00CE6695" w:rsidP="006179BC">
      <w:r w:rsidRPr="00FC3B7C">
        <w:rPr>
          <w:b/>
        </w:rPr>
        <w:t>Teorém obálky</w:t>
      </w:r>
      <w:r w:rsidRPr="00FC3B7C">
        <w:t xml:space="preserve"> – spojený s kvazi racionalitou chování ekonomických subjektů.</w:t>
      </w:r>
    </w:p>
    <w:p w14:paraId="4A6F43FE" w14:textId="77777777" w:rsidR="00CE6695" w:rsidRPr="00FC3B7C" w:rsidRDefault="00CE6695" w:rsidP="006179BC">
      <w:r w:rsidRPr="00FC3B7C">
        <w:rPr>
          <w:b/>
        </w:rPr>
        <w:t>Teorém ceníkových nákladů</w:t>
      </w:r>
      <w:r w:rsidRPr="00FC3B7C">
        <w:t xml:space="preserve"> – žádné firmě se nevyplatí při jakékoli změně poptávky po jejích výrobcích měnit jejich cenu (vyplatí se při skokové změně).</w:t>
      </w:r>
    </w:p>
    <w:p w14:paraId="4A6F43FF" w14:textId="77777777" w:rsidR="00CE6695" w:rsidRPr="00FC3B7C" w:rsidRDefault="00CE6695" w:rsidP="006179BC">
      <w:r w:rsidRPr="00FC3B7C">
        <w:rPr>
          <w:b/>
        </w:rPr>
        <w:t>Explicitní mzdové a cenové kontrakty</w:t>
      </w:r>
      <w:r w:rsidRPr="00FC3B7C">
        <w:t xml:space="preserve"> – dohody na určité období s pevnou mzdovou sazbou (nevýhodné pro ekonomickou efektivnost – cena za práci nemusí odrážet její skutečnou hodnotu); Keynesiánci – je nutné pro stabilitu; neoklasici – dohody jako forma pojištění, je to špatné, trh má odrážet nabídku a poptávku.</w:t>
      </w:r>
    </w:p>
    <w:p w14:paraId="4A6F4401" w14:textId="72345399" w:rsidR="00CE6695" w:rsidRPr="00D32A9F" w:rsidRDefault="00CE6695" w:rsidP="00D32A9F">
      <w:pPr>
        <w:spacing w:after="240"/>
      </w:pPr>
      <w:r w:rsidRPr="00FC3B7C">
        <w:rPr>
          <w:b/>
        </w:rPr>
        <w:t>Implicitní mzdové a cenové kontrakty</w:t>
      </w:r>
      <w:r w:rsidRPr="00FC3B7C">
        <w:t xml:space="preserve"> (nepsané)</w:t>
      </w:r>
      <w:r w:rsidR="003376E1">
        <w:t xml:space="preserve"> </w:t>
      </w:r>
      <w:r w:rsidRPr="00FC3B7C">
        <w:t>–</w:t>
      </w:r>
      <w:r w:rsidR="003376E1">
        <w:t xml:space="preserve"> </w:t>
      </w:r>
      <w:r w:rsidRPr="00FC3B7C">
        <w:t>nevyplatí</w:t>
      </w:r>
      <w:r w:rsidR="003376E1">
        <w:t xml:space="preserve"> </w:t>
      </w:r>
      <w:r w:rsidRPr="00FC3B7C">
        <w:t>se</w:t>
      </w:r>
      <w:r w:rsidR="003376E1">
        <w:t xml:space="preserve"> </w:t>
      </w:r>
      <w:r w:rsidRPr="00FC3B7C">
        <w:t>najmout</w:t>
      </w:r>
      <w:r w:rsidR="003376E1">
        <w:t xml:space="preserve"> </w:t>
      </w:r>
      <w:r w:rsidRPr="00FC3B7C">
        <w:t>levnější pracovní sílu (stávající pracovní síla je už zaškolená)</w:t>
      </w:r>
    </w:p>
    <w:p w14:paraId="4A6F4402" w14:textId="77777777" w:rsidR="00CE6695" w:rsidRPr="004A163A" w:rsidRDefault="00CE6695" w:rsidP="006179BC">
      <w:pPr>
        <w:pStyle w:val="Nadpis4"/>
        <w:rPr>
          <w:color w:val="1F3864" w:themeColor="accent1" w:themeShade="80"/>
        </w:rPr>
      </w:pPr>
      <w:r w:rsidRPr="004A163A">
        <w:rPr>
          <w:color w:val="1F3864" w:themeColor="accent1" w:themeShade="80"/>
        </w:rPr>
        <w:t>Mzdová regulace</w:t>
      </w:r>
    </w:p>
    <w:p w14:paraId="4A6F4403" w14:textId="77777777" w:rsidR="00CE6695" w:rsidRPr="00FC3B7C" w:rsidRDefault="00CE6695" w:rsidP="006179BC">
      <w:r w:rsidRPr="00FC3B7C">
        <w:t>Lze ji považovat za extrémně proaktivní opatření vlády k tvorbě minimální mzdy. V praxi se využívá spíše regulace tempa růstu mezd, než přímo mezd – regulace může být stanovena jako meziroční omezení tempa růstu mezd.</w:t>
      </w:r>
    </w:p>
    <w:p w14:paraId="4A6F4404" w14:textId="77777777" w:rsidR="00CE6695" w:rsidRPr="00FC3B7C" w:rsidRDefault="00CE6695" w:rsidP="006179BC">
      <w:r w:rsidRPr="00FC3B7C">
        <w:t>Hlavním motivem tohoto politickohospodářského opatření je snaha snížit inflaci – růst mezd zvyšuje náklad firem a ty zvyšují ceny, na vyšší ceny reagují pracovníci požadavkem na vyšší mzdy atd. (mzdově-inflační spirála); podmínkou ovšem je akomodativní měnová politika, která se vyznačuje pasivním přizpůsobování peněžní zásoby poptávanému množství peněz centrální bankou.</w:t>
      </w:r>
    </w:p>
    <w:p w14:paraId="4A6F4406" w14:textId="48F84C09" w:rsidR="00CE6695" w:rsidRPr="00FC3B7C" w:rsidRDefault="00CE6695" w:rsidP="00D32A9F">
      <w:pPr>
        <w:spacing w:after="240"/>
      </w:pPr>
      <w:r w:rsidRPr="00FC3B7C">
        <w:t>Negativní dopady – mzdová regulace brání změnám relativních mezd, konzervuje strukturu mezd, a zaměstnavatelé tak nemohou volně zvyšovat své mzdové nabídky.</w:t>
      </w:r>
    </w:p>
    <w:p w14:paraId="4A6F4407" w14:textId="77777777" w:rsidR="00CE6695" w:rsidRPr="004A163A" w:rsidRDefault="00CE6695" w:rsidP="006179BC">
      <w:pPr>
        <w:pStyle w:val="Nadpis4"/>
        <w:rPr>
          <w:color w:val="1F3864" w:themeColor="accent1" w:themeShade="80"/>
        </w:rPr>
      </w:pPr>
      <w:r w:rsidRPr="004A163A">
        <w:rPr>
          <w:color w:val="1F3864" w:themeColor="accent1" w:themeShade="80"/>
        </w:rPr>
        <w:t>Regulace pracovní doby</w:t>
      </w:r>
    </w:p>
    <w:p w14:paraId="4A6F4408" w14:textId="77777777" w:rsidR="00CE6695" w:rsidRPr="00FC3B7C" w:rsidRDefault="00CE6695" w:rsidP="006179BC">
      <w:r w:rsidRPr="00FC3B7C">
        <w:t>Zaměstnavatelé mají ekonomickou motivaci preferovat menší množství pracovníků, kteří pracují více hodin, před větším množstvím pracovníků, kteří pracují málo hodin.</w:t>
      </w:r>
    </w:p>
    <w:p w14:paraId="4A6F4409" w14:textId="77777777" w:rsidR="00CE6695" w:rsidRPr="00FC3B7C" w:rsidRDefault="00CE6695" w:rsidP="006179BC">
      <w:pPr>
        <w:rPr>
          <w:b/>
        </w:rPr>
      </w:pPr>
      <w:r w:rsidRPr="00FC3B7C">
        <w:rPr>
          <w:b/>
        </w:rPr>
        <w:t>Důvody:</w:t>
      </w:r>
    </w:p>
    <w:p w14:paraId="4A6F440A" w14:textId="77777777" w:rsidR="00CE6695" w:rsidRPr="00FC3B7C" w:rsidRDefault="00CE6695" w:rsidP="00D46B53">
      <w:pPr>
        <w:pStyle w:val="Odstavecseseznamem"/>
        <w:numPr>
          <w:ilvl w:val="0"/>
          <w:numId w:val="214"/>
        </w:numPr>
        <w:ind w:left="1134" w:hanging="414"/>
      </w:pPr>
      <w:r w:rsidRPr="00FC3B7C">
        <w:t>Nižší náklady – zaškolení, administrativní apod.</w:t>
      </w:r>
    </w:p>
    <w:p w14:paraId="4A6F440B" w14:textId="77777777" w:rsidR="00CE6695" w:rsidRPr="00FC3B7C" w:rsidRDefault="00CE6695" w:rsidP="00D46B53">
      <w:pPr>
        <w:pStyle w:val="Odstavecseseznamem"/>
        <w:numPr>
          <w:ilvl w:val="0"/>
          <w:numId w:val="214"/>
        </w:numPr>
        <w:ind w:left="1134" w:hanging="414"/>
      </w:pPr>
      <w:r w:rsidRPr="00FC3B7C">
        <w:lastRenderedPageBreak/>
        <w:t>Vyšší využití kapitálu (při vyšším počtu pracovníků je zapotřebí větší počet strojů)</w:t>
      </w:r>
    </w:p>
    <w:p w14:paraId="4A6F440C" w14:textId="77777777" w:rsidR="00CE6695" w:rsidRPr="00FC3B7C" w:rsidRDefault="00CE6695" w:rsidP="00D46B53">
      <w:pPr>
        <w:pStyle w:val="Odstavecseseznamem"/>
        <w:numPr>
          <w:ilvl w:val="0"/>
          <w:numId w:val="214"/>
        </w:numPr>
        <w:ind w:left="1134" w:hanging="414"/>
      </w:pPr>
      <w:r w:rsidRPr="00FC3B7C">
        <w:t>Regulace pracovní doby je především požadavkem odborů, který ovšem není spojen se snížením mzdy – skrytý požadavek na zvýšení hodinové mzdy.</w:t>
      </w:r>
    </w:p>
    <w:p w14:paraId="4A6F440E" w14:textId="5025ED61" w:rsidR="00CE6695" w:rsidRPr="00FC3B7C" w:rsidRDefault="00CE6695" w:rsidP="00D46B53">
      <w:pPr>
        <w:pStyle w:val="Odstavecseseznamem"/>
        <w:numPr>
          <w:ilvl w:val="0"/>
          <w:numId w:val="214"/>
        </w:numPr>
        <w:spacing w:after="240"/>
        <w:ind w:left="1134" w:hanging="414"/>
      </w:pPr>
      <w:r w:rsidRPr="00FC3B7C">
        <w:t>Regulace délky pracovní doby bývá často navrhovaná z důvodů snížení nezaměstnanosti. Dopad zkrácení pracovní doby na růst zaměstnanosti je ale velice nejistý, muselo by zároveň docházet ke snížení mezd, které jsou ovšem především díky odborům, směrem dolů strnulé.</w:t>
      </w:r>
    </w:p>
    <w:p w14:paraId="4A6F440F" w14:textId="77777777" w:rsidR="00CE6695" w:rsidRPr="004A163A" w:rsidRDefault="00CE6695" w:rsidP="006179BC">
      <w:pPr>
        <w:pStyle w:val="Nadpis4"/>
        <w:rPr>
          <w:color w:val="1F3864" w:themeColor="accent1" w:themeShade="80"/>
        </w:rPr>
      </w:pPr>
      <w:r w:rsidRPr="004A163A">
        <w:rPr>
          <w:color w:val="1F3864" w:themeColor="accent1" w:themeShade="80"/>
        </w:rPr>
        <w:t>Diskriminace na trhu práce</w:t>
      </w:r>
    </w:p>
    <w:p w14:paraId="4A6F4410" w14:textId="77777777" w:rsidR="00CE6695" w:rsidRPr="00FC3B7C" w:rsidRDefault="00CE6695" w:rsidP="006179BC">
      <w:r w:rsidRPr="00FC3B7C">
        <w:t xml:space="preserve">O diskriminaci se jedná, jestliže má pracovník stejné vzdělání, zkušenosti, schopnosti, ale </w:t>
      </w:r>
      <w:r w:rsidR="00901FB2">
        <w:br/>
      </w:r>
      <w:r w:rsidRPr="00FC3B7C">
        <w:t xml:space="preserve">i přesto je vystaven horším podmínkám platovým, vyšší pravděpodobnosti propouštění, </w:t>
      </w:r>
      <w:r w:rsidR="00901FB2">
        <w:br/>
      </w:r>
      <w:r w:rsidRPr="00FC3B7C">
        <w:t>a naopak nižší pravděpodobností najímání a povyšování do vyšších pozic, je znevýhodněn v přístupu k formálnímu vzdělání i k získání zkušenosti ve firmách apod.</w:t>
      </w:r>
    </w:p>
    <w:p w14:paraId="4A6F4411" w14:textId="77777777" w:rsidR="00CE6695" w:rsidRPr="00FC3B7C" w:rsidRDefault="00CE6695" w:rsidP="006179BC">
      <w:r w:rsidRPr="00FC3B7C">
        <w:t>Důvody diskriminace – pohlaví, barva pleti, národnost, náboženství…</w:t>
      </w:r>
    </w:p>
    <w:p w14:paraId="4A6F4412" w14:textId="77777777" w:rsidR="00CE6695" w:rsidRPr="00FC3B7C" w:rsidRDefault="00CE6695" w:rsidP="006179BC">
      <w:r w:rsidRPr="00FC3B7C">
        <w:t>Typy diskriminace:</w:t>
      </w:r>
    </w:p>
    <w:p w14:paraId="4A6F4413" w14:textId="77777777" w:rsidR="00CE6695" w:rsidRPr="00FC3B7C" w:rsidRDefault="00CE6695" w:rsidP="00D46B53">
      <w:pPr>
        <w:pStyle w:val="Odstavecseseznamem"/>
        <w:numPr>
          <w:ilvl w:val="0"/>
          <w:numId w:val="214"/>
        </w:numPr>
        <w:ind w:left="567" w:hanging="283"/>
      </w:pPr>
      <w:r w:rsidRPr="00FC3B7C">
        <w:t>mzdová – rozdílná mzda za stejnou práci</w:t>
      </w:r>
    </w:p>
    <w:p w14:paraId="4A6F4414" w14:textId="77777777" w:rsidR="00CE6695" w:rsidRPr="00FC3B7C" w:rsidRDefault="00CE6695" w:rsidP="00D46B53">
      <w:pPr>
        <w:pStyle w:val="Odstavecseseznamem"/>
        <w:numPr>
          <w:ilvl w:val="0"/>
          <w:numId w:val="214"/>
        </w:numPr>
        <w:ind w:left="567" w:hanging="283"/>
      </w:pPr>
      <w:r w:rsidRPr="00FC3B7C">
        <w:t>diskriminace při zaměstnávání jako takovém – určité profese jsou pro diskriminované uchazeče zcela uzavřené</w:t>
      </w:r>
    </w:p>
    <w:p w14:paraId="4A6F4416" w14:textId="2FF10D61" w:rsidR="00CE6695" w:rsidRPr="00FC3B7C" w:rsidRDefault="00CE6695" w:rsidP="00D46B53">
      <w:pPr>
        <w:pStyle w:val="Odstavecseseznamem"/>
        <w:numPr>
          <w:ilvl w:val="0"/>
          <w:numId w:val="214"/>
        </w:numPr>
        <w:spacing w:after="240"/>
        <w:ind w:left="567" w:hanging="283"/>
      </w:pPr>
      <w:r w:rsidRPr="00FC3B7C">
        <w:t>diskriminace v přístupu ke zvyšování lidského kapitálu</w:t>
      </w:r>
    </w:p>
    <w:p w14:paraId="4A6F4417" w14:textId="77777777" w:rsidR="00CE6695" w:rsidRPr="004A163A" w:rsidRDefault="00CE6695" w:rsidP="00901FB2">
      <w:pPr>
        <w:pStyle w:val="Nadpis2"/>
        <w:rPr>
          <w:color w:val="1F3864" w:themeColor="accent1" w:themeShade="80"/>
        </w:rPr>
      </w:pPr>
      <w:r w:rsidRPr="004A163A">
        <w:rPr>
          <w:color w:val="1F3864" w:themeColor="accent1" w:themeShade="80"/>
        </w:rPr>
        <w:t xml:space="preserve"> POLITIKA TRHU PRÁCE V PROCESU TRANSFORMACE</w:t>
      </w:r>
    </w:p>
    <w:p w14:paraId="4A6F4419" w14:textId="4B4C01E8" w:rsidR="00CE6695" w:rsidRPr="00FC3B7C" w:rsidRDefault="00CE6695" w:rsidP="00D32A9F">
      <w:pPr>
        <w:spacing w:after="240"/>
      </w:pPr>
      <w:r w:rsidRPr="00FC3B7C">
        <w:t>Klíčové charakteristiky trhu práce v procesu transformace jsou nezaměstnanost a mzdy.</w:t>
      </w:r>
    </w:p>
    <w:p w14:paraId="4A6F441A" w14:textId="41BE5186" w:rsidR="00CE6695" w:rsidRPr="004A163A" w:rsidRDefault="004A163A" w:rsidP="00901FB2">
      <w:pPr>
        <w:pStyle w:val="Nadpis3"/>
        <w:rPr>
          <w:color w:val="1F3864" w:themeColor="accent1" w:themeShade="80"/>
        </w:rPr>
      </w:pPr>
      <w:r>
        <w:rPr>
          <w:color w:val="1F3864" w:themeColor="accent1" w:themeShade="80"/>
        </w:rPr>
        <w:t xml:space="preserve"> </w:t>
      </w:r>
      <w:r w:rsidR="00CE6695" w:rsidRPr="004A163A">
        <w:rPr>
          <w:color w:val="1F3864" w:themeColor="accent1" w:themeShade="80"/>
        </w:rPr>
        <w:t>Nezaměstnanost</w:t>
      </w:r>
    </w:p>
    <w:p w14:paraId="4A6F441B" w14:textId="77777777" w:rsidR="00CE6695" w:rsidRPr="00FC3B7C" w:rsidRDefault="00CE6695" w:rsidP="00901FB2">
      <w:r w:rsidRPr="00FC3B7C">
        <w:t>Za centrálně plánované ekonomiky (do roku 1990) oficiálně neexistovala nezaměstnanost, ani trh práce.</w:t>
      </w:r>
    </w:p>
    <w:p w14:paraId="4A6F441C" w14:textId="77777777" w:rsidR="00CE6695" w:rsidRPr="00FC3B7C" w:rsidRDefault="00CE6695" w:rsidP="00901FB2">
      <w:r w:rsidRPr="00FC3B7C">
        <w:t>Řada lidí byla zaměstnána a placena za práci, která by v tržních podmínkách placena nebyla.</w:t>
      </w:r>
    </w:p>
    <w:p w14:paraId="4A6F441D" w14:textId="77777777" w:rsidR="00CE6695" w:rsidRPr="00FC3B7C" w:rsidRDefault="00CE6695" w:rsidP="00901FB2">
      <w:r w:rsidRPr="00FC3B7C">
        <w:t>Regulace mezi zdroji a potřebami pracovních sil spočívala v administrativním plánování pracovních sil.</w:t>
      </w:r>
    </w:p>
    <w:p w14:paraId="4A6F441E" w14:textId="2749D290" w:rsidR="00CE6695" w:rsidRPr="00FC3B7C" w:rsidRDefault="00CE6695" w:rsidP="00901FB2">
      <w:pPr>
        <w:rPr>
          <w:b/>
        </w:rPr>
      </w:pPr>
      <w:r w:rsidRPr="00FC3B7C">
        <w:rPr>
          <w:b/>
        </w:rPr>
        <w:t>Plná zaměstnanost byla neefektivn</w:t>
      </w:r>
      <w:r w:rsidRPr="00FC3B7C">
        <w:t xml:space="preserve">í – nebylo možné propouštět zaměstnance, tím byly udržovány neefektivní provozy, hospodářství zaostávalo, práce nebyla nahrazována kapitálem, to vyústilo v přezaměstnanost, nebyly využívány nové technologie. Převládala nízká produktivita práce (50–65 % úrovně produktivity vyspělých zemí). Se zaváděním tržní </w:t>
      </w:r>
      <w:r w:rsidR="00FE4A28">
        <w:lastRenderedPageBreak/>
        <w:t>e</w:t>
      </w:r>
      <w:r w:rsidRPr="00FC3B7C">
        <w:t xml:space="preserve">konomiky byl dlouhodobý přesah poptávky nahrazen přesahem nabídky pracovních sil – </w:t>
      </w:r>
      <w:r w:rsidRPr="00FC3B7C">
        <w:rPr>
          <w:b/>
        </w:rPr>
        <w:t>vznikl fenomén nezaměstnanosti.</w:t>
      </w:r>
    </w:p>
    <w:p w14:paraId="4A6F4420" w14:textId="612CD8E2" w:rsidR="00901FB2" w:rsidRPr="00FC3B7C" w:rsidRDefault="00CE6695" w:rsidP="00D32A9F">
      <w:pPr>
        <w:spacing w:after="240"/>
      </w:pPr>
      <w:r w:rsidRPr="00FC3B7C">
        <w:t>Rychlé změny, jako restrukturalizace (likvidace komunistické byrokracie, redukce těžkého průmyslu, zbrojní výroby, změny vlastnických vztahů) a cyklické reakce na vyrovnávání nabídky a poptávky na pracovním trhu spojené s modernizačními trendy a novými technologiemi měly za následek riziko dalšího nárůstu nezaměstnanosti.</w:t>
      </w:r>
    </w:p>
    <w:p w14:paraId="4A6F4422" w14:textId="3797B2CB" w:rsidR="00CE6695" w:rsidRPr="004A163A" w:rsidRDefault="00CE6695" w:rsidP="00D32A9F">
      <w:pPr>
        <w:pStyle w:val="Nadpis4"/>
        <w:spacing w:after="240"/>
        <w:rPr>
          <w:color w:val="1F3864" w:themeColor="accent1" w:themeShade="80"/>
        </w:rPr>
      </w:pPr>
      <w:r w:rsidRPr="004A163A">
        <w:rPr>
          <w:color w:val="1F3864" w:themeColor="accent1" w:themeShade="80"/>
        </w:rPr>
        <w:t>Etapy vývoje nezaměstnanosti v České republice</w:t>
      </w:r>
    </w:p>
    <w:p w14:paraId="4A6F4423" w14:textId="77777777" w:rsidR="00CE6695" w:rsidRPr="00FC3B7C" w:rsidRDefault="00CE6695" w:rsidP="00D46B53">
      <w:pPr>
        <w:numPr>
          <w:ilvl w:val="0"/>
          <w:numId w:val="590"/>
        </w:numPr>
        <w:ind w:left="851" w:hanging="491"/>
        <w:contextualSpacing/>
        <w:rPr>
          <w:b/>
        </w:rPr>
      </w:pPr>
      <w:r w:rsidRPr="00FC3B7C">
        <w:rPr>
          <w:b/>
        </w:rPr>
        <w:t>etapa (1990–1992)</w:t>
      </w:r>
    </w:p>
    <w:p w14:paraId="4A6F4424" w14:textId="77777777" w:rsidR="00CE6695" w:rsidRPr="00FC3B7C" w:rsidRDefault="00CE6695" w:rsidP="00D46B53">
      <w:pPr>
        <w:pStyle w:val="Odstavecseseznamem"/>
        <w:numPr>
          <w:ilvl w:val="0"/>
          <w:numId w:val="214"/>
        </w:numPr>
        <w:ind w:left="851" w:hanging="491"/>
      </w:pPr>
      <w:r w:rsidRPr="00FC3B7C">
        <w:t>opouštění pracovních míst – buď za atraktivnějšími místy (služby), za samostatným podnikáním nebo definitivně (odchod do důchodu)</w:t>
      </w:r>
    </w:p>
    <w:p w14:paraId="4A6F4425" w14:textId="77777777" w:rsidR="00CE6695" w:rsidRPr="00FC3B7C" w:rsidRDefault="00CE6695" w:rsidP="00D46B53">
      <w:pPr>
        <w:pStyle w:val="Odstavecseseznamem"/>
        <w:numPr>
          <w:ilvl w:val="0"/>
          <w:numId w:val="214"/>
        </w:numPr>
        <w:ind w:left="851" w:hanging="491"/>
      </w:pPr>
      <w:r w:rsidRPr="00FC3B7C">
        <w:t>míra nezaměstnanosti byla nízká (neopakovatelné absorbování pracovních sil ekonomikou)</w:t>
      </w:r>
    </w:p>
    <w:p w14:paraId="4A6F4427" w14:textId="77777777" w:rsidR="00CE6695" w:rsidRPr="00FC3B7C" w:rsidRDefault="00CE6695" w:rsidP="00D46B53">
      <w:pPr>
        <w:numPr>
          <w:ilvl w:val="0"/>
          <w:numId w:val="590"/>
        </w:numPr>
        <w:ind w:left="851" w:hanging="491"/>
        <w:contextualSpacing/>
        <w:rPr>
          <w:b/>
        </w:rPr>
      </w:pPr>
      <w:r w:rsidRPr="00FC3B7C">
        <w:rPr>
          <w:b/>
        </w:rPr>
        <w:t>etapa (1993–1997)</w:t>
      </w:r>
    </w:p>
    <w:p w14:paraId="4A6F4428" w14:textId="77777777" w:rsidR="00CE6695" w:rsidRPr="00FC3B7C" w:rsidRDefault="00CE6695" w:rsidP="00D46B53">
      <w:pPr>
        <w:pStyle w:val="Odstavecseseznamem"/>
        <w:numPr>
          <w:ilvl w:val="0"/>
          <w:numId w:val="214"/>
        </w:numPr>
        <w:ind w:left="851" w:hanging="491"/>
      </w:pPr>
      <w:r w:rsidRPr="00FC3B7C">
        <w:t>míra nezaměstnanosti narůstá (na 3 %, kde se i ustaluje) s růstem nároků na pracovní výkon a kvalifikaci, flexibilitu, firmy byly úvěrovány (zadlužování)</w:t>
      </w:r>
    </w:p>
    <w:p w14:paraId="4A6F442A" w14:textId="77777777" w:rsidR="00CE6695" w:rsidRPr="00FC3B7C" w:rsidRDefault="00CE6695" w:rsidP="00D46B53">
      <w:pPr>
        <w:numPr>
          <w:ilvl w:val="0"/>
          <w:numId w:val="590"/>
        </w:numPr>
        <w:ind w:left="851" w:hanging="491"/>
        <w:contextualSpacing/>
        <w:rPr>
          <w:b/>
        </w:rPr>
      </w:pPr>
      <w:r w:rsidRPr="00FC3B7C">
        <w:rPr>
          <w:b/>
        </w:rPr>
        <w:t>etapa (od r. 1998)</w:t>
      </w:r>
    </w:p>
    <w:p w14:paraId="4A6F442B" w14:textId="77777777" w:rsidR="00CE6695" w:rsidRPr="00FC3B7C" w:rsidRDefault="00CE6695" w:rsidP="00D46B53">
      <w:pPr>
        <w:pStyle w:val="Odstavecseseznamem"/>
        <w:numPr>
          <w:ilvl w:val="0"/>
          <w:numId w:val="214"/>
        </w:numPr>
        <w:ind w:left="851" w:hanging="491"/>
      </w:pPr>
      <w:r w:rsidRPr="00FC3B7C">
        <w:t>tržní tlaky sílí</w:t>
      </w:r>
    </w:p>
    <w:p w14:paraId="4A6F442C" w14:textId="77777777" w:rsidR="00CE6695" w:rsidRPr="00FC3B7C" w:rsidRDefault="00CE6695" w:rsidP="00D46B53">
      <w:pPr>
        <w:pStyle w:val="Odstavecseseznamem"/>
        <w:numPr>
          <w:ilvl w:val="0"/>
          <w:numId w:val="214"/>
        </w:numPr>
        <w:ind w:left="851" w:hanging="491"/>
      </w:pPr>
      <w:r w:rsidRPr="00FC3B7C">
        <w:t>roste celková (cca 9%) i dlouhodobá nezaměstnanost v důsledku recese</w:t>
      </w:r>
    </w:p>
    <w:p w14:paraId="4A6F442D" w14:textId="77777777" w:rsidR="00CE6695" w:rsidRPr="00FC3B7C" w:rsidRDefault="00CE6695" w:rsidP="00D46B53">
      <w:pPr>
        <w:pStyle w:val="Odstavecseseznamem"/>
        <w:numPr>
          <w:ilvl w:val="0"/>
          <w:numId w:val="214"/>
        </w:numPr>
        <w:ind w:left="851" w:hanging="491"/>
      </w:pPr>
      <w:r w:rsidRPr="00FC3B7C">
        <w:t>klesá hospodářský růst</w:t>
      </w:r>
    </w:p>
    <w:p w14:paraId="4A6F442E" w14:textId="77777777" w:rsidR="00CE6695" w:rsidRPr="00FC3B7C" w:rsidRDefault="00CE6695" w:rsidP="00D46B53">
      <w:pPr>
        <w:pStyle w:val="Odstavecseseznamem"/>
        <w:numPr>
          <w:ilvl w:val="0"/>
          <w:numId w:val="214"/>
        </w:numPr>
        <w:ind w:left="851" w:hanging="491"/>
      </w:pPr>
      <w:r w:rsidRPr="00FC3B7C">
        <w:t>existují regionální rozdíly</w:t>
      </w:r>
    </w:p>
    <w:p w14:paraId="4A6F442F" w14:textId="77777777" w:rsidR="00CE6695" w:rsidRPr="00FC3B7C" w:rsidRDefault="00CE6695" w:rsidP="00901FB2">
      <w:pPr>
        <w:ind w:left="851" w:hanging="491"/>
        <w:rPr>
          <w:b/>
        </w:rPr>
      </w:pPr>
      <w:r w:rsidRPr="00FC3B7C">
        <w:rPr>
          <w:b/>
        </w:rPr>
        <w:t>od r. 2000</w:t>
      </w:r>
    </w:p>
    <w:p w14:paraId="4A6F4430" w14:textId="77777777" w:rsidR="00CE6695" w:rsidRPr="00FC3B7C" w:rsidRDefault="00CE6695" w:rsidP="00D46B53">
      <w:pPr>
        <w:pStyle w:val="Odstavecseseznamem"/>
        <w:numPr>
          <w:ilvl w:val="0"/>
          <w:numId w:val="214"/>
        </w:numPr>
        <w:ind w:left="851" w:hanging="491"/>
      </w:pPr>
      <w:r w:rsidRPr="00FC3B7C">
        <w:t>ekonomika rostla, ale nebylo to doprovázeno růstem zaměstnanosti, což bylo způsobeno tím, že růst produktivity byl větší (nové technologie a zahraniční investice) než výkon ekonomiky</w:t>
      </w:r>
    </w:p>
    <w:p w14:paraId="10D4C435" w14:textId="77777777" w:rsidR="00410105" w:rsidRPr="00410105" w:rsidRDefault="00CE6695" w:rsidP="00D46B53">
      <w:pPr>
        <w:pStyle w:val="Odstavecseseznamem"/>
        <w:numPr>
          <w:ilvl w:val="0"/>
          <w:numId w:val="214"/>
        </w:numPr>
        <w:ind w:left="851" w:hanging="491"/>
        <w:rPr>
          <w:b/>
        </w:rPr>
      </w:pPr>
      <w:r w:rsidRPr="00FC3B7C">
        <w:t>v posledních letech stále narůstal počet dlouhodobě nezaměstnaných</w:t>
      </w:r>
    </w:p>
    <w:p w14:paraId="4A6F4433" w14:textId="66882A89" w:rsidR="00CE6695" w:rsidRPr="00410105" w:rsidRDefault="00CE6695" w:rsidP="00410105">
      <w:pPr>
        <w:ind w:left="360"/>
        <w:rPr>
          <w:b/>
        </w:rPr>
      </w:pPr>
      <w:r w:rsidRPr="00410105">
        <w:rPr>
          <w:b/>
        </w:rPr>
        <w:t>koncem r. 2008</w:t>
      </w:r>
    </w:p>
    <w:p w14:paraId="4A6F4434" w14:textId="77777777" w:rsidR="00CE6695" w:rsidRPr="00FC3B7C" w:rsidRDefault="00901FB2" w:rsidP="00D46B53">
      <w:pPr>
        <w:pStyle w:val="Odstavecseseznamem"/>
        <w:numPr>
          <w:ilvl w:val="0"/>
          <w:numId w:val="654"/>
        </w:numPr>
        <w:ind w:left="851" w:hanging="491"/>
      </w:pPr>
      <w:r>
        <w:t>N</w:t>
      </w:r>
      <w:r w:rsidR="00CE6695" w:rsidRPr="00FC3B7C">
        <w:t>a trhu práce se začaly projevovat důsledky finanční a ekonomické krize</w:t>
      </w:r>
      <w:r>
        <w:t>. F</w:t>
      </w:r>
      <w:r w:rsidR="00CE6695" w:rsidRPr="00FC3B7C">
        <w:t>irmy nejdříve reagovaly na snížení poptávky propouštěním cizinců, zaměstnanců se smlouvami na dobu určitou, zkracováním pracovní doby</w:t>
      </w:r>
      <w:r>
        <w:t>. N</w:t>
      </w:r>
      <w:r w:rsidR="00CE6695" w:rsidRPr="00FC3B7C">
        <w:t>ásledně ale došlo i k propouštění kmenových pracovních sil, což vše vedlo k rapidnímu růstu nezaměstnanosti</w:t>
      </w:r>
      <w:r>
        <w:t>.</w:t>
      </w:r>
    </w:p>
    <w:p w14:paraId="4A6F4435" w14:textId="77777777" w:rsidR="00CE6695" w:rsidRPr="00FC3B7C" w:rsidRDefault="00CE6695" w:rsidP="00901FB2"/>
    <w:p w14:paraId="4A6F4436" w14:textId="3D4A4C02" w:rsidR="00CE6695" w:rsidRPr="004A163A" w:rsidRDefault="004A163A" w:rsidP="00901FB2">
      <w:pPr>
        <w:pStyle w:val="Nadpis3"/>
        <w:rPr>
          <w:color w:val="1F3864" w:themeColor="accent1" w:themeShade="80"/>
        </w:rPr>
      </w:pPr>
      <w:r>
        <w:rPr>
          <w:color w:val="1F3864" w:themeColor="accent1" w:themeShade="80"/>
        </w:rPr>
        <w:lastRenderedPageBreak/>
        <w:t xml:space="preserve"> </w:t>
      </w:r>
      <w:r w:rsidR="00CE6695" w:rsidRPr="004A163A">
        <w:rPr>
          <w:color w:val="1F3864" w:themeColor="accent1" w:themeShade="80"/>
        </w:rPr>
        <w:t>Mzdy</w:t>
      </w:r>
    </w:p>
    <w:p w14:paraId="4A6F4437" w14:textId="77777777" w:rsidR="00CE6695" w:rsidRPr="00FC3B7C" w:rsidRDefault="00CE6695" w:rsidP="00901FB2">
      <w:r w:rsidRPr="00FC3B7C">
        <w:t>V centrálně plánované ekonomice byl kladen důraz na rovnost příjmů občanů – novelizace mezd, deformace struktury mezd, která neodrážela ocenění jednotlivých profesí.</w:t>
      </w:r>
    </w:p>
    <w:p w14:paraId="4A6F4438" w14:textId="77777777" w:rsidR="00CE6695" w:rsidRPr="00FC3B7C" w:rsidRDefault="00CE6695" w:rsidP="00901FB2">
      <w:r w:rsidRPr="00FC3B7C">
        <w:t>Projevovala se snaha o udržení nízkého mzdového růstu – díky tomu v počátcích transformace působily mzdy na inflaci tlumivě.</w:t>
      </w:r>
    </w:p>
    <w:p w14:paraId="4A6F4439" w14:textId="77777777" w:rsidR="00CE6695" w:rsidRPr="00FC3B7C" w:rsidRDefault="00CE6695" w:rsidP="00901FB2">
      <w:r w:rsidRPr="00FC3B7C">
        <w:t>V roce 1991 došlo k poklesu reálné mzdy díky výraznému zvýšení cenové hladiny v důsledku cenové liberalizace.</w:t>
      </w:r>
    </w:p>
    <w:p w14:paraId="4A6F443A" w14:textId="77777777" w:rsidR="00CE6695" w:rsidRPr="00FC3B7C" w:rsidRDefault="00CE6695" w:rsidP="00901FB2">
      <w:r w:rsidRPr="00FC3B7C">
        <w:t>V roce 1992 rostly reálné mzdy o 10 %.</w:t>
      </w:r>
    </w:p>
    <w:p w14:paraId="4A6F443B" w14:textId="77777777" w:rsidR="00CE6695" w:rsidRPr="00FC3B7C" w:rsidRDefault="00CE6695" w:rsidP="00901FB2">
      <w:r w:rsidRPr="00FC3B7C">
        <w:t>Další mzdový vývoj v letech 1992–1994 působil inflačně. Akcelerace v letech 1994–1997, způsobila, že docházelo k dvojciferným nárůstům průměrné nominální mzdy, produktivita práce se přitom zvyšovala podstatně méně.</w:t>
      </w:r>
    </w:p>
    <w:p w14:paraId="4A6F443C" w14:textId="77777777" w:rsidR="00CE6695" w:rsidRPr="00FC3B7C" w:rsidRDefault="00CE6695" w:rsidP="00901FB2">
      <w:r w:rsidRPr="00FC3B7C">
        <w:t>Reálné mzdy rostly až do r. 1998, od té doby sblížení tempa růstu mezd a produktivity</w:t>
      </w:r>
    </w:p>
    <w:p w14:paraId="4A6F443D" w14:textId="77777777" w:rsidR="00CE6695" w:rsidRPr="00FC3B7C" w:rsidRDefault="00CE6695" w:rsidP="00901FB2">
      <w:r w:rsidRPr="00FC3B7C">
        <w:t>práce.</w:t>
      </w:r>
    </w:p>
    <w:p w14:paraId="4A6F443E" w14:textId="77777777" w:rsidR="00901FB2" w:rsidRDefault="00CE6695" w:rsidP="00D32A9F">
      <w:pPr>
        <w:spacing w:after="240"/>
      </w:pPr>
      <w:r w:rsidRPr="00FC3B7C">
        <w:t>Růst produktivity práce od konce 90. let: obměna zastaralých technologií, restrukturalizace ekonomiky a adaptace ekonomických subjektů na nové podmínky.</w:t>
      </w:r>
    </w:p>
    <w:p w14:paraId="53557C0E" w14:textId="08062407" w:rsidR="00D32A9F" w:rsidRPr="00244BB9" w:rsidRDefault="00D32A9F" w:rsidP="00D32A9F">
      <w:pPr>
        <w:rPr>
          <w:b/>
          <w:bCs/>
        </w:rPr>
      </w:pPr>
      <w:r w:rsidRPr="00244BB9">
        <w:rPr>
          <w:b/>
          <w:bCs/>
        </w:rPr>
        <w:t xml:space="preserve">Graf č. 4: Průměrné mzdy a platy v Kč </w:t>
      </w:r>
    </w:p>
    <w:p w14:paraId="4A6F443F" w14:textId="11850FA3" w:rsidR="00901FB2" w:rsidRDefault="00D32A9F" w:rsidP="00D32A9F">
      <w:pPr>
        <w:spacing w:line="240" w:lineRule="auto"/>
        <w:jc w:val="center"/>
      </w:pPr>
      <w:r>
        <w:rPr>
          <w:noProof/>
        </w:rPr>
        <w:drawing>
          <wp:inline distT="0" distB="0" distL="0" distR="0" wp14:anchorId="38B59EEE" wp14:editId="413C50F2">
            <wp:extent cx="6156356" cy="3998006"/>
            <wp:effectExtent l="0" t="0" r="0" b="254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extLst>
                        <a:ext uri="{BEBA8EAE-BF5A-486C-A8C5-ECC9F3942E4B}">
                          <a14:imgProps xmlns:a14="http://schemas.microsoft.com/office/drawing/2010/main">
                            <a14:imgLayer r:embed="rId86">
                              <a14:imgEffect>
                                <a14:sharpenSoften amount="25000"/>
                              </a14:imgEffect>
                            </a14:imgLayer>
                          </a14:imgProps>
                        </a:ext>
                      </a:extLst>
                    </a:blip>
                    <a:srcRect l="53759" t="17312" r="11639" b="14333"/>
                    <a:stretch/>
                  </pic:blipFill>
                  <pic:spPr bwMode="auto">
                    <a:xfrm>
                      <a:off x="0" y="0"/>
                      <a:ext cx="6164075" cy="4003019"/>
                    </a:xfrm>
                    <a:prstGeom prst="rect">
                      <a:avLst/>
                    </a:prstGeom>
                    <a:ln>
                      <a:noFill/>
                    </a:ln>
                    <a:extLst>
                      <a:ext uri="{53640926-AAD7-44D8-BBD7-CCE9431645EC}">
                        <a14:shadowObscured xmlns:a14="http://schemas.microsoft.com/office/drawing/2010/main"/>
                      </a:ext>
                    </a:extLst>
                  </pic:spPr>
                </pic:pic>
              </a:graphicData>
            </a:graphic>
          </wp:inline>
        </w:drawing>
      </w:r>
      <w:r w:rsidR="00901FB2">
        <w:br w:type="page"/>
      </w:r>
    </w:p>
    <w:p w14:paraId="07F839B2" w14:textId="1B2F6F61" w:rsidR="00873C2F" w:rsidRPr="00244BB9" w:rsidRDefault="00873C2F" w:rsidP="00873C2F">
      <w:pPr>
        <w:pStyle w:val="Nadpis3"/>
        <w:numPr>
          <w:ilvl w:val="0"/>
          <w:numId w:val="0"/>
        </w:numPr>
        <w:ind w:left="720" w:hanging="720"/>
        <w:rPr>
          <w:color w:val="1F3864" w:themeColor="accent1" w:themeShade="80"/>
          <w:u w:val="single"/>
        </w:rPr>
      </w:pPr>
      <w:r w:rsidRPr="00244BB9">
        <w:rPr>
          <w:color w:val="1F3864" w:themeColor="accent1" w:themeShade="80"/>
          <w:u w:val="single"/>
        </w:rPr>
        <w:lastRenderedPageBreak/>
        <w:t>Otázky na procvičení:</w:t>
      </w:r>
    </w:p>
    <w:p w14:paraId="2D386AF1" w14:textId="3D15CDEE" w:rsidR="00873C2F" w:rsidRPr="00244BB9" w:rsidRDefault="00FE4A28" w:rsidP="00873C2F">
      <w:pPr>
        <w:jc w:val="left"/>
        <w:rPr>
          <w:rFonts w:cstheme="minorHAnsi"/>
          <w:szCs w:val="24"/>
          <w:shd w:val="clear" w:color="auto" w:fill="FFFFFF"/>
        </w:rPr>
      </w:pPr>
      <w:r w:rsidRPr="00244BB9">
        <w:rPr>
          <w:rFonts w:cstheme="minorHAnsi"/>
          <w:szCs w:val="24"/>
          <w:shd w:val="clear" w:color="auto" w:fill="FFFFFF"/>
        </w:rPr>
        <w:t>1. Čím</w:t>
      </w:r>
      <w:r w:rsidR="00873C2F" w:rsidRPr="00244BB9">
        <w:rPr>
          <w:rFonts w:cstheme="minorHAnsi"/>
          <w:szCs w:val="24"/>
          <w:shd w:val="clear" w:color="auto" w:fill="FFFFFF"/>
        </w:rPr>
        <w:t xml:space="preserve"> je tvořena poptávka a nabídka na trhu práce?</w:t>
      </w:r>
      <w:r w:rsidR="00873C2F" w:rsidRPr="00244BB9">
        <w:rPr>
          <w:rFonts w:cstheme="minorHAnsi"/>
          <w:szCs w:val="24"/>
        </w:rPr>
        <w:br/>
      </w:r>
      <w:r w:rsidR="00873C2F" w:rsidRPr="00244BB9">
        <w:rPr>
          <w:rFonts w:cstheme="minorHAnsi"/>
          <w:szCs w:val="24"/>
          <w:shd w:val="clear" w:color="auto" w:fill="FFFFFF"/>
        </w:rPr>
        <w:t>2. Co determinuje flexibilitu na českém trhu práce?</w:t>
      </w:r>
      <w:r w:rsidR="00873C2F" w:rsidRPr="00244BB9">
        <w:rPr>
          <w:rFonts w:cstheme="minorHAnsi"/>
          <w:szCs w:val="24"/>
        </w:rPr>
        <w:br/>
      </w:r>
      <w:r w:rsidR="00873C2F" w:rsidRPr="00244BB9">
        <w:rPr>
          <w:rFonts w:cstheme="minorHAnsi"/>
          <w:szCs w:val="24"/>
          <w:shd w:val="clear" w:color="auto" w:fill="FFFFFF"/>
        </w:rPr>
        <w:t>3. Jaké jsou hlavní cíle státní politiky zaměstnanosti?</w:t>
      </w:r>
      <w:r w:rsidR="00873C2F" w:rsidRPr="00244BB9">
        <w:rPr>
          <w:rFonts w:cstheme="minorHAnsi"/>
          <w:szCs w:val="24"/>
        </w:rPr>
        <w:br/>
      </w:r>
      <w:r w:rsidR="00873C2F" w:rsidRPr="00244BB9">
        <w:rPr>
          <w:rFonts w:cstheme="minorHAnsi"/>
          <w:szCs w:val="24"/>
          <w:shd w:val="clear" w:color="auto" w:fill="FFFFFF"/>
        </w:rPr>
        <w:t>4. Uveďte konkrétní příklady strukturální a cyklické</w:t>
      </w:r>
      <w:r w:rsidR="00873C2F" w:rsidRPr="00244BB9">
        <w:rPr>
          <w:rFonts w:cstheme="minorHAnsi"/>
          <w:szCs w:val="24"/>
        </w:rPr>
        <w:br/>
      </w:r>
      <w:r w:rsidR="00873C2F" w:rsidRPr="00244BB9">
        <w:rPr>
          <w:rFonts w:cstheme="minorHAnsi"/>
          <w:szCs w:val="24"/>
          <w:shd w:val="clear" w:color="auto" w:fill="FFFFFF"/>
        </w:rPr>
        <w:t>nezaměstnanosti v ČR.</w:t>
      </w:r>
      <w:r w:rsidR="00873C2F" w:rsidRPr="00244BB9">
        <w:rPr>
          <w:rFonts w:cstheme="minorHAnsi"/>
          <w:szCs w:val="24"/>
        </w:rPr>
        <w:br/>
      </w:r>
      <w:r w:rsidR="00873C2F" w:rsidRPr="00244BB9">
        <w:rPr>
          <w:rFonts w:cstheme="minorHAnsi"/>
          <w:szCs w:val="24"/>
          <w:shd w:val="clear" w:color="auto" w:fill="FFFFFF"/>
        </w:rPr>
        <w:t>5. Jaká jsou konkrétní opatření vlády ČR řešící cyklickou nezaměstnanost v době korona-krize?</w:t>
      </w:r>
      <w:r w:rsidR="00873C2F" w:rsidRPr="00244BB9">
        <w:rPr>
          <w:rFonts w:cstheme="minorHAnsi"/>
          <w:szCs w:val="24"/>
        </w:rPr>
        <w:br/>
      </w:r>
      <w:r w:rsidR="00873C2F" w:rsidRPr="00244BB9">
        <w:rPr>
          <w:rFonts w:cstheme="minorHAnsi"/>
          <w:szCs w:val="24"/>
          <w:shd w:val="clear" w:color="auto" w:fill="FFFFFF"/>
        </w:rPr>
        <w:t>6. Co upravuje akční plán zaměstnanosti?</w:t>
      </w:r>
      <w:r w:rsidR="00873C2F" w:rsidRPr="00244BB9">
        <w:rPr>
          <w:rFonts w:cstheme="minorHAnsi"/>
          <w:szCs w:val="24"/>
        </w:rPr>
        <w:br/>
      </w:r>
      <w:r w:rsidR="00873C2F" w:rsidRPr="00244BB9">
        <w:rPr>
          <w:rFonts w:cstheme="minorHAnsi"/>
          <w:szCs w:val="24"/>
          <w:shd w:val="clear" w:color="auto" w:fill="FFFFFF"/>
        </w:rPr>
        <w:t>7. Jakými způsoby měříme nerovnováhu na trhu práce?</w:t>
      </w:r>
      <w:r w:rsidR="00873C2F" w:rsidRPr="00244BB9">
        <w:rPr>
          <w:rFonts w:cstheme="minorHAnsi"/>
          <w:szCs w:val="24"/>
        </w:rPr>
        <w:br/>
      </w:r>
      <w:r w:rsidR="00873C2F" w:rsidRPr="00244BB9">
        <w:rPr>
          <w:rFonts w:cstheme="minorHAnsi"/>
          <w:szCs w:val="24"/>
          <w:shd w:val="clear" w:color="auto" w:fill="FFFFFF"/>
        </w:rPr>
        <w:t>8. Jaké jsou specifické skupiny na trhu práce, a které z nich jsou v současné době nejvíce ohroženy nezaměstnaností?</w:t>
      </w:r>
      <w:r w:rsidR="00873C2F" w:rsidRPr="00244BB9">
        <w:rPr>
          <w:rFonts w:cstheme="minorHAnsi"/>
          <w:szCs w:val="24"/>
        </w:rPr>
        <w:br/>
      </w:r>
      <w:r w:rsidR="00873C2F" w:rsidRPr="00244BB9">
        <w:rPr>
          <w:rFonts w:cstheme="minorHAnsi"/>
          <w:szCs w:val="24"/>
          <w:shd w:val="clear" w:color="auto" w:fill="FFFFFF"/>
        </w:rPr>
        <w:t>9. Jaké jsou globální výzvy průmyslu 4.0, a jak ovlivní trh práce?</w:t>
      </w:r>
    </w:p>
    <w:p w14:paraId="64AAF2A2" w14:textId="77777777" w:rsidR="00873C2F" w:rsidRDefault="00873C2F" w:rsidP="00CE6695">
      <w:pPr>
        <w:spacing w:line="240" w:lineRule="auto"/>
        <w:rPr>
          <w:b/>
        </w:rPr>
      </w:pPr>
    </w:p>
    <w:p w14:paraId="344BD5A3" w14:textId="77777777" w:rsidR="00873C2F" w:rsidRDefault="00873C2F" w:rsidP="00CE6695">
      <w:pPr>
        <w:spacing w:line="240" w:lineRule="auto"/>
        <w:rPr>
          <w:b/>
        </w:rPr>
      </w:pPr>
    </w:p>
    <w:p w14:paraId="5703D5DD" w14:textId="77777777" w:rsidR="00873C2F" w:rsidRDefault="00873C2F" w:rsidP="00CE6695">
      <w:pPr>
        <w:spacing w:line="240" w:lineRule="auto"/>
        <w:rPr>
          <w:b/>
        </w:rPr>
      </w:pPr>
    </w:p>
    <w:p w14:paraId="5F05F03A" w14:textId="77777777" w:rsidR="00873C2F" w:rsidRDefault="00873C2F" w:rsidP="00CE6695">
      <w:pPr>
        <w:spacing w:line="240" w:lineRule="auto"/>
        <w:rPr>
          <w:b/>
        </w:rPr>
      </w:pPr>
    </w:p>
    <w:p w14:paraId="33E4FC78" w14:textId="77777777" w:rsidR="00873C2F" w:rsidRDefault="00873C2F" w:rsidP="00CE6695">
      <w:pPr>
        <w:spacing w:line="240" w:lineRule="auto"/>
        <w:rPr>
          <w:b/>
        </w:rPr>
      </w:pPr>
    </w:p>
    <w:p w14:paraId="5AB63D22" w14:textId="77777777" w:rsidR="00873C2F" w:rsidRDefault="00873C2F" w:rsidP="00CE6695">
      <w:pPr>
        <w:spacing w:line="240" w:lineRule="auto"/>
        <w:rPr>
          <w:b/>
        </w:rPr>
      </w:pPr>
    </w:p>
    <w:p w14:paraId="65D7081A" w14:textId="77777777" w:rsidR="00873C2F" w:rsidRDefault="00873C2F" w:rsidP="00CE6695">
      <w:pPr>
        <w:spacing w:line="240" w:lineRule="auto"/>
        <w:rPr>
          <w:b/>
        </w:rPr>
      </w:pPr>
    </w:p>
    <w:p w14:paraId="1FF03765" w14:textId="77777777" w:rsidR="00873C2F" w:rsidRDefault="00873C2F" w:rsidP="00CE6695">
      <w:pPr>
        <w:spacing w:line="240" w:lineRule="auto"/>
        <w:rPr>
          <w:b/>
        </w:rPr>
      </w:pPr>
    </w:p>
    <w:p w14:paraId="0CE4DC61" w14:textId="77777777" w:rsidR="00873C2F" w:rsidRDefault="00873C2F" w:rsidP="00CE6695">
      <w:pPr>
        <w:spacing w:line="240" w:lineRule="auto"/>
        <w:rPr>
          <w:b/>
        </w:rPr>
      </w:pPr>
    </w:p>
    <w:p w14:paraId="3BA128AB" w14:textId="77777777" w:rsidR="00873C2F" w:rsidRDefault="00873C2F" w:rsidP="00CE6695">
      <w:pPr>
        <w:spacing w:line="240" w:lineRule="auto"/>
        <w:rPr>
          <w:b/>
        </w:rPr>
      </w:pPr>
    </w:p>
    <w:p w14:paraId="4F4C6D68" w14:textId="77777777" w:rsidR="00873C2F" w:rsidRDefault="00873C2F" w:rsidP="00CE6695">
      <w:pPr>
        <w:spacing w:line="240" w:lineRule="auto"/>
        <w:rPr>
          <w:b/>
        </w:rPr>
      </w:pPr>
    </w:p>
    <w:p w14:paraId="2DB8A118" w14:textId="77777777" w:rsidR="00873C2F" w:rsidRDefault="00873C2F" w:rsidP="00CE6695">
      <w:pPr>
        <w:spacing w:line="240" w:lineRule="auto"/>
        <w:rPr>
          <w:b/>
        </w:rPr>
      </w:pPr>
    </w:p>
    <w:p w14:paraId="30ECFFE3" w14:textId="605F3FB7" w:rsidR="00873C2F" w:rsidRDefault="00873C2F" w:rsidP="00CE6695">
      <w:pPr>
        <w:spacing w:line="240" w:lineRule="auto"/>
        <w:rPr>
          <w:b/>
        </w:rPr>
      </w:pPr>
    </w:p>
    <w:p w14:paraId="411C2772" w14:textId="702223B1" w:rsidR="00873C2F" w:rsidRDefault="00873C2F" w:rsidP="00CE6695">
      <w:pPr>
        <w:spacing w:line="240" w:lineRule="auto"/>
        <w:rPr>
          <w:b/>
        </w:rPr>
      </w:pPr>
    </w:p>
    <w:p w14:paraId="68C030FD" w14:textId="30244522" w:rsidR="00873C2F" w:rsidRDefault="00873C2F" w:rsidP="00CE6695">
      <w:pPr>
        <w:spacing w:line="240" w:lineRule="auto"/>
        <w:rPr>
          <w:b/>
        </w:rPr>
      </w:pPr>
    </w:p>
    <w:p w14:paraId="7A7D006A" w14:textId="2885E542" w:rsidR="00873C2F" w:rsidRDefault="00873C2F" w:rsidP="00CE6695">
      <w:pPr>
        <w:spacing w:line="240" w:lineRule="auto"/>
        <w:rPr>
          <w:b/>
        </w:rPr>
      </w:pPr>
    </w:p>
    <w:p w14:paraId="33B8ED78" w14:textId="587ADBED" w:rsidR="00873C2F" w:rsidRDefault="00873C2F" w:rsidP="00CE6695">
      <w:pPr>
        <w:spacing w:line="240" w:lineRule="auto"/>
        <w:rPr>
          <w:b/>
        </w:rPr>
      </w:pPr>
    </w:p>
    <w:p w14:paraId="7C53E9F0" w14:textId="3A428A08" w:rsidR="00873C2F" w:rsidRDefault="00873C2F" w:rsidP="00CE6695">
      <w:pPr>
        <w:spacing w:line="240" w:lineRule="auto"/>
        <w:rPr>
          <w:b/>
        </w:rPr>
      </w:pPr>
    </w:p>
    <w:p w14:paraId="25B639D6" w14:textId="5AD593EB" w:rsidR="00873C2F" w:rsidRDefault="00873C2F" w:rsidP="00CE6695">
      <w:pPr>
        <w:spacing w:line="240" w:lineRule="auto"/>
        <w:rPr>
          <w:b/>
        </w:rPr>
      </w:pPr>
    </w:p>
    <w:p w14:paraId="4E987BA8" w14:textId="4ACCBB57" w:rsidR="00873C2F" w:rsidRDefault="00873C2F" w:rsidP="00CE6695">
      <w:pPr>
        <w:spacing w:line="240" w:lineRule="auto"/>
        <w:rPr>
          <w:b/>
        </w:rPr>
      </w:pPr>
    </w:p>
    <w:p w14:paraId="2B3BD43F" w14:textId="314A2DFC" w:rsidR="00873C2F" w:rsidRDefault="00873C2F" w:rsidP="00CE6695">
      <w:pPr>
        <w:spacing w:line="240" w:lineRule="auto"/>
        <w:rPr>
          <w:b/>
        </w:rPr>
      </w:pPr>
    </w:p>
    <w:p w14:paraId="05D2DFC3" w14:textId="05DEECB2" w:rsidR="00873C2F" w:rsidRDefault="00873C2F" w:rsidP="00CE6695">
      <w:pPr>
        <w:spacing w:line="240" w:lineRule="auto"/>
        <w:rPr>
          <w:b/>
        </w:rPr>
      </w:pPr>
    </w:p>
    <w:p w14:paraId="542B2CA0" w14:textId="175BC64D" w:rsidR="00873C2F" w:rsidRDefault="00873C2F" w:rsidP="00CE6695">
      <w:pPr>
        <w:spacing w:line="240" w:lineRule="auto"/>
        <w:rPr>
          <w:b/>
        </w:rPr>
      </w:pPr>
    </w:p>
    <w:p w14:paraId="36D33916" w14:textId="6041D4E9" w:rsidR="00873C2F" w:rsidRDefault="00873C2F" w:rsidP="00CE6695">
      <w:pPr>
        <w:spacing w:line="240" w:lineRule="auto"/>
        <w:rPr>
          <w:b/>
        </w:rPr>
      </w:pPr>
    </w:p>
    <w:p w14:paraId="5891D944" w14:textId="6E48F1BF" w:rsidR="00873C2F" w:rsidRDefault="00873C2F" w:rsidP="00CE6695">
      <w:pPr>
        <w:spacing w:line="240" w:lineRule="auto"/>
        <w:rPr>
          <w:b/>
        </w:rPr>
      </w:pPr>
    </w:p>
    <w:p w14:paraId="7F6F29BD" w14:textId="77777777" w:rsidR="00873C2F" w:rsidRDefault="00873C2F" w:rsidP="00CE6695">
      <w:pPr>
        <w:spacing w:line="240" w:lineRule="auto"/>
        <w:rPr>
          <w:b/>
        </w:rPr>
      </w:pPr>
    </w:p>
    <w:p w14:paraId="1108FA6E" w14:textId="77777777" w:rsidR="00873C2F" w:rsidRDefault="00873C2F" w:rsidP="00CE6695">
      <w:pPr>
        <w:spacing w:line="240" w:lineRule="auto"/>
        <w:rPr>
          <w:b/>
        </w:rPr>
      </w:pPr>
    </w:p>
    <w:p w14:paraId="4EF14723" w14:textId="77777777" w:rsidR="00873C2F" w:rsidRDefault="00873C2F" w:rsidP="00CE6695">
      <w:pPr>
        <w:spacing w:line="240" w:lineRule="auto"/>
        <w:rPr>
          <w:b/>
        </w:rPr>
      </w:pPr>
    </w:p>
    <w:p w14:paraId="36AA8A0D" w14:textId="77777777" w:rsidR="00873C2F" w:rsidRDefault="00873C2F" w:rsidP="00CE6695">
      <w:pPr>
        <w:spacing w:line="240" w:lineRule="auto"/>
        <w:rPr>
          <w:b/>
        </w:rPr>
      </w:pPr>
    </w:p>
    <w:p w14:paraId="6A9BA71B" w14:textId="77777777" w:rsidR="00873C2F" w:rsidRDefault="00873C2F" w:rsidP="00CE6695">
      <w:pPr>
        <w:spacing w:line="240" w:lineRule="auto"/>
        <w:rPr>
          <w:b/>
        </w:rPr>
      </w:pPr>
    </w:p>
    <w:p w14:paraId="2B1572FA" w14:textId="77777777" w:rsidR="00873C2F" w:rsidRDefault="00873C2F" w:rsidP="00CE6695">
      <w:pPr>
        <w:spacing w:line="240" w:lineRule="auto"/>
        <w:rPr>
          <w:b/>
        </w:rPr>
      </w:pPr>
    </w:p>
    <w:p w14:paraId="4A6F4440" w14:textId="70669956" w:rsidR="00CE6695" w:rsidRPr="00FC3B7C" w:rsidRDefault="00CE6695" w:rsidP="00CE6695">
      <w:pPr>
        <w:spacing w:line="240" w:lineRule="auto"/>
        <w:rPr>
          <w:b/>
        </w:rPr>
      </w:pPr>
      <w:r w:rsidRPr="00FC3B7C">
        <w:rPr>
          <w:b/>
        </w:rPr>
        <w:lastRenderedPageBreak/>
        <w:t>Zdroje:</w:t>
      </w:r>
    </w:p>
    <w:p w14:paraId="4A6F4441" w14:textId="77777777" w:rsidR="00CE6695" w:rsidRPr="00FC3B7C" w:rsidRDefault="00CE6695" w:rsidP="00CE6695">
      <w:pPr>
        <w:spacing w:line="240" w:lineRule="auto"/>
      </w:pPr>
    </w:p>
    <w:p w14:paraId="4A6F4442" w14:textId="283B39E2" w:rsidR="00CE6695" w:rsidRPr="00FC3B7C" w:rsidRDefault="00FE4A28" w:rsidP="00CE6695">
      <w:pPr>
        <w:spacing w:line="240" w:lineRule="auto"/>
      </w:pPr>
      <w:r w:rsidRPr="00FC3B7C">
        <w:t xml:space="preserve">VOSTROVSKÁ, Z. </w:t>
      </w:r>
      <w:r w:rsidR="00847363">
        <w:t>a</w:t>
      </w:r>
      <w:r w:rsidRPr="00FC3B7C">
        <w:t xml:space="preserve"> kol</w:t>
      </w:r>
      <w:r w:rsidR="00CE6695" w:rsidRPr="00FC3B7C">
        <w:t>.: Skripta</w:t>
      </w:r>
      <w:r>
        <w:t xml:space="preserve"> ke s</w:t>
      </w:r>
      <w:r w:rsidR="00CE6695" w:rsidRPr="00FC3B7C">
        <w:t>tátní zkoušce</w:t>
      </w:r>
      <w:r>
        <w:t xml:space="preserve"> </w:t>
      </w:r>
      <w:r w:rsidR="00CE6695" w:rsidRPr="00FC3B7C">
        <w:t>ze</w:t>
      </w:r>
      <w:r>
        <w:t xml:space="preserve"> </w:t>
      </w:r>
      <w:r w:rsidR="00CE6695" w:rsidRPr="00FC3B7C">
        <w:t>studijního oboru Národní hospodářství, Sebrané</w:t>
      </w:r>
      <w:r>
        <w:t xml:space="preserve"> </w:t>
      </w:r>
      <w:r w:rsidR="00CE6695" w:rsidRPr="00FC3B7C">
        <w:t>referáty</w:t>
      </w:r>
      <w:r>
        <w:t xml:space="preserve"> </w:t>
      </w:r>
      <w:r w:rsidR="00CE6695" w:rsidRPr="00FC3B7C">
        <w:t>z</w:t>
      </w:r>
      <w:r>
        <w:t xml:space="preserve"> </w:t>
      </w:r>
      <w:r w:rsidR="00CE6695" w:rsidRPr="00FC3B7C">
        <w:t>kurzu 5HP324,LS2013 MPSV: Minimální mzda, online[20.11.2013], dostupné na:</w:t>
      </w:r>
    </w:p>
    <w:p w14:paraId="4A6F4443" w14:textId="77777777" w:rsidR="00CE6695" w:rsidRPr="00FC3B7C" w:rsidRDefault="00CE6695" w:rsidP="00CE6695">
      <w:pPr>
        <w:spacing w:line="240" w:lineRule="auto"/>
      </w:pPr>
    </w:p>
    <w:p w14:paraId="4A6F4444" w14:textId="77777777" w:rsidR="00CE6695" w:rsidRPr="00FC3B7C" w:rsidRDefault="00CE6695" w:rsidP="00CE6695">
      <w:pPr>
        <w:spacing w:line="240" w:lineRule="auto"/>
      </w:pPr>
      <w:r w:rsidRPr="00FC3B7C">
        <w:t>http://socialniporadce.mpsv.cz/cs/135</w:t>
      </w:r>
    </w:p>
    <w:p w14:paraId="4A6F4445" w14:textId="77777777" w:rsidR="00CE6695" w:rsidRPr="00FC3B7C" w:rsidRDefault="00CE6695" w:rsidP="00CE6695">
      <w:pPr>
        <w:spacing w:line="240" w:lineRule="auto"/>
      </w:pPr>
    </w:p>
    <w:p w14:paraId="4A6F4446" w14:textId="77777777" w:rsidR="00CE6695" w:rsidRPr="00FC3B7C" w:rsidRDefault="00CE6695" w:rsidP="00CE6695">
      <w:pPr>
        <w:spacing w:line="240" w:lineRule="auto"/>
      </w:pPr>
      <w:r w:rsidRPr="00FC3B7C">
        <w:t>KREBS, V. akol., Sociální politika, 5., přepracované vydání. Praha, 2010</w:t>
      </w:r>
    </w:p>
    <w:p w14:paraId="4A6F4447" w14:textId="77777777" w:rsidR="00CE6695" w:rsidRPr="00FC3B7C" w:rsidRDefault="00CE6695" w:rsidP="00CE6695">
      <w:pPr>
        <w:spacing w:line="240" w:lineRule="auto"/>
      </w:pPr>
    </w:p>
    <w:p w14:paraId="4A6F4448" w14:textId="77777777" w:rsidR="00CE6695" w:rsidRPr="00FC3B7C" w:rsidRDefault="00CE6695" w:rsidP="00CE6695">
      <w:pPr>
        <w:spacing w:line="240" w:lineRule="auto"/>
      </w:pPr>
      <w:r w:rsidRPr="00FC3B7C">
        <w:t>Portál MPSV, online[20.11.2013], dostupnýnawww:</w:t>
      </w:r>
    </w:p>
    <w:p w14:paraId="4A6F4449" w14:textId="77777777" w:rsidR="00CE6695" w:rsidRPr="00FC3B7C" w:rsidRDefault="00CE6695" w:rsidP="00CE6695">
      <w:pPr>
        <w:spacing w:line="240" w:lineRule="auto"/>
      </w:pPr>
    </w:p>
    <w:p w14:paraId="4A6F444A" w14:textId="77777777" w:rsidR="00CE6695" w:rsidRPr="00FC3B7C" w:rsidRDefault="00CE6695" w:rsidP="00CE6695">
      <w:pPr>
        <w:spacing w:line="240" w:lineRule="auto"/>
      </w:pPr>
      <w:r w:rsidRPr="00FC3B7C">
        <w:t>http://portal.mpsv.cz/sz/obcane/pravpov_uch</w:t>
      </w:r>
    </w:p>
    <w:p w14:paraId="4A6F444B" w14:textId="77777777" w:rsidR="00CE6695" w:rsidRPr="00FC3B7C" w:rsidRDefault="00CE6695" w:rsidP="00CE6695">
      <w:pPr>
        <w:spacing w:line="240" w:lineRule="auto"/>
      </w:pPr>
    </w:p>
    <w:p w14:paraId="4A6F444C" w14:textId="77777777" w:rsidR="00CE6695" w:rsidRPr="00FC3B7C" w:rsidRDefault="00CE6695" w:rsidP="00CE6695">
      <w:pPr>
        <w:spacing w:line="240" w:lineRule="auto"/>
      </w:pPr>
      <w:r w:rsidRPr="00FC3B7C">
        <w:t>KurzyCZ. Průměrná mzda[online]. 2013[cit. 2013-11-20]. Dostupnéz:</w:t>
      </w:r>
    </w:p>
    <w:p w14:paraId="4A6F444D" w14:textId="77777777" w:rsidR="00CE6695" w:rsidRPr="00FC3B7C" w:rsidRDefault="00CE6695" w:rsidP="00CE6695">
      <w:pPr>
        <w:spacing w:line="240" w:lineRule="auto"/>
      </w:pPr>
    </w:p>
    <w:p w14:paraId="4A6F444E" w14:textId="77777777" w:rsidR="00CE6695" w:rsidRPr="00FC3B7C" w:rsidRDefault="00CE6695" w:rsidP="00CE6695">
      <w:pPr>
        <w:spacing w:line="240" w:lineRule="auto"/>
      </w:pPr>
      <w:r w:rsidRPr="00FC3B7C">
        <w:t>http://www.kurzy.cz/makroekonomika/mzdy/</w:t>
      </w:r>
    </w:p>
    <w:p w14:paraId="4A6F444F" w14:textId="77777777" w:rsidR="00CE6695" w:rsidRPr="00FC3B7C" w:rsidRDefault="00CE6695" w:rsidP="00CE6695">
      <w:pPr>
        <w:spacing w:line="240" w:lineRule="auto"/>
      </w:pPr>
    </w:p>
    <w:p w14:paraId="4A6F4450" w14:textId="77777777" w:rsidR="00CE6695" w:rsidRPr="00FC3B7C" w:rsidRDefault="00CE6695" w:rsidP="00CE6695">
      <w:pPr>
        <w:spacing w:line="240" w:lineRule="auto"/>
      </w:pPr>
      <w:r w:rsidRPr="00FC3B7C">
        <w:t>Portál MPSV, online [20.11. 2013], dostupnýnawww:</w:t>
      </w:r>
    </w:p>
    <w:p w14:paraId="4A6F4451" w14:textId="77777777" w:rsidR="00CE6695" w:rsidRPr="00FC3B7C" w:rsidRDefault="00CE6695" w:rsidP="00CE6695">
      <w:pPr>
        <w:spacing w:line="240" w:lineRule="auto"/>
      </w:pPr>
    </w:p>
    <w:p w14:paraId="4A6F4452" w14:textId="77777777" w:rsidR="00CE6695" w:rsidRPr="00FC3B7C" w:rsidRDefault="00CE6695" w:rsidP="00CE6695">
      <w:pPr>
        <w:spacing w:line="240" w:lineRule="auto"/>
      </w:pPr>
      <w:r w:rsidRPr="00FC3B7C">
        <w:t>http://portal.mpsv.cz/sz/zamest/dotace/apz</w:t>
      </w:r>
    </w:p>
    <w:p w14:paraId="4A6F4453" w14:textId="77777777" w:rsidR="00CE6695" w:rsidRPr="00FC3B7C" w:rsidRDefault="00CE6695" w:rsidP="00CE6695">
      <w:pPr>
        <w:spacing w:line="240" w:lineRule="auto"/>
      </w:pPr>
    </w:p>
    <w:p w14:paraId="4A6F4454" w14:textId="77777777" w:rsidR="00CE6695" w:rsidRPr="00FC3B7C" w:rsidRDefault="00CE6695" w:rsidP="00CE6695">
      <w:pPr>
        <w:spacing w:line="240" w:lineRule="auto"/>
      </w:pPr>
      <w:r w:rsidRPr="00FC3B7C">
        <w:t>Bussinescentre.cz.Zákono investičních pobídkách[online]. 2000[cit. 2013-11-20]. Dostupné</w:t>
      </w:r>
    </w:p>
    <w:p w14:paraId="4A6F4455" w14:textId="77777777" w:rsidR="00CE6695" w:rsidRPr="00FC3B7C" w:rsidRDefault="00CE6695" w:rsidP="00CE6695">
      <w:pPr>
        <w:spacing w:line="240" w:lineRule="auto"/>
      </w:pPr>
    </w:p>
    <w:p w14:paraId="4A6F4456" w14:textId="77777777" w:rsidR="00CE6695" w:rsidRPr="00FC3B7C" w:rsidRDefault="00934E2E" w:rsidP="00CE6695">
      <w:pPr>
        <w:spacing w:line="240" w:lineRule="auto"/>
      </w:pPr>
      <w:r>
        <w:t xml:space="preserve">z: </w:t>
      </w:r>
      <w:r w:rsidR="00CE6695" w:rsidRPr="00FC3B7C">
        <w:t>http://epp.eurostat.ec.europa.eu/statistics_explained/index.php/Minimum_wage_statistics/</w:t>
      </w:r>
    </w:p>
    <w:p w14:paraId="4A6F4457" w14:textId="77777777" w:rsidR="00CE6695" w:rsidRPr="00FC3B7C" w:rsidRDefault="00CE6695" w:rsidP="00CE6695">
      <w:pPr>
        <w:spacing w:line="240" w:lineRule="auto"/>
      </w:pPr>
      <w:r w:rsidRPr="00FC3B7C">
        <w:t>cs</w:t>
      </w:r>
      <w:r w:rsidRPr="00FC3B7C">
        <w:tab/>
        <w:t>ČSÚ,</w:t>
      </w:r>
      <w:r w:rsidRPr="00FC3B7C">
        <w:tab/>
        <w:t>online</w:t>
      </w:r>
      <w:r w:rsidRPr="00FC3B7C">
        <w:tab/>
        <w:t>[20.</w:t>
      </w:r>
      <w:r w:rsidRPr="00FC3B7C">
        <w:tab/>
        <w:t>11..</w:t>
      </w:r>
      <w:r w:rsidRPr="00FC3B7C">
        <w:tab/>
        <w:t>2013],</w:t>
      </w:r>
      <w:r w:rsidRPr="00FC3B7C">
        <w:tab/>
        <w:t>dostupnýna:</w:t>
      </w:r>
    </w:p>
    <w:p w14:paraId="4A6F4458" w14:textId="77777777" w:rsidR="00CE6695" w:rsidRPr="00FC3B7C" w:rsidRDefault="00CE6695" w:rsidP="00CE6695">
      <w:pPr>
        <w:spacing w:line="240" w:lineRule="auto"/>
      </w:pPr>
    </w:p>
    <w:p w14:paraId="4A6F4459" w14:textId="03AB8CD3" w:rsidR="00CE6695" w:rsidRPr="00FC3B7C" w:rsidRDefault="00CE6695" w:rsidP="00CE6695">
      <w:pPr>
        <w:spacing w:line="240" w:lineRule="auto"/>
      </w:pPr>
      <w:r w:rsidRPr="00FC3B7C">
        <w:t>http://www.czso.cz/csu/csu.nsf/aktualniinformace HOLMAN, R.:Ekonomie,</w:t>
      </w:r>
      <w:r w:rsidR="003376E1">
        <w:t xml:space="preserve"> </w:t>
      </w:r>
      <w:r w:rsidRPr="00FC3B7C">
        <w:t>4. aktualizované</w:t>
      </w:r>
      <w:r w:rsidR="00934E2E">
        <w:t xml:space="preserve"> </w:t>
      </w:r>
      <w:r w:rsidRPr="00FC3B7C">
        <w:t>vydání, Praha: C. H. Beck, 2005</w:t>
      </w:r>
    </w:p>
    <w:p w14:paraId="4A6F445A" w14:textId="77777777" w:rsidR="00CE6695" w:rsidRPr="00FC3B7C" w:rsidRDefault="00CE6695" w:rsidP="00CE6695">
      <w:pPr>
        <w:spacing w:line="240" w:lineRule="auto"/>
      </w:pPr>
    </w:p>
    <w:p w14:paraId="4A6F445B" w14:textId="77777777" w:rsidR="00CE6695" w:rsidRPr="00FC3B7C" w:rsidRDefault="00CE6695" w:rsidP="00CE6695">
      <w:pPr>
        <w:spacing w:line="240" w:lineRule="auto"/>
      </w:pPr>
      <w:r w:rsidRPr="00FC3B7C">
        <w:t>FRANK, Robert H.;BERNANKE, Ben S..Ekonomie. Praha: GradaPublishing, 2003. 803 s.</w:t>
      </w:r>
    </w:p>
    <w:p w14:paraId="4A6F445C" w14:textId="77777777" w:rsidR="00CE6695" w:rsidRPr="00FC3B7C" w:rsidRDefault="00CE6695" w:rsidP="00CE6695">
      <w:pPr>
        <w:spacing w:line="240" w:lineRule="auto"/>
      </w:pPr>
    </w:p>
    <w:p w14:paraId="4A6F445D" w14:textId="77777777" w:rsidR="00CE6695" w:rsidRPr="00FC3B7C" w:rsidRDefault="00CE6695" w:rsidP="00CE6695">
      <w:pPr>
        <w:spacing w:line="240" w:lineRule="auto"/>
      </w:pPr>
      <w:r w:rsidRPr="00FC3B7C">
        <w:t>ISBN 80-247-0471-4. Kapitola 21., s. 539.</w:t>
      </w:r>
    </w:p>
    <w:p w14:paraId="4A6F445E" w14:textId="77777777" w:rsidR="00CE6695" w:rsidRPr="00FC3B7C" w:rsidRDefault="00CE6695" w:rsidP="00CE6695">
      <w:pPr>
        <w:spacing w:line="240" w:lineRule="auto"/>
      </w:pPr>
      <w:r w:rsidRPr="00FC3B7C">
        <w:t>HOLMAN, R.:Mikroekonomie, 2. aktualizovanévydání, Praha: C. H. Beck, 2007</w:t>
      </w:r>
    </w:p>
    <w:p w14:paraId="4A6F445F" w14:textId="77777777" w:rsidR="00CE6695" w:rsidRPr="00FC3B7C" w:rsidRDefault="00CE6695" w:rsidP="00CE6695">
      <w:pPr>
        <w:spacing w:line="240" w:lineRule="auto"/>
      </w:pPr>
    </w:p>
    <w:p w14:paraId="4A6F4460" w14:textId="77777777" w:rsidR="00CE6695" w:rsidRPr="00FC3B7C" w:rsidRDefault="00CE6695" w:rsidP="00CE6695">
      <w:pPr>
        <w:spacing w:line="240" w:lineRule="auto"/>
      </w:pPr>
      <w:r w:rsidRPr="00FC3B7C">
        <w:t>KUBÍČEK, Jan akol. Hospodářská politika. Plzeň: Aleš Čeněk, 2006. 302s. Vysokoškolské</w:t>
      </w:r>
    </w:p>
    <w:p w14:paraId="4A6F4461" w14:textId="77777777" w:rsidR="00CE6695" w:rsidRPr="00FC3B7C" w:rsidRDefault="00CE6695" w:rsidP="00CE6695">
      <w:pPr>
        <w:spacing w:line="240" w:lineRule="auto"/>
      </w:pPr>
    </w:p>
    <w:p w14:paraId="4A6F4462" w14:textId="77777777" w:rsidR="00CE6695" w:rsidRPr="00FC3B7C" w:rsidRDefault="00CE6695" w:rsidP="00CE6695">
      <w:pPr>
        <w:spacing w:line="240" w:lineRule="auto"/>
      </w:pPr>
      <w:r w:rsidRPr="00FC3B7C">
        <w:t>učebnice.ISBN 80-86898-99-7.</w:t>
      </w:r>
    </w:p>
    <w:p w14:paraId="4A6F4463" w14:textId="77777777" w:rsidR="00CE6695" w:rsidRPr="00FC3B7C" w:rsidRDefault="00CE6695" w:rsidP="00CE6695">
      <w:pPr>
        <w:spacing w:line="240" w:lineRule="auto"/>
      </w:pPr>
    </w:p>
    <w:p w14:paraId="4A6F4464" w14:textId="77777777" w:rsidR="00CE6695" w:rsidRPr="00FC3B7C" w:rsidRDefault="00CE6695" w:rsidP="00CE6695">
      <w:pPr>
        <w:spacing w:line="240" w:lineRule="auto"/>
      </w:pPr>
      <w:r w:rsidRPr="00FC3B7C">
        <w:t>Evropská strategie zaměstnanosti [online].[cit. 2013-11-20]. Dostupnéz:</w:t>
      </w:r>
    </w:p>
    <w:p w14:paraId="4A6F4465" w14:textId="77777777" w:rsidR="00CE6695" w:rsidRPr="00FC3B7C" w:rsidRDefault="00CE6695" w:rsidP="00CE6695">
      <w:pPr>
        <w:spacing w:line="240" w:lineRule="auto"/>
      </w:pPr>
    </w:p>
    <w:p w14:paraId="4A6F4466" w14:textId="77777777" w:rsidR="00CE6695" w:rsidRPr="00FC3B7C" w:rsidRDefault="00CE6695" w:rsidP="00CE6695">
      <w:pPr>
        <w:spacing w:line="240" w:lineRule="auto"/>
      </w:pPr>
      <w:r w:rsidRPr="00FC3B7C">
        <w:t>http://ec.europa.eu/social/main.jsp?catId=101&amp;langId=cs</w:t>
      </w:r>
    </w:p>
    <w:p w14:paraId="4A6F4467" w14:textId="77777777" w:rsidR="00CE6695" w:rsidRPr="00FC3B7C" w:rsidRDefault="00CE6695" w:rsidP="00CE6695">
      <w:pPr>
        <w:spacing w:line="240" w:lineRule="auto"/>
      </w:pPr>
    </w:p>
    <w:p w14:paraId="4A6F4468" w14:textId="77777777" w:rsidR="00CE6695" w:rsidRPr="00FC3B7C" w:rsidRDefault="00CE6695" w:rsidP="00CE6695">
      <w:pPr>
        <w:spacing w:line="240" w:lineRule="auto"/>
      </w:pPr>
      <w:r w:rsidRPr="00FC3B7C">
        <w:t>Harmonised unemployment rate [online].[cit. 2013-11-20]. Dostupnéz: http://epp.eurostat.ec.europa.eu/tgm/table.do?tab=table&amp;language=en&amp;pcode=teilm020&amp; tabeSelec tion=1&amp;plugin=1</w:t>
      </w:r>
    </w:p>
    <w:p w14:paraId="4A6F4469" w14:textId="77777777" w:rsidR="00CE6695" w:rsidRPr="00FC3B7C" w:rsidRDefault="00CE6695" w:rsidP="00CE6695">
      <w:pPr>
        <w:spacing w:line="240" w:lineRule="auto"/>
      </w:pPr>
    </w:p>
    <w:p w14:paraId="4A6F446A" w14:textId="77777777" w:rsidR="00CE6695" w:rsidRPr="00FC3B7C" w:rsidRDefault="00CE6695" w:rsidP="00CE6695">
      <w:pPr>
        <w:spacing w:line="240" w:lineRule="auto"/>
      </w:pPr>
      <w:r w:rsidRPr="00FC3B7C">
        <w:t>Hodnocení programůaktivní politikyzaměstnanostinalokálnímtrhu práce, online [20. 11.</w:t>
      </w:r>
    </w:p>
    <w:p w14:paraId="4A6F446B" w14:textId="77777777" w:rsidR="00CE6695" w:rsidRPr="00FC3B7C" w:rsidRDefault="00CE6695" w:rsidP="00CE6695">
      <w:pPr>
        <w:spacing w:line="240" w:lineRule="auto"/>
      </w:pPr>
    </w:p>
    <w:p w14:paraId="4A6F446C" w14:textId="77777777" w:rsidR="00CE6695" w:rsidRPr="00FC3B7C" w:rsidRDefault="00CE6695" w:rsidP="00CE6695">
      <w:pPr>
        <w:spacing w:line="240" w:lineRule="auto"/>
      </w:pPr>
      <w:r w:rsidRPr="00FC3B7C">
        <w:lastRenderedPageBreak/>
        <w:t>2013], dostupnýnawww: http://praha.vupsv.cz/Fulltext/apz_zav.pdf http://socialni-davky-2014.eu/podpora-v-nezamestnanosti-2014/</w:t>
      </w:r>
    </w:p>
    <w:p w14:paraId="4A6F446D" w14:textId="77777777" w:rsidR="00CE6695" w:rsidRPr="00FC3B7C" w:rsidRDefault="00CE6695" w:rsidP="00CE6695">
      <w:pPr>
        <w:spacing w:line="240" w:lineRule="auto"/>
      </w:pPr>
      <w:r w:rsidRPr="00FC3B7C">
        <w:t xml:space="preserve"> </w:t>
      </w:r>
    </w:p>
    <w:p w14:paraId="4A6F446E" w14:textId="77777777" w:rsidR="00CE6695" w:rsidRPr="00FC3B7C" w:rsidRDefault="00CE6695" w:rsidP="00CE6695">
      <w:pPr>
        <w:spacing w:line="240" w:lineRule="auto"/>
      </w:pPr>
      <w:r w:rsidRPr="00FC3B7C">
        <w:t>http://www.kurzy.cz/makroekonomika/nezamestnanost/ http://www.businessinfo.cz/cs/clanky/vlada-schvalila-strategii-politiky-zamestnanosti-57175.html</w:t>
      </w:r>
    </w:p>
    <w:p w14:paraId="4A6F446F" w14:textId="77777777" w:rsidR="00CE6695" w:rsidRPr="00FC3B7C" w:rsidRDefault="00CE6695" w:rsidP="00CE6695">
      <w:pPr>
        <w:spacing w:line="240" w:lineRule="auto"/>
      </w:pPr>
    </w:p>
    <w:p w14:paraId="4A6F4470" w14:textId="77777777" w:rsidR="00CE6695" w:rsidRPr="00FC3B7C" w:rsidRDefault="00CE6695" w:rsidP="00CE6695">
      <w:pPr>
        <w:spacing w:line="240" w:lineRule="auto"/>
      </w:pPr>
      <w:r w:rsidRPr="00FC3B7C">
        <w:t>http://www.czso.cz/csu/csu.nsf/kalendar/aktual-pmz</w:t>
      </w:r>
    </w:p>
    <w:p w14:paraId="4A6F4471" w14:textId="77777777" w:rsidR="00CE6695" w:rsidRPr="00FC3B7C" w:rsidRDefault="00CE6695" w:rsidP="00CE6695">
      <w:pPr>
        <w:spacing w:line="240" w:lineRule="auto"/>
      </w:pPr>
      <w:r w:rsidRPr="00FC3B7C">
        <w:t xml:space="preserve"> </w:t>
      </w:r>
    </w:p>
    <w:p w14:paraId="4A6F4472" w14:textId="77777777" w:rsidR="00CE6695" w:rsidRPr="00FC3B7C" w:rsidRDefault="00CE6695" w:rsidP="00CE6695">
      <w:pPr>
        <w:spacing w:line="240" w:lineRule="auto"/>
      </w:pPr>
    </w:p>
    <w:p w14:paraId="4A6F4473" w14:textId="77777777" w:rsidR="00CE6695" w:rsidRPr="00FC3B7C" w:rsidRDefault="00CE6695" w:rsidP="00CE6695"/>
    <w:p w14:paraId="4A6F4474" w14:textId="77777777" w:rsidR="00CE6695" w:rsidRPr="00FC3B7C" w:rsidRDefault="00CE6695" w:rsidP="00CE6695"/>
    <w:p w14:paraId="4A6F4475" w14:textId="77777777" w:rsidR="00CE6695" w:rsidRPr="00FC3B7C" w:rsidRDefault="00CE6695" w:rsidP="00CE6695"/>
    <w:p w14:paraId="4A6F4476" w14:textId="77777777" w:rsidR="00CE6695" w:rsidRPr="00FC3B7C" w:rsidRDefault="00CE6695" w:rsidP="00CE6695"/>
    <w:p w14:paraId="4A6F4477" w14:textId="77777777" w:rsidR="00CE6695" w:rsidRPr="00FC3B7C" w:rsidRDefault="00CE6695" w:rsidP="00CE6695"/>
    <w:p w14:paraId="4A6F4478" w14:textId="77777777" w:rsidR="00CE6695" w:rsidRPr="00FC3B7C" w:rsidRDefault="00CE6695" w:rsidP="00CE6695"/>
    <w:p w14:paraId="4A6F4479" w14:textId="77777777" w:rsidR="00CE6695" w:rsidRPr="00FC3B7C" w:rsidRDefault="00CE6695" w:rsidP="00CE6695"/>
    <w:p w14:paraId="4A6F447A" w14:textId="77777777" w:rsidR="00CE6695" w:rsidRPr="00FC3B7C" w:rsidRDefault="00CE6695" w:rsidP="00CE6695"/>
    <w:p w14:paraId="4A6F447B" w14:textId="77777777" w:rsidR="00CE6695" w:rsidRPr="00FC3B7C" w:rsidRDefault="00CE6695" w:rsidP="00CE6695"/>
    <w:p w14:paraId="4A6F447C" w14:textId="77777777" w:rsidR="00CE6695" w:rsidRPr="00FC3B7C" w:rsidRDefault="00CE6695" w:rsidP="00CE6695"/>
    <w:p w14:paraId="4A6F447E" w14:textId="6652C9C2" w:rsidR="00CE6695" w:rsidRPr="00FC3B7C" w:rsidRDefault="00934E2E" w:rsidP="004A163A">
      <w:pPr>
        <w:spacing w:line="240" w:lineRule="auto"/>
        <w:jc w:val="left"/>
      </w:pPr>
      <w:r>
        <w:br w:type="page"/>
      </w:r>
    </w:p>
    <w:p w14:paraId="4A6F447F" w14:textId="77777777" w:rsidR="00797365" w:rsidRPr="004A163A" w:rsidRDefault="00797365" w:rsidP="004A163A">
      <w:pPr>
        <w:pStyle w:val="Nadpis1"/>
        <w:ind w:left="0" w:hanging="5"/>
        <w:rPr>
          <w:color w:val="1F3864" w:themeColor="accent1" w:themeShade="80"/>
        </w:rPr>
      </w:pPr>
      <w:bookmarkStart w:id="278" w:name="page304"/>
      <w:bookmarkStart w:id="279" w:name="page316"/>
      <w:bookmarkStart w:id="280" w:name="_Toc54254086"/>
      <w:bookmarkEnd w:id="278"/>
      <w:bookmarkEnd w:id="279"/>
      <w:r w:rsidRPr="004A163A">
        <w:rPr>
          <w:color w:val="1F3864" w:themeColor="accent1" w:themeShade="80"/>
        </w:rPr>
        <w:lastRenderedPageBreak/>
        <w:t>EKOLOGICKÁ POLITIKA</w:t>
      </w:r>
      <w:bookmarkEnd w:id="280"/>
    </w:p>
    <w:p w14:paraId="4A6F4480" w14:textId="77777777" w:rsidR="00797365" w:rsidRPr="00FC3B7C" w:rsidRDefault="00797365" w:rsidP="00797365">
      <w:pPr>
        <w:spacing w:line="200" w:lineRule="exact"/>
        <w:rPr>
          <w:sz w:val="20"/>
          <w:szCs w:val="20"/>
        </w:rPr>
      </w:pPr>
    </w:p>
    <w:p w14:paraId="4A6F4481" w14:textId="77777777" w:rsidR="00797365" w:rsidRPr="00FC3B7C" w:rsidRDefault="00797365" w:rsidP="00797365">
      <w:pPr>
        <w:spacing w:line="276" w:lineRule="exact"/>
        <w:rPr>
          <w:sz w:val="20"/>
          <w:szCs w:val="20"/>
        </w:rPr>
      </w:pPr>
    </w:p>
    <w:p w14:paraId="4A6F4482" w14:textId="77777777" w:rsidR="00797365" w:rsidRPr="00934E2E" w:rsidRDefault="00797365" w:rsidP="00627DAC">
      <w:pPr>
        <w:rPr>
          <w:rFonts w:eastAsia="Times New Roman"/>
          <w:b/>
          <w:bCs/>
          <w:sz w:val="28"/>
          <w:szCs w:val="28"/>
        </w:rPr>
      </w:pPr>
      <w:r w:rsidRPr="00934E2E">
        <w:rPr>
          <w:rFonts w:eastAsia="Times New Roman"/>
          <w:b/>
          <w:bCs/>
          <w:sz w:val="28"/>
          <w:szCs w:val="28"/>
        </w:rPr>
        <w:t>Slovníček pojmů:</w:t>
      </w:r>
    </w:p>
    <w:p w14:paraId="4A6F4483" w14:textId="77777777" w:rsidR="00797365" w:rsidRPr="00FC3B7C" w:rsidRDefault="00797365" w:rsidP="00934E2E">
      <w:pPr>
        <w:rPr>
          <w:rFonts w:eastAsia="Times New Roman"/>
        </w:rPr>
      </w:pPr>
      <w:r w:rsidRPr="004A163A">
        <w:rPr>
          <w:rFonts w:eastAsia="Times New Roman"/>
          <w:i/>
          <w:iCs/>
          <w:u w:val="single"/>
        </w:rPr>
        <w:t>Hartwickovo pravidlo (udržitel. rozvoje)</w:t>
      </w:r>
      <w:r w:rsidRPr="00FC3B7C">
        <w:rPr>
          <w:rFonts w:eastAsia="Times New Roman"/>
          <w:b/>
          <w:bCs/>
        </w:rPr>
        <w:t xml:space="preserve"> </w:t>
      </w:r>
      <w:r w:rsidRPr="00FC3B7C">
        <w:rPr>
          <w:rFonts w:eastAsia="Times New Roman"/>
        </w:rPr>
        <w:t>- k dosažení udržitelného rozvoje musí zásoba celkového kapitálu</w:t>
      </w:r>
      <w:r w:rsidRPr="00FC3B7C">
        <w:rPr>
          <w:rFonts w:eastAsia="Times New Roman"/>
          <w:b/>
          <w:bCs/>
        </w:rPr>
        <w:t xml:space="preserve"> </w:t>
      </w:r>
      <w:r w:rsidRPr="00FC3B7C">
        <w:rPr>
          <w:rFonts w:eastAsia="Times New Roman"/>
        </w:rPr>
        <w:t>v čase růst nebo zůstat konstantní, přičemž je možné, aby se hodnota přírodního kapitálu snižovala, pokud hodnota fyzického kapitálu roste minimálně o stejnou výši</w:t>
      </w:r>
    </w:p>
    <w:p w14:paraId="4A6F4484" w14:textId="537C2D0C" w:rsidR="00797365" w:rsidRPr="00FC3B7C" w:rsidRDefault="00797365" w:rsidP="00934E2E">
      <w:r w:rsidRPr="004A163A">
        <w:rPr>
          <w:rFonts w:eastAsia="Times New Roman"/>
          <w:i/>
          <w:iCs/>
          <w:u w:val="single"/>
        </w:rPr>
        <w:t>Antropocentrismus</w:t>
      </w:r>
      <w:r w:rsidR="00985E93">
        <w:rPr>
          <w:rFonts w:eastAsia="Times New Roman"/>
          <w:b/>
          <w:bCs/>
        </w:rPr>
        <w:t xml:space="preserve"> -</w:t>
      </w:r>
      <w:r w:rsidRPr="00FC3B7C">
        <w:rPr>
          <w:rFonts w:eastAsia="Times New Roman"/>
          <w:b/>
          <w:bCs/>
        </w:rPr>
        <w:t xml:space="preserve"> </w:t>
      </w:r>
      <w:r w:rsidRPr="00FC3B7C">
        <w:rPr>
          <w:rFonts w:eastAsia="Times New Roman"/>
        </w:rPr>
        <w:t>příroda a přírodní zdroje mají takovou hodnotu, jakou jim</w:t>
      </w:r>
      <w:r w:rsidRPr="00FC3B7C">
        <w:rPr>
          <w:rFonts w:eastAsia="Times New Roman"/>
          <w:b/>
          <w:bCs/>
        </w:rPr>
        <w:t xml:space="preserve"> </w:t>
      </w:r>
      <w:r w:rsidRPr="00FC3B7C">
        <w:rPr>
          <w:rFonts w:eastAsia="Times New Roman"/>
        </w:rPr>
        <w:t>člověk</w:t>
      </w:r>
      <w:r w:rsidRPr="00FC3B7C">
        <w:rPr>
          <w:rFonts w:eastAsia="Times New Roman"/>
          <w:b/>
          <w:bCs/>
        </w:rPr>
        <w:t xml:space="preserve"> </w:t>
      </w:r>
      <w:r w:rsidRPr="00FC3B7C">
        <w:rPr>
          <w:rFonts w:eastAsia="Times New Roman"/>
        </w:rPr>
        <w:t>přiřadí</w:t>
      </w:r>
    </w:p>
    <w:p w14:paraId="4A6F4485" w14:textId="69BB4ED2" w:rsidR="00797365" w:rsidRPr="00FC3B7C" w:rsidRDefault="00797365" w:rsidP="00934E2E">
      <w:r w:rsidRPr="004A163A">
        <w:rPr>
          <w:rFonts w:eastAsia="Times New Roman"/>
          <w:i/>
          <w:iCs/>
          <w:u w:val="single"/>
        </w:rPr>
        <w:t>Ekocentrismus</w:t>
      </w:r>
      <w:r w:rsidR="00985E93">
        <w:rPr>
          <w:rFonts w:eastAsia="Times New Roman"/>
        </w:rPr>
        <w:t xml:space="preserve"> - </w:t>
      </w:r>
      <w:r w:rsidRPr="00FC3B7C">
        <w:rPr>
          <w:rFonts w:eastAsia="Times New Roman"/>
        </w:rPr>
        <w:t>hodnota</w:t>
      </w:r>
      <w:r w:rsidRPr="00FC3B7C">
        <w:rPr>
          <w:rFonts w:eastAsia="Times New Roman"/>
          <w:b/>
          <w:bCs/>
        </w:rPr>
        <w:t xml:space="preserve"> </w:t>
      </w:r>
      <w:r w:rsidRPr="00FC3B7C">
        <w:rPr>
          <w:rFonts w:eastAsia="Times New Roman"/>
        </w:rPr>
        <w:t>životního prostředí není primárně</w:t>
      </w:r>
      <w:r w:rsidRPr="00FC3B7C">
        <w:rPr>
          <w:rFonts w:eastAsia="Times New Roman"/>
          <w:b/>
          <w:bCs/>
        </w:rPr>
        <w:t xml:space="preserve"> </w:t>
      </w:r>
      <w:r w:rsidRPr="00FC3B7C">
        <w:rPr>
          <w:rFonts w:eastAsia="Times New Roman"/>
        </w:rPr>
        <w:t>odvozena od preferencí</w:t>
      </w:r>
      <w:r w:rsidRPr="00FC3B7C">
        <w:rPr>
          <w:rFonts w:eastAsia="Times New Roman"/>
          <w:b/>
          <w:bCs/>
        </w:rPr>
        <w:t xml:space="preserve"> </w:t>
      </w:r>
      <w:r w:rsidRPr="00FC3B7C">
        <w:rPr>
          <w:rFonts w:eastAsia="Times New Roman"/>
        </w:rPr>
        <w:t>člověka,</w:t>
      </w:r>
      <w:r w:rsidRPr="00FC3B7C">
        <w:rPr>
          <w:rFonts w:eastAsia="Times New Roman"/>
          <w:b/>
          <w:bCs/>
        </w:rPr>
        <w:t xml:space="preserve"> </w:t>
      </w:r>
      <w:r w:rsidRPr="00FC3B7C">
        <w:rPr>
          <w:rFonts w:eastAsia="Times New Roman"/>
        </w:rPr>
        <w:t>ale jedná se o určitou objektivizovanou hodnotu</w:t>
      </w:r>
    </w:p>
    <w:p w14:paraId="4A6F4486" w14:textId="76048026" w:rsidR="00797365" w:rsidRPr="00FC3B7C" w:rsidRDefault="00797365" w:rsidP="00934E2E">
      <w:pPr>
        <w:rPr>
          <w:rFonts w:eastAsia="Times New Roman"/>
          <w:b/>
          <w:bCs/>
        </w:rPr>
      </w:pPr>
      <w:r w:rsidRPr="004A163A">
        <w:rPr>
          <w:rFonts w:eastAsia="Times New Roman"/>
          <w:i/>
          <w:iCs/>
          <w:u w:val="single"/>
        </w:rPr>
        <w:t>Ekologie</w:t>
      </w:r>
      <w:r w:rsidR="00985E93">
        <w:rPr>
          <w:rFonts w:eastAsia="Times New Roman"/>
        </w:rPr>
        <w:t xml:space="preserve"> - </w:t>
      </w:r>
      <w:r w:rsidRPr="00FC3B7C">
        <w:rPr>
          <w:rFonts w:eastAsia="Times New Roman"/>
        </w:rPr>
        <w:t>vědní obor zabývající se vzájemnými vztahy mezi organismy a okolím</w:t>
      </w:r>
      <w:r w:rsidRPr="00FC3B7C">
        <w:rPr>
          <w:rFonts w:eastAsia="Times New Roman"/>
          <w:b/>
          <w:bCs/>
        </w:rPr>
        <w:t xml:space="preserve"> </w:t>
      </w:r>
    </w:p>
    <w:p w14:paraId="4A6F4487" w14:textId="07A675A1" w:rsidR="00797365" w:rsidRPr="00FC3B7C" w:rsidRDefault="00797365" w:rsidP="00934E2E">
      <w:r w:rsidRPr="004A163A">
        <w:rPr>
          <w:rFonts w:eastAsia="Times New Roman"/>
          <w:i/>
          <w:iCs/>
          <w:u w:val="single"/>
        </w:rPr>
        <w:t>Ekologismus/environmentalismus</w:t>
      </w:r>
      <w:r w:rsidR="00985E93">
        <w:rPr>
          <w:rFonts w:eastAsia="Times New Roman"/>
        </w:rPr>
        <w:t xml:space="preserve"> - </w:t>
      </w:r>
      <w:r w:rsidRPr="00FC3B7C">
        <w:rPr>
          <w:rFonts w:eastAsia="Times New Roman"/>
        </w:rPr>
        <w:t xml:space="preserve">normativní směr prosazující společenské změny </w:t>
      </w:r>
      <w:r w:rsidR="00934E2E">
        <w:rPr>
          <w:rFonts w:eastAsia="Times New Roman"/>
        </w:rPr>
        <w:br/>
      </w:r>
      <w:r w:rsidRPr="00FC3B7C">
        <w:rPr>
          <w:rFonts w:eastAsia="Times New Roman"/>
        </w:rPr>
        <w:t>ve</w:t>
      </w:r>
      <w:r w:rsidRPr="00FC3B7C">
        <w:rPr>
          <w:rFonts w:eastAsia="Times New Roman"/>
          <w:b/>
          <w:bCs/>
        </w:rPr>
        <w:t xml:space="preserve"> </w:t>
      </w:r>
      <w:r w:rsidRPr="00FC3B7C">
        <w:rPr>
          <w:rFonts w:eastAsia="Times New Roman"/>
        </w:rPr>
        <w:t>jménu vyšší ochrany ŽP (ekologická hnutí)</w:t>
      </w:r>
    </w:p>
    <w:p w14:paraId="4A6F4488" w14:textId="1A7A947F" w:rsidR="00797365" w:rsidRPr="00FC3B7C" w:rsidRDefault="00797365" w:rsidP="00934E2E">
      <w:r w:rsidRPr="004A163A">
        <w:rPr>
          <w:rFonts w:eastAsia="Times New Roman"/>
          <w:i/>
          <w:iCs/>
          <w:u w:val="single"/>
        </w:rPr>
        <w:t>Ekonomie životního prostředí</w:t>
      </w:r>
      <w:r w:rsidR="00985E93">
        <w:rPr>
          <w:rFonts w:eastAsia="Times New Roman"/>
        </w:rPr>
        <w:t xml:space="preserve"> -</w:t>
      </w:r>
      <w:r w:rsidRPr="00FC3B7C">
        <w:rPr>
          <w:rFonts w:eastAsia="Times New Roman"/>
        </w:rPr>
        <w:t xml:space="preserve"> vědní obor zabývající se lidským jednáním ve vztahu</w:t>
      </w:r>
      <w:r w:rsidRPr="00FC3B7C">
        <w:rPr>
          <w:rFonts w:eastAsia="Times New Roman"/>
          <w:b/>
          <w:bCs/>
        </w:rPr>
        <w:t xml:space="preserve"> </w:t>
      </w:r>
      <w:r w:rsidR="00934E2E">
        <w:rPr>
          <w:rFonts w:eastAsia="Times New Roman"/>
          <w:b/>
          <w:bCs/>
        </w:rPr>
        <w:br/>
      </w:r>
      <w:r w:rsidRPr="00FC3B7C">
        <w:rPr>
          <w:rFonts w:eastAsia="Times New Roman"/>
        </w:rPr>
        <w:t>k přírodním statkům a alokací přírodních statků mezi konkurenční užití</w:t>
      </w:r>
    </w:p>
    <w:p w14:paraId="4A6F4489" w14:textId="75B5E616" w:rsidR="00797365" w:rsidRPr="00FC3B7C" w:rsidRDefault="00797365" w:rsidP="00934E2E">
      <w:pPr>
        <w:rPr>
          <w:rFonts w:eastAsia="Times New Roman"/>
        </w:rPr>
      </w:pPr>
      <w:r w:rsidRPr="004A163A">
        <w:rPr>
          <w:rFonts w:eastAsia="Times New Roman"/>
          <w:i/>
          <w:iCs/>
          <w:u w:val="single"/>
        </w:rPr>
        <w:t>Emise</w:t>
      </w:r>
      <w:r w:rsidR="00985E93">
        <w:rPr>
          <w:rFonts w:eastAsia="Times New Roman"/>
        </w:rPr>
        <w:t xml:space="preserve"> - </w:t>
      </w:r>
      <w:r w:rsidRPr="00FC3B7C">
        <w:rPr>
          <w:rFonts w:eastAsia="Times New Roman"/>
        </w:rPr>
        <w:t>množství</w:t>
      </w:r>
      <w:r w:rsidRPr="00FC3B7C">
        <w:rPr>
          <w:rFonts w:eastAsia="Times New Roman"/>
          <w:b/>
          <w:bCs/>
        </w:rPr>
        <w:t xml:space="preserve"> </w:t>
      </w:r>
      <w:r w:rsidRPr="00FC3B7C">
        <w:rPr>
          <w:rFonts w:eastAsia="Times New Roman"/>
        </w:rPr>
        <w:t>škodlivin vypuštěných ze zdrojů</w:t>
      </w:r>
      <w:r w:rsidRPr="00FC3B7C">
        <w:rPr>
          <w:rFonts w:eastAsia="Times New Roman"/>
          <w:b/>
          <w:bCs/>
        </w:rPr>
        <w:t xml:space="preserve"> </w:t>
      </w:r>
      <w:r w:rsidRPr="00FC3B7C">
        <w:rPr>
          <w:rFonts w:eastAsia="Times New Roman"/>
        </w:rPr>
        <w:t>znečišťování, měřeno na výstupu ze</w:t>
      </w:r>
      <w:r w:rsidRPr="00FC3B7C">
        <w:rPr>
          <w:rFonts w:eastAsia="Times New Roman"/>
          <w:b/>
          <w:bCs/>
        </w:rPr>
        <w:t xml:space="preserve"> </w:t>
      </w:r>
      <w:r w:rsidRPr="00FC3B7C">
        <w:rPr>
          <w:rFonts w:eastAsia="Times New Roman"/>
        </w:rPr>
        <w:t xml:space="preserve">zdroje </w:t>
      </w:r>
    </w:p>
    <w:p w14:paraId="4A6F448A" w14:textId="5BB5126C" w:rsidR="00797365" w:rsidRPr="00FC3B7C" w:rsidRDefault="00797365" w:rsidP="00934E2E">
      <w:r w:rsidRPr="004A163A">
        <w:rPr>
          <w:rFonts w:eastAsia="Times New Roman"/>
          <w:i/>
          <w:iCs/>
          <w:u w:val="single"/>
        </w:rPr>
        <w:t>Externalita</w:t>
      </w:r>
      <w:r w:rsidR="00985E93" w:rsidRPr="004A163A">
        <w:rPr>
          <w:rFonts w:eastAsia="Times New Roman"/>
          <w:i/>
          <w:iCs/>
          <w:u w:val="single"/>
        </w:rPr>
        <w:t xml:space="preserve"> </w:t>
      </w:r>
      <w:r w:rsidR="00985E93">
        <w:rPr>
          <w:rFonts w:eastAsia="Times New Roman"/>
        </w:rPr>
        <w:t xml:space="preserve">- </w:t>
      </w:r>
      <w:r w:rsidRPr="00FC3B7C">
        <w:rPr>
          <w:rFonts w:eastAsia="Times New Roman"/>
        </w:rPr>
        <w:t>vedlejší nezamýšlený efekt plynoucí z interakce dvou subjektů na trhu, který dopadá na třetí osobu</w:t>
      </w:r>
    </w:p>
    <w:p w14:paraId="4A6F448B" w14:textId="6A6F8C8F" w:rsidR="00797365" w:rsidRPr="00FC3B7C" w:rsidRDefault="004A163A" w:rsidP="00934E2E">
      <w:pPr>
        <w:rPr>
          <w:rFonts w:eastAsia="Times New Roman"/>
          <w:b/>
          <w:bCs/>
        </w:rPr>
      </w:pPr>
      <w:r>
        <w:rPr>
          <w:rFonts w:eastAsia="Times New Roman"/>
          <w:i/>
          <w:iCs/>
          <w:u w:val="single"/>
        </w:rPr>
        <w:t>E</w:t>
      </w:r>
      <w:r w:rsidR="00797365" w:rsidRPr="004A163A">
        <w:rPr>
          <w:rFonts w:eastAsia="Times New Roman"/>
          <w:i/>
          <w:iCs/>
          <w:u w:val="single"/>
        </w:rPr>
        <w:t>mise</w:t>
      </w:r>
      <w:r w:rsidR="00985E93">
        <w:rPr>
          <w:rFonts w:eastAsia="Times New Roman"/>
        </w:rPr>
        <w:t xml:space="preserve"> - </w:t>
      </w:r>
      <w:r w:rsidR="00797365" w:rsidRPr="00FC3B7C">
        <w:rPr>
          <w:rFonts w:eastAsia="Times New Roman"/>
        </w:rPr>
        <w:t>výsledný</w:t>
      </w:r>
      <w:r w:rsidR="00797365" w:rsidRPr="00FC3B7C">
        <w:rPr>
          <w:rFonts w:eastAsia="Times New Roman"/>
          <w:b/>
          <w:bCs/>
        </w:rPr>
        <w:t xml:space="preserve"> </w:t>
      </w:r>
      <w:r w:rsidR="00797365" w:rsidRPr="00FC3B7C">
        <w:rPr>
          <w:rFonts w:eastAsia="Times New Roman"/>
        </w:rPr>
        <w:t>obsah</w:t>
      </w:r>
      <w:r w:rsidR="00797365" w:rsidRPr="00FC3B7C">
        <w:rPr>
          <w:rFonts w:eastAsia="Times New Roman"/>
          <w:b/>
          <w:bCs/>
        </w:rPr>
        <w:t xml:space="preserve"> </w:t>
      </w:r>
      <w:r w:rsidR="00797365" w:rsidRPr="00FC3B7C">
        <w:rPr>
          <w:rFonts w:eastAsia="Times New Roman"/>
        </w:rPr>
        <w:t>škodlivin naměřený</w:t>
      </w:r>
      <w:r w:rsidR="00797365" w:rsidRPr="00FC3B7C">
        <w:rPr>
          <w:rFonts w:eastAsia="Times New Roman"/>
          <w:b/>
          <w:bCs/>
        </w:rPr>
        <w:t xml:space="preserve"> </w:t>
      </w:r>
      <w:r w:rsidR="00797365" w:rsidRPr="00FC3B7C">
        <w:rPr>
          <w:rFonts w:eastAsia="Times New Roman"/>
        </w:rPr>
        <w:t>v daném místě</w:t>
      </w:r>
      <w:r w:rsidR="00797365" w:rsidRPr="00FC3B7C">
        <w:rPr>
          <w:rFonts w:eastAsia="Times New Roman"/>
          <w:b/>
          <w:bCs/>
        </w:rPr>
        <w:t xml:space="preserve"> </w:t>
      </w:r>
      <w:r w:rsidR="00797365" w:rsidRPr="00FC3B7C">
        <w:rPr>
          <w:rFonts w:eastAsia="Times New Roman"/>
        </w:rPr>
        <w:t>v daném</w:t>
      </w:r>
      <w:r w:rsidR="00797365" w:rsidRPr="00FC3B7C">
        <w:rPr>
          <w:rFonts w:eastAsia="Times New Roman"/>
          <w:b/>
          <w:bCs/>
        </w:rPr>
        <w:t xml:space="preserve"> </w:t>
      </w:r>
      <w:r w:rsidR="00797365" w:rsidRPr="00FC3B7C">
        <w:rPr>
          <w:rFonts w:eastAsia="Times New Roman"/>
        </w:rPr>
        <w:t>čase</w:t>
      </w:r>
      <w:r w:rsidR="00797365" w:rsidRPr="00FC3B7C">
        <w:rPr>
          <w:rFonts w:eastAsia="Times New Roman"/>
          <w:b/>
          <w:bCs/>
        </w:rPr>
        <w:t xml:space="preserve"> </w:t>
      </w:r>
    </w:p>
    <w:p w14:paraId="4A6F448C" w14:textId="0B41CFB5" w:rsidR="00797365" w:rsidRPr="00FC3B7C" w:rsidRDefault="00797365" w:rsidP="00934E2E">
      <w:pPr>
        <w:rPr>
          <w:rFonts w:eastAsia="Times New Roman"/>
        </w:rPr>
      </w:pPr>
      <w:r w:rsidRPr="004A163A">
        <w:rPr>
          <w:rFonts w:eastAsia="Times New Roman"/>
          <w:i/>
          <w:iCs/>
          <w:u w:val="single"/>
        </w:rPr>
        <w:t>Internalizace externalit</w:t>
      </w:r>
      <w:r w:rsidR="00985E93">
        <w:rPr>
          <w:rFonts w:eastAsia="Times New Roman"/>
        </w:rPr>
        <w:t xml:space="preserve"> -</w:t>
      </w:r>
      <w:r w:rsidR="003376E1">
        <w:rPr>
          <w:rFonts w:eastAsia="Times New Roman"/>
        </w:rPr>
        <w:t xml:space="preserve"> </w:t>
      </w:r>
      <w:r w:rsidRPr="00FC3B7C">
        <w:rPr>
          <w:rFonts w:eastAsia="Times New Roman"/>
        </w:rPr>
        <w:t>přenesení nákladů</w:t>
      </w:r>
      <w:r w:rsidRPr="00FC3B7C">
        <w:rPr>
          <w:rFonts w:eastAsia="Times New Roman"/>
          <w:b/>
          <w:bCs/>
        </w:rPr>
        <w:t xml:space="preserve"> </w:t>
      </w:r>
      <w:r w:rsidRPr="00FC3B7C">
        <w:rPr>
          <w:rFonts w:eastAsia="Times New Roman"/>
        </w:rPr>
        <w:t>zpět na jejich původce</w:t>
      </w:r>
    </w:p>
    <w:p w14:paraId="4A6F448D" w14:textId="7BCA874A" w:rsidR="00797365" w:rsidRPr="00FC3B7C" w:rsidRDefault="00797365" w:rsidP="00934E2E">
      <w:pPr>
        <w:rPr>
          <w:rFonts w:eastAsia="Times New Roman"/>
          <w:b/>
          <w:bCs/>
        </w:rPr>
      </w:pPr>
      <w:r w:rsidRPr="004A163A">
        <w:rPr>
          <w:rFonts w:eastAsia="Times New Roman"/>
          <w:i/>
          <w:iCs/>
          <w:u w:val="single"/>
        </w:rPr>
        <w:t>Kuznětsova křivka</w:t>
      </w:r>
      <w:r w:rsidRPr="00FC3B7C">
        <w:rPr>
          <w:rFonts w:eastAsia="Times New Roman"/>
          <w:b/>
          <w:bCs/>
        </w:rPr>
        <w:t xml:space="preserve"> </w:t>
      </w:r>
      <w:r w:rsidR="00985E93">
        <w:rPr>
          <w:rFonts w:eastAsia="Times New Roman"/>
          <w:b/>
          <w:bCs/>
        </w:rPr>
        <w:t xml:space="preserve">- </w:t>
      </w:r>
      <w:r w:rsidRPr="00FC3B7C">
        <w:rPr>
          <w:rFonts w:eastAsia="Times New Roman"/>
          <w:bCs/>
        </w:rPr>
        <w:t>při růstu příjmu na hlavu se bude do určitého bodu zhoršovat ŽP, pak po bodu zlomu už se bude zlepšovat</w:t>
      </w:r>
      <w:bookmarkStart w:id="281" w:name="page305"/>
      <w:bookmarkEnd w:id="281"/>
      <w:r w:rsidRPr="00FC3B7C">
        <w:rPr>
          <w:rFonts w:eastAsia="Times New Roman"/>
          <w:bCs/>
        </w:rPr>
        <w:t xml:space="preserve">, </w:t>
      </w:r>
      <w:r w:rsidRPr="00FC3B7C">
        <w:t>není všeobecný konsensus, zda k tomuto jevu dochází zcela automaticky nebo v důsledku politiky ochrany ŽP (model platí hlavně pro lokální oblasti, v globálním měřítku zřejmě neplatí)</w:t>
      </w:r>
    </w:p>
    <w:p w14:paraId="4A6F448E" w14:textId="77777777" w:rsidR="00797365" w:rsidRPr="00FC3B7C" w:rsidRDefault="00797365" w:rsidP="009C1BD3">
      <w:pPr>
        <w:spacing w:after="120"/>
        <w:jc w:val="center"/>
        <w:rPr>
          <w:rFonts w:eastAsia="Times New Roman"/>
          <w:b/>
          <w:bCs/>
          <w:sz w:val="19"/>
          <w:szCs w:val="19"/>
        </w:rPr>
      </w:pPr>
      <w:r w:rsidRPr="00FC3B7C">
        <w:rPr>
          <w:rFonts w:eastAsia="Times New Roman"/>
          <w:b/>
          <w:bCs/>
          <w:noProof/>
          <w:sz w:val="19"/>
          <w:szCs w:val="19"/>
        </w:rPr>
        <w:lastRenderedPageBreak/>
        <w:drawing>
          <wp:inline distT="0" distB="0" distL="0" distR="0" wp14:anchorId="4A6F5CE6" wp14:editId="41FA24B0">
            <wp:extent cx="3227454" cy="2498652"/>
            <wp:effectExtent l="0" t="0" r="0" b="0"/>
            <wp:docPr id="1026" name="Picture 2" descr="Image result for kuznětsova křivka">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kuznětsova křivka">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27454" cy="2498652"/>
                    </a:xfrm>
                    <a:prstGeom prst="rect">
                      <a:avLst/>
                    </a:prstGeom>
                    <a:noFill/>
                  </pic:spPr>
                </pic:pic>
              </a:graphicData>
            </a:graphic>
          </wp:inline>
        </w:drawing>
      </w:r>
    </w:p>
    <w:p w14:paraId="4A6F448F" w14:textId="77777777" w:rsidR="00797365" w:rsidRPr="004A163A" w:rsidRDefault="00797365" w:rsidP="00934E2E">
      <w:pPr>
        <w:pStyle w:val="Nadpis2"/>
        <w:rPr>
          <w:color w:val="1F3864" w:themeColor="accent1" w:themeShade="80"/>
        </w:rPr>
      </w:pPr>
      <w:r w:rsidRPr="004A163A">
        <w:rPr>
          <w:rFonts w:eastAsia="Times New Roman"/>
          <w:color w:val="1F3864" w:themeColor="accent1" w:themeShade="80"/>
        </w:rPr>
        <w:t>EKONOMIE ŽIVOTNÍHO PROSTŘEDÍ</w:t>
      </w:r>
    </w:p>
    <w:p w14:paraId="4A6F4490" w14:textId="77777777" w:rsidR="00797365" w:rsidRPr="00934E2E" w:rsidRDefault="00797365" w:rsidP="00D46B53">
      <w:pPr>
        <w:pStyle w:val="Odstavecseseznamem"/>
        <w:numPr>
          <w:ilvl w:val="0"/>
          <w:numId w:val="214"/>
        </w:numPr>
        <w:ind w:left="993" w:hanging="273"/>
        <w:rPr>
          <w:rFonts w:eastAsia="Times New Roman"/>
        </w:rPr>
      </w:pPr>
      <w:r w:rsidRPr="00934E2E">
        <w:rPr>
          <w:rFonts w:eastAsia="Times New Roman"/>
        </w:rPr>
        <w:t>studuje vstupy (zdroje) i výstupy (odpadky, znečištění), problémy (znečištění ovzduší, globální změna klimatu, odlesňování,…)</w:t>
      </w:r>
    </w:p>
    <w:p w14:paraId="4A6F4491" w14:textId="77777777" w:rsidR="00797365" w:rsidRPr="00934E2E" w:rsidRDefault="00797365" w:rsidP="00D46B53">
      <w:pPr>
        <w:pStyle w:val="Odstavecseseznamem"/>
        <w:numPr>
          <w:ilvl w:val="0"/>
          <w:numId w:val="214"/>
        </w:numPr>
        <w:ind w:left="993" w:hanging="273"/>
        <w:rPr>
          <w:rFonts w:eastAsia="Times New Roman"/>
        </w:rPr>
      </w:pPr>
      <w:r w:rsidRPr="00934E2E">
        <w:rPr>
          <w:rFonts w:eastAsia="Times New Roman"/>
        </w:rPr>
        <w:t>využívá pozitivní i normativní analýzu – při klimatické změně panuje shoda u pozitivní analýzy</w:t>
      </w:r>
    </w:p>
    <w:p w14:paraId="4A6F4492" w14:textId="77777777" w:rsidR="00797365" w:rsidRPr="00934E2E" w:rsidRDefault="00797365" w:rsidP="00D46B53">
      <w:pPr>
        <w:pStyle w:val="Odstavecseseznamem"/>
        <w:numPr>
          <w:ilvl w:val="0"/>
          <w:numId w:val="214"/>
        </w:numPr>
        <w:ind w:left="993" w:hanging="273"/>
        <w:rPr>
          <w:rFonts w:eastAsia="Times New Roman"/>
        </w:rPr>
      </w:pPr>
      <w:r w:rsidRPr="00934E2E">
        <w:rPr>
          <w:rFonts w:eastAsia="Times New Roman"/>
        </w:rPr>
        <w:t>znečištění ŽP je často způsobeno vysokými transakčními náklady, neefektivní veřejnou politikou či informační asymetrií</w:t>
      </w:r>
    </w:p>
    <w:p w14:paraId="26AEE74F" w14:textId="59830156" w:rsidR="009C1BD3" w:rsidRPr="009C1BD3" w:rsidRDefault="00797365" w:rsidP="00D46B53">
      <w:pPr>
        <w:pStyle w:val="Odstavecseseznamem"/>
        <w:numPr>
          <w:ilvl w:val="0"/>
          <w:numId w:val="214"/>
        </w:numPr>
        <w:spacing w:after="240"/>
        <w:ind w:left="993" w:hanging="273"/>
        <w:rPr>
          <w:rFonts w:eastAsia="Times New Roman"/>
        </w:rPr>
      </w:pPr>
      <w:r w:rsidRPr="00934E2E">
        <w:rPr>
          <w:rFonts w:eastAsia="Times New Roman"/>
        </w:rPr>
        <w:t>vztah ekonomiky a ŽP - ekonomické aktivity se odehrávají v ŽP, ŽP poskytuje zdroje, energii, přijímá odpad, ekonomika často ŽP ničí, ale dává i zdroje na jeho obnovu</w:t>
      </w:r>
    </w:p>
    <w:p w14:paraId="4A6F4495" w14:textId="77777777" w:rsidR="00797365" w:rsidRPr="004A163A" w:rsidRDefault="00797365" w:rsidP="00934E2E">
      <w:pPr>
        <w:pStyle w:val="Nadpis3"/>
        <w:rPr>
          <w:color w:val="1F3864" w:themeColor="accent1" w:themeShade="80"/>
        </w:rPr>
      </w:pPr>
      <w:r w:rsidRPr="004A163A">
        <w:rPr>
          <w:rFonts w:eastAsia="Times New Roman"/>
          <w:color w:val="1F3864" w:themeColor="accent1" w:themeShade="80"/>
        </w:rPr>
        <w:t>Cíle ekonomie životního prostředí</w:t>
      </w:r>
    </w:p>
    <w:p w14:paraId="4A6F4496" w14:textId="77777777" w:rsidR="00797365" w:rsidRPr="00FC3B7C" w:rsidRDefault="00797365" w:rsidP="00934E2E">
      <w:r w:rsidRPr="00FC3B7C">
        <w:rPr>
          <w:rFonts w:eastAsia="Times New Roman"/>
        </w:rPr>
        <w:t xml:space="preserve">Státní politika životního prostředí České republiky vymezuje plán na realizaci efektivní ochrany životního prostředí v České republice do roku 2020, hlavním cílem je zajistit zdravé a kvalitní životní prostředí </w:t>
      </w:r>
    </w:p>
    <w:p w14:paraId="4A6F4497" w14:textId="77777777" w:rsidR="00797365" w:rsidRPr="00934E2E" w:rsidRDefault="00797365" w:rsidP="00D46B53">
      <w:pPr>
        <w:pStyle w:val="Odstavecseseznamem"/>
        <w:numPr>
          <w:ilvl w:val="0"/>
          <w:numId w:val="606"/>
        </w:numPr>
        <w:rPr>
          <w:rFonts w:eastAsia="Times New Roman"/>
          <w:b/>
          <w:bCs/>
          <w:iCs/>
        </w:rPr>
      </w:pPr>
      <w:r w:rsidRPr="00934E2E">
        <w:rPr>
          <w:rFonts w:eastAsia="Times New Roman"/>
        </w:rPr>
        <w:t xml:space="preserve">SPŽP je zaměřena na tyto tematické oblasti: </w:t>
      </w:r>
      <w:r w:rsidRPr="00934E2E">
        <w:rPr>
          <w:rFonts w:eastAsia="Calibri"/>
        </w:rPr>
        <w:t xml:space="preserve">ochrana a udržitelné využívání zdrojů, ochrana klimatu a zlepšení kvality ovzduší, ochrana přírody a krajiny, bezpečné prostředí </w:t>
      </w:r>
    </w:p>
    <w:p w14:paraId="4A6F4498" w14:textId="77777777" w:rsidR="00797365" w:rsidRPr="00934E2E" w:rsidRDefault="00797365" w:rsidP="00D46B53">
      <w:pPr>
        <w:pStyle w:val="Odstavecseseznamem"/>
        <w:numPr>
          <w:ilvl w:val="0"/>
          <w:numId w:val="606"/>
        </w:numPr>
        <w:rPr>
          <w:rFonts w:eastAsia="Times New Roman"/>
        </w:rPr>
      </w:pPr>
      <w:r w:rsidRPr="00934E2E">
        <w:rPr>
          <w:rFonts w:eastAsia="Times New Roman"/>
        </w:rPr>
        <w:t>SPŽP má tyto principy (např.) : princip předběžné opatrnosti (lepší je být opatrnější), princip znečišťovatel platí, princip prevence (předcházíme škodám), zvyšování povědomí veřejnosti o otázkách životního prostředí, princip nákladové efektivnosti (ekonomická efektivita), princip mezinárodní odpovědnosti (dodržování</w:t>
      </w:r>
      <w:r w:rsidR="00934E2E">
        <w:rPr>
          <w:rFonts w:eastAsia="Times New Roman"/>
        </w:rPr>
        <w:t xml:space="preserve"> </w:t>
      </w:r>
      <w:r w:rsidRPr="00934E2E">
        <w:rPr>
          <w:rFonts w:eastAsia="Times New Roman"/>
        </w:rPr>
        <w:t>mezinárodních závazků, smluv), princip integrace politik (</w:t>
      </w:r>
      <w:r w:rsidRPr="00FC3B7C">
        <w:t xml:space="preserve">politika ŽP má průřezový charakter) </w:t>
      </w:r>
    </w:p>
    <w:p w14:paraId="4A6F4499" w14:textId="77777777" w:rsidR="00934E2E" w:rsidRPr="004A163A" w:rsidRDefault="00934E2E" w:rsidP="00934E2E">
      <w:pPr>
        <w:pStyle w:val="Odstavecseseznamem"/>
        <w:rPr>
          <w:rFonts w:eastAsia="Times New Roman"/>
          <w:color w:val="1F3864" w:themeColor="accent1" w:themeShade="80"/>
        </w:rPr>
      </w:pPr>
    </w:p>
    <w:p w14:paraId="4A6F449A" w14:textId="5A037C93" w:rsidR="00797365" w:rsidRPr="004A163A" w:rsidRDefault="00847363" w:rsidP="00934E2E">
      <w:pPr>
        <w:pStyle w:val="Nadpis4"/>
        <w:rPr>
          <w:rFonts w:eastAsia="Times New Roman"/>
          <w:color w:val="1F3864" w:themeColor="accent1" w:themeShade="80"/>
        </w:rPr>
      </w:pPr>
      <w:r w:rsidRPr="004A163A">
        <w:rPr>
          <w:rFonts w:eastAsia="Times New Roman"/>
          <w:color w:val="1F3864" w:themeColor="accent1" w:themeShade="80"/>
        </w:rPr>
        <w:t>Střednědobé</w:t>
      </w:r>
      <w:r w:rsidR="004A163A" w:rsidRPr="004A163A">
        <w:rPr>
          <w:rFonts w:eastAsia="Times New Roman"/>
          <w:color w:val="1F3864" w:themeColor="accent1" w:themeShade="80"/>
        </w:rPr>
        <w:t xml:space="preserve"> vyhodnocení ŽP</w:t>
      </w:r>
    </w:p>
    <w:p w14:paraId="4A6F449B" w14:textId="77777777" w:rsidR="00797365" w:rsidRPr="00934E2E" w:rsidRDefault="00797365" w:rsidP="00D46B53">
      <w:pPr>
        <w:pStyle w:val="Odstavecseseznamem"/>
        <w:numPr>
          <w:ilvl w:val="0"/>
          <w:numId w:val="665"/>
        </w:numPr>
        <w:rPr>
          <w:rFonts w:eastAsia="Times New Roman"/>
        </w:rPr>
      </w:pPr>
      <w:r w:rsidRPr="00934E2E">
        <w:rPr>
          <w:rFonts w:eastAsia="Times New Roman"/>
        </w:rPr>
        <w:t>ČR nadále snižuje emise skleníkových plynů i ostatních znečišťujících látek do ovzduší. I přes dlouhodobý pokles emisí se kvalita ovzduší na území ČR zásadně nezlepšuje. Na pětině území byl v roce 2014 překročen imisní limit u minimálně jedné znečišťující látky. V těchto oblastech žilo více než polovina obyvatel ČR.</w:t>
      </w:r>
    </w:p>
    <w:p w14:paraId="4A6F449C" w14:textId="77777777" w:rsidR="00797365" w:rsidRPr="00934E2E" w:rsidRDefault="00797365" w:rsidP="00D46B53">
      <w:pPr>
        <w:pStyle w:val="Odstavecseseznamem"/>
        <w:numPr>
          <w:ilvl w:val="0"/>
          <w:numId w:val="665"/>
        </w:numPr>
        <w:rPr>
          <w:rFonts w:eastAsia="Times New Roman"/>
        </w:rPr>
      </w:pPr>
      <w:r w:rsidRPr="00934E2E">
        <w:rPr>
          <w:rFonts w:eastAsia="Times New Roman"/>
        </w:rPr>
        <w:t xml:space="preserve">Podíl obnovitelných zdrojů energie na konečné spotřebě energie se zvyšuje </w:t>
      </w:r>
      <w:r w:rsidR="00934E2E">
        <w:rPr>
          <w:rFonts w:eastAsia="Times New Roman"/>
        </w:rPr>
        <w:br/>
      </w:r>
      <w:r w:rsidRPr="00934E2E">
        <w:rPr>
          <w:rFonts w:eastAsia="Times New Roman"/>
        </w:rPr>
        <w:t>a energetická účinnost hospodářství dlouhodobě stoupá.</w:t>
      </w:r>
    </w:p>
    <w:p w14:paraId="4A6F449D" w14:textId="77777777" w:rsidR="00797365" w:rsidRPr="00934E2E" w:rsidRDefault="00797365" w:rsidP="00D46B53">
      <w:pPr>
        <w:pStyle w:val="Odstavecseseznamem"/>
        <w:numPr>
          <w:ilvl w:val="0"/>
          <w:numId w:val="665"/>
        </w:numPr>
        <w:rPr>
          <w:rFonts w:eastAsia="Times New Roman"/>
        </w:rPr>
      </w:pPr>
      <w:r w:rsidRPr="00934E2E">
        <w:rPr>
          <w:rFonts w:eastAsia="Times New Roman"/>
        </w:rPr>
        <w:t>Stav útvarů povrchových i podzemních vod se zlepšuje velice pomalu.</w:t>
      </w:r>
    </w:p>
    <w:p w14:paraId="4A6F449E" w14:textId="77777777" w:rsidR="00797365" w:rsidRPr="00934E2E" w:rsidRDefault="00797365" w:rsidP="00D46B53">
      <w:pPr>
        <w:pStyle w:val="Odstavecseseznamem"/>
        <w:numPr>
          <w:ilvl w:val="0"/>
          <w:numId w:val="665"/>
        </w:numPr>
        <w:rPr>
          <w:rFonts w:eastAsia="Times New Roman"/>
        </w:rPr>
      </w:pPr>
      <w:r w:rsidRPr="00934E2E">
        <w:rPr>
          <w:rFonts w:eastAsia="Times New Roman"/>
        </w:rPr>
        <w:t>Ohrožení půdy erozí se nesnížilo.</w:t>
      </w:r>
    </w:p>
    <w:p w14:paraId="4A6F449F" w14:textId="77777777" w:rsidR="00797365" w:rsidRPr="00934E2E" w:rsidRDefault="00797365" w:rsidP="00D46B53">
      <w:pPr>
        <w:pStyle w:val="Odstavecseseznamem"/>
        <w:numPr>
          <w:ilvl w:val="0"/>
          <w:numId w:val="665"/>
        </w:numPr>
        <w:rPr>
          <w:rFonts w:eastAsia="Times New Roman"/>
        </w:rPr>
      </w:pPr>
      <w:r w:rsidRPr="00934E2E">
        <w:rPr>
          <w:rFonts w:eastAsia="Times New Roman"/>
        </w:rPr>
        <w:t xml:space="preserve">Pro přírodu a krajinu ČR představují setrvalý problém doprava, intenzivní zemědělství a energetika, neboť přispívají k fragmentaci krajiny. Zlepšil se stav evropsky významných druhů, ale u původních ohrožených druhů dochází dlouhodobě </w:t>
      </w:r>
      <w:r w:rsidR="00934E2E">
        <w:rPr>
          <w:rFonts w:eastAsia="Times New Roman"/>
        </w:rPr>
        <w:br/>
      </w:r>
      <w:r w:rsidRPr="00934E2E">
        <w:rPr>
          <w:rFonts w:eastAsia="Times New Roman"/>
        </w:rPr>
        <w:t>k negativnímu vývoji.</w:t>
      </w:r>
    </w:p>
    <w:p w14:paraId="4A6F44A1" w14:textId="32649FDD" w:rsidR="00934E2E" w:rsidRPr="009C1BD3" w:rsidRDefault="00797365" w:rsidP="00D46B53">
      <w:pPr>
        <w:pStyle w:val="Odstavecseseznamem"/>
        <w:numPr>
          <w:ilvl w:val="0"/>
          <w:numId w:val="665"/>
        </w:numPr>
        <w:spacing w:after="240"/>
        <w:rPr>
          <w:rFonts w:eastAsia="Times New Roman"/>
        </w:rPr>
      </w:pPr>
      <w:r w:rsidRPr="00934E2E">
        <w:rPr>
          <w:rFonts w:eastAsia="Times New Roman"/>
        </w:rPr>
        <w:t>Jsou realizována opatření pro předcházení rizik a minimalizaci dopadů krizových situací. Systémový přístup je zajištěn mimo jiné realizací Koncepce environmentální bezpečnosti, plánů pro zvládání povodňových rizik a od roku 2015 i Strategie přizpůsobení se změně klimatu v podmínkách ČR.</w:t>
      </w:r>
    </w:p>
    <w:p w14:paraId="4A6F44A2" w14:textId="5470455B" w:rsidR="00797365" w:rsidRPr="00FC3B7C" w:rsidRDefault="004A163A" w:rsidP="00934E2E">
      <w:pPr>
        <w:pStyle w:val="Nadpis3"/>
        <w:rPr>
          <w:rFonts w:eastAsia="Times New Roman"/>
        </w:rPr>
      </w:pPr>
      <w:r>
        <w:rPr>
          <w:rFonts w:eastAsia="Times New Roman"/>
        </w:rPr>
        <w:t xml:space="preserve"> </w:t>
      </w:r>
      <w:r w:rsidR="00797365" w:rsidRPr="004A163A">
        <w:rPr>
          <w:rFonts w:eastAsia="Times New Roman"/>
          <w:color w:val="1F3864" w:themeColor="accent1" w:themeShade="80"/>
        </w:rPr>
        <w:t>FINANCOVÁNÍ OCHRANY ŽP</w:t>
      </w:r>
    </w:p>
    <w:p w14:paraId="4A6F44A3" w14:textId="77777777" w:rsidR="00797365" w:rsidRPr="00934E2E" w:rsidRDefault="00797365" w:rsidP="00D46B53">
      <w:pPr>
        <w:pStyle w:val="Odstavecseseznamem"/>
        <w:numPr>
          <w:ilvl w:val="0"/>
          <w:numId w:val="666"/>
        </w:numPr>
        <w:rPr>
          <w:rFonts w:eastAsia="Times New Roman"/>
        </w:rPr>
      </w:pPr>
      <w:r w:rsidRPr="00934E2E">
        <w:rPr>
          <w:rFonts w:eastAsia="Times New Roman"/>
        </w:rPr>
        <w:t>Financování životního prostředí vytváří základní předpoklad pro přípravu projektů, které mohou být realizovány z veřejných prostředků a jejichž cílem je zlepšit stav jednotlivých složek životního prostředí a podpořit tak udržitelný rozvoj.</w:t>
      </w:r>
    </w:p>
    <w:p w14:paraId="4A6F44A4" w14:textId="77777777" w:rsidR="00797365" w:rsidRPr="00934E2E" w:rsidRDefault="00797365" w:rsidP="00D46B53">
      <w:pPr>
        <w:pStyle w:val="Odstavecseseznamem"/>
        <w:numPr>
          <w:ilvl w:val="0"/>
          <w:numId w:val="666"/>
        </w:numPr>
        <w:rPr>
          <w:rFonts w:eastAsia="Times New Roman"/>
        </w:rPr>
      </w:pPr>
      <w:r w:rsidRPr="00934E2E">
        <w:rPr>
          <w:rFonts w:eastAsia="Times New Roman"/>
        </w:rPr>
        <w:t xml:space="preserve">Nejvýznamnějším zdrojem financí jsou Evropské fondy – Fond soudržnosti </w:t>
      </w:r>
      <w:r w:rsidR="00934E2E">
        <w:rPr>
          <w:rFonts w:eastAsia="Times New Roman"/>
        </w:rPr>
        <w:br/>
      </w:r>
      <w:r w:rsidRPr="00934E2E">
        <w:rPr>
          <w:rFonts w:eastAsia="Times New Roman"/>
        </w:rPr>
        <w:t>a Evropský fond pro regionální rozvoj. Prostředky z těchto fondů se poskytují prostřednictvím Operačního programu Životní prostředí. V českém prostředí existuje dále celá řada environmentálních daní a poplatků, které zajišťují naplňování veřejných rozpočtů (státního rozpočtu a Státního fondu životního prostředí) a následné financování ochrany životního prostředí pomocí národních programů.</w:t>
      </w:r>
    </w:p>
    <w:p w14:paraId="4A6F44A5" w14:textId="77777777" w:rsidR="00797365" w:rsidRPr="00934E2E" w:rsidRDefault="00797365" w:rsidP="00D46B53">
      <w:pPr>
        <w:pStyle w:val="Odstavecseseznamem"/>
        <w:numPr>
          <w:ilvl w:val="0"/>
          <w:numId w:val="666"/>
        </w:numPr>
        <w:rPr>
          <w:rFonts w:eastAsia="Times New Roman"/>
        </w:rPr>
      </w:pPr>
      <w:r w:rsidRPr="00934E2E">
        <w:rPr>
          <w:rFonts w:eastAsia="Times New Roman"/>
        </w:rPr>
        <w:t>Podpora probíhá formou dotací a nově také formou finančních nástrojů.</w:t>
      </w:r>
    </w:p>
    <w:p w14:paraId="4A6F44A6" w14:textId="77777777" w:rsidR="00797365" w:rsidRPr="00934E2E" w:rsidRDefault="00797365" w:rsidP="00D46B53">
      <w:pPr>
        <w:pStyle w:val="Odstavecseseznamem"/>
        <w:numPr>
          <w:ilvl w:val="0"/>
          <w:numId w:val="666"/>
        </w:numPr>
        <w:rPr>
          <w:rFonts w:eastAsia="Times New Roman"/>
        </w:rPr>
      </w:pPr>
      <w:r w:rsidRPr="00934E2E">
        <w:rPr>
          <w:rFonts w:eastAsia="Times New Roman"/>
        </w:rPr>
        <w:t>Ministerstvo životního prostředí má řídicí a koordinační roli, podpora se žadatelům poskytuje prostřednictvím Státního fondu životního prostředí ČR a Agentury ochrany přírody a krajiny ČR.</w:t>
      </w:r>
    </w:p>
    <w:p w14:paraId="4A6F44A7" w14:textId="77777777" w:rsidR="00797365" w:rsidRPr="00934E2E" w:rsidRDefault="00797365" w:rsidP="00D46B53">
      <w:pPr>
        <w:pStyle w:val="Odstavecseseznamem"/>
        <w:numPr>
          <w:ilvl w:val="0"/>
          <w:numId w:val="666"/>
        </w:numPr>
        <w:rPr>
          <w:rFonts w:eastAsia="Times New Roman"/>
        </w:rPr>
      </w:pPr>
      <w:r w:rsidRPr="00934E2E">
        <w:rPr>
          <w:rFonts w:eastAsia="Times New Roman"/>
        </w:rPr>
        <w:t>Ministerstvo životního prostředí má řídící a koordinační roli</w:t>
      </w:r>
    </w:p>
    <w:p w14:paraId="4A6F44A8" w14:textId="77777777" w:rsidR="00797365" w:rsidRPr="00FC3B7C" w:rsidRDefault="00797365" w:rsidP="00797365">
      <w:pPr>
        <w:pStyle w:val="Odstavecseseznamem"/>
        <w:tabs>
          <w:tab w:val="num" w:pos="720"/>
        </w:tabs>
        <w:spacing w:after="120" w:line="276" w:lineRule="auto"/>
        <w:rPr>
          <w:rFonts w:eastAsia="Times New Roman"/>
          <w:sz w:val="19"/>
          <w:szCs w:val="19"/>
        </w:rPr>
      </w:pPr>
    </w:p>
    <w:p w14:paraId="4A6F44A9" w14:textId="77777777" w:rsidR="00797365" w:rsidRPr="004A163A" w:rsidRDefault="00797365" w:rsidP="00934E2E">
      <w:pPr>
        <w:pStyle w:val="Nadpis2"/>
        <w:rPr>
          <w:color w:val="1F3864" w:themeColor="accent1" w:themeShade="80"/>
        </w:rPr>
      </w:pPr>
      <w:r w:rsidRPr="004A163A">
        <w:rPr>
          <w:color w:val="1F3864" w:themeColor="accent1" w:themeShade="80"/>
        </w:rPr>
        <w:t>MYŠLENKOVÉ SMĚRY</w:t>
      </w:r>
    </w:p>
    <w:p w14:paraId="4A6F44AA" w14:textId="5DD4B461" w:rsidR="00797365" w:rsidRPr="00627CFA" w:rsidRDefault="00797365" w:rsidP="00D46B53">
      <w:pPr>
        <w:pStyle w:val="Odstavecseseznamem"/>
        <w:numPr>
          <w:ilvl w:val="0"/>
          <w:numId w:val="571"/>
        </w:numPr>
        <w:spacing w:after="120"/>
        <w:ind w:left="0"/>
        <w:rPr>
          <w:szCs w:val="24"/>
        </w:rPr>
      </w:pPr>
      <w:r w:rsidRPr="00627CFA">
        <w:rPr>
          <w:rFonts w:eastAsia="Times New Roman"/>
          <w:b/>
          <w:bCs/>
          <w:iCs/>
          <w:szCs w:val="24"/>
        </w:rPr>
        <w:t>Nová institucionální ekonomie (</w:t>
      </w:r>
      <w:r w:rsidR="00847363" w:rsidRPr="00627CFA">
        <w:rPr>
          <w:rFonts w:eastAsia="Times New Roman"/>
          <w:b/>
          <w:bCs/>
          <w:iCs/>
          <w:szCs w:val="24"/>
        </w:rPr>
        <w:t>60. léta</w:t>
      </w:r>
      <w:r w:rsidRPr="00627CFA">
        <w:rPr>
          <w:rFonts w:eastAsia="Times New Roman"/>
          <w:b/>
          <w:bCs/>
          <w:iCs/>
          <w:szCs w:val="24"/>
        </w:rPr>
        <w:t xml:space="preserve"> 20. stol.)- Coaseův teorém</w:t>
      </w:r>
    </w:p>
    <w:p w14:paraId="4A6F44AB" w14:textId="77777777" w:rsidR="00797365" w:rsidRPr="00627CFA" w:rsidRDefault="00797365" w:rsidP="00D46B53">
      <w:pPr>
        <w:pStyle w:val="Odstavecseseznamem"/>
        <w:numPr>
          <w:ilvl w:val="0"/>
          <w:numId w:val="571"/>
        </w:numPr>
        <w:spacing w:after="120"/>
        <w:ind w:left="0"/>
        <w:rPr>
          <w:rFonts w:eastAsia="Times New Roman"/>
          <w:b/>
          <w:bCs/>
          <w:iCs/>
          <w:szCs w:val="24"/>
        </w:rPr>
      </w:pPr>
      <w:r w:rsidRPr="00627CFA">
        <w:rPr>
          <w:rFonts w:eastAsia="Times New Roman"/>
          <w:b/>
          <w:bCs/>
          <w:iCs/>
          <w:szCs w:val="24"/>
        </w:rPr>
        <w:t>Neoklasická environmentální ekonomie (environmentální ekonomie)</w:t>
      </w:r>
    </w:p>
    <w:p w14:paraId="4A6F44AC" w14:textId="77777777" w:rsidR="00797365" w:rsidRPr="00627CFA" w:rsidRDefault="00797365" w:rsidP="00D46B53">
      <w:pPr>
        <w:pStyle w:val="Odstavecseseznamem"/>
        <w:numPr>
          <w:ilvl w:val="0"/>
          <w:numId w:val="668"/>
        </w:numPr>
        <w:spacing w:after="120"/>
        <w:ind w:left="426"/>
        <w:rPr>
          <w:rFonts w:eastAsia="Times New Roman"/>
          <w:bCs/>
          <w:iCs/>
          <w:szCs w:val="24"/>
        </w:rPr>
      </w:pPr>
      <w:r w:rsidRPr="00627CFA">
        <w:rPr>
          <w:rFonts w:eastAsia="Times New Roman"/>
          <w:bCs/>
          <w:iCs/>
          <w:szCs w:val="24"/>
        </w:rPr>
        <w:t xml:space="preserve">teoreticky nejsilněji ukotvený myšlenkový proud, pohled je antropocentrický, optimální úroveň znečištění je při </w:t>
      </w:r>
      <w:r w:rsidRPr="00627CFA">
        <w:rPr>
          <w:rFonts w:eastAsia="Times New Roman"/>
          <w:bCs/>
          <w:iCs/>
          <w:szCs w:val="24"/>
          <w:u w:val="single"/>
        </w:rPr>
        <w:t>MC (na zamezení znečištění) = MC (ekonomické škodě ze znečištění)</w:t>
      </w:r>
      <w:r w:rsidRPr="00627CFA">
        <w:rPr>
          <w:rFonts w:eastAsia="Times New Roman"/>
          <w:bCs/>
          <w:iCs/>
          <w:szCs w:val="24"/>
        </w:rPr>
        <w:t xml:space="preserve"> </w:t>
      </w:r>
    </w:p>
    <w:p w14:paraId="4A6F44AD" w14:textId="77777777" w:rsidR="00797365" w:rsidRPr="00627CFA" w:rsidRDefault="00797365" w:rsidP="00D46B53">
      <w:pPr>
        <w:pStyle w:val="Odstavecseseznamem"/>
        <w:numPr>
          <w:ilvl w:val="0"/>
          <w:numId w:val="668"/>
        </w:numPr>
        <w:spacing w:after="120"/>
        <w:ind w:left="426"/>
        <w:rPr>
          <w:szCs w:val="24"/>
        </w:rPr>
      </w:pPr>
      <w:r w:rsidRPr="00627CFA">
        <w:rPr>
          <w:szCs w:val="24"/>
        </w:rPr>
        <w:t xml:space="preserve">vzniká jako reakce na nahromaděné problémy ŽP, příčiny degradace životního prostředí nejsou ve vládním selhání, ale v </w:t>
      </w:r>
      <w:r w:rsidRPr="00627CFA">
        <w:rPr>
          <w:b/>
          <w:bCs/>
          <w:szCs w:val="24"/>
        </w:rPr>
        <w:t xml:space="preserve">tržním selhání </w:t>
      </w:r>
      <w:r w:rsidRPr="00627CFA">
        <w:rPr>
          <w:szCs w:val="24"/>
        </w:rPr>
        <w:t>– zejména externality způsobují znehodnocování ŽP, je tedy nutný zásah vlády (za tento přístup je kritizuje rakouská škola)</w:t>
      </w:r>
    </w:p>
    <w:p w14:paraId="4A6F44AE" w14:textId="77777777" w:rsidR="00797365" w:rsidRPr="00627CFA" w:rsidRDefault="00797365" w:rsidP="00D46B53">
      <w:pPr>
        <w:pStyle w:val="Odstavecseseznamem"/>
        <w:numPr>
          <w:ilvl w:val="0"/>
          <w:numId w:val="668"/>
        </w:numPr>
        <w:spacing w:after="120"/>
        <w:ind w:left="426"/>
        <w:rPr>
          <w:szCs w:val="24"/>
        </w:rPr>
      </w:pPr>
      <w:r w:rsidRPr="00627CFA">
        <w:rPr>
          <w:szCs w:val="24"/>
        </w:rPr>
        <w:t>externality jsou pozitivní/negativní</w:t>
      </w:r>
    </w:p>
    <w:p w14:paraId="4A6F44AF" w14:textId="77777777" w:rsidR="00797365" w:rsidRPr="00627CFA" w:rsidRDefault="00797365" w:rsidP="00D46B53">
      <w:pPr>
        <w:pStyle w:val="Odstavecseseznamem"/>
        <w:numPr>
          <w:ilvl w:val="0"/>
          <w:numId w:val="668"/>
        </w:numPr>
        <w:spacing w:after="120"/>
        <w:ind w:left="426"/>
        <w:rPr>
          <w:szCs w:val="24"/>
        </w:rPr>
      </w:pPr>
      <w:r w:rsidRPr="00627CFA">
        <w:rPr>
          <w:szCs w:val="24"/>
        </w:rPr>
        <w:t>nápravu vidí v uvalení daní na znečišťovatele (internalizace externalit)</w:t>
      </w:r>
    </w:p>
    <w:p w14:paraId="4A6F44B0" w14:textId="77777777" w:rsidR="00797365" w:rsidRPr="00627CFA" w:rsidRDefault="00797365" w:rsidP="00D46B53">
      <w:pPr>
        <w:pStyle w:val="Odstavecseseznamem"/>
        <w:numPr>
          <w:ilvl w:val="0"/>
          <w:numId w:val="668"/>
        </w:numPr>
        <w:spacing w:after="120"/>
        <w:ind w:left="426"/>
        <w:rPr>
          <w:szCs w:val="24"/>
        </w:rPr>
      </w:pPr>
      <w:r w:rsidRPr="00627CFA">
        <w:rPr>
          <w:b/>
          <w:bCs/>
          <w:szCs w:val="24"/>
        </w:rPr>
        <w:t xml:space="preserve">environmentální statky </w:t>
      </w:r>
      <w:r w:rsidRPr="00627CFA">
        <w:rPr>
          <w:szCs w:val="24"/>
        </w:rPr>
        <w:t xml:space="preserve">nelze koupit, protože neprochází trhem (je jich poskytováno méně) - stát má poskytovat větší množství těchto statků (např. budování parků) </w:t>
      </w:r>
    </w:p>
    <w:p w14:paraId="4A6F44B1" w14:textId="77777777" w:rsidR="00797365" w:rsidRPr="00627CFA" w:rsidRDefault="00797365" w:rsidP="00D46B53">
      <w:pPr>
        <w:pStyle w:val="Odstavecseseznamem"/>
        <w:numPr>
          <w:ilvl w:val="0"/>
          <w:numId w:val="668"/>
        </w:numPr>
        <w:spacing w:after="120"/>
        <w:ind w:left="426"/>
        <w:rPr>
          <w:szCs w:val="24"/>
        </w:rPr>
      </w:pPr>
      <w:r w:rsidRPr="00627CFA">
        <w:rPr>
          <w:szCs w:val="24"/>
        </w:rPr>
        <w:t xml:space="preserve">na základě celosvětové </w:t>
      </w:r>
      <w:r w:rsidRPr="00627CFA">
        <w:rPr>
          <w:b/>
          <w:bCs/>
          <w:szCs w:val="24"/>
        </w:rPr>
        <w:t xml:space="preserve">Konference OSN o životním prostředí </w:t>
      </w:r>
      <w:r w:rsidRPr="00627CFA">
        <w:rPr>
          <w:szCs w:val="24"/>
        </w:rPr>
        <w:t xml:space="preserve">(Stockholm 1972) byly činnosti institucionalizovány – vznikaly státní politiky životního prostředí, ministerstva, navíc politické strany začaly do svých koncepcí zahrnovat i body týkající se životního prostředí, vedle nich vznikaly i nevládní organizace (iniciativy) </w:t>
      </w:r>
    </w:p>
    <w:p w14:paraId="4A6F44B2" w14:textId="77777777" w:rsidR="00797365" w:rsidRPr="00627CFA" w:rsidRDefault="00797365" w:rsidP="00D46B53">
      <w:pPr>
        <w:pStyle w:val="Odstavecseseznamem"/>
        <w:numPr>
          <w:ilvl w:val="0"/>
          <w:numId w:val="668"/>
        </w:numPr>
        <w:spacing w:after="120"/>
        <w:ind w:left="426"/>
        <w:rPr>
          <w:szCs w:val="24"/>
        </w:rPr>
      </w:pPr>
      <w:r w:rsidRPr="00627CFA">
        <w:rPr>
          <w:szCs w:val="24"/>
        </w:rPr>
        <w:t>problém existence veřejných statků řeší skrz jejich státní poskytování</w:t>
      </w:r>
    </w:p>
    <w:p w14:paraId="4A6F44B3" w14:textId="77777777" w:rsidR="00797365" w:rsidRPr="00627CFA" w:rsidRDefault="00797365" w:rsidP="00D46B53">
      <w:pPr>
        <w:pStyle w:val="Default"/>
        <w:numPr>
          <w:ilvl w:val="0"/>
          <w:numId w:val="571"/>
        </w:numPr>
        <w:spacing w:after="120" w:line="360" w:lineRule="auto"/>
        <w:ind w:left="0"/>
      </w:pPr>
      <w:r w:rsidRPr="00627CFA">
        <w:rPr>
          <w:b/>
          <w:bCs/>
        </w:rPr>
        <w:t xml:space="preserve">Ekologická ekonomie </w:t>
      </w:r>
    </w:p>
    <w:p w14:paraId="4A6F44B4" w14:textId="77777777" w:rsidR="00797365" w:rsidRPr="00627CFA" w:rsidRDefault="00797365" w:rsidP="00D46B53">
      <w:pPr>
        <w:pStyle w:val="Default"/>
        <w:numPr>
          <w:ilvl w:val="0"/>
          <w:numId w:val="667"/>
        </w:numPr>
        <w:spacing w:after="120" w:line="360" w:lineRule="auto"/>
        <w:ind w:left="426"/>
      </w:pPr>
      <w:r w:rsidRPr="00627CFA">
        <w:t>reaguje na environmentální ekonomii, kritizována pro svou nekompaktnost</w:t>
      </w:r>
    </w:p>
    <w:p w14:paraId="4A6F44B5" w14:textId="2AF31F7F" w:rsidR="00797365" w:rsidRPr="00627CFA" w:rsidRDefault="00797365" w:rsidP="00D46B53">
      <w:pPr>
        <w:pStyle w:val="Default"/>
        <w:numPr>
          <w:ilvl w:val="0"/>
          <w:numId w:val="667"/>
        </w:numPr>
        <w:spacing w:after="120" w:line="360" w:lineRule="auto"/>
        <w:ind w:left="426"/>
      </w:pPr>
      <w:r w:rsidRPr="00627CFA">
        <w:t xml:space="preserve">kritika zúženého pohledu na ŽP, zejména </w:t>
      </w:r>
      <w:r w:rsidRPr="00627CFA">
        <w:rPr>
          <w:b/>
          <w:bCs/>
        </w:rPr>
        <w:t>kritika antropocentrického pohledu</w:t>
      </w:r>
      <w:r w:rsidRPr="00627CFA">
        <w:t xml:space="preserve">, v němž vidí největší příčiny degradace ŽP - člověk chovající se </w:t>
      </w:r>
      <w:r w:rsidR="00847363" w:rsidRPr="00627CFA">
        <w:t>antropocentricky</w:t>
      </w:r>
      <w:r w:rsidRPr="00627CFA">
        <w:t xml:space="preserve"> sám sebe nadřazuje nad ostatní prvky v přírodě (ekologická ekonomie na ŽP nahlíží </w:t>
      </w:r>
      <w:r w:rsidRPr="00627CFA">
        <w:rPr>
          <w:b/>
        </w:rPr>
        <w:t>ekocentricky</w:t>
      </w:r>
      <w:r w:rsidRPr="00627CFA">
        <w:t xml:space="preserve"> – člověk je pouze jedním z prvků ŽP)</w:t>
      </w:r>
    </w:p>
    <w:p w14:paraId="4A6F44B6" w14:textId="77777777" w:rsidR="00797365" w:rsidRPr="00627CFA" w:rsidRDefault="00797365" w:rsidP="00D46B53">
      <w:pPr>
        <w:pStyle w:val="Default"/>
        <w:numPr>
          <w:ilvl w:val="0"/>
          <w:numId w:val="667"/>
        </w:numPr>
        <w:spacing w:after="120" w:line="360" w:lineRule="auto"/>
        <w:ind w:left="426"/>
      </w:pPr>
      <w:r w:rsidRPr="00627CFA">
        <w:t>nápravu vidí v zásazích státu (vychází z nákladově efektivní analýzy)</w:t>
      </w:r>
    </w:p>
    <w:p w14:paraId="4A6F44B7" w14:textId="77777777" w:rsidR="00797365" w:rsidRDefault="00797365" w:rsidP="00D46B53">
      <w:pPr>
        <w:pStyle w:val="Default"/>
        <w:numPr>
          <w:ilvl w:val="0"/>
          <w:numId w:val="667"/>
        </w:numPr>
        <w:spacing w:after="120" w:line="360" w:lineRule="auto"/>
        <w:ind w:left="426"/>
      </w:pPr>
      <w:r w:rsidRPr="00627CFA">
        <w:t xml:space="preserve">má být dána </w:t>
      </w:r>
      <w:r w:rsidRPr="00627CFA">
        <w:rPr>
          <w:b/>
          <w:bCs/>
        </w:rPr>
        <w:t xml:space="preserve">maximálně přípustná úroveň znečištění bez ohledu na efektivnost alokace zdrojů </w:t>
      </w:r>
      <w:r w:rsidRPr="00627CFA">
        <w:rPr>
          <w:bCs/>
        </w:rPr>
        <w:t>(</w:t>
      </w:r>
      <w:r w:rsidRPr="00627CFA">
        <w:t>environmentální ekonomie - optimální znečištění dáno efektivností alokace zdrojů)</w:t>
      </w:r>
    </w:p>
    <w:p w14:paraId="4A6F44B8" w14:textId="51E931A5" w:rsidR="00797365" w:rsidRPr="00627CFA" w:rsidRDefault="00797365" w:rsidP="00D46B53">
      <w:pPr>
        <w:pStyle w:val="Odstavecseseznamem"/>
        <w:numPr>
          <w:ilvl w:val="0"/>
          <w:numId w:val="571"/>
        </w:numPr>
        <w:spacing w:after="120"/>
        <w:ind w:left="0"/>
        <w:rPr>
          <w:szCs w:val="24"/>
        </w:rPr>
      </w:pPr>
      <w:bookmarkStart w:id="282" w:name="page307"/>
      <w:bookmarkEnd w:id="282"/>
      <w:r w:rsidRPr="00627CFA">
        <w:rPr>
          <w:rFonts w:eastAsia="Times New Roman"/>
          <w:b/>
          <w:bCs/>
          <w:iCs/>
          <w:szCs w:val="24"/>
        </w:rPr>
        <w:t>Institucionální ekologická ekonomie (</w:t>
      </w:r>
      <w:r w:rsidR="00847363" w:rsidRPr="00627CFA">
        <w:rPr>
          <w:rFonts w:eastAsia="Times New Roman"/>
          <w:b/>
          <w:bCs/>
          <w:iCs/>
          <w:szCs w:val="24"/>
        </w:rPr>
        <w:t>80. léta</w:t>
      </w:r>
      <w:r w:rsidRPr="00627CFA">
        <w:rPr>
          <w:rFonts w:eastAsia="Times New Roman"/>
          <w:b/>
          <w:bCs/>
          <w:iCs/>
          <w:szCs w:val="24"/>
        </w:rPr>
        <w:t xml:space="preserve"> 20. stol.)</w:t>
      </w:r>
    </w:p>
    <w:p w14:paraId="4A6F44B9" w14:textId="77777777" w:rsidR="00797365" w:rsidRPr="00627CFA" w:rsidRDefault="00797365" w:rsidP="00D46B53">
      <w:pPr>
        <w:pStyle w:val="Odstavecseseznamem"/>
        <w:numPr>
          <w:ilvl w:val="0"/>
          <w:numId w:val="669"/>
        </w:numPr>
        <w:spacing w:after="120"/>
        <w:ind w:left="426"/>
        <w:rPr>
          <w:szCs w:val="24"/>
        </w:rPr>
      </w:pPr>
      <w:r w:rsidRPr="00627CFA">
        <w:rPr>
          <w:rFonts w:eastAsia="Times New Roman"/>
          <w:szCs w:val="24"/>
        </w:rPr>
        <w:lastRenderedPageBreak/>
        <w:t>význam institucí pro správu přírodních zdrojů, příčiny poškozování ŽP spočívají v nevhodně nastavených institucích, které motivují jednotlivce k vyčerpání přírodních zdrojů, statky ŽP by měly být v komunitním vlastnictví.</w:t>
      </w:r>
    </w:p>
    <w:p w14:paraId="4A6F44BA" w14:textId="77777777" w:rsidR="00797365" w:rsidRPr="00627CFA" w:rsidRDefault="00797365" w:rsidP="00D46B53">
      <w:pPr>
        <w:pStyle w:val="Default"/>
        <w:numPr>
          <w:ilvl w:val="0"/>
          <w:numId w:val="571"/>
        </w:numPr>
        <w:spacing w:after="120" w:line="360" w:lineRule="auto"/>
        <w:ind w:left="0"/>
      </w:pPr>
      <w:r w:rsidRPr="00627CFA">
        <w:rPr>
          <w:b/>
          <w:bCs/>
        </w:rPr>
        <w:t xml:space="preserve">Tržní environmentalismus </w:t>
      </w:r>
    </w:p>
    <w:p w14:paraId="4A6F44BB" w14:textId="77777777" w:rsidR="00797365" w:rsidRPr="00627CFA" w:rsidRDefault="00797365" w:rsidP="00D46B53">
      <w:pPr>
        <w:pStyle w:val="Default"/>
        <w:numPr>
          <w:ilvl w:val="0"/>
          <w:numId w:val="670"/>
        </w:numPr>
        <w:spacing w:after="120" w:line="360" w:lineRule="auto"/>
        <w:ind w:left="426"/>
      </w:pPr>
      <w:r w:rsidRPr="00627CFA">
        <w:t xml:space="preserve">vychází z liberální ekonomie Adama Smithe, rakouské školy, školy veřejné volby </w:t>
      </w:r>
    </w:p>
    <w:p w14:paraId="4A6F44BC" w14:textId="77777777" w:rsidR="00797365" w:rsidRPr="00627CFA" w:rsidRDefault="00797365" w:rsidP="00D46B53">
      <w:pPr>
        <w:pStyle w:val="Default"/>
        <w:numPr>
          <w:ilvl w:val="0"/>
          <w:numId w:val="670"/>
        </w:numPr>
        <w:spacing w:after="120" w:line="360" w:lineRule="auto"/>
        <w:ind w:left="426"/>
      </w:pPr>
      <w:r w:rsidRPr="00627CFA">
        <w:t xml:space="preserve">tam, kde je to jenom trochu možné, bychom se měli snažit </w:t>
      </w:r>
      <w:r w:rsidRPr="00627CFA">
        <w:rPr>
          <w:b/>
          <w:bCs/>
        </w:rPr>
        <w:t xml:space="preserve">definovat vlastnická práva </w:t>
      </w:r>
      <w:r w:rsidRPr="00627CFA">
        <w:t xml:space="preserve">i u statků zdánlivě neprivatizovatelných, aby alokace statků mohla být řízena nikoliv státem, ale trhem, protože oproti tržnímu selhání hrozí vládní selhání </w:t>
      </w:r>
      <w:r w:rsidRPr="00627CFA">
        <w:rPr>
          <w:b/>
        </w:rPr>
        <w:t>– zásahy státu jsou neefektivní</w:t>
      </w:r>
      <w:r w:rsidRPr="00627CFA">
        <w:t xml:space="preserve"> (stát totiž z principu není dobrý hospodář), proto je nutná změna vlastnických práv </w:t>
      </w:r>
    </w:p>
    <w:p w14:paraId="4A6F44BE" w14:textId="6320427F" w:rsidR="00627CFA" w:rsidRPr="00627CFA" w:rsidRDefault="00797365" w:rsidP="00D46B53">
      <w:pPr>
        <w:pStyle w:val="Default"/>
        <w:numPr>
          <w:ilvl w:val="0"/>
          <w:numId w:val="670"/>
        </w:numPr>
        <w:spacing w:after="240" w:line="360" w:lineRule="auto"/>
        <w:ind w:left="426"/>
      </w:pPr>
      <w:r w:rsidRPr="00627CFA">
        <w:t xml:space="preserve">vlastnická práva musí být vymezitelná, vymahatelná (v tom spatřují největší problém) a převoditelná </w:t>
      </w:r>
    </w:p>
    <w:p w14:paraId="4A6F44BF" w14:textId="77777777" w:rsidR="00627CFA" w:rsidRPr="004A163A" w:rsidRDefault="00797365" w:rsidP="0080628C">
      <w:pPr>
        <w:pStyle w:val="Nadpis2"/>
        <w:rPr>
          <w:color w:val="1F3864" w:themeColor="accent1" w:themeShade="80"/>
        </w:rPr>
      </w:pPr>
      <w:r w:rsidRPr="004A163A">
        <w:rPr>
          <w:color w:val="1F3864" w:themeColor="accent1" w:themeShade="80"/>
        </w:rPr>
        <w:t>Tržní a vládní selhání v oblasti životního prostředí a charakteristika nástrojů jejich nápravy</w:t>
      </w:r>
    </w:p>
    <w:p w14:paraId="4A6F44C0" w14:textId="77777777" w:rsidR="00797365" w:rsidRPr="009C1BD3" w:rsidRDefault="00797365" w:rsidP="00D46B53">
      <w:pPr>
        <w:pStyle w:val="Odstavecseseznamem"/>
        <w:numPr>
          <w:ilvl w:val="0"/>
          <w:numId w:val="671"/>
        </w:numPr>
        <w:tabs>
          <w:tab w:val="left" w:pos="824"/>
        </w:tabs>
        <w:spacing w:after="120"/>
        <w:ind w:left="426"/>
        <w:rPr>
          <w:szCs w:val="24"/>
        </w:rPr>
      </w:pPr>
      <w:r w:rsidRPr="009C1BD3">
        <w:rPr>
          <w:rFonts w:eastAsia="Times New Roman"/>
          <w:szCs w:val="24"/>
        </w:rPr>
        <w:t>různé myšlenkové směry mají na to různý názor (viz výše)</w:t>
      </w:r>
    </w:p>
    <w:p w14:paraId="4A6F44C1" w14:textId="3755A604" w:rsidR="00DE184A" w:rsidRPr="004A163A" w:rsidRDefault="004A163A" w:rsidP="0080628C">
      <w:pPr>
        <w:pStyle w:val="Nadpis3"/>
        <w:rPr>
          <w:color w:val="1F3864" w:themeColor="accent1" w:themeShade="80"/>
        </w:rPr>
      </w:pPr>
      <w:r>
        <w:rPr>
          <w:rStyle w:val="Nadpis3Char"/>
          <w:b/>
          <w:color w:val="1F3864" w:themeColor="accent1" w:themeShade="80"/>
        </w:rPr>
        <w:t xml:space="preserve"> </w:t>
      </w:r>
      <w:r w:rsidR="00F63EE6" w:rsidRPr="004A163A">
        <w:rPr>
          <w:rStyle w:val="Nadpis3Char"/>
          <w:b/>
          <w:color w:val="1F3864" w:themeColor="accent1" w:themeShade="80"/>
        </w:rPr>
        <w:t>Tržní selhání</w:t>
      </w:r>
    </w:p>
    <w:p w14:paraId="4A6F44C2" w14:textId="77777777" w:rsidR="00797365" w:rsidRPr="0080628C" w:rsidRDefault="00797365" w:rsidP="00D46B53">
      <w:pPr>
        <w:pStyle w:val="Odstavecseseznamem"/>
        <w:numPr>
          <w:ilvl w:val="0"/>
          <w:numId w:val="672"/>
        </w:numPr>
        <w:tabs>
          <w:tab w:val="left" w:pos="851"/>
        </w:tabs>
        <w:spacing w:after="120"/>
        <w:ind w:left="426" w:hanging="284"/>
        <w:jc w:val="left"/>
        <w:rPr>
          <w:szCs w:val="24"/>
        </w:rPr>
      </w:pPr>
      <w:r w:rsidRPr="0080628C">
        <w:rPr>
          <w:szCs w:val="24"/>
        </w:rPr>
        <w:t xml:space="preserve">spočívá v tom, že environmentální statek je odlišný od tradičních ek.statků a trh nezaručuje jeho efektivní produkci, z těchto důvodů: </w:t>
      </w:r>
    </w:p>
    <w:p w14:paraId="4A6F44C3" w14:textId="77777777" w:rsidR="00797365" w:rsidRPr="00627CFA" w:rsidRDefault="00797365" w:rsidP="00D46B53">
      <w:pPr>
        <w:pStyle w:val="Odstavecseseznamem"/>
        <w:numPr>
          <w:ilvl w:val="0"/>
          <w:numId w:val="672"/>
        </w:numPr>
        <w:tabs>
          <w:tab w:val="left" w:pos="851"/>
        </w:tabs>
        <w:spacing w:after="120"/>
        <w:ind w:left="426" w:hanging="284"/>
        <w:rPr>
          <w:szCs w:val="24"/>
        </w:rPr>
      </w:pPr>
      <w:r w:rsidRPr="00627CFA">
        <w:rPr>
          <w:szCs w:val="24"/>
        </w:rPr>
        <w:t xml:space="preserve">jde o veřejný statek </w:t>
      </w:r>
    </w:p>
    <w:p w14:paraId="4A6F44C4" w14:textId="77777777" w:rsidR="00797365" w:rsidRPr="00627CFA" w:rsidRDefault="00797365" w:rsidP="00D46B53">
      <w:pPr>
        <w:pStyle w:val="Odstavecseseznamem"/>
        <w:numPr>
          <w:ilvl w:val="0"/>
          <w:numId w:val="672"/>
        </w:numPr>
        <w:tabs>
          <w:tab w:val="left" w:pos="851"/>
        </w:tabs>
        <w:spacing w:after="120"/>
        <w:ind w:left="426" w:hanging="284"/>
        <w:rPr>
          <w:szCs w:val="24"/>
        </w:rPr>
      </w:pPr>
      <w:r w:rsidRPr="00627CFA">
        <w:rPr>
          <w:szCs w:val="24"/>
        </w:rPr>
        <w:t xml:space="preserve">dochází ke vzniku pozitivních a negativních externalit </w:t>
      </w:r>
    </w:p>
    <w:p w14:paraId="4A6F44C5" w14:textId="77777777" w:rsidR="00797365" w:rsidRPr="00627CFA" w:rsidRDefault="00797365" w:rsidP="00D46B53">
      <w:pPr>
        <w:pStyle w:val="Odstavecseseznamem"/>
        <w:numPr>
          <w:ilvl w:val="0"/>
          <w:numId w:val="672"/>
        </w:numPr>
        <w:tabs>
          <w:tab w:val="left" w:pos="851"/>
        </w:tabs>
        <w:spacing w:after="120"/>
        <w:ind w:left="426" w:hanging="284"/>
        <w:rPr>
          <w:szCs w:val="24"/>
        </w:rPr>
      </w:pPr>
      <w:r w:rsidRPr="00627CFA">
        <w:rPr>
          <w:szCs w:val="24"/>
        </w:rPr>
        <w:t xml:space="preserve">jsou zde vysoké transakční náklady </w:t>
      </w:r>
    </w:p>
    <w:p w14:paraId="4A6F44C6" w14:textId="77777777" w:rsidR="00797365" w:rsidRPr="00627CFA" w:rsidRDefault="00797365" w:rsidP="00D46B53">
      <w:pPr>
        <w:pStyle w:val="Odstavecseseznamem"/>
        <w:numPr>
          <w:ilvl w:val="0"/>
          <w:numId w:val="672"/>
        </w:numPr>
        <w:tabs>
          <w:tab w:val="left" w:pos="851"/>
        </w:tabs>
        <w:spacing w:after="120"/>
        <w:ind w:left="426" w:hanging="284"/>
        <w:rPr>
          <w:szCs w:val="24"/>
        </w:rPr>
      </w:pPr>
      <w:r w:rsidRPr="00627CFA">
        <w:rPr>
          <w:szCs w:val="24"/>
        </w:rPr>
        <w:t xml:space="preserve">trh neodráží celou hodnotu statku, ale pouze její část – tzv. </w:t>
      </w:r>
      <w:r w:rsidRPr="00627CFA">
        <w:rPr>
          <w:b/>
          <w:bCs/>
          <w:szCs w:val="24"/>
        </w:rPr>
        <w:t xml:space="preserve">užitnou hodnotu </w:t>
      </w:r>
      <w:r w:rsidRPr="00627CFA">
        <w:rPr>
          <w:szCs w:val="24"/>
        </w:rPr>
        <w:t xml:space="preserve">(např. cena uhlí v sobě nezahrnuje negativní externality ze spalování uhlí) – cena dává klamavý signál pro efektivní alokaci zdrojů </w:t>
      </w:r>
    </w:p>
    <w:p w14:paraId="4A6F44C7" w14:textId="6BCEB2E7" w:rsidR="00DE184A" w:rsidRPr="004A163A" w:rsidRDefault="004A163A" w:rsidP="00DE184A">
      <w:pPr>
        <w:pStyle w:val="Nadpis3"/>
        <w:rPr>
          <w:b w:val="0"/>
          <w:bCs/>
          <w:color w:val="1F3864" w:themeColor="accent1" w:themeShade="80"/>
        </w:rPr>
      </w:pPr>
      <w:r>
        <w:rPr>
          <w:rStyle w:val="Nadpis3Char"/>
          <w:b/>
          <w:color w:val="1F3864" w:themeColor="accent1" w:themeShade="80"/>
        </w:rPr>
        <w:t xml:space="preserve"> </w:t>
      </w:r>
      <w:r w:rsidR="00797365" w:rsidRPr="004A163A">
        <w:rPr>
          <w:rStyle w:val="Nadpis3Char"/>
          <w:b/>
          <w:color w:val="1F3864" w:themeColor="accent1" w:themeShade="80"/>
        </w:rPr>
        <w:t>Vládní selhání</w:t>
      </w:r>
      <w:r w:rsidR="00797365" w:rsidRPr="004A163A">
        <w:rPr>
          <w:b w:val="0"/>
          <w:bCs/>
          <w:color w:val="1F3864" w:themeColor="accent1" w:themeShade="80"/>
        </w:rPr>
        <w:t xml:space="preserve"> </w:t>
      </w:r>
    </w:p>
    <w:p w14:paraId="4A6F44C8" w14:textId="77AF75F0" w:rsidR="00797365" w:rsidRPr="00627CFA" w:rsidRDefault="0080628C" w:rsidP="00797365">
      <w:pPr>
        <w:pStyle w:val="Default"/>
        <w:spacing w:after="120"/>
      </w:pPr>
      <w:r>
        <w:rPr>
          <w:bCs/>
        </w:rPr>
        <w:t>D</w:t>
      </w:r>
      <w:r w:rsidR="00797365" w:rsidRPr="00627CFA">
        <w:rPr>
          <w:bCs/>
        </w:rPr>
        <w:t>ůvody</w:t>
      </w:r>
      <w:r>
        <w:rPr>
          <w:bCs/>
        </w:rPr>
        <w:t>:</w:t>
      </w:r>
    </w:p>
    <w:p w14:paraId="4A6F44C9" w14:textId="77777777" w:rsidR="00797365" w:rsidRPr="00627CFA" w:rsidRDefault="00797365" w:rsidP="00D46B53">
      <w:pPr>
        <w:pStyle w:val="Default"/>
        <w:numPr>
          <w:ilvl w:val="0"/>
          <w:numId w:val="673"/>
        </w:numPr>
        <w:spacing w:after="120"/>
      </w:pPr>
      <w:r w:rsidRPr="00627CFA">
        <w:t xml:space="preserve">je složité a obtížné předvídat důsledky u mnoha opatření </w:t>
      </w:r>
    </w:p>
    <w:p w14:paraId="4A6F44CA" w14:textId="77777777" w:rsidR="00797365" w:rsidRPr="00627CFA" w:rsidRDefault="00797365" w:rsidP="00D46B53">
      <w:pPr>
        <w:pStyle w:val="Default"/>
        <w:numPr>
          <w:ilvl w:val="0"/>
          <w:numId w:val="673"/>
        </w:numPr>
        <w:spacing w:after="120"/>
      </w:pPr>
      <w:r w:rsidRPr="00627CFA">
        <w:t xml:space="preserve">vláda má pouze omezenou kontrolu nad těmito důsledky </w:t>
      </w:r>
    </w:p>
    <w:p w14:paraId="4A6F44CB" w14:textId="77777777" w:rsidR="00797365" w:rsidRPr="00627CFA" w:rsidRDefault="00797365" w:rsidP="00D46B53">
      <w:pPr>
        <w:pStyle w:val="Default"/>
        <w:numPr>
          <w:ilvl w:val="0"/>
          <w:numId w:val="673"/>
        </w:numPr>
        <w:spacing w:after="120"/>
      </w:pPr>
      <w:r w:rsidRPr="00627CFA">
        <w:t xml:space="preserve">politici mají tendenci jednat ve prospěch zájmových skupin </w:t>
      </w:r>
    </w:p>
    <w:p w14:paraId="4A6F44CC" w14:textId="77777777" w:rsidR="00627CFA" w:rsidRDefault="00627CFA" w:rsidP="00627CFA">
      <w:pPr>
        <w:pStyle w:val="Default"/>
        <w:spacing w:after="120" w:line="360" w:lineRule="auto"/>
        <w:rPr>
          <w:rFonts w:eastAsia="Times New Roman"/>
          <w:b/>
          <w:bCs/>
          <w:iCs/>
        </w:rPr>
      </w:pPr>
    </w:p>
    <w:p w14:paraId="4A6F44CD" w14:textId="77777777" w:rsidR="00627CFA" w:rsidRDefault="00627CFA" w:rsidP="00627CFA">
      <w:pPr>
        <w:pStyle w:val="Default"/>
        <w:spacing w:after="120" w:line="360" w:lineRule="auto"/>
        <w:rPr>
          <w:rFonts w:eastAsia="Times New Roman"/>
          <w:b/>
          <w:bCs/>
          <w:iCs/>
        </w:rPr>
      </w:pPr>
    </w:p>
    <w:p w14:paraId="4A6F44CE" w14:textId="77777777" w:rsidR="00627CFA" w:rsidRDefault="00797365" w:rsidP="00627CFA">
      <w:pPr>
        <w:pStyle w:val="Default"/>
        <w:spacing w:after="120" w:line="360" w:lineRule="auto"/>
        <w:rPr>
          <w:rFonts w:eastAsia="Times New Roman"/>
          <w:b/>
          <w:bCs/>
          <w:iCs/>
        </w:rPr>
      </w:pPr>
      <w:r w:rsidRPr="00627CFA">
        <w:rPr>
          <w:rFonts w:eastAsia="Times New Roman"/>
          <w:b/>
          <w:bCs/>
          <w:iCs/>
        </w:rPr>
        <w:lastRenderedPageBreak/>
        <w:t>Životní prostředí jako statek</w:t>
      </w:r>
    </w:p>
    <w:p w14:paraId="4A6F44CF" w14:textId="77777777" w:rsidR="00797365" w:rsidRPr="00627CFA" w:rsidRDefault="00797365" w:rsidP="00D46B53">
      <w:pPr>
        <w:pStyle w:val="Default"/>
        <w:numPr>
          <w:ilvl w:val="0"/>
          <w:numId w:val="674"/>
        </w:numPr>
        <w:spacing w:line="360" w:lineRule="auto"/>
        <w:ind w:left="426"/>
      </w:pPr>
      <w:r w:rsidRPr="00627CFA">
        <w:t xml:space="preserve">statek (lidské potřeby jeho využití jsou nižší/vyšší než jeho aktuálně dostupné množství) je volný/vzácný, v počátku bylo ŽP bráno jako volný, a i proto se spíš nyní stává vzácným (problém obecní pastviny) </w:t>
      </w:r>
    </w:p>
    <w:p w14:paraId="4A6F44D0" w14:textId="3DBD09DC" w:rsidR="00797365" w:rsidRPr="00627CFA" w:rsidRDefault="00797365" w:rsidP="00D46B53">
      <w:pPr>
        <w:pStyle w:val="Odstavecseseznamem"/>
        <w:numPr>
          <w:ilvl w:val="0"/>
          <w:numId w:val="674"/>
        </w:numPr>
        <w:spacing w:after="120"/>
        <w:ind w:left="426"/>
        <w:rPr>
          <w:szCs w:val="24"/>
        </w:rPr>
      </w:pPr>
      <w:r w:rsidRPr="00627CFA">
        <w:rPr>
          <w:szCs w:val="24"/>
        </w:rPr>
        <w:t>druhy vlastnictví</w:t>
      </w:r>
      <w:r w:rsidR="003376E1">
        <w:rPr>
          <w:szCs w:val="24"/>
        </w:rPr>
        <w:t xml:space="preserve"> </w:t>
      </w:r>
      <w:r w:rsidRPr="00627CFA">
        <w:rPr>
          <w:szCs w:val="24"/>
        </w:rPr>
        <w:t>- státní/komunitní/soukromé/volný přístup</w:t>
      </w:r>
    </w:p>
    <w:p w14:paraId="4A6F44D1" w14:textId="77777777" w:rsidR="00797365" w:rsidRDefault="00627CFA" w:rsidP="00D46B53">
      <w:pPr>
        <w:pStyle w:val="Odstavecseseznamem"/>
        <w:numPr>
          <w:ilvl w:val="0"/>
          <w:numId w:val="674"/>
        </w:numPr>
        <w:spacing w:after="120"/>
        <w:ind w:left="426"/>
        <w:rPr>
          <w:szCs w:val="24"/>
        </w:rPr>
      </w:pPr>
      <w:r w:rsidRPr="00FC3B7C">
        <w:rPr>
          <w:rFonts w:eastAsia="Times New Roman"/>
          <w:noProof/>
          <w:sz w:val="19"/>
          <w:szCs w:val="19"/>
        </w:rPr>
        <w:drawing>
          <wp:anchor distT="0" distB="0" distL="114300" distR="114300" simplePos="0" relativeHeight="251606528" behindDoc="1" locked="0" layoutInCell="1" allowOverlap="1" wp14:anchorId="4A6F5CE8" wp14:editId="345E466F">
            <wp:simplePos x="0" y="0"/>
            <wp:positionH relativeFrom="column">
              <wp:posOffset>317500</wp:posOffset>
            </wp:positionH>
            <wp:positionV relativeFrom="paragraph">
              <wp:posOffset>621665</wp:posOffset>
            </wp:positionV>
            <wp:extent cx="5113020" cy="2400300"/>
            <wp:effectExtent l="0" t="0" r="0" b="0"/>
            <wp:wrapTopAndBottom/>
            <wp:docPr id="27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1302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7365" w:rsidRPr="00627CFA">
        <w:rPr>
          <w:szCs w:val="24"/>
        </w:rPr>
        <w:t xml:space="preserve">řada přírodních statků jsou více či méně statky veřejné, je proto složité definovat u nich vlastnická práva, proto jsou tyto statky objektem nadměrného čerpání </w:t>
      </w:r>
    </w:p>
    <w:p w14:paraId="4A6F44D2" w14:textId="77777777" w:rsidR="00F63EE6" w:rsidRDefault="00F63EE6" w:rsidP="00F63EE6">
      <w:pPr>
        <w:pStyle w:val="Odstavecseseznamem"/>
        <w:spacing w:after="120"/>
        <w:ind w:left="0"/>
        <w:rPr>
          <w:szCs w:val="24"/>
        </w:rPr>
      </w:pPr>
    </w:p>
    <w:p w14:paraId="4A6F44D3" w14:textId="190444E8" w:rsidR="00797365" w:rsidRPr="004A163A" w:rsidRDefault="004A163A" w:rsidP="00F63EE6">
      <w:pPr>
        <w:pStyle w:val="Nadpis3"/>
        <w:rPr>
          <w:color w:val="1F3864" w:themeColor="accent1" w:themeShade="80"/>
        </w:rPr>
      </w:pPr>
      <w:bookmarkStart w:id="283" w:name="page308"/>
      <w:bookmarkEnd w:id="283"/>
      <w:r w:rsidRPr="004A163A">
        <w:rPr>
          <w:color w:val="1F3864" w:themeColor="accent1" w:themeShade="80"/>
        </w:rPr>
        <w:t xml:space="preserve"> </w:t>
      </w:r>
      <w:r w:rsidR="00797365" w:rsidRPr="004A163A">
        <w:rPr>
          <w:color w:val="1F3864" w:themeColor="accent1" w:themeShade="80"/>
        </w:rPr>
        <w:t>Externality</w:t>
      </w:r>
    </w:p>
    <w:p w14:paraId="4A6F44D4" w14:textId="77777777" w:rsidR="00797365" w:rsidRPr="00627CFA" w:rsidRDefault="00627CFA" w:rsidP="00D46B53">
      <w:pPr>
        <w:pStyle w:val="Odstavecseseznamem"/>
        <w:numPr>
          <w:ilvl w:val="0"/>
          <w:numId w:val="676"/>
        </w:numPr>
        <w:ind w:left="426"/>
      </w:pPr>
      <w:r>
        <w:t>E</w:t>
      </w:r>
      <w:r w:rsidR="00797365" w:rsidRPr="00627CFA">
        <w:t xml:space="preserve">xternality představují tržní selhání právě proto, že </w:t>
      </w:r>
      <w:r w:rsidR="00797365" w:rsidRPr="00627CFA">
        <w:rPr>
          <w:b/>
          <w:bCs/>
        </w:rPr>
        <w:t>neprochází trhem</w:t>
      </w:r>
      <w:r w:rsidR="00797365" w:rsidRPr="00627CFA">
        <w:t xml:space="preserve">, resp. nejsou trhem kompenzovány – je složité externality ocenit </w:t>
      </w:r>
    </w:p>
    <w:p w14:paraId="4A6F44D5" w14:textId="17C813E8" w:rsidR="00797365" w:rsidRPr="00627CFA" w:rsidRDefault="0080628C" w:rsidP="00D46B53">
      <w:pPr>
        <w:pStyle w:val="Odstavecseseznamem"/>
        <w:numPr>
          <w:ilvl w:val="0"/>
          <w:numId w:val="675"/>
        </w:numPr>
      </w:pPr>
      <w:r w:rsidRPr="0080628C">
        <w:rPr>
          <w:b/>
          <w:bCs/>
        </w:rPr>
        <w:t>P</w:t>
      </w:r>
      <w:r w:rsidR="00797365" w:rsidRPr="0080628C">
        <w:rPr>
          <w:b/>
          <w:bCs/>
        </w:rPr>
        <w:t>ozitivní</w:t>
      </w:r>
      <w:r>
        <w:t xml:space="preserve"> - </w:t>
      </w:r>
      <w:r w:rsidR="00797365" w:rsidRPr="0080628C">
        <w:t>příkladem je firma, která vědci zaplatí za lék méně, než na něm vydělá (vědec nečerpá</w:t>
      </w:r>
      <w:r w:rsidR="00797365" w:rsidRPr="00627CFA">
        <w:t xml:space="preserve"> všechny výhody), jejich důsledkem je neefektivní alokace zdrojů, podvýroba, chybně určená cena (lze odstranit subvencí)</w:t>
      </w:r>
    </w:p>
    <w:p w14:paraId="4A6F44D6" w14:textId="18BC8CCB" w:rsidR="00797365" w:rsidRPr="00627CFA" w:rsidRDefault="00797365" w:rsidP="00D46B53">
      <w:pPr>
        <w:pStyle w:val="Odstavecseseznamem"/>
        <w:numPr>
          <w:ilvl w:val="0"/>
          <w:numId w:val="675"/>
        </w:numPr>
      </w:pPr>
      <w:r w:rsidRPr="0080628C">
        <w:rPr>
          <w:b/>
          <w:bCs/>
        </w:rPr>
        <w:t>negativní</w:t>
      </w:r>
      <w:r w:rsidRPr="0080628C">
        <w:t xml:space="preserve"> </w:t>
      </w:r>
      <w:r w:rsidR="0080628C">
        <w:t>-</w:t>
      </w:r>
      <w:r w:rsidRPr="0080628C">
        <w:t xml:space="preserve"> čistička</w:t>
      </w:r>
      <w:r w:rsidRPr="00627CFA">
        <w:t>, která mi ničí moje tulipánky, jejich důsledkem je neefektivní alokace zdrojů, nadprodukce, chybně určené výdaje na eliminaci externalit a nižší než optimální cena (lze odstranit zdaněním</w:t>
      </w:r>
    </w:p>
    <w:p w14:paraId="4A6F44D7" w14:textId="77777777" w:rsidR="00797365" w:rsidRDefault="00797365" w:rsidP="00D46B53">
      <w:pPr>
        <w:pStyle w:val="Odstavecseseznamem"/>
        <w:numPr>
          <w:ilvl w:val="0"/>
          <w:numId w:val="568"/>
        </w:numPr>
        <w:spacing w:after="120"/>
        <w:ind w:left="426"/>
        <w:rPr>
          <w:szCs w:val="24"/>
        </w:rPr>
      </w:pPr>
      <w:r w:rsidRPr="00627CFA">
        <w:rPr>
          <w:szCs w:val="24"/>
        </w:rPr>
        <w:t>jejich řešením je regulace ze strany státu, internalizace externalit či řešení v rámci dobře vymezených vlastnických práv</w:t>
      </w:r>
      <w:r w:rsidR="00A5120F">
        <w:rPr>
          <w:szCs w:val="24"/>
        </w:rPr>
        <w:t>.</w:t>
      </w:r>
    </w:p>
    <w:p w14:paraId="4A6F44D8" w14:textId="77777777" w:rsidR="00A5120F" w:rsidRDefault="00A5120F" w:rsidP="00A5120F">
      <w:pPr>
        <w:pStyle w:val="Odstavecseseznamem"/>
        <w:spacing w:after="120"/>
        <w:ind w:left="0"/>
        <w:rPr>
          <w:szCs w:val="24"/>
        </w:rPr>
      </w:pPr>
    </w:p>
    <w:p w14:paraId="4A6F44D9" w14:textId="77777777" w:rsidR="00A812C9" w:rsidRPr="00627CFA" w:rsidRDefault="00A812C9" w:rsidP="00A5120F">
      <w:pPr>
        <w:pStyle w:val="Odstavecseseznamem"/>
        <w:spacing w:after="120"/>
        <w:ind w:left="0"/>
        <w:rPr>
          <w:szCs w:val="24"/>
        </w:rPr>
      </w:pPr>
    </w:p>
    <w:p w14:paraId="4A6F44DA" w14:textId="73B244BF" w:rsidR="00797365" w:rsidRPr="00FC3B7C" w:rsidRDefault="004A163A" w:rsidP="00A5120F">
      <w:pPr>
        <w:pStyle w:val="Nadpis3"/>
      </w:pPr>
      <w:r>
        <w:lastRenderedPageBreak/>
        <w:t xml:space="preserve"> </w:t>
      </w:r>
      <w:r w:rsidR="00797365" w:rsidRPr="004A163A">
        <w:rPr>
          <w:color w:val="1F3864" w:themeColor="accent1" w:themeShade="80"/>
        </w:rPr>
        <w:t>Nástroje ekologické politiky</w:t>
      </w:r>
    </w:p>
    <w:p w14:paraId="4A6F44DB" w14:textId="77777777" w:rsidR="00797365" w:rsidRPr="00A5120F" w:rsidRDefault="00797365" w:rsidP="00D46B53">
      <w:pPr>
        <w:pStyle w:val="Odstavecseseznamem"/>
        <w:numPr>
          <w:ilvl w:val="0"/>
          <w:numId w:val="568"/>
        </w:numPr>
        <w:spacing w:after="120"/>
        <w:ind w:left="426"/>
        <w:rPr>
          <w:szCs w:val="24"/>
        </w:rPr>
      </w:pPr>
      <w:r w:rsidRPr="00A5120F">
        <w:rPr>
          <w:szCs w:val="24"/>
        </w:rPr>
        <w:t>jsou preventivní a nápravné, poskytují negativní a pozitivní stimulace, dělí se na administrativní/ekonomické a dobrovolné</w:t>
      </w:r>
    </w:p>
    <w:p w14:paraId="4A6F44DC" w14:textId="77777777" w:rsidR="00797365" w:rsidRPr="00A5120F" w:rsidRDefault="00797365" w:rsidP="00D46B53">
      <w:pPr>
        <w:pStyle w:val="Default"/>
        <w:numPr>
          <w:ilvl w:val="0"/>
          <w:numId w:val="576"/>
        </w:numPr>
        <w:spacing w:after="120" w:line="360" w:lineRule="auto"/>
        <w:ind w:left="426"/>
      </w:pPr>
      <w:r w:rsidRPr="00A5120F">
        <w:rPr>
          <w:b/>
          <w:bCs/>
        </w:rPr>
        <w:t xml:space="preserve">přímé (administrativní) nástroje </w:t>
      </w:r>
    </w:p>
    <w:p w14:paraId="4A6F44DD" w14:textId="77777777" w:rsidR="00797365" w:rsidRPr="00A5120F" w:rsidRDefault="00797365" w:rsidP="00D46B53">
      <w:pPr>
        <w:pStyle w:val="Odstavecseseznamem"/>
        <w:numPr>
          <w:ilvl w:val="0"/>
          <w:numId w:val="678"/>
        </w:numPr>
        <w:ind w:left="426"/>
      </w:pPr>
      <w:r w:rsidRPr="00A5120F">
        <w:t xml:space="preserve">na znečišťovatele působí přímo, umožňují rychlou změnu situace (výhoda), ale z ekonomického hlediska nejsou příliš efektivní, protože je nutná kontrola jejich dodržování administrativním aparátem, který je nákladný (nevýhoda) </w:t>
      </w:r>
    </w:p>
    <w:p w14:paraId="4A6F44DE" w14:textId="77777777" w:rsidR="00797365" w:rsidRPr="00A5120F" w:rsidRDefault="00797365" w:rsidP="00D46B53">
      <w:pPr>
        <w:pStyle w:val="Odstavecseseznamem"/>
        <w:numPr>
          <w:ilvl w:val="0"/>
          <w:numId w:val="677"/>
        </w:numPr>
      </w:pPr>
      <w:r w:rsidRPr="00A5120F">
        <w:rPr>
          <w:b/>
          <w:bCs/>
        </w:rPr>
        <w:t xml:space="preserve">limity na znečištění </w:t>
      </w:r>
      <w:r w:rsidRPr="00A5120F">
        <w:rPr>
          <w:i/>
          <w:iCs/>
        </w:rPr>
        <w:t xml:space="preserve">– </w:t>
      </w:r>
      <w:r w:rsidRPr="00A5120F">
        <w:t>vyjadřují maximálně přípustnou mez znečištění složky ŽP (emisní/imisní), mohou být stanoveny obecně (pro všechny subjekty bez rozdílu) nebo adresně (přímo pro vybrané sektory, skupiny znečišťovatelů), v ČR jsou hodně uplatňovány – limity přípustného znečištění ovzduší, vody, půdy</w:t>
      </w:r>
    </w:p>
    <w:p w14:paraId="4A6F44DF" w14:textId="77777777" w:rsidR="00797365" w:rsidRPr="00A5120F" w:rsidRDefault="00797365" w:rsidP="00D46B53">
      <w:pPr>
        <w:pStyle w:val="Odstavecseseznamem"/>
        <w:numPr>
          <w:ilvl w:val="0"/>
          <w:numId w:val="677"/>
        </w:numPr>
      </w:pPr>
      <w:r w:rsidRPr="00A5120F">
        <w:rPr>
          <w:b/>
          <w:bCs/>
        </w:rPr>
        <w:t xml:space="preserve">zákazy, příkazy </w:t>
      </w:r>
      <w:r w:rsidRPr="00A5120F">
        <w:t xml:space="preserve">(např. zákaz technologií znečišťující životní prostředí, příkaz používání technologií šetrných k životnímu prostředí) </w:t>
      </w:r>
    </w:p>
    <w:p w14:paraId="4A6F44E0" w14:textId="77777777" w:rsidR="00797365" w:rsidRPr="00A5120F" w:rsidRDefault="00797365" w:rsidP="00A5120F">
      <w:pPr>
        <w:pStyle w:val="Default"/>
        <w:spacing w:line="360" w:lineRule="auto"/>
        <w:ind w:left="709"/>
        <w:rPr>
          <w:b/>
          <w:bCs/>
        </w:rPr>
      </w:pPr>
    </w:p>
    <w:p w14:paraId="4A6F44E1" w14:textId="77777777" w:rsidR="00797365" w:rsidRPr="00A5120F" w:rsidRDefault="00797365" w:rsidP="00D46B53">
      <w:pPr>
        <w:pStyle w:val="Default"/>
        <w:numPr>
          <w:ilvl w:val="0"/>
          <w:numId w:val="576"/>
        </w:numPr>
        <w:spacing w:after="120" w:line="360" w:lineRule="auto"/>
        <w:ind w:left="426"/>
      </w:pPr>
      <w:r w:rsidRPr="00A5120F">
        <w:rPr>
          <w:b/>
          <w:bCs/>
        </w:rPr>
        <w:t xml:space="preserve">nepřímé (ekonomické) nástroje </w:t>
      </w:r>
    </w:p>
    <w:p w14:paraId="4A6F44E2" w14:textId="77777777" w:rsidR="00797365" w:rsidRPr="00A5120F" w:rsidRDefault="00797365" w:rsidP="00D46B53">
      <w:pPr>
        <w:pStyle w:val="Default"/>
        <w:numPr>
          <w:ilvl w:val="0"/>
          <w:numId w:val="577"/>
        </w:numPr>
        <w:spacing w:after="120" w:line="360" w:lineRule="auto"/>
      </w:pPr>
      <w:r w:rsidRPr="00A5120F">
        <w:rPr>
          <w:b/>
          <w:bCs/>
        </w:rPr>
        <w:t xml:space="preserve">nástroje negativní ekonomické stimulace </w:t>
      </w:r>
    </w:p>
    <w:p w14:paraId="4A6F44E3" w14:textId="159C96AC" w:rsidR="00797365" w:rsidRPr="00A5120F" w:rsidRDefault="00797365" w:rsidP="00D46B53">
      <w:pPr>
        <w:pStyle w:val="Odstavecseseznamem"/>
        <w:numPr>
          <w:ilvl w:val="0"/>
          <w:numId w:val="679"/>
        </w:numPr>
      </w:pPr>
      <w:r w:rsidRPr="00A5120F">
        <w:t xml:space="preserve">nástroje internalizace externalit - smyslem je donutit ekonomickou stimulací znečišťovatele k eliminaci záporných </w:t>
      </w:r>
      <w:r w:rsidR="00847363" w:rsidRPr="00A5120F">
        <w:t>externalit, stávají</w:t>
      </w:r>
      <w:r w:rsidRPr="00A5120F">
        <w:t xml:space="preserve"> se součástí nákladů znečišťovatele – vzroste cena jeho výrobků -&gt; část těchto nákladů zaplatí spotřebitelé, problémem je nastavení jejich správné výše poplatku </w:t>
      </w:r>
    </w:p>
    <w:p w14:paraId="4A6F44E4" w14:textId="77777777" w:rsidR="00797365" w:rsidRPr="00A5120F" w:rsidRDefault="00797365" w:rsidP="00D46B53">
      <w:pPr>
        <w:pStyle w:val="Odstavecseseznamem"/>
        <w:numPr>
          <w:ilvl w:val="0"/>
          <w:numId w:val="679"/>
        </w:numPr>
      </w:pPr>
      <w:r w:rsidRPr="00A5120F">
        <w:t xml:space="preserve">např. poplatky za znečišťování ovzduší, poplatky za vypouštění odpadních vod, mýtné </w:t>
      </w:r>
    </w:p>
    <w:p w14:paraId="4A6F44E5" w14:textId="77777777" w:rsidR="00797365" w:rsidRPr="00A5120F" w:rsidRDefault="00797365" w:rsidP="00D46B53">
      <w:pPr>
        <w:pStyle w:val="Default"/>
        <w:numPr>
          <w:ilvl w:val="0"/>
          <w:numId w:val="577"/>
        </w:numPr>
        <w:spacing w:after="120" w:line="360" w:lineRule="auto"/>
      </w:pPr>
      <w:r w:rsidRPr="00A5120F">
        <w:rPr>
          <w:b/>
          <w:bCs/>
        </w:rPr>
        <w:t xml:space="preserve">nástroje pozitivní ekonomické stimulace </w:t>
      </w:r>
    </w:p>
    <w:p w14:paraId="4A6F44E6" w14:textId="77777777" w:rsidR="00797365" w:rsidRPr="00A5120F" w:rsidRDefault="00797365" w:rsidP="00D46B53">
      <w:pPr>
        <w:pStyle w:val="Odstavecseseznamem"/>
        <w:numPr>
          <w:ilvl w:val="0"/>
          <w:numId w:val="680"/>
        </w:numPr>
      </w:pPr>
      <w:r w:rsidRPr="00A5120F">
        <w:t>nejedná se o ekonomický postih, ale naopak o ekonomické zvýhodnění – např. pokud subjekt postaví čističku vody, dostane od státu finanční příspěvek</w:t>
      </w:r>
    </w:p>
    <w:p w14:paraId="4A6F44E7" w14:textId="77777777" w:rsidR="00797365" w:rsidRPr="00A5120F" w:rsidRDefault="00797365" w:rsidP="00D46B53">
      <w:pPr>
        <w:pStyle w:val="Odstavecseseznamem"/>
        <w:numPr>
          <w:ilvl w:val="0"/>
          <w:numId w:val="680"/>
        </w:numPr>
      </w:pPr>
      <w:r w:rsidRPr="00A5120F">
        <w:t>např. investiční dotace, úlevy z plateb (např. z poplatků za znehodnocování životního prostředí), v ČR jsou to poplatky za znečišťování ovzduší, za ukládání odpadu</w:t>
      </w:r>
    </w:p>
    <w:p w14:paraId="4A6F44E8" w14:textId="77777777" w:rsidR="00797365" w:rsidRPr="00A5120F" w:rsidRDefault="00797365" w:rsidP="00D46B53">
      <w:pPr>
        <w:pStyle w:val="Default"/>
        <w:numPr>
          <w:ilvl w:val="0"/>
          <w:numId w:val="576"/>
        </w:numPr>
        <w:spacing w:after="120" w:line="360" w:lineRule="auto"/>
      </w:pPr>
      <w:r w:rsidRPr="00A5120F">
        <w:rPr>
          <w:b/>
          <w:bCs/>
        </w:rPr>
        <w:t>dobrovolné</w:t>
      </w:r>
      <w:r w:rsidRPr="00A5120F">
        <w:t xml:space="preserve"> – např. ecolabelling, ecodesign, reporting, systémy environmentálního řízení, principy čistší produkce, dobrovolné dohody </w:t>
      </w:r>
    </w:p>
    <w:p w14:paraId="4A6F44E9" w14:textId="77777777" w:rsidR="00627CFA" w:rsidRPr="004A163A" w:rsidRDefault="00797365" w:rsidP="00627CFA">
      <w:pPr>
        <w:pStyle w:val="Nadpis2"/>
        <w:rPr>
          <w:color w:val="1F3864" w:themeColor="accent1" w:themeShade="80"/>
        </w:rPr>
      </w:pPr>
      <w:r w:rsidRPr="004A163A">
        <w:rPr>
          <w:color w:val="1F3864" w:themeColor="accent1" w:themeShade="80"/>
        </w:rPr>
        <w:lastRenderedPageBreak/>
        <w:t>Význam pojmu trvale udržitelný rozvoj</w:t>
      </w:r>
    </w:p>
    <w:p w14:paraId="4A6F44EA" w14:textId="77777777" w:rsidR="00797365" w:rsidRPr="00627CFA" w:rsidRDefault="00A812C9" w:rsidP="00627CFA">
      <w:pPr>
        <w:spacing w:after="120"/>
        <w:rPr>
          <w:rFonts w:eastAsia="Times New Roman"/>
          <w:iCs/>
          <w:szCs w:val="24"/>
        </w:rPr>
      </w:pPr>
      <w:r w:rsidRPr="00627CFA">
        <w:rPr>
          <w:rFonts w:eastAsia="Times New Roman"/>
          <w:i/>
          <w:iCs/>
          <w:szCs w:val="24"/>
        </w:rPr>
        <w:t xml:space="preserve"> </w:t>
      </w:r>
      <w:r w:rsidR="00797365" w:rsidRPr="00627CFA">
        <w:rPr>
          <w:rFonts w:eastAsia="Times New Roman"/>
          <w:i/>
          <w:iCs/>
          <w:szCs w:val="24"/>
        </w:rPr>
        <w:t>„Takový rozvoj společnosti, při kterém současná generace uspokojuje své potřeby, aniž by ohrozila schopnost budoucích generací uspokojovat jejich potřeby”</w:t>
      </w:r>
      <w:r w:rsidR="00797365" w:rsidRPr="00627CFA">
        <w:rPr>
          <w:rFonts w:eastAsia="Times New Roman"/>
          <w:iCs/>
          <w:szCs w:val="24"/>
        </w:rPr>
        <w:t xml:space="preserve"> (Brundtlandová, 1987) </w:t>
      </w:r>
    </w:p>
    <w:p w14:paraId="4A6F44EB" w14:textId="77777777" w:rsidR="00797365" w:rsidRPr="00627CFA" w:rsidRDefault="00797365" w:rsidP="00D46B53">
      <w:pPr>
        <w:pStyle w:val="Odstavecseseznamem"/>
        <w:numPr>
          <w:ilvl w:val="0"/>
          <w:numId w:val="574"/>
        </w:numPr>
        <w:spacing w:after="120"/>
        <w:ind w:left="426"/>
        <w:rPr>
          <w:szCs w:val="24"/>
        </w:rPr>
      </w:pPr>
      <w:r w:rsidRPr="00627CFA">
        <w:rPr>
          <w:rFonts w:eastAsia="Times New Roman"/>
          <w:szCs w:val="24"/>
        </w:rPr>
        <w:t>doposud neexistuje jednoznačná definice</w:t>
      </w:r>
    </w:p>
    <w:p w14:paraId="4A6F44EC" w14:textId="77777777" w:rsidR="00797365" w:rsidRPr="00627CFA" w:rsidRDefault="00797365" w:rsidP="00D46B53">
      <w:pPr>
        <w:pStyle w:val="Odstavecseseznamem"/>
        <w:numPr>
          <w:ilvl w:val="0"/>
          <w:numId w:val="574"/>
        </w:numPr>
        <w:spacing w:after="120"/>
        <w:ind w:left="426"/>
        <w:rPr>
          <w:szCs w:val="24"/>
        </w:rPr>
      </w:pPr>
      <w:r w:rsidRPr="00627CFA">
        <w:rPr>
          <w:rFonts w:eastAsia="Times New Roman"/>
          <w:szCs w:val="24"/>
        </w:rPr>
        <w:t>udržitelný rozvoj vznikl jako silně normativní koncept s ambicí určit, jaké tempo a způsob rozvoje lidské společnosti jsou pro lidstvo a planetu dlouhodobě únosné</w:t>
      </w:r>
    </w:p>
    <w:p w14:paraId="4A6F44ED" w14:textId="77777777" w:rsidR="00797365" w:rsidRPr="00627CFA" w:rsidRDefault="00797365" w:rsidP="00D46B53">
      <w:pPr>
        <w:pStyle w:val="Odstavecseseznamem"/>
        <w:numPr>
          <w:ilvl w:val="0"/>
          <w:numId w:val="574"/>
        </w:numPr>
        <w:spacing w:after="120"/>
        <w:ind w:left="426"/>
        <w:rPr>
          <w:szCs w:val="24"/>
        </w:rPr>
      </w:pPr>
      <w:r w:rsidRPr="00627CFA">
        <w:rPr>
          <w:rFonts w:eastAsia="Times New Roman"/>
          <w:szCs w:val="24"/>
        </w:rPr>
        <w:t>otázka se objevuje od 18. stol., intenzivněji až v 70. letech 20. stol.</w:t>
      </w:r>
    </w:p>
    <w:p w14:paraId="4A6F44EE" w14:textId="77777777" w:rsidR="00797365" w:rsidRPr="00627CFA" w:rsidRDefault="00797365" w:rsidP="00D46B53">
      <w:pPr>
        <w:pStyle w:val="Odstavecseseznamem"/>
        <w:numPr>
          <w:ilvl w:val="0"/>
          <w:numId w:val="574"/>
        </w:numPr>
        <w:spacing w:after="120"/>
        <w:ind w:left="426"/>
        <w:rPr>
          <w:szCs w:val="24"/>
        </w:rPr>
      </w:pPr>
      <w:r w:rsidRPr="00627CFA">
        <w:rPr>
          <w:szCs w:val="24"/>
        </w:rPr>
        <w:t>koncept má tři složky: sociální, ekonomická a environmentální (</w:t>
      </w:r>
      <w:r w:rsidRPr="00627CFA">
        <w:rPr>
          <w:rFonts w:eastAsia="Times New Roman"/>
          <w:szCs w:val="24"/>
        </w:rPr>
        <w:t>snaha o skloubení všech tří prvků do jednoho celku a hledání cesty k řešení konfliktů mezi jednotlivými pilíři)</w:t>
      </w:r>
    </w:p>
    <w:p w14:paraId="4A6F44EF" w14:textId="77777777" w:rsidR="00797365" w:rsidRPr="00627CFA" w:rsidRDefault="00797365" w:rsidP="00D46B53">
      <w:pPr>
        <w:pStyle w:val="Odstavecseseznamem"/>
        <w:numPr>
          <w:ilvl w:val="0"/>
          <w:numId w:val="574"/>
        </w:numPr>
        <w:spacing w:after="120"/>
        <w:ind w:left="426"/>
        <w:rPr>
          <w:szCs w:val="24"/>
        </w:rPr>
      </w:pPr>
      <w:r w:rsidRPr="00627CFA">
        <w:rPr>
          <w:szCs w:val="24"/>
        </w:rPr>
        <w:t>problémy - populační růst, vyčerpatelnost a nenahraditelnost zdrojů</w:t>
      </w:r>
    </w:p>
    <w:p w14:paraId="4A6F44F0" w14:textId="77777777" w:rsidR="00797365" w:rsidRPr="00627CFA" w:rsidRDefault="00797365" w:rsidP="00627CFA">
      <w:pPr>
        <w:pStyle w:val="Odstavecseseznamem"/>
        <w:spacing w:after="120"/>
        <w:ind w:left="0"/>
        <w:rPr>
          <w:szCs w:val="24"/>
        </w:rPr>
      </w:pPr>
    </w:p>
    <w:p w14:paraId="4A6F44F1" w14:textId="77777777" w:rsidR="00797365" w:rsidRPr="00627CFA" w:rsidRDefault="00797365" w:rsidP="00D46B53">
      <w:pPr>
        <w:pStyle w:val="Odstavecseseznamem"/>
        <w:numPr>
          <w:ilvl w:val="0"/>
          <w:numId w:val="570"/>
        </w:numPr>
        <w:tabs>
          <w:tab w:val="left" w:pos="820"/>
        </w:tabs>
        <w:spacing w:after="120"/>
        <w:ind w:left="426"/>
        <w:rPr>
          <w:rFonts w:eastAsia="Times New Roman"/>
          <w:szCs w:val="24"/>
        </w:rPr>
      </w:pPr>
      <w:r w:rsidRPr="00627CFA">
        <w:rPr>
          <w:rFonts w:eastAsia="Times New Roman"/>
          <w:b/>
          <w:bCs/>
          <w:szCs w:val="24"/>
        </w:rPr>
        <w:t>Slabá udržitelnost</w:t>
      </w:r>
      <w:r w:rsidRPr="00627CFA">
        <w:rPr>
          <w:rFonts w:eastAsia="Times New Roman"/>
          <w:szCs w:val="24"/>
        </w:rPr>
        <w:t>-všechny druhy kapitálu jsou chápány jako substituované</w:t>
      </w:r>
    </w:p>
    <w:p w14:paraId="4A6F44F2" w14:textId="77777777" w:rsidR="00797365" w:rsidRPr="00627CFA" w:rsidRDefault="00797365" w:rsidP="00D46B53">
      <w:pPr>
        <w:pStyle w:val="Odstavecseseznamem"/>
        <w:numPr>
          <w:ilvl w:val="0"/>
          <w:numId w:val="570"/>
        </w:numPr>
        <w:spacing w:after="120"/>
        <w:ind w:left="426"/>
        <w:rPr>
          <w:szCs w:val="24"/>
        </w:rPr>
      </w:pPr>
      <w:r w:rsidRPr="00627CFA">
        <w:rPr>
          <w:rFonts w:eastAsia="Times New Roman"/>
          <w:b/>
          <w:bCs/>
          <w:szCs w:val="24"/>
        </w:rPr>
        <w:t>Silná udržitelnost</w:t>
      </w:r>
      <w:r w:rsidRPr="00627CFA">
        <w:rPr>
          <w:rFonts w:eastAsia="Times New Roman"/>
          <w:szCs w:val="24"/>
        </w:rPr>
        <w:t>-přírodní kapitál je nenahraditelný</w:t>
      </w:r>
      <w:r w:rsidRPr="00627CFA">
        <w:rPr>
          <w:rFonts w:eastAsia="Times New Roman"/>
          <w:b/>
          <w:bCs/>
          <w:szCs w:val="24"/>
        </w:rPr>
        <w:t xml:space="preserve"> </w:t>
      </w:r>
      <w:r w:rsidRPr="00627CFA">
        <w:rPr>
          <w:rFonts w:eastAsia="Times New Roman"/>
          <w:szCs w:val="24"/>
        </w:rPr>
        <w:t>a doplňuje ostatní druhy</w:t>
      </w:r>
      <w:r w:rsidRPr="00627CFA">
        <w:rPr>
          <w:rFonts w:eastAsia="Times New Roman"/>
          <w:b/>
          <w:bCs/>
          <w:szCs w:val="24"/>
        </w:rPr>
        <w:t xml:space="preserve"> </w:t>
      </w:r>
      <w:r w:rsidRPr="00627CFA">
        <w:rPr>
          <w:rFonts w:eastAsia="Times New Roman"/>
          <w:szCs w:val="24"/>
        </w:rPr>
        <w:t>kapitálu, je to komplement</w:t>
      </w:r>
    </w:p>
    <w:p w14:paraId="4A6F44F3" w14:textId="77777777" w:rsidR="00797365" w:rsidRPr="00627CFA" w:rsidRDefault="00797365" w:rsidP="00D46B53">
      <w:pPr>
        <w:pStyle w:val="Odstavecseseznamem"/>
        <w:numPr>
          <w:ilvl w:val="0"/>
          <w:numId w:val="570"/>
        </w:numPr>
        <w:spacing w:after="120"/>
        <w:ind w:left="426"/>
        <w:rPr>
          <w:szCs w:val="24"/>
        </w:rPr>
      </w:pPr>
      <w:r w:rsidRPr="00627CFA">
        <w:rPr>
          <w:b/>
          <w:szCs w:val="24"/>
        </w:rPr>
        <w:t>Druhy kapitálu:</w:t>
      </w:r>
    </w:p>
    <w:p w14:paraId="4A6F44F4" w14:textId="77777777" w:rsidR="00797365" w:rsidRPr="00627CFA" w:rsidRDefault="00797365" w:rsidP="00D46B53">
      <w:pPr>
        <w:pStyle w:val="Odstavecseseznamem"/>
        <w:numPr>
          <w:ilvl w:val="1"/>
          <w:numId w:val="570"/>
        </w:numPr>
        <w:tabs>
          <w:tab w:val="left" w:pos="820"/>
        </w:tabs>
        <w:spacing w:after="120"/>
        <w:ind w:left="567" w:hanging="283"/>
        <w:rPr>
          <w:rFonts w:eastAsia="Times New Roman"/>
          <w:szCs w:val="24"/>
        </w:rPr>
      </w:pPr>
      <w:r w:rsidRPr="00627CFA">
        <w:rPr>
          <w:rFonts w:eastAsia="Times New Roman"/>
          <w:b/>
          <w:bCs/>
          <w:szCs w:val="24"/>
        </w:rPr>
        <w:t xml:space="preserve">přírodní kapitál </w:t>
      </w:r>
      <w:r w:rsidRPr="00627CFA">
        <w:rPr>
          <w:rFonts w:eastAsia="Times New Roman"/>
          <w:szCs w:val="24"/>
        </w:rPr>
        <w:t>– veškeré zdroje poskytované přírodou</w:t>
      </w:r>
    </w:p>
    <w:p w14:paraId="4A6F44F5" w14:textId="77777777" w:rsidR="00797365" w:rsidRPr="00627CFA" w:rsidRDefault="00797365" w:rsidP="00D46B53">
      <w:pPr>
        <w:pStyle w:val="Odstavecseseznamem"/>
        <w:numPr>
          <w:ilvl w:val="1"/>
          <w:numId w:val="570"/>
        </w:numPr>
        <w:tabs>
          <w:tab w:val="left" w:pos="824"/>
        </w:tabs>
        <w:spacing w:after="120"/>
        <w:ind w:left="567" w:hanging="283"/>
        <w:rPr>
          <w:rFonts w:eastAsia="Times New Roman"/>
          <w:szCs w:val="24"/>
        </w:rPr>
      </w:pPr>
      <w:r w:rsidRPr="00627CFA">
        <w:rPr>
          <w:rFonts w:eastAsia="Times New Roman"/>
          <w:b/>
          <w:bCs/>
          <w:szCs w:val="24"/>
        </w:rPr>
        <w:t>lidský kapitál</w:t>
      </w:r>
      <w:r w:rsidRPr="00627CFA">
        <w:rPr>
          <w:rFonts w:eastAsia="Times New Roman"/>
          <w:szCs w:val="24"/>
        </w:rPr>
        <w:t>-lidé a jejich dovednosti a znalosti nutné k výzkumu nových</w:t>
      </w:r>
      <w:r w:rsidRPr="00627CFA">
        <w:rPr>
          <w:rFonts w:eastAsia="Times New Roman"/>
          <w:b/>
          <w:bCs/>
          <w:szCs w:val="24"/>
        </w:rPr>
        <w:t xml:space="preserve"> </w:t>
      </w:r>
      <w:r w:rsidRPr="00627CFA">
        <w:rPr>
          <w:rFonts w:eastAsia="Times New Roman"/>
          <w:szCs w:val="24"/>
        </w:rPr>
        <w:t>technologií</w:t>
      </w:r>
    </w:p>
    <w:p w14:paraId="4A6F44F6" w14:textId="77777777" w:rsidR="00797365" w:rsidRPr="00627CFA" w:rsidRDefault="00797365" w:rsidP="00D46B53">
      <w:pPr>
        <w:pStyle w:val="Odstavecseseznamem"/>
        <w:numPr>
          <w:ilvl w:val="1"/>
          <w:numId w:val="570"/>
        </w:numPr>
        <w:tabs>
          <w:tab w:val="left" w:pos="820"/>
        </w:tabs>
        <w:spacing w:after="120"/>
        <w:ind w:left="567" w:hanging="283"/>
        <w:rPr>
          <w:rFonts w:eastAsia="Times New Roman"/>
          <w:szCs w:val="24"/>
        </w:rPr>
      </w:pPr>
      <w:r w:rsidRPr="00627CFA">
        <w:rPr>
          <w:rFonts w:eastAsia="Times New Roman"/>
          <w:b/>
          <w:bCs/>
          <w:szCs w:val="24"/>
        </w:rPr>
        <w:t>fyzický nebo člověkem vytvořený</w:t>
      </w:r>
      <w:r w:rsidRPr="00627CFA">
        <w:rPr>
          <w:rFonts w:eastAsia="Times New Roman"/>
          <w:szCs w:val="24"/>
        </w:rPr>
        <w:t>-veškeré lidmi vytvořené produkty a látky</w:t>
      </w:r>
    </w:p>
    <w:p w14:paraId="4A6F44F7" w14:textId="77777777" w:rsidR="00797365" w:rsidRPr="00627CFA" w:rsidRDefault="00797365" w:rsidP="00D46B53">
      <w:pPr>
        <w:pStyle w:val="Odstavecseseznamem"/>
        <w:numPr>
          <w:ilvl w:val="1"/>
          <w:numId w:val="570"/>
        </w:numPr>
        <w:tabs>
          <w:tab w:val="left" w:pos="824"/>
        </w:tabs>
        <w:spacing w:after="120"/>
        <w:ind w:left="567" w:hanging="283"/>
        <w:rPr>
          <w:rFonts w:eastAsia="Times New Roman"/>
          <w:szCs w:val="24"/>
        </w:rPr>
      </w:pPr>
      <w:r w:rsidRPr="00627CFA">
        <w:rPr>
          <w:rFonts w:eastAsia="Times New Roman"/>
          <w:b/>
          <w:bCs/>
          <w:szCs w:val="24"/>
        </w:rPr>
        <w:t>sociální kapitál</w:t>
      </w:r>
      <w:r w:rsidRPr="00627CFA">
        <w:rPr>
          <w:rFonts w:eastAsia="Times New Roman"/>
          <w:szCs w:val="24"/>
        </w:rPr>
        <w:t xml:space="preserve"> -společenské normy, mezilidské vztahy, důvěra mezi lidmi</w:t>
      </w:r>
      <w:r w:rsidRPr="00627CFA">
        <w:rPr>
          <w:rFonts w:eastAsia="Times New Roman"/>
          <w:b/>
          <w:bCs/>
          <w:szCs w:val="24"/>
        </w:rPr>
        <w:t xml:space="preserve"> </w:t>
      </w:r>
    </w:p>
    <w:p w14:paraId="4A6F44F8" w14:textId="77777777" w:rsidR="00797365" w:rsidRPr="00627CFA" w:rsidRDefault="00797365" w:rsidP="00D46B53">
      <w:pPr>
        <w:pStyle w:val="Odstavecseseznamem"/>
        <w:numPr>
          <w:ilvl w:val="1"/>
          <w:numId w:val="570"/>
        </w:numPr>
        <w:tabs>
          <w:tab w:val="left" w:pos="824"/>
        </w:tabs>
        <w:spacing w:after="120"/>
        <w:ind w:left="567" w:hanging="283"/>
        <w:rPr>
          <w:szCs w:val="24"/>
        </w:rPr>
      </w:pPr>
      <w:r w:rsidRPr="00627CFA">
        <w:rPr>
          <w:rFonts w:eastAsia="Times New Roman"/>
          <w:szCs w:val="24"/>
        </w:rPr>
        <w:t>celkový kapitál: součet všeho kapitálu</w:t>
      </w:r>
    </w:p>
    <w:p w14:paraId="4A6F44F9" w14:textId="77777777" w:rsidR="00797365" w:rsidRPr="00627CFA" w:rsidRDefault="00797365" w:rsidP="00627CFA">
      <w:pPr>
        <w:spacing w:after="120"/>
        <w:rPr>
          <w:szCs w:val="24"/>
        </w:rPr>
      </w:pPr>
      <w:r w:rsidRPr="00627CFA">
        <w:rPr>
          <w:rFonts w:eastAsia="Times New Roman"/>
          <w:b/>
          <w:bCs/>
          <w:iCs/>
          <w:szCs w:val="24"/>
        </w:rPr>
        <w:t>Historie konceptu udržitelného rozvoje</w:t>
      </w:r>
    </w:p>
    <w:p w14:paraId="4A6F44FA" w14:textId="77777777" w:rsidR="00797365" w:rsidRPr="00627CFA" w:rsidRDefault="00797365" w:rsidP="00D46B53">
      <w:pPr>
        <w:pStyle w:val="Odstavecseseznamem"/>
        <w:numPr>
          <w:ilvl w:val="0"/>
          <w:numId w:val="569"/>
        </w:numPr>
        <w:tabs>
          <w:tab w:val="left" w:pos="142"/>
        </w:tabs>
        <w:spacing w:after="120"/>
        <w:ind w:left="426"/>
        <w:rPr>
          <w:rFonts w:eastAsia="Times New Roman"/>
          <w:szCs w:val="24"/>
        </w:rPr>
      </w:pPr>
      <w:r w:rsidRPr="00627CFA">
        <w:rPr>
          <w:rFonts w:eastAsia="Times New Roman"/>
          <w:szCs w:val="24"/>
        </w:rPr>
        <w:t>Malthus – Esej o principu populace (katastrofický scénář)</w:t>
      </w:r>
    </w:p>
    <w:p w14:paraId="4A6F44FB" w14:textId="77777777" w:rsidR="00797365" w:rsidRPr="00627CFA" w:rsidRDefault="00797365" w:rsidP="00D46B53">
      <w:pPr>
        <w:pStyle w:val="Odstavecseseznamem"/>
        <w:numPr>
          <w:ilvl w:val="0"/>
          <w:numId w:val="569"/>
        </w:numPr>
        <w:tabs>
          <w:tab w:val="left" w:pos="142"/>
        </w:tabs>
        <w:spacing w:after="120"/>
        <w:ind w:left="426"/>
        <w:rPr>
          <w:rFonts w:eastAsia="Times New Roman"/>
          <w:szCs w:val="24"/>
        </w:rPr>
      </w:pPr>
      <w:r w:rsidRPr="00627CFA">
        <w:rPr>
          <w:rFonts w:eastAsia="Times New Roman"/>
          <w:szCs w:val="24"/>
        </w:rPr>
        <w:t>1972 – konference OSN o ŽP ve Stockholmu</w:t>
      </w:r>
    </w:p>
    <w:p w14:paraId="4A6F44FC" w14:textId="77777777" w:rsidR="00797365" w:rsidRPr="00627CFA" w:rsidRDefault="00797365" w:rsidP="00D46B53">
      <w:pPr>
        <w:pStyle w:val="Odstavecseseznamem"/>
        <w:numPr>
          <w:ilvl w:val="0"/>
          <w:numId w:val="569"/>
        </w:numPr>
        <w:tabs>
          <w:tab w:val="left" w:pos="142"/>
        </w:tabs>
        <w:spacing w:after="120"/>
        <w:ind w:left="426"/>
        <w:rPr>
          <w:rFonts w:eastAsia="Times New Roman"/>
          <w:szCs w:val="24"/>
        </w:rPr>
      </w:pPr>
      <w:r w:rsidRPr="00627CFA">
        <w:rPr>
          <w:rFonts w:eastAsia="Times New Roman"/>
          <w:szCs w:val="24"/>
        </w:rPr>
        <w:t>1987- zpráva OSN pro životní prostředí a rozvoj Naše společná budoucnost (definice pojmu)</w:t>
      </w:r>
    </w:p>
    <w:p w14:paraId="4A6F44FD" w14:textId="0567E53A" w:rsidR="00797365" w:rsidRPr="00627CFA" w:rsidRDefault="00797365" w:rsidP="00D46B53">
      <w:pPr>
        <w:pStyle w:val="Odstavecseseznamem"/>
        <w:numPr>
          <w:ilvl w:val="0"/>
          <w:numId w:val="569"/>
        </w:numPr>
        <w:tabs>
          <w:tab w:val="left" w:pos="142"/>
        </w:tabs>
        <w:spacing w:after="120"/>
        <w:ind w:left="426"/>
        <w:rPr>
          <w:rFonts w:eastAsia="Times New Roman"/>
          <w:szCs w:val="24"/>
        </w:rPr>
      </w:pPr>
      <w:r w:rsidRPr="00627CFA">
        <w:rPr>
          <w:rFonts w:eastAsia="Times New Roman"/>
          <w:szCs w:val="24"/>
        </w:rPr>
        <w:t>1992 - konference OSN o životním prostředí a rozvoji</w:t>
      </w:r>
      <w:r w:rsidR="003376E1">
        <w:rPr>
          <w:rFonts w:eastAsia="Times New Roman"/>
          <w:szCs w:val="24"/>
        </w:rPr>
        <w:t xml:space="preserve"> </w:t>
      </w:r>
      <w:r w:rsidRPr="00627CFA">
        <w:rPr>
          <w:rFonts w:eastAsia="Times New Roman"/>
          <w:szCs w:val="24"/>
        </w:rPr>
        <w:t>(Rio de Janeiro)</w:t>
      </w:r>
    </w:p>
    <w:p w14:paraId="4A6F44FE" w14:textId="77777777" w:rsidR="00797365" w:rsidRPr="00627CFA" w:rsidRDefault="00797365" w:rsidP="00D46B53">
      <w:pPr>
        <w:pStyle w:val="Odstavecseseznamem"/>
        <w:numPr>
          <w:ilvl w:val="2"/>
          <w:numId w:val="578"/>
        </w:numPr>
        <w:tabs>
          <w:tab w:val="left" w:pos="142"/>
        </w:tabs>
        <w:spacing w:after="120"/>
        <w:ind w:left="1276"/>
        <w:rPr>
          <w:rFonts w:eastAsia="Times New Roman"/>
          <w:szCs w:val="24"/>
        </w:rPr>
      </w:pPr>
      <w:r w:rsidRPr="00627CFA">
        <w:rPr>
          <w:rFonts w:eastAsia="Times New Roman"/>
          <w:szCs w:val="24"/>
        </w:rPr>
        <w:t>bylo stanoveno 27 zásad udržitelného rozvoje</w:t>
      </w:r>
    </w:p>
    <w:p w14:paraId="4A6F44FF" w14:textId="77777777" w:rsidR="00797365" w:rsidRPr="00627CFA" w:rsidRDefault="00797365" w:rsidP="00D46B53">
      <w:pPr>
        <w:pStyle w:val="Odstavecseseznamem"/>
        <w:numPr>
          <w:ilvl w:val="2"/>
          <w:numId w:val="578"/>
        </w:numPr>
        <w:tabs>
          <w:tab w:val="left" w:pos="142"/>
        </w:tabs>
        <w:spacing w:after="120"/>
        <w:ind w:left="1276"/>
        <w:rPr>
          <w:rFonts w:eastAsia="Times New Roman"/>
          <w:szCs w:val="24"/>
        </w:rPr>
      </w:pPr>
      <w:r w:rsidRPr="00627CFA">
        <w:rPr>
          <w:rFonts w:eastAsia="Times New Roman"/>
          <w:szCs w:val="24"/>
        </w:rPr>
        <w:t>Agenda 21- stanovuje konkrétní kroky směrem k udržitelnému rozvoji</w:t>
      </w:r>
    </w:p>
    <w:p w14:paraId="4A6F4500" w14:textId="77777777" w:rsidR="00797365" w:rsidRPr="00627CFA" w:rsidRDefault="00797365" w:rsidP="00D46B53">
      <w:pPr>
        <w:pStyle w:val="Odstavecseseznamem"/>
        <w:numPr>
          <w:ilvl w:val="2"/>
          <w:numId w:val="578"/>
        </w:numPr>
        <w:tabs>
          <w:tab w:val="left" w:pos="142"/>
        </w:tabs>
        <w:spacing w:after="120"/>
        <w:ind w:left="1276"/>
        <w:rPr>
          <w:rFonts w:eastAsia="Times New Roman"/>
          <w:szCs w:val="24"/>
        </w:rPr>
      </w:pPr>
      <w:r w:rsidRPr="00627CFA">
        <w:rPr>
          <w:rFonts w:eastAsia="Times New Roman"/>
          <w:szCs w:val="24"/>
        </w:rPr>
        <w:t>byla ustanovena Komise OSN pro udržitelný rozvoj</w:t>
      </w:r>
    </w:p>
    <w:p w14:paraId="4A6F4501" w14:textId="77777777" w:rsidR="00797365" w:rsidRPr="00627CFA" w:rsidRDefault="00797365" w:rsidP="00D46B53">
      <w:pPr>
        <w:pStyle w:val="Odstavecseseznamem"/>
        <w:numPr>
          <w:ilvl w:val="0"/>
          <w:numId w:val="569"/>
        </w:numPr>
        <w:tabs>
          <w:tab w:val="left" w:pos="142"/>
        </w:tabs>
        <w:spacing w:after="120"/>
        <w:ind w:left="426"/>
        <w:rPr>
          <w:rFonts w:eastAsia="Times New Roman"/>
          <w:szCs w:val="24"/>
        </w:rPr>
      </w:pPr>
      <w:r w:rsidRPr="00627CFA">
        <w:rPr>
          <w:rFonts w:eastAsia="Times New Roman"/>
          <w:szCs w:val="24"/>
        </w:rPr>
        <w:t xml:space="preserve">1995 Evropská komise přijala 12 principů udržitelného rozvoje </w:t>
      </w:r>
    </w:p>
    <w:p w14:paraId="4A6F4502" w14:textId="77777777" w:rsidR="00797365" w:rsidRPr="00627CFA" w:rsidRDefault="00797365" w:rsidP="00D46B53">
      <w:pPr>
        <w:pStyle w:val="Odstavecseseznamem"/>
        <w:numPr>
          <w:ilvl w:val="0"/>
          <w:numId w:val="569"/>
        </w:numPr>
        <w:tabs>
          <w:tab w:val="left" w:pos="142"/>
        </w:tabs>
        <w:spacing w:after="120"/>
        <w:ind w:left="426"/>
        <w:rPr>
          <w:rFonts w:eastAsia="Times New Roman"/>
          <w:szCs w:val="24"/>
        </w:rPr>
      </w:pPr>
      <w:r w:rsidRPr="00627CFA">
        <w:rPr>
          <w:rFonts w:eastAsia="Times New Roman"/>
          <w:szCs w:val="24"/>
        </w:rPr>
        <w:t xml:space="preserve">2002 – světový summit o UR v Johannesburgu (více strategie proti chudobě a méně environmentální pilíř) </w:t>
      </w:r>
    </w:p>
    <w:p w14:paraId="4A6F4503" w14:textId="77777777" w:rsidR="00797365" w:rsidRPr="00627CFA" w:rsidRDefault="00797365" w:rsidP="00D46B53">
      <w:pPr>
        <w:pStyle w:val="Odstavecseseznamem"/>
        <w:numPr>
          <w:ilvl w:val="0"/>
          <w:numId w:val="569"/>
        </w:numPr>
        <w:tabs>
          <w:tab w:val="left" w:pos="142"/>
        </w:tabs>
        <w:spacing w:after="120"/>
        <w:ind w:left="426"/>
        <w:rPr>
          <w:rFonts w:eastAsia="Times New Roman"/>
          <w:bCs/>
          <w:iCs/>
          <w:szCs w:val="24"/>
        </w:rPr>
      </w:pPr>
      <w:r w:rsidRPr="00627CFA">
        <w:rPr>
          <w:rFonts w:eastAsia="Times New Roman"/>
          <w:szCs w:val="24"/>
        </w:rPr>
        <w:t>2006 – Evropská rada přijala Obnovenou strategii</w:t>
      </w:r>
    </w:p>
    <w:p w14:paraId="4A6F4504" w14:textId="77777777" w:rsidR="00797365" w:rsidRPr="00627CFA" w:rsidRDefault="00797365" w:rsidP="00D46B53">
      <w:pPr>
        <w:pStyle w:val="Odstavecseseznamem"/>
        <w:numPr>
          <w:ilvl w:val="0"/>
          <w:numId w:val="569"/>
        </w:numPr>
        <w:tabs>
          <w:tab w:val="left" w:pos="142"/>
        </w:tabs>
        <w:spacing w:after="120"/>
        <w:ind w:left="426"/>
        <w:rPr>
          <w:rFonts w:eastAsia="Times New Roman"/>
          <w:bCs/>
          <w:iCs/>
          <w:szCs w:val="24"/>
        </w:rPr>
      </w:pPr>
      <w:r w:rsidRPr="00627CFA">
        <w:rPr>
          <w:rFonts w:eastAsia="Times New Roman"/>
          <w:szCs w:val="24"/>
        </w:rPr>
        <w:lastRenderedPageBreak/>
        <w:t xml:space="preserve">2009 - udržitelný rozvoj se stal oficiálním dlouhodobým cílem Evropské unie </w:t>
      </w:r>
    </w:p>
    <w:p w14:paraId="4A6F4505" w14:textId="77777777" w:rsidR="00797365" w:rsidRPr="00627CFA" w:rsidRDefault="00797365" w:rsidP="0080628C">
      <w:pPr>
        <w:pStyle w:val="Odstavecseseznamem"/>
        <w:tabs>
          <w:tab w:val="left" w:pos="142"/>
        </w:tabs>
        <w:spacing w:after="120"/>
        <w:ind w:left="426"/>
        <w:rPr>
          <w:rFonts w:eastAsia="Times New Roman"/>
          <w:bCs/>
          <w:iCs/>
          <w:szCs w:val="24"/>
        </w:rPr>
      </w:pPr>
    </w:p>
    <w:p w14:paraId="4A6F4506" w14:textId="77777777" w:rsidR="00797365" w:rsidRPr="00627CFA" w:rsidRDefault="00797365" w:rsidP="0080628C">
      <w:pPr>
        <w:pStyle w:val="Odstavecseseznamem"/>
        <w:tabs>
          <w:tab w:val="left" w:pos="142"/>
        </w:tabs>
        <w:spacing w:after="120"/>
        <w:ind w:left="426"/>
        <w:rPr>
          <w:rFonts w:eastAsia="Times New Roman"/>
          <w:bCs/>
          <w:iCs/>
          <w:szCs w:val="24"/>
        </w:rPr>
      </w:pPr>
      <w:r w:rsidRPr="00627CFA">
        <w:rPr>
          <w:rFonts w:eastAsia="Times New Roman"/>
          <w:b/>
          <w:bCs/>
          <w:iCs/>
          <w:szCs w:val="24"/>
        </w:rPr>
        <w:t xml:space="preserve">Nadnárodní úroveň </w:t>
      </w:r>
      <w:r w:rsidRPr="00627CFA">
        <w:rPr>
          <w:rFonts w:eastAsia="Times New Roman"/>
          <w:bCs/>
          <w:iCs/>
          <w:szCs w:val="24"/>
        </w:rPr>
        <w:t>(Evropská komise (1995), Evropská rada (2006), Evropská unie (2009))</w:t>
      </w:r>
    </w:p>
    <w:p w14:paraId="4A6F4507" w14:textId="77777777" w:rsidR="00797365" w:rsidRPr="00627CFA" w:rsidRDefault="00797365" w:rsidP="0080628C">
      <w:pPr>
        <w:pStyle w:val="Odstavecseseznamem"/>
        <w:tabs>
          <w:tab w:val="left" w:pos="142"/>
        </w:tabs>
        <w:spacing w:after="120"/>
        <w:ind w:left="426"/>
        <w:rPr>
          <w:rFonts w:eastAsia="Times New Roman"/>
          <w:bCs/>
          <w:iCs/>
          <w:szCs w:val="24"/>
        </w:rPr>
      </w:pPr>
      <w:r w:rsidRPr="00627CFA">
        <w:rPr>
          <w:rFonts w:eastAsia="Times New Roman"/>
          <w:b/>
          <w:bCs/>
          <w:iCs/>
          <w:szCs w:val="24"/>
        </w:rPr>
        <w:t xml:space="preserve">Národní úroveň </w:t>
      </w:r>
      <w:r w:rsidRPr="00627CFA">
        <w:rPr>
          <w:rFonts w:eastAsia="Times New Roman"/>
          <w:bCs/>
          <w:iCs/>
          <w:szCs w:val="24"/>
        </w:rPr>
        <w:t>(udržitelný rozvoj v legislativě (Zákon 17/1992 Sb. o životním prostředí)</w:t>
      </w:r>
    </w:p>
    <w:p w14:paraId="4A6F4508" w14:textId="77777777" w:rsidR="00797365" w:rsidRDefault="00797365" w:rsidP="0080628C">
      <w:pPr>
        <w:pStyle w:val="Odstavecseseznamem"/>
        <w:tabs>
          <w:tab w:val="left" w:pos="142"/>
        </w:tabs>
        <w:spacing w:after="120"/>
        <w:ind w:left="426"/>
        <w:rPr>
          <w:rFonts w:eastAsia="Times New Roman"/>
          <w:bCs/>
          <w:iCs/>
          <w:szCs w:val="24"/>
        </w:rPr>
      </w:pPr>
      <w:r w:rsidRPr="00627CFA">
        <w:rPr>
          <w:rFonts w:eastAsia="Times New Roman"/>
          <w:b/>
          <w:bCs/>
          <w:iCs/>
          <w:szCs w:val="24"/>
        </w:rPr>
        <w:t xml:space="preserve">Regionální a lokální úroveň </w:t>
      </w:r>
      <w:r w:rsidRPr="00627CFA">
        <w:rPr>
          <w:rFonts w:eastAsia="Times New Roman"/>
          <w:bCs/>
          <w:iCs/>
          <w:szCs w:val="24"/>
        </w:rPr>
        <w:t>(sledování udržitelného rozvoje území pro obce a kraje (Zákon 183/2006 Sb. o územním plánování a stavebním řádu)</w:t>
      </w:r>
    </w:p>
    <w:p w14:paraId="4A6F4509" w14:textId="77777777" w:rsidR="00627CFA" w:rsidRPr="00627CFA" w:rsidRDefault="00627CFA" w:rsidP="00627CFA">
      <w:pPr>
        <w:pStyle w:val="Odstavecseseznamem"/>
        <w:spacing w:after="120"/>
        <w:ind w:left="0"/>
        <w:rPr>
          <w:rFonts w:eastAsia="Times New Roman"/>
          <w:bCs/>
          <w:iCs/>
          <w:szCs w:val="24"/>
        </w:rPr>
      </w:pPr>
    </w:p>
    <w:p w14:paraId="4A6F450A" w14:textId="77777777" w:rsidR="00797365" w:rsidRPr="004A163A" w:rsidRDefault="00797365" w:rsidP="00627CFA">
      <w:pPr>
        <w:pStyle w:val="Nadpis2"/>
        <w:rPr>
          <w:rFonts w:eastAsia="Times New Roman"/>
          <w:b w:val="0"/>
          <w:iCs/>
          <w:color w:val="1F3864" w:themeColor="accent1" w:themeShade="80"/>
        </w:rPr>
      </w:pPr>
      <w:r w:rsidRPr="004A163A">
        <w:rPr>
          <w:color w:val="1F3864" w:themeColor="accent1" w:themeShade="80"/>
        </w:rPr>
        <w:t xml:space="preserve">Úloha zájmových skupin v oblasti ochrany životního prostředí a příklady souvislostí (sporů) mezi prioritami ekologické politiky a ostatními hospodářskými politikami a </w:t>
      </w:r>
      <w:r w:rsidRPr="004A163A">
        <w:rPr>
          <w:color w:val="1F3864" w:themeColor="accent1" w:themeShade="80"/>
          <w:shd w:val="clear" w:color="auto" w:fill="FFFFFF"/>
        </w:rPr>
        <w:t>uplatňování teorie dobývání renty a zájmových skupin v oblasti ochrany životního prostředí</w:t>
      </w:r>
    </w:p>
    <w:p w14:paraId="4A6F450B" w14:textId="77777777" w:rsidR="00797365" w:rsidRPr="00627CFA" w:rsidRDefault="00797365" w:rsidP="00D46B53">
      <w:pPr>
        <w:pStyle w:val="Odstavecseseznamem"/>
        <w:numPr>
          <w:ilvl w:val="0"/>
          <w:numId w:val="573"/>
        </w:numPr>
        <w:spacing w:after="120"/>
        <w:ind w:left="426"/>
        <w:rPr>
          <w:szCs w:val="24"/>
        </w:rPr>
      </w:pPr>
      <w:r w:rsidRPr="00627CFA">
        <w:rPr>
          <w:szCs w:val="24"/>
        </w:rPr>
        <w:t>zájmová skupina – má silnou motivaci na praktikování konkrétní politiky, jelikož z ní silně profituje, dokáže přesvědčit pomocí vlivových institucí (velké podniky, politické strany</w:t>
      </w:r>
      <w:r w:rsidR="00627CFA">
        <w:rPr>
          <w:szCs w:val="24"/>
        </w:rPr>
        <w:br/>
      </w:r>
      <w:r w:rsidRPr="00627CFA">
        <w:rPr>
          <w:szCs w:val="24"/>
        </w:rPr>
        <w:t xml:space="preserve"> a odbory, vědecké instituce, sdělovací prostředky) veřejnost a politiky o tom, že je i v jejich zájmu když bude daná politika přijata či rozšířena</w:t>
      </w:r>
    </w:p>
    <w:p w14:paraId="4A6F450C" w14:textId="77777777" w:rsidR="00797365" w:rsidRPr="00627CFA" w:rsidRDefault="00797365" w:rsidP="00D46B53">
      <w:pPr>
        <w:pStyle w:val="Odstavecseseznamem"/>
        <w:numPr>
          <w:ilvl w:val="1"/>
          <w:numId w:val="569"/>
        </w:numPr>
        <w:spacing w:after="120"/>
        <w:ind w:left="426"/>
        <w:rPr>
          <w:szCs w:val="24"/>
        </w:rPr>
      </w:pPr>
      <w:r w:rsidRPr="00627CFA">
        <w:rPr>
          <w:szCs w:val="24"/>
        </w:rPr>
        <w:t>ze zájmu soukromého se stává zájem veřejný, který je zapracován do hospodářsko-politických cílů</w:t>
      </w:r>
    </w:p>
    <w:p w14:paraId="4A6F450D" w14:textId="77777777" w:rsidR="00797365" w:rsidRPr="00627CFA" w:rsidRDefault="00797365" w:rsidP="00D46B53">
      <w:pPr>
        <w:pStyle w:val="Odstavecseseznamem"/>
        <w:numPr>
          <w:ilvl w:val="0"/>
          <w:numId w:val="569"/>
        </w:numPr>
        <w:spacing w:after="120"/>
        <w:ind w:left="426"/>
        <w:rPr>
          <w:szCs w:val="24"/>
        </w:rPr>
      </w:pPr>
      <w:r w:rsidRPr="00627CFA">
        <w:rPr>
          <w:szCs w:val="24"/>
        </w:rPr>
        <w:t xml:space="preserve">dochází k omezení aktivit vytvářejících bohatství a ekonomika relativně chudne </w:t>
      </w:r>
    </w:p>
    <w:p w14:paraId="4A6F450E" w14:textId="77777777" w:rsidR="00797365" w:rsidRPr="00627CFA" w:rsidRDefault="00797365" w:rsidP="00D46B53">
      <w:pPr>
        <w:pStyle w:val="Odstavecseseznamem"/>
        <w:numPr>
          <w:ilvl w:val="0"/>
          <w:numId w:val="572"/>
        </w:numPr>
        <w:spacing w:after="120"/>
        <w:ind w:left="426"/>
        <w:rPr>
          <w:color w:val="000000"/>
          <w:szCs w:val="24"/>
        </w:rPr>
      </w:pPr>
      <w:r w:rsidRPr="00627CFA">
        <w:rPr>
          <w:szCs w:val="24"/>
        </w:rPr>
        <w:t xml:space="preserve">např. v rámci EU působí osm vlivných neziskových organizací, mezi něž patří např. </w:t>
      </w:r>
      <w:r w:rsidRPr="00627CFA">
        <w:rPr>
          <w:b/>
          <w:szCs w:val="24"/>
        </w:rPr>
        <w:t>European Environmental Bureau, World Wide Fund for Nature, Greenpeace</w:t>
      </w:r>
      <w:r w:rsidRPr="00627CFA">
        <w:rPr>
          <w:szCs w:val="24"/>
        </w:rPr>
        <w:t>, kteří mají v Unii hlavní slovo při kontrole dodržování legislativy zaměřené na ochranu životního prostředí</w:t>
      </w:r>
    </w:p>
    <w:p w14:paraId="4A6F450F" w14:textId="6B717864" w:rsidR="00797365" w:rsidRPr="00627CFA" w:rsidRDefault="00797365" w:rsidP="00D46B53">
      <w:pPr>
        <w:pStyle w:val="Odstavecseseznamem"/>
        <w:numPr>
          <w:ilvl w:val="0"/>
          <w:numId w:val="572"/>
        </w:numPr>
        <w:spacing w:after="120"/>
        <w:ind w:left="426"/>
        <w:rPr>
          <w:color w:val="000000"/>
          <w:szCs w:val="24"/>
        </w:rPr>
      </w:pPr>
      <w:r w:rsidRPr="00627CFA">
        <w:rPr>
          <w:rFonts w:eastAsia="Times New Roman"/>
          <w:b/>
          <w:iCs/>
          <w:szCs w:val="24"/>
        </w:rPr>
        <w:t>environmentální regulace</w:t>
      </w:r>
      <w:r w:rsidRPr="00627CFA">
        <w:rPr>
          <w:rFonts w:eastAsia="Times New Roman"/>
          <w:iCs/>
          <w:szCs w:val="24"/>
        </w:rPr>
        <w:t xml:space="preserve"> -s</w:t>
      </w:r>
      <w:r w:rsidRPr="00627CFA">
        <w:rPr>
          <w:rFonts w:eastAsia="Times New Roman"/>
          <w:szCs w:val="24"/>
        </w:rPr>
        <w:t>naha státu zajistit společensky přijatelnou kvalitu životního prostředí,</w:t>
      </w:r>
      <w:r w:rsidR="003376E1">
        <w:rPr>
          <w:rFonts w:eastAsia="Times New Roman"/>
          <w:szCs w:val="24"/>
        </w:rPr>
        <w:t xml:space="preserve"> </w:t>
      </w:r>
      <w:r w:rsidRPr="00627CFA">
        <w:rPr>
          <w:rFonts w:eastAsia="Times New Roman"/>
          <w:szCs w:val="24"/>
        </w:rPr>
        <w:t>stát nahrazuje vyjednávání mezi znečišťovatelem a poškozeným tak, že definuje pravidla nakládání s přírodními zdroji</w:t>
      </w:r>
    </w:p>
    <w:p w14:paraId="4A6F4510" w14:textId="77777777" w:rsidR="00797365" w:rsidRPr="00627CFA" w:rsidRDefault="00797365" w:rsidP="00D46B53">
      <w:pPr>
        <w:pStyle w:val="Odstavecseseznamem"/>
        <w:numPr>
          <w:ilvl w:val="0"/>
          <w:numId w:val="572"/>
        </w:numPr>
        <w:spacing w:after="120"/>
        <w:ind w:left="426"/>
        <w:rPr>
          <w:color w:val="000000"/>
          <w:szCs w:val="24"/>
        </w:rPr>
      </w:pPr>
      <w:r w:rsidRPr="00627CFA">
        <w:rPr>
          <w:b/>
          <w:szCs w:val="24"/>
        </w:rPr>
        <w:t>teorie veřejného zájmu</w:t>
      </w:r>
      <w:r w:rsidRPr="00627CFA">
        <w:rPr>
          <w:szCs w:val="24"/>
        </w:rPr>
        <w:t xml:space="preserve"> - o</w:t>
      </w:r>
      <w:r w:rsidRPr="00627CFA">
        <w:rPr>
          <w:color w:val="000000"/>
          <w:szCs w:val="24"/>
        </w:rPr>
        <w:t>bhajuje regulace skrz veřejný zájem, a tedy snahu o ochranu před tržním selháním (informační asymetrie, externality,..)</w:t>
      </w:r>
    </w:p>
    <w:p w14:paraId="4A6F4511" w14:textId="77777777" w:rsidR="00797365" w:rsidRPr="00627CFA" w:rsidRDefault="00797365" w:rsidP="00D46B53">
      <w:pPr>
        <w:pStyle w:val="Odstavecseseznamem"/>
        <w:numPr>
          <w:ilvl w:val="0"/>
          <w:numId w:val="572"/>
        </w:numPr>
        <w:spacing w:after="120"/>
        <w:ind w:left="426"/>
        <w:rPr>
          <w:szCs w:val="24"/>
        </w:rPr>
      </w:pPr>
      <w:r w:rsidRPr="00627CFA">
        <w:rPr>
          <w:rFonts w:eastAsia="Times New Roman"/>
          <w:iCs/>
          <w:szCs w:val="24"/>
        </w:rPr>
        <w:t>t</w:t>
      </w:r>
      <w:r w:rsidRPr="00627CFA">
        <w:rPr>
          <w:rFonts w:eastAsia="Times New Roman"/>
          <w:b/>
          <w:bCs/>
          <w:iCs/>
          <w:szCs w:val="24"/>
        </w:rPr>
        <w:t>eorie zájmových skupin</w:t>
      </w:r>
      <w:r w:rsidRPr="00627CFA">
        <w:rPr>
          <w:rFonts w:eastAsia="Times New Roman"/>
          <w:iCs/>
          <w:szCs w:val="24"/>
        </w:rPr>
        <w:t xml:space="preserve"> - </w:t>
      </w:r>
      <w:r w:rsidRPr="00627CFA">
        <w:rPr>
          <w:rFonts w:eastAsia="Times New Roman"/>
          <w:szCs w:val="24"/>
        </w:rPr>
        <w:t>vysvětluje regulaci jako podporu konkrétních zájmů určité skupiny lidí ve společnosti, jež mohou představovat jak zájmy průmyslu, tak zájmy nevládních organizací, hnacím motorem je dobývání renty</w:t>
      </w:r>
    </w:p>
    <w:p w14:paraId="4A6F4512" w14:textId="77777777" w:rsidR="00797365" w:rsidRPr="00627CFA" w:rsidRDefault="00797365" w:rsidP="00D46B53">
      <w:pPr>
        <w:pStyle w:val="Odstavecseseznamem"/>
        <w:numPr>
          <w:ilvl w:val="0"/>
          <w:numId w:val="572"/>
        </w:numPr>
        <w:spacing w:after="120"/>
        <w:ind w:left="426"/>
        <w:rPr>
          <w:szCs w:val="24"/>
        </w:rPr>
      </w:pPr>
      <w:r w:rsidRPr="00627CFA">
        <w:rPr>
          <w:szCs w:val="24"/>
          <w:shd w:val="clear" w:color="auto" w:fill="FFFFFF"/>
        </w:rPr>
        <w:lastRenderedPageBreak/>
        <w:t>pro ekologické spolky je od 2018 těžší připomínkovat velké stavby, jako jsou dálnice, obchodní centra či továrny, zákon omezuje právo veřejnosti účastnit se povolovacích procesů stavebního řízení</w:t>
      </w:r>
    </w:p>
    <w:p w14:paraId="4A6F4513" w14:textId="77777777" w:rsidR="00797365" w:rsidRPr="004A163A" w:rsidRDefault="00797365" w:rsidP="00797365">
      <w:pPr>
        <w:pStyle w:val="Odstavecseseznamem"/>
        <w:spacing w:after="120"/>
        <w:ind w:left="0"/>
        <w:rPr>
          <w:color w:val="1F3864" w:themeColor="accent1" w:themeShade="80"/>
          <w:sz w:val="19"/>
          <w:szCs w:val="19"/>
        </w:rPr>
      </w:pPr>
    </w:p>
    <w:p w14:paraId="4A6F4514" w14:textId="53D432F3" w:rsidR="00797365" w:rsidRPr="004A163A" w:rsidRDefault="004A163A" w:rsidP="00627CFA">
      <w:pPr>
        <w:pStyle w:val="Nadpis3"/>
        <w:rPr>
          <w:color w:val="1F3864" w:themeColor="accent1" w:themeShade="80"/>
        </w:rPr>
      </w:pPr>
      <w:r w:rsidRPr="004A163A">
        <w:rPr>
          <w:rFonts w:eastAsia="Times New Roman"/>
          <w:color w:val="1F3864" w:themeColor="accent1" w:themeShade="80"/>
        </w:rPr>
        <w:t xml:space="preserve"> </w:t>
      </w:r>
      <w:r w:rsidR="00797365" w:rsidRPr="004A163A">
        <w:rPr>
          <w:rFonts w:eastAsia="Times New Roman"/>
          <w:color w:val="1F3864" w:themeColor="accent1" w:themeShade="80"/>
        </w:rPr>
        <w:t>NÁRODOHOSPODÁŘSKÉ DOPADY OCHRANY ŽP</w:t>
      </w:r>
    </w:p>
    <w:p w14:paraId="4A6F4515" w14:textId="77777777" w:rsidR="00797365" w:rsidRPr="00627CFA" w:rsidRDefault="00797365" w:rsidP="00D46B53">
      <w:pPr>
        <w:pStyle w:val="Odstavecseseznamem"/>
        <w:numPr>
          <w:ilvl w:val="0"/>
          <w:numId w:val="575"/>
        </w:numPr>
        <w:tabs>
          <w:tab w:val="left" w:pos="240"/>
        </w:tabs>
        <w:spacing w:after="120"/>
        <w:ind w:left="0"/>
        <w:rPr>
          <w:rFonts w:eastAsia="Times New Roman"/>
          <w:szCs w:val="24"/>
        </w:rPr>
      </w:pPr>
      <w:r w:rsidRPr="00627CFA">
        <w:rPr>
          <w:rFonts w:eastAsia="Times New Roman"/>
          <w:b/>
          <w:bCs/>
          <w:iCs/>
          <w:szCs w:val="24"/>
        </w:rPr>
        <w:t xml:space="preserve">zaměstnanost - </w:t>
      </w:r>
      <w:r w:rsidRPr="00627CFA">
        <w:rPr>
          <w:rFonts w:eastAsia="Times New Roman"/>
          <w:szCs w:val="24"/>
        </w:rPr>
        <w:t>vyšší nároky na kvalitu ŽP vedou k rušení neekologických provozů, na druhé straně se rozvíjí nové druhy služeb a výroby šetrné k ŽP</w:t>
      </w:r>
    </w:p>
    <w:p w14:paraId="4A6F4516" w14:textId="77777777" w:rsidR="00797365" w:rsidRPr="00627CFA" w:rsidRDefault="00797365" w:rsidP="00D46B53">
      <w:pPr>
        <w:pStyle w:val="Odstavecseseznamem"/>
        <w:numPr>
          <w:ilvl w:val="0"/>
          <w:numId w:val="575"/>
        </w:numPr>
        <w:spacing w:after="120"/>
        <w:ind w:left="0"/>
        <w:rPr>
          <w:szCs w:val="24"/>
        </w:rPr>
      </w:pPr>
      <w:bookmarkStart w:id="284" w:name="page314"/>
      <w:bookmarkEnd w:id="284"/>
      <w:r w:rsidRPr="00627CFA">
        <w:rPr>
          <w:rFonts w:eastAsia="Times New Roman"/>
          <w:b/>
          <w:bCs/>
          <w:iCs/>
          <w:szCs w:val="24"/>
        </w:rPr>
        <w:t xml:space="preserve">investiční činnost - </w:t>
      </w:r>
      <w:r w:rsidRPr="00627CFA">
        <w:rPr>
          <w:rFonts w:eastAsia="Times New Roman"/>
          <w:szCs w:val="24"/>
        </w:rPr>
        <w:t>vyšší nároky na kvalitu ŽP vedou k tomu, že pro investory se při přísnějších požadavcích na životní prostředí v rámci oboru mohou zdát některé záměry neefektivní, z druhého pohledu investoři investují do výrob šetrných k ŽP</w:t>
      </w:r>
    </w:p>
    <w:p w14:paraId="4A6F4517" w14:textId="77777777" w:rsidR="00797365" w:rsidRPr="00627CFA" w:rsidRDefault="00797365" w:rsidP="00D46B53">
      <w:pPr>
        <w:pStyle w:val="Odstavecseseznamem"/>
        <w:numPr>
          <w:ilvl w:val="0"/>
          <w:numId w:val="575"/>
        </w:numPr>
        <w:tabs>
          <w:tab w:val="left" w:pos="240"/>
        </w:tabs>
        <w:spacing w:after="120"/>
        <w:ind w:left="0"/>
        <w:rPr>
          <w:szCs w:val="24"/>
        </w:rPr>
      </w:pPr>
      <w:r w:rsidRPr="00627CFA">
        <w:rPr>
          <w:rFonts w:eastAsia="Times New Roman"/>
          <w:b/>
          <w:bCs/>
          <w:iCs/>
          <w:szCs w:val="24"/>
        </w:rPr>
        <w:t xml:space="preserve">zahraniční obchod - </w:t>
      </w:r>
      <w:r w:rsidRPr="00627CFA">
        <w:rPr>
          <w:rFonts w:eastAsia="Times New Roman"/>
          <w:szCs w:val="24"/>
        </w:rPr>
        <w:t>vyspělé státy se snaží vytěsňovat výroby škodlivé na životní prostředí do méně rozvinutých zemí, firmám se zvyšují náklady a tím se jim snižuje konkurenceschopnost na mezinárodních trzích</w:t>
      </w:r>
    </w:p>
    <w:p w14:paraId="4A6F4518" w14:textId="77777777" w:rsidR="00797365" w:rsidRPr="00627CFA" w:rsidRDefault="00797365" w:rsidP="00D46B53">
      <w:pPr>
        <w:pStyle w:val="Odstavecseseznamem"/>
        <w:numPr>
          <w:ilvl w:val="0"/>
          <w:numId w:val="575"/>
        </w:numPr>
        <w:tabs>
          <w:tab w:val="left" w:pos="240"/>
        </w:tabs>
        <w:spacing w:after="120"/>
        <w:ind w:left="0"/>
        <w:rPr>
          <w:szCs w:val="24"/>
        </w:rPr>
      </w:pPr>
      <w:r w:rsidRPr="00627CFA">
        <w:rPr>
          <w:rFonts w:eastAsia="Times New Roman"/>
          <w:b/>
          <w:bCs/>
          <w:iCs/>
          <w:szCs w:val="24"/>
        </w:rPr>
        <w:t xml:space="preserve">přerozdělování bohatství ve společnosti - </w:t>
      </w:r>
      <w:r w:rsidRPr="00627CFA">
        <w:rPr>
          <w:rFonts w:eastAsia="Times New Roman"/>
          <w:szCs w:val="24"/>
        </w:rPr>
        <w:t xml:space="preserve">zpřísňování požadavků na ochranu životního prostředí se dotýká ekonomických zájmů jednotlivých subjektů, zejména firem, pro které znamenají vyšší náklady, trend naráží na politickou prosaditelnost, kdy politik v parlamentu </w:t>
      </w:r>
      <w:r w:rsidR="00627CFA">
        <w:rPr>
          <w:rFonts w:eastAsia="Times New Roman"/>
          <w:szCs w:val="24"/>
        </w:rPr>
        <w:br/>
      </w:r>
      <w:r w:rsidRPr="00627CFA">
        <w:rPr>
          <w:rFonts w:eastAsia="Times New Roman"/>
          <w:szCs w:val="24"/>
        </w:rPr>
        <w:t>v důsledku vlivu politického boje a lobbyistických skupin těžko prosadí přísné návrhy na ochranu životního prostředí a návrhy tak musí zmírnit</w:t>
      </w:r>
    </w:p>
    <w:p w14:paraId="4A6F4519" w14:textId="77777777" w:rsidR="00797365" w:rsidRPr="00627CFA" w:rsidRDefault="00797365" w:rsidP="00D46B53">
      <w:pPr>
        <w:pStyle w:val="Odstavecseseznamem"/>
        <w:numPr>
          <w:ilvl w:val="0"/>
          <w:numId w:val="575"/>
        </w:numPr>
        <w:tabs>
          <w:tab w:val="left" w:pos="240"/>
        </w:tabs>
        <w:spacing w:after="120"/>
        <w:ind w:left="0"/>
        <w:rPr>
          <w:rFonts w:eastAsia="Times New Roman"/>
          <w:szCs w:val="24"/>
        </w:rPr>
      </w:pPr>
      <w:r w:rsidRPr="00627CFA">
        <w:rPr>
          <w:rFonts w:eastAsia="Times New Roman"/>
          <w:b/>
          <w:bCs/>
          <w:iCs/>
          <w:szCs w:val="24"/>
        </w:rPr>
        <w:t xml:space="preserve">ekonomický růst - </w:t>
      </w:r>
      <w:r w:rsidRPr="00627CFA">
        <w:rPr>
          <w:rFonts w:eastAsia="Times New Roman"/>
          <w:szCs w:val="24"/>
        </w:rPr>
        <w:t>přísné požadavky na ochranu životní prostředí sice snižují produkci, ale protože vznikají nové ekologické služby, výroba se i zvyšuje</w:t>
      </w:r>
    </w:p>
    <w:p w14:paraId="4A6F451A" w14:textId="77777777" w:rsidR="00797365" w:rsidRPr="00FC3B7C" w:rsidRDefault="00797365" w:rsidP="00797365">
      <w:pPr>
        <w:pStyle w:val="Odstavecseseznamem"/>
        <w:tabs>
          <w:tab w:val="left" w:pos="240"/>
        </w:tabs>
        <w:spacing w:after="120"/>
        <w:ind w:left="0"/>
        <w:rPr>
          <w:rFonts w:eastAsia="Times New Roman"/>
          <w:sz w:val="19"/>
          <w:szCs w:val="19"/>
        </w:rPr>
      </w:pPr>
    </w:p>
    <w:p w14:paraId="4A6F451B" w14:textId="0EB376BD" w:rsidR="00797365" w:rsidRPr="004A163A" w:rsidRDefault="004A163A" w:rsidP="00627CFA">
      <w:pPr>
        <w:pStyle w:val="Nadpis3"/>
        <w:rPr>
          <w:rFonts w:eastAsia="Times New Roman"/>
          <w:color w:val="1F3864" w:themeColor="accent1" w:themeShade="80"/>
        </w:rPr>
      </w:pPr>
      <w:r w:rsidRPr="004A163A">
        <w:rPr>
          <w:rFonts w:eastAsia="Times New Roman"/>
          <w:color w:val="1F3864" w:themeColor="accent1" w:themeShade="80"/>
        </w:rPr>
        <w:t xml:space="preserve"> </w:t>
      </w:r>
      <w:r w:rsidR="00797365" w:rsidRPr="004A163A">
        <w:rPr>
          <w:rFonts w:eastAsia="Times New Roman"/>
          <w:color w:val="1F3864" w:themeColor="accent1" w:themeShade="80"/>
        </w:rPr>
        <w:t>DŮLEŽITÉ ÚMLUVY</w:t>
      </w:r>
    </w:p>
    <w:p w14:paraId="4A6F451C" w14:textId="77777777" w:rsidR="00797365" w:rsidRPr="00627CFA" w:rsidRDefault="00797365" w:rsidP="00627CFA">
      <w:pPr>
        <w:spacing w:after="120"/>
        <w:rPr>
          <w:szCs w:val="24"/>
        </w:rPr>
      </w:pPr>
      <w:r w:rsidRPr="00627CFA">
        <w:rPr>
          <w:rFonts w:eastAsia="Times New Roman"/>
          <w:b/>
          <w:bCs/>
          <w:szCs w:val="24"/>
        </w:rPr>
        <w:t>Kjótský protokol 1997</w:t>
      </w:r>
      <w:r w:rsidRPr="00627CFA">
        <w:rPr>
          <w:rFonts w:eastAsia="Times New Roman"/>
          <w:szCs w:val="24"/>
        </w:rPr>
        <w:t>, smlouva o redukci skleníkových plynů</w:t>
      </w:r>
      <w:r w:rsidRPr="00627CFA">
        <w:rPr>
          <w:rFonts w:eastAsia="Times New Roman"/>
          <w:b/>
          <w:bCs/>
          <w:szCs w:val="24"/>
        </w:rPr>
        <w:t xml:space="preserve">. </w:t>
      </w:r>
      <w:r w:rsidRPr="00627CFA">
        <w:rPr>
          <w:rFonts w:eastAsia="Times New Roman"/>
          <w:szCs w:val="24"/>
        </w:rPr>
        <w:t>Cílem snížení emisí těchto plynů o 5,2 %. Nepovedlo se zejména kvůli odstoupení USA od smlouvy. Mezi opatření patří energeticky šetrnější technologie, energeticky úsporná doprava, dopravy, bydlení, hospodářství. Zavedeny emisní povolenky obchodovatelné mezi zeměmi EU. Omezení emisí může být velmi nákladné, může zpomalit růst HDP.</w:t>
      </w:r>
    </w:p>
    <w:p w14:paraId="4A6F451D" w14:textId="77777777" w:rsidR="00797365" w:rsidRPr="00627CFA" w:rsidRDefault="00797365" w:rsidP="00627CFA">
      <w:pPr>
        <w:spacing w:after="120"/>
        <w:rPr>
          <w:rFonts w:eastAsia="Times New Roman"/>
          <w:szCs w:val="24"/>
        </w:rPr>
      </w:pPr>
      <w:r w:rsidRPr="00627CFA">
        <w:rPr>
          <w:rFonts w:eastAsia="Times New Roman"/>
          <w:b/>
          <w:bCs/>
          <w:szCs w:val="24"/>
        </w:rPr>
        <w:t xml:space="preserve">Pařížská dohoda 2015, </w:t>
      </w:r>
      <w:r w:rsidRPr="00627CFA">
        <w:rPr>
          <w:rFonts w:eastAsia="Times New Roman"/>
          <w:szCs w:val="24"/>
        </w:rPr>
        <w:t>navazuje na Kjótský</w:t>
      </w:r>
      <w:r w:rsidRPr="00627CFA">
        <w:rPr>
          <w:rFonts w:eastAsia="Times New Roman"/>
          <w:b/>
          <w:bCs/>
          <w:szCs w:val="24"/>
        </w:rPr>
        <w:t xml:space="preserve"> </w:t>
      </w:r>
      <w:r w:rsidRPr="00627CFA">
        <w:rPr>
          <w:rFonts w:eastAsia="Times New Roman"/>
          <w:szCs w:val="24"/>
        </w:rPr>
        <w:t>protokol, opět omezit emise. Cílem snížit globální</w:t>
      </w:r>
      <w:r w:rsidRPr="00627CFA">
        <w:rPr>
          <w:rFonts w:eastAsia="Times New Roman"/>
          <w:b/>
          <w:bCs/>
          <w:szCs w:val="24"/>
        </w:rPr>
        <w:t xml:space="preserve"> </w:t>
      </w:r>
      <w:r w:rsidRPr="00627CFA">
        <w:rPr>
          <w:rFonts w:eastAsia="Times New Roman"/>
          <w:szCs w:val="24"/>
        </w:rPr>
        <w:t>teplotu o 2 °C vzhledem k před-industriální době. Největšími producenty emisí jsou USA, Čína a Indie. Konflikt vyspělých a rozvojových zemí. Rozvojové země mající značné zásoby fosilních paliv (zejména uhlí) chtějí mít možnost využít tento levný zdroj energie. Vyspělé země jsou proti a snaží se prosadit ekologičtější způsoby jako je vítr, slunce, voda. Dohoda nemá dostatečně silný donucovací mechanismus pro země neplnící závazky.</w:t>
      </w:r>
    </w:p>
    <w:p w14:paraId="4A6F451E" w14:textId="77777777" w:rsidR="00797365" w:rsidRPr="00627CFA" w:rsidRDefault="00797365" w:rsidP="00797365">
      <w:pPr>
        <w:spacing w:after="120"/>
        <w:rPr>
          <w:rFonts w:eastAsia="Times New Roman"/>
          <w:color w:val="FF0000"/>
          <w:sz w:val="19"/>
          <w:szCs w:val="19"/>
        </w:rPr>
      </w:pPr>
      <w:r w:rsidRPr="00627CFA">
        <w:rPr>
          <w:rFonts w:eastAsia="Times New Roman"/>
          <w:b/>
          <w:bCs/>
          <w:szCs w:val="24"/>
        </w:rPr>
        <w:lastRenderedPageBreak/>
        <w:t>LEGISLATIVA</w:t>
      </w:r>
      <w:r w:rsidRPr="00627CFA">
        <w:rPr>
          <w:rFonts w:eastAsia="Times New Roman"/>
          <w:color w:val="FF0000"/>
          <w:sz w:val="19"/>
          <w:szCs w:val="19"/>
        </w:rPr>
        <w:t xml:space="preserve"> </w:t>
      </w:r>
    </w:p>
    <w:p w14:paraId="4A6F451F" w14:textId="77777777" w:rsidR="00797365" w:rsidRPr="00627CFA" w:rsidRDefault="00797365" w:rsidP="00627CFA">
      <w:pPr>
        <w:spacing w:after="120"/>
        <w:rPr>
          <w:rFonts w:eastAsia="Times New Roman"/>
          <w:szCs w:val="24"/>
        </w:rPr>
      </w:pPr>
      <w:r w:rsidRPr="00627CFA">
        <w:rPr>
          <w:rFonts w:eastAsia="Times New Roman"/>
          <w:szCs w:val="24"/>
        </w:rPr>
        <w:t>Např.</w:t>
      </w:r>
    </w:p>
    <w:p w14:paraId="4A6F4520" w14:textId="77777777" w:rsidR="00797365" w:rsidRPr="00627CFA" w:rsidRDefault="00797365" w:rsidP="00D46B53">
      <w:pPr>
        <w:pStyle w:val="Odstavecseseznamem"/>
        <w:numPr>
          <w:ilvl w:val="0"/>
          <w:numId w:val="575"/>
        </w:numPr>
        <w:spacing w:after="120"/>
        <w:rPr>
          <w:rFonts w:eastAsia="Times New Roman"/>
          <w:szCs w:val="24"/>
        </w:rPr>
      </w:pPr>
      <w:r w:rsidRPr="00627CFA">
        <w:rPr>
          <w:rFonts w:eastAsia="Times New Roman"/>
          <w:szCs w:val="24"/>
        </w:rPr>
        <w:t>zákon č. 17/1992 Sb. o životním prostředí</w:t>
      </w:r>
    </w:p>
    <w:p w14:paraId="4A6F4521" w14:textId="77777777" w:rsidR="00797365" w:rsidRPr="00627CFA" w:rsidRDefault="00797365" w:rsidP="00D46B53">
      <w:pPr>
        <w:pStyle w:val="Odstavecseseznamem"/>
        <w:numPr>
          <w:ilvl w:val="0"/>
          <w:numId w:val="575"/>
        </w:numPr>
        <w:spacing w:after="120"/>
        <w:rPr>
          <w:rFonts w:eastAsia="Times New Roman"/>
          <w:szCs w:val="24"/>
        </w:rPr>
      </w:pPr>
      <w:r w:rsidRPr="00627CFA">
        <w:rPr>
          <w:rFonts w:eastAsia="Times New Roman"/>
          <w:szCs w:val="24"/>
        </w:rPr>
        <w:t>zákon č. 123/1998 Sb. o právu na informace o životním prostředí</w:t>
      </w:r>
    </w:p>
    <w:p w14:paraId="4A6F4522" w14:textId="77777777" w:rsidR="00797365" w:rsidRPr="00627CFA" w:rsidRDefault="00797365" w:rsidP="00D46B53">
      <w:pPr>
        <w:pStyle w:val="Odstavecseseznamem"/>
        <w:numPr>
          <w:ilvl w:val="0"/>
          <w:numId w:val="575"/>
        </w:numPr>
        <w:spacing w:after="120"/>
        <w:rPr>
          <w:rFonts w:eastAsia="Times New Roman"/>
          <w:szCs w:val="24"/>
        </w:rPr>
      </w:pPr>
      <w:r w:rsidRPr="00627CFA">
        <w:rPr>
          <w:rFonts w:eastAsia="Times New Roman"/>
          <w:szCs w:val="24"/>
        </w:rPr>
        <w:t>zákon č. 282/1991 Sb. o České inspekci životního prostředí a její působnosti v ochraně lesa</w:t>
      </w:r>
    </w:p>
    <w:p w14:paraId="4A6F4523" w14:textId="77777777" w:rsidR="00797365" w:rsidRPr="00627CFA" w:rsidRDefault="00797365" w:rsidP="00D46B53">
      <w:pPr>
        <w:pStyle w:val="Odstavecseseznamem"/>
        <w:numPr>
          <w:ilvl w:val="0"/>
          <w:numId w:val="575"/>
        </w:numPr>
        <w:spacing w:after="120"/>
        <w:rPr>
          <w:rFonts w:eastAsia="Times New Roman"/>
          <w:szCs w:val="24"/>
        </w:rPr>
      </w:pPr>
      <w:r w:rsidRPr="00627CFA">
        <w:rPr>
          <w:rFonts w:eastAsia="Times New Roman"/>
          <w:szCs w:val="24"/>
        </w:rPr>
        <w:t>zákon ČNR č. 388/1991 Sb. o Státním fondu životního prostředí (ČNR = česká národní rada)</w:t>
      </w:r>
    </w:p>
    <w:p w14:paraId="4A6F4524" w14:textId="77777777" w:rsidR="00797365" w:rsidRPr="00627CFA" w:rsidRDefault="00797365" w:rsidP="00627CFA">
      <w:pPr>
        <w:spacing w:after="120"/>
        <w:rPr>
          <w:rFonts w:eastAsia="Times New Roman"/>
          <w:b/>
          <w:bCs/>
          <w:szCs w:val="24"/>
        </w:rPr>
      </w:pPr>
      <w:r w:rsidRPr="00627CFA">
        <w:rPr>
          <w:rFonts w:eastAsia="Times New Roman"/>
          <w:b/>
          <w:bCs/>
          <w:szCs w:val="24"/>
        </w:rPr>
        <w:t>EKOLOGICKÉ ORGANIZACE</w:t>
      </w:r>
    </w:p>
    <w:p w14:paraId="4A6F4525" w14:textId="77777777" w:rsidR="00797365" w:rsidRPr="00627CFA" w:rsidRDefault="00797365" w:rsidP="00D46B53">
      <w:pPr>
        <w:pStyle w:val="Odstavecseseznamem"/>
        <w:numPr>
          <w:ilvl w:val="0"/>
          <w:numId w:val="575"/>
        </w:numPr>
        <w:spacing w:after="120"/>
        <w:rPr>
          <w:rFonts w:eastAsia="Times New Roman"/>
          <w:szCs w:val="24"/>
        </w:rPr>
      </w:pPr>
      <w:r w:rsidRPr="00627CFA">
        <w:rPr>
          <w:rFonts w:eastAsia="Times New Roman"/>
          <w:szCs w:val="24"/>
        </w:rPr>
        <w:t>Český svaz ochánců přírody</w:t>
      </w:r>
    </w:p>
    <w:p w14:paraId="4A6F4526" w14:textId="77777777" w:rsidR="00797365" w:rsidRPr="00627CFA" w:rsidRDefault="00797365" w:rsidP="00D46B53">
      <w:pPr>
        <w:pStyle w:val="Odstavecseseznamem"/>
        <w:numPr>
          <w:ilvl w:val="0"/>
          <w:numId w:val="575"/>
        </w:numPr>
        <w:spacing w:after="120"/>
        <w:rPr>
          <w:rFonts w:eastAsia="Times New Roman"/>
          <w:szCs w:val="24"/>
        </w:rPr>
      </w:pPr>
      <w:r w:rsidRPr="00627CFA">
        <w:rPr>
          <w:rFonts w:eastAsia="Times New Roman"/>
          <w:szCs w:val="24"/>
        </w:rPr>
        <w:t>Arnika</w:t>
      </w:r>
    </w:p>
    <w:p w14:paraId="4A6F4527" w14:textId="77777777" w:rsidR="00797365" w:rsidRPr="00627CFA" w:rsidRDefault="00797365" w:rsidP="00D46B53">
      <w:pPr>
        <w:pStyle w:val="Odstavecseseznamem"/>
        <w:numPr>
          <w:ilvl w:val="0"/>
          <w:numId w:val="575"/>
        </w:numPr>
        <w:spacing w:after="120"/>
        <w:rPr>
          <w:rFonts w:eastAsia="Times New Roman"/>
          <w:szCs w:val="24"/>
        </w:rPr>
      </w:pPr>
      <w:r w:rsidRPr="00627CFA">
        <w:rPr>
          <w:rFonts w:eastAsia="Times New Roman"/>
          <w:szCs w:val="24"/>
        </w:rPr>
        <w:t>Děti Země</w:t>
      </w:r>
    </w:p>
    <w:p w14:paraId="4A6F4528" w14:textId="77777777" w:rsidR="00797365" w:rsidRPr="00627CFA" w:rsidRDefault="00797365" w:rsidP="00D46B53">
      <w:pPr>
        <w:pStyle w:val="Odstavecseseznamem"/>
        <w:numPr>
          <w:ilvl w:val="0"/>
          <w:numId w:val="575"/>
        </w:numPr>
        <w:spacing w:after="120"/>
        <w:rPr>
          <w:rFonts w:eastAsia="Times New Roman"/>
          <w:szCs w:val="24"/>
        </w:rPr>
      </w:pPr>
      <w:r w:rsidRPr="00627CFA">
        <w:rPr>
          <w:rFonts w:eastAsia="Times New Roman"/>
          <w:szCs w:val="24"/>
        </w:rPr>
        <w:t>Greenpeace</w:t>
      </w:r>
    </w:p>
    <w:p w14:paraId="4A6F452B" w14:textId="71DAE3B9" w:rsidR="00797365" w:rsidRPr="00244BB9" w:rsidRDefault="00797365" w:rsidP="00D46B53">
      <w:pPr>
        <w:pStyle w:val="Odstavecseseznamem"/>
        <w:numPr>
          <w:ilvl w:val="0"/>
          <w:numId w:val="575"/>
        </w:numPr>
        <w:spacing w:after="120"/>
        <w:rPr>
          <w:rFonts w:eastAsia="Times New Roman"/>
          <w:szCs w:val="24"/>
        </w:rPr>
      </w:pPr>
      <w:r w:rsidRPr="00627CFA">
        <w:rPr>
          <w:rFonts w:eastAsia="Times New Roman"/>
          <w:szCs w:val="24"/>
        </w:rPr>
        <w:t>Hnutí Duha</w:t>
      </w:r>
    </w:p>
    <w:p w14:paraId="4A6F452C" w14:textId="032BF5D2" w:rsidR="00797365" w:rsidRPr="00244BB9" w:rsidRDefault="00D20832" w:rsidP="00797365">
      <w:pPr>
        <w:ind w:left="120"/>
        <w:rPr>
          <w:rFonts w:eastAsia="Times New Roman"/>
          <w:b/>
          <w:bCs/>
          <w:color w:val="1F3864" w:themeColor="accent1" w:themeShade="80"/>
          <w:sz w:val="28"/>
          <w:szCs w:val="28"/>
          <w:u w:val="single"/>
        </w:rPr>
      </w:pPr>
      <w:r w:rsidRPr="00244BB9">
        <w:rPr>
          <w:rFonts w:eastAsia="Times New Roman"/>
          <w:b/>
          <w:bCs/>
          <w:color w:val="1F3864" w:themeColor="accent1" w:themeShade="80"/>
          <w:sz w:val="28"/>
          <w:szCs w:val="28"/>
          <w:u w:val="single"/>
        </w:rPr>
        <w:t>Otázky na procvičení:</w:t>
      </w:r>
    </w:p>
    <w:p w14:paraId="4882195C" w14:textId="4213AE5F" w:rsidR="00D20832" w:rsidRPr="00244BB9" w:rsidRDefault="00D20832" w:rsidP="00D20832">
      <w:pPr>
        <w:ind w:left="120"/>
        <w:jc w:val="left"/>
        <w:rPr>
          <w:rFonts w:eastAsia="Times New Roman"/>
          <w:b/>
          <w:bCs/>
          <w:sz w:val="36"/>
          <w:szCs w:val="36"/>
        </w:rPr>
      </w:pPr>
      <w:r w:rsidRPr="00244BB9">
        <w:rPr>
          <w:rFonts w:eastAsiaTheme="minorHAnsi"/>
          <w:szCs w:val="24"/>
          <w:shd w:val="clear" w:color="auto" w:fill="FFFFFF"/>
        </w:rPr>
        <w:t>1. Na co se zaměřuje</w:t>
      </w:r>
      <w:r w:rsidRPr="00244BB9">
        <w:rPr>
          <w:szCs w:val="24"/>
          <w:shd w:val="clear" w:color="auto" w:fill="FFFFFF"/>
        </w:rPr>
        <w:t xml:space="preserve"> státní politika životního prostředí v ČR v letech 2012-2020?</w:t>
      </w:r>
      <w:r w:rsidRPr="00244BB9">
        <w:rPr>
          <w:szCs w:val="24"/>
          <w:shd w:val="clear" w:color="auto" w:fill="FFFFFF"/>
        </w:rPr>
        <w:br/>
        <w:t>2. Zdroje financování ochrany ŽP.</w:t>
      </w:r>
      <w:r w:rsidRPr="00244BB9">
        <w:rPr>
          <w:szCs w:val="24"/>
          <w:shd w:val="clear" w:color="auto" w:fill="FFFFFF"/>
        </w:rPr>
        <w:br/>
        <w:t>3. Nástroje ochrany ŽP.</w:t>
      </w:r>
      <w:r w:rsidRPr="00244BB9">
        <w:rPr>
          <w:szCs w:val="24"/>
          <w:shd w:val="clear" w:color="auto" w:fill="FFFFFF"/>
        </w:rPr>
        <w:br/>
        <w:t>4. Podstata tržního nástroje - emisních povolenek.</w:t>
      </w:r>
      <w:r w:rsidRPr="00244BB9">
        <w:rPr>
          <w:szCs w:val="24"/>
          <w:shd w:val="clear" w:color="auto" w:fill="FFFFFF"/>
        </w:rPr>
        <w:br/>
        <w:t>5. Trvale udržitelný rozvoj a ekonomický růst.</w:t>
      </w:r>
      <w:r w:rsidRPr="00244BB9">
        <w:rPr>
          <w:szCs w:val="24"/>
          <w:shd w:val="clear" w:color="auto" w:fill="FFFFFF"/>
        </w:rPr>
        <w:br/>
        <w:t>6. Právně institucionální rámec ochrany ŽP v ČR.</w:t>
      </w:r>
      <w:r w:rsidRPr="00244BB9">
        <w:rPr>
          <w:szCs w:val="24"/>
          <w:shd w:val="clear" w:color="auto" w:fill="FFFFFF"/>
        </w:rPr>
        <w:br/>
        <w:t>7. Vlivní nositelé HP a ochrana ŽP.</w:t>
      </w:r>
    </w:p>
    <w:p w14:paraId="4A6F452D" w14:textId="77777777" w:rsidR="00797365" w:rsidRPr="00FC3B7C" w:rsidRDefault="00797365" w:rsidP="00797365">
      <w:pPr>
        <w:ind w:left="120"/>
        <w:rPr>
          <w:rFonts w:eastAsia="Times New Roman"/>
          <w:b/>
          <w:bCs/>
          <w:sz w:val="28"/>
          <w:szCs w:val="28"/>
        </w:rPr>
      </w:pPr>
    </w:p>
    <w:p w14:paraId="4A6F452E" w14:textId="77777777" w:rsidR="00797365" w:rsidRPr="00FC3B7C" w:rsidRDefault="00797365" w:rsidP="00797365">
      <w:pPr>
        <w:ind w:left="120"/>
        <w:rPr>
          <w:rFonts w:eastAsia="Times New Roman"/>
          <w:b/>
          <w:bCs/>
          <w:sz w:val="28"/>
          <w:szCs w:val="28"/>
        </w:rPr>
      </w:pPr>
    </w:p>
    <w:p w14:paraId="4A6F452F" w14:textId="77777777" w:rsidR="00797365" w:rsidRPr="00FC3B7C" w:rsidRDefault="00797365" w:rsidP="00797365">
      <w:pPr>
        <w:ind w:left="120"/>
        <w:rPr>
          <w:rFonts w:eastAsia="Times New Roman"/>
          <w:b/>
          <w:bCs/>
          <w:sz w:val="28"/>
          <w:szCs w:val="28"/>
        </w:rPr>
      </w:pPr>
    </w:p>
    <w:p w14:paraId="4A6F4530" w14:textId="77777777" w:rsidR="00797365" w:rsidRPr="00FC3B7C" w:rsidRDefault="00797365" w:rsidP="00797365">
      <w:pPr>
        <w:ind w:left="120"/>
        <w:rPr>
          <w:rFonts w:eastAsia="Times New Roman"/>
          <w:b/>
          <w:bCs/>
          <w:sz w:val="28"/>
          <w:szCs w:val="28"/>
        </w:rPr>
      </w:pPr>
    </w:p>
    <w:p w14:paraId="4A6F4531" w14:textId="77777777" w:rsidR="00A812C9" w:rsidRDefault="00A812C9">
      <w:pPr>
        <w:spacing w:line="240" w:lineRule="auto"/>
        <w:jc w:val="left"/>
        <w:rPr>
          <w:rFonts w:eastAsia="Times New Roman"/>
          <w:b/>
          <w:bCs/>
          <w:sz w:val="28"/>
          <w:szCs w:val="28"/>
        </w:rPr>
      </w:pPr>
      <w:r>
        <w:rPr>
          <w:rFonts w:eastAsia="Times New Roman"/>
          <w:b/>
          <w:bCs/>
          <w:sz w:val="28"/>
          <w:szCs w:val="28"/>
        </w:rPr>
        <w:br w:type="page"/>
      </w:r>
    </w:p>
    <w:p w14:paraId="4A6F4532" w14:textId="77777777" w:rsidR="00797365" w:rsidRPr="00FC3B7C" w:rsidRDefault="00797365" w:rsidP="00797365">
      <w:pPr>
        <w:ind w:left="120"/>
        <w:rPr>
          <w:sz w:val="20"/>
          <w:szCs w:val="20"/>
        </w:rPr>
      </w:pPr>
      <w:r w:rsidRPr="00FC3B7C">
        <w:rPr>
          <w:rFonts w:eastAsia="Times New Roman"/>
          <w:b/>
          <w:bCs/>
          <w:sz w:val="28"/>
          <w:szCs w:val="28"/>
        </w:rPr>
        <w:lastRenderedPageBreak/>
        <w:t>Zdroje</w:t>
      </w:r>
    </w:p>
    <w:p w14:paraId="4A6F4533" w14:textId="77777777" w:rsidR="00797365" w:rsidRPr="00FC3B7C" w:rsidRDefault="00797365" w:rsidP="00797365">
      <w:pPr>
        <w:spacing w:line="347" w:lineRule="exact"/>
        <w:rPr>
          <w:sz w:val="20"/>
          <w:szCs w:val="20"/>
        </w:rPr>
      </w:pPr>
    </w:p>
    <w:p w14:paraId="4A6F4537" w14:textId="50D9CF0C" w:rsidR="00797365" w:rsidRPr="00847363" w:rsidRDefault="00847363" w:rsidP="00847363">
      <w:r w:rsidRPr="00FC3B7C">
        <w:t xml:space="preserve">VOSTROVSKÁ, Z. </w:t>
      </w:r>
      <w:r>
        <w:t>a</w:t>
      </w:r>
      <w:r w:rsidRPr="00FC3B7C">
        <w:t xml:space="preserve"> kol.: Skripta</w:t>
      </w:r>
      <w:r>
        <w:t xml:space="preserve"> ke s</w:t>
      </w:r>
      <w:r w:rsidRPr="00FC3B7C">
        <w:t>tátní zkoušce</w:t>
      </w:r>
      <w:r>
        <w:t xml:space="preserve"> </w:t>
      </w:r>
      <w:r w:rsidRPr="00FC3B7C">
        <w:t>ze</w:t>
      </w:r>
      <w:r>
        <w:t xml:space="preserve"> </w:t>
      </w:r>
      <w:r w:rsidRPr="00FC3B7C">
        <w:t xml:space="preserve">studijního oboru Národní </w:t>
      </w:r>
      <w:r>
        <w:t xml:space="preserve"> </w:t>
      </w:r>
      <w:r w:rsidRPr="00FC3B7C">
        <w:t>hospodářství, Sebrané</w:t>
      </w:r>
      <w:r>
        <w:t xml:space="preserve"> </w:t>
      </w:r>
      <w:r w:rsidRPr="00FC3B7C">
        <w:t>referáty</w:t>
      </w:r>
      <w:r>
        <w:t xml:space="preserve"> </w:t>
      </w:r>
      <w:r w:rsidRPr="00FC3B7C">
        <w:t>z</w:t>
      </w:r>
      <w:r>
        <w:t xml:space="preserve"> </w:t>
      </w:r>
      <w:r w:rsidRPr="00FC3B7C">
        <w:t>kurzu 5HP324,LS2013</w:t>
      </w:r>
    </w:p>
    <w:p w14:paraId="292A075C" w14:textId="77777777" w:rsidR="00847363" w:rsidRDefault="00847363" w:rsidP="004A163A">
      <w:pPr>
        <w:rPr>
          <w:rFonts w:eastAsia="Times New Roman"/>
          <w:szCs w:val="24"/>
        </w:rPr>
      </w:pPr>
    </w:p>
    <w:p w14:paraId="4A6F4538" w14:textId="3AAAFD2B" w:rsidR="00797365" w:rsidRDefault="00797365" w:rsidP="004A163A">
      <w:pPr>
        <w:rPr>
          <w:rFonts w:eastAsia="Times New Roman"/>
          <w:szCs w:val="24"/>
        </w:rPr>
      </w:pPr>
      <w:r w:rsidRPr="00FC3B7C">
        <w:rPr>
          <w:rFonts w:eastAsia="Times New Roman"/>
          <w:szCs w:val="24"/>
        </w:rPr>
        <w:t>Přednášky k předmětu 5ZP200</w:t>
      </w:r>
    </w:p>
    <w:p w14:paraId="4CBF3AC1" w14:textId="77777777" w:rsidR="004A163A" w:rsidRPr="00FC3B7C" w:rsidRDefault="004A163A" w:rsidP="004A163A">
      <w:pPr>
        <w:rPr>
          <w:sz w:val="20"/>
          <w:szCs w:val="20"/>
        </w:rPr>
      </w:pPr>
    </w:p>
    <w:p w14:paraId="4A6F453C" w14:textId="1131C2F1" w:rsidR="00797365" w:rsidRDefault="00797365" w:rsidP="004A163A">
      <w:pPr>
        <w:rPr>
          <w:rFonts w:eastAsia="Times New Roman"/>
          <w:szCs w:val="24"/>
        </w:rPr>
      </w:pPr>
      <w:r w:rsidRPr="00FC3B7C">
        <w:rPr>
          <w:rFonts w:eastAsia="Times New Roman"/>
          <w:szCs w:val="24"/>
        </w:rPr>
        <w:t>HOLMAN Robert, Dějiny ekonomického myšlení, C.H.Beck, Praha2005,3.vydání,ISBN</w:t>
      </w:r>
      <w:r w:rsidR="004A163A">
        <w:rPr>
          <w:sz w:val="20"/>
          <w:szCs w:val="20"/>
        </w:rPr>
        <w:t xml:space="preserve"> </w:t>
      </w:r>
      <w:r w:rsidRPr="00FC3B7C">
        <w:rPr>
          <w:rFonts w:eastAsia="Times New Roman"/>
          <w:szCs w:val="24"/>
        </w:rPr>
        <w:t>80-7179-380-9</w:t>
      </w:r>
    </w:p>
    <w:p w14:paraId="3D104808" w14:textId="77777777" w:rsidR="004A163A" w:rsidRPr="00FC3B7C" w:rsidRDefault="004A163A" w:rsidP="004A163A">
      <w:pPr>
        <w:rPr>
          <w:sz w:val="20"/>
          <w:szCs w:val="20"/>
        </w:rPr>
      </w:pPr>
    </w:p>
    <w:p w14:paraId="4A6F453E" w14:textId="77777777" w:rsidR="00797365" w:rsidRPr="00FC3B7C" w:rsidRDefault="00797365" w:rsidP="004A163A">
      <w:pPr>
        <w:spacing w:line="255" w:lineRule="auto"/>
        <w:ind w:right="340"/>
        <w:rPr>
          <w:sz w:val="20"/>
          <w:szCs w:val="20"/>
        </w:rPr>
      </w:pPr>
      <w:r w:rsidRPr="00FC3B7C">
        <w:rPr>
          <w:rFonts w:eastAsia="Times New Roman"/>
          <w:szCs w:val="24"/>
        </w:rPr>
        <w:t>SLAVÍKOVÁ, L., VEJCHODSKÁ,E.,SLAVÍK,J.Ekonomie životního prostředí-Teorie a politika. Alfa nakladatelství. 2012,č. 1, s. 117-137.ISBN: 978-80-87197-45-5.</w:t>
      </w:r>
    </w:p>
    <w:p w14:paraId="4A6F453F" w14:textId="77777777" w:rsidR="00797365" w:rsidRPr="00FC3B7C" w:rsidRDefault="00797365" w:rsidP="00797365">
      <w:pPr>
        <w:spacing w:line="1" w:lineRule="exact"/>
        <w:rPr>
          <w:sz w:val="20"/>
          <w:szCs w:val="20"/>
        </w:rPr>
      </w:pPr>
    </w:p>
    <w:p w14:paraId="2105B9DB" w14:textId="77777777" w:rsidR="004A163A" w:rsidRDefault="004A163A" w:rsidP="00797365">
      <w:pPr>
        <w:rPr>
          <w:rFonts w:eastAsia="Times New Roman"/>
          <w:szCs w:val="24"/>
        </w:rPr>
      </w:pPr>
    </w:p>
    <w:p w14:paraId="4A6F4540" w14:textId="15DED7B3" w:rsidR="00797365" w:rsidRPr="00FC3B7C" w:rsidRDefault="00797365" w:rsidP="00797365">
      <w:pPr>
        <w:rPr>
          <w:sz w:val="20"/>
          <w:szCs w:val="20"/>
        </w:rPr>
      </w:pPr>
      <w:r w:rsidRPr="00FC3B7C">
        <w:rPr>
          <w:rFonts w:eastAsia="Times New Roman"/>
          <w:szCs w:val="24"/>
        </w:rPr>
        <w:t>Státní politika životního prostředí České republiky 2012–2020, Ministerstvo životního</w:t>
      </w:r>
    </w:p>
    <w:p w14:paraId="4A6F4541" w14:textId="77777777" w:rsidR="00797365" w:rsidRPr="00FC3B7C" w:rsidRDefault="00797365" w:rsidP="00797365">
      <w:pPr>
        <w:rPr>
          <w:sz w:val="20"/>
          <w:szCs w:val="20"/>
        </w:rPr>
      </w:pPr>
      <w:r w:rsidRPr="00FC3B7C">
        <w:rPr>
          <w:rFonts w:eastAsia="Times New Roman"/>
          <w:szCs w:val="24"/>
        </w:rPr>
        <w:t>prostředí, dostupné z:</w:t>
      </w:r>
    </w:p>
    <w:p w14:paraId="4A6F4542" w14:textId="77777777" w:rsidR="00797365" w:rsidRPr="00FC3B7C" w:rsidRDefault="00797365" w:rsidP="00797365">
      <w:pPr>
        <w:rPr>
          <w:sz w:val="20"/>
          <w:szCs w:val="20"/>
        </w:rPr>
      </w:pPr>
      <w:r w:rsidRPr="00FC3B7C">
        <w:rPr>
          <w:rFonts w:eastAsia="Times New Roman"/>
          <w:sz w:val="23"/>
          <w:szCs w:val="23"/>
        </w:rPr>
        <w:t>http://www.mzp.cz/C1257458002F0DC7/cz/statni_politika_zivotniho_prostredi/$FILE/OED</w:t>
      </w:r>
    </w:p>
    <w:p w14:paraId="4A6F4543" w14:textId="77777777" w:rsidR="00797365" w:rsidRPr="00FC3B7C" w:rsidRDefault="00797365" w:rsidP="00797365">
      <w:pPr>
        <w:spacing w:line="11" w:lineRule="exact"/>
        <w:rPr>
          <w:sz w:val="20"/>
          <w:szCs w:val="20"/>
        </w:rPr>
      </w:pPr>
    </w:p>
    <w:p w14:paraId="4A6F4544" w14:textId="77777777" w:rsidR="00797365" w:rsidRPr="00FC3B7C" w:rsidRDefault="00797365" w:rsidP="00797365">
      <w:pPr>
        <w:rPr>
          <w:sz w:val="20"/>
          <w:szCs w:val="20"/>
        </w:rPr>
      </w:pPr>
      <w:r w:rsidRPr="00FC3B7C">
        <w:rPr>
          <w:rFonts w:eastAsia="Times New Roman"/>
          <w:szCs w:val="24"/>
        </w:rPr>
        <w:t>N-statni_politika_zp-20130110.pdf.p</w:t>
      </w:r>
    </w:p>
    <w:p w14:paraId="4A6F4545" w14:textId="77777777" w:rsidR="00797365" w:rsidRPr="00FC3B7C" w:rsidRDefault="00797365" w:rsidP="00797365"/>
    <w:p w14:paraId="4A6F4546" w14:textId="77777777" w:rsidR="00797365" w:rsidRPr="00FC3B7C" w:rsidRDefault="00627CFA" w:rsidP="00627CFA">
      <w:pPr>
        <w:jc w:val="left"/>
        <w:sectPr w:rsidR="00797365" w:rsidRPr="00FC3B7C">
          <w:headerReference w:type="even" r:id="rId90"/>
          <w:headerReference w:type="default" r:id="rId91"/>
          <w:footerReference w:type="even" r:id="rId92"/>
          <w:headerReference w:type="first" r:id="rId93"/>
          <w:footerReference w:type="first" r:id="rId94"/>
          <w:pgSz w:w="11900" w:h="16840"/>
          <w:pgMar w:top="1391" w:right="1440" w:bottom="1440" w:left="1420" w:header="0" w:footer="0" w:gutter="0"/>
          <w:cols w:space="708" w:equalWidth="0">
            <w:col w:w="9040"/>
          </w:cols>
        </w:sectPr>
      </w:pPr>
      <w:r>
        <w:t xml:space="preserve">Ministerstvo životního </w:t>
      </w:r>
      <w:r w:rsidR="00797365" w:rsidRPr="00FC3B7C">
        <w:t>prostředí</w:t>
      </w:r>
    </w:p>
    <w:p w14:paraId="4A6F4547" w14:textId="77777777" w:rsidR="008E0F74" w:rsidRPr="004A163A" w:rsidRDefault="00256F29" w:rsidP="004A163A">
      <w:pPr>
        <w:pStyle w:val="Nadpis1"/>
        <w:ind w:left="0" w:hanging="7"/>
        <w:rPr>
          <w:color w:val="1F3864" w:themeColor="accent1" w:themeShade="80"/>
        </w:rPr>
      </w:pPr>
      <w:bookmarkStart w:id="285" w:name="_Toc54254087"/>
      <w:r w:rsidRPr="004A163A">
        <w:rPr>
          <w:color w:val="1F3864" w:themeColor="accent1" w:themeShade="80"/>
        </w:rPr>
        <w:lastRenderedPageBreak/>
        <w:t>REGIONÁLNÍ POLITIKA</w:t>
      </w:r>
      <w:bookmarkEnd w:id="285"/>
    </w:p>
    <w:p w14:paraId="4A6F4548" w14:textId="77777777" w:rsidR="008E0F74" w:rsidRPr="00A812C9" w:rsidRDefault="00256F29" w:rsidP="00D46B53">
      <w:pPr>
        <w:pStyle w:val="Odstavecseseznamem"/>
        <w:numPr>
          <w:ilvl w:val="0"/>
          <w:numId w:val="575"/>
        </w:numPr>
        <w:rPr>
          <w:i/>
          <w:szCs w:val="24"/>
        </w:rPr>
      </w:pPr>
      <w:r w:rsidRPr="00A812C9">
        <w:rPr>
          <w:rFonts w:eastAsia="Times New Roman"/>
          <w:bCs/>
          <w:i/>
          <w:szCs w:val="24"/>
        </w:rPr>
        <w:t>Regionální politika je hlavní investiční politikou EU</w:t>
      </w:r>
    </w:p>
    <w:p w14:paraId="4A6F4549" w14:textId="77777777" w:rsidR="00A812C9" w:rsidRDefault="00A812C9" w:rsidP="00A812C9">
      <w:pPr>
        <w:ind w:left="4"/>
        <w:rPr>
          <w:rFonts w:eastAsia="Times New Roman"/>
          <w:b/>
          <w:bCs/>
          <w:szCs w:val="24"/>
        </w:rPr>
      </w:pPr>
    </w:p>
    <w:p w14:paraId="4A6F454A" w14:textId="77777777" w:rsidR="008E0F74" w:rsidRPr="00A812C9" w:rsidRDefault="00256F29" w:rsidP="00A812C9">
      <w:pPr>
        <w:ind w:left="4"/>
        <w:rPr>
          <w:szCs w:val="24"/>
        </w:rPr>
      </w:pPr>
      <w:r w:rsidRPr="00A812C9">
        <w:rPr>
          <w:rFonts w:eastAsia="Times New Roman"/>
          <w:b/>
          <w:bCs/>
          <w:szCs w:val="24"/>
        </w:rPr>
        <w:t>Zkratky:</w:t>
      </w:r>
    </w:p>
    <w:p w14:paraId="4A6F454B" w14:textId="77777777" w:rsidR="008E0F74" w:rsidRPr="00A812C9" w:rsidRDefault="00256F29" w:rsidP="00A812C9">
      <w:pPr>
        <w:ind w:left="284"/>
        <w:rPr>
          <w:szCs w:val="24"/>
        </w:rPr>
      </w:pPr>
      <w:r w:rsidRPr="00A812C9">
        <w:rPr>
          <w:rFonts w:eastAsia="Times New Roman"/>
          <w:b/>
          <w:bCs/>
          <w:szCs w:val="24"/>
        </w:rPr>
        <w:t>EAGGF = Evropský zemědělský garanční podpůrný fond</w:t>
      </w:r>
    </w:p>
    <w:p w14:paraId="4A6F454C" w14:textId="77777777" w:rsidR="008E0F74" w:rsidRPr="00A812C9" w:rsidRDefault="00256F29" w:rsidP="00A812C9">
      <w:pPr>
        <w:ind w:left="284"/>
        <w:rPr>
          <w:szCs w:val="24"/>
        </w:rPr>
      </w:pPr>
      <w:r w:rsidRPr="00A812C9">
        <w:rPr>
          <w:rFonts w:eastAsia="Times New Roman"/>
          <w:b/>
          <w:bCs/>
          <w:szCs w:val="24"/>
        </w:rPr>
        <w:t>ERDF = Evropský fond regionálního rozvoje</w:t>
      </w:r>
    </w:p>
    <w:p w14:paraId="4A6F454D" w14:textId="77777777" w:rsidR="008E0F74" w:rsidRPr="00A812C9" w:rsidRDefault="00256F29" w:rsidP="00A812C9">
      <w:pPr>
        <w:ind w:left="284"/>
        <w:rPr>
          <w:szCs w:val="24"/>
        </w:rPr>
      </w:pPr>
      <w:r w:rsidRPr="00A812C9">
        <w:rPr>
          <w:rFonts w:eastAsia="Times New Roman"/>
          <w:b/>
          <w:bCs/>
          <w:szCs w:val="24"/>
        </w:rPr>
        <w:t>ESF = Evropský sociální fond</w:t>
      </w:r>
    </w:p>
    <w:p w14:paraId="4A6F454E" w14:textId="77777777" w:rsidR="008E0F74" w:rsidRPr="00A812C9" w:rsidRDefault="00256F29" w:rsidP="00A812C9">
      <w:pPr>
        <w:ind w:left="284"/>
        <w:rPr>
          <w:szCs w:val="24"/>
        </w:rPr>
      </w:pPr>
      <w:r w:rsidRPr="00A812C9">
        <w:rPr>
          <w:rFonts w:eastAsia="Times New Roman"/>
          <w:b/>
          <w:bCs/>
          <w:szCs w:val="24"/>
        </w:rPr>
        <w:t>EU = Evropská unie</w:t>
      </w:r>
    </w:p>
    <w:p w14:paraId="4A6F454F" w14:textId="77777777" w:rsidR="008E0F74" w:rsidRPr="00A812C9" w:rsidRDefault="00256F29" w:rsidP="00A812C9">
      <w:pPr>
        <w:ind w:left="284"/>
        <w:rPr>
          <w:szCs w:val="24"/>
        </w:rPr>
      </w:pPr>
      <w:r w:rsidRPr="00A812C9">
        <w:rPr>
          <w:rFonts w:eastAsia="Times New Roman"/>
          <w:b/>
          <w:bCs/>
          <w:szCs w:val="24"/>
        </w:rPr>
        <w:t>KF = Kohezní fond (nebo také fond soudržnosti)</w:t>
      </w:r>
    </w:p>
    <w:p w14:paraId="4A6F4550" w14:textId="77777777" w:rsidR="008E0F74" w:rsidRDefault="00256F29" w:rsidP="00A812C9">
      <w:pPr>
        <w:ind w:left="284"/>
        <w:rPr>
          <w:rFonts w:eastAsia="Times New Roman"/>
          <w:b/>
          <w:bCs/>
          <w:szCs w:val="24"/>
        </w:rPr>
      </w:pPr>
      <w:r w:rsidRPr="00A812C9">
        <w:rPr>
          <w:rFonts w:eastAsia="Times New Roman"/>
          <w:b/>
          <w:bCs/>
          <w:szCs w:val="24"/>
        </w:rPr>
        <w:t>OP = Operační program</w:t>
      </w:r>
    </w:p>
    <w:p w14:paraId="4A6F4551" w14:textId="77777777" w:rsidR="00A812C9" w:rsidRPr="00A812C9" w:rsidRDefault="00A812C9" w:rsidP="00A812C9">
      <w:pPr>
        <w:ind w:left="284"/>
        <w:rPr>
          <w:szCs w:val="24"/>
        </w:rPr>
      </w:pPr>
    </w:p>
    <w:p w14:paraId="4A6F4552" w14:textId="77777777" w:rsidR="008E0F74" w:rsidRPr="00FC3B7C" w:rsidRDefault="008E0F74">
      <w:pPr>
        <w:spacing w:line="137" w:lineRule="exact"/>
        <w:rPr>
          <w:sz w:val="20"/>
          <w:szCs w:val="20"/>
        </w:rPr>
      </w:pPr>
    </w:p>
    <w:p w14:paraId="4A6F4553" w14:textId="77777777" w:rsidR="008E0F74" w:rsidRPr="00FC3B7C" w:rsidRDefault="00256F29">
      <w:pPr>
        <w:ind w:left="4"/>
        <w:rPr>
          <w:sz w:val="20"/>
          <w:szCs w:val="20"/>
        </w:rPr>
      </w:pPr>
      <w:r w:rsidRPr="00FC3B7C">
        <w:rPr>
          <w:rFonts w:eastAsia="Times New Roman"/>
          <w:b/>
          <w:bCs/>
          <w:sz w:val="28"/>
          <w:szCs w:val="28"/>
        </w:rPr>
        <w:t>Slovníček pojmů:</w:t>
      </w:r>
    </w:p>
    <w:p w14:paraId="4A6F4554" w14:textId="77777777" w:rsidR="008E0F74" w:rsidRPr="00FC3B7C" w:rsidRDefault="00256F29" w:rsidP="00A812C9">
      <w:r w:rsidRPr="00FC3B7C">
        <w:rPr>
          <w:rFonts w:eastAsia="Times New Roman"/>
          <w:i/>
          <w:iCs/>
          <w:szCs w:val="24"/>
          <w:u w:val="single"/>
        </w:rPr>
        <w:t>Regionální politika</w:t>
      </w:r>
      <w:r w:rsidRPr="00FC3B7C">
        <w:rPr>
          <w:rFonts w:eastAsia="Times New Roman"/>
          <w:i/>
          <w:iCs/>
          <w:szCs w:val="24"/>
        </w:rPr>
        <w:t xml:space="preserve"> </w:t>
      </w:r>
      <w:r w:rsidRPr="00FC3B7C">
        <w:rPr>
          <w:rFonts w:eastAsia="Times New Roman"/>
          <w:szCs w:val="24"/>
        </w:rPr>
        <w:t>– Soubor intervencí, zaměřených podle konkrétní situace státu a jeho</w:t>
      </w:r>
      <w:r w:rsidRPr="00FC3B7C">
        <w:rPr>
          <w:rFonts w:eastAsia="Times New Roman"/>
          <w:i/>
          <w:iCs/>
          <w:szCs w:val="24"/>
        </w:rPr>
        <w:t xml:space="preserve"> </w:t>
      </w:r>
      <w:r w:rsidRPr="00FC3B7C">
        <w:rPr>
          <w:rFonts w:eastAsia="Times New Roman"/>
          <w:szCs w:val="24"/>
        </w:rPr>
        <w:t xml:space="preserve">regionů a podle očekávaných vývojových tendencí, na podporu opatření vedoucích k růstu ekonomických aktivit a lepšímu územnímu rozložení v území a k rozvoji infrastruktury. Základní podmínkou je jasné definování priorit a koncentrace prostředků na tyto priority </w:t>
      </w:r>
      <w:r w:rsidRPr="00FC3B7C">
        <w:rPr>
          <w:rFonts w:eastAsia="Times New Roman"/>
          <w:i/>
          <w:iCs/>
          <w:szCs w:val="24"/>
          <w:u w:val="single"/>
        </w:rPr>
        <w:t>Regionální rozvoj</w:t>
      </w:r>
      <w:r w:rsidRPr="00FC3B7C">
        <w:rPr>
          <w:rFonts w:eastAsia="Times New Roman"/>
          <w:i/>
          <w:iCs/>
          <w:szCs w:val="24"/>
        </w:rPr>
        <w:t xml:space="preserve"> </w:t>
      </w:r>
      <w:r w:rsidRPr="00FC3B7C">
        <w:rPr>
          <w:rFonts w:eastAsia="Times New Roman"/>
          <w:szCs w:val="24"/>
        </w:rPr>
        <w:t xml:space="preserve">– Růst socioekonomického a environmentálního potenciálu </w:t>
      </w:r>
      <w:r w:rsidR="00A812C9">
        <w:rPr>
          <w:rFonts w:eastAsia="Times New Roman"/>
          <w:szCs w:val="24"/>
        </w:rPr>
        <w:br/>
      </w:r>
      <w:r w:rsidRPr="00FC3B7C">
        <w:rPr>
          <w:rFonts w:eastAsia="Times New Roman"/>
          <w:szCs w:val="24"/>
        </w:rPr>
        <w:t>a</w:t>
      </w:r>
      <w:r w:rsidRPr="00FC3B7C">
        <w:rPr>
          <w:rFonts w:eastAsia="Times New Roman"/>
          <w:i/>
          <w:iCs/>
          <w:szCs w:val="24"/>
        </w:rPr>
        <w:t xml:space="preserve"> </w:t>
      </w:r>
      <w:r w:rsidRPr="00FC3B7C">
        <w:rPr>
          <w:rFonts w:eastAsia="Times New Roman"/>
          <w:szCs w:val="24"/>
        </w:rPr>
        <w:t>konkurenceschopnosti regionů vedoucí ke zvyšování životní úrovně a kvality života jejich obyvatel. V tomto ohledu jde o dynamický a vyvážený rozvoj regionální struktury příslušného územního celku a jeho částí (regionů, mikroregionů) a odstraňování popřípadě zmírňování regionálních disparit.</w:t>
      </w:r>
    </w:p>
    <w:p w14:paraId="4A6F4555" w14:textId="77777777" w:rsidR="008E0F74" w:rsidRPr="00FC3B7C" w:rsidRDefault="00256F29" w:rsidP="00A812C9">
      <w:r w:rsidRPr="00FC3B7C">
        <w:rPr>
          <w:rFonts w:eastAsia="Times New Roman"/>
          <w:i/>
          <w:iCs/>
          <w:szCs w:val="24"/>
          <w:u w:val="single"/>
        </w:rPr>
        <w:t>Regionální disparity</w:t>
      </w:r>
      <w:r w:rsidRPr="00FC3B7C">
        <w:rPr>
          <w:rFonts w:eastAsia="Times New Roman"/>
          <w:i/>
          <w:iCs/>
          <w:szCs w:val="24"/>
        </w:rPr>
        <w:t xml:space="preserve"> </w:t>
      </w:r>
      <w:r w:rsidRPr="00FC3B7C">
        <w:rPr>
          <w:rFonts w:eastAsia="Times New Roman"/>
          <w:szCs w:val="24"/>
        </w:rPr>
        <w:t>– Rozdíly v úrovni hospodářského, environmentálního a sociálního</w:t>
      </w:r>
      <w:r w:rsidRPr="00FC3B7C">
        <w:rPr>
          <w:rFonts w:eastAsia="Times New Roman"/>
          <w:i/>
          <w:iCs/>
          <w:szCs w:val="24"/>
        </w:rPr>
        <w:t xml:space="preserve"> </w:t>
      </w:r>
      <w:r w:rsidRPr="00FC3B7C">
        <w:rPr>
          <w:rFonts w:eastAsia="Times New Roman"/>
          <w:szCs w:val="24"/>
        </w:rPr>
        <w:t>rozvoje regionů v míře, která je celospolečensky uznána za nežádoucí. Za regionální disparity nelze ovažovat například rozdíly vyplývající z rozmanitosti podmínek jednotlivých regionů a</w:t>
      </w:r>
    </w:p>
    <w:p w14:paraId="4A6F4556" w14:textId="77777777" w:rsidR="008E0F74" w:rsidRPr="00FC3B7C" w:rsidRDefault="00256F29" w:rsidP="00A812C9">
      <w:pPr>
        <w:rPr>
          <w:rFonts w:eastAsia="Times New Roman"/>
          <w:szCs w:val="24"/>
        </w:rPr>
      </w:pPr>
      <w:r w:rsidRPr="00FC3B7C">
        <w:rPr>
          <w:rFonts w:eastAsia="Times New Roman"/>
          <w:szCs w:val="24"/>
        </w:rPr>
        <w:t>nich vyplývající rozdíly v kvalitě života např. v městských nebo venkovských oblastech, kde se výhody a nevýhody navzájem vyvažují.</w:t>
      </w:r>
    </w:p>
    <w:p w14:paraId="4A6F4557" w14:textId="77777777" w:rsidR="008E0F74" w:rsidRPr="00FC3B7C" w:rsidRDefault="00256F29" w:rsidP="00A812C9">
      <w:r w:rsidRPr="00FC3B7C">
        <w:rPr>
          <w:rFonts w:eastAsia="Times New Roman"/>
          <w:i/>
          <w:iCs/>
          <w:szCs w:val="24"/>
          <w:u w:val="single"/>
        </w:rPr>
        <w:t>Region</w:t>
      </w:r>
      <w:r w:rsidRPr="00FC3B7C">
        <w:rPr>
          <w:rFonts w:eastAsia="Times New Roman"/>
          <w:i/>
          <w:iCs/>
          <w:szCs w:val="24"/>
        </w:rPr>
        <w:t xml:space="preserve"> </w:t>
      </w:r>
      <w:r w:rsidRPr="00FC3B7C">
        <w:rPr>
          <w:rFonts w:eastAsia="Times New Roman"/>
          <w:szCs w:val="24"/>
        </w:rPr>
        <w:t>– Komplex vznikající regionální diferenciací krajinné sféry. Geografické regiony</w:t>
      </w:r>
      <w:r w:rsidRPr="00FC3B7C">
        <w:rPr>
          <w:rFonts w:eastAsia="Times New Roman"/>
          <w:i/>
          <w:iCs/>
          <w:szCs w:val="24"/>
        </w:rPr>
        <w:t xml:space="preserve"> </w:t>
      </w:r>
      <w:r w:rsidRPr="00FC3B7C">
        <w:rPr>
          <w:rFonts w:eastAsia="Times New Roman"/>
          <w:szCs w:val="24"/>
        </w:rPr>
        <w:t>mohou být stanoveny buď politicky, nebo mohou vzniknout přirozeně, jako kulturní, nebo náboženský celek. Proces vymezování regionů je regionalizace.</w:t>
      </w:r>
    </w:p>
    <w:p w14:paraId="4A6F4558" w14:textId="77777777" w:rsidR="008E0F74" w:rsidRPr="00FC3B7C" w:rsidRDefault="00256F29" w:rsidP="00A812C9">
      <w:r w:rsidRPr="00FC3B7C">
        <w:rPr>
          <w:rFonts w:eastAsia="Times New Roman"/>
          <w:i/>
          <w:iCs/>
          <w:szCs w:val="24"/>
          <w:u w:val="single"/>
        </w:rPr>
        <w:lastRenderedPageBreak/>
        <w:t>Mezoregion</w:t>
      </w:r>
      <w:r w:rsidRPr="00FC3B7C">
        <w:rPr>
          <w:rFonts w:eastAsia="Times New Roman"/>
          <w:i/>
          <w:iCs/>
          <w:szCs w:val="24"/>
        </w:rPr>
        <w:t xml:space="preserve"> </w:t>
      </w:r>
      <w:r w:rsidRPr="00FC3B7C">
        <w:rPr>
          <w:rFonts w:eastAsia="Times New Roman"/>
          <w:szCs w:val="24"/>
        </w:rPr>
        <w:t>- Z globálního hlediska představuje územní jednotku přibližně</w:t>
      </w:r>
      <w:r w:rsidRPr="00FC3B7C">
        <w:rPr>
          <w:rFonts w:eastAsia="Times New Roman"/>
          <w:i/>
          <w:iCs/>
          <w:szCs w:val="24"/>
        </w:rPr>
        <w:t xml:space="preserve"> </w:t>
      </w:r>
      <w:r w:rsidRPr="00FC3B7C">
        <w:rPr>
          <w:rFonts w:eastAsia="Times New Roman"/>
          <w:szCs w:val="24"/>
        </w:rPr>
        <w:t>v rozmezí 100 000</w:t>
      </w:r>
      <w:r w:rsidRPr="00FC3B7C">
        <w:rPr>
          <w:rFonts w:eastAsia="Times New Roman"/>
          <w:i/>
          <w:iCs/>
          <w:szCs w:val="24"/>
        </w:rPr>
        <w:t xml:space="preserve"> </w:t>
      </w:r>
      <w:r w:rsidRPr="00FC3B7C">
        <w:rPr>
          <w:rFonts w:eastAsia="Times New Roman"/>
          <w:szCs w:val="24"/>
        </w:rPr>
        <w:t>až 1000 000 km</w:t>
      </w:r>
      <w:r w:rsidRPr="00FC3B7C">
        <w:rPr>
          <w:rFonts w:eastAsia="Times New Roman"/>
          <w:sz w:val="31"/>
          <w:szCs w:val="31"/>
          <w:vertAlign w:val="superscript"/>
        </w:rPr>
        <w:t>2</w:t>
      </w:r>
      <w:r w:rsidRPr="00FC3B7C">
        <w:rPr>
          <w:rFonts w:eastAsia="Times New Roman"/>
          <w:szCs w:val="24"/>
        </w:rPr>
        <w:t xml:space="preserve"> (zpravidla několik států), např.: střední Evropa, v rámci určitého státu představuje územní jednotku střední velikosti, např. kraj v ČR.</w:t>
      </w:r>
    </w:p>
    <w:p w14:paraId="4A6F4559" w14:textId="77777777" w:rsidR="008E0F74" w:rsidRPr="00FC3B7C" w:rsidRDefault="00256F29" w:rsidP="00A812C9">
      <w:bookmarkStart w:id="286" w:name="page317"/>
      <w:bookmarkEnd w:id="286"/>
      <w:r w:rsidRPr="00FC3B7C">
        <w:rPr>
          <w:rFonts w:eastAsia="Times New Roman"/>
          <w:i/>
          <w:iCs/>
          <w:szCs w:val="24"/>
          <w:u w:val="single"/>
        </w:rPr>
        <w:t>Subregion</w:t>
      </w:r>
      <w:r w:rsidRPr="00FC3B7C">
        <w:rPr>
          <w:rFonts w:eastAsia="Times New Roman"/>
          <w:i/>
          <w:iCs/>
          <w:szCs w:val="24"/>
        </w:rPr>
        <w:t xml:space="preserve"> </w:t>
      </w:r>
      <w:r w:rsidRPr="00FC3B7C">
        <w:rPr>
          <w:rFonts w:eastAsia="Times New Roman"/>
          <w:szCs w:val="24"/>
        </w:rPr>
        <w:t>- Jednotka odvozená od regionu</w:t>
      </w:r>
      <w:r w:rsidRPr="00FC3B7C">
        <w:rPr>
          <w:rFonts w:eastAsia="Times New Roman"/>
          <w:i/>
          <w:iCs/>
          <w:szCs w:val="24"/>
        </w:rPr>
        <w:t xml:space="preserve"> </w:t>
      </w:r>
      <w:r w:rsidRPr="00FC3B7C">
        <w:rPr>
          <w:rFonts w:eastAsia="Times New Roman"/>
          <w:szCs w:val="24"/>
        </w:rPr>
        <w:t>či kontinentu, kteréžto dělí na menší oblasti, k</w:t>
      </w:r>
      <w:r w:rsidRPr="00FC3B7C">
        <w:rPr>
          <w:rFonts w:eastAsia="Times New Roman"/>
          <w:i/>
          <w:iCs/>
          <w:szCs w:val="24"/>
        </w:rPr>
        <w:t xml:space="preserve"> </w:t>
      </w:r>
      <w:r w:rsidRPr="00FC3B7C">
        <w:rPr>
          <w:rFonts w:eastAsia="Times New Roman"/>
          <w:szCs w:val="24"/>
        </w:rPr>
        <w:t>pojmenovávání subregionů se většinou používají názvy světových stran jako kupříkladu jižní nebo jihovýchodní.</w:t>
      </w:r>
    </w:p>
    <w:p w14:paraId="4A6F455A" w14:textId="77777777" w:rsidR="008E0F74" w:rsidRPr="00FC3B7C" w:rsidRDefault="008E0F74">
      <w:pPr>
        <w:spacing w:line="200" w:lineRule="exact"/>
        <w:rPr>
          <w:sz w:val="20"/>
          <w:szCs w:val="20"/>
        </w:rPr>
      </w:pPr>
    </w:p>
    <w:p w14:paraId="4A6F455B" w14:textId="77777777" w:rsidR="008E0F74" w:rsidRPr="004A163A" w:rsidRDefault="008E0F74">
      <w:pPr>
        <w:spacing w:line="215" w:lineRule="exact"/>
        <w:rPr>
          <w:color w:val="1F3864" w:themeColor="accent1" w:themeShade="80"/>
          <w:sz w:val="20"/>
          <w:szCs w:val="20"/>
        </w:rPr>
      </w:pPr>
    </w:p>
    <w:p w14:paraId="4A6F455C" w14:textId="77777777" w:rsidR="008E0F74" w:rsidRPr="004A163A" w:rsidRDefault="00256F29" w:rsidP="00A812C9">
      <w:pPr>
        <w:pStyle w:val="Nadpis2"/>
        <w:rPr>
          <w:color w:val="1F3864" w:themeColor="accent1" w:themeShade="80"/>
          <w:sz w:val="20"/>
          <w:szCs w:val="20"/>
        </w:rPr>
      </w:pPr>
      <w:r w:rsidRPr="004A163A">
        <w:rPr>
          <w:rFonts w:eastAsia="Times New Roman"/>
          <w:color w:val="1F3864" w:themeColor="accent1" w:themeShade="80"/>
        </w:rPr>
        <w:t>ZÁKLADNÍ TYPY VYMEZENÍ REGIONŮ</w:t>
      </w:r>
    </w:p>
    <w:p w14:paraId="4A6F455D" w14:textId="77777777" w:rsidR="008E0F74" w:rsidRPr="00FC3B7C" w:rsidRDefault="008E0F74">
      <w:pPr>
        <w:spacing w:line="221" w:lineRule="exact"/>
        <w:rPr>
          <w:sz w:val="20"/>
          <w:szCs w:val="20"/>
        </w:rPr>
      </w:pPr>
    </w:p>
    <w:p w14:paraId="4A6F455E" w14:textId="5B4C25A5" w:rsidR="008E0F74" w:rsidRPr="00FC3B7C" w:rsidRDefault="004A163A" w:rsidP="00A812C9">
      <w:pPr>
        <w:pStyle w:val="Nadpis3"/>
        <w:rPr>
          <w:sz w:val="20"/>
          <w:szCs w:val="20"/>
        </w:rPr>
      </w:pPr>
      <w:r>
        <w:rPr>
          <w:rFonts w:eastAsia="Times New Roman"/>
        </w:rPr>
        <w:t xml:space="preserve"> </w:t>
      </w:r>
      <w:r w:rsidR="00256F29" w:rsidRPr="004A163A">
        <w:rPr>
          <w:rFonts w:eastAsia="Times New Roman"/>
          <w:color w:val="1F3864" w:themeColor="accent1" w:themeShade="80"/>
        </w:rPr>
        <w:t>Objektivní přístup</w:t>
      </w:r>
    </w:p>
    <w:p w14:paraId="4A6F455F" w14:textId="77777777" w:rsidR="008E0F74" w:rsidRPr="00FC3B7C" w:rsidRDefault="00256F29" w:rsidP="00A812C9">
      <w:r w:rsidRPr="00FC3B7C">
        <w:rPr>
          <w:rFonts w:eastAsia="Times New Roman"/>
          <w:szCs w:val="24"/>
        </w:rPr>
        <w:t>Geografické prostředí a jeho přírodní složky determinují lidské a ekonomické prostředí, a proto je region chápán jako reálně existující jednotka, jejíž hranice jsou jednoznačně určeny a jsou více méně neměnné. Tento přístup byl uplatňován ještě na počátku 20. století.</w:t>
      </w:r>
    </w:p>
    <w:p w14:paraId="4A6F4560" w14:textId="77777777" w:rsidR="008E0F74" w:rsidRPr="00FC3B7C" w:rsidRDefault="008E0F74">
      <w:pPr>
        <w:spacing w:line="177" w:lineRule="exact"/>
        <w:rPr>
          <w:sz w:val="20"/>
          <w:szCs w:val="20"/>
        </w:rPr>
      </w:pPr>
    </w:p>
    <w:p w14:paraId="4A6F4561" w14:textId="134D078E" w:rsidR="008E0F74" w:rsidRPr="004A163A" w:rsidRDefault="004A163A" w:rsidP="00A812C9">
      <w:pPr>
        <w:pStyle w:val="Nadpis3"/>
        <w:rPr>
          <w:color w:val="1F3864" w:themeColor="accent1" w:themeShade="80"/>
          <w:sz w:val="20"/>
          <w:szCs w:val="20"/>
        </w:rPr>
      </w:pPr>
      <w:r w:rsidRPr="004A163A">
        <w:rPr>
          <w:rFonts w:eastAsia="Times New Roman"/>
          <w:color w:val="1F3864" w:themeColor="accent1" w:themeShade="80"/>
        </w:rPr>
        <w:t xml:space="preserve"> </w:t>
      </w:r>
      <w:r w:rsidR="00256F29" w:rsidRPr="004A163A">
        <w:rPr>
          <w:rFonts w:eastAsia="Times New Roman"/>
          <w:color w:val="1F3864" w:themeColor="accent1" w:themeShade="80"/>
        </w:rPr>
        <w:t>Subjektivní pojetí regionu</w:t>
      </w:r>
    </w:p>
    <w:p w14:paraId="4A6F4562" w14:textId="77777777" w:rsidR="008E0F74" w:rsidRPr="00FC3B7C" w:rsidRDefault="00256F29" w:rsidP="00A812C9">
      <w:pPr>
        <w:rPr>
          <w:sz w:val="20"/>
          <w:szCs w:val="20"/>
        </w:rPr>
      </w:pPr>
      <w:r w:rsidRPr="00FC3B7C">
        <w:rPr>
          <w:rFonts w:eastAsia="Times New Roman"/>
        </w:rPr>
        <w:t>Region je chápán jako určitá abstrakce pomáhající při studiu prostorové stránky sociálně ekonomických jevů a při jejich ovlivňování. Region je určité ohraničené území, jehož vymezení závisí na zvolených kritériích.</w:t>
      </w:r>
    </w:p>
    <w:p w14:paraId="4A6F4563" w14:textId="77777777" w:rsidR="008E0F74" w:rsidRPr="00FC3B7C" w:rsidRDefault="008E0F74">
      <w:pPr>
        <w:spacing w:line="182" w:lineRule="exact"/>
        <w:rPr>
          <w:sz w:val="20"/>
          <w:szCs w:val="20"/>
        </w:rPr>
      </w:pPr>
    </w:p>
    <w:p w14:paraId="4A6F4564" w14:textId="0D27998C" w:rsidR="008E0F74" w:rsidRPr="004A163A" w:rsidRDefault="004A163A" w:rsidP="00A812C9">
      <w:pPr>
        <w:pStyle w:val="Nadpis3"/>
        <w:rPr>
          <w:color w:val="1F3864" w:themeColor="accent1" w:themeShade="80"/>
          <w:sz w:val="20"/>
          <w:szCs w:val="20"/>
        </w:rPr>
      </w:pPr>
      <w:r>
        <w:rPr>
          <w:rFonts w:eastAsia="Times New Roman"/>
          <w:color w:val="1F3864" w:themeColor="accent1" w:themeShade="80"/>
        </w:rPr>
        <w:t xml:space="preserve"> </w:t>
      </w:r>
      <w:r w:rsidR="00256F29" w:rsidRPr="004A163A">
        <w:rPr>
          <w:rFonts w:eastAsia="Times New Roman"/>
          <w:color w:val="1F3864" w:themeColor="accent1" w:themeShade="80"/>
        </w:rPr>
        <w:t>Administrativní regiony</w:t>
      </w:r>
    </w:p>
    <w:p w14:paraId="4A6F4565" w14:textId="77777777" w:rsidR="008E0F74" w:rsidRPr="00FC3B7C" w:rsidRDefault="00256F29" w:rsidP="00A812C9">
      <w:r w:rsidRPr="00FC3B7C">
        <w:rPr>
          <w:rFonts w:eastAsia="Times New Roman"/>
          <w:szCs w:val="24"/>
        </w:rPr>
        <w:t>Jsou vymezovány pro potřeby státní správy a územní samosprávy. Jsou časově stabilní. Reprezentovány příslušnými orgány a musí pokrývat celé území daného státu. V praxi existuje více úrovní jednotlivých administrativních regionů, pro které platí princip podřízenosti a nadřízenosti a dále princip skladebnosti.</w:t>
      </w:r>
    </w:p>
    <w:p w14:paraId="4A6F4566" w14:textId="77777777" w:rsidR="008E0F74" w:rsidRPr="00FC3B7C" w:rsidRDefault="00256F29" w:rsidP="00A812C9">
      <w:pPr>
        <w:rPr>
          <w:rFonts w:eastAsia="Arial"/>
          <w:szCs w:val="24"/>
        </w:rPr>
      </w:pPr>
      <w:r w:rsidRPr="00FC3B7C">
        <w:rPr>
          <w:rFonts w:eastAsia="Times New Roman"/>
          <w:b/>
          <w:bCs/>
          <w:szCs w:val="24"/>
        </w:rPr>
        <w:t xml:space="preserve">Princip podřízenosti a nadřízenosti </w:t>
      </w:r>
      <w:r w:rsidRPr="00FC3B7C">
        <w:rPr>
          <w:rFonts w:eastAsia="Times New Roman"/>
          <w:szCs w:val="24"/>
        </w:rPr>
        <w:t>= závaznost právních norem vyšších územních</w:t>
      </w:r>
      <w:r w:rsidRPr="00FC3B7C">
        <w:rPr>
          <w:rFonts w:eastAsia="Times New Roman"/>
          <w:b/>
          <w:bCs/>
          <w:szCs w:val="24"/>
        </w:rPr>
        <w:t xml:space="preserve"> </w:t>
      </w:r>
      <w:r w:rsidRPr="00FC3B7C">
        <w:rPr>
          <w:rFonts w:eastAsia="Times New Roman"/>
          <w:szCs w:val="24"/>
        </w:rPr>
        <w:t>celků pro celky nižší.</w:t>
      </w:r>
    </w:p>
    <w:p w14:paraId="4A6F4567" w14:textId="77777777" w:rsidR="008E0F74" w:rsidRPr="00FC3B7C" w:rsidRDefault="00256F29" w:rsidP="00A812C9">
      <w:pPr>
        <w:rPr>
          <w:rFonts w:eastAsia="Arial"/>
          <w:szCs w:val="24"/>
        </w:rPr>
      </w:pPr>
      <w:r w:rsidRPr="00FC3B7C">
        <w:rPr>
          <w:rFonts w:eastAsia="Times New Roman"/>
          <w:b/>
          <w:bCs/>
          <w:szCs w:val="24"/>
        </w:rPr>
        <w:t xml:space="preserve">Princip skladebnosti </w:t>
      </w:r>
      <w:r w:rsidRPr="00FC3B7C">
        <w:rPr>
          <w:rFonts w:eastAsia="Times New Roman"/>
          <w:szCs w:val="24"/>
        </w:rPr>
        <w:t>= respektování hranic nižších regionů</w:t>
      </w:r>
      <w:r w:rsidRPr="00FC3B7C">
        <w:rPr>
          <w:rFonts w:eastAsia="Times New Roman"/>
          <w:b/>
          <w:bCs/>
          <w:szCs w:val="24"/>
        </w:rPr>
        <w:t xml:space="preserve"> </w:t>
      </w:r>
      <w:r w:rsidRPr="00FC3B7C">
        <w:rPr>
          <w:rFonts w:eastAsia="Times New Roman"/>
          <w:szCs w:val="24"/>
        </w:rPr>
        <w:t>při vymezování regionů</w:t>
      </w:r>
      <w:r w:rsidRPr="00FC3B7C">
        <w:rPr>
          <w:rFonts w:eastAsia="Times New Roman"/>
          <w:b/>
          <w:bCs/>
          <w:szCs w:val="24"/>
        </w:rPr>
        <w:t xml:space="preserve"> </w:t>
      </w:r>
      <w:r w:rsidRPr="00FC3B7C">
        <w:rPr>
          <w:rFonts w:eastAsia="Times New Roman"/>
          <w:szCs w:val="24"/>
        </w:rPr>
        <w:t>vyšších.</w:t>
      </w:r>
    </w:p>
    <w:p w14:paraId="4A6F4568" w14:textId="77777777" w:rsidR="008E0F74" w:rsidRDefault="00256F29" w:rsidP="00A812C9">
      <w:pPr>
        <w:rPr>
          <w:rFonts w:eastAsia="Times New Roman"/>
          <w:szCs w:val="24"/>
        </w:rPr>
      </w:pPr>
      <w:r w:rsidRPr="00FC3B7C">
        <w:rPr>
          <w:rFonts w:eastAsia="Times New Roman"/>
          <w:szCs w:val="24"/>
        </w:rPr>
        <w:t>Dále by administrativní regiony měly být srovnatelné, např. pomocí rozlohy, počtu obyvatel apod.</w:t>
      </w:r>
    </w:p>
    <w:p w14:paraId="4A6F4569" w14:textId="77777777" w:rsidR="00A812C9" w:rsidRPr="00FC3B7C" w:rsidRDefault="00A812C9" w:rsidP="00A812C9"/>
    <w:p w14:paraId="4A6F456A" w14:textId="433A43DC" w:rsidR="008E0F74" w:rsidRPr="004A163A" w:rsidRDefault="004A163A" w:rsidP="00A812C9">
      <w:pPr>
        <w:pStyle w:val="Nadpis3"/>
        <w:rPr>
          <w:color w:val="1F3864" w:themeColor="accent1" w:themeShade="80"/>
          <w:sz w:val="20"/>
          <w:szCs w:val="20"/>
        </w:rPr>
      </w:pPr>
      <w:bookmarkStart w:id="287" w:name="page318"/>
      <w:bookmarkEnd w:id="287"/>
      <w:r w:rsidRPr="004A163A">
        <w:rPr>
          <w:rFonts w:eastAsia="Times New Roman"/>
          <w:color w:val="1F3864" w:themeColor="accent1" w:themeShade="80"/>
        </w:rPr>
        <w:t xml:space="preserve"> </w:t>
      </w:r>
      <w:r w:rsidR="00256F29" w:rsidRPr="004A163A">
        <w:rPr>
          <w:rFonts w:eastAsia="Times New Roman"/>
          <w:color w:val="1F3864" w:themeColor="accent1" w:themeShade="80"/>
        </w:rPr>
        <w:t>Účelové regiony</w:t>
      </w:r>
    </w:p>
    <w:p w14:paraId="4A6F456B" w14:textId="77777777" w:rsidR="008E0F74" w:rsidRPr="00FC3B7C" w:rsidRDefault="00256F29" w:rsidP="00A812C9">
      <w:pPr>
        <w:rPr>
          <w:sz w:val="20"/>
          <w:szCs w:val="20"/>
        </w:rPr>
      </w:pPr>
      <w:r w:rsidRPr="00FC3B7C">
        <w:rPr>
          <w:rFonts w:eastAsia="Times New Roman"/>
        </w:rPr>
        <w:t xml:space="preserve">Vymezovány pro řešení určitých problémů - ekonomická zaostalost, problematická kvalita životního prostředí apod. Mají zvláštní hospodářský režim, např. v CHKO či NP. Bývají zastoupeny určitým orgánem. Nemusí se prostorově krýt s regiony administrativními. Mají </w:t>
      </w:r>
      <w:r w:rsidRPr="00FC3B7C">
        <w:rPr>
          <w:rFonts w:eastAsia="Times New Roman"/>
        </w:rPr>
        <w:lastRenderedPageBreak/>
        <w:t>časově omezenou platnost - obvykle zanikají v případě, že je splněn účel, ke kterému byly vymezeny.</w:t>
      </w:r>
    </w:p>
    <w:p w14:paraId="4A6F456C" w14:textId="77777777" w:rsidR="008E0F74" w:rsidRPr="00FC3B7C" w:rsidRDefault="008E0F74">
      <w:pPr>
        <w:spacing w:line="4" w:lineRule="exact"/>
        <w:rPr>
          <w:sz w:val="20"/>
          <w:szCs w:val="20"/>
        </w:rPr>
      </w:pPr>
    </w:p>
    <w:p w14:paraId="4A6F456D" w14:textId="77777777" w:rsidR="008E0F74" w:rsidRPr="00FC3B7C" w:rsidRDefault="00256F29">
      <w:pPr>
        <w:ind w:left="4"/>
        <w:rPr>
          <w:sz w:val="20"/>
          <w:szCs w:val="20"/>
        </w:rPr>
      </w:pPr>
      <w:r w:rsidRPr="00FC3B7C">
        <w:rPr>
          <w:rFonts w:eastAsia="Times New Roman"/>
          <w:b/>
          <w:bCs/>
          <w:szCs w:val="24"/>
        </w:rPr>
        <w:t>Pod účelové regiony patří:</w:t>
      </w:r>
    </w:p>
    <w:p w14:paraId="4A6F456E" w14:textId="77777777" w:rsidR="008E0F74" w:rsidRPr="00FC3B7C" w:rsidRDefault="008E0F74">
      <w:pPr>
        <w:spacing w:line="132" w:lineRule="exact"/>
        <w:rPr>
          <w:sz w:val="20"/>
          <w:szCs w:val="20"/>
        </w:rPr>
      </w:pPr>
    </w:p>
    <w:p w14:paraId="4A6F456F" w14:textId="77777777" w:rsidR="008E0F74" w:rsidRPr="004A163A" w:rsidRDefault="00256F29" w:rsidP="00A812C9">
      <w:pPr>
        <w:pStyle w:val="Nadpis4"/>
        <w:rPr>
          <w:color w:val="1F3864" w:themeColor="accent1" w:themeShade="80"/>
          <w:sz w:val="20"/>
          <w:szCs w:val="20"/>
        </w:rPr>
      </w:pPr>
      <w:r w:rsidRPr="004A163A">
        <w:rPr>
          <w:rFonts w:eastAsia="Times New Roman"/>
          <w:color w:val="1F3864" w:themeColor="accent1" w:themeShade="80"/>
        </w:rPr>
        <w:t>Ekonomické regiony</w:t>
      </w:r>
    </w:p>
    <w:p w14:paraId="4A6F4570" w14:textId="77777777" w:rsidR="008E0F74" w:rsidRPr="00FC3B7C" w:rsidRDefault="00256F29" w:rsidP="00A812C9">
      <w:pPr>
        <w:rPr>
          <w:sz w:val="20"/>
          <w:szCs w:val="20"/>
        </w:rPr>
      </w:pPr>
      <w:r w:rsidRPr="00FC3B7C">
        <w:rPr>
          <w:rFonts w:eastAsia="Times New Roman"/>
        </w:rPr>
        <w:t>Vytvořeny pro ekonomický rozvoj. Např. zvláštní hospodářské zóny, které mají odlišný hospodářský režim než zbytek území daného státu, využívají se v rozvojových, ale i ve vyspělých státech světa. Výhody uplatňované v těchto zónách mohou mít podobu fiskálních zvýhodnění (odklad, odpuštění daní), finančních podnětů (úvěrové podmínky), administrativních zvýhodnění (zjednodušení schvalovacích procedur) či formu vybavenosti zóny špičkovou technickou infrastrukturou. Poměrně častou formou zvláštních hospodářských zón jsou pak vědeckotechnologické parky zaměřené na podporu národního výzkumu a vývoje</w:t>
      </w:r>
    </w:p>
    <w:p w14:paraId="4A6F4571" w14:textId="77777777" w:rsidR="008E0F74" w:rsidRDefault="00256F29" w:rsidP="00A812C9">
      <w:pPr>
        <w:rPr>
          <w:rFonts w:eastAsia="Times New Roman"/>
          <w:szCs w:val="24"/>
        </w:rPr>
      </w:pPr>
      <w:r w:rsidRPr="00FC3B7C">
        <w:rPr>
          <w:rFonts w:eastAsia="Times New Roman"/>
          <w:szCs w:val="24"/>
        </w:rPr>
        <w:t>komerčního využití jeho poznatků a dále na podporu malých a středních firem v jejich začátcích.</w:t>
      </w:r>
    </w:p>
    <w:p w14:paraId="4A6F4572" w14:textId="77777777" w:rsidR="00A812C9" w:rsidRPr="00FC3B7C" w:rsidRDefault="00A812C9" w:rsidP="00A812C9">
      <w:pPr>
        <w:rPr>
          <w:rFonts w:eastAsia="Times New Roman"/>
          <w:szCs w:val="24"/>
        </w:rPr>
      </w:pPr>
    </w:p>
    <w:p w14:paraId="4A6F4573" w14:textId="77777777" w:rsidR="008E0F74" w:rsidRPr="004A163A" w:rsidRDefault="00256F29" w:rsidP="00A812C9">
      <w:pPr>
        <w:pStyle w:val="Nadpis4"/>
        <w:rPr>
          <w:rFonts w:eastAsia="Times New Roman"/>
          <w:color w:val="1F3864" w:themeColor="accent1" w:themeShade="80"/>
        </w:rPr>
      </w:pPr>
      <w:r w:rsidRPr="004A163A">
        <w:rPr>
          <w:rFonts w:eastAsia="Times New Roman"/>
          <w:color w:val="1F3864" w:themeColor="accent1" w:themeShade="80"/>
        </w:rPr>
        <w:t>Euroregiony</w:t>
      </w:r>
    </w:p>
    <w:p w14:paraId="4A6F4574" w14:textId="77777777" w:rsidR="008E0F74" w:rsidRPr="00FC3B7C" w:rsidRDefault="00256F29" w:rsidP="00A812C9">
      <w:pPr>
        <w:rPr>
          <w:sz w:val="20"/>
          <w:szCs w:val="20"/>
        </w:rPr>
      </w:pPr>
      <w:r w:rsidRPr="00FC3B7C">
        <w:rPr>
          <w:rFonts w:eastAsia="Times New Roman"/>
        </w:rPr>
        <w:t>Jsou formou přeshraniční spolupráce místních či regionálních samospráv nejen mezi zeměmi EU, ale také mezi členskými a nečlenskými zeměmi. Jde o sdružení spolu přímo sousedících subjektů na opačných stranách hranic alespoň dvou států. Může se jednat o obce, kraje (regiony), příp. další úrovně (departementy apod.) či jejich sdružení (např. Klub Euroregionu Labe) a další právnické osoby.</w:t>
      </w:r>
    </w:p>
    <w:p w14:paraId="4A6F4575" w14:textId="77777777" w:rsidR="00A812C9" w:rsidRDefault="00A812C9">
      <w:pPr>
        <w:ind w:left="4"/>
        <w:rPr>
          <w:rFonts w:eastAsia="Times New Roman"/>
          <w:szCs w:val="24"/>
        </w:rPr>
      </w:pPr>
    </w:p>
    <w:p w14:paraId="4A6F4576" w14:textId="77777777" w:rsidR="008E0F74" w:rsidRPr="00FC3B7C" w:rsidRDefault="00A812C9">
      <w:pPr>
        <w:ind w:left="4"/>
        <w:rPr>
          <w:sz w:val="20"/>
          <w:szCs w:val="20"/>
        </w:rPr>
      </w:pPr>
      <w:r w:rsidRPr="00FC3B7C">
        <w:rPr>
          <w:noProof/>
          <w:sz w:val="20"/>
          <w:szCs w:val="20"/>
        </w:rPr>
        <w:drawing>
          <wp:anchor distT="0" distB="0" distL="114300" distR="114300" simplePos="0" relativeHeight="251570688" behindDoc="1" locked="0" layoutInCell="0" allowOverlap="1" wp14:anchorId="4A6F5CEA" wp14:editId="1FC0E9A4">
            <wp:simplePos x="0" y="0"/>
            <wp:positionH relativeFrom="page">
              <wp:posOffset>1104900</wp:posOffset>
            </wp:positionH>
            <wp:positionV relativeFrom="page">
              <wp:posOffset>6896100</wp:posOffset>
            </wp:positionV>
            <wp:extent cx="5406366" cy="298132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5">
                      <a:clrChange>
                        <a:clrFrom>
                          <a:srgbClr val="FFFFFF"/>
                        </a:clrFrom>
                        <a:clrTo>
                          <a:srgbClr val="FFFFFF">
                            <a:alpha val="0"/>
                          </a:srgbClr>
                        </a:clrTo>
                      </a:clrChange>
                    </a:blip>
                    <a:srcRect/>
                    <a:stretch>
                      <a:fillRect/>
                    </a:stretch>
                  </pic:blipFill>
                  <pic:spPr bwMode="auto">
                    <a:xfrm>
                      <a:off x="0" y="0"/>
                      <a:ext cx="5408829" cy="2982683"/>
                    </a:xfrm>
                    <a:prstGeom prst="rect">
                      <a:avLst/>
                    </a:prstGeom>
                    <a:noFill/>
                  </pic:spPr>
                </pic:pic>
              </a:graphicData>
            </a:graphic>
            <wp14:sizeRelH relativeFrom="margin">
              <wp14:pctWidth>0</wp14:pctWidth>
            </wp14:sizeRelH>
            <wp14:sizeRelV relativeFrom="margin">
              <wp14:pctHeight>0</wp14:pctHeight>
            </wp14:sizeRelV>
          </wp:anchor>
        </w:drawing>
      </w:r>
      <w:r w:rsidR="00256F29" w:rsidRPr="00FC3B7C">
        <w:rPr>
          <w:rFonts w:eastAsia="Times New Roman"/>
          <w:szCs w:val="24"/>
        </w:rPr>
        <w:t>Euroregiony:</w:t>
      </w:r>
    </w:p>
    <w:p w14:paraId="4A6F4577" w14:textId="77777777" w:rsidR="008E0F74" w:rsidRPr="00FC3B7C" w:rsidRDefault="008E0F74">
      <w:pPr>
        <w:sectPr w:rsidR="008E0F74" w:rsidRPr="00FC3B7C">
          <w:pgSz w:w="11900" w:h="16840"/>
          <w:pgMar w:top="1386" w:right="1400" w:bottom="1440" w:left="1416" w:header="0" w:footer="0" w:gutter="0"/>
          <w:cols w:space="708" w:equalWidth="0">
            <w:col w:w="9084"/>
          </w:cols>
        </w:sectPr>
      </w:pPr>
    </w:p>
    <w:p w14:paraId="4A6F4578" w14:textId="77777777" w:rsidR="008E0F74" w:rsidRPr="004A163A" w:rsidRDefault="00256F29" w:rsidP="00A812C9">
      <w:pPr>
        <w:pStyle w:val="Nadpis4"/>
        <w:rPr>
          <w:color w:val="1F3864" w:themeColor="accent1" w:themeShade="80"/>
          <w:sz w:val="20"/>
          <w:szCs w:val="20"/>
        </w:rPr>
      </w:pPr>
      <w:bookmarkStart w:id="288" w:name="page319"/>
      <w:bookmarkEnd w:id="288"/>
      <w:r w:rsidRPr="004A163A">
        <w:rPr>
          <w:rFonts w:eastAsia="Times New Roman"/>
          <w:color w:val="1F3864" w:themeColor="accent1" w:themeShade="80"/>
          <w:sz w:val="23"/>
          <w:szCs w:val="23"/>
        </w:rPr>
        <w:lastRenderedPageBreak/>
        <w:t>NUTS</w:t>
      </w:r>
    </w:p>
    <w:p w14:paraId="4A6F4579" w14:textId="77777777" w:rsidR="008E0F74" w:rsidRPr="00FC3B7C" w:rsidRDefault="008E0F74">
      <w:pPr>
        <w:spacing w:line="349" w:lineRule="exact"/>
        <w:rPr>
          <w:sz w:val="20"/>
          <w:szCs w:val="20"/>
        </w:rPr>
      </w:pPr>
    </w:p>
    <w:p w14:paraId="4A6F457A" w14:textId="77777777" w:rsidR="008E0F74" w:rsidRPr="00FC3B7C" w:rsidRDefault="00256F29" w:rsidP="00A812C9">
      <w:pPr>
        <w:rPr>
          <w:sz w:val="20"/>
          <w:szCs w:val="20"/>
        </w:rPr>
      </w:pPr>
      <w:r w:rsidRPr="00FC3B7C">
        <w:rPr>
          <w:rFonts w:eastAsia="Times New Roman"/>
          <w:szCs w:val="24"/>
        </w:rPr>
        <w:t>Pro vzájemné porovnávání v EU jsou vytvořeny NUTS = statistické jednotky definované</w:t>
      </w:r>
    </w:p>
    <w:p w14:paraId="4A6F457B" w14:textId="77777777" w:rsidR="008E0F74" w:rsidRPr="00FC3B7C" w:rsidRDefault="00256F29" w:rsidP="00A812C9">
      <w:pPr>
        <w:rPr>
          <w:sz w:val="20"/>
          <w:szCs w:val="20"/>
        </w:rPr>
      </w:pPr>
      <w:r w:rsidRPr="00FC3B7C">
        <w:rPr>
          <w:rFonts w:eastAsia="Times New Roman"/>
          <w:szCs w:val="24"/>
        </w:rPr>
        <w:t>Eurostatem. Dány početně:</w:t>
      </w:r>
    </w:p>
    <w:p w14:paraId="4A6F457C" w14:textId="77777777" w:rsidR="008E0F74" w:rsidRPr="00FC3B7C" w:rsidRDefault="008E0F74" w:rsidP="00A812C9">
      <w:pPr>
        <w:rPr>
          <w:sz w:val="20"/>
          <w:szCs w:val="20"/>
        </w:rPr>
      </w:pPr>
    </w:p>
    <w:p w14:paraId="4A6F457D" w14:textId="77777777" w:rsidR="008E0F74" w:rsidRPr="00FC3B7C" w:rsidRDefault="00256F29" w:rsidP="00D46B53">
      <w:pPr>
        <w:numPr>
          <w:ilvl w:val="1"/>
          <w:numId w:val="263"/>
        </w:numPr>
        <w:tabs>
          <w:tab w:val="left" w:pos="720"/>
        </w:tabs>
        <w:ind w:left="720" w:hanging="364"/>
        <w:rPr>
          <w:rFonts w:eastAsia="Arial"/>
          <w:szCs w:val="24"/>
        </w:rPr>
      </w:pPr>
      <w:r w:rsidRPr="00FC3B7C">
        <w:rPr>
          <w:rFonts w:eastAsia="Times New Roman"/>
          <w:szCs w:val="24"/>
        </w:rPr>
        <w:t>NUTS 1 – nad 3 mil. obyvatel, celé území ČR, koordinační úroveň</w:t>
      </w:r>
    </w:p>
    <w:p w14:paraId="4A6F457E" w14:textId="77777777" w:rsidR="008E0F74" w:rsidRPr="00FC3B7C" w:rsidRDefault="00256F29" w:rsidP="00D46B53">
      <w:pPr>
        <w:numPr>
          <w:ilvl w:val="1"/>
          <w:numId w:val="263"/>
        </w:numPr>
        <w:tabs>
          <w:tab w:val="left" w:pos="720"/>
        </w:tabs>
        <w:ind w:left="720" w:hanging="364"/>
        <w:rPr>
          <w:rFonts w:eastAsia="Arial"/>
          <w:szCs w:val="24"/>
        </w:rPr>
      </w:pPr>
      <w:r w:rsidRPr="00FC3B7C">
        <w:rPr>
          <w:rFonts w:eastAsia="Times New Roman"/>
          <w:szCs w:val="24"/>
        </w:rPr>
        <w:t>NUTS 2 – 1,5–3 mil. obyvatel, úroveň realizující regionální politiku</w:t>
      </w:r>
    </w:p>
    <w:p w14:paraId="4A6F457F" w14:textId="4579F61E" w:rsidR="008E0F74" w:rsidRPr="00FC3B7C" w:rsidRDefault="00256F29" w:rsidP="00A812C9">
      <w:pPr>
        <w:ind w:left="1060"/>
        <w:rPr>
          <w:rFonts w:eastAsia="Arial"/>
          <w:szCs w:val="24"/>
        </w:rPr>
      </w:pPr>
      <w:r w:rsidRPr="00FC3B7C">
        <w:rPr>
          <w:rFonts w:eastAsia="Arial"/>
          <w:szCs w:val="24"/>
        </w:rPr>
        <w:t>–</w:t>
      </w:r>
      <w:r w:rsidR="003376E1">
        <w:rPr>
          <w:rFonts w:eastAsia="Arial"/>
          <w:szCs w:val="24"/>
        </w:rPr>
        <w:t xml:space="preserve"> </w:t>
      </w:r>
      <w:r w:rsidRPr="00FC3B7C">
        <w:rPr>
          <w:rFonts w:eastAsia="Times New Roman"/>
          <w:szCs w:val="24"/>
        </w:rPr>
        <w:t>kraje se sdružují do regionů</w:t>
      </w:r>
      <w:r w:rsidRPr="00FC3B7C">
        <w:rPr>
          <w:rFonts w:eastAsia="Arial"/>
          <w:szCs w:val="24"/>
        </w:rPr>
        <w:t xml:space="preserve"> </w:t>
      </w:r>
      <w:r w:rsidRPr="00FC3B7C">
        <w:rPr>
          <w:rFonts w:eastAsia="Times New Roman"/>
          <w:szCs w:val="24"/>
        </w:rPr>
        <w:t>soudružnosti, aby splnily početní požadavek</w:t>
      </w:r>
    </w:p>
    <w:p w14:paraId="4A6F4580" w14:textId="26B22DA4" w:rsidR="008E0F74" w:rsidRPr="00FC3B7C" w:rsidRDefault="00256F29" w:rsidP="00A812C9">
      <w:pPr>
        <w:ind w:left="1060"/>
        <w:rPr>
          <w:rFonts w:eastAsia="Arial"/>
          <w:szCs w:val="24"/>
        </w:rPr>
      </w:pPr>
      <w:r w:rsidRPr="00FC3B7C">
        <w:rPr>
          <w:rFonts w:eastAsia="Arial"/>
          <w:szCs w:val="24"/>
        </w:rPr>
        <w:t>–</w:t>
      </w:r>
      <w:r w:rsidR="003376E1">
        <w:rPr>
          <w:rFonts w:eastAsia="Arial"/>
          <w:szCs w:val="24"/>
        </w:rPr>
        <w:t xml:space="preserve"> </w:t>
      </w:r>
      <w:r w:rsidRPr="00FC3B7C">
        <w:rPr>
          <w:rFonts w:eastAsia="Times New Roman"/>
          <w:szCs w:val="24"/>
        </w:rPr>
        <w:t>regionů</w:t>
      </w:r>
      <w:r w:rsidRPr="00FC3B7C">
        <w:rPr>
          <w:rFonts w:eastAsia="Arial"/>
          <w:szCs w:val="24"/>
        </w:rPr>
        <w:t xml:space="preserve"> </w:t>
      </w:r>
      <w:r w:rsidRPr="00FC3B7C">
        <w:rPr>
          <w:rFonts w:eastAsia="Times New Roman"/>
          <w:szCs w:val="24"/>
        </w:rPr>
        <w:t>soudružnosti je v</w:t>
      </w:r>
      <w:r w:rsidRPr="00FC3B7C">
        <w:rPr>
          <w:rFonts w:eastAsia="Arial"/>
          <w:szCs w:val="24"/>
        </w:rPr>
        <w:t xml:space="preserve"> </w:t>
      </w:r>
      <w:r w:rsidRPr="00FC3B7C">
        <w:rPr>
          <w:rFonts w:eastAsia="Times New Roman"/>
          <w:szCs w:val="24"/>
        </w:rPr>
        <w:t>ČR 8 (spojení 2 nebo 3 krajů)</w:t>
      </w:r>
    </w:p>
    <w:p w14:paraId="4A6F4581" w14:textId="04E2557B" w:rsidR="008E0F74" w:rsidRPr="00FC3B7C" w:rsidRDefault="00256F29" w:rsidP="00A812C9">
      <w:pPr>
        <w:ind w:left="1060"/>
        <w:rPr>
          <w:rFonts w:eastAsia="Arial"/>
          <w:szCs w:val="24"/>
        </w:rPr>
      </w:pPr>
      <w:r w:rsidRPr="00FC3B7C">
        <w:rPr>
          <w:rFonts w:eastAsia="Arial"/>
          <w:szCs w:val="24"/>
        </w:rPr>
        <w:t>–</w:t>
      </w:r>
      <w:r w:rsidR="003376E1">
        <w:rPr>
          <w:rFonts w:eastAsia="Arial"/>
          <w:szCs w:val="24"/>
        </w:rPr>
        <w:t xml:space="preserve"> </w:t>
      </w:r>
      <w:r w:rsidRPr="00FC3B7C">
        <w:rPr>
          <w:rFonts w:eastAsia="Times New Roman"/>
          <w:szCs w:val="24"/>
        </w:rPr>
        <w:t>patří tam celá střední a východní Evropa kromě</w:t>
      </w:r>
      <w:r w:rsidRPr="00FC3B7C">
        <w:rPr>
          <w:rFonts w:eastAsia="Arial"/>
          <w:szCs w:val="24"/>
        </w:rPr>
        <w:t xml:space="preserve"> </w:t>
      </w:r>
      <w:r w:rsidRPr="00FC3B7C">
        <w:rPr>
          <w:rFonts w:eastAsia="Times New Roman"/>
          <w:szCs w:val="24"/>
        </w:rPr>
        <w:t>Prahy</w:t>
      </w:r>
    </w:p>
    <w:p w14:paraId="4A6F4582" w14:textId="6C575F69" w:rsidR="008E0F74" w:rsidRPr="00FC3B7C" w:rsidRDefault="00256F29" w:rsidP="00A812C9">
      <w:pPr>
        <w:ind w:left="1060"/>
        <w:rPr>
          <w:rFonts w:eastAsia="Arial"/>
          <w:szCs w:val="24"/>
        </w:rPr>
      </w:pPr>
      <w:r w:rsidRPr="00FC3B7C">
        <w:rPr>
          <w:rFonts w:eastAsia="Arial"/>
          <w:szCs w:val="24"/>
        </w:rPr>
        <w:t>–</w:t>
      </w:r>
      <w:r w:rsidR="003376E1">
        <w:rPr>
          <w:rFonts w:eastAsia="Arial"/>
          <w:szCs w:val="24"/>
        </w:rPr>
        <w:t xml:space="preserve"> </w:t>
      </w:r>
      <w:r w:rsidRPr="00FC3B7C">
        <w:rPr>
          <w:rFonts w:eastAsia="Times New Roman"/>
          <w:szCs w:val="24"/>
        </w:rPr>
        <w:t>dostávají pomoc z evropských fondů</w:t>
      </w:r>
    </w:p>
    <w:p w14:paraId="4A6F4583" w14:textId="77777777" w:rsidR="008E0F74" w:rsidRPr="00FC3B7C" w:rsidRDefault="00256F29" w:rsidP="00D46B53">
      <w:pPr>
        <w:numPr>
          <w:ilvl w:val="0"/>
          <w:numId w:val="263"/>
        </w:numPr>
        <w:tabs>
          <w:tab w:val="left" w:pos="700"/>
        </w:tabs>
        <w:ind w:left="700" w:hanging="355"/>
        <w:rPr>
          <w:rFonts w:eastAsia="Arial"/>
          <w:szCs w:val="24"/>
        </w:rPr>
      </w:pPr>
      <w:r w:rsidRPr="00FC3B7C">
        <w:rPr>
          <w:rFonts w:eastAsia="Times New Roman"/>
          <w:szCs w:val="24"/>
        </w:rPr>
        <w:t>NUTS 3 – 800 tis. – 1, 5 mil. obyvatel, 14 krajů ČR</w:t>
      </w:r>
    </w:p>
    <w:p w14:paraId="4A6F4584" w14:textId="77777777" w:rsidR="008E0F74" w:rsidRPr="00FC3B7C" w:rsidRDefault="00256F29" w:rsidP="00D46B53">
      <w:pPr>
        <w:numPr>
          <w:ilvl w:val="0"/>
          <w:numId w:val="263"/>
        </w:numPr>
        <w:tabs>
          <w:tab w:val="left" w:pos="700"/>
        </w:tabs>
        <w:ind w:left="700" w:hanging="355"/>
        <w:rPr>
          <w:rFonts w:eastAsia="Arial"/>
          <w:szCs w:val="24"/>
        </w:rPr>
      </w:pPr>
      <w:r w:rsidRPr="00FC3B7C">
        <w:rPr>
          <w:rFonts w:eastAsia="Times New Roman"/>
          <w:szCs w:val="24"/>
        </w:rPr>
        <w:t>LAU 1 – bývalé okresy, v některých zemích EU nejsou vůbec definovány</w:t>
      </w:r>
    </w:p>
    <w:p w14:paraId="4A6F4585" w14:textId="77777777" w:rsidR="008E0F74" w:rsidRPr="00FC3B7C" w:rsidRDefault="00256F29" w:rsidP="00D46B53">
      <w:pPr>
        <w:numPr>
          <w:ilvl w:val="0"/>
          <w:numId w:val="263"/>
        </w:numPr>
        <w:tabs>
          <w:tab w:val="left" w:pos="700"/>
        </w:tabs>
        <w:ind w:left="700" w:hanging="355"/>
        <w:rPr>
          <w:rFonts w:eastAsia="Arial"/>
          <w:szCs w:val="24"/>
        </w:rPr>
      </w:pPr>
      <w:r w:rsidRPr="00FC3B7C">
        <w:rPr>
          <w:rFonts w:eastAsia="Times New Roman"/>
          <w:szCs w:val="24"/>
        </w:rPr>
        <w:t>LAU 2 – obce</w:t>
      </w:r>
    </w:p>
    <w:p w14:paraId="4A6F4586" w14:textId="77777777" w:rsidR="008E0F74" w:rsidRPr="00FC3B7C" w:rsidRDefault="008E0F74" w:rsidP="00A812C9">
      <w:pPr>
        <w:rPr>
          <w:sz w:val="20"/>
          <w:szCs w:val="20"/>
        </w:rPr>
      </w:pPr>
    </w:p>
    <w:p w14:paraId="4A6F4587" w14:textId="77777777" w:rsidR="008E0F74" w:rsidRPr="00FC3B7C" w:rsidRDefault="00A812C9" w:rsidP="00A812C9">
      <w:pPr>
        <w:rPr>
          <w:sz w:val="20"/>
          <w:szCs w:val="20"/>
        </w:rPr>
      </w:pPr>
      <w:r w:rsidRPr="00FC3B7C">
        <w:rPr>
          <w:noProof/>
          <w:sz w:val="20"/>
          <w:szCs w:val="20"/>
        </w:rPr>
        <w:drawing>
          <wp:anchor distT="0" distB="0" distL="114300" distR="114300" simplePos="0" relativeHeight="251573760" behindDoc="1" locked="0" layoutInCell="0" allowOverlap="1" wp14:anchorId="4A6F5CEC" wp14:editId="46CFFFD6">
            <wp:simplePos x="0" y="0"/>
            <wp:positionH relativeFrom="page">
              <wp:posOffset>832485</wp:posOffset>
            </wp:positionH>
            <wp:positionV relativeFrom="page">
              <wp:posOffset>6090285</wp:posOffset>
            </wp:positionV>
            <wp:extent cx="5757545" cy="329184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6">
                      <a:clrChange>
                        <a:clrFrom>
                          <a:srgbClr val="FFFFFF"/>
                        </a:clrFrom>
                        <a:clrTo>
                          <a:srgbClr val="FFFFFF">
                            <a:alpha val="0"/>
                          </a:srgbClr>
                        </a:clrTo>
                      </a:clrChange>
                    </a:blip>
                    <a:srcRect/>
                    <a:stretch>
                      <a:fillRect/>
                    </a:stretch>
                  </pic:blipFill>
                  <pic:spPr bwMode="auto">
                    <a:xfrm>
                      <a:off x="0" y="0"/>
                      <a:ext cx="5757545" cy="3291840"/>
                    </a:xfrm>
                    <a:prstGeom prst="rect">
                      <a:avLst/>
                    </a:prstGeom>
                    <a:noFill/>
                  </pic:spPr>
                </pic:pic>
              </a:graphicData>
            </a:graphic>
          </wp:anchor>
        </w:drawing>
      </w:r>
      <w:r w:rsidR="00256F29" w:rsidRPr="00FC3B7C">
        <w:rPr>
          <w:rFonts w:eastAsia="Times New Roman"/>
          <w:szCs w:val="24"/>
        </w:rPr>
        <w:t>Jednotky NUTS 2 a NUTS 3 mají přímé využití ze strukturálních fondů.</w:t>
      </w:r>
    </w:p>
    <w:p w14:paraId="4A6F4588" w14:textId="77777777" w:rsidR="008E0F74" w:rsidRPr="00FC3B7C" w:rsidRDefault="008E0F74">
      <w:pPr>
        <w:sectPr w:rsidR="008E0F74" w:rsidRPr="00FC3B7C">
          <w:pgSz w:w="11900" w:h="16840"/>
          <w:pgMar w:top="1440" w:right="1400" w:bottom="1440" w:left="1420" w:header="0" w:footer="0" w:gutter="0"/>
          <w:cols w:space="708" w:equalWidth="0">
            <w:col w:w="9080"/>
          </w:cols>
        </w:sectPr>
      </w:pPr>
    </w:p>
    <w:p w14:paraId="4A6F4589" w14:textId="77777777" w:rsidR="008E0F74" w:rsidRPr="004A163A" w:rsidRDefault="00256F29" w:rsidP="00A812C9">
      <w:pPr>
        <w:pStyle w:val="Nadpis2"/>
        <w:rPr>
          <w:color w:val="1F3864" w:themeColor="accent1" w:themeShade="80"/>
          <w:sz w:val="20"/>
          <w:szCs w:val="20"/>
        </w:rPr>
      </w:pPr>
      <w:bookmarkStart w:id="289" w:name="page320"/>
      <w:bookmarkEnd w:id="289"/>
      <w:r w:rsidRPr="004A163A">
        <w:rPr>
          <w:rFonts w:eastAsia="Times New Roman"/>
          <w:color w:val="1F3864" w:themeColor="accent1" w:themeShade="80"/>
        </w:rPr>
        <w:lastRenderedPageBreak/>
        <w:t>PŘÍČINY</w:t>
      </w:r>
      <w:r w:rsidRPr="004A163A">
        <w:rPr>
          <w:color w:val="1F3864" w:themeColor="accent1" w:themeShade="80"/>
          <w:sz w:val="20"/>
          <w:szCs w:val="20"/>
        </w:rPr>
        <w:tab/>
      </w:r>
      <w:r w:rsidRPr="004A163A">
        <w:rPr>
          <w:rFonts w:eastAsia="Times New Roman"/>
          <w:color w:val="1F3864" w:themeColor="accent1" w:themeShade="80"/>
        </w:rPr>
        <w:t>REGIONÁLNĚ</w:t>
      </w:r>
      <w:r w:rsidRPr="004A163A">
        <w:rPr>
          <w:color w:val="1F3864" w:themeColor="accent1" w:themeShade="80"/>
          <w:sz w:val="20"/>
          <w:szCs w:val="20"/>
        </w:rPr>
        <w:tab/>
      </w:r>
      <w:r w:rsidRPr="004A163A">
        <w:rPr>
          <w:color w:val="1F3864" w:themeColor="accent1" w:themeShade="80"/>
        </w:rPr>
        <w:t>NEROVNOMĚRNÉHO</w:t>
      </w:r>
      <w:r w:rsidR="00A812C9" w:rsidRPr="004A163A">
        <w:rPr>
          <w:color w:val="1F3864" w:themeColor="accent1" w:themeShade="80"/>
          <w:sz w:val="20"/>
          <w:szCs w:val="20"/>
        </w:rPr>
        <w:t xml:space="preserve"> </w:t>
      </w:r>
      <w:r w:rsidRPr="004A163A">
        <w:rPr>
          <w:rFonts w:eastAsia="Times New Roman"/>
          <w:color w:val="1F3864" w:themeColor="accent1" w:themeShade="80"/>
        </w:rPr>
        <w:t xml:space="preserve">SOCIÁLNÍHO A </w:t>
      </w:r>
      <w:r w:rsidRPr="004A163A">
        <w:rPr>
          <w:color w:val="1F3864" w:themeColor="accent1" w:themeShade="80"/>
        </w:rPr>
        <w:t>EKONOMICKÉHO</w:t>
      </w:r>
      <w:r w:rsidRPr="004A163A">
        <w:rPr>
          <w:rFonts w:eastAsia="Times New Roman"/>
          <w:color w:val="1F3864" w:themeColor="accent1" w:themeShade="80"/>
        </w:rPr>
        <w:t xml:space="preserve"> VÝVOJE</w:t>
      </w:r>
    </w:p>
    <w:p w14:paraId="4A6F458A" w14:textId="77777777" w:rsidR="008E0F74" w:rsidRPr="00FC3B7C" w:rsidRDefault="008E0F74">
      <w:pPr>
        <w:spacing w:line="200" w:lineRule="exact"/>
        <w:rPr>
          <w:sz w:val="20"/>
          <w:szCs w:val="20"/>
        </w:rPr>
      </w:pPr>
    </w:p>
    <w:p w14:paraId="4A6F458B" w14:textId="77777777" w:rsidR="008E0F74" w:rsidRPr="00FC3B7C" w:rsidRDefault="008E0F74">
      <w:pPr>
        <w:spacing w:line="221" w:lineRule="exact"/>
        <w:rPr>
          <w:sz w:val="20"/>
          <w:szCs w:val="20"/>
        </w:rPr>
      </w:pPr>
    </w:p>
    <w:p w14:paraId="4A6F458C" w14:textId="2D4A2B03" w:rsidR="008E0F74" w:rsidRPr="004A163A" w:rsidRDefault="004A163A" w:rsidP="00A812C9">
      <w:pPr>
        <w:pStyle w:val="Nadpis3"/>
        <w:rPr>
          <w:color w:val="1F3864" w:themeColor="accent1" w:themeShade="80"/>
          <w:sz w:val="20"/>
          <w:szCs w:val="20"/>
        </w:rPr>
      </w:pPr>
      <w:r>
        <w:rPr>
          <w:rFonts w:eastAsia="Times New Roman"/>
          <w:color w:val="1F3864" w:themeColor="accent1" w:themeShade="80"/>
        </w:rPr>
        <w:t xml:space="preserve"> </w:t>
      </w:r>
      <w:r w:rsidR="00256F29" w:rsidRPr="004A163A">
        <w:rPr>
          <w:rFonts w:eastAsia="Times New Roman"/>
          <w:color w:val="1F3864" w:themeColor="accent1" w:themeShade="80"/>
        </w:rPr>
        <w:t>Regionální nerovnosti/odlišnosti</w:t>
      </w:r>
    </w:p>
    <w:p w14:paraId="4A6F458D" w14:textId="77777777" w:rsidR="008E0F74" w:rsidRPr="00FC3B7C" w:rsidRDefault="00256F29" w:rsidP="00A812C9">
      <w:pPr>
        <w:rPr>
          <w:sz w:val="20"/>
          <w:szCs w:val="20"/>
        </w:rPr>
      </w:pPr>
      <w:r w:rsidRPr="00FC3B7C">
        <w:rPr>
          <w:rFonts w:eastAsia="Times New Roman"/>
        </w:rPr>
        <w:t>Stav, situace nebo skutečnost, kdy mezi regiony existuje sociální a ekonomický nepoměr, geograficko-klimatické odlišnosti, infrastrukturální a další rozdíly, které mají za následek, že regiony jsou od sebe navzájem rozrůzněné. Ne každá nerovnost ale představuje problém, který je nutno řešit. Regionální odlišnosti mohou být rozděleny podle charakteristiky do různých oblastí, ve kterých jsou dále sledovány určité ukazatele.</w:t>
      </w:r>
    </w:p>
    <w:p w14:paraId="4A6F458E" w14:textId="77777777" w:rsidR="008E0F74" w:rsidRPr="00FC3B7C" w:rsidRDefault="008E0F74">
      <w:pPr>
        <w:spacing w:line="4" w:lineRule="exact"/>
        <w:rPr>
          <w:sz w:val="20"/>
          <w:szCs w:val="20"/>
        </w:rPr>
      </w:pPr>
    </w:p>
    <w:p w14:paraId="4A6F458F" w14:textId="77777777" w:rsidR="008E0F74" w:rsidRPr="00FC3B7C" w:rsidRDefault="00256F29" w:rsidP="00A812C9">
      <w:pPr>
        <w:rPr>
          <w:sz w:val="20"/>
          <w:szCs w:val="20"/>
        </w:rPr>
      </w:pPr>
      <w:r w:rsidRPr="00FC3B7C">
        <w:rPr>
          <w:rFonts w:eastAsia="Times New Roman"/>
          <w:b/>
          <w:bCs/>
          <w:szCs w:val="24"/>
        </w:rPr>
        <w:t>Typy odlišností:</w:t>
      </w:r>
    </w:p>
    <w:p w14:paraId="4A6F4590" w14:textId="77777777" w:rsidR="008E0F74" w:rsidRPr="00FC3B7C" w:rsidRDefault="00256F29" w:rsidP="00D46B53">
      <w:pPr>
        <w:numPr>
          <w:ilvl w:val="0"/>
          <w:numId w:val="264"/>
        </w:numPr>
        <w:tabs>
          <w:tab w:val="left" w:pos="580"/>
        </w:tabs>
        <w:ind w:left="580" w:hanging="300"/>
        <w:rPr>
          <w:rFonts w:eastAsia="Times New Roman"/>
          <w:b/>
          <w:bCs/>
          <w:szCs w:val="24"/>
        </w:rPr>
      </w:pPr>
      <w:r w:rsidRPr="00FC3B7C">
        <w:rPr>
          <w:rFonts w:eastAsia="Times New Roman"/>
          <w:b/>
          <w:bCs/>
          <w:szCs w:val="24"/>
        </w:rPr>
        <w:t>Ekonomické</w:t>
      </w:r>
    </w:p>
    <w:p w14:paraId="4A6F4591" w14:textId="77777777" w:rsidR="008E0F74" w:rsidRPr="00FC3B7C" w:rsidRDefault="00256F29" w:rsidP="00D46B53">
      <w:pPr>
        <w:numPr>
          <w:ilvl w:val="1"/>
          <w:numId w:val="264"/>
        </w:numPr>
        <w:tabs>
          <w:tab w:val="left" w:pos="1000"/>
        </w:tabs>
        <w:ind w:left="1000" w:hanging="360"/>
        <w:rPr>
          <w:rFonts w:eastAsia="Arial"/>
          <w:szCs w:val="24"/>
        </w:rPr>
      </w:pPr>
      <w:r w:rsidRPr="00FC3B7C">
        <w:rPr>
          <w:rFonts w:eastAsia="Times New Roman"/>
          <w:szCs w:val="24"/>
        </w:rPr>
        <w:t>týkají se rozdílu v kvantitě a kvalitě regionálního výstupu</w:t>
      </w:r>
    </w:p>
    <w:p w14:paraId="4A6F4592" w14:textId="77777777" w:rsidR="008E0F74" w:rsidRPr="00FC3B7C" w:rsidRDefault="00256F29" w:rsidP="00D46B53">
      <w:pPr>
        <w:numPr>
          <w:ilvl w:val="1"/>
          <w:numId w:val="264"/>
        </w:numPr>
        <w:tabs>
          <w:tab w:val="left" w:pos="1000"/>
        </w:tabs>
        <w:ind w:left="1000" w:hanging="360"/>
        <w:rPr>
          <w:rFonts w:eastAsia="Arial"/>
          <w:szCs w:val="24"/>
        </w:rPr>
      </w:pPr>
      <w:r w:rsidRPr="00FC3B7C">
        <w:rPr>
          <w:rFonts w:eastAsia="Times New Roman"/>
          <w:szCs w:val="24"/>
        </w:rPr>
        <w:t>(ne)zaměstnanost, HDP, produktivita práce, výtěžnost daní, struktura ekonomických aktivit</w:t>
      </w:r>
    </w:p>
    <w:p w14:paraId="4A6F4593" w14:textId="77777777" w:rsidR="008E0F74" w:rsidRPr="00FC3B7C" w:rsidRDefault="00256F29" w:rsidP="00D46B53">
      <w:pPr>
        <w:numPr>
          <w:ilvl w:val="0"/>
          <w:numId w:val="264"/>
        </w:numPr>
        <w:tabs>
          <w:tab w:val="left" w:pos="560"/>
        </w:tabs>
        <w:ind w:left="560" w:hanging="280"/>
        <w:rPr>
          <w:rFonts w:eastAsia="Times New Roman"/>
          <w:b/>
          <w:bCs/>
          <w:szCs w:val="24"/>
        </w:rPr>
      </w:pPr>
      <w:r w:rsidRPr="00FC3B7C">
        <w:rPr>
          <w:rFonts w:eastAsia="Times New Roman"/>
          <w:b/>
          <w:bCs/>
          <w:szCs w:val="24"/>
        </w:rPr>
        <w:t>Sociální</w:t>
      </w:r>
    </w:p>
    <w:p w14:paraId="4A6F4594" w14:textId="77777777" w:rsidR="008E0F74" w:rsidRPr="00FC3B7C" w:rsidRDefault="00256F29" w:rsidP="00D46B53">
      <w:pPr>
        <w:numPr>
          <w:ilvl w:val="1"/>
          <w:numId w:val="264"/>
        </w:numPr>
        <w:tabs>
          <w:tab w:val="left" w:pos="1000"/>
        </w:tabs>
        <w:ind w:left="1000" w:hanging="360"/>
        <w:rPr>
          <w:rFonts w:eastAsia="Arial"/>
          <w:szCs w:val="24"/>
        </w:rPr>
      </w:pPr>
      <w:r w:rsidRPr="00FC3B7C">
        <w:rPr>
          <w:rFonts w:eastAsia="Times New Roman"/>
          <w:szCs w:val="24"/>
        </w:rPr>
        <w:t>týkají se příjmu a životní úrovně obyvatelstva</w:t>
      </w:r>
    </w:p>
    <w:p w14:paraId="4A6F4595" w14:textId="77777777" w:rsidR="008E0F74" w:rsidRPr="00FC3B7C" w:rsidRDefault="00256F29" w:rsidP="00D46B53">
      <w:pPr>
        <w:numPr>
          <w:ilvl w:val="1"/>
          <w:numId w:val="265"/>
        </w:numPr>
        <w:tabs>
          <w:tab w:val="left" w:pos="980"/>
        </w:tabs>
        <w:ind w:left="980" w:hanging="360"/>
        <w:rPr>
          <w:rFonts w:eastAsia="Arial"/>
          <w:szCs w:val="24"/>
        </w:rPr>
      </w:pPr>
      <w:bookmarkStart w:id="290" w:name="page321"/>
      <w:bookmarkEnd w:id="290"/>
      <w:r w:rsidRPr="00FC3B7C">
        <w:rPr>
          <w:rFonts w:eastAsia="Times New Roman"/>
          <w:szCs w:val="24"/>
        </w:rPr>
        <w:t>hustota obyvatel, demografická struktura, migrace, aktivní obyvatelstvo, mobilita práce, vzdělanostní struktura, profesní struktura, zdraví, úmrtnost</w:t>
      </w:r>
    </w:p>
    <w:p w14:paraId="4A6F4596" w14:textId="77777777" w:rsidR="008E0F74" w:rsidRPr="00FC3B7C" w:rsidRDefault="00256F29" w:rsidP="00A812C9">
      <w:pPr>
        <w:ind w:left="260"/>
        <w:rPr>
          <w:rFonts w:eastAsia="Arial"/>
          <w:szCs w:val="24"/>
        </w:rPr>
      </w:pPr>
      <w:r w:rsidRPr="00FC3B7C">
        <w:rPr>
          <w:rFonts w:eastAsia="Times New Roman"/>
          <w:b/>
          <w:bCs/>
          <w:szCs w:val="24"/>
        </w:rPr>
        <w:t>C. Fyzické</w:t>
      </w:r>
    </w:p>
    <w:p w14:paraId="4A6F4597" w14:textId="77777777" w:rsidR="008E0F74" w:rsidRPr="00FC3B7C" w:rsidRDefault="00256F29" w:rsidP="00D46B53">
      <w:pPr>
        <w:numPr>
          <w:ilvl w:val="1"/>
          <w:numId w:val="265"/>
        </w:numPr>
        <w:tabs>
          <w:tab w:val="left" w:pos="980"/>
        </w:tabs>
        <w:ind w:left="980" w:hanging="360"/>
        <w:rPr>
          <w:rFonts w:eastAsia="Arial"/>
          <w:szCs w:val="24"/>
        </w:rPr>
      </w:pPr>
      <w:r w:rsidRPr="00FC3B7C">
        <w:rPr>
          <w:rFonts w:eastAsia="Times New Roman"/>
          <w:szCs w:val="24"/>
        </w:rPr>
        <w:t>spojené s geografickými a přírodními podmínkami</w:t>
      </w:r>
    </w:p>
    <w:p w14:paraId="4A6F4598" w14:textId="77777777" w:rsidR="008E0F74" w:rsidRPr="00FC3B7C" w:rsidRDefault="00256F29" w:rsidP="00D46B53">
      <w:pPr>
        <w:numPr>
          <w:ilvl w:val="1"/>
          <w:numId w:val="265"/>
        </w:numPr>
        <w:tabs>
          <w:tab w:val="left" w:pos="980"/>
        </w:tabs>
        <w:ind w:left="980" w:hanging="360"/>
        <w:rPr>
          <w:rFonts w:eastAsia="Arial"/>
          <w:szCs w:val="24"/>
        </w:rPr>
      </w:pPr>
      <w:r w:rsidRPr="00FC3B7C">
        <w:rPr>
          <w:rFonts w:eastAsia="Times New Roman"/>
          <w:szCs w:val="24"/>
        </w:rPr>
        <w:t>rozloha, podnebí, odpady, dopravní a technická infrastruktura, dostupnost</w:t>
      </w:r>
    </w:p>
    <w:p w14:paraId="4A6F4599" w14:textId="77777777" w:rsidR="005C77AB" w:rsidRPr="00FC3B7C" w:rsidRDefault="005C77AB"/>
    <w:p w14:paraId="4A6F459A" w14:textId="1160CEA3" w:rsidR="008E0F74" w:rsidRPr="004A163A" w:rsidRDefault="004A163A" w:rsidP="00A812C9">
      <w:pPr>
        <w:pStyle w:val="Nadpis3"/>
        <w:rPr>
          <w:color w:val="1F3864" w:themeColor="accent1" w:themeShade="80"/>
          <w:sz w:val="20"/>
          <w:szCs w:val="20"/>
        </w:rPr>
      </w:pPr>
      <w:bookmarkStart w:id="291" w:name="page322"/>
      <w:bookmarkEnd w:id="291"/>
      <w:r w:rsidRPr="004A163A">
        <w:rPr>
          <w:rFonts w:eastAsia="Times New Roman"/>
          <w:color w:val="1F3864" w:themeColor="accent1" w:themeShade="80"/>
        </w:rPr>
        <w:t xml:space="preserve"> </w:t>
      </w:r>
      <w:r w:rsidR="00256F29" w:rsidRPr="004A163A">
        <w:rPr>
          <w:rFonts w:eastAsia="Times New Roman"/>
          <w:color w:val="1F3864" w:themeColor="accent1" w:themeShade="80"/>
        </w:rPr>
        <w:t>Faktory sociální a ekonomické rozdílnosti regionů</w:t>
      </w:r>
    </w:p>
    <w:p w14:paraId="4A6F459B" w14:textId="77777777" w:rsidR="008E0F74" w:rsidRPr="00FC3B7C" w:rsidRDefault="008E0F74">
      <w:pPr>
        <w:spacing w:line="208" w:lineRule="exact"/>
        <w:rPr>
          <w:sz w:val="20"/>
          <w:szCs w:val="20"/>
        </w:rPr>
      </w:pPr>
    </w:p>
    <w:p w14:paraId="4A6F459C" w14:textId="77777777" w:rsidR="008E0F74" w:rsidRPr="00FC3B7C" w:rsidRDefault="00256F29" w:rsidP="00A812C9">
      <w:pPr>
        <w:rPr>
          <w:sz w:val="20"/>
          <w:szCs w:val="20"/>
        </w:rPr>
      </w:pPr>
      <w:r w:rsidRPr="00FC3B7C">
        <w:rPr>
          <w:rFonts w:eastAsia="Times New Roman"/>
          <w:b/>
          <w:bCs/>
          <w:szCs w:val="24"/>
        </w:rPr>
        <w:t>Administrativní faktor:</w:t>
      </w:r>
    </w:p>
    <w:p w14:paraId="4A6F459D" w14:textId="77777777" w:rsidR="008E0F74" w:rsidRPr="00FC3B7C" w:rsidRDefault="00256F29" w:rsidP="00D46B53">
      <w:pPr>
        <w:numPr>
          <w:ilvl w:val="0"/>
          <w:numId w:val="266"/>
        </w:numPr>
        <w:tabs>
          <w:tab w:val="left" w:pos="1000"/>
        </w:tabs>
        <w:ind w:left="1000" w:hanging="360"/>
        <w:rPr>
          <w:rFonts w:eastAsia="Arial"/>
          <w:szCs w:val="24"/>
        </w:rPr>
      </w:pPr>
      <w:r w:rsidRPr="00FC3B7C">
        <w:rPr>
          <w:rFonts w:eastAsia="Times New Roman"/>
          <w:szCs w:val="24"/>
        </w:rPr>
        <w:t>např. pozice regionů v sídelní hierarchii země</w:t>
      </w:r>
    </w:p>
    <w:p w14:paraId="4A6F459E" w14:textId="77777777" w:rsidR="008E0F74" w:rsidRPr="00FC3B7C" w:rsidRDefault="00256F29" w:rsidP="00D46B53">
      <w:pPr>
        <w:numPr>
          <w:ilvl w:val="0"/>
          <w:numId w:val="266"/>
        </w:numPr>
        <w:tabs>
          <w:tab w:val="left" w:pos="1000"/>
        </w:tabs>
        <w:ind w:left="1000" w:hanging="360"/>
        <w:rPr>
          <w:rFonts w:eastAsia="Arial"/>
          <w:szCs w:val="24"/>
        </w:rPr>
      </w:pPr>
      <w:r w:rsidRPr="00FC3B7C">
        <w:rPr>
          <w:rFonts w:eastAsia="Times New Roman"/>
          <w:szCs w:val="24"/>
        </w:rPr>
        <w:t>nejdůležitější faktor</w:t>
      </w:r>
    </w:p>
    <w:p w14:paraId="4A6F459F" w14:textId="77777777" w:rsidR="008E0F74" w:rsidRPr="00A812C9" w:rsidRDefault="00256F29" w:rsidP="00D46B53">
      <w:pPr>
        <w:numPr>
          <w:ilvl w:val="0"/>
          <w:numId w:val="266"/>
        </w:numPr>
        <w:tabs>
          <w:tab w:val="left" w:pos="1000"/>
        </w:tabs>
        <w:rPr>
          <w:rFonts w:eastAsia="Arial"/>
          <w:szCs w:val="24"/>
        </w:rPr>
      </w:pPr>
      <w:r w:rsidRPr="00A812C9">
        <w:rPr>
          <w:rFonts w:eastAsia="Times New Roman"/>
          <w:szCs w:val="24"/>
        </w:rPr>
        <w:t>nejdynamičtější rozvoj: metropolitní území velkých měst (vyšší kvalifikace pracovních sil, lepší infrastruktura, různorodější ekonomická struktura), území kolem velkých měst, která jsou nejvýše v sídelní hierarchii (regionální centra), ale i mezi těmito územími jsou rozdíly</w:t>
      </w:r>
    </w:p>
    <w:p w14:paraId="4A6F45A0" w14:textId="77777777" w:rsidR="008E0F74" w:rsidRPr="00FC3B7C" w:rsidRDefault="00256F29" w:rsidP="00D46B53">
      <w:pPr>
        <w:numPr>
          <w:ilvl w:val="0"/>
          <w:numId w:val="266"/>
        </w:numPr>
        <w:tabs>
          <w:tab w:val="left" w:pos="1000"/>
        </w:tabs>
        <w:ind w:left="1000" w:hanging="360"/>
        <w:rPr>
          <w:rFonts w:eastAsia="Arial"/>
          <w:sz w:val="23"/>
          <w:szCs w:val="23"/>
        </w:rPr>
      </w:pPr>
      <w:r w:rsidRPr="00FC3B7C">
        <w:rPr>
          <w:rFonts w:eastAsia="Times New Roman"/>
          <w:sz w:val="23"/>
          <w:szCs w:val="23"/>
        </w:rPr>
        <w:lastRenderedPageBreak/>
        <w:t>rozdíly mezi Prahou, Brnem, Plzní a Českými Budějovicemi oproti Ústí nad Labem a Ostravě (problémy ekonomické restrukturalizace a znehodnocené životní prostředí spolu s problematickým prostředím sociálním (platí ale i pro jiná velká města))</w:t>
      </w:r>
    </w:p>
    <w:p w14:paraId="4A6F45A1" w14:textId="77777777" w:rsidR="008E0F74" w:rsidRPr="00FC3B7C" w:rsidRDefault="00256F29" w:rsidP="00D46B53">
      <w:pPr>
        <w:numPr>
          <w:ilvl w:val="0"/>
          <w:numId w:val="266"/>
        </w:numPr>
        <w:tabs>
          <w:tab w:val="left" w:pos="1000"/>
        </w:tabs>
        <w:ind w:left="1000" w:hanging="360"/>
        <w:rPr>
          <w:rFonts w:eastAsia="Arial"/>
          <w:szCs w:val="24"/>
        </w:rPr>
      </w:pPr>
      <w:r w:rsidRPr="00FC3B7C">
        <w:rPr>
          <w:rFonts w:eastAsia="Times New Roman"/>
          <w:szCs w:val="24"/>
        </w:rPr>
        <w:t>existuje silná polarizace mezi hlavním městem Praha a ostatními kraji v řadě ukazatelů rozhodujících pro životní úroveň obyvatelstva (HDP/obyvatele, průměrné mzdy, nezaměstnanost aj.)</w:t>
      </w:r>
    </w:p>
    <w:p w14:paraId="4A6F45A2" w14:textId="77777777" w:rsidR="008E0F74" w:rsidRPr="00FC3B7C" w:rsidRDefault="008E0F74">
      <w:pPr>
        <w:spacing w:line="150" w:lineRule="exact"/>
        <w:rPr>
          <w:sz w:val="20"/>
          <w:szCs w:val="20"/>
        </w:rPr>
      </w:pPr>
    </w:p>
    <w:p w14:paraId="4A6F45A3" w14:textId="77777777" w:rsidR="008E0F74" w:rsidRPr="00A812C9" w:rsidRDefault="00256F29" w:rsidP="00A812C9">
      <w:pPr>
        <w:rPr>
          <w:rFonts w:eastAsia="Times New Roman"/>
          <w:b/>
          <w:bCs/>
          <w:szCs w:val="24"/>
        </w:rPr>
      </w:pPr>
      <w:r w:rsidRPr="00FC3B7C">
        <w:rPr>
          <w:rFonts w:eastAsia="Times New Roman"/>
          <w:b/>
          <w:bCs/>
          <w:szCs w:val="24"/>
        </w:rPr>
        <w:t>Geografický faktor:</w:t>
      </w:r>
    </w:p>
    <w:p w14:paraId="4A6F45A4" w14:textId="77777777" w:rsidR="008E0F74" w:rsidRPr="00FC3B7C" w:rsidRDefault="00256F29" w:rsidP="00D46B53">
      <w:pPr>
        <w:numPr>
          <w:ilvl w:val="0"/>
          <w:numId w:val="267"/>
        </w:numPr>
        <w:tabs>
          <w:tab w:val="left" w:pos="840"/>
        </w:tabs>
        <w:ind w:left="840" w:hanging="368"/>
        <w:rPr>
          <w:rFonts w:eastAsia="Arial"/>
          <w:szCs w:val="24"/>
        </w:rPr>
      </w:pPr>
      <w:r w:rsidRPr="00FC3B7C">
        <w:rPr>
          <w:rFonts w:eastAsia="Times New Roman"/>
          <w:szCs w:val="24"/>
        </w:rPr>
        <w:t>např. pozice regionů na geografické ose severozápad-jihovýchod</w:t>
      </w:r>
    </w:p>
    <w:p w14:paraId="4A6F45A5" w14:textId="77777777" w:rsidR="008E0F74" w:rsidRPr="00FC3B7C" w:rsidRDefault="00256F29" w:rsidP="00D46B53">
      <w:pPr>
        <w:numPr>
          <w:ilvl w:val="0"/>
          <w:numId w:val="267"/>
        </w:numPr>
        <w:tabs>
          <w:tab w:val="left" w:pos="840"/>
        </w:tabs>
        <w:ind w:left="840" w:hanging="368"/>
        <w:rPr>
          <w:rFonts w:eastAsia="Arial"/>
          <w:szCs w:val="24"/>
        </w:rPr>
      </w:pPr>
      <w:r w:rsidRPr="00FC3B7C">
        <w:rPr>
          <w:rFonts w:eastAsia="Times New Roman"/>
          <w:szCs w:val="24"/>
        </w:rPr>
        <w:t>reorientace od Východu na Západ měla po roce 1989 zásadní vliv na rozvoj – kulturní a prostorová vzdálenost vůči jádru EU (západní Německo) se stala důležitým rozvojovým činitelem</w:t>
      </w:r>
    </w:p>
    <w:p w14:paraId="4A6F45A6" w14:textId="77777777" w:rsidR="008E0F74" w:rsidRPr="00FC3B7C" w:rsidRDefault="00256F29" w:rsidP="00D46B53">
      <w:pPr>
        <w:numPr>
          <w:ilvl w:val="0"/>
          <w:numId w:val="267"/>
        </w:numPr>
        <w:tabs>
          <w:tab w:val="left" w:pos="840"/>
        </w:tabs>
        <w:ind w:left="840" w:hanging="368"/>
        <w:rPr>
          <w:rFonts w:eastAsia="Arial"/>
          <w:szCs w:val="24"/>
        </w:rPr>
      </w:pPr>
      <w:r w:rsidRPr="00FC3B7C">
        <w:rPr>
          <w:rFonts w:eastAsia="Times New Roman"/>
          <w:szCs w:val="24"/>
        </w:rPr>
        <w:t>nelze však jednoznačně tvrdit, že čím dále od Západu, tím větší diferenciace (působí zde i jiné faktory – např. socio-kulturní (patriotismus, angažovanost, důvěra), navíc, čím menší jsou posuzované územní jednotky (např. okres), tím důležitější je pro ně vnitrostátní poloha vůči metropolím a dopravním tahům</w:t>
      </w:r>
    </w:p>
    <w:p w14:paraId="4A6F45A7" w14:textId="77777777" w:rsidR="008E0F74" w:rsidRPr="00FC3B7C" w:rsidRDefault="00256F29" w:rsidP="00D46B53">
      <w:pPr>
        <w:numPr>
          <w:ilvl w:val="0"/>
          <w:numId w:val="267"/>
        </w:numPr>
        <w:tabs>
          <w:tab w:val="left" w:pos="840"/>
        </w:tabs>
        <w:ind w:left="840" w:hanging="368"/>
        <w:rPr>
          <w:rFonts w:eastAsia="Arial"/>
          <w:szCs w:val="24"/>
        </w:rPr>
      </w:pPr>
      <w:r w:rsidRPr="00FC3B7C">
        <w:rPr>
          <w:rFonts w:eastAsia="Times New Roman"/>
          <w:szCs w:val="24"/>
        </w:rPr>
        <w:t>pouhá nevýhodná poloha nemusí nutně znamenat velké rozdíly (vliv má také dopravní obslužnost a dostupnost, infrastruktura, kulturní úroveň, sociální vazby, přizpůsobivost obyvatelstva, iniciativa politiků a lidí (angažovanost, občanskost))</w:t>
      </w:r>
    </w:p>
    <w:p w14:paraId="4A6F45A8" w14:textId="77777777" w:rsidR="008E0F74" w:rsidRPr="00FC3B7C" w:rsidRDefault="008E0F74" w:rsidP="00A812C9">
      <w:pPr>
        <w:rPr>
          <w:sz w:val="20"/>
          <w:szCs w:val="20"/>
        </w:rPr>
      </w:pPr>
    </w:p>
    <w:p w14:paraId="4A6F45A9" w14:textId="77777777" w:rsidR="008E0F74" w:rsidRPr="00FC3B7C" w:rsidRDefault="00256F29" w:rsidP="00A812C9">
      <w:pPr>
        <w:rPr>
          <w:sz w:val="20"/>
          <w:szCs w:val="20"/>
        </w:rPr>
      </w:pPr>
      <w:r w:rsidRPr="00FC3B7C">
        <w:rPr>
          <w:rFonts w:eastAsia="Times New Roman"/>
          <w:b/>
          <w:bCs/>
          <w:szCs w:val="24"/>
        </w:rPr>
        <w:t>Sociálně-ekonomický faktor:</w:t>
      </w:r>
    </w:p>
    <w:p w14:paraId="4A6F45AA" w14:textId="77777777" w:rsidR="008E0F74" w:rsidRPr="00FC3B7C" w:rsidRDefault="00256F29" w:rsidP="00D46B53">
      <w:pPr>
        <w:numPr>
          <w:ilvl w:val="0"/>
          <w:numId w:val="268"/>
        </w:numPr>
        <w:tabs>
          <w:tab w:val="left" w:pos="840"/>
        </w:tabs>
        <w:ind w:left="840" w:hanging="368"/>
        <w:rPr>
          <w:rFonts w:eastAsia="Arial"/>
          <w:szCs w:val="24"/>
        </w:rPr>
      </w:pPr>
      <w:r w:rsidRPr="00FC3B7C">
        <w:rPr>
          <w:rFonts w:eastAsia="Times New Roman"/>
          <w:szCs w:val="24"/>
        </w:rPr>
        <w:t>např. profil ekonomiky regionů</w:t>
      </w:r>
    </w:p>
    <w:p w14:paraId="4A6F45AB" w14:textId="77777777" w:rsidR="005C77AB" w:rsidRPr="00FC3B7C" w:rsidRDefault="00256F29" w:rsidP="00D46B53">
      <w:pPr>
        <w:numPr>
          <w:ilvl w:val="0"/>
          <w:numId w:val="268"/>
        </w:numPr>
        <w:tabs>
          <w:tab w:val="left" w:pos="840"/>
        </w:tabs>
        <w:ind w:left="840" w:hanging="368"/>
      </w:pPr>
      <w:r w:rsidRPr="00FC3B7C">
        <w:rPr>
          <w:rFonts w:eastAsia="Times New Roman"/>
          <w:szCs w:val="24"/>
        </w:rPr>
        <w:t>jednalo se o dominantní ekonomickou specializaci regionů (dříve: těžba surovin, metalurgie, těžké strojírenství, zbrojní průmysl), po r. 1989 nešlo jen o přechod</w:t>
      </w:r>
    </w:p>
    <w:p w14:paraId="4A6F45AC" w14:textId="77777777" w:rsidR="008E0F74" w:rsidRPr="00FC3B7C" w:rsidRDefault="00256F29" w:rsidP="00A812C9">
      <w:pPr>
        <w:ind w:left="840"/>
        <w:rPr>
          <w:sz w:val="20"/>
          <w:szCs w:val="20"/>
        </w:rPr>
      </w:pPr>
      <w:bookmarkStart w:id="292" w:name="page323"/>
      <w:bookmarkEnd w:id="292"/>
      <w:r w:rsidRPr="00FC3B7C">
        <w:rPr>
          <w:rFonts w:eastAsia="Times New Roman"/>
          <w:szCs w:val="24"/>
        </w:rPr>
        <w:t>politický, ale i v oblasti hospodářství: přechod k nové ekonomice (flexibilita, znalosti, lidský kapitál, sociální kapitál atd.)</w:t>
      </w:r>
    </w:p>
    <w:p w14:paraId="4A6F45AD" w14:textId="77777777" w:rsidR="008E0F74" w:rsidRPr="00FC3B7C" w:rsidRDefault="00256F29" w:rsidP="00D46B53">
      <w:pPr>
        <w:numPr>
          <w:ilvl w:val="0"/>
          <w:numId w:val="269"/>
        </w:numPr>
        <w:tabs>
          <w:tab w:val="left" w:pos="840"/>
        </w:tabs>
        <w:ind w:left="840" w:hanging="368"/>
        <w:rPr>
          <w:rFonts w:eastAsia="Arial"/>
          <w:szCs w:val="24"/>
        </w:rPr>
      </w:pPr>
      <w:r w:rsidRPr="00FC3B7C">
        <w:rPr>
          <w:rFonts w:eastAsia="Times New Roman"/>
          <w:szCs w:val="24"/>
        </w:rPr>
        <w:t>pokles významu zemědělství jako zaměstnavatele omezil některé možnosti rozvoje venkovských oblastí (Jižní a Jihozápadní Čechy, Jižní Morava a vnitřní periferie (podél hranic Čech a Moravy - např. Vysočina)); pokles zaměstnanosti však nebyl drastický (nové alternativy: multifunkční zemědělství)</w:t>
      </w:r>
    </w:p>
    <w:p w14:paraId="4A6F45AE" w14:textId="77777777" w:rsidR="008E0F74" w:rsidRPr="00A812C9" w:rsidRDefault="00256F29" w:rsidP="00D46B53">
      <w:pPr>
        <w:numPr>
          <w:ilvl w:val="0"/>
          <w:numId w:val="269"/>
        </w:numPr>
        <w:tabs>
          <w:tab w:val="left" w:pos="840"/>
        </w:tabs>
        <w:rPr>
          <w:rFonts w:eastAsia="Arial"/>
          <w:szCs w:val="24"/>
        </w:rPr>
      </w:pPr>
      <w:r w:rsidRPr="00A812C9">
        <w:rPr>
          <w:rFonts w:eastAsia="Times New Roman"/>
          <w:szCs w:val="24"/>
        </w:rPr>
        <w:t>transformaci zvládly lépe regiony s různorodou ekonomickou základnou – metropole či regiony s dominantními úspěšnými podniky (Mladá Boleslav – Škoda Auto)</w:t>
      </w:r>
    </w:p>
    <w:p w14:paraId="4A6F45AF" w14:textId="77777777" w:rsidR="008E0F74" w:rsidRPr="00FC3B7C" w:rsidRDefault="00256F29" w:rsidP="00D46B53">
      <w:pPr>
        <w:numPr>
          <w:ilvl w:val="0"/>
          <w:numId w:val="269"/>
        </w:numPr>
        <w:tabs>
          <w:tab w:val="left" w:pos="840"/>
        </w:tabs>
        <w:ind w:left="840" w:hanging="368"/>
        <w:rPr>
          <w:rFonts w:eastAsia="Arial"/>
          <w:szCs w:val="24"/>
        </w:rPr>
      </w:pPr>
      <w:r w:rsidRPr="00FC3B7C">
        <w:rPr>
          <w:rFonts w:eastAsia="Times New Roman"/>
          <w:szCs w:val="24"/>
        </w:rPr>
        <w:t>s nimi jsou propojeny další faktory povahy historické, socio-kulturní, infrastrukturální, životního prostředí, politické, demografické v souladu s hlavním faktorem regionálního rozvoje, kterým jsou lidé</w:t>
      </w:r>
    </w:p>
    <w:p w14:paraId="4A6F45B0" w14:textId="49E3EDB3" w:rsidR="008E0F74" w:rsidRPr="004A163A" w:rsidRDefault="004A163A" w:rsidP="00A812C9">
      <w:pPr>
        <w:pStyle w:val="Nadpis3"/>
        <w:rPr>
          <w:color w:val="1F3864" w:themeColor="accent1" w:themeShade="80"/>
          <w:sz w:val="20"/>
          <w:szCs w:val="20"/>
        </w:rPr>
      </w:pPr>
      <w:r w:rsidRPr="004A163A">
        <w:rPr>
          <w:rFonts w:eastAsia="Times New Roman"/>
          <w:color w:val="1F3864" w:themeColor="accent1" w:themeShade="80"/>
        </w:rPr>
        <w:lastRenderedPageBreak/>
        <w:t xml:space="preserve"> </w:t>
      </w:r>
      <w:r w:rsidR="00256F29" w:rsidRPr="004A163A">
        <w:rPr>
          <w:rFonts w:eastAsia="Times New Roman"/>
          <w:color w:val="1F3864" w:themeColor="accent1" w:themeShade="80"/>
        </w:rPr>
        <w:t>Charakteristika problémových regionů</w:t>
      </w:r>
    </w:p>
    <w:p w14:paraId="4A6F45B1" w14:textId="77777777" w:rsidR="008E0F74" w:rsidRPr="00FC3B7C" w:rsidRDefault="008E0F74">
      <w:pPr>
        <w:spacing w:line="200" w:lineRule="exact"/>
        <w:rPr>
          <w:sz w:val="20"/>
          <w:szCs w:val="20"/>
        </w:rPr>
      </w:pPr>
    </w:p>
    <w:p w14:paraId="4A6F45B2" w14:textId="77777777" w:rsidR="008E0F74" w:rsidRPr="00FC3B7C" w:rsidRDefault="008E0F74">
      <w:pPr>
        <w:spacing w:line="203" w:lineRule="exact"/>
        <w:rPr>
          <w:sz w:val="20"/>
          <w:szCs w:val="20"/>
        </w:rPr>
      </w:pPr>
    </w:p>
    <w:p w14:paraId="4A6F45B3" w14:textId="77777777" w:rsidR="008E0F74" w:rsidRPr="004A163A" w:rsidRDefault="00256F29" w:rsidP="00A812C9">
      <w:pPr>
        <w:pStyle w:val="Nadpis4"/>
        <w:rPr>
          <w:color w:val="1F3864" w:themeColor="accent1" w:themeShade="80"/>
          <w:sz w:val="20"/>
          <w:szCs w:val="20"/>
        </w:rPr>
      </w:pPr>
      <w:r w:rsidRPr="004A163A">
        <w:rPr>
          <w:rFonts w:eastAsia="Times New Roman"/>
          <w:color w:val="1F3864" w:themeColor="accent1" w:themeShade="80"/>
        </w:rPr>
        <w:t>Kritéria pro vymezení problémových regionů</w:t>
      </w:r>
    </w:p>
    <w:p w14:paraId="4A6F45B4" w14:textId="77777777" w:rsidR="008E0F74" w:rsidRPr="00FC3B7C" w:rsidRDefault="008E0F74" w:rsidP="00A812C9">
      <w:pPr>
        <w:rPr>
          <w:sz w:val="20"/>
          <w:szCs w:val="20"/>
        </w:rPr>
      </w:pPr>
    </w:p>
    <w:p w14:paraId="4A6F45B5" w14:textId="77777777" w:rsidR="008E0F74" w:rsidRPr="00FC3B7C" w:rsidRDefault="00256F29" w:rsidP="00D46B53">
      <w:pPr>
        <w:numPr>
          <w:ilvl w:val="0"/>
          <w:numId w:val="270"/>
        </w:numPr>
        <w:tabs>
          <w:tab w:val="left" w:pos="1420"/>
        </w:tabs>
        <w:ind w:left="1420" w:hanging="363"/>
        <w:rPr>
          <w:rFonts w:eastAsia="Arial"/>
          <w:szCs w:val="24"/>
        </w:rPr>
      </w:pPr>
      <w:r w:rsidRPr="00FC3B7C">
        <w:rPr>
          <w:rFonts w:eastAsia="Times New Roman"/>
          <w:szCs w:val="24"/>
        </w:rPr>
        <w:t>míra nezaměstnanosti a její délka a typ</w:t>
      </w:r>
    </w:p>
    <w:p w14:paraId="4A6F45B6" w14:textId="77777777" w:rsidR="008E0F74" w:rsidRPr="00FC3B7C" w:rsidRDefault="00256F29" w:rsidP="00D46B53">
      <w:pPr>
        <w:numPr>
          <w:ilvl w:val="0"/>
          <w:numId w:val="270"/>
        </w:numPr>
        <w:tabs>
          <w:tab w:val="left" w:pos="1420"/>
        </w:tabs>
        <w:ind w:left="1420" w:right="20" w:hanging="363"/>
        <w:rPr>
          <w:rFonts w:eastAsia="Arial"/>
          <w:szCs w:val="24"/>
        </w:rPr>
      </w:pPr>
      <w:r w:rsidRPr="00FC3B7C">
        <w:rPr>
          <w:rFonts w:eastAsia="Times New Roman"/>
          <w:szCs w:val="24"/>
        </w:rPr>
        <w:t>HDP a tempo růstu (nezohledňuje stav životního prostředí, změnu zásob nerostů, barter, dobrovolnictví, domácí práce ani šedou ekonomiku)</w:t>
      </w:r>
    </w:p>
    <w:p w14:paraId="4A6F45B7" w14:textId="77777777" w:rsidR="008E0F74" w:rsidRPr="00FC3B7C" w:rsidRDefault="00256F29" w:rsidP="00D46B53">
      <w:pPr>
        <w:numPr>
          <w:ilvl w:val="0"/>
          <w:numId w:val="270"/>
        </w:numPr>
        <w:tabs>
          <w:tab w:val="left" w:pos="1420"/>
        </w:tabs>
        <w:ind w:left="1420" w:hanging="363"/>
        <w:rPr>
          <w:rFonts w:eastAsia="Arial"/>
          <w:sz w:val="23"/>
          <w:szCs w:val="23"/>
        </w:rPr>
      </w:pPr>
      <w:r w:rsidRPr="00FC3B7C">
        <w:rPr>
          <w:rFonts w:eastAsia="Times New Roman"/>
          <w:sz w:val="23"/>
          <w:szCs w:val="23"/>
        </w:rPr>
        <w:t>ekonomická struktura (rychlost změn v odvětví, % malých firem, zaměstnanost)</w:t>
      </w:r>
    </w:p>
    <w:p w14:paraId="4A6F45B8" w14:textId="77777777" w:rsidR="008E0F74" w:rsidRPr="00FC3B7C" w:rsidRDefault="00256F29" w:rsidP="00D46B53">
      <w:pPr>
        <w:numPr>
          <w:ilvl w:val="0"/>
          <w:numId w:val="270"/>
        </w:numPr>
        <w:tabs>
          <w:tab w:val="left" w:pos="1420"/>
        </w:tabs>
        <w:ind w:left="1420" w:hanging="363"/>
        <w:rPr>
          <w:rFonts w:eastAsia="Arial"/>
          <w:szCs w:val="24"/>
        </w:rPr>
      </w:pPr>
      <w:r w:rsidRPr="00FC3B7C">
        <w:rPr>
          <w:rFonts w:eastAsia="Times New Roman"/>
          <w:szCs w:val="24"/>
        </w:rPr>
        <w:t>migrace, přirozený přírůstek</w:t>
      </w:r>
    </w:p>
    <w:p w14:paraId="4A6F45B9" w14:textId="77777777" w:rsidR="008E0F74" w:rsidRPr="00FC3B7C" w:rsidRDefault="00256F29" w:rsidP="00D46B53">
      <w:pPr>
        <w:numPr>
          <w:ilvl w:val="0"/>
          <w:numId w:val="270"/>
        </w:numPr>
        <w:tabs>
          <w:tab w:val="left" w:pos="1420"/>
        </w:tabs>
        <w:ind w:left="1420" w:hanging="363"/>
        <w:rPr>
          <w:rFonts w:eastAsia="Arial"/>
          <w:szCs w:val="24"/>
        </w:rPr>
      </w:pPr>
      <w:r w:rsidRPr="00FC3B7C">
        <w:rPr>
          <w:rFonts w:eastAsia="Times New Roman"/>
          <w:szCs w:val="24"/>
        </w:rPr>
        <w:t>stav životního prostředí</w:t>
      </w:r>
    </w:p>
    <w:p w14:paraId="4A6F45BA" w14:textId="77777777" w:rsidR="008E0F74" w:rsidRPr="00FC3B7C" w:rsidRDefault="00256F29" w:rsidP="00D46B53">
      <w:pPr>
        <w:numPr>
          <w:ilvl w:val="0"/>
          <w:numId w:val="270"/>
        </w:numPr>
        <w:tabs>
          <w:tab w:val="left" w:pos="1420"/>
        </w:tabs>
        <w:ind w:left="1420" w:hanging="363"/>
        <w:rPr>
          <w:rFonts w:eastAsia="Arial"/>
        </w:rPr>
      </w:pPr>
      <w:r w:rsidRPr="00FC3B7C">
        <w:rPr>
          <w:rFonts w:eastAsia="Times New Roman"/>
          <w:szCs w:val="24"/>
        </w:rPr>
        <w:t>poloha regionů a dopravní dostupnost</w:t>
      </w:r>
    </w:p>
    <w:p w14:paraId="4A6F45BB" w14:textId="77777777" w:rsidR="008E0F74" w:rsidRPr="004A163A" w:rsidRDefault="008E0F74">
      <w:pPr>
        <w:spacing w:line="328" w:lineRule="exact"/>
        <w:rPr>
          <w:color w:val="1F3864" w:themeColor="accent1" w:themeShade="80"/>
          <w:sz w:val="20"/>
          <w:szCs w:val="20"/>
        </w:rPr>
      </w:pPr>
    </w:p>
    <w:p w14:paraId="4A6F45BC" w14:textId="77777777" w:rsidR="008E0F74" w:rsidRPr="004A163A" w:rsidRDefault="00256F29" w:rsidP="00A812C9">
      <w:pPr>
        <w:pStyle w:val="Nadpis4"/>
        <w:rPr>
          <w:color w:val="1F3864" w:themeColor="accent1" w:themeShade="80"/>
          <w:sz w:val="20"/>
          <w:szCs w:val="20"/>
        </w:rPr>
      </w:pPr>
      <w:r w:rsidRPr="004A163A">
        <w:rPr>
          <w:rFonts w:eastAsia="Times New Roman"/>
          <w:color w:val="1F3864" w:themeColor="accent1" w:themeShade="80"/>
        </w:rPr>
        <w:t>Hlavní typy problémových regionů</w:t>
      </w:r>
    </w:p>
    <w:p w14:paraId="4A6F45BD" w14:textId="77777777" w:rsidR="008E0F74" w:rsidRPr="00FC3B7C" w:rsidRDefault="00256F29" w:rsidP="00A812C9">
      <w:pPr>
        <w:rPr>
          <w:sz w:val="20"/>
          <w:szCs w:val="20"/>
        </w:rPr>
      </w:pPr>
      <w:r w:rsidRPr="00FC3B7C">
        <w:rPr>
          <w:rFonts w:eastAsia="Times New Roman"/>
          <w:b/>
          <w:bCs/>
          <w:i/>
          <w:iCs/>
          <w:szCs w:val="24"/>
        </w:rPr>
        <w:t>1) Strukturálně postižené regiony</w:t>
      </w:r>
    </w:p>
    <w:p w14:paraId="4A6F45BE" w14:textId="77777777" w:rsidR="008E0F74" w:rsidRPr="00FC3B7C" w:rsidRDefault="00256F29" w:rsidP="00A812C9">
      <w:pPr>
        <w:ind w:left="280" w:right="20"/>
        <w:rPr>
          <w:sz w:val="20"/>
          <w:szCs w:val="20"/>
        </w:rPr>
      </w:pPr>
      <w:r w:rsidRPr="00FC3B7C">
        <w:rPr>
          <w:rFonts w:eastAsia="Times New Roman"/>
          <w:szCs w:val="24"/>
        </w:rPr>
        <w:t>Regiony s vysokým zastoupením průmyslu a vysokým stupněm urbanizace, ve kterých se soustřeďují negativní projevy strukturálních změn, dochází v nich k útlumu významných podniků, resp. celých odvětví a k nadprůměrnému růstu nezaměstnanosti;</w:t>
      </w:r>
    </w:p>
    <w:p w14:paraId="4A6F45BF" w14:textId="77777777" w:rsidR="008E0F74" w:rsidRPr="00FC3B7C" w:rsidRDefault="00256F29" w:rsidP="00A812C9">
      <w:pPr>
        <w:rPr>
          <w:sz w:val="20"/>
          <w:szCs w:val="20"/>
        </w:rPr>
      </w:pPr>
      <w:r w:rsidRPr="00FC3B7C">
        <w:rPr>
          <w:rFonts w:eastAsia="Times New Roman"/>
          <w:b/>
          <w:bCs/>
          <w:i/>
          <w:iCs/>
          <w:szCs w:val="24"/>
        </w:rPr>
        <w:t>2) Hospodářsky slabé regiony</w:t>
      </w:r>
    </w:p>
    <w:p w14:paraId="4A6F45C0" w14:textId="77777777" w:rsidR="008E0F74" w:rsidRPr="00FC3B7C" w:rsidRDefault="00256F29" w:rsidP="00A812C9">
      <w:pPr>
        <w:ind w:left="280" w:right="20"/>
        <w:rPr>
          <w:sz w:val="20"/>
          <w:szCs w:val="20"/>
        </w:rPr>
      </w:pPr>
      <w:r w:rsidRPr="00FC3B7C">
        <w:rPr>
          <w:rFonts w:eastAsia="Times New Roman"/>
          <w:szCs w:val="24"/>
        </w:rPr>
        <w:t>Oblasti charakteristické nízkou životní úrovní, nízkým ekonomickým potenciálem, nadprůměrným podílem zaměstnanosti v primárním sektoru a nadprůměrnou nezaměstnaností;</w:t>
      </w:r>
    </w:p>
    <w:p w14:paraId="4A6F45C1" w14:textId="77777777" w:rsidR="008E0F74" w:rsidRPr="00FC3B7C" w:rsidRDefault="00256F29" w:rsidP="00A812C9">
      <w:pPr>
        <w:rPr>
          <w:sz w:val="20"/>
          <w:szCs w:val="20"/>
        </w:rPr>
      </w:pPr>
      <w:bookmarkStart w:id="293" w:name="page324"/>
      <w:bookmarkEnd w:id="293"/>
      <w:r w:rsidRPr="00FC3B7C">
        <w:rPr>
          <w:rFonts w:eastAsia="Times New Roman"/>
          <w:b/>
          <w:bCs/>
          <w:i/>
          <w:iCs/>
          <w:szCs w:val="24"/>
        </w:rPr>
        <w:t>3) Venkovské regiony</w:t>
      </w:r>
    </w:p>
    <w:p w14:paraId="4A6F45C2" w14:textId="77777777" w:rsidR="008E0F74" w:rsidRPr="00FC3B7C" w:rsidRDefault="00256F29" w:rsidP="00A812C9">
      <w:pPr>
        <w:ind w:left="280" w:right="20"/>
        <w:rPr>
          <w:sz w:val="20"/>
          <w:szCs w:val="20"/>
        </w:rPr>
      </w:pPr>
      <w:r w:rsidRPr="00FC3B7C">
        <w:rPr>
          <w:rFonts w:eastAsia="Times New Roman"/>
          <w:szCs w:val="24"/>
        </w:rPr>
        <w:t xml:space="preserve">Venkovské oblasti charakteristické nižším stupněm urbanizace a ekonomického rozvoje, nízkou hustotou zalidnění, poklesem počtu obyvatel a vysokým podílem zaměstnanosti </w:t>
      </w:r>
      <w:r w:rsidR="0067217A">
        <w:rPr>
          <w:rFonts w:eastAsia="Times New Roman"/>
          <w:szCs w:val="24"/>
        </w:rPr>
        <w:br/>
      </w:r>
      <w:r w:rsidRPr="00FC3B7C">
        <w:rPr>
          <w:rFonts w:eastAsia="Times New Roman"/>
          <w:szCs w:val="24"/>
        </w:rPr>
        <w:t>v zemědělství;</w:t>
      </w:r>
    </w:p>
    <w:p w14:paraId="4A6F45C3" w14:textId="77777777" w:rsidR="008E0F74" w:rsidRPr="00FC3B7C" w:rsidRDefault="00256F29" w:rsidP="00A812C9">
      <w:pPr>
        <w:rPr>
          <w:sz w:val="20"/>
          <w:szCs w:val="20"/>
        </w:rPr>
      </w:pPr>
      <w:r w:rsidRPr="00FC3B7C">
        <w:rPr>
          <w:rFonts w:eastAsia="Times New Roman"/>
          <w:b/>
          <w:bCs/>
          <w:i/>
          <w:iCs/>
          <w:szCs w:val="24"/>
        </w:rPr>
        <w:t>4) Jiné problémové regiony</w:t>
      </w:r>
    </w:p>
    <w:p w14:paraId="4A6F45C4" w14:textId="77777777" w:rsidR="008E0F74" w:rsidRPr="00FC3B7C" w:rsidRDefault="00256F29" w:rsidP="00A812C9">
      <w:pPr>
        <w:ind w:left="280" w:right="20"/>
        <w:rPr>
          <w:sz w:val="20"/>
          <w:szCs w:val="20"/>
        </w:rPr>
      </w:pPr>
      <w:r w:rsidRPr="00FC3B7C">
        <w:rPr>
          <w:rFonts w:eastAsia="Times New Roman"/>
          <w:szCs w:val="24"/>
        </w:rPr>
        <w:t xml:space="preserve">Regiony se specifickými problémy, jejichž podporování státem je v jistém časovém období nezbytné (například regiony: postižené živelnými pohromami, se silně narušeným ŽP, </w:t>
      </w:r>
      <w:r w:rsidR="0067217A">
        <w:rPr>
          <w:rFonts w:eastAsia="Times New Roman"/>
          <w:szCs w:val="24"/>
        </w:rPr>
        <w:br/>
      </w:r>
      <w:r w:rsidRPr="00FC3B7C">
        <w:rPr>
          <w:rFonts w:eastAsia="Times New Roman"/>
          <w:szCs w:val="24"/>
        </w:rPr>
        <w:t>s vysokou mírou nezaměstnanosti).</w:t>
      </w:r>
    </w:p>
    <w:p w14:paraId="4A6F45C5" w14:textId="77777777" w:rsidR="008E0F74" w:rsidRPr="00FC3B7C" w:rsidRDefault="008E0F74" w:rsidP="00A812C9">
      <w:pPr>
        <w:rPr>
          <w:sz w:val="20"/>
          <w:szCs w:val="20"/>
        </w:rPr>
      </w:pPr>
    </w:p>
    <w:p w14:paraId="4A6F45C6" w14:textId="77777777" w:rsidR="008E0F74" w:rsidRDefault="00256F29" w:rsidP="00A812C9">
      <w:pPr>
        <w:ind w:right="20"/>
        <w:rPr>
          <w:rFonts w:eastAsia="Times New Roman"/>
          <w:szCs w:val="24"/>
        </w:rPr>
      </w:pPr>
      <w:r w:rsidRPr="00FC3B7C">
        <w:rPr>
          <w:rFonts w:eastAsia="Times New Roman"/>
          <w:szCs w:val="24"/>
        </w:rPr>
        <w:t xml:space="preserve">Vzhledem k odlišnosti charakteristik jednotlivých typů problémových regionů, musí být pro jejich vymezení použity odlišné, je charakterizující ukazatele. Obecně může jít o ad hoc </w:t>
      </w:r>
      <w:r w:rsidR="0067217A">
        <w:rPr>
          <w:rFonts w:eastAsia="Times New Roman"/>
          <w:szCs w:val="24"/>
        </w:rPr>
        <w:t>vy</w:t>
      </w:r>
      <w:r w:rsidRPr="00FC3B7C">
        <w:rPr>
          <w:rFonts w:eastAsia="Times New Roman"/>
          <w:szCs w:val="24"/>
        </w:rPr>
        <w:t>mezené územní celky. Reálná dostupnost potřebných informací (zejména statistických dat) však determinuje územní detail na úrovni okresů.</w:t>
      </w:r>
    </w:p>
    <w:p w14:paraId="4A6F45C7" w14:textId="77777777" w:rsidR="0067217A" w:rsidRPr="00FC3B7C" w:rsidRDefault="0067217A" w:rsidP="00A812C9">
      <w:pPr>
        <w:ind w:right="20"/>
        <w:rPr>
          <w:sz w:val="20"/>
          <w:szCs w:val="20"/>
        </w:rPr>
      </w:pPr>
    </w:p>
    <w:p w14:paraId="4A6F45C8" w14:textId="77777777" w:rsidR="008E0F74" w:rsidRPr="00FC3B7C" w:rsidRDefault="008E0F74">
      <w:pPr>
        <w:spacing w:line="3" w:lineRule="exact"/>
        <w:rPr>
          <w:sz w:val="20"/>
          <w:szCs w:val="20"/>
        </w:rPr>
      </w:pPr>
    </w:p>
    <w:p w14:paraId="4A6F45C9" w14:textId="77777777" w:rsidR="008E0F74" w:rsidRPr="00FC3B7C" w:rsidRDefault="00256F29">
      <w:pPr>
        <w:ind w:left="280"/>
        <w:rPr>
          <w:sz w:val="20"/>
          <w:szCs w:val="20"/>
        </w:rPr>
      </w:pPr>
      <w:r w:rsidRPr="00FC3B7C">
        <w:rPr>
          <w:rFonts w:eastAsia="Times New Roman"/>
          <w:b/>
          <w:bCs/>
          <w:szCs w:val="24"/>
        </w:rPr>
        <w:t>Obr. č. 1: Problémové regiony:</w:t>
      </w:r>
    </w:p>
    <w:p w14:paraId="4A6F45CA" w14:textId="77777777" w:rsidR="008E0F74" w:rsidRPr="00FC3B7C" w:rsidRDefault="00256F29">
      <w:pPr>
        <w:spacing w:line="20" w:lineRule="exact"/>
        <w:rPr>
          <w:sz w:val="20"/>
          <w:szCs w:val="20"/>
        </w:rPr>
      </w:pPr>
      <w:r w:rsidRPr="00FC3B7C">
        <w:rPr>
          <w:noProof/>
          <w:sz w:val="20"/>
          <w:szCs w:val="20"/>
        </w:rPr>
        <w:drawing>
          <wp:anchor distT="0" distB="0" distL="114300" distR="114300" simplePos="0" relativeHeight="251576832" behindDoc="1" locked="0" layoutInCell="0" allowOverlap="1" wp14:anchorId="4A6F5CEE" wp14:editId="3496849E">
            <wp:simplePos x="0" y="0"/>
            <wp:positionH relativeFrom="column">
              <wp:posOffset>-1905</wp:posOffset>
            </wp:positionH>
            <wp:positionV relativeFrom="paragraph">
              <wp:posOffset>102870</wp:posOffset>
            </wp:positionV>
            <wp:extent cx="4846320" cy="3005455"/>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7"/>
                    <a:srcRect/>
                    <a:stretch>
                      <a:fillRect/>
                    </a:stretch>
                  </pic:blipFill>
                  <pic:spPr bwMode="auto">
                    <a:xfrm>
                      <a:off x="0" y="0"/>
                      <a:ext cx="4846320" cy="3005455"/>
                    </a:xfrm>
                    <a:prstGeom prst="rect">
                      <a:avLst/>
                    </a:prstGeom>
                    <a:noFill/>
                  </pic:spPr>
                </pic:pic>
              </a:graphicData>
            </a:graphic>
          </wp:anchor>
        </w:drawing>
      </w:r>
    </w:p>
    <w:p w14:paraId="4A6F45CB" w14:textId="77777777" w:rsidR="008E0F74" w:rsidRPr="00FC3B7C" w:rsidRDefault="008E0F74">
      <w:pPr>
        <w:spacing w:line="200" w:lineRule="exact"/>
        <w:rPr>
          <w:sz w:val="20"/>
          <w:szCs w:val="20"/>
        </w:rPr>
      </w:pPr>
    </w:p>
    <w:p w14:paraId="4A6F45CC" w14:textId="77777777" w:rsidR="008E0F74" w:rsidRPr="00FC3B7C" w:rsidRDefault="008E0F74">
      <w:pPr>
        <w:spacing w:line="200" w:lineRule="exact"/>
        <w:rPr>
          <w:sz w:val="20"/>
          <w:szCs w:val="20"/>
        </w:rPr>
      </w:pPr>
    </w:p>
    <w:p w14:paraId="4A6F45CD" w14:textId="77777777" w:rsidR="008E0F74" w:rsidRPr="00FC3B7C" w:rsidRDefault="008E0F74">
      <w:pPr>
        <w:spacing w:line="200" w:lineRule="exact"/>
        <w:rPr>
          <w:sz w:val="20"/>
          <w:szCs w:val="20"/>
        </w:rPr>
      </w:pPr>
    </w:p>
    <w:p w14:paraId="4A6F45CE" w14:textId="77777777" w:rsidR="008E0F74" w:rsidRPr="00FC3B7C" w:rsidRDefault="008E0F74">
      <w:pPr>
        <w:spacing w:line="200" w:lineRule="exact"/>
        <w:rPr>
          <w:sz w:val="20"/>
          <w:szCs w:val="20"/>
        </w:rPr>
      </w:pPr>
    </w:p>
    <w:p w14:paraId="4A6F45CF" w14:textId="77777777" w:rsidR="008E0F74" w:rsidRPr="00FC3B7C" w:rsidRDefault="008E0F74">
      <w:pPr>
        <w:spacing w:line="200" w:lineRule="exact"/>
        <w:rPr>
          <w:sz w:val="20"/>
          <w:szCs w:val="20"/>
        </w:rPr>
      </w:pPr>
    </w:p>
    <w:p w14:paraId="4A6F45D0" w14:textId="77777777" w:rsidR="008E0F74" w:rsidRPr="00FC3B7C" w:rsidRDefault="008E0F74">
      <w:pPr>
        <w:spacing w:line="200" w:lineRule="exact"/>
        <w:rPr>
          <w:sz w:val="20"/>
          <w:szCs w:val="20"/>
        </w:rPr>
      </w:pPr>
    </w:p>
    <w:p w14:paraId="4A6F45D1" w14:textId="77777777" w:rsidR="008E0F74" w:rsidRPr="00FC3B7C" w:rsidRDefault="008E0F74">
      <w:pPr>
        <w:spacing w:line="200" w:lineRule="exact"/>
        <w:rPr>
          <w:sz w:val="20"/>
          <w:szCs w:val="20"/>
        </w:rPr>
      </w:pPr>
    </w:p>
    <w:p w14:paraId="4A6F45D2" w14:textId="77777777" w:rsidR="008E0F74" w:rsidRPr="00FC3B7C" w:rsidRDefault="008E0F74">
      <w:pPr>
        <w:spacing w:line="200" w:lineRule="exact"/>
        <w:rPr>
          <w:sz w:val="20"/>
          <w:szCs w:val="20"/>
        </w:rPr>
      </w:pPr>
    </w:p>
    <w:p w14:paraId="4A6F45D3" w14:textId="77777777" w:rsidR="008E0F74" w:rsidRPr="00FC3B7C" w:rsidRDefault="008E0F74">
      <w:pPr>
        <w:spacing w:line="200" w:lineRule="exact"/>
        <w:rPr>
          <w:sz w:val="20"/>
          <w:szCs w:val="20"/>
        </w:rPr>
      </w:pPr>
    </w:p>
    <w:p w14:paraId="4A6F45D4" w14:textId="77777777" w:rsidR="008E0F74" w:rsidRPr="00FC3B7C" w:rsidRDefault="008E0F74">
      <w:pPr>
        <w:spacing w:line="200" w:lineRule="exact"/>
        <w:rPr>
          <w:sz w:val="20"/>
          <w:szCs w:val="20"/>
        </w:rPr>
      </w:pPr>
    </w:p>
    <w:p w14:paraId="4A6F45D5" w14:textId="77777777" w:rsidR="008E0F74" w:rsidRPr="00FC3B7C" w:rsidRDefault="008E0F74">
      <w:pPr>
        <w:spacing w:line="200" w:lineRule="exact"/>
        <w:rPr>
          <w:sz w:val="20"/>
          <w:szCs w:val="20"/>
        </w:rPr>
      </w:pPr>
    </w:p>
    <w:p w14:paraId="4A6F45D6" w14:textId="77777777" w:rsidR="008E0F74" w:rsidRPr="00FC3B7C" w:rsidRDefault="008E0F74">
      <w:pPr>
        <w:spacing w:line="200" w:lineRule="exact"/>
        <w:rPr>
          <w:sz w:val="20"/>
          <w:szCs w:val="20"/>
        </w:rPr>
      </w:pPr>
    </w:p>
    <w:p w14:paraId="4A6F45D7" w14:textId="77777777" w:rsidR="008E0F74" w:rsidRPr="00FC3B7C" w:rsidRDefault="008E0F74">
      <w:pPr>
        <w:spacing w:line="200" w:lineRule="exact"/>
        <w:rPr>
          <w:sz w:val="20"/>
          <w:szCs w:val="20"/>
        </w:rPr>
      </w:pPr>
    </w:p>
    <w:p w14:paraId="4A6F45D8" w14:textId="77777777" w:rsidR="008E0F74" w:rsidRPr="00FC3B7C" w:rsidRDefault="008E0F74">
      <w:pPr>
        <w:spacing w:line="200" w:lineRule="exact"/>
        <w:rPr>
          <w:sz w:val="20"/>
          <w:szCs w:val="20"/>
        </w:rPr>
      </w:pPr>
    </w:p>
    <w:p w14:paraId="4A6F45D9" w14:textId="77777777" w:rsidR="008E0F74" w:rsidRPr="00FC3B7C" w:rsidRDefault="008E0F74">
      <w:pPr>
        <w:spacing w:line="200" w:lineRule="exact"/>
        <w:rPr>
          <w:sz w:val="20"/>
          <w:szCs w:val="20"/>
        </w:rPr>
      </w:pPr>
    </w:p>
    <w:p w14:paraId="4A6F45DA" w14:textId="77777777" w:rsidR="008E0F74" w:rsidRPr="00FC3B7C" w:rsidRDefault="008E0F74">
      <w:pPr>
        <w:spacing w:line="200" w:lineRule="exact"/>
        <w:rPr>
          <w:sz w:val="20"/>
          <w:szCs w:val="20"/>
        </w:rPr>
      </w:pPr>
    </w:p>
    <w:p w14:paraId="4A6F45DB" w14:textId="77777777" w:rsidR="008E0F74" w:rsidRPr="00FC3B7C" w:rsidRDefault="008E0F74">
      <w:pPr>
        <w:spacing w:line="200" w:lineRule="exact"/>
        <w:rPr>
          <w:sz w:val="20"/>
          <w:szCs w:val="20"/>
        </w:rPr>
      </w:pPr>
    </w:p>
    <w:p w14:paraId="4A6F45DC" w14:textId="77777777" w:rsidR="008E0F74" w:rsidRPr="00FC3B7C" w:rsidRDefault="008E0F74">
      <w:pPr>
        <w:spacing w:line="200" w:lineRule="exact"/>
        <w:rPr>
          <w:sz w:val="20"/>
          <w:szCs w:val="20"/>
        </w:rPr>
      </w:pPr>
    </w:p>
    <w:p w14:paraId="4A6F45DD" w14:textId="77777777" w:rsidR="008E0F74" w:rsidRPr="00FC3B7C" w:rsidRDefault="008E0F74">
      <w:pPr>
        <w:spacing w:line="200" w:lineRule="exact"/>
        <w:rPr>
          <w:sz w:val="20"/>
          <w:szCs w:val="20"/>
        </w:rPr>
      </w:pPr>
    </w:p>
    <w:p w14:paraId="4A6F45DE" w14:textId="77777777" w:rsidR="008E0F74" w:rsidRPr="00FC3B7C" w:rsidRDefault="008E0F74">
      <w:pPr>
        <w:spacing w:line="200" w:lineRule="exact"/>
        <w:rPr>
          <w:sz w:val="20"/>
          <w:szCs w:val="20"/>
        </w:rPr>
      </w:pPr>
    </w:p>
    <w:p w14:paraId="4A6F45DF" w14:textId="77777777" w:rsidR="008E0F74" w:rsidRPr="00FC3B7C" w:rsidRDefault="008E0F74">
      <w:pPr>
        <w:spacing w:line="200" w:lineRule="exact"/>
        <w:rPr>
          <w:sz w:val="20"/>
          <w:szCs w:val="20"/>
        </w:rPr>
      </w:pPr>
    </w:p>
    <w:p w14:paraId="4A6F45E0" w14:textId="77777777" w:rsidR="008E0F74" w:rsidRPr="00FC3B7C" w:rsidRDefault="008E0F74">
      <w:pPr>
        <w:spacing w:line="200" w:lineRule="exact"/>
        <w:rPr>
          <w:sz w:val="20"/>
          <w:szCs w:val="20"/>
        </w:rPr>
      </w:pPr>
    </w:p>
    <w:p w14:paraId="4A6F45E1" w14:textId="77777777" w:rsidR="008E0F74" w:rsidRPr="00FC3B7C" w:rsidRDefault="008E0F74">
      <w:pPr>
        <w:spacing w:line="200" w:lineRule="exact"/>
        <w:rPr>
          <w:sz w:val="20"/>
          <w:szCs w:val="20"/>
        </w:rPr>
      </w:pPr>
    </w:p>
    <w:p w14:paraId="4A6F45E2" w14:textId="77777777" w:rsidR="008E0F74" w:rsidRPr="00FC3B7C" w:rsidRDefault="008E0F74">
      <w:pPr>
        <w:spacing w:line="200" w:lineRule="exact"/>
        <w:rPr>
          <w:sz w:val="20"/>
          <w:szCs w:val="20"/>
        </w:rPr>
      </w:pPr>
    </w:p>
    <w:p w14:paraId="4A6F45E3" w14:textId="77777777" w:rsidR="008E0F74" w:rsidRDefault="008E0F74">
      <w:pPr>
        <w:spacing w:line="200" w:lineRule="exact"/>
        <w:rPr>
          <w:sz w:val="20"/>
          <w:szCs w:val="20"/>
        </w:rPr>
      </w:pPr>
    </w:p>
    <w:p w14:paraId="4A6F45E4" w14:textId="77777777" w:rsidR="0067217A" w:rsidRDefault="0067217A">
      <w:pPr>
        <w:spacing w:line="200" w:lineRule="exact"/>
        <w:rPr>
          <w:sz w:val="20"/>
          <w:szCs w:val="20"/>
        </w:rPr>
      </w:pPr>
    </w:p>
    <w:p w14:paraId="4A6F45E5" w14:textId="77777777" w:rsidR="0067217A" w:rsidRDefault="0067217A">
      <w:pPr>
        <w:spacing w:line="200" w:lineRule="exact"/>
        <w:rPr>
          <w:sz w:val="20"/>
          <w:szCs w:val="20"/>
        </w:rPr>
      </w:pPr>
    </w:p>
    <w:p w14:paraId="4A6F45E6" w14:textId="77777777" w:rsidR="0067217A" w:rsidRDefault="0067217A">
      <w:pPr>
        <w:spacing w:line="200" w:lineRule="exact"/>
        <w:rPr>
          <w:sz w:val="20"/>
          <w:szCs w:val="20"/>
        </w:rPr>
      </w:pPr>
    </w:p>
    <w:p w14:paraId="4A6F45E7" w14:textId="77777777" w:rsidR="0067217A" w:rsidRPr="00FC3B7C" w:rsidRDefault="0067217A">
      <w:pPr>
        <w:spacing w:line="200" w:lineRule="exact"/>
        <w:rPr>
          <w:sz w:val="20"/>
          <w:szCs w:val="20"/>
        </w:rPr>
      </w:pPr>
    </w:p>
    <w:p w14:paraId="4A6F45E8" w14:textId="77777777" w:rsidR="008E0F74" w:rsidRPr="00FC3B7C" w:rsidRDefault="008E0F74">
      <w:pPr>
        <w:spacing w:line="276" w:lineRule="exact"/>
        <w:rPr>
          <w:sz w:val="20"/>
          <w:szCs w:val="20"/>
        </w:rPr>
      </w:pPr>
    </w:p>
    <w:p w14:paraId="4A6F45E9" w14:textId="77777777" w:rsidR="008E0F74" w:rsidRPr="004A163A" w:rsidRDefault="00256F29" w:rsidP="0067217A">
      <w:pPr>
        <w:pStyle w:val="Nadpis2"/>
        <w:rPr>
          <w:color w:val="1F3864" w:themeColor="accent1" w:themeShade="80"/>
          <w:sz w:val="20"/>
          <w:szCs w:val="20"/>
        </w:rPr>
      </w:pPr>
      <w:r w:rsidRPr="004A163A">
        <w:rPr>
          <w:rFonts w:eastAsia="Times New Roman"/>
          <w:color w:val="1F3864" w:themeColor="accent1" w:themeShade="80"/>
        </w:rPr>
        <w:t>ANALÝZA REGIONÁLNÍCH ODLIŠNOSTÍ</w:t>
      </w:r>
    </w:p>
    <w:p w14:paraId="4A6F45EA" w14:textId="77777777" w:rsidR="008E0F74" w:rsidRPr="00FC3B7C" w:rsidRDefault="008E0F74">
      <w:pPr>
        <w:spacing w:line="232" w:lineRule="exact"/>
        <w:rPr>
          <w:sz w:val="20"/>
          <w:szCs w:val="20"/>
        </w:rPr>
      </w:pPr>
    </w:p>
    <w:p w14:paraId="4A6F45EB" w14:textId="77777777" w:rsidR="008E0F74" w:rsidRPr="00FC3B7C" w:rsidRDefault="00256F29" w:rsidP="0067217A">
      <w:pPr>
        <w:rPr>
          <w:sz w:val="20"/>
          <w:szCs w:val="20"/>
        </w:rPr>
      </w:pPr>
      <w:r w:rsidRPr="00FC3B7C">
        <w:rPr>
          <w:rFonts w:eastAsia="Times New Roman"/>
          <w:szCs w:val="24"/>
        </w:rPr>
        <w:t xml:space="preserve">Regionální analýza je jednou z nejmladších vědních disciplín, původně existující v rámci geografie postupem času vyčlenil z geografie. Po 2. světové válce se tento obor osamostatnil </w:t>
      </w:r>
      <w:r w:rsidR="0067217A">
        <w:rPr>
          <w:rFonts w:eastAsia="Times New Roman"/>
          <w:szCs w:val="24"/>
        </w:rPr>
        <w:br/>
      </w:r>
      <w:r w:rsidRPr="00FC3B7C">
        <w:rPr>
          <w:rFonts w:eastAsia="Times New Roman"/>
          <w:szCs w:val="24"/>
        </w:rPr>
        <w:t>v důsledku lepšího systému statistických dat a rozvoje výpočetních technologií, které umožnily jejich zpracování.</w:t>
      </w:r>
    </w:p>
    <w:p w14:paraId="4A6F45EC" w14:textId="77777777" w:rsidR="008E0F74" w:rsidRPr="00FC3B7C" w:rsidRDefault="00256F29" w:rsidP="00D46B53">
      <w:pPr>
        <w:numPr>
          <w:ilvl w:val="0"/>
          <w:numId w:val="271"/>
        </w:numPr>
        <w:tabs>
          <w:tab w:val="left" w:pos="242"/>
        </w:tabs>
        <w:ind w:left="4" w:hanging="4"/>
        <w:rPr>
          <w:rFonts w:eastAsia="Times New Roman"/>
          <w:szCs w:val="24"/>
        </w:rPr>
      </w:pPr>
      <w:bookmarkStart w:id="294" w:name="page325"/>
      <w:bookmarkEnd w:id="294"/>
      <w:r w:rsidRPr="00FC3B7C">
        <w:rPr>
          <w:rFonts w:eastAsia="Times New Roman"/>
          <w:b/>
          <w:bCs/>
          <w:szCs w:val="24"/>
        </w:rPr>
        <w:t xml:space="preserve">teoretické rovině </w:t>
      </w:r>
      <w:r w:rsidRPr="00FC3B7C">
        <w:rPr>
          <w:rFonts w:eastAsia="Times New Roman"/>
          <w:szCs w:val="24"/>
        </w:rPr>
        <w:t>se regionální analýza snaží o smysluplné a obecné definování zákonitostí</w:t>
      </w:r>
      <w:r w:rsidRPr="00FC3B7C">
        <w:rPr>
          <w:rFonts w:eastAsia="Times New Roman"/>
          <w:b/>
          <w:bCs/>
          <w:szCs w:val="24"/>
        </w:rPr>
        <w:t xml:space="preserve"> </w:t>
      </w:r>
      <w:r w:rsidRPr="00FC3B7C">
        <w:rPr>
          <w:rFonts w:eastAsia="Times New Roman"/>
          <w:szCs w:val="24"/>
        </w:rPr>
        <w:t>diferenciace regionů. Zkoumá prostorové i obecnější vazby mezi regiony (hierarchie, funkce) v rámci objektivně existujících socioekonomických, fyzicko- geografických systémů.</w:t>
      </w:r>
    </w:p>
    <w:p w14:paraId="4A6F45ED" w14:textId="77777777" w:rsidR="008E0F74" w:rsidRPr="0067217A" w:rsidRDefault="00256F29" w:rsidP="0067217A">
      <w:pPr>
        <w:ind w:left="4"/>
        <w:rPr>
          <w:rFonts w:eastAsia="Times New Roman"/>
          <w:szCs w:val="24"/>
        </w:rPr>
      </w:pPr>
      <w:r w:rsidRPr="00FC3B7C">
        <w:rPr>
          <w:rFonts w:eastAsia="Times New Roman"/>
          <w:szCs w:val="24"/>
        </w:rPr>
        <w:t xml:space="preserve">V </w:t>
      </w:r>
      <w:r w:rsidRPr="00FC3B7C">
        <w:rPr>
          <w:rFonts w:eastAsia="Times New Roman"/>
          <w:b/>
          <w:bCs/>
          <w:szCs w:val="24"/>
        </w:rPr>
        <w:t>praktické rovině</w:t>
      </w:r>
      <w:r w:rsidRPr="00FC3B7C">
        <w:rPr>
          <w:rFonts w:eastAsia="Times New Roman"/>
          <w:szCs w:val="24"/>
        </w:rPr>
        <w:t xml:space="preserve"> je smyslem regionální analýzy zjistit tzv. zdrojový potenciál území (=souhrn všech pozitivních skutečností, příznivých faktorů a předpokladů budoucího rozvoje území), úzká místa (= exitující limity, omezení, strukturální disproporce a jiné omezující faktory). V neposlední řadě je cílem regionální analýzy pojmenování specifik zkoumaného regionu. Z výše uvedené charakteristiky je zřejmé, že regionální analýza by měla vyústit do komplexního, výstižného a souhrnného zhodnocení situace v regionu. Jedná se o nutný</w:t>
      </w:r>
      <w:r w:rsidR="0067217A">
        <w:rPr>
          <w:rFonts w:eastAsia="Times New Roman"/>
          <w:szCs w:val="24"/>
        </w:rPr>
        <w:t xml:space="preserve"> </w:t>
      </w:r>
      <w:r w:rsidRPr="00FC3B7C">
        <w:rPr>
          <w:rFonts w:eastAsia="Times New Roman"/>
          <w:szCs w:val="24"/>
        </w:rPr>
        <w:t>předstupeň regionální politiky.</w:t>
      </w:r>
    </w:p>
    <w:p w14:paraId="4A6F45EE" w14:textId="77777777" w:rsidR="008E0F74" w:rsidRPr="00FC3B7C" w:rsidRDefault="008E0F74" w:rsidP="0067217A">
      <w:pPr>
        <w:rPr>
          <w:sz w:val="20"/>
          <w:szCs w:val="20"/>
        </w:rPr>
      </w:pPr>
    </w:p>
    <w:p w14:paraId="4A6F45EF" w14:textId="77777777" w:rsidR="008E0F74" w:rsidRPr="00FC3B7C" w:rsidRDefault="00256F29" w:rsidP="0067217A">
      <w:pPr>
        <w:ind w:left="4"/>
        <w:rPr>
          <w:sz w:val="20"/>
          <w:szCs w:val="20"/>
        </w:rPr>
      </w:pPr>
      <w:r w:rsidRPr="00FC3B7C">
        <w:rPr>
          <w:rFonts w:eastAsia="Times New Roman"/>
          <w:szCs w:val="24"/>
        </w:rPr>
        <w:lastRenderedPageBreak/>
        <w:t>Z věcného hlediska lze regionální analýzu členit na čtyři základní tematické oblasti, a to:</w:t>
      </w:r>
    </w:p>
    <w:p w14:paraId="4A6F45F0" w14:textId="2A1B177F" w:rsidR="008E0F74" w:rsidRPr="00FC3B7C" w:rsidRDefault="00256F29" w:rsidP="0067217A">
      <w:pPr>
        <w:ind w:left="484"/>
        <w:rPr>
          <w:sz w:val="20"/>
          <w:szCs w:val="20"/>
        </w:rPr>
      </w:pPr>
      <w:r w:rsidRPr="00FC3B7C">
        <w:rPr>
          <w:rFonts w:eastAsia="Arial"/>
          <w:szCs w:val="24"/>
        </w:rPr>
        <w:t>–</w:t>
      </w:r>
      <w:r w:rsidR="003376E1">
        <w:rPr>
          <w:rFonts w:eastAsia="Arial"/>
          <w:szCs w:val="24"/>
        </w:rPr>
        <w:t xml:space="preserve"> </w:t>
      </w:r>
      <w:r w:rsidRPr="00FC3B7C">
        <w:rPr>
          <w:rFonts w:eastAsia="Times New Roman"/>
          <w:i/>
          <w:iCs/>
          <w:szCs w:val="24"/>
        </w:rPr>
        <w:t>Regionální analýza přírodních a ekologických podmínek území</w:t>
      </w:r>
    </w:p>
    <w:p w14:paraId="4A6F45F1" w14:textId="397149C4" w:rsidR="008E0F74" w:rsidRPr="00FC3B7C" w:rsidRDefault="00256F29" w:rsidP="0067217A">
      <w:pPr>
        <w:ind w:left="484"/>
        <w:rPr>
          <w:sz w:val="20"/>
          <w:szCs w:val="20"/>
        </w:rPr>
      </w:pPr>
      <w:r w:rsidRPr="00FC3B7C">
        <w:rPr>
          <w:rFonts w:eastAsia="Arial"/>
          <w:szCs w:val="24"/>
        </w:rPr>
        <w:t>–</w:t>
      </w:r>
      <w:r w:rsidR="003376E1">
        <w:rPr>
          <w:rFonts w:eastAsia="Arial"/>
          <w:szCs w:val="24"/>
        </w:rPr>
        <w:t xml:space="preserve"> </w:t>
      </w:r>
      <w:r w:rsidRPr="00FC3B7C">
        <w:rPr>
          <w:rFonts w:eastAsia="Times New Roman"/>
          <w:i/>
          <w:iCs/>
          <w:szCs w:val="24"/>
        </w:rPr>
        <w:t>Regionální analýza obyvatelstva, osídlení a sociálních podmínek</w:t>
      </w:r>
    </w:p>
    <w:p w14:paraId="4A6F45F2" w14:textId="7F17C6B1" w:rsidR="008E0F74" w:rsidRPr="00FC3B7C" w:rsidRDefault="00256F29" w:rsidP="0067217A">
      <w:pPr>
        <w:ind w:left="484"/>
        <w:rPr>
          <w:sz w:val="20"/>
          <w:szCs w:val="20"/>
        </w:rPr>
      </w:pPr>
      <w:r w:rsidRPr="00FC3B7C">
        <w:rPr>
          <w:rFonts w:eastAsia="Arial"/>
          <w:szCs w:val="24"/>
        </w:rPr>
        <w:t>–</w:t>
      </w:r>
      <w:r w:rsidR="003376E1">
        <w:rPr>
          <w:rFonts w:eastAsia="Arial"/>
          <w:szCs w:val="24"/>
        </w:rPr>
        <w:t xml:space="preserve"> </w:t>
      </w:r>
      <w:r w:rsidRPr="00FC3B7C">
        <w:rPr>
          <w:rFonts w:eastAsia="Times New Roman"/>
          <w:i/>
          <w:iCs/>
          <w:szCs w:val="24"/>
        </w:rPr>
        <w:t>Regionální analýzu ekonomických podmínek, dopravní a technické infrastruktury</w:t>
      </w:r>
    </w:p>
    <w:p w14:paraId="4A6F45F3" w14:textId="4A27B9FF" w:rsidR="008E0F74" w:rsidRPr="00FC3B7C" w:rsidRDefault="00256F29" w:rsidP="0067217A">
      <w:pPr>
        <w:ind w:left="484"/>
        <w:rPr>
          <w:sz w:val="20"/>
          <w:szCs w:val="20"/>
        </w:rPr>
      </w:pPr>
      <w:r w:rsidRPr="00FC3B7C">
        <w:rPr>
          <w:rFonts w:eastAsia="Arial"/>
          <w:szCs w:val="24"/>
        </w:rPr>
        <w:t>–</w:t>
      </w:r>
      <w:r w:rsidR="003376E1">
        <w:rPr>
          <w:rFonts w:eastAsia="Arial"/>
          <w:szCs w:val="24"/>
        </w:rPr>
        <w:t xml:space="preserve"> </w:t>
      </w:r>
      <w:r w:rsidRPr="00FC3B7C">
        <w:rPr>
          <w:rFonts w:eastAsia="Times New Roman"/>
          <w:i/>
          <w:iCs/>
          <w:szCs w:val="24"/>
        </w:rPr>
        <w:t>Analýzu regionálních vazeb a procesů</w:t>
      </w:r>
    </w:p>
    <w:p w14:paraId="4A6F45F4" w14:textId="77777777" w:rsidR="008E0F74" w:rsidRPr="00FC3B7C" w:rsidRDefault="008E0F74">
      <w:pPr>
        <w:spacing w:line="200" w:lineRule="exact"/>
        <w:rPr>
          <w:sz w:val="20"/>
          <w:szCs w:val="20"/>
        </w:rPr>
      </w:pPr>
    </w:p>
    <w:p w14:paraId="4A6F45F5" w14:textId="77777777" w:rsidR="008E0F74" w:rsidRPr="00FC3B7C" w:rsidRDefault="008E0F74">
      <w:pPr>
        <w:spacing w:line="200" w:lineRule="exact"/>
        <w:rPr>
          <w:sz w:val="20"/>
          <w:szCs w:val="20"/>
        </w:rPr>
      </w:pPr>
    </w:p>
    <w:p w14:paraId="4A6F45F6" w14:textId="77777777" w:rsidR="008E0F74" w:rsidRPr="00FC3B7C" w:rsidRDefault="008E0F74">
      <w:pPr>
        <w:spacing w:line="222" w:lineRule="exact"/>
        <w:rPr>
          <w:sz w:val="20"/>
          <w:szCs w:val="20"/>
        </w:rPr>
      </w:pPr>
    </w:p>
    <w:p w14:paraId="4A6F45F7" w14:textId="77777777" w:rsidR="008E0F74" w:rsidRPr="00FC3B7C" w:rsidRDefault="00256F29" w:rsidP="0067217A">
      <w:pPr>
        <w:pStyle w:val="Nadpis2"/>
        <w:rPr>
          <w:sz w:val="20"/>
          <w:szCs w:val="20"/>
        </w:rPr>
      </w:pPr>
      <w:r w:rsidRPr="00FC3B7C">
        <w:rPr>
          <w:sz w:val="20"/>
          <w:szCs w:val="20"/>
        </w:rPr>
        <w:tab/>
      </w:r>
      <w:r w:rsidRPr="004A163A">
        <w:rPr>
          <w:rFonts w:eastAsia="Times New Roman"/>
          <w:color w:val="1F3864" w:themeColor="accent1" w:themeShade="80"/>
        </w:rPr>
        <w:t>CÍLE A NÁSTROJE REGIONÁLNÍ POLITIKY</w:t>
      </w:r>
    </w:p>
    <w:p w14:paraId="4A6F45F8" w14:textId="77777777" w:rsidR="008E0F74" w:rsidRPr="00FC3B7C" w:rsidRDefault="008E0F74">
      <w:pPr>
        <w:spacing w:line="221" w:lineRule="exact"/>
        <w:rPr>
          <w:sz w:val="20"/>
          <w:szCs w:val="20"/>
        </w:rPr>
      </w:pPr>
    </w:p>
    <w:p w14:paraId="4A6F45F9" w14:textId="4822C57E" w:rsidR="008E0F74" w:rsidRPr="004A163A" w:rsidRDefault="004A163A" w:rsidP="0067217A">
      <w:pPr>
        <w:pStyle w:val="Nadpis3"/>
        <w:rPr>
          <w:color w:val="1F3864" w:themeColor="accent1" w:themeShade="80"/>
          <w:sz w:val="20"/>
          <w:szCs w:val="20"/>
        </w:rPr>
      </w:pPr>
      <w:r w:rsidRPr="004A163A">
        <w:rPr>
          <w:rFonts w:eastAsia="Times New Roman"/>
          <w:color w:val="1F3864" w:themeColor="accent1" w:themeShade="80"/>
        </w:rPr>
        <w:t xml:space="preserve"> </w:t>
      </w:r>
      <w:r w:rsidR="00256F29" w:rsidRPr="004A163A">
        <w:rPr>
          <w:rFonts w:eastAsia="Times New Roman"/>
          <w:color w:val="1F3864" w:themeColor="accent1" w:themeShade="80"/>
        </w:rPr>
        <w:t>Motivy existence regionální politiky</w:t>
      </w:r>
    </w:p>
    <w:p w14:paraId="4A6F45FA" w14:textId="77777777" w:rsidR="008E0F74" w:rsidRPr="004A163A" w:rsidRDefault="00256F29" w:rsidP="0067217A">
      <w:pPr>
        <w:pStyle w:val="Nadpis4"/>
        <w:rPr>
          <w:color w:val="1F3864" w:themeColor="accent1" w:themeShade="80"/>
          <w:sz w:val="20"/>
          <w:szCs w:val="20"/>
        </w:rPr>
      </w:pPr>
      <w:r w:rsidRPr="004A163A">
        <w:rPr>
          <w:rFonts w:eastAsia="Times New Roman"/>
          <w:color w:val="1F3864" w:themeColor="accent1" w:themeShade="80"/>
        </w:rPr>
        <w:t>Ekonomické</w:t>
      </w:r>
    </w:p>
    <w:p w14:paraId="4A6F45FB" w14:textId="77777777" w:rsidR="008E0F74" w:rsidRPr="00FC3B7C" w:rsidRDefault="00256F29" w:rsidP="0067217A">
      <w:pPr>
        <w:rPr>
          <w:sz w:val="20"/>
          <w:szCs w:val="20"/>
        </w:rPr>
      </w:pPr>
      <w:r w:rsidRPr="00FC3B7C">
        <w:rPr>
          <w:rFonts w:eastAsia="Times New Roman"/>
        </w:rPr>
        <w:t>Plné využití výrobních faktorů (dříve podpora migrace, dnes opačná strategie – motivace pohybu práce za pracovníky), ekonomický růst, požadavek optimálního rozmístění firem (výsledkem kompromis mezi veřejnými požadavky a potřebami firem), přelidnění (vysoká koncentrace ekonomických činností). Souvislost mezi regionální nerovnováhou a inflací („útok na náklady“ v regionech s vysokou koncentrací ekonomických aktivit i „tažení poptávkou“ v méně rozvinutých regionech).</w:t>
      </w:r>
    </w:p>
    <w:p w14:paraId="4A6F45FC" w14:textId="77777777" w:rsidR="008E0F74" w:rsidRPr="00FC3B7C" w:rsidRDefault="008E0F74">
      <w:pPr>
        <w:spacing w:line="6" w:lineRule="exact"/>
        <w:rPr>
          <w:sz w:val="20"/>
          <w:szCs w:val="20"/>
        </w:rPr>
      </w:pPr>
    </w:p>
    <w:p w14:paraId="4A6F45FD" w14:textId="77777777" w:rsidR="008E0F74" w:rsidRPr="004A163A" w:rsidRDefault="00256F29" w:rsidP="0067217A">
      <w:pPr>
        <w:pStyle w:val="Nadpis4"/>
        <w:rPr>
          <w:color w:val="1F3864" w:themeColor="accent1" w:themeShade="80"/>
          <w:sz w:val="20"/>
          <w:szCs w:val="20"/>
        </w:rPr>
      </w:pPr>
      <w:r w:rsidRPr="004A163A">
        <w:rPr>
          <w:rFonts w:eastAsia="Times New Roman"/>
          <w:color w:val="1F3864" w:themeColor="accent1" w:themeShade="80"/>
        </w:rPr>
        <w:t>Ekologické</w:t>
      </w:r>
    </w:p>
    <w:p w14:paraId="4A6F45FE" w14:textId="77777777" w:rsidR="008E0F74" w:rsidRPr="00FC3B7C" w:rsidRDefault="00256F29" w:rsidP="0067217A">
      <w:r w:rsidRPr="00FC3B7C">
        <w:rPr>
          <w:rFonts w:eastAsia="Times New Roman"/>
          <w:szCs w:val="24"/>
        </w:rPr>
        <w:t>Provádí se nejen v zájmu obyvatel méně rozvinutých regionů, ale i ve stále více přelidněných aglomeracích (souvislost se vzrůstajícím znehodnocením ŽP).</w:t>
      </w:r>
    </w:p>
    <w:p w14:paraId="4A6F45FF" w14:textId="77777777" w:rsidR="008E0F74" w:rsidRPr="004A163A" w:rsidRDefault="00256F29" w:rsidP="0067217A">
      <w:pPr>
        <w:pStyle w:val="Nadpis4"/>
        <w:rPr>
          <w:color w:val="1F3864" w:themeColor="accent1" w:themeShade="80"/>
          <w:sz w:val="20"/>
          <w:szCs w:val="20"/>
        </w:rPr>
      </w:pPr>
      <w:bookmarkStart w:id="295" w:name="page326"/>
      <w:bookmarkEnd w:id="295"/>
      <w:r w:rsidRPr="004A163A">
        <w:rPr>
          <w:rFonts w:eastAsia="Times New Roman"/>
          <w:color w:val="1F3864" w:themeColor="accent1" w:themeShade="80"/>
        </w:rPr>
        <w:t>Sociální</w:t>
      </w:r>
    </w:p>
    <w:p w14:paraId="4A6F4600" w14:textId="77777777" w:rsidR="008E0F74" w:rsidRPr="00FC3B7C" w:rsidRDefault="00256F29" w:rsidP="0067217A">
      <w:pPr>
        <w:rPr>
          <w:sz w:val="20"/>
          <w:szCs w:val="20"/>
        </w:rPr>
      </w:pPr>
      <w:r w:rsidRPr="00FC3B7C">
        <w:rPr>
          <w:rFonts w:eastAsia="Times New Roman"/>
        </w:rPr>
        <w:t>Zejména v 50. letech: důvod plné zaměstnanosti (potřeba zajistit každému práci). Regionální rozdělení příjmů (není sociálně spravedlivé).</w:t>
      </w:r>
    </w:p>
    <w:p w14:paraId="4A6F4601" w14:textId="77777777" w:rsidR="008E0F74" w:rsidRPr="00FC3B7C" w:rsidRDefault="008E0F74">
      <w:pPr>
        <w:spacing w:line="1" w:lineRule="exact"/>
        <w:rPr>
          <w:sz w:val="20"/>
          <w:szCs w:val="20"/>
        </w:rPr>
      </w:pPr>
    </w:p>
    <w:p w14:paraId="4A6F4602" w14:textId="77777777" w:rsidR="008E0F74" w:rsidRPr="004A163A" w:rsidRDefault="00256F29" w:rsidP="0067217A">
      <w:pPr>
        <w:pStyle w:val="Nadpis4"/>
        <w:rPr>
          <w:color w:val="1F3864" w:themeColor="accent1" w:themeShade="80"/>
          <w:sz w:val="20"/>
          <w:szCs w:val="20"/>
        </w:rPr>
      </w:pPr>
      <w:r w:rsidRPr="004A163A">
        <w:rPr>
          <w:rFonts w:eastAsia="Times New Roman"/>
          <w:color w:val="1F3864" w:themeColor="accent1" w:themeShade="80"/>
        </w:rPr>
        <w:t>Politické</w:t>
      </w:r>
    </w:p>
    <w:p w14:paraId="4A6F4603" w14:textId="77777777" w:rsidR="008E0F74" w:rsidRPr="00FC3B7C" w:rsidRDefault="00256F29" w:rsidP="0067217A">
      <w:pPr>
        <w:rPr>
          <w:sz w:val="20"/>
          <w:szCs w:val="20"/>
        </w:rPr>
      </w:pPr>
      <w:r w:rsidRPr="00FC3B7C">
        <w:rPr>
          <w:rFonts w:eastAsia="Times New Roman"/>
        </w:rPr>
        <w:t>Zájem politiků o problémové regiony se zvyšuje před volbami.</w:t>
      </w:r>
    </w:p>
    <w:p w14:paraId="4A6F4604" w14:textId="78FF47F7" w:rsidR="008E0F74" w:rsidRPr="004A163A" w:rsidRDefault="004A163A" w:rsidP="0067217A">
      <w:pPr>
        <w:pStyle w:val="Nadpis3"/>
        <w:rPr>
          <w:color w:val="1F3864" w:themeColor="accent1" w:themeShade="80"/>
          <w:sz w:val="20"/>
          <w:szCs w:val="20"/>
        </w:rPr>
      </w:pPr>
      <w:r w:rsidRPr="004A163A">
        <w:rPr>
          <w:rFonts w:eastAsia="Times New Roman"/>
          <w:color w:val="1F3864" w:themeColor="accent1" w:themeShade="80"/>
        </w:rPr>
        <w:t xml:space="preserve"> </w:t>
      </w:r>
      <w:r w:rsidR="00256F29" w:rsidRPr="004A163A">
        <w:rPr>
          <w:rFonts w:eastAsia="Times New Roman"/>
          <w:color w:val="1F3864" w:themeColor="accent1" w:themeShade="80"/>
        </w:rPr>
        <w:t>Cíle regionální politiky</w:t>
      </w:r>
    </w:p>
    <w:p w14:paraId="4A6F4605" w14:textId="5DA3EFEB" w:rsidR="008E0F74" w:rsidRPr="00FC3B7C" w:rsidRDefault="00256F29" w:rsidP="0067217A">
      <w:pPr>
        <w:ind w:left="480"/>
        <w:rPr>
          <w:sz w:val="20"/>
          <w:szCs w:val="20"/>
        </w:rPr>
      </w:pPr>
      <w:r w:rsidRPr="00FC3B7C">
        <w:rPr>
          <w:rFonts w:eastAsia="Arial"/>
          <w:szCs w:val="24"/>
        </w:rPr>
        <w:t>–</w:t>
      </w:r>
      <w:r w:rsidR="003376E1">
        <w:rPr>
          <w:rFonts w:eastAsia="Arial"/>
          <w:szCs w:val="24"/>
        </w:rPr>
        <w:t xml:space="preserve"> </w:t>
      </w:r>
      <w:r w:rsidRPr="00FC3B7C">
        <w:rPr>
          <w:rFonts w:eastAsia="Times New Roman"/>
          <w:i/>
          <w:iCs/>
          <w:szCs w:val="24"/>
        </w:rPr>
        <w:t>snížení nezaměstnanosti</w:t>
      </w:r>
    </w:p>
    <w:p w14:paraId="4A6F4606" w14:textId="7C20DE73" w:rsidR="008E0F74" w:rsidRPr="00FC3B7C" w:rsidRDefault="00256F29" w:rsidP="0067217A">
      <w:pPr>
        <w:ind w:left="480"/>
        <w:rPr>
          <w:sz w:val="20"/>
          <w:szCs w:val="20"/>
        </w:rPr>
      </w:pPr>
      <w:r w:rsidRPr="00FC3B7C">
        <w:rPr>
          <w:rFonts w:eastAsia="Arial"/>
          <w:szCs w:val="24"/>
        </w:rPr>
        <w:t>–</w:t>
      </w:r>
      <w:r w:rsidR="003376E1">
        <w:rPr>
          <w:rFonts w:eastAsia="Arial"/>
          <w:szCs w:val="24"/>
        </w:rPr>
        <w:t xml:space="preserve"> </w:t>
      </w:r>
      <w:r w:rsidRPr="00FC3B7C">
        <w:rPr>
          <w:rFonts w:eastAsia="Times New Roman"/>
          <w:i/>
          <w:iCs/>
          <w:szCs w:val="24"/>
        </w:rPr>
        <w:t>snížení disparit</w:t>
      </w:r>
    </w:p>
    <w:p w14:paraId="4A6F4607" w14:textId="4D64EEC6" w:rsidR="008E0F74" w:rsidRPr="00FC3B7C" w:rsidRDefault="00256F29" w:rsidP="0067217A">
      <w:pPr>
        <w:ind w:left="480"/>
        <w:rPr>
          <w:sz w:val="20"/>
          <w:szCs w:val="20"/>
        </w:rPr>
      </w:pPr>
      <w:r w:rsidRPr="00FC3B7C">
        <w:rPr>
          <w:rFonts w:eastAsia="Arial"/>
          <w:szCs w:val="24"/>
        </w:rPr>
        <w:t>–</w:t>
      </w:r>
      <w:r w:rsidR="003376E1">
        <w:rPr>
          <w:rFonts w:eastAsia="Arial"/>
          <w:szCs w:val="24"/>
        </w:rPr>
        <w:t xml:space="preserve"> </w:t>
      </w:r>
      <w:r w:rsidRPr="00FC3B7C">
        <w:rPr>
          <w:rFonts w:eastAsia="Times New Roman"/>
          <w:i/>
          <w:iCs/>
          <w:szCs w:val="24"/>
        </w:rPr>
        <w:t>zastavení migrace za prací</w:t>
      </w:r>
    </w:p>
    <w:p w14:paraId="4A6F4608" w14:textId="266042EF" w:rsidR="008E0F74" w:rsidRPr="00FC3B7C" w:rsidRDefault="00256F29" w:rsidP="0067217A">
      <w:pPr>
        <w:ind w:left="480"/>
        <w:rPr>
          <w:sz w:val="20"/>
          <w:szCs w:val="20"/>
        </w:rPr>
      </w:pPr>
      <w:r w:rsidRPr="00FC3B7C">
        <w:rPr>
          <w:rFonts w:eastAsia="Arial"/>
          <w:szCs w:val="24"/>
        </w:rPr>
        <w:t>–</w:t>
      </w:r>
      <w:r w:rsidR="003376E1">
        <w:rPr>
          <w:rFonts w:eastAsia="Arial"/>
          <w:szCs w:val="24"/>
        </w:rPr>
        <w:t xml:space="preserve"> </w:t>
      </w:r>
      <w:r w:rsidRPr="00FC3B7C">
        <w:rPr>
          <w:rFonts w:eastAsia="Times New Roman"/>
          <w:i/>
          <w:iCs/>
          <w:szCs w:val="24"/>
        </w:rPr>
        <w:t>omezení růstu velkých aglomerací</w:t>
      </w:r>
    </w:p>
    <w:p w14:paraId="4A6F4609" w14:textId="77777777" w:rsidR="008E0F74" w:rsidRPr="00FC3B7C" w:rsidRDefault="008E0F74">
      <w:pPr>
        <w:spacing w:line="135" w:lineRule="exact"/>
        <w:rPr>
          <w:sz w:val="20"/>
          <w:szCs w:val="20"/>
        </w:rPr>
      </w:pPr>
    </w:p>
    <w:p w14:paraId="4A6F460A" w14:textId="77777777" w:rsidR="0067217A" w:rsidRDefault="00256F29" w:rsidP="0067217A">
      <w:pPr>
        <w:ind w:left="840" w:hanging="360"/>
        <w:rPr>
          <w:rFonts w:eastAsia="Times New Roman"/>
          <w:i/>
          <w:iCs/>
          <w:szCs w:val="24"/>
        </w:rPr>
      </w:pPr>
      <w:r w:rsidRPr="00FC3B7C">
        <w:rPr>
          <w:rFonts w:eastAsia="Arial"/>
          <w:szCs w:val="24"/>
        </w:rPr>
        <w:t xml:space="preserve">– </w:t>
      </w:r>
      <w:r w:rsidRPr="00FC3B7C">
        <w:rPr>
          <w:rFonts w:eastAsia="Times New Roman"/>
          <w:i/>
          <w:iCs/>
          <w:szCs w:val="24"/>
        </w:rPr>
        <w:t>snižování rozdílů</w:t>
      </w:r>
      <w:r w:rsidRPr="00FC3B7C">
        <w:rPr>
          <w:rFonts w:eastAsia="Arial"/>
          <w:szCs w:val="24"/>
        </w:rPr>
        <w:t xml:space="preserve"> </w:t>
      </w:r>
      <w:r w:rsidRPr="00FC3B7C">
        <w:rPr>
          <w:rFonts w:eastAsia="Times New Roman"/>
          <w:i/>
          <w:iCs/>
          <w:szCs w:val="24"/>
        </w:rPr>
        <w:t>v příjmech a</w:t>
      </w:r>
      <w:r w:rsidRPr="00FC3B7C">
        <w:rPr>
          <w:rFonts w:eastAsia="Arial"/>
          <w:szCs w:val="24"/>
        </w:rPr>
        <w:t xml:space="preserve"> </w:t>
      </w:r>
      <w:r w:rsidRPr="00FC3B7C">
        <w:rPr>
          <w:rFonts w:eastAsia="Times New Roman"/>
          <w:i/>
          <w:iCs/>
          <w:szCs w:val="24"/>
        </w:rPr>
        <w:t>životní úrovní, avšak snížení rozdílů</w:t>
      </w:r>
      <w:r w:rsidRPr="00FC3B7C">
        <w:rPr>
          <w:rFonts w:eastAsia="Arial"/>
          <w:szCs w:val="24"/>
        </w:rPr>
        <w:t xml:space="preserve"> </w:t>
      </w:r>
      <w:r w:rsidRPr="00FC3B7C">
        <w:rPr>
          <w:rFonts w:eastAsia="Times New Roman"/>
          <w:i/>
          <w:iCs/>
          <w:szCs w:val="24"/>
        </w:rPr>
        <w:t>mezi regiony</w:t>
      </w:r>
      <w:r w:rsidRPr="00FC3B7C">
        <w:rPr>
          <w:rFonts w:eastAsia="Arial"/>
          <w:szCs w:val="24"/>
        </w:rPr>
        <w:t xml:space="preserve"> </w:t>
      </w:r>
      <w:r w:rsidRPr="00FC3B7C">
        <w:rPr>
          <w:rFonts w:eastAsia="Times New Roman"/>
          <w:i/>
          <w:iCs/>
          <w:szCs w:val="24"/>
        </w:rPr>
        <w:t>často</w:t>
      </w:r>
      <w:r w:rsidRPr="00FC3B7C">
        <w:rPr>
          <w:rFonts w:eastAsia="Arial"/>
          <w:szCs w:val="24"/>
        </w:rPr>
        <w:t xml:space="preserve"> </w:t>
      </w:r>
      <w:r w:rsidRPr="00FC3B7C">
        <w:rPr>
          <w:rFonts w:eastAsia="Times New Roman"/>
          <w:i/>
          <w:iCs/>
          <w:szCs w:val="24"/>
        </w:rPr>
        <w:t>vede ke zvýšení rozdílů uvnitř</w:t>
      </w:r>
    </w:p>
    <w:p w14:paraId="4A6F460B" w14:textId="236C95CE" w:rsidR="008E0F74" w:rsidRPr="00FC3B7C" w:rsidRDefault="00256F29" w:rsidP="0067217A">
      <w:pPr>
        <w:ind w:left="840" w:hanging="360"/>
        <w:rPr>
          <w:sz w:val="20"/>
          <w:szCs w:val="20"/>
        </w:rPr>
      </w:pPr>
      <w:r w:rsidRPr="00FC3B7C">
        <w:rPr>
          <w:rFonts w:eastAsia="Arial"/>
          <w:sz w:val="28"/>
          <w:szCs w:val="28"/>
        </w:rPr>
        <w:t>–</w:t>
      </w:r>
      <w:r w:rsidR="003376E1">
        <w:rPr>
          <w:rFonts w:eastAsia="Arial"/>
          <w:sz w:val="28"/>
          <w:szCs w:val="28"/>
        </w:rPr>
        <w:t xml:space="preserve"> </w:t>
      </w:r>
      <w:r w:rsidRPr="00FC3B7C">
        <w:rPr>
          <w:rFonts w:eastAsia="Times New Roman"/>
          <w:i/>
          <w:iCs/>
          <w:szCs w:val="24"/>
        </w:rPr>
        <w:t>posílení jádrových oblastí na mezinárodním poli (strategická politika</w:t>
      </w:r>
      <w:r w:rsidRPr="00FC3B7C">
        <w:rPr>
          <w:rFonts w:eastAsia="Calibri"/>
          <w:b/>
          <w:bCs/>
          <w:sz w:val="21"/>
          <w:szCs w:val="21"/>
        </w:rPr>
        <w:t>)</w:t>
      </w:r>
    </w:p>
    <w:p w14:paraId="4A6F460C" w14:textId="1FC3BCDE" w:rsidR="008E0F74" w:rsidRPr="004A163A" w:rsidRDefault="004A163A" w:rsidP="0067217A">
      <w:pPr>
        <w:pStyle w:val="Nadpis3"/>
        <w:rPr>
          <w:color w:val="1F3864" w:themeColor="accent1" w:themeShade="80"/>
          <w:sz w:val="20"/>
          <w:szCs w:val="20"/>
        </w:rPr>
      </w:pPr>
      <w:r w:rsidRPr="004A163A">
        <w:rPr>
          <w:rFonts w:eastAsia="Times New Roman"/>
          <w:color w:val="1F3864" w:themeColor="accent1" w:themeShade="80"/>
        </w:rPr>
        <w:lastRenderedPageBreak/>
        <w:t xml:space="preserve"> </w:t>
      </w:r>
      <w:r w:rsidR="00256F29" w:rsidRPr="004A163A">
        <w:rPr>
          <w:rFonts w:eastAsia="Times New Roman"/>
          <w:color w:val="1F3864" w:themeColor="accent1" w:themeShade="80"/>
        </w:rPr>
        <w:t>Strukturální politika</w:t>
      </w:r>
    </w:p>
    <w:p w14:paraId="4A6F460D" w14:textId="77777777" w:rsidR="008E0F74" w:rsidRPr="00FC3B7C" w:rsidRDefault="00256F29" w:rsidP="0067217A">
      <w:pPr>
        <w:rPr>
          <w:sz w:val="20"/>
          <w:szCs w:val="20"/>
        </w:rPr>
      </w:pPr>
      <w:r w:rsidRPr="00FC3B7C">
        <w:rPr>
          <w:rFonts w:eastAsia="Times New Roman"/>
        </w:rPr>
        <w:t>Opatření, která jsou činěna proto, aby došlo ke změně struktury ekonomiky tím či oním směrem. Jde např. o daňové úlevy, státní garance za půjčky, bezúročné úvěry, přímé dotace za vytvořená pracovní místa v daném odvětví, ochrana odvětví před zahraniční konkurencí.</w:t>
      </w:r>
    </w:p>
    <w:p w14:paraId="4A6F460E" w14:textId="77777777" w:rsidR="008E0F74" w:rsidRPr="00FC3B7C" w:rsidRDefault="00256F29" w:rsidP="0067217A">
      <w:pPr>
        <w:rPr>
          <w:sz w:val="20"/>
          <w:szCs w:val="20"/>
        </w:rPr>
      </w:pPr>
      <w:r w:rsidRPr="00FC3B7C">
        <w:rPr>
          <w:rFonts w:eastAsia="Times New Roman"/>
        </w:rPr>
        <w:t>Dopady: strukturální ekonomika způsobuje kvantitativní škody plynoucí z pozměněné struktury ekonomiky – tato škoda odpovídá rozdílu mezi hodnotou celkové produkce, jaká by byla při tržní alokaci a hodnotou, jaká je při aplikaci strukturální politiky – jinak řečeno dochází k suboptimální alokaci výrobních faktorů.</w:t>
      </w:r>
    </w:p>
    <w:p w14:paraId="4A6F460F" w14:textId="77777777" w:rsidR="008E0F74" w:rsidRPr="00FC3B7C" w:rsidRDefault="008E0F74">
      <w:pPr>
        <w:spacing w:line="183" w:lineRule="exact"/>
        <w:rPr>
          <w:sz w:val="20"/>
          <w:szCs w:val="20"/>
        </w:rPr>
      </w:pPr>
    </w:p>
    <w:p w14:paraId="4A6F4610" w14:textId="3331640B" w:rsidR="008E0F74" w:rsidRPr="00FC3B7C" w:rsidRDefault="004A163A" w:rsidP="0067217A">
      <w:pPr>
        <w:pStyle w:val="Nadpis3"/>
        <w:rPr>
          <w:sz w:val="20"/>
          <w:szCs w:val="20"/>
        </w:rPr>
      </w:pPr>
      <w:r>
        <w:rPr>
          <w:rFonts w:eastAsia="Times New Roman"/>
        </w:rPr>
        <w:t xml:space="preserve"> </w:t>
      </w:r>
      <w:r w:rsidR="00256F29" w:rsidRPr="004A163A">
        <w:rPr>
          <w:rFonts w:eastAsia="Times New Roman"/>
          <w:color w:val="1F3864" w:themeColor="accent1" w:themeShade="80"/>
        </w:rPr>
        <w:t>Investiční pobídky</w:t>
      </w:r>
    </w:p>
    <w:p w14:paraId="4A6F4611" w14:textId="77777777" w:rsidR="008E0F74" w:rsidRPr="00FC3B7C" w:rsidRDefault="008E0F74">
      <w:pPr>
        <w:spacing w:line="200" w:lineRule="exact"/>
        <w:rPr>
          <w:sz w:val="20"/>
          <w:szCs w:val="20"/>
        </w:rPr>
      </w:pPr>
    </w:p>
    <w:p w14:paraId="4A6F4612" w14:textId="77777777" w:rsidR="008E0F74" w:rsidRPr="00FC3B7C" w:rsidRDefault="00256F29" w:rsidP="005C77AB">
      <w:pPr>
        <w:spacing w:line="386" w:lineRule="auto"/>
        <w:rPr>
          <w:sz w:val="20"/>
          <w:szCs w:val="20"/>
        </w:rPr>
      </w:pPr>
      <w:r w:rsidRPr="00FC3B7C">
        <w:rPr>
          <w:rFonts w:eastAsia="Times New Roman"/>
          <w:sz w:val="23"/>
          <w:szCs w:val="23"/>
        </w:rPr>
        <w:t>Na rozdíl od strukturální politiky nebývá zde tak zdůrazněno vybrané odvětví, příp. vůbec žádné preferované odvětví vybrané není. Důležitá kritéria pro poskytnutí pobídky jsou např. objem kapitálu, který bude investorem investován, počet vytvořených pracovních míst atd. Mohou ale nabývat také podoby snížení daní, daňových prázdnin, výstavby infrastruktury atd. Často mají za cíl přilákat specifické investory – pro navýšení přímých zahraničních investic jsou pobídky</w:t>
      </w:r>
      <w:bookmarkStart w:id="296" w:name="page327"/>
      <w:bookmarkEnd w:id="296"/>
      <w:r w:rsidR="005C77AB" w:rsidRPr="00FC3B7C">
        <w:rPr>
          <w:rFonts w:eastAsia="Times New Roman"/>
          <w:sz w:val="23"/>
          <w:szCs w:val="23"/>
        </w:rPr>
        <w:t xml:space="preserve"> </w:t>
      </w:r>
      <w:r w:rsidRPr="00FC3B7C">
        <w:rPr>
          <w:rFonts w:eastAsia="Times New Roman"/>
          <w:szCs w:val="24"/>
        </w:rPr>
        <w:t>vedené na nadnárodní firmy; investice těchto firem v ekonomice povede k přenosu technologického poznání do domácí ekonomiky, což představuje pozitivní externalitu, ze které těží domácí ekonomické subjekty.</w:t>
      </w:r>
    </w:p>
    <w:p w14:paraId="4A6F4613" w14:textId="77777777" w:rsidR="008E0F74" w:rsidRPr="00FC3B7C" w:rsidRDefault="008E0F74">
      <w:pPr>
        <w:spacing w:line="1" w:lineRule="exact"/>
        <w:rPr>
          <w:sz w:val="20"/>
          <w:szCs w:val="20"/>
        </w:rPr>
      </w:pPr>
    </w:p>
    <w:p w14:paraId="4A6F4614" w14:textId="77777777" w:rsidR="008E0F74" w:rsidRPr="00FC3B7C" w:rsidRDefault="00256F29" w:rsidP="0067217A">
      <w:pPr>
        <w:rPr>
          <w:sz w:val="20"/>
          <w:szCs w:val="20"/>
        </w:rPr>
      </w:pPr>
      <w:r w:rsidRPr="00FC3B7C">
        <w:rPr>
          <w:rFonts w:eastAsia="Times New Roman"/>
        </w:rPr>
        <w:t>Dopady: opět suboptimální alokace výrobních faktorů (nadměrné užití faktorů u skupin firem vybraných podle jiného než odvětvového klíče; tendence k alokaci faktorů do preferovaných firem).</w:t>
      </w:r>
    </w:p>
    <w:p w14:paraId="4A6F4615" w14:textId="77777777" w:rsidR="008E0F74" w:rsidRPr="00FC3B7C" w:rsidRDefault="008E0F74">
      <w:pPr>
        <w:spacing w:line="182" w:lineRule="exact"/>
        <w:rPr>
          <w:sz w:val="20"/>
          <w:szCs w:val="20"/>
        </w:rPr>
      </w:pPr>
    </w:p>
    <w:p w14:paraId="4A6F4616" w14:textId="6E8936D1" w:rsidR="008E0F74" w:rsidRPr="004A163A" w:rsidRDefault="004A163A" w:rsidP="0067217A">
      <w:pPr>
        <w:pStyle w:val="Nadpis3"/>
        <w:rPr>
          <w:color w:val="1F3864" w:themeColor="accent1" w:themeShade="80"/>
          <w:sz w:val="20"/>
          <w:szCs w:val="20"/>
        </w:rPr>
      </w:pPr>
      <w:r>
        <w:rPr>
          <w:rFonts w:eastAsia="Times New Roman"/>
        </w:rPr>
        <w:t xml:space="preserve"> </w:t>
      </w:r>
      <w:r w:rsidR="00256F29" w:rsidRPr="004A163A">
        <w:rPr>
          <w:rFonts w:eastAsia="Times New Roman"/>
          <w:color w:val="1F3864" w:themeColor="accent1" w:themeShade="80"/>
        </w:rPr>
        <w:t>Argumenty pro a proti regionální politice</w:t>
      </w:r>
    </w:p>
    <w:p w14:paraId="4A6F4617" w14:textId="77777777" w:rsidR="008E0F74" w:rsidRPr="00FC3B7C" w:rsidRDefault="00256F29" w:rsidP="0067217A">
      <w:pPr>
        <w:rPr>
          <w:sz w:val="20"/>
          <w:szCs w:val="20"/>
        </w:rPr>
      </w:pPr>
      <w:r w:rsidRPr="00FC3B7C">
        <w:rPr>
          <w:rFonts w:eastAsia="Times New Roman"/>
        </w:rPr>
        <w:t>Za regionální politikou stojí přesvědčení, že rozdíly v ekonomických ukazatelích (regionální míry nezaměstnanosti, průměrné mzdy,…) by mezi jednotlivými regiony neměly přesahovat určitou míru.</w:t>
      </w:r>
    </w:p>
    <w:p w14:paraId="4A6F4618" w14:textId="77777777" w:rsidR="008E0F74" w:rsidRPr="00FC3B7C" w:rsidRDefault="008E0F74">
      <w:pPr>
        <w:spacing w:line="2" w:lineRule="exact"/>
        <w:rPr>
          <w:sz w:val="20"/>
          <w:szCs w:val="20"/>
        </w:rPr>
      </w:pPr>
    </w:p>
    <w:p w14:paraId="4A6F4619" w14:textId="77777777" w:rsidR="008E0F74" w:rsidRPr="00FC3B7C" w:rsidRDefault="00256F29" w:rsidP="0067217A">
      <w:pPr>
        <w:rPr>
          <w:sz w:val="20"/>
          <w:szCs w:val="20"/>
        </w:rPr>
      </w:pPr>
      <w:r w:rsidRPr="00FC3B7C">
        <w:rPr>
          <w:rFonts w:eastAsia="Times New Roman"/>
          <w:b/>
          <w:bCs/>
          <w:szCs w:val="24"/>
        </w:rPr>
        <w:t>Pro:</w:t>
      </w:r>
    </w:p>
    <w:p w14:paraId="4A6F461A" w14:textId="77777777" w:rsidR="008E0F74" w:rsidRPr="00FC3B7C" w:rsidRDefault="00256F29" w:rsidP="00D46B53">
      <w:pPr>
        <w:numPr>
          <w:ilvl w:val="0"/>
          <w:numId w:val="272"/>
        </w:numPr>
        <w:tabs>
          <w:tab w:val="left" w:pos="1000"/>
        </w:tabs>
        <w:ind w:left="1000" w:hanging="360"/>
        <w:rPr>
          <w:rFonts w:eastAsia="Arial"/>
          <w:szCs w:val="24"/>
        </w:rPr>
      </w:pPr>
      <w:r w:rsidRPr="00FC3B7C">
        <w:rPr>
          <w:rFonts w:eastAsia="Times New Roman"/>
          <w:szCs w:val="24"/>
        </w:rPr>
        <w:t>řešení problémů hospodářské situace regionů vyžaduje delší čas</w:t>
      </w:r>
    </w:p>
    <w:p w14:paraId="4A6F461B" w14:textId="77777777" w:rsidR="008E0F74" w:rsidRPr="00FC3B7C" w:rsidRDefault="00256F29" w:rsidP="00D46B53">
      <w:pPr>
        <w:numPr>
          <w:ilvl w:val="0"/>
          <w:numId w:val="272"/>
        </w:numPr>
        <w:tabs>
          <w:tab w:val="left" w:pos="1000"/>
        </w:tabs>
        <w:ind w:left="1000" w:hanging="360"/>
        <w:rPr>
          <w:rFonts w:eastAsia="Arial"/>
          <w:szCs w:val="24"/>
        </w:rPr>
      </w:pPr>
      <w:r w:rsidRPr="00FC3B7C">
        <w:rPr>
          <w:rFonts w:eastAsia="Times New Roman"/>
          <w:szCs w:val="24"/>
        </w:rPr>
        <w:t>pozitivní změny v problémovém regionu jsou závislé i na vnějších podmínkách, které nemusí být vždy splněny</w:t>
      </w:r>
    </w:p>
    <w:p w14:paraId="4A6F461C" w14:textId="77777777" w:rsidR="008E0F74" w:rsidRPr="00FC3B7C" w:rsidRDefault="00256F29" w:rsidP="00D46B53">
      <w:pPr>
        <w:numPr>
          <w:ilvl w:val="0"/>
          <w:numId w:val="272"/>
        </w:numPr>
        <w:tabs>
          <w:tab w:val="left" w:pos="1000"/>
        </w:tabs>
        <w:ind w:left="1000" w:hanging="360"/>
        <w:rPr>
          <w:rFonts w:eastAsia="Arial"/>
          <w:szCs w:val="24"/>
        </w:rPr>
      </w:pPr>
      <w:r w:rsidRPr="00FC3B7C">
        <w:rPr>
          <w:rFonts w:eastAsia="Times New Roman"/>
          <w:szCs w:val="24"/>
        </w:rPr>
        <w:t>rozdíly v ekonomické výkonnosti regionů vyplývají z trvalých přírodních podmínek</w:t>
      </w:r>
    </w:p>
    <w:p w14:paraId="4A6F461D" w14:textId="77777777" w:rsidR="008E0F74" w:rsidRPr="00FC3B7C" w:rsidRDefault="00256F29" w:rsidP="00D46B53">
      <w:pPr>
        <w:numPr>
          <w:ilvl w:val="0"/>
          <w:numId w:val="272"/>
        </w:numPr>
        <w:tabs>
          <w:tab w:val="left" w:pos="1000"/>
        </w:tabs>
        <w:ind w:left="1000" w:hanging="360"/>
        <w:rPr>
          <w:rFonts w:eastAsia="Arial"/>
          <w:szCs w:val="24"/>
        </w:rPr>
      </w:pPr>
      <w:r w:rsidRPr="00FC3B7C">
        <w:rPr>
          <w:rFonts w:eastAsia="Times New Roman"/>
          <w:szCs w:val="24"/>
        </w:rPr>
        <w:t>prostorová mobilita pracovních sil a kapitálu je nižší, než předpokládají modely</w:t>
      </w:r>
    </w:p>
    <w:p w14:paraId="4A6F461E" w14:textId="77777777" w:rsidR="008E0F74" w:rsidRPr="00FC3B7C" w:rsidRDefault="00256F29" w:rsidP="00D46B53">
      <w:pPr>
        <w:numPr>
          <w:ilvl w:val="0"/>
          <w:numId w:val="272"/>
        </w:numPr>
        <w:tabs>
          <w:tab w:val="left" w:pos="1000"/>
        </w:tabs>
        <w:ind w:left="1000" w:hanging="360"/>
        <w:rPr>
          <w:rFonts w:eastAsia="Arial"/>
          <w:szCs w:val="24"/>
        </w:rPr>
      </w:pPr>
      <w:r w:rsidRPr="00FC3B7C">
        <w:rPr>
          <w:rFonts w:eastAsia="Times New Roman"/>
          <w:szCs w:val="24"/>
        </w:rPr>
        <w:t>svým způsobem je i sociální politikou v dané zemi</w:t>
      </w:r>
    </w:p>
    <w:p w14:paraId="4A6F461F" w14:textId="77777777" w:rsidR="008E0F74" w:rsidRPr="00FC3B7C" w:rsidRDefault="00256F29" w:rsidP="0067217A">
      <w:pPr>
        <w:rPr>
          <w:sz w:val="20"/>
          <w:szCs w:val="20"/>
        </w:rPr>
      </w:pPr>
      <w:r w:rsidRPr="00FC3B7C">
        <w:rPr>
          <w:rFonts w:eastAsia="Times New Roman"/>
          <w:b/>
          <w:bCs/>
          <w:szCs w:val="24"/>
        </w:rPr>
        <w:lastRenderedPageBreak/>
        <w:t>Proti:</w:t>
      </w:r>
    </w:p>
    <w:p w14:paraId="4A6F4620" w14:textId="77777777" w:rsidR="008E0F74" w:rsidRPr="00FC3B7C" w:rsidRDefault="00256F29" w:rsidP="00D46B53">
      <w:pPr>
        <w:numPr>
          <w:ilvl w:val="0"/>
          <w:numId w:val="273"/>
        </w:numPr>
        <w:tabs>
          <w:tab w:val="left" w:pos="1000"/>
        </w:tabs>
        <w:ind w:left="1000" w:hanging="360"/>
        <w:rPr>
          <w:rFonts w:eastAsia="Arial"/>
          <w:szCs w:val="24"/>
        </w:rPr>
      </w:pPr>
      <w:r w:rsidRPr="00FC3B7C">
        <w:rPr>
          <w:rFonts w:eastAsia="Times New Roman"/>
          <w:szCs w:val="24"/>
        </w:rPr>
        <w:t>oslabování principu konkurence (ztráta komparativních výhod regionů)</w:t>
      </w:r>
    </w:p>
    <w:p w14:paraId="4A6F4621" w14:textId="77777777" w:rsidR="008E0F74" w:rsidRPr="00FC3B7C" w:rsidRDefault="00256F29" w:rsidP="00D46B53">
      <w:pPr>
        <w:numPr>
          <w:ilvl w:val="0"/>
          <w:numId w:val="273"/>
        </w:numPr>
        <w:tabs>
          <w:tab w:val="left" w:pos="1000"/>
        </w:tabs>
        <w:ind w:left="1000" w:hanging="360"/>
        <w:rPr>
          <w:rFonts w:eastAsia="Arial"/>
          <w:szCs w:val="24"/>
        </w:rPr>
      </w:pPr>
      <w:r w:rsidRPr="00FC3B7C">
        <w:rPr>
          <w:rFonts w:eastAsia="Times New Roman"/>
          <w:szCs w:val="24"/>
        </w:rPr>
        <w:t>zdroje směřují do oblastí, kde jsou efekty užití zdrojů nižší než tam, kde jsou předpoklady pro ekonomickou výkonnost</w:t>
      </w:r>
    </w:p>
    <w:p w14:paraId="4A6F4622" w14:textId="77777777" w:rsidR="008E0F74" w:rsidRPr="00FC3B7C" w:rsidRDefault="00256F29" w:rsidP="00D46B53">
      <w:pPr>
        <w:numPr>
          <w:ilvl w:val="0"/>
          <w:numId w:val="273"/>
        </w:numPr>
        <w:tabs>
          <w:tab w:val="left" w:pos="1000"/>
        </w:tabs>
        <w:ind w:left="1000" w:hanging="360"/>
        <w:rPr>
          <w:rFonts w:eastAsia="Arial"/>
          <w:szCs w:val="24"/>
        </w:rPr>
      </w:pPr>
      <w:r w:rsidRPr="00FC3B7C">
        <w:rPr>
          <w:rFonts w:eastAsia="Times New Roman"/>
          <w:szCs w:val="24"/>
        </w:rPr>
        <w:t>ekonomická demotivace v prosperujících regionech</w:t>
      </w:r>
    </w:p>
    <w:p w14:paraId="4A6F4625" w14:textId="4562B232" w:rsidR="0067217A" w:rsidRPr="004A163A" w:rsidRDefault="00256F29" w:rsidP="00D46B53">
      <w:pPr>
        <w:numPr>
          <w:ilvl w:val="0"/>
          <w:numId w:val="273"/>
        </w:numPr>
        <w:tabs>
          <w:tab w:val="left" w:pos="1000"/>
        </w:tabs>
        <w:ind w:left="1000" w:hanging="360"/>
        <w:rPr>
          <w:rFonts w:eastAsia="Arial"/>
          <w:szCs w:val="24"/>
        </w:rPr>
      </w:pPr>
      <w:r w:rsidRPr="00FC3B7C">
        <w:rPr>
          <w:rFonts w:eastAsia="Times New Roman"/>
          <w:szCs w:val="24"/>
        </w:rPr>
        <w:t>situace jedinců se považuje za jejich soukromou záležitost – řešení si hledají sami, bez účasti státu (to v jakém regionu působí je na jejich rozhodnutí)</w:t>
      </w:r>
      <w:bookmarkStart w:id="297" w:name="page328"/>
      <w:bookmarkEnd w:id="297"/>
    </w:p>
    <w:p w14:paraId="4A6F4627" w14:textId="4B54DF04" w:rsidR="008E0F74" w:rsidRPr="004A163A" w:rsidRDefault="00256F29" w:rsidP="004A163A">
      <w:pPr>
        <w:pStyle w:val="Nadpis2"/>
        <w:rPr>
          <w:color w:val="1F3864" w:themeColor="accent1" w:themeShade="80"/>
          <w:sz w:val="20"/>
          <w:szCs w:val="20"/>
        </w:rPr>
      </w:pPr>
      <w:r w:rsidRPr="004A163A">
        <w:rPr>
          <w:rFonts w:eastAsia="Times New Roman"/>
          <w:color w:val="1F3864" w:themeColor="accent1" w:themeShade="80"/>
        </w:rPr>
        <w:t>NÁSTROJE REGIONÁLNÍ POLITIKY</w:t>
      </w:r>
    </w:p>
    <w:p w14:paraId="4A6F4628" w14:textId="77777777" w:rsidR="008E0F74" w:rsidRPr="00FC3B7C" w:rsidRDefault="008E0F74">
      <w:pPr>
        <w:spacing w:line="217" w:lineRule="exact"/>
        <w:rPr>
          <w:sz w:val="20"/>
          <w:szCs w:val="20"/>
        </w:rPr>
      </w:pPr>
    </w:p>
    <w:p w14:paraId="4A6F4629" w14:textId="08D7DA35" w:rsidR="008E0F74" w:rsidRPr="00FC3B7C" w:rsidRDefault="004A163A" w:rsidP="0067217A">
      <w:pPr>
        <w:pStyle w:val="Nadpis3"/>
        <w:rPr>
          <w:sz w:val="20"/>
          <w:szCs w:val="20"/>
        </w:rPr>
      </w:pPr>
      <w:r>
        <w:rPr>
          <w:rFonts w:eastAsia="Times New Roman"/>
        </w:rPr>
        <w:t xml:space="preserve"> </w:t>
      </w:r>
      <w:r w:rsidR="00256F29" w:rsidRPr="004A163A">
        <w:rPr>
          <w:rFonts w:eastAsia="Times New Roman"/>
          <w:color w:val="1F3864" w:themeColor="accent1" w:themeShade="80"/>
        </w:rPr>
        <w:t>Makroekonomické nástroje</w:t>
      </w:r>
    </w:p>
    <w:p w14:paraId="4A6F462A" w14:textId="77777777" w:rsidR="008E0F74" w:rsidRPr="00FC3B7C" w:rsidRDefault="008E0F74">
      <w:pPr>
        <w:spacing w:line="200" w:lineRule="exact"/>
        <w:rPr>
          <w:sz w:val="20"/>
          <w:szCs w:val="20"/>
        </w:rPr>
      </w:pPr>
    </w:p>
    <w:p w14:paraId="4A6F462B" w14:textId="77777777" w:rsidR="008E0F74" w:rsidRPr="00FC3B7C" w:rsidRDefault="008E0F74">
      <w:pPr>
        <w:spacing w:line="203" w:lineRule="exact"/>
        <w:rPr>
          <w:sz w:val="20"/>
          <w:szCs w:val="20"/>
        </w:rPr>
      </w:pPr>
    </w:p>
    <w:p w14:paraId="4A6F462C" w14:textId="77777777" w:rsidR="008E0F74" w:rsidRPr="004A163A" w:rsidRDefault="00256F29" w:rsidP="0067217A">
      <w:pPr>
        <w:pStyle w:val="Nadpis4"/>
        <w:rPr>
          <w:color w:val="1F3864" w:themeColor="accent1" w:themeShade="80"/>
          <w:sz w:val="20"/>
          <w:szCs w:val="20"/>
        </w:rPr>
      </w:pPr>
      <w:r w:rsidRPr="004A163A">
        <w:rPr>
          <w:rFonts w:eastAsia="Times New Roman"/>
          <w:color w:val="1F3864" w:themeColor="accent1" w:themeShade="80"/>
        </w:rPr>
        <w:t>Fiskální politika</w:t>
      </w:r>
    </w:p>
    <w:p w14:paraId="4A6F462D" w14:textId="77777777" w:rsidR="008E0F74" w:rsidRDefault="00256F29" w:rsidP="0067217A">
      <w:pPr>
        <w:rPr>
          <w:rFonts w:eastAsia="Times New Roman"/>
        </w:rPr>
      </w:pPr>
      <w:r w:rsidRPr="00FC3B7C">
        <w:rPr>
          <w:rFonts w:eastAsia="Times New Roman"/>
        </w:rPr>
        <w:t>Prostřednictvím státního rozpočtu dochází k meziregionálnímu přerozdělování, mechanismus tohoto procesu spočívá v systému daní a odvodů, a také ve struktuře výdajů státního rozpočtu. Vysoce příjmové regiony přispívají do státního rozpočtu více než regiony s příjmy nižšími. Teoreticky existuje možnost regionalizace fiskální politiky, kdy dochází k regionální diferenciaci daní a odvodů. Toto umožňuje ovlivňovat celkovou poptávku v jednotlivých regionech různými způsoby. Snížení daňových sazeb v regionech, které trpí nízkou úrovní poptávky, vede k jejímu zvýšení a naopak zvýšení daní v regionech s poptávkou vyšší povede k jejímu snížení.</w:t>
      </w:r>
    </w:p>
    <w:p w14:paraId="4A6F462E" w14:textId="77777777" w:rsidR="0067217A" w:rsidRPr="00FC3B7C" w:rsidRDefault="0067217A" w:rsidP="0067217A">
      <w:pPr>
        <w:spacing w:line="358" w:lineRule="auto"/>
        <w:rPr>
          <w:sz w:val="20"/>
          <w:szCs w:val="20"/>
        </w:rPr>
      </w:pPr>
    </w:p>
    <w:p w14:paraId="4A6F462F" w14:textId="77777777" w:rsidR="008E0F74" w:rsidRPr="004A163A" w:rsidRDefault="00256F29" w:rsidP="0067217A">
      <w:pPr>
        <w:pStyle w:val="Nadpis4"/>
        <w:rPr>
          <w:color w:val="1F3864" w:themeColor="accent1" w:themeShade="80"/>
          <w:sz w:val="20"/>
          <w:szCs w:val="20"/>
        </w:rPr>
      </w:pPr>
      <w:r w:rsidRPr="004A163A">
        <w:rPr>
          <w:rFonts w:eastAsia="Times New Roman"/>
          <w:color w:val="1F3864" w:themeColor="accent1" w:themeShade="80"/>
        </w:rPr>
        <w:t>Monetární politika</w:t>
      </w:r>
    </w:p>
    <w:p w14:paraId="4A6F4630" w14:textId="77777777" w:rsidR="008E0F74" w:rsidRDefault="00256F29" w:rsidP="0067217A">
      <w:pPr>
        <w:rPr>
          <w:rFonts w:eastAsia="Times New Roman"/>
        </w:rPr>
      </w:pPr>
      <w:r w:rsidRPr="00FC3B7C">
        <w:rPr>
          <w:rFonts w:eastAsia="Times New Roman"/>
        </w:rPr>
        <w:t>Hlavní součástí monetární politiky je ovlivňování množství peněz v ekonomice. Její využití pro řešení regionálních problémů je velmi přísně omezené a to vzhledem k jejím negativním vlivům na inflaci. Regionalizace monetární politiky se může uskutečňovat prostřednictvím usnadnění přístupu k úvěrům ve vybraných regionech, tzn. regionalizací objemů poskytovaných úvěrů, výše úrokové míry nebo lhůt splatnosti. Její vliv na regionální politiku není jednoznačný, protože část takto získaných prostředků odchází do ostatních regionů prostřednictvím meziregionální</w:t>
      </w:r>
      <w:r w:rsidRPr="0067217A">
        <w:t>c</w:t>
      </w:r>
      <w:r w:rsidRPr="00FC3B7C">
        <w:rPr>
          <w:rFonts w:eastAsia="Times New Roman"/>
        </w:rPr>
        <w:t>h vazeb.</w:t>
      </w:r>
    </w:p>
    <w:p w14:paraId="4A6F4631" w14:textId="77777777" w:rsidR="0067217A" w:rsidRPr="00FC3B7C" w:rsidRDefault="0067217A" w:rsidP="0067217A">
      <w:pPr>
        <w:rPr>
          <w:sz w:val="20"/>
          <w:szCs w:val="20"/>
        </w:rPr>
      </w:pPr>
    </w:p>
    <w:p w14:paraId="4A6F4632" w14:textId="77777777" w:rsidR="008E0F74" w:rsidRPr="004A163A" w:rsidRDefault="00256F29" w:rsidP="0067217A">
      <w:pPr>
        <w:pStyle w:val="Nadpis4"/>
        <w:rPr>
          <w:color w:val="1F3864" w:themeColor="accent1" w:themeShade="80"/>
          <w:sz w:val="20"/>
          <w:szCs w:val="20"/>
        </w:rPr>
      </w:pPr>
      <w:r w:rsidRPr="004A163A">
        <w:rPr>
          <w:rFonts w:eastAsia="Times New Roman"/>
          <w:color w:val="1F3864" w:themeColor="accent1" w:themeShade="80"/>
        </w:rPr>
        <w:t>Protekcionismus</w:t>
      </w:r>
    </w:p>
    <w:p w14:paraId="4A6F4633" w14:textId="77777777" w:rsidR="008E0F74" w:rsidRPr="00FC3B7C" w:rsidRDefault="00256F29" w:rsidP="0067217A">
      <w:pPr>
        <w:rPr>
          <w:sz w:val="20"/>
          <w:szCs w:val="20"/>
        </w:rPr>
      </w:pPr>
      <w:r w:rsidRPr="00FC3B7C">
        <w:rPr>
          <w:rFonts w:eastAsia="Times New Roman"/>
        </w:rPr>
        <w:t xml:space="preserve">Státní ovlivňování dovozů prostřednictvím dovozních limitů a cel. Limity a cla jsou uvaleny především na výrobky, jejich regionální vliv je ale dost značný, je tím větší, čím vyšší je prostorová koncentrace výroby chráněných druhů zboží. Stejně jako všechny ostatní nástroje, </w:t>
      </w:r>
      <w:r w:rsidRPr="00FC3B7C">
        <w:rPr>
          <w:rFonts w:eastAsia="Times New Roman"/>
        </w:rPr>
        <w:lastRenderedPageBreak/>
        <w:t xml:space="preserve">které se využívají na podporu regionálního rozvoje, je i protekcionismus spojen s určitými náklady a tedy ekonomickými ztrátami. Ty plynou z toho, že obdobná opatření přijímá </w:t>
      </w:r>
      <w:r w:rsidR="0067217A">
        <w:rPr>
          <w:rFonts w:eastAsia="Times New Roman"/>
        </w:rPr>
        <w:br/>
      </w:r>
      <w:r w:rsidRPr="00FC3B7C">
        <w:rPr>
          <w:rFonts w:eastAsia="Times New Roman"/>
        </w:rPr>
        <w:t>i země, která je diskriminována a také z toho, že se snižuje možnost realizace komparativních výhod plynoucích ze specializace země a zapojení do mezinárodního obchodu.</w:t>
      </w:r>
    </w:p>
    <w:p w14:paraId="4A6F4634" w14:textId="77777777" w:rsidR="0067217A" w:rsidRDefault="0067217A">
      <w:pPr>
        <w:ind w:left="440"/>
        <w:rPr>
          <w:rFonts w:eastAsia="Times New Roman"/>
          <w:b/>
          <w:bCs/>
          <w:sz w:val="28"/>
          <w:szCs w:val="28"/>
        </w:rPr>
      </w:pPr>
      <w:bookmarkStart w:id="298" w:name="page329"/>
      <w:bookmarkEnd w:id="298"/>
    </w:p>
    <w:p w14:paraId="4A6F4635" w14:textId="2108E44B" w:rsidR="008E0F74" w:rsidRPr="004A163A" w:rsidRDefault="004A163A" w:rsidP="0067217A">
      <w:pPr>
        <w:pStyle w:val="Nadpis3"/>
        <w:rPr>
          <w:color w:val="1F3864" w:themeColor="accent1" w:themeShade="80"/>
          <w:sz w:val="20"/>
          <w:szCs w:val="20"/>
        </w:rPr>
      </w:pPr>
      <w:r>
        <w:rPr>
          <w:rFonts w:eastAsia="Times New Roman"/>
          <w:color w:val="1F3864" w:themeColor="accent1" w:themeShade="80"/>
        </w:rPr>
        <w:t xml:space="preserve"> </w:t>
      </w:r>
      <w:r w:rsidR="00256F29" w:rsidRPr="004A163A">
        <w:rPr>
          <w:rFonts w:eastAsia="Times New Roman"/>
          <w:color w:val="1F3864" w:themeColor="accent1" w:themeShade="80"/>
        </w:rPr>
        <w:t>Mikroekonomické nástroje</w:t>
      </w:r>
    </w:p>
    <w:p w14:paraId="4A6F4636" w14:textId="77777777" w:rsidR="008E0F74" w:rsidRPr="004A163A" w:rsidRDefault="00256F29" w:rsidP="0067217A">
      <w:pPr>
        <w:pStyle w:val="Nadpis4"/>
        <w:rPr>
          <w:color w:val="1F3864" w:themeColor="accent1" w:themeShade="80"/>
          <w:sz w:val="20"/>
          <w:szCs w:val="20"/>
        </w:rPr>
      </w:pPr>
      <w:r w:rsidRPr="004A163A">
        <w:rPr>
          <w:rFonts w:eastAsia="Times New Roman"/>
          <w:color w:val="1F3864" w:themeColor="accent1" w:themeShade="80"/>
        </w:rPr>
        <w:t>Nástroje realokace pracovních sil</w:t>
      </w:r>
    </w:p>
    <w:p w14:paraId="4A6F4637" w14:textId="77777777" w:rsidR="008E0F74" w:rsidRPr="00FC3B7C" w:rsidRDefault="00256F29" w:rsidP="0067217A">
      <w:pPr>
        <w:rPr>
          <w:sz w:val="20"/>
          <w:szCs w:val="20"/>
        </w:rPr>
      </w:pPr>
      <w:r w:rsidRPr="00FC3B7C">
        <w:rPr>
          <w:rFonts w:eastAsia="Times New Roman"/>
        </w:rPr>
        <w:t>Nástroje, které podporují prostorové přemístění pracovních sil, se ve větší míře používaly</w:t>
      </w:r>
      <w:r w:rsidR="0067217A">
        <w:rPr>
          <w:rFonts w:eastAsia="Times New Roman"/>
        </w:rPr>
        <w:br/>
      </w:r>
      <w:r w:rsidRPr="00FC3B7C">
        <w:rPr>
          <w:rFonts w:eastAsia="Times New Roman"/>
        </w:rPr>
        <w:t xml:space="preserve"> v počátečním období regionální politiky. Vlastní aplikaci určitých nástrojů musí předcházet rozhodnutí, zda je vůbec účelné a žádoucí podporovat emigraci z upadajících regionů. Odliv obyvatelstva znamená vždy hlubší depresi v rozvoji regionu, proto nástroje bývají zaměřeny spíše na přilákání kapitálu do problémového území, tvorbu nových pracovních míst, a tím také na stabilizaci obyvatelstva v regionu. Jestliže je však z jakéhokoliv důvodu nutné podporovat emigraci obyvatelstva z regionu, použité ekonomické nástroje zaměřující se na částečnou úhradu nákladů spojených s emigrací mohou mít tyto podoby:</w:t>
      </w:r>
    </w:p>
    <w:p w14:paraId="4A6F4638" w14:textId="77777777" w:rsidR="008E0F74" w:rsidRPr="00FC3B7C" w:rsidRDefault="008E0F74">
      <w:pPr>
        <w:spacing w:line="5" w:lineRule="exact"/>
        <w:rPr>
          <w:sz w:val="20"/>
          <w:szCs w:val="20"/>
        </w:rPr>
      </w:pPr>
    </w:p>
    <w:p w14:paraId="4A6F4639" w14:textId="77777777" w:rsidR="008E0F74" w:rsidRPr="00FC3B7C" w:rsidRDefault="00256F29" w:rsidP="00D46B53">
      <w:pPr>
        <w:numPr>
          <w:ilvl w:val="0"/>
          <w:numId w:val="274"/>
        </w:numPr>
        <w:tabs>
          <w:tab w:val="left" w:pos="1560"/>
        </w:tabs>
        <w:ind w:left="1560" w:hanging="353"/>
        <w:rPr>
          <w:rFonts w:eastAsia="Arial"/>
          <w:szCs w:val="24"/>
        </w:rPr>
      </w:pPr>
      <w:r w:rsidRPr="00FC3B7C">
        <w:rPr>
          <w:rFonts w:eastAsia="Times New Roman"/>
          <w:szCs w:val="24"/>
        </w:rPr>
        <w:t>Úhrada nákladů na stěhování, na přepravu osob a majetku</w:t>
      </w:r>
    </w:p>
    <w:p w14:paraId="4A6F463A" w14:textId="77777777" w:rsidR="008E0F74" w:rsidRPr="00FC3B7C" w:rsidRDefault="00256F29" w:rsidP="00D46B53">
      <w:pPr>
        <w:numPr>
          <w:ilvl w:val="0"/>
          <w:numId w:val="274"/>
        </w:numPr>
        <w:tabs>
          <w:tab w:val="left" w:pos="1560"/>
        </w:tabs>
        <w:ind w:left="1560" w:hanging="353"/>
        <w:rPr>
          <w:rFonts w:eastAsia="Arial"/>
          <w:szCs w:val="24"/>
        </w:rPr>
      </w:pPr>
      <w:r w:rsidRPr="00FC3B7C">
        <w:rPr>
          <w:rFonts w:eastAsia="Times New Roman"/>
          <w:szCs w:val="24"/>
        </w:rPr>
        <w:t>Výkup nemovitostí</w:t>
      </w:r>
    </w:p>
    <w:p w14:paraId="4A6F463B" w14:textId="77777777" w:rsidR="008E0F74" w:rsidRPr="00FC3B7C" w:rsidRDefault="00256F29" w:rsidP="00D46B53">
      <w:pPr>
        <w:numPr>
          <w:ilvl w:val="0"/>
          <w:numId w:val="274"/>
        </w:numPr>
        <w:tabs>
          <w:tab w:val="left" w:pos="1560"/>
        </w:tabs>
        <w:ind w:left="1560" w:hanging="353"/>
        <w:rPr>
          <w:rFonts w:eastAsia="Arial"/>
          <w:szCs w:val="24"/>
        </w:rPr>
      </w:pPr>
      <w:r w:rsidRPr="00FC3B7C">
        <w:rPr>
          <w:rFonts w:eastAsia="Times New Roman"/>
          <w:szCs w:val="24"/>
        </w:rPr>
        <w:t>Podpora při nákupu nového domu či bytu.</w:t>
      </w:r>
    </w:p>
    <w:p w14:paraId="4A6F463C" w14:textId="77777777" w:rsidR="008E0F74" w:rsidRPr="00FC3B7C" w:rsidRDefault="008E0F74">
      <w:pPr>
        <w:spacing w:line="331" w:lineRule="exact"/>
        <w:rPr>
          <w:sz w:val="20"/>
          <w:szCs w:val="20"/>
        </w:rPr>
      </w:pPr>
    </w:p>
    <w:p w14:paraId="4A6F463D" w14:textId="77777777" w:rsidR="008E0F74" w:rsidRPr="004A163A" w:rsidRDefault="00256F29" w:rsidP="0067217A">
      <w:pPr>
        <w:pStyle w:val="Nadpis4"/>
        <w:rPr>
          <w:color w:val="1F3864" w:themeColor="accent1" w:themeShade="80"/>
          <w:sz w:val="20"/>
          <w:szCs w:val="20"/>
        </w:rPr>
      </w:pPr>
      <w:r w:rsidRPr="004A163A">
        <w:rPr>
          <w:rFonts w:eastAsia="Times New Roman"/>
          <w:color w:val="1F3864" w:themeColor="accent1" w:themeShade="80"/>
        </w:rPr>
        <w:t>Nástroje realokace kapitálu</w:t>
      </w:r>
    </w:p>
    <w:p w14:paraId="4A6F463E" w14:textId="77777777" w:rsidR="008E0F74" w:rsidRPr="00FC3B7C" w:rsidRDefault="00256F29" w:rsidP="0067217A">
      <w:pPr>
        <w:rPr>
          <w:sz w:val="20"/>
          <w:szCs w:val="20"/>
        </w:rPr>
      </w:pPr>
      <w:r w:rsidRPr="00FC3B7C">
        <w:rPr>
          <w:rFonts w:eastAsia="Times New Roman"/>
        </w:rPr>
        <w:t>Tyto nástroje většinou slouží k tomu, aby do upadajících nebo stagnujících regionu bylo přilákáno nové množství kapitálu. Mohou nabývat různých forem, jako jsou například kapitálové subvence, subvence na pracovní sílu, subvence na hotovou produkci, subvence na dopravu, levné půjčky, snížené ceny pozemků a další. Konkrétní forma poskytované subvence podstatně ovlivňuje chování firmy, a proto je velmi důležité zvážit její podobu s ohledem na cíl, kterého chceme dosáhnout, ale i s ohledem na specifické podmínky regionu, případně specifika firmy.</w:t>
      </w:r>
    </w:p>
    <w:p w14:paraId="4A6F463F" w14:textId="77777777" w:rsidR="008E0F74" w:rsidRDefault="008E0F74">
      <w:pPr>
        <w:spacing w:line="193" w:lineRule="exact"/>
        <w:rPr>
          <w:sz w:val="20"/>
          <w:szCs w:val="20"/>
        </w:rPr>
      </w:pPr>
    </w:p>
    <w:p w14:paraId="4A6F4640" w14:textId="77777777" w:rsidR="0067217A" w:rsidRPr="00FC3B7C" w:rsidRDefault="0067217A">
      <w:pPr>
        <w:spacing w:line="193" w:lineRule="exact"/>
        <w:rPr>
          <w:sz w:val="20"/>
          <w:szCs w:val="20"/>
        </w:rPr>
      </w:pPr>
    </w:p>
    <w:p w14:paraId="4A6F4641" w14:textId="1D4DF8EF" w:rsidR="008E0F74" w:rsidRPr="004A163A" w:rsidRDefault="004A163A" w:rsidP="0067217A">
      <w:pPr>
        <w:pStyle w:val="Nadpis3"/>
        <w:rPr>
          <w:color w:val="1F3864" w:themeColor="accent1" w:themeShade="80"/>
          <w:sz w:val="20"/>
          <w:szCs w:val="20"/>
        </w:rPr>
      </w:pPr>
      <w:r w:rsidRPr="004A163A">
        <w:rPr>
          <w:rFonts w:eastAsia="Times New Roman"/>
          <w:color w:val="1F3864" w:themeColor="accent1" w:themeShade="80"/>
        </w:rPr>
        <w:t xml:space="preserve"> </w:t>
      </w:r>
      <w:r w:rsidR="00256F29" w:rsidRPr="004A163A">
        <w:rPr>
          <w:rFonts w:eastAsia="Times New Roman"/>
          <w:color w:val="1F3864" w:themeColor="accent1" w:themeShade="80"/>
        </w:rPr>
        <w:t>Ostatní nástroje</w:t>
      </w:r>
    </w:p>
    <w:p w14:paraId="4A6F4642" w14:textId="77777777" w:rsidR="008E0F74" w:rsidRPr="004A163A" w:rsidRDefault="00256F29" w:rsidP="0067217A">
      <w:pPr>
        <w:pStyle w:val="Nadpis4"/>
        <w:rPr>
          <w:color w:val="1F3864" w:themeColor="accent1" w:themeShade="80"/>
          <w:sz w:val="20"/>
          <w:szCs w:val="20"/>
        </w:rPr>
      </w:pPr>
      <w:r w:rsidRPr="004A163A">
        <w:rPr>
          <w:rFonts w:eastAsia="Times New Roman"/>
          <w:color w:val="1F3864" w:themeColor="accent1" w:themeShade="80"/>
        </w:rPr>
        <w:t>Administrativní nástroje</w:t>
      </w:r>
    </w:p>
    <w:p w14:paraId="4A6F4643" w14:textId="77777777" w:rsidR="008E0F74" w:rsidRDefault="00256F29" w:rsidP="0067217A">
      <w:pPr>
        <w:rPr>
          <w:rFonts w:eastAsia="Times New Roman"/>
        </w:rPr>
      </w:pPr>
      <w:r w:rsidRPr="00FC3B7C">
        <w:rPr>
          <w:rFonts w:eastAsia="Times New Roman"/>
        </w:rPr>
        <w:t>Neoblíbené, zpravidla represivní – např. na základě správního rozhodnutí. Některé firmy jsou vykázány z území (důvodem může být jejich ekologická zátěž, „nevyvážený rozvoj území“ či nadměrná zátěž pro infrastrukturu).</w:t>
      </w:r>
    </w:p>
    <w:p w14:paraId="4A6F4644" w14:textId="77777777" w:rsidR="008E0F74" w:rsidRPr="004A163A" w:rsidRDefault="00256F29" w:rsidP="0067217A">
      <w:pPr>
        <w:pStyle w:val="Nadpis4"/>
        <w:rPr>
          <w:color w:val="1F3864" w:themeColor="accent1" w:themeShade="80"/>
          <w:sz w:val="20"/>
          <w:szCs w:val="20"/>
        </w:rPr>
      </w:pPr>
      <w:bookmarkStart w:id="299" w:name="page330"/>
      <w:bookmarkEnd w:id="299"/>
      <w:r w:rsidRPr="004A163A">
        <w:rPr>
          <w:rFonts w:eastAsia="Times New Roman"/>
          <w:color w:val="1F3864" w:themeColor="accent1" w:themeShade="80"/>
        </w:rPr>
        <w:lastRenderedPageBreak/>
        <w:t>Institucionální nástroje</w:t>
      </w:r>
    </w:p>
    <w:p w14:paraId="4A6F4645" w14:textId="77777777" w:rsidR="008E0F74" w:rsidRDefault="00256F29" w:rsidP="0067217A">
      <w:pPr>
        <w:rPr>
          <w:rFonts w:eastAsia="Times New Roman"/>
        </w:rPr>
      </w:pPr>
      <w:r w:rsidRPr="00FC3B7C">
        <w:rPr>
          <w:rFonts w:eastAsia="Times New Roman"/>
        </w:rPr>
        <w:t>Rozvojové agentury, různé právnické osoby s právní subjektivitou, zakládány obcemi, zpracovávání strategických dokumentů nebo implementace plánů (obojí najednou nelze, dochází k střetu zájmů).</w:t>
      </w:r>
    </w:p>
    <w:p w14:paraId="4A6F4646" w14:textId="77777777" w:rsidR="0067217A" w:rsidRPr="00FC3B7C" w:rsidRDefault="0067217A" w:rsidP="0067217A">
      <w:pPr>
        <w:rPr>
          <w:sz w:val="20"/>
          <w:szCs w:val="20"/>
        </w:rPr>
      </w:pPr>
    </w:p>
    <w:p w14:paraId="4A6F4647" w14:textId="6D2AC82B" w:rsidR="008E0F74" w:rsidRPr="004A163A" w:rsidRDefault="004A163A" w:rsidP="0067217A">
      <w:pPr>
        <w:pStyle w:val="Nadpis3"/>
        <w:rPr>
          <w:color w:val="1F3864" w:themeColor="accent1" w:themeShade="80"/>
          <w:sz w:val="20"/>
          <w:szCs w:val="20"/>
        </w:rPr>
      </w:pPr>
      <w:r>
        <w:rPr>
          <w:rFonts w:eastAsia="Times New Roman"/>
          <w:color w:val="1F3864" w:themeColor="accent1" w:themeShade="80"/>
        </w:rPr>
        <w:t xml:space="preserve"> </w:t>
      </w:r>
      <w:r w:rsidR="00256F29" w:rsidRPr="004A163A">
        <w:rPr>
          <w:rFonts w:eastAsia="Times New Roman"/>
          <w:color w:val="1F3864" w:themeColor="accent1" w:themeShade="80"/>
        </w:rPr>
        <w:t>Nástroje regionální politiky – další dělení</w:t>
      </w:r>
    </w:p>
    <w:p w14:paraId="4A6F4648" w14:textId="77777777" w:rsidR="008E0F74" w:rsidRPr="004A163A" w:rsidRDefault="00256F29" w:rsidP="0067217A">
      <w:pPr>
        <w:pStyle w:val="Nadpis4"/>
        <w:rPr>
          <w:color w:val="1F3864" w:themeColor="accent1" w:themeShade="80"/>
          <w:sz w:val="20"/>
          <w:szCs w:val="20"/>
        </w:rPr>
      </w:pPr>
      <w:r w:rsidRPr="004A163A">
        <w:rPr>
          <w:rFonts w:eastAsia="Times New Roman"/>
          <w:color w:val="1F3864" w:themeColor="accent1" w:themeShade="80"/>
        </w:rPr>
        <w:t>Finanční nástroje</w:t>
      </w:r>
    </w:p>
    <w:p w14:paraId="4A6F4649" w14:textId="77777777" w:rsidR="008E0F74" w:rsidRPr="00FC3B7C" w:rsidRDefault="00256F29" w:rsidP="0067217A">
      <w:pPr>
        <w:ind w:right="420"/>
        <w:rPr>
          <w:sz w:val="20"/>
          <w:szCs w:val="20"/>
        </w:rPr>
      </w:pPr>
      <w:r w:rsidRPr="00FC3B7C">
        <w:rPr>
          <w:rFonts w:eastAsia="Times New Roman"/>
          <w:szCs w:val="24"/>
        </w:rPr>
        <w:t>Jsou orientovány jak do oblasti ekonomiky, resp. podnikání a zaměstnanosti, tak do oblasti veřejné správy.</w:t>
      </w:r>
    </w:p>
    <w:p w14:paraId="4A6F464A" w14:textId="77777777" w:rsidR="008E0F74" w:rsidRPr="00FC3B7C" w:rsidRDefault="00256F29" w:rsidP="0067217A">
      <w:pPr>
        <w:rPr>
          <w:sz w:val="20"/>
          <w:szCs w:val="20"/>
        </w:rPr>
      </w:pPr>
      <w:r w:rsidRPr="00FC3B7C">
        <w:rPr>
          <w:rFonts w:eastAsia="Times New Roman"/>
          <w:b/>
          <w:bCs/>
          <w:i/>
          <w:iCs/>
          <w:szCs w:val="24"/>
        </w:rPr>
        <w:t xml:space="preserve">Přímé (většinou účelově vázané) finanční pobídky: </w:t>
      </w:r>
      <w:r w:rsidRPr="00FC3B7C">
        <w:rPr>
          <w:rFonts w:eastAsia="Times New Roman"/>
          <w:szCs w:val="24"/>
        </w:rPr>
        <w:t>spočívají v přímém poskytnutí finančních</w:t>
      </w:r>
      <w:r w:rsidRPr="00FC3B7C">
        <w:rPr>
          <w:rFonts w:eastAsia="Times New Roman"/>
          <w:b/>
          <w:bCs/>
          <w:i/>
          <w:iCs/>
          <w:szCs w:val="24"/>
        </w:rPr>
        <w:t xml:space="preserve"> </w:t>
      </w:r>
      <w:r w:rsidRPr="00FC3B7C">
        <w:rPr>
          <w:rFonts w:eastAsia="Times New Roman"/>
          <w:szCs w:val="24"/>
        </w:rPr>
        <w:t>prostředků na předem stanovený účel</w:t>
      </w:r>
    </w:p>
    <w:p w14:paraId="4A6F464B" w14:textId="77777777" w:rsidR="008E0F74" w:rsidRPr="00FC3B7C" w:rsidRDefault="00256F29" w:rsidP="00D46B53">
      <w:pPr>
        <w:numPr>
          <w:ilvl w:val="0"/>
          <w:numId w:val="275"/>
        </w:numPr>
        <w:tabs>
          <w:tab w:val="left" w:pos="840"/>
        </w:tabs>
        <w:ind w:left="840" w:hanging="368"/>
        <w:rPr>
          <w:rFonts w:eastAsia="Arial"/>
          <w:szCs w:val="24"/>
        </w:rPr>
      </w:pPr>
      <w:r w:rsidRPr="00FC3B7C">
        <w:rPr>
          <w:rFonts w:eastAsia="Times New Roman"/>
          <w:szCs w:val="24"/>
        </w:rPr>
        <w:t>dotace na podporu podnikání</w:t>
      </w:r>
    </w:p>
    <w:p w14:paraId="4A6F464C" w14:textId="77777777" w:rsidR="008E0F74" w:rsidRPr="00FC3B7C" w:rsidRDefault="00256F29" w:rsidP="00D46B53">
      <w:pPr>
        <w:numPr>
          <w:ilvl w:val="0"/>
          <w:numId w:val="275"/>
        </w:numPr>
        <w:tabs>
          <w:tab w:val="left" w:pos="840"/>
        </w:tabs>
        <w:ind w:left="840" w:hanging="368"/>
        <w:rPr>
          <w:rFonts w:eastAsia="Arial"/>
          <w:szCs w:val="24"/>
        </w:rPr>
      </w:pPr>
      <w:r w:rsidRPr="00FC3B7C">
        <w:rPr>
          <w:rFonts w:eastAsia="Times New Roman"/>
          <w:szCs w:val="24"/>
        </w:rPr>
        <w:t>dotace na pracovní místa</w:t>
      </w:r>
    </w:p>
    <w:p w14:paraId="4A6F464D" w14:textId="77777777" w:rsidR="008E0F74" w:rsidRPr="00FC3B7C" w:rsidRDefault="00256F29" w:rsidP="00D46B53">
      <w:pPr>
        <w:numPr>
          <w:ilvl w:val="0"/>
          <w:numId w:val="275"/>
        </w:numPr>
        <w:tabs>
          <w:tab w:val="left" w:pos="840"/>
        </w:tabs>
        <w:ind w:left="840" w:hanging="368"/>
        <w:rPr>
          <w:rFonts w:eastAsia="Arial"/>
          <w:szCs w:val="24"/>
        </w:rPr>
      </w:pPr>
      <w:r w:rsidRPr="00FC3B7C">
        <w:rPr>
          <w:rFonts w:eastAsia="Times New Roman"/>
          <w:szCs w:val="24"/>
        </w:rPr>
        <w:t>bezúročné případně nízko úročené půjčky</w:t>
      </w:r>
    </w:p>
    <w:p w14:paraId="4A6F464E" w14:textId="77777777" w:rsidR="008E0F74" w:rsidRPr="00FC3B7C" w:rsidRDefault="00256F29" w:rsidP="00D46B53">
      <w:pPr>
        <w:numPr>
          <w:ilvl w:val="0"/>
          <w:numId w:val="275"/>
        </w:numPr>
        <w:tabs>
          <w:tab w:val="left" w:pos="840"/>
        </w:tabs>
        <w:ind w:left="840" w:hanging="368"/>
        <w:rPr>
          <w:rFonts w:eastAsia="Arial"/>
          <w:szCs w:val="24"/>
        </w:rPr>
      </w:pPr>
      <w:r w:rsidRPr="00FC3B7C">
        <w:rPr>
          <w:rFonts w:eastAsia="Times New Roman"/>
          <w:szCs w:val="24"/>
        </w:rPr>
        <w:t>dotace úroků z úvěrů</w:t>
      </w:r>
    </w:p>
    <w:p w14:paraId="4A6F464F" w14:textId="77777777" w:rsidR="008E0F74" w:rsidRPr="00FC3B7C" w:rsidRDefault="00256F29" w:rsidP="00D46B53">
      <w:pPr>
        <w:numPr>
          <w:ilvl w:val="0"/>
          <w:numId w:val="275"/>
        </w:numPr>
        <w:tabs>
          <w:tab w:val="left" w:pos="840"/>
        </w:tabs>
        <w:ind w:left="840" w:hanging="368"/>
        <w:rPr>
          <w:rFonts w:eastAsia="Arial"/>
          <w:szCs w:val="24"/>
        </w:rPr>
      </w:pPr>
      <w:r w:rsidRPr="00FC3B7C">
        <w:rPr>
          <w:rFonts w:eastAsia="Times New Roman"/>
          <w:szCs w:val="24"/>
        </w:rPr>
        <w:t>dotace na rozvoj veřejných služeb (technická a infrastrukturní vybavenost obcí, veřejná doprava)</w:t>
      </w:r>
    </w:p>
    <w:p w14:paraId="4A6F4650" w14:textId="77777777" w:rsidR="008E0F74" w:rsidRPr="00FC3B7C" w:rsidRDefault="00256F29" w:rsidP="00D46B53">
      <w:pPr>
        <w:numPr>
          <w:ilvl w:val="0"/>
          <w:numId w:val="275"/>
        </w:numPr>
        <w:tabs>
          <w:tab w:val="left" w:pos="840"/>
        </w:tabs>
        <w:ind w:left="840" w:hanging="368"/>
        <w:rPr>
          <w:rFonts w:eastAsia="Arial"/>
          <w:szCs w:val="24"/>
        </w:rPr>
      </w:pPr>
      <w:r w:rsidRPr="00FC3B7C">
        <w:rPr>
          <w:rFonts w:eastAsia="Times New Roman"/>
          <w:szCs w:val="24"/>
        </w:rPr>
        <w:t>granty</w:t>
      </w:r>
    </w:p>
    <w:p w14:paraId="4A6F4651" w14:textId="77777777" w:rsidR="008E0F74" w:rsidRPr="00FC3B7C" w:rsidRDefault="008E0F74" w:rsidP="0067217A">
      <w:pPr>
        <w:rPr>
          <w:sz w:val="20"/>
          <w:szCs w:val="20"/>
        </w:rPr>
      </w:pPr>
    </w:p>
    <w:p w14:paraId="4A6F4652" w14:textId="77777777" w:rsidR="008E0F74" w:rsidRPr="00FC3B7C" w:rsidRDefault="00256F29" w:rsidP="0067217A">
      <w:pPr>
        <w:rPr>
          <w:sz w:val="20"/>
          <w:szCs w:val="20"/>
        </w:rPr>
      </w:pPr>
      <w:r w:rsidRPr="00FC3B7C">
        <w:rPr>
          <w:rFonts w:eastAsia="Times New Roman"/>
          <w:b/>
          <w:bCs/>
          <w:i/>
          <w:iCs/>
          <w:szCs w:val="24"/>
        </w:rPr>
        <w:t xml:space="preserve">Nepřímé finanční pobídky: </w:t>
      </w:r>
      <w:r w:rsidRPr="00FC3B7C">
        <w:rPr>
          <w:rFonts w:eastAsia="Times New Roman"/>
          <w:szCs w:val="24"/>
        </w:rPr>
        <w:t>přináší příjemci peněžní efekty v přímé závislosti na vlastním</w:t>
      </w:r>
      <w:r w:rsidRPr="00FC3B7C">
        <w:rPr>
          <w:rFonts w:eastAsia="Times New Roman"/>
          <w:b/>
          <w:bCs/>
          <w:i/>
          <w:iCs/>
          <w:szCs w:val="24"/>
        </w:rPr>
        <w:t xml:space="preserve"> </w:t>
      </w:r>
      <w:r w:rsidRPr="00FC3B7C">
        <w:rPr>
          <w:rFonts w:eastAsia="Times New Roman"/>
          <w:szCs w:val="24"/>
        </w:rPr>
        <w:t>ekonomickém výkonu</w:t>
      </w:r>
    </w:p>
    <w:p w14:paraId="4A6F4653" w14:textId="77777777" w:rsidR="008E0F74" w:rsidRPr="00FC3B7C" w:rsidRDefault="00256F29" w:rsidP="00D46B53">
      <w:pPr>
        <w:numPr>
          <w:ilvl w:val="0"/>
          <w:numId w:val="276"/>
        </w:numPr>
        <w:tabs>
          <w:tab w:val="left" w:pos="1000"/>
        </w:tabs>
        <w:ind w:left="1000" w:hanging="360"/>
        <w:rPr>
          <w:rFonts w:eastAsia="Arial"/>
          <w:szCs w:val="24"/>
        </w:rPr>
      </w:pPr>
      <w:r w:rsidRPr="00FC3B7C">
        <w:rPr>
          <w:rFonts w:eastAsia="Times New Roman"/>
          <w:szCs w:val="24"/>
        </w:rPr>
        <w:t>daňové prázdniny pro investory</w:t>
      </w:r>
    </w:p>
    <w:p w14:paraId="4A6F4654" w14:textId="77777777" w:rsidR="008E0F74" w:rsidRPr="00FC3B7C" w:rsidRDefault="00256F29" w:rsidP="00D46B53">
      <w:pPr>
        <w:numPr>
          <w:ilvl w:val="0"/>
          <w:numId w:val="276"/>
        </w:numPr>
        <w:tabs>
          <w:tab w:val="left" w:pos="1000"/>
        </w:tabs>
        <w:ind w:left="1000" w:hanging="360"/>
        <w:rPr>
          <w:rFonts w:eastAsia="Arial"/>
          <w:szCs w:val="24"/>
        </w:rPr>
      </w:pPr>
      <w:r w:rsidRPr="00FC3B7C">
        <w:rPr>
          <w:rFonts w:eastAsia="Times New Roman"/>
          <w:szCs w:val="24"/>
        </w:rPr>
        <w:t>daňová zvýhodnění (nezdanitelné částky, odčitatelné položky, slevy na daních)</w:t>
      </w:r>
    </w:p>
    <w:p w14:paraId="4A6F4655" w14:textId="77777777" w:rsidR="008E0F74" w:rsidRPr="00FC3B7C" w:rsidRDefault="00256F29" w:rsidP="00D46B53">
      <w:pPr>
        <w:numPr>
          <w:ilvl w:val="0"/>
          <w:numId w:val="276"/>
        </w:numPr>
        <w:tabs>
          <w:tab w:val="left" w:pos="1000"/>
        </w:tabs>
        <w:ind w:left="1000" w:hanging="360"/>
        <w:rPr>
          <w:rFonts w:eastAsia="Arial"/>
          <w:szCs w:val="24"/>
        </w:rPr>
      </w:pPr>
      <w:r w:rsidRPr="00FC3B7C">
        <w:rPr>
          <w:rFonts w:eastAsia="Times New Roman"/>
          <w:szCs w:val="24"/>
        </w:rPr>
        <w:t>investiční podpora v podobě příznivých režimů daňového odepisování</w:t>
      </w:r>
    </w:p>
    <w:p w14:paraId="4A6F4656" w14:textId="77777777" w:rsidR="008E0F74" w:rsidRPr="00FC3B7C" w:rsidRDefault="008E0F74">
      <w:pPr>
        <w:spacing w:line="331" w:lineRule="exact"/>
        <w:rPr>
          <w:sz w:val="20"/>
          <w:szCs w:val="20"/>
        </w:rPr>
      </w:pPr>
    </w:p>
    <w:p w14:paraId="4A6F4657" w14:textId="77777777" w:rsidR="008E0F74" w:rsidRPr="004A163A" w:rsidRDefault="00256F29" w:rsidP="0067217A">
      <w:pPr>
        <w:pStyle w:val="Nadpis4"/>
        <w:rPr>
          <w:color w:val="1F3864" w:themeColor="accent1" w:themeShade="80"/>
          <w:sz w:val="20"/>
          <w:szCs w:val="20"/>
        </w:rPr>
      </w:pPr>
      <w:r w:rsidRPr="004A163A">
        <w:rPr>
          <w:rFonts w:eastAsia="Times New Roman"/>
          <w:color w:val="1F3864" w:themeColor="accent1" w:themeShade="80"/>
        </w:rPr>
        <w:t>Nefinanční nástroje</w:t>
      </w:r>
    </w:p>
    <w:p w14:paraId="4A6F4658" w14:textId="4D215E77" w:rsidR="008E0F74" w:rsidRDefault="00256F29" w:rsidP="0067217A">
      <w:pPr>
        <w:rPr>
          <w:rFonts w:eastAsia="Times New Roman"/>
        </w:rPr>
      </w:pPr>
      <w:r w:rsidRPr="00FC3B7C">
        <w:rPr>
          <w:rFonts w:eastAsia="Times New Roman"/>
        </w:rPr>
        <w:t xml:space="preserve">Programové dokumenty pro zajištění koncepčního a systémového přístupu k přípravě </w:t>
      </w:r>
      <w:r w:rsidR="0067217A">
        <w:rPr>
          <w:rFonts w:eastAsia="Times New Roman"/>
        </w:rPr>
        <w:br/>
      </w:r>
      <w:r w:rsidRPr="00FC3B7C">
        <w:rPr>
          <w:rFonts w:eastAsia="Times New Roman"/>
        </w:rPr>
        <w:t>a realizaci regionáln</w:t>
      </w:r>
      <w:r w:rsidRPr="0067217A">
        <w:t>í</w:t>
      </w:r>
      <w:r w:rsidRPr="00FC3B7C">
        <w:rPr>
          <w:rFonts w:eastAsia="Times New Roman"/>
        </w:rPr>
        <w:t xml:space="preserve">ho rozvoje, poradenská a informační podpora v oblasti regionálního rozvoje (se zaměřením na aktivity soukromé i veřejné sféry), infrastrukturní podpora </w:t>
      </w:r>
      <w:r w:rsidR="0067217A">
        <w:rPr>
          <w:rFonts w:eastAsia="Times New Roman"/>
        </w:rPr>
        <w:br/>
      </w:r>
      <w:r w:rsidRPr="00FC3B7C">
        <w:rPr>
          <w:rFonts w:eastAsia="Times New Roman"/>
        </w:rPr>
        <w:t>– zajištění (budování) dopravní a technické infrastruktury.</w:t>
      </w:r>
    </w:p>
    <w:p w14:paraId="1431CC75" w14:textId="557D5415" w:rsidR="00EE01FF" w:rsidRDefault="00EE01FF" w:rsidP="0067217A">
      <w:pPr>
        <w:rPr>
          <w:rFonts w:eastAsia="Times New Roman"/>
        </w:rPr>
      </w:pPr>
    </w:p>
    <w:p w14:paraId="242A6DA3" w14:textId="77777777" w:rsidR="00EE01FF" w:rsidRPr="00FC3B7C" w:rsidRDefault="00EE01FF" w:rsidP="00EE01FF">
      <w:pPr>
        <w:spacing w:line="388" w:lineRule="exact"/>
        <w:rPr>
          <w:sz w:val="20"/>
          <w:szCs w:val="20"/>
        </w:rPr>
      </w:pPr>
    </w:p>
    <w:p w14:paraId="0ABCC0F6" w14:textId="77777777" w:rsidR="00EE01FF" w:rsidRPr="00FC3B7C" w:rsidRDefault="00EE01FF" w:rsidP="00EE01FF">
      <w:pPr>
        <w:pStyle w:val="Nadpis3"/>
        <w:rPr>
          <w:sz w:val="20"/>
          <w:szCs w:val="20"/>
        </w:rPr>
      </w:pPr>
      <w:r>
        <w:rPr>
          <w:rFonts w:eastAsia="Times New Roman"/>
        </w:rPr>
        <w:lastRenderedPageBreak/>
        <w:t xml:space="preserve"> </w:t>
      </w:r>
      <w:r w:rsidRPr="00EE01FF">
        <w:rPr>
          <w:rFonts w:eastAsia="Times New Roman"/>
          <w:color w:val="1F3864" w:themeColor="accent1" w:themeShade="80"/>
        </w:rPr>
        <w:t>Programové období 2007-2013</w:t>
      </w:r>
    </w:p>
    <w:p w14:paraId="0643606F" w14:textId="77777777" w:rsidR="00EE01FF" w:rsidRPr="00FC3B7C" w:rsidRDefault="00EE01FF" w:rsidP="00EE01FF">
      <w:pPr>
        <w:rPr>
          <w:sz w:val="20"/>
          <w:szCs w:val="20"/>
        </w:rPr>
      </w:pPr>
      <w:r w:rsidRPr="00FC3B7C">
        <w:rPr>
          <w:rFonts w:eastAsia="Times New Roman"/>
        </w:rPr>
        <w:t xml:space="preserve">Na období 2007-2013 byly v oblasti regionální politiky vytyčeny 3 základní cíle, k jejichž dosažení bylo vyčleněno 347 mld. € (8931 mld. Kč). Finanční prostředky jsou čerpány </w:t>
      </w:r>
      <w:r>
        <w:rPr>
          <w:rFonts w:eastAsia="Times New Roman"/>
        </w:rPr>
        <w:br/>
      </w:r>
      <w:r w:rsidRPr="00FC3B7C">
        <w:rPr>
          <w:rFonts w:eastAsia="Times New Roman"/>
        </w:rPr>
        <w:t>z ERDF, ESF a KF.</w:t>
      </w:r>
    </w:p>
    <w:p w14:paraId="61D7253D" w14:textId="77777777" w:rsidR="00EE01FF" w:rsidRPr="00FC3B7C" w:rsidRDefault="00EE01FF" w:rsidP="00EE01FF">
      <w:pPr>
        <w:spacing w:line="20" w:lineRule="exact"/>
        <w:rPr>
          <w:sz w:val="20"/>
          <w:szCs w:val="20"/>
        </w:rPr>
      </w:pPr>
      <w:r w:rsidRPr="00FC3B7C">
        <w:rPr>
          <w:noProof/>
          <w:sz w:val="20"/>
          <w:szCs w:val="20"/>
        </w:rPr>
        <w:drawing>
          <wp:anchor distT="0" distB="0" distL="114300" distR="114300" simplePos="0" relativeHeight="251807232" behindDoc="1" locked="0" layoutInCell="0" allowOverlap="1" wp14:anchorId="21BBD605" wp14:editId="0D6A6D01">
            <wp:simplePos x="0" y="0"/>
            <wp:positionH relativeFrom="column">
              <wp:posOffset>-1905</wp:posOffset>
            </wp:positionH>
            <wp:positionV relativeFrom="paragraph">
              <wp:posOffset>-21590</wp:posOffset>
            </wp:positionV>
            <wp:extent cx="3718560" cy="2511425"/>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8"/>
                    <a:srcRect/>
                    <a:stretch>
                      <a:fillRect/>
                    </a:stretch>
                  </pic:blipFill>
                  <pic:spPr bwMode="auto">
                    <a:xfrm>
                      <a:off x="0" y="0"/>
                      <a:ext cx="3718560" cy="2511425"/>
                    </a:xfrm>
                    <a:prstGeom prst="rect">
                      <a:avLst/>
                    </a:prstGeom>
                    <a:noFill/>
                  </pic:spPr>
                </pic:pic>
              </a:graphicData>
            </a:graphic>
          </wp:anchor>
        </w:drawing>
      </w:r>
    </w:p>
    <w:p w14:paraId="15BC87BA" w14:textId="77777777" w:rsidR="00EE01FF" w:rsidRPr="00FC3B7C" w:rsidRDefault="00EE01FF" w:rsidP="00EE01FF">
      <w:pPr>
        <w:spacing w:line="200" w:lineRule="exact"/>
        <w:rPr>
          <w:sz w:val="20"/>
          <w:szCs w:val="20"/>
        </w:rPr>
      </w:pPr>
    </w:p>
    <w:p w14:paraId="7CAFB9FE" w14:textId="77777777" w:rsidR="00EE01FF" w:rsidRPr="00FC3B7C" w:rsidRDefault="00EE01FF" w:rsidP="00EE01FF">
      <w:pPr>
        <w:spacing w:line="200" w:lineRule="exact"/>
        <w:rPr>
          <w:sz w:val="20"/>
          <w:szCs w:val="20"/>
        </w:rPr>
      </w:pPr>
    </w:p>
    <w:p w14:paraId="7C7F33CA" w14:textId="77777777" w:rsidR="00EE01FF" w:rsidRPr="00FC3B7C" w:rsidRDefault="00EE01FF" w:rsidP="00EE01FF">
      <w:pPr>
        <w:spacing w:line="200" w:lineRule="exact"/>
        <w:rPr>
          <w:sz w:val="20"/>
          <w:szCs w:val="20"/>
        </w:rPr>
      </w:pPr>
    </w:p>
    <w:p w14:paraId="36F2C997" w14:textId="77777777" w:rsidR="00EE01FF" w:rsidRPr="00FC3B7C" w:rsidRDefault="00EE01FF" w:rsidP="00EE01FF">
      <w:pPr>
        <w:spacing w:line="200" w:lineRule="exact"/>
        <w:rPr>
          <w:sz w:val="20"/>
          <w:szCs w:val="20"/>
        </w:rPr>
      </w:pPr>
    </w:p>
    <w:p w14:paraId="1B2C6D6A" w14:textId="77777777" w:rsidR="00EE01FF" w:rsidRPr="00FC3B7C" w:rsidRDefault="00EE01FF" w:rsidP="00EE01FF">
      <w:pPr>
        <w:spacing w:line="200" w:lineRule="exact"/>
        <w:rPr>
          <w:sz w:val="20"/>
          <w:szCs w:val="20"/>
        </w:rPr>
      </w:pPr>
    </w:p>
    <w:p w14:paraId="126E40E5" w14:textId="77777777" w:rsidR="00EE01FF" w:rsidRPr="00FC3B7C" w:rsidRDefault="00EE01FF" w:rsidP="00EE01FF">
      <w:pPr>
        <w:spacing w:line="200" w:lineRule="exact"/>
        <w:rPr>
          <w:sz w:val="20"/>
          <w:szCs w:val="20"/>
        </w:rPr>
      </w:pPr>
    </w:p>
    <w:p w14:paraId="2ABC4C50" w14:textId="77777777" w:rsidR="00EE01FF" w:rsidRPr="00FC3B7C" w:rsidRDefault="00EE01FF" w:rsidP="00EE01FF">
      <w:pPr>
        <w:spacing w:line="200" w:lineRule="exact"/>
        <w:rPr>
          <w:sz w:val="20"/>
          <w:szCs w:val="20"/>
        </w:rPr>
      </w:pPr>
    </w:p>
    <w:p w14:paraId="14C8589B" w14:textId="77777777" w:rsidR="00EE01FF" w:rsidRPr="00FC3B7C" w:rsidRDefault="00EE01FF" w:rsidP="00EE01FF">
      <w:pPr>
        <w:spacing w:line="200" w:lineRule="exact"/>
        <w:rPr>
          <w:sz w:val="20"/>
          <w:szCs w:val="20"/>
        </w:rPr>
      </w:pPr>
    </w:p>
    <w:p w14:paraId="64FBE6FB" w14:textId="77777777" w:rsidR="00EE01FF" w:rsidRPr="00FC3B7C" w:rsidRDefault="00EE01FF" w:rsidP="00EE01FF">
      <w:pPr>
        <w:spacing w:line="200" w:lineRule="exact"/>
        <w:rPr>
          <w:sz w:val="20"/>
          <w:szCs w:val="20"/>
        </w:rPr>
      </w:pPr>
    </w:p>
    <w:p w14:paraId="2ED91FA0" w14:textId="77777777" w:rsidR="00EE01FF" w:rsidRPr="00FC3B7C" w:rsidRDefault="00EE01FF" w:rsidP="00EE01FF">
      <w:pPr>
        <w:spacing w:line="200" w:lineRule="exact"/>
        <w:rPr>
          <w:sz w:val="20"/>
          <w:szCs w:val="20"/>
        </w:rPr>
      </w:pPr>
    </w:p>
    <w:p w14:paraId="5A9EFAF1" w14:textId="77777777" w:rsidR="00EE01FF" w:rsidRPr="00FC3B7C" w:rsidRDefault="00EE01FF" w:rsidP="00EE01FF">
      <w:pPr>
        <w:spacing w:line="200" w:lineRule="exact"/>
        <w:rPr>
          <w:sz w:val="20"/>
          <w:szCs w:val="20"/>
        </w:rPr>
      </w:pPr>
    </w:p>
    <w:p w14:paraId="200DC3C6" w14:textId="77777777" w:rsidR="00EE01FF" w:rsidRPr="00FC3B7C" w:rsidRDefault="00EE01FF" w:rsidP="00EE01FF">
      <w:pPr>
        <w:spacing w:line="200" w:lineRule="exact"/>
        <w:rPr>
          <w:sz w:val="20"/>
          <w:szCs w:val="20"/>
        </w:rPr>
      </w:pPr>
    </w:p>
    <w:p w14:paraId="4B1C3CB3" w14:textId="77777777" w:rsidR="00EE01FF" w:rsidRPr="00FC3B7C" w:rsidRDefault="00EE01FF" w:rsidP="00EE01FF">
      <w:pPr>
        <w:spacing w:line="200" w:lineRule="exact"/>
        <w:rPr>
          <w:sz w:val="20"/>
          <w:szCs w:val="20"/>
        </w:rPr>
      </w:pPr>
    </w:p>
    <w:p w14:paraId="15517A98" w14:textId="77777777" w:rsidR="00EE01FF" w:rsidRPr="00FC3B7C" w:rsidRDefault="00EE01FF" w:rsidP="00EE01FF">
      <w:pPr>
        <w:spacing w:line="200" w:lineRule="exact"/>
        <w:rPr>
          <w:sz w:val="20"/>
          <w:szCs w:val="20"/>
        </w:rPr>
      </w:pPr>
    </w:p>
    <w:p w14:paraId="71D8CB58" w14:textId="77777777" w:rsidR="00EE01FF" w:rsidRPr="00FC3B7C" w:rsidRDefault="00EE01FF" w:rsidP="00EE01FF">
      <w:pPr>
        <w:spacing w:line="200" w:lineRule="exact"/>
        <w:rPr>
          <w:sz w:val="20"/>
          <w:szCs w:val="20"/>
        </w:rPr>
      </w:pPr>
    </w:p>
    <w:p w14:paraId="24FDDCAA" w14:textId="77777777" w:rsidR="00EE01FF" w:rsidRPr="00FC3B7C" w:rsidRDefault="00EE01FF" w:rsidP="00EE01FF">
      <w:pPr>
        <w:spacing w:line="200" w:lineRule="exact"/>
        <w:rPr>
          <w:sz w:val="20"/>
          <w:szCs w:val="20"/>
        </w:rPr>
      </w:pPr>
    </w:p>
    <w:p w14:paraId="3A073C9A" w14:textId="77777777" w:rsidR="00EE01FF" w:rsidRPr="00FC3B7C" w:rsidRDefault="00EE01FF" w:rsidP="00EE01FF">
      <w:pPr>
        <w:spacing w:line="200" w:lineRule="exact"/>
        <w:rPr>
          <w:sz w:val="20"/>
          <w:szCs w:val="20"/>
        </w:rPr>
      </w:pPr>
    </w:p>
    <w:p w14:paraId="42ACA76D" w14:textId="77777777" w:rsidR="00EE01FF" w:rsidRPr="00FC3B7C" w:rsidRDefault="00EE01FF" w:rsidP="00EE01FF">
      <w:pPr>
        <w:spacing w:line="200" w:lineRule="exact"/>
        <w:rPr>
          <w:sz w:val="20"/>
          <w:szCs w:val="20"/>
        </w:rPr>
      </w:pPr>
    </w:p>
    <w:p w14:paraId="749FE560" w14:textId="77777777" w:rsidR="00EE01FF" w:rsidRPr="00FC3B7C" w:rsidRDefault="00EE01FF" w:rsidP="00EE01FF">
      <w:pPr>
        <w:spacing w:line="391" w:lineRule="exact"/>
        <w:rPr>
          <w:sz w:val="20"/>
          <w:szCs w:val="20"/>
        </w:rPr>
      </w:pPr>
    </w:p>
    <w:p w14:paraId="352F797B" w14:textId="77777777" w:rsidR="00EE01FF" w:rsidRPr="00FC3B7C" w:rsidRDefault="00EE01FF" w:rsidP="00EE01FF">
      <w:pPr>
        <w:pStyle w:val="Nadpis4"/>
        <w:rPr>
          <w:sz w:val="20"/>
          <w:szCs w:val="20"/>
        </w:rPr>
      </w:pPr>
      <w:r w:rsidRPr="00FC3B7C">
        <w:rPr>
          <w:rFonts w:eastAsia="Times New Roman"/>
        </w:rPr>
        <w:t>Tři cíle:</w:t>
      </w:r>
    </w:p>
    <w:p w14:paraId="795422D8" w14:textId="77777777" w:rsidR="00EE01FF" w:rsidRPr="00FC3B7C" w:rsidRDefault="00EE01FF" w:rsidP="00EE01FF">
      <w:pPr>
        <w:rPr>
          <w:sz w:val="20"/>
          <w:szCs w:val="20"/>
        </w:rPr>
      </w:pPr>
      <w:r w:rsidRPr="00FC3B7C">
        <w:rPr>
          <w:rFonts w:eastAsia="Times New Roman"/>
          <w:b/>
          <w:bCs/>
          <w:szCs w:val="24"/>
        </w:rPr>
        <w:t>Konvergence</w:t>
      </w:r>
    </w:p>
    <w:p w14:paraId="2BC9BD65" w14:textId="77777777" w:rsidR="00EE01FF" w:rsidRPr="00FC3B7C" w:rsidRDefault="00EE01FF" w:rsidP="00D46B53">
      <w:pPr>
        <w:numPr>
          <w:ilvl w:val="0"/>
          <w:numId w:val="279"/>
        </w:numPr>
        <w:tabs>
          <w:tab w:val="left" w:pos="720"/>
        </w:tabs>
        <w:ind w:left="720" w:hanging="367"/>
        <w:rPr>
          <w:rFonts w:eastAsia="Arial"/>
          <w:szCs w:val="24"/>
        </w:rPr>
      </w:pPr>
      <w:r w:rsidRPr="00FC3B7C">
        <w:rPr>
          <w:rFonts w:eastAsia="Times New Roman"/>
          <w:szCs w:val="24"/>
        </w:rPr>
        <w:t>podpora hospodářského a sociálního rozvoje regionů na úrovni NUTS 2 s hrubým domácím produktem (HDP) na obyvatele nižším než 75 % průměru celou Evropskou unii</w:t>
      </w:r>
    </w:p>
    <w:p w14:paraId="75738828" w14:textId="77777777" w:rsidR="00EE01FF" w:rsidRPr="00FC3B7C" w:rsidRDefault="00EE01FF" w:rsidP="00D46B53">
      <w:pPr>
        <w:numPr>
          <w:ilvl w:val="0"/>
          <w:numId w:val="279"/>
        </w:numPr>
        <w:tabs>
          <w:tab w:val="left" w:pos="720"/>
        </w:tabs>
        <w:ind w:left="720" w:hanging="367"/>
        <w:rPr>
          <w:rFonts w:eastAsia="Arial"/>
          <w:szCs w:val="24"/>
        </w:rPr>
      </w:pPr>
      <w:r w:rsidRPr="00FC3B7C">
        <w:rPr>
          <w:rFonts w:eastAsia="Times New Roman"/>
          <w:szCs w:val="24"/>
        </w:rPr>
        <w:t>dále jsou k čerpání z tohoto cíle způsobilé státy, jejichž hrubý národní důchod (HND) na obyvatele je nižší než 90 % průměru celou EU</w:t>
      </w:r>
    </w:p>
    <w:p w14:paraId="6C3B56C5" w14:textId="77777777" w:rsidR="00EE01FF" w:rsidRPr="00FC3B7C" w:rsidRDefault="00EE01FF" w:rsidP="00D46B53">
      <w:pPr>
        <w:numPr>
          <w:ilvl w:val="0"/>
          <w:numId w:val="279"/>
        </w:numPr>
        <w:tabs>
          <w:tab w:val="left" w:pos="720"/>
        </w:tabs>
        <w:ind w:left="720" w:hanging="367"/>
        <w:rPr>
          <w:rFonts w:eastAsia="Arial"/>
          <w:szCs w:val="24"/>
        </w:rPr>
      </w:pPr>
      <w:r w:rsidRPr="00FC3B7C">
        <w:rPr>
          <w:rFonts w:eastAsia="Times New Roman"/>
          <w:szCs w:val="24"/>
        </w:rPr>
        <w:t>tento cíl je financovaný z ERDF, ESF a FS a v České republice pod něj spadají všechny regiony soudržnosti s výjimkou Hl. m. Prahy</w:t>
      </w:r>
    </w:p>
    <w:p w14:paraId="3B7CC7AA" w14:textId="77777777" w:rsidR="00EE01FF" w:rsidRPr="00FC3B7C" w:rsidRDefault="00EE01FF" w:rsidP="00EE01FF">
      <w:pPr>
        <w:spacing w:line="134" w:lineRule="exact"/>
        <w:rPr>
          <w:sz w:val="20"/>
          <w:szCs w:val="20"/>
        </w:rPr>
      </w:pPr>
    </w:p>
    <w:p w14:paraId="3D04A797" w14:textId="77777777" w:rsidR="00EE01FF" w:rsidRDefault="00EE01FF" w:rsidP="00EE01FF">
      <w:pPr>
        <w:rPr>
          <w:rFonts w:eastAsia="Times New Roman"/>
          <w:b/>
          <w:bCs/>
          <w:szCs w:val="24"/>
        </w:rPr>
      </w:pPr>
    </w:p>
    <w:p w14:paraId="769E15BB" w14:textId="77777777" w:rsidR="00EE01FF" w:rsidRDefault="00EE01FF" w:rsidP="00EE01FF">
      <w:pPr>
        <w:rPr>
          <w:rFonts w:eastAsia="Times New Roman"/>
          <w:b/>
          <w:bCs/>
          <w:szCs w:val="24"/>
        </w:rPr>
      </w:pPr>
    </w:p>
    <w:p w14:paraId="29B4AAE2" w14:textId="77777777" w:rsidR="00EE01FF" w:rsidRDefault="00EE01FF" w:rsidP="00EE01FF">
      <w:pPr>
        <w:rPr>
          <w:rFonts w:eastAsia="Times New Roman"/>
          <w:b/>
          <w:bCs/>
          <w:szCs w:val="24"/>
        </w:rPr>
      </w:pPr>
    </w:p>
    <w:p w14:paraId="130C7500" w14:textId="77777777" w:rsidR="00EE01FF" w:rsidRPr="00FC3B7C" w:rsidRDefault="00EE01FF" w:rsidP="00EE01FF">
      <w:pPr>
        <w:rPr>
          <w:sz w:val="20"/>
          <w:szCs w:val="20"/>
        </w:rPr>
      </w:pPr>
      <w:r w:rsidRPr="00FC3B7C">
        <w:rPr>
          <w:rFonts w:eastAsia="Times New Roman"/>
          <w:b/>
          <w:bCs/>
          <w:szCs w:val="24"/>
        </w:rPr>
        <w:t>Regionální konkurenceschopnost a zaměstnanost</w:t>
      </w:r>
    </w:p>
    <w:p w14:paraId="5FF12CC2" w14:textId="77777777" w:rsidR="00EE01FF" w:rsidRPr="00FC3B7C" w:rsidRDefault="00EE01FF" w:rsidP="00D46B53">
      <w:pPr>
        <w:numPr>
          <w:ilvl w:val="0"/>
          <w:numId w:val="280"/>
        </w:numPr>
        <w:tabs>
          <w:tab w:val="left" w:pos="720"/>
        </w:tabs>
        <w:ind w:left="720" w:hanging="367"/>
        <w:rPr>
          <w:rFonts w:eastAsia="Arial"/>
          <w:szCs w:val="24"/>
        </w:rPr>
      </w:pPr>
      <w:bookmarkStart w:id="300" w:name="page338"/>
      <w:bookmarkEnd w:id="300"/>
      <w:r w:rsidRPr="00FC3B7C">
        <w:rPr>
          <w:rFonts w:eastAsia="Times New Roman"/>
          <w:szCs w:val="24"/>
        </w:rPr>
        <w:t>podpora ekonomických změn v průmyslových, městských a venkovských oblastech</w:t>
      </w:r>
    </w:p>
    <w:p w14:paraId="424EEB50" w14:textId="77777777" w:rsidR="00EE01FF" w:rsidRPr="00FC3B7C" w:rsidRDefault="00EE01FF" w:rsidP="00D46B53">
      <w:pPr>
        <w:numPr>
          <w:ilvl w:val="0"/>
          <w:numId w:val="280"/>
        </w:numPr>
        <w:tabs>
          <w:tab w:val="left" w:pos="720"/>
        </w:tabs>
        <w:ind w:left="720" w:right="20" w:hanging="367"/>
        <w:rPr>
          <w:rFonts w:eastAsia="Arial"/>
          <w:szCs w:val="24"/>
        </w:rPr>
      </w:pPr>
      <w:r w:rsidRPr="00FC3B7C">
        <w:rPr>
          <w:rFonts w:eastAsia="Times New Roman"/>
          <w:szCs w:val="24"/>
        </w:rPr>
        <w:t>podpora regionů na úrovni NUTS 2 nebo NUTS 1, které přesahují limitní ukazatele pro zařazení do cíle Konvergence</w:t>
      </w:r>
    </w:p>
    <w:p w14:paraId="68A637EC" w14:textId="77777777" w:rsidR="00EE01FF" w:rsidRPr="00FC3B7C" w:rsidRDefault="00EE01FF" w:rsidP="00D46B53">
      <w:pPr>
        <w:numPr>
          <w:ilvl w:val="0"/>
          <w:numId w:val="280"/>
        </w:numPr>
        <w:tabs>
          <w:tab w:val="left" w:pos="720"/>
        </w:tabs>
        <w:ind w:left="720" w:hanging="367"/>
        <w:rPr>
          <w:rFonts w:eastAsia="Arial"/>
          <w:szCs w:val="24"/>
        </w:rPr>
      </w:pPr>
      <w:r w:rsidRPr="00FC3B7C">
        <w:rPr>
          <w:rFonts w:eastAsia="Times New Roman"/>
          <w:szCs w:val="24"/>
        </w:rPr>
        <w:t>tento cíl je financovaný z ERDF a ESF a v České republice pod něj spadá Hl. m. Praha</w:t>
      </w:r>
    </w:p>
    <w:p w14:paraId="4BBC4D19" w14:textId="77777777" w:rsidR="00EE01FF" w:rsidRPr="00FC3B7C" w:rsidRDefault="00EE01FF" w:rsidP="00EE01FF">
      <w:pPr>
        <w:rPr>
          <w:sz w:val="20"/>
          <w:szCs w:val="20"/>
        </w:rPr>
      </w:pPr>
    </w:p>
    <w:p w14:paraId="11E6954C" w14:textId="77777777" w:rsidR="00EE01FF" w:rsidRPr="00FC3B7C" w:rsidRDefault="00EE01FF" w:rsidP="00EE01FF">
      <w:pPr>
        <w:rPr>
          <w:sz w:val="20"/>
          <w:szCs w:val="20"/>
        </w:rPr>
      </w:pPr>
      <w:r w:rsidRPr="00FC3B7C">
        <w:rPr>
          <w:rFonts w:eastAsia="Times New Roman"/>
          <w:b/>
          <w:bCs/>
          <w:szCs w:val="24"/>
        </w:rPr>
        <w:t>Evropská územní spolupráce</w:t>
      </w:r>
    </w:p>
    <w:p w14:paraId="55FA3696" w14:textId="77777777" w:rsidR="00EE01FF" w:rsidRPr="00FC3B7C" w:rsidRDefault="00EE01FF" w:rsidP="00D46B53">
      <w:pPr>
        <w:numPr>
          <w:ilvl w:val="0"/>
          <w:numId w:val="281"/>
        </w:numPr>
        <w:tabs>
          <w:tab w:val="left" w:pos="720"/>
        </w:tabs>
        <w:ind w:left="720" w:right="20" w:hanging="367"/>
        <w:rPr>
          <w:rFonts w:eastAsia="Arial"/>
          <w:szCs w:val="24"/>
        </w:rPr>
      </w:pPr>
      <w:r w:rsidRPr="00FC3B7C">
        <w:rPr>
          <w:rFonts w:eastAsia="Times New Roman"/>
          <w:szCs w:val="24"/>
        </w:rPr>
        <w:lastRenderedPageBreak/>
        <w:t>cílem je podporovat přeshraniční spolupráci (mezi zeměmi nebo regiony), k níž by bez pomoci poskytované v rámci politiky soudržnosti nedošlo</w:t>
      </w:r>
    </w:p>
    <w:p w14:paraId="7B0CF83F" w14:textId="77777777" w:rsidR="00EE01FF" w:rsidRPr="00FC3B7C" w:rsidRDefault="00EE01FF" w:rsidP="00D46B53">
      <w:pPr>
        <w:numPr>
          <w:ilvl w:val="0"/>
          <w:numId w:val="281"/>
        </w:numPr>
        <w:tabs>
          <w:tab w:val="left" w:pos="720"/>
        </w:tabs>
        <w:ind w:left="720" w:right="20" w:hanging="367"/>
        <w:rPr>
          <w:rFonts w:eastAsia="Arial"/>
          <w:szCs w:val="24"/>
        </w:rPr>
      </w:pPr>
      <w:r w:rsidRPr="00FC3B7C">
        <w:rPr>
          <w:rFonts w:eastAsia="Times New Roman"/>
          <w:szCs w:val="24"/>
        </w:rPr>
        <w:t>ve finančním vyjádření jsou dotyčné částky v porovnání s ostatními dvěma cíli zanedbatelné</w:t>
      </w:r>
    </w:p>
    <w:p w14:paraId="3B9C8E56" w14:textId="77777777" w:rsidR="00EE01FF" w:rsidRPr="00FC3B7C" w:rsidRDefault="00EE01FF" w:rsidP="00EE01FF">
      <w:pPr>
        <w:spacing w:line="20" w:lineRule="exact"/>
        <w:rPr>
          <w:sz w:val="20"/>
          <w:szCs w:val="20"/>
        </w:rPr>
      </w:pPr>
      <w:r w:rsidRPr="00FC3B7C">
        <w:rPr>
          <w:noProof/>
          <w:sz w:val="20"/>
          <w:szCs w:val="20"/>
        </w:rPr>
        <w:drawing>
          <wp:anchor distT="0" distB="0" distL="114300" distR="114300" simplePos="0" relativeHeight="251809280" behindDoc="1" locked="0" layoutInCell="0" allowOverlap="1" wp14:anchorId="433DA822" wp14:editId="46E47D67">
            <wp:simplePos x="0" y="0"/>
            <wp:positionH relativeFrom="column">
              <wp:posOffset>-1905</wp:posOffset>
            </wp:positionH>
            <wp:positionV relativeFrom="paragraph">
              <wp:posOffset>98425</wp:posOffset>
            </wp:positionV>
            <wp:extent cx="6077585" cy="2243455"/>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9"/>
                    <a:srcRect/>
                    <a:stretch>
                      <a:fillRect/>
                    </a:stretch>
                  </pic:blipFill>
                  <pic:spPr bwMode="auto">
                    <a:xfrm>
                      <a:off x="0" y="0"/>
                      <a:ext cx="6077585" cy="2243455"/>
                    </a:xfrm>
                    <a:prstGeom prst="rect">
                      <a:avLst/>
                    </a:prstGeom>
                    <a:noFill/>
                  </pic:spPr>
                </pic:pic>
              </a:graphicData>
            </a:graphic>
          </wp:anchor>
        </w:drawing>
      </w:r>
    </w:p>
    <w:p w14:paraId="000D400E" w14:textId="77777777" w:rsidR="00EE01FF" w:rsidRPr="00FC3B7C" w:rsidRDefault="00EE01FF" w:rsidP="00EE01FF">
      <w:pPr>
        <w:spacing w:line="200" w:lineRule="exact"/>
        <w:rPr>
          <w:sz w:val="20"/>
          <w:szCs w:val="20"/>
        </w:rPr>
      </w:pPr>
    </w:p>
    <w:p w14:paraId="175EFF27" w14:textId="77777777" w:rsidR="00EE01FF" w:rsidRPr="00FC3B7C" w:rsidRDefault="00EE01FF" w:rsidP="00EE01FF">
      <w:pPr>
        <w:spacing w:line="200" w:lineRule="exact"/>
        <w:rPr>
          <w:sz w:val="20"/>
          <w:szCs w:val="20"/>
        </w:rPr>
      </w:pPr>
    </w:p>
    <w:p w14:paraId="326F3923" w14:textId="77777777" w:rsidR="00EE01FF" w:rsidRPr="00FC3B7C" w:rsidRDefault="00EE01FF" w:rsidP="00EE01FF">
      <w:pPr>
        <w:spacing w:line="200" w:lineRule="exact"/>
        <w:rPr>
          <w:sz w:val="20"/>
          <w:szCs w:val="20"/>
        </w:rPr>
      </w:pPr>
    </w:p>
    <w:p w14:paraId="6FEFBD29" w14:textId="77777777" w:rsidR="00EE01FF" w:rsidRPr="00FC3B7C" w:rsidRDefault="00EE01FF" w:rsidP="00EE01FF">
      <w:pPr>
        <w:spacing w:line="200" w:lineRule="exact"/>
        <w:rPr>
          <w:sz w:val="20"/>
          <w:szCs w:val="20"/>
        </w:rPr>
      </w:pPr>
    </w:p>
    <w:p w14:paraId="5B38C687" w14:textId="77777777" w:rsidR="00EE01FF" w:rsidRPr="00FC3B7C" w:rsidRDefault="00EE01FF" w:rsidP="00EE01FF">
      <w:pPr>
        <w:spacing w:line="200" w:lineRule="exact"/>
        <w:rPr>
          <w:sz w:val="20"/>
          <w:szCs w:val="20"/>
        </w:rPr>
      </w:pPr>
    </w:p>
    <w:p w14:paraId="2C2513F8" w14:textId="77777777" w:rsidR="00EE01FF" w:rsidRPr="00FC3B7C" w:rsidRDefault="00EE01FF" w:rsidP="00EE01FF">
      <w:pPr>
        <w:spacing w:line="200" w:lineRule="exact"/>
        <w:rPr>
          <w:sz w:val="20"/>
          <w:szCs w:val="20"/>
        </w:rPr>
      </w:pPr>
    </w:p>
    <w:p w14:paraId="257BCC4A" w14:textId="77777777" w:rsidR="00EE01FF" w:rsidRPr="00FC3B7C" w:rsidRDefault="00EE01FF" w:rsidP="00EE01FF">
      <w:pPr>
        <w:spacing w:line="200" w:lineRule="exact"/>
        <w:rPr>
          <w:sz w:val="20"/>
          <w:szCs w:val="20"/>
        </w:rPr>
      </w:pPr>
    </w:p>
    <w:p w14:paraId="1958F965" w14:textId="77777777" w:rsidR="00EE01FF" w:rsidRPr="00FC3B7C" w:rsidRDefault="00EE01FF" w:rsidP="00EE01FF">
      <w:pPr>
        <w:spacing w:line="200" w:lineRule="exact"/>
        <w:rPr>
          <w:sz w:val="20"/>
          <w:szCs w:val="20"/>
        </w:rPr>
      </w:pPr>
    </w:p>
    <w:p w14:paraId="05644840" w14:textId="77777777" w:rsidR="00EE01FF" w:rsidRPr="00FC3B7C" w:rsidRDefault="00EE01FF" w:rsidP="00EE01FF">
      <w:pPr>
        <w:spacing w:line="200" w:lineRule="exact"/>
        <w:rPr>
          <w:sz w:val="20"/>
          <w:szCs w:val="20"/>
        </w:rPr>
      </w:pPr>
    </w:p>
    <w:p w14:paraId="73346755" w14:textId="77777777" w:rsidR="00EE01FF" w:rsidRPr="00FC3B7C" w:rsidRDefault="00EE01FF" w:rsidP="00EE01FF">
      <w:pPr>
        <w:spacing w:line="200" w:lineRule="exact"/>
        <w:rPr>
          <w:sz w:val="20"/>
          <w:szCs w:val="20"/>
        </w:rPr>
      </w:pPr>
    </w:p>
    <w:p w14:paraId="3C6D2EE6" w14:textId="77777777" w:rsidR="00EE01FF" w:rsidRPr="00FC3B7C" w:rsidRDefault="00EE01FF" w:rsidP="00EE01FF">
      <w:pPr>
        <w:spacing w:line="200" w:lineRule="exact"/>
        <w:rPr>
          <w:sz w:val="20"/>
          <w:szCs w:val="20"/>
        </w:rPr>
      </w:pPr>
    </w:p>
    <w:p w14:paraId="43AD13AF" w14:textId="77777777" w:rsidR="00EE01FF" w:rsidRPr="00FC3B7C" w:rsidRDefault="00EE01FF" w:rsidP="00EE01FF">
      <w:pPr>
        <w:spacing w:line="200" w:lineRule="exact"/>
        <w:rPr>
          <w:sz w:val="20"/>
          <w:szCs w:val="20"/>
        </w:rPr>
      </w:pPr>
    </w:p>
    <w:p w14:paraId="61D8EA27" w14:textId="77777777" w:rsidR="00EE01FF" w:rsidRPr="00FC3B7C" w:rsidRDefault="00EE01FF" w:rsidP="00EE01FF">
      <w:pPr>
        <w:spacing w:line="200" w:lineRule="exact"/>
        <w:rPr>
          <w:sz w:val="20"/>
          <w:szCs w:val="20"/>
        </w:rPr>
      </w:pPr>
    </w:p>
    <w:p w14:paraId="599BC23E" w14:textId="77777777" w:rsidR="00EE01FF" w:rsidRPr="00FC3B7C" w:rsidRDefault="00EE01FF" w:rsidP="00EE01FF">
      <w:pPr>
        <w:spacing w:line="200" w:lineRule="exact"/>
        <w:rPr>
          <w:sz w:val="20"/>
          <w:szCs w:val="20"/>
        </w:rPr>
      </w:pPr>
    </w:p>
    <w:p w14:paraId="4777A9D4" w14:textId="77777777" w:rsidR="00EE01FF" w:rsidRPr="00FC3B7C" w:rsidRDefault="00EE01FF" w:rsidP="00EE01FF">
      <w:pPr>
        <w:spacing w:line="200" w:lineRule="exact"/>
        <w:rPr>
          <w:sz w:val="20"/>
          <w:szCs w:val="20"/>
        </w:rPr>
      </w:pPr>
    </w:p>
    <w:p w14:paraId="54BAF3AB" w14:textId="77777777" w:rsidR="00EE01FF" w:rsidRPr="00FC3B7C" w:rsidRDefault="00EE01FF" w:rsidP="00EE01FF">
      <w:pPr>
        <w:spacing w:line="200" w:lineRule="exact"/>
        <w:rPr>
          <w:sz w:val="20"/>
          <w:szCs w:val="20"/>
        </w:rPr>
      </w:pPr>
    </w:p>
    <w:p w14:paraId="2322D62B" w14:textId="77777777" w:rsidR="00EE01FF" w:rsidRPr="00FC3B7C" w:rsidRDefault="00EE01FF" w:rsidP="00EE01FF">
      <w:pPr>
        <w:spacing w:line="200" w:lineRule="exact"/>
        <w:rPr>
          <w:sz w:val="20"/>
          <w:szCs w:val="20"/>
        </w:rPr>
      </w:pPr>
    </w:p>
    <w:p w14:paraId="0A7EEA72" w14:textId="77777777" w:rsidR="00EE01FF" w:rsidRPr="00FC3B7C" w:rsidRDefault="00EE01FF" w:rsidP="00EE01FF">
      <w:pPr>
        <w:spacing w:line="200" w:lineRule="exact"/>
        <w:rPr>
          <w:sz w:val="20"/>
          <w:szCs w:val="20"/>
        </w:rPr>
      </w:pPr>
    </w:p>
    <w:p w14:paraId="41F4BB15" w14:textId="77777777" w:rsidR="00EE01FF" w:rsidRPr="00FC3B7C" w:rsidRDefault="00EE01FF" w:rsidP="00EE01FF">
      <w:pPr>
        <w:spacing w:line="397" w:lineRule="exact"/>
        <w:rPr>
          <w:sz w:val="20"/>
          <w:szCs w:val="20"/>
        </w:rPr>
      </w:pPr>
    </w:p>
    <w:p w14:paraId="64B9D9C9" w14:textId="77777777" w:rsidR="00EE01FF" w:rsidRPr="00EE01FF" w:rsidRDefault="00EE01FF" w:rsidP="00EE01FF">
      <w:pPr>
        <w:pStyle w:val="Nadpis3"/>
        <w:rPr>
          <w:color w:val="1F3864" w:themeColor="accent1" w:themeShade="80"/>
          <w:sz w:val="20"/>
          <w:szCs w:val="20"/>
        </w:rPr>
      </w:pPr>
      <w:r>
        <w:rPr>
          <w:rFonts w:eastAsia="Times New Roman"/>
          <w:color w:val="1F3864" w:themeColor="accent1" w:themeShade="80"/>
        </w:rPr>
        <w:t xml:space="preserve"> </w:t>
      </w:r>
      <w:r w:rsidRPr="00EE01FF">
        <w:rPr>
          <w:rFonts w:eastAsia="Times New Roman"/>
          <w:color w:val="1F3864" w:themeColor="accent1" w:themeShade="80"/>
        </w:rPr>
        <w:t>Programové období 2014 – 2020</w:t>
      </w:r>
    </w:p>
    <w:p w14:paraId="48E4E6F6" w14:textId="77777777" w:rsidR="00EE01FF" w:rsidRPr="00FC3B7C" w:rsidRDefault="00EE01FF" w:rsidP="00EE01FF">
      <w:pPr>
        <w:spacing w:line="208" w:lineRule="exact"/>
        <w:rPr>
          <w:sz w:val="20"/>
          <w:szCs w:val="20"/>
        </w:rPr>
      </w:pPr>
    </w:p>
    <w:p w14:paraId="107D3746" w14:textId="77777777" w:rsidR="00EE01FF" w:rsidRPr="00FC3B7C" w:rsidRDefault="00EE01FF" w:rsidP="00EE01FF">
      <w:pPr>
        <w:rPr>
          <w:sz w:val="20"/>
          <w:szCs w:val="20"/>
        </w:rPr>
      </w:pPr>
      <w:r w:rsidRPr="00FC3B7C">
        <w:rPr>
          <w:rFonts w:eastAsia="Times New Roman"/>
          <w:szCs w:val="24"/>
        </w:rPr>
        <w:t xml:space="preserve">Strategie pro hospodářský růst a zaměstnanost, rozpočet 352 mld. eur, </w:t>
      </w:r>
      <w:r w:rsidRPr="00FC3B7C">
        <w:rPr>
          <w:rFonts w:eastAsia="Times New Roman"/>
          <w:b/>
          <w:bCs/>
          <w:szCs w:val="24"/>
        </w:rPr>
        <w:t>5 cílů,</w:t>
      </w:r>
      <w:r w:rsidRPr="00FC3B7C">
        <w:rPr>
          <w:rFonts w:eastAsia="Times New Roman"/>
          <w:szCs w:val="24"/>
        </w:rPr>
        <w:t xml:space="preserve"> 3 priority, 7 stěžejních iniciativ:</w:t>
      </w:r>
    </w:p>
    <w:p w14:paraId="2EBE2BFB" w14:textId="1A250FD8" w:rsidR="00EE01FF" w:rsidRPr="00FC3B7C" w:rsidRDefault="00EE01FF" w:rsidP="00EE01FF">
      <w:pPr>
        <w:ind w:left="1200"/>
        <w:rPr>
          <w:sz w:val="20"/>
          <w:szCs w:val="20"/>
        </w:rPr>
      </w:pPr>
      <w:r w:rsidRPr="00FC3B7C">
        <w:rPr>
          <w:rFonts w:eastAsia="Arial"/>
          <w:szCs w:val="24"/>
        </w:rPr>
        <w:t>–</w:t>
      </w:r>
      <w:r w:rsidR="003376E1">
        <w:rPr>
          <w:rFonts w:eastAsia="Arial"/>
          <w:szCs w:val="24"/>
        </w:rPr>
        <w:t xml:space="preserve"> </w:t>
      </w:r>
      <w:r w:rsidRPr="00FC3B7C">
        <w:rPr>
          <w:rFonts w:eastAsia="Times New Roman"/>
          <w:szCs w:val="24"/>
        </w:rPr>
        <w:t>75 % obyvatelstva ve věku od 20 do 64 let by mělo být zaměstnáno</w:t>
      </w:r>
    </w:p>
    <w:p w14:paraId="50AA14D3" w14:textId="42360793" w:rsidR="00EE01FF" w:rsidRPr="00FC3B7C" w:rsidRDefault="00EE01FF" w:rsidP="00EE01FF">
      <w:pPr>
        <w:ind w:left="1200"/>
        <w:rPr>
          <w:sz w:val="20"/>
          <w:szCs w:val="20"/>
        </w:rPr>
      </w:pPr>
      <w:r w:rsidRPr="00FC3B7C">
        <w:rPr>
          <w:rFonts w:eastAsia="Arial"/>
          <w:szCs w:val="24"/>
        </w:rPr>
        <w:t>–</w:t>
      </w:r>
      <w:r w:rsidR="003376E1">
        <w:rPr>
          <w:rFonts w:eastAsia="Arial"/>
          <w:szCs w:val="24"/>
        </w:rPr>
        <w:t xml:space="preserve"> </w:t>
      </w:r>
      <w:r w:rsidRPr="00FC3B7C">
        <w:rPr>
          <w:rFonts w:eastAsia="Times New Roman"/>
          <w:szCs w:val="24"/>
        </w:rPr>
        <w:t>3 % HDP Evropské unie by měla být investována do výzkumu a vývoje</w:t>
      </w:r>
    </w:p>
    <w:p w14:paraId="27EDB7EC" w14:textId="77777777" w:rsidR="00EE01FF" w:rsidRPr="00FC3B7C" w:rsidRDefault="00EE01FF" w:rsidP="00EE01FF">
      <w:pPr>
        <w:ind w:left="1560" w:hanging="360"/>
        <w:rPr>
          <w:sz w:val="20"/>
          <w:szCs w:val="20"/>
        </w:rPr>
      </w:pPr>
      <w:r w:rsidRPr="00FC3B7C">
        <w:rPr>
          <w:rFonts w:eastAsia="Arial"/>
          <w:szCs w:val="24"/>
        </w:rPr>
        <w:t xml:space="preserve">– </w:t>
      </w:r>
      <w:r w:rsidRPr="00FC3B7C">
        <w:rPr>
          <w:rFonts w:eastAsia="Times New Roman"/>
          <w:szCs w:val="24"/>
        </w:rPr>
        <w:t>v oblasti klimatu a energie by mělo být dosaženo cílů</w:t>
      </w:r>
      <w:r w:rsidRPr="00FC3B7C">
        <w:rPr>
          <w:rFonts w:eastAsia="Arial"/>
          <w:szCs w:val="24"/>
        </w:rPr>
        <w:t xml:space="preserve"> </w:t>
      </w:r>
      <w:r w:rsidRPr="00FC3B7C">
        <w:rPr>
          <w:rFonts w:eastAsia="Times New Roman"/>
          <w:szCs w:val="24"/>
        </w:rPr>
        <w:t>„20-20-20“ (včetně</w:t>
      </w:r>
      <w:r w:rsidRPr="00FC3B7C">
        <w:rPr>
          <w:rFonts w:eastAsia="Arial"/>
          <w:szCs w:val="24"/>
        </w:rPr>
        <w:t xml:space="preserve"> </w:t>
      </w:r>
      <w:r w:rsidRPr="00FC3B7C">
        <w:rPr>
          <w:rFonts w:eastAsia="Times New Roman"/>
          <w:szCs w:val="24"/>
        </w:rPr>
        <w:t>zvýšení závazku na snížení emisí na 30 %, pokud budou podmínky příznivé)</w:t>
      </w:r>
    </w:p>
    <w:p w14:paraId="65B5A755" w14:textId="4A649EF1" w:rsidR="00EE01FF" w:rsidRPr="00FC3B7C" w:rsidRDefault="00EE01FF" w:rsidP="00EE01FF">
      <w:pPr>
        <w:ind w:left="1134" w:firstLine="66"/>
        <w:jc w:val="right"/>
        <w:rPr>
          <w:sz w:val="20"/>
          <w:szCs w:val="20"/>
        </w:rPr>
      </w:pPr>
      <w:r w:rsidRPr="00FC3B7C">
        <w:rPr>
          <w:rFonts w:eastAsia="Arial"/>
          <w:szCs w:val="24"/>
        </w:rPr>
        <w:t>–</w:t>
      </w:r>
      <w:r w:rsidR="003376E1">
        <w:rPr>
          <w:rFonts w:eastAsia="Arial"/>
          <w:szCs w:val="24"/>
        </w:rPr>
        <w:t xml:space="preserve"> </w:t>
      </w:r>
      <w:r w:rsidRPr="00FC3B7C">
        <w:rPr>
          <w:rFonts w:eastAsia="Times New Roman"/>
          <w:szCs w:val="24"/>
        </w:rPr>
        <w:t>podíl dětí, které předčasně</w:t>
      </w:r>
      <w:r w:rsidRPr="00FC3B7C">
        <w:rPr>
          <w:rFonts w:eastAsia="Arial"/>
          <w:szCs w:val="24"/>
        </w:rPr>
        <w:t xml:space="preserve"> </w:t>
      </w:r>
      <w:r w:rsidRPr="00FC3B7C">
        <w:rPr>
          <w:rFonts w:eastAsia="Times New Roman"/>
          <w:szCs w:val="24"/>
        </w:rPr>
        <w:t>ukončí</w:t>
      </w:r>
      <w:r w:rsidRPr="00FC3B7C">
        <w:rPr>
          <w:rFonts w:eastAsia="Arial"/>
          <w:szCs w:val="24"/>
        </w:rPr>
        <w:t xml:space="preserve"> </w:t>
      </w:r>
      <w:r w:rsidRPr="00FC3B7C">
        <w:rPr>
          <w:rFonts w:eastAsia="Times New Roman"/>
          <w:szCs w:val="24"/>
        </w:rPr>
        <w:t>školní docházku, by měl být pod hranicí 10</w:t>
      </w:r>
      <w:r w:rsidRPr="00FC3B7C">
        <w:rPr>
          <w:rFonts w:eastAsia="Arial"/>
          <w:szCs w:val="24"/>
        </w:rPr>
        <w:t xml:space="preserve"> </w:t>
      </w:r>
      <w:r w:rsidRPr="00FC3B7C">
        <w:rPr>
          <w:rFonts w:eastAsia="Times New Roman"/>
          <w:szCs w:val="24"/>
        </w:rPr>
        <w:t xml:space="preserve">% a nejméně 40 % mladší generace by mělo dosáhnout terciární </w:t>
      </w:r>
      <w:r w:rsidR="00847363" w:rsidRPr="00FC3B7C">
        <w:rPr>
          <w:rFonts w:eastAsia="Times New Roman"/>
          <w:szCs w:val="24"/>
        </w:rPr>
        <w:t>úrovně vzdělání</w:t>
      </w:r>
    </w:p>
    <w:p w14:paraId="04E1567A" w14:textId="199C7D71" w:rsidR="00EE01FF" w:rsidRPr="00FC3B7C" w:rsidRDefault="00EE01FF" w:rsidP="00EE01FF">
      <w:pPr>
        <w:ind w:left="1200"/>
        <w:rPr>
          <w:sz w:val="20"/>
          <w:szCs w:val="20"/>
        </w:rPr>
      </w:pPr>
      <w:r w:rsidRPr="00FC3B7C">
        <w:rPr>
          <w:rFonts w:eastAsia="Arial"/>
          <w:szCs w:val="24"/>
        </w:rPr>
        <w:t>–</w:t>
      </w:r>
      <w:r w:rsidR="003376E1">
        <w:rPr>
          <w:rFonts w:eastAsia="Arial"/>
          <w:szCs w:val="24"/>
        </w:rPr>
        <w:t xml:space="preserve"> </w:t>
      </w:r>
      <w:r w:rsidRPr="00FC3B7C">
        <w:rPr>
          <w:rFonts w:eastAsia="Times New Roman"/>
          <w:szCs w:val="24"/>
        </w:rPr>
        <w:t>počet osob ohrožených chudobou by měl klesnout o 20 milionů.</w:t>
      </w:r>
    </w:p>
    <w:p w14:paraId="53BF3DB1" w14:textId="77777777" w:rsidR="00EE01FF" w:rsidRDefault="00EE01FF" w:rsidP="00EE01FF">
      <w:pPr>
        <w:rPr>
          <w:rFonts w:eastAsia="Times New Roman"/>
          <w:b/>
          <w:bCs/>
          <w:szCs w:val="24"/>
        </w:rPr>
      </w:pPr>
      <w:bookmarkStart w:id="301" w:name="page339"/>
      <w:bookmarkEnd w:id="301"/>
    </w:p>
    <w:p w14:paraId="6AAE920E" w14:textId="77777777" w:rsidR="00EE01FF" w:rsidRDefault="00EE01FF" w:rsidP="00EE01FF">
      <w:pPr>
        <w:rPr>
          <w:rFonts w:eastAsia="Times New Roman"/>
          <w:b/>
          <w:bCs/>
          <w:szCs w:val="24"/>
        </w:rPr>
      </w:pPr>
    </w:p>
    <w:p w14:paraId="46260C5C" w14:textId="77777777" w:rsidR="00EE01FF" w:rsidRPr="00FC3B7C" w:rsidRDefault="00EE01FF" w:rsidP="00EE01FF">
      <w:pPr>
        <w:rPr>
          <w:sz w:val="20"/>
          <w:szCs w:val="20"/>
        </w:rPr>
      </w:pPr>
      <w:r w:rsidRPr="00FC3B7C">
        <w:rPr>
          <w:rFonts w:eastAsia="Times New Roman"/>
          <w:b/>
          <w:bCs/>
          <w:szCs w:val="24"/>
        </w:rPr>
        <w:t>Iniciativy:</w:t>
      </w:r>
    </w:p>
    <w:p w14:paraId="3CB50721" w14:textId="77777777" w:rsidR="00EE01FF" w:rsidRPr="00FC3B7C" w:rsidRDefault="00EE01FF" w:rsidP="00EE01FF">
      <w:pPr>
        <w:spacing w:line="151" w:lineRule="exact"/>
        <w:rPr>
          <w:sz w:val="20"/>
          <w:szCs w:val="20"/>
        </w:rPr>
      </w:pPr>
    </w:p>
    <w:p w14:paraId="07DF5170" w14:textId="77777777" w:rsidR="00EE01FF" w:rsidRPr="00FC3B7C" w:rsidRDefault="00EE01FF" w:rsidP="00D46B53">
      <w:pPr>
        <w:numPr>
          <w:ilvl w:val="0"/>
          <w:numId w:val="282"/>
        </w:numPr>
        <w:tabs>
          <w:tab w:val="left" w:pos="980"/>
        </w:tabs>
        <w:ind w:left="980" w:hanging="353"/>
        <w:rPr>
          <w:rFonts w:eastAsia="Arial"/>
          <w:szCs w:val="24"/>
        </w:rPr>
      </w:pPr>
      <w:r w:rsidRPr="00FC3B7C">
        <w:rPr>
          <w:rFonts w:eastAsia="Times New Roman"/>
          <w:b/>
          <w:bCs/>
          <w:szCs w:val="24"/>
        </w:rPr>
        <w:t>Inteligentní růst</w:t>
      </w:r>
    </w:p>
    <w:p w14:paraId="1D43DE00" w14:textId="77777777" w:rsidR="00EE01FF" w:rsidRPr="00FC3B7C" w:rsidRDefault="00EE01FF" w:rsidP="00EE01FF">
      <w:pPr>
        <w:ind w:left="1700" w:hanging="360"/>
        <w:rPr>
          <w:rFonts w:eastAsia="Arial"/>
          <w:szCs w:val="24"/>
        </w:rPr>
      </w:pPr>
      <w:r w:rsidRPr="00FC3B7C">
        <w:rPr>
          <w:rFonts w:eastAsia="Arial"/>
          <w:szCs w:val="24"/>
        </w:rPr>
        <w:t xml:space="preserve">– </w:t>
      </w:r>
      <w:r w:rsidRPr="00FC3B7C">
        <w:rPr>
          <w:rFonts w:eastAsia="Times New Roman"/>
          <w:szCs w:val="24"/>
        </w:rPr>
        <w:t>„Inovace v Unii“ – zlepšení rámcových podmínek a přístupu k financování</w:t>
      </w:r>
      <w:r w:rsidRPr="00FC3B7C">
        <w:rPr>
          <w:rFonts w:eastAsia="Arial"/>
          <w:szCs w:val="24"/>
        </w:rPr>
        <w:t xml:space="preserve"> </w:t>
      </w:r>
      <w:r w:rsidRPr="00FC3B7C">
        <w:rPr>
          <w:rFonts w:eastAsia="Times New Roman"/>
          <w:szCs w:val="24"/>
        </w:rPr>
        <w:t>výzkumu a inovací, čímž by se zajistilo, aby se z inovativních nápadů staly výrobky a služby vytvářející růst a pracovní místa.</w:t>
      </w:r>
    </w:p>
    <w:p w14:paraId="4FA87533" w14:textId="77777777" w:rsidR="00EE01FF" w:rsidRPr="00FC3B7C" w:rsidRDefault="00EE01FF" w:rsidP="00EE01FF">
      <w:pPr>
        <w:ind w:left="1700" w:hanging="360"/>
        <w:rPr>
          <w:rFonts w:eastAsia="Arial"/>
          <w:szCs w:val="24"/>
        </w:rPr>
      </w:pPr>
      <w:r w:rsidRPr="00FC3B7C">
        <w:rPr>
          <w:rFonts w:eastAsia="Arial"/>
          <w:szCs w:val="24"/>
        </w:rPr>
        <w:t xml:space="preserve">– </w:t>
      </w:r>
      <w:r w:rsidRPr="00FC3B7C">
        <w:rPr>
          <w:rFonts w:eastAsia="Times New Roman"/>
          <w:szCs w:val="24"/>
        </w:rPr>
        <w:t>„Mládež</w:t>
      </w:r>
      <w:r w:rsidRPr="00FC3B7C">
        <w:rPr>
          <w:rFonts w:eastAsia="Arial"/>
          <w:szCs w:val="24"/>
        </w:rPr>
        <w:t xml:space="preserve"> </w:t>
      </w:r>
      <w:r w:rsidRPr="00FC3B7C">
        <w:rPr>
          <w:rFonts w:eastAsia="Times New Roman"/>
          <w:szCs w:val="24"/>
        </w:rPr>
        <w:t>v pohybu“ – posílení výkonu systémů</w:t>
      </w:r>
      <w:r w:rsidRPr="00FC3B7C">
        <w:rPr>
          <w:rFonts w:eastAsia="Arial"/>
          <w:szCs w:val="24"/>
        </w:rPr>
        <w:t xml:space="preserve"> </w:t>
      </w:r>
      <w:r w:rsidRPr="00FC3B7C">
        <w:rPr>
          <w:rFonts w:eastAsia="Times New Roman"/>
          <w:szCs w:val="24"/>
        </w:rPr>
        <w:t>vzdělávání a usnadnění</w:t>
      </w:r>
      <w:r w:rsidRPr="00FC3B7C">
        <w:rPr>
          <w:rFonts w:eastAsia="Arial"/>
          <w:szCs w:val="24"/>
        </w:rPr>
        <w:t xml:space="preserve"> </w:t>
      </w:r>
      <w:r w:rsidRPr="00FC3B7C">
        <w:rPr>
          <w:rFonts w:eastAsia="Times New Roman"/>
          <w:szCs w:val="24"/>
        </w:rPr>
        <w:t>vstupu mladých lidí na pracovní trh.</w:t>
      </w:r>
    </w:p>
    <w:p w14:paraId="0CA4FF25" w14:textId="77777777" w:rsidR="00EE01FF" w:rsidRPr="00FC3B7C" w:rsidRDefault="00EE01FF" w:rsidP="00EE01FF">
      <w:pPr>
        <w:ind w:left="1700" w:hanging="360"/>
        <w:rPr>
          <w:rFonts w:eastAsia="Arial"/>
          <w:szCs w:val="24"/>
        </w:rPr>
      </w:pPr>
      <w:r w:rsidRPr="00FC3B7C">
        <w:rPr>
          <w:rFonts w:eastAsia="Arial"/>
          <w:szCs w:val="24"/>
        </w:rPr>
        <w:lastRenderedPageBreak/>
        <w:t xml:space="preserve">– </w:t>
      </w:r>
      <w:r w:rsidRPr="00FC3B7C">
        <w:rPr>
          <w:rFonts w:eastAsia="Times New Roman"/>
          <w:szCs w:val="24"/>
        </w:rPr>
        <w:t>„Digitální program pro Evropu“ – urychlení rozvoje vysokorychlostního</w:t>
      </w:r>
      <w:r w:rsidRPr="00FC3B7C">
        <w:rPr>
          <w:rFonts w:eastAsia="Arial"/>
          <w:szCs w:val="24"/>
        </w:rPr>
        <w:t xml:space="preserve"> </w:t>
      </w:r>
      <w:r w:rsidRPr="00FC3B7C">
        <w:rPr>
          <w:rFonts w:eastAsia="Times New Roman"/>
          <w:szCs w:val="24"/>
        </w:rPr>
        <w:t>internetu a využití jednotného digitálního trhu domácnostmi a podniky.</w:t>
      </w:r>
    </w:p>
    <w:p w14:paraId="30DCEB36" w14:textId="77777777" w:rsidR="00EE01FF" w:rsidRPr="00FC3B7C" w:rsidRDefault="00EE01FF" w:rsidP="00D46B53">
      <w:pPr>
        <w:numPr>
          <w:ilvl w:val="0"/>
          <w:numId w:val="282"/>
        </w:numPr>
        <w:tabs>
          <w:tab w:val="left" w:pos="980"/>
        </w:tabs>
        <w:ind w:left="980" w:hanging="353"/>
        <w:rPr>
          <w:rFonts w:eastAsia="Arial"/>
          <w:szCs w:val="24"/>
        </w:rPr>
      </w:pPr>
      <w:r w:rsidRPr="00FC3B7C">
        <w:rPr>
          <w:rFonts w:eastAsia="Times New Roman"/>
          <w:b/>
          <w:bCs/>
          <w:szCs w:val="24"/>
        </w:rPr>
        <w:t>Udržitelný růst</w:t>
      </w:r>
    </w:p>
    <w:p w14:paraId="26383602" w14:textId="77777777" w:rsidR="00EE01FF" w:rsidRPr="00FC3B7C" w:rsidRDefault="00EE01FF" w:rsidP="00EE01FF">
      <w:pPr>
        <w:ind w:left="1700" w:hanging="360"/>
        <w:rPr>
          <w:rFonts w:eastAsia="Arial"/>
          <w:szCs w:val="24"/>
        </w:rPr>
      </w:pPr>
      <w:r w:rsidRPr="00FC3B7C">
        <w:rPr>
          <w:rFonts w:eastAsia="Arial"/>
          <w:szCs w:val="24"/>
        </w:rPr>
        <w:t xml:space="preserve">– </w:t>
      </w:r>
      <w:r w:rsidRPr="00FC3B7C">
        <w:rPr>
          <w:rFonts w:eastAsia="Times New Roman"/>
          <w:szCs w:val="24"/>
        </w:rPr>
        <w:t>„Evropa méně</w:t>
      </w:r>
      <w:r w:rsidRPr="00FC3B7C">
        <w:rPr>
          <w:rFonts w:eastAsia="Arial"/>
          <w:szCs w:val="24"/>
        </w:rPr>
        <w:t xml:space="preserve"> </w:t>
      </w:r>
      <w:r w:rsidRPr="00FC3B7C">
        <w:rPr>
          <w:rFonts w:eastAsia="Times New Roman"/>
          <w:szCs w:val="24"/>
        </w:rPr>
        <w:t>náročná na zdroje“ – podpora oddělení hospodářského růstu</w:t>
      </w:r>
      <w:r w:rsidRPr="00FC3B7C">
        <w:rPr>
          <w:rFonts w:eastAsia="Arial"/>
          <w:szCs w:val="24"/>
        </w:rPr>
        <w:t xml:space="preserve"> </w:t>
      </w:r>
      <w:r w:rsidRPr="00FC3B7C">
        <w:rPr>
          <w:rFonts w:eastAsia="Times New Roman"/>
          <w:szCs w:val="24"/>
        </w:rPr>
        <w:t xml:space="preserve">od využívání zdrojů, podpora přechodu na nízkouhlíkovou ekonomiku, větší využití obnovitelných zdrojů energie, modernizace odvětví dopravy </w:t>
      </w:r>
      <w:r>
        <w:rPr>
          <w:rFonts w:eastAsia="Times New Roman"/>
          <w:szCs w:val="24"/>
        </w:rPr>
        <w:br/>
      </w:r>
      <w:r w:rsidRPr="00FC3B7C">
        <w:rPr>
          <w:rFonts w:eastAsia="Times New Roman"/>
          <w:szCs w:val="24"/>
        </w:rPr>
        <w:t>a podpora energetické účinnosti</w:t>
      </w:r>
    </w:p>
    <w:p w14:paraId="557CB7D4" w14:textId="77777777" w:rsidR="00EE01FF" w:rsidRPr="00FC3B7C" w:rsidRDefault="00EE01FF" w:rsidP="00EE01FF">
      <w:pPr>
        <w:ind w:left="1700" w:hanging="360"/>
        <w:rPr>
          <w:rFonts w:eastAsia="Arial"/>
          <w:szCs w:val="24"/>
        </w:rPr>
      </w:pPr>
      <w:r w:rsidRPr="00FC3B7C">
        <w:rPr>
          <w:rFonts w:eastAsia="Arial"/>
          <w:szCs w:val="24"/>
        </w:rPr>
        <w:t xml:space="preserve">– </w:t>
      </w:r>
      <w:r w:rsidRPr="00FC3B7C">
        <w:rPr>
          <w:rFonts w:eastAsia="Times New Roman"/>
          <w:szCs w:val="24"/>
        </w:rPr>
        <w:t>„Průmyslová politika pro éru globalizace“ – zlepšení podnikatelského</w:t>
      </w:r>
      <w:r w:rsidRPr="00FC3B7C">
        <w:rPr>
          <w:rFonts w:eastAsia="Arial"/>
          <w:szCs w:val="24"/>
        </w:rPr>
        <w:t xml:space="preserve"> </w:t>
      </w:r>
      <w:r w:rsidRPr="00FC3B7C">
        <w:rPr>
          <w:rFonts w:eastAsia="Times New Roman"/>
          <w:szCs w:val="24"/>
        </w:rPr>
        <w:t xml:space="preserve">prostředí, zejména pro malé a střední podniky, podpora rozvoje silné a udržitelné průmyslové základny, která by byla konkurenceschopná </w:t>
      </w:r>
      <w:r>
        <w:rPr>
          <w:rFonts w:eastAsia="Times New Roman"/>
          <w:szCs w:val="24"/>
        </w:rPr>
        <w:br/>
      </w:r>
      <w:r w:rsidRPr="00FC3B7C">
        <w:rPr>
          <w:rFonts w:eastAsia="Times New Roman"/>
          <w:szCs w:val="24"/>
        </w:rPr>
        <w:t>v celosvětovém měřítku.</w:t>
      </w:r>
    </w:p>
    <w:p w14:paraId="2CA51656" w14:textId="77777777" w:rsidR="00EE01FF" w:rsidRPr="00FC3B7C" w:rsidRDefault="00EE01FF" w:rsidP="00D46B53">
      <w:pPr>
        <w:numPr>
          <w:ilvl w:val="0"/>
          <w:numId w:val="282"/>
        </w:numPr>
        <w:tabs>
          <w:tab w:val="left" w:pos="980"/>
        </w:tabs>
        <w:ind w:left="980" w:hanging="353"/>
        <w:rPr>
          <w:rFonts w:eastAsia="Arial"/>
          <w:szCs w:val="24"/>
        </w:rPr>
      </w:pPr>
      <w:r w:rsidRPr="00FC3B7C">
        <w:rPr>
          <w:rFonts w:eastAsia="Times New Roman"/>
          <w:b/>
          <w:bCs/>
          <w:szCs w:val="24"/>
        </w:rPr>
        <w:t>Růst podporující začlenění</w:t>
      </w:r>
    </w:p>
    <w:p w14:paraId="54569E4F" w14:textId="77777777" w:rsidR="00EE01FF" w:rsidRPr="00FC3B7C" w:rsidRDefault="00EE01FF" w:rsidP="00EE01FF">
      <w:pPr>
        <w:ind w:left="1700" w:hanging="360"/>
        <w:rPr>
          <w:rFonts w:eastAsia="Arial"/>
          <w:szCs w:val="24"/>
        </w:rPr>
      </w:pPr>
      <w:r w:rsidRPr="00FC3B7C">
        <w:rPr>
          <w:rFonts w:eastAsia="Arial"/>
          <w:szCs w:val="24"/>
        </w:rPr>
        <w:t xml:space="preserve">– </w:t>
      </w:r>
      <w:r w:rsidRPr="00FC3B7C">
        <w:rPr>
          <w:rFonts w:eastAsia="Times New Roman"/>
          <w:szCs w:val="24"/>
        </w:rPr>
        <w:t>„Program pro nové dovednosti a pracovní místa“ – modernizace pracovních</w:t>
      </w:r>
      <w:r w:rsidRPr="00FC3B7C">
        <w:rPr>
          <w:rFonts w:eastAsia="Arial"/>
          <w:szCs w:val="24"/>
        </w:rPr>
        <w:t xml:space="preserve"> </w:t>
      </w:r>
      <w:r w:rsidRPr="00FC3B7C">
        <w:rPr>
          <w:rFonts w:eastAsia="Times New Roman"/>
          <w:szCs w:val="24"/>
        </w:rPr>
        <w:t>trhů a posílení postavení občanů rozvojem jejich dovedností v průběhu celého života za účelem zvýšení účasti na trhu práce a lepšího vyrovnání nabídky a poptávky na trhu práce, mimo jiné prostřednictvím mobility pracovních sil.</w:t>
      </w:r>
    </w:p>
    <w:p w14:paraId="1A0417F7" w14:textId="77777777" w:rsidR="00EE01FF" w:rsidRPr="00FC3B7C" w:rsidRDefault="00EE01FF" w:rsidP="00EE01FF">
      <w:pPr>
        <w:ind w:left="1700" w:hanging="360"/>
        <w:rPr>
          <w:rFonts w:eastAsia="Arial"/>
          <w:szCs w:val="24"/>
        </w:rPr>
      </w:pPr>
      <w:r w:rsidRPr="00FC3B7C">
        <w:rPr>
          <w:rFonts w:eastAsia="Arial"/>
          <w:szCs w:val="24"/>
        </w:rPr>
        <w:t xml:space="preserve">– </w:t>
      </w:r>
      <w:r w:rsidRPr="00FC3B7C">
        <w:rPr>
          <w:rFonts w:eastAsia="Times New Roman"/>
          <w:szCs w:val="24"/>
        </w:rPr>
        <w:t>„Evropská platforma pro boj proti chudobě“ – zajištění sociální a územní</w:t>
      </w:r>
      <w:r w:rsidRPr="00FC3B7C">
        <w:rPr>
          <w:rFonts w:eastAsia="Arial"/>
          <w:szCs w:val="24"/>
        </w:rPr>
        <w:t xml:space="preserve"> </w:t>
      </w:r>
      <w:r w:rsidRPr="00FC3B7C">
        <w:rPr>
          <w:rFonts w:eastAsia="Times New Roman"/>
          <w:szCs w:val="24"/>
        </w:rPr>
        <w:t>soudržnosti tak, aby výhody vyplývající z růstu a zaměstnanosti byly ve velkém měřítku sdíleny a lidem postiženým chudobou a sociálním vyloučením bylo umožněno žít důstojně a aktivně se zapojovat do společnosti.</w:t>
      </w:r>
    </w:p>
    <w:p w14:paraId="2A181B59" w14:textId="77777777" w:rsidR="00EE01FF" w:rsidRPr="00FC3B7C" w:rsidRDefault="00EE01FF" w:rsidP="00EE01FF">
      <w:pPr>
        <w:sectPr w:rsidR="00EE01FF" w:rsidRPr="00FC3B7C">
          <w:pgSz w:w="11900" w:h="16840"/>
          <w:pgMar w:top="1391" w:right="1400" w:bottom="1440" w:left="1420" w:header="0" w:footer="0" w:gutter="0"/>
          <w:cols w:space="708" w:equalWidth="0">
            <w:col w:w="9080"/>
          </w:cols>
        </w:sectPr>
      </w:pPr>
    </w:p>
    <w:p w14:paraId="79DDFD25" w14:textId="3698620D" w:rsidR="00EE01FF" w:rsidRPr="00EE01FF" w:rsidRDefault="00EE01FF" w:rsidP="00EE01FF">
      <w:pPr>
        <w:pStyle w:val="Nadpis3"/>
        <w:rPr>
          <w:color w:val="1F3864" w:themeColor="accent1" w:themeShade="80"/>
          <w:sz w:val="20"/>
          <w:szCs w:val="20"/>
        </w:rPr>
      </w:pPr>
      <w:bookmarkStart w:id="302" w:name="page340"/>
      <w:bookmarkEnd w:id="302"/>
      <w:r w:rsidRPr="00EE01FF">
        <w:rPr>
          <w:rFonts w:eastAsia="Times New Roman"/>
          <w:color w:val="1F3864" w:themeColor="accent1" w:themeShade="80"/>
        </w:rPr>
        <w:lastRenderedPageBreak/>
        <w:t xml:space="preserve"> Institucionální zajištění regionální politiky EU</w:t>
      </w:r>
    </w:p>
    <w:p w14:paraId="54457026" w14:textId="77777777" w:rsidR="00EE01FF" w:rsidRPr="00FC3B7C" w:rsidRDefault="00EE01FF" w:rsidP="00EE01FF">
      <w:pPr>
        <w:spacing w:line="200" w:lineRule="exact"/>
        <w:rPr>
          <w:sz w:val="20"/>
          <w:szCs w:val="20"/>
        </w:rPr>
      </w:pPr>
    </w:p>
    <w:p w14:paraId="06EC3774" w14:textId="77777777" w:rsidR="00EE01FF" w:rsidRPr="00FC3B7C" w:rsidRDefault="00EE01FF" w:rsidP="00EE01FF">
      <w:pPr>
        <w:rPr>
          <w:sz w:val="20"/>
          <w:szCs w:val="20"/>
        </w:rPr>
      </w:pPr>
      <w:r w:rsidRPr="00FC3B7C">
        <w:rPr>
          <w:rFonts w:eastAsia="Times New Roman"/>
          <w:b/>
          <w:bCs/>
          <w:szCs w:val="24"/>
        </w:rPr>
        <w:t xml:space="preserve">Komise resp. Generální ředitelství pro regionální politiku: </w:t>
      </w:r>
      <w:r w:rsidRPr="00FC3B7C">
        <w:rPr>
          <w:rFonts w:eastAsia="Times New Roman"/>
          <w:szCs w:val="24"/>
        </w:rPr>
        <w:t>Je zodpovědné za veškerá</w:t>
      </w:r>
      <w:r w:rsidRPr="00FC3B7C">
        <w:rPr>
          <w:rFonts w:eastAsia="Times New Roman"/>
          <w:b/>
          <w:bCs/>
          <w:szCs w:val="24"/>
        </w:rPr>
        <w:t xml:space="preserve"> </w:t>
      </w:r>
      <w:r w:rsidRPr="00FC3B7C">
        <w:rPr>
          <w:rFonts w:eastAsia="Times New Roman"/>
          <w:szCs w:val="24"/>
        </w:rPr>
        <w:t>opatření na úrovni EU napomáhající ekonomickému a sociálnímu rozvoji nejméně rozvinutých regionů Unie.</w:t>
      </w:r>
    </w:p>
    <w:p w14:paraId="2F1801DB" w14:textId="77777777" w:rsidR="00EE01FF" w:rsidRPr="00FC3B7C" w:rsidRDefault="00EE01FF" w:rsidP="00EE01FF">
      <w:pPr>
        <w:rPr>
          <w:sz w:val="20"/>
          <w:szCs w:val="20"/>
        </w:rPr>
      </w:pPr>
      <w:r w:rsidRPr="00FC3B7C">
        <w:rPr>
          <w:rFonts w:eastAsia="Times New Roman"/>
          <w:b/>
          <w:bCs/>
          <w:szCs w:val="24"/>
        </w:rPr>
        <w:t xml:space="preserve">Výbor regionů: </w:t>
      </w:r>
      <w:r w:rsidRPr="00FC3B7C">
        <w:rPr>
          <w:rFonts w:eastAsia="Times New Roman"/>
          <w:szCs w:val="24"/>
        </w:rPr>
        <w:t>Hlavním cílem je zapojit regiony, města a obce do utváření politik</w:t>
      </w:r>
      <w:r w:rsidRPr="00FC3B7C">
        <w:rPr>
          <w:rFonts w:eastAsia="Times New Roman"/>
          <w:b/>
          <w:bCs/>
          <w:szCs w:val="24"/>
        </w:rPr>
        <w:t xml:space="preserve"> </w:t>
      </w:r>
      <w:r w:rsidRPr="00FC3B7C">
        <w:rPr>
          <w:rFonts w:eastAsia="Times New Roman"/>
          <w:szCs w:val="24"/>
        </w:rPr>
        <w:t>Společenství.</w:t>
      </w:r>
    </w:p>
    <w:p w14:paraId="470C088C" w14:textId="77777777" w:rsidR="00EE01FF" w:rsidRPr="00FC3B7C" w:rsidRDefault="00EE01FF" w:rsidP="00EE01FF">
      <w:pPr>
        <w:rPr>
          <w:sz w:val="20"/>
          <w:szCs w:val="20"/>
        </w:rPr>
      </w:pPr>
      <w:r w:rsidRPr="00FC3B7C">
        <w:rPr>
          <w:rFonts w:eastAsia="Times New Roman"/>
          <w:b/>
          <w:bCs/>
          <w:szCs w:val="24"/>
        </w:rPr>
        <w:t>Evropský parlament</w:t>
      </w:r>
      <w:r w:rsidRPr="00FC3B7C">
        <w:rPr>
          <w:rFonts w:eastAsia="Times New Roman"/>
          <w:szCs w:val="24"/>
        </w:rPr>
        <w:t>: V Evropském parlamentu existuje Výbor pro regionální rozvoj, který</w:t>
      </w:r>
      <w:r w:rsidRPr="00FC3B7C">
        <w:rPr>
          <w:rFonts w:eastAsia="Times New Roman"/>
          <w:b/>
          <w:bCs/>
          <w:szCs w:val="24"/>
        </w:rPr>
        <w:t xml:space="preserve"> </w:t>
      </w:r>
      <w:r w:rsidRPr="00FC3B7C">
        <w:rPr>
          <w:rFonts w:eastAsia="Times New Roman"/>
          <w:szCs w:val="24"/>
        </w:rPr>
        <w:t>se</w:t>
      </w:r>
      <w:r w:rsidRPr="00FC3B7C">
        <w:rPr>
          <w:rFonts w:eastAsia="Times New Roman"/>
          <w:b/>
          <w:bCs/>
          <w:szCs w:val="24"/>
        </w:rPr>
        <w:t xml:space="preserve"> </w:t>
      </w:r>
      <w:r w:rsidRPr="00FC3B7C">
        <w:rPr>
          <w:rFonts w:eastAsia="Times New Roman"/>
          <w:szCs w:val="24"/>
        </w:rPr>
        <w:t>zabývá záležitostmi regionální politiky a politiky soudržnosti.</w:t>
      </w:r>
    </w:p>
    <w:p w14:paraId="33B0C278" w14:textId="77777777" w:rsidR="00EE01FF" w:rsidRPr="00FC3B7C" w:rsidRDefault="00EE01FF" w:rsidP="00EE01FF">
      <w:pPr>
        <w:rPr>
          <w:sz w:val="20"/>
          <w:szCs w:val="20"/>
        </w:rPr>
      </w:pPr>
      <w:r w:rsidRPr="00FC3B7C">
        <w:rPr>
          <w:rFonts w:eastAsia="Times New Roman"/>
          <w:b/>
          <w:bCs/>
          <w:szCs w:val="24"/>
        </w:rPr>
        <w:t>Evropská investiční banka</w:t>
      </w:r>
      <w:r w:rsidRPr="00FC3B7C">
        <w:rPr>
          <w:rFonts w:eastAsia="Times New Roman"/>
          <w:szCs w:val="24"/>
        </w:rPr>
        <w:t>: Je finanční institucí EU, jejímž</w:t>
      </w:r>
      <w:r w:rsidRPr="00FC3B7C">
        <w:rPr>
          <w:rFonts w:eastAsia="Times New Roman"/>
          <w:b/>
          <w:bCs/>
          <w:szCs w:val="24"/>
        </w:rPr>
        <w:t xml:space="preserve"> </w:t>
      </w:r>
      <w:r w:rsidRPr="00FC3B7C">
        <w:rPr>
          <w:rFonts w:eastAsia="Times New Roman"/>
          <w:szCs w:val="24"/>
        </w:rPr>
        <w:t>cílem je napomáhat integraci,</w:t>
      </w:r>
      <w:r w:rsidRPr="00FC3B7C">
        <w:rPr>
          <w:rFonts w:eastAsia="Times New Roman"/>
          <w:b/>
          <w:bCs/>
          <w:szCs w:val="24"/>
        </w:rPr>
        <w:t xml:space="preserve"> </w:t>
      </w:r>
      <w:r w:rsidRPr="00FC3B7C">
        <w:rPr>
          <w:rFonts w:eastAsia="Times New Roman"/>
          <w:szCs w:val="24"/>
        </w:rPr>
        <w:t>vyváženému rozvoji a ekonomické a sociální soudržnosti členských zemí a to formou střednědobého a dlouhodobého spolufinancování kapitálových investic. EIB poskytuje nebo garantuje úvěry v oblasti průmyslu, telekomunikací, ochrany životního prostředí a energetiky, a to za účelem pomoci méně rozvinutým regionům EU, rozvoje infrastruktury, ochrany životního prostředí, konkurenceschopnosti průmyslu a podpory malého a středního podnikání.</w:t>
      </w:r>
    </w:p>
    <w:p w14:paraId="1F2146BE" w14:textId="77777777" w:rsidR="00EE01FF" w:rsidRPr="00FC3B7C" w:rsidRDefault="00EE01FF" w:rsidP="00EE01FF">
      <w:pPr>
        <w:spacing w:line="185" w:lineRule="exact"/>
        <w:rPr>
          <w:sz w:val="20"/>
          <w:szCs w:val="20"/>
        </w:rPr>
      </w:pPr>
    </w:p>
    <w:p w14:paraId="5AA3B5FF" w14:textId="0EF64FC9" w:rsidR="00EE01FF" w:rsidRPr="00EE01FF" w:rsidRDefault="00EE01FF" w:rsidP="00EE01FF">
      <w:pPr>
        <w:pStyle w:val="Nadpis3"/>
        <w:rPr>
          <w:color w:val="1F3864" w:themeColor="accent1" w:themeShade="80"/>
          <w:sz w:val="20"/>
          <w:szCs w:val="20"/>
        </w:rPr>
      </w:pPr>
      <w:r w:rsidRPr="00EE01FF">
        <w:rPr>
          <w:rFonts w:eastAsia="Times New Roman"/>
          <w:color w:val="1F3864" w:themeColor="accent1" w:themeShade="80"/>
        </w:rPr>
        <w:t xml:space="preserve"> Strukturální fondy</w:t>
      </w:r>
    </w:p>
    <w:p w14:paraId="5589E2B5" w14:textId="77777777" w:rsidR="00EE01FF" w:rsidRPr="00FC3B7C" w:rsidRDefault="00EE01FF" w:rsidP="00EE01FF">
      <w:pPr>
        <w:spacing w:line="200" w:lineRule="exact"/>
        <w:rPr>
          <w:sz w:val="20"/>
          <w:szCs w:val="20"/>
        </w:rPr>
      </w:pPr>
    </w:p>
    <w:p w14:paraId="25CB2940" w14:textId="77777777" w:rsidR="00EE01FF" w:rsidRPr="00FC3B7C" w:rsidRDefault="00EE01FF" w:rsidP="00EE01FF">
      <w:pPr>
        <w:rPr>
          <w:sz w:val="20"/>
          <w:szCs w:val="20"/>
        </w:rPr>
      </w:pPr>
      <w:r w:rsidRPr="00FC3B7C">
        <w:rPr>
          <w:rFonts w:eastAsia="Times New Roman"/>
          <w:szCs w:val="24"/>
        </w:rPr>
        <w:t xml:space="preserve">Jsou hlavním nástrojem EU pro snižování rozdílů mezi jednotlivými členskými státy </w:t>
      </w:r>
      <w:r>
        <w:rPr>
          <w:rFonts w:eastAsia="Times New Roman"/>
          <w:szCs w:val="24"/>
        </w:rPr>
        <w:br/>
      </w:r>
      <w:r w:rsidRPr="00FC3B7C">
        <w:rPr>
          <w:rFonts w:eastAsia="Times New Roman"/>
          <w:szCs w:val="24"/>
        </w:rPr>
        <w:t>a regiony EU. Jsou určeny především pro chudší nebo jinak znevýhodněné regiony (např. venkovské a problémové městské oblasti, padající průmyslové oblasti, oblasti s geografickým nebo přírodním znevýhodněním).</w:t>
      </w:r>
    </w:p>
    <w:p w14:paraId="7DFA3A83" w14:textId="77777777" w:rsidR="00EE01FF" w:rsidRDefault="00EE01FF" w:rsidP="00EE01FF">
      <w:pPr>
        <w:rPr>
          <w:rFonts w:eastAsia="Times New Roman"/>
          <w:szCs w:val="24"/>
        </w:rPr>
      </w:pPr>
      <w:r w:rsidRPr="00FC3B7C">
        <w:rPr>
          <w:rFonts w:eastAsia="Times New Roman"/>
          <w:szCs w:val="24"/>
        </w:rPr>
        <w:t xml:space="preserve">Na období 2007-2013 mají nástroje právní základ v balíčku pěti nařízení přijatých Radou </w:t>
      </w:r>
      <w:r>
        <w:rPr>
          <w:rFonts w:eastAsia="Times New Roman"/>
          <w:szCs w:val="24"/>
        </w:rPr>
        <w:br/>
      </w:r>
      <w:r w:rsidRPr="00FC3B7C">
        <w:rPr>
          <w:rFonts w:eastAsia="Times New Roman"/>
          <w:szCs w:val="24"/>
        </w:rPr>
        <w:t>a Evropským parlamentem v červenci 2006. V tomto období jsou k dispozici tři nástroje: ERDF, ESF a KF.</w:t>
      </w:r>
    </w:p>
    <w:p w14:paraId="03A3B1A0" w14:textId="77777777" w:rsidR="00EE01FF" w:rsidRPr="00FC3B7C" w:rsidRDefault="00EE01FF" w:rsidP="00EE01FF">
      <w:pPr>
        <w:rPr>
          <w:sz w:val="20"/>
          <w:szCs w:val="20"/>
        </w:rPr>
      </w:pPr>
    </w:p>
    <w:p w14:paraId="39E1E852" w14:textId="77777777" w:rsidR="00EE01FF" w:rsidRPr="00FC3B7C" w:rsidRDefault="00EE01FF" w:rsidP="00EE01FF">
      <w:pPr>
        <w:spacing w:line="3" w:lineRule="exact"/>
        <w:rPr>
          <w:sz w:val="20"/>
          <w:szCs w:val="20"/>
        </w:rPr>
      </w:pPr>
    </w:p>
    <w:p w14:paraId="2A9A572D" w14:textId="77777777" w:rsidR="00EE01FF" w:rsidRPr="00EE01FF" w:rsidRDefault="00EE01FF" w:rsidP="00EE01FF">
      <w:pPr>
        <w:pStyle w:val="Nadpis4"/>
        <w:rPr>
          <w:color w:val="1F3864" w:themeColor="accent1" w:themeShade="80"/>
          <w:sz w:val="20"/>
          <w:szCs w:val="20"/>
        </w:rPr>
      </w:pPr>
      <w:r w:rsidRPr="00EE01FF">
        <w:rPr>
          <w:rFonts w:eastAsia="Times New Roman"/>
          <w:color w:val="1F3864" w:themeColor="accent1" w:themeShade="80"/>
        </w:rPr>
        <w:t>Evropský fond regionálního rozvoje (ERDF)</w:t>
      </w:r>
    </w:p>
    <w:p w14:paraId="7E0F1476" w14:textId="77777777" w:rsidR="00EE01FF" w:rsidRPr="00FC3B7C" w:rsidRDefault="00EE01FF" w:rsidP="00EE01FF">
      <w:pPr>
        <w:rPr>
          <w:sz w:val="20"/>
          <w:szCs w:val="20"/>
        </w:rPr>
      </w:pPr>
      <w:r w:rsidRPr="00FC3B7C">
        <w:rPr>
          <w:rFonts w:eastAsia="Times New Roman"/>
          <w:szCs w:val="24"/>
        </w:rPr>
        <w:t>Založen v roce 1972, a fungovat začal od roku 1975. Podpora investičních projektů (např. výstavba silnic a železnic, odstraňování ekologických zátěží, budování stokových systémů, výstavby poldrů a úpravy koryt řek, podpora inovačního potenciálu podnikatelů, podpora začínajícím podnikatelům, rozvoj a obnova sportovních areálů využitelných pro cestovní ruch, rekonstrukce kulturních památek, využívání obnovitelných zdrojů energie a posilování spolupráce podnikatelů v příhraničních oblastech).</w:t>
      </w:r>
    </w:p>
    <w:p w14:paraId="2390FF23" w14:textId="77777777" w:rsidR="00EE01FF" w:rsidRPr="00FC3B7C" w:rsidRDefault="00EE01FF" w:rsidP="00EE01FF">
      <w:pPr>
        <w:sectPr w:rsidR="00EE01FF" w:rsidRPr="00FC3B7C">
          <w:pgSz w:w="11900" w:h="16840"/>
          <w:pgMar w:top="1386" w:right="1420" w:bottom="1440" w:left="1420" w:header="0" w:footer="0" w:gutter="0"/>
          <w:cols w:space="708" w:equalWidth="0">
            <w:col w:w="9060"/>
          </w:cols>
        </w:sectPr>
      </w:pPr>
    </w:p>
    <w:p w14:paraId="0C989665" w14:textId="77777777" w:rsidR="00EE01FF" w:rsidRPr="00EE01FF" w:rsidRDefault="00EE01FF" w:rsidP="00EE01FF">
      <w:pPr>
        <w:pStyle w:val="Nadpis4"/>
        <w:rPr>
          <w:color w:val="1F3864" w:themeColor="accent1" w:themeShade="80"/>
          <w:sz w:val="20"/>
          <w:szCs w:val="20"/>
        </w:rPr>
      </w:pPr>
      <w:bookmarkStart w:id="303" w:name="page341"/>
      <w:bookmarkEnd w:id="303"/>
      <w:r w:rsidRPr="00EE01FF">
        <w:rPr>
          <w:rFonts w:eastAsia="Times New Roman"/>
          <w:color w:val="1F3864" w:themeColor="accent1" w:themeShade="80"/>
        </w:rPr>
        <w:lastRenderedPageBreak/>
        <w:t>Evropský sociální fond (ESF)</w:t>
      </w:r>
    </w:p>
    <w:p w14:paraId="54CE4867" w14:textId="77777777" w:rsidR="00EE01FF" w:rsidRPr="00FC3B7C" w:rsidRDefault="00EE01FF" w:rsidP="00EE01FF">
      <w:pPr>
        <w:rPr>
          <w:sz w:val="20"/>
          <w:szCs w:val="20"/>
        </w:rPr>
      </w:pPr>
      <w:r w:rsidRPr="00FC3B7C">
        <w:rPr>
          <w:rFonts w:eastAsia="Times New Roman"/>
          <w:szCs w:val="24"/>
        </w:rPr>
        <w:t>Nejstarší ze strukturálních fondů (založen na základě Římské smlouvy). Funguje jako podpora neinvestičních projektů. V období 2007-2013 se zaměřuje na 4 klíčové oblasti:</w:t>
      </w:r>
    </w:p>
    <w:p w14:paraId="08BC7B9A" w14:textId="77777777" w:rsidR="00EE01FF" w:rsidRPr="00FC3B7C" w:rsidRDefault="00EE01FF" w:rsidP="00D46B53">
      <w:pPr>
        <w:numPr>
          <w:ilvl w:val="0"/>
          <w:numId w:val="283"/>
        </w:numPr>
        <w:tabs>
          <w:tab w:val="left" w:pos="980"/>
        </w:tabs>
        <w:ind w:left="980" w:hanging="353"/>
        <w:rPr>
          <w:rFonts w:eastAsia="Arial"/>
          <w:szCs w:val="24"/>
        </w:rPr>
      </w:pPr>
      <w:r w:rsidRPr="00FC3B7C">
        <w:rPr>
          <w:rFonts w:eastAsia="Times New Roman"/>
          <w:szCs w:val="24"/>
        </w:rPr>
        <w:t>zvýšení přizpůsobivosti pracovníků a podniků</w:t>
      </w:r>
    </w:p>
    <w:p w14:paraId="41DE70CD" w14:textId="77777777" w:rsidR="00EE01FF" w:rsidRPr="00FC3B7C" w:rsidRDefault="00EE01FF" w:rsidP="00D46B53">
      <w:pPr>
        <w:numPr>
          <w:ilvl w:val="0"/>
          <w:numId w:val="283"/>
        </w:numPr>
        <w:tabs>
          <w:tab w:val="left" w:pos="980"/>
        </w:tabs>
        <w:ind w:left="980" w:hanging="353"/>
        <w:rPr>
          <w:rFonts w:eastAsia="Arial"/>
          <w:szCs w:val="24"/>
        </w:rPr>
      </w:pPr>
      <w:r w:rsidRPr="00FC3B7C">
        <w:rPr>
          <w:rFonts w:eastAsia="Times New Roman"/>
          <w:szCs w:val="24"/>
        </w:rPr>
        <w:t>lepší přístup k zaměstnání a účast na trhu práce</w:t>
      </w:r>
    </w:p>
    <w:p w14:paraId="0D9A489C" w14:textId="77777777" w:rsidR="00EE01FF" w:rsidRPr="00FC3B7C" w:rsidRDefault="00EE01FF" w:rsidP="00D46B53">
      <w:pPr>
        <w:numPr>
          <w:ilvl w:val="0"/>
          <w:numId w:val="283"/>
        </w:numPr>
        <w:tabs>
          <w:tab w:val="left" w:pos="980"/>
        </w:tabs>
        <w:ind w:left="980" w:hanging="353"/>
        <w:rPr>
          <w:rFonts w:eastAsia="Arial"/>
          <w:szCs w:val="24"/>
        </w:rPr>
      </w:pPr>
      <w:r w:rsidRPr="00FC3B7C">
        <w:rPr>
          <w:rFonts w:eastAsia="Times New Roman"/>
          <w:szCs w:val="24"/>
        </w:rPr>
        <w:t>posílení sociálního začlenění potlačováním diskriminace a usnadněním přístupu znevýhodněných osob na trh práce</w:t>
      </w:r>
    </w:p>
    <w:p w14:paraId="72E03DDE" w14:textId="77777777" w:rsidR="00EE01FF" w:rsidRPr="00FC3B7C" w:rsidRDefault="00EE01FF" w:rsidP="00D46B53">
      <w:pPr>
        <w:numPr>
          <w:ilvl w:val="0"/>
          <w:numId w:val="283"/>
        </w:numPr>
        <w:tabs>
          <w:tab w:val="left" w:pos="980"/>
        </w:tabs>
        <w:ind w:left="980" w:hanging="353"/>
        <w:rPr>
          <w:rFonts w:eastAsia="Arial"/>
          <w:szCs w:val="24"/>
        </w:rPr>
      </w:pPr>
      <w:r w:rsidRPr="00FC3B7C">
        <w:rPr>
          <w:rFonts w:eastAsia="Times New Roman"/>
          <w:szCs w:val="24"/>
        </w:rPr>
        <w:t>podporu partnerství pro reformy v oblastech zaměstnanosti a začlenění</w:t>
      </w:r>
    </w:p>
    <w:p w14:paraId="1FB26C81" w14:textId="77777777" w:rsidR="00EE01FF" w:rsidRPr="00FC3B7C" w:rsidRDefault="00EE01FF" w:rsidP="00EE01FF">
      <w:pPr>
        <w:spacing w:line="331" w:lineRule="exact"/>
        <w:rPr>
          <w:sz w:val="20"/>
          <w:szCs w:val="20"/>
        </w:rPr>
      </w:pPr>
    </w:p>
    <w:p w14:paraId="1AF95846" w14:textId="77777777" w:rsidR="00EE01FF" w:rsidRPr="00EE01FF" w:rsidRDefault="00EE01FF" w:rsidP="00EE01FF">
      <w:pPr>
        <w:pStyle w:val="Nadpis4"/>
        <w:rPr>
          <w:rFonts w:eastAsia="Times New Roman"/>
          <w:color w:val="1F3864" w:themeColor="accent1" w:themeShade="80"/>
        </w:rPr>
      </w:pPr>
      <w:r w:rsidRPr="00EE01FF">
        <w:rPr>
          <w:rFonts w:eastAsia="Times New Roman"/>
          <w:color w:val="1F3864" w:themeColor="accent1" w:themeShade="80"/>
        </w:rPr>
        <w:t>Kohezní fond (KF)</w:t>
      </w:r>
    </w:p>
    <w:p w14:paraId="6ABC2CE0" w14:textId="77777777" w:rsidR="00EE01FF" w:rsidRPr="00FC3B7C" w:rsidRDefault="00EE01FF" w:rsidP="00EE01FF">
      <w:pPr>
        <w:rPr>
          <w:rFonts w:eastAsia="Times New Roman"/>
          <w:szCs w:val="24"/>
        </w:rPr>
      </w:pPr>
      <w:r w:rsidRPr="00FC3B7C">
        <w:rPr>
          <w:rFonts w:eastAsia="Times New Roman"/>
          <w:szCs w:val="24"/>
        </w:rPr>
        <w:t xml:space="preserve">Vznikl v roce 1993 (Maastrichtská smlouva). Na rozdíl od strukturálních fondů je určený na podporu rozvoje chudších států, nikoli regionů. Zaměřuje se na projekty zaměřené na ochranu životního prostředí a na transevropské dopravní sítě, zasahuje také do energetické politiky </w:t>
      </w:r>
      <w:r>
        <w:rPr>
          <w:rFonts w:eastAsia="Times New Roman"/>
          <w:szCs w:val="24"/>
        </w:rPr>
        <w:br/>
      </w:r>
      <w:r w:rsidRPr="00FC3B7C">
        <w:rPr>
          <w:rFonts w:eastAsia="Times New Roman"/>
          <w:szCs w:val="24"/>
        </w:rPr>
        <w:t>a využívaní obnovitelných zdrojů energie.</w:t>
      </w:r>
    </w:p>
    <w:p w14:paraId="50127719" w14:textId="77777777" w:rsidR="00EE01FF" w:rsidRPr="00EE01FF" w:rsidRDefault="00EE01FF" w:rsidP="00EE01FF">
      <w:pPr>
        <w:tabs>
          <w:tab w:val="left" w:pos="1560"/>
        </w:tabs>
        <w:ind w:left="500"/>
        <w:rPr>
          <w:rFonts w:eastAsia="Times New Roman"/>
          <w:b/>
          <w:bCs/>
          <w:i/>
          <w:iCs/>
          <w:color w:val="1F3864" w:themeColor="accent1" w:themeShade="80"/>
          <w:szCs w:val="24"/>
        </w:rPr>
      </w:pPr>
    </w:p>
    <w:p w14:paraId="6F6FDF3C" w14:textId="77777777" w:rsidR="00EE01FF" w:rsidRPr="00EE01FF" w:rsidRDefault="00EE01FF" w:rsidP="00EE01FF">
      <w:pPr>
        <w:pStyle w:val="Nadpis4"/>
        <w:rPr>
          <w:rFonts w:eastAsia="Times New Roman"/>
          <w:color w:val="1F3864" w:themeColor="accent1" w:themeShade="80"/>
        </w:rPr>
      </w:pPr>
      <w:r w:rsidRPr="00EE01FF">
        <w:rPr>
          <w:rFonts w:eastAsia="Times New Roman"/>
          <w:color w:val="1F3864" w:themeColor="accent1" w:themeShade="80"/>
        </w:rPr>
        <w:t>Evropský zemědělský fond pro rozvoj venkova (EAFRD)</w:t>
      </w:r>
    </w:p>
    <w:p w14:paraId="31D3E2E1" w14:textId="77777777" w:rsidR="00EE01FF" w:rsidRDefault="00EE01FF" w:rsidP="00EE01FF">
      <w:pPr>
        <w:rPr>
          <w:rFonts w:eastAsia="Times New Roman"/>
        </w:rPr>
      </w:pPr>
      <w:r w:rsidRPr="00FC3B7C">
        <w:rPr>
          <w:rFonts w:eastAsia="Times New Roman"/>
          <w:szCs w:val="24"/>
        </w:rPr>
        <w:t xml:space="preserve">Je finanční nástroj na podporu rozvoje venkova, který spadá do společné zemědělské politiky EU. Prostředky z EAFRD slouží ke zvýšení konkurenceschopnosti zemědělství a lesnictví, zlepšení životního prostředí a krajiny nebo kvality života ve venkovských oblastech </w:t>
      </w:r>
      <w:r>
        <w:rPr>
          <w:rFonts w:eastAsia="Times New Roman"/>
          <w:szCs w:val="24"/>
        </w:rPr>
        <w:br/>
      </w:r>
      <w:r w:rsidRPr="00FC3B7C">
        <w:rPr>
          <w:rFonts w:eastAsia="Times New Roman"/>
          <w:szCs w:val="24"/>
        </w:rPr>
        <w:t>a diverzifikace hospodářství venkova</w:t>
      </w:r>
      <w:r w:rsidRPr="00FC3B7C">
        <w:rPr>
          <w:rFonts w:eastAsia="Times New Roman"/>
        </w:rPr>
        <w:t>.</w:t>
      </w:r>
    </w:p>
    <w:p w14:paraId="28B3A2BD" w14:textId="77777777" w:rsidR="00EE01FF" w:rsidRPr="00FC3B7C" w:rsidRDefault="00EE01FF" w:rsidP="00EE01FF">
      <w:pPr>
        <w:rPr>
          <w:rFonts w:eastAsia="Times New Roman"/>
        </w:rPr>
      </w:pPr>
    </w:p>
    <w:p w14:paraId="0E76EDB4" w14:textId="77777777" w:rsidR="00EE01FF" w:rsidRPr="00EE01FF" w:rsidRDefault="00EE01FF" w:rsidP="00EE01FF">
      <w:pPr>
        <w:pStyle w:val="Nadpis4"/>
        <w:rPr>
          <w:rFonts w:eastAsia="Times New Roman"/>
          <w:color w:val="1F3864" w:themeColor="accent1" w:themeShade="80"/>
        </w:rPr>
      </w:pPr>
      <w:r w:rsidRPr="00EE01FF">
        <w:rPr>
          <w:rFonts w:eastAsia="Times New Roman"/>
          <w:color w:val="1F3864" w:themeColor="accent1" w:themeShade="80"/>
        </w:rPr>
        <w:t>Evropský námořní a rybářský fond (EMFF)</w:t>
      </w:r>
    </w:p>
    <w:p w14:paraId="0389B8FC" w14:textId="77777777" w:rsidR="00EE01FF" w:rsidRPr="00FC3B7C" w:rsidRDefault="00EE01FF" w:rsidP="00EE01FF">
      <w:pPr>
        <w:rPr>
          <w:rFonts w:eastAsia="Times New Roman"/>
          <w:szCs w:val="24"/>
        </w:rPr>
      </w:pPr>
      <w:r w:rsidRPr="00FC3B7C">
        <w:rPr>
          <w:rFonts w:eastAsia="Times New Roman"/>
          <w:szCs w:val="24"/>
        </w:rPr>
        <w:t>Je to finanční nástroj na podporu rybolovu, který spadá do společné rybářské politiky EU. Fond podporuje projekty vedoucí k vyšší konkurenceschopnosti a ochraně životního prostředí. Financuje aktivity týkající se mořského i vnitrozemského rybolovu (např. odbahňování rybníků), investice na modernizaci zpracovatelského průmyslu, modernizace plavidel, podpory likvidace už nedostačujících plavidel, zlepšování akvakultury apod.</w:t>
      </w:r>
    </w:p>
    <w:p w14:paraId="558A3D90" w14:textId="77777777" w:rsidR="00EE01FF" w:rsidRPr="00FC3B7C" w:rsidRDefault="00EE01FF" w:rsidP="00EE01FF">
      <w:pPr>
        <w:pStyle w:val="Odstavecseseznamem"/>
        <w:spacing w:line="369" w:lineRule="auto"/>
        <w:rPr>
          <w:rFonts w:eastAsia="Times New Roman"/>
          <w:szCs w:val="24"/>
        </w:rPr>
      </w:pPr>
    </w:p>
    <w:p w14:paraId="10F3F3C0" w14:textId="1A5F9B4D" w:rsidR="00EE01FF" w:rsidRPr="00EE01FF" w:rsidRDefault="00EE01FF" w:rsidP="00EE01FF">
      <w:pPr>
        <w:spacing w:line="369" w:lineRule="auto"/>
        <w:rPr>
          <w:rFonts w:eastAsia="Times New Roman"/>
          <w:szCs w:val="24"/>
        </w:rPr>
      </w:pPr>
      <w:r w:rsidRPr="00FC3B7C">
        <w:rPr>
          <w:rFonts w:eastAsia="Times New Roman"/>
          <w:noProof/>
          <w:szCs w:val="24"/>
        </w:rPr>
        <w:lastRenderedPageBreak/>
        <w:drawing>
          <wp:anchor distT="0" distB="0" distL="114300" distR="114300" simplePos="0" relativeHeight="251817472" behindDoc="0" locked="0" layoutInCell="1" allowOverlap="1" wp14:anchorId="4063B917" wp14:editId="46ABC18B">
            <wp:simplePos x="899160" y="883920"/>
            <wp:positionH relativeFrom="margin">
              <wp:align>center</wp:align>
            </wp:positionH>
            <wp:positionV relativeFrom="margin">
              <wp:align>top</wp:align>
            </wp:positionV>
            <wp:extent cx="6991200" cy="3366000"/>
            <wp:effectExtent l="0" t="0" r="635" b="6350"/>
            <wp:wrapSquare wrapText="bothSides"/>
            <wp:docPr id="272" name="Obrázek 272" descr="https://www.strukturalni-fondy.cz/getmedia/fe43f9e7-ff58-4a20-91bc-9556c92847b5/Abeceda_nah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rukturalni-fondy.cz/getmedia/fe43f9e7-ff58-4a20-91bc-9556c92847b5/Abeceda_nahled-3.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991200" cy="3366000"/>
                    </a:xfrm>
                    <a:prstGeom prst="rect">
                      <a:avLst/>
                    </a:prstGeom>
                    <a:noFill/>
                    <a:ln>
                      <a:noFill/>
                    </a:ln>
                  </pic:spPr>
                </pic:pic>
              </a:graphicData>
            </a:graphic>
          </wp:anchor>
        </w:drawing>
      </w:r>
      <w:r w:rsidRPr="00FC3B7C">
        <w:rPr>
          <w:rFonts w:eastAsia="Times New Roman"/>
          <w:szCs w:val="24"/>
        </w:rPr>
        <w:t>Zdroj: https://www.strukturalni-fondy.cz/cs/Fondy-EU/2014-2020</w:t>
      </w:r>
    </w:p>
    <w:p w14:paraId="79DAC073" w14:textId="60D5A52C" w:rsidR="00EE01FF" w:rsidRPr="00FC3B7C" w:rsidRDefault="00EE01FF" w:rsidP="00EE01FF">
      <w:pPr>
        <w:pStyle w:val="Nadpis3"/>
        <w:rPr>
          <w:sz w:val="20"/>
          <w:szCs w:val="20"/>
        </w:rPr>
      </w:pPr>
      <w:r>
        <w:rPr>
          <w:rFonts w:eastAsia="Times New Roman"/>
        </w:rPr>
        <w:t xml:space="preserve"> </w:t>
      </w:r>
      <w:r w:rsidRPr="00EE01FF">
        <w:rPr>
          <w:rFonts w:eastAsia="Times New Roman"/>
          <w:color w:val="1F3864" w:themeColor="accent1" w:themeShade="80"/>
        </w:rPr>
        <w:t>Operační programy (OP)</w:t>
      </w:r>
      <w:r w:rsidRPr="00EE01FF">
        <w:rPr>
          <w:rStyle w:val="Znakapoznpodarou"/>
          <w:rFonts w:eastAsia="Times New Roman"/>
          <w:color w:val="1F3864" w:themeColor="accent1" w:themeShade="80"/>
          <w:szCs w:val="28"/>
        </w:rPr>
        <w:footnoteReference w:id="44"/>
      </w:r>
    </w:p>
    <w:p w14:paraId="5815E25A" w14:textId="77777777" w:rsidR="00EE01FF" w:rsidRPr="00FC3B7C" w:rsidRDefault="00EE01FF" w:rsidP="00EE01FF">
      <w:pPr>
        <w:spacing w:line="209" w:lineRule="exact"/>
        <w:rPr>
          <w:sz w:val="20"/>
          <w:szCs w:val="20"/>
        </w:rPr>
      </w:pPr>
    </w:p>
    <w:p w14:paraId="5A998A29" w14:textId="77777777" w:rsidR="00EE01FF" w:rsidRPr="00FC3B7C" w:rsidRDefault="00EE01FF" w:rsidP="00D46B53">
      <w:pPr>
        <w:numPr>
          <w:ilvl w:val="0"/>
          <w:numId w:val="567"/>
        </w:numPr>
        <w:ind w:right="20"/>
        <w:rPr>
          <w:rFonts w:eastAsia="Times New Roman"/>
          <w:szCs w:val="24"/>
        </w:rPr>
      </w:pPr>
      <w:r w:rsidRPr="00FC3B7C">
        <w:rPr>
          <w:rFonts w:eastAsia="Times New Roman"/>
          <w:szCs w:val="24"/>
        </w:rPr>
        <w:t xml:space="preserve">Čerpání finančních prostředků v rámci regionální politiky EU je realizováno pomocí tzv. OP. Každá členská země si dojednává s Evropskou komisí operační programy (OP), které jsou zprostředkujícím mezistupněm mezi třemi hlavními evropskými fondy (ERDF/EFRR, ESF, FS) a konkrétními příjemci finanční podpory v členských státech a regionech. Pro programové období 2014-2020 bylo pro ČR vyčleněno </w:t>
      </w:r>
      <w:r>
        <w:rPr>
          <w:rFonts w:eastAsia="Times New Roman"/>
          <w:szCs w:val="24"/>
        </w:rPr>
        <w:br/>
        <w:t xml:space="preserve"> </w:t>
      </w:r>
      <w:r w:rsidRPr="00FC3B7C">
        <w:rPr>
          <w:rFonts w:eastAsia="Times New Roman"/>
          <w:szCs w:val="24"/>
        </w:rPr>
        <w:t>24 mld. €</w:t>
      </w:r>
    </w:p>
    <w:p w14:paraId="4F561D36" w14:textId="77777777" w:rsidR="00EE01FF" w:rsidRPr="00FC3B7C" w:rsidRDefault="00EE01FF" w:rsidP="00EE01FF">
      <w:pPr>
        <w:ind w:right="20"/>
        <w:rPr>
          <w:sz w:val="20"/>
          <w:szCs w:val="20"/>
        </w:rPr>
      </w:pPr>
    </w:p>
    <w:p w14:paraId="35AB840C" w14:textId="77777777" w:rsidR="00EE01FF" w:rsidRPr="00FC3B7C" w:rsidRDefault="00EE01FF" w:rsidP="00EE01FF">
      <w:pPr>
        <w:spacing w:line="1" w:lineRule="exact"/>
        <w:rPr>
          <w:sz w:val="20"/>
          <w:szCs w:val="20"/>
        </w:rPr>
      </w:pPr>
    </w:p>
    <w:p w14:paraId="0FF59BA0" w14:textId="77777777" w:rsidR="00EE01FF" w:rsidRPr="00FC3B7C" w:rsidRDefault="00EE01FF" w:rsidP="00EE01FF">
      <w:pPr>
        <w:pStyle w:val="Nadpis4"/>
        <w:rPr>
          <w:sz w:val="20"/>
          <w:szCs w:val="20"/>
        </w:rPr>
      </w:pPr>
      <w:r w:rsidRPr="00FC3B7C">
        <w:t>Národní operační programy</w:t>
      </w:r>
      <w:r w:rsidRPr="00FC3B7C">
        <w:rPr>
          <w:sz w:val="20"/>
          <w:szCs w:val="20"/>
        </w:rPr>
        <w:t> </w:t>
      </w:r>
    </w:p>
    <w:p w14:paraId="5C6005BE" w14:textId="77777777" w:rsidR="00EE01FF" w:rsidRPr="00FC3B7C" w:rsidRDefault="00EE01FF" w:rsidP="00EE01FF">
      <w:pPr>
        <w:tabs>
          <w:tab w:val="left" w:pos="1560"/>
        </w:tabs>
        <w:ind w:left="500"/>
        <w:rPr>
          <w:bCs/>
          <w:szCs w:val="24"/>
        </w:rPr>
      </w:pPr>
      <w:r w:rsidRPr="00FC3B7C">
        <w:rPr>
          <w:bCs/>
          <w:szCs w:val="24"/>
        </w:rPr>
        <w:t>V </w:t>
      </w:r>
      <w:r w:rsidRPr="00094CFD">
        <w:t>programovém období 2014-2020 vybráno celkem 10 programů, které jsou spolufinancovány z Evropských strukturálních a investičních fondů (ESIF).</w:t>
      </w:r>
    </w:p>
    <w:p w14:paraId="6AC921D6" w14:textId="77777777" w:rsidR="00EE01FF" w:rsidRPr="00FC3B7C" w:rsidRDefault="00EE01FF" w:rsidP="00EE01FF">
      <w:pPr>
        <w:pStyle w:val="Nadpis5"/>
        <w:rPr>
          <w:rFonts w:eastAsia="Times New Roman"/>
        </w:rPr>
      </w:pPr>
      <w:r w:rsidRPr="00FC3B7C">
        <w:rPr>
          <w:rFonts w:eastAsia="Times New Roman"/>
        </w:rPr>
        <w:t>Operační program doprava</w:t>
      </w:r>
    </w:p>
    <w:p w14:paraId="41240A73" w14:textId="77777777" w:rsidR="00EE01FF" w:rsidRPr="00FC3B7C" w:rsidRDefault="00EE01FF" w:rsidP="00EE01FF">
      <w:r w:rsidRPr="00FC3B7C">
        <w:t>Jedná se o jeden z největších operačních programů – připadá na něj zhruba 17 % ze všech prostředků pro ČR z evropských strukturálních a investičních fondů v daném programovém období. Zkrácení cestovních dob, snížení negativních vlivů či hlukové zátěže, vyvedení tranzitní dopravy z center měst, zkvalitnění cestování či zlepšení dostupnosti veřejné dopravy pro osoby se zdravotním hendikepem, to vše jsou cíle, které se daří plnit i díky OP Doprava.</w:t>
      </w:r>
    </w:p>
    <w:p w14:paraId="1EB1B36C" w14:textId="77777777" w:rsidR="00EE01FF" w:rsidRPr="00FC3B7C" w:rsidRDefault="00EE01FF" w:rsidP="00EE01FF">
      <w:r>
        <w:lastRenderedPageBreak/>
        <w:t> </w:t>
      </w:r>
      <w:r w:rsidRPr="00FC3B7C">
        <w:t>Prostřednictvím OPD je možné financovat infrastrukturu pro železniční dopravu, kombinovanou nákladní dopravu a městskou veřejnou dopravu; dále pak silniční infrastrukturu ve vlastnictví státu (dálnice i silnice I. třídy); a v neposlední řadě též veřejnou infrastrukturu pro čistou mobilitu (dobíječky pro elektromobily a čerpací stanice pro alternativní paliva), modernizaci železničního vozového parku a flotily nákladních plavidel.</w:t>
      </w:r>
    </w:p>
    <w:p w14:paraId="223D0151" w14:textId="77777777" w:rsidR="00EE01FF" w:rsidRPr="00FC3B7C" w:rsidRDefault="00EE01FF" w:rsidP="00EE01FF">
      <w:pPr>
        <w:tabs>
          <w:tab w:val="left" w:pos="1560"/>
        </w:tabs>
        <w:ind w:left="500"/>
        <w:rPr>
          <w:rFonts w:eastAsia="Times New Roman"/>
          <w:b/>
          <w:bCs/>
          <w:i/>
          <w:iCs/>
          <w:szCs w:val="24"/>
        </w:rPr>
      </w:pPr>
    </w:p>
    <w:p w14:paraId="1968340E" w14:textId="77777777" w:rsidR="00EE01FF" w:rsidRPr="00EE01FF" w:rsidRDefault="00EE01FF" w:rsidP="00EE01FF">
      <w:pPr>
        <w:pStyle w:val="Nadpis5"/>
        <w:rPr>
          <w:color w:val="1F3864" w:themeColor="accent1" w:themeShade="80"/>
        </w:rPr>
      </w:pPr>
      <w:r w:rsidRPr="00EE01FF">
        <w:rPr>
          <w:color w:val="1F3864" w:themeColor="accent1" w:themeShade="80"/>
        </w:rPr>
        <w:t>Integrovaný regionální operační program</w:t>
      </w:r>
    </w:p>
    <w:p w14:paraId="4DA1B655" w14:textId="77777777" w:rsidR="00EE01FF" w:rsidRPr="00FC3B7C" w:rsidRDefault="00EE01FF" w:rsidP="00EE01FF">
      <w:pPr>
        <w:rPr>
          <w:rFonts w:eastAsia="Times New Roman"/>
        </w:rPr>
      </w:pPr>
      <w:r w:rsidRPr="00F32CA2">
        <w:t xml:space="preserve">Prioritou IROPu je umožnění vyváženého rozvoje území, zkvalitnění infrastruktury, zlepšení veřejných služeb a veřejné správy a zajištění udržitelného rozvoje v obcích, městech </w:t>
      </w:r>
      <w:r>
        <w:br/>
      </w:r>
      <w:r w:rsidRPr="00F32CA2">
        <w:t xml:space="preserve">a regionech. Významnou složkou IROP jsou integrované nástroje, které představují 28 % </w:t>
      </w:r>
      <w:r>
        <w:br/>
      </w:r>
      <w:r w:rsidRPr="00F32CA2">
        <w:t>z celkové alokace IROP</w:t>
      </w:r>
      <w:r w:rsidRPr="00FC3B7C">
        <w:rPr>
          <w:rFonts w:eastAsia="Times New Roman"/>
        </w:rPr>
        <w:t>.</w:t>
      </w:r>
    </w:p>
    <w:p w14:paraId="4FDCAC07" w14:textId="77777777" w:rsidR="00EE01FF" w:rsidRPr="00EE01FF" w:rsidRDefault="00EE01FF" w:rsidP="00EE01FF">
      <w:pPr>
        <w:rPr>
          <w:rFonts w:eastAsia="Times New Roman"/>
          <w:color w:val="1F3864" w:themeColor="accent1" w:themeShade="80"/>
        </w:rPr>
      </w:pPr>
    </w:p>
    <w:p w14:paraId="5FC05784" w14:textId="77777777" w:rsidR="00EE01FF" w:rsidRPr="00EE01FF" w:rsidRDefault="00EE01FF" w:rsidP="00EE01FF">
      <w:pPr>
        <w:pStyle w:val="Nadpis5"/>
        <w:rPr>
          <w:rFonts w:eastAsia="Times New Roman"/>
          <w:color w:val="1F3864" w:themeColor="accent1" w:themeShade="80"/>
        </w:rPr>
      </w:pPr>
      <w:r w:rsidRPr="00EE01FF">
        <w:rPr>
          <w:rFonts w:eastAsia="Times New Roman"/>
          <w:color w:val="1F3864" w:themeColor="accent1" w:themeShade="80"/>
        </w:rPr>
        <w:t>Podnikání a inovace pro konkurenceschopnost (OP PIK)</w:t>
      </w:r>
    </w:p>
    <w:p w14:paraId="70EA4E06" w14:textId="77777777" w:rsidR="00EE01FF" w:rsidRPr="00FC3B7C" w:rsidRDefault="00EE01FF" w:rsidP="00EE01FF">
      <w:pPr>
        <w:rPr>
          <w:rFonts w:eastAsia="Times New Roman"/>
        </w:rPr>
      </w:pPr>
      <w:r w:rsidRPr="00FC3B7C">
        <w:rPr>
          <w:rFonts w:eastAsia="Times New Roman"/>
        </w:rPr>
        <w:t>Cílem Operačního programu Podnikání a inovace pro konkurenceschopnost (OP PIK) je dosažení konkurenceschopné a udržitelné ekonomiky založené na znalostech a inovacích. Pojem „konkurenceschopný“ zahrnuje schopnost místních firem prosazovat se na světových trzích a vytvářet dostatek pracovních míst. Pojem „udržitelný“ zvýrazňuje dlouhodobý horizont konkurenční schopnosti, což zahrnuje mj. i environmentální dimenzi hospodářského rozvoje.</w:t>
      </w:r>
    </w:p>
    <w:p w14:paraId="67C02BAC" w14:textId="77777777" w:rsidR="00EE01FF" w:rsidRPr="00FC3B7C" w:rsidRDefault="00EE01FF" w:rsidP="00EE01FF">
      <w:pPr>
        <w:tabs>
          <w:tab w:val="left" w:pos="1560"/>
        </w:tabs>
        <w:ind w:left="500"/>
        <w:rPr>
          <w:rFonts w:eastAsia="Times New Roman"/>
          <w:b/>
          <w:bCs/>
          <w:i/>
          <w:iCs/>
          <w:szCs w:val="24"/>
        </w:rPr>
      </w:pPr>
    </w:p>
    <w:p w14:paraId="52584A1D" w14:textId="77777777" w:rsidR="00EE01FF" w:rsidRPr="00EE01FF" w:rsidRDefault="00EE01FF" w:rsidP="00EE01FF">
      <w:pPr>
        <w:pStyle w:val="Nadpis5"/>
        <w:rPr>
          <w:rFonts w:eastAsia="Times New Roman"/>
          <w:color w:val="1F3864" w:themeColor="accent1" w:themeShade="80"/>
        </w:rPr>
      </w:pPr>
      <w:r w:rsidRPr="00EE01FF">
        <w:rPr>
          <w:rFonts w:eastAsia="Times New Roman"/>
          <w:color w:val="1F3864" w:themeColor="accent1" w:themeShade="80"/>
        </w:rPr>
        <w:t>Operačního programu Výzkum, vývoj a vzdělávání (OP VVV)</w:t>
      </w:r>
    </w:p>
    <w:p w14:paraId="20201234" w14:textId="77777777" w:rsidR="00EE01FF" w:rsidRPr="00FC3B7C" w:rsidRDefault="00EE01FF" w:rsidP="00EE01FF">
      <w:pPr>
        <w:rPr>
          <w:rFonts w:eastAsia="Times New Roman"/>
        </w:rPr>
      </w:pPr>
      <w:r w:rsidRPr="00FC3B7C">
        <w:rPr>
          <w:rFonts w:eastAsia="Times New Roman"/>
        </w:rPr>
        <w:t xml:space="preserve">Klíčovým principem tohoto programu je rozvoj lidských zdrojů pro znalostní ekonomiku </w:t>
      </w:r>
      <w:r>
        <w:rPr>
          <w:rFonts w:eastAsia="Times New Roman"/>
        </w:rPr>
        <w:br/>
      </w:r>
      <w:r w:rsidRPr="00FC3B7C">
        <w:rPr>
          <w:rFonts w:eastAsia="Times New Roman"/>
        </w:rPr>
        <w:t>a udržitelný rozvoj v sociálně soudržné společnosti a je podporován intervencemi v rámci více prioritních os (PO). Na něj navazuje téma podpory kvalitního výzkumu, pro který představuje kvalifikovaná pracovní síla klíčový vstupní faktor. Intervence v oblasti vzdělávání budou zároveň podpořeny systémovými změnami, které směřují ke zkvalitnění vzdělávacího systému ČR.</w:t>
      </w:r>
    </w:p>
    <w:p w14:paraId="09671C4D" w14:textId="77777777" w:rsidR="00EE01FF" w:rsidRPr="00FC3B7C" w:rsidRDefault="00EE01FF" w:rsidP="00EE01FF"/>
    <w:p w14:paraId="53B56D6B" w14:textId="423D6A09" w:rsidR="00EE01FF" w:rsidRPr="00EE01FF" w:rsidRDefault="004430A1" w:rsidP="00EE01FF">
      <w:pPr>
        <w:pStyle w:val="Nadpis5"/>
        <w:rPr>
          <w:bCs/>
          <w:iCs/>
          <w:color w:val="1F3864" w:themeColor="accent1" w:themeShade="80"/>
        </w:rPr>
      </w:pPr>
      <w:hyperlink r:id="rId101" w:history="1">
        <w:r w:rsidR="00EE01FF" w:rsidRPr="00EE01FF">
          <w:rPr>
            <w:rStyle w:val="Hypertextovodkaz"/>
            <w:bCs/>
            <w:iCs/>
            <w:color w:val="1F3864" w:themeColor="accent1" w:themeShade="80"/>
            <w:u w:val="none"/>
          </w:rPr>
          <w:t>Operační program Životní prostředí</w:t>
        </w:r>
      </w:hyperlink>
      <w:r w:rsidR="00EE01FF" w:rsidRPr="00EE01FF">
        <w:rPr>
          <w:bCs/>
          <w:iCs/>
          <w:color w:val="1F3864" w:themeColor="accent1" w:themeShade="80"/>
        </w:rPr>
        <w:t>, řízený Ministerstvem životního prostředí;</w:t>
      </w:r>
      <w:r w:rsidR="003376E1">
        <w:rPr>
          <w:bCs/>
          <w:iCs/>
          <w:color w:val="1F3864" w:themeColor="accent1" w:themeShade="80"/>
        </w:rPr>
        <w:t xml:space="preserve"> </w:t>
      </w:r>
      <w:r w:rsidR="00EE01FF" w:rsidRPr="00EE01FF">
        <w:rPr>
          <w:bCs/>
          <w:iCs/>
          <w:color w:val="1F3864" w:themeColor="accent1" w:themeShade="80"/>
        </w:rPr>
        <w:t xml:space="preserve"> </w:t>
      </w:r>
    </w:p>
    <w:p w14:paraId="72338B98" w14:textId="77777777" w:rsidR="00EE01FF" w:rsidRPr="00EE01FF" w:rsidRDefault="004430A1" w:rsidP="00EE01FF">
      <w:pPr>
        <w:pStyle w:val="Nadpis5"/>
        <w:rPr>
          <w:color w:val="1F3864" w:themeColor="accent1" w:themeShade="80"/>
        </w:rPr>
      </w:pPr>
      <w:hyperlink r:id="rId102" w:history="1">
        <w:r w:rsidR="00EE01FF" w:rsidRPr="00EE01FF">
          <w:rPr>
            <w:rStyle w:val="Hypertextovodkaz"/>
            <w:bCs/>
            <w:iCs/>
            <w:color w:val="1F3864" w:themeColor="accent1" w:themeShade="80"/>
            <w:u w:val="none"/>
          </w:rPr>
          <w:t>Program rozvoje venkova</w:t>
        </w:r>
      </w:hyperlink>
      <w:r w:rsidR="00EE01FF" w:rsidRPr="00EE01FF">
        <w:rPr>
          <w:bCs/>
          <w:iCs/>
          <w:color w:val="1F3864" w:themeColor="accent1" w:themeShade="80"/>
        </w:rPr>
        <w:t>, řízený Ministerstvem zemědělství;</w:t>
      </w:r>
    </w:p>
    <w:p w14:paraId="3E7F2B5F" w14:textId="77777777" w:rsidR="00EE01FF" w:rsidRPr="00EE01FF" w:rsidRDefault="004430A1" w:rsidP="00EE01FF">
      <w:pPr>
        <w:pStyle w:val="Nadpis5"/>
        <w:rPr>
          <w:color w:val="1F3864" w:themeColor="accent1" w:themeShade="80"/>
        </w:rPr>
      </w:pPr>
      <w:hyperlink r:id="rId103" w:history="1">
        <w:r w:rsidR="00EE01FF" w:rsidRPr="00EE01FF">
          <w:rPr>
            <w:rStyle w:val="Hypertextovodkaz"/>
            <w:bCs/>
            <w:iCs/>
            <w:color w:val="1F3864" w:themeColor="accent1" w:themeShade="80"/>
            <w:u w:val="none"/>
          </w:rPr>
          <w:t>Operační program Zaměstnanost</w:t>
        </w:r>
      </w:hyperlink>
      <w:r w:rsidR="00EE01FF" w:rsidRPr="00EE01FF">
        <w:rPr>
          <w:bCs/>
          <w:iCs/>
          <w:color w:val="1F3864" w:themeColor="accent1" w:themeShade="80"/>
        </w:rPr>
        <w:t>, řízený Ministerstvem práce a sociálních věcí;</w:t>
      </w:r>
    </w:p>
    <w:p w14:paraId="2FAFBDBE" w14:textId="77777777" w:rsidR="00EE01FF" w:rsidRPr="00EE01FF" w:rsidRDefault="004430A1" w:rsidP="00EE01FF">
      <w:pPr>
        <w:pStyle w:val="Nadpis5"/>
        <w:rPr>
          <w:color w:val="1F3864" w:themeColor="accent1" w:themeShade="80"/>
        </w:rPr>
      </w:pPr>
      <w:hyperlink r:id="rId104" w:history="1">
        <w:r w:rsidR="00EE01FF" w:rsidRPr="00EE01FF">
          <w:rPr>
            <w:rStyle w:val="Hypertextovodkaz"/>
            <w:bCs/>
            <w:iCs/>
            <w:color w:val="1F3864" w:themeColor="accent1" w:themeShade="80"/>
            <w:u w:val="none"/>
          </w:rPr>
          <w:t>Operační</w:t>
        </w:r>
        <w:r w:rsidR="00EE01FF" w:rsidRPr="00EE01FF">
          <w:rPr>
            <w:rStyle w:val="Hypertextovodkaz"/>
            <w:b w:val="0"/>
            <w:bCs/>
            <w:i w:val="0"/>
            <w:iCs/>
            <w:color w:val="1F3864" w:themeColor="accent1" w:themeShade="80"/>
            <w:u w:val="none"/>
          </w:rPr>
          <w:t xml:space="preserve"> </w:t>
        </w:r>
        <w:r w:rsidR="00EE01FF" w:rsidRPr="00EE01FF">
          <w:rPr>
            <w:rStyle w:val="Hypertextovodkaz"/>
            <w:bCs/>
            <w:iCs/>
            <w:color w:val="1F3864" w:themeColor="accent1" w:themeShade="80"/>
            <w:u w:val="none"/>
          </w:rPr>
          <w:t>program Technická pomoc</w:t>
        </w:r>
      </w:hyperlink>
      <w:r w:rsidR="00EE01FF" w:rsidRPr="00EE01FF">
        <w:rPr>
          <w:bCs/>
          <w:iCs/>
          <w:color w:val="1F3864" w:themeColor="accent1" w:themeShade="80"/>
        </w:rPr>
        <w:t>, řízený Ministerstvem pro místní rozvoj</w:t>
      </w:r>
    </w:p>
    <w:p w14:paraId="040F00E3" w14:textId="77777777" w:rsidR="00EE01FF" w:rsidRPr="00EE01FF" w:rsidRDefault="004430A1" w:rsidP="00EE01FF">
      <w:pPr>
        <w:pStyle w:val="Nadpis5"/>
        <w:rPr>
          <w:color w:val="1F3864" w:themeColor="accent1" w:themeShade="80"/>
        </w:rPr>
      </w:pPr>
      <w:hyperlink r:id="rId105" w:history="1">
        <w:r w:rsidR="00EE01FF" w:rsidRPr="00EE01FF">
          <w:rPr>
            <w:rStyle w:val="Hypertextovodkaz"/>
            <w:bCs/>
            <w:iCs/>
            <w:color w:val="1F3864" w:themeColor="accent1" w:themeShade="80"/>
            <w:u w:val="none"/>
          </w:rPr>
          <w:t>Operační program Praha - pól růstu ČR</w:t>
        </w:r>
      </w:hyperlink>
      <w:r w:rsidR="00EE01FF" w:rsidRPr="00EE01FF">
        <w:rPr>
          <w:bCs/>
          <w:iCs/>
          <w:color w:val="1F3864" w:themeColor="accent1" w:themeShade="80"/>
        </w:rPr>
        <w:t>, řízený Magistrátem hlavního města Prahy</w:t>
      </w:r>
    </w:p>
    <w:p w14:paraId="4EA1B64B" w14:textId="77777777" w:rsidR="00EE01FF" w:rsidRPr="00EE01FF" w:rsidRDefault="004430A1" w:rsidP="00EE01FF">
      <w:pPr>
        <w:pStyle w:val="Nadpis5"/>
        <w:rPr>
          <w:color w:val="1F3864" w:themeColor="accent1" w:themeShade="80"/>
        </w:rPr>
      </w:pPr>
      <w:hyperlink r:id="rId106" w:history="1">
        <w:r w:rsidR="00EE01FF" w:rsidRPr="00EE01FF">
          <w:rPr>
            <w:rStyle w:val="Hypertextovodkaz"/>
            <w:bCs/>
            <w:iCs/>
            <w:color w:val="1F3864" w:themeColor="accent1" w:themeShade="80"/>
            <w:u w:val="none"/>
          </w:rPr>
          <w:t>Operační program Rybářstv</w:t>
        </w:r>
        <w:r w:rsidR="00EE01FF" w:rsidRPr="00EE01FF">
          <w:rPr>
            <w:rStyle w:val="Hypertextovodkaz"/>
            <w:b w:val="0"/>
            <w:bCs/>
            <w:i w:val="0"/>
            <w:iCs/>
            <w:color w:val="1F3864" w:themeColor="accent1" w:themeShade="80"/>
            <w:u w:val="none"/>
          </w:rPr>
          <w:t>í</w:t>
        </w:r>
      </w:hyperlink>
      <w:r w:rsidR="00EE01FF" w:rsidRPr="00EE01FF">
        <w:rPr>
          <w:bCs/>
          <w:iCs/>
          <w:color w:val="1F3864" w:themeColor="accent1" w:themeShade="80"/>
        </w:rPr>
        <w:t>, řízený Ministerstvem zemědělství;</w:t>
      </w:r>
    </w:p>
    <w:p w14:paraId="2CDB2D12" w14:textId="77777777" w:rsidR="00EE01FF" w:rsidRPr="00FC3B7C" w:rsidRDefault="00EE01FF" w:rsidP="00EE01FF"/>
    <w:p w14:paraId="6F5CCC80" w14:textId="77777777" w:rsidR="00EE01FF" w:rsidRPr="00FC3B7C" w:rsidRDefault="00EE01FF" w:rsidP="00EE01FF"/>
    <w:p w14:paraId="561E36D8" w14:textId="77777777" w:rsidR="00EE01FF" w:rsidRPr="00FC3B7C" w:rsidRDefault="00EE01FF" w:rsidP="00EE01FF">
      <w:r w:rsidRPr="00FC3B7C">
        <w:rPr>
          <w:noProof/>
        </w:rPr>
        <w:drawing>
          <wp:inline distT="0" distB="0" distL="0" distR="0" wp14:anchorId="0DCAA821" wp14:editId="462CC544">
            <wp:extent cx="5886000" cy="4708800"/>
            <wp:effectExtent l="0" t="0" r="635" b="0"/>
            <wp:docPr id="273" name="Obráze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33700" t="16259" r="18062" b="11805"/>
                    <a:stretch/>
                  </pic:blipFill>
                  <pic:spPr bwMode="auto">
                    <a:xfrm>
                      <a:off x="0" y="0"/>
                      <a:ext cx="5886000" cy="4708800"/>
                    </a:xfrm>
                    <a:prstGeom prst="rect">
                      <a:avLst/>
                    </a:prstGeom>
                    <a:ln>
                      <a:noFill/>
                    </a:ln>
                    <a:extLst>
                      <a:ext uri="{53640926-AAD7-44D8-BBD7-CCE9431645EC}">
                        <a14:shadowObscured xmlns:a14="http://schemas.microsoft.com/office/drawing/2010/main"/>
                      </a:ext>
                    </a:extLst>
                  </pic:spPr>
                </pic:pic>
              </a:graphicData>
            </a:graphic>
          </wp:inline>
        </w:drawing>
      </w:r>
    </w:p>
    <w:p w14:paraId="602AEF7B" w14:textId="77777777" w:rsidR="00EE01FF" w:rsidRDefault="00EE01FF" w:rsidP="00EE01FF"/>
    <w:p w14:paraId="6A323AEA" w14:textId="77777777" w:rsidR="00EE01FF" w:rsidRDefault="00EE01FF" w:rsidP="00EE01FF"/>
    <w:p w14:paraId="240B1F2B" w14:textId="773B34D5" w:rsidR="00EE01FF" w:rsidRDefault="00EE01FF" w:rsidP="00EE01FF"/>
    <w:p w14:paraId="3566BD3A" w14:textId="77777777" w:rsidR="00EE01FF" w:rsidRDefault="00EE01FF" w:rsidP="00EE01FF"/>
    <w:p w14:paraId="59B76745" w14:textId="77777777" w:rsidR="00EE01FF" w:rsidRPr="00FC3B7C" w:rsidRDefault="00EE01FF" w:rsidP="00EE01FF"/>
    <w:p w14:paraId="6C01BA2D" w14:textId="77777777" w:rsidR="00EE01FF" w:rsidRPr="00EE01FF" w:rsidRDefault="00EE01FF" w:rsidP="00EE01FF">
      <w:pPr>
        <w:pStyle w:val="Nadpis4"/>
        <w:rPr>
          <w:color w:val="1F3864" w:themeColor="accent1" w:themeShade="80"/>
        </w:rPr>
      </w:pPr>
      <w:r w:rsidRPr="00EE01FF">
        <w:rPr>
          <w:color w:val="1F3864" w:themeColor="accent1" w:themeShade="80"/>
        </w:rPr>
        <w:lastRenderedPageBreak/>
        <w:t>Programy přeshraniční spolupráce</w:t>
      </w:r>
    </w:p>
    <w:p w14:paraId="195030B5" w14:textId="77777777" w:rsidR="00EE01FF" w:rsidRPr="00FC3B7C" w:rsidRDefault="00EE01FF" w:rsidP="00EE01FF">
      <w:pPr>
        <w:rPr>
          <w:rFonts w:eastAsia="Times New Roman"/>
          <w:szCs w:val="24"/>
        </w:rPr>
      </w:pPr>
      <w:r w:rsidRPr="00FC3B7C">
        <w:t>Patří sem regionální a místní projekty s přeshraničním významem.</w:t>
      </w:r>
    </w:p>
    <w:p w14:paraId="34695A02" w14:textId="77777777" w:rsidR="00EE01FF" w:rsidRPr="00FC3B7C" w:rsidRDefault="00EE01FF" w:rsidP="00EE01FF">
      <w:pPr>
        <w:rPr>
          <w:rFonts w:eastAsia="Times New Roman"/>
          <w:szCs w:val="24"/>
        </w:rPr>
      </w:pPr>
      <w:r w:rsidRPr="00FC3B7C">
        <w:t>Například programy: Interreg V-A Česká republika-Polsko, Interreg V-A Slovenská republika-Česká republika</w:t>
      </w:r>
    </w:p>
    <w:p w14:paraId="48AED8CA" w14:textId="77777777" w:rsidR="00EE01FF" w:rsidRPr="00EE01FF" w:rsidRDefault="00EE01FF" w:rsidP="00EE01FF">
      <w:pPr>
        <w:rPr>
          <w:rFonts w:eastAsia="Times New Roman"/>
          <w:color w:val="1F3864" w:themeColor="accent1" w:themeShade="80"/>
        </w:rPr>
      </w:pPr>
    </w:p>
    <w:p w14:paraId="3101E165" w14:textId="45DFFDD8" w:rsidR="00EE01FF" w:rsidRPr="00EE01FF" w:rsidRDefault="00EE01FF" w:rsidP="00EE01FF">
      <w:pPr>
        <w:pStyle w:val="Nadpis4"/>
        <w:rPr>
          <w:color w:val="1F3864" w:themeColor="accent1" w:themeShade="80"/>
        </w:rPr>
      </w:pPr>
      <w:r w:rsidRPr="00EE01FF">
        <w:rPr>
          <w:color w:val="1F3864" w:themeColor="accent1" w:themeShade="80"/>
        </w:rPr>
        <w:t>Programy nadnárodní a meziregionální spolupráce</w:t>
      </w:r>
    </w:p>
    <w:p w14:paraId="3030AF0B" w14:textId="77777777" w:rsidR="00EE01FF" w:rsidRPr="00FC3B7C" w:rsidRDefault="00EE01FF" w:rsidP="00EE01FF">
      <w:r w:rsidRPr="00FC3B7C">
        <w:t>Cílem je řešení společných problémů nadnárodního významu.</w:t>
      </w:r>
    </w:p>
    <w:p w14:paraId="56B7FA2F" w14:textId="113254A0" w:rsidR="00EE01FF" w:rsidRPr="00FC3B7C" w:rsidRDefault="00EE01FF" w:rsidP="00EE01FF">
      <w:pPr>
        <w:rPr>
          <w:sz w:val="20"/>
          <w:szCs w:val="20"/>
        </w:rPr>
      </w:pPr>
      <w:r w:rsidRPr="00FC3B7C">
        <w:t>Např. Interreg CENTRAL EUROPE</w:t>
      </w:r>
      <w:bookmarkStart w:id="304" w:name="page342"/>
      <w:bookmarkStart w:id="305" w:name="page343"/>
      <w:bookmarkEnd w:id="304"/>
      <w:bookmarkEnd w:id="305"/>
      <w:r w:rsidR="00847363">
        <w:t xml:space="preserve"> </w:t>
      </w:r>
      <w:r w:rsidRPr="00FC3B7C">
        <w:rPr>
          <w:rFonts w:eastAsia="Times New Roman"/>
          <w:sz w:val="23"/>
          <w:szCs w:val="23"/>
        </w:rPr>
        <w:t xml:space="preserve">síťové programy </w:t>
      </w:r>
      <w:r w:rsidRPr="00FC3B7C">
        <w:rPr>
          <w:rFonts w:eastAsia="Times New Roman"/>
          <w:i/>
          <w:iCs/>
          <w:sz w:val="23"/>
          <w:szCs w:val="23"/>
        </w:rPr>
        <w:t>ESPON2013</w:t>
      </w:r>
      <w:r w:rsidRPr="00FC3B7C">
        <w:rPr>
          <w:rFonts w:eastAsia="Times New Roman"/>
          <w:sz w:val="23"/>
          <w:szCs w:val="23"/>
        </w:rPr>
        <w:t xml:space="preserve">, který je zaměřen na výzkum evropského území a </w:t>
      </w:r>
      <w:r w:rsidRPr="00FC3B7C">
        <w:rPr>
          <w:rFonts w:eastAsia="Times New Roman"/>
          <w:i/>
          <w:iCs/>
          <w:sz w:val="23"/>
          <w:szCs w:val="23"/>
        </w:rPr>
        <w:t>INTERACT II</w:t>
      </w:r>
      <w:r w:rsidRPr="00FC3B7C">
        <w:rPr>
          <w:rFonts w:eastAsia="Times New Roman"/>
          <w:sz w:val="23"/>
          <w:szCs w:val="23"/>
        </w:rPr>
        <w:t>,</w:t>
      </w:r>
      <w:r w:rsidRPr="0097403B">
        <w:rPr>
          <w:rFonts w:eastAsia="Times New Roman"/>
          <w:szCs w:val="24"/>
        </w:rPr>
        <w:t xml:space="preserve"> </w:t>
      </w:r>
      <w:r w:rsidRPr="00FC3B7C">
        <w:rPr>
          <w:rFonts w:eastAsia="Times New Roman"/>
          <w:szCs w:val="24"/>
        </w:rPr>
        <w:t>zaměřený na šíření výstupů programů cíle evropské územní spolupráce.</w:t>
      </w:r>
    </w:p>
    <w:p w14:paraId="6B05B7F6" w14:textId="77777777" w:rsidR="00EE01FF" w:rsidRPr="00FC3B7C" w:rsidRDefault="00EE01FF" w:rsidP="00EE01FF">
      <w:pPr>
        <w:rPr>
          <w:sz w:val="20"/>
          <w:szCs w:val="20"/>
        </w:rPr>
      </w:pPr>
    </w:p>
    <w:p w14:paraId="556F3EDE" w14:textId="77777777" w:rsidR="00EE01FF" w:rsidRPr="00FC3B7C" w:rsidRDefault="00EE01FF" w:rsidP="00EE01FF">
      <w:pPr>
        <w:spacing w:line="20" w:lineRule="exact"/>
        <w:rPr>
          <w:sz w:val="20"/>
          <w:szCs w:val="20"/>
        </w:rPr>
      </w:pPr>
      <w:r w:rsidRPr="00FC3B7C">
        <w:rPr>
          <w:noProof/>
          <w:sz w:val="20"/>
          <w:szCs w:val="20"/>
        </w:rPr>
        <w:drawing>
          <wp:anchor distT="0" distB="0" distL="114300" distR="114300" simplePos="0" relativeHeight="251811328" behindDoc="1" locked="0" layoutInCell="0" allowOverlap="1" wp14:anchorId="572EB6CB" wp14:editId="3E989E64">
            <wp:simplePos x="0" y="0"/>
            <wp:positionH relativeFrom="column">
              <wp:posOffset>46355</wp:posOffset>
            </wp:positionH>
            <wp:positionV relativeFrom="paragraph">
              <wp:posOffset>181610</wp:posOffset>
            </wp:positionV>
            <wp:extent cx="5748655" cy="4117975"/>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08"/>
                    <a:srcRect/>
                    <a:stretch>
                      <a:fillRect/>
                    </a:stretch>
                  </pic:blipFill>
                  <pic:spPr bwMode="auto">
                    <a:xfrm>
                      <a:off x="0" y="0"/>
                      <a:ext cx="5748655" cy="4117975"/>
                    </a:xfrm>
                    <a:prstGeom prst="rect">
                      <a:avLst/>
                    </a:prstGeom>
                    <a:noFill/>
                  </pic:spPr>
                </pic:pic>
              </a:graphicData>
            </a:graphic>
          </wp:anchor>
        </w:drawing>
      </w:r>
    </w:p>
    <w:p w14:paraId="27CBB712" w14:textId="77777777" w:rsidR="00EE01FF" w:rsidRPr="00FC3B7C" w:rsidRDefault="00EE01FF" w:rsidP="00EE01FF">
      <w:pPr>
        <w:spacing w:line="200" w:lineRule="exact"/>
        <w:rPr>
          <w:sz w:val="20"/>
          <w:szCs w:val="20"/>
        </w:rPr>
      </w:pPr>
    </w:p>
    <w:p w14:paraId="4D3B0102" w14:textId="77777777" w:rsidR="00EE01FF" w:rsidRPr="00FC3B7C" w:rsidRDefault="00EE01FF" w:rsidP="00EE01FF">
      <w:pPr>
        <w:spacing w:line="200" w:lineRule="exact"/>
        <w:rPr>
          <w:sz w:val="20"/>
          <w:szCs w:val="20"/>
        </w:rPr>
      </w:pPr>
    </w:p>
    <w:p w14:paraId="6BA290E7" w14:textId="77777777" w:rsidR="00EE01FF" w:rsidRPr="00FC3B7C" w:rsidRDefault="00EE01FF" w:rsidP="00EE01FF">
      <w:pPr>
        <w:spacing w:line="200" w:lineRule="exact"/>
        <w:rPr>
          <w:sz w:val="20"/>
          <w:szCs w:val="20"/>
        </w:rPr>
      </w:pPr>
    </w:p>
    <w:p w14:paraId="569DCC54" w14:textId="77777777" w:rsidR="00EE01FF" w:rsidRPr="00FC3B7C" w:rsidRDefault="00EE01FF" w:rsidP="00EE01FF">
      <w:pPr>
        <w:spacing w:line="200" w:lineRule="exact"/>
        <w:rPr>
          <w:sz w:val="20"/>
          <w:szCs w:val="20"/>
        </w:rPr>
      </w:pPr>
    </w:p>
    <w:p w14:paraId="7EB48742" w14:textId="77777777" w:rsidR="00EE01FF" w:rsidRPr="00FC3B7C" w:rsidRDefault="00EE01FF" w:rsidP="00EE01FF">
      <w:pPr>
        <w:spacing w:line="200" w:lineRule="exact"/>
        <w:rPr>
          <w:sz w:val="20"/>
          <w:szCs w:val="20"/>
        </w:rPr>
      </w:pPr>
    </w:p>
    <w:p w14:paraId="6EB5D986" w14:textId="77777777" w:rsidR="00EE01FF" w:rsidRPr="00FC3B7C" w:rsidRDefault="00EE01FF" w:rsidP="00EE01FF">
      <w:pPr>
        <w:spacing w:line="200" w:lineRule="exact"/>
        <w:rPr>
          <w:sz w:val="20"/>
          <w:szCs w:val="20"/>
        </w:rPr>
      </w:pPr>
    </w:p>
    <w:p w14:paraId="5166CEE8" w14:textId="77777777" w:rsidR="00EE01FF" w:rsidRPr="00FC3B7C" w:rsidRDefault="00EE01FF" w:rsidP="00EE01FF">
      <w:pPr>
        <w:spacing w:line="200" w:lineRule="exact"/>
        <w:rPr>
          <w:sz w:val="20"/>
          <w:szCs w:val="20"/>
        </w:rPr>
      </w:pPr>
    </w:p>
    <w:p w14:paraId="701C8367" w14:textId="77777777" w:rsidR="00EE01FF" w:rsidRPr="00FC3B7C" w:rsidRDefault="00EE01FF" w:rsidP="00EE01FF">
      <w:pPr>
        <w:spacing w:line="200" w:lineRule="exact"/>
        <w:rPr>
          <w:sz w:val="20"/>
          <w:szCs w:val="20"/>
        </w:rPr>
      </w:pPr>
    </w:p>
    <w:p w14:paraId="10EA008E" w14:textId="77777777" w:rsidR="00EE01FF" w:rsidRPr="00FC3B7C" w:rsidRDefault="00EE01FF" w:rsidP="00EE01FF">
      <w:pPr>
        <w:spacing w:line="200" w:lineRule="exact"/>
        <w:rPr>
          <w:sz w:val="20"/>
          <w:szCs w:val="20"/>
        </w:rPr>
      </w:pPr>
    </w:p>
    <w:p w14:paraId="7C23FE0E" w14:textId="77777777" w:rsidR="00EE01FF" w:rsidRPr="00FC3B7C" w:rsidRDefault="00EE01FF" w:rsidP="00EE01FF">
      <w:pPr>
        <w:spacing w:line="200" w:lineRule="exact"/>
        <w:rPr>
          <w:sz w:val="20"/>
          <w:szCs w:val="20"/>
        </w:rPr>
      </w:pPr>
    </w:p>
    <w:p w14:paraId="0BD66151" w14:textId="77777777" w:rsidR="00EE01FF" w:rsidRPr="00FC3B7C" w:rsidRDefault="00EE01FF" w:rsidP="00EE01FF">
      <w:pPr>
        <w:spacing w:line="200" w:lineRule="exact"/>
        <w:rPr>
          <w:sz w:val="20"/>
          <w:szCs w:val="20"/>
        </w:rPr>
      </w:pPr>
    </w:p>
    <w:p w14:paraId="3A600837" w14:textId="77777777" w:rsidR="00EE01FF" w:rsidRPr="00FC3B7C" w:rsidRDefault="00EE01FF" w:rsidP="00EE01FF">
      <w:pPr>
        <w:spacing w:line="200" w:lineRule="exact"/>
        <w:rPr>
          <w:sz w:val="20"/>
          <w:szCs w:val="20"/>
        </w:rPr>
      </w:pPr>
    </w:p>
    <w:p w14:paraId="1127EAC5" w14:textId="77777777" w:rsidR="00EE01FF" w:rsidRPr="00FC3B7C" w:rsidRDefault="00EE01FF" w:rsidP="00EE01FF">
      <w:pPr>
        <w:spacing w:line="200" w:lineRule="exact"/>
        <w:rPr>
          <w:sz w:val="20"/>
          <w:szCs w:val="20"/>
        </w:rPr>
      </w:pPr>
    </w:p>
    <w:p w14:paraId="4366314D" w14:textId="77777777" w:rsidR="00EE01FF" w:rsidRPr="00FC3B7C" w:rsidRDefault="00EE01FF" w:rsidP="00EE01FF">
      <w:pPr>
        <w:spacing w:line="200" w:lineRule="exact"/>
        <w:rPr>
          <w:sz w:val="20"/>
          <w:szCs w:val="20"/>
        </w:rPr>
      </w:pPr>
    </w:p>
    <w:p w14:paraId="427E377B" w14:textId="77777777" w:rsidR="00EE01FF" w:rsidRPr="00FC3B7C" w:rsidRDefault="00EE01FF" w:rsidP="00EE01FF">
      <w:pPr>
        <w:spacing w:line="200" w:lineRule="exact"/>
        <w:rPr>
          <w:sz w:val="20"/>
          <w:szCs w:val="20"/>
        </w:rPr>
      </w:pPr>
    </w:p>
    <w:p w14:paraId="7F2341B9" w14:textId="77777777" w:rsidR="00EE01FF" w:rsidRPr="00FC3B7C" w:rsidRDefault="00EE01FF" w:rsidP="00EE01FF">
      <w:pPr>
        <w:spacing w:line="200" w:lineRule="exact"/>
        <w:rPr>
          <w:sz w:val="20"/>
          <w:szCs w:val="20"/>
        </w:rPr>
      </w:pPr>
    </w:p>
    <w:p w14:paraId="069D4076" w14:textId="77777777" w:rsidR="00EE01FF" w:rsidRPr="00FC3B7C" w:rsidRDefault="00EE01FF" w:rsidP="00EE01FF">
      <w:pPr>
        <w:spacing w:line="200" w:lineRule="exact"/>
        <w:rPr>
          <w:sz w:val="20"/>
          <w:szCs w:val="20"/>
        </w:rPr>
      </w:pPr>
    </w:p>
    <w:p w14:paraId="59BE91DC" w14:textId="77777777" w:rsidR="00EE01FF" w:rsidRPr="00FC3B7C" w:rsidRDefault="00EE01FF" w:rsidP="00EE01FF">
      <w:pPr>
        <w:spacing w:line="200" w:lineRule="exact"/>
        <w:rPr>
          <w:sz w:val="20"/>
          <w:szCs w:val="20"/>
        </w:rPr>
      </w:pPr>
    </w:p>
    <w:p w14:paraId="7EEE7817" w14:textId="77777777" w:rsidR="00EE01FF" w:rsidRPr="00FC3B7C" w:rsidRDefault="00EE01FF" w:rsidP="00EE01FF">
      <w:pPr>
        <w:spacing w:line="200" w:lineRule="exact"/>
        <w:rPr>
          <w:sz w:val="20"/>
          <w:szCs w:val="20"/>
        </w:rPr>
      </w:pPr>
    </w:p>
    <w:p w14:paraId="1D81FC06" w14:textId="77777777" w:rsidR="00EE01FF" w:rsidRPr="00FC3B7C" w:rsidRDefault="00EE01FF" w:rsidP="00EE01FF">
      <w:pPr>
        <w:spacing w:line="200" w:lineRule="exact"/>
        <w:rPr>
          <w:sz w:val="20"/>
          <w:szCs w:val="20"/>
        </w:rPr>
      </w:pPr>
    </w:p>
    <w:p w14:paraId="1EAE3ACA" w14:textId="77777777" w:rsidR="00EE01FF" w:rsidRPr="00FC3B7C" w:rsidRDefault="00EE01FF" w:rsidP="00EE01FF">
      <w:pPr>
        <w:spacing w:line="200" w:lineRule="exact"/>
        <w:rPr>
          <w:sz w:val="20"/>
          <w:szCs w:val="20"/>
        </w:rPr>
      </w:pPr>
    </w:p>
    <w:p w14:paraId="1D120B3C" w14:textId="77777777" w:rsidR="00EE01FF" w:rsidRPr="00FC3B7C" w:rsidRDefault="00EE01FF" w:rsidP="00EE01FF">
      <w:pPr>
        <w:spacing w:line="200" w:lineRule="exact"/>
        <w:rPr>
          <w:sz w:val="20"/>
          <w:szCs w:val="20"/>
        </w:rPr>
      </w:pPr>
    </w:p>
    <w:p w14:paraId="5845CAF2" w14:textId="77777777" w:rsidR="00EE01FF" w:rsidRPr="00FC3B7C" w:rsidRDefault="00EE01FF" w:rsidP="00EE01FF">
      <w:pPr>
        <w:spacing w:line="200" w:lineRule="exact"/>
        <w:rPr>
          <w:sz w:val="20"/>
          <w:szCs w:val="20"/>
        </w:rPr>
      </w:pPr>
    </w:p>
    <w:p w14:paraId="08879111" w14:textId="77777777" w:rsidR="00EE01FF" w:rsidRPr="00FC3B7C" w:rsidRDefault="00EE01FF" w:rsidP="00EE01FF">
      <w:pPr>
        <w:spacing w:line="200" w:lineRule="exact"/>
        <w:rPr>
          <w:sz w:val="20"/>
          <w:szCs w:val="20"/>
        </w:rPr>
      </w:pPr>
    </w:p>
    <w:p w14:paraId="53D4E2E9" w14:textId="77777777" w:rsidR="00EE01FF" w:rsidRPr="00FC3B7C" w:rsidRDefault="00EE01FF" w:rsidP="00EE01FF">
      <w:pPr>
        <w:spacing w:line="200" w:lineRule="exact"/>
        <w:rPr>
          <w:sz w:val="20"/>
          <w:szCs w:val="20"/>
        </w:rPr>
      </w:pPr>
    </w:p>
    <w:p w14:paraId="2911E527" w14:textId="77777777" w:rsidR="00EE01FF" w:rsidRPr="00FC3B7C" w:rsidRDefault="00EE01FF" w:rsidP="00EE01FF">
      <w:pPr>
        <w:spacing w:line="200" w:lineRule="exact"/>
        <w:rPr>
          <w:sz w:val="20"/>
          <w:szCs w:val="20"/>
        </w:rPr>
      </w:pPr>
    </w:p>
    <w:p w14:paraId="2E90E136" w14:textId="77777777" w:rsidR="00EE01FF" w:rsidRPr="00FC3B7C" w:rsidRDefault="00EE01FF" w:rsidP="00EE01FF">
      <w:pPr>
        <w:spacing w:line="200" w:lineRule="exact"/>
        <w:rPr>
          <w:sz w:val="20"/>
          <w:szCs w:val="20"/>
        </w:rPr>
      </w:pPr>
    </w:p>
    <w:p w14:paraId="071C9882" w14:textId="77777777" w:rsidR="00EE01FF" w:rsidRPr="00FC3B7C" w:rsidRDefault="00EE01FF" w:rsidP="00EE01FF">
      <w:pPr>
        <w:spacing w:line="200" w:lineRule="exact"/>
        <w:rPr>
          <w:sz w:val="20"/>
          <w:szCs w:val="20"/>
        </w:rPr>
      </w:pPr>
    </w:p>
    <w:p w14:paraId="6F135611" w14:textId="77777777" w:rsidR="00EE01FF" w:rsidRPr="00FC3B7C" w:rsidRDefault="00EE01FF" w:rsidP="00EE01FF">
      <w:pPr>
        <w:spacing w:line="200" w:lineRule="exact"/>
        <w:rPr>
          <w:sz w:val="20"/>
          <w:szCs w:val="20"/>
        </w:rPr>
      </w:pPr>
    </w:p>
    <w:p w14:paraId="53D9B5C6" w14:textId="77777777" w:rsidR="00EE01FF" w:rsidRPr="00FC3B7C" w:rsidRDefault="00EE01FF" w:rsidP="00EE01FF">
      <w:pPr>
        <w:spacing w:line="200" w:lineRule="exact"/>
        <w:rPr>
          <w:sz w:val="20"/>
          <w:szCs w:val="20"/>
        </w:rPr>
      </w:pPr>
    </w:p>
    <w:p w14:paraId="621F4079" w14:textId="77777777" w:rsidR="00EE01FF" w:rsidRPr="00FC3B7C" w:rsidRDefault="00EE01FF" w:rsidP="00EE01FF">
      <w:pPr>
        <w:spacing w:line="200" w:lineRule="exact"/>
        <w:rPr>
          <w:sz w:val="20"/>
          <w:szCs w:val="20"/>
        </w:rPr>
      </w:pPr>
    </w:p>
    <w:p w14:paraId="63F9501A" w14:textId="77777777" w:rsidR="00EE01FF" w:rsidRPr="00FC3B7C" w:rsidRDefault="00EE01FF" w:rsidP="00EE01FF">
      <w:pPr>
        <w:spacing w:line="200" w:lineRule="exact"/>
        <w:rPr>
          <w:sz w:val="20"/>
          <w:szCs w:val="20"/>
        </w:rPr>
      </w:pPr>
    </w:p>
    <w:p w14:paraId="6E82CFBB" w14:textId="77777777" w:rsidR="00EE01FF" w:rsidRPr="00FC3B7C" w:rsidRDefault="00EE01FF" w:rsidP="00EE01FF">
      <w:pPr>
        <w:spacing w:line="356" w:lineRule="exact"/>
        <w:rPr>
          <w:sz w:val="20"/>
          <w:szCs w:val="20"/>
        </w:rPr>
      </w:pPr>
    </w:p>
    <w:p w14:paraId="2B68346B" w14:textId="77777777" w:rsidR="00EE01FF" w:rsidRPr="00FC3B7C" w:rsidRDefault="00EE01FF" w:rsidP="00EE01FF">
      <w:pPr>
        <w:spacing w:line="200" w:lineRule="exact"/>
        <w:rPr>
          <w:sz w:val="20"/>
          <w:szCs w:val="20"/>
        </w:rPr>
      </w:pPr>
    </w:p>
    <w:p w14:paraId="57AFAD88" w14:textId="77777777" w:rsidR="00EE01FF" w:rsidRPr="00FC3B7C" w:rsidRDefault="00EE01FF" w:rsidP="00EE01FF">
      <w:pPr>
        <w:spacing w:line="200" w:lineRule="exact"/>
        <w:rPr>
          <w:sz w:val="20"/>
          <w:szCs w:val="20"/>
        </w:rPr>
      </w:pPr>
    </w:p>
    <w:p w14:paraId="09A1313F" w14:textId="77777777" w:rsidR="00EE01FF" w:rsidRPr="00FC3B7C" w:rsidRDefault="00EE01FF" w:rsidP="00EE01FF">
      <w:pPr>
        <w:spacing w:line="311" w:lineRule="exact"/>
        <w:rPr>
          <w:sz w:val="20"/>
          <w:szCs w:val="20"/>
        </w:rPr>
      </w:pPr>
    </w:p>
    <w:p w14:paraId="07EAF483" w14:textId="77777777" w:rsidR="00EE01FF" w:rsidRDefault="00EE01FF" w:rsidP="00EE01FF">
      <w:pPr>
        <w:ind w:left="440"/>
        <w:rPr>
          <w:rFonts w:eastAsia="Times New Roman"/>
          <w:b/>
          <w:bCs/>
          <w:sz w:val="28"/>
          <w:szCs w:val="28"/>
        </w:rPr>
      </w:pPr>
    </w:p>
    <w:p w14:paraId="5BB30906" w14:textId="77777777" w:rsidR="00EE01FF" w:rsidRDefault="00EE01FF" w:rsidP="00EE01FF">
      <w:pPr>
        <w:ind w:left="440"/>
        <w:rPr>
          <w:rFonts w:eastAsia="Times New Roman"/>
          <w:b/>
          <w:bCs/>
          <w:sz w:val="28"/>
          <w:szCs w:val="28"/>
        </w:rPr>
      </w:pPr>
    </w:p>
    <w:p w14:paraId="7E6E174C" w14:textId="77777777" w:rsidR="00EE01FF" w:rsidRDefault="00EE01FF" w:rsidP="00EE01FF">
      <w:pPr>
        <w:ind w:left="440"/>
        <w:rPr>
          <w:rFonts w:eastAsia="Times New Roman"/>
          <w:b/>
          <w:bCs/>
          <w:sz w:val="28"/>
          <w:szCs w:val="28"/>
        </w:rPr>
      </w:pPr>
    </w:p>
    <w:p w14:paraId="6080C2EE" w14:textId="77777777" w:rsidR="00EE01FF" w:rsidRPr="00EE01FF" w:rsidRDefault="00EE01FF" w:rsidP="00EE01FF">
      <w:pPr>
        <w:pStyle w:val="Nadpis3"/>
        <w:rPr>
          <w:color w:val="1F3864" w:themeColor="accent1" w:themeShade="80"/>
          <w:sz w:val="20"/>
          <w:szCs w:val="20"/>
        </w:rPr>
      </w:pPr>
      <w:r w:rsidRPr="00EE01FF">
        <w:rPr>
          <w:rFonts w:eastAsia="Times New Roman"/>
          <w:color w:val="1F3864" w:themeColor="accent1" w:themeShade="80"/>
        </w:rPr>
        <w:lastRenderedPageBreak/>
        <w:t>Regionální politika ČR</w:t>
      </w:r>
    </w:p>
    <w:p w14:paraId="46C31C45" w14:textId="77777777" w:rsidR="00EE01FF" w:rsidRPr="00FC3B7C" w:rsidRDefault="00EE01FF" w:rsidP="00EE01FF">
      <w:pPr>
        <w:spacing w:line="200" w:lineRule="exact"/>
        <w:rPr>
          <w:sz w:val="20"/>
          <w:szCs w:val="20"/>
        </w:rPr>
      </w:pPr>
    </w:p>
    <w:p w14:paraId="46206DEA" w14:textId="77777777" w:rsidR="00EE01FF" w:rsidRPr="00FC3B7C" w:rsidRDefault="00EE01FF" w:rsidP="00EE01FF">
      <w:pPr>
        <w:rPr>
          <w:sz w:val="20"/>
          <w:szCs w:val="20"/>
        </w:rPr>
      </w:pPr>
      <w:r w:rsidRPr="00FC3B7C">
        <w:rPr>
          <w:rFonts w:eastAsia="Times New Roman"/>
          <w:szCs w:val="24"/>
        </w:rPr>
        <w:t>Cílem regionální politiky ČR je přispívat k vyváženému a harmonickému rozvoji jednotlivých regionů v ČR, ke snižování rozdílů mezi úrovněmi rozvoje jednotlivých regionů a ke zlepšení regionální hospodářské struktury.</w:t>
      </w:r>
    </w:p>
    <w:p w14:paraId="65258498" w14:textId="77777777" w:rsidR="00EE01FF" w:rsidRPr="00FC3B7C" w:rsidRDefault="00EE01FF" w:rsidP="00EE01FF">
      <w:pPr>
        <w:rPr>
          <w:sz w:val="20"/>
          <w:szCs w:val="20"/>
        </w:rPr>
      </w:pPr>
      <w:r w:rsidRPr="00FC3B7C">
        <w:rPr>
          <w:rFonts w:eastAsia="Times New Roman"/>
          <w:b/>
          <w:bCs/>
          <w:szCs w:val="24"/>
        </w:rPr>
        <w:t>Institucionální zabezpečení fondů EU v České republice:</w:t>
      </w:r>
    </w:p>
    <w:p w14:paraId="6B5CAC35" w14:textId="77777777" w:rsidR="00EE01FF" w:rsidRPr="00FC3B7C" w:rsidRDefault="00EE01FF" w:rsidP="00EE01FF">
      <w:pPr>
        <w:rPr>
          <w:sz w:val="20"/>
          <w:szCs w:val="20"/>
        </w:rPr>
      </w:pPr>
      <w:r w:rsidRPr="00FC3B7C">
        <w:rPr>
          <w:rFonts w:eastAsia="Times New Roman"/>
          <w:szCs w:val="24"/>
        </w:rPr>
        <w:t xml:space="preserve">Ministerstvo pro místní rozvoj je centrálním koordinátorem pro využívání fondů EU v ČR. Ministerstvo současně zodpovídá za tvorbu Národního rozvojového plánu, </w:t>
      </w:r>
      <w:r w:rsidRPr="00FC3B7C">
        <w:rPr>
          <w:rFonts w:eastAsia="Times New Roman"/>
          <w:i/>
          <w:iCs/>
          <w:szCs w:val="24"/>
        </w:rPr>
        <w:t>Národního</w:t>
      </w:r>
      <w:r w:rsidRPr="00FC3B7C">
        <w:rPr>
          <w:rFonts w:eastAsia="Times New Roman"/>
          <w:szCs w:val="24"/>
        </w:rPr>
        <w:t xml:space="preserve"> </w:t>
      </w:r>
      <w:r w:rsidRPr="00FC3B7C">
        <w:rPr>
          <w:rFonts w:eastAsia="Times New Roman"/>
          <w:i/>
          <w:iCs/>
          <w:szCs w:val="24"/>
        </w:rPr>
        <w:t xml:space="preserve">strategického referenčního rámce </w:t>
      </w:r>
      <w:r w:rsidRPr="00FC3B7C">
        <w:rPr>
          <w:rFonts w:eastAsia="Times New Roman"/>
          <w:szCs w:val="24"/>
        </w:rPr>
        <w:t>a dalších dokumentů</w:t>
      </w:r>
      <w:r w:rsidRPr="00FC3B7C">
        <w:rPr>
          <w:rFonts w:eastAsia="Times New Roman"/>
          <w:i/>
          <w:iCs/>
          <w:szCs w:val="24"/>
        </w:rPr>
        <w:t xml:space="preserve"> </w:t>
      </w:r>
      <w:r w:rsidRPr="00FC3B7C">
        <w:rPr>
          <w:rFonts w:eastAsia="Times New Roman"/>
          <w:szCs w:val="24"/>
        </w:rPr>
        <w:t>na léta 2007 až</w:t>
      </w:r>
      <w:r w:rsidRPr="00FC3B7C">
        <w:rPr>
          <w:rFonts w:eastAsia="Times New Roman"/>
          <w:i/>
          <w:iCs/>
          <w:szCs w:val="24"/>
        </w:rPr>
        <w:t xml:space="preserve"> </w:t>
      </w:r>
      <w:r w:rsidRPr="00FC3B7C">
        <w:rPr>
          <w:rFonts w:eastAsia="Times New Roman"/>
          <w:szCs w:val="24"/>
        </w:rPr>
        <w:t>2013. Přípravu</w:t>
      </w:r>
      <w:r w:rsidRPr="00FC3B7C">
        <w:rPr>
          <w:rFonts w:eastAsia="Times New Roman"/>
          <w:i/>
          <w:iCs/>
          <w:szCs w:val="24"/>
        </w:rPr>
        <w:t xml:space="preserve"> </w:t>
      </w:r>
      <w:r w:rsidRPr="00FC3B7C">
        <w:rPr>
          <w:rFonts w:eastAsia="Times New Roman"/>
          <w:szCs w:val="24"/>
        </w:rPr>
        <w:t xml:space="preserve">dokumentů na národní úrovni zaštiťuje </w:t>
      </w:r>
      <w:r w:rsidRPr="00FC3B7C">
        <w:rPr>
          <w:rFonts w:eastAsia="Times New Roman"/>
          <w:i/>
          <w:iCs/>
          <w:szCs w:val="24"/>
        </w:rPr>
        <w:t>Řídicí a koordinační výbor</w:t>
      </w:r>
      <w:r w:rsidRPr="00FC3B7C">
        <w:rPr>
          <w:rFonts w:eastAsia="Times New Roman"/>
          <w:szCs w:val="24"/>
        </w:rPr>
        <w:t>, výboru předsedá ministr pro místní rozvoj a činnost sekretariátu ŘKV vykonává Odbor evropských fondů MMR ČR.</w:t>
      </w:r>
    </w:p>
    <w:p w14:paraId="5D476A28" w14:textId="77777777" w:rsidR="00EE01FF" w:rsidRPr="00FC3B7C" w:rsidRDefault="00EE01FF" w:rsidP="00EE01FF">
      <w:pPr>
        <w:spacing w:line="4" w:lineRule="exact"/>
        <w:rPr>
          <w:sz w:val="20"/>
          <w:szCs w:val="20"/>
        </w:rPr>
      </w:pPr>
    </w:p>
    <w:p w14:paraId="17C078F2" w14:textId="77777777" w:rsidR="00EE01FF" w:rsidRPr="00FC3B7C" w:rsidRDefault="00EE01FF" w:rsidP="00EE01FF">
      <w:pPr>
        <w:rPr>
          <w:sz w:val="20"/>
          <w:szCs w:val="20"/>
        </w:rPr>
      </w:pPr>
      <w:r w:rsidRPr="00FC3B7C">
        <w:rPr>
          <w:rFonts w:eastAsia="Times New Roman"/>
          <w:b/>
          <w:bCs/>
          <w:szCs w:val="24"/>
        </w:rPr>
        <w:t>Formování české regionální politiky:</w:t>
      </w:r>
    </w:p>
    <w:p w14:paraId="4DEC8B6B" w14:textId="77777777" w:rsidR="00EE01FF" w:rsidRPr="00FC3B7C" w:rsidRDefault="00EE01FF" w:rsidP="00EE01FF">
      <w:pPr>
        <w:rPr>
          <w:sz w:val="20"/>
          <w:szCs w:val="20"/>
        </w:rPr>
      </w:pPr>
      <w:bookmarkStart w:id="306" w:name="page344"/>
      <w:bookmarkEnd w:id="306"/>
      <w:r w:rsidRPr="00FC3B7C">
        <w:rPr>
          <w:rFonts w:eastAsia="Times New Roman"/>
          <w:szCs w:val="24"/>
        </w:rPr>
        <w:t>Regionální politika nehrála v první polovině devadesátých let v České republice tak významnou roli, jako tomu bylo a je ve většině zemí Evropské unie. Důvody:</w:t>
      </w:r>
    </w:p>
    <w:p w14:paraId="06AD67DC" w14:textId="77777777" w:rsidR="00EE01FF" w:rsidRPr="00FC3B7C" w:rsidRDefault="00EE01FF" w:rsidP="00D46B53">
      <w:pPr>
        <w:numPr>
          <w:ilvl w:val="0"/>
          <w:numId w:val="284"/>
        </w:numPr>
        <w:tabs>
          <w:tab w:val="left" w:pos="1560"/>
        </w:tabs>
        <w:ind w:left="1560" w:hanging="353"/>
        <w:rPr>
          <w:rFonts w:eastAsia="Arial"/>
          <w:szCs w:val="24"/>
        </w:rPr>
      </w:pPr>
      <w:r w:rsidRPr="00FC3B7C">
        <w:rPr>
          <w:rFonts w:eastAsia="Times New Roman"/>
          <w:szCs w:val="24"/>
        </w:rPr>
        <w:t>hlavní pozornost byla věnována řešení transformačních problémů na úrovni celého státu, protože tyto problémy měly převážně makroekonomickou podstatu zasahující plošně celé území</w:t>
      </w:r>
    </w:p>
    <w:p w14:paraId="45760A2F" w14:textId="77777777" w:rsidR="00EE01FF" w:rsidRPr="00FC3B7C" w:rsidRDefault="00EE01FF" w:rsidP="00D46B53">
      <w:pPr>
        <w:numPr>
          <w:ilvl w:val="0"/>
          <w:numId w:val="284"/>
        </w:numPr>
        <w:tabs>
          <w:tab w:val="left" w:pos="1560"/>
        </w:tabs>
        <w:ind w:left="1560" w:hanging="353"/>
        <w:rPr>
          <w:rFonts w:eastAsia="Arial"/>
          <w:szCs w:val="24"/>
        </w:rPr>
      </w:pPr>
      <w:r w:rsidRPr="00FC3B7C">
        <w:rPr>
          <w:rFonts w:eastAsia="Times New Roman"/>
          <w:szCs w:val="24"/>
        </w:rPr>
        <w:t>meziregionální ekonomické a sociální rozdíly v ČR i přes jejich postupné prohlubování po zahájení transformace nebyly zpočátku tak velké jako ve většině zemí EU</w:t>
      </w:r>
    </w:p>
    <w:p w14:paraId="5C718DCE" w14:textId="77777777" w:rsidR="00EE01FF" w:rsidRPr="00FC3B7C" w:rsidRDefault="00EE01FF" w:rsidP="00D46B53">
      <w:pPr>
        <w:numPr>
          <w:ilvl w:val="0"/>
          <w:numId w:val="284"/>
        </w:numPr>
        <w:tabs>
          <w:tab w:val="left" w:pos="1560"/>
        </w:tabs>
        <w:ind w:left="1560" w:hanging="353"/>
        <w:rPr>
          <w:rFonts w:eastAsia="Arial"/>
          <w:szCs w:val="24"/>
        </w:rPr>
      </w:pPr>
      <w:r w:rsidRPr="00FC3B7C">
        <w:rPr>
          <w:rFonts w:eastAsia="Times New Roman"/>
          <w:szCs w:val="24"/>
        </w:rPr>
        <w:t>koncepční činnost státu, regionálních a místních orgánů, jejímž cílem je přispívat k vyváženému a harmonickému rozvoji jednotlivých regionů v ČR, ke snižování neodůvodněných rozdílů mezi úrovněmi rozvoje jednotlivých regionů a ke zlepšení regionální hospodářské struktury</w:t>
      </w:r>
    </w:p>
    <w:p w14:paraId="0B5A04C9" w14:textId="77777777" w:rsidR="00EE01FF" w:rsidRPr="00FC3B7C" w:rsidRDefault="00EE01FF" w:rsidP="00EE01FF">
      <w:pPr>
        <w:rPr>
          <w:sz w:val="20"/>
          <w:szCs w:val="20"/>
        </w:rPr>
      </w:pPr>
    </w:p>
    <w:p w14:paraId="17764A8B" w14:textId="77777777" w:rsidR="00EE01FF" w:rsidRPr="00FC3B7C" w:rsidRDefault="00EE01FF" w:rsidP="00EE01FF">
      <w:pPr>
        <w:rPr>
          <w:sz w:val="20"/>
          <w:szCs w:val="20"/>
        </w:rPr>
      </w:pPr>
      <w:r w:rsidRPr="00FC3B7C">
        <w:rPr>
          <w:rFonts w:eastAsia="Times New Roman"/>
          <w:b/>
          <w:bCs/>
          <w:szCs w:val="24"/>
        </w:rPr>
        <w:t>Úrovně regionální politiky v ČR:</w:t>
      </w:r>
    </w:p>
    <w:p w14:paraId="301680D4" w14:textId="77777777" w:rsidR="00EE01FF" w:rsidRPr="00FC3B7C" w:rsidRDefault="00EE01FF" w:rsidP="00D46B53">
      <w:pPr>
        <w:numPr>
          <w:ilvl w:val="1"/>
          <w:numId w:val="285"/>
        </w:numPr>
        <w:tabs>
          <w:tab w:val="left" w:pos="1000"/>
        </w:tabs>
        <w:ind w:left="1000" w:hanging="360"/>
        <w:rPr>
          <w:rFonts w:eastAsia="Arial"/>
          <w:szCs w:val="24"/>
        </w:rPr>
      </w:pPr>
      <w:r w:rsidRPr="00FC3B7C">
        <w:rPr>
          <w:rFonts w:eastAsia="Times New Roman"/>
          <w:szCs w:val="24"/>
        </w:rPr>
        <w:t>Centrální úroveň - Strategie regionálního rozvoje</w:t>
      </w:r>
    </w:p>
    <w:p w14:paraId="6A58FFAF" w14:textId="77777777" w:rsidR="00EE01FF" w:rsidRPr="00FC3B7C" w:rsidRDefault="00EE01FF" w:rsidP="00D46B53">
      <w:pPr>
        <w:numPr>
          <w:ilvl w:val="1"/>
          <w:numId w:val="285"/>
        </w:numPr>
        <w:tabs>
          <w:tab w:val="left" w:pos="1000"/>
        </w:tabs>
        <w:ind w:left="1000" w:hanging="360"/>
        <w:rPr>
          <w:rFonts w:eastAsia="Arial"/>
          <w:szCs w:val="24"/>
        </w:rPr>
      </w:pPr>
      <w:r w:rsidRPr="00FC3B7C">
        <w:rPr>
          <w:rFonts w:eastAsia="Times New Roman"/>
          <w:szCs w:val="24"/>
        </w:rPr>
        <w:t>Regionální úroveň:</w:t>
      </w:r>
    </w:p>
    <w:p w14:paraId="7355BF07" w14:textId="77ECFFDF" w:rsidR="00EE01FF" w:rsidRPr="00FC3B7C" w:rsidRDefault="00EE01FF" w:rsidP="00EE01FF">
      <w:pPr>
        <w:ind w:left="1360"/>
        <w:rPr>
          <w:rFonts w:eastAsia="Arial"/>
          <w:szCs w:val="24"/>
        </w:rPr>
      </w:pPr>
      <w:r w:rsidRPr="00FC3B7C">
        <w:rPr>
          <w:rFonts w:eastAsia="Arial"/>
          <w:szCs w:val="24"/>
        </w:rPr>
        <w:t>–</w:t>
      </w:r>
      <w:r w:rsidR="003376E1">
        <w:rPr>
          <w:rFonts w:eastAsia="Arial"/>
          <w:szCs w:val="24"/>
        </w:rPr>
        <w:t xml:space="preserve"> </w:t>
      </w:r>
      <w:r w:rsidRPr="00FC3B7C">
        <w:rPr>
          <w:rFonts w:eastAsia="Times New Roman"/>
          <w:szCs w:val="24"/>
        </w:rPr>
        <w:t>Vyšší - regiony soudržnosti – Regionální operační programy</w:t>
      </w:r>
    </w:p>
    <w:p w14:paraId="3B8E634F" w14:textId="3DF22AC5" w:rsidR="00EE01FF" w:rsidRPr="00FC3B7C" w:rsidRDefault="00EE01FF" w:rsidP="00EE01FF">
      <w:pPr>
        <w:ind w:left="1360"/>
        <w:rPr>
          <w:rFonts w:eastAsia="Arial"/>
          <w:szCs w:val="24"/>
        </w:rPr>
      </w:pPr>
      <w:r w:rsidRPr="00FC3B7C">
        <w:rPr>
          <w:rFonts w:eastAsia="Arial"/>
          <w:szCs w:val="24"/>
        </w:rPr>
        <w:t>–</w:t>
      </w:r>
      <w:r w:rsidR="003376E1">
        <w:rPr>
          <w:rFonts w:eastAsia="Arial"/>
          <w:szCs w:val="24"/>
        </w:rPr>
        <w:t xml:space="preserve"> </w:t>
      </w:r>
      <w:r w:rsidRPr="00FC3B7C">
        <w:rPr>
          <w:rFonts w:eastAsia="Times New Roman"/>
          <w:szCs w:val="24"/>
        </w:rPr>
        <w:t>Nižší – kraje - Programy rozvoje krajů</w:t>
      </w:r>
    </w:p>
    <w:p w14:paraId="6084999A" w14:textId="77777777" w:rsidR="00EE01FF" w:rsidRPr="00FC3B7C" w:rsidRDefault="00EE01FF" w:rsidP="00D46B53">
      <w:pPr>
        <w:numPr>
          <w:ilvl w:val="0"/>
          <w:numId w:val="285"/>
        </w:numPr>
        <w:tabs>
          <w:tab w:val="left" w:pos="980"/>
        </w:tabs>
        <w:ind w:left="980" w:hanging="351"/>
        <w:rPr>
          <w:rFonts w:eastAsia="Arial"/>
          <w:szCs w:val="24"/>
        </w:rPr>
      </w:pPr>
      <w:r w:rsidRPr="00FC3B7C">
        <w:rPr>
          <w:rFonts w:eastAsia="Times New Roman"/>
          <w:szCs w:val="24"/>
        </w:rPr>
        <w:t>Mikroregionální úroveň – Strategie či Programy rozvoje mikroregionů</w:t>
      </w:r>
    </w:p>
    <w:p w14:paraId="5A0582DC" w14:textId="77777777" w:rsidR="00EE01FF" w:rsidRPr="00FC3B7C" w:rsidRDefault="00EE01FF" w:rsidP="00D46B53">
      <w:pPr>
        <w:numPr>
          <w:ilvl w:val="0"/>
          <w:numId w:val="285"/>
        </w:numPr>
        <w:tabs>
          <w:tab w:val="left" w:pos="980"/>
        </w:tabs>
        <w:ind w:left="980" w:hanging="351"/>
        <w:rPr>
          <w:rFonts w:eastAsia="Arial"/>
          <w:szCs w:val="24"/>
        </w:rPr>
      </w:pPr>
      <w:r w:rsidRPr="00FC3B7C">
        <w:rPr>
          <w:rFonts w:eastAsia="Times New Roman"/>
          <w:szCs w:val="24"/>
        </w:rPr>
        <w:t>Místní úroveň - Programy rozvoje obcí</w:t>
      </w:r>
    </w:p>
    <w:p w14:paraId="207A0A90" w14:textId="77777777" w:rsidR="00EE01FF" w:rsidRPr="00FC3B7C" w:rsidRDefault="00EE01FF" w:rsidP="00EE01FF">
      <w:pPr>
        <w:spacing w:line="336" w:lineRule="exact"/>
        <w:rPr>
          <w:sz w:val="20"/>
          <w:szCs w:val="20"/>
        </w:rPr>
      </w:pPr>
    </w:p>
    <w:p w14:paraId="04F40B96" w14:textId="77777777" w:rsidR="00EE01FF" w:rsidRDefault="00EE01FF" w:rsidP="00EE01FF">
      <w:pPr>
        <w:rPr>
          <w:rFonts w:eastAsia="Times New Roman"/>
          <w:b/>
          <w:bCs/>
          <w:szCs w:val="24"/>
        </w:rPr>
      </w:pPr>
    </w:p>
    <w:p w14:paraId="216D21BB" w14:textId="77777777" w:rsidR="00EE01FF" w:rsidRPr="00FC3B7C" w:rsidRDefault="00EE01FF" w:rsidP="00EE01FF">
      <w:pPr>
        <w:rPr>
          <w:sz w:val="20"/>
          <w:szCs w:val="20"/>
        </w:rPr>
      </w:pPr>
      <w:r w:rsidRPr="00FC3B7C">
        <w:rPr>
          <w:rFonts w:eastAsia="Times New Roman"/>
          <w:b/>
          <w:bCs/>
          <w:szCs w:val="24"/>
        </w:rPr>
        <w:lastRenderedPageBreak/>
        <w:t>Strategie regionálního rozvoje ČR 2014-2020:</w:t>
      </w:r>
    </w:p>
    <w:p w14:paraId="72B3CB29" w14:textId="77777777" w:rsidR="00EE01FF" w:rsidRPr="00FC3B7C" w:rsidRDefault="00EE01FF" w:rsidP="00D46B53">
      <w:pPr>
        <w:numPr>
          <w:ilvl w:val="0"/>
          <w:numId w:val="286"/>
        </w:numPr>
        <w:tabs>
          <w:tab w:val="left" w:pos="1000"/>
        </w:tabs>
        <w:ind w:left="1000" w:hanging="360"/>
        <w:rPr>
          <w:rFonts w:eastAsia="Arial"/>
          <w:szCs w:val="24"/>
        </w:rPr>
      </w:pPr>
      <w:r w:rsidRPr="00FC3B7C">
        <w:rPr>
          <w:rFonts w:eastAsia="Times New Roman"/>
          <w:szCs w:val="24"/>
        </w:rPr>
        <w:t>Základní koncepční dokument v oblasti RO</w:t>
      </w:r>
    </w:p>
    <w:p w14:paraId="7685E7FD" w14:textId="77777777" w:rsidR="00EE01FF" w:rsidRPr="00FC3B7C" w:rsidRDefault="00EE01FF" w:rsidP="00D46B53">
      <w:pPr>
        <w:numPr>
          <w:ilvl w:val="0"/>
          <w:numId w:val="286"/>
        </w:numPr>
        <w:tabs>
          <w:tab w:val="left" w:pos="1000"/>
        </w:tabs>
        <w:ind w:left="1000" w:hanging="360"/>
        <w:rPr>
          <w:rFonts w:eastAsia="Arial"/>
          <w:szCs w:val="24"/>
        </w:rPr>
      </w:pPr>
      <w:r w:rsidRPr="00FC3B7C">
        <w:rPr>
          <w:rFonts w:eastAsia="Times New Roman"/>
          <w:szCs w:val="24"/>
        </w:rPr>
        <w:t>Střednědobý dokument</w:t>
      </w:r>
    </w:p>
    <w:p w14:paraId="0A21DE1C" w14:textId="77777777" w:rsidR="00EE01FF" w:rsidRPr="00FC3B7C" w:rsidRDefault="00EE01FF" w:rsidP="00D46B53">
      <w:pPr>
        <w:numPr>
          <w:ilvl w:val="0"/>
          <w:numId w:val="286"/>
        </w:numPr>
        <w:tabs>
          <w:tab w:val="left" w:pos="1000"/>
        </w:tabs>
        <w:ind w:left="1000" w:hanging="360"/>
        <w:rPr>
          <w:rFonts w:eastAsia="Arial"/>
          <w:szCs w:val="24"/>
        </w:rPr>
      </w:pPr>
      <w:r w:rsidRPr="00FC3B7C">
        <w:rPr>
          <w:rFonts w:eastAsia="Times New Roman"/>
          <w:szCs w:val="24"/>
        </w:rPr>
        <w:t>Důraz na koordinační roli RO</w:t>
      </w:r>
    </w:p>
    <w:p w14:paraId="50527BC3" w14:textId="77777777" w:rsidR="00EE01FF" w:rsidRPr="0097403B" w:rsidRDefault="00EE01FF" w:rsidP="00D46B53">
      <w:pPr>
        <w:numPr>
          <w:ilvl w:val="0"/>
          <w:numId w:val="286"/>
        </w:numPr>
        <w:tabs>
          <w:tab w:val="left" w:pos="1000"/>
        </w:tabs>
        <w:ind w:left="1000" w:hanging="360"/>
        <w:rPr>
          <w:rFonts w:eastAsia="Arial"/>
          <w:szCs w:val="24"/>
        </w:rPr>
      </w:pPr>
      <w:r w:rsidRPr="00FC3B7C">
        <w:rPr>
          <w:rFonts w:eastAsia="Times New Roman"/>
          <w:szCs w:val="24"/>
        </w:rPr>
        <w:t>Vychází z dokumentu EUROPE 2020</w:t>
      </w:r>
    </w:p>
    <w:p w14:paraId="0762CC66" w14:textId="77777777" w:rsidR="00EE01FF" w:rsidRPr="00FC3B7C" w:rsidRDefault="00EE01FF" w:rsidP="00D46B53">
      <w:pPr>
        <w:numPr>
          <w:ilvl w:val="0"/>
          <w:numId w:val="286"/>
        </w:numPr>
        <w:tabs>
          <w:tab w:val="left" w:pos="1000"/>
        </w:tabs>
        <w:ind w:left="1000" w:hanging="360"/>
        <w:rPr>
          <w:rFonts w:eastAsia="Arial"/>
          <w:szCs w:val="24"/>
        </w:rPr>
      </w:pPr>
    </w:p>
    <w:p w14:paraId="74480F63" w14:textId="77777777" w:rsidR="00EE01FF" w:rsidRPr="00FC3B7C" w:rsidRDefault="00EE01FF" w:rsidP="00EE01FF">
      <w:pPr>
        <w:rPr>
          <w:sz w:val="20"/>
          <w:szCs w:val="20"/>
        </w:rPr>
      </w:pPr>
      <w:bookmarkStart w:id="307" w:name="page345"/>
      <w:bookmarkEnd w:id="307"/>
      <w:r w:rsidRPr="00FC3B7C">
        <w:rPr>
          <w:rFonts w:eastAsia="Times New Roman"/>
          <w:b/>
          <w:bCs/>
          <w:szCs w:val="24"/>
        </w:rPr>
        <w:t>Obr. č. 3: Struktura strategie regionálního rozvoje ČR 2014 – 2020:</w:t>
      </w:r>
    </w:p>
    <w:p w14:paraId="0B833ADC" w14:textId="77777777" w:rsidR="00EE01FF" w:rsidRPr="00FC3B7C" w:rsidRDefault="00EE01FF" w:rsidP="00EE01FF">
      <w:pPr>
        <w:spacing w:line="20" w:lineRule="exact"/>
        <w:rPr>
          <w:sz w:val="20"/>
          <w:szCs w:val="20"/>
        </w:rPr>
      </w:pPr>
      <w:r w:rsidRPr="00FC3B7C">
        <w:rPr>
          <w:noProof/>
          <w:sz w:val="20"/>
          <w:szCs w:val="20"/>
        </w:rPr>
        <w:drawing>
          <wp:anchor distT="0" distB="0" distL="114300" distR="114300" simplePos="0" relativeHeight="251813376" behindDoc="1" locked="0" layoutInCell="0" allowOverlap="1" wp14:anchorId="20272309" wp14:editId="00013042">
            <wp:simplePos x="0" y="0"/>
            <wp:positionH relativeFrom="column">
              <wp:posOffset>341630</wp:posOffset>
            </wp:positionH>
            <wp:positionV relativeFrom="paragraph">
              <wp:posOffset>309880</wp:posOffset>
            </wp:positionV>
            <wp:extent cx="5029200" cy="5510530"/>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9"/>
                    <a:srcRect/>
                    <a:stretch>
                      <a:fillRect/>
                    </a:stretch>
                  </pic:blipFill>
                  <pic:spPr bwMode="auto">
                    <a:xfrm>
                      <a:off x="0" y="0"/>
                      <a:ext cx="5029200" cy="5510530"/>
                    </a:xfrm>
                    <a:prstGeom prst="rect">
                      <a:avLst/>
                    </a:prstGeom>
                    <a:noFill/>
                  </pic:spPr>
                </pic:pic>
              </a:graphicData>
            </a:graphic>
          </wp:anchor>
        </w:drawing>
      </w:r>
    </w:p>
    <w:p w14:paraId="4475C0FF" w14:textId="77777777" w:rsidR="00EE01FF" w:rsidRPr="00FC3B7C" w:rsidRDefault="00EE01FF" w:rsidP="00EE01FF">
      <w:pPr>
        <w:sectPr w:rsidR="00EE01FF" w:rsidRPr="00FC3B7C">
          <w:pgSz w:w="11900" w:h="16840"/>
          <w:pgMar w:top="1391" w:right="1440" w:bottom="1440" w:left="1420" w:header="0" w:footer="0" w:gutter="0"/>
          <w:cols w:space="708" w:equalWidth="0">
            <w:col w:w="9040"/>
          </w:cols>
        </w:sectPr>
      </w:pPr>
    </w:p>
    <w:p w14:paraId="7479BD84" w14:textId="77777777" w:rsidR="00EE01FF" w:rsidRPr="00FC3B7C" w:rsidRDefault="00EE01FF" w:rsidP="00EE01FF">
      <w:pPr>
        <w:spacing w:line="395" w:lineRule="auto"/>
        <w:ind w:left="100"/>
        <w:rPr>
          <w:sz w:val="20"/>
          <w:szCs w:val="20"/>
        </w:rPr>
      </w:pPr>
      <w:bookmarkStart w:id="308" w:name="page346"/>
      <w:bookmarkEnd w:id="308"/>
      <w:r w:rsidRPr="00FC3B7C">
        <w:rPr>
          <w:rFonts w:eastAsia="Times New Roman"/>
          <w:b/>
          <w:bCs/>
          <w:szCs w:val="24"/>
        </w:rPr>
        <w:lastRenderedPageBreak/>
        <w:t>Tab. č. 3: Analýza regionálního rozvoje v rámci Strategie regionálního rozvoje ČR 2014-2020:</w:t>
      </w:r>
    </w:p>
    <w:p w14:paraId="7D686AB5" w14:textId="77777777" w:rsidR="00EE01FF" w:rsidRPr="00FC3B7C" w:rsidRDefault="00EE01FF" w:rsidP="00EE01FF">
      <w:pPr>
        <w:spacing w:line="20" w:lineRule="exact"/>
        <w:rPr>
          <w:sz w:val="20"/>
          <w:szCs w:val="20"/>
        </w:rPr>
      </w:pPr>
      <w:r w:rsidRPr="00FC3B7C">
        <w:rPr>
          <w:noProof/>
          <w:sz w:val="20"/>
          <w:szCs w:val="20"/>
        </w:rPr>
        <w:drawing>
          <wp:anchor distT="0" distB="0" distL="114300" distR="114300" simplePos="0" relativeHeight="251815424" behindDoc="1" locked="0" layoutInCell="0" allowOverlap="1" wp14:anchorId="4AADADBB" wp14:editId="48A503DB">
            <wp:simplePos x="0" y="0"/>
            <wp:positionH relativeFrom="column">
              <wp:posOffset>-1905</wp:posOffset>
            </wp:positionH>
            <wp:positionV relativeFrom="paragraph">
              <wp:posOffset>-33020</wp:posOffset>
            </wp:positionV>
            <wp:extent cx="5413375" cy="384683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10"/>
                    <a:srcRect/>
                    <a:stretch>
                      <a:fillRect/>
                    </a:stretch>
                  </pic:blipFill>
                  <pic:spPr bwMode="auto">
                    <a:xfrm>
                      <a:off x="0" y="0"/>
                      <a:ext cx="5413375" cy="3846830"/>
                    </a:xfrm>
                    <a:prstGeom prst="rect">
                      <a:avLst/>
                    </a:prstGeom>
                    <a:noFill/>
                  </pic:spPr>
                </pic:pic>
              </a:graphicData>
            </a:graphic>
          </wp:anchor>
        </w:drawing>
      </w:r>
    </w:p>
    <w:p w14:paraId="29D2A867" w14:textId="77777777" w:rsidR="00EE01FF" w:rsidRPr="00FC3B7C" w:rsidRDefault="00EE01FF" w:rsidP="00EE01FF">
      <w:pPr>
        <w:spacing w:line="200" w:lineRule="exact"/>
        <w:rPr>
          <w:sz w:val="20"/>
          <w:szCs w:val="20"/>
        </w:rPr>
      </w:pPr>
    </w:p>
    <w:p w14:paraId="11933AA2" w14:textId="77777777" w:rsidR="00EE01FF" w:rsidRPr="00FC3B7C" w:rsidRDefault="00EE01FF" w:rsidP="00EE01FF">
      <w:pPr>
        <w:spacing w:line="200" w:lineRule="exact"/>
        <w:rPr>
          <w:sz w:val="20"/>
          <w:szCs w:val="20"/>
        </w:rPr>
      </w:pPr>
    </w:p>
    <w:p w14:paraId="583D09B4" w14:textId="77777777" w:rsidR="00EE01FF" w:rsidRPr="00FC3B7C" w:rsidRDefault="00EE01FF" w:rsidP="00EE01FF">
      <w:pPr>
        <w:spacing w:line="200" w:lineRule="exact"/>
        <w:rPr>
          <w:sz w:val="20"/>
          <w:szCs w:val="20"/>
        </w:rPr>
      </w:pPr>
    </w:p>
    <w:p w14:paraId="38AA28B7" w14:textId="77777777" w:rsidR="00EE01FF" w:rsidRPr="00FC3B7C" w:rsidRDefault="00EE01FF" w:rsidP="00EE01FF">
      <w:pPr>
        <w:spacing w:line="200" w:lineRule="exact"/>
        <w:rPr>
          <w:sz w:val="20"/>
          <w:szCs w:val="20"/>
        </w:rPr>
      </w:pPr>
    </w:p>
    <w:p w14:paraId="72E8C4A7" w14:textId="77777777" w:rsidR="00EE01FF" w:rsidRPr="00FC3B7C" w:rsidRDefault="00EE01FF" w:rsidP="00EE01FF">
      <w:pPr>
        <w:spacing w:line="200" w:lineRule="exact"/>
        <w:rPr>
          <w:sz w:val="20"/>
          <w:szCs w:val="20"/>
        </w:rPr>
      </w:pPr>
    </w:p>
    <w:p w14:paraId="66CD2224" w14:textId="77777777" w:rsidR="00EE01FF" w:rsidRPr="00FC3B7C" w:rsidRDefault="00EE01FF" w:rsidP="00EE01FF">
      <w:pPr>
        <w:spacing w:line="200" w:lineRule="exact"/>
        <w:rPr>
          <w:sz w:val="20"/>
          <w:szCs w:val="20"/>
        </w:rPr>
      </w:pPr>
    </w:p>
    <w:p w14:paraId="66A3B96F" w14:textId="77777777" w:rsidR="00EE01FF" w:rsidRPr="00FC3B7C" w:rsidRDefault="00EE01FF" w:rsidP="00EE01FF">
      <w:pPr>
        <w:spacing w:line="200" w:lineRule="exact"/>
        <w:rPr>
          <w:sz w:val="20"/>
          <w:szCs w:val="20"/>
        </w:rPr>
      </w:pPr>
    </w:p>
    <w:p w14:paraId="320DC8EB" w14:textId="77777777" w:rsidR="00EE01FF" w:rsidRPr="00FC3B7C" w:rsidRDefault="00EE01FF" w:rsidP="00EE01FF">
      <w:pPr>
        <w:spacing w:line="200" w:lineRule="exact"/>
        <w:rPr>
          <w:sz w:val="20"/>
          <w:szCs w:val="20"/>
        </w:rPr>
      </w:pPr>
    </w:p>
    <w:p w14:paraId="55E1A0EF" w14:textId="77777777" w:rsidR="00EE01FF" w:rsidRPr="00FC3B7C" w:rsidRDefault="00EE01FF" w:rsidP="00EE01FF">
      <w:pPr>
        <w:spacing w:line="200" w:lineRule="exact"/>
        <w:rPr>
          <w:sz w:val="20"/>
          <w:szCs w:val="20"/>
        </w:rPr>
      </w:pPr>
    </w:p>
    <w:p w14:paraId="4BE7C831" w14:textId="77777777" w:rsidR="00EE01FF" w:rsidRPr="00FC3B7C" w:rsidRDefault="00EE01FF" w:rsidP="00EE01FF">
      <w:pPr>
        <w:spacing w:line="200" w:lineRule="exact"/>
        <w:rPr>
          <w:sz w:val="20"/>
          <w:szCs w:val="20"/>
        </w:rPr>
      </w:pPr>
    </w:p>
    <w:p w14:paraId="15F7D1B3" w14:textId="77777777" w:rsidR="00EE01FF" w:rsidRPr="00FC3B7C" w:rsidRDefault="00EE01FF" w:rsidP="00EE01FF">
      <w:pPr>
        <w:spacing w:line="200" w:lineRule="exact"/>
        <w:rPr>
          <w:sz w:val="20"/>
          <w:szCs w:val="20"/>
        </w:rPr>
      </w:pPr>
    </w:p>
    <w:p w14:paraId="5F3487F5" w14:textId="77777777" w:rsidR="00EE01FF" w:rsidRPr="00FC3B7C" w:rsidRDefault="00EE01FF" w:rsidP="00EE01FF">
      <w:pPr>
        <w:spacing w:line="200" w:lineRule="exact"/>
        <w:rPr>
          <w:sz w:val="20"/>
          <w:szCs w:val="20"/>
        </w:rPr>
      </w:pPr>
    </w:p>
    <w:p w14:paraId="7D50AA3A" w14:textId="77777777" w:rsidR="00EE01FF" w:rsidRPr="00FC3B7C" w:rsidRDefault="00EE01FF" w:rsidP="00EE01FF">
      <w:pPr>
        <w:spacing w:line="200" w:lineRule="exact"/>
        <w:rPr>
          <w:sz w:val="20"/>
          <w:szCs w:val="20"/>
        </w:rPr>
      </w:pPr>
    </w:p>
    <w:p w14:paraId="1A9F6650" w14:textId="77777777" w:rsidR="00EE01FF" w:rsidRPr="00FC3B7C" w:rsidRDefault="00EE01FF" w:rsidP="00EE01FF">
      <w:pPr>
        <w:spacing w:line="200" w:lineRule="exact"/>
        <w:rPr>
          <w:sz w:val="20"/>
          <w:szCs w:val="20"/>
        </w:rPr>
      </w:pPr>
    </w:p>
    <w:p w14:paraId="7024CC9F" w14:textId="77777777" w:rsidR="00EE01FF" w:rsidRPr="00FC3B7C" w:rsidRDefault="00EE01FF" w:rsidP="00EE01FF">
      <w:pPr>
        <w:spacing w:line="200" w:lineRule="exact"/>
        <w:rPr>
          <w:sz w:val="20"/>
          <w:szCs w:val="20"/>
        </w:rPr>
      </w:pPr>
    </w:p>
    <w:p w14:paraId="4ECAED7E" w14:textId="77777777" w:rsidR="00EE01FF" w:rsidRPr="00FC3B7C" w:rsidRDefault="00EE01FF" w:rsidP="00EE01FF">
      <w:pPr>
        <w:spacing w:line="200" w:lineRule="exact"/>
        <w:rPr>
          <w:sz w:val="20"/>
          <w:szCs w:val="20"/>
        </w:rPr>
      </w:pPr>
    </w:p>
    <w:p w14:paraId="5A05CCD2" w14:textId="77777777" w:rsidR="00EE01FF" w:rsidRPr="00FC3B7C" w:rsidRDefault="00EE01FF" w:rsidP="00EE01FF">
      <w:pPr>
        <w:spacing w:line="200" w:lineRule="exact"/>
        <w:rPr>
          <w:sz w:val="20"/>
          <w:szCs w:val="20"/>
        </w:rPr>
      </w:pPr>
    </w:p>
    <w:p w14:paraId="2B8F6A29" w14:textId="77777777" w:rsidR="00EE01FF" w:rsidRPr="00FC3B7C" w:rsidRDefault="00EE01FF" w:rsidP="00EE01FF">
      <w:pPr>
        <w:spacing w:line="200" w:lineRule="exact"/>
        <w:rPr>
          <w:sz w:val="20"/>
          <w:szCs w:val="20"/>
        </w:rPr>
      </w:pPr>
    </w:p>
    <w:p w14:paraId="37E86084" w14:textId="77777777" w:rsidR="00EE01FF" w:rsidRPr="00FC3B7C" w:rsidRDefault="00EE01FF" w:rsidP="00EE01FF">
      <w:pPr>
        <w:spacing w:line="200" w:lineRule="exact"/>
        <w:rPr>
          <w:sz w:val="20"/>
          <w:szCs w:val="20"/>
        </w:rPr>
      </w:pPr>
    </w:p>
    <w:p w14:paraId="68CB7594" w14:textId="77777777" w:rsidR="00EE01FF" w:rsidRPr="00FC3B7C" w:rsidRDefault="00EE01FF" w:rsidP="00EE01FF">
      <w:pPr>
        <w:spacing w:line="200" w:lineRule="exact"/>
        <w:rPr>
          <w:sz w:val="20"/>
          <w:szCs w:val="20"/>
        </w:rPr>
      </w:pPr>
    </w:p>
    <w:p w14:paraId="606A8F7F" w14:textId="77777777" w:rsidR="00EE01FF" w:rsidRPr="00FC3B7C" w:rsidRDefault="00EE01FF" w:rsidP="00EE01FF">
      <w:pPr>
        <w:spacing w:line="200" w:lineRule="exact"/>
        <w:rPr>
          <w:sz w:val="20"/>
          <w:szCs w:val="20"/>
        </w:rPr>
      </w:pPr>
    </w:p>
    <w:p w14:paraId="730FE814" w14:textId="77777777" w:rsidR="00EE01FF" w:rsidRPr="00FC3B7C" w:rsidRDefault="00EE01FF" w:rsidP="00EE01FF">
      <w:pPr>
        <w:spacing w:line="200" w:lineRule="exact"/>
        <w:rPr>
          <w:sz w:val="20"/>
          <w:szCs w:val="20"/>
        </w:rPr>
      </w:pPr>
    </w:p>
    <w:p w14:paraId="44474B84" w14:textId="77777777" w:rsidR="00EE01FF" w:rsidRPr="00FC3B7C" w:rsidRDefault="00EE01FF" w:rsidP="00EE01FF">
      <w:pPr>
        <w:spacing w:line="200" w:lineRule="exact"/>
        <w:rPr>
          <w:sz w:val="20"/>
          <w:szCs w:val="20"/>
        </w:rPr>
      </w:pPr>
    </w:p>
    <w:p w14:paraId="7E28D15A" w14:textId="77777777" w:rsidR="00EE01FF" w:rsidRPr="00FC3B7C" w:rsidRDefault="00EE01FF" w:rsidP="00EE01FF">
      <w:pPr>
        <w:spacing w:line="200" w:lineRule="exact"/>
        <w:rPr>
          <w:sz w:val="20"/>
          <w:szCs w:val="20"/>
        </w:rPr>
      </w:pPr>
    </w:p>
    <w:p w14:paraId="7EF4780E" w14:textId="77777777" w:rsidR="00EE01FF" w:rsidRPr="00FC3B7C" w:rsidRDefault="00EE01FF" w:rsidP="00EE01FF">
      <w:pPr>
        <w:spacing w:line="200" w:lineRule="exact"/>
        <w:rPr>
          <w:sz w:val="20"/>
          <w:szCs w:val="20"/>
        </w:rPr>
      </w:pPr>
    </w:p>
    <w:p w14:paraId="03AEB5CA" w14:textId="77777777" w:rsidR="00EE01FF" w:rsidRPr="00FC3B7C" w:rsidRDefault="00EE01FF" w:rsidP="00EE01FF">
      <w:pPr>
        <w:spacing w:line="200" w:lineRule="exact"/>
        <w:rPr>
          <w:sz w:val="20"/>
          <w:szCs w:val="20"/>
        </w:rPr>
      </w:pPr>
    </w:p>
    <w:p w14:paraId="6080ADDE" w14:textId="77777777" w:rsidR="00EE01FF" w:rsidRPr="00FC3B7C" w:rsidRDefault="00EE01FF" w:rsidP="00EE01FF">
      <w:pPr>
        <w:spacing w:line="200" w:lineRule="exact"/>
        <w:rPr>
          <w:sz w:val="20"/>
          <w:szCs w:val="20"/>
        </w:rPr>
      </w:pPr>
    </w:p>
    <w:p w14:paraId="439B1349" w14:textId="77777777" w:rsidR="00EE01FF" w:rsidRPr="00FC3B7C" w:rsidRDefault="00EE01FF" w:rsidP="00EE01FF">
      <w:pPr>
        <w:spacing w:line="200" w:lineRule="exact"/>
        <w:rPr>
          <w:sz w:val="20"/>
          <w:szCs w:val="20"/>
        </w:rPr>
      </w:pPr>
    </w:p>
    <w:p w14:paraId="2F3FB81A" w14:textId="77777777" w:rsidR="00EE01FF" w:rsidRPr="00FC3B7C" w:rsidRDefault="00EE01FF" w:rsidP="00EE01FF">
      <w:pPr>
        <w:spacing w:line="200" w:lineRule="exact"/>
        <w:rPr>
          <w:sz w:val="20"/>
          <w:szCs w:val="20"/>
        </w:rPr>
      </w:pPr>
    </w:p>
    <w:p w14:paraId="3A869C74" w14:textId="77777777" w:rsidR="00EE01FF" w:rsidRPr="00FC3B7C" w:rsidRDefault="00EE01FF" w:rsidP="00EE01FF">
      <w:pPr>
        <w:spacing w:line="299" w:lineRule="exact"/>
        <w:rPr>
          <w:sz w:val="20"/>
          <w:szCs w:val="20"/>
        </w:rPr>
      </w:pPr>
    </w:p>
    <w:p w14:paraId="592CF444" w14:textId="77777777" w:rsidR="00EE01FF" w:rsidRPr="00FC3B7C" w:rsidRDefault="00EE01FF" w:rsidP="00EE01FF">
      <w:pPr>
        <w:rPr>
          <w:sz w:val="20"/>
          <w:szCs w:val="20"/>
        </w:rPr>
      </w:pPr>
      <w:r w:rsidRPr="00FC3B7C">
        <w:rPr>
          <w:rFonts w:eastAsia="Times New Roman"/>
          <w:b/>
          <w:bCs/>
          <w:szCs w:val="24"/>
        </w:rPr>
        <w:t>Česko-čínská spolupráce:</w:t>
      </w:r>
    </w:p>
    <w:p w14:paraId="2CA3C4A6" w14:textId="77777777" w:rsidR="00EE01FF" w:rsidRPr="00FC3B7C" w:rsidRDefault="00EE01FF" w:rsidP="00EE01FF">
      <w:pPr>
        <w:rPr>
          <w:sz w:val="20"/>
          <w:szCs w:val="20"/>
        </w:rPr>
      </w:pPr>
      <w:r w:rsidRPr="00FC3B7C">
        <w:rPr>
          <w:rFonts w:eastAsia="Times New Roman"/>
        </w:rPr>
        <w:t>Česko v uskupení 16+1, přihlášení 2012 s premiérem Nečasem. Česko je jedním z lídrů tohoto uskupení právě v rámci Regionální politiky, dále zdravotnictví či kultury. Dále projekt nové hedvábné stezky, projekt strategického partnerství při návštěvě prezidenta Číny, letecký hub (letecký uzel) pro Čínu.</w:t>
      </w:r>
    </w:p>
    <w:p w14:paraId="4A6F465A" w14:textId="77777777" w:rsidR="00A15FC0" w:rsidRPr="00FC3B7C" w:rsidRDefault="00A15FC0" w:rsidP="0067217A">
      <w:pPr>
        <w:rPr>
          <w:sz w:val="20"/>
          <w:szCs w:val="20"/>
        </w:rPr>
      </w:pPr>
    </w:p>
    <w:p w14:paraId="4A6F465B" w14:textId="6BD16FF7" w:rsidR="008E0F74" w:rsidRPr="00FC3B7C" w:rsidRDefault="00223868">
      <w:pPr>
        <w:tabs>
          <w:tab w:val="left" w:pos="1060"/>
        </w:tabs>
        <w:ind w:left="360"/>
        <w:rPr>
          <w:sz w:val="20"/>
          <w:szCs w:val="20"/>
        </w:rPr>
      </w:pPr>
      <w:bookmarkStart w:id="309" w:name="page331"/>
      <w:bookmarkEnd w:id="309"/>
      <w:r w:rsidRPr="004A163A">
        <w:rPr>
          <w:rFonts w:eastAsia="Times New Roman"/>
          <w:b/>
          <w:bCs/>
          <w:color w:val="1F3864" w:themeColor="accent1" w:themeShade="80"/>
          <w:sz w:val="32"/>
          <w:szCs w:val="32"/>
        </w:rPr>
        <w:t>15.</w:t>
      </w:r>
      <w:r w:rsidR="00EE01FF">
        <w:rPr>
          <w:rFonts w:eastAsia="Times New Roman"/>
          <w:b/>
          <w:bCs/>
          <w:color w:val="1F3864" w:themeColor="accent1" w:themeShade="80"/>
          <w:sz w:val="32"/>
          <w:szCs w:val="32"/>
        </w:rPr>
        <w:t>6</w:t>
      </w:r>
      <w:r w:rsidR="00256F29" w:rsidRPr="00FC3B7C">
        <w:rPr>
          <w:sz w:val="20"/>
          <w:szCs w:val="20"/>
        </w:rPr>
        <w:tab/>
      </w:r>
      <w:r w:rsidR="00256F29" w:rsidRPr="004A163A">
        <w:rPr>
          <w:rFonts w:eastAsia="Times New Roman"/>
          <w:b/>
          <w:bCs/>
          <w:color w:val="1F3864" w:themeColor="accent1" w:themeShade="80"/>
          <w:sz w:val="31"/>
          <w:szCs w:val="31"/>
        </w:rPr>
        <w:t>VÝVOJ POJETÍ REGIONÁLNÍ POLITIKY</w:t>
      </w:r>
    </w:p>
    <w:p w14:paraId="4A6F465C" w14:textId="77777777" w:rsidR="008E0F74" w:rsidRPr="00FC3B7C" w:rsidRDefault="008E0F74">
      <w:pPr>
        <w:spacing w:line="226" w:lineRule="exact"/>
        <w:rPr>
          <w:sz w:val="20"/>
          <w:szCs w:val="20"/>
        </w:rPr>
      </w:pPr>
    </w:p>
    <w:p w14:paraId="4A6F465D" w14:textId="77777777" w:rsidR="008E0F74" w:rsidRPr="00FC3B7C" w:rsidRDefault="00256F29">
      <w:pPr>
        <w:spacing w:line="361" w:lineRule="auto"/>
        <w:rPr>
          <w:sz w:val="20"/>
          <w:szCs w:val="20"/>
        </w:rPr>
      </w:pPr>
      <w:r w:rsidRPr="00FC3B7C">
        <w:rPr>
          <w:rFonts w:eastAsia="Times New Roman"/>
          <w:b/>
          <w:bCs/>
          <w:szCs w:val="24"/>
        </w:rPr>
        <w:t xml:space="preserve">Thomas Mun – </w:t>
      </w:r>
      <w:r w:rsidRPr="00FC3B7C">
        <w:rPr>
          <w:rFonts w:eastAsia="Times New Roman"/>
          <w:szCs w:val="24"/>
        </w:rPr>
        <w:t>15 - 1</w:t>
      </w:r>
      <w:r w:rsidR="00223868" w:rsidRPr="00FC3B7C">
        <w:rPr>
          <w:rFonts w:eastAsia="Times New Roman"/>
          <w:szCs w:val="24"/>
        </w:rPr>
        <w:t>15.</w:t>
      </w:r>
      <w:r w:rsidRPr="00FC3B7C">
        <w:rPr>
          <w:rFonts w:eastAsia="Times New Roman"/>
          <w:szCs w:val="24"/>
        </w:rPr>
        <w:t xml:space="preserve"> stol. – snaha chápat vzdálenost jako jeden z klíčových faktorů</w:t>
      </w:r>
      <w:r w:rsidRPr="00FC3B7C">
        <w:rPr>
          <w:rFonts w:eastAsia="Times New Roman"/>
          <w:b/>
          <w:bCs/>
          <w:szCs w:val="24"/>
        </w:rPr>
        <w:t xml:space="preserve"> </w:t>
      </w:r>
      <w:r w:rsidRPr="00FC3B7C">
        <w:rPr>
          <w:rFonts w:eastAsia="Times New Roman"/>
          <w:szCs w:val="24"/>
        </w:rPr>
        <w:t>působících na zahraniční obchod.</w:t>
      </w:r>
    </w:p>
    <w:p w14:paraId="4A6F465E" w14:textId="77777777" w:rsidR="008E0F74" w:rsidRPr="00FC3B7C" w:rsidRDefault="00256F29">
      <w:pPr>
        <w:spacing w:line="359" w:lineRule="auto"/>
        <w:rPr>
          <w:sz w:val="20"/>
          <w:szCs w:val="20"/>
        </w:rPr>
      </w:pPr>
      <w:r w:rsidRPr="00FC3B7C">
        <w:rPr>
          <w:rFonts w:eastAsia="Times New Roman"/>
          <w:b/>
          <w:bCs/>
          <w:szCs w:val="24"/>
        </w:rPr>
        <w:t xml:space="preserve">David Ricardo </w:t>
      </w:r>
      <w:r w:rsidRPr="00FC3B7C">
        <w:rPr>
          <w:rFonts w:eastAsia="Times New Roman"/>
          <w:szCs w:val="24"/>
        </w:rPr>
        <w:t>– ekonomickým faktorem je poloha pozemků</w:t>
      </w:r>
      <w:r w:rsidRPr="00FC3B7C">
        <w:rPr>
          <w:rFonts w:eastAsia="Times New Roman"/>
          <w:b/>
          <w:bCs/>
          <w:szCs w:val="24"/>
        </w:rPr>
        <w:t xml:space="preserve"> </w:t>
      </w:r>
      <w:r w:rsidRPr="00FC3B7C">
        <w:rPr>
          <w:rFonts w:eastAsia="Times New Roman"/>
          <w:szCs w:val="24"/>
        </w:rPr>
        <w:t>– zabývá se pozemkovou rentou.</w:t>
      </w:r>
      <w:r w:rsidRPr="00FC3B7C">
        <w:rPr>
          <w:rFonts w:eastAsia="Times New Roman"/>
          <w:b/>
          <w:bCs/>
          <w:szCs w:val="24"/>
        </w:rPr>
        <w:t xml:space="preserve"> Leon Walras </w:t>
      </w:r>
      <w:r w:rsidRPr="00FC3B7C">
        <w:rPr>
          <w:rFonts w:eastAsia="Times New Roman"/>
          <w:szCs w:val="24"/>
        </w:rPr>
        <w:t>– rakouská</w:t>
      </w:r>
      <w:r w:rsidRPr="00FC3B7C">
        <w:rPr>
          <w:rFonts w:eastAsia="Times New Roman"/>
          <w:b/>
          <w:bCs/>
          <w:szCs w:val="24"/>
        </w:rPr>
        <w:t xml:space="preserve"> </w:t>
      </w:r>
      <w:r w:rsidRPr="00FC3B7C">
        <w:rPr>
          <w:rFonts w:eastAsia="Times New Roman"/>
          <w:szCs w:val="24"/>
        </w:rPr>
        <w:t>škola – sice svou teorii všeobecné rovnováhy chápe jako bodovou a</w:t>
      </w:r>
      <w:r w:rsidRPr="00FC3B7C">
        <w:rPr>
          <w:rFonts w:eastAsia="Times New Roman"/>
          <w:b/>
          <w:bCs/>
          <w:szCs w:val="24"/>
        </w:rPr>
        <w:t xml:space="preserve"> </w:t>
      </w:r>
      <w:r w:rsidRPr="00FC3B7C">
        <w:rPr>
          <w:rFonts w:eastAsia="Times New Roman"/>
          <w:szCs w:val="24"/>
        </w:rPr>
        <w:t>nikoliv jako prostorovou, ale již předpokládá, že územní podmínky a rozdíly ovlivní počáteční množství výrobních fondů, soustavy preferencí hospodářských subjektů, výrobních technologií a tím i ceny, za něž se statky smění při stavu všeobecné rovnováhy.</w:t>
      </w:r>
    </w:p>
    <w:p w14:paraId="4A6F465F" w14:textId="77777777" w:rsidR="008E0F74" w:rsidRPr="00FC3B7C" w:rsidRDefault="008E0F74">
      <w:pPr>
        <w:spacing w:line="5" w:lineRule="exact"/>
        <w:rPr>
          <w:sz w:val="20"/>
          <w:szCs w:val="20"/>
        </w:rPr>
      </w:pPr>
    </w:p>
    <w:p w14:paraId="4A6F4660" w14:textId="77777777" w:rsidR="008E0F74" w:rsidRPr="00FC3B7C" w:rsidRDefault="00256F29">
      <w:pPr>
        <w:spacing w:line="363" w:lineRule="auto"/>
        <w:rPr>
          <w:sz w:val="20"/>
          <w:szCs w:val="20"/>
        </w:rPr>
      </w:pPr>
      <w:r w:rsidRPr="00FC3B7C">
        <w:rPr>
          <w:rFonts w:eastAsia="Times New Roman"/>
          <w:b/>
          <w:bCs/>
          <w:szCs w:val="24"/>
        </w:rPr>
        <w:t xml:space="preserve">Theodore Schultz </w:t>
      </w:r>
      <w:r w:rsidRPr="00FC3B7C">
        <w:rPr>
          <w:rFonts w:eastAsia="Times New Roman"/>
          <w:szCs w:val="24"/>
        </w:rPr>
        <w:t>– odmítal teorii bludného kruhu chudoby rozvojových zemí; nevěřil v</w:t>
      </w:r>
      <w:r w:rsidRPr="00FC3B7C">
        <w:rPr>
          <w:rFonts w:eastAsia="Times New Roman"/>
          <w:b/>
          <w:bCs/>
          <w:szCs w:val="24"/>
        </w:rPr>
        <w:t xml:space="preserve"> </w:t>
      </w:r>
      <w:r w:rsidRPr="00FC3B7C">
        <w:rPr>
          <w:rFonts w:eastAsia="Times New Roman"/>
          <w:szCs w:val="24"/>
        </w:rPr>
        <w:t xml:space="preserve">rozvojovou pomoc a varoval před iluzí rychlé industrializace; klíč k růstu rozvojových zemí </w:t>
      </w:r>
      <w:r w:rsidRPr="00FC3B7C">
        <w:rPr>
          <w:rFonts w:eastAsia="Times New Roman"/>
          <w:szCs w:val="24"/>
        </w:rPr>
        <w:lastRenderedPageBreak/>
        <w:t xml:space="preserve">viděl v </w:t>
      </w:r>
      <w:r w:rsidRPr="00FC3B7C">
        <w:rPr>
          <w:rFonts w:eastAsia="Times New Roman"/>
          <w:b/>
          <w:bCs/>
          <w:i/>
          <w:iCs/>
          <w:szCs w:val="24"/>
        </w:rPr>
        <w:t>investicích do lidského kapitálu</w:t>
      </w:r>
      <w:r w:rsidRPr="00FC3B7C">
        <w:rPr>
          <w:rFonts w:eastAsia="Times New Roman"/>
          <w:szCs w:val="24"/>
        </w:rPr>
        <w:t xml:space="preserve"> (vzdělání má význam pro rozvoj zemědělství) – ten umožňuje lidem správně reagovat na tržní podněty a celkově zvyšuje kvalitu populace. S historickým vývojem regionální politiky úzce souvisejí její dvě základní pojetí:</w:t>
      </w:r>
    </w:p>
    <w:p w14:paraId="4A6F4661" w14:textId="77777777" w:rsidR="008E0F74" w:rsidRPr="00FC3B7C" w:rsidRDefault="008E0F74">
      <w:pPr>
        <w:spacing w:line="2" w:lineRule="exact"/>
        <w:rPr>
          <w:sz w:val="20"/>
          <w:szCs w:val="20"/>
        </w:rPr>
      </w:pPr>
    </w:p>
    <w:p w14:paraId="4A6F4662" w14:textId="77777777" w:rsidR="008E0F74" w:rsidRPr="00FC3B7C" w:rsidRDefault="00256F29" w:rsidP="00D46B53">
      <w:pPr>
        <w:numPr>
          <w:ilvl w:val="0"/>
          <w:numId w:val="277"/>
        </w:numPr>
        <w:tabs>
          <w:tab w:val="left" w:pos="1000"/>
        </w:tabs>
        <w:ind w:left="1000" w:hanging="360"/>
        <w:rPr>
          <w:rFonts w:eastAsia="Arial"/>
          <w:szCs w:val="24"/>
        </w:rPr>
      </w:pPr>
      <w:r w:rsidRPr="00FC3B7C">
        <w:rPr>
          <w:rFonts w:eastAsia="Times New Roman"/>
          <w:szCs w:val="24"/>
        </w:rPr>
        <w:t>Tradiční</w:t>
      </w:r>
    </w:p>
    <w:p w14:paraId="4A6F4663" w14:textId="77777777" w:rsidR="008E0F74" w:rsidRPr="00FC3B7C" w:rsidRDefault="008E0F74">
      <w:pPr>
        <w:spacing w:line="154" w:lineRule="exact"/>
        <w:rPr>
          <w:rFonts w:eastAsia="Arial"/>
          <w:szCs w:val="24"/>
        </w:rPr>
      </w:pPr>
    </w:p>
    <w:p w14:paraId="4A6F4664" w14:textId="77777777" w:rsidR="008E0F74" w:rsidRPr="00FC3B7C" w:rsidRDefault="00256F29" w:rsidP="00D46B53">
      <w:pPr>
        <w:numPr>
          <w:ilvl w:val="0"/>
          <w:numId w:val="277"/>
        </w:numPr>
        <w:tabs>
          <w:tab w:val="left" w:pos="1000"/>
        </w:tabs>
        <w:ind w:left="1000" w:hanging="360"/>
        <w:rPr>
          <w:rFonts w:eastAsia="Arial"/>
          <w:szCs w:val="24"/>
        </w:rPr>
      </w:pPr>
      <w:r w:rsidRPr="00FC3B7C">
        <w:rPr>
          <w:rFonts w:eastAsia="Times New Roman"/>
          <w:szCs w:val="24"/>
        </w:rPr>
        <w:t>Akcelerační</w:t>
      </w:r>
    </w:p>
    <w:p w14:paraId="4A6F4665" w14:textId="77777777" w:rsidR="008E0F74" w:rsidRPr="00FC3B7C" w:rsidRDefault="00256F29">
      <w:pPr>
        <w:rPr>
          <w:sz w:val="20"/>
          <w:szCs w:val="20"/>
        </w:rPr>
      </w:pPr>
      <w:r w:rsidRPr="00FC3B7C">
        <w:rPr>
          <w:rFonts w:eastAsia="Times New Roman"/>
          <w:szCs w:val="24"/>
        </w:rPr>
        <w:t>Regionální politika obvykle preferuje buď růstové cíle nebo stabilizační či vyrovnávací cíle.</w:t>
      </w:r>
    </w:p>
    <w:p w14:paraId="4A6F4666" w14:textId="77777777" w:rsidR="008E0F74" w:rsidRPr="00FC3B7C" w:rsidRDefault="008E0F74">
      <w:pPr>
        <w:spacing w:line="136" w:lineRule="exact"/>
        <w:rPr>
          <w:sz w:val="20"/>
          <w:szCs w:val="20"/>
        </w:rPr>
      </w:pPr>
    </w:p>
    <w:p w14:paraId="4A6F4667" w14:textId="77777777" w:rsidR="008E0F74" w:rsidRPr="00FC3B7C" w:rsidRDefault="00256F29">
      <w:pPr>
        <w:rPr>
          <w:sz w:val="20"/>
          <w:szCs w:val="20"/>
        </w:rPr>
      </w:pPr>
      <w:r w:rsidRPr="00FC3B7C">
        <w:rPr>
          <w:rFonts w:eastAsia="Times New Roman"/>
          <w:b/>
          <w:bCs/>
          <w:szCs w:val="24"/>
        </w:rPr>
        <w:t>Tradiční regionální politika:</w:t>
      </w:r>
    </w:p>
    <w:p w14:paraId="4A6F4668" w14:textId="77777777" w:rsidR="008E0F74" w:rsidRDefault="00256F29">
      <w:pPr>
        <w:spacing w:line="363" w:lineRule="auto"/>
        <w:rPr>
          <w:rFonts w:eastAsia="Times New Roman"/>
          <w:szCs w:val="24"/>
        </w:rPr>
      </w:pPr>
      <w:r w:rsidRPr="00FC3B7C">
        <w:rPr>
          <w:rFonts w:eastAsia="Times New Roman"/>
          <w:szCs w:val="24"/>
        </w:rPr>
        <w:t xml:space="preserve">Potýkala se s extrémními rozdíly, kdy na jedné straně se nacházely vysoce rozvinuté regiony, na straně druhé pak regiony s nízkou životní úrovní. Jednalo se především o agrárně zaměřené oblasti, které se snažily o rozvoj pomocí industrializace. Tato regionální politika se vyznačovala konstantním působením, protože nedocházelo ke změnám v geografickém vymezení. V současnosti však strukturální změny v ekonomice způsobují mnohem dynamičtější geografický pohyb regionálních problémů. V 70. letech se ukázalo, že institucionalizovaná regionální politika na národní bázi nedokáže tyto dynamické procesy </w:t>
      </w:r>
      <w:r w:rsidR="00094CFD">
        <w:rPr>
          <w:rFonts w:eastAsia="Times New Roman"/>
          <w:szCs w:val="24"/>
        </w:rPr>
        <w:t>z</w:t>
      </w:r>
      <w:r w:rsidRPr="00FC3B7C">
        <w:rPr>
          <w:rFonts w:eastAsia="Times New Roman"/>
          <w:szCs w:val="24"/>
        </w:rPr>
        <w:t>aznamenávat včas. Těžiště působnosti bylo nutné přesunout na samotné regiony (jedním z problémů bylo shromažďování centrálních finančních zdrojů).</w:t>
      </w:r>
    </w:p>
    <w:p w14:paraId="4A6F4669" w14:textId="77777777" w:rsidR="00A15FC0" w:rsidRPr="00FC3B7C" w:rsidRDefault="00A15FC0">
      <w:pPr>
        <w:spacing w:line="363" w:lineRule="auto"/>
        <w:rPr>
          <w:sz w:val="20"/>
          <w:szCs w:val="20"/>
        </w:rPr>
      </w:pPr>
    </w:p>
    <w:p w14:paraId="4A6F466A" w14:textId="77777777" w:rsidR="008E0F74" w:rsidRPr="00FC3B7C" w:rsidRDefault="00256F29">
      <w:pPr>
        <w:rPr>
          <w:sz w:val="20"/>
          <w:szCs w:val="20"/>
        </w:rPr>
      </w:pPr>
      <w:bookmarkStart w:id="310" w:name="page332"/>
      <w:bookmarkEnd w:id="310"/>
      <w:r w:rsidRPr="00FC3B7C">
        <w:rPr>
          <w:rFonts w:eastAsia="Times New Roman"/>
          <w:b/>
          <w:bCs/>
          <w:szCs w:val="24"/>
        </w:rPr>
        <w:t>Moderní regionální politika:</w:t>
      </w:r>
    </w:p>
    <w:p w14:paraId="4A6F466B" w14:textId="77777777" w:rsidR="008E0F74" w:rsidRPr="00FC3B7C" w:rsidRDefault="00256F29">
      <w:pPr>
        <w:spacing w:line="358" w:lineRule="auto"/>
        <w:rPr>
          <w:sz w:val="20"/>
          <w:szCs w:val="20"/>
        </w:rPr>
      </w:pPr>
      <w:r w:rsidRPr="00FC3B7C">
        <w:rPr>
          <w:rFonts w:eastAsia="Times New Roman"/>
          <w:szCs w:val="24"/>
        </w:rPr>
        <w:t>Soubor cílů a nástrojů, které usilují o zlepšení celkové výkonnosti regionu a sblížení výkonnosti jednotlivých regionů. Snaha o rozvoj v oblastech jak rozvinutých, tak problémových. Tradiční regionální politika se také používá, avšak ve velmi omezené míře.</w:t>
      </w:r>
    </w:p>
    <w:p w14:paraId="4A6F466C" w14:textId="77777777" w:rsidR="008E0F74" w:rsidRPr="00FC3B7C" w:rsidRDefault="008E0F74">
      <w:pPr>
        <w:spacing w:line="2" w:lineRule="exact"/>
        <w:rPr>
          <w:sz w:val="20"/>
          <w:szCs w:val="20"/>
        </w:rPr>
      </w:pPr>
    </w:p>
    <w:p w14:paraId="4A6F466D" w14:textId="77777777" w:rsidR="008E0F74" w:rsidRPr="00FC3B7C" w:rsidRDefault="00256F29">
      <w:pPr>
        <w:rPr>
          <w:sz w:val="20"/>
          <w:szCs w:val="20"/>
        </w:rPr>
      </w:pPr>
      <w:r w:rsidRPr="00FC3B7C">
        <w:rPr>
          <w:rFonts w:eastAsia="Times New Roman"/>
          <w:b/>
          <w:bCs/>
          <w:szCs w:val="24"/>
        </w:rPr>
        <w:t>Teorie konvergence = teorie regionální rovnováhy:</w:t>
      </w:r>
    </w:p>
    <w:p w14:paraId="4A6F466E" w14:textId="77777777" w:rsidR="008E0F74" w:rsidRPr="00FC3B7C" w:rsidRDefault="00256F29">
      <w:pPr>
        <w:spacing w:line="359" w:lineRule="auto"/>
        <w:rPr>
          <w:sz w:val="20"/>
          <w:szCs w:val="20"/>
        </w:rPr>
      </w:pPr>
      <w:r w:rsidRPr="00FC3B7C">
        <w:rPr>
          <w:rFonts w:eastAsia="Times New Roman"/>
          <w:szCs w:val="24"/>
        </w:rPr>
        <w:t>Tvrdí, že přirozenou základní tendencí regionálního vývoje je vyrovnávání rozdílů mezi regiony. Konvergenční teorie pracují v zásadě s daleko delšími horizonty než teorie divergenční. Aby došlo k vyrovnání rozdílů mezi regiony, je potřeba mnohem delšího působení, než je nutné ke zvětšování rozdílů. Méně rozvinuté regiony rostou rychleji než rozvinuté regiony („</w:t>
      </w:r>
      <w:r w:rsidRPr="00FC3B7C">
        <w:rPr>
          <w:rFonts w:eastAsia="Times New Roman"/>
          <w:i/>
          <w:iCs/>
          <w:szCs w:val="24"/>
        </w:rPr>
        <w:t>beta convergence</w:t>
      </w:r>
      <w:r w:rsidRPr="00FC3B7C">
        <w:rPr>
          <w:rFonts w:eastAsia="Times New Roman"/>
          <w:szCs w:val="24"/>
        </w:rPr>
        <w:t>“).</w:t>
      </w:r>
    </w:p>
    <w:p w14:paraId="4A6F466F" w14:textId="77777777" w:rsidR="008E0F74" w:rsidRPr="00FC3B7C" w:rsidRDefault="008E0F74">
      <w:pPr>
        <w:spacing w:line="4" w:lineRule="exact"/>
        <w:rPr>
          <w:sz w:val="20"/>
          <w:szCs w:val="20"/>
        </w:rPr>
      </w:pPr>
    </w:p>
    <w:p w14:paraId="4A6F4670" w14:textId="77777777" w:rsidR="008E0F74" w:rsidRPr="00FC3B7C" w:rsidRDefault="00256F29">
      <w:pPr>
        <w:spacing w:line="375" w:lineRule="auto"/>
        <w:rPr>
          <w:sz w:val="20"/>
          <w:szCs w:val="20"/>
        </w:rPr>
      </w:pPr>
      <w:r w:rsidRPr="00FC3B7C">
        <w:rPr>
          <w:rFonts w:eastAsia="Times New Roman"/>
          <w:b/>
          <w:bCs/>
          <w:sz w:val="23"/>
          <w:szCs w:val="23"/>
        </w:rPr>
        <w:t xml:space="preserve">Neoklasická teorie regionálního rozvoje </w:t>
      </w:r>
      <w:r w:rsidRPr="00FC3B7C">
        <w:rPr>
          <w:rFonts w:eastAsia="Times New Roman"/>
          <w:sz w:val="23"/>
          <w:szCs w:val="23"/>
        </w:rPr>
        <w:t>– mělo by docházet k samovolnému sbližování</w:t>
      </w:r>
      <w:r w:rsidRPr="00FC3B7C">
        <w:rPr>
          <w:rFonts w:eastAsia="Times New Roman"/>
          <w:b/>
          <w:bCs/>
          <w:sz w:val="23"/>
          <w:szCs w:val="23"/>
        </w:rPr>
        <w:t xml:space="preserve"> </w:t>
      </w:r>
      <w:r w:rsidRPr="00FC3B7C">
        <w:rPr>
          <w:rFonts w:eastAsia="Times New Roman"/>
          <w:sz w:val="23"/>
          <w:szCs w:val="23"/>
        </w:rPr>
        <w:t xml:space="preserve">ekonomické úrovně regionů bez jakékoliv regionální politiky → </w:t>
      </w:r>
      <w:r w:rsidRPr="00FC3B7C">
        <w:rPr>
          <w:rFonts w:eastAsia="Times New Roman"/>
          <w:i/>
          <w:iCs/>
          <w:sz w:val="23"/>
          <w:szCs w:val="23"/>
        </w:rPr>
        <w:t>reálná konvergence</w:t>
      </w:r>
      <w:r w:rsidRPr="00FC3B7C">
        <w:rPr>
          <w:rFonts w:eastAsia="Times New Roman"/>
          <w:sz w:val="23"/>
          <w:szCs w:val="23"/>
        </w:rPr>
        <w:t>, důvodem je snaha vlastníků firem o maximalizaci zisku; tato teorie ale v praxi nefunguje, neboť existuje řada bariér (strukturální problémy, nízká mobilita pracovní síly, nekvalitní infrastruktura).</w:t>
      </w:r>
    </w:p>
    <w:p w14:paraId="4A6F4671" w14:textId="77777777" w:rsidR="008E0F74" w:rsidRPr="00FC3B7C" w:rsidRDefault="008E0F74">
      <w:pPr>
        <w:spacing w:line="3" w:lineRule="exact"/>
        <w:rPr>
          <w:sz w:val="20"/>
          <w:szCs w:val="20"/>
        </w:rPr>
      </w:pPr>
    </w:p>
    <w:p w14:paraId="4A6F4672" w14:textId="77777777" w:rsidR="008E0F74" w:rsidRPr="00FC3B7C" w:rsidRDefault="00256F29">
      <w:pPr>
        <w:rPr>
          <w:sz w:val="20"/>
          <w:szCs w:val="20"/>
        </w:rPr>
      </w:pPr>
      <w:r w:rsidRPr="00FC3B7C">
        <w:rPr>
          <w:rFonts w:eastAsia="Times New Roman"/>
          <w:b/>
          <w:bCs/>
          <w:szCs w:val="24"/>
        </w:rPr>
        <w:t>Teorie divergence = teorie regionální nerovnováhy</w:t>
      </w:r>
    </w:p>
    <w:p w14:paraId="4A6F4673" w14:textId="77777777" w:rsidR="008E0F74" w:rsidRPr="00FC3B7C" w:rsidRDefault="008E0F74">
      <w:pPr>
        <w:spacing w:line="143" w:lineRule="exact"/>
        <w:rPr>
          <w:sz w:val="20"/>
          <w:szCs w:val="20"/>
        </w:rPr>
      </w:pPr>
    </w:p>
    <w:p w14:paraId="4A6F4674" w14:textId="77777777" w:rsidR="008E0F74" w:rsidRPr="00FC3B7C" w:rsidRDefault="00256F29">
      <w:pPr>
        <w:spacing w:line="356" w:lineRule="auto"/>
        <w:ind w:right="660"/>
        <w:rPr>
          <w:sz w:val="20"/>
          <w:szCs w:val="20"/>
        </w:rPr>
      </w:pPr>
      <w:r w:rsidRPr="00FC3B7C">
        <w:rPr>
          <w:rFonts w:eastAsia="Times New Roman"/>
          <w:szCs w:val="24"/>
        </w:rPr>
        <w:lastRenderedPageBreak/>
        <w:t>Její zastánci jsou přesvědčeni, že v průběhu vývoje dochází spíše k dalšímu zvětšování meziregionálních rozdílů.</w:t>
      </w:r>
    </w:p>
    <w:p w14:paraId="4A6F4675" w14:textId="77777777" w:rsidR="008E0F74" w:rsidRPr="00FC3B7C" w:rsidRDefault="008E0F74">
      <w:pPr>
        <w:spacing w:line="1" w:lineRule="exact"/>
        <w:rPr>
          <w:sz w:val="20"/>
          <w:szCs w:val="20"/>
        </w:rPr>
      </w:pPr>
    </w:p>
    <w:p w14:paraId="4A6F4676" w14:textId="77777777" w:rsidR="008E0F74" w:rsidRPr="00FC3B7C" w:rsidRDefault="00256F29">
      <w:pPr>
        <w:spacing w:line="363" w:lineRule="auto"/>
        <w:ind w:right="660"/>
        <w:rPr>
          <w:sz w:val="20"/>
          <w:szCs w:val="20"/>
        </w:rPr>
      </w:pPr>
      <w:r w:rsidRPr="00FC3B7C">
        <w:rPr>
          <w:rFonts w:eastAsia="Times New Roman"/>
          <w:b/>
          <w:bCs/>
          <w:szCs w:val="24"/>
        </w:rPr>
        <w:t xml:space="preserve">Centrum růstu </w:t>
      </w:r>
      <w:r w:rsidRPr="00FC3B7C">
        <w:rPr>
          <w:rFonts w:eastAsia="Times New Roman"/>
          <w:szCs w:val="24"/>
        </w:rPr>
        <w:t>– přítomnost předních firem a průmyslu, který</w:t>
      </w:r>
      <w:r w:rsidRPr="00FC3B7C">
        <w:rPr>
          <w:rFonts w:eastAsia="Times New Roman"/>
          <w:b/>
          <w:bCs/>
          <w:szCs w:val="24"/>
        </w:rPr>
        <w:t xml:space="preserve"> </w:t>
      </w:r>
      <w:r w:rsidRPr="00FC3B7C">
        <w:rPr>
          <w:rFonts w:eastAsia="Times New Roman"/>
          <w:szCs w:val="24"/>
        </w:rPr>
        <w:t>zajišťuje trvalý</w:t>
      </w:r>
      <w:r w:rsidRPr="00FC3B7C">
        <w:rPr>
          <w:rFonts w:eastAsia="Times New Roman"/>
          <w:b/>
          <w:bCs/>
          <w:szCs w:val="24"/>
        </w:rPr>
        <w:t xml:space="preserve"> </w:t>
      </w:r>
      <w:r w:rsidRPr="00FC3B7C">
        <w:rPr>
          <w:rFonts w:eastAsia="Times New Roman"/>
          <w:szCs w:val="24"/>
        </w:rPr>
        <w:t>růst</w:t>
      </w:r>
      <w:r w:rsidRPr="00FC3B7C">
        <w:rPr>
          <w:rFonts w:eastAsia="Times New Roman"/>
          <w:b/>
          <w:bCs/>
          <w:szCs w:val="24"/>
        </w:rPr>
        <w:t xml:space="preserve"> </w:t>
      </w:r>
      <w:r w:rsidRPr="00FC3B7C">
        <w:rPr>
          <w:rFonts w:eastAsia="Times New Roman"/>
          <w:szCs w:val="24"/>
        </w:rPr>
        <w:t>regionu díky vazbám na další.</w:t>
      </w:r>
    </w:p>
    <w:p w14:paraId="4A6F4677" w14:textId="77777777" w:rsidR="008E0F74" w:rsidRPr="00FC3B7C" w:rsidRDefault="008E0F74">
      <w:pPr>
        <w:spacing w:line="2" w:lineRule="exact"/>
        <w:rPr>
          <w:sz w:val="20"/>
          <w:szCs w:val="20"/>
        </w:rPr>
      </w:pPr>
    </w:p>
    <w:p w14:paraId="4A6F4678" w14:textId="77777777" w:rsidR="008E0F74" w:rsidRPr="00FC3B7C" w:rsidRDefault="00256F29">
      <w:pPr>
        <w:rPr>
          <w:sz w:val="20"/>
          <w:szCs w:val="20"/>
        </w:rPr>
      </w:pPr>
      <w:r w:rsidRPr="00FC3B7C">
        <w:rPr>
          <w:rFonts w:eastAsia="Times New Roman"/>
          <w:szCs w:val="24"/>
        </w:rPr>
        <w:t>Může způsobit polarizaci – kumulativní ekonomický růst či pokles uvnitř země.</w:t>
      </w:r>
    </w:p>
    <w:p w14:paraId="4A6F467B" w14:textId="77777777" w:rsidR="008E0F74" w:rsidRPr="00EE01FF" w:rsidRDefault="008E0F74">
      <w:pPr>
        <w:spacing w:line="208" w:lineRule="exact"/>
        <w:rPr>
          <w:color w:val="1F3864" w:themeColor="accent1" w:themeShade="80"/>
          <w:sz w:val="20"/>
          <w:szCs w:val="20"/>
        </w:rPr>
      </w:pPr>
    </w:p>
    <w:p w14:paraId="4A6F467C" w14:textId="04B4907C" w:rsidR="008E0F74" w:rsidRPr="00EE01FF" w:rsidRDefault="00EE01FF" w:rsidP="00EE01FF">
      <w:pPr>
        <w:tabs>
          <w:tab w:val="left" w:pos="1060"/>
        </w:tabs>
        <w:rPr>
          <w:color w:val="1F3864" w:themeColor="accent1" w:themeShade="80"/>
          <w:sz w:val="20"/>
          <w:szCs w:val="20"/>
        </w:rPr>
      </w:pPr>
      <w:r w:rsidRPr="00EE01FF">
        <w:rPr>
          <w:rStyle w:val="Nadpis3Char"/>
          <w:color w:val="1F3864" w:themeColor="accent1" w:themeShade="80"/>
          <w:sz w:val="32"/>
          <w:szCs w:val="28"/>
        </w:rPr>
        <w:t xml:space="preserve"> </w:t>
      </w:r>
      <w:r w:rsidR="00223868" w:rsidRPr="00EE01FF">
        <w:rPr>
          <w:rStyle w:val="Nadpis3Char"/>
          <w:color w:val="1F3864" w:themeColor="accent1" w:themeShade="80"/>
          <w:sz w:val="32"/>
          <w:szCs w:val="28"/>
        </w:rPr>
        <w:t>15.</w:t>
      </w:r>
      <w:r w:rsidRPr="00EE01FF">
        <w:rPr>
          <w:rStyle w:val="Nadpis3Char"/>
          <w:color w:val="1F3864" w:themeColor="accent1" w:themeShade="80"/>
          <w:sz w:val="32"/>
          <w:szCs w:val="28"/>
        </w:rPr>
        <w:t>7</w:t>
      </w:r>
      <w:r w:rsidR="003376E1">
        <w:rPr>
          <w:rStyle w:val="Nadpis3Char"/>
          <w:color w:val="1F3864" w:themeColor="accent1" w:themeShade="80"/>
          <w:sz w:val="32"/>
          <w:szCs w:val="28"/>
        </w:rPr>
        <w:t xml:space="preserve"> </w:t>
      </w:r>
      <w:r w:rsidR="00256F29" w:rsidRPr="00EE01FF">
        <w:rPr>
          <w:color w:val="1F3864" w:themeColor="accent1" w:themeShade="80"/>
          <w:sz w:val="20"/>
          <w:szCs w:val="20"/>
        </w:rPr>
        <w:tab/>
      </w:r>
      <w:r w:rsidR="00256F29" w:rsidRPr="00EE01FF">
        <w:rPr>
          <w:rFonts w:eastAsia="Times New Roman"/>
          <w:b/>
          <w:bCs/>
          <w:color w:val="1F3864" w:themeColor="accent1" w:themeShade="80"/>
          <w:sz w:val="31"/>
          <w:szCs w:val="31"/>
        </w:rPr>
        <w:t>POJETÍ REGIONÁLNÍ POLITIKY EVROPSKÉ UNIE</w:t>
      </w:r>
    </w:p>
    <w:p w14:paraId="4A6F467D" w14:textId="77777777" w:rsidR="008E0F74" w:rsidRDefault="00256F29">
      <w:pPr>
        <w:spacing w:line="370" w:lineRule="auto"/>
        <w:rPr>
          <w:rFonts w:eastAsia="Times New Roman"/>
          <w:szCs w:val="24"/>
        </w:rPr>
      </w:pPr>
      <w:r w:rsidRPr="00FC3B7C">
        <w:rPr>
          <w:rFonts w:eastAsia="Times New Roman"/>
          <w:szCs w:val="24"/>
        </w:rPr>
        <w:t xml:space="preserve">Známá také pod názvem politika soudržnosti (případně kohezní politika). Tato politika úzce souvisí s principem </w:t>
      </w:r>
      <w:r w:rsidRPr="00FC3B7C">
        <w:rPr>
          <w:rFonts w:eastAsia="Times New Roman"/>
          <w:b/>
          <w:bCs/>
          <w:szCs w:val="24"/>
        </w:rPr>
        <w:t>solidarity</w:t>
      </w:r>
      <w:r w:rsidRPr="00FC3B7C">
        <w:rPr>
          <w:rFonts w:eastAsia="Times New Roman"/>
          <w:szCs w:val="24"/>
        </w:rPr>
        <w:t xml:space="preserve"> uvnitř EU (bohatší státy přispívají na rozvoj chudších států a regionů, aby se zvýšila kvalita života obyvatel celé EU). Patří mezi nejvýznamnější aktivity EU. V letech 2007-2013 připadá na regionální politiku 347 mld. eur = 35,7% rozpočtu.</w:t>
      </w:r>
    </w:p>
    <w:p w14:paraId="4A6F467E" w14:textId="77777777" w:rsidR="00094CFD" w:rsidRDefault="00094CFD">
      <w:pPr>
        <w:spacing w:line="370" w:lineRule="auto"/>
        <w:rPr>
          <w:rFonts w:eastAsia="Times New Roman"/>
          <w:szCs w:val="24"/>
        </w:rPr>
      </w:pPr>
    </w:p>
    <w:p w14:paraId="4A6F4681" w14:textId="0A237FC7" w:rsidR="008E0F74" w:rsidRDefault="00223868" w:rsidP="00EE01FF">
      <w:pPr>
        <w:spacing w:line="240" w:lineRule="auto"/>
        <w:jc w:val="left"/>
        <w:rPr>
          <w:rFonts w:eastAsia="Times New Roman"/>
          <w:b/>
          <w:bCs/>
          <w:color w:val="1F3864" w:themeColor="accent1" w:themeShade="80"/>
          <w:sz w:val="28"/>
          <w:szCs w:val="28"/>
        </w:rPr>
      </w:pPr>
      <w:bookmarkStart w:id="311" w:name="page333"/>
      <w:bookmarkEnd w:id="311"/>
      <w:r w:rsidRPr="00EE01FF">
        <w:rPr>
          <w:rFonts w:eastAsia="Times New Roman"/>
          <w:b/>
          <w:bCs/>
          <w:color w:val="1F3864" w:themeColor="accent1" w:themeShade="80"/>
          <w:sz w:val="28"/>
          <w:szCs w:val="28"/>
        </w:rPr>
        <w:t>15.</w:t>
      </w:r>
      <w:r w:rsidR="00EE01FF">
        <w:rPr>
          <w:rFonts w:eastAsia="Times New Roman"/>
          <w:b/>
          <w:bCs/>
          <w:color w:val="1F3864" w:themeColor="accent1" w:themeShade="80"/>
          <w:sz w:val="28"/>
          <w:szCs w:val="28"/>
        </w:rPr>
        <w:t>7</w:t>
      </w:r>
      <w:r w:rsidR="00256F29" w:rsidRPr="00EE01FF">
        <w:rPr>
          <w:rFonts w:eastAsia="Times New Roman"/>
          <w:b/>
          <w:bCs/>
          <w:color w:val="1F3864" w:themeColor="accent1" w:themeShade="80"/>
          <w:sz w:val="28"/>
          <w:szCs w:val="28"/>
        </w:rPr>
        <w:t>.1</w:t>
      </w:r>
      <w:r w:rsidR="003376E1">
        <w:rPr>
          <w:rFonts w:eastAsia="Times New Roman"/>
          <w:b/>
          <w:bCs/>
          <w:color w:val="1F3864" w:themeColor="accent1" w:themeShade="80"/>
          <w:sz w:val="28"/>
          <w:szCs w:val="28"/>
        </w:rPr>
        <w:t xml:space="preserve"> </w:t>
      </w:r>
      <w:r w:rsidR="00256F29" w:rsidRPr="00EE01FF">
        <w:rPr>
          <w:rFonts w:eastAsia="Times New Roman"/>
          <w:b/>
          <w:bCs/>
          <w:color w:val="1F3864" w:themeColor="accent1" w:themeShade="80"/>
          <w:sz w:val="28"/>
          <w:szCs w:val="28"/>
        </w:rPr>
        <w:t>Klasifikace jednotek NUTS</w:t>
      </w:r>
    </w:p>
    <w:p w14:paraId="1377EC4C" w14:textId="77777777" w:rsidR="00EE01FF" w:rsidRPr="00EE01FF" w:rsidRDefault="00EE01FF" w:rsidP="00EE01FF">
      <w:pPr>
        <w:spacing w:line="240" w:lineRule="auto"/>
        <w:jc w:val="left"/>
        <w:rPr>
          <w:rFonts w:eastAsia="Times New Roman"/>
          <w:szCs w:val="24"/>
        </w:rPr>
      </w:pPr>
    </w:p>
    <w:p w14:paraId="4A6F4682" w14:textId="77777777" w:rsidR="008E0F74" w:rsidRPr="00FC3B7C" w:rsidRDefault="00256F29">
      <w:pPr>
        <w:spacing w:line="362" w:lineRule="auto"/>
        <w:rPr>
          <w:sz w:val="20"/>
          <w:szCs w:val="20"/>
        </w:rPr>
      </w:pPr>
      <w:r w:rsidRPr="00FC3B7C">
        <w:rPr>
          <w:rFonts w:eastAsia="Times New Roman"/>
          <w:szCs w:val="24"/>
        </w:rPr>
        <w:t xml:space="preserve">Klasifikace zavedená Statistickým úřadem Evropských společenství v roce 1988 (Eurostat) pro potřeby klasifikování jednotné unifikované struktury územních jednotek. Definováno na </w:t>
      </w:r>
      <w:r w:rsidR="00A15FC0">
        <w:rPr>
          <w:rFonts w:eastAsia="Times New Roman"/>
          <w:szCs w:val="24"/>
        </w:rPr>
        <w:t>z</w:t>
      </w:r>
      <w:r w:rsidRPr="00FC3B7C">
        <w:rPr>
          <w:rFonts w:eastAsia="Times New Roman"/>
          <w:szCs w:val="24"/>
        </w:rPr>
        <w:t>ákladě počtu obyvatel a rozlohy. Celkem existuje 5 úrovní regionálního členění území neboli územních jednotek:</w:t>
      </w:r>
    </w:p>
    <w:p w14:paraId="4A6F4683" w14:textId="77777777" w:rsidR="008E0F74" w:rsidRPr="00FC3B7C" w:rsidRDefault="008E0F74">
      <w:pPr>
        <w:spacing w:line="5" w:lineRule="exact"/>
        <w:rPr>
          <w:sz w:val="20"/>
          <w:szCs w:val="20"/>
        </w:rPr>
      </w:pPr>
    </w:p>
    <w:p w14:paraId="4A6F4684" w14:textId="77777777" w:rsidR="008E0F74" w:rsidRPr="00FC3B7C" w:rsidRDefault="00256F29" w:rsidP="00D46B53">
      <w:pPr>
        <w:numPr>
          <w:ilvl w:val="0"/>
          <w:numId w:val="278"/>
        </w:numPr>
        <w:tabs>
          <w:tab w:val="left" w:pos="1560"/>
        </w:tabs>
        <w:ind w:left="1560" w:hanging="353"/>
        <w:rPr>
          <w:rFonts w:eastAsia="Arial"/>
          <w:szCs w:val="24"/>
        </w:rPr>
      </w:pPr>
      <w:r w:rsidRPr="00FC3B7C">
        <w:rPr>
          <w:rFonts w:eastAsia="Times New Roman"/>
          <w:szCs w:val="24"/>
        </w:rPr>
        <w:t>NUTS 1 = území (ČR)</w:t>
      </w:r>
    </w:p>
    <w:p w14:paraId="4A6F4685" w14:textId="77777777" w:rsidR="008E0F74" w:rsidRPr="00FC3B7C" w:rsidRDefault="00256F29" w:rsidP="00D46B53">
      <w:pPr>
        <w:numPr>
          <w:ilvl w:val="0"/>
          <w:numId w:val="278"/>
        </w:numPr>
        <w:tabs>
          <w:tab w:val="left" w:pos="1560"/>
        </w:tabs>
        <w:ind w:left="1560" w:hanging="353"/>
        <w:rPr>
          <w:rFonts w:eastAsia="Arial"/>
          <w:szCs w:val="24"/>
        </w:rPr>
      </w:pPr>
      <w:r w:rsidRPr="00FC3B7C">
        <w:rPr>
          <w:rFonts w:eastAsia="Times New Roman"/>
          <w:szCs w:val="24"/>
        </w:rPr>
        <w:t>NUTS 2 = sdružené kraje (regiony soudržnosti)</w:t>
      </w:r>
    </w:p>
    <w:p w14:paraId="4A6F4686" w14:textId="77777777" w:rsidR="008E0F74" w:rsidRPr="00FC3B7C" w:rsidRDefault="008E0F74">
      <w:pPr>
        <w:spacing w:line="126" w:lineRule="exact"/>
        <w:rPr>
          <w:rFonts w:eastAsia="Arial"/>
          <w:szCs w:val="24"/>
        </w:rPr>
      </w:pPr>
    </w:p>
    <w:p w14:paraId="4A6F4687" w14:textId="35F673FD" w:rsidR="008E0F74" w:rsidRPr="00FC3B7C" w:rsidRDefault="00256F29">
      <w:pPr>
        <w:ind w:left="1920"/>
        <w:rPr>
          <w:rFonts w:eastAsia="Arial"/>
          <w:szCs w:val="24"/>
        </w:rPr>
      </w:pPr>
      <w:r w:rsidRPr="00FC3B7C">
        <w:rPr>
          <w:rFonts w:eastAsia="Arial"/>
          <w:szCs w:val="24"/>
        </w:rPr>
        <w:t>–</w:t>
      </w:r>
      <w:r w:rsidR="003376E1">
        <w:rPr>
          <w:rFonts w:eastAsia="Arial"/>
          <w:szCs w:val="24"/>
        </w:rPr>
        <w:t xml:space="preserve"> </w:t>
      </w:r>
      <w:r w:rsidRPr="00FC3B7C">
        <w:rPr>
          <w:rFonts w:eastAsia="Times New Roman"/>
          <w:szCs w:val="24"/>
        </w:rPr>
        <w:t>Praha</w:t>
      </w:r>
    </w:p>
    <w:p w14:paraId="4A6F4688" w14:textId="21E5B117" w:rsidR="008E0F74" w:rsidRPr="00FC3B7C" w:rsidRDefault="00256F29">
      <w:pPr>
        <w:ind w:left="1920"/>
        <w:rPr>
          <w:rFonts w:eastAsia="Arial"/>
          <w:szCs w:val="24"/>
        </w:rPr>
      </w:pPr>
      <w:r w:rsidRPr="00FC3B7C">
        <w:rPr>
          <w:rFonts w:eastAsia="Arial"/>
          <w:szCs w:val="24"/>
        </w:rPr>
        <w:t>–</w:t>
      </w:r>
      <w:r w:rsidR="003376E1">
        <w:rPr>
          <w:rFonts w:eastAsia="Arial"/>
          <w:szCs w:val="24"/>
        </w:rPr>
        <w:t xml:space="preserve"> </w:t>
      </w:r>
      <w:r w:rsidRPr="00FC3B7C">
        <w:rPr>
          <w:rFonts w:eastAsia="Times New Roman"/>
          <w:szCs w:val="24"/>
        </w:rPr>
        <w:t>Střední</w:t>
      </w:r>
      <w:r w:rsidRPr="00FC3B7C">
        <w:rPr>
          <w:rFonts w:eastAsia="Arial"/>
          <w:szCs w:val="24"/>
        </w:rPr>
        <w:t xml:space="preserve"> </w:t>
      </w:r>
      <w:r w:rsidRPr="00FC3B7C">
        <w:rPr>
          <w:rFonts w:eastAsia="Times New Roman"/>
          <w:szCs w:val="24"/>
        </w:rPr>
        <w:t>Čechy</w:t>
      </w:r>
    </w:p>
    <w:p w14:paraId="4A6F4689" w14:textId="19449C3F" w:rsidR="008E0F74" w:rsidRPr="00FC3B7C" w:rsidRDefault="00256F29">
      <w:pPr>
        <w:ind w:left="1920"/>
        <w:rPr>
          <w:rFonts w:eastAsia="Arial"/>
          <w:szCs w:val="24"/>
        </w:rPr>
      </w:pPr>
      <w:r w:rsidRPr="00FC3B7C">
        <w:rPr>
          <w:rFonts w:eastAsia="Arial"/>
          <w:szCs w:val="24"/>
        </w:rPr>
        <w:t>–</w:t>
      </w:r>
      <w:r w:rsidR="003376E1">
        <w:rPr>
          <w:rFonts w:eastAsia="Arial"/>
          <w:szCs w:val="24"/>
        </w:rPr>
        <w:t xml:space="preserve"> </w:t>
      </w:r>
      <w:r w:rsidRPr="00FC3B7C">
        <w:rPr>
          <w:rFonts w:eastAsia="Times New Roman"/>
          <w:szCs w:val="24"/>
        </w:rPr>
        <w:t>Jihozápad</w:t>
      </w:r>
    </w:p>
    <w:p w14:paraId="4A6F468A" w14:textId="200394E1" w:rsidR="008E0F74" w:rsidRPr="00FC3B7C" w:rsidRDefault="00256F29">
      <w:pPr>
        <w:ind w:left="1920"/>
        <w:rPr>
          <w:rFonts w:eastAsia="Arial"/>
          <w:szCs w:val="24"/>
        </w:rPr>
      </w:pPr>
      <w:r w:rsidRPr="00FC3B7C">
        <w:rPr>
          <w:rFonts w:eastAsia="Arial"/>
          <w:szCs w:val="24"/>
        </w:rPr>
        <w:t>–</w:t>
      </w:r>
      <w:r w:rsidR="003376E1">
        <w:rPr>
          <w:rFonts w:eastAsia="Arial"/>
          <w:szCs w:val="24"/>
        </w:rPr>
        <w:t xml:space="preserve"> </w:t>
      </w:r>
      <w:r w:rsidRPr="00FC3B7C">
        <w:rPr>
          <w:rFonts w:eastAsia="Times New Roman"/>
          <w:szCs w:val="24"/>
        </w:rPr>
        <w:t>Severozápad</w:t>
      </w:r>
    </w:p>
    <w:p w14:paraId="4A6F468B" w14:textId="1357121A" w:rsidR="008E0F74" w:rsidRPr="00FC3B7C" w:rsidRDefault="00256F29">
      <w:pPr>
        <w:ind w:left="1920"/>
        <w:rPr>
          <w:rFonts w:eastAsia="Arial"/>
          <w:szCs w:val="24"/>
        </w:rPr>
      </w:pPr>
      <w:r w:rsidRPr="00FC3B7C">
        <w:rPr>
          <w:rFonts w:eastAsia="Arial"/>
          <w:szCs w:val="24"/>
        </w:rPr>
        <w:t>–</w:t>
      </w:r>
      <w:r w:rsidR="003376E1">
        <w:rPr>
          <w:rFonts w:eastAsia="Arial"/>
          <w:szCs w:val="24"/>
        </w:rPr>
        <w:t xml:space="preserve"> </w:t>
      </w:r>
      <w:r w:rsidRPr="00FC3B7C">
        <w:rPr>
          <w:rFonts w:eastAsia="Times New Roman"/>
          <w:szCs w:val="24"/>
        </w:rPr>
        <w:t>Severovýchod</w:t>
      </w:r>
    </w:p>
    <w:p w14:paraId="4A6F468C" w14:textId="4DCD39A1" w:rsidR="008E0F74" w:rsidRPr="00FC3B7C" w:rsidRDefault="00256F29">
      <w:pPr>
        <w:ind w:left="1920"/>
        <w:rPr>
          <w:rFonts w:eastAsia="Arial"/>
          <w:szCs w:val="24"/>
        </w:rPr>
      </w:pPr>
      <w:r w:rsidRPr="00FC3B7C">
        <w:rPr>
          <w:rFonts w:eastAsia="Arial"/>
          <w:szCs w:val="24"/>
        </w:rPr>
        <w:t>–</w:t>
      </w:r>
      <w:r w:rsidR="003376E1">
        <w:rPr>
          <w:rFonts w:eastAsia="Arial"/>
          <w:szCs w:val="24"/>
        </w:rPr>
        <w:t xml:space="preserve"> </w:t>
      </w:r>
      <w:r w:rsidRPr="00FC3B7C">
        <w:rPr>
          <w:rFonts w:eastAsia="Times New Roman"/>
          <w:szCs w:val="24"/>
        </w:rPr>
        <w:t>Jihovýchod</w:t>
      </w:r>
    </w:p>
    <w:p w14:paraId="4A6F468D" w14:textId="142E82F3" w:rsidR="008E0F74" w:rsidRPr="00FC3B7C" w:rsidRDefault="00256F29">
      <w:pPr>
        <w:ind w:left="1920"/>
        <w:rPr>
          <w:rFonts w:eastAsia="Arial"/>
          <w:szCs w:val="24"/>
        </w:rPr>
      </w:pPr>
      <w:r w:rsidRPr="00FC3B7C">
        <w:rPr>
          <w:rFonts w:eastAsia="Arial"/>
          <w:szCs w:val="24"/>
        </w:rPr>
        <w:t>–</w:t>
      </w:r>
      <w:r w:rsidR="003376E1">
        <w:rPr>
          <w:rFonts w:eastAsia="Arial"/>
          <w:szCs w:val="24"/>
        </w:rPr>
        <w:t xml:space="preserve"> </w:t>
      </w:r>
      <w:r w:rsidRPr="00FC3B7C">
        <w:rPr>
          <w:rFonts w:eastAsia="Times New Roman"/>
          <w:szCs w:val="24"/>
        </w:rPr>
        <w:t>Střední Morava</w:t>
      </w:r>
    </w:p>
    <w:p w14:paraId="4A6F468E" w14:textId="754B7C12" w:rsidR="008E0F74" w:rsidRPr="00FC3B7C" w:rsidRDefault="00256F29">
      <w:pPr>
        <w:ind w:left="1920"/>
        <w:rPr>
          <w:rFonts w:eastAsia="Arial"/>
          <w:szCs w:val="24"/>
        </w:rPr>
      </w:pPr>
      <w:r w:rsidRPr="00FC3B7C">
        <w:rPr>
          <w:rFonts w:eastAsia="Arial"/>
          <w:szCs w:val="24"/>
        </w:rPr>
        <w:t>–</w:t>
      </w:r>
      <w:r w:rsidR="003376E1">
        <w:rPr>
          <w:rFonts w:eastAsia="Arial"/>
          <w:szCs w:val="24"/>
        </w:rPr>
        <w:t xml:space="preserve"> </w:t>
      </w:r>
      <w:r w:rsidRPr="00FC3B7C">
        <w:rPr>
          <w:rFonts w:eastAsia="Times New Roman"/>
          <w:szCs w:val="24"/>
        </w:rPr>
        <w:t>Moravskoslezsko</w:t>
      </w:r>
    </w:p>
    <w:p w14:paraId="4A6F468F" w14:textId="77777777" w:rsidR="008E0F74" w:rsidRPr="00FC3B7C" w:rsidRDefault="008E0F74">
      <w:pPr>
        <w:spacing w:line="159" w:lineRule="exact"/>
        <w:rPr>
          <w:rFonts w:eastAsia="Arial"/>
          <w:szCs w:val="24"/>
        </w:rPr>
      </w:pPr>
    </w:p>
    <w:p w14:paraId="4A6F4690" w14:textId="77777777" w:rsidR="008E0F74" w:rsidRPr="00FC3B7C" w:rsidRDefault="00256F29" w:rsidP="00D46B53">
      <w:pPr>
        <w:numPr>
          <w:ilvl w:val="1"/>
          <w:numId w:val="278"/>
        </w:numPr>
        <w:tabs>
          <w:tab w:val="left" w:pos="1700"/>
        </w:tabs>
        <w:ind w:left="1700" w:hanging="363"/>
        <w:rPr>
          <w:rFonts w:eastAsia="Arial"/>
          <w:szCs w:val="24"/>
        </w:rPr>
      </w:pPr>
      <w:r w:rsidRPr="00FC3B7C">
        <w:rPr>
          <w:rFonts w:eastAsia="Times New Roman"/>
          <w:szCs w:val="24"/>
        </w:rPr>
        <w:t>NUTS 3 = kraje (14)</w:t>
      </w:r>
    </w:p>
    <w:p w14:paraId="4A6F4691" w14:textId="77777777" w:rsidR="008E0F74" w:rsidRPr="00FC3B7C" w:rsidRDefault="00256F29" w:rsidP="00D46B53">
      <w:pPr>
        <w:numPr>
          <w:ilvl w:val="1"/>
          <w:numId w:val="278"/>
        </w:numPr>
        <w:tabs>
          <w:tab w:val="left" w:pos="1700"/>
        </w:tabs>
        <w:ind w:left="1700" w:hanging="363"/>
        <w:rPr>
          <w:rFonts w:eastAsia="Arial"/>
          <w:szCs w:val="24"/>
        </w:rPr>
      </w:pPr>
      <w:r w:rsidRPr="00FC3B7C">
        <w:rPr>
          <w:rFonts w:eastAsia="Times New Roman"/>
          <w:szCs w:val="24"/>
        </w:rPr>
        <w:t>LAU 1 = okresy (77)</w:t>
      </w:r>
    </w:p>
    <w:p w14:paraId="4A6F4692" w14:textId="77777777" w:rsidR="008E0F74" w:rsidRPr="00FC3B7C" w:rsidRDefault="00256F29" w:rsidP="00D46B53">
      <w:pPr>
        <w:numPr>
          <w:ilvl w:val="1"/>
          <w:numId w:val="278"/>
        </w:numPr>
        <w:tabs>
          <w:tab w:val="left" w:pos="1700"/>
        </w:tabs>
        <w:ind w:left="1700" w:hanging="363"/>
        <w:rPr>
          <w:rFonts w:eastAsia="Arial"/>
          <w:szCs w:val="24"/>
        </w:rPr>
      </w:pPr>
      <w:r w:rsidRPr="00FC3B7C">
        <w:rPr>
          <w:rFonts w:eastAsia="Times New Roman"/>
          <w:szCs w:val="24"/>
        </w:rPr>
        <w:t>LAU 2 = obce (6249)</w:t>
      </w:r>
    </w:p>
    <w:p w14:paraId="4A6F4693" w14:textId="77777777" w:rsidR="008E0F74" w:rsidRPr="00FC3B7C" w:rsidRDefault="008E0F74">
      <w:pPr>
        <w:spacing w:line="331" w:lineRule="exact"/>
        <w:rPr>
          <w:sz w:val="20"/>
          <w:szCs w:val="20"/>
        </w:rPr>
      </w:pPr>
    </w:p>
    <w:p w14:paraId="0D84EB49" w14:textId="77777777" w:rsidR="00EE01FF" w:rsidRDefault="00EE01FF">
      <w:pPr>
        <w:rPr>
          <w:rFonts w:eastAsia="Times New Roman"/>
          <w:b/>
          <w:bCs/>
          <w:szCs w:val="24"/>
        </w:rPr>
      </w:pPr>
    </w:p>
    <w:p w14:paraId="0BBC60F2" w14:textId="77777777" w:rsidR="00EE01FF" w:rsidRDefault="00EE01FF">
      <w:pPr>
        <w:rPr>
          <w:rFonts w:eastAsia="Times New Roman"/>
          <w:b/>
          <w:bCs/>
          <w:szCs w:val="24"/>
        </w:rPr>
      </w:pPr>
    </w:p>
    <w:p w14:paraId="61CE86B4" w14:textId="77777777" w:rsidR="00EE01FF" w:rsidRDefault="00EE01FF" w:rsidP="00EE01FF">
      <w:pPr>
        <w:spacing w:line="374" w:lineRule="auto"/>
        <w:rPr>
          <w:rFonts w:eastAsia="Times New Roman"/>
          <w:sz w:val="23"/>
          <w:szCs w:val="23"/>
        </w:rPr>
      </w:pPr>
      <w:r w:rsidRPr="00FC3B7C">
        <w:rPr>
          <w:noProof/>
          <w:sz w:val="20"/>
          <w:szCs w:val="20"/>
        </w:rPr>
        <w:lastRenderedPageBreak/>
        <w:drawing>
          <wp:anchor distT="0" distB="0" distL="114300" distR="114300" simplePos="0" relativeHeight="251535872" behindDoc="1" locked="0" layoutInCell="0" allowOverlap="1" wp14:anchorId="4A6F5CF0" wp14:editId="7D91C505">
            <wp:simplePos x="0" y="0"/>
            <wp:positionH relativeFrom="page">
              <wp:posOffset>908685</wp:posOffset>
            </wp:positionH>
            <wp:positionV relativeFrom="page">
              <wp:posOffset>1175385</wp:posOffset>
            </wp:positionV>
            <wp:extent cx="5550535" cy="3234055"/>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1">
                      <a:clrChange>
                        <a:clrFrom>
                          <a:srgbClr val="FFFFFF"/>
                        </a:clrFrom>
                        <a:clrTo>
                          <a:srgbClr val="FFFFFF">
                            <a:alpha val="0"/>
                          </a:srgbClr>
                        </a:clrTo>
                      </a:clrChange>
                    </a:blip>
                    <a:srcRect/>
                    <a:stretch>
                      <a:fillRect/>
                    </a:stretch>
                  </pic:blipFill>
                  <pic:spPr bwMode="auto">
                    <a:xfrm>
                      <a:off x="0" y="0"/>
                      <a:ext cx="5550535" cy="3234055"/>
                    </a:xfrm>
                    <a:prstGeom prst="rect">
                      <a:avLst/>
                    </a:prstGeom>
                    <a:noFill/>
                  </pic:spPr>
                </pic:pic>
              </a:graphicData>
            </a:graphic>
          </wp:anchor>
        </w:drawing>
      </w:r>
      <w:r w:rsidR="00256F29" w:rsidRPr="00FC3B7C">
        <w:rPr>
          <w:rFonts w:eastAsia="Times New Roman"/>
          <w:b/>
          <w:bCs/>
          <w:szCs w:val="24"/>
        </w:rPr>
        <w:t>Obr. č. 2: NUTS 2 (regiony soudružnosti (8)) a LAU 1 (okresy (77)):</w:t>
      </w:r>
      <w:r w:rsidRPr="00EE01FF">
        <w:rPr>
          <w:rFonts w:eastAsia="Times New Roman"/>
          <w:sz w:val="23"/>
          <w:szCs w:val="23"/>
        </w:rPr>
        <w:t xml:space="preserve"> </w:t>
      </w:r>
    </w:p>
    <w:p w14:paraId="1FFD25B8" w14:textId="77777777" w:rsidR="00EE01FF" w:rsidRDefault="00EE01FF" w:rsidP="00EE01FF">
      <w:pPr>
        <w:spacing w:line="374" w:lineRule="auto"/>
        <w:rPr>
          <w:rFonts w:eastAsia="Times New Roman"/>
          <w:sz w:val="23"/>
          <w:szCs w:val="23"/>
        </w:rPr>
      </w:pPr>
    </w:p>
    <w:p w14:paraId="1405CA5D" w14:textId="77777777" w:rsidR="00EE01FF" w:rsidRDefault="00EE01FF" w:rsidP="00EE01FF">
      <w:pPr>
        <w:spacing w:line="374" w:lineRule="auto"/>
        <w:rPr>
          <w:rFonts w:eastAsia="Times New Roman"/>
          <w:sz w:val="23"/>
          <w:szCs w:val="23"/>
        </w:rPr>
      </w:pPr>
    </w:p>
    <w:p w14:paraId="1EB1B559" w14:textId="77777777" w:rsidR="00EE01FF" w:rsidRDefault="00EE01FF" w:rsidP="00EE01FF">
      <w:pPr>
        <w:spacing w:line="374" w:lineRule="auto"/>
        <w:rPr>
          <w:rFonts w:eastAsia="Times New Roman"/>
          <w:sz w:val="23"/>
          <w:szCs w:val="23"/>
        </w:rPr>
      </w:pPr>
    </w:p>
    <w:p w14:paraId="2A050304" w14:textId="77777777" w:rsidR="00EE01FF" w:rsidRDefault="00EE01FF" w:rsidP="00EE01FF">
      <w:pPr>
        <w:spacing w:line="374" w:lineRule="auto"/>
        <w:rPr>
          <w:rFonts w:eastAsia="Times New Roman"/>
          <w:sz w:val="23"/>
          <w:szCs w:val="23"/>
        </w:rPr>
      </w:pPr>
    </w:p>
    <w:p w14:paraId="5B3EDBE9" w14:textId="77777777" w:rsidR="00EE01FF" w:rsidRDefault="00EE01FF" w:rsidP="00EE01FF">
      <w:pPr>
        <w:spacing w:line="374" w:lineRule="auto"/>
        <w:rPr>
          <w:rFonts w:eastAsia="Times New Roman"/>
          <w:sz w:val="23"/>
          <w:szCs w:val="23"/>
        </w:rPr>
      </w:pPr>
    </w:p>
    <w:p w14:paraId="0449E5D5" w14:textId="77777777" w:rsidR="00EE01FF" w:rsidRDefault="00EE01FF" w:rsidP="00EE01FF">
      <w:pPr>
        <w:spacing w:line="374" w:lineRule="auto"/>
        <w:rPr>
          <w:rFonts w:eastAsia="Times New Roman"/>
          <w:sz w:val="23"/>
          <w:szCs w:val="23"/>
        </w:rPr>
      </w:pPr>
    </w:p>
    <w:p w14:paraId="636DD964" w14:textId="77777777" w:rsidR="00EE01FF" w:rsidRDefault="00EE01FF" w:rsidP="00EE01FF">
      <w:pPr>
        <w:spacing w:line="374" w:lineRule="auto"/>
        <w:rPr>
          <w:rFonts w:eastAsia="Times New Roman"/>
          <w:sz w:val="23"/>
          <w:szCs w:val="23"/>
        </w:rPr>
      </w:pPr>
    </w:p>
    <w:p w14:paraId="27994019" w14:textId="77777777" w:rsidR="00EE01FF" w:rsidRDefault="00EE01FF" w:rsidP="00EE01FF">
      <w:pPr>
        <w:spacing w:line="374" w:lineRule="auto"/>
        <w:rPr>
          <w:rFonts w:eastAsia="Times New Roman"/>
          <w:sz w:val="23"/>
          <w:szCs w:val="23"/>
        </w:rPr>
      </w:pPr>
    </w:p>
    <w:p w14:paraId="5D897EE3" w14:textId="77777777" w:rsidR="00EE01FF" w:rsidRDefault="00EE01FF" w:rsidP="00EE01FF">
      <w:pPr>
        <w:spacing w:line="374" w:lineRule="auto"/>
        <w:rPr>
          <w:rFonts w:eastAsia="Times New Roman"/>
          <w:sz w:val="23"/>
          <w:szCs w:val="23"/>
        </w:rPr>
      </w:pPr>
    </w:p>
    <w:p w14:paraId="65777139" w14:textId="77777777" w:rsidR="00EE01FF" w:rsidRDefault="00EE01FF" w:rsidP="00EE01FF">
      <w:pPr>
        <w:spacing w:line="374" w:lineRule="auto"/>
        <w:rPr>
          <w:rFonts w:eastAsia="Times New Roman"/>
          <w:sz w:val="23"/>
          <w:szCs w:val="23"/>
        </w:rPr>
      </w:pPr>
    </w:p>
    <w:p w14:paraId="470AD87F" w14:textId="77777777" w:rsidR="00EE01FF" w:rsidRDefault="00EE01FF" w:rsidP="00EE01FF">
      <w:pPr>
        <w:spacing w:line="374" w:lineRule="auto"/>
        <w:rPr>
          <w:rFonts w:eastAsia="Times New Roman"/>
          <w:sz w:val="23"/>
          <w:szCs w:val="23"/>
        </w:rPr>
      </w:pPr>
    </w:p>
    <w:p w14:paraId="22E654F5" w14:textId="77777777" w:rsidR="00EE01FF" w:rsidRDefault="00EE01FF" w:rsidP="00EE01FF">
      <w:pPr>
        <w:spacing w:line="374" w:lineRule="auto"/>
        <w:rPr>
          <w:rFonts w:eastAsia="Times New Roman"/>
          <w:sz w:val="23"/>
          <w:szCs w:val="23"/>
        </w:rPr>
      </w:pPr>
    </w:p>
    <w:p w14:paraId="75D4FADD" w14:textId="77777777" w:rsidR="00EE01FF" w:rsidRDefault="00EE01FF" w:rsidP="00EE01FF">
      <w:pPr>
        <w:spacing w:line="374" w:lineRule="auto"/>
        <w:rPr>
          <w:rFonts w:eastAsia="Times New Roman"/>
          <w:sz w:val="23"/>
          <w:szCs w:val="23"/>
        </w:rPr>
      </w:pPr>
    </w:p>
    <w:p w14:paraId="17B1D918" w14:textId="77777777" w:rsidR="00EE01FF" w:rsidRDefault="00EE01FF" w:rsidP="00EE01FF">
      <w:pPr>
        <w:spacing w:line="374" w:lineRule="auto"/>
        <w:rPr>
          <w:rFonts w:eastAsia="Times New Roman"/>
          <w:sz w:val="23"/>
          <w:szCs w:val="23"/>
        </w:rPr>
      </w:pPr>
    </w:p>
    <w:p w14:paraId="2E6CC4FF" w14:textId="06A8E04F" w:rsidR="00EE01FF" w:rsidRPr="00FC3B7C" w:rsidRDefault="00EE01FF" w:rsidP="00EE01FF">
      <w:pPr>
        <w:spacing w:line="374" w:lineRule="auto"/>
        <w:rPr>
          <w:sz w:val="20"/>
          <w:szCs w:val="20"/>
        </w:rPr>
      </w:pPr>
      <w:r w:rsidRPr="00FC3B7C">
        <w:rPr>
          <w:rFonts w:eastAsia="Times New Roman"/>
          <w:sz w:val="23"/>
          <w:szCs w:val="23"/>
        </w:rPr>
        <w:t xml:space="preserve">ČR dělena na kraje (14) odpovídající úrovni NUTS 3, avšak kvůli vstupu do EU musela zavést mezi stát a kraje ještě jeden stupeň členění odpovídající úrovni NUTS 2: </w:t>
      </w:r>
      <w:r w:rsidRPr="00FC3B7C">
        <w:rPr>
          <w:rFonts w:eastAsia="Times New Roman"/>
          <w:b/>
          <w:bCs/>
          <w:sz w:val="23"/>
          <w:szCs w:val="23"/>
        </w:rPr>
        <w:t>regiony soudržnosti</w:t>
      </w:r>
    </w:p>
    <w:p w14:paraId="1DCE3977" w14:textId="77777777" w:rsidR="00EE01FF" w:rsidRPr="00FC3B7C" w:rsidRDefault="00EE01FF" w:rsidP="00EE01FF">
      <w:pPr>
        <w:spacing w:line="1" w:lineRule="exact"/>
        <w:rPr>
          <w:sz w:val="20"/>
          <w:szCs w:val="20"/>
        </w:rPr>
      </w:pPr>
    </w:p>
    <w:p w14:paraId="0B7F4102" w14:textId="77777777" w:rsidR="00EE01FF" w:rsidRPr="00FC3B7C" w:rsidRDefault="00EE01FF" w:rsidP="00EE01FF">
      <w:pPr>
        <w:spacing w:line="390" w:lineRule="auto"/>
        <w:rPr>
          <w:sz w:val="20"/>
          <w:szCs w:val="20"/>
        </w:rPr>
      </w:pPr>
      <w:r w:rsidRPr="00FC3B7C">
        <w:rPr>
          <w:rFonts w:eastAsia="Times New Roman"/>
          <w:szCs w:val="24"/>
        </w:rPr>
        <w:t>(8). Právě na úroveň NUTS 2 je totiž směřována podpora z fondů EU v cíli Konvergence a částečně též Regionální konkurenceschopnost a zaměstnanost.</w:t>
      </w:r>
    </w:p>
    <w:p w14:paraId="4A6F4695" w14:textId="2BED94BD" w:rsidR="008E0F74" w:rsidRPr="00EE01FF" w:rsidRDefault="008E0F74">
      <w:pPr>
        <w:rPr>
          <w:sz w:val="20"/>
          <w:szCs w:val="20"/>
        </w:rPr>
        <w:sectPr w:rsidR="008E0F74" w:rsidRPr="00EE01FF">
          <w:pgSz w:w="11900" w:h="16840"/>
          <w:pgMar w:top="1386" w:right="1400" w:bottom="1440" w:left="1420" w:header="0" w:footer="0" w:gutter="0"/>
          <w:cols w:space="708" w:equalWidth="0">
            <w:col w:w="9080"/>
          </w:cols>
        </w:sectPr>
      </w:pPr>
    </w:p>
    <w:p w14:paraId="4A6F4699" w14:textId="77777777" w:rsidR="008E0F74" w:rsidRPr="00FC3B7C" w:rsidRDefault="008E0F74">
      <w:pPr>
        <w:spacing w:line="162" w:lineRule="exact"/>
        <w:rPr>
          <w:sz w:val="20"/>
          <w:szCs w:val="20"/>
        </w:rPr>
      </w:pPr>
      <w:bookmarkStart w:id="312" w:name="page334"/>
      <w:bookmarkEnd w:id="312"/>
    </w:p>
    <w:p w14:paraId="4A6F469A" w14:textId="1BE84776" w:rsidR="008E0F74" w:rsidRPr="00EE01FF" w:rsidRDefault="00223868">
      <w:pPr>
        <w:ind w:left="440"/>
        <w:rPr>
          <w:color w:val="1F3864" w:themeColor="accent1" w:themeShade="80"/>
          <w:sz w:val="20"/>
          <w:szCs w:val="20"/>
        </w:rPr>
      </w:pPr>
      <w:r w:rsidRPr="00EE01FF">
        <w:rPr>
          <w:rFonts w:eastAsia="Times New Roman"/>
          <w:b/>
          <w:bCs/>
          <w:color w:val="1F3864" w:themeColor="accent1" w:themeShade="80"/>
          <w:sz w:val="28"/>
          <w:szCs w:val="28"/>
        </w:rPr>
        <w:t>15.</w:t>
      </w:r>
      <w:r w:rsidR="00EE01FF">
        <w:rPr>
          <w:rFonts w:eastAsia="Times New Roman"/>
          <w:b/>
          <w:bCs/>
          <w:color w:val="1F3864" w:themeColor="accent1" w:themeShade="80"/>
          <w:sz w:val="28"/>
          <w:szCs w:val="28"/>
        </w:rPr>
        <w:t>7</w:t>
      </w:r>
      <w:r w:rsidR="00256F29" w:rsidRPr="00EE01FF">
        <w:rPr>
          <w:rFonts w:eastAsia="Times New Roman"/>
          <w:b/>
          <w:bCs/>
          <w:color w:val="1F3864" w:themeColor="accent1" w:themeShade="80"/>
          <w:sz w:val="28"/>
          <w:szCs w:val="28"/>
        </w:rPr>
        <w:t>.2</w:t>
      </w:r>
      <w:r w:rsidR="003376E1">
        <w:rPr>
          <w:rFonts w:eastAsia="Times New Roman"/>
          <w:b/>
          <w:bCs/>
          <w:color w:val="1F3864" w:themeColor="accent1" w:themeShade="80"/>
          <w:sz w:val="28"/>
          <w:szCs w:val="28"/>
        </w:rPr>
        <w:t xml:space="preserve"> </w:t>
      </w:r>
      <w:r w:rsidR="00256F29" w:rsidRPr="00EE01FF">
        <w:rPr>
          <w:rFonts w:eastAsia="Times New Roman"/>
          <w:b/>
          <w:bCs/>
          <w:color w:val="1F3864" w:themeColor="accent1" w:themeShade="80"/>
          <w:sz w:val="28"/>
          <w:szCs w:val="28"/>
        </w:rPr>
        <w:t>Vývoj regionální politiky EU</w:t>
      </w:r>
    </w:p>
    <w:p w14:paraId="4A6F469B" w14:textId="77777777" w:rsidR="008E0F74" w:rsidRPr="00FC3B7C" w:rsidRDefault="008E0F74">
      <w:pPr>
        <w:spacing w:line="200" w:lineRule="exact"/>
        <w:rPr>
          <w:sz w:val="20"/>
          <w:szCs w:val="20"/>
        </w:rPr>
      </w:pPr>
    </w:p>
    <w:p w14:paraId="4A6F469C" w14:textId="77777777" w:rsidR="008E0F74" w:rsidRPr="00FC3B7C" w:rsidRDefault="008E0F74">
      <w:pPr>
        <w:spacing w:line="203" w:lineRule="exact"/>
        <w:rPr>
          <w:sz w:val="20"/>
          <w:szCs w:val="20"/>
        </w:rPr>
      </w:pPr>
    </w:p>
    <w:p w14:paraId="4A6F469D" w14:textId="77777777" w:rsidR="008E0F74" w:rsidRPr="00FC3B7C" w:rsidRDefault="00094CFD">
      <w:pPr>
        <w:ind w:left="280"/>
        <w:rPr>
          <w:sz w:val="20"/>
          <w:szCs w:val="20"/>
        </w:rPr>
      </w:pPr>
      <w:r w:rsidRPr="00FC3B7C">
        <w:rPr>
          <w:noProof/>
          <w:sz w:val="20"/>
          <w:szCs w:val="20"/>
        </w:rPr>
        <w:drawing>
          <wp:anchor distT="0" distB="0" distL="114300" distR="114300" simplePos="0" relativeHeight="251614720" behindDoc="1" locked="0" layoutInCell="0" allowOverlap="1" wp14:anchorId="4A6F5CF2" wp14:editId="5C403E0F">
            <wp:simplePos x="0" y="0"/>
            <wp:positionH relativeFrom="page">
              <wp:posOffset>873125</wp:posOffset>
            </wp:positionH>
            <wp:positionV relativeFrom="page">
              <wp:posOffset>1882775</wp:posOffset>
            </wp:positionV>
            <wp:extent cx="5794375" cy="566928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2">
                      <a:clrChange>
                        <a:clrFrom>
                          <a:srgbClr val="FFFFFF"/>
                        </a:clrFrom>
                        <a:clrTo>
                          <a:srgbClr val="FFFFFF">
                            <a:alpha val="0"/>
                          </a:srgbClr>
                        </a:clrTo>
                      </a:clrChange>
                    </a:blip>
                    <a:srcRect/>
                    <a:stretch>
                      <a:fillRect/>
                    </a:stretch>
                  </pic:blipFill>
                  <pic:spPr bwMode="auto">
                    <a:xfrm>
                      <a:off x="0" y="0"/>
                      <a:ext cx="5794375" cy="5669280"/>
                    </a:xfrm>
                    <a:prstGeom prst="rect">
                      <a:avLst/>
                    </a:prstGeom>
                    <a:noFill/>
                  </pic:spPr>
                </pic:pic>
              </a:graphicData>
            </a:graphic>
          </wp:anchor>
        </w:drawing>
      </w:r>
      <w:r w:rsidR="00256F29" w:rsidRPr="00FC3B7C">
        <w:rPr>
          <w:rFonts w:eastAsia="Times New Roman"/>
          <w:b/>
          <w:bCs/>
          <w:szCs w:val="24"/>
        </w:rPr>
        <w:t>Tab. č. 1: Vývoj politiky soudružnosti EU:</w:t>
      </w:r>
    </w:p>
    <w:p w14:paraId="4A6F469E" w14:textId="77777777" w:rsidR="008E0F74" w:rsidRPr="00FC3B7C" w:rsidRDefault="008E0F74">
      <w:pPr>
        <w:sectPr w:rsidR="008E0F74" w:rsidRPr="00FC3B7C">
          <w:pgSz w:w="11900" w:h="16840"/>
          <w:pgMar w:top="1440" w:right="1400" w:bottom="1440" w:left="1420" w:header="0" w:footer="0" w:gutter="0"/>
          <w:cols w:space="708" w:equalWidth="0">
            <w:col w:w="9080"/>
          </w:cols>
        </w:sectPr>
      </w:pPr>
    </w:p>
    <w:p w14:paraId="4A6F469F" w14:textId="72D8895F" w:rsidR="008E0F74" w:rsidRPr="00FC3B7C" w:rsidRDefault="00256F29">
      <w:pPr>
        <w:ind w:left="280"/>
        <w:rPr>
          <w:sz w:val="20"/>
          <w:szCs w:val="20"/>
        </w:rPr>
      </w:pPr>
      <w:bookmarkStart w:id="313" w:name="page335"/>
      <w:bookmarkStart w:id="314" w:name="page336"/>
      <w:bookmarkEnd w:id="313"/>
      <w:bookmarkEnd w:id="314"/>
      <w:r w:rsidRPr="00FC3B7C">
        <w:rPr>
          <w:rFonts w:eastAsia="Times New Roman"/>
          <w:b/>
          <w:bCs/>
          <w:szCs w:val="24"/>
        </w:rPr>
        <w:lastRenderedPageBreak/>
        <w:t>Obr. č. 1: Původ a vývoj regionální politiky</w:t>
      </w:r>
    </w:p>
    <w:p w14:paraId="4A6F46A0" w14:textId="77777777" w:rsidR="008E0F74" w:rsidRPr="00FC3B7C" w:rsidRDefault="00256F29">
      <w:pPr>
        <w:spacing w:line="20" w:lineRule="exact"/>
        <w:rPr>
          <w:sz w:val="20"/>
          <w:szCs w:val="20"/>
        </w:rPr>
      </w:pPr>
      <w:r w:rsidRPr="00FC3B7C">
        <w:rPr>
          <w:noProof/>
          <w:sz w:val="20"/>
          <w:szCs w:val="20"/>
        </w:rPr>
        <w:drawing>
          <wp:anchor distT="0" distB="0" distL="114300" distR="114300" simplePos="0" relativeHeight="251578880" behindDoc="1" locked="0" layoutInCell="0" allowOverlap="1" wp14:anchorId="4A6F5CF4" wp14:editId="2799BF5C">
            <wp:simplePos x="0" y="0"/>
            <wp:positionH relativeFrom="column">
              <wp:posOffset>97790</wp:posOffset>
            </wp:positionH>
            <wp:positionV relativeFrom="paragraph">
              <wp:posOffset>133350</wp:posOffset>
            </wp:positionV>
            <wp:extent cx="5928360" cy="5708650"/>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3"/>
                    <a:srcRect/>
                    <a:stretch>
                      <a:fillRect/>
                    </a:stretch>
                  </pic:blipFill>
                  <pic:spPr bwMode="auto">
                    <a:xfrm>
                      <a:off x="0" y="0"/>
                      <a:ext cx="5928360" cy="5708650"/>
                    </a:xfrm>
                    <a:prstGeom prst="rect">
                      <a:avLst/>
                    </a:prstGeom>
                    <a:noFill/>
                  </pic:spPr>
                </pic:pic>
              </a:graphicData>
            </a:graphic>
          </wp:anchor>
        </w:drawing>
      </w:r>
    </w:p>
    <w:p w14:paraId="4A6F46A1" w14:textId="77777777" w:rsidR="008E0F74" w:rsidRPr="00FC3B7C" w:rsidRDefault="008E0F74">
      <w:pPr>
        <w:spacing w:line="200" w:lineRule="exact"/>
        <w:rPr>
          <w:sz w:val="20"/>
          <w:szCs w:val="20"/>
        </w:rPr>
      </w:pPr>
    </w:p>
    <w:p w14:paraId="4A6F46A2" w14:textId="77777777" w:rsidR="008E0F74" w:rsidRPr="00FC3B7C" w:rsidRDefault="008E0F74">
      <w:pPr>
        <w:spacing w:line="200" w:lineRule="exact"/>
        <w:rPr>
          <w:sz w:val="20"/>
          <w:szCs w:val="20"/>
        </w:rPr>
      </w:pPr>
    </w:p>
    <w:p w14:paraId="4A6F46A3" w14:textId="77777777" w:rsidR="008E0F74" w:rsidRPr="00FC3B7C" w:rsidRDefault="008E0F74">
      <w:pPr>
        <w:spacing w:line="200" w:lineRule="exact"/>
        <w:rPr>
          <w:sz w:val="20"/>
          <w:szCs w:val="20"/>
        </w:rPr>
      </w:pPr>
    </w:p>
    <w:p w14:paraId="4A6F46A4" w14:textId="77777777" w:rsidR="008E0F74" w:rsidRPr="00FC3B7C" w:rsidRDefault="008E0F74">
      <w:pPr>
        <w:spacing w:line="200" w:lineRule="exact"/>
        <w:rPr>
          <w:sz w:val="20"/>
          <w:szCs w:val="20"/>
        </w:rPr>
      </w:pPr>
    </w:p>
    <w:p w14:paraId="4A6F46A5" w14:textId="77777777" w:rsidR="008E0F74" w:rsidRPr="00FC3B7C" w:rsidRDefault="008E0F74">
      <w:pPr>
        <w:spacing w:line="200" w:lineRule="exact"/>
        <w:rPr>
          <w:sz w:val="20"/>
          <w:szCs w:val="20"/>
        </w:rPr>
      </w:pPr>
    </w:p>
    <w:p w14:paraId="4A6F46A6" w14:textId="77777777" w:rsidR="008E0F74" w:rsidRPr="00FC3B7C" w:rsidRDefault="008E0F74">
      <w:pPr>
        <w:spacing w:line="200" w:lineRule="exact"/>
        <w:rPr>
          <w:sz w:val="20"/>
          <w:szCs w:val="20"/>
        </w:rPr>
      </w:pPr>
    </w:p>
    <w:p w14:paraId="4A6F46A7" w14:textId="77777777" w:rsidR="008E0F74" w:rsidRPr="00FC3B7C" w:rsidRDefault="008E0F74">
      <w:pPr>
        <w:spacing w:line="200" w:lineRule="exact"/>
        <w:rPr>
          <w:sz w:val="20"/>
          <w:szCs w:val="20"/>
        </w:rPr>
      </w:pPr>
    </w:p>
    <w:p w14:paraId="4A6F46A8" w14:textId="77777777" w:rsidR="008E0F74" w:rsidRPr="00FC3B7C" w:rsidRDefault="008E0F74">
      <w:pPr>
        <w:spacing w:line="200" w:lineRule="exact"/>
        <w:rPr>
          <w:sz w:val="20"/>
          <w:szCs w:val="20"/>
        </w:rPr>
      </w:pPr>
    </w:p>
    <w:p w14:paraId="4A6F46A9" w14:textId="77777777" w:rsidR="008E0F74" w:rsidRPr="00FC3B7C" w:rsidRDefault="008E0F74">
      <w:pPr>
        <w:spacing w:line="200" w:lineRule="exact"/>
        <w:rPr>
          <w:sz w:val="20"/>
          <w:szCs w:val="20"/>
        </w:rPr>
      </w:pPr>
    </w:p>
    <w:p w14:paraId="4A6F46AA" w14:textId="77777777" w:rsidR="008E0F74" w:rsidRPr="00FC3B7C" w:rsidRDefault="008E0F74">
      <w:pPr>
        <w:spacing w:line="200" w:lineRule="exact"/>
        <w:rPr>
          <w:sz w:val="20"/>
          <w:szCs w:val="20"/>
        </w:rPr>
      </w:pPr>
    </w:p>
    <w:p w14:paraId="4A6F46AB" w14:textId="77777777" w:rsidR="008E0F74" w:rsidRPr="00FC3B7C" w:rsidRDefault="008E0F74">
      <w:pPr>
        <w:spacing w:line="200" w:lineRule="exact"/>
        <w:rPr>
          <w:sz w:val="20"/>
          <w:szCs w:val="20"/>
        </w:rPr>
      </w:pPr>
    </w:p>
    <w:p w14:paraId="4A6F46AC" w14:textId="77777777" w:rsidR="008E0F74" w:rsidRPr="00FC3B7C" w:rsidRDefault="008E0F74">
      <w:pPr>
        <w:spacing w:line="200" w:lineRule="exact"/>
        <w:rPr>
          <w:sz w:val="20"/>
          <w:szCs w:val="20"/>
        </w:rPr>
      </w:pPr>
    </w:p>
    <w:p w14:paraId="4A6F46AD" w14:textId="77777777" w:rsidR="008E0F74" w:rsidRPr="00FC3B7C" w:rsidRDefault="008E0F74">
      <w:pPr>
        <w:spacing w:line="200" w:lineRule="exact"/>
        <w:rPr>
          <w:sz w:val="20"/>
          <w:szCs w:val="20"/>
        </w:rPr>
      </w:pPr>
    </w:p>
    <w:p w14:paraId="4A6F46AE" w14:textId="77777777" w:rsidR="008E0F74" w:rsidRPr="00FC3B7C" w:rsidRDefault="008E0F74">
      <w:pPr>
        <w:spacing w:line="200" w:lineRule="exact"/>
        <w:rPr>
          <w:sz w:val="20"/>
          <w:szCs w:val="20"/>
        </w:rPr>
      </w:pPr>
    </w:p>
    <w:p w14:paraId="4A6F46AF" w14:textId="77777777" w:rsidR="008E0F74" w:rsidRPr="00FC3B7C" w:rsidRDefault="008E0F74">
      <w:pPr>
        <w:spacing w:line="200" w:lineRule="exact"/>
        <w:rPr>
          <w:sz w:val="20"/>
          <w:szCs w:val="20"/>
        </w:rPr>
      </w:pPr>
    </w:p>
    <w:p w14:paraId="4A6F46B0" w14:textId="77777777" w:rsidR="008E0F74" w:rsidRPr="00FC3B7C" w:rsidRDefault="008E0F74">
      <w:pPr>
        <w:spacing w:line="200" w:lineRule="exact"/>
        <w:rPr>
          <w:sz w:val="20"/>
          <w:szCs w:val="20"/>
        </w:rPr>
      </w:pPr>
    </w:p>
    <w:p w14:paraId="4A6F46B1" w14:textId="77777777" w:rsidR="008E0F74" w:rsidRPr="00FC3B7C" w:rsidRDefault="008E0F74">
      <w:pPr>
        <w:spacing w:line="200" w:lineRule="exact"/>
        <w:rPr>
          <w:sz w:val="20"/>
          <w:szCs w:val="20"/>
        </w:rPr>
      </w:pPr>
    </w:p>
    <w:p w14:paraId="4A6F46B2" w14:textId="77777777" w:rsidR="008E0F74" w:rsidRPr="00FC3B7C" w:rsidRDefault="008E0F74">
      <w:pPr>
        <w:spacing w:line="200" w:lineRule="exact"/>
        <w:rPr>
          <w:sz w:val="20"/>
          <w:szCs w:val="20"/>
        </w:rPr>
      </w:pPr>
    </w:p>
    <w:p w14:paraId="4A6F46B3" w14:textId="77777777" w:rsidR="008E0F74" w:rsidRPr="00FC3B7C" w:rsidRDefault="008E0F74">
      <w:pPr>
        <w:spacing w:line="200" w:lineRule="exact"/>
        <w:rPr>
          <w:sz w:val="20"/>
          <w:szCs w:val="20"/>
        </w:rPr>
      </w:pPr>
    </w:p>
    <w:p w14:paraId="4A6F46B4" w14:textId="77777777" w:rsidR="008E0F74" w:rsidRPr="00FC3B7C" w:rsidRDefault="008E0F74">
      <w:pPr>
        <w:spacing w:line="200" w:lineRule="exact"/>
        <w:rPr>
          <w:sz w:val="20"/>
          <w:szCs w:val="20"/>
        </w:rPr>
      </w:pPr>
    </w:p>
    <w:p w14:paraId="4A6F46B5" w14:textId="77777777" w:rsidR="008E0F74" w:rsidRPr="00FC3B7C" w:rsidRDefault="008E0F74">
      <w:pPr>
        <w:spacing w:line="200" w:lineRule="exact"/>
        <w:rPr>
          <w:sz w:val="20"/>
          <w:szCs w:val="20"/>
        </w:rPr>
      </w:pPr>
    </w:p>
    <w:p w14:paraId="4A6F46B6" w14:textId="77777777" w:rsidR="008E0F74" w:rsidRPr="00FC3B7C" w:rsidRDefault="008E0F74">
      <w:pPr>
        <w:spacing w:line="200" w:lineRule="exact"/>
        <w:rPr>
          <w:sz w:val="20"/>
          <w:szCs w:val="20"/>
        </w:rPr>
      </w:pPr>
    </w:p>
    <w:p w14:paraId="4A6F46B7" w14:textId="77777777" w:rsidR="008E0F74" w:rsidRPr="00FC3B7C" w:rsidRDefault="008E0F74">
      <w:pPr>
        <w:spacing w:line="200" w:lineRule="exact"/>
        <w:rPr>
          <w:sz w:val="20"/>
          <w:szCs w:val="20"/>
        </w:rPr>
      </w:pPr>
    </w:p>
    <w:p w14:paraId="4A6F46B8" w14:textId="77777777" w:rsidR="008E0F74" w:rsidRPr="00FC3B7C" w:rsidRDefault="008E0F74">
      <w:pPr>
        <w:spacing w:line="200" w:lineRule="exact"/>
        <w:rPr>
          <w:sz w:val="20"/>
          <w:szCs w:val="20"/>
        </w:rPr>
      </w:pPr>
    </w:p>
    <w:p w14:paraId="4A6F46B9" w14:textId="77777777" w:rsidR="008E0F74" w:rsidRPr="00FC3B7C" w:rsidRDefault="008E0F74">
      <w:pPr>
        <w:spacing w:line="200" w:lineRule="exact"/>
        <w:rPr>
          <w:sz w:val="20"/>
          <w:szCs w:val="20"/>
        </w:rPr>
      </w:pPr>
    </w:p>
    <w:p w14:paraId="4A6F46BA" w14:textId="77777777" w:rsidR="008E0F74" w:rsidRPr="00FC3B7C" w:rsidRDefault="008E0F74">
      <w:pPr>
        <w:spacing w:line="200" w:lineRule="exact"/>
        <w:rPr>
          <w:sz w:val="20"/>
          <w:szCs w:val="20"/>
        </w:rPr>
      </w:pPr>
    </w:p>
    <w:p w14:paraId="4A6F46BB" w14:textId="77777777" w:rsidR="008E0F74" w:rsidRPr="00FC3B7C" w:rsidRDefault="008E0F74">
      <w:pPr>
        <w:spacing w:line="200" w:lineRule="exact"/>
        <w:rPr>
          <w:sz w:val="20"/>
          <w:szCs w:val="20"/>
        </w:rPr>
      </w:pPr>
    </w:p>
    <w:p w14:paraId="4A6F46BC" w14:textId="77777777" w:rsidR="008E0F74" w:rsidRPr="00FC3B7C" w:rsidRDefault="008E0F74">
      <w:pPr>
        <w:spacing w:line="200" w:lineRule="exact"/>
        <w:rPr>
          <w:sz w:val="20"/>
          <w:szCs w:val="20"/>
        </w:rPr>
      </w:pPr>
    </w:p>
    <w:p w14:paraId="4A6F46BD" w14:textId="77777777" w:rsidR="008E0F74" w:rsidRPr="00FC3B7C" w:rsidRDefault="008E0F74">
      <w:pPr>
        <w:spacing w:line="200" w:lineRule="exact"/>
        <w:rPr>
          <w:sz w:val="20"/>
          <w:szCs w:val="20"/>
        </w:rPr>
      </w:pPr>
    </w:p>
    <w:p w14:paraId="4A6F46BE" w14:textId="77777777" w:rsidR="008E0F74" w:rsidRPr="00FC3B7C" w:rsidRDefault="008E0F74">
      <w:pPr>
        <w:spacing w:line="200" w:lineRule="exact"/>
        <w:rPr>
          <w:sz w:val="20"/>
          <w:szCs w:val="20"/>
        </w:rPr>
      </w:pPr>
    </w:p>
    <w:p w14:paraId="4A6F46BF" w14:textId="77777777" w:rsidR="008E0F74" w:rsidRPr="00FC3B7C" w:rsidRDefault="008E0F74">
      <w:pPr>
        <w:spacing w:line="200" w:lineRule="exact"/>
        <w:rPr>
          <w:sz w:val="20"/>
          <w:szCs w:val="20"/>
        </w:rPr>
      </w:pPr>
    </w:p>
    <w:p w14:paraId="4A6F46C0" w14:textId="77777777" w:rsidR="008E0F74" w:rsidRPr="00FC3B7C" w:rsidRDefault="008E0F74">
      <w:pPr>
        <w:spacing w:line="200" w:lineRule="exact"/>
        <w:rPr>
          <w:sz w:val="20"/>
          <w:szCs w:val="20"/>
        </w:rPr>
      </w:pPr>
    </w:p>
    <w:p w14:paraId="4A6F46C1" w14:textId="77777777" w:rsidR="008E0F74" w:rsidRPr="00FC3B7C" w:rsidRDefault="008E0F74">
      <w:pPr>
        <w:spacing w:line="200" w:lineRule="exact"/>
        <w:rPr>
          <w:sz w:val="20"/>
          <w:szCs w:val="20"/>
        </w:rPr>
      </w:pPr>
    </w:p>
    <w:p w14:paraId="4A6F46C2" w14:textId="77777777" w:rsidR="008E0F74" w:rsidRPr="00FC3B7C" w:rsidRDefault="008E0F74">
      <w:pPr>
        <w:spacing w:line="200" w:lineRule="exact"/>
        <w:rPr>
          <w:sz w:val="20"/>
          <w:szCs w:val="20"/>
        </w:rPr>
      </w:pPr>
    </w:p>
    <w:p w14:paraId="4A6F46C3" w14:textId="77777777" w:rsidR="008E0F74" w:rsidRPr="00FC3B7C" w:rsidRDefault="008E0F74">
      <w:pPr>
        <w:spacing w:line="200" w:lineRule="exact"/>
        <w:rPr>
          <w:sz w:val="20"/>
          <w:szCs w:val="20"/>
        </w:rPr>
      </w:pPr>
    </w:p>
    <w:p w14:paraId="4A6F46C4" w14:textId="77777777" w:rsidR="008E0F74" w:rsidRPr="00FC3B7C" w:rsidRDefault="008E0F74">
      <w:pPr>
        <w:spacing w:line="200" w:lineRule="exact"/>
        <w:rPr>
          <w:sz w:val="20"/>
          <w:szCs w:val="20"/>
        </w:rPr>
      </w:pPr>
    </w:p>
    <w:p w14:paraId="4A6F46C5" w14:textId="77777777" w:rsidR="008E0F74" w:rsidRPr="00FC3B7C" w:rsidRDefault="008E0F74">
      <w:pPr>
        <w:spacing w:line="200" w:lineRule="exact"/>
        <w:rPr>
          <w:sz w:val="20"/>
          <w:szCs w:val="20"/>
        </w:rPr>
      </w:pPr>
    </w:p>
    <w:p w14:paraId="4A6F46C6" w14:textId="77777777" w:rsidR="008E0F74" w:rsidRPr="00FC3B7C" w:rsidRDefault="008E0F74">
      <w:pPr>
        <w:spacing w:line="200" w:lineRule="exact"/>
        <w:rPr>
          <w:sz w:val="20"/>
          <w:szCs w:val="20"/>
        </w:rPr>
      </w:pPr>
    </w:p>
    <w:p w14:paraId="4A6F46C7" w14:textId="77777777" w:rsidR="008E0F74" w:rsidRPr="00FC3B7C" w:rsidRDefault="008E0F74">
      <w:pPr>
        <w:spacing w:line="200" w:lineRule="exact"/>
        <w:rPr>
          <w:sz w:val="20"/>
          <w:szCs w:val="20"/>
        </w:rPr>
      </w:pPr>
    </w:p>
    <w:p w14:paraId="4A6F46C8" w14:textId="77777777" w:rsidR="008E0F74" w:rsidRPr="00FC3B7C" w:rsidRDefault="008E0F74">
      <w:pPr>
        <w:spacing w:line="200" w:lineRule="exact"/>
        <w:rPr>
          <w:sz w:val="20"/>
          <w:szCs w:val="20"/>
        </w:rPr>
      </w:pPr>
    </w:p>
    <w:p w14:paraId="4A6F46C9" w14:textId="77777777" w:rsidR="008E0F74" w:rsidRPr="00FC3B7C" w:rsidRDefault="008E0F74">
      <w:pPr>
        <w:spacing w:line="200" w:lineRule="exact"/>
        <w:rPr>
          <w:sz w:val="20"/>
          <w:szCs w:val="20"/>
        </w:rPr>
      </w:pPr>
    </w:p>
    <w:p w14:paraId="4A6F46CA" w14:textId="77777777" w:rsidR="008E0F74" w:rsidRPr="00FC3B7C" w:rsidRDefault="008E0F74">
      <w:pPr>
        <w:spacing w:line="200" w:lineRule="exact"/>
        <w:rPr>
          <w:sz w:val="20"/>
          <w:szCs w:val="20"/>
        </w:rPr>
      </w:pPr>
    </w:p>
    <w:p w14:paraId="4A6F46CB" w14:textId="77777777" w:rsidR="008E0F74" w:rsidRPr="00FC3B7C" w:rsidRDefault="008E0F74">
      <w:pPr>
        <w:spacing w:line="200" w:lineRule="exact"/>
        <w:rPr>
          <w:sz w:val="20"/>
          <w:szCs w:val="20"/>
        </w:rPr>
      </w:pPr>
    </w:p>
    <w:p w14:paraId="4A6F46CC" w14:textId="77777777" w:rsidR="008E0F74" w:rsidRPr="00FC3B7C" w:rsidRDefault="008E0F74">
      <w:pPr>
        <w:spacing w:line="200" w:lineRule="exact"/>
        <w:rPr>
          <w:sz w:val="20"/>
          <w:szCs w:val="20"/>
        </w:rPr>
      </w:pPr>
    </w:p>
    <w:p w14:paraId="4A6F46CD" w14:textId="77777777" w:rsidR="008E0F74" w:rsidRPr="00FC3B7C" w:rsidRDefault="008E0F74">
      <w:pPr>
        <w:spacing w:line="200" w:lineRule="exact"/>
        <w:rPr>
          <w:sz w:val="20"/>
          <w:szCs w:val="20"/>
        </w:rPr>
      </w:pPr>
    </w:p>
    <w:p w14:paraId="4A6F46CE" w14:textId="77777777" w:rsidR="008E0F74" w:rsidRPr="00FC3B7C" w:rsidRDefault="008E0F74">
      <w:pPr>
        <w:spacing w:line="227" w:lineRule="exact"/>
        <w:rPr>
          <w:sz w:val="20"/>
          <w:szCs w:val="20"/>
        </w:rPr>
      </w:pPr>
    </w:p>
    <w:p w14:paraId="4A6F46CF" w14:textId="77777777" w:rsidR="008E0F74" w:rsidRPr="00FC3B7C" w:rsidRDefault="00256F29" w:rsidP="00094CFD">
      <w:pPr>
        <w:rPr>
          <w:sz w:val="20"/>
          <w:szCs w:val="20"/>
        </w:rPr>
      </w:pPr>
      <w:r w:rsidRPr="00FC3B7C">
        <w:rPr>
          <w:rFonts w:eastAsia="Times New Roman"/>
          <w:b/>
          <w:bCs/>
        </w:rPr>
        <w:t xml:space="preserve">Smlouva o Evropském hospodářském společenství </w:t>
      </w:r>
      <w:r w:rsidRPr="00FC3B7C">
        <w:rPr>
          <w:rFonts w:eastAsia="Times New Roman"/>
        </w:rPr>
        <w:t>= prvořadý</w:t>
      </w:r>
      <w:r w:rsidRPr="00FC3B7C">
        <w:rPr>
          <w:rFonts w:eastAsia="Times New Roman"/>
          <w:b/>
          <w:bCs/>
        </w:rPr>
        <w:t xml:space="preserve"> </w:t>
      </w:r>
      <w:r w:rsidRPr="00FC3B7C">
        <w:rPr>
          <w:rFonts w:eastAsia="Times New Roman"/>
        </w:rPr>
        <w:t>cíl vyvážený</w:t>
      </w:r>
      <w:r w:rsidRPr="00FC3B7C">
        <w:rPr>
          <w:rFonts w:eastAsia="Times New Roman"/>
          <w:b/>
          <w:bCs/>
        </w:rPr>
        <w:t xml:space="preserve"> </w:t>
      </w:r>
      <w:r w:rsidRPr="00FC3B7C">
        <w:rPr>
          <w:rFonts w:eastAsia="Times New Roman"/>
        </w:rPr>
        <w:t>hospodářský</w:t>
      </w:r>
      <w:r w:rsidRPr="00FC3B7C">
        <w:rPr>
          <w:rFonts w:eastAsia="Times New Roman"/>
          <w:b/>
          <w:bCs/>
        </w:rPr>
        <w:t xml:space="preserve"> </w:t>
      </w:r>
      <w:r w:rsidRPr="00FC3B7C">
        <w:rPr>
          <w:rFonts w:eastAsia="Times New Roman"/>
        </w:rPr>
        <w:t>rozvoj a odstraňování rozdílů v ekonomické a životní úrovni regionů.</w:t>
      </w:r>
    </w:p>
    <w:p w14:paraId="4A6F46D0" w14:textId="77777777" w:rsidR="008E0F74" w:rsidRPr="00FC3B7C" w:rsidRDefault="00256F29" w:rsidP="00094CFD">
      <w:pPr>
        <w:rPr>
          <w:sz w:val="20"/>
          <w:szCs w:val="20"/>
        </w:rPr>
      </w:pPr>
      <w:r w:rsidRPr="00FC3B7C">
        <w:rPr>
          <w:rFonts w:eastAsia="Times New Roman"/>
          <w:b/>
          <w:bCs/>
        </w:rPr>
        <w:t xml:space="preserve">Evropský fond regionálního rozvoje </w:t>
      </w:r>
      <w:r w:rsidRPr="00FC3B7C">
        <w:rPr>
          <w:rFonts w:eastAsia="Times New Roman"/>
        </w:rPr>
        <w:t>= stal se základní institucí zajišťující regionální politiku</w:t>
      </w:r>
      <w:r w:rsidRPr="00FC3B7C">
        <w:rPr>
          <w:rFonts w:eastAsia="Times New Roman"/>
          <w:b/>
          <w:bCs/>
        </w:rPr>
        <w:t xml:space="preserve"> </w:t>
      </w:r>
      <w:r w:rsidRPr="00FC3B7C">
        <w:rPr>
          <w:rFonts w:eastAsia="Times New Roman"/>
        </w:rPr>
        <w:t>na evropské úrovni.</w:t>
      </w:r>
    </w:p>
    <w:p w14:paraId="4A6F46D1" w14:textId="77777777" w:rsidR="008E0F74" w:rsidRPr="00FC3B7C" w:rsidRDefault="00256F29" w:rsidP="00094CFD">
      <w:pPr>
        <w:rPr>
          <w:sz w:val="20"/>
          <w:szCs w:val="20"/>
        </w:rPr>
      </w:pPr>
      <w:r w:rsidRPr="00FC3B7C">
        <w:rPr>
          <w:rFonts w:eastAsia="Times New Roman"/>
          <w:b/>
          <w:bCs/>
        </w:rPr>
        <w:t xml:space="preserve">Jednotný evropský akt </w:t>
      </w:r>
      <w:r w:rsidRPr="00FC3B7C">
        <w:rPr>
          <w:rFonts w:eastAsia="Times New Roman"/>
        </w:rPr>
        <w:t>= 1987 (platnost od 1. 1. 1989), první legislativní ukotvení regionální</w:t>
      </w:r>
      <w:r w:rsidRPr="00FC3B7C">
        <w:rPr>
          <w:rFonts w:eastAsia="Times New Roman"/>
          <w:b/>
          <w:bCs/>
        </w:rPr>
        <w:t xml:space="preserve"> </w:t>
      </w:r>
      <w:r w:rsidRPr="00FC3B7C">
        <w:rPr>
          <w:rFonts w:eastAsia="Times New Roman"/>
        </w:rPr>
        <w:t>politiky zásadní reforma regionální politiky, stanovení jednotného vnitřního trhu do roku 1992, snižování rozdílů v hospodářské vyspělosti regionů prostřednictvím 3 strukturálních fondů (ERDF, ESF, EAGGF).</w:t>
      </w:r>
    </w:p>
    <w:p w14:paraId="4A6F46D2" w14:textId="77777777" w:rsidR="008E0F74" w:rsidRPr="00FC3B7C" w:rsidRDefault="008E0F74">
      <w:pPr>
        <w:sectPr w:rsidR="008E0F74" w:rsidRPr="00FC3B7C">
          <w:pgSz w:w="11900" w:h="16840"/>
          <w:pgMar w:top="1391" w:right="1400" w:bottom="1440" w:left="1420" w:header="0" w:footer="0" w:gutter="0"/>
          <w:cols w:space="708" w:equalWidth="0">
            <w:col w:w="9080"/>
          </w:cols>
        </w:sectPr>
      </w:pPr>
    </w:p>
    <w:p w14:paraId="4A6F46D3" w14:textId="77777777" w:rsidR="008E0F74" w:rsidRPr="00FC3B7C" w:rsidRDefault="00256F29" w:rsidP="00094CFD">
      <w:pPr>
        <w:rPr>
          <w:sz w:val="20"/>
          <w:szCs w:val="20"/>
        </w:rPr>
      </w:pPr>
      <w:bookmarkStart w:id="315" w:name="page337"/>
      <w:bookmarkEnd w:id="315"/>
      <w:r w:rsidRPr="00FC3B7C">
        <w:rPr>
          <w:rFonts w:eastAsia="Times New Roman"/>
          <w:b/>
          <w:bCs/>
        </w:rPr>
        <w:lastRenderedPageBreak/>
        <w:t xml:space="preserve">Delorsův programový balík I. </w:t>
      </w:r>
      <w:r w:rsidRPr="00FC3B7C">
        <w:rPr>
          <w:rFonts w:eastAsia="Times New Roman"/>
        </w:rPr>
        <w:t>= soubor reforem předložený</w:t>
      </w:r>
      <w:r w:rsidRPr="00FC3B7C">
        <w:rPr>
          <w:rFonts w:eastAsia="Times New Roman"/>
          <w:b/>
          <w:bCs/>
        </w:rPr>
        <w:t xml:space="preserve"> </w:t>
      </w:r>
      <w:r w:rsidRPr="00FC3B7C">
        <w:rPr>
          <w:rFonts w:eastAsia="Times New Roman"/>
        </w:rPr>
        <w:t>v roce 1987, návrhy se týkaly</w:t>
      </w:r>
      <w:r w:rsidRPr="00FC3B7C">
        <w:rPr>
          <w:rFonts w:eastAsia="Times New Roman"/>
          <w:b/>
          <w:bCs/>
        </w:rPr>
        <w:t xml:space="preserve"> </w:t>
      </w:r>
      <w:r w:rsidRPr="00FC3B7C">
        <w:rPr>
          <w:rFonts w:eastAsia="Times New Roman"/>
        </w:rPr>
        <w:t xml:space="preserve">reforem finančního systému ES, omezení agrárních výdajů, zvýšení strukturálního fondu ES </w:t>
      </w:r>
      <w:r w:rsidR="00094CFD">
        <w:rPr>
          <w:rFonts w:eastAsia="Times New Roman"/>
        </w:rPr>
        <w:br/>
      </w:r>
      <w:r w:rsidRPr="00FC3B7C">
        <w:rPr>
          <w:rFonts w:eastAsia="Times New Roman"/>
        </w:rPr>
        <w:t>a zavedení nových pravidel rozpočtového hospodaření.</w:t>
      </w:r>
    </w:p>
    <w:p w14:paraId="4A6F46D4" w14:textId="77777777" w:rsidR="008E0F74" w:rsidRPr="00FC3B7C" w:rsidRDefault="00094CFD" w:rsidP="00094CFD">
      <w:pPr>
        <w:rPr>
          <w:sz w:val="20"/>
          <w:szCs w:val="20"/>
        </w:rPr>
      </w:pPr>
      <w:r>
        <w:rPr>
          <w:rFonts w:eastAsia="Times New Roman"/>
          <w:b/>
          <w:bCs/>
        </w:rPr>
        <w:t xml:space="preserve">Delorsův programový </w:t>
      </w:r>
      <w:r w:rsidR="00256F29" w:rsidRPr="00FC3B7C">
        <w:rPr>
          <w:rFonts w:eastAsia="Times New Roman"/>
          <w:b/>
          <w:bCs/>
        </w:rPr>
        <w:t>balík</w:t>
      </w:r>
      <w:r w:rsidR="00256F29" w:rsidRPr="00FC3B7C">
        <w:rPr>
          <w:rFonts w:eastAsia="Times New Roman"/>
          <w:b/>
          <w:bCs/>
        </w:rPr>
        <w:tab/>
        <w:t>II.</w:t>
      </w:r>
      <w:r w:rsidR="00256F29" w:rsidRPr="00FC3B7C">
        <w:rPr>
          <w:sz w:val="20"/>
          <w:szCs w:val="20"/>
        </w:rPr>
        <w:tab/>
      </w:r>
      <w:r w:rsidR="00256F29" w:rsidRPr="00FC3B7C">
        <w:rPr>
          <w:rFonts w:eastAsia="Times New Roman"/>
        </w:rPr>
        <w:t>=</w:t>
      </w:r>
      <w:r w:rsidR="00256F29" w:rsidRPr="00FC3B7C">
        <w:rPr>
          <w:rFonts w:eastAsia="Times New Roman"/>
        </w:rPr>
        <w:tab/>
        <w:t>ú</w:t>
      </w:r>
      <w:r>
        <w:rPr>
          <w:rFonts w:eastAsia="Times New Roman"/>
        </w:rPr>
        <w:t>nor</w:t>
      </w:r>
      <w:r>
        <w:rPr>
          <w:rFonts w:eastAsia="Times New Roman"/>
        </w:rPr>
        <w:tab/>
        <w:t>1992,</w:t>
      </w:r>
      <w:r>
        <w:rPr>
          <w:rFonts w:eastAsia="Times New Roman"/>
        </w:rPr>
        <w:tab/>
        <w:t>předpokládal</w:t>
      </w:r>
      <w:r>
        <w:rPr>
          <w:rFonts w:eastAsia="Times New Roman"/>
        </w:rPr>
        <w:tab/>
        <w:t xml:space="preserve">zavedení </w:t>
      </w:r>
      <w:r w:rsidR="00256F29" w:rsidRPr="00FC3B7C">
        <w:rPr>
          <w:rFonts w:eastAsia="Times New Roman"/>
        </w:rPr>
        <w:t>střednědobého</w:t>
      </w:r>
      <w:r>
        <w:rPr>
          <w:sz w:val="20"/>
          <w:szCs w:val="20"/>
        </w:rPr>
        <w:t xml:space="preserve"> </w:t>
      </w:r>
      <w:r w:rsidR="00256F29" w:rsidRPr="00FC3B7C">
        <w:rPr>
          <w:rFonts w:eastAsia="Times New Roman"/>
        </w:rPr>
        <w:t>finančního plánování EU.</w:t>
      </w:r>
    </w:p>
    <w:p w14:paraId="4A6F46D5" w14:textId="77777777" w:rsidR="008E0F74" w:rsidRPr="00FC3B7C" w:rsidRDefault="00256F29" w:rsidP="00094CFD">
      <w:pPr>
        <w:rPr>
          <w:sz w:val="20"/>
          <w:szCs w:val="20"/>
        </w:rPr>
      </w:pPr>
      <w:r w:rsidRPr="00FC3B7C">
        <w:rPr>
          <w:rFonts w:eastAsia="Times New Roman"/>
          <w:b/>
          <w:bCs/>
          <w:sz w:val="23"/>
          <w:szCs w:val="23"/>
        </w:rPr>
        <w:t xml:space="preserve">Agenda 2000 </w:t>
      </w:r>
      <w:r w:rsidRPr="00FC3B7C">
        <w:rPr>
          <w:rFonts w:eastAsia="Times New Roman"/>
          <w:sz w:val="23"/>
          <w:szCs w:val="23"/>
        </w:rPr>
        <w:t>= příprava na východní rozšíření, nastínění základních směrů</w:t>
      </w:r>
      <w:r w:rsidRPr="00FC3B7C">
        <w:rPr>
          <w:rFonts w:eastAsia="Times New Roman"/>
          <w:b/>
          <w:bCs/>
          <w:sz w:val="23"/>
          <w:szCs w:val="23"/>
        </w:rPr>
        <w:t xml:space="preserve"> </w:t>
      </w:r>
      <w:r w:rsidRPr="00FC3B7C">
        <w:rPr>
          <w:rFonts w:eastAsia="Times New Roman"/>
          <w:sz w:val="23"/>
          <w:szCs w:val="23"/>
        </w:rPr>
        <w:t>budoucího vývoje.</w:t>
      </w:r>
    </w:p>
    <w:p w14:paraId="4A6F47E2" w14:textId="77777777" w:rsidR="008E0F74" w:rsidRPr="00FC3B7C" w:rsidRDefault="008E0F74">
      <w:pPr>
        <w:sectPr w:rsidR="008E0F74" w:rsidRPr="00FC3B7C">
          <w:pgSz w:w="11900" w:h="16840"/>
          <w:pgMar w:top="1391" w:right="1400" w:bottom="1440" w:left="1420" w:header="0" w:footer="0" w:gutter="0"/>
          <w:cols w:space="708" w:equalWidth="0">
            <w:col w:w="9080"/>
          </w:cols>
        </w:sectPr>
      </w:pPr>
    </w:p>
    <w:p w14:paraId="4A6F47E3" w14:textId="77777777" w:rsidR="008E0F74" w:rsidRPr="00EE01FF" w:rsidRDefault="00256F29" w:rsidP="00EE01FF">
      <w:pPr>
        <w:pStyle w:val="Nadpis1"/>
        <w:ind w:left="0" w:hanging="7"/>
        <w:rPr>
          <w:color w:val="1F3864" w:themeColor="accent1" w:themeShade="80"/>
        </w:rPr>
      </w:pPr>
      <w:bookmarkStart w:id="316" w:name="page347"/>
      <w:bookmarkStart w:id="317" w:name="_Toc54254088"/>
      <w:bookmarkEnd w:id="316"/>
      <w:r w:rsidRPr="00EE01FF">
        <w:rPr>
          <w:color w:val="1F3864" w:themeColor="accent1" w:themeShade="80"/>
        </w:rPr>
        <w:lastRenderedPageBreak/>
        <w:t>TRŽNÍ A VLÁDNÍ SELHÁNÍ</w:t>
      </w:r>
      <w:bookmarkEnd w:id="317"/>
    </w:p>
    <w:p w14:paraId="4A6F47E4" w14:textId="77777777" w:rsidR="008E0F74" w:rsidRPr="00FC3B7C" w:rsidRDefault="008E0F74">
      <w:pPr>
        <w:spacing w:line="200" w:lineRule="exact"/>
        <w:rPr>
          <w:sz w:val="20"/>
          <w:szCs w:val="20"/>
        </w:rPr>
      </w:pPr>
    </w:p>
    <w:p w14:paraId="4A6F47E5" w14:textId="77777777" w:rsidR="008E0F74" w:rsidRPr="00FC3B7C" w:rsidRDefault="008E0F74">
      <w:pPr>
        <w:spacing w:line="221" w:lineRule="exact"/>
        <w:rPr>
          <w:sz w:val="20"/>
          <w:szCs w:val="20"/>
        </w:rPr>
      </w:pPr>
    </w:p>
    <w:p w14:paraId="4A6F47E6" w14:textId="77777777" w:rsidR="008E0F74" w:rsidRPr="00FC3B7C" w:rsidRDefault="00256F29" w:rsidP="0097403B">
      <w:pPr>
        <w:rPr>
          <w:sz w:val="20"/>
          <w:szCs w:val="20"/>
        </w:rPr>
      </w:pPr>
      <w:r w:rsidRPr="00FC3B7C">
        <w:rPr>
          <w:rFonts w:eastAsia="Times New Roman"/>
          <w:b/>
          <w:bCs/>
          <w:sz w:val="28"/>
          <w:szCs w:val="28"/>
        </w:rPr>
        <w:t>Slovníček pojmů</w:t>
      </w:r>
    </w:p>
    <w:p w14:paraId="4A6F47E7" w14:textId="77777777" w:rsidR="008E0F74" w:rsidRPr="00FC3B7C" w:rsidRDefault="00256F29" w:rsidP="0097403B">
      <w:pPr>
        <w:rPr>
          <w:sz w:val="20"/>
          <w:szCs w:val="20"/>
        </w:rPr>
      </w:pPr>
      <w:r w:rsidRPr="00FC3B7C">
        <w:rPr>
          <w:rFonts w:eastAsia="Times New Roman"/>
          <w:i/>
          <w:iCs/>
          <w:szCs w:val="24"/>
          <w:u w:val="single"/>
        </w:rPr>
        <w:t>Tržní selhání</w:t>
      </w:r>
      <w:r w:rsidRPr="00FC3B7C">
        <w:rPr>
          <w:rFonts w:eastAsia="Times New Roman"/>
          <w:i/>
          <w:iCs/>
          <w:szCs w:val="24"/>
        </w:rPr>
        <w:t xml:space="preserve"> </w:t>
      </w:r>
      <w:r w:rsidRPr="00FC3B7C">
        <w:rPr>
          <w:rFonts w:eastAsia="Times New Roman"/>
          <w:szCs w:val="24"/>
        </w:rPr>
        <w:t>– nedokonalost cenového systému bránící efektivní alokaci zdrojů</w:t>
      </w:r>
      <w:r w:rsidR="0097403B">
        <w:rPr>
          <w:rFonts w:eastAsia="Times New Roman"/>
          <w:szCs w:val="24"/>
        </w:rPr>
        <w:t>.</w:t>
      </w:r>
    </w:p>
    <w:p w14:paraId="4A6F47E8" w14:textId="77777777" w:rsidR="008E0F74" w:rsidRPr="00FC3B7C" w:rsidRDefault="00256F29" w:rsidP="0097403B">
      <w:pPr>
        <w:ind w:right="120"/>
        <w:rPr>
          <w:sz w:val="20"/>
          <w:szCs w:val="20"/>
        </w:rPr>
      </w:pPr>
      <w:r w:rsidRPr="00FC3B7C">
        <w:rPr>
          <w:rFonts w:eastAsia="Times New Roman"/>
          <w:i/>
          <w:iCs/>
          <w:sz w:val="23"/>
          <w:szCs w:val="23"/>
          <w:u w:val="single"/>
        </w:rPr>
        <w:t>Vládní selhání</w:t>
      </w:r>
      <w:r w:rsidRPr="00FC3B7C">
        <w:rPr>
          <w:rFonts w:eastAsia="Times New Roman"/>
          <w:i/>
          <w:iCs/>
          <w:sz w:val="23"/>
          <w:szCs w:val="23"/>
        </w:rPr>
        <w:t xml:space="preserve"> </w:t>
      </w:r>
      <w:r w:rsidRPr="00FC3B7C">
        <w:rPr>
          <w:rFonts w:eastAsia="Times New Roman"/>
          <w:sz w:val="23"/>
          <w:szCs w:val="23"/>
          <w:u w:val="single"/>
        </w:rPr>
        <w:t>-</w:t>
      </w:r>
      <w:r w:rsidRPr="00FC3B7C">
        <w:rPr>
          <w:rFonts w:eastAsia="Times New Roman"/>
          <w:i/>
          <w:iCs/>
          <w:sz w:val="23"/>
          <w:szCs w:val="23"/>
        </w:rPr>
        <w:t xml:space="preserve"> </w:t>
      </w:r>
      <w:r w:rsidRPr="00FC3B7C">
        <w:rPr>
          <w:rFonts w:eastAsia="Times New Roman"/>
          <w:sz w:val="23"/>
          <w:szCs w:val="23"/>
        </w:rPr>
        <w:t>situace, kdy se státní zásahy do ekonomiky míjejí svým účinkem, kdy jejich</w:t>
      </w:r>
      <w:r w:rsidRPr="00FC3B7C">
        <w:rPr>
          <w:rFonts w:eastAsia="Times New Roman"/>
          <w:i/>
          <w:iCs/>
          <w:sz w:val="23"/>
          <w:szCs w:val="23"/>
        </w:rPr>
        <w:t xml:space="preserve"> </w:t>
      </w:r>
      <w:r w:rsidRPr="00FC3B7C">
        <w:rPr>
          <w:rFonts w:eastAsia="Times New Roman"/>
          <w:sz w:val="23"/>
          <w:szCs w:val="23"/>
        </w:rPr>
        <w:t>důsledky jsou horší, než situace, které se snaží řešit, nebo kdy jsou tyto zásahy zcela škodlivé.</w:t>
      </w:r>
    </w:p>
    <w:p w14:paraId="4A6F47E9" w14:textId="77777777" w:rsidR="008E0F74" w:rsidRPr="00FC3B7C" w:rsidRDefault="008E0F74">
      <w:pPr>
        <w:spacing w:line="378" w:lineRule="exact"/>
        <w:rPr>
          <w:sz w:val="20"/>
          <w:szCs w:val="20"/>
        </w:rPr>
      </w:pPr>
    </w:p>
    <w:p w14:paraId="4A6F47EA" w14:textId="77777777" w:rsidR="008E0F74" w:rsidRPr="00EE01FF" w:rsidRDefault="00256F29" w:rsidP="0097403B">
      <w:pPr>
        <w:pStyle w:val="Nadpis2"/>
        <w:rPr>
          <w:color w:val="1F3864" w:themeColor="accent1" w:themeShade="80"/>
          <w:sz w:val="20"/>
          <w:szCs w:val="20"/>
        </w:rPr>
      </w:pPr>
      <w:r w:rsidRPr="00EE01FF">
        <w:rPr>
          <w:rFonts w:eastAsia="Times New Roman"/>
          <w:color w:val="1F3864" w:themeColor="accent1" w:themeShade="80"/>
        </w:rPr>
        <w:t>POHLED RŮZNÝCH EKONOMICKÝCH ŠKOL NA TRŽNÍ A VLÁDNÍ SELHÁNÍ</w:t>
      </w:r>
    </w:p>
    <w:p w14:paraId="4A6F47EB" w14:textId="77777777" w:rsidR="008E0F74" w:rsidRPr="00FC3B7C" w:rsidRDefault="008E0F74">
      <w:pPr>
        <w:spacing w:line="144" w:lineRule="exact"/>
        <w:rPr>
          <w:sz w:val="20"/>
          <w:szCs w:val="20"/>
        </w:rPr>
      </w:pPr>
    </w:p>
    <w:p w14:paraId="4A6F47EC" w14:textId="77777777" w:rsidR="008E0F74" w:rsidRPr="00FC3B7C" w:rsidRDefault="00256F29" w:rsidP="0097403B">
      <w:pPr>
        <w:rPr>
          <w:sz w:val="20"/>
          <w:szCs w:val="20"/>
        </w:rPr>
      </w:pPr>
      <w:r w:rsidRPr="00FC3B7C">
        <w:rPr>
          <w:rFonts w:eastAsia="Times New Roman"/>
        </w:rPr>
        <w:t>Každá ekonomická škola se v menším či větším rozsahu touto problematikou zabývala a ve svých dílech nám předkládá argumenty pro či proti státním zásahům nebo volnému trhu. Přestože nenesla svůj dnešní název, byla tržní selhání v různé podobě rozpoznána mnoha ekonomickými školami a pro některé byla jedním z důvodů pro obhajobu státních zásahů.</w:t>
      </w:r>
    </w:p>
    <w:p w14:paraId="4A6F47ED" w14:textId="77777777" w:rsidR="008E0F74" w:rsidRPr="00FC3B7C" w:rsidRDefault="008E0F74">
      <w:pPr>
        <w:spacing w:line="183" w:lineRule="exact"/>
        <w:rPr>
          <w:sz w:val="20"/>
          <w:szCs w:val="20"/>
        </w:rPr>
      </w:pPr>
    </w:p>
    <w:p w14:paraId="4A6F47EE" w14:textId="5E98C0EB" w:rsidR="008E0F74" w:rsidRPr="00EE01FF" w:rsidRDefault="00EE01FF" w:rsidP="00FB1D83">
      <w:pPr>
        <w:pStyle w:val="Nadpis3"/>
        <w:rPr>
          <w:color w:val="1F3864" w:themeColor="accent1" w:themeShade="80"/>
          <w:sz w:val="20"/>
          <w:szCs w:val="20"/>
        </w:rPr>
      </w:pPr>
      <w:r>
        <w:rPr>
          <w:color w:val="1F3864" w:themeColor="accent1" w:themeShade="80"/>
        </w:rPr>
        <w:t xml:space="preserve"> </w:t>
      </w:r>
      <w:r w:rsidR="00256F29" w:rsidRPr="00EE01FF">
        <w:rPr>
          <w:color w:val="1F3864" w:themeColor="accent1" w:themeShade="80"/>
        </w:rPr>
        <w:t>Merkantilismus</w:t>
      </w:r>
    </w:p>
    <w:p w14:paraId="4A6F47EF" w14:textId="77777777" w:rsidR="008E0F74" w:rsidRPr="00FC3B7C" w:rsidRDefault="00256F29" w:rsidP="00D46B53">
      <w:pPr>
        <w:numPr>
          <w:ilvl w:val="0"/>
          <w:numId w:val="287"/>
        </w:numPr>
        <w:tabs>
          <w:tab w:val="left" w:pos="1140"/>
        </w:tabs>
        <w:ind w:left="1140" w:hanging="367"/>
        <w:rPr>
          <w:rFonts w:eastAsia="Times New Roman"/>
          <w:szCs w:val="24"/>
        </w:rPr>
      </w:pPr>
      <w:r w:rsidRPr="00FC3B7C">
        <w:rPr>
          <w:rFonts w:eastAsia="Times New Roman"/>
          <w:szCs w:val="24"/>
        </w:rPr>
        <w:t>nejdůležitější – národní zájem</w:t>
      </w:r>
    </w:p>
    <w:p w14:paraId="4A6F47F0" w14:textId="77777777" w:rsidR="008E0F74" w:rsidRPr="00FC3B7C" w:rsidRDefault="00256F29" w:rsidP="00D46B53">
      <w:pPr>
        <w:numPr>
          <w:ilvl w:val="0"/>
          <w:numId w:val="287"/>
        </w:numPr>
        <w:tabs>
          <w:tab w:val="left" w:pos="1140"/>
        </w:tabs>
        <w:ind w:left="1140" w:hanging="367"/>
        <w:rPr>
          <w:rFonts w:eastAsia="Times New Roman"/>
          <w:szCs w:val="24"/>
        </w:rPr>
      </w:pPr>
      <w:r w:rsidRPr="00FC3B7C">
        <w:rPr>
          <w:rFonts w:eastAsia="Times New Roman"/>
          <w:szCs w:val="24"/>
        </w:rPr>
        <w:t>bohatství jsou peníze – důraz na aktivní obchodní bilanci</w:t>
      </w:r>
    </w:p>
    <w:p w14:paraId="4A6F47F1" w14:textId="77777777" w:rsidR="008E0F74" w:rsidRPr="00FC3B7C" w:rsidRDefault="00256F29" w:rsidP="00D46B53">
      <w:pPr>
        <w:numPr>
          <w:ilvl w:val="0"/>
          <w:numId w:val="287"/>
        </w:numPr>
        <w:tabs>
          <w:tab w:val="left" w:pos="1140"/>
        </w:tabs>
        <w:ind w:left="1140" w:hanging="367"/>
        <w:rPr>
          <w:rFonts w:eastAsia="Times New Roman"/>
          <w:szCs w:val="24"/>
        </w:rPr>
      </w:pPr>
      <w:r w:rsidRPr="00FC3B7C">
        <w:rPr>
          <w:rFonts w:eastAsia="Times New Roman"/>
          <w:szCs w:val="24"/>
        </w:rPr>
        <w:t>národní bohatství je ztotožňováno se státním pokladem</w:t>
      </w:r>
    </w:p>
    <w:p w14:paraId="4A6F47F2" w14:textId="77777777" w:rsidR="008E0F74" w:rsidRPr="00FC3B7C" w:rsidRDefault="00256F29" w:rsidP="00D46B53">
      <w:pPr>
        <w:numPr>
          <w:ilvl w:val="0"/>
          <w:numId w:val="287"/>
        </w:numPr>
        <w:tabs>
          <w:tab w:val="left" w:pos="1140"/>
        </w:tabs>
        <w:ind w:left="1140" w:hanging="367"/>
        <w:rPr>
          <w:rFonts w:eastAsia="Times New Roman"/>
          <w:szCs w:val="24"/>
        </w:rPr>
      </w:pPr>
      <w:r w:rsidRPr="00FC3B7C">
        <w:rPr>
          <w:rFonts w:eastAsia="Times New Roman"/>
          <w:szCs w:val="24"/>
        </w:rPr>
        <w:t>velký rozmach regulací v národním hospodářství (cla, regulace mezd a cen</w:t>
      </w:r>
    </w:p>
    <w:p w14:paraId="4A6F47F3" w14:textId="77777777" w:rsidR="008E0F74" w:rsidRPr="00FC3B7C" w:rsidRDefault="00256F29" w:rsidP="00D46B53">
      <w:pPr>
        <w:numPr>
          <w:ilvl w:val="0"/>
          <w:numId w:val="287"/>
        </w:numPr>
        <w:tabs>
          <w:tab w:val="left" w:pos="1140"/>
        </w:tabs>
        <w:ind w:left="1140" w:hanging="367"/>
        <w:rPr>
          <w:rFonts w:eastAsia="Times New Roman"/>
          <w:szCs w:val="24"/>
        </w:rPr>
      </w:pPr>
      <w:r w:rsidRPr="00FC3B7C">
        <w:rPr>
          <w:rFonts w:eastAsia="Times New Roman"/>
          <w:szCs w:val="24"/>
        </w:rPr>
        <w:t>představitelé merkantilismu: Thomas Munn, William Petty, Richard Cantillon</w:t>
      </w:r>
    </w:p>
    <w:p w14:paraId="4A6F47F4" w14:textId="6EAF8546" w:rsidR="008E0F74" w:rsidRPr="00FC3B7C" w:rsidRDefault="00EE01FF" w:rsidP="00FB1D83">
      <w:pPr>
        <w:pStyle w:val="Nadpis3"/>
        <w:rPr>
          <w:sz w:val="20"/>
          <w:szCs w:val="20"/>
        </w:rPr>
      </w:pPr>
      <w:r>
        <w:rPr>
          <w:rFonts w:eastAsia="Times New Roman"/>
        </w:rPr>
        <w:t xml:space="preserve"> </w:t>
      </w:r>
      <w:r w:rsidR="00256F29" w:rsidRPr="00EE01FF">
        <w:rPr>
          <w:rFonts w:eastAsia="Times New Roman"/>
          <w:color w:val="1F3864" w:themeColor="accent1" w:themeShade="80"/>
        </w:rPr>
        <w:t xml:space="preserve">Filosofie </w:t>
      </w:r>
      <w:r w:rsidR="00256F29" w:rsidRPr="00EE01FF">
        <w:rPr>
          <w:color w:val="1F3864" w:themeColor="accent1" w:themeShade="80"/>
        </w:rPr>
        <w:t>přirozených</w:t>
      </w:r>
      <w:r w:rsidR="00256F29" w:rsidRPr="00EE01FF">
        <w:rPr>
          <w:rFonts w:eastAsia="Times New Roman"/>
          <w:color w:val="1F3864" w:themeColor="accent1" w:themeShade="80"/>
        </w:rPr>
        <w:t xml:space="preserve"> zákonů</w:t>
      </w:r>
    </w:p>
    <w:p w14:paraId="4A6F47F5" w14:textId="77777777" w:rsidR="008E0F74" w:rsidRPr="00FC3B7C" w:rsidRDefault="00256F29" w:rsidP="00D46B53">
      <w:pPr>
        <w:numPr>
          <w:ilvl w:val="0"/>
          <w:numId w:val="288"/>
        </w:numPr>
        <w:tabs>
          <w:tab w:val="left" w:pos="1140"/>
        </w:tabs>
        <w:ind w:left="1140" w:hanging="367"/>
        <w:rPr>
          <w:rFonts w:eastAsia="Times New Roman"/>
          <w:szCs w:val="24"/>
        </w:rPr>
      </w:pPr>
      <w:r w:rsidRPr="00FC3B7C">
        <w:rPr>
          <w:rFonts w:eastAsia="Times New Roman"/>
          <w:szCs w:val="24"/>
        </w:rPr>
        <w:t>téměř opak merkantilistů – do popředí přichází trh</w:t>
      </w:r>
    </w:p>
    <w:p w14:paraId="4A6F47F6" w14:textId="77777777" w:rsidR="008E0F74" w:rsidRPr="00FC3B7C" w:rsidRDefault="00256F29" w:rsidP="00D46B53">
      <w:pPr>
        <w:numPr>
          <w:ilvl w:val="0"/>
          <w:numId w:val="288"/>
        </w:numPr>
        <w:tabs>
          <w:tab w:val="left" w:pos="1140"/>
        </w:tabs>
        <w:ind w:left="1140" w:hanging="367"/>
        <w:rPr>
          <w:rFonts w:eastAsia="Times New Roman"/>
          <w:szCs w:val="24"/>
        </w:rPr>
      </w:pPr>
      <w:r w:rsidRPr="00FC3B7C">
        <w:rPr>
          <w:rFonts w:eastAsia="Times New Roman"/>
          <w:szCs w:val="24"/>
        </w:rPr>
        <w:t>společnost je jako příroda ovládána tzv. přirozenými zákony – zákony, které člověk sám o sobě není schopen změnit</w:t>
      </w:r>
    </w:p>
    <w:p w14:paraId="4A6F47F7" w14:textId="77777777" w:rsidR="008E0F74" w:rsidRPr="00FC3B7C" w:rsidRDefault="00256F29" w:rsidP="00D46B53">
      <w:pPr>
        <w:numPr>
          <w:ilvl w:val="0"/>
          <w:numId w:val="288"/>
        </w:numPr>
        <w:tabs>
          <w:tab w:val="left" w:pos="1140"/>
        </w:tabs>
        <w:ind w:left="1140" w:hanging="367"/>
        <w:rPr>
          <w:rFonts w:eastAsia="Times New Roman"/>
          <w:szCs w:val="24"/>
        </w:rPr>
      </w:pPr>
      <w:r w:rsidRPr="00FC3B7C">
        <w:rPr>
          <w:rFonts w:eastAsia="Times New Roman"/>
          <w:szCs w:val="24"/>
        </w:rPr>
        <w:t>stát se může snažit o cokoliv, společnost se stejně vrátí k přirozené stavbě věcí</w:t>
      </w:r>
    </w:p>
    <w:p w14:paraId="4A6F47F8" w14:textId="77777777" w:rsidR="008E0F74" w:rsidRDefault="00256F29" w:rsidP="00D46B53">
      <w:pPr>
        <w:numPr>
          <w:ilvl w:val="0"/>
          <w:numId w:val="288"/>
        </w:numPr>
        <w:tabs>
          <w:tab w:val="left" w:pos="1140"/>
        </w:tabs>
        <w:ind w:left="1140" w:hanging="367"/>
        <w:rPr>
          <w:rFonts w:eastAsia="Times New Roman"/>
          <w:szCs w:val="24"/>
        </w:rPr>
      </w:pPr>
      <w:r w:rsidRPr="00FC3B7C">
        <w:rPr>
          <w:rFonts w:eastAsia="Times New Roman"/>
          <w:szCs w:val="24"/>
        </w:rPr>
        <w:t>představitelé: John Locke, David Hume</w:t>
      </w:r>
    </w:p>
    <w:p w14:paraId="4A6F47F9" w14:textId="252DE631" w:rsidR="008E0F74" w:rsidRPr="00EE01FF" w:rsidRDefault="00EE01FF" w:rsidP="00FB1D83">
      <w:pPr>
        <w:pStyle w:val="Nadpis3"/>
        <w:rPr>
          <w:color w:val="1F3864" w:themeColor="accent1" w:themeShade="80"/>
          <w:sz w:val="20"/>
          <w:szCs w:val="20"/>
        </w:rPr>
      </w:pPr>
      <w:bookmarkStart w:id="318" w:name="page348"/>
      <w:bookmarkEnd w:id="318"/>
      <w:r w:rsidRPr="00EE01FF">
        <w:rPr>
          <w:rFonts w:eastAsia="Times New Roman"/>
          <w:color w:val="1F3864" w:themeColor="accent1" w:themeShade="80"/>
        </w:rPr>
        <w:t xml:space="preserve"> </w:t>
      </w:r>
      <w:r w:rsidR="00256F29" w:rsidRPr="00EE01FF">
        <w:rPr>
          <w:rFonts w:eastAsia="Times New Roman"/>
          <w:color w:val="1F3864" w:themeColor="accent1" w:themeShade="80"/>
        </w:rPr>
        <w:t>Fyziokraté</w:t>
      </w:r>
    </w:p>
    <w:p w14:paraId="4A6F47FA" w14:textId="77777777" w:rsidR="008E0F74" w:rsidRPr="00FC3B7C" w:rsidRDefault="00256F29" w:rsidP="00D46B53">
      <w:pPr>
        <w:numPr>
          <w:ilvl w:val="0"/>
          <w:numId w:val="289"/>
        </w:numPr>
        <w:tabs>
          <w:tab w:val="left" w:pos="1120"/>
        </w:tabs>
        <w:ind w:left="1120" w:hanging="367"/>
        <w:rPr>
          <w:rFonts w:eastAsia="Times New Roman"/>
          <w:szCs w:val="24"/>
        </w:rPr>
      </w:pPr>
      <w:r w:rsidRPr="00FC3B7C">
        <w:rPr>
          <w:rFonts w:eastAsia="Times New Roman"/>
          <w:szCs w:val="24"/>
        </w:rPr>
        <w:t>fyziokratismus = vláda přírody</w:t>
      </w:r>
    </w:p>
    <w:p w14:paraId="4A6F47FB" w14:textId="77777777" w:rsidR="008E0F74" w:rsidRPr="00D04EF9" w:rsidRDefault="00256F29" w:rsidP="00D46B53">
      <w:pPr>
        <w:numPr>
          <w:ilvl w:val="0"/>
          <w:numId w:val="289"/>
        </w:numPr>
        <w:tabs>
          <w:tab w:val="left" w:pos="1120"/>
        </w:tabs>
        <w:ind w:left="1120" w:hanging="367"/>
        <w:rPr>
          <w:rFonts w:eastAsia="Times New Roman"/>
          <w:szCs w:val="24"/>
        </w:rPr>
      </w:pPr>
      <w:r w:rsidRPr="00D04EF9">
        <w:rPr>
          <w:rFonts w:eastAsia="Times New Roman"/>
          <w:szCs w:val="24"/>
        </w:rPr>
        <w:t>inspirace pro klasiky</w:t>
      </w:r>
    </w:p>
    <w:p w14:paraId="4A6F47FC" w14:textId="77777777" w:rsidR="008E0F74" w:rsidRPr="00FC3B7C" w:rsidRDefault="00256F29" w:rsidP="00D46B53">
      <w:pPr>
        <w:numPr>
          <w:ilvl w:val="0"/>
          <w:numId w:val="289"/>
        </w:numPr>
        <w:tabs>
          <w:tab w:val="left" w:pos="1120"/>
        </w:tabs>
        <w:ind w:left="1120" w:hanging="367"/>
        <w:rPr>
          <w:rFonts w:eastAsia="Times New Roman"/>
          <w:szCs w:val="24"/>
        </w:rPr>
      </w:pPr>
      <w:r w:rsidRPr="00FC3B7C">
        <w:rPr>
          <w:rFonts w:eastAsia="Times New Roman"/>
          <w:szCs w:val="24"/>
        </w:rPr>
        <w:t>ekonomika je přirozený řád, kam stát nemá zasahovat</w:t>
      </w:r>
    </w:p>
    <w:p w14:paraId="4A6F47FD" w14:textId="77777777" w:rsidR="008E0F74" w:rsidRPr="00FC3B7C" w:rsidRDefault="00256F29" w:rsidP="00D46B53">
      <w:pPr>
        <w:numPr>
          <w:ilvl w:val="0"/>
          <w:numId w:val="289"/>
        </w:numPr>
        <w:tabs>
          <w:tab w:val="left" w:pos="1120"/>
        </w:tabs>
        <w:ind w:left="1120" w:hanging="367"/>
        <w:rPr>
          <w:rFonts w:eastAsia="Times New Roman"/>
          <w:szCs w:val="24"/>
        </w:rPr>
      </w:pPr>
      <w:r w:rsidRPr="00FC3B7C">
        <w:rPr>
          <w:rFonts w:eastAsia="Times New Roman"/>
          <w:szCs w:val="24"/>
        </w:rPr>
        <w:t>laissez faire, laissez passer – přešel do slovníků klasických ekonomů</w:t>
      </w:r>
    </w:p>
    <w:p w14:paraId="4A6F47FE" w14:textId="77777777" w:rsidR="008E0F74" w:rsidRPr="00FC3B7C" w:rsidRDefault="00256F29" w:rsidP="00D46B53">
      <w:pPr>
        <w:numPr>
          <w:ilvl w:val="0"/>
          <w:numId w:val="289"/>
        </w:numPr>
        <w:tabs>
          <w:tab w:val="left" w:pos="1120"/>
        </w:tabs>
        <w:ind w:left="1120" w:hanging="367"/>
        <w:rPr>
          <w:rFonts w:eastAsia="Times New Roman"/>
          <w:szCs w:val="24"/>
        </w:rPr>
      </w:pPr>
      <w:r w:rsidRPr="00FC3B7C">
        <w:rPr>
          <w:rFonts w:eastAsia="Times New Roman"/>
          <w:szCs w:val="24"/>
        </w:rPr>
        <w:lastRenderedPageBreak/>
        <w:t>stát nezasahuje do ekonomiky – má ponechat ekonomickému životu volný průběh</w:t>
      </w:r>
    </w:p>
    <w:p w14:paraId="4A6F47FF" w14:textId="77777777" w:rsidR="008E0F74" w:rsidRPr="00FC3B7C" w:rsidRDefault="00256F29" w:rsidP="00D46B53">
      <w:pPr>
        <w:numPr>
          <w:ilvl w:val="0"/>
          <w:numId w:val="289"/>
        </w:numPr>
        <w:tabs>
          <w:tab w:val="left" w:pos="1120"/>
        </w:tabs>
        <w:ind w:left="1120" w:hanging="367"/>
        <w:rPr>
          <w:rFonts w:eastAsia="Times New Roman"/>
          <w:szCs w:val="24"/>
        </w:rPr>
      </w:pPr>
      <w:r w:rsidRPr="00FC3B7C">
        <w:rPr>
          <w:rFonts w:eastAsia="Times New Roman"/>
          <w:szCs w:val="24"/>
        </w:rPr>
        <w:t>představitel: François Quesnay</w:t>
      </w:r>
    </w:p>
    <w:p w14:paraId="4A6F4800" w14:textId="6CE4B213" w:rsidR="008E0F74" w:rsidRPr="00EE01FF" w:rsidRDefault="00EE01FF" w:rsidP="00D04EF9">
      <w:pPr>
        <w:pStyle w:val="Nadpis3"/>
        <w:rPr>
          <w:color w:val="1F3864" w:themeColor="accent1" w:themeShade="80"/>
          <w:sz w:val="20"/>
          <w:szCs w:val="20"/>
        </w:rPr>
      </w:pPr>
      <w:r>
        <w:rPr>
          <w:rFonts w:eastAsia="Times New Roman"/>
          <w:color w:val="1F3864" w:themeColor="accent1" w:themeShade="80"/>
        </w:rPr>
        <w:t xml:space="preserve"> </w:t>
      </w:r>
      <w:r w:rsidR="00256F29" w:rsidRPr="00EE01FF">
        <w:rPr>
          <w:rFonts w:eastAsia="Times New Roman"/>
          <w:color w:val="1F3864" w:themeColor="accent1" w:themeShade="80"/>
        </w:rPr>
        <w:t>Klasická politická ekonomie</w:t>
      </w:r>
    </w:p>
    <w:p w14:paraId="4A6F4801" w14:textId="58FE3DAC" w:rsidR="008E0F74" w:rsidRPr="00FC3B7C" w:rsidRDefault="00256F29" w:rsidP="00D04EF9">
      <w:pPr>
        <w:ind w:left="760"/>
        <w:rPr>
          <w:sz w:val="20"/>
          <w:szCs w:val="20"/>
        </w:rPr>
      </w:pPr>
      <w:r w:rsidRPr="00FC3B7C">
        <w:rPr>
          <w:rFonts w:eastAsia="Arial"/>
          <w:szCs w:val="24"/>
        </w:rPr>
        <w:t>–</w:t>
      </w:r>
      <w:r w:rsidR="003376E1">
        <w:rPr>
          <w:rFonts w:eastAsia="Arial"/>
          <w:szCs w:val="24"/>
        </w:rPr>
        <w:t xml:space="preserve"> </w:t>
      </w:r>
      <w:r w:rsidRPr="00FC3B7C">
        <w:rPr>
          <w:rFonts w:eastAsia="Times New Roman"/>
          <w:szCs w:val="24"/>
        </w:rPr>
        <w:t>tato</w:t>
      </w:r>
      <w:r w:rsidRPr="00FC3B7C">
        <w:rPr>
          <w:rFonts w:eastAsia="Arial"/>
          <w:szCs w:val="24"/>
        </w:rPr>
        <w:t xml:space="preserve"> </w:t>
      </w:r>
      <w:r w:rsidRPr="00FC3B7C">
        <w:rPr>
          <w:rFonts w:eastAsia="Times New Roman"/>
          <w:szCs w:val="24"/>
        </w:rPr>
        <w:t>škola je vystavěna na filozofii liberalismu</w:t>
      </w:r>
    </w:p>
    <w:p w14:paraId="4A6F4802" w14:textId="77777777" w:rsidR="008E0F74" w:rsidRPr="00FC3B7C" w:rsidRDefault="00256F29" w:rsidP="00D04EF9">
      <w:pPr>
        <w:ind w:left="1120" w:hanging="357"/>
        <w:rPr>
          <w:sz w:val="20"/>
          <w:szCs w:val="20"/>
        </w:rPr>
      </w:pPr>
      <w:r w:rsidRPr="00FC3B7C">
        <w:rPr>
          <w:rFonts w:eastAsia="Arial"/>
          <w:szCs w:val="24"/>
        </w:rPr>
        <w:t xml:space="preserve">– </w:t>
      </w:r>
      <w:r w:rsidRPr="00FC3B7C">
        <w:rPr>
          <w:rFonts w:eastAsia="Times New Roman"/>
          <w:szCs w:val="24"/>
        </w:rPr>
        <w:t>její představitelé zastávali myšlenku</w:t>
      </w:r>
      <w:r w:rsidRPr="00FC3B7C">
        <w:rPr>
          <w:rFonts w:eastAsia="Arial"/>
          <w:szCs w:val="24"/>
        </w:rPr>
        <w:t xml:space="preserve"> </w:t>
      </w:r>
      <w:r w:rsidRPr="00FC3B7C">
        <w:rPr>
          <w:rFonts w:eastAsia="Times New Roman"/>
          <w:b/>
          <w:bCs/>
          <w:szCs w:val="24"/>
        </w:rPr>
        <w:t>laisses faire</w:t>
      </w:r>
      <w:r w:rsidRPr="00FC3B7C">
        <w:rPr>
          <w:rFonts w:eastAsia="Times New Roman"/>
          <w:szCs w:val="24"/>
        </w:rPr>
        <w:t>, tedy svobodného trhu bez</w:t>
      </w:r>
      <w:r w:rsidRPr="00FC3B7C">
        <w:rPr>
          <w:rFonts w:eastAsia="Arial"/>
          <w:szCs w:val="24"/>
        </w:rPr>
        <w:t xml:space="preserve"> </w:t>
      </w:r>
      <w:r w:rsidRPr="00FC3B7C">
        <w:rPr>
          <w:rFonts w:eastAsia="Times New Roman"/>
          <w:szCs w:val="24"/>
        </w:rPr>
        <w:t>státních zásahů</w:t>
      </w:r>
    </w:p>
    <w:p w14:paraId="4A6F4803" w14:textId="77777777" w:rsidR="008E0F74" w:rsidRPr="00FC3B7C" w:rsidRDefault="00256F29" w:rsidP="00D04EF9">
      <w:pPr>
        <w:ind w:left="1120" w:hanging="357"/>
        <w:rPr>
          <w:sz w:val="20"/>
          <w:szCs w:val="20"/>
        </w:rPr>
      </w:pPr>
      <w:r w:rsidRPr="00FC3B7C">
        <w:rPr>
          <w:rFonts w:eastAsia="Arial"/>
          <w:szCs w:val="24"/>
        </w:rPr>
        <w:t xml:space="preserve">– </w:t>
      </w:r>
      <w:r w:rsidRPr="00FC3B7C">
        <w:rPr>
          <w:rFonts w:eastAsia="Times New Roman"/>
          <w:szCs w:val="24"/>
        </w:rPr>
        <w:t>na rozdíl od merkantilistů</w:t>
      </w:r>
      <w:r w:rsidRPr="00FC3B7C">
        <w:rPr>
          <w:rFonts w:eastAsia="Arial"/>
          <w:szCs w:val="24"/>
        </w:rPr>
        <w:t xml:space="preserve"> </w:t>
      </w:r>
      <w:r w:rsidRPr="00FC3B7C">
        <w:rPr>
          <w:rFonts w:eastAsia="Times New Roman"/>
          <w:szCs w:val="24"/>
        </w:rPr>
        <w:t>klasikové prosazovali doktrínu</w:t>
      </w:r>
      <w:r w:rsidRPr="00FC3B7C">
        <w:rPr>
          <w:rFonts w:eastAsia="Arial"/>
          <w:szCs w:val="24"/>
        </w:rPr>
        <w:t xml:space="preserve"> </w:t>
      </w:r>
      <w:r w:rsidRPr="00FC3B7C">
        <w:rPr>
          <w:rFonts w:eastAsia="Times New Roman"/>
          <w:b/>
          <w:bCs/>
          <w:szCs w:val="24"/>
        </w:rPr>
        <w:t>free trade -</w:t>
      </w:r>
      <w:r w:rsidRPr="00FC3B7C">
        <w:rPr>
          <w:rFonts w:eastAsia="Arial"/>
          <w:szCs w:val="24"/>
        </w:rPr>
        <w:t xml:space="preserve"> </w:t>
      </w:r>
      <w:r w:rsidRPr="00FC3B7C">
        <w:rPr>
          <w:rFonts w:eastAsia="Times New Roman"/>
          <w:szCs w:val="24"/>
        </w:rPr>
        <w:t>zájmy</w:t>
      </w:r>
      <w:r w:rsidRPr="00FC3B7C">
        <w:rPr>
          <w:rFonts w:eastAsia="Arial"/>
          <w:szCs w:val="24"/>
        </w:rPr>
        <w:t xml:space="preserve"> </w:t>
      </w:r>
      <w:r w:rsidRPr="00FC3B7C">
        <w:rPr>
          <w:rFonts w:eastAsia="Times New Roman"/>
          <w:szCs w:val="24"/>
        </w:rPr>
        <w:t>jednotlivých národů nejsou konfliktní, ale harmonické</w:t>
      </w:r>
    </w:p>
    <w:p w14:paraId="4A6F4804" w14:textId="77777777" w:rsidR="008E0F74" w:rsidRPr="00FC3B7C" w:rsidRDefault="00256F29" w:rsidP="00D04EF9">
      <w:pPr>
        <w:ind w:left="1120" w:hanging="357"/>
        <w:rPr>
          <w:sz w:val="20"/>
          <w:szCs w:val="20"/>
        </w:rPr>
      </w:pPr>
      <w:r w:rsidRPr="00FC3B7C">
        <w:rPr>
          <w:rFonts w:eastAsia="Arial"/>
          <w:szCs w:val="24"/>
        </w:rPr>
        <w:t xml:space="preserve">– </w:t>
      </w:r>
      <w:r w:rsidRPr="00FC3B7C">
        <w:rPr>
          <w:rFonts w:eastAsia="Times New Roman"/>
          <w:szCs w:val="24"/>
        </w:rPr>
        <w:t>východiskem byla Smithova</w:t>
      </w:r>
      <w:r w:rsidRPr="00FC3B7C">
        <w:rPr>
          <w:rFonts w:eastAsia="Arial"/>
          <w:szCs w:val="24"/>
        </w:rPr>
        <w:t xml:space="preserve"> </w:t>
      </w:r>
      <w:r w:rsidRPr="00FC3B7C">
        <w:rPr>
          <w:rFonts w:eastAsia="Times New Roman"/>
          <w:b/>
          <w:bCs/>
          <w:szCs w:val="24"/>
        </w:rPr>
        <w:t>neviditelná ruka trhu</w:t>
      </w:r>
      <w:r w:rsidRPr="00FC3B7C">
        <w:rPr>
          <w:rFonts w:eastAsia="Times New Roman"/>
          <w:szCs w:val="24"/>
        </w:rPr>
        <w:t>, o které pojednává ve svém</w:t>
      </w:r>
      <w:r w:rsidRPr="00FC3B7C">
        <w:rPr>
          <w:rFonts w:eastAsia="Arial"/>
          <w:szCs w:val="24"/>
        </w:rPr>
        <w:t xml:space="preserve"> </w:t>
      </w:r>
      <w:r w:rsidRPr="00FC3B7C">
        <w:rPr>
          <w:rFonts w:eastAsia="Times New Roman"/>
          <w:szCs w:val="24"/>
        </w:rPr>
        <w:t>nejznámějším díle „Pojednání o podstatě a původu bohatství národů“ - „Tím, že jedinec sleduje vlastní zájmy, nejednou prospěje zájmům společnosti více, než kdyby jim chtěl skutečně prospět.“</w:t>
      </w:r>
    </w:p>
    <w:p w14:paraId="4A6F4805" w14:textId="491B0BBD" w:rsidR="008E0F74" w:rsidRPr="00FC3B7C" w:rsidRDefault="00256F29" w:rsidP="00D04EF9">
      <w:pPr>
        <w:ind w:left="760"/>
        <w:rPr>
          <w:sz w:val="20"/>
          <w:szCs w:val="20"/>
        </w:rPr>
      </w:pPr>
      <w:r w:rsidRPr="00FC3B7C">
        <w:rPr>
          <w:rFonts w:eastAsia="Arial"/>
          <w:szCs w:val="24"/>
        </w:rPr>
        <w:t>–</w:t>
      </w:r>
      <w:r w:rsidR="003376E1">
        <w:rPr>
          <w:rFonts w:eastAsia="Arial"/>
          <w:szCs w:val="24"/>
        </w:rPr>
        <w:t xml:space="preserve"> </w:t>
      </w:r>
      <w:r w:rsidRPr="00FC3B7C">
        <w:rPr>
          <w:rFonts w:eastAsia="Times New Roman"/>
          <w:szCs w:val="24"/>
        </w:rPr>
        <w:t>neviditelná ruka znázorňuje ideu harmonie individuálního a společenského zájmu</w:t>
      </w:r>
    </w:p>
    <w:p w14:paraId="4A6F4806" w14:textId="77777777" w:rsidR="008E0F74" w:rsidRPr="00FC3B7C" w:rsidRDefault="00256F29" w:rsidP="00D04EF9">
      <w:pPr>
        <w:ind w:left="1120" w:hanging="357"/>
        <w:rPr>
          <w:sz w:val="20"/>
          <w:szCs w:val="20"/>
        </w:rPr>
      </w:pPr>
      <w:r w:rsidRPr="00FC3B7C">
        <w:rPr>
          <w:rFonts w:eastAsia="Arial"/>
          <w:szCs w:val="24"/>
        </w:rPr>
        <w:t xml:space="preserve">– </w:t>
      </w:r>
      <w:r w:rsidRPr="00FC3B7C">
        <w:rPr>
          <w:rFonts w:eastAsia="Times New Roman"/>
          <w:b/>
          <w:bCs/>
          <w:szCs w:val="24"/>
        </w:rPr>
        <w:t>J. B. Say</w:t>
      </w:r>
      <w:r w:rsidRPr="00FC3B7C">
        <w:rPr>
          <w:rFonts w:eastAsia="Arial"/>
          <w:szCs w:val="24"/>
        </w:rPr>
        <w:t xml:space="preserve"> </w:t>
      </w:r>
      <w:r w:rsidRPr="00FC3B7C">
        <w:rPr>
          <w:rFonts w:eastAsia="Times New Roman"/>
          <w:szCs w:val="24"/>
        </w:rPr>
        <w:t>přišel se zákonem vnitřní stability tržního hospodářství. Podle něj se od</w:t>
      </w:r>
      <w:r w:rsidRPr="00FC3B7C">
        <w:rPr>
          <w:rFonts w:eastAsia="Arial"/>
          <w:szCs w:val="24"/>
        </w:rPr>
        <w:t xml:space="preserve"> </w:t>
      </w:r>
      <w:r w:rsidRPr="00FC3B7C">
        <w:rPr>
          <w:rFonts w:eastAsia="Times New Roman"/>
          <w:szCs w:val="24"/>
        </w:rPr>
        <w:t>sebe nemohou odlišovat agregátní poptávka a agregátní nabídka, co do celkové výše (AD=AS), mohou se lišit pouze D a S na různých trzích (jejich rozdíl je ale kompenzován opačným rozdílem na jiném trhu)</w:t>
      </w:r>
    </w:p>
    <w:p w14:paraId="4A6F4807" w14:textId="77777777" w:rsidR="008E0F74" w:rsidRPr="00FC3B7C" w:rsidRDefault="00256F29" w:rsidP="00D04EF9">
      <w:pPr>
        <w:ind w:left="1120" w:hanging="357"/>
        <w:rPr>
          <w:sz w:val="20"/>
          <w:szCs w:val="20"/>
        </w:rPr>
      </w:pPr>
      <w:r w:rsidRPr="00FC3B7C">
        <w:rPr>
          <w:rFonts w:eastAsia="Arial"/>
          <w:szCs w:val="24"/>
        </w:rPr>
        <w:t xml:space="preserve">– </w:t>
      </w:r>
      <w:r w:rsidRPr="00FC3B7C">
        <w:rPr>
          <w:rFonts w:eastAsia="Times New Roman"/>
          <w:szCs w:val="24"/>
        </w:rPr>
        <w:t>optimistický</w:t>
      </w:r>
      <w:r w:rsidRPr="00FC3B7C">
        <w:rPr>
          <w:rFonts w:eastAsia="Arial"/>
          <w:szCs w:val="24"/>
        </w:rPr>
        <w:t xml:space="preserve"> </w:t>
      </w:r>
      <w:r w:rsidRPr="00FC3B7C">
        <w:rPr>
          <w:rFonts w:eastAsia="Times New Roman"/>
          <w:szCs w:val="24"/>
        </w:rPr>
        <w:t>pohled</w:t>
      </w:r>
      <w:r w:rsidRPr="00FC3B7C">
        <w:rPr>
          <w:rFonts w:eastAsia="Arial"/>
          <w:szCs w:val="24"/>
        </w:rPr>
        <w:t xml:space="preserve"> </w:t>
      </w:r>
      <w:r w:rsidRPr="00FC3B7C">
        <w:rPr>
          <w:rFonts w:eastAsia="Times New Roman"/>
          <w:b/>
          <w:bCs/>
          <w:szCs w:val="24"/>
        </w:rPr>
        <w:t>Adama Smitha</w:t>
      </w:r>
      <w:r w:rsidRPr="00FC3B7C">
        <w:rPr>
          <w:rFonts w:eastAsia="Arial"/>
          <w:szCs w:val="24"/>
        </w:rPr>
        <w:t xml:space="preserve"> </w:t>
      </w:r>
      <w:r w:rsidRPr="00FC3B7C">
        <w:rPr>
          <w:rFonts w:eastAsia="Times New Roman"/>
          <w:szCs w:val="24"/>
        </w:rPr>
        <w:t>byl později vystřídán pesimismem</w:t>
      </w:r>
      <w:r w:rsidRPr="00FC3B7C">
        <w:rPr>
          <w:rFonts w:eastAsia="Arial"/>
          <w:szCs w:val="24"/>
        </w:rPr>
        <w:t xml:space="preserve"> </w:t>
      </w:r>
      <w:r w:rsidRPr="00FC3B7C">
        <w:rPr>
          <w:rFonts w:eastAsia="Times New Roman"/>
          <w:b/>
          <w:bCs/>
          <w:szCs w:val="24"/>
        </w:rPr>
        <w:t>Malthuse</w:t>
      </w:r>
      <w:r w:rsidRPr="00FC3B7C">
        <w:rPr>
          <w:rFonts w:eastAsia="Arial"/>
          <w:szCs w:val="24"/>
        </w:rPr>
        <w:t xml:space="preserve"> </w:t>
      </w:r>
      <w:r w:rsidRPr="00FC3B7C">
        <w:rPr>
          <w:rFonts w:eastAsia="Times New Roman"/>
          <w:szCs w:val="24"/>
        </w:rPr>
        <w:t xml:space="preserve">a </w:t>
      </w:r>
      <w:r w:rsidRPr="00FC3B7C">
        <w:rPr>
          <w:rFonts w:eastAsia="Times New Roman"/>
          <w:b/>
          <w:bCs/>
          <w:szCs w:val="24"/>
        </w:rPr>
        <w:t>Ricarda</w:t>
      </w:r>
      <w:r w:rsidRPr="00FC3B7C">
        <w:rPr>
          <w:rFonts w:eastAsia="Times New Roman"/>
          <w:szCs w:val="24"/>
        </w:rPr>
        <w:t xml:space="preserve"> v podobě populačního zákona, zákona klesajících výnosů v zemědělství a zákona klesající míry zisku, která ústila ve vizi stagnace</w:t>
      </w:r>
    </w:p>
    <w:p w14:paraId="4A6F4808" w14:textId="77777777" w:rsidR="008E0F74" w:rsidRPr="00FC3B7C" w:rsidRDefault="008E0F74">
      <w:pPr>
        <w:spacing w:line="182" w:lineRule="exact"/>
        <w:rPr>
          <w:sz w:val="20"/>
          <w:szCs w:val="20"/>
        </w:rPr>
      </w:pPr>
    </w:p>
    <w:p w14:paraId="4A6F4809" w14:textId="77777777" w:rsidR="008E0F74" w:rsidRPr="00EE01FF" w:rsidRDefault="00D04EF9" w:rsidP="00D04EF9">
      <w:pPr>
        <w:pStyle w:val="Nadpis3"/>
        <w:rPr>
          <w:color w:val="1F3864" w:themeColor="accent1" w:themeShade="80"/>
          <w:sz w:val="20"/>
          <w:szCs w:val="20"/>
        </w:rPr>
      </w:pPr>
      <w:r w:rsidRPr="00EE01FF">
        <w:rPr>
          <w:rFonts w:eastAsia="Times New Roman"/>
          <w:color w:val="1F3864" w:themeColor="accent1" w:themeShade="80"/>
        </w:rPr>
        <w:t xml:space="preserve"> </w:t>
      </w:r>
      <w:r w:rsidR="00256F29" w:rsidRPr="00EE01FF">
        <w:rPr>
          <w:rFonts w:eastAsia="Times New Roman"/>
          <w:color w:val="1F3864" w:themeColor="accent1" w:themeShade="80"/>
        </w:rPr>
        <w:t>Německá historická škola</w:t>
      </w:r>
    </w:p>
    <w:p w14:paraId="4A6F480A" w14:textId="77777777" w:rsidR="008E0F74" w:rsidRPr="00FC3B7C" w:rsidRDefault="00256F29" w:rsidP="00D46B53">
      <w:pPr>
        <w:numPr>
          <w:ilvl w:val="0"/>
          <w:numId w:val="290"/>
        </w:numPr>
        <w:tabs>
          <w:tab w:val="left" w:pos="1120"/>
        </w:tabs>
        <w:ind w:left="1120" w:hanging="367"/>
        <w:rPr>
          <w:rFonts w:eastAsia="Times New Roman"/>
          <w:szCs w:val="24"/>
        </w:rPr>
      </w:pPr>
      <w:r w:rsidRPr="00FC3B7C">
        <w:rPr>
          <w:rFonts w:eastAsia="Times New Roman"/>
          <w:szCs w:val="24"/>
        </w:rPr>
        <w:t xml:space="preserve">učení založeno na tzv. </w:t>
      </w:r>
      <w:r w:rsidRPr="00FC3B7C">
        <w:rPr>
          <w:rFonts w:eastAsia="Times New Roman"/>
          <w:b/>
          <w:bCs/>
          <w:szCs w:val="24"/>
        </w:rPr>
        <w:t>historické metodě</w:t>
      </w:r>
    </w:p>
    <w:p w14:paraId="4A6F480B" w14:textId="77777777" w:rsidR="008E0F74" w:rsidRPr="00FC3B7C" w:rsidRDefault="00256F29" w:rsidP="00D46B53">
      <w:pPr>
        <w:numPr>
          <w:ilvl w:val="0"/>
          <w:numId w:val="290"/>
        </w:numPr>
        <w:tabs>
          <w:tab w:val="left" w:pos="1120"/>
        </w:tabs>
        <w:ind w:left="1120" w:hanging="367"/>
        <w:rPr>
          <w:rFonts w:eastAsia="Times New Roman"/>
          <w:szCs w:val="24"/>
        </w:rPr>
      </w:pPr>
      <w:r w:rsidRPr="00FC3B7C">
        <w:rPr>
          <w:rFonts w:eastAsia="Times New Roman"/>
          <w:szCs w:val="24"/>
        </w:rPr>
        <w:t>její představitelé vyzvedli ideu národní ekonomie - podle jejich názoru všeobecná ekonomická teorie neexistuje</w:t>
      </w:r>
    </w:p>
    <w:p w14:paraId="4A6F480C" w14:textId="77777777" w:rsidR="008E0F74" w:rsidRPr="00FC3B7C" w:rsidRDefault="00256F29" w:rsidP="00D46B53">
      <w:pPr>
        <w:numPr>
          <w:ilvl w:val="0"/>
          <w:numId w:val="291"/>
        </w:numPr>
        <w:tabs>
          <w:tab w:val="left" w:pos="1120"/>
        </w:tabs>
        <w:ind w:left="1120" w:hanging="367"/>
        <w:rPr>
          <w:rFonts w:eastAsia="Times New Roman"/>
          <w:szCs w:val="24"/>
        </w:rPr>
      </w:pPr>
      <w:bookmarkStart w:id="319" w:name="page349"/>
      <w:bookmarkEnd w:id="319"/>
      <w:r w:rsidRPr="00FC3B7C">
        <w:rPr>
          <w:rFonts w:eastAsia="Times New Roman"/>
          <w:szCs w:val="24"/>
        </w:rPr>
        <w:t>charakteristickou byla podpora protekcionismu a zasahování státu do hospodářství</w:t>
      </w:r>
    </w:p>
    <w:p w14:paraId="4A6F480D" w14:textId="77777777" w:rsidR="008E0F74" w:rsidRPr="00FC3B7C" w:rsidRDefault="00256F29" w:rsidP="00D46B53">
      <w:pPr>
        <w:numPr>
          <w:ilvl w:val="0"/>
          <w:numId w:val="291"/>
        </w:numPr>
        <w:tabs>
          <w:tab w:val="left" w:pos="1120"/>
        </w:tabs>
        <w:ind w:left="1120" w:hanging="367"/>
        <w:rPr>
          <w:rFonts w:eastAsia="Times New Roman"/>
          <w:szCs w:val="24"/>
        </w:rPr>
      </w:pPr>
      <w:r w:rsidRPr="00FC3B7C">
        <w:rPr>
          <w:rFonts w:eastAsia="Times New Roman"/>
          <w:szCs w:val="24"/>
        </w:rPr>
        <w:t>stát pro ně byl nejvýznamnější institucí</w:t>
      </w:r>
    </w:p>
    <w:p w14:paraId="4A6F480E" w14:textId="77777777" w:rsidR="008E0F74" w:rsidRDefault="00256F29" w:rsidP="00D46B53">
      <w:pPr>
        <w:numPr>
          <w:ilvl w:val="0"/>
          <w:numId w:val="291"/>
        </w:numPr>
        <w:tabs>
          <w:tab w:val="left" w:pos="1120"/>
        </w:tabs>
        <w:ind w:left="1120" w:hanging="367"/>
        <w:rPr>
          <w:rFonts w:eastAsia="Times New Roman"/>
          <w:szCs w:val="24"/>
        </w:rPr>
      </w:pPr>
      <w:r w:rsidRPr="00FC3B7C">
        <w:rPr>
          <w:rFonts w:eastAsia="Times New Roman"/>
          <w:szCs w:val="24"/>
        </w:rPr>
        <w:t>selhání trhu spatřovali v oblasti sociální, neboť v důsledku absence etických</w:t>
      </w:r>
      <w:r w:rsidR="00D04EF9">
        <w:rPr>
          <w:rFonts w:eastAsia="Times New Roman"/>
          <w:szCs w:val="24"/>
        </w:rPr>
        <w:br/>
      </w:r>
      <w:r w:rsidRPr="00FC3B7C">
        <w:rPr>
          <w:rFonts w:eastAsia="Times New Roman"/>
          <w:szCs w:val="24"/>
        </w:rPr>
        <w:t xml:space="preserve"> a morálních principů dochází k nesouměrnému sociálněekonomickému rozvoji</w:t>
      </w:r>
    </w:p>
    <w:p w14:paraId="4A6F480F" w14:textId="77777777" w:rsidR="008E0F74" w:rsidRPr="00D04EF9" w:rsidRDefault="00256F29" w:rsidP="00D46B53">
      <w:pPr>
        <w:numPr>
          <w:ilvl w:val="0"/>
          <w:numId w:val="291"/>
        </w:numPr>
        <w:tabs>
          <w:tab w:val="left" w:pos="1120"/>
        </w:tabs>
        <w:ind w:left="1120" w:hanging="367"/>
        <w:rPr>
          <w:rFonts w:eastAsia="Times New Roman"/>
          <w:szCs w:val="24"/>
        </w:rPr>
      </w:pPr>
      <w:r w:rsidRPr="00D04EF9">
        <w:rPr>
          <w:rFonts w:eastAsia="Times New Roman"/>
          <w:szCs w:val="24"/>
        </w:rPr>
        <w:t>hlásali sociální reformy, které měly např. podobu odstranění práce dětí, omezení práce žen, dodržování dnů pracovního volna či zřízení smírčích soudů.</w:t>
      </w:r>
    </w:p>
    <w:p w14:paraId="4A6F4810" w14:textId="77777777" w:rsidR="008E0F74" w:rsidRPr="00FC3B7C" w:rsidRDefault="00256F29" w:rsidP="00D46B53">
      <w:pPr>
        <w:numPr>
          <w:ilvl w:val="0"/>
          <w:numId w:val="291"/>
        </w:numPr>
        <w:tabs>
          <w:tab w:val="left" w:pos="1120"/>
        </w:tabs>
        <w:ind w:left="1120" w:hanging="367"/>
        <w:rPr>
          <w:rFonts w:eastAsia="Times New Roman"/>
          <w:szCs w:val="24"/>
        </w:rPr>
      </w:pPr>
      <w:r w:rsidRPr="00FC3B7C">
        <w:rPr>
          <w:rFonts w:eastAsia="Times New Roman"/>
          <w:szCs w:val="24"/>
        </w:rPr>
        <w:t>představitelé: Fridrich List, Gustav von Schmoller, Max Weber</w:t>
      </w:r>
    </w:p>
    <w:p w14:paraId="4A6F4811" w14:textId="1C907FA9" w:rsidR="008E0F74" w:rsidRPr="00EE01FF" w:rsidRDefault="00EE01FF" w:rsidP="00D04EF9">
      <w:pPr>
        <w:pStyle w:val="Nadpis3"/>
        <w:rPr>
          <w:color w:val="1F3864" w:themeColor="accent1" w:themeShade="80"/>
          <w:sz w:val="20"/>
          <w:szCs w:val="20"/>
        </w:rPr>
      </w:pPr>
      <w:r w:rsidRPr="00EE01FF">
        <w:rPr>
          <w:rFonts w:eastAsia="Times New Roman"/>
          <w:color w:val="1F3864" w:themeColor="accent1" w:themeShade="80"/>
        </w:rPr>
        <w:lastRenderedPageBreak/>
        <w:t xml:space="preserve"> </w:t>
      </w:r>
      <w:r w:rsidR="00256F29" w:rsidRPr="00EE01FF">
        <w:rPr>
          <w:rFonts w:eastAsia="Times New Roman"/>
          <w:color w:val="1F3864" w:themeColor="accent1" w:themeShade="80"/>
        </w:rPr>
        <w:t>Karl Marx</w:t>
      </w:r>
    </w:p>
    <w:p w14:paraId="4A6F4812" w14:textId="77777777" w:rsidR="008E0F74" w:rsidRPr="00FC3B7C" w:rsidRDefault="00256F29" w:rsidP="00D46B53">
      <w:pPr>
        <w:numPr>
          <w:ilvl w:val="0"/>
          <w:numId w:val="292"/>
        </w:numPr>
        <w:tabs>
          <w:tab w:val="left" w:pos="1120"/>
        </w:tabs>
        <w:ind w:left="1120" w:hanging="367"/>
        <w:rPr>
          <w:rFonts w:eastAsia="Times New Roman"/>
          <w:szCs w:val="24"/>
        </w:rPr>
      </w:pPr>
      <w:r w:rsidRPr="00FC3B7C">
        <w:rPr>
          <w:rFonts w:eastAsia="Times New Roman"/>
          <w:szCs w:val="24"/>
        </w:rPr>
        <w:t>někdy je považován za posledního klasika, ale jeho názory jsou již velmi odlišné</w:t>
      </w:r>
    </w:p>
    <w:p w14:paraId="4A6F4813" w14:textId="77777777" w:rsidR="008E0F74" w:rsidRPr="00FC3B7C" w:rsidRDefault="00256F29" w:rsidP="00D46B53">
      <w:pPr>
        <w:numPr>
          <w:ilvl w:val="0"/>
          <w:numId w:val="292"/>
        </w:numPr>
        <w:tabs>
          <w:tab w:val="left" w:pos="1120"/>
        </w:tabs>
        <w:ind w:left="1120" w:hanging="367"/>
        <w:rPr>
          <w:rFonts w:eastAsia="Times New Roman"/>
          <w:szCs w:val="24"/>
        </w:rPr>
      </w:pPr>
      <w:r w:rsidRPr="00FC3B7C">
        <w:rPr>
          <w:rFonts w:eastAsia="Times New Roman"/>
          <w:szCs w:val="24"/>
        </w:rPr>
        <w:t>s Engelsem napsal dílo Komunistický manifest</w:t>
      </w:r>
    </w:p>
    <w:p w14:paraId="4A6F4814" w14:textId="77777777" w:rsidR="008E0F74" w:rsidRPr="00FC3B7C" w:rsidRDefault="00256F29" w:rsidP="00D46B53">
      <w:pPr>
        <w:numPr>
          <w:ilvl w:val="0"/>
          <w:numId w:val="292"/>
        </w:numPr>
        <w:tabs>
          <w:tab w:val="left" w:pos="1120"/>
        </w:tabs>
        <w:ind w:left="1120" w:hanging="367"/>
        <w:rPr>
          <w:rFonts w:eastAsia="Times New Roman"/>
          <w:szCs w:val="24"/>
        </w:rPr>
      </w:pPr>
      <w:r w:rsidRPr="00FC3B7C">
        <w:rPr>
          <w:rFonts w:eastAsia="Times New Roman"/>
          <w:szCs w:val="24"/>
        </w:rPr>
        <w:t>odpor proti filosofii přirozených zákonů</w:t>
      </w:r>
    </w:p>
    <w:p w14:paraId="4A6F4815" w14:textId="77777777" w:rsidR="008E0F74" w:rsidRPr="00FC3B7C" w:rsidRDefault="00256F29" w:rsidP="00D46B53">
      <w:pPr>
        <w:numPr>
          <w:ilvl w:val="0"/>
          <w:numId w:val="292"/>
        </w:numPr>
        <w:tabs>
          <w:tab w:val="left" w:pos="1120"/>
        </w:tabs>
        <w:ind w:left="1120" w:hanging="367"/>
        <w:rPr>
          <w:rFonts w:eastAsia="Times New Roman"/>
          <w:szCs w:val="24"/>
        </w:rPr>
      </w:pPr>
      <w:r w:rsidRPr="00FC3B7C">
        <w:rPr>
          <w:rFonts w:eastAsia="Times New Roman"/>
          <w:szCs w:val="24"/>
        </w:rPr>
        <w:t>vykořisťování – založeno na soukromém vlastnictví</w:t>
      </w:r>
    </w:p>
    <w:p w14:paraId="4A6F4816" w14:textId="77777777" w:rsidR="008E0F74" w:rsidRPr="00FC3B7C" w:rsidRDefault="00256F29" w:rsidP="00D46B53">
      <w:pPr>
        <w:numPr>
          <w:ilvl w:val="0"/>
          <w:numId w:val="292"/>
        </w:numPr>
        <w:tabs>
          <w:tab w:val="left" w:pos="1120"/>
        </w:tabs>
        <w:ind w:left="1120" w:hanging="367"/>
        <w:rPr>
          <w:rFonts w:eastAsia="Times New Roman"/>
          <w:szCs w:val="24"/>
        </w:rPr>
      </w:pPr>
      <w:r w:rsidRPr="00FC3B7C">
        <w:rPr>
          <w:rFonts w:eastAsia="Times New Roman"/>
          <w:szCs w:val="24"/>
        </w:rPr>
        <w:t>vykořisťování nelze odstranit uvnitř systému žádnou reformou → je možné ho odstranit rozbitím systému</w:t>
      </w:r>
    </w:p>
    <w:p w14:paraId="4A6F4818" w14:textId="66AF390E" w:rsidR="008E0F74" w:rsidRPr="00EF1F53" w:rsidRDefault="00256F29" w:rsidP="00D46B53">
      <w:pPr>
        <w:numPr>
          <w:ilvl w:val="0"/>
          <w:numId w:val="292"/>
        </w:numPr>
        <w:tabs>
          <w:tab w:val="left" w:pos="1120"/>
        </w:tabs>
        <w:spacing w:after="240"/>
        <w:ind w:left="1120" w:hanging="367"/>
        <w:rPr>
          <w:rFonts w:eastAsia="Times New Roman"/>
          <w:szCs w:val="24"/>
        </w:rPr>
      </w:pPr>
      <w:r w:rsidRPr="00FC3B7C">
        <w:rPr>
          <w:rFonts w:eastAsia="Times New Roman"/>
          <w:szCs w:val="24"/>
        </w:rPr>
        <w:t>použil (zneužil) Ricardovu ekonomii k podpoření svých teorií</w:t>
      </w:r>
    </w:p>
    <w:p w14:paraId="4A6F4819" w14:textId="77777777" w:rsidR="008E0F74" w:rsidRPr="00EE01FF" w:rsidRDefault="00D04EF9" w:rsidP="00D04EF9">
      <w:pPr>
        <w:pStyle w:val="Nadpis3"/>
        <w:rPr>
          <w:color w:val="1F3864" w:themeColor="accent1" w:themeShade="80"/>
          <w:sz w:val="20"/>
          <w:szCs w:val="20"/>
        </w:rPr>
      </w:pPr>
      <w:r w:rsidRPr="00EE01FF">
        <w:rPr>
          <w:rFonts w:eastAsia="Times New Roman"/>
          <w:color w:val="1F3864" w:themeColor="accent1" w:themeShade="80"/>
        </w:rPr>
        <w:t xml:space="preserve"> </w:t>
      </w:r>
      <w:r w:rsidR="00256F29" w:rsidRPr="00EE01FF">
        <w:rPr>
          <w:rFonts w:eastAsia="Times New Roman"/>
          <w:color w:val="1F3864" w:themeColor="accent1" w:themeShade="80"/>
        </w:rPr>
        <w:t>Rakouská škola</w:t>
      </w:r>
    </w:p>
    <w:p w14:paraId="4A6F481A" w14:textId="77777777" w:rsidR="008E0F74" w:rsidRPr="00FC3B7C" w:rsidRDefault="00256F29" w:rsidP="00D46B53">
      <w:pPr>
        <w:numPr>
          <w:ilvl w:val="0"/>
          <w:numId w:val="293"/>
        </w:numPr>
        <w:tabs>
          <w:tab w:val="left" w:pos="1120"/>
        </w:tabs>
        <w:ind w:left="1120" w:hanging="367"/>
        <w:rPr>
          <w:rFonts w:eastAsia="Times New Roman"/>
          <w:szCs w:val="24"/>
        </w:rPr>
      </w:pPr>
      <w:r w:rsidRPr="00FC3B7C">
        <w:rPr>
          <w:rFonts w:eastAsia="Times New Roman"/>
          <w:szCs w:val="24"/>
        </w:rPr>
        <w:t>škola vychází z metodologického individualismu a subjektivismu</w:t>
      </w:r>
    </w:p>
    <w:p w14:paraId="4A6F481B" w14:textId="77777777" w:rsidR="008E0F74" w:rsidRPr="00FC3B7C" w:rsidRDefault="00256F29" w:rsidP="00D46B53">
      <w:pPr>
        <w:numPr>
          <w:ilvl w:val="0"/>
          <w:numId w:val="293"/>
        </w:numPr>
        <w:tabs>
          <w:tab w:val="left" w:pos="1120"/>
        </w:tabs>
        <w:ind w:left="1120" w:hanging="367"/>
        <w:rPr>
          <w:rFonts w:eastAsia="Times New Roman"/>
          <w:szCs w:val="24"/>
        </w:rPr>
      </w:pPr>
      <w:r w:rsidRPr="00FC3B7C">
        <w:rPr>
          <w:rFonts w:eastAsia="Times New Roman"/>
          <w:szCs w:val="24"/>
        </w:rPr>
        <w:t>přesvědčení zastánci hospodářského liberalismu a zapřisáhlí odpůrci státního intervencionistu</w:t>
      </w:r>
    </w:p>
    <w:p w14:paraId="4A6F481C" w14:textId="77777777" w:rsidR="008E0F74" w:rsidRPr="00FC3B7C" w:rsidRDefault="00256F29" w:rsidP="00D46B53">
      <w:pPr>
        <w:numPr>
          <w:ilvl w:val="0"/>
          <w:numId w:val="293"/>
        </w:numPr>
        <w:tabs>
          <w:tab w:val="left" w:pos="1120"/>
        </w:tabs>
        <w:ind w:left="1120" w:hanging="367"/>
        <w:rPr>
          <w:rFonts w:eastAsia="Times New Roman"/>
          <w:szCs w:val="24"/>
        </w:rPr>
      </w:pPr>
      <w:r w:rsidRPr="00FC3B7C">
        <w:rPr>
          <w:rFonts w:eastAsia="Times New Roman"/>
          <w:szCs w:val="24"/>
        </w:rPr>
        <w:t>většinu potíží přičítali státnímu intervencionistu</w:t>
      </w:r>
    </w:p>
    <w:p w14:paraId="4A6F481D" w14:textId="77777777" w:rsidR="008E0F74" w:rsidRPr="00FC3B7C" w:rsidRDefault="00256F29" w:rsidP="00D46B53">
      <w:pPr>
        <w:numPr>
          <w:ilvl w:val="0"/>
          <w:numId w:val="293"/>
        </w:numPr>
        <w:tabs>
          <w:tab w:val="left" w:pos="1120"/>
        </w:tabs>
        <w:ind w:left="1120" w:hanging="367"/>
        <w:rPr>
          <w:rFonts w:eastAsia="Times New Roman"/>
          <w:szCs w:val="24"/>
        </w:rPr>
      </w:pPr>
      <w:r w:rsidRPr="00FC3B7C">
        <w:rPr>
          <w:rFonts w:eastAsia="Times New Roman"/>
          <w:szCs w:val="24"/>
        </w:rPr>
        <w:t>odmítají pojem tržní selhání</w:t>
      </w:r>
    </w:p>
    <w:p w14:paraId="4A6F481E" w14:textId="77777777" w:rsidR="008E0F74" w:rsidRPr="00FC3B7C" w:rsidRDefault="00256F29" w:rsidP="00D46B53">
      <w:pPr>
        <w:numPr>
          <w:ilvl w:val="0"/>
          <w:numId w:val="293"/>
        </w:numPr>
        <w:tabs>
          <w:tab w:val="left" w:pos="1120"/>
        </w:tabs>
        <w:ind w:left="1120" w:hanging="367"/>
        <w:rPr>
          <w:rFonts w:eastAsia="Times New Roman"/>
          <w:szCs w:val="24"/>
        </w:rPr>
      </w:pPr>
      <w:r w:rsidRPr="00FC3B7C">
        <w:rPr>
          <w:rFonts w:eastAsia="Times New Roman"/>
          <w:szCs w:val="24"/>
        </w:rPr>
        <w:t>představitelé: Ludwig von Mises, Friedrich August von Hayek</w:t>
      </w:r>
    </w:p>
    <w:p w14:paraId="4A6F481F" w14:textId="77777777" w:rsidR="008E0F74" w:rsidRPr="00FC3B7C" w:rsidRDefault="00256F29" w:rsidP="00D46B53">
      <w:pPr>
        <w:numPr>
          <w:ilvl w:val="0"/>
          <w:numId w:val="293"/>
        </w:numPr>
        <w:tabs>
          <w:tab w:val="left" w:pos="1120"/>
        </w:tabs>
        <w:ind w:left="1120" w:hanging="367"/>
        <w:rPr>
          <w:rFonts w:eastAsia="Times New Roman"/>
          <w:szCs w:val="24"/>
        </w:rPr>
      </w:pPr>
      <w:r w:rsidRPr="00FC3B7C">
        <w:rPr>
          <w:rFonts w:eastAsia="Times New Roman"/>
          <w:szCs w:val="24"/>
        </w:rPr>
        <w:t>Hayek se proslavil svým sporem o ekonomickou kalkulaci v socialismu – jako argument její nemožnosti použil teorii rozptýlené znalosti</w:t>
      </w:r>
    </w:p>
    <w:p w14:paraId="4A6F4820" w14:textId="77777777" w:rsidR="008E0F74" w:rsidRPr="00FC3B7C" w:rsidRDefault="00256F29" w:rsidP="00D46B53">
      <w:pPr>
        <w:numPr>
          <w:ilvl w:val="0"/>
          <w:numId w:val="293"/>
        </w:numPr>
        <w:tabs>
          <w:tab w:val="left" w:pos="1120"/>
        </w:tabs>
        <w:ind w:left="1120" w:hanging="367"/>
        <w:rPr>
          <w:rFonts w:eastAsia="Times New Roman"/>
          <w:szCs w:val="24"/>
        </w:rPr>
      </w:pPr>
      <w:r w:rsidRPr="00FC3B7C">
        <w:rPr>
          <w:rFonts w:eastAsia="Times New Roman"/>
          <w:szCs w:val="24"/>
        </w:rPr>
        <w:t>státní zásahy, vládní regulace – intervenují do volných směn → zhoršují fungování trhů, likvidují tržní příležitosti</w:t>
      </w:r>
    </w:p>
    <w:p w14:paraId="4A6F4821" w14:textId="77777777" w:rsidR="008E0F74" w:rsidRPr="00FC3B7C" w:rsidRDefault="00256F29" w:rsidP="00D46B53">
      <w:pPr>
        <w:numPr>
          <w:ilvl w:val="0"/>
          <w:numId w:val="293"/>
        </w:numPr>
        <w:tabs>
          <w:tab w:val="left" w:pos="1120"/>
        </w:tabs>
        <w:ind w:left="1120" w:hanging="367"/>
        <w:rPr>
          <w:rFonts w:eastAsia="Times New Roman"/>
          <w:szCs w:val="24"/>
        </w:rPr>
      </w:pPr>
      <w:r w:rsidRPr="00FC3B7C">
        <w:rPr>
          <w:rFonts w:eastAsia="Times New Roman"/>
          <w:szCs w:val="24"/>
        </w:rPr>
        <w:t>problematikou státního intervencionistu a konkurence se zabývali a rozvíjeli ji především mladší představitelé škol y, mezi které se řadí Ludwig M. Lachmann, Israel M. Kirzner a Murray N. Rothbard</w:t>
      </w:r>
    </w:p>
    <w:p w14:paraId="4A6F4822" w14:textId="77777777" w:rsidR="008E0F74" w:rsidRPr="00FC3B7C" w:rsidRDefault="00256F29" w:rsidP="00D46B53">
      <w:pPr>
        <w:numPr>
          <w:ilvl w:val="0"/>
          <w:numId w:val="294"/>
        </w:numPr>
        <w:tabs>
          <w:tab w:val="left" w:pos="1120"/>
        </w:tabs>
        <w:ind w:left="1120" w:hanging="367"/>
        <w:rPr>
          <w:rFonts w:eastAsia="Times New Roman"/>
          <w:szCs w:val="24"/>
        </w:rPr>
      </w:pPr>
      <w:bookmarkStart w:id="320" w:name="page350"/>
      <w:bookmarkEnd w:id="320"/>
      <w:r w:rsidRPr="00FC3B7C">
        <w:rPr>
          <w:rFonts w:eastAsia="Times New Roman"/>
          <w:szCs w:val="24"/>
        </w:rPr>
        <w:t>Kirzner vytvořil teorii podnikatelského objevování, která přináší silné argumenty proti státním intervencím do ekonomiky</w:t>
      </w:r>
    </w:p>
    <w:p w14:paraId="4A6F4823" w14:textId="77777777" w:rsidR="008E0F74" w:rsidRPr="00FC3B7C" w:rsidRDefault="008E0F74">
      <w:pPr>
        <w:spacing w:line="169" w:lineRule="exact"/>
        <w:rPr>
          <w:sz w:val="20"/>
          <w:szCs w:val="20"/>
        </w:rPr>
      </w:pPr>
    </w:p>
    <w:p w14:paraId="4A6F4824" w14:textId="4F87B08A" w:rsidR="008E0F74" w:rsidRPr="00EE01FF" w:rsidRDefault="00EE01FF" w:rsidP="00D04EF9">
      <w:pPr>
        <w:pStyle w:val="Nadpis3"/>
        <w:rPr>
          <w:color w:val="1F3864" w:themeColor="accent1" w:themeShade="80"/>
          <w:sz w:val="20"/>
          <w:szCs w:val="20"/>
        </w:rPr>
      </w:pPr>
      <w:r w:rsidRPr="00EE01FF">
        <w:rPr>
          <w:rFonts w:eastAsia="Times New Roman"/>
          <w:color w:val="1F3864" w:themeColor="accent1" w:themeShade="80"/>
        </w:rPr>
        <w:t xml:space="preserve"> </w:t>
      </w:r>
      <w:r w:rsidR="00256F29" w:rsidRPr="00EE01FF">
        <w:rPr>
          <w:rFonts w:eastAsia="Times New Roman"/>
          <w:color w:val="1F3864" w:themeColor="accent1" w:themeShade="80"/>
        </w:rPr>
        <w:t>Neoklasická ekonomie</w:t>
      </w:r>
    </w:p>
    <w:p w14:paraId="4A6F4825" w14:textId="77777777" w:rsidR="008E0F74" w:rsidRPr="00FC3B7C" w:rsidRDefault="00256F29" w:rsidP="00D46B53">
      <w:pPr>
        <w:numPr>
          <w:ilvl w:val="0"/>
          <w:numId w:val="295"/>
        </w:numPr>
        <w:tabs>
          <w:tab w:val="left" w:pos="1120"/>
        </w:tabs>
        <w:ind w:left="1120" w:hanging="367"/>
        <w:rPr>
          <w:rFonts w:eastAsia="Times New Roman"/>
          <w:szCs w:val="24"/>
        </w:rPr>
      </w:pPr>
      <w:r w:rsidRPr="00FC3B7C">
        <w:rPr>
          <w:rFonts w:eastAsia="Times New Roman"/>
          <w:szCs w:val="24"/>
        </w:rPr>
        <w:t>věřili v autoregulační schopnost trhu</w:t>
      </w:r>
    </w:p>
    <w:p w14:paraId="4A6F4826" w14:textId="77777777" w:rsidR="008E0F74" w:rsidRPr="00FC3B7C" w:rsidRDefault="00256F29" w:rsidP="00D46B53">
      <w:pPr>
        <w:numPr>
          <w:ilvl w:val="0"/>
          <w:numId w:val="295"/>
        </w:numPr>
        <w:tabs>
          <w:tab w:val="left" w:pos="1120"/>
        </w:tabs>
        <w:ind w:left="1120" w:hanging="367"/>
        <w:rPr>
          <w:rFonts w:eastAsia="Times New Roman"/>
          <w:szCs w:val="24"/>
        </w:rPr>
      </w:pPr>
      <w:r w:rsidRPr="00FC3B7C">
        <w:rPr>
          <w:rFonts w:eastAsia="Times New Roman"/>
          <w:szCs w:val="24"/>
        </w:rPr>
        <w:t xml:space="preserve">zabývali se utvářením </w:t>
      </w:r>
      <w:r w:rsidRPr="00FC3B7C">
        <w:rPr>
          <w:rFonts w:eastAsia="Times New Roman"/>
          <w:b/>
          <w:bCs/>
          <w:szCs w:val="24"/>
        </w:rPr>
        <w:t>tržní rovnováhy -</w:t>
      </w:r>
      <w:r w:rsidRPr="00FC3B7C">
        <w:rPr>
          <w:rFonts w:eastAsia="Times New Roman"/>
          <w:szCs w:val="24"/>
        </w:rPr>
        <w:t xml:space="preserve"> vycházeli z předpokladu dokonalé konkurence</w:t>
      </w:r>
    </w:p>
    <w:p w14:paraId="4A6F4827" w14:textId="77777777" w:rsidR="008E0F74" w:rsidRPr="00FB1D83" w:rsidRDefault="00256F29" w:rsidP="00D46B53">
      <w:pPr>
        <w:numPr>
          <w:ilvl w:val="0"/>
          <w:numId w:val="295"/>
        </w:numPr>
        <w:tabs>
          <w:tab w:val="left" w:pos="1120"/>
        </w:tabs>
        <w:ind w:left="1120" w:hanging="367"/>
        <w:rPr>
          <w:rFonts w:eastAsia="Times New Roman"/>
          <w:szCs w:val="24"/>
        </w:rPr>
      </w:pPr>
      <w:r w:rsidRPr="00FB1D83">
        <w:rPr>
          <w:rFonts w:eastAsia="Times New Roman"/>
          <w:szCs w:val="24"/>
        </w:rPr>
        <w:t>za příčiny bránící tržnímu mechanismu v efektivní alokaci zdrojů považovali monopolní sílu, externality, veřejné statky a nedokonalé informace</w:t>
      </w:r>
    </w:p>
    <w:p w14:paraId="4A6F4828" w14:textId="77777777" w:rsidR="008E0F74" w:rsidRPr="00FC3B7C" w:rsidRDefault="00256F29" w:rsidP="00D46B53">
      <w:pPr>
        <w:numPr>
          <w:ilvl w:val="0"/>
          <w:numId w:val="295"/>
        </w:numPr>
        <w:tabs>
          <w:tab w:val="left" w:pos="1120"/>
        </w:tabs>
        <w:ind w:left="1120" w:hanging="367"/>
        <w:rPr>
          <w:rFonts w:eastAsia="Times New Roman"/>
          <w:szCs w:val="24"/>
        </w:rPr>
      </w:pPr>
      <w:r w:rsidRPr="00FC3B7C">
        <w:rPr>
          <w:rFonts w:eastAsia="Times New Roman"/>
          <w:szCs w:val="24"/>
        </w:rPr>
        <w:lastRenderedPageBreak/>
        <w:t xml:space="preserve">analýzou </w:t>
      </w:r>
      <w:r w:rsidRPr="00FC3B7C">
        <w:rPr>
          <w:rFonts w:eastAsia="Times New Roman"/>
          <w:b/>
          <w:bCs/>
          <w:szCs w:val="24"/>
        </w:rPr>
        <w:t>externalit</w:t>
      </w:r>
      <w:r w:rsidRPr="00FC3B7C">
        <w:rPr>
          <w:rFonts w:eastAsia="Times New Roman"/>
          <w:szCs w:val="24"/>
        </w:rPr>
        <w:t xml:space="preserve"> se zabýval </w:t>
      </w:r>
      <w:r w:rsidRPr="00FC3B7C">
        <w:rPr>
          <w:rFonts w:eastAsia="Times New Roman"/>
          <w:b/>
          <w:bCs/>
          <w:szCs w:val="24"/>
        </w:rPr>
        <w:t>Arthur C. Pigou</w:t>
      </w:r>
      <w:r w:rsidRPr="00FC3B7C">
        <w:rPr>
          <w:rFonts w:eastAsia="Times New Roman"/>
          <w:szCs w:val="24"/>
        </w:rPr>
        <w:t xml:space="preserve">, který rozlišil soukromé </w:t>
      </w:r>
      <w:r w:rsidR="00FB1D83">
        <w:rPr>
          <w:rFonts w:eastAsia="Times New Roman"/>
          <w:szCs w:val="24"/>
        </w:rPr>
        <w:br/>
      </w:r>
      <w:r w:rsidRPr="00FC3B7C">
        <w:rPr>
          <w:rFonts w:eastAsia="Times New Roman"/>
          <w:szCs w:val="24"/>
        </w:rPr>
        <w:t>a společenské náklady a užitky, přispěl k návrhu řešení externalit pomocí tzv. Pigouvými daněmi a subvencemi</w:t>
      </w:r>
    </w:p>
    <w:p w14:paraId="4A6F4829" w14:textId="77777777" w:rsidR="008E0F74" w:rsidRPr="00FC3B7C" w:rsidRDefault="00256F29" w:rsidP="00D46B53">
      <w:pPr>
        <w:numPr>
          <w:ilvl w:val="0"/>
          <w:numId w:val="295"/>
        </w:numPr>
        <w:tabs>
          <w:tab w:val="left" w:pos="1120"/>
        </w:tabs>
        <w:ind w:left="1120" w:hanging="367"/>
        <w:rPr>
          <w:rFonts w:eastAsia="Times New Roman"/>
          <w:szCs w:val="24"/>
        </w:rPr>
      </w:pPr>
      <w:r w:rsidRPr="00FC3B7C">
        <w:rPr>
          <w:rFonts w:eastAsia="Times New Roman"/>
          <w:szCs w:val="24"/>
        </w:rPr>
        <w:t xml:space="preserve">Joan Robinsonová a Edward Chamberline, se zabývali analýzou </w:t>
      </w:r>
      <w:r w:rsidRPr="00FC3B7C">
        <w:rPr>
          <w:rFonts w:eastAsia="Times New Roman"/>
          <w:b/>
          <w:bCs/>
          <w:szCs w:val="24"/>
        </w:rPr>
        <w:t>nedokonalé</w:t>
      </w:r>
      <w:r w:rsidRPr="00FC3B7C">
        <w:rPr>
          <w:rFonts w:eastAsia="Times New Roman"/>
          <w:szCs w:val="24"/>
        </w:rPr>
        <w:t xml:space="preserve"> </w:t>
      </w:r>
      <w:r w:rsidRPr="00FC3B7C">
        <w:rPr>
          <w:rFonts w:eastAsia="Times New Roman"/>
          <w:b/>
          <w:bCs/>
          <w:szCs w:val="24"/>
        </w:rPr>
        <w:t>konkurence</w:t>
      </w:r>
      <w:r w:rsidRPr="00FC3B7C">
        <w:rPr>
          <w:rFonts w:eastAsia="Times New Roman"/>
          <w:szCs w:val="24"/>
        </w:rPr>
        <w:t>. Chamberline rozlišoval monopolistickou konkurenci a oligopol.</w:t>
      </w:r>
      <w:r w:rsidRPr="00FC3B7C">
        <w:rPr>
          <w:rFonts w:eastAsia="Times New Roman"/>
          <w:b/>
          <w:bCs/>
          <w:szCs w:val="24"/>
        </w:rPr>
        <w:t xml:space="preserve"> </w:t>
      </w:r>
      <w:r w:rsidRPr="00FC3B7C">
        <w:rPr>
          <w:rFonts w:eastAsia="Times New Roman"/>
          <w:szCs w:val="24"/>
        </w:rPr>
        <w:t>Robinsonová vymezila podmínky dokonalé konkurence a jako první vytvořila model monopsonu.</w:t>
      </w:r>
    </w:p>
    <w:p w14:paraId="4A6F482A" w14:textId="77777777" w:rsidR="008E0F74" w:rsidRPr="00FC3B7C" w:rsidRDefault="008E0F74">
      <w:pPr>
        <w:spacing w:line="185" w:lineRule="exact"/>
        <w:rPr>
          <w:sz w:val="20"/>
          <w:szCs w:val="20"/>
        </w:rPr>
      </w:pPr>
    </w:p>
    <w:p w14:paraId="4A6F482B" w14:textId="6254D20B" w:rsidR="008E0F74" w:rsidRPr="00FC3B7C" w:rsidRDefault="00EE01FF" w:rsidP="00FB1D83">
      <w:pPr>
        <w:pStyle w:val="Nadpis3"/>
        <w:rPr>
          <w:sz w:val="20"/>
          <w:szCs w:val="20"/>
        </w:rPr>
      </w:pPr>
      <w:r>
        <w:rPr>
          <w:rFonts w:eastAsia="Times New Roman"/>
        </w:rPr>
        <w:t xml:space="preserve"> </w:t>
      </w:r>
      <w:r w:rsidR="00256F29" w:rsidRPr="00EE01FF">
        <w:rPr>
          <w:rFonts w:eastAsia="Times New Roman"/>
          <w:color w:val="1F3864" w:themeColor="accent1" w:themeShade="80"/>
        </w:rPr>
        <w:t>Keynesiánství</w:t>
      </w:r>
    </w:p>
    <w:p w14:paraId="4A6F482C" w14:textId="77777777" w:rsidR="008E0F74" w:rsidRPr="00FC3B7C" w:rsidRDefault="00256F29" w:rsidP="00D46B53">
      <w:pPr>
        <w:numPr>
          <w:ilvl w:val="0"/>
          <w:numId w:val="296"/>
        </w:numPr>
        <w:tabs>
          <w:tab w:val="left" w:pos="1120"/>
        </w:tabs>
        <w:ind w:left="1120" w:hanging="367"/>
        <w:rPr>
          <w:rFonts w:eastAsia="Times New Roman"/>
          <w:szCs w:val="24"/>
        </w:rPr>
      </w:pPr>
      <w:r w:rsidRPr="00FC3B7C">
        <w:rPr>
          <w:rFonts w:eastAsia="Times New Roman"/>
          <w:szCs w:val="24"/>
        </w:rPr>
        <w:t xml:space="preserve">Na rozdíl od neoklasická ekonomie mělo keynesiálnství </w:t>
      </w:r>
      <w:r w:rsidRPr="00FC3B7C">
        <w:rPr>
          <w:rFonts w:eastAsia="Times New Roman"/>
          <w:b/>
          <w:bCs/>
          <w:szCs w:val="24"/>
        </w:rPr>
        <w:t>makroekonomický</w:t>
      </w:r>
      <w:r w:rsidRPr="00FC3B7C">
        <w:rPr>
          <w:rFonts w:eastAsia="Times New Roman"/>
          <w:szCs w:val="24"/>
        </w:rPr>
        <w:t xml:space="preserve"> charakter (reagovali na nově vznikající problémy na počátku minulého století)</w:t>
      </w:r>
    </w:p>
    <w:p w14:paraId="4A6F482D" w14:textId="77777777" w:rsidR="008E0F74" w:rsidRPr="00FC3B7C" w:rsidRDefault="00256F29" w:rsidP="00D46B53">
      <w:pPr>
        <w:numPr>
          <w:ilvl w:val="0"/>
          <w:numId w:val="296"/>
        </w:numPr>
        <w:tabs>
          <w:tab w:val="left" w:pos="1120"/>
        </w:tabs>
        <w:ind w:left="1120" w:hanging="367"/>
        <w:rPr>
          <w:rFonts w:eastAsia="Times New Roman"/>
          <w:szCs w:val="24"/>
        </w:rPr>
      </w:pPr>
      <w:r w:rsidRPr="00FC3B7C">
        <w:rPr>
          <w:rFonts w:eastAsia="Times New Roman"/>
          <w:szCs w:val="24"/>
        </w:rPr>
        <w:t xml:space="preserve">hlavním představitelem byl </w:t>
      </w:r>
      <w:r w:rsidRPr="00FC3B7C">
        <w:rPr>
          <w:rFonts w:eastAsia="Times New Roman"/>
          <w:b/>
          <w:bCs/>
          <w:szCs w:val="24"/>
        </w:rPr>
        <w:t>Johnem Maynard Keynes</w:t>
      </w:r>
    </w:p>
    <w:p w14:paraId="4A6F482E" w14:textId="77777777" w:rsidR="008E0F74" w:rsidRPr="00FC3B7C" w:rsidRDefault="00256F29" w:rsidP="00D46B53">
      <w:pPr>
        <w:numPr>
          <w:ilvl w:val="0"/>
          <w:numId w:val="296"/>
        </w:numPr>
        <w:tabs>
          <w:tab w:val="left" w:pos="1120"/>
        </w:tabs>
        <w:ind w:left="1120" w:hanging="367"/>
        <w:rPr>
          <w:rFonts w:eastAsia="Times New Roman"/>
          <w:szCs w:val="24"/>
        </w:rPr>
      </w:pPr>
      <w:r w:rsidRPr="00FC3B7C">
        <w:rPr>
          <w:rFonts w:eastAsia="Times New Roman"/>
          <w:szCs w:val="24"/>
        </w:rPr>
        <w:t>tento směr popsal několik situací, za nichž nemohl trh správně fungovat a o které byla oblast tržních selhání rozšířena</w:t>
      </w:r>
    </w:p>
    <w:p w14:paraId="4A6F482F" w14:textId="77777777" w:rsidR="008E0F74" w:rsidRPr="00FC3B7C" w:rsidRDefault="00256F29" w:rsidP="00D46B53">
      <w:pPr>
        <w:numPr>
          <w:ilvl w:val="0"/>
          <w:numId w:val="296"/>
        </w:numPr>
        <w:tabs>
          <w:tab w:val="left" w:pos="1120"/>
        </w:tabs>
        <w:ind w:left="1120" w:hanging="367"/>
        <w:rPr>
          <w:rFonts w:eastAsia="Times New Roman"/>
          <w:szCs w:val="24"/>
        </w:rPr>
      </w:pPr>
      <w:r w:rsidRPr="00FC3B7C">
        <w:rPr>
          <w:rFonts w:eastAsia="Times New Roman"/>
          <w:szCs w:val="24"/>
        </w:rPr>
        <w:t>Keynesiánci vnímají trh jako vnitřně nestabilní, a proto podporují státní zásahy do hospodářství prostřednictvím jak fiskální, tak monetární politiky</w:t>
      </w:r>
    </w:p>
    <w:p w14:paraId="4A6F4830" w14:textId="77777777" w:rsidR="008E0F74" w:rsidRPr="00FC3B7C" w:rsidRDefault="00256F29" w:rsidP="00D46B53">
      <w:pPr>
        <w:numPr>
          <w:ilvl w:val="0"/>
          <w:numId w:val="296"/>
        </w:numPr>
        <w:tabs>
          <w:tab w:val="left" w:pos="1120"/>
        </w:tabs>
        <w:ind w:left="1120" w:hanging="367"/>
        <w:rPr>
          <w:rFonts w:eastAsia="Times New Roman"/>
          <w:szCs w:val="24"/>
        </w:rPr>
      </w:pPr>
      <w:r w:rsidRPr="00FC3B7C">
        <w:rPr>
          <w:rFonts w:eastAsia="Times New Roman"/>
          <w:szCs w:val="24"/>
        </w:rPr>
        <w:t>stát má zasahovat do ekonomiky s cílem optimalizovat agregátní poptávku tak, aby bylo dosaženo maximálního využití všech výrobních faktorů</w:t>
      </w:r>
    </w:p>
    <w:p w14:paraId="4A6F4831" w14:textId="77777777" w:rsidR="008E0F74" w:rsidRPr="00FC3B7C" w:rsidRDefault="008E0F74">
      <w:pPr>
        <w:spacing w:line="169" w:lineRule="exact"/>
        <w:rPr>
          <w:sz w:val="20"/>
          <w:szCs w:val="20"/>
        </w:rPr>
      </w:pPr>
    </w:p>
    <w:p w14:paraId="4A6F4832" w14:textId="6096DB0F" w:rsidR="008E0F74" w:rsidRPr="00EE01FF" w:rsidRDefault="00256F29" w:rsidP="00EE01FF">
      <w:pPr>
        <w:pStyle w:val="Nadpis3"/>
        <w:ind w:left="284" w:hanging="284"/>
        <w:jc w:val="left"/>
        <w:rPr>
          <w:color w:val="1F3864" w:themeColor="accent1" w:themeShade="80"/>
          <w:sz w:val="20"/>
          <w:szCs w:val="20"/>
        </w:rPr>
      </w:pPr>
      <w:r w:rsidRPr="00EE01FF">
        <w:rPr>
          <w:rFonts w:eastAsia="Times New Roman"/>
          <w:color w:val="1F3864" w:themeColor="accent1" w:themeShade="80"/>
        </w:rPr>
        <w:t xml:space="preserve">Nové </w:t>
      </w:r>
      <w:r w:rsidRPr="00EE01FF">
        <w:rPr>
          <w:color w:val="1F3864" w:themeColor="accent1" w:themeShade="80"/>
        </w:rPr>
        <w:t>makroekonomické</w:t>
      </w:r>
      <w:r w:rsidRPr="00EE01FF">
        <w:rPr>
          <w:rFonts w:eastAsia="Times New Roman"/>
          <w:color w:val="1F3864" w:themeColor="accent1" w:themeShade="80"/>
        </w:rPr>
        <w:t xml:space="preserve"> směry</w:t>
      </w:r>
    </w:p>
    <w:p w14:paraId="4A6F4833" w14:textId="77777777" w:rsidR="008E0F74" w:rsidRPr="00FC3B7C" w:rsidRDefault="00256F29" w:rsidP="00D46B53">
      <w:pPr>
        <w:numPr>
          <w:ilvl w:val="0"/>
          <w:numId w:val="297"/>
        </w:numPr>
        <w:tabs>
          <w:tab w:val="left" w:pos="1120"/>
        </w:tabs>
        <w:ind w:left="1120" w:hanging="367"/>
        <w:rPr>
          <w:rFonts w:eastAsia="Times New Roman"/>
          <w:szCs w:val="24"/>
        </w:rPr>
      </w:pPr>
      <w:r w:rsidRPr="00FC3B7C">
        <w:rPr>
          <w:rFonts w:eastAsia="Times New Roman"/>
          <w:szCs w:val="24"/>
        </w:rPr>
        <w:t>vznikaly jako reakce na problémy plynoucí z provádění keynesiánské hospodářské politiky</w:t>
      </w:r>
    </w:p>
    <w:p w14:paraId="4A6F4834" w14:textId="77777777" w:rsidR="008E0F74" w:rsidRPr="00FC3B7C" w:rsidRDefault="00256F29" w:rsidP="00D46B53">
      <w:pPr>
        <w:numPr>
          <w:ilvl w:val="0"/>
          <w:numId w:val="298"/>
        </w:numPr>
        <w:tabs>
          <w:tab w:val="left" w:pos="1140"/>
        </w:tabs>
        <w:ind w:left="1140" w:hanging="367"/>
        <w:rPr>
          <w:rFonts w:eastAsia="Times New Roman"/>
          <w:szCs w:val="24"/>
        </w:rPr>
      </w:pPr>
      <w:bookmarkStart w:id="321" w:name="page351"/>
      <w:bookmarkEnd w:id="321"/>
      <w:r w:rsidRPr="00FC3B7C">
        <w:rPr>
          <w:rFonts w:eastAsia="Times New Roman"/>
          <w:szCs w:val="24"/>
        </w:rPr>
        <w:t>vyznačovaly se kritikou ke keynesiánství a návraty k laissez faire</w:t>
      </w:r>
    </w:p>
    <w:p w14:paraId="4A6F4835" w14:textId="77777777" w:rsidR="008E0F74" w:rsidRPr="00FC3B7C" w:rsidRDefault="00256F29" w:rsidP="00D46B53">
      <w:pPr>
        <w:numPr>
          <w:ilvl w:val="0"/>
          <w:numId w:val="298"/>
        </w:numPr>
        <w:tabs>
          <w:tab w:val="left" w:pos="1140"/>
        </w:tabs>
        <w:ind w:left="1140" w:hanging="367"/>
        <w:rPr>
          <w:rFonts w:eastAsia="Times New Roman"/>
          <w:szCs w:val="24"/>
        </w:rPr>
      </w:pPr>
      <w:r w:rsidRPr="00FC3B7C">
        <w:rPr>
          <w:rFonts w:eastAsia="Times New Roman"/>
          <w:szCs w:val="24"/>
        </w:rPr>
        <w:t xml:space="preserve">patří sem: Monetarismus v čele s </w:t>
      </w:r>
      <w:r w:rsidRPr="00FC3B7C">
        <w:rPr>
          <w:rFonts w:eastAsia="Times New Roman"/>
          <w:b/>
          <w:bCs/>
          <w:szCs w:val="24"/>
        </w:rPr>
        <w:t>Miltonem Friedmanem</w:t>
      </w:r>
      <w:r w:rsidRPr="00FC3B7C">
        <w:rPr>
          <w:rFonts w:eastAsia="Times New Roman"/>
          <w:szCs w:val="24"/>
        </w:rPr>
        <w:t xml:space="preserve">, škola racionálních očekávání, ekonomie strany nabídky, škola reálného hospodářského cyklu </w:t>
      </w:r>
      <w:r w:rsidR="00FB1D83">
        <w:rPr>
          <w:rFonts w:eastAsia="Times New Roman"/>
          <w:szCs w:val="24"/>
        </w:rPr>
        <w:br/>
      </w:r>
      <w:r w:rsidRPr="00FC3B7C">
        <w:rPr>
          <w:rFonts w:eastAsia="Times New Roman"/>
          <w:szCs w:val="24"/>
        </w:rPr>
        <w:t>a Chicagská škola</w:t>
      </w:r>
    </w:p>
    <w:p w14:paraId="4A6F4836" w14:textId="77777777" w:rsidR="008E0F74" w:rsidRPr="00FC3B7C" w:rsidRDefault="00256F29" w:rsidP="00D46B53">
      <w:pPr>
        <w:numPr>
          <w:ilvl w:val="0"/>
          <w:numId w:val="298"/>
        </w:numPr>
        <w:tabs>
          <w:tab w:val="left" w:pos="1140"/>
        </w:tabs>
        <w:ind w:left="1140" w:hanging="367"/>
        <w:rPr>
          <w:rFonts w:eastAsia="Times New Roman"/>
          <w:szCs w:val="24"/>
        </w:rPr>
      </w:pPr>
      <w:r w:rsidRPr="00FC3B7C">
        <w:rPr>
          <w:rFonts w:eastAsia="Times New Roman"/>
          <w:szCs w:val="24"/>
        </w:rPr>
        <w:t>můžeme sem zařadit i reformy Margaret Thatcherové (proslavil ji boj s odbory, prosazovala návrat k laissez faire v politice)</w:t>
      </w:r>
    </w:p>
    <w:p w14:paraId="4A6F4837" w14:textId="77777777" w:rsidR="008E0F74" w:rsidRPr="00FC3B7C" w:rsidRDefault="00256F29" w:rsidP="00D46B53">
      <w:pPr>
        <w:numPr>
          <w:ilvl w:val="0"/>
          <w:numId w:val="298"/>
        </w:numPr>
        <w:tabs>
          <w:tab w:val="left" w:pos="1140"/>
        </w:tabs>
        <w:ind w:left="1140" w:hanging="367"/>
        <w:rPr>
          <w:rFonts w:eastAsia="Times New Roman"/>
          <w:szCs w:val="24"/>
        </w:rPr>
      </w:pPr>
      <w:r w:rsidRPr="00FC3B7C">
        <w:rPr>
          <w:rFonts w:eastAsia="Times New Roman"/>
          <w:szCs w:val="24"/>
        </w:rPr>
        <w:t>ekonomie strany nabídky - konzervativní proud vyzdvihující volný trh, v němž má stát za úkol vytvářet podmínky pro uplatňování volné konkurence</w:t>
      </w:r>
    </w:p>
    <w:p w14:paraId="4A6F4838" w14:textId="77777777" w:rsidR="008E0F74" w:rsidRPr="00FC3B7C" w:rsidRDefault="008E0F74">
      <w:pPr>
        <w:spacing w:line="169" w:lineRule="exact"/>
        <w:rPr>
          <w:sz w:val="20"/>
          <w:szCs w:val="20"/>
        </w:rPr>
      </w:pPr>
    </w:p>
    <w:p w14:paraId="4A6F4839" w14:textId="77777777" w:rsidR="008E0F74" w:rsidRPr="00EE01FF" w:rsidRDefault="00256F29" w:rsidP="00EE01FF">
      <w:pPr>
        <w:pStyle w:val="Nadpis3"/>
        <w:rPr>
          <w:color w:val="1F3864" w:themeColor="accent1" w:themeShade="80"/>
          <w:sz w:val="20"/>
          <w:szCs w:val="20"/>
        </w:rPr>
      </w:pPr>
      <w:r w:rsidRPr="00EE01FF">
        <w:rPr>
          <w:rFonts w:eastAsia="Times New Roman"/>
          <w:color w:val="1F3864" w:themeColor="accent1" w:themeShade="80"/>
        </w:rPr>
        <w:t>Institucionální ekonomie a Nová institucionální ekonomie</w:t>
      </w:r>
    </w:p>
    <w:p w14:paraId="4A6F483A" w14:textId="77777777" w:rsidR="008E0F74" w:rsidRPr="00FC3B7C" w:rsidRDefault="00256F29" w:rsidP="00FB1D83">
      <w:pPr>
        <w:rPr>
          <w:sz w:val="20"/>
          <w:szCs w:val="20"/>
        </w:rPr>
      </w:pPr>
      <w:r w:rsidRPr="00FC3B7C">
        <w:rPr>
          <w:rFonts w:eastAsia="Times New Roman"/>
          <w:szCs w:val="24"/>
        </w:rPr>
        <w:t>John Rogers Commons (představitel IE) popsal co by mělo být úlohou státu:</w:t>
      </w:r>
    </w:p>
    <w:p w14:paraId="4A6F483B" w14:textId="77777777" w:rsidR="008E0F74" w:rsidRPr="00FB1D83" w:rsidRDefault="00256F29" w:rsidP="00D46B53">
      <w:pPr>
        <w:numPr>
          <w:ilvl w:val="0"/>
          <w:numId w:val="681"/>
        </w:numPr>
        <w:tabs>
          <w:tab w:val="left" w:pos="1276"/>
        </w:tabs>
        <w:ind w:left="820" w:hanging="348"/>
        <w:rPr>
          <w:rFonts w:eastAsia="Arial"/>
          <w:szCs w:val="24"/>
        </w:rPr>
      </w:pPr>
      <w:r w:rsidRPr="00FB1D83">
        <w:rPr>
          <w:rFonts w:eastAsia="Times New Roman"/>
          <w:szCs w:val="24"/>
        </w:rPr>
        <w:t>stát koordinuje protichůdné ekonomické zájmy</w:t>
      </w:r>
    </w:p>
    <w:p w14:paraId="4A6F483C" w14:textId="77777777" w:rsidR="008E0F74" w:rsidRPr="00FB1D83" w:rsidRDefault="00256F29" w:rsidP="00D46B53">
      <w:pPr>
        <w:numPr>
          <w:ilvl w:val="0"/>
          <w:numId w:val="681"/>
        </w:numPr>
        <w:tabs>
          <w:tab w:val="left" w:pos="1276"/>
        </w:tabs>
        <w:ind w:left="820" w:hanging="348"/>
        <w:rPr>
          <w:rFonts w:eastAsia="Arial"/>
          <w:szCs w:val="24"/>
        </w:rPr>
      </w:pPr>
      <w:r w:rsidRPr="00FB1D83">
        <w:rPr>
          <w:rFonts w:eastAsia="Times New Roman"/>
          <w:szCs w:val="24"/>
        </w:rPr>
        <w:t>napomáhá spravedlivému řešení zájmových konfliktů</w:t>
      </w:r>
    </w:p>
    <w:p w14:paraId="4A6F483D" w14:textId="77777777" w:rsidR="008E0F74" w:rsidRPr="00FC3B7C" w:rsidRDefault="00256F29" w:rsidP="00D46B53">
      <w:pPr>
        <w:numPr>
          <w:ilvl w:val="0"/>
          <w:numId w:val="681"/>
        </w:numPr>
        <w:tabs>
          <w:tab w:val="left" w:pos="1276"/>
        </w:tabs>
        <w:ind w:left="820" w:hanging="348"/>
        <w:rPr>
          <w:rFonts w:eastAsia="Arial"/>
          <w:szCs w:val="24"/>
        </w:rPr>
      </w:pPr>
      <w:r w:rsidRPr="00FC3B7C">
        <w:rPr>
          <w:rFonts w:eastAsia="Times New Roman"/>
          <w:szCs w:val="24"/>
        </w:rPr>
        <w:lastRenderedPageBreak/>
        <w:t>síly trhu samy o sobě nejsou schopny řešit všechny zájmové konflikty, jejichž spravedlivé řešení vyžaduje státní zásahy</w:t>
      </w:r>
    </w:p>
    <w:p w14:paraId="4A6F483E" w14:textId="77777777" w:rsidR="008E0F74" w:rsidRPr="00FC3B7C" w:rsidRDefault="008E0F74">
      <w:pPr>
        <w:spacing w:line="131" w:lineRule="exact"/>
        <w:rPr>
          <w:sz w:val="20"/>
          <w:szCs w:val="20"/>
        </w:rPr>
      </w:pPr>
    </w:p>
    <w:p w14:paraId="4A6F483F" w14:textId="77777777" w:rsidR="008E0F74" w:rsidRPr="00FC3B7C" w:rsidRDefault="00256F29">
      <w:pPr>
        <w:rPr>
          <w:sz w:val="20"/>
          <w:szCs w:val="20"/>
        </w:rPr>
      </w:pPr>
      <w:r w:rsidRPr="00FC3B7C">
        <w:rPr>
          <w:rFonts w:eastAsia="Times New Roman"/>
          <w:szCs w:val="24"/>
        </w:rPr>
        <w:t>NIE:</w:t>
      </w:r>
    </w:p>
    <w:p w14:paraId="4A6F4840" w14:textId="77777777" w:rsidR="008E0F74" w:rsidRPr="00FC3B7C" w:rsidRDefault="00256F29" w:rsidP="00D46B53">
      <w:pPr>
        <w:numPr>
          <w:ilvl w:val="0"/>
          <w:numId w:val="682"/>
        </w:numPr>
        <w:tabs>
          <w:tab w:val="left" w:pos="1276"/>
        </w:tabs>
        <w:ind w:left="840" w:hanging="351"/>
        <w:rPr>
          <w:rFonts w:eastAsia="Arial"/>
          <w:szCs w:val="24"/>
        </w:rPr>
      </w:pPr>
      <w:r w:rsidRPr="00FC3B7C">
        <w:rPr>
          <w:rFonts w:eastAsia="Times New Roman"/>
          <w:szCs w:val="24"/>
        </w:rPr>
        <w:t xml:space="preserve">klade důraz na úlohu </w:t>
      </w:r>
      <w:r w:rsidRPr="00FC3B7C">
        <w:rPr>
          <w:rFonts w:eastAsia="Times New Roman"/>
          <w:b/>
          <w:bCs/>
          <w:szCs w:val="24"/>
        </w:rPr>
        <w:t>institucí</w:t>
      </w:r>
      <w:r w:rsidRPr="00FC3B7C">
        <w:rPr>
          <w:rFonts w:eastAsia="Times New Roman"/>
          <w:szCs w:val="24"/>
        </w:rPr>
        <w:t xml:space="preserve"> ve společnosti a hospodářství</w:t>
      </w:r>
    </w:p>
    <w:p w14:paraId="4A6F4841" w14:textId="77777777" w:rsidR="008E0F74" w:rsidRPr="00FC3B7C" w:rsidRDefault="00256F29" w:rsidP="00D46B53">
      <w:pPr>
        <w:numPr>
          <w:ilvl w:val="0"/>
          <w:numId w:val="682"/>
        </w:numPr>
        <w:tabs>
          <w:tab w:val="left" w:pos="1276"/>
        </w:tabs>
        <w:ind w:left="840" w:hanging="351"/>
        <w:rPr>
          <w:rFonts w:eastAsia="Arial"/>
          <w:szCs w:val="24"/>
        </w:rPr>
      </w:pPr>
      <w:r w:rsidRPr="00FC3B7C">
        <w:rPr>
          <w:rFonts w:eastAsia="Times New Roman"/>
          <w:szCs w:val="24"/>
        </w:rPr>
        <w:t xml:space="preserve">významným představitelem této školy se stal </w:t>
      </w:r>
      <w:r w:rsidRPr="00FC3B7C">
        <w:rPr>
          <w:rFonts w:eastAsia="Times New Roman"/>
          <w:b/>
          <w:bCs/>
          <w:szCs w:val="24"/>
        </w:rPr>
        <w:t>Ronald H. Coase</w:t>
      </w:r>
      <w:r w:rsidRPr="00FC3B7C">
        <w:rPr>
          <w:rFonts w:eastAsia="Times New Roman"/>
          <w:szCs w:val="24"/>
        </w:rPr>
        <w:t xml:space="preserve">, který je považován za zakladatele teorie </w:t>
      </w:r>
      <w:r w:rsidRPr="00FC3B7C">
        <w:rPr>
          <w:rFonts w:eastAsia="Times New Roman"/>
          <w:b/>
          <w:bCs/>
          <w:szCs w:val="24"/>
        </w:rPr>
        <w:t>transakčních nákladů</w:t>
      </w:r>
    </w:p>
    <w:p w14:paraId="4A6F4842" w14:textId="77777777" w:rsidR="008E0F74" w:rsidRPr="00FC3B7C" w:rsidRDefault="00256F29" w:rsidP="00D46B53">
      <w:pPr>
        <w:numPr>
          <w:ilvl w:val="0"/>
          <w:numId w:val="682"/>
        </w:numPr>
        <w:tabs>
          <w:tab w:val="left" w:pos="1276"/>
        </w:tabs>
        <w:ind w:left="840" w:hanging="351"/>
        <w:rPr>
          <w:rFonts w:eastAsia="Arial"/>
          <w:szCs w:val="24"/>
        </w:rPr>
      </w:pPr>
      <w:r w:rsidRPr="00FC3B7C">
        <w:rPr>
          <w:rFonts w:eastAsia="Times New Roman"/>
          <w:szCs w:val="24"/>
        </w:rPr>
        <w:t>přinesl nový pohled na externality, který naznačoval, že efektivního výsledku lze dosáhnout i bez státních zásahů na základě soukromých vyjednávání.</w:t>
      </w:r>
    </w:p>
    <w:p w14:paraId="4A6F4843" w14:textId="77777777" w:rsidR="008E0F74" w:rsidRPr="00FC3B7C" w:rsidRDefault="008E0F74">
      <w:pPr>
        <w:spacing w:line="200" w:lineRule="exact"/>
        <w:rPr>
          <w:sz w:val="20"/>
          <w:szCs w:val="20"/>
        </w:rPr>
      </w:pPr>
    </w:p>
    <w:p w14:paraId="4A6F4844" w14:textId="77777777" w:rsidR="008E0F74" w:rsidRPr="00EE01FF" w:rsidRDefault="008E0F74">
      <w:pPr>
        <w:spacing w:line="215" w:lineRule="exact"/>
        <w:rPr>
          <w:color w:val="1F3864" w:themeColor="accent1" w:themeShade="80"/>
          <w:sz w:val="20"/>
          <w:szCs w:val="20"/>
        </w:rPr>
      </w:pPr>
    </w:p>
    <w:p w14:paraId="4A6F4845" w14:textId="77777777" w:rsidR="008E0F74" w:rsidRPr="00EE01FF" w:rsidRDefault="00256F29" w:rsidP="005A497F">
      <w:pPr>
        <w:pStyle w:val="Nadpis2"/>
        <w:rPr>
          <w:color w:val="1F3864" w:themeColor="accent1" w:themeShade="80"/>
          <w:sz w:val="20"/>
          <w:szCs w:val="20"/>
        </w:rPr>
      </w:pPr>
      <w:r w:rsidRPr="00EE01FF">
        <w:rPr>
          <w:rFonts w:eastAsia="Times New Roman"/>
          <w:color w:val="1F3864" w:themeColor="accent1" w:themeShade="80"/>
        </w:rPr>
        <w:t>TRŽNÍ SELHÁNÍ</w:t>
      </w:r>
    </w:p>
    <w:p w14:paraId="4A6F4846" w14:textId="77777777" w:rsidR="008E0F74" w:rsidRPr="00FC3B7C" w:rsidRDefault="00256F29" w:rsidP="005A497F">
      <w:pPr>
        <w:rPr>
          <w:sz w:val="20"/>
          <w:szCs w:val="20"/>
        </w:rPr>
      </w:pPr>
      <w:r w:rsidRPr="00FC3B7C">
        <w:rPr>
          <w:rFonts w:eastAsia="Times New Roman"/>
          <w:szCs w:val="24"/>
        </w:rPr>
        <w:t>Trhy alokují vzácné zdroje efektivně, ale v některých situacích trhy v této funkci selhávají</w:t>
      </w:r>
    </w:p>
    <w:p w14:paraId="4A6F4847" w14:textId="77777777" w:rsidR="008E0F74" w:rsidRPr="00FC3B7C" w:rsidRDefault="00256F29" w:rsidP="005A497F">
      <w:pPr>
        <w:rPr>
          <w:sz w:val="20"/>
          <w:szCs w:val="20"/>
        </w:rPr>
      </w:pPr>
      <w:r w:rsidRPr="00FC3B7C">
        <w:rPr>
          <w:rFonts w:eastAsia="Times New Roman"/>
          <w:szCs w:val="24"/>
        </w:rPr>
        <w:t>a alokují zdroje neefektivně</w:t>
      </w:r>
    </w:p>
    <w:p w14:paraId="4A6F4848" w14:textId="77777777" w:rsidR="008E0F74" w:rsidRPr="00FC3B7C" w:rsidRDefault="008E0F74">
      <w:pPr>
        <w:spacing w:line="131" w:lineRule="exact"/>
        <w:rPr>
          <w:sz w:val="20"/>
          <w:szCs w:val="20"/>
        </w:rPr>
      </w:pPr>
    </w:p>
    <w:p w14:paraId="4A6F4849" w14:textId="77777777" w:rsidR="008E0F74" w:rsidRPr="00FC3B7C" w:rsidRDefault="00256F29" w:rsidP="005A497F">
      <w:pPr>
        <w:rPr>
          <w:sz w:val="20"/>
          <w:szCs w:val="20"/>
        </w:rPr>
      </w:pPr>
      <w:r w:rsidRPr="00FC3B7C">
        <w:rPr>
          <w:rFonts w:eastAsia="Times New Roman"/>
          <w:b/>
          <w:bCs/>
          <w:i/>
          <w:iCs/>
          <w:szCs w:val="24"/>
        </w:rPr>
        <w:t>Případy možných tržních selhání jsou:</w:t>
      </w:r>
    </w:p>
    <w:p w14:paraId="4A6F484A" w14:textId="77777777" w:rsidR="008E0F74" w:rsidRPr="00FC3B7C" w:rsidRDefault="00256F29" w:rsidP="00D46B53">
      <w:pPr>
        <w:numPr>
          <w:ilvl w:val="0"/>
          <w:numId w:val="299"/>
        </w:numPr>
        <w:tabs>
          <w:tab w:val="left" w:pos="1140"/>
        </w:tabs>
        <w:ind w:left="1140" w:hanging="367"/>
        <w:rPr>
          <w:rFonts w:eastAsia="Times New Roman"/>
          <w:szCs w:val="24"/>
        </w:rPr>
      </w:pPr>
      <w:r w:rsidRPr="00FC3B7C">
        <w:rPr>
          <w:rFonts w:eastAsia="Times New Roman"/>
          <w:szCs w:val="24"/>
        </w:rPr>
        <w:t>není produkováno dostatečné množství poptávaných statků</w:t>
      </w:r>
    </w:p>
    <w:p w14:paraId="4A6F484B" w14:textId="77777777" w:rsidR="008E0F74" w:rsidRPr="00FC3B7C" w:rsidRDefault="00256F29" w:rsidP="00D46B53">
      <w:pPr>
        <w:numPr>
          <w:ilvl w:val="0"/>
          <w:numId w:val="299"/>
        </w:numPr>
        <w:tabs>
          <w:tab w:val="left" w:pos="1140"/>
        </w:tabs>
        <w:ind w:left="1140" w:hanging="367"/>
        <w:rPr>
          <w:rFonts w:eastAsia="Times New Roman"/>
          <w:szCs w:val="24"/>
        </w:rPr>
      </w:pPr>
      <w:r w:rsidRPr="00FC3B7C">
        <w:rPr>
          <w:rFonts w:eastAsia="Times New Roman"/>
          <w:szCs w:val="24"/>
        </w:rPr>
        <w:t>statky nemají optimální strukturu</w:t>
      </w:r>
    </w:p>
    <w:p w14:paraId="4A6F484C" w14:textId="77777777" w:rsidR="008E0F74" w:rsidRPr="00FC3B7C" w:rsidRDefault="00256F29" w:rsidP="00D46B53">
      <w:pPr>
        <w:numPr>
          <w:ilvl w:val="0"/>
          <w:numId w:val="299"/>
        </w:numPr>
        <w:tabs>
          <w:tab w:val="left" w:pos="1140"/>
        </w:tabs>
        <w:ind w:left="1140" w:hanging="367"/>
        <w:rPr>
          <w:rFonts w:eastAsia="Times New Roman"/>
          <w:szCs w:val="24"/>
        </w:rPr>
      </w:pPr>
      <w:r w:rsidRPr="00FC3B7C">
        <w:rPr>
          <w:rFonts w:eastAsia="Times New Roman"/>
          <w:szCs w:val="24"/>
        </w:rPr>
        <w:t>statky nejsou produkovány s nejnižšími náklady</w:t>
      </w:r>
    </w:p>
    <w:p w14:paraId="4A6F484D" w14:textId="77777777" w:rsidR="008E0F74" w:rsidRPr="00FC3B7C" w:rsidRDefault="008E0F74">
      <w:pPr>
        <w:spacing w:line="337" w:lineRule="exact"/>
        <w:rPr>
          <w:sz w:val="20"/>
          <w:szCs w:val="20"/>
        </w:rPr>
      </w:pPr>
    </w:p>
    <w:p w14:paraId="4A6F484E" w14:textId="77777777" w:rsidR="008E0F74" w:rsidRPr="00FC3B7C" w:rsidRDefault="00256F29" w:rsidP="005A497F">
      <w:pPr>
        <w:ind w:left="100"/>
        <w:rPr>
          <w:sz w:val="20"/>
          <w:szCs w:val="20"/>
        </w:rPr>
      </w:pPr>
      <w:r w:rsidRPr="00FC3B7C">
        <w:rPr>
          <w:rFonts w:eastAsia="Times New Roman"/>
          <w:b/>
          <w:bCs/>
          <w:i/>
          <w:iCs/>
          <w:szCs w:val="24"/>
        </w:rPr>
        <w:t>Nejčastější příčiny tržních selhání:</w:t>
      </w:r>
    </w:p>
    <w:p w14:paraId="4A6F484F" w14:textId="77777777" w:rsidR="008E0F74" w:rsidRPr="00FC3B7C" w:rsidRDefault="00256F29" w:rsidP="00D46B53">
      <w:pPr>
        <w:numPr>
          <w:ilvl w:val="0"/>
          <w:numId w:val="300"/>
        </w:numPr>
        <w:tabs>
          <w:tab w:val="left" w:pos="1140"/>
        </w:tabs>
        <w:ind w:left="1140" w:hanging="367"/>
        <w:rPr>
          <w:rFonts w:eastAsia="Times New Roman"/>
          <w:szCs w:val="24"/>
        </w:rPr>
      </w:pPr>
      <w:bookmarkStart w:id="322" w:name="page352"/>
      <w:bookmarkEnd w:id="322"/>
      <w:r w:rsidRPr="00FC3B7C">
        <w:rPr>
          <w:rFonts w:eastAsia="Times New Roman"/>
          <w:szCs w:val="24"/>
        </w:rPr>
        <w:t>Existence externalit</w:t>
      </w:r>
    </w:p>
    <w:p w14:paraId="4A6F4850" w14:textId="77777777" w:rsidR="008E0F74" w:rsidRPr="00FC3B7C" w:rsidRDefault="00256F29" w:rsidP="00D46B53">
      <w:pPr>
        <w:numPr>
          <w:ilvl w:val="0"/>
          <w:numId w:val="300"/>
        </w:numPr>
        <w:tabs>
          <w:tab w:val="left" w:pos="1140"/>
        </w:tabs>
        <w:ind w:left="1140" w:hanging="367"/>
        <w:rPr>
          <w:rFonts w:eastAsia="Times New Roman"/>
          <w:szCs w:val="24"/>
        </w:rPr>
      </w:pPr>
      <w:r w:rsidRPr="00FC3B7C">
        <w:rPr>
          <w:rFonts w:eastAsia="Times New Roman"/>
          <w:szCs w:val="24"/>
        </w:rPr>
        <w:t>Nedokonalá konkurence</w:t>
      </w:r>
    </w:p>
    <w:p w14:paraId="4A6F4851" w14:textId="77777777" w:rsidR="008E0F74" w:rsidRPr="00FC3B7C" w:rsidRDefault="00256F29" w:rsidP="00D46B53">
      <w:pPr>
        <w:numPr>
          <w:ilvl w:val="0"/>
          <w:numId w:val="300"/>
        </w:numPr>
        <w:tabs>
          <w:tab w:val="left" w:pos="1140"/>
        </w:tabs>
        <w:ind w:left="1140" w:hanging="367"/>
        <w:rPr>
          <w:rFonts w:eastAsia="Times New Roman"/>
          <w:szCs w:val="24"/>
        </w:rPr>
      </w:pPr>
      <w:r w:rsidRPr="00FC3B7C">
        <w:rPr>
          <w:rFonts w:eastAsia="Times New Roman"/>
          <w:szCs w:val="24"/>
        </w:rPr>
        <w:t>Existence veřejných statků</w:t>
      </w:r>
    </w:p>
    <w:p w14:paraId="4A6F4852" w14:textId="77777777" w:rsidR="008E0F74" w:rsidRPr="00FC3B7C" w:rsidRDefault="00256F29" w:rsidP="00D46B53">
      <w:pPr>
        <w:numPr>
          <w:ilvl w:val="0"/>
          <w:numId w:val="300"/>
        </w:numPr>
        <w:tabs>
          <w:tab w:val="left" w:pos="1140"/>
        </w:tabs>
        <w:ind w:left="1140" w:hanging="367"/>
        <w:rPr>
          <w:rFonts w:eastAsia="Times New Roman"/>
          <w:szCs w:val="24"/>
        </w:rPr>
      </w:pPr>
      <w:r w:rsidRPr="00FC3B7C">
        <w:rPr>
          <w:rFonts w:eastAsia="Times New Roman"/>
          <w:szCs w:val="24"/>
        </w:rPr>
        <w:t>Nedokonalé informace</w:t>
      </w:r>
    </w:p>
    <w:p w14:paraId="4A6F4853" w14:textId="77777777" w:rsidR="008E0F74" w:rsidRPr="00FC3B7C" w:rsidRDefault="00256F29" w:rsidP="005A497F">
      <w:pPr>
        <w:rPr>
          <w:sz w:val="20"/>
          <w:szCs w:val="20"/>
        </w:rPr>
      </w:pPr>
      <w:r w:rsidRPr="00FC3B7C">
        <w:rPr>
          <w:rFonts w:eastAsia="Times New Roman"/>
          <w:szCs w:val="24"/>
        </w:rPr>
        <w:t>K tržnímu selhání dochází tehdy, když nelze dosáhnout paretovsky optimálního rozdělení zdrojů, tedy když tržní výsledek není ekonomicky efektivní.</w:t>
      </w:r>
    </w:p>
    <w:p w14:paraId="4A6F4854" w14:textId="77777777" w:rsidR="008E0F74" w:rsidRPr="00FC3B7C" w:rsidRDefault="008E0F74">
      <w:pPr>
        <w:spacing w:line="158" w:lineRule="exact"/>
        <w:rPr>
          <w:sz w:val="20"/>
          <w:szCs w:val="20"/>
        </w:rPr>
      </w:pPr>
    </w:p>
    <w:p w14:paraId="4A6F4855" w14:textId="734D60BB" w:rsidR="008E0F74" w:rsidRPr="00EE01FF" w:rsidRDefault="00EE01FF" w:rsidP="005A497F">
      <w:pPr>
        <w:pStyle w:val="Nadpis3"/>
        <w:rPr>
          <w:color w:val="1F3864" w:themeColor="accent1" w:themeShade="80"/>
          <w:sz w:val="20"/>
          <w:szCs w:val="20"/>
        </w:rPr>
      </w:pPr>
      <w:r w:rsidRPr="00EE01FF">
        <w:rPr>
          <w:rFonts w:eastAsia="Times New Roman"/>
          <w:color w:val="1F3864" w:themeColor="accent1" w:themeShade="80"/>
        </w:rPr>
        <w:t xml:space="preserve"> </w:t>
      </w:r>
      <w:r w:rsidR="00256F29" w:rsidRPr="00EE01FF">
        <w:rPr>
          <w:rFonts w:eastAsia="Times New Roman"/>
          <w:color w:val="1F3864" w:themeColor="accent1" w:themeShade="80"/>
        </w:rPr>
        <w:t>Externality</w:t>
      </w:r>
    </w:p>
    <w:p w14:paraId="4A6F4857" w14:textId="3C3FF1B8" w:rsidR="008E0F74" w:rsidRPr="00FC3B7C" w:rsidRDefault="00256F29" w:rsidP="00EF1F53">
      <w:pPr>
        <w:spacing w:after="240"/>
        <w:rPr>
          <w:sz w:val="20"/>
          <w:szCs w:val="20"/>
        </w:rPr>
      </w:pPr>
      <w:r w:rsidRPr="00FC3B7C">
        <w:rPr>
          <w:rFonts w:eastAsia="Times New Roman"/>
          <w:szCs w:val="24"/>
        </w:rPr>
        <w:t>Externalitu můžeme označit za jakýsi vedlejší efekt.</w:t>
      </w:r>
      <w:r w:rsidR="00EF1F53">
        <w:rPr>
          <w:rFonts w:eastAsia="Times New Roman"/>
          <w:szCs w:val="24"/>
        </w:rPr>
        <w:t xml:space="preserve"> </w:t>
      </w:r>
      <w:r w:rsidRPr="00FC3B7C">
        <w:rPr>
          <w:rFonts w:eastAsia="Times New Roman"/>
          <w:szCs w:val="24"/>
        </w:rPr>
        <w:t>Jakákoli činnost, která ovlivňuje blahobyt někoho jiného tím, že nedobrovolně nese náklady nebo zisky (abychom mohli posoudit důsledky existence externalit na fungování tržní koordinace, musíme si především dobře ujasnit, co to trh vlastně je, k čemu slouží, a co jeho fungování vlastně umožňuje. Trh je mechanismus, který umožňuje různým subjektům vzájemně směňovat různé statky. Je nutno si ale uvědomit, že to, co se ve skutečnosti směňuje, nejsou statky samotné, ale vlastnická práva k těmto statkům, jednoduše řečeno: nemůžete směnit něco, co nevlastníte).</w:t>
      </w:r>
    </w:p>
    <w:p w14:paraId="4A6F4858" w14:textId="4BCE01EE" w:rsidR="008E0F74" w:rsidRPr="00244BB9" w:rsidRDefault="00256F29" w:rsidP="005A497F">
      <w:pPr>
        <w:ind w:right="220"/>
        <w:rPr>
          <w:sz w:val="20"/>
          <w:szCs w:val="20"/>
        </w:rPr>
      </w:pPr>
      <w:r w:rsidRPr="00244BB9">
        <w:rPr>
          <w:rFonts w:eastAsia="Times New Roman"/>
          <w:szCs w:val="24"/>
        </w:rPr>
        <w:lastRenderedPageBreak/>
        <w:t>Podmínkou vzniku externality je existence vlastnických práv (minimálně implicitní). Liberálové poukazují, že neexistence vlastnických práv (jak je tomu v případě volných zdrojů) způsobuje, že zde neexistuje ani trh, neboť tu k žádné směně nedochází, externalita tedy nemůže být způsobená trhem, když v jejím případě trh ani neexistuje.</w:t>
      </w:r>
    </w:p>
    <w:p w14:paraId="4A6F4859" w14:textId="77777777" w:rsidR="008E0F74" w:rsidRPr="00FC3B7C" w:rsidRDefault="00256F29" w:rsidP="00D46B53">
      <w:pPr>
        <w:numPr>
          <w:ilvl w:val="0"/>
          <w:numId w:val="683"/>
        </w:numPr>
        <w:tabs>
          <w:tab w:val="left" w:pos="1418"/>
        </w:tabs>
        <w:spacing w:after="240"/>
        <w:ind w:left="1140" w:right="760" w:hanging="370"/>
        <w:rPr>
          <w:rFonts w:eastAsia="Arial"/>
          <w:szCs w:val="24"/>
        </w:rPr>
      </w:pPr>
      <w:r w:rsidRPr="00244BB9">
        <w:rPr>
          <w:rFonts w:eastAsia="Times New Roman"/>
          <w:szCs w:val="24"/>
        </w:rPr>
        <w:t xml:space="preserve">externality, které jsou příčinou „selhání trhu“, vznikají tedy </w:t>
      </w:r>
      <w:r w:rsidRPr="00FC3B7C">
        <w:rPr>
          <w:rFonts w:eastAsia="Times New Roman"/>
          <w:szCs w:val="24"/>
        </w:rPr>
        <w:t>v důsledku „selhání práva“ (společenského řádu).</w:t>
      </w:r>
    </w:p>
    <w:p w14:paraId="4A6F485A" w14:textId="77777777" w:rsidR="008E0F74" w:rsidRPr="00FC3B7C" w:rsidRDefault="00256F29" w:rsidP="00EF1F53">
      <w:pPr>
        <w:spacing w:after="240"/>
        <w:ind w:left="120" w:right="240"/>
        <w:rPr>
          <w:sz w:val="20"/>
          <w:szCs w:val="20"/>
        </w:rPr>
      </w:pPr>
      <w:r w:rsidRPr="00FC3B7C">
        <w:rPr>
          <w:rFonts w:eastAsia="Times New Roman"/>
          <w:i/>
          <w:iCs/>
          <w:szCs w:val="24"/>
        </w:rPr>
        <w:t>Externality (efekty přelévání) vznikají, jestliže firmy nebo lidé přivodí náklady či zisky jiným, aniž by toto přelévání bylo nějak kompenzováno prostřednictvím trhu.</w:t>
      </w:r>
    </w:p>
    <w:p w14:paraId="4A6F485B" w14:textId="77777777" w:rsidR="008E0F74" w:rsidRPr="00FC3B7C" w:rsidRDefault="00256F29" w:rsidP="00EF1F53">
      <w:pPr>
        <w:spacing w:after="240"/>
        <w:ind w:left="120" w:right="260"/>
        <w:rPr>
          <w:sz w:val="20"/>
          <w:szCs w:val="20"/>
        </w:rPr>
      </w:pPr>
      <w:r w:rsidRPr="00FC3B7C">
        <w:rPr>
          <w:rFonts w:eastAsia="Times New Roman"/>
          <w:szCs w:val="24"/>
        </w:rPr>
        <w:t xml:space="preserve">Externality vznikají kvůli existenci </w:t>
      </w:r>
      <w:r w:rsidRPr="00FC3B7C">
        <w:rPr>
          <w:rFonts w:eastAsia="Times New Roman"/>
          <w:b/>
          <w:bCs/>
          <w:szCs w:val="24"/>
        </w:rPr>
        <w:t>volných</w:t>
      </w:r>
      <w:r w:rsidRPr="00FC3B7C">
        <w:rPr>
          <w:rFonts w:eastAsia="Times New Roman"/>
          <w:szCs w:val="24"/>
        </w:rPr>
        <w:t xml:space="preserve"> (tzn. nikým nevlastněných) </w:t>
      </w:r>
      <w:r w:rsidRPr="00FC3B7C">
        <w:rPr>
          <w:rFonts w:eastAsia="Times New Roman"/>
          <w:b/>
          <w:bCs/>
          <w:szCs w:val="24"/>
        </w:rPr>
        <w:t>zdrojů,</w:t>
      </w:r>
      <w:r w:rsidRPr="00FC3B7C">
        <w:rPr>
          <w:rFonts w:eastAsia="Times New Roman"/>
          <w:szCs w:val="24"/>
        </w:rPr>
        <w:t xml:space="preserve"> respektive kvůli jejich používání.</w:t>
      </w:r>
    </w:p>
    <w:p w14:paraId="4A6F485C" w14:textId="77777777" w:rsidR="008E0F74" w:rsidRPr="00FC3B7C" w:rsidRDefault="00256F29" w:rsidP="00EF1F53">
      <w:pPr>
        <w:spacing w:after="240"/>
        <w:ind w:firstLine="4"/>
        <w:rPr>
          <w:sz w:val="20"/>
          <w:szCs w:val="20"/>
        </w:rPr>
      </w:pPr>
      <w:r w:rsidRPr="00FC3B7C">
        <w:rPr>
          <w:rFonts w:eastAsia="Times New Roman"/>
          <w:szCs w:val="24"/>
        </w:rPr>
        <w:t>Každý má právo využívat tyto volné zdroje, jak se mu zlíbí, neboť neexistuje nikdo, komu by patřily, a kdo by tak mohl určovat, k čemu a za jakých podmínek budou (respektive mohou být) využívány (tj. např. určovat cenu za jejich využití či uplatňovat nárok na náhradu škod, které vznikly případným nepovoleným použitím tohoto zdroje).</w:t>
      </w:r>
    </w:p>
    <w:p w14:paraId="4A6F485D" w14:textId="77777777" w:rsidR="008E0F74" w:rsidRPr="00FC3B7C" w:rsidRDefault="00256F29" w:rsidP="005A497F">
      <w:pPr>
        <w:ind w:left="4"/>
        <w:rPr>
          <w:sz w:val="20"/>
          <w:szCs w:val="20"/>
        </w:rPr>
      </w:pPr>
      <w:bookmarkStart w:id="323" w:name="page353"/>
      <w:bookmarkEnd w:id="323"/>
      <w:r w:rsidRPr="00FC3B7C">
        <w:rPr>
          <w:rFonts w:eastAsia="Times New Roman"/>
          <w:szCs w:val="24"/>
        </w:rPr>
        <w:t>Některé způsoby využívání těchto zdrojů však mění jejich charakteristiky a tím i možnosti jejich využívání jinými způsoby - těm, kdo je chtějí těmito jinými způsoby využívat, tak vznikají náklady, které by nést jinak nemuseli (v případě negativních externalit), nebo naopak výnosy, kterých by jinak nedosáhli (v případě externalit pozitivních).</w:t>
      </w:r>
    </w:p>
    <w:p w14:paraId="4A6F485E" w14:textId="77777777" w:rsidR="008E0F74" w:rsidRPr="00FC3B7C" w:rsidRDefault="00256F29" w:rsidP="005A497F">
      <w:pPr>
        <w:ind w:left="4"/>
        <w:rPr>
          <w:sz w:val="20"/>
          <w:szCs w:val="20"/>
        </w:rPr>
      </w:pPr>
      <w:r w:rsidRPr="00FC3B7C">
        <w:rPr>
          <w:rFonts w:eastAsia="Times New Roman"/>
          <w:szCs w:val="24"/>
        </w:rPr>
        <w:t xml:space="preserve">U externalit rozlišujeme dva druhy nákladů – </w:t>
      </w:r>
      <w:r w:rsidRPr="00FC3B7C">
        <w:rPr>
          <w:rFonts w:eastAsia="Times New Roman"/>
          <w:b/>
          <w:bCs/>
          <w:szCs w:val="24"/>
        </w:rPr>
        <w:t>společenské a soukromé náklady</w:t>
      </w:r>
    </w:p>
    <w:p w14:paraId="4A6F485F" w14:textId="77777777" w:rsidR="008E0F74" w:rsidRPr="00FC3B7C" w:rsidRDefault="00256F29" w:rsidP="00D46B53">
      <w:pPr>
        <w:numPr>
          <w:ilvl w:val="0"/>
          <w:numId w:val="301"/>
        </w:numPr>
        <w:tabs>
          <w:tab w:val="left" w:pos="1144"/>
        </w:tabs>
        <w:ind w:left="1144" w:hanging="367"/>
        <w:rPr>
          <w:rFonts w:eastAsia="Courier New"/>
          <w:szCs w:val="24"/>
        </w:rPr>
      </w:pPr>
      <w:r w:rsidRPr="00FC3B7C">
        <w:rPr>
          <w:rFonts w:eastAsia="Times New Roman"/>
          <w:szCs w:val="24"/>
        </w:rPr>
        <w:t>soukromé přímo platí producent daného statku, můžeme je lehce vyčíslit</w:t>
      </w:r>
    </w:p>
    <w:p w14:paraId="4A6F4860" w14:textId="77777777" w:rsidR="008E0F74" w:rsidRPr="00FC3B7C" w:rsidRDefault="00256F29" w:rsidP="00D46B53">
      <w:pPr>
        <w:numPr>
          <w:ilvl w:val="0"/>
          <w:numId w:val="302"/>
        </w:numPr>
        <w:tabs>
          <w:tab w:val="left" w:pos="1144"/>
        </w:tabs>
        <w:spacing w:after="240"/>
        <w:ind w:left="1144" w:hanging="367"/>
        <w:rPr>
          <w:rFonts w:eastAsia="Courier New"/>
          <w:szCs w:val="24"/>
        </w:rPr>
      </w:pPr>
      <w:r w:rsidRPr="00FC3B7C">
        <w:rPr>
          <w:rFonts w:eastAsia="Times New Roman"/>
          <w:szCs w:val="24"/>
        </w:rPr>
        <w:t>společenské zahrnují veškeré dopady něčí činnosti na společnost</w:t>
      </w:r>
    </w:p>
    <w:p w14:paraId="4A6F4861" w14:textId="77777777" w:rsidR="008E0F74" w:rsidRPr="00FC3B7C" w:rsidRDefault="00256F29" w:rsidP="005A497F">
      <w:pPr>
        <w:ind w:left="4" w:right="140"/>
        <w:rPr>
          <w:sz w:val="20"/>
          <w:szCs w:val="20"/>
        </w:rPr>
      </w:pPr>
      <w:r w:rsidRPr="00FC3B7C">
        <w:rPr>
          <w:rFonts w:eastAsia="Times New Roman"/>
          <w:szCs w:val="24"/>
        </w:rPr>
        <w:t>Označení pozitivní a negativní je normativní (nemůže tudíž být objektivní), pro někoho daná činnost může být externalitou pozitivní pro jiného negativní, např. vyhazování zbytků jídla z restaurace do rybníka pro rybáře pozitivní externalitou (výkrm ryb), ale pro plavce negativní (znečištění rybníka).</w:t>
      </w:r>
    </w:p>
    <w:p w14:paraId="4A6F4862" w14:textId="77777777" w:rsidR="008E0F74" w:rsidRPr="00FC3B7C" w:rsidRDefault="00256F29" w:rsidP="005A497F">
      <w:pPr>
        <w:ind w:left="4"/>
        <w:rPr>
          <w:sz w:val="20"/>
          <w:szCs w:val="20"/>
        </w:rPr>
      </w:pPr>
      <w:r w:rsidRPr="00FC3B7C">
        <w:rPr>
          <w:rFonts w:eastAsia="Times New Roman"/>
          <w:szCs w:val="24"/>
        </w:rPr>
        <w:t>V případě externalit dochází na trhu k:</w:t>
      </w:r>
    </w:p>
    <w:p w14:paraId="4A6F4863" w14:textId="77777777" w:rsidR="008E0F74" w:rsidRPr="00FC3B7C" w:rsidRDefault="00256F29" w:rsidP="00D46B53">
      <w:pPr>
        <w:numPr>
          <w:ilvl w:val="0"/>
          <w:numId w:val="303"/>
        </w:numPr>
        <w:tabs>
          <w:tab w:val="left" w:pos="1144"/>
        </w:tabs>
        <w:ind w:left="1144" w:right="340" w:hanging="367"/>
        <w:rPr>
          <w:rFonts w:eastAsia="Times New Roman"/>
          <w:szCs w:val="24"/>
        </w:rPr>
      </w:pPr>
      <w:r w:rsidRPr="00FC3B7C">
        <w:rPr>
          <w:rFonts w:eastAsia="Times New Roman"/>
          <w:b/>
          <w:bCs/>
          <w:i/>
          <w:iCs/>
          <w:szCs w:val="24"/>
        </w:rPr>
        <w:t xml:space="preserve">Výrobní neefektivnosti </w:t>
      </w:r>
      <w:r w:rsidRPr="00FC3B7C">
        <w:rPr>
          <w:rFonts w:eastAsia="Times New Roman"/>
          <w:szCs w:val="24"/>
        </w:rPr>
        <w:t>– firmy, které jsou zdrojem negativních externalit,</w:t>
      </w:r>
      <w:r w:rsidRPr="00FC3B7C">
        <w:rPr>
          <w:rFonts w:eastAsia="Times New Roman"/>
          <w:b/>
          <w:bCs/>
          <w:i/>
          <w:iCs/>
          <w:szCs w:val="24"/>
        </w:rPr>
        <w:t xml:space="preserve"> </w:t>
      </w:r>
      <w:r w:rsidRPr="00FC3B7C">
        <w:rPr>
          <w:rFonts w:eastAsia="Times New Roman"/>
          <w:szCs w:val="24"/>
        </w:rPr>
        <w:t>produkují větší objemy, protože náklady na jejich výrobu jsou podhodnocené. Producenti pozitivních externalit budou produkovat méně, protože nenesou veškeré výnosy. (viz grafy na str. 9,10)</w:t>
      </w:r>
    </w:p>
    <w:p w14:paraId="4A6F4864" w14:textId="77777777" w:rsidR="008E0F74" w:rsidRPr="005A497F" w:rsidRDefault="00256F29" w:rsidP="00D46B53">
      <w:pPr>
        <w:numPr>
          <w:ilvl w:val="0"/>
          <w:numId w:val="303"/>
        </w:numPr>
        <w:tabs>
          <w:tab w:val="left" w:pos="1144"/>
        </w:tabs>
        <w:ind w:left="1144" w:hanging="367"/>
        <w:rPr>
          <w:rFonts w:eastAsia="Times New Roman"/>
          <w:szCs w:val="24"/>
        </w:rPr>
      </w:pPr>
      <w:r w:rsidRPr="005A497F">
        <w:rPr>
          <w:rFonts w:eastAsia="Times New Roman"/>
          <w:b/>
          <w:bCs/>
          <w:i/>
          <w:iCs/>
          <w:szCs w:val="24"/>
        </w:rPr>
        <w:lastRenderedPageBreak/>
        <w:t xml:space="preserve">Alokační neefektivnost </w:t>
      </w:r>
      <w:r w:rsidRPr="005A497F">
        <w:rPr>
          <w:rFonts w:eastAsia="Times New Roman"/>
          <w:szCs w:val="24"/>
        </w:rPr>
        <w:t>– vyrábí se jiné množství než</w:t>
      </w:r>
      <w:r w:rsidRPr="005A497F">
        <w:rPr>
          <w:rFonts w:eastAsia="Times New Roman"/>
          <w:b/>
          <w:bCs/>
          <w:i/>
          <w:iCs/>
          <w:szCs w:val="24"/>
        </w:rPr>
        <w:t xml:space="preserve"> </w:t>
      </w:r>
      <w:r w:rsidRPr="005A497F">
        <w:rPr>
          <w:rFonts w:eastAsia="Times New Roman"/>
          <w:szCs w:val="24"/>
        </w:rPr>
        <w:t>to, které je preferováno</w:t>
      </w:r>
      <w:r w:rsidRPr="005A497F">
        <w:rPr>
          <w:rFonts w:eastAsia="Times New Roman"/>
          <w:b/>
          <w:bCs/>
          <w:i/>
          <w:iCs/>
          <w:szCs w:val="24"/>
        </w:rPr>
        <w:t xml:space="preserve"> </w:t>
      </w:r>
      <w:r w:rsidRPr="005A497F">
        <w:rPr>
          <w:rFonts w:eastAsia="Times New Roman"/>
          <w:szCs w:val="24"/>
        </w:rPr>
        <w:t>spotřebiteli.</w:t>
      </w:r>
    </w:p>
    <w:p w14:paraId="4A6F4866" w14:textId="4B58B514" w:rsidR="008E0F74" w:rsidRPr="00EF1F53" w:rsidRDefault="00256F29" w:rsidP="00D46B53">
      <w:pPr>
        <w:numPr>
          <w:ilvl w:val="0"/>
          <w:numId w:val="303"/>
        </w:numPr>
        <w:tabs>
          <w:tab w:val="left" w:pos="1144"/>
        </w:tabs>
        <w:spacing w:after="240"/>
        <w:rPr>
          <w:rFonts w:eastAsia="Times New Roman"/>
          <w:szCs w:val="24"/>
        </w:rPr>
      </w:pPr>
      <w:r w:rsidRPr="00FC3B7C">
        <w:rPr>
          <w:rFonts w:eastAsia="Times New Roman"/>
          <w:szCs w:val="24"/>
        </w:rPr>
        <w:t>V některých případech i neefektivnost dynamické a Leibsteinovské.</w:t>
      </w:r>
    </w:p>
    <w:p w14:paraId="4A6F4867" w14:textId="77777777" w:rsidR="008E0F74" w:rsidRPr="00EE01FF" w:rsidRDefault="00256F29" w:rsidP="005A497F">
      <w:pPr>
        <w:pStyle w:val="Nadpis4"/>
        <w:rPr>
          <w:color w:val="1F3864" w:themeColor="accent1" w:themeShade="80"/>
          <w:sz w:val="20"/>
          <w:szCs w:val="20"/>
        </w:rPr>
      </w:pPr>
      <w:r w:rsidRPr="00EE01FF">
        <w:rPr>
          <w:rFonts w:eastAsia="Times New Roman"/>
          <w:color w:val="1F3864" w:themeColor="accent1" w:themeShade="80"/>
        </w:rPr>
        <w:t>Negativní externality</w:t>
      </w:r>
    </w:p>
    <w:p w14:paraId="4A6F4868" w14:textId="77777777" w:rsidR="008E0F74" w:rsidRPr="00FC3B7C" w:rsidRDefault="00256F29" w:rsidP="00D46B53">
      <w:pPr>
        <w:pStyle w:val="Odstavecseseznamem"/>
        <w:numPr>
          <w:ilvl w:val="0"/>
          <w:numId w:val="684"/>
        </w:numPr>
        <w:ind w:left="426"/>
      </w:pPr>
      <w:r w:rsidRPr="00EF1F53">
        <w:rPr>
          <w:rFonts w:eastAsia="Times New Roman"/>
          <w:szCs w:val="24"/>
        </w:rPr>
        <w:t>Situace, kdy společenské náklady na určitou (výrobní nebo spotřební) činnost jsou vyšší než soukromé náklady. Jednotlivec přenáší část svých nákladů na jiné subjekty bez jejich souhlasu.</w:t>
      </w:r>
    </w:p>
    <w:p w14:paraId="4A6F4869" w14:textId="77777777" w:rsidR="008E0F74" w:rsidRPr="00FC3B7C" w:rsidRDefault="00256F29" w:rsidP="00D46B53">
      <w:pPr>
        <w:pStyle w:val="Odstavecseseznamem"/>
        <w:numPr>
          <w:ilvl w:val="0"/>
          <w:numId w:val="684"/>
        </w:numPr>
        <w:ind w:left="426"/>
      </w:pPr>
      <w:r w:rsidRPr="00EF1F53">
        <w:rPr>
          <w:rFonts w:eastAsia="Times New Roman"/>
          <w:szCs w:val="24"/>
        </w:rPr>
        <w:t>Výše negativních externalit je ve velké míře ovlivňována tím, jakým způsobem a zdali vůbec (u veřejných statků, jako je voda vzduch a jiných environmentálních statků) jsou vymezena vlastnická práva.</w:t>
      </w:r>
    </w:p>
    <w:p w14:paraId="4A6F486A" w14:textId="77777777" w:rsidR="008E0F74" w:rsidRPr="00FC3B7C" w:rsidRDefault="00256F29" w:rsidP="00D46B53">
      <w:pPr>
        <w:pStyle w:val="Odstavecseseznamem"/>
        <w:numPr>
          <w:ilvl w:val="0"/>
          <w:numId w:val="684"/>
        </w:numPr>
        <w:ind w:left="426"/>
      </w:pPr>
      <w:r w:rsidRPr="00EF1F53">
        <w:rPr>
          <w:rFonts w:eastAsia="Times New Roman"/>
          <w:szCs w:val="24"/>
        </w:rPr>
        <w:t>Vlády se (samozřejmě) více zajímají o negativní externality.</w:t>
      </w:r>
    </w:p>
    <w:p w14:paraId="4A6F486B" w14:textId="40C04F2F" w:rsidR="008E0F74" w:rsidRPr="00EF1F53" w:rsidRDefault="00256F29" w:rsidP="00D46B53">
      <w:pPr>
        <w:pStyle w:val="Odstavecseseznamem"/>
        <w:numPr>
          <w:ilvl w:val="0"/>
          <w:numId w:val="684"/>
        </w:numPr>
        <w:ind w:left="426"/>
        <w:rPr>
          <w:rFonts w:eastAsia="Times New Roman"/>
        </w:rPr>
      </w:pPr>
      <w:r w:rsidRPr="00EF1F53">
        <w:rPr>
          <w:rFonts w:eastAsia="Times New Roman"/>
        </w:rPr>
        <w:t>vývojem společnosti, postupným hustějším zalidňováním a s tím spojeným růstem produkce energie, chemikálií a dalších materiálů se z negativních externalit (původně považovaných jen jako malá „vada trhu“) stala podstatně větší hrozba - vláda v těchto případech využívá pravomoci vydávat nařízení a o externality typu</w:t>
      </w:r>
      <w:r w:rsidR="00847363">
        <w:rPr>
          <w:rFonts w:eastAsia="Times New Roman"/>
        </w:rPr>
        <w:t xml:space="preserve"> znečištění vody a ovzduší, ško</w:t>
      </w:r>
      <w:r w:rsidRPr="00EF1F53">
        <w:rPr>
          <w:rFonts w:eastAsia="Times New Roman"/>
        </w:rPr>
        <w:t>dy z těžby,</w:t>
      </w:r>
    </w:p>
    <w:p w14:paraId="4A6F486C" w14:textId="77777777" w:rsidR="008E0F74" w:rsidRPr="00EF1F53" w:rsidRDefault="00256F29" w:rsidP="00D46B53">
      <w:pPr>
        <w:pStyle w:val="Odstavecseseznamem"/>
        <w:numPr>
          <w:ilvl w:val="0"/>
          <w:numId w:val="684"/>
        </w:numPr>
        <w:ind w:left="426"/>
        <w:rPr>
          <w:sz w:val="20"/>
          <w:szCs w:val="20"/>
        </w:rPr>
      </w:pPr>
      <w:bookmarkStart w:id="324" w:name="page354"/>
      <w:bookmarkEnd w:id="324"/>
      <w:r w:rsidRPr="00EF1F53">
        <w:rPr>
          <w:rFonts w:eastAsia="Times New Roman"/>
          <w:szCs w:val="24"/>
        </w:rPr>
        <w:t>nebezpečný odpad, nebezpečné potraviny a léky či radioaktivní materiál, se stará tímto způsobem.</w:t>
      </w:r>
    </w:p>
    <w:p w14:paraId="4A6F486D" w14:textId="77777777" w:rsidR="008E0F74" w:rsidRPr="00EF1F53" w:rsidRDefault="00256F29" w:rsidP="00D46B53">
      <w:pPr>
        <w:pStyle w:val="Odstavecseseznamem"/>
        <w:numPr>
          <w:ilvl w:val="0"/>
          <w:numId w:val="684"/>
        </w:numPr>
        <w:ind w:left="426"/>
        <w:rPr>
          <w:sz w:val="20"/>
          <w:szCs w:val="20"/>
        </w:rPr>
      </w:pPr>
      <w:r w:rsidRPr="00EF1F53">
        <w:rPr>
          <w:rFonts w:eastAsia="Times New Roman"/>
          <w:szCs w:val="24"/>
        </w:rPr>
        <w:t xml:space="preserve">Negativní externalita dále znamená, že tržní množství statku, který je zdrojem negativní externality, je větší než společensky optimální. V případě negativních externalit se setkáváme s vládními zásahy v podobě zdanění či přímé regulace. U negativní externality dochází </w:t>
      </w:r>
      <w:r w:rsidR="000C22D0" w:rsidRPr="00EF1F53">
        <w:rPr>
          <w:rFonts w:eastAsia="Times New Roman"/>
          <w:szCs w:val="24"/>
        </w:rPr>
        <w:br/>
      </w:r>
      <w:r w:rsidRPr="00EF1F53">
        <w:rPr>
          <w:rFonts w:eastAsia="Times New Roman"/>
          <w:szCs w:val="24"/>
        </w:rPr>
        <w:t>k nadprodukci.</w:t>
      </w:r>
    </w:p>
    <w:p w14:paraId="4A6F486E" w14:textId="77777777" w:rsidR="008E0F74" w:rsidRPr="00FC3B7C" w:rsidRDefault="008E0F74">
      <w:pPr>
        <w:spacing w:line="3" w:lineRule="exact"/>
        <w:rPr>
          <w:sz w:val="20"/>
          <w:szCs w:val="20"/>
        </w:rPr>
      </w:pPr>
    </w:p>
    <w:p w14:paraId="4A6F486F" w14:textId="77777777" w:rsidR="000C22D0" w:rsidRDefault="000C22D0">
      <w:pPr>
        <w:ind w:left="4"/>
        <w:rPr>
          <w:rFonts w:eastAsia="Times New Roman"/>
          <w:b/>
          <w:bCs/>
          <w:i/>
          <w:iCs/>
          <w:szCs w:val="24"/>
        </w:rPr>
      </w:pPr>
    </w:p>
    <w:p w14:paraId="4A6F4870" w14:textId="77777777" w:rsidR="008E0F74" w:rsidRPr="00FC3B7C" w:rsidRDefault="00256F29">
      <w:pPr>
        <w:ind w:left="4"/>
        <w:rPr>
          <w:sz w:val="20"/>
          <w:szCs w:val="20"/>
        </w:rPr>
      </w:pPr>
      <w:r w:rsidRPr="00FC3B7C">
        <w:rPr>
          <w:rFonts w:eastAsia="Times New Roman"/>
          <w:b/>
          <w:bCs/>
          <w:i/>
          <w:iCs/>
          <w:szCs w:val="24"/>
        </w:rPr>
        <w:t>Příklad negativní externality z praxe:</w:t>
      </w:r>
    </w:p>
    <w:p w14:paraId="4A6F4871" w14:textId="77777777" w:rsidR="008E0F74" w:rsidRPr="00FC3B7C" w:rsidRDefault="00256F29" w:rsidP="000C22D0">
      <w:pPr>
        <w:rPr>
          <w:sz w:val="20"/>
          <w:szCs w:val="20"/>
        </w:rPr>
      </w:pPr>
      <w:r w:rsidRPr="00FC3B7C">
        <w:rPr>
          <w:rFonts w:eastAsia="Times New Roman"/>
        </w:rPr>
        <w:t>Jako příklad nám může sloužit továrna, která nejenom, že spalováním uhlí znečišťuje ovzduší, dále také znečišťuje řeku vypouštěním odpadních látek. Na první pohled je jasné, že společenské náklady v tomto případě výrazně přesahují soukromé náklady – obyvatelé bydlící</w:t>
      </w:r>
    </w:p>
    <w:p w14:paraId="4A6F4872" w14:textId="77777777" w:rsidR="008E0F74" w:rsidRPr="00FC3B7C" w:rsidRDefault="00256F29" w:rsidP="000C22D0">
      <w:pPr>
        <w:rPr>
          <w:sz w:val="20"/>
          <w:szCs w:val="20"/>
        </w:rPr>
      </w:pPr>
      <w:r w:rsidRPr="00FC3B7C">
        <w:rPr>
          <w:rFonts w:eastAsia="Times New Roman"/>
        </w:rPr>
        <w:t>blízkosti továrny mají zvýšené výdaje na ochranu zdraví kvůli vypouštěným emisím (alergická onemocnění), zvýšené výdaje na praní oblečení (na rozdíl od neznečištěných oblastí je potřeba delší prací čas, kvalitní prací prostředky). Oproti obyvatelům pocházejících z</w:t>
      </w:r>
      <w:r w:rsidR="000C22D0">
        <w:rPr>
          <w:rFonts w:eastAsia="Times New Roman"/>
        </w:rPr>
        <w:t> </w:t>
      </w:r>
      <w:r w:rsidRPr="00FC3B7C">
        <w:rPr>
          <w:rFonts w:eastAsia="Times New Roman"/>
        </w:rPr>
        <w:t>méně</w:t>
      </w:r>
      <w:r w:rsidR="000C22D0">
        <w:rPr>
          <w:rFonts w:eastAsia="Times New Roman"/>
        </w:rPr>
        <w:t xml:space="preserve"> </w:t>
      </w:r>
      <w:r w:rsidRPr="00FC3B7C">
        <w:rPr>
          <w:rFonts w:eastAsia="Times New Roman"/>
          <w:szCs w:val="24"/>
        </w:rPr>
        <w:t xml:space="preserve">znečištěného prostředí je dokázána vyšší potřeba jet na rekreaci za čistým vzduchem (kvůli vysoké koncentraci škodlivých výparů). S tím souvisí fakt, že v dané oblasti nebudou </w:t>
      </w:r>
      <w:r w:rsidRPr="00FC3B7C">
        <w:rPr>
          <w:rFonts w:eastAsia="Times New Roman"/>
          <w:szCs w:val="24"/>
        </w:rPr>
        <w:lastRenderedPageBreak/>
        <w:t>mít zájem turisté trávit svoji dovolenou. Ve znečišťované řece bude docházet k vymírání určitých druhů živočichů. Společenské náklady se v budoucnu ještě zvýší kvůli vynaloženým prostředkům ke zlepšení kvality vody apod.</w:t>
      </w:r>
    </w:p>
    <w:p w14:paraId="4A6F4873" w14:textId="77777777" w:rsidR="008E0F74" w:rsidRPr="00FC3B7C" w:rsidRDefault="00256F29" w:rsidP="000C22D0">
      <w:pPr>
        <w:rPr>
          <w:sz w:val="20"/>
          <w:szCs w:val="20"/>
        </w:rPr>
      </w:pPr>
      <w:r w:rsidRPr="00FC3B7C">
        <w:rPr>
          <w:rFonts w:eastAsia="Times New Roman"/>
        </w:rPr>
        <w:t>Po odhadnutí těchto nákladů a jejich následného porovnání se soukromými náklady zjišťujeme, že jsou společenské náklady mnohem vyšší, že se jednoznačně jedná o negativní externalitu. Pokud je továrna sankcionována pouze za vypouštění emisí do ovzduší, nikoliv za vypouštění odpadních látek do řeky, je nasnadě, že management továrny bude preferovat ekonomičtější variantu a bude se tedy snažit nastavit takový způsob výroby, který bude co nejméně znečišťovat ovzduší nehledě na znečišťování řeky.</w:t>
      </w:r>
    </w:p>
    <w:p w14:paraId="4A6F4874" w14:textId="77777777" w:rsidR="000C22D0" w:rsidRDefault="000C22D0">
      <w:pPr>
        <w:rPr>
          <w:rFonts w:eastAsia="Times New Roman"/>
          <w:b/>
          <w:bCs/>
          <w:szCs w:val="24"/>
        </w:rPr>
      </w:pPr>
      <w:bookmarkStart w:id="325" w:name="page355"/>
      <w:bookmarkEnd w:id="325"/>
    </w:p>
    <w:p w14:paraId="4A6F4875" w14:textId="77777777" w:rsidR="008E0F74" w:rsidRPr="00FC3B7C" w:rsidRDefault="00256F29">
      <w:pPr>
        <w:rPr>
          <w:sz w:val="20"/>
          <w:szCs w:val="20"/>
        </w:rPr>
      </w:pPr>
      <w:r w:rsidRPr="00FC3B7C">
        <w:rPr>
          <w:rFonts w:eastAsia="Times New Roman"/>
          <w:b/>
          <w:bCs/>
          <w:szCs w:val="24"/>
        </w:rPr>
        <w:t>GRAF: Negativní externalita</w:t>
      </w:r>
    </w:p>
    <w:p w14:paraId="4A6F4876" w14:textId="77777777" w:rsidR="008E0F74" w:rsidRPr="00FC3B7C" w:rsidRDefault="00256F29">
      <w:pPr>
        <w:spacing w:line="20" w:lineRule="exact"/>
        <w:rPr>
          <w:sz w:val="20"/>
          <w:szCs w:val="20"/>
        </w:rPr>
      </w:pPr>
      <w:r w:rsidRPr="00FC3B7C">
        <w:rPr>
          <w:noProof/>
          <w:sz w:val="20"/>
          <w:szCs w:val="20"/>
        </w:rPr>
        <w:drawing>
          <wp:anchor distT="0" distB="0" distL="114300" distR="114300" simplePos="0" relativeHeight="251580928" behindDoc="1" locked="0" layoutInCell="0" allowOverlap="1" wp14:anchorId="4A6F5D04" wp14:editId="504EF434">
            <wp:simplePos x="0" y="0"/>
            <wp:positionH relativeFrom="column">
              <wp:posOffset>92075</wp:posOffset>
            </wp:positionH>
            <wp:positionV relativeFrom="paragraph">
              <wp:posOffset>102870</wp:posOffset>
            </wp:positionV>
            <wp:extent cx="4547870" cy="3255010"/>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4"/>
                    <a:srcRect/>
                    <a:stretch>
                      <a:fillRect/>
                    </a:stretch>
                  </pic:blipFill>
                  <pic:spPr bwMode="auto">
                    <a:xfrm>
                      <a:off x="0" y="0"/>
                      <a:ext cx="4547870" cy="3255010"/>
                    </a:xfrm>
                    <a:prstGeom prst="rect">
                      <a:avLst/>
                    </a:prstGeom>
                    <a:noFill/>
                  </pic:spPr>
                </pic:pic>
              </a:graphicData>
            </a:graphic>
          </wp:anchor>
        </w:drawing>
      </w:r>
    </w:p>
    <w:p w14:paraId="4A6F4877" w14:textId="77777777" w:rsidR="008E0F74" w:rsidRPr="00FC3B7C" w:rsidRDefault="008E0F74">
      <w:pPr>
        <w:spacing w:line="200" w:lineRule="exact"/>
        <w:rPr>
          <w:sz w:val="20"/>
          <w:szCs w:val="20"/>
        </w:rPr>
      </w:pPr>
    </w:p>
    <w:p w14:paraId="4A6F4878" w14:textId="77777777" w:rsidR="008E0F74" w:rsidRPr="00FC3B7C" w:rsidRDefault="008E0F74">
      <w:pPr>
        <w:spacing w:line="200" w:lineRule="exact"/>
        <w:rPr>
          <w:sz w:val="20"/>
          <w:szCs w:val="20"/>
        </w:rPr>
      </w:pPr>
    </w:p>
    <w:p w14:paraId="4A6F4879" w14:textId="77777777" w:rsidR="008E0F74" w:rsidRPr="00FC3B7C" w:rsidRDefault="008E0F74">
      <w:pPr>
        <w:spacing w:line="200" w:lineRule="exact"/>
        <w:rPr>
          <w:sz w:val="20"/>
          <w:szCs w:val="20"/>
        </w:rPr>
      </w:pPr>
    </w:p>
    <w:p w14:paraId="4A6F487A" w14:textId="77777777" w:rsidR="008E0F74" w:rsidRPr="00FC3B7C" w:rsidRDefault="008E0F74">
      <w:pPr>
        <w:spacing w:line="200" w:lineRule="exact"/>
        <w:rPr>
          <w:sz w:val="20"/>
          <w:szCs w:val="20"/>
        </w:rPr>
      </w:pPr>
    </w:p>
    <w:p w14:paraId="4A6F487B" w14:textId="77777777" w:rsidR="008E0F74" w:rsidRPr="00FC3B7C" w:rsidRDefault="008E0F74">
      <w:pPr>
        <w:spacing w:line="200" w:lineRule="exact"/>
        <w:rPr>
          <w:sz w:val="20"/>
          <w:szCs w:val="20"/>
        </w:rPr>
      </w:pPr>
    </w:p>
    <w:p w14:paraId="4A6F487C" w14:textId="77777777" w:rsidR="008E0F74" w:rsidRPr="00FC3B7C" w:rsidRDefault="008E0F74">
      <w:pPr>
        <w:spacing w:line="200" w:lineRule="exact"/>
        <w:rPr>
          <w:sz w:val="20"/>
          <w:szCs w:val="20"/>
        </w:rPr>
      </w:pPr>
    </w:p>
    <w:p w14:paraId="4A6F487D" w14:textId="77777777" w:rsidR="008E0F74" w:rsidRPr="00FC3B7C" w:rsidRDefault="008E0F74">
      <w:pPr>
        <w:spacing w:line="200" w:lineRule="exact"/>
        <w:rPr>
          <w:sz w:val="20"/>
          <w:szCs w:val="20"/>
        </w:rPr>
      </w:pPr>
    </w:p>
    <w:p w14:paraId="4A6F487E" w14:textId="77777777" w:rsidR="008E0F74" w:rsidRPr="00FC3B7C" w:rsidRDefault="008E0F74">
      <w:pPr>
        <w:spacing w:line="200" w:lineRule="exact"/>
        <w:rPr>
          <w:sz w:val="20"/>
          <w:szCs w:val="20"/>
        </w:rPr>
      </w:pPr>
    </w:p>
    <w:p w14:paraId="4A6F487F" w14:textId="77777777" w:rsidR="008E0F74" w:rsidRPr="00FC3B7C" w:rsidRDefault="008E0F74">
      <w:pPr>
        <w:spacing w:line="200" w:lineRule="exact"/>
        <w:rPr>
          <w:sz w:val="20"/>
          <w:szCs w:val="20"/>
        </w:rPr>
      </w:pPr>
    </w:p>
    <w:p w14:paraId="4A6F4880" w14:textId="77777777" w:rsidR="008E0F74" w:rsidRPr="00FC3B7C" w:rsidRDefault="008E0F74">
      <w:pPr>
        <w:spacing w:line="200" w:lineRule="exact"/>
        <w:rPr>
          <w:sz w:val="20"/>
          <w:szCs w:val="20"/>
        </w:rPr>
      </w:pPr>
    </w:p>
    <w:p w14:paraId="4A6F4881" w14:textId="77777777" w:rsidR="008E0F74" w:rsidRPr="00FC3B7C" w:rsidRDefault="008E0F74">
      <w:pPr>
        <w:spacing w:line="200" w:lineRule="exact"/>
        <w:rPr>
          <w:sz w:val="20"/>
          <w:szCs w:val="20"/>
        </w:rPr>
      </w:pPr>
    </w:p>
    <w:p w14:paraId="4A6F4882" w14:textId="77777777" w:rsidR="008E0F74" w:rsidRPr="00FC3B7C" w:rsidRDefault="008E0F74">
      <w:pPr>
        <w:spacing w:line="200" w:lineRule="exact"/>
        <w:rPr>
          <w:sz w:val="20"/>
          <w:szCs w:val="20"/>
        </w:rPr>
      </w:pPr>
    </w:p>
    <w:p w14:paraId="4A6F4883" w14:textId="77777777" w:rsidR="008E0F74" w:rsidRPr="00FC3B7C" w:rsidRDefault="008E0F74">
      <w:pPr>
        <w:spacing w:line="200" w:lineRule="exact"/>
        <w:rPr>
          <w:sz w:val="20"/>
          <w:szCs w:val="20"/>
        </w:rPr>
      </w:pPr>
    </w:p>
    <w:p w14:paraId="4A6F4884" w14:textId="77777777" w:rsidR="008E0F74" w:rsidRPr="00FC3B7C" w:rsidRDefault="008E0F74">
      <w:pPr>
        <w:spacing w:line="200" w:lineRule="exact"/>
        <w:rPr>
          <w:sz w:val="20"/>
          <w:szCs w:val="20"/>
        </w:rPr>
      </w:pPr>
    </w:p>
    <w:p w14:paraId="4A6F4885" w14:textId="77777777" w:rsidR="008E0F74" w:rsidRPr="00FC3B7C" w:rsidRDefault="008E0F74">
      <w:pPr>
        <w:spacing w:line="200" w:lineRule="exact"/>
        <w:rPr>
          <w:sz w:val="20"/>
          <w:szCs w:val="20"/>
        </w:rPr>
      </w:pPr>
    </w:p>
    <w:p w14:paraId="4A6F4886" w14:textId="77777777" w:rsidR="008E0F74" w:rsidRPr="00FC3B7C" w:rsidRDefault="008E0F74">
      <w:pPr>
        <w:spacing w:line="200" w:lineRule="exact"/>
        <w:rPr>
          <w:sz w:val="20"/>
          <w:szCs w:val="20"/>
        </w:rPr>
      </w:pPr>
    </w:p>
    <w:p w14:paraId="4A6F4887" w14:textId="77777777" w:rsidR="008E0F74" w:rsidRPr="00FC3B7C" w:rsidRDefault="008E0F74">
      <w:pPr>
        <w:spacing w:line="200" w:lineRule="exact"/>
        <w:rPr>
          <w:sz w:val="20"/>
          <w:szCs w:val="20"/>
        </w:rPr>
      </w:pPr>
    </w:p>
    <w:p w14:paraId="4A6F4888" w14:textId="77777777" w:rsidR="008E0F74" w:rsidRPr="00FC3B7C" w:rsidRDefault="008E0F74">
      <w:pPr>
        <w:spacing w:line="200" w:lineRule="exact"/>
        <w:rPr>
          <w:sz w:val="20"/>
          <w:szCs w:val="20"/>
        </w:rPr>
      </w:pPr>
    </w:p>
    <w:p w14:paraId="4A6F4889" w14:textId="77777777" w:rsidR="008E0F74" w:rsidRPr="00FC3B7C" w:rsidRDefault="008E0F74">
      <w:pPr>
        <w:spacing w:line="200" w:lineRule="exact"/>
        <w:rPr>
          <w:sz w:val="20"/>
          <w:szCs w:val="20"/>
        </w:rPr>
      </w:pPr>
    </w:p>
    <w:p w14:paraId="4A6F488A" w14:textId="77777777" w:rsidR="008E0F74" w:rsidRPr="00FC3B7C" w:rsidRDefault="008E0F74">
      <w:pPr>
        <w:spacing w:line="200" w:lineRule="exact"/>
        <w:rPr>
          <w:sz w:val="20"/>
          <w:szCs w:val="20"/>
        </w:rPr>
      </w:pPr>
    </w:p>
    <w:p w14:paraId="4A6F488B" w14:textId="77777777" w:rsidR="008E0F74" w:rsidRPr="00FC3B7C" w:rsidRDefault="008E0F74">
      <w:pPr>
        <w:spacing w:line="200" w:lineRule="exact"/>
        <w:rPr>
          <w:sz w:val="20"/>
          <w:szCs w:val="20"/>
        </w:rPr>
      </w:pPr>
    </w:p>
    <w:p w14:paraId="4A6F488C" w14:textId="77777777" w:rsidR="008E0F74" w:rsidRPr="00FC3B7C" w:rsidRDefault="008E0F74">
      <w:pPr>
        <w:spacing w:line="200" w:lineRule="exact"/>
        <w:rPr>
          <w:sz w:val="20"/>
          <w:szCs w:val="20"/>
        </w:rPr>
      </w:pPr>
    </w:p>
    <w:p w14:paraId="4A6F488D" w14:textId="77777777" w:rsidR="008E0F74" w:rsidRPr="00FC3B7C" w:rsidRDefault="008E0F74">
      <w:pPr>
        <w:spacing w:line="200" w:lineRule="exact"/>
        <w:rPr>
          <w:sz w:val="20"/>
          <w:szCs w:val="20"/>
        </w:rPr>
      </w:pPr>
    </w:p>
    <w:p w14:paraId="4A6F488E" w14:textId="77777777" w:rsidR="008E0F74" w:rsidRPr="00FC3B7C" w:rsidRDefault="008E0F74">
      <w:pPr>
        <w:spacing w:line="200" w:lineRule="exact"/>
        <w:rPr>
          <w:sz w:val="20"/>
          <w:szCs w:val="20"/>
        </w:rPr>
      </w:pPr>
    </w:p>
    <w:p w14:paraId="4A6F488F" w14:textId="77777777" w:rsidR="008E0F74" w:rsidRPr="00FC3B7C" w:rsidRDefault="008E0F74">
      <w:pPr>
        <w:spacing w:line="200" w:lineRule="exact"/>
        <w:rPr>
          <w:sz w:val="20"/>
          <w:szCs w:val="20"/>
        </w:rPr>
      </w:pPr>
    </w:p>
    <w:p w14:paraId="4A6F4890" w14:textId="77777777" w:rsidR="008E0F74" w:rsidRPr="00FC3B7C" w:rsidRDefault="008E0F74">
      <w:pPr>
        <w:spacing w:line="393" w:lineRule="exact"/>
        <w:rPr>
          <w:sz w:val="20"/>
          <w:szCs w:val="20"/>
        </w:rPr>
      </w:pPr>
    </w:p>
    <w:p w14:paraId="4A6F4891" w14:textId="77777777" w:rsidR="008E0F74" w:rsidRPr="00FC3B7C" w:rsidRDefault="00256F29" w:rsidP="000C22D0">
      <w:pPr>
        <w:ind w:left="100"/>
        <w:rPr>
          <w:sz w:val="20"/>
          <w:szCs w:val="20"/>
        </w:rPr>
      </w:pPr>
      <w:r w:rsidRPr="00FC3B7C">
        <w:rPr>
          <w:rFonts w:eastAsia="Times New Roman"/>
          <w:szCs w:val="24"/>
        </w:rPr>
        <w:t>D.........poptávka po statku</w:t>
      </w:r>
    </w:p>
    <w:p w14:paraId="4A6F4892" w14:textId="77777777" w:rsidR="008E0F74" w:rsidRPr="00FC3B7C" w:rsidRDefault="00256F29" w:rsidP="000C22D0">
      <w:pPr>
        <w:ind w:left="100"/>
        <w:rPr>
          <w:sz w:val="20"/>
          <w:szCs w:val="20"/>
        </w:rPr>
      </w:pPr>
      <w:r w:rsidRPr="00FC3B7C">
        <w:rPr>
          <w:rFonts w:eastAsia="Times New Roman"/>
          <w:szCs w:val="24"/>
        </w:rPr>
        <w:t>Sf........soukromá nabídka (firmy) bez dodatečných nákladů</w:t>
      </w:r>
    </w:p>
    <w:p w14:paraId="4A6F4893" w14:textId="77777777" w:rsidR="008E0F74" w:rsidRPr="00FC3B7C" w:rsidRDefault="00256F29" w:rsidP="000C22D0">
      <w:pPr>
        <w:ind w:left="100"/>
        <w:rPr>
          <w:sz w:val="20"/>
          <w:szCs w:val="20"/>
        </w:rPr>
      </w:pPr>
      <w:r w:rsidRPr="00FC3B7C">
        <w:rPr>
          <w:rFonts w:eastAsia="Times New Roman"/>
          <w:szCs w:val="24"/>
        </w:rPr>
        <w:t>Ss........společenská nabídka s dodatečnými náklady (včetně externalit)</w:t>
      </w:r>
    </w:p>
    <w:p w14:paraId="4A6F4894" w14:textId="77777777" w:rsidR="008E0F74" w:rsidRPr="00FC3B7C" w:rsidRDefault="00256F29" w:rsidP="000C22D0">
      <w:pPr>
        <w:ind w:left="100"/>
        <w:rPr>
          <w:sz w:val="20"/>
          <w:szCs w:val="20"/>
        </w:rPr>
      </w:pPr>
      <w:r w:rsidRPr="00FC3B7C">
        <w:rPr>
          <w:rFonts w:eastAsia="Times New Roman"/>
          <w:szCs w:val="24"/>
        </w:rPr>
        <w:t>Qf.......množství, které firma dodává na trh</w:t>
      </w:r>
    </w:p>
    <w:p w14:paraId="4A6F4895" w14:textId="77777777" w:rsidR="008E0F74" w:rsidRPr="00FC3B7C" w:rsidRDefault="00256F29" w:rsidP="000C22D0">
      <w:pPr>
        <w:ind w:left="100"/>
        <w:rPr>
          <w:sz w:val="20"/>
          <w:szCs w:val="20"/>
        </w:rPr>
      </w:pPr>
      <w:r w:rsidRPr="00FC3B7C">
        <w:rPr>
          <w:rFonts w:eastAsia="Times New Roman"/>
          <w:szCs w:val="24"/>
        </w:rPr>
        <w:t>Qs.......společensky optimální množství statku</w:t>
      </w:r>
    </w:p>
    <w:p w14:paraId="4A6F4896" w14:textId="77777777" w:rsidR="008E0F74" w:rsidRPr="00FC3B7C" w:rsidRDefault="00256F29" w:rsidP="000C22D0">
      <w:pPr>
        <w:ind w:left="100"/>
        <w:rPr>
          <w:sz w:val="20"/>
          <w:szCs w:val="20"/>
        </w:rPr>
      </w:pPr>
      <w:r w:rsidRPr="00FC3B7C">
        <w:rPr>
          <w:rFonts w:eastAsia="Times New Roman"/>
          <w:szCs w:val="24"/>
        </w:rPr>
        <w:t>Pf........cena obchodována firmou</w:t>
      </w:r>
    </w:p>
    <w:p w14:paraId="4A6F4897" w14:textId="77777777" w:rsidR="008E0F74" w:rsidRPr="00FC3B7C" w:rsidRDefault="00256F29" w:rsidP="000C22D0">
      <w:pPr>
        <w:ind w:left="100"/>
        <w:rPr>
          <w:sz w:val="20"/>
          <w:szCs w:val="20"/>
        </w:rPr>
      </w:pPr>
      <w:r w:rsidRPr="00FC3B7C">
        <w:rPr>
          <w:rFonts w:eastAsia="Times New Roman"/>
          <w:szCs w:val="24"/>
        </w:rPr>
        <w:t>Ps(f)....cena za množství Qf včetně externality (ceny za důsledky negativní externalitu)</w:t>
      </w:r>
    </w:p>
    <w:p w14:paraId="4A6F4898" w14:textId="77777777" w:rsidR="008E0F74" w:rsidRPr="00FC3B7C" w:rsidRDefault="00256F29" w:rsidP="000C22D0">
      <w:pPr>
        <w:ind w:left="100"/>
        <w:rPr>
          <w:sz w:val="20"/>
          <w:szCs w:val="20"/>
        </w:rPr>
      </w:pPr>
      <w:r w:rsidRPr="00FC3B7C">
        <w:rPr>
          <w:rFonts w:eastAsia="Times New Roman"/>
          <w:szCs w:val="24"/>
        </w:rPr>
        <w:t>Pf(s)...cena za společensky optimální množství Qs (bez externality)</w:t>
      </w:r>
    </w:p>
    <w:p w14:paraId="4A6F4899" w14:textId="77777777" w:rsidR="008E0F74" w:rsidRPr="00FC3B7C" w:rsidRDefault="00256F29" w:rsidP="000C22D0">
      <w:pPr>
        <w:ind w:left="100"/>
        <w:rPr>
          <w:sz w:val="20"/>
          <w:szCs w:val="20"/>
        </w:rPr>
      </w:pPr>
      <w:r w:rsidRPr="00FC3B7C">
        <w:rPr>
          <w:rFonts w:eastAsia="Times New Roman"/>
          <w:szCs w:val="24"/>
        </w:rPr>
        <w:t>Ps........cena za množství Qs včetně externality</w:t>
      </w:r>
    </w:p>
    <w:p w14:paraId="4A6F489A" w14:textId="77777777" w:rsidR="008E0F74" w:rsidRPr="00FC3B7C" w:rsidRDefault="00256F29" w:rsidP="00EF1F53">
      <w:pPr>
        <w:spacing w:after="240"/>
        <w:ind w:left="120"/>
        <w:rPr>
          <w:sz w:val="20"/>
          <w:szCs w:val="20"/>
        </w:rPr>
      </w:pPr>
      <w:r w:rsidRPr="00FC3B7C">
        <w:rPr>
          <w:rFonts w:eastAsia="Times New Roman"/>
          <w:szCs w:val="24"/>
        </w:rPr>
        <w:t>rozdíl Ps a Pf(s) je výše daně, vyšrafovaná plocha je celková suma daní</w:t>
      </w:r>
    </w:p>
    <w:p w14:paraId="4A6F489E" w14:textId="77777777" w:rsidR="008E0F74" w:rsidRPr="00EE01FF" w:rsidRDefault="00256F29" w:rsidP="000C22D0">
      <w:pPr>
        <w:pStyle w:val="Nadpis4"/>
        <w:rPr>
          <w:color w:val="1F3864" w:themeColor="accent1" w:themeShade="80"/>
          <w:sz w:val="20"/>
          <w:szCs w:val="20"/>
        </w:rPr>
      </w:pPr>
      <w:r w:rsidRPr="00EE01FF">
        <w:rPr>
          <w:rFonts w:eastAsia="Times New Roman"/>
          <w:color w:val="1F3864" w:themeColor="accent1" w:themeShade="80"/>
        </w:rPr>
        <w:lastRenderedPageBreak/>
        <w:t>Pozitivní externality</w:t>
      </w:r>
    </w:p>
    <w:p w14:paraId="4A6F489F" w14:textId="77777777" w:rsidR="008E0F74" w:rsidRPr="00FC3B7C" w:rsidRDefault="00256F29" w:rsidP="000C22D0">
      <w:pPr>
        <w:rPr>
          <w:sz w:val="20"/>
          <w:szCs w:val="20"/>
        </w:rPr>
      </w:pPr>
      <w:r w:rsidRPr="00FC3B7C">
        <w:rPr>
          <w:rFonts w:eastAsia="Times New Roman"/>
        </w:rPr>
        <w:t xml:space="preserve">Případy, kdy společenské výnosy z nějaké činnosti jsou vyšší než soukromé výnosy. Představuje tržní množství statku, jehož produkce je menší než společensky optimální. </w:t>
      </w:r>
      <w:r w:rsidR="000C22D0">
        <w:rPr>
          <w:rFonts w:eastAsia="Times New Roman"/>
        </w:rPr>
        <w:br/>
      </w:r>
      <w:r w:rsidRPr="00FC3B7C">
        <w:rPr>
          <w:rFonts w:eastAsia="Times New Roman"/>
        </w:rPr>
        <w:t>V případě pozitivních externalit se setkáváme s vládními zásahy v podobě dotací či regulací. V případě pozitivních externalit dochází k podprodukci.</w:t>
      </w:r>
    </w:p>
    <w:p w14:paraId="4A6F48A0" w14:textId="77777777" w:rsidR="000C22D0" w:rsidRDefault="000C22D0">
      <w:pPr>
        <w:rPr>
          <w:rFonts w:eastAsia="Times New Roman"/>
          <w:b/>
          <w:bCs/>
          <w:i/>
          <w:iCs/>
          <w:szCs w:val="24"/>
        </w:rPr>
      </w:pPr>
      <w:bookmarkStart w:id="326" w:name="page356"/>
      <w:bookmarkEnd w:id="326"/>
    </w:p>
    <w:p w14:paraId="4A6F48A1" w14:textId="77777777" w:rsidR="008E0F74" w:rsidRPr="00FC3B7C" w:rsidRDefault="00256F29">
      <w:pPr>
        <w:rPr>
          <w:sz w:val="20"/>
          <w:szCs w:val="20"/>
        </w:rPr>
      </w:pPr>
      <w:r w:rsidRPr="00FC3B7C">
        <w:rPr>
          <w:rFonts w:eastAsia="Times New Roman"/>
          <w:b/>
          <w:bCs/>
          <w:i/>
          <w:iCs/>
          <w:szCs w:val="24"/>
        </w:rPr>
        <w:t>Příklad pozitivní externality z praxe:</w:t>
      </w:r>
    </w:p>
    <w:p w14:paraId="4A6F48A2" w14:textId="77777777" w:rsidR="008E0F74" w:rsidRDefault="00256F29" w:rsidP="000C22D0">
      <w:pPr>
        <w:rPr>
          <w:rFonts w:eastAsia="Times New Roman"/>
        </w:rPr>
      </w:pPr>
      <w:r w:rsidRPr="00FC3B7C">
        <w:rPr>
          <w:rFonts w:eastAsia="Times New Roman"/>
        </w:rPr>
        <w:t>Klasickým učebnicovým příkladem pozitivní externality je situace, kdy se do sousedství jabloňového sadu přistěhuje včelař. Díky intenzivnějšímu opilování jabloňových květů roste sadaři množství sklizených jablek. Pokud sadař odmítne kompenzovat včelaři jeho ušlé výnosy, dochází zde k pozitivní externalitě.</w:t>
      </w:r>
    </w:p>
    <w:p w14:paraId="4A6F48A3" w14:textId="77777777" w:rsidR="000C22D0" w:rsidRPr="00FC3B7C" w:rsidRDefault="000C22D0" w:rsidP="000C22D0">
      <w:pPr>
        <w:rPr>
          <w:sz w:val="20"/>
          <w:szCs w:val="20"/>
        </w:rPr>
      </w:pPr>
    </w:p>
    <w:p w14:paraId="4A6F48A4" w14:textId="77777777" w:rsidR="008E0F74" w:rsidRPr="00FC3B7C" w:rsidRDefault="008E0F74">
      <w:pPr>
        <w:spacing w:line="3" w:lineRule="exact"/>
        <w:rPr>
          <w:sz w:val="20"/>
          <w:szCs w:val="20"/>
        </w:rPr>
      </w:pPr>
    </w:p>
    <w:p w14:paraId="4A6F48A5" w14:textId="77777777" w:rsidR="008E0F74" w:rsidRPr="00FC3B7C" w:rsidRDefault="00256F29">
      <w:pPr>
        <w:rPr>
          <w:sz w:val="20"/>
          <w:szCs w:val="20"/>
        </w:rPr>
      </w:pPr>
      <w:r w:rsidRPr="00FC3B7C">
        <w:rPr>
          <w:rFonts w:eastAsia="Times New Roman"/>
          <w:b/>
          <w:bCs/>
          <w:szCs w:val="24"/>
        </w:rPr>
        <w:t>GRAF: Pozitivní externalita</w:t>
      </w:r>
    </w:p>
    <w:p w14:paraId="4A6F48A6" w14:textId="77777777" w:rsidR="008E0F74" w:rsidRPr="00FC3B7C" w:rsidRDefault="00256F29">
      <w:pPr>
        <w:spacing w:line="20" w:lineRule="exact"/>
        <w:rPr>
          <w:sz w:val="20"/>
          <w:szCs w:val="20"/>
        </w:rPr>
      </w:pPr>
      <w:r w:rsidRPr="00FC3B7C">
        <w:rPr>
          <w:noProof/>
          <w:sz w:val="20"/>
          <w:szCs w:val="20"/>
        </w:rPr>
        <w:drawing>
          <wp:anchor distT="0" distB="0" distL="114300" distR="114300" simplePos="0" relativeHeight="251588096" behindDoc="1" locked="0" layoutInCell="0" allowOverlap="1" wp14:anchorId="4A6F5D06" wp14:editId="7FFB492D">
            <wp:simplePos x="0" y="0"/>
            <wp:positionH relativeFrom="column">
              <wp:posOffset>92075</wp:posOffset>
            </wp:positionH>
            <wp:positionV relativeFrom="paragraph">
              <wp:posOffset>106045</wp:posOffset>
            </wp:positionV>
            <wp:extent cx="4215130" cy="2932430"/>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5"/>
                    <a:srcRect/>
                    <a:stretch>
                      <a:fillRect/>
                    </a:stretch>
                  </pic:blipFill>
                  <pic:spPr bwMode="auto">
                    <a:xfrm>
                      <a:off x="0" y="0"/>
                      <a:ext cx="4215130" cy="2932430"/>
                    </a:xfrm>
                    <a:prstGeom prst="rect">
                      <a:avLst/>
                    </a:prstGeom>
                    <a:noFill/>
                  </pic:spPr>
                </pic:pic>
              </a:graphicData>
            </a:graphic>
          </wp:anchor>
        </w:drawing>
      </w:r>
    </w:p>
    <w:p w14:paraId="4A6F48A7" w14:textId="77777777" w:rsidR="008E0F74" w:rsidRPr="00FC3B7C" w:rsidRDefault="008E0F74">
      <w:pPr>
        <w:spacing w:line="200" w:lineRule="exact"/>
        <w:rPr>
          <w:sz w:val="20"/>
          <w:szCs w:val="20"/>
        </w:rPr>
      </w:pPr>
    </w:p>
    <w:p w14:paraId="4A6F48A8" w14:textId="77777777" w:rsidR="008E0F74" w:rsidRPr="00FC3B7C" w:rsidRDefault="008E0F74">
      <w:pPr>
        <w:spacing w:line="200" w:lineRule="exact"/>
        <w:rPr>
          <w:sz w:val="20"/>
          <w:szCs w:val="20"/>
        </w:rPr>
      </w:pPr>
    </w:p>
    <w:p w14:paraId="4A6F48A9" w14:textId="77777777" w:rsidR="008E0F74" w:rsidRPr="00FC3B7C" w:rsidRDefault="008E0F74">
      <w:pPr>
        <w:spacing w:line="200" w:lineRule="exact"/>
        <w:rPr>
          <w:sz w:val="20"/>
          <w:szCs w:val="20"/>
        </w:rPr>
      </w:pPr>
    </w:p>
    <w:p w14:paraId="4A6F48AA" w14:textId="77777777" w:rsidR="008E0F74" w:rsidRPr="00FC3B7C" w:rsidRDefault="008E0F74">
      <w:pPr>
        <w:spacing w:line="200" w:lineRule="exact"/>
        <w:rPr>
          <w:sz w:val="20"/>
          <w:szCs w:val="20"/>
        </w:rPr>
      </w:pPr>
    </w:p>
    <w:p w14:paraId="4A6F48AB" w14:textId="77777777" w:rsidR="008E0F74" w:rsidRPr="00FC3B7C" w:rsidRDefault="008E0F74">
      <w:pPr>
        <w:spacing w:line="200" w:lineRule="exact"/>
        <w:rPr>
          <w:sz w:val="20"/>
          <w:szCs w:val="20"/>
        </w:rPr>
      </w:pPr>
    </w:p>
    <w:p w14:paraId="4A6F48AC" w14:textId="77777777" w:rsidR="008E0F74" w:rsidRPr="00FC3B7C" w:rsidRDefault="008E0F74">
      <w:pPr>
        <w:spacing w:line="200" w:lineRule="exact"/>
        <w:rPr>
          <w:sz w:val="20"/>
          <w:szCs w:val="20"/>
        </w:rPr>
      </w:pPr>
    </w:p>
    <w:p w14:paraId="4A6F48AD" w14:textId="77777777" w:rsidR="008E0F74" w:rsidRPr="00FC3B7C" w:rsidRDefault="008E0F74">
      <w:pPr>
        <w:spacing w:line="200" w:lineRule="exact"/>
        <w:rPr>
          <w:sz w:val="20"/>
          <w:szCs w:val="20"/>
        </w:rPr>
      </w:pPr>
    </w:p>
    <w:p w14:paraId="4A6F48AE" w14:textId="77777777" w:rsidR="008E0F74" w:rsidRPr="00FC3B7C" w:rsidRDefault="008E0F74">
      <w:pPr>
        <w:spacing w:line="200" w:lineRule="exact"/>
        <w:rPr>
          <w:sz w:val="20"/>
          <w:szCs w:val="20"/>
        </w:rPr>
      </w:pPr>
    </w:p>
    <w:p w14:paraId="4A6F48AF" w14:textId="77777777" w:rsidR="008E0F74" w:rsidRPr="00FC3B7C" w:rsidRDefault="008E0F74">
      <w:pPr>
        <w:spacing w:line="200" w:lineRule="exact"/>
        <w:rPr>
          <w:sz w:val="20"/>
          <w:szCs w:val="20"/>
        </w:rPr>
      </w:pPr>
    </w:p>
    <w:p w14:paraId="4A6F48B0" w14:textId="77777777" w:rsidR="008E0F74" w:rsidRPr="00FC3B7C" w:rsidRDefault="008E0F74">
      <w:pPr>
        <w:spacing w:line="200" w:lineRule="exact"/>
        <w:rPr>
          <w:sz w:val="20"/>
          <w:szCs w:val="20"/>
        </w:rPr>
      </w:pPr>
    </w:p>
    <w:p w14:paraId="4A6F48B1" w14:textId="77777777" w:rsidR="008E0F74" w:rsidRPr="00FC3B7C" w:rsidRDefault="008E0F74">
      <w:pPr>
        <w:spacing w:line="200" w:lineRule="exact"/>
        <w:rPr>
          <w:sz w:val="20"/>
          <w:szCs w:val="20"/>
        </w:rPr>
      </w:pPr>
    </w:p>
    <w:p w14:paraId="4A6F48B2" w14:textId="77777777" w:rsidR="008E0F74" w:rsidRPr="00FC3B7C" w:rsidRDefault="008E0F74">
      <w:pPr>
        <w:spacing w:line="200" w:lineRule="exact"/>
        <w:rPr>
          <w:sz w:val="20"/>
          <w:szCs w:val="20"/>
        </w:rPr>
      </w:pPr>
    </w:p>
    <w:p w14:paraId="4A6F48B3" w14:textId="77777777" w:rsidR="008E0F74" w:rsidRPr="00FC3B7C" w:rsidRDefault="008E0F74">
      <w:pPr>
        <w:spacing w:line="200" w:lineRule="exact"/>
        <w:rPr>
          <w:sz w:val="20"/>
          <w:szCs w:val="20"/>
        </w:rPr>
      </w:pPr>
    </w:p>
    <w:p w14:paraId="4A6F48B4" w14:textId="77777777" w:rsidR="008E0F74" w:rsidRPr="00FC3B7C" w:rsidRDefault="008E0F74">
      <w:pPr>
        <w:spacing w:line="200" w:lineRule="exact"/>
        <w:rPr>
          <w:sz w:val="20"/>
          <w:szCs w:val="20"/>
        </w:rPr>
      </w:pPr>
    </w:p>
    <w:p w14:paraId="4A6F48B5" w14:textId="77777777" w:rsidR="008E0F74" w:rsidRPr="00FC3B7C" w:rsidRDefault="008E0F74">
      <w:pPr>
        <w:spacing w:line="200" w:lineRule="exact"/>
        <w:rPr>
          <w:sz w:val="20"/>
          <w:szCs w:val="20"/>
        </w:rPr>
      </w:pPr>
    </w:p>
    <w:p w14:paraId="4A6F48B6" w14:textId="77777777" w:rsidR="008E0F74" w:rsidRPr="00FC3B7C" w:rsidRDefault="008E0F74">
      <w:pPr>
        <w:spacing w:line="200" w:lineRule="exact"/>
        <w:rPr>
          <w:sz w:val="20"/>
          <w:szCs w:val="20"/>
        </w:rPr>
      </w:pPr>
    </w:p>
    <w:p w14:paraId="4A6F48B7" w14:textId="77777777" w:rsidR="008E0F74" w:rsidRPr="00FC3B7C" w:rsidRDefault="008E0F74">
      <w:pPr>
        <w:spacing w:line="200" w:lineRule="exact"/>
        <w:rPr>
          <w:sz w:val="20"/>
          <w:szCs w:val="20"/>
        </w:rPr>
      </w:pPr>
    </w:p>
    <w:p w14:paraId="4A6F48B8" w14:textId="77777777" w:rsidR="008E0F74" w:rsidRPr="00FC3B7C" w:rsidRDefault="008E0F74">
      <w:pPr>
        <w:spacing w:line="200" w:lineRule="exact"/>
        <w:rPr>
          <w:sz w:val="20"/>
          <w:szCs w:val="20"/>
        </w:rPr>
      </w:pPr>
    </w:p>
    <w:p w14:paraId="4A6F48B9" w14:textId="77777777" w:rsidR="008E0F74" w:rsidRPr="00FC3B7C" w:rsidRDefault="008E0F74">
      <w:pPr>
        <w:spacing w:line="200" w:lineRule="exact"/>
        <w:rPr>
          <w:sz w:val="20"/>
          <w:szCs w:val="20"/>
        </w:rPr>
      </w:pPr>
    </w:p>
    <w:p w14:paraId="4A6F48BA" w14:textId="77777777" w:rsidR="008E0F74" w:rsidRPr="00FC3B7C" w:rsidRDefault="008E0F74">
      <w:pPr>
        <w:spacing w:line="200" w:lineRule="exact"/>
        <w:rPr>
          <w:sz w:val="20"/>
          <w:szCs w:val="20"/>
        </w:rPr>
      </w:pPr>
    </w:p>
    <w:p w14:paraId="4A6F48BB" w14:textId="77777777" w:rsidR="008E0F74" w:rsidRPr="00FC3B7C" w:rsidRDefault="008E0F74">
      <w:pPr>
        <w:spacing w:line="200" w:lineRule="exact"/>
        <w:rPr>
          <w:sz w:val="20"/>
          <w:szCs w:val="20"/>
        </w:rPr>
      </w:pPr>
    </w:p>
    <w:p w14:paraId="4A6F48BC" w14:textId="77777777" w:rsidR="008E0F74" w:rsidRPr="00FC3B7C" w:rsidRDefault="008E0F74">
      <w:pPr>
        <w:spacing w:line="200" w:lineRule="exact"/>
        <w:rPr>
          <w:sz w:val="20"/>
          <w:szCs w:val="20"/>
        </w:rPr>
      </w:pPr>
    </w:p>
    <w:p w14:paraId="4A6F48BD" w14:textId="77777777" w:rsidR="008E0F74" w:rsidRPr="00FC3B7C" w:rsidRDefault="008E0F74">
      <w:pPr>
        <w:spacing w:line="200" w:lineRule="exact"/>
        <w:rPr>
          <w:sz w:val="20"/>
          <w:szCs w:val="20"/>
        </w:rPr>
      </w:pPr>
    </w:p>
    <w:p w14:paraId="4A6F48BE" w14:textId="77777777" w:rsidR="008E0F74" w:rsidRPr="00FC3B7C" w:rsidRDefault="008E0F74">
      <w:pPr>
        <w:spacing w:line="284" w:lineRule="exact"/>
        <w:rPr>
          <w:sz w:val="20"/>
          <w:szCs w:val="20"/>
        </w:rPr>
      </w:pPr>
    </w:p>
    <w:p w14:paraId="4A6F48BF" w14:textId="77777777" w:rsidR="008E0F74" w:rsidRPr="00FC3B7C" w:rsidRDefault="00256F29" w:rsidP="000C22D0">
      <w:pPr>
        <w:ind w:left="100"/>
        <w:rPr>
          <w:sz w:val="20"/>
          <w:szCs w:val="20"/>
        </w:rPr>
      </w:pPr>
      <w:r w:rsidRPr="00FC3B7C">
        <w:rPr>
          <w:rFonts w:eastAsia="Times New Roman"/>
          <w:szCs w:val="24"/>
        </w:rPr>
        <w:t>D.......poptávka</w:t>
      </w:r>
    </w:p>
    <w:p w14:paraId="4A6F48C0" w14:textId="77777777" w:rsidR="008E0F74" w:rsidRPr="00FC3B7C" w:rsidRDefault="00256F29" w:rsidP="000C22D0">
      <w:pPr>
        <w:ind w:left="100"/>
        <w:rPr>
          <w:sz w:val="20"/>
          <w:szCs w:val="20"/>
        </w:rPr>
      </w:pPr>
      <w:r w:rsidRPr="00FC3B7C">
        <w:rPr>
          <w:rFonts w:eastAsia="Times New Roman"/>
          <w:szCs w:val="24"/>
        </w:rPr>
        <w:t>Df......soukromá poptávka po statku spojena s pozitivní externalitou</w:t>
      </w:r>
    </w:p>
    <w:p w14:paraId="4A6F48C1" w14:textId="77777777" w:rsidR="008E0F74" w:rsidRPr="00FC3B7C" w:rsidRDefault="00256F29" w:rsidP="000C22D0">
      <w:pPr>
        <w:ind w:left="100"/>
        <w:rPr>
          <w:sz w:val="20"/>
          <w:szCs w:val="20"/>
        </w:rPr>
      </w:pPr>
      <w:r w:rsidRPr="00FC3B7C">
        <w:rPr>
          <w:rFonts w:eastAsia="Times New Roman"/>
          <w:szCs w:val="24"/>
        </w:rPr>
        <w:t>Qf......vyráběné množství producenty na trhu</w:t>
      </w:r>
    </w:p>
    <w:p w14:paraId="4A6F48C2" w14:textId="77777777" w:rsidR="008E0F74" w:rsidRPr="00FC3B7C" w:rsidRDefault="00256F29" w:rsidP="000C22D0">
      <w:pPr>
        <w:ind w:left="100"/>
        <w:rPr>
          <w:sz w:val="20"/>
          <w:szCs w:val="20"/>
        </w:rPr>
      </w:pPr>
      <w:r w:rsidRPr="00FC3B7C">
        <w:rPr>
          <w:rFonts w:eastAsia="Times New Roman"/>
          <w:szCs w:val="24"/>
        </w:rPr>
        <w:t>Qs......společensky optimální množství</w:t>
      </w:r>
    </w:p>
    <w:p w14:paraId="4A6F48C3" w14:textId="77777777" w:rsidR="00B73CCA" w:rsidRDefault="00B73CCA">
      <w:pPr>
        <w:tabs>
          <w:tab w:val="left" w:pos="1540"/>
        </w:tabs>
        <w:ind w:left="480"/>
        <w:rPr>
          <w:rFonts w:eastAsia="Times New Roman"/>
          <w:b/>
          <w:bCs/>
          <w:i/>
          <w:iCs/>
          <w:szCs w:val="24"/>
        </w:rPr>
      </w:pPr>
      <w:bookmarkStart w:id="327" w:name="page357"/>
      <w:bookmarkEnd w:id="327"/>
    </w:p>
    <w:p w14:paraId="4A6F48C4" w14:textId="77777777" w:rsidR="00B73CCA" w:rsidRDefault="00B73CCA">
      <w:pPr>
        <w:tabs>
          <w:tab w:val="left" w:pos="1540"/>
        </w:tabs>
        <w:ind w:left="480"/>
        <w:rPr>
          <w:rFonts w:eastAsia="Times New Roman"/>
          <w:b/>
          <w:bCs/>
          <w:i/>
          <w:iCs/>
          <w:szCs w:val="24"/>
        </w:rPr>
      </w:pPr>
    </w:p>
    <w:p w14:paraId="4A6F48C5" w14:textId="77777777" w:rsidR="00B73CCA" w:rsidRDefault="00B73CCA">
      <w:pPr>
        <w:tabs>
          <w:tab w:val="left" w:pos="1540"/>
        </w:tabs>
        <w:ind w:left="480"/>
        <w:rPr>
          <w:rFonts w:eastAsia="Times New Roman"/>
          <w:b/>
          <w:bCs/>
          <w:i/>
          <w:iCs/>
          <w:szCs w:val="24"/>
        </w:rPr>
      </w:pPr>
    </w:p>
    <w:p w14:paraId="4A6F48C6" w14:textId="77777777" w:rsidR="00B73CCA" w:rsidRDefault="00B73CCA">
      <w:pPr>
        <w:tabs>
          <w:tab w:val="left" w:pos="1540"/>
        </w:tabs>
        <w:ind w:left="480"/>
        <w:rPr>
          <w:rFonts w:eastAsia="Times New Roman"/>
          <w:b/>
          <w:bCs/>
          <w:i/>
          <w:iCs/>
          <w:szCs w:val="24"/>
        </w:rPr>
      </w:pPr>
    </w:p>
    <w:p w14:paraId="4A6F48C7" w14:textId="77777777" w:rsidR="00B73CCA" w:rsidRDefault="00B73CCA">
      <w:pPr>
        <w:tabs>
          <w:tab w:val="left" w:pos="1540"/>
        </w:tabs>
        <w:ind w:left="480"/>
        <w:rPr>
          <w:rFonts w:eastAsia="Times New Roman"/>
          <w:b/>
          <w:bCs/>
          <w:i/>
          <w:iCs/>
          <w:szCs w:val="24"/>
        </w:rPr>
      </w:pPr>
    </w:p>
    <w:p w14:paraId="4A6F48C8" w14:textId="77777777" w:rsidR="008E0F74" w:rsidRPr="00EE01FF" w:rsidRDefault="00256F29" w:rsidP="00B73CCA">
      <w:pPr>
        <w:pStyle w:val="Nadpis4"/>
        <w:rPr>
          <w:color w:val="1F3864" w:themeColor="accent1" w:themeShade="80"/>
          <w:sz w:val="20"/>
          <w:szCs w:val="20"/>
        </w:rPr>
      </w:pPr>
      <w:r w:rsidRPr="00EE01FF">
        <w:rPr>
          <w:rFonts w:eastAsia="Times New Roman"/>
          <w:color w:val="1F3864" w:themeColor="accent1" w:themeShade="80"/>
        </w:rPr>
        <w:lastRenderedPageBreak/>
        <w:t>Způsoby řešení externalit</w:t>
      </w:r>
    </w:p>
    <w:p w14:paraId="4A6F48C9" w14:textId="77777777" w:rsidR="008E0F74" w:rsidRPr="00FC3B7C" w:rsidRDefault="00256F29" w:rsidP="00D46B53">
      <w:pPr>
        <w:numPr>
          <w:ilvl w:val="0"/>
          <w:numId w:val="685"/>
        </w:numPr>
        <w:tabs>
          <w:tab w:val="left" w:pos="820"/>
        </w:tabs>
        <w:ind w:left="820" w:hanging="365"/>
        <w:rPr>
          <w:rFonts w:eastAsia="Arial"/>
          <w:szCs w:val="24"/>
        </w:rPr>
      </w:pPr>
      <w:r w:rsidRPr="00FC3B7C">
        <w:rPr>
          <w:rFonts w:eastAsia="Times New Roman"/>
          <w:szCs w:val="24"/>
        </w:rPr>
        <w:t>internalizace externalit = řešení externalit</w:t>
      </w:r>
    </w:p>
    <w:p w14:paraId="4A6F48CA" w14:textId="77777777" w:rsidR="008E0F74" w:rsidRPr="00FC3B7C" w:rsidRDefault="00256F29" w:rsidP="00D46B53">
      <w:pPr>
        <w:numPr>
          <w:ilvl w:val="0"/>
          <w:numId w:val="685"/>
        </w:numPr>
        <w:tabs>
          <w:tab w:val="left" w:pos="820"/>
        </w:tabs>
        <w:ind w:left="820" w:hanging="365"/>
        <w:rPr>
          <w:rFonts w:eastAsia="Arial"/>
          <w:szCs w:val="24"/>
        </w:rPr>
      </w:pPr>
      <w:r w:rsidRPr="00FC3B7C">
        <w:rPr>
          <w:rFonts w:eastAsia="Times New Roman"/>
          <w:szCs w:val="24"/>
        </w:rPr>
        <w:t>ideální řešení by bylo předcházení vzniku externalit - tedy řešit problém ex ante zlepšením právního a institucionálního rámce společnosti</w:t>
      </w:r>
    </w:p>
    <w:p w14:paraId="4A6F48CB" w14:textId="50D48268" w:rsidR="008E0F74" w:rsidRPr="00FC3B7C" w:rsidRDefault="00256F29" w:rsidP="00D46B53">
      <w:pPr>
        <w:numPr>
          <w:ilvl w:val="0"/>
          <w:numId w:val="685"/>
        </w:numPr>
        <w:tabs>
          <w:tab w:val="left" w:pos="820"/>
        </w:tabs>
        <w:ind w:left="820" w:hanging="365"/>
        <w:rPr>
          <w:rFonts w:eastAsia="Arial"/>
          <w:szCs w:val="24"/>
        </w:rPr>
      </w:pPr>
      <w:r w:rsidRPr="00FC3B7C">
        <w:rPr>
          <w:rFonts w:eastAsia="Times New Roman"/>
          <w:szCs w:val="24"/>
        </w:rPr>
        <w:t>řešení důsledků existe</w:t>
      </w:r>
      <w:r w:rsidR="00847363">
        <w:rPr>
          <w:rFonts w:eastAsia="Times New Roman"/>
          <w:szCs w:val="24"/>
        </w:rPr>
        <w:t>nce externalit (tedy ex post), t</w:t>
      </w:r>
      <w:r w:rsidRPr="00FC3B7C">
        <w:rPr>
          <w:rFonts w:eastAsia="Times New Roman"/>
          <w:szCs w:val="24"/>
        </w:rPr>
        <w:t>j. tehdy, kdy nelze odstranit příčiny, které je způsobují a zabránit tak jejich samotnému vzniku (tj. v případech nemožnosti vytvoření vlastnického práva k nějakému statku) nám nabízí A.C.Pigou a R. Coase</w:t>
      </w:r>
    </w:p>
    <w:p w14:paraId="4A6F48CC" w14:textId="77777777" w:rsidR="008E0F74" w:rsidRPr="00FC3B7C" w:rsidRDefault="00256F29" w:rsidP="00D46B53">
      <w:pPr>
        <w:numPr>
          <w:ilvl w:val="0"/>
          <w:numId w:val="685"/>
        </w:numPr>
        <w:tabs>
          <w:tab w:val="left" w:pos="820"/>
        </w:tabs>
        <w:ind w:left="820" w:hanging="365"/>
        <w:rPr>
          <w:rFonts w:eastAsia="Arial"/>
          <w:szCs w:val="24"/>
        </w:rPr>
      </w:pPr>
      <w:r w:rsidRPr="00FC3B7C">
        <w:rPr>
          <w:rFonts w:eastAsia="Times New Roman"/>
          <w:szCs w:val="24"/>
        </w:rPr>
        <w:t>principiálně neprivatizovatelných statků je jen velmi málo, jedná se ale o tak základní přírodní zdroje (zejména vzduch a světlo), že případy externalit jsou díky jejich existenci naprosto běžným jevem</w:t>
      </w:r>
    </w:p>
    <w:p w14:paraId="4A6F48CD" w14:textId="77777777" w:rsidR="008E0F74" w:rsidRPr="00FC3B7C" w:rsidRDefault="00256F29" w:rsidP="00D46B53">
      <w:pPr>
        <w:numPr>
          <w:ilvl w:val="0"/>
          <w:numId w:val="685"/>
        </w:numPr>
        <w:tabs>
          <w:tab w:val="left" w:pos="820"/>
        </w:tabs>
        <w:ind w:left="820" w:hanging="365"/>
        <w:rPr>
          <w:rFonts w:eastAsia="Arial"/>
          <w:szCs w:val="24"/>
        </w:rPr>
      </w:pPr>
      <w:r w:rsidRPr="00FC3B7C">
        <w:rPr>
          <w:rFonts w:eastAsia="Times New Roman"/>
          <w:szCs w:val="24"/>
        </w:rPr>
        <w:t>málokdo si uvědomuje, jak mnoho externalit sám vytváří - např. oblečení: každý člověk, kterému se líbí oděv na někom jiném, takto realizuje výnosy (pozitivní externalita) a naopak každý člověk, kterému se oděv na někom jiném nelíbí, utrpí újmu (záporná externalita), u takovýchto externalit ale nemáme snahu je řešit</w:t>
      </w:r>
    </w:p>
    <w:p w14:paraId="4A6F48CE" w14:textId="3F57C4B5" w:rsidR="008E0F74" w:rsidRPr="00EF1F53" w:rsidRDefault="00256F29" w:rsidP="00D46B53">
      <w:pPr>
        <w:pStyle w:val="Odstavecseseznamem"/>
        <w:numPr>
          <w:ilvl w:val="0"/>
          <w:numId w:val="687"/>
        </w:numPr>
        <w:ind w:left="1701"/>
        <w:rPr>
          <w:rFonts w:eastAsia="Arial"/>
          <w:szCs w:val="24"/>
        </w:rPr>
      </w:pPr>
      <w:r w:rsidRPr="00EF1F53">
        <w:rPr>
          <w:rFonts w:eastAsia="Times New Roman"/>
          <w:szCs w:val="24"/>
        </w:rPr>
        <w:t>měla-li by být tato externalita ex post internalizována, museli bychom</w:t>
      </w:r>
      <w:r w:rsidRPr="00EF1F53">
        <w:rPr>
          <w:rFonts w:eastAsia="Courier New"/>
          <w:szCs w:val="24"/>
        </w:rPr>
        <w:t xml:space="preserve"> </w:t>
      </w:r>
      <w:r w:rsidRPr="00EF1F53">
        <w:rPr>
          <w:rFonts w:eastAsia="Times New Roman"/>
          <w:szCs w:val="24"/>
        </w:rPr>
        <w:t>každému, komu se naše oblečení nelíbí platit, a naopak každý, komu se líbí, by měl zaplatit nám</w:t>
      </w:r>
    </w:p>
    <w:p w14:paraId="4A6F48CF" w14:textId="3F52A2B1" w:rsidR="008E0F74" w:rsidRPr="00EF1F53" w:rsidRDefault="00256F29" w:rsidP="00D46B53">
      <w:pPr>
        <w:pStyle w:val="Odstavecseseznamem"/>
        <w:numPr>
          <w:ilvl w:val="0"/>
          <w:numId w:val="687"/>
        </w:numPr>
        <w:ind w:left="1701"/>
        <w:rPr>
          <w:rFonts w:eastAsia="Arial"/>
          <w:szCs w:val="24"/>
        </w:rPr>
      </w:pPr>
      <w:r w:rsidRPr="00EF1F53">
        <w:rPr>
          <w:rFonts w:eastAsia="Times New Roman"/>
          <w:szCs w:val="24"/>
        </w:rPr>
        <w:t>něco takového se intuitivně</w:t>
      </w:r>
      <w:r w:rsidRPr="00EF1F53">
        <w:rPr>
          <w:rFonts w:eastAsia="Courier New"/>
          <w:szCs w:val="24"/>
        </w:rPr>
        <w:t xml:space="preserve"> </w:t>
      </w:r>
      <w:r w:rsidRPr="00EF1F53">
        <w:rPr>
          <w:rFonts w:eastAsia="Times New Roman"/>
          <w:szCs w:val="24"/>
        </w:rPr>
        <w:t>už</w:t>
      </w:r>
      <w:r w:rsidRPr="00EF1F53">
        <w:rPr>
          <w:rFonts w:eastAsia="Courier New"/>
          <w:szCs w:val="24"/>
        </w:rPr>
        <w:t xml:space="preserve"> </w:t>
      </w:r>
      <w:r w:rsidRPr="00EF1F53">
        <w:rPr>
          <w:rFonts w:eastAsia="Times New Roman"/>
          <w:szCs w:val="24"/>
        </w:rPr>
        <w:t>na první pohled jeví jako naprostý</w:t>
      </w:r>
      <w:r w:rsidRPr="00EF1F53">
        <w:rPr>
          <w:rFonts w:eastAsia="Courier New"/>
          <w:szCs w:val="24"/>
        </w:rPr>
        <w:t xml:space="preserve"> </w:t>
      </w:r>
      <w:r w:rsidRPr="00EF1F53">
        <w:rPr>
          <w:rFonts w:eastAsia="Times New Roman"/>
          <w:szCs w:val="24"/>
        </w:rPr>
        <w:t>nesmysl</w:t>
      </w:r>
    </w:p>
    <w:p w14:paraId="4A6F48D0" w14:textId="20321E3C" w:rsidR="008E0F74" w:rsidRPr="00EF1F53" w:rsidRDefault="00256F29" w:rsidP="00D46B53">
      <w:pPr>
        <w:pStyle w:val="Odstavecseseznamem"/>
        <w:numPr>
          <w:ilvl w:val="0"/>
          <w:numId w:val="687"/>
        </w:numPr>
        <w:ind w:left="1701"/>
        <w:rPr>
          <w:rFonts w:eastAsia="Arial"/>
          <w:szCs w:val="24"/>
        </w:rPr>
      </w:pPr>
      <w:r w:rsidRPr="00EF1F53">
        <w:rPr>
          <w:rFonts w:eastAsia="Times New Roman"/>
          <w:szCs w:val="24"/>
        </w:rPr>
        <w:t>nesmyslnost tohoto jednání ekonomie vysvětluje existencí transakčních</w:t>
      </w:r>
      <w:r w:rsidRPr="00EF1F53">
        <w:rPr>
          <w:rFonts w:eastAsia="Courier New"/>
          <w:szCs w:val="24"/>
        </w:rPr>
        <w:t xml:space="preserve"> </w:t>
      </w:r>
      <w:r w:rsidRPr="00EF1F53">
        <w:rPr>
          <w:rFonts w:eastAsia="Times New Roman"/>
          <w:szCs w:val="24"/>
        </w:rPr>
        <w:t>nákladů</w:t>
      </w:r>
    </w:p>
    <w:p w14:paraId="4A6F48D1" w14:textId="167D24B9" w:rsidR="008E0F74" w:rsidRPr="00EF1F53" w:rsidRDefault="00256F29" w:rsidP="00D46B53">
      <w:pPr>
        <w:pStyle w:val="Odstavecseseznamem"/>
        <w:numPr>
          <w:ilvl w:val="0"/>
          <w:numId w:val="687"/>
        </w:numPr>
        <w:ind w:left="1701"/>
        <w:rPr>
          <w:rFonts w:eastAsia="Arial"/>
          <w:szCs w:val="24"/>
        </w:rPr>
      </w:pPr>
      <w:r w:rsidRPr="00EF1F53">
        <w:rPr>
          <w:rFonts w:eastAsia="Times New Roman"/>
          <w:szCs w:val="24"/>
        </w:rPr>
        <w:t>je zřejmé,</w:t>
      </w:r>
      <w:r w:rsidRPr="00EF1F53">
        <w:rPr>
          <w:rFonts w:eastAsia="Courier New"/>
          <w:szCs w:val="24"/>
        </w:rPr>
        <w:t xml:space="preserve"> </w:t>
      </w:r>
      <w:r w:rsidRPr="00EF1F53">
        <w:rPr>
          <w:rFonts w:eastAsia="Times New Roman"/>
          <w:szCs w:val="24"/>
        </w:rPr>
        <w:t>že transakční náklady na tyto kompenzace by zde byly</w:t>
      </w:r>
      <w:r w:rsidRPr="00EF1F53">
        <w:rPr>
          <w:rFonts w:eastAsia="Courier New"/>
          <w:szCs w:val="24"/>
        </w:rPr>
        <w:t xml:space="preserve"> </w:t>
      </w:r>
      <w:r w:rsidRPr="00EF1F53">
        <w:rPr>
          <w:rFonts w:eastAsia="Times New Roman"/>
          <w:szCs w:val="24"/>
        </w:rPr>
        <w:t>(mnohonásobně)</w:t>
      </w:r>
    </w:p>
    <w:p w14:paraId="4A6F48D2" w14:textId="77777777" w:rsidR="008E0F74" w:rsidRPr="00FC3B7C" w:rsidRDefault="00256F29" w:rsidP="00D46B53">
      <w:pPr>
        <w:numPr>
          <w:ilvl w:val="0"/>
          <w:numId w:val="686"/>
        </w:numPr>
        <w:tabs>
          <w:tab w:val="left" w:pos="820"/>
        </w:tabs>
        <w:rPr>
          <w:rFonts w:eastAsia="Arial"/>
          <w:szCs w:val="24"/>
        </w:rPr>
      </w:pPr>
      <w:r w:rsidRPr="00FC3B7C">
        <w:rPr>
          <w:rFonts w:eastAsia="Times New Roman"/>
          <w:szCs w:val="24"/>
        </w:rPr>
        <w:t>vyšší, než zvýšení efektivity využití vzácných zdrojů společnosti, které by tyto kompenzace přinesly</w:t>
      </w:r>
    </w:p>
    <w:p w14:paraId="4A6F48D3" w14:textId="77777777" w:rsidR="008E0F74" w:rsidRPr="00FC3B7C" w:rsidRDefault="00256F29" w:rsidP="00D46B53">
      <w:pPr>
        <w:numPr>
          <w:ilvl w:val="0"/>
          <w:numId w:val="686"/>
        </w:numPr>
        <w:tabs>
          <w:tab w:val="left" w:pos="820"/>
        </w:tabs>
        <w:rPr>
          <w:rFonts w:eastAsia="Arial"/>
          <w:szCs w:val="24"/>
        </w:rPr>
      </w:pPr>
      <w:r w:rsidRPr="00FC3B7C">
        <w:rPr>
          <w:rFonts w:eastAsia="Times New Roman"/>
          <w:szCs w:val="24"/>
        </w:rPr>
        <w:t>z toho lze tedy učinit závěr, že o ex post odstraňování důsledků externalit má smysl uvažovat pouze v takových případech, kdy lze rozumně očekávat, že se sumy externích výnosů a nákladů určitého subjektu z dané činnosti nebudou zhruba rovnat, a kdy lze zároveň rozumně očekávat, že tato nerovnováha bude významně veliká</w:t>
      </w:r>
    </w:p>
    <w:p w14:paraId="4A6F48D5" w14:textId="171D5546" w:rsidR="008E0F74" w:rsidRPr="00EF1F53" w:rsidRDefault="00256F29" w:rsidP="00D46B53">
      <w:pPr>
        <w:numPr>
          <w:ilvl w:val="0"/>
          <w:numId w:val="686"/>
        </w:numPr>
        <w:tabs>
          <w:tab w:val="left" w:pos="820"/>
        </w:tabs>
        <w:rPr>
          <w:rFonts w:eastAsia="Arial"/>
          <w:sz w:val="23"/>
          <w:szCs w:val="23"/>
        </w:rPr>
      </w:pPr>
      <w:r w:rsidRPr="00FC3B7C">
        <w:rPr>
          <w:rFonts w:eastAsia="Times New Roman"/>
          <w:sz w:val="23"/>
          <w:szCs w:val="23"/>
        </w:rPr>
        <w:t>obecně existují dva způsoby, jak můžeme řešit negativní externality ex post - základní rozdíl mezi nimi spočívá v tom, zda se vyjednávání účastní orgán ekologické politiky</w:t>
      </w:r>
      <w:bookmarkStart w:id="328" w:name="page358"/>
      <w:bookmarkEnd w:id="328"/>
      <w:r w:rsidR="00EF1F53">
        <w:rPr>
          <w:rFonts w:eastAsia="Arial"/>
          <w:sz w:val="23"/>
          <w:szCs w:val="23"/>
        </w:rPr>
        <w:t xml:space="preserve"> </w:t>
      </w:r>
      <w:r w:rsidRPr="00EF1F53">
        <w:rPr>
          <w:rFonts w:eastAsia="Times New Roman"/>
          <w:szCs w:val="24"/>
        </w:rPr>
        <w:t>nebo zda dochází k vyjednávání pouze mezi jednotlivými subjekty (znečišťovatelem a poškozovaným)</w:t>
      </w:r>
      <w:r w:rsidR="00B73CCA" w:rsidRPr="00EF1F53">
        <w:rPr>
          <w:rFonts w:eastAsia="Times New Roman"/>
          <w:szCs w:val="24"/>
        </w:rPr>
        <w:t>.</w:t>
      </w:r>
    </w:p>
    <w:p w14:paraId="4A6F48D6" w14:textId="77777777" w:rsidR="00B73CCA" w:rsidRPr="00FC3B7C" w:rsidRDefault="00B73CCA" w:rsidP="00B73CCA">
      <w:pPr>
        <w:ind w:left="820"/>
        <w:rPr>
          <w:sz w:val="20"/>
          <w:szCs w:val="20"/>
        </w:rPr>
      </w:pPr>
    </w:p>
    <w:p w14:paraId="4A6F48D7" w14:textId="77777777" w:rsidR="008E0F74" w:rsidRPr="00FC3B7C" w:rsidRDefault="008E0F74">
      <w:pPr>
        <w:spacing w:line="136" w:lineRule="exact"/>
        <w:rPr>
          <w:sz w:val="20"/>
          <w:szCs w:val="20"/>
        </w:rPr>
      </w:pPr>
    </w:p>
    <w:p w14:paraId="4A6F48D8" w14:textId="77777777" w:rsidR="008E0F74" w:rsidRPr="00FC3B7C" w:rsidRDefault="00256F29">
      <w:pPr>
        <w:ind w:left="100"/>
        <w:rPr>
          <w:sz w:val="20"/>
          <w:szCs w:val="20"/>
        </w:rPr>
      </w:pPr>
      <w:r w:rsidRPr="00FC3B7C">
        <w:rPr>
          <w:rFonts w:eastAsia="Times New Roman"/>
          <w:b/>
          <w:bCs/>
          <w:szCs w:val="24"/>
        </w:rPr>
        <w:t>Arthur C. Pigou</w:t>
      </w:r>
    </w:p>
    <w:p w14:paraId="4A6F48D9" w14:textId="77777777" w:rsidR="008E0F74" w:rsidRPr="00FC3B7C" w:rsidRDefault="00256F29" w:rsidP="00D46B53">
      <w:pPr>
        <w:numPr>
          <w:ilvl w:val="0"/>
          <w:numId w:val="304"/>
        </w:numPr>
        <w:tabs>
          <w:tab w:val="left" w:pos="820"/>
        </w:tabs>
        <w:ind w:left="820" w:hanging="351"/>
        <w:rPr>
          <w:rFonts w:eastAsia="Times New Roman"/>
          <w:szCs w:val="24"/>
        </w:rPr>
      </w:pPr>
      <w:r w:rsidRPr="00FC3B7C">
        <w:rPr>
          <w:rFonts w:eastAsia="Times New Roman"/>
          <w:szCs w:val="24"/>
        </w:rPr>
        <w:t>tvrdí, že negativní externality snižují mezní společenský užitek, neboli zvyšují mezní</w:t>
      </w:r>
    </w:p>
    <w:p w14:paraId="4A6F48DA" w14:textId="77777777" w:rsidR="008E0F74" w:rsidRPr="00FC3B7C" w:rsidRDefault="00256F29" w:rsidP="00D46B53">
      <w:pPr>
        <w:numPr>
          <w:ilvl w:val="0"/>
          <w:numId w:val="304"/>
        </w:numPr>
        <w:tabs>
          <w:tab w:val="left" w:pos="820"/>
        </w:tabs>
        <w:ind w:left="820" w:hanging="351"/>
        <w:rPr>
          <w:rFonts w:eastAsia="Times New Roman"/>
          <w:szCs w:val="24"/>
        </w:rPr>
      </w:pPr>
      <w:r w:rsidRPr="00FC3B7C">
        <w:rPr>
          <w:rFonts w:eastAsia="Times New Roman"/>
          <w:szCs w:val="24"/>
        </w:rPr>
        <w:t>společenské náklady na dosažení daného společenského cíle</w:t>
      </w:r>
    </w:p>
    <w:p w14:paraId="4A6F48DB" w14:textId="77777777" w:rsidR="008E0F74" w:rsidRPr="00FC3B7C" w:rsidRDefault="00256F29" w:rsidP="00D46B53">
      <w:pPr>
        <w:numPr>
          <w:ilvl w:val="0"/>
          <w:numId w:val="304"/>
        </w:numPr>
        <w:tabs>
          <w:tab w:val="left" w:pos="820"/>
        </w:tabs>
        <w:ind w:left="820" w:hanging="351"/>
        <w:rPr>
          <w:rFonts w:eastAsia="Times New Roman"/>
          <w:szCs w:val="24"/>
        </w:rPr>
      </w:pPr>
      <w:r w:rsidRPr="00FC3B7C">
        <w:rPr>
          <w:rFonts w:eastAsia="Times New Roman"/>
          <w:szCs w:val="24"/>
        </w:rPr>
        <w:t>soukromé mezní náklady umožňují zvyšovat množství produkce, ale společenské mezní náklady jsou při dané výrobě vyšší, tedy z pohledu celé společnosti dosahujeme nižší úrovně užitku s vyššími náklady.</w:t>
      </w:r>
    </w:p>
    <w:p w14:paraId="4A6F48DC" w14:textId="77777777" w:rsidR="008E0F74" w:rsidRPr="00FC3B7C" w:rsidRDefault="00256F29" w:rsidP="00D46B53">
      <w:pPr>
        <w:numPr>
          <w:ilvl w:val="0"/>
          <w:numId w:val="304"/>
        </w:numPr>
        <w:tabs>
          <w:tab w:val="left" w:pos="820"/>
        </w:tabs>
        <w:ind w:left="820" w:hanging="351"/>
        <w:rPr>
          <w:rFonts w:eastAsia="Times New Roman"/>
          <w:szCs w:val="24"/>
        </w:rPr>
      </w:pPr>
      <w:r w:rsidRPr="00FC3B7C">
        <w:rPr>
          <w:rFonts w:eastAsia="Times New Roman"/>
          <w:szCs w:val="24"/>
        </w:rPr>
        <w:t>dle Pigouva názoru jsou externality důsledkem selhání trhu a měl by zasáhnout stát pomocí státních regulací - v tomto případě by mělo dojít k uvalení daní na původce externality</w:t>
      </w:r>
    </w:p>
    <w:p w14:paraId="4A6F48DD" w14:textId="77777777" w:rsidR="008E0F74" w:rsidRPr="00FC3B7C" w:rsidRDefault="00256F29" w:rsidP="00D46B53">
      <w:pPr>
        <w:numPr>
          <w:ilvl w:val="0"/>
          <w:numId w:val="304"/>
        </w:numPr>
        <w:tabs>
          <w:tab w:val="left" w:pos="820"/>
        </w:tabs>
        <w:ind w:left="820" w:hanging="351"/>
        <w:rPr>
          <w:rFonts w:eastAsia="Times New Roman"/>
          <w:szCs w:val="24"/>
        </w:rPr>
      </w:pPr>
      <w:r w:rsidRPr="00FC3B7C">
        <w:rPr>
          <w:rFonts w:eastAsia="Times New Roman"/>
          <w:szCs w:val="24"/>
        </w:rPr>
        <w:t>daně by měly zahrnovat do činnosti právě i společenské náklady</w:t>
      </w:r>
    </w:p>
    <w:p w14:paraId="4A6F48DE" w14:textId="77777777" w:rsidR="008E0F74" w:rsidRPr="00FC3B7C" w:rsidRDefault="00256F29" w:rsidP="00D46B53">
      <w:pPr>
        <w:numPr>
          <w:ilvl w:val="0"/>
          <w:numId w:val="304"/>
        </w:numPr>
        <w:tabs>
          <w:tab w:val="left" w:pos="820"/>
        </w:tabs>
        <w:ind w:left="820" w:hanging="351"/>
        <w:rPr>
          <w:rFonts w:eastAsia="Times New Roman"/>
          <w:szCs w:val="24"/>
        </w:rPr>
      </w:pPr>
      <w:r w:rsidRPr="00FC3B7C">
        <w:rPr>
          <w:rFonts w:eastAsia="Times New Roman"/>
          <w:szCs w:val="24"/>
        </w:rPr>
        <w:t>přesná výše daně by měla být odrazem rozdílu mezi mezními společenskými náklady a soukromými náklady</w:t>
      </w:r>
    </w:p>
    <w:p w14:paraId="4A6F48DF" w14:textId="77777777" w:rsidR="008E0F74" w:rsidRPr="00FC3B7C" w:rsidRDefault="00256F29" w:rsidP="00D46B53">
      <w:pPr>
        <w:numPr>
          <w:ilvl w:val="0"/>
          <w:numId w:val="304"/>
        </w:numPr>
        <w:tabs>
          <w:tab w:val="left" w:pos="820"/>
        </w:tabs>
        <w:ind w:left="820" w:hanging="351"/>
        <w:rPr>
          <w:rFonts w:eastAsia="Times New Roman"/>
          <w:szCs w:val="24"/>
        </w:rPr>
      </w:pPr>
      <w:r w:rsidRPr="00FC3B7C">
        <w:rPr>
          <w:rFonts w:eastAsia="Times New Roman"/>
          <w:szCs w:val="24"/>
        </w:rPr>
        <w:t>původci pozitivní externality by měl stát pomáhat v podobě subvencí, aby byla zvýšená</w:t>
      </w:r>
    </w:p>
    <w:p w14:paraId="4A6F48E0" w14:textId="77777777" w:rsidR="008E0F74" w:rsidRPr="00FC3B7C" w:rsidRDefault="00256F29" w:rsidP="00D46B53">
      <w:pPr>
        <w:numPr>
          <w:ilvl w:val="0"/>
          <w:numId w:val="304"/>
        </w:numPr>
        <w:tabs>
          <w:tab w:val="left" w:pos="820"/>
        </w:tabs>
        <w:ind w:left="820" w:hanging="351"/>
        <w:rPr>
          <w:rFonts w:eastAsia="Times New Roman"/>
          <w:szCs w:val="24"/>
        </w:rPr>
      </w:pPr>
      <w:r w:rsidRPr="00FC3B7C">
        <w:rPr>
          <w:rFonts w:eastAsia="Times New Roman"/>
          <w:szCs w:val="24"/>
        </w:rPr>
        <w:t>produkce statků tak, aby jejich množství bylo společensky optimální</w:t>
      </w:r>
    </w:p>
    <w:p w14:paraId="4A6F48E1" w14:textId="77777777" w:rsidR="008E0F74" w:rsidRPr="00FC3B7C" w:rsidRDefault="00256F29" w:rsidP="00D46B53">
      <w:pPr>
        <w:numPr>
          <w:ilvl w:val="0"/>
          <w:numId w:val="304"/>
        </w:numPr>
        <w:tabs>
          <w:tab w:val="left" w:pos="820"/>
        </w:tabs>
        <w:ind w:left="820" w:hanging="351"/>
        <w:rPr>
          <w:rFonts w:eastAsia="Times New Roman"/>
          <w:szCs w:val="24"/>
        </w:rPr>
      </w:pPr>
      <w:r w:rsidRPr="00FC3B7C">
        <w:rPr>
          <w:rFonts w:eastAsia="Times New Roman"/>
          <w:szCs w:val="24"/>
        </w:rPr>
        <w:t>výše subvence je rozdílem mezi mezními společenskými a soukromými náklady</w:t>
      </w:r>
    </w:p>
    <w:p w14:paraId="4A6F48E2" w14:textId="77777777" w:rsidR="008E0F74" w:rsidRPr="00FC3B7C" w:rsidRDefault="008E0F74">
      <w:pPr>
        <w:spacing w:line="337" w:lineRule="exact"/>
        <w:rPr>
          <w:sz w:val="20"/>
          <w:szCs w:val="20"/>
        </w:rPr>
      </w:pPr>
    </w:p>
    <w:p w14:paraId="4A6F48E3" w14:textId="77777777" w:rsidR="008E0F74" w:rsidRPr="00FC3B7C" w:rsidRDefault="00256F29">
      <w:pPr>
        <w:ind w:left="100"/>
        <w:rPr>
          <w:sz w:val="20"/>
          <w:szCs w:val="20"/>
        </w:rPr>
      </w:pPr>
      <w:r w:rsidRPr="00FC3B7C">
        <w:rPr>
          <w:rFonts w:eastAsia="Times New Roman"/>
          <w:b/>
          <w:bCs/>
          <w:szCs w:val="24"/>
        </w:rPr>
        <w:t>Ronald Coase</w:t>
      </w:r>
    </w:p>
    <w:p w14:paraId="4A6F48E4" w14:textId="77777777" w:rsidR="008E0F74" w:rsidRPr="00FC3B7C" w:rsidRDefault="00256F29" w:rsidP="00D46B53">
      <w:pPr>
        <w:numPr>
          <w:ilvl w:val="0"/>
          <w:numId w:val="688"/>
        </w:numPr>
        <w:tabs>
          <w:tab w:val="left" w:pos="851"/>
        </w:tabs>
        <w:ind w:left="851"/>
        <w:rPr>
          <w:rFonts w:eastAsia="Arial"/>
          <w:szCs w:val="24"/>
        </w:rPr>
      </w:pPr>
      <w:r w:rsidRPr="00FC3B7C">
        <w:rPr>
          <w:rFonts w:eastAsia="Times New Roman"/>
          <w:szCs w:val="24"/>
        </w:rPr>
        <w:t>Coasův názor na tuto problematiku rozdílný oproti Pigouovu</w:t>
      </w:r>
    </w:p>
    <w:p w14:paraId="4A6F48E5" w14:textId="77777777" w:rsidR="008E0F74" w:rsidRPr="00FC3B7C" w:rsidRDefault="00256F29" w:rsidP="00D46B53">
      <w:pPr>
        <w:numPr>
          <w:ilvl w:val="0"/>
          <w:numId w:val="688"/>
        </w:numPr>
        <w:tabs>
          <w:tab w:val="left" w:pos="851"/>
        </w:tabs>
        <w:ind w:left="851"/>
        <w:rPr>
          <w:rFonts w:eastAsia="Arial"/>
          <w:szCs w:val="24"/>
        </w:rPr>
      </w:pPr>
      <w:r w:rsidRPr="00FC3B7C">
        <w:rPr>
          <w:rFonts w:eastAsia="Times New Roman"/>
          <w:szCs w:val="24"/>
        </w:rPr>
        <w:t>podle jeho tvrzení trh selhává tehdy, pokud jsou špatně definovaná a vymahatelná vlastnická práva a trhu se v tomto případě nevyplatí externalitu internalizovat a pokud dojde k uvalení subvencí či daní, vede to k neefektivnímu řešení externalit, protože jsou uvaleny pouze plošně</w:t>
      </w:r>
    </w:p>
    <w:p w14:paraId="4A6F48E6" w14:textId="77777777" w:rsidR="008E0F74" w:rsidRPr="00FC3B7C" w:rsidRDefault="00256F29" w:rsidP="00D46B53">
      <w:pPr>
        <w:numPr>
          <w:ilvl w:val="0"/>
          <w:numId w:val="688"/>
        </w:numPr>
        <w:tabs>
          <w:tab w:val="left" w:pos="851"/>
        </w:tabs>
        <w:ind w:left="851" w:right="720"/>
        <w:rPr>
          <w:rFonts w:eastAsia="Arial"/>
          <w:szCs w:val="24"/>
        </w:rPr>
      </w:pPr>
      <w:r w:rsidRPr="00FC3B7C">
        <w:rPr>
          <w:rFonts w:eastAsia="Times New Roman"/>
          <w:b/>
          <w:bCs/>
          <w:szCs w:val="24"/>
        </w:rPr>
        <w:t xml:space="preserve">Internalizace externalit: </w:t>
      </w:r>
      <w:r w:rsidRPr="00FC3B7C">
        <w:rPr>
          <w:rFonts w:eastAsia="Times New Roman"/>
          <w:szCs w:val="24"/>
        </w:rPr>
        <w:t>Dochází k ní díky vzájemnému vyjednávání -</w:t>
      </w:r>
      <w:r w:rsidRPr="00FC3B7C">
        <w:rPr>
          <w:rFonts w:eastAsia="Times New Roman"/>
          <w:b/>
          <w:bCs/>
          <w:szCs w:val="24"/>
        </w:rPr>
        <w:t xml:space="preserve"> </w:t>
      </w:r>
      <w:r w:rsidRPr="00FC3B7C">
        <w:rPr>
          <w:rFonts w:eastAsia="Times New Roman"/>
          <w:szCs w:val="24"/>
        </w:rPr>
        <w:t>poškozovatel se dohodne s poškozovaným na určité formě kompenzace a její výši s předpokladem, že poškozování bude probíhat i nadále</w:t>
      </w:r>
    </w:p>
    <w:p w14:paraId="4A6F48E7" w14:textId="77777777" w:rsidR="008E0F74" w:rsidRPr="00FC3B7C" w:rsidRDefault="00256F29" w:rsidP="00D46B53">
      <w:pPr>
        <w:numPr>
          <w:ilvl w:val="0"/>
          <w:numId w:val="688"/>
        </w:numPr>
        <w:tabs>
          <w:tab w:val="left" w:pos="851"/>
        </w:tabs>
        <w:ind w:left="851" w:right="80"/>
        <w:rPr>
          <w:rFonts w:eastAsia="Arial"/>
          <w:szCs w:val="24"/>
        </w:rPr>
      </w:pPr>
      <w:r w:rsidRPr="00FC3B7C">
        <w:rPr>
          <w:rFonts w:eastAsia="Times New Roman"/>
          <w:szCs w:val="24"/>
        </w:rPr>
        <w:t>externality jsou tu proto, že se je trhu nevyplatí řešit - jsou zde moc velké transakční náklady (na vyjednávání, uzavírání smluv, dohled, penalizaci atd.). Stát by tudíž primárně měl chránit vlastnická práva než regulovat trh pomocí daní a subvencí</w:t>
      </w:r>
    </w:p>
    <w:p w14:paraId="4A6F48E8" w14:textId="77777777" w:rsidR="008E0F74" w:rsidRPr="00FC3B7C" w:rsidRDefault="00256F29" w:rsidP="00D46B53">
      <w:pPr>
        <w:numPr>
          <w:ilvl w:val="0"/>
          <w:numId w:val="688"/>
        </w:numPr>
        <w:tabs>
          <w:tab w:val="left" w:pos="851"/>
        </w:tabs>
        <w:ind w:left="851"/>
        <w:rPr>
          <w:rFonts w:eastAsia="Arial"/>
          <w:szCs w:val="24"/>
        </w:rPr>
      </w:pPr>
      <w:bookmarkStart w:id="329" w:name="page359"/>
      <w:bookmarkEnd w:id="329"/>
      <w:r w:rsidRPr="00FC3B7C">
        <w:rPr>
          <w:rFonts w:eastAsia="Times New Roman"/>
          <w:b/>
          <w:bCs/>
          <w:szCs w:val="24"/>
        </w:rPr>
        <w:t xml:space="preserve">Coaseův teorém </w:t>
      </w:r>
      <w:r w:rsidRPr="00FC3B7C">
        <w:rPr>
          <w:rFonts w:eastAsia="Times New Roman"/>
          <w:szCs w:val="24"/>
        </w:rPr>
        <w:t>popisuje situaci, kdy k internalizaci externality dochází na základě</w:t>
      </w:r>
      <w:r w:rsidRPr="00FC3B7C">
        <w:rPr>
          <w:rFonts w:eastAsia="Times New Roman"/>
          <w:b/>
          <w:bCs/>
          <w:szCs w:val="24"/>
        </w:rPr>
        <w:t xml:space="preserve"> </w:t>
      </w:r>
      <w:r w:rsidRPr="00FC3B7C">
        <w:rPr>
          <w:rFonts w:eastAsia="Times New Roman"/>
          <w:szCs w:val="24"/>
        </w:rPr>
        <w:t>tzv. soukromých vyjednávání</w:t>
      </w:r>
    </w:p>
    <w:p w14:paraId="4A6F48E9" w14:textId="6942A0AB" w:rsidR="008E0F74" w:rsidRPr="00EF1F53" w:rsidRDefault="00256F29" w:rsidP="00D46B53">
      <w:pPr>
        <w:pStyle w:val="Odstavecseseznamem"/>
        <w:numPr>
          <w:ilvl w:val="0"/>
          <w:numId w:val="689"/>
        </w:numPr>
        <w:ind w:left="1701" w:right="980"/>
        <w:rPr>
          <w:rFonts w:eastAsia="Arial"/>
          <w:szCs w:val="24"/>
        </w:rPr>
      </w:pPr>
      <w:r w:rsidRPr="00EF1F53">
        <w:rPr>
          <w:rFonts w:eastAsia="Times New Roman"/>
          <w:szCs w:val="24"/>
        </w:rPr>
        <w:t>podmínkou uskutečnění takových vyjednávání jsou ale přiměřeně</w:t>
      </w:r>
      <w:r w:rsidRPr="00EF1F53">
        <w:rPr>
          <w:rFonts w:eastAsia="Courier New"/>
          <w:szCs w:val="24"/>
        </w:rPr>
        <w:t xml:space="preserve"> </w:t>
      </w:r>
      <w:r w:rsidRPr="00EF1F53">
        <w:rPr>
          <w:rFonts w:eastAsia="Times New Roman"/>
          <w:szCs w:val="24"/>
        </w:rPr>
        <w:t>nízké transakční náklady na tato vyjednávání</w:t>
      </w:r>
    </w:p>
    <w:p w14:paraId="4A6F48EA" w14:textId="4AB167D9" w:rsidR="008E0F74" w:rsidRPr="00EF1F53" w:rsidRDefault="00256F29" w:rsidP="00D46B53">
      <w:pPr>
        <w:pStyle w:val="Odstavecseseznamem"/>
        <w:numPr>
          <w:ilvl w:val="0"/>
          <w:numId w:val="689"/>
        </w:numPr>
        <w:ind w:left="1701" w:right="580"/>
        <w:rPr>
          <w:rFonts w:eastAsia="Arial"/>
          <w:szCs w:val="24"/>
        </w:rPr>
      </w:pPr>
      <w:r w:rsidRPr="00EF1F53">
        <w:rPr>
          <w:rFonts w:eastAsia="Times New Roman"/>
          <w:szCs w:val="24"/>
        </w:rPr>
        <w:lastRenderedPageBreak/>
        <w:t>je třeba mít přesně</w:t>
      </w:r>
      <w:r w:rsidRPr="00EF1F53">
        <w:rPr>
          <w:rFonts w:eastAsia="Courier New"/>
          <w:szCs w:val="24"/>
        </w:rPr>
        <w:t xml:space="preserve"> </w:t>
      </w:r>
      <w:r w:rsidRPr="00EF1F53">
        <w:rPr>
          <w:rFonts w:eastAsia="Times New Roman"/>
          <w:szCs w:val="24"/>
        </w:rPr>
        <w:t>vymezena vlastnická práva – musíme vědět</w:t>
      </w:r>
      <w:r w:rsidR="004216DD">
        <w:rPr>
          <w:rFonts w:eastAsia="Times New Roman"/>
          <w:szCs w:val="24"/>
        </w:rPr>
        <w:t>,</w:t>
      </w:r>
      <w:r w:rsidRPr="00EF1F53">
        <w:rPr>
          <w:rFonts w:eastAsia="Times New Roman"/>
          <w:szCs w:val="24"/>
        </w:rPr>
        <w:t xml:space="preserve"> na</w:t>
      </w:r>
      <w:r w:rsidRPr="00EF1F53">
        <w:rPr>
          <w:rFonts w:eastAsia="Courier New"/>
          <w:szCs w:val="24"/>
        </w:rPr>
        <w:t xml:space="preserve"> </w:t>
      </w:r>
      <w:r w:rsidRPr="00EF1F53">
        <w:rPr>
          <w:rFonts w:eastAsia="Times New Roman"/>
          <w:szCs w:val="24"/>
        </w:rPr>
        <w:t>čí straně</w:t>
      </w:r>
      <w:r w:rsidRPr="00EF1F53">
        <w:rPr>
          <w:rFonts w:eastAsia="Courier New"/>
          <w:szCs w:val="24"/>
        </w:rPr>
        <w:t xml:space="preserve"> </w:t>
      </w:r>
      <w:r w:rsidRPr="00EF1F53">
        <w:rPr>
          <w:rFonts w:eastAsia="Times New Roman"/>
          <w:szCs w:val="24"/>
        </w:rPr>
        <w:t>jsou práva, kdo komu bude poskytovat náhradu</w:t>
      </w:r>
    </w:p>
    <w:p w14:paraId="4A6F48EB" w14:textId="75527ED6" w:rsidR="008E0F74" w:rsidRPr="00EF1F53" w:rsidRDefault="00256F29" w:rsidP="00D46B53">
      <w:pPr>
        <w:pStyle w:val="Odstavecseseznamem"/>
        <w:numPr>
          <w:ilvl w:val="0"/>
          <w:numId w:val="689"/>
        </w:numPr>
        <w:ind w:left="1701"/>
        <w:rPr>
          <w:rFonts w:eastAsia="Arial"/>
          <w:szCs w:val="24"/>
        </w:rPr>
      </w:pPr>
      <w:r w:rsidRPr="00EF1F53">
        <w:rPr>
          <w:rFonts w:eastAsia="Times New Roman"/>
          <w:szCs w:val="24"/>
        </w:rPr>
        <w:t>k takovým vyjednáváním bude docházet pravděpodobně</w:t>
      </w:r>
      <w:r w:rsidRPr="00EF1F53">
        <w:rPr>
          <w:rFonts w:eastAsia="Courier New"/>
          <w:szCs w:val="24"/>
        </w:rPr>
        <w:t xml:space="preserve"> </w:t>
      </w:r>
      <w:r w:rsidRPr="00EF1F53">
        <w:rPr>
          <w:rFonts w:eastAsia="Times New Roman"/>
          <w:szCs w:val="24"/>
        </w:rPr>
        <w:t>mezi jednotlivci</w:t>
      </w:r>
    </w:p>
    <w:p w14:paraId="4A6F48EC" w14:textId="77777777" w:rsidR="008E0F74" w:rsidRPr="00FC3B7C" w:rsidRDefault="008E0F74">
      <w:pPr>
        <w:spacing w:line="355" w:lineRule="exact"/>
        <w:rPr>
          <w:sz w:val="20"/>
          <w:szCs w:val="20"/>
        </w:rPr>
      </w:pPr>
    </w:p>
    <w:p w14:paraId="4A6F48ED" w14:textId="7A84D367" w:rsidR="008E0F74" w:rsidRPr="00EE01FF" w:rsidRDefault="00EE01FF" w:rsidP="00B73CCA">
      <w:pPr>
        <w:pStyle w:val="Nadpis3"/>
        <w:rPr>
          <w:color w:val="1F3864" w:themeColor="accent1" w:themeShade="80"/>
          <w:sz w:val="20"/>
          <w:szCs w:val="20"/>
        </w:rPr>
      </w:pPr>
      <w:r w:rsidRPr="00EE01FF">
        <w:rPr>
          <w:rFonts w:eastAsia="Times New Roman"/>
          <w:color w:val="1F3864" w:themeColor="accent1" w:themeShade="80"/>
        </w:rPr>
        <w:t xml:space="preserve"> </w:t>
      </w:r>
      <w:r w:rsidR="00256F29" w:rsidRPr="00EE01FF">
        <w:rPr>
          <w:rFonts w:eastAsia="Times New Roman"/>
          <w:color w:val="1F3864" w:themeColor="accent1" w:themeShade="80"/>
        </w:rPr>
        <w:t>Veřejné statky</w:t>
      </w:r>
    </w:p>
    <w:p w14:paraId="4A6F48EE" w14:textId="77777777" w:rsidR="008E0F74" w:rsidRPr="00FC3B7C" w:rsidRDefault="00256F29" w:rsidP="00D46B53">
      <w:pPr>
        <w:numPr>
          <w:ilvl w:val="0"/>
          <w:numId w:val="690"/>
        </w:numPr>
        <w:tabs>
          <w:tab w:val="left" w:pos="700"/>
        </w:tabs>
        <w:ind w:left="700" w:right="340" w:hanging="361"/>
        <w:rPr>
          <w:rFonts w:eastAsia="Arial"/>
          <w:szCs w:val="24"/>
        </w:rPr>
      </w:pPr>
      <w:r w:rsidRPr="00FC3B7C">
        <w:rPr>
          <w:rFonts w:eastAsia="Times New Roman"/>
          <w:szCs w:val="24"/>
        </w:rPr>
        <w:t>jsou komodity, které může užívat kdokoliv a nikdo nemůže být z jejich spotřeby vyloučen (ani když za něj neplatí) → hlavní charakteristiky veřejného statku: nevylučitelnost ze spotřeby a nerivalita ve spotřebě</w:t>
      </w:r>
    </w:p>
    <w:p w14:paraId="4A6F48EF" w14:textId="77777777" w:rsidR="008E0F74" w:rsidRPr="00FC3B7C" w:rsidRDefault="00256F29" w:rsidP="00D46B53">
      <w:pPr>
        <w:numPr>
          <w:ilvl w:val="0"/>
          <w:numId w:val="690"/>
        </w:numPr>
        <w:tabs>
          <w:tab w:val="left" w:pos="700"/>
        </w:tabs>
        <w:ind w:left="700" w:hanging="361"/>
        <w:rPr>
          <w:rFonts w:eastAsia="Arial"/>
          <w:szCs w:val="24"/>
        </w:rPr>
      </w:pPr>
      <w:r w:rsidRPr="00FC3B7C">
        <w:rPr>
          <w:rFonts w:eastAsia="Times New Roman"/>
          <w:szCs w:val="24"/>
        </w:rPr>
        <w:t>například vzdělání: školství není veřejný statek! – je to soukromý statek poskytovaný veřejným sektorem (nesplňuje ekonomickou definici veřejného statku)</w:t>
      </w:r>
    </w:p>
    <w:p w14:paraId="4A6F48F0" w14:textId="77777777" w:rsidR="008E0F74" w:rsidRPr="00FC3B7C" w:rsidRDefault="00256F29" w:rsidP="00D46B53">
      <w:pPr>
        <w:numPr>
          <w:ilvl w:val="0"/>
          <w:numId w:val="690"/>
        </w:numPr>
        <w:tabs>
          <w:tab w:val="left" w:pos="700"/>
        </w:tabs>
        <w:ind w:left="700" w:hanging="361"/>
        <w:rPr>
          <w:rFonts w:eastAsia="Arial"/>
          <w:szCs w:val="24"/>
        </w:rPr>
      </w:pPr>
      <w:r w:rsidRPr="00FC3B7C">
        <w:rPr>
          <w:rFonts w:eastAsia="Times New Roman"/>
          <w:szCs w:val="24"/>
        </w:rPr>
        <w:t>mezní náklady na dalšího “uživatele“ veřejného statku jsou nulové</w:t>
      </w:r>
    </w:p>
    <w:p w14:paraId="4A6F48F1" w14:textId="77777777" w:rsidR="008E0F74" w:rsidRPr="00FC3B7C" w:rsidRDefault="00256F29" w:rsidP="00D46B53">
      <w:pPr>
        <w:numPr>
          <w:ilvl w:val="0"/>
          <w:numId w:val="690"/>
        </w:numPr>
        <w:tabs>
          <w:tab w:val="left" w:pos="700"/>
        </w:tabs>
        <w:ind w:left="700" w:hanging="361"/>
        <w:rPr>
          <w:rFonts w:eastAsia="Arial"/>
          <w:szCs w:val="24"/>
        </w:rPr>
      </w:pPr>
      <w:r w:rsidRPr="00FC3B7C">
        <w:rPr>
          <w:rFonts w:eastAsia="Times New Roman"/>
          <w:szCs w:val="24"/>
        </w:rPr>
        <w:t>spotřebitelé si ve spotřebě nekonkurují = využíváním veřejného statku neomezují spotřebu jiných</w:t>
      </w:r>
    </w:p>
    <w:p w14:paraId="4A6F48F2" w14:textId="77777777" w:rsidR="008E0F74" w:rsidRPr="00FC3B7C" w:rsidRDefault="00256F29" w:rsidP="00D46B53">
      <w:pPr>
        <w:numPr>
          <w:ilvl w:val="0"/>
          <w:numId w:val="690"/>
        </w:numPr>
        <w:tabs>
          <w:tab w:val="left" w:pos="700"/>
        </w:tabs>
        <w:ind w:left="700" w:hanging="361"/>
        <w:rPr>
          <w:rFonts w:eastAsia="Arial"/>
          <w:szCs w:val="24"/>
        </w:rPr>
      </w:pPr>
      <w:r w:rsidRPr="00FC3B7C">
        <w:rPr>
          <w:rFonts w:eastAsia="Times New Roman"/>
          <w:szCs w:val="24"/>
        </w:rPr>
        <w:t>transakční náklady na vyloučení neplatících spotřebitelů jsou příliš vysoké</w:t>
      </w:r>
    </w:p>
    <w:p w14:paraId="4A6F48F3" w14:textId="77777777" w:rsidR="008E0F74" w:rsidRPr="00FC3B7C" w:rsidRDefault="00256F29" w:rsidP="00D46B53">
      <w:pPr>
        <w:numPr>
          <w:ilvl w:val="0"/>
          <w:numId w:val="690"/>
        </w:numPr>
        <w:tabs>
          <w:tab w:val="left" w:pos="700"/>
        </w:tabs>
        <w:ind w:left="700" w:hanging="361"/>
        <w:rPr>
          <w:rFonts w:eastAsia="Arial"/>
          <w:szCs w:val="24"/>
        </w:rPr>
      </w:pPr>
      <w:r w:rsidRPr="00FC3B7C">
        <w:rPr>
          <w:rFonts w:eastAsia="Times New Roman"/>
          <w:szCs w:val="24"/>
        </w:rPr>
        <w:t>vylučitelnost posuzujeme z ekonomického ne technického hlediska!.</w:t>
      </w:r>
    </w:p>
    <w:p w14:paraId="4A6F48F4" w14:textId="77777777" w:rsidR="008E0F74" w:rsidRPr="00FC3B7C" w:rsidRDefault="00256F29" w:rsidP="00D46B53">
      <w:pPr>
        <w:numPr>
          <w:ilvl w:val="1"/>
          <w:numId w:val="692"/>
        </w:numPr>
        <w:tabs>
          <w:tab w:val="left" w:pos="1420"/>
        </w:tabs>
        <w:ind w:left="1420" w:right="740" w:hanging="361"/>
        <w:rPr>
          <w:rFonts w:eastAsia="Courier New"/>
          <w:szCs w:val="24"/>
        </w:rPr>
      </w:pPr>
      <w:r w:rsidRPr="00FC3B7C">
        <w:rPr>
          <w:rFonts w:eastAsia="Times New Roman"/>
          <w:szCs w:val="24"/>
        </w:rPr>
        <w:t>např. oplocení velkého parku je technicky možné, ale je to příliš nákladné, proto tento park považujeme za veřejný statek</w:t>
      </w:r>
    </w:p>
    <w:p w14:paraId="4A6F48F5" w14:textId="77777777" w:rsidR="008E0F74" w:rsidRPr="00FC3B7C" w:rsidRDefault="00256F29" w:rsidP="00D46B53">
      <w:pPr>
        <w:numPr>
          <w:ilvl w:val="0"/>
          <w:numId w:val="691"/>
        </w:numPr>
        <w:tabs>
          <w:tab w:val="left" w:pos="700"/>
        </w:tabs>
        <w:ind w:left="700" w:hanging="361"/>
        <w:rPr>
          <w:rFonts w:eastAsia="Arial"/>
          <w:szCs w:val="24"/>
        </w:rPr>
      </w:pPr>
      <w:r w:rsidRPr="00FC3B7C">
        <w:rPr>
          <w:rFonts w:eastAsia="Times New Roman"/>
          <w:szCs w:val="24"/>
        </w:rPr>
        <w:t>jedinec, který za daný statek neplatí, a přesto ho využívá, se nazývá černým pasažérem (freeriding)</w:t>
      </w:r>
    </w:p>
    <w:p w14:paraId="4A6F48F6" w14:textId="77777777" w:rsidR="008E0F74" w:rsidRPr="00FC3B7C" w:rsidRDefault="00256F29" w:rsidP="00D46B53">
      <w:pPr>
        <w:numPr>
          <w:ilvl w:val="0"/>
          <w:numId w:val="691"/>
        </w:numPr>
        <w:tabs>
          <w:tab w:val="left" w:pos="700"/>
        </w:tabs>
        <w:ind w:left="700" w:right="480" w:hanging="367"/>
        <w:rPr>
          <w:rFonts w:eastAsia="Arial"/>
          <w:szCs w:val="24"/>
        </w:rPr>
      </w:pPr>
      <w:r w:rsidRPr="00FC3B7C">
        <w:rPr>
          <w:rFonts w:eastAsia="Times New Roman"/>
          <w:szCs w:val="24"/>
        </w:rPr>
        <w:t>veřejné statky jsou příkladem pozitivních externalit - výrobci totiž nemohou financovat produkci těchto statků jejich prodejem či pronájmem, proto tyto statky nebudou přirozeně poskytovány v dostatečné míře</w:t>
      </w:r>
    </w:p>
    <w:p w14:paraId="4A6F48F7" w14:textId="77777777" w:rsidR="008E0F74" w:rsidRPr="00B73CCA" w:rsidRDefault="00256F29" w:rsidP="00D46B53">
      <w:pPr>
        <w:numPr>
          <w:ilvl w:val="0"/>
          <w:numId w:val="691"/>
        </w:numPr>
        <w:tabs>
          <w:tab w:val="left" w:pos="700"/>
        </w:tabs>
        <w:ind w:left="700" w:hanging="367"/>
        <w:rPr>
          <w:rFonts w:eastAsia="Arial"/>
          <w:sz w:val="23"/>
          <w:szCs w:val="23"/>
        </w:rPr>
      </w:pPr>
      <w:r w:rsidRPr="00FC3B7C">
        <w:rPr>
          <w:rFonts w:eastAsia="Times New Roman"/>
          <w:sz w:val="23"/>
          <w:szCs w:val="23"/>
        </w:rPr>
        <w:t>nezáleží na tom, zda je veřejný statek poskytován soukromým nebo veřejným sektorem, ale na tom, že transakční náklady na vyloučení ze spotřeby jsou příliš vysoké.</w:t>
      </w:r>
    </w:p>
    <w:p w14:paraId="4A6F48F8" w14:textId="77777777" w:rsidR="008E0F74" w:rsidRPr="00FC3B7C" w:rsidRDefault="008E0F74">
      <w:pPr>
        <w:spacing w:line="20" w:lineRule="exact"/>
        <w:rPr>
          <w:sz w:val="20"/>
          <w:szCs w:val="20"/>
        </w:rPr>
      </w:pPr>
    </w:p>
    <w:p w14:paraId="4A6F48F9" w14:textId="77777777" w:rsidR="008E0F74" w:rsidRDefault="008E0F74">
      <w:pPr>
        <w:spacing w:line="313" w:lineRule="exact"/>
        <w:rPr>
          <w:sz w:val="20"/>
          <w:szCs w:val="20"/>
        </w:rPr>
      </w:pPr>
    </w:p>
    <w:tbl>
      <w:tblPr>
        <w:tblStyle w:val="Mkatabulky"/>
        <w:tblW w:w="0" w:type="auto"/>
        <w:tblLook w:val="04A0" w:firstRow="1" w:lastRow="0" w:firstColumn="1" w:lastColumn="0" w:noHBand="0" w:noVBand="1"/>
      </w:tblPr>
      <w:tblGrid>
        <w:gridCol w:w="3066"/>
        <w:gridCol w:w="3067"/>
        <w:gridCol w:w="3067"/>
      </w:tblGrid>
      <w:tr w:rsidR="00B73CCA" w14:paraId="4A6F48FD" w14:textId="77777777" w:rsidTr="00B73CCA">
        <w:tc>
          <w:tcPr>
            <w:tcW w:w="3066" w:type="dxa"/>
          </w:tcPr>
          <w:p w14:paraId="4A6F48FA" w14:textId="77777777" w:rsidR="00B73CCA" w:rsidRDefault="00B73CCA">
            <w:pPr>
              <w:spacing w:line="313" w:lineRule="exact"/>
              <w:rPr>
                <w:sz w:val="20"/>
                <w:szCs w:val="20"/>
              </w:rPr>
            </w:pPr>
            <w:r w:rsidRPr="00FC3B7C">
              <w:rPr>
                <w:rFonts w:eastAsia="Times New Roman"/>
                <w:b/>
                <w:bCs/>
              </w:rPr>
              <w:t>SPOTŘEBA</w:t>
            </w:r>
          </w:p>
        </w:tc>
        <w:tc>
          <w:tcPr>
            <w:tcW w:w="3067" w:type="dxa"/>
          </w:tcPr>
          <w:p w14:paraId="4A6F48FB" w14:textId="77777777" w:rsidR="00B73CCA" w:rsidRDefault="00B73CCA">
            <w:pPr>
              <w:spacing w:line="313" w:lineRule="exact"/>
              <w:rPr>
                <w:sz w:val="20"/>
                <w:szCs w:val="20"/>
              </w:rPr>
            </w:pPr>
            <w:r w:rsidRPr="00FC3B7C">
              <w:rPr>
                <w:rFonts w:eastAsia="Times New Roman"/>
                <w:b/>
                <w:bCs/>
              </w:rPr>
              <w:t>vylučitelná</w:t>
            </w:r>
          </w:p>
        </w:tc>
        <w:tc>
          <w:tcPr>
            <w:tcW w:w="3067" w:type="dxa"/>
          </w:tcPr>
          <w:p w14:paraId="4A6F48FC" w14:textId="77777777" w:rsidR="00B73CCA" w:rsidRDefault="00B73CCA">
            <w:pPr>
              <w:spacing w:line="313" w:lineRule="exact"/>
              <w:rPr>
                <w:sz w:val="20"/>
                <w:szCs w:val="20"/>
              </w:rPr>
            </w:pPr>
            <w:r w:rsidRPr="00FC3B7C">
              <w:rPr>
                <w:rFonts w:eastAsia="Times New Roman"/>
                <w:b/>
                <w:bCs/>
                <w:sz w:val="23"/>
                <w:szCs w:val="23"/>
              </w:rPr>
              <w:t>nevylučitelná</w:t>
            </w:r>
          </w:p>
        </w:tc>
      </w:tr>
      <w:tr w:rsidR="00B73CCA" w14:paraId="4A6F4901" w14:textId="77777777" w:rsidTr="001B1026">
        <w:tc>
          <w:tcPr>
            <w:tcW w:w="3066" w:type="dxa"/>
          </w:tcPr>
          <w:p w14:paraId="4A6F48FE" w14:textId="77777777" w:rsidR="00B73CCA" w:rsidRDefault="00B73CCA" w:rsidP="00B73CCA">
            <w:pPr>
              <w:spacing w:line="313" w:lineRule="exact"/>
              <w:rPr>
                <w:sz w:val="20"/>
                <w:szCs w:val="20"/>
              </w:rPr>
            </w:pPr>
            <w:r w:rsidRPr="00FC3B7C">
              <w:rPr>
                <w:rFonts w:eastAsia="Times New Roman"/>
                <w:b/>
                <w:bCs/>
                <w:w w:val="98"/>
              </w:rPr>
              <w:t>Rivalitní</w:t>
            </w:r>
          </w:p>
        </w:tc>
        <w:tc>
          <w:tcPr>
            <w:tcW w:w="3067" w:type="dxa"/>
          </w:tcPr>
          <w:p w14:paraId="4A6F48FF" w14:textId="77777777" w:rsidR="00B73CCA" w:rsidRDefault="00B73CCA" w:rsidP="00B73CCA">
            <w:pPr>
              <w:spacing w:line="313" w:lineRule="exact"/>
              <w:rPr>
                <w:sz w:val="20"/>
                <w:szCs w:val="20"/>
              </w:rPr>
            </w:pPr>
            <w:r w:rsidRPr="00FC3B7C">
              <w:rPr>
                <w:rFonts w:eastAsia="Times New Roman"/>
                <w:w w:val="99"/>
              </w:rPr>
              <w:t>soukromé statky</w:t>
            </w:r>
          </w:p>
        </w:tc>
        <w:tc>
          <w:tcPr>
            <w:tcW w:w="3067" w:type="dxa"/>
            <w:vAlign w:val="bottom"/>
          </w:tcPr>
          <w:p w14:paraId="4A6F4900" w14:textId="77777777" w:rsidR="00B73CCA" w:rsidRPr="00FC3B7C" w:rsidRDefault="00B73CCA" w:rsidP="00B73CCA">
            <w:pPr>
              <w:rPr>
                <w:sz w:val="20"/>
                <w:szCs w:val="20"/>
              </w:rPr>
            </w:pPr>
            <w:r w:rsidRPr="00FC3B7C">
              <w:rPr>
                <w:rFonts w:eastAsia="Times New Roman"/>
              </w:rPr>
              <w:t>přírodní zdroje</w:t>
            </w:r>
          </w:p>
        </w:tc>
      </w:tr>
      <w:tr w:rsidR="00B73CCA" w14:paraId="4A6F4905" w14:textId="77777777" w:rsidTr="001B1026">
        <w:tc>
          <w:tcPr>
            <w:tcW w:w="3066" w:type="dxa"/>
          </w:tcPr>
          <w:p w14:paraId="4A6F4902" w14:textId="77777777" w:rsidR="00B73CCA" w:rsidRDefault="00B73CCA" w:rsidP="00B73CCA">
            <w:pPr>
              <w:spacing w:line="313" w:lineRule="exact"/>
              <w:rPr>
                <w:sz w:val="20"/>
                <w:szCs w:val="20"/>
              </w:rPr>
            </w:pPr>
            <w:r w:rsidRPr="00FC3B7C">
              <w:rPr>
                <w:rFonts w:eastAsia="Times New Roman"/>
                <w:b/>
                <w:bCs/>
              </w:rPr>
              <w:t>Nerivalitní</w:t>
            </w:r>
          </w:p>
        </w:tc>
        <w:tc>
          <w:tcPr>
            <w:tcW w:w="3067" w:type="dxa"/>
          </w:tcPr>
          <w:p w14:paraId="4A6F4903" w14:textId="77777777" w:rsidR="00B73CCA" w:rsidRDefault="00B73CCA" w:rsidP="00B73CCA">
            <w:pPr>
              <w:spacing w:line="313" w:lineRule="exact"/>
              <w:rPr>
                <w:sz w:val="20"/>
                <w:szCs w:val="20"/>
              </w:rPr>
            </w:pPr>
            <w:r w:rsidRPr="00FC3B7C">
              <w:rPr>
                <w:rFonts w:eastAsia="Times New Roman"/>
                <w:w w:val="99"/>
              </w:rPr>
              <w:t>klubové statky</w:t>
            </w:r>
          </w:p>
        </w:tc>
        <w:tc>
          <w:tcPr>
            <w:tcW w:w="3067" w:type="dxa"/>
            <w:vAlign w:val="bottom"/>
          </w:tcPr>
          <w:p w14:paraId="4A6F4904" w14:textId="77777777" w:rsidR="00B73CCA" w:rsidRPr="00FC3B7C" w:rsidRDefault="00B73CCA" w:rsidP="00B73CCA">
            <w:r w:rsidRPr="00FC3B7C">
              <w:rPr>
                <w:rFonts w:eastAsia="Times New Roman"/>
                <w:b/>
                <w:bCs/>
              </w:rPr>
              <w:t>veřejné statky</w:t>
            </w:r>
          </w:p>
        </w:tc>
      </w:tr>
    </w:tbl>
    <w:p w14:paraId="4A6F4906" w14:textId="77777777" w:rsidR="00B73CCA" w:rsidRPr="00FC3B7C" w:rsidRDefault="00B73CCA">
      <w:pPr>
        <w:spacing w:line="313" w:lineRule="exact"/>
        <w:rPr>
          <w:sz w:val="20"/>
          <w:szCs w:val="20"/>
        </w:rPr>
      </w:pPr>
    </w:p>
    <w:p w14:paraId="4A6F4907" w14:textId="77777777" w:rsidR="008E0F74" w:rsidRPr="00FC3B7C" w:rsidRDefault="00256F29">
      <w:pPr>
        <w:tabs>
          <w:tab w:val="left" w:pos="3820"/>
          <w:tab w:val="left" w:pos="6540"/>
        </w:tabs>
        <w:ind w:left="920"/>
        <w:rPr>
          <w:sz w:val="20"/>
          <w:szCs w:val="20"/>
        </w:rPr>
      </w:pPr>
      <w:r w:rsidRPr="00FC3B7C">
        <w:rPr>
          <w:sz w:val="20"/>
          <w:szCs w:val="20"/>
        </w:rPr>
        <w:tab/>
      </w:r>
      <w:r w:rsidRPr="00FC3B7C">
        <w:rPr>
          <w:sz w:val="20"/>
          <w:szCs w:val="20"/>
        </w:rPr>
        <w:tab/>
      </w:r>
    </w:p>
    <w:p w14:paraId="4A6F4908" w14:textId="77777777" w:rsidR="008E0F74" w:rsidRPr="00FC3B7C" w:rsidRDefault="008E0F74">
      <w:pPr>
        <w:sectPr w:rsidR="008E0F74" w:rsidRPr="00FC3B7C" w:rsidSect="00EE01FF">
          <w:pgSz w:w="11900" w:h="16840"/>
          <w:pgMar w:top="1405" w:right="1400" w:bottom="1440" w:left="1418" w:header="0" w:footer="0" w:gutter="0"/>
          <w:cols w:space="708" w:equalWidth="0">
            <w:col w:w="9082"/>
          </w:cols>
        </w:sectPr>
      </w:pPr>
    </w:p>
    <w:p w14:paraId="4A6F4909" w14:textId="77777777" w:rsidR="008E0F74" w:rsidRPr="00FC3B7C" w:rsidRDefault="00256F29" w:rsidP="00514E0C">
      <w:pPr>
        <w:rPr>
          <w:sz w:val="20"/>
          <w:szCs w:val="20"/>
        </w:rPr>
      </w:pPr>
      <w:bookmarkStart w:id="330" w:name="page360"/>
      <w:bookmarkEnd w:id="330"/>
      <w:r w:rsidRPr="00FC3B7C">
        <w:rPr>
          <w:rFonts w:eastAsia="Times New Roman"/>
          <w:b/>
          <w:bCs/>
          <w:i/>
          <w:iCs/>
          <w:szCs w:val="24"/>
        </w:rPr>
        <w:lastRenderedPageBreak/>
        <w:t>Paul Samuelson</w:t>
      </w:r>
    </w:p>
    <w:p w14:paraId="4A6F490A" w14:textId="77777777" w:rsidR="008E0F74" w:rsidRPr="00FC3B7C" w:rsidRDefault="00256F29" w:rsidP="00D46B53">
      <w:pPr>
        <w:numPr>
          <w:ilvl w:val="0"/>
          <w:numId w:val="693"/>
        </w:numPr>
        <w:tabs>
          <w:tab w:val="left" w:pos="940"/>
        </w:tabs>
        <w:ind w:left="940" w:hanging="366"/>
        <w:rPr>
          <w:rFonts w:eastAsia="Arial"/>
          <w:szCs w:val="24"/>
        </w:rPr>
      </w:pPr>
      <w:r w:rsidRPr="00FC3B7C">
        <w:rPr>
          <w:rFonts w:eastAsia="Times New Roman"/>
          <w:szCs w:val="24"/>
        </w:rPr>
        <w:t>zavedl pojem veřejný statek</w:t>
      </w:r>
    </w:p>
    <w:p w14:paraId="4A6F490B" w14:textId="77777777" w:rsidR="008E0F74" w:rsidRPr="00FC3B7C" w:rsidRDefault="00256F29" w:rsidP="00D46B53">
      <w:pPr>
        <w:numPr>
          <w:ilvl w:val="0"/>
          <w:numId w:val="693"/>
        </w:numPr>
        <w:tabs>
          <w:tab w:val="left" w:pos="940"/>
        </w:tabs>
        <w:ind w:left="940" w:hanging="366"/>
        <w:rPr>
          <w:rFonts w:eastAsia="Arial"/>
          <w:szCs w:val="24"/>
        </w:rPr>
      </w:pPr>
      <w:r w:rsidRPr="00FC3B7C">
        <w:rPr>
          <w:rFonts w:eastAsia="Times New Roman"/>
          <w:szCs w:val="24"/>
        </w:rPr>
        <w:t>nositel Nobelovy ceny za ekonomii</w:t>
      </w:r>
    </w:p>
    <w:p w14:paraId="4A6F490C" w14:textId="77777777" w:rsidR="008E0F74" w:rsidRPr="00FC3B7C" w:rsidRDefault="00256F29" w:rsidP="00D46B53">
      <w:pPr>
        <w:numPr>
          <w:ilvl w:val="0"/>
          <w:numId w:val="693"/>
        </w:numPr>
        <w:tabs>
          <w:tab w:val="left" w:pos="940"/>
        </w:tabs>
        <w:ind w:left="940" w:hanging="366"/>
        <w:rPr>
          <w:rFonts w:eastAsia="Arial"/>
          <w:szCs w:val="24"/>
        </w:rPr>
      </w:pPr>
      <w:r w:rsidRPr="00FC3B7C">
        <w:rPr>
          <w:rFonts w:eastAsia="Times New Roman"/>
          <w:szCs w:val="24"/>
        </w:rPr>
        <w:t xml:space="preserve">uvedl dvě zásadní charakteristiky tohoto statku: nerivalita mezi spotřebiteli </w:t>
      </w:r>
      <w:r w:rsidR="00514E0C">
        <w:rPr>
          <w:rFonts w:eastAsia="Times New Roman"/>
          <w:szCs w:val="24"/>
        </w:rPr>
        <w:br/>
      </w:r>
      <w:r w:rsidRPr="00FC3B7C">
        <w:rPr>
          <w:rFonts w:eastAsia="Times New Roman"/>
          <w:szCs w:val="24"/>
        </w:rPr>
        <w:t>a nevylučitelnost ve spotřebě</w:t>
      </w:r>
    </w:p>
    <w:p w14:paraId="4A6F490D" w14:textId="77777777" w:rsidR="008E0F74" w:rsidRPr="00FC3B7C" w:rsidRDefault="00256F29" w:rsidP="00D46B53">
      <w:pPr>
        <w:numPr>
          <w:ilvl w:val="0"/>
          <w:numId w:val="693"/>
        </w:numPr>
        <w:tabs>
          <w:tab w:val="left" w:pos="940"/>
        </w:tabs>
        <w:ind w:left="940" w:hanging="366"/>
        <w:rPr>
          <w:rFonts w:eastAsia="Arial"/>
          <w:szCs w:val="24"/>
        </w:rPr>
      </w:pPr>
      <w:r w:rsidRPr="00FC3B7C">
        <w:rPr>
          <w:rFonts w:eastAsia="Times New Roman"/>
          <w:szCs w:val="24"/>
        </w:rPr>
        <w:t xml:space="preserve">chápal existenci VS jako důvod existence státu a jeho úlohu v ekonomice </w:t>
      </w:r>
      <w:r w:rsidR="00514E0C">
        <w:rPr>
          <w:rFonts w:eastAsia="Times New Roman"/>
          <w:szCs w:val="24"/>
        </w:rPr>
        <w:br/>
      </w:r>
      <w:r w:rsidRPr="00FC3B7C">
        <w:rPr>
          <w:rFonts w:eastAsia="Times New Roman"/>
          <w:szCs w:val="24"/>
        </w:rPr>
        <w:t>a v existenci veřejného sektoru</w:t>
      </w:r>
    </w:p>
    <w:p w14:paraId="4A6F490F" w14:textId="77777777" w:rsidR="008E0F74" w:rsidRPr="00FC3B7C" w:rsidRDefault="00256F29" w:rsidP="00514E0C">
      <w:pPr>
        <w:rPr>
          <w:sz w:val="20"/>
          <w:szCs w:val="20"/>
        </w:rPr>
      </w:pPr>
      <w:r w:rsidRPr="00FC3B7C">
        <w:rPr>
          <w:rFonts w:eastAsia="Times New Roman"/>
          <w:b/>
          <w:bCs/>
          <w:i/>
          <w:iCs/>
          <w:szCs w:val="24"/>
        </w:rPr>
        <w:t>James Buchanan</w:t>
      </w:r>
    </w:p>
    <w:p w14:paraId="4A6F4910" w14:textId="77777777" w:rsidR="008E0F74" w:rsidRPr="00FC3B7C" w:rsidRDefault="00256F29" w:rsidP="00D46B53">
      <w:pPr>
        <w:numPr>
          <w:ilvl w:val="0"/>
          <w:numId w:val="694"/>
        </w:numPr>
        <w:tabs>
          <w:tab w:val="left" w:pos="820"/>
        </w:tabs>
        <w:ind w:left="820" w:hanging="348"/>
        <w:rPr>
          <w:rFonts w:eastAsia="Arial"/>
          <w:szCs w:val="24"/>
        </w:rPr>
      </w:pPr>
      <w:r w:rsidRPr="00FC3B7C">
        <w:rPr>
          <w:rFonts w:eastAsia="Times New Roman"/>
          <w:szCs w:val="24"/>
        </w:rPr>
        <w:t>zakladatel tzv. Public choice</w:t>
      </w:r>
    </w:p>
    <w:p w14:paraId="4A6F4911" w14:textId="77777777" w:rsidR="008E0F74" w:rsidRPr="00FC3B7C" w:rsidRDefault="00256F29" w:rsidP="00D46B53">
      <w:pPr>
        <w:numPr>
          <w:ilvl w:val="0"/>
          <w:numId w:val="694"/>
        </w:numPr>
        <w:tabs>
          <w:tab w:val="left" w:pos="820"/>
        </w:tabs>
        <w:ind w:left="820" w:hanging="348"/>
        <w:rPr>
          <w:rFonts w:eastAsia="Arial"/>
          <w:szCs w:val="24"/>
        </w:rPr>
      </w:pPr>
      <w:r w:rsidRPr="00FC3B7C">
        <w:rPr>
          <w:rFonts w:eastAsia="Times New Roman"/>
          <w:szCs w:val="24"/>
        </w:rPr>
        <w:t>kritériem pro rozdělení statků na veřejné a soukromé statky byla kolektivní volba</w:t>
      </w:r>
    </w:p>
    <w:p w14:paraId="4A6F4912" w14:textId="77777777" w:rsidR="008E0F74" w:rsidRPr="00FC3B7C" w:rsidRDefault="00256F29" w:rsidP="00D46B53">
      <w:pPr>
        <w:numPr>
          <w:ilvl w:val="0"/>
          <w:numId w:val="694"/>
        </w:numPr>
        <w:tabs>
          <w:tab w:val="left" w:pos="820"/>
        </w:tabs>
        <w:ind w:left="820" w:hanging="348"/>
        <w:rPr>
          <w:rFonts w:eastAsia="Arial"/>
          <w:szCs w:val="24"/>
        </w:rPr>
      </w:pPr>
      <w:r w:rsidRPr="00FC3B7C">
        <w:rPr>
          <w:rFonts w:eastAsia="Times New Roman"/>
          <w:szCs w:val="24"/>
        </w:rPr>
        <w:t>veřejným statkem by tedy mohlo být cokoliv, na čem se společnost dohodla, že bude veřejným statkem</w:t>
      </w:r>
    </w:p>
    <w:p w14:paraId="4A6F4914" w14:textId="77777777" w:rsidR="008E0F74" w:rsidRPr="00FC3B7C" w:rsidRDefault="00256F29" w:rsidP="00514E0C">
      <w:pPr>
        <w:ind w:left="100"/>
        <w:rPr>
          <w:sz w:val="20"/>
          <w:szCs w:val="20"/>
        </w:rPr>
      </w:pPr>
      <w:r w:rsidRPr="00FC3B7C">
        <w:rPr>
          <w:rFonts w:eastAsia="Times New Roman"/>
          <w:b/>
          <w:bCs/>
          <w:i/>
          <w:iCs/>
          <w:szCs w:val="24"/>
        </w:rPr>
        <w:t>Škola veřejné volby</w:t>
      </w:r>
    </w:p>
    <w:p w14:paraId="4A6F4917" w14:textId="1260CADB" w:rsidR="008E0F74" w:rsidRPr="00EC396E" w:rsidRDefault="00256F29" w:rsidP="00D46B53">
      <w:pPr>
        <w:pStyle w:val="Odstavecseseznamem"/>
        <w:numPr>
          <w:ilvl w:val="0"/>
          <w:numId w:val="695"/>
        </w:numPr>
        <w:spacing w:after="240"/>
        <w:rPr>
          <w:rFonts w:eastAsia="Times New Roman"/>
          <w:szCs w:val="24"/>
        </w:rPr>
      </w:pPr>
      <w:r w:rsidRPr="00BD5C01">
        <w:rPr>
          <w:rFonts w:eastAsia="Times New Roman"/>
          <w:szCs w:val="24"/>
        </w:rPr>
        <w:t>VS je to, co zajišťuje stát (veřejná korporace) – rozhodne se to mechanismem veřejné volby.</w:t>
      </w:r>
    </w:p>
    <w:p w14:paraId="4A6F4918" w14:textId="77777777" w:rsidR="008E0F74" w:rsidRPr="00FC3B7C" w:rsidRDefault="00256F29" w:rsidP="00514E0C">
      <w:pPr>
        <w:pStyle w:val="Nadpis4"/>
        <w:rPr>
          <w:sz w:val="20"/>
          <w:szCs w:val="20"/>
        </w:rPr>
      </w:pPr>
      <w:r w:rsidRPr="00FC3B7C">
        <w:rPr>
          <w:rFonts w:eastAsia="Times New Roman"/>
        </w:rPr>
        <w:t>Možnosti financování veřejných statků</w:t>
      </w:r>
    </w:p>
    <w:p w14:paraId="4A6F4919" w14:textId="77777777" w:rsidR="008E0F74" w:rsidRPr="00FC3B7C" w:rsidRDefault="00256F29">
      <w:pPr>
        <w:rPr>
          <w:sz w:val="20"/>
          <w:szCs w:val="20"/>
        </w:rPr>
      </w:pPr>
      <w:r w:rsidRPr="00FC3B7C">
        <w:rPr>
          <w:rFonts w:eastAsia="Times New Roman"/>
          <w:b/>
          <w:bCs/>
          <w:szCs w:val="24"/>
        </w:rPr>
        <w:t>Prostřednictvím veřejných rozpočtů</w:t>
      </w:r>
    </w:p>
    <w:p w14:paraId="4A6F491A" w14:textId="77777777" w:rsidR="008E0F74" w:rsidRPr="00FC3B7C" w:rsidRDefault="00256F29" w:rsidP="00D46B53">
      <w:pPr>
        <w:numPr>
          <w:ilvl w:val="0"/>
          <w:numId w:val="696"/>
        </w:numPr>
        <w:tabs>
          <w:tab w:val="left" w:pos="720"/>
        </w:tabs>
        <w:ind w:left="720" w:hanging="361"/>
        <w:rPr>
          <w:rFonts w:eastAsia="Arial"/>
          <w:szCs w:val="24"/>
        </w:rPr>
      </w:pPr>
      <w:r w:rsidRPr="00FC3B7C">
        <w:rPr>
          <w:rFonts w:eastAsia="Times New Roman"/>
          <w:szCs w:val="24"/>
        </w:rPr>
        <w:t>z daní</w:t>
      </w:r>
    </w:p>
    <w:p w14:paraId="4A6F491B" w14:textId="77777777" w:rsidR="008E0F74" w:rsidRPr="00FC3B7C" w:rsidRDefault="00256F29" w:rsidP="00D46B53">
      <w:pPr>
        <w:numPr>
          <w:ilvl w:val="0"/>
          <w:numId w:val="696"/>
        </w:numPr>
        <w:tabs>
          <w:tab w:val="left" w:pos="720"/>
        </w:tabs>
        <w:ind w:left="720" w:hanging="361"/>
        <w:rPr>
          <w:rFonts w:eastAsia="Arial"/>
          <w:szCs w:val="24"/>
        </w:rPr>
      </w:pPr>
      <w:r w:rsidRPr="00FC3B7C">
        <w:rPr>
          <w:rFonts w:eastAsia="Times New Roman"/>
          <w:szCs w:val="24"/>
        </w:rPr>
        <w:t>při poskytování VS je zpřetrhána vazba mezi plátcem a příjemcem - to má vliv na spravedlnost a alokační efektivnost</w:t>
      </w:r>
    </w:p>
    <w:p w14:paraId="4A6F491C" w14:textId="77777777" w:rsidR="008E0F74" w:rsidRPr="00FC3B7C" w:rsidRDefault="00256F29" w:rsidP="00D46B53">
      <w:pPr>
        <w:numPr>
          <w:ilvl w:val="0"/>
          <w:numId w:val="696"/>
        </w:numPr>
        <w:tabs>
          <w:tab w:val="left" w:pos="720"/>
        </w:tabs>
        <w:ind w:left="720" w:hanging="361"/>
        <w:rPr>
          <w:rFonts w:eastAsia="Arial"/>
          <w:szCs w:val="24"/>
        </w:rPr>
      </w:pPr>
      <w:r w:rsidRPr="00FC3B7C">
        <w:rPr>
          <w:rFonts w:eastAsia="Times New Roman"/>
          <w:szCs w:val="24"/>
        </w:rPr>
        <w:t>politici mohou naše potřeby a preference jen odhadovat - nikdy to ale neodhadnou přesně a tím pádem to nikdy nebude tak, jak bychom to přesně chtěli my</w:t>
      </w:r>
    </w:p>
    <w:p w14:paraId="4A6F491D" w14:textId="77777777" w:rsidR="008E0F74" w:rsidRPr="00FC3B7C" w:rsidRDefault="00256F29" w:rsidP="00D46B53">
      <w:pPr>
        <w:numPr>
          <w:ilvl w:val="0"/>
          <w:numId w:val="696"/>
        </w:numPr>
        <w:tabs>
          <w:tab w:val="left" w:pos="720"/>
        </w:tabs>
        <w:ind w:left="720" w:hanging="361"/>
        <w:rPr>
          <w:rFonts w:eastAsia="Arial"/>
          <w:szCs w:val="24"/>
        </w:rPr>
      </w:pPr>
      <w:r w:rsidRPr="00FC3B7C">
        <w:rPr>
          <w:rFonts w:eastAsia="Times New Roman"/>
          <w:szCs w:val="24"/>
        </w:rPr>
        <w:t>je zde tedy problém morálního hazardu politika a jistou roli zde také hrají byrokratické zájmy (mohou se od těch našich značně lišit)</w:t>
      </w:r>
    </w:p>
    <w:p w14:paraId="4A6F491E" w14:textId="77777777" w:rsidR="008E0F74" w:rsidRPr="00FC3B7C" w:rsidRDefault="00256F29" w:rsidP="00D46B53">
      <w:pPr>
        <w:numPr>
          <w:ilvl w:val="0"/>
          <w:numId w:val="696"/>
        </w:numPr>
        <w:tabs>
          <w:tab w:val="left" w:pos="720"/>
        </w:tabs>
        <w:ind w:left="720" w:hanging="361"/>
        <w:rPr>
          <w:rFonts w:eastAsia="Arial"/>
          <w:szCs w:val="24"/>
        </w:rPr>
      </w:pPr>
      <w:r w:rsidRPr="00FC3B7C">
        <w:rPr>
          <w:rFonts w:eastAsia="Times New Roman"/>
          <w:szCs w:val="24"/>
        </w:rPr>
        <w:t>problémy vyplývající z financování z veřejných rozpočtů:</w:t>
      </w:r>
    </w:p>
    <w:p w14:paraId="4A6F491F" w14:textId="77777777" w:rsidR="008E0F74" w:rsidRPr="00BD5C01" w:rsidRDefault="00256F29" w:rsidP="00D46B53">
      <w:pPr>
        <w:pStyle w:val="Odstavecseseznamem"/>
        <w:numPr>
          <w:ilvl w:val="0"/>
          <w:numId w:val="698"/>
        </w:numPr>
        <w:tabs>
          <w:tab w:val="left" w:pos="1440"/>
        </w:tabs>
        <w:ind w:left="1418"/>
        <w:rPr>
          <w:rFonts w:eastAsia="Courier New"/>
          <w:szCs w:val="24"/>
        </w:rPr>
      </w:pPr>
      <w:r w:rsidRPr="00BD5C01">
        <w:rPr>
          <w:rFonts w:eastAsia="Times New Roman"/>
          <w:szCs w:val="24"/>
        </w:rPr>
        <w:t>jelikož se VS reálné neprodávají, nelze rozpoznat poptávku po daném statku</w:t>
      </w:r>
    </w:p>
    <w:p w14:paraId="4A6F4920" w14:textId="77777777" w:rsidR="008E0F74" w:rsidRPr="00BD5C01" w:rsidRDefault="00256F29" w:rsidP="00D46B53">
      <w:pPr>
        <w:pStyle w:val="Odstavecseseznamem"/>
        <w:numPr>
          <w:ilvl w:val="0"/>
          <w:numId w:val="698"/>
        </w:numPr>
        <w:tabs>
          <w:tab w:val="left" w:pos="1440"/>
        </w:tabs>
        <w:ind w:left="1418"/>
        <w:rPr>
          <w:rFonts w:eastAsia="Courier New"/>
          <w:szCs w:val="24"/>
        </w:rPr>
      </w:pPr>
      <w:r w:rsidRPr="00BD5C01">
        <w:rPr>
          <w:rFonts w:eastAsia="Times New Roman"/>
          <w:szCs w:val="24"/>
        </w:rPr>
        <w:t>jedinou známou hodnotou je poptávané množství pro cenu P=0</w:t>
      </w:r>
    </w:p>
    <w:p w14:paraId="4A6F4921" w14:textId="77777777" w:rsidR="008E0F74" w:rsidRPr="00BD5C01" w:rsidRDefault="00256F29" w:rsidP="00D46B53">
      <w:pPr>
        <w:pStyle w:val="Odstavecseseznamem"/>
        <w:numPr>
          <w:ilvl w:val="0"/>
          <w:numId w:val="698"/>
        </w:numPr>
        <w:tabs>
          <w:tab w:val="left" w:pos="1420"/>
        </w:tabs>
        <w:ind w:left="1418"/>
        <w:rPr>
          <w:rFonts w:eastAsia="Courier New"/>
          <w:szCs w:val="24"/>
        </w:rPr>
      </w:pPr>
      <w:bookmarkStart w:id="331" w:name="page361"/>
      <w:bookmarkEnd w:id="331"/>
      <w:r w:rsidRPr="00BD5C01">
        <w:rPr>
          <w:rFonts w:eastAsia="Times New Roman"/>
          <w:szCs w:val="24"/>
        </w:rPr>
        <w:t>není možné určit vyráběné množství, a kdo jej má spotřebovat</w:t>
      </w:r>
    </w:p>
    <w:p w14:paraId="4A6F4922" w14:textId="77777777" w:rsidR="008E0F74" w:rsidRPr="00FC3B7C" w:rsidRDefault="00256F29" w:rsidP="00D46B53">
      <w:pPr>
        <w:numPr>
          <w:ilvl w:val="0"/>
          <w:numId w:val="697"/>
        </w:numPr>
        <w:tabs>
          <w:tab w:val="left" w:pos="700"/>
        </w:tabs>
        <w:ind w:left="700" w:hanging="361"/>
        <w:rPr>
          <w:rFonts w:eastAsia="Arial"/>
          <w:szCs w:val="24"/>
        </w:rPr>
      </w:pPr>
      <w:r w:rsidRPr="00FC3B7C">
        <w:rPr>
          <w:rFonts w:eastAsia="Times New Roman"/>
          <w:szCs w:val="24"/>
        </w:rPr>
        <w:t>neznalost tržní poptávky lze do jisté míry nahradit politickou volbou, ale ta podává informace o užitcích a nákladech pouze zprostředkovaně (méně efektivní oproti tržnímu zprostředkování)</w:t>
      </w:r>
    </w:p>
    <w:p w14:paraId="4A6F4923" w14:textId="58718CA2" w:rsidR="008E0F74" w:rsidRPr="00EE01FF" w:rsidRDefault="00256F29" w:rsidP="00D46B53">
      <w:pPr>
        <w:numPr>
          <w:ilvl w:val="0"/>
          <w:numId w:val="697"/>
        </w:numPr>
        <w:tabs>
          <w:tab w:val="left" w:pos="700"/>
        </w:tabs>
        <w:spacing w:after="240"/>
        <w:ind w:left="700" w:hanging="361"/>
        <w:rPr>
          <w:rFonts w:eastAsia="Arial"/>
          <w:szCs w:val="24"/>
        </w:rPr>
      </w:pPr>
      <w:r w:rsidRPr="00FC3B7C">
        <w:rPr>
          <w:rFonts w:eastAsia="Times New Roman"/>
          <w:szCs w:val="24"/>
        </w:rPr>
        <w:t>→ dochází k neefektivnostem – plýtvání vzácných zdrojů</w:t>
      </w:r>
    </w:p>
    <w:p w14:paraId="172D095B" w14:textId="77777777" w:rsidR="00EE01FF" w:rsidRPr="00FC3B7C" w:rsidRDefault="00EE01FF" w:rsidP="00EE01FF">
      <w:pPr>
        <w:tabs>
          <w:tab w:val="left" w:pos="700"/>
        </w:tabs>
        <w:spacing w:after="240"/>
        <w:ind w:left="700"/>
        <w:rPr>
          <w:rFonts w:eastAsia="Arial"/>
          <w:szCs w:val="24"/>
        </w:rPr>
      </w:pPr>
    </w:p>
    <w:p w14:paraId="4A6F4924" w14:textId="77777777" w:rsidR="008E0F74" w:rsidRPr="00FC3B7C" w:rsidRDefault="00256F29" w:rsidP="00514E0C">
      <w:pPr>
        <w:rPr>
          <w:sz w:val="20"/>
          <w:szCs w:val="20"/>
        </w:rPr>
      </w:pPr>
      <w:bookmarkStart w:id="332" w:name="page362"/>
      <w:bookmarkEnd w:id="332"/>
      <w:r w:rsidRPr="00FC3B7C">
        <w:rPr>
          <w:rFonts w:eastAsia="Times New Roman"/>
          <w:b/>
          <w:bCs/>
          <w:szCs w:val="24"/>
        </w:rPr>
        <w:lastRenderedPageBreak/>
        <w:t>Prodej spolu s komplementy</w:t>
      </w:r>
    </w:p>
    <w:p w14:paraId="4A6F4925" w14:textId="77777777" w:rsidR="008E0F74" w:rsidRPr="00FC3B7C" w:rsidRDefault="00256F29" w:rsidP="00D46B53">
      <w:pPr>
        <w:numPr>
          <w:ilvl w:val="0"/>
          <w:numId w:val="699"/>
        </w:numPr>
        <w:tabs>
          <w:tab w:val="left" w:pos="720"/>
        </w:tabs>
        <w:ind w:left="720" w:hanging="361"/>
        <w:rPr>
          <w:rFonts w:eastAsia="Arial"/>
          <w:szCs w:val="24"/>
        </w:rPr>
      </w:pPr>
      <w:r w:rsidRPr="00FC3B7C">
        <w:rPr>
          <w:rFonts w:eastAsia="Times New Roman"/>
          <w:szCs w:val="24"/>
        </w:rPr>
        <w:t>další možností, jak zajišťovat produkci veřejného statku, je její financování z prodeje nebo pronájmu jiného statku, který je k němu komplementární</w:t>
      </w:r>
    </w:p>
    <w:p w14:paraId="4A6F4926" w14:textId="77777777" w:rsidR="008E0F74" w:rsidRPr="00FC3B7C" w:rsidRDefault="00256F29" w:rsidP="00D46B53">
      <w:pPr>
        <w:numPr>
          <w:ilvl w:val="0"/>
          <w:numId w:val="699"/>
        </w:numPr>
        <w:tabs>
          <w:tab w:val="left" w:pos="720"/>
        </w:tabs>
        <w:ind w:left="720" w:right="80" w:hanging="361"/>
        <w:rPr>
          <w:rFonts w:eastAsia="Arial"/>
          <w:szCs w:val="24"/>
        </w:rPr>
      </w:pPr>
      <w:r w:rsidRPr="00FC3B7C">
        <w:rPr>
          <w:rFonts w:eastAsia="Times New Roman"/>
          <w:szCs w:val="24"/>
        </w:rPr>
        <w:t>to je samozřejmě možné (a také se tomu tak v praxi děje) jen pokud takový statek existuje, a není sám též veřejným statkem (tedy vylučitelnost neplatičů z jeho spotřeby je relativně snadná)</w:t>
      </w:r>
    </w:p>
    <w:p w14:paraId="4A6F4927" w14:textId="77777777" w:rsidR="008E0F74" w:rsidRPr="00FC3B7C" w:rsidRDefault="00256F29" w:rsidP="00D46B53">
      <w:pPr>
        <w:numPr>
          <w:ilvl w:val="0"/>
          <w:numId w:val="699"/>
        </w:numPr>
        <w:tabs>
          <w:tab w:val="left" w:pos="720"/>
        </w:tabs>
        <w:ind w:left="720" w:hanging="361"/>
        <w:rPr>
          <w:rFonts w:eastAsia="Arial"/>
          <w:szCs w:val="24"/>
        </w:rPr>
      </w:pPr>
      <w:r w:rsidRPr="00FC3B7C">
        <w:rPr>
          <w:rFonts w:eastAsia="Times New Roman"/>
          <w:szCs w:val="24"/>
        </w:rPr>
        <w:t>komplement je k danému veřejnému statku komplementem dokonalým, či (alespoň) velmi blízkým</w:t>
      </w:r>
    </w:p>
    <w:p w14:paraId="4A6F4928" w14:textId="77777777" w:rsidR="008E0F74" w:rsidRPr="00FC3B7C" w:rsidRDefault="00256F29" w:rsidP="00D46B53">
      <w:pPr>
        <w:numPr>
          <w:ilvl w:val="0"/>
          <w:numId w:val="699"/>
        </w:numPr>
        <w:tabs>
          <w:tab w:val="left" w:pos="720"/>
        </w:tabs>
        <w:ind w:left="720" w:hanging="361"/>
        <w:rPr>
          <w:rFonts w:eastAsia="Arial"/>
          <w:szCs w:val="24"/>
        </w:rPr>
      </w:pPr>
      <w:r w:rsidRPr="00FC3B7C">
        <w:rPr>
          <w:rFonts w:eastAsia="Times New Roman"/>
          <w:szCs w:val="24"/>
        </w:rPr>
        <w:t>nejznámějším příkladem z praxe je financování televizních a rozhlasových pořadů (veřejný statek) z prodeje reklamy (soukromý statek)</w:t>
      </w:r>
    </w:p>
    <w:p w14:paraId="4A6F4929" w14:textId="7BF83D85" w:rsidR="008E0F74" w:rsidRPr="00BD5C01" w:rsidRDefault="00256F29" w:rsidP="00D46B53">
      <w:pPr>
        <w:pStyle w:val="Odstavecseseznamem"/>
        <w:numPr>
          <w:ilvl w:val="0"/>
          <w:numId w:val="700"/>
        </w:numPr>
        <w:rPr>
          <w:rFonts w:eastAsia="Arial"/>
          <w:szCs w:val="24"/>
        </w:rPr>
      </w:pPr>
      <w:r w:rsidRPr="00BD5C01">
        <w:rPr>
          <w:rFonts w:eastAsia="Times New Roman"/>
          <w:szCs w:val="24"/>
        </w:rPr>
        <w:t>reklama je k vysílanému pořadu prakticky dokonale komplementární, neboť</w:t>
      </w:r>
      <w:r w:rsidRPr="00BD5C01">
        <w:rPr>
          <w:rFonts w:eastAsia="Courier New"/>
          <w:szCs w:val="24"/>
        </w:rPr>
        <w:t xml:space="preserve"> </w:t>
      </w:r>
      <w:r w:rsidRPr="00BD5C01">
        <w:rPr>
          <w:rFonts w:eastAsia="Times New Roman"/>
          <w:szCs w:val="24"/>
        </w:rPr>
        <w:t>její</w:t>
      </w:r>
      <w:r w:rsidRPr="00BD5C01">
        <w:rPr>
          <w:rFonts w:eastAsia="Courier New"/>
          <w:szCs w:val="24"/>
        </w:rPr>
        <w:t xml:space="preserve"> </w:t>
      </w:r>
      <w:r w:rsidRPr="00BD5C01">
        <w:rPr>
          <w:rFonts w:eastAsia="Times New Roman"/>
          <w:szCs w:val="24"/>
        </w:rPr>
        <w:t>cena je (obvykle) přímo úměrná (očekávané) sledovanosti pořadu a tedy jeho (očekávanému) poptávanému množství</w:t>
      </w:r>
    </w:p>
    <w:p w14:paraId="4A6F492A" w14:textId="77777777" w:rsidR="008E0F74" w:rsidRPr="00FC3B7C" w:rsidRDefault="008E0F74">
      <w:pPr>
        <w:spacing w:line="198" w:lineRule="exact"/>
        <w:rPr>
          <w:sz w:val="20"/>
          <w:szCs w:val="20"/>
        </w:rPr>
      </w:pPr>
    </w:p>
    <w:p w14:paraId="4A6F492B" w14:textId="54AEFECB" w:rsidR="008E0F74" w:rsidRPr="00FC3B7C" w:rsidRDefault="00EE01FF" w:rsidP="00514E0C">
      <w:pPr>
        <w:pStyle w:val="Nadpis3"/>
        <w:rPr>
          <w:sz w:val="20"/>
          <w:szCs w:val="20"/>
        </w:rPr>
      </w:pPr>
      <w:r>
        <w:rPr>
          <w:rFonts w:eastAsia="Times New Roman"/>
        </w:rPr>
        <w:t xml:space="preserve"> </w:t>
      </w:r>
      <w:r w:rsidR="00256F29" w:rsidRPr="00EE01FF">
        <w:rPr>
          <w:rFonts w:eastAsia="Times New Roman"/>
          <w:color w:val="1F3864" w:themeColor="accent1" w:themeShade="80"/>
        </w:rPr>
        <w:t>Nedokonalá konkurence</w:t>
      </w:r>
    </w:p>
    <w:p w14:paraId="4A6F492C" w14:textId="77777777" w:rsidR="008E0F74" w:rsidRPr="00FC3B7C" w:rsidRDefault="00256F29" w:rsidP="00D46B53">
      <w:pPr>
        <w:numPr>
          <w:ilvl w:val="0"/>
          <w:numId w:val="701"/>
        </w:numPr>
        <w:tabs>
          <w:tab w:val="left" w:pos="720"/>
        </w:tabs>
        <w:rPr>
          <w:rFonts w:eastAsia="Arial"/>
          <w:szCs w:val="24"/>
        </w:rPr>
      </w:pPr>
      <w:r w:rsidRPr="00FC3B7C">
        <w:rPr>
          <w:rFonts w:eastAsia="Times New Roman"/>
          <w:szCs w:val="24"/>
        </w:rPr>
        <w:t>jedna z nejzásadnějších odchylek od efektivního trhu</w:t>
      </w:r>
    </w:p>
    <w:p w14:paraId="4A6F492D" w14:textId="77777777" w:rsidR="008E0F74" w:rsidRPr="00FC3B7C" w:rsidRDefault="00256F29" w:rsidP="00D46B53">
      <w:pPr>
        <w:numPr>
          <w:ilvl w:val="0"/>
          <w:numId w:val="701"/>
        </w:numPr>
        <w:tabs>
          <w:tab w:val="left" w:pos="720"/>
        </w:tabs>
        <w:rPr>
          <w:rFonts w:eastAsia="Arial"/>
          <w:szCs w:val="24"/>
        </w:rPr>
      </w:pPr>
      <w:r w:rsidRPr="00FC3B7C">
        <w:rPr>
          <w:rFonts w:eastAsia="Times New Roman"/>
          <w:szCs w:val="24"/>
        </w:rPr>
        <w:t>trh, na kterém není splněna alespoň jedna podmínka dokonalého trhu</w:t>
      </w:r>
    </w:p>
    <w:p w14:paraId="4A6F492E" w14:textId="77777777" w:rsidR="008E0F74" w:rsidRPr="00FC3B7C" w:rsidRDefault="00256F29" w:rsidP="00D46B53">
      <w:pPr>
        <w:numPr>
          <w:ilvl w:val="0"/>
          <w:numId w:val="701"/>
        </w:numPr>
        <w:tabs>
          <w:tab w:val="left" w:pos="720"/>
        </w:tabs>
        <w:rPr>
          <w:rFonts w:eastAsia="Arial"/>
          <w:szCs w:val="24"/>
        </w:rPr>
      </w:pPr>
      <w:r w:rsidRPr="00FC3B7C">
        <w:rPr>
          <w:rFonts w:eastAsia="Times New Roman"/>
          <w:szCs w:val="24"/>
        </w:rPr>
        <w:t>hlavní znak nedokonalé konkurence spočívá v tom, že prodávající či kupující může cenu nějak ovlivnit</w:t>
      </w:r>
    </w:p>
    <w:p w14:paraId="4A6F492F" w14:textId="77777777" w:rsidR="008E0F74" w:rsidRPr="00FC3B7C" w:rsidRDefault="00256F29" w:rsidP="00D46B53">
      <w:pPr>
        <w:numPr>
          <w:ilvl w:val="0"/>
          <w:numId w:val="701"/>
        </w:numPr>
        <w:tabs>
          <w:tab w:val="left" w:pos="720"/>
        </w:tabs>
        <w:ind w:right="420"/>
        <w:rPr>
          <w:rFonts w:eastAsia="Arial"/>
          <w:szCs w:val="24"/>
        </w:rPr>
      </w:pPr>
      <w:r w:rsidRPr="00FC3B7C">
        <w:rPr>
          <w:rFonts w:eastAsia="Times New Roman"/>
          <w:szCs w:val="24"/>
        </w:rPr>
        <w:t>toto selhání trhu vede k růstu cen nad výši nákladů a k poklesu nákupů spotřebitelů pod efektivní úroveň</w:t>
      </w:r>
    </w:p>
    <w:p w14:paraId="4A6F4930" w14:textId="77777777" w:rsidR="008E0F74" w:rsidRPr="00FC3B7C" w:rsidRDefault="00256F29" w:rsidP="00D46B53">
      <w:pPr>
        <w:numPr>
          <w:ilvl w:val="0"/>
          <w:numId w:val="701"/>
        </w:numPr>
        <w:tabs>
          <w:tab w:val="left" w:pos="720"/>
        </w:tabs>
        <w:rPr>
          <w:rFonts w:eastAsia="Arial"/>
          <w:szCs w:val="24"/>
        </w:rPr>
      </w:pPr>
      <w:r w:rsidRPr="00FC3B7C">
        <w:rPr>
          <w:rFonts w:eastAsia="Times New Roman"/>
          <w:szCs w:val="24"/>
        </w:rPr>
        <w:t>příliš vysoká cena a nízký výstup jsou znakem neefektivity spjaté s nedokonalou konkurencí</w:t>
      </w:r>
    </w:p>
    <w:p w14:paraId="4A6F4931" w14:textId="77777777" w:rsidR="008E0F74" w:rsidRPr="00FC3B7C" w:rsidRDefault="00256F29" w:rsidP="00D46B53">
      <w:pPr>
        <w:numPr>
          <w:ilvl w:val="0"/>
          <w:numId w:val="701"/>
        </w:numPr>
        <w:tabs>
          <w:tab w:val="left" w:pos="720"/>
        </w:tabs>
        <w:rPr>
          <w:rFonts w:eastAsia="Arial"/>
          <w:szCs w:val="24"/>
        </w:rPr>
      </w:pPr>
      <w:r w:rsidRPr="00FC3B7C">
        <w:rPr>
          <w:rFonts w:eastAsia="Times New Roman"/>
          <w:szCs w:val="24"/>
        </w:rPr>
        <w:t>v prostředí nedokonalé konkurence se setkáváme se třemi typy tržních struktur:</w:t>
      </w:r>
    </w:p>
    <w:p w14:paraId="4A6F4932" w14:textId="77777777" w:rsidR="008E0F74" w:rsidRPr="00FC3B7C" w:rsidRDefault="00256F29" w:rsidP="00D46B53">
      <w:pPr>
        <w:numPr>
          <w:ilvl w:val="0"/>
          <w:numId w:val="701"/>
        </w:numPr>
        <w:tabs>
          <w:tab w:val="left" w:pos="1440"/>
        </w:tabs>
        <w:ind w:left="1418"/>
        <w:rPr>
          <w:rFonts w:eastAsia="Courier New"/>
          <w:szCs w:val="24"/>
        </w:rPr>
      </w:pPr>
      <w:r w:rsidRPr="00FC3B7C">
        <w:rPr>
          <w:rFonts w:eastAsia="Times New Roman"/>
          <w:szCs w:val="24"/>
        </w:rPr>
        <w:t>monopolistickou konkurencí</w:t>
      </w:r>
    </w:p>
    <w:p w14:paraId="4A6F4933" w14:textId="77777777" w:rsidR="008E0F74" w:rsidRPr="00FC3B7C" w:rsidRDefault="00256F29" w:rsidP="00D46B53">
      <w:pPr>
        <w:numPr>
          <w:ilvl w:val="0"/>
          <w:numId w:val="701"/>
        </w:numPr>
        <w:tabs>
          <w:tab w:val="left" w:pos="1440"/>
        </w:tabs>
        <w:ind w:left="1418"/>
        <w:rPr>
          <w:rFonts w:eastAsia="Courier New"/>
          <w:szCs w:val="24"/>
        </w:rPr>
      </w:pPr>
      <w:r w:rsidRPr="00FC3B7C">
        <w:rPr>
          <w:rFonts w:eastAsia="Times New Roman"/>
          <w:szCs w:val="24"/>
        </w:rPr>
        <w:t>monopolem</w:t>
      </w:r>
    </w:p>
    <w:p w14:paraId="4A6F4934" w14:textId="77777777" w:rsidR="008E0F74" w:rsidRPr="00FC3B7C" w:rsidRDefault="00256F29" w:rsidP="00D46B53">
      <w:pPr>
        <w:numPr>
          <w:ilvl w:val="0"/>
          <w:numId w:val="701"/>
        </w:numPr>
        <w:tabs>
          <w:tab w:val="left" w:pos="1440"/>
        </w:tabs>
        <w:ind w:left="1418"/>
        <w:rPr>
          <w:rFonts w:eastAsia="Courier New"/>
          <w:szCs w:val="24"/>
        </w:rPr>
      </w:pPr>
      <w:r w:rsidRPr="00FC3B7C">
        <w:rPr>
          <w:rFonts w:eastAsia="Times New Roman"/>
          <w:szCs w:val="24"/>
        </w:rPr>
        <w:t>oligopolem</w:t>
      </w:r>
    </w:p>
    <w:p w14:paraId="4A6F4935" w14:textId="77777777" w:rsidR="008E0F74" w:rsidRPr="00FC3B7C" w:rsidRDefault="008E0F74" w:rsidP="00514E0C">
      <w:pPr>
        <w:rPr>
          <w:sz w:val="20"/>
          <w:szCs w:val="20"/>
        </w:rPr>
      </w:pPr>
    </w:p>
    <w:p w14:paraId="4A6F4936" w14:textId="77777777" w:rsidR="008E0F74" w:rsidRDefault="00256F29" w:rsidP="00BD5C01">
      <w:pPr>
        <w:pStyle w:val="Odstavecseseznamem"/>
        <w:rPr>
          <w:rFonts w:eastAsia="Times New Roman"/>
        </w:rPr>
      </w:pPr>
      <w:r w:rsidRPr="00FC3B7C">
        <w:rPr>
          <w:rFonts w:eastAsia="Times New Roman"/>
        </w:rPr>
        <w:t>Někteří ekonomové považují vyšší cenu než mezní náklady na nedokonalém trhu za projev neefektivnosti. V případě, že jsou nedokonalosti způsobeny územním rozptýlením nebo heterogenním produktem, přináší to spotřebitelům výhody (např.: nižší dopravní náklady, pestřejší sortiment atd.), a proto srovnávat efektivnost nedokonalých trhů nemá smysl.</w:t>
      </w:r>
    </w:p>
    <w:p w14:paraId="4A6F4937" w14:textId="77777777" w:rsidR="00514E0C" w:rsidRPr="00FC3B7C" w:rsidRDefault="00514E0C" w:rsidP="00514E0C">
      <w:pPr>
        <w:ind w:right="400"/>
        <w:rPr>
          <w:sz w:val="20"/>
          <w:szCs w:val="20"/>
        </w:rPr>
      </w:pPr>
    </w:p>
    <w:p w14:paraId="4A6F4938" w14:textId="77777777" w:rsidR="008E0F74" w:rsidRPr="00FC3B7C" w:rsidRDefault="008E0F74"/>
    <w:p w14:paraId="4A6F4939" w14:textId="77777777" w:rsidR="008E0F74" w:rsidRPr="00EE01FF" w:rsidRDefault="00256F29" w:rsidP="006D0EB4">
      <w:pPr>
        <w:pStyle w:val="Nadpis4"/>
        <w:rPr>
          <w:color w:val="1F3864" w:themeColor="accent1" w:themeShade="80"/>
          <w:sz w:val="20"/>
          <w:szCs w:val="20"/>
        </w:rPr>
      </w:pPr>
      <w:bookmarkStart w:id="333" w:name="page363"/>
      <w:bookmarkEnd w:id="333"/>
      <w:r w:rsidRPr="00EE01FF">
        <w:rPr>
          <w:rFonts w:eastAsia="Times New Roman"/>
          <w:color w:val="1F3864" w:themeColor="accent1" w:themeShade="80"/>
        </w:rPr>
        <w:t>Monopol</w:t>
      </w:r>
    </w:p>
    <w:p w14:paraId="4A6F493A" w14:textId="77777777" w:rsidR="008E0F74" w:rsidRPr="00BD5C01" w:rsidRDefault="00256F29" w:rsidP="00BD5C01">
      <w:pPr>
        <w:pStyle w:val="Odstavecseseznamem"/>
        <w:rPr>
          <w:b/>
          <w:bCs/>
          <w:sz w:val="20"/>
          <w:szCs w:val="20"/>
        </w:rPr>
      </w:pPr>
      <w:r w:rsidRPr="00BD5C01">
        <w:rPr>
          <w:rFonts w:eastAsia="Times New Roman"/>
          <w:b/>
          <w:bCs/>
        </w:rPr>
        <w:t>Typy monopolu:</w:t>
      </w:r>
    </w:p>
    <w:p w14:paraId="4A6F493B" w14:textId="585FB84B" w:rsidR="008E0F74" w:rsidRPr="00FC3B7C" w:rsidRDefault="00256F29" w:rsidP="00D46B53">
      <w:pPr>
        <w:pStyle w:val="Odstavecseseznamem"/>
        <w:numPr>
          <w:ilvl w:val="0"/>
          <w:numId w:val="702"/>
        </w:numPr>
        <w:rPr>
          <w:rFonts w:eastAsia="Courier New"/>
        </w:rPr>
      </w:pPr>
      <w:r w:rsidRPr="00FC3B7C">
        <w:rPr>
          <w:rFonts w:eastAsia="Times New Roman"/>
        </w:rPr>
        <w:t>Výrobně neefektivní</w:t>
      </w:r>
      <w:r w:rsidR="00BD5C01">
        <w:rPr>
          <w:rFonts w:eastAsia="Times New Roman"/>
        </w:rPr>
        <w:t xml:space="preserve"> - </w:t>
      </w:r>
      <w:r w:rsidRPr="00FC3B7C">
        <w:rPr>
          <w:rFonts w:eastAsia="Times New Roman"/>
        </w:rPr>
        <w:t>má vyšší náklady než firmy v dokonalé konkurenci</w:t>
      </w:r>
    </w:p>
    <w:p w14:paraId="4A6F493C" w14:textId="58339805" w:rsidR="008E0F74" w:rsidRPr="00FC3B7C" w:rsidRDefault="00256F29" w:rsidP="00D46B53">
      <w:pPr>
        <w:pStyle w:val="Odstavecseseznamem"/>
        <w:numPr>
          <w:ilvl w:val="0"/>
          <w:numId w:val="702"/>
        </w:numPr>
        <w:rPr>
          <w:rFonts w:eastAsia="Courier New"/>
        </w:rPr>
      </w:pPr>
      <w:r w:rsidRPr="00FC3B7C">
        <w:rPr>
          <w:rFonts w:eastAsia="Times New Roman"/>
        </w:rPr>
        <w:t>Alokačně neefektivní</w:t>
      </w:r>
      <w:r w:rsidR="00BD5C01">
        <w:rPr>
          <w:rFonts w:eastAsia="Times New Roman"/>
        </w:rPr>
        <w:t xml:space="preserve"> - </w:t>
      </w:r>
      <w:r w:rsidRPr="00FC3B7C">
        <w:rPr>
          <w:rFonts w:eastAsia="Times New Roman"/>
        </w:rPr>
        <w:t>vyrábí menší než společensky optimálním množství za vyšší cenu</w:t>
      </w:r>
    </w:p>
    <w:p w14:paraId="4A6F493D" w14:textId="0931D7F1" w:rsidR="008E0F74" w:rsidRPr="00FC3B7C" w:rsidRDefault="00256F29" w:rsidP="00D46B53">
      <w:pPr>
        <w:pStyle w:val="Odstavecseseznamem"/>
        <w:numPr>
          <w:ilvl w:val="0"/>
          <w:numId w:val="702"/>
        </w:numPr>
        <w:rPr>
          <w:rFonts w:eastAsia="Courier New"/>
        </w:rPr>
      </w:pPr>
      <w:r w:rsidRPr="00FC3B7C">
        <w:rPr>
          <w:rFonts w:eastAsia="Times New Roman"/>
        </w:rPr>
        <w:t>Dynamicky neefektivní</w:t>
      </w:r>
      <w:r w:rsidR="00BD5C01">
        <w:rPr>
          <w:rFonts w:eastAsia="Times New Roman"/>
        </w:rPr>
        <w:t xml:space="preserve"> - </w:t>
      </w:r>
      <w:r w:rsidRPr="00FC3B7C">
        <w:rPr>
          <w:rFonts w:eastAsia="Times New Roman"/>
        </w:rPr>
        <w:t>nižší pobídky k inovacím než u dokonalé konkurence</w:t>
      </w:r>
    </w:p>
    <w:p w14:paraId="4A6F493E" w14:textId="6AD36D37" w:rsidR="008E0F74" w:rsidRPr="00FC3B7C" w:rsidRDefault="00256F29" w:rsidP="00D46B53">
      <w:pPr>
        <w:pStyle w:val="Odstavecseseznamem"/>
        <w:numPr>
          <w:ilvl w:val="0"/>
          <w:numId w:val="702"/>
        </w:numPr>
        <w:rPr>
          <w:rFonts w:eastAsia="Courier New"/>
        </w:rPr>
      </w:pPr>
      <w:r w:rsidRPr="00FC3B7C">
        <w:rPr>
          <w:rFonts w:eastAsia="Times New Roman"/>
        </w:rPr>
        <w:t>Liebensteinovsky neefektivní</w:t>
      </w:r>
      <w:r w:rsidR="00BD5C01">
        <w:rPr>
          <w:rFonts w:eastAsia="Times New Roman"/>
        </w:rPr>
        <w:t xml:space="preserve"> - </w:t>
      </w:r>
      <w:r w:rsidRPr="00FC3B7C">
        <w:rPr>
          <w:rFonts w:eastAsia="Times New Roman"/>
        </w:rPr>
        <w:t>slabší tlaky na změnu v organizaci</w:t>
      </w:r>
    </w:p>
    <w:p w14:paraId="4A6F493F" w14:textId="77777777" w:rsidR="008E0F74" w:rsidRPr="00FC3B7C" w:rsidRDefault="00256F29" w:rsidP="00BD5C01">
      <w:pPr>
        <w:pStyle w:val="Odstavecseseznamem"/>
        <w:rPr>
          <w:sz w:val="20"/>
          <w:szCs w:val="20"/>
        </w:rPr>
      </w:pPr>
      <w:r w:rsidRPr="00FC3B7C">
        <w:rPr>
          <w:rFonts w:eastAsia="Times New Roman"/>
        </w:rPr>
        <w:t>Monopol je extrémním případem nedokonalé konkurence. Jediný prodávající, který sám stanovuje cenu určitého výrobku nebo služby. Vlády, aby eliminovaly tržní selhání způsobené monopolní sílou, přijímají antimonopolní zákony a někdy také regulují ceny a zisky monopolů či monopol rozbijí nebo zestátňují. Je třeba kontrolovat, zda jsou trhy dostatečně otevřené novým konkurentům (zahraničním nebo domácím).</w:t>
      </w:r>
    </w:p>
    <w:p w14:paraId="4A6F4940" w14:textId="77777777" w:rsidR="008E0F74" w:rsidRPr="00FC3B7C" w:rsidRDefault="008E0F74" w:rsidP="006D0EB4">
      <w:pPr>
        <w:rPr>
          <w:sz w:val="20"/>
          <w:szCs w:val="20"/>
        </w:rPr>
      </w:pPr>
    </w:p>
    <w:p w14:paraId="4A6F4941" w14:textId="77777777" w:rsidR="008E0F74" w:rsidRPr="00BD5C01" w:rsidRDefault="00256F29" w:rsidP="00BD5C01">
      <w:pPr>
        <w:pStyle w:val="Odstavecseseznamem"/>
        <w:rPr>
          <w:b/>
          <w:bCs/>
          <w:sz w:val="20"/>
          <w:szCs w:val="20"/>
        </w:rPr>
      </w:pPr>
      <w:r w:rsidRPr="00BD5C01">
        <w:rPr>
          <w:rFonts w:eastAsia="Times New Roman"/>
          <w:b/>
          <w:bCs/>
        </w:rPr>
        <w:t>Přirozený monopol</w:t>
      </w:r>
    </w:p>
    <w:p w14:paraId="4A6F4942" w14:textId="77777777" w:rsidR="008E0F74" w:rsidRPr="00FC3B7C" w:rsidRDefault="00256F29" w:rsidP="00BD5C01">
      <w:pPr>
        <w:pStyle w:val="Odstavecseseznamem"/>
        <w:rPr>
          <w:sz w:val="20"/>
          <w:szCs w:val="20"/>
        </w:rPr>
      </w:pPr>
      <w:r w:rsidRPr="00FC3B7C">
        <w:rPr>
          <w:rFonts w:eastAsia="Times New Roman"/>
        </w:rPr>
        <w:t>Vyskytuje se v síťových odvětvích. Vyznačuje se nízkými mezními náklady, ale vysokými fixními náklady (čím více má firma zákazníků, tím má ale menší průměrné náklady). Budování nové přenosové sítě znamená bariéru pro vstup nových konkurentů. I přesto je ale přirozený monopol pod tlakem konkurence, neboť žádné bariéry nejsou nepřekonatelné.</w:t>
      </w:r>
    </w:p>
    <w:p w14:paraId="4A6F4943" w14:textId="77777777" w:rsidR="008E0F74" w:rsidRPr="00FC3B7C" w:rsidRDefault="00256F29" w:rsidP="00BD5C01">
      <w:pPr>
        <w:pStyle w:val="Odstavecseseznamem"/>
        <w:rPr>
          <w:sz w:val="20"/>
          <w:szCs w:val="20"/>
        </w:rPr>
      </w:pPr>
      <w:r w:rsidRPr="00FC3B7C">
        <w:rPr>
          <w:rFonts w:eastAsia="Times New Roman"/>
        </w:rPr>
        <w:t>Přirozené monopoly jsou často regulovány státem – regulace ceny. Stupeň regulace se ale těžko stanovuje, protože regulační úřad nemá dostatečné informace, aby mohl přesně odhadnout náklady monopolu (je závislý na informacích, které mu poskytne sám monopolista, který samozřejmě tlačí na růst ceny). Monopolistu nic nepodněcuje k novým inovacím, protože cena se odvíjí od jeho nákladů.</w:t>
      </w:r>
    </w:p>
    <w:p w14:paraId="4A6F4944" w14:textId="77777777" w:rsidR="008E0F74" w:rsidRPr="00FC3B7C" w:rsidRDefault="00256F29" w:rsidP="00BD5C01">
      <w:pPr>
        <w:pStyle w:val="Odstavecseseznamem"/>
        <w:rPr>
          <w:sz w:val="20"/>
          <w:szCs w:val="20"/>
        </w:rPr>
      </w:pPr>
      <w:r w:rsidRPr="00FC3B7C">
        <w:rPr>
          <w:rFonts w:eastAsia="Times New Roman"/>
        </w:rPr>
        <w:t>Příkladem může být rozvod elektřiny.</w:t>
      </w:r>
    </w:p>
    <w:p w14:paraId="4A6F4945" w14:textId="77777777" w:rsidR="008E0F74" w:rsidRPr="00FC3B7C" w:rsidRDefault="008E0F74" w:rsidP="006D0EB4">
      <w:pPr>
        <w:rPr>
          <w:sz w:val="20"/>
          <w:szCs w:val="20"/>
        </w:rPr>
      </w:pPr>
    </w:p>
    <w:p w14:paraId="4A6F4946" w14:textId="77777777" w:rsidR="008E0F74" w:rsidRPr="00BD5C01" w:rsidRDefault="00256F29" w:rsidP="00BD5C01">
      <w:pPr>
        <w:pStyle w:val="Odstavecseseznamem"/>
        <w:rPr>
          <w:b/>
          <w:bCs/>
          <w:sz w:val="20"/>
          <w:szCs w:val="20"/>
        </w:rPr>
      </w:pPr>
      <w:r w:rsidRPr="00BD5C01">
        <w:rPr>
          <w:rFonts w:eastAsia="Times New Roman"/>
          <w:b/>
          <w:bCs/>
        </w:rPr>
        <w:t>Administrativní monopol</w:t>
      </w:r>
    </w:p>
    <w:p w14:paraId="4A6F4947" w14:textId="77777777" w:rsidR="008E0F74" w:rsidRPr="00FC3B7C" w:rsidRDefault="00256F29" w:rsidP="00BD5C01">
      <w:pPr>
        <w:pStyle w:val="Odstavecseseznamem"/>
        <w:rPr>
          <w:sz w:val="20"/>
          <w:szCs w:val="20"/>
        </w:rPr>
      </w:pPr>
      <w:r w:rsidRPr="00FC3B7C">
        <w:rPr>
          <w:rFonts w:eastAsia="Times New Roman"/>
        </w:rPr>
        <w:t>Je historicky nejstarším monopolem. Má výhradní práva na využívání patentu nebo jeho produkce je zaštítěna licencí, a tak je zamezen vstup pro další firmy na trh. Důvody vytváření administrativního monopolu:</w:t>
      </w:r>
    </w:p>
    <w:p w14:paraId="4A6F4948" w14:textId="77777777" w:rsidR="008E0F74" w:rsidRPr="00FC3B7C" w:rsidRDefault="00256F29" w:rsidP="00D46B53">
      <w:pPr>
        <w:pStyle w:val="Odstavecseseznamem"/>
        <w:numPr>
          <w:ilvl w:val="0"/>
          <w:numId w:val="703"/>
        </w:numPr>
        <w:rPr>
          <w:rFonts w:eastAsia="Courier New"/>
        </w:rPr>
      </w:pPr>
      <w:r w:rsidRPr="00FC3B7C">
        <w:rPr>
          <w:rFonts w:eastAsia="Times New Roman"/>
        </w:rPr>
        <w:lastRenderedPageBreak/>
        <w:t>univerzální služba – snaha poskytnout určité služby/produkty všem lidem za stejných podmínek (např. doručování dopisů) – otázkou je, proč by to nemohla provozovat i soukromá firma?</w:t>
      </w:r>
    </w:p>
    <w:p w14:paraId="4A6F4949" w14:textId="77777777" w:rsidR="008E0F74" w:rsidRPr="006D0EB4" w:rsidRDefault="00256F29" w:rsidP="00D46B53">
      <w:pPr>
        <w:pStyle w:val="Odstavecseseznamem"/>
        <w:numPr>
          <w:ilvl w:val="0"/>
          <w:numId w:val="703"/>
        </w:numPr>
        <w:rPr>
          <w:sz w:val="20"/>
          <w:szCs w:val="20"/>
        </w:rPr>
      </w:pPr>
      <w:bookmarkStart w:id="334" w:name="page364"/>
      <w:bookmarkEnd w:id="334"/>
      <w:r w:rsidRPr="006D0EB4">
        <w:rPr>
          <w:rFonts w:eastAsia="Times New Roman"/>
        </w:rPr>
        <w:t>neefektivní duplikace (konkurence- každá konkurence na trhu je svým způsobem duplikace</w:t>
      </w:r>
    </w:p>
    <w:p w14:paraId="4A6F494A" w14:textId="77777777" w:rsidR="008E0F74" w:rsidRDefault="00256F29" w:rsidP="00BD5C01">
      <w:pPr>
        <w:pStyle w:val="Odstavecseseznamem"/>
        <w:rPr>
          <w:rFonts w:eastAsia="Times New Roman"/>
        </w:rPr>
      </w:pPr>
      <w:r w:rsidRPr="00FC3B7C">
        <w:rPr>
          <w:rFonts w:eastAsia="Times New Roman"/>
        </w:rPr>
        <w:t>Stát nechce, aby např. po jedné autobusové lince jezdily dva poloprázdné autobusy, tak bude jezdit jen jeden plný. Na druhou stranu, vše je dáno poptávkou, takže pokud by to firmám přinášelo zisk, tak proč ne.</w:t>
      </w:r>
    </w:p>
    <w:p w14:paraId="4A6F494B" w14:textId="77777777" w:rsidR="006D0EB4" w:rsidRPr="00FC3B7C" w:rsidRDefault="006D0EB4" w:rsidP="006D0EB4">
      <w:pPr>
        <w:ind w:right="100"/>
        <w:rPr>
          <w:sz w:val="20"/>
          <w:szCs w:val="20"/>
        </w:rPr>
      </w:pPr>
    </w:p>
    <w:p w14:paraId="4A6F494C" w14:textId="77777777" w:rsidR="008E0F74" w:rsidRPr="00FC3B7C" w:rsidRDefault="008E0F74">
      <w:pPr>
        <w:spacing w:line="1" w:lineRule="exact"/>
        <w:rPr>
          <w:sz w:val="20"/>
          <w:szCs w:val="20"/>
        </w:rPr>
      </w:pPr>
    </w:p>
    <w:p w14:paraId="4A6F494D" w14:textId="77777777" w:rsidR="008E0F74" w:rsidRPr="00EE01FF" w:rsidRDefault="00256F29" w:rsidP="006D0EB4">
      <w:pPr>
        <w:pStyle w:val="Nadpis4"/>
        <w:rPr>
          <w:color w:val="1F3864" w:themeColor="accent1" w:themeShade="80"/>
          <w:sz w:val="20"/>
          <w:szCs w:val="20"/>
        </w:rPr>
      </w:pPr>
      <w:r w:rsidRPr="00EE01FF">
        <w:rPr>
          <w:rFonts w:eastAsia="Times New Roman"/>
          <w:color w:val="1F3864" w:themeColor="accent1" w:themeShade="80"/>
        </w:rPr>
        <w:t>Oligopol</w:t>
      </w:r>
    </w:p>
    <w:p w14:paraId="4A6F494E" w14:textId="30885F06" w:rsidR="008E0F74" w:rsidRPr="00FC3B7C" w:rsidRDefault="00256F29" w:rsidP="00BD5C01">
      <w:pPr>
        <w:pStyle w:val="Odstavecseseznamem"/>
        <w:rPr>
          <w:sz w:val="20"/>
          <w:szCs w:val="20"/>
        </w:rPr>
      </w:pPr>
      <w:r w:rsidRPr="00FC3B7C">
        <w:rPr>
          <w:rFonts w:eastAsia="Times New Roman"/>
        </w:rPr>
        <w:t xml:space="preserve">Pod pojmem oligopol je možné si představit „několik prodávajících“. Důležitým </w:t>
      </w:r>
      <w:r w:rsidR="004216DD" w:rsidRPr="00FC3B7C">
        <w:rPr>
          <w:rFonts w:eastAsia="Times New Roman"/>
        </w:rPr>
        <w:t>znakem</w:t>
      </w:r>
      <w:r w:rsidRPr="00FC3B7C">
        <w:rPr>
          <w:rFonts w:eastAsia="Times New Roman"/>
        </w:rPr>
        <w:t xml:space="preserve"> je, že</w:t>
      </w:r>
    </w:p>
    <w:p w14:paraId="4A6F494F" w14:textId="77777777" w:rsidR="008E0F74" w:rsidRPr="00FC3B7C" w:rsidRDefault="00256F29" w:rsidP="00BD5C01">
      <w:pPr>
        <w:pStyle w:val="Odstavecseseznamem"/>
        <w:rPr>
          <w:sz w:val="20"/>
          <w:szCs w:val="20"/>
        </w:rPr>
      </w:pPr>
      <w:r w:rsidRPr="00FC3B7C">
        <w:rPr>
          <w:rFonts w:eastAsia="Times New Roman"/>
          <w:szCs w:val="24"/>
        </w:rPr>
        <w:t>každá firma může ovlivnit tržní cenu.</w:t>
      </w:r>
    </w:p>
    <w:p w14:paraId="4A6F4950" w14:textId="77777777" w:rsidR="008E0F74" w:rsidRPr="00FC3B7C" w:rsidRDefault="00256F29" w:rsidP="00BD5C01">
      <w:pPr>
        <w:pStyle w:val="Odstavecseseznamem"/>
        <w:rPr>
          <w:sz w:val="20"/>
          <w:szCs w:val="20"/>
        </w:rPr>
      </w:pPr>
      <w:r w:rsidRPr="00FC3B7C">
        <w:rPr>
          <w:rFonts w:eastAsia="Times New Roman"/>
          <w:szCs w:val="24"/>
        </w:rPr>
        <w:t>Příkladem jsou letecké společnosti.</w:t>
      </w:r>
    </w:p>
    <w:p w14:paraId="4A6F4951" w14:textId="77777777" w:rsidR="008E0F74" w:rsidRPr="00FC3B7C" w:rsidRDefault="00256F29" w:rsidP="00D46B53">
      <w:pPr>
        <w:pStyle w:val="Odstavecseseznamem"/>
        <w:numPr>
          <w:ilvl w:val="0"/>
          <w:numId w:val="704"/>
        </w:numPr>
        <w:rPr>
          <w:rFonts w:eastAsia="Arial"/>
          <w:szCs w:val="24"/>
        </w:rPr>
      </w:pPr>
      <w:r w:rsidRPr="00FC3B7C">
        <w:rPr>
          <w:rFonts w:eastAsia="Times New Roman"/>
          <w:szCs w:val="24"/>
        </w:rPr>
        <w:t>v leteckém průmyslu může rozhodnutí jedné společnosti snížit cenu letenek zapříčinit cenovou válku, při které sníží ceny i ostatní letecké společnosti</w:t>
      </w:r>
    </w:p>
    <w:p w14:paraId="4A6F4952" w14:textId="77777777" w:rsidR="008E0F74" w:rsidRPr="00FC3B7C" w:rsidRDefault="008E0F74">
      <w:pPr>
        <w:spacing w:line="120" w:lineRule="exact"/>
        <w:rPr>
          <w:sz w:val="20"/>
          <w:szCs w:val="20"/>
        </w:rPr>
      </w:pPr>
    </w:p>
    <w:p w14:paraId="4A6F4953" w14:textId="77777777" w:rsidR="008E0F74" w:rsidRPr="00EE01FF" w:rsidRDefault="00256F29" w:rsidP="006D0EB4">
      <w:pPr>
        <w:pStyle w:val="Nadpis4"/>
        <w:rPr>
          <w:color w:val="1F3864" w:themeColor="accent1" w:themeShade="80"/>
          <w:sz w:val="20"/>
          <w:szCs w:val="20"/>
        </w:rPr>
      </w:pPr>
      <w:r w:rsidRPr="00EE01FF">
        <w:rPr>
          <w:rFonts w:eastAsia="Times New Roman"/>
          <w:color w:val="1F3864" w:themeColor="accent1" w:themeShade="80"/>
        </w:rPr>
        <w:t>Monopolistická konkurence</w:t>
      </w:r>
    </w:p>
    <w:p w14:paraId="4A6F4954" w14:textId="77777777" w:rsidR="008E0F74" w:rsidRPr="00FC3B7C" w:rsidRDefault="00256F29" w:rsidP="00BD5C01">
      <w:pPr>
        <w:pStyle w:val="Odstavecseseznamem"/>
        <w:rPr>
          <w:sz w:val="20"/>
          <w:szCs w:val="20"/>
        </w:rPr>
      </w:pPr>
      <w:r w:rsidRPr="00FC3B7C">
        <w:rPr>
          <w:rFonts w:eastAsia="Times New Roman"/>
        </w:rPr>
        <w:t>Poslední typ nedokonalé konkurence. Velký počet prodávajících vyrábí diferencované produkty (jejich vlastnosti se liší). Tato tržní struktura nám může připomínat dokonalou konkurenci, protože zde působí mnoho prodávajících a ani jeden z nich nemá na trhu velký podíl. Produkty, které vyrábí, nejsou totožné.</w:t>
      </w:r>
    </w:p>
    <w:p w14:paraId="4A6F4955" w14:textId="77777777" w:rsidR="008E0F74" w:rsidRPr="00FC3B7C" w:rsidRDefault="00256F29" w:rsidP="00BD5C01">
      <w:pPr>
        <w:pStyle w:val="Odstavecseseznamem"/>
        <w:rPr>
          <w:sz w:val="20"/>
          <w:szCs w:val="20"/>
        </w:rPr>
      </w:pPr>
      <w:r w:rsidRPr="00FC3B7C">
        <w:rPr>
          <w:rFonts w:eastAsia="Times New Roman"/>
        </w:rPr>
        <w:t>Klasickým příkladem monopolistické konkurence je maloobchodní trh benzinu.</w:t>
      </w:r>
    </w:p>
    <w:p w14:paraId="4A6F4956" w14:textId="77777777" w:rsidR="008E0F74" w:rsidRPr="00FC3B7C" w:rsidRDefault="008E0F74">
      <w:pPr>
        <w:spacing w:line="371" w:lineRule="exact"/>
        <w:rPr>
          <w:sz w:val="20"/>
          <w:szCs w:val="20"/>
        </w:rPr>
      </w:pPr>
    </w:p>
    <w:p w14:paraId="4A6F4957" w14:textId="35CCAE1E" w:rsidR="008E0F74" w:rsidRPr="00EE01FF" w:rsidRDefault="00EE01FF" w:rsidP="006D0EB4">
      <w:pPr>
        <w:pStyle w:val="Nadpis3"/>
        <w:rPr>
          <w:color w:val="1F3864" w:themeColor="accent1" w:themeShade="80"/>
          <w:sz w:val="20"/>
          <w:szCs w:val="20"/>
        </w:rPr>
      </w:pPr>
      <w:r w:rsidRPr="00EE01FF">
        <w:rPr>
          <w:rFonts w:eastAsia="Times New Roman"/>
          <w:color w:val="1F3864" w:themeColor="accent1" w:themeShade="80"/>
        </w:rPr>
        <w:t xml:space="preserve"> </w:t>
      </w:r>
      <w:r w:rsidR="00256F29" w:rsidRPr="00EE01FF">
        <w:rPr>
          <w:rFonts w:eastAsia="Times New Roman"/>
          <w:color w:val="1F3864" w:themeColor="accent1" w:themeShade="80"/>
        </w:rPr>
        <w:t>Asymetrické informace</w:t>
      </w:r>
    </w:p>
    <w:p w14:paraId="4A6F4958" w14:textId="77777777" w:rsidR="008E0F74" w:rsidRPr="00FC3B7C" w:rsidRDefault="00256F29" w:rsidP="00BD5C01">
      <w:pPr>
        <w:pStyle w:val="Odstavecseseznamem"/>
        <w:rPr>
          <w:sz w:val="20"/>
          <w:szCs w:val="20"/>
        </w:rPr>
      </w:pPr>
      <w:r w:rsidRPr="00FC3B7C">
        <w:rPr>
          <w:rFonts w:eastAsia="Times New Roman"/>
        </w:rPr>
        <w:t>Zapříčiňují, že jedna strana vztahu disponuje lepšími informacemi než druhá. Někteří ekonomové považují existenci asymetrických informací za příčinu selhání trhu. Mohou být příčinou nepříznivého výběru nebo morálního hazardu a brání tak dosažení alokační efektivnosti.</w:t>
      </w:r>
    </w:p>
    <w:p w14:paraId="4A6F4959" w14:textId="77777777" w:rsidR="008E0F74" w:rsidRPr="00FC3B7C" w:rsidRDefault="00256F29" w:rsidP="00BD5C01">
      <w:pPr>
        <w:pStyle w:val="Odstavecseseznamem"/>
        <w:rPr>
          <w:sz w:val="20"/>
          <w:szCs w:val="20"/>
        </w:rPr>
      </w:pPr>
      <w:r w:rsidRPr="00FC3B7C">
        <w:rPr>
          <w:rFonts w:eastAsia="Times New Roman"/>
        </w:rPr>
        <w:t>Prodávající jsou lépe informováni o produktu než kupující. Nebo manažeři jsou lépe informováni než samotní vlastníci firmy (problém pána a správce)</w:t>
      </w:r>
    </w:p>
    <w:p w14:paraId="4A6F495A" w14:textId="77777777" w:rsidR="008E0F74" w:rsidRPr="00FC3B7C" w:rsidRDefault="00256F29" w:rsidP="00D46B53">
      <w:pPr>
        <w:pStyle w:val="Odstavecseseznamem"/>
        <w:numPr>
          <w:ilvl w:val="0"/>
          <w:numId w:val="704"/>
        </w:numPr>
        <w:rPr>
          <w:rFonts w:eastAsia="Arial"/>
        </w:rPr>
      </w:pPr>
      <w:r w:rsidRPr="00FC3B7C">
        <w:rPr>
          <w:rFonts w:eastAsia="Times New Roman"/>
          <w:i/>
          <w:iCs/>
        </w:rPr>
        <w:t>morální hazard -</w:t>
      </w:r>
      <w:r w:rsidRPr="00FC3B7C">
        <w:rPr>
          <w:rFonts w:eastAsia="Times New Roman"/>
        </w:rPr>
        <w:t>vzniká, když</w:t>
      </w:r>
      <w:r w:rsidRPr="00FC3B7C">
        <w:rPr>
          <w:rFonts w:eastAsia="Times New Roman"/>
          <w:i/>
          <w:iCs/>
        </w:rPr>
        <w:t xml:space="preserve"> </w:t>
      </w:r>
      <w:r w:rsidRPr="00FC3B7C">
        <w:rPr>
          <w:rFonts w:eastAsia="Times New Roman"/>
        </w:rPr>
        <w:t>někdo využívá asymetrických informací ve svůj</w:t>
      </w:r>
      <w:r w:rsidRPr="00FC3B7C">
        <w:rPr>
          <w:rFonts w:eastAsia="Times New Roman"/>
          <w:i/>
          <w:iCs/>
        </w:rPr>
        <w:t xml:space="preserve"> </w:t>
      </w:r>
      <w:r w:rsidRPr="00FC3B7C">
        <w:rPr>
          <w:rFonts w:eastAsia="Times New Roman"/>
        </w:rPr>
        <w:t>prospěch na úkor jiných, povzbuzuje rizikové chování a mění pravděpodobnost ztráty</w:t>
      </w:r>
    </w:p>
    <w:p w14:paraId="4A6F495B" w14:textId="77777777" w:rsidR="008E0F74" w:rsidRPr="00FC3B7C" w:rsidRDefault="00256F29" w:rsidP="00D46B53">
      <w:pPr>
        <w:pStyle w:val="Odstavecseseznamem"/>
        <w:numPr>
          <w:ilvl w:val="0"/>
          <w:numId w:val="704"/>
        </w:numPr>
        <w:rPr>
          <w:rFonts w:eastAsia="Arial"/>
        </w:rPr>
      </w:pPr>
      <w:r w:rsidRPr="00FC3B7C">
        <w:rPr>
          <w:rFonts w:eastAsia="Times New Roman"/>
          <w:i/>
          <w:iCs/>
        </w:rPr>
        <w:lastRenderedPageBreak/>
        <w:t xml:space="preserve">nepříznivý výběr </w:t>
      </w:r>
      <w:r w:rsidRPr="00FC3B7C">
        <w:rPr>
          <w:rFonts w:eastAsia="Times New Roman"/>
        </w:rPr>
        <w:t>situace, v níž</w:t>
      </w:r>
      <w:r w:rsidRPr="00FC3B7C">
        <w:rPr>
          <w:rFonts w:eastAsia="Times New Roman"/>
          <w:i/>
          <w:iCs/>
        </w:rPr>
        <w:t xml:space="preserve"> </w:t>
      </w:r>
      <w:r w:rsidRPr="00FC3B7C">
        <w:rPr>
          <w:rFonts w:eastAsia="Times New Roman"/>
        </w:rPr>
        <w:t>zákazník očekává morální hazard ze strany prodejce a</w:t>
      </w:r>
      <w:r w:rsidRPr="00FC3B7C">
        <w:rPr>
          <w:rFonts w:eastAsia="Times New Roman"/>
          <w:i/>
          <w:iCs/>
        </w:rPr>
        <w:t xml:space="preserve"> </w:t>
      </w:r>
      <w:r w:rsidRPr="00FC3B7C">
        <w:rPr>
          <w:rFonts w:eastAsia="Times New Roman"/>
        </w:rPr>
        <w:t>reaguje na to chováním, které se označuje jako nepříznivý výběr</w:t>
      </w:r>
    </w:p>
    <w:p w14:paraId="4A6F495C" w14:textId="77777777" w:rsidR="008E0F74" w:rsidRPr="00FC3B7C" w:rsidRDefault="00256F29" w:rsidP="00D46B53">
      <w:pPr>
        <w:pStyle w:val="Odstavecseseznamem"/>
        <w:numPr>
          <w:ilvl w:val="0"/>
          <w:numId w:val="704"/>
        </w:numPr>
        <w:ind w:left="1985"/>
        <w:rPr>
          <w:rFonts w:eastAsia="Courier New"/>
        </w:rPr>
      </w:pPr>
      <w:bookmarkStart w:id="335" w:name="page365"/>
      <w:bookmarkEnd w:id="335"/>
      <w:r w:rsidRPr="00FC3B7C">
        <w:rPr>
          <w:rFonts w:eastAsia="Times New Roman"/>
        </w:rPr>
        <w:t>je-li si zákazník vědom, že nemůže rozpoznat kvalitu produktu, bude automaticky očekávat od prodejce nižší kvalitu produktu a je tedy ochoten za něj zaplatit jen cenu nižší – za tu se ale nevyplatí prodávat potenciálním prodejcům své nejlepší výrobky a tak budou prodávat jen výrobky nižší kvality → snížení průměrné kvality a ceny, kterou jsou ochotni zákazníci zaplatit, postupné vytlačování lepších výrobků z trhu a pokles kvality</w:t>
      </w:r>
    </w:p>
    <w:p w14:paraId="4A6F495D" w14:textId="77777777" w:rsidR="008E0F74" w:rsidRDefault="00256F29" w:rsidP="00BD5C01">
      <w:pPr>
        <w:pStyle w:val="Odstavecseseznamem"/>
        <w:rPr>
          <w:rFonts w:eastAsia="Times New Roman"/>
        </w:rPr>
      </w:pPr>
      <w:r w:rsidRPr="00FC3B7C">
        <w:rPr>
          <w:rFonts w:eastAsia="Times New Roman"/>
        </w:rPr>
        <w:t>Vyskytují se v soukromém i veřejném sektoru. Ve veřejném sektoru je rozsah tohoto problému větší. Např. vztah úředník – politik, politik – volič.</w:t>
      </w:r>
    </w:p>
    <w:p w14:paraId="4A6F495E" w14:textId="77777777" w:rsidR="006D0EB4" w:rsidRPr="00FC3B7C" w:rsidRDefault="006D0EB4" w:rsidP="006D0EB4">
      <w:pPr>
        <w:ind w:right="20"/>
        <w:rPr>
          <w:sz w:val="20"/>
          <w:szCs w:val="20"/>
        </w:rPr>
      </w:pPr>
    </w:p>
    <w:p w14:paraId="4A6F495F" w14:textId="77777777" w:rsidR="008E0F74" w:rsidRPr="00FC3B7C" w:rsidRDefault="008E0F74">
      <w:pPr>
        <w:spacing w:line="1" w:lineRule="exact"/>
        <w:rPr>
          <w:sz w:val="20"/>
          <w:szCs w:val="20"/>
        </w:rPr>
      </w:pPr>
    </w:p>
    <w:p w14:paraId="4A6F4960" w14:textId="77777777" w:rsidR="008E0F74" w:rsidRPr="00FC3B7C" w:rsidRDefault="00256F29">
      <w:pPr>
        <w:ind w:left="100"/>
        <w:rPr>
          <w:sz w:val="20"/>
          <w:szCs w:val="20"/>
        </w:rPr>
      </w:pPr>
      <w:r w:rsidRPr="00FC3B7C">
        <w:rPr>
          <w:rFonts w:eastAsia="Times New Roman"/>
          <w:b/>
          <w:bCs/>
          <w:szCs w:val="24"/>
        </w:rPr>
        <w:t>Tabulka: Jak vláda napravuje nedostatky trhu</w:t>
      </w:r>
    </w:p>
    <w:p w14:paraId="4A6F4961" w14:textId="77777777" w:rsidR="008E0F74" w:rsidRPr="00FC3B7C" w:rsidRDefault="00256F29">
      <w:pPr>
        <w:spacing w:line="20" w:lineRule="exact"/>
        <w:rPr>
          <w:sz w:val="20"/>
          <w:szCs w:val="20"/>
        </w:rPr>
      </w:pPr>
      <w:r w:rsidRPr="00FC3B7C">
        <w:rPr>
          <w:noProof/>
          <w:sz w:val="20"/>
          <w:szCs w:val="20"/>
        </w:rPr>
        <w:drawing>
          <wp:anchor distT="0" distB="0" distL="114300" distR="114300" simplePos="0" relativeHeight="251590144" behindDoc="1" locked="0" layoutInCell="0" allowOverlap="1" wp14:anchorId="4A6F5D08" wp14:editId="66333ED4">
            <wp:simplePos x="0" y="0"/>
            <wp:positionH relativeFrom="column">
              <wp:posOffset>70485</wp:posOffset>
            </wp:positionH>
            <wp:positionV relativeFrom="paragraph">
              <wp:posOffset>102870</wp:posOffset>
            </wp:positionV>
            <wp:extent cx="5327650" cy="3700145"/>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6"/>
                    <a:srcRect/>
                    <a:stretch>
                      <a:fillRect/>
                    </a:stretch>
                  </pic:blipFill>
                  <pic:spPr bwMode="auto">
                    <a:xfrm>
                      <a:off x="0" y="0"/>
                      <a:ext cx="5327650" cy="3700145"/>
                    </a:xfrm>
                    <a:prstGeom prst="rect">
                      <a:avLst/>
                    </a:prstGeom>
                    <a:noFill/>
                  </pic:spPr>
                </pic:pic>
              </a:graphicData>
            </a:graphic>
          </wp:anchor>
        </w:drawing>
      </w:r>
    </w:p>
    <w:p w14:paraId="4A6F4962" w14:textId="77777777" w:rsidR="008E0F74" w:rsidRPr="00FC3B7C" w:rsidRDefault="008E0F74">
      <w:pPr>
        <w:spacing w:line="200" w:lineRule="exact"/>
        <w:rPr>
          <w:sz w:val="20"/>
          <w:szCs w:val="20"/>
        </w:rPr>
      </w:pPr>
    </w:p>
    <w:p w14:paraId="4A6F4963" w14:textId="77777777" w:rsidR="008E0F74" w:rsidRPr="00FC3B7C" w:rsidRDefault="008E0F74">
      <w:pPr>
        <w:spacing w:line="200" w:lineRule="exact"/>
        <w:rPr>
          <w:sz w:val="20"/>
          <w:szCs w:val="20"/>
        </w:rPr>
      </w:pPr>
    </w:p>
    <w:p w14:paraId="4A6F4964" w14:textId="77777777" w:rsidR="008E0F74" w:rsidRPr="00FC3B7C" w:rsidRDefault="008E0F74">
      <w:pPr>
        <w:spacing w:line="200" w:lineRule="exact"/>
        <w:rPr>
          <w:sz w:val="20"/>
          <w:szCs w:val="20"/>
        </w:rPr>
      </w:pPr>
    </w:p>
    <w:p w14:paraId="4A6F4965" w14:textId="77777777" w:rsidR="008E0F74" w:rsidRPr="00FC3B7C" w:rsidRDefault="008E0F74">
      <w:pPr>
        <w:spacing w:line="200" w:lineRule="exact"/>
        <w:rPr>
          <w:sz w:val="20"/>
          <w:szCs w:val="20"/>
        </w:rPr>
      </w:pPr>
    </w:p>
    <w:p w14:paraId="4A6F4966" w14:textId="77777777" w:rsidR="008E0F74" w:rsidRPr="00FC3B7C" w:rsidRDefault="008E0F74">
      <w:pPr>
        <w:spacing w:line="200" w:lineRule="exact"/>
        <w:rPr>
          <w:sz w:val="20"/>
          <w:szCs w:val="20"/>
        </w:rPr>
      </w:pPr>
    </w:p>
    <w:p w14:paraId="4A6F4967" w14:textId="77777777" w:rsidR="008E0F74" w:rsidRPr="00FC3B7C" w:rsidRDefault="008E0F74">
      <w:pPr>
        <w:spacing w:line="200" w:lineRule="exact"/>
        <w:rPr>
          <w:sz w:val="20"/>
          <w:szCs w:val="20"/>
        </w:rPr>
      </w:pPr>
    </w:p>
    <w:p w14:paraId="4A6F4968" w14:textId="77777777" w:rsidR="008E0F74" w:rsidRPr="00FC3B7C" w:rsidRDefault="008E0F74">
      <w:pPr>
        <w:spacing w:line="200" w:lineRule="exact"/>
        <w:rPr>
          <w:sz w:val="20"/>
          <w:szCs w:val="20"/>
        </w:rPr>
      </w:pPr>
    </w:p>
    <w:p w14:paraId="4A6F4969" w14:textId="77777777" w:rsidR="008E0F74" w:rsidRPr="00FC3B7C" w:rsidRDefault="008E0F74">
      <w:pPr>
        <w:spacing w:line="200" w:lineRule="exact"/>
        <w:rPr>
          <w:sz w:val="20"/>
          <w:szCs w:val="20"/>
        </w:rPr>
      </w:pPr>
    </w:p>
    <w:p w14:paraId="4A6F496A" w14:textId="77777777" w:rsidR="008E0F74" w:rsidRPr="00FC3B7C" w:rsidRDefault="008E0F74">
      <w:pPr>
        <w:spacing w:line="200" w:lineRule="exact"/>
        <w:rPr>
          <w:sz w:val="20"/>
          <w:szCs w:val="20"/>
        </w:rPr>
      </w:pPr>
    </w:p>
    <w:p w14:paraId="4A6F496B" w14:textId="77777777" w:rsidR="008E0F74" w:rsidRPr="00FC3B7C" w:rsidRDefault="008E0F74">
      <w:pPr>
        <w:spacing w:line="200" w:lineRule="exact"/>
        <w:rPr>
          <w:sz w:val="20"/>
          <w:szCs w:val="20"/>
        </w:rPr>
      </w:pPr>
    </w:p>
    <w:p w14:paraId="4A6F496C" w14:textId="77777777" w:rsidR="008E0F74" w:rsidRPr="00FC3B7C" w:rsidRDefault="008E0F74">
      <w:pPr>
        <w:spacing w:line="200" w:lineRule="exact"/>
        <w:rPr>
          <w:sz w:val="20"/>
          <w:szCs w:val="20"/>
        </w:rPr>
      </w:pPr>
    </w:p>
    <w:p w14:paraId="4A6F496D" w14:textId="77777777" w:rsidR="008E0F74" w:rsidRPr="00FC3B7C" w:rsidRDefault="008E0F74">
      <w:pPr>
        <w:spacing w:line="200" w:lineRule="exact"/>
        <w:rPr>
          <w:sz w:val="20"/>
          <w:szCs w:val="20"/>
        </w:rPr>
      </w:pPr>
    </w:p>
    <w:p w14:paraId="4A6F496E" w14:textId="77777777" w:rsidR="008E0F74" w:rsidRPr="00FC3B7C" w:rsidRDefault="008E0F74">
      <w:pPr>
        <w:spacing w:line="200" w:lineRule="exact"/>
        <w:rPr>
          <w:sz w:val="20"/>
          <w:szCs w:val="20"/>
        </w:rPr>
      </w:pPr>
    </w:p>
    <w:p w14:paraId="4A6F496F" w14:textId="77777777" w:rsidR="008E0F74" w:rsidRPr="00FC3B7C" w:rsidRDefault="008E0F74">
      <w:pPr>
        <w:spacing w:line="200" w:lineRule="exact"/>
        <w:rPr>
          <w:sz w:val="20"/>
          <w:szCs w:val="20"/>
        </w:rPr>
      </w:pPr>
    </w:p>
    <w:p w14:paraId="4A6F4970" w14:textId="77777777" w:rsidR="008E0F74" w:rsidRPr="00FC3B7C" w:rsidRDefault="008E0F74">
      <w:pPr>
        <w:spacing w:line="200" w:lineRule="exact"/>
        <w:rPr>
          <w:sz w:val="20"/>
          <w:szCs w:val="20"/>
        </w:rPr>
      </w:pPr>
    </w:p>
    <w:p w14:paraId="4A6F4971" w14:textId="77777777" w:rsidR="008E0F74" w:rsidRPr="00FC3B7C" w:rsidRDefault="008E0F74">
      <w:pPr>
        <w:spacing w:line="200" w:lineRule="exact"/>
        <w:rPr>
          <w:sz w:val="20"/>
          <w:szCs w:val="20"/>
        </w:rPr>
      </w:pPr>
    </w:p>
    <w:p w14:paraId="4A6F4972" w14:textId="77777777" w:rsidR="008E0F74" w:rsidRPr="00FC3B7C" w:rsidRDefault="008E0F74">
      <w:pPr>
        <w:spacing w:line="200" w:lineRule="exact"/>
        <w:rPr>
          <w:sz w:val="20"/>
          <w:szCs w:val="20"/>
        </w:rPr>
      </w:pPr>
    </w:p>
    <w:p w14:paraId="4A6F4973" w14:textId="77777777" w:rsidR="008E0F74" w:rsidRPr="00FC3B7C" w:rsidRDefault="008E0F74">
      <w:pPr>
        <w:spacing w:line="200" w:lineRule="exact"/>
        <w:rPr>
          <w:sz w:val="20"/>
          <w:szCs w:val="20"/>
        </w:rPr>
      </w:pPr>
    </w:p>
    <w:p w14:paraId="4A6F4974" w14:textId="77777777" w:rsidR="008E0F74" w:rsidRPr="00FC3B7C" w:rsidRDefault="008E0F74">
      <w:pPr>
        <w:spacing w:line="200" w:lineRule="exact"/>
        <w:rPr>
          <w:sz w:val="20"/>
          <w:szCs w:val="20"/>
        </w:rPr>
      </w:pPr>
    </w:p>
    <w:p w14:paraId="4A6F4975" w14:textId="77777777" w:rsidR="008E0F74" w:rsidRPr="00FC3B7C" w:rsidRDefault="008E0F74">
      <w:pPr>
        <w:spacing w:line="200" w:lineRule="exact"/>
        <w:rPr>
          <w:sz w:val="20"/>
          <w:szCs w:val="20"/>
        </w:rPr>
      </w:pPr>
    </w:p>
    <w:p w14:paraId="4A6F4976" w14:textId="77777777" w:rsidR="008E0F74" w:rsidRPr="00FC3B7C" w:rsidRDefault="008E0F74">
      <w:pPr>
        <w:spacing w:line="200" w:lineRule="exact"/>
        <w:rPr>
          <w:sz w:val="20"/>
          <w:szCs w:val="20"/>
        </w:rPr>
      </w:pPr>
    </w:p>
    <w:p w14:paraId="4A6F4977" w14:textId="77777777" w:rsidR="008E0F74" w:rsidRPr="00FC3B7C" w:rsidRDefault="008E0F74">
      <w:pPr>
        <w:spacing w:line="200" w:lineRule="exact"/>
        <w:rPr>
          <w:sz w:val="20"/>
          <w:szCs w:val="20"/>
        </w:rPr>
      </w:pPr>
    </w:p>
    <w:p w14:paraId="4A6F4978" w14:textId="77777777" w:rsidR="008E0F74" w:rsidRPr="00FC3B7C" w:rsidRDefault="008E0F74">
      <w:pPr>
        <w:spacing w:line="200" w:lineRule="exact"/>
        <w:rPr>
          <w:sz w:val="20"/>
          <w:szCs w:val="20"/>
        </w:rPr>
      </w:pPr>
    </w:p>
    <w:p w14:paraId="4A6F4979" w14:textId="77777777" w:rsidR="008E0F74" w:rsidRPr="00FC3B7C" w:rsidRDefault="008E0F74">
      <w:pPr>
        <w:spacing w:line="200" w:lineRule="exact"/>
        <w:rPr>
          <w:sz w:val="20"/>
          <w:szCs w:val="20"/>
        </w:rPr>
      </w:pPr>
    </w:p>
    <w:p w14:paraId="4A6F497A" w14:textId="77777777" w:rsidR="008E0F74" w:rsidRPr="00FC3B7C" w:rsidRDefault="008E0F74">
      <w:pPr>
        <w:spacing w:line="200" w:lineRule="exact"/>
        <w:rPr>
          <w:sz w:val="20"/>
          <w:szCs w:val="20"/>
        </w:rPr>
      </w:pPr>
    </w:p>
    <w:p w14:paraId="4A6F497B" w14:textId="77777777" w:rsidR="008E0F74" w:rsidRPr="00FC3B7C" w:rsidRDefault="008E0F74">
      <w:pPr>
        <w:spacing w:line="200" w:lineRule="exact"/>
        <w:rPr>
          <w:sz w:val="20"/>
          <w:szCs w:val="20"/>
        </w:rPr>
      </w:pPr>
    </w:p>
    <w:p w14:paraId="4A6F497C" w14:textId="77777777" w:rsidR="008E0F74" w:rsidRPr="00FC3B7C" w:rsidRDefault="008E0F74">
      <w:pPr>
        <w:spacing w:line="200" w:lineRule="exact"/>
        <w:rPr>
          <w:sz w:val="20"/>
          <w:szCs w:val="20"/>
        </w:rPr>
      </w:pPr>
    </w:p>
    <w:p w14:paraId="4A6F497D" w14:textId="77777777" w:rsidR="008E0F74" w:rsidRPr="00FC3B7C" w:rsidRDefault="008E0F74">
      <w:pPr>
        <w:spacing w:line="200" w:lineRule="exact"/>
        <w:rPr>
          <w:sz w:val="20"/>
          <w:szCs w:val="20"/>
        </w:rPr>
      </w:pPr>
    </w:p>
    <w:p w14:paraId="4A6F497E" w14:textId="77777777" w:rsidR="008E0F74" w:rsidRPr="00FC3B7C" w:rsidRDefault="008E0F74">
      <w:pPr>
        <w:spacing w:line="200" w:lineRule="exact"/>
        <w:rPr>
          <w:sz w:val="20"/>
          <w:szCs w:val="20"/>
        </w:rPr>
      </w:pPr>
    </w:p>
    <w:p w14:paraId="4A6F497F" w14:textId="77777777" w:rsidR="008E0F74" w:rsidRPr="00FC3B7C" w:rsidRDefault="008E0F74">
      <w:pPr>
        <w:spacing w:line="285" w:lineRule="exact"/>
        <w:rPr>
          <w:sz w:val="20"/>
          <w:szCs w:val="20"/>
        </w:rPr>
      </w:pPr>
    </w:p>
    <w:p w14:paraId="4A6F4980" w14:textId="77777777" w:rsidR="008E0F74" w:rsidRPr="00FC3B7C" w:rsidRDefault="00256F29">
      <w:pPr>
        <w:ind w:left="120"/>
        <w:rPr>
          <w:sz w:val="20"/>
          <w:szCs w:val="20"/>
        </w:rPr>
      </w:pPr>
      <w:r w:rsidRPr="00FC3B7C">
        <w:rPr>
          <w:rFonts w:eastAsia="Times New Roman"/>
          <w:i/>
          <w:iCs/>
          <w:sz w:val="20"/>
          <w:szCs w:val="20"/>
        </w:rPr>
        <w:t>Zdroj: P. A. Samuelson, W. D. Nordhaus, Ekonomie, Svoboda, Praha, 2007, s. 40</w:t>
      </w:r>
    </w:p>
    <w:p w14:paraId="4A6F4981" w14:textId="77777777" w:rsidR="008E0F74" w:rsidRPr="00FC3B7C" w:rsidRDefault="008E0F74">
      <w:pPr>
        <w:spacing w:line="115" w:lineRule="exact"/>
        <w:rPr>
          <w:sz w:val="20"/>
          <w:szCs w:val="20"/>
        </w:rPr>
      </w:pPr>
    </w:p>
    <w:p w14:paraId="4A6F4982" w14:textId="1D4A8B85" w:rsidR="008E0F74" w:rsidRPr="00FC3B7C" w:rsidRDefault="00256F29" w:rsidP="00BD5C01">
      <w:pPr>
        <w:pStyle w:val="Odstavecseseznamem"/>
        <w:rPr>
          <w:sz w:val="20"/>
          <w:szCs w:val="20"/>
        </w:rPr>
      </w:pPr>
      <w:r w:rsidRPr="00FC3B7C">
        <w:rPr>
          <w:rFonts w:eastAsia="Times New Roman"/>
        </w:rPr>
        <w:t>Především stoupenci laissez faire se domnívají, že výsledek tržního selhání je efektivnější než v situaci, kdyby zasahoval stát a snažil se toto selhání napravit pomocí regulací (existují totiž také vládní selhání). Jiní zastávají názor, že v případě tržního</w:t>
      </w:r>
      <w:r w:rsidR="00BD5C01">
        <w:rPr>
          <w:rFonts w:eastAsia="Times New Roman"/>
        </w:rPr>
        <w:t xml:space="preserve"> </w:t>
      </w:r>
      <w:r w:rsidRPr="00FC3B7C">
        <w:rPr>
          <w:rFonts w:eastAsia="Times New Roman"/>
        </w:rPr>
        <w:t>selhání</w:t>
      </w:r>
      <w:r w:rsidR="00BD5C01">
        <w:rPr>
          <w:rFonts w:eastAsia="Times New Roman"/>
        </w:rPr>
        <w:t xml:space="preserve"> </w:t>
      </w:r>
      <w:r w:rsidRPr="00FC3B7C">
        <w:rPr>
          <w:rFonts w:eastAsia="Times New Roman"/>
        </w:rPr>
        <w:t>má zasáhnout</w:t>
      </w:r>
      <w:r w:rsidR="00BD5C01">
        <w:rPr>
          <w:rFonts w:eastAsia="Times New Roman"/>
        </w:rPr>
        <w:t xml:space="preserve"> </w:t>
      </w:r>
      <w:r w:rsidRPr="00FC3B7C">
        <w:rPr>
          <w:rFonts w:eastAsia="Times New Roman"/>
        </w:rPr>
        <w:t>stát</w:t>
      </w:r>
      <w:r w:rsidR="00BD5C01">
        <w:rPr>
          <w:rFonts w:eastAsia="Times New Roman"/>
        </w:rPr>
        <w:t xml:space="preserve"> </w:t>
      </w:r>
      <w:r w:rsidRPr="00FC3B7C">
        <w:rPr>
          <w:rFonts w:eastAsia="Times New Roman"/>
        </w:rPr>
        <w:t>a regulovat.</w:t>
      </w:r>
    </w:p>
    <w:p w14:paraId="4A6F4983" w14:textId="77777777" w:rsidR="006D0EB4" w:rsidRDefault="006D0EB4"/>
    <w:p w14:paraId="4A6F4984" w14:textId="77777777" w:rsidR="008E0F74" w:rsidRPr="00EE01FF" w:rsidRDefault="00256F29" w:rsidP="006D0EB4">
      <w:pPr>
        <w:pStyle w:val="Nadpis2"/>
        <w:rPr>
          <w:color w:val="1F3864" w:themeColor="accent1" w:themeShade="80"/>
          <w:sz w:val="20"/>
          <w:szCs w:val="20"/>
        </w:rPr>
      </w:pPr>
      <w:bookmarkStart w:id="336" w:name="page366"/>
      <w:bookmarkEnd w:id="336"/>
      <w:r w:rsidRPr="00EE01FF">
        <w:rPr>
          <w:rFonts w:eastAsia="Times New Roman"/>
          <w:color w:val="1F3864" w:themeColor="accent1" w:themeShade="80"/>
        </w:rPr>
        <w:lastRenderedPageBreak/>
        <w:t>VLÁDNÍ SELHÁNÍ</w:t>
      </w:r>
    </w:p>
    <w:p w14:paraId="4A6F4985" w14:textId="77777777" w:rsidR="008E0F74" w:rsidRPr="00FC3B7C" w:rsidRDefault="00256F29" w:rsidP="00BD5C01">
      <w:pPr>
        <w:pStyle w:val="Odstavecseseznamem"/>
        <w:rPr>
          <w:sz w:val="20"/>
          <w:szCs w:val="20"/>
        </w:rPr>
      </w:pPr>
      <w:r w:rsidRPr="00FC3B7C">
        <w:rPr>
          <w:rFonts w:eastAsia="Times New Roman"/>
        </w:rPr>
        <w:t>Nezbytnost zasahování vlády do přirozeného vývoje ekonomiky je zdůvodňována tržním selháním. Existuje situace, kdy trh opravdu selhává, často pak zasahuje stát. Nicméně samotné tržní selhání neospravedlňuje stát k tomu, aby zasahoval. Důsledky vládního zásahu jsou leckdy horší, než kdyby daná situace, kterou zásahem řeší, zůstala vládou neřešena.</w:t>
      </w:r>
    </w:p>
    <w:p w14:paraId="4A6F4986" w14:textId="6A186587" w:rsidR="008E0F74" w:rsidRPr="00FC3B7C" w:rsidRDefault="00256F29" w:rsidP="00BD5C01">
      <w:pPr>
        <w:pStyle w:val="Odstavecseseznamem"/>
        <w:rPr>
          <w:sz w:val="20"/>
          <w:szCs w:val="20"/>
        </w:rPr>
      </w:pPr>
      <w:r w:rsidRPr="00FC3B7C">
        <w:rPr>
          <w:rFonts w:eastAsia="Times New Roman"/>
        </w:rPr>
        <w:t>Neefektivita vládních zásahů je především způsobena nedostatkem</w:t>
      </w:r>
      <w:r w:rsidR="00BD5C01">
        <w:rPr>
          <w:rFonts w:eastAsia="Times New Roman"/>
        </w:rPr>
        <w:t xml:space="preserve"> i</w:t>
      </w:r>
      <w:r w:rsidRPr="00FC3B7C">
        <w:rPr>
          <w:rFonts w:eastAsia="Times New Roman"/>
        </w:rPr>
        <w:t>nformací/nedostatečnou znalostí nositelů hospodářské politiky nebo neslučitelností mezi jejich preferencemi a společenským blahobytem. Kritikové politiky státních zásahů se snaží prosadit, aby se vláda nesnažila nedostatky tržního mechanismu napravovat.</w:t>
      </w:r>
    </w:p>
    <w:p w14:paraId="4A6F4987" w14:textId="77777777" w:rsidR="008E0F74" w:rsidRPr="00FC3B7C" w:rsidRDefault="008E0F74">
      <w:pPr>
        <w:spacing w:line="183" w:lineRule="exact"/>
        <w:rPr>
          <w:sz w:val="20"/>
          <w:szCs w:val="20"/>
        </w:rPr>
      </w:pPr>
    </w:p>
    <w:p w14:paraId="4A6F4988" w14:textId="0840885F" w:rsidR="008E0F74" w:rsidRPr="00EE01FF" w:rsidRDefault="00EE01FF" w:rsidP="006D0EB4">
      <w:pPr>
        <w:pStyle w:val="Nadpis3"/>
        <w:rPr>
          <w:color w:val="1F3864" w:themeColor="accent1" w:themeShade="80"/>
          <w:sz w:val="20"/>
          <w:szCs w:val="20"/>
        </w:rPr>
      </w:pPr>
      <w:r w:rsidRPr="00EE01FF">
        <w:rPr>
          <w:rFonts w:eastAsia="Times New Roman"/>
          <w:color w:val="1F3864" w:themeColor="accent1" w:themeShade="80"/>
        </w:rPr>
        <w:t xml:space="preserve"> </w:t>
      </w:r>
      <w:r w:rsidR="00256F29" w:rsidRPr="00EE01FF">
        <w:rPr>
          <w:rFonts w:eastAsia="Times New Roman"/>
          <w:color w:val="1F3864" w:themeColor="accent1" w:themeShade="80"/>
        </w:rPr>
        <w:t>Příčiny vládních selhání:</w:t>
      </w:r>
    </w:p>
    <w:p w14:paraId="4A6F4989" w14:textId="77777777" w:rsidR="008E0F74" w:rsidRPr="00BD5C01" w:rsidRDefault="00256F29" w:rsidP="00D46B53">
      <w:pPr>
        <w:pStyle w:val="Odstavecseseznamem"/>
        <w:numPr>
          <w:ilvl w:val="0"/>
          <w:numId w:val="705"/>
        </w:numPr>
        <w:rPr>
          <w:rFonts w:eastAsia="Arial"/>
          <w:i/>
          <w:iCs/>
        </w:rPr>
      </w:pPr>
      <w:r w:rsidRPr="00BD5C01">
        <w:rPr>
          <w:rFonts w:eastAsia="Times New Roman"/>
          <w:i/>
          <w:iCs/>
        </w:rPr>
        <w:t>Omezené informace</w:t>
      </w:r>
    </w:p>
    <w:p w14:paraId="4A6F498A" w14:textId="77777777" w:rsidR="008E0F74" w:rsidRPr="00BD5C01" w:rsidRDefault="00256F29" w:rsidP="00D46B53">
      <w:pPr>
        <w:pStyle w:val="Odstavecseseznamem"/>
        <w:numPr>
          <w:ilvl w:val="0"/>
          <w:numId w:val="705"/>
        </w:numPr>
        <w:rPr>
          <w:rFonts w:eastAsia="Arial"/>
          <w:i/>
          <w:iCs/>
        </w:rPr>
      </w:pPr>
      <w:r w:rsidRPr="00BD5C01">
        <w:rPr>
          <w:rFonts w:eastAsia="Times New Roman"/>
          <w:i/>
          <w:iCs/>
        </w:rPr>
        <w:t>Časová zpoždění</w:t>
      </w:r>
    </w:p>
    <w:p w14:paraId="4A6F498B" w14:textId="77777777" w:rsidR="008E0F74" w:rsidRPr="00BD5C01" w:rsidRDefault="00256F29" w:rsidP="00D46B53">
      <w:pPr>
        <w:pStyle w:val="Odstavecseseznamem"/>
        <w:numPr>
          <w:ilvl w:val="0"/>
          <w:numId w:val="705"/>
        </w:numPr>
        <w:rPr>
          <w:rFonts w:eastAsia="Arial"/>
          <w:i/>
          <w:iCs/>
        </w:rPr>
      </w:pPr>
      <w:r w:rsidRPr="00BD5C01">
        <w:rPr>
          <w:rFonts w:eastAsia="Times New Roman"/>
          <w:i/>
          <w:iCs/>
        </w:rPr>
        <w:t>Omezená kontrola nad byrokratickým aparátem</w:t>
      </w:r>
    </w:p>
    <w:p w14:paraId="4A6F498C" w14:textId="77777777" w:rsidR="008E0F74" w:rsidRPr="00BD5C01" w:rsidRDefault="00256F29" w:rsidP="00D46B53">
      <w:pPr>
        <w:pStyle w:val="Odstavecseseznamem"/>
        <w:numPr>
          <w:ilvl w:val="0"/>
          <w:numId w:val="705"/>
        </w:numPr>
        <w:rPr>
          <w:rFonts w:eastAsia="Arial"/>
          <w:i/>
          <w:iCs/>
        </w:rPr>
      </w:pPr>
      <w:r w:rsidRPr="00BD5C01">
        <w:rPr>
          <w:rFonts w:eastAsia="Times New Roman"/>
          <w:i/>
          <w:iCs/>
        </w:rPr>
        <w:t>Omezená kontrola reakcí soukromého sektoru</w:t>
      </w:r>
    </w:p>
    <w:p w14:paraId="4A6F498D" w14:textId="77777777" w:rsidR="008E0F74" w:rsidRPr="00BD5C01" w:rsidRDefault="00256F29" w:rsidP="00D46B53">
      <w:pPr>
        <w:pStyle w:val="Odstavecseseznamem"/>
        <w:numPr>
          <w:ilvl w:val="0"/>
          <w:numId w:val="705"/>
        </w:numPr>
        <w:rPr>
          <w:rFonts w:eastAsia="Arial"/>
          <w:i/>
          <w:iCs/>
        </w:rPr>
      </w:pPr>
      <w:r w:rsidRPr="00BD5C01">
        <w:rPr>
          <w:rFonts w:eastAsia="Times New Roman"/>
          <w:i/>
          <w:iCs/>
        </w:rPr>
        <w:t>Omezení vyplývající z podstaty politického procesu</w:t>
      </w:r>
    </w:p>
    <w:p w14:paraId="4A6F498E" w14:textId="77777777" w:rsidR="008E0F74" w:rsidRPr="00FC3B7C" w:rsidRDefault="00256F29" w:rsidP="006D0EB4">
      <w:pPr>
        <w:rPr>
          <w:sz w:val="20"/>
          <w:szCs w:val="20"/>
        </w:rPr>
      </w:pPr>
      <w:r w:rsidRPr="00FC3B7C">
        <w:rPr>
          <w:rFonts w:eastAsia="Times New Roman"/>
          <w:b/>
          <w:bCs/>
          <w:i/>
          <w:iCs/>
          <w:szCs w:val="24"/>
        </w:rPr>
        <w:t>Omezené informace</w:t>
      </w:r>
    </w:p>
    <w:p w14:paraId="4A6F498F" w14:textId="77777777" w:rsidR="008E0F74" w:rsidRPr="00FC3B7C" w:rsidRDefault="00256F29" w:rsidP="00BD5C01">
      <w:pPr>
        <w:pStyle w:val="Odstavecseseznamem"/>
        <w:rPr>
          <w:sz w:val="20"/>
          <w:szCs w:val="20"/>
        </w:rPr>
      </w:pPr>
      <w:r w:rsidRPr="00FC3B7C">
        <w:rPr>
          <w:rFonts w:eastAsia="Times New Roman"/>
        </w:rPr>
        <w:t xml:space="preserve">Politik má stejnou informaci jako jakýkoliv jiný tržní subjekt (někdy dokonce méně), tudíž nedisponuje informační převahou. Následky různých rozhodnutí jsou těžko předvídatelné </w:t>
      </w:r>
      <w:r w:rsidR="006D0EB4">
        <w:rPr>
          <w:rFonts w:eastAsia="Times New Roman"/>
        </w:rPr>
        <w:br/>
      </w:r>
      <w:r w:rsidRPr="00FC3B7C">
        <w:rPr>
          <w:rFonts w:eastAsia="Times New Roman"/>
        </w:rPr>
        <w:t>a někdy velmi komplikované.</w:t>
      </w:r>
    </w:p>
    <w:p w14:paraId="4A6F4990" w14:textId="77777777" w:rsidR="008E0F74" w:rsidRPr="00FC3B7C" w:rsidRDefault="00256F29" w:rsidP="006D0EB4">
      <w:pPr>
        <w:rPr>
          <w:sz w:val="20"/>
          <w:szCs w:val="20"/>
        </w:rPr>
      </w:pPr>
      <w:r w:rsidRPr="00FC3B7C">
        <w:rPr>
          <w:rFonts w:eastAsia="Times New Roman"/>
          <w:b/>
          <w:bCs/>
          <w:i/>
          <w:iCs/>
          <w:szCs w:val="24"/>
        </w:rPr>
        <w:t>Časová zpoždění</w:t>
      </w:r>
    </w:p>
    <w:p w14:paraId="4A6F4991" w14:textId="553A2D2B" w:rsidR="008E0F74" w:rsidRPr="00FC3B7C" w:rsidRDefault="00256F29" w:rsidP="00BD5C01">
      <w:pPr>
        <w:pStyle w:val="Odstavecseseznamem"/>
        <w:rPr>
          <w:sz w:val="20"/>
          <w:szCs w:val="20"/>
        </w:rPr>
      </w:pPr>
      <w:r w:rsidRPr="00FC3B7C">
        <w:rPr>
          <w:rFonts w:eastAsia="Times New Roman"/>
        </w:rPr>
        <w:t xml:space="preserve">Časovým zpožděním se má na mysli doba mezi šokem a odpovědí na něj. Trvá totiž, než ekonomové zjistí, že k něčemu dochází. Kromě toho určitý čas také </w:t>
      </w:r>
      <w:r w:rsidR="004216DD" w:rsidRPr="00FC3B7C">
        <w:rPr>
          <w:rFonts w:eastAsia="Times New Roman"/>
        </w:rPr>
        <w:t>zabere</w:t>
      </w:r>
      <w:r w:rsidRPr="00FC3B7C">
        <w:rPr>
          <w:rFonts w:eastAsia="Times New Roman"/>
        </w:rPr>
        <w:t xml:space="preserve"> rozhodnutí ve vládě a případně i v parlamentu. Nakonec dojde ke zpoždění účinku rozhodnutí, protože změny daní a výdajů se promítnou až po určitém čase. Každé hospodářsko -</w:t>
      </w:r>
      <w:r w:rsidR="004216DD">
        <w:rPr>
          <w:rFonts w:eastAsia="Times New Roman"/>
        </w:rPr>
        <w:t xml:space="preserve"> </w:t>
      </w:r>
      <w:r w:rsidRPr="00FC3B7C">
        <w:rPr>
          <w:rFonts w:eastAsia="Times New Roman"/>
        </w:rPr>
        <w:t>politické rozhodování má několik fází a každá z nich je doprovázena časovým zpožděním.</w:t>
      </w:r>
    </w:p>
    <w:p w14:paraId="4A6F4992" w14:textId="77777777" w:rsidR="008E0F74" w:rsidRPr="00FC3B7C" w:rsidRDefault="00256F29" w:rsidP="00D46B53">
      <w:pPr>
        <w:numPr>
          <w:ilvl w:val="0"/>
          <w:numId w:val="305"/>
        </w:numPr>
        <w:tabs>
          <w:tab w:val="left" w:pos="840"/>
        </w:tabs>
        <w:ind w:left="840" w:hanging="351"/>
        <w:rPr>
          <w:rFonts w:eastAsia="Courier New"/>
          <w:szCs w:val="24"/>
        </w:rPr>
      </w:pPr>
      <w:r w:rsidRPr="00FC3B7C">
        <w:rPr>
          <w:rFonts w:eastAsia="Times New Roman"/>
          <w:i/>
          <w:iCs/>
          <w:szCs w:val="24"/>
        </w:rPr>
        <w:t xml:space="preserve">Vnitřní časová zpoždění </w:t>
      </w:r>
      <w:r w:rsidRPr="00FC3B7C">
        <w:rPr>
          <w:rFonts w:eastAsia="Times New Roman"/>
          <w:szCs w:val="24"/>
        </w:rPr>
        <w:t>– souvisejí s přípravou hospodářské politiky fáze:</w:t>
      </w:r>
    </w:p>
    <w:p w14:paraId="4A6F4993" w14:textId="77777777" w:rsidR="008E0F74" w:rsidRPr="001D6377" w:rsidRDefault="00256F29" w:rsidP="00D46B53">
      <w:pPr>
        <w:pStyle w:val="Odstavecseseznamem"/>
        <w:numPr>
          <w:ilvl w:val="0"/>
          <w:numId w:val="706"/>
        </w:numPr>
        <w:rPr>
          <w:rFonts w:eastAsia="Wingdings"/>
          <w:b/>
          <w:bCs/>
        </w:rPr>
      </w:pPr>
      <w:r w:rsidRPr="001D6377">
        <w:rPr>
          <w:rFonts w:eastAsia="Times New Roman"/>
          <w:b/>
          <w:bCs/>
        </w:rPr>
        <w:t>Zjištění hospodářského problému</w:t>
      </w:r>
    </w:p>
    <w:p w14:paraId="4A6F4994" w14:textId="77777777" w:rsidR="008E0F74" w:rsidRPr="00FC3B7C" w:rsidRDefault="00256F29" w:rsidP="00D46B53">
      <w:pPr>
        <w:pStyle w:val="Odstavecseseznamem"/>
        <w:numPr>
          <w:ilvl w:val="0"/>
          <w:numId w:val="706"/>
        </w:numPr>
        <w:rPr>
          <w:rFonts w:eastAsia="Wingdings"/>
        </w:rPr>
      </w:pPr>
      <w:r w:rsidRPr="001D6377">
        <w:rPr>
          <w:rFonts w:eastAsia="Times New Roman"/>
          <w:b/>
          <w:bCs/>
        </w:rPr>
        <w:t xml:space="preserve">Diagnóza </w:t>
      </w:r>
      <w:r w:rsidRPr="00FC3B7C">
        <w:rPr>
          <w:rFonts w:eastAsia="Times New Roman"/>
        </w:rPr>
        <w:t>– zjišťuje se, zda jde o přechodný problém nebo o závažnou odchylku od uvažovaného trendu a zda je zapotřebí zásahu státu</w:t>
      </w:r>
    </w:p>
    <w:p w14:paraId="4A6F4995" w14:textId="77777777" w:rsidR="008E0F74" w:rsidRPr="00FC3B7C" w:rsidRDefault="00256F29" w:rsidP="00D46B53">
      <w:pPr>
        <w:pStyle w:val="Odstavecseseznamem"/>
        <w:numPr>
          <w:ilvl w:val="0"/>
          <w:numId w:val="706"/>
        </w:numPr>
        <w:rPr>
          <w:rFonts w:eastAsia="Wingdings"/>
        </w:rPr>
      </w:pPr>
      <w:bookmarkStart w:id="337" w:name="page367"/>
      <w:bookmarkEnd w:id="337"/>
      <w:r w:rsidRPr="001D6377">
        <w:rPr>
          <w:rFonts w:eastAsia="Times New Roman"/>
          <w:b/>
          <w:bCs/>
        </w:rPr>
        <w:lastRenderedPageBreak/>
        <w:t xml:space="preserve">Plánování </w:t>
      </w:r>
      <w:r w:rsidRPr="00FC3B7C">
        <w:rPr>
          <w:rFonts w:eastAsia="Times New Roman"/>
        </w:rPr>
        <w:t>– Výběr nástrojů, pomocí nichž je možno vzniklý problém eliminovat, vláda je vystavena lobbistickým tlakům</w:t>
      </w:r>
    </w:p>
    <w:p w14:paraId="4A6F4996" w14:textId="77777777" w:rsidR="008E0F74" w:rsidRPr="00FC3B7C" w:rsidRDefault="00256F29" w:rsidP="00D46B53">
      <w:pPr>
        <w:pStyle w:val="Odstavecseseznamem"/>
        <w:numPr>
          <w:ilvl w:val="0"/>
          <w:numId w:val="706"/>
        </w:numPr>
        <w:rPr>
          <w:rFonts w:eastAsia="Wingdings"/>
        </w:rPr>
      </w:pPr>
      <w:r w:rsidRPr="001D6377">
        <w:rPr>
          <w:rFonts w:eastAsia="Times New Roman"/>
          <w:b/>
          <w:bCs/>
        </w:rPr>
        <w:t xml:space="preserve">Rozhodování </w:t>
      </w:r>
      <w:r w:rsidRPr="00FC3B7C">
        <w:rPr>
          <w:rFonts w:eastAsia="Times New Roman"/>
        </w:rPr>
        <w:t>– vláda rozhodne o konkrétním opatření, může mít podobu zákona, vládního nařízení, či závazné normy</w:t>
      </w:r>
    </w:p>
    <w:p w14:paraId="4A6F4997" w14:textId="77777777" w:rsidR="008E0F74" w:rsidRPr="00FC3B7C" w:rsidRDefault="00256F29" w:rsidP="00D46B53">
      <w:pPr>
        <w:pStyle w:val="Odstavecseseznamem"/>
        <w:numPr>
          <w:ilvl w:val="0"/>
          <w:numId w:val="706"/>
        </w:numPr>
        <w:rPr>
          <w:rFonts w:eastAsia="Wingdings"/>
        </w:rPr>
      </w:pPr>
      <w:r w:rsidRPr="001D6377">
        <w:rPr>
          <w:rFonts w:eastAsia="Times New Roman"/>
          <w:b/>
          <w:bCs/>
        </w:rPr>
        <w:t xml:space="preserve">Kontrola </w:t>
      </w:r>
      <w:r w:rsidRPr="00FC3B7C">
        <w:rPr>
          <w:rFonts w:eastAsia="Times New Roman"/>
        </w:rPr>
        <w:t>– vláda zjišťuje, jak na opatření reagují hospodářské subjekty</w:t>
      </w:r>
    </w:p>
    <w:p w14:paraId="4A6F4998" w14:textId="77777777" w:rsidR="008E0F74" w:rsidRPr="00FC3B7C" w:rsidRDefault="00256F29" w:rsidP="00D46B53">
      <w:pPr>
        <w:numPr>
          <w:ilvl w:val="0"/>
          <w:numId w:val="306"/>
        </w:numPr>
        <w:tabs>
          <w:tab w:val="left" w:pos="840"/>
        </w:tabs>
        <w:ind w:left="840" w:hanging="350"/>
        <w:rPr>
          <w:rFonts w:eastAsia="Courier New"/>
          <w:szCs w:val="24"/>
        </w:rPr>
      </w:pPr>
      <w:r w:rsidRPr="00FC3B7C">
        <w:rPr>
          <w:rFonts w:eastAsia="Times New Roman"/>
          <w:i/>
          <w:iCs/>
          <w:szCs w:val="24"/>
        </w:rPr>
        <w:t>Vnější časová zpoždění – souvisejí s adaptací subjektu v ekonomice na opatření hospodářské politiky, fáze:</w:t>
      </w:r>
    </w:p>
    <w:p w14:paraId="4A6F4999" w14:textId="671D6964" w:rsidR="008E0F74" w:rsidRPr="00FC3B7C" w:rsidRDefault="00256F29" w:rsidP="00D46B53">
      <w:pPr>
        <w:pStyle w:val="Odstavecseseznamem"/>
        <w:numPr>
          <w:ilvl w:val="0"/>
          <w:numId w:val="707"/>
        </w:numPr>
        <w:rPr>
          <w:rFonts w:eastAsia="Wingdings"/>
        </w:rPr>
      </w:pPr>
      <w:r w:rsidRPr="00FC3B7C">
        <w:rPr>
          <w:rFonts w:eastAsia="Times New Roman"/>
          <w:b/>
          <w:bCs/>
        </w:rPr>
        <w:t>Rozhodování –</w:t>
      </w:r>
      <w:r w:rsidRPr="00FC3B7C">
        <w:rPr>
          <w:rFonts w:eastAsia="Times New Roman"/>
        </w:rPr>
        <w:t xml:space="preserve"> Hospodářské subjekty se seznamují s obsahem vládních rozhodnutí a odhadují, jakým způsobem to ovlivní jejich činnost</w:t>
      </w:r>
    </w:p>
    <w:p w14:paraId="4A6F499A" w14:textId="04B9CDEB" w:rsidR="008E0F74" w:rsidRPr="00FC3B7C" w:rsidRDefault="00256F29" w:rsidP="00D46B53">
      <w:pPr>
        <w:pStyle w:val="Odstavecseseznamem"/>
        <w:numPr>
          <w:ilvl w:val="0"/>
          <w:numId w:val="707"/>
        </w:numPr>
        <w:rPr>
          <w:rFonts w:eastAsia="Wingdings"/>
        </w:rPr>
      </w:pPr>
      <w:r w:rsidRPr="00FC3B7C">
        <w:rPr>
          <w:rFonts w:eastAsia="Times New Roman"/>
          <w:b/>
          <w:bCs/>
        </w:rPr>
        <w:t>Realizace vládních rozhodnutí</w:t>
      </w:r>
    </w:p>
    <w:p w14:paraId="4A6F499B" w14:textId="77777777" w:rsidR="006D0EB4" w:rsidRDefault="006D0EB4">
      <w:pPr>
        <w:rPr>
          <w:rFonts w:eastAsia="Times New Roman"/>
          <w:b/>
          <w:bCs/>
          <w:i/>
          <w:iCs/>
          <w:szCs w:val="24"/>
        </w:rPr>
      </w:pPr>
    </w:p>
    <w:p w14:paraId="4A6F499C" w14:textId="77777777" w:rsidR="008E0F74" w:rsidRPr="001D6377" w:rsidRDefault="00256F29" w:rsidP="001D6377">
      <w:pPr>
        <w:rPr>
          <w:b/>
          <w:bCs/>
          <w:i/>
          <w:iCs/>
          <w:sz w:val="20"/>
          <w:szCs w:val="20"/>
        </w:rPr>
      </w:pPr>
      <w:r w:rsidRPr="001D6377">
        <w:rPr>
          <w:rFonts w:eastAsia="Times New Roman"/>
          <w:b/>
          <w:bCs/>
          <w:i/>
          <w:iCs/>
        </w:rPr>
        <w:t>Omezená kontrola nad byrokratickým aparátem</w:t>
      </w:r>
    </w:p>
    <w:p w14:paraId="4A6F499D" w14:textId="77777777" w:rsidR="008E0F74" w:rsidRPr="00FC3B7C" w:rsidRDefault="00256F29" w:rsidP="001D6377">
      <w:pPr>
        <w:pStyle w:val="Odstavecseseznamem"/>
        <w:spacing w:after="240"/>
        <w:rPr>
          <w:sz w:val="20"/>
          <w:szCs w:val="20"/>
        </w:rPr>
      </w:pPr>
      <w:r w:rsidRPr="00FC3B7C">
        <w:rPr>
          <w:rFonts w:eastAsia="Times New Roman"/>
        </w:rPr>
        <w:t>Teorie je založena na vztahu byrokrata a jeho sponzora (obvykle politika). Tento vztah je formován charakteristickými stimuly a omezeními, kterým byrokraté a politici čelí. Většina byrokratů prodává své služby kupujícím monopolní postavení. Poptávka pochází od sponzora, nikoli od spotřebitelů, kteří služby „konzumují“, je to proto, že se služby neprodávají na trhu. Služby za nás de facto poptává politik, který je také za nás platí, resp. zaplatí to ti, kteří jsou plátci daní. Existuje tak bilaterální monopol mezi byrokratem a sponzorem zahrnující směnu slíbeného výstupu a rozpočet (nikoli prodej/směna výstupu za odpovídající cenu). Neexistuje zde jednotná/jednoznačná unikátní rovnováha mezi preferencemi sponzora a byrokrata. Každý má jedinečné výhody při vyjednávání. Byrokraté disponují především informační převahou (politici se střídají, byrokraté méně a ví přesně, kolik poskytovaná služba stojí, to politik neví). Politici mohou dané úředníky měnit, rozhodují o výši rozpočtu a očekává se od nich, že budou úředníky kontrolovat, zkoumat, jestli úřad funguje správně. Žádná z obou stran ale při vyjednávání o výši objemu výstupu a rozpočtu nepodstupují finanční riziko. Výsledkem tak bude uspokojení zájmů byrokratů a politiků, ale nikoli na základě přímého kompenzačního principu, zde nefunguje totiž to (jako na trhu), že když je jeden na tom lépe a vyjedná lepší podmínky, že druhý na tom okamžitě musí být hůře. Výsledkem je to, že byrokraté se snaží o maximalizaci očekávaného rozpočtu jejich úřadu (pak totiž mohou zaměstnávat více lidí, budou mít větší vliv a budou požadovat vyšší plat a v neposlední řadě čím větší úřad, tím hůře se ruší). Nakonec bude jak rozpočet, tak výstup byrokrata větší než optimální (mezní výnosy poskytované služby budou menší než mezní náklady), dojde tedy k</w:t>
      </w:r>
      <w:r w:rsidR="006D0EB4">
        <w:rPr>
          <w:rFonts w:eastAsia="Times New Roman"/>
        </w:rPr>
        <w:t> </w:t>
      </w:r>
      <w:r w:rsidRPr="00FC3B7C">
        <w:rPr>
          <w:rFonts w:eastAsia="Times New Roman"/>
        </w:rPr>
        <w:t>odčerpávání</w:t>
      </w:r>
      <w:bookmarkStart w:id="338" w:name="page368"/>
      <w:bookmarkEnd w:id="338"/>
      <w:r w:rsidR="006D0EB4">
        <w:rPr>
          <w:sz w:val="20"/>
          <w:szCs w:val="20"/>
        </w:rPr>
        <w:t xml:space="preserve"> </w:t>
      </w:r>
      <w:r w:rsidRPr="00FC3B7C">
        <w:rPr>
          <w:rFonts w:eastAsia="Times New Roman"/>
          <w:szCs w:val="24"/>
        </w:rPr>
        <w:lastRenderedPageBreak/>
        <w:t>spotřebitelského přebytku a generování přebytku pracovních a kapitálových zdrojů, charakteristických pro poskytování tohoto typu služeb.</w:t>
      </w:r>
    </w:p>
    <w:p w14:paraId="4A6F499E" w14:textId="77777777" w:rsidR="008E0F74" w:rsidRPr="00FC3B7C" w:rsidRDefault="008E0F74">
      <w:pPr>
        <w:spacing w:line="1" w:lineRule="exact"/>
        <w:rPr>
          <w:sz w:val="20"/>
          <w:szCs w:val="20"/>
        </w:rPr>
      </w:pPr>
    </w:p>
    <w:p w14:paraId="4A6F499F" w14:textId="77777777" w:rsidR="008E0F74" w:rsidRPr="001D6377" w:rsidRDefault="00256F29" w:rsidP="001D6377">
      <w:pPr>
        <w:rPr>
          <w:b/>
          <w:bCs/>
          <w:i/>
          <w:iCs/>
          <w:sz w:val="20"/>
          <w:szCs w:val="20"/>
        </w:rPr>
      </w:pPr>
      <w:r w:rsidRPr="001D6377">
        <w:rPr>
          <w:rFonts w:eastAsia="Times New Roman"/>
          <w:b/>
          <w:bCs/>
          <w:i/>
          <w:iCs/>
        </w:rPr>
        <w:t>Omezená kontrola reakcí soukromého sektoru</w:t>
      </w:r>
    </w:p>
    <w:p w14:paraId="4A6F49A0" w14:textId="77777777" w:rsidR="008E0F74" w:rsidRPr="00FC3B7C" w:rsidRDefault="00256F29" w:rsidP="001D6377">
      <w:pPr>
        <w:pStyle w:val="Odstavecseseznamem"/>
        <w:rPr>
          <w:sz w:val="20"/>
          <w:szCs w:val="20"/>
        </w:rPr>
      </w:pPr>
      <w:r w:rsidRPr="00FC3B7C">
        <w:rPr>
          <w:rFonts w:eastAsia="Times New Roman"/>
        </w:rPr>
        <w:t>V tomto případě jde především o to, že vláda má jistou představu o tom, k jakým změnám dojde ve společnosti na základě vládních kroků/rozhodnutí. Lidé však leckdy jednají jinak, než politici očekávají. Vláda má totiž omezený vliv na důsledky svých rozhodnutí.</w:t>
      </w:r>
    </w:p>
    <w:p w14:paraId="4A6F49A1" w14:textId="77777777" w:rsidR="008E0F74" w:rsidRPr="00FC3B7C" w:rsidRDefault="00256F29" w:rsidP="001D6377">
      <w:pPr>
        <w:pStyle w:val="Odstavecseseznamem"/>
        <w:rPr>
          <w:sz w:val="20"/>
          <w:szCs w:val="20"/>
        </w:rPr>
      </w:pPr>
      <w:r w:rsidRPr="00FC3B7C">
        <w:rPr>
          <w:rFonts w:eastAsia="Times New Roman"/>
        </w:rPr>
        <w:t>Patří sem např. vytěsňovací efekt, kdy zvýšení vládních výdajů zvýší pomocí multiplikátoru HDP - vyšší HDP zapříčiní růst poptávky po penězích, to zvýší úrokovou míru, což má za následek vytlačení soukromých investic.</w:t>
      </w:r>
    </w:p>
    <w:p w14:paraId="4A6F49A2" w14:textId="77777777" w:rsidR="008E0F74" w:rsidRPr="00FC3B7C" w:rsidRDefault="00256F29" w:rsidP="001D6377">
      <w:pPr>
        <w:pStyle w:val="Odstavecseseznamem"/>
        <w:rPr>
          <w:sz w:val="20"/>
          <w:szCs w:val="20"/>
        </w:rPr>
      </w:pPr>
      <w:r w:rsidRPr="00FC3B7C">
        <w:rPr>
          <w:rFonts w:eastAsia="Times New Roman"/>
        </w:rPr>
        <w:t>Dalším příkladem může být zvýšení daní za účelem zvýšení příjmu státního rozpočtu - kvůli daňovým únikům ale politici nemusí dosáhnout svého cíle nebo u spotřební daně může dojít ke snížení spotřeby daného statku.</w:t>
      </w:r>
    </w:p>
    <w:p w14:paraId="4A6F49A3" w14:textId="77777777" w:rsidR="008E0F74" w:rsidRDefault="00256F29" w:rsidP="001D6377">
      <w:pPr>
        <w:pStyle w:val="Odstavecseseznamem"/>
        <w:rPr>
          <w:rFonts w:eastAsia="Times New Roman"/>
        </w:rPr>
      </w:pPr>
      <w:r w:rsidRPr="00FC3B7C">
        <w:rPr>
          <w:rFonts w:eastAsia="Times New Roman"/>
        </w:rPr>
        <w:t>Dalším problémem může být rent-seeking (dobývání renty) – tato problematika se týká především zájmových skupin (ale i firem, jednotlivců), které se snaží využít politický proces k transferu bohatství ve svůj prospěch a získat tak na trhu privilegované místo (předpokladem pro vznik renty je zásah státu jako např. regulace, udělení licence, zajištění trvalého monopolu), renta je pak rozdíl v příjmech bez regulace a s regulací. Příklad monopolu, který čerpá rentu, jsou České dráhy.</w:t>
      </w:r>
    </w:p>
    <w:p w14:paraId="4A6F49A5" w14:textId="77777777" w:rsidR="008E0F74" w:rsidRPr="00FC3B7C" w:rsidRDefault="008E0F74">
      <w:pPr>
        <w:spacing w:line="4" w:lineRule="exact"/>
        <w:rPr>
          <w:sz w:val="20"/>
          <w:szCs w:val="20"/>
        </w:rPr>
      </w:pPr>
    </w:p>
    <w:p w14:paraId="4A6F49A6" w14:textId="01A130F6" w:rsidR="008E0F74" w:rsidRPr="00FC3B7C" w:rsidRDefault="001D6377">
      <w:pPr>
        <w:ind w:left="100"/>
        <w:rPr>
          <w:sz w:val="20"/>
          <w:szCs w:val="20"/>
        </w:rPr>
      </w:pPr>
      <w:r w:rsidRPr="00FC3B7C">
        <w:rPr>
          <w:noProof/>
          <w:sz w:val="20"/>
          <w:szCs w:val="20"/>
        </w:rPr>
        <w:drawing>
          <wp:anchor distT="0" distB="0" distL="114300" distR="114300" simplePos="0" relativeHeight="251594240" behindDoc="1" locked="0" layoutInCell="0" allowOverlap="1" wp14:anchorId="4A6F5D0A" wp14:editId="56FE320A">
            <wp:simplePos x="0" y="0"/>
            <wp:positionH relativeFrom="column">
              <wp:posOffset>92075</wp:posOffset>
            </wp:positionH>
            <wp:positionV relativeFrom="paragraph">
              <wp:posOffset>193166</wp:posOffset>
            </wp:positionV>
            <wp:extent cx="2435225" cy="208788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7"/>
                    <a:srcRect/>
                    <a:stretch>
                      <a:fillRect/>
                    </a:stretch>
                  </pic:blipFill>
                  <pic:spPr bwMode="auto">
                    <a:xfrm>
                      <a:off x="0" y="0"/>
                      <a:ext cx="2435225" cy="2087880"/>
                    </a:xfrm>
                    <a:prstGeom prst="rect">
                      <a:avLst/>
                    </a:prstGeom>
                    <a:noFill/>
                  </pic:spPr>
                </pic:pic>
              </a:graphicData>
            </a:graphic>
          </wp:anchor>
        </w:drawing>
      </w:r>
      <w:r w:rsidR="00256F29" w:rsidRPr="00FC3B7C">
        <w:rPr>
          <w:rFonts w:eastAsia="Times New Roman"/>
          <w:b/>
          <w:bCs/>
          <w:szCs w:val="24"/>
        </w:rPr>
        <w:t>Graf monopolu čerpajícího rentu</w:t>
      </w:r>
    </w:p>
    <w:p w14:paraId="4A6F49A7" w14:textId="3377450F" w:rsidR="008E0F74" w:rsidRPr="00FC3B7C" w:rsidRDefault="008E0F74">
      <w:pPr>
        <w:spacing w:line="20" w:lineRule="exact"/>
        <w:rPr>
          <w:sz w:val="20"/>
          <w:szCs w:val="20"/>
        </w:rPr>
      </w:pPr>
    </w:p>
    <w:p w14:paraId="4A6F49A8" w14:textId="655143EC" w:rsidR="008E0F74" w:rsidRPr="00FC3B7C" w:rsidRDefault="008E0F74">
      <w:pPr>
        <w:spacing w:line="200" w:lineRule="exact"/>
        <w:rPr>
          <w:sz w:val="20"/>
          <w:szCs w:val="20"/>
        </w:rPr>
      </w:pPr>
    </w:p>
    <w:p w14:paraId="4A6F49A9" w14:textId="77777777" w:rsidR="008E0F74" w:rsidRPr="00FC3B7C" w:rsidRDefault="008E0F74">
      <w:pPr>
        <w:spacing w:line="200" w:lineRule="exact"/>
        <w:rPr>
          <w:sz w:val="20"/>
          <w:szCs w:val="20"/>
        </w:rPr>
      </w:pPr>
    </w:p>
    <w:p w14:paraId="4A6F49AA" w14:textId="77777777" w:rsidR="008E0F74" w:rsidRPr="00FC3B7C" w:rsidRDefault="008E0F74">
      <w:pPr>
        <w:spacing w:line="200" w:lineRule="exact"/>
        <w:rPr>
          <w:sz w:val="20"/>
          <w:szCs w:val="20"/>
        </w:rPr>
      </w:pPr>
    </w:p>
    <w:p w14:paraId="4A6F49AB" w14:textId="77777777" w:rsidR="008E0F74" w:rsidRPr="00FC3B7C" w:rsidRDefault="008E0F74">
      <w:pPr>
        <w:spacing w:line="200" w:lineRule="exact"/>
        <w:rPr>
          <w:sz w:val="20"/>
          <w:szCs w:val="20"/>
        </w:rPr>
      </w:pPr>
    </w:p>
    <w:p w14:paraId="4A6F49AC" w14:textId="77777777" w:rsidR="008E0F74" w:rsidRPr="00FC3B7C" w:rsidRDefault="008E0F74">
      <w:pPr>
        <w:spacing w:line="200" w:lineRule="exact"/>
        <w:rPr>
          <w:sz w:val="20"/>
          <w:szCs w:val="20"/>
        </w:rPr>
      </w:pPr>
    </w:p>
    <w:p w14:paraId="4A6F49AD" w14:textId="77777777" w:rsidR="008E0F74" w:rsidRPr="00FC3B7C" w:rsidRDefault="008E0F74">
      <w:pPr>
        <w:spacing w:line="200" w:lineRule="exact"/>
        <w:rPr>
          <w:sz w:val="20"/>
          <w:szCs w:val="20"/>
        </w:rPr>
      </w:pPr>
    </w:p>
    <w:p w14:paraId="4A6F49AE" w14:textId="77777777" w:rsidR="008E0F74" w:rsidRPr="00FC3B7C" w:rsidRDefault="008E0F74">
      <w:pPr>
        <w:spacing w:line="200" w:lineRule="exact"/>
        <w:rPr>
          <w:sz w:val="20"/>
          <w:szCs w:val="20"/>
        </w:rPr>
      </w:pPr>
    </w:p>
    <w:p w14:paraId="4A6F49AF" w14:textId="77777777" w:rsidR="008E0F74" w:rsidRPr="00FC3B7C" w:rsidRDefault="008E0F74">
      <w:pPr>
        <w:spacing w:line="200" w:lineRule="exact"/>
        <w:rPr>
          <w:sz w:val="20"/>
          <w:szCs w:val="20"/>
        </w:rPr>
      </w:pPr>
    </w:p>
    <w:p w14:paraId="4A6F49B0" w14:textId="77777777" w:rsidR="008E0F74" w:rsidRPr="00FC3B7C" w:rsidRDefault="008E0F74">
      <w:pPr>
        <w:spacing w:line="200" w:lineRule="exact"/>
        <w:rPr>
          <w:sz w:val="20"/>
          <w:szCs w:val="20"/>
        </w:rPr>
      </w:pPr>
    </w:p>
    <w:p w14:paraId="4A6F49B1" w14:textId="77777777" w:rsidR="008E0F74" w:rsidRPr="00FC3B7C" w:rsidRDefault="008E0F74">
      <w:pPr>
        <w:spacing w:line="200" w:lineRule="exact"/>
        <w:rPr>
          <w:sz w:val="20"/>
          <w:szCs w:val="20"/>
        </w:rPr>
      </w:pPr>
    </w:p>
    <w:p w14:paraId="4A6F49B2" w14:textId="77777777" w:rsidR="008E0F74" w:rsidRPr="00FC3B7C" w:rsidRDefault="008E0F74">
      <w:pPr>
        <w:spacing w:line="200" w:lineRule="exact"/>
        <w:rPr>
          <w:sz w:val="20"/>
          <w:szCs w:val="20"/>
        </w:rPr>
      </w:pPr>
    </w:p>
    <w:p w14:paraId="4A6F49B3" w14:textId="77777777" w:rsidR="008E0F74" w:rsidRPr="00FC3B7C" w:rsidRDefault="008E0F74">
      <w:pPr>
        <w:spacing w:line="200" w:lineRule="exact"/>
        <w:rPr>
          <w:sz w:val="20"/>
          <w:szCs w:val="20"/>
        </w:rPr>
      </w:pPr>
    </w:p>
    <w:p w14:paraId="4A6F49B4" w14:textId="77777777" w:rsidR="008E0F74" w:rsidRPr="00FC3B7C" w:rsidRDefault="008E0F74">
      <w:pPr>
        <w:spacing w:line="200" w:lineRule="exact"/>
        <w:rPr>
          <w:sz w:val="20"/>
          <w:szCs w:val="20"/>
        </w:rPr>
      </w:pPr>
    </w:p>
    <w:p w14:paraId="4A6F49B5" w14:textId="77777777" w:rsidR="008E0F74" w:rsidRPr="00FC3B7C" w:rsidRDefault="008E0F74">
      <w:pPr>
        <w:spacing w:line="200" w:lineRule="exact"/>
        <w:rPr>
          <w:sz w:val="20"/>
          <w:szCs w:val="20"/>
        </w:rPr>
      </w:pPr>
    </w:p>
    <w:p w14:paraId="4A6F49B6" w14:textId="77777777" w:rsidR="008E0F74" w:rsidRPr="00FC3B7C" w:rsidRDefault="008E0F74">
      <w:pPr>
        <w:spacing w:line="200" w:lineRule="exact"/>
        <w:rPr>
          <w:sz w:val="20"/>
          <w:szCs w:val="20"/>
        </w:rPr>
      </w:pPr>
    </w:p>
    <w:p w14:paraId="4A6F49B7" w14:textId="77777777" w:rsidR="008E0F74" w:rsidRPr="00FC3B7C" w:rsidRDefault="008E0F74">
      <w:pPr>
        <w:spacing w:line="200" w:lineRule="exact"/>
        <w:rPr>
          <w:sz w:val="20"/>
          <w:szCs w:val="20"/>
        </w:rPr>
      </w:pPr>
    </w:p>
    <w:p w14:paraId="4A6F49B9" w14:textId="77777777" w:rsidR="008E0F74" w:rsidRPr="00FC3B7C" w:rsidRDefault="00256F29" w:rsidP="006D0EB4">
      <w:pPr>
        <w:rPr>
          <w:sz w:val="20"/>
          <w:szCs w:val="20"/>
        </w:rPr>
      </w:pPr>
      <w:r w:rsidRPr="00FC3B7C">
        <w:rPr>
          <w:rFonts w:eastAsia="Times New Roman"/>
          <w:szCs w:val="24"/>
        </w:rPr>
        <w:t>D......poptávka po zboží vyráběné monopolistou; S......nabídka monopolu</w:t>
      </w:r>
    </w:p>
    <w:p w14:paraId="4A6F49BA" w14:textId="77777777" w:rsidR="008E0F74" w:rsidRPr="00FC3B7C" w:rsidRDefault="00256F29" w:rsidP="006D0EB4">
      <w:pPr>
        <w:rPr>
          <w:sz w:val="20"/>
          <w:szCs w:val="20"/>
        </w:rPr>
      </w:pPr>
      <w:r w:rsidRPr="00FC3B7C">
        <w:rPr>
          <w:rFonts w:eastAsia="Times New Roman"/>
          <w:szCs w:val="24"/>
        </w:rPr>
        <w:t>P1, Q1......tržní cena a množství (D=S); Pm, Qm...cena a množství monopolu</w:t>
      </w:r>
    </w:p>
    <w:p w14:paraId="4A6F49BB" w14:textId="77777777" w:rsidR="008E0F74" w:rsidRPr="00FC3B7C" w:rsidRDefault="00256F29" w:rsidP="006D0EB4">
      <w:pPr>
        <w:rPr>
          <w:sz w:val="20"/>
          <w:szCs w:val="20"/>
        </w:rPr>
      </w:pPr>
      <w:r w:rsidRPr="00FC3B7C">
        <w:rPr>
          <w:rFonts w:eastAsia="Times New Roman"/>
          <w:szCs w:val="24"/>
        </w:rPr>
        <w:t>DWL.......ztráta mrtvé váhy při regulaci ceny státem</w:t>
      </w:r>
    </w:p>
    <w:p w14:paraId="4A6F49BC" w14:textId="77777777" w:rsidR="008E0F74" w:rsidRPr="00FC3B7C" w:rsidRDefault="00256F29" w:rsidP="006D0EB4">
      <w:pPr>
        <w:rPr>
          <w:sz w:val="20"/>
          <w:szCs w:val="20"/>
        </w:rPr>
      </w:pPr>
      <w:r w:rsidRPr="00FC3B7C">
        <w:rPr>
          <w:rFonts w:eastAsia="Times New Roman"/>
          <w:szCs w:val="24"/>
        </w:rPr>
        <w:t>P</w:t>
      </w:r>
      <w:r w:rsidRPr="00FC3B7C">
        <w:rPr>
          <w:rFonts w:eastAsia="Times New Roman"/>
          <w:sz w:val="15"/>
          <w:szCs w:val="15"/>
        </w:rPr>
        <w:t>1</w:t>
      </w:r>
      <w:r w:rsidRPr="00FC3B7C">
        <w:rPr>
          <w:rFonts w:eastAsia="Times New Roman"/>
          <w:szCs w:val="24"/>
        </w:rPr>
        <w:t>ABP</w:t>
      </w:r>
      <w:r w:rsidRPr="00FC3B7C">
        <w:rPr>
          <w:rFonts w:eastAsia="Times New Roman"/>
          <w:sz w:val="15"/>
          <w:szCs w:val="15"/>
        </w:rPr>
        <w:t>m.</w:t>
      </w:r>
      <w:r w:rsidRPr="00FC3B7C">
        <w:rPr>
          <w:rFonts w:eastAsia="Times New Roman"/>
          <w:szCs w:val="24"/>
        </w:rPr>
        <w:t>...renta monopolu</w:t>
      </w:r>
    </w:p>
    <w:p w14:paraId="4A6F49BD" w14:textId="77777777" w:rsidR="008E0F74" w:rsidRPr="00FC3B7C" w:rsidRDefault="00256F29" w:rsidP="006D0EB4">
      <w:pPr>
        <w:rPr>
          <w:sz w:val="20"/>
          <w:szCs w:val="20"/>
        </w:rPr>
      </w:pPr>
      <w:r w:rsidRPr="00FC3B7C">
        <w:rPr>
          <w:rFonts w:eastAsia="Times New Roman"/>
          <w:szCs w:val="24"/>
        </w:rPr>
        <w:t>vše nad cenou P1 – ztráty přebytku spotřebitele</w:t>
      </w:r>
    </w:p>
    <w:p w14:paraId="4A6F49BF" w14:textId="77777777" w:rsidR="008E0F74" w:rsidRPr="001D6377" w:rsidRDefault="00256F29" w:rsidP="001D6377">
      <w:pPr>
        <w:rPr>
          <w:b/>
          <w:bCs/>
          <w:i/>
          <w:iCs/>
          <w:sz w:val="20"/>
          <w:szCs w:val="20"/>
        </w:rPr>
      </w:pPr>
      <w:bookmarkStart w:id="339" w:name="page369"/>
      <w:bookmarkEnd w:id="339"/>
      <w:r w:rsidRPr="001D6377">
        <w:rPr>
          <w:rFonts w:eastAsia="Times New Roman"/>
          <w:b/>
          <w:bCs/>
          <w:i/>
          <w:iCs/>
        </w:rPr>
        <w:lastRenderedPageBreak/>
        <w:t>Omezení vyplývající z podstaty politického procesu</w:t>
      </w:r>
    </w:p>
    <w:p w14:paraId="4A6F49C0" w14:textId="77777777" w:rsidR="008E0F74" w:rsidRPr="00FC3B7C" w:rsidRDefault="00256F29" w:rsidP="001D6377">
      <w:pPr>
        <w:pStyle w:val="Odstavecseseznamem"/>
        <w:rPr>
          <w:sz w:val="20"/>
          <w:szCs w:val="20"/>
        </w:rPr>
      </w:pPr>
      <w:r w:rsidRPr="00FC3B7C">
        <w:rPr>
          <w:rFonts w:eastAsia="Times New Roman"/>
        </w:rPr>
        <w:t>Politik, jako každý jiný člověk, chce maximalizovat svůj užitek a jeho hlavním cíle je být znovu zvolen (maximalizace voličských hlasů). Tomuto cíli je podřízen i daný politický program. Po volbách však nemusí odpovídat realitě. Volby jako takové neprodukují kvalifikované lidi, kteří by dané problematice nejvíce rozuměli. Politik také může využívat neznalosti voličů - jedná se o racionální ignoranci, který politikům „hraje do karet“.</w:t>
      </w:r>
    </w:p>
    <w:p w14:paraId="4A6F49C1" w14:textId="77777777" w:rsidR="008E0F74" w:rsidRDefault="00256F29" w:rsidP="001D6377">
      <w:pPr>
        <w:pStyle w:val="Odstavecseseznamem"/>
        <w:rPr>
          <w:rFonts w:eastAsia="Times New Roman"/>
        </w:rPr>
      </w:pPr>
      <w:r w:rsidRPr="00FC3B7C">
        <w:rPr>
          <w:rFonts w:eastAsia="Times New Roman"/>
        </w:rPr>
        <w:t>Získat nějakou znalost (podrobně znát kandidující politiky a jejich preference, minulost, atd.) vyžaduje určité náklady, někdy jsou tyto náklady vyšší než výnosy ze získané znalosti a v tento okamžik dávají lidé přednost neznalosti před znalostí. Této neznalosti pak politické strany často využívají k prosazování vlastních zájmů.</w:t>
      </w:r>
    </w:p>
    <w:p w14:paraId="4A6F49C2" w14:textId="77777777" w:rsidR="006D0EB4" w:rsidRPr="00FC3B7C" w:rsidRDefault="006D0EB4" w:rsidP="006D0EB4">
      <w:pPr>
        <w:ind w:left="4"/>
        <w:rPr>
          <w:sz w:val="20"/>
          <w:szCs w:val="20"/>
        </w:rPr>
      </w:pPr>
    </w:p>
    <w:p w14:paraId="4A6F49C3" w14:textId="77777777" w:rsidR="008E0F74" w:rsidRPr="00EE01FF" w:rsidRDefault="00256F29" w:rsidP="006D0EB4">
      <w:pPr>
        <w:pStyle w:val="Nadpis2"/>
        <w:rPr>
          <w:color w:val="1F3864" w:themeColor="accent1" w:themeShade="80"/>
          <w:sz w:val="20"/>
          <w:szCs w:val="20"/>
        </w:rPr>
      </w:pPr>
      <w:r w:rsidRPr="00EE01FF">
        <w:rPr>
          <w:rFonts w:eastAsia="Times New Roman"/>
          <w:color w:val="1F3864" w:themeColor="accent1" w:themeShade="80"/>
        </w:rPr>
        <w:t>OCHRANA SPOTŘEBITELE</w:t>
      </w:r>
    </w:p>
    <w:p w14:paraId="4A6F49C4" w14:textId="77777777" w:rsidR="008E0F74" w:rsidRPr="00FC3B7C" w:rsidRDefault="00256F29" w:rsidP="001D6377">
      <w:pPr>
        <w:pStyle w:val="Odstavecseseznamem"/>
        <w:rPr>
          <w:sz w:val="20"/>
          <w:szCs w:val="20"/>
        </w:rPr>
      </w:pPr>
      <w:r w:rsidRPr="00FC3B7C">
        <w:rPr>
          <w:rFonts w:eastAsia="Times New Roman"/>
        </w:rPr>
        <w:t xml:space="preserve">Pod pojmem ochrana spotřebitele si můžeme představit soubor zákonných požadavků, kladených na výrobce a prodejce, které mají spotřebitele chránit. Vychází z toho, že především kvůli asymetrickým informacím není konkurence sama o sobě schopná spotřebitele chránit. V České republice je institucí zajišťující ochranu spotřebitele </w:t>
      </w:r>
      <w:r w:rsidRPr="00FC3B7C">
        <w:rPr>
          <w:rFonts w:eastAsia="Times New Roman"/>
          <w:b/>
          <w:bCs/>
        </w:rPr>
        <w:t>Česká obchodní inspekce.</w:t>
      </w:r>
    </w:p>
    <w:p w14:paraId="4A6F49C5" w14:textId="77777777" w:rsidR="008E0F74" w:rsidRPr="00FC3B7C" w:rsidRDefault="00256F29" w:rsidP="006D0EB4">
      <w:pPr>
        <w:ind w:left="4"/>
        <w:rPr>
          <w:sz w:val="20"/>
          <w:szCs w:val="20"/>
        </w:rPr>
      </w:pPr>
      <w:r w:rsidRPr="00FC3B7C">
        <w:rPr>
          <w:rFonts w:eastAsia="Times New Roman"/>
          <w:b/>
          <w:bCs/>
          <w:i/>
          <w:iCs/>
          <w:szCs w:val="24"/>
        </w:rPr>
        <w:t>Podle ekonomie hlavního proudu suverenitu narušují:</w:t>
      </w:r>
    </w:p>
    <w:p w14:paraId="4A6F49C6" w14:textId="77777777" w:rsidR="008E0F74" w:rsidRPr="00FC3B7C" w:rsidRDefault="00256F29" w:rsidP="00D46B53">
      <w:pPr>
        <w:numPr>
          <w:ilvl w:val="0"/>
          <w:numId w:val="708"/>
        </w:numPr>
        <w:tabs>
          <w:tab w:val="left" w:pos="1144"/>
        </w:tabs>
        <w:rPr>
          <w:rFonts w:eastAsia="Courier New"/>
          <w:szCs w:val="24"/>
        </w:rPr>
      </w:pPr>
      <w:r w:rsidRPr="00FC3B7C">
        <w:rPr>
          <w:rFonts w:eastAsia="Times New Roman"/>
          <w:szCs w:val="24"/>
        </w:rPr>
        <w:t>Možné monopolní postavení některých výrobců</w:t>
      </w:r>
    </w:p>
    <w:p w14:paraId="4A6F49C7" w14:textId="77777777" w:rsidR="008E0F74" w:rsidRPr="00FC3B7C" w:rsidRDefault="00256F29" w:rsidP="00D46B53">
      <w:pPr>
        <w:numPr>
          <w:ilvl w:val="0"/>
          <w:numId w:val="708"/>
        </w:numPr>
        <w:tabs>
          <w:tab w:val="left" w:pos="1144"/>
        </w:tabs>
        <w:rPr>
          <w:rFonts w:eastAsia="Courier New"/>
          <w:szCs w:val="24"/>
        </w:rPr>
      </w:pPr>
      <w:r w:rsidRPr="00FC3B7C">
        <w:rPr>
          <w:rFonts w:eastAsia="Times New Roman"/>
          <w:szCs w:val="24"/>
        </w:rPr>
        <w:t>Nerovnost rozdělení příjmu mezi spotřebiteli</w:t>
      </w:r>
    </w:p>
    <w:p w14:paraId="4A6F49C8" w14:textId="77777777" w:rsidR="008E0F74" w:rsidRPr="00FC3B7C" w:rsidRDefault="00256F29" w:rsidP="00D46B53">
      <w:pPr>
        <w:numPr>
          <w:ilvl w:val="0"/>
          <w:numId w:val="708"/>
        </w:numPr>
        <w:tabs>
          <w:tab w:val="left" w:pos="1144"/>
        </w:tabs>
        <w:rPr>
          <w:rFonts w:eastAsia="Courier New"/>
          <w:szCs w:val="24"/>
        </w:rPr>
      </w:pPr>
      <w:r w:rsidRPr="00FC3B7C">
        <w:rPr>
          <w:rFonts w:eastAsia="Times New Roman"/>
          <w:szCs w:val="24"/>
        </w:rPr>
        <w:t>Situace, v nichž je rozhodnutí spotřebitele ovlivňováno rozhodnutími ostatních spotřebitelů.</w:t>
      </w:r>
    </w:p>
    <w:p w14:paraId="4A6F49C9" w14:textId="77777777" w:rsidR="008E0F74" w:rsidRPr="00FC3B7C" w:rsidRDefault="00256F29" w:rsidP="006D0EB4">
      <w:pPr>
        <w:ind w:left="4" w:right="20"/>
        <w:rPr>
          <w:sz w:val="20"/>
          <w:szCs w:val="20"/>
        </w:rPr>
      </w:pPr>
      <w:r w:rsidRPr="00FC3B7C">
        <w:rPr>
          <w:rFonts w:eastAsia="Times New Roman"/>
          <w:szCs w:val="24"/>
        </w:rPr>
        <w:t>Jedná se o protimonopolní, redistribuční, sociální, stabilizační a další opatření, kterými reagují tvůrci hospodářské politiky na každou ze jmenovaných oblastí</w:t>
      </w:r>
    </w:p>
    <w:p w14:paraId="4A6F49CA" w14:textId="77777777" w:rsidR="008E0F74" w:rsidRPr="00FC3B7C" w:rsidRDefault="00256F29" w:rsidP="00D46B53">
      <w:pPr>
        <w:numPr>
          <w:ilvl w:val="0"/>
          <w:numId w:val="307"/>
        </w:numPr>
        <w:tabs>
          <w:tab w:val="left" w:pos="224"/>
        </w:tabs>
        <w:ind w:left="224" w:hanging="224"/>
        <w:rPr>
          <w:rFonts w:eastAsia="Times New Roman"/>
          <w:b/>
          <w:bCs/>
          <w:i/>
          <w:iCs/>
          <w:szCs w:val="24"/>
        </w:rPr>
      </w:pPr>
      <w:r w:rsidRPr="00FC3B7C">
        <w:rPr>
          <w:rFonts w:eastAsia="Times New Roman"/>
          <w:b/>
          <w:bCs/>
          <w:i/>
          <w:iCs/>
          <w:szCs w:val="24"/>
        </w:rPr>
        <w:t>praxi by měla vláda podle politiky ochrany spotřebitele zajišťovat právo spotřebitele na:</w:t>
      </w:r>
    </w:p>
    <w:p w14:paraId="184DE484" w14:textId="77777777" w:rsidR="001D6377" w:rsidRPr="001D6377" w:rsidRDefault="00256F29" w:rsidP="00D46B53">
      <w:pPr>
        <w:pStyle w:val="Odstavecseseznamem"/>
        <w:numPr>
          <w:ilvl w:val="0"/>
          <w:numId w:val="709"/>
        </w:numPr>
        <w:ind w:right="129"/>
        <w:jc w:val="left"/>
        <w:rPr>
          <w:rFonts w:eastAsia="Times New Roman"/>
          <w:b/>
          <w:bCs/>
          <w:i/>
          <w:iCs/>
          <w:szCs w:val="24"/>
        </w:rPr>
      </w:pPr>
      <w:r w:rsidRPr="001D6377">
        <w:rPr>
          <w:rFonts w:eastAsia="Times New Roman"/>
          <w:szCs w:val="24"/>
        </w:rPr>
        <w:t>Ochranu zdraví</w:t>
      </w:r>
      <w:r w:rsidR="001D6377">
        <w:rPr>
          <w:rFonts w:eastAsia="Times New Roman"/>
          <w:szCs w:val="24"/>
        </w:rPr>
        <w:t xml:space="preserve"> </w:t>
      </w:r>
      <w:r w:rsidRPr="001D6377">
        <w:rPr>
          <w:rFonts w:eastAsia="Times New Roman"/>
          <w:szCs w:val="24"/>
        </w:rPr>
        <w:t>a</w:t>
      </w:r>
      <w:r w:rsidR="001D6377">
        <w:rPr>
          <w:rFonts w:eastAsia="Times New Roman"/>
          <w:szCs w:val="24"/>
        </w:rPr>
        <w:t xml:space="preserve"> </w:t>
      </w:r>
      <w:r w:rsidRPr="001D6377">
        <w:rPr>
          <w:rFonts w:eastAsia="Times New Roman"/>
          <w:szCs w:val="24"/>
        </w:rPr>
        <w:t>bezpečnost</w:t>
      </w:r>
    </w:p>
    <w:p w14:paraId="43C8156A" w14:textId="77777777" w:rsidR="001D6377" w:rsidRPr="001D6377" w:rsidRDefault="00256F29" w:rsidP="00D46B53">
      <w:pPr>
        <w:pStyle w:val="Odstavecseseznamem"/>
        <w:numPr>
          <w:ilvl w:val="0"/>
          <w:numId w:val="709"/>
        </w:numPr>
        <w:ind w:right="129"/>
        <w:jc w:val="left"/>
        <w:rPr>
          <w:rFonts w:eastAsia="Times New Roman"/>
          <w:b/>
          <w:bCs/>
          <w:i/>
          <w:iCs/>
          <w:szCs w:val="24"/>
        </w:rPr>
      </w:pPr>
      <w:r w:rsidRPr="001D6377">
        <w:rPr>
          <w:rFonts w:eastAsia="Times New Roman"/>
          <w:szCs w:val="24"/>
        </w:rPr>
        <w:t>Ochranu ekonomických zájmů</w:t>
      </w:r>
      <w:r w:rsidRPr="001D6377">
        <w:rPr>
          <w:rFonts w:eastAsia="Courier New"/>
          <w:szCs w:val="24"/>
        </w:rPr>
        <w:t xml:space="preserve"> </w:t>
      </w:r>
    </w:p>
    <w:p w14:paraId="4A6F49CB" w14:textId="0512F831" w:rsidR="008E0F74" w:rsidRPr="001D6377" w:rsidRDefault="00256F29" w:rsidP="00D46B53">
      <w:pPr>
        <w:pStyle w:val="Odstavecseseznamem"/>
        <w:numPr>
          <w:ilvl w:val="0"/>
          <w:numId w:val="709"/>
        </w:numPr>
        <w:ind w:right="129"/>
        <w:jc w:val="left"/>
        <w:rPr>
          <w:rFonts w:eastAsia="Times New Roman"/>
          <w:b/>
          <w:bCs/>
          <w:i/>
          <w:iCs/>
          <w:szCs w:val="24"/>
        </w:rPr>
      </w:pPr>
      <w:r w:rsidRPr="001D6377">
        <w:rPr>
          <w:rFonts w:eastAsia="Times New Roman"/>
          <w:szCs w:val="24"/>
        </w:rPr>
        <w:t>Odškodnění</w:t>
      </w:r>
    </w:p>
    <w:p w14:paraId="4A6F49CC" w14:textId="25329861" w:rsidR="008E0F74" w:rsidRPr="001D6377" w:rsidRDefault="00256F29" w:rsidP="00D46B53">
      <w:pPr>
        <w:pStyle w:val="Odstavecseseznamem"/>
        <w:numPr>
          <w:ilvl w:val="0"/>
          <w:numId w:val="709"/>
        </w:numPr>
        <w:jc w:val="left"/>
        <w:rPr>
          <w:rFonts w:eastAsia="Times New Roman"/>
          <w:b/>
          <w:bCs/>
          <w:i/>
          <w:iCs/>
          <w:szCs w:val="24"/>
        </w:rPr>
      </w:pPr>
      <w:r w:rsidRPr="001D6377">
        <w:rPr>
          <w:rFonts w:eastAsia="Times New Roman"/>
          <w:szCs w:val="24"/>
        </w:rPr>
        <w:t>Informace a výchovu</w:t>
      </w:r>
    </w:p>
    <w:p w14:paraId="6DD15309" w14:textId="126B601B" w:rsidR="001D6377" w:rsidRPr="001D6377" w:rsidRDefault="00256F29" w:rsidP="00D46B53">
      <w:pPr>
        <w:pStyle w:val="Odstavecseseznamem"/>
        <w:numPr>
          <w:ilvl w:val="0"/>
          <w:numId w:val="709"/>
        </w:numPr>
        <w:ind w:right="2256"/>
        <w:jc w:val="left"/>
        <w:rPr>
          <w:rFonts w:eastAsia="Times New Roman"/>
          <w:b/>
          <w:bCs/>
          <w:i/>
          <w:iCs/>
          <w:szCs w:val="24"/>
        </w:rPr>
      </w:pPr>
      <w:r w:rsidRPr="001D6377">
        <w:rPr>
          <w:rFonts w:eastAsia="Times New Roman"/>
          <w:sz w:val="23"/>
          <w:szCs w:val="23"/>
        </w:rPr>
        <w:t>Zastoupení při</w:t>
      </w:r>
      <w:r w:rsidRPr="001D6377">
        <w:rPr>
          <w:rFonts w:eastAsia="Courier New"/>
          <w:sz w:val="23"/>
          <w:szCs w:val="23"/>
        </w:rPr>
        <w:t xml:space="preserve"> </w:t>
      </w:r>
      <w:r w:rsidRPr="001D6377">
        <w:rPr>
          <w:rFonts w:eastAsia="Times New Roman"/>
          <w:sz w:val="23"/>
          <w:szCs w:val="23"/>
        </w:rPr>
        <w:t>řešení uplatňování nároků</w:t>
      </w:r>
      <w:r w:rsidRPr="001D6377">
        <w:rPr>
          <w:rFonts w:eastAsia="Courier New"/>
          <w:sz w:val="23"/>
          <w:szCs w:val="23"/>
        </w:rPr>
        <w:t xml:space="preserve"> </w:t>
      </w:r>
    </w:p>
    <w:p w14:paraId="4A6F49CD" w14:textId="0391074A" w:rsidR="008E0F74" w:rsidRPr="001D6377" w:rsidRDefault="00256F29" w:rsidP="00D46B53">
      <w:pPr>
        <w:pStyle w:val="Odstavecseseznamem"/>
        <w:numPr>
          <w:ilvl w:val="0"/>
          <w:numId w:val="709"/>
        </w:numPr>
        <w:ind w:right="2256"/>
        <w:jc w:val="left"/>
        <w:rPr>
          <w:rFonts w:eastAsia="Times New Roman"/>
          <w:b/>
          <w:bCs/>
          <w:i/>
          <w:iCs/>
          <w:szCs w:val="24"/>
        </w:rPr>
      </w:pPr>
      <w:r w:rsidRPr="001D6377">
        <w:rPr>
          <w:rFonts w:eastAsia="Times New Roman"/>
          <w:sz w:val="23"/>
          <w:szCs w:val="23"/>
        </w:rPr>
        <w:t>Sdružování k ochraně</w:t>
      </w:r>
      <w:r w:rsidRPr="001D6377">
        <w:rPr>
          <w:rFonts w:eastAsia="Courier New"/>
          <w:sz w:val="23"/>
          <w:szCs w:val="23"/>
        </w:rPr>
        <w:t xml:space="preserve"> </w:t>
      </w:r>
      <w:r w:rsidRPr="001D6377">
        <w:rPr>
          <w:rFonts w:eastAsia="Times New Roman"/>
          <w:sz w:val="23"/>
          <w:szCs w:val="23"/>
        </w:rPr>
        <w:t>zájmů</w:t>
      </w:r>
      <w:r w:rsidRPr="001D6377">
        <w:rPr>
          <w:rFonts w:eastAsia="Courier New"/>
          <w:sz w:val="23"/>
          <w:szCs w:val="23"/>
        </w:rPr>
        <w:t xml:space="preserve"> </w:t>
      </w:r>
      <w:r w:rsidRPr="001D6377">
        <w:rPr>
          <w:rFonts w:eastAsia="Times New Roman"/>
          <w:sz w:val="23"/>
          <w:szCs w:val="23"/>
        </w:rPr>
        <w:t>spotřebitelů</w:t>
      </w:r>
    </w:p>
    <w:p w14:paraId="4A6F49CE" w14:textId="7734F45A" w:rsidR="008E0F74" w:rsidRPr="001D6377" w:rsidRDefault="00256F29" w:rsidP="00D46B53">
      <w:pPr>
        <w:pStyle w:val="Odstavecseseznamem"/>
        <w:numPr>
          <w:ilvl w:val="0"/>
          <w:numId w:val="709"/>
        </w:numPr>
        <w:jc w:val="left"/>
        <w:rPr>
          <w:rFonts w:eastAsia="Times New Roman"/>
          <w:b/>
          <w:bCs/>
          <w:i/>
          <w:iCs/>
          <w:szCs w:val="24"/>
        </w:rPr>
      </w:pPr>
      <w:r w:rsidRPr="001D6377">
        <w:rPr>
          <w:rFonts w:eastAsia="Times New Roman"/>
          <w:sz w:val="23"/>
          <w:szCs w:val="23"/>
        </w:rPr>
        <w:t>Odpovědnou volbu ve vztahu k</w:t>
      </w:r>
      <w:r w:rsidRPr="001D6377">
        <w:rPr>
          <w:rFonts w:eastAsia="Courier New"/>
          <w:sz w:val="23"/>
          <w:szCs w:val="23"/>
        </w:rPr>
        <w:t xml:space="preserve"> </w:t>
      </w:r>
      <w:r w:rsidRPr="001D6377">
        <w:rPr>
          <w:rFonts w:eastAsia="Times New Roman"/>
          <w:sz w:val="23"/>
          <w:szCs w:val="23"/>
        </w:rPr>
        <w:t>životnímu prostředí a sociálním dopadům spotřeby</w:t>
      </w:r>
    </w:p>
    <w:p w14:paraId="4A6F49CF" w14:textId="77777777" w:rsidR="008E0F74" w:rsidRPr="00FC3B7C" w:rsidRDefault="00256F29" w:rsidP="006D0EB4">
      <w:pPr>
        <w:rPr>
          <w:sz w:val="20"/>
          <w:szCs w:val="20"/>
        </w:rPr>
      </w:pPr>
      <w:bookmarkStart w:id="340" w:name="page370"/>
      <w:bookmarkEnd w:id="340"/>
      <w:r w:rsidRPr="00FC3B7C">
        <w:rPr>
          <w:rFonts w:eastAsia="Times New Roman"/>
          <w:b/>
          <w:bCs/>
          <w:i/>
          <w:iCs/>
          <w:szCs w:val="24"/>
        </w:rPr>
        <w:lastRenderedPageBreak/>
        <w:t>Správně formulovaná politika ochrany spotřebitele by měla být schopna odpovědět na tři otázky:</w:t>
      </w:r>
    </w:p>
    <w:p w14:paraId="4A6F49D0" w14:textId="77777777" w:rsidR="008E0F74" w:rsidRPr="00FC3B7C" w:rsidRDefault="00256F29" w:rsidP="00D46B53">
      <w:pPr>
        <w:numPr>
          <w:ilvl w:val="0"/>
          <w:numId w:val="710"/>
        </w:numPr>
        <w:tabs>
          <w:tab w:val="left" w:pos="1140"/>
        </w:tabs>
        <w:rPr>
          <w:rFonts w:eastAsia="Courier New"/>
          <w:szCs w:val="24"/>
        </w:rPr>
      </w:pPr>
      <w:r w:rsidRPr="00FC3B7C">
        <w:rPr>
          <w:rFonts w:eastAsia="Times New Roman"/>
          <w:szCs w:val="24"/>
        </w:rPr>
        <w:t>Proč spotřebitelé potřebují zvláštní ochranu?</w:t>
      </w:r>
    </w:p>
    <w:p w14:paraId="4A6F49D1" w14:textId="77777777" w:rsidR="008E0F74" w:rsidRPr="00FC3B7C" w:rsidRDefault="00256F29" w:rsidP="00D46B53">
      <w:pPr>
        <w:numPr>
          <w:ilvl w:val="0"/>
          <w:numId w:val="710"/>
        </w:numPr>
        <w:tabs>
          <w:tab w:val="left" w:pos="1140"/>
        </w:tabs>
        <w:rPr>
          <w:rFonts w:eastAsia="Courier New"/>
          <w:szCs w:val="24"/>
        </w:rPr>
      </w:pPr>
      <w:r w:rsidRPr="00FC3B7C">
        <w:rPr>
          <w:rFonts w:eastAsia="Times New Roman"/>
          <w:szCs w:val="24"/>
        </w:rPr>
        <w:t>Kdy by měla vláda zasahovat, aby je ochránila?</w:t>
      </w:r>
    </w:p>
    <w:p w14:paraId="4A6F49D2" w14:textId="77777777" w:rsidR="008E0F74" w:rsidRPr="00FC3B7C" w:rsidRDefault="00256F29" w:rsidP="00D46B53">
      <w:pPr>
        <w:numPr>
          <w:ilvl w:val="0"/>
          <w:numId w:val="710"/>
        </w:numPr>
        <w:tabs>
          <w:tab w:val="left" w:pos="1140"/>
        </w:tabs>
        <w:rPr>
          <w:rFonts w:eastAsia="Courier New"/>
          <w:szCs w:val="24"/>
        </w:rPr>
      </w:pPr>
      <w:r w:rsidRPr="00FC3B7C">
        <w:rPr>
          <w:rFonts w:eastAsia="Times New Roman"/>
          <w:szCs w:val="24"/>
        </w:rPr>
        <w:t>Jak by to měla udělat?</w:t>
      </w:r>
    </w:p>
    <w:p w14:paraId="4A6F49D3" w14:textId="77777777" w:rsidR="008E0F74" w:rsidRPr="00FC3B7C" w:rsidRDefault="00256F29" w:rsidP="001D6377">
      <w:pPr>
        <w:spacing w:after="240"/>
        <w:rPr>
          <w:sz w:val="20"/>
          <w:szCs w:val="20"/>
        </w:rPr>
      </w:pPr>
      <w:r w:rsidRPr="00FC3B7C">
        <w:rPr>
          <w:rFonts w:eastAsia="Times New Roman"/>
          <w:szCs w:val="24"/>
        </w:rPr>
        <w:t>Důvodem pro ochranu spotřebitele je prodej nebezpečných, nezdravých nebo neúčinných produktů.</w:t>
      </w:r>
    </w:p>
    <w:p w14:paraId="4A6F49D4" w14:textId="77777777" w:rsidR="008E0F74" w:rsidRPr="00FC3B7C" w:rsidRDefault="00256F29" w:rsidP="006D0EB4">
      <w:pPr>
        <w:rPr>
          <w:sz w:val="20"/>
          <w:szCs w:val="20"/>
        </w:rPr>
      </w:pPr>
      <w:r w:rsidRPr="00FC3B7C">
        <w:rPr>
          <w:rFonts w:eastAsia="Times New Roman"/>
          <w:b/>
          <w:bCs/>
          <w:i/>
          <w:iCs/>
          <w:szCs w:val="24"/>
        </w:rPr>
        <w:t>Spotřebitel není schopen tyto nežádoucí vlastnosti kupovaných statků rozpoznat, protože:</w:t>
      </w:r>
    </w:p>
    <w:p w14:paraId="4A6F49D5" w14:textId="77777777" w:rsidR="008E0F74" w:rsidRPr="001D6377" w:rsidRDefault="00256F29" w:rsidP="00D46B53">
      <w:pPr>
        <w:pStyle w:val="Odstavecseseznamem"/>
        <w:numPr>
          <w:ilvl w:val="0"/>
          <w:numId w:val="711"/>
        </w:numPr>
        <w:ind w:left="709"/>
        <w:rPr>
          <w:rFonts w:eastAsia="Arial"/>
          <w:szCs w:val="24"/>
        </w:rPr>
      </w:pPr>
      <w:r w:rsidRPr="001D6377">
        <w:rPr>
          <w:rFonts w:eastAsia="Times New Roman"/>
          <w:szCs w:val="24"/>
        </w:rPr>
        <w:t>Nemá dostatek informací (informační asymetrie mezi spotřebitelem a výrobcem)</w:t>
      </w:r>
    </w:p>
    <w:p w14:paraId="4A6F49D8" w14:textId="02A6B9BC" w:rsidR="006D0EB4" w:rsidRPr="001D6377" w:rsidRDefault="00256F29" w:rsidP="00D46B53">
      <w:pPr>
        <w:pStyle w:val="Odstavecseseznamem"/>
        <w:numPr>
          <w:ilvl w:val="0"/>
          <w:numId w:val="711"/>
        </w:numPr>
        <w:spacing w:after="240"/>
        <w:ind w:left="709"/>
        <w:rPr>
          <w:rFonts w:eastAsia="Arial"/>
          <w:szCs w:val="24"/>
        </w:rPr>
      </w:pPr>
      <w:r w:rsidRPr="001D6377">
        <w:rPr>
          <w:rFonts w:eastAsia="Times New Roman"/>
          <w:szCs w:val="24"/>
        </w:rPr>
        <w:t>Není schopen posoudit riziko (státní paternalismus – spotřebitel se není schopen rozhodnout, co je pro něj dobré a proto za něj musí převzít některá rozhodnutí stát)</w:t>
      </w:r>
    </w:p>
    <w:p w14:paraId="4A6F49DE" w14:textId="66FA6A75" w:rsidR="008E0F74" w:rsidRPr="00EE01FF" w:rsidRDefault="00256F29" w:rsidP="001D6377">
      <w:pPr>
        <w:pStyle w:val="Nadpis3"/>
        <w:spacing w:after="240" w:line="203" w:lineRule="exact"/>
        <w:rPr>
          <w:color w:val="1F3864" w:themeColor="accent1" w:themeShade="80"/>
          <w:sz w:val="20"/>
          <w:szCs w:val="20"/>
        </w:rPr>
      </w:pPr>
      <w:r w:rsidRPr="00EE01FF">
        <w:rPr>
          <w:rFonts w:eastAsia="Times New Roman"/>
          <w:color w:val="1F3864" w:themeColor="accent1" w:themeShade="80"/>
        </w:rPr>
        <w:t>Nástroje politiky ochrany spotřebitele</w:t>
      </w:r>
    </w:p>
    <w:p w14:paraId="4A6F49DF" w14:textId="77777777" w:rsidR="008E0F74" w:rsidRPr="00EE01FF" w:rsidRDefault="00256F29" w:rsidP="006D0EB4">
      <w:pPr>
        <w:pStyle w:val="Nadpis4"/>
        <w:rPr>
          <w:color w:val="1F3864" w:themeColor="accent1" w:themeShade="80"/>
          <w:sz w:val="20"/>
          <w:szCs w:val="20"/>
        </w:rPr>
      </w:pPr>
      <w:r w:rsidRPr="00EE01FF">
        <w:rPr>
          <w:rFonts w:eastAsia="Times New Roman"/>
          <w:color w:val="1F3864" w:themeColor="accent1" w:themeShade="80"/>
        </w:rPr>
        <w:t>Fiskální</w:t>
      </w:r>
    </w:p>
    <w:p w14:paraId="4A6F49E0" w14:textId="77777777" w:rsidR="008E0F74" w:rsidRPr="00FC3B7C" w:rsidRDefault="00256F29" w:rsidP="00D46B53">
      <w:pPr>
        <w:numPr>
          <w:ilvl w:val="0"/>
          <w:numId w:val="712"/>
        </w:numPr>
        <w:tabs>
          <w:tab w:val="left" w:pos="1540"/>
        </w:tabs>
        <w:ind w:left="1540" w:hanging="348"/>
        <w:rPr>
          <w:rFonts w:eastAsia="Arial"/>
          <w:szCs w:val="24"/>
        </w:rPr>
      </w:pPr>
      <w:r w:rsidRPr="00FC3B7C">
        <w:rPr>
          <w:rFonts w:eastAsia="Times New Roman"/>
          <w:szCs w:val="24"/>
        </w:rPr>
        <w:t>Spotřební daně – snižují spotřebu nežádoucích statků</w:t>
      </w:r>
    </w:p>
    <w:p w14:paraId="4A6F49E1" w14:textId="77777777" w:rsidR="008E0F74" w:rsidRPr="00FC3B7C" w:rsidRDefault="00256F29" w:rsidP="00D46B53">
      <w:pPr>
        <w:numPr>
          <w:ilvl w:val="0"/>
          <w:numId w:val="712"/>
        </w:numPr>
        <w:tabs>
          <w:tab w:val="left" w:pos="1540"/>
        </w:tabs>
        <w:ind w:left="1540" w:hanging="348"/>
        <w:rPr>
          <w:rFonts w:eastAsia="Arial"/>
          <w:szCs w:val="24"/>
        </w:rPr>
      </w:pPr>
      <w:r w:rsidRPr="00FC3B7C">
        <w:rPr>
          <w:rFonts w:eastAsia="Times New Roman"/>
          <w:szCs w:val="24"/>
        </w:rPr>
        <w:t>Dotace – zvyšují spotřebu žádoucích statků</w:t>
      </w:r>
    </w:p>
    <w:p w14:paraId="4A6F49E2" w14:textId="77777777" w:rsidR="008E0F74" w:rsidRPr="00FC3B7C" w:rsidRDefault="00256F29" w:rsidP="00D46B53">
      <w:pPr>
        <w:numPr>
          <w:ilvl w:val="0"/>
          <w:numId w:val="712"/>
        </w:numPr>
        <w:tabs>
          <w:tab w:val="left" w:pos="1540"/>
        </w:tabs>
        <w:ind w:left="1540" w:hanging="348"/>
        <w:rPr>
          <w:rFonts w:eastAsia="Arial"/>
          <w:szCs w:val="24"/>
        </w:rPr>
      </w:pPr>
      <w:r w:rsidRPr="00FC3B7C">
        <w:rPr>
          <w:rFonts w:eastAsia="Times New Roman"/>
          <w:szCs w:val="24"/>
        </w:rPr>
        <w:t>Podpora sdružování spotřebitelů do spotřebitelských organizací</w:t>
      </w:r>
    </w:p>
    <w:p w14:paraId="4A6F49E3" w14:textId="77777777" w:rsidR="008E0F74" w:rsidRPr="00FC3B7C" w:rsidRDefault="00256F29" w:rsidP="00D46B53">
      <w:pPr>
        <w:numPr>
          <w:ilvl w:val="0"/>
          <w:numId w:val="712"/>
        </w:numPr>
        <w:tabs>
          <w:tab w:val="left" w:pos="1540"/>
        </w:tabs>
        <w:ind w:left="1540" w:hanging="348"/>
        <w:rPr>
          <w:rFonts w:eastAsia="Arial"/>
          <w:szCs w:val="24"/>
        </w:rPr>
      </w:pPr>
      <w:r w:rsidRPr="00FC3B7C">
        <w:rPr>
          <w:rFonts w:eastAsia="Times New Roman"/>
          <w:szCs w:val="24"/>
        </w:rPr>
        <w:t>Podpora producentů informací k řešení informační asymetrie</w:t>
      </w:r>
    </w:p>
    <w:p w14:paraId="4A6F49E4" w14:textId="77777777" w:rsidR="008E0F74" w:rsidRPr="00FC3B7C" w:rsidRDefault="00256F29" w:rsidP="00D46B53">
      <w:pPr>
        <w:numPr>
          <w:ilvl w:val="0"/>
          <w:numId w:val="712"/>
        </w:numPr>
        <w:tabs>
          <w:tab w:val="left" w:pos="1540"/>
        </w:tabs>
        <w:spacing w:after="240"/>
        <w:ind w:left="1540" w:hanging="348"/>
        <w:rPr>
          <w:rFonts w:eastAsia="Arial"/>
          <w:szCs w:val="24"/>
        </w:rPr>
      </w:pPr>
      <w:r w:rsidRPr="00FC3B7C">
        <w:rPr>
          <w:rFonts w:eastAsia="Times New Roman"/>
          <w:szCs w:val="24"/>
        </w:rPr>
        <w:t>Mohou sloužit i jako finanční kompenzace regulovaných výrobců</w:t>
      </w:r>
    </w:p>
    <w:p w14:paraId="4A6F49E7" w14:textId="59548F63" w:rsidR="008E0F74" w:rsidRPr="00EE01FF" w:rsidRDefault="00256F29" w:rsidP="001D6377">
      <w:pPr>
        <w:pStyle w:val="Nadpis4"/>
        <w:rPr>
          <w:color w:val="1F3864" w:themeColor="accent1" w:themeShade="80"/>
          <w:sz w:val="20"/>
          <w:szCs w:val="20"/>
        </w:rPr>
      </w:pPr>
      <w:r w:rsidRPr="00EE01FF">
        <w:rPr>
          <w:rFonts w:eastAsia="Times New Roman"/>
          <w:color w:val="1F3864" w:themeColor="accent1" w:themeShade="80"/>
        </w:rPr>
        <w:t>Regulační</w:t>
      </w:r>
    </w:p>
    <w:p w14:paraId="4A6F49E8" w14:textId="77777777" w:rsidR="008E0F74" w:rsidRPr="00FC3B7C" w:rsidRDefault="00256F29" w:rsidP="00D46B53">
      <w:pPr>
        <w:numPr>
          <w:ilvl w:val="0"/>
          <w:numId w:val="713"/>
        </w:numPr>
        <w:tabs>
          <w:tab w:val="left" w:pos="1701"/>
        </w:tabs>
        <w:ind w:left="820" w:hanging="348"/>
        <w:rPr>
          <w:rFonts w:eastAsia="Arial"/>
          <w:szCs w:val="24"/>
        </w:rPr>
      </w:pPr>
      <w:r w:rsidRPr="00FC3B7C">
        <w:rPr>
          <w:rFonts w:eastAsia="Times New Roman"/>
          <w:szCs w:val="24"/>
        </w:rPr>
        <w:t>Mají formu zákazu či příkazu.</w:t>
      </w:r>
    </w:p>
    <w:p w14:paraId="4A6F49E9" w14:textId="77777777" w:rsidR="008E0F74" w:rsidRPr="00FC3B7C" w:rsidRDefault="00256F29" w:rsidP="00D46B53">
      <w:pPr>
        <w:numPr>
          <w:ilvl w:val="0"/>
          <w:numId w:val="713"/>
        </w:numPr>
        <w:tabs>
          <w:tab w:val="left" w:pos="1701"/>
        </w:tabs>
        <w:ind w:left="820" w:hanging="348"/>
        <w:rPr>
          <w:rFonts w:eastAsia="Arial"/>
          <w:szCs w:val="24"/>
        </w:rPr>
      </w:pPr>
      <w:r w:rsidRPr="00FC3B7C">
        <w:rPr>
          <w:rFonts w:eastAsia="Times New Roman"/>
          <w:szCs w:val="24"/>
        </w:rPr>
        <w:t>Absolutní či podmíněný zákaz prodeje určitých výrobků</w:t>
      </w:r>
    </w:p>
    <w:p w14:paraId="4A6F49EA" w14:textId="77777777" w:rsidR="008E0F74" w:rsidRPr="00FC3B7C" w:rsidRDefault="00256F29" w:rsidP="00D46B53">
      <w:pPr>
        <w:numPr>
          <w:ilvl w:val="0"/>
          <w:numId w:val="713"/>
        </w:numPr>
        <w:tabs>
          <w:tab w:val="left" w:pos="1701"/>
        </w:tabs>
        <w:ind w:left="820" w:hanging="348"/>
        <w:rPr>
          <w:rFonts w:eastAsia="Arial"/>
          <w:szCs w:val="24"/>
        </w:rPr>
      </w:pPr>
      <w:r w:rsidRPr="00FC3B7C">
        <w:rPr>
          <w:rFonts w:eastAsia="Times New Roman"/>
          <w:szCs w:val="24"/>
        </w:rPr>
        <w:t>Stanovení technických a jiných požadavků</w:t>
      </w:r>
    </w:p>
    <w:p w14:paraId="4A6F49EB" w14:textId="77777777" w:rsidR="008E0F74" w:rsidRPr="00FC3B7C" w:rsidRDefault="00256F29" w:rsidP="00D46B53">
      <w:pPr>
        <w:numPr>
          <w:ilvl w:val="0"/>
          <w:numId w:val="713"/>
        </w:numPr>
        <w:tabs>
          <w:tab w:val="left" w:pos="1701"/>
        </w:tabs>
        <w:ind w:left="820" w:hanging="348"/>
        <w:rPr>
          <w:rFonts w:eastAsia="Arial"/>
          <w:szCs w:val="24"/>
        </w:rPr>
      </w:pPr>
      <w:r w:rsidRPr="00FC3B7C">
        <w:rPr>
          <w:rFonts w:eastAsia="Times New Roman"/>
          <w:szCs w:val="24"/>
        </w:rPr>
        <w:t>Informační povinnost prodejce a výrobce</w:t>
      </w:r>
    </w:p>
    <w:p w14:paraId="4A6F49EC" w14:textId="77777777" w:rsidR="008E0F74" w:rsidRPr="00FC3B7C" w:rsidRDefault="00256F29" w:rsidP="00D46B53">
      <w:pPr>
        <w:numPr>
          <w:ilvl w:val="0"/>
          <w:numId w:val="713"/>
        </w:numPr>
        <w:tabs>
          <w:tab w:val="left" w:pos="1701"/>
        </w:tabs>
        <w:ind w:left="820" w:hanging="348"/>
        <w:rPr>
          <w:rFonts w:eastAsia="Arial"/>
          <w:szCs w:val="24"/>
        </w:rPr>
      </w:pPr>
      <w:r w:rsidRPr="00FC3B7C">
        <w:rPr>
          <w:rFonts w:eastAsia="Times New Roman"/>
          <w:szCs w:val="24"/>
        </w:rPr>
        <w:t>Regulace reklamy</w:t>
      </w:r>
    </w:p>
    <w:p w14:paraId="4A6F49ED" w14:textId="77777777" w:rsidR="008E0F74" w:rsidRPr="00FC3B7C" w:rsidRDefault="00256F29" w:rsidP="00D46B53">
      <w:pPr>
        <w:numPr>
          <w:ilvl w:val="0"/>
          <w:numId w:val="713"/>
        </w:numPr>
        <w:tabs>
          <w:tab w:val="left" w:pos="1701"/>
        </w:tabs>
        <w:ind w:left="820" w:hanging="348"/>
        <w:rPr>
          <w:rFonts w:eastAsia="Arial"/>
          <w:szCs w:val="24"/>
        </w:rPr>
      </w:pPr>
      <w:r w:rsidRPr="00FC3B7C">
        <w:rPr>
          <w:rFonts w:eastAsia="Times New Roman"/>
          <w:szCs w:val="24"/>
        </w:rPr>
        <w:t>Regulace smluvních podmínek mezi prodejcem a spotřebitelem</w:t>
      </w:r>
    </w:p>
    <w:p w14:paraId="4A6F49EE" w14:textId="77777777" w:rsidR="008E0F74" w:rsidRPr="00FC3B7C" w:rsidRDefault="00256F29" w:rsidP="00D46B53">
      <w:pPr>
        <w:numPr>
          <w:ilvl w:val="0"/>
          <w:numId w:val="713"/>
        </w:numPr>
        <w:tabs>
          <w:tab w:val="left" w:pos="1701"/>
        </w:tabs>
        <w:spacing w:after="240"/>
        <w:ind w:left="820" w:hanging="348"/>
        <w:rPr>
          <w:rFonts w:eastAsia="Arial"/>
          <w:szCs w:val="24"/>
        </w:rPr>
      </w:pPr>
      <w:r w:rsidRPr="00FC3B7C">
        <w:rPr>
          <w:rFonts w:eastAsia="Times New Roman"/>
          <w:szCs w:val="24"/>
        </w:rPr>
        <w:t>Úprava působení státních orgánů</w:t>
      </w:r>
    </w:p>
    <w:p w14:paraId="4A6F49F0" w14:textId="77777777" w:rsidR="008E0F74" w:rsidRPr="00EE01FF" w:rsidRDefault="006D0EB4" w:rsidP="006D0EB4">
      <w:pPr>
        <w:pStyle w:val="Nadpis3"/>
        <w:rPr>
          <w:color w:val="1F3864" w:themeColor="accent1" w:themeShade="80"/>
          <w:sz w:val="20"/>
          <w:szCs w:val="20"/>
        </w:rPr>
      </w:pPr>
      <w:r w:rsidRPr="00EE01FF">
        <w:rPr>
          <w:rFonts w:eastAsia="Times New Roman"/>
          <w:color w:val="1F3864" w:themeColor="accent1" w:themeShade="80"/>
        </w:rPr>
        <w:t xml:space="preserve"> </w:t>
      </w:r>
      <w:r w:rsidR="00256F29" w:rsidRPr="00EE01FF">
        <w:rPr>
          <w:rFonts w:eastAsia="Times New Roman"/>
          <w:color w:val="1F3864" w:themeColor="accent1" w:themeShade="80"/>
        </w:rPr>
        <w:t>Selhání politiky ochrany spotřebitele</w:t>
      </w:r>
    </w:p>
    <w:p w14:paraId="4A6F49F1" w14:textId="77777777" w:rsidR="008E0F74" w:rsidRPr="00FC3B7C" w:rsidRDefault="00256F29" w:rsidP="00D46B53">
      <w:pPr>
        <w:numPr>
          <w:ilvl w:val="0"/>
          <w:numId w:val="714"/>
        </w:numPr>
        <w:tabs>
          <w:tab w:val="left" w:pos="824"/>
        </w:tabs>
        <w:ind w:left="824" w:hanging="348"/>
        <w:rPr>
          <w:rFonts w:eastAsia="Arial"/>
          <w:szCs w:val="24"/>
        </w:rPr>
      </w:pPr>
      <w:bookmarkStart w:id="341" w:name="page371"/>
      <w:bookmarkEnd w:id="341"/>
      <w:r w:rsidRPr="00FC3B7C">
        <w:rPr>
          <w:rFonts w:eastAsia="Times New Roman"/>
          <w:szCs w:val="24"/>
        </w:rPr>
        <w:t>některá opatření nejsou prospěšná zcela všem spotřebitelům</w:t>
      </w:r>
    </w:p>
    <w:p w14:paraId="4A6F49F2" w14:textId="77777777" w:rsidR="008E0F74" w:rsidRPr="00FC3B7C" w:rsidRDefault="00256F29" w:rsidP="00D46B53">
      <w:pPr>
        <w:numPr>
          <w:ilvl w:val="0"/>
          <w:numId w:val="714"/>
        </w:numPr>
        <w:tabs>
          <w:tab w:val="left" w:pos="824"/>
        </w:tabs>
        <w:ind w:left="824" w:hanging="348"/>
        <w:rPr>
          <w:rFonts w:eastAsia="Arial"/>
          <w:szCs w:val="24"/>
        </w:rPr>
      </w:pPr>
      <w:r w:rsidRPr="00FC3B7C">
        <w:rPr>
          <w:rFonts w:eastAsia="Times New Roman"/>
          <w:szCs w:val="24"/>
        </w:rPr>
        <w:t xml:space="preserve">je to zásluhou zájmových skupin, které jsou dobře organizované a dokážou si </w:t>
      </w:r>
      <w:r w:rsidR="006D0EB4">
        <w:rPr>
          <w:rFonts w:eastAsia="Times New Roman"/>
          <w:szCs w:val="24"/>
        </w:rPr>
        <w:br/>
      </w:r>
      <w:r w:rsidRPr="00FC3B7C">
        <w:rPr>
          <w:rFonts w:eastAsia="Times New Roman"/>
          <w:szCs w:val="24"/>
        </w:rPr>
        <w:t>u politiků lépe prosadit pro ně výhodné regulace</w:t>
      </w:r>
    </w:p>
    <w:p w14:paraId="4A6F49F3" w14:textId="77777777" w:rsidR="008E0F74" w:rsidRPr="00FC3B7C" w:rsidRDefault="00256F29" w:rsidP="00D46B53">
      <w:pPr>
        <w:numPr>
          <w:ilvl w:val="0"/>
          <w:numId w:val="714"/>
        </w:numPr>
        <w:tabs>
          <w:tab w:val="left" w:pos="824"/>
        </w:tabs>
        <w:ind w:left="824" w:hanging="348"/>
        <w:rPr>
          <w:rFonts w:eastAsia="Arial"/>
          <w:szCs w:val="24"/>
        </w:rPr>
      </w:pPr>
      <w:r w:rsidRPr="00FC3B7C">
        <w:rPr>
          <w:rFonts w:eastAsia="Times New Roman"/>
          <w:szCs w:val="24"/>
        </w:rPr>
        <w:lastRenderedPageBreak/>
        <w:t>výrobci se často podílejí na formulaci standardů, což jim umožňuje je formulovat dle svých potřeb, samozřejmě ve svůj prospěch</w:t>
      </w:r>
    </w:p>
    <w:p w14:paraId="4A6F49F4" w14:textId="77777777" w:rsidR="008E0F74" w:rsidRPr="00FC3B7C" w:rsidRDefault="00256F29" w:rsidP="00D46B53">
      <w:pPr>
        <w:numPr>
          <w:ilvl w:val="0"/>
          <w:numId w:val="714"/>
        </w:numPr>
        <w:tabs>
          <w:tab w:val="left" w:pos="824"/>
        </w:tabs>
        <w:ind w:left="824" w:hanging="348"/>
        <w:rPr>
          <w:rFonts w:eastAsia="Arial"/>
          <w:szCs w:val="24"/>
        </w:rPr>
      </w:pPr>
      <w:r w:rsidRPr="00FC3B7C">
        <w:rPr>
          <w:rFonts w:eastAsia="Times New Roman"/>
          <w:szCs w:val="24"/>
        </w:rPr>
        <w:t>provádění certifikace výrobků oslabuje motivaci ostatních subjektů vstupovat do oblasti</w:t>
      </w:r>
    </w:p>
    <w:p w14:paraId="4A6F49FA" w14:textId="1393F1C1" w:rsidR="006D0EB4" w:rsidRPr="001D6377" w:rsidRDefault="00256F29" w:rsidP="00D46B53">
      <w:pPr>
        <w:numPr>
          <w:ilvl w:val="0"/>
          <w:numId w:val="714"/>
        </w:numPr>
        <w:tabs>
          <w:tab w:val="left" w:pos="824"/>
        </w:tabs>
        <w:spacing w:after="240"/>
        <w:rPr>
          <w:rFonts w:eastAsia="Arial"/>
          <w:szCs w:val="24"/>
        </w:rPr>
      </w:pPr>
      <w:r w:rsidRPr="00FC3B7C">
        <w:rPr>
          <w:rFonts w:eastAsia="Times New Roman"/>
          <w:szCs w:val="24"/>
        </w:rPr>
        <w:t>př. zákaz reklamy na tabákové výrobky je zcela v zájmu současných výrobců, komplikuje to (až znemožňuje) vstup nových hráčů na trh, kteří bez reklamy nemají šanci uspět</w:t>
      </w:r>
    </w:p>
    <w:p w14:paraId="4A6F49FB" w14:textId="77777777" w:rsidR="008E0F74" w:rsidRPr="00EE01FF" w:rsidRDefault="00256F29" w:rsidP="006D0EB4">
      <w:pPr>
        <w:pStyle w:val="Nadpis2"/>
        <w:rPr>
          <w:color w:val="1F3864" w:themeColor="accent1" w:themeShade="80"/>
          <w:sz w:val="20"/>
          <w:szCs w:val="20"/>
        </w:rPr>
      </w:pPr>
      <w:r w:rsidRPr="00EE01FF">
        <w:rPr>
          <w:rFonts w:eastAsia="Times New Roman"/>
          <w:color w:val="1F3864" w:themeColor="accent1" w:themeShade="80"/>
        </w:rPr>
        <w:t>EFEKTIVNOST</w:t>
      </w:r>
    </w:p>
    <w:p w14:paraId="4A6F49FC" w14:textId="77777777" w:rsidR="008E0F74" w:rsidRPr="00FC3B7C" w:rsidRDefault="00256F29" w:rsidP="001D6377">
      <w:pPr>
        <w:pStyle w:val="Odstavecseseznamem"/>
        <w:rPr>
          <w:sz w:val="20"/>
          <w:szCs w:val="20"/>
        </w:rPr>
      </w:pPr>
      <w:r w:rsidRPr="00FC3B7C">
        <w:rPr>
          <w:rFonts w:eastAsia="Times New Roman"/>
        </w:rPr>
        <w:t>Dochází k ní, když ekonomika využívá omezené zdroje nejlepším možným způsobem. Označuje nejvýhodnější možné využití společenských zdrojů, které slouží k uspokojování lidských potřeb. Ekonomika vyrábí efektivně, pokud si nikdo nemůže polepšit bez toho, aby si nikdo jiný nepohoršil.</w:t>
      </w:r>
    </w:p>
    <w:p w14:paraId="4A6F49FD" w14:textId="77777777" w:rsidR="008E0F74" w:rsidRPr="006D0EB4" w:rsidRDefault="00256F29" w:rsidP="001D6377">
      <w:pPr>
        <w:pStyle w:val="Odstavecseseznamem"/>
        <w:rPr>
          <w:sz w:val="20"/>
          <w:szCs w:val="20"/>
        </w:rPr>
      </w:pPr>
      <w:r w:rsidRPr="00FC3B7C">
        <w:rPr>
          <w:rFonts w:eastAsia="Times New Roman"/>
          <w:sz w:val="23"/>
          <w:szCs w:val="23"/>
        </w:rPr>
        <w:t>Existuje trade-off mezi efektivností a spravedlnost - čím více chce např. společnost spravedlivější rozdělení příjmu/bohatství tím více musí obětovat efektivnosti (více efektivnosti</w:t>
      </w:r>
      <w:r w:rsidR="006D0EB4">
        <w:rPr>
          <w:sz w:val="20"/>
          <w:szCs w:val="20"/>
        </w:rPr>
        <w:t xml:space="preserve"> </w:t>
      </w:r>
      <w:r w:rsidRPr="00FC3B7C">
        <w:rPr>
          <w:rFonts w:eastAsia="Times New Roman"/>
        </w:rPr>
        <w:t>méně spravedlnosti, více spravedlnosti → méně efektivnosti.</w:t>
      </w:r>
    </w:p>
    <w:p w14:paraId="4A6F49FE" w14:textId="77777777" w:rsidR="008E0F74" w:rsidRPr="00FC3B7C" w:rsidRDefault="008E0F74">
      <w:pPr>
        <w:spacing w:line="366" w:lineRule="exact"/>
        <w:rPr>
          <w:sz w:val="20"/>
          <w:szCs w:val="20"/>
        </w:rPr>
      </w:pPr>
    </w:p>
    <w:p w14:paraId="4A6F49FF" w14:textId="77777777" w:rsidR="008E0F74" w:rsidRPr="00EE01FF" w:rsidRDefault="00256F29" w:rsidP="006D0EB4">
      <w:pPr>
        <w:pStyle w:val="Nadpis3"/>
        <w:rPr>
          <w:color w:val="1F3864" w:themeColor="accent1" w:themeShade="80"/>
          <w:sz w:val="20"/>
          <w:szCs w:val="20"/>
        </w:rPr>
      </w:pPr>
      <w:r w:rsidRPr="00EE01FF">
        <w:rPr>
          <w:rFonts w:eastAsia="Times New Roman"/>
          <w:color w:val="1F3864" w:themeColor="accent1" w:themeShade="80"/>
        </w:rPr>
        <w:t>Typy efektivnosti</w:t>
      </w:r>
    </w:p>
    <w:p w14:paraId="4A6F4A00" w14:textId="77777777" w:rsidR="008E0F74" w:rsidRPr="00EE01FF" w:rsidRDefault="00256F29" w:rsidP="006D0EB4">
      <w:pPr>
        <w:pStyle w:val="Nadpis4"/>
        <w:rPr>
          <w:color w:val="1F3864" w:themeColor="accent1" w:themeShade="80"/>
          <w:sz w:val="20"/>
          <w:szCs w:val="20"/>
        </w:rPr>
      </w:pPr>
      <w:r w:rsidRPr="00EE01FF">
        <w:rPr>
          <w:rFonts w:eastAsia="Times New Roman"/>
          <w:color w:val="1F3864" w:themeColor="accent1" w:themeShade="80"/>
        </w:rPr>
        <w:t>Alokační efektivnost (nazývaná také Pareto-efektivnost či Pareto-optimalita)</w:t>
      </w:r>
    </w:p>
    <w:p w14:paraId="4A6F4A01" w14:textId="77777777" w:rsidR="008E0F74" w:rsidRPr="00FC3B7C" w:rsidRDefault="00256F29" w:rsidP="006D0EB4">
      <w:pPr>
        <w:rPr>
          <w:sz w:val="20"/>
          <w:szCs w:val="20"/>
        </w:rPr>
      </w:pPr>
      <w:r w:rsidRPr="00FC3B7C">
        <w:rPr>
          <w:rFonts w:eastAsia="Times New Roman"/>
        </w:rPr>
        <w:t>Ekonomika je efektivní, jestliže při daných zdrojích a technologiích poskytuje svým spotřebitelům statky a služby, které si nejvíce přejí. Je jí dosaženo v případě, kdy žádné možné přeskupení výroby nemůže způsobit, že na tom bude kdokoliv lépe, aniž by na tom byl někdo jiný hůře. V podmínkách alokační efektivnosti lze uspokojení neboli užitek jedné osoby zvýšit pouze za cenu snížení užitku jiné osoby.</w:t>
      </w:r>
    </w:p>
    <w:p w14:paraId="4A6F4A02" w14:textId="77777777" w:rsidR="008E0F74" w:rsidRPr="00EE01FF" w:rsidRDefault="00256F29" w:rsidP="006D0EB4">
      <w:pPr>
        <w:pStyle w:val="Nadpis4"/>
        <w:rPr>
          <w:color w:val="1F3864" w:themeColor="accent1" w:themeShade="80"/>
          <w:sz w:val="20"/>
          <w:szCs w:val="20"/>
        </w:rPr>
      </w:pPr>
      <w:bookmarkStart w:id="342" w:name="page372"/>
      <w:bookmarkEnd w:id="342"/>
      <w:r w:rsidRPr="00EE01FF">
        <w:rPr>
          <w:rFonts w:eastAsia="Times New Roman"/>
          <w:color w:val="1F3864" w:themeColor="accent1" w:themeShade="80"/>
        </w:rPr>
        <w:t>Výrobní efektivnost</w:t>
      </w:r>
    </w:p>
    <w:p w14:paraId="4A6F4A03" w14:textId="77777777" w:rsidR="008E0F74" w:rsidRPr="00FC3B7C" w:rsidRDefault="00256F29" w:rsidP="006D0EB4">
      <w:pPr>
        <w:ind w:right="20"/>
        <w:rPr>
          <w:sz w:val="20"/>
          <w:szCs w:val="20"/>
        </w:rPr>
      </w:pPr>
      <w:r w:rsidRPr="00FC3B7C">
        <w:rPr>
          <w:rFonts w:eastAsia="Times New Roman"/>
          <w:szCs w:val="24"/>
        </w:rPr>
        <w:t>Nastává tehdy, když firmy vyrábějí výstup s co nejnižšími náklady. Označuje situaci, kdy ekonomika nemůže vyrábět více jednoho statku, aniž by vyráběla jiného statku méně. Nachází se tedy na hranici produkčních možností.</w:t>
      </w:r>
    </w:p>
    <w:p w14:paraId="4A6F4A04" w14:textId="77777777" w:rsidR="008E0F74" w:rsidRPr="00FC3B7C" w:rsidRDefault="008E0F74">
      <w:pPr>
        <w:spacing w:line="1" w:lineRule="exact"/>
        <w:rPr>
          <w:sz w:val="20"/>
          <w:szCs w:val="20"/>
        </w:rPr>
      </w:pPr>
    </w:p>
    <w:p w14:paraId="4A6F4A05" w14:textId="77777777" w:rsidR="008E0F74" w:rsidRPr="00EE01FF" w:rsidRDefault="00256F29" w:rsidP="006D0EB4">
      <w:pPr>
        <w:pStyle w:val="Nadpis4"/>
        <w:rPr>
          <w:color w:val="1F3864" w:themeColor="accent1" w:themeShade="80"/>
          <w:sz w:val="20"/>
          <w:szCs w:val="20"/>
        </w:rPr>
      </w:pPr>
      <w:r w:rsidRPr="00EE01FF">
        <w:rPr>
          <w:rFonts w:eastAsia="Times New Roman"/>
          <w:color w:val="1F3864" w:themeColor="accent1" w:themeShade="80"/>
        </w:rPr>
        <w:t>Dynamická (Schumpeterovská) efektivnost</w:t>
      </w:r>
    </w:p>
    <w:p w14:paraId="4A6F4A06" w14:textId="77777777" w:rsidR="008E0F74" w:rsidRPr="00FC3B7C" w:rsidRDefault="00256F29" w:rsidP="006D0EB4">
      <w:pPr>
        <w:ind w:right="20"/>
        <w:rPr>
          <w:sz w:val="20"/>
          <w:szCs w:val="20"/>
        </w:rPr>
      </w:pPr>
      <w:r w:rsidRPr="00FC3B7C">
        <w:rPr>
          <w:rFonts w:eastAsia="Times New Roman"/>
          <w:szCs w:val="24"/>
        </w:rPr>
        <w:t>Dle ekonomické teorie je dokonalá konkurence nejefektivnější tržní strukturou, zatímco</w:t>
      </w:r>
      <w:r w:rsidR="006D0EB4">
        <w:rPr>
          <w:rFonts w:eastAsia="Times New Roman"/>
          <w:szCs w:val="24"/>
        </w:rPr>
        <w:br/>
      </w:r>
      <w:r w:rsidRPr="00FC3B7C">
        <w:rPr>
          <w:rFonts w:eastAsia="Times New Roman"/>
          <w:szCs w:val="24"/>
        </w:rPr>
        <w:t xml:space="preserve"> v prostředí nedokonalé konkurence dochází ke stanovování cen příliš vysoko, k dosahování nadměrných zisků a k zanedbávání kvality produktů.</w:t>
      </w:r>
    </w:p>
    <w:p w14:paraId="4A6F4A07" w14:textId="77777777" w:rsidR="008E0F74" w:rsidRPr="00FC3B7C" w:rsidRDefault="00256F29" w:rsidP="006D0EB4">
      <w:pPr>
        <w:ind w:right="20"/>
        <w:rPr>
          <w:sz w:val="20"/>
          <w:szCs w:val="20"/>
        </w:rPr>
      </w:pPr>
      <w:r w:rsidRPr="00FC3B7C">
        <w:rPr>
          <w:rFonts w:eastAsia="Times New Roman"/>
          <w:szCs w:val="24"/>
        </w:rPr>
        <w:t xml:space="preserve">Tento názor odmítal Joseph Schumpeter, který tvrdil, že základ ekonomického vývoje tvoří inovace a monopolisté jsou ve skutečnosti v kapitalistické ekonomice zdrojem inovací. Od </w:t>
      </w:r>
      <w:r w:rsidRPr="00FC3B7C">
        <w:rPr>
          <w:rFonts w:eastAsia="Times New Roman"/>
          <w:szCs w:val="24"/>
        </w:rPr>
        <w:lastRenderedPageBreak/>
        <w:t>toho se odvíjí náplň dynamické efektivnosti, která spočívá ve využívání technologie takovým způsobem, který snižuje náklady na výrobu produkce a zvyšuje její kvalitu či vytváří produkty nové.</w:t>
      </w:r>
    </w:p>
    <w:p w14:paraId="4A6F4A08" w14:textId="77777777" w:rsidR="008E0F74" w:rsidRPr="00FC3B7C" w:rsidRDefault="008E0F74">
      <w:pPr>
        <w:spacing w:line="4" w:lineRule="exact"/>
        <w:rPr>
          <w:sz w:val="20"/>
          <w:szCs w:val="20"/>
        </w:rPr>
      </w:pPr>
    </w:p>
    <w:p w14:paraId="4A6F4A09" w14:textId="77777777" w:rsidR="008E0F74" w:rsidRPr="00EE01FF" w:rsidRDefault="00256F29" w:rsidP="001B1026">
      <w:pPr>
        <w:pStyle w:val="Nadpis4"/>
        <w:spacing w:line="349" w:lineRule="exact"/>
        <w:rPr>
          <w:color w:val="1F3864" w:themeColor="accent1" w:themeShade="80"/>
          <w:sz w:val="20"/>
          <w:szCs w:val="20"/>
        </w:rPr>
      </w:pPr>
      <w:r w:rsidRPr="00EE01FF">
        <w:rPr>
          <w:rFonts w:eastAsia="Times New Roman"/>
          <w:color w:val="1F3864" w:themeColor="accent1" w:themeShade="80"/>
        </w:rPr>
        <w:t>Leibensteinova efektivnost (X-efektivnost)</w:t>
      </w:r>
    </w:p>
    <w:p w14:paraId="4A6F4A0A" w14:textId="77777777" w:rsidR="008E0F74" w:rsidRPr="00FC3B7C" w:rsidRDefault="00256F29" w:rsidP="001D6377">
      <w:pPr>
        <w:spacing w:after="240"/>
        <w:ind w:right="20"/>
        <w:rPr>
          <w:sz w:val="20"/>
          <w:szCs w:val="20"/>
        </w:rPr>
      </w:pPr>
      <w:r w:rsidRPr="00FC3B7C">
        <w:rPr>
          <w:rFonts w:eastAsia="Times New Roman"/>
          <w:szCs w:val="24"/>
        </w:rPr>
        <w:t>Tohoto typu efektivnosti je dosahováno, když firmy snižují náklady nebo zvyšují produktivitu pomocí organizačních zlepšení, zvýšení motivace managementu a zaměstnanců nebo zlepšení řízení.</w:t>
      </w:r>
    </w:p>
    <w:p w14:paraId="4A6F4A0B" w14:textId="77777777" w:rsidR="008E0F74" w:rsidRPr="00EE01FF" w:rsidRDefault="00256F29" w:rsidP="006D0EB4">
      <w:pPr>
        <w:pStyle w:val="Nadpis2"/>
        <w:rPr>
          <w:color w:val="1F3864" w:themeColor="accent1" w:themeShade="80"/>
          <w:sz w:val="20"/>
          <w:szCs w:val="20"/>
        </w:rPr>
      </w:pPr>
      <w:r w:rsidRPr="00EE01FF">
        <w:rPr>
          <w:rFonts w:eastAsia="Times New Roman"/>
          <w:color w:val="1F3864" w:themeColor="accent1" w:themeShade="80"/>
        </w:rPr>
        <w:t>PŘÍKLADY SELHÁNÍ TRHU A VLÁD</w:t>
      </w:r>
    </w:p>
    <w:p w14:paraId="4A6F4A0C" w14:textId="77777777" w:rsidR="008E0F74" w:rsidRPr="00FC3B7C" w:rsidRDefault="00256F29" w:rsidP="006D0EB4">
      <w:pPr>
        <w:rPr>
          <w:sz w:val="20"/>
          <w:szCs w:val="20"/>
        </w:rPr>
      </w:pPr>
      <w:r w:rsidRPr="00FC3B7C">
        <w:rPr>
          <w:rFonts w:eastAsia="Times New Roman"/>
          <w:szCs w:val="24"/>
        </w:rPr>
        <w:t>Současná pravicová vláda – před volbami slibovali nezvyšování daní – tento slib nedodrželi (nedodržení předvolebních slibů je běžný fenomén).</w:t>
      </w:r>
    </w:p>
    <w:p w14:paraId="4A6F4A0D" w14:textId="6F8D683C" w:rsidR="008E0F74" w:rsidRPr="00FC3B7C" w:rsidRDefault="0093189D" w:rsidP="006D0EB4">
      <w:pPr>
        <w:rPr>
          <w:sz w:val="20"/>
          <w:szCs w:val="20"/>
        </w:rPr>
      </w:pPr>
      <w:r>
        <w:rPr>
          <w:rFonts w:eastAsia="Times New Roman"/>
          <w:szCs w:val="24"/>
        </w:rPr>
        <w:t>„Porodné</w:t>
      </w:r>
      <w:r w:rsidR="00256F29" w:rsidRPr="00FC3B7C">
        <w:rPr>
          <w:rFonts w:eastAsia="Times New Roman"/>
          <w:szCs w:val="24"/>
        </w:rPr>
        <w:t>“ – Paroubkova vláda zavedla v roce 2006 vyšší porodné a příspěvky na školní pomůcky pro prvňáky, obojí znamenalo obrovské výdaje, ale z demografických analýz vidíme, že k výraznějšímu nárůstu počtu narozených dětí nedošlo.</w:t>
      </w:r>
    </w:p>
    <w:p w14:paraId="4A6F4A0E" w14:textId="77777777" w:rsidR="008E0F74" w:rsidRPr="00FC3B7C" w:rsidRDefault="00256F29" w:rsidP="006D0EB4">
      <w:pPr>
        <w:rPr>
          <w:sz w:val="20"/>
          <w:szCs w:val="20"/>
        </w:rPr>
      </w:pPr>
      <w:r w:rsidRPr="00FC3B7C">
        <w:rPr>
          <w:rFonts w:eastAsia="Times New Roman"/>
          <w:szCs w:val="24"/>
        </w:rPr>
        <w:t>Selhání trhu můžeme pozorovat na případu mateřských školek, kterých v posledních letech byl a stále je nedostatek, na sílící poptávku nebyl trh schopen rychle zareagovat.</w:t>
      </w:r>
    </w:p>
    <w:p w14:paraId="4A6F4A0F" w14:textId="77777777" w:rsidR="008E0F74" w:rsidRPr="00FC3B7C" w:rsidRDefault="00256F29" w:rsidP="006D0EB4">
      <w:pPr>
        <w:rPr>
          <w:sz w:val="20"/>
          <w:szCs w:val="20"/>
        </w:rPr>
      </w:pPr>
      <w:r w:rsidRPr="00FC3B7C">
        <w:rPr>
          <w:rFonts w:eastAsia="Times New Roman"/>
          <w:szCs w:val="24"/>
        </w:rPr>
        <w:t>The market for lemons – článek G. Akerlofa – popisuje jeden druh tržního selhání na případu trhu s ojetými automobily, dochází zde k asymetrii informací a nepříznivému výběru:</w:t>
      </w:r>
    </w:p>
    <w:p w14:paraId="4A6F4A10" w14:textId="77777777" w:rsidR="008E0F74" w:rsidRPr="00FC3B7C" w:rsidRDefault="00256F29" w:rsidP="00D46B53">
      <w:pPr>
        <w:numPr>
          <w:ilvl w:val="0"/>
          <w:numId w:val="308"/>
        </w:numPr>
        <w:tabs>
          <w:tab w:val="left" w:pos="1140"/>
        </w:tabs>
        <w:ind w:left="1140" w:hanging="370"/>
        <w:rPr>
          <w:rFonts w:eastAsia="Arial"/>
          <w:szCs w:val="24"/>
        </w:rPr>
      </w:pPr>
      <w:r w:rsidRPr="00FC3B7C">
        <w:rPr>
          <w:rFonts w:eastAsia="Times New Roman"/>
          <w:szCs w:val="24"/>
        </w:rPr>
        <w:t>Kupující nemá všechny informace o výrobku a ani je nemůže zjistit a proto je pro něho nejlepší předpokládat že jde o výrobek střední kvality, bude proto ochoten</w:t>
      </w:r>
    </w:p>
    <w:p w14:paraId="4A6F4A11" w14:textId="77777777" w:rsidR="008E0F74" w:rsidRPr="00FC3B7C" w:rsidRDefault="00256F29" w:rsidP="006D0EB4">
      <w:pPr>
        <w:ind w:left="1120"/>
        <w:rPr>
          <w:sz w:val="20"/>
          <w:szCs w:val="20"/>
        </w:rPr>
      </w:pPr>
      <w:bookmarkStart w:id="343" w:name="page373"/>
      <w:bookmarkEnd w:id="343"/>
      <w:r w:rsidRPr="00FC3B7C">
        <w:rPr>
          <w:rFonts w:eastAsia="Times New Roman"/>
          <w:szCs w:val="24"/>
        </w:rPr>
        <w:t>zaplatit jen “střední cenu“ (cenu za průměrné auto). Automobily vyšší kvality tedy z tohoto trhu vymizí (nikdo si je pro jejich vyšší cenu nekoupí, protože neuvěří v jejich kvalitu) a prodejci budou nabízet jen výrobky střední a nižší kvality – dochází zde tedy k nepříznivému výběru. Popisuje tedy snížení kvality aut na všech trzích, průměrná kvalita se snižuje a koloběh událostí se opakuje – tak nám stále dokola klesá kvalita. Zvýšení spotřební daně na pohonné látky – klasický příklad jiných než zamýšlených důsledků. Opatření vládou, zvýšení daně povede k odlivu velkých spotřebitelů nafty do zahraničí, výnosy z daní tedy nebudou tak velké jak vláda zamýšlela (mohou být až nižší).</w:t>
      </w:r>
    </w:p>
    <w:p w14:paraId="6C22BCA3" w14:textId="77777777" w:rsidR="008E0F74" w:rsidRDefault="008E0F74"/>
    <w:p w14:paraId="5123E72C" w14:textId="77777777" w:rsidR="00D20832" w:rsidRDefault="00D20832"/>
    <w:p w14:paraId="663EDF7C" w14:textId="77777777" w:rsidR="00D20832" w:rsidRDefault="00D20832"/>
    <w:p w14:paraId="331EC0F0" w14:textId="77777777" w:rsidR="00D20832" w:rsidRDefault="00D20832"/>
    <w:p w14:paraId="6FF90DB8" w14:textId="6C9806F5" w:rsidR="00D20832" w:rsidRDefault="00D20832"/>
    <w:p w14:paraId="1F4FCF7B" w14:textId="0E94858A" w:rsidR="00D20832" w:rsidRPr="00244BB9" w:rsidRDefault="00D20832" w:rsidP="00D20832">
      <w:pPr>
        <w:jc w:val="left"/>
        <w:rPr>
          <w:rFonts w:eastAsia="Times New Roman" w:cstheme="majorBidi"/>
          <w:b/>
          <w:color w:val="1F3864" w:themeColor="accent1" w:themeShade="80"/>
          <w:sz w:val="28"/>
          <w:szCs w:val="26"/>
          <w:u w:val="single"/>
        </w:rPr>
      </w:pPr>
      <w:r w:rsidRPr="00244BB9">
        <w:rPr>
          <w:rFonts w:eastAsia="Times New Roman" w:cstheme="majorBidi"/>
          <w:b/>
          <w:color w:val="1F3864" w:themeColor="accent1" w:themeShade="80"/>
          <w:sz w:val="28"/>
          <w:szCs w:val="26"/>
          <w:u w:val="single"/>
        </w:rPr>
        <w:lastRenderedPageBreak/>
        <w:t>Otázky na procvičení:</w:t>
      </w:r>
    </w:p>
    <w:p w14:paraId="72D3C3D7" w14:textId="2A901836" w:rsidR="00D20832" w:rsidRPr="00244BB9" w:rsidRDefault="00D20832" w:rsidP="00D20832">
      <w:pPr>
        <w:jc w:val="left"/>
        <w:rPr>
          <w:szCs w:val="24"/>
        </w:rPr>
      </w:pPr>
      <w:r w:rsidRPr="00244BB9">
        <w:rPr>
          <w:szCs w:val="24"/>
          <w:shd w:val="clear" w:color="auto" w:fill="FFFFFF"/>
        </w:rPr>
        <w:t>1. Charakterizujte příčiny tržních selhání.</w:t>
      </w:r>
      <w:r w:rsidRPr="00244BB9">
        <w:rPr>
          <w:szCs w:val="24"/>
          <w:shd w:val="clear" w:color="auto" w:fill="FFFFFF"/>
        </w:rPr>
        <w:br/>
        <w:t>2. Rakouská škola a tržní selhání.</w:t>
      </w:r>
      <w:r w:rsidRPr="00244BB9">
        <w:rPr>
          <w:szCs w:val="24"/>
          <w:shd w:val="clear" w:color="auto" w:fill="FFFFFF"/>
        </w:rPr>
        <w:br/>
        <w:t>3. Keynesiánství a tržní selhání.</w:t>
      </w:r>
      <w:r w:rsidRPr="00244BB9">
        <w:rPr>
          <w:szCs w:val="24"/>
          <w:shd w:val="clear" w:color="auto" w:fill="FFFFFF"/>
        </w:rPr>
        <w:br/>
        <w:t>4. Způsoby řešení externalit.</w:t>
      </w:r>
      <w:r w:rsidRPr="00244BB9">
        <w:rPr>
          <w:szCs w:val="24"/>
          <w:shd w:val="clear" w:color="auto" w:fill="FFFFFF"/>
        </w:rPr>
        <w:br/>
        <w:t>5. Financování veřejných statků.</w:t>
      </w:r>
      <w:r w:rsidRPr="00244BB9">
        <w:rPr>
          <w:szCs w:val="24"/>
          <w:shd w:val="clear" w:color="auto" w:fill="FFFFFF"/>
        </w:rPr>
        <w:br/>
        <w:t>6. Příčiny vládních selhání - vysvětlete na příkladech.</w:t>
      </w:r>
      <w:r w:rsidRPr="00244BB9">
        <w:rPr>
          <w:szCs w:val="24"/>
          <w:shd w:val="clear" w:color="auto" w:fill="FFFFFF"/>
        </w:rPr>
        <w:br/>
        <w:t>7. Čím je způsobena informační asymetrie mezi politikem a byrokratem?</w:t>
      </w:r>
    </w:p>
    <w:p w14:paraId="765E4C98" w14:textId="77777777" w:rsidR="00D20832" w:rsidRPr="00244BB9" w:rsidRDefault="00D20832"/>
    <w:p w14:paraId="08BD98B5" w14:textId="77777777" w:rsidR="00D20832" w:rsidRPr="00244BB9" w:rsidRDefault="00D20832"/>
    <w:p w14:paraId="4A6F4A12" w14:textId="1AAD630D" w:rsidR="00D20832" w:rsidRPr="00FC3B7C" w:rsidRDefault="00D20832">
      <w:pPr>
        <w:sectPr w:rsidR="00D20832" w:rsidRPr="00FC3B7C">
          <w:pgSz w:w="11900" w:h="16840"/>
          <w:pgMar w:top="1397" w:right="1400" w:bottom="1440" w:left="1440" w:header="0" w:footer="0" w:gutter="0"/>
          <w:cols w:space="708" w:equalWidth="0">
            <w:col w:w="9060"/>
          </w:cols>
        </w:sectPr>
      </w:pPr>
    </w:p>
    <w:p w14:paraId="4A6F4A13" w14:textId="77777777" w:rsidR="008E0F74" w:rsidRPr="00FC3B7C" w:rsidRDefault="00256F29">
      <w:pPr>
        <w:ind w:left="80"/>
        <w:rPr>
          <w:sz w:val="20"/>
          <w:szCs w:val="20"/>
        </w:rPr>
      </w:pPr>
      <w:bookmarkStart w:id="344" w:name="page374"/>
      <w:bookmarkEnd w:id="344"/>
      <w:r w:rsidRPr="00FC3B7C">
        <w:rPr>
          <w:rFonts w:eastAsia="Times New Roman"/>
          <w:b/>
          <w:bCs/>
          <w:sz w:val="28"/>
          <w:szCs w:val="28"/>
        </w:rPr>
        <w:lastRenderedPageBreak/>
        <w:t>Zdroje</w:t>
      </w:r>
    </w:p>
    <w:p w14:paraId="4A6F4A14" w14:textId="77777777" w:rsidR="008E0F74" w:rsidRPr="00FC3B7C" w:rsidRDefault="008E0F74">
      <w:pPr>
        <w:spacing w:line="200" w:lineRule="exact"/>
        <w:rPr>
          <w:sz w:val="20"/>
          <w:szCs w:val="20"/>
        </w:rPr>
      </w:pPr>
    </w:p>
    <w:p w14:paraId="4A6F4A15" w14:textId="77777777" w:rsidR="008E0F74" w:rsidRPr="00FC3B7C" w:rsidRDefault="008E0F74">
      <w:pPr>
        <w:spacing w:line="214" w:lineRule="exact"/>
        <w:rPr>
          <w:sz w:val="20"/>
          <w:szCs w:val="20"/>
        </w:rPr>
      </w:pPr>
    </w:p>
    <w:p w14:paraId="4A6F4A16" w14:textId="77777777" w:rsidR="008E0F74" w:rsidRPr="00FC3B7C" w:rsidRDefault="00256F29">
      <w:pPr>
        <w:spacing w:line="358" w:lineRule="auto"/>
        <w:ind w:left="400"/>
        <w:rPr>
          <w:sz w:val="20"/>
          <w:szCs w:val="20"/>
        </w:rPr>
      </w:pPr>
      <w:r w:rsidRPr="00FC3B7C">
        <w:rPr>
          <w:rFonts w:eastAsia="Times New Roman"/>
          <w:szCs w:val="24"/>
        </w:rPr>
        <w:t>HOLMAN, R. Mikroekonomie: středně pokročilý kurz. Praha: C. H. Beck, 2007, 591 s., ISBN 978-80-7179-862-0.</w:t>
      </w:r>
    </w:p>
    <w:p w14:paraId="4A6F4A17" w14:textId="77777777" w:rsidR="008E0F74" w:rsidRPr="00FC3B7C" w:rsidRDefault="008E0F74">
      <w:pPr>
        <w:spacing w:line="2" w:lineRule="exact"/>
        <w:rPr>
          <w:sz w:val="20"/>
          <w:szCs w:val="20"/>
        </w:rPr>
      </w:pPr>
    </w:p>
    <w:p w14:paraId="4A6F4A18" w14:textId="77777777" w:rsidR="008E0F74" w:rsidRPr="00FC3B7C" w:rsidRDefault="00256F29">
      <w:pPr>
        <w:spacing w:line="361" w:lineRule="auto"/>
        <w:ind w:left="400"/>
        <w:rPr>
          <w:sz w:val="20"/>
          <w:szCs w:val="20"/>
        </w:rPr>
      </w:pPr>
      <w:r w:rsidRPr="00FC3B7C">
        <w:rPr>
          <w:rFonts w:eastAsia="Times New Roman"/>
          <w:szCs w:val="24"/>
        </w:rPr>
        <w:t>STIGLITZ, Joseph E. Ekonomie veřejného sektoru. Praha. Grada, 1997, ISBN 80-7169-454-1.</w:t>
      </w:r>
    </w:p>
    <w:p w14:paraId="4A6F4A19" w14:textId="77777777" w:rsidR="008E0F74" w:rsidRPr="00FC3B7C" w:rsidRDefault="00256F29">
      <w:pPr>
        <w:spacing w:line="358" w:lineRule="auto"/>
        <w:ind w:left="400"/>
        <w:rPr>
          <w:sz w:val="20"/>
          <w:szCs w:val="20"/>
        </w:rPr>
      </w:pPr>
      <w:r w:rsidRPr="00FC3B7C">
        <w:rPr>
          <w:rFonts w:eastAsia="Times New Roman"/>
          <w:szCs w:val="24"/>
        </w:rPr>
        <w:t>SAMUELSON, P. A., NORDHAUS W. D., Ekonomie, Praha: Svoboda, 2007, 775 s., ISBN 978-80-205-0590-3.</w:t>
      </w:r>
    </w:p>
    <w:p w14:paraId="4A6F4A1A" w14:textId="77777777" w:rsidR="008E0F74" w:rsidRPr="00FC3B7C" w:rsidRDefault="008E0F74">
      <w:pPr>
        <w:spacing w:line="2" w:lineRule="exact"/>
        <w:rPr>
          <w:sz w:val="20"/>
          <w:szCs w:val="20"/>
        </w:rPr>
      </w:pPr>
    </w:p>
    <w:p w14:paraId="4A6F4A1B" w14:textId="77777777" w:rsidR="008E0F74" w:rsidRPr="00FC3B7C" w:rsidRDefault="00256F29">
      <w:pPr>
        <w:ind w:left="400"/>
        <w:rPr>
          <w:sz w:val="20"/>
          <w:szCs w:val="20"/>
        </w:rPr>
      </w:pPr>
      <w:r w:rsidRPr="00FC3B7C">
        <w:rPr>
          <w:rFonts w:eastAsia="Times New Roman"/>
          <w:szCs w:val="24"/>
        </w:rPr>
        <w:t>VORLÍČEK, J., VOSTROVSKÁ, Z. Úvod do hospodářské a sociální politiky. Praha:</w:t>
      </w:r>
    </w:p>
    <w:p w14:paraId="4A6F4A1C" w14:textId="77777777" w:rsidR="008E0F74" w:rsidRPr="00FC3B7C" w:rsidRDefault="008E0F74">
      <w:pPr>
        <w:spacing w:line="142" w:lineRule="exact"/>
        <w:rPr>
          <w:sz w:val="20"/>
          <w:szCs w:val="20"/>
        </w:rPr>
      </w:pPr>
    </w:p>
    <w:p w14:paraId="4A6F4A1D" w14:textId="77777777" w:rsidR="008E0F74" w:rsidRPr="00FC3B7C" w:rsidRDefault="00256F29">
      <w:pPr>
        <w:ind w:left="400"/>
        <w:rPr>
          <w:sz w:val="20"/>
          <w:szCs w:val="20"/>
        </w:rPr>
      </w:pPr>
      <w:r w:rsidRPr="00FC3B7C">
        <w:rPr>
          <w:rFonts w:eastAsia="Times New Roman"/>
          <w:szCs w:val="24"/>
        </w:rPr>
        <w:t>Oeconomica, 2005, 95 s., ISBN 80-245-0954-7.</w:t>
      </w:r>
    </w:p>
    <w:p w14:paraId="4A6F4A1E" w14:textId="77777777" w:rsidR="008E0F74" w:rsidRPr="00FC3B7C" w:rsidRDefault="008E0F74">
      <w:pPr>
        <w:spacing w:line="137" w:lineRule="exact"/>
        <w:rPr>
          <w:sz w:val="20"/>
          <w:szCs w:val="20"/>
        </w:rPr>
      </w:pPr>
    </w:p>
    <w:p w14:paraId="4A6F4A1F" w14:textId="77777777" w:rsidR="008E0F74" w:rsidRPr="00FC3B7C" w:rsidRDefault="00256F29">
      <w:pPr>
        <w:ind w:left="400"/>
        <w:rPr>
          <w:sz w:val="20"/>
          <w:szCs w:val="20"/>
        </w:rPr>
      </w:pPr>
      <w:r w:rsidRPr="00FC3B7C">
        <w:rPr>
          <w:rFonts w:eastAsia="Times New Roman"/>
          <w:szCs w:val="24"/>
        </w:rPr>
        <w:t>VORLÍČEK, J., Úvod do veřejného sektoru.</w:t>
      </w:r>
    </w:p>
    <w:p w14:paraId="4A6F4A20" w14:textId="77777777" w:rsidR="008E0F74" w:rsidRPr="00FC3B7C" w:rsidRDefault="008E0F74">
      <w:pPr>
        <w:spacing w:line="137" w:lineRule="exact"/>
        <w:rPr>
          <w:sz w:val="20"/>
          <w:szCs w:val="20"/>
        </w:rPr>
      </w:pPr>
    </w:p>
    <w:p w14:paraId="4A6F4A21" w14:textId="77777777" w:rsidR="008E0F74" w:rsidRPr="00FC3B7C" w:rsidRDefault="00256F29">
      <w:pPr>
        <w:ind w:left="400"/>
        <w:rPr>
          <w:sz w:val="20"/>
          <w:szCs w:val="20"/>
        </w:rPr>
      </w:pPr>
      <w:r w:rsidRPr="00FC3B7C">
        <w:rPr>
          <w:rFonts w:eastAsia="Times New Roman"/>
          <w:szCs w:val="24"/>
        </w:rPr>
        <w:t>Přednášky k předmětu 5EN302 Ekonomie veřejného sektoru.</w:t>
      </w:r>
    </w:p>
    <w:p w14:paraId="4A6F4A22" w14:textId="77777777" w:rsidR="008E0F74" w:rsidRPr="00FC3B7C" w:rsidRDefault="008E0F74">
      <w:pPr>
        <w:spacing w:line="137" w:lineRule="exact"/>
        <w:rPr>
          <w:sz w:val="20"/>
          <w:szCs w:val="20"/>
        </w:rPr>
      </w:pPr>
    </w:p>
    <w:p w14:paraId="4A6F4A23" w14:textId="77777777" w:rsidR="008E0F74" w:rsidRPr="00FC3B7C" w:rsidRDefault="00256F29">
      <w:pPr>
        <w:spacing w:line="359" w:lineRule="auto"/>
        <w:ind w:left="400"/>
        <w:rPr>
          <w:sz w:val="20"/>
          <w:szCs w:val="20"/>
        </w:rPr>
      </w:pPr>
      <w:r w:rsidRPr="00FC3B7C">
        <w:rPr>
          <w:rFonts w:eastAsia="Times New Roman"/>
          <w:szCs w:val="24"/>
        </w:rPr>
        <w:t xml:space="preserve">Skripta k předmětu 5HP324 Kondiční kurz z praktické hospodářské politiky ZS 2012/2013 The Market for "Lemons": Quality Uncertainty and the Market Mechanism, George A. Akerlof; </w:t>
      </w:r>
      <w:r w:rsidRPr="00FC3B7C">
        <w:rPr>
          <w:rFonts w:eastAsia="Times New Roman"/>
          <w:i/>
          <w:iCs/>
          <w:szCs w:val="24"/>
        </w:rPr>
        <w:t>The</w:t>
      </w:r>
    </w:p>
    <w:p w14:paraId="4A6F4A24" w14:textId="77777777" w:rsidR="008E0F74" w:rsidRPr="00FC3B7C" w:rsidRDefault="008E0F74">
      <w:pPr>
        <w:spacing w:line="1" w:lineRule="exact"/>
        <w:rPr>
          <w:sz w:val="20"/>
          <w:szCs w:val="20"/>
        </w:rPr>
      </w:pPr>
    </w:p>
    <w:p w14:paraId="4A6F4A25" w14:textId="77777777" w:rsidR="008E0F74" w:rsidRPr="00FC3B7C" w:rsidRDefault="00256F29">
      <w:pPr>
        <w:ind w:left="400" w:right="480"/>
        <w:rPr>
          <w:sz w:val="20"/>
          <w:szCs w:val="20"/>
        </w:rPr>
      </w:pPr>
      <w:r w:rsidRPr="00FC3B7C">
        <w:rPr>
          <w:rFonts w:eastAsia="Times New Roman"/>
          <w:i/>
          <w:iCs/>
          <w:szCs w:val="24"/>
        </w:rPr>
        <w:t xml:space="preserve">Quarterly Journal of Economics, </w:t>
      </w:r>
      <w:r w:rsidRPr="00FC3B7C">
        <w:rPr>
          <w:rFonts w:eastAsia="Times New Roman"/>
          <w:szCs w:val="24"/>
        </w:rPr>
        <w:t>Vol. 84, No. 3 (Aug., 1970), pp. 488-500, Published</w:t>
      </w:r>
      <w:r w:rsidRPr="00FC3B7C">
        <w:rPr>
          <w:rFonts w:eastAsia="Times New Roman"/>
          <w:i/>
          <w:iCs/>
          <w:szCs w:val="24"/>
        </w:rPr>
        <w:t xml:space="preserve"> </w:t>
      </w:r>
      <w:r w:rsidRPr="00FC3B7C">
        <w:rPr>
          <w:rFonts w:eastAsia="Times New Roman"/>
          <w:szCs w:val="24"/>
        </w:rPr>
        <w:t>by: Oxford</w:t>
      </w:r>
    </w:p>
    <w:p w14:paraId="4A6F4A26" w14:textId="77777777" w:rsidR="008E0F74" w:rsidRPr="00FC3B7C" w:rsidRDefault="008E0F74">
      <w:pPr>
        <w:spacing w:line="2" w:lineRule="exact"/>
        <w:rPr>
          <w:sz w:val="20"/>
          <w:szCs w:val="20"/>
        </w:rPr>
      </w:pPr>
    </w:p>
    <w:p w14:paraId="4A6F4A27" w14:textId="77777777" w:rsidR="008E0F74" w:rsidRPr="00FC3B7C" w:rsidRDefault="00256F29">
      <w:pPr>
        <w:ind w:left="400"/>
        <w:rPr>
          <w:sz w:val="20"/>
          <w:szCs w:val="20"/>
        </w:rPr>
      </w:pPr>
      <w:r w:rsidRPr="00FC3B7C">
        <w:rPr>
          <w:rFonts w:eastAsia="Times New Roman"/>
          <w:szCs w:val="24"/>
        </w:rPr>
        <w:t xml:space="preserve">University Press, dostupný na WWW: </w:t>
      </w:r>
      <w:r w:rsidRPr="00FC3B7C">
        <w:rPr>
          <w:rFonts w:eastAsia="Times New Roman"/>
          <w:color w:val="0000FF"/>
          <w:szCs w:val="24"/>
          <w:u w:val="single"/>
        </w:rPr>
        <w:t>http://www.jstor.org/stable/1879431</w:t>
      </w:r>
    </w:p>
    <w:p w14:paraId="4A6F4A28" w14:textId="77777777" w:rsidR="008E0F74" w:rsidRPr="00FC3B7C" w:rsidRDefault="008E0F74">
      <w:pPr>
        <w:sectPr w:rsidR="008E0F74" w:rsidRPr="00FC3B7C">
          <w:pgSz w:w="11900" w:h="16840"/>
          <w:pgMar w:top="1386" w:right="1400" w:bottom="1440" w:left="1440" w:header="0" w:footer="0" w:gutter="0"/>
          <w:cols w:space="708" w:equalWidth="0">
            <w:col w:w="9060"/>
          </w:cols>
        </w:sectPr>
      </w:pPr>
    </w:p>
    <w:p w14:paraId="4A6F4A29" w14:textId="77777777" w:rsidR="008E0F74" w:rsidRPr="00EE01FF" w:rsidRDefault="00256F29" w:rsidP="00EE01FF">
      <w:pPr>
        <w:pStyle w:val="Nadpis1"/>
        <w:ind w:left="0" w:hanging="7"/>
        <w:rPr>
          <w:color w:val="1F3864" w:themeColor="accent1" w:themeShade="80"/>
        </w:rPr>
      </w:pPr>
      <w:bookmarkStart w:id="345" w:name="page375"/>
      <w:bookmarkStart w:id="346" w:name="_Toc54254089"/>
      <w:bookmarkEnd w:id="345"/>
      <w:r w:rsidRPr="00EE01FF">
        <w:rPr>
          <w:color w:val="1F3864" w:themeColor="accent1" w:themeShade="80"/>
        </w:rPr>
        <w:lastRenderedPageBreak/>
        <w:t>SOCIÁLNÍ POLITIKA A JEJÍ POJETÍ</w:t>
      </w:r>
      <w:bookmarkEnd w:id="346"/>
    </w:p>
    <w:p w14:paraId="4A6F4A2A" w14:textId="77777777" w:rsidR="00CE6695" w:rsidRPr="00FC3B7C" w:rsidRDefault="00CE6695" w:rsidP="00CE6695">
      <w:pPr>
        <w:spacing w:line="221" w:lineRule="exact"/>
        <w:rPr>
          <w:sz w:val="20"/>
          <w:szCs w:val="20"/>
        </w:rPr>
      </w:pPr>
      <w:bookmarkStart w:id="347" w:name="page413"/>
      <w:bookmarkEnd w:id="347"/>
    </w:p>
    <w:p w14:paraId="4A6F4A2B" w14:textId="77777777" w:rsidR="00CE6695" w:rsidRPr="00FC3B7C" w:rsidRDefault="00CE6695" w:rsidP="00CE6695">
      <w:pPr>
        <w:spacing w:line="240" w:lineRule="auto"/>
        <w:rPr>
          <w:sz w:val="20"/>
          <w:szCs w:val="20"/>
        </w:rPr>
      </w:pPr>
      <w:r w:rsidRPr="00FC3B7C">
        <w:rPr>
          <w:rFonts w:eastAsia="Times New Roman"/>
          <w:b/>
          <w:bCs/>
          <w:sz w:val="28"/>
          <w:szCs w:val="28"/>
        </w:rPr>
        <w:t>Slovníček pojmů:</w:t>
      </w:r>
    </w:p>
    <w:p w14:paraId="4A6F4A2C" w14:textId="77777777" w:rsidR="00CE6695" w:rsidRPr="00FC3B7C" w:rsidRDefault="00CE6695" w:rsidP="00CE6695">
      <w:pPr>
        <w:spacing w:line="200" w:lineRule="exact"/>
        <w:rPr>
          <w:sz w:val="20"/>
          <w:szCs w:val="20"/>
        </w:rPr>
      </w:pPr>
    </w:p>
    <w:p w14:paraId="4A6F4A2D" w14:textId="77777777" w:rsidR="00CE6695" w:rsidRPr="00FC3B7C" w:rsidRDefault="00CE6695" w:rsidP="001B1026">
      <w:pPr>
        <w:rPr>
          <w:sz w:val="20"/>
          <w:szCs w:val="20"/>
        </w:rPr>
      </w:pPr>
      <w:r w:rsidRPr="00FC3B7C">
        <w:rPr>
          <w:rFonts w:eastAsia="Times New Roman"/>
          <w:i/>
          <w:iCs/>
          <w:szCs w:val="24"/>
          <w:u w:val="single"/>
        </w:rPr>
        <w:t>Podpůrčí doba</w:t>
      </w:r>
      <w:r w:rsidRPr="00FC3B7C">
        <w:rPr>
          <w:rFonts w:eastAsia="Times New Roman"/>
          <w:i/>
          <w:iCs/>
          <w:szCs w:val="24"/>
        </w:rPr>
        <w:t xml:space="preserve"> </w:t>
      </w:r>
      <w:r w:rsidRPr="00FC3B7C">
        <w:rPr>
          <w:rFonts w:eastAsia="Times New Roman"/>
          <w:szCs w:val="24"/>
        </w:rPr>
        <w:t>- Doba, po kterou je poskytována určitá dávka.</w:t>
      </w:r>
    </w:p>
    <w:p w14:paraId="4A6F4A2E" w14:textId="77777777" w:rsidR="00CE6695" w:rsidRPr="00FC3B7C" w:rsidRDefault="00CE6695" w:rsidP="001B1026">
      <w:pPr>
        <w:rPr>
          <w:sz w:val="20"/>
          <w:szCs w:val="20"/>
        </w:rPr>
      </w:pPr>
      <w:r w:rsidRPr="00FC3B7C">
        <w:rPr>
          <w:rFonts w:eastAsia="Times New Roman"/>
          <w:i/>
          <w:iCs/>
          <w:szCs w:val="24"/>
          <w:u w:val="single"/>
        </w:rPr>
        <w:t>Karenční doba</w:t>
      </w:r>
      <w:r w:rsidRPr="00FC3B7C">
        <w:rPr>
          <w:rFonts w:eastAsia="Times New Roman"/>
          <w:i/>
          <w:iCs/>
          <w:szCs w:val="24"/>
        </w:rPr>
        <w:t xml:space="preserve"> </w:t>
      </w:r>
      <w:r w:rsidRPr="00FC3B7C">
        <w:rPr>
          <w:rFonts w:eastAsia="Times New Roman"/>
          <w:szCs w:val="24"/>
        </w:rPr>
        <w:t>-</w:t>
      </w:r>
      <w:r w:rsidRPr="00FC3B7C">
        <w:rPr>
          <w:rFonts w:eastAsia="Times New Roman"/>
          <w:i/>
          <w:iCs/>
          <w:szCs w:val="24"/>
        </w:rPr>
        <w:t xml:space="preserve"> </w:t>
      </w:r>
      <w:r w:rsidRPr="00FC3B7C">
        <w:rPr>
          <w:rFonts w:eastAsia="Times New Roman"/>
          <w:szCs w:val="24"/>
        </w:rPr>
        <w:t>Čekací doba, po kterou se dávky nevyplácejí.</w:t>
      </w:r>
    </w:p>
    <w:p w14:paraId="4A6F4A2F" w14:textId="77777777" w:rsidR="00CE6695" w:rsidRPr="00FC3B7C" w:rsidRDefault="00CE6695" w:rsidP="001B1026">
      <w:pPr>
        <w:rPr>
          <w:sz w:val="20"/>
          <w:szCs w:val="20"/>
        </w:rPr>
      </w:pPr>
      <w:r w:rsidRPr="00FC3B7C">
        <w:rPr>
          <w:rFonts w:eastAsia="Times New Roman"/>
          <w:i/>
          <w:iCs/>
          <w:szCs w:val="24"/>
          <w:u w:val="single"/>
        </w:rPr>
        <w:t>Denní vyměřovací základ</w:t>
      </w:r>
      <w:r w:rsidRPr="00FC3B7C">
        <w:rPr>
          <w:rFonts w:eastAsia="Times New Roman"/>
          <w:i/>
          <w:iCs/>
          <w:szCs w:val="24"/>
        </w:rPr>
        <w:t xml:space="preserve"> </w:t>
      </w:r>
      <w:r w:rsidRPr="00FC3B7C">
        <w:rPr>
          <w:rFonts w:eastAsia="Times New Roman"/>
          <w:szCs w:val="24"/>
        </w:rPr>
        <w:t>- Podíl vyměřovacího základu a počtu dní v daném období.</w:t>
      </w:r>
    </w:p>
    <w:p w14:paraId="4A6F4A30" w14:textId="77777777" w:rsidR="00CE6695" w:rsidRPr="00FC3B7C" w:rsidRDefault="00CE6695" w:rsidP="001B1026">
      <w:pPr>
        <w:rPr>
          <w:sz w:val="20"/>
          <w:szCs w:val="20"/>
        </w:rPr>
      </w:pPr>
      <w:r w:rsidRPr="00FC3B7C">
        <w:rPr>
          <w:rFonts w:eastAsia="Times New Roman"/>
          <w:i/>
          <w:iCs/>
          <w:szCs w:val="24"/>
          <w:u w:val="single"/>
        </w:rPr>
        <w:t>Vyměřovací základ</w:t>
      </w:r>
      <w:r w:rsidRPr="00FC3B7C">
        <w:rPr>
          <w:rFonts w:eastAsia="Times New Roman"/>
          <w:i/>
          <w:iCs/>
          <w:szCs w:val="24"/>
        </w:rPr>
        <w:t xml:space="preserve"> </w:t>
      </w:r>
      <w:r w:rsidRPr="00FC3B7C">
        <w:rPr>
          <w:rFonts w:eastAsia="Times New Roman"/>
          <w:szCs w:val="24"/>
        </w:rPr>
        <w:t>- Veškerý</w:t>
      </w:r>
      <w:r w:rsidRPr="00FC3B7C">
        <w:rPr>
          <w:rFonts w:eastAsia="Times New Roman"/>
          <w:i/>
          <w:iCs/>
          <w:szCs w:val="24"/>
        </w:rPr>
        <w:t xml:space="preserve"> </w:t>
      </w:r>
      <w:r w:rsidRPr="00FC3B7C">
        <w:rPr>
          <w:rFonts w:eastAsia="Times New Roman"/>
          <w:szCs w:val="24"/>
        </w:rPr>
        <w:t>hrubý</w:t>
      </w:r>
      <w:r w:rsidRPr="00FC3B7C">
        <w:rPr>
          <w:rFonts w:eastAsia="Times New Roman"/>
          <w:i/>
          <w:iCs/>
          <w:szCs w:val="24"/>
        </w:rPr>
        <w:t xml:space="preserve"> </w:t>
      </w:r>
      <w:r w:rsidRPr="00FC3B7C">
        <w:rPr>
          <w:rFonts w:eastAsia="Times New Roman"/>
          <w:szCs w:val="24"/>
        </w:rPr>
        <w:t>příjem podléhající odvodu na sociální pojištění.</w:t>
      </w:r>
    </w:p>
    <w:p w14:paraId="4A6F4A31" w14:textId="77777777" w:rsidR="00CE6695" w:rsidRPr="00FC3B7C" w:rsidRDefault="00CE6695" w:rsidP="001B1026">
      <w:pPr>
        <w:rPr>
          <w:sz w:val="20"/>
          <w:szCs w:val="20"/>
        </w:rPr>
      </w:pPr>
      <w:r w:rsidRPr="00FC3B7C">
        <w:rPr>
          <w:rFonts w:eastAsia="Times New Roman"/>
          <w:i/>
          <w:iCs/>
          <w:szCs w:val="24"/>
          <w:u w:val="single"/>
        </w:rPr>
        <w:t>Životní minimum</w:t>
      </w:r>
      <w:r w:rsidRPr="00FC3B7C">
        <w:rPr>
          <w:rFonts w:eastAsia="Times New Roman"/>
          <w:i/>
          <w:iCs/>
          <w:szCs w:val="24"/>
        </w:rPr>
        <w:t xml:space="preserve"> </w:t>
      </w:r>
      <w:r w:rsidRPr="00FC3B7C">
        <w:rPr>
          <w:rFonts w:eastAsia="Times New Roman"/>
          <w:szCs w:val="24"/>
        </w:rPr>
        <w:t>- Minimální společensky uznaná hranice peněžních příjmů</w:t>
      </w:r>
      <w:r w:rsidRPr="00FC3B7C">
        <w:rPr>
          <w:rFonts w:eastAsia="Times New Roman"/>
          <w:i/>
          <w:iCs/>
          <w:szCs w:val="24"/>
        </w:rPr>
        <w:t xml:space="preserve"> </w:t>
      </w:r>
      <w:r w:rsidRPr="00FC3B7C">
        <w:rPr>
          <w:rFonts w:eastAsia="Times New Roman"/>
          <w:szCs w:val="24"/>
        </w:rPr>
        <w:t>k zajištění výživy</w:t>
      </w:r>
      <w:r w:rsidRPr="00FC3B7C">
        <w:rPr>
          <w:rFonts w:eastAsia="Times New Roman"/>
          <w:i/>
          <w:iCs/>
          <w:szCs w:val="24"/>
        </w:rPr>
        <w:t xml:space="preserve"> </w:t>
      </w:r>
      <w:r w:rsidRPr="00FC3B7C">
        <w:rPr>
          <w:rFonts w:eastAsia="Times New Roman"/>
          <w:szCs w:val="24"/>
        </w:rPr>
        <w:t>a ostatních základních osobních potřeb. V současné době činí 3 410 Kč.</w:t>
      </w:r>
    </w:p>
    <w:p w14:paraId="4A6F4A32" w14:textId="77777777" w:rsidR="001B1026" w:rsidRDefault="00CE6695" w:rsidP="001B1026">
      <w:pPr>
        <w:rPr>
          <w:rFonts w:eastAsia="Times New Roman"/>
          <w:szCs w:val="24"/>
        </w:rPr>
      </w:pPr>
      <w:r w:rsidRPr="00FC3B7C">
        <w:rPr>
          <w:rFonts w:eastAsia="Times New Roman"/>
          <w:i/>
          <w:iCs/>
          <w:szCs w:val="24"/>
          <w:u w:val="single"/>
        </w:rPr>
        <w:t>Existenční minimum</w:t>
      </w:r>
      <w:r w:rsidRPr="00FC3B7C">
        <w:rPr>
          <w:rFonts w:eastAsia="Times New Roman"/>
          <w:i/>
          <w:iCs/>
          <w:szCs w:val="24"/>
        </w:rPr>
        <w:t xml:space="preserve"> </w:t>
      </w:r>
      <w:r w:rsidRPr="00FC3B7C">
        <w:rPr>
          <w:rFonts w:eastAsia="Times New Roman"/>
          <w:szCs w:val="24"/>
        </w:rPr>
        <w:t xml:space="preserve">- Minimální hranice peněžních příjmů, která se považuje za nezbytnou </w:t>
      </w:r>
      <w:r w:rsidR="001B1026">
        <w:rPr>
          <w:rFonts w:eastAsia="Times New Roman"/>
          <w:szCs w:val="24"/>
        </w:rPr>
        <w:br/>
      </w:r>
      <w:r w:rsidRPr="00FC3B7C">
        <w:rPr>
          <w:rFonts w:eastAsia="Times New Roman"/>
          <w:szCs w:val="24"/>
        </w:rPr>
        <w:t>k</w:t>
      </w:r>
      <w:r w:rsidRPr="00FC3B7C">
        <w:rPr>
          <w:rFonts w:eastAsia="Times New Roman"/>
          <w:i/>
          <w:iCs/>
          <w:szCs w:val="24"/>
        </w:rPr>
        <w:t xml:space="preserve"> </w:t>
      </w:r>
      <w:r w:rsidRPr="00FC3B7C">
        <w:rPr>
          <w:rFonts w:eastAsia="Times New Roman"/>
          <w:szCs w:val="24"/>
        </w:rPr>
        <w:t xml:space="preserve">zajištění výživy a ostatních základních osobních potřeb na úrovni umožňující přežití. </w:t>
      </w:r>
    </w:p>
    <w:p w14:paraId="4A6F4A33" w14:textId="77777777" w:rsidR="00CE6695" w:rsidRPr="00FC3B7C" w:rsidRDefault="00CE6695" w:rsidP="001B1026">
      <w:pPr>
        <w:rPr>
          <w:sz w:val="20"/>
          <w:szCs w:val="20"/>
        </w:rPr>
      </w:pPr>
      <w:r w:rsidRPr="00FC3B7C">
        <w:rPr>
          <w:rFonts w:eastAsia="Times New Roman"/>
          <w:szCs w:val="24"/>
        </w:rPr>
        <w:t>V současné době činí 2 200 Kč.</w:t>
      </w:r>
    </w:p>
    <w:p w14:paraId="4A6F4A34" w14:textId="77777777" w:rsidR="00CE6695" w:rsidRPr="00FC3B7C" w:rsidRDefault="00CE6695" w:rsidP="00CE6695">
      <w:pPr>
        <w:spacing w:line="200" w:lineRule="exact"/>
        <w:rPr>
          <w:sz w:val="20"/>
          <w:szCs w:val="20"/>
        </w:rPr>
      </w:pPr>
    </w:p>
    <w:p w14:paraId="4A6F4A35" w14:textId="77777777" w:rsidR="00CE6695" w:rsidRPr="00FC3B7C" w:rsidRDefault="00CE6695" w:rsidP="00CE6695">
      <w:pPr>
        <w:spacing w:line="215" w:lineRule="exact"/>
        <w:rPr>
          <w:sz w:val="20"/>
          <w:szCs w:val="20"/>
        </w:rPr>
      </w:pPr>
    </w:p>
    <w:p w14:paraId="4A6F4A36" w14:textId="77777777" w:rsidR="00CE6695" w:rsidRPr="00244BB9" w:rsidRDefault="00CE6695" w:rsidP="001B1026">
      <w:pPr>
        <w:pStyle w:val="Nadpis2"/>
        <w:rPr>
          <w:rFonts w:eastAsia="Times New Roman"/>
          <w:color w:val="1F3864" w:themeColor="accent1" w:themeShade="80"/>
        </w:rPr>
      </w:pPr>
      <w:r w:rsidRPr="00244BB9">
        <w:rPr>
          <w:rFonts w:eastAsia="Times New Roman"/>
          <w:color w:val="1F3864" w:themeColor="accent1" w:themeShade="80"/>
        </w:rPr>
        <w:t>SOCIÁLNÍ POLITIKA, JEJÍ NÁSTROJE A PRINCIPY</w:t>
      </w:r>
    </w:p>
    <w:p w14:paraId="4A6F4A37" w14:textId="77777777" w:rsidR="001B1026" w:rsidRPr="001B1026" w:rsidRDefault="001B1026" w:rsidP="001B1026"/>
    <w:p w14:paraId="4A6F4A38" w14:textId="28EB86F9" w:rsidR="00CE6695" w:rsidRPr="00EE01FF" w:rsidRDefault="00EE01FF" w:rsidP="001B1026">
      <w:pPr>
        <w:pStyle w:val="Nadpis3"/>
        <w:rPr>
          <w:color w:val="1F3864" w:themeColor="accent1" w:themeShade="80"/>
          <w:sz w:val="20"/>
          <w:szCs w:val="20"/>
        </w:rPr>
      </w:pPr>
      <w:r>
        <w:rPr>
          <w:rFonts w:eastAsia="Times New Roman"/>
          <w:color w:val="1F3864" w:themeColor="accent1" w:themeShade="80"/>
        </w:rPr>
        <w:t xml:space="preserve"> </w:t>
      </w:r>
      <w:r w:rsidR="00CE6695" w:rsidRPr="00EE01FF">
        <w:rPr>
          <w:rFonts w:eastAsia="Times New Roman"/>
          <w:color w:val="1F3864" w:themeColor="accent1" w:themeShade="80"/>
        </w:rPr>
        <w:t>Definice sociální politiky</w:t>
      </w:r>
    </w:p>
    <w:p w14:paraId="4A6F4A39" w14:textId="77777777" w:rsidR="00CE6695" w:rsidRPr="00FC3B7C" w:rsidRDefault="00CE6695" w:rsidP="00EE01FF">
      <w:pPr>
        <w:rPr>
          <w:sz w:val="20"/>
          <w:szCs w:val="20"/>
        </w:rPr>
      </w:pPr>
      <w:bookmarkStart w:id="348" w:name="_Hlk531024515"/>
      <w:r w:rsidRPr="00FC3B7C">
        <w:rPr>
          <w:rFonts w:eastAsia="Times New Roman"/>
        </w:rPr>
        <w:t>Neexistuje jedna univerzální definice. Nejčastější: jde o soubor opatření státu a dalších subjektů, která směřují ke zlepšení základních životních podmínek obyvatel</w:t>
      </w:r>
      <w:bookmarkEnd w:id="348"/>
      <w:r w:rsidRPr="00FC3B7C">
        <w:rPr>
          <w:rFonts w:eastAsia="Times New Roman"/>
        </w:rPr>
        <w:t xml:space="preserve">. Je to určitá společenská činnost, která směřuje k ovlivňování sociální reality. Prostřednictvím této činnosti jsou prosazovány sociálně politické cíle. Je nutné vnímat ji jako celek </w:t>
      </w:r>
      <w:r w:rsidR="001B1026">
        <w:rPr>
          <w:rFonts w:eastAsia="Times New Roman"/>
        </w:rPr>
        <w:br/>
      </w:r>
      <w:r w:rsidRPr="00FC3B7C">
        <w:rPr>
          <w:rFonts w:eastAsia="Times New Roman"/>
        </w:rPr>
        <w:t>s komplikovanými vnitřními vazbami na ostatní prvky společenského systému, je tedy úzce vázána na své společenské okolí. Primárně se orientuje na člověka, jeho rozvoj, kultivaci životních podmínek. V moderním světě se stala fenoménem (frekventovaná, kontroverzní, různě interpretovaná). SP není izolovaný fenomén, vždy součást určitého společenského celku + závislá na tradicích, vyspělosti, atd. SP je vědní obor, který je průřezový a dotýká se všech aspektů lidského života. Vždy specifická v každé zemi, ale má určité společné znaky.</w:t>
      </w:r>
    </w:p>
    <w:p w14:paraId="4A6F4A3A" w14:textId="77777777" w:rsidR="001B1026" w:rsidRDefault="001B1026" w:rsidP="00CE6695">
      <w:pPr>
        <w:spacing w:line="240" w:lineRule="auto"/>
        <w:ind w:left="440"/>
        <w:rPr>
          <w:rFonts w:eastAsia="Times New Roman"/>
          <w:b/>
          <w:bCs/>
          <w:sz w:val="28"/>
          <w:szCs w:val="28"/>
        </w:rPr>
      </w:pPr>
      <w:bookmarkStart w:id="349" w:name="page376"/>
      <w:bookmarkEnd w:id="349"/>
    </w:p>
    <w:p w14:paraId="4A6F4A3B" w14:textId="6EA5BB12" w:rsidR="00CE6695" w:rsidRPr="00EE01FF" w:rsidRDefault="00EE01FF" w:rsidP="001B1026">
      <w:pPr>
        <w:pStyle w:val="Nadpis3"/>
        <w:rPr>
          <w:color w:val="1F3864" w:themeColor="accent1" w:themeShade="80"/>
          <w:sz w:val="20"/>
          <w:szCs w:val="20"/>
        </w:rPr>
      </w:pPr>
      <w:r w:rsidRPr="00EE01FF">
        <w:rPr>
          <w:rFonts w:eastAsia="Times New Roman"/>
          <w:color w:val="1F3864" w:themeColor="accent1" w:themeShade="80"/>
        </w:rPr>
        <w:t xml:space="preserve"> </w:t>
      </w:r>
      <w:r w:rsidR="00CE6695" w:rsidRPr="00EE01FF">
        <w:rPr>
          <w:rFonts w:eastAsia="Times New Roman"/>
          <w:color w:val="1F3864" w:themeColor="accent1" w:themeShade="80"/>
        </w:rPr>
        <w:t>CÍLE SOCIÁLNÍ POLITIKY:</w:t>
      </w:r>
    </w:p>
    <w:p w14:paraId="4A6F4A3C" w14:textId="77777777" w:rsidR="00CE6695" w:rsidRPr="00FC3B7C" w:rsidRDefault="00CE6695" w:rsidP="001B1026">
      <w:pPr>
        <w:rPr>
          <w:sz w:val="20"/>
          <w:szCs w:val="20"/>
        </w:rPr>
      </w:pPr>
      <w:r w:rsidRPr="00FC3B7C">
        <w:rPr>
          <w:rFonts w:eastAsia="Times New Roman"/>
          <w:b/>
          <w:bCs/>
          <w:szCs w:val="24"/>
        </w:rPr>
        <w:t xml:space="preserve">Cíl SP </w:t>
      </w:r>
      <w:r w:rsidRPr="00FC3B7C">
        <w:rPr>
          <w:rFonts w:eastAsia="Times New Roman"/>
          <w:szCs w:val="24"/>
        </w:rPr>
        <w:t>= normativní vymezení budoucí podoby a charakteru sociální politiky.</w:t>
      </w:r>
    </w:p>
    <w:p w14:paraId="4A6F4A3D" w14:textId="77777777" w:rsidR="00CE6695" w:rsidRPr="00FC3B7C" w:rsidRDefault="00CE6695" w:rsidP="00EE01FF">
      <w:pPr>
        <w:ind w:right="280"/>
        <w:rPr>
          <w:sz w:val="20"/>
          <w:szCs w:val="20"/>
        </w:rPr>
      </w:pPr>
      <w:r w:rsidRPr="00FC3B7C">
        <w:rPr>
          <w:rFonts w:eastAsia="Times New Roman"/>
          <w:szCs w:val="24"/>
        </w:rPr>
        <w:t xml:space="preserve">Sociální politika má soustavu cílů, jimiž je naplňován </w:t>
      </w:r>
      <w:r w:rsidRPr="00FC3B7C">
        <w:rPr>
          <w:rFonts w:eastAsia="Times New Roman"/>
          <w:b/>
          <w:bCs/>
          <w:szCs w:val="24"/>
        </w:rPr>
        <w:t>cíl obecný</w:t>
      </w:r>
      <w:r w:rsidRPr="00FC3B7C">
        <w:rPr>
          <w:rFonts w:eastAsia="Times New Roman"/>
          <w:szCs w:val="24"/>
        </w:rPr>
        <w:t xml:space="preserve"> = zdokonalování životních podmínek lidí a rozvoj osobnosti člověka.</w:t>
      </w:r>
    </w:p>
    <w:p w14:paraId="4A6F4A3E" w14:textId="77777777" w:rsidR="001B1026" w:rsidRDefault="001B1026" w:rsidP="001B1026">
      <w:pPr>
        <w:rPr>
          <w:rFonts w:eastAsia="Times New Roman"/>
          <w:b/>
          <w:bCs/>
          <w:szCs w:val="24"/>
        </w:rPr>
      </w:pPr>
    </w:p>
    <w:p w14:paraId="4A6F4A3F" w14:textId="77777777" w:rsidR="00CE6695" w:rsidRPr="00FC3B7C" w:rsidRDefault="00CE6695" w:rsidP="001B1026">
      <w:pPr>
        <w:rPr>
          <w:sz w:val="20"/>
          <w:szCs w:val="20"/>
        </w:rPr>
      </w:pPr>
      <w:r w:rsidRPr="00FC3B7C">
        <w:rPr>
          <w:rFonts w:eastAsia="Times New Roman"/>
          <w:b/>
          <w:bCs/>
          <w:szCs w:val="24"/>
        </w:rPr>
        <w:lastRenderedPageBreak/>
        <w:t>Cíle SP:</w:t>
      </w:r>
    </w:p>
    <w:p w14:paraId="4A6F4A40" w14:textId="77777777" w:rsidR="00CE6695" w:rsidRPr="00FC3B7C" w:rsidRDefault="00CE6695" w:rsidP="00D46B53">
      <w:pPr>
        <w:numPr>
          <w:ilvl w:val="0"/>
          <w:numId w:val="309"/>
        </w:numPr>
        <w:tabs>
          <w:tab w:val="left" w:pos="1000"/>
        </w:tabs>
        <w:ind w:left="1000" w:hanging="360"/>
        <w:rPr>
          <w:rFonts w:eastAsia="Arial"/>
          <w:szCs w:val="24"/>
        </w:rPr>
      </w:pPr>
      <w:r w:rsidRPr="00FC3B7C">
        <w:rPr>
          <w:rFonts w:eastAsia="Times New Roman"/>
          <w:szCs w:val="24"/>
        </w:rPr>
        <w:t>Tvorba a rozvoj sociálního kapitálu</w:t>
      </w:r>
    </w:p>
    <w:p w14:paraId="4A6F4A41" w14:textId="77777777" w:rsidR="00CE6695" w:rsidRPr="00FC3B7C" w:rsidRDefault="00CE6695" w:rsidP="00D46B53">
      <w:pPr>
        <w:numPr>
          <w:ilvl w:val="0"/>
          <w:numId w:val="309"/>
        </w:numPr>
        <w:tabs>
          <w:tab w:val="left" w:pos="1000"/>
        </w:tabs>
        <w:ind w:left="1000" w:hanging="360"/>
        <w:rPr>
          <w:rFonts w:eastAsia="Arial"/>
          <w:szCs w:val="24"/>
        </w:rPr>
      </w:pPr>
      <w:r w:rsidRPr="00FC3B7C">
        <w:rPr>
          <w:rFonts w:eastAsia="Times New Roman"/>
          <w:szCs w:val="24"/>
        </w:rPr>
        <w:t>T</w:t>
      </w:r>
      <w:r w:rsidR="001B1026">
        <w:rPr>
          <w:rFonts w:eastAsia="Times New Roman"/>
          <w:szCs w:val="24"/>
        </w:rPr>
        <w:t>v</w:t>
      </w:r>
      <w:r w:rsidRPr="00FC3B7C">
        <w:rPr>
          <w:rFonts w:eastAsia="Times New Roman"/>
          <w:szCs w:val="24"/>
        </w:rPr>
        <w:t>orba zdrojů pro HDP (i opačně)</w:t>
      </w:r>
    </w:p>
    <w:p w14:paraId="4A6F4A42" w14:textId="77777777" w:rsidR="00CE6695" w:rsidRPr="00FC3B7C" w:rsidRDefault="00CE6695" w:rsidP="00D46B53">
      <w:pPr>
        <w:numPr>
          <w:ilvl w:val="0"/>
          <w:numId w:val="309"/>
        </w:numPr>
        <w:tabs>
          <w:tab w:val="left" w:pos="1000"/>
        </w:tabs>
        <w:ind w:left="1000" w:hanging="360"/>
        <w:rPr>
          <w:rFonts w:eastAsia="Arial"/>
          <w:szCs w:val="24"/>
        </w:rPr>
      </w:pPr>
      <w:r w:rsidRPr="00FC3B7C">
        <w:rPr>
          <w:rFonts w:eastAsia="Times New Roman"/>
          <w:szCs w:val="24"/>
        </w:rPr>
        <w:t>Usilovat o rovné příležitosti všech</w:t>
      </w:r>
    </w:p>
    <w:p w14:paraId="4A6F4A43" w14:textId="77777777" w:rsidR="00CE6695" w:rsidRPr="00FC3B7C" w:rsidRDefault="00CE6695" w:rsidP="00D46B53">
      <w:pPr>
        <w:numPr>
          <w:ilvl w:val="0"/>
          <w:numId w:val="309"/>
        </w:numPr>
        <w:tabs>
          <w:tab w:val="left" w:pos="1000"/>
        </w:tabs>
        <w:ind w:left="1000" w:hanging="360"/>
        <w:rPr>
          <w:rFonts w:eastAsia="Arial"/>
          <w:szCs w:val="24"/>
        </w:rPr>
      </w:pPr>
      <w:r w:rsidRPr="00FC3B7C">
        <w:rPr>
          <w:rFonts w:eastAsia="Times New Roman"/>
          <w:szCs w:val="24"/>
        </w:rPr>
        <w:t>Předcházet konfliktům (…a ztrátám)</w:t>
      </w:r>
    </w:p>
    <w:p w14:paraId="4A6F4A44" w14:textId="77777777" w:rsidR="00CE6695" w:rsidRPr="00FC3B7C" w:rsidRDefault="00CE6695" w:rsidP="00D46B53">
      <w:pPr>
        <w:numPr>
          <w:ilvl w:val="0"/>
          <w:numId w:val="309"/>
        </w:numPr>
        <w:tabs>
          <w:tab w:val="left" w:pos="1000"/>
        </w:tabs>
        <w:ind w:left="1000" w:hanging="360"/>
        <w:rPr>
          <w:rFonts w:eastAsia="Arial"/>
          <w:szCs w:val="24"/>
        </w:rPr>
      </w:pPr>
      <w:r w:rsidRPr="00FC3B7C">
        <w:rPr>
          <w:rFonts w:eastAsia="Times New Roman"/>
          <w:szCs w:val="24"/>
        </w:rPr>
        <w:t>Aktivovat a motivovat</w:t>
      </w:r>
    </w:p>
    <w:p w14:paraId="4A6F4A45" w14:textId="1AD34923" w:rsidR="00CE6695" w:rsidRPr="00FC3B7C" w:rsidRDefault="00CE6695" w:rsidP="001B1026">
      <w:pPr>
        <w:rPr>
          <w:sz w:val="20"/>
          <w:szCs w:val="20"/>
        </w:rPr>
      </w:pPr>
      <w:r w:rsidRPr="00FC3B7C">
        <w:rPr>
          <w:rFonts w:eastAsia="Times New Roman"/>
          <w:b/>
          <w:bCs/>
          <w:szCs w:val="24"/>
        </w:rPr>
        <w:t xml:space="preserve">Základní cíl </w:t>
      </w:r>
      <w:r w:rsidRPr="00FC3B7C">
        <w:rPr>
          <w:rFonts w:eastAsia="Times New Roman"/>
          <w:szCs w:val="24"/>
        </w:rPr>
        <w:t>= vytvořit důstojné podmínky</w:t>
      </w:r>
      <w:r w:rsidRPr="00FC3B7C">
        <w:rPr>
          <w:rFonts w:eastAsia="Times New Roman"/>
          <w:b/>
          <w:bCs/>
          <w:szCs w:val="24"/>
        </w:rPr>
        <w:t xml:space="preserve"> </w:t>
      </w:r>
      <w:r w:rsidRPr="00FC3B7C">
        <w:rPr>
          <w:rFonts w:eastAsia="Times New Roman"/>
          <w:szCs w:val="24"/>
        </w:rPr>
        <w:t>života a zajištění rovných příležitostí všem</w:t>
      </w:r>
      <w:r w:rsidRPr="00FC3B7C">
        <w:rPr>
          <w:rFonts w:eastAsia="Times New Roman"/>
          <w:b/>
          <w:bCs/>
          <w:szCs w:val="24"/>
        </w:rPr>
        <w:t xml:space="preserve"> </w:t>
      </w:r>
      <w:r w:rsidRPr="00FC3B7C">
        <w:rPr>
          <w:rFonts w:eastAsia="Times New Roman"/>
          <w:szCs w:val="24"/>
        </w:rPr>
        <w:t xml:space="preserve">(vzdělání, zdravotní </w:t>
      </w:r>
      <w:r w:rsidR="00124942" w:rsidRPr="00FC3B7C">
        <w:rPr>
          <w:rFonts w:eastAsia="Times New Roman"/>
          <w:szCs w:val="24"/>
        </w:rPr>
        <w:t>péče,…).</w:t>
      </w:r>
    </w:p>
    <w:p w14:paraId="4A6F4A46" w14:textId="77777777" w:rsidR="00CE6695" w:rsidRPr="00FC3B7C" w:rsidRDefault="00CE6695" w:rsidP="001B1026">
      <w:pPr>
        <w:rPr>
          <w:sz w:val="20"/>
          <w:szCs w:val="20"/>
        </w:rPr>
      </w:pPr>
      <w:r w:rsidRPr="00FC3B7C">
        <w:rPr>
          <w:rFonts w:eastAsia="Times New Roman"/>
          <w:b/>
          <w:bCs/>
          <w:szCs w:val="24"/>
        </w:rPr>
        <w:t>Hlavní cíl lze dekomponovat do dílčích cílů:</w:t>
      </w:r>
    </w:p>
    <w:p w14:paraId="4A6F4A47" w14:textId="77777777" w:rsidR="00CE6695" w:rsidRPr="00FC3B7C" w:rsidRDefault="00CE6695" w:rsidP="00D46B53">
      <w:pPr>
        <w:numPr>
          <w:ilvl w:val="0"/>
          <w:numId w:val="310"/>
        </w:numPr>
        <w:tabs>
          <w:tab w:val="left" w:pos="1080"/>
        </w:tabs>
        <w:ind w:left="1080" w:hanging="370"/>
        <w:rPr>
          <w:rFonts w:eastAsia="Times New Roman"/>
          <w:szCs w:val="24"/>
        </w:rPr>
      </w:pPr>
      <w:r w:rsidRPr="00FC3B7C">
        <w:rPr>
          <w:rFonts w:eastAsia="Times New Roman"/>
          <w:b/>
          <w:bCs/>
          <w:szCs w:val="24"/>
        </w:rPr>
        <w:t>dle typu potřeb</w:t>
      </w:r>
      <w:r w:rsidRPr="00FC3B7C">
        <w:rPr>
          <w:rFonts w:eastAsia="Times New Roman"/>
          <w:szCs w:val="24"/>
        </w:rPr>
        <w:t>, na něž</w:t>
      </w:r>
      <w:r w:rsidRPr="00FC3B7C">
        <w:rPr>
          <w:rFonts w:eastAsia="Times New Roman"/>
          <w:b/>
          <w:bCs/>
          <w:szCs w:val="24"/>
        </w:rPr>
        <w:t xml:space="preserve"> </w:t>
      </w:r>
      <w:r w:rsidRPr="00FC3B7C">
        <w:rPr>
          <w:rFonts w:eastAsia="Times New Roman"/>
          <w:szCs w:val="24"/>
        </w:rPr>
        <w:t xml:space="preserve">cíle reagují – hmotné duchovní, kulturní, psychické </w:t>
      </w:r>
      <w:r w:rsidR="001B1026">
        <w:rPr>
          <w:rFonts w:eastAsia="Times New Roman"/>
          <w:szCs w:val="24"/>
        </w:rPr>
        <w:br/>
      </w:r>
      <w:r w:rsidRPr="00FC3B7C">
        <w:rPr>
          <w:rFonts w:eastAsia="Times New Roman"/>
          <w:szCs w:val="24"/>
        </w:rPr>
        <w:t>a</w:t>
      </w:r>
      <w:r w:rsidRPr="00FC3B7C">
        <w:rPr>
          <w:rFonts w:eastAsia="Times New Roman"/>
          <w:b/>
          <w:bCs/>
          <w:szCs w:val="24"/>
        </w:rPr>
        <w:t xml:space="preserve"> </w:t>
      </w:r>
      <w:r w:rsidRPr="00FC3B7C">
        <w:rPr>
          <w:rFonts w:eastAsia="Times New Roman"/>
          <w:szCs w:val="24"/>
        </w:rPr>
        <w:t>fyzické</w:t>
      </w:r>
    </w:p>
    <w:p w14:paraId="4A6F4A48" w14:textId="77777777" w:rsidR="00CE6695" w:rsidRPr="00FC3B7C" w:rsidRDefault="00CE6695" w:rsidP="00D46B53">
      <w:pPr>
        <w:numPr>
          <w:ilvl w:val="0"/>
          <w:numId w:val="310"/>
        </w:numPr>
        <w:tabs>
          <w:tab w:val="left" w:pos="1120"/>
        </w:tabs>
        <w:ind w:left="1120" w:hanging="410"/>
        <w:rPr>
          <w:rFonts w:eastAsia="Times New Roman"/>
          <w:szCs w:val="24"/>
        </w:rPr>
      </w:pPr>
      <w:r w:rsidRPr="00FC3B7C">
        <w:rPr>
          <w:rFonts w:eastAsia="Times New Roman"/>
          <w:b/>
          <w:bCs/>
          <w:szCs w:val="24"/>
        </w:rPr>
        <w:t xml:space="preserve">dle odvětví sociální politiky </w:t>
      </w:r>
      <w:r w:rsidRPr="00FC3B7C">
        <w:rPr>
          <w:rFonts w:eastAsia="Times New Roman"/>
          <w:szCs w:val="24"/>
        </w:rPr>
        <w:t>– zdravotnictví,</w:t>
      </w:r>
      <w:r w:rsidRPr="00FC3B7C">
        <w:rPr>
          <w:rFonts w:eastAsia="Times New Roman"/>
          <w:b/>
          <w:bCs/>
          <w:szCs w:val="24"/>
        </w:rPr>
        <w:t xml:space="preserve"> </w:t>
      </w:r>
      <w:r w:rsidRPr="00FC3B7C">
        <w:rPr>
          <w:rFonts w:eastAsia="Times New Roman"/>
          <w:szCs w:val="24"/>
        </w:rPr>
        <w:t>školství, bydlení, rodinná politika</w:t>
      </w:r>
    </w:p>
    <w:p w14:paraId="4A6F4A49" w14:textId="77777777" w:rsidR="00CE6695" w:rsidRPr="00FC3B7C" w:rsidRDefault="00CE6695" w:rsidP="00D46B53">
      <w:pPr>
        <w:numPr>
          <w:ilvl w:val="0"/>
          <w:numId w:val="310"/>
        </w:numPr>
        <w:tabs>
          <w:tab w:val="left" w:pos="1080"/>
        </w:tabs>
        <w:ind w:left="1080" w:hanging="370"/>
        <w:rPr>
          <w:rFonts w:eastAsia="Times New Roman"/>
          <w:szCs w:val="24"/>
        </w:rPr>
      </w:pPr>
      <w:r w:rsidRPr="00FC3B7C">
        <w:rPr>
          <w:rFonts w:eastAsia="Times New Roman"/>
          <w:b/>
          <w:bCs/>
          <w:szCs w:val="24"/>
        </w:rPr>
        <w:t xml:space="preserve">dle časového hlediska </w:t>
      </w:r>
      <w:r w:rsidRPr="00FC3B7C">
        <w:rPr>
          <w:rFonts w:eastAsia="Times New Roman"/>
          <w:szCs w:val="24"/>
        </w:rPr>
        <w:t>– cíle okamžité (stabilizace zdravotnictví), cíle budoucí</w:t>
      </w:r>
      <w:r w:rsidRPr="00FC3B7C">
        <w:rPr>
          <w:rFonts w:eastAsia="Times New Roman"/>
          <w:b/>
          <w:bCs/>
          <w:szCs w:val="24"/>
        </w:rPr>
        <w:t xml:space="preserve"> </w:t>
      </w:r>
      <w:r w:rsidRPr="00FC3B7C">
        <w:rPr>
          <w:rFonts w:eastAsia="Times New Roman"/>
          <w:szCs w:val="24"/>
        </w:rPr>
        <w:t>(důchodová reforma)</w:t>
      </w:r>
    </w:p>
    <w:p w14:paraId="4A6F4A4A" w14:textId="77777777" w:rsidR="00CE6695" w:rsidRPr="00FC3B7C" w:rsidRDefault="00CE6695" w:rsidP="00CE6695">
      <w:pPr>
        <w:spacing w:line="200" w:lineRule="exact"/>
        <w:rPr>
          <w:sz w:val="20"/>
          <w:szCs w:val="20"/>
        </w:rPr>
      </w:pPr>
    </w:p>
    <w:p w14:paraId="4A6F4A4B" w14:textId="77777777" w:rsidR="00CE6695" w:rsidRPr="00FC3B7C" w:rsidRDefault="00CE6695" w:rsidP="00CE6695">
      <w:pPr>
        <w:spacing w:line="209" w:lineRule="exact"/>
        <w:rPr>
          <w:sz w:val="20"/>
          <w:szCs w:val="20"/>
        </w:rPr>
      </w:pPr>
    </w:p>
    <w:p w14:paraId="4A6F4A4D" w14:textId="1CE4A4B7" w:rsidR="001B1026" w:rsidRPr="00244BB9" w:rsidRDefault="00CE6695" w:rsidP="001B1026">
      <w:pPr>
        <w:pStyle w:val="Nadpis2"/>
        <w:rPr>
          <w:rFonts w:eastAsia="Times New Roman"/>
          <w:color w:val="1F3864" w:themeColor="accent1" w:themeShade="80"/>
        </w:rPr>
      </w:pPr>
      <w:r w:rsidRPr="00244BB9">
        <w:rPr>
          <w:rFonts w:eastAsia="Times New Roman"/>
          <w:color w:val="1F3864" w:themeColor="accent1" w:themeShade="80"/>
        </w:rPr>
        <w:t>PŘÍSTUPY SP:</w:t>
      </w:r>
    </w:p>
    <w:p w14:paraId="4A6F4A4E" w14:textId="77777777" w:rsidR="001B1026" w:rsidRPr="00EE01FF" w:rsidRDefault="00CE6695" w:rsidP="001B1026">
      <w:pPr>
        <w:pStyle w:val="Nadpis3"/>
        <w:rPr>
          <w:rFonts w:eastAsia="Times New Roman"/>
          <w:color w:val="1F3864" w:themeColor="accent1" w:themeShade="80"/>
        </w:rPr>
      </w:pPr>
      <w:r w:rsidRPr="00EE01FF">
        <w:rPr>
          <w:rFonts w:eastAsia="Times New Roman"/>
          <w:color w:val="1F3864" w:themeColor="accent1" w:themeShade="80"/>
        </w:rPr>
        <w:t>Přístupy podle pojetí</w:t>
      </w:r>
    </w:p>
    <w:p w14:paraId="4A6F4A4F" w14:textId="77777777" w:rsidR="00CE6695" w:rsidRPr="00EE01FF" w:rsidRDefault="00CE6695" w:rsidP="001B1026">
      <w:pPr>
        <w:pStyle w:val="Nadpis4"/>
        <w:rPr>
          <w:color w:val="1F3864" w:themeColor="accent1" w:themeShade="80"/>
          <w:sz w:val="20"/>
          <w:szCs w:val="20"/>
        </w:rPr>
      </w:pPr>
      <w:r w:rsidRPr="00EE01FF">
        <w:rPr>
          <w:rFonts w:eastAsia="Times New Roman"/>
          <w:color w:val="1F3864" w:themeColor="accent1" w:themeShade="80"/>
        </w:rPr>
        <w:t>Širší pojetí</w:t>
      </w:r>
    </w:p>
    <w:p w14:paraId="4A6F4A50" w14:textId="77777777" w:rsidR="00CE6695" w:rsidRDefault="00CE6695" w:rsidP="00EE01FF">
      <w:pPr>
        <w:ind w:left="568"/>
        <w:rPr>
          <w:rFonts w:eastAsia="Times New Roman"/>
        </w:rPr>
      </w:pPr>
      <w:r w:rsidRPr="00FC3B7C">
        <w:rPr>
          <w:rFonts w:eastAsia="Times New Roman"/>
        </w:rPr>
        <w:t xml:space="preserve">Konkrétní chování státu a jiných subjektů, které ovlivňují sociální sféru společnosti. Jde </w:t>
      </w:r>
      <w:r w:rsidR="001B1026">
        <w:rPr>
          <w:rFonts w:eastAsia="Times New Roman"/>
        </w:rPr>
        <w:br/>
      </w:r>
      <w:r w:rsidRPr="00FC3B7C">
        <w:rPr>
          <w:rFonts w:eastAsia="Times New Roman"/>
        </w:rPr>
        <w:t>o aktivity bezprostředně vázané na životní podmínky lidí. Vymezení významné pro dlouhodobé koncepční úvahy o SP, souvisí s volbou typu SP, s tvorbou určitého sociálního programu (sociální doktríny).</w:t>
      </w:r>
    </w:p>
    <w:p w14:paraId="4A6F4A51" w14:textId="77777777" w:rsidR="001B1026" w:rsidRPr="00FC3B7C" w:rsidRDefault="001B1026" w:rsidP="001B1026">
      <w:pPr>
        <w:rPr>
          <w:sz w:val="20"/>
          <w:szCs w:val="20"/>
        </w:rPr>
      </w:pPr>
    </w:p>
    <w:p w14:paraId="4A6F4A52" w14:textId="77777777" w:rsidR="00CE6695" w:rsidRPr="00EE01FF" w:rsidRDefault="00CE6695" w:rsidP="001B1026">
      <w:pPr>
        <w:pStyle w:val="Nadpis4"/>
        <w:rPr>
          <w:color w:val="1F3864" w:themeColor="accent1" w:themeShade="80"/>
          <w:sz w:val="20"/>
          <w:szCs w:val="20"/>
        </w:rPr>
      </w:pPr>
      <w:bookmarkStart w:id="350" w:name="page377"/>
      <w:bookmarkEnd w:id="350"/>
      <w:r w:rsidRPr="00EE01FF">
        <w:rPr>
          <w:rFonts w:eastAsia="Times New Roman"/>
          <w:color w:val="1F3864" w:themeColor="accent1" w:themeShade="80"/>
        </w:rPr>
        <w:t>Užší pojetí</w:t>
      </w:r>
    </w:p>
    <w:p w14:paraId="4A6F4A53" w14:textId="77777777" w:rsidR="00CE6695" w:rsidRDefault="00CE6695" w:rsidP="00EE01FF">
      <w:pPr>
        <w:ind w:left="568"/>
        <w:rPr>
          <w:rFonts w:eastAsia="Times New Roman"/>
        </w:rPr>
      </w:pPr>
      <w:r w:rsidRPr="00FC3B7C">
        <w:rPr>
          <w:rFonts w:eastAsia="Times New Roman"/>
        </w:rPr>
        <w:t xml:space="preserve">Cílem takové politiky je reagovat na sociální rizika (jejich možné negativní důsledky) </w:t>
      </w:r>
      <w:r w:rsidR="001B1026">
        <w:rPr>
          <w:rFonts w:eastAsia="Times New Roman"/>
        </w:rPr>
        <w:br/>
      </w:r>
      <w:r w:rsidRPr="00FC3B7C">
        <w:rPr>
          <w:rFonts w:eastAsia="Times New Roman"/>
        </w:rPr>
        <w:t>a eliminovat sociální tvrdosti, které doprovázejí fungování tržního systému (nezaměstnanost, chudoba). Toto pojetí omezuje SP především na oblast zaměstnanosti a sociálního zabezpečení. V ČR někdy v souvislosti s tímto pojetím mluvíme o tzv. resortní sociální politice, jelikož spadá pod resort MPSV.</w:t>
      </w:r>
    </w:p>
    <w:p w14:paraId="4A6F4A54" w14:textId="77777777" w:rsidR="001B1026" w:rsidRDefault="001B1026" w:rsidP="001B1026">
      <w:pPr>
        <w:rPr>
          <w:rFonts w:eastAsia="Times New Roman"/>
        </w:rPr>
      </w:pPr>
    </w:p>
    <w:p w14:paraId="4A6F4A55" w14:textId="0A8FB9A8" w:rsidR="001B1026" w:rsidRDefault="001B1026" w:rsidP="001B1026">
      <w:pPr>
        <w:rPr>
          <w:rFonts w:eastAsia="Times New Roman"/>
        </w:rPr>
      </w:pPr>
    </w:p>
    <w:p w14:paraId="46D205D9" w14:textId="77777777" w:rsidR="00244BB9" w:rsidRDefault="00244BB9" w:rsidP="001B1026">
      <w:pPr>
        <w:rPr>
          <w:rFonts w:eastAsia="Times New Roman"/>
        </w:rPr>
      </w:pPr>
    </w:p>
    <w:p w14:paraId="4A6F4A56" w14:textId="77777777" w:rsidR="00CE6695" w:rsidRPr="00FC3B7C" w:rsidRDefault="00CE6695" w:rsidP="00CE6695">
      <w:pPr>
        <w:spacing w:line="188" w:lineRule="exact"/>
        <w:rPr>
          <w:sz w:val="20"/>
          <w:szCs w:val="20"/>
        </w:rPr>
      </w:pPr>
    </w:p>
    <w:p w14:paraId="4A6F4A57" w14:textId="67069FB7" w:rsidR="00CE6695" w:rsidRPr="00EE01FF" w:rsidRDefault="00EE01FF" w:rsidP="00FC274B">
      <w:pPr>
        <w:pStyle w:val="Nadpis3"/>
        <w:rPr>
          <w:color w:val="1F3864" w:themeColor="accent1" w:themeShade="80"/>
          <w:sz w:val="20"/>
          <w:szCs w:val="20"/>
        </w:rPr>
      </w:pPr>
      <w:r>
        <w:rPr>
          <w:rFonts w:eastAsia="Times New Roman"/>
          <w:color w:val="1F3864" w:themeColor="accent1" w:themeShade="80"/>
        </w:rPr>
        <w:lastRenderedPageBreak/>
        <w:t xml:space="preserve"> </w:t>
      </w:r>
      <w:r w:rsidR="00CE6695" w:rsidRPr="00EE01FF">
        <w:rPr>
          <w:rFonts w:eastAsia="Times New Roman"/>
          <w:color w:val="1F3864" w:themeColor="accent1" w:themeShade="80"/>
        </w:rPr>
        <w:t xml:space="preserve">Přístupy k řešení </w:t>
      </w:r>
      <w:r w:rsidR="00CE6695" w:rsidRPr="00EE01FF">
        <w:rPr>
          <w:color w:val="1F3864" w:themeColor="accent1" w:themeShade="80"/>
        </w:rPr>
        <w:t>problémů</w:t>
      </w:r>
      <w:r w:rsidR="00CE6695" w:rsidRPr="00EE01FF">
        <w:rPr>
          <w:rFonts w:eastAsia="Times New Roman"/>
          <w:color w:val="1F3864" w:themeColor="accent1" w:themeShade="80"/>
        </w:rPr>
        <w:t xml:space="preserve"> SP</w:t>
      </w:r>
    </w:p>
    <w:p w14:paraId="4A6F4A58" w14:textId="77777777" w:rsidR="00CE6695" w:rsidRPr="00FC3B7C" w:rsidRDefault="00CE6695" w:rsidP="00CE6695">
      <w:pPr>
        <w:spacing w:line="222" w:lineRule="exact"/>
        <w:rPr>
          <w:sz w:val="20"/>
          <w:szCs w:val="20"/>
        </w:rPr>
      </w:pPr>
    </w:p>
    <w:p w14:paraId="4A6F4A59" w14:textId="77777777" w:rsidR="00CE6695" w:rsidRPr="001B1026" w:rsidRDefault="00CE6695" w:rsidP="00D46B53">
      <w:pPr>
        <w:numPr>
          <w:ilvl w:val="0"/>
          <w:numId w:val="311"/>
        </w:numPr>
        <w:tabs>
          <w:tab w:val="left" w:pos="1280"/>
        </w:tabs>
        <w:spacing w:line="366" w:lineRule="auto"/>
        <w:ind w:left="1280" w:right="1120" w:hanging="357"/>
        <w:rPr>
          <w:rFonts w:eastAsia="Arial"/>
          <w:szCs w:val="24"/>
        </w:rPr>
      </w:pPr>
      <w:r w:rsidRPr="00FC3B7C">
        <w:rPr>
          <w:rFonts w:eastAsia="Times New Roman"/>
          <w:b/>
          <w:bCs/>
          <w:szCs w:val="24"/>
        </w:rPr>
        <w:t xml:space="preserve">Aktivní </w:t>
      </w:r>
      <w:r w:rsidRPr="00FC3B7C">
        <w:rPr>
          <w:rFonts w:eastAsia="Times New Roman"/>
          <w:szCs w:val="24"/>
        </w:rPr>
        <w:t>- prevence, předcházení vzniku sociálních problémů</w:t>
      </w:r>
      <w:r w:rsidRPr="00FC3B7C">
        <w:rPr>
          <w:rFonts w:eastAsia="Times New Roman"/>
          <w:b/>
          <w:bCs/>
          <w:szCs w:val="24"/>
        </w:rPr>
        <w:t xml:space="preserve"> </w:t>
      </w:r>
      <w:r w:rsidRPr="00FC3B7C">
        <w:rPr>
          <w:rFonts w:eastAsia="Times New Roman"/>
          <w:szCs w:val="24"/>
        </w:rPr>
        <w:t>přijímáním opatření „ex ante“</w:t>
      </w:r>
    </w:p>
    <w:p w14:paraId="4A6F4A5A" w14:textId="77777777" w:rsidR="00CE6695" w:rsidRPr="00FC3B7C" w:rsidRDefault="00CE6695" w:rsidP="00D46B53">
      <w:pPr>
        <w:numPr>
          <w:ilvl w:val="0"/>
          <w:numId w:val="311"/>
        </w:numPr>
        <w:tabs>
          <w:tab w:val="left" w:pos="1280"/>
        </w:tabs>
        <w:spacing w:line="398" w:lineRule="auto"/>
        <w:ind w:left="1280" w:right="1120" w:hanging="357"/>
        <w:rPr>
          <w:rFonts w:eastAsia="Arial"/>
          <w:szCs w:val="24"/>
        </w:rPr>
      </w:pPr>
      <w:r w:rsidRPr="00FC3B7C">
        <w:rPr>
          <w:rFonts w:eastAsia="Times New Roman"/>
          <w:b/>
          <w:bCs/>
          <w:szCs w:val="24"/>
        </w:rPr>
        <w:t xml:space="preserve">Pasivní (retrospektivní) </w:t>
      </w:r>
      <w:r w:rsidRPr="00FC3B7C">
        <w:rPr>
          <w:rFonts w:eastAsia="Times New Roman"/>
          <w:szCs w:val="24"/>
        </w:rPr>
        <w:t>-</w:t>
      </w:r>
      <w:r w:rsidRPr="00FC3B7C">
        <w:rPr>
          <w:rFonts w:eastAsia="Times New Roman"/>
          <w:b/>
          <w:bCs/>
          <w:szCs w:val="24"/>
        </w:rPr>
        <w:t xml:space="preserve"> </w:t>
      </w:r>
      <w:r w:rsidRPr="00FC3B7C">
        <w:rPr>
          <w:rFonts w:eastAsia="Times New Roman"/>
          <w:szCs w:val="24"/>
        </w:rPr>
        <w:t>řešení již</w:t>
      </w:r>
      <w:r w:rsidRPr="00FC3B7C">
        <w:rPr>
          <w:rFonts w:eastAsia="Times New Roman"/>
          <w:b/>
          <w:bCs/>
          <w:szCs w:val="24"/>
        </w:rPr>
        <w:t xml:space="preserve"> </w:t>
      </w:r>
      <w:r w:rsidRPr="00FC3B7C">
        <w:rPr>
          <w:rFonts w:eastAsia="Times New Roman"/>
          <w:szCs w:val="24"/>
        </w:rPr>
        <w:t>vzniklých sociálních problémů,</w:t>
      </w:r>
      <w:r w:rsidRPr="00FC3B7C">
        <w:rPr>
          <w:rFonts w:eastAsia="Times New Roman"/>
          <w:b/>
          <w:bCs/>
          <w:szCs w:val="24"/>
        </w:rPr>
        <w:t xml:space="preserve"> </w:t>
      </w:r>
      <w:r w:rsidRPr="00FC3B7C">
        <w:rPr>
          <w:rFonts w:eastAsia="Times New Roman"/>
          <w:szCs w:val="24"/>
        </w:rPr>
        <w:t>reakce „ex post“</w:t>
      </w:r>
    </w:p>
    <w:p w14:paraId="4A6F4A5B" w14:textId="77777777" w:rsidR="00CE6695" w:rsidRPr="00FC3B7C" w:rsidRDefault="00CE6695" w:rsidP="00CE6695">
      <w:pPr>
        <w:spacing w:line="148" w:lineRule="exact"/>
        <w:rPr>
          <w:sz w:val="20"/>
          <w:szCs w:val="20"/>
        </w:rPr>
      </w:pPr>
    </w:p>
    <w:p w14:paraId="4A6F4A5C" w14:textId="042A2B31" w:rsidR="00CE6695" w:rsidRPr="00EE01FF" w:rsidRDefault="00EE01FF" w:rsidP="00FC274B">
      <w:pPr>
        <w:pStyle w:val="Nadpis3"/>
        <w:rPr>
          <w:color w:val="1F3864" w:themeColor="accent1" w:themeShade="80"/>
          <w:sz w:val="20"/>
          <w:szCs w:val="20"/>
        </w:rPr>
      </w:pPr>
      <w:r>
        <w:rPr>
          <w:rFonts w:eastAsia="Times New Roman"/>
          <w:color w:val="1F3864" w:themeColor="accent1" w:themeShade="80"/>
        </w:rPr>
        <w:t xml:space="preserve"> </w:t>
      </w:r>
      <w:r w:rsidR="00CE6695" w:rsidRPr="00EE01FF">
        <w:rPr>
          <w:rFonts w:eastAsia="Times New Roman"/>
          <w:color w:val="1F3864" w:themeColor="accent1" w:themeShade="80"/>
        </w:rPr>
        <w:t>Vnímání slova „sociální“ ve třech rovinách</w:t>
      </w:r>
    </w:p>
    <w:p w14:paraId="4A6F4A5D" w14:textId="77777777" w:rsidR="00CE6695" w:rsidRPr="00FC3B7C" w:rsidRDefault="00CE6695" w:rsidP="00D46B53">
      <w:pPr>
        <w:numPr>
          <w:ilvl w:val="0"/>
          <w:numId w:val="312"/>
        </w:numPr>
        <w:tabs>
          <w:tab w:val="left" w:pos="1280"/>
        </w:tabs>
        <w:ind w:left="1280" w:right="20" w:hanging="357"/>
        <w:rPr>
          <w:rFonts w:eastAsia="Times New Roman"/>
          <w:b/>
          <w:bCs/>
          <w:szCs w:val="24"/>
        </w:rPr>
      </w:pPr>
      <w:r w:rsidRPr="00FC3B7C">
        <w:rPr>
          <w:rFonts w:eastAsia="Times New Roman"/>
          <w:b/>
          <w:bCs/>
          <w:szCs w:val="24"/>
        </w:rPr>
        <w:t xml:space="preserve">v nejširším </w:t>
      </w:r>
      <w:r w:rsidRPr="00FC3B7C">
        <w:rPr>
          <w:rFonts w:eastAsia="Times New Roman"/>
          <w:szCs w:val="24"/>
        </w:rPr>
        <w:t>slova smyslu tj. sociální jako společenský</w:t>
      </w:r>
      <w:r w:rsidRPr="00FC3B7C">
        <w:rPr>
          <w:rFonts w:eastAsia="Times New Roman"/>
          <w:b/>
          <w:bCs/>
          <w:szCs w:val="24"/>
        </w:rPr>
        <w:t xml:space="preserve"> </w:t>
      </w:r>
      <w:r w:rsidRPr="00FC3B7C">
        <w:rPr>
          <w:rFonts w:eastAsia="Times New Roman"/>
          <w:szCs w:val="24"/>
        </w:rPr>
        <w:t>(společenský</w:t>
      </w:r>
      <w:r w:rsidRPr="00FC3B7C">
        <w:rPr>
          <w:rFonts w:eastAsia="Times New Roman"/>
          <w:b/>
          <w:bCs/>
          <w:szCs w:val="24"/>
        </w:rPr>
        <w:t xml:space="preserve"> </w:t>
      </w:r>
      <w:r w:rsidRPr="00FC3B7C">
        <w:rPr>
          <w:rFonts w:eastAsia="Times New Roman"/>
          <w:szCs w:val="24"/>
        </w:rPr>
        <w:t>= vztahující</w:t>
      </w:r>
      <w:r w:rsidRPr="00FC3B7C">
        <w:rPr>
          <w:rFonts w:eastAsia="Times New Roman"/>
          <w:b/>
          <w:bCs/>
          <w:szCs w:val="24"/>
        </w:rPr>
        <w:t xml:space="preserve"> </w:t>
      </w:r>
      <w:r w:rsidRPr="00FC3B7C">
        <w:rPr>
          <w:rFonts w:eastAsia="Times New Roman"/>
          <w:szCs w:val="24"/>
        </w:rPr>
        <w:t>se ke společnosti, týkající se vztahů mezi lidmi)</w:t>
      </w:r>
    </w:p>
    <w:p w14:paraId="4A6F4A5E" w14:textId="77777777" w:rsidR="00CE6695" w:rsidRPr="00FC3B7C" w:rsidRDefault="00CE6695" w:rsidP="00D46B53">
      <w:pPr>
        <w:numPr>
          <w:ilvl w:val="0"/>
          <w:numId w:val="312"/>
        </w:numPr>
        <w:tabs>
          <w:tab w:val="left" w:pos="1280"/>
        </w:tabs>
        <w:ind w:left="1280" w:hanging="357"/>
        <w:rPr>
          <w:rFonts w:eastAsia="Times New Roman"/>
          <w:b/>
          <w:bCs/>
          <w:szCs w:val="24"/>
        </w:rPr>
      </w:pPr>
      <w:r w:rsidRPr="00FC3B7C">
        <w:rPr>
          <w:rFonts w:eastAsia="Times New Roman"/>
          <w:b/>
          <w:bCs/>
          <w:szCs w:val="24"/>
        </w:rPr>
        <w:t xml:space="preserve">v užším </w:t>
      </w:r>
      <w:r w:rsidRPr="00FC3B7C">
        <w:rPr>
          <w:rFonts w:eastAsia="Times New Roman"/>
          <w:szCs w:val="24"/>
        </w:rPr>
        <w:t>slova smyslu tj. jako aktivity směřující bezprostředně</w:t>
      </w:r>
      <w:r w:rsidRPr="00FC3B7C">
        <w:rPr>
          <w:rFonts w:eastAsia="Times New Roman"/>
          <w:b/>
          <w:bCs/>
          <w:szCs w:val="24"/>
        </w:rPr>
        <w:t xml:space="preserve"> </w:t>
      </w:r>
      <w:r w:rsidRPr="00FC3B7C">
        <w:rPr>
          <w:rFonts w:eastAsia="Times New Roman"/>
          <w:szCs w:val="24"/>
        </w:rPr>
        <w:t>ke zlepšování</w:t>
      </w:r>
      <w:r w:rsidRPr="00FC3B7C">
        <w:rPr>
          <w:rFonts w:eastAsia="Times New Roman"/>
          <w:b/>
          <w:bCs/>
          <w:szCs w:val="24"/>
        </w:rPr>
        <w:t xml:space="preserve"> </w:t>
      </w:r>
      <w:r w:rsidRPr="00FC3B7C">
        <w:rPr>
          <w:rFonts w:eastAsia="Times New Roman"/>
          <w:szCs w:val="24"/>
        </w:rPr>
        <w:t>životních podmínek lidí (aktivity směřující ke zdokonalování životních podmínek lidí, zlepšování společenských poměrů)</w:t>
      </w:r>
    </w:p>
    <w:p w14:paraId="4A6F4A5F" w14:textId="77777777" w:rsidR="00CE6695" w:rsidRPr="00FC3B7C" w:rsidRDefault="00CE6695" w:rsidP="00D46B53">
      <w:pPr>
        <w:numPr>
          <w:ilvl w:val="0"/>
          <w:numId w:val="312"/>
        </w:numPr>
        <w:tabs>
          <w:tab w:val="left" w:pos="1280"/>
        </w:tabs>
        <w:ind w:left="1280" w:hanging="357"/>
        <w:rPr>
          <w:rFonts w:eastAsia="Times New Roman"/>
          <w:b/>
          <w:bCs/>
          <w:szCs w:val="24"/>
        </w:rPr>
      </w:pPr>
      <w:r w:rsidRPr="00FC3B7C">
        <w:rPr>
          <w:rFonts w:eastAsia="Times New Roman"/>
          <w:b/>
          <w:bCs/>
          <w:szCs w:val="24"/>
        </w:rPr>
        <w:t xml:space="preserve">v nejužším </w:t>
      </w:r>
      <w:r w:rsidRPr="00FC3B7C">
        <w:rPr>
          <w:rFonts w:eastAsia="Times New Roman"/>
          <w:szCs w:val="24"/>
        </w:rPr>
        <w:t>slova smyslu tj. ve smyslu kurativním, smyslu</w:t>
      </w:r>
      <w:r w:rsidRPr="00FC3B7C">
        <w:rPr>
          <w:rFonts w:eastAsia="Times New Roman"/>
          <w:b/>
          <w:bCs/>
          <w:szCs w:val="24"/>
        </w:rPr>
        <w:t xml:space="preserve"> </w:t>
      </w:r>
      <w:r w:rsidRPr="00FC3B7C">
        <w:rPr>
          <w:rFonts w:eastAsia="Times New Roman"/>
          <w:szCs w:val="24"/>
        </w:rPr>
        <w:t>řešení nepříznivých</w:t>
      </w:r>
      <w:r w:rsidRPr="00FC3B7C">
        <w:rPr>
          <w:rFonts w:eastAsia="Times New Roman"/>
          <w:b/>
          <w:bCs/>
          <w:szCs w:val="24"/>
        </w:rPr>
        <w:t xml:space="preserve"> </w:t>
      </w:r>
      <w:r w:rsidRPr="00FC3B7C">
        <w:rPr>
          <w:rFonts w:eastAsia="Times New Roman"/>
          <w:szCs w:val="24"/>
        </w:rPr>
        <w:t>nouzových sociálních situací (řešení nepříznivých sociálních situací, hmotné zabezpečení jedince)</w:t>
      </w:r>
    </w:p>
    <w:p w14:paraId="4A6F4A60" w14:textId="77777777" w:rsidR="00CE6695" w:rsidRPr="00244BB9" w:rsidRDefault="00CE6695" w:rsidP="00CE6695">
      <w:pPr>
        <w:spacing w:line="180" w:lineRule="exact"/>
        <w:rPr>
          <w:color w:val="1F3864" w:themeColor="accent1" w:themeShade="80"/>
          <w:sz w:val="20"/>
          <w:szCs w:val="20"/>
        </w:rPr>
      </w:pPr>
    </w:p>
    <w:p w14:paraId="4A6F4A61" w14:textId="60C7A601" w:rsidR="00CE6695" w:rsidRPr="00244BB9" w:rsidRDefault="00EE01FF" w:rsidP="00FC274B">
      <w:pPr>
        <w:pStyle w:val="Nadpis3"/>
        <w:rPr>
          <w:color w:val="1F3864" w:themeColor="accent1" w:themeShade="80"/>
          <w:sz w:val="20"/>
          <w:szCs w:val="20"/>
        </w:rPr>
      </w:pPr>
      <w:r w:rsidRPr="00244BB9">
        <w:rPr>
          <w:rFonts w:eastAsia="Times New Roman"/>
          <w:color w:val="1F3864" w:themeColor="accent1" w:themeShade="80"/>
        </w:rPr>
        <w:t xml:space="preserve"> </w:t>
      </w:r>
      <w:r w:rsidR="00CE6695" w:rsidRPr="00244BB9">
        <w:rPr>
          <w:rFonts w:eastAsia="Times New Roman"/>
          <w:color w:val="1F3864" w:themeColor="accent1" w:themeShade="80"/>
        </w:rPr>
        <w:t>Sociálně politické doktríny</w:t>
      </w:r>
    </w:p>
    <w:p w14:paraId="4A6F4A62" w14:textId="77777777" w:rsidR="00CE6695" w:rsidRDefault="00CE6695" w:rsidP="00EE01FF">
      <w:pPr>
        <w:ind w:left="568"/>
        <w:rPr>
          <w:rFonts w:eastAsia="Times New Roman"/>
        </w:rPr>
      </w:pPr>
      <w:bookmarkStart w:id="351" w:name="_Hlk531029417"/>
      <w:r w:rsidRPr="00FC3B7C">
        <w:rPr>
          <w:rFonts w:eastAsia="Times New Roman"/>
        </w:rPr>
        <w:t>Pro volbu a interpretaci základních principů, myšlenkových postupů</w:t>
      </w:r>
      <w:bookmarkEnd w:id="351"/>
      <w:r w:rsidRPr="00FC3B7C">
        <w:rPr>
          <w:rFonts w:eastAsia="Times New Roman"/>
        </w:rPr>
        <w:t>, má samozřejmě význam obecné filozofické učení a tzv. sociálně politické doktríny.</w:t>
      </w:r>
    </w:p>
    <w:p w14:paraId="4A6F4A63" w14:textId="77777777" w:rsidR="00FC274B" w:rsidRPr="00FC3B7C" w:rsidRDefault="00FC274B" w:rsidP="00FC274B">
      <w:pPr>
        <w:rPr>
          <w:sz w:val="20"/>
          <w:szCs w:val="20"/>
        </w:rPr>
      </w:pPr>
    </w:p>
    <w:p w14:paraId="4A6F4A64" w14:textId="77777777" w:rsidR="00CE6695" w:rsidRPr="00FC3B7C" w:rsidRDefault="00CE6695" w:rsidP="00CE6695">
      <w:pPr>
        <w:spacing w:line="1" w:lineRule="exact"/>
        <w:rPr>
          <w:sz w:val="20"/>
          <w:szCs w:val="20"/>
        </w:rPr>
      </w:pPr>
    </w:p>
    <w:p w14:paraId="4A6F4A65" w14:textId="77777777" w:rsidR="00CE6695" w:rsidRPr="00EE01FF" w:rsidRDefault="00CE6695" w:rsidP="00FC274B">
      <w:pPr>
        <w:pStyle w:val="Nadpis4"/>
        <w:rPr>
          <w:color w:val="1F3864" w:themeColor="accent1" w:themeShade="80"/>
          <w:sz w:val="20"/>
          <w:szCs w:val="20"/>
        </w:rPr>
      </w:pPr>
      <w:r w:rsidRPr="00EE01FF">
        <w:rPr>
          <w:rFonts w:eastAsia="Times New Roman"/>
          <w:color w:val="1F3864" w:themeColor="accent1" w:themeShade="80"/>
        </w:rPr>
        <w:t>Liberalismus</w:t>
      </w:r>
    </w:p>
    <w:p w14:paraId="4A6F4A69" w14:textId="2021514B" w:rsidR="00CE6695" w:rsidRPr="00B777B3" w:rsidRDefault="00CE6695" w:rsidP="00EE01FF">
      <w:pPr>
        <w:ind w:left="568"/>
        <w:rPr>
          <w:sz w:val="20"/>
          <w:szCs w:val="20"/>
        </w:rPr>
      </w:pPr>
      <w:bookmarkStart w:id="352" w:name="_Hlk531029467"/>
      <w:r w:rsidRPr="00FC3B7C">
        <w:rPr>
          <w:rFonts w:eastAsia="Times New Roman"/>
          <w:szCs w:val="24"/>
        </w:rPr>
        <w:t xml:space="preserve">Myšlenkový koncept, který staví na osobní a individuální odpovědnosti. Sociální prospěch </w:t>
      </w:r>
      <w:r w:rsidR="00FC274B">
        <w:rPr>
          <w:rFonts w:eastAsia="Times New Roman"/>
          <w:szCs w:val="24"/>
        </w:rPr>
        <w:br/>
      </w:r>
      <w:r w:rsidRPr="00FC3B7C">
        <w:rPr>
          <w:rFonts w:eastAsia="Times New Roman"/>
          <w:szCs w:val="24"/>
        </w:rPr>
        <w:t>a blahobyt každého je závislý na něm samém, jeho výkonu, osobním nasazení a ochotě nést</w:t>
      </w:r>
      <w:bookmarkStart w:id="353" w:name="page378"/>
      <w:bookmarkEnd w:id="353"/>
      <w:r w:rsidR="00B777B3">
        <w:rPr>
          <w:sz w:val="20"/>
          <w:szCs w:val="20"/>
        </w:rPr>
        <w:t xml:space="preserve"> </w:t>
      </w:r>
      <w:r w:rsidRPr="00FC3B7C">
        <w:rPr>
          <w:rFonts w:eastAsia="Times New Roman"/>
          <w:szCs w:val="24"/>
        </w:rPr>
        <w:t>rizika.</w:t>
      </w:r>
      <w:bookmarkEnd w:id="352"/>
      <w:r w:rsidRPr="00FC3B7C">
        <w:rPr>
          <w:rFonts w:eastAsia="Times New Roman"/>
          <w:szCs w:val="24"/>
        </w:rPr>
        <w:t xml:space="preserve"> Nepodporuje solidaritu státu a redistribuční procesy, protože ty podle této teorie </w:t>
      </w:r>
      <w:r w:rsidRPr="00B777B3">
        <w:rPr>
          <w:rFonts w:eastAsia="Times New Roman"/>
          <w:szCs w:val="24"/>
        </w:rPr>
        <w:t>vedou</w:t>
      </w:r>
      <w:r w:rsidR="00B777B3" w:rsidRPr="00B777B3">
        <w:rPr>
          <w:szCs w:val="24"/>
        </w:rPr>
        <w:t xml:space="preserve"> k</w:t>
      </w:r>
      <w:r w:rsidR="00B777B3">
        <w:rPr>
          <w:sz w:val="20"/>
          <w:szCs w:val="20"/>
        </w:rPr>
        <w:t xml:space="preserve"> </w:t>
      </w:r>
      <w:r w:rsidRPr="00FC3B7C">
        <w:rPr>
          <w:rFonts w:eastAsia="Times New Roman"/>
          <w:sz w:val="23"/>
          <w:szCs w:val="23"/>
        </w:rPr>
        <w:t>útlumu ekonomické aktivity. Zdůrazňují funkčnost regulační schopnosti tržního mechanismu.</w:t>
      </w:r>
    </w:p>
    <w:p w14:paraId="4A6F4A6A" w14:textId="77777777" w:rsidR="00CE6695" w:rsidRPr="00FC3B7C" w:rsidRDefault="00CE6695" w:rsidP="00CE6695">
      <w:pPr>
        <w:spacing w:line="142" w:lineRule="exact"/>
        <w:rPr>
          <w:rFonts w:eastAsia="Times New Roman"/>
          <w:sz w:val="23"/>
          <w:szCs w:val="23"/>
        </w:rPr>
      </w:pPr>
    </w:p>
    <w:p w14:paraId="4A6F4A6B" w14:textId="77777777" w:rsidR="00CE6695" w:rsidRPr="00EE01FF" w:rsidRDefault="00CE6695" w:rsidP="00FC274B">
      <w:pPr>
        <w:pStyle w:val="Nadpis4"/>
        <w:rPr>
          <w:rFonts w:eastAsia="Times New Roman"/>
          <w:color w:val="1F3864" w:themeColor="accent1" w:themeShade="80"/>
          <w:sz w:val="23"/>
          <w:szCs w:val="23"/>
        </w:rPr>
      </w:pPr>
      <w:r w:rsidRPr="00EE01FF">
        <w:rPr>
          <w:rFonts w:eastAsia="Times New Roman"/>
          <w:color w:val="1F3864" w:themeColor="accent1" w:themeShade="80"/>
        </w:rPr>
        <w:t>Křesťanské sociální učení</w:t>
      </w:r>
    </w:p>
    <w:p w14:paraId="4A6F4A6C" w14:textId="77777777" w:rsidR="00CE6695" w:rsidRDefault="00CE6695" w:rsidP="00EE01FF">
      <w:pPr>
        <w:ind w:left="568"/>
        <w:rPr>
          <w:rFonts w:eastAsia="Times New Roman"/>
        </w:rPr>
      </w:pPr>
      <w:r w:rsidRPr="00FC3B7C">
        <w:rPr>
          <w:rFonts w:eastAsia="Times New Roman"/>
        </w:rPr>
        <w:t xml:space="preserve">Vychází z křesťanské filozofie, podle níž za sociální situace není zodpovědný jen sám jedinec, ale v určité míře i společenský systém, který předurčuje jeho pozice. Uznává svobodu, ale zdůrazňuje mravní závazek. Uznává nerovnost, ale ne každou považuje za žádoucí </w:t>
      </w:r>
      <w:r w:rsidR="00FC274B">
        <w:rPr>
          <w:rFonts w:eastAsia="Times New Roman"/>
        </w:rPr>
        <w:br/>
      </w:r>
      <w:r w:rsidRPr="00FC3B7C">
        <w:rPr>
          <w:rFonts w:eastAsia="Times New Roman"/>
        </w:rPr>
        <w:lastRenderedPageBreak/>
        <w:t>a spravedlivou. Důležité je odstranění bídy, a proto zdůrazňuje vliv sociálních transferů založených na dobročinných a charitativních aktivitách.</w:t>
      </w:r>
    </w:p>
    <w:p w14:paraId="4A6F4A6D" w14:textId="77777777" w:rsidR="00FC274B" w:rsidRPr="00FC3B7C" w:rsidRDefault="00FC274B" w:rsidP="00FC274B">
      <w:pPr>
        <w:rPr>
          <w:sz w:val="20"/>
          <w:szCs w:val="20"/>
        </w:rPr>
      </w:pPr>
    </w:p>
    <w:p w14:paraId="4A6F4A6E" w14:textId="77777777" w:rsidR="00CE6695" w:rsidRPr="00FC3B7C" w:rsidRDefault="00CE6695" w:rsidP="00CE6695">
      <w:pPr>
        <w:spacing w:line="5" w:lineRule="exact"/>
        <w:rPr>
          <w:sz w:val="20"/>
          <w:szCs w:val="20"/>
        </w:rPr>
      </w:pPr>
    </w:p>
    <w:p w14:paraId="4A6F4A6F" w14:textId="77777777" w:rsidR="00CE6695" w:rsidRPr="00EE01FF" w:rsidRDefault="00CE6695" w:rsidP="00FC274B">
      <w:pPr>
        <w:pStyle w:val="Nadpis4"/>
        <w:rPr>
          <w:color w:val="1F3864" w:themeColor="accent1" w:themeShade="80"/>
          <w:sz w:val="20"/>
          <w:szCs w:val="20"/>
        </w:rPr>
      </w:pPr>
      <w:r w:rsidRPr="00EE01FF">
        <w:rPr>
          <w:rFonts w:eastAsia="Times New Roman"/>
          <w:color w:val="1F3864" w:themeColor="accent1" w:themeShade="80"/>
        </w:rPr>
        <w:t>Demokratický socialismus</w:t>
      </w:r>
    </w:p>
    <w:p w14:paraId="4A6F4A70" w14:textId="77777777" w:rsidR="00CE6695" w:rsidRPr="00FC3B7C" w:rsidRDefault="00CE6695" w:rsidP="00EE01FF">
      <w:pPr>
        <w:ind w:left="568"/>
        <w:rPr>
          <w:sz w:val="20"/>
          <w:szCs w:val="20"/>
        </w:rPr>
      </w:pPr>
      <w:r w:rsidRPr="00FC3B7C">
        <w:rPr>
          <w:rFonts w:eastAsia="Times New Roman"/>
        </w:rPr>
        <w:t>Usiluje o zajištění důstojných životních podmínek na základě pravidel určených demokratickou cestou. Zdůrazňuje rovnost. Stát přebírá odpovědnost za jedince. Působí zde silný veřejný sektor, rozsáhlé přerozdělování a solidarismus.</w:t>
      </w:r>
    </w:p>
    <w:p w14:paraId="4A6F4A71" w14:textId="77777777" w:rsidR="00CE6695" w:rsidRPr="00FC3B7C" w:rsidRDefault="00CE6695" w:rsidP="00CE6695">
      <w:pPr>
        <w:spacing w:line="200" w:lineRule="exact"/>
        <w:rPr>
          <w:sz w:val="20"/>
          <w:szCs w:val="20"/>
        </w:rPr>
      </w:pPr>
    </w:p>
    <w:p w14:paraId="4A6F4A72" w14:textId="77777777" w:rsidR="00CE6695" w:rsidRPr="00244BB9" w:rsidRDefault="00CE6695" w:rsidP="00CE6695">
      <w:pPr>
        <w:spacing w:line="220" w:lineRule="exact"/>
        <w:rPr>
          <w:color w:val="1F3864" w:themeColor="accent1" w:themeShade="80"/>
          <w:sz w:val="20"/>
          <w:szCs w:val="20"/>
        </w:rPr>
      </w:pPr>
    </w:p>
    <w:p w14:paraId="4A6F4A73" w14:textId="77777777" w:rsidR="00CE6695" w:rsidRPr="00244BB9" w:rsidRDefault="00CE6695" w:rsidP="00FC274B">
      <w:pPr>
        <w:pStyle w:val="Nadpis2"/>
        <w:rPr>
          <w:color w:val="1F3864" w:themeColor="accent1" w:themeShade="80"/>
          <w:sz w:val="20"/>
          <w:szCs w:val="20"/>
        </w:rPr>
      </w:pPr>
      <w:r w:rsidRPr="00244BB9">
        <w:rPr>
          <w:rFonts w:eastAsia="Times New Roman"/>
          <w:color w:val="1F3864" w:themeColor="accent1" w:themeShade="80"/>
        </w:rPr>
        <w:t>NÁSTROJE SP</w:t>
      </w:r>
    </w:p>
    <w:p w14:paraId="4A6F4A74" w14:textId="77777777" w:rsidR="00CE6695" w:rsidRPr="00FC3B7C" w:rsidRDefault="00CE6695" w:rsidP="00FC274B">
      <w:pPr>
        <w:ind w:left="4"/>
        <w:rPr>
          <w:sz w:val="20"/>
          <w:szCs w:val="20"/>
        </w:rPr>
      </w:pPr>
      <w:r w:rsidRPr="00FC3B7C">
        <w:rPr>
          <w:rFonts w:eastAsia="Times New Roman"/>
          <w:szCs w:val="24"/>
        </w:rPr>
        <w:t>SP se realizuje pomocí různých nástrojů, můžeme je dělit takto:</w:t>
      </w:r>
    </w:p>
    <w:p w14:paraId="4A6F4A75" w14:textId="77777777" w:rsidR="00CE6695" w:rsidRPr="00FC3B7C" w:rsidRDefault="00CE6695" w:rsidP="00CE6695">
      <w:pPr>
        <w:spacing w:line="136" w:lineRule="exact"/>
        <w:rPr>
          <w:sz w:val="20"/>
          <w:szCs w:val="20"/>
        </w:rPr>
      </w:pPr>
    </w:p>
    <w:p w14:paraId="4A6F4A76" w14:textId="77777777" w:rsidR="00CE6695" w:rsidRPr="00FC3B7C" w:rsidRDefault="00CE6695" w:rsidP="00D46B53">
      <w:pPr>
        <w:numPr>
          <w:ilvl w:val="0"/>
          <w:numId w:val="313"/>
        </w:numPr>
        <w:tabs>
          <w:tab w:val="left" w:pos="844"/>
        </w:tabs>
        <w:ind w:left="844" w:hanging="353"/>
        <w:rPr>
          <w:rFonts w:eastAsia="Times New Roman"/>
          <w:b/>
          <w:bCs/>
          <w:szCs w:val="24"/>
        </w:rPr>
      </w:pPr>
      <w:r w:rsidRPr="00FC3B7C">
        <w:rPr>
          <w:rFonts w:eastAsia="Times New Roman"/>
          <w:b/>
          <w:bCs/>
          <w:szCs w:val="24"/>
        </w:rPr>
        <w:t>,Administrativní“ nástroje</w:t>
      </w:r>
    </w:p>
    <w:p w14:paraId="4A6F4A77" w14:textId="77777777" w:rsidR="00CE6695" w:rsidRPr="00FC3B7C" w:rsidRDefault="00CE6695" w:rsidP="00D46B53">
      <w:pPr>
        <w:numPr>
          <w:ilvl w:val="1"/>
          <w:numId w:val="313"/>
        </w:numPr>
        <w:tabs>
          <w:tab w:val="left" w:pos="1144"/>
        </w:tabs>
        <w:ind w:left="1144" w:hanging="370"/>
        <w:rPr>
          <w:rFonts w:eastAsia="Times New Roman"/>
          <w:szCs w:val="24"/>
        </w:rPr>
      </w:pPr>
      <w:r w:rsidRPr="00FC3B7C">
        <w:rPr>
          <w:rFonts w:eastAsia="Times New Roman"/>
          <w:b/>
          <w:bCs/>
          <w:szCs w:val="24"/>
        </w:rPr>
        <w:t>Právní nástroje</w:t>
      </w:r>
    </w:p>
    <w:p w14:paraId="4A6F4A78" w14:textId="77777777" w:rsidR="00CE6695" w:rsidRPr="00FC3B7C" w:rsidRDefault="00CE6695" w:rsidP="00D46B53">
      <w:pPr>
        <w:numPr>
          <w:ilvl w:val="2"/>
          <w:numId w:val="313"/>
        </w:numPr>
        <w:tabs>
          <w:tab w:val="left" w:pos="1704"/>
        </w:tabs>
        <w:ind w:left="1704" w:right="20" w:hanging="363"/>
        <w:rPr>
          <w:rFonts w:eastAsia="Wingdings"/>
          <w:szCs w:val="24"/>
        </w:rPr>
      </w:pPr>
      <w:r w:rsidRPr="00FC3B7C">
        <w:rPr>
          <w:rFonts w:eastAsia="Times New Roman"/>
          <w:szCs w:val="24"/>
        </w:rPr>
        <w:t>Ústava ČR, Listina základních práv a svobod, zákony, nařízení vlády, vyhlášky ministerstev a orgánů samosprávy, smlouvy (mezinárodní, kolektivní…)</w:t>
      </w:r>
    </w:p>
    <w:p w14:paraId="4A6F4A79" w14:textId="77777777" w:rsidR="00CE6695" w:rsidRPr="00FC3B7C" w:rsidRDefault="00CE6695" w:rsidP="00D46B53">
      <w:pPr>
        <w:numPr>
          <w:ilvl w:val="2"/>
          <w:numId w:val="313"/>
        </w:numPr>
        <w:tabs>
          <w:tab w:val="left" w:pos="1704"/>
        </w:tabs>
        <w:ind w:left="1704" w:hanging="363"/>
        <w:rPr>
          <w:rFonts w:eastAsia="Wingdings"/>
          <w:szCs w:val="24"/>
        </w:rPr>
      </w:pPr>
      <w:r w:rsidRPr="00FC3B7C">
        <w:rPr>
          <w:rFonts w:eastAsia="Times New Roman"/>
          <w:szCs w:val="24"/>
        </w:rPr>
        <w:t>Sociální ochrana je definována v rámci:</w:t>
      </w:r>
    </w:p>
    <w:p w14:paraId="4A6F4A7A" w14:textId="77777777" w:rsidR="00CE6695" w:rsidRPr="00FC3B7C" w:rsidRDefault="00CE6695" w:rsidP="00D46B53">
      <w:pPr>
        <w:numPr>
          <w:ilvl w:val="3"/>
          <w:numId w:val="313"/>
        </w:numPr>
        <w:tabs>
          <w:tab w:val="left" w:pos="2264"/>
        </w:tabs>
        <w:ind w:left="2264" w:hanging="356"/>
        <w:rPr>
          <w:rFonts w:eastAsia="Arial"/>
          <w:szCs w:val="24"/>
        </w:rPr>
      </w:pPr>
      <w:r w:rsidRPr="00FC3B7C">
        <w:rPr>
          <w:rFonts w:eastAsia="Times New Roman"/>
          <w:szCs w:val="24"/>
        </w:rPr>
        <w:t>Pracovního práva (povinnosti a práva zaměstnavatele)</w:t>
      </w:r>
    </w:p>
    <w:p w14:paraId="4A6F4A7B" w14:textId="77777777" w:rsidR="00CE6695" w:rsidRPr="00FC3B7C" w:rsidRDefault="00CE6695" w:rsidP="00D46B53">
      <w:pPr>
        <w:numPr>
          <w:ilvl w:val="3"/>
          <w:numId w:val="313"/>
        </w:numPr>
        <w:tabs>
          <w:tab w:val="left" w:pos="2264"/>
        </w:tabs>
        <w:ind w:left="2264" w:right="20" w:hanging="356"/>
        <w:rPr>
          <w:rFonts w:eastAsia="Arial"/>
          <w:szCs w:val="24"/>
        </w:rPr>
      </w:pPr>
      <w:r w:rsidRPr="00FC3B7C">
        <w:rPr>
          <w:rFonts w:eastAsia="Times New Roman"/>
          <w:szCs w:val="24"/>
        </w:rPr>
        <w:t>Práva sociálního zabezpečení (sociální pojištění, sociální služby, sociální dávky…)</w:t>
      </w:r>
    </w:p>
    <w:p w14:paraId="4A6F4A7C" w14:textId="77777777" w:rsidR="00CE6695" w:rsidRPr="00FC3B7C" w:rsidRDefault="00CE6695" w:rsidP="00D46B53">
      <w:pPr>
        <w:numPr>
          <w:ilvl w:val="3"/>
          <w:numId w:val="313"/>
        </w:numPr>
        <w:tabs>
          <w:tab w:val="left" w:pos="2264"/>
        </w:tabs>
        <w:ind w:left="2264" w:right="2180" w:hanging="356"/>
        <w:rPr>
          <w:rFonts w:eastAsia="Arial"/>
          <w:szCs w:val="24"/>
        </w:rPr>
      </w:pPr>
      <w:r w:rsidRPr="00FC3B7C">
        <w:rPr>
          <w:rFonts w:eastAsia="Times New Roman"/>
          <w:szCs w:val="24"/>
        </w:rPr>
        <w:t xml:space="preserve">Soukromého práva (občanské a obchodní právo) </w:t>
      </w:r>
      <w:r w:rsidRPr="00FC3B7C">
        <w:rPr>
          <w:rFonts w:eastAsia="Times New Roman"/>
          <w:szCs w:val="24"/>
          <w:u w:val="single"/>
        </w:rPr>
        <w:t>Je u nás kodifikována sociální ochrana? Není</w:t>
      </w:r>
    </w:p>
    <w:p w14:paraId="4A6F4A7D" w14:textId="77777777" w:rsidR="00CE6695" w:rsidRPr="00FC3B7C" w:rsidRDefault="00CE6695" w:rsidP="00D46B53">
      <w:pPr>
        <w:numPr>
          <w:ilvl w:val="1"/>
          <w:numId w:val="313"/>
        </w:numPr>
        <w:tabs>
          <w:tab w:val="left" w:pos="1144"/>
        </w:tabs>
        <w:ind w:left="1144" w:hanging="370"/>
        <w:rPr>
          <w:rFonts w:eastAsia="Times New Roman"/>
          <w:szCs w:val="24"/>
        </w:rPr>
      </w:pPr>
      <w:r w:rsidRPr="00FC3B7C">
        <w:rPr>
          <w:rFonts w:eastAsia="Times New Roman"/>
          <w:b/>
          <w:bCs/>
          <w:szCs w:val="24"/>
        </w:rPr>
        <w:t>Kolektivní vyjednávání</w:t>
      </w:r>
    </w:p>
    <w:p w14:paraId="4A6F4A7E" w14:textId="77777777" w:rsidR="00CE6695" w:rsidRPr="00FC3B7C" w:rsidRDefault="00CE6695" w:rsidP="00D46B53">
      <w:pPr>
        <w:numPr>
          <w:ilvl w:val="2"/>
          <w:numId w:val="313"/>
        </w:numPr>
        <w:tabs>
          <w:tab w:val="left" w:pos="1704"/>
        </w:tabs>
        <w:ind w:left="1704" w:right="20" w:hanging="363"/>
        <w:rPr>
          <w:rFonts w:eastAsia="Wingdings"/>
          <w:szCs w:val="24"/>
        </w:rPr>
      </w:pPr>
      <w:r w:rsidRPr="00FC3B7C">
        <w:rPr>
          <w:rFonts w:eastAsia="Times New Roman"/>
          <w:szCs w:val="24"/>
        </w:rPr>
        <w:t>Sociální partneři – výsledek: kolektivní smlouvy (generální dohody, podnikové kolektivní smlouvy, kolektivní smlouvy vyššího typu)</w:t>
      </w:r>
    </w:p>
    <w:p w14:paraId="4A6F4A7F" w14:textId="77777777" w:rsidR="00CE6695" w:rsidRPr="00FC3B7C" w:rsidRDefault="00CE6695" w:rsidP="00D46B53">
      <w:pPr>
        <w:numPr>
          <w:ilvl w:val="1"/>
          <w:numId w:val="313"/>
        </w:numPr>
        <w:tabs>
          <w:tab w:val="left" w:pos="1144"/>
        </w:tabs>
        <w:ind w:left="1144" w:hanging="370"/>
        <w:rPr>
          <w:rFonts w:eastAsia="Times New Roman"/>
          <w:szCs w:val="24"/>
        </w:rPr>
      </w:pPr>
      <w:r w:rsidRPr="00FC3B7C">
        <w:rPr>
          <w:rFonts w:eastAsia="Times New Roman"/>
          <w:b/>
          <w:bCs/>
          <w:szCs w:val="24"/>
        </w:rPr>
        <w:t>Sociální dokumenty</w:t>
      </w:r>
    </w:p>
    <w:p w14:paraId="4A6F4A80" w14:textId="77777777" w:rsidR="00CE6695" w:rsidRPr="00FC3B7C" w:rsidRDefault="00CE6695" w:rsidP="00D46B53">
      <w:pPr>
        <w:numPr>
          <w:ilvl w:val="2"/>
          <w:numId w:val="314"/>
        </w:numPr>
        <w:tabs>
          <w:tab w:val="left" w:pos="1680"/>
        </w:tabs>
        <w:ind w:left="1680" w:hanging="363"/>
        <w:rPr>
          <w:rFonts w:eastAsia="Wingdings"/>
          <w:szCs w:val="24"/>
        </w:rPr>
      </w:pPr>
      <w:bookmarkStart w:id="354" w:name="page379"/>
      <w:bookmarkEnd w:id="354"/>
      <w:r w:rsidRPr="00FC3B7C">
        <w:rPr>
          <w:rFonts w:eastAsia="Times New Roman"/>
          <w:szCs w:val="24"/>
        </w:rPr>
        <w:t>Dlouhodobé plány a koncepce (sociální doktrína, strategie)</w:t>
      </w:r>
    </w:p>
    <w:p w14:paraId="4A6F4A81" w14:textId="77777777" w:rsidR="00CE6695" w:rsidRPr="00FC3B7C" w:rsidRDefault="00CE6695" w:rsidP="00D46B53">
      <w:pPr>
        <w:numPr>
          <w:ilvl w:val="2"/>
          <w:numId w:val="314"/>
        </w:numPr>
        <w:tabs>
          <w:tab w:val="left" w:pos="1680"/>
        </w:tabs>
        <w:ind w:left="1680" w:hanging="363"/>
        <w:rPr>
          <w:rFonts w:eastAsia="Wingdings"/>
          <w:szCs w:val="24"/>
        </w:rPr>
      </w:pPr>
      <w:r w:rsidRPr="00FC3B7C">
        <w:rPr>
          <w:rFonts w:eastAsia="Times New Roman"/>
          <w:szCs w:val="24"/>
        </w:rPr>
        <w:t>Krátkodobé plány (programy, programové prohlášení)</w:t>
      </w:r>
    </w:p>
    <w:p w14:paraId="4A6F4A82" w14:textId="77777777" w:rsidR="00CE6695" w:rsidRPr="00FC3B7C" w:rsidRDefault="00CE6695" w:rsidP="00D46B53">
      <w:pPr>
        <w:numPr>
          <w:ilvl w:val="2"/>
          <w:numId w:val="314"/>
        </w:numPr>
        <w:tabs>
          <w:tab w:val="left" w:pos="1680"/>
        </w:tabs>
        <w:ind w:left="1680" w:hanging="363"/>
        <w:rPr>
          <w:rFonts w:eastAsia="Wingdings"/>
          <w:sz w:val="23"/>
          <w:szCs w:val="23"/>
        </w:rPr>
      </w:pPr>
      <w:r w:rsidRPr="00FC3B7C">
        <w:rPr>
          <w:rFonts w:eastAsia="Times New Roman"/>
          <w:sz w:val="23"/>
          <w:szCs w:val="23"/>
        </w:rPr>
        <w:t>Projekty organizací, kterými se stanovují cíle SP a způsoby jejich dosahování</w:t>
      </w:r>
    </w:p>
    <w:p w14:paraId="4A6F4A83" w14:textId="77777777" w:rsidR="00CE6695" w:rsidRPr="00FC3B7C" w:rsidRDefault="00CE6695" w:rsidP="00D46B53">
      <w:pPr>
        <w:numPr>
          <w:ilvl w:val="1"/>
          <w:numId w:val="314"/>
        </w:numPr>
        <w:tabs>
          <w:tab w:val="left" w:pos="1120"/>
        </w:tabs>
        <w:ind w:left="1120" w:hanging="370"/>
        <w:rPr>
          <w:rFonts w:eastAsia="Times New Roman"/>
          <w:szCs w:val="24"/>
        </w:rPr>
      </w:pPr>
      <w:r w:rsidRPr="00FC3B7C">
        <w:rPr>
          <w:rFonts w:eastAsia="Times New Roman"/>
          <w:b/>
          <w:bCs/>
          <w:szCs w:val="24"/>
        </w:rPr>
        <w:t>Nátlakové akce</w:t>
      </w:r>
    </w:p>
    <w:p w14:paraId="4A6F4A84" w14:textId="77777777" w:rsidR="00CE6695" w:rsidRPr="00FC3B7C" w:rsidRDefault="00CE6695" w:rsidP="00D46B53">
      <w:pPr>
        <w:numPr>
          <w:ilvl w:val="2"/>
          <w:numId w:val="314"/>
        </w:numPr>
        <w:tabs>
          <w:tab w:val="left" w:pos="1680"/>
        </w:tabs>
        <w:ind w:left="1680" w:hanging="363"/>
        <w:rPr>
          <w:rFonts w:eastAsia="Wingdings"/>
          <w:szCs w:val="24"/>
        </w:rPr>
      </w:pPr>
      <w:r w:rsidRPr="00FC3B7C">
        <w:rPr>
          <w:rFonts w:eastAsia="Times New Roman"/>
          <w:szCs w:val="24"/>
        </w:rPr>
        <w:t>k prosazování zájmů sociálních skupin - petice, stávky, demonstrace, média</w:t>
      </w:r>
    </w:p>
    <w:p w14:paraId="4A6F4A85" w14:textId="77777777" w:rsidR="00CE6695" w:rsidRPr="00FC3B7C" w:rsidRDefault="00CE6695" w:rsidP="00D46B53">
      <w:pPr>
        <w:numPr>
          <w:ilvl w:val="0"/>
          <w:numId w:val="314"/>
        </w:numPr>
        <w:tabs>
          <w:tab w:val="left" w:pos="820"/>
        </w:tabs>
        <w:ind w:left="820" w:hanging="351"/>
        <w:rPr>
          <w:rFonts w:eastAsia="Times New Roman"/>
          <w:b/>
          <w:bCs/>
          <w:szCs w:val="24"/>
        </w:rPr>
      </w:pPr>
      <w:r w:rsidRPr="00FC3B7C">
        <w:rPr>
          <w:rFonts w:eastAsia="Times New Roman"/>
          <w:b/>
          <w:bCs/>
          <w:szCs w:val="24"/>
        </w:rPr>
        <w:t>Ekonomické nástroje</w:t>
      </w:r>
    </w:p>
    <w:p w14:paraId="4A6F4A86" w14:textId="77777777" w:rsidR="00CE6695" w:rsidRPr="00FC3B7C" w:rsidRDefault="00CE6695" w:rsidP="00D46B53">
      <w:pPr>
        <w:numPr>
          <w:ilvl w:val="1"/>
          <w:numId w:val="314"/>
        </w:numPr>
        <w:tabs>
          <w:tab w:val="left" w:pos="1120"/>
        </w:tabs>
        <w:ind w:left="1120" w:hanging="367"/>
        <w:rPr>
          <w:rFonts w:eastAsia="Times New Roman"/>
          <w:szCs w:val="24"/>
        </w:rPr>
      </w:pPr>
      <w:r w:rsidRPr="00FC3B7C">
        <w:rPr>
          <w:rFonts w:eastAsia="Times New Roman"/>
          <w:szCs w:val="24"/>
        </w:rPr>
        <w:t>fiskální = transfery, úlevy (studentům, důchodcům, …)</w:t>
      </w:r>
    </w:p>
    <w:p w14:paraId="4A6F4A87" w14:textId="77777777" w:rsidR="00CE6695" w:rsidRPr="00FC3B7C" w:rsidRDefault="00CE6695" w:rsidP="00D46B53">
      <w:pPr>
        <w:numPr>
          <w:ilvl w:val="1"/>
          <w:numId w:val="314"/>
        </w:numPr>
        <w:tabs>
          <w:tab w:val="left" w:pos="1120"/>
        </w:tabs>
        <w:ind w:left="1120" w:hanging="367"/>
        <w:rPr>
          <w:rFonts w:eastAsia="Times New Roman"/>
          <w:szCs w:val="24"/>
        </w:rPr>
      </w:pPr>
      <w:r w:rsidRPr="00FC3B7C">
        <w:rPr>
          <w:rFonts w:eastAsia="Times New Roman"/>
          <w:szCs w:val="24"/>
        </w:rPr>
        <w:t>úvěrové = zvýhodněné půjčky</w:t>
      </w:r>
    </w:p>
    <w:p w14:paraId="4A6F4A88" w14:textId="77777777" w:rsidR="00CE6695" w:rsidRPr="00FC3B7C" w:rsidRDefault="00CE6695" w:rsidP="00D46B53">
      <w:pPr>
        <w:numPr>
          <w:ilvl w:val="1"/>
          <w:numId w:val="314"/>
        </w:numPr>
        <w:tabs>
          <w:tab w:val="left" w:pos="1120"/>
        </w:tabs>
        <w:ind w:left="1120" w:hanging="370"/>
        <w:rPr>
          <w:rFonts w:eastAsia="Times New Roman"/>
          <w:szCs w:val="24"/>
        </w:rPr>
      </w:pPr>
      <w:r w:rsidRPr="00FC3B7C">
        <w:rPr>
          <w:rFonts w:eastAsia="Times New Roman"/>
          <w:szCs w:val="24"/>
        </w:rPr>
        <w:lastRenderedPageBreak/>
        <w:t>cenová politika = cenová regulace vybraných statků a služeb</w:t>
      </w:r>
    </w:p>
    <w:p w14:paraId="4A6F4A89" w14:textId="77777777" w:rsidR="00CE6695" w:rsidRPr="00FC3B7C" w:rsidRDefault="00CE6695" w:rsidP="00CE6695">
      <w:pPr>
        <w:spacing w:line="337" w:lineRule="exact"/>
        <w:rPr>
          <w:sz w:val="20"/>
          <w:szCs w:val="20"/>
        </w:rPr>
      </w:pPr>
    </w:p>
    <w:p w14:paraId="4A6F4A8A" w14:textId="77777777" w:rsidR="00CE6695" w:rsidRPr="00FC3B7C" w:rsidRDefault="00CE6695" w:rsidP="00D46B53">
      <w:pPr>
        <w:numPr>
          <w:ilvl w:val="1"/>
          <w:numId w:val="315"/>
        </w:numPr>
        <w:tabs>
          <w:tab w:val="left" w:pos="820"/>
        </w:tabs>
        <w:ind w:left="820" w:hanging="368"/>
        <w:rPr>
          <w:rFonts w:eastAsia="Times New Roman"/>
          <w:b/>
          <w:bCs/>
          <w:szCs w:val="24"/>
        </w:rPr>
      </w:pPr>
      <w:r w:rsidRPr="00FC3B7C">
        <w:rPr>
          <w:rFonts w:eastAsia="Times New Roman"/>
          <w:b/>
          <w:bCs/>
          <w:szCs w:val="24"/>
        </w:rPr>
        <w:t>PŘÍJMY</w:t>
      </w:r>
    </w:p>
    <w:p w14:paraId="4A6F4A8B" w14:textId="77777777" w:rsidR="00CE6695" w:rsidRPr="00FC3B7C" w:rsidRDefault="00CE6695" w:rsidP="00D46B53">
      <w:pPr>
        <w:numPr>
          <w:ilvl w:val="0"/>
          <w:numId w:val="315"/>
        </w:numPr>
        <w:tabs>
          <w:tab w:val="left" w:pos="700"/>
        </w:tabs>
        <w:ind w:left="700" w:hanging="364"/>
        <w:rPr>
          <w:rFonts w:eastAsia="Times New Roman"/>
          <w:szCs w:val="24"/>
        </w:rPr>
      </w:pPr>
      <w:r w:rsidRPr="00FC3B7C">
        <w:rPr>
          <w:rFonts w:eastAsia="Times New Roman"/>
          <w:b/>
          <w:bCs/>
          <w:szCs w:val="24"/>
        </w:rPr>
        <w:t>Přerozdělování</w:t>
      </w:r>
    </w:p>
    <w:p w14:paraId="4A6F4A8C" w14:textId="77777777" w:rsidR="00CE6695" w:rsidRPr="00FC3B7C" w:rsidRDefault="00CE6695" w:rsidP="00D46B53">
      <w:pPr>
        <w:numPr>
          <w:ilvl w:val="2"/>
          <w:numId w:val="315"/>
        </w:numPr>
        <w:tabs>
          <w:tab w:val="left" w:pos="1400"/>
        </w:tabs>
        <w:ind w:left="1400" w:hanging="364"/>
        <w:rPr>
          <w:rFonts w:eastAsia="Wingdings"/>
          <w:szCs w:val="24"/>
        </w:rPr>
      </w:pPr>
      <w:bookmarkStart w:id="355" w:name="_Hlk531028739"/>
      <w:r w:rsidRPr="00FC3B7C">
        <w:rPr>
          <w:rFonts w:eastAsia="Times New Roman"/>
          <w:szCs w:val="24"/>
        </w:rPr>
        <w:t>Snižuje společensky neakceptovatelné nerovnosti</w:t>
      </w:r>
    </w:p>
    <w:bookmarkEnd w:id="355"/>
    <w:p w14:paraId="4A6F4A8D" w14:textId="77777777" w:rsidR="00CE6695" w:rsidRPr="00FC3B7C" w:rsidRDefault="00CE6695" w:rsidP="00D46B53">
      <w:pPr>
        <w:numPr>
          <w:ilvl w:val="2"/>
          <w:numId w:val="315"/>
        </w:numPr>
        <w:tabs>
          <w:tab w:val="left" w:pos="1400"/>
        </w:tabs>
        <w:ind w:left="1400" w:hanging="366"/>
        <w:rPr>
          <w:rFonts w:eastAsia="Wingdings"/>
          <w:szCs w:val="24"/>
        </w:rPr>
      </w:pPr>
      <w:r w:rsidRPr="00FC3B7C">
        <w:rPr>
          <w:rFonts w:eastAsia="Times New Roman"/>
          <w:szCs w:val="24"/>
        </w:rPr>
        <w:t>Přerozdělujeme v prostoru a v čase</w:t>
      </w:r>
    </w:p>
    <w:p w14:paraId="4A6F4A8E" w14:textId="77777777" w:rsidR="00CE6695" w:rsidRPr="00FC3B7C" w:rsidRDefault="00CE6695" w:rsidP="00D46B53">
      <w:pPr>
        <w:numPr>
          <w:ilvl w:val="0"/>
          <w:numId w:val="315"/>
        </w:numPr>
        <w:tabs>
          <w:tab w:val="left" w:pos="700"/>
        </w:tabs>
        <w:ind w:left="700" w:hanging="364"/>
        <w:rPr>
          <w:rFonts w:eastAsia="Times New Roman"/>
          <w:szCs w:val="24"/>
        </w:rPr>
      </w:pPr>
      <w:r w:rsidRPr="00FC3B7C">
        <w:rPr>
          <w:rFonts w:eastAsia="Times New Roman"/>
          <w:b/>
          <w:bCs/>
          <w:szCs w:val="24"/>
        </w:rPr>
        <w:t>Sociální zabezpečení</w:t>
      </w:r>
    </w:p>
    <w:p w14:paraId="4A6F4A8F" w14:textId="77777777" w:rsidR="00CE6695" w:rsidRPr="00FC3B7C" w:rsidRDefault="00CE6695" w:rsidP="00D46B53">
      <w:pPr>
        <w:numPr>
          <w:ilvl w:val="3"/>
          <w:numId w:val="315"/>
        </w:numPr>
        <w:tabs>
          <w:tab w:val="left" w:pos="1420"/>
        </w:tabs>
        <w:ind w:left="1420" w:hanging="361"/>
        <w:rPr>
          <w:rFonts w:eastAsia="Wingdings"/>
          <w:szCs w:val="24"/>
        </w:rPr>
      </w:pPr>
      <w:r w:rsidRPr="00FC3B7C">
        <w:rPr>
          <w:rFonts w:eastAsia="Times New Roman"/>
          <w:szCs w:val="24"/>
        </w:rPr>
        <w:t>Př. základní (nemocenské) x doplňkové (penzijní připojištění)</w:t>
      </w:r>
    </w:p>
    <w:p w14:paraId="4A6F4A90" w14:textId="77777777" w:rsidR="00CE6695" w:rsidRPr="00FC3B7C" w:rsidRDefault="00CE6695" w:rsidP="00D46B53">
      <w:pPr>
        <w:numPr>
          <w:ilvl w:val="3"/>
          <w:numId w:val="315"/>
        </w:numPr>
        <w:tabs>
          <w:tab w:val="left" w:pos="1420"/>
        </w:tabs>
        <w:ind w:left="1420" w:hanging="361"/>
        <w:rPr>
          <w:rFonts w:eastAsia="Wingdings"/>
          <w:szCs w:val="24"/>
        </w:rPr>
      </w:pPr>
      <w:r w:rsidRPr="00FC3B7C">
        <w:rPr>
          <w:rFonts w:eastAsia="Times New Roman"/>
          <w:szCs w:val="24"/>
        </w:rPr>
        <w:t>Nárokové x nenárokové</w:t>
      </w:r>
    </w:p>
    <w:p w14:paraId="4A6F4A91" w14:textId="77777777" w:rsidR="00CE6695" w:rsidRPr="00FC3B7C" w:rsidRDefault="00CE6695" w:rsidP="00D46B53">
      <w:pPr>
        <w:numPr>
          <w:ilvl w:val="3"/>
          <w:numId w:val="315"/>
        </w:numPr>
        <w:tabs>
          <w:tab w:val="left" w:pos="1420"/>
        </w:tabs>
        <w:ind w:left="1420" w:hanging="361"/>
        <w:rPr>
          <w:rFonts w:eastAsia="Wingdings"/>
          <w:szCs w:val="24"/>
        </w:rPr>
      </w:pPr>
      <w:r w:rsidRPr="00FC3B7C">
        <w:rPr>
          <w:rFonts w:eastAsia="Times New Roman"/>
          <w:szCs w:val="24"/>
        </w:rPr>
        <w:t>Soustavy SZ - celostátní, skupinové, individuální, kombinace…</w:t>
      </w:r>
    </w:p>
    <w:p w14:paraId="4A6F4A92" w14:textId="77777777" w:rsidR="00CE6695" w:rsidRPr="00FC3B7C" w:rsidRDefault="00CE6695" w:rsidP="00D46B53">
      <w:pPr>
        <w:numPr>
          <w:ilvl w:val="3"/>
          <w:numId w:val="315"/>
        </w:numPr>
        <w:tabs>
          <w:tab w:val="left" w:pos="1420"/>
        </w:tabs>
        <w:ind w:left="1420" w:hanging="361"/>
        <w:rPr>
          <w:rFonts w:eastAsia="Wingdings"/>
          <w:szCs w:val="24"/>
        </w:rPr>
      </w:pPr>
      <w:r w:rsidRPr="00FC3B7C">
        <w:rPr>
          <w:rFonts w:eastAsia="Times New Roman"/>
          <w:szCs w:val="24"/>
        </w:rPr>
        <w:t>Typy řešení SZ – soukromoprávní, charitativní, pojišťovací…</w:t>
      </w:r>
    </w:p>
    <w:p w14:paraId="4A6F4A93" w14:textId="77777777" w:rsidR="00CE6695" w:rsidRPr="00FC3B7C" w:rsidRDefault="00CE6695" w:rsidP="00D46B53">
      <w:pPr>
        <w:numPr>
          <w:ilvl w:val="3"/>
          <w:numId w:val="315"/>
        </w:numPr>
        <w:tabs>
          <w:tab w:val="left" w:pos="1420"/>
        </w:tabs>
        <w:ind w:left="1420" w:hanging="361"/>
        <w:rPr>
          <w:rFonts w:eastAsia="Wingdings"/>
          <w:szCs w:val="24"/>
        </w:rPr>
      </w:pPr>
      <w:r w:rsidRPr="00FC3B7C">
        <w:rPr>
          <w:rFonts w:eastAsia="Times New Roman"/>
          <w:szCs w:val="24"/>
        </w:rPr>
        <w:t>Soustavy sociální pomoci – podpora, pomoc</w:t>
      </w:r>
    </w:p>
    <w:p w14:paraId="4A6F4A94" w14:textId="77777777" w:rsidR="00CE6695" w:rsidRPr="00FC3B7C" w:rsidRDefault="00CE6695" w:rsidP="00D46B53">
      <w:pPr>
        <w:numPr>
          <w:ilvl w:val="3"/>
          <w:numId w:val="315"/>
        </w:numPr>
        <w:tabs>
          <w:tab w:val="left" w:pos="1420"/>
        </w:tabs>
        <w:ind w:left="1420" w:hanging="361"/>
        <w:rPr>
          <w:rFonts w:eastAsia="Wingdings"/>
          <w:szCs w:val="24"/>
        </w:rPr>
      </w:pPr>
      <w:r w:rsidRPr="00FC3B7C">
        <w:rPr>
          <w:rFonts w:eastAsia="Times New Roman"/>
          <w:szCs w:val="24"/>
        </w:rPr>
        <w:t>Sociální ochrana</w:t>
      </w:r>
    </w:p>
    <w:p w14:paraId="4A6F4A95" w14:textId="77777777" w:rsidR="00CE6695" w:rsidRPr="00FC3B7C" w:rsidRDefault="00CE6695" w:rsidP="00D46B53">
      <w:pPr>
        <w:numPr>
          <w:ilvl w:val="4"/>
          <w:numId w:val="315"/>
        </w:numPr>
        <w:tabs>
          <w:tab w:val="left" w:pos="2140"/>
        </w:tabs>
        <w:ind w:left="2140" w:hanging="361"/>
        <w:rPr>
          <w:rFonts w:eastAsia="Arial"/>
          <w:szCs w:val="24"/>
        </w:rPr>
      </w:pPr>
      <w:r w:rsidRPr="00FC3B7C">
        <w:rPr>
          <w:rFonts w:eastAsia="Times New Roman"/>
          <w:szCs w:val="24"/>
        </w:rPr>
        <w:t>Orgány státního dozoru (NKÚ, MF…), Orgány státní sociální správy, Policie, armáda</w:t>
      </w:r>
    </w:p>
    <w:p w14:paraId="4A6F4A96" w14:textId="77777777" w:rsidR="00CE6695" w:rsidRPr="00FC3B7C" w:rsidRDefault="00CE6695" w:rsidP="00D46B53">
      <w:pPr>
        <w:numPr>
          <w:ilvl w:val="1"/>
          <w:numId w:val="316"/>
        </w:numPr>
        <w:tabs>
          <w:tab w:val="left" w:pos="820"/>
        </w:tabs>
        <w:ind w:left="820" w:hanging="368"/>
        <w:rPr>
          <w:rFonts w:eastAsia="Times New Roman"/>
          <w:b/>
          <w:bCs/>
          <w:szCs w:val="24"/>
        </w:rPr>
      </w:pPr>
      <w:r w:rsidRPr="00FC3B7C">
        <w:rPr>
          <w:rFonts w:eastAsia="Times New Roman"/>
          <w:b/>
          <w:bCs/>
          <w:szCs w:val="24"/>
        </w:rPr>
        <w:t>VÝDAJE</w:t>
      </w:r>
    </w:p>
    <w:p w14:paraId="4A6F4A97" w14:textId="77777777" w:rsidR="00CE6695" w:rsidRPr="00FC3B7C" w:rsidRDefault="00CE6695" w:rsidP="00D46B53">
      <w:pPr>
        <w:numPr>
          <w:ilvl w:val="0"/>
          <w:numId w:val="316"/>
        </w:numPr>
        <w:tabs>
          <w:tab w:val="left" w:pos="700"/>
        </w:tabs>
        <w:ind w:left="700" w:hanging="364"/>
        <w:rPr>
          <w:rFonts w:eastAsia="Times New Roman"/>
          <w:szCs w:val="24"/>
        </w:rPr>
      </w:pPr>
      <w:r w:rsidRPr="00FC3B7C">
        <w:rPr>
          <w:rFonts w:eastAsia="Times New Roman"/>
          <w:b/>
          <w:bCs/>
          <w:szCs w:val="24"/>
        </w:rPr>
        <w:t xml:space="preserve">Sociální příjmy </w:t>
      </w:r>
      <w:r w:rsidRPr="00FC3B7C">
        <w:rPr>
          <w:rFonts w:eastAsia="Times New Roman"/>
          <w:szCs w:val="24"/>
        </w:rPr>
        <w:t>– peněžité dávky lidem</w:t>
      </w:r>
    </w:p>
    <w:p w14:paraId="4A6F4A98" w14:textId="77777777" w:rsidR="00CE6695" w:rsidRPr="00FC3B7C" w:rsidRDefault="00CE6695" w:rsidP="00D46B53">
      <w:pPr>
        <w:numPr>
          <w:ilvl w:val="0"/>
          <w:numId w:val="316"/>
        </w:numPr>
        <w:tabs>
          <w:tab w:val="left" w:pos="700"/>
        </w:tabs>
        <w:ind w:left="700" w:hanging="364"/>
        <w:rPr>
          <w:rFonts w:eastAsia="Times New Roman"/>
          <w:szCs w:val="24"/>
        </w:rPr>
      </w:pPr>
      <w:r w:rsidRPr="00FC3B7C">
        <w:rPr>
          <w:rFonts w:eastAsia="Times New Roman"/>
          <w:b/>
          <w:bCs/>
          <w:szCs w:val="24"/>
        </w:rPr>
        <w:t xml:space="preserve">Účelové půjčky </w:t>
      </w:r>
      <w:r w:rsidRPr="00FC3B7C">
        <w:rPr>
          <w:rFonts w:eastAsia="Times New Roman"/>
          <w:szCs w:val="24"/>
        </w:rPr>
        <w:t>– př. studijní, na bydlení</w:t>
      </w:r>
    </w:p>
    <w:p w14:paraId="4A6F4A99" w14:textId="77777777" w:rsidR="00CE6695" w:rsidRPr="00FC3B7C" w:rsidRDefault="00CE6695" w:rsidP="00D46B53">
      <w:pPr>
        <w:numPr>
          <w:ilvl w:val="0"/>
          <w:numId w:val="316"/>
        </w:numPr>
        <w:tabs>
          <w:tab w:val="left" w:pos="700"/>
        </w:tabs>
        <w:ind w:left="700" w:hanging="364"/>
        <w:rPr>
          <w:rFonts w:eastAsia="Times New Roman"/>
          <w:szCs w:val="24"/>
        </w:rPr>
      </w:pPr>
      <w:r w:rsidRPr="00FC3B7C">
        <w:rPr>
          <w:rFonts w:eastAsia="Times New Roman"/>
          <w:b/>
          <w:bCs/>
          <w:szCs w:val="24"/>
        </w:rPr>
        <w:t xml:space="preserve">Věcné dávky </w:t>
      </w:r>
      <w:r w:rsidRPr="00FC3B7C">
        <w:rPr>
          <w:rFonts w:eastAsia="Times New Roman"/>
          <w:szCs w:val="24"/>
        </w:rPr>
        <w:t>– jednorázové x opakované; hlavně</w:t>
      </w:r>
      <w:r w:rsidRPr="00FC3B7C">
        <w:rPr>
          <w:rFonts w:eastAsia="Times New Roman"/>
          <w:b/>
          <w:bCs/>
          <w:szCs w:val="24"/>
        </w:rPr>
        <w:t xml:space="preserve"> </w:t>
      </w:r>
      <w:r w:rsidRPr="00FC3B7C">
        <w:rPr>
          <w:rFonts w:eastAsia="Times New Roman"/>
          <w:szCs w:val="24"/>
        </w:rPr>
        <w:t>ochrana zdraví</w:t>
      </w:r>
    </w:p>
    <w:p w14:paraId="4A6F4A9A" w14:textId="77777777" w:rsidR="00CE6695" w:rsidRPr="00FC3B7C" w:rsidRDefault="00CE6695" w:rsidP="00D46B53">
      <w:pPr>
        <w:numPr>
          <w:ilvl w:val="0"/>
          <w:numId w:val="316"/>
        </w:numPr>
        <w:tabs>
          <w:tab w:val="left" w:pos="700"/>
        </w:tabs>
        <w:ind w:left="700" w:hanging="364"/>
        <w:rPr>
          <w:rFonts w:eastAsia="Times New Roman"/>
          <w:szCs w:val="24"/>
        </w:rPr>
      </w:pPr>
      <w:r w:rsidRPr="00FC3B7C">
        <w:rPr>
          <w:rFonts w:eastAsia="Times New Roman"/>
          <w:b/>
          <w:bCs/>
          <w:szCs w:val="24"/>
        </w:rPr>
        <w:t xml:space="preserve">Úlevy a výhody </w:t>
      </w:r>
      <w:r w:rsidRPr="00FC3B7C">
        <w:rPr>
          <w:rFonts w:eastAsia="Times New Roman"/>
          <w:szCs w:val="24"/>
        </w:rPr>
        <w:t>– subvence a dotace</w:t>
      </w:r>
    </w:p>
    <w:p w14:paraId="4A6F4A9B" w14:textId="77777777" w:rsidR="00CE6695" w:rsidRPr="00FC3B7C" w:rsidRDefault="00CE6695" w:rsidP="00D46B53">
      <w:pPr>
        <w:numPr>
          <w:ilvl w:val="0"/>
          <w:numId w:val="316"/>
        </w:numPr>
        <w:tabs>
          <w:tab w:val="left" w:pos="700"/>
        </w:tabs>
        <w:ind w:left="700" w:hanging="364"/>
        <w:rPr>
          <w:rFonts w:eastAsia="Times New Roman"/>
          <w:szCs w:val="24"/>
        </w:rPr>
      </w:pPr>
      <w:r w:rsidRPr="00FC3B7C">
        <w:rPr>
          <w:rFonts w:eastAsia="Times New Roman"/>
          <w:b/>
          <w:bCs/>
          <w:szCs w:val="24"/>
        </w:rPr>
        <w:t xml:space="preserve">Regulace cen </w:t>
      </w:r>
      <w:r w:rsidRPr="00FC3B7C">
        <w:rPr>
          <w:rFonts w:eastAsia="Times New Roman"/>
          <w:szCs w:val="24"/>
        </w:rPr>
        <w:t>- př. různé sazby DPH</w:t>
      </w:r>
    </w:p>
    <w:p w14:paraId="4A6F4A9C" w14:textId="77777777" w:rsidR="00CE6695" w:rsidRPr="00FC3B7C" w:rsidRDefault="00CE6695" w:rsidP="00D46B53">
      <w:pPr>
        <w:numPr>
          <w:ilvl w:val="0"/>
          <w:numId w:val="316"/>
        </w:numPr>
        <w:tabs>
          <w:tab w:val="left" w:pos="700"/>
        </w:tabs>
        <w:ind w:left="700" w:hanging="364"/>
        <w:rPr>
          <w:rFonts w:eastAsia="Times New Roman"/>
          <w:szCs w:val="24"/>
        </w:rPr>
      </w:pPr>
      <w:r w:rsidRPr="00FC3B7C">
        <w:rPr>
          <w:rFonts w:eastAsia="Times New Roman"/>
          <w:b/>
          <w:bCs/>
          <w:szCs w:val="24"/>
        </w:rPr>
        <w:t xml:space="preserve">Služby </w:t>
      </w:r>
      <w:r w:rsidRPr="00FC3B7C">
        <w:rPr>
          <w:rFonts w:eastAsia="Times New Roman"/>
          <w:szCs w:val="24"/>
        </w:rPr>
        <w:t>– poradenství, sociálně</w:t>
      </w:r>
      <w:r w:rsidRPr="00FC3B7C">
        <w:rPr>
          <w:rFonts w:eastAsia="Times New Roman"/>
          <w:b/>
          <w:bCs/>
          <w:szCs w:val="24"/>
        </w:rPr>
        <w:t xml:space="preserve"> </w:t>
      </w:r>
      <w:r w:rsidRPr="00FC3B7C">
        <w:rPr>
          <w:rFonts w:eastAsia="Times New Roman"/>
          <w:szCs w:val="24"/>
        </w:rPr>
        <w:t>právní ochrana, pomoc v krizi, pečovatelské služby…</w:t>
      </w:r>
    </w:p>
    <w:p w14:paraId="4A6F4A9D" w14:textId="77777777" w:rsidR="00FC274B" w:rsidRDefault="00FC274B" w:rsidP="00CE6695">
      <w:pPr>
        <w:spacing w:line="240" w:lineRule="auto"/>
        <w:ind w:left="420"/>
        <w:rPr>
          <w:rFonts w:eastAsia="Times New Roman"/>
          <w:b/>
          <w:bCs/>
          <w:sz w:val="28"/>
          <w:szCs w:val="28"/>
        </w:rPr>
      </w:pPr>
      <w:bookmarkStart w:id="356" w:name="page380"/>
      <w:bookmarkEnd w:id="356"/>
    </w:p>
    <w:p w14:paraId="4A6F4A9E" w14:textId="77777777" w:rsidR="00CE6695" w:rsidRPr="00FC3B7C" w:rsidRDefault="00CE6695" w:rsidP="00FC274B">
      <w:pPr>
        <w:pStyle w:val="Nadpis3"/>
        <w:rPr>
          <w:sz w:val="20"/>
          <w:szCs w:val="20"/>
        </w:rPr>
      </w:pPr>
      <w:r w:rsidRPr="00EE01FF">
        <w:rPr>
          <w:rFonts w:eastAsia="Times New Roman"/>
          <w:color w:val="1F3864" w:themeColor="accent1" w:themeShade="80"/>
        </w:rPr>
        <w:t>Typy nástrojů z hlediska času</w:t>
      </w:r>
    </w:p>
    <w:p w14:paraId="4A6F4A9F" w14:textId="77777777" w:rsidR="00CE6695" w:rsidRPr="00FC3B7C" w:rsidRDefault="00CE6695" w:rsidP="00D46B53">
      <w:pPr>
        <w:numPr>
          <w:ilvl w:val="0"/>
          <w:numId w:val="317"/>
        </w:numPr>
        <w:tabs>
          <w:tab w:val="left" w:pos="700"/>
        </w:tabs>
        <w:ind w:left="700" w:hanging="364"/>
        <w:rPr>
          <w:rFonts w:eastAsia="Times New Roman"/>
          <w:b/>
          <w:bCs/>
          <w:szCs w:val="24"/>
        </w:rPr>
      </w:pPr>
      <w:r w:rsidRPr="00FC3B7C">
        <w:rPr>
          <w:rFonts w:eastAsia="Times New Roman"/>
          <w:b/>
          <w:bCs/>
          <w:szCs w:val="24"/>
        </w:rPr>
        <w:t xml:space="preserve">Sociální doktrína </w:t>
      </w:r>
      <w:r w:rsidRPr="00FC3B7C">
        <w:rPr>
          <w:rFonts w:eastAsia="Times New Roman"/>
          <w:szCs w:val="24"/>
        </w:rPr>
        <w:t>= určitá dlouhodobá představa o budoucí SP</w:t>
      </w:r>
    </w:p>
    <w:p w14:paraId="4A6F4AA0" w14:textId="77777777" w:rsidR="00CE6695" w:rsidRPr="00FC3B7C" w:rsidRDefault="00CE6695" w:rsidP="00D46B53">
      <w:pPr>
        <w:numPr>
          <w:ilvl w:val="1"/>
          <w:numId w:val="317"/>
        </w:numPr>
        <w:tabs>
          <w:tab w:val="left" w:pos="1420"/>
        </w:tabs>
        <w:ind w:left="1420" w:hanging="364"/>
        <w:rPr>
          <w:rFonts w:eastAsia="Times New Roman"/>
          <w:szCs w:val="24"/>
        </w:rPr>
      </w:pPr>
      <w:r w:rsidRPr="00FC3B7C">
        <w:rPr>
          <w:rFonts w:eastAsia="Times New Roman"/>
          <w:szCs w:val="24"/>
        </w:rPr>
        <w:t>vymezuje koridor, v němž by se měla SP dlouhodobě pohybovat</w:t>
      </w:r>
    </w:p>
    <w:p w14:paraId="4A6F4AA1" w14:textId="77777777" w:rsidR="00CE6695" w:rsidRPr="00FC3B7C" w:rsidRDefault="00CE6695" w:rsidP="00D46B53">
      <w:pPr>
        <w:numPr>
          <w:ilvl w:val="1"/>
          <w:numId w:val="317"/>
        </w:numPr>
        <w:tabs>
          <w:tab w:val="left" w:pos="1420"/>
        </w:tabs>
        <w:ind w:left="1420" w:hanging="364"/>
        <w:rPr>
          <w:rFonts w:eastAsia="Times New Roman"/>
          <w:szCs w:val="24"/>
        </w:rPr>
      </w:pPr>
      <w:r w:rsidRPr="00FC3B7C">
        <w:rPr>
          <w:rFonts w:eastAsia="Times New Roman"/>
          <w:szCs w:val="24"/>
        </w:rPr>
        <w:t>časový horizont 10, 15 i více let</w:t>
      </w:r>
    </w:p>
    <w:p w14:paraId="4A6F4AA2" w14:textId="77777777" w:rsidR="00CE6695" w:rsidRPr="00FC3B7C" w:rsidRDefault="00CE6695" w:rsidP="00D46B53">
      <w:pPr>
        <w:numPr>
          <w:ilvl w:val="0"/>
          <w:numId w:val="317"/>
        </w:numPr>
        <w:tabs>
          <w:tab w:val="left" w:pos="700"/>
        </w:tabs>
        <w:ind w:left="700" w:hanging="364"/>
        <w:rPr>
          <w:rFonts w:eastAsia="Times New Roman"/>
          <w:b/>
          <w:bCs/>
          <w:szCs w:val="24"/>
        </w:rPr>
      </w:pPr>
      <w:r w:rsidRPr="00FC3B7C">
        <w:rPr>
          <w:rFonts w:eastAsia="Times New Roman"/>
          <w:b/>
          <w:bCs/>
          <w:szCs w:val="24"/>
        </w:rPr>
        <w:t xml:space="preserve">Program </w:t>
      </w:r>
      <w:r w:rsidRPr="00FC3B7C">
        <w:rPr>
          <w:rFonts w:eastAsia="Times New Roman"/>
          <w:szCs w:val="24"/>
        </w:rPr>
        <w:t>- specifikuje doktrínu v kratším</w:t>
      </w:r>
      <w:r w:rsidRPr="00FC3B7C">
        <w:rPr>
          <w:rFonts w:eastAsia="Times New Roman"/>
          <w:b/>
          <w:bCs/>
          <w:szCs w:val="24"/>
        </w:rPr>
        <w:t xml:space="preserve"> </w:t>
      </w:r>
      <w:r w:rsidRPr="00FC3B7C">
        <w:rPr>
          <w:rFonts w:eastAsia="Times New Roman"/>
          <w:szCs w:val="24"/>
        </w:rPr>
        <w:t>časovém období</w:t>
      </w:r>
    </w:p>
    <w:p w14:paraId="4A6F4AA3" w14:textId="77777777" w:rsidR="00CE6695" w:rsidRPr="00FC3B7C" w:rsidRDefault="00CE6695" w:rsidP="00D46B53">
      <w:pPr>
        <w:numPr>
          <w:ilvl w:val="1"/>
          <w:numId w:val="317"/>
        </w:numPr>
        <w:tabs>
          <w:tab w:val="left" w:pos="1420"/>
        </w:tabs>
        <w:ind w:left="1420" w:hanging="364"/>
        <w:rPr>
          <w:rFonts w:eastAsia="Times New Roman"/>
          <w:szCs w:val="24"/>
        </w:rPr>
      </w:pPr>
      <w:r w:rsidRPr="00FC3B7C">
        <w:rPr>
          <w:rFonts w:eastAsia="Times New Roman"/>
          <w:szCs w:val="24"/>
        </w:rPr>
        <w:t>představuje způsob, jak dosáhnout programových cílů, které jsou výsledkem</w:t>
      </w:r>
    </w:p>
    <w:p w14:paraId="4A6F4AA4" w14:textId="77777777" w:rsidR="00CE6695" w:rsidRPr="00FC3B7C" w:rsidRDefault="00CE6695" w:rsidP="00D46B53">
      <w:pPr>
        <w:numPr>
          <w:ilvl w:val="1"/>
          <w:numId w:val="317"/>
        </w:numPr>
        <w:tabs>
          <w:tab w:val="left" w:pos="1420"/>
        </w:tabs>
        <w:ind w:left="1420" w:hanging="364"/>
        <w:rPr>
          <w:rFonts w:eastAsia="Times New Roman"/>
          <w:szCs w:val="24"/>
        </w:rPr>
      </w:pPr>
      <w:r w:rsidRPr="00FC3B7C">
        <w:rPr>
          <w:rFonts w:eastAsia="Times New Roman"/>
          <w:szCs w:val="24"/>
        </w:rPr>
        <w:t>jednání různých politických, vládních i nevládních orgánů</w:t>
      </w:r>
    </w:p>
    <w:p w14:paraId="4A6F4AA5" w14:textId="77777777" w:rsidR="00CE6695" w:rsidRPr="00FC3B7C" w:rsidRDefault="00CE6695" w:rsidP="00D46B53">
      <w:pPr>
        <w:numPr>
          <w:ilvl w:val="0"/>
          <w:numId w:val="317"/>
        </w:numPr>
        <w:tabs>
          <w:tab w:val="left" w:pos="700"/>
        </w:tabs>
        <w:ind w:left="700" w:hanging="364"/>
        <w:rPr>
          <w:rFonts w:eastAsia="Times New Roman"/>
          <w:b/>
          <w:bCs/>
          <w:szCs w:val="24"/>
        </w:rPr>
      </w:pPr>
      <w:r w:rsidRPr="00FC3B7C">
        <w:rPr>
          <w:rFonts w:eastAsia="Times New Roman"/>
          <w:b/>
          <w:bCs/>
          <w:szCs w:val="24"/>
        </w:rPr>
        <w:t xml:space="preserve">Kolektivní vyjednávání </w:t>
      </w:r>
      <w:r w:rsidRPr="00FC3B7C">
        <w:rPr>
          <w:rFonts w:eastAsia="Times New Roman"/>
          <w:szCs w:val="24"/>
        </w:rPr>
        <w:t>- mechanismus dosahování konsenzu mezi sociálními partnery</w:t>
      </w:r>
      <w:r w:rsidRPr="00FC3B7C">
        <w:rPr>
          <w:rFonts w:eastAsia="Times New Roman"/>
          <w:b/>
          <w:bCs/>
          <w:szCs w:val="24"/>
        </w:rPr>
        <w:t xml:space="preserve"> </w:t>
      </w:r>
      <w:r w:rsidRPr="00FC3B7C">
        <w:rPr>
          <w:rFonts w:eastAsia="Times New Roman"/>
          <w:szCs w:val="24"/>
        </w:rPr>
        <w:t>(= odbory, svazy hájící zájmy zaměstnanců / zaměstnavatelů, příp. stát)</w:t>
      </w:r>
    </w:p>
    <w:p w14:paraId="4A6F4AA6" w14:textId="77777777" w:rsidR="00CE6695" w:rsidRPr="00FC3B7C" w:rsidRDefault="00CE6695" w:rsidP="00D46B53">
      <w:pPr>
        <w:numPr>
          <w:ilvl w:val="1"/>
          <w:numId w:val="317"/>
        </w:numPr>
        <w:tabs>
          <w:tab w:val="left" w:pos="1420"/>
        </w:tabs>
        <w:ind w:left="1420" w:hanging="364"/>
        <w:rPr>
          <w:rFonts w:eastAsia="Times New Roman"/>
          <w:szCs w:val="24"/>
        </w:rPr>
      </w:pPr>
      <w:r w:rsidRPr="00FC3B7C">
        <w:rPr>
          <w:rFonts w:eastAsia="Times New Roman"/>
          <w:szCs w:val="24"/>
        </w:rPr>
        <w:t>má preventivní charakter - řeší problémy „ex ante“</w:t>
      </w:r>
    </w:p>
    <w:p w14:paraId="4A6F4AA7" w14:textId="77777777" w:rsidR="00CE6695" w:rsidRPr="00FC274B" w:rsidRDefault="00CE6695" w:rsidP="00D46B53">
      <w:pPr>
        <w:numPr>
          <w:ilvl w:val="1"/>
          <w:numId w:val="317"/>
        </w:numPr>
        <w:tabs>
          <w:tab w:val="left" w:pos="1420"/>
        </w:tabs>
        <w:ind w:left="1420" w:hanging="364"/>
        <w:rPr>
          <w:rFonts w:eastAsia="Times New Roman"/>
          <w:szCs w:val="24"/>
        </w:rPr>
      </w:pPr>
      <w:r w:rsidRPr="00FC274B">
        <w:rPr>
          <w:rFonts w:eastAsia="Times New Roman"/>
          <w:szCs w:val="24"/>
        </w:rPr>
        <w:t>výsledkem jsou kolektivní smlouvy</w:t>
      </w:r>
    </w:p>
    <w:p w14:paraId="4A6F4AA8" w14:textId="77777777" w:rsidR="00CE6695" w:rsidRPr="00FC3B7C" w:rsidRDefault="00CE6695" w:rsidP="00D46B53">
      <w:pPr>
        <w:numPr>
          <w:ilvl w:val="1"/>
          <w:numId w:val="317"/>
        </w:numPr>
        <w:tabs>
          <w:tab w:val="left" w:pos="1420"/>
        </w:tabs>
        <w:ind w:left="1420" w:hanging="364"/>
        <w:rPr>
          <w:rFonts w:eastAsia="Times New Roman"/>
          <w:szCs w:val="24"/>
        </w:rPr>
      </w:pPr>
      <w:r w:rsidRPr="00FC3B7C">
        <w:rPr>
          <w:rFonts w:eastAsia="Times New Roman"/>
          <w:szCs w:val="24"/>
        </w:rPr>
        <w:lastRenderedPageBreak/>
        <w:t xml:space="preserve">upravují vztahy, práva a povinnosti mezi zaměstnavateli a zaměstnanci </w:t>
      </w:r>
      <w:r w:rsidR="00FC274B">
        <w:rPr>
          <w:rFonts w:eastAsia="Times New Roman"/>
          <w:szCs w:val="24"/>
        </w:rPr>
        <w:br/>
      </w:r>
      <w:r w:rsidRPr="00FC3B7C">
        <w:rPr>
          <w:rFonts w:eastAsia="Times New Roman"/>
          <w:szCs w:val="24"/>
        </w:rPr>
        <w:t>a podnikové kolektivní smlouvy - uzavírány pro určitý podnik / instituci</w:t>
      </w:r>
    </w:p>
    <w:p w14:paraId="4A6F4AA9" w14:textId="77777777" w:rsidR="00CE6695" w:rsidRPr="00FC3B7C" w:rsidRDefault="00CE6695" w:rsidP="00D46B53">
      <w:pPr>
        <w:numPr>
          <w:ilvl w:val="0"/>
          <w:numId w:val="317"/>
        </w:numPr>
        <w:tabs>
          <w:tab w:val="left" w:pos="700"/>
        </w:tabs>
        <w:ind w:left="700" w:hanging="364"/>
        <w:rPr>
          <w:rFonts w:eastAsia="Times New Roman"/>
          <w:b/>
          <w:bCs/>
          <w:szCs w:val="24"/>
        </w:rPr>
      </w:pPr>
      <w:r w:rsidRPr="00FC3B7C">
        <w:rPr>
          <w:rFonts w:eastAsia="Times New Roman"/>
          <w:b/>
          <w:bCs/>
          <w:szCs w:val="24"/>
        </w:rPr>
        <w:t xml:space="preserve">Kolektivní smlouvy vyššího typu </w:t>
      </w:r>
      <w:r w:rsidRPr="00FC3B7C">
        <w:rPr>
          <w:rFonts w:eastAsia="Times New Roman"/>
          <w:szCs w:val="24"/>
        </w:rPr>
        <w:t>- pro větší počet zaměstnavatelů</w:t>
      </w:r>
      <w:r w:rsidRPr="00FC3B7C">
        <w:rPr>
          <w:rFonts w:eastAsia="Times New Roman"/>
          <w:b/>
          <w:bCs/>
          <w:szCs w:val="24"/>
        </w:rPr>
        <w:t xml:space="preserve"> </w:t>
      </w:r>
      <w:r w:rsidRPr="00FC3B7C">
        <w:rPr>
          <w:rFonts w:eastAsia="Times New Roman"/>
          <w:szCs w:val="24"/>
        </w:rPr>
        <w:t>a zaměstnanců</w:t>
      </w:r>
    </w:p>
    <w:p w14:paraId="4A6F4AAA" w14:textId="77777777" w:rsidR="00CE6695" w:rsidRPr="00FC3B7C" w:rsidRDefault="00CE6695" w:rsidP="00CE6695">
      <w:pPr>
        <w:spacing w:line="377" w:lineRule="exact"/>
        <w:rPr>
          <w:sz w:val="20"/>
          <w:szCs w:val="20"/>
        </w:rPr>
      </w:pPr>
    </w:p>
    <w:p w14:paraId="4A6F4AAB" w14:textId="77777777" w:rsidR="00CE6695" w:rsidRPr="00244BB9" w:rsidRDefault="00CE6695" w:rsidP="00FC274B">
      <w:pPr>
        <w:pStyle w:val="Nadpis3"/>
        <w:rPr>
          <w:color w:val="1F3864" w:themeColor="accent1" w:themeShade="80"/>
          <w:sz w:val="20"/>
          <w:szCs w:val="20"/>
        </w:rPr>
      </w:pPr>
      <w:r w:rsidRPr="00244BB9">
        <w:rPr>
          <w:rFonts w:eastAsia="Times New Roman"/>
          <w:color w:val="1F3864" w:themeColor="accent1" w:themeShade="80"/>
        </w:rPr>
        <w:t>Nástroje s aplikačním charakterem</w:t>
      </w:r>
    </w:p>
    <w:p w14:paraId="4A6F4AAC" w14:textId="77777777" w:rsidR="00CE6695" w:rsidRPr="00FC3B7C" w:rsidRDefault="00CE6695" w:rsidP="00D46B53">
      <w:pPr>
        <w:numPr>
          <w:ilvl w:val="0"/>
          <w:numId w:val="318"/>
        </w:numPr>
        <w:tabs>
          <w:tab w:val="left" w:pos="700"/>
        </w:tabs>
        <w:ind w:left="700" w:hanging="364"/>
        <w:rPr>
          <w:rFonts w:eastAsia="Times New Roman"/>
          <w:b/>
          <w:bCs/>
          <w:szCs w:val="24"/>
        </w:rPr>
      </w:pPr>
      <w:bookmarkStart w:id="357" w:name="_Hlk531028366"/>
      <w:r w:rsidRPr="00FC3B7C">
        <w:rPr>
          <w:rFonts w:eastAsia="Times New Roman"/>
          <w:b/>
          <w:bCs/>
          <w:szCs w:val="24"/>
        </w:rPr>
        <w:t xml:space="preserve">Sociální příjmy </w:t>
      </w:r>
      <w:r w:rsidRPr="00FC3B7C">
        <w:rPr>
          <w:rFonts w:eastAsia="Times New Roman"/>
          <w:szCs w:val="24"/>
        </w:rPr>
        <w:t>- příjmy spojené s opatřeními sociální politiky</w:t>
      </w:r>
    </w:p>
    <w:p w14:paraId="4A6F4AAD" w14:textId="77777777" w:rsidR="00CE6695" w:rsidRPr="00FC3B7C" w:rsidRDefault="00CE6695" w:rsidP="00D46B53">
      <w:pPr>
        <w:numPr>
          <w:ilvl w:val="1"/>
          <w:numId w:val="318"/>
        </w:numPr>
        <w:tabs>
          <w:tab w:val="left" w:pos="1420"/>
        </w:tabs>
        <w:ind w:left="1420" w:hanging="364"/>
        <w:rPr>
          <w:rFonts w:eastAsia="Times New Roman"/>
          <w:szCs w:val="24"/>
        </w:rPr>
      </w:pPr>
      <w:r w:rsidRPr="00FC3B7C">
        <w:rPr>
          <w:rFonts w:eastAsia="Times New Roman"/>
          <w:szCs w:val="24"/>
        </w:rPr>
        <w:t>v ČR je tvoří hlavně dávky důchodového a nemocenského pojištění, dávky</w:t>
      </w:r>
    </w:p>
    <w:p w14:paraId="4A6F4AAE" w14:textId="77777777" w:rsidR="00CE6695" w:rsidRPr="00FC3B7C" w:rsidRDefault="00CE6695" w:rsidP="00FC274B">
      <w:pPr>
        <w:tabs>
          <w:tab w:val="left" w:pos="2140"/>
          <w:tab w:val="left" w:pos="3100"/>
          <w:tab w:val="left" w:pos="4180"/>
          <w:tab w:val="left" w:pos="5200"/>
          <w:tab w:val="left" w:pos="6000"/>
          <w:tab w:val="left" w:pos="6980"/>
          <w:tab w:val="left" w:pos="7920"/>
          <w:tab w:val="left" w:pos="8240"/>
        </w:tabs>
        <w:ind w:left="1420"/>
        <w:rPr>
          <w:sz w:val="20"/>
          <w:szCs w:val="20"/>
        </w:rPr>
      </w:pPr>
      <w:r w:rsidRPr="00FC3B7C">
        <w:rPr>
          <w:rFonts w:eastAsia="Times New Roman"/>
          <w:szCs w:val="24"/>
        </w:rPr>
        <w:t>státní</w:t>
      </w:r>
      <w:r w:rsidRPr="00FC3B7C">
        <w:rPr>
          <w:rFonts w:eastAsia="Times New Roman"/>
          <w:szCs w:val="24"/>
        </w:rPr>
        <w:tab/>
        <w:t>sociální</w:t>
      </w:r>
      <w:r w:rsidRPr="00FC3B7C">
        <w:rPr>
          <w:rFonts w:eastAsia="Times New Roman"/>
          <w:szCs w:val="24"/>
        </w:rPr>
        <w:tab/>
        <w:t>podpory,</w:t>
      </w:r>
      <w:r w:rsidRPr="00FC3B7C">
        <w:rPr>
          <w:rFonts w:eastAsia="Times New Roman"/>
          <w:szCs w:val="24"/>
        </w:rPr>
        <w:tab/>
        <w:t>peněžité</w:t>
      </w:r>
      <w:r w:rsidRPr="00FC3B7C">
        <w:rPr>
          <w:rFonts w:eastAsia="Times New Roman"/>
          <w:szCs w:val="24"/>
        </w:rPr>
        <w:tab/>
        <w:t>dávky</w:t>
      </w:r>
      <w:r w:rsidRPr="00FC3B7C">
        <w:rPr>
          <w:rFonts w:eastAsia="Times New Roman"/>
          <w:szCs w:val="24"/>
        </w:rPr>
        <w:tab/>
        <w:t>sociální</w:t>
      </w:r>
      <w:r w:rsidRPr="00FC3B7C">
        <w:rPr>
          <w:rFonts w:eastAsia="Times New Roman"/>
          <w:szCs w:val="24"/>
        </w:rPr>
        <w:tab/>
        <w:t>pomoci</w:t>
      </w:r>
      <w:r w:rsidRPr="00FC3B7C">
        <w:rPr>
          <w:rFonts w:eastAsia="Times New Roman"/>
          <w:szCs w:val="24"/>
        </w:rPr>
        <w:tab/>
        <w:t>a</w:t>
      </w:r>
      <w:r w:rsidRPr="00FC3B7C">
        <w:rPr>
          <w:rFonts w:eastAsia="Times New Roman"/>
          <w:szCs w:val="24"/>
        </w:rPr>
        <w:tab/>
        <w:t>podpory</w:t>
      </w:r>
    </w:p>
    <w:p w14:paraId="4A6F4AAF" w14:textId="77777777" w:rsidR="00CE6695" w:rsidRPr="00FC3B7C" w:rsidRDefault="00CE6695" w:rsidP="00FC274B">
      <w:pPr>
        <w:ind w:left="1420"/>
        <w:rPr>
          <w:sz w:val="20"/>
          <w:szCs w:val="20"/>
        </w:rPr>
      </w:pPr>
      <w:r w:rsidRPr="00FC3B7C">
        <w:rPr>
          <w:rFonts w:eastAsia="Times New Roman"/>
          <w:szCs w:val="24"/>
        </w:rPr>
        <w:t>v nezaměstnanosti</w:t>
      </w:r>
    </w:p>
    <w:p w14:paraId="4A6F4AB0" w14:textId="77777777" w:rsidR="00CE6695" w:rsidRPr="00FC3B7C" w:rsidRDefault="00CE6695" w:rsidP="00D46B53">
      <w:pPr>
        <w:numPr>
          <w:ilvl w:val="1"/>
          <w:numId w:val="319"/>
        </w:numPr>
        <w:tabs>
          <w:tab w:val="left" w:pos="1420"/>
        </w:tabs>
        <w:ind w:left="1420" w:hanging="364"/>
        <w:rPr>
          <w:rFonts w:eastAsia="Times New Roman"/>
          <w:szCs w:val="24"/>
        </w:rPr>
      </w:pPr>
      <w:r w:rsidRPr="00FC3B7C">
        <w:rPr>
          <w:rFonts w:eastAsia="Times New Roman"/>
          <w:szCs w:val="24"/>
        </w:rPr>
        <w:t>v ČR představují cca 16 % všech příjmů obyvatelstva</w:t>
      </w:r>
    </w:p>
    <w:p w14:paraId="4A6F4AB1" w14:textId="77777777" w:rsidR="00CE6695" w:rsidRPr="00FC3B7C" w:rsidRDefault="00CE6695" w:rsidP="00D46B53">
      <w:pPr>
        <w:numPr>
          <w:ilvl w:val="0"/>
          <w:numId w:val="319"/>
        </w:numPr>
        <w:tabs>
          <w:tab w:val="left" w:pos="700"/>
        </w:tabs>
        <w:ind w:left="700" w:hanging="364"/>
        <w:rPr>
          <w:rFonts w:eastAsia="Times New Roman"/>
          <w:b/>
          <w:bCs/>
          <w:szCs w:val="24"/>
        </w:rPr>
      </w:pPr>
      <w:r w:rsidRPr="00FC3B7C">
        <w:rPr>
          <w:rFonts w:eastAsia="Times New Roman"/>
          <w:b/>
          <w:bCs/>
          <w:szCs w:val="24"/>
        </w:rPr>
        <w:t>So</w:t>
      </w:r>
      <w:bookmarkStart w:id="358" w:name="_Hlk531028661"/>
      <w:r w:rsidRPr="00FC3B7C">
        <w:rPr>
          <w:rFonts w:eastAsia="Times New Roman"/>
          <w:b/>
          <w:bCs/>
          <w:szCs w:val="24"/>
        </w:rPr>
        <w:t xml:space="preserve">ciální služby </w:t>
      </w:r>
      <w:r w:rsidRPr="00FC3B7C">
        <w:rPr>
          <w:rFonts w:eastAsia="Times New Roman"/>
          <w:szCs w:val="24"/>
        </w:rPr>
        <w:t>- slouží k uspokojování potřeb určitých skupin obyvatelstva</w:t>
      </w:r>
    </w:p>
    <w:p w14:paraId="4A6F4AB2" w14:textId="77777777" w:rsidR="00CE6695" w:rsidRPr="00FC3B7C" w:rsidRDefault="00CE6695" w:rsidP="00D46B53">
      <w:pPr>
        <w:numPr>
          <w:ilvl w:val="1"/>
          <w:numId w:val="319"/>
        </w:numPr>
        <w:tabs>
          <w:tab w:val="left" w:pos="1420"/>
        </w:tabs>
        <w:ind w:left="1420" w:hanging="364"/>
        <w:rPr>
          <w:rFonts w:eastAsia="Times New Roman"/>
          <w:szCs w:val="24"/>
        </w:rPr>
      </w:pPr>
      <w:r w:rsidRPr="00FC3B7C">
        <w:rPr>
          <w:rFonts w:eastAsia="Times New Roman"/>
          <w:szCs w:val="24"/>
        </w:rPr>
        <w:t>služby spojené s péčí o staré, nemohoucí, sociálně narušené občany, služby ve sféře zdraví, vzdělání, bydlení, …</w:t>
      </w:r>
    </w:p>
    <w:bookmarkEnd w:id="358"/>
    <w:p w14:paraId="4A6F4AB3" w14:textId="77777777" w:rsidR="00CE6695" w:rsidRPr="00FC3B7C" w:rsidRDefault="00CE6695" w:rsidP="00D46B53">
      <w:pPr>
        <w:numPr>
          <w:ilvl w:val="0"/>
          <w:numId w:val="319"/>
        </w:numPr>
        <w:tabs>
          <w:tab w:val="left" w:pos="700"/>
        </w:tabs>
        <w:ind w:left="700" w:hanging="364"/>
        <w:rPr>
          <w:rFonts w:eastAsia="Times New Roman"/>
          <w:b/>
          <w:bCs/>
          <w:szCs w:val="24"/>
        </w:rPr>
      </w:pPr>
      <w:r w:rsidRPr="00FC3B7C">
        <w:rPr>
          <w:rFonts w:eastAsia="Times New Roman"/>
          <w:b/>
          <w:bCs/>
          <w:szCs w:val="24"/>
        </w:rPr>
        <w:t xml:space="preserve">Věcné dávky </w:t>
      </w:r>
      <w:r w:rsidRPr="00FC3B7C">
        <w:rPr>
          <w:rFonts w:eastAsia="Times New Roman"/>
          <w:szCs w:val="24"/>
        </w:rPr>
        <w:t>- spojeny s ochranou zdraví</w:t>
      </w:r>
    </w:p>
    <w:p w14:paraId="4A6F4AB4" w14:textId="77777777" w:rsidR="00CE6695" w:rsidRPr="00FC3B7C" w:rsidRDefault="00CE6695" w:rsidP="00D46B53">
      <w:pPr>
        <w:numPr>
          <w:ilvl w:val="1"/>
          <w:numId w:val="319"/>
        </w:numPr>
        <w:tabs>
          <w:tab w:val="left" w:pos="1420"/>
        </w:tabs>
        <w:ind w:left="1420" w:hanging="364"/>
        <w:rPr>
          <w:rFonts w:eastAsia="Times New Roman"/>
          <w:szCs w:val="24"/>
        </w:rPr>
      </w:pPr>
      <w:r w:rsidRPr="00FC3B7C">
        <w:rPr>
          <w:rFonts w:eastAsia="Times New Roman"/>
          <w:szCs w:val="24"/>
        </w:rPr>
        <w:t>jde hlavně o léky, zdravotní pomůcky (invalidní vozík, protézy) a o ochranné pracovní pomůcky</w:t>
      </w:r>
    </w:p>
    <w:p w14:paraId="4A6F4AB5" w14:textId="77777777" w:rsidR="00CE6695" w:rsidRPr="00FC3B7C" w:rsidRDefault="00CE6695" w:rsidP="00D46B53">
      <w:pPr>
        <w:numPr>
          <w:ilvl w:val="0"/>
          <w:numId w:val="320"/>
        </w:numPr>
        <w:tabs>
          <w:tab w:val="left" w:pos="720"/>
        </w:tabs>
        <w:ind w:left="720" w:hanging="364"/>
        <w:rPr>
          <w:rFonts w:eastAsia="Times New Roman"/>
          <w:b/>
          <w:bCs/>
          <w:szCs w:val="24"/>
        </w:rPr>
      </w:pPr>
      <w:bookmarkStart w:id="359" w:name="page381"/>
      <w:bookmarkEnd w:id="359"/>
      <w:r w:rsidRPr="00FC3B7C">
        <w:rPr>
          <w:rFonts w:eastAsia="Times New Roman"/>
          <w:b/>
          <w:bCs/>
          <w:szCs w:val="24"/>
        </w:rPr>
        <w:t xml:space="preserve">Účelové půjčky </w:t>
      </w:r>
      <w:r w:rsidRPr="00FC3B7C">
        <w:rPr>
          <w:rFonts w:eastAsia="Times New Roman"/>
          <w:szCs w:val="24"/>
        </w:rPr>
        <w:t>- zvýhodněné půjčky k ovlivňování různých sociálních situací</w:t>
      </w:r>
      <w:r w:rsidRPr="00FC3B7C">
        <w:rPr>
          <w:rFonts w:eastAsia="Times New Roman"/>
          <w:b/>
          <w:bCs/>
          <w:szCs w:val="24"/>
        </w:rPr>
        <w:t xml:space="preserve"> </w:t>
      </w:r>
      <w:r w:rsidRPr="00FC3B7C">
        <w:rPr>
          <w:rFonts w:eastAsia="Times New Roman"/>
          <w:szCs w:val="24"/>
        </w:rPr>
        <w:t>či</w:t>
      </w:r>
      <w:r w:rsidRPr="00FC3B7C">
        <w:rPr>
          <w:rFonts w:eastAsia="Times New Roman"/>
          <w:b/>
          <w:bCs/>
          <w:szCs w:val="24"/>
        </w:rPr>
        <w:t xml:space="preserve"> </w:t>
      </w:r>
      <w:r w:rsidRPr="00FC3B7C">
        <w:rPr>
          <w:rFonts w:eastAsia="Times New Roman"/>
          <w:szCs w:val="24"/>
        </w:rPr>
        <w:t>událostí v životě lidí</w:t>
      </w:r>
    </w:p>
    <w:p w14:paraId="4A6F4AB6" w14:textId="77777777" w:rsidR="00CE6695" w:rsidRPr="00FC3B7C" w:rsidRDefault="00CE6695" w:rsidP="00D46B53">
      <w:pPr>
        <w:numPr>
          <w:ilvl w:val="1"/>
          <w:numId w:val="320"/>
        </w:numPr>
        <w:tabs>
          <w:tab w:val="left" w:pos="1440"/>
        </w:tabs>
        <w:ind w:left="1440" w:hanging="364"/>
        <w:rPr>
          <w:rFonts w:eastAsia="Times New Roman"/>
          <w:szCs w:val="24"/>
        </w:rPr>
      </w:pPr>
      <w:r w:rsidRPr="00FC3B7C">
        <w:rPr>
          <w:rFonts w:eastAsia="Times New Roman"/>
          <w:szCs w:val="24"/>
        </w:rPr>
        <w:t>novomanželské půjčky, půjčky k podpoře bydlení, půjčky na vzdělání, …</w:t>
      </w:r>
    </w:p>
    <w:p w14:paraId="4A6F4AB7" w14:textId="77777777" w:rsidR="00CE6695" w:rsidRPr="00FC3B7C" w:rsidRDefault="00CE6695" w:rsidP="00D46B53">
      <w:pPr>
        <w:numPr>
          <w:ilvl w:val="0"/>
          <w:numId w:val="320"/>
        </w:numPr>
        <w:tabs>
          <w:tab w:val="left" w:pos="720"/>
        </w:tabs>
        <w:ind w:left="720" w:hanging="364"/>
        <w:rPr>
          <w:rFonts w:eastAsia="Times New Roman"/>
          <w:b/>
          <w:bCs/>
          <w:szCs w:val="24"/>
        </w:rPr>
      </w:pPr>
      <w:r w:rsidRPr="00FC3B7C">
        <w:rPr>
          <w:rFonts w:eastAsia="Times New Roman"/>
          <w:b/>
          <w:bCs/>
          <w:szCs w:val="24"/>
        </w:rPr>
        <w:t xml:space="preserve">Úlevy a výhody </w:t>
      </w:r>
      <w:r w:rsidRPr="00FC3B7C">
        <w:rPr>
          <w:rFonts w:eastAsia="Times New Roman"/>
          <w:szCs w:val="24"/>
        </w:rPr>
        <w:t>- poskytované různým skupinám - mladistvým, studujícím, vojákům,</w:t>
      </w:r>
      <w:r w:rsidRPr="00FC3B7C">
        <w:rPr>
          <w:rFonts w:eastAsia="Times New Roman"/>
          <w:b/>
          <w:bCs/>
          <w:szCs w:val="24"/>
        </w:rPr>
        <w:t xml:space="preserve"> </w:t>
      </w:r>
      <w:r w:rsidRPr="00FC3B7C">
        <w:rPr>
          <w:rFonts w:eastAsia="Times New Roman"/>
          <w:szCs w:val="24"/>
        </w:rPr>
        <w:t>důchodcům, …</w:t>
      </w:r>
    </w:p>
    <w:bookmarkEnd w:id="357"/>
    <w:p w14:paraId="4A6F4AB9" w14:textId="4EDDBDF7" w:rsidR="00CE6695" w:rsidRPr="00244BB9" w:rsidRDefault="00CE6695" w:rsidP="00D46B53">
      <w:pPr>
        <w:numPr>
          <w:ilvl w:val="0"/>
          <w:numId w:val="320"/>
        </w:numPr>
        <w:tabs>
          <w:tab w:val="left" w:pos="720"/>
        </w:tabs>
        <w:ind w:left="720" w:hanging="364"/>
        <w:rPr>
          <w:rFonts w:eastAsia="Times New Roman"/>
          <w:b/>
          <w:bCs/>
          <w:szCs w:val="24"/>
        </w:rPr>
      </w:pPr>
      <w:r w:rsidRPr="00FC3B7C">
        <w:rPr>
          <w:rFonts w:eastAsia="Times New Roman"/>
          <w:b/>
          <w:bCs/>
          <w:szCs w:val="24"/>
        </w:rPr>
        <w:t>Regulace cen spotřebního zboží a služeb</w:t>
      </w:r>
    </w:p>
    <w:p w14:paraId="4A6F4ABA" w14:textId="77777777" w:rsidR="00CE6695" w:rsidRPr="00FC3B7C" w:rsidRDefault="00CE6695" w:rsidP="00CE6695">
      <w:pPr>
        <w:spacing w:line="200" w:lineRule="exact"/>
        <w:rPr>
          <w:sz w:val="20"/>
          <w:szCs w:val="20"/>
        </w:rPr>
      </w:pPr>
    </w:p>
    <w:p w14:paraId="4A6F4ABB" w14:textId="77777777" w:rsidR="00CE6695" w:rsidRPr="00FC3B7C" w:rsidRDefault="00CE6695" w:rsidP="00CE6695">
      <w:pPr>
        <w:spacing w:line="224" w:lineRule="exact"/>
        <w:rPr>
          <w:sz w:val="20"/>
          <w:szCs w:val="20"/>
        </w:rPr>
      </w:pPr>
    </w:p>
    <w:p w14:paraId="4A6F4ABC" w14:textId="77777777" w:rsidR="00CE6695" w:rsidRPr="00244BB9" w:rsidRDefault="00CE6695" w:rsidP="00FC274B">
      <w:pPr>
        <w:pStyle w:val="Nadpis2"/>
        <w:rPr>
          <w:color w:val="1F3864" w:themeColor="accent1" w:themeShade="80"/>
          <w:sz w:val="20"/>
          <w:szCs w:val="20"/>
        </w:rPr>
      </w:pPr>
      <w:r w:rsidRPr="00244BB9">
        <w:rPr>
          <w:rFonts w:eastAsia="Times New Roman"/>
          <w:color w:val="1F3864" w:themeColor="accent1" w:themeShade="80"/>
        </w:rPr>
        <w:t>PRINCIPY SP</w:t>
      </w:r>
    </w:p>
    <w:p w14:paraId="4A6F4ABD" w14:textId="77777777" w:rsidR="00CE6695" w:rsidRPr="00FC3B7C" w:rsidRDefault="00CE6695" w:rsidP="00CE6695">
      <w:pPr>
        <w:spacing w:line="200" w:lineRule="exact"/>
        <w:rPr>
          <w:sz w:val="20"/>
          <w:szCs w:val="20"/>
        </w:rPr>
      </w:pPr>
    </w:p>
    <w:p w14:paraId="4A6F4ABE" w14:textId="224898AD" w:rsidR="00CE6695" w:rsidRPr="00FC3B7C" w:rsidRDefault="00EE01FF" w:rsidP="00FC274B">
      <w:pPr>
        <w:pStyle w:val="Nadpis3"/>
        <w:rPr>
          <w:sz w:val="20"/>
          <w:szCs w:val="20"/>
        </w:rPr>
      </w:pPr>
      <w:r>
        <w:rPr>
          <w:rFonts w:eastAsia="Times New Roman"/>
        </w:rPr>
        <w:t xml:space="preserve"> </w:t>
      </w:r>
      <w:r w:rsidR="00CE6695" w:rsidRPr="00EE01FF">
        <w:rPr>
          <w:rFonts w:eastAsia="Times New Roman"/>
          <w:color w:val="1F3864" w:themeColor="accent1" w:themeShade="80"/>
        </w:rPr>
        <w:t>Princip spravedlnosti</w:t>
      </w:r>
    </w:p>
    <w:p w14:paraId="4A6F4ABF" w14:textId="77777777" w:rsidR="00CE6695" w:rsidRPr="00EE01FF" w:rsidRDefault="00CE6695" w:rsidP="00EE01FF">
      <w:pPr>
        <w:rPr>
          <w:szCs w:val="24"/>
        </w:rPr>
      </w:pPr>
      <w:r w:rsidRPr="00EE01FF">
        <w:rPr>
          <w:rFonts w:eastAsia="Times New Roman"/>
          <w:szCs w:val="24"/>
        </w:rPr>
        <w:t>Spravedlnost v právním smyslu: souhrn právních norem a zásad. V sociálním smyslu: pravidla, podle nichž jsou ve společnosti rozdělovány příjmy, bohatství a životní příležitosti mezi občany. Sociální spravedlnost je pojem subjektivní a relativní neexistuje obecně akceptovatelná definice toho, co je a co není sociálně spravedlivé. Lze vymezit pravidly (pře)rozdělování:</w:t>
      </w:r>
    </w:p>
    <w:p w14:paraId="4A6F4AC0" w14:textId="77777777" w:rsidR="00CE6695" w:rsidRPr="00EE01FF" w:rsidRDefault="00CE6695" w:rsidP="00D46B53">
      <w:pPr>
        <w:numPr>
          <w:ilvl w:val="0"/>
          <w:numId w:val="321"/>
        </w:numPr>
        <w:tabs>
          <w:tab w:val="left" w:pos="1560"/>
        </w:tabs>
        <w:ind w:left="1560" w:hanging="353"/>
        <w:rPr>
          <w:rFonts w:eastAsia="Arial"/>
          <w:szCs w:val="24"/>
        </w:rPr>
      </w:pPr>
      <w:r w:rsidRPr="00EE01FF">
        <w:rPr>
          <w:rFonts w:eastAsia="Times New Roman"/>
          <w:szCs w:val="24"/>
        </w:rPr>
        <w:t>každému stejně</w:t>
      </w:r>
    </w:p>
    <w:p w14:paraId="4A6F4AC1" w14:textId="77777777" w:rsidR="00CE6695" w:rsidRPr="00EE01FF" w:rsidRDefault="00CE6695" w:rsidP="00D46B53">
      <w:pPr>
        <w:numPr>
          <w:ilvl w:val="0"/>
          <w:numId w:val="321"/>
        </w:numPr>
        <w:tabs>
          <w:tab w:val="left" w:pos="1560"/>
        </w:tabs>
        <w:ind w:left="1560" w:hanging="353"/>
        <w:rPr>
          <w:rFonts w:eastAsia="Arial"/>
          <w:szCs w:val="24"/>
        </w:rPr>
      </w:pPr>
      <w:r w:rsidRPr="00EE01FF">
        <w:rPr>
          <w:rFonts w:eastAsia="Times New Roman"/>
          <w:szCs w:val="24"/>
        </w:rPr>
        <w:t>každému podle jeho zásluh</w:t>
      </w:r>
    </w:p>
    <w:p w14:paraId="4A6F4AC2" w14:textId="77777777" w:rsidR="00CE6695" w:rsidRPr="00EE01FF" w:rsidRDefault="00CE6695" w:rsidP="00D46B53">
      <w:pPr>
        <w:numPr>
          <w:ilvl w:val="0"/>
          <w:numId w:val="321"/>
        </w:numPr>
        <w:tabs>
          <w:tab w:val="left" w:pos="1560"/>
        </w:tabs>
        <w:ind w:left="1560" w:hanging="353"/>
        <w:rPr>
          <w:rFonts w:eastAsia="Arial"/>
          <w:szCs w:val="24"/>
        </w:rPr>
      </w:pPr>
      <w:r w:rsidRPr="00EE01FF">
        <w:rPr>
          <w:rFonts w:eastAsia="Times New Roman"/>
          <w:szCs w:val="24"/>
        </w:rPr>
        <w:lastRenderedPageBreak/>
        <w:t>každému podle jeho potřeb</w:t>
      </w:r>
    </w:p>
    <w:p w14:paraId="4A6F4AC3" w14:textId="77777777" w:rsidR="00CE6695" w:rsidRDefault="00CE6695" w:rsidP="00CE6695">
      <w:pPr>
        <w:spacing w:line="370" w:lineRule="exact"/>
        <w:rPr>
          <w:sz w:val="20"/>
          <w:szCs w:val="20"/>
        </w:rPr>
      </w:pPr>
    </w:p>
    <w:p w14:paraId="4A6F4AC4" w14:textId="77777777" w:rsidR="00FC274B" w:rsidRPr="00FC3B7C" w:rsidRDefault="00FC274B" w:rsidP="00CE6695">
      <w:pPr>
        <w:spacing w:line="370" w:lineRule="exact"/>
        <w:rPr>
          <w:sz w:val="20"/>
          <w:szCs w:val="20"/>
        </w:rPr>
      </w:pPr>
    </w:p>
    <w:p w14:paraId="4A6F4AC5" w14:textId="66385ED6" w:rsidR="00CE6695" w:rsidRPr="00EE01FF" w:rsidRDefault="00EE01FF" w:rsidP="00FC274B">
      <w:pPr>
        <w:pStyle w:val="Nadpis3"/>
        <w:rPr>
          <w:color w:val="1F3864" w:themeColor="accent1" w:themeShade="80"/>
          <w:sz w:val="20"/>
          <w:szCs w:val="20"/>
        </w:rPr>
      </w:pPr>
      <w:r w:rsidRPr="00EE01FF">
        <w:rPr>
          <w:rFonts w:eastAsia="Times New Roman"/>
          <w:color w:val="1F3864" w:themeColor="accent1" w:themeShade="80"/>
        </w:rPr>
        <w:t xml:space="preserve"> </w:t>
      </w:r>
      <w:r w:rsidR="00CE6695" w:rsidRPr="00EE01FF">
        <w:rPr>
          <w:rFonts w:eastAsia="Times New Roman"/>
          <w:color w:val="1F3864" w:themeColor="accent1" w:themeShade="80"/>
        </w:rPr>
        <w:t>Princip solidarity</w:t>
      </w:r>
    </w:p>
    <w:p w14:paraId="4A6F4AC6" w14:textId="77777777" w:rsidR="00CE6695" w:rsidRPr="00FC3B7C" w:rsidRDefault="00CE6695" w:rsidP="00EE01FF">
      <w:pPr>
        <w:rPr>
          <w:sz w:val="20"/>
          <w:szCs w:val="20"/>
        </w:rPr>
      </w:pPr>
      <w:r w:rsidRPr="00FC3B7C">
        <w:rPr>
          <w:rFonts w:eastAsia="Times New Roman"/>
          <w:szCs w:val="24"/>
        </w:rPr>
        <w:t>Solidarita = vzájemná podpora, sounáležitost. Projevuje se pomocí redistribuce a transferové politiky státu, vedle toho také dobrovolnými aktivitami. Dělíme ji podle různých hledisek:</w:t>
      </w:r>
    </w:p>
    <w:p w14:paraId="4A6F4AC7" w14:textId="77777777" w:rsidR="00CE6695" w:rsidRPr="00FC3B7C" w:rsidRDefault="00CE6695" w:rsidP="00D46B53">
      <w:pPr>
        <w:numPr>
          <w:ilvl w:val="0"/>
          <w:numId w:val="322"/>
        </w:numPr>
        <w:tabs>
          <w:tab w:val="left" w:pos="1560"/>
        </w:tabs>
        <w:ind w:left="1560" w:hanging="353"/>
        <w:rPr>
          <w:rFonts w:eastAsia="Arial"/>
          <w:szCs w:val="24"/>
        </w:rPr>
      </w:pPr>
      <w:r w:rsidRPr="00FC3B7C">
        <w:rPr>
          <w:rFonts w:eastAsia="Times New Roman"/>
          <w:szCs w:val="24"/>
        </w:rPr>
        <w:t>dobrovolná (charita) / vynucená (zdravotnictví, školství)</w:t>
      </w:r>
    </w:p>
    <w:p w14:paraId="4A6F4AC8" w14:textId="77777777" w:rsidR="00CE6695" w:rsidRPr="00FC3B7C" w:rsidRDefault="00CE6695" w:rsidP="00D46B53">
      <w:pPr>
        <w:numPr>
          <w:ilvl w:val="0"/>
          <w:numId w:val="322"/>
        </w:numPr>
        <w:tabs>
          <w:tab w:val="left" w:pos="1560"/>
        </w:tabs>
        <w:ind w:left="1560" w:hanging="353"/>
        <w:rPr>
          <w:rFonts w:eastAsia="Arial"/>
          <w:szCs w:val="24"/>
        </w:rPr>
      </w:pPr>
      <w:r w:rsidRPr="00FC3B7C">
        <w:rPr>
          <w:rFonts w:eastAsia="Times New Roman"/>
          <w:szCs w:val="24"/>
        </w:rPr>
        <w:t>mezinárodní (WHO, Rada Evropy) / celostátní (pojištění)</w:t>
      </w:r>
    </w:p>
    <w:p w14:paraId="4A6F4AC9" w14:textId="77777777" w:rsidR="00CE6695" w:rsidRPr="00FC3B7C" w:rsidRDefault="00CE6695" w:rsidP="00D46B53">
      <w:pPr>
        <w:numPr>
          <w:ilvl w:val="0"/>
          <w:numId w:val="322"/>
        </w:numPr>
        <w:tabs>
          <w:tab w:val="left" w:pos="1560"/>
        </w:tabs>
        <w:ind w:left="1560" w:hanging="353"/>
        <w:rPr>
          <w:rFonts w:eastAsia="Arial"/>
          <w:szCs w:val="24"/>
        </w:rPr>
      </w:pPr>
      <w:r w:rsidRPr="00FC3B7C">
        <w:rPr>
          <w:rFonts w:eastAsia="Times New Roman"/>
          <w:szCs w:val="24"/>
        </w:rPr>
        <w:t>regionální (obce, firmy) / jednotlivců a rodin (vnitro-rodinná solidarita)</w:t>
      </w:r>
    </w:p>
    <w:p w14:paraId="4A6F4ACA" w14:textId="77777777" w:rsidR="00CE6695" w:rsidRPr="00FC3B7C" w:rsidRDefault="00CE6695" w:rsidP="00D46B53">
      <w:pPr>
        <w:numPr>
          <w:ilvl w:val="0"/>
          <w:numId w:val="322"/>
        </w:numPr>
        <w:tabs>
          <w:tab w:val="left" w:pos="1560"/>
        </w:tabs>
        <w:ind w:left="1560" w:hanging="353"/>
        <w:rPr>
          <w:rFonts w:eastAsia="Arial"/>
          <w:szCs w:val="24"/>
        </w:rPr>
      </w:pPr>
      <w:r w:rsidRPr="00FC3B7C">
        <w:rPr>
          <w:rFonts w:eastAsia="Times New Roman"/>
          <w:szCs w:val="24"/>
        </w:rPr>
        <w:t>solidarita mezigenerační (ekonomicky aktivního obyvatelstva s neaktivním obyvatelstvem)</w:t>
      </w:r>
    </w:p>
    <w:p w14:paraId="4A6F4ACB" w14:textId="77777777" w:rsidR="00CE6695" w:rsidRPr="00FC3B7C" w:rsidRDefault="00CE6695" w:rsidP="00D46B53">
      <w:pPr>
        <w:numPr>
          <w:ilvl w:val="0"/>
          <w:numId w:val="322"/>
        </w:numPr>
        <w:tabs>
          <w:tab w:val="left" w:pos="1560"/>
        </w:tabs>
        <w:ind w:left="1560" w:hanging="353"/>
        <w:rPr>
          <w:rFonts w:eastAsia="Arial"/>
          <w:szCs w:val="24"/>
        </w:rPr>
      </w:pPr>
      <w:r w:rsidRPr="00FC3B7C">
        <w:rPr>
          <w:rFonts w:eastAsia="Times New Roman"/>
          <w:szCs w:val="24"/>
        </w:rPr>
        <w:t>solidarita zdravých s nemocnými, zaměstnaných s nezaměstnanými, bezdětných občanů s rodinami s dětmi</w:t>
      </w:r>
    </w:p>
    <w:p w14:paraId="4A6F4ACC" w14:textId="77777777" w:rsidR="00CE6695" w:rsidRPr="00FC3B7C" w:rsidRDefault="00CE6695" w:rsidP="00CE6695">
      <w:pPr>
        <w:spacing w:line="158" w:lineRule="exact"/>
        <w:rPr>
          <w:sz w:val="20"/>
          <w:szCs w:val="20"/>
        </w:rPr>
      </w:pPr>
    </w:p>
    <w:p w14:paraId="4A6F4ACD" w14:textId="7CF0905F" w:rsidR="00CE6695" w:rsidRPr="00EE01FF" w:rsidRDefault="00EE01FF" w:rsidP="00FC274B">
      <w:pPr>
        <w:pStyle w:val="Nadpis3"/>
        <w:rPr>
          <w:color w:val="1F3864" w:themeColor="accent1" w:themeShade="80"/>
          <w:sz w:val="20"/>
          <w:szCs w:val="20"/>
        </w:rPr>
      </w:pPr>
      <w:r w:rsidRPr="00EE01FF">
        <w:rPr>
          <w:rFonts w:eastAsia="Times New Roman"/>
          <w:color w:val="1F3864" w:themeColor="accent1" w:themeShade="80"/>
        </w:rPr>
        <w:t xml:space="preserve"> </w:t>
      </w:r>
      <w:r w:rsidR="00CE6695" w:rsidRPr="00EE01FF">
        <w:rPr>
          <w:rFonts w:eastAsia="Times New Roman"/>
          <w:bCs/>
          <w:color w:val="1F3864" w:themeColor="accent1" w:themeShade="80"/>
        </w:rPr>
        <w:t>Pri</w:t>
      </w:r>
      <w:r>
        <w:rPr>
          <w:rStyle w:val="Nadpis3Char"/>
          <w:b/>
          <w:bCs/>
          <w:color w:val="1F3864" w:themeColor="accent1" w:themeShade="80"/>
        </w:rPr>
        <w:t>n</w:t>
      </w:r>
      <w:r w:rsidR="00CE6695" w:rsidRPr="00EE01FF">
        <w:rPr>
          <w:rFonts w:eastAsia="Times New Roman"/>
          <w:bCs/>
          <w:color w:val="1F3864" w:themeColor="accent1" w:themeShade="80"/>
        </w:rPr>
        <w:t>cip</w:t>
      </w:r>
      <w:r w:rsidR="00CE6695" w:rsidRPr="00EE01FF">
        <w:rPr>
          <w:rFonts w:eastAsia="Times New Roman"/>
          <w:color w:val="1F3864" w:themeColor="accent1" w:themeShade="80"/>
        </w:rPr>
        <w:t xml:space="preserve"> subsidiarity</w:t>
      </w:r>
    </w:p>
    <w:p w14:paraId="4A6F4ACE" w14:textId="77777777" w:rsidR="00CE6695" w:rsidRPr="00FC3B7C" w:rsidRDefault="00CE6695" w:rsidP="0060012B">
      <w:pPr>
        <w:ind w:firstLine="720"/>
        <w:rPr>
          <w:sz w:val="20"/>
          <w:szCs w:val="20"/>
        </w:rPr>
      </w:pPr>
      <w:bookmarkStart w:id="360" w:name="page382"/>
      <w:bookmarkEnd w:id="360"/>
      <w:r w:rsidRPr="00FC3B7C">
        <w:rPr>
          <w:rFonts w:eastAsia="Times New Roman"/>
        </w:rPr>
        <w:t xml:space="preserve">Subsidiarita znamená odpovědnost a spoluodpovědnost. </w:t>
      </w:r>
      <w:bookmarkStart w:id="361" w:name="_Hlk531029214"/>
      <w:r w:rsidRPr="00FC3B7C">
        <w:rPr>
          <w:rFonts w:eastAsia="Times New Roman"/>
        </w:rPr>
        <w:t>Dle tohoto principu by se každý měl snažit zabezpečit sám, když to nezvládne, měla by mu pomoci rodina, pokud ani to není možné, měl by se obrátit na obec či jiná společenství a teprve na posledním místě je k pomoci vyzýván stát. Povinností státu je primárně vytvářet takové podmínky, aby si každý mohl pomoci vlastním přičiněním.</w:t>
      </w:r>
      <w:bookmarkEnd w:id="361"/>
    </w:p>
    <w:p w14:paraId="4A6F4ACF" w14:textId="77777777" w:rsidR="00CE6695" w:rsidRPr="00FC3B7C" w:rsidRDefault="00CE6695" w:rsidP="00CE6695">
      <w:pPr>
        <w:spacing w:line="188" w:lineRule="exact"/>
        <w:rPr>
          <w:sz w:val="20"/>
          <w:szCs w:val="20"/>
        </w:rPr>
      </w:pPr>
    </w:p>
    <w:p w14:paraId="4A6F4AD0" w14:textId="33DF8D9D" w:rsidR="00CE6695" w:rsidRPr="00EE01FF" w:rsidRDefault="00EE01FF" w:rsidP="00FC274B">
      <w:pPr>
        <w:pStyle w:val="Nadpis3"/>
        <w:rPr>
          <w:color w:val="1F3864" w:themeColor="accent1" w:themeShade="80"/>
          <w:sz w:val="20"/>
          <w:szCs w:val="20"/>
        </w:rPr>
      </w:pPr>
      <w:r w:rsidRPr="00EE01FF">
        <w:rPr>
          <w:rFonts w:eastAsia="Times New Roman"/>
          <w:color w:val="1F3864" w:themeColor="accent1" w:themeShade="80"/>
        </w:rPr>
        <w:t xml:space="preserve"> </w:t>
      </w:r>
      <w:r w:rsidR="00CE6695" w:rsidRPr="00EE01FF">
        <w:rPr>
          <w:rFonts w:eastAsia="Times New Roman"/>
          <w:color w:val="1F3864" w:themeColor="accent1" w:themeShade="80"/>
        </w:rPr>
        <w:t>Princip participace</w:t>
      </w:r>
    </w:p>
    <w:p w14:paraId="4A6F4AD1" w14:textId="77777777" w:rsidR="00CE6695" w:rsidRPr="00FC3B7C" w:rsidRDefault="00CE6695" w:rsidP="00EE01FF">
      <w:pPr>
        <w:rPr>
          <w:sz w:val="20"/>
          <w:szCs w:val="20"/>
        </w:rPr>
      </w:pPr>
      <w:r w:rsidRPr="00FC3B7C">
        <w:rPr>
          <w:rFonts w:eastAsia="Times New Roman"/>
        </w:rPr>
        <w:t>Lidé, jejichž život je ovlivňován určitými opatřeními, musí mít také možnost podílet se na procesu tvorby těchto opatření. Řídit se heslem: platím daně – chci vědět, kam jdou. Člověk by se měl podílet na společnosti tak, aby se z objektu (příjemce) stal subjektem (poskytovatel) → neměl by být pasivním příjemcem opatření.</w:t>
      </w:r>
    </w:p>
    <w:p w14:paraId="4A6F4AD2" w14:textId="77777777" w:rsidR="00CE6695" w:rsidRPr="00FC3B7C" w:rsidRDefault="00CE6695" w:rsidP="00CE6695">
      <w:pPr>
        <w:spacing w:line="183" w:lineRule="exact"/>
        <w:rPr>
          <w:sz w:val="20"/>
          <w:szCs w:val="20"/>
        </w:rPr>
      </w:pPr>
    </w:p>
    <w:p w14:paraId="4A6F4AD3" w14:textId="77777777" w:rsidR="00CE6695" w:rsidRPr="00FC3B7C" w:rsidRDefault="00CE6695" w:rsidP="00FC274B">
      <w:pPr>
        <w:pStyle w:val="Nadpis3"/>
        <w:rPr>
          <w:sz w:val="20"/>
          <w:szCs w:val="20"/>
        </w:rPr>
      </w:pPr>
      <w:r w:rsidRPr="00FC3B7C">
        <w:rPr>
          <w:rFonts w:eastAsia="Times New Roman"/>
        </w:rPr>
        <w:t>Princip ekvivalence</w:t>
      </w:r>
    </w:p>
    <w:p w14:paraId="4A6F4AD4" w14:textId="77777777" w:rsidR="00CE6695" w:rsidRPr="00FC3B7C" w:rsidRDefault="00CE6695" w:rsidP="00EE01FF">
      <w:pPr>
        <w:rPr>
          <w:sz w:val="20"/>
          <w:szCs w:val="20"/>
        </w:rPr>
      </w:pPr>
      <w:r w:rsidRPr="00FC3B7C">
        <w:rPr>
          <w:rFonts w:eastAsia="Times New Roman"/>
        </w:rPr>
        <w:t xml:space="preserve">Nepatří mezi základní principy, spíše vedlejší princip SP. Ekvivalence = rovnocennost. Rozdělování důchodů, statků, služeb jedincům by mělo odpovídat jejich vlastnímu výkonu </w:t>
      </w:r>
      <w:r w:rsidR="00FC274B">
        <w:rPr>
          <w:rFonts w:eastAsia="Times New Roman"/>
        </w:rPr>
        <w:br/>
      </w:r>
      <w:r w:rsidRPr="00FC3B7C">
        <w:rPr>
          <w:rFonts w:eastAsia="Times New Roman"/>
        </w:rPr>
        <w:t>a pracovní zásluze. Směřuje k sociální nezávislosti občanů na státu a k jejich soběstačnosti.</w:t>
      </w:r>
    </w:p>
    <w:p w14:paraId="4A6F4AD5" w14:textId="77777777" w:rsidR="00CE6695" w:rsidRPr="00FC3B7C" w:rsidRDefault="00CE6695" w:rsidP="00CE6695">
      <w:pPr>
        <w:spacing w:line="200" w:lineRule="exact"/>
        <w:rPr>
          <w:sz w:val="20"/>
          <w:szCs w:val="20"/>
        </w:rPr>
      </w:pPr>
    </w:p>
    <w:p w14:paraId="4A6F4AD6" w14:textId="77777777" w:rsidR="00CE6695" w:rsidRPr="00FC3B7C" w:rsidRDefault="00CE6695" w:rsidP="00CE6695">
      <w:pPr>
        <w:spacing w:line="220" w:lineRule="exact"/>
        <w:rPr>
          <w:sz w:val="20"/>
          <w:szCs w:val="20"/>
        </w:rPr>
      </w:pPr>
    </w:p>
    <w:p w14:paraId="4A6F4AD7" w14:textId="77777777" w:rsidR="00CE6695" w:rsidRPr="00244BB9" w:rsidRDefault="00CE6695" w:rsidP="00FC274B">
      <w:pPr>
        <w:pStyle w:val="Nadpis2"/>
        <w:rPr>
          <w:color w:val="1F3864" w:themeColor="accent1" w:themeShade="80"/>
          <w:sz w:val="20"/>
          <w:szCs w:val="20"/>
        </w:rPr>
      </w:pPr>
      <w:r w:rsidRPr="00244BB9">
        <w:rPr>
          <w:rFonts w:eastAsia="Times New Roman"/>
          <w:color w:val="1F3864" w:themeColor="accent1" w:themeShade="80"/>
        </w:rPr>
        <w:lastRenderedPageBreak/>
        <w:t>TYPY SP</w:t>
      </w:r>
    </w:p>
    <w:p w14:paraId="4A6F4AD8" w14:textId="77777777" w:rsidR="00CE6695" w:rsidRPr="00FC3B7C" w:rsidRDefault="00CE6695" w:rsidP="0060012B">
      <w:pPr>
        <w:ind w:firstLine="576"/>
        <w:rPr>
          <w:sz w:val="20"/>
          <w:szCs w:val="20"/>
        </w:rPr>
      </w:pPr>
      <w:bookmarkStart w:id="362" w:name="_Hlk531029971"/>
      <w:r w:rsidRPr="00FC3B7C">
        <w:rPr>
          <w:rFonts w:eastAsia="Times New Roman"/>
        </w:rPr>
        <w:t>Rozdělujeme kvůli srovnání funkcí a principů na čem státy stojí.</w:t>
      </w:r>
      <w:bookmarkEnd w:id="362"/>
      <w:r w:rsidRPr="00FC3B7C">
        <w:rPr>
          <w:rFonts w:eastAsia="Times New Roman"/>
        </w:rPr>
        <w:t xml:space="preserve"> Podle míry účasti státu</w:t>
      </w:r>
      <w:r w:rsidR="00FC274B">
        <w:rPr>
          <w:rFonts w:eastAsia="Times New Roman"/>
        </w:rPr>
        <w:br/>
      </w:r>
      <w:r w:rsidRPr="00FC3B7C">
        <w:rPr>
          <w:rFonts w:eastAsia="Times New Roman"/>
        </w:rPr>
        <w:t xml:space="preserve"> v praxi sociální politiky jsou rozlišovány 3 základní typy (modely) SP, v žádné zemi neexistují sociální politiky v čisté modelové podobě. Vždy jde o kombinaci prvků všech typů s výraznější inklinací k některému z nich.</w:t>
      </w:r>
    </w:p>
    <w:p w14:paraId="4A6F4AD9" w14:textId="77777777" w:rsidR="00CE6695" w:rsidRPr="00FC3B7C" w:rsidRDefault="00CE6695" w:rsidP="00FC274B">
      <w:pPr>
        <w:rPr>
          <w:sz w:val="20"/>
          <w:szCs w:val="20"/>
        </w:rPr>
      </w:pPr>
      <w:r w:rsidRPr="00FC3B7C">
        <w:rPr>
          <w:rFonts w:eastAsia="Times New Roman"/>
        </w:rPr>
        <w:t>Známe 2 autory rozdělení: Robert Morris Titmuss; Gosta Espping-Andersen</w:t>
      </w:r>
    </w:p>
    <w:p w14:paraId="4A6F4ADA" w14:textId="77777777" w:rsidR="00CE6695" w:rsidRPr="00FC3B7C" w:rsidRDefault="00CE6695" w:rsidP="00CE6695">
      <w:pPr>
        <w:spacing w:line="371" w:lineRule="exact"/>
        <w:rPr>
          <w:sz w:val="20"/>
          <w:szCs w:val="20"/>
        </w:rPr>
      </w:pPr>
    </w:p>
    <w:p w14:paraId="4A6F4ADB" w14:textId="50851213" w:rsidR="00CE6695" w:rsidRPr="00244BB9" w:rsidRDefault="00EE01FF" w:rsidP="00FC274B">
      <w:pPr>
        <w:pStyle w:val="Nadpis3"/>
        <w:rPr>
          <w:color w:val="1F3864" w:themeColor="accent1" w:themeShade="80"/>
          <w:sz w:val="20"/>
          <w:szCs w:val="20"/>
        </w:rPr>
      </w:pPr>
      <w:r w:rsidRPr="00244BB9">
        <w:rPr>
          <w:rFonts w:eastAsia="Times New Roman"/>
          <w:color w:val="1F3864" w:themeColor="accent1" w:themeShade="80"/>
        </w:rPr>
        <w:t xml:space="preserve"> </w:t>
      </w:r>
      <w:r w:rsidR="00CE6695" w:rsidRPr="00244BB9">
        <w:rPr>
          <w:rFonts w:eastAsia="Times New Roman"/>
          <w:color w:val="1F3864" w:themeColor="accent1" w:themeShade="80"/>
        </w:rPr>
        <w:t>Richard Morris Titmuss</w:t>
      </w:r>
    </w:p>
    <w:p w14:paraId="4A6F4ADC" w14:textId="77777777" w:rsidR="00CE6695" w:rsidRPr="00FC3B7C" w:rsidRDefault="00CE6695" w:rsidP="0060012B">
      <w:pPr>
        <w:ind w:firstLine="720"/>
        <w:rPr>
          <w:sz w:val="20"/>
          <w:szCs w:val="20"/>
        </w:rPr>
      </w:pPr>
      <w:r w:rsidRPr="00FC3B7C">
        <w:rPr>
          <w:rFonts w:eastAsia="Times New Roman"/>
        </w:rPr>
        <w:t>Zakladatel oboru sociální politika. Rozděluje modely na: reziduální, výkonový, nedistributivní</w:t>
      </w:r>
    </w:p>
    <w:p w14:paraId="4A6F4ADD" w14:textId="77777777" w:rsidR="00CE6695" w:rsidRPr="00FC3B7C" w:rsidRDefault="00CE6695" w:rsidP="00FC274B">
      <w:pPr>
        <w:rPr>
          <w:sz w:val="20"/>
          <w:szCs w:val="20"/>
        </w:rPr>
      </w:pPr>
      <w:r w:rsidRPr="00FC3B7C">
        <w:rPr>
          <w:rFonts w:eastAsia="Times New Roman"/>
        </w:rPr>
        <w:t>– podle individuální odpovědnosti.</w:t>
      </w:r>
    </w:p>
    <w:p w14:paraId="4A6F4ADE" w14:textId="77777777" w:rsidR="00CE6695" w:rsidRPr="00FC3B7C" w:rsidRDefault="00CE6695" w:rsidP="00CE6695">
      <w:pPr>
        <w:spacing w:line="130" w:lineRule="exact"/>
        <w:rPr>
          <w:sz w:val="20"/>
          <w:szCs w:val="20"/>
        </w:rPr>
      </w:pPr>
    </w:p>
    <w:p w14:paraId="4A6F4ADF" w14:textId="77777777" w:rsidR="00CE6695" w:rsidRPr="00EE01FF" w:rsidRDefault="00CE6695" w:rsidP="00FC274B">
      <w:pPr>
        <w:pStyle w:val="Nadpis4"/>
        <w:rPr>
          <w:color w:val="1F3864" w:themeColor="accent1" w:themeShade="80"/>
          <w:sz w:val="20"/>
          <w:szCs w:val="20"/>
        </w:rPr>
      </w:pPr>
      <w:r w:rsidRPr="00EE01FF">
        <w:rPr>
          <w:rFonts w:eastAsia="Times New Roman"/>
          <w:color w:val="1F3864" w:themeColor="accent1" w:themeShade="80"/>
        </w:rPr>
        <w:t>Reziduální</w:t>
      </w:r>
    </w:p>
    <w:p w14:paraId="4A6F4AE1" w14:textId="3C07498D" w:rsidR="00CE6695" w:rsidRPr="00FC3B7C" w:rsidRDefault="00CE6695" w:rsidP="00EE01FF">
      <w:pPr>
        <w:ind w:left="568"/>
        <w:rPr>
          <w:sz w:val="20"/>
          <w:szCs w:val="20"/>
        </w:rPr>
      </w:pPr>
      <w:r w:rsidRPr="00FC3B7C">
        <w:rPr>
          <w:rFonts w:eastAsia="Times New Roman"/>
        </w:rPr>
        <w:t>Má naučit lidi, jak být bez sociální politiky- spoléhat se na rodinu a na trh. Odpovědnost státu za sociální situace občanů je minimální. Dávky jsou relativně skromné a jejich poskytování je</w:t>
      </w:r>
      <w:bookmarkStart w:id="363" w:name="page383"/>
      <w:bookmarkEnd w:id="363"/>
      <w:r w:rsidR="0060012B">
        <w:rPr>
          <w:sz w:val="20"/>
          <w:szCs w:val="20"/>
        </w:rPr>
        <w:t xml:space="preserve"> </w:t>
      </w:r>
      <w:r w:rsidRPr="00FC3B7C">
        <w:rPr>
          <w:rFonts w:eastAsia="Times New Roman"/>
          <w:szCs w:val="24"/>
        </w:rPr>
        <w:t>testováno příjmy. Nejnižší míra redistribuce ze všech 3 typů. Patří sem například: USA, Japonsko + VB (v poslední době se přibližuje).</w:t>
      </w:r>
    </w:p>
    <w:p w14:paraId="4A6F4AE2" w14:textId="77777777" w:rsidR="00CE6695" w:rsidRPr="00FC3B7C" w:rsidRDefault="00CE6695" w:rsidP="00D46B53">
      <w:pPr>
        <w:numPr>
          <w:ilvl w:val="0"/>
          <w:numId w:val="323"/>
        </w:numPr>
        <w:tabs>
          <w:tab w:val="left" w:pos="1560"/>
        </w:tabs>
        <w:ind w:left="1560" w:hanging="353"/>
        <w:rPr>
          <w:rFonts w:eastAsia="Arial"/>
          <w:szCs w:val="24"/>
        </w:rPr>
      </w:pPr>
      <w:r w:rsidRPr="00FC3B7C">
        <w:rPr>
          <w:rFonts w:eastAsia="Times New Roman"/>
          <w:b/>
          <w:bCs/>
          <w:i/>
          <w:iCs/>
          <w:szCs w:val="24"/>
        </w:rPr>
        <w:t>Výhody</w:t>
      </w:r>
      <w:r w:rsidRPr="00FC3B7C">
        <w:rPr>
          <w:rFonts w:eastAsia="Times New Roman"/>
          <w:szCs w:val="24"/>
        </w:rPr>
        <w:t>: levný</w:t>
      </w:r>
      <w:r w:rsidRPr="00FC3B7C">
        <w:rPr>
          <w:rFonts w:eastAsia="Times New Roman"/>
          <w:b/>
          <w:bCs/>
          <w:i/>
          <w:iCs/>
          <w:szCs w:val="24"/>
        </w:rPr>
        <w:t xml:space="preserve"> </w:t>
      </w:r>
      <w:r w:rsidRPr="00FC3B7C">
        <w:rPr>
          <w:rFonts w:eastAsia="Times New Roman"/>
          <w:szCs w:val="24"/>
        </w:rPr>
        <w:t>– jen nezbytná pomoc, diferencované služby</w:t>
      </w:r>
    </w:p>
    <w:p w14:paraId="4A6F4AE3" w14:textId="77777777" w:rsidR="00CE6695" w:rsidRPr="00FC3B7C" w:rsidRDefault="00CE6695" w:rsidP="00D46B53">
      <w:pPr>
        <w:numPr>
          <w:ilvl w:val="0"/>
          <w:numId w:val="323"/>
        </w:numPr>
        <w:tabs>
          <w:tab w:val="left" w:pos="1560"/>
        </w:tabs>
        <w:ind w:left="1560" w:hanging="353"/>
        <w:rPr>
          <w:rFonts w:eastAsia="Arial"/>
          <w:szCs w:val="24"/>
        </w:rPr>
      </w:pPr>
      <w:r w:rsidRPr="00FC3B7C">
        <w:rPr>
          <w:rFonts w:eastAsia="Times New Roman"/>
          <w:b/>
          <w:bCs/>
          <w:i/>
          <w:iCs/>
          <w:szCs w:val="24"/>
        </w:rPr>
        <w:t>Nevýhody</w:t>
      </w:r>
      <w:r w:rsidRPr="00FC3B7C">
        <w:rPr>
          <w:rFonts w:eastAsia="Times New Roman"/>
          <w:szCs w:val="24"/>
        </w:rPr>
        <w:t>: vysoká příjmová nerovnost, sociální stát je politicky nepopulární a</w:t>
      </w:r>
      <w:r w:rsidRPr="00FC3B7C">
        <w:rPr>
          <w:rFonts w:eastAsia="Times New Roman"/>
          <w:b/>
          <w:bCs/>
          <w:i/>
          <w:iCs/>
          <w:szCs w:val="24"/>
        </w:rPr>
        <w:t xml:space="preserve"> </w:t>
      </w:r>
      <w:r w:rsidRPr="00FC3B7C">
        <w:rPr>
          <w:rFonts w:eastAsia="Times New Roman"/>
          <w:szCs w:val="24"/>
        </w:rPr>
        <w:t>není udržitelný</w:t>
      </w:r>
    </w:p>
    <w:p w14:paraId="4A6F4AE4" w14:textId="77777777" w:rsidR="00CE6695" w:rsidRPr="00FC3B7C" w:rsidRDefault="00CE6695" w:rsidP="00CE6695">
      <w:pPr>
        <w:spacing w:line="124" w:lineRule="exact"/>
        <w:rPr>
          <w:sz w:val="20"/>
          <w:szCs w:val="20"/>
        </w:rPr>
      </w:pPr>
    </w:p>
    <w:p w14:paraId="4A6F4AE5" w14:textId="77777777" w:rsidR="00CE6695" w:rsidRPr="00EE01FF" w:rsidRDefault="00CE6695" w:rsidP="00FC274B">
      <w:pPr>
        <w:pStyle w:val="Nadpis4"/>
        <w:rPr>
          <w:color w:val="1F3864" w:themeColor="accent1" w:themeShade="80"/>
          <w:sz w:val="20"/>
          <w:szCs w:val="20"/>
        </w:rPr>
      </w:pPr>
      <w:r w:rsidRPr="00EE01FF">
        <w:rPr>
          <w:rFonts w:eastAsia="Times New Roman"/>
          <w:color w:val="1F3864" w:themeColor="accent1" w:themeShade="80"/>
        </w:rPr>
        <w:t>Výkonový (korporativní)</w:t>
      </w:r>
    </w:p>
    <w:p w14:paraId="4A6F4AE6" w14:textId="77777777" w:rsidR="00CE6695" w:rsidRPr="00EE01FF" w:rsidRDefault="00CE6695" w:rsidP="00EE01FF">
      <w:pPr>
        <w:ind w:left="568"/>
        <w:rPr>
          <w:szCs w:val="24"/>
        </w:rPr>
      </w:pPr>
      <w:r w:rsidRPr="00EE01FF">
        <w:rPr>
          <w:rFonts w:eastAsia="Times New Roman"/>
          <w:szCs w:val="24"/>
        </w:rPr>
        <w:t xml:space="preserve">Sociální potřeby mají být primárně uspokojovány na základě výkonu a produktivity/ kooperace občanů. Míra redistribuce je nižší. Stát garantuje pouze společensky uznaná minima potřeb a vytváří prostor pro působení nestátních subjektů. Významným zdrojem financování dávek jsou prostředky pojistných fondů. Patří sem například: </w:t>
      </w:r>
      <w:r w:rsidRPr="00EE01FF">
        <w:rPr>
          <w:rFonts w:eastAsia="Times New Roman"/>
          <w:b/>
          <w:bCs/>
          <w:i/>
          <w:iCs/>
          <w:szCs w:val="24"/>
        </w:rPr>
        <w:t>SRN - Německo, Rakousko, Francie.</w:t>
      </w:r>
    </w:p>
    <w:p w14:paraId="4A6F4AE7" w14:textId="77777777" w:rsidR="00CE6695" w:rsidRPr="00EE01FF" w:rsidRDefault="00CE6695" w:rsidP="00D46B53">
      <w:pPr>
        <w:numPr>
          <w:ilvl w:val="0"/>
          <w:numId w:val="324"/>
        </w:numPr>
        <w:tabs>
          <w:tab w:val="left" w:pos="1560"/>
        </w:tabs>
        <w:ind w:left="1560" w:hanging="353"/>
        <w:rPr>
          <w:rFonts w:eastAsia="Arial"/>
          <w:szCs w:val="24"/>
        </w:rPr>
      </w:pPr>
      <w:r w:rsidRPr="00EE01FF">
        <w:rPr>
          <w:rFonts w:eastAsia="Times New Roman"/>
          <w:b/>
          <w:bCs/>
          <w:i/>
          <w:iCs/>
          <w:szCs w:val="24"/>
        </w:rPr>
        <w:t xml:space="preserve">Výhody: </w:t>
      </w:r>
      <w:r w:rsidRPr="00EE01FF">
        <w:rPr>
          <w:rFonts w:eastAsia="Times New Roman"/>
          <w:szCs w:val="24"/>
        </w:rPr>
        <w:t>silná podpora občanů, udržení příjmové úrovně</w:t>
      </w:r>
    </w:p>
    <w:p w14:paraId="4A6F4AE8" w14:textId="77777777" w:rsidR="00CE6695" w:rsidRPr="00EE01FF" w:rsidRDefault="00CE6695" w:rsidP="00D46B53">
      <w:pPr>
        <w:numPr>
          <w:ilvl w:val="0"/>
          <w:numId w:val="324"/>
        </w:numPr>
        <w:tabs>
          <w:tab w:val="left" w:pos="1560"/>
        </w:tabs>
        <w:ind w:left="1560" w:hanging="353"/>
        <w:rPr>
          <w:rFonts w:eastAsia="Arial"/>
          <w:szCs w:val="24"/>
        </w:rPr>
      </w:pPr>
      <w:r w:rsidRPr="00EE01FF">
        <w:rPr>
          <w:rFonts w:eastAsia="Times New Roman"/>
          <w:b/>
          <w:bCs/>
          <w:i/>
          <w:iCs/>
          <w:szCs w:val="24"/>
        </w:rPr>
        <w:t xml:space="preserve">Nevýhody: </w:t>
      </w:r>
      <w:r w:rsidRPr="00EE01FF">
        <w:rPr>
          <w:rFonts w:eastAsia="Times New Roman"/>
          <w:szCs w:val="24"/>
        </w:rPr>
        <w:t>udržuje a posiluje sociální nerovnosti, citlivý</w:t>
      </w:r>
      <w:r w:rsidRPr="00EE01FF">
        <w:rPr>
          <w:rFonts w:eastAsia="Times New Roman"/>
          <w:b/>
          <w:bCs/>
          <w:i/>
          <w:iCs/>
          <w:szCs w:val="24"/>
        </w:rPr>
        <w:t xml:space="preserve"> </w:t>
      </w:r>
      <w:r w:rsidRPr="00EE01FF">
        <w:rPr>
          <w:rFonts w:eastAsia="Times New Roman"/>
          <w:szCs w:val="24"/>
        </w:rPr>
        <w:t>na zaměstnanost a</w:t>
      </w:r>
      <w:r w:rsidRPr="00EE01FF">
        <w:rPr>
          <w:rFonts w:eastAsia="Times New Roman"/>
          <w:b/>
          <w:bCs/>
          <w:i/>
          <w:iCs/>
          <w:szCs w:val="24"/>
        </w:rPr>
        <w:t xml:space="preserve"> </w:t>
      </w:r>
      <w:r w:rsidRPr="00EE01FF">
        <w:rPr>
          <w:rFonts w:eastAsia="Times New Roman"/>
          <w:szCs w:val="24"/>
        </w:rPr>
        <w:t>demografický vývoj</w:t>
      </w:r>
    </w:p>
    <w:p w14:paraId="4A6F4AE9" w14:textId="77777777" w:rsidR="00CE6695" w:rsidRPr="00FC3B7C" w:rsidRDefault="00CE6695" w:rsidP="00CE6695">
      <w:pPr>
        <w:spacing w:line="119" w:lineRule="exact"/>
        <w:rPr>
          <w:sz w:val="20"/>
          <w:szCs w:val="20"/>
        </w:rPr>
      </w:pPr>
    </w:p>
    <w:p w14:paraId="4A6F4AEA" w14:textId="77777777" w:rsidR="00CE6695" w:rsidRPr="00EE01FF" w:rsidRDefault="00CE6695" w:rsidP="00FC274B">
      <w:pPr>
        <w:pStyle w:val="Nadpis4"/>
        <w:rPr>
          <w:color w:val="1F3864" w:themeColor="accent1" w:themeShade="80"/>
          <w:sz w:val="20"/>
          <w:szCs w:val="20"/>
        </w:rPr>
      </w:pPr>
      <w:r w:rsidRPr="00EE01FF">
        <w:rPr>
          <w:rFonts w:eastAsia="Times New Roman"/>
          <w:color w:val="1F3864" w:themeColor="accent1" w:themeShade="80"/>
        </w:rPr>
        <w:t>Redistributivní (přerozdělovací)</w:t>
      </w:r>
    </w:p>
    <w:p w14:paraId="4A6F4AEB" w14:textId="77777777" w:rsidR="00CE6695" w:rsidRPr="00FC3B7C" w:rsidRDefault="00CE6695" w:rsidP="00EE01FF">
      <w:pPr>
        <w:ind w:left="568" w:right="20"/>
        <w:rPr>
          <w:sz w:val="20"/>
          <w:szCs w:val="20"/>
        </w:rPr>
      </w:pPr>
      <w:r w:rsidRPr="00FC3B7C">
        <w:rPr>
          <w:rFonts w:eastAsia="Times New Roman"/>
          <w:szCs w:val="24"/>
        </w:rPr>
        <w:t xml:space="preserve">Univerzalistický s dominantní rolí státu, vytlačuje nestátní subjekty. Sociální potřeby lidí vnímány jako sociální práva – když něco potřebuju, tak na to mám právo. Úloha státu často chápána jako povinná - tedy, že by stát měl redistribuovat. Univerzální </w:t>
      </w:r>
      <w:r w:rsidRPr="00FC3B7C">
        <w:rPr>
          <w:rFonts w:eastAsia="Times New Roman"/>
          <w:szCs w:val="24"/>
        </w:rPr>
        <w:lastRenderedPageBreak/>
        <w:t xml:space="preserve">poskytování dávek bez ohledu na individuální možnosti a potřeby jednotlivce. Náročný na ekonomické zdroje, vyžaduje značný rozsah redistribucí. Patří sem například: </w:t>
      </w:r>
      <w:r w:rsidRPr="00FC3B7C">
        <w:rPr>
          <w:rFonts w:eastAsia="Times New Roman"/>
          <w:b/>
          <w:bCs/>
          <w:i/>
          <w:iCs/>
          <w:szCs w:val="24"/>
        </w:rPr>
        <w:t>Skandinávie, Dánsko, Holandsko.</w:t>
      </w:r>
    </w:p>
    <w:p w14:paraId="4A6F4AEC" w14:textId="77777777" w:rsidR="00CE6695" w:rsidRPr="00FC3B7C" w:rsidRDefault="00CE6695" w:rsidP="00D46B53">
      <w:pPr>
        <w:numPr>
          <w:ilvl w:val="0"/>
          <w:numId w:val="325"/>
        </w:numPr>
        <w:tabs>
          <w:tab w:val="left" w:pos="1560"/>
        </w:tabs>
        <w:ind w:left="1560" w:hanging="364"/>
        <w:rPr>
          <w:rFonts w:eastAsia="Arial"/>
          <w:szCs w:val="24"/>
        </w:rPr>
      </w:pPr>
      <w:r w:rsidRPr="00FC3B7C">
        <w:rPr>
          <w:rFonts w:eastAsia="Times New Roman"/>
          <w:b/>
          <w:bCs/>
          <w:i/>
          <w:iCs/>
          <w:szCs w:val="24"/>
        </w:rPr>
        <w:t xml:space="preserve">Výhody: </w:t>
      </w:r>
      <w:r w:rsidRPr="00FC3B7C">
        <w:rPr>
          <w:rFonts w:eastAsia="Times New Roman"/>
          <w:szCs w:val="24"/>
        </w:rPr>
        <w:t>vysoké dávky</w:t>
      </w:r>
    </w:p>
    <w:p w14:paraId="4A6F4AED" w14:textId="77777777" w:rsidR="00CE6695" w:rsidRPr="00FC274B" w:rsidRDefault="00CE6695" w:rsidP="00D46B53">
      <w:pPr>
        <w:numPr>
          <w:ilvl w:val="0"/>
          <w:numId w:val="325"/>
        </w:numPr>
        <w:tabs>
          <w:tab w:val="left" w:pos="1560"/>
        </w:tabs>
        <w:ind w:left="1560" w:hanging="364"/>
        <w:rPr>
          <w:rFonts w:eastAsia="Arial"/>
          <w:szCs w:val="24"/>
        </w:rPr>
      </w:pPr>
      <w:r w:rsidRPr="00FC3B7C">
        <w:rPr>
          <w:rFonts w:eastAsia="Times New Roman"/>
          <w:b/>
          <w:bCs/>
          <w:i/>
          <w:iCs/>
          <w:szCs w:val="24"/>
        </w:rPr>
        <w:t xml:space="preserve">Nevýhody: </w:t>
      </w:r>
      <w:r w:rsidRPr="00FC3B7C">
        <w:rPr>
          <w:rFonts w:eastAsia="Times New Roman"/>
          <w:szCs w:val="24"/>
        </w:rPr>
        <w:t>složité na správu, nákladné, vysoké daně</w:t>
      </w:r>
    </w:p>
    <w:p w14:paraId="4A6F4AF0" w14:textId="77777777" w:rsidR="00CE6695" w:rsidRPr="00FC3B7C" w:rsidRDefault="00CE6695" w:rsidP="00CE6695">
      <w:pPr>
        <w:spacing w:line="371" w:lineRule="exact"/>
        <w:rPr>
          <w:sz w:val="20"/>
          <w:szCs w:val="20"/>
        </w:rPr>
      </w:pPr>
    </w:p>
    <w:p w14:paraId="4A6F4AF1" w14:textId="77777777" w:rsidR="00CE6695" w:rsidRPr="00244BB9" w:rsidRDefault="00CE6695" w:rsidP="00FC274B">
      <w:pPr>
        <w:pStyle w:val="Nadpis3"/>
        <w:rPr>
          <w:color w:val="1F3864" w:themeColor="accent1" w:themeShade="80"/>
          <w:sz w:val="20"/>
          <w:szCs w:val="20"/>
        </w:rPr>
      </w:pPr>
      <w:r w:rsidRPr="00244BB9">
        <w:rPr>
          <w:rFonts w:eastAsia="Times New Roman"/>
          <w:color w:val="1F3864" w:themeColor="accent1" w:themeShade="80"/>
        </w:rPr>
        <w:t>Gosta Esping-Andersen</w:t>
      </w:r>
    </w:p>
    <w:p w14:paraId="4A6F4AF2" w14:textId="77777777" w:rsidR="00CE6695" w:rsidRPr="00EE01FF" w:rsidRDefault="00CE6695" w:rsidP="00FC274B">
      <w:pPr>
        <w:pStyle w:val="Nadpis4"/>
        <w:rPr>
          <w:color w:val="1F3864" w:themeColor="accent1" w:themeShade="80"/>
          <w:sz w:val="20"/>
          <w:szCs w:val="20"/>
        </w:rPr>
      </w:pPr>
      <w:r w:rsidRPr="00EE01FF">
        <w:rPr>
          <w:rFonts w:eastAsia="Times New Roman"/>
          <w:color w:val="1F3864" w:themeColor="accent1" w:themeShade="80"/>
          <w:sz w:val="23"/>
          <w:szCs w:val="23"/>
        </w:rPr>
        <w:t>Liberální</w:t>
      </w:r>
    </w:p>
    <w:p w14:paraId="4A6F4AF3" w14:textId="77777777" w:rsidR="00CE6695" w:rsidRPr="00FC3B7C" w:rsidRDefault="00CE6695" w:rsidP="00EE01FF">
      <w:pPr>
        <w:ind w:left="568" w:right="40"/>
        <w:rPr>
          <w:sz w:val="20"/>
          <w:szCs w:val="20"/>
        </w:rPr>
      </w:pPr>
      <w:r w:rsidRPr="00FC3B7C">
        <w:rPr>
          <w:rFonts w:eastAsia="Times New Roman"/>
          <w:szCs w:val="24"/>
        </w:rPr>
        <w:t xml:space="preserve">Odpovídá Titmussově reziduálnímu modelu. Dobrovolné individuální pojištění (tržní) – tržní síly nadřízené státním intervencím. Nízká úroveň sociálních služeb poskytovaných státem. Patří sem: </w:t>
      </w:r>
      <w:r w:rsidRPr="00FC3B7C">
        <w:rPr>
          <w:rFonts w:eastAsia="Times New Roman"/>
          <w:b/>
          <w:bCs/>
          <w:i/>
          <w:iCs/>
          <w:szCs w:val="24"/>
        </w:rPr>
        <w:t>VB, USA, Kanada, Austrálie.</w:t>
      </w:r>
    </w:p>
    <w:p w14:paraId="4A6F4AF4" w14:textId="77777777" w:rsidR="00FC274B" w:rsidRDefault="00FC274B" w:rsidP="00CE6695">
      <w:pPr>
        <w:tabs>
          <w:tab w:val="left" w:pos="1560"/>
        </w:tabs>
        <w:spacing w:line="240" w:lineRule="auto"/>
        <w:ind w:left="500"/>
        <w:rPr>
          <w:rFonts w:eastAsia="Times New Roman"/>
          <w:b/>
          <w:bCs/>
          <w:i/>
          <w:iCs/>
          <w:szCs w:val="24"/>
        </w:rPr>
      </w:pPr>
      <w:bookmarkStart w:id="364" w:name="page384"/>
      <w:bookmarkEnd w:id="364"/>
    </w:p>
    <w:p w14:paraId="4A6F4AF5" w14:textId="77777777" w:rsidR="00CE6695" w:rsidRPr="00EE01FF" w:rsidRDefault="00CE6695" w:rsidP="00FC274B">
      <w:pPr>
        <w:pStyle w:val="Nadpis4"/>
        <w:rPr>
          <w:color w:val="1F3864" w:themeColor="accent1" w:themeShade="80"/>
          <w:sz w:val="20"/>
          <w:szCs w:val="20"/>
        </w:rPr>
      </w:pPr>
      <w:r w:rsidRPr="00EE01FF">
        <w:rPr>
          <w:rFonts w:eastAsia="Times New Roman"/>
          <w:color w:val="1F3864" w:themeColor="accent1" w:themeShade="80"/>
        </w:rPr>
        <w:t>Konzervativní</w:t>
      </w:r>
    </w:p>
    <w:p w14:paraId="4A6F4AF6" w14:textId="77777777" w:rsidR="00CE6695" w:rsidRDefault="00CE6695" w:rsidP="00EE01FF">
      <w:pPr>
        <w:ind w:left="568" w:right="20"/>
        <w:rPr>
          <w:rFonts w:eastAsia="Times New Roman"/>
          <w:b/>
          <w:bCs/>
          <w:i/>
          <w:iCs/>
          <w:szCs w:val="24"/>
        </w:rPr>
      </w:pPr>
      <w:r w:rsidRPr="00FC3B7C">
        <w:rPr>
          <w:rFonts w:eastAsia="Times New Roman"/>
          <w:szCs w:val="24"/>
        </w:rPr>
        <w:t xml:space="preserve">Odpovídá výkonovému modelu. Pojištění místo pomoci; pomoc testována příjmem. Důležitý princip subsidiarity – důraz na církev, tradice, hodnoty. Patří sem: </w:t>
      </w:r>
      <w:r w:rsidRPr="00FC3B7C">
        <w:rPr>
          <w:rFonts w:eastAsia="Times New Roman"/>
          <w:b/>
          <w:bCs/>
          <w:i/>
          <w:iCs/>
          <w:szCs w:val="24"/>
        </w:rPr>
        <w:t>Německo, Rakousko,</w:t>
      </w:r>
      <w:r w:rsidRPr="00FC3B7C">
        <w:rPr>
          <w:rFonts w:eastAsia="Times New Roman"/>
          <w:szCs w:val="24"/>
        </w:rPr>
        <w:t xml:space="preserve"> </w:t>
      </w:r>
      <w:r w:rsidRPr="00FC3B7C">
        <w:rPr>
          <w:rFonts w:eastAsia="Times New Roman"/>
          <w:b/>
          <w:bCs/>
          <w:i/>
          <w:iCs/>
          <w:szCs w:val="24"/>
        </w:rPr>
        <w:t>Francie, Itálie.</w:t>
      </w:r>
    </w:p>
    <w:p w14:paraId="4A6F4AF7" w14:textId="77777777" w:rsidR="00FC274B" w:rsidRPr="00EE01FF" w:rsidRDefault="00FC274B" w:rsidP="00FC274B">
      <w:pPr>
        <w:ind w:right="20"/>
        <w:rPr>
          <w:color w:val="1F3864" w:themeColor="accent1" w:themeShade="80"/>
          <w:sz w:val="20"/>
          <w:szCs w:val="20"/>
        </w:rPr>
      </w:pPr>
    </w:p>
    <w:p w14:paraId="4A6F4AF8" w14:textId="77777777" w:rsidR="00CE6695" w:rsidRPr="00EE01FF" w:rsidRDefault="00CE6695" w:rsidP="00CE6695">
      <w:pPr>
        <w:spacing w:line="1" w:lineRule="exact"/>
        <w:rPr>
          <w:color w:val="1F3864" w:themeColor="accent1" w:themeShade="80"/>
          <w:sz w:val="20"/>
          <w:szCs w:val="20"/>
        </w:rPr>
      </w:pPr>
    </w:p>
    <w:p w14:paraId="4A6F4AF9" w14:textId="77777777" w:rsidR="00CE6695" w:rsidRPr="00EE01FF" w:rsidRDefault="00CE6695" w:rsidP="00FC274B">
      <w:pPr>
        <w:pStyle w:val="Nadpis4"/>
        <w:rPr>
          <w:color w:val="1F3864" w:themeColor="accent1" w:themeShade="80"/>
          <w:sz w:val="20"/>
          <w:szCs w:val="20"/>
        </w:rPr>
      </w:pPr>
      <w:r w:rsidRPr="00EE01FF">
        <w:rPr>
          <w:rFonts w:eastAsia="Times New Roman"/>
          <w:color w:val="1F3864" w:themeColor="accent1" w:themeShade="80"/>
        </w:rPr>
        <w:t>Sociálně-demokratický</w:t>
      </w:r>
    </w:p>
    <w:p w14:paraId="4A6F4AFA" w14:textId="322B6493" w:rsidR="00CE6695" w:rsidRDefault="00CE6695" w:rsidP="00EE01FF">
      <w:pPr>
        <w:ind w:left="568" w:right="20"/>
        <w:rPr>
          <w:rFonts w:eastAsia="Times New Roman"/>
          <w:b/>
          <w:bCs/>
          <w:i/>
          <w:iCs/>
          <w:szCs w:val="24"/>
        </w:rPr>
      </w:pPr>
      <w:r w:rsidRPr="00FC3B7C">
        <w:rPr>
          <w:rFonts w:eastAsia="Times New Roman"/>
          <w:szCs w:val="24"/>
        </w:rPr>
        <w:t>Odpovídá redistributivnímu modelu. Široké pokrytí rizik, štědrá výše dávek. Stá</w:t>
      </w:r>
      <w:r w:rsidR="00124942">
        <w:rPr>
          <w:rFonts w:eastAsia="Times New Roman"/>
          <w:szCs w:val="24"/>
        </w:rPr>
        <w:t xml:space="preserve">t má silnou pozici; základem je ,,plná“ </w:t>
      </w:r>
      <w:r w:rsidRPr="00FC3B7C">
        <w:rPr>
          <w:rFonts w:eastAsia="Times New Roman"/>
          <w:szCs w:val="24"/>
        </w:rPr>
        <w:t xml:space="preserve">zaměstnanost. Patři sem především: </w:t>
      </w:r>
      <w:r w:rsidRPr="00FC3B7C">
        <w:rPr>
          <w:rFonts w:eastAsia="Times New Roman"/>
          <w:b/>
          <w:bCs/>
          <w:i/>
          <w:iCs/>
          <w:szCs w:val="24"/>
        </w:rPr>
        <w:t>Skandinávské země</w:t>
      </w:r>
      <w:r w:rsidRPr="00FC3B7C">
        <w:rPr>
          <w:rFonts w:eastAsia="Times New Roman"/>
          <w:szCs w:val="24"/>
        </w:rPr>
        <w:t xml:space="preserve"> </w:t>
      </w:r>
      <w:r w:rsidRPr="00FC3B7C">
        <w:rPr>
          <w:rFonts w:eastAsia="Times New Roman"/>
          <w:b/>
          <w:bCs/>
          <w:i/>
          <w:iCs/>
          <w:szCs w:val="24"/>
        </w:rPr>
        <w:t>–</w:t>
      </w:r>
      <w:r w:rsidRPr="00FC3B7C">
        <w:rPr>
          <w:rFonts w:eastAsia="Times New Roman"/>
          <w:szCs w:val="24"/>
        </w:rPr>
        <w:t xml:space="preserve"> </w:t>
      </w:r>
      <w:r w:rsidRPr="00FC3B7C">
        <w:rPr>
          <w:rFonts w:eastAsia="Times New Roman"/>
          <w:b/>
          <w:bCs/>
          <w:i/>
          <w:iCs/>
          <w:szCs w:val="24"/>
        </w:rPr>
        <w:t>Švédsko,</w:t>
      </w:r>
      <w:r w:rsidRPr="00FC3B7C">
        <w:rPr>
          <w:rFonts w:eastAsia="Times New Roman"/>
          <w:szCs w:val="24"/>
        </w:rPr>
        <w:t xml:space="preserve"> </w:t>
      </w:r>
      <w:r w:rsidRPr="00FC3B7C">
        <w:rPr>
          <w:rFonts w:eastAsia="Times New Roman"/>
          <w:b/>
          <w:bCs/>
          <w:i/>
          <w:iCs/>
          <w:szCs w:val="24"/>
        </w:rPr>
        <w:t>Norsko, Finsko, Dánsko.</w:t>
      </w:r>
    </w:p>
    <w:p w14:paraId="4A6F4AFB" w14:textId="77777777" w:rsidR="00FC274B" w:rsidRPr="00FC3B7C" w:rsidRDefault="00FC274B" w:rsidP="00FC274B">
      <w:pPr>
        <w:ind w:right="20"/>
        <w:rPr>
          <w:sz w:val="20"/>
          <w:szCs w:val="20"/>
        </w:rPr>
      </w:pPr>
    </w:p>
    <w:p w14:paraId="4A6F4AFC" w14:textId="77777777" w:rsidR="00CE6695" w:rsidRPr="00FC3B7C" w:rsidRDefault="00CE6695" w:rsidP="00CE6695">
      <w:pPr>
        <w:spacing w:line="3" w:lineRule="exact"/>
        <w:rPr>
          <w:sz w:val="20"/>
          <w:szCs w:val="20"/>
        </w:rPr>
      </w:pPr>
    </w:p>
    <w:p w14:paraId="4A6F4AFD" w14:textId="77777777" w:rsidR="00CE6695" w:rsidRPr="00EE01FF" w:rsidRDefault="00CE6695" w:rsidP="00FC274B">
      <w:pPr>
        <w:pStyle w:val="Nadpis4"/>
        <w:rPr>
          <w:color w:val="1F3864" w:themeColor="accent1" w:themeShade="80"/>
          <w:sz w:val="20"/>
          <w:szCs w:val="20"/>
        </w:rPr>
      </w:pPr>
      <w:r w:rsidRPr="00EE01FF">
        <w:rPr>
          <w:rFonts w:eastAsia="Times New Roman"/>
          <w:color w:val="1F3864" w:themeColor="accent1" w:themeShade="80"/>
        </w:rPr>
        <w:t>Jihoevropský model (rudimentální, latinský)</w:t>
      </w:r>
    </w:p>
    <w:p w14:paraId="4A6F4AFE" w14:textId="77777777" w:rsidR="00CE6695" w:rsidRPr="00FC3B7C" w:rsidRDefault="00CE6695" w:rsidP="00EE01FF">
      <w:pPr>
        <w:ind w:left="568" w:right="20"/>
        <w:rPr>
          <w:sz w:val="20"/>
          <w:szCs w:val="20"/>
        </w:rPr>
      </w:pPr>
      <w:r w:rsidRPr="00FC3B7C">
        <w:rPr>
          <w:rFonts w:eastAsia="Times New Roman"/>
          <w:szCs w:val="24"/>
        </w:rPr>
        <w:t xml:space="preserve">Přidán v 90. letech. Má liberální i konzervativní prvky. Je to jakýsi poddruh konzervativního modelu. Řadí se sem: </w:t>
      </w:r>
      <w:r w:rsidRPr="00FC3B7C">
        <w:rPr>
          <w:rFonts w:eastAsia="Times New Roman"/>
          <w:b/>
          <w:bCs/>
          <w:szCs w:val="24"/>
        </w:rPr>
        <w:t>Řecko,</w:t>
      </w:r>
      <w:r w:rsidRPr="00FC3B7C">
        <w:rPr>
          <w:rFonts w:eastAsia="Times New Roman"/>
          <w:szCs w:val="24"/>
        </w:rPr>
        <w:t xml:space="preserve"> </w:t>
      </w:r>
      <w:r w:rsidRPr="00FC3B7C">
        <w:rPr>
          <w:rFonts w:eastAsia="Times New Roman"/>
          <w:b/>
          <w:bCs/>
          <w:szCs w:val="24"/>
        </w:rPr>
        <w:t>Španělsko, Portugalsko.</w:t>
      </w:r>
    </w:p>
    <w:p w14:paraId="4A6F4B00" w14:textId="77777777" w:rsidR="00FC274B" w:rsidRPr="00FC3B7C" w:rsidRDefault="00FC274B" w:rsidP="00CE6695">
      <w:pPr>
        <w:spacing w:line="396" w:lineRule="exact"/>
        <w:rPr>
          <w:sz w:val="20"/>
          <w:szCs w:val="20"/>
        </w:rPr>
      </w:pPr>
    </w:p>
    <w:p w14:paraId="4A6F4B01" w14:textId="77777777" w:rsidR="00CE6695" w:rsidRPr="0070178B" w:rsidRDefault="00CE6695" w:rsidP="00FC274B">
      <w:pPr>
        <w:pStyle w:val="Nadpis2"/>
        <w:rPr>
          <w:color w:val="1F3864" w:themeColor="accent1" w:themeShade="80"/>
          <w:sz w:val="20"/>
          <w:szCs w:val="20"/>
        </w:rPr>
      </w:pPr>
      <w:r w:rsidRPr="0070178B">
        <w:rPr>
          <w:rFonts w:eastAsia="Times New Roman"/>
          <w:color w:val="1F3864" w:themeColor="accent1" w:themeShade="80"/>
        </w:rPr>
        <w:t>FUNKCE SP:</w:t>
      </w:r>
    </w:p>
    <w:p w14:paraId="4A6F4B02" w14:textId="77777777" w:rsidR="00CE6695" w:rsidRPr="00FC3B7C" w:rsidRDefault="00CE6695" w:rsidP="00FC274B">
      <w:pPr>
        <w:tabs>
          <w:tab w:val="left" w:pos="3960"/>
        </w:tabs>
        <w:rPr>
          <w:sz w:val="20"/>
          <w:szCs w:val="20"/>
        </w:rPr>
      </w:pPr>
      <w:r w:rsidRPr="00FC3B7C">
        <w:rPr>
          <w:rFonts w:eastAsia="Times New Roman"/>
          <w:szCs w:val="24"/>
        </w:rPr>
        <w:t>SP plní řadu funkcí, ty spolu vzájemně souvisí a působí komplexně – problém harmonizace</w:t>
      </w:r>
    </w:p>
    <w:p w14:paraId="4A6F4B03" w14:textId="77777777" w:rsidR="00CE6695" w:rsidRPr="00FC3B7C" w:rsidRDefault="00CE6695" w:rsidP="00FC274B">
      <w:pPr>
        <w:rPr>
          <w:sz w:val="20"/>
          <w:szCs w:val="20"/>
        </w:rPr>
      </w:pPr>
      <w:r w:rsidRPr="00FC3B7C">
        <w:rPr>
          <w:rFonts w:eastAsia="Times New Roman"/>
          <w:szCs w:val="24"/>
        </w:rPr>
        <w:t>funkcí.</w:t>
      </w:r>
    </w:p>
    <w:p w14:paraId="4A6F4B04" w14:textId="77777777" w:rsidR="00CE6695" w:rsidRPr="00FC3B7C" w:rsidRDefault="00CE6695" w:rsidP="00FC274B">
      <w:pPr>
        <w:tabs>
          <w:tab w:val="left" w:pos="540"/>
        </w:tabs>
        <w:ind w:left="200"/>
        <w:rPr>
          <w:sz w:val="20"/>
          <w:szCs w:val="20"/>
        </w:rPr>
      </w:pPr>
      <w:r w:rsidRPr="00FC3B7C">
        <w:rPr>
          <w:rFonts w:eastAsia="Times New Roman"/>
          <w:b/>
          <w:bCs/>
          <w:szCs w:val="24"/>
        </w:rPr>
        <w:t>1)</w:t>
      </w:r>
      <w:r w:rsidRPr="00FC3B7C">
        <w:rPr>
          <w:sz w:val="20"/>
          <w:szCs w:val="20"/>
        </w:rPr>
        <w:tab/>
      </w:r>
      <w:r w:rsidRPr="00FC3B7C">
        <w:rPr>
          <w:rFonts w:eastAsia="Times New Roman"/>
          <w:b/>
          <w:bCs/>
          <w:sz w:val="23"/>
          <w:szCs w:val="23"/>
        </w:rPr>
        <w:t>Ochranná</w:t>
      </w:r>
    </w:p>
    <w:p w14:paraId="4A6F4B05" w14:textId="77777777" w:rsidR="00CE6695" w:rsidRPr="00FC3B7C" w:rsidRDefault="00CE6695" w:rsidP="00D46B53">
      <w:pPr>
        <w:numPr>
          <w:ilvl w:val="0"/>
          <w:numId w:val="326"/>
        </w:numPr>
        <w:tabs>
          <w:tab w:val="left" w:pos="560"/>
        </w:tabs>
        <w:ind w:left="560" w:hanging="357"/>
        <w:rPr>
          <w:rFonts w:eastAsia="Times New Roman"/>
          <w:szCs w:val="24"/>
        </w:rPr>
      </w:pPr>
      <w:r w:rsidRPr="00FC3B7C">
        <w:rPr>
          <w:rFonts w:eastAsia="Times New Roman"/>
          <w:szCs w:val="24"/>
        </w:rPr>
        <w:t>historicky nejstarší, tradiční a stabilní prvek</w:t>
      </w:r>
    </w:p>
    <w:p w14:paraId="4A6F4B06" w14:textId="77777777" w:rsidR="00CE6695" w:rsidRPr="00FC3B7C" w:rsidRDefault="00CE6695" w:rsidP="00D46B53">
      <w:pPr>
        <w:numPr>
          <w:ilvl w:val="0"/>
          <w:numId w:val="326"/>
        </w:numPr>
        <w:tabs>
          <w:tab w:val="left" w:pos="560"/>
        </w:tabs>
        <w:ind w:left="560" w:hanging="357"/>
        <w:rPr>
          <w:rFonts w:eastAsia="Times New Roman"/>
          <w:szCs w:val="24"/>
        </w:rPr>
      </w:pPr>
      <w:r w:rsidRPr="00FC3B7C">
        <w:rPr>
          <w:rFonts w:eastAsia="Times New Roman"/>
          <w:szCs w:val="24"/>
        </w:rPr>
        <w:t>řešení již vzniklých sociálních událostí (nezaměstnanost, stáří, osiření, …)</w:t>
      </w:r>
    </w:p>
    <w:p w14:paraId="4A6F4B07" w14:textId="77777777" w:rsidR="00CE6695" w:rsidRPr="00FC3B7C" w:rsidRDefault="00CE6695" w:rsidP="00D46B53">
      <w:pPr>
        <w:numPr>
          <w:ilvl w:val="0"/>
          <w:numId w:val="326"/>
        </w:numPr>
        <w:tabs>
          <w:tab w:val="left" w:pos="560"/>
        </w:tabs>
        <w:ind w:left="560" w:hanging="357"/>
        <w:rPr>
          <w:rFonts w:eastAsia="Times New Roman"/>
          <w:szCs w:val="24"/>
        </w:rPr>
      </w:pPr>
      <w:r w:rsidRPr="00FC3B7C">
        <w:rPr>
          <w:rFonts w:eastAsia="Times New Roman"/>
          <w:szCs w:val="24"/>
        </w:rPr>
        <w:t>jde o zmírnění / odstranění důsledků těchto událostí</w:t>
      </w:r>
    </w:p>
    <w:p w14:paraId="4A6F4B08" w14:textId="77777777" w:rsidR="00CE6695" w:rsidRPr="00FC3B7C" w:rsidRDefault="00CE6695" w:rsidP="00D46B53">
      <w:pPr>
        <w:numPr>
          <w:ilvl w:val="1"/>
          <w:numId w:val="326"/>
        </w:numPr>
        <w:tabs>
          <w:tab w:val="left" w:pos="560"/>
        </w:tabs>
        <w:ind w:left="560" w:hanging="354"/>
        <w:rPr>
          <w:rFonts w:eastAsia="Times New Roman"/>
          <w:b/>
          <w:bCs/>
          <w:szCs w:val="24"/>
        </w:rPr>
      </w:pPr>
      <w:r w:rsidRPr="00FC3B7C">
        <w:rPr>
          <w:rFonts w:eastAsia="Times New Roman"/>
          <w:b/>
          <w:bCs/>
          <w:szCs w:val="24"/>
        </w:rPr>
        <w:t xml:space="preserve">Rozdělovací a přerozdělovací </w:t>
      </w:r>
      <w:r w:rsidRPr="00FC3B7C">
        <w:rPr>
          <w:rFonts w:eastAsia="Times New Roman"/>
          <w:szCs w:val="24"/>
        </w:rPr>
        <w:t>= redistribuční funkce</w:t>
      </w:r>
    </w:p>
    <w:p w14:paraId="4A6F4B09" w14:textId="77777777" w:rsidR="00CE6695" w:rsidRPr="00FC3B7C" w:rsidRDefault="00CE6695" w:rsidP="00D46B53">
      <w:pPr>
        <w:numPr>
          <w:ilvl w:val="0"/>
          <w:numId w:val="326"/>
        </w:numPr>
        <w:tabs>
          <w:tab w:val="left" w:pos="560"/>
        </w:tabs>
        <w:ind w:left="560" w:hanging="357"/>
        <w:rPr>
          <w:rFonts w:eastAsia="Times New Roman"/>
          <w:szCs w:val="24"/>
        </w:rPr>
      </w:pPr>
      <w:r w:rsidRPr="00FC3B7C">
        <w:rPr>
          <w:rFonts w:eastAsia="Times New Roman"/>
          <w:szCs w:val="24"/>
        </w:rPr>
        <w:lastRenderedPageBreak/>
        <w:t>řeší co, jak, komu, za co a podle čeho rozdělovat</w:t>
      </w:r>
    </w:p>
    <w:p w14:paraId="4A6F4B0A" w14:textId="77777777" w:rsidR="00CE6695" w:rsidRPr="00FC3B7C" w:rsidRDefault="00CE6695" w:rsidP="00D46B53">
      <w:pPr>
        <w:numPr>
          <w:ilvl w:val="0"/>
          <w:numId w:val="326"/>
        </w:numPr>
        <w:tabs>
          <w:tab w:val="left" w:pos="560"/>
        </w:tabs>
        <w:ind w:left="560" w:hanging="357"/>
        <w:rPr>
          <w:rFonts w:eastAsia="Times New Roman"/>
          <w:szCs w:val="24"/>
        </w:rPr>
      </w:pPr>
      <w:r w:rsidRPr="00FC3B7C">
        <w:rPr>
          <w:rFonts w:eastAsia="Times New Roman"/>
          <w:szCs w:val="24"/>
        </w:rPr>
        <w:t>spolu s ochrannou funkcí je prvotní či základní funkcí SP</w:t>
      </w:r>
    </w:p>
    <w:p w14:paraId="4A6F4B0B" w14:textId="77777777" w:rsidR="00CE6695" w:rsidRPr="00FC274B" w:rsidRDefault="00CE6695" w:rsidP="00D46B53">
      <w:pPr>
        <w:numPr>
          <w:ilvl w:val="0"/>
          <w:numId w:val="326"/>
        </w:numPr>
        <w:tabs>
          <w:tab w:val="left" w:pos="560"/>
        </w:tabs>
        <w:ind w:left="560" w:hanging="357"/>
        <w:rPr>
          <w:rFonts w:eastAsia="Times New Roman"/>
          <w:szCs w:val="24"/>
        </w:rPr>
      </w:pPr>
      <w:r w:rsidRPr="00FC274B">
        <w:rPr>
          <w:rFonts w:eastAsia="Times New Roman"/>
          <w:szCs w:val="24"/>
        </w:rPr>
        <w:t>nejde jen o rozdělování důchodů, ale také životních šancí</w:t>
      </w:r>
    </w:p>
    <w:p w14:paraId="4A6F4B0C" w14:textId="77777777" w:rsidR="00CE6695" w:rsidRPr="00FC274B" w:rsidRDefault="00CE6695" w:rsidP="00D46B53">
      <w:pPr>
        <w:numPr>
          <w:ilvl w:val="0"/>
          <w:numId w:val="326"/>
        </w:numPr>
        <w:tabs>
          <w:tab w:val="left" w:pos="560"/>
        </w:tabs>
        <w:ind w:left="560" w:hanging="357"/>
        <w:rPr>
          <w:rFonts w:eastAsia="Times New Roman"/>
          <w:szCs w:val="24"/>
        </w:rPr>
      </w:pPr>
      <w:r w:rsidRPr="00FC274B">
        <w:rPr>
          <w:rFonts w:eastAsia="Times New Roman"/>
          <w:szCs w:val="24"/>
        </w:rPr>
        <w:t>uskutečňuje se hlavně prostřednictvím daní a transferů – peníze, statky, příležitosti</w:t>
      </w:r>
    </w:p>
    <w:p w14:paraId="4A6F4B0D" w14:textId="77777777" w:rsidR="00CE6695" w:rsidRPr="00FC3B7C" w:rsidRDefault="00CE6695" w:rsidP="00D46B53">
      <w:pPr>
        <w:numPr>
          <w:ilvl w:val="0"/>
          <w:numId w:val="326"/>
        </w:numPr>
        <w:tabs>
          <w:tab w:val="left" w:pos="560"/>
        </w:tabs>
        <w:ind w:left="560" w:hanging="357"/>
        <w:rPr>
          <w:rFonts w:eastAsia="Times New Roman"/>
          <w:szCs w:val="24"/>
        </w:rPr>
      </w:pPr>
      <w:r w:rsidRPr="00FC3B7C">
        <w:rPr>
          <w:rFonts w:eastAsia="Times New Roman"/>
          <w:szCs w:val="24"/>
        </w:rPr>
        <w:t>k hlavním nástrojům přerozdělování patří státní rozpočet a veřejné rozpočty, dále soustavy pojištění, instituce (nadace, církve)</w:t>
      </w:r>
    </w:p>
    <w:p w14:paraId="4A6F4B0E" w14:textId="77777777" w:rsidR="00CE6695" w:rsidRPr="00FC3B7C" w:rsidRDefault="00CE6695" w:rsidP="00D46B53">
      <w:pPr>
        <w:numPr>
          <w:ilvl w:val="0"/>
          <w:numId w:val="326"/>
        </w:numPr>
        <w:tabs>
          <w:tab w:val="left" w:pos="560"/>
        </w:tabs>
        <w:ind w:left="560" w:hanging="357"/>
        <w:rPr>
          <w:rFonts w:eastAsia="Times New Roman"/>
          <w:szCs w:val="24"/>
        </w:rPr>
      </w:pPr>
      <w:r w:rsidRPr="00FC3B7C">
        <w:rPr>
          <w:rFonts w:eastAsia="Times New Roman"/>
          <w:szCs w:val="24"/>
        </w:rPr>
        <w:t>míra redistribuce by měla být dostatečně vysoká na to, aby zajistila stabilitu a rozvoj společnosti, ale ne tak vysoká, aby oslabila podněty k práci a podnikání</w:t>
      </w:r>
    </w:p>
    <w:p w14:paraId="4A6F4B0F" w14:textId="77777777" w:rsidR="00CE6695" w:rsidRPr="00FC3B7C" w:rsidRDefault="00CE6695" w:rsidP="00D46B53">
      <w:pPr>
        <w:numPr>
          <w:ilvl w:val="1"/>
          <w:numId w:val="327"/>
        </w:numPr>
        <w:tabs>
          <w:tab w:val="left" w:pos="560"/>
        </w:tabs>
        <w:ind w:left="560" w:hanging="354"/>
        <w:rPr>
          <w:rFonts w:eastAsia="Times New Roman"/>
          <w:b/>
          <w:bCs/>
          <w:szCs w:val="24"/>
        </w:rPr>
      </w:pPr>
      <w:r w:rsidRPr="00FC3B7C">
        <w:rPr>
          <w:rFonts w:eastAsia="Times New Roman"/>
          <w:b/>
          <w:bCs/>
          <w:szCs w:val="24"/>
        </w:rPr>
        <w:t>Homogenizační</w:t>
      </w:r>
    </w:p>
    <w:p w14:paraId="4A6F4B10" w14:textId="77777777" w:rsidR="00CE6695" w:rsidRPr="00FC3B7C" w:rsidRDefault="00CE6695" w:rsidP="00D46B53">
      <w:pPr>
        <w:numPr>
          <w:ilvl w:val="0"/>
          <w:numId w:val="328"/>
        </w:numPr>
        <w:tabs>
          <w:tab w:val="left" w:pos="540"/>
        </w:tabs>
        <w:ind w:left="540" w:hanging="357"/>
        <w:rPr>
          <w:rFonts w:eastAsia="Times New Roman"/>
          <w:szCs w:val="24"/>
        </w:rPr>
      </w:pPr>
      <w:bookmarkStart w:id="365" w:name="page385"/>
      <w:bookmarkEnd w:id="365"/>
      <w:r w:rsidRPr="00FC3B7C">
        <w:rPr>
          <w:rFonts w:eastAsia="Times New Roman"/>
          <w:szCs w:val="24"/>
        </w:rPr>
        <w:t>jde o dosahování určité stejnorodosti v uspokojování základních životních potřeb</w:t>
      </w:r>
    </w:p>
    <w:p w14:paraId="4A6F4B11" w14:textId="77777777" w:rsidR="00CE6695" w:rsidRPr="00FC3B7C" w:rsidRDefault="00CE6695" w:rsidP="00D46B53">
      <w:pPr>
        <w:numPr>
          <w:ilvl w:val="0"/>
          <w:numId w:val="328"/>
        </w:numPr>
        <w:tabs>
          <w:tab w:val="left" w:pos="540"/>
        </w:tabs>
        <w:ind w:left="540" w:hanging="357"/>
        <w:rPr>
          <w:rFonts w:eastAsia="Times New Roman"/>
          <w:szCs w:val="24"/>
        </w:rPr>
      </w:pPr>
      <w:r w:rsidRPr="00FC3B7C">
        <w:rPr>
          <w:rFonts w:eastAsia="Times New Roman"/>
          <w:szCs w:val="24"/>
        </w:rPr>
        <w:t>poskytování stejných šancí - vzdělávat se, pracovat, pečovat o své zdraví, …</w:t>
      </w:r>
    </w:p>
    <w:p w14:paraId="4A6F4B12" w14:textId="77777777" w:rsidR="00CE6695" w:rsidRPr="00FC3B7C" w:rsidRDefault="00CE6695" w:rsidP="00D46B53">
      <w:pPr>
        <w:numPr>
          <w:ilvl w:val="0"/>
          <w:numId w:val="328"/>
        </w:numPr>
        <w:tabs>
          <w:tab w:val="left" w:pos="540"/>
        </w:tabs>
        <w:ind w:left="540" w:hanging="357"/>
        <w:rPr>
          <w:rFonts w:eastAsia="Times New Roman"/>
          <w:szCs w:val="24"/>
        </w:rPr>
      </w:pPr>
      <w:r w:rsidRPr="00FC3B7C">
        <w:rPr>
          <w:rFonts w:eastAsia="Times New Roman"/>
          <w:szCs w:val="24"/>
        </w:rPr>
        <w:t>nabývá na významu s vyspělostí společnosti</w:t>
      </w:r>
    </w:p>
    <w:p w14:paraId="4A6F4B13" w14:textId="77777777" w:rsidR="00CE6695" w:rsidRPr="00FC3B7C" w:rsidRDefault="00CE6695" w:rsidP="00D46B53">
      <w:pPr>
        <w:numPr>
          <w:ilvl w:val="1"/>
          <w:numId w:val="329"/>
        </w:numPr>
        <w:tabs>
          <w:tab w:val="left" w:pos="560"/>
        </w:tabs>
        <w:ind w:left="560" w:hanging="354"/>
        <w:rPr>
          <w:rFonts w:eastAsia="Times New Roman"/>
          <w:b/>
          <w:bCs/>
          <w:szCs w:val="24"/>
        </w:rPr>
      </w:pPr>
      <w:bookmarkStart w:id="366" w:name="page386"/>
      <w:bookmarkEnd w:id="366"/>
      <w:r w:rsidRPr="00FC3B7C">
        <w:rPr>
          <w:rFonts w:eastAsia="Times New Roman"/>
          <w:b/>
          <w:bCs/>
          <w:szCs w:val="24"/>
        </w:rPr>
        <w:t>Stimulační</w:t>
      </w:r>
    </w:p>
    <w:p w14:paraId="4A6F4B14" w14:textId="77777777" w:rsidR="00CE6695" w:rsidRPr="00FC3B7C" w:rsidRDefault="00CE6695" w:rsidP="00D46B53">
      <w:pPr>
        <w:numPr>
          <w:ilvl w:val="0"/>
          <w:numId w:val="329"/>
        </w:numPr>
        <w:tabs>
          <w:tab w:val="left" w:pos="560"/>
        </w:tabs>
        <w:ind w:left="560" w:hanging="357"/>
        <w:rPr>
          <w:rFonts w:eastAsia="Times New Roman"/>
          <w:szCs w:val="24"/>
        </w:rPr>
      </w:pPr>
      <w:r w:rsidRPr="00FC3B7C">
        <w:rPr>
          <w:rFonts w:eastAsia="Times New Roman"/>
          <w:szCs w:val="24"/>
        </w:rPr>
        <w:t>SP má podněcovat žádoucí sociální chování jednotlivců a sociálních skupin</w:t>
      </w:r>
    </w:p>
    <w:p w14:paraId="4A6F4B15" w14:textId="77777777" w:rsidR="00CE6695" w:rsidRPr="00FC3B7C" w:rsidRDefault="00CE6695" w:rsidP="00D46B53">
      <w:pPr>
        <w:numPr>
          <w:ilvl w:val="0"/>
          <w:numId w:val="329"/>
        </w:numPr>
        <w:tabs>
          <w:tab w:val="left" w:pos="560"/>
        </w:tabs>
        <w:ind w:left="560" w:right="20" w:hanging="357"/>
        <w:rPr>
          <w:rFonts w:eastAsia="Times New Roman"/>
          <w:szCs w:val="24"/>
        </w:rPr>
      </w:pPr>
      <w:r w:rsidRPr="00FC3B7C">
        <w:rPr>
          <w:rFonts w:eastAsia="Times New Roman"/>
          <w:szCs w:val="24"/>
        </w:rPr>
        <w:t>je zaměřená na ovlivňování žádoucího vývoje sociálních a ekonomických procesů, jevů a vztahů</w:t>
      </w:r>
    </w:p>
    <w:p w14:paraId="4A6F4B16" w14:textId="77777777" w:rsidR="00CE6695" w:rsidRPr="00FC3B7C" w:rsidRDefault="00CE6695" w:rsidP="00D46B53">
      <w:pPr>
        <w:numPr>
          <w:ilvl w:val="0"/>
          <w:numId w:val="329"/>
        </w:numPr>
        <w:tabs>
          <w:tab w:val="left" w:pos="560"/>
        </w:tabs>
        <w:ind w:left="560" w:hanging="357"/>
        <w:rPr>
          <w:rFonts w:eastAsia="Times New Roman"/>
          <w:szCs w:val="24"/>
        </w:rPr>
      </w:pPr>
      <w:r w:rsidRPr="00FC3B7C">
        <w:rPr>
          <w:rFonts w:eastAsia="Times New Roman"/>
          <w:szCs w:val="24"/>
        </w:rPr>
        <w:t>posiluje, podporuje, výrazný stabilizační efekt</w:t>
      </w:r>
    </w:p>
    <w:p w14:paraId="4A6F4B17" w14:textId="77777777" w:rsidR="00CE6695" w:rsidRPr="00FC3B7C" w:rsidRDefault="00CE6695" w:rsidP="00D46B53">
      <w:pPr>
        <w:numPr>
          <w:ilvl w:val="1"/>
          <w:numId w:val="330"/>
        </w:numPr>
        <w:tabs>
          <w:tab w:val="left" w:pos="560"/>
        </w:tabs>
        <w:ind w:left="560" w:hanging="357"/>
        <w:rPr>
          <w:rFonts w:eastAsia="Times New Roman"/>
          <w:b/>
          <w:bCs/>
          <w:szCs w:val="24"/>
        </w:rPr>
      </w:pPr>
      <w:r w:rsidRPr="00FC3B7C">
        <w:rPr>
          <w:rFonts w:eastAsia="Times New Roman"/>
          <w:b/>
          <w:bCs/>
          <w:szCs w:val="24"/>
        </w:rPr>
        <w:t>Preventivní</w:t>
      </w:r>
    </w:p>
    <w:p w14:paraId="4A6F4B18" w14:textId="77777777" w:rsidR="00CE6695" w:rsidRPr="00FC3B7C" w:rsidRDefault="00CE6695" w:rsidP="00D46B53">
      <w:pPr>
        <w:numPr>
          <w:ilvl w:val="0"/>
          <w:numId w:val="330"/>
        </w:numPr>
        <w:tabs>
          <w:tab w:val="left" w:pos="560"/>
        </w:tabs>
        <w:ind w:left="560" w:right="20" w:hanging="357"/>
        <w:rPr>
          <w:rFonts w:eastAsia="Times New Roman"/>
          <w:szCs w:val="24"/>
        </w:rPr>
      </w:pPr>
      <w:r w:rsidRPr="00FC3B7C">
        <w:rPr>
          <w:rFonts w:eastAsia="Times New Roman"/>
          <w:szCs w:val="24"/>
        </w:rPr>
        <w:t>její snahou je zabránit tomu, aby k nežádoucím sociálním situacím vůbec nedocházelo – odstranění příčin, předcházet škodám na životě a zdraví</w:t>
      </w:r>
    </w:p>
    <w:p w14:paraId="4A6F4B19" w14:textId="77777777" w:rsidR="00CE6695" w:rsidRPr="00FC3B7C" w:rsidRDefault="00CE6695" w:rsidP="00D46B53">
      <w:pPr>
        <w:numPr>
          <w:ilvl w:val="0"/>
          <w:numId w:val="330"/>
        </w:numPr>
        <w:tabs>
          <w:tab w:val="left" w:pos="560"/>
        </w:tabs>
        <w:ind w:left="560" w:hanging="357"/>
        <w:rPr>
          <w:rFonts w:eastAsia="Times New Roman"/>
          <w:szCs w:val="24"/>
        </w:rPr>
      </w:pPr>
      <w:r w:rsidRPr="00FC3B7C">
        <w:rPr>
          <w:rFonts w:eastAsia="Times New Roman"/>
          <w:szCs w:val="24"/>
        </w:rPr>
        <w:t>tuto funkci mohou plnit všechny obory SP - zvláště vzdělávací a zdravotní politika</w:t>
      </w:r>
    </w:p>
    <w:p w14:paraId="4A6F4B1B" w14:textId="77467CEE" w:rsidR="00FC274B" w:rsidRDefault="00CE6695" w:rsidP="00FC274B">
      <w:pPr>
        <w:ind w:right="20"/>
        <w:rPr>
          <w:rFonts w:eastAsia="Times New Roman"/>
          <w:szCs w:val="24"/>
        </w:rPr>
      </w:pPr>
      <w:r w:rsidRPr="00FC3B7C">
        <w:rPr>
          <w:rFonts w:eastAsia="Times New Roman"/>
          <w:szCs w:val="24"/>
        </w:rPr>
        <w:t>Ve většině zemí se používají kombinace funkcí př. český důchodový systém – ochranná (rovné důchody) + přerozdělovací + preventivní (chudoba).</w:t>
      </w:r>
    </w:p>
    <w:p w14:paraId="4A6F4B1C" w14:textId="77777777" w:rsidR="00FC274B" w:rsidRPr="00FC3B7C" w:rsidRDefault="00FC274B" w:rsidP="00FC274B">
      <w:pPr>
        <w:ind w:right="20"/>
        <w:rPr>
          <w:sz w:val="20"/>
          <w:szCs w:val="20"/>
        </w:rPr>
      </w:pPr>
    </w:p>
    <w:p w14:paraId="4A6F4B1D" w14:textId="77777777" w:rsidR="00CE6695" w:rsidRPr="0070178B" w:rsidRDefault="00CE6695" w:rsidP="00FC274B">
      <w:pPr>
        <w:pStyle w:val="Nadpis2"/>
        <w:rPr>
          <w:color w:val="1F3864" w:themeColor="accent1" w:themeShade="80"/>
          <w:sz w:val="20"/>
          <w:szCs w:val="20"/>
        </w:rPr>
      </w:pPr>
      <w:r w:rsidRPr="0070178B">
        <w:rPr>
          <w:rFonts w:eastAsia="Times New Roman"/>
          <w:color w:val="1F3864" w:themeColor="accent1" w:themeShade="80"/>
        </w:rPr>
        <w:t>OBJEKTY A SUBJEKTY SOCIÁLNÍ SP</w:t>
      </w:r>
    </w:p>
    <w:p w14:paraId="4A6F4B1E" w14:textId="77777777" w:rsidR="00CE6695" w:rsidRPr="00FC3B7C" w:rsidRDefault="00CE6695" w:rsidP="00CE6695">
      <w:pPr>
        <w:spacing w:line="221" w:lineRule="exact"/>
        <w:rPr>
          <w:sz w:val="20"/>
          <w:szCs w:val="20"/>
        </w:rPr>
      </w:pPr>
    </w:p>
    <w:p w14:paraId="4A6F4B1F" w14:textId="77777777" w:rsidR="00CE6695" w:rsidRPr="0070178B" w:rsidRDefault="00CE6695" w:rsidP="00FC274B">
      <w:pPr>
        <w:pStyle w:val="Nadpis3"/>
        <w:rPr>
          <w:color w:val="1F3864" w:themeColor="accent1" w:themeShade="80"/>
          <w:sz w:val="20"/>
          <w:szCs w:val="20"/>
        </w:rPr>
      </w:pPr>
      <w:r w:rsidRPr="0070178B">
        <w:rPr>
          <w:rFonts w:eastAsia="Times New Roman"/>
          <w:color w:val="1F3864" w:themeColor="accent1" w:themeShade="80"/>
        </w:rPr>
        <w:t>Objekty SP</w:t>
      </w:r>
    </w:p>
    <w:p w14:paraId="4A6F4B20" w14:textId="77777777" w:rsidR="00CE6695" w:rsidRPr="00FC3B7C" w:rsidRDefault="00CE6695" w:rsidP="0070178B">
      <w:pPr>
        <w:ind w:right="20"/>
        <w:rPr>
          <w:sz w:val="20"/>
          <w:szCs w:val="20"/>
        </w:rPr>
      </w:pPr>
      <w:r w:rsidRPr="00FC3B7C">
        <w:rPr>
          <w:rFonts w:eastAsia="Times New Roman"/>
          <w:szCs w:val="24"/>
        </w:rPr>
        <w:t xml:space="preserve">Objekty = ti, kterým jsou opatření sociální politiky určena, na něž jsou orientována. Jsou to všichni obyvatelé dané země, ať již jako jednotlivci či určité sociální skupiny (v počátcích pouze určité skupiny obyvatel). </w:t>
      </w:r>
      <w:r w:rsidRPr="00FC3B7C">
        <w:rPr>
          <w:rFonts w:eastAsia="Times New Roman"/>
          <w:b/>
          <w:bCs/>
          <w:szCs w:val="24"/>
        </w:rPr>
        <w:t>Sociální skupina</w:t>
      </w:r>
      <w:r w:rsidRPr="00FC3B7C">
        <w:rPr>
          <w:rFonts w:eastAsia="Times New Roman"/>
          <w:szCs w:val="24"/>
        </w:rPr>
        <w:t xml:space="preserve"> = skupina osob, mezi nimiž existuje určitá interakce a tyto osoby i okolí si tuto skutečnost uvědomují.</w:t>
      </w:r>
    </w:p>
    <w:p w14:paraId="4A6F4B21" w14:textId="77777777" w:rsidR="00CE6695" w:rsidRPr="00FC3B7C" w:rsidRDefault="00CE6695" w:rsidP="00FC274B">
      <w:pPr>
        <w:rPr>
          <w:sz w:val="20"/>
          <w:szCs w:val="20"/>
        </w:rPr>
      </w:pPr>
      <w:r w:rsidRPr="00FC3B7C">
        <w:rPr>
          <w:rFonts w:eastAsia="Times New Roman"/>
          <w:b/>
          <w:bCs/>
          <w:szCs w:val="24"/>
        </w:rPr>
        <w:t>Objekt</w:t>
      </w:r>
      <w:r w:rsidRPr="00FC3B7C">
        <w:rPr>
          <w:rFonts w:eastAsia="Times New Roman"/>
          <w:szCs w:val="24"/>
        </w:rPr>
        <w:t>: jednotlivec, rodina, specifické skupiny (invalidé)</w:t>
      </w:r>
    </w:p>
    <w:p w14:paraId="4A6F4B22" w14:textId="77777777" w:rsidR="00CE6695" w:rsidRPr="00FC3B7C" w:rsidRDefault="00CE6695" w:rsidP="00D46B53">
      <w:pPr>
        <w:numPr>
          <w:ilvl w:val="0"/>
          <w:numId w:val="331"/>
        </w:numPr>
        <w:tabs>
          <w:tab w:val="left" w:pos="1560"/>
        </w:tabs>
        <w:ind w:left="1560" w:hanging="351"/>
        <w:rPr>
          <w:rFonts w:eastAsia="Times New Roman"/>
          <w:szCs w:val="24"/>
        </w:rPr>
      </w:pPr>
      <w:r w:rsidRPr="00FC3B7C">
        <w:rPr>
          <w:rFonts w:eastAsia="Times New Roman"/>
          <w:szCs w:val="24"/>
        </w:rPr>
        <w:t>primární = rodina, domácnost</w:t>
      </w:r>
    </w:p>
    <w:p w14:paraId="4A6F4B23" w14:textId="77777777" w:rsidR="00CE6695" w:rsidRPr="00FC3B7C" w:rsidRDefault="00CE6695" w:rsidP="00D46B53">
      <w:pPr>
        <w:numPr>
          <w:ilvl w:val="0"/>
          <w:numId w:val="331"/>
        </w:numPr>
        <w:tabs>
          <w:tab w:val="left" w:pos="1560"/>
        </w:tabs>
        <w:ind w:left="1560" w:hanging="351"/>
        <w:rPr>
          <w:rFonts w:eastAsia="Times New Roman"/>
          <w:szCs w:val="24"/>
        </w:rPr>
      </w:pPr>
      <w:r w:rsidRPr="00FC3B7C">
        <w:rPr>
          <w:rFonts w:eastAsia="Times New Roman"/>
          <w:szCs w:val="24"/>
        </w:rPr>
        <w:t>sekundární = nezaměstnaní, důchodci, …</w:t>
      </w:r>
    </w:p>
    <w:p w14:paraId="4A6F4B24" w14:textId="77777777" w:rsidR="00CE6695" w:rsidRPr="00FC3B7C" w:rsidRDefault="00CE6695" w:rsidP="00D46B53">
      <w:pPr>
        <w:numPr>
          <w:ilvl w:val="0"/>
          <w:numId w:val="331"/>
        </w:numPr>
        <w:tabs>
          <w:tab w:val="left" w:pos="1560"/>
        </w:tabs>
        <w:ind w:left="1560" w:right="20" w:hanging="353"/>
        <w:rPr>
          <w:rFonts w:eastAsia="Times New Roman"/>
          <w:szCs w:val="24"/>
        </w:rPr>
      </w:pPr>
      <w:r w:rsidRPr="00FC3B7C">
        <w:rPr>
          <w:rFonts w:eastAsia="Times New Roman"/>
          <w:szCs w:val="24"/>
        </w:rPr>
        <w:lastRenderedPageBreak/>
        <w:t>podle charakteru a účelu dále dělíme objekty podle věku, pohlaví, vzdělání, příjmu,…</w:t>
      </w:r>
    </w:p>
    <w:p w14:paraId="4A6F4B25" w14:textId="77777777" w:rsidR="00CE6695" w:rsidRPr="00FC3B7C" w:rsidRDefault="00CE6695" w:rsidP="00CE6695">
      <w:pPr>
        <w:spacing w:line="169" w:lineRule="exact"/>
        <w:rPr>
          <w:sz w:val="20"/>
          <w:szCs w:val="20"/>
        </w:rPr>
      </w:pPr>
    </w:p>
    <w:p w14:paraId="4A6F4B26" w14:textId="3B77A01E" w:rsidR="00CE6695" w:rsidRPr="0070178B" w:rsidRDefault="0070178B" w:rsidP="00A30923">
      <w:pPr>
        <w:pStyle w:val="Nadpis3"/>
        <w:rPr>
          <w:color w:val="1F3864" w:themeColor="accent1" w:themeShade="80"/>
          <w:sz w:val="20"/>
          <w:szCs w:val="20"/>
        </w:rPr>
      </w:pPr>
      <w:r w:rsidRPr="0070178B">
        <w:rPr>
          <w:rFonts w:eastAsia="Times New Roman"/>
          <w:color w:val="1F3864" w:themeColor="accent1" w:themeShade="80"/>
        </w:rPr>
        <w:t xml:space="preserve"> </w:t>
      </w:r>
      <w:r w:rsidR="00CE6695" w:rsidRPr="0070178B">
        <w:rPr>
          <w:rFonts w:eastAsia="Times New Roman"/>
          <w:color w:val="1F3864" w:themeColor="accent1" w:themeShade="80"/>
        </w:rPr>
        <w:t>Subjekty SP</w:t>
      </w:r>
    </w:p>
    <w:p w14:paraId="4A6F4B27" w14:textId="77777777" w:rsidR="00CE6695" w:rsidRPr="00FC3B7C" w:rsidRDefault="00CE6695" w:rsidP="00A30923">
      <w:pPr>
        <w:rPr>
          <w:sz w:val="20"/>
          <w:szCs w:val="20"/>
        </w:rPr>
      </w:pPr>
      <w:r w:rsidRPr="00FC3B7C">
        <w:rPr>
          <w:rFonts w:eastAsia="Times New Roman"/>
          <w:szCs w:val="24"/>
        </w:rPr>
        <w:t xml:space="preserve">Subjekty = ti, kdo mají zájem, vůli, schopnost a prostředky k určité sociální činnosti a kdo takové činnosti mohou iniciovat a naplňovat – jsou nositeli SP. Lze je dělit na </w:t>
      </w:r>
      <w:r w:rsidRPr="00FC3B7C">
        <w:rPr>
          <w:rFonts w:eastAsia="Times New Roman"/>
          <w:b/>
          <w:bCs/>
          <w:szCs w:val="24"/>
        </w:rPr>
        <w:t>státní</w:t>
      </w:r>
      <w:r w:rsidRPr="00FC3B7C">
        <w:rPr>
          <w:rFonts w:eastAsia="Times New Roman"/>
          <w:szCs w:val="24"/>
        </w:rPr>
        <w:t xml:space="preserve"> a </w:t>
      </w:r>
      <w:r w:rsidRPr="00FC3B7C">
        <w:rPr>
          <w:rFonts w:eastAsia="Times New Roman"/>
          <w:b/>
          <w:bCs/>
          <w:szCs w:val="24"/>
        </w:rPr>
        <w:t>nestátní</w:t>
      </w:r>
      <w:r w:rsidRPr="00FC3B7C">
        <w:rPr>
          <w:rFonts w:eastAsia="Times New Roman"/>
          <w:szCs w:val="24"/>
        </w:rPr>
        <w:t xml:space="preserve"> (ty lze dále dělit na tržní a netržní).</w:t>
      </w:r>
    </w:p>
    <w:p w14:paraId="4A6F4B28" w14:textId="77777777" w:rsidR="00CE6695" w:rsidRPr="00FC3B7C" w:rsidRDefault="00CE6695" w:rsidP="00A30923">
      <w:pPr>
        <w:rPr>
          <w:sz w:val="20"/>
          <w:szCs w:val="20"/>
        </w:rPr>
      </w:pPr>
      <w:bookmarkStart w:id="367" w:name="page387"/>
      <w:bookmarkEnd w:id="367"/>
      <w:r w:rsidRPr="00FC3B7C">
        <w:rPr>
          <w:rFonts w:eastAsia="Times New Roman"/>
          <w:b/>
          <w:bCs/>
          <w:szCs w:val="24"/>
        </w:rPr>
        <w:t xml:space="preserve">Mezi subjekty </w:t>
      </w:r>
      <w:r w:rsidRPr="00FC3B7C">
        <w:rPr>
          <w:rFonts w:eastAsia="Times New Roman"/>
          <w:szCs w:val="24"/>
        </w:rPr>
        <w:t>patří:</w:t>
      </w:r>
    </w:p>
    <w:p w14:paraId="4A6F4B29" w14:textId="77777777" w:rsidR="00CE6695" w:rsidRPr="00FC3B7C" w:rsidRDefault="00CE6695" w:rsidP="00D46B53">
      <w:pPr>
        <w:numPr>
          <w:ilvl w:val="0"/>
          <w:numId w:val="332"/>
        </w:numPr>
        <w:tabs>
          <w:tab w:val="left" w:pos="560"/>
        </w:tabs>
        <w:ind w:left="560" w:hanging="354"/>
        <w:rPr>
          <w:rFonts w:eastAsia="Times New Roman"/>
          <w:szCs w:val="24"/>
        </w:rPr>
      </w:pPr>
      <w:r w:rsidRPr="00FC3B7C">
        <w:rPr>
          <w:rFonts w:eastAsia="Times New Roman"/>
          <w:szCs w:val="24"/>
        </w:rPr>
        <w:t>občané, rodiny a domácnosti - základní prvek, kterého se dotýká každý sociální systém v průběhu celého životního cyklu</w:t>
      </w:r>
    </w:p>
    <w:p w14:paraId="4A6F4B2A" w14:textId="77777777" w:rsidR="00CE6695" w:rsidRPr="00FC3B7C" w:rsidRDefault="00CE6695" w:rsidP="00D46B53">
      <w:pPr>
        <w:numPr>
          <w:ilvl w:val="0"/>
          <w:numId w:val="332"/>
        </w:numPr>
        <w:tabs>
          <w:tab w:val="left" w:pos="560"/>
        </w:tabs>
        <w:ind w:left="560" w:hanging="354"/>
        <w:rPr>
          <w:rFonts w:eastAsia="Times New Roman"/>
          <w:szCs w:val="24"/>
        </w:rPr>
      </w:pPr>
      <w:r w:rsidRPr="00FC3B7C">
        <w:rPr>
          <w:rFonts w:eastAsia="Times New Roman"/>
          <w:szCs w:val="24"/>
        </w:rPr>
        <w:t>církve</w:t>
      </w:r>
    </w:p>
    <w:p w14:paraId="4A6F4B2B" w14:textId="77777777" w:rsidR="00CE6695" w:rsidRPr="00FC3B7C" w:rsidRDefault="00CE6695" w:rsidP="00D46B53">
      <w:pPr>
        <w:numPr>
          <w:ilvl w:val="0"/>
          <w:numId w:val="332"/>
        </w:numPr>
        <w:tabs>
          <w:tab w:val="left" w:pos="560"/>
        </w:tabs>
        <w:ind w:left="560" w:hanging="354"/>
        <w:rPr>
          <w:rFonts w:eastAsia="Times New Roman"/>
          <w:szCs w:val="24"/>
        </w:rPr>
      </w:pPr>
      <w:r w:rsidRPr="00FC3B7C">
        <w:rPr>
          <w:rFonts w:eastAsia="Times New Roman"/>
          <w:szCs w:val="24"/>
        </w:rPr>
        <w:t>občanské a mezinárodní organizace a iniciativy - dobročinné a charitativní instituce</w:t>
      </w:r>
    </w:p>
    <w:p w14:paraId="4A6F4B2C" w14:textId="77777777" w:rsidR="00CE6695" w:rsidRPr="00FC3B7C" w:rsidRDefault="00CE6695" w:rsidP="00D46B53">
      <w:pPr>
        <w:numPr>
          <w:ilvl w:val="0"/>
          <w:numId w:val="332"/>
        </w:numPr>
        <w:tabs>
          <w:tab w:val="left" w:pos="560"/>
        </w:tabs>
        <w:ind w:left="560" w:hanging="354"/>
        <w:rPr>
          <w:rFonts w:eastAsia="Times New Roman"/>
          <w:szCs w:val="24"/>
        </w:rPr>
      </w:pPr>
      <w:r w:rsidRPr="00FC3B7C">
        <w:rPr>
          <w:rFonts w:eastAsia="Times New Roman"/>
          <w:szCs w:val="24"/>
        </w:rPr>
        <w:t>regiony, místní komunity, obce a jejich orgány a instituce</w:t>
      </w:r>
    </w:p>
    <w:p w14:paraId="4A6F4B2D" w14:textId="77777777" w:rsidR="00CE6695" w:rsidRPr="00FC3B7C" w:rsidRDefault="00CE6695" w:rsidP="00D46B53">
      <w:pPr>
        <w:numPr>
          <w:ilvl w:val="0"/>
          <w:numId w:val="332"/>
        </w:numPr>
        <w:tabs>
          <w:tab w:val="left" w:pos="560"/>
        </w:tabs>
        <w:ind w:left="560" w:hanging="354"/>
        <w:rPr>
          <w:rFonts w:eastAsia="Times New Roman"/>
          <w:szCs w:val="24"/>
        </w:rPr>
      </w:pPr>
      <w:r w:rsidRPr="00FC3B7C">
        <w:rPr>
          <w:rFonts w:eastAsia="Times New Roman"/>
          <w:szCs w:val="24"/>
        </w:rPr>
        <w:t>zaměstnavatelské, zaměstnanecké a odborové orgány - komory zaměstnavatelů, profesní komory (lékařská, advokátní) a svazy</w:t>
      </w:r>
    </w:p>
    <w:p w14:paraId="4A6F4B2E" w14:textId="77777777" w:rsidR="00CE6695" w:rsidRPr="00FC3B7C" w:rsidRDefault="00CE6695" w:rsidP="00D46B53">
      <w:pPr>
        <w:numPr>
          <w:ilvl w:val="0"/>
          <w:numId w:val="332"/>
        </w:numPr>
        <w:tabs>
          <w:tab w:val="left" w:pos="560"/>
        </w:tabs>
        <w:ind w:left="560" w:hanging="354"/>
        <w:rPr>
          <w:rFonts w:eastAsia="Times New Roman"/>
          <w:szCs w:val="24"/>
        </w:rPr>
      </w:pPr>
      <w:r w:rsidRPr="00FC3B7C">
        <w:rPr>
          <w:rFonts w:eastAsia="Times New Roman"/>
          <w:szCs w:val="24"/>
        </w:rPr>
        <w:t xml:space="preserve">zaměstnavatelé a firmy - jsou povinni zabezpečovat opatření stanovená státem a jeho orgány – podílí se na sociálním pojištění zaměstnanců - „firemní sociální politika“ </w:t>
      </w:r>
      <w:r w:rsidR="00A30923">
        <w:rPr>
          <w:rFonts w:eastAsia="Times New Roman"/>
          <w:szCs w:val="24"/>
        </w:rPr>
        <w:br/>
      </w:r>
      <w:r w:rsidRPr="00FC3B7C">
        <w:rPr>
          <w:rFonts w:eastAsia="Times New Roman"/>
          <w:szCs w:val="24"/>
        </w:rPr>
        <w:t>- různé benefity</w:t>
      </w:r>
    </w:p>
    <w:p w14:paraId="4A6F4B2F" w14:textId="77777777" w:rsidR="00CE6695" w:rsidRPr="00FC3B7C" w:rsidRDefault="00CE6695" w:rsidP="00D46B53">
      <w:pPr>
        <w:numPr>
          <w:ilvl w:val="0"/>
          <w:numId w:val="332"/>
        </w:numPr>
        <w:tabs>
          <w:tab w:val="left" w:pos="560"/>
        </w:tabs>
        <w:ind w:left="560" w:hanging="357"/>
        <w:rPr>
          <w:rFonts w:eastAsia="Times New Roman"/>
          <w:szCs w:val="24"/>
        </w:rPr>
      </w:pPr>
      <w:r w:rsidRPr="00FC3B7C">
        <w:rPr>
          <w:rFonts w:eastAsia="Times New Roman"/>
          <w:szCs w:val="24"/>
        </w:rPr>
        <w:t>stát a jeho orgány - zajišťují legislativní činnost pro oblast SP, prostřednictvím schvalování rozpočtu zabezpečují redistribuci peněz, zodpovídají za uskutečňování konkrétní SP v daném čase</w:t>
      </w:r>
    </w:p>
    <w:p w14:paraId="4A6F4B30" w14:textId="77777777" w:rsidR="00CE6695" w:rsidRPr="00FC3B7C" w:rsidRDefault="00CE6695" w:rsidP="00CE6695">
      <w:pPr>
        <w:spacing w:line="200" w:lineRule="exact"/>
        <w:rPr>
          <w:sz w:val="20"/>
          <w:szCs w:val="20"/>
        </w:rPr>
      </w:pPr>
    </w:p>
    <w:p w14:paraId="4A6F4B31" w14:textId="77777777" w:rsidR="00CE6695" w:rsidRPr="00FC3B7C" w:rsidRDefault="00CE6695" w:rsidP="00CE6695">
      <w:pPr>
        <w:spacing w:line="232" w:lineRule="exact"/>
        <w:rPr>
          <w:sz w:val="20"/>
          <w:szCs w:val="20"/>
        </w:rPr>
      </w:pPr>
    </w:p>
    <w:p w14:paraId="4A6F4B32" w14:textId="77777777" w:rsidR="00CE6695" w:rsidRPr="00244BB9" w:rsidRDefault="00CE6695" w:rsidP="00A30923">
      <w:pPr>
        <w:pStyle w:val="Nadpis2"/>
        <w:rPr>
          <w:color w:val="1F3864" w:themeColor="accent1" w:themeShade="80"/>
          <w:sz w:val="20"/>
          <w:szCs w:val="20"/>
        </w:rPr>
      </w:pPr>
      <w:r w:rsidRPr="00244BB9">
        <w:rPr>
          <w:rFonts w:eastAsia="Times New Roman"/>
          <w:color w:val="1F3864" w:themeColor="accent1" w:themeShade="80"/>
        </w:rPr>
        <w:t>HISTORICKÝ VÝVOJ SP</w:t>
      </w:r>
    </w:p>
    <w:p w14:paraId="4A6F4B33" w14:textId="77777777" w:rsidR="00CE6695" w:rsidRPr="00FC3B7C" w:rsidRDefault="00CE6695" w:rsidP="0070178B">
      <w:pPr>
        <w:rPr>
          <w:sz w:val="20"/>
          <w:szCs w:val="20"/>
        </w:rPr>
      </w:pPr>
      <w:r w:rsidRPr="00FC3B7C">
        <w:rPr>
          <w:rFonts w:eastAsia="Times New Roman"/>
        </w:rPr>
        <w:t>Zpočátku se jednalo spíše o akt vzájemné pomoci - řešení sociálních problémů bylo naprosto přirozené, spočívalo v zásadě na kmenové a rodové pospolitosti (všichni pomáhali všem, rodová solidarita nevytvářela žádné zvláštní instituce pro potřebné členy). První počátky sociální péče v dějinách lidstva – rodová solidarita (hl. je rodina, rod).</w:t>
      </w:r>
    </w:p>
    <w:p w14:paraId="4A6F4B34" w14:textId="77777777" w:rsidR="00CE6695" w:rsidRPr="00FC3B7C" w:rsidRDefault="00CE6695" w:rsidP="00CE6695">
      <w:pPr>
        <w:spacing w:line="188" w:lineRule="exact"/>
        <w:rPr>
          <w:sz w:val="20"/>
          <w:szCs w:val="20"/>
        </w:rPr>
      </w:pPr>
    </w:p>
    <w:p w14:paraId="4A6F4B35" w14:textId="77777777" w:rsidR="00CE6695" w:rsidRPr="0070178B" w:rsidRDefault="00CE6695" w:rsidP="00A30923">
      <w:pPr>
        <w:pStyle w:val="Nadpis3"/>
        <w:rPr>
          <w:color w:val="1F3864" w:themeColor="accent1" w:themeShade="80"/>
          <w:sz w:val="20"/>
          <w:szCs w:val="20"/>
        </w:rPr>
      </w:pPr>
      <w:r w:rsidRPr="0070178B">
        <w:rPr>
          <w:rFonts w:eastAsia="Times New Roman"/>
          <w:color w:val="1F3864" w:themeColor="accent1" w:themeShade="80"/>
        </w:rPr>
        <w:t>Starověk</w:t>
      </w:r>
    </w:p>
    <w:p w14:paraId="4A6F4B38" w14:textId="28C34E99" w:rsidR="00A30923" w:rsidRPr="0070178B" w:rsidRDefault="00CE6695" w:rsidP="0070178B">
      <w:pPr>
        <w:rPr>
          <w:sz w:val="20"/>
          <w:szCs w:val="20"/>
        </w:rPr>
      </w:pPr>
      <w:r w:rsidRPr="00FC3B7C">
        <w:rPr>
          <w:rFonts w:eastAsia="Times New Roman"/>
        </w:rPr>
        <w:t>Objevují se první sociální problémy - nejstarším problémem je zajištění obživy, tento problém přerostl až do chudoby. Jako první poskytovala pomoc církev - péče o chudé, nemocné a staré, opatření byla omezená, nahodilá, stát se angažoval pouze v krajních nebo</w:t>
      </w:r>
      <w:r w:rsidR="0060012B">
        <w:rPr>
          <w:rFonts w:eastAsia="Times New Roman"/>
        </w:rPr>
        <w:t xml:space="preserve"> </w:t>
      </w:r>
      <w:r w:rsidRPr="00FC3B7C">
        <w:rPr>
          <w:rFonts w:eastAsia="Times New Roman"/>
        </w:rPr>
        <w:t>pro něho nebezpečných situacích. První státní podpory - pro vojáky – byli důležití pro stát</w:t>
      </w:r>
      <w:r w:rsidR="0060012B">
        <w:rPr>
          <w:rFonts w:eastAsia="Times New Roman"/>
        </w:rPr>
        <w:t xml:space="preserve">. </w:t>
      </w:r>
      <w:r w:rsidRPr="00FC3B7C">
        <w:rPr>
          <w:rFonts w:eastAsia="Times New Roman"/>
        </w:rPr>
        <w:lastRenderedPageBreak/>
        <w:t>Chammurapiho zákoník (18. stol. př.</w:t>
      </w:r>
      <w:r w:rsidR="00124942">
        <w:rPr>
          <w:rFonts w:eastAsia="Times New Roman"/>
        </w:rPr>
        <w:t xml:space="preserve"> </w:t>
      </w:r>
      <w:r w:rsidRPr="00FC3B7C">
        <w:rPr>
          <w:rFonts w:eastAsia="Times New Roman"/>
        </w:rPr>
        <w:t>n.</w:t>
      </w:r>
      <w:r w:rsidR="00124942">
        <w:rPr>
          <w:rFonts w:eastAsia="Times New Roman"/>
        </w:rPr>
        <w:t xml:space="preserve"> </w:t>
      </w:r>
      <w:r w:rsidRPr="00FC3B7C">
        <w:rPr>
          <w:rFonts w:eastAsia="Times New Roman"/>
        </w:rPr>
        <w:t>l.) zahrnoval právo vdovy na třetinu vojenského platu, zůstal-li po zemřelém vojákovi nezletilý syn.</w:t>
      </w:r>
      <w:bookmarkStart w:id="368" w:name="page388"/>
      <w:bookmarkEnd w:id="368"/>
    </w:p>
    <w:p w14:paraId="4A6F4B39" w14:textId="77777777" w:rsidR="00A30923" w:rsidRDefault="00A30923" w:rsidP="00CE6695">
      <w:pPr>
        <w:spacing w:line="240" w:lineRule="auto"/>
        <w:ind w:left="440"/>
        <w:rPr>
          <w:rFonts w:eastAsia="Times New Roman"/>
          <w:b/>
          <w:bCs/>
          <w:sz w:val="28"/>
          <w:szCs w:val="28"/>
        </w:rPr>
      </w:pPr>
    </w:p>
    <w:p w14:paraId="4A6F4B3A" w14:textId="515F8A63" w:rsidR="00CE6695" w:rsidRPr="00FC3B7C" w:rsidRDefault="0070178B" w:rsidP="00A30923">
      <w:pPr>
        <w:pStyle w:val="Nadpis3"/>
        <w:rPr>
          <w:sz w:val="20"/>
          <w:szCs w:val="20"/>
        </w:rPr>
      </w:pPr>
      <w:r>
        <w:rPr>
          <w:rFonts w:eastAsia="Times New Roman"/>
        </w:rPr>
        <w:t xml:space="preserve"> </w:t>
      </w:r>
      <w:r w:rsidR="00CE6695" w:rsidRPr="0070178B">
        <w:rPr>
          <w:rFonts w:eastAsia="Times New Roman"/>
          <w:color w:val="1F3864" w:themeColor="accent1" w:themeShade="80"/>
        </w:rPr>
        <w:t>Středověk</w:t>
      </w:r>
    </w:p>
    <w:p w14:paraId="4A6F4B3B" w14:textId="77777777" w:rsidR="00CE6695" w:rsidRPr="00FC3B7C" w:rsidRDefault="00CE6695" w:rsidP="0070178B">
      <w:pPr>
        <w:rPr>
          <w:sz w:val="20"/>
          <w:szCs w:val="20"/>
        </w:rPr>
      </w:pPr>
      <w:r w:rsidRPr="00FC3B7C">
        <w:rPr>
          <w:rFonts w:eastAsia="Times New Roman"/>
        </w:rPr>
        <w:t>Péče o chudé měla v této době spíše dobročinný charakter – velký vliv křesťanství. Nahodilá, neorganizovaná a dobrovolná pomoc. Církev byla nositelkou sociální péče - pořádala sbírky, budovala útulky pro sirotky, staré lidi,…</w:t>
      </w:r>
    </w:p>
    <w:p w14:paraId="4A6F4B3C" w14:textId="77777777" w:rsidR="00CE6695" w:rsidRPr="00FC3B7C" w:rsidRDefault="00CE6695" w:rsidP="0070178B">
      <w:pPr>
        <w:rPr>
          <w:sz w:val="20"/>
          <w:szCs w:val="20"/>
        </w:rPr>
      </w:pPr>
      <w:r w:rsidRPr="00FC3B7C">
        <w:rPr>
          <w:rFonts w:eastAsia="Times New Roman"/>
          <w:sz w:val="23"/>
          <w:szCs w:val="23"/>
        </w:rPr>
        <w:t xml:space="preserve">Ve 13. a 14. století nárůst chudoby, církev už se nebyla schopná postarat o všechny chudé, angažovat se začaly obce - </w:t>
      </w:r>
      <w:bookmarkStart w:id="369" w:name="_Hlk531039641"/>
      <w:r w:rsidRPr="00FC3B7C">
        <w:rPr>
          <w:rFonts w:eastAsia="Times New Roman"/>
          <w:sz w:val="23"/>
          <w:szCs w:val="23"/>
        </w:rPr>
        <w:t xml:space="preserve">domovské právo = právo na pomoc od obce </w:t>
      </w:r>
      <w:bookmarkEnd w:id="369"/>
      <w:r w:rsidRPr="00FC3B7C">
        <w:rPr>
          <w:rFonts w:eastAsia="Times New Roman"/>
          <w:sz w:val="23"/>
          <w:szCs w:val="23"/>
        </w:rPr>
        <w:t>(obce se musely starat</w:t>
      </w:r>
      <w:r w:rsidR="00A30923">
        <w:rPr>
          <w:rFonts w:eastAsia="Times New Roman"/>
          <w:sz w:val="23"/>
          <w:szCs w:val="23"/>
        </w:rPr>
        <w:br/>
      </w:r>
      <w:r w:rsidRPr="00FC3B7C">
        <w:rPr>
          <w:rFonts w:eastAsia="Times New Roman"/>
          <w:sz w:val="23"/>
          <w:szCs w:val="23"/>
        </w:rPr>
        <w:t xml:space="preserve"> o své chudé). Otázka bezdomovců - důsledek války, chudí rolníci vyháněni z půdy. Stát přijímal rozhodnutí zmírňující tento problém, např. daň bohatých - museli platit na chudé a opuštěné.</w:t>
      </w:r>
    </w:p>
    <w:p w14:paraId="4A6F4B3D" w14:textId="77777777" w:rsidR="00CE6695" w:rsidRPr="00FC3B7C" w:rsidRDefault="00CE6695" w:rsidP="00CE6695">
      <w:pPr>
        <w:spacing w:line="175" w:lineRule="exact"/>
        <w:rPr>
          <w:sz w:val="20"/>
          <w:szCs w:val="20"/>
        </w:rPr>
      </w:pPr>
    </w:p>
    <w:p w14:paraId="4A6F4B3E" w14:textId="594CDC71" w:rsidR="00CE6695" w:rsidRPr="0070178B" w:rsidRDefault="0070178B" w:rsidP="00A30923">
      <w:pPr>
        <w:pStyle w:val="Nadpis3"/>
        <w:rPr>
          <w:color w:val="1F3864" w:themeColor="accent1" w:themeShade="80"/>
          <w:sz w:val="20"/>
          <w:szCs w:val="20"/>
        </w:rPr>
      </w:pPr>
      <w:r>
        <w:rPr>
          <w:rFonts w:eastAsia="Times New Roman"/>
          <w:color w:val="1F3864" w:themeColor="accent1" w:themeShade="80"/>
        </w:rPr>
        <w:t xml:space="preserve"> </w:t>
      </w:r>
      <w:r w:rsidR="00CE6695" w:rsidRPr="0070178B">
        <w:rPr>
          <w:rFonts w:eastAsia="Times New Roman"/>
          <w:color w:val="1F3864" w:themeColor="accent1" w:themeShade="80"/>
        </w:rPr>
        <w:t>Novověk</w:t>
      </w:r>
    </w:p>
    <w:p w14:paraId="4A6F4B3F" w14:textId="77777777" w:rsidR="00CE6695" w:rsidRPr="00FC3B7C" w:rsidRDefault="00CE6695" w:rsidP="0070178B">
      <w:pPr>
        <w:rPr>
          <w:sz w:val="20"/>
          <w:szCs w:val="20"/>
        </w:rPr>
      </w:pPr>
      <w:r w:rsidRPr="00FC3B7C">
        <w:rPr>
          <w:rFonts w:eastAsia="Times New Roman"/>
          <w:szCs w:val="24"/>
        </w:rPr>
        <w:t>Hlavní roli hrála průmyslová revoluce, která přinesla rozvoj tržního hospodářství, a její důsledky. Důsledky průmyslové revoluce:</w:t>
      </w:r>
    </w:p>
    <w:p w14:paraId="4A6F4B40" w14:textId="77777777" w:rsidR="00CE6695" w:rsidRPr="00FC3B7C" w:rsidRDefault="00CE6695" w:rsidP="00D46B53">
      <w:pPr>
        <w:numPr>
          <w:ilvl w:val="0"/>
          <w:numId w:val="333"/>
        </w:numPr>
        <w:tabs>
          <w:tab w:val="left" w:pos="1560"/>
        </w:tabs>
        <w:ind w:left="1560" w:right="20" w:hanging="351"/>
        <w:rPr>
          <w:rFonts w:eastAsia="Arial"/>
          <w:szCs w:val="24"/>
        </w:rPr>
      </w:pPr>
      <w:r w:rsidRPr="00FC3B7C">
        <w:rPr>
          <w:rFonts w:eastAsia="Times New Roman"/>
          <w:szCs w:val="24"/>
        </w:rPr>
        <w:t>rozpad tradiční rodiny – omezení nebo vyloučení tradičních způsobů řešení sociálních problémů</w:t>
      </w:r>
    </w:p>
    <w:p w14:paraId="4A6F4B41" w14:textId="77777777" w:rsidR="00CE6695" w:rsidRPr="00FC3B7C" w:rsidRDefault="00CE6695" w:rsidP="00D46B53">
      <w:pPr>
        <w:numPr>
          <w:ilvl w:val="0"/>
          <w:numId w:val="333"/>
        </w:numPr>
        <w:tabs>
          <w:tab w:val="left" w:pos="1560"/>
        </w:tabs>
        <w:ind w:left="1560" w:hanging="351"/>
        <w:rPr>
          <w:rFonts w:eastAsia="Arial"/>
          <w:szCs w:val="24"/>
        </w:rPr>
      </w:pPr>
      <w:r w:rsidRPr="00FC3B7C">
        <w:rPr>
          <w:rFonts w:eastAsia="Times New Roman"/>
          <w:szCs w:val="24"/>
        </w:rPr>
        <w:t>urbanizace, ztráta tradičního zaměstnání…</w:t>
      </w:r>
    </w:p>
    <w:p w14:paraId="4A6F4B42" w14:textId="77777777" w:rsidR="00CE6695" w:rsidRPr="00FC3B7C" w:rsidRDefault="00CE6695" w:rsidP="00D46B53">
      <w:pPr>
        <w:numPr>
          <w:ilvl w:val="0"/>
          <w:numId w:val="333"/>
        </w:numPr>
        <w:tabs>
          <w:tab w:val="left" w:pos="1560"/>
        </w:tabs>
        <w:ind w:left="1560" w:hanging="351"/>
        <w:rPr>
          <w:rFonts w:eastAsia="Arial"/>
          <w:szCs w:val="24"/>
        </w:rPr>
      </w:pPr>
      <w:r w:rsidRPr="00FC3B7C">
        <w:rPr>
          <w:rFonts w:eastAsia="Times New Roman"/>
          <w:szCs w:val="24"/>
        </w:rPr>
        <w:t>růst sociálních problémů v dělnické třídě</w:t>
      </w:r>
    </w:p>
    <w:p w14:paraId="4A6F4B43" w14:textId="77777777" w:rsidR="00CE6695" w:rsidRPr="00FC3B7C" w:rsidRDefault="00CE6695" w:rsidP="00D46B53">
      <w:pPr>
        <w:numPr>
          <w:ilvl w:val="0"/>
          <w:numId w:val="333"/>
        </w:numPr>
        <w:tabs>
          <w:tab w:val="left" w:pos="1560"/>
        </w:tabs>
        <w:ind w:left="1560" w:hanging="351"/>
        <w:rPr>
          <w:rFonts w:eastAsia="Arial"/>
          <w:szCs w:val="24"/>
        </w:rPr>
      </w:pPr>
      <w:r w:rsidRPr="00FC3B7C">
        <w:rPr>
          <w:rFonts w:eastAsia="Times New Roman"/>
          <w:szCs w:val="24"/>
        </w:rPr>
        <w:t>roste úloha státu v sociální oblasti, utváří se prvky státní sociální politiky</w:t>
      </w:r>
    </w:p>
    <w:p w14:paraId="4A6F4B44" w14:textId="77777777" w:rsidR="00CE6695" w:rsidRPr="00FC3B7C" w:rsidRDefault="00CE6695" w:rsidP="00D46B53">
      <w:pPr>
        <w:numPr>
          <w:ilvl w:val="0"/>
          <w:numId w:val="333"/>
        </w:numPr>
        <w:tabs>
          <w:tab w:val="left" w:pos="1560"/>
        </w:tabs>
        <w:ind w:left="1560" w:hanging="351"/>
        <w:rPr>
          <w:rFonts w:eastAsia="Arial"/>
          <w:szCs w:val="24"/>
        </w:rPr>
      </w:pPr>
      <w:r w:rsidRPr="00FC3B7C">
        <w:rPr>
          <w:rFonts w:eastAsia="Times New Roman"/>
          <w:szCs w:val="24"/>
        </w:rPr>
        <w:t>postupná úprava pracovních podmínek</w:t>
      </w:r>
    </w:p>
    <w:p w14:paraId="4A6F4B45" w14:textId="77777777" w:rsidR="00CE6695" w:rsidRPr="00FC3B7C" w:rsidRDefault="00CE6695" w:rsidP="00D46B53">
      <w:pPr>
        <w:numPr>
          <w:ilvl w:val="0"/>
          <w:numId w:val="333"/>
        </w:numPr>
        <w:tabs>
          <w:tab w:val="left" w:pos="1560"/>
        </w:tabs>
        <w:ind w:left="1560" w:hanging="351"/>
        <w:rPr>
          <w:rFonts w:eastAsia="Arial"/>
          <w:szCs w:val="24"/>
        </w:rPr>
      </w:pPr>
      <w:r w:rsidRPr="00FC3B7C">
        <w:rPr>
          <w:rFonts w:eastAsia="Times New Roman"/>
          <w:szCs w:val="24"/>
        </w:rPr>
        <w:t>zákaz práce dětí - nejprve v noci, poté úplně</w:t>
      </w:r>
    </w:p>
    <w:p w14:paraId="4A6F4B46" w14:textId="77777777" w:rsidR="00CE6695" w:rsidRPr="00FC3B7C" w:rsidRDefault="00CE6695" w:rsidP="00D46B53">
      <w:pPr>
        <w:numPr>
          <w:ilvl w:val="0"/>
          <w:numId w:val="333"/>
        </w:numPr>
        <w:tabs>
          <w:tab w:val="left" w:pos="1560"/>
        </w:tabs>
        <w:ind w:left="1560" w:hanging="353"/>
        <w:rPr>
          <w:rFonts w:eastAsia="Arial"/>
          <w:szCs w:val="24"/>
        </w:rPr>
      </w:pPr>
      <w:r w:rsidRPr="00FC3B7C">
        <w:rPr>
          <w:rFonts w:eastAsia="Times New Roman"/>
          <w:szCs w:val="24"/>
        </w:rPr>
        <w:t>bezpečnost a čistota pracoviště</w:t>
      </w:r>
    </w:p>
    <w:p w14:paraId="4A6F4B47" w14:textId="77777777" w:rsidR="00CE6695" w:rsidRDefault="00CE6695" w:rsidP="0060012B">
      <w:pPr>
        <w:ind w:firstLine="720"/>
        <w:rPr>
          <w:rFonts w:eastAsia="Times New Roman"/>
          <w:szCs w:val="24"/>
        </w:rPr>
      </w:pPr>
      <w:r w:rsidRPr="00FC3B7C">
        <w:rPr>
          <w:rFonts w:eastAsia="Times New Roman"/>
          <w:szCs w:val="24"/>
        </w:rPr>
        <w:t>Konec 19. stol. - řada národních i mezinárodních jednání o opatření, která jsou stavebními prvky postupně se formující celistvé státní sociální politiky. Dochází k rozvoji sociálního pojištění, zlepšení pracovních a sociálních podmínek zaměstnaných lidí. Opatření však byla nákladná, což vedlo k nespokojenosti státu a středních vrstev a v důsledku došlo ke vzniku hnutí proti sociálním reformám. Úsilí tohoto hnutí narušila 1. světová válka. Došlo k vyostření sociálních problémů - řada rodin přišla o své živitele, šíření chorob, nedostatek pracovních míst a bytů, vysoká inflace, …→ používána různá opatření - úprava pracovních podmínek, péče o nezaměstnané, vdovy a sirotky - ,,kodex chudých“ – 1597 (Anglie) – první ucelená legislativa chudinské péče.</w:t>
      </w:r>
    </w:p>
    <w:p w14:paraId="4A6F4B48" w14:textId="77777777" w:rsidR="00A30923" w:rsidRPr="00FC3B7C" w:rsidRDefault="00A30923" w:rsidP="00A30923">
      <w:pPr>
        <w:rPr>
          <w:sz w:val="20"/>
          <w:szCs w:val="20"/>
        </w:rPr>
      </w:pPr>
    </w:p>
    <w:p w14:paraId="4A6F4B49" w14:textId="6633B516" w:rsidR="00CE6695" w:rsidRPr="0070178B" w:rsidRDefault="0070178B" w:rsidP="00A30923">
      <w:pPr>
        <w:pStyle w:val="Nadpis3"/>
        <w:rPr>
          <w:color w:val="1F3864" w:themeColor="accent1" w:themeShade="80"/>
          <w:sz w:val="20"/>
          <w:szCs w:val="20"/>
        </w:rPr>
      </w:pPr>
      <w:r>
        <w:rPr>
          <w:rFonts w:eastAsia="Times New Roman"/>
          <w:color w:val="1F3864" w:themeColor="accent1" w:themeShade="80"/>
        </w:rPr>
        <w:lastRenderedPageBreak/>
        <w:t xml:space="preserve"> </w:t>
      </w:r>
      <w:r w:rsidR="00CE6695" w:rsidRPr="0070178B">
        <w:rPr>
          <w:rFonts w:eastAsia="Times New Roman"/>
          <w:color w:val="1F3864" w:themeColor="accent1" w:themeShade="80"/>
        </w:rPr>
        <w:t>Hospodářská krize (1929 - 33)</w:t>
      </w:r>
    </w:p>
    <w:p w14:paraId="4A6F4B4A" w14:textId="77777777" w:rsidR="00CE6695" w:rsidRPr="00FC3B7C" w:rsidRDefault="00CE6695" w:rsidP="0070178B">
      <w:pPr>
        <w:rPr>
          <w:sz w:val="20"/>
          <w:szCs w:val="20"/>
        </w:rPr>
      </w:pPr>
      <w:bookmarkStart w:id="370" w:name="page389"/>
      <w:bookmarkEnd w:id="370"/>
      <w:r w:rsidRPr="00FC3B7C">
        <w:rPr>
          <w:rFonts w:eastAsia="Times New Roman"/>
        </w:rPr>
        <w:t xml:space="preserve">Potvrzení, že trh (teorie liberalismu) je lhostejný k určitým sociálním problémům (stáří, nezaměstnanost, mateřství). Od pol. 30. let postupné rozšiřování a prohlubování státních zásahů a větší odpovědnost státu za sociální podmínky a životní situaci obyvatel, stát se postupně stává hlavním a rozhodujícím subjektem SP. SP nabývá nové kvality, hovoří se </w:t>
      </w:r>
      <w:r w:rsidR="00A30923">
        <w:rPr>
          <w:rFonts w:eastAsia="Times New Roman"/>
        </w:rPr>
        <w:br/>
      </w:r>
      <w:r w:rsidRPr="00FC3B7C">
        <w:rPr>
          <w:rFonts w:eastAsia="Times New Roman"/>
        </w:rPr>
        <w:t>o moderní SP.</w:t>
      </w:r>
    </w:p>
    <w:p w14:paraId="4A6F4B4B" w14:textId="455EA4B6" w:rsidR="00CE6695" w:rsidRPr="00FC3B7C" w:rsidRDefault="0060012B" w:rsidP="0070178B">
      <w:pPr>
        <w:rPr>
          <w:rFonts w:eastAsia="Times New Roman"/>
          <w:szCs w:val="24"/>
        </w:rPr>
      </w:pPr>
      <w:r>
        <w:rPr>
          <w:rFonts w:eastAsia="Times New Roman"/>
          <w:szCs w:val="24"/>
        </w:rPr>
        <w:t>S</w:t>
      </w:r>
      <w:r w:rsidR="00CE6695" w:rsidRPr="00FC3B7C">
        <w:rPr>
          <w:rFonts w:eastAsia="Times New Roman"/>
          <w:szCs w:val="24"/>
        </w:rPr>
        <w:t>větová válka vedla ke zvýšení celkových sociálních opatření, postupným vývojem dospěla většina evropských států k tzv. silnému sociálnímu státu, který se výrazně angažuje v SP (welfare state).</w:t>
      </w:r>
    </w:p>
    <w:p w14:paraId="4A6F4B4C" w14:textId="77777777" w:rsidR="00CE6695" w:rsidRPr="00FC3B7C" w:rsidRDefault="00CE6695" w:rsidP="00CE6695">
      <w:pPr>
        <w:spacing w:line="200" w:lineRule="exact"/>
        <w:rPr>
          <w:sz w:val="20"/>
          <w:szCs w:val="20"/>
        </w:rPr>
      </w:pPr>
    </w:p>
    <w:p w14:paraId="4A6F4B4D" w14:textId="77777777" w:rsidR="00CE6695" w:rsidRPr="00FC3B7C" w:rsidRDefault="00CE6695" w:rsidP="00CE6695">
      <w:pPr>
        <w:spacing w:line="218" w:lineRule="exact"/>
        <w:rPr>
          <w:sz w:val="20"/>
          <w:szCs w:val="20"/>
        </w:rPr>
      </w:pPr>
    </w:p>
    <w:p w14:paraId="4A6F4B4E" w14:textId="77777777" w:rsidR="00CE6695" w:rsidRPr="00244BB9" w:rsidRDefault="00CE6695" w:rsidP="00A30923">
      <w:pPr>
        <w:pStyle w:val="Nadpis2"/>
        <w:rPr>
          <w:color w:val="1F3864" w:themeColor="accent1" w:themeShade="80"/>
          <w:sz w:val="20"/>
          <w:szCs w:val="20"/>
        </w:rPr>
      </w:pPr>
      <w:r w:rsidRPr="00244BB9">
        <w:rPr>
          <w:rFonts w:eastAsia="Times New Roman"/>
          <w:color w:val="1F3864" w:themeColor="accent1" w:themeShade="80"/>
        </w:rPr>
        <w:t>OSOBNOSTI SP:</w:t>
      </w:r>
    </w:p>
    <w:p w14:paraId="4A6F4B4F" w14:textId="77777777" w:rsidR="00CE6695" w:rsidRPr="00FC3B7C" w:rsidRDefault="00CE6695" w:rsidP="00CE6695">
      <w:pPr>
        <w:spacing w:line="200" w:lineRule="exact"/>
        <w:rPr>
          <w:sz w:val="20"/>
          <w:szCs w:val="20"/>
        </w:rPr>
      </w:pPr>
    </w:p>
    <w:p w14:paraId="4A6F4B50" w14:textId="74B1CB24" w:rsidR="00CE6695" w:rsidRPr="0070178B" w:rsidRDefault="0070178B" w:rsidP="00A30923">
      <w:pPr>
        <w:pStyle w:val="Nadpis3"/>
        <w:rPr>
          <w:color w:val="1F3864" w:themeColor="accent1" w:themeShade="80"/>
          <w:sz w:val="20"/>
          <w:szCs w:val="20"/>
        </w:rPr>
      </w:pPr>
      <w:r>
        <w:rPr>
          <w:rFonts w:eastAsia="Times New Roman"/>
          <w:color w:val="1F3864" w:themeColor="accent1" w:themeShade="80"/>
        </w:rPr>
        <w:t xml:space="preserve"> </w:t>
      </w:r>
      <w:r w:rsidR="00CE6695" w:rsidRPr="0070178B">
        <w:rPr>
          <w:rFonts w:eastAsia="Times New Roman"/>
          <w:color w:val="1F3864" w:themeColor="accent1" w:themeShade="80"/>
        </w:rPr>
        <w:t>Otto von Bismarck (1815 - 1898) - Německo</w:t>
      </w:r>
    </w:p>
    <w:p w14:paraId="4A6F4B51" w14:textId="77777777" w:rsidR="00CE6695" w:rsidRPr="00FC3B7C" w:rsidRDefault="00CE6695" w:rsidP="0070178B">
      <w:pPr>
        <w:rPr>
          <w:sz w:val="20"/>
          <w:szCs w:val="20"/>
        </w:rPr>
      </w:pPr>
      <w:bookmarkStart w:id="371" w:name="_Hlk531039867"/>
      <w:r w:rsidRPr="00FC3B7C">
        <w:rPr>
          <w:rFonts w:eastAsia="Times New Roman"/>
        </w:rPr>
        <w:t>Přičinil se o vznik první soustavy povinného sociálního pojištění na světě (roku 1878). Zavedl pojištění pro případ nemoci, pracovního úrazu, invalidity a stáří. První ucelený systém zdravotního, důchodového a úrazového pojištění v Evropě. Díky jeho reformám byl vytvořen základ moderní koncepce sociálního státu.</w:t>
      </w:r>
    </w:p>
    <w:bookmarkEnd w:id="371"/>
    <w:p w14:paraId="4A6F4B52" w14:textId="77777777" w:rsidR="00CE6695" w:rsidRPr="00FC3B7C" w:rsidRDefault="00CE6695" w:rsidP="00CE6695">
      <w:pPr>
        <w:spacing w:line="183" w:lineRule="exact"/>
        <w:rPr>
          <w:sz w:val="20"/>
          <w:szCs w:val="20"/>
        </w:rPr>
      </w:pPr>
    </w:p>
    <w:p w14:paraId="4A6F4B53" w14:textId="63CB1A17" w:rsidR="00CE6695" w:rsidRPr="0070178B" w:rsidRDefault="0070178B" w:rsidP="006B2FB5">
      <w:pPr>
        <w:pStyle w:val="Nadpis3"/>
        <w:rPr>
          <w:color w:val="1F3864" w:themeColor="accent1" w:themeShade="80"/>
          <w:sz w:val="20"/>
          <w:szCs w:val="20"/>
        </w:rPr>
      </w:pPr>
      <w:r>
        <w:rPr>
          <w:rFonts w:eastAsia="Times New Roman"/>
          <w:color w:val="1F3864" w:themeColor="accent1" w:themeShade="80"/>
        </w:rPr>
        <w:t xml:space="preserve"> </w:t>
      </w:r>
      <w:r w:rsidR="00CE6695" w:rsidRPr="0070178B">
        <w:rPr>
          <w:rFonts w:eastAsia="Times New Roman"/>
          <w:color w:val="1F3864" w:themeColor="accent1" w:themeShade="80"/>
        </w:rPr>
        <w:t>Karl Günnar Myrdal (1898 - 1987) - Švédsko</w:t>
      </w:r>
    </w:p>
    <w:p w14:paraId="4A6F4B54" w14:textId="77777777" w:rsidR="00CE6695" w:rsidRPr="00FC3B7C" w:rsidRDefault="00CE6695" w:rsidP="0070178B">
      <w:pPr>
        <w:rPr>
          <w:sz w:val="20"/>
          <w:szCs w:val="20"/>
        </w:rPr>
      </w:pPr>
      <w:bookmarkStart w:id="372" w:name="_Hlk531039908"/>
      <w:r w:rsidRPr="00FC3B7C">
        <w:rPr>
          <w:rFonts w:eastAsia="Times New Roman"/>
        </w:rPr>
        <w:t>Spoluautor studie zabývající se populační krizí ve Švédsku (problém nízké porodnosti). Studie navrhovala např. zavedení mateřských příspěvků, přídavků na děti, příspěvků na bydlení, výuku a stravování ve školách zdarma, či obecně dostupnou zdravotní péči</w:t>
      </w:r>
      <w:bookmarkEnd w:id="372"/>
      <w:r w:rsidRPr="00FC3B7C">
        <w:rPr>
          <w:rFonts w:eastAsia="Times New Roman"/>
        </w:rPr>
        <w:t>.</w:t>
      </w:r>
    </w:p>
    <w:p w14:paraId="4A6F4B55" w14:textId="77777777" w:rsidR="00CE6695" w:rsidRPr="00FC3B7C" w:rsidRDefault="00CE6695" w:rsidP="00CE6695">
      <w:pPr>
        <w:spacing w:line="175" w:lineRule="exact"/>
        <w:rPr>
          <w:sz w:val="20"/>
          <w:szCs w:val="20"/>
        </w:rPr>
      </w:pPr>
    </w:p>
    <w:p w14:paraId="4A6F4B56" w14:textId="6357DA36" w:rsidR="00CE6695" w:rsidRPr="0070178B" w:rsidRDefault="0070178B" w:rsidP="006B2FB5">
      <w:pPr>
        <w:pStyle w:val="Nadpis3"/>
        <w:rPr>
          <w:color w:val="1F3864" w:themeColor="accent1" w:themeShade="80"/>
          <w:sz w:val="20"/>
          <w:szCs w:val="20"/>
        </w:rPr>
      </w:pPr>
      <w:r>
        <w:rPr>
          <w:rFonts w:eastAsia="Times New Roman"/>
          <w:color w:val="1F3864" w:themeColor="accent1" w:themeShade="80"/>
        </w:rPr>
        <w:t xml:space="preserve"> </w:t>
      </w:r>
      <w:r w:rsidR="00CE6695" w:rsidRPr="0070178B">
        <w:rPr>
          <w:rFonts w:eastAsia="Times New Roman"/>
          <w:color w:val="1F3864" w:themeColor="accent1" w:themeShade="80"/>
        </w:rPr>
        <w:t>Willam Henry Beveridge (1879 - 1963) - Velká Británie</w:t>
      </w:r>
    </w:p>
    <w:p w14:paraId="4A6F4B57" w14:textId="77777777" w:rsidR="00CE6695" w:rsidRPr="00FC3B7C" w:rsidRDefault="00CE6695" w:rsidP="0070178B">
      <w:pPr>
        <w:ind w:left="4"/>
        <w:rPr>
          <w:sz w:val="20"/>
          <w:szCs w:val="20"/>
        </w:rPr>
      </w:pPr>
      <w:bookmarkStart w:id="373" w:name="_Hlk531039943"/>
      <w:r w:rsidRPr="00FC3B7C">
        <w:rPr>
          <w:rFonts w:eastAsia="Times New Roman"/>
          <w:szCs w:val="24"/>
        </w:rPr>
        <w:t>Zasloužil se o první povinné pojištění v nezaměstnanosti na světě (zavedeno r. 1911)</w:t>
      </w:r>
      <w:bookmarkEnd w:id="373"/>
      <w:r w:rsidRPr="00FC3B7C">
        <w:rPr>
          <w:rFonts w:eastAsia="Times New Roman"/>
          <w:szCs w:val="24"/>
        </w:rPr>
        <w:t>. Britská vláda přislíbila vypracovat studii o reformě sociálního pojištění po skončení 2. světové války</w:t>
      </w:r>
    </w:p>
    <w:p w14:paraId="4A6F4B58" w14:textId="77777777" w:rsidR="00CE6695" w:rsidRPr="00FC3B7C" w:rsidRDefault="00CE6695" w:rsidP="00D46B53">
      <w:pPr>
        <w:numPr>
          <w:ilvl w:val="0"/>
          <w:numId w:val="334"/>
        </w:numPr>
        <w:tabs>
          <w:tab w:val="left" w:pos="304"/>
        </w:tabs>
        <w:ind w:left="304" w:hanging="304"/>
        <w:rPr>
          <w:rFonts w:eastAsia="Times New Roman"/>
          <w:szCs w:val="24"/>
        </w:rPr>
      </w:pPr>
      <w:r w:rsidRPr="00FC3B7C">
        <w:rPr>
          <w:rFonts w:eastAsia="Times New Roman"/>
          <w:szCs w:val="24"/>
        </w:rPr>
        <w:t xml:space="preserve">v čele komise, která ji měla zpracovat, byl Beveridge </w:t>
      </w:r>
      <w:bookmarkStart w:id="374" w:name="_Hlk531039964"/>
      <w:r w:rsidRPr="00FC3B7C">
        <w:rPr>
          <w:rFonts w:eastAsia="Times New Roman"/>
          <w:szCs w:val="24"/>
        </w:rPr>
        <w:t xml:space="preserve">- </w:t>
      </w:r>
      <w:r w:rsidRPr="00FC3B7C">
        <w:rPr>
          <w:rFonts w:eastAsia="Times New Roman"/>
          <w:b/>
          <w:bCs/>
          <w:szCs w:val="24"/>
        </w:rPr>
        <w:t>Beveridgeova zpráva (1942</w:t>
      </w:r>
      <w:bookmarkEnd w:id="374"/>
      <w:r w:rsidRPr="00FC3B7C">
        <w:rPr>
          <w:rFonts w:eastAsia="Times New Roman"/>
          <w:b/>
          <w:bCs/>
          <w:szCs w:val="24"/>
        </w:rPr>
        <w:t>):</w:t>
      </w:r>
    </w:p>
    <w:p w14:paraId="4A6F4B59" w14:textId="77777777" w:rsidR="00CE6695" w:rsidRPr="00FC3B7C" w:rsidRDefault="00CE6695" w:rsidP="00D46B53">
      <w:pPr>
        <w:numPr>
          <w:ilvl w:val="1"/>
          <w:numId w:val="334"/>
        </w:numPr>
        <w:tabs>
          <w:tab w:val="left" w:pos="1564"/>
        </w:tabs>
        <w:ind w:left="1564" w:hanging="353"/>
        <w:rPr>
          <w:rFonts w:eastAsia="Arial"/>
          <w:szCs w:val="24"/>
        </w:rPr>
      </w:pPr>
      <w:r w:rsidRPr="00FC3B7C">
        <w:rPr>
          <w:rFonts w:eastAsia="Times New Roman"/>
          <w:szCs w:val="24"/>
        </w:rPr>
        <w:t>sjednocení různých typů pojištění</w:t>
      </w:r>
    </w:p>
    <w:p w14:paraId="4A6F4B5A" w14:textId="77777777" w:rsidR="00CE6695" w:rsidRPr="00FC3B7C" w:rsidRDefault="00CE6695" w:rsidP="00D46B53">
      <w:pPr>
        <w:numPr>
          <w:ilvl w:val="1"/>
          <w:numId w:val="334"/>
        </w:numPr>
        <w:tabs>
          <w:tab w:val="left" w:pos="1564"/>
        </w:tabs>
        <w:ind w:left="1564" w:hanging="353"/>
        <w:rPr>
          <w:rFonts w:eastAsia="Arial"/>
          <w:szCs w:val="24"/>
        </w:rPr>
      </w:pPr>
      <w:r w:rsidRPr="00FC3B7C">
        <w:rPr>
          <w:rFonts w:eastAsia="Times New Roman"/>
          <w:szCs w:val="24"/>
        </w:rPr>
        <w:t>povinné sociální pojištění + sociální pomoc a dobrovolné pojištění</w:t>
      </w:r>
    </w:p>
    <w:p w14:paraId="4A6F4B5B" w14:textId="77777777" w:rsidR="00CE6695" w:rsidRPr="00FC3B7C" w:rsidRDefault="00CE6695" w:rsidP="00D46B53">
      <w:pPr>
        <w:numPr>
          <w:ilvl w:val="1"/>
          <w:numId w:val="334"/>
        </w:numPr>
        <w:tabs>
          <w:tab w:val="left" w:pos="1564"/>
        </w:tabs>
        <w:ind w:left="1564" w:hanging="353"/>
        <w:rPr>
          <w:rFonts w:eastAsia="Arial"/>
          <w:szCs w:val="24"/>
        </w:rPr>
      </w:pPr>
      <w:r w:rsidRPr="00FC3B7C">
        <w:rPr>
          <w:rFonts w:eastAsia="Times New Roman"/>
          <w:szCs w:val="24"/>
        </w:rPr>
        <w:t>nejdůležitější doporučení - sociální dávky i příspěvky na pojištění mají být navrženy v jednotné výši</w:t>
      </w:r>
    </w:p>
    <w:p w14:paraId="4A6F4B5C" w14:textId="77777777" w:rsidR="00CE6695" w:rsidRPr="00FC3B7C" w:rsidRDefault="00CE6695" w:rsidP="00D46B53">
      <w:pPr>
        <w:numPr>
          <w:ilvl w:val="1"/>
          <w:numId w:val="334"/>
        </w:numPr>
        <w:tabs>
          <w:tab w:val="left" w:pos="1564"/>
        </w:tabs>
        <w:ind w:left="1564" w:hanging="353"/>
        <w:rPr>
          <w:rFonts w:eastAsia="Arial"/>
          <w:szCs w:val="24"/>
        </w:rPr>
      </w:pPr>
      <w:r w:rsidRPr="00FC3B7C">
        <w:rPr>
          <w:rFonts w:eastAsia="Times New Roman"/>
          <w:szCs w:val="24"/>
        </w:rPr>
        <w:t>dávky mají zajišťovat existenční minimum</w:t>
      </w:r>
    </w:p>
    <w:p w14:paraId="4A6F4B60" w14:textId="21A87040" w:rsidR="006B2FB5" w:rsidRPr="0070178B" w:rsidRDefault="00CE6695" w:rsidP="00D46B53">
      <w:pPr>
        <w:numPr>
          <w:ilvl w:val="0"/>
          <w:numId w:val="335"/>
        </w:numPr>
        <w:tabs>
          <w:tab w:val="left" w:pos="1564"/>
        </w:tabs>
        <w:spacing w:line="389" w:lineRule="auto"/>
        <w:ind w:left="1564" w:right="20" w:hanging="353"/>
        <w:rPr>
          <w:rFonts w:eastAsia="Arial"/>
          <w:szCs w:val="24"/>
        </w:rPr>
      </w:pPr>
      <w:bookmarkStart w:id="375" w:name="page390"/>
      <w:bookmarkEnd w:id="375"/>
      <w:r w:rsidRPr="00FC3B7C">
        <w:rPr>
          <w:rFonts w:eastAsia="Times New Roman"/>
          <w:szCs w:val="24"/>
        </w:rPr>
        <w:t>zpráva se nesetkala s pozitivním ohlasem ani na min. financí ani u premiéra Churchilla, veřejnost ji ale přijala s</w:t>
      </w:r>
      <w:r w:rsidR="006B2FB5">
        <w:rPr>
          <w:rFonts w:eastAsia="Times New Roman"/>
          <w:szCs w:val="24"/>
        </w:rPr>
        <w:t> </w:t>
      </w:r>
      <w:r w:rsidRPr="00FC3B7C">
        <w:rPr>
          <w:rFonts w:eastAsia="Times New Roman"/>
          <w:szCs w:val="24"/>
        </w:rPr>
        <w:t>nadšením</w:t>
      </w:r>
    </w:p>
    <w:p w14:paraId="4A6F4B61" w14:textId="77777777" w:rsidR="00CE6695" w:rsidRPr="00FC3B7C" w:rsidRDefault="00CE6695" w:rsidP="00CE6695">
      <w:pPr>
        <w:spacing w:line="200" w:lineRule="exact"/>
        <w:rPr>
          <w:sz w:val="20"/>
          <w:szCs w:val="20"/>
        </w:rPr>
      </w:pPr>
    </w:p>
    <w:p w14:paraId="4A6F4B62" w14:textId="2DAE03FF" w:rsidR="00CE6695" w:rsidRPr="00244BB9" w:rsidRDefault="00CE6695" w:rsidP="0060012B">
      <w:pPr>
        <w:pStyle w:val="Nadpis2"/>
        <w:rPr>
          <w:color w:val="1F3864" w:themeColor="accent1" w:themeShade="80"/>
          <w:sz w:val="20"/>
          <w:szCs w:val="20"/>
        </w:rPr>
      </w:pPr>
      <w:r w:rsidRPr="00244BB9">
        <w:rPr>
          <w:rFonts w:eastAsia="Times New Roman"/>
          <w:color w:val="1F3864" w:themeColor="accent1" w:themeShade="80"/>
        </w:rPr>
        <w:t>SOCIÁLNÍ ZABEZPEČENÍ</w:t>
      </w:r>
    </w:p>
    <w:p w14:paraId="4A6F4B63" w14:textId="77777777" w:rsidR="00CE6695" w:rsidRPr="00FC3B7C" w:rsidRDefault="00CE6695" w:rsidP="00CE6695">
      <w:pPr>
        <w:spacing w:line="200" w:lineRule="exact"/>
        <w:rPr>
          <w:sz w:val="20"/>
          <w:szCs w:val="20"/>
        </w:rPr>
      </w:pPr>
    </w:p>
    <w:p w14:paraId="4A6F4B64" w14:textId="77777777" w:rsidR="00CE6695" w:rsidRPr="00FC3B7C" w:rsidRDefault="00CE6695" w:rsidP="0070178B">
      <w:pPr>
        <w:ind w:left="4" w:right="40"/>
        <w:rPr>
          <w:sz w:val="20"/>
          <w:szCs w:val="20"/>
        </w:rPr>
      </w:pPr>
      <w:r w:rsidRPr="00FC3B7C">
        <w:rPr>
          <w:rFonts w:eastAsia="Times New Roman"/>
          <w:szCs w:val="24"/>
        </w:rPr>
        <w:t>Jedná se o soubor institucí, zařízení a opatření, pomocí nichž dochází k předcházení, zmírňování a odstraňování následků sociálních událostí. Výdaje přes 500 mld. Kč.</w:t>
      </w:r>
    </w:p>
    <w:p w14:paraId="4A6F4B65" w14:textId="77777777" w:rsidR="00CE6695" w:rsidRPr="00FC3B7C" w:rsidRDefault="00CE6695" w:rsidP="0070178B">
      <w:pPr>
        <w:ind w:left="4" w:right="40"/>
        <w:rPr>
          <w:sz w:val="20"/>
          <w:szCs w:val="20"/>
        </w:rPr>
      </w:pPr>
      <w:r w:rsidRPr="00FC3B7C">
        <w:rPr>
          <w:rFonts w:eastAsia="Times New Roman"/>
          <w:b/>
          <w:bCs/>
          <w:szCs w:val="24"/>
        </w:rPr>
        <w:t xml:space="preserve">Sociální událost </w:t>
      </w:r>
      <w:r w:rsidRPr="00FC3B7C">
        <w:rPr>
          <w:rFonts w:eastAsia="Times New Roman"/>
          <w:szCs w:val="24"/>
        </w:rPr>
        <w:t>- někdy označováno jako sociální riziko</w:t>
      </w:r>
      <w:r w:rsidRPr="00FC3B7C">
        <w:rPr>
          <w:rFonts w:eastAsia="Times New Roman"/>
          <w:b/>
          <w:bCs/>
          <w:szCs w:val="24"/>
        </w:rPr>
        <w:t xml:space="preserve"> </w:t>
      </w:r>
      <w:r w:rsidRPr="00FC3B7C">
        <w:rPr>
          <w:rFonts w:eastAsia="Times New Roman"/>
          <w:szCs w:val="24"/>
        </w:rPr>
        <w:t>či příhoda: nemoc, úraz, těhotenství,</w:t>
      </w:r>
      <w:r w:rsidRPr="00FC3B7C">
        <w:rPr>
          <w:rFonts w:eastAsia="Times New Roman"/>
          <w:b/>
          <w:bCs/>
          <w:szCs w:val="24"/>
        </w:rPr>
        <w:t xml:space="preserve"> </w:t>
      </w:r>
      <w:r w:rsidRPr="00FC3B7C">
        <w:rPr>
          <w:rFonts w:eastAsia="Times New Roman"/>
          <w:szCs w:val="24"/>
        </w:rPr>
        <w:t>invalidita, stáří, narození dítěte, smrt rodinného příslušníka, …</w:t>
      </w:r>
    </w:p>
    <w:p w14:paraId="4A6F4B66" w14:textId="77777777" w:rsidR="00CE6695" w:rsidRPr="00FC3B7C" w:rsidRDefault="00CE6695" w:rsidP="00A066AA">
      <w:pPr>
        <w:ind w:left="4"/>
        <w:rPr>
          <w:sz w:val="20"/>
          <w:szCs w:val="20"/>
        </w:rPr>
      </w:pPr>
      <w:r w:rsidRPr="00FC3B7C">
        <w:rPr>
          <w:rFonts w:eastAsia="Times New Roman"/>
          <w:b/>
          <w:bCs/>
          <w:szCs w:val="24"/>
        </w:rPr>
        <w:t>Formy plnění sociálního zabezpečení:</w:t>
      </w:r>
    </w:p>
    <w:p w14:paraId="4A6F4B67" w14:textId="77777777" w:rsidR="00CE6695" w:rsidRPr="00FC3B7C" w:rsidRDefault="00CE6695" w:rsidP="00D46B53">
      <w:pPr>
        <w:numPr>
          <w:ilvl w:val="0"/>
          <w:numId w:val="336"/>
        </w:numPr>
        <w:tabs>
          <w:tab w:val="left" w:pos="1144"/>
        </w:tabs>
        <w:ind w:left="1144" w:hanging="497"/>
        <w:rPr>
          <w:rFonts w:eastAsia="Times New Roman"/>
          <w:szCs w:val="24"/>
        </w:rPr>
      </w:pPr>
      <w:r w:rsidRPr="00FC3B7C">
        <w:rPr>
          <w:rFonts w:eastAsia="Times New Roman"/>
          <w:szCs w:val="24"/>
        </w:rPr>
        <w:t>plnění peněžní – dávky</w:t>
      </w:r>
    </w:p>
    <w:p w14:paraId="4A6F4B68" w14:textId="77777777" w:rsidR="00CE6695" w:rsidRPr="00FC3B7C" w:rsidRDefault="00CE6695" w:rsidP="00D46B53">
      <w:pPr>
        <w:numPr>
          <w:ilvl w:val="0"/>
          <w:numId w:val="336"/>
        </w:numPr>
        <w:tabs>
          <w:tab w:val="left" w:pos="1144"/>
        </w:tabs>
        <w:ind w:left="1144" w:hanging="563"/>
        <w:rPr>
          <w:rFonts w:eastAsia="Times New Roman"/>
          <w:szCs w:val="24"/>
        </w:rPr>
      </w:pPr>
      <w:r w:rsidRPr="00FC3B7C">
        <w:rPr>
          <w:rFonts w:eastAsia="Times New Roman"/>
          <w:szCs w:val="24"/>
        </w:rPr>
        <w:t>plnění materiální - např. výrobky zdarma</w:t>
      </w:r>
    </w:p>
    <w:p w14:paraId="4A6F4B69" w14:textId="77777777" w:rsidR="00CE6695" w:rsidRPr="00FC3B7C" w:rsidRDefault="00CE6695" w:rsidP="00D46B53">
      <w:pPr>
        <w:numPr>
          <w:ilvl w:val="0"/>
          <w:numId w:val="336"/>
        </w:numPr>
        <w:tabs>
          <w:tab w:val="left" w:pos="1144"/>
        </w:tabs>
        <w:ind w:left="1144" w:hanging="630"/>
        <w:rPr>
          <w:rFonts w:eastAsia="Times New Roman"/>
          <w:szCs w:val="24"/>
        </w:rPr>
      </w:pPr>
      <w:r w:rsidRPr="00FC3B7C">
        <w:rPr>
          <w:rFonts w:eastAsia="Times New Roman"/>
          <w:szCs w:val="24"/>
        </w:rPr>
        <w:t>plnění službou - např. informační, poradenské, pečovatelské služby</w:t>
      </w:r>
    </w:p>
    <w:p w14:paraId="4A6F4B6A" w14:textId="77777777" w:rsidR="00CE6695" w:rsidRPr="00FC3B7C" w:rsidRDefault="00CE6695" w:rsidP="00D46B53">
      <w:pPr>
        <w:numPr>
          <w:ilvl w:val="0"/>
          <w:numId w:val="336"/>
        </w:numPr>
        <w:tabs>
          <w:tab w:val="left" w:pos="1144"/>
        </w:tabs>
        <w:ind w:left="1144" w:hanging="617"/>
        <w:rPr>
          <w:rFonts w:eastAsia="Times New Roman"/>
          <w:szCs w:val="24"/>
        </w:rPr>
      </w:pPr>
      <w:r w:rsidRPr="00FC3B7C">
        <w:rPr>
          <w:rFonts w:eastAsia="Times New Roman"/>
          <w:szCs w:val="24"/>
        </w:rPr>
        <w:t>plnění azylem - např. dětské domovy, domovy důchodců</w:t>
      </w:r>
    </w:p>
    <w:p w14:paraId="4A6F4B6B" w14:textId="07DC2109" w:rsidR="00CE6695" w:rsidRPr="00FC3B7C" w:rsidRDefault="00CE6695" w:rsidP="0060012B">
      <w:pPr>
        <w:ind w:left="4" w:firstLine="523"/>
        <w:rPr>
          <w:sz w:val="20"/>
          <w:szCs w:val="20"/>
        </w:rPr>
      </w:pPr>
      <w:r w:rsidRPr="00FC3B7C">
        <w:rPr>
          <w:rFonts w:eastAsia="Times New Roman"/>
          <w:szCs w:val="24"/>
        </w:rPr>
        <w:t>Nejrozšířenější pojetí sociálního zabezpečení ve smyslu souhrnného označení pro všechny sociální instituce poskytující občanům radu, ochranu, materiální a peněžní plnění, služby a azyl k uspokojování jejich sociálních potřeb.</w:t>
      </w:r>
    </w:p>
    <w:p w14:paraId="63CBA1DB" w14:textId="77777777" w:rsidR="0060012B" w:rsidRDefault="00CE6695" w:rsidP="0070178B">
      <w:pPr>
        <w:ind w:left="4"/>
        <w:rPr>
          <w:sz w:val="20"/>
          <w:szCs w:val="20"/>
        </w:rPr>
      </w:pPr>
      <w:r w:rsidRPr="00FC3B7C">
        <w:rPr>
          <w:rFonts w:eastAsia="Times New Roman"/>
          <w:szCs w:val="24"/>
        </w:rPr>
        <w:t>Právní úpravu organizace a provádění sociálního zabezpečení obsahuje zákon č. 582/1991 Sb.,</w:t>
      </w:r>
      <w:r w:rsidR="0060012B">
        <w:rPr>
          <w:sz w:val="20"/>
          <w:szCs w:val="20"/>
        </w:rPr>
        <w:t xml:space="preserve"> </w:t>
      </w:r>
    </w:p>
    <w:p w14:paraId="4A6F4B6D" w14:textId="17EF44E6" w:rsidR="00CE6695" w:rsidRPr="0060012B" w:rsidRDefault="00CE6695" w:rsidP="00D46B53">
      <w:pPr>
        <w:pStyle w:val="Odstavecseseznamem"/>
        <w:numPr>
          <w:ilvl w:val="0"/>
          <w:numId w:val="332"/>
        </w:numPr>
        <w:rPr>
          <w:sz w:val="20"/>
          <w:szCs w:val="20"/>
        </w:rPr>
      </w:pPr>
      <w:r w:rsidRPr="0060012B">
        <w:rPr>
          <w:rFonts w:eastAsia="Times New Roman"/>
          <w:szCs w:val="24"/>
        </w:rPr>
        <w:t>organizaci a provádění sociálního zabezpečení</w:t>
      </w:r>
      <w:r w:rsidRPr="0060012B">
        <w:rPr>
          <w:rFonts w:eastAsia="Times New Roman"/>
          <w:sz w:val="15"/>
          <w:szCs w:val="15"/>
        </w:rPr>
        <w:t>.</w:t>
      </w:r>
      <w:r w:rsidRPr="0060012B">
        <w:rPr>
          <w:rFonts w:eastAsia="Times New Roman"/>
          <w:szCs w:val="24"/>
        </w:rPr>
        <w:t xml:space="preserve"> Provádí ho </w:t>
      </w:r>
      <w:r w:rsidRPr="0060012B">
        <w:rPr>
          <w:rFonts w:eastAsia="Times New Roman"/>
          <w:b/>
          <w:bCs/>
          <w:szCs w:val="24"/>
        </w:rPr>
        <w:t>orgány sociálního zabezpečení:</w:t>
      </w:r>
    </w:p>
    <w:p w14:paraId="4A6F4B6E" w14:textId="77777777" w:rsidR="00CE6695" w:rsidRPr="00FC3B7C" w:rsidRDefault="00CE6695" w:rsidP="00D46B53">
      <w:pPr>
        <w:numPr>
          <w:ilvl w:val="1"/>
          <w:numId w:val="337"/>
        </w:numPr>
        <w:tabs>
          <w:tab w:val="left" w:pos="1564"/>
        </w:tabs>
        <w:ind w:left="1564" w:hanging="353"/>
        <w:rPr>
          <w:rFonts w:eastAsia="Arial"/>
          <w:szCs w:val="24"/>
        </w:rPr>
      </w:pPr>
      <w:r w:rsidRPr="00FC3B7C">
        <w:rPr>
          <w:rFonts w:eastAsia="Times New Roman"/>
          <w:szCs w:val="24"/>
        </w:rPr>
        <w:t>Ministerstvo práce a sociálních věcí (MPSV)</w:t>
      </w:r>
    </w:p>
    <w:p w14:paraId="4A6F4B6F" w14:textId="77777777" w:rsidR="00CE6695" w:rsidRPr="00FC3B7C" w:rsidRDefault="00CE6695" w:rsidP="00D46B53">
      <w:pPr>
        <w:numPr>
          <w:ilvl w:val="1"/>
          <w:numId w:val="337"/>
        </w:numPr>
        <w:tabs>
          <w:tab w:val="left" w:pos="1564"/>
        </w:tabs>
        <w:ind w:left="1564" w:hanging="353"/>
        <w:rPr>
          <w:rFonts w:eastAsia="Arial"/>
          <w:szCs w:val="24"/>
        </w:rPr>
      </w:pPr>
      <w:r w:rsidRPr="00FC3B7C">
        <w:rPr>
          <w:rFonts w:eastAsia="Times New Roman"/>
          <w:szCs w:val="24"/>
        </w:rPr>
        <w:t>Česká správa sociálního zabezpečení (ČSSZ)</w:t>
      </w:r>
    </w:p>
    <w:p w14:paraId="4A6F4B70" w14:textId="77777777" w:rsidR="00CE6695" w:rsidRPr="00FC3B7C" w:rsidRDefault="00CE6695" w:rsidP="00D46B53">
      <w:pPr>
        <w:numPr>
          <w:ilvl w:val="1"/>
          <w:numId w:val="337"/>
        </w:numPr>
        <w:tabs>
          <w:tab w:val="left" w:pos="1564"/>
        </w:tabs>
        <w:ind w:left="1564" w:hanging="353"/>
        <w:rPr>
          <w:rFonts w:eastAsia="Arial"/>
          <w:szCs w:val="24"/>
        </w:rPr>
      </w:pPr>
      <w:r w:rsidRPr="00FC3B7C">
        <w:rPr>
          <w:rFonts w:eastAsia="Times New Roman"/>
          <w:szCs w:val="24"/>
        </w:rPr>
        <w:t>okresní správy sociálního zabezpečení (OSSZ)</w:t>
      </w:r>
    </w:p>
    <w:p w14:paraId="4A6F4B71" w14:textId="77777777" w:rsidR="00CE6695" w:rsidRPr="00FC3B7C" w:rsidRDefault="00CE6695" w:rsidP="00D46B53">
      <w:pPr>
        <w:numPr>
          <w:ilvl w:val="1"/>
          <w:numId w:val="337"/>
        </w:numPr>
        <w:tabs>
          <w:tab w:val="left" w:pos="1564"/>
        </w:tabs>
        <w:ind w:left="1564" w:hanging="353"/>
        <w:rPr>
          <w:rFonts w:eastAsia="Arial"/>
          <w:szCs w:val="24"/>
        </w:rPr>
      </w:pPr>
      <w:r w:rsidRPr="00FC3B7C">
        <w:rPr>
          <w:rFonts w:eastAsia="Times New Roman"/>
          <w:szCs w:val="24"/>
        </w:rPr>
        <w:t>Ministerstvo obrany (pokud jde o vojáky z povolání)</w:t>
      </w:r>
    </w:p>
    <w:p w14:paraId="4A6F4B72" w14:textId="77777777" w:rsidR="00CE6695" w:rsidRPr="00FC3B7C" w:rsidRDefault="00CE6695" w:rsidP="00D46B53">
      <w:pPr>
        <w:numPr>
          <w:ilvl w:val="1"/>
          <w:numId w:val="337"/>
        </w:numPr>
        <w:tabs>
          <w:tab w:val="left" w:pos="1564"/>
        </w:tabs>
        <w:ind w:left="1564" w:hanging="353"/>
        <w:rPr>
          <w:rFonts w:eastAsia="Arial"/>
          <w:szCs w:val="24"/>
        </w:rPr>
      </w:pPr>
      <w:r w:rsidRPr="00FC3B7C">
        <w:rPr>
          <w:rFonts w:eastAsia="Times New Roman"/>
          <w:szCs w:val="24"/>
        </w:rPr>
        <w:t>Ministerstvo vnitra (pokud jde o příslušníky Policie ČR, Hasičského záchranného sboru ČR a příslušníků ostatních ozbrojených bezpečnostních sborů a služeb)</w:t>
      </w:r>
    </w:p>
    <w:p w14:paraId="4A6F4B73" w14:textId="77777777" w:rsidR="00CE6695" w:rsidRPr="00FC3B7C" w:rsidRDefault="00CE6695" w:rsidP="00D46B53">
      <w:pPr>
        <w:numPr>
          <w:ilvl w:val="1"/>
          <w:numId w:val="337"/>
        </w:numPr>
        <w:tabs>
          <w:tab w:val="left" w:pos="1564"/>
        </w:tabs>
        <w:ind w:left="1564" w:hanging="353"/>
        <w:rPr>
          <w:rFonts w:eastAsia="Arial"/>
          <w:szCs w:val="24"/>
        </w:rPr>
      </w:pPr>
      <w:r w:rsidRPr="00FC3B7C">
        <w:rPr>
          <w:rFonts w:eastAsia="Times New Roman"/>
          <w:szCs w:val="24"/>
        </w:rPr>
        <w:t>Ministerstvo spravedlnosti (pokud jde o příslušníky Vězeňské služby ČR)</w:t>
      </w:r>
    </w:p>
    <w:p w14:paraId="4A6F4B74" w14:textId="77777777" w:rsidR="00CE6695" w:rsidRDefault="00CE6695" w:rsidP="00A066AA"/>
    <w:p w14:paraId="4A6F4B75" w14:textId="77777777" w:rsidR="00CE6695" w:rsidRPr="00FC3B7C" w:rsidRDefault="00CE6695" w:rsidP="00A066AA">
      <w:pPr>
        <w:ind w:left="560"/>
        <w:rPr>
          <w:sz w:val="20"/>
          <w:szCs w:val="20"/>
        </w:rPr>
      </w:pPr>
      <w:bookmarkStart w:id="376" w:name="page391"/>
      <w:bookmarkEnd w:id="376"/>
      <w:r w:rsidRPr="00FC3B7C">
        <w:rPr>
          <w:rFonts w:eastAsia="Times New Roman"/>
          <w:b/>
          <w:bCs/>
          <w:szCs w:val="24"/>
        </w:rPr>
        <w:t>SZ stojí na 3 pilířích:</w:t>
      </w:r>
    </w:p>
    <w:p w14:paraId="4A6F4B76" w14:textId="77777777" w:rsidR="00CE6695" w:rsidRPr="00FC3B7C" w:rsidRDefault="00CE6695" w:rsidP="00D46B53">
      <w:pPr>
        <w:numPr>
          <w:ilvl w:val="0"/>
          <w:numId w:val="338"/>
        </w:numPr>
        <w:tabs>
          <w:tab w:val="left" w:pos="1280"/>
        </w:tabs>
        <w:ind w:left="1280" w:hanging="357"/>
        <w:rPr>
          <w:rFonts w:eastAsia="Arial"/>
          <w:szCs w:val="24"/>
        </w:rPr>
      </w:pPr>
      <w:r w:rsidRPr="00FC3B7C">
        <w:rPr>
          <w:rFonts w:eastAsia="Times New Roman"/>
          <w:b/>
          <w:bCs/>
          <w:szCs w:val="24"/>
        </w:rPr>
        <w:t xml:space="preserve">sociální pojištění – </w:t>
      </w:r>
      <w:r w:rsidRPr="00FC3B7C">
        <w:rPr>
          <w:rFonts w:eastAsia="Times New Roman"/>
          <w:szCs w:val="24"/>
        </w:rPr>
        <w:t>cca 410 mld. Kč</w:t>
      </w:r>
    </w:p>
    <w:p w14:paraId="4A6F4B77" w14:textId="77777777" w:rsidR="00CE6695" w:rsidRPr="00FC3B7C" w:rsidRDefault="00CE6695" w:rsidP="00D46B53">
      <w:pPr>
        <w:numPr>
          <w:ilvl w:val="0"/>
          <w:numId w:val="338"/>
        </w:numPr>
        <w:tabs>
          <w:tab w:val="left" w:pos="1280"/>
        </w:tabs>
        <w:ind w:left="1280" w:hanging="357"/>
        <w:rPr>
          <w:rFonts w:eastAsia="Arial"/>
          <w:szCs w:val="24"/>
        </w:rPr>
      </w:pPr>
      <w:r w:rsidRPr="00FC3B7C">
        <w:rPr>
          <w:rFonts w:eastAsia="Times New Roman"/>
          <w:b/>
          <w:bCs/>
          <w:szCs w:val="24"/>
        </w:rPr>
        <w:t xml:space="preserve">státní sociální podpora – </w:t>
      </w:r>
      <w:r w:rsidRPr="00FC3B7C">
        <w:rPr>
          <w:rFonts w:eastAsia="Times New Roman"/>
          <w:szCs w:val="24"/>
        </w:rPr>
        <w:t>cca 40 mld. Kč</w:t>
      </w:r>
    </w:p>
    <w:p w14:paraId="4A6F4B78" w14:textId="77777777" w:rsidR="00CE6695" w:rsidRPr="00FC3B7C" w:rsidRDefault="00CE6695" w:rsidP="00D46B53">
      <w:pPr>
        <w:numPr>
          <w:ilvl w:val="0"/>
          <w:numId w:val="338"/>
        </w:numPr>
        <w:tabs>
          <w:tab w:val="left" w:pos="1280"/>
        </w:tabs>
        <w:ind w:left="1280" w:hanging="357"/>
        <w:rPr>
          <w:rFonts w:eastAsia="Arial"/>
          <w:szCs w:val="24"/>
        </w:rPr>
      </w:pPr>
      <w:r w:rsidRPr="00FC3B7C">
        <w:rPr>
          <w:rFonts w:eastAsia="Times New Roman"/>
          <w:b/>
          <w:bCs/>
          <w:szCs w:val="24"/>
        </w:rPr>
        <w:t xml:space="preserve">sociální pomoc (péče) – </w:t>
      </w:r>
      <w:r w:rsidRPr="00FC3B7C">
        <w:rPr>
          <w:rFonts w:eastAsia="Times New Roman"/>
          <w:szCs w:val="24"/>
        </w:rPr>
        <w:t>cca 40 mld. Kč</w:t>
      </w:r>
    </w:p>
    <w:p w14:paraId="4A6F4B79" w14:textId="2BCD7A48" w:rsidR="00CE6695" w:rsidRDefault="00CE6695" w:rsidP="00CE6695">
      <w:pPr>
        <w:spacing w:line="376" w:lineRule="exact"/>
        <w:rPr>
          <w:sz w:val="20"/>
          <w:szCs w:val="20"/>
        </w:rPr>
      </w:pPr>
    </w:p>
    <w:p w14:paraId="04D8F5ED" w14:textId="125F2971" w:rsidR="00244BB9" w:rsidRDefault="00244BB9" w:rsidP="00CE6695">
      <w:pPr>
        <w:spacing w:line="376" w:lineRule="exact"/>
        <w:rPr>
          <w:sz w:val="20"/>
          <w:szCs w:val="20"/>
        </w:rPr>
      </w:pPr>
    </w:p>
    <w:p w14:paraId="67C58B32" w14:textId="77777777" w:rsidR="00244BB9" w:rsidRPr="00FC3B7C" w:rsidRDefault="00244BB9" w:rsidP="00CE6695">
      <w:pPr>
        <w:spacing w:line="376" w:lineRule="exact"/>
        <w:rPr>
          <w:sz w:val="20"/>
          <w:szCs w:val="20"/>
        </w:rPr>
      </w:pPr>
    </w:p>
    <w:p w14:paraId="4A6F4B7A" w14:textId="261AFD19" w:rsidR="00CE6695" w:rsidRPr="0070178B" w:rsidRDefault="00CE6695" w:rsidP="0060012B">
      <w:pPr>
        <w:pStyle w:val="Nadpis3"/>
        <w:rPr>
          <w:color w:val="1F3864" w:themeColor="accent1" w:themeShade="80"/>
          <w:sz w:val="20"/>
          <w:szCs w:val="20"/>
        </w:rPr>
      </w:pPr>
      <w:r w:rsidRPr="0070178B">
        <w:rPr>
          <w:rFonts w:eastAsia="Times New Roman"/>
          <w:color w:val="1F3864" w:themeColor="accent1" w:themeShade="80"/>
        </w:rPr>
        <w:lastRenderedPageBreak/>
        <w:t>1. pilíř - sociální pojištění</w:t>
      </w:r>
    </w:p>
    <w:p w14:paraId="4A6F4B7B" w14:textId="77777777" w:rsidR="00CE6695" w:rsidRPr="00FC3B7C" w:rsidRDefault="00CE6695" w:rsidP="00CE6695">
      <w:pPr>
        <w:spacing w:line="200" w:lineRule="exact"/>
        <w:rPr>
          <w:sz w:val="20"/>
          <w:szCs w:val="20"/>
        </w:rPr>
      </w:pPr>
    </w:p>
    <w:p w14:paraId="4A6F4B7C" w14:textId="77777777" w:rsidR="00CE6695" w:rsidRPr="00FC3B7C" w:rsidRDefault="00CE6695" w:rsidP="0070178B">
      <w:pPr>
        <w:rPr>
          <w:sz w:val="20"/>
          <w:szCs w:val="20"/>
        </w:rPr>
      </w:pPr>
      <w:r w:rsidRPr="00FC3B7C">
        <w:rPr>
          <w:rFonts w:eastAsia="Times New Roman"/>
          <w:szCs w:val="24"/>
        </w:rPr>
        <w:t xml:space="preserve">Řeší situace, na které se člověk může předem připravit odložením části své dnešní spotřeby. Zabezpečuje jedince při sociálních událostech, proti kterým je pojištěn (nemoc, invalidita, stáří, mateřství…) – solidarita mezi všemi pojištěnci. Na krytí budoucí nejisté dlouhodobé či krátkodobé sociální situace. Reaguje na tyto sociální události: </w:t>
      </w:r>
      <w:r w:rsidRPr="00FC3B7C">
        <w:rPr>
          <w:rFonts w:eastAsia="Times New Roman"/>
          <w:b/>
          <w:bCs/>
          <w:szCs w:val="24"/>
        </w:rPr>
        <w:t>důchod, nemoc, ztráta práce,</w:t>
      </w:r>
      <w:r w:rsidRPr="00FC3B7C">
        <w:rPr>
          <w:rFonts w:eastAsia="Times New Roman"/>
          <w:szCs w:val="24"/>
        </w:rPr>
        <w:t xml:space="preserve"> </w:t>
      </w:r>
      <w:r w:rsidRPr="00FC3B7C">
        <w:rPr>
          <w:rFonts w:eastAsia="Times New Roman"/>
          <w:b/>
          <w:bCs/>
          <w:szCs w:val="24"/>
        </w:rPr>
        <w:t>mateřství, ošetřování.</w:t>
      </w:r>
    </w:p>
    <w:p w14:paraId="4A6F4B7D" w14:textId="77777777" w:rsidR="00CE6695" w:rsidRPr="00FC3B7C" w:rsidRDefault="00CE6695" w:rsidP="00A066AA">
      <w:pPr>
        <w:rPr>
          <w:sz w:val="20"/>
          <w:szCs w:val="20"/>
        </w:rPr>
      </w:pPr>
      <w:r w:rsidRPr="00FC3B7C">
        <w:rPr>
          <w:rFonts w:eastAsia="Times New Roman"/>
          <w:szCs w:val="24"/>
        </w:rPr>
        <w:t>Zahrnuje:</w:t>
      </w:r>
    </w:p>
    <w:p w14:paraId="4A6F4B7E" w14:textId="77777777" w:rsidR="00CE6695" w:rsidRPr="00FC3B7C" w:rsidRDefault="00CE6695" w:rsidP="00D46B53">
      <w:pPr>
        <w:numPr>
          <w:ilvl w:val="0"/>
          <w:numId w:val="339"/>
        </w:numPr>
        <w:tabs>
          <w:tab w:val="left" w:pos="840"/>
        </w:tabs>
        <w:ind w:left="840" w:hanging="353"/>
        <w:rPr>
          <w:rFonts w:eastAsia="Arial"/>
          <w:szCs w:val="24"/>
        </w:rPr>
      </w:pPr>
      <w:r w:rsidRPr="00FC3B7C">
        <w:rPr>
          <w:rFonts w:eastAsia="Times New Roman"/>
          <w:b/>
          <w:bCs/>
          <w:szCs w:val="24"/>
        </w:rPr>
        <w:t>důchodové pojištění</w:t>
      </w:r>
    </w:p>
    <w:p w14:paraId="4A6F4B7F" w14:textId="77777777" w:rsidR="00CE6695" w:rsidRPr="00FC3B7C" w:rsidRDefault="00CE6695" w:rsidP="00D46B53">
      <w:pPr>
        <w:numPr>
          <w:ilvl w:val="0"/>
          <w:numId w:val="339"/>
        </w:numPr>
        <w:tabs>
          <w:tab w:val="left" w:pos="840"/>
        </w:tabs>
        <w:ind w:left="840" w:hanging="353"/>
        <w:rPr>
          <w:rFonts w:eastAsia="Arial"/>
          <w:szCs w:val="24"/>
        </w:rPr>
      </w:pPr>
      <w:r w:rsidRPr="00FC3B7C">
        <w:rPr>
          <w:rFonts w:eastAsia="Times New Roman"/>
          <w:b/>
          <w:bCs/>
          <w:szCs w:val="24"/>
        </w:rPr>
        <w:t>nemocenské pojištění</w:t>
      </w:r>
    </w:p>
    <w:p w14:paraId="4A6F4B80" w14:textId="77777777" w:rsidR="00CE6695" w:rsidRPr="00FC3B7C" w:rsidRDefault="00CE6695" w:rsidP="00D46B53">
      <w:pPr>
        <w:numPr>
          <w:ilvl w:val="0"/>
          <w:numId w:val="339"/>
        </w:numPr>
        <w:tabs>
          <w:tab w:val="left" w:pos="840"/>
        </w:tabs>
        <w:ind w:left="840" w:hanging="353"/>
        <w:rPr>
          <w:rFonts w:eastAsia="Arial"/>
          <w:szCs w:val="24"/>
        </w:rPr>
      </w:pPr>
      <w:r w:rsidRPr="00FC3B7C">
        <w:rPr>
          <w:rFonts w:eastAsia="Times New Roman"/>
          <w:b/>
          <w:bCs/>
          <w:szCs w:val="24"/>
        </w:rPr>
        <w:t>příspěvek na státní politiku zaměstnanosti</w:t>
      </w:r>
    </w:p>
    <w:p w14:paraId="4A6F4B81" w14:textId="77777777" w:rsidR="00CE6695" w:rsidRDefault="00CE6695" w:rsidP="0060012B">
      <w:pPr>
        <w:ind w:firstLine="487"/>
        <w:rPr>
          <w:rFonts w:eastAsia="Times New Roman"/>
          <w:szCs w:val="24"/>
        </w:rPr>
      </w:pPr>
      <w:r w:rsidRPr="00FC3B7C">
        <w:rPr>
          <w:rFonts w:eastAsia="Times New Roman"/>
          <w:szCs w:val="24"/>
        </w:rPr>
        <w:t>Financováno odvodem zaměstnance, zaměstnavatele i OSVČ - pojistné na sociální zabezpečení a SPZ. Pojistné je příjmem státního rozpočtu a vybírá ho ČSSZ.</w:t>
      </w:r>
    </w:p>
    <w:p w14:paraId="4A6F4B82" w14:textId="77777777" w:rsidR="00A066AA" w:rsidRPr="00FC3B7C" w:rsidRDefault="00A066AA" w:rsidP="00A066AA">
      <w:pPr>
        <w:rPr>
          <w:sz w:val="20"/>
          <w:szCs w:val="20"/>
        </w:rPr>
      </w:pPr>
    </w:p>
    <w:p w14:paraId="4A6F4B83" w14:textId="77777777" w:rsidR="00CE6695" w:rsidRPr="00FC3B7C" w:rsidRDefault="00CE6695" w:rsidP="00CE6695">
      <w:pPr>
        <w:spacing w:line="1" w:lineRule="exact"/>
        <w:rPr>
          <w:sz w:val="20"/>
          <w:szCs w:val="20"/>
        </w:rPr>
      </w:pPr>
    </w:p>
    <w:p w14:paraId="4A6F4B84" w14:textId="77777777" w:rsidR="00CE6695" w:rsidRPr="0070178B" w:rsidRDefault="00CE6695" w:rsidP="00A066AA">
      <w:pPr>
        <w:pStyle w:val="Nadpis4"/>
        <w:rPr>
          <w:color w:val="1F3864" w:themeColor="accent1" w:themeShade="80"/>
          <w:sz w:val="20"/>
          <w:szCs w:val="20"/>
        </w:rPr>
      </w:pPr>
      <w:r w:rsidRPr="0070178B">
        <w:rPr>
          <w:rFonts w:eastAsia="Times New Roman"/>
          <w:color w:val="1F3864" w:themeColor="accent1" w:themeShade="80"/>
        </w:rPr>
        <w:t>Důchodové pojištění</w:t>
      </w:r>
    </w:p>
    <w:p w14:paraId="4A6F4B85" w14:textId="77777777" w:rsidR="00CE6695" w:rsidRPr="00FC3B7C" w:rsidRDefault="00CE6695" w:rsidP="0070178B">
      <w:pPr>
        <w:rPr>
          <w:sz w:val="20"/>
          <w:szCs w:val="20"/>
        </w:rPr>
      </w:pPr>
      <w:r w:rsidRPr="00FC3B7C">
        <w:rPr>
          <w:rFonts w:eastAsia="Times New Roman"/>
          <w:szCs w:val="24"/>
        </w:rPr>
        <w:t>Základní předpis, který upravuje nároky na důchody, způsob stanovení výše důchodů a podmínky pro jejich výplatu, je zákon č. 155/1995 Sb., o důchodovém pojištění. Zabezpečuje tyto životní situace: stáří, invalidita, ovdovění a osiření. Povinné pro všechny FO výdělečně činné v ČR. Z důchodového pojištění se poskytují tyto důchody:</w:t>
      </w:r>
    </w:p>
    <w:p w14:paraId="4A6F4B86" w14:textId="77777777" w:rsidR="00CE6695" w:rsidRPr="00FC3B7C" w:rsidRDefault="00CE6695" w:rsidP="00D46B53">
      <w:pPr>
        <w:numPr>
          <w:ilvl w:val="0"/>
          <w:numId w:val="340"/>
        </w:numPr>
        <w:tabs>
          <w:tab w:val="left" w:pos="1560"/>
        </w:tabs>
        <w:ind w:left="1560" w:hanging="353"/>
        <w:rPr>
          <w:rFonts w:eastAsia="Arial"/>
          <w:szCs w:val="24"/>
        </w:rPr>
      </w:pPr>
      <w:r w:rsidRPr="00FC3B7C">
        <w:rPr>
          <w:rFonts w:eastAsia="Times New Roman"/>
          <w:b/>
          <w:bCs/>
          <w:szCs w:val="24"/>
        </w:rPr>
        <w:t xml:space="preserve">starobní </w:t>
      </w:r>
      <w:r w:rsidRPr="00FC3B7C">
        <w:rPr>
          <w:rFonts w:eastAsia="Times New Roman"/>
          <w:szCs w:val="24"/>
        </w:rPr>
        <w:t>(včetně</w:t>
      </w:r>
      <w:r w:rsidRPr="00FC3B7C">
        <w:rPr>
          <w:rFonts w:eastAsia="Times New Roman"/>
          <w:b/>
          <w:bCs/>
          <w:szCs w:val="24"/>
        </w:rPr>
        <w:t xml:space="preserve"> </w:t>
      </w:r>
      <w:r w:rsidRPr="00FC3B7C">
        <w:rPr>
          <w:rFonts w:eastAsia="Times New Roman"/>
          <w:szCs w:val="24"/>
        </w:rPr>
        <w:t>tzv. předčasného starobního důchodu)</w:t>
      </w:r>
    </w:p>
    <w:p w14:paraId="4A6F4B87" w14:textId="77777777" w:rsidR="00CE6695" w:rsidRPr="00FC3B7C" w:rsidRDefault="00CE6695" w:rsidP="00D46B53">
      <w:pPr>
        <w:numPr>
          <w:ilvl w:val="0"/>
          <w:numId w:val="340"/>
        </w:numPr>
        <w:tabs>
          <w:tab w:val="left" w:pos="1560"/>
        </w:tabs>
        <w:ind w:left="1560" w:hanging="353"/>
        <w:rPr>
          <w:rFonts w:eastAsia="Arial"/>
          <w:szCs w:val="24"/>
        </w:rPr>
      </w:pPr>
      <w:r w:rsidRPr="00FC3B7C">
        <w:rPr>
          <w:rFonts w:eastAsia="Times New Roman"/>
          <w:b/>
          <w:bCs/>
          <w:szCs w:val="24"/>
        </w:rPr>
        <w:t>invalidní</w:t>
      </w:r>
    </w:p>
    <w:p w14:paraId="4A6F4B88" w14:textId="77777777" w:rsidR="00CE6695" w:rsidRPr="00FC3B7C" w:rsidRDefault="00CE6695" w:rsidP="00D46B53">
      <w:pPr>
        <w:numPr>
          <w:ilvl w:val="0"/>
          <w:numId w:val="340"/>
        </w:numPr>
        <w:tabs>
          <w:tab w:val="left" w:pos="1560"/>
        </w:tabs>
        <w:ind w:left="1560" w:hanging="353"/>
        <w:rPr>
          <w:rFonts w:eastAsia="Arial"/>
          <w:szCs w:val="24"/>
        </w:rPr>
      </w:pPr>
      <w:r w:rsidRPr="00FC3B7C">
        <w:rPr>
          <w:rFonts w:eastAsia="Times New Roman"/>
          <w:b/>
          <w:bCs/>
          <w:szCs w:val="24"/>
        </w:rPr>
        <w:t>vdovský a vdovecký</w:t>
      </w:r>
    </w:p>
    <w:p w14:paraId="4A6F4B89" w14:textId="77777777" w:rsidR="00CE6695" w:rsidRPr="00FC3B7C" w:rsidRDefault="00CE6695" w:rsidP="00D46B53">
      <w:pPr>
        <w:numPr>
          <w:ilvl w:val="0"/>
          <w:numId w:val="340"/>
        </w:numPr>
        <w:tabs>
          <w:tab w:val="left" w:pos="1560"/>
        </w:tabs>
        <w:ind w:left="1560" w:hanging="353"/>
        <w:rPr>
          <w:rFonts w:eastAsia="Arial"/>
          <w:szCs w:val="24"/>
        </w:rPr>
      </w:pPr>
      <w:r w:rsidRPr="00FC3B7C">
        <w:rPr>
          <w:rFonts w:eastAsia="Times New Roman"/>
          <w:b/>
          <w:bCs/>
          <w:szCs w:val="24"/>
        </w:rPr>
        <w:t>sirotčí</w:t>
      </w:r>
    </w:p>
    <w:p w14:paraId="4A6F4B8A" w14:textId="77777777" w:rsidR="00CE6695" w:rsidRPr="00FC3B7C" w:rsidRDefault="00CE6695" w:rsidP="00A066AA">
      <w:pPr>
        <w:rPr>
          <w:sz w:val="20"/>
          <w:szCs w:val="20"/>
        </w:rPr>
      </w:pPr>
      <w:r w:rsidRPr="00FC3B7C">
        <w:rPr>
          <w:rFonts w:eastAsia="Times New Roman"/>
          <w:szCs w:val="24"/>
        </w:rPr>
        <w:t>Důchod se skládá ze 2 složek, a to:</w:t>
      </w:r>
    </w:p>
    <w:p w14:paraId="4A6F4B8B" w14:textId="77777777" w:rsidR="00CE6695" w:rsidRPr="00FC3B7C" w:rsidRDefault="00CE6695" w:rsidP="00D46B53">
      <w:pPr>
        <w:numPr>
          <w:ilvl w:val="0"/>
          <w:numId w:val="341"/>
        </w:numPr>
        <w:tabs>
          <w:tab w:val="left" w:pos="1000"/>
        </w:tabs>
        <w:ind w:left="1000" w:hanging="360"/>
        <w:rPr>
          <w:rFonts w:eastAsia="Arial"/>
          <w:szCs w:val="24"/>
        </w:rPr>
      </w:pPr>
      <w:r w:rsidRPr="00FC3B7C">
        <w:rPr>
          <w:rFonts w:eastAsia="Times New Roman"/>
          <w:b/>
          <w:bCs/>
          <w:szCs w:val="24"/>
        </w:rPr>
        <w:t xml:space="preserve">ze základní výměry </w:t>
      </w:r>
      <w:r w:rsidRPr="00FC3B7C">
        <w:rPr>
          <w:rFonts w:eastAsia="Times New Roman"/>
          <w:szCs w:val="24"/>
        </w:rPr>
        <w:t>- stanovená pevnou</w:t>
      </w:r>
      <w:r w:rsidRPr="00FC3B7C">
        <w:rPr>
          <w:rFonts w:eastAsia="Times New Roman"/>
          <w:b/>
          <w:bCs/>
          <w:szCs w:val="24"/>
        </w:rPr>
        <w:t xml:space="preserve"> </w:t>
      </w:r>
      <w:r w:rsidRPr="00FC3B7C">
        <w:rPr>
          <w:rFonts w:eastAsia="Times New Roman"/>
          <w:szCs w:val="24"/>
        </w:rPr>
        <w:t>částkou bez ohledu na délku doby pojištění</w:t>
      </w:r>
      <w:r w:rsidRPr="00FC3B7C">
        <w:rPr>
          <w:rFonts w:eastAsia="Times New Roman"/>
          <w:b/>
          <w:bCs/>
          <w:szCs w:val="24"/>
        </w:rPr>
        <w:t xml:space="preserve"> </w:t>
      </w:r>
      <w:r w:rsidRPr="00FC3B7C">
        <w:rPr>
          <w:rFonts w:eastAsia="Times New Roman"/>
          <w:szCs w:val="24"/>
        </w:rPr>
        <w:t>a výši výdělků</w:t>
      </w:r>
    </w:p>
    <w:p w14:paraId="4A6F4B8C" w14:textId="77777777" w:rsidR="00CE6695" w:rsidRPr="00FC3B7C" w:rsidRDefault="00CE6695" w:rsidP="00D46B53">
      <w:pPr>
        <w:numPr>
          <w:ilvl w:val="0"/>
          <w:numId w:val="341"/>
        </w:numPr>
        <w:tabs>
          <w:tab w:val="left" w:pos="1000"/>
        </w:tabs>
        <w:ind w:left="1000" w:hanging="360"/>
        <w:rPr>
          <w:rFonts w:eastAsia="Arial"/>
          <w:szCs w:val="24"/>
        </w:rPr>
      </w:pPr>
      <w:r w:rsidRPr="00FC3B7C">
        <w:rPr>
          <w:rFonts w:eastAsia="Times New Roman"/>
          <w:b/>
          <w:bCs/>
          <w:szCs w:val="24"/>
        </w:rPr>
        <w:t xml:space="preserve">z procentní výměry </w:t>
      </w:r>
      <w:r w:rsidRPr="00FC3B7C">
        <w:rPr>
          <w:rFonts w:eastAsia="Times New Roman"/>
          <w:szCs w:val="24"/>
        </w:rPr>
        <w:t>– výše příjmu a délka pojištění</w:t>
      </w:r>
    </w:p>
    <w:p w14:paraId="4A6F4B8D" w14:textId="77777777" w:rsidR="00CE6695" w:rsidRPr="00FC3B7C" w:rsidRDefault="00CE6695" w:rsidP="00A066AA">
      <w:pPr>
        <w:rPr>
          <w:sz w:val="20"/>
          <w:szCs w:val="20"/>
        </w:rPr>
      </w:pPr>
      <w:bookmarkStart w:id="377" w:name="page392"/>
      <w:bookmarkEnd w:id="377"/>
      <w:r w:rsidRPr="00FC3B7C">
        <w:rPr>
          <w:rFonts w:eastAsia="Times New Roman"/>
          <w:szCs w:val="24"/>
        </w:rPr>
        <w:t xml:space="preserve">O nároku na důchod, jeho výši a výplatě rozhoduje </w:t>
      </w:r>
      <w:r w:rsidRPr="00FC3B7C">
        <w:rPr>
          <w:rFonts w:eastAsia="Times New Roman"/>
          <w:b/>
          <w:bCs/>
          <w:szCs w:val="24"/>
        </w:rPr>
        <w:t>ČSSZ.</w:t>
      </w:r>
    </w:p>
    <w:p w14:paraId="4A6F4B8E" w14:textId="77777777" w:rsidR="00CE6695" w:rsidRPr="00FC3B7C" w:rsidRDefault="00CE6695" w:rsidP="00A066AA">
      <w:pPr>
        <w:rPr>
          <w:sz w:val="20"/>
          <w:szCs w:val="20"/>
        </w:rPr>
      </w:pPr>
      <w:r w:rsidRPr="00FC3B7C">
        <w:rPr>
          <w:rFonts w:eastAsia="Times New Roman"/>
          <w:b/>
          <w:bCs/>
          <w:i/>
          <w:iCs/>
          <w:szCs w:val="24"/>
        </w:rPr>
        <w:t>Dávky důchodového pojištění:</w:t>
      </w:r>
    </w:p>
    <w:p w14:paraId="4A6F4B8F" w14:textId="77777777" w:rsidR="00CE6695" w:rsidRPr="00FC3B7C" w:rsidRDefault="00CE6695" w:rsidP="00D46B53">
      <w:pPr>
        <w:numPr>
          <w:ilvl w:val="0"/>
          <w:numId w:val="342"/>
        </w:numPr>
        <w:tabs>
          <w:tab w:val="left" w:pos="560"/>
        </w:tabs>
        <w:ind w:left="560" w:hanging="357"/>
        <w:rPr>
          <w:rFonts w:eastAsia="Times New Roman"/>
          <w:b/>
          <w:bCs/>
          <w:szCs w:val="24"/>
        </w:rPr>
      </w:pPr>
      <w:r w:rsidRPr="00FC3B7C">
        <w:rPr>
          <w:rFonts w:eastAsia="Times New Roman"/>
          <w:b/>
          <w:bCs/>
          <w:szCs w:val="24"/>
        </w:rPr>
        <w:t>Starobní důchod</w:t>
      </w:r>
    </w:p>
    <w:p w14:paraId="4A6F4B90" w14:textId="77777777" w:rsidR="00CE6695" w:rsidRPr="00FC3B7C" w:rsidRDefault="00CE6695" w:rsidP="00D46B53">
      <w:pPr>
        <w:numPr>
          <w:ilvl w:val="2"/>
          <w:numId w:val="342"/>
        </w:numPr>
        <w:tabs>
          <w:tab w:val="left" w:pos="1140"/>
        </w:tabs>
        <w:ind w:left="1140" w:hanging="370"/>
        <w:rPr>
          <w:rFonts w:eastAsia="Times New Roman"/>
          <w:sz w:val="23"/>
          <w:szCs w:val="23"/>
        </w:rPr>
      </w:pPr>
      <w:r w:rsidRPr="00FC3B7C">
        <w:rPr>
          <w:rFonts w:eastAsia="Times New Roman"/>
          <w:b/>
          <w:bCs/>
          <w:sz w:val="23"/>
          <w:szCs w:val="23"/>
        </w:rPr>
        <w:t xml:space="preserve">vznik nároku </w:t>
      </w:r>
      <w:r w:rsidRPr="00FC3B7C">
        <w:rPr>
          <w:rFonts w:eastAsia="Times New Roman"/>
          <w:sz w:val="23"/>
          <w:szCs w:val="23"/>
        </w:rPr>
        <w:t>- dosažení důchodového věku - u osob narozených po r. 1977 se</w:t>
      </w:r>
      <w:r w:rsidRPr="00FC3B7C">
        <w:rPr>
          <w:rFonts w:eastAsia="Times New Roman"/>
          <w:b/>
          <w:bCs/>
          <w:sz w:val="23"/>
          <w:szCs w:val="23"/>
        </w:rPr>
        <w:t xml:space="preserve"> </w:t>
      </w:r>
      <w:r w:rsidRPr="00FC3B7C">
        <w:rPr>
          <w:rFonts w:eastAsia="Times New Roman"/>
          <w:sz w:val="23"/>
          <w:szCs w:val="23"/>
        </w:rPr>
        <w:t>stanoví sečtením 67 let a počtu měsíců, který se získá jako dvojnásobek rozdílu jejich roku narození a r. 1977, postupné sjednocení věkové hranice pro muže a ženy</w:t>
      </w:r>
    </w:p>
    <w:p w14:paraId="4A6F4B91" w14:textId="77777777" w:rsidR="00CE6695" w:rsidRPr="00FC3B7C" w:rsidRDefault="00CE6695" w:rsidP="00D46B53">
      <w:pPr>
        <w:numPr>
          <w:ilvl w:val="2"/>
          <w:numId w:val="342"/>
        </w:numPr>
        <w:tabs>
          <w:tab w:val="left" w:pos="1140"/>
        </w:tabs>
        <w:ind w:left="1140" w:hanging="370"/>
        <w:rPr>
          <w:rFonts w:eastAsia="Times New Roman"/>
          <w:szCs w:val="24"/>
        </w:rPr>
      </w:pPr>
      <w:r w:rsidRPr="00FC3B7C">
        <w:rPr>
          <w:rFonts w:eastAsia="Times New Roman"/>
          <w:szCs w:val="24"/>
        </w:rPr>
        <w:lastRenderedPageBreak/>
        <w:t>získání potřebné doby pojištění - pro rok 2013 je to 29 let, postupně se navyšuje na 35 let (po r. 2018)</w:t>
      </w:r>
    </w:p>
    <w:p w14:paraId="4A6F4B92" w14:textId="77777777" w:rsidR="00CE6695" w:rsidRPr="00A066AA" w:rsidRDefault="00CE6695" w:rsidP="00D46B53">
      <w:pPr>
        <w:numPr>
          <w:ilvl w:val="1"/>
          <w:numId w:val="342"/>
        </w:numPr>
        <w:tabs>
          <w:tab w:val="left" w:pos="627"/>
        </w:tabs>
        <w:ind w:left="280"/>
        <w:rPr>
          <w:rFonts w:eastAsia="Times New Roman"/>
          <w:szCs w:val="24"/>
        </w:rPr>
      </w:pPr>
      <w:r w:rsidRPr="00A066AA">
        <w:rPr>
          <w:rFonts w:eastAsia="Times New Roman"/>
          <w:szCs w:val="24"/>
        </w:rPr>
        <w:t>tyto dvě podmínky musí být splněny současně (kompletní přehled lze nalézt zde: http://www.mpsv.cz/cs/618)</w:t>
      </w:r>
    </w:p>
    <w:p w14:paraId="4A6F4B93" w14:textId="77777777" w:rsidR="00CE6695" w:rsidRPr="00FC3B7C" w:rsidRDefault="00CE6695" w:rsidP="00D46B53">
      <w:pPr>
        <w:numPr>
          <w:ilvl w:val="2"/>
          <w:numId w:val="342"/>
        </w:numPr>
        <w:tabs>
          <w:tab w:val="left" w:pos="1140"/>
        </w:tabs>
        <w:ind w:left="1140" w:hanging="370"/>
        <w:rPr>
          <w:rFonts w:eastAsia="Times New Roman"/>
          <w:szCs w:val="24"/>
        </w:rPr>
      </w:pPr>
      <w:r w:rsidRPr="00FC3B7C">
        <w:rPr>
          <w:rFonts w:eastAsia="Times New Roman"/>
          <w:szCs w:val="24"/>
        </w:rPr>
        <w:t xml:space="preserve">do doby pojištění se počítá i tzv. </w:t>
      </w:r>
      <w:r w:rsidRPr="00FC3B7C">
        <w:rPr>
          <w:rFonts w:eastAsia="Times New Roman"/>
          <w:b/>
          <w:bCs/>
          <w:szCs w:val="24"/>
        </w:rPr>
        <w:t>náhradní doba pojištění</w:t>
      </w:r>
      <w:r w:rsidRPr="00FC3B7C">
        <w:rPr>
          <w:rFonts w:eastAsia="Times New Roman"/>
          <w:szCs w:val="24"/>
        </w:rPr>
        <w:t xml:space="preserve"> = např. doba péče </w:t>
      </w:r>
      <w:r w:rsidR="00A066AA">
        <w:rPr>
          <w:rFonts w:eastAsia="Times New Roman"/>
          <w:szCs w:val="24"/>
        </w:rPr>
        <w:br/>
      </w:r>
      <w:r w:rsidRPr="00FC3B7C">
        <w:rPr>
          <w:rFonts w:eastAsia="Times New Roman"/>
          <w:szCs w:val="24"/>
        </w:rPr>
        <w:t>o děti do 4 let, evidence na Úřadu práce, vojenská a civilní služba</w:t>
      </w:r>
    </w:p>
    <w:p w14:paraId="4A6F4B94" w14:textId="77777777" w:rsidR="00CE6695" w:rsidRPr="00FC3B7C" w:rsidRDefault="00CE6695" w:rsidP="00D46B53">
      <w:pPr>
        <w:numPr>
          <w:ilvl w:val="2"/>
          <w:numId w:val="342"/>
        </w:numPr>
        <w:tabs>
          <w:tab w:val="left" w:pos="1140"/>
        </w:tabs>
        <w:ind w:left="1140" w:hanging="370"/>
        <w:rPr>
          <w:rFonts w:eastAsia="Times New Roman"/>
          <w:szCs w:val="24"/>
        </w:rPr>
      </w:pPr>
      <w:r w:rsidRPr="00FC3B7C">
        <w:rPr>
          <w:rFonts w:eastAsia="Times New Roman"/>
          <w:b/>
          <w:bCs/>
          <w:szCs w:val="24"/>
        </w:rPr>
        <w:t>výše dávky:</w:t>
      </w:r>
    </w:p>
    <w:p w14:paraId="4A6F4B95" w14:textId="77777777" w:rsidR="00CE6695" w:rsidRPr="00FC3B7C" w:rsidRDefault="00CE6695" w:rsidP="00D46B53">
      <w:pPr>
        <w:numPr>
          <w:ilvl w:val="3"/>
          <w:numId w:val="342"/>
        </w:numPr>
        <w:tabs>
          <w:tab w:val="left" w:pos="1700"/>
        </w:tabs>
        <w:ind w:left="1700" w:hanging="363"/>
        <w:rPr>
          <w:rFonts w:eastAsia="Wingdings"/>
          <w:szCs w:val="24"/>
        </w:rPr>
      </w:pPr>
      <w:r w:rsidRPr="00FC3B7C">
        <w:rPr>
          <w:rFonts w:eastAsia="Times New Roman"/>
          <w:szCs w:val="24"/>
        </w:rPr>
        <w:t xml:space="preserve">základní výměra činí </w:t>
      </w:r>
      <w:r w:rsidRPr="00FC3B7C">
        <w:rPr>
          <w:rFonts w:eastAsia="Times New Roman"/>
          <w:b/>
          <w:bCs/>
          <w:szCs w:val="24"/>
        </w:rPr>
        <w:t>9 % z průměrné mzdy</w:t>
      </w:r>
      <w:r w:rsidRPr="00FC3B7C">
        <w:rPr>
          <w:rFonts w:eastAsia="Times New Roman"/>
          <w:szCs w:val="24"/>
        </w:rPr>
        <w:t xml:space="preserve"> - pro rok 2016 = </w:t>
      </w:r>
      <w:r w:rsidRPr="00FC3B7C">
        <w:rPr>
          <w:rFonts w:eastAsia="Times New Roman"/>
          <w:b/>
          <w:bCs/>
          <w:szCs w:val="24"/>
        </w:rPr>
        <w:t>2 440 Kč</w:t>
      </w:r>
    </w:p>
    <w:p w14:paraId="4A6F4B96" w14:textId="77777777" w:rsidR="00CE6695" w:rsidRPr="00FC3B7C" w:rsidRDefault="00CE6695" w:rsidP="00D46B53">
      <w:pPr>
        <w:numPr>
          <w:ilvl w:val="3"/>
          <w:numId w:val="342"/>
        </w:numPr>
        <w:tabs>
          <w:tab w:val="left" w:pos="1700"/>
        </w:tabs>
        <w:ind w:left="1700" w:hanging="363"/>
        <w:rPr>
          <w:rFonts w:eastAsia="Wingdings"/>
          <w:szCs w:val="24"/>
        </w:rPr>
      </w:pPr>
      <w:r w:rsidRPr="00FC3B7C">
        <w:rPr>
          <w:rFonts w:eastAsia="Times New Roman"/>
          <w:szCs w:val="24"/>
        </w:rPr>
        <w:t xml:space="preserve">procentní výměra činí </w:t>
      </w:r>
      <w:r w:rsidRPr="00FC3B7C">
        <w:rPr>
          <w:rFonts w:eastAsia="Times New Roman"/>
          <w:b/>
          <w:bCs/>
          <w:szCs w:val="24"/>
        </w:rPr>
        <w:t>1,5 % výpočtového základu</w:t>
      </w:r>
      <w:r w:rsidRPr="00FC3B7C">
        <w:rPr>
          <w:rFonts w:eastAsia="Times New Roman"/>
          <w:szCs w:val="24"/>
        </w:rPr>
        <w:t xml:space="preserve"> za každý celý rok doby pojištění, nejméně však 770 Kč měsíčně</w:t>
      </w:r>
    </w:p>
    <w:p w14:paraId="4A6F4B97" w14:textId="77777777" w:rsidR="00CE6695" w:rsidRPr="00FC3B7C" w:rsidRDefault="00CE6695" w:rsidP="00D46B53">
      <w:pPr>
        <w:numPr>
          <w:ilvl w:val="0"/>
          <w:numId w:val="342"/>
        </w:numPr>
        <w:tabs>
          <w:tab w:val="left" w:pos="560"/>
        </w:tabs>
        <w:ind w:left="560" w:hanging="357"/>
        <w:rPr>
          <w:rFonts w:eastAsia="Times New Roman"/>
          <w:b/>
          <w:bCs/>
          <w:szCs w:val="24"/>
        </w:rPr>
      </w:pPr>
      <w:r w:rsidRPr="00FC3B7C">
        <w:rPr>
          <w:rFonts w:eastAsia="Times New Roman"/>
          <w:b/>
          <w:bCs/>
          <w:szCs w:val="24"/>
        </w:rPr>
        <w:t>Invalidní důchod</w:t>
      </w:r>
    </w:p>
    <w:p w14:paraId="4A6F4B98" w14:textId="77777777" w:rsidR="00CE6695" w:rsidRPr="00FC3B7C" w:rsidRDefault="00CE6695" w:rsidP="00D46B53">
      <w:pPr>
        <w:numPr>
          <w:ilvl w:val="2"/>
          <w:numId w:val="342"/>
        </w:numPr>
        <w:tabs>
          <w:tab w:val="left" w:pos="1140"/>
        </w:tabs>
        <w:ind w:left="1140" w:hanging="370"/>
        <w:rPr>
          <w:rFonts w:eastAsia="Times New Roman"/>
          <w:szCs w:val="24"/>
        </w:rPr>
      </w:pPr>
      <w:r w:rsidRPr="00FC3B7C">
        <w:rPr>
          <w:rFonts w:eastAsia="Times New Roman"/>
          <w:szCs w:val="24"/>
        </w:rPr>
        <w:t>náhrada za ztrátu pravidelného příjmu, nikoli kompenzace za vrozené nebo získané zdravotní postižení</w:t>
      </w:r>
    </w:p>
    <w:p w14:paraId="4A6F4B99" w14:textId="77777777" w:rsidR="00CE6695" w:rsidRPr="00FC3B7C" w:rsidRDefault="00CE6695" w:rsidP="00D46B53">
      <w:pPr>
        <w:numPr>
          <w:ilvl w:val="2"/>
          <w:numId w:val="342"/>
        </w:numPr>
        <w:tabs>
          <w:tab w:val="left" w:pos="1140"/>
        </w:tabs>
        <w:ind w:left="1140" w:hanging="370"/>
        <w:rPr>
          <w:rFonts w:eastAsia="Times New Roman"/>
          <w:szCs w:val="24"/>
        </w:rPr>
      </w:pPr>
      <w:r w:rsidRPr="00FC3B7C">
        <w:rPr>
          <w:rFonts w:eastAsia="Times New Roman"/>
          <w:szCs w:val="24"/>
        </w:rPr>
        <w:t>pojištěnec (pod 65 let) je invalidní, jestliže z důvodu dlouhodobě nepříznivého zdravotního stavu nastal pokles jeho pracovní schopnosti nejméně o 35 %</w:t>
      </w:r>
    </w:p>
    <w:p w14:paraId="4A6F4B9A" w14:textId="77777777" w:rsidR="00CE6695" w:rsidRPr="00FC3B7C" w:rsidRDefault="00CE6695" w:rsidP="00D46B53">
      <w:pPr>
        <w:numPr>
          <w:ilvl w:val="2"/>
          <w:numId w:val="342"/>
        </w:numPr>
        <w:tabs>
          <w:tab w:val="left" w:pos="1140"/>
        </w:tabs>
        <w:ind w:left="1140" w:hanging="370"/>
        <w:rPr>
          <w:rFonts w:eastAsia="Times New Roman"/>
          <w:szCs w:val="24"/>
        </w:rPr>
      </w:pPr>
      <w:r w:rsidRPr="00FC3B7C">
        <w:rPr>
          <w:rFonts w:eastAsia="Times New Roman"/>
          <w:szCs w:val="24"/>
        </w:rPr>
        <w:t>od 1. 1. 2010 platí třístupňový systém hodnocení invalidity podle procentuálního pokles pracovní činnosti postiženého (invalidita prvního, druhého a třetího stupně)</w:t>
      </w:r>
    </w:p>
    <w:p w14:paraId="4A6F4B9B" w14:textId="77777777" w:rsidR="00CE6695" w:rsidRPr="00FC3B7C" w:rsidRDefault="00CE6695" w:rsidP="00D46B53">
      <w:pPr>
        <w:numPr>
          <w:ilvl w:val="0"/>
          <w:numId w:val="342"/>
        </w:numPr>
        <w:tabs>
          <w:tab w:val="left" w:pos="560"/>
        </w:tabs>
        <w:ind w:left="560" w:hanging="357"/>
        <w:rPr>
          <w:rFonts w:eastAsia="Times New Roman"/>
          <w:b/>
          <w:bCs/>
          <w:szCs w:val="24"/>
        </w:rPr>
      </w:pPr>
      <w:r w:rsidRPr="00FC3B7C">
        <w:rPr>
          <w:rFonts w:eastAsia="Times New Roman"/>
          <w:b/>
          <w:bCs/>
          <w:szCs w:val="24"/>
        </w:rPr>
        <w:t>Vdovský a vdovecký důchod – pozůstalostní</w:t>
      </w:r>
    </w:p>
    <w:p w14:paraId="4A6F4B9C" w14:textId="77777777" w:rsidR="00CE6695" w:rsidRPr="00FC3B7C" w:rsidRDefault="00CE6695" w:rsidP="00D46B53">
      <w:pPr>
        <w:numPr>
          <w:ilvl w:val="0"/>
          <w:numId w:val="343"/>
        </w:numPr>
        <w:tabs>
          <w:tab w:val="left" w:pos="1140"/>
        </w:tabs>
        <w:ind w:left="1140" w:hanging="370"/>
        <w:rPr>
          <w:rFonts w:eastAsia="Times New Roman"/>
          <w:b/>
          <w:bCs/>
          <w:szCs w:val="24"/>
        </w:rPr>
      </w:pPr>
      <w:r w:rsidRPr="00FC3B7C">
        <w:rPr>
          <w:rFonts w:eastAsia="Times New Roman"/>
          <w:b/>
          <w:bCs/>
          <w:szCs w:val="24"/>
        </w:rPr>
        <w:t xml:space="preserve">vznik nároku </w:t>
      </w:r>
      <w:r w:rsidRPr="00FC3B7C">
        <w:rPr>
          <w:rFonts w:eastAsia="Times New Roman"/>
          <w:szCs w:val="24"/>
        </w:rPr>
        <w:t>– vdova/vdovec má nárok na vdovský</w:t>
      </w:r>
      <w:r w:rsidRPr="00FC3B7C">
        <w:rPr>
          <w:rFonts w:eastAsia="Times New Roman"/>
          <w:b/>
          <w:bCs/>
          <w:szCs w:val="24"/>
        </w:rPr>
        <w:t xml:space="preserve"> </w:t>
      </w:r>
      <w:r w:rsidRPr="00FC3B7C">
        <w:rPr>
          <w:rFonts w:eastAsia="Times New Roman"/>
          <w:szCs w:val="24"/>
        </w:rPr>
        <w:t>důchod po zemřelém</w:t>
      </w:r>
      <w:r w:rsidRPr="00FC3B7C">
        <w:rPr>
          <w:rFonts w:eastAsia="Times New Roman"/>
          <w:b/>
          <w:bCs/>
          <w:szCs w:val="24"/>
        </w:rPr>
        <w:t xml:space="preserve"> </w:t>
      </w:r>
      <w:r w:rsidRPr="00FC3B7C">
        <w:rPr>
          <w:rFonts w:eastAsia="Times New Roman"/>
          <w:szCs w:val="24"/>
        </w:rPr>
        <w:t>manželovi/ manželce, který pobíral starobní nebo invalidní důchod nebo na ně měl nárok nebo zemřel následkem pracovního úrazu</w:t>
      </w:r>
    </w:p>
    <w:p w14:paraId="4A6F4B9D" w14:textId="77777777" w:rsidR="00CE6695" w:rsidRPr="00FC3B7C" w:rsidRDefault="00CE6695" w:rsidP="00D46B53">
      <w:pPr>
        <w:numPr>
          <w:ilvl w:val="0"/>
          <w:numId w:val="343"/>
        </w:numPr>
        <w:tabs>
          <w:tab w:val="left" w:pos="1140"/>
        </w:tabs>
        <w:ind w:left="1140" w:hanging="370"/>
        <w:rPr>
          <w:rFonts w:eastAsia="Times New Roman"/>
          <w:b/>
          <w:bCs/>
          <w:szCs w:val="24"/>
        </w:rPr>
      </w:pPr>
      <w:r w:rsidRPr="00FC3B7C">
        <w:rPr>
          <w:rFonts w:eastAsia="Times New Roman"/>
          <w:szCs w:val="24"/>
        </w:rPr>
        <w:t>vdovský důchod náleží po dobu 1 roku od smrti manžela</w:t>
      </w:r>
    </w:p>
    <w:p w14:paraId="4A6F4B9E" w14:textId="77777777" w:rsidR="00CE6695" w:rsidRPr="00FC3B7C" w:rsidRDefault="00CE6695" w:rsidP="00D46B53">
      <w:pPr>
        <w:numPr>
          <w:ilvl w:val="0"/>
          <w:numId w:val="343"/>
        </w:numPr>
        <w:tabs>
          <w:tab w:val="left" w:pos="1140"/>
        </w:tabs>
        <w:ind w:left="1140" w:hanging="370"/>
        <w:rPr>
          <w:rFonts w:eastAsia="Times New Roman"/>
          <w:b/>
          <w:bCs/>
          <w:szCs w:val="24"/>
        </w:rPr>
      </w:pPr>
      <w:r w:rsidRPr="00FC3B7C">
        <w:rPr>
          <w:rFonts w:eastAsia="Times New Roman"/>
          <w:szCs w:val="24"/>
        </w:rPr>
        <w:t>po uplynutí této doby má vdova nárok na důchod pokud pečuje o nezaopatřené dítě, pečuje o dítě, které je závislé na péči jiné osob, pečuje o své rodiče/rodiče zemřelého nebo pokud je invalidní ve třetím stupni</w:t>
      </w:r>
    </w:p>
    <w:p w14:paraId="4A6F4B9F" w14:textId="77777777" w:rsidR="00CE6695" w:rsidRPr="00FC3B7C" w:rsidRDefault="00CE6695" w:rsidP="00D46B53">
      <w:pPr>
        <w:numPr>
          <w:ilvl w:val="1"/>
          <w:numId w:val="344"/>
        </w:numPr>
        <w:tabs>
          <w:tab w:val="left" w:pos="1144"/>
        </w:tabs>
        <w:spacing w:line="240" w:lineRule="auto"/>
        <w:ind w:left="1144" w:hanging="370"/>
        <w:rPr>
          <w:rFonts w:eastAsia="Times New Roman"/>
          <w:b/>
          <w:bCs/>
          <w:szCs w:val="24"/>
        </w:rPr>
      </w:pPr>
      <w:bookmarkStart w:id="378" w:name="page393"/>
      <w:bookmarkEnd w:id="378"/>
      <w:r w:rsidRPr="00FC3B7C">
        <w:rPr>
          <w:rFonts w:eastAsia="Times New Roman"/>
          <w:b/>
          <w:bCs/>
          <w:szCs w:val="24"/>
        </w:rPr>
        <w:t>výše dávky:</w:t>
      </w:r>
    </w:p>
    <w:p w14:paraId="4A6F4BA0" w14:textId="77777777" w:rsidR="00CE6695" w:rsidRPr="00FC3B7C" w:rsidRDefault="00CE6695" w:rsidP="00D46B53">
      <w:pPr>
        <w:numPr>
          <w:ilvl w:val="2"/>
          <w:numId w:val="344"/>
        </w:numPr>
        <w:tabs>
          <w:tab w:val="left" w:pos="1704"/>
        </w:tabs>
        <w:ind w:left="1704" w:hanging="363"/>
        <w:rPr>
          <w:rFonts w:eastAsia="Wingdings"/>
          <w:szCs w:val="24"/>
        </w:rPr>
      </w:pPr>
      <w:r w:rsidRPr="00FC3B7C">
        <w:rPr>
          <w:rFonts w:eastAsia="Times New Roman"/>
          <w:szCs w:val="24"/>
        </w:rPr>
        <w:t>procentní výměra činí 50 % procentní výměry starobního či invalidního důchodu pro invaliditu 3. stupně, na který měl zemřelý nárok v době smrti</w:t>
      </w:r>
    </w:p>
    <w:p w14:paraId="4A6F4BA1" w14:textId="77777777" w:rsidR="00CE6695" w:rsidRPr="00FC3B7C" w:rsidRDefault="00CE6695" w:rsidP="00D46B53">
      <w:pPr>
        <w:numPr>
          <w:ilvl w:val="0"/>
          <w:numId w:val="345"/>
        </w:numPr>
        <w:tabs>
          <w:tab w:val="left" w:pos="564"/>
        </w:tabs>
        <w:ind w:left="564" w:hanging="357"/>
        <w:rPr>
          <w:rFonts w:eastAsia="Times New Roman"/>
          <w:b/>
          <w:bCs/>
          <w:szCs w:val="24"/>
        </w:rPr>
      </w:pPr>
      <w:r w:rsidRPr="00FC3B7C">
        <w:rPr>
          <w:rFonts w:eastAsia="Times New Roman"/>
          <w:b/>
          <w:bCs/>
          <w:szCs w:val="24"/>
        </w:rPr>
        <w:t>Sirotčí důchod – druh pozůstalostního důchodu</w:t>
      </w:r>
    </w:p>
    <w:p w14:paraId="4A6F4BA2" w14:textId="77777777" w:rsidR="00CE6695" w:rsidRPr="00FC3B7C" w:rsidRDefault="00CE6695" w:rsidP="00D46B53">
      <w:pPr>
        <w:numPr>
          <w:ilvl w:val="0"/>
          <w:numId w:val="346"/>
        </w:numPr>
        <w:tabs>
          <w:tab w:val="left" w:pos="1144"/>
        </w:tabs>
        <w:ind w:left="1144" w:hanging="370"/>
        <w:rPr>
          <w:rFonts w:eastAsia="Times New Roman"/>
          <w:szCs w:val="24"/>
        </w:rPr>
      </w:pPr>
      <w:r w:rsidRPr="00FC3B7C">
        <w:rPr>
          <w:rFonts w:eastAsia="Times New Roman"/>
          <w:szCs w:val="24"/>
        </w:rPr>
        <w:t>vznik nároku - nárok má nezaopatřené dítě, zemře-li rodič nebo osoba, která převzala dítě do péče, pokud rodič (či tato osoba) pobíral starobní / invalidní důchod nebo na něj měl nárok nebo zemřel následkem pracovního úrazu</w:t>
      </w:r>
    </w:p>
    <w:p w14:paraId="4A6F4BA3" w14:textId="77777777" w:rsidR="00CE6695" w:rsidRPr="00FC3B7C" w:rsidRDefault="00CE6695" w:rsidP="00D46B53">
      <w:pPr>
        <w:numPr>
          <w:ilvl w:val="0"/>
          <w:numId w:val="346"/>
        </w:numPr>
        <w:tabs>
          <w:tab w:val="left" w:pos="1144"/>
        </w:tabs>
        <w:ind w:left="1144" w:hanging="370"/>
        <w:rPr>
          <w:rFonts w:eastAsia="Times New Roman"/>
          <w:szCs w:val="24"/>
        </w:rPr>
      </w:pPr>
      <w:r w:rsidRPr="00FC3B7C">
        <w:rPr>
          <w:rFonts w:eastAsia="Times New Roman"/>
          <w:b/>
          <w:bCs/>
          <w:szCs w:val="24"/>
        </w:rPr>
        <w:t>výše dávky:</w:t>
      </w:r>
    </w:p>
    <w:p w14:paraId="4A6F4BA4" w14:textId="77777777" w:rsidR="00CE6695" w:rsidRPr="00FC3B7C" w:rsidRDefault="00CE6695" w:rsidP="00D46B53">
      <w:pPr>
        <w:numPr>
          <w:ilvl w:val="1"/>
          <w:numId w:val="346"/>
        </w:numPr>
        <w:tabs>
          <w:tab w:val="left" w:pos="1704"/>
        </w:tabs>
        <w:ind w:left="1704" w:hanging="363"/>
        <w:rPr>
          <w:rFonts w:eastAsia="Wingdings"/>
          <w:szCs w:val="24"/>
        </w:rPr>
      </w:pPr>
      <w:r w:rsidRPr="00FC3B7C">
        <w:rPr>
          <w:rFonts w:eastAsia="Times New Roman"/>
          <w:szCs w:val="24"/>
        </w:rPr>
        <w:lastRenderedPageBreak/>
        <w:t>procentní výměra činí 40 % procentní výměry starobního či invalidního důchodu pro invaliditu 3. stupně, na který měl zemřelý nárok v době smrti</w:t>
      </w:r>
    </w:p>
    <w:p w14:paraId="4A6F4BA5" w14:textId="77777777" w:rsidR="00CE6695" w:rsidRDefault="00CE6695" w:rsidP="00A066AA">
      <w:pPr>
        <w:rPr>
          <w:sz w:val="20"/>
          <w:szCs w:val="20"/>
        </w:rPr>
      </w:pPr>
    </w:p>
    <w:p w14:paraId="4A6F4BA6" w14:textId="77777777" w:rsidR="00093159" w:rsidRPr="00FC3B7C" w:rsidRDefault="00093159" w:rsidP="00A066AA">
      <w:pPr>
        <w:rPr>
          <w:sz w:val="20"/>
          <w:szCs w:val="20"/>
        </w:rPr>
      </w:pPr>
    </w:p>
    <w:p w14:paraId="4A6F4BA7" w14:textId="77777777" w:rsidR="00CE6695" w:rsidRPr="0070178B" w:rsidRDefault="00CE6695" w:rsidP="00093159">
      <w:pPr>
        <w:pStyle w:val="Nadpis4"/>
        <w:rPr>
          <w:color w:val="1F3864" w:themeColor="accent1" w:themeShade="80"/>
          <w:sz w:val="20"/>
          <w:szCs w:val="20"/>
        </w:rPr>
      </w:pPr>
      <w:r w:rsidRPr="0070178B">
        <w:rPr>
          <w:rFonts w:eastAsia="Times New Roman"/>
          <w:color w:val="1F3864" w:themeColor="accent1" w:themeShade="80"/>
        </w:rPr>
        <w:t>Nemocenské pojištění</w:t>
      </w:r>
    </w:p>
    <w:p w14:paraId="4A6F4BA8" w14:textId="77777777" w:rsidR="00CE6695" w:rsidRPr="00FC3B7C" w:rsidRDefault="00CE6695" w:rsidP="0070178B">
      <w:pPr>
        <w:ind w:left="4" w:right="480"/>
        <w:rPr>
          <w:sz w:val="20"/>
          <w:szCs w:val="20"/>
        </w:rPr>
      </w:pPr>
      <w:r w:rsidRPr="00FC3B7C">
        <w:rPr>
          <w:rFonts w:eastAsia="Times New Roman"/>
          <w:szCs w:val="24"/>
        </w:rPr>
        <w:t xml:space="preserve">Určeno pro výdělečně činné osoby, které ztratí příjem při tzv. </w:t>
      </w:r>
      <w:r w:rsidRPr="00FC3B7C">
        <w:rPr>
          <w:rFonts w:eastAsia="Times New Roman"/>
          <w:b/>
          <w:bCs/>
          <w:szCs w:val="24"/>
        </w:rPr>
        <w:t>krátkodobých sociálních</w:t>
      </w:r>
      <w:r w:rsidRPr="00FC3B7C">
        <w:rPr>
          <w:rFonts w:eastAsia="Times New Roman"/>
          <w:szCs w:val="24"/>
        </w:rPr>
        <w:t xml:space="preserve"> </w:t>
      </w:r>
      <w:r w:rsidRPr="00FC3B7C">
        <w:rPr>
          <w:rFonts w:eastAsia="Times New Roman"/>
          <w:b/>
          <w:bCs/>
          <w:szCs w:val="24"/>
        </w:rPr>
        <w:t>událostech:</w:t>
      </w:r>
    </w:p>
    <w:p w14:paraId="4A6F4BA9" w14:textId="77777777" w:rsidR="00CE6695" w:rsidRPr="00FC3B7C" w:rsidRDefault="00CE6695" w:rsidP="00D46B53">
      <w:pPr>
        <w:numPr>
          <w:ilvl w:val="0"/>
          <w:numId w:val="347"/>
        </w:numPr>
        <w:tabs>
          <w:tab w:val="left" w:pos="844"/>
        </w:tabs>
        <w:ind w:left="844" w:hanging="353"/>
        <w:rPr>
          <w:rFonts w:eastAsia="Arial"/>
          <w:szCs w:val="24"/>
        </w:rPr>
      </w:pPr>
      <w:r w:rsidRPr="00FC3B7C">
        <w:rPr>
          <w:rFonts w:eastAsia="Times New Roman"/>
          <w:szCs w:val="24"/>
        </w:rPr>
        <w:t>dočasná pracovní neschopnost z důvodu nemoci, úrazu nebo karantény</w:t>
      </w:r>
    </w:p>
    <w:p w14:paraId="4A6F4BAA" w14:textId="77777777" w:rsidR="00CE6695" w:rsidRPr="00FC3B7C" w:rsidRDefault="00CE6695" w:rsidP="00D46B53">
      <w:pPr>
        <w:numPr>
          <w:ilvl w:val="0"/>
          <w:numId w:val="347"/>
        </w:numPr>
        <w:tabs>
          <w:tab w:val="left" w:pos="844"/>
        </w:tabs>
        <w:ind w:left="844" w:hanging="353"/>
        <w:rPr>
          <w:rFonts w:eastAsia="Arial"/>
          <w:szCs w:val="24"/>
        </w:rPr>
      </w:pPr>
      <w:r w:rsidRPr="00FC3B7C">
        <w:rPr>
          <w:rFonts w:eastAsia="Times New Roman"/>
          <w:szCs w:val="24"/>
        </w:rPr>
        <w:t>ošetřování člena rodiny</w:t>
      </w:r>
    </w:p>
    <w:p w14:paraId="4A6F4BAB" w14:textId="77777777" w:rsidR="00CE6695" w:rsidRPr="00FC3B7C" w:rsidRDefault="00CE6695" w:rsidP="00D46B53">
      <w:pPr>
        <w:numPr>
          <w:ilvl w:val="0"/>
          <w:numId w:val="347"/>
        </w:numPr>
        <w:tabs>
          <w:tab w:val="left" w:pos="844"/>
        </w:tabs>
        <w:ind w:left="844" w:hanging="353"/>
        <w:rPr>
          <w:rFonts w:eastAsia="Arial"/>
          <w:szCs w:val="24"/>
        </w:rPr>
      </w:pPr>
      <w:r w:rsidRPr="00FC3B7C">
        <w:rPr>
          <w:rFonts w:eastAsia="Times New Roman"/>
          <w:szCs w:val="24"/>
        </w:rPr>
        <w:t>těhotenství a mateřství</w:t>
      </w:r>
    </w:p>
    <w:p w14:paraId="4A6F4BAC" w14:textId="77777777" w:rsidR="00CE6695" w:rsidRPr="00FC3B7C" w:rsidRDefault="00CE6695" w:rsidP="00D46B53">
      <w:pPr>
        <w:numPr>
          <w:ilvl w:val="0"/>
          <w:numId w:val="347"/>
        </w:numPr>
        <w:tabs>
          <w:tab w:val="left" w:pos="844"/>
        </w:tabs>
        <w:ind w:left="844" w:hanging="353"/>
        <w:rPr>
          <w:rFonts w:eastAsia="Arial"/>
          <w:szCs w:val="24"/>
        </w:rPr>
      </w:pPr>
      <w:r w:rsidRPr="00FC3B7C">
        <w:rPr>
          <w:rFonts w:eastAsia="Times New Roman"/>
          <w:szCs w:val="24"/>
        </w:rPr>
        <w:t>péče o dítě</w:t>
      </w:r>
    </w:p>
    <w:p w14:paraId="4A6F4BAD" w14:textId="77777777" w:rsidR="00CE6695" w:rsidRPr="00FC3B7C" w:rsidRDefault="00CE6695" w:rsidP="00093159">
      <w:pPr>
        <w:ind w:left="4"/>
        <w:rPr>
          <w:sz w:val="20"/>
          <w:szCs w:val="20"/>
        </w:rPr>
      </w:pPr>
      <w:r w:rsidRPr="00FC3B7C">
        <w:rPr>
          <w:rFonts w:eastAsia="Times New Roman"/>
          <w:szCs w:val="24"/>
        </w:rPr>
        <w:t>Upraveno zákonem č. 187/2006 Sb., o nemocenském pojištění.</w:t>
      </w:r>
    </w:p>
    <w:p w14:paraId="4A6F4BAE" w14:textId="77777777" w:rsidR="00CE6695" w:rsidRPr="00FC3B7C" w:rsidRDefault="00CE6695" w:rsidP="00D46B53">
      <w:pPr>
        <w:numPr>
          <w:ilvl w:val="0"/>
          <w:numId w:val="348"/>
        </w:numPr>
        <w:tabs>
          <w:tab w:val="left" w:pos="204"/>
        </w:tabs>
        <w:ind w:left="204" w:hanging="204"/>
        <w:rPr>
          <w:rFonts w:eastAsia="Times New Roman"/>
          <w:szCs w:val="24"/>
        </w:rPr>
      </w:pPr>
      <w:r w:rsidRPr="00FC3B7C">
        <w:rPr>
          <w:rFonts w:eastAsia="Times New Roman"/>
          <w:szCs w:val="24"/>
        </w:rPr>
        <w:t>nemocenského pojištění se poskytují 4 druhy peněžitých dávek:</w:t>
      </w:r>
    </w:p>
    <w:p w14:paraId="4A6F4BAF" w14:textId="77777777" w:rsidR="00CE6695" w:rsidRPr="00FC3B7C" w:rsidRDefault="00CE6695" w:rsidP="00D46B53">
      <w:pPr>
        <w:numPr>
          <w:ilvl w:val="1"/>
          <w:numId w:val="348"/>
        </w:numPr>
        <w:tabs>
          <w:tab w:val="left" w:pos="844"/>
        </w:tabs>
        <w:ind w:left="844" w:hanging="350"/>
        <w:rPr>
          <w:rFonts w:eastAsia="Arial"/>
          <w:szCs w:val="24"/>
        </w:rPr>
      </w:pPr>
      <w:r w:rsidRPr="00FC3B7C">
        <w:rPr>
          <w:rFonts w:eastAsia="Times New Roman"/>
          <w:szCs w:val="24"/>
        </w:rPr>
        <w:t>nemocenské</w:t>
      </w:r>
    </w:p>
    <w:p w14:paraId="4A6F4BB0" w14:textId="77777777" w:rsidR="00CE6695" w:rsidRPr="00FC3B7C" w:rsidRDefault="00CE6695" w:rsidP="00D46B53">
      <w:pPr>
        <w:numPr>
          <w:ilvl w:val="1"/>
          <w:numId w:val="348"/>
        </w:numPr>
        <w:tabs>
          <w:tab w:val="left" w:pos="844"/>
        </w:tabs>
        <w:ind w:left="844" w:hanging="350"/>
        <w:rPr>
          <w:rFonts w:eastAsia="Arial"/>
          <w:szCs w:val="24"/>
        </w:rPr>
      </w:pPr>
      <w:r w:rsidRPr="00FC3B7C">
        <w:rPr>
          <w:rFonts w:eastAsia="Times New Roman"/>
          <w:szCs w:val="24"/>
        </w:rPr>
        <w:t>peněžitá pomoc v mateřství</w:t>
      </w:r>
    </w:p>
    <w:p w14:paraId="4A6F4BB1" w14:textId="77777777" w:rsidR="00CE6695" w:rsidRPr="00FC3B7C" w:rsidRDefault="00CE6695" w:rsidP="00D46B53">
      <w:pPr>
        <w:numPr>
          <w:ilvl w:val="1"/>
          <w:numId w:val="348"/>
        </w:numPr>
        <w:tabs>
          <w:tab w:val="left" w:pos="844"/>
        </w:tabs>
        <w:ind w:left="844" w:hanging="350"/>
        <w:rPr>
          <w:rFonts w:eastAsia="Arial"/>
          <w:szCs w:val="24"/>
        </w:rPr>
      </w:pPr>
      <w:r w:rsidRPr="00FC3B7C">
        <w:rPr>
          <w:rFonts w:eastAsia="Times New Roman"/>
          <w:szCs w:val="24"/>
        </w:rPr>
        <w:t>ošetřovné</w:t>
      </w:r>
    </w:p>
    <w:p w14:paraId="4A6F4BB2" w14:textId="77777777" w:rsidR="00CE6695" w:rsidRPr="00FC3B7C" w:rsidRDefault="00CE6695" w:rsidP="00D46B53">
      <w:pPr>
        <w:numPr>
          <w:ilvl w:val="1"/>
          <w:numId w:val="348"/>
        </w:numPr>
        <w:tabs>
          <w:tab w:val="left" w:pos="844"/>
        </w:tabs>
        <w:ind w:left="844" w:hanging="353"/>
        <w:rPr>
          <w:rFonts w:eastAsia="Arial"/>
          <w:szCs w:val="24"/>
        </w:rPr>
      </w:pPr>
      <w:r w:rsidRPr="00FC3B7C">
        <w:rPr>
          <w:rFonts w:eastAsia="Times New Roman"/>
          <w:szCs w:val="24"/>
        </w:rPr>
        <w:t>vyrovnávací příspěvek v těhotenství a mateřství</w:t>
      </w:r>
    </w:p>
    <w:p w14:paraId="4A6F4BB3" w14:textId="77777777" w:rsidR="00CE6695" w:rsidRPr="00FC3B7C" w:rsidRDefault="00CE6695" w:rsidP="00093159">
      <w:pPr>
        <w:ind w:left="4"/>
        <w:rPr>
          <w:sz w:val="20"/>
          <w:szCs w:val="20"/>
        </w:rPr>
      </w:pPr>
      <w:r w:rsidRPr="00FC3B7C">
        <w:rPr>
          <w:rFonts w:eastAsia="Times New Roman"/>
          <w:szCs w:val="24"/>
        </w:rPr>
        <w:t>Všechny dávky vyplácí OSSZ a hradí se ze státního rozpočtu (z příjmů z pojistného). Nemocenského pojištění se účastní zaměstnanci a OSVČ - zaměstnanci jsou účastni povinně, pro OSVČ je účast dobrovolná.</w:t>
      </w:r>
    </w:p>
    <w:p w14:paraId="4A6F4BB4" w14:textId="77777777" w:rsidR="00CE6695" w:rsidRPr="00FC3B7C" w:rsidRDefault="00CE6695" w:rsidP="00093159">
      <w:pPr>
        <w:rPr>
          <w:sz w:val="20"/>
          <w:szCs w:val="20"/>
        </w:rPr>
      </w:pPr>
      <w:bookmarkStart w:id="379" w:name="page394"/>
      <w:bookmarkEnd w:id="379"/>
      <w:r w:rsidRPr="00FC3B7C">
        <w:rPr>
          <w:rFonts w:eastAsia="Times New Roman"/>
          <w:b/>
          <w:bCs/>
          <w:i/>
          <w:iCs/>
          <w:szCs w:val="24"/>
        </w:rPr>
        <w:t>Dávky nemocenského pojištění:</w:t>
      </w:r>
    </w:p>
    <w:p w14:paraId="4A6F4BB5" w14:textId="77777777" w:rsidR="00CE6695" w:rsidRPr="00FC3B7C" w:rsidRDefault="00CE6695" w:rsidP="00D46B53">
      <w:pPr>
        <w:numPr>
          <w:ilvl w:val="1"/>
          <w:numId w:val="349"/>
        </w:numPr>
        <w:tabs>
          <w:tab w:val="left" w:pos="840"/>
        </w:tabs>
        <w:ind w:left="840" w:hanging="353"/>
        <w:rPr>
          <w:rFonts w:eastAsia="Times New Roman"/>
          <w:b/>
          <w:bCs/>
          <w:szCs w:val="24"/>
        </w:rPr>
      </w:pPr>
      <w:r w:rsidRPr="00FC3B7C">
        <w:rPr>
          <w:rFonts w:eastAsia="Times New Roman"/>
          <w:b/>
          <w:bCs/>
          <w:szCs w:val="24"/>
        </w:rPr>
        <w:t>Nemocenská</w:t>
      </w:r>
    </w:p>
    <w:p w14:paraId="4A6F4BB6" w14:textId="77777777" w:rsidR="00CE6695" w:rsidRPr="00FC3B7C" w:rsidRDefault="00CE6695" w:rsidP="00D46B53">
      <w:pPr>
        <w:numPr>
          <w:ilvl w:val="2"/>
          <w:numId w:val="349"/>
        </w:numPr>
        <w:tabs>
          <w:tab w:val="left" w:pos="1140"/>
        </w:tabs>
        <w:ind w:left="1140" w:hanging="370"/>
        <w:rPr>
          <w:rFonts w:eastAsia="Times New Roman"/>
          <w:b/>
          <w:bCs/>
          <w:szCs w:val="24"/>
        </w:rPr>
      </w:pPr>
      <w:r w:rsidRPr="00FC3B7C">
        <w:rPr>
          <w:rFonts w:eastAsia="Times New Roman"/>
          <w:b/>
          <w:bCs/>
          <w:szCs w:val="24"/>
        </w:rPr>
        <w:t xml:space="preserve">vznik nároku </w:t>
      </w:r>
      <w:r w:rsidRPr="00FC3B7C">
        <w:rPr>
          <w:rFonts w:eastAsia="Times New Roman"/>
          <w:szCs w:val="24"/>
        </w:rPr>
        <w:t>- nárok má zaměstnanec, který</w:t>
      </w:r>
      <w:r w:rsidRPr="00FC3B7C">
        <w:rPr>
          <w:rFonts w:eastAsia="Times New Roman"/>
          <w:b/>
          <w:bCs/>
          <w:szCs w:val="24"/>
        </w:rPr>
        <w:t xml:space="preserve"> </w:t>
      </w:r>
      <w:r w:rsidRPr="00FC3B7C">
        <w:rPr>
          <w:rFonts w:eastAsia="Times New Roman"/>
          <w:szCs w:val="24"/>
        </w:rPr>
        <w:t>je ošetřujícím lékařem uznán dočasně</w:t>
      </w:r>
      <w:r w:rsidRPr="00FC3B7C">
        <w:rPr>
          <w:rFonts w:eastAsia="Times New Roman"/>
          <w:b/>
          <w:bCs/>
          <w:szCs w:val="24"/>
        </w:rPr>
        <w:t xml:space="preserve"> </w:t>
      </w:r>
      <w:r w:rsidRPr="00FC3B7C">
        <w:rPr>
          <w:rFonts w:eastAsia="Times New Roman"/>
          <w:szCs w:val="24"/>
        </w:rPr>
        <w:t>práce neschopným</w:t>
      </w:r>
    </w:p>
    <w:p w14:paraId="4A6F4BB7" w14:textId="77777777" w:rsidR="00CE6695" w:rsidRPr="00FC3B7C" w:rsidRDefault="00CE6695" w:rsidP="00D46B53">
      <w:pPr>
        <w:numPr>
          <w:ilvl w:val="2"/>
          <w:numId w:val="349"/>
        </w:numPr>
        <w:tabs>
          <w:tab w:val="left" w:pos="1140"/>
        </w:tabs>
        <w:ind w:left="1140" w:hanging="367"/>
        <w:rPr>
          <w:rFonts w:eastAsia="Times New Roman"/>
          <w:b/>
          <w:bCs/>
          <w:szCs w:val="24"/>
        </w:rPr>
      </w:pPr>
      <w:r w:rsidRPr="00FC3B7C">
        <w:rPr>
          <w:rFonts w:eastAsia="Times New Roman"/>
          <w:szCs w:val="24"/>
        </w:rPr>
        <w:t>nemocenská je vyplácena od 15. kalendářního dne trvání dočasné pracovní neschopnosti do konce této neschopnosti</w:t>
      </w:r>
    </w:p>
    <w:p w14:paraId="4A6F4BB8" w14:textId="77777777" w:rsidR="00CE6695" w:rsidRPr="00FC3B7C" w:rsidRDefault="00CE6695" w:rsidP="00D46B53">
      <w:pPr>
        <w:numPr>
          <w:ilvl w:val="3"/>
          <w:numId w:val="349"/>
        </w:numPr>
        <w:tabs>
          <w:tab w:val="left" w:pos="1700"/>
        </w:tabs>
        <w:ind w:left="1700" w:hanging="363"/>
        <w:rPr>
          <w:rFonts w:eastAsia="Wingdings"/>
          <w:szCs w:val="24"/>
        </w:rPr>
      </w:pPr>
      <w:r w:rsidRPr="00FC3B7C">
        <w:rPr>
          <w:rFonts w:eastAsia="Times New Roman"/>
          <w:szCs w:val="24"/>
        </w:rPr>
        <w:t xml:space="preserve">maximálně je vypláceno 380 kalendářních dnů = </w:t>
      </w:r>
      <w:r w:rsidRPr="00FC3B7C">
        <w:rPr>
          <w:rFonts w:eastAsia="Times New Roman"/>
          <w:b/>
          <w:bCs/>
          <w:szCs w:val="24"/>
        </w:rPr>
        <w:t>tzv. podpůrčí doba</w:t>
      </w:r>
    </w:p>
    <w:p w14:paraId="4A6F4BB9" w14:textId="77777777" w:rsidR="00CE6695" w:rsidRPr="00FC3B7C" w:rsidRDefault="00CE6695" w:rsidP="00D46B53">
      <w:pPr>
        <w:numPr>
          <w:ilvl w:val="3"/>
          <w:numId w:val="349"/>
        </w:numPr>
        <w:tabs>
          <w:tab w:val="left" w:pos="1700"/>
        </w:tabs>
        <w:ind w:left="1700" w:hanging="363"/>
        <w:rPr>
          <w:rFonts w:eastAsia="Wingdings"/>
          <w:szCs w:val="24"/>
        </w:rPr>
      </w:pPr>
      <w:r w:rsidRPr="00FC3B7C">
        <w:rPr>
          <w:rFonts w:eastAsia="Times New Roman"/>
          <w:szCs w:val="24"/>
        </w:rPr>
        <w:t>od 4 do 14 dne je zaměstnanec zabezpečen náhradou mzdy, kterou poskytuje zaměstnavatel</w:t>
      </w:r>
    </w:p>
    <w:p w14:paraId="4A6F4BBA" w14:textId="77777777" w:rsidR="00CE6695" w:rsidRPr="00FC3B7C" w:rsidRDefault="00CE6695" w:rsidP="00D46B53">
      <w:pPr>
        <w:numPr>
          <w:ilvl w:val="3"/>
          <w:numId w:val="349"/>
        </w:numPr>
        <w:tabs>
          <w:tab w:val="left" w:pos="1700"/>
        </w:tabs>
        <w:ind w:left="1700" w:hanging="363"/>
        <w:rPr>
          <w:rFonts w:eastAsia="Wingdings"/>
          <w:szCs w:val="24"/>
        </w:rPr>
      </w:pPr>
      <w:r w:rsidRPr="00FC3B7C">
        <w:rPr>
          <w:rFonts w:eastAsia="Times New Roman"/>
          <w:szCs w:val="24"/>
        </w:rPr>
        <w:t xml:space="preserve">náhrada mzdy náleží pouze za pracovní dny, a to od 4. pracovního dne → první 3 dny = </w:t>
      </w:r>
      <w:r w:rsidRPr="00FC3B7C">
        <w:rPr>
          <w:rFonts w:eastAsia="Times New Roman"/>
          <w:b/>
          <w:bCs/>
          <w:szCs w:val="24"/>
        </w:rPr>
        <w:t>tzv. karenční</w:t>
      </w:r>
      <w:r w:rsidRPr="00FC3B7C">
        <w:rPr>
          <w:rFonts w:eastAsia="Times New Roman"/>
          <w:szCs w:val="24"/>
        </w:rPr>
        <w:t xml:space="preserve"> (čekací) </w:t>
      </w:r>
      <w:r w:rsidRPr="00FC3B7C">
        <w:rPr>
          <w:rFonts w:eastAsia="Times New Roman"/>
          <w:b/>
          <w:bCs/>
          <w:szCs w:val="24"/>
        </w:rPr>
        <w:t>doba</w:t>
      </w:r>
    </w:p>
    <w:p w14:paraId="4A6F4BBB" w14:textId="77777777" w:rsidR="00CE6695" w:rsidRPr="00FC3B7C" w:rsidRDefault="00CE6695" w:rsidP="00D46B53">
      <w:pPr>
        <w:numPr>
          <w:ilvl w:val="2"/>
          <w:numId w:val="349"/>
        </w:numPr>
        <w:tabs>
          <w:tab w:val="left" w:pos="1140"/>
        </w:tabs>
        <w:ind w:left="1140" w:hanging="370"/>
        <w:rPr>
          <w:rFonts w:eastAsia="Times New Roman"/>
          <w:b/>
          <w:bCs/>
          <w:sz w:val="23"/>
          <w:szCs w:val="23"/>
        </w:rPr>
      </w:pPr>
      <w:r w:rsidRPr="00FC3B7C">
        <w:rPr>
          <w:rFonts w:eastAsia="Times New Roman"/>
          <w:sz w:val="23"/>
          <w:szCs w:val="23"/>
        </w:rPr>
        <w:t xml:space="preserve">nemocenské náleží také v případech, kdy ke vzniku neschopnosti došlo po skončení pojištěného zaměstnání v </w:t>
      </w:r>
      <w:r w:rsidRPr="00FC3B7C">
        <w:rPr>
          <w:rFonts w:eastAsia="Times New Roman"/>
          <w:b/>
          <w:bCs/>
          <w:sz w:val="23"/>
          <w:szCs w:val="23"/>
        </w:rPr>
        <w:t>tzv. ochranné lhůtě</w:t>
      </w:r>
      <w:r w:rsidRPr="00FC3B7C">
        <w:rPr>
          <w:rFonts w:eastAsia="Times New Roman"/>
          <w:sz w:val="23"/>
          <w:szCs w:val="23"/>
        </w:rPr>
        <w:t xml:space="preserve"> - jejím účelem je zajistit bývalého zaměstnance po skončení pojištění, než nastoupí do dalšího zaměstnání, trvá 7 dní</w:t>
      </w:r>
    </w:p>
    <w:p w14:paraId="4A6F4BBC" w14:textId="77777777" w:rsidR="00CE6695" w:rsidRPr="00FC3B7C" w:rsidRDefault="00CE6695" w:rsidP="00D46B53">
      <w:pPr>
        <w:numPr>
          <w:ilvl w:val="2"/>
          <w:numId w:val="349"/>
        </w:numPr>
        <w:tabs>
          <w:tab w:val="left" w:pos="1140"/>
        </w:tabs>
        <w:ind w:left="1140" w:hanging="370"/>
        <w:rPr>
          <w:rFonts w:eastAsia="Times New Roman"/>
          <w:b/>
          <w:bCs/>
          <w:szCs w:val="24"/>
        </w:rPr>
      </w:pPr>
      <w:r w:rsidRPr="00FC3B7C">
        <w:rPr>
          <w:rFonts w:eastAsia="Times New Roman"/>
          <w:szCs w:val="24"/>
        </w:rPr>
        <w:lastRenderedPageBreak/>
        <w:t>dávky nemocenského se tedy vyplácí za kalendářní dny x náhrada mzdy za pracovní dny</w:t>
      </w:r>
    </w:p>
    <w:p w14:paraId="4A6F4BBD" w14:textId="77777777" w:rsidR="00CE6695" w:rsidRPr="00FC3B7C" w:rsidRDefault="00CE6695" w:rsidP="00D46B53">
      <w:pPr>
        <w:numPr>
          <w:ilvl w:val="2"/>
          <w:numId w:val="349"/>
        </w:numPr>
        <w:tabs>
          <w:tab w:val="left" w:pos="1140"/>
        </w:tabs>
        <w:ind w:left="1140" w:hanging="370"/>
        <w:rPr>
          <w:rFonts w:eastAsia="Times New Roman"/>
          <w:b/>
          <w:bCs/>
          <w:szCs w:val="24"/>
        </w:rPr>
      </w:pPr>
      <w:r w:rsidRPr="00FC3B7C">
        <w:rPr>
          <w:rFonts w:eastAsia="Times New Roman"/>
          <w:szCs w:val="24"/>
        </w:rPr>
        <w:t>výše dávky:</w:t>
      </w:r>
    </w:p>
    <w:p w14:paraId="4A6F4BBE" w14:textId="77777777" w:rsidR="00CE6695" w:rsidRPr="00FC3B7C" w:rsidRDefault="00CE6695" w:rsidP="00D46B53">
      <w:pPr>
        <w:numPr>
          <w:ilvl w:val="3"/>
          <w:numId w:val="349"/>
        </w:numPr>
        <w:tabs>
          <w:tab w:val="left" w:pos="1700"/>
        </w:tabs>
        <w:ind w:left="1700" w:hanging="363"/>
        <w:rPr>
          <w:rFonts w:eastAsia="Wingdings"/>
          <w:szCs w:val="24"/>
        </w:rPr>
      </w:pPr>
      <w:r w:rsidRPr="00FC3B7C">
        <w:rPr>
          <w:rFonts w:eastAsia="Times New Roman"/>
          <w:szCs w:val="24"/>
        </w:rPr>
        <w:t>60 % denního vyměřovacího základu (dále jen DVZ)</w:t>
      </w:r>
    </w:p>
    <w:p w14:paraId="4A6F4BBF" w14:textId="77777777" w:rsidR="00CE6695" w:rsidRPr="00FC3B7C" w:rsidRDefault="00CE6695" w:rsidP="00D46B53">
      <w:pPr>
        <w:numPr>
          <w:ilvl w:val="1"/>
          <w:numId w:val="349"/>
        </w:numPr>
        <w:tabs>
          <w:tab w:val="left" w:pos="840"/>
        </w:tabs>
        <w:ind w:left="840" w:hanging="351"/>
        <w:rPr>
          <w:rFonts w:eastAsia="Times New Roman"/>
          <w:b/>
          <w:bCs/>
          <w:szCs w:val="24"/>
        </w:rPr>
      </w:pPr>
      <w:r w:rsidRPr="00FC3B7C">
        <w:rPr>
          <w:rFonts w:eastAsia="Times New Roman"/>
          <w:b/>
          <w:bCs/>
          <w:szCs w:val="24"/>
        </w:rPr>
        <w:t>Peněžitá pomoc v mateřství</w:t>
      </w:r>
    </w:p>
    <w:p w14:paraId="4A6F4BC0" w14:textId="77777777" w:rsidR="00CE6695" w:rsidRPr="00093159" w:rsidRDefault="00CE6695" w:rsidP="00D46B53">
      <w:pPr>
        <w:numPr>
          <w:ilvl w:val="2"/>
          <w:numId w:val="349"/>
        </w:numPr>
        <w:tabs>
          <w:tab w:val="left" w:pos="1140"/>
        </w:tabs>
        <w:ind w:left="1140" w:right="20" w:hanging="367"/>
        <w:rPr>
          <w:rFonts w:eastAsia="Times New Roman"/>
          <w:b/>
          <w:bCs/>
          <w:szCs w:val="24"/>
        </w:rPr>
      </w:pPr>
      <w:r w:rsidRPr="00093159">
        <w:rPr>
          <w:rFonts w:eastAsia="Times New Roman"/>
          <w:b/>
          <w:bCs/>
          <w:szCs w:val="24"/>
        </w:rPr>
        <w:t xml:space="preserve">vznik nároku </w:t>
      </w:r>
      <w:r w:rsidRPr="00093159">
        <w:rPr>
          <w:rFonts w:eastAsia="Times New Roman"/>
          <w:szCs w:val="24"/>
        </w:rPr>
        <w:t>- v den nástupu na mateřskou musí být</w:t>
      </w:r>
      <w:r w:rsidRPr="00093159">
        <w:rPr>
          <w:rFonts w:eastAsia="Times New Roman"/>
          <w:b/>
          <w:bCs/>
          <w:szCs w:val="24"/>
        </w:rPr>
        <w:t xml:space="preserve"> </w:t>
      </w:r>
      <w:r w:rsidRPr="00093159">
        <w:rPr>
          <w:rFonts w:eastAsia="Times New Roman"/>
          <w:szCs w:val="24"/>
        </w:rPr>
        <w:t>žena účastna nemocenského</w:t>
      </w:r>
      <w:r w:rsidRPr="00093159">
        <w:rPr>
          <w:rFonts w:eastAsia="Times New Roman"/>
          <w:b/>
          <w:bCs/>
          <w:szCs w:val="24"/>
        </w:rPr>
        <w:t xml:space="preserve"> </w:t>
      </w:r>
      <w:r w:rsidRPr="00093159">
        <w:rPr>
          <w:rFonts w:eastAsia="Times New Roman"/>
          <w:szCs w:val="24"/>
        </w:rPr>
        <w:t>pojištění a v posledních dvou letech musela být pojištěna po dobu alespoň 270 dní</w:t>
      </w:r>
      <w:r w:rsidR="00093159">
        <w:rPr>
          <w:rFonts w:eastAsia="Times New Roman"/>
          <w:szCs w:val="24"/>
        </w:rPr>
        <w:t xml:space="preserve"> </w:t>
      </w:r>
      <w:r w:rsidRPr="00093159">
        <w:rPr>
          <w:rFonts w:eastAsia="Times New Roman"/>
          <w:szCs w:val="24"/>
        </w:rPr>
        <w:t xml:space="preserve">den nástupu si určí pojištěnka v období od 8. do 6. týdne před porodem </w:t>
      </w:r>
      <w:r w:rsidR="00093159">
        <w:rPr>
          <w:rFonts w:eastAsia="Times New Roman"/>
          <w:szCs w:val="24"/>
        </w:rPr>
        <w:br/>
      </w:r>
      <w:r w:rsidRPr="00093159">
        <w:rPr>
          <w:rFonts w:eastAsia="Times New Roman"/>
          <w:szCs w:val="24"/>
        </w:rPr>
        <w:t>a poskytuje se 28 týdnů = podpůrčí doba</w:t>
      </w:r>
    </w:p>
    <w:p w14:paraId="4A6F4BC1" w14:textId="77777777" w:rsidR="00CE6695" w:rsidRPr="00FC3B7C" w:rsidRDefault="00CE6695" w:rsidP="00D46B53">
      <w:pPr>
        <w:numPr>
          <w:ilvl w:val="2"/>
          <w:numId w:val="349"/>
        </w:numPr>
        <w:tabs>
          <w:tab w:val="left" w:pos="1140"/>
        </w:tabs>
        <w:ind w:left="1140" w:hanging="367"/>
        <w:rPr>
          <w:rFonts w:eastAsia="Times New Roman"/>
          <w:b/>
          <w:bCs/>
          <w:szCs w:val="24"/>
        </w:rPr>
      </w:pPr>
      <w:r w:rsidRPr="00FC3B7C">
        <w:rPr>
          <w:rFonts w:eastAsia="Times New Roman"/>
          <w:szCs w:val="24"/>
        </w:rPr>
        <w:t>vyplácí se od vzniku sociální události</w:t>
      </w:r>
    </w:p>
    <w:p w14:paraId="4A6F4BC2" w14:textId="77777777" w:rsidR="00CE6695" w:rsidRPr="00FC3B7C" w:rsidRDefault="00CE6695" w:rsidP="00D46B53">
      <w:pPr>
        <w:numPr>
          <w:ilvl w:val="2"/>
          <w:numId w:val="349"/>
        </w:numPr>
        <w:tabs>
          <w:tab w:val="left" w:pos="1140"/>
        </w:tabs>
        <w:ind w:left="1140" w:hanging="367"/>
        <w:rPr>
          <w:rFonts w:eastAsia="Times New Roman"/>
          <w:b/>
          <w:bCs/>
          <w:szCs w:val="24"/>
        </w:rPr>
      </w:pPr>
      <w:r w:rsidRPr="00FC3B7C">
        <w:rPr>
          <w:rFonts w:eastAsia="Times New Roman"/>
          <w:szCs w:val="24"/>
        </w:rPr>
        <w:t>lze pobírat nejdéle do 1 roku věku dítěte</w:t>
      </w:r>
    </w:p>
    <w:p w14:paraId="4A6F4BC3" w14:textId="77777777" w:rsidR="00CE6695" w:rsidRPr="00FC3B7C" w:rsidRDefault="00CE6695" w:rsidP="00D46B53">
      <w:pPr>
        <w:numPr>
          <w:ilvl w:val="2"/>
          <w:numId w:val="349"/>
        </w:numPr>
        <w:tabs>
          <w:tab w:val="left" w:pos="1140"/>
        </w:tabs>
        <w:ind w:left="1140" w:hanging="370"/>
        <w:rPr>
          <w:rFonts w:eastAsia="Times New Roman"/>
          <w:b/>
          <w:bCs/>
          <w:szCs w:val="24"/>
        </w:rPr>
      </w:pPr>
      <w:r w:rsidRPr="00FC3B7C">
        <w:rPr>
          <w:rFonts w:eastAsia="Times New Roman"/>
          <w:b/>
          <w:bCs/>
          <w:szCs w:val="24"/>
        </w:rPr>
        <w:t>výše dávky:</w:t>
      </w:r>
    </w:p>
    <w:p w14:paraId="4A6F4BC4" w14:textId="77777777" w:rsidR="00CE6695" w:rsidRPr="00FC3B7C" w:rsidRDefault="00CE6695" w:rsidP="00D46B53">
      <w:pPr>
        <w:numPr>
          <w:ilvl w:val="3"/>
          <w:numId w:val="349"/>
        </w:numPr>
        <w:tabs>
          <w:tab w:val="left" w:pos="1700"/>
        </w:tabs>
        <w:ind w:left="1700" w:hanging="363"/>
        <w:rPr>
          <w:rFonts w:eastAsia="Wingdings"/>
          <w:szCs w:val="24"/>
        </w:rPr>
      </w:pPr>
      <w:r w:rsidRPr="00FC3B7C">
        <w:rPr>
          <w:rFonts w:eastAsia="Times New Roman"/>
          <w:b/>
          <w:bCs/>
          <w:szCs w:val="24"/>
        </w:rPr>
        <w:t xml:space="preserve">70 % </w:t>
      </w:r>
      <w:r w:rsidRPr="00FC3B7C">
        <w:rPr>
          <w:rFonts w:eastAsia="Times New Roman"/>
          <w:szCs w:val="24"/>
        </w:rPr>
        <w:t>DVZ</w:t>
      </w:r>
    </w:p>
    <w:p w14:paraId="4A6F4BC5" w14:textId="77777777" w:rsidR="00CE6695" w:rsidRPr="00FC3B7C" w:rsidRDefault="00CE6695" w:rsidP="00093159">
      <w:pPr>
        <w:ind w:left="420"/>
        <w:rPr>
          <w:rFonts w:eastAsia="Wingdings"/>
          <w:szCs w:val="24"/>
        </w:rPr>
      </w:pPr>
      <w:r w:rsidRPr="00FC3B7C">
        <w:rPr>
          <w:rFonts w:eastAsia="Times New Roman"/>
          <w:b/>
          <w:bCs/>
          <w:szCs w:val="24"/>
        </w:rPr>
        <w:t>C. Ošetřovné</w:t>
      </w:r>
    </w:p>
    <w:p w14:paraId="4A6F4BC6" w14:textId="77777777" w:rsidR="00CE6695" w:rsidRPr="00FC3B7C" w:rsidRDefault="00CE6695" w:rsidP="00D46B53">
      <w:pPr>
        <w:numPr>
          <w:ilvl w:val="2"/>
          <w:numId w:val="349"/>
        </w:numPr>
        <w:tabs>
          <w:tab w:val="left" w:pos="1140"/>
        </w:tabs>
        <w:ind w:left="1140" w:hanging="370"/>
        <w:rPr>
          <w:rFonts w:eastAsia="Times New Roman"/>
          <w:b/>
          <w:bCs/>
          <w:szCs w:val="24"/>
        </w:rPr>
      </w:pPr>
      <w:r w:rsidRPr="00FC3B7C">
        <w:rPr>
          <w:rFonts w:eastAsia="Times New Roman"/>
          <w:b/>
          <w:bCs/>
          <w:szCs w:val="24"/>
        </w:rPr>
        <w:t xml:space="preserve">vznik nároku </w:t>
      </w:r>
      <w:r w:rsidRPr="00FC3B7C">
        <w:rPr>
          <w:rFonts w:eastAsia="Times New Roman"/>
          <w:szCs w:val="24"/>
        </w:rPr>
        <w:t>- nárok má zaměstnanec, který</w:t>
      </w:r>
      <w:r w:rsidRPr="00FC3B7C">
        <w:rPr>
          <w:rFonts w:eastAsia="Times New Roman"/>
          <w:b/>
          <w:bCs/>
          <w:szCs w:val="24"/>
        </w:rPr>
        <w:t xml:space="preserve"> </w:t>
      </w:r>
      <w:r w:rsidRPr="00FC3B7C">
        <w:rPr>
          <w:rFonts w:eastAsia="Times New Roman"/>
          <w:szCs w:val="24"/>
        </w:rPr>
        <w:t>nemůže pracovat, protože musí:</w:t>
      </w:r>
    </w:p>
    <w:p w14:paraId="4A6F4BC7" w14:textId="77777777" w:rsidR="00CE6695" w:rsidRPr="00FC3B7C" w:rsidRDefault="00CE6695" w:rsidP="00D46B53">
      <w:pPr>
        <w:numPr>
          <w:ilvl w:val="3"/>
          <w:numId w:val="349"/>
        </w:numPr>
        <w:tabs>
          <w:tab w:val="left" w:pos="1700"/>
        </w:tabs>
        <w:ind w:left="1700" w:hanging="360"/>
        <w:rPr>
          <w:rFonts w:eastAsia="Wingdings"/>
          <w:szCs w:val="24"/>
        </w:rPr>
      </w:pPr>
      <w:r w:rsidRPr="00FC3B7C">
        <w:rPr>
          <w:rFonts w:eastAsia="Times New Roman"/>
          <w:szCs w:val="24"/>
        </w:rPr>
        <w:t>ošetřovat nemocného člena domácnosti</w:t>
      </w:r>
    </w:p>
    <w:p w14:paraId="4A6F4BC8" w14:textId="77777777" w:rsidR="00CE6695" w:rsidRPr="00FC3B7C" w:rsidRDefault="00CE6695" w:rsidP="00D46B53">
      <w:pPr>
        <w:numPr>
          <w:ilvl w:val="2"/>
          <w:numId w:val="350"/>
        </w:numPr>
        <w:tabs>
          <w:tab w:val="left" w:pos="1700"/>
        </w:tabs>
        <w:ind w:left="1700" w:hanging="360"/>
        <w:rPr>
          <w:rFonts w:eastAsia="Wingdings"/>
          <w:szCs w:val="24"/>
        </w:rPr>
      </w:pPr>
      <w:bookmarkStart w:id="380" w:name="page395"/>
      <w:bookmarkEnd w:id="380"/>
      <w:r w:rsidRPr="00FC3B7C">
        <w:rPr>
          <w:rFonts w:eastAsia="Times New Roman"/>
          <w:szCs w:val="24"/>
        </w:rPr>
        <w:t>pečovat o zdravé dítě mladší 10 let z důvodu uzavření školského zařízení či karantény (nebo osoba, která jinak o dítě pečuje, sama onemocněla)</w:t>
      </w:r>
    </w:p>
    <w:p w14:paraId="4A6F4BC9" w14:textId="77777777" w:rsidR="00CE6695" w:rsidRPr="00FC3B7C" w:rsidRDefault="00CE6695" w:rsidP="00D46B53">
      <w:pPr>
        <w:numPr>
          <w:ilvl w:val="1"/>
          <w:numId w:val="350"/>
        </w:numPr>
        <w:tabs>
          <w:tab w:val="left" w:pos="1140"/>
        </w:tabs>
        <w:ind w:left="1140" w:hanging="367"/>
        <w:rPr>
          <w:rFonts w:eastAsia="Times New Roman"/>
          <w:b/>
          <w:bCs/>
          <w:szCs w:val="24"/>
        </w:rPr>
      </w:pPr>
      <w:r w:rsidRPr="00FC3B7C">
        <w:rPr>
          <w:rFonts w:eastAsia="Times New Roman"/>
          <w:szCs w:val="24"/>
        </w:rPr>
        <w:t>podpůrčí doba činí nejdéle 9 kalendářních dnů (16 dnů v případě osamělého zaměstnance, který má v trvalé péči alespoň 1 dítě ve věku do 16 let, které neukončilo povinnou školní docházku)</w:t>
      </w:r>
    </w:p>
    <w:p w14:paraId="4A6F4BCA" w14:textId="77777777" w:rsidR="00CE6695" w:rsidRPr="00FC3B7C" w:rsidRDefault="00CE6695" w:rsidP="00D46B53">
      <w:pPr>
        <w:numPr>
          <w:ilvl w:val="1"/>
          <w:numId w:val="350"/>
        </w:numPr>
        <w:tabs>
          <w:tab w:val="left" w:pos="1140"/>
        </w:tabs>
        <w:ind w:left="1140" w:hanging="370"/>
        <w:rPr>
          <w:rFonts w:eastAsia="Times New Roman"/>
          <w:b/>
          <w:bCs/>
          <w:szCs w:val="24"/>
        </w:rPr>
      </w:pPr>
      <w:r w:rsidRPr="00FC3B7C">
        <w:rPr>
          <w:rFonts w:eastAsia="Times New Roman"/>
          <w:szCs w:val="24"/>
        </w:rPr>
        <w:t>výše dávky:</w:t>
      </w:r>
    </w:p>
    <w:p w14:paraId="4A6F4BCB" w14:textId="77777777" w:rsidR="00CE6695" w:rsidRPr="00FC3B7C" w:rsidRDefault="00CE6695" w:rsidP="00D46B53">
      <w:pPr>
        <w:numPr>
          <w:ilvl w:val="2"/>
          <w:numId w:val="350"/>
        </w:numPr>
        <w:tabs>
          <w:tab w:val="left" w:pos="1700"/>
        </w:tabs>
        <w:ind w:left="1700" w:hanging="363"/>
        <w:rPr>
          <w:rFonts w:eastAsia="Wingdings"/>
          <w:szCs w:val="24"/>
        </w:rPr>
      </w:pPr>
      <w:r w:rsidRPr="00FC3B7C">
        <w:rPr>
          <w:rFonts w:eastAsia="Times New Roman"/>
          <w:b/>
          <w:bCs/>
          <w:szCs w:val="24"/>
        </w:rPr>
        <w:t xml:space="preserve">60 % </w:t>
      </w:r>
      <w:r w:rsidRPr="00FC3B7C">
        <w:rPr>
          <w:rFonts w:eastAsia="Times New Roman"/>
          <w:szCs w:val="24"/>
        </w:rPr>
        <w:t>DVZ</w:t>
      </w:r>
    </w:p>
    <w:p w14:paraId="4A6F4BCC" w14:textId="77777777" w:rsidR="00CE6695" w:rsidRPr="00FC3B7C" w:rsidRDefault="00CE6695" w:rsidP="00D46B53">
      <w:pPr>
        <w:numPr>
          <w:ilvl w:val="0"/>
          <w:numId w:val="350"/>
        </w:numPr>
        <w:tabs>
          <w:tab w:val="left" w:pos="780"/>
        </w:tabs>
        <w:ind w:left="780" w:hanging="358"/>
        <w:rPr>
          <w:rFonts w:eastAsia="Times New Roman"/>
          <w:b/>
          <w:bCs/>
          <w:szCs w:val="24"/>
        </w:rPr>
      </w:pPr>
      <w:r w:rsidRPr="00FC3B7C">
        <w:rPr>
          <w:rFonts w:eastAsia="Times New Roman"/>
          <w:b/>
          <w:bCs/>
          <w:szCs w:val="24"/>
        </w:rPr>
        <w:t>Vyrovnávací příspěvek v těhotenství a mateřství</w:t>
      </w:r>
    </w:p>
    <w:p w14:paraId="4A6F4BCD" w14:textId="77777777" w:rsidR="00CE6695" w:rsidRPr="00FC3B7C" w:rsidRDefault="00CE6695" w:rsidP="00D46B53">
      <w:pPr>
        <w:numPr>
          <w:ilvl w:val="1"/>
          <w:numId w:val="350"/>
        </w:numPr>
        <w:tabs>
          <w:tab w:val="left" w:pos="1140"/>
        </w:tabs>
        <w:ind w:left="1140" w:hanging="367"/>
        <w:rPr>
          <w:rFonts w:eastAsia="Times New Roman"/>
          <w:b/>
          <w:bCs/>
          <w:szCs w:val="24"/>
        </w:rPr>
      </w:pPr>
      <w:r w:rsidRPr="00FC3B7C">
        <w:rPr>
          <w:rFonts w:eastAsia="Times New Roman"/>
          <w:b/>
          <w:bCs/>
          <w:szCs w:val="24"/>
        </w:rPr>
        <w:t xml:space="preserve">vznik nároku </w:t>
      </w:r>
      <w:r w:rsidRPr="00FC3B7C">
        <w:rPr>
          <w:rFonts w:eastAsia="Times New Roman"/>
          <w:szCs w:val="24"/>
        </w:rPr>
        <w:t>- poskytuje se zaměstnankyni, která byla z důvodu</w:t>
      </w:r>
      <w:r w:rsidRPr="00FC3B7C">
        <w:rPr>
          <w:rFonts w:eastAsia="Times New Roman"/>
          <w:b/>
          <w:bCs/>
          <w:szCs w:val="24"/>
        </w:rPr>
        <w:t xml:space="preserve"> </w:t>
      </w:r>
      <w:r w:rsidRPr="00FC3B7C">
        <w:rPr>
          <w:rFonts w:eastAsia="Times New Roman"/>
          <w:szCs w:val="24"/>
        </w:rPr>
        <w:t>těhotenství/ mateřství/ kojení převedena na jinou práci a z ní má bez svého zavinění nižší výdělek</w:t>
      </w:r>
    </w:p>
    <w:p w14:paraId="4A6F4BCE" w14:textId="77777777" w:rsidR="00CE6695" w:rsidRPr="00FC3B7C" w:rsidRDefault="00CE6695" w:rsidP="00D46B53">
      <w:pPr>
        <w:numPr>
          <w:ilvl w:val="1"/>
          <w:numId w:val="350"/>
        </w:numPr>
        <w:tabs>
          <w:tab w:val="left" w:pos="1140"/>
        </w:tabs>
        <w:ind w:left="1140" w:hanging="367"/>
        <w:rPr>
          <w:rFonts w:eastAsia="Times New Roman"/>
          <w:b/>
          <w:bCs/>
          <w:szCs w:val="24"/>
        </w:rPr>
      </w:pPr>
      <w:r w:rsidRPr="00FC3B7C">
        <w:rPr>
          <w:rFonts w:eastAsia="Times New Roman"/>
          <w:szCs w:val="24"/>
        </w:rPr>
        <w:t>poskytuje se za kalendářní dny, v nichž trvalo převedení na jinou práci</w:t>
      </w:r>
    </w:p>
    <w:p w14:paraId="4A6F4BCF" w14:textId="77777777" w:rsidR="00CE6695" w:rsidRPr="00FC3B7C" w:rsidRDefault="00CE6695" w:rsidP="00D46B53">
      <w:pPr>
        <w:numPr>
          <w:ilvl w:val="1"/>
          <w:numId w:val="350"/>
        </w:numPr>
        <w:tabs>
          <w:tab w:val="left" w:pos="1140"/>
        </w:tabs>
        <w:ind w:left="1140" w:hanging="367"/>
        <w:rPr>
          <w:rFonts w:eastAsia="Times New Roman"/>
          <w:b/>
          <w:bCs/>
          <w:szCs w:val="24"/>
        </w:rPr>
      </w:pPr>
      <w:r w:rsidRPr="00FC3B7C">
        <w:rPr>
          <w:rFonts w:eastAsia="Times New Roman"/>
          <w:szCs w:val="24"/>
        </w:rPr>
        <w:t>nejdéle se poskytuje do 6. týdne před porodem</w:t>
      </w:r>
    </w:p>
    <w:p w14:paraId="4A6F4BD0" w14:textId="77777777" w:rsidR="00CE6695" w:rsidRPr="00FC3B7C" w:rsidRDefault="00CE6695" w:rsidP="00D46B53">
      <w:pPr>
        <w:numPr>
          <w:ilvl w:val="1"/>
          <w:numId w:val="350"/>
        </w:numPr>
        <w:tabs>
          <w:tab w:val="left" w:pos="1140"/>
        </w:tabs>
        <w:ind w:left="1140" w:hanging="367"/>
        <w:rPr>
          <w:rFonts w:eastAsia="Times New Roman"/>
          <w:b/>
          <w:bCs/>
          <w:szCs w:val="24"/>
        </w:rPr>
      </w:pPr>
      <w:r w:rsidRPr="00FC3B7C">
        <w:rPr>
          <w:rFonts w:eastAsia="Times New Roman"/>
          <w:szCs w:val="24"/>
        </w:rPr>
        <w:t>vyplácí se od vzniku sociální události</w:t>
      </w:r>
    </w:p>
    <w:p w14:paraId="4A6F4BD1" w14:textId="77777777" w:rsidR="00CE6695" w:rsidRPr="00FC3B7C" w:rsidRDefault="00CE6695" w:rsidP="00D46B53">
      <w:pPr>
        <w:numPr>
          <w:ilvl w:val="1"/>
          <w:numId w:val="350"/>
        </w:numPr>
        <w:tabs>
          <w:tab w:val="left" w:pos="1140"/>
        </w:tabs>
        <w:ind w:left="1140" w:hanging="370"/>
        <w:rPr>
          <w:rFonts w:eastAsia="Times New Roman"/>
          <w:b/>
          <w:bCs/>
          <w:szCs w:val="24"/>
        </w:rPr>
      </w:pPr>
      <w:r w:rsidRPr="00FC3B7C">
        <w:rPr>
          <w:rFonts w:eastAsia="Times New Roman"/>
          <w:b/>
          <w:bCs/>
          <w:szCs w:val="24"/>
        </w:rPr>
        <w:t>výše dávky:</w:t>
      </w:r>
    </w:p>
    <w:p w14:paraId="4A6F4BD2" w14:textId="77777777" w:rsidR="00CE6695" w:rsidRPr="00FC3B7C" w:rsidRDefault="00CE6695" w:rsidP="00D46B53">
      <w:pPr>
        <w:numPr>
          <w:ilvl w:val="2"/>
          <w:numId w:val="350"/>
        </w:numPr>
        <w:tabs>
          <w:tab w:val="left" w:pos="1700"/>
        </w:tabs>
        <w:ind w:left="1700" w:hanging="363"/>
        <w:rPr>
          <w:rFonts w:eastAsia="Wingdings"/>
          <w:sz w:val="23"/>
          <w:szCs w:val="23"/>
        </w:rPr>
      </w:pPr>
      <w:r w:rsidRPr="00FC3B7C">
        <w:rPr>
          <w:rFonts w:eastAsia="Times New Roman"/>
          <w:sz w:val="23"/>
          <w:szCs w:val="23"/>
        </w:rPr>
        <w:t xml:space="preserve">stanoví se jako rozdíl mezi DVZ zjištěným ke dni převedení na jinou práci </w:t>
      </w:r>
      <w:r w:rsidR="00093159">
        <w:rPr>
          <w:rFonts w:eastAsia="Times New Roman"/>
          <w:sz w:val="23"/>
          <w:szCs w:val="23"/>
        </w:rPr>
        <w:br/>
      </w:r>
      <w:r w:rsidRPr="00FC3B7C">
        <w:rPr>
          <w:rFonts w:eastAsia="Times New Roman"/>
          <w:sz w:val="23"/>
          <w:szCs w:val="23"/>
        </w:rPr>
        <w:t>a průměrem jejich započitatelných příjmů připadajících na jeden kalendářní den</w:t>
      </w:r>
    </w:p>
    <w:p w14:paraId="4A6F4BD3" w14:textId="77777777" w:rsidR="00CE6695" w:rsidRPr="00FC3B7C" w:rsidRDefault="00CE6695" w:rsidP="00CE6695">
      <w:pPr>
        <w:spacing w:line="106" w:lineRule="exact"/>
        <w:rPr>
          <w:sz w:val="20"/>
          <w:szCs w:val="20"/>
        </w:rPr>
      </w:pPr>
    </w:p>
    <w:p w14:paraId="4A6F4BD4" w14:textId="77777777" w:rsidR="00CE6695" w:rsidRPr="0070178B" w:rsidRDefault="00CE6695" w:rsidP="00093159">
      <w:pPr>
        <w:pStyle w:val="Nadpis4"/>
        <w:rPr>
          <w:color w:val="1F3864" w:themeColor="accent1" w:themeShade="80"/>
          <w:sz w:val="20"/>
          <w:szCs w:val="20"/>
        </w:rPr>
      </w:pPr>
      <w:r w:rsidRPr="0070178B">
        <w:rPr>
          <w:rFonts w:eastAsia="Times New Roman"/>
          <w:color w:val="1F3864" w:themeColor="accent1" w:themeShade="80"/>
        </w:rPr>
        <w:lastRenderedPageBreak/>
        <w:t>Státní politika zaměstnanosti</w:t>
      </w:r>
    </w:p>
    <w:p w14:paraId="4A6F4BD5" w14:textId="77777777" w:rsidR="00CE6695" w:rsidRPr="00FC3B7C" w:rsidRDefault="00CE6695" w:rsidP="00093159">
      <w:pPr>
        <w:rPr>
          <w:sz w:val="20"/>
          <w:szCs w:val="20"/>
        </w:rPr>
      </w:pPr>
      <w:r w:rsidRPr="00FC3B7C">
        <w:rPr>
          <w:rFonts w:eastAsia="Times New Roman"/>
          <w:szCs w:val="24"/>
        </w:rPr>
        <w:t>Hlavní cíl = zabránit nezaměstnanosti. Vytváří ji stát, podílí se na ní zaměstnavatelé a odbory.</w:t>
      </w:r>
    </w:p>
    <w:p w14:paraId="4A6F4BD6" w14:textId="77777777" w:rsidR="00CE6695" w:rsidRDefault="00CE6695" w:rsidP="00093159">
      <w:pPr>
        <w:rPr>
          <w:rFonts w:eastAsia="Times New Roman"/>
          <w:szCs w:val="24"/>
        </w:rPr>
      </w:pPr>
      <w:r w:rsidRPr="00FC3B7C">
        <w:rPr>
          <w:rFonts w:eastAsia="Times New Roman"/>
          <w:szCs w:val="24"/>
        </w:rPr>
        <w:t>Rozdělování prostředků na aktivní a pasivní politiku zaměstnanosti:</w:t>
      </w:r>
    </w:p>
    <w:p w14:paraId="4A6F4BD7" w14:textId="77777777" w:rsidR="00093159" w:rsidRPr="00FC3B7C" w:rsidRDefault="00093159" w:rsidP="00093159">
      <w:pPr>
        <w:rPr>
          <w:sz w:val="20"/>
          <w:szCs w:val="20"/>
        </w:rPr>
      </w:pPr>
    </w:p>
    <w:p w14:paraId="4A6F4BD8" w14:textId="77777777" w:rsidR="00CE6695" w:rsidRPr="00093159" w:rsidRDefault="00CE6695" w:rsidP="00D46B53">
      <w:pPr>
        <w:numPr>
          <w:ilvl w:val="0"/>
          <w:numId w:val="351"/>
        </w:numPr>
        <w:tabs>
          <w:tab w:val="left" w:pos="560"/>
        </w:tabs>
        <w:ind w:left="560" w:hanging="357"/>
        <w:rPr>
          <w:rFonts w:eastAsia="Arial"/>
          <w:szCs w:val="24"/>
        </w:rPr>
      </w:pPr>
      <w:r w:rsidRPr="00093159">
        <w:rPr>
          <w:rFonts w:eastAsia="Times New Roman"/>
          <w:b/>
          <w:bCs/>
          <w:szCs w:val="24"/>
        </w:rPr>
        <w:t xml:space="preserve">opatření aktivní politiky zaměstnanosti </w:t>
      </w:r>
      <w:r w:rsidRPr="00093159">
        <w:rPr>
          <w:rFonts w:eastAsia="Times New Roman"/>
          <w:szCs w:val="24"/>
        </w:rPr>
        <w:t>- snaha předcházet nezaměstnanosti</w:t>
      </w:r>
    </w:p>
    <w:p w14:paraId="4A6F4BD9" w14:textId="77777777" w:rsidR="00CE6695" w:rsidRPr="00FC3B7C" w:rsidRDefault="00CE6695" w:rsidP="00D46B53">
      <w:pPr>
        <w:numPr>
          <w:ilvl w:val="1"/>
          <w:numId w:val="351"/>
        </w:numPr>
        <w:tabs>
          <w:tab w:val="left" w:pos="1140"/>
        </w:tabs>
        <w:ind w:left="1140" w:hanging="370"/>
        <w:rPr>
          <w:rFonts w:eastAsia="Times New Roman"/>
          <w:b/>
          <w:bCs/>
          <w:szCs w:val="24"/>
        </w:rPr>
      </w:pPr>
      <w:r w:rsidRPr="00FC3B7C">
        <w:rPr>
          <w:rFonts w:eastAsia="Times New Roman"/>
          <w:szCs w:val="24"/>
        </w:rPr>
        <w:t>rekvalifikace, investiční pobídky, veřejně prospěšné práce, příspěvek na zapracování</w:t>
      </w:r>
    </w:p>
    <w:p w14:paraId="4A6F4BDA" w14:textId="77777777" w:rsidR="00CE6695" w:rsidRPr="00FC3B7C" w:rsidRDefault="00CE6695" w:rsidP="00D46B53">
      <w:pPr>
        <w:numPr>
          <w:ilvl w:val="1"/>
          <w:numId w:val="351"/>
        </w:numPr>
        <w:tabs>
          <w:tab w:val="left" w:pos="1140"/>
        </w:tabs>
        <w:ind w:left="1140" w:hanging="370"/>
        <w:rPr>
          <w:rFonts w:eastAsia="Times New Roman"/>
          <w:b/>
          <w:bCs/>
          <w:szCs w:val="24"/>
        </w:rPr>
      </w:pPr>
      <w:r w:rsidRPr="00FC3B7C">
        <w:rPr>
          <w:rFonts w:eastAsia="Times New Roman"/>
          <w:szCs w:val="24"/>
        </w:rPr>
        <w:t>překlenovací příspěvek, příspěvek při přechodu na nový podnikatelský program</w:t>
      </w:r>
    </w:p>
    <w:p w14:paraId="4A6F4BDB" w14:textId="77777777" w:rsidR="00CE6695" w:rsidRPr="00FC3B7C" w:rsidRDefault="00CE6695" w:rsidP="00D46B53">
      <w:pPr>
        <w:numPr>
          <w:ilvl w:val="0"/>
          <w:numId w:val="351"/>
        </w:numPr>
        <w:tabs>
          <w:tab w:val="left" w:pos="560"/>
        </w:tabs>
        <w:ind w:left="560" w:hanging="357"/>
        <w:rPr>
          <w:rFonts w:eastAsia="Arial"/>
          <w:szCs w:val="24"/>
        </w:rPr>
      </w:pPr>
      <w:r w:rsidRPr="00FC3B7C">
        <w:rPr>
          <w:rFonts w:eastAsia="Times New Roman"/>
          <w:b/>
          <w:bCs/>
          <w:szCs w:val="24"/>
        </w:rPr>
        <w:t xml:space="preserve">opatření pasivní politiky zaměstnanosti </w:t>
      </w:r>
      <w:r w:rsidRPr="00FC3B7C">
        <w:rPr>
          <w:rFonts w:eastAsia="Times New Roman"/>
          <w:szCs w:val="24"/>
        </w:rPr>
        <w:t>- kompenzace ztráty příjmu v případě</w:t>
      </w:r>
      <w:r w:rsidRPr="00FC3B7C">
        <w:rPr>
          <w:rFonts w:eastAsia="Times New Roman"/>
          <w:b/>
          <w:bCs/>
          <w:szCs w:val="24"/>
        </w:rPr>
        <w:t xml:space="preserve"> </w:t>
      </w:r>
      <w:r w:rsidRPr="00FC3B7C">
        <w:rPr>
          <w:rFonts w:eastAsia="Times New Roman"/>
          <w:szCs w:val="24"/>
        </w:rPr>
        <w:t>ztráty</w:t>
      </w:r>
      <w:r w:rsidRPr="00FC3B7C">
        <w:rPr>
          <w:rFonts w:eastAsia="Times New Roman"/>
          <w:b/>
          <w:bCs/>
          <w:szCs w:val="24"/>
        </w:rPr>
        <w:t xml:space="preserve"> </w:t>
      </w:r>
      <w:r w:rsidRPr="00FC3B7C">
        <w:rPr>
          <w:rFonts w:eastAsia="Times New Roman"/>
          <w:szCs w:val="24"/>
        </w:rPr>
        <w:t>zaměstnání</w:t>
      </w:r>
    </w:p>
    <w:p w14:paraId="4A6F4BDC" w14:textId="77777777" w:rsidR="00CE6695" w:rsidRPr="00FC3B7C" w:rsidRDefault="00CE6695" w:rsidP="00D46B53">
      <w:pPr>
        <w:numPr>
          <w:ilvl w:val="1"/>
          <w:numId w:val="351"/>
        </w:numPr>
        <w:tabs>
          <w:tab w:val="left" w:pos="1140"/>
        </w:tabs>
        <w:ind w:left="1140" w:hanging="370"/>
        <w:rPr>
          <w:rFonts w:eastAsia="Times New Roman"/>
          <w:b/>
          <w:bCs/>
          <w:szCs w:val="24"/>
        </w:rPr>
      </w:pPr>
      <w:r w:rsidRPr="00FC3B7C">
        <w:rPr>
          <w:rFonts w:eastAsia="Times New Roman"/>
          <w:szCs w:val="24"/>
        </w:rPr>
        <w:t>podpora v nezaměstnanosti, podpora při rekvalifikaci</w:t>
      </w:r>
    </w:p>
    <w:p w14:paraId="4A6F4BDE" w14:textId="5A0E8836" w:rsidR="00093159" w:rsidRPr="00244BB9" w:rsidRDefault="00CE6695" w:rsidP="00D46B53">
      <w:pPr>
        <w:numPr>
          <w:ilvl w:val="1"/>
          <w:numId w:val="351"/>
        </w:numPr>
        <w:tabs>
          <w:tab w:val="left" w:pos="1140"/>
        </w:tabs>
        <w:ind w:left="1140" w:hanging="370"/>
        <w:rPr>
          <w:rFonts w:eastAsia="Times New Roman"/>
          <w:b/>
          <w:bCs/>
          <w:szCs w:val="24"/>
        </w:rPr>
      </w:pPr>
      <w:r w:rsidRPr="00FC3B7C">
        <w:rPr>
          <w:rFonts w:eastAsia="Times New Roman"/>
          <w:szCs w:val="24"/>
        </w:rPr>
        <w:t>příspěvek je určen na hmotné zabezpečení poskytované uchazečům o zaměstnání a další výdaje související se zabezpečováním práva na práci a na správní výdaje úřadů práce</w:t>
      </w:r>
    </w:p>
    <w:p w14:paraId="4A6F4BDF" w14:textId="77777777" w:rsidR="00093159" w:rsidRPr="00FC3B7C" w:rsidRDefault="00093159" w:rsidP="00093159">
      <w:pPr>
        <w:tabs>
          <w:tab w:val="left" w:pos="1140"/>
        </w:tabs>
        <w:ind w:left="1140"/>
        <w:rPr>
          <w:rFonts w:eastAsia="Times New Roman"/>
          <w:b/>
          <w:bCs/>
          <w:szCs w:val="24"/>
        </w:rPr>
      </w:pPr>
    </w:p>
    <w:p w14:paraId="4A6F4BE0" w14:textId="7B9D2414" w:rsidR="00CE6695" w:rsidRPr="00244BB9" w:rsidRDefault="0060012B" w:rsidP="00093159">
      <w:pPr>
        <w:pStyle w:val="Nadpis3"/>
        <w:rPr>
          <w:color w:val="1F3864" w:themeColor="accent1" w:themeShade="80"/>
          <w:sz w:val="20"/>
          <w:szCs w:val="20"/>
        </w:rPr>
      </w:pPr>
      <w:bookmarkStart w:id="381" w:name="page396"/>
      <w:bookmarkEnd w:id="381"/>
      <w:r w:rsidRPr="00244BB9">
        <w:rPr>
          <w:rFonts w:eastAsia="Times New Roman"/>
          <w:color w:val="1F3864" w:themeColor="accent1" w:themeShade="80"/>
        </w:rPr>
        <w:t xml:space="preserve">2. </w:t>
      </w:r>
      <w:r w:rsidR="00CE6695" w:rsidRPr="00244BB9">
        <w:rPr>
          <w:rFonts w:eastAsia="Times New Roman"/>
          <w:color w:val="1F3864" w:themeColor="accent1" w:themeShade="80"/>
        </w:rPr>
        <w:t>pilíř - státní sociální podpora</w:t>
      </w:r>
    </w:p>
    <w:p w14:paraId="4A6F4BE1" w14:textId="77777777" w:rsidR="00CE6695" w:rsidRPr="00FC3B7C" w:rsidRDefault="00CE6695" w:rsidP="00477A50">
      <w:pPr>
        <w:ind w:right="120" w:firstLine="720"/>
        <w:rPr>
          <w:sz w:val="20"/>
          <w:szCs w:val="20"/>
        </w:rPr>
      </w:pPr>
      <w:r w:rsidRPr="00FC3B7C">
        <w:rPr>
          <w:rFonts w:eastAsia="Times New Roman"/>
          <w:szCs w:val="24"/>
        </w:rPr>
        <w:t>Soubor sociálních dávek financovaných ze státního rozpočtu, kterým se stát podílí na krytí nákladů na výživu a ostatní základní osobní potřeby dětí a rodin. Řeší sociální události spojené zejména s péčí o rodinu. Reaguje na tyto sociální události</w:t>
      </w:r>
      <w:r w:rsidRPr="00FC3B7C">
        <w:rPr>
          <w:rFonts w:eastAsia="Times New Roman"/>
          <w:b/>
          <w:bCs/>
          <w:szCs w:val="24"/>
        </w:rPr>
        <w:t xml:space="preserve">: narození, výchova </w:t>
      </w:r>
      <w:r w:rsidR="00093159">
        <w:rPr>
          <w:rFonts w:eastAsia="Times New Roman"/>
          <w:b/>
          <w:bCs/>
          <w:szCs w:val="24"/>
        </w:rPr>
        <w:br/>
      </w:r>
      <w:r w:rsidRPr="00FC3B7C">
        <w:rPr>
          <w:rFonts w:eastAsia="Times New Roman"/>
          <w:b/>
          <w:bCs/>
          <w:szCs w:val="24"/>
        </w:rPr>
        <w:t>a výživa dítěte,</w:t>
      </w:r>
      <w:r w:rsidRPr="00FC3B7C">
        <w:rPr>
          <w:rFonts w:eastAsia="Times New Roman"/>
          <w:szCs w:val="24"/>
        </w:rPr>
        <w:t xml:space="preserve"> </w:t>
      </w:r>
      <w:r w:rsidRPr="00FC3B7C">
        <w:rPr>
          <w:rFonts w:eastAsia="Times New Roman"/>
          <w:b/>
          <w:bCs/>
          <w:szCs w:val="24"/>
        </w:rPr>
        <w:t>úmrtí.</w:t>
      </w:r>
    </w:p>
    <w:p w14:paraId="4A6F4BE2" w14:textId="77777777" w:rsidR="00CE6695" w:rsidRPr="00FC3B7C" w:rsidRDefault="00CE6695" w:rsidP="00477A50">
      <w:pPr>
        <w:ind w:firstLine="720"/>
        <w:rPr>
          <w:sz w:val="20"/>
          <w:szCs w:val="20"/>
        </w:rPr>
      </w:pPr>
      <w:r w:rsidRPr="00FC3B7C">
        <w:rPr>
          <w:rFonts w:eastAsia="Times New Roman"/>
          <w:szCs w:val="24"/>
        </w:rPr>
        <w:t xml:space="preserve">Je upraven zákonem č. 117/1995 Sb., o státní sociální podpoře. Náklady na dávky SSP nese </w:t>
      </w:r>
      <w:r w:rsidR="00093159">
        <w:rPr>
          <w:rFonts w:eastAsia="Times New Roman"/>
          <w:szCs w:val="24"/>
        </w:rPr>
        <w:br/>
      </w:r>
      <w:r w:rsidRPr="00FC3B7C">
        <w:rPr>
          <w:rFonts w:eastAsia="Times New Roman"/>
          <w:szCs w:val="24"/>
        </w:rPr>
        <w:t xml:space="preserve">v celém rozsahu stát. Dávky vyplácí úřad práce. Stát přispívá na krytí nákladů na výživu </w:t>
      </w:r>
      <w:r w:rsidR="00093159">
        <w:rPr>
          <w:rFonts w:eastAsia="Times New Roman"/>
          <w:szCs w:val="24"/>
        </w:rPr>
        <w:br/>
      </w:r>
      <w:r w:rsidRPr="00FC3B7C">
        <w:rPr>
          <w:rFonts w:eastAsia="Times New Roman"/>
          <w:szCs w:val="24"/>
        </w:rPr>
        <w:t>a ostatní základní osobní potřeby.</w:t>
      </w:r>
    </w:p>
    <w:p w14:paraId="4A6F4BE3" w14:textId="77777777" w:rsidR="00CE6695" w:rsidRPr="00FC3B7C" w:rsidRDefault="00CE6695" w:rsidP="00093159">
      <w:pPr>
        <w:rPr>
          <w:sz w:val="20"/>
          <w:szCs w:val="20"/>
        </w:rPr>
      </w:pPr>
      <w:r w:rsidRPr="00FC3B7C">
        <w:rPr>
          <w:rFonts w:eastAsia="Times New Roman"/>
          <w:b/>
          <w:bCs/>
          <w:szCs w:val="24"/>
        </w:rPr>
        <w:t>Poskytují se tyto dávky:</w:t>
      </w:r>
    </w:p>
    <w:p w14:paraId="4A6F4BE4" w14:textId="77777777" w:rsidR="00CE6695" w:rsidRPr="00FC3B7C" w:rsidRDefault="00CE6695" w:rsidP="00093159">
      <w:pPr>
        <w:rPr>
          <w:sz w:val="20"/>
          <w:szCs w:val="20"/>
        </w:rPr>
      </w:pPr>
      <w:r w:rsidRPr="00FC3B7C">
        <w:rPr>
          <w:noProof/>
          <w:sz w:val="20"/>
          <w:szCs w:val="20"/>
        </w:rPr>
        <w:drawing>
          <wp:anchor distT="0" distB="0" distL="114300" distR="114300" simplePos="0" relativeHeight="251618816" behindDoc="1" locked="0" layoutInCell="0" allowOverlap="1" wp14:anchorId="4A6F5D0C" wp14:editId="70D2A077">
            <wp:simplePos x="0" y="0"/>
            <wp:positionH relativeFrom="column">
              <wp:posOffset>378460</wp:posOffset>
            </wp:positionH>
            <wp:positionV relativeFrom="paragraph">
              <wp:posOffset>102870</wp:posOffset>
            </wp:positionV>
            <wp:extent cx="3940810" cy="144780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8"/>
                    <a:srcRect/>
                    <a:stretch>
                      <a:fillRect/>
                    </a:stretch>
                  </pic:blipFill>
                  <pic:spPr bwMode="auto">
                    <a:xfrm>
                      <a:off x="0" y="0"/>
                      <a:ext cx="3940810" cy="1447800"/>
                    </a:xfrm>
                    <a:prstGeom prst="rect">
                      <a:avLst/>
                    </a:prstGeom>
                    <a:noFill/>
                  </pic:spPr>
                </pic:pic>
              </a:graphicData>
            </a:graphic>
          </wp:anchor>
        </w:drawing>
      </w:r>
    </w:p>
    <w:p w14:paraId="4A6F4BE5" w14:textId="77777777" w:rsidR="00CE6695" w:rsidRPr="00FC3B7C" w:rsidRDefault="00CE6695" w:rsidP="00093159">
      <w:pPr>
        <w:rPr>
          <w:sz w:val="20"/>
          <w:szCs w:val="20"/>
        </w:rPr>
      </w:pPr>
    </w:p>
    <w:p w14:paraId="4A6F4BE6" w14:textId="77777777" w:rsidR="00CE6695" w:rsidRPr="00FC3B7C" w:rsidRDefault="00CE6695" w:rsidP="00093159">
      <w:pPr>
        <w:rPr>
          <w:sz w:val="20"/>
          <w:szCs w:val="20"/>
        </w:rPr>
      </w:pPr>
    </w:p>
    <w:p w14:paraId="4A6F4BE7" w14:textId="77777777" w:rsidR="00CE6695" w:rsidRPr="00FC3B7C" w:rsidRDefault="00CE6695" w:rsidP="00093159">
      <w:pPr>
        <w:rPr>
          <w:sz w:val="20"/>
          <w:szCs w:val="20"/>
        </w:rPr>
      </w:pPr>
    </w:p>
    <w:p w14:paraId="4A6F4BE8" w14:textId="77777777" w:rsidR="00CE6695" w:rsidRPr="00FC3B7C" w:rsidRDefault="00CE6695" w:rsidP="00093159">
      <w:pPr>
        <w:rPr>
          <w:sz w:val="20"/>
          <w:szCs w:val="20"/>
        </w:rPr>
      </w:pPr>
    </w:p>
    <w:p w14:paraId="4A6F4BE9" w14:textId="77777777" w:rsidR="00CE6695" w:rsidRPr="00FC3B7C" w:rsidRDefault="00CE6695" w:rsidP="00093159">
      <w:pPr>
        <w:rPr>
          <w:sz w:val="20"/>
          <w:szCs w:val="20"/>
        </w:rPr>
      </w:pPr>
    </w:p>
    <w:p w14:paraId="4A6F4BEA" w14:textId="77777777" w:rsidR="00CE6695" w:rsidRPr="00FC3B7C" w:rsidRDefault="00CE6695" w:rsidP="00093159">
      <w:pPr>
        <w:rPr>
          <w:sz w:val="20"/>
          <w:szCs w:val="20"/>
        </w:rPr>
      </w:pPr>
    </w:p>
    <w:p w14:paraId="4A6F4BEB" w14:textId="77777777" w:rsidR="00CE6695" w:rsidRPr="00FC3B7C" w:rsidRDefault="00CE6695" w:rsidP="00093159">
      <w:pPr>
        <w:rPr>
          <w:sz w:val="20"/>
          <w:szCs w:val="20"/>
        </w:rPr>
      </w:pPr>
    </w:p>
    <w:p w14:paraId="4A6F4BEC" w14:textId="77777777" w:rsidR="00CE6695" w:rsidRPr="00244BB9" w:rsidRDefault="00CE6695" w:rsidP="00093159">
      <w:pPr>
        <w:pStyle w:val="Nadpis4"/>
        <w:rPr>
          <w:color w:val="1F3864" w:themeColor="accent1" w:themeShade="80"/>
          <w:sz w:val="20"/>
          <w:szCs w:val="20"/>
        </w:rPr>
      </w:pPr>
      <w:r w:rsidRPr="00244BB9">
        <w:rPr>
          <w:rFonts w:eastAsia="Times New Roman"/>
          <w:color w:val="1F3864" w:themeColor="accent1" w:themeShade="80"/>
        </w:rPr>
        <w:t>Dávky testované</w:t>
      </w:r>
    </w:p>
    <w:p w14:paraId="4A6F4BED" w14:textId="77777777" w:rsidR="00CE6695" w:rsidRPr="00FC3B7C" w:rsidRDefault="00CE6695" w:rsidP="00D46B53">
      <w:pPr>
        <w:numPr>
          <w:ilvl w:val="0"/>
          <w:numId w:val="352"/>
        </w:numPr>
        <w:tabs>
          <w:tab w:val="left" w:pos="780"/>
        </w:tabs>
        <w:ind w:left="780" w:hanging="358"/>
        <w:rPr>
          <w:rFonts w:eastAsia="Times New Roman"/>
          <w:b/>
          <w:bCs/>
          <w:szCs w:val="24"/>
        </w:rPr>
      </w:pPr>
      <w:r w:rsidRPr="00FC3B7C">
        <w:rPr>
          <w:rFonts w:eastAsia="Times New Roman"/>
          <w:b/>
          <w:bCs/>
          <w:szCs w:val="24"/>
        </w:rPr>
        <w:t>Přídavek na dítě</w:t>
      </w:r>
    </w:p>
    <w:p w14:paraId="4A6F4BEE" w14:textId="77777777" w:rsidR="00CE6695" w:rsidRPr="00FC3B7C" w:rsidRDefault="00CE6695" w:rsidP="00D46B53">
      <w:pPr>
        <w:numPr>
          <w:ilvl w:val="1"/>
          <w:numId w:val="352"/>
        </w:numPr>
        <w:tabs>
          <w:tab w:val="left" w:pos="1140"/>
        </w:tabs>
        <w:ind w:left="1140" w:hanging="367"/>
        <w:rPr>
          <w:rFonts w:eastAsia="Times New Roman"/>
          <w:b/>
          <w:bCs/>
          <w:szCs w:val="24"/>
        </w:rPr>
      </w:pPr>
      <w:r w:rsidRPr="00FC3B7C">
        <w:rPr>
          <w:rFonts w:eastAsia="Times New Roman"/>
          <w:szCs w:val="24"/>
        </w:rPr>
        <w:lastRenderedPageBreak/>
        <w:t>základní opakovatelná dávka poskytovaná rodinám s dětmi</w:t>
      </w:r>
    </w:p>
    <w:p w14:paraId="4A6F4BEF" w14:textId="77777777" w:rsidR="00CE6695" w:rsidRPr="00FC3B7C" w:rsidRDefault="00CE6695" w:rsidP="00D46B53">
      <w:pPr>
        <w:numPr>
          <w:ilvl w:val="1"/>
          <w:numId w:val="352"/>
        </w:numPr>
        <w:tabs>
          <w:tab w:val="left" w:pos="1140"/>
        </w:tabs>
        <w:ind w:left="1140" w:hanging="367"/>
        <w:rPr>
          <w:rFonts w:eastAsia="Times New Roman"/>
          <w:b/>
          <w:bCs/>
          <w:szCs w:val="24"/>
        </w:rPr>
      </w:pPr>
      <w:r w:rsidRPr="00FC3B7C">
        <w:rPr>
          <w:rFonts w:eastAsia="Times New Roman"/>
          <w:b/>
          <w:bCs/>
          <w:szCs w:val="24"/>
        </w:rPr>
        <w:t xml:space="preserve">vznik nároku </w:t>
      </w:r>
      <w:r w:rsidRPr="00FC3B7C">
        <w:rPr>
          <w:rFonts w:eastAsia="Times New Roman"/>
          <w:szCs w:val="24"/>
        </w:rPr>
        <w:t>- nárok mají rodiny s příjmem do 2,4 násobku</w:t>
      </w:r>
      <w:r w:rsidRPr="00FC3B7C">
        <w:rPr>
          <w:rFonts w:eastAsia="Times New Roman"/>
          <w:b/>
          <w:bCs/>
          <w:szCs w:val="24"/>
        </w:rPr>
        <w:t xml:space="preserve"> </w:t>
      </w:r>
      <w:r w:rsidRPr="00FC3B7C">
        <w:rPr>
          <w:rFonts w:eastAsia="Times New Roman"/>
          <w:szCs w:val="24"/>
        </w:rPr>
        <w:t>životního minima</w:t>
      </w:r>
    </w:p>
    <w:p w14:paraId="4A6F4BF0" w14:textId="2433F6F6" w:rsidR="00CE6695" w:rsidRPr="00EC5DF9" w:rsidRDefault="00CE6695" w:rsidP="00D46B53">
      <w:pPr>
        <w:numPr>
          <w:ilvl w:val="1"/>
          <w:numId w:val="352"/>
        </w:numPr>
        <w:tabs>
          <w:tab w:val="left" w:pos="1140"/>
        </w:tabs>
        <w:ind w:left="1140" w:hanging="370"/>
        <w:rPr>
          <w:rFonts w:eastAsia="Times New Roman"/>
          <w:b/>
          <w:bCs/>
          <w:szCs w:val="24"/>
        </w:rPr>
      </w:pPr>
      <w:r w:rsidRPr="00FC3B7C">
        <w:rPr>
          <w:rFonts w:eastAsia="Times New Roman"/>
          <w:szCs w:val="24"/>
        </w:rPr>
        <w:t>je poskytován ve třech výších podle věku nezaopatřeného dítěte:</w:t>
      </w:r>
    </w:p>
    <w:p w14:paraId="7895F848" w14:textId="77777777" w:rsidR="00EC5DF9" w:rsidRPr="00093159" w:rsidRDefault="00EC5DF9" w:rsidP="00EC5DF9">
      <w:pPr>
        <w:tabs>
          <w:tab w:val="left" w:pos="1140"/>
        </w:tabs>
        <w:ind w:left="1140"/>
        <w:rPr>
          <w:rFonts w:eastAsia="Times New Roman"/>
          <w:b/>
          <w:bCs/>
          <w:szCs w:val="24"/>
        </w:rPr>
      </w:pPr>
    </w:p>
    <w:p w14:paraId="4A6F4BF1" w14:textId="77777777" w:rsidR="00093159" w:rsidRDefault="00093159" w:rsidP="00093159">
      <w:pPr>
        <w:tabs>
          <w:tab w:val="left" w:pos="1140"/>
        </w:tabs>
        <w:rPr>
          <w:rFonts w:eastAsia="Times New Roman"/>
          <w:szCs w:val="24"/>
        </w:rPr>
      </w:pPr>
    </w:p>
    <w:p w14:paraId="4A6F4BF2" w14:textId="77777777" w:rsidR="00CE6695" w:rsidRPr="00FC3B7C" w:rsidRDefault="00CE6695" w:rsidP="00CE6695">
      <w:pPr>
        <w:spacing w:line="240" w:lineRule="auto"/>
        <w:ind w:left="280"/>
        <w:rPr>
          <w:sz w:val="20"/>
          <w:szCs w:val="20"/>
        </w:rPr>
      </w:pPr>
      <w:r w:rsidRPr="00FC3B7C">
        <w:rPr>
          <w:rFonts w:eastAsia="Times New Roman"/>
          <w:b/>
          <w:bCs/>
          <w:szCs w:val="24"/>
        </w:rPr>
        <w:t>Tab. č. 1: Výše přídavku na dítě:</w:t>
      </w:r>
    </w:p>
    <w:p w14:paraId="4A6F4BF3" w14:textId="77777777" w:rsidR="00CE6695" w:rsidRPr="00FC3B7C" w:rsidRDefault="00CE6695" w:rsidP="00CE6695">
      <w:pPr>
        <w:spacing w:line="20" w:lineRule="exact"/>
        <w:rPr>
          <w:sz w:val="20"/>
          <w:szCs w:val="20"/>
        </w:rPr>
      </w:pPr>
      <w:r w:rsidRPr="00FC3B7C">
        <w:rPr>
          <w:noProof/>
          <w:sz w:val="20"/>
          <w:szCs w:val="20"/>
        </w:rPr>
        <w:drawing>
          <wp:anchor distT="0" distB="0" distL="114300" distR="114300" simplePos="0" relativeHeight="251702784" behindDoc="1" locked="0" layoutInCell="0" allowOverlap="1" wp14:anchorId="4A6F5D0E" wp14:editId="5B62F894">
            <wp:simplePos x="0" y="0"/>
            <wp:positionH relativeFrom="column">
              <wp:posOffset>356870</wp:posOffset>
            </wp:positionH>
            <wp:positionV relativeFrom="paragraph">
              <wp:posOffset>102870</wp:posOffset>
            </wp:positionV>
            <wp:extent cx="3477895" cy="148463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19"/>
                    <a:srcRect/>
                    <a:stretch>
                      <a:fillRect/>
                    </a:stretch>
                  </pic:blipFill>
                  <pic:spPr bwMode="auto">
                    <a:xfrm>
                      <a:off x="0" y="0"/>
                      <a:ext cx="3477895" cy="1484630"/>
                    </a:xfrm>
                    <a:prstGeom prst="rect">
                      <a:avLst/>
                    </a:prstGeom>
                    <a:noFill/>
                  </pic:spPr>
                </pic:pic>
              </a:graphicData>
            </a:graphic>
          </wp:anchor>
        </w:drawing>
      </w:r>
    </w:p>
    <w:p w14:paraId="4A6F4BF4" w14:textId="77777777" w:rsidR="00CE6695" w:rsidRPr="00FC3B7C" w:rsidRDefault="00CE6695" w:rsidP="00CE6695">
      <w:pPr>
        <w:spacing w:line="200" w:lineRule="exact"/>
        <w:rPr>
          <w:sz w:val="20"/>
          <w:szCs w:val="20"/>
        </w:rPr>
      </w:pPr>
    </w:p>
    <w:p w14:paraId="4A6F4BF5" w14:textId="77777777" w:rsidR="00CE6695" w:rsidRPr="00FC3B7C" w:rsidRDefault="00CE6695" w:rsidP="00CE6695">
      <w:pPr>
        <w:spacing w:line="200" w:lineRule="exact"/>
        <w:rPr>
          <w:sz w:val="20"/>
          <w:szCs w:val="20"/>
        </w:rPr>
      </w:pPr>
    </w:p>
    <w:p w14:paraId="4A6F4BF6" w14:textId="77777777" w:rsidR="00CE6695" w:rsidRPr="00FC3B7C" w:rsidRDefault="00CE6695" w:rsidP="00CE6695">
      <w:pPr>
        <w:spacing w:line="200" w:lineRule="exact"/>
        <w:rPr>
          <w:sz w:val="20"/>
          <w:szCs w:val="20"/>
        </w:rPr>
      </w:pPr>
    </w:p>
    <w:p w14:paraId="4A6F4BF7" w14:textId="77777777" w:rsidR="00CE6695" w:rsidRPr="00FC3B7C" w:rsidRDefault="00CE6695" w:rsidP="00CE6695">
      <w:pPr>
        <w:spacing w:line="200" w:lineRule="exact"/>
        <w:rPr>
          <w:sz w:val="20"/>
          <w:szCs w:val="20"/>
        </w:rPr>
      </w:pPr>
    </w:p>
    <w:p w14:paraId="4A6F4BF8" w14:textId="77777777" w:rsidR="00CE6695" w:rsidRPr="00FC3B7C" w:rsidRDefault="00CE6695" w:rsidP="00CE6695">
      <w:pPr>
        <w:spacing w:line="200" w:lineRule="exact"/>
        <w:rPr>
          <w:sz w:val="20"/>
          <w:szCs w:val="20"/>
        </w:rPr>
      </w:pPr>
    </w:p>
    <w:p w14:paraId="4A6F4BF9" w14:textId="77777777" w:rsidR="00CE6695" w:rsidRPr="00FC3B7C" w:rsidRDefault="00CE6695" w:rsidP="00CE6695">
      <w:pPr>
        <w:spacing w:line="200" w:lineRule="exact"/>
        <w:rPr>
          <w:sz w:val="20"/>
          <w:szCs w:val="20"/>
        </w:rPr>
      </w:pPr>
    </w:p>
    <w:p w14:paraId="4A6F4BFA" w14:textId="77777777" w:rsidR="00CE6695" w:rsidRPr="00FC3B7C" w:rsidRDefault="00CE6695" w:rsidP="00CE6695">
      <w:pPr>
        <w:spacing w:line="200" w:lineRule="exact"/>
        <w:rPr>
          <w:sz w:val="20"/>
          <w:szCs w:val="20"/>
        </w:rPr>
      </w:pPr>
    </w:p>
    <w:p w14:paraId="4A6F4BFB" w14:textId="77777777" w:rsidR="00CE6695" w:rsidRPr="00FC3B7C" w:rsidRDefault="00CE6695" w:rsidP="00CE6695">
      <w:pPr>
        <w:spacing w:line="200" w:lineRule="exact"/>
        <w:rPr>
          <w:sz w:val="20"/>
          <w:szCs w:val="20"/>
        </w:rPr>
      </w:pPr>
    </w:p>
    <w:p w14:paraId="4A6F4BFC" w14:textId="77777777" w:rsidR="00CE6695" w:rsidRPr="00FC3B7C" w:rsidRDefault="00CE6695" w:rsidP="00CE6695">
      <w:pPr>
        <w:spacing w:line="200" w:lineRule="exact"/>
        <w:rPr>
          <w:sz w:val="20"/>
          <w:szCs w:val="20"/>
        </w:rPr>
      </w:pPr>
    </w:p>
    <w:p w14:paraId="4A6F4BFD" w14:textId="77777777" w:rsidR="00CE6695" w:rsidRPr="00FC3B7C" w:rsidRDefault="00CE6695" w:rsidP="00CE6695">
      <w:pPr>
        <w:spacing w:line="200" w:lineRule="exact"/>
        <w:rPr>
          <w:sz w:val="20"/>
          <w:szCs w:val="20"/>
        </w:rPr>
      </w:pPr>
    </w:p>
    <w:p w14:paraId="4A6F4BFE" w14:textId="77777777" w:rsidR="00CE6695" w:rsidRPr="00FC3B7C" w:rsidRDefault="00CE6695" w:rsidP="00CE6695">
      <w:pPr>
        <w:spacing w:line="200" w:lineRule="exact"/>
        <w:rPr>
          <w:sz w:val="20"/>
          <w:szCs w:val="20"/>
        </w:rPr>
      </w:pPr>
    </w:p>
    <w:p w14:paraId="4A6F4BFF" w14:textId="77777777" w:rsidR="00CE6695" w:rsidRPr="00FC3B7C" w:rsidRDefault="00CE6695" w:rsidP="00CE6695">
      <w:pPr>
        <w:spacing w:line="200" w:lineRule="exact"/>
        <w:rPr>
          <w:sz w:val="20"/>
          <w:szCs w:val="20"/>
        </w:rPr>
      </w:pPr>
    </w:p>
    <w:p w14:paraId="4A6F4C00" w14:textId="77777777" w:rsidR="00CE6695" w:rsidRPr="00FC3B7C" w:rsidRDefault="00CE6695" w:rsidP="00CE6695">
      <w:pPr>
        <w:spacing w:line="209" w:lineRule="exact"/>
        <w:rPr>
          <w:sz w:val="20"/>
          <w:szCs w:val="20"/>
        </w:rPr>
      </w:pPr>
    </w:p>
    <w:p w14:paraId="4A6F4C01" w14:textId="77777777" w:rsidR="00CE6695" w:rsidRPr="00FC3B7C" w:rsidRDefault="00CE6695" w:rsidP="00CE6695">
      <w:pPr>
        <w:spacing w:line="240" w:lineRule="auto"/>
        <w:ind w:left="280"/>
        <w:rPr>
          <w:sz w:val="20"/>
          <w:szCs w:val="20"/>
        </w:rPr>
      </w:pPr>
      <w:r w:rsidRPr="00FC3B7C">
        <w:rPr>
          <w:rFonts w:eastAsia="Times New Roman"/>
          <w:sz w:val="20"/>
          <w:szCs w:val="20"/>
        </w:rPr>
        <w:t>Zdroj: MPSV</w:t>
      </w:r>
    </w:p>
    <w:p w14:paraId="4A6F4C02" w14:textId="77777777" w:rsidR="00CE6695" w:rsidRPr="00FC3B7C" w:rsidRDefault="00CE6695" w:rsidP="00D46B53">
      <w:pPr>
        <w:pStyle w:val="Odstavecseseznamem"/>
        <w:numPr>
          <w:ilvl w:val="0"/>
          <w:numId w:val="591"/>
        </w:numPr>
      </w:pPr>
      <w:r w:rsidRPr="00FC3B7C">
        <w:t>Od roku 2018 existuje tzv. zvýšená výměra: do 6 let -&gt; 800 Kč měsíčně</w:t>
      </w:r>
      <w:r w:rsidRPr="00FC3B7C">
        <w:br/>
      </w:r>
      <w:r w:rsidRPr="00FC3B7C">
        <w:tab/>
      </w:r>
      <w:r w:rsidRPr="00FC3B7C">
        <w:tab/>
      </w:r>
      <w:r w:rsidRPr="00FC3B7C">
        <w:tab/>
      </w:r>
      <w:r w:rsidRPr="00FC3B7C">
        <w:tab/>
      </w:r>
      <w:r w:rsidRPr="00FC3B7C">
        <w:tab/>
      </w:r>
      <w:r w:rsidRPr="00FC3B7C">
        <w:tab/>
        <w:t xml:space="preserve"> od 6 do 15 let -&gt; 910 Kč měsíčně</w:t>
      </w:r>
      <w:r w:rsidRPr="00FC3B7C">
        <w:br/>
      </w:r>
      <w:r w:rsidRPr="00FC3B7C">
        <w:tab/>
      </w:r>
      <w:r w:rsidRPr="00FC3B7C">
        <w:tab/>
      </w:r>
      <w:r w:rsidRPr="00FC3B7C">
        <w:tab/>
      </w:r>
      <w:r w:rsidRPr="00FC3B7C">
        <w:tab/>
      </w:r>
      <w:r w:rsidRPr="00FC3B7C">
        <w:tab/>
      </w:r>
      <w:r w:rsidRPr="00FC3B7C">
        <w:tab/>
        <w:t xml:space="preserve"> od 15 do 26 let -&gt; 1000 Kč měsíčně</w:t>
      </w:r>
    </w:p>
    <w:p w14:paraId="4A6F4C03" w14:textId="77777777" w:rsidR="00CE6695" w:rsidRPr="00FC3B7C" w:rsidRDefault="00CE6695" w:rsidP="00D46B53">
      <w:pPr>
        <w:numPr>
          <w:ilvl w:val="0"/>
          <w:numId w:val="353"/>
        </w:numPr>
        <w:tabs>
          <w:tab w:val="left" w:pos="780"/>
        </w:tabs>
        <w:ind w:left="780" w:hanging="359"/>
        <w:rPr>
          <w:rFonts w:eastAsia="Times New Roman"/>
          <w:b/>
          <w:bCs/>
          <w:szCs w:val="24"/>
        </w:rPr>
      </w:pPr>
      <w:bookmarkStart w:id="382" w:name="page397"/>
      <w:bookmarkEnd w:id="382"/>
      <w:r w:rsidRPr="00FC3B7C">
        <w:rPr>
          <w:rFonts w:eastAsia="Times New Roman"/>
          <w:b/>
          <w:bCs/>
          <w:szCs w:val="24"/>
        </w:rPr>
        <w:t>Příspěvek na bydlení</w:t>
      </w:r>
    </w:p>
    <w:p w14:paraId="4A6F4C04" w14:textId="77777777" w:rsidR="00CE6695" w:rsidRPr="00FC3B7C" w:rsidRDefault="00CE6695" w:rsidP="00D46B53">
      <w:pPr>
        <w:numPr>
          <w:ilvl w:val="1"/>
          <w:numId w:val="353"/>
        </w:numPr>
        <w:tabs>
          <w:tab w:val="left" w:pos="1140"/>
        </w:tabs>
        <w:ind w:left="1140" w:right="80" w:hanging="367"/>
        <w:rPr>
          <w:rFonts w:eastAsia="Times New Roman"/>
          <w:b/>
          <w:bCs/>
          <w:szCs w:val="24"/>
        </w:rPr>
      </w:pPr>
      <w:r w:rsidRPr="00FC3B7C">
        <w:rPr>
          <w:rFonts w:eastAsia="Times New Roman"/>
          <w:szCs w:val="24"/>
        </w:rPr>
        <w:t>opakovatelná dávka, kterou stát přispívá na náklady na bydlení rodinám či jednotlivcům s nízkými příjmy</w:t>
      </w:r>
    </w:p>
    <w:p w14:paraId="4A6F4C05" w14:textId="77777777" w:rsidR="00CE6695" w:rsidRPr="00FC3B7C" w:rsidRDefault="00CE6695" w:rsidP="00D46B53">
      <w:pPr>
        <w:numPr>
          <w:ilvl w:val="1"/>
          <w:numId w:val="353"/>
        </w:numPr>
        <w:tabs>
          <w:tab w:val="left" w:pos="1140"/>
        </w:tabs>
        <w:ind w:left="1140" w:hanging="367"/>
        <w:rPr>
          <w:rFonts w:eastAsia="Times New Roman"/>
          <w:b/>
          <w:bCs/>
          <w:szCs w:val="24"/>
        </w:rPr>
      </w:pPr>
      <w:r w:rsidRPr="00FC3B7C">
        <w:rPr>
          <w:rFonts w:eastAsia="Times New Roman"/>
          <w:b/>
          <w:bCs/>
          <w:szCs w:val="24"/>
        </w:rPr>
        <w:t xml:space="preserve">vznik nároku </w:t>
      </w:r>
      <w:r w:rsidRPr="00FC3B7C">
        <w:rPr>
          <w:rFonts w:eastAsia="Times New Roman"/>
          <w:szCs w:val="24"/>
        </w:rPr>
        <w:t>- nárok má vlastník nebo nájemce bytu přihlášený</w:t>
      </w:r>
      <w:r w:rsidRPr="00FC3B7C">
        <w:rPr>
          <w:rFonts w:eastAsia="Times New Roman"/>
          <w:b/>
          <w:bCs/>
          <w:szCs w:val="24"/>
        </w:rPr>
        <w:t xml:space="preserve"> </w:t>
      </w:r>
      <w:r w:rsidRPr="00FC3B7C">
        <w:rPr>
          <w:rFonts w:eastAsia="Times New Roman"/>
          <w:szCs w:val="24"/>
        </w:rPr>
        <w:t xml:space="preserve">v něm </w:t>
      </w:r>
      <w:r w:rsidR="00093159">
        <w:rPr>
          <w:rFonts w:eastAsia="Times New Roman"/>
          <w:szCs w:val="24"/>
        </w:rPr>
        <w:br/>
      </w:r>
      <w:r w:rsidRPr="00FC3B7C">
        <w:rPr>
          <w:rFonts w:eastAsia="Times New Roman"/>
          <w:szCs w:val="24"/>
        </w:rPr>
        <w:t>k trvalému</w:t>
      </w:r>
      <w:r w:rsidRPr="00FC3B7C">
        <w:rPr>
          <w:rFonts w:eastAsia="Times New Roman"/>
          <w:b/>
          <w:bCs/>
          <w:szCs w:val="24"/>
        </w:rPr>
        <w:t xml:space="preserve"> </w:t>
      </w:r>
      <w:r w:rsidRPr="00FC3B7C">
        <w:rPr>
          <w:rFonts w:eastAsia="Times New Roman"/>
          <w:szCs w:val="24"/>
        </w:rPr>
        <w:t>pobytu, pokud 30 % příjmů rodiny (v Praze 35 %) nestačí k pokrytí nákladů na bydlení a zároveň těchto 30 % (35 %) je nižší než příslušné normativní náklady stanovené zákonem</w:t>
      </w:r>
    </w:p>
    <w:p w14:paraId="4A6F4C06" w14:textId="77777777" w:rsidR="00CE6695" w:rsidRPr="00FC3B7C" w:rsidRDefault="00CE6695" w:rsidP="00D46B53">
      <w:pPr>
        <w:numPr>
          <w:ilvl w:val="1"/>
          <w:numId w:val="353"/>
        </w:numPr>
        <w:tabs>
          <w:tab w:val="left" w:pos="1140"/>
        </w:tabs>
        <w:ind w:left="1140" w:hanging="370"/>
        <w:rPr>
          <w:rFonts w:eastAsia="Times New Roman"/>
          <w:b/>
          <w:bCs/>
          <w:szCs w:val="24"/>
        </w:rPr>
      </w:pPr>
      <w:r w:rsidRPr="00FC3B7C">
        <w:rPr>
          <w:rFonts w:eastAsia="Times New Roman"/>
          <w:szCs w:val="24"/>
        </w:rPr>
        <w:t xml:space="preserve">rozdílné příspěvky s nájemným u bytů vlastníků a družstevních bytů a jiné </w:t>
      </w:r>
      <w:r w:rsidR="00093159">
        <w:rPr>
          <w:rFonts w:eastAsia="Times New Roman"/>
          <w:szCs w:val="24"/>
        </w:rPr>
        <w:br/>
      </w:r>
      <w:r w:rsidRPr="00FC3B7C">
        <w:rPr>
          <w:rFonts w:eastAsia="Times New Roman"/>
          <w:szCs w:val="24"/>
        </w:rPr>
        <w:t>v případě vytápěním tuhými palivy</w:t>
      </w:r>
    </w:p>
    <w:p w14:paraId="4A6F4C07" w14:textId="77777777" w:rsidR="00CE6695" w:rsidRPr="00FC3B7C" w:rsidRDefault="00CE6695" w:rsidP="00D46B53">
      <w:pPr>
        <w:numPr>
          <w:ilvl w:val="0"/>
          <w:numId w:val="353"/>
        </w:numPr>
        <w:tabs>
          <w:tab w:val="left" w:pos="780"/>
        </w:tabs>
        <w:ind w:left="780" w:hanging="359"/>
        <w:rPr>
          <w:rFonts w:eastAsia="Times New Roman"/>
          <w:b/>
          <w:bCs/>
          <w:szCs w:val="24"/>
        </w:rPr>
      </w:pPr>
      <w:r w:rsidRPr="00FC3B7C">
        <w:rPr>
          <w:rFonts w:eastAsia="Times New Roman"/>
          <w:b/>
          <w:bCs/>
          <w:szCs w:val="24"/>
        </w:rPr>
        <w:t>Porodné</w:t>
      </w:r>
    </w:p>
    <w:p w14:paraId="4A6F4C08" w14:textId="77777777" w:rsidR="00CE6695" w:rsidRPr="00FC3B7C" w:rsidRDefault="00CE6695" w:rsidP="00D46B53">
      <w:pPr>
        <w:numPr>
          <w:ilvl w:val="1"/>
          <w:numId w:val="353"/>
        </w:numPr>
        <w:tabs>
          <w:tab w:val="left" w:pos="1140"/>
        </w:tabs>
        <w:ind w:left="1140" w:hanging="367"/>
        <w:rPr>
          <w:rFonts w:eastAsia="Times New Roman"/>
          <w:b/>
          <w:bCs/>
          <w:szCs w:val="24"/>
        </w:rPr>
      </w:pPr>
      <w:r w:rsidRPr="00FC3B7C">
        <w:rPr>
          <w:rFonts w:eastAsia="Times New Roman"/>
          <w:szCs w:val="24"/>
        </w:rPr>
        <w:t>jednorázová dávka, kterou se přispívá rodině s nízkými příjmy na náklady související s narozením prvního dítěte či osobě, která převzala dítě mladší 1 roku do trvalé péče nahrazující péči rodičů</w:t>
      </w:r>
    </w:p>
    <w:p w14:paraId="4A6F4C09" w14:textId="77777777" w:rsidR="00CE6695" w:rsidRPr="00FC3B7C" w:rsidRDefault="00CE6695" w:rsidP="00D46B53">
      <w:pPr>
        <w:numPr>
          <w:ilvl w:val="1"/>
          <w:numId w:val="353"/>
        </w:numPr>
        <w:tabs>
          <w:tab w:val="left" w:pos="1140"/>
        </w:tabs>
        <w:ind w:left="1140" w:hanging="367"/>
        <w:rPr>
          <w:rFonts w:eastAsia="Times New Roman"/>
          <w:b/>
          <w:bCs/>
          <w:szCs w:val="24"/>
        </w:rPr>
      </w:pPr>
      <w:r w:rsidRPr="00FC3B7C">
        <w:rPr>
          <w:rFonts w:eastAsia="Times New Roman"/>
          <w:b/>
          <w:bCs/>
          <w:szCs w:val="24"/>
        </w:rPr>
        <w:t xml:space="preserve">vznik nároku </w:t>
      </w:r>
      <w:r w:rsidRPr="00FC3B7C">
        <w:rPr>
          <w:rFonts w:eastAsia="Times New Roman"/>
          <w:szCs w:val="24"/>
        </w:rPr>
        <w:t>- nárok je vázán na stanovenou hranici příjmů</w:t>
      </w:r>
      <w:r w:rsidRPr="00FC3B7C">
        <w:rPr>
          <w:rFonts w:eastAsia="Times New Roman"/>
          <w:b/>
          <w:bCs/>
          <w:szCs w:val="24"/>
        </w:rPr>
        <w:t xml:space="preserve"> </w:t>
      </w:r>
      <w:r w:rsidRPr="00FC3B7C">
        <w:rPr>
          <w:rFonts w:eastAsia="Times New Roman"/>
          <w:szCs w:val="24"/>
        </w:rPr>
        <w:t>v rodině, která</w:t>
      </w:r>
      <w:r w:rsidRPr="00FC3B7C">
        <w:rPr>
          <w:rFonts w:eastAsia="Times New Roman"/>
          <w:b/>
          <w:bCs/>
          <w:szCs w:val="24"/>
        </w:rPr>
        <w:t xml:space="preserve"> </w:t>
      </w:r>
      <w:r w:rsidR="00093159">
        <w:rPr>
          <w:rFonts w:eastAsia="Times New Roman"/>
          <w:b/>
          <w:bCs/>
          <w:szCs w:val="24"/>
        </w:rPr>
        <w:br/>
      </w:r>
      <w:r w:rsidRPr="00FC3B7C">
        <w:rPr>
          <w:rFonts w:eastAsia="Times New Roman"/>
          <w:szCs w:val="24"/>
        </w:rPr>
        <w:t>v kalendářním čtvrtletí před narozením dítěte musí být nižší než 2,7 násobek</w:t>
      </w:r>
    </w:p>
    <w:p w14:paraId="4A6F4C0A" w14:textId="77777777" w:rsidR="00CE6695" w:rsidRPr="00FC3B7C" w:rsidRDefault="00CE6695" w:rsidP="00093159">
      <w:pPr>
        <w:ind w:left="1140"/>
        <w:rPr>
          <w:sz w:val="20"/>
          <w:szCs w:val="20"/>
        </w:rPr>
      </w:pPr>
      <w:r w:rsidRPr="00FC3B7C">
        <w:rPr>
          <w:rFonts w:eastAsia="Times New Roman"/>
          <w:szCs w:val="24"/>
        </w:rPr>
        <w:t>životního minima</w:t>
      </w:r>
    </w:p>
    <w:p w14:paraId="4A6F4C0B" w14:textId="77777777" w:rsidR="00CE6695" w:rsidRPr="00FC3B7C" w:rsidRDefault="00CE6695" w:rsidP="00D46B53">
      <w:pPr>
        <w:numPr>
          <w:ilvl w:val="0"/>
          <w:numId w:val="354"/>
        </w:numPr>
        <w:tabs>
          <w:tab w:val="left" w:pos="1140"/>
        </w:tabs>
        <w:ind w:left="1140" w:hanging="367"/>
        <w:rPr>
          <w:rFonts w:eastAsia="Times New Roman"/>
          <w:b/>
          <w:bCs/>
          <w:szCs w:val="24"/>
        </w:rPr>
      </w:pPr>
      <w:r w:rsidRPr="00FC3B7C">
        <w:rPr>
          <w:rFonts w:eastAsia="Times New Roman"/>
          <w:b/>
          <w:bCs/>
          <w:szCs w:val="24"/>
        </w:rPr>
        <w:t>výše dávky</w:t>
      </w:r>
      <w:r w:rsidRPr="00FC3B7C">
        <w:rPr>
          <w:rFonts w:eastAsia="Times New Roman"/>
          <w:szCs w:val="24"/>
        </w:rPr>
        <w:t>:</w:t>
      </w:r>
    </w:p>
    <w:p w14:paraId="4A6F4C0C" w14:textId="77777777" w:rsidR="00CE6695" w:rsidRPr="00FC3B7C" w:rsidRDefault="00CE6695" w:rsidP="00D46B53">
      <w:pPr>
        <w:numPr>
          <w:ilvl w:val="1"/>
          <w:numId w:val="354"/>
        </w:numPr>
        <w:tabs>
          <w:tab w:val="left" w:pos="1700"/>
        </w:tabs>
        <w:ind w:left="1700" w:hanging="363"/>
        <w:rPr>
          <w:rFonts w:eastAsia="Wingdings"/>
          <w:szCs w:val="24"/>
        </w:rPr>
      </w:pPr>
      <w:r w:rsidRPr="00FC3B7C">
        <w:rPr>
          <w:rFonts w:eastAsia="Times New Roman"/>
          <w:szCs w:val="24"/>
        </w:rPr>
        <w:lastRenderedPageBreak/>
        <w:t>13 000 Kč na první živě narozené dítě (v případě více dětí najednou = 19 500 Kč) a 10 000 Kč na druhé dítě</w:t>
      </w:r>
    </w:p>
    <w:p w14:paraId="4A6F4C0D" w14:textId="77777777" w:rsidR="00CE6695" w:rsidRDefault="00CE6695" w:rsidP="00093159">
      <w:pPr>
        <w:rPr>
          <w:rFonts w:eastAsia="Times New Roman"/>
          <w:szCs w:val="24"/>
        </w:rPr>
      </w:pPr>
      <w:r w:rsidRPr="00FC3B7C">
        <w:rPr>
          <w:rFonts w:eastAsia="Times New Roman"/>
          <w:szCs w:val="24"/>
        </w:rPr>
        <w:t>Dříve mezi testované dávky patřil také sociální příplatek - ten byl od 1. 1. 2012 zrušen!!!</w:t>
      </w:r>
    </w:p>
    <w:p w14:paraId="4A6F4C11" w14:textId="77777777" w:rsidR="00CE6695" w:rsidRPr="00FC3B7C" w:rsidRDefault="00CE6695" w:rsidP="00CE6695">
      <w:pPr>
        <w:spacing w:line="126" w:lineRule="exact"/>
        <w:rPr>
          <w:sz w:val="20"/>
          <w:szCs w:val="20"/>
        </w:rPr>
      </w:pPr>
    </w:p>
    <w:p w14:paraId="4A6F4C12" w14:textId="77777777" w:rsidR="00CE6695" w:rsidRPr="0070178B" w:rsidRDefault="00CE6695" w:rsidP="00093159">
      <w:pPr>
        <w:pStyle w:val="Nadpis4"/>
        <w:rPr>
          <w:color w:val="1F3864" w:themeColor="accent1" w:themeShade="80"/>
          <w:sz w:val="20"/>
          <w:szCs w:val="20"/>
        </w:rPr>
      </w:pPr>
      <w:r w:rsidRPr="0070178B">
        <w:rPr>
          <w:rFonts w:eastAsia="Times New Roman"/>
          <w:color w:val="1F3864" w:themeColor="accent1" w:themeShade="80"/>
        </w:rPr>
        <w:t>Dávky netestované</w:t>
      </w:r>
    </w:p>
    <w:p w14:paraId="4A6F4C13" w14:textId="77777777" w:rsidR="00CE6695" w:rsidRPr="00FC3B7C" w:rsidRDefault="00CE6695" w:rsidP="00D46B53">
      <w:pPr>
        <w:numPr>
          <w:ilvl w:val="0"/>
          <w:numId w:val="355"/>
        </w:numPr>
        <w:tabs>
          <w:tab w:val="left" w:pos="780"/>
        </w:tabs>
        <w:ind w:left="780" w:hanging="358"/>
        <w:rPr>
          <w:rFonts w:eastAsia="Times New Roman"/>
          <w:b/>
          <w:bCs/>
          <w:szCs w:val="24"/>
        </w:rPr>
      </w:pPr>
      <w:r w:rsidRPr="00FC3B7C">
        <w:rPr>
          <w:rFonts w:eastAsia="Times New Roman"/>
          <w:b/>
          <w:bCs/>
          <w:szCs w:val="24"/>
        </w:rPr>
        <w:t>Rodičovský příspěvek</w:t>
      </w:r>
    </w:p>
    <w:p w14:paraId="4A6F4C14" w14:textId="77777777" w:rsidR="00CE6695" w:rsidRPr="00FC3B7C" w:rsidRDefault="00CE6695" w:rsidP="00D46B53">
      <w:pPr>
        <w:numPr>
          <w:ilvl w:val="1"/>
          <w:numId w:val="355"/>
        </w:numPr>
        <w:tabs>
          <w:tab w:val="left" w:pos="1140"/>
        </w:tabs>
        <w:ind w:left="1140" w:hanging="367"/>
        <w:rPr>
          <w:rFonts w:eastAsia="Times New Roman"/>
          <w:b/>
          <w:bCs/>
          <w:szCs w:val="24"/>
        </w:rPr>
      </w:pPr>
      <w:r w:rsidRPr="00FC3B7C">
        <w:rPr>
          <w:rFonts w:eastAsia="Times New Roman"/>
          <w:szCs w:val="24"/>
        </w:rPr>
        <w:t>Navazuje na peněžitou pomoc v mateřství</w:t>
      </w:r>
    </w:p>
    <w:p w14:paraId="4A6F4C15" w14:textId="77777777" w:rsidR="00CE6695" w:rsidRPr="00FC3B7C" w:rsidRDefault="00CE6695" w:rsidP="00D46B53">
      <w:pPr>
        <w:numPr>
          <w:ilvl w:val="1"/>
          <w:numId w:val="355"/>
        </w:numPr>
        <w:tabs>
          <w:tab w:val="left" w:pos="1140"/>
        </w:tabs>
        <w:ind w:left="1140" w:hanging="367"/>
        <w:rPr>
          <w:rFonts w:eastAsia="Times New Roman"/>
          <w:b/>
          <w:bCs/>
          <w:szCs w:val="24"/>
        </w:rPr>
      </w:pPr>
      <w:r w:rsidRPr="00FC3B7C">
        <w:rPr>
          <w:rFonts w:eastAsia="Times New Roman"/>
          <w:szCs w:val="24"/>
        </w:rPr>
        <w:t>opakovatelná dávka</w:t>
      </w:r>
    </w:p>
    <w:p w14:paraId="4A6F4C16" w14:textId="77777777" w:rsidR="00CE6695" w:rsidRPr="00FC3B7C" w:rsidRDefault="00CE6695" w:rsidP="00D46B53">
      <w:pPr>
        <w:numPr>
          <w:ilvl w:val="1"/>
          <w:numId w:val="355"/>
        </w:numPr>
        <w:tabs>
          <w:tab w:val="left" w:pos="1140"/>
        </w:tabs>
        <w:ind w:left="1140" w:hanging="367"/>
        <w:rPr>
          <w:rFonts w:eastAsia="Times New Roman"/>
          <w:b/>
          <w:bCs/>
          <w:szCs w:val="24"/>
        </w:rPr>
      </w:pPr>
      <w:r w:rsidRPr="00FC3B7C">
        <w:rPr>
          <w:rFonts w:eastAsia="Times New Roman"/>
          <w:b/>
          <w:bCs/>
          <w:szCs w:val="24"/>
        </w:rPr>
        <w:t xml:space="preserve">vznik nároku </w:t>
      </w:r>
      <w:r w:rsidRPr="00FC3B7C">
        <w:rPr>
          <w:rFonts w:eastAsia="Times New Roman"/>
          <w:szCs w:val="24"/>
        </w:rPr>
        <w:t>- nárok má rodič, který</w:t>
      </w:r>
      <w:r w:rsidRPr="00FC3B7C">
        <w:rPr>
          <w:rFonts w:eastAsia="Times New Roman"/>
          <w:b/>
          <w:bCs/>
          <w:szCs w:val="24"/>
        </w:rPr>
        <w:t xml:space="preserve"> </w:t>
      </w:r>
      <w:r w:rsidRPr="00FC3B7C">
        <w:rPr>
          <w:rFonts w:eastAsia="Times New Roman"/>
          <w:szCs w:val="24"/>
        </w:rPr>
        <w:t>pečuje o dítě, které je nejmladší v rodině</w:t>
      </w:r>
      <w:r w:rsidRPr="00FC3B7C">
        <w:rPr>
          <w:rFonts w:eastAsia="Times New Roman"/>
          <w:b/>
          <w:bCs/>
          <w:szCs w:val="24"/>
        </w:rPr>
        <w:t xml:space="preserve"> </w:t>
      </w:r>
      <w:r w:rsidRPr="00FC3B7C">
        <w:rPr>
          <w:rFonts w:eastAsia="Times New Roman"/>
          <w:szCs w:val="24"/>
        </w:rPr>
        <w:t>a</w:t>
      </w:r>
      <w:r w:rsidRPr="00FC3B7C">
        <w:rPr>
          <w:rFonts w:eastAsia="Times New Roman"/>
          <w:b/>
          <w:bCs/>
          <w:szCs w:val="24"/>
        </w:rPr>
        <w:t xml:space="preserve"> </w:t>
      </w:r>
      <w:r w:rsidRPr="00FC3B7C">
        <w:rPr>
          <w:rFonts w:eastAsia="Times New Roman"/>
          <w:szCs w:val="24"/>
        </w:rPr>
        <w:t>pečuje o něj celý měsíc osobně, celodenně a řádně</w:t>
      </w:r>
    </w:p>
    <w:p w14:paraId="4A6F4C17" w14:textId="77777777" w:rsidR="00CE6695" w:rsidRPr="00FC3B7C" w:rsidRDefault="00CE6695" w:rsidP="00D46B53">
      <w:pPr>
        <w:numPr>
          <w:ilvl w:val="2"/>
          <w:numId w:val="355"/>
        </w:numPr>
        <w:tabs>
          <w:tab w:val="left" w:pos="1700"/>
        </w:tabs>
        <w:ind w:left="1700" w:hanging="360"/>
        <w:rPr>
          <w:rFonts w:eastAsia="Wingdings"/>
          <w:szCs w:val="24"/>
        </w:rPr>
      </w:pPr>
      <w:r w:rsidRPr="00FC3B7C">
        <w:rPr>
          <w:rFonts w:eastAsia="Times New Roman"/>
          <w:szCs w:val="24"/>
        </w:rPr>
        <w:t>dítě mladší 2 let – jesle, MŠ 46 hod/měsíc (může pracovat, ale dítě nesmí být více než 46 hod v zařízení)</w:t>
      </w:r>
    </w:p>
    <w:p w14:paraId="4A6F4C18" w14:textId="77777777" w:rsidR="00CE6695" w:rsidRPr="00FC3B7C" w:rsidRDefault="00CE6695" w:rsidP="00D46B53">
      <w:pPr>
        <w:numPr>
          <w:ilvl w:val="2"/>
          <w:numId w:val="355"/>
        </w:numPr>
        <w:tabs>
          <w:tab w:val="left" w:pos="1700"/>
        </w:tabs>
        <w:ind w:left="1700" w:hanging="360"/>
        <w:rPr>
          <w:rFonts w:eastAsia="Wingdings"/>
          <w:szCs w:val="24"/>
        </w:rPr>
      </w:pPr>
      <w:r w:rsidRPr="00FC3B7C">
        <w:rPr>
          <w:rFonts w:eastAsia="Times New Roman"/>
          <w:szCs w:val="24"/>
        </w:rPr>
        <w:t>dítě starší 2 let – MŠ – bez omezení (i práce bez omezení)</w:t>
      </w:r>
    </w:p>
    <w:p w14:paraId="4A6F4C19" w14:textId="77777777" w:rsidR="00CE6695" w:rsidRPr="00FC3B7C" w:rsidRDefault="00CE6695" w:rsidP="00D46B53">
      <w:pPr>
        <w:numPr>
          <w:ilvl w:val="1"/>
          <w:numId w:val="355"/>
        </w:numPr>
        <w:tabs>
          <w:tab w:val="left" w:pos="1140"/>
        </w:tabs>
        <w:ind w:left="1140" w:hanging="367"/>
        <w:rPr>
          <w:rFonts w:eastAsia="Times New Roman"/>
          <w:b/>
          <w:bCs/>
          <w:szCs w:val="24"/>
        </w:rPr>
      </w:pPr>
      <w:r w:rsidRPr="00FC3B7C">
        <w:rPr>
          <w:rFonts w:eastAsia="Times New Roman"/>
          <w:szCs w:val="24"/>
        </w:rPr>
        <w:t>vyplácí se nejdéle do 4 let věku dítěte</w:t>
      </w:r>
    </w:p>
    <w:p w14:paraId="4A6F4C1A" w14:textId="77777777" w:rsidR="00CE6695" w:rsidRPr="00FC3B7C" w:rsidRDefault="00CE6695" w:rsidP="00D46B53">
      <w:pPr>
        <w:numPr>
          <w:ilvl w:val="1"/>
          <w:numId w:val="355"/>
        </w:numPr>
        <w:tabs>
          <w:tab w:val="left" w:pos="1140"/>
        </w:tabs>
        <w:ind w:left="1140" w:hanging="367"/>
        <w:rPr>
          <w:rFonts w:eastAsia="Times New Roman"/>
          <w:b/>
          <w:bCs/>
          <w:szCs w:val="24"/>
        </w:rPr>
      </w:pPr>
      <w:r w:rsidRPr="00FC3B7C">
        <w:rPr>
          <w:rFonts w:eastAsia="Times New Roman"/>
          <w:szCs w:val="24"/>
        </w:rPr>
        <w:t>pokud se v rodině narodí další dítě, nárok na starší dítě zaniká</w:t>
      </w:r>
    </w:p>
    <w:p w14:paraId="4A6F4C1B" w14:textId="77777777" w:rsidR="00CE6695" w:rsidRPr="00FC3B7C" w:rsidRDefault="00CE6695" w:rsidP="00D46B53">
      <w:pPr>
        <w:numPr>
          <w:ilvl w:val="1"/>
          <w:numId w:val="356"/>
        </w:numPr>
        <w:tabs>
          <w:tab w:val="left" w:pos="1144"/>
        </w:tabs>
        <w:ind w:left="1144" w:hanging="370"/>
        <w:rPr>
          <w:rFonts w:eastAsia="Times New Roman"/>
          <w:b/>
          <w:bCs/>
          <w:szCs w:val="24"/>
        </w:rPr>
      </w:pPr>
      <w:bookmarkStart w:id="383" w:name="page398"/>
      <w:bookmarkEnd w:id="383"/>
      <w:r w:rsidRPr="00FC3B7C">
        <w:rPr>
          <w:rFonts w:eastAsia="Times New Roman"/>
          <w:b/>
          <w:bCs/>
          <w:szCs w:val="24"/>
        </w:rPr>
        <w:t>výše dávk</w:t>
      </w:r>
      <w:r w:rsidRPr="00FC3B7C">
        <w:rPr>
          <w:rFonts w:eastAsia="Times New Roman"/>
          <w:szCs w:val="24"/>
        </w:rPr>
        <w:t>y:</w:t>
      </w:r>
    </w:p>
    <w:p w14:paraId="4A6F4C1C" w14:textId="77777777" w:rsidR="00CE6695" w:rsidRPr="00FC3B7C" w:rsidRDefault="00CE6695" w:rsidP="00D46B53">
      <w:pPr>
        <w:numPr>
          <w:ilvl w:val="2"/>
          <w:numId w:val="356"/>
        </w:numPr>
        <w:tabs>
          <w:tab w:val="left" w:pos="1704"/>
        </w:tabs>
        <w:ind w:left="1704" w:hanging="363"/>
        <w:rPr>
          <w:rFonts w:eastAsia="Wingdings"/>
          <w:szCs w:val="24"/>
        </w:rPr>
      </w:pPr>
      <w:r w:rsidRPr="00FC3B7C">
        <w:rPr>
          <w:rFonts w:eastAsia="Times New Roman"/>
          <w:szCs w:val="24"/>
        </w:rPr>
        <w:t>celková částka činí 220 000 Kč - nezávisle na délce čerpání</w:t>
      </w:r>
    </w:p>
    <w:p w14:paraId="4A6F4C1D" w14:textId="77777777" w:rsidR="00CE6695" w:rsidRPr="00FC3B7C" w:rsidRDefault="00CE6695" w:rsidP="00D46B53">
      <w:pPr>
        <w:numPr>
          <w:ilvl w:val="2"/>
          <w:numId w:val="356"/>
        </w:numPr>
        <w:tabs>
          <w:tab w:val="left" w:pos="1704"/>
        </w:tabs>
        <w:ind w:left="1704" w:hanging="363"/>
        <w:rPr>
          <w:rFonts w:eastAsia="Wingdings"/>
          <w:szCs w:val="24"/>
        </w:rPr>
      </w:pPr>
      <w:r w:rsidRPr="00FC3B7C">
        <w:rPr>
          <w:rFonts w:eastAsia="Times New Roman"/>
          <w:szCs w:val="24"/>
        </w:rPr>
        <w:t>maximální měsíční výše se stanoví ve vazbě na DVZ</w:t>
      </w:r>
    </w:p>
    <w:p w14:paraId="4A6F4C1E" w14:textId="77777777" w:rsidR="00CE6695" w:rsidRPr="00FC3B7C" w:rsidRDefault="00CE6695" w:rsidP="00D46B53">
      <w:pPr>
        <w:numPr>
          <w:ilvl w:val="2"/>
          <w:numId w:val="356"/>
        </w:numPr>
        <w:tabs>
          <w:tab w:val="left" w:pos="1704"/>
        </w:tabs>
        <w:ind w:left="1704" w:hanging="363"/>
        <w:rPr>
          <w:rFonts w:eastAsia="Wingdings"/>
          <w:szCs w:val="24"/>
        </w:rPr>
      </w:pPr>
      <w:r w:rsidRPr="00FC3B7C">
        <w:rPr>
          <w:rFonts w:eastAsia="Times New Roman"/>
          <w:szCs w:val="24"/>
        </w:rPr>
        <w:t>možné 3 případy: max. výše 11 500 Kč / 7 600 Kč / 7 600 Kč do konce 9. měsíce věku a následně ve výši 3 800 Kč do 4 let věku dítěte</w:t>
      </w:r>
    </w:p>
    <w:p w14:paraId="4A6F4C1F" w14:textId="77777777" w:rsidR="00CE6695" w:rsidRPr="00FC3B7C" w:rsidRDefault="00CE6695" w:rsidP="00D46B53">
      <w:pPr>
        <w:numPr>
          <w:ilvl w:val="2"/>
          <w:numId w:val="356"/>
        </w:numPr>
        <w:tabs>
          <w:tab w:val="left" w:pos="1704"/>
        </w:tabs>
        <w:ind w:left="1704" w:hanging="363"/>
        <w:rPr>
          <w:rFonts w:eastAsia="Wingdings"/>
          <w:szCs w:val="24"/>
        </w:rPr>
      </w:pPr>
      <w:r w:rsidRPr="00FC3B7C">
        <w:rPr>
          <w:rFonts w:eastAsia="Times New Roman"/>
          <w:szCs w:val="24"/>
        </w:rPr>
        <w:t>rodič může pobírat příspěvek a zároveň chodit do práce</w:t>
      </w:r>
    </w:p>
    <w:p w14:paraId="4A6F4C20" w14:textId="285F1A85" w:rsidR="00CE6695" w:rsidRPr="00FC3B7C" w:rsidRDefault="00CE6695" w:rsidP="00093159">
      <w:pPr>
        <w:ind w:left="424"/>
        <w:rPr>
          <w:rFonts w:eastAsia="Wingdings"/>
          <w:szCs w:val="24"/>
        </w:rPr>
      </w:pPr>
      <w:r w:rsidRPr="00FC3B7C">
        <w:rPr>
          <w:rFonts w:eastAsia="Times New Roman"/>
          <w:b/>
          <w:bCs/>
          <w:szCs w:val="24"/>
        </w:rPr>
        <w:t>B.</w:t>
      </w:r>
      <w:r w:rsidR="003376E1">
        <w:rPr>
          <w:rFonts w:eastAsia="Times New Roman"/>
          <w:b/>
          <w:bCs/>
          <w:szCs w:val="24"/>
        </w:rPr>
        <w:t xml:space="preserve"> </w:t>
      </w:r>
      <w:r w:rsidRPr="00FC3B7C">
        <w:rPr>
          <w:rFonts w:eastAsia="Times New Roman"/>
          <w:b/>
          <w:bCs/>
          <w:szCs w:val="24"/>
        </w:rPr>
        <w:t>Pohřebné</w:t>
      </w:r>
    </w:p>
    <w:p w14:paraId="4A6F4C21" w14:textId="77777777" w:rsidR="00CE6695" w:rsidRPr="00FC3B7C" w:rsidRDefault="00CE6695" w:rsidP="00D46B53">
      <w:pPr>
        <w:numPr>
          <w:ilvl w:val="1"/>
          <w:numId w:val="356"/>
        </w:numPr>
        <w:tabs>
          <w:tab w:val="left" w:pos="1144"/>
        </w:tabs>
        <w:ind w:left="1144" w:hanging="370"/>
        <w:rPr>
          <w:rFonts w:eastAsia="Times New Roman"/>
          <w:b/>
          <w:bCs/>
          <w:szCs w:val="24"/>
        </w:rPr>
      </w:pPr>
      <w:r w:rsidRPr="00FC3B7C">
        <w:rPr>
          <w:rFonts w:eastAsia="Times New Roman"/>
          <w:szCs w:val="24"/>
        </w:rPr>
        <w:t>jednorázová dávka, kterou se přispívá na náklady spojené s vypravením pohřbu</w:t>
      </w:r>
    </w:p>
    <w:p w14:paraId="4A6F4C22" w14:textId="77777777" w:rsidR="00CE6695" w:rsidRPr="00FC3B7C" w:rsidRDefault="00CE6695" w:rsidP="00D46B53">
      <w:pPr>
        <w:numPr>
          <w:ilvl w:val="1"/>
          <w:numId w:val="356"/>
        </w:numPr>
        <w:tabs>
          <w:tab w:val="left" w:pos="1144"/>
        </w:tabs>
        <w:ind w:left="1144" w:hanging="370"/>
        <w:rPr>
          <w:rFonts w:eastAsia="Times New Roman"/>
          <w:b/>
          <w:bCs/>
          <w:szCs w:val="24"/>
        </w:rPr>
      </w:pPr>
      <w:r w:rsidRPr="00FC3B7C">
        <w:rPr>
          <w:rFonts w:eastAsia="Times New Roman"/>
          <w:b/>
          <w:bCs/>
          <w:szCs w:val="24"/>
        </w:rPr>
        <w:t xml:space="preserve">vznik nároku </w:t>
      </w:r>
      <w:r w:rsidRPr="00FC3B7C">
        <w:rPr>
          <w:rFonts w:eastAsia="Times New Roman"/>
          <w:szCs w:val="24"/>
        </w:rPr>
        <w:t>- náleží osobě, která vypravila pohřeb nezaopatřenému dítěti, nebo</w:t>
      </w:r>
      <w:r w:rsidRPr="00FC3B7C">
        <w:rPr>
          <w:rFonts w:eastAsia="Times New Roman"/>
          <w:b/>
          <w:bCs/>
          <w:szCs w:val="24"/>
        </w:rPr>
        <w:t xml:space="preserve"> </w:t>
      </w:r>
      <w:r w:rsidRPr="00FC3B7C">
        <w:rPr>
          <w:rFonts w:eastAsia="Times New Roman"/>
          <w:szCs w:val="24"/>
        </w:rPr>
        <w:t>osobě, která byla rodičem nezaopatřeného dítěte</w:t>
      </w:r>
    </w:p>
    <w:p w14:paraId="4A6F4C23" w14:textId="77777777" w:rsidR="00CE6695" w:rsidRPr="00FC3B7C" w:rsidRDefault="00CE6695" w:rsidP="00D46B53">
      <w:pPr>
        <w:numPr>
          <w:ilvl w:val="1"/>
          <w:numId w:val="356"/>
        </w:numPr>
        <w:tabs>
          <w:tab w:val="left" w:pos="1144"/>
        </w:tabs>
        <w:ind w:left="1144" w:hanging="370"/>
        <w:rPr>
          <w:rFonts w:eastAsia="Times New Roman"/>
          <w:b/>
          <w:bCs/>
          <w:szCs w:val="24"/>
        </w:rPr>
      </w:pPr>
      <w:r w:rsidRPr="00FC3B7C">
        <w:rPr>
          <w:rFonts w:eastAsia="Times New Roman"/>
          <w:b/>
          <w:bCs/>
          <w:szCs w:val="24"/>
        </w:rPr>
        <w:t>výše dávky:</w:t>
      </w:r>
    </w:p>
    <w:p w14:paraId="4A6F4C24" w14:textId="77777777" w:rsidR="00CE6695" w:rsidRPr="00FC3B7C" w:rsidRDefault="00CE6695" w:rsidP="00D46B53">
      <w:pPr>
        <w:numPr>
          <w:ilvl w:val="3"/>
          <w:numId w:val="356"/>
        </w:numPr>
        <w:tabs>
          <w:tab w:val="left" w:pos="2224"/>
        </w:tabs>
        <w:ind w:left="2224" w:hanging="358"/>
        <w:rPr>
          <w:rFonts w:eastAsia="Wingdings"/>
          <w:szCs w:val="24"/>
        </w:rPr>
      </w:pPr>
      <w:r w:rsidRPr="00FC3B7C">
        <w:rPr>
          <w:rFonts w:eastAsia="Times New Roman"/>
          <w:szCs w:val="24"/>
        </w:rPr>
        <w:t>pevná částka 5 000 Kč</w:t>
      </w:r>
    </w:p>
    <w:p w14:paraId="4A6F4C25" w14:textId="77777777" w:rsidR="00CE6695" w:rsidRPr="00FC3B7C" w:rsidRDefault="00CE6695" w:rsidP="00093159">
      <w:pPr>
        <w:rPr>
          <w:sz w:val="20"/>
          <w:szCs w:val="20"/>
        </w:rPr>
      </w:pPr>
    </w:p>
    <w:p w14:paraId="4A6F4C26" w14:textId="77777777" w:rsidR="00CE6695" w:rsidRPr="00FC3B7C" w:rsidRDefault="00CE6695" w:rsidP="00477A50">
      <w:pPr>
        <w:ind w:left="4" w:firstLine="716"/>
        <w:rPr>
          <w:sz w:val="20"/>
          <w:szCs w:val="20"/>
        </w:rPr>
      </w:pPr>
      <w:r w:rsidRPr="00FC3B7C">
        <w:rPr>
          <w:rFonts w:eastAsia="Times New Roman"/>
          <w:szCs w:val="24"/>
        </w:rPr>
        <w:t>Od 1. 1. 2013 již do systému SSP nepatří dávky pěstounské péče!! Právní úprava dávek přesunuta do zákona č. 359/1999 Sb., o sociálně-právní ochraně dětí. Jedná se o tyto dávky:</w:t>
      </w:r>
    </w:p>
    <w:p w14:paraId="4A6F4C27" w14:textId="77777777" w:rsidR="00CE6695" w:rsidRPr="00FC3B7C" w:rsidRDefault="00CE6695" w:rsidP="00D46B53">
      <w:pPr>
        <w:numPr>
          <w:ilvl w:val="0"/>
          <w:numId w:val="357"/>
        </w:numPr>
        <w:tabs>
          <w:tab w:val="left" w:pos="1564"/>
        </w:tabs>
        <w:ind w:left="1564" w:hanging="353"/>
        <w:rPr>
          <w:rFonts w:eastAsia="Arial"/>
          <w:szCs w:val="24"/>
        </w:rPr>
      </w:pPr>
      <w:r w:rsidRPr="00FC3B7C">
        <w:rPr>
          <w:rFonts w:eastAsia="Times New Roman"/>
          <w:szCs w:val="24"/>
        </w:rPr>
        <w:t>příspěvek na úhradu potřeb dítěte</w:t>
      </w:r>
    </w:p>
    <w:p w14:paraId="4A6F4C28" w14:textId="77777777" w:rsidR="00CE6695" w:rsidRPr="00FC3B7C" w:rsidRDefault="00CE6695" w:rsidP="00D46B53">
      <w:pPr>
        <w:numPr>
          <w:ilvl w:val="0"/>
          <w:numId w:val="357"/>
        </w:numPr>
        <w:tabs>
          <w:tab w:val="left" w:pos="1564"/>
        </w:tabs>
        <w:ind w:left="1564" w:hanging="353"/>
        <w:rPr>
          <w:rFonts w:eastAsia="Arial"/>
          <w:szCs w:val="24"/>
        </w:rPr>
      </w:pPr>
      <w:r w:rsidRPr="00FC3B7C">
        <w:rPr>
          <w:rFonts w:eastAsia="Times New Roman"/>
          <w:szCs w:val="24"/>
        </w:rPr>
        <w:t>příspěvek při ukončení pěstounské péče - nová dávka od 1. 1. 2013</w:t>
      </w:r>
    </w:p>
    <w:p w14:paraId="4A6F4C29" w14:textId="77777777" w:rsidR="00CE6695" w:rsidRPr="00FC3B7C" w:rsidRDefault="00CE6695" w:rsidP="00D46B53">
      <w:pPr>
        <w:numPr>
          <w:ilvl w:val="0"/>
          <w:numId w:val="357"/>
        </w:numPr>
        <w:tabs>
          <w:tab w:val="left" w:pos="1564"/>
        </w:tabs>
        <w:ind w:left="1564" w:hanging="353"/>
        <w:rPr>
          <w:rFonts w:eastAsia="Arial"/>
          <w:szCs w:val="24"/>
        </w:rPr>
      </w:pPr>
      <w:r w:rsidRPr="00FC3B7C">
        <w:rPr>
          <w:rFonts w:eastAsia="Times New Roman"/>
          <w:szCs w:val="24"/>
        </w:rPr>
        <w:t>odměna pěstouna</w:t>
      </w:r>
    </w:p>
    <w:p w14:paraId="4A6F4C2A" w14:textId="77777777" w:rsidR="00CE6695" w:rsidRPr="00FC3B7C" w:rsidRDefault="00CE6695" w:rsidP="00D46B53">
      <w:pPr>
        <w:numPr>
          <w:ilvl w:val="0"/>
          <w:numId w:val="357"/>
        </w:numPr>
        <w:tabs>
          <w:tab w:val="left" w:pos="1564"/>
        </w:tabs>
        <w:ind w:left="1564" w:hanging="353"/>
        <w:rPr>
          <w:rFonts w:eastAsia="Arial"/>
          <w:szCs w:val="24"/>
        </w:rPr>
      </w:pPr>
      <w:r w:rsidRPr="00FC3B7C">
        <w:rPr>
          <w:rFonts w:eastAsia="Times New Roman"/>
          <w:szCs w:val="24"/>
        </w:rPr>
        <w:lastRenderedPageBreak/>
        <w:t>příspěvek při převzetí dítěte</w:t>
      </w:r>
    </w:p>
    <w:p w14:paraId="4A6F4C2B" w14:textId="77777777" w:rsidR="00CE6695" w:rsidRPr="00FC3B7C" w:rsidRDefault="00CE6695" w:rsidP="00D46B53">
      <w:pPr>
        <w:numPr>
          <w:ilvl w:val="0"/>
          <w:numId w:val="357"/>
        </w:numPr>
        <w:tabs>
          <w:tab w:val="left" w:pos="1564"/>
        </w:tabs>
        <w:ind w:left="1564" w:hanging="353"/>
        <w:rPr>
          <w:rFonts w:eastAsia="Arial"/>
          <w:szCs w:val="24"/>
        </w:rPr>
      </w:pPr>
      <w:r w:rsidRPr="00FC3B7C">
        <w:rPr>
          <w:rFonts w:eastAsia="Times New Roman"/>
          <w:szCs w:val="24"/>
        </w:rPr>
        <w:t>příspěvek na zakoupení motorového vozidla</w:t>
      </w:r>
    </w:p>
    <w:p w14:paraId="4A6F4C2E" w14:textId="77777777" w:rsidR="00093159" w:rsidRDefault="00093159" w:rsidP="0070178B">
      <w:pPr>
        <w:spacing w:line="240" w:lineRule="auto"/>
        <w:rPr>
          <w:rFonts w:eastAsia="Times New Roman"/>
          <w:b/>
          <w:bCs/>
          <w:sz w:val="28"/>
          <w:szCs w:val="28"/>
        </w:rPr>
      </w:pPr>
    </w:p>
    <w:p w14:paraId="4A6F4C2F" w14:textId="0119FF78" w:rsidR="00CE6695" w:rsidRPr="0070178B" w:rsidRDefault="00EC5DF9" w:rsidP="00093159">
      <w:pPr>
        <w:pStyle w:val="Nadpis3"/>
        <w:rPr>
          <w:color w:val="1F3864" w:themeColor="accent1" w:themeShade="80"/>
          <w:sz w:val="20"/>
          <w:szCs w:val="20"/>
        </w:rPr>
      </w:pPr>
      <w:r w:rsidRPr="0070178B">
        <w:rPr>
          <w:rFonts w:eastAsia="Times New Roman"/>
          <w:color w:val="1F3864" w:themeColor="accent1" w:themeShade="80"/>
        </w:rPr>
        <w:t xml:space="preserve"> </w:t>
      </w:r>
      <w:r w:rsidR="00477A50" w:rsidRPr="0070178B">
        <w:rPr>
          <w:rFonts w:eastAsia="Times New Roman"/>
          <w:color w:val="1F3864" w:themeColor="accent1" w:themeShade="80"/>
        </w:rPr>
        <w:t>3. p</w:t>
      </w:r>
      <w:r w:rsidR="00CE6695" w:rsidRPr="0070178B">
        <w:rPr>
          <w:rFonts w:eastAsia="Times New Roman"/>
          <w:color w:val="1F3864" w:themeColor="accent1" w:themeShade="80"/>
        </w:rPr>
        <w:t>ilíř - sociální pomoc</w:t>
      </w:r>
    </w:p>
    <w:p w14:paraId="4A6F4C30" w14:textId="5D6A3CF0" w:rsidR="00CE6695" w:rsidRPr="00FC3B7C" w:rsidRDefault="00CE6695" w:rsidP="00477A50">
      <w:pPr>
        <w:ind w:left="4" w:firstLine="716"/>
        <w:rPr>
          <w:rFonts w:eastAsia="Times New Roman"/>
          <w:szCs w:val="24"/>
        </w:rPr>
      </w:pPr>
      <w:r w:rsidRPr="00FC3B7C">
        <w:rPr>
          <w:rFonts w:eastAsia="Times New Roman"/>
          <w:sz w:val="23"/>
          <w:szCs w:val="23"/>
        </w:rPr>
        <w:t xml:space="preserve">Reaguje na tyto sociální události: </w:t>
      </w:r>
      <w:r w:rsidRPr="00FC3B7C">
        <w:rPr>
          <w:rFonts w:eastAsia="Times New Roman"/>
          <w:b/>
          <w:bCs/>
          <w:sz w:val="23"/>
          <w:szCs w:val="23"/>
        </w:rPr>
        <w:t>sociální</w:t>
      </w:r>
      <w:r w:rsidRPr="00FC3B7C">
        <w:rPr>
          <w:rFonts w:eastAsia="Times New Roman"/>
          <w:sz w:val="23"/>
          <w:szCs w:val="23"/>
        </w:rPr>
        <w:t xml:space="preserve"> </w:t>
      </w:r>
      <w:r w:rsidRPr="00FC3B7C">
        <w:rPr>
          <w:rFonts w:eastAsia="Times New Roman"/>
          <w:b/>
          <w:bCs/>
          <w:sz w:val="23"/>
          <w:szCs w:val="23"/>
        </w:rPr>
        <w:t>či hmotná nouze</w:t>
      </w:r>
      <w:r w:rsidRPr="00FC3B7C">
        <w:rPr>
          <w:rFonts w:eastAsia="Times New Roman"/>
          <w:sz w:val="23"/>
          <w:szCs w:val="23"/>
        </w:rPr>
        <w:t>. Slouží k uspokojení základních potřeb v nezbytném rozsahu. Financována multizdrojově - ze státního rozpočtu, rozpočtů samospráv, fondů a ze soukromých zdrojů. Vzniká tehdy, kdy není možné realizovat I. či II. Pilíř. Upravuje zákon č. 111/2006 Sb., o pomoci v hmotné nouzi. Jedná se o formu pomoci osobám s nedostatečnými příjmy, která tyto osoby motivuje k aktivní snaze zajistit si prostředky</w:t>
      </w:r>
      <w:r w:rsidR="00093159">
        <w:rPr>
          <w:rFonts w:eastAsia="Times New Roman"/>
          <w:sz w:val="23"/>
          <w:szCs w:val="23"/>
        </w:rPr>
        <w:t xml:space="preserve"> </w:t>
      </w:r>
      <w:r w:rsidR="00093159">
        <w:rPr>
          <w:rFonts w:eastAsia="Times New Roman"/>
          <w:sz w:val="23"/>
          <w:szCs w:val="23"/>
        </w:rPr>
        <w:br/>
        <w:t xml:space="preserve">k </w:t>
      </w:r>
      <w:r w:rsidRPr="00FC3B7C">
        <w:rPr>
          <w:rFonts w:eastAsia="Times New Roman"/>
          <w:szCs w:val="24"/>
        </w:rPr>
        <w:t xml:space="preserve">uspokojení životních potřeb. </w:t>
      </w:r>
      <w:bookmarkStart w:id="384" w:name="_Hlk531084065"/>
      <w:r w:rsidRPr="00FC3B7C">
        <w:rPr>
          <w:rFonts w:eastAsia="Times New Roman"/>
          <w:szCs w:val="24"/>
        </w:rPr>
        <w:t>Vychází z principu, že každá osoba, která pracuje, se musí mít lépe než ta, která nepracuje.</w:t>
      </w:r>
    </w:p>
    <w:bookmarkEnd w:id="384"/>
    <w:p w14:paraId="4A6F4C32" w14:textId="4AC8595C" w:rsidR="00CE6695" w:rsidRPr="00FC3B7C" w:rsidRDefault="00CE6695" w:rsidP="00477A50">
      <w:pPr>
        <w:ind w:left="4"/>
        <w:rPr>
          <w:sz w:val="20"/>
          <w:szCs w:val="20"/>
        </w:rPr>
      </w:pPr>
      <w:r w:rsidRPr="00FC3B7C">
        <w:rPr>
          <w:rFonts w:eastAsia="Times New Roman"/>
          <w:b/>
          <w:bCs/>
          <w:szCs w:val="24"/>
        </w:rPr>
        <w:t xml:space="preserve">Hmotná nouze: </w:t>
      </w:r>
      <w:r w:rsidRPr="00FC3B7C">
        <w:rPr>
          <w:rFonts w:eastAsia="Times New Roman"/>
          <w:szCs w:val="24"/>
        </w:rPr>
        <w:t>stav, kdy osoba</w:t>
      </w:r>
      <w:r w:rsidRPr="00FC3B7C">
        <w:rPr>
          <w:rFonts w:eastAsia="Times New Roman"/>
          <w:b/>
          <w:bCs/>
          <w:szCs w:val="24"/>
        </w:rPr>
        <w:t xml:space="preserve"> </w:t>
      </w:r>
      <w:r w:rsidRPr="00FC3B7C">
        <w:rPr>
          <w:rFonts w:eastAsia="Times New Roman"/>
          <w:szCs w:val="24"/>
        </w:rPr>
        <w:t>či rodina nemá dostatečné příjmy a její celkové sociální a</w:t>
      </w:r>
      <w:r w:rsidRPr="00FC3B7C">
        <w:rPr>
          <w:rFonts w:eastAsia="Times New Roman"/>
          <w:b/>
          <w:bCs/>
          <w:szCs w:val="24"/>
        </w:rPr>
        <w:t xml:space="preserve"> </w:t>
      </w:r>
      <w:r w:rsidRPr="00FC3B7C">
        <w:rPr>
          <w:rFonts w:eastAsia="Times New Roman"/>
          <w:szCs w:val="24"/>
        </w:rPr>
        <w:t>majetkové poměry neumožňují uspokojení základních životních potřeb na úrovni ještě</w:t>
      </w:r>
      <w:bookmarkStart w:id="385" w:name="page399"/>
      <w:bookmarkEnd w:id="385"/>
      <w:r w:rsidR="00477A50">
        <w:rPr>
          <w:sz w:val="20"/>
          <w:szCs w:val="20"/>
        </w:rPr>
        <w:t xml:space="preserve"> </w:t>
      </w:r>
      <w:r w:rsidRPr="00FC3B7C">
        <w:rPr>
          <w:rFonts w:eastAsia="Times New Roman"/>
          <w:sz w:val="23"/>
          <w:szCs w:val="23"/>
        </w:rPr>
        <w:t>přijatelné pro společnost. Současně si tyto příjmy nemůže z objektivních důvodů zvýšit (prodej majetku) a vyřešit tak svou situaci vlastním přičin</w:t>
      </w:r>
      <w:r w:rsidR="00124942">
        <w:rPr>
          <w:rFonts w:eastAsia="Times New Roman"/>
          <w:sz w:val="23"/>
          <w:szCs w:val="23"/>
        </w:rPr>
        <w:t>ěním. V hmotné nouzi není osoba,</w:t>
      </w:r>
      <w:r w:rsidRPr="00FC3B7C">
        <w:rPr>
          <w:rFonts w:eastAsia="Times New Roman"/>
          <w:sz w:val="23"/>
          <w:szCs w:val="23"/>
        </w:rPr>
        <w:t xml:space="preserve"> která:</w:t>
      </w:r>
    </w:p>
    <w:p w14:paraId="4A6F4C33" w14:textId="77777777" w:rsidR="00CE6695" w:rsidRPr="00FC3B7C" w:rsidRDefault="00CE6695" w:rsidP="00D46B53">
      <w:pPr>
        <w:numPr>
          <w:ilvl w:val="0"/>
          <w:numId w:val="358"/>
        </w:numPr>
        <w:tabs>
          <w:tab w:val="left" w:pos="1560"/>
        </w:tabs>
        <w:ind w:left="1560" w:hanging="353"/>
        <w:rPr>
          <w:rFonts w:eastAsia="Arial"/>
          <w:szCs w:val="24"/>
        </w:rPr>
      </w:pPr>
      <w:r w:rsidRPr="00FC3B7C">
        <w:rPr>
          <w:rFonts w:eastAsia="Times New Roman"/>
          <w:szCs w:val="24"/>
        </w:rPr>
        <w:t>neprojevuje snahu zvýšit si příjem vlastním přičiněním</w:t>
      </w:r>
    </w:p>
    <w:p w14:paraId="4A6F4C34" w14:textId="0318F126" w:rsidR="00CE6695" w:rsidRPr="00FC3B7C" w:rsidRDefault="00CE6695" w:rsidP="00D46B53">
      <w:pPr>
        <w:numPr>
          <w:ilvl w:val="0"/>
          <w:numId w:val="358"/>
        </w:numPr>
        <w:tabs>
          <w:tab w:val="left" w:pos="1560"/>
        </w:tabs>
        <w:ind w:left="1560" w:hanging="353"/>
        <w:rPr>
          <w:rFonts w:eastAsia="Arial"/>
          <w:szCs w:val="24"/>
        </w:rPr>
      </w:pPr>
      <w:r w:rsidRPr="00FC3B7C">
        <w:rPr>
          <w:rFonts w:eastAsia="Times New Roman"/>
          <w:szCs w:val="24"/>
        </w:rPr>
        <w:t>není v pracovním vztahu, nevykonává samostatnou výdělečnou činnost</w:t>
      </w:r>
      <w:r w:rsidR="00124942">
        <w:rPr>
          <w:rFonts w:eastAsia="Times New Roman"/>
          <w:szCs w:val="24"/>
        </w:rPr>
        <w:t xml:space="preserve"> a</w:t>
      </w:r>
      <w:r w:rsidRPr="00FC3B7C">
        <w:rPr>
          <w:rFonts w:eastAsia="Times New Roman"/>
          <w:szCs w:val="24"/>
        </w:rPr>
        <w:t xml:space="preserve"> není vedena v evidenci uchazečů o zaměstnání</w:t>
      </w:r>
    </w:p>
    <w:p w14:paraId="4A6F4C35" w14:textId="77777777" w:rsidR="00CE6695" w:rsidRPr="00FC3B7C" w:rsidRDefault="00CE6695" w:rsidP="00D46B53">
      <w:pPr>
        <w:numPr>
          <w:ilvl w:val="0"/>
          <w:numId w:val="358"/>
        </w:numPr>
        <w:tabs>
          <w:tab w:val="left" w:pos="1560"/>
        </w:tabs>
        <w:ind w:left="1560" w:hanging="353"/>
        <w:rPr>
          <w:rFonts w:eastAsia="Arial"/>
          <w:szCs w:val="24"/>
        </w:rPr>
      </w:pPr>
      <w:r w:rsidRPr="00FC3B7C">
        <w:rPr>
          <w:rFonts w:eastAsia="Times New Roman"/>
          <w:szCs w:val="24"/>
        </w:rPr>
        <w:t>je vedena v evidenci uchazečů o zaměstnání a bez vážných důvodů odmítla vykonávat krátkodobé zaměstnání</w:t>
      </w:r>
    </w:p>
    <w:p w14:paraId="4A6F4C36" w14:textId="77777777" w:rsidR="00CE6695" w:rsidRPr="00FC3B7C" w:rsidRDefault="00CE6695" w:rsidP="00D46B53">
      <w:pPr>
        <w:numPr>
          <w:ilvl w:val="0"/>
          <w:numId w:val="358"/>
        </w:numPr>
        <w:tabs>
          <w:tab w:val="left" w:pos="1560"/>
        </w:tabs>
        <w:ind w:left="1560" w:hanging="353"/>
        <w:rPr>
          <w:rFonts w:eastAsia="Arial"/>
          <w:sz w:val="23"/>
          <w:szCs w:val="23"/>
        </w:rPr>
      </w:pPr>
      <w:r w:rsidRPr="00FC3B7C">
        <w:rPr>
          <w:rFonts w:eastAsia="Times New Roman"/>
          <w:sz w:val="23"/>
          <w:szCs w:val="23"/>
        </w:rPr>
        <w:t>nastoupila výkon zabezpečovací detence nebo trestu odnětí svobody/ ve vazbě</w:t>
      </w:r>
    </w:p>
    <w:p w14:paraId="4A6F4C37" w14:textId="77777777" w:rsidR="00CE6695" w:rsidRPr="00FC3B7C" w:rsidRDefault="00CE6695" w:rsidP="00093159">
      <w:pPr>
        <w:rPr>
          <w:sz w:val="20"/>
          <w:szCs w:val="20"/>
        </w:rPr>
      </w:pPr>
      <w:r w:rsidRPr="00FC3B7C">
        <w:rPr>
          <w:rFonts w:eastAsia="Times New Roman"/>
          <w:b/>
          <w:bCs/>
          <w:szCs w:val="24"/>
        </w:rPr>
        <w:t xml:space="preserve">Sociální nouze: </w:t>
      </w:r>
      <w:r w:rsidRPr="00FC3B7C">
        <w:rPr>
          <w:rFonts w:eastAsia="Times New Roman"/>
          <w:szCs w:val="24"/>
        </w:rPr>
        <w:t>stav, kdy se</w:t>
      </w:r>
      <w:r w:rsidRPr="00FC3B7C">
        <w:rPr>
          <w:rFonts w:eastAsia="Times New Roman"/>
          <w:b/>
          <w:bCs/>
          <w:szCs w:val="24"/>
        </w:rPr>
        <w:t xml:space="preserve"> </w:t>
      </w:r>
      <w:r w:rsidRPr="00FC3B7C">
        <w:rPr>
          <w:rFonts w:eastAsia="Times New Roman"/>
          <w:szCs w:val="24"/>
        </w:rPr>
        <w:t>člověk nedokáže sám o sebe postarat z důvodu věku, invalidity,</w:t>
      </w:r>
      <w:r w:rsidRPr="00FC3B7C">
        <w:rPr>
          <w:rFonts w:eastAsia="Times New Roman"/>
          <w:b/>
          <w:bCs/>
          <w:szCs w:val="24"/>
        </w:rPr>
        <w:t xml:space="preserve"> </w:t>
      </w:r>
      <w:r w:rsidRPr="00FC3B7C">
        <w:rPr>
          <w:rFonts w:eastAsia="Times New Roman"/>
          <w:szCs w:val="24"/>
        </w:rPr>
        <w:t>zdravotního stavu aj.</w:t>
      </w:r>
    </w:p>
    <w:p w14:paraId="4A6F4C38" w14:textId="77777777" w:rsidR="00CE6695" w:rsidRPr="00FC3B7C" w:rsidRDefault="00CE6695" w:rsidP="00093159">
      <w:pPr>
        <w:rPr>
          <w:sz w:val="20"/>
          <w:szCs w:val="20"/>
        </w:rPr>
      </w:pPr>
      <w:r w:rsidRPr="00FC3B7C">
        <w:rPr>
          <w:rFonts w:eastAsia="Times New Roman"/>
          <w:b/>
          <w:bCs/>
          <w:szCs w:val="24"/>
        </w:rPr>
        <w:t xml:space="preserve">Sociální pomoc: </w:t>
      </w:r>
      <w:r w:rsidRPr="00FC3B7C">
        <w:rPr>
          <w:rFonts w:eastAsia="Times New Roman"/>
          <w:szCs w:val="24"/>
        </w:rPr>
        <w:t>poslední síť</w:t>
      </w:r>
      <w:r w:rsidRPr="00FC3B7C">
        <w:rPr>
          <w:rFonts w:eastAsia="Times New Roman"/>
          <w:b/>
          <w:bCs/>
          <w:szCs w:val="24"/>
        </w:rPr>
        <w:t xml:space="preserve"> </w:t>
      </w:r>
      <w:r w:rsidRPr="00FC3B7C">
        <w:rPr>
          <w:rFonts w:eastAsia="Times New Roman"/>
          <w:szCs w:val="24"/>
        </w:rPr>
        <w:t>sociální ochrany (,,záchranná sociální síť“).</w:t>
      </w:r>
    </w:p>
    <w:p w14:paraId="4A6F4C39" w14:textId="77777777" w:rsidR="00CE6695" w:rsidRPr="00FC3B7C" w:rsidRDefault="00CE6695" w:rsidP="00093159">
      <w:pPr>
        <w:rPr>
          <w:sz w:val="20"/>
          <w:szCs w:val="20"/>
        </w:rPr>
      </w:pPr>
      <w:r w:rsidRPr="00FC3B7C">
        <w:rPr>
          <w:rFonts w:eastAsia="Times New Roman"/>
          <w:b/>
          <w:bCs/>
          <w:szCs w:val="24"/>
        </w:rPr>
        <w:t xml:space="preserve">Nástroje sociální pomoci - </w:t>
      </w:r>
      <w:r w:rsidRPr="00FC3B7C">
        <w:rPr>
          <w:rFonts w:eastAsia="Times New Roman"/>
          <w:szCs w:val="24"/>
        </w:rPr>
        <w:t>kloubí prvky sociální pomoci a sociální péče: Poradenství, sociálně-právní ochrana, sociální prevence, sociální služby (domovy důchodců, pečovatelské služby), dávky sociální péče.</w:t>
      </w:r>
    </w:p>
    <w:p w14:paraId="4A6F4C3A" w14:textId="77777777" w:rsidR="00CE6695" w:rsidRPr="00FC3B7C" w:rsidRDefault="00CE6695" w:rsidP="00093159">
      <w:pPr>
        <w:ind w:right="20"/>
        <w:rPr>
          <w:sz w:val="20"/>
          <w:szCs w:val="20"/>
        </w:rPr>
      </w:pPr>
      <w:r w:rsidRPr="00FC3B7C">
        <w:rPr>
          <w:rFonts w:eastAsia="Times New Roman"/>
          <w:b/>
          <w:bCs/>
          <w:szCs w:val="24"/>
        </w:rPr>
        <w:t xml:space="preserve">Dávky, kterými se řeší hmotná nouze </w:t>
      </w:r>
      <w:r w:rsidRPr="00FC3B7C">
        <w:rPr>
          <w:rFonts w:eastAsia="Times New Roman"/>
          <w:szCs w:val="24"/>
        </w:rPr>
        <w:t>- rozhodují o nich a vyplácí je příslušné krajské</w:t>
      </w:r>
      <w:r w:rsidRPr="00FC3B7C">
        <w:rPr>
          <w:rFonts w:eastAsia="Times New Roman"/>
          <w:b/>
          <w:bCs/>
          <w:szCs w:val="24"/>
        </w:rPr>
        <w:t xml:space="preserve"> </w:t>
      </w:r>
      <w:r w:rsidRPr="00FC3B7C">
        <w:rPr>
          <w:rFonts w:eastAsia="Times New Roman"/>
          <w:szCs w:val="24"/>
        </w:rPr>
        <w:t>pobočky Úřadu práce ČR:</w:t>
      </w:r>
    </w:p>
    <w:p w14:paraId="4A6F4C3B" w14:textId="77777777" w:rsidR="00CE6695" w:rsidRPr="00FC3B7C" w:rsidRDefault="00CE6695" w:rsidP="00D46B53">
      <w:pPr>
        <w:numPr>
          <w:ilvl w:val="2"/>
          <w:numId w:val="359"/>
        </w:numPr>
        <w:tabs>
          <w:tab w:val="left" w:pos="1560"/>
        </w:tabs>
        <w:ind w:left="1560" w:hanging="351"/>
        <w:rPr>
          <w:rFonts w:eastAsia="Arial"/>
          <w:szCs w:val="24"/>
        </w:rPr>
      </w:pPr>
      <w:r w:rsidRPr="00FC3B7C">
        <w:rPr>
          <w:rFonts w:eastAsia="Times New Roman"/>
          <w:szCs w:val="24"/>
        </w:rPr>
        <w:t>příspěvek na živobytí</w:t>
      </w:r>
    </w:p>
    <w:p w14:paraId="4A6F4C3C" w14:textId="77777777" w:rsidR="00CE6695" w:rsidRPr="00FC3B7C" w:rsidRDefault="00CE6695" w:rsidP="00D46B53">
      <w:pPr>
        <w:numPr>
          <w:ilvl w:val="2"/>
          <w:numId w:val="359"/>
        </w:numPr>
        <w:tabs>
          <w:tab w:val="left" w:pos="1560"/>
        </w:tabs>
        <w:ind w:left="1560" w:hanging="351"/>
        <w:rPr>
          <w:rFonts w:eastAsia="Arial"/>
          <w:szCs w:val="24"/>
        </w:rPr>
      </w:pPr>
      <w:r w:rsidRPr="00FC3B7C">
        <w:rPr>
          <w:rFonts w:eastAsia="Times New Roman"/>
          <w:szCs w:val="24"/>
        </w:rPr>
        <w:t>doplatek na bydlení</w:t>
      </w:r>
    </w:p>
    <w:p w14:paraId="4A6F4C3D" w14:textId="77777777" w:rsidR="00CE6695" w:rsidRPr="00FC3B7C" w:rsidRDefault="00CE6695" w:rsidP="00D46B53">
      <w:pPr>
        <w:numPr>
          <w:ilvl w:val="2"/>
          <w:numId w:val="359"/>
        </w:numPr>
        <w:tabs>
          <w:tab w:val="left" w:pos="1560"/>
        </w:tabs>
        <w:ind w:left="1560" w:hanging="353"/>
        <w:rPr>
          <w:rFonts w:eastAsia="Arial"/>
          <w:szCs w:val="24"/>
        </w:rPr>
      </w:pPr>
      <w:r w:rsidRPr="00FC3B7C">
        <w:rPr>
          <w:rFonts w:eastAsia="Times New Roman"/>
          <w:szCs w:val="24"/>
        </w:rPr>
        <w:t>mimořádná okamžitá pomoc</w:t>
      </w:r>
    </w:p>
    <w:p w14:paraId="4A6F4C3E" w14:textId="1D7B5C67" w:rsidR="00CE6695" w:rsidRPr="00FC3B7C" w:rsidRDefault="00CE6695" w:rsidP="00093159">
      <w:pPr>
        <w:ind w:left="420"/>
        <w:rPr>
          <w:rFonts w:eastAsia="Arial"/>
          <w:szCs w:val="24"/>
        </w:rPr>
      </w:pPr>
      <w:r w:rsidRPr="00FC3B7C">
        <w:rPr>
          <w:rFonts w:eastAsia="Times New Roman"/>
          <w:b/>
          <w:bCs/>
          <w:szCs w:val="24"/>
        </w:rPr>
        <w:t>A.</w:t>
      </w:r>
      <w:r w:rsidR="003376E1">
        <w:rPr>
          <w:rFonts w:eastAsia="Times New Roman"/>
          <w:b/>
          <w:bCs/>
          <w:szCs w:val="24"/>
        </w:rPr>
        <w:t xml:space="preserve"> </w:t>
      </w:r>
      <w:r w:rsidRPr="00FC3B7C">
        <w:rPr>
          <w:rFonts w:eastAsia="Times New Roman"/>
          <w:b/>
          <w:bCs/>
          <w:szCs w:val="24"/>
        </w:rPr>
        <w:t>Příspěvek na živobytí</w:t>
      </w:r>
    </w:p>
    <w:p w14:paraId="4A6F4C3F" w14:textId="77777777" w:rsidR="00CE6695" w:rsidRPr="00093159" w:rsidRDefault="00CE6695" w:rsidP="00D46B53">
      <w:pPr>
        <w:numPr>
          <w:ilvl w:val="1"/>
          <w:numId w:val="359"/>
        </w:numPr>
        <w:tabs>
          <w:tab w:val="left" w:pos="1140"/>
        </w:tabs>
        <w:ind w:left="1140" w:hanging="367"/>
        <w:rPr>
          <w:rFonts w:eastAsia="Arial"/>
          <w:szCs w:val="24"/>
        </w:rPr>
      </w:pPr>
      <w:r w:rsidRPr="00093159">
        <w:rPr>
          <w:rFonts w:eastAsia="Times New Roman"/>
          <w:szCs w:val="24"/>
        </w:rPr>
        <w:t>základní dávka, která pomáhá osobě či rodině při nedostatečném příjmu</w:t>
      </w:r>
    </w:p>
    <w:p w14:paraId="4A6F4C40" w14:textId="77777777" w:rsidR="00CE6695" w:rsidRPr="00093159" w:rsidRDefault="00CE6695" w:rsidP="00D46B53">
      <w:pPr>
        <w:numPr>
          <w:ilvl w:val="1"/>
          <w:numId w:val="359"/>
        </w:numPr>
        <w:tabs>
          <w:tab w:val="left" w:pos="1140"/>
        </w:tabs>
        <w:ind w:left="1140" w:right="20" w:hanging="367"/>
        <w:rPr>
          <w:rFonts w:eastAsia="Arial"/>
          <w:szCs w:val="24"/>
        </w:rPr>
      </w:pPr>
      <w:r w:rsidRPr="00093159">
        <w:rPr>
          <w:rFonts w:eastAsia="Times New Roman"/>
          <w:szCs w:val="24"/>
        </w:rPr>
        <w:lastRenderedPageBreak/>
        <w:t>vznik nároku - nárok vzniká osobě či rodině, pokud po odečtení přiměřených nákladů na bydlení nedosahuje její příjem částky živobytí</w:t>
      </w:r>
    </w:p>
    <w:p w14:paraId="4A6F4C41" w14:textId="77777777" w:rsidR="00CE6695" w:rsidRPr="00FC3B7C" w:rsidRDefault="00CE6695" w:rsidP="00D46B53">
      <w:pPr>
        <w:numPr>
          <w:ilvl w:val="1"/>
          <w:numId w:val="359"/>
        </w:numPr>
        <w:tabs>
          <w:tab w:val="left" w:pos="1140"/>
        </w:tabs>
        <w:ind w:left="1140" w:right="20" w:hanging="367"/>
        <w:rPr>
          <w:rFonts w:eastAsia="Arial"/>
          <w:szCs w:val="24"/>
        </w:rPr>
      </w:pPr>
      <w:r w:rsidRPr="00FC3B7C">
        <w:rPr>
          <w:rFonts w:eastAsia="Times New Roman"/>
          <w:szCs w:val="24"/>
        </w:rPr>
        <w:t>pokud je příspěvek na živobytí poskytován déle než 6 měsíců – aktivizační plán – směřuje k řešení hmotné nouze</w:t>
      </w:r>
    </w:p>
    <w:p w14:paraId="4A6F4C42" w14:textId="77777777" w:rsidR="00CE6695" w:rsidRPr="00FC3B7C" w:rsidRDefault="00CE6695" w:rsidP="00D46B53">
      <w:pPr>
        <w:numPr>
          <w:ilvl w:val="1"/>
          <w:numId w:val="359"/>
        </w:numPr>
        <w:tabs>
          <w:tab w:val="left" w:pos="1140"/>
        </w:tabs>
        <w:ind w:left="1140" w:right="20" w:hanging="370"/>
        <w:rPr>
          <w:rFonts w:eastAsia="Arial"/>
          <w:szCs w:val="24"/>
        </w:rPr>
      </w:pPr>
      <w:r w:rsidRPr="00FC3B7C">
        <w:rPr>
          <w:rFonts w:eastAsia="Times New Roman"/>
          <w:szCs w:val="24"/>
        </w:rPr>
        <w:t>částka živobytí se stanovuje pro každou osobu individuálně, odvíjí se od částek existenčního a životního minima</w:t>
      </w:r>
    </w:p>
    <w:p w14:paraId="4A6F4C43" w14:textId="77777777" w:rsidR="00CE6695" w:rsidRPr="00FC3B7C" w:rsidRDefault="00CE6695" w:rsidP="00D46B53">
      <w:pPr>
        <w:numPr>
          <w:ilvl w:val="3"/>
          <w:numId w:val="359"/>
        </w:numPr>
        <w:tabs>
          <w:tab w:val="left" w:pos="1700"/>
        </w:tabs>
        <w:ind w:left="1700" w:hanging="360"/>
        <w:rPr>
          <w:rFonts w:eastAsia="Arial"/>
          <w:szCs w:val="24"/>
        </w:rPr>
      </w:pPr>
      <w:r w:rsidRPr="00FC3B7C">
        <w:rPr>
          <w:rFonts w:eastAsia="Times New Roman"/>
          <w:szCs w:val="24"/>
        </w:rPr>
        <w:t>životní minimum: 3410 Kč</w:t>
      </w:r>
    </w:p>
    <w:p w14:paraId="4A6F4C44" w14:textId="77777777" w:rsidR="00CE6695" w:rsidRPr="00FC3B7C" w:rsidRDefault="00CE6695" w:rsidP="00D46B53">
      <w:pPr>
        <w:numPr>
          <w:ilvl w:val="3"/>
          <w:numId w:val="359"/>
        </w:numPr>
        <w:tabs>
          <w:tab w:val="left" w:pos="1700"/>
        </w:tabs>
        <w:ind w:left="1700" w:hanging="360"/>
        <w:rPr>
          <w:rFonts w:eastAsia="Arial"/>
          <w:szCs w:val="24"/>
        </w:rPr>
      </w:pPr>
      <w:r w:rsidRPr="00FC3B7C">
        <w:rPr>
          <w:rFonts w:eastAsia="Times New Roman"/>
          <w:szCs w:val="24"/>
        </w:rPr>
        <w:t>existenční minimum: 2200 Kč</w:t>
      </w:r>
    </w:p>
    <w:p w14:paraId="4A6F4C45" w14:textId="77777777" w:rsidR="00093159" w:rsidRDefault="00093159" w:rsidP="00CE6695">
      <w:pPr>
        <w:spacing w:line="240" w:lineRule="auto"/>
        <w:ind w:left="260"/>
        <w:rPr>
          <w:rFonts w:eastAsia="Times New Roman"/>
          <w:b/>
          <w:bCs/>
          <w:szCs w:val="24"/>
        </w:rPr>
      </w:pPr>
      <w:bookmarkStart w:id="386" w:name="page400"/>
      <w:bookmarkEnd w:id="386"/>
    </w:p>
    <w:p w14:paraId="4A6F4C46" w14:textId="77777777" w:rsidR="00CE6695" w:rsidRPr="00FC3B7C" w:rsidRDefault="00CE6695" w:rsidP="00CE6695">
      <w:pPr>
        <w:spacing w:line="240" w:lineRule="auto"/>
        <w:ind w:left="260"/>
        <w:rPr>
          <w:sz w:val="20"/>
          <w:szCs w:val="20"/>
        </w:rPr>
      </w:pPr>
      <w:r w:rsidRPr="00FC3B7C">
        <w:rPr>
          <w:rFonts w:eastAsia="Times New Roman"/>
          <w:b/>
          <w:bCs/>
          <w:szCs w:val="24"/>
        </w:rPr>
        <w:t>Tab. č. 2: Příklady výpočtu životního minima:</w:t>
      </w:r>
    </w:p>
    <w:p w14:paraId="4A6F4C47" w14:textId="77777777" w:rsidR="00CE6695" w:rsidRPr="00FC3B7C" w:rsidRDefault="00CE6695" w:rsidP="00CE6695">
      <w:pPr>
        <w:spacing w:line="20" w:lineRule="exact"/>
        <w:rPr>
          <w:sz w:val="20"/>
          <w:szCs w:val="20"/>
        </w:rPr>
      </w:pPr>
      <w:r w:rsidRPr="00FC3B7C">
        <w:rPr>
          <w:noProof/>
          <w:sz w:val="20"/>
          <w:szCs w:val="20"/>
        </w:rPr>
        <w:drawing>
          <wp:anchor distT="0" distB="0" distL="114300" distR="114300" simplePos="0" relativeHeight="251712000" behindDoc="1" locked="0" layoutInCell="0" allowOverlap="1" wp14:anchorId="4A6F5D10" wp14:editId="7EE72FA3">
            <wp:simplePos x="0" y="0"/>
            <wp:positionH relativeFrom="column">
              <wp:posOffset>164465</wp:posOffset>
            </wp:positionH>
            <wp:positionV relativeFrom="paragraph">
              <wp:posOffset>102870</wp:posOffset>
            </wp:positionV>
            <wp:extent cx="4617720" cy="168846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20"/>
                    <a:srcRect/>
                    <a:stretch>
                      <a:fillRect/>
                    </a:stretch>
                  </pic:blipFill>
                  <pic:spPr bwMode="auto">
                    <a:xfrm>
                      <a:off x="0" y="0"/>
                      <a:ext cx="4617720" cy="1688465"/>
                    </a:xfrm>
                    <a:prstGeom prst="rect">
                      <a:avLst/>
                    </a:prstGeom>
                    <a:noFill/>
                  </pic:spPr>
                </pic:pic>
              </a:graphicData>
            </a:graphic>
          </wp:anchor>
        </w:drawing>
      </w:r>
    </w:p>
    <w:p w14:paraId="4A6F4C48" w14:textId="77777777" w:rsidR="00CE6695" w:rsidRPr="00FC3B7C" w:rsidRDefault="00CE6695" w:rsidP="00CE6695">
      <w:pPr>
        <w:spacing w:line="200" w:lineRule="exact"/>
        <w:rPr>
          <w:sz w:val="20"/>
          <w:szCs w:val="20"/>
        </w:rPr>
      </w:pPr>
    </w:p>
    <w:p w14:paraId="4A6F4C49" w14:textId="77777777" w:rsidR="00CE6695" w:rsidRPr="00FC3B7C" w:rsidRDefault="00CE6695" w:rsidP="00CE6695">
      <w:pPr>
        <w:spacing w:line="200" w:lineRule="exact"/>
        <w:rPr>
          <w:sz w:val="20"/>
          <w:szCs w:val="20"/>
        </w:rPr>
      </w:pPr>
    </w:p>
    <w:p w14:paraId="4A6F4C4A" w14:textId="77777777" w:rsidR="00CE6695" w:rsidRPr="00FC3B7C" w:rsidRDefault="00CE6695" w:rsidP="00CE6695">
      <w:pPr>
        <w:spacing w:line="200" w:lineRule="exact"/>
        <w:rPr>
          <w:sz w:val="20"/>
          <w:szCs w:val="20"/>
        </w:rPr>
      </w:pPr>
    </w:p>
    <w:p w14:paraId="4A6F4C4B" w14:textId="77777777" w:rsidR="00CE6695" w:rsidRPr="00FC3B7C" w:rsidRDefault="00CE6695" w:rsidP="00CE6695">
      <w:pPr>
        <w:spacing w:line="200" w:lineRule="exact"/>
        <w:rPr>
          <w:sz w:val="20"/>
          <w:szCs w:val="20"/>
        </w:rPr>
      </w:pPr>
    </w:p>
    <w:p w14:paraId="4A6F4C4C" w14:textId="77777777" w:rsidR="00CE6695" w:rsidRPr="00FC3B7C" w:rsidRDefault="00CE6695" w:rsidP="00CE6695">
      <w:pPr>
        <w:spacing w:line="200" w:lineRule="exact"/>
        <w:rPr>
          <w:sz w:val="20"/>
          <w:szCs w:val="20"/>
        </w:rPr>
      </w:pPr>
    </w:p>
    <w:p w14:paraId="4A6F4C4D" w14:textId="77777777" w:rsidR="00CE6695" w:rsidRPr="00FC3B7C" w:rsidRDefault="00CE6695" w:rsidP="00CE6695">
      <w:pPr>
        <w:spacing w:line="200" w:lineRule="exact"/>
        <w:rPr>
          <w:sz w:val="20"/>
          <w:szCs w:val="20"/>
        </w:rPr>
      </w:pPr>
    </w:p>
    <w:p w14:paraId="4A6F4C4E" w14:textId="77777777" w:rsidR="00CE6695" w:rsidRPr="00FC3B7C" w:rsidRDefault="00CE6695" w:rsidP="00CE6695">
      <w:pPr>
        <w:spacing w:line="200" w:lineRule="exact"/>
        <w:rPr>
          <w:sz w:val="20"/>
          <w:szCs w:val="20"/>
        </w:rPr>
      </w:pPr>
    </w:p>
    <w:p w14:paraId="4A6F4C4F" w14:textId="77777777" w:rsidR="00CE6695" w:rsidRPr="00FC3B7C" w:rsidRDefault="00CE6695" w:rsidP="00CE6695">
      <w:pPr>
        <w:spacing w:line="200" w:lineRule="exact"/>
        <w:rPr>
          <w:sz w:val="20"/>
          <w:szCs w:val="20"/>
        </w:rPr>
      </w:pPr>
    </w:p>
    <w:p w14:paraId="4A6F4C50" w14:textId="77777777" w:rsidR="00CE6695" w:rsidRPr="00FC3B7C" w:rsidRDefault="00CE6695" w:rsidP="00CE6695">
      <w:pPr>
        <w:spacing w:line="200" w:lineRule="exact"/>
        <w:rPr>
          <w:sz w:val="20"/>
          <w:szCs w:val="20"/>
        </w:rPr>
      </w:pPr>
    </w:p>
    <w:p w14:paraId="4A6F4C51" w14:textId="77777777" w:rsidR="00CE6695" w:rsidRPr="00FC3B7C" w:rsidRDefault="00CE6695" w:rsidP="00CE6695">
      <w:pPr>
        <w:spacing w:line="200" w:lineRule="exact"/>
        <w:rPr>
          <w:sz w:val="20"/>
          <w:szCs w:val="20"/>
        </w:rPr>
      </w:pPr>
    </w:p>
    <w:p w14:paraId="4A6F4C52" w14:textId="77777777" w:rsidR="00CE6695" w:rsidRPr="00FC3B7C" w:rsidRDefault="00CE6695" w:rsidP="00CE6695">
      <w:pPr>
        <w:spacing w:line="200" w:lineRule="exact"/>
        <w:rPr>
          <w:sz w:val="20"/>
          <w:szCs w:val="20"/>
        </w:rPr>
      </w:pPr>
    </w:p>
    <w:p w14:paraId="4A6F4C53" w14:textId="77777777" w:rsidR="00CE6695" w:rsidRPr="00FC3B7C" w:rsidRDefault="00CE6695" w:rsidP="00CE6695">
      <w:pPr>
        <w:spacing w:line="200" w:lineRule="exact"/>
        <w:rPr>
          <w:sz w:val="20"/>
          <w:szCs w:val="20"/>
        </w:rPr>
      </w:pPr>
    </w:p>
    <w:p w14:paraId="4A6F4C54" w14:textId="77777777" w:rsidR="00CE6695" w:rsidRPr="00FC3B7C" w:rsidRDefault="00CE6695" w:rsidP="00CE6695">
      <w:pPr>
        <w:spacing w:line="200" w:lineRule="exact"/>
        <w:rPr>
          <w:sz w:val="20"/>
          <w:szCs w:val="20"/>
        </w:rPr>
      </w:pPr>
    </w:p>
    <w:p w14:paraId="4A6F4C55" w14:textId="77777777" w:rsidR="00CE6695" w:rsidRPr="00FC3B7C" w:rsidRDefault="00CE6695" w:rsidP="00CE6695">
      <w:pPr>
        <w:spacing w:line="200" w:lineRule="exact"/>
        <w:rPr>
          <w:sz w:val="20"/>
          <w:szCs w:val="20"/>
        </w:rPr>
      </w:pPr>
    </w:p>
    <w:p w14:paraId="4A6F4C56" w14:textId="77777777" w:rsidR="00CE6695" w:rsidRPr="00FC3B7C" w:rsidRDefault="00CE6695" w:rsidP="00CE6695">
      <w:pPr>
        <w:spacing w:line="326" w:lineRule="exact"/>
        <w:rPr>
          <w:sz w:val="20"/>
          <w:szCs w:val="20"/>
        </w:rPr>
      </w:pPr>
    </w:p>
    <w:p w14:paraId="4A6F4C57" w14:textId="77777777" w:rsidR="00CE6695" w:rsidRPr="00FC3B7C" w:rsidRDefault="00CE6695" w:rsidP="00D46B53">
      <w:pPr>
        <w:numPr>
          <w:ilvl w:val="0"/>
          <w:numId w:val="360"/>
        </w:numPr>
        <w:tabs>
          <w:tab w:val="left" w:pos="760"/>
        </w:tabs>
        <w:ind w:left="760" w:hanging="358"/>
        <w:rPr>
          <w:rFonts w:eastAsia="Times New Roman"/>
          <w:b/>
          <w:bCs/>
          <w:szCs w:val="24"/>
        </w:rPr>
      </w:pPr>
      <w:r w:rsidRPr="00FC3B7C">
        <w:rPr>
          <w:rFonts w:eastAsia="Times New Roman"/>
          <w:b/>
          <w:bCs/>
          <w:szCs w:val="24"/>
        </w:rPr>
        <w:t>Doplatek na bydlení</w:t>
      </w:r>
    </w:p>
    <w:p w14:paraId="4A6F4C58" w14:textId="77777777" w:rsidR="00CE6695" w:rsidRPr="00FC3B7C" w:rsidRDefault="00CE6695" w:rsidP="00D46B53">
      <w:pPr>
        <w:numPr>
          <w:ilvl w:val="1"/>
          <w:numId w:val="360"/>
        </w:numPr>
        <w:tabs>
          <w:tab w:val="left" w:pos="1120"/>
        </w:tabs>
        <w:ind w:left="1120" w:right="20" w:hanging="367"/>
        <w:rPr>
          <w:rFonts w:eastAsia="Arial"/>
          <w:szCs w:val="24"/>
        </w:rPr>
      </w:pPr>
      <w:r w:rsidRPr="00FC3B7C">
        <w:rPr>
          <w:rFonts w:eastAsia="Times New Roman"/>
          <w:szCs w:val="24"/>
        </w:rPr>
        <w:t>řeší nedostatek příjmu k uhrazení nákladů na bydlení tam, kde nestačí vlastní příjmy osoby či rodiny včetně příspěvku na bydlení z 2. Pilíře</w:t>
      </w:r>
    </w:p>
    <w:p w14:paraId="4A6F4C59" w14:textId="77777777" w:rsidR="00CE6695" w:rsidRPr="00FC3B7C" w:rsidRDefault="00CE6695" w:rsidP="00D46B53">
      <w:pPr>
        <w:numPr>
          <w:ilvl w:val="1"/>
          <w:numId w:val="360"/>
        </w:numPr>
        <w:tabs>
          <w:tab w:val="left" w:pos="1120"/>
        </w:tabs>
        <w:ind w:left="1120" w:right="20" w:hanging="367"/>
        <w:rPr>
          <w:rFonts w:eastAsia="Arial"/>
          <w:szCs w:val="24"/>
        </w:rPr>
      </w:pPr>
      <w:r w:rsidRPr="00FC3B7C">
        <w:rPr>
          <w:rFonts w:eastAsia="Times New Roman"/>
          <w:szCs w:val="24"/>
        </w:rPr>
        <w:t>vznik nároku - dávka je poskytována nájemci či vlastníku bytu, který má nárok na příspěvek na živobytí</w:t>
      </w:r>
    </w:p>
    <w:p w14:paraId="4A6F4C5A" w14:textId="77777777" w:rsidR="00CE6695" w:rsidRPr="00FC3B7C" w:rsidRDefault="00CE6695" w:rsidP="00D46B53">
      <w:pPr>
        <w:numPr>
          <w:ilvl w:val="1"/>
          <w:numId w:val="360"/>
        </w:numPr>
        <w:tabs>
          <w:tab w:val="left" w:pos="1120"/>
        </w:tabs>
        <w:ind w:left="1120" w:right="20" w:hanging="367"/>
        <w:rPr>
          <w:rFonts w:eastAsia="Arial"/>
          <w:szCs w:val="24"/>
        </w:rPr>
      </w:pPr>
      <w:r w:rsidRPr="00FC3B7C">
        <w:rPr>
          <w:rFonts w:eastAsia="Times New Roman"/>
          <w:szCs w:val="24"/>
        </w:rPr>
        <w:t>mohou dostávat i domácnosti, jejichž čistý měsíční příjem dosahuje až 1,3 násobku částky živobytí</w:t>
      </w:r>
    </w:p>
    <w:p w14:paraId="4A6F4C5B" w14:textId="77777777" w:rsidR="00CE6695" w:rsidRPr="00FC3B7C" w:rsidRDefault="00CE6695" w:rsidP="00D46B53">
      <w:pPr>
        <w:numPr>
          <w:ilvl w:val="0"/>
          <w:numId w:val="360"/>
        </w:numPr>
        <w:tabs>
          <w:tab w:val="left" w:pos="760"/>
        </w:tabs>
        <w:ind w:left="760" w:hanging="358"/>
        <w:rPr>
          <w:rFonts w:eastAsia="Times New Roman"/>
          <w:b/>
          <w:bCs/>
          <w:szCs w:val="24"/>
        </w:rPr>
      </w:pPr>
      <w:r w:rsidRPr="00FC3B7C">
        <w:rPr>
          <w:rFonts w:eastAsia="Times New Roman"/>
          <w:b/>
          <w:bCs/>
          <w:szCs w:val="24"/>
        </w:rPr>
        <w:t>Mimořádná okamžitá pomoc</w:t>
      </w:r>
    </w:p>
    <w:p w14:paraId="4A6F4C5C" w14:textId="77777777" w:rsidR="00CE6695" w:rsidRPr="00FC3B7C" w:rsidRDefault="00CE6695" w:rsidP="00D46B53">
      <w:pPr>
        <w:numPr>
          <w:ilvl w:val="1"/>
          <w:numId w:val="360"/>
        </w:numPr>
        <w:tabs>
          <w:tab w:val="left" w:pos="1120"/>
        </w:tabs>
        <w:ind w:left="1120" w:right="20" w:hanging="367"/>
        <w:rPr>
          <w:rFonts w:eastAsia="Arial"/>
          <w:szCs w:val="24"/>
        </w:rPr>
      </w:pPr>
      <w:r w:rsidRPr="00FC3B7C">
        <w:rPr>
          <w:rFonts w:eastAsia="Times New Roman"/>
          <w:szCs w:val="24"/>
        </w:rPr>
        <w:t>poskytována osobám, které se ocitnou v situacích, které je nutno bezodkladně řešit (např. živelní pohroma, požár, ohrožení sociálním vyloučením), ze zákona je takových situací 6</w:t>
      </w:r>
    </w:p>
    <w:p w14:paraId="4A6F4C5D" w14:textId="77777777" w:rsidR="00CE6695" w:rsidRPr="00FC3B7C" w:rsidRDefault="00CE6695" w:rsidP="00D46B53">
      <w:pPr>
        <w:numPr>
          <w:ilvl w:val="1"/>
          <w:numId w:val="360"/>
        </w:numPr>
        <w:tabs>
          <w:tab w:val="left" w:pos="1120"/>
        </w:tabs>
        <w:ind w:left="1120" w:hanging="367"/>
        <w:rPr>
          <w:rFonts w:eastAsia="Arial"/>
          <w:szCs w:val="24"/>
        </w:rPr>
      </w:pPr>
      <w:r w:rsidRPr="00FC3B7C">
        <w:rPr>
          <w:rFonts w:eastAsia="Times New Roman"/>
          <w:szCs w:val="24"/>
        </w:rPr>
        <w:t>dávky jsou v podobě peněžní či věcné formě</w:t>
      </w:r>
    </w:p>
    <w:p w14:paraId="4A6F4C5E" w14:textId="77777777" w:rsidR="00CE6695" w:rsidRPr="00FC3B7C" w:rsidRDefault="00CE6695" w:rsidP="00CE6695">
      <w:pPr>
        <w:spacing w:line="365" w:lineRule="exact"/>
        <w:rPr>
          <w:sz w:val="20"/>
          <w:szCs w:val="20"/>
        </w:rPr>
      </w:pPr>
    </w:p>
    <w:p w14:paraId="4A6F4C5F" w14:textId="77777777" w:rsidR="00CE6695" w:rsidRPr="0070178B" w:rsidRDefault="00CE6695" w:rsidP="00093159">
      <w:pPr>
        <w:pStyle w:val="Nadpis3"/>
        <w:rPr>
          <w:color w:val="1F3864" w:themeColor="accent1" w:themeShade="80"/>
          <w:sz w:val="20"/>
          <w:szCs w:val="20"/>
        </w:rPr>
      </w:pPr>
      <w:r w:rsidRPr="0070178B">
        <w:rPr>
          <w:rFonts w:eastAsia="Times New Roman"/>
          <w:color w:val="1F3864" w:themeColor="accent1" w:themeShade="80"/>
        </w:rPr>
        <w:t>Typy a charakteristiky penzijních systémů</w:t>
      </w:r>
    </w:p>
    <w:p w14:paraId="4A6F4C60" w14:textId="77777777" w:rsidR="00CE6695" w:rsidRPr="00FC3B7C" w:rsidRDefault="00CE6695" w:rsidP="00CE6695">
      <w:pPr>
        <w:spacing w:line="203" w:lineRule="exact"/>
        <w:rPr>
          <w:sz w:val="20"/>
          <w:szCs w:val="20"/>
        </w:rPr>
      </w:pPr>
    </w:p>
    <w:p w14:paraId="4A6F4C61" w14:textId="1CBCBA40" w:rsidR="00CE6695" w:rsidRPr="00244BB9" w:rsidRDefault="0070178B" w:rsidP="00093159">
      <w:pPr>
        <w:pStyle w:val="Nadpis4"/>
        <w:rPr>
          <w:color w:val="1F3864" w:themeColor="accent1" w:themeShade="80"/>
          <w:sz w:val="20"/>
          <w:szCs w:val="20"/>
        </w:rPr>
      </w:pPr>
      <w:r w:rsidRPr="00244BB9">
        <w:rPr>
          <w:rFonts w:eastAsia="Times New Roman"/>
          <w:color w:val="1F3864" w:themeColor="accent1" w:themeShade="80"/>
        </w:rPr>
        <w:t xml:space="preserve"> </w:t>
      </w:r>
      <w:r w:rsidR="00CE6695" w:rsidRPr="00244BB9">
        <w:rPr>
          <w:rFonts w:eastAsia="Times New Roman"/>
          <w:color w:val="1F3864" w:themeColor="accent1" w:themeShade="80"/>
        </w:rPr>
        <w:t>Z hlediska způsobu financování</w:t>
      </w:r>
    </w:p>
    <w:p w14:paraId="4A6F4C62" w14:textId="77777777" w:rsidR="00CE6695" w:rsidRPr="00FC3B7C" w:rsidRDefault="00CE6695" w:rsidP="00D46B53">
      <w:pPr>
        <w:numPr>
          <w:ilvl w:val="0"/>
          <w:numId w:val="361"/>
        </w:numPr>
        <w:tabs>
          <w:tab w:val="left" w:pos="540"/>
        </w:tabs>
        <w:ind w:left="540" w:hanging="357"/>
        <w:rPr>
          <w:rFonts w:eastAsia="Times New Roman"/>
          <w:szCs w:val="24"/>
        </w:rPr>
      </w:pPr>
      <w:r w:rsidRPr="00FC3B7C">
        <w:rPr>
          <w:rFonts w:eastAsia="Times New Roman"/>
          <w:b/>
          <w:bCs/>
          <w:szCs w:val="24"/>
        </w:rPr>
        <w:t>Průběžný - PAYG = „pay as you go“</w:t>
      </w:r>
    </w:p>
    <w:p w14:paraId="4A6F4C63" w14:textId="77777777" w:rsidR="00CE6695" w:rsidRPr="00093159" w:rsidRDefault="00CE6695" w:rsidP="00D46B53">
      <w:pPr>
        <w:numPr>
          <w:ilvl w:val="1"/>
          <w:numId w:val="361"/>
        </w:numPr>
        <w:tabs>
          <w:tab w:val="left" w:pos="1120"/>
        </w:tabs>
        <w:ind w:left="1120" w:hanging="370"/>
        <w:rPr>
          <w:rFonts w:eastAsia="Times New Roman"/>
          <w:b/>
          <w:bCs/>
          <w:szCs w:val="24"/>
        </w:rPr>
      </w:pPr>
      <w:r w:rsidRPr="00093159">
        <w:rPr>
          <w:rFonts w:eastAsia="Times New Roman"/>
          <w:szCs w:val="24"/>
        </w:rPr>
        <w:lastRenderedPageBreak/>
        <w:t>lidé v současnosti výdělečné činní odvádí příspěvky na sociální pojištění a z těchto prostředků jsou ihned vypláceny dávky současným důchodcům</w:t>
      </w:r>
    </w:p>
    <w:p w14:paraId="4A6F4C64" w14:textId="77777777" w:rsidR="00CE6695" w:rsidRPr="00FC3B7C" w:rsidRDefault="00CE6695" w:rsidP="00D46B53">
      <w:pPr>
        <w:numPr>
          <w:ilvl w:val="1"/>
          <w:numId w:val="361"/>
        </w:numPr>
        <w:tabs>
          <w:tab w:val="left" w:pos="1120"/>
        </w:tabs>
        <w:ind w:left="1120" w:hanging="370"/>
        <w:rPr>
          <w:rFonts w:eastAsia="Times New Roman"/>
          <w:b/>
          <w:bCs/>
          <w:szCs w:val="24"/>
        </w:rPr>
      </w:pPr>
      <w:r w:rsidRPr="00FC3B7C">
        <w:rPr>
          <w:rFonts w:eastAsia="Times New Roman"/>
          <w:szCs w:val="24"/>
        </w:rPr>
        <w:t>pouhé přerozdělení, aniž by se vytvářel nějaký fond – vybírá se pracujícím a hned se přerozděluje nepracujícím</w:t>
      </w:r>
    </w:p>
    <w:p w14:paraId="4A6F4C65" w14:textId="77777777" w:rsidR="00CE6695" w:rsidRPr="00FC3B7C" w:rsidRDefault="00CE6695" w:rsidP="00D46B53">
      <w:pPr>
        <w:numPr>
          <w:ilvl w:val="1"/>
          <w:numId w:val="361"/>
        </w:numPr>
        <w:tabs>
          <w:tab w:val="left" w:pos="1120"/>
        </w:tabs>
        <w:ind w:left="1120" w:hanging="370"/>
        <w:rPr>
          <w:rFonts w:eastAsia="Times New Roman"/>
          <w:b/>
          <w:bCs/>
          <w:szCs w:val="24"/>
        </w:rPr>
      </w:pPr>
      <w:r w:rsidRPr="00FC3B7C">
        <w:rPr>
          <w:rFonts w:eastAsia="Times New Roman"/>
          <w:b/>
          <w:bCs/>
          <w:szCs w:val="24"/>
        </w:rPr>
        <w:t>Výhody:</w:t>
      </w:r>
    </w:p>
    <w:p w14:paraId="4A6F4C66" w14:textId="77777777" w:rsidR="00CE6695" w:rsidRPr="00FC3B7C" w:rsidRDefault="00CE6695" w:rsidP="00D46B53">
      <w:pPr>
        <w:numPr>
          <w:ilvl w:val="2"/>
          <w:numId w:val="361"/>
        </w:numPr>
        <w:tabs>
          <w:tab w:val="left" w:pos="1680"/>
        </w:tabs>
        <w:ind w:left="1680" w:hanging="363"/>
        <w:rPr>
          <w:rFonts w:eastAsia="Wingdings"/>
          <w:szCs w:val="24"/>
        </w:rPr>
      </w:pPr>
      <w:r w:rsidRPr="00FC3B7C">
        <w:rPr>
          <w:rFonts w:eastAsia="Times New Roman"/>
          <w:szCs w:val="24"/>
        </w:rPr>
        <w:t>relativně bezpečný systém – těžko lze rozkrást</w:t>
      </w:r>
    </w:p>
    <w:p w14:paraId="4A6F4C67" w14:textId="77777777" w:rsidR="00CE6695" w:rsidRPr="00FC3B7C" w:rsidRDefault="00CE6695" w:rsidP="00D46B53">
      <w:pPr>
        <w:numPr>
          <w:ilvl w:val="2"/>
          <w:numId w:val="361"/>
        </w:numPr>
        <w:tabs>
          <w:tab w:val="left" w:pos="1680"/>
        </w:tabs>
        <w:ind w:left="1680" w:hanging="363"/>
        <w:rPr>
          <w:rFonts w:eastAsia="Wingdings"/>
          <w:szCs w:val="24"/>
        </w:rPr>
      </w:pPr>
      <w:r w:rsidRPr="00FC3B7C">
        <w:rPr>
          <w:rFonts w:eastAsia="Times New Roman"/>
          <w:szCs w:val="24"/>
        </w:rPr>
        <w:t>velmi solidární systém (mezigenerační i vnitrogenerační solidarita)</w:t>
      </w:r>
    </w:p>
    <w:p w14:paraId="4A6F4C68" w14:textId="77777777" w:rsidR="00CE6695" w:rsidRPr="00FC3B7C" w:rsidRDefault="00CE6695" w:rsidP="00D46B53">
      <w:pPr>
        <w:numPr>
          <w:ilvl w:val="2"/>
          <w:numId w:val="362"/>
        </w:numPr>
        <w:tabs>
          <w:tab w:val="left" w:pos="1680"/>
        </w:tabs>
        <w:ind w:left="1680" w:hanging="363"/>
        <w:rPr>
          <w:rFonts w:eastAsia="Wingdings"/>
          <w:szCs w:val="24"/>
        </w:rPr>
      </w:pPr>
      <w:bookmarkStart w:id="387" w:name="page401"/>
      <w:bookmarkEnd w:id="387"/>
      <w:r w:rsidRPr="00FC3B7C">
        <w:rPr>
          <w:rFonts w:eastAsia="Times New Roman"/>
          <w:szCs w:val="24"/>
        </w:rPr>
        <w:t>levný systém (nízké režijní náklady)</w:t>
      </w:r>
    </w:p>
    <w:p w14:paraId="4A6F4C69" w14:textId="77777777" w:rsidR="00CE6695" w:rsidRPr="00FC3B7C" w:rsidRDefault="00CE6695" w:rsidP="00D46B53">
      <w:pPr>
        <w:numPr>
          <w:ilvl w:val="2"/>
          <w:numId w:val="362"/>
        </w:numPr>
        <w:tabs>
          <w:tab w:val="left" w:pos="1680"/>
        </w:tabs>
        <w:ind w:left="1680" w:hanging="363"/>
        <w:rPr>
          <w:rFonts w:eastAsia="Wingdings"/>
          <w:szCs w:val="24"/>
        </w:rPr>
      </w:pPr>
      <w:r w:rsidRPr="00FC3B7C">
        <w:rPr>
          <w:rFonts w:eastAsia="Times New Roman"/>
          <w:szCs w:val="24"/>
        </w:rPr>
        <w:t>řeší všechny důchod</w:t>
      </w:r>
    </w:p>
    <w:p w14:paraId="4A6F4C6A" w14:textId="77777777" w:rsidR="00CE6695" w:rsidRPr="00FC3B7C" w:rsidRDefault="00CE6695" w:rsidP="00D46B53">
      <w:pPr>
        <w:numPr>
          <w:ilvl w:val="2"/>
          <w:numId w:val="362"/>
        </w:numPr>
        <w:tabs>
          <w:tab w:val="left" w:pos="1680"/>
        </w:tabs>
        <w:ind w:left="1680" w:hanging="363"/>
        <w:rPr>
          <w:rFonts w:eastAsia="Wingdings"/>
          <w:szCs w:val="24"/>
        </w:rPr>
      </w:pPr>
      <w:r w:rsidRPr="00FC3B7C">
        <w:rPr>
          <w:rFonts w:eastAsia="Times New Roman"/>
          <w:szCs w:val="24"/>
        </w:rPr>
        <w:t>je možné ho ihned zahájit</w:t>
      </w:r>
    </w:p>
    <w:p w14:paraId="4A6F4C6B" w14:textId="77777777" w:rsidR="00CE6695" w:rsidRPr="00FC3B7C" w:rsidRDefault="00CE6695" w:rsidP="00D46B53">
      <w:pPr>
        <w:numPr>
          <w:ilvl w:val="1"/>
          <w:numId w:val="362"/>
        </w:numPr>
        <w:tabs>
          <w:tab w:val="left" w:pos="1120"/>
        </w:tabs>
        <w:ind w:left="1120" w:hanging="367"/>
        <w:rPr>
          <w:rFonts w:eastAsia="Times New Roman"/>
          <w:b/>
          <w:bCs/>
          <w:szCs w:val="24"/>
        </w:rPr>
      </w:pPr>
      <w:r w:rsidRPr="00FC3B7C">
        <w:rPr>
          <w:rFonts w:eastAsia="Times New Roman"/>
          <w:b/>
          <w:bCs/>
          <w:szCs w:val="24"/>
        </w:rPr>
        <w:t>Nevýhody:</w:t>
      </w:r>
    </w:p>
    <w:p w14:paraId="4A6F4C6C" w14:textId="77777777" w:rsidR="00CE6695" w:rsidRPr="00FC3B7C" w:rsidRDefault="00CE6695" w:rsidP="00D46B53">
      <w:pPr>
        <w:numPr>
          <w:ilvl w:val="2"/>
          <w:numId w:val="362"/>
        </w:numPr>
        <w:tabs>
          <w:tab w:val="left" w:pos="1680"/>
        </w:tabs>
        <w:ind w:left="1680" w:hanging="363"/>
        <w:rPr>
          <w:rFonts w:eastAsia="Wingdings"/>
          <w:szCs w:val="24"/>
        </w:rPr>
      </w:pPr>
      <w:r w:rsidRPr="00FC3B7C">
        <w:rPr>
          <w:rFonts w:eastAsia="Times New Roman"/>
          <w:szCs w:val="24"/>
        </w:rPr>
        <w:t>závislost na demografickém vývoji</w:t>
      </w:r>
    </w:p>
    <w:p w14:paraId="4A6F4C6D" w14:textId="77777777" w:rsidR="00CE6695" w:rsidRPr="00FC3B7C" w:rsidRDefault="00CE6695" w:rsidP="00D46B53">
      <w:pPr>
        <w:numPr>
          <w:ilvl w:val="2"/>
          <w:numId w:val="362"/>
        </w:numPr>
        <w:tabs>
          <w:tab w:val="left" w:pos="1680"/>
        </w:tabs>
        <w:ind w:left="1680" w:hanging="363"/>
        <w:rPr>
          <w:rFonts w:eastAsia="Wingdings"/>
          <w:szCs w:val="24"/>
        </w:rPr>
      </w:pPr>
      <w:r w:rsidRPr="00FC3B7C">
        <w:rPr>
          <w:rFonts w:eastAsia="Times New Roman"/>
          <w:szCs w:val="24"/>
        </w:rPr>
        <w:t>funkční když hodně lidí pracuje a málo lidí pobírá důchod</w:t>
      </w:r>
    </w:p>
    <w:p w14:paraId="4A6F4C6E" w14:textId="77777777" w:rsidR="00CE6695" w:rsidRPr="00FC3B7C" w:rsidRDefault="00CE6695" w:rsidP="00D46B53">
      <w:pPr>
        <w:numPr>
          <w:ilvl w:val="2"/>
          <w:numId w:val="362"/>
        </w:numPr>
        <w:tabs>
          <w:tab w:val="left" w:pos="1680"/>
        </w:tabs>
        <w:ind w:left="1680" w:hanging="363"/>
        <w:rPr>
          <w:rFonts w:eastAsia="Wingdings"/>
          <w:szCs w:val="24"/>
        </w:rPr>
      </w:pPr>
      <w:r w:rsidRPr="00FC3B7C">
        <w:rPr>
          <w:rFonts w:eastAsia="Times New Roman"/>
          <w:szCs w:val="24"/>
        </w:rPr>
        <w:t>nevýhodný pro vyšší příjmové skupiny (ztráta motivace)</w:t>
      </w:r>
    </w:p>
    <w:p w14:paraId="4A6F4C6F" w14:textId="77777777" w:rsidR="00CE6695" w:rsidRPr="00FC3B7C" w:rsidRDefault="00CE6695" w:rsidP="00D46B53">
      <w:pPr>
        <w:numPr>
          <w:ilvl w:val="2"/>
          <w:numId w:val="362"/>
        </w:numPr>
        <w:tabs>
          <w:tab w:val="left" w:pos="1680"/>
        </w:tabs>
        <w:ind w:left="1680" w:hanging="363"/>
        <w:rPr>
          <w:rFonts w:eastAsia="Wingdings"/>
          <w:szCs w:val="24"/>
        </w:rPr>
      </w:pPr>
      <w:r w:rsidRPr="00FC3B7C">
        <w:rPr>
          <w:rFonts w:eastAsia="Times New Roman"/>
          <w:szCs w:val="24"/>
        </w:rPr>
        <w:t>negativní vliv na trh práce</w:t>
      </w:r>
    </w:p>
    <w:p w14:paraId="4A6F4C70" w14:textId="77777777" w:rsidR="00CE6695" w:rsidRPr="00FC3B7C" w:rsidRDefault="00CE6695" w:rsidP="00D46B53">
      <w:pPr>
        <w:numPr>
          <w:ilvl w:val="0"/>
          <w:numId w:val="362"/>
        </w:numPr>
        <w:tabs>
          <w:tab w:val="left" w:pos="540"/>
        </w:tabs>
        <w:ind w:left="540" w:hanging="357"/>
        <w:rPr>
          <w:rFonts w:eastAsia="Times New Roman"/>
          <w:szCs w:val="24"/>
        </w:rPr>
      </w:pPr>
      <w:r w:rsidRPr="00FC3B7C">
        <w:rPr>
          <w:rFonts w:eastAsia="Times New Roman"/>
          <w:b/>
          <w:bCs/>
          <w:szCs w:val="24"/>
        </w:rPr>
        <w:t>Kapitálový - každý jedinec si spoří sám na sebe</w:t>
      </w:r>
    </w:p>
    <w:p w14:paraId="4A6F4C71" w14:textId="77777777" w:rsidR="00CE6695" w:rsidRPr="00FC3B7C" w:rsidRDefault="00CE6695" w:rsidP="00D46B53">
      <w:pPr>
        <w:numPr>
          <w:ilvl w:val="1"/>
          <w:numId w:val="362"/>
        </w:numPr>
        <w:tabs>
          <w:tab w:val="left" w:pos="1120"/>
        </w:tabs>
        <w:ind w:left="1120" w:hanging="370"/>
        <w:rPr>
          <w:rFonts w:eastAsia="Times New Roman"/>
          <w:b/>
          <w:bCs/>
          <w:szCs w:val="24"/>
        </w:rPr>
      </w:pPr>
      <w:r w:rsidRPr="00FC3B7C">
        <w:rPr>
          <w:rFonts w:eastAsia="Times New Roman"/>
          <w:szCs w:val="24"/>
        </w:rPr>
        <w:t>důchod je vypočítán z peněz, které si jedinec za období, kdy byl ekonomicky aktivní, naspořil do systému</w:t>
      </w:r>
    </w:p>
    <w:p w14:paraId="4A6F4C72" w14:textId="77777777" w:rsidR="00CE6695" w:rsidRPr="00FC3B7C" w:rsidRDefault="00CE6695" w:rsidP="00D46B53">
      <w:pPr>
        <w:numPr>
          <w:ilvl w:val="1"/>
          <w:numId w:val="362"/>
        </w:numPr>
        <w:tabs>
          <w:tab w:val="left" w:pos="1120"/>
        </w:tabs>
        <w:ind w:left="1120" w:hanging="370"/>
        <w:rPr>
          <w:rFonts w:eastAsia="Times New Roman"/>
          <w:b/>
          <w:bCs/>
          <w:szCs w:val="24"/>
        </w:rPr>
      </w:pPr>
      <w:r w:rsidRPr="00FC3B7C">
        <w:rPr>
          <w:rFonts w:eastAsia="Times New Roman"/>
          <w:szCs w:val="24"/>
        </w:rPr>
        <w:t>každý si ukládá na účet, banka peníze znehodnocuje</w:t>
      </w:r>
    </w:p>
    <w:p w14:paraId="4A6F4C73" w14:textId="77777777" w:rsidR="00CE6695" w:rsidRPr="00FC3B7C" w:rsidRDefault="00CE6695" w:rsidP="00D46B53">
      <w:pPr>
        <w:numPr>
          <w:ilvl w:val="1"/>
          <w:numId w:val="362"/>
        </w:numPr>
        <w:tabs>
          <w:tab w:val="left" w:pos="1120"/>
        </w:tabs>
        <w:ind w:left="1120" w:hanging="370"/>
        <w:rPr>
          <w:rFonts w:eastAsia="Times New Roman"/>
          <w:b/>
          <w:bCs/>
          <w:szCs w:val="24"/>
        </w:rPr>
      </w:pPr>
      <w:r w:rsidRPr="00FC3B7C">
        <w:rPr>
          <w:rFonts w:eastAsia="Times New Roman"/>
          <w:szCs w:val="24"/>
        </w:rPr>
        <w:t>při odchodu do důchodu si může peníze vybrat</w:t>
      </w:r>
    </w:p>
    <w:p w14:paraId="4A6F4C74" w14:textId="77777777" w:rsidR="00CE6695" w:rsidRPr="00FC3B7C" w:rsidRDefault="00CE6695" w:rsidP="00D46B53">
      <w:pPr>
        <w:numPr>
          <w:ilvl w:val="1"/>
          <w:numId w:val="362"/>
        </w:numPr>
        <w:tabs>
          <w:tab w:val="left" w:pos="1120"/>
        </w:tabs>
        <w:ind w:left="1120" w:hanging="370"/>
        <w:rPr>
          <w:rFonts w:eastAsia="Times New Roman"/>
          <w:b/>
          <w:bCs/>
          <w:szCs w:val="24"/>
        </w:rPr>
      </w:pPr>
      <w:r w:rsidRPr="00FC3B7C">
        <w:rPr>
          <w:rFonts w:eastAsia="Times New Roman"/>
          <w:b/>
          <w:bCs/>
          <w:szCs w:val="24"/>
        </w:rPr>
        <w:t>Výhody:</w:t>
      </w:r>
    </w:p>
    <w:p w14:paraId="4A6F4C75" w14:textId="77777777" w:rsidR="00CE6695" w:rsidRPr="00FC3B7C" w:rsidRDefault="00CE6695" w:rsidP="00D46B53">
      <w:pPr>
        <w:numPr>
          <w:ilvl w:val="2"/>
          <w:numId w:val="362"/>
        </w:numPr>
        <w:tabs>
          <w:tab w:val="left" w:pos="1680"/>
        </w:tabs>
        <w:ind w:left="1680" w:hanging="363"/>
        <w:rPr>
          <w:rFonts w:eastAsia="Wingdings"/>
          <w:szCs w:val="24"/>
        </w:rPr>
      </w:pPr>
      <w:r w:rsidRPr="00FC3B7C">
        <w:rPr>
          <w:rFonts w:eastAsia="Times New Roman"/>
          <w:szCs w:val="24"/>
        </w:rPr>
        <w:t>není demograficky závislý</w:t>
      </w:r>
    </w:p>
    <w:p w14:paraId="4A6F4C76" w14:textId="77777777" w:rsidR="00CE6695" w:rsidRPr="00FC3B7C" w:rsidRDefault="00CE6695" w:rsidP="00D46B53">
      <w:pPr>
        <w:numPr>
          <w:ilvl w:val="2"/>
          <w:numId w:val="362"/>
        </w:numPr>
        <w:tabs>
          <w:tab w:val="left" w:pos="1680"/>
        </w:tabs>
        <w:ind w:left="1680" w:hanging="363"/>
        <w:rPr>
          <w:rFonts w:eastAsia="Wingdings"/>
          <w:szCs w:val="24"/>
        </w:rPr>
      </w:pPr>
      <w:r w:rsidRPr="00FC3B7C">
        <w:rPr>
          <w:rFonts w:eastAsia="Times New Roman"/>
          <w:szCs w:val="24"/>
        </w:rPr>
        <w:t>odpadá přerozdělování</w:t>
      </w:r>
    </w:p>
    <w:p w14:paraId="4A6F4C77" w14:textId="77777777" w:rsidR="00CE6695" w:rsidRPr="00FC3B7C" w:rsidRDefault="00CE6695" w:rsidP="00D46B53">
      <w:pPr>
        <w:numPr>
          <w:ilvl w:val="2"/>
          <w:numId w:val="362"/>
        </w:numPr>
        <w:tabs>
          <w:tab w:val="left" w:pos="1680"/>
        </w:tabs>
        <w:ind w:left="1680" w:hanging="363"/>
        <w:rPr>
          <w:rFonts w:eastAsia="Wingdings"/>
          <w:szCs w:val="24"/>
        </w:rPr>
      </w:pPr>
      <w:r w:rsidRPr="00FC3B7C">
        <w:rPr>
          <w:rFonts w:eastAsia="Times New Roman"/>
          <w:szCs w:val="24"/>
        </w:rPr>
        <w:t>omezuje vládní selhání</w:t>
      </w:r>
    </w:p>
    <w:p w14:paraId="4A6F4C78" w14:textId="77777777" w:rsidR="00CE6695" w:rsidRPr="00FC3B7C" w:rsidRDefault="00CE6695" w:rsidP="00D46B53">
      <w:pPr>
        <w:numPr>
          <w:ilvl w:val="1"/>
          <w:numId w:val="362"/>
        </w:numPr>
        <w:tabs>
          <w:tab w:val="left" w:pos="1120"/>
        </w:tabs>
        <w:ind w:left="1120" w:hanging="370"/>
        <w:rPr>
          <w:rFonts w:eastAsia="Times New Roman"/>
          <w:b/>
          <w:bCs/>
          <w:szCs w:val="24"/>
        </w:rPr>
      </w:pPr>
      <w:r w:rsidRPr="00FC3B7C">
        <w:rPr>
          <w:rFonts w:eastAsia="Times New Roman"/>
          <w:b/>
          <w:bCs/>
          <w:szCs w:val="24"/>
        </w:rPr>
        <w:t>Nevýhody:</w:t>
      </w:r>
    </w:p>
    <w:p w14:paraId="4A6F4C79" w14:textId="77777777" w:rsidR="00CE6695" w:rsidRPr="00FC3B7C" w:rsidRDefault="00CE6695" w:rsidP="00D46B53">
      <w:pPr>
        <w:numPr>
          <w:ilvl w:val="2"/>
          <w:numId w:val="362"/>
        </w:numPr>
        <w:tabs>
          <w:tab w:val="left" w:pos="1680"/>
        </w:tabs>
        <w:ind w:left="1680" w:hanging="363"/>
        <w:rPr>
          <w:rFonts w:eastAsia="Wingdings"/>
          <w:szCs w:val="24"/>
        </w:rPr>
      </w:pPr>
      <w:r w:rsidRPr="00FC3B7C">
        <w:rPr>
          <w:rFonts w:eastAsia="Times New Roman"/>
          <w:szCs w:val="24"/>
        </w:rPr>
        <w:t>je méně bezpečný – znehodnocení peněz, nulová solidarita, vyšší náklady, nejsou tu náhradní doby</w:t>
      </w:r>
    </w:p>
    <w:p w14:paraId="4A6F4C7A" w14:textId="77777777" w:rsidR="00CE6695" w:rsidRPr="00FC3B7C" w:rsidRDefault="00CE6695" w:rsidP="00D46B53">
      <w:pPr>
        <w:numPr>
          <w:ilvl w:val="2"/>
          <w:numId w:val="362"/>
        </w:numPr>
        <w:tabs>
          <w:tab w:val="left" w:pos="1680"/>
        </w:tabs>
        <w:ind w:left="1680" w:hanging="363"/>
        <w:rPr>
          <w:rFonts w:eastAsia="Wingdings"/>
          <w:szCs w:val="24"/>
        </w:rPr>
      </w:pPr>
      <w:r w:rsidRPr="00FC3B7C">
        <w:rPr>
          <w:rFonts w:eastAsia="Times New Roman"/>
          <w:szCs w:val="24"/>
        </w:rPr>
        <w:t>je dražší – poplatky za správu</w:t>
      </w:r>
    </w:p>
    <w:p w14:paraId="4A6F4C7B" w14:textId="77777777" w:rsidR="00CE6695" w:rsidRPr="00FC3B7C" w:rsidRDefault="00CE6695" w:rsidP="00D46B53">
      <w:pPr>
        <w:numPr>
          <w:ilvl w:val="2"/>
          <w:numId w:val="362"/>
        </w:numPr>
        <w:tabs>
          <w:tab w:val="left" w:pos="1680"/>
        </w:tabs>
        <w:ind w:left="1680" w:hanging="363"/>
        <w:rPr>
          <w:rFonts w:eastAsia="Wingdings"/>
          <w:szCs w:val="24"/>
        </w:rPr>
      </w:pPr>
      <w:r w:rsidRPr="00FC3B7C">
        <w:rPr>
          <w:rFonts w:eastAsia="Times New Roman"/>
          <w:szCs w:val="24"/>
        </w:rPr>
        <w:t>žádná solidarita</w:t>
      </w:r>
    </w:p>
    <w:p w14:paraId="4A6F4C7C" w14:textId="77777777" w:rsidR="00CE6695" w:rsidRPr="00FC3B7C" w:rsidRDefault="00CE6695" w:rsidP="00D46B53">
      <w:pPr>
        <w:numPr>
          <w:ilvl w:val="2"/>
          <w:numId w:val="362"/>
        </w:numPr>
        <w:tabs>
          <w:tab w:val="left" w:pos="1680"/>
        </w:tabs>
        <w:ind w:left="1680" w:hanging="363"/>
        <w:rPr>
          <w:rFonts w:eastAsia="Wingdings"/>
          <w:szCs w:val="24"/>
        </w:rPr>
      </w:pPr>
      <w:r w:rsidRPr="00FC3B7C">
        <w:rPr>
          <w:rFonts w:eastAsia="Times New Roman"/>
          <w:szCs w:val="24"/>
        </w:rPr>
        <w:t>řeší jen starobní důchody</w:t>
      </w:r>
    </w:p>
    <w:p w14:paraId="4A6F4C7D" w14:textId="77777777" w:rsidR="00CE6695" w:rsidRPr="00FC3B7C" w:rsidRDefault="00CE6695" w:rsidP="00D46B53">
      <w:pPr>
        <w:numPr>
          <w:ilvl w:val="2"/>
          <w:numId w:val="362"/>
        </w:numPr>
        <w:tabs>
          <w:tab w:val="left" w:pos="1680"/>
        </w:tabs>
        <w:ind w:left="1680" w:hanging="363"/>
        <w:rPr>
          <w:rFonts w:eastAsia="Wingdings"/>
          <w:szCs w:val="24"/>
        </w:rPr>
      </w:pPr>
      <w:r w:rsidRPr="00FC3B7C">
        <w:rPr>
          <w:rFonts w:eastAsia="Times New Roman"/>
          <w:szCs w:val="24"/>
        </w:rPr>
        <w:t>výplata se nedá okamžitě zahájit</w:t>
      </w:r>
    </w:p>
    <w:p w14:paraId="4A6F4C7E" w14:textId="77777777" w:rsidR="00CE6695" w:rsidRDefault="00CE6695" w:rsidP="00CE6695">
      <w:pPr>
        <w:spacing w:line="332" w:lineRule="exact"/>
        <w:rPr>
          <w:sz w:val="20"/>
          <w:szCs w:val="20"/>
        </w:rPr>
      </w:pPr>
    </w:p>
    <w:p w14:paraId="4A6F4C7F" w14:textId="77777777" w:rsidR="00093159" w:rsidRPr="0070178B" w:rsidRDefault="00093159" w:rsidP="00CE6695">
      <w:pPr>
        <w:spacing w:line="332" w:lineRule="exact"/>
        <w:rPr>
          <w:color w:val="1F3864" w:themeColor="accent1" w:themeShade="80"/>
          <w:sz w:val="20"/>
          <w:szCs w:val="20"/>
        </w:rPr>
      </w:pPr>
    </w:p>
    <w:p w14:paraId="4A6F4C80" w14:textId="55E7127A" w:rsidR="00CE6695" w:rsidRPr="0070178B" w:rsidRDefault="0070178B" w:rsidP="00093159">
      <w:pPr>
        <w:pStyle w:val="Nadpis4"/>
        <w:rPr>
          <w:color w:val="1F3864" w:themeColor="accent1" w:themeShade="80"/>
          <w:sz w:val="20"/>
          <w:szCs w:val="20"/>
        </w:rPr>
      </w:pPr>
      <w:r>
        <w:rPr>
          <w:rFonts w:eastAsia="Times New Roman"/>
          <w:color w:val="1F3864" w:themeColor="accent1" w:themeShade="80"/>
        </w:rPr>
        <w:lastRenderedPageBreak/>
        <w:t xml:space="preserve"> </w:t>
      </w:r>
      <w:r w:rsidR="00CE6695" w:rsidRPr="0070178B">
        <w:rPr>
          <w:rFonts w:eastAsia="Times New Roman"/>
          <w:color w:val="1F3864" w:themeColor="accent1" w:themeShade="80"/>
        </w:rPr>
        <w:t>Z hlediska výpočtu důchodové dávky</w:t>
      </w:r>
    </w:p>
    <w:p w14:paraId="4A6F4C81" w14:textId="77777777" w:rsidR="00CE6695" w:rsidRPr="00FC3B7C" w:rsidRDefault="00CE6695" w:rsidP="00D46B53">
      <w:pPr>
        <w:numPr>
          <w:ilvl w:val="0"/>
          <w:numId w:val="363"/>
        </w:numPr>
        <w:tabs>
          <w:tab w:val="left" w:pos="540"/>
        </w:tabs>
        <w:ind w:left="540" w:hanging="357"/>
        <w:rPr>
          <w:rFonts w:eastAsia="Times New Roman"/>
          <w:szCs w:val="24"/>
        </w:rPr>
      </w:pPr>
      <w:r w:rsidRPr="00FC3B7C">
        <w:rPr>
          <w:rFonts w:eastAsia="Times New Roman"/>
          <w:b/>
          <w:bCs/>
          <w:szCs w:val="24"/>
        </w:rPr>
        <w:t>Dávkově definovaný = DB (defined benefit)</w:t>
      </w:r>
    </w:p>
    <w:p w14:paraId="4A6F4C82" w14:textId="77777777" w:rsidR="00CE6695" w:rsidRPr="00FC3B7C" w:rsidRDefault="00CE6695" w:rsidP="00D46B53">
      <w:pPr>
        <w:numPr>
          <w:ilvl w:val="1"/>
          <w:numId w:val="363"/>
        </w:numPr>
        <w:tabs>
          <w:tab w:val="left" w:pos="1120"/>
        </w:tabs>
        <w:ind w:left="1120" w:hanging="370"/>
        <w:rPr>
          <w:rFonts w:eastAsia="Times New Roman"/>
          <w:b/>
          <w:bCs/>
          <w:szCs w:val="24"/>
        </w:rPr>
      </w:pPr>
      <w:r w:rsidRPr="00FC3B7C">
        <w:rPr>
          <w:rFonts w:eastAsia="Times New Roman"/>
          <w:szCs w:val="24"/>
        </w:rPr>
        <w:t>uplatňuje se v průběžném systému</w:t>
      </w:r>
    </w:p>
    <w:p w14:paraId="4A6F4C83" w14:textId="77777777" w:rsidR="00CE6695" w:rsidRPr="00FC3B7C" w:rsidRDefault="00CE6695" w:rsidP="00D46B53">
      <w:pPr>
        <w:numPr>
          <w:ilvl w:val="1"/>
          <w:numId w:val="363"/>
        </w:numPr>
        <w:tabs>
          <w:tab w:val="left" w:pos="1120"/>
        </w:tabs>
        <w:ind w:left="1120" w:hanging="370"/>
        <w:rPr>
          <w:rFonts w:eastAsia="Times New Roman"/>
          <w:b/>
          <w:bCs/>
          <w:sz w:val="23"/>
          <w:szCs w:val="23"/>
        </w:rPr>
      </w:pPr>
      <w:r w:rsidRPr="00FC3B7C">
        <w:rPr>
          <w:rFonts w:eastAsia="Times New Roman"/>
          <w:sz w:val="23"/>
          <w:szCs w:val="23"/>
        </w:rPr>
        <w:t>garantuje určitou výši penzijních dávek, většinou v závislosti na kombinaci faktorů jako je počet let, po které jedinec odváděl příspěvky do systému a výše příjmů</w:t>
      </w:r>
    </w:p>
    <w:p w14:paraId="4A6F4C84" w14:textId="77777777" w:rsidR="00CE6695" w:rsidRPr="00FC3B7C" w:rsidRDefault="00CE6695" w:rsidP="00093159">
      <w:pPr>
        <w:ind w:left="1120"/>
        <w:rPr>
          <w:sz w:val="20"/>
          <w:szCs w:val="20"/>
        </w:rPr>
      </w:pPr>
      <w:bookmarkStart w:id="388" w:name="page402"/>
      <w:bookmarkEnd w:id="388"/>
      <w:r w:rsidRPr="00FC3B7C">
        <w:rPr>
          <w:rFonts w:eastAsia="Times New Roman"/>
          <w:szCs w:val="24"/>
        </w:rPr>
        <w:t>jedince za určité období → poměrně komplikovaný způsob stanovení konkrétní výše důchodu</w:t>
      </w:r>
    </w:p>
    <w:p w14:paraId="4A6F4C85" w14:textId="77777777" w:rsidR="00CE6695" w:rsidRPr="00FC3B7C" w:rsidRDefault="00CE6695" w:rsidP="00D46B53">
      <w:pPr>
        <w:numPr>
          <w:ilvl w:val="0"/>
          <w:numId w:val="364"/>
        </w:numPr>
        <w:tabs>
          <w:tab w:val="left" w:pos="560"/>
        </w:tabs>
        <w:ind w:left="560" w:hanging="354"/>
        <w:rPr>
          <w:rFonts w:eastAsia="Times New Roman"/>
          <w:b/>
          <w:bCs/>
          <w:szCs w:val="24"/>
        </w:rPr>
      </w:pPr>
      <w:bookmarkStart w:id="389" w:name="page403"/>
      <w:bookmarkEnd w:id="389"/>
      <w:r w:rsidRPr="00FC3B7C">
        <w:rPr>
          <w:rFonts w:eastAsia="Times New Roman"/>
          <w:b/>
          <w:bCs/>
          <w:szCs w:val="24"/>
        </w:rPr>
        <w:t>Příspěvkově definovaný = DC (defined contribution)</w:t>
      </w:r>
    </w:p>
    <w:p w14:paraId="4A6F4C86" w14:textId="77777777" w:rsidR="00CE6695" w:rsidRPr="00FC3B7C" w:rsidRDefault="00CE6695" w:rsidP="00D46B53">
      <w:pPr>
        <w:numPr>
          <w:ilvl w:val="1"/>
          <w:numId w:val="364"/>
        </w:numPr>
        <w:tabs>
          <w:tab w:val="left" w:pos="1140"/>
        </w:tabs>
        <w:ind w:left="1140" w:hanging="370"/>
        <w:rPr>
          <w:rFonts w:eastAsia="Times New Roman"/>
          <w:b/>
          <w:bCs/>
          <w:szCs w:val="24"/>
        </w:rPr>
      </w:pPr>
      <w:r w:rsidRPr="00FC3B7C">
        <w:rPr>
          <w:rFonts w:eastAsia="Times New Roman"/>
          <w:szCs w:val="24"/>
        </w:rPr>
        <w:t>uplatňuje se v kapitálovém systému</w:t>
      </w:r>
    </w:p>
    <w:p w14:paraId="4A6F4C87" w14:textId="77777777" w:rsidR="00CE6695" w:rsidRPr="00093159" w:rsidRDefault="00CE6695" w:rsidP="00D46B53">
      <w:pPr>
        <w:numPr>
          <w:ilvl w:val="1"/>
          <w:numId w:val="364"/>
        </w:numPr>
        <w:tabs>
          <w:tab w:val="left" w:pos="1140"/>
        </w:tabs>
        <w:ind w:left="1140" w:hanging="370"/>
        <w:rPr>
          <w:rFonts w:eastAsia="Times New Roman"/>
          <w:b/>
          <w:bCs/>
          <w:szCs w:val="24"/>
        </w:rPr>
      </w:pPr>
      <w:r w:rsidRPr="00093159">
        <w:rPr>
          <w:rFonts w:eastAsia="Times New Roman"/>
          <w:szCs w:val="24"/>
        </w:rPr>
        <w:t>neposkytuje účastníkům takovou míru jistoty ohledně výše jejich budoucích penzí</w:t>
      </w:r>
    </w:p>
    <w:p w14:paraId="4A6F4C88" w14:textId="77777777" w:rsidR="00CE6695" w:rsidRPr="00FC3B7C" w:rsidRDefault="00CE6695" w:rsidP="00D46B53">
      <w:pPr>
        <w:numPr>
          <w:ilvl w:val="1"/>
          <w:numId w:val="364"/>
        </w:numPr>
        <w:tabs>
          <w:tab w:val="left" w:pos="1140"/>
        </w:tabs>
        <w:ind w:left="1140" w:right="720" w:hanging="370"/>
        <w:rPr>
          <w:rFonts w:eastAsia="Times New Roman"/>
          <w:b/>
          <w:bCs/>
          <w:szCs w:val="24"/>
        </w:rPr>
      </w:pPr>
      <w:r w:rsidRPr="00FC3B7C">
        <w:rPr>
          <w:rFonts w:eastAsia="Times New Roman"/>
          <w:szCs w:val="24"/>
        </w:rPr>
        <w:t>účastníci platí stanovenou příspěvkovou sazbu, ale výše jejich budoucích penzí závisí kromě velikosti odvedených příspěvků, také na míře výnosu z investování těchto úspor na kapitálovém trhu</w:t>
      </w:r>
    </w:p>
    <w:p w14:paraId="4A6F4C89" w14:textId="77777777" w:rsidR="00CE6695" w:rsidRPr="00FC3B7C" w:rsidRDefault="00CE6695" w:rsidP="00D46B53">
      <w:pPr>
        <w:numPr>
          <w:ilvl w:val="1"/>
          <w:numId w:val="364"/>
        </w:numPr>
        <w:tabs>
          <w:tab w:val="left" w:pos="1140"/>
        </w:tabs>
        <w:ind w:left="1140" w:right="760" w:hanging="370"/>
        <w:rPr>
          <w:rFonts w:eastAsia="Times New Roman"/>
          <w:b/>
          <w:bCs/>
          <w:szCs w:val="24"/>
        </w:rPr>
      </w:pPr>
      <w:r w:rsidRPr="00FC3B7C">
        <w:rPr>
          <w:rFonts w:eastAsia="Times New Roman"/>
          <w:szCs w:val="24"/>
        </w:rPr>
        <w:t>vycházíme z toho, že zaplatíme nějaké peníze a vydělíme je pravděpodobností dožití = důchod</w:t>
      </w:r>
    </w:p>
    <w:p w14:paraId="4A6F4C8A" w14:textId="77777777" w:rsidR="00CE6695" w:rsidRPr="00FC3B7C" w:rsidRDefault="00CE6695" w:rsidP="00D46B53">
      <w:pPr>
        <w:numPr>
          <w:ilvl w:val="0"/>
          <w:numId w:val="364"/>
        </w:numPr>
        <w:tabs>
          <w:tab w:val="left" w:pos="560"/>
        </w:tabs>
        <w:ind w:left="560" w:hanging="357"/>
        <w:rPr>
          <w:rFonts w:eastAsia="Times New Roman"/>
          <w:b/>
          <w:bCs/>
          <w:szCs w:val="24"/>
        </w:rPr>
      </w:pPr>
      <w:r w:rsidRPr="00FC3B7C">
        <w:rPr>
          <w:rFonts w:eastAsia="Times New Roman"/>
          <w:b/>
          <w:bCs/>
          <w:szCs w:val="24"/>
        </w:rPr>
        <w:t>Hypoteticky příspěvkově definovaný = NDC (notional defined contribution)</w:t>
      </w:r>
    </w:p>
    <w:p w14:paraId="4A6F4C8B" w14:textId="77777777" w:rsidR="00CE6695" w:rsidRPr="00FC3B7C" w:rsidRDefault="00CE6695" w:rsidP="00D46B53">
      <w:pPr>
        <w:numPr>
          <w:ilvl w:val="1"/>
          <w:numId w:val="364"/>
        </w:numPr>
        <w:tabs>
          <w:tab w:val="left" w:pos="1140"/>
        </w:tabs>
        <w:ind w:left="1140" w:hanging="370"/>
        <w:rPr>
          <w:rFonts w:eastAsia="Times New Roman"/>
          <w:b/>
          <w:bCs/>
          <w:szCs w:val="24"/>
        </w:rPr>
      </w:pPr>
      <w:r w:rsidRPr="00FC3B7C">
        <w:rPr>
          <w:rFonts w:eastAsia="Times New Roman"/>
          <w:szCs w:val="24"/>
        </w:rPr>
        <w:t>poměrně nová metoda, používá se např. ve Švédsku</w:t>
      </w:r>
    </w:p>
    <w:p w14:paraId="4A6F4C8C" w14:textId="77777777" w:rsidR="00CE6695" w:rsidRPr="00FC3B7C" w:rsidRDefault="00CE6695" w:rsidP="00D46B53">
      <w:pPr>
        <w:numPr>
          <w:ilvl w:val="1"/>
          <w:numId w:val="364"/>
        </w:numPr>
        <w:tabs>
          <w:tab w:val="left" w:pos="1140"/>
        </w:tabs>
        <w:ind w:left="1140" w:right="720" w:hanging="370"/>
        <w:rPr>
          <w:rFonts w:eastAsia="Times New Roman"/>
          <w:b/>
          <w:bCs/>
          <w:szCs w:val="24"/>
        </w:rPr>
      </w:pPr>
      <w:r w:rsidRPr="00FC3B7C">
        <w:rPr>
          <w:rFonts w:eastAsia="Times New Roman"/>
          <w:szCs w:val="24"/>
        </w:rPr>
        <w:t>každý účastník má svůj (fiktivní) individuální účet, na který se mu připisují odvedené příspěvky a jejich zhodnocování v čase</w:t>
      </w:r>
    </w:p>
    <w:p w14:paraId="4A6F4C8D" w14:textId="77777777" w:rsidR="00CE6695" w:rsidRPr="00FC3B7C" w:rsidRDefault="00CE6695" w:rsidP="00D46B53">
      <w:pPr>
        <w:numPr>
          <w:ilvl w:val="1"/>
          <w:numId w:val="364"/>
        </w:numPr>
        <w:tabs>
          <w:tab w:val="left" w:pos="1140"/>
        </w:tabs>
        <w:ind w:left="1140" w:right="720" w:hanging="370"/>
        <w:rPr>
          <w:rFonts w:eastAsia="Times New Roman"/>
          <w:b/>
          <w:bCs/>
          <w:szCs w:val="24"/>
        </w:rPr>
      </w:pPr>
      <w:r w:rsidRPr="00FC3B7C">
        <w:rPr>
          <w:rFonts w:eastAsia="Times New Roman"/>
          <w:szCs w:val="24"/>
        </w:rPr>
        <w:t xml:space="preserve">úspory na účtech jsou pouze hypotetické, protože vybrané příspěvky jsou fakticky použity na výplatu současných důchodců a jsou pouze „papírově“ připisovány </w:t>
      </w:r>
      <w:r w:rsidR="00093159">
        <w:rPr>
          <w:rFonts w:eastAsia="Times New Roman"/>
          <w:szCs w:val="24"/>
        </w:rPr>
        <w:br/>
      </w:r>
      <w:r w:rsidRPr="00FC3B7C">
        <w:rPr>
          <w:rFonts w:eastAsia="Times New Roman"/>
          <w:szCs w:val="24"/>
        </w:rPr>
        <w:t>a zhodnocovány na účtech</w:t>
      </w:r>
    </w:p>
    <w:p w14:paraId="4A6F4C8E" w14:textId="77777777" w:rsidR="00CE6695" w:rsidRPr="00FC3B7C" w:rsidRDefault="00CE6695" w:rsidP="00CE6695">
      <w:pPr>
        <w:tabs>
          <w:tab w:val="left" w:pos="1140"/>
        </w:tabs>
        <w:spacing w:line="328" w:lineRule="auto"/>
        <w:ind w:right="720"/>
        <w:rPr>
          <w:rFonts w:eastAsia="Times New Roman"/>
          <w:b/>
          <w:bCs/>
          <w:szCs w:val="24"/>
        </w:rPr>
      </w:pPr>
    </w:p>
    <w:p w14:paraId="4A6F4C8F" w14:textId="77777777" w:rsidR="00CE6695" w:rsidRPr="00FC3B7C" w:rsidRDefault="00CE6695" w:rsidP="00CE6695">
      <w:pPr>
        <w:spacing w:line="2" w:lineRule="exact"/>
        <w:rPr>
          <w:sz w:val="20"/>
          <w:szCs w:val="20"/>
        </w:rPr>
      </w:pPr>
    </w:p>
    <w:p w14:paraId="4A6F4C90" w14:textId="77777777" w:rsidR="00CE6695" w:rsidRPr="004A43AA" w:rsidRDefault="00CE6695" w:rsidP="00093159">
      <w:pPr>
        <w:pStyle w:val="Nadpis4"/>
        <w:rPr>
          <w:color w:val="1F3864" w:themeColor="accent1" w:themeShade="80"/>
          <w:sz w:val="20"/>
          <w:szCs w:val="20"/>
        </w:rPr>
      </w:pPr>
      <w:r w:rsidRPr="004A43AA">
        <w:rPr>
          <w:rFonts w:eastAsia="Times New Roman"/>
          <w:color w:val="1F3864" w:themeColor="accent1" w:themeShade="80"/>
        </w:rPr>
        <w:t>Z hlediska účasti</w:t>
      </w:r>
    </w:p>
    <w:p w14:paraId="4A6F4C91" w14:textId="77777777" w:rsidR="00CE6695" w:rsidRPr="00FC3B7C" w:rsidRDefault="00CE6695" w:rsidP="00D46B53">
      <w:pPr>
        <w:numPr>
          <w:ilvl w:val="0"/>
          <w:numId w:val="365"/>
        </w:numPr>
        <w:tabs>
          <w:tab w:val="left" w:pos="1340"/>
        </w:tabs>
        <w:ind w:left="1340" w:hanging="353"/>
        <w:rPr>
          <w:rFonts w:eastAsia="Times New Roman"/>
          <w:szCs w:val="24"/>
        </w:rPr>
      </w:pPr>
      <w:r w:rsidRPr="00FC3B7C">
        <w:rPr>
          <w:rFonts w:eastAsia="Times New Roman"/>
          <w:b/>
          <w:bCs/>
          <w:szCs w:val="24"/>
        </w:rPr>
        <w:t>Povinná</w:t>
      </w:r>
    </w:p>
    <w:p w14:paraId="4A6F4C92" w14:textId="77777777" w:rsidR="00CE6695" w:rsidRPr="00FC3B7C" w:rsidRDefault="00CE6695" w:rsidP="00D46B53">
      <w:pPr>
        <w:numPr>
          <w:ilvl w:val="1"/>
          <w:numId w:val="365"/>
        </w:numPr>
        <w:tabs>
          <w:tab w:val="left" w:pos="2060"/>
        </w:tabs>
        <w:ind w:left="2060" w:hanging="353"/>
        <w:rPr>
          <w:rFonts w:eastAsia="Times New Roman"/>
          <w:b/>
          <w:bCs/>
          <w:szCs w:val="24"/>
        </w:rPr>
      </w:pPr>
      <w:r w:rsidRPr="00FC3B7C">
        <w:rPr>
          <w:rFonts w:eastAsia="Times New Roman"/>
          <w:szCs w:val="24"/>
        </w:rPr>
        <w:t>systém zahrnující všechny subjekty, nelze nikoho vyloučit</w:t>
      </w:r>
    </w:p>
    <w:p w14:paraId="4A6F4C93" w14:textId="77777777" w:rsidR="00CE6695" w:rsidRPr="00FC3B7C" w:rsidRDefault="00CE6695" w:rsidP="00D46B53">
      <w:pPr>
        <w:numPr>
          <w:ilvl w:val="1"/>
          <w:numId w:val="365"/>
        </w:numPr>
        <w:tabs>
          <w:tab w:val="left" w:pos="2060"/>
        </w:tabs>
        <w:ind w:left="2060" w:hanging="353"/>
        <w:rPr>
          <w:rFonts w:eastAsia="Times New Roman"/>
          <w:b/>
          <w:bCs/>
          <w:szCs w:val="24"/>
        </w:rPr>
      </w:pPr>
      <w:r w:rsidRPr="00FC3B7C">
        <w:rPr>
          <w:rFonts w:eastAsia="Times New Roman"/>
          <w:szCs w:val="24"/>
        </w:rPr>
        <w:t>Důchodový systém v ČR</w:t>
      </w:r>
    </w:p>
    <w:p w14:paraId="4A6F4C94" w14:textId="77777777" w:rsidR="00CE6695" w:rsidRPr="00FC3B7C" w:rsidRDefault="00CE6695" w:rsidP="00D46B53">
      <w:pPr>
        <w:numPr>
          <w:ilvl w:val="0"/>
          <w:numId w:val="365"/>
        </w:numPr>
        <w:tabs>
          <w:tab w:val="left" w:pos="1340"/>
        </w:tabs>
        <w:ind w:left="1340" w:hanging="353"/>
        <w:rPr>
          <w:rFonts w:eastAsia="Times New Roman"/>
          <w:b/>
          <w:bCs/>
          <w:szCs w:val="24"/>
        </w:rPr>
      </w:pPr>
      <w:r w:rsidRPr="00FC3B7C">
        <w:rPr>
          <w:rFonts w:eastAsia="Times New Roman"/>
          <w:b/>
          <w:bCs/>
          <w:szCs w:val="24"/>
        </w:rPr>
        <w:t>Dobrovolná</w:t>
      </w:r>
    </w:p>
    <w:p w14:paraId="4A6F4C95" w14:textId="77777777" w:rsidR="00CE6695" w:rsidRPr="00FC3B7C" w:rsidRDefault="00CE6695" w:rsidP="00D46B53">
      <w:pPr>
        <w:numPr>
          <w:ilvl w:val="1"/>
          <w:numId w:val="365"/>
        </w:numPr>
        <w:tabs>
          <w:tab w:val="left" w:pos="2060"/>
        </w:tabs>
        <w:ind w:left="2060" w:hanging="353"/>
        <w:rPr>
          <w:rFonts w:eastAsia="Times New Roman"/>
          <w:b/>
          <w:bCs/>
          <w:szCs w:val="24"/>
        </w:rPr>
      </w:pPr>
      <w:r w:rsidRPr="00FC3B7C">
        <w:rPr>
          <w:rFonts w:eastAsia="Times New Roman"/>
          <w:szCs w:val="24"/>
        </w:rPr>
        <w:t>Penzijní připojištění → doplňkové penzijní spoření</w:t>
      </w:r>
    </w:p>
    <w:p w14:paraId="4A6F4C96" w14:textId="77777777" w:rsidR="00CE6695" w:rsidRPr="00FC3B7C" w:rsidRDefault="00CE6695" w:rsidP="00CE6695">
      <w:pPr>
        <w:spacing w:line="332" w:lineRule="exact"/>
        <w:rPr>
          <w:sz w:val="20"/>
          <w:szCs w:val="20"/>
        </w:rPr>
      </w:pPr>
    </w:p>
    <w:p w14:paraId="4A6F4C97" w14:textId="77777777" w:rsidR="00CE6695" w:rsidRPr="004A43AA" w:rsidRDefault="00CE6695" w:rsidP="00093159">
      <w:pPr>
        <w:pStyle w:val="Nadpis4"/>
        <w:rPr>
          <w:color w:val="1F3864" w:themeColor="accent1" w:themeShade="80"/>
          <w:sz w:val="20"/>
          <w:szCs w:val="20"/>
        </w:rPr>
      </w:pPr>
      <w:r w:rsidRPr="004A43AA">
        <w:rPr>
          <w:rFonts w:eastAsia="Times New Roman"/>
          <w:color w:val="1F3864" w:themeColor="accent1" w:themeShade="80"/>
        </w:rPr>
        <w:t>Z hlediska typu provozovatele</w:t>
      </w:r>
    </w:p>
    <w:p w14:paraId="4A6F4C98" w14:textId="77777777" w:rsidR="00CE6695" w:rsidRPr="00FC3B7C" w:rsidRDefault="00CE6695" w:rsidP="00D46B53">
      <w:pPr>
        <w:numPr>
          <w:ilvl w:val="0"/>
          <w:numId w:val="366"/>
        </w:numPr>
        <w:tabs>
          <w:tab w:val="left" w:pos="1340"/>
        </w:tabs>
        <w:ind w:left="1340" w:hanging="353"/>
        <w:rPr>
          <w:rFonts w:eastAsia="Times New Roman"/>
          <w:szCs w:val="24"/>
        </w:rPr>
      </w:pPr>
      <w:r w:rsidRPr="00FC3B7C">
        <w:rPr>
          <w:rFonts w:eastAsia="Times New Roman"/>
          <w:b/>
          <w:bCs/>
          <w:szCs w:val="24"/>
        </w:rPr>
        <w:t xml:space="preserve">Státní - </w:t>
      </w:r>
      <w:r w:rsidRPr="00FC3B7C">
        <w:rPr>
          <w:rFonts w:eastAsia="Times New Roman"/>
          <w:szCs w:val="24"/>
        </w:rPr>
        <w:t>vláda zodpovědná za výběr příspěvků</w:t>
      </w:r>
      <w:r w:rsidRPr="00FC3B7C">
        <w:rPr>
          <w:rFonts w:eastAsia="Times New Roman"/>
          <w:b/>
          <w:bCs/>
          <w:szCs w:val="24"/>
        </w:rPr>
        <w:t xml:space="preserve"> </w:t>
      </w:r>
      <w:r w:rsidRPr="00FC3B7C">
        <w:rPr>
          <w:rFonts w:eastAsia="Times New Roman"/>
          <w:szCs w:val="24"/>
        </w:rPr>
        <w:t>a výplatu důchodů</w:t>
      </w:r>
    </w:p>
    <w:p w14:paraId="4A6F4C99" w14:textId="77777777" w:rsidR="00CE6695" w:rsidRPr="00FC3B7C" w:rsidRDefault="00CE6695" w:rsidP="00D46B53">
      <w:pPr>
        <w:numPr>
          <w:ilvl w:val="0"/>
          <w:numId w:val="366"/>
        </w:numPr>
        <w:tabs>
          <w:tab w:val="left" w:pos="1340"/>
        </w:tabs>
        <w:ind w:left="1340" w:right="720" w:hanging="353"/>
        <w:rPr>
          <w:rFonts w:eastAsia="Times New Roman"/>
          <w:szCs w:val="24"/>
        </w:rPr>
      </w:pPr>
      <w:r w:rsidRPr="00FC3B7C">
        <w:rPr>
          <w:rFonts w:eastAsia="Times New Roman"/>
          <w:b/>
          <w:bCs/>
          <w:szCs w:val="24"/>
        </w:rPr>
        <w:lastRenderedPageBreak/>
        <w:t xml:space="preserve">Soukromý </w:t>
      </w:r>
      <w:r w:rsidRPr="00FC3B7C">
        <w:rPr>
          <w:rFonts w:eastAsia="Times New Roman"/>
          <w:szCs w:val="24"/>
        </w:rPr>
        <w:t>- odpovědnost za výběr příspěvků</w:t>
      </w:r>
      <w:r w:rsidRPr="00FC3B7C">
        <w:rPr>
          <w:rFonts w:eastAsia="Times New Roman"/>
          <w:b/>
          <w:bCs/>
          <w:szCs w:val="24"/>
        </w:rPr>
        <w:t xml:space="preserve"> </w:t>
      </w:r>
      <w:r w:rsidRPr="00FC3B7C">
        <w:rPr>
          <w:rFonts w:eastAsia="Times New Roman"/>
          <w:szCs w:val="24"/>
        </w:rPr>
        <w:t>a výplatu dávek na straně</w:t>
      </w:r>
      <w:r w:rsidRPr="00FC3B7C">
        <w:rPr>
          <w:rFonts w:eastAsia="Times New Roman"/>
          <w:b/>
          <w:bCs/>
          <w:szCs w:val="24"/>
        </w:rPr>
        <w:t xml:space="preserve"> </w:t>
      </w:r>
      <w:r w:rsidRPr="00FC3B7C">
        <w:rPr>
          <w:rFonts w:eastAsia="Times New Roman"/>
          <w:szCs w:val="24"/>
        </w:rPr>
        <w:t>soukromého sektoru</w:t>
      </w:r>
    </w:p>
    <w:p w14:paraId="4A6F4C9A" w14:textId="77777777" w:rsidR="00093159" w:rsidRDefault="00093159" w:rsidP="00CE6695">
      <w:pPr>
        <w:spacing w:line="240" w:lineRule="auto"/>
        <w:ind w:left="440"/>
        <w:rPr>
          <w:rFonts w:eastAsia="Times New Roman"/>
          <w:b/>
          <w:bCs/>
          <w:sz w:val="28"/>
          <w:szCs w:val="28"/>
        </w:rPr>
      </w:pPr>
      <w:bookmarkStart w:id="390" w:name="page404"/>
      <w:bookmarkEnd w:id="390"/>
    </w:p>
    <w:p w14:paraId="4A6F4C9C" w14:textId="77777777" w:rsidR="00CE6695" w:rsidRPr="00244BB9" w:rsidRDefault="00CE6695" w:rsidP="00093159">
      <w:pPr>
        <w:pStyle w:val="Nadpis3"/>
        <w:rPr>
          <w:color w:val="1F3864" w:themeColor="accent1" w:themeShade="80"/>
          <w:sz w:val="20"/>
          <w:szCs w:val="20"/>
        </w:rPr>
      </w:pPr>
      <w:r w:rsidRPr="00244BB9">
        <w:rPr>
          <w:rFonts w:eastAsia="Times New Roman"/>
          <w:color w:val="1F3864" w:themeColor="accent1" w:themeShade="80"/>
        </w:rPr>
        <w:t>Principy reforem sociálního státu</w:t>
      </w:r>
    </w:p>
    <w:p w14:paraId="4A6F4C9D" w14:textId="77777777" w:rsidR="00CE6695" w:rsidRPr="00FC3B7C" w:rsidRDefault="00CE6695" w:rsidP="0070178B">
      <w:pPr>
        <w:ind w:right="20"/>
        <w:rPr>
          <w:sz w:val="20"/>
          <w:szCs w:val="20"/>
        </w:rPr>
      </w:pPr>
      <w:r w:rsidRPr="00FC3B7C">
        <w:rPr>
          <w:rFonts w:eastAsia="Times New Roman"/>
          <w:szCs w:val="24"/>
        </w:rPr>
        <w:t xml:space="preserve">Podstatou reformy je úprava nebo změna nějakého stavu směřující k jeho zlepšení. </w:t>
      </w:r>
      <w:r w:rsidR="00093159">
        <w:rPr>
          <w:rFonts w:eastAsia="Times New Roman"/>
          <w:szCs w:val="24"/>
        </w:rPr>
        <w:br/>
      </w:r>
      <w:r w:rsidRPr="00FC3B7C">
        <w:rPr>
          <w:rFonts w:eastAsia="Times New Roman"/>
          <w:szCs w:val="24"/>
        </w:rPr>
        <w:t>Za reformu lze považovat každou změnu v současné sociální politice, změnu sociálních systémů, struktur, procedur a postupů, jež spočívá ve změně jejich pravidel nebo sociálních norem. Za důchodovou reformu lze tedy označit změny, které mají za cíl zlepšit důchodový systém prostřednictvím změn pravidel jeho organizace a fungování. Změny a opatření mohou mít různou povahu a rozsah (změny v podmínkách výplaty a výše dávek, změny ve způsobu financování, …). Pro účely reformy důchodových soustav se nejčastěji rozdělují na:</w:t>
      </w:r>
    </w:p>
    <w:p w14:paraId="4A6F4C9E" w14:textId="77777777" w:rsidR="00CE6695" w:rsidRPr="00FC3B7C" w:rsidRDefault="00CE6695" w:rsidP="00D46B53">
      <w:pPr>
        <w:numPr>
          <w:ilvl w:val="0"/>
          <w:numId w:val="367"/>
        </w:numPr>
        <w:tabs>
          <w:tab w:val="left" w:pos="720"/>
        </w:tabs>
        <w:ind w:left="720" w:hanging="364"/>
        <w:rPr>
          <w:rFonts w:eastAsia="Times New Roman"/>
          <w:szCs w:val="24"/>
        </w:rPr>
      </w:pPr>
      <w:r w:rsidRPr="00FC3B7C">
        <w:rPr>
          <w:rFonts w:eastAsia="Times New Roman"/>
          <w:b/>
          <w:bCs/>
          <w:szCs w:val="24"/>
        </w:rPr>
        <w:t xml:space="preserve">systémové reformy </w:t>
      </w:r>
      <w:r w:rsidRPr="00FC3B7C">
        <w:rPr>
          <w:rFonts w:eastAsia="Times New Roman"/>
          <w:szCs w:val="24"/>
        </w:rPr>
        <w:t>- spočívají ve vytvoření zcela nové soustavy, v nahrazení soustavy</w:t>
      </w:r>
      <w:r w:rsidRPr="00FC3B7C">
        <w:rPr>
          <w:rFonts w:eastAsia="Times New Roman"/>
          <w:b/>
          <w:bCs/>
          <w:szCs w:val="24"/>
        </w:rPr>
        <w:t xml:space="preserve"> </w:t>
      </w:r>
      <w:r w:rsidRPr="00FC3B7C">
        <w:rPr>
          <w:rFonts w:eastAsia="Times New Roman"/>
          <w:szCs w:val="24"/>
        </w:rPr>
        <w:t>jinou soustavou nebo ve zrušení soustavy bez náhrady</w:t>
      </w:r>
    </w:p>
    <w:p w14:paraId="4A6F4C9F" w14:textId="77777777" w:rsidR="00CE6695" w:rsidRPr="00FC3B7C" w:rsidRDefault="00CE6695" w:rsidP="00D46B53">
      <w:pPr>
        <w:numPr>
          <w:ilvl w:val="0"/>
          <w:numId w:val="367"/>
        </w:numPr>
        <w:tabs>
          <w:tab w:val="left" w:pos="720"/>
        </w:tabs>
        <w:ind w:left="720" w:hanging="364"/>
        <w:rPr>
          <w:rFonts w:eastAsia="Times New Roman"/>
          <w:szCs w:val="24"/>
        </w:rPr>
      </w:pPr>
      <w:r w:rsidRPr="00FC3B7C">
        <w:rPr>
          <w:rFonts w:eastAsia="Times New Roman"/>
          <w:b/>
          <w:bCs/>
          <w:szCs w:val="24"/>
        </w:rPr>
        <w:t xml:space="preserve">parametrické reformy </w:t>
      </w:r>
      <w:r w:rsidRPr="00FC3B7C">
        <w:rPr>
          <w:rFonts w:eastAsia="Times New Roman"/>
          <w:szCs w:val="24"/>
        </w:rPr>
        <w:t>- modifikují již</w:t>
      </w:r>
      <w:r w:rsidRPr="00FC3B7C">
        <w:rPr>
          <w:rFonts w:eastAsia="Times New Roman"/>
          <w:b/>
          <w:bCs/>
          <w:szCs w:val="24"/>
        </w:rPr>
        <w:t xml:space="preserve"> </w:t>
      </w:r>
      <w:r w:rsidRPr="00FC3B7C">
        <w:rPr>
          <w:rFonts w:eastAsia="Times New Roman"/>
          <w:szCs w:val="24"/>
        </w:rPr>
        <w:t>existující soustavy, mění jejich parametry -</w:t>
      </w:r>
      <w:r w:rsidRPr="00FC3B7C">
        <w:rPr>
          <w:rFonts w:eastAsia="Times New Roman"/>
          <w:b/>
          <w:bCs/>
          <w:szCs w:val="24"/>
        </w:rPr>
        <w:t xml:space="preserve"> </w:t>
      </w:r>
      <w:r w:rsidRPr="00FC3B7C">
        <w:rPr>
          <w:rFonts w:eastAsia="Times New Roman"/>
          <w:szCs w:val="24"/>
        </w:rPr>
        <w:t>např. minimální doba pojištění, věková hranice, odchodu do důchodu, náhradní doby</w:t>
      </w:r>
    </w:p>
    <w:p w14:paraId="4A6F4CA0" w14:textId="77777777" w:rsidR="00CE6695" w:rsidRPr="00FC3B7C" w:rsidRDefault="00CE6695" w:rsidP="00477A50">
      <w:pPr>
        <w:ind w:right="680" w:firstLine="720"/>
        <w:rPr>
          <w:rFonts w:eastAsia="Times New Roman"/>
          <w:szCs w:val="24"/>
        </w:rPr>
      </w:pPr>
      <w:r w:rsidRPr="00FC3B7C">
        <w:rPr>
          <w:rFonts w:eastAsia="Times New Roman"/>
          <w:szCs w:val="24"/>
        </w:rPr>
        <w:t>V posledních 20 - 25 letech dochází ve většině států EU k rozsáhlým demografickým, ekonomickým a sociálním změnám, což naznačuje budoucí potřebu reforem</w:t>
      </w:r>
      <w:r w:rsidRPr="00FC3B7C">
        <w:rPr>
          <w:rFonts w:eastAsia="Times New Roman"/>
          <w:sz w:val="15"/>
          <w:szCs w:val="15"/>
        </w:rPr>
        <w:t>.</w:t>
      </w:r>
      <w:r w:rsidRPr="00FC3B7C">
        <w:rPr>
          <w:rFonts w:eastAsia="Times New Roman"/>
          <w:szCs w:val="24"/>
        </w:rPr>
        <w:t xml:space="preserve"> </w:t>
      </w:r>
    </w:p>
    <w:p w14:paraId="4A6F4CA1" w14:textId="77777777" w:rsidR="00CE6695" w:rsidRPr="00FC3B7C" w:rsidRDefault="00CE6695" w:rsidP="00093159">
      <w:pPr>
        <w:ind w:right="680"/>
        <w:rPr>
          <w:sz w:val="20"/>
          <w:szCs w:val="20"/>
        </w:rPr>
      </w:pPr>
      <w:r w:rsidRPr="00FC3B7C">
        <w:rPr>
          <w:rFonts w:eastAsia="Times New Roman"/>
          <w:szCs w:val="24"/>
        </w:rPr>
        <w:t xml:space="preserve">Mezi </w:t>
      </w:r>
      <w:r w:rsidRPr="00FC3B7C">
        <w:rPr>
          <w:rFonts w:eastAsia="Times New Roman"/>
          <w:b/>
          <w:bCs/>
          <w:szCs w:val="24"/>
        </w:rPr>
        <w:t>4</w:t>
      </w:r>
      <w:r w:rsidRPr="00FC3B7C">
        <w:rPr>
          <w:rFonts w:eastAsia="Times New Roman"/>
          <w:szCs w:val="24"/>
        </w:rPr>
        <w:t xml:space="preserve"> </w:t>
      </w:r>
      <w:r w:rsidRPr="00FC3B7C">
        <w:rPr>
          <w:rFonts w:eastAsia="Times New Roman"/>
          <w:b/>
          <w:bCs/>
          <w:szCs w:val="24"/>
        </w:rPr>
        <w:t xml:space="preserve">hlavní trendy </w:t>
      </w:r>
      <w:r w:rsidRPr="00FC3B7C">
        <w:rPr>
          <w:rFonts w:eastAsia="Times New Roman"/>
          <w:szCs w:val="24"/>
        </w:rPr>
        <w:t>patří:</w:t>
      </w:r>
    </w:p>
    <w:p w14:paraId="4A6F4CA2" w14:textId="77777777" w:rsidR="00CE6695" w:rsidRPr="00FC3B7C" w:rsidRDefault="00CE6695" w:rsidP="00D46B53">
      <w:pPr>
        <w:numPr>
          <w:ilvl w:val="0"/>
          <w:numId w:val="368"/>
        </w:numPr>
        <w:tabs>
          <w:tab w:val="left" w:pos="1280"/>
        </w:tabs>
        <w:ind w:left="1280" w:right="20" w:hanging="360"/>
        <w:rPr>
          <w:rFonts w:eastAsia="Times New Roman"/>
          <w:szCs w:val="24"/>
        </w:rPr>
      </w:pPr>
      <w:r w:rsidRPr="00FC3B7C">
        <w:rPr>
          <w:rFonts w:eastAsia="Times New Roman"/>
          <w:b/>
          <w:bCs/>
          <w:szCs w:val="24"/>
        </w:rPr>
        <w:t xml:space="preserve">stárnutí populace - </w:t>
      </w:r>
      <w:r w:rsidRPr="00FC3B7C">
        <w:rPr>
          <w:rFonts w:eastAsia="Times New Roman"/>
          <w:szCs w:val="24"/>
        </w:rPr>
        <w:t>rostoucí účast</w:t>
      </w:r>
      <w:r w:rsidRPr="00FC3B7C">
        <w:rPr>
          <w:rFonts w:eastAsia="Times New Roman"/>
          <w:b/>
          <w:bCs/>
          <w:szCs w:val="24"/>
        </w:rPr>
        <w:t xml:space="preserve"> </w:t>
      </w:r>
      <w:r w:rsidRPr="00FC3B7C">
        <w:rPr>
          <w:rFonts w:eastAsia="Times New Roman"/>
          <w:szCs w:val="24"/>
        </w:rPr>
        <w:t>žen na trhu práce a měnící se poměr zastoupení</w:t>
      </w:r>
      <w:r w:rsidRPr="00FC3B7C">
        <w:rPr>
          <w:rFonts w:eastAsia="Times New Roman"/>
          <w:b/>
          <w:bCs/>
          <w:szCs w:val="24"/>
        </w:rPr>
        <w:t xml:space="preserve"> </w:t>
      </w:r>
      <w:r w:rsidRPr="00FC3B7C">
        <w:rPr>
          <w:rFonts w:eastAsia="Times New Roman"/>
          <w:szCs w:val="24"/>
        </w:rPr>
        <w:t>obou pohlaví</w:t>
      </w:r>
    </w:p>
    <w:p w14:paraId="4A6F4CA3" w14:textId="77777777" w:rsidR="00CE6695" w:rsidRPr="00FC3B7C" w:rsidRDefault="00CE6695" w:rsidP="00D46B53">
      <w:pPr>
        <w:numPr>
          <w:ilvl w:val="0"/>
          <w:numId w:val="368"/>
        </w:numPr>
        <w:tabs>
          <w:tab w:val="left" w:pos="1280"/>
        </w:tabs>
        <w:ind w:left="1280" w:right="20" w:hanging="360"/>
        <w:rPr>
          <w:rFonts w:eastAsia="Times New Roman"/>
          <w:szCs w:val="24"/>
        </w:rPr>
      </w:pPr>
      <w:r w:rsidRPr="00FC3B7C">
        <w:rPr>
          <w:rFonts w:eastAsia="Times New Roman"/>
          <w:b/>
          <w:bCs/>
          <w:szCs w:val="24"/>
        </w:rPr>
        <w:t xml:space="preserve">přetrvávající dlouhodobá nezaměstnanost - </w:t>
      </w:r>
      <w:r w:rsidRPr="00FC3B7C">
        <w:rPr>
          <w:rFonts w:eastAsia="Times New Roman"/>
          <w:szCs w:val="24"/>
        </w:rPr>
        <w:t>mezi staršími lidmi trend</w:t>
      </w:r>
      <w:r w:rsidRPr="00FC3B7C">
        <w:rPr>
          <w:rFonts w:eastAsia="Times New Roman"/>
          <w:b/>
          <w:bCs/>
          <w:szCs w:val="24"/>
        </w:rPr>
        <w:t xml:space="preserve"> </w:t>
      </w:r>
      <w:r w:rsidRPr="00FC3B7C">
        <w:rPr>
          <w:rFonts w:eastAsia="Times New Roman"/>
          <w:szCs w:val="24"/>
        </w:rPr>
        <w:t>předčasného odchodu do důchodu</w:t>
      </w:r>
    </w:p>
    <w:p w14:paraId="4A6F4CA4" w14:textId="77777777" w:rsidR="00CE6695" w:rsidRPr="00FC3B7C" w:rsidRDefault="00CE6695" w:rsidP="00D46B53">
      <w:pPr>
        <w:numPr>
          <w:ilvl w:val="0"/>
          <w:numId w:val="368"/>
        </w:numPr>
        <w:tabs>
          <w:tab w:val="left" w:pos="1280"/>
        </w:tabs>
        <w:ind w:left="1280" w:hanging="360"/>
        <w:rPr>
          <w:rFonts w:eastAsia="Times New Roman"/>
          <w:szCs w:val="24"/>
        </w:rPr>
      </w:pPr>
      <w:r w:rsidRPr="00FC3B7C">
        <w:rPr>
          <w:rFonts w:eastAsia="Times New Roman"/>
          <w:b/>
          <w:bCs/>
          <w:szCs w:val="24"/>
        </w:rPr>
        <w:t xml:space="preserve">změna struktury domácností - </w:t>
      </w:r>
      <w:r w:rsidRPr="00FC3B7C">
        <w:rPr>
          <w:rFonts w:eastAsia="Times New Roman"/>
          <w:szCs w:val="24"/>
        </w:rPr>
        <w:t>vysoký</w:t>
      </w:r>
      <w:r w:rsidRPr="00FC3B7C">
        <w:rPr>
          <w:rFonts w:eastAsia="Times New Roman"/>
          <w:b/>
          <w:bCs/>
          <w:szCs w:val="24"/>
        </w:rPr>
        <w:t xml:space="preserve"> </w:t>
      </w:r>
      <w:r w:rsidRPr="00FC3B7C">
        <w:rPr>
          <w:rFonts w:eastAsia="Times New Roman"/>
          <w:szCs w:val="24"/>
        </w:rPr>
        <w:t>podíl jednočlenných domácností</w:t>
      </w:r>
    </w:p>
    <w:p w14:paraId="4A6F4CA5" w14:textId="77777777" w:rsidR="00CE6695" w:rsidRPr="00FC3B7C" w:rsidRDefault="00CE6695" w:rsidP="00D46B53">
      <w:pPr>
        <w:numPr>
          <w:ilvl w:val="0"/>
          <w:numId w:val="368"/>
        </w:numPr>
        <w:tabs>
          <w:tab w:val="left" w:pos="1280"/>
        </w:tabs>
        <w:ind w:left="1280" w:hanging="357"/>
        <w:rPr>
          <w:rFonts w:eastAsia="Times New Roman"/>
          <w:szCs w:val="24"/>
        </w:rPr>
      </w:pPr>
      <w:r w:rsidRPr="00FC3B7C">
        <w:rPr>
          <w:rFonts w:eastAsia="Times New Roman"/>
          <w:b/>
          <w:bCs/>
          <w:szCs w:val="24"/>
        </w:rPr>
        <w:t xml:space="preserve">růst počtu osamělých </w:t>
      </w:r>
      <w:r w:rsidRPr="00FC3B7C">
        <w:rPr>
          <w:rFonts w:eastAsia="Times New Roman"/>
          <w:szCs w:val="24"/>
        </w:rPr>
        <w:t>- růst poptávky po sociálních službách</w:t>
      </w:r>
    </w:p>
    <w:p w14:paraId="4A6F4CA6" w14:textId="77777777" w:rsidR="00CE6695" w:rsidRPr="00FC3B7C" w:rsidRDefault="00CE6695" w:rsidP="00CE6695">
      <w:pPr>
        <w:spacing w:line="377" w:lineRule="exact"/>
        <w:rPr>
          <w:sz w:val="20"/>
          <w:szCs w:val="20"/>
        </w:rPr>
      </w:pPr>
    </w:p>
    <w:p w14:paraId="4A6F4CA7" w14:textId="77777777" w:rsidR="00CE6695" w:rsidRPr="00477A50" w:rsidRDefault="00CE6695" w:rsidP="00093159">
      <w:pPr>
        <w:pStyle w:val="Nadpis3"/>
        <w:rPr>
          <w:color w:val="FF0000"/>
          <w:sz w:val="20"/>
          <w:szCs w:val="20"/>
        </w:rPr>
      </w:pPr>
      <w:r w:rsidRPr="00244BB9">
        <w:rPr>
          <w:rFonts w:eastAsia="Times New Roman"/>
          <w:color w:val="1F3864" w:themeColor="accent1" w:themeShade="80"/>
        </w:rPr>
        <w:t>Sociální reforma v ČR po roce 1989</w:t>
      </w:r>
    </w:p>
    <w:p w14:paraId="4A6F4CA8" w14:textId="77777777" w:rsidR="00CE6695" w:rsidRPr="00FC3B7C" w:rsidRDefault="00CE6695" w:rsidP="0070178B">
      <w:pPr>
        <w:ind w:right="20"/>
        <w:rPr>
          <w:sz w:val="20"/>
          <w:szCs w:val="20"/>
        </w:rPr>
      </w:pPr>
      <w:r w:rsidRPr="00FC3B7C">
        <w:rPr>
          <w:rFonts w:eastAsia="Times New Roman"/>
          <w:szCs w:val="24"/>
        </w:rPr>
        <w:t>Ekonomickou transformaci po roce 1989 nebylo možné provést bez zásadních změn v sociální oblasti. Ekonomická reforma a sociální reforma se navzájem podmiňovaly. Sociální reforma je reformou kontinuální, nikoliv jednorázovým aktem.</w:t>
      </w:r>
    </w:p>
    <w:p w14:paraId="4A6F4CA9" w14:textId="77777777" w:rsidR="00CE6695" w:rsidRPr="00FC3B7C" w:rsidRDefault="00CE6695" w:rsidP="00093159">
      <w:pPr>
        <w:rPr>
          <w:sz w:val="20"/>
          <w:szCs w:val="20"/>
        </w:rPr>
      </w:pPr>
      <w:r w:rsidRPr="00FC3B7C">
        <w:rPr>
          <w:rFonts w:eastAsia="Times New Roman"/>
          <w:b/>
          <w:bCs/>
          <w:szCs w:val="24"/>
        </w:rPr>
        <w:t>Rysy sociální reformy:</w:t>
      </w:r>
    </w:p>
    <w:p w14:paraId="4A6F4CAA" w14:textId="77777777" w:rsidR="00CE6695" w:rsidRPr="00FC3B7C" w:rsidRDefault="00CE6695" w:rsidP="00D46B53">
      <w:pPr>
        <w:numPr>
          <w:ilvl w:val="0"/>
          <w:numId w:val="369"/>
        </w:numPr>
        <w:tabs>
          <w:tab w:val="left" w:pos="1000"/>
        </w:tabs>
        <w:ind w:left="1000" w:hanging="358"/>
        <w:rPr>
          <w:rFonts w:eastAsia="Times New Roman"/>
          <w:b/>
          <w:bCs/>
          <w:szCs w:val="24"/>
        </w:rPr>
      </w:pPr>
      <w:bookmarkStart w:id="391" w:name="_Hlk531087722"/>
      <w:r w:rsidRPr="00FC3B7C">
        <w:rPr>
          <w:rFonts w:eastAsia="Times New Roman"/>
          <w:szCs w:val="24"/>
        </w:rPr>
        <w:t>odstranění státního monopolu, podpora nestátních subjektů v S</w:t>
      </w:r>
      <w:bookmarkEnd w:id="391"/>
      <w:r w:rsidRPr="00FC3B7C">
        <w:rPr>
          <w:rFonts w:eastAsia="Times New Roman"/>
          <w:szCs w:val="24"/>
        </w:rPr>
        <w:t>P</w:t>
      </w:r>
    </w:p>
    <w:p w14:paraId="4A6F4CAB" w14:textId="77777777" w:rsidR="00CE6695" w:rsidRPr="00FC3B7C" w:rsidRDefault="00CE6695" w:rsidP="00D46B53">
      <w:pPr>
        <w:numPr>
          <w:ilvl w:val="0"/>
          <w:numId w:val="369"/>
        </w:numPr>
        <w:tabs>
          <w:tab w:val="left" w:pos="1000"/>
        </w:tabs>
        <w:ind w:left="1000" w:hanging="358"/>
        <w:rPr>
          <w:rFonts w:eastAsia="Times New Roman"/>
          <w:b/>
          <w:bCs/>
          <w:szCs w:val="24"/>
        </w:rPr>
      </w:pPr>
      <w:r w:rsidRPr="00FC3B7C">
        <w:rPr>
          <w:rFonts w:eastAsia="Times New Roman"/>
          <w:szCs w:val="24"/>
        </w:rPr>
        <w:t>liberalizace sociálních aktivit občanů a jejich dobrovolných sdružení a organizací</w:t>
      </w:r>
    </w:p>
    <w:p w14:paraId="4A6F4CAC" w14:textId="77777777" w:rsidR="00CE6695" w:rsidRPr="00FC3B7C" w:rsidRDefault="00CE6695" w:rsidP="00D46B53">
      <w:pPr>
        <w:numPr>
          <w:ilvl w:val="0"/>
          <w:numId w:val="369"/>
        </w:numPr>
        <w:tabs>
          <w:tab w:val="left" w:pos="1000"/>
        </w:tabs>
        <w:ind w:left="1000" w:right="20" w:hanging="358"/>
        <w:rPr>
          <w:rFonts w:eastAsia="Times New Roman"/>
          <w:b/>
          <w:bCs/>
          <w:szCs w:val="24"/>
        </w:rPr>
      </w:pPr>
      <w:r w:rsidRPr="00FC3B7C">
        <w:rPr>
          <w:rFonts w:eastAsia="Times New Roman"/>
          <w:szCs w:val="24"/>
        </w:rPr>
        <w:lastRenderedPageBreak/>
        <w:t xml:space="preserve">opuštění státního paternalismu, nastolení principu občanské odpovědnosti </w:t>
      </w:r>
      <w:r w:rsidR="00093159">
        <w:rPr>
          <w:rFonts w:eastAsia="Times New Roman"/>
          <w:szCs w:val="24"/>
        </w:rPr>
        <w:br/>
      </w:r>
      <w:r w:rsidRPr="00FC3B7C">
        <w:rPr>
          <w:rFonts w:eastAsia="Times New Roman"/>
          <w:szCs w:val="24"/>
        </w:rPr>
        <w:t>a participace</w:t>
      </w:r>
    </w:p>
    <w:p w14:paraId="4A6F4CAD" w14:textId="77777777" w:rsidR="00CE6695" w:rsidRPr="00FC3B7C" w:rsidRDefault="00CE6695" w:rsidP="00D46B53">
      <w:pPr>
        <w:numPr>
          <w:ilvl w:val="0"/>
          <w:numId w:val="370"/>
        </w:numPr>
        <w:tabs>
          <w:tab w:val="left" w:pos="1000"/>
        </w:tabs>
        <w:ind w:left="1000" w:right="20" w:hanging="360"/>
        <w:rPr>
          <w:rFonts w:eastAsia="Times New Roman"/>
          <w:b/>
          <w:bCs/>
          <w:szCs w:val="24"/>
        </w:rPr>
      </w:pPr>
      <w:bookmarkStart w:id="392" w:name="page405"/>
      <w:bookmarkEnd w:id="392"/>
      <w:r w:rsidRPr="00FC3B7C">
        <w:rPr>
          <w:rFonts w:eastAsia="Times New Roman"/>
          <w:szCs w:val="24"/>
        </w:rPr>
        <w:t>odklon od centrálního direktivismu a vytváření decentralizované správy na demokratickém základě</w:t>
      </w:r>
    </w:p>
    <w:p w14:paraId="4A6F4CAE" w14:textId="77777777" w:rsidR="00CE6695" w:rsidRPr="00FC3B7C" w:rsidRDefault="00CE6695" w:rsidP="00CE6695">
      <w:pPr>
        <w:spacing w:line="142" w:lineRule="exact"/>
        <w:rPr>
          <w:sz w:val="20"/>
          <w:szCs w:val="20"/>
        </w:rPr>
      </w:pPr>
    </w:p>
    <w:p w14:paraId="4A6F4CAF" w14:textId="73D1C36F" w:rsidR="00CE6695" w:rsidRPr="00FC3B7C" w:rsidRDefault="00CE6695" w:rsidP="0070178B">
      <w:pPr>
        <w:rPr>
          <w:sz w:val="20"/>
          <w:szCs w:val="20"/>
        </w:rPr>
      </w:pPr>
      <w:r w:rsidRPr="00FC3B7C">
        <w:rPr>
          <w:rFonts w:eastAsia="Times New Roman"/>
        </w:rPr>
        <w:t>Reforma začala přijetím scénáře sociální reformy, který byl vypracován a vyhlášen vládou ČSFR v roce 1990. Scénář byl pojat jako program, který měl umožnit a podpořit ekonomickou reformu → zaměřil se na nezaměstnanost, inflaci a privatizaci a na opatření, která budou tlumit sociální napětí spojené s těmito procesy. Scénář položil základy k vybudování SP nového typu, vytvářel chybějící sociální instituce (úřady práce), instituty (sociální pojištění, životní minimum) a mechanismy (valorizační mechanismy, kolektivní vyjednávání). V 90. letech přijaty nové zákony - zákon o zaměstnanosti, o pojistném na sociální zabezpečení, o zdravotním pojištění aj. Scénář také inicioval budování záchranné sociální sítě, která má zmírňovat sociální dopady jednotlivých kroků transformace ekonomiky.</w:t>
      </w:r>
    </w:p>
    <w:p w14:paraId="4A6F4CB0" w14:textId="77777777" w:rsidR="00CE6695" w:rsidRPr="00FC3B7C" w:rsidRDefault="00CE6695" w:rsidP="00CE6695">
      <w:pPr>
        <w:spacing w:line="202" w:lineRule="exact"/>
        <w:rPr>
          <w:sz w:val="20"/>
          <w:szCs w:val="20"/>
        </w:rPr>
      </w:pPr>
    </w:p>
    <w:p w14:paraId="4A6F4CB1" w14:textId="77777777" w:rsidR="00CE6695" w:rsidRPr="00244BB9" w:rsidRDefault="00CE6695" w:rsidP="00093159">
      <w:pPr>
        <w:pStyle w:val="Nadpis3"/>
        <w:rPr>
          <w:color w:val="1F3864" w:themeColor="accent1" w:themeShade="80"/>
          <w:sz w:val="20"/>
          <w:szCs w:val="20"/>
        </w:rPr>
      </w:pPr>
      <w:r w:rsidRPr="00244BB9">
        <w:rPr>
          <w:rFonts w:eastAsia="Times New Roman"/>
          <w:color w:val="1F3864" w:themeColor="accent1" w:themeShade="80"/>
        </w:rPr>
        <w:t>Sociální reforma v ČR - od 1. 1. 2012</w:t>
      </w:r>
    </w:p>
    <w:p w14:paraId="4A6F4CB2" w14:textId="77777777" w:rsidR="00CE6695" w:rsidRPr="00FC3B7C" w:rsidRDefault="00CE6695" w:rsidP="00CE6695">
      <w:pPr>
        <w:spacing w:line="203" w:lineRule="exact"/>
        <w:rPr>
          <w:sz w:val="20"/>
          <w:szCs w:val="20"/>
        </w:rPr>
      </w:pPr>
    </w:p>
    <w:p w14:paraId="4A6F4CB3" w14:textId="2169A685" w:rsidR="00CE6695" w:rsidRPr="00FC3B7C" w:rsidRDefault="00CE6695" w:rsidP="0070178B">
      <w:pPr>
        <w:rPr>
          <w:sz w:val="20"/>
          <w:szCs w:val="20"/>
        </w:rPr>
      </w:pPr>
      <w:r w:rsidRPr="00FC3B7C">
        <w:rPr>
          <w:rFonts w:eastAsia="Times New Roman"/>
        </w:rPr>
        <w:t xml:space="preserve">Týkala se </w:t>
      </w:r>
      <w:r w:rsidRPr="00FC3B7C">
        <w:rPr>
          <w:rFonts w:eastAsia="Times New Roman"/>
          <w:b/>
          <w:bCs/>
        </w:rPr>
        <w:t>životního a existenčního minima</w:t>
      </w:r>
      <w:r w:rsidRPr="00FC3B7C">
        <w:rPr>
          <w:rFonts w:eastAsia="Times New Roman"/>
        </w:rPr>
        <w:t xml:space="preserve"> - zvýšení ŽM z 3126 Kč na 3410 Kč, zvýšení EM z 2020 Kč na 2200 Kč. Změna ovlivnila sociální dávky - od výše ŽM se odvíjí nárok na sociální dávky pomoci v hmotné nouzi, nárok na přídavky na dítě či na porodné. Existuje jen jednotné výplatní místo – Úřad práce ČR. Týká se dávek státní sociální podpory, pomoci v hmotné nouzi, příspěvku na péči, dávek pro osoby se zdravotním postižením a dávek v nezaměstnanosti. </w:t>
      </w:r>
      <w:r w:rsidRPr="00FC3B7C">
        <w:rPr>
          <w:rFonts w:eastAsia="Times New Roman"/>
          <w:b/>
          <w:bCs/>
        </w:rPr>
        <w:t xml:space="preserve">Karta sociálních systémů (sKarta) - </w:t>
      </w:r>
      <w:r w:rsidRPr="00FC3B7C">
        <w:rPr>
          <w:rFonts w:eastAsia="Times New Roman"/>
        </w:rPr>
        <w:t>nový</w:t>
      </w:r>
      <w:r w:rsidRPr="00FC3B7C">
        <w:rPr>
          <w:rFonts w:eastAsia="Times New Roman"/>
          <w:b/>
          <w:bCs/>
        </w:rPr>
        <w:t xml:space="preserve"> </w:t>
      </w:r>
      <w:r w:rsidRPr="00FC3B7C">
        <w:rPr>
          <w:rFonts w:eastAsia="Times New Roman"/>
        </w:rPr>
        <w:t>systém výplaty nepojistných sociálních dávek a</w:t>
      </w:r>
      <w:r w:rsidRPr="00FC3B7C">
        <w:rPr>
          <w:rFonts w:eastAsia="Times New Roman"/>
          <w:b/>
          <w:bCs/>
        </w:rPr>
        <w:t xml:space="preserve"> </w:t>
      </w:r>
      <w:r w:rsidRPr="00FC3B7C">
        <w:rPr>
          <w:rFonts w:eastAsia="Times New Roman"/>
        </w:rPr>
        <w:t xml:space="preserve">dávek v oblasti státní politiky zaměstnanosti prostřednictvím této karty. Slouží jako </w:t>
      </w:r>
      <w:bookmarkStart w:id="393" w:name="_Hlk531087820"/>
      <w:r w:rsidRPr="00FC3B7C">
        <w:rPr>
          <w:rFonts w:eastAsia="Times New Roman"/>
        </w:rPr>
        <w:t xml:space="preserve">identifikační doklad těch, kteří pobírají </w:t>
      </w:r>
      <w:bookmarkEnd w:id="393"/>
      <w:r w:rsidRPr="00FC3B7C">
        <w:rPr>
          <w:rFonts w:eastAsia="Times New Roman"/>
        </w:rPr>
        <w:t>tyto dávky. Jsou 2 varianty - základní &amp; speciální (slouží zároveň jako průkaz TP, ZTP a ZTP/P)</w:t>
      </w:r>
      <w:r w:rsidRPr="00FC3B7C">
        <w:rPr>
          <w:rFonts w:eastAsia="Times New Roman"/>
          <w:b/>
          <w:bCs/>
        </w:rPr>
        <w:t>. V</w:t>
      </w:r>
      <w:r w:rsidRPr="00FC3B7C">
        <w:rPr>
          <w:rFonts w:eastAsia="Times New Roman"/>
        </w:rPr>
        <w:t>yužívalo ji cca 270 000 lidí</w:t>
      </w:r>
      <w:r w:rsidRPr="00FC3B7C">
        <w:rPr>
          <w:rFonts w:eastAsia="Times New Roman"/>
          <w:b/>
          <w:bCs/>
        </w:rPr>
        <w:t>.</w:t>
      </w:r>
      <w:r w:rsidRPr="00FC3B7C">
        <w:rPr>
          <w:rFonts w:eastAsia="Times New Roman"/>
        </w:rPr>
        <w:t xml:space="preserve"> Do doby vydání sKarty bylo možné vyplácet podpory v nezaměstnanosti a dávky pěstounské péče stávajícím způsobem (převod na účet či hotovost). Kritika projektu → ZRUŠENO.</w:t>
      </w:r>
    </w:p>
    <w:p w14:paraId="4A6F4CB4" w14:textId="77777777" w:rsidR="00CE6695" w:rsidRPr="00FC3B7C" w:rsidRDefault="00CE6695" w:rsidP="0070178B">
      <w:pPr>
        <w:rPr>
          <w:sz w:val="20"/>
          <w:szCs w:val="20"/>
        </w:rPr>
      </w:pPr>
      <w:r w:rsidRPr="00FC3B7C">
        <w:rPr>
          <w:rFonts w:eastAsia="Times New Roman"/>
          <w:b/>
          <w:bCs/>
        </w:rPr>
        <w:t xml:space="preserve">Změna výše a způsobu čerpání rodičovského příspěvku </w:t>
      </w:r>
      <w:r w:rsidRPr="00FC3B7C">
        <w:rPr>
          <w:rFonts w:eastAsia="Times New Roman"/>
        </w:rPr>
        <w:t>- sjednocení</w:t>
      </w:r>
      <w:r w:rsidRPr="00FC3B7C">
        <w:rPr>
          <w:rFonts w:eastAsia="Times New Roman"/>
          <w:b/>
          <w:bCs/>
        </w:rPr>
        <w:t xml:space="preserve"> </w:t>
      </w:r>
      <w:r w:rsidRPr="00FC3B7C">
        <w:rPr>
          <w:rFonts w:eastAsia="Times New Roman"/>
        </w:rPr>
        <w:t>částky, která je během</w:t>
      </w:r>
      <w:r w:rsidRPr="00FC3B7C">
        <w:rPr>
          <w:rFonts w:eastAsia="Times New Roman"/>
          <w:b/>
          <w:bCs/>
        </w:rPr>
        <w:t xml:space="preserve"> </w:t>
      </w:r>
      <w:r w:rsidRPr="00FC3B7C">
        <w:rPr>
          <w:rFonts w:eastAsia="Times New Roman"/>
        </w:rPr>
        <w:t>čerpání rodičovského příspěvku celkově vyplacena</w:t>
      </w:r>
      <w:r w:rsidRPr="00FC3B7C">
        <w:rPr>
          <w:rFonts w:eastAsia="Times New Roman"/>
          <w:b/>
          <w:bCs/>
        </w:rPr>
        <w:t>,</w:t>
      </w:r>
      <w:r w:rsidRPr="00FC3B7C">
        <w:rPr>
          <w:rFonts w:eastAsia="Times New Roman"/>
        </w:rPr>
        <w:t xml:space="preserve"> možnost průběžně měnit délku rodičovské dovolené</w:t>
      </w:r>
      <w:r w:rsidRPr="00FC3B7C">
        <w:rPr>
          <w:rFonts w:eastAsia="Times New Roman"/>
          <w:b/>
          <w:bCs/>
        </w:rPr>
        <w:t>, z</w:t>
      </w:r>
      <w:r w:rsidRPr="00FC3B7C">
        <w:rPr>
          <w:rFonts w:eastAsia="Times New Roman"/>
        </w:rPr>
        <w:t>měna podmínky pro získání peněžité pomoci v mateřství (mateřská)</w:t>
      </w:r>
      <w:r w:rsidRPr="00FC3B7C">
        <w:rPr>
          <w:rFonts w:eastAsia="Times New Roman"/>
          <w:b/>
          <w:bCs/>
        </w:rPr>
        <w:t>,</w:t>
      </w:r>
      <w:r w:rsidRPr="00FC3B7C">
        <w:rPr>
          <w:rFonts w:eastAsia="Times New Roman"/>
        </w:rPr>
        <w:t xml:space="preserve"> do minimální doby účasti na nemocenském pojištění (= podmínka pro získání mateřské) započítána i doba studia na střední či vysoké škole.</w:t>
      </w:r>
    </w:p>
    <w:p w14:paraId="4A6F4CB5" w14:textId="77777777" w:rsidR="00772FB0" w:rsidRDefault="00CE6695" w:rsidP="00B800D1">
      <w:pPr>
        <w:ind w:firstLine="720"/>
        <w:rPr>
          <w:rFonts w:eastAsia="Times New Roman"/>
        </w:rPr>
      </w:pPr>
      <w:r w:rsidRPr="00FC3B7C">
        <w:rPr>
          <w:rFonts w:eastAsia="Times New Roman"/>
          <w:b/>
          <w:bCs/>
        </w:rPr>
        <w:t xml:space="preserve">Změna podmínek pro získání podpory v nezaměstnanosti </w:t>
      </w:r>
      <w:r w:rsidRPr="00FC3B7C">
        <w:rPr>
          <w:rFonts w:eastAsia="Times New Roman"/>
        </w:rPr>
        <w:t xml:space="preserve">- dříve bylo nutné odpracovat </w:t>
      </w:r>
      <w:r w:rsidR="00093159">
        <w:rPr>
          <w:rFonts w:eastAsia="Times New Roman"/>
        </w:rPr>
        <w:br/>
      </w:r>
      <w:r w:rsidRPr="00FC3B7C">
        <w:rPr>
          <w:rFonts w:eastAsia="Times New Roman"/>
        </w:rPr>
        <w:lastRenderedPageBreak/>
        <w:t>12</w:t>
      </w:r>
      <w:r w:rsidRPr="00FC3B7C">
        <w:rPr>
          <w:rFonts w:eastAsia="Times New Roman"/>
          <w:b/>
          <w:bCs/>
        </w:rPr>
        <w:t xml:space="preserve"> </w:t>
      </w:r>
      <w:r w:rsidRPr="00FC3B7C">
        <w:rPr>
          <w:rFonts w:eastAsia="Times New Roman"/>
        </w:rPr>
        <w:t>měsíců během posledních 3 let, od r. 2012 je nutné odpracovat 12 měsíců během posledních 2 let.</w:t>
      </w:r>
      <w:bookmarkStart w:id="394" w:name="page406"/>
      <w:bookmarkEnd w:id="394"/>
    </w:p>
    <w:p w14:paraId="4A6F4CB6" w14:textId="77777777" w:rsidR="00CE6695" w:rsidRPr="00FC3B7C" w:rsidRDefault="00CE6695" w:rsidP="00B800D1">
      <w:pPr>
        <w:ind w:firstLine="720"/>
        <w:rPr>
          <w:sz w:val="20"/>
          <w:szCs w:val="20"/>
        </w:rPr>
      </w:pPr>
      <w:r w:rsidRPr="00FC3B7C">
        <w:rPr>
          <w:rFonts w:eastAsia="Times New Roman"/>
          <w:b/>
          <w:bCs/>
        </w:rPr>
        <w:t xml:space="preserve">Zrušení některých příspěvků - </w:t>
      </w:r>
      <w:r w:rsidRPr="00FC3B7C">
        <w:rPr>
          <w:rFonts w:eastAsia="Times New Roman"/>
        </w:rPr>
        <w:t>zrušen sociální příplatek</w:t>
      </w:r>
      <w:r w:rsidRPr="00FC3B7C">
        <w:rPr>
          <w:rFonts w:eastAsia="Times New Roman"/>
          <w:b/>
          <w:bCs/>
        </w:rPr>
        <w:t xml:space="preserve">, </w:t>
      </w:r>
      <w:r w:rsidRPr="00FC3B7C">
        <w:rPr>
          <w:rFonts w:eastAsia="Times New Roman"/>
        </w:rPr>
        <w:t>zrušena možnost pobírat rodičovský</w:t>
      </w:r>
      <w:r w:rsidRPr="00FC3B7C">
        <w:rPr>
          <w:rFonts w:eastAsia="Times New Roman"/>
          <w:b/>
          <w:bCs/>
        </w:rPr>
        <w:t xml:space="preserve"> </w:t>
      </w:r>
      <w:r w:rsidRPr="00FC3B7C">
        <w:rPr>
          <w:rFonts w:eastAsia="Times New Roman"/>
        </w:rPr>
        <w:t>příspěvek na děti starší než 4 roky</w:t>
      </w:r>
      <w:r w:rsidRPr="00FC3B7C">
        <w:rPr>
          <w:rFonts w:eastAsia="Times New Roman"/>
          <w:b/>
          <w:bCs/>
        </w:rPr>
        <w:t>,</w:t>
      </w:r>
      <w:r w:rsidRPr="00FC3B7C">
        <w:rPr>
          <w:rFonts w:eastAsia="Times New Roman"/>
        </w:rPr>
        <w:t xml:space="preserve"> zrušení příspěvků na úpravu bezbariérového bytu a garáže a příspěvku pro nevidomé</w:t>
      </w:r>
      <w:r w:rsidRPr="00FC3B7C">
        <w:rPr>
          <w:rFonts w:eastAsia="Times New Roman"/>
          <w:b/>
          <w:bCs/>
        </w:rPr>
        <w:t>.</w:t>
      </w:r>
    </w:p>
    <w:p w14:paraId="4A6F4CB7" w14:textId="77777777" w:rsidR="00CE6695" w:rsidRPr="00FC3B7C" w:rsidRDefault="00CE6695" w:rsidP="00CE6695">
      <w:pPr>
        <w:spacing w:line="171" w:lineRule="exact"/>
        <w:rPr>
          <w:sz w:val="20"/>
          <w:szCs w:val="20"/>
        </w:rPr>
      </w:pPr>
    </w:p>
    <w:p w14:paraId="4A6F4CB8" w14:textId="77777777" w:rsidR="00CE6695" w:rsidRPr="0070178B" w:rsidRDefault="00CE6695" w:rsidP="00772FB0">
      <w:pPr>
        <w:pStyle w:val="Nadpis3"/>
        <w:rPr>
          <w:color w:val="1F3864" w:themeColor="accent1" w:themeShade="80"/>
          <w:sz w:val="20"/>
          <w:szCs w:val="20"/>
        </w:rPr>
      </w:pPr>
      <w:r w:rsidRPr="0070178B">
        <w:rPr>
          <w:rFonts w:eastAsia="Times New Roman"/>
          <w:color w:val="1F3864" w:themeColor="accent1" w:themeShade="80"/>
        </w:rPr>
        <w:t>Důchodová reforma v ČR</w:t>
      </w:r>
    </w:p>
    <w:p w14:paraId="4A6F4CB9" w14:textId="77777777" w:rsidR="00CE6695" w:rsidRPr="00FC3B7C" w:rsidRDefault="00CE6695" w:rsidP="00772FB0">
      <w:pPr>
        <w:rPr>
          <w:sz w:val="20"/>
          <w:szCs w:val="20"/>
        </w:rPr>
      </w:pPr>
      <w:r w:rsidRPr="00FC3B7C">
        <w:rPr>
          <w:rFonts w:eastAsia="Times New Roman"/>
          <w:szCs w:val="24"/>
        </w:rPr>
        <w:t xml:space="preserve">Vstoupila v platnost 1. 1. 2013. Hlavní změnou byl </w:t>
      </w:r>
      <w:r w:rsidRPr="00FC3B7C">
        <w:rPr>
          <w:rFonts w:eastAsia="Times New Roman"/>
          <w:b/>
          <w:bCs/>
          <w:szCs w:val="24"/>
        </w:rPr>
        <w:t>vznik 2. pilíře</w:t>
      </w:r>
      <w:r w:rsidRPr="00FC3B7C">
        <w:rPr>
          <w:rFonts w:eastAsia="Times New Roman"/>
          <w:szCs w:val="24"/>
        </w:rPr>
        <w:t xml:space="preserve"> důchodového systému:</w:t>
      </w:r>
    </w:p>
    <w:p w14:paraId="4A6F4CBA" w14:textId="77777777" w:rsidR="00CE6695" w:rsidRPr="00FC3B7C" w:rsidRDefault="00CE6695" w:rsidP="00D46B53">
      <w:pPr>
        <w:numPr>
          <w:ilvl w:val="0"/>
          <w:numId w:val="371"/>
        </w:numPr>
        <w:tabs>
          <w:tab w:val="left" w:pos="840"/>
        </w:tabs>
        <w:ind w:left="840" w:hanging="353"/>
        <w:rPr>
          <w:rFonts w:eastAsia="Times New Roman"/>
          <w:b/>
          <w:bCs/>
          <w:szCs w:val="24"/>
        </w:rPr>
      </w:pPr>
      <w:r w:rsidRPr="00FC3B7C">
        <w:rPr>
          <w:rFonts w:eastAsia="Times New Roman"/>
          <w:szCs w:val="24"/>
        </w:rPr>
        <w:t>možnost soukromého spoření na penzi (tzv. opt-out) = ze současného sociálního pojištění placeného do státního systému je možné „vyvést“ 3 % + každý účastník musí přidat další 2 % z hrubé mzdy nad současnou sazbu sociálního pojištění</w:t>
      </w:r>
    </w:p>
    <w:p w14:paraId="4A6F4CBB" w14:textId="77777777" w:rsidR="00CE6695" w:rsidRPr="00FC3B7C" w:rsidRDefault="00CE6695" w:rsidP="00D46B53">
      <w:pPr>
        <w:numPr>
          <w:ilvl w:val="0"/>
          <w:numId w:val="371"/>
        </w:numPr>
        <w:tabs>
          <w:tab w:val="left" w:pos="840"/>
        </w:tabs>
        <w:ind w:left="840" w:hanging="353"/>
        <w:rPr>
          <w:rFonts w:eastAsia="Times New Roman"/>
          <w:b/>
          <w:bCs/>
          <w:szCs w:val="24"/>
        </w:rPr>
      </w:pPr>
      <w:r w:rsidRPr="00FC3B7C">
        <w:rPr>
          <w:rFonts w:eastAsia="Times New Roman"/>
          <w:szCs w:val="24"/>
        </w:rPr>
        <w:t>vstup je dobrovolný, ale nevratný</w:t>
      </w:r>
    </w:p>
    <w:p w14:paraId="4A6F4CBC" w14:textId="77777777" w:rsidR="00CE6695" w:rsidRPr="00FC3B7C" w:rsidRDefault="00CE6695" w:rsidP="00D46B53">
      <w:pPr>
        <w:numPr>
          <w:ilvl w:val="0"/>
          <w:numId w:val="371"/>
        </w:numPr>
        <w:tabs>
          <w:tab w:val="left" w:pos="840"/>
        </w:tabs>
        <w:ind w:left="840" w:hanging="353"/>
        <w:rPr>
          <w:rFonts w:eastAsia="Times New Roman"/>
          <w:b/>
          <w:bCs/>
          <w:szCs w:val="24"/>
        </w:rPr>
      </w:pPr>
      <w:r w:rsidRPr="00FC3B7C">
        <w:rPr>
          <w:rFonts w:eastAsia="Times New Roman"/>
          <w:szCs w:val="24"/>
        </w:rPr>
        <w:t>lidé starší 35 let mohou vstoupit do 2. pilíře nejpozději do 30. června 2013, mladší lidé se mohou přihlásit do konce roku, kdy jim bylo 35 let</w:t>
      </w:r>
    </w:p>
    <w:p w14:paraId="4A6F4CBD" w14:textId="77777777" w:rsidR="00CE6695" w:rsidRPr="00FC3B7C" w:rsidRDefault="00CE6695" w:rsidP="00D46B53">
      <w:pPr>
        <w:numPr>
          <w:ilvl w:val="0"/>
          <w:numId w:val="371"/>
        </w:numPr>
        <w:tabs>
          <w:tab w:val="left" w:pos="840"/>
        </w:tabs>
        <w:ind w:left="840" w:hanging="353"/>
        <w:rPr>
          <w:rFonts w:eastAsia="Times New Roman"/>
          <w:b/>
          <w:bCs/>
          <w:szCs w:val="24"/>
        </w:rPr>
      </w:pPr>
      <w:r w:rsidRPr="00FC3B7C">
        <w:rPr>
          <w:rFonts w:eastAsia="Times New Roman"/>
          <w:szCs w:val="24"/>
        </w:rPr>
        <w:t>výběr ze 4 důchodových fondů: státní dluhopisy / konzervativní / vyvážený / dynamický</w:t>
      </w:r>
    </w:p>
    <w:p w14:paraId="4A6F4CBE" w14:textId="77777777" w:rsidR="00CE6695" w:rsidRPr="00FC3B7C" w:rsidRDefault="00CE6695" w:rsidP="00D46B53">
      <w:pPr>
        <w:numPr>
          <w:ilvl w:val="0"/>
          <w:numId w:val="371"/>
        </w:numPr>
        <w:tabs>
          <w:tab w:val="left" w:pos="840"/>
        </w:tabs>
        <w:ind w:left="840" w:hanging="353"/>
        <w:rPr>
          <w:rFonts w:eastAsia="Times New Roman"/>
          <w:b/>
          <w:bCs/>
          <w:szCs w:val="24"/>
        </w:rPr>
      </w:pPr>
      <w:r w:rsidRPr="00FC3B7C">
        <w:rPr>
          <w:rFonts w:eastAsia="Times New Roman"/>
          <w:szCs w:val="24"/>
        </w:rPr>
        <w:t>účastní se 6 penzijních společností</w:t>
      </w:r>
    </w:p>
    <w:p w14:paraId="4A6F4CBF" w14:textId="77777777" w:rsidR="00CE6695" w:rsidRPr="00FC3B7C" w:rsidRDefault="00CE6695" w:rsidP="00D46B53">
      <w:pPr>
        <w:numPr>
          <w:ilvl w:val="0"/>
          <w:numId w:val="371"/>
        </w:numPr>
        <w:tabs>
          <w:tab w:val="left" w:pos="840"/>
        </w:tabs>
        <w:ind w:left="840" w:hanging="353"/>
        <w:rPr>
          <w:rFonts w:eastAsia="Times New Roman"/>
          <w:b/>
          <w:bCs/>
          <w:szCs w:val="24"/>
        </w:rPr>
      </w:pPr>
      <w:r w:rsidRPr="00FC3B7C">
        <w:rPr>
          <w:rFonts w:eastAsia="Times New Roman"/>
          <w:szCs w:val="24"/>
        </w:rPr>
        <w:t>3 možnosti výplaty důchodu:</w:t>
      </w:r>
    </w:p>
    <w:p w14:paraId="4A6F4CC0" w14:textId="77777777" w:rsidR="00CE6695" w:rsidRPr="00FC3B7C" w:rsidRDefault="00CE6695" w:rsidP="00D46B53">
      <w:pPr>
        <w:numPr>
          <w:ilvl w:val="1"/>
          <w:numId w:val="371"/>
        </w:numPr>
        <w:tabs>
          <w:tab w:val="left" w:pos="1420"/>
        </w:tabs>
        <w:ind w:left="1420" w:hanging="366"/>
        <w:rPr>
          <w:rFonts w:eastAsia="Wingdings"/>
          <w:szCs w:val="24"/>
        </w:rPr>
      </w:pPr>
      <w:r w:rsidRPr="00FC3B7C">
        <w:rPr>
          <w:rFonts w:eastAsia="Times New Roman"/>
          <w:szCs w:val="24"/>
        </w:rPr>
        <w:t>doživotní starobní důchod</w:t>
      </w:r>
    </w:p>
    <w:p w14:paraId="4A6F4CC1" w14:textId="77777777" w:rsidR="00CE6695" w:rsidRPr="00FC3B7C" w:rsidRDefault="00CE6695" w:rsidP="00D46B53">
      <w:pPr>
        <w:numPr>
          <w:ilvl w:val="1"/>
          <w:numId w:val="371"/>
        </w:numPr>
        <w:tabs>
          <w:tab w:val="left" w:pos="1480"/>
        </w:tabs>
        <w:ind w:left="1480" w:hanging="426"/>
        <w:rPr>
          <w:rFonts w:eastAsia="Wingdings"/>
          <w:szCs w:val="24"/>
        </w:rPr>
      </w:pPr>
      <w:r w:rsidRPr="00FC3B7C">
        <w:rPr>
          <w:rFonts w:eastAsia="Times New Roman"/>
          <w:szCs w:val="24"/>
        </w:rPr>
        <w:t>doživotní starobní důchod s výplatou pozůstalostního důchodu na 3 roky</w:t>
      </w:r>
    </w:p>
    <w:p w14:paraId="4A6F4CC2" w14:textId="77777777" w:rsidR="00CE6695" w:rsidRPr="00FC3B7C" w:rsidRDefault="00CE6695" w:rsidP="00D46B53">
      <w:pPr>
        <w:numPr>
          <w:ilvl w:val="1"/>
          <w:numId w:val="371"/>
        </w:numPr>
        <w:tabs>
          <w:tab w:val="left" w:pos="1420"/>
        </w:tabs>
        <w:ind w:left="1420" w:hanging="366"/>
        <w:rPr>
          <w:rFonts w:eastAsia="Wingdings"/>
          <w:szCs w:val="24"/>
        </w:rPr>
      </w:pPr>
      <w:r w:rsidRPr="00FC3B7C">
        <w:rPr>
          <w:rFonts w:eastAsia="Times New Roman"/>
          <w:szCs w:val="24"/>
        </w:rPr>
        <w:t>renta na 20 let</w:t>
      </w:r>
    </w:p>
    <w:p w14:paraId="4A6F4CC3" w14:textId="77777777" w:rsidR="00CE6695" w:rsidRPr="00FC3B7C" w:rsidRDefault="00CE6695" w:rsidP="00D46B53">
      <w:pPr>
        <w:numPr>
          <w:ilvl w:val="0"/>
          <w:numId w:val="371"/>
        </w:numPr>
        <w:tabs>
          <w:tab w:val="left" w:pos="840"/>
        </w:tabs>
        <w:ind w:left="840" w:hanging="353"/>
        <w:rPr>
          <w:rFonts w:eastAsia="Times New Roman"/>
          <w:b/>
          <w:bCs/>
          <w:szCs w:val="24"/>
        </w:rPr>
      </w:pPr>
      <w:r w:rsidRPr="00FC3B7C">
        <w:rPr>
          <w:rFonts w:eastAsia="Times New Roman"/>
          <w:szCs w:val="24"/>
        </w:rPr>
        <w:t>důchod z 2. pilíře se na rozdíl od 1. pilíře dědí, stejně jako v případě, že dotyčný zemřel, než získal nárok na důchod (předmětem dědictví však není doživotní starobní důchod)</w:t>
      </w:r>
    </w:p>
    <w:p w14:paraId="4A6F4CC4" w14:textId="77777777" w:rsidR="00CE6695" w:rsidRPr="00FC3B7C" w:rsidRDefault="00CE6695" w:rsidP="00D46B53">
      <w:pPr>
        <w:numPr>
          <w:ilvl w:val="0"/>
          <w:numId w:val="371"/>
        </w:numPr>
        <w:tabs>
          <w:tab w:val="left" w:pos="840"/>
        </w:tabs>
        <w:ind w:left="840" w:hanging="353"/>
        <w:rPr>
          <w:rFonts w:eastAsia="Times New Roman"/>
          <w:b/>
          <w:bCs/>
          <w:szCs w:val="24"/>
        </w:rPr>
      </w:pPr>
      <w:r w:rsidRPr="00FC3B7C">
        <w:rPr>
          <w:rFonts w:eastAsia="Times New Roman"/>
          <w:szCs w:val="24"/>
        </w:rPr>
        <w:t>od začátku roku vstoupilo do 2. pilíře zhruba 32 000 lidí, za první polovinu roku se očekával vstup až půl milionu klientů</w:t>
      </w:r>
    </w:p>
    <w:p w14:paraId="4A6F4CC5" w14:textId="77777777" w:rsidR="00CE6695" w:rsidRPr="00FC3B7C" w:rsidRDefault="00CE6695" w:rsidP="00772FB0">
      <w:pPr>
        <w:rPr>
          <w:sz w:val="20"/>
          <w:szCs w:val="20"/>
        </w:rPr>
      </w:pPr>
    </w:p>
    <w:p w14:paraId="4A6F4CC6" w14:textId="77777777" w:rsidR="00CE6695" w:rsidRPr="00FC3B7C" w:rsidRDefault="00CE6695" w:rsidP="00772FB0">
      <w:pPr>
        <w:rPr>
          <w:sz w:val="20"/>
          <w:szCs w:val="20"/>
        </w:rPr>
      </w:pPr>
      <w:r w:rsidRPr="00FC3B7C">
        <w:rPr>
          <w:rFonts w:eastAsia="Times New Roman"/>
          <w:b/>
          <w:bCs/>
          <w:szCs w:val="24"/>
        </w:rPr>
        <w:t>Změny v penzijním připojištění (3. pilíř):</w:t>
      </w:r>
    </w:p>
    <w:p w14:paraId="4A6F4CC7" w14:textId="77777777" w:rsidR="00CE6695" w:rsidRPr="00FC3B7C" w:rsidRDefault="00CE6695" w:rsidP="00D46B53">
      <w:pPr>
        <w:numPr>
          <w:ilvl w:val="0"/>
          <w:numId w:val="372"/>
        </w:numPr>
        <w:tabs>
          <w:tab w:val="left" w:pos="840"/>
        </w:tabs>
        <w:ind w:left="840" w:hanging="353"/>
        <w:rPr>
          <w:rFonts w:eastAsia="Times New Roman"/>
          <w:b/>
          <w:bCs/>
          <w:szCs w:val="24"/>
        </w:rPr>
      </w:pPr>
      <w:r w:rsidRPr="00FC3B7C">
        <w:rPr>
          <w:rFonts w:eastAsia="Times New Roman"/>
          <w:szCs w:val="24"/>
        </w:rPr>
        <w:t>nový název: „doplňkové penzijní spoření“</w:t>
      </w:r>
    </w:p>
    <w:p w14:paraId="4A6F4CC8" w14:textId="77777777" w:rsidR="00CE6695" w:rsidRPr="00FC3B7C" w:rsidRDefault="00CE6695" w:rsidP="00D46B53">
      <w:pPr>
        <w:numPr>
          <w:ilvl w:val="0"/>
          <w:numId w:val="372"/>
        </w:numPr>
        <w:tabs>
          <w:tab w:val="left" w:pos="840"/>
        </w:tabs>
        <w:ind w:left="840" w:hanging="353"/>
        <w:rPr>
          <w:rFonts w:eastAsia="Times New Roman"/>
          <w:b/>
          <w:bCs/>
          <w:szCs w:val="24"/>
        </w:rPr>
      </w:pPr>
      <w:r w:rsidRPr="00FC3B7C">
        <w:rPr>
          <w:rFonts w:eastAsia="Times New Roman"/>
          <w:szCs w:val="24"/>
        </w:rPr>
        <w:t>zrušení garance nezáporných výnosů u smluv uzavřených od prosince 2012</w:t>
      </w:r>
    </w:p>
    <w:p w14:paraId="4A6F4CC9" w14:textId="77777777" w:rsidR="00CE6695" w:rsidRPr="00FC3B7C" w:rsidRDefault="00CE6695" w:rsidP="00D46B53">
      <w:pPr>
        <w:numPr>
          <w:ilvl w:val="0"/>
          <w:numId w:val="372"/>
        </w:numPr>
        <w:tabs>
          <w:tab w:val="left" w:pos="840"/>
        </w:tabs>
        <w:ind w:left="840" w:hanging="353"/>
        <w:rPr>
          <w:rFonts w:eastAsia="Times New Roman"/>
          <w:b/>
          <w:bCs/>
          <w:sz w:val="23"/>
          <w:szCs w:val="23"/>
        </w:rPr>
      </w:pPr>
      <w:r w:rsidRPr="00FC3B7C">
        <w:rPr>
          <w:rFonts w:eastAsia="Times New Roman"/>
          <w:sz w:val="23"/>
          <w:szCs w:val="23"/>
        </w:rPr>
        <w:t>změna státních příspěvků - u měsíční částky 100 Kč a 200 Kč již není státní příspěvek,</w:t>
      </w:r>
      <w:r w:rsidR="00772FB0">
        <w:rPr>
          <w:rFonts w:eastAsia="Times New Roman"/>
          <w:sz w:val="23"/>
          <w:szCs w:val="23"/>
        </w:rPr>
        <w:br/>
      </w:r>
      <w:r w:rsidRPr="00FC3B7C">
        <w:rPr>
          <w:rFonts w:eastAsia="Times New Roman"/>
          <w:sz w:val="23"/>
          <w:szCs w:val="23"/>
        </w:rPr>
        <w:t xml:space="preserve"> u vyšších měsíčních částek došlo k navýšení státního příspěvku (např. u měsíční částky 1000 Kč byl v r. 2012 státní příspěvek 150 Kč, od r. 2013 je to 230 Kč)</w:t>
      </w:r>
    </w:p>
    <w:p w14:paraId="4A6F4CCA" w14:textId="77777777" w:rsidR="00CE6695" w:rsidRPr="00FC3B7C" w:rsidRDefault="00CE6695" w:rsidP="00D46B53">
      <w:pPr>
        <w:numPr>
          <w:ilvl w:val="0"/>
          <w:numId w:val="372"/>
        </w:numPr>
        <w:tabs>
          <w:tab w:val="left" w:pos="840"/>
        </w:tabs>
        <w:ind w:left="840" w:hanging="353"/>
        <w:rPr>
          <w:rFonts w:eastAsia="Times New Roman"/>
          <w:b/>
          <w:bCs/>
          <w:szCs w:val="24"/>
        </w:rPr>
      </w:pPr>
      <w:r w:rsidRPr="00FC3B7C">
        <w:rPr>
          <w:rFonts w:eastAsia="Times New Roman"/>
          <w:szCs w:val="24"/>
        </w:rPr>
        <w:t>změny se týkají i daňových odpočtů</w:t>
      </w:r>
    </w:p>
    <w:p w14:paraId="5E24F237" w14:textId="77777777" w:rsidR="00CE6695" w:rsidRPr="00244BB9" w:rsidRDefault="00CE6695" w:rsidP="00CE6695">
      <w:pPr>
        <w:spacing w:line="240" w:lineRule="auto"/>
        <w:rPr>
          <w:color w:val="1F3864" w:themeColor="accent1" w:themeShade="80"/>
        </w:rPr>
      </w:pPr>
    </w:p>
    <w:p w14:paraId="4A6F4CCC" w14:textId="77777777" w:rsidR="00CE6695" w:rsidRPr="00244BB9" w:rsidRDefault="00CE6695" w:rsidP="00772FB0">
      <w:pPr>
        <w:pStyle w:val="Nadpis3"/>
        <w:rPr>
          <w:color w:val="1F3864" w:themeColor="accent1" w:themeShade="80"/>
          <w:sz w:val="20"/>
          <w:szCs w:val="20"/>
        </w:rPr>
      </w:pPr>
      <w:bookmarkStart w:id="395" w:name="page407"/>
      <w:bookmarkEnd w:id="395"/>
      <w:r w:rsidRPr="00244BB9">
        <w:rPr>
          <w:rFonts w:eastAsia="Times New Roman"/>
          <w:color w:val="1F3864" w:themeColor="accent1" w:themeShade="80"/>
        </w:rPr>
        <w:t>Veřejné zdravotní pojištění</w:t>
      </w:r>
    </w:p>
    <w:p w14:paraId="4A6F4CCD" w14:textId="77777777" w:rsidR="00CE6695" w:rsidRPr="00FC3B7C" w:rsidRDefault="00CE6695" w:rsidP="0070178B">
      <w:pPr>
        <w:ind w:left="4" w:right="40"/>
        <w:rPr>
          <w:sz w:val="20"/>
          <w:szCs w:val="20"/>
        </w:rPr>
      </w:pPr>
      <w:r w:rsidRPr="00FC3B7C">
        <w:rPr>
          <w:rFonts w:eastAsia="Times New Roman"/>
          <w:szCs w:val="24"/>
        </w:rPr>
        <w:t>Není součástí sociálního pojištění. Jedná se o druh zákonného pojištění, na jehož základě je plně nebo částečně hrazena zdravotní péče poskytnutá pojištěnci s cílem zachovat nebo zlepšit jeho zdravotní stav. Řídí se zákonem č. 48/1997 Sb., o veřejném zdravotním pojištění. Pojistné je příjmem zdravotní pojišťovny.</w:t>
      </w:r>
    </w:p>
    <w:p w14:paraId="4A6F4CCE" w14:textId="77777777" w:rsidR="00CE6695" w:rsidRPr="00FC3B7C" w:rsidRDefault="00CE6695" w:rsidP="0070178B">
      <w:pPr>
        <w:ind w:left="4" w:right="40"/>
        <w:rPr>
          <w:sz w:val="20"/>
          <w:szCs w:val="20"/>
        </w:rPr>
      </w:pPr>
      <w:r w:rsidRPr="00FC3B7C">
        <w:rPr>
          <w:rFonts w:eastAsia="Times New Roman"/>
          <w:szCs w:val="24"/>
        </w:rPr>
        <w:t>V ČR 7 pojišťoven (Všeobecná zdravotní pojišťovna a 6 zaměstnaneckých – Vojenská zdravotní pojišťovna ČR; Česká průmyslová zdravotní pojišťovna; Oborová zdravotní poj. zam. bank, poj. a stav.; Zaměstnanecká pojišťovna Škoda; Zdravotní pojišťovna ministerstva vnitra ČR; Revírní bratrská pokladna, zdrav. pojišťovna).</w:t>
      </w:r>
    </w:p>
    <w:p w14:paraId="4A6F4CCF" w14:textId="77777777" w:rsidR="00CE6695" w:rsidRPr="00FC3B7C" w:rsidRDefault="00CE6695" w:rsidP="00772FB0">
      <w:pPr>
        <w:ind w:left="4"/>
        <w:rPr>
          <w:sz w:val="20"/>
          <w:szCs w:val="20"/>
        </w:rPr>
      </w:pPr>
      <w:r w:rsidRPr="00FC3B7C">
        <w:rPr>
          <w:rFonts w:eastAsia="Times New Roman"/>
          <w:b/>
          <w:bCs/>
          <w:szCs w:val="24"/>
        </w:rPr>
        <w:t>Základní vlastnosti:</w:t>
      </w:r>
    </w:p>
    <w:p w14:paraId="4A6F4CD0" w14:textId="77777777" w:rsidR="00CE6695" w:rsidRPr="00FC3B7C" w:rsidRDefault="00CE6695" w:rsidP="00D46B53">
      <w:pPr>
        <w:numPr>
          <w:ilvl w:val="0"/>
          <w:numId w:val="373"/>
        </w:numPr>
        <w:tabs>
          <w:tab w:val="left" w:pos="844"/>
        </w:tabs>
        <w:ind w:left="844" w:hanging="353"/>
        <w:rPr>
          <w:rFonts w:eastAsia="Arial"/>
          <w:szCs w:val="24"/>
        </w:rPr>
      </w:pPr>
      <w:r w:rsidRPr="00FC3B7C">
        <w:rPr>
          <w:rFonts w:eastAsia="Times New Roman"/>
          <w:szCs w:val="24"/>
        </w:rPr>
        <w:t>volný přístup do systému</w:t>
      </w:r>
    </w:p>
    <w:p w14:paraId="4A6F4CD1" w14:textId="77777777" w:rsidR="00CE6695" w:rsidRPr="00FC3B7C" w:rsidRDefault="00CE6695" w:rsidP="00D46B53">
      <w:pPr>
        <w:numPr>
          <w:ilvl w:val="0"/>
          <w:numId w:val="373"/>
        </w:numPr>
        <w:tabs>
          <w:tab w:val="left" w:pos="844"/>
        </w:tabs>
        <w:ind w:left="844" w:hanging="353"/>
        <w:rPr>
          <w:rFonts w:eastAsia="Arial"/>
          <w:szCs w:val="24"/>
        </w:rPr>
      </w:pPr>
      <w:r w:rsidRPr="00FC3B7C">
        <w:rPr>
          <w:rFonts w:eastAsia="Times New Roman"/>
          <w:szCs w:val="24"/>
        </w:rPr>
        <w:t>absence vazby mezi zdravotním stavem jednotlivce a výší platby pojistného</w:t>
      </w:r>
    </w:p>
    <w:p w14:paraId="4A6F4CD2" w14:textId="77777777" w:rsidR="00CE6695" w:rsidRPr="00FC3B7C" w:rsidRDefault="00CE6695" w:rsidP="00D46B53">
      <w:pPr>
        <w:numPr>
          <w:ilvl w:val="0"/>
          <w:numId w:val="373"/>
        </w:numPr>
        <w:tabs>
          <w:tab w:val="left" w:pos="844"/>
        </w:tabs>
        <w:ind w:left="844" w:hanging="353"/>
        <w:rPr>
          <w:rFonts w:eastAsia="Arial"/>
          <w:szCs w:val="24"/>
        </w:rPr>
      </w:pPr>
      <w:r w:rsidRPr="00FC3B7C">
        <w:rPr>
          <w:rFonts w:eastAsia="Times New Roman"/>
          <w:szCs w:val="24"/>
        </w:rPr>
        <w:t>čerpání péče dle objektivní potřeby, nikoliv dle rozpočtového omezení</w:t>
      </w:r>
    </w:p>
    <w:p w14:paraId="4A6F4CD3" w14:textId="77777777" w:rsidR="00CE6695" w:rsidRPr="00FC3B7C" w:rsidRDefault="00CE6695" w:rsidP="00D46B53">
      <w:pPr>
        <w:numPr>
          <w:ilvl w:val="0"/>
          <w:numId w:val="374"/>
        </w:numPr>
        <w:tabs>
          <w:tab w:val="left" w:pos="224"/>
        </w:tabs>
        <w:ind w:left="224" w:hanging="224"/>
        <w:rPr>
          <w:rFonts w:eastAsia="Times New Roman"/>
          <w:b/>
          <w:bCs/>
          <w:szCs w:val="24"/>
        </w:rPr>
      </w:pPr>
      <w:r w:rsidRPr="00FC3B7C">
        <w:rPr>
          <w:rFonts w:eastAsia="Times New Roman"/>
          <w:b/>
          <w:bCs/>
          <w:szCs w:val="24"/>
        </w:rPr>
        <w:t>ČR je povinné pro:</w:t>
      </w:r>
    </w:p>
    <w:p w14:paraId="4A6F4CD4" w14:textId="77777777" w:rsidR="00CE6695" w:rsidRPr="00FC3B7C" w:rsidRDefault="00CE6695" w:rsidP="00D46B53">
      <w:pPr>
        <w:numPr>
          <w:ilvl w:val="1"/>
          <w:numId w:val="374"/>
        </w:numPr>
        <w:tabs>
          <w:tab w:val="left" w:pos="844"/>
        </w:tabs>
        <w:ind w:left="844" w:hanging="353"/>
        <w:rPr>
          <w:rFonts w:eastAsia="Arial"/>
          <w:szCs w:val="24"/>
        </w:rPr>
      </w:pPr>
      <w:r w:rsidRPr="00FC3B7C">
        <w:rPr>
          <w:rFonts w:eastAsia="Times New Roman"/>
          <w:szCs w:val="24"/>
        </w:rPr>
        <w:t>všechny osoby s trvalým pobytem na území ČR</w:t>
      </w:r>
    </w:p>
    <w:p w14:paraId="4A6F4CD5" w14:textId="77777777" w:rsidR="00CE6695" w:rsidRPr="00FC3B7C" w:rsidRDefault="00CE6695" w:rsidP="00D46B53">
      <w:pPr>
        <w:numPr>
          <w:ilvl w:val="1"/>
          <w:numId w:val="374"/>
        </w:numPr>
        <w:tabs>
          <w:tab w:val="left" w:pos="844"/>
        </w:tabs>
        <w:ind w:left="844" w:right="20" w:hanging="353"/>
        <w:rPr>
          <w:rFonts w:eastAsia="Arial"/>
          <w:szCs w:val="24"/>
        </w:rPr>
      </w:pPr>
      <w:r w:rsidRPr="00FC3B7C">
        <w:rPr>
          <w:rFonts w:eastAsia="Times New Roman"/>
          <w:szCs w:val="24"/>
        </w:rPr>
        <w:t xml:space="preserve">osoby, které na území ČR trvalý pobyt nemají, pokud jsou zaměstnány </w:t>
      </w:r>
      <w:r w:rsidR="00772FB0">
        <w:rPr>
          <w:rFonts w:eastAsia="Times New Roman"/>
          <w:szCs w:val="24"/>
        </w:rPr>
        <w:br/>
      </w:r>
      <w:r w:rsidRPr="00FC3B7C">
        <w:rPr>
          <w:rFonts w:eastAsia="Times New Roman"/>
          <w:szCs w:val="24"/>
        </w:rPr>
        <w:t>u zaměstnavatele, který má sídlo na území ČR</w:t>
      </w:r>
    </w:p>
    <w:p w14:paraId="4A6F4CD6" w14:textId="77777777" w:rsidR="00CE6695" w:rsidRPr="00FC3B7C" w:rsidRDefault="00CE6695" w:rsidP="00CE6695">
      <w:pPr>
        <w:spacing w:line="125" w:lineRule="exact"/>
        <w:rPr>
          <w:sz w:val="20"/>
          <w:szCs w:val="20"/>
        </w:rPr>
      </w:pPr>
    </w:p>
    <w:p w14:paraId="4A6F4CD7" w14:textId="0F41DA42" w:rsidR="00CE6695" w:rsidRPr="0070178B" w:rsidRDefault="0070178B" w:rsidP="00772FB0">
      <w:pPr>
        <w:pStyle w:val="Nadpis4"/>
        <w:rPr>
          <w:color w:val="1F3864" w:themeColor="accent1" w:themeShade="80"/>
          <w:sz w:val="20"/>
          <w:szCs w:val="20"/>
        </w:rPr>
      </w:pPr>
      <w:r w:rsidRPr="0070178B">
        <w:rPr>
          <w:rFonts w:eastAsia="Times New Roman"/>
          <w:color w:val="1F3864" w:themeColor="accent1" w:themeShade="80"/>
        </w:rPr>
        <w:t xml:space="preserve"> </w:t>
      </w:r>
      <w:r w:rsidR="00CE6695" w:rsidRPr="0070178B">
        <w:rPr>
          <w:rFonts w:eastAsia="Times New Roman"/>
          <w:color w:val="1F3864" w:themeColor="accent1" w:themeShade="80"/>
        </w:rPr>
        <w:t>Plátci pojistného</w:t>
      </w:r>
    </w:p>
    <w:p w14:paraId="4A6F4CD8" w14:textId="77777777" w:rsidR="00CE6695" w:rsidRPr="00FC3B7C" w:rsidRDefault="00CE6695" w:rsidP="00D46B53">
      <w:pPr>
        <w:numPr>
          <w:ilvl w:val="0"/>
          <w:numId w:val="375"/>
        </w:numPr>
        <w:tabs>
          <w:tab w:val="left" w:pos="844"/>
        </w:tabs>
        <w:ind w:left="844" w:hanging="353"/>
        <w:rPr>
          <w:rFonts w:eastAsia="Times New Roman"/>
          <w:szCs w:val="24"/>
        </w:rPr>
      </w:pPr>
      <w:r w:rsidRPr="00FC3B7C">
        <w:rPr>
          <w:rFonts w:eastAsia="Times New Roman"/>
          <w:b/>
          <w:bCs/>
          <w:szCs w:val="24"/>
        </w:rPr>
        <w:t xml:space="preserve">Pojištěnci </w:t>
      </w:r>
      <w:r w:rsidRPr="00FC3B7C">
        <w:rPr>
          <w:rFonts w:eastAsia="Times New Roman"/>
          <w:szCs w:val="24"/>
        </w:rPr>
        <w:t>– platí si 4,5 %</w:t>
      </w:r>
    </w:p>
    <w:p w14:paraId="4A6F4CD9" w14:textId="77777777" w:rsidR="00CE6695" w:rsidRPr="00FC3B7C" w:rsidRDefault="00CE6695" w:rsidP="00D46B53">
      <w:pPr>
        <w:numPr>
          <w:ilvl w:val="1"/>
          <w:numId w:val="375"/>
        </w:numPr>
        <w:tabs>
          <w:tab w:val="left" w:pos="1424"/>
        </w:tabs>
        <w:ind w:left="1424" w:right="20" w:hanging="366"/>
        <w:rPr>
          <w:rFonts w:eastAsia="Arial"/>
          <w:b/>
          <w:bCs/>
          <w:sz w:val="23"/>
          <w:szCs w:val="23"/>
        </w:rPr>
      </w:pPr>
      <w:r w:rsidRPr="00FC3B7C">
        <w:rPr>
          <w:rFonts w:eastAsia="Times New Roman"/>
          <w:szCs w:val="24"/>
        </w:rPr>
        <w:t xml:space="preserve">Zaměstnanci, OSVČ, osoby bez zdanitelných příjmů = např. žena </w:t>
      </w:r>
      <w:r w:rsidR="00772FB0">
        <w:rPr>
          <w:rFonts w:eastAsia="Times New Roman"/>
          <w:szCs w:val="24"/>
        </w:rPr>
        <w:br/>
      </w:r>
      <w:r w:rsidRPr="00FC3B7C">
        <w:rPr>
          <w:rFonts w:eastAsia="Times New Roman"/>
          <w:szCs w:val="24"/>
        </w:rPr>
        <w:t>v domácnosti, nezaměstnaný, který není v evidenci ÚP, student starší 26 let</w:t>
      </w:r>
    </w:p>
    <w:p w14:paraId="4A6F4CDA" w14:textId="77777777" w:rsidR="00CE6695" w:rsidRPr="00FC3B7C" w:rsidRDefault="00CE6695" w:rsidP="00D46B53">
      <w:pPr>
        <w:numPr>
          <w:ilvl w:val="0"/>
          <w:numId w:val="375"/>
        </w:numPr>
        <w:tabs>
          <w:tab w:val="left" w:pos="844"/>
        </w:tabs>
        <w:ind w:left="844" w:hanging="351"/>
        <w:rPr>
          <w:rFonts w:eastAsia="Times New Roman"/>
          <w:b/>
          <w:bCs/>
          <w:szCs w:val="24"/>
        </w:rPr>
      </w:pPr>
      <w:r w:rsidRPr="00FC3B7C">
        <w:rPr>
          <w:rFonts w:eastAsia="Times New Roman"/>
          <w:b/>
          <w:bCs/>
          <w:szCs w:val="24"/>
        </w:rPr>
        <w:t xml:space="preserve">Zaměstnavatel </w:t>
      </w:r>
      <w:r w:rsidRPr="00FC3B7C">
        <w:rPr>
          <w:rFonts w:eastAsia="Times New Roman"/>
          <w:szCs w:val="24"/>
        </w:rPr>
        <w:t>– přispívá 2/3 (9 %) svým zaměstnancům</w:t>
      </w:r>
    </w:p>
    <w:p w14:paraId="4A6F4CDB" w14:textId="77777777" w:rsidR="00CE6695" w:rsidRPr="00FC3B7C" w:rsidRDefault="00CE6695" w:rsidP="00D46B53">
      <w:pPr>
        <w:numPr>
          <w:ilvl w:val="1"/>
          <w:numId w:val="375"/>
        </w:numPr>
        <w:tabs>
          <w:tab w:val="left" w:pos="1424"/>
        </w:tabs>
        <w:ind w:left="1424" w:hanging="366"/>
        <w:rPr>
          <w:rFonts w:eastAsia="Arial"/>
          <w:b/>
          <w:bCs/>
          <w:sz w:val="23"/>
          <w:szCs w:val="23"/>
        </w:rPr>
      </w:pPr>
      <w:r w:rsidRPr="00FC3B7C">
        <w:rPr>
          <w:rFonts w:eastAsia="Times New Roman"/>
          <w:szCs w:val="24"/>
        </w:rPr>
        <w:t>stát → ,,státní pojištěnci“</w:t>
      </w:r>
    </w:p>
    <w:p w14:paraId="4A6F4CDC" w14:textId="77777777" w:rsidR="00CE6695" w:rsidRPr="00FC3B7C" w:rsidRDefault="00CE6695" w:rsidP="00D46B53">
      <w:pPr>
        <w:numPr>
          <w:ilvl w:val="2"/>
          <w:numId w:val="375"/>
        </w:numPr>
        <w:tabs>
          <w:tab w:val="left" w:pos="1984"/>
        </w:tabs>
        <w:ind w:left="1984" w:hanging="357"/>
        <w:rPr>
          <w:rFonts w:eastAsia="Wingdings"/>
          <w:szCs w:val="24"/>
        </w:rPr>
      </w:pPr>
      <w:r w:rsidRPr="00FC3B7C">
        <w:rPr>
          <w:rFonts w:eastAsia="Times New Roman"/>
          <w:szCs w:val="24"/>
        </w:rPr>
        <w:t xml:space="preserve">platí pojistné za uznané skupiny obyvatel – nezaopatřené dítě (zákon </w:t>
      </w:r>
      <w:r w:rsidR="00772FB0">
        <w:rPr>
          <w:rFonts w:eastAsia="Times New Roman"/>
          <w:szCs w:val="24"/>
        </w:rPr>
        <w:br/>
      </w:r>
      <w:r w:rsidRPr="00FC3B7C">
        <w:rPr>
          <w:rFonts w:eastAsia="Times New Roman"/>
          <w:szCs w:val="24"/>
        </w:rPr>
        <w:t>o státní sociální podpoře uznává nezaopatřenost dítěte), poživatele důchodu z důchodového pojištění, příjemce rodičovského příspěvku, ženy na mateřské a osoby na rodičovské, registrované osoby na úřadu práce…</w:t>
      </w:r>
    </w:p>
    <w:p w14:paraId="4A6F4CDD" w14:textId="77777777" w:rsidR="00CE6695" w:rsidRPr="00FC3B7C" w:rsidRDefault="00CE6695" w:rsidP="00D46B53">
      <w:pPr>
        <w:numPr>
          <w:ilvl w:val="2"/>
          <w:numId w:val="375"/>
        </w:numPr>
        <w:tabs>
          <w:tab w:val="left" w:pos="1984"/>
        </w:tabs>
        <w:ind w:left="1984" w:hanging="359"/>
        <w:rPr>
          <w:rFonts w:eastAsia="Wingdings"/>
          <w:szCs w:val="24"/>
        </w:rPr>
      </w:pPr>
      <w:r w:rsidRPr="00FC3B7C">
        <w:rPr>
          <w:rFonts w:eastAsia="Times New Roman"/>
          <w:szCs w:val="24"/>
        </w:rPr>
        <w:t>837 Kč (od 1.1.2016) je pojistné za státní pojištěnce</w:t>
      </w:r>
    </w:p>
    <w:p w14:paraId="4A6F4CDE" w14:textId="77777777" w:rsidR="00CE6695" w:rsidRPr="00FC3B7C" w:rsidRDefault="00CE6695" w:rsidP="00D46B53">
      <w:pPr>
        <w:numPr>
          <w:ilvl w:val="2"/>
          <w:numId w:val="375"/>
        </w:numPr>
        <w:tabs>
          <w:tab w:val="left" w:pos="1984"/>
        </w:tabs>
        <w:ind w:left="1984" w:hanging="359"/>
        <w:rPr>
          <w:rFonts w:eastAsia="Wingdings"/>
          <w:szCs w:val="24"/>
        </w:rPr>
      </w:pPr>
      <w:r w:rsidRPr="00FC3B7C">
        <w:rPr>
          <w:rFonts w:eastAsia="Times New Roman"/>
          <w:szCs w:val="24"/>
        </w:rPr>
        <w:t>v ČR cca 6mil státních pojištěnců</w:t>
      </w:r>
    </w:p>
    <w:p w14:paraId="4A6F4CDF" w14:textId="77777777" w:rsidR="00CE6695" w:rsidRPr="00FC3B7C" w:rsidRDefault="00CE6695" w:rsidP="00CE6695">
      <w:pPr>
        <w:spacing w:line="240" w:lineRule="auto"/>
        <w:sectPr w:rsidR="00CE6695" w:rsidRPr="00FC3B7C">
          <w:pgSz w:w="11900" w:h="16840"/>
          <w:pgMar w:top="1386" w:right="1380" w:bottom="1440" w:left="1416" w:header="0" w:footer="0" w:gutter="0"/>
          <w:cols w:space="708" w:equalWidth="0">
            <w:col w:w="9104"/>
          </w:cols>
        </w:sectPr>
      </w:pPr>
    </w:p>
    <w:p w14:paraId="4A6F4CE0" w14:textId="77777777" w:rsidR="00CE6695" w:rsidRPr="00FC3B7C" w:rsidRDefault="00CE6695" w:rsidP="00CE6695">
      <w:pPr>
        <w:spacing w:line="240" w:lineRule="auto"/>
        <w:ind w:left="284"/>
        <w:rPr>
          <w:sz w:val="20"/>
          <w:szCs w:val="20"/>
        </w:rPr>
      </w:pPr>
      <w:bookmarkStart w:id="396" w:name="page408"/>
      <w:bookmarkEnd w:id="396"/>
      <w:r w:rsidRPr="00FC3B7C">
        <w:rPr>
          <w:rFonts w:eastAsia="Times New Roman"/>
          <w:b/>
          <w:bCs/>
          <w:szCs w:val="24"/>
        </w:rPr>
        <w:lastRenderedPageBreak/>
        <w:t>Tab. č. 3: Přehled částek jednotlivých plátců pojištění:</w:t>
      </w:r>
    </w:p>
    <w:p w14:paraId="4A6F4CE1" w14:textId="77777777" w:rsidR="00CE6695" w:rsidRPr="00FC3B7C" w:rsidRDefault="00CE6695" w:rsidP="00CE6695">
      <w:pPr>
        <w:spacing w:line="20" w:lineRule="exact"/>
        <w:rPr>
          <w:sz w:val="20"/>
          <w:szCs w:val="20"/>
        </w:rPr>
      </w:pPr>
      <w:r w:rsidRPr="00FC3B7C">
        <w:rPr>
          <w:noProof/>
          <w:sz w:val="20"/>
          <w:szCs w:val="20"/>
        </w:rPr>
        <w:drawing>
          <wp:anchor distT="0" distB="0" distL="114300" distR="114300" simplePos="0" relativeHeight="251714048" behindDoc="1" locked="0" layoutInCell="0" allowOverlap="1" wp14:anchorId="4A6F5D12" wp14:editId="061B734F">
            <wp:simplePos x="0" y="0"/>
            <wp:positionH relativeFrom="column">
              <wp:posOffset>359410</wp:posOffset>
            </wp:positionH>
            <wp:positionV relativeFrom="paragraph">
              <wp:posOffset>102870</wp:posOffset>
            </wp:positionV>
            <wp:extent cx="5285105" cy="1246505"/>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1"/>
                    <a:srcRect/>
                    <a:stretch>
                      <a:fillRect/>
                    </a:stretch>
                  </pic:blipFill>
                  <pic:spPr bwMode="auto">
                    <a:xfrm>
                      <a:off x="0" y="0"/>
                      <a:ext cx="5285105" cy="1246505"/>
                    </a:xfrm>
                    <a:prstGeom prst="rect">
                      <a:avLst/>
                    </a:prstGeom>
                    <a:noFill/>
                  </pic:spPr>
                </pic:pic>
              </a:graphicData>
            </a:graphic>
          </wp:anchor>
        </w:drawing>
      </w:r>
    </w:p>
    <w:p w14:paraId="4A6F4CE2" w14:textId="77777777" w:rsidR="00CE6695" w:rsidRPr="00FC3B7C" w:rsidRDefault="00CE6695" w:rsidP="00CE6695">
      <w:pPr>
        <w:spacing w:line="200" w:lineRule="exact"/>
        <w:rPr>
          <w:sz w:val="20"/>
          <w:szCs w:val="20"/>
        </w:rPr>
      </w:pPr>
    </w:p>
    <w:p w14:paraId="4A6F4CE3" w14:textId="77777777" w:rsidR="00CE6695" w:rsidRPr="00FC3B7C" w:rsidRDefault="00CE6695" w:rsidP="00CE6695">
      <w:pPr>
        <w:spacing w:line="200" w:lineRule="exact"/>
        <w:rPr>
          <w:sz w:val="20"/>
          <w:szCs w:val="20"/>
        </w:rPr>
      </w:pPr>
    </w:p>
    <w:p w14:paraId="4A6F4CE4" w14:textId="77777777" w:rsidR="00CE6695" w:rsidRPr="00FC3B7C" w:rsidRDefault="00CE6695" w:rsidP="00CE6695">
      <w:pPr>
        <w:spacing w:line="200" w:lineRule="exact"/>
        <w:rPr>
          <w:sz w:val="20"/>
          <w:szCs w:val="20"/>
        </w:rPr>
      </w:pPr>
    </w:p>
    <w:p w14:paraId="4A6F4CE5" w14:textId="77777777" w:rsidR="00CE6695" w:rsidRPr="00FC3B7C" w:rsidRDefault="00CE6695" w:rsidP="00CE6695">
      <w:pPr>
        <w:spacing w:line="200" w:lineRule="exact"/>
        <w:rPr>
          <w:sz w:val="20"/>
          <w:szCs w:val="20"/>
        </w:rPr>
      </w:pPr>
    </w:p>
    <w:p w14:paraId="4A6F4CE6" w14:textId="77777777" w:rsidR="00CE6695" w:rsidRPr="00FC3B7C" w:rsidRDefault="00CE6695" w:rsidP="00CE6695">
      <w:pPr>
        <w:spacing w:line="200" w:lineRule="exact"/>
        <w:rPr>
          <w:sz w:val="20"/>
          <w:szCs w:val="20"/>
        </w:rPr>
      </w:pPr>
    </w:p>
    <w:p w14:paraId="4A6F4CE7" w14:textId="77777777" w:rsidR="00CE6695" w:rsidRPr="00FC3B7C" w:rsidRDefault="00CE6695" w:rsidP="00CE6695">
      <w:pPr>
        <w:spacing w:line="200" w:lineRule="exact"/>
        <w:rPr>
          <w:sz w:val="20"/>
          <w:szCs w:val="20"/>
        </w:rPr>
      </w:pPr>
    </w:p>
    <w:p w14:paraId="4A6F4CE8" w14:textId="77777777" w:rsidR="00CE6695" w:rsidRPr="00FC3B7C" w:rsidRDefault="00CE6695" w:rsidP="00CE6695">
      <w:pPr>
        <w:spacing w:line="200" w:lineRule="exact"/>
        <w:rPr>
          <w:sz w:val="20"/>
          <w:szCs w:val="20"/>
        </w:rPr>
      </w:pPr>
    </w:p>
    <w:p w14:paraId="4A6F4CE9" w14:textId="77777777" w:rsidR="00CE6695" w:rsidRPr="00FC3B7C" w:rsidRDefault="00CE6695" w:rsidP="00CE6695">
      <w:pPr>
        <w:spacing w:line="200" w:lineRule="exact"/>
        <w:rPr>
          <w:sz w:val="20"/>
          <w:szCs w:val="20"/>
        </w:rPr>
      </w:pPr>
    </w:p>
    <w:p w14:paraId="4A6F4CEA" w14:textId="77777777" w:rsidR="00CE6695" w:rsidRPr="00FC3B7C" w:rsidRDefault="00CE6695" w:rsidP="00CE6695">
      <w:pPr>
        <w:spacing w:line="200" w:lineRule="exact"/>
        <w:rPr>
          <w:sz w:val="20"/>
          <w:szCs w:val="20"/>
        </w:rPr>
      </w:pPr>
    </w:p>
    <w:p w14:paraId="4A6F4CEB" w14:textId="77777777" w:rsidR="00CE6695" w:rsidRPr="00FC3B7C" w:rsidRDefault="00CE6695" w:rsidP="00CE6695">
      <w:pPr>
        <w:spacing w:line="200" w:lineRule="exact"/>
        <w:rPr>
          <w:sz w:val="20"/>
          <w:szCs w:val="20"/>
        </w:rPr>
      </w:pPr>
    </w:p>
    <w:p w14:paraId="4A6F4CEC" w14:textId="77777777" w:rsidR="00CE6695" w:rsidRPr="00FC3B7C" w:rsidRDefault="00CE6695" w:rsidP="00CE6695">
      <w:pPr>
        <w:spacing w:line="200" w:lineRule="exact"/>
        <w:rPr>
          <w:sz w:val="20"/>
          <w:szCs w:val="20"/>
        </w:rPr>
      </w:pPr>
    </w:p>
    <w:p w14:paraId="4A6F4CED" w14:textId="77777777" w:rsidR="00CE6695" w:rsidRPr="00FC3B7C" w:rsidRDefault="00CE6695" w:rsidP="00CE6695">
      <w:pPr>
        <w:spacing w:line="200" w:lineRule="exact"/>
        <w:rPr>
          <w:sz w:val="20"/>
          <w:szCs w:val="20"/>
        </w:rPr>
      </w:pPr>
    </w:p>
    <w:p w14:paraId="4A6F4CEE" w14:textId="77777777" w:rsidR="00CE6695" w:rsidRPr="00FC3B7C" w:rsidRDefault="00CE6695" w:rsidP="00CE6695">
      <w:pPr>
        <w:spacing w:line="297" w:lineRule="exact"/>
        <w:rPr>
          <w:sz w:val="20"/>
          <w:szCs w:val="20"/>
        </w:rPr>
      </w:pPr>
    </w:p>
    <w:p w14:paraId="4A6F4CEF" w14:textId="77777777" w:rsidR="00CE6695" w:rsidRPr="00244BB9" w:rsidRDefault="00CE6695" w:rsidP="00772FB0">
      <w:pPr>
        <w:pStyle w:val="Nadpis2"/>
        <w:rPr>
          <w:color w:val="1F3864" w:themeColor="accent1" w:themeShade="80"/>
          <w:sz w:val="20"/>
          <w:szCs w:val="20"/>
        </w:rPr>
      </w:pPr>
      <w:r w:rsidRPr="00244BB9">
        <w:rPr>
          <w:color w:val="1F3864" w:themeColor="accent1" w:themeShade="80"/>
          <w:sz w:val="20"/>
          <w:szCs w:val="20"/>
        </w:rPr>
        <w:tab/>
      </w:r>
      <w:r w:rsidRPr="00244BB9">
        <w:rPr>
          <w:rFonts w:eastAsia="Times New Roman"/>
          <w:color w:val="1F3864" w:themeColor="accent1" w:themeShade="80"/>
        </w:rPr>
        <w:t>SOCIÁLNÍ STÁT-WELFARE STATE</w:t>
      </w:r>
    </w:p>
    <w:p w14:paraId="4A6F4CF0" w14:textId="77777777" w:rsidR="00CE6695" w:rsidRPr="00FC3B7C" w:rsidRDefault="00CE6695" w:rsidP="00B800D1">
      <w:pPr>
        <w:ind w:firstLine="576"/>
        <w:rPr>
          <w:sz w:val="20"/>
          <w:szCs w:val="20"/>
        </w:rPr>
      </w:pPr>
      <w:r w:rsidRPr="00FC3B7C">
        <w:rPr>
          <w:rFonts w:eastAsia="Times New Roman"/>
        </w:rPr>
        <w:t>Stát se silným veřejným sektorem a s výraznými intervencemi vlády do sociální oblasti, stát veřejných sociálních služeb, stát, v němž odpovědnost za základní životní podmínky není jen záležitostí jedinců a jejich rodin, ale i záležitostí veřejnou. Hlavní myšlenkou je přerozdělování - tedy cestou veřejné politiky znovu rozdělit to, co již bylo prvotně rozděleno trhem.</w:t>
      </w:r>
    </w:p>
    <w:p w14:paraId="4A6F4CF1" w14:textId="77777777" w:rsidR="00CE6695" w:rsidRPr="00FC3B7C" w:rsidRDefault="00CE6695" w:rsidP="00CE6695">
      <w:pPr>
        <w:spacing w:line="170" w:lineRule="exact"/>
        <w:rPr>
          <w:sz w:val="20"/>
          <w:szCs w:val="20"/>
        </w:rPr>
      </w:pPr>
    </w:p>
    <w:p w14:paraId="4A6F4CF2" w14:textId="77777777" w:rsidR="00CE6695" w:rsidRPr="0070178B" w:rsidRDefault="00CE6695" w:rsidP="00C34A74">
      <w:pPr>
        <w:pStyle w:val="Nadpis3"/>
        <w:rPr>
          <w:color w:val="1F3864" w:themeColor="accent1" w:themeShade="80"/>
          <w:sz w:val="20"/>
          <w:szCs w:val="20"/>
        </w:rPr>
      </w:pPr>
      <w:r w:rsidRPr="0070178B">
        <w:rPr>
          <w:rFonts w:eastAsia="Times New Roman"/>
          <w:color w:val="1F3864" w:themeColor="accent1" w:themeShade="80"/>
        </w:rPr>
        <w:t>Znaky WS</w:t>
      </w:r>
    </w:p>
    <w:p w14:paraId="4A6F4CF3" w14:textId="77777777" w:rsidR="00CE6695" w:rsidRPr="00FC3B7C" w:rsidRDefault="00CE6695" w:rsidP="00D46B53">
      <w:pPr>
        <w:numPr>
          <w:ilvl w:val="0"/>
          <w:numId w:val="376"/>
        </w:numPr>
        <w:tabs>
          <w:tab w:val="left" w:pos="724"/>
        </w:tabs>
        <w:ind w:left="724" w:hanging="367"/>
        <w:rPr>
          <w:rFonts w:eastAsia="Arial"/>
          <w:szCs w:val="24"/>
        </w:rPr>
      </w:pPr>
      <w:r w:rsidRPr="00FC3B7C">
        <w:rPr>
          <w:rFonts w:eastAsia="Times New Roman"/>
          <w:szCs w:val="24"/>
        </w:rPr>
        <w:t>stát má významné, často monopolní postavení v sociální oblasti</w:t>
      </w:r>
    </w:p>
    <w:p w14:paraId="4A6F4CF4" w14:textId="77777777" w:rsidR="00CE6695" w:rsidRPr="00FC3B7C" w:rsidRDefault="00CE6695" w:rsidP="00D46B53">
      <w:pPr>
        <w:numPr>
          <w:ilvl w:val="0"/>
          <w:numId w:val="376"/>
        </w:numPr>
        <w:tabs>
          <w:tab w:val="left" w:pos="724"/>
        </w:tabs>
        <w:ind w:left="724" w:hanging="367"/>
        <w:rPr>
          <w:rFonts w:eastAsia="Arial"/>
          <w:szCs w:val="24"/>
        </w:rPr>
      </w:pPr>
      <w:r w:rsidRPr="00FC3B7C">
        <w:rPr>
          <w:rFonts w:eastAsia="Times New Roman"/>
          <w:szCs w:val="24"/>
        </w:rPr>
        <w:t>rozsáhlý systém sociálního zabezpečení</w:t>
      </w:r>
    </w:p>
    <w:p w14:paraId="4A6F4CF5" w14:textId="77777777" w:rsidR="00CE6695" w:rsidRPr="00FC3B7C" w:rsidRDefault="00CE6695" w:rsidP="00D46B53">
      <w:pPr>
        <w:numPr>
          <w:ilvl w:val="0"/>
          <w:numId w:val="376"/>
        </w:numPr>
        <w:tabs>
          <w:tab w:val="left" w:pos="724"/>
        </w:tabs>
        <w:ind w:left="724" w:hanging="367"/>
        <w:rPr>
          <w:rFonts w:eastAsia="Arial"/>
          <w:szCs w:val="24"/>
        </w:rPr>
      </w:pPr>
      <w:r w:rsidRPr="00FC3B7C">
        <w:rPr>
          <w:rFonts w:eastAsia="Times New Roman"/>
          <w:szCs w:val="24"/>
        </w:rPr>
        <w:t>značný rozsah služeb poskytovaných zdarma nebo za ceny neodpovídající hodnotě</w:t>
      </w:r>
    </w:p>
    <w:p w14:paraId="4A6F4CF6" w14:textId="77777777" w:rsidR="00CE6695" w:rsidRPr="00FC3B7C" w:rsidRDefault="00CE6695" w:rsidP="00D46B53">
      <w:pPr>
        <w:numPr>
          <w:ilvl w:val="0"/>
          <w:numId w:val="376"/>
        </w:numPr>
        <w:tabs>
          <w:tab w:val="left" w:pos="724"/>
        </w:tabs>
        <w:ind w:left="724" w:hanging="367"/>
        <w:rPr>
          <w:rFonts w:eastAsia="Arial"/>
          <w:szCs w:val="24"/>
        </w:rPr>
      </w:pPr>
      <w:r w:rsidRPr="00FC3B7C">
        <w:rPr>
          <w:rFonts w:eastAsia="Times New Roman"/>
          <w:szCs w:val="24"/>
        </w:rPr>
        <w:t>vysoká míra redistribuce</w:t>
      </w:r>
    </w:p>
    <w:p w14:paraId="4A6F4CF7" w14:textId="77777777" w:rsidR="00CE6695" w:rsidRPr="00FC3B7C" w:rsidRDefault="00CE6695" w:rsidP="00D46B53">
      <w:pPr>
        <w:numPr>
          <w:ilvl w:val="0"/>
          <w:numId w:val="376"/>
        </w:numPr>
        <w:tabs>
          <w:tab w:val="left" w:pos="724"/>
        </w:tabs>
        <w:ind w:left="724" w:hanging="367"/>
        <w:rPr>
          <w:rFonts w:eastAsia="Arial"/>
          <w:szCs w:val="24"/>
        </w:rPr>
      </w:pPr>
      <w:r w:rsidRPr="00FC3B7C">
        <w:rPr>
          <w:rFonts w:eastAsia="Times New Roman"/>
          <w:szCs w:val="24"/>
        </w:rPr>
        <w:t>velmi náročný na ekonomické zdroje</w:t>
      </w:r>
    </w:p>
    <w:p w14:paraId="4A6F4CF8" w14:textId="77777777" w:rsidR="00CE6695" w:rsidRPr="00FC3B7C" w:rsidRDefault="00CE6695" w:rsidP="00D46B53">
      <w:pPr>
        <w:numPr>
          <w:ilvl w:val="0"/>
          <w:numId w:val="376"/>
        </w:numPr>
        <w:tabs>
          <w:tab w:val="left" w:pos="724"/>
        </w:tabs>
        <w:ind w:left="724" w:hanging="364"/>
        <w:rPr>
          <w:rFonts w:eastAsia="Arial"/>
          <w:szCs w:val="24"/>
        </w:rPr>
      </w:pPr>
      <w:r w:rsidRPr="00FC3B7C">
        <w:rPr>
          <w:rFonts w:eastAsia="Times New Roman"/>
          <w:szCs w:val="24"/>
        </w:rPr>
        <w:t>vede k centralizaci, byrokratizaci a anonymitě</w:t>
      </w:r>
    </w:p>
    <w:p w14:paraId="4A6F4CF9" w14:textId="77777777" w:rsidR="00CE6695" w:rsidRPr="00FC3B7C" w:rsidRDefault="00CE6695" w:rsidP="00CE6695">
      <w:pPr>
        <w:spacing w:line="370" w:lineRule="exact"/>
        <w:rPr>
          <w:sz w:val="20"/>
          <w:szCs w:val="20"/>
        </w:rPr>
      </w:pPr>
    </w:p>
    <w:p w14:paraId="4A6F4CFA" w14:textId="77777777" w:rsidR="00CE6695" w:rsidRPr="0070178B" w:rsidRDefault="00CE6695" w:rsidP="00C34A74">
      <w:pPr>
        <w:pStyle w:val="Nadpis3"/>
        <w:rPr>
          <w:color w:val="1F3864" w:themeColor="accent1" w:themeShade="80"/>
          <w:sz w:val="20"/>
          <w:szCs w:val="20"/>
        </w:rPr>
      </w:pPr>
      <w:r w:rsidRPr="0070178B">
        <w:rPr>
          <w:rFonts w:eastAsia="Times New Roman"/>
          <w:color w:val="1F3864" w:themeColor="accent1" w:themeShade="80"/>
        </w:rPr>
        <w:t>Příčiny vzniku WS</w:t>
      </w:r>
    </w:p>
    <w:p w14:paraId="4A6F4CFB" w14:textId="77777777" w:rsidR="00CE6695" w:rsidRPr="00FC3B7C" w:rsidRDefault="00CE6695" w:rsidP="00B800D1">
      <w:pPr>
        <w:ind w:left="4" w:right="20" w:firstLine="716"/>
        <w:rPr>
          <w:sz w:val="20"/>
          <w:szCs w:val="20"/>
        </w:rPr>
      </w:pPr>
      <w:r w:rsidRPr="00FC3B7C">
        <w:rPr>
          <w:rFonts w:eastAsia="Times New Roman"/>
          <w:szCs w:val="24"/>
        </w:rPr>
        <w:t xml:space="preserve">Růst průmyslu na konci 19. století zvyšoval sociální napětí → reakce ze stran liberálů </w:t>
      </w:r>
      <w:r w:rsidR="00C34A74">
        <w:rPr>
          <w:rFonts w:eastAsia="Times New Roman"/>
          <w:szCs w:val="24"/>
        </w:rPr>
        <w:br/>
      </w:r>
      <w:r w:rsidRPr="00FC3B7C">
        <w:rPr>
          <w:rFonts w:eastAsia="Times New Roman"/>
          <w:szCs w:val="24"/>
        </w:rPr>
        <w:t>a socialistů. Vědecký pokrok + nové technologie → ekonomická expanze, přírůstky HDP umožňovaly zvyšovat životní standart obyvatel. Růst nároků na znalosti, informace, vzdělání</w:t>
      </w:r>
    </w:p>
    <w:p w14:paraId="4A6F4CFC" w14:textId="77777777" w:rsidR="00CE6695" w:rsidRPr="00FC3B7C" w:rsidRDefault="00CE6695" w:rsidP="00D46B53">
      <w:pPr>
        <w:numPr>
          <w:ilvl w:val="0"/>
          <w:numId w:val="377"/>
        </w:numPr>
        <w:tabs>
          <w:tab w:val="left" w:pos="304"/>
        </w:tabs>
        <w:ind w:left="304" w:hanging="304"/>
        <w:rPr>
          <w:rFonts w:eastAsia="Times New Roman"/>
          <w:szCs w:val="24"/>
        </w:rPr>
      </w:pPr>
      <w:r w:rsidRPr="00FC3B7C">
        <w:rPr>
          <w:rFonts w:eastAsia="Times New Roman"/>
          <w:szCs w:val="24"/>
        </w:rPr>
        <w:t>posílení aktivit státu ve vzdělávací oblasti. Změna vztahů mezi jedincem a státem:</w:t>
      </w:r>
    </w:p>
    <w:p w14:paraId="4A6F4CFD" w14:textId="77777777" w:rsidR="00CE6695" w:rsidRPr="00FC3B7C" w:rsidRDefault="00CE6695" w:rsidP="00D46B53">
      <w:pPr>
        <w:numPr>
          <w:ilvl w:val="1"/>
          <w:numId w:val="377"/>
        </w:numPr>
        <w:tabs>
          <w:tab w:val="left" w:pos="1564"/>
        </w:tabs>
        <w:ind w:left="1564" w:hanging="353"/>
        <w:rPr>
          <w:rFonts w:eastAsia="Arial"/>
          <w:b/>
          <w:bCs/>
          <w:sz w:val="23"/>
          <w:szCs w:val="23"/>
        </w:rPr>
      </w:pPr>
      <w:r w:rsidRPr="00FC3B7C">
        <w:rPr>
          <w:rFonts w:eastAsia="Times New Roman"/>
          <w:szCs w:val="24"/>
        </w:rPr>
        <w:t>jedinec přestává být podřízen systému</w:t>
      </w:r>
    </w:p>
    <w:p w14:paraId="4A6F4CFE" w14:textId="77777777" w:rsidR="00CE6695" w:rsidRPr="00FC3B7C" w:rsidRDefault="00CE6695" w:rsidP="00D46B53">
      <w:pPr>
        <w:numPr>
          <w:ilvl w:val="1"/>
          <w:numId w:val="377"/>
        </w:numPr>
        <w:tabs>
          <w:tab w:val="left" w:pos="1564"/>
        </w:tabs>
        <w:ind w:left="1564" w:hanging="353"/>
        <w:rPr>
          <w:rFonts w:eastAsia="Arial"/>
          <w:b/>
          <w:bCs/>
          <w:sz w:val="23"/>
          <w:szCs w:val="23"/>
        </w:rPr>
      </w:pPr>
      <w:r w:rsidRPr="00FC3B7C">
        <w:rPr>
          <w:rFonts w:eastAsia="Times New Roman"/>
          <w:szCs w:val="24"/>
        </w:rPr>
        <w:t>stát má jedinci sloužit a usnadňovat mu život</w:t>
      </w:r>
    </w:p>
    <w:p w14:paraId="4A6F4CFF" w14:textId="77777777" w:rsidR="00CE6695" w:rsidRPr="00FC3B7C" w:rsidRDefault="00CE6695" w:rsidP="00B800D1">
      <w:pPr>
        <w:ind w:right="20" w:firstLine="720"/>
        <w:rPr>
          <w:sz w:val="20"/>
          <w:szCs w:val="20"/>
        </w:rPr>
      </w:pPr>
      <w:bookmarkStart w:id="397" w:name="page409"/>
      <w:bookmarkEnd w:id="397"/>
      <w:r w:rsidRPr="00FC3B7C">
        <w:rPr>
          <w:rFonts w:eastAsia="Times New Roman"/>
          <w:szCs w:val="24"/>
        </w:rPr>
        <w:t>Industrializace; vývoj politických institucí; urbanizace; demografické trendy - vysoká zaměstnanost žen, urbanizace, oddělení pracoviště a bydliště, zmenšování rodin, řešení sociální pomoci vlastními silami či prostřednictvím rodiny se přesouvá v určité míře na stát.</w:t>
      </w:r>
    </w:p>
    <w:p w14:paraId="4A6F4D00" w14:textId="77777777" w:rsidR="00CE6695" w:rsidRPr="00FC3B7C" w:rsidRDefault="00CE6695" w:rsidP="00CE6695">
      <w:pPr>
        <w:spacing w:line="175" w:lineRule="exact"/>
        <w:rPr>
          <w:sz w:val="20"/>
          <w:szCs w:val="20"/>
        </w:rPr>
      </w:pPr>
    </w:p>
    <w:p w14:paraId="4A6F4D01" w14:textId="77777777" w:rsidR="00C34A74" w:rsidRDefault="00C34A74" w:rsidP="00CE6695">
      <w:pPr>
        <w:spacing w:line="240" w:lineRule="auto"/>
        <w:ind w:left="440"/>
        <w:rPr>
          <w:rFonts w:eastAsia="Times New Roman"/>
          <w:b/>
          <w:bCs/>
          <w:sz w:val="28"/>
          <w:szCs w:val="28"/>
        </w:rPr>
      </w:pPr>
    </w:p>
    <w:p w14:paraId="4A6F4D02" w14:textId="77777777" w:rsidR="00CE6695" w:rsidRPr="0070178B" w:rsidRDefault="00CE6695" w:rsidP="00C34A74">
      <w:pPr>
        <w:pStyle w:val="Nadpis3"/>
        <w:rPr>
          <w:color w:val="1F3864" w:themeColor="accent1" w:themeShade="80"/>
          <w:sz w:val="20"/>
          <w:szCs w:val="20"/>
        </w:rPr>
      </w:pPr>
      <w:r w:rsidRPr="0070178B">
        <w:rPr>
          <w:rFonts w:eastAsia="Times New Roman"/>
          <w:color w:val="1F3864" w:themeColor="accent1" w:themeShade="80"/>
        </w:rPr>
        <w:lastRenderedPageBreak/>
        <w:t>Vývoj WS</w:t>
      </w:r>
    </w:p>
    <w:p w14:paraId="4A6F4D03" w14:textId="419919FE" w:rsidR="00CE6695" w:rsidRPr="00FC3B7C" w:rsidRDefault="00CE6695" w:rsidP="0070178B">
      <w:r w:rsidRPr="00FC3B7C">
        <w:rPr>
          <w:rFonts w:eastAsia="Times New Roman"/>
          <w:szCs w:val="24"/>
        </w:rPr>
        <w:t xml:space="preserve">Za první náznaky formování SS je možné považovat systém sociálního pojištění dělníků v Německu (1881). Základy konceptu welfare state se připisují lordu </w:t>
      </w:r>
      <w:r w:rsidRPr="00FC3B7C">
        <w:rPr>
          <w:rFonts w:eastAsia="Times New Roman"/>
          <w:b/>
          <w:bCs/>
          <w:szCs w:val="24"/>
        </w:rPr>
        <w:t>W. H. Beveridgemu</w:t>
      </w:r>
      <w:r w:rsidRPr="00FC3B7C">
        <w:rPr>
          <w:rFonts w:eastAsia="Times New Roman"/>
          <w:szCs w:val="24"/>
        </w:rPr>
        <w:t xml:space="preserve">, který tento termín použil ve svém systému sociálního zabezpečení (rok 1942). Koncept ovlivnila řada politiků a myslitelů - Gladston, Bismarck, F. Roosevelt. Vznikal od </w:t>
      </w:r>
      <w:r w:rsidRPr="00FC3B7C">
        <w:rPr>
          <w:rFonts w:eastAsia="Times New Roman"/>
          <w:b/>
          <w:bCs/>
          <w:szCs w:val="24"/>
        </w:rPr>
        <w:t>40. let 20.</w:t>
      </w:r>
      <w:r w:rsidRPr="00FC3B7C">
        <w:rPr>
          <w:rFonts w:eastAsia="Times New Roman"/>
          <w:szCs w:val="24"/>
        </w:rPr>
        <w:t xml:space="preserve"> </w:t>
      </w:r>
      <w:r w:rsidRPr="00FC3B7C">
        <w:rPr>
          <w:rFonts w:eastAsia="Times New Roman"/>
          <w:b/>
          <w:bCs/>
          <w:szCs w:val="24"/>
        </w:rPr>
        <w:t xml:space="preserve">století </w:t>
      </w:r>
      <w:r w:rsidRPr="00FC3B7C">
        <w:rPr>
          <w:rFonts w:eastAsia="Times New Roman"/>
          <w:szCs w:val="24"/>
        </w:rPr>
        <w:t>(rozšíření po 2. světové válce),</w:t>
      </w:r>
      <w:r w:rsidRPr="00FC3B7C">
        <w:rPr>
          <w:rFonts w:eastAsia="Times New Roman"/>
          <w:b/>
          <w:bCs/>
          <w:szCs w:val="24"/>
        </w:rPr>
        <w:t xml:space="preserve"> 50. a 60. léta </w:t>
      </w:r>
      <w:r w:rsidRPr="00FC3B7C">
        <w:rPr>
          <w:rFonts w:eastAsia="Times New Roman"/>
          <w:szCs w:val="24"/>
        </w:rPr>
        <w:t>= zlatá éra sociálního státu. Západní země</w:t>
      </w:r>
      <w:r w:rsidRPr="00FC3B7C">
        <w:rPr>
          <w:rFonts w:eastAsia="Times New Roman"/>
          <w:b/>
          <w:bCs/>
          <w:szCs w:val="24"/>
        </w:rPr>
        <w:t xml:space="preserve"> </w:t>
      </w:r>
      <w:r w:rsidRPr="00FC3B7C">
        <w:rPr>
          <w:rFonts w:eastAsia="Times New Roman"/>
          <w:szCs w:val="24"/>
        </w:rPr>
        <w:t xml:space="preserve">zaznamenávaly hospodářský růst, plná zaměstnanost umožňovala rozšiřování sociálních služeb a dávek. </w:t>
      </w:r>
      <w:r w:rsidRPr="00FC3B7C">
        <w:rPr>
          <w:rFonts w:eastAsia="Times New Roman"/>
          <w:b/>
          <w:bCs/>
          <w:szCs w:val="24"/>
        </w:rPr>
        <w:t>70. léta</w:t>
      </w:r>
      <w:r w:rsidRPr="00FC3B7C">
        <w:rPr>
          <w:rFonts w:eastAsia="Times New Roman"/>
          <w:szCs w:val="24"/>
        </w:rPr>
        <w:t xml:space="preserve"> = krize sociální státu.</w:t>
      </w:r>
    </w:p>
    <w:p w14:paraId="4A6F4D04" w14:textId="77777777" w:rsidR="00CE6695" w:rsidRPr="00FC3B7C" w:rsidRDefault="00CE6695" w:rsidP="00CE6695">
      <w:pPr>
        <w:spacing w:line="193" w:lineRule="exact"/>
        <w:rPr>
          <w:sz w:val="20"/>
          <w:szCs w:val="20"/>
        </w:rPr>
      </w:pPr>
    </w:p>
    <w:p w14:paraId="4A6F4D05" w14:textId="77777777" w:rsidR="00CE6695" w:rsidRPr="0070178B" w:rsidRDefault="00CE6695" w:rsidP="00C34A74">
      <w:pPr>
        <w:pStyle w:val="Nadpis3"/>
        <w:rPr>
          <w:color w:val="1F3864" w:themeColor="accent1" w:themeShade="80"/>
          <w:sz w:val="20"/>
          <w:szCs w:val="20"/>
        </w:rPr>
      </w:pPr>
      <w:r w:rsidRPr="0070178B">
        <w:rPr>
          <w:rFonts w:eastAsia="Times New Roman"/>
          <w:color w:val="1F3864" w:themeColor="accent1" w:themeShade="80"/>
        </w:rPr>
        <w:t>Důvody kritiky WS</w:t>
      </w:r>
    </w:p>
    <w:p w14:paraId="4A6F4D06" w14:textId="77777777" w:rsidR="00CE6695" w:rsidRPr="00FC3B7C" w:rsidRDefault="00CE6695" w:rsidP="0070178B">
      <w:pPr>
        <w:rPr>
          <w:sz w:val="20"/>
          <w:szCs w:val="20"/>
        </w:rPr>
      </w:pPr>
      <w:r w:rsidRPr="00FC3B7C">
        <w:rPr>
          <w:rFonts w:eastAsia="Times New Roman"/>
        </w:rPr>
        <w:t>Oslabuje motivace k práci, podněcuje růst byrokracie, monopol státu vede k neefektivnosti poskytovaných služeb, přes rostoucí množství vynaložených prostředků se nedařilo snižovat chudobu, omezuje svobodu jednotlivce.</w:t>
      </w:r>
    </w:p>
    <w:p w14:paraId="4A6F4D07" w14:textId="77777777" w:rsidR="00CE6695" w:rsidRPr="00FC3B7C" w:rsidRDefault="00CE6695" w:rsidP="00CE6695">
      <w:pPr>
        <w:spacing w:line="182" w:lineRule="exact"/>
        <w:rPr>
          <w:sz w:val="20"/>
          <w:szCs w:val="20"/>
        </w:rPr>
      </w:pPr>
    </w:p>
    <w:p w14:paraId="4A6F4D08" w14:textId="77777777" w:rsidR="00CE6695" w:rsidRPr="0070178B" w:rsidRDefault="00CE6695" w:rsidP="00C34A74">
      <w:pPr>
        <w:pStyle w:val="Nadpis3"/>
        <w:rPr>
          <w:color w:val="1F3864" w:themeColor="accent1" w:themeShade="80"/>
          <w:sz w:val="20"/>
          <w:szCs w:val="20"/>
        </w:rPr>
      </w:pPr>
      <w:r w:rsidRPr="0070178B">
        <w:rPr>
          <w:rFonts w:eastAsia="Times New Roman"/>
          <w:color w:val="1F3864" w:themeColor="accent1" w:themeShade="80"/>
        </w:rPr>
        <w:t>Typy krizí sociálního státu</w:t>
      </w:r>
    </w:p>
    <w:p w14:paraId="4A6F4D09" w14:textId="77777777" w:rsidR="00CE6695" w:rsidRPr="00FC3B7C" w:rsidRDefault="00CE6695" w:rsidP="00CE6695">
      <w:pPr>
        <w:spacing w:line="203" w:lineRule="exact"/>
        <w:rPr>
          <w:sz w:val="20"/>
          <w:szCs w:val="20"/>
        </w:rPr>
      </w:pPr>
    </w:p>
    <w:p w14:paraId="4A6F4D0A" w14:textId="77777777" w:rsidR="00CE6695" w:rsidRPr="00FC3B7C" w:rsidRDefault="00CE6695" w:rsidP="00D46B53">
      <w:pPr>
        <w:numPr>
          <w:ilvl w:val="0"/>
          <w:numId w:val="378"/>
        </w:numPr>
        <w:tabs>
          <w:tab w:val="left" w:pos="1280"/>
        </w:tabs>
        <w:ind w:left="1280" w:hanging="360"/>
        <w:rPr>
          <w:rFonts w:eastAsia="Times New Roman"/>
          <w:szCs w:val="24"/>
        </w:rPr>
      </w:pPr>
      <w:r w:rsidRPr="00FC3B7C">
        <w:rPr>
          <w:rFonts w:eastAsia="Times New Roman"/>
          <w:b/>
          <w:bCs/>
          <w:szCs w:val="24"/>
        </w:rPr>
        <w:t xml:space="preserve">krize nákladů </w:t>
      </w:r>
      <w:r w:rsidRPr="00FC3B7C">
        <w:rPr>
          <w:rFonts w:eastAsia="Times New Roman"/>
          <w:szCs w:val="24"/>
        </w:rPr>
        <w:t>- je příliš</w:t>
      </w:r>
      <w:r w:rsidRPr="00FC3B7C">
        <w:rPr>
          <w:rFonts w:eastAsia="Times New Roman"/>
          <w:b/>
          <w:bCs/>
          <w:szCs w:val="24"/>
        </w:rPr>
        <w:t xml:space="preserve"> </w:t>
      </w:r>
      <w:r w:rsidRPr="00FC3B7C">
        <w:rPr>
          <w:rFonts w:eastAsia="Times New Roman"/>
          <w:szCs w:val="24"/>
        </w:rPr>
        <w:t>drahý</w:t>
      </w:r>
    </w:p>
    <w:p w14:paraId="4A6F4D0B" w14:textId="77777777" w:rsidR="00CE6695" w:rsidRPr="00FC3B7C" w:rsidRDefault="00CE6695" w:rsidP="00D46B53">
      <w:pPr>
        <w:numPr>
          <w:ilvl w:val="0"/>
          <w:numId w:val="378"/>
        </w:numPr>
        <w:tabs>
          <w:tab w:val="left" w:pos="1280"/>
        </w:tabs>
        <w:ind w:left="1280" w:hanging="360"/>
        <w:rPr>
          <w:rFonts w:eastAsia="Times New Roman"/>
          <w:szCs w:val="24"/>
        </w:rPr>
      </w:pPr>
      <w:r w:rsidRPr="00FC3B7C">
        <w:rPr>
          <w:rFonts w:eastAsia="Times New Roman"/>
          <w:b/>
          <w:bCs/>
          <w:szCs w:val="24"/>
        </w:rPr>
        <w:t xml:space="preserve">krize efektivity </w:t>
      </w:r>
      <w:r w:rsidRPr="00FC3B7C">
        <w:rPr>
          <w:rFonts w:eastAsia="Times New Roman"/>
          <w:szCs w:val="24"/>
        </w:rPr>
        <w:t>- je neefektivní, netransparentní</w:t>
      </w:r>
    </w:p>
    <w:p w14:paraId="4A6F4D0C" w14:textId="77777777" w:rsidR="00CE6695" w:rsidRPr="00FC3B7C" w:rsidRDefault="00CE6695" w:rsidP="00D46B53">
      <w:pPr>
        <w:numPr>
          <w:ilvl w:val="0"/>
          <w:numId w:val="378"/>
        </w:numPr>
        <w:tabs>
          <w:tab w:val="left" w:pos="1280"/>
        </w:tabs>
        <w:ind w:left="1280" w:hanging="360"/>
        <w:rPr>
          <w:rFonts w:eastAsia="Times New Roman"/>
          <w:szCs w:val="24"/>
        </w:rPr>
      </w:pPr>
      <w:r w:rsidRPr="00FC3B7C">
        <w:rPr>
          <w:rFonts w:eastAsia="Times New Roman"/>
          <w:b/>
          <w:bCs/>
          <w:szCs w:val="24"/>
        </w:rPr>
        <w:t xml:space="preserve">krize legitimity </w:t>
      </w:r>
      <w:r w:rsidRPr="00FC3B7C">
        <w:rPr>
          <w:rFonts w:eastAsia="Times New Roman"/>
          <w:szCs w:val="24"/>
        </w:rPr>
        <w:t>- je nespravedlivý</w:t>
      </w:r>
    </w:p>
    <w:p w14:paraId="4A6F4D0D" w14:textId="2986F8E5" w:rsidR="00CE6695" w:rsidRDefault="00CE6695" w:rsidP="0070178B">
      <w:pPr>
        <w:rPr>
          <w:rFonts w:eastAsia="Times New Roman"/>
        </w:rPr>
      </w:pPr>
      <w:r w:rsidRPr="00FC3B7C">
        <w:rPr>
          <w:rFonts w:eastAsia="Times New Roman"/>
        </w:rPr>
        <w:t>Od konce 70. let = éra uskromnění. Vlády zápasí s pomalým ekonomickým růstem, narůstající nezaměstnaností, rozpočtovými deficity a rostoucím zatěžováním rozpočtu penzijním a zdravotním systémem v důsledku stárnutí populace.</w:t>
      </w:r>
    </w:p>
    <w:p w14:paraId="4A6F4D0E" w14:textId="77777777" w:rsidR="00C34A74" w:rsidRPr="00FC3B7C" w:rsidRDefault="00C34A74" w:rsidP="00C34A74">
      <w:pPr>
        <w:rPr>
          <w:sz w:val="20"/>
          <w:szCs w:val="20"/>
        </w:rPr>
      </w:pPr>
    </w:p>
    <w:p w14:paraId="4A6F4D0F" w14:textId="77777777" w:rsidR="00CE6695" w:rsidRPr="0070178B" w:rsidRDefault="00CE6695" w:rsidP="00C34A74">
      <w:pPr>
        <w:pStyle w:val="Nadpis3"/>
        <w:rPr>
          <w:color w:val="1F3864" w:themeColor="accent1" w:themeShade="80"/>
          <w:sz w:val="20"/>
          <w:szCs w:val="20"/>
        </w:rPr>
      </w:pPr>
      <w:bookmarkStart w:id="398" w:name="page410"/>
      <w:bookmarkEnd w:id="398"/>
      <w:r w:rsidRPr="0070178B">
        <w:rPr>
          <w:rFonts w:eastAsia="Times New Roman"/>
          <w:color w:val="1F3864" w:themeColor="accent1" w:themeShade="80"/>
        </w:rPr>
        <w:t>Typologie sociálního státu</w:t>
      </w:r>
    </w:p>
    <w:p w14:paraId="4A6F4D10" w14:textId="77777777" w:rsidR="00CE6695" w:rsidRPr="00FC3B7C" w:rsidRDefault="00CE6695" w:rsidP="00D46B53">
      <w:pPr>
        <w:numPr>
          <w:ilvl w:val="0"/>
          <w:numId w:val="379"/>
        </w:numPr>
        <w:tabs>
          <w:tab w:val="left" w:pos="840"/>
        </w:tabs>
        <w:ind w:left="840" w:hanging="353"/>
        <w:rPr>
          <w:rFonts w:eastAsia="Times New Roman"/>
          <w:b/>
          <w:bCs/>
          <w:szCs w:val="24"/>
        </w:rPr>
      </w:pPr>
      <w:r w:rsidRPr="00FC3B7C">
        <w:rPr>
          <w:rFonts w:eastAsia="Times New Roman"/>
          <w:b/>
          <w:bCs/>
          <w:szCs w:val="24"/>
        </w:rPr>
        <w:t>Titmussova typologie (1979)</w:t>
      </w:r>
    </w:p>
    <w:p w14:paraId="4A6F4D11" w14:textId="77777777" w:rsidR="00CE6695" w:rsidRPr="00FC3B7C" w:rsidRDefault="00CE6695" w:rsidP="00D46B53">
      <w:pPr>
        <w:numPr>
          <w:ilvl w:val="1"/>
          <w:numId w:val="379"/>
        </w:numPr>
        <w:tabs>
          <w:tab w:val="left" w:pos="1700"/>
        </w:tabs>
        <w:ind w:left="1700" w:hanging="363"/>
        <w:rPr>
          <w:rFonts w:eastAsia="Arial"/>
          <w:szCs w:val="24"/>
        </w:rPr>
      </w:pPr>
      <w:r w:rsidRPr="00FC3B7C">
        <w:rPr>
          <w:rFonts w:eastAsia="Times New Roman"/>
          <w:szCs w:val="24"/>
        </w:rPr>
        <w:t>reziduální (anglosaský) - USA, částečně Velká Británie</w:t>
      </w:r>
    </w:p>
    <w:p w14:paraId="4A6F4D12" w14:textId="77777777" w:rsidR="00CE6695" w:rsidRPr="00FC3B7C" w:rsidRDefault="00CE6695" w:rsidP="00D46B53">
      <w:pPr>
        <w:numPr>
          <w:ilvl w:val="1"/>
          <w:numId w:val="379"/>
        </w:numPr>
        <w:tabs>
          <w:tab w:val="left" w:pos="1700"/>
        </w:tabs>
        <w:ind w:left="1700" w:hanging="363"/>
        <w:rPr>
          <w:rFonts w:eastAsia="Arial"/>
          <w:szCs w:val="24"/>
        </w:rPr>
      </w:pPr>
      <w:r w:rsidRPr="00FC3B7C">
        <w:rPr>
          <w:rFonts w:eastAsia="Times New Roman"/>
          <w:szCs w:val="24"/>
        </w:rPr>
        <w:t>pracovně výkonový (Bismarckův) - Francie, Holandsko</w:t>
      </w:r>
    </w:p>
    <w:p w14:paraId="4A6F4D13" w14:textId="77777777" w:rsidR="00CE6695" w:rsidRPr="00FC3B7C" w:rsidRDefault="00CE6695" w:rsidP="00D46B53">
      <w:pPr>
        <w:numPr>
          <w:ilvl w:val="1"/>
          <w:numId w:val="379"/>
        </w:numPr>
        <w:tabs>
          <w:tab w:val="left" w:pos="1700"/>
        </w:tabs>
        <w:ind w:left="1700" w:hanging="363"/>
        <w:rPr>
          <w:rFonts w:eastAsia="Arial"/>
          <w:szCs w:val="24"/>
        </w:rPr>
      </w:pPr>
      <w:r w:rsidRPr="00FC3B7C">
        <w:rPr>
          <w:rFonts w:eastAsia="Times New Roman"/>
          <w:szCs w:val="24"/>
        </w:rPr>
        <w:t>institucionálně redistributivní (skandinávský) – Švédsko</w:t>
      </w:r>
    </w:p>
    <w:p w14:paraId="4A6F4D14" w14:textId="77777777" w:rsidR="00CE6695" w:rsidRPr="00FC3B7C" w:rsidRDefault="00CE6695" w:rsidP="00D46B53">
      <w:pPr>
        <w:numPr>
          <w:ilvl w:val="0"/>
          <w:numId w:val="379"/>
        </w:numPr>
        <w:tabs>
          <w:tab w:val="left" w:pos="840"/>
        </w:tabs>
        <w:ind w:left="840" w:hanging="353"/>
        <w:rPr>
          <w:rFonts w:eastAsia="Times New Roman"/>
          <w:b/>
          <w:bCs/>
          <w:szCs w:val="24"/>
        </w:rPr>
      </w:pPr>
      <w:r w:rsidRPr="00FC3B7C">
        <w:rPr>
          <w:rFonts w:eastAsia="Times New Roman"/>
          <w:b/>
          <w:bCs/>
          <w:szCs w:val="24"/>
        </w:rPr>
        <w:t>Espring-Andersenova typologie (1990)</w:t>
      </w:r>
    </w:p>
    <w:p w14:paraId="4A6F4D15" w14:textId="77777777" w:rsidR="00CE6695" w:rsidRPr="00FC3B7C" w:rsidRDefault="00CE6695" w:rsidP="00D46B53">
      <w:pPr>
        <w:numPr>
          <w:ilvl w:val="1"/>
          <w:numId w:val="379"/>
        </w:numPr>
        <w:tabs>
          <w:tab w:val="left" w:pos="1700"/>
        </w:tabs>
        <w:ind w:left="1700" w:hanging="363"/>
        <w:rPr>
          <w:rFonts w:eastAsia="Arial"/>
          <w:szCs w:val="24"/>
        </w:rPr>
      </w:pPr>
      <w:r w:rsidRPr="00FC3B7C">
        <w:rPr>
          <w:rFonts w:eastAsia="Times New Roman"/>
          <w:szCs w:val="24"/>
        </w:rPr>
        <w:t>liberální - odpovídá reziduálnímu typu</w:t>
      </w:r>
    </w:p>
    <w:p w14:paraId="4A6F4D16" w14:textId="77777777" w:rsidR="00CE6695" w:rsidRPr="00C34A74" w:rsidRDefault="00CE6695" w:rsidP="00D46B53">
      <w:pPr>
        <w:numPr>
          <w:ilvl w:val="1"/>
          <w:numId w:val="379"/>
        </w:numPr>
        <w:tabs>
          <w:tab w:val="left" w:pos="1700"/>
        </w:tabs>
        <w:ind w:left="1700" w:hanging="363"/>
        <w:rPr>
          <w:rFonts w:eastAsia="Arial"/>
          <w:szCs w:val="24"/>
        </w:rPr>
      </w:pPr>
      <w:r w:rsidRPr="00C34A74">
        <w:rPr>
          <w:rFonts w:eastAsia="Times New Roman"/>
          <w:szCs w:val="24"/>
        </w:rPr>
        <w:t>konzervativní - odpovídá pracovně výkonovému typu</w:t>
      </w:r>
    </w:p>
    <w:p w14:paraId="4A6F4D17" w14:textId="77777777" w:rsidR="00CE6695" w:rsidRPr="00C34A74" w:rsidRDefault="00CE6695" w:rsidP="00D46B53">
      <w:pPr>
        <w:numPr>
          <w:ilvl w:val="1"/>
          <w:numId w:val="379"/>
        </w:numPr>
        <w:tabs>
          <w:tab w:val="left" w:pos="1700"/>
        </w:tabs>
        <w:ind w:left="1700" w:hanging="363"/>
        <w:rPr>
          <w:rFonts w:eastAsia="Arial"/>
          <w:szCs w:val="24"/>
        </w:rPr>
      </w:pPr>
      <w:r w:rsidRPr="00C34A74">
        <w:rPr>
          <w:rFonts w:eastAsia="Times New Roman"/>
          <w:szCs w:val="24"/>
        </w:rPr>
        <w:t>sociálně demokratický - odpovídá institucionálně redistributivnímu typu</w:t>
      </w:r>
    </w:p>
    <w:p w14:paraId="4A6F4D18" w14:textId="77777777" w:rsidR="00CE6695" w:rsidRPr="00FC3B7C" w:rsidRDefault="00CE6695" w:rsidP="00D46B53">
      <w:pPr>
        <w:numPr>
          <w:ilvl w:val="1"/>
          <w:numId w:val="379"/>
        </w:numPr>
        <w:tabs>
          <w:tab w:val="left" w:pos="1700"/>
        </w:tabs>
        <w:ind w:left="1700" w:hanging="360"/>
        <w:rPr>
          <w:rFonts w:eastAsia="Arial"/>
          <w:szCs w:val="24"/>
        </w:rPr>
      </w:pPr>
      <w:r w:rsidRPr="00FC3B7C">
        <w:rPr>
          <w:rFonts w:eastAsia="Times New Roman"/>
          <w:szCs w:val="24"/>
        </w:rPr>
        <w:t>jihoevropský (rudimentální či latinský) – liberální a konzervativní prvky</w:t>
      </w:r>
    </w:p>
    <w:p w14:paraId="4A6F4D19" w14:textId="77777777" w:rsidR="00CE6695" w:rsidRPr="00FC3B7C" w:rsidRDefault="00CE6695" w:rsidP="00CE6695">
      <w:pPr>
        <w:spacing w:line="365" w:lineRule="exact"/>
        <w:rPr>
          <w:sz w:val="20"/>
          <w:szCs w:val="20"/>
        </w:rPr>
      </w:pPr>
    </w:p>
    <w:p w14:paraId="4A6F4D1A" w14:textId="77777777" w:rsidR="00CE6695" w:rsidRPr="0070178B" w:rsidRDefault="00CE6695" w:rsidP="00C34A74">
      <w:pPr>
        <w:pStyle w:val="Nadpis3"/>
        <w:rPr>
          <w:color w:val="1F3864" w:themeColor="accent1" w:themeShade="80"/>
          <w:sz w:val="20"/>
          <w:szCs w:val="20"/>
        </w:rPr>
      </w:pPr>
      <w:r w:rsidRPr="0070178B">
        <w:rPr>
          <w:rFonts w:eastAsia="Times New Roman"/>
          <w:color w:val="1F3864" w:themeColor="accent1" w:themeShade="80"/>
        </w:rPr>
        <w:lastRenderedPageBreak/>
        <w:t>Vztah hospodářské a sociální politiky</w:t>
      </w:r>
    </w:p>
    <w:p w14:paraId="4A6F4D1B" w14:textId="77777777" w:rsidR="00CE6695" w:rsidRPr="00FC3B7C" w:rsidRDefault="00CE6695" w:rsidP="0070178B">
      <w:pPr>
        <w:rPr>
          <w:sz w:val="20"/>
          <w:szCs w:val="20"/>
        </w:rPr>
      </w:pPr>
      <w:r w:rsidRPr="00FC3B7C">
        <w:rPr>
          <w:rFonts w:eastAsia="Times New Roman"/>
          <w:szCs w:val="24"/>
        </w:rPr>
        <w:t>SP a HP úzce spjaty, vzájemně se ovlivňují.</w:t>
      </w:r>
    </w:p>
    <w:p w14:paraId="4A6F4D1C" w14:textId="77777777" w:rsidR="00CE6695" w:rsidRPr="00FC3B7C" w:rsidRDefault="00CE6695" w:rsidP="0070178B">
      <w:pPr>
        <w:rPr>
          <w:sz w:val="20"/>
          <w:szCs w:val="20"/>
        </w:rPr>
      </w:pPr>
      <w:r w:rsidRPr="00FC3B7C">
        <w:rPr>
          <w:rFonts w:eastAsia="Times New Roman"/>
          <w:b/>
          <w:bCs/>
          <w:szCs w:val="24"/>
        </w:rPr>
        <w:t>Jak ovlivňuje hospodářská politika sociální politiku</w:t>
      </w:r>
      <w:r w:rsidRPr="00FC3B7C">
        <w:rPr>
          <w:rFonts w:eastAsia="Times New Roman"/>
          <w:szCs w:val="24"/>
        </w:rPr>
        <w:t>: pro účinnou sociální politiku je</w:t>
      </w:r>
      <w:r w:rsidRPr="00FC3B7C">
        <w:rPr>
          <w:rFonts w:eastAsia="Times New Roman"/>
          <w:b/>
          <w:bCs/>
          <w:szCs w:val="24"/>
        </w:rPr>
        <w:t xml:space="preserve"> </w:t>
      </w:r>
      <w:r w:rsidRPr="00FC3B7C">
        <w:rPr>
          <w:rFonts w:eastAsia="Times New Roman"/>
          <w:szCs w:val="24"/>
        </w:rPr>
        <w:t xml:space="preserve">nezbytná účinná hospodářská politika neboť produkuje zdroje, které jsou základem </w:t>
      </w:r>
      <w:r w:rsidR="00C34A74">
        <w:rPr>
          <w:rFonts w:eastAsia="Times New Roman"/>
          <w:szCs w:val="24"/>
        </w:rPr>
        <w:br/>
      </w:r>
      <w:r w:rsidRPr="00FC3B7C">
        <w:rPr>
          <w:rFonts w:eastAsia="Times New Roman"/>
          <w:szCs w:val="24"/>
        </w:rPr>
        <w:t>k financování sociální politiky. Množstvím finančních prostředků rozšiřuje možné pole jejího působení i její rozvoj.</w:t>
      </w:r>
    </w:p>
    <w:p w14:paraId="4A6F4D1D" w14:textId="77777777" w:rsidR="00CE6695" w:rsidRPr="00FC3B7C" w:rsidRDefault="00CE6695" w:rsidP="0070178B">
      <w:pPr>
        <w:rPr>
          <w:sz w:val="20"/>
          <w:szCs w:val="20"/>
        </w:rPr>
      </w:pPr>
      <w:r w:rsidRPr="00FC3B7C">
        <w:rPr>
          <w:rFonts w:eastAsia="Times New Roman"/>
          <w:b/>
          <w:bCs/>
          <w:szCs w:val="24"/>
        </w:rPr>
        <w:t xml:space="preserve">Jak ovlivňuje sociální politika politiku hospodářskou: </w:t>
      </w:r>
      <w:r w:rsidRPr="00FC3B7C">
        <w:rPr>
          <w:rFonts w:eastAsia="Times New Roman"/>
          <w:szCs w:val="24"/>
        </w:rPr>
        <w:t>dodává hospodářské politice aktivní</w:t>
      </w:r>
      <w:r w:rsidRPr="00FC3B7C">
        <w:rPr>
          <w:rFonts w:eastAsia="Times New Roman"/>
          <w:b/>
          <w:bCs/>
          <w:szCs w:val="24"/>
        </w:rPr>
        <w:t xml:space="preserve"> </w:t>
      </w:r>
      <w:r w:rsidRPr="00FC3B7C">
        <w:rPr>
          <w:rFonts w:eastAsia="Times New Roman"/>
          <w:szCs w:val="24"/>
        </w:rPr>
        <w:t>sílu (vzdělanost)</w:t>
      </w:r>
      <w:r w:rsidRPr="00FC3B7C">
        <w:rPr>
          <w:rFonts w:eastAsia="Times New Roman"/>
          <w:b/>
          <w:bCs/>
          <w:szCs w:val="24"/>
        </w:rPr>
        <w:t>,</w:t>
      </w:r>
      <w:r w:rsidRPr="00FC3B7C">
        <w:rPr>
          <w:rFonts w:eastAsia="Times New Roman"/>
          <w:szCs w:val="24"/>
        </w:rPr>
        <w:t xml:space="preserve"> vytváří kulturací lidského potenciálu hmotnou pracovní sílu pro hospodářskou politiku (vzdělávací politika, zdravotní politika, politika bydlení)</w:t>
      </w:r>
      <w:r w:rsidRPr="00FC3B7C">
        <w:rPr>
          <w:rFonts w:eastAsia="Times New Roman"/>
          <w:b/>
          <w:bCs/>
          <w:szCs w:val="24"/>
        </w:rPr>
        <w:t>,</w:t>
      </w:r>
      <w:r w:rsidRPr="00FC3B7C">
        <w:rPr>
          <w:rFonts w:eastAsia="Times New Roman"/>
          <w:szCs w:val="24"/>
        </w:rPr>
        <w:t xml:space="preserve"> podílí se na vytváření celkového klima ve společnosti (řeší se kriminalita, alkoholismus,…)</w:t>
      </w:r>
      <w:r w:rsidRPr="00FC3B7C">
        <w:rPr>
          <w:rFonts w:eastAsia="Times New Roman"/>
          <w:b/>
          <w:bCs/>
          <w:szCs w:val="24"/>
        </w:rPr>
        <w:t>.</w:t>
      </w:r>
      <w:r w:rsidRPr="00FC3B7C">
        <w:rPr>
          <w:rFonts w:eastAsia="Times New Roman"/>
          <w:szCs w:val="24"/>
        </w:rPr>
        <w:t xml:space="preserve"> Zdroje získává SP i v pasivních složkách SP (dávkami, je podporována kupní síla obyvatelstva a tím je agregátní poptávka a celková ekonomická situace ve společnosti ovlivněna).</w:t>
      </w:r>
    </w:p>
    <w:p w14:paraId="4A6F4D1E" w14:textId="333F5E83" w:rsidR="00CE6695" w:rsidRPr="00FC3B7C" w:rsidRDefault="00CE6695" w:rsidP="0070178B">
      <w:pPr>
        <w:rPr>
          <w:sz w:val="20"/>
          <w:szCs w:val="20"/>
        </w:rPr>
      </w:pPr>
      <w:r w:rsidRPr="00FC3B7C">
        <w:rPr>
          <w:rFonts w:eastAsia="Times New Roman"/>
          <w:b/>
          <w:bCs/>
          <w:szCs w:val="24"/>
        </w:rPr>
        <w:t xml:space="preserve">Čím ovlivňuje hospodářská politika sociální politiku: </w:t>
      </w:r>
      <w:r w:rsidRPr="00FC3B7C">
        <w:rPr>
          <w:rFonts w:eastAsia="Times New Roman"/>
          <w:szCs w:val="24"/>
        </w:rPr>
        <w:t xml:space="preserve">soustavou daní, úvěrových </w:t>
      </w:r>
      <w:r w:rsidR="00C34A74">
        <w:rPr>
          <w:rFonts w:eastAsia="Times New Roman"/>
          <w:szCs w:val="24"/>
        </w:rPr>
        <w:br/>
      </w:r>
      <w:r w:rsidRPr="00FC3B7C">
        <w:rPr>
          <w:rFonts w:eastAsia="Times New Roman"/>
          <w:szCs w:val="24"/>
        </w:rPr>
        <w:t>a</w:t>
      </w:r>
      <w:r w:rsidRPr="00FC3B7C">
        <w:rPr>
          <w:rFonts w:eastAsia="Times New Roman"/>
          <w:b/>
          <w:bCs/>
          <w:szCs w:val="24"/>
        </w:rPr>
        <w:t xml:space="preserve"> </w:t>
      </w:r>
      <w:r w:rsidRPr="00FC3B7C">
        <w:rPr>
          <w:rFonts w:eastAsia="Times New Roman"/>
          <w:szCs w:val="24"/>
        </w:rPr>
        <w:t xml:space="preserve">úrokových sazeb ovlivňujících činnosti ekonomických </w:t>
      </w:r>
      <w:r w:rsidR="00124942" w:rsidRPr="00FC3B7C">
        <w:rPr>
          <w:rFonts w:eastAsia="Times New Roman"/>
          <w:szCs w:val="24"/>
        </w:rPr>
        <w:t>subjektů, rozdělováním</w:t>
      </w:r>
      <w:r w:rsidRPr="00FC3B7C">
        <w:rPr>
          <w:rFonts w:eastAsia="Times New Roman"/>
          <w:szCs w:val="24"/>
        </w:rPr>
        <w:t xml:space="preserve"> zdrojů ze státního rozpočtu (množství finančních prostředků na sociální politiku)</w:t>
      </w:r>
      <w:r w:rsidRPr="00FC3B7C">
        <w:rPr>
          <w:rFonts w:eastAsia="Times New Roman"/>
          <w:b/>
          <w:bCs/>
          <w:szCs w:val="24"/>
        </w:rPr>
        <w:t>,</w:t>
      </w:r>
      <w:r w:rsidRPr="00FC3B7C">
        <w:rPr>
          <w:rFonts w:eastAsia="Times New Roman"/>
          <w:szCs w:val="24"/>
        </w:rPr>
        <w:t xml:space="preserve"> soustavou daňových úlev, strukturální politikou (podporuje různé regiony, ve kterých je např. velká nezaměstnanost).</w:t>
      </w:r>
    </w:p>
    <w:p w14:paraId="47D1A37D" w14:textId="53DCBF05" w:rsidR="00873C2F" w:rsidRDefault="00CE6695" w:rsidP="0070178B">
      <w:pPr>
        <w:rPr>
          <w:rFonts w:eastAsia="Times New Roman"/>
          <w:szCs w:val="24"/>
        </w:rPr>
      </w:pPr>
      <w:r w:rsidRPr="00FC3B7C">
        <w:rPr>
          <w:rFonts w:eastAsia="Times New Roman"/>
          <w:b/>
          <w:bCs/>
          <w:szCs w:val="24"/>
        </w:rPr>
        <w:t xml:space="preserve">Čím ovlivňuje sociální politika hospodářskou politiku: </w:t>
      </w:r>
      <w:r w:rsidRPr="00FC3B7C">
        <w:rPr>
          <w:rFonts w:eastAsia="Times New Roman"/>
          <w:szCs w:val="24"/>
        </w:rPr>
        <w:t>kvantitou a kvalitou pracovních sil</w:t>
      </w:r>
      <w:r w:rsidRPr="00FC3B7C">
        <w:rPr>
          <w:rFonts w:eastAsia="Times New Roman"/>
          <w:b/>
          <w:bCs/>
          <w:szCs w:val="24"/>
        </w:rPr>
        <w:t xml:space="preserve"> </w:t>
      </w:r>
      <w:r w:rsidRPr="00FC3B7C">
        <w:rPr>
          <w:rFonts w:eastAsia="Times New Roman"/>
          <w:szCs w:val="24"/>
        </w:rPr>
        <w:t>k dispozici</w:t>
      </w:r>
      <w:r w:rsidRPr="00FC3B7C">
        <w:rPr>
          <w:rFonts w:eastAsia="Times New Roman"/>
          <w:b/>
          <w:bCs/>
          <w:szCs w:val="24"/>
        </w:rPr>
        <w:t>,</w:t>
      </w:r>
      <w:r w:rsidRPr="00FC3B7C">
        <w:rPr>
          <w:rFonts w:eastAsia="Times New Roman"/>
          <w:szCs w:val="24"/>
        </w:rPr>
        <w:t xml:space="preserve"> podmínkami zaměstnávání pracovníků (stanovení hranice oddechu, věku na</w:t>
      </w:r>
      <w:bookmarkStart w:id="399" w:name="page411"/>
      <w:bookmarkEnd w:id="399"/>
      <w:r w:rsidR="00B800D1">
        <w:rPr>
          <w:sz w:val="20"/>
          <w:szCs w:val="20"/>
        </w:rPr>
        <w:t xml:space="preserve"> </w:t>
      </w:r>
      <w:r w:rsidRPr="00FC3B7C">
        <w:rPr>
          <w:rFonts w:eastAsia="Times New Roman"/>
          <w:szCs w:val="24"/>
        </w:rPr>
        <w:t>důchod, rozsahem pracovní doby atd.)</w:t>
      </w:r>
      <w:r w:rsidRPr="00FC3B7C">
        <w:rPr>
          <w:rFonts w:eastAsia="Times New Roman"/>
          <w:b/>
          <w:bCs/>
          <w:szCs w:val="24"/>
        </w:rPr>
        <w:t>,</w:t>
      </w:r>
      <w:r w:rsidRPr="00FC3B7C">
        <w:rPr>
          <w:rFonts w:eastAsia="Times New Roman"/>
          <w:szCs w:val="24"/>
        </w:rPr>
        <w:t xml:space="preserve"> stanovením podmínek odvodů z mezd na sociální a zdravotní pojištění u zaměstnanců i zaměstnavatelů.</w:t>
      </w:r>
      <w:bookmarkStart w:id="400" w:name="page412"/>
      <w:bookmarkEnd w:id="400"/>
    </w:p>
    <w:p w14:paraId="5699112F" w14:textId="77777777" w:rsidR="00244BB9" w:rsidRDefault="00244BB9" w:rsidP="0070178B">
      <w:pPr>
        <w:rPr>
          <w:rFonts w:eastAsia="Times New Roman"/>
          <w:szCs w:val="24"/>
        </w:rPr>
      </w:pPr>
    </w:p>
    <w:p w14:paraId="6FC1559A" w14:textId="01F82AEB" w:rsidR="00873C2F" w:rsidRPr="00244BB9" w:rsidRDefault="00873C2F" w:rsidP="00873C2F">
      <w:pPr>
        <w:jc w:val="left"/>
        <w:rPr>
          <w:rFonts w:eastAsia="Times New Roman" w:cstheme="majorBidi"/>
          <w:b/>
          <w:color w:val="1F3864" w:themeColor="accent1" w:themeShade="80"/>
          <w:sz w:val="28"/>
          <w:szCs w:val="24"/>
          <w:u w:val="single"/>
        </w:rPr>
      </w:pPr>
      <w:r w:rsidRPr="00244BB9">
        <w:rPr>
          <w:rFonts w:eastAsia="Times New Roman" w:cstheme="majorBidi"/>
          <w:b/>
          <w:color w:val="1F3864" w:themeColor="accent1" w:themeShade="80"/>
          <w:sz w:val="28"/>
          <w:szCs w:val="24"/>
          <w:u w:val="single"/>
        </w:rPr>
        <w:t xml:space="preserve">Otázky na procvičení: </w:t>
      </w:r>
    </w:p>
    <w:p w14:paraId="31DF3CA5" w14:textId="77777777" w:rsidR="00873C2F" w:rsidRPr="00244BB9" w:rsidRDefault="00873C2F" w:rsidP="00873C2F">
      <w:pPr>
        <w:jc w:val="left"/>
        <w:rPr>
          <w:rFonts w:cstheme="minorHAnsi"/>
          <w:szCs w:val="24"/>
          <w:shd w:val="clear" w:color="auto" w:fill="FFFFFF"/>
        </w:rPr>
      </w:pPr>
      <w:r w:rsidRPr="00244BB9">
        <w:rPr>
          <w:rFonts w:cstheme="minorHAnsi"/>
          <w:szCs w:val="24"/>
          <w:shd w:val="clear" w:color="auto" w:fill="FFFFFF"/>
        </w:rPr>
        <w:t>1. Vysvětlete důvody přerozdělování jako významnou funkci sociální politiky státu.</w:t>
      </w:r>
      <w:r w:rsidRPr="00244BB9">
        <w:rPr>
          <w:rFonts w:cstheme="minorHAnsi"/>
          <w:szCs w:val="24"/>
        </w:rPr>
        <w:br/>
      </w:r>
      <w:r w:rsidRPr="00244BB9">
        <w:rPr>
          <w:rFonts w:cstheme="minorHAnsi"/>
          <w:szCs w:val="24"/>
          <w:shd w:val="clear" w:color="auto" w:fill="FFFFFF"/>
        </w:rPr>
        <w:t>2. Jaký je vzájemný vztah sociální a hospodářské politiky?</w:t>
      </w:r>
      <w:r w:rsidRPr="00244BB9">
        <w:rPr>
          <w:rFonts w:cstheme="minorHAnsi"/>
          <w:szCs w:val="24"/>
        </w:rPr>
        <w:br/>
      </w:r>
      <w:r w:rsidRPr="00244BB9">
        <w:rPr>
          <w:rFonts w:cstheme="minorHAnsi"/>
          <w:szCs w:val="24"/>
          <w:shd w:val="clear" w:color="auto" w:fill="FFFFFF"/>
        </w:rPr>
        <w:t>3. Na čem závisí míra redistribuce ve společnosti?</w:t>
      </w:r>
      <w:r w:rsidRPr="00244BB9">
        <w:rPr>
          <w:rFonts w:cstheme="minorHAnsi"/>
          <w:szCs w:val="24"/>
        </w:rPr>
        <w:br/>
      </w:r>
      <w:r w:rsidRPr="00244BB9">
        <w:rPr>
          <w:rFonts w:cstheme="minorHAnsi"/>
          <w:szCs w:val="24"/>
          <w:shd w:val="clear" w:color="auto" w:fill="FFFFFF"/>
        </w:rPr>
        <w:t>4. Uveďte výhody a nevýhody vysoké a nízké míry přerozdělování.</w:t>
      </w:r>
      <w:r w:rsidRPr="00244BB9">
        <w:rPr>
          <w:rFonts w:cstheme="minorHAnsi"/>
          <w:szCs w:val="24"/>
        </w:rPr>
        <w:br/>
      </w:r>
      <w:r w:rsidRPr="00244BB9">
        <w:rPr>
          <w:rFonts w:cstheme="minorHAnsi"/>
          <w:szCs w:val="24"/>
          <w:shd w:val="clear" w:color="auto" w:fill="FFFFFF"/>
        </w:rPr>
        <w:t>5. Na jakých principech stojí sociální politika?</w:t>
      </w:r>
      <w:r w:rsidRPr="00244BB9">
        <w:rPr>
          <w:rFonts w:cstheme="minorHAnsi"/>
          <w:szCs w:val="24"/>
        </w:rPr>
        <w:br/>
      </w:r>
      <w:r w:rsidRPr="00244BB9">
        <w:rPr>
          <w:rFonts w:cstheme="minorHAnsi"/>
          <w:szCs w:val="24"/>
          <w:shd w:val="clear" w:color="auto" w:fill="FFFFFF"/>
        </w:rPr>
        <w:t>6. Jaké znáte modely sociální politiky?</w:t>
      </w:r>
      <w:r w:rsidRPr="00244BB9">
        <w:rPr>
          <w:rFonts w:cstheme="minorHAnsi"/>
          <w:szCs w:val="24"/>
        </w:rPr>
        <w:br/>
      </w:r>
      <w:r w:rsidRPr="00244BB9">
        <w:rPr>
          <w:rFonts w:cstheme="minorHAnsi"/>
          <w:szCs w:val="24"/>
          <w:shd w:val="clear" w:color="auto" w:fill="FFFFFF"/>
        </w:rPr>
        <w:t>7. Jak můžeme měřit chudobu?</w:t>
      </w:r>
      <w:r w:rsidRPr="00244BB9">
        <w:rPr>
          <w:rFonts w:cstheme="minorHAnsi"/>
          <w:szCs w:val="24"/>
        </w:rPr>
        <w:br/>
      </w:r>
      <w:r w:rsidRPr="00244BB9">
        <w:rPr>
          <w:rFonts w:cstheme="minorHAnsi"/>
          <w:szCs w:val="24"/>
          <w:shd w:val="clear" w:color="auto" w:fill="FFFFFF"/>
        </w:rPr>
        <w:t>8. Jaký je stávající penzijní systém v ČR a proč je nutné ho reformovat?</w:t>
      </w:r>
      <w:r w:rsidRPr="00244BB9">
        <w:rPr>
          <w:rFonts w:cstheme="minorHAnsi"/>
          <w:szCs w:val="24"/>
        </w:rPr>
        <w:br/>
      </w:r>
      <w:r w:rsidRPr="00244BB9">
        <w:rPr>
          <w:rFonts w:cstheme="minorHAnsi"/>
          <w:szCs w:val="24"/>
          <w:shd w:val="clear" w:color="auto" w:fill="FFFFFF"/>
        </w:rPr>
        <w:t>9. Co vše zahrnuje sociální zabezpečení?</w:t>
      </w:r>
      <w:r w:rsidRPr="00244BB9">
        <w:rPr>
          <w:rFonts w:cstheme="minorHAnsi"/>
          <w:szCs w:val="24"/>
        </w:rPr>
        <w:br/>
      </w:r>
      <w:r w:rsidRPr="00244BB9">
        <w:rPr>
          <w:rFonts w:cstheme="minorHAnsi"/>
          <w:szCs w:val="24"/>
          <w:shd w:val="clear" w:color="auto" w:fill="FFFFFF"/>
        </w:rPr>
        <w:t>10. Charakterizujte systém sociálního pojištění v ČR.</w:t>
      </w:r>
      <w:r w:rsidRPr="00244BB9">
        <w:rPr>
          <w:rFonts w:cstheme="minorHAnsi"/>
          <w:szCs w:val="24"/>
        </w:rPr>
        <w:br/>
      </w:r>
      <w:r w:rsidRPr="00244BB9">
        <w:rPr>
          <w:rFonts w:cstheme="minorHAnsi"/>
          <w:szCs w:val="24"/>
          <w:shd w:val="clear" w:color="auto" w:fill="FFFFFF"/>
        </w:rPr>
        <w:lastRenderedPageBreak/>
        <w:t>11. Uveďte příklady testovaných a netestovaných dávek státní sociální podpory v ČR.</w:t>
      </w:r>
      <w:r w:rsidRPr="00244BB9">
        <w:rPr>
          <w:rFonts w:cstheme="minorHAnsi"/>
          <w:szCs w:val="24"/>
        </w:rPr>
        <w:br/>
      </w:r>
      <w:r w:rsidRPr="00244BB9">
        <w:rPr>
          <w:rFonts w:cstheme="minorHAnsi"/>
          <w:szCs w:val="24"/>
          <w:shd w:val="clear" w:color="auto" w:fill="FFFFFF"/>
        </w:rPr>
        <w:t>12. Na co se vztahuje sociální pomoc v ČR v případě vážné sociální nouze?</w:t>
      </w:r>
    </w:p>
    <w:p w14:paraId="4A6F4D2F" w14:textId="77777777" w:rsidR="00CE6695" w:rsidRPr="00FC3B7C" w:rsidRDefault="00CE6695" w:rsidP="00CE6695">
      <w:pPr>
        <w:spacing w:line="240" w:lineRule="auto"/>
        <w:rPr>
          <w:rFonts w:eastAsia="Times New Roman"/>
          <w:b/>
          <w:bCs/>
          <w:sz w:val="28"/>
          <w:szCs w:val="28"/>
        </w:rPr>
      </w:pPr>
    </w:p>
    <w:p w14:paraId="4A6F4D30" w14:textId="77777777" w:rsidR="00CE6695" w:rsidRPr="00FC3B7C" w:rsidRDefault="00CE6695" w:rsidP="00CE6695">
      <w:pPr>
        <w:spacing w:line="240" w:lineRule="auto"/>
        <w:rPr>
          <w:rFonts w:eastAsia="Times New Roman"/>
          <w:b/>
          <w:bCs/>
          <w:sz w:val="28"/>
          <w:szCs w:val="28"/>
        </w:rPr>
      </w:pPr>
    </w:p>
    <w:p w14:paraId="4A6F4D31" w14:textId="77777777" w:rsidR="00CE6695" w:rsidRPr="00FC3B7C" w:rsidRDefault="00CE6695" w:rsidP="00CE6695">
      <w:pPr>
        <w:spacing w:line="240" w:lineRule="auto"/>
        <w:rPr>
          <w:sz w:val="20"/>
          <w:szCs w:val="20"/>
        </w:rPr>
      </w:pPr>
      <w:r w:rsidRPr="00FC3B7C">
        <w:rPr>
          <w:rFonts w:eastAsia="Times New Roman"/>
          <w:b/>
          <w:bCs/>
          <w:sz w:val="28"/>
          <w:szCs w:val="28"/>
        </w:rPr>
        <w:t>Zdroje:</w:t>
      </w:r>
    </w:p>
    <w:p w14:paraId="4A6F4D32" w14:textId="77777777" w:rsidR="00CE6695" w:rsidRPr="00FC3B7C" w:rsidRDefault="00CE6695" w:rsidP="00CE6695">
      <w:pPr>
        <w:spacing w:line="200" w:lineRule="exact"/>
        <w:rPr>
          <w:sz w:val="20"/>
          <w:szCs w:val="20"/>
        </w:rPr>
      </w:pPr>
    </w:p>
    <w:p w14:paraId="4A6F4D33" w14:textId="77777777" w:rsidR="00CE6695" w:rsidRPr="00FC3B7C" w:rsidRDefault="00CE6695" w:rsidP="00CE6695">
      <w:pPr>
        <w:spacing w:line="214" w:lineRule="exact"/>
        <w:rPr>
          <w:sz w:val="20"/>
          <w:szCs w:val="20"/>
        </w:rPr>
      </w:pPr>
    </w:p>
    <w:p w14:paraId="4A6F4D34" w14:textId="36818AEB" w:rsidR="00CE6695" w:rsidRPr="00FC3B7C" w:rsidRDefault="00124942" w:rsidP="0070178B">
      <w:pPr>
        <w:spacing w:line="276" w:lineRule="auto"/>
        <w:ind w:left="280" w:right="200"/>
        <w:rPr>
          <w:sz w:val="20"/>
          <w:szCs w:val="20"/>
        </w:rPr>
      </w:pPr>
      <w:r w:rsidRPr="00124942">
        <w:rPr>
          <w:rFonts w:eastAsia="Times New Roman"/>
          <w:szCs w:val="24"/>
        </w:rPr>
        <w:t xml:space="preserve">VOSTROVSKÁ Z., akol., Skripta ke státní zkoušce ze studijního oboru Národní hospodářství, sebrané referáty z kurzu 5HP324 </w:t>
      </w:r>
      <w:r>
        <w:rPr>
          <w:rFonts w:eastAsia="Times New Roman"/>
          <w:szCs w:val="24"/>
        </w:rPr>
        <w:t>2014</w:t>
      </w:r>
    </w:p>
    <w:p w14:paraId="4A6F4D35" w14:textId="77777777" w:rsidR="00CE6695" w:rsidRPr="00FC3B7C" w:rsidRDefault="00CE6695" w:rsidP="0070178B">
      <w:pPr>
        <w:spacing w:line="276" w:lineRule="auto"/>
        <w:rPr>
          <w:sz w:val="20"/>
          <w:szCs w:val="20"/>
        </w:rPr>
      </w:pPr>
    </w:p>
    <w:p w14:paraId="4A6F4D36" w14:textId="77777777" w:rsidR="00CE6695" w:rsidRPr="00FC3B7C" w:rsidRDefault="00CE6695" w:rsidP="0070178B">
      <w:pPr>
        <w:spacing w:line="276" w:lineRule="auto"/>
        <w:ind w:left="280" w:right="20"/>
        <w:rPr>
          <w:sz w:val="20"/>
          <w:szCs w:val="20"/>
        </w:rPr>
      </w:pPr>
      <w:r w:rsidRPr="00FC3B7C">
        <w:rPr>
          <w:rFonts w:eastAsia="Times New Roman"/>
          <w:szCs w:val="24"/>
        </w:rPr>
        <w:t>KREBS, V. a kol. Sociální politika. 5. vydání. Praha: Wolters Kluwer ČR, 2010. ISBN 978-80-7357-585-4.</w:t>
      </w:r>
    </w:p>
    <w:p w14:paraId="4A6F4D37" w14:textId="77777777" w:rsidR="00CE6695" w:rsidRPr="00FC3B7C" w:rsidRDefault="00CE6695" w:rsidP="0070178B">
      <w:pPr>
        <w:spacing w:line="276" w:lineRule="auto"/>
        <w:ind w:left="280" w:right="20"/>
        <w:rPr>
          <w:sz w:val="20"/>
          <w:szCs w:val="20"/>
        </w:rPr>
      </w:pPr>
      <w:r w:rsidRPr="00FC3B7C">
        <w:rPr>
          <w:rFonts w:eastAsia="Times New Roman"/>
          <w:szCs w:val="24"/>
        </w:rPr>
        <w:t>POTŮČEK, M. Sociální politika. Praha: Sociologické nakladatelství, 1995. ISBN 80-85850-01-X.</w:t>
      </w:r>
    </w:p>
    <w:p w14:paraId="4A6F4D38" w14:textId="77777777" w:rsidR="00CE6695" w:rsidRPr="00FC3B7C" w:rsidRDefault="00CE6695" w:rsidP="0070178B">
      <w:pPr>
        <w:spacing w:line="276" w:lineRule="auto"/>
        <w:rPr>
          <w:sz w:val="20"/>
          <w:szCs w:val="20"/>
        </w:rPr>
      </w:pPr>
    </w:p>
    <w:p w14:paraId="4A6F4D39" w14:textId="77777777" w:rsidR="00CE6695" w:rsidRPr="00FC3B7C" w:rsidRDefault="00CE6695" w:rsidP="0070178B">
      <w:pPr>
        <w:spacing w:line="276" w:lineRule="auto"/>
        <w:ind w:left="280"/>
        <w:rPr>
          <w:sz w:val="20"/>
          <w:szCs w:val="20"/>
        </w:rPr>
      </w:pPr>
      <w:r w:rsidRPr="00FC3B7C">
        <w:rPr>
          <w:rFonts w:eastAsia="Times New Roman"/>
          <w:szCs w:val="24"/>
        </w:rPr>
        <w:t>Penzijní reforma: II. pilíř a změny ve III. pilíři. Ekonom. 2013, č. 15.</w:t>
      </w:r>
    </w:p>
    <w:p w14:paraId="4A6F4D3A" w14:textId="77777777" w:rsidR="00CE6695" w:rsidRPr="00FC3B7C" w:rsidRDefault="00CE6695" w:rsidP="0070178B">
      <w:pPr>
        <w:spacing w:line="276" w:lineRule="auto"/>
        <w:rPr>
          <w:sz w:val="20"/>
          <w:szCs w:val="20"/>
        </w:rPr>
      </w:pPr>
    </w:p>
    <w:p w14:paraId="4A6F4D3B" w14:textId="77777777" w:rsidR="00CE6695" w:rsidRPr="00FC3B7C" w:rsidRDefault="00CE6695" w:rsidP="0070178B">
      <w:pPr>
        <w:spacing w:line="276" w:lineRule="auto"/>
        <w:ind w:left="280"/>
        <w:rPr>
          <w:sz w:val="20"/>
          <w:szCs w:val="20"/>
        </w:rPr>
      </w:pPr>
      <w:r w:rsidRPr="00FC3B7C">
        <w:rPr>
          <w:rFonts w:eastAsia="Times New Roman"/>
          <w:szCs w:val="24"/>
        </w:rPr>
        <w:t>Přednášky z předmětu 5HP200 - Úvod do hospodářské a sociální politiky, ZS 2013/2014.</w:t>
      </w:r>
    </w:p>
    <w:p w14:paraId="4A6F4D3C" w14:textId="77777777" w:rsidR="00CE6695" w:rsidRPr="00FC3B7C" w:rsidRDefault="00CE6695" w:rsidP="0070178B">
      <w:pPr>
        <w:spacing w:line="276" w:lineRule="auto"/>
        <w:rPr>
          <w:sz w:val="20"/>
          <w:szCs w:val="20"/>
        </w:rPr>
      </w:pPr>
    </w:p>
    <w:p w14:paraId="4A6F4D3D" w14:textId="77777777" w:rsidR="00CE6695" w:rsidRPr="00FC3B7C" w:rsidRDefault="00CE6695" w:rsidP="0070178B">
      <w:pPr>
        <w:spacing w:line="276" w:lineRule="auto"/>
        <w:ind w:left="280"/>
        <w:rPr>
          <w:sz w:val="20"/>
          <w:szCs w:val="20"/>
        </w:rPr>
      </w:pPr>
      <w:r w:rsidRPr="00FC3B7C">
        <w:rPr>
          <w:rFonts w:eastAsia="Times New Roman"/>
          <w:szCs w:val="24"/>
        </w:rPr>
        <w:t>Přednášky z předmětu 5HP201 - Sociální politika, LS 2013/2014.</w:t>
      </w:r>
    </w:p>
    <w:p w14:paraId="4A6F4D3E" w14:textId="77777777" w:rsidR="00CE6695" w:rsidRPr="00FC3B7C" w:rsidRDefault="00CE6695" w:rsidP="0070178B">
      <w:pPr>
        <w:spacing w:line="276" w:lineRule="auto"/>
        <w:rPr>
          <w:sz w:val="20"/>
          <w:szCs w:val="20"/>
        </w:rPr>
      </w:pPr>
    </w:p>
    <w:p w14:paraId="4A6F4D3F" w14:textId="77777777" w:rsidR="00CE6695" w:rsidRPr="00FC3B7C" w:rsidRDefault="00CE6695" w:rsidP="0070178B">
      <w:pPr>
        <w:spacing w:line="276" w:lineRule="auto"/>
        <w:ind w:left="280"/>
        <w:rPr>
          <w:sz w:val="20"/>
          <w:szCs w:val="20"/>
        </w:rPr>
      </w:pPr>
      <w:r w:rsidRPr="00FC3B7C">
        <w:rPr>
          <w:rFonts w:eastAsia="Times New Roman"/>
          <w:szCs w:val="24"/>
        </w:rPr>
        <w:t>Přednášky z předmětu 5HP301 - Sociální a zdravotní systém, ZS 2013/2014.</w:t>
      </w:r>
    </w:p>
    <w:p w14:paraId="4A6F4D40" w14:textId="77777777" w:rsidR="00CE6695" w:rsidRPr="00FC3B7C" w:rsidRDefault="00CE6695" w:rsidP="0070178B">
      <w:pPr>
        <w:spacing w:line="276" w:lineRule="auto"/>
        <w:rPr>
          <w:sz w:val="20"/>
          <w:szCs w:val="20"/>
        </w:rPr>
      </w:pPr>
    </w:p>
    <w:p w14:paraId="4A6F4D41" w14:textId="77777777" w:rsidR="00CE6695" w:rsidRPr="00FC3B7C" w:rsidRDefault="00CE6695" w:rsidP="0070178B">
      <w:pPr>
        <w:spacing w:line="276" w:lineRule="auto"/>
        <w:ind w:left="280"/>
        <w:rPr>
          <w:sz w:val="20"/>
          <w:szCs w:val="20"/>
        </w:rPr>
      </w:pPr>
      <w:r w:rsidRPr="00FC3B7C">
        <w:rPr>
          <w:rFonts w:eastAsia="Times New Roman"/>
          <w:szCs w:val="24"/>
        </w:rPr>
        <w:t xml:space="preserve">Sazba pojistného. </w:t>
      </w:r>
      <w:r w:rsidRPr="00FC3B7C">
        <w:rPr>
          <w:rFonts w:eastAsia="Times New Roman"/>
          <w:i/>
          <w:iCs/>
          <w:szCs w:val="24"/>
        </w:rPr>
        <w:t>Česká správa sociálního zabezpečení</w:t>
      </w:r>
      <w:r w:rsidRPr="00FC3B7C">
        <w:rPr>
          <w:rFonts w:eastAsia="Times New Roman"/>
          <w:szCs w:val="24"/>
        </w:rPr>
        <w:t xml:space="preserve"> [online]. 2015 [cit. 2016-04-06].</w:t>
      </w:r>
    </w:p>
    <w:p w14:paraId="4A6F4D42" w14:textId="77777777" w:rsidR="00CE6695" w:rsidRPr="00FC3B7C" w:rsidRDefault="00CE6695" w:rsidP="0070178B">
      <w:pPr>
        <w:spacing w:line="276" w:lineRule="auto"/>
        <w:rPr>
          <w:sz w:val="20"/>
          <w:szCs w:val="20"/>
        </w:rPr>
      </w:pPr>
    </w:p>
    <w:p w14:paraId="4A6F4D43" w14:textId="77777777" w:rsidR="00CE6695" w:rsidRPr="00FC3B7C" w:rsidRDefault="00CE6695" w:rsidP="0070178B">
      <w:pPr>
        <w:spacing w:line="276" w:lineRule="auto"/>
        <w:ind w:left="280"/>
        <w:rPr>
          <w:sz w:val="20"/>
          <w:szCs w:val="20"/>
        </w:rPr>
      </w:pPr>
      <w:r w:rsidRPr="00FC3B7C">
        <w:rPr>
          <w:rFonts w:eastAsia="Times New Roman"/>
          <w:szCs w:val="24"/>
        </w:rPr>
        <w:t xml:space="preserve">Dostupné z: </w:t>
      </w:r>
      <w:r w:rsidRPr="00FC3B7C">
        <w:rPr>
          <w:rFonts w:eastAsia="Times New Roman"/>
          <w:color w:val="0563C1"/>
          <w:szCs w:val="24"/>
          <w:u w:val="single"/>
        </w:rPr>
        <w:t>http://www.cssz.cz/cz/pojistne-na-socialni-zabezpeceni/vyse-a-platba-pojistneho/sazba-pojistneho.htm</w:t>
      </w:r>
      <w:r w:rsidRPr="00FC3B7C">
        <w:rPr>
          <w:rFonts w:eastAsia="Times New Roman"/>
          <w:color w:val="000000"/>
          <w:szCs w:val="24"/>
        </w:rPr>
        <w:t>.</w:t>
      </w:r>
    </w:p>
    <w:p w14:paraId="4A6F4D44" w14:textId="77777777" w:rsidR="00CE6695" w:rsidRPr="00FC3B7C" w:rsidRDefault="00CE6695" w:rsidP="0070178B">
      <w:pPr>
        <w:tabs>
          <w:tab w:val="left" w:pos="1380"/>
          <w:tab w:val="left" w:pos="2620"/>
          <w:tab w:val="left" w:pos="3840"/>
          <w:tab w:val="left" w:pos="5080"/>
          <w:tab w:val="left" w:pos="5880"/>
          <w:tab w:val="left" w:pos="7560"/>
          <w:tab w:val="left" w:pos="8880"/>
        </w:tabs>
        <w:spacing w:line="276" w:lineRule="auto"/>
        <w:ind w:left="280"/>
        <w:rPr>
          <w:sz w:val="20"/>
          <w:szCs w:val="20"/>
        </w:rPr>
      </w:pPr>
      <w:r w:rsidRPr="00FC3B7C">
        <w:rPr>
          <w:rFonts w:eastAsia="Times New Roman"/>
          <w:szCs w:val="24"/>
        </w:rPr>
        <w:t>MPSV.</w:t>
      </w:r>
      <w:r w:rsidRPr="00FC3B7C">
        <w:rPr>
          <w:sz w:val="20"/>
          <w:szCs w:val="20"/>
        </w:rPr>
        <w:tab/>
      </w:r>
      <w:r w:rsidRPr="00FC3B7C">
        <w:rPr>
          <w:rFonts w:eastAsia="Times New Roman"/>
          <w:szCs w:val="24"/>
        </w:rPr>
        <w:t>Starobní</w:t>
      </w:r>
      <w:r w:rsidRPr="00FC3B7C">
        <w:rPr>
          <w:sz w:val="20"/>
          <w:szCs w:val="20"/>
        </w:rPr>
        <w:tab/>
      </w:r>
      <w:r w:rsidRPr="00FC3B7C">
        <w:rPr>
          <w:rFonts w:eastAsia="Times New Roman"/>
          <w:szCs w:val="24"/>
        </w:rPr>
        <w:t>důchody</w:t>
      </w:r>
      <w:r w:rsidRPr="00FC3B7C">
        <w:rPr>
          <w:sz w:val="20"/>
          <w:szCs w:val="20"/>
        </w:rPr>
        <w:tab/>
      </w:r>
      <w:r w:rsidRPr="00FC3B7C">
        <w:rPr>
          <w:rFonts w:eastAsia="Times New Roman"/>
          <w:szCs w:val="24"/>
        </w:rPr>
        <w:t>[online].</w:t>
      </w:r>
      <w:r w:rsidRPr="00FC3B7C">
        <w:rPr>
          <w:sz w:val="20"/>
          <w:szCs w:val="20"/>
        </w:rPr>
        <w:tab/>
      </w:r>
      <w:r w:rsidRPr="00FC3B7C">
        <w:rPr>
          <w:rFonts w:eastAsia="Times New Roman"/>
          <w:szCs w:val="24"/>
        </w:rPr>
        <w:t>[cit.</w:t>
      </w:r>
      <w:r w:rsidRPr="00FC3B7C">
        <w:rPr>
          <w:sz w:val="20"/>
          <w:szCs w:val="20"/>
        </w:rPr>
        <w:tab/>
      </w:r>
      <w:r w:rsidRPr="00FC3B7C">
        <w:rPr>
          <w:rFonts w:eastAsia="Times New Roman"/>
          <w:szCs w:val="24"/>
        </w:rPr>
        <w:t>2013-05-12].</w:t>
      </w:r>
      <w:r w:rsidRPr="00FC3B7C">
        <w:rPr>
          <w:sz w:val="20"/>
          <w:szCs w:val="20"/>
        </w:rPr>
        <w:tab/>
      </w:r>
      <w:r w:rsidRPr="00FC3B7C">
        <w:rPr>
          <w:rFonts w:eastAsia="Times New Roman"/>
          <w:szCs w:val="24"/>
        </w:rPr>
        <w:t>Dostupné</w:t>
      </w:r>
      <w:r w:rsidRPr="00FC3B7C">
        <w:rPr>
          <w:sz w:val="20"/>
          <w:szCs w:val="20"/>
        </w:rPr>
        <w:tab/>
      </w:r>
      <w:r w:rsidRPr="00FC3B7C">
        <w:rPr>
          <w:rFonts w:eastAsia="Times New Roman"/>
          <w:szCs w:val="24"/>
        </w:rPr>
        <w:t>z:</w:t>
      </w:r>
    </w:p>
    <w:p w14:paraId="4A6F4D45" w14:textId="77777777" w:rsidR="00CE6695" w:rsidRPr="00FC3B7C" w:rsidRDefault="00CE6695" w:rsidP="0070178B">
      <w:pPr>
        <w:spacing w:line="276" w:lineRule="auto"/>
        <w:rPr>
          <w:sz w:val="20"/>
          <w:szCs w:val="20"/>
        </w:rPr>
      </w:pPr>
    </w:p>
    <w:p w14:paraId="4A6F4D46" w14:textId="77777777" w:rsidR="00CE6695" w:rsidRPr="00FC3B7C" w:rsidRDefault="00CE6695" w:rsidP="0070178B">
      <w:pPr>
        <w:spacing w:line="276" w:lineRule="auto"/>
        <w:ind w:left="280"/>
        <w:rPr>
          <w:sz w:val="20"/>
          <w:szCs w:val="20"/>
        </w:rPr>
      </w:pPr>
      <w:r w:rsidRPr="00FC3B7C">
        <w:rPr>
          <w:rFonts w:eastAsia="Times New Roman"/>
          <w:szCs w:val="24"/>
        </w:rPr>
        <w:t>http://www.mpsv.cz/cs/618.</w:t>
      </w:r>
    </w:p>
    <w:p w14:paraId="4A6F4D47" w14:textId="77777777" w:rsidR="00CE6695" w:rsidRPr="00FC3B7C" w:rsidRDefault="00CE6695" w:rsidP="0070178B">
      <w:pPr>
        <w:spacing w:line="276" w:lineRule="auto"/>
        <w:rPr>
          <w:sz w:val="20"/>
          <w:szCs w:val="20"/>
        </w:rPr>
      </w:pPr>
    </w:p>
    <w:p w14:paraId="4A6F4D48" w14:textId="77777777" w:rsidR="00CE6695" w:rsidRPr="00FC3B7C" w:rsidRDefault="00CE6695" w:rsidP="0070178B">
      <w:pPr>
        <w:tabs>
          <w:tab w:val="left" w:pos="1260"/>
          <w:tab w:val="left" w:pos="2340"/>
          <w:tab w:val="left" w:pos="3460"/>
          <w:tab w:val="left" w:pos="4580"/>
          <w:tab w:val="left" w:pos="5460"/>
          <w:tab w:val="left" w:pos="6120"/>
          <w:tab w:val="left" w:pos="7680"/>
          <w:tab w:val="left" w:pos="8880"/>
        </w:tabs>
        <w:spacing w:line="276" w:lineRule="auto"/>
        <w:ind w:left="280"/>
        <w:rPr>
          <w:sz w:val="20"/>
          <w:szCs w:val="20"/>
        </w:rPr>
      </w:pPr>
      <w:r w:rsidRPr="00FC3B7C">
        <w:rPr>
          <w:rFonts w:eastAsia="Times New Roman"/>
          <w:szCs w:val="24"/>
        </w:rPr>
        <w:t>MPSV.</w:t>
      </w:r>
      <w:r w:rsidRPr="00FC3B7C">
        <w:rPr>
          <w:rFonts w:eastAsia="Times New Roman"/>
          <w:szCs w:val="24"/>
        </w:rPr>
        <w:tab/>
        <w:t>Sociální</w:t>
      </w:r>
      <w:r w:rsidRPr="00FC3B7C">
        <w:rPr>
          <w:rFonts w:eastAsia="Times New Roman"/>
          <w:szCs w:val="24"/>
        </w:rPr>
        <w:tab/>
        <w:t>pojištění</w:t>
      </w:r>
      <w:r w:rsidRPr="00FC3B7C">
        <w:rPr>
          <w:rFonts w:eastAsia="Times New Roman"/>
          <w:szCs w:val="24"/>
        </w:rPr>
        <w:tab/>
        <w:t>[online].</w:t>
      </w:r>
      <w:r w:rsidRPr="00FC3B7C">
        <w:rPr>
          <w:sz w:val="20"/>
          <w:szCs w:val="20"/>
        </w:rPr>
        <w:tab/>
      </w:r>
      <w:r w:rsidRPr="00FC3B7C">
        <w:rPr>
          <w:rFonts w:eastAsia="Times New Roman"/>
          <w:szCs w:val="24"/>
        </w:rPr>
        <w:t>2013a</w:t>
      </w:r>
      <w:r w:rsidRPr="00FC3B7C">
        <w:rPr>
          <w:sz w:val="20"/>
          <w:szCs w:val="20"/>
        </w:rPr>
        <w:tab/>
      </w:r>
      <w:r w:rsidRPr="00FC3B7C">
        <w:rPr>
          <w:rFonts w:eastAsia="Times New Roman"/>
          <w:szCs w:val="24"/>
        </w:rPr>
        <w:t>[cit.</w:t>
      </w:r>
      <w:r w:rsidRPr="00FC3B7C">
        <w:rPr>
          <w:rFonts w:eastAsia="Times New Roman"/>
          <w:szCs w:val="24"/>
        </w:rPr>
        <w:tab/>
        <w:t>2013-05-12].</w:t>
      </w:r>
      <w:r w:rsidRPr="00FC3B7C">
        <w:rPr>
          <w:sz w:val="20"/>
          <w:szCs w:val="20"/>
        </w:rPr>
        <w:tab/>
      </w:r>
      <w:r w:rsidRPr="00FC3B7C">
        <w:rPr>
          <w:rFonts w:eastAsia="Times New Roman"/>
          <w:szCs w:val="24"/>
        </w:rPr>
        <w:t>Dostupné</w:t>
      </w:r>
      <w:r w:rsidRPr="00FC3B7C">
        <w:rPr>
          <w:rFonts w:eastAsia="Times New Roman"/>
          <w:szCs w:val="24"/>
        </w:rPr>
        <w:tab/>
        <w:t>z:</w:t>
      </w:r>
    </w:p>
    <w:p w14:paraId="4A6F4D49" w14:textId="77777777" w:rsidR="00CE6695" w:rsidRPr="00FC3B7C" w:rsidRDefault="00CE6695" w:rsidP="0070178B">
      <w:pPr>
        <w:spacing w:line="276" w:lineRule="auto"/>
        <w:rPr>
          <w:sz w:val="20"/>
          <w:szCs w:val="20"/>
        </w:rPr>
      </w:pPr>
    </w:p>
    <w:p w14:paraId="4A6F4D4A" w14:textId="77777777" w:rsidR="00CE6695" w:rsidRPr="00FC3B7C" w:rsidRDefault="00CE6695" w:rsidP="0070178B">
      <w:pPr>
        <w:spacing w:line="276" w:lineRule="auto"/>
        <w:ind w:left="280"/>
        <w:rPr>
          <w:sz w:val="20"/>
          <w:szCs w:val="20"/>
        </w:rPr>
      </w:pPr>
      <w:r w:rsidRPr="00FC3B7C">
        <w:rPr>
          <w:rFonts w:eastAsia="Times New Roman"/>
          <w:szCs w:val="24"/>
        </w:rPr>
        <w:t>http://www.mpsv.cz/cs/1349.</w:t>
      </w:r>
    </w:p>
    <w:p w14:paraId="4A6F4D4B" w14:textId="77777777" w:rsidR="00CE6695" w:rsidRPr="00FC3B7C" w:rsidRDefault="00CE6695" w:rsidP="0070178B">
      <w:pPr>
        <w:spacing w:line="276" w:lineRule="auto"/>
        <w:rPr>
          <w:sz w:val="20"/>
          <w:szCs w:val="20"/>
        </w:rPr>
      </w:pPr>
    </w:p>
    <w:p w14:paraId="4A6F4D4C" w14:textId="77777777" w:rsidR="00CE6695" w:rsidRPr="00FC3B7C" w:rsidRDefault="00CE6695" w:rsidP="0070178B">
      <w:pPr>
        <w:spacing w:line="276" w:lineRule="auto"/>
        <w:ind w:left="280"/>
        <w:rPr>
          <w:sz w:val="20"/>
          <w:szCs w:val="20"/>
        </w:rPr>
      </w:pPr>
      <w:r w:rsidRPr="00FC3B7C">
        <w:rPr>
          <w:rFonts w:eastAsia="Times New Roman"/>
          <w:szCs w:val="24"/>
        </w:rPr>
        <w:t>MPSV. Důchodové pojištění: http://www.mpsv.cz/cs/3.</w:t>
      </w:r>
    </w:p>
    <w:p w14:paraId="4A6F4D4D" w14:textId="77777777" w:rsidR="00CE6695" w:rsidRPr="00FC3B7C" w:rsidRDefault="00CE6695" w:rsidP="0070178B">
      <w:pPr>
        <w:spacing w:line="276" w:lineRule="auto"/>
        <w:rPr>
          <w:sz w:val="20"/>
          <w:szCs w:val="20"/>
        </w:rPr>
      </w:pPr>
    </w:p>
    <w:p w14:paraId="4A6F4D4E" w14:textId="77777777" w:rsidR="00CE6695" w:rsidRPr="00FC3B7C" w:rsidRDefault="00CE6695" w:rsidP="0070178B">
      <w:pPr>
        <w:spacing w:line="276" w:lineRule="auto"/>
        <w:ind w:left="280"/>
        <w:rPr>
          <w:sz w:val="20"/>
          <w:szCs w:val="20"/>
        </w:rPr>
      </w:pPr>
      <w:r w:rsidRPr="00FC3B7C">
        <w:rPr>
          <w:rFonts w:eastAsia="Times New Roman"/>
          <w:szCs w:val="24"/>
        </w:rPr>
        <w:t>MPSV. Nemocenské pojištění: http://www.mpsv.cz/cs/17.</w:t>
      </w:r>
    </w:p>
    <w:p w14:paraId="4A6F4D4F" w14:textId="77777777" w:rsidR="00CE6695" w:rsidRPr="00FC3B7C" w:rsidRDefault="00CE6695" w:rsidP="0070178B">
      <w:pPr>
        <w:spacing w:line="276" w:lineRule="auto"/>
        <w:rPr>
          <w:sz w:val="20"/>
          <w:szCs w:val="20"/>
        </w:rPr>
      </w:pPr>
    </w:p>
    <w:p w14:paraId="4A6F4D50" w14:textId="77777777" w:rsidR="00CE6695" w:rsidRPr="00FC3B7C" w:rsidRDefault="00CE6695" w:rsidP="0070178B">
      <w:pPr>
        <w:spacing w:line="276" w:lineRule="auto"/>
        <w:ind w:left="280"/>
        <w:rPr>
          <w:sz w:val="20"/>
          <w:szCs w:val="20"/>
        </w:rPr>
      </w:pPr>
      <w:r w:rsidRPr="00FC3B7C">
        <w:rPr>
          <w:rFonts w:eastAsia="Times New Roman"/>
          <w:szCs w:val="24"/>
        </w:rPr>
        <w:t>MPSV. Státní sociální podpora: http://www.mpsv.cz/cs/2.</w:t>
      </w:r>
    </w:p>
    <w:p w14:paraId="4A6F4D51" w14:textId="77777777" w:rsidR="00CE6695" w:rsidRPr="00FC3B7C" w:rsidRDefault="00CE6695" w:rsidP="0070178B">
      <w:pPr>
        <w:spacing w:line="276" w:lineRule="auto"/>
        <w:rPr>
          <w:sz w:val="20"/>
          <w:szCs w:val="20"/>
        </w:rPr>
      </w:pPr>
    </w:p>
    <w:p w14:paraId="4A6F4D52" w14:textId="77777777" w:rsidR="00CE6695" w:rsidRPr="00FC3B7C" w:rsidRDefault="00CE6695" w:rsidP="0070178B">
      <w:pPr>
        <w:spacing w:line="276" w:lineRule="auto"/>
        <w:ind w:left="280"/>
        <w:rPr>
          <w:sz w:val="20"/>
          <w:szCs w:val="20"/>
        </w:rPr>
      </w:pPr>
      <w:r w:rsidRPr="00FC3B7C">
        <w:rPr>
          <w:rFonts w:eastAsia="Times New Roman"/>
          <w:szCs w:val="24"/>
        </w:rPr>
        <w:t>MPSV. Pomoc v hmotné nouzi: http://www.mpsv.cz/cs/5.</w:t>
      </w:r>
    </w:p>
    <w:p w14:paraId="4A6F4D53" w14:textId="77777777" w:rsidR="00CE6695" w:rsidRPr="00FC3B7C" w:rsidRDefault="00CE6695" w:rsidP="0070178B">
      <w:pPr>
        <w:spacing w:line="276" w:lineRule="auto"/>
        <w:rPr>
          <w:sz w:val="20"/>
          <w:szCs w:val="20"/>
        </w:rPr>
      </w:pPr>
    </w:p>
    <w:p w14:paraId="4A6F4D54" w14:textId="77777777" w:rsidR="00CE6695" w:rsidRPr="00FC3B7C" w:rsidRDefault="00CE6695" w:rsidP="0070178B">
      <w:pPr>
        <w:spacing w:line="276" w:lineRule="auto"/>
        <w:ind w:left="280"/>
        <w:rPr>
          <w:rFonts w:eastAsia="Times New Roman"/>
          <w:szCs w:val="24"/>
        </w:rPr>
      </w:pPr>
      <w:r w:rsidRPr="00FC3B7C">
        <w:rPr>
          <w:rFonts w:eastAsia="Times New Roman"/>
          <w:szCs w:val="24"/>
        </w:rPr>
        <w:t xml:space="preserve">MPSV. Sociální reforma: </w:t>
      </w:r>
      <w:hyperlink r:id="rId122" w:history="1">
        <w:r w:rsidRPr="00FC3B7C">
          <w:rPr>
            <w:rStyle w:val="Hypertextovodkaz"/>
            <w:rFonts w:eastAsia="Times New Roman"/>
            <w:szCs w:val="24"/>
          </w:rPr>
          <w:t>http://socialnireforma.mpsv.cz/cs/</w:t>
        </w:r>
      </w:hyperlink>
      <w:r w:rsidRPr="00FC3B7C">
        <w:rPr>
          <w:rFonts w:eastAsia="Times New Roman"/>
          <w:szCs w:val="24"/>
        </w:rPr>
        <w:t>.</w:t>
      </w:r>
    </w:p>
    <w:p w14:paraId="141CED9C" w14:textId="77777777" w:rsidR="0070178B" w:rsidRPr="00FC3B7C" w:rsidRDefault="0070178B" w:rsidP="0070178B">
      <w:pPr>
        <w:rPr>
          <w:rFonts w:eastAsia="Times New Roman"/>
          <w:szCs w:val="24"/>
        </w:rPr>
      </w:pPr>
    </w:p>
    <w:p w14:paraId="4A6F4D5F" w14:textId="77777777" w:rsidR="00CE6695" w:rsidRPr="0070178B" w:rsidRDefault="00CE6695" w:rsidP="0070178B">
      <w:pPr>
        <w:pStyle w:val="Nadpis1"/>
        <w:ind w:left="0" w:hanging="7"/>
        <w:rPr>
          <w:color w:val="1F3864" w:themeColor="accent1" w:themeShade="80"/>
          <w:sz w:val="48"/>
        </w:rPr>
      </w:pPr>
      <w:bookmarkStart w:id="401" w:name="page452"/>
      <w:bookmarkStart w:id="402" w:name="_Toc54254090"/>
      <w:bookmarkEnd w:id="401"/>
      <w:r w:rsidRPr="0070178B">
        <w:rPr>
          <w:color w:val="1F3864" w:themeColor="accent1" w:themeShade="80"/>
        </w:rPr>
        <w:lastRenderedPageBreak/>
        <w:t>EKONOMICKÁ INTEGRACE</w:t>
      </w:r>
      <w:bookmarkEnd w:id="402"/>
    </w:p>
    <w:p w14:paraId="4A6F4D61" w14:textId="77777777" w:rsidR="00CE6695" w:rsidRPr="00244BB9" w:rsidRDefault="00CE6695" w:rsidP="00C34A74">
      <w:pPr>
        <w:pStyle w:val="Nadpis2"/>
        <w:rPr>
          <w:b w:val="0"/>
          <w:color w:val="1F3864" w:themeColor="accent1" w:themeShade="80"/>
          <w:sz w:val="20"/>
          <w:szCs w:val="20"/>
        </w:rPr>
      </w:pPr>
      <w:r w:rsidRPr="00244BB9">
        <w:rPr>
          <w:color w:val="1F3864" w:themeColor="accent1" w:themeShade="80"/>
        </w:rPr>
        <w:t>TYPY, FORMY A CÍLE EKONOMICKÉ INTEGRACE</w:t>
      </w:r>
    </w:p>
    <w:p w14:paraId="4A6F4D62" w14:textId="77777777" w:rsidR="00CE6695" w:rsidRPr="00FC3B7C" w:rsidRDefault="00CE6695" w:rsidP="0070178B">
      <w:pPr>
        <w:rPr>
          <w:sz w:val="20"/>
          <w:szCs w:val="20"/>
        </w:rPr>
      </w:pPr>
      <w:r w:rsidRPr="00FC3B7C">
        <w:rPr>
          <w:rFonts w:eastAsia="Times New Roman"/>
          <w:szCs w:val="24"/>
        </w:rPr>
        <w:t>Ekonomická integrace je podle J. Pelkmanse: „</w:t>
      </w:r>
      <w:r w:rsidRPr="00FC3B7C">
        <w:rPr>
          <w:rFonts w:eastAsia="Times New Roman"/>
          <w:b/>
          <w:bCs/>
          <w:szCs w:val="24"/>
        </w:rPr>
        <w:t>Odstranění ekonomických hranic mezi dvěma</w:t>
      </w:r>
      <w:r w:rsidRPr="00FC3B7C">
        <w:rPr>
          <w:rFonts w:eastAsia="Times New Roman"/>
          <w:szCs w:val="24"/>
        </w:rPr>
        <w:t xml:space="preserve"> </w:t>
      </w:r>
      <w:r w:rsidRPr="00FC3B7C">
        <w:rPr>
          <w:rFonts w:eastAsia="Times New Roman"/>
          <w:b/>
          <w:bCs/>
          <w:szCs w:val="24"/>
        </w:rPr>
        <w:t xml:space="preserve">nebo více ekonomikami </w:t>
      </w:r>
      <w:r w:rsidRPr="00FC3B7C">
        <w:rPr>
          <w:rFonts w:eastAsia="Times New Roman"/>
          <w:szCs w:val="24"/>
        </w:rPr>
        <w:t>(státy). Základní přínos ekonomické integrace: posílení skutečné nebo</w:t>
      </w:r>
      <w:r w:rsidRPr="00FC3B7C">
        <w:rPr>
          <w:rFonts w:eastAsia="Times New Roman"/>
          <w:b/>
          <w:bCs/>
          <w:szCs w:val="24"/>
        </w:rPr>
        <w:t xml:space="preserve"> </w:t>
      </w:r>
      <w:r w:rsidRPr="00FC3B7C">
        <w:rPr>
          <w:rFonts w:eastAsia="Times New Roman"/>
          <w:szCs w:val="24"/>
        </w:rPr>
        <w:t xml:space="preserve">potencionální konkurence a efektů, které z toho plynou. Musí jít o minimálně dvě země, které mezi sebou překonávají ekonomické hranice (cla, kvóty apod.). Při odstranění ekonomických hranic se zvětší ekonomický prostor, na který vstoupí </w:t>
      </w:r>
      <w:r w:rsidRPr="00FC3B7C">
        <w:rPr>
          <w:rFonts w:eastAsia="Times New Roman"/>
          <w:b/>
          <w:bCs/>
          <w:szCs w:val="24"/>
        </w:rPr>
        <w:t>mnohem více subjektů</w:t>
      </w:r>
      <w:r w:rsidRPr="00FC3B7C">
        <w:rPr>
          <w:rFonts w:eastAsia="Times New Roman"/>
          <w:szCs w:val="24"/>
        </w:rPr>
        <w:t xml:space="preserve"> </w:t>
      </w:r>
      <w:r w:rsidRPr="00FC3B7C">
        <w:rPr>
          <w:rFonts w:eastAsia="Times New Roman"/>
          <w:b/>
          <w:bCs/>
          <w:szCs w:val="24"/>
        </w:rPr>
        <w:t>a vznikne větší</w:t>
      </w:r>
      <w:r w:rsidRPr="00FC3B7C">
        <w:rPr>
          <w:rFonts w:eastAsia="Times New Roman"/>
          <w:szCs w:val="24"/>
        </w:rPr>
        <w:t xml:space="preserve"> </w:t>
      </w:r>
      <w:r w:rsidRPr="00FC3B7C">
        <w:rPr>
          <w:rFonts w:eastAsia="Times New Roman"/>
          <w:b/>
          <w:bCs/>
          <w:szCs w:val="24"/>
        </w:rPr>
        <w:t>konkurence</w:t>
      </w:r>
      <w:r w:rsidRPr="00FC3B7C">
        <w:rPr>
          <w:rFonts w:eastAsia="Times New Roman"/>
          <w:szCs w:val="24"/>
        </w:rPr>
        <w:t>.“</w:t>
      </w:r>
    </w:p>
    <w:p w14:paraId="4A6F4D65" w14:textId="4B6FFB1B" w:rsidR="00CE6695" w:rsidRPr="00FC3B7C" w:rsidRDefault="00CE6695" w:rsidP="0070178B">
      <w:pPr>
        <w:rPr>
          <w:sz w:val="20"/>
          <w:szCs w:val="20"/>
        </w:rPr>
      </w:pPr>
      <w:r w:rsidRPr="00FC3B7C">
        <w:rPr>
          <w:rFonts w:eastAsia="Times New Roman"/>
        </w:rPr>
        <w:t>Ballasa:</w:t>
      </w:r>
      <w:r w:rsidR="003376E1">
        <w:rPr>
          <w:rFonts w:eastAsia="Times New Roman"/>
        </w:rPr>
        <w:t xml:space="preserve"> </w:t>
      </w:r>
      <w:r w:rsidRPr="00627DAC">
        <w:rPr>
          <w:rFonts w:eastAsia="Times New Roman"/>
          <w:b/>
        </w:rPr>
        <w:t>„Proces,</w:t>
      </w:r>
      <w:r w:rsidR="003376E1">
        <w:rPr>
          <w:rFonts w:eastAsia="Times New Roman"/>
          <w:b/>
        </w:rPr>
        <w:t xml:space="preserve"> </w:t>
      </w:r>
      <w:r w:rsidRPr="00627DAC">
        <w:rPr>
          <w:rFonts w:eastAsia="Times New Roman"/>
          <w:b/>
        </w:rPr>
        <w:t>v němž</w:t>
      </w:r>
      <w:r w:rsidR="003376E1">
        <w:rPr>
          <w:rFonts w:eastAsia="Times New Roman"/>
          <w:b/>
        </w:rPr>
        <w:t xml:space="preserve"> </w:t>
      </w:r>
      <w:r w:rsidRPr="00627DAC">
        <w:rPr>
          <w:rFonts w:eastAsia="Times New Roman"/>
          <w:b/>
        </w:rPr>
        <w:t>se</w:t>
      </w:r>
      <w:r w:rsidR="003376E1">
        <w:rPr>
          <w:rFonts w:eastAsia="Times New Roman"/>
          <w:b/>
        </w:rPr>
        <w:t xml:space="preserve"> </w:t>
      </w:r>
      <w:r w:rsidRPr="00627DAC">
        <w:rPr>
          <w:rFonts w:eastAsia="Times New Roman"/>
          <w:b/>
        </w:rPr>
        <w:t>postupně</w:t>
      </w:r>
      <w:r w:rsidR="003376E1">
        <w:rPr>
          <w:rFonts w:eastAsia="Times New Roman"/>
          <w:b/>
        </w:rPr>
        <w:t xml:space="preserve"> </w:t>
      </w:r>
      <w:r w:rsidRPr="00627DAC">
        <w:rPr>
          <w:rFonts w:eastAsia="Times New Roman"/>
          <w:b/>
        </w:rPr>
        <w:t>propojí</w:t>
      </w:r>
      <w:r w:rsidR="003376E1">
        <w:rPr>
          <w:rFonts w:eastAsia="Times New Roman"/>
          <w:b/>
        </w:rPr>
        <w:t xml:space="preserve"> </w:t>
      </w:r>
      <w:r w:rsidRPr="00627DAC">
        <w:rPr>
          <w:rFonts w:eastAsia="Times New Roman"/>
          <w:b/>
        </w:rPr>
        <w:t>doposud</w:t>
      </w:r>
      <w:r w:rsidR="003376E1">
        <w:rPr>
          <w:rFonts w:eastAsia="Times New Roman"/>
          <w:b/>
        </w:rPr>
        <w:t xml:space="preserve"> </w:t>
      </w:r>
      <w:r w:rsidRPr="00627DAC">
        <w:rPr>
          <w:rFonts w:eastAsia="Times New Roman"/>
          <w:b/>
        </w:rPr>
        <w:t>oddělené</w:t>
      </w:r>
      <w:r w:rsidR="003376E1">
        <w:rPr>
          <w:rFonts w:eastAsia="Times New Roman"/>
          <w:b/>
        </w:rPr>
        <w:t xml:space="preserve"> </w:t>
      </w:r>
      <w:r w:rsidRPr="00627DAC">
        <w:rPr>
          <w:rFonts w:eastAsia="Times New Roman"/>
          <w:b/>
        </w:rPr>
        <w:t>národní</w:t>
      </w:r>
      <w:r w:rsidR="003376E1">
        <w:rPr>
          <w:rFonts w:eastAsia="Times New Roman"/>
          <w:b/>
        </w:rPr>
        <w:t xml:space="preserve"> </w:t>
      </w:r>
      <w:r w:rsidRPr="00627DAC">
        <w:rPr>
          <w:rFonts w:eastAsia="Times New Roman"/>
          <w:b/>
        </w:rPr>
        <w:t>trhy</w:t>
      </w:r>
      <w:r w:rsidRPr="00FC3B7C">
        <w:rPr>
          <w:rFonts w:eastAsia="Times New Roman"/>
        </w:rPr>
        <w:t>,</w:t>
      </w:r>
      <w:r w:rsidR="003376E1">
        <w:rPr>
          <w:rFonts w:eastAsia="Times New Roman"/>
        </w:rPr>
        <w:t xml:space="preserve"> </w:t>
      </w:r>
      <w:r w:rsidRPr="00FC3B7C">
        <w:rPr>
          <w:rFonts w:eastAsia="Times New Roman"/>
        </w:rPr>
        <w:t>což</w:t>
      </w:r>
      <w:r w:rsidR="001029BF">
        <w:rPr>
          <w:sz w:val="20"/>
          <w:szCs w:val="20"/>
        </w:rPr>
        <w:t xml:space="preserve"> </w:t>
      </w:r>
      <w:r w:rsidRPr="00FC3B7C">
        <w:rPr>
          <w:rFonts w:eastAsia="Times New Roman"/>
          <w:szCs w:val="24"/>
        </w:rPr>
        <w:t>předpokládá odstranění překážek (obchodních, ekonomických, daňových administrativních a</w:t>
      </w:r>
      <w:r w:rsidR="001029BF">
        <w:rPr>
          <w:sz w:val="20"/>
          <w:szCs w:val="20"/>
        </w:rPr>
        <w:t xml:space="preserve"> </w:t>
      </w:r>
      <w:r w:rsidRPr="00FC3B7C">
        <w:rPr>
          <w:rFonts w:eastAsia="Times New Roman"/>
          <w:szCs w:val="24"/>
        </w:rPr>
        <w:t>technických) mezi nejméně dvěma státy</w:t>
      </w:r>
      <w:r w:rsidR="001029BF">
        <w:rPr>
          <w:rFonts w:eastAsia="Times New Roman"/>
          <w:szCs w:val="24"/>
        </w:rPr>
        <w:t>.</w:t>
      </w:r>
      <w:r w:rsidRPr="00FC3B7C">
        <w:rPr>
          <w:rFonts w:eastAsia="Times New Roman"/>
          <w:szCs w:val="24"/>
        </w:rPr>
        <w:t>“</w:t>
      </w:r>
    </w:p>
    <w:p w14:paraId="20637AD0" w14:textId="77777777" w:rsidR="001029BF" w:rsidRDefault="001029BF" w:rsidP="00C34A74">
      <w:pPr>
        <w:rPr>
          <w:rFonts w:eastAsia="Times New Roman"/>
          <w:szCs w:val="24"/>
        </w:rPr>
      </w:pPr>
    </w:p>
    <w:p w14:paraId="4A6F4D66" w14:textId="7C2B337F" w:rsidR="00CE6695" w:rsidRPr="00FC3B7C" w:rsidRDefault="00CE6695" w:rsidP="00C34A74">
      <w:pPr>
        <w:rPr>
          <w:sz w:val="20"/>
          <w:szCs w:val="20"/>
        </w:rPr>
      </w:pPr>
      <w:r w:rsidRPr="00FC3B7C">
        <w:rPr>
          <w:rFonts w:eastAsia="Times New Roman"/>
          <w:szCs w:val="24"/>
        </w:rPr>
        <w:t>Přínosy:</w:t>
      </w:r>
    </w:p>
    <w:p w14:paraId="4A6F4D67" w14:textId="77777777" w:rsidR="00CE6695" w:rsidRPr="00FC3B7C" w:rsidRDefault="00CE6695" w:rsidP="00D46B53">
      <w:pPr>
        <w:numPr>
          <w:ilvl w:val="0"/>
          <w:numId w:val="380"/>
        </w:numPr>
        <w:tabs>
          <w:tab w:val="left" w:pos="720"/>
        </w:tabs>
        <w:ind w:left="720" w:hanging="364"/>
        <w:rPr>
          <w:rFonts w:eastAsia="Arial"/>
          <w:szCs w:val="24"/>
        </w:rPr>
      </w:pPr>
      <w:r w:rsidRPr="00FC3B7C">
        <w:rPr>
          <w:rFonts w:eastAsia="Times New Roman"/>
          <w:szCs w:val="24"/>
        </w:rPr>
        <w:t>Rozsáhlejší odbytiště; úspory z rozsahu, dělba práce</w:t>
      </w:r>
    </w:p>
    <w:p w14:paraId="4A6F4D68" w14:textId="77777777" w:rsidR="00CE6695" w:rsidRPr="00FC3B7C" w:rsidRDefault="00CE6695" w:rsidP="00D46B53">
      <w:pPr>
        <w:numPr>
          <w:ilvl w:val="0"/>
          <w:numId w:val="380"/>
        </w:numPr>
        <w:tabs>
          <w:tab w:val="left" w:pos="720"/>
        </w:tabs>
        <w:ind w:left="720" w:hanging="364"/>
        <w:rPr>
          <w:rFonts w:eastAsia="Arial"/>
          <w:szCs w:val="24"/>
        </w:rPr>
      </w:pPr>
      <w:r w:rsidRPr="00FC3B7C">
        <w:rPr>
          <w:rFonts w:eastAsia="Times New Roman"/>
          <w:szCs w:val="24"/>
        </w:rPr>
        <w:t>Efektivnější alokace zdrojů</w:t>
      </w:r>
    </w:p>
    <w:p w14:paraId="4A6F4D69" w14:textId="77777777" w:rsidR="00CE6695" w:rsidRPr="00FC3B7C" w:rsidRDefault="00CE6695" w:rsidP="00D46B53">
      <w:pPr>
        <w:numPr>
          <w:ilvl w:val="0"/>
          <w:numId w:val="380"/>
        </w:numPr>
        <w:tabs>
          <w:tab w:val="left" w:pos="720"/>
        </w:tabs>
        <w:ind w:left="720" w:hanging="364"/>
        <w:rPr>
          <w:rFonts w:eastAsia="Arial"/>
          <w:szCs w:val="24"/>
        </w:rPr>
      </w:pPr>
      <w:r w:rsidRPr="00FC3B7C">
        <w:rPr>
          <w:rFonts w:eastAsia="Times New Roman"/>
          <w:szCs w:val="24"/>
        </w:rPr>
        <w:t>Posilování konkurenčního prostředí</w:t>
      </w:r>
    </w:p>
    <w:p w14:paraId="4A6F4D6A" w14:textId="77777777" w:rsidR="00CE6695" w:rsidRPr="00FC3B7C" w:rsidRDefault="00CE6695" w:rsidP="00D46B53">
      <w:pPr>
        <w:numPr>
          <w:ilvl w:val="0"/>
          <w:numId w:val="380"/>
        </w:numPr>
        <w:tabs>
          <w:tab w:val="left" w:pos="720"/>
        </w:tabs>
        <w:ind w:left="720" w:hanging="364"/>
        <w:rPr>
          <w:rFonts w:eastAsia="Arial"/>
          <w:sz w:val="28"/>
          <w:szCs w:val="28"/>
        </w:rPr>
      </w:pPr>
      <w:r w:rsidRPr="00FC3B7C">
        <w:rPr>
          <w:rFonts w:eastAsia="Times New Roman"/>
          <w:szCs w:val="24"/>
        </w:rPr>
        <w:t>Liberalizace síťových odvětví, služeb</w:t>
      </w:r>
    </w:p>
    <w:p w14:paraId="4A6F4D6B" w14:textId="77777777" w:rsidR="00CE6695" w:rsidRPr="00FC3B7C" w:rsidRDefault="00CE6695" w:rsidP="00CE6695">
      <w:pPr>
        <w:tabs>
          <w:tab w:val="left" w:pos="720"/>
        </w:tabs>
        <w:rPr>
          <w:rFonts w:eastAsia="Arial"/>
          <w:sz w:val="28"/>
          <w:szCs w:val="28"/>
        </w:rPr>
      </w:pPr>
    </w:p>
    <w:p w14:paraId="4A6F4D6C" w14:textId="77777777" w:rsidR="00CE6695" w:rsidRPr="00FC3B7C" w:rsidRDefault="00CE6695" w:rsidP="00CE6695">
      <w:pPr>
        <w:spacing w:line="128" w:lineRule="exact"/>
        <w:rPr>
          <w:sz w:val="20"/>
          <w:szCs w:val="20"/>
        </w:rPr>
      </w:pPr>
    </w:p>
    <w:p w14:paraId="4A6F4D6D" w14:textId="76B99605" w:rsidR="00CE6695" w:rsidRPr="0070178B" w:rsidRDefault="0070178B" w:rsidP="00C34A74">
      <w:pPr>
        <w:pStyle w:val="Nadpis3"/>
        <w:rPr>
          <w:color w:val="1F3864" w:themeColor="accent1" w:themeShade="80"/>
          <w:sz w:val="20"/>
          <w:szCs w:val="20"/>
        </w:rPr>
      </w:pPr>
      <w:r w:rsidRPr="0070178B">
        <w:rPr>
          <w:rFonts w:eastAsia="Times New Roman"/>
          <w:color w:val="1F3864" w:themeColor="accent1" w:themeShade="80"/>
        </w:rPr>
        <w:t xml:space="preserve"> </w:t>
      </w:r>
      <w:r w:rsidR="00CE6695" w:rsidRPr="0070178B">
        <w:rPr>
          <w:rFonts w:eastAsia="Times New Roman"/>
          <w:color w:val="1F3864" w:themeColor="accent1" w:themeShade="80"/>
        </w:rPr>
        <w:t xml:space="preserve">Typy/procesy </w:t>
      </w:r>
      <w:r w:rsidR="00CE6695" w:rsidRPr="0070178B">
        <w:rPr>
          <w:color w:val="1F3864" w:themeColor="accent1" w:themeShade="80"/>
        </w:rPr>
        <w:t>ekonomické</w:t>
      </w:r>
      <w:r w:rsidR="00CE6695" w:rsidRPr="0070178B">
        <w:rPr>
          <w:rFonts w:eastAsia="Times New Roman"/>
          <w:color w:val="1F3864" w:themeColor="accent1" w:themeShade="80"/>
        </w:rPr>
        <w:t xml:space="preserve"> integrace</w:t>
      </w:r>
    </w:p>
    <w:p w14:paraId="4A6F4D6E" w14:textId="7066E735" w:rsidR="00CE6695" w:rsidRPr="00FC3B7C" w:rsidRDefault="004207B3" w:rsidP="00D46B53">
      <w:pPr>
        <w:numPr>
          <w:ilvl w:val="0"/>
          <w:numId w:val="381"/>
        </w:numPr>
        <w:tabs>
          <w:tab w:val="left" w:pos="1120"/>
        </w:tabs>
        <w:ind w:left="1120" w:hanging="364"/>
        <w:rPr>
          <w:rFonts w:eastAsia="Arial"/>
          <w:szCs w:val="24"/>
        </w:rPr>
      </w:pPr>
      <w:r>
        <w:rPr>
          <w:rFonts w:eastAsia="Times New Roman"/>
          <w:szCs w:val="24"/>
        </w:rPr>
        <w:t>D</w:t>
      </w:r>
      <w:r w:rsidR="00CE6695" w:rsidRPr="00FC3B7C">
        <w:rPr>
          <w:rFonts w:eastAsia="Times New Roman"/>
          <w:szCs w:val="24"/>
        </w:rPr>
        <w:t>ynamická a statická integrace</w:t>
      </w:r>
    </w:p>
    <w:p w14:paraId="4A6F4D6F" w14:textId="1D8900D7" w:rsidR="00CE6695" w:rsidRPr="00FC3B7C" w:rsidRDefault="004207B3" w:rsidP="00D46B53">
      <w:pPr>
        <w:numPr>
          <w:ilvl w:val="0"/>
          <w:numId w:val="381"/>
        </w:numPr>
        <w:tabs>
          <w:tab w:val="left" w:pos="1120"/>
        </w:tabs>
        <w:ind w:left="1120" w:hanging="364"/>
        <w:rPr>
          <w:rFonts w:eastAsia="Arial"/>
          <w:szCs w:val="24"/>
        </w:rPr>
      </w:pPr>
      <w:r>
        <w:rPr>
          <w:rFonts w:eastAsia="Times New Roman"/>
          <w:szCs w:val="24"/>
        </w:rPr>
        <w:t>N</w:t>
      </w:r>
      <w:r w:rsidR="00CE6695" w:rsidRPr="00FC3B7C">
        <w:rPr>
          <w:rFonts w:eastAsia="Times New Roman"/>
          <w:szCs w:val="24"/>
        </w:rPr>
        <w:t>egativní a pozitivní integrace</w:t>
      </w:r>
    </w:p>
    <w:p w14:paraId="4A6F4D70" w14:textId="7D0C8C19" w:rsidR="00CE6695" w:rsidRPr="00FC3B7C" w:rsidRDefault="004207B3" w:rsidP="00D46B53">
      <w:pPr>
        <w:numPr>
          <w:ilvl w:val="0"/>
          <w:numId w:val="381"/>
        </w:numPr>
        <w:tabs>
          <w:tab w:val="left" w:pos="1120"/>
        </w:tabs>
        <w:ind w:left="1120" w:hanging="364"/>
        <w:rPr>
          <w:rFonts w:eastAsia="Arial"/>
          <w:szCs w:val="24"/>
        </w:rPr>
      </w:pPr>
      <w:r>
        <w:rPr>
          <w:rFonts w:eastAsia="Times New Roman"/>
          <w:szCs w:val="24"/>
        </w:rPr>
        <w:t>L</w:t>
      </w:r>
      <w:r w:rsidR="00CE6695" w:rsidRPr="00FC3B7C">
        <w:rPr>
          <w:rFonts w:eastAsia="Times New Roman"/>
          <w:szCs w:val="24"/>
        </w:rPr>
        <w:t>iberalistický a dirigistický model</w:t>
      </w:r>
    </w:p>
    <w:p w14:paraId="4A6F4D71" w14:textId="4FB2143D" w:rsidR="00CE6695" w:rsidRPr="00FC3B7C" w:rsidRDefault="004207B3" w:rsidP="00D46B53">
      <w:pPr>
        <w:numPr>
          <w:ilvl w:val="0"/>
          <w:numId w:val="381"/>
        </w:numPr>
        <w:tabs>
          <w:tab w:val="left" w:pos="1120"/>
        </w:tabs>
        <w:ind w:left="1120" w:hanging="364"/>
        <w:rPr>
          <w:rFonts w:eastAsia="Arial"/>
          <w:szCs w:val="24"/>
        </w:rPr>
      </w:pPr>
      <w:r>
        <w:rPr>
          <w:rFonts w:eastAsia="Times New Roman"/>
          <w:szCs w:val="24"/>
        </w:rPr>
        <w:t>I</w:t>
      </w:r>
      <w:r w:rsidR="00CE6695" w:rsidRPr="00FC3B7C">
        <w:rPr>
          <w:rFonts w:eastAsia="Times New Roman"/>
          <w:szCs w:val="24"/>
        </w:rPr>
        <w:t>ntegrace trhů a integrace hospodářských politik</w:t>
      </w:r>
    </w:p>
    <w:p w14:paraId="4A6F4D72" w14:textId="2DE66514" w:rsidR="00CE6695" w:rsidRPr="00FC3B7C" w:rsidRDefault="004207B3" w:rsidP="00D46B53">
      <w:pPr>
        <w:numPr>
          <w:ilvl w:val="0"/>
          <w:numId w:val="381"/>
        </w:numPr>
        <w:tabs>
          <w:tab w:val="left" w:pos="1120"/>
        </w:tabs>
        <w:ind w:left="1120" w:hanging="364"/>
        <w:rPr>
          <w:rFonts w:eastAsia="Arial"/>
          <w:szCs w:val="24"/>
        </w:rPr>
      </w:pPr>
      <w:r>
        <w:rPr>
          <w:rFonts w:eastAsia="Times New Roman"/>
          <w:szCs w:val="24"/>
        </w:rPr>
        <w:t>S</w:t>
      </w:r>
      <w:r w:rsidR="00CE6695" w:rsidRPr="00FC3B7C">
        <w:rPr>
          <w:rFonts w:eastAsia="Times New Roman"/>
          <w:szCs w:val="24"/>
        </w:rPr>
        <w:t>ektorová integrace</w:t>
      </w:r>
    </w:p>
    <w:p w14:paraId="4A6F4D73" w14:textId="77777777" w:rsidR="00CE6695" w:rsidRPr="00FC3B7C" w:rsidRDefault="00CE6695" w:rsidP="00C34A74">
      <w:pPr>
        <w:rPr>
          <w:sz w:val="20"/>
          <w:szCs w:val="20"/>
        </w:rPr>
      </w:pPr>
    </w:p>
    <w:p w14:paraId="4A6F4D74" w14:textId="77777777" w:rsidR="00CE6695" w:rsidRPr="00FC3B7C" w:rsidRDefault="00CE6695" w:rsidP="00C34A74">
      <w:pPr>
        <w:ind w:right="360"/>
        <w:rPr>
          <w:sz w:val="20"/>
          <w:szCs w:val="20"/>
        </w:rPr>
      </w:pPr>
      <w:r w:rsidRPr="00FC3B7C">
        <w:rPr>
          <w:rFonts w:eastAsia="Times New Roman"/>
          <w:b/>
          <w:bCs/>
          <w:szCs w:val="24"/>
        </w:rPr>
        <w:t xml:space="preserve">Dynamická integrace </w:t>
      </w:r>
      <w:r w:rsidRPr="00FC3B7C">
        <w:rPr>
          <w:rFonts w:eastAsia="Times New Roman"/>
          <w:szCs w:val="24"/>
        </w:rPr>
        <w:t>– proces, při kterém dochází k postupnému odstraňování</w:t>
      </w:r>
      <w:r w:rsidRPr="00FC3B7C">
        <w:rPr>
          <w:rFonts w:eastAsia="Times New Roman"/>
          <w:b/>
          <w:bCs/>
          <w:szCs w:val="24"/>
        </w:rPr>
        <w:t xml:space="preserve"> </w:t>
      </w:r>
      <w:r w:rsidRPr="00FC3B7C">
        <w:rPr>
          <w:rFonts w:eastAsia="Times New Roman"/>
          <w:szCs w:val="24"/>
        </w:rPr>
        <w:t xml:space="preserve">ekonomických bariér mezi členskými státy, omezování vládního protekcionismu </w:t>
      </w:r>
      <w:r w:rsidR="00C34A74">
        <w:rPr>
          <w:rFonts w:eastAsia="Times New Roman"/>
          <w:szCs w:val="24"/>
        </w:rPr>
        <w:br/>
      </w:r>
      <w:r w:rsidRPr="00FC3B7C">
        <w:rPr>
          <w:rFonts w:eastAsia="Times New Roman"/>
          <w:szCs w:val="24"/>
        </w:rPr>
        <w:t>a doposud oddělené ekonomické jednotky se přeměňují v širší celek.</w:t>
      </w:r>
    </w:p>
    <w:p w14:paraId="4A6F4D75" w14:textId="77777777" w:rsidR="00CE6695" w:rsidRPr="00FC3B7C" w:rsidRDefault="00CE6695" w:rsidP="00C34A74">
      <w:pPr>
        <w:ind w:right="520"/>
        <w:rPr>
          <w:sz w:val="20"/>
          <w:szCs w:val="20"/>
        </w:rPr>
      </w:pPr>
      <w:r w:rsidRPr="00FC3B7C">
        <w:rPr>
          <w:rFonts w:eastAsia="Times New Roman"/>
          <w:b/>
          <w:bCs/>
          <w:szCs w:val="24"/>
        </w:rPr>
        <w:t xml:space="preserve">Statická integrace </w:t>
      </w:r>
      <w:r w:rsidRPr="00FC3B7C">
        <w:rPr>
          <w:rFonts w:eastAsia="Times New Roman"/>
          <w:szCs w:val="24"/>
        </w:rPr>
        <w:t>- situace, kdy jednotky národních ekonomik již</w:t>
      </w:r>
      <w:r w:rsidRPr="00FC3B7C">
        <w:rPr>
          <w:rFonts w:eastAsia="Times New Roman"/>
          <w:b/>
          <w:bCs/>
          <w:szCs w:val="24"/>
        </w:rPr>
        <w:t xml:space="preserve"> </w:t>
      </w:r>
      <w:r w:rsidRPr="00FC3B7C">
        <w:rPr>
          <w:rFonts w:eastAsia="Times New Roman"/>
          <w:szCs w:val="24"/>
        </w:rPr>
        <w:t>fungují společně</w:t>
      </w:r>
      <w:r w:rsidRPr="00FC3B7C">
        <w:rPr>
          <w:rFonts w:eastAsia="Times New Roman"/>
          <w:b/>
          <w:bCs/>
          <w:szCs w:val="24"/>
        </w:rPr>
        <w:t xml:space="preserve"> </w:t>
      </w:r>
      <w:r w:rsidRPr="00FC3B7C">
        <w:rPr>
          <w:rFonts w:eastAsia="Times New Roman"/>
          <w:szCs w:val="24"/>
        </w:rPr>
        <w:t>jako</w:t>
      </w:r>
      <w:r w:rsidRPr="00FC3B7C">
        <w:rPr>
          <w:rFonts w:eastAsia="Times New Roman"/>
          <w:b/>
          <w:bCs/>
          <w:szCs w:val="24"/>
        </w:rPr>
        <w:t xml:space="preserve"> </w:t>
      </w:r>
      <w:r w:rsidRPr="00FC3B7C">
        <w:rPr>
          <w:rFonts w:eastAsia="Times New Roman"/>
          <w:szCs w:val="24"/>
        </w:rPr>
        <w:t>jeden celek.</w:t>
      </w:r>
    </w:p>
    <w:p w14:paraId="4A6F4D76" w14:textId="77777777" w:rsidR="00CE6695" w:rsidRPr="00FC3B7C" w:rsidRDefault="00CE6695" w:rsidP="007F64D6">
      <w:pPr>
        <w:ind w:right="20"/>
        <w:rPr>
          <w:sz w:val="20"/>
          <w:szCs w:val="20"/>
        </w:rPr>
      </w:pPr>
      <w:bookmarkStart w:id="403" w:name="page414"/>
      <w:bookmarkEnd w:id="403"/>
      <w:r w:rsidRPr="00FC3B7C">
        <w:rPr>
          <w:rFonts w:eastAsia="Times New Roman"/>
          <w:b/>
          <w:bCs/>
          <w:szCs w:val="24"/>
        </w:rPr>
        <w:lastRenderedPageBreak/>
        <w:t xml:space="preserve">Negativní integrace </w:t>
      </w:r>
      <w:r w:rsidRPr="00FC3B7C">
        <w:rPr>
          <w:rFonts w:eastAsia="Times New Roman"/>
          <w:szCs w:val="24"/>
        </w:rPr>
        <w:t>- první fáze integrace; zaměřeno na odstranění vnějších bariér, odstranění</w:t>
      </w:r>
      <w:r w:rsidRPr="00FC3B7C">
        <w:rPr>
          <w:rFonts w:eastAsia="Times New Roman"/>
          <w:b/>
          <w:bCs/>
          <w:szCs w:val="24"/>
        </w:rPr>
        <w:t xml:space="preserve"> </w:t>
      </w:r>
      <w:r w:rsidRPr="00FC3B7C">
        <w:rPr>
          <w:rFonts w:eastAsia="Times New Roman"/>
          <w:szCs w:val="24"/>
        </w:rPr>
        <w:t>překážek obchodu (diskriminace) mezi zeměmi (cla, kvóty aj.). Liberalizace obchodu, nevyžadují se společné instituce.</w:t>
      </w:r>
    </w:p>
    <w:p w14:paraId="4A6F4D77" w14:textId="77777777" w:rsidR="00CE6695" w:rsidRPr="00FC3B7C" w:rsidRDefault="00CE6695" w:rsidP="007F64D6">
      <w:pPr>
        <w:rPr>
          <w:sz w:val="20"/>
          <w:szCs w:val="20"/>
        </w:rPr>
      </w:pPr>
      <w:r w:rsidRPr="00FC3B7C">
        <w:rPr>
          <w:rFonts w:eastAsia="Times New Roman"/>
          <w:b/>
          <w:bCs/>
          <w:szCs w:val="24"/>
        </w:rPr>
        <w:t xml:space="preserve">Pozitivní integrace </w:t>
      </w:r>
      <w:r w:rsidRPr="00FC3B7C">
        <w:rPr>
          <w:rFonts w:eastAsia="Times New Roman"/>
          <w:szCs w:val="24"/>
        </w:rPr>
        <w:t>- vyšší fáze integrace; vytváří se nové vzájemné vazby, hospodářská</w:t>
      </w:r>
      <w:r w:rsidRPr="00FC3B7C">
        <w:rPr>
          <w:rFonts w:eastAsia="Times New Roman"/>
          <w:b/>
          <w:bCs/>
          <w:szCs w:val="24"/>
        </w:rPr>
        <w:t xml:space="preserve"> </w:t>
      </w:r>
      <w:r w:rsidRPr="00FC3B7C">
        <w:rPr>
          <w:rFonts w:eastAsia="Times New Roman"/>
          <w:szCs w:val="24"/>
        </w:rPr>
        <w:t>propojenost jednotlivých zemí je nad rámcem přirozeného vývoje, určité pravomoci národního státu se přenášejí do rukou společného, nadnárodního orgánu.</w:t>
      </w:r>
    </w:p>
    <w:p w14:paraId="4A6F4D78" w14:textId="77777777" w:rsidR="00CE6695" w:rsidRPr="00FC3B7C" w:rsidRDefault="00CE6695" w:rsidP="007F64D6">
      <w:pPr>
        <w:rPr>
          <w:sz w:val="20"/>
          <w:szCs w:val="20"/>
        </w:rPr>
      </w:pPr>
      <w:r w:rsidRPr="00FC3B7C">
        <w:rPr>
          <w:rFonts w:eastAsia="Times New Roman"/>
          <w:b/>
          <w:bCs/>
          <w:szCs w:val="24"/>
        </w:rPr>
        <w:t xml:space="preserve">Liberalistický model </w:t>
      </w:r>
      <w:r w:rsidRPr="00FC3B7C">
        <w:rPr>
          <w:rFonts w:eastAsia="Times New Roman"/>
          <w:szCs w:val="24"/>
        </w:rPr>
        <w:t>- je založen na myšlence návratu k ideálům volného obchodu, podmínkou</w:t>
      </w:r>
      <w:r w:rsidRPr="00FC3B7C">
        <w:rPr>
          <w:rFonts w:eastAsia="Times New Roman"/>
          <w:b/>
          <w:bCs/>
          <w:szCs w:val="24"/>
        </w:rPr>
        <w:t xml:space="preserve"> </w:t>
      </w:r>
      <w:r w:rsidRPr="00FC3B7C">
        <w:rPr>
          <w:rFonts w:eastAsia="Times New Roman"/>
          <w:szCs w:val="24"/>
        </w:rPr>
        <w:t>je odstranění překážek volného pohybu zboží</w:t>
      </w:r>
    </w:p>
    <w:p w14:paraId="4A6F4D79" w14:textId="77777777" w:rsidR="00CE6695" w:rsidRPr="00FC3B7C" w:rsidRDefault="00CE6695" w:rsidP="007F64D6">
      <w:pPr>
        <w:rPr>
          <w:sz w:val="20"/>
          <w:szCs w:val="20"/>
        </w:rPr>
      </w:pPr>
      <w:r w:rsidRPr="00FC3B7C">
        <w:rPr>
          <w:rFonts w:eastAsia="Times New Roman"/>
          <w:b/>
          <w:bCs/>
          <w:szCs w:val="24"/>
        </w:rPr>
        <w:t xml:space="preserve">Dirigistický model </w:t>
      </w:r>
      <w:r w:rsidRPr="00FC3B7C">
        <w:rPr>
          <w:rFonts w:eastAsia="Times New Roman"/>
          <w:szCs w:val="24"/>
        </w:rPr>
        <w:t>- upřednostňuje mimotržní prostředky hospodářské koordinace, pomocí</w:t>
      </w:r>
      <w:r w:rsidRPr="00FC3B7C">
        <w:rPr>
          <w:rFonts w:eastAsia="Times New Roman"/>
          <w:b/>
          <w:bCs/>
          <w:szCs w:val="24"/>
        </w:rPr>
        <w:t xml:space="preserve"> </w:t>
      </w:r>
      <w:r w:rsidRPr="00FC3B7C">
        <w:rPr>
          <w:rFonts w:eastAsia="Times New Roman"/>
          <w:szCs w:val="24"/>
        </w:rPr>
        <w:t>administrativních kroků má být dosaženo sladění národních hospodářských plánů.</w:t>
      </w:r>
    </w:p>
    <w:p w14:paraId="4A6F4D7A" w14:textId="77777777" w:rsidR="00CE6695" w:rsidRPr="00FC3B7C" w:rsidRDefault="00CE6695" w:rsidP="007F64D6">
      <w:pPr>
        <w:ind w:right="3260"/>
        <w:rPr>
          <w:rFonts w:eastAsia="Times New Roman"/>
          <w:b/>
          <w:bCs/>
          <w:szCs w:val="24"/>
        </w:rPr>
        <w:sectPr w:rsidR="00CE6695" w:rsidRPr="00FC3B7C">
          <w:pgSz w:w="11900" w:h="16840"/>
          <w:pgMar w:top="1391" w:right="1380" w:bottom="1440" w:left="1420" w:header="0" w:footer="0" w:gutter="0"/>
          <w:cols w:space="708" w:equalWidth="0">
            <w:col w:w="9100"/>
          </w:cols>
        </w:sectPr>
      </w:pPr>
    </w:p>
    <w:p w14:paraId="4A6F4D7B" w14:textId="77777777" w:rsidR="00CE6695" w:rsidRPr="00FC3B7C" w:rsidRDefault="00CE6695" w:rsidP="007F64D6">
      <w:pPr>
        <w:ind w:right="3260"/>
        <w:rPr>
          <w:rFonts w:eastAsia="Times New Roman"/>
          <w:b/>
          <w:bCs/>
          <w:szCs w:val="24"/>
        </w:rPr>
        <w:sectPr w:rsidR="00CE6695" w:rsidRPr="00FC3B7C" w:rsidSect="00244780">
          <w:type w:val="continuous"/>
          <w:pgSz w:w="11900" w:h="16840"/>
          <w:pgMar w:top="1391" w:right="1380" w:bottom="1440" w:left="1420" w:header="0" w:footer="0" w:gutter="0"/>
          <w:cols w:space="708"/>
        </w:sectPr>
      </w:pPr>
      <w:r w:rsidRPr="00FC3B7C">
        <w:rPr>
          <w:rFonts w:eastAsia="Times New Roman"/>
          <w:b/>
          <w:bCs/>
          <w:szCs w:val="24"/>
        </w:rPr>
        <w:t xml:space="preserve">Integrace trhů </w:t>
      </w:r>
      <w:r w:rsidRPr="00FC3B7C">
        <w:rPr>
          <w:rFonts w:eastAsia="Times New Roman"/>
          <w:szCs w:val="24"/>
        </w:rPr>
        <w:t>- trhy zboží, p</w:t>
      </w:r>
      <w:r w:rsidR="007F64D6">
        <w:rPr>
          <w:rFonts w:eastAsia="Times New Roman"/>
          <w:szCs w:val="24"/>
        </w:rPr>
        <w:t>racovních sil, služeb a kapitál</w:t>
      </w:r>
    </w:p>
    <w:p w14:paraId="4A6F4D7C" w14:textId="77777777" w:rsidR="00CE6695" w:rsidRPr="00FC3B7C" w:rsidRDefault="00CE6695" w:rsidP="007F64D6">
      <w:pPr>
        <w:ind w:right="3260"/>
        <w:rPr>
          <w:rFonts w:eastAsia="Times New Roman"/>
          <w:b/>
          <w:bCs/>
          <w:szCs w:val="24"/>
        </w:rPr>
      </w:pPr>
    </w:p>
    <w:p w14:paraId="4A6F4D7D" w14:textId="77777777" w:rsidR="00CE6695" w:rsidRPr="00FC3B7C" w:rsidRDefault="00CE6695" w:rsidP="007F64D6">
      <w:pPr>
        <w:ind w:right="3260"/>
        <w:rPr>
          <w:sz w:val="20"/>
          <w:szCs w:val="20"/>
        </w:rPr>
      </w:pPr>
      <w:r w:rsidRPr="00FC3B7C">
        <w:rPr>
          <w:rFonts w:eastAsia="Times New Roman"/>
          <w:b/>
          <w:bCs/>
          <w:szCs w:val="24"/>
        </w:rPr>
        <w:t>Integrace hospodářské politiky</w:t>
      </w:r>
    </w:p>
    <w:p w14:paraId="4A6F4D7E" w14:textId="64D8B3EA" w:rsidR="00CE6695" w:rsidRPr="007F64D6" w:rsidRDefault="004207B3" w:rsidP="00D46B53">
      <w:pPr>
        <w:numPr>
          <w:ilvl w:val="0"/>
          <w:numId w:val="382"/>
        </w:numPr>
        <w:tabs>
          <w:tab w:val="left" w:pos="720"/>
        </w:tabs>
        <w:ind w:left="720" w:hanging="367"/>
        <w:rPr>
          <w:rFonts w:eastAsia="Arial"/>
          <w:szCs w:val="24"/>
        </w:rPr>
      </w:pPr>
      <w:r>
        <w:rPr>
          <w:rFonts w:eastAsia="Times New Roman"/>
          <w:szCs w:val="24"/>
        </w:rPr>
        <w:t>S</w:t>
      </w:r>
      <w:r w:rsidR="00CE6695" w:rsidRPr="00FC3B7C">
        <w:rPr>
          <w:rFonts w:eastAsia="Times New Roman"/>
          <w:szCs w:val="24"/>
        </w:rPr>
        <w:t>polupráce vlád zúčastněných zemí</w:t>
      </w:r>
    </w:p>
    <w:p w14:paraId="4A6F4D7F" w14:textId="51D609E6" w:rsidR="00CE6695" w:rsidRPr="007F64D6" w:rsidRDefault="004207B3" w:rsidP="00D46B53">
      <w:pPr>
        <w:numPr>
          <w:ilvl w:val="0"/>
          <w:numId w:val="382"/>
        </w:numPr>
        <w:tabs>
          <w:tab w:val="left" w:pos="720"/>
        </w:tabs>
        <w:ind w:left="720" w:hanging="367"/>
        <w:rPr>
          <w:rFonts w:eastAsia="Arial"/>
          <w:szCs w:val="24"/>
        </w:rPr>
      </w:pPr>
      <w:r>
        <w:rPr>
          <w:rFonts w:eastAsia="Times New Roman"/>
          <w:szCs w:val="24"/>
        </w:rPr>
        <w:t>V</w:t>
      </w:r>
      <w:r w:rsidR="00CE6695" w:rsidRPr="00FC3B7C">
        <w:rPr>
          <w:rFonts w:eastAsia="Times New Roman"/>
          <w:szCs w:val="24"/>
        </w:rPr>
        <w:t>ýměna zkušeností</w:t>
      </w:r>
    </w:p>
    <w:p w14:paraId="4A6F4D80" w14:textId="7C6684FC" w:rsidR="00CE6695" w:rsidRPr="007F64D6" w:rsidRDefault="004207B3" w:rsidP="00D46B53">
      <w:pPr>
        <w:numPr>
          <w:ilvl w:val="0"/>
          <w:numId w:val="382"/>
        </w:numPr>
        <w:tabs>
          <w:tab w:val="left" w:pos="720"/>
        </w:tabs>
        <w:ind w:left="720" w:hanging="367"/>
        <w:rPr>
          <w:rFonts w:eastAsia="Arial"/>
          <w:szCs w:val="24"/>
        </w:rPr>
      </w:pPr>
      <w:r>
        <w:rPr>
          <w:rFonts w:eastAsia="Times New Roman"/>
          <w:szCs w:val="24"/>
        </w:rPr>
        <w:t>S</w:t>
      </w:r>
      <w:r w:rsidR="00CE6695" w:rsidRPr="00FC3B7C">
        <w:rPr>
          <w:rFonts w:eastAsia="Times New Roman"/>
          <w:szCs w:val="24"/>
        </w:rPr>
        <w:t>polečný postup (uznávání diplomů)</w:t>
      </w:r>
    </w:p>
    <w:p w14:paraId="4A6F4D81" w14:textId="5A5EF673" w:rsidR="00CE6695" w:rsidRPr="007F64D6" w:rsidRDefault="004207B3" w:rsidP="00D46B53">
      <w:pPr>
        <w:numPr>
          <w:ilvl w:val="0"/>
          <w:numId w:val="382"/>
        </w:numPr>
        <w:tabs>
          <w:tab w:val="left" w:pos="720"/>
        </w:tabs>
        <w:ind w:left="720" w:hanging="367"/>
        <w:rPr>
          <w:rFonts w:eastAsia="Arial"/>
          <w:szCs w:val="24"/>
        </w:rPr>
      </w:pPr>
      <w:r>
        <w:rPr>
          <w:rFonts w:eastAsia="Times New Roman"/>
          <w:szCs w:val="24"/>
        </w:rPr>
        <w:t>S</w:t>
      </w:r>
      <w:r w:rsidR="00CE6695" w:rsidRPr="00FC3B7C">
        <w:rPr>
          <w:rFonts w:eastAsia="Times New Roman"/>
          <w:szCs w:val="24"/>
        </w:rPr>
        <w:t>polečná pravidla (pravidla hospodářské soutěže na vnitřním trhu)</w:t>
      </w:r>
    </w:p>
    <w:p w14:paraId="4A6F4D82" w14:textId="068E23E0" w:rsidR="00CE6695" w:rsidRPr="007F64D6" w:rsidRDefault="004207B3" w:rsidP="00D46B53">
      <w:pPr>
        <w:numPr>
          <w:ilvl w:val="0"/>
          <w:numId w:val="382"/>
        </w:numPr>
        <w:tabs>
          <w:tab w:val="left" w:pos="720"/>
        </w:tabs>
        <w:ind w:left="720" w:hanging="367"/>
        <w:rPr>
          <w:rFonts w:eastAsia="Arial"/>
          <w:szCs w:val="24"/>
        </w:rPr>
      </w:pPr>
      <w:r>
        <w:rPr>
          <w:rFonts w:eastAsia="Times New Roman"/>
          <w:szCs w:val="24"/>
        </w:rPr>
        <w:t>H</w:t>
      </w:r>
      <w:r w:rsidR="00CE6695" w:rsidRPr="00FC3B7C">
        <w:rPr>
          <w:rFonts w:eastAsia="Times New Roman"/>
          <w:szCs w:val="24"/>
        </w:rPr>
        <w:t>armonizace předpisů (zdravotní a bezpečnostní předpisy)</w:t>
      </w:r>
    </w:p>
    <w:p w14:paraId="4A6F4D83" w14:textId="0C734123" w:rsidR="00CE6695" w:rsidRPr="007F64D6" w:rsidRDefault="004207B3" w:rsidP="00D46B53">
      <w:pPr>
        <w:numPr>
          <w:ilvl w:val="0"/>
          <w:numId w:val="382"/>
        </w:numPr>
        <w:tabs>
          <w:tab w:val="left" w:pos="720"/>
        </w:tabs>
        <w:ind w:left="720" w:hanging="367"/>
        <w:rPr>
          <w:rFonts w:eastAsia="Arial"/>
          <w:szCs w:val="24"/>
        </w:rPr>
      </w:pPr>
      <w:r>
        <w:rPr>
          <w:rFonts w:eastAsia="Times New Roman"/>
          <w:b/>
          <w:bCs/>
          <w:szCs w:val="24"/>
        </w:rPr>
        <w:t>K</w:t>
      </w:r>
      <w:r w:rsidR="00CE6695" w:rsidRPr="00FC3B7C">
        <w:rPr>
          <w:rFonts w:eastAsia="Times New Roman"/>
          <w:b/>
          <w:bCs/>
          <w:szCs w:val="24"/>
        </w:rPr>
        <w:t>oordinace hospodářské politiky (fiskální)</w:t>
      </w:r>
    </w:p>
    <w:p w14:paraId="4A6F4D84" w14:textId="776A77AF" w:rsidR="00CE6695" w:rsidRPr="00FC3B7C" w:rsidRDefault="004207B3" w:rsidP="00D46B53">
      <w:pPr>
        <w:numPr>
          <w:ilvl w:val="0"/>
          <w:numId w:val="382"/>
        </w:numPr>
        <w:tabs>
          <w:tab w:val="left" w:pos="720"/>
        </w:tabs>
        <w:ind w:left="720" w:hanging="367"/>
        <w:rPr>
          <w:rFonts w:eastAsia="Arial"/>
          <w:szCs w:val="24"/>
        </w:rPr>
      </w:pPr>
      <w:r>
        <w:rPr>
          <w:rFonts w:eastAsia="Times New Roman"/>
          <w:szCs w:val="24"/>
        </w:rPr>
        <w:t>S</w:t>
      </w:r>
      <w:r w:rsidR="00CE6695" w:rsidRPr="00FC3B7C">
        <w:rPr>
          <w:rFonts w:eastAsia="Times New Roman"/>
          <w:szCs w:val="24"/>
        </w:rPr>
        <w:t>polečné politiky (obchodní, zemědělské a dopravní)</w:t>
      </w:r>
    </w:p>
    <w:p w14:paraId="4A6F4D85" w14:textId="77777777" w:rsidR="00CE6695" w:rsidRPr="00FC3B7C" w:rsidRDefault="00CE6695" w:rsidP="007F64D6">
      <w:pPr>
        <w:ind w:right="40"/>
        <w:rPr>
          <w:sz w:val="20"/>
          <w:szCs w:val="20"/>
        </w:rPr>
      </w:pPr>
      <w:r w:rsidRPr="00FC3B7C">
        <w:rPr>
          <w:rFonts w:eastAsia="Times New Roman"/>
          <w:b/>
          <w:bCs/>
          <w:szCs w:val="24"/>
        </w:rPr>
        <w:t xml:space="preserve">Sektorová integrace </w:t>
      </w:r>
      <w:r w:rsidRPr="00FC3B7C">
        <w:rPr>
          <w:rFonts w:eastAsia="Times New Roman"/>
          <w:szCs w:val="24"/>
        </w:rPr>
        <w:t>- soustředí se na propojení konkrétních odvětví hospodářství, tak tom</w:t>
      </w:r>
      <w:r w:rsidRPr="00FC3B7C">
        <w:rPr>
          <w:rFonts w:eastAsia="Times New Roman"/>
          <w:b/>
          <w:bCs/>
          <w:szCs w:val="24"/>
        </w:rPr>
        <w:t xml:space="preserve"> </w:t>
      </w:r>
      <w:r w:rsidRPr="00FC3B7C">
        <w:rPr>
          <w:rFonts w:eastAsia="Times New Roman"/>
          <w:szCs w:val="24"/>
        </w:rPr>
        <w:t>bylo například při založení ESUO v roce 1951.</w:t>
      </w:r>
    </w:p>
    <w:p w14:paraId="4A6F4D86" w14:textId="77777777" w:rsidR="00CE6695" w:rsidRPr="00FC3B7C" w:rsidRDefault="00CE6695" w:rsidP="00CE6695">
      <w:pPr>
        <w:spacing w:line="152" w:lineRule="exact"/>
        <w:rPr>
          <w:sz w:val="20"/>
          <w:szCs w:val="20"/>
        </w:rPr>
      </w:pPr>
    </w:p>
    <w:p w14:paraId="4A6F4D87" w14:textId="5079BC81" w:rsidR="00CE6695" w:rsidRPr="00244BB9" w:rsidRDefault="00873C2F" w:rsidP="00CE6695">
      <w:pPr>
        <w:pStyle w:val="Nadpis3"/>
        <w:rPr>
          <w:rFonts w:cs="Times New Roman"/>
          <w:color w:val="1F3864" w:themeColor="accent1" w:themeShade="80"/>
          <w:sz w:val="20"/>
          <w:szCs w:val="20"/>
        </w:rPr>
      </w:pPr>
      <w:r w:rsidRPr="00244BB9">
        <w:rPr>
          <w:rFonts w:eastAsia="Times New Roman" w:cs="Times New Roman"/>
          <w:color w:val="1F3864" w:themeColor="accent1" w:themeShade="80"/>
        </w:rPr>
        <w:t xml:space="preserve"> </w:t>
      </w:r>
      <w:r w:rsidR="00CE6695" w:rsidRPr="00244BB9">
        <w:rPr>
          <w:rFonts w:eastAsia="Times New Roman" w:cs="Times New Roman"/>
          <w:color w:val="1F3864" w:themeColor="accent1" w:themeShade="80"/>
        </w:rPr>
        <w:t>Formy ekonomické integrace:</w:t>
      </w:r>
    </w:p>
    <w:p w14:paraId="4A6F4D88" w14:textId="77777777" w:rsidR="00CE6695" w:rsidRPr="00FC3B7C" w:rsidRDefault="00CE6695" w:rsidP="007F64D6">
      <w:pPr>
        <w:rPr>
          <w:sz w:val="20"/>
          <w:szCs w:val="20"/>
        </w:rPr>
      </w:pPr>
      <w:r w:rsidRPr="00FC3B7C">
        <w:rPr>
          <w:rFonts w:eastAsia="Times New Roman"/>
          <w:szCs w:val="24"/>
        </w:rPr>
        <w:t>Formy integrace podle J. Tinbergena:</w:t>
      </w:r>
    </w:p>
    <w:p w14:paraId="4A6F4D89" w14:textId="6D0527B1" w:rsidR="00CE6695" w:rsidRPr="00FC3B7C" w:rsidRDefault="00FC4AAB" w:rsidP="00D46B53">
      <w:pPr>
        <w:numPr>
          <w:ilvl w:val="0"/>
          <w:numId w:val="383"/>
        </w:numPr>
        <w:tabs>
          <w:tab w:val="left" w:pos="700"/>
        </w:tabs>
        <w:ind w:left="700" w:right="100" w:hanging="355"/>
        <w:rPr>
          <w:rFonts w:eastAsia="Times New Roman"/>
          <w:szCs w:val="24"/>
        </w:rPr>
      </w:pPr>
      <w:r>
        <w:rPr>
          <w:rFonts w:eastAsia="Times New Roman"/>
          <w:b/>
          <w:bCs/>
          <w:szCs w:val="24"/>
        </w:rPr>
        <w:t>P</w:t>
      </w:r>
      <w:r w:rsidR="00CE6695" w:rsidRPr="00FC3B7C">
        <w:rPr>
          <w:rFonts w:eastAsia="Times New Roman"/>
          <w:b/>
          <w:bCs/>
          <w:szCs w:val="24"/>
        </w:rPr>
        <w:t xml:space="preserve">ozitivní integrace </w:t>
      </w:r>
      <w:r w:rsidR="00CE6695" w:rsidRPr="00FC3B7C">
        <w:rPr>
          <w:rFonts w:eastAsia="Times New Roman"/>
          <w:szCs w:val="24"/>
        </w:rPr>
        <w:t>- dochází k vytváření</w:t>
      </w:r>
      <w:r w:rsidR="00CE6695" w:rsidRPr="00FC3B7C">
        <w:rPr>
          <w:rFonts w:eastAsia="Times New Roman"/>
          <w:b/>
          <w:bCs/>
          <w:szCs w:val="24"/>
        </w:rPr>
        <w:t xml:space="preserve"> nadnárodního </w:t>
      </w:r>
      <w:r w:rsidR="00CE6695" w:rsidRPr="00FC3B7C">
        <w:rPr>
          <w:rFonts w:eastAsia="Times New Roman"/>
          <w:szCs w:val="24"/>
        </w:rPr>
        <w:t>(supranacionálního)</w:t>
      </w:r>
      <w:r w:rsidR="00CE6695" w:rsidRPr="00FC3B7C">
        <w:rPr>
          <w:rFonts w:eastAsia="Times New Roman"/>
          <w:b/>
          <w:bCs/>
          <w:szCs w:val="24"/>
        </w:rPr>
        <w:t xml:space="preserve"> institucionálního zázemí</w:t>
      </w:r>
      <w:r w:rsidR="00CE6695" w:rsidRPr="00FC3B7C">
        <w:rPr>
          <w:rFonts w:eastAsia="Times New Roman"/>
          <w:szCs w:val="24"/>
        </w:rPr>
        <w:t>, které je nadřazeno integrujícím se státům (EU v dnešní</w:t>
      </w:r>
      <w:r w:rsidR="00CE6695" w:rsidRPr="00FC3B7C">
        <w:rPr>
          <w:rFonts w:eastAsia="Times New Roman"/>
          <w:b/>
          <w:bCs/>
          <w:szCs w:val="24"/>
        </w:rPr>
        <w:t xml:space="preserve"> </w:t>
      </w:r>
      <w:r w:rsidR="00CE6695" w:rsidRPr="00FC3B7C">
        <w:rPr>
          <w:rFonts w:eastAsia="Times New Roman"/>
          <w:szCs w:val="24"/>
        </w:rPr>
        <w:t>podobě)</w:t>
      </w:r>
    </w:p>
    <w:p w14:paraId="4A6F4D8A" w14:textId="51318D58" w:rsidR="00CE6695" w:rsidRPr="00FC3B7C" w:rsidRDefault="00FC4AAB" w:rsidP="00D46B53">
      <w:pPr>
        <w:numPr>
          <w:ilvl w:val="0"/>
          <w:numId w:val="383"/>
        </w:numPr>
        <w:tabs>
          <w:tab w:val="left" w:pos="700"/>
        </w:tabs>
        <w:ind w:left="700" w:right="20" w:hanging="355"/>
        <w:rPr>
          <w:rFonts w:eastAsia="Times New Roman"/>
          <w:szCs w:val="24"/>
        </w:rPr>
      </w:pPr>
      <w:r>
        <w:rPr>
          <w:rFonts w:eastAsia="Times New Roman"/>
          <w:b/>
          <w:bCs/>
          <w:szCs w:val="24"/>
        </w:rPr>
        <w:t>N</w:t>
      </w:r>
      <w:r w:rsidR="00CE6695" w:rsidRPr="00FC3B7C">
        <w:rPr>
          <w:rFonts w:eastAsia="Times New Roman"/>
          <w:b/>
          <w:bCs/>
          <w:szCs w:val="24"/>
        </w:rPr>
        <w:t xml:space="preserve">egativní integrace </w:t>
      </w:r>
      <w:r w:rsidR="00CE6695" w:rsidRPr="00FC3B7C">
        <w:rPr>
          <w:rFonts w:eastAsia="Times New Roman"/>
          <w:szCs w:val="24"/>
        </w:rPr>
        <w:t>- založeno</w:t>
      </w:r>
      <w:r w:rsidR="00CE6695" w:rsidRPr="00FC3B7C">
        <w:rPr>
          <w:rFonts w:eastAsia="Times New Roman"/>
          <w:b/>
          <w:bCs/>
          <w:szCs w:val="24"/>
        </w:rPr>
        <w:t xml:space="preserve"> </w:t>
      </w:r>
      <w:r w:rsidR="00CE6695" w:rsidRPr="00FC3B7C">
        <w:rPr>
          <w:rFonts w:eastAsia="Times New Roman"/>
          <w:szCs w:val="24"/>
        </w:rPr>
        <w:t>čistě</w:t>
      </w:r>
      <w:r w:rsidR="00CE6695" w:rsidRPr="00FC3B7C">
        <w:rPr>
          <w:rFonts w:eastAsia="Times New Roman"/>
          <w:b/>
          <w:bCs/>
          <w:szCs w:val="24"/>
        </w:rPr>
        <w:t xml:space="preserve"> </w:t>
      </w:r>
      <w:r w:rsidR="00CE6695" w:rsidRPr="00FC3B7C">
        <w:rPr>
          <w:rFonts w:eastAsia="Times New Roman"/>
          <w:szCs w:val="24"/>
        </w:rPr>
        <w:t>na</w:t>
      </w:r>
      <w:r w:rsidR="00CE6695" w:rsidRPr="00FC3B7C">
        <w:rPr>
          <w:rFonts w:eastAsia="Times New Roman"/>
          <w:b/>
          <w:bCs/>
          <w:szCs w:val="24"/>
        </w:rPr>
        <w:t xml:space="preserve"> mezivládní spolupráci</w:t>
      </w:r>
      <w:r w:rsidR="00CE6695" w:rsidRPr="00FC3B7C">
        <w:rPr>
          <w:rFonts w:eastAsia="Times New Roman"/>
          <w:szCs w:val="24"/>
        </w:rPr>
        <w:t>, bez vytvoření institucí</w:t>
      </w:r>
      <w:r w:rsidR="00CE6695" w:rsidRPr="00FC3B7C">
        <w:rPr>
          <w:rFonts w:eastAsia="Times New Roman"/>
          <w:b/>
          <w:bCs/>
          <w:szCs w:val="24"/>
        </w:rPr>
        <w:t xml:space="preserve"> </w:t>
      </w:r>
      <w:r w:rsidR="00CE6695" w:rsidRPr="00FC3B7C">
        <w:rPr>
          <w:rFonts w:eastAsia="Times New Roman"/>
          <w:szCs w:val="24"/>
        </w:rPr>
        <w:t>(ESVO)</w:t>
      </w:r>
    </w:p>
    <w:p w14:paraId="4A6F4D8B" w14:textId="77777777" w:rsidR="00CE6695" w:rsidRPr="00FC3B7C" w:rsidRDefault="00CE6695" w:rsidP="007F64D6">
      <w:pPr>
        <w:rPr>
          <w:sz w:val="20"/>
          <w:szCs w:val="20"/>
        </w:rPr>
      </w:pPr>
    </w:p>
    <w:p w14:paraId="4A6F4D8C" w14:textId="77777777" w:rsidR="00CE6695" w:rsidRPr="00FC3B7C" w:rsidRDefault="00CE6695" w:rsidP="007F64D6">
      <w:pPr>
        <w:sectPr w:rsidR="00CE6695" w:rsidRPr="00FC3B7C" w:rsidSect="00244780">
          <w:type w:val="continuous"/>
          <w:pgSz w:w="11900" w:h="16840"/>
          <w:pgMar w:top="1391" w:right="1380" w:bottom="1440" w:left="1420" w:header="0" w:footer="0" w:gutter="0"/>
          <w:cols w:space="708" w:equalWidth="0">
            <w:col w:w="9100"/>
          </w:cols>
        </w:sectPr>
      </w:pPr>
    </w:p>
    <w:p w14:paraId="4A6F4D8D" w14:textId="77777777" w:rsidR="00CE6695" w:rsidRPr="00FC3B7C" w:rsidRDefault="00CE6695" w:rsidP="007F64D6">
      <w:pPr>
        <w:tabs>
          <w:tab w:val="left" w:pos="824"/>
        </w:tabs>
        <w:ind w:right="80"/>
        <w:rPr>
          <w:rFonts w:eastAsia="Arial"/>
          <w:b/>
          <w:szCs w:val="24"/>
        </w:rPr>
      </w:pPr>
      <w:bookmarkStart w:id="404" w:name="page415"/>
      <w:bookmarkEnd w:id="404"/>
      <w:r w:rsidRPr="00FC3B7C">
        <w:rPr>
          <w:rFonts w:eastAsia="Arial"/>
          <w:b/>
          <w:szCs w:val="24"/>
        </w:rPr>
        <w:lastRenderedPageBreak/>
        <w:t>Charakteristiky:</w:t>
      </w:r>
    </w:p>
    <w:p w14:paraId="4A6F4D8E" w14:textId="5903505A" w:rsidR="00CE6695" w:rsidRPr="00FC3B7C" w:rsidRDefault="00FC4AAB" w:rsidP="00D46B53">
      <w:pPr>
        <w:numPr>
          <w:ilvl w:val="0"/>
          <w:numId w:val="384"/>
        </w:numPr>
        <w:tabs>
          <w:tab w:val="left" w:pos="824"/>
        </w:tabs>
        <w:ind w:left="840" w:right="80" w:hanging="368"/>
        <w:rPr>
          <w:rFonts w:eastAsia="Arial"/>
          <w:sz w:val="28"/>
          <w:szCs w:val="28"/>
        </w:rPr>
      </w:pPr>
      <w:r>
        <w:rPr>
          <w:rFonts w:eastAsia="Times New Roman"/>
          <w:b/>
          <w:bCs/>
          <w:szCs w:val="24"/>
        </w:rPr>
        <w:t>D</w:t>
      </w:r>
      <w:r w:rsidR="00CE6695" w:rsidRPr="00FC3B7C">
        <w:rPr>
          <w:rFonts w:eastAsia="Times New Roman"/>
          <w:b/>
          <w:bCs/>
          <w:szCs w:val="24"/>
        </w:rPr>
        <w:t xml:space="preserve">eepening </w:t>
      </w:r>
      <w:r w:rsidR="00CE6695" w:rsidRPr="00FC3B7C">
        <w:rPr>
          <w:rFonts w:eastAsia="Times New Roman"/>
          <w:szCs w:val="24"/>
        </w:rPr>
        <w:t>= prohlubování integračního procesu zejména v ekonomické oblasti,</w:t>
      </w:r>
      <w:r w:rsidR="00CE6695" w:rsidRPr="00FC3B7C">
        <w:rPr>
          <w:rFonts w:eastAsia="Times New Roman"/>
          <w:b/>
          <w:bCs/>
          <w:szCs w:val="24"/>
        </w:rPr>
        <w:t xml:space="preserve"> </w:t>
      </w:r>
      <w:r w:rsidR="00CE6695" w:rsidRPr="00FC3B7C">
        <w:rPr>
          <w:rFonts w:eastAsia="Times New Roman"/>
          <w:szCs w:val="24"/>
        </w:rPr>
        <w:t>liberalizace, odstraňování překážek, dochází k němu při přijímání primárního práva, volný pohyb zboží, služeb, osob</w:t>
      </w:r>
    </w:p>
    <w:p w14:paraId="4A6F4D8F" w14:textId="655C4232" w:rsidR="00CE6695" w:rsidRPr="00FC3B7C" w:rsidRDefault="00FC4AAB" w:rsidP="00D46B53">
      <w:pPr>
        <w:numPr>
          <w:ilvl w:val="0"/>
          <w:numId w:val="384"/>
        </w:numPr>
        <w:tabs>
          <w:tab w:val="left" w:pos="824"/>
        </w:tabs>
        <w:ind w:left="840" w:right="80" w:hanging="368"/>
        <w:rPr>
          <w:rFonts w:eastAsia="Arial"/>
          <w:szCs w:val="24"/>
        </w:rPr>
      </w:pPr>
      <w:r>
        <w:rPr>
          <w:rFonts w:eastAsia="Times New Roman"/>
          <w:b/>
          <w:bCs/>
          <w:szCs w:val="24"/>
        </w:rPr>
        <w:t>W</w:t>
      </w:r>
      <w:r w:rsidR="00CE6695" w:rsidRPr="00FC3B7C">
        <w:rPr>
          <w:rFonts w:eastAsia="Times New Roman"/>
          <w:b/>
          <w:bCs/>
          <w:szCs w:val="24"/>
        </w:rPr>
        <w:t xml:space="preserve">idening </w:t>
      </w:r>
      <w:r w:rsidR="00CE6695" w:rsidRPr="00FC3B7C">
        <w:rPr>
          <w:rFonts w:eastAsia="Times New Roman"/>
          <w:szCs w:val="24"/>
        </w:rPr>
        <w:t>= rozšíření integrace do dalších oblastí, doprovodné politiky, Evropský</w:t>
      </w:r>
      <w:r w:rsidR="00CE6695" w:rsidRPr="00FC3B7C">
        <w:rPr>
          <w:rFonts w:eastAsia="Times New Roman"/>
          <w:b/>
          <w:bCs/>
          <w:szCs w:val="24"/>
        </w:rPr>
        <w:t xml:space="preserve"> </w:t>
      </w:r>
      <w:r w:rsidR="00CE6695" w:rsidRPr="00FC3B7C">
        <w:rPr>
          <w:rFonts w:eastAsia="Times New Roman"/>
          <w:szCs w:val="24"/>
        </w:rPr>
        <w:t>měnový systém, Schengenská smlouva, Wernerův plán + spill-over efekt (přelévání)</w:t>
      </w:r>
    </w:p>
    <w:p w14:paraId="4A6F4D90" w14:textId="66FB3E69" w:rsidR="00CE6695" w:rsidRPr="00FC3B7C" w:rsidRDefault="00FC4AAB" w:rsidP="00D46B53">
      <w:pPr>
        <w:numPr>
          <w:ilvl w:val="0"/>
          <w:numId w:val="384"/>
        </w:numPr>
        <w:tabs>
          <w:tab w:val="left" w:pos="840"/>
        </w:tabs>
        <w:ind w:left="840" w:hanging="368"/>
        <w:rPr>
          <w:rFonts w:eastAsia="Arial"/>
          <w:szCs w:val="24"/>
        </w:rPr>
      </w:pPr>
      <w:r>
        <w:rPr>
          <w:rFonts w:eastAsia="Times New Roman"/>
          <w:b/>
          <w:bCs/>
          <w:szCs w:val="24"/>
        </w:rPr>
        <w:t>E</w:t>
      </w:r>
      <w:r w:rsidR="00CE6695" w:rsidRPr="00FC3B7C">
        <w:rPr>
          <w:rFonts w:eastAsia="Times New Roman"/>
          <w:b/>
          <w:bCs/>
          <w:szCs w:val="24"/>
        </w:rPr>
        <w:t xml:space="preserve">nlargement </w:t>
      </w:r>
      <w:r w:rsidR="00CE6695" w:rsidRPr="00FC3B7C">
        <w:rPr>
          <w:rFonts w:eastAsia="Times New Roman"/>
          <w:szCs w:val="24"/>
        </w:rPr>
        <w:t>= rozšíření</w:t>
      </w:r>
      <w:r w:rsidR="00CE6695" w:rsidRPr="00FC3B7C">
        <w:rPr>
          <w:rFonts w:eastAsia="Times New Roman"/>
          <w:b/>
          <w:bCs/>
          <w:szCs w:val="24"/>
        </w:rPr>
        <w:t xml:space="preserve"> </w:t>
      </w:r>
      <w:r w:rsidR="00CE6695" w:rsidRPr="00FC3B7C">
        <w:rPr>
          <w:rFonts w:eastAsia="Times New Roman"/>
          <w:szCs w:val="24"/>
        </w:rPr>
        <w:t>členské základny (v rámci EU proběhlo již</w:t>
      </w:r>
      <w:r w:rsidR="00CE6695" w:rsidRPr="00FC3B7C">
        <w:rPr>
          <w:rFonts w:eastAsia="Times New Roman"/>
          <w:b/>
          <w:bCs/>
          <w:szCs w:val="24"/>
        </w:rPr>
        <w:t xml:space="preserve"> </w:t>
      </w:r>
      <w:r w:rsidR="00CE6695" w:rsidRPr="00FC3B7C">
        <w:rPr>
          <w:rFonts w:eastAsia="Times New Roman"/>
          <w:szCs w:val="24"/>
        </w:rPr>
        <w:t>7x)</w:t>
      </w:r>
    </w:p>
    <w:p w14:paraId="4A6F4D91" w14:textId="77777777" w:rsidR="00CE6695" w:rsidRPr="00627DAC" w:rsidRDefault="00CE6695" w:rsidP="007F64D6">
      <w:pPr>
        <w:rPr>
          <w:sz w:val="20"/>
          <w:szCs w:val="20"/>
          <w:u w:val="single"/>
        </w:rPr>
      </w:pPr>
      <w:r w:rsidRPr="00627DAC">
        <w:rPr>
          <w:rFonts w:eastAsia="Times New Roman"/>
          <w:u w:val="single"/>
        </w:rPr>
        <w:t>Pásmo (zóna) volného obchodu</w:t>
      </w:r>
    </w:p>
    <w:p w14:paraId="4A6F4D92" w14:textId="77777777" w:rsidR="00CE6695" w:rsidRPr="00FC3B7C" w:rsidRDefault="00CE6695" w:rsidP="007F64D6">
      <w:pPr>
        <w:tabs>
          <w:tab w:val="left" w:pos="700"/>
        </w:tabs>
        <w:ind w:left="720" w:right="20" w:hanging="359"/>
        <w:rPr>
          <w:sz w:val="20"/>
          <w:szCs w:val="20"/>
        </w:rPr>
      </w:pPr>
      <w:r w:rsidRPr="00FC3B7C">
        <w:rPr>
          <w:rFonts w:eastAsia="Arial"/>
          <w:szCs w:val="24"/>
        </w:rPr>
        <w:t>•</w:t>
      </w:r>
      <w:r w:rsidRPr="00FC3B7C">
        <w:rPr>
          <w:sz w:val="20"/>
          <w:szCs w:val="20"/>
        </w:rPr>
        <w:tab/>
      </w:r>
      <w:r w:rsidRPr="00FC3B7C">
        <w:rPr>
          <w:rFonts w:eastAsia="Times New Roman"/>
          <w:szCs w:val="24"/>
        </w:rPr>
        <w:t xml:space="preserve">Odstranění překážek obchodu mezi členskými zeměmi, </w:t>
      </w:r>
      <w:r w:rsidRPr="00FC3B7C">
        <w:rPr>
          <w:rFonts w:eastAsia="Times New Roman"/>
          <w:b/>
          <w:bCs/>
          <w:szCs w:val="24"/>
        </w:rPr>
        <w:t xml:space="preserve">odstranění bariér </w:t>
      </w:r>
      <w:r w:rsidR="007F64D6">
        <w:rPr>
          <w:rFonts w:eastAsia="Times New Roman"/>
          <w:b/>
          <w:bCs/>
          <w:szCs w:val="24"/>
        </w:rPr>
        <w:br/>
      </w:r>
      <w:r w:rsidRPr="00FC3B7C">
        <w:rPr>
          <w:rFonts w:eastAsia="Times New Roman"/>
          <w:b/>
          <w:bCs/>
          <w:szCs w:val="24"/>
        </w:rPr>
        <w:t>s</w:t>
      </w:r>
      <w:r w:rsidRPr="00FC3B7C">
        <w:rPr>
          <w:rFonts w:eastAsia="Times New Roman"/>
          <w:szCs w:val="24"/>
        </w:rPr>
        <w:t xml:space="preserve"> </w:t>
      </w:r>
      <w:r w:rsidRPr="00FC3B7C">
        <w:rPr>
          <w:rFonts w:eastAsia="Times New Roman"/>
          <w:b/>
          <w:bCs/>
          <w:szCs w:val="24"/>
        </w:rPr>
        <w:t xml:space="preserve">průmyslovým zbožím </w:t>
      </w:r>
      <w:r w:rsidRPr="00FC3B7C">
        <w:rPr>
          <w:rFonts w:eastAsia="Times New Roman"/>
          <w:szCs w:val="24"/>
        </w:rPr>
        <w:t>(cla, kvóty)</w:t>
      </w:r>
    </w:p>
    <w:p w14:paraId="4A6F4D93" w14:textId="77777777" w:rsidR="00CE6695" w:rsidRPr="00FC3B7C" w:rsidRDefault="00CE6695" w:rsidP="00D46B53">
      <w:pPr>
        <w:numPr>
          <w:ilvl w:val="0"/>
          <w:numId w:val="385"/>
        </w:numPr>
        <w:tabs>
          <w:tab w:val="left" w:pos="720"/>
        </w:tabs>
        <w:ind w:left="720" w:hanging="364"/>
        <w:rPr>
          <w:rFonts w:eastAsia="Arial"/>
          <w:szCs w:val="24"/>
        </w:rPr>
      </w:pPr>
      <w:r w:rsidRPr="00FC3B7C">
        <w:rPr>
          <w:rFonts w:eastAsia="Times New Roman"/>
          <w:b/>
          <w:bCs/>
          <w:szCs w:val="24"/>
        </w:rPr>
        <w:t xml:space="preserve">Vlastní celní politika </w:t>
      </w:r>
      <w:r w:rsidRPr="00FC3B7C">
        <w:rPr>
          <w:rFonts w:eastAsia="Times New Roman"/>
          <w:szCs w:val="24"/>
        </w:rPr>
        <w:t>vůči třetím zemím</w:t>
      </w:r>
    </w:p>
    <w:p w14:paraId="4A6F4D94" w14:textId="1D70E244" w:rsidR="00CE6695" w:rsidRPr="00627DAC" w:rsidRDefault="00CE6695" w:rsidP="00D46B53">
      <w:pPr>
        <w:numPr>
          <w:ilvl w:val="0"/>
          <w:numId w:val="385"/>
        </w:numPr>
        <w:tabs>
          <w:tab w:val="left" w:pos="720"/>
        </w:tabs>
        <w:ind w:left="720" w:hanging="364"/>
        <w:rPr>
          <w:rFonts w:eastAsia="Times New Roman"/>
          <w:bCs/>
          <w:szCs w:val="24"/>
        </w:rPr>
      </w:pPr>
      <w:r w:rsidRPr="00627DAC">
        <w:rPr>
          <w:rFonts w:eastAsia="Times New Roman"/>
          <w:b/>
          <w:bCs/>
          <w:szCs w:val="24"/>
        </w:rPr>
        <w:t>Čistě</w:t>
      </w:r>
      <w:r w:rsidR="003376E1">
        <w:rPr>
          <w:rFonts w:eastAsia="Times New Roman"/>
          <w:b/>
          <w:bCs/>
          <w:szCs w:val="24"/>
        </w:rPr>
        <w:t xml:space="preserve"> </w:t>
      </w:r>
      <w:r w:rsidRPr="00FC3B7C">
        <w:rPr>
          <w:rFonts w:eastAsia="Times New Roman"/>
          <w:b/>
          <w:bCs/>
          <w:szCs w:val="24"/>
        </w:rPr>
        <w:t>negativní forma</w:t>
      </w:r>
      <w:r w:rsidRPr="00627DAC">
        <w:rPr>
          <w:rFonts w:eastAsia="Times New Roman"/>
          <w:b/>
          <w:bCs/>
          <w:szCs w:val="24"/>
        </w:rPr>
        <w:t xml:space="preserve"> integrace bez společných institucí </w:t>
      </w:r>
      <w:r w:rsidRPr="00627DAC">
        <w:rPr>
          <w:rFonts w:eastAsia="Times New Roman"/>
          <w:bCs/>
          <w:szCs w:val="24"/>
        </w:rPr>
        <w:t>(např. NAFTA, ESVO,</w:t>
      </w:r>
      <w:r w:rsidR="00627DAC" w:rsidRPr="00627DAC">
        <w:rPr>
          <w:rFonts w:eastAsia="Times New Roman"/>
          <w:bCs/>
          <w:szCs w:val="24"/>
        </w:rPr>
        <w:t xml:space="preserve"> </w:t>
      </w:r>
      <w:r w:rsidRPr="00627DAC">
        <w:rPr>
          <w:rFonts w:eastAsia="Times New Roman"/>
          <w:bCs/>
          <w:szCs w:val="24"/>
        </w:rPr>
        <w:t>CEFTA, ASEAN)</w:t>
      </w:r>
    </w:p>
    <w:p w14:paraId="4A6F4D95" w14:textId="77777777" w:rsidR="00CE6695" w:rsidRPr="00627DAC" w:rsidRDefault="00CE6695" w:rsidP="007F64D6">
      <w:pPr>
        <w:rPr>
          <w:sz w:val="20"/>
          <w:szCs w:val="20"/>
          <w:u w:val="single"/>
        </w:rPr>
      </w:pPr>
      <w:r w:rsidRPr="00627DAC">
        <w:rPr>
          <w:rFonts w:eastAsia="Times New Roman"/>
          <w:u w:val="single"/>
        </w:rPr>
        <w:t>Celní unie</w:t>
      </w:r>
    </w:p>
    <w:p w14:paraId="4A6F4D96" w14:textId="77777777" w:rsidR="00CE6695" w:rsidRPr="00FC3B7C" w:rsidRDefault="00CE6695" w:rsidP="00D46B53">
      <w:pPr>
        <w:numPr>
          <w:ilvl w:val="0"/>
          <w:numId w:val="386"/>
        </w:numPr>
        <w:tabs>
          <w:tab w:val="left" w:pos="720"/>
        </w:tabs>
        <w:ind w:left="720" w:right="20" w:hanging="364"/>
        <w:rPr>
          <w:rFonts w:eastAsia="Arial"/>
          <w:szCs w:val="24"/>
        </w:rPr>
      </w:pPr>
      <w:r w:rsidRPr="00FC3B7C">
        <w:rPr>
          <w:rFonts w:eastAsia="Times New Roman"/>
          <w:b/>
          <w:bCs/>
          <w:szCs w:val="24"/>
        </w:rPr>
        <w:t xml:space="preserve">Odstranění bariér </w:t>
      </w:r>
      <w:r w:rsidRPr="00FC3B7C">
        <w:rPr>
          <w:rFonts w:eastAsia="Times New Roman"/>
          <w:szCs w:val="24"/>
        </w:rPr>
        <w:t>vzájemného obchodu se zbožím a společná obchodní politika</w:t>
      </w:r>
      <w:r w:rsidRPr="00FC3B7C">
        <w:rPr>
          <w:rFonts w:eastAsia="Times New Roman"/>
          <w:b/>
          <w:bCs/>
          <w:szCs w:val="24"/>
        </w:rPr>
        <w:t xml:space="preserve"> </w:t>
      </w:r>
      <w:r w:rsidRPr="00FC3B7C">
        <w:rPr>
          <w:rFonts w:eastAsia="Times New Roman"/>
          <w:szCs w:val="24"/>
        </w:rPr>
        <w:t>vůči třetím zemím (jednotný společný celní tarif)</w:t>
      </w:r>
    </w:p>
    <w:p w14:paraId="4A6F4D97" w14:textId="525F634C" w:rsidR="00CE6695" w:rsidRPr="00FC3B7C" w:rsidRDefault="00FC4AAB" w:rsidP="00D46B53">
      <w:pPr>
        <w:numPr>
          <w:ilvl w:val="0"/>
          <w:numId w:val="386"/>
        </w:numPr>
        <w:tabs>
          <w:tab w:val="left" w:pos="720"/>
        </w:tabs>
        <w:ind w:left="720" w:hanging="364"/>
        <w:rPr>
          <w:rFonts w:eastAsia="Arial"/>
          <w:szCs w:val="24"/>
        </w:rPr>
      </w:pPr>
      <w:r>
        <w:rPr>
          <w:rFonts w:eastAsia="Times New Roman"/>
          <w:szCs w:val="24"/>
        </w:rPr>
        <w:t>K</w:t>
      </w:r>
      <w:r w:rsidR="00CE6695" w:rsidRPr="00FC3B7C">
        <w:rPr>
          <w:rFonts w:eastAsia="Times New Roman"/>
          <w:szCs w:val="24"/>
        </w:rPr>
        <w:t xml:space="preserve">ombinace </w:t>
      </w:r>
      <w:r w:rsidR="00CE6695" w:rsidRPr="00FC3B7C">
        <w:rPr>
          <w:rFonts w:eastAsia="Times New Roman"/>
          <w:b/>
          <w:bCs/>
          <w:szCs w:val="24"/>
        </w:rPr>
        <w:t>pozitivní i negativní integrace</w:t>
      </w:r>
    </w:p>
    <w:p w14:paraId="4A6F4D98" w14:textId="77777777" w:rsidR="00CE6695" w:rsidRPr="00FC3B7C" w:rsidRDefault="00CE6695" w:rsidP="00D46B53">
      <w:pPr>
        <w:numPr>
          <w:ilvl w:val="0"/>
          <w:numId w:val="386"/>
        </w:numPr>
        <w:tabs>
          <w:tab w:val="left" w:pos="720"/>
        </w:tabs>
        <w:ind w:left="720" w:right="20" w:hanging="364"/>
        <w:rPr>
          <w:rFonts w:eastAsia="Arial"/>
          <w:szCs w:val="24"/>
        </w:rPr>
      </w:pPr>
      <w:r w:rsidRPr="00FC3B7C">
        <w:rPr>
          <w:rFonts w:eastAsia="Times New Roman"/>
          <w:szCs w:val="24"/>
        </w:rPr>
        <w:t>např. Benelux, ČR – Slovensko 1993-2004, Švýcarsko - Lichtenštejnsko, EU - Turecko (pouze průmyslové zboží, od roku 1996)</w:t>
      </w:r>
    </w:p>
    <w:p w14:paraId="4A6F4D99" w14:textId="77777777" w:rsidR="00CE6695" w:rsidRPr="00627DAC" w:rsidRDefault="00CE6695" w:rsidP="007F64D6">
      <w:pPr>
        <w:rPr>
          <w:sz w:val="20"/>
          <w:szCs w:val="20"/>
          <w:u w:val="single"/>
        </w:rPr>
      </w:pPr>
      <w:r w:rsidRPr="00627DAC">
        <w:rPr>
          <w:rFonts w:eastAsia="Times New Roman"/>
          <w:u w:val="single"/>
        </w:rPr>
        <w:t>Společný trh</w:t>
      </w:r>
    </w:p>
    <w:p w14:paraId="4A6F4D9A" w14:textId="77777777" w:rsidR="00CE6695" w:rsidRPr="00FC3B7C" w:rsidRDefault="00CE6695" w:rsidP="00D46B53">
      <w:pPr>
        <w:numPr>
          <w:ilvl w:val="0"/>
          <w:numId w:val="387"/>
        </w:numPr>
        <w:tabs>
          <w:tab w:val="left" w:pos="720"/>
        </w:tabs>
        <w:ind w:left="720" w:hanging="364"/>
        <w:rPr>
          <w:rFonts w:eastAsia="Arial"/>
          <w:szCs w:val="24"/>
        </w:rPr>
      </w:pPr>
      <w:r w:rsidRPr="00FC3B7C">
        <w:rPr>
          <w:rFonts w:eastAsia="Times New Roman"/>
          <w:szCs w:val="24"/>
        </w:rPr>
        <w:t>Přecházíme k odstraňování vnitřních bariér, bránících pohybu VF</w:t>
      </w:r>
    </w:p>
    <w:p w14:paraId="4A6F4D9B" w14:textId="77777777" w:rsidR="00CE6695" w:rsidRPr="00FC3B7C" w:rsidRDefault="00CE6695" w:rsidP="00D46B53">
      <w:pPr>
        <w:numPr>
          <w:ilvl w:val="0"/>
          <w:numId w:val="387"/>
        </w:numPr>
        <w:tabs>
          <w:tab w:val="left" w:pos="720"/>
        </w:tabs>
        <w:ind w:left="720" w:hanging="364"/>
        <w:rPr>
          <w:rFonts w:eastAsia="Arial"/>
          <w:szCs w:val="24"/>
        </w:rPr>
      </w:pPr>
      <w:r w:rsidRPr="00FC3B7C">
        <w:rPr>
          <w:rFonts w:eastAsia="Times New Roman"/>
          <w:b/>
          <w:bCs/>
          <w:szCs w:val="24"/>
        </w:rPr>
        <w:t>Celní unie + volný pohyb zboží, služeb, osob a kapitálu, společné normy</w:t>
      </w:r>
    </w:p>
    <w:p w14:paraId="4A6F4D9C" w14:textId="77777777" w:rsidR="00CE6695" w:rsidRPr="00FC3B7C" w:rsidRDefault="00CE6695" w:rsidP="00D46B53">
      <w:pPr>
        <w:numPr>
          <w:ilvl w:val="0"/>
          <w:numId w:val="387"/>
        </w:numPr>
        <w:tabs>
          <w:tab w:val="left" w:pos="720"/>
        </w:tabs>
        <w:ind w:left="720" w:right="20" w:hanging="364"/>
        <w:rPr>
          <w:rFonts w:eastAsia="Arial"/>
          <w:szCs w:val="24"/>
        </w:rPr>
      </w:pPr>
      <w:r w:rsidRPr="00FC3B7C">
        <w:rPr>
          <w:rFonts w:eastAsia="Times New Roman"/>
          <w:b/>
          <w:bCs/>
          <w:szCs w:val="24"/>
        </w:rPr>
        <w:t>spill-over efekt – dochází k přelévání do oblastí, které s tím souvisí, doprovodné politiky vnitřního trhu</w:t>
      </w:r>
    </w:p>
    <w:p w14:paraId="4A6F4D9D" w14:textId="77777777" w:rsidR="00CE6695" w:rsidRPr="00FC3B7C" w:rsidRDefault="00CE6695" w:rsidP="00D46B53">
      <w:pPr>
        <w:numPr>
          <w:ilvl w:val="0"/>
          <w:numId w:val="387"/>
        </w:numPr>
        <w:tabs>
          <w:tab w:val="left" w:pos="720"/>
        </w:tabs>
        <w:ind w:left="720" w:hanging="364"/>
        <w:rPr>
          <w:rFonts w:eastAsia="Arial"/>
          <w:szCs w:val="24"/>
        </w:rPr>
      </w:pPr>
      <w:r w:rsidRPr="00FC3B7C">
        <w:rPr>
          <w:rFonts w:eastAsia="Times New Roman"/>
          <w:szCs w:val="24"/>
        </w:rPr>
        <w:t>Velký propojený hospodářský prostor bez vnitřních hranic (ES v 70. a 80. letech)</w:t>
      </w:r>
    </w:p>
    <w:p w14:paraId="4A6F4D9E" w14:textId="77777777" w:rsidR="00CE6695" w:rsidRPr="00FC3B7C" w:rsidRDefault="00CE6695" w:rsidP="00D46B53">
      <w:pPr>
        <w:numPr>
          <w:ilvl w:val="0"/>
          <w:numId w:val="387"/>
        </w:numPr>
        <w:tabs>
          <w:tab w:val="left" w:pos="720"/>
        </w:tabs>
        <w:ind w:left="720" w:hanging="364"/>
        <w:rPr>
          <w:rFonts w:eastAsia="Arial"/>
          <w:szCs w:val="24"/>
        </w:rPr>
      </w:pPr>
      <w:r w:rsidRPr="00FC3B7C">
        <w:rPr>
          <w:rFonts w:eastAsia="Times New Roman"/>
          <w:szCs w:val="24"/>
        </w:rPr>
        <w:t xml:space="preserve">Za účelem vytvoření se </w:t>
      </w:r>
      <w:r w:rsidRPr="00FC3B7C">
        <w:rPr>
          <w:rFonts w:eastAsia="Times New Roman"/>
          <w:b/>
          <w:bCs/>
          <w:szCs w:val="24"/>
        </w:rPr>
        <w:t>prohlubuje pozitivní integrace</w:t>
      </w:r>
    </w:p>
    <w:p w14:paraId="4A6F4D9F" w14:textId="77777777" w:rsidR="00CE6695" w:rsidRPr="00627DAC" w:rsidRDefault="00CE6695" w:rsidP="007F64D6">
      <w:pPr>
        <w:rPr>
          <w:sz w:val="20"/>
          <w:szCs w:val="20"/>
          <w:u w:val="single"/>
        </w:rPr>
      </w:pPr>
      <w:r w:rsidRPr="00627DAC">
        <w:rPr>
          <w:rFonts w:eastAsia="Times New Roman"/>
          <w:u w:val="single"/>
        </w:rPr>
        <w:t>Hospodářská a měnová unie</w:t>
      </w:r>
    </w:p>
    <w:p w14:paraId="4A6F4DA0" w14:textId="77777777" w:rsidR="00CE6695" w:rsidRPr="007F64D6" w:rsidRDefault="00CE6695" w:rsidP="00D46B53">
      <w:pPr>
        <w:numPr>
          <w:ilvl w:val="0"/>
          <w:numId w:val="388"/>
        </w:numPr>
        <w:tabs>
          <w:tab w:val="left" w:pos="720"/>
        </w:tabs>
        <w:ind w:left="720" w:hanging="364"/>
        <w:rPr>
          <w:rFonts w:eastAsia="Arial"/>
          <w:szCs w:val="24"/>
        </w:rPr>
      </w:pPr>
      <w:r w:rsidRPr="007F64D6">
        <w:rPr>
          <w:rFonts w:eastAsia="Times New Roman"/>
          <w:szCs w:val="24"/>
        </w:rPr>
        <w:t xml:space="preserve">Dochází k harmonizaci a </w:t>
      </w:r>
      <w:r w:rsidRPr="007F64D6">
        <w:rPr>
          <w:rFonts w:eastAsia="Times New Roman"/>
          <w:b/>
          <w:bCs/>
          <w:szCs w:val="24"/>
        </w:rPr>
        <w:t>sjednocení rozpočtových a měnových politik, centrální</w:t>
      </w:r>
      <w:r w:rsidRPr="007F64D6">
        <w:rPr>
          <w:rFonts w:eastAsia="Times New Roman"/>
          <w:szCs w:val="24"/>
        </w:rPr>
        <w:t xml:space="preserve"> </w:t>
      </w:r>
      <w:r w:rsidRPr="007F64D6">
        <w:rPr>
          <w:rFonts w:eastAsia="Times New Roman"/>
          <w:b/>
          <w:bCs/>
          <w:szCs w:val="24"/>
        </w:rPr>
        <w:t>banka</w:t>
      </w:r>
    </w:p>
    <w:p w14:paraId="4A6F4DA1" w14:textId="77777777" w:rsidR="00CE6695" w:rsidRPr="00FC3B7C" w:rsidRDefault="00CE6695" w:rsidP="00D46B53">
      <w:pPr>
        <w:numPr>
          <w:ilvl w:val="0"/>
          <w:numId w:val="388"/>
        </w:numPr>
        <w:tabs>
          <w:tab w:val="left" w:pos="720"/>
        </w:tabs>
        <w:ind w:left="720" w:hanging="364"/>
        <w:rPr>
          <w:rFonts w:eastAsia="Arial"/>
          <w:szCs w:val="24"/>
        </w:rPr>
      </w:pPr>
      <w:r w:rsidRPr="00FC3B7C">
        <w:rPr>
          <w:rFonts w:eastAsia="Times New Roman"/>
          <w:szCs w:val="24"/>
        </w:rPr>
        <w:t xml:space="preserve">Stabilizují se měny (určení kurzu s malým floatingem, to vede k pevnému kurzu </w:t>
      </w:r>
      <w:r w:rsidR="007F64D6">
        <w:rPr>
          <w:rFonts w:eastAsia="Times New Roman"/>
          <w:szCs w:val="24"/>
        </w:rPr>
        <w:br/>
      </w:r>
      <w:r w:rsidRPr="00FC3B7C">
        <w:rPr>
          <w:rFonts w:eastAsia="Times New Roman"/>
          <w:szCs w:val="24"/>
        </w:rPr>
        <w:t>a společné měně)</w:t>
      </w:r>
    </w:p>
    <w:p w14:paraId="4A6F4DA2" w14:textId="77777777" w:rsidR="00CE6695" w:rsidRPr="00FC3B7C" w:rsidRDefault="00CE6695" w:rsidP="00D46B53">
      <w:pPr>
        <w:numPr>
          <w:ilvl w:val="0"/>
          <w:numId w:val="389"/>
        </w:numPr>
        <w:tabs>
          <w:tab w:val="left" w:pos="720"/>
        </w:tabs>
        <w:ind w:left="720" w:hanging="364"/>
        <w:rPr>
          <w:rFonts w:eastAsia="Arial"/>
          <w:sz w:val="23"/>
          <w:szCs w:val="23"/>
        </w:rPr>
      </w:pPr>
      <w:bookmarkStart w:id="405" w:name="page416"/>
      <w:bookmarkEnd w:id="405"/>
      <w:r w:rsidRPr="00FC3B7C">
        <w:rPr>
          <w:rFonts w:eastAsia="Times New Roman"/>
          <w:sz w:val="23"/>
          <w:szCs w:val="23"/>
        </w:rPr>
        <w:t>Hospodářská politika: musí být sladěny rozpočtová, devizová a obchodní politika</w:t>
      </w:r>
    </w:p>
    <w:p w14:paraId="4A6F4DA3" w14:textId="77777777" w:rsidR="00CE6695" w:rsidRPr="00FC3B7C" w:rsidRDefault="00CE6695" w:rsidP="00D46B53">
      <w:pPr>
        <w:numPr>
          <w:ilvl w:val="0"/>
          <w:numId w:val="389"/>
        </w:numPr>
        <w:tabs>
          <w:tab w:val="left" w:pos="720"/>
        </w:tabs>
        <w:ind w:left="720" w:hanging="364"/>
        <w:rPr>
          <w:rFonts w:eastAsia="Arial"/>
          <w:szCs w:val="24"/>
        </w:rPr>
      </w:pPr>
      <w:r w:rsidRPr="00FC3B7C">
        <w:rPr>
          <w:rFonts w:eastAsia="Times New Roman"/>
          <w:szCs w:val="24"/>
        </w:rPr>
        <w:t xml:space="preserve">např. </w:t>
      </w:r>
      <w:r w:rsidRPr="00FC3B7C">
        <w:rPr>
          <w:rFonts w:eastAsia="Times New Roman"/>
          <w:b/>
          <w:bCs/>
          <w:szCs w:val="24"/>
        </w:rPr>
        <w:t>eurozóna</w:t>
      </w:r>
      <w:r w:rsidRPr="00FC3B7C">
        <w:rPr>
          <w:rFonts w:eastAsia="Times New Roman"/>
          <w:szCs w:val="24"/>
        </w:rPr>
        <w:t xml:space="preserve"> (stabilní kurz=ECU, jednotná měna=EURO)</w:t>
      </w:r>
    </w:p>
    <w:p w14:paraId="4A6F4DA4" w14:textId="77777777" w:rsidR="00CE6695" w:rsidRPr="00FC3B7C" w:rsidRDefault="00CE6695" w:rsidP="007F64D6">
      <w:pPr>
        <w:rPr>
          <w:sz w:val="20"/>
          <w:szCs w:val="20"/>
        </w:rPr>
      </w:pPr>
      <w:r w:rsidRPr="00FC3B7C">
        <w:rPr>
          <w:rFonts w:eastAsia="Times New Roman"/>
        </w:rPr>
        <w:t>Politická teorie integrace</w:t>
      </w:r>
    </w:p>
    <w:p w14:paraId="4A6F4DA5" w14:textId="77777777" w:rsidR="00CE6695" w:rsidRPr="00627DAC" w:rsidRDefault="00CE6695" w:rsidP="007F64D6">
      <w:pPr>
        <w:rPr>
          <w:b/>
          <w:sz w:val="20"/>
          <w:szCs w:val="20"/>
        </w:rPr>
      </w:pPr>
      <w:r w:rsidRPr="00627DAC">
        <w:rPr>
          <w:rFonts w:eastAsia="Times New Roman"/>
          <w:b/>
        </w:rPr>
        <w:lastRenderedPageBreak/>
        <w:t>Federalismus</w:t>
      </w:r>
    </w:p>
    <w:p w14:paraId="4A6F4DA6" w14:textId="77777777" w:rsidR="00CE6695" w:rsidRPr="004207B3" w:rsidRDefault="00CE6695" w:rsidP="00D46B53">
      <w:pPr>
        <w:pStyle w:val="Odstavecseseznamem"/>
        <w:numPr>
          <w:ilvl w:val="0"/>
          <w:numId w:val="655"/>
        </w:numPr>
        <w:rPr>
          <w:sz w:val="20"/>
          <w:szCs w:val="20"/>
        </w:rPr>
      </w:pPr>
      <w:r w:rsidRPr="004207B3">
        <w:rPr>
          <w:rFonts w:eastAsia="Times New Roman"/>
        </w:rPr>
        <w:t>Předpoklad federální ústavy a politických institucí</w:t>
      </w:r>
    </w:p>
    <w:p w14:paraId="587FD446" w14:textId="77777777" w:rsidR="004207B3" w:rsidRPr="004207B3" w:rsidRDefault="00CE6695" w:rsidP="00D46B53">
      <w:pPr>
        <w:pStyle w:val="Odstavecseseznamem"/>
        <w:numPr>
          <w:ilvl w:val="0"/>
          <w:numId w:val="655"/>
        </w:numPr>
        <w:ind w:right="1920"/>
        <w:rPr>
          <w:sz w:val="20"/>
          <w:szCs w:val="20"/>
        </w:rPr>
      </w:pPr>
      <w:r w:rsidRPr="004207B3">
        <w:rPr>
          <w:rFonts w:eastAsia="Times New Roman"/>
          <w:szCs w:val="24"/>
        </w:rPr>
        <w:t>Regionální vlády mají určitou nezávislost, centrální vláda jasně</w:t>
      </w:r>
      <w:r w:rsidR="004207B3">
        <w:rPr>
          <w:rFonts w:eastAsia="Times New Roman"/>
          <w:szCs w:val="24"/>
        </w:rPr>
        <w:t xml:space="preserve"> </w:t>
      </w:r>
      <w:r w:rsidRPr="004207B3">
        <w:rPr>
          <w:rFonts w:eastAsia="Times New Roman"/>
          <w:szCs w:val="24"/>
        </w:rPr>
        <w:t xml:space="preserve">vymezená </w:t>
      </w:r>
    </w:p>
    <w:p w14:paraId="4A6F4DA7" w14:textId="186E3F51" w:rsidR="00CE6695" w:rsidRPr="004207B3" w:rsidRDefault="00CE6695" w:rsidP="00D46B53">
      <w:pPr>
        <w:pStyle w:val="Odstavecseseznamem"/>
        <w:numPr>
          <w:ilvl w:val="0"/>
          <w:numId w:val="655"/>
        </w:numPr>
        <w:ind w:right="1920"/>
        <w:rPr>
          <w:sz w:val="20"/>
          <w:szCs w:val="20"/>
        </w:rPr>
      </w:pPr>
      <w:r w:rsidRPr="004207B3">
        <w:rPr>
          <w:rFonts w:eastAsia="Times New Roman"/>
          <w:szCs w:val="24"/>
        </w:rPr>
        <w:t>USA, Švýcarsko</w:t>
      </w:r>
    </w:p>
    <w:p w14:paraId="4A6F4DA8" w14:textId="77777777" w:rsidR="00CE6695" w:rsidRPr="00627DAC" w:rsidRDefault="00CE6695" w:rsidP="007F64D6">
      <w:pPr>
        <w:rPr>
          <w:b/>
          <w:sz w:val="20"/>
          <w:szCs w:val="20"/>
        </w:rPr>
      </w:pPr>
      <w:r w:rsidRPr="00627DAC">
        <w:rPr>
          <w:rFonts w:eastAsia="Times New Roman"/>
          <w:b/>
        </w:rPr>
        <w:t>Funkcionalismus</w:t>
      </w:r>
    </w:p>
    <w:p w14:paraId="4A6F4DA9" w14:textId="77777777" w:rsidR="00CE6695" w:rsidRPr="004207B3" w:rsidRDefault="00CE6695" w:rsidP="00D46B53">
      <w:pPr>
        <w:pStyle w:val="Odstavecseseznamem"/>
        <w:numPr>
          <w:ilvl w:val="0"/>
          <w:numId w:val="656"/>
        </w:numPr>
        <w:rPr>
          <w:sz w:val="20"/>
          <w:szCs w:val="20"/>
        </w:rPr>
      </w:pPr>
      <w:r w:rsidRPr="004207B3">
        <w:rPr>
          <w:rFonts w:eastAsia="Times New Roman"/>
        </w:rPr>
        <w:t>Spontánní integrace</w:t>
      </w:r>
    </w:p>
    <w:p w14:paraId="4A6F4DAA" w14:textId="77777777" w:rsidR="00CE6695" w:rsidRPr="004207B3" w:rsidRDefault="00CE6695" w:rsidP="00D46B53">
      <w:pPr>
        <w:pStyle w:val="Odstavecseseznamem"/>
        <w:numPr>
          <w:ilvl w:val="0"/>
          <w:numId w:val="656"/>
        </w:numPr>
        <w:rPr>
          <w:sz w:val="20"/>
          <w:szCs w:val="20"/>
        </w:rPr>
      </w:pPr>
      <w:r w:rsidRPr="004207B3">
        <w:rPr>
          <w:rFonts w:eastAsia="Times New Roman"/>
          <w:szCs w:val="24"/>
        </w:rPr>
        <w:t>Nedoporučuje závazné zákonné normy a pevný systém regulací</w:t>
      </w:r>
    </w:p>
    <w:p w14:paraId="4A6F4DAB" w14:textId="77777777" w:rsidR="00CE6695" w:rsidRPr="00627DAC" w:rsidRDefault="00CE6695" w:rsidP="007F64D6">
      <w:pPr>
        <w:rPr>
          <w:b/>
          <w:sz w:val="20"/>
          <w:szCs w:val="20"/>
        </w:rPr>
      </w:pPr>
      <w:r w:rsidRPr="00627DAC">
        <w:rPr>
          <w:rFonts w:eastAsia="Times New Roman"/>
          <w:b/>
        </w:rPr>
        <w:t>Neofunkcionalismus</w:t>
      </w:r>
    </w:p>
    <w:p w14:paraId="4A6F4DAC" w14:textId="77777777" w:rsidR="00CE6695" w:rsidRPr="004207B3" w:rsidRDefault="00CE6695" w:rsidP="00D46B53">
      <w:pPr>
        <w:pStyle w:val="Odstavecseseznamem"/>
        <w:numPr>
          <w:ilvl w:val="0"/>
          <w:numId w:val="657"/>
        </w:numPr>
        <w:rPr>
          <w:sz w:val="20"/>
          <w:szCs w:val="20"/>
        </w:rPr>
      </w:pPr>
      <w:r w:rsidRPr="004207B3">
        <w:rPr>
          <w:rFonts w:eastAsia="Times New Roman"/>
        </w:rPr>
        <w:t>Kombinace federalismu a funkcionalismu</w:t>
      </w:r>
    </w:p>
    <w:p w14:paraId="4A6F4DAD" w14:textId="77777777" w:rsidR="00627DAC" w:rsidRPr="004207B3" w:rsidRDefault="00CE6695" w:rsidP="00D46B53">
      <w:pPr>
        <w:pStyle w:val="Odstavecseseznamem"/>
        <w:numPr>
          <w:ilvl w:val="0"/>
          <w:numId w:val="657"/>
        </w:numPr>
        <w:rPr>
          <w:rFonts w:eastAsia="Times New Roman"/>
        </w:rPr>
      </w:pPr>
      <w:r w:rsidRPr="004207B3">
        <w:rPr>
          <w:rFonts w:eastAsia="Times New Roman"/>
        </w:rPr>
        <w:t xml:space="preserve">Vznik integrace vůlí tržních subjektů, později zastřešení politickými institucemi </w:t>
      </w:r>
    </w:p>
    <w:p w14:paraId="4A6F4DAE" w14:textId="77777777" w:rsidR="00CE6695" w:rsidRPr="004207B3" w:rsidRDefault="00CE6695" w:rsidP="00D46B53">
      <w:pPr>
        <w:pStyle w:val="Odstavecseseznamem"/>
        <w:numPr>
          <w:ilvl w:val="0"/>
          <w:numId w:val="657"/>
        </w:numPr>
        <w:rPr>
          <w:sz w:val="20"/>
          <w:szCs w:val="20"/>
        </w:rPr>
      </w:pPr>
      <w:r w:rsidRPr="004207B3">
        <w:rPr>
          <w:rFonts w:eastAsia="Times New Roman"/>
        </w:rPr>
        <w:t>Spill-over efekt, ESUO</w:t>
      </w:r>
    </w:p>
    <w:p w14:paraId="4A6F4DAF" w14:textId="77777777" w:rsidR="00CE6695" w:rsidRPr="00627DAC" w:rsidRDefault="00CE6695" w:rsidP="007F64D6">
      <w:pPr>
        <w:rPr>
          <w:b/>
          <w:sz w:val="20"/>
          <w:szCs w:val="20"/>
        </w:rPr>
      </w:pPr>
      <w:r w:rsidRPr="00627DAC">
        <w:rPr>
          <w:rFonts w:eastAsia="Times New Roman"/>
          <w:b/>
        </w:rPr>
        <w:t>Intergovernmentalismus</w:t>
      </w:r>
    </w:p>
    <w:p w14:paraId="4A6F4DB0" w14:textId="77777777" w:rsidR="00CE6695" w:rsidRPr="004207B3" w:rsidRDefault="00CE6695" w:rsidP="00D46B53">
      <w:pPr>
        <w:pStyle w:val="Odstavecseseznamem"/>
        <w:numPr>
          <w:ilvl w:val="0"/>
          <w:numId w:val="658"/>
        </w:numPr>
        <w:rPr>
          <w:sz w:val="20"/>
          <w:szCs w:val="20"/>
        </w:rPr>
      </w:pPr>
      <w:r w:rsidRPr="004207B3">
        <w:rPr>
          <w:rFonts w:eastAsia="Times New Roman"/>
        </w:rPr>
        <w:t>Návrat k federalismu</w:t>
      </w:r>
    </w:p>
    <w:p w14:paraId="4A6F4DB1" w14:textId="77777777" w:rsidR="00CE6695" w:rsidRPr="004207B3" w:rsidRDefault="00CE6695" w:rsidP="00D46B53">
      <w:pPr>
        <w:pStyle w:val="Odstavecseseznamem"/>
        <w:numPr>
          <w:ilvl w:val="0"/>
          <w:numId w:val="658"/>
        </w:numPr>
        <w:rPr>
          <w:sz w:val="20"/>
          <w:szCs w:val="20"/>
        </w:rPr>
      </w:pPr>
      <w:r w:rsidRPr="004207B3">
        <w:rPr>
          <w:rFonts w:eastAsia="Times New Roman"/>
        </w:rPr>
        <w:t>Rozhodování na úrovni mezivládní konference</w:t>
      </w:r>
    </w:p>
    <w:p w14:paraId="4A6F4DB2" w14:textId="77777777" w:rsidR="00627DAC" w:rsidRPr="004207B3" w:rsidRDefault="00CE6695" w:rsidP="00D46B53">
      <w:pPr>
        <w:pStyle w:val="Odstavecseseznamem"/>
        <w:numPr>
          <w:ilvl w:val="0"/>
          <w:numId w:val="658"/>
        </w:numPr>
        <w:rPr>
          <w:rFonts w:eastAsia="Times New Roman"/>
        </w:rPr>
      </w:pPr>
      <w:r w:rsidRPr="004207B3">
        <w:rPr>
          <w:rFonts w:eastAsia="Times New Roman"/>
        </w:rPr>
        <w:t xml:space="preserve">Ústřední instituce pouze jako administrativní servis </w:t>
      </w:r>
    </w:p>
    <w:p w14:paraId="4A6F4DB3" w14:textId="77777777" w:rsidR="00CE6695" w:rsidRPr="004207B3" w:rsidRDefault="00CE6695" w:rsidP="00D46B53">
      <w:pPr>
        <w:pStyle w:val="Odstavecseseznamem"/>
        <w:numPr>
          <w:ilvl w:val="0"/>
          <w:numId w:val="658"/>
        </w:numPr>
        <w:rPr>
          <w:sz w:val="20"/>
          <w:szCs w:val="20"/>
        </w:rPr>
      </w:pPr>
      <w:r w:rsidRPr="004207B3">
        <w:rPr>
          <w:rFonts w:eastAsia="Times New Roman"/>
        </w:rPr>
        <w:t>Rada EU</w:t>
      </w:r>
    </w:p>
    <w:p w14:paraId="4A6F4DB4" w14:textId="77777777" w:rsidR="00CE6695" w:rsidRPr="00627DAC" w:rsidRDefault="00CE6695" w:rsidP="007F64D6">
      <w:pPr>
        <w:rPr>
          <w:b/>
          <w:sz w:val="20"/>
          <w:szCs w:val="20"/>
        </w:rPr>
      </w:pPr>
      <w:r w:rsidRPr="00627DAC">
        <w:rPr>
          <w:rFonts w:eastAsia="Times New Roman"/>
          <w:b/>
        </w:rPr>
        <w:t>Realismus</w:t>
      </w:r>
    </w:p>
    <w:p w14:paraId="4A6F4DB5" w14:textId="77777777" w:rsidR="00CE6695" w:rsidRPr="004207B3" w:rsidRDefault="00CE6695" w:rsidP="00D46B53">
      <w:pPr>
        <w:pStyle w:val="Odstavecseseznamem"/>
        <w:numPr>
          <w:ilvl w:val="0"/>
          <w:numId w:val="659"/>
        </w:numPr>
        <w:rPr>
          <w:sz w:val="20"/>
          <w:szCs w:val="20"/>
        </w:rPr>
      </w:pPr>
      <w:r w:rsidRPr="004207B3">
        <w:rPr>
          <w:rFonts w:eastAsia="Times New Roman"/>
        </w:rPr>
        <w:t>Neuznává efektivní nadnárodní integraci</w:t>
      </w:r>
    </w:p>
    <w:p w14:paraId="4A6F4DB6" w14:textId="77777777" w:rsidR="00CE6695" w:rsidRPr="004207B3" w:rsidRDefault="00CE6695" w:rsidP="00D46B53">
      <w:pPr>
        <w:pStyle w:val="Odstavecseseznamem"/>
        <w:numPr>
          <w:ilvl w:val="0"/>
          <w:numId w:val="659"/>
        </w:numPr>
        <w:rPr>
          <w:sz w:val="20"/>
          <w:szCs w:val="20"/>
        </w:rPr>
      </w:pPr>
      <w:r w:rsidRPr="004207B3">
        <w:rPr>
          <w:rFonts w:eastAsia="Times New Roman"/>
        </w:rPr>
        <w:t>Země prosazují vlastní zájmy</w:t>
      </w:r>
    </w:p>
    <w:p w14:paraId="4A6F4DB7" w14:textId="77777777" w:rsidR="00CE6695" w:rsidRPr="00627DAC" w:rsidRDefault="00CE6695" w:rsidP="007F64D6">
      <w:pPr>
        <w:rPr>
          <w:b/>
          <w:sz w:val="20"/>
          <w:szCs w:val="20"/>
        </w:rPr>
      </w:pPr>
      <w:r w:rsidRPr="00627DAC">
        <w:rPr>
          <w:rFonts w:eastAsia="Times New Roman"/>
          <w:b/>
        </w:rPr>
        <w:t>Teorie interdependence</w:t>
      </w:r>
    </w:p>
    <w:p w14:paraId="4A6F4DB8" w14:textId="77777777" w:rsidR="00CE6695" w:rsidRPr="004207B3" w:rsidRDefault="00CE6695" w:rsidP="00D46B53">
      <w:pPr>
        <w:pStyle w:val="Odstavecseseznamem"/>
        <w:numPr>
          <w:ilvl w:val="0"/>
          <w:numId w:val="660"/>
        </w:numPr>
        <w:rPr>
          <w:sz w:val="20"/>
          <w:szCs w:val="20"/>
        </w:rPr>
      </w:pPr>
      <w:r w:rsidRPr="004207B3">
        <w:rPr>
          <w:rFonts w:eastAsia="Times New Roman"/>
        </w:rPr>
        <w:t>Jednotlivé země se navzájem potřebují</w:t>
      </w:r>
    </w:p>
    <w:p w14:paraId="4A6F4DB9" w14:textId="77777777" w:rsidR="00CE6695" w:rsidRPr="004207B3" w:rsidRDefault="00CE6695" w:rsidP="00D46B53">
      <w:pPr>
        <w:pStyle w:val="Odstavecseseznamem"/>
        <w:numPr>
          <w:ilvl w:val="0"/>
          <w:numId w:val="660"/>
        </w:numPr>
        <w:rPr>
          <w:sz w:val="20"/>
          <w:szCs w:val="20"/>
        </w:rPr>
      </w:pPr>
      <w:r w:rsidRPr="004207B3">
        <w:rPr>
          <w:rFonts w:eastAsia="Times New Roman"/>
        </w:rPr>
        <w:t>Integrace je přirozená</w:t>
      </w:r>
    </w:p>
    <w:p w14:paraId="4A6F4DBA" w14:textId="77777777" w:rsidR="007F64D6" w:rsidRDefault="007F64D6" w:rsidP="004975AA">
      <w:pPr>
        <w:rPr>
          <w:rFonts w:eastAsia="Times New Roman"/>
          <w:u w:val="single"/>
        </w:rPr>
      </w:pPr>
      <w:bookmarkStart w:id="406" w:name="page417"/>
      <w:bookmarkEnd w:id="406"/>
    </w:p>
    <w:p w14:paraId="4A6F4DBB" w14:textId="77777777" w:rsidR="00CE6695" w:rsidRPr="004975AA" w:rsidRDefault="00CE6695" w:rsidP="007F64D6">
      <w:pPr>
        <w:rPr>
          <w:sz w:val="20"/>
          <w:szCs w:val="20"/>
          <w:u w:val="single"/>
        </w:rPr>
      </w:pPr>
      <w:r w:rsidRPr="004975AA">
        <w:rPr>
          <w:rFonts w:eastAsia="Times New Roman"/>
          <w:u w:val="single"/>
        </w:rPr>
        <w:t>Politická unie</w:t>
      </w:r>
    </w:p>
    <w:p w14:paraId="4A6F4DBC" w14:textId="77777777" w:rsidR="00CE6695" w:rsidRPr="00FC3B7C" w:rsidRDefault="00CE6695" w:rsidP="00D46B53">
      <w:pPr>
        <w:numPr>
          <w:ilvl w:val="0"/>
          <w:numId w:val="390"/>
        </w:numPr>
        <w:tabs>
          <w:tab w:val="left" w:pos="720"/>
        </w:tabs>
        <w:ind w:left="720" w:hanging="364"/>
        <w:rPr>
          <w:rFonts w:eastAsia="Arial"/>
          <w:szCs w:val="24"/>
        </w:rPr>
      </w:pPr>
      <w:r w:rsidRPr="00FC3B7C">
        <w:rPr>
          <w:rFonts w:eastAsia="Times New Roman"/>
          <w:b/>
          <w:bCs/>
          <w:szCs w:val="24"/>
        </w:rPr>
        <w:t xml:space="preserve">Cíl </w:t>
      </w:r>
      <w:r w:rsidRPr="00FC3B7C">
        <w:rPr>
          <w:rFonts w:eastAsia="Times New Roman"/>
          <w:szCs w:val="24"/>
        </w:rPr>
        <w:t>do budoucnosti</w:t>
      </w:r>
      <w:r w:rsidRPr="00FC3B7C">
        <w:rPr>
          <w:rFonts w:eastAsia="Times New Roman"/>
          <w:b/>
          <w:bCs/>
          <w:szCs w:val="24"/>
        </w:rPr>
        <w:t xml:space="preserve"> pro EU, nejvyšší možná fáze</w:t>
      </w:r>
    </w:p>
    <w:p w14:paraId="4A6F4DBD" w14:textId="77777777" w:rsidR="00CE6695" w:rsidRPr="00FC3B7C" w:rsidRDefault="00CE6695" w:rsidP="00D46B53">
      <w:pPr>
        <w:numPr>
          <w:ilvl w:val="0"/>
          <w:numId w:val="390"/>
        </w:numPr>
        <w:tabs>
          <w:tab w:val="left" w:pos="720"/>
        </w:tabs>
        <w:ind w:left="720" w:hanging="364"/>
        <w:rPr>
          <w:rFonts w:eastAsia="Arial"/>
          <w:szCs w:val="24"/>
        </w:rPr>
      </w:pPr>
      <w:r w:rsidRPr="00FC3B7C">
        <w:rPr>
          <w:rFonts w:eastAsia="Times New Roman"/>
          <w:szCs w:val="24"/>
        </w:rPr>
        <w:t>Spolupráce a koordinace zahraniční, bezpečnostní, obranné a vnitřní politiky</w:t>
      </w:r>
    </w:p>
    <w:p w14:paraId="4A6F4DBE" w14:textId="77777777" w:rsidR="00CE6695" w:rsidRPr="00FC3B7C" w:rsidRDefault="00CE6695" w:rsidP="00D46B53">
      <w:pPr>
        <w:numPr>
          <w:ilvl w:val="0"/>
          <w:numId w:val="390"/>
        </w:numPr>
        <w:tabs>
          <w:tab w:val="left" w:pos="720"/>
        </w:tabs>
        <w:ind w:left="720" w:hanging="364"/>
        <w:rPr>
          <w:rFonts w:eastAsia="Arial"/>
          <w:szCs w:val="24"/>
        </w:rPr>
      </w:pPr>
      <w:r w:rsidRPr="00FC3B7C">
        <w:rPr>
          <w:rFonts w:eastAsia="Times New Roman"/>
          <w:szCs w:val="24"/>
        </w:rPr>
        <w:t xml:space="preserve">např. sjednocení Německa, </w:t>
      </w:r>
      <w:r w:rsidRPr="00FC3B7C">
        <w:rPr>
          <w:rFonts w:eastAsia="Times New Roman"/>
          <w:b/>
          <w:bCs/>
          <w:szCs w:val="24"/>
        </w:rPr>
        <w:t>USA</w:t>
      </w:r>
    </w:p>
    <w:p w14:paraId="4A6F4DBF" w14:textId="77777777" w:rsidR="00CE6695" w:rsidRPr="00FC3B7C" w:rsidRDefault="00CE6695" w:rsidP="00CE6695">
      <w:pPr>
        <w:spacing w:line="376" w:lineRule="exact"/>
        <w:rPr>
          <w:sz w:val="20"/>
          <w:szCs w:val="20"/>
        </w:rPr>
      </w:pPr>
    </w:p>
    <w:p w14:paraId="4A6F4DC2" w14:textId="19DD9B4D" w:rsidR="00CE6695" w:rsidRPr="00244BB9" w:rsidRDefault="0070178B" w:rsidP="0070178B">
      <w:pPr>
        <w:pStyle w:val="Nadpis3"/>
        <w:rPr>
          <w:rFonts w:cs="Times New Roman"/>
          <w:color w:val="1F3864" w:themeColor="accent1" w:themeShade="80"/>
          <w:sz w:val="20"/>
          <w:szCs w:val="20"/>
        </w:rPr>
      </w:pPr>
      <w:r w:rsidRPr="00244BB9">
        <w:rPr>
          <w:rFonts w:eastAsia="Times New Roman" w:cs="Times New Roman"/>
          <w:color w:val="1F3864" w:themeColor="accent1" w:themeShade="80"/>
        </w:rPr>
        <w:t xml:space="preserve"> </w:t>
      </w:r>
      <w:r w:rsidR="00CE6695" w:rsidRPr="00244BB9">
        <w:rPr>
          <w:rFonts w:eastAsia="Times New Roman" w:cs="Times New Roman"/>
          <w:color w:val="1F3864" w:themeColor="accent1" w:themeShade="80"/>
        </w:rPr>
        <w:t>Cíle integrace</w:t>
      </w:r>
    </w:p>
    <w:p w14:paraId="4A6F4DC3" w14:textId="77777777" w:rsidR="00CE6695" w:rsidRPr="00244BB9" w:rsidRDefault="00CE6695" w:rsidP="007F64D6">
      <w:pPr>
        <w:pStyle w:val="Nadpis4"/>
        <w:rPr>
          <w:color w:val="1F3864" w:themeColor="accent1" w:themeShade="80"/>
          <w:sz w:val="20"/>
          <w:szCs w:val="20"/>
        </w:rPr>
      </w:pPr>
      <w:r w:rsidRPr="00244BB9">
        <w:rPr>
          <w:color w:val="1F3864" w:themeColor="accent1" w:themeShade="80"/>
        </w:rPr>
        <w:t>Ekonomické</w:t>
      </w:r>
    </w:p>
    <w:p w14:paraId="4A6F4DC5" w14:textId="77777777" w:rsidR="00CE6695" w:rsidRPr="00FC3B7C" w:rsidRDefault="00CE6695" w:rsidP="0070178B">
      <w:pPr>
        <w:rPr>
          <w:sz w:val="20"/>
          <w:szCs w:val="20"/>
        </w:rPr>
      </w:pPr>
      <w:r w:rsidRPr="00FC3B7C">
        <w:rPr>
          <w:rFonts w:eastAsia="Times New Roman"/>
        </w:rPr>
        <w:t xml:space="preserve">Vytvoření příznivějších podmínek pro </w:t>
      </w:r>
      <w:r w:rsidRPr="00FC3B7C">
        <w:rPr>
          <w:rFonts w:eastAsia="Times New Roman"/>
          <w:b/>
          <w:bCs/>
        </w:rPr>
        <w:t>růst ekonomické prosperity a</w:t>
      </w:r>
      <w:r w:rsidRPr="00FC3B7C">
        <w:rPr>
          <w:rFonts w:eastAsia="Times New Roman"/>
        </w:rPr>
        <w:t xml:space="preserve"> </w:t>
      </w:r>
      <w:r w:rsidRPr="00FC3B7C">
        <w:rPr>
          <w:rFonts w:eastAsia="Times New Roman"/>
          <w:b/>
          <w:bCs/>
        </w:rPr>
        <w:t>životní úrovně</w:t>
      </w:r>
      <w:r w:rsidRPr="00FC3B7C">
        <w:rPr>
          <w:rFonts w:eastAsia="Times New Roman"/>
        </w:rPr>
        <w:t xml:space="preserve"> </w:t>
      </w:r>
      <w:r w:rsidRPr="00FC3B7C">
        <w:rPr>
          <w:rFonts w:eastAsia="Times New Roman"/>
          <w:b/>
          <w:bCs/>
        </w:rPr>
        <w:t>obyvatel</w:t>
      </w:r>
      <w:r w:rsidRPr="00FC3B7C">
        <w:rPr>
          <w:rFonts w:eastAsia="Times New Roman"/>
        </w:rPr>
        <w:t>, rozšíření trhů, větší hospodářský</w:t>
      </w:r>
      <w:r w:rsidRPr="00FC3B7C">
        <w:rPr>
          <w:rFonts w:eastAsia="Times New Roman"/>
          <w:b/>
          <w:bCs/>
        </w:rPr>
        <w:t xml:space="preserve"> </w:t>
      </w:r>
      <w:r w:rsidRPr="00FC3B7C">
        <w:rPr>
          <w:rFonts w:eastAsia="Times New Roman"/>
        </w:rPr>
        <w:t>prostor.</w:t>
      </w:r>
    </w:p>
    <w:p w14:paraId="4A6F4DC6" w14:textId="77777777" w:rsidR="00CE6695" w:rsidRPr="00FC3B7C" w:rsidRDefault="00CE6695" w:rsidP="00CE6695">
      <w:pPr>
        <w:spacing w:line="157" w:lineRule="exact"/>
        <w:rPr>
          <w:sz w:val="20"/>
          <w:szCs w:val="20"/>
        </w:rPr>
      </w:pPr>
    </w:p>
    <w:p w14:paraId="4A6F4DC7" w14:textId="77777777" w:rsidR="00CE6695" w:rsidRPr="0070178B" w:rsidRDefault="00CE6695" w:rsidP="007F64D6">
      <w:pPr>
        <w:pStyle w:val="Nadpis4"/>
        <w:rPr>
          <w:color w:val="1F3864" w:themeColor="accent1" w:themeShade="80"/>
          <w:sz w:val="20"/>
          <w:szCs w:val="20"/>
        </w:rPr>
      </w:pPr>
      <w:r w:rsidRPr="0070178B">
        <w:rPr>
          <w:color w:val="1F3864" w:themeColor="accent1" w:themeShade="80"/>
        </w:rPr>
        <w:lastRenderedPageBreak/>
        <w:t>Politické</w:t>
      </w:r>
    </w:p>
    <w:p w14:paraId="4A6F4DC8" w14:textId="58B6DD4A" w:rsidR="00CE6695" w:rsidRPr="00FC3B7C" w:rsidRDefault="00CE6695" w:rsidP="0070178B">
      <w:pPr>
        <w:rPr>
          <w:sz w:val="20"/>
          <w:szCs w:val="20"/>
        </w:rPr>
      </w:pPr>
      <w:r w:rsidRPr="00FC3B7C">
        <w:rPr>
          <w:rFonts w:eastAsia="Times New Roman"/>
        </w:rPr>
        <w:t xml:space="preserve">Vytvořit z Evropy kontinent míru, </w:t>
      </w:r>
      <w:r w:rsidRPr="00FC3B7C">
        <w:rPr>
          <w:rFonts w:eastAsia="Times New Roman"/>
          <w:b/>
          <w:bCs/>
        </w:rPr>
        <w:t>vyloučit války, odstranit zdroje konfliktů</w:t>
      </w:r>
      <w:r w:rsidRPr="00FC3B7C">
        <w:rPr>
          <w:rFonts w:eastAsia="Times New Roman"/>
        </w:rPr>
        <w:t>, které ji v minulosti přivedly ke dvěma světovým válkám, zejména vztah Francie a Německa; První krok západoevropské integrace: založení Evropského společenství uhlí a oceli (1951)</w:t>
      </w:r>
    </w:p>
    <w:p w14:paraId="4A6F4DC9" w14:textId="77777777" w:rsidR="00CE6695" w:rsidRPr="00FC3B7C" w:rsidRDefault="00CE6695" w:rsidP="00CE6695">
      <w:pPr>
        <w:spacing w:line="178" w:lineRule="exact"/>
        <w:rPr>
          <w:sz w:val="20"/>
          <w:szCs w:val="20"/>
        </w:rPr>
      </w:pPr>
    </w:p>
    <w:p w14:paraId="4A6F4DCA" w14:textId="77777777" w:rsidR="00CE6695" w:rsidRPr="0070178B" w:rsidRDefault="00CE6695" w:rsidP="00CE6695">
      <w:pPr>
        <w:pStyle w:val="Nadpis4"/>
        <w:rPr>
          <w:rFonts w:cs="Times New Roman"/>
          <w:color w:val="1F3864" w:themeColor="accent1" w:themeShade="80"/>
          <w:sz w:val="20"/>
          <w:szCs w:val="20"/>
        </w:rPr>
      </w:pPr>
      <w:r w:rsidRPr="0070178B">
        <w:rPr>
          <w:rFonts w:eastAsia="Times New Roman" w:cs="Times New Roman"/>
          <w:color w:val="1F3864" w:themeColor="accent1" w:themeShade="80"/>
        </w:rPr>
        <w:t>Bezpečnostní a strategické</w:t>
      </w:r>
    </w:p>
    <w:p w14:paraId="4A6F4DCB" w14:textId="0CDE3CED" w:rsidR="00CE6695" w:rsidRPr="00FC3B7C" w:rsidRDefault="00CE6695" w:rsidP="0070178B">
      <w:pPr>
        <w:sectPr w:rsidR="00CE6695" w:rsidRPr="00FC3B7C" w:rsidSect="00244780">
          <w:pgSz w:w="11900" w:h="16840"/>
          <w:pgMar w:top="1397" w:right="1420" w:bottom="1440" w:left="1420" w:header="0" w:footer="0" w:gutter="0"/>
          <w:cols w:space="708"/>
        </w:sectPr>
      </w:pPr>
      <w:r w:rsidRPr="00FC3B7C">
        <w:t xml:space="preserve">Období studené války, </w:t>
      </w:r>
      <w:r w:rsidR="00124942" w:rsidRPr="00FC3B7C">
        <w:t>vojenská a</w:t>
      </w:r>
      <w:r w:rsidR="00124942">
        <w:t xml:space="preserve"> </w:t>
      </w:r>
      <w:r w:rsidR="00124942" w:rsidRPr="00FC3B7C">
        <w:t>ideologická</w:t>
      </w:r>
      <w:r w:rsidRPr="00FC3B7C">
        <w:t xml:space="preserve"> hrozba Sovětského svazu – faktor, který stmeloval západoevropské země; </w:t>
      </w:r>
      <w:r w:rsidRPr="00FC3B7C">
        <w:rPr>
          <w:b/>
        </w:rPr>
        <w:t xml:space="preserve">bezpečnostní motiv: </w:t>
      </w:r>
      <w:r w:rsidRPr="00FC3B7C">
        <w:t xml:space="preserve">ukázat přínosy tržní ekonomiky východu, </w:t>
      </w:r>
      <w:r w:rsidRPr="00FC3B7C">
        <w:rPr>
          <w:b/>
        </w:rPr>
        <w:t>strategický motiv</w:t>
      </w:r>
      <w:r w:rsidRPr="00FC3B7C">
        <w:t>: země se snažily posílit integraci, aby b</w:t>
      </w:r>
      <w:r w:rsidR="007F64D6">
        <w:t xml:space="preserve">yla země silná proti </w:t>
      </w:r>
      <w:r w:rsidR="00124942">
        <w:t>Sovětskému</w:t>
      </w:r>
      <w:r w:rsidR="00124942" w:rsidRPr="00FC3B7C">
        <w:t xml:space="preserve"> svazu</w:t>
      </w:r>
      <w:r w:rsidR="007F64D6">
        <w:t>.</w:t>
      </w:r>
    </w:p>
    <w:p w14:paraId="4A6F4DCC" w14:textId="77777777" w:rsidR="00CE6695" w:rsidRPr="00FC3B7C" w:rsidRDefault="00CE6695" w:rsidP="00CE6695">
      <w:pPr>
        <w:rPr>
          <w:sz w:val="20"/>
          <w:szCs w:val="20"/>
        </w:rPr>
        <w:sectPr w:rsidR="00CE6695" w:rsidRPr="00FC3B7C">
          <w:type w:val="continuous"/>
          <w:pgSz w:w="11900" w:h="16840"/>
          <w:pgMar w:top="1397" w:right="1420" w:bottom="1440" w:left="1420" w:header="0" w:footer="0" w:gutter="0"/>
          <w:cols w:num="2" w:space="708" w:equalWidth="0">
            <w:col w:w="3500" w:space="20"/>
            <w:col w:w="5540"/>
          </w:cols>
        </w:sectPr>
      </w:pPr>
      <w:r w:rsidRPr="00FC3B7C">
        <w:rPr>
          <w:sz w:val="20"/>
          <w:szCs w:val="20"/>
        </w:rPr>
        <w:br w:type="column"/>
      </w:r>
    </w:p>
    <w:p w14:paraId="4A6F4DCD" w14:textId="77777777" w:rsidR="00CE6695" w:rsidRPr="0070178B" w:rsidRDefault="00CE6695" w:rsidP="007F64D6">
      <w:pPr>
        <w:pStyle w:val="Nadpis4"/>
        <w:rPr>
          <w:rFonts w:cs="Times New Roman"/>
          <w:color w:val="1F3864" w:themeColor="accent1" w:themeShade="80"/>
          <w:sz w:val="20"/>
          <w:szCs w:val="20"/>
        </w:rPr>
      </w:pPr>
      <w:r w:rsidRPr="0070178B">
        <w:rPr>
          <w:rFonts w:eastAsia="Times New Roman" w:cs="Times New Roman"/>
          <w:color w:val="1F3864" w:themeColor="accent1" w:themeShade="80"/>
        </w:rPr>
        <w:t>Geopolitické cíle</w:t>
      </w:r>
    </w:p>
    <w:p w14:paraId="0B7DA6D7" w14:textId="659BA972" w:rsidR="004207B3" w:rsidRPr="0070178B" w:rsidRDefault="00CE6695" w:rsidP="007F64D6">
      <w:pPr>
        <w:rPr>
          <w:sz w:val="20"/>
          <w:szCs w:val="20"/>
        </w:rPr>
      </w:pPr>
      <w:r w:rsidRPr="00FC3B7C">
        <w:rPr>
          <w:rFonts w:eastAsia="Times New Roman"/>
        </w:rPr>
        <w:t xml:space="preserve">V rámci Evropy to znamená </w:t>
      </w:r>
      <w:r w:rsidRPr="00FC3B7C">
        <w:rPr>
          <w:rFonts w:eastAsia="Times New Roman"/>
          <w:b/>
          <w:bCs/>
        </w:rPr>
        <w:t>posílení postavení ve světě</w:t>
      </w:r>
      <w:r w:rsidRPr="00FC3B7C">
        <w:rPr>
          <w:rFonts w:eastAsia="Times New Roman"/>
        </w:rPr>
        <w:t>, zlepšení konkurenceschopnosti vůči velmocím, globalizace.</w:t>
      </w:r>
    </w:p>
    <w:p w14:paraId="4B3DBBC3" w14:textId="77777777" w:rsidR="004207B3" w:rsidRDefault="004207B3" w:rsidP="007F64D6">
      <w:pPr>
        <w:rPr>
          <w:rFonts w:eastAsia="Times New Roman"/>
          <w:sz w:val="23"/>
          <w:szCs w:val="23"/>
        </w:rPr>
      </w:pPr>
    </w:p>
    <w:p w14:paraId="4A6F4DCF" w14:textId="6E764B90" w:rsidR="00CE6695" w:rsidRPr="00FC3B7C" w:rsidRDefault="00CE6695" w:rsidP="007F64D6">
      <w:pPr>
        <w:rPr>
          <w:sz w:val="20"/>
          <w:szCs w:val="20"/>
        </w:rPr>
      </w:pPr>
      <w:r w:rsidRPr="00FC3B7C">
        <w:rPr>
          <w:rFonts w:eastAsia="Times New Roman"/>
          <w:sz w:val="23"/>
          <w:szCs w:val="23"/>
        </w:rPr>
        <w:t>Ekonomická integrace se vždy proplétá s politickou integrací, dominantní pohnutka v Evropě:</w:t>
      </w:r>
    </w:p>
    <w:p w14:paraId="4A6F4DD0" w14:textId="77777777" w:rsidR="00CE6695" w:rsidRPr="00FC3B7C" w:rsidRDefault="00CE6695" w:rsidP="007F64D6">
      <w:pPr>
        <w:rPr>
          <w:sz w:val="20"/>
          <w:szCs w:val="20"/>
        </w:rPr>
      </w:pPr>
      <w:r w:rsidRPr="00FC3B7C">
        <w:rPr>
          <w:rFonts w:eastAsia="Times New Roman"/>
          <w:szCs w:val="24"/>
        </w:rPr>
        <w:t>politická a bezpečnostní, ekonomická integrace jako nejschůdnější cesta.</w:t>
      </w:r>
    </w:p>
    <w:p w14:paraId="4A6F4DD2" w14:textId="77777777" w:rsidR="00CE6695" w:rsidRPr="00FC3B7C" w:rsidRDefault="00CE6695" w:rsidP="00CE6695">
      <w:pPr>
        <w:spacing w:line="200" w:lineRule="exact"/>
        <w:rPr>
          <w:sz w:val="20"/>
          <w:szCs w:val="20"/>
        </w:rPr>
      </w:pPr>
    </w:p>
    <w:p w14:paraId="4A6F4DD3" w14:textId="77777777" w:rsidR="00CE6695" w:rsidRPr="00FC3B7C" w:rsidRDefault="00CE6695" w:rsidP="00CE6695">
      <w:pPr>
        <w:spacing w:line="213" w:lineRule="exact"/>
        <w:rPr>
          <w:sz w:val="20"/>
          <w:szCs w:val="20"/>
        </w:rPr>
      </w:pPr>
    </w:p>
    <w:p w14:paraId="4A6F4DD4" w14:textId="77777777" w:rsidR="00CE6695" w:rsidRPr="00244BB9" w:rsidRDefault="00CE6695" w:rsidP="007F64D6">
      <w:pPr>
        <w:pStyle w:val="Nadpis2"/>
        <w:rPr>
          <w:b w:val="0"/>
          <w:color w:val="1F3864" w:themeColor="accent1" w:themeShade="80"/>
          <w:sz w:val="20"/>
          <w:szCs w:val="20"/>
        </w:rPr>
      </w:pPr>
      <w:r w:rsidRPr="00244BB9">
        <w:rPr>
          <w:color w:val="1F3864" w:themeColor="accent1" w:themeShade="80"/>
        </w:rPr>
        <w:t>VÝVOJ</w:t>
      </w:r>
      <w:r w:rsidRPr="00244BB9">
        <w:rPr>
          <w:color w:val="1F3864" w:themeColor="accent1" w:themeShade="80"/>
          <w:sz w:val="20"/>
          <w:szCs w:val="20"/>
        </w:rPr>
        <w:t xml:space="preserve"> </w:t>
      </w:r>
      <w:r w:rsidRPr="00244BB9">
        <w:rPr>
          <w:color w:val="1F3864" w:themeColor="accent1" w:themeShade="80"/>
          <w:szCs w:val="28"/>
        </w:rPr>
        <w:t>EKONOMICKO-POLITICKÝCH</w:t>
      </w:r>
      <w:r w:rsidRPr="00244BB9">
        <w:rPr>
          <w:color w:val="1F3864" w:themeColor="accent1" w:themeShade="80"/>
          <w:sz w:val="31"/>
          <w:szCs w:val="31"/>
        </w:rPr>
        <w:t xml:space="preserve"> </w:t>
      </w:r>
      <w:r w:rsidRPr="00244BB9">
        <w:rPr>
          <w:color w:val="1F3864" w:themeColor="accent1" w:themeShade="80"/>
        </w:rPr>
        <w:t>INTEGRAČNÍCH SESKUPENÍ EU</w:t>
      </w:r>
    </w:p>
    <w:p w14:paraId="4A6F4DD5" w14:textId="5A0D08A1" w:rsidR="00CE6695" w:rsidRPr="00FC3B7C" w:rsidRDefault="001029BF" w:rsidP="00D46B53">
      <w:pPr>
        <w:numPr>
          <w:ilvl w:val="0"/>
          <w:numId w:val="391"/>
        </w:numPr>
        <w:tabs>
          <w:tab w:val="left" w:pos="260"/>
        </w:tabs>
        <w:ind w:left="260" w:hanging="148"/>
        <w:rPr>
          <w:rFonts w:eastAsia="Times New Roman"/>
          <w:b/>
          <w:bCs/>
          <w:szCs w:val="24"/>
        </w:rPr>
      </w:pPr>
      <w:r>
        <w:rPr>
          <w:rFonts w:eastAsia="Times New Roman"/>
          <w:b/>
          <w:bCs/>
          <w:szCs w:val="24"/>
        </w:rPr>
        <w:t xml:space="preserve">9. stol - </w:t>
      </w:r>
      <w:r w:rsidRPr="001029BF">
        <w:rPr>
          <w:rFonts w:eastAsia="Times New Roman"/>
          <w:szCs w:val="24"/>
        </w:rPr>
        <w:t>P</w:t>
      </w:r>
      <w:r w:rsidR="00CE6695" w:rsidRPr="001029BF">
        <w:rPr>
          <w:rFonts w:eastAsia="Times New Roman"/>
          <w:szCs w:val="24"/>
        </w:rPr>
        <w:t>rvní myšlenky v říši Karla Velikého</w:t>
      </w:r>
    </w:p>
    <w:p w14:paraId="4A6F4DD6" w14:textId="77777777" w:rsidR="00CE6695" w:rsidRPr="00FC3B7C" w:rsidRDefault="00CE6695" w:rsidP="00D46B53">
      <w:pPr>
        <w:numPr>
          <w:ilvl w:val="0"/>
          <w:numId w:val="391"/>
        </w:numPr>
        <w:tabs>
          <w:tab w:val="left" w:pos="260"/>
        </w:tabs>
        <w:ind w:left="260" w:hanging="148"/>
        <w:rPr>
          <w:rFonts w:eastAsia="Times New Roman"/>
          <w:b/>
          <w:bCs/>
          <w:szCs w:val="24"/>
        </w:rPr>
      </w:pPr>
      <w:r w:rsidRPr="00FC3B7C">
        <w:rPr>
          <w:rFonts w:eastAsia="Times New Roman"/>
          <w:b/>
          <w:bCs/>
          <w:szCs w:val="24"/>
        </w:rPr>
        <w:t xml:space="preserve">15. stol. Jiří z Poděbrad </w:t>
      </w:r>
      <w:r w:rsidRPr="001029BF">
        <w:rPr>
          <w:rFonts w:eastAsia="Times New Roman"/>
          <w:szCs w:val="24"/>
        </w:rPr>
        <w:t>- systém kolektivní bezpečnosti</w:t>
      </w:r>
    </w:p>
    <w:p w14:paraId="70E1279B" w14:textId="77777777" w:rsidR="001029BF" w:rsidRDefault="001029BF" w:rsidP="00D46B53">
      <w:pPr>
        <w:numPr>
          <w:ilvl w:val="0"/>
          <w:numId w:val="392"/>
        </w:numPr>
        <w:tabs>
          <w:tab w:val="left" w:pos="238"/>
        </w:tabs>
        <w:ind w:left="100" w:right="1140" w:hanging="8"/>
        <w:rPr>
          <w:rFonts w:eastAsia="Times New Roman"/>
          <w:b/>
          <w:bCs/>
          <w:szCs w:val="24"/>
        </w:rPr>
      </w:pPr>
      <w:r>
        <w:rPr>
          <w:rFonts w:eastAsia="Times New Roman"/>
          <w:b/>
          <w:bCs/>
          <w:szCs w:val="24"/>
        </w:rPr>
        <w:t xml:space="preserve">1814-1815 </w:t>
      </w:r>
      <w:r w:rsidR="007F64D6" w:rsidRPr="00FC3B7C">
        <w:rPr>
          <w:rFonts w:eastAsia="Times New Roman"/>
          <w:b/>
          <w:bCs/>
          <w:szCs w:val="24"/>
        </w:rPr>
        <w:t>Vídeňský kongres</w:t>
      </w:r>
      <w:r>
        <w:rPr>
          <w:rFonts w:eastAsia="Times New Roman"/>
          <w:b/>
          <w:bCs/>
          <w:szCs w:val="24"/>
        </w:rPr>
        <w:t xml:space="preserve"> </w:t>
      </w:r>
      <w:r w:rsidR="007F64D6" w:rsidRPr="00FC3B7C">
        <w:rPr>
          <w:rFonts w:eastAsia="Times New Roman"/>
          <w:b/>
          <w:bCs/>
          <w:szCs w:val="24"/>
        </w:rPr>
        <w:t xml:space="preserve">– </w:t>
      </w:r>
      <w:r w:rsidR="007F64D6" w:rsidRPr="001029BF">
        <w:rPr>
          <w:rFonts w:eastAsia="Times New Roman"/>
          <w:szCs w:val="24"/>
        </w:rPr>
        <w:t>uspořádání Evropy po porážce Napoleona</w:t>
      </w:r>
      <w:r w:rsidR="007F64D6" w:rsidRPr="00FC3B7C">
        <w:rPr>
          <w:rFonts w:eastAsia="Times New Roman"/>
          <w:b/>
          <w:bCs/>
          <w:szCs w:val="24"/>
        </w:rPr>
        <w:t xml:space="preserve"> </w:t>
      </w:r>
    </w:p>
    <w:p w14:paraId="4CB87B4B" w14:textId="77777777" w:rsidR="001029BF" w:rsidRDefault="007F64D6" w:rsidP="00D46B53">
      <w:pPr>
        <w:numPr>
          <w:ilvl w:val="0"/>
          <w:numId w:val="392"/>
        </w:numPr>
        <w:tabs>
          <w:tab w:val="left" w:pos="238"/>
        </w:tabs>
        <w:ind w:left="100" w:right="1140" w:hanging="8"/>
        <w:rPr>
          <w:rFonts w:eastAsia="Times New Roman"/>
          <w:b/>
          <w:bCs/>
          <w:szCs w:val="24"/>
        </w:rPr>
      </w:pPr>
      <w:r w:rsidRPr="00FC3B7C">
        <w:rPr>
          <w:rFonts w:eastAsia="Times New Roman"/>
          <w:b/>
          <w:bCs/>
          <w:szCs w:val="24"/>
        </w:rPr>
        <w:t>1919 – Společnost národů</w:t>
      </w:r>
    </w:p>
    <w:p w14:paraId="4B44F1AC" w14:textId="77777777" w:rsidR="001029BF" w:rsidRDefault="007F64D6" w:rsidP="00D46B53">
      <w:pPr>
        <w:numPr>
          <w:ilvl w:val="0"/>
          <w:numId w:val="392"/>
        </w:numPr>
        <w:tabs>
          <w:tab w:val="left" w:pos="238"/>
        </w:tabs>
        <w:ind w:left="100" w:right="1140" w:hanging="8"/>
        <w:rPr>
          <w:rFonts w:eastAsia="Times New Roman"/>
          <w:b/>
          <w:bCs/>
          <w:szCs w:val="24"/>
        </w:rPr>
      </w:pPr>
      <w:r w:rsidRPr="001029BF">
        <w:rPr>
          <w:rFonts w:eastAsia="Times New Roman"/>
          <w:b/>
          <w:bCs/>
          <w:szCs w:val="24"/>
        </w:rPr>
        <w:t xml:space="preserve">1945 – Jaltská konference – </w:t>
      </w:r>
      <w:r w:rsidRPr="001029BF">
        <w:rPr>
          <w:rFonts w:eastAsia="Times New Roman"/>
          <w:szCs w:val="24"/>
        </w:rPr>
        <w:t>sféry západního a sovětského vlivu</w:t>
      </w:r>
    </w:p>
    <w:p w14:paraId="4A6F4DD9" w14:textId="0105817B" w:rsidR="007F64D6" w:rsidRPr="001029BF" w:rsidRDefault="007F64D6" w:rsidP="00D46B53">
      <w:pPr>
        <w:numPr>
          <w:ilvl w:val="0"/>
          <w:numId w:val="392"/>
        </w:numPr>
        <w:tabs>
          <w:tab w:val="left" w:pos="238"/>
        </w:tabs>
        <w:ind w:left="100" w:right="1140" w:hanging="8"/>
        <w:rPr>
          <w:rFonts w:eastAsia="Times New Roman"/>
          <w:b/>
          <w:bCs/>
          <w:szCs w:val="24"/>
        </w:rPr>
      </w:pPr>
      <w:r w:rsidRPr="001029BF">
        <w:rPr>
          <w:rFonts w:eastAsia="Times New Roman"/>
          <w:b/>
          <w:bCs/>
          <w:szCs w:val="24"/>
        </w:rPr>
        <w:t xml:space="preserve">1947 – Marshallův plán – </w:t>
      </w:r>
      <w:r w:rsidRPr="001029BF">
        <w:rPr>
          <w:rFonts w:eastAsia="Times New Roman"/>
          <w:szCs w:val="24"/>
        </w:rPr>
        <w:t>pomoc v poválečné rekonstrukci (více než 13mld. dolarů)</w:t>
      </w:r>
    </w:p>
    <w:p w14:paraId="4A6F4DDA" w14:textId="77777777" w:rsidR="00CE6695" w:rsidRDefault="00CE6695" w:rsidP="007F64D6"/>
    <w:p w14:paraId="4A6F4DDB" w14:textId="77777777" w:rsidR="007F64D6" w:rsidRDefault="007F64D6" w:rsidP="007F64D6"/>
    <w:p w14:paraId="4A6F4DDC" w14:textId="77777777" w:rsidR="007F64D6" w:rsidRPr="00FC3B7C" w:rsidRDefault="007F64D6" w:rsidP="007F64D6">
      <w:pPr>
        <w:sectPr w:rsidR="007F64D6" w:rsidRPr="00FC3B7C">
          <w:type w:val="continuous"/>
          <w:pgSz w:w="11900" w:h="16840"/>
          <w:pgMar w:top="1397" w:right="1420" w:bottom="1440" w:left="1420" w:header="0" w:footer="0" w:gutter="0"/>
          <w:cols w:space="708" w:equalWidth="0">
            <w:col w:w="9060"/>
          </w:cols>
        </w:sectPr>
      </w:pPr>
    </w:p>
    <w:p w14:paraId="4A6F4DDD" w14:textId="77777777" w:rsidR="00CE6695" w:rsidRPr="00FC3B7C" w:rsidRDefault="00CE6695" w:rsidP="00CE6695">
      <w:pPr>
        <w:spacing w:line="372" w:lineRule="exact"/>
        <w:rPr>
          <w:sz w:val="20"/>
          <w:szCs w:val="20"/>
        </w:rPr>
      </w:pPr>
      <w:bookmarkStart w:id="407" w:name="page418"/>
      <w:bookmarkEnd w:id="407"/>
    </w:p>
    <w:p w14:paraId="4A6F4DDE" w14:textId="77777777" w:rsidR="00CE6695" w:rsidRPr="0070178B" w:rsidRDefault="00CE6695" w:rsidP="007F64D6">
      <w:pPr>
        <w:pStyle w:val="Nadpis3"/>
        <w:rPr>
          <w:rFonts w:cs="Times New Roman"/>
          <w:color w:val="1F3864" w:themeColor="accent1" w:themeShade="80"/>
          <w:sz w:val="20"/>
          <w:szCs w:val="20"/>
        </w:rPr>
      </w:pPr>
      <w:r w:rsidRPr="0070178B">
        <w:rPr>
          <w:rFonts w:eastAsia="Times New Roman" w:cs="Times New Roman"/>
          <w:color w:val="1F3864" w:themeColor="accent1" w:themeShade="80"/>
        </w:rPr>
        <w:t xml:space="preserve"> Vývoj EU</w:t>
      </w:r>
    </w:p>
    <w:p w14:paraId="4A6F4DDF" w14:textId="0B66DFF4" w:rsidR="00CE6695" w:rsidRPr="00FC3B7C" w:rsidRDefault="00CE6695" w:rsidP="007F64D6">
      <w:pPr>
        <w:ind w:left="100" w:right="2000"/>
        <w:rPr>
          <w:sz w:val="20"/>
          <w:szCs w:val="20"/>
        </w:rPr>
      </w:pPr>
      <w:r w:rsidRPr="00FC3B7C">
        <w:rPr>
          <w:rFonts w:eastAsia="Times New Roman"/>
          <w:b/>
          <w:bCs/>
          <w:i/>
          <w:iCs/>
          <w:szCs w:val="24"/>
        </w:rPr>
        <w:t xml:space="preserve">1948 OEEC </w:t>
      </w:r>
      <w:r w:rsidRPr="00FC3B7C">
        <w:rPr>
          <w:rFonts w:eastAsia="Times New Roman"/>
          <w:szCs w:val="24"/>
        </w:rPr>
        <w:t>(Organizace pro evropskou hospodářskou</w:t>
      </w:r>
      <w:r w:rsidRPr="00FC3B7C">
        <w:rPr>
          <w:rFonts w:eastAsia="Times New Roman"/>
          <w:b/>
          <w:bCs/>
          <w:i/>
          <w:iCs/>
          <w:szCs w:val="24"/>
        </w:rPr>
        <w:t xml:space="preserve"> </w:t>
      </w:r>
      <w:r w:rsidRPr="00FC3B7C">
        <w:rPr>
          <w:rFonts w:eastAsia="Times New Roman"/>
          <w:szCs w:val="24"/>
        </w:rPr>
        <w:t>spolupráci)</w:t>
      </w:r>
    </w:p>
    <w:p w14:paraId="4A6F4DE0" w14:textId="791F9179" w:rsidR="00CE6695" w:rsidRPr="007F64D6" w:rsidRDefault="00D11E82" w:rsidP="00D46B53">
      <w:pPr>
        <w:numPr>
          <w:ilvl w:val="0"/>
          <w:numId w:val="393"/>
        </w:numPr>
        <w:tabs>
          <w:tab w:val="left" w:pos="800"/>
        </w:tabs>
        <w:ind w:left="800" w:right="440" w:hanging="348"/>
        <w:rPr>
          <w:rFonts w:eastAsia="Arial"/>
          <w:szCs w:val="24"/>
        </w:rPr>
      </w:pPr>
      <w:r>
        <w:rPr>
          <w:rFonts w:eastAsia="Times New Roman"/>
          <w:szCs w:val="24"/>
        </w:rPr>
        <w:t>Z</w:t>
      </w:r>
      <w:r w:rsidR="00CE6695" w:rsidRPr="00FC3B7C">
        <w:rPr>
          <w:rFonts w:eastAsia="Times New Roman"/>
          <w:szCs w:val="24"/>
        </w:rPr>
        <w:t xml:space="preserve">řízena k administraci americké poválečné pomoci Evropě </w:t>
      </w:r>
      <w:r w:rsidR="00CE6695" w:rsidRPr="00FC3B7C">
        <w:rPr>
          <w:rFonts w:eastAsia="Times New Roman"/>
          <w:b/>
          <w:bCs/>
          <w:szCs w:val="24"/>
        </w:rPr>
        <w:t>v rámci Marshallova</w:t>
      </w:r>
      <w:r w:rsidR="00CE6695" w:rsidRPr="00FC3B7C">
        <w:rPr>
          <w:rFonts w:eastAsia="Times New Roman"/>
          <w:szCs w:val="24"/>
        </w:rPr>
        <w:t xml:space="preserve"> </w:t>
      </w:r>
      <w:r w:rsidR="00CE6695" w:rsidRPr="00FC3B7C">
        <w:rPr>
          <w:rFonts w:eastAsia="Times New Roman"/>
          <w:b/>
          <w:bCs/>
          <w:szCs w:val="24"/>
        </w:rPr>
        <w:t>plánu</w:t>
      </w:r>
    </w:p>
    <w:p w14:paraId="4A6F4DE1" w14:textId="278134E4" w:rsidR="00CE6695" w:rsidRPr="007F64D6" w:rsidRDefault="00D11E82" w:rsidP="00D46B53">
      <w:pPr>
        <w:numPr>
          <w:ilvl w:val="0"/>
          <w:numId w:val="393"/>
        </w:numPr>
        <w:tabs>
          <w:tab w:val="left" w:pos="800"/>
        </w:tabs>
        <w:ind w:left="800" w:hanging="348"/>
        <w:rPr>
          <w:rFonts w:eastAsia="Arial"/>
          <w:szCs w:val="24"/>
        </w:rPr>
      </w:pPr>
      <w:r>
        <w:rPr>
          <w:rFonts w:eastAsia="Times New Roman"/>
          <w:szCs w:val="24"/>
        </w:rPr>
        <w:t>P</w:t>
      </w:r>
      <w:r w:rsidR="00CE6695" w:rsidRPr="00FC3B7C">
        <w:rPr>
          <w:rFonts w:eastAsia="Times New Roman"/>
          <w:szCs w:val="24"/>
        </w:rPr>
        <w:t>rvní krok evropské ekonomické integrace</w:t>
      </w:r>
    </w:p>
    <w:p w14:paraId="4A6F4DE2" w14:textId="29835B7A" w:rsidR="00CE6695" w:rsidRPr="007F64D6" w:rsidRDefault="00D11E82" w:rsidP="00D46B53">
      <w:pPr>
        <w:numPr>
          <w:ilvl w:val="0"/>
          <w:numId w:val="393"/>
        </w:numPr>
        <w:tabs>
          <w:tab w:val="left" w:pos="800"/>
        </w:tabs>
        <w:ind w:left="800" w:hanging="348"/>
        <w:rPr>
          <w:rFonts w:eastAsia="Arial"/>
          <w:szCs w:val="24"/>
        </w:rPr>
      </w:pPr>
      <w:r>
        <w:rPr>
          <w:rFonts w:eastAsia="Times New Roman"/>
          <w:szCs w:val="24"/>
        </w:rPr>
        <w:t>P</w:t>
      </w:r>
      <w:r w:rsidR="00CE6695" w:rsidRPr="00FC3B7C">
        <w:rPr>
          <w:rFonts w:eastAsia="Times New Roman"/>
          <w:szCs w:val="24"/>
        </w:rPr>
        <w:t>od tlakem USA došlo k částečnému uvolnění zahraničního obchodu</w:t>
      </w:r>
    </w:p>
    <w:p w14:paraId="4A6F4DE3" w14:textId="08364C4F" w:rsidR="00CE6695" w:rsidRPr="007F64D6" w:rsidRDefault="00D11E82" w:rsidP="00D46B53">
      <w:pPr>
        <w:numPr>
          <w:ilvl w:val="0"/>
          <w:numId w:val="393"/>
        </w:numPr>
        <w:tabs>
          <w:tab w:val="left" w:pos="800"/>
        </w:tabs>
        <w:ind w:left="800" w:right="280" w:hanging="348"/>
        <w:rPr>
          <w:rFonts w:eastAsia="Arial"/>
          <w:szCs w:val="24"/>
        </w:rPr>
      </w:pPr>
      <w:r>
        <w:rPr>
          <w:rFonts w:eastAsia="Times New Roman"/>
          <w:b/>
          <w:bCs/>
          <w:szCs w:val="24"/>
        </w:rPr>
        <w:t>V</w:t>
      </w:r>
      <w:r w:rsidR="00CE6695" w:rsidRPr="00FC3B7C">
        <w:rPr>
          <w:rFonts w:eastAsia="Times New Roman"/>
          <w:b/>
          <w:bCs/>
          <w:szCs w:val="24"/>
        </w:rPr>
        <w:t xml:space="preserve">znik EPU </w:t>
      </w:r>
      <w:r w:rsidR="00CE6695" w:rsidRPr="00FC3B7C">
        <w:rPr>
          <w:rFonts w:eastAsia="Times New Roman"/>
          <w:szCs w:val="24"/>
        </w:rPr>
        <w:t>(Evropská platební unie), která zjednodušila systém plateb mezi po</w:t>
      </w:r>
      <w:r w:rsidR="00CE6695" w:rsidRPr="00FC3B7C">
        <w:rPr>
          <w:rFonts w:eastAsia="Times New Roman"/>
          <w:b/>
          <w:bCs/>
          <w:szCs w:val="24"/>
        </w:rPr>
        <w:t xml:space="preserve"> </w:t>
      </w:r>
      <w:r w:rsidR="00CE6695" w:rsidRPr="00FC3B7C">
        <w:rPr>
          <w:rFonts w:eastAsia="Times New Roman"/>
          <w:szCs w:val="24"/>
        </w:rPr>
        <w:t>válce silně zadluženými evropskými zeměmi</w:t>
      </w:r>
    </w:p>
    <w:p w14:paraId="4A6F4DE4" w14:textId="53378987" w:rsidR="00CE6695" w:rsidRPr="007F64D6" w:rsidRDefault="00D11E82" w:rsidP="00D46B53">
      <w:pPr>
        <w:numPr>
          <w:ilvl w:val="0"/>
          <w:numId w:val="393"/>
        </w:numPr>
        <w:tabs>
          <w:tab w:val="left" w:pos="800"/>
        </w:tabs>
        <w:ind w:left="800" w:right="40" w:hanging="348"/>
        <w:rPr>
          <w:rFonts w:eastAsia="Arial"/>
          <w:szCs w:val="24"/>
        </w:rPr>
      </w:pPr>
      <w:r>
        <w:rPr>
          <w:rFonts w:eastAsia="Times New Roman"/>
          <w:b/>
          <w:bCs/>
          <w:szCs w:val="24"/>
        </w:rPr>
        <w:t>O</w:t>
      </w:r>
      <w:r w:rsidR="00CE6695" w:rsidRPr="00FC3B7C">
        <w:rPr>
          <w:rFonts w:eastAsia="Times New Roman"/>
          <w:b/>
          <w:bCs/>
          <w:szCs w:val="24"/>
        </w:rPr>
        <w:t xml:space="preserve">d roku 1961 </w:t>
      </w:r>
      <w:r w:rsidR="00CE6695" w:rsidRPr="00FC3B7C">
        <w:rPr>
          <w:rFonts w:eastAsia="Times New Roman"/>
          <w:szCs w:val="24"/>
        </w:rPr>
        <w:t>přetransformována na</w:t>
      </w:r>
      <w:r w:rsidR="00CE6695" w:rsidRPr="00FC3B7C">
        <w:rPr>
          <w:rFonts w:eastAsia="Times New Roman"/>
          <w:b/>
          <w:bCs/>
          <w:szCs w:val="24"/>
        </w:rPr>
        <w:t xml:space="preserve"> OECD </w:t>
      </w:r>
      <w:r w:rsidR="00CE6695" w:rsidRPr="00FC3B7C">
        <w:rPr>
          <w:rFonts w:eastAsia="Times New Roman"/>
          <w:szCs w:val="24"/>
        </w:rPr>
        <w:t>(Organizace pro hospodářskou</w:t>
      </w:r>
      <w:r w:rsidR="00CE6695" w:rsidRPr="00FC3B7C">
        <w:rPr>
          <w:rFonts w:eastAsia="Times New Roman"/>
          <w:b/>
          <w:bCs/>
          <w:szCs w:val="24"/>
        </w:rPr>
        <w:t xml:space="preserve"> </w:t>
      </w:r>
      <w:r w:rsidR="00CE6695" w:rsidRPr="00FC3B7C">
        <w:rPr>
          <w:rFonts w:eastAsia="Times New Roman"/>
          <w:szCs w:val="24"/>
        </w:rPr>
        <w:t>spolupráci a rozvoj)</w:t>
      </w:r>
    </w:p>
    <w:p w14:paraId="4A6F4DE5" w14:textId="5A716EFB" w:rsidR="00CE6695" w:rsidRPr="007F64D6" w:rsidRDefault="00D11E82" w:rsidP="007F64D6">
      <w:pPr>
        <w:rPr>
          <w:b/>
          <w:sz w:val="20"/>
          <w:szCs w:val="20"/>
        </w:rPr>
      </w:pPr>
      <w:r>
        <w:rPr>
          <w:rFonts w:eastAsia="Times New Roman"/>
          <w:b/>
          <w:i/>
          <w:iCs/>
        </w:rPr>
        <w:t xml:space="preserve">1951 </w:t>
      </w:r>
      <w:r w:rsidR="00CE6695" w:rsidRPr="004975AA">
        <w:rPr>
          <w:rFonts w:eastAsia="Times New Roman"/>
          <w:b/>
          <w:i/>
          <w:iCs/>
        </w:rPr>
        <w:t xml:space="preserve">Pařížská smlouva </w:t>
      </w:r>
      <w:r w:rsidR="00CE6695" w:rsidRPr="004975AA">
        <w:rPr>
          <w:rFonts w:eastAsia="Times New Roman"/>
          <w:b/>
        </w:rPr>
        <w:t>(platnost od 1952)</w:t>
      </w:r>
    </w:p>
    <w:p w14:paraId="4A6F4DE6" w14:textId="7012406E" w:rsidR="00CE6695" w:rsidRPr="00FC3B7C" w:rsidRDefault="00D11E82" w:rsidP="00D46B53">
      <w:pPr>
        <w:numPr>
          <w:ilvl w:val="0"/>
          <w:numId w:val="394"/>
        </w:numPr>
        <w:tabs>
          <w:tab w:val="left" w:pos="800"/>
        </w:tabs>
        <w:ind w:left="800" w:right="40" w:hanging="348"/>
        <w:rPr>
          <w:rFonts w:eastAsia="Arial"/>
          <w:szCs w:val="24"/>
        </w:rPr>
      </w:pPr>
      <w:r>
        <w:rPr>
          <w:rFonts w:eastAsia="Times New Roman"/>
          <w:b/>
          <w:bCs/>
          <w:szCs w:val="24"/>
        </w:rPr>
        <w:t>V</w:t>
      </w:r>
      <w:r w:rsidR="00CE6695" w:rsidRPr="00FC3B7C">
        <w:rPr>
          <w:rFonts w:eastAsia="Times New Roman"/>
          <w:b/>
          <w:bCs/>
          <w:szCs w:val="24"/>
        </w:rPr>
        <w:t xml:space="preserve">znik ESUO </w:t>
      </w:r>
      <w:r w:rsidR="00CE6695" w:rsidRPr="00FC3B7C">
        <w:rPr>
          <w:rFonts w:eastAsia="Times New Roman"/>
          <w:szCs w:val="24"/>
        </w:rPr>
        <w:t>(Evropské sdružení uhlí a oceli) – Montánní unie – zakládající státy</w:t>
      </w:r>
      <w:r w:rsidR="00CE6695" w:rsidRPr="00FC3B7C">
        <w:rPr>
          <w:rFonts w:eastAsia="Times New Roman"/>
          <w:b/>
          <w:bCs/>
          <w:szCs w:val="24"/>
        </w:rPr>
        <w:t xml:space="preserve"> </w:t>
      </w:r>
      <w:r w:rsidR="00CE6695" w:rsidRPr="00FC3B7C">
        <w:rPr>
          <w:rFonts w:eastAsia="Times New Roman"/>
          <w:szCs w:val="24"/>
        </w:rPr>
        <w:t>Německo, Francie, Itálie, Benelux – cílem zrušení cel, první organizace se supranacionálními prvky, 2002 vypršela platnost</w:t>
      </w:r>
    </w:p>
    <w:p w14:paraId="4A6F4DE7" w14:textId="0BA31625" w:rsidR="00CE6695" w:rsidRPr="007F64D6" w:rsidRDefault="00D11E82" w:rsidP="00D46B53">
      <w:pPr>
        <w:numPr>
          <w:ilvl w:val="0"/>
          <w:numId w:val="394"/>
        </w:numPr>
        <w:tabs>
          <w:tab w:val="left" w:pos="800"/>
        </w:tabs>
        <w:ind w:left="800" w:right="620" w:hanging="348"/>
        <w:rPr>
          <w:rFonts w:eastAsia="Arial"/>
          <w:szCs w:val="24"/>
        </w:rPr>
      </w:pPr>
      <w:r>
        <w:rPr>
          <w:rFonts w:eastAsia="Times New Roman"/>
          <w:szCs w:val="24"/>
        </w:rPr>
        <w:t>V</w:t>
      </w:r>
      <w:r w:rsidR="00CE6695" w:rsidRPr="00FC3B7C">
        <w:rPr>
          <w:rFonts w:eastAsia="Times New Roman"/>
          <w:szCs w:val="24"/>
        </w:rPr>
        <w:t xml:space="preserve">zniklo na základě plánu francouzských politiků Jeana </w:t>
      </w:r>
      <w:r w:rsidR="00CE6695" w:rsidRPr="00FC3B7C">
        <w:rPr>
          <w:rFonts w:eastAsia="Times New Roman"/>
          <w:b/>
          <w:bCs/>
          <w:szCs w:val="24"/>
        </w:rPr>
        <w:t>Moneta</w:t>
      </w:r>
      <w:r w:rsidR="00CE6695" w:rsidRPr="00FC3B7C">
        <w:rPr>
          <w:rFonts w:eastAsia="Times New Roman"/>
          <w:szCs w:val="24"/>
        </w:rPr>
        <w:t xml:space="preserve"> a Roberta </w:t>
      </w:r>
      <w:r w:rsidR="00CE6695" w:rsidRPr="00FC3B7C">
        <w:rPr>
          <w:rFonts w:eastAsia="Times New Roman"/>
          <w:b/>
          <w:bCs/>
          <w:szCs w:val="24"/>
        </w:rPr>
        <w:t xml:space="preserve">Schumanna </w:t>
      </w:r>
      <w:r w:rsidR="00CE6695" w:rsidRPr="00FC3B7C">
        <w:rPr>
          <w:rFonts w:eastAsia="Times New Roman"/>
          <w:szCs w:val="24"/>
        </w:rPr>
        <w:t>(tzv. Schumannův plán)</w:t>
      </w:r>
    </w:p>
    <w:p w14:paraId="4A6F4DE8" w14:textId="77777777" w:rsidR="00CE6695" w:rsidRPr="007F64D6" w:rsidRDefault="00CE6695" w:rsidP="00D46B53">
      <w:pPr>
        <w:numPr>
          <w:ilvl w:val="0"/>
          <w:numId w:val="394"/>
        </w:numPr>
        <w:tabs>
          <w:tab w:val="left" w:pos="800"/>
        </w:tabs>
        <w:ind w:left="800" w:right="3180" w:hanging="348"/>
        <w:rPr>
          <w:rFonts w:eastAsia="Arial"/>
          <w:szCs w:val="24"/>
        </w:rPr>
      </w:pPr>
      <w:r w:rsidRPr="00FC3B7C">
        <w:rPr>
          <w:rFonts w:eastAsia="Times New Roman"/>
          <w:szCs w:val="24"/>
        </w:rPr>
        <w:t xml:space="preserve">ESUO vytvořilo </w:t>
      </w:r>
      <w:r w:rsidRPr="00FC3B7C">
        <w:rPr>
          <w:rFonts w:eastAsia="Times New Roman"/>
          <w:b/>
          <w:bCs/>
          <w:szCs w:val="24"/>
        </w:rPr>
        <w:t>společný</w:t>
      </w:r>
      <w:r w:rsidRPr="00FC3B7C">
        <w:rPr>
          <w:rFonts w:eastAsia="Times New Roman"/>
          <w:szCs w:val="24"/>
        </w:rPr>
        <w:t xml:space="preserve"> </w:t>
      </w:r>
      <w:r w:rsidRPr="00FC3B7C">
        <w:rPr>
          <w:rFonts w:eastAsia="Times New Roman"/>
          <w:b/>
          <w:bCs/>
          <w:szCs w:val="24"/>
        </w:rPr>
        <w:t>trh uhlí a oceli</w:t>
      </w:r>
      <w:r w:rsidRPr="00FC3B7C">
        <w:rPr>
          <w:rFonts w:eastAsia="Times New Roman"/>
          <w:szCs w:val="24"/>
        </w:rPr>
        <w:t xml:space="preserve"> (zbrojní průmysl)</w:t>
      </w:r>
    </w:p>
    <w:p w14:paraId="4A6F4DE9" w14:textId="1B76E7BA" w:rsidR="00CE6695" w:rsidRPr="00FC3B7C" w:rsidRDefault="00D11E82" w:rsidP="00D46B53">
      <w:pPr>
        <w:numPr>
          <w:ilvl w:val="0"/>
          <w:numId w:val="394"/>
        </w:numPr>
        <w:tabs>
          <w:tab w:val="left" w:pos="800"/>
        </w:tabs>
        <w:ind w:left="800" w:right="640" w:hanging="348"/>
        <w:rPr>
          <w:rFonts w:eastAsia="Arial"/>
          <w:sz w:val="23"/>
          <w:szCs w:val="23"/>
        </w:rPr>
      </w:pPr>
      <w:r>
        <w:rPr>
          <w:rFonts w:eastAsia="Times New Roman"/>
          <w:sz w:val="23"/>
          <w:szCs w:val="23"/>
        </w:rPr>
        <w:t>H</w:t>
      </w:r>
      <w:r w:rsidR="00CE6695" w:rsidRPr="00FC3B7C">
        <w:rPr>
          <w:rFonts w:eastAsia="Times New Roman"/>
          <w:sz w:val="23"/>
          <w:szCs w:val="23"/>
        </w:rPr>
        <w:t xml:space="preserve">lavní myšlenkou bylo </w:t>
      </w:r>
      <w:r w:rsidR="00CE6695" w:rsidRPr="00FC3B7C">
        <w:rPr>
          <w:rFonts w:eastAsia="Times New Roman"/>
          <w:b/>
          <w:bCs/>
          <w:sz w:val="23"/>
          <w:szCs w:val="23"/>
        </w:rPr>
        <w:t>zamezení</w:t>
      </w:r>
      <w:r w:rsidR="00CE6695" w:rsidRPr="00FC3B7C">
        <w:rPr>
          <w:rFonts w:eastAsia="Times New Roman"/>
          <w:sz w:val="23"/>
          <w:szCs w:val="23"/>
        </w:rPr>
        <w:t xml:space="preserve"> dalších </w:t>
      </w:r>
      <w:r w:rsidR="00CE6695" w:rsidRPr="00FC3B7C">
        <w:rPr>
          <w:rFonts w:eastAsia="Times New Roman"/>
          <w:b/>
          <w:bCs/>
          <w:sz w:val="23"/>
          <w:szCs w:val="23"/>
        </w:rPr>
        <w:t>válečných střetů</w:t>
      </w:r>
      <w:r w:rsidR="00CE6695" w:rsidRPr="00FC3B7C">
        <w:rPr>
          <w:rFonts w:eastAsia="Times New Roman"/>
          <w:sz w:val="23"/>
          <w:szCs w:val="23"/>
        </w:rPr>
        <w:t xml:space="preserve"> mezi Francií </w:t>
      </w:r>
      <w:r w:rsidR="007F64D6">
        <w:rPr>
          <w:rFonts w:eastAsia="Times New Roman"/>
          <w:sz w:val="23"/>
          <w:szCs w:val="23"/>
        </w:rPr>
        <w:br/>
      </w:r>
      <w:r w:rsidR="00CE6695" w:rsidRPr="00FC3B7C">
        <w:rPr>
          <w:rFonts w:eastAsia="Times New Roman"/>
          <w:sz w:val="23"/>
          <w:szCs w:val="23"/>
        </w:rPr>
        <w:t>a Německem prostřednictvím vzájemné kontroly klíčových strategických odvětví</w:t>
      </w:r>
    </w:p>
    <w:p w14:paraId="4A6F4DEA" w14:textId="4DC0A202" w:rsidR="00CE6695" w:rsidRPr="00627DAC" w:rsidRDefault="00D11E82" w:rsidP="00627DAC">
      <w:pPr>
        <w:rPr>
          <w:b/>
          <w:sz w:val="20"/>
          <w:szCs w:val="20"/>
        </w:rPr>
      </w:pPr>
      <w:bookmarkStart w:id="408" w:name="page419"/>
      <w:bookmarkEnd w:id="408"/>
      <w:r>
        <w:rPr>
          <w:rFonts w:eastAsia="Times New Roman"/>
          <w:b/>
          <w:i/>
        </w:rPr>
        <w:t xml:space="preserve">1957 </w:t>
      </w:r>
      <w:r w:rsidR="00CE6695" w:rsidRPr="00627DAC">
        <w:rPr>
          <w:rFonts w:eastAsia="Times New Roman"/>
          <w:b/>
          <w:i/>
        </w:rPr>
        <w:t>Římské smlouvy</w:t>
      </w:r>
      <w:r w:rsidR="00CE6695" w:rsidRPr="00627DAC">
        <w:rPr>
          <w:rFonts w:eastAsia="Times New Roman"/>
          <w:b/>
        </w:rPr>
        <w:t xml:space="preserve"> (platnost </w:t>
      </w:r>
      <w:r>
        <w:rPr>
          <w:rFonts w:eastAsia="Times New Roman"/>
          <w:b/>
        </w:rPr>
        <w:t>od</w:t>
      </w:r>
      <w:r w:rsidR="00CE6695" w:rsidRPr="00627DAC">
        <w:rPr>
          <w:rFonts w:eastAsia="Times New Roman"/>
          <w:b/>
        </w:rPr>
        <w:t xml:space="preserve"> 1958)</w:t>
      </w:r>
    </w:p>
    <w:p w14:paraId="4A6F4DEB" w14:textId="77777777" w:rsidR="00CE6695" w:rsidRPr="00FC3B7C" w:rsidRDefault="00CE6695" w:rsidP="00CE6695">
      <w:pPr>
        <w:spacing w:line="151" w:lineRule="exact"/>
        <w:rPr>
          <w:sz w:val="20"/>
          <w:szCs w:val="20"/>
        </w:rPr>
      </w:pPr>
    </w:p>
    <w:p w14:paraId="4A6F4DED" w14:textId="03F0E065" w:rsidR="00CE6695" w:rsidRPr="00D11E82" w:rsidRDefault="00D11E82" w:rsidP="00D46B53">
      <w:pPr>
        <w:numPr>
          <w:ilvl w:val="0"/>
          <w:numId w:val="395"/>
        </w:numPr>
        <w:tabs>
          <w:tab w:val="left" w:pos="724"/>
        </w:tabs>
        <w:spacing w:line="368" w:lineRule="auto"/>
        <w:ind w:left="724" w:hanging="367"/>
        <w:rPr>
          <w:rFonts w:eastAsia="Arial"/>
          <w:szCs w:val="24"/>
        </w:rPr>
      </w:pPr>
      <w:r>
        <w:rPr>
          <w:rFonts w:eastAsia="Times New Roman"/>
          <w:b/>
          <w:bCs/>
          <w:szCs w:val="24"/>
        </w:rPr>
        <w:t>V</w:t>
      </w:r>
      <w:r w:rsidR="00CE6695" w:rsidRPr="00FC3B7C">
        <w:rPr>
          <w:rFonts w:eastAsia="Times New Roman"/>
          <w:b/>
          <w:bCs/>
          <w:szCs w:val="24"/>
        </w:rPr>
        <w:t xml:space="preserve">zniká EHS </w:t>
      </w:r>
      <w:r w:rsidR="00CE6695" w:rsidRPr="00FC3B7C">
        <w:rPr>
          <w:rFonts w:eastAsia="Times New Roman"/>
          <w:szCs w:val="24"/>
        </w:rPr>
        <w:t>(Evropské hospodářské společenství)</w:t>
      </w:r>
      <w:r w:rsidR="00CE6695" w:rsidRPr="00FC3B7C">
        <w:rPr>
          <w:rFonts w:eastAsia="Times New Roman"/>
          <w:b/>
          <w:bCs/>
          <w:szCs w:val="24"/>
        </w:rPr>
        <w:t xml:space="preserve"> a EURATOM </w:t>
      </w:r>
      <w:r w:rsidR="00CE6695" w:rsidRPr="00FC3B7C">
        <w:rPr>
          <w:rFonts w:eastAsia="Times New Roman"/>
          <w:szCs w:val="24"/>
        </w:rPr>
        <w:t>(Evropské</w:t>
      </w:r>
      <w:r w:rsidR="00CE6695" w:rsidRPr="00FC3B7C">
        <w:rPr>
          <w:rFonts w:eastAsia="Times New Roman"/>
          <w:b/>
          <w:bCs/>
          <w:szCs w:val="24"/>
        </w:rPr>
        <w:t xml:space="preserve"> </w:t>
      </w:r>
      <w:r w:rsidR="00CE6695" w:rsidRPr="00FC3B7C">
        <w:rPr>
          <w:rFonts w:eastAsia="Times New Roman"/>
          <w:szCs w:val="24"/>
        </w:rPr>
        <w:t>společenství pro atomovou energii)</w:t>
      </w:r>
    </w:p>
    <w:p w14:paraId="4A6F4DEE" w14:textId="2151B9DE" w:rsidR="00CE6695" w:rsidRPr="00FC3B7C" w:rsidRDefault="00D11E82" w:rsidP="00D46B53">
      <w:pPr>
        <w:numPr>
          <w:ilvl w:val="0"/>
          <w:numId w:val="395"/>
        </w:numPr>
        <w:tabs>
          <w:tab w:val="left" w:pos="724"/>
        </w:tabs>
        <w:spacing w:line="368" w:lineRule="auto"/>
        <w:ind w:left="724" w:hanging="367"/>
        <w:rPr>
          <w:rFonts w:eastAsia="Arial"/>
          <w:szCs w:val="24"/>
        </w:rPr>
      </w:pPr>
      <w:r>
        <w:rPr>
          <w:rFonts w:eastAsia="Times New Roman"/>
          <w:b/>
          <w:bCs/>
          <w:szCs w:val="24"/>
        </w:rPr>
        <w:t>Z</w:t>
      </w:r>
      <w:r w:rsidR="00CE6695" w:rsidRPr="00FC3B7C">
        <w:rPr>
          <w:rFonts w:eastAsia="Times New Roman"/>
          <w:b/>
          <w:bCs/>
          <w:szCs w:val="24"/>
        </w:rPr>
        <w:t>akladatelská smlouva</w:t>
      </w:r>
      <w:r w:rsidR="00CE6695" w:rsidRPr="00FC3B7C">
        <w:rPr>
          <w:rFonts w:eastAsia="Times New Roman"/>
          <w:szCs w:val="24"/>
        </w:rPr>
        <w:t>,</w:t>
      </w:r>
      <w:r w:rsidR="00CE6695" w:rsidRPr="00FC3B7C">
        <w:rPr>
          <w:rFonts w:eastAsia="Times New Roman"/>
          <w:b/>
          <w:bCs/>
          <w:szCs w:val="24"/>
        </w:rPr>
        <w:t xml:space="preserve"> cíl: </w:t>
      </w:r>
      <w:r w:rsidR="00CE6695" w:rsidRPr="00FC3B7C">
        <w:rPr>
          <w:rFonts w:eastAsia="Times New Roman"/>
          <w:szCs w:val="24"/>
        </w:rPr>
        <w:t>během 12 let by měl být vytvořen</w:t>
      </w:r>
      <w:r w:rsidR="00CE6695" w:rsidRPr="00FC3B7C">
        <w:rPr>
          <w:rFonts w:eastAsia="Times New Roman"/>
          <w:b/>
          <w:bCs/>
          <w:szCs w:val="24"/>
        </w:rPr>
        <w:t xml:space="preserve"> společný trh </w:t>
      </w:r>
      <w:r w:rsidR="00CE6695" w:rsidRPr="00FC3B7C">
        <w:rPr>
          <w:rFonts w:eastAsia="Times New Roman"/>
          <w:szCs w:val="24"/>
        </w:rPr>
        <w:t>s</w:t>
      </w:r>
      <w:r w:rsidR="00CE6695" w:rsidRPr="00FC3B7C">
        <w:rPr>
          <w:rFonts w:eastAsia="Times New Roman"/>
          <w:b/>
          <w:bCs/>
          <w:szCs w:val="24"/>
        </w:rPr>
        <w:t xml:space="preserve"> </w:t>
      </w:r>
      <w:r w:rsidR="00CE6695" w:rsidRPr="00FC3B7C">
        <w:rPr>
          <w:rFonts w:eastAsia="Times New Roman"/>
          <w:szCs w:val="24"/>
        </w:rPr>
        <w:t>volným pohybem zboží, služeb, osob a kapitálu</w:t>
      </w:r>
    </w:p>
    <w:p w14:paraId="4A6F4DEF" w14:textId="77777777" w:rsidR="00CE6695" w:rsidRPr="00FC3B7C" w:rsidRDefault="00CE6695" w:rsidP="00CE6695">
      <w:pPr>
        <w:spacing w:line="2" w:lineRule="exact"/>
        <w:rPr>
          <w:rFonts w:eastAsia="Arial"/>
          <w:szCs w:val="24"/>
        </w:rPr>
      </w:pPr>
    </w:p>
    <w:p w14:paraId="4A6F4DF0" w14:textId="559E5BEA" w:rsidR="00CE6695" w:rsidRPr="00FC3B7C" w:rsidRDefault="00D11E82" w:rsidP="00D46B53">
      <w:pPr>
        <w:numPr>
          <w:ilvl w:val="0"/>
          <w:numId w:val="395"/>
        </w:numPr>
        <w:tabs>
          <w:tab w:val="left" w:pos="724"/>
        </w:tabs>
        <w:ind w:left="724" w:hanging="367"/>
        <w:rPr>
          <w:rFonts w:eastAsia="Arial"/>
          <w:szCs w:val="24"/>
        </w:rPr>
      </w:pPr>
      <w:r>
        <w:rPr>
          <w:rFonts w:eastAsia="Times New Roman"/>
          <w:szCs w:val="24"/>
        </w:rPr>
        <w:t>Z</w:t>
      </w:r>
      <w:r w:rsidR="00CE6695" w:rsidRPr="00FC3B7C">
        <w:rPr>
          <w:rFonts w:eastAsia="Times New Roman"/>
          <w:szCs w:val="24"/>
        </w:rPr>
        <w:t>avedení společného trhu, celní unie a rozvoj společných politik</w:t>
      </w:r>
    </w:p>
    <w:p w14:paraId="4A6F4DF1" w14:textId="77777777" w:rsidR="00CE6695" w:rsidRPr="00FC3B7C" w:rsidRDefault="00CE6695" w:rsidP="00D46B53">
      <w:pPr>
        <w:numPr>
          <w:ilvl w:val="0"/>
          <w:numId w:val="395"/>
        </w:numPr>
        <w:tabs>
          <w:tab w:val="left" w:pos="724"/>
        </w:tabs>
        <w:spacing w:line="368" w:lineRule="auto"/>
        <w:ind w:left="724" w:hanging="367"/>
        <w:rPr>
          <w:rFonts w:eastAsia="Arial"/>
          <w:szCs w:val="24"/>
        </w:rPr>
      </w:pPr>
      <w:r w:rsidRPr="00FC3B7C">
        <w:rPr>
          <w:rFonts w:eastAsia="Times New Roman"/>
          <w:b/>
          <w:bCs/>
          <w:szCs w:val="24"/>
        </w:rPr>
        <w:t xml:space="preserve">EURATOM </w:t>
      </w:r>
      <w:r w:rsidRPr="00FC3B7C">
        <w:rPr>
          <w:rFonts w:eastAsia="Times New Roman"/>
          <w:szCs w:val="24"/>
        </w:rPr>
        <w:t>- vznik za účelem poskytnout know-how k</w:t>
      </w:r>
      <w:r w:rsidRPr="00FC3B7C">
        <w:rPr>
          <w:rFonts w:eastAsia="Times New Roman"/>
          <w:b/>
          <w:bCs/>
          <w:szCs w:val="24"/>
        </w:rPr>
        <w:t xml:space="preserve"> jaderné technologii k mírovému využití</w:t>
      </w:r>
    </w:p>
    <w:p w14:paraId="4A6F4DF2" w14:textId="77777777" w:rsidR="00CE6695" w:rsidRPr="00FC3B7C" w:rsidRDefault="00CE6695" w:rsidP="00CE6695">
      <w:pPr>
        <w:spacing w:line="1" w:lineRule="exact"/>
        <w:rPr>
          <w:rFonts w:eastAsia="Arial"/>
          <w:szCs w:val="24"/>
        </w:rPr>
      </w:pPr>
    </w:p>
    <w:p w14:paraId="4A6F4DF3" w14:textId="77777777" w:rsidR="00CE6695" w:rsidRPr="00FC3B7C" w:rsidRDefault="00CE6695" w:rsidP="00D46B53">
      <w:pPr>
        <w:numPr>
          <w:ilvl w:val="0"/>
          <w:numId w:val="395"/>
        </w:numPr>
        <w:tabs>
          <w:tab w:val="left" w:pos="724"/>
        </w:tabs>
        <w:ind w:left="724" w:hanging="367"/>
        <w:rPr>
          <w:rFonts w:eastAsia="Arial"/>
          <w:szCs w:val="24"/>
        </w:rPr>
      </w:pPr>
      <w:r w:rsidRPr="00FC3B7C">
        <w:rPr>
          <w:rFonts w:eastAsia="Times New Roman"/>
          <w:b/>
          <w:bCs/>
          <w:szCs w:val="24"/>
        </w:rPr>
        <w:t xml:space="preserve">1968 </w:t>
      </w:r>
      <w:r w:rsidRPr="00FC3B7C">
        <w:rPr>
          <w:rFonts w:eastAsia="Times New Roman"/>
          <w:szCs w:val="24"/>
        </w:rPr>
        <w:t>- podepsána</w:t>
      </w:r>
      <w:r w:rsidRPr="00FC3B7C">
        <w:rPr>
          <w:rFonts w:eastAsia="Times New Roman"/>
          <w:b/>
          <w:bCs/>
          <w:szCs w:val="24"/>
        </w:rPr>
        <w:t xml:space="preserve"> Smlouva o nešíření jaderných zbraní </w:t>
      </w:r>
      <w:r w:rsidRPr="00FC3B7C">
        <w:rPr>
          <w:rFonts w:eastAsia="Times New Roman"/>
          <w:szCs w:val="24"/>
        </w:rPr>
        <w:t>(odzbrojení)</w:t>
      </w:r>
    </w:p>
    <w:p w14:paraId="4A6F4DF4" w14:textId="20430697" w:rsidR="00CE6695" w:rsidRPr="00DC5ED2" w:rsidRDefault="00D11E82" w:rsidP="00D46B53">
      <w:pPr>
        <w:numPr>
          <w:ilvl w:val="0"/>
          <w:numId w:val="395"/>
        </w:numPr>
        <w:tabs>
          <w:tab w:val="left" w:pos="724"/>
        </w:tabs>
        <w:spacing w:line="342" w:lineRule="exact"/>
        <w:ind w:left="724" w:hanging="367"/>
        <w:rPr>
          <w:sz w:val="20"/>
          <w:szCs w:val="20"/>
        </w:rPr>
      </w:pPr>
      <w:r>
        <w:rPr>
          <w:rFonts w:eastAsia="Times New Roman"/>
          <w:b/>
          <w:bCs/>
          <w:szCs w:val="24"/>
        </w:rPr>
        <w:t>V</w:t>
      </w:r>
      <w:r w:rsidR="00CE6695" w:rsidRPr="00DC5ED2">
        <w:rPr>
          <w:rFonts w:eastAsia="Times New Roman"/>
          <w:b/>
          <w:bCs/>
          <w:szCs w:val="24"/>
        </w:rPr>
        <w:t>znikají instituce</w:t>
      </w:r>
      <w:r w:rsidR="00CE6695" w:rsidRPr="00DC5ED2">
        <w:rPr>
          <w:rFonts w:eastAsia="Times New Roman"/>
          <w:szCs w:val="24"/>
        </w:rPr>
        <w:t>: Evropská komise, Rada ministrů, Evropský</w:t>
      </w:r>
      <w:r w:rsidR="00CE6695" w:rsidRPr="00DC5ED2">
        <w:rPr>
          <w:rFonts w:eastAsia="Times New Roman"/>
          <w:b/>
          <w:bCs/>
          <w:szCs w:val="24"/>
        </w:rPr>
        <w:t xml:space="preserve"> </w:t>
      </w:r>
      <w:r w:rsidR="00CE6695" w:rsidRPr="00DC5ED2">
        <w:rPr>
          <w:rFonts w:eastAsia="Times New Roman"/>
          <w:szCs w:val="24"/>
        </w:rPr>
        <w:t>parlament, Soudní dvůr</w:t>
      </w:r>
    </w:p>
    <w:p w14:paraId="4A6F4DF6" w14:textId="77777777" w:rsidR="00CE6695" w:rsidRPr="00D11E82" w:rsidRDefault="00CE6695" w:rsidP="00D46B53">
      <w:pPr>
        <w:numPr>
          <w:ilvl w:val="0"/>
          <w:numId w:val="395"/>
        </w:numPr>
        <w:tabs>
          <w:tab w:val="left" w:pos="724"/>
        </w:tabs>
        <w:spacing w:line="342" w:lineRule="exact"/>
        <w:ind w:left="724" w:hanging="367"/>
        <w:rPr>
          <w:sz w:val="20"/>
          <w:szCs w:val="20"/>
        </w:rPr>
      </w:pPr>
      <w:r w:rsidRPr="00D11E82">
        <w:rPr>
          <w:rFonts w:eastAsia="Times New Roman"/>
          <w:szCs w:val="24"/>
        </w:rPr>
        <w:t xml:space="preserve">Zde se rozlišují </w:t>
      </w:r>
      <w:r w:rsidRPr="00D11E82">
        <w:rPr>
          <w:rFonts w:eastAsia="Times New Roman"/>
          <w:b/>
          <w:bCs/>
          <w:szCs w:val="24"/>
        </w:rPr>
        <w:t>dvě</w:t>
      </w:r>
      <w:r w:rsidRPr="00D11E82">
        <w:rPr>
          <w:rFonts w:eastAsia="Times New Roman"/>
          <w:szCs w:val="24"/>
        </w:rPr>
        <w:t xml:space="preserve"> </w:t>
      </w:r>
      <w:r w:rsidRPr="00D11E82">
        <w:rPr>
          <w:rFonts w:eastAsia="Times New Roman"/>
          <w:b/>
          <w:bCs/>
          <w:szCs w:val="24"/>
        </w:rPr>
        <w:t>koncepce</w:t>
      </w:r>
      <w:r w:rsidRPr="00D11E82">
        <w:rPr>
          <w:rFonts w:eastAsia="Times New Roman"/>
          <w:szCs w:val="24"/>
        </w:rPr>
        <w:t xml:space="preserve"> pro vznik ekonomické integrace:</w:t>
      </w:r>
    </w:p>
    <w:p w14:paraId="7CECFA15" w14:textId="77777777" w:rsidR="00D11E82" w:rsidRDefault="00D11E82" w:rsidP="00DC5ED2">
      <w:pPr>
        <w:tabs>
          <w:tab w:val="left" w:pos="763"/>
        </w:tabs>
        <w:ind w:left="784" w:right="100" w:hanging="359"/>
        <w:rPr>
          <w:rFonts w:eastAsia="Times New Roman"/>
          <w:b/>
          <w:bCs/>
          <w:szCs w:val="24"/>
        </w:rPr>
      </w:pPr>
    </w:p>
    <w:p w14:paraId="4A6F4DF7" w14:textId="488A4E5C" w:rsidR="00CE6695" w:rsidRPr="00FC3B7C" w:rsidRDefault="00CE6695" w:rsidP="00DC5ED2">
      <w:pPr>
        <w:tabs>
          <w:tab w:val="left" w:pos="763"/>
        </w:tabs>
        <w:ind w:left="784" w:right="100" w:hanging="359"/>
        <w:rPr>
          <w:sz w:val="20"/>
          <w:szCs w:val="20"/>
        </w:rPr>
      </w:pPr>
      <w:r w:rsidRPr="00FC3B7C">
        <w:rPr>
          <w:rFonts w:eastAsia="Times New Roman"/>
          <w:b/>
          <w:bCs/>
          <w:szCs w:val="24"/>
        </w:rPr>
        <w:lastRenderedPageBreak/>
        <w:t>A.</w:t>
      </w:r>
      <w:r w:rsidRPr="00FC3B7C">
        <w:rPr>
          <w:rFonts w:eastAsia="Times New Roman"/>
          <w:b/>
          <w:bCs/>
          <w:szCs w:val="24"/>
        </w:rPr>
        <w:tab/>
        <w:t xml:space="preserve">Institucionální metoda </w:t>
      </w:r>
      <w:r w:rsidRPr="00FC3B7C">
        <w:rPr>
          <w:rFonts w:eastAsia="Times New Roman"/>
          <w:szCs w:val="24"/>
        </w:rPr>
        <w:t>(francouzsko-německá koncepce) –</w:t>
      </w:r>
      <w:r w:rsidRPr="00FC3B7C">
        <w:rPr>
          <w:rFonts w:eastAsia="Times New Roman"/>
          <w:b/>
          <w:bCs/>
          <w:szCs w:val="24"/>
        </w:rPr>
        <w:t xml:space="preserve"> hlubší propojení ekonomik</w:t>
      </w:r>
      <w:r w:rsidRPr="00FC3B7C">
        <w:rPr>
          <w:rFonts w:eastAsia="Times New Roman"/>
          <w:szCs w:val="24"/>
        </w:rPr>
        <w:t>; nadnárodní organizace, které by mířily ke vzniku hospodářské a</w:t>
      </w:r>
      <w:r w:rsidRPr="00FC3B7C">
        <w:rPr>
          <w:rFonts w:eastAsia="Times New Roman"/>
          <w:b/>
          <w:bCs/>
          <w:szCs w:val="24"/>
        </w:rPr>
        <w:t xml:space="preserve"> </w:t>
      </w:r>
      <w:r w:rsidRPr="00FC3B7C">
        <w:rPr>
          <w:rFonts w:eastAsia="Times New Roman"/>
          <w:szCs w:val="24"/>
        </w:rPr>
        <w:t>měnové unie;</w:t>
      </w:r>
    </w:p>
    <w:p w14:paraId="1453C1B0" w14:textId="77777777" w:rsidR="00D11E82" w:rsidRDefault="00CE6695" w:rsidP="00D46B53">
      <w:pPr>
        <w:numPr>
          <w:ilvl w:val="1"/>
          <w:numId w:val="396"/>
        </w:numPr>
        <w:tabs>
          <w:tab w:val="left" w:pos="844"/>
        </w:tabs>
        <w:ind w:left="844" w:hanging="368"/>
        <w:rPr>
          <w:rFonts w:eastAsia="Arial"/>
          <w:szCs w:val="24"/>
        </w:rPr>
      </w:pPr>
      <w:r w:rsidRPr="00FC3B7C">
        <w:rPr>
          <w:rFonts w:eastAsia="Times New Roman"/>
          <w:szCs w:val="24"/>
        </w:rPr>
        <w:t>Francie, Německo, Itálie, Benelux = „Šestka“</w:t>
      </w:r>
    </w:p>
    <w:p w14:paraId="4A6F4DF9" w14:textId="247AC13B" w:rsidR="00CE6695" w:rsidRPr="00D11E82" w:rsidRDefault="00CE6695" w:rsidP="00D46B53">
      <w:pPr>
        <w:numPr>
          <w:ilvl w:val="1"/>
          <w:numId w:val="396"/>
        </w:numPr>
        <w:tabs>
          <w:tab w:val="left" w:pos="844"/>
        </w:tabs>
        <w:ind w:left="844" w:hanging="368"/>
        <w:rPr>
          <w:rFonts w:eastAsia="Arial"/>
          <w:szCs w:val="24"/>
        </w:rPr>
      </w:pPr>
      <w:r w:rsidRPr="00D11E82">
        <w:rPr>
          <w:rFonts w:eastAsia="Times New Roman"/>
          <w:szCs w:val="24"/>
        </w:rPr>
        <w:t>vznik EHS, cílem bylo vytvořit celní unii</w:t>
      </w:r>
    </w:p>
    <w:p w14:paraId="06052D0E" w14:textId="77777777" w:rsidR="00D11E82" w:rsidRDefault="00D11E82" w:rsidP="00D11E82">
      <w:pPr>
        <w:tabs>
          <w:tab w:val="left" w:pos="784"/>
        </w:tabs>
        <w:ind w:left="784" w:right="20"/>
        <w:rPr>
          <w:rFonts w:eastAsia="Times New Roman"/>
          <w:b/>
          <w:bCs/>
          <w:szCs w:val="24"/>
        </w:rPr>
      </w:pPr>
    </w:p>
    <w:p w14:paraId="4A6F4DFA" w14:textId="5F84D5A6" w:rsidR="00CE6695" w:rsidRPr="00FC3B7C" w:rsidRDefault="00CE6695" w:rsidP="00D46B53">
      <w:pPr>
        <w:numPr>
          <w:ilvl w:val="0"/>
          <w:numId w:val="397"/>
        </w:numPr>
        <w:tabs>
          <w:tab w:val="left" w:pos="784"/>
        </w:tabs>
        <w:ind w:left="784" w:right="20" w:hanging="359"/>
        <w:rPr>
          <w:rFonts w:eastAsia="Times New Roman"/>
          <w:b/>
          <w:bCs/>
          <w:szCs w:val="24"/>
        </w:rPr>
      </w:pPr>
      <w:r w:rsidRPr="00FC3B7C">
        <w:rPr>
          <w:rFonts w:eastAsia="Times New Roman"/>
          <w:b/>
          <w:bCs/>
          <w:szCs w:val="24"/>
        </w:rPr>
        <w:t xml:space="preserve">Funkcionální metoda </w:t>
      </w:r>
      <w:r w:rsidRPr="00FC3B7C">
        <w:rPr>
          <w:rFonts w:eastAsia="Times New Roman"/>
          <w:szCs w:val="24"/>
        </w:rPr>
        <w:t>(britská koncepce) -</w:t>
      </w:r>
      <w:r w:rsidRPr="00FC3B7C">
        <w:rPr>
          <w:rFonts w:eastAsia="Times New Roman"/>
          <w:b/>
          <w:bCs/>
          <w:szCs w:val="24"/>
        </w:rPr>
        <w:t xml:space="preserve"> prosazuje VB</w:t>
      </w:r>
      <w:r w:rsidRPr="00FC3B7C">
        <w:rPr>
          <w:rFonts w:eastAsia="Times New Roman"/>
          <w:szCs w:val="24"/>
        </w:rPr>
        <w:t>, založení konkurenčního</w:t>
      </w:r>
      <w:r w:rsidRPr="00FC3B7C">
        <w:rPr>
          <w:rFonts w:eastAsia="Times New Roman"/>
          <w:b/>
          <w:bCs/>
          <w:szCs w:val="24"/>
        </w:rPr>
        <w:t xml:space="preserve"> </w:t>
      </w:r>
      <w:r w:rsidRPr="00FC3B7C">
        <w:rPr>
          <w:rFonts w:eastAsia="Times New Roman"/>
          <w:szCs w:val="24"/>
        </w:rPr>
        <w:t xml:space="preserve">integračního uskupení </w:t>
      </w:r>
      <w:r w:rsidRPr="00FC3B7C">
        <w:rPr>
          <w:rFonts w:eastAsia="Times New Roman"/>
          <w:b/>
          <w:bCs/>
          <w:szCs w:val="24"/>
        </w:rPr>
        <w:t>ESVO</w:t>
      </w:r>
      <w:r w:rsidRPr="00FC3B7C">
        <w:rPr>
          <w:rFonts w:eastAsia="Times New Roman"/>
          <w:szCs w:val="24"/>
        </w:rPr>
        <w:t xml:space="preserve"> (Evropské sdružení volného obchodu)</w:t>
      </w:r>
    </w:p>
    <w:p w14:paraId="140B1606" w14:textId="77777777" w:rsidR="00D11E82" w:rsidRDefault="00CE6695" w:rsidP="00D46B53">
      <w:pPr>
        <w:numPr>
          <w:ilvl w:val="2"/>
          <w:numId w:val="398"/>
        </w:numPr>
        <w:tabs>
          <w:tab w:val="left" w:pos="844"/>
        </w:tabs>
        <w:ind w:left="844" w:hanging="368"/>
        <w:rPr>
          <w:rFonts w:eastAsia="Arial"/>
          <w:szCs w:val="24"/>
        </w:rPr>
      </w:pPr>
      <w:r w:rsidRPr="00FC3B7C">
        <w:rPr>
          <w:rFonts w:eastAsia="Times New Roman"/>
          <w:b/>
          <w:bCs/>
          <w:i/>
          <w:iCs/>
          <w:szCs w:val="24"/>
        </w:rPr>
        <w:t xml:space="preserve">1961 vznik ESVO </w:t>
      </w:r>
      <w:r w:rsidRPr="00FC3B7C">
        <w:rPr>
          <w:rFonts w:eastAsia="Times New Roman"/>
          <w:i/>
          <w:iCs/>
          <w:szCs w:val="24"/>
        </w:rPr>
        <w:t>(Evropské sdružení volného obchodu)</w:t>
      </w:r>
    </w:p>
    <w:p w14:paraId="51E6DA94" w14:textId="77777777" w:rsidR="00D11E82" w:rsidRDefault="00CE6695" w:rsidP="00D46B53">
      <w:pPr>
        <w:numPr>
          <w:ilvl w:val="2"/>
          <w:numId w:val="398"/>
        </w:numPr>
        <w:tabs>
          <w:tab w:val="left" w:pos="844"/>
        </w:tabs>
        <w:ind w:left="844" w:hanging="368"/>
        <w:rPr>
          <w:rFonts w:eastAsia="Arial"/>
          <w:szCs w:val="24"/>
        </w:rPr>
      </w:pPr>
      <w:r w:rsidRPr="00D11E82">
        <w:rPr>
          <w:rFonts w:eastAsia="Times New Roman"/>
          <w:szCs w:val="24"/>
        </w:rPr>
        <w:t xml:space="preserve">Vzniklo </w:t>
      </w:r>
      <w:r w:rsidRPr="00D11E82">
        <w:rPr>
          <w:rFonts w:eastAsia="Times New Roman"/>
          <w:b/>
          <w:bCs/>
          <w:szCs w:val="24"/>
        </w:rPr>
        <w:t>z iniciativy Velké Británie</w:t>
      </w:r>
      <w:r w:rsidRPr="00D11E82">
        <w:rPr>
          <w:rFonts w:eastAsia="Times New Roman"/>
          <w:szCs w:val="24"/>
        </w:rPr>
        <w:t xml:space="preserve"> jako </w:t>
      </w:r>
      <w:r w:rsidRPr="00D11E82">
        <w:rPr>
          <w:rFonts w:eastAsia="Times New Roman"/>
          <w:b/>
          <w:bCs/>
          <w:szCs w:val="24"/>
        </w:rPr>
        <w:t>alternativa EHS</w:t>
      </w:r>
      <w:r w:rsidRPr="00D11E82">
        <w:rPr>
          <w:rFonts w:eastAsia="Times New Roman"/>
          <w:szCs w:val="24"/>
        </w:rPr>
        <w:t xml:space="preserve">, cílem bylo vytvořit pásmo volného obchodu, </w:t>
      </w:r>
      <w:r w:rsidRPr="00D11E82">
        <w:rPr>
          <w:rFonts w:eastAsia="Times New Roman"/>
          <w:b/>
          <w:bCs/>
          <w:szCs w:val="24"/>
        </w:rPr>
        <w:t>odmítali nadnárodní orgány</w:t>
      </w:r>
      <w:r w:rsidRPr="00D11E82">
        <w:rPr>
          <w:rFonts w:eastAsia="Times New Roman"/>
          <w:szCs w:val="24"/>
        </w:rPr>
        <w:t xml:space="preserve"> a celní unii.</w:t>
      </w:r>
    </w:p>
    <w:p w14:paraId="34FFC5A3" w14:textId="77777777" w:rsidR="00D11E82" w:rsidRDefault="00CE6695" w:rsidP="00D46B53">
      <w:pPr>
        <w:numPr>
          <w:ilvl w:val="2"/>
          <w:numId w:val="398"/>
        </w:numPr>
        <w:tabs>
          <w:tab w:val="left" w:pos="844"/>
        </w:tabs>
        <w:ind w:left="844" w:hanging="368"/>
        <w:rPr>
          <w:rFonts w:eastAsia="Arial"/>
          <w:szCs w:val="24"/>
        </w:rPr>
      </w:pPr>
      <w:r w:rsidRPr="00D11E82">
        <w:rPr>
          <w:rFonts w:eastAsia="Times New Roman"/>
          <w:b/>
          <w:bCs/>
          <w:szCs w:val="24"/>
        </w:rPr>
        <w:t>Zakládající země</w:t>
      </w:r>
      <w:r w:rsidRPr="00D11E82">
        <w:rPr>
          <w:rFonts w:eastAsia="Times New Roman"/>
          <w:szCs w:val="24"/>
        </w:rPr>
        <w:t>: Velká Británie, Dánsko, Norsko,</w:t>
      </w:r>
      <w:r w:rsidRPr="00D11E82">
        <w:rPr>
          <w:rFonts w:eastAsia="Times New Roman"/>
          <w:b/>
          <w:bCs/>
          <w:szCs w:val="24"/>
        </w:rPr>
        <w:t xml:space="preserve"> </w:t>
      </w:r>
      <w:r w:rsidRPr="00D11E82">
        <w:rPr>
          <w:rFonts w:eastAsia="Times New Roman"/>
          <w:szCs w:val="24"/>
        </w:rPr>
        <w:t>Švédsko, Rakousko,</w:t>
      </w:r>
      <w:r w:rsidRPr="00D11E82">
        <w:rPr>
          <w:rFonts w:eastAsia="Times New Roman"/>
          <w:b/>
          <w:bCs/>
          <w:szCs w:val="24"/>
        </w:rPr>
        <w:t xml:space="preserve"> </w:t>
      </w:r>
      <w:r w:rsidRPr="00D11E82">
        <w:rPr>
          <w:rFonts w:eastAsia="Times New Roman"/>
          <w:szCs w:val="24"/>
        </w:rPr>
        <w:t>Švýcarsko,</w:t>
      </w:r>
      <w:r w:rsidRPr="00D11E82">
        <w:rPr>
          <w:rFonts w:eastAsia="Times New Roman"/>
          <w:b/>
          <w:bCs/>
          <w:szCs w:val="24"/>
        </w:rPr>
        <w:t xml:space="preserve"> </w:t>
      </w:r>
      <w:r w:rsidRPr="00D11E82">
        <w:rPr>
          <w:rFonts w:eastAsia="Times New Roman"/>
          <w:szCs w:val="24"/>
        </w:rPr>
        <w:t>Portugalsko.</w:t>
      </w:r>
    </w:p>
    <w:p w14:paraId="69299BE1" w14:textId="77777777" w:rsidR="00D11E82" w:rsidRDefault="00CE6695" w:rsidP="00D46B53">
      <w:pPr>
        <w:numPr>
          <w:ilvl w:val="2"/>
          <w:numId w:val="398"/>
        </w:numPr>
        <w:tabs>
          <w:tab w:val="left" w:pos="844"/>
        </w:tabs>
        <w:ind w:left="844" w:hanging="368"/>
        <w:rPr>
          <w:rFonts w:eastAsia="Arial"/>
          <w:szCs w:val="24"/>
        </w:rPr>
      </w:pPr>
      <w:r w:rsidRPr="00D11E82">
        <w:rPr>
          <w:rFonts w:eastAsia="Times New Roman"/>
          <w:szCs w:val="24"/>
        </w:rPr>
        <w:t>EHS bylo ekonomicky výkonnější (</w:t>
      </w:r>
      <w:r w:rsidRPr="00D11E82">
        <w:rPr>
          <w:rFonts w:eastAsia="Times New Roman"/>
          <w:b/>
          <w:bCs/>
          <w:szCs w:val="24"/>
        </w:rPr>
        <w:t>VB</w:t>
      </w:r>
      <w:r w:rsidRPr="00D11E82">
        <w:rPr>
          <w:rFonts w:eastAsia="Times New Roman"/>
          <w:szCs w:val="24"/>
        </w:rPr>
        <w:t xml:space="preserve"> po 2 letech odchází z ESVO a v roce </w:t>
      </w:r>
      <w:r w:rsidRPr="00D11E82">
        <w:rPr>
          <w:rFonts w:eastAsia="Times New Roman"/>
          <w:b/>
          <w:bCs/>
          <w:szCs w:val="24"/>
        </w:rPr>
        <w:t>1973</w:t>
      </w:r>
      <w:r w:rsidRPr="00D11E82">
        <w:rPr>
          <w:rFonts w:eastAsia="Times New Roman"/>
          <w:szCs w:val="24"/>
        </w:rPr>
        <w:t xml:space="preserve"> jí je umožněn </w:t>
      </w:r>
      <w:r w:rsidRPr="00D11E82">
        <w:rPr>
          <w:rFonts w:eastAsia="Times New Roman"/>
          <w:b/>
          <w:bCs/>
          <w:szCs w:val="24"/>
        </w:rPr>
        <w:t>vstup do EHS</w:t>
      </w:r>
      <w:r w:rsidRPr="00D11E82">
        <w:rPr>
          <w:rFonts w:eastAsia="Times New Roman"/>
          <w:szCs w:val="24"/>
        </w:rPr>
        <w:t>).</w:t>
      </w:r>
    </w:p>
    <w:p w14:paraId="4A6F4DFF" w14:textId="729C16F5" w:rsidR="00CE6695" w:rsidRPr="00D11E82" w:rsidRDefault="00CE6695" w:rsidP="00D46B53">
      <w:pPr>
        <w:numPr>
          <w:ilvl w:val="2"/>
          <w:numId w:val="398"/>
        </w:numPr>
        <w:tabs>
          <w:tab w:val="left" w:pos="844"/>
        </w:tabs>
        <w:ind w:left="844" w:hanging="368"/>
        <w:rPr>
          <w:rFonts w:eastAsia="Arial"/>
          <w:szCs w:val="24"/>
        </w:rPr>
      </w:pPr>
      <w:r w:rsidRPr="00D11E82">
        <w:rPr>
          <w:rFonts w:eastAsia="Times New Roman"/>
          <w:szCs w:val="24"/>
        </w:rPr>
        <w:t xml:space="preserve">Současní členové: </w:t>
      </w:r>
      <w:r w:rsidRPr="00D11E82">
        <w:rPr>
          <w:rFonts w:eastAsia="Times New Roman"/>
          <w:b/>
          <w:bCs/>
          <w:szCs w:val="24"/>
        </w:rPr>
        <w:t>Švýcarsko, Norsko, Island, Lichtenštejnsko</w:t>
      </w:r>
    </w:p>
    <w:p w14:paraId="4A6F4E00" w14:textId="2AD437B2" w:rsidR="00CE6695" w:rsidRPr="00FC3B7C" w:rsidRDefault="00CE6695" w:rsidP="00D11E82">
      <w:pPr>
        <w:tabs>
          <w:tab w:val="left" w:pos="244"/>
        </w:tabs>
        <w:rPr>
          <w:rFonts w:eastAsia="Times New Roman"/>
          <w:b/>
          <w:bCs/>
          <w:i/>
          <w:iCs/>
          <w:szCs w:val="24"/>
        </w:rPr>
      </w:pPr>
      <w:r w:rsidRPr="00FC3B7C">
        <w:rPr>
          <w:rFonts w:eastAsia="Times New Roman"/>
          <w:b/>
          <w:bCs/>
          <w:i/>
          <w:iCs/>
          <w:szCs w:val="24"/>
        </w:rPr>
        <w:t xml:space="preserve">1967 Evropské společenství </w:t>
      </w:r>
      <w:r w:rsidRPr="00D11E82">
        <w:rPr>
          <w:rFonts w:eastAsia="Times New Roman"/>
          <w:b/>
          <w:bCs/>
          <w:i/>
          <w:iCs/>
          <w:szCs w:val="24"/>
        </w:rPr>
        <w:t>(ES)</w:t>
      </w:r>
    </w:p>
    <w:p w14:paraId="4A6F4E01" w14:textId="77777777" w:rsidR="00CE6695" w:rsidRPr="00FC3B7C" w:rsidRDefault="00CE6695" w:rsidP="00D46B53">
      <w:pPr>
        <w:numPr>
          <w:ilvl w:val="1"/>
          <w:numId w:val="398"/>
        </w:numPr>
        <w:tabs>
          <w:tab w:val="left" w:pos="724"/>
        </w:tabs>
        <w:ind w:left="724" w:right="20" w:hanging="364"/>
        <w:rPr>
          <w:rFonts w:eastAsia="Arial"/>
          <w:szCs w:val="24"/>
        </w:rPr>
      </w:pPr>
      <w:r w:rsidRPr="00FC3B7C">
        <w:rPr>
          <w:rFonts w:eastAsia="Times New Roman"/>
          <w:szCs w:val="24"/>
        </w:rPr>
        <w:t xml:space="preserve">Vzniká na základě tzv. </w:t>
      </w:r>
      <w:r w:rsidRPr="00FC3B7C">
        <w:rPr>
          <w:rFonts w:eastAsia="Times New Roman"/>
          <w:b/>
          <w:bCs/>
          <w:szCs w:val="24"/>
        </w:rPr>
        <w:t>Slučovací smlouvy</w:t>
      </w:r>
      <w:r w:rsidRPr="00FC3B7C">
        <w:rPr>
          <w:rFonts w:eastAsia="Times New Roman"/>
          <w:szCs w:val="24"/>
        </w:rPr>
        <w:t xml:space="preserve"> schválené v roce 1965. </w:t>
      </w:r>
      <w:r w:rsidRPr="00FC3B7C">
        <w:rPr>
          <w:rFonts w:eastAsia="Times New Roman"/>
          <w:b/>
          <w:bCs/>
          <w:szCs w:val="24"/>
        </w:rPr>
        <w:t>Spojení</w:t>
      </w:r>
      <w:r w:rsidRPr="00FC3B7C">
        <w:rPr>
          <w:rFonts w:eastAsia="Times New Roman"/>
          <w:szCs w:val="24"/>
        </w:rPr>
        <w:t xml:space="preserve"> tří již zavedených společenství: </w:t>
      </w:r>
      <w:r w:rsidRPr="00FC3B7C">
        <w:rPr>
          <w:rFonts w:eastAsia="Times New Roman"/>
          <w:b/>
          <w:bCs/>
          <w:szCs w:val="24"/>
        </w:rPr>
        <w:t>EHS, EURATOM, ESUO</w:t>
      </w:r>
    </w:p>
    <w:p w14:paraId="4A6F4E02" w14:textId="16ED36D9" w:rsidR="00CE6695" w:rsidRPr="00FC3B7C" w:rsidRDefault="00CE6695" w:rsidP="00DC5ED2">
      <w:pPr>
        <w:rPr>
          <w:sz w:val="20"/>
          <w:szCs w:val="20"/>
        </w:rPr>
      </w:pPr>
      <w:bookmarkStart w:id="409" w:name="page420"/>
      <w:bookmarkEnd w:id="409"/>
      <w:r w:rsidRPr="00FC3B7C">
        <w:rPr>
          <w:rFonts w:eastAsia="Times New Roman"/>
          <w:b/>
          <w:bCs/>
          <w:i/>
          <w:iCs/>
          <w:szCs w:val="24"/>
        </w:rPr>
        <w:t xml:space="preserve">1968 </w:t>
      </w:r>
      <w:r w:rsidR="00D11E82">
        <w:rPr>
          <w:rFonts w:eastAsia="Times New Roman"/>
          <w:b/>
          <w:bCs/>
          <w:i/>
          <w:iCs/>
          <w:szCs w:val="24"/>
        </w:rPr>
        <w:t>D</w:t>
      </w:r>
      <w:r w:rsidRPr="00FC3B7C">
        <w:rPr>
          <w:rFonts w:eastAsia="Times New Roman"/>
          <w:b/>
          <w:bCs/>
          <w:i/>
          <w:iCs/>
          <w:szCs w:val="24"/>
        </w:rPr>
        <w:t>okončení vzniku celní unie</w:t>
      </w:r>
    </w:p>
    <w:p w14:paraId="4A6F4E03" w14:textId="77777777" w:rsidR="00CE6695" w:rsidRPr="00FC3B7C" w:rsidRDefault="00CE6695" w:rsidP="00D46B53">
      <w:pPr>
        <w:numPr>
          <w:ilvl w:val="0"/>
          <w:numId w:val="399"/>
        </w:numPr>
        <w:tabs>
          <w:tab w:val="left" w:pos="720"/>
        </w:tabs>
        <w:ind w:left="720" w:hanging="364"/>
        <w:rPr>
          <w:rFonts w:eastAsia="Arial"/>
          <w:szCs w:val="24"/>
        </w:rPr>
      </w:pPr>
      <w:r w:rsidRPr="00FC3B7C">
        <w:rPr>
          <w:rFonts w:eastAsia="Times New Roman"/>
          <w:szCs w:val="24"/>
        </w:rPr>
        <w:t>Zóna volného obchodu a společná politika vůči třetím zemím.</w:t>
      </w:r>
    </w:p>
    <w:p w14:paraId="4A6F4E04" w14:textId="70F64932" w:rsidR="00CE6695" w:rsidRPr="00FC3B7C" w:rsidRDefault="00CE6695" w:rsidP="00DC5ED2">
      <w:pPr>
        <w:rPr>
          <w:sz w:val="20"/>
          <w:szCs w:val="20"/>
        </w:rPr>
      </w:pPr>
      <w:r w:rsidRPr="00FC3B7C">
        <w:rPr>
          <w:rFonts w:eastAsia="Times New Roman"/>
          <w:b/>
          <w:bCs/>
          <w:i/>
          <w:iCs/>
          <w:szCs w:val="24"/>
        </w:rPr>
        <w:t xml:space="preserve">1973 </w:t>
      </w:r>
      <w:r w:rsidR="00D11E82">
        <w:rPr>
          <w:rFonts w:eastAsia="Times New Roman"/>
          <w:b/>
          <w:bCs/>
          <w:i/>
          <w:iCs/>
          <w:szCs w:val="24"/>
        </w:rPr>
        <w:t>P</w:t>
      </w:r>
      <w:r w:rsidRPr="00FC3B7C">
        <w:rPr>
          <w:rFonts w:eastAsia="Times New Roman"/>
          <w:b/>
          <w:bCs/>
          <w:i/>
          <w:iCs/>
          <w:szCs w:val="24"/>
        </w:rPr>
        <w:t>rvní rozšíření ES</w:t>
      </w:r>
    </w:p>
    <w:p w14:paraId="4A6F4E05" w14:textId="77777777" w:rsidR="00CE6695" w:rsidRPr="00FC3B7C" w:rsidRDefault="00CE6695" w:rsidP="00D46B53">
      <w:pPr>
        <w:numPr>
          <w:ilvl w:val="0"/>
          <w:numId w:val="400"/>
        </w:numPr>
        <w:tabs>
          <w:tab w:val="left" w:pos="720"/>
        </w:tabs>
        <w:ind w:left="720" w:hanging="364"/>
        <w:rPr>
          <w:rFonts w:eastAsia="Arial"/>
          <w:szCs w:val="24"/>
        </w:rPr>
      </w:pPr>
      <w:r w:rsidRPr="00FC3B7C">
        <w:rPr>
          <w:rFonts w:eastAsia="Times New Roman"/>
          <w:szCs w:val="24"/>
        </w:rPr>
        <w:t>Velkou Británii, Irsko a Dánsko</w:t>
      </w:r>
    </w:p>
    <w:p w14:paraId="4A6F4E06" w14:textId="77777777" w:rsidR="00CE6695" w:rsidRPr="00FC3B7C" w:rsidRDefault="00CE6695" w:rsidP="00DC5ED2">
      <w:pPr>
        <w:rPr>
          <w:sz w:val="20"/>
          <w:szCs w:val="20"/>
        </w:rPr>
      </w:pPr>
      <w:r w:rsidRPr="00FC3B7C">
        <w:rPr>
          <w:rFonts w:eastAsia="Times New Roman"/>
          <w:b/>
          <w:bCs/>
          <w:i/>
          <w:iCs/>
          <w:szCs w:val="24"/>
        </w:rPr>
        <w:t xml:space="preserve">1973 - 1985 období europesimismu </w:t>
      </w:r>
      <w:r w:rsidRPr="00FC3B7C">
        <w:rPr>
          <w:rFonts w:eastAsia="Times New Roman"/>
          <w:szCs w:val="24"/>
        </w:rPr>
        <w:t>– „Euroskleróza“</w:t>
      </w:r>
    </w:p>
    <w:p w14:paraId="4A6F4E07" w14:textId="620A9A05" w:rsidR="00CE6695" w:rsidRPr="00FC3B7C" w:rsidRDefault="00D11E82" w:rsidP="00D46B53">
      <w:pPr>
        <w:numPr>
          <w:ilvl w:val="0"/>
          <w:numId w:val="401"/>
        </w:numPr>
        <w:tabs>
          <w:tab w:val="left" w:pos="840"/>
        </w:tabs>
        <w:ind w:left="840" w:hanging="353"/>
        <w:rPr>
          <w:rFonts w:eastAsia="Arial"/>
          <w:b/>
          <w:bCs/>
          <w:sz w:val="23"/>
          <w:szCs w:val="23"/>
        </w:rPr>
      </w:pPr>
      <w:r>
        <w:rPr>
          <w:rFonts w:eastAsia="Times New Roman"/>
          <w:szCs w:val="24"/>
        </w:rPr>
        <w:t>S</w:t>
      </w:r>
      <w:r w:rsidR="00CE6695" w:rsidRPr="00FC3B7C">
        <w:rPr>
          <w:rFonts w:eastAsia="Times New Roman"/>
          <w:szCs w:val="24"/>
        </w:rPr>
        <w:t>pory ohledně směřování společenství už v 60. letech; celosvětová recese, stagflace</w:t>
      </w:r>
    </w:p>
    <w:p w14:paraId="4A6F4E08" w14:textId="77777777" w:rsidR="00CE6695" w:rsidRPr="00FC3B7C" w:rsidRDefault="00CE6695" w:rsidP="00D46B53">
      <w:pPr>
        <w:numPr>
          <w:ilvl w:val="0"/>
          <w:numId w:val="401"/>
        </w:numPr>
        <w:tabs>
          <w:tab w:val="left" w:pos="840"/>
        </w:tabs>
        <w:ind w:left="840" w:hanging="353"/>
        <w:rPr>
          <w:rFonts w:eastAsia="Arial"/>
          <w:b/>
          <w:bCs/>
          <w:sz w:val="23"/>
          <w:szCs w:val="23"/>
        </w:rPr>
      </w:pPr>
      <w:r w:rsidRPr="00FC3B7C">
        <w:rPr>
          <w:rFonts w:eastAsia="Times New Roman"/>
          <w:b/>
          <w:bCs/>
          <w:szCs w:val="24"/>
        </w:rPr>
        <w:t xml:space="preserve">Francie bránila </w:t>
      </w:r>
      <w:r w:rsidRPr="00FC3B7C">
        <w:rPr>
          <w:rFonts w:eastAsia="Times New Roman"/>
          <w:szCs w:val="24"/>
        </w:rPr>
        <w:t>zavedení</w:t>
      </w:r>
      <w:r w:rsidRPr="00FC3B7C">
        <w:rPr>
          <w:rFonts w:eastAsia="Times New Roman"/>
          <w:b/>
          <w:bCs/>
          <w:szCs w:val="24"/>
        </w:rPr>
        <w:t xml:space="preserve"> hlasování kvalifikovanou většinou </w:t>
      </w:r>
      <w:r w:rsidRPr="00FC3B7C">
        <w:rPr>
          <w:rFonts w:eastAsia="Times New Roman"/>
          <w:szCs w:val="24"/>
        </w:rPr>
        <w:t>v Radě</w:t>
      </w:r>
      <w:r w:rsidRPr="00FC3B7C">
        <w:rPr>
          <w:rFonts w:eastAsia="Times New Roman"/>
          <w:b/>
          <w:bCs/>
          <w:szCs w:val="24"/>
        </w:rPr>
        <w:t xml:space="preserve"> </w:t>
      </w:r>
      <w:r w:rsidRPr="00FC3B7C">
        <w:rPr>
          <w:rFonts w:eastAsia="Times New Roman"/>
          <w:szCs w:val="24"/>
        </w:rPr>
        <w:t>ministrů, ke</w:t>
      </w:r>
      <w:r w:rsidRPr="00FC3B7C">
        <w:rPr>
          <w:rFonts w:eastAsia="Times New Roman"/>
          <w:b/>
          <w:bCs/>
          <w:szCs w:val="24"/>
        </w:rPr>
        <w:t xml:space="preserve"> </w:t>
      </w:r>
      <w:r w:rsidRPr="00FC3B7C">
        <w:rPr>
          <w:rFonts w:eastAsia="Times New Roman"/>
          <w:szCs w:val="24"/>
        </w:rPr>
        <w:t xml:space="preserve">kterému mělo dojít v roce 1966 na základě smlouvy o EHS (tzv. </w:t>
      </w:r>
      <w:r w:rsidRPr="00FC3B7C">
        <w:rPr>
          <w:rFonts w:eastAsia="Times New Roman"/>
          <w:b/>
          <w:bCs/>
          <w:szCs w:val="24"/>
        </w:rPr>
        <w:t>politika prázdného</w:t>
      </w:r>
      <w:r w:rsidRPr="00FC3B7C">
        <w:rPr>
          <w:rFonts w:eastAsia="Times New Roman"/>
          <w:szCs w:val="24"/>
        </w:rPr>
        <w:t xml:space="preserve"> </w:t>
      </w:r>
      <w:r w:rsidRPr="00FC3B7C">
        <w:rPr>
          <w:rFonts w:eastAsia="Times New Roman"/>
          <w:b/>
          <w:bCs/>
          <w:szCs w:val="24"/>
        </w:rPr>
        <w:t>křesla</w:t>
      </w:r>
      <w:r w:rsidRPr="00FC3B7C">
        <w:rPr>
          <w:rFonts w:eastAsia="Times New Roman"/>
          <w:szCs w:val="24"/>
        </w:rPr>
        <w:t>) – Rada se 6</w:t>
      </w:r>
      <w:r w:rsidRPr="00FC3B7C">
        <w:rPr>
          <w:rFonts w:eastAsia="Times New Roman"/>
          <w:b/>
          <w:bCs/>
          <w:szCs w:val="24"/>
        </w:rPr>
        <w:t xml:space="preserve"> </w:t>
      </w:r>
      <w:r w:rsidRPr="00FC3B7C">
        <w:rPr>
          <w:rFonts w:eastAsia="Times New Roman"/>
          <w:szCs w:val="24"/>
        </w:rPr>
        <w:t>členy disponovala 17 hlasy, kvalifikovaná většina představovala</w:t>
      </w:r>
      <w:r w:rsidRPr="00FC3B7C">
        <w:rPr>
          <w:rFonts w:eastAsia="Times New Roman"/>
          <w:b/>
          <w:bCs/>
          <w:szCs w:val="24"/>
        </w:rPr>
        <w:t xml:space="preserve"> </w:t>
      </w:r>
      <w:r w:rsidRPr="00FC3B7C">
        <w:rPr>
          <w:rFonts w:eastAsia="Times New Roman"/>
          <w:szCs w:val="24"/>
        </w:rPr>
        <w:t>70,5 % (12 hlasů, min. 3 státy)</w:t>
      </w:r>
    </w:p>
    <w:p w14:paraId="4A6F4E09" w14:textId="77777777" w:rsidR="00CE6695" w:rsidRPr="00FC3B7C" w:rsidRDefault="00CE6695" w:rsidP="00D46B53">
      <w:pPr>
        <w:numPr>
          <w:ilvl w:val="0"/>
          <w:numId w:val="401"/>
        </w:numPr>
        <w:tabs>
          <w:tab w:val="left" w:pos="840"/>
        </w:tabs>
        <w:spacing w:line="369" w:lineRule="auto"/>
        <w:ind w:left="840" w:hanging="353"/>
        <w:rPr>
          <w:rFonts w:eastAsia="Arial"/>
          <w:b/>
          <w:bCs/>
          <w:sz w:val="23"/>
          <w:szCs w:val="23"/>
        </w:rPr>
      </w:pPr>
      <w:r w:rsidRPr="00FC3B7C">
        <w:rPr>
          <w:rFonts w:eastAsia="Times New Roman"/>
          <w:szCs w:val="24"/>
        </w:rPr>
        <w:t xml:space="preserve">1966 - </w:t>
      </w:r>
      <w:r w:rsidRPr="00FC3B7C">
        <w:rPr>
          <w:rFonts w:eastAsia="Times New Roman"/>
          <w:b/>
          <w:bCs/>
          <w:szCs w:val="24"/>
        </w:rPr>
        <w:t>Lucemburský</w:t>
      </w:r>
      <w:r w:rsidRPr="00FC3B7C">
        <w:rPr>
          <w:rFonts w:eastAsia="Times New Roman"/>
          <w:szCs w:val="24"/>
        </w:rPr>
        <w:t xml:space="preserve"> </w:t>
      </w:r>
      <w:r w:rsidRPr="00FC3B7C">
        <w:rPr>
          <w:rFonts w:eastAsia="Times New Roman"/>
          <w:b/>
          <w:bCs/>
          <w:szCs w:val="24"/>
        </w:rPr>
        <w:t>kompromis</w:t>
      </w:r>
      <w:r w:rsidRPr="00FC3B7C">
        <w:rPr>
          <w:rFonts w:eastAsia="Times New Roman"/>
          <w:szCs w:val="24"/>
        </w:rPr>
        <w:t xml:space="preserve"> - hlasování v </w:t>
      </w:r>
      <w:r w:rsidRPr="00FC3B7C">
        <w:rPr>
          <w:rFonts w:eastAsia="Times New Roman"/>
          <w:b/>
          <w:bCs/>
          <w:szCs w:val="24"/>
        </w:rPr>
        <w:t>jednomyslnosti</w:t>
      </w:r>
      <w:r w:rsidRPr="00FC3B7C">
        <w:rPr>
          <w:rFonts w:eastAsia="Times New Roman"/>
          <w:szCs w:val="24"/>
        </w:rPr>
        <w:t>, když se jedná o národní zájem dané země - např. stagnace, zavedeno právo veta</w:t>
      </w:r>
    </w:p>
    <w:p w14:paraId="4A6F4E0A" w14:textId="77777777" w:rsidR="00CE6695" w:rsidRPr="00FC3B7C" w:rsidRDefault="00CE6695" w:rsidP="00CE6695">
      <w:pPr>
        <w:spacing w:line="2" w:lineRule="exact"/>
        <w:rPr>
          <w:rFonts w:eastAsia="Arial"/>
          <w:b/>
          <w:bCs/>
          <w:sz w:val="23"/>
          <w:szCs w:val="23"/>
        </w:rPr>
      </w:pPr>
    </w:p>
    <w:p w14:paraId="4A6F4E0C" w14:textId="28F74BE9" w:rsidR="00CE6695" w:rsidRPr="00D11E82" w:rsidRDefault="00D11E82" w:rsidP="00D46B53">
      <w:pPr>
        <w:numPr>
          <w:ilvl w:val="0"/>
          <w:numId w:val="401"/>
        </w:numPr>
        <w:tabs>
          <w:tab w:val="left" w:pos="840"/>
        </w:tabs>
        <w:ind w:left="840" w:hanging="353"/>
        <w:rPr>
          <w:rFonts w:eastAsia="Arial"/>
          <w:b/>
          <w:bCs/>
          <w:sz w:val="23"/>
          <w:szCs w:val="23"/>
        </w:rPr>
      </w:pPr>
      <w:r>
        <w:rPr>
          <w:rFonts w:eastAsia="Times New Roman"/>
          <w:szCs w:val="24"/>
        </w:rPr>
        <w:t>P</w:t>
      </w:r>
      <w:r w:rsidR="00CE6695" w:rsidRPr="00FC3B7C">
        <w:rPr>
          <w:rFonts w:eastAsia="Times New Roman"/>
          <w:szCs w:val="24"/>
        </w:rPr>
        <w:t>ři hlasování v orgánech ES zůstal klíčovým princip jednomyslnosti</w:t>
      </w:r>
    </w:p>
    <w:p w14:paraId="4A6F4E0D" w14:textId="408866D8" w:rsidR="00CE6695" w:rsidRPr="00FC3B7C" w:rsidRDefault="00D11E82" w:rsidP="00D46B53">
      <w:pPr>
        <w:numPr>
          <w:ilvl w:val="0"/>
          <w:numId w:val="401"/>
        </w:numPr>
        <w:tabs>
          <w:tab w:val="left" w:pos="840"/>
        </w:tabs>
        <w:ind w:left="840" w:hanging="353"/>
        <w:rPr>
          <w:rFonts w:eastAsia="Arial"/>
          <w:b/>
          <w:bCs/>
          <w:sz w:val="23"/>
          <w:szCs w:val="23"/>
        </w:rPr>
      </w:pPr>
      <w:r>
        <w:rPr>
          <w:rFonts w:eastAsia="Times New Roman"/>
          <w:szCs w:val="24"/>
        </w:rPr>
        <w:t>R</w:t>
      </w:r>
      <w:r w:rsidR="00CE6695" w:rsidRPr="00FC3B7C">
        <w:rPr>
          <w:rFonts w:eastAsia="Times New Roman"/>
          <w:szCs w:val="24"/>
        </w:rPr>
        <w:t>opné šoky 1973, 1979; společná zemědělská politika - rozpor ve financování (Fr)</w:t>
      </w:r>
    </w:p>
    <w:p w14:paraId="4A6F4E0E" w14:textId="7557C9AC" w:rsidR="00CE6695" w:rsidRPr="00FC3B7C" w:rsidRDefault="00F9189C" w:rsidP="00D46B53">
      <w:pPr>
        <w:numPr>
          <w:ilvl w:val="0"/>
          <w:numId w:val="401"/>
        </w:numPr>
        <w:tabs>
          <w:tab w:val="left" w:pos="840"/>
        </w:tabs>
        <w:ind w:left="840" w:hanging="353"/>
        <w:rPr>
          <w:rFonts w:eastAsia="Arial"/>
          <w:b/>
          <w:bCs/>
          <w:sz w:val="23"/>
          <w:szCs w:val="23"/>
        </w:rPr>
      </w:pPr>
      <w:r>
        <w:rPr>
          <w:rFonts w:eastAsia="Times New Roman"/>
          <w:b/>
          <w:bCs/>
          <w:szCs w:val="24"/>
        </w:rPr>
        <w:lastRenderedPageBreak/>
        <w:t>N</w:t>
      </w:r>
      <w:r w:rsidR="00CE6695" w:rsidRPr="00FC3B7C">
        <w:rPr>
          <w:rFonts w:eastAsia="Times New Roman"/>
          <w:b/>
          <w:bCs/>
          <w:szCs w:val="24"/>
        </w:rPr>
        <w:t xml:space="preserve">eakceschopnost </w:t>
      </w:r>
      <w:r w:rsidR="00CE6695" w:rsidRPr="00FC3B7C">
        <w:rPr>
          <w:rFonts w:eastAsia="Times New Roman"/>
          <w:szCs w:val="24"/>
        </w:rPr>
        <w:t>ES umocnil</w:t>
      </w:r>
      <w:r w:rsidR="00CE6695" w:rsidRPr="00FC3B7C">
        <w:rPr>
          <w:rFonts w:eastAsia="Times New Roman"/>
          <w:b/>
          <w:bCs/>
          <w:szCs w:val="24"/>
        </w:rPr>
        <w:t xml:space="preserve"> přístup nových členů </w:t>
      </w:r>
      <w:r w:rsidR="00CE6695" w:rsidRPr="00FC3B7C">
        <w:rPr>
          <w:rFonts w:eastAsia="Times New Roman"/>
          <w:szCs w:val="24"/>
        </w:rPr>
        <w:t>v roce</w:t>
      </w:r>
      <w:r w:rsidR="00CE6695" w:rsidRPr="00FC3B7C">
        <w:rPr>
          <w:rFonts w:eastAsia="Times New Roman"/>
          <w:b/>
          <w:bCs/>
          <w:szCs w:val="24"/>
        </w:rPr>
        <w:t xml:space="preserve"> 1973 </w:t>
      </w:r>
      <w:r w:rsidR="00CE6695" w:rsidRPr="00FC3B7C">
        <w:rPr>
          <w:rFonts w:eastAsia="Times New Roman"/>
          <w:szCs w:val="24"/>
        </w:rPr>
        <w:t>(složité jednání,</w:t>
      </w:r>
      <w:r w:rsidR="00CE6695" w:rsidRPr="00FC3B7C">
        <w:rPr>
          <w:rFonts w:eastAsia="Times New Roman"/>
          <w:b/>
          <w:bCs/>
          <w:szCs w:val="24"/>
        </w:rPr>
        <w:t xml:space="preserve"> </w:t>
      </w:r>
      <w:r w:rsidR="00CE6695" w:rsidRPr="00FC3B7C">
        <w:rPr>
          <w:rFonts w:eastAsia="Times New Roman"/>
          <w:szCs w:val="24"/>
        </w:rPr>
        <w:t>kompromisy)</w:t>
      </w:r>
    </w:p>
    <w:p w14:paraId="4A6F4E0F" w14:textId="210CFB08" w:rsidR="00CE6695" w:rsidRPr="00FC3B7C" w:rsidRDefault="00F9189C" w:rsidP="00D46B53">
      <w:pPr>
        <w:numPr>
          <w:ilvl w:val="0"/>
          <w:numId w:val="401"/>
        </w:numPr>
        <w:tabs>
          <w:tab w:val="left" w:pos="840"/>
        </w:tabs>
        <w:ind w:left="840" w:hanging="353"/>
        <w:rPr>
          <w:rFonts w:eastAsia="Arial"/>
          <w:b/>
          <w:bCs/>
          <w:sz w:val="23"/>
          <w:szCs w:val="23"/>
        </w:rPr>
      </w:pPr>
      <w:r>
        <w:rPr>
          <w:rFonts w:eastAsia="Times New Roman"/>
          <w:b/>
          <w:bCs/>
          <w:szCs w:val="24"/>
        </w:rPr>
        <w:t>P</w:t>
      </w:r>
      <w:r w:rsidR="00CE6695" w:rsidRPr="00FC3B7C">
        <w:rPr>
          <w:rFonts w:eastAsia="Times New Roman"/>
          <w:b/>
          <w:bCs/>
          <w:szCs w:val="24"/>
        </w:rPr>
        <w:t xml:space="preserve">rohlubování integrace </w:t>
      </w:r>
      <w:r w:rsidR="00CE6695" w:rsidRPr="00FC3B7C">
        <w:rPr>
          <w:rFonts w:eastAsia="Times New Roman"/>
          <w:szCs w:val="24"/>
        </w:rPr>
        <w:t>de facto</w:t>
      </w:r>
      <w:r w:rsidR="00CE6695" w:rsidRPr="00FC3B7C">
        <w:rPr>
          <w:rFonts w:eastAsia="Times New Roman"/>
          <w:b/>
          <w:bCs/>
          <w:szCs w:val="24"/>
        </w:rPr>
        <w:t xml:space="preserve"> zastaveno </w:t>
      </w:r>
      <w:r w:rsidR="00CE6695" w:rsidRPr="00FC3B7C">
        <w:rPr>
          <w:rFonts w:eastAsia="Times New Roman"/>
          <w:szCs w:val="24"/>
        </w:rPr>
        <w:t>až</w:t>
      </w:r>
      <w:r w:rsidR="00CE6695" w:rsidRPr="00FC3B7C">
        <w:rPr>
          <w:rFonts w:eastAsia="Times New Roman"/>
          <w:b/>
          <w:bCs/>
          <w:szCs w:val="24"/>
        </w:rPr>
        <w:t xml:space="preserve"> </w:t>
      </w:r>
      <w:r w:rsidR="00CE6695" w:rsidRPr="00FC3B7C">
        <w:rPr>
          <w:rFonts w:eastAsia="Times New Roman"/>
          <w:szCs w:val="24"/>
        </w:rPr>
        <w:t>do přijetí</w:t>
      </w:r>
      <w:r w:rsidR="00CE6695" w:rsidRPr="00FC3B7C">
        <w:rPr>
          <w:rFonts w:eastAsia="Times New Roman"/>
          <w:b/>
          <w:bCs/>
          <w:szCs w:val="24"/>
        </w:rPr>
        <w:t xml:space="preserve"> JEA </w:t>
      </w:r>
      <w:r w:rsidR="00CE6695" w:rsidRPr="00FC3B7C">
        <w:rPr>
          <w:rFonts w:eastAsia="Times New Roman"/>
          <w:szCs w:val="24"/>
        </w:rPr>
        <w:t>(Jednotný</w:t>
      </w:r>
      <w:r w:rsidR="00CE6695" w:rsidRPr="00FC3B7C">
        <w:rPr>
          <w:rFonts w:eastAsia="Times New Roman"/>
          <w:b/>
          <w:bCs/>
          <w:szCs w:val="24"/>
        </w:rPr>
        <w:t xml:space="preserve"> </w:t>
      </w:r>
      <w:r w:rsidR="00CE6695" w:rsidRPr="00FC3B7C">
        <w:rPr>
          <w:rFonts w:eastAsia="Times New Roman"/>
          <w:szCs w:val="24"/>
        </w:rPr>
        <w:t>evropský</w:t>
      </w:r>
      <w:r w:rsidR="00CE6695" w:rsidRPr="00FC3B7C">
        <w:rPr>
          <w:rFonts w:eastAsia="Times New Roman"/>
          <w:b/>
          <w:bCs/>
          <w:szCs w:val="24"/>
        </w:rPr>
        <w:t xml:space="preserve"> </w:t>
      </w:r>
      <w:r w:rsidR="00CE6695" w:rsidRPr="00FC3B7C">
        <w:rPr>
          <w:rFonts w:eastAsia="Times New Roman"/>
          <w:szCs w:val="24"/>
        </w:rPr>
        <w:t xml:space="preserve">akt, </w:t>
      </w:r>
      <w:r w:rsidR="00CE6695" w:rsidRPr="00FC3B7C">
        <w:rPr>
          <w:rFonts w:eastAsia="Times New Roman"/>
          <w:b/>
          <w:bCs/>
          <w:szCs w:val="24"/>
        </w:rPr>
        <w:t>1986</w:t>
      </w:r>
      <w:r w:rsidR="00CE6695" w:rsidRPr="00FC3B7C">
        <w:rPr>
          <w:rFonts w:eastAsia="Times New Roman"/>
          <w:szCs w:val="24"/>
        </w:rPr>
        <w:t xml:space="preserve">), který zavádí </w:t>
      </w:r>
      <w:r w:rsidR="00CE6695" w:rsidRPr="00FC3B7C">
        <w:rPr>
          <w:rFonts w:eastAsia="Times New Roman"/>
          <w:b/>
          <w:bCs/>
          <w:szCs w:val="24"/>
        </w:rPr>
        <w:t>princip většinového hlasování</w:t>
      </w:r>
    </w:p>
    <w:p w14:paraId="4A6F4E10" w14:textId="1A37228E" w:rsidR="00CE6695" w:rsidRPr="00FC3B7C" w:rsidRDefault="00CE6695" w:rsidP="00DC5ED2">
      <w:pPr>
        <w:rPr>
          <w:sz w:val="20"/>
          <w:szCs w:val="20"/>
        </w:rPr>
      </w:pPr>
      <w:r w:rsidRPr="00FC3B7C">
        <w:rPr>
          <w:rFonts w:eastAsia="Times New Roman"/>
          <w:b/>
          <w:bCs/>
          <w:i/>
          <w:iCs/>
          <w:szCs w:val="24"/>
        </w:rPr>
        <w:t xml:space="preserve">1981 </w:t>
      </w:r>
      <w:r w:rsidR="00D11E82">
        <w:rPr>
          <w:rFonts w:eastAsia="Times New Roman"/>
          <w:b/>
          <w:bCs/>
          <w:i/>
          <w:iCs/>
          <w:szCs w:val="24"/>
        </w:rPr>
        <w:t>P</w:t>
      </w:r>
      <w:r w:rsidRPr="00FC3B7C">
        <w:rPr>
          <w:rFonts w:eastAsia="Times New Roman"/>
          <w:b/>
          <w:bCs/>
          <w:i/>
          <w:iCs/>
          <w:szCs w:val="24"/>
        </w:rPr>
        <w:t>řistoupení Řecka</w:t>
      </w:r>
    </w:p>
    <w:p w14:paraId="4A6F4E11" w14:textId="4205A90B" w:rsidR="00CE6695" w:rsidRPr="00FC3B7C" w:rsidRDefault="00CE6695" w:rsidP="00DC5ED2">
      <w:pPr>
        <w:rPr>
          <w:sz w:val="20"/>
          <w:szCs w:val="20"/>
        </w:rPr>
      </w:pPr>
      <w:r w:rsidRPr="00FC3B7C">
        <w:rPr>
          <w:rFonts w:eastAsia="Times New Roman"/>
          <w:b/>
          <w:bCs/>
          <w:i/>
          <w:iCs/>
          <w:szCs w:val="24"/>
        </w:rPr>
        <w:t xml:space="preserve">1985 </w:t>
      </w:r>
      <w:r w:rsidR="00D11E82">
        <w:rPr>
          <w:rFonts w:eastAsia="Times New Roman"/>
          <w:b/>
          <w:bCs/>
          <w:i/>
          <w:iCs/>
          <w:szCs w:val="24"/>
        </w:rPr>
        <w:t>P</w:t>
      </w:r>
      <w:r w:rsidRPr="00FC3B7C">
        <w:rPr>
          <w:rFonts w:eastAsia="Times New Roman"/>
          <w:b/>
          <w:bCs/>
          <w:i/>
          <w:iCs/>
          <w:szCs w:val="24"/>
        </w:rPr>
        <w:t>odpis Schengenské dohody</w:t>
      </w:r>
    </w:p>
    <w:p w14:paraId="4A6F4E12" w14:textId="4A50316E" w:rsidR="00CE6695" w:rsidRPr="00FC3B7C" w:rsidRDefault="00F9189C" w:rsidP="00D46B53">
      <w:pPr>
        <w:numPr>
          <w:ilvl w:val="0"/>
          <w:numId w:val="402"/>
        </w:numPr>
        <w:tabs>
          <w:tab w:val="left" w:pos="720"/>
        </w:tabs>
        <w:ind w:left="720" w:hanging="364"/>
        <w:rPr>
          <w:rFonts w:eastAsia="Arial"/>
          <w:szCs w:val="24"/>
        </w:rPr>
      </w:pPr>
      <w:r>
        <w:rPr>
          <w:rFonts w:eastAsia="Times New Roman"/>
          <w:szCs w:val="24"/>
        </w:rPr>
        <w:t>M</w:t>
      </w:r>
      <w:r w:rsidR="00CE6695" w:rsidRPr="00FC3B7C">
        <w:rPr>
          <w:rFonts w:eastAsia="Times New Roman"/>
          <w:szCs w:val="24"/>
        </w:rPr>
        <w:t>ezivládní spolupráce, kontroly odstraněny r. 1995</w:t>
      </w:r>
    </w:p>
    <w:p w14:paraId="4A6F4E13" w14:textId="6D04D397" w:rsidR="00CE6695" w:rsidRPr="00FC3B7C" w:rsidRDefault="00F9189C" w:rsidP="00D46B53">
      <w:pPr>
        <w:numPr>
          <w:ilvl w:val="0"/>
          <w:numId w:val="402"/>
        </w:numPr>
        <w:tabs>
          <w:tab w:val="left" w:pos="720"/>
        </w:tabs>
        <w:ind w:left="720" w:hanging="364"/>
        <w:rPr>
          <w:rFonts w:eastAsia="Arial"/>
          <w:szCs w:val="24"/>
        </w:rPr>
      </w:pPr>
      <w:r>
        <w:rPr>
          <w:rFonts w:eastAsia="Times New Roman"/>
          <w:szCs w:val="24"/>
        </w:rPr>
        <w:t>N</w:t>
      </w:r>
      <w:r w:rsidR="00CE6695" w:rsidRPr="00FC3B7C">
        <w:rPr>
          <w:rFonts w:eastAsia="Times New Roman"/>
          <w:szCs w:val="24"/>
        </w:rPr>
        <w:t>ení nutné členství v EU, ČR od r. 2007</w:t>
      </w:r>
    </w:p>
    <w:p w14:paraId="4A6F4E14" w14:textId="5259B5CC" w:rsidR="00CE6695" w:rsidRPr="00FC3B7C" w:rsidRDefault="00CE6695" w:rsidP="00DC5ED2">
      <w:pPr>
        <w:rPr>
          <w:sz w:val="20"/>
          <w:szCs w:val="20"/>
        </w:rPr>
      </w:pPr>
      <w:r w:rsidRPr="00FC3B7C">
        <w:rPr>
          <w:rFonts w:eastAsia="Times New Roman"/>
          <w:b/>
          <w:bCs/>
          <w:i/>
          <w:iCs/>
          <w:szCs w:val="24"/>
        </w:rPr>
        <w:t xml:space="preserve">1986 </w:t>
      </w:r>
      <w:r w:rsidR="00F9189C">
        <w:rPr>
          <w:rFonts w:eastAsia="Times New Roman"/>
          <w:b/>
          <w:bCs/>
          <w:i/>
          <w:iCs/>
          <w:szCs w:val="24"/>
        </w:rPr>
        <w:t>J</w:t>
      </w:r>
      <w:r w:rsidRPr="00FC3B7C">
        <w:rPr>
          <w:rFonts w:eastAsia="Times New Roman"/>
          <w:b/>
          <w:bCs/>
          <w:i/>
          <w:iCs/>
          <w:szCs w:val="24"/>
        </w:rPr>
        <w:t>ednotný evropský akt (JEA)</w:t>
      </w:r>
    </w:p>
    <w:p w14:paraId="4A6F4E15" w14:textId="586AE926" w:rsidR="00CE6695" w:rsidRPr="00FC3B7C" w:rsidRDefault="00F9189C" w:rsidP="00D46B53">
      <w:pPr>
        <w:numPr>
          <w:ilvl w:val="0"/>
          <w:numId w:val="403"/>
        </w:numPr>
        <w:tabs>
          <w:tab w:val="left" w:pos="840"/>
        </w:tabs>
        <w:ind w:left="840" w:hanging="368"/>
        <w:rPr>
          <w:rFonts w:eastAsia="Arial"/>
          <w:szCs w:val="24"/>
        </w:rPr>
      </w:pPr>
      <w:r>
        <w:rPr>
          <w:rFonts w:eastAsia="Times New Roman"/>
          <w:szCs w:val="24"/>
        </w:rPr>
        <w:t>P</w:t>
      </w:r>
      <w:r w:rsidR="00CE6695" w:rsidRPr="00FC3B7C">
        <w:rPr>
          <w:rFonts w:eastAsia="Times New Roman"/>
          <w:szCs w:val="24"/>
        </w:rPr>
        <w:t xml:space="preserve">rvní výrazná </w:t>
      </w:r>
      <w:r w:rsidR="00CE6695" w:rsidRPr="00FC3B7C">
        <w:rPr>
          <w:rFonts w:eastAsia="Times New Roman"/>
          <w:b/>
          <w:bCs/>
          <w:szCs w:val="24"/>
        </w:rPr>
        <w:t>revize</w:t>
      </w:r>
      <w:r w:rsidR="00CE6695" w:rsidRPr="00FC3B7C">
        <w:rPr>
          <w:rFonts w:eastAsia="Times New Roman"/>
          <w:szCs w:val="24"/>
        </w:rPr>
        <w:t xml:space="preserve"> </w:t>
      </w:r>
      <w:r w:rsidR="00CE6695" w:rsidRPr="00FC3B7C">
        <w:rPr>
          <w:rFonts w:eastAsia="Times New Roman"/>
          <w:b/>
          <w:bCs/>
          <w:szCs w:val="24"/>
        </w:rPr>
        <w:t>Římských smluv</w:t>
      </w:r>
      <w:r w:rsidR="00CE6695" w:rsidRPr="00FC3B7C">
        <w:rPr>
          <w:rFonts w:eastAsia="Times New Roman"/>
          <w:szCs w:val="24"/>
        </w:rPr>
        <w:t xml:space="preserve"> (změny v nástrojích a v institucionálním rámci), </w:t>
      </w:r>
      <w:r w:rsidR="00CE6695" w:rsidRPr="00FC3B7C">
        <w:rPr>
          <w:rFonts w:eastAsia="Times New Roman"/>
          <w:b/>
          <w:bCs/>
          <w:szCs w:val="24"/>
        </w:rPr>
        <w:t>cíle</w:t>
      </w:r>
      <w:r w:rsidR="00CE6695" w:rsidRPr="00FC3B7C">
        <w:rPr>
          <w:rFonts w:eastAsia="Times New Roman"/>
          <w:szCs w:val="24"/>
        </w:rPr>
        <w:t xml:space="preserve"> zůstávají </w:t>
      </w:r>
      <w:r w:rsidR="00CE6695" w:rsidRPr="00FC3B7C">
        <w:rPr>
          <w:rFonts w:eastAsia="Times New Roman"/>
          <w:b/>
          <w:bCs/>
          <w:szCs w:val="24"/>
        </w:rPr>
        <w:t>stejné</w:t>
      </w:r>
    </w:p>
    <w:p w14:paraId="4A6F4E16" w14:textId="640F4960" w:rsidR="00CE6695" w:rsidRPr="00FC3B7C" w:rsidRDefault="00F9189C" w:rsidP="00D46B53">
      <w:pPr>
        <w:numPr>
          <w:ilvl w:val="0"/>
          <w:numId w:val="403"/>
        </w:numPr>
        <w:tabs>
          <w:tab w:val="left" w:pos="840"/>
        </w:tabs>
        <w:ind w:left="840" w:hanging="368"/>
        <w:rPr>
          <w:rFonts w:eastAsia="Arial"/>
          <w:szCs w:val="24"/>
        </w:rPr>
      </w:pPr>
      <w:r>
        <w:rPr>
          <w:rFonts w:eastAsia="Times New Roman"/>
          <w:szCs w:val="24"/>
        </w:rPr>
        <w:t>D</w:t>
      </w:r>
      <w:r w:rsidR="00CE6695" w:rsidRPr="00FC3B7C">
        <w:rPr>
          <w:rFonts w:eastAsia="Times New Roman"/>
          <w:szCs w:val="24"/>
        </w:rPr>
        <w:t>efinice vnitřního trhu: „Oblast bez vnitřních hranic, v níž je zajištěn volný pohyb zboží, osob, služeb a kapitálu“</w:t>
      </w:r>
    </w:p>
    <w:p w14:paraId="4A6F4E17" w14:textId="53B14369" w:rsidR="00CE6695" w:rsidRPr="00FC3B7C" w:rsidRDefault="00F9189C" w:rsidP="00D46B53">
      <w:pPr>
        <w:numPr>
          <w:ilvl w:val="0"/>
          <w:numId w:val="403"/>
        </w:numPr>
        <w:tabs>
          <w:tab w:val="left" w:pos="840"/>
        </w:tabs>
        <w:ind w:left="840" w:hanging="368"/>
        <w:rPr>
          <w:rFonts w:eastAsia="Arial"/>
          <w:szCs w:val="24"/>
        </w:rPr>
      </w:pPr>
      <w:r>
        <w:rPr>
          <w:rFonts w:eastAsia="Times New Roman"/>
          <w:szCs w:val="24"/>
        </w:rPr>
        <w:t>V</w:t>
      </w:r>
      <w:r w:rsidR="00CE6695" w:rsidRPr="00FC3B7C">
        <w:rPr>
          <w:rFonts w:eastAsia="Times New Roman"/>
          <w:szCs w:val="24"/>
        </w:rPr>
        <w:t xml:space="preserve"> otázkách vnitřního trhu </w:t>
      </w:r>
      <w:r w:rsidR="00CE6695" w:rsidRPr="00FC3B7C">
        <w:rPr>
          <w:rFonts w:eastAsia="Times New Roman"/>
          <w:b/>
          <w:bCs/>
          <w:szCs w:val="24"/>
        </w:rPr>
        <w:t>hlasování kvalifikovanou většinou</w:t>
      </w:r>
    </w:p>
    <w:p w14:paraId="4A6F4E18" w14:textId="484E0391" w:rsidR="00CE6695" w:rsidRPr="00FC3B7C" w:rsidRDefault="00F9189C" w:rsidP="00D46B53">
      <w:pPr>
        <w:numPr>
          <w:ilvl w:val="0"/>
          <w:numId w:val="403"/>
        </w:numPr>
        <w:tabs>
          <w:tab w:val="left" w:pos="840"/>
        </w:tabs>
        <w:ind w:left="840" w:hanging="368"/>
        <w:rPr>
          <w:rFonts w:eastAsia="Arial"/>
          <w:szCs w:val="24"/>
        </w:rPr>
      </w:pPr>
      <w:r>
        <w:rPr>
          <w:rFonts w:eastAsia="Times New Roman"/>
          <w:szCs w:val="24"/>
        </w:rPr>
        <w:t>Z</w:t>
      </w:r>
      <w:r w:rsidR="00CE6695" w:rsidRPr="00FC3B7C">
        <w:rPr>
          <w:rFonts w:eastAsia="Times New Roman"/>
          <w:szCs w:val="24"/>
        </w:rPr>
        <w:t xml:space="preserve">řízení </w:t>
      </w:r>
      <w:r w:rsidR="00CE6695" w:rsidRPr="00FC3B7C">
        <w:rPr>
          <w:rFonts w:eastAsia="Times New Roman"/>
          <w:b/>
          <w:bCs/>
          <w:szCs w:val="24"/>
        </w:rPr>
        <w:t>Evropské rady</w:t>
      </w:r>
      <w:r w:rsidR="00CE6695" w:rsidRPr="00FC3B7C">
        <w:rPr>
          <w:rFonts w:eastAsia="Times New Roman"/>
          <w:szCs w:val="24"/>
        </w:rPr>
        <w:t xml:space="preserve"> 1974 (orgán strategického rozhodování), jednání 2x ročně</w:t>
      </w:r>
    </w:p>
    <w:p w14:paraId="4A6F4E19" w14:textId="3384541A" w:rsidR="00CE6695" w:rsidRPr="00FC3B7C" w:rsidRDefault="00F9189C" w:rsidP="00D46B53">
      <w:pPr>
        <w:numPr>
          <w:ilvl w:val="0"/>
          <w:numId w:val="403"/>
        </w:numPr>
        <w:tabs>
          <w:tab w:val="left" w:pos="840"/>
        </w:tabs>
        <w:ind w:left="840" w:hanging="368"/>
        <w:rPr>
          <w:rFonts w:eastAsia="Arial"/>
          <w:szCs w:val="24"/>
        </w:rPr>
      </w:pPr>
      <w:r>
        <w:rPr>
          <w:rFonts w:eastAsia="Times New Roman"/>
          <w:b/>
          <w:bCs/>
          <w:szCs w:val="24"/>
        </w:rPr>
        <w:t>P</w:t>
      </w:r>
      <w:r w:rsidR="00CE6695" w:rsidRPr="00FC3B7C">
        <w:rPr>
          <w:rFonts w:eastAsia="Times New Roman"/>
          <w:b/>
          <w:bCs/>
          <w:szCs w:val="24"/>
        </w:rPr>
        <w:t xml:space="preserve">osílení pravomocí </w:t>
      </w:r>
      <w:r w:rsidR="00CE6695" w:rsidRPr="00FC3B7C">
        <w:rPr>
          <w:rFonts w:eastAsia="Times New Roman"/>
          <w:szCs w:val="24"/>
        </w:rPr>
        <w:t>Evropského</w:t>
      </w:r>
      <w:r w:rsidR="00CE6695" w:rsidRPr="00FC3B7C">
        <w:rPr>
          <w:rFonts w:eastAsia="Times New Roman"/>
          <w:b/>
          <w:bCs/>
          <w:szCs w:val="24"/>
        </w:rPr>
        <w:t xml:space="preserve"> parlamentu</w:t>
      </w:r>
    </w:p>
    <w:p w14:paraId="4A6F4E1A" w14:textId="39048C26" w:rsidR="00CE6695" w:rsidRPr="00FC3B7C" w:rsidRDefault="00F9189C" w:rsidP="00D46B53">
      <w:pPr>
        <w:numPr>
          <w:ilvl w:val="0"/>
          <w:numId w:val="404"/>
        </w:numPr>
        <w:tabs>
          <w:tab w:val="left" w:pos="840"/>
        </w:tabs>
        <w:spacing w:line="394" w:lineRule="auto"/>
        <w:ind w:left="840" w:hanging="368"/>
        <w:rPr>
          <w:rFonts w:eastAsia="Arial"/>
          <w:szCs w:val="24"/>
        </w:rPr>
      </w:pPr>
      <w:bookmarkStart w:id="410" w:name="page421"/>
      <w:bookmarkEnd w:id="410"/>
      <w:r>
        <w:rPr>
          <w:rFonts w:eastAsia="Times New Roman"/>
          <w:b/>
          <w:bCs/>
          <w:szCs w:val="24"/>
        </w:rPr>
        <w:t>R</w:t>
      </w:r>
      <w:r w:rsidR="00CE6695" w:rsidRPr="00FC3B7C">
        <w:rPr>
          <w:rFonts w:eastAsia="Times New Roman"/>
          <w:b/>
          <w:bCs/>
          <w:szCs w:val="24"/>
        </w:rPr>
        <w:t>ozšiřují se aktivity ES</w:t>
      </w:r>
      <w:r w:rsidR="00CE6695" w:rsidRPr="00FC3B7C">
        <w:rPr>
          <w:rFonts w:eastAsia="Times New Roman"/>
          <w:szCs w:val="24"/>
        </w:rPr>
        <w:t>: výzkum a technický</w:t>
      </w:r>
      <w:r w:rsidR="00CE6695" w:rsidRPr="00FC3B7C">
        <w:rPr>
          <w:rFonts w:eastAsia="Times New Roman"/>
          <w:b/>
          <w:bCs/>
          <w:szCs w:val="24"/>
        </w:rPr>
        <w:t xml:space="preserve"> </w:t>
      </w:r>
      <w:r w:rsidR="00CE6695" w:rsidRPr="00FC3B7C">
        <w:rPr>
          <w:rFonts w:eastAsia="Times New Roman"/>
          <w:szCs w:val="24"/>
        </w:rPr>
        <w:t>rozvoj,</w:t>
      </w:r>
      <w:r w:rsidR="00CE6695" w:rsidRPr="00FC3B7C">
        <w:rPr>
          <w:rFonts w:eastAsia="Times New Roman"/>
          <w:b/>
          <w:bCs/>
          <w:szCs w:val="24"/>
        </w:rPr>
        <w:t xml:space="preserve"> </w:t>
      </w:r>
      <w:r w:rsidR="00CE6695" w:rsidRPr="00FC3B7C">
        <w:rPr>
          <w:rFonts w:eastAsia="Times New Roman"/>
          <w:szCs w:val="24"/>
        </w:rPr>
        <w:t>životní prostředí,</w:t>
      </w:r>
      <w:r w:rsidR="00CE6695" w:rsidRPr="00FC3B7C">
        <w:rPr>
          <w:rFonts w:eastAsia="Times New Roman"/>
          <w:b/>
          <w:bCs/>
          <w:szCs w:val="24"/>
        </w:rPr>
        <w:t xml:space="preserve"> </w:t>
      </w:r>
      <w:r w:rsidR="00CE6695" w:rsidRPr="00FC3B7C">
        <w:rPr>
          <w:rFonts w:eastAsia="Times New Roman"/>
          <w:szCs w:val="24"/>
        </w:rPr>
        <w:t>ekonomická a sociální soudržnost, sociální politika</w:t>
      </w:r>
    </w:p>
    <w:p w14:paraId="4A6F4E1B" w14:textId="07C3A232" w:rsidR="00CE6695" w:rsidRPr="00FC3B7C" w:rsidRDefault="00CE6695" w:rsidP="00DC5ED2">
      <w:pPr>
        <w:rPr>
          <w:sz w:val="20"/>
          <w:szCs w:val="20"/>
        </w:rPr>
      </w:pPr>
      <w:r w:rsidRPr="00FC3B7C">
        <w:rPr>
          <w:rFonts w:eastAsia="Times New Roman"/>
          <w:b/>
          <w:bCs/>
          <w:i/>
          <w:iCs/>
          <w:szCs w:val="24"/>
        </w:rPr>
        <w:t xml:space="preserve">1986 </w:t>
      </w:r>
      <w:r w:rsidR="00F9189C">
        <w:rPr>
          <w:rFonts w:eastAsia="Times New Roman"/>
          <w:b/>
          <w:bCs/>
          <w:i/>
          <w:iCs/>
          <w:szCs w:val="24"/>
        </w:rPr>
        <w:t>P</w:t>
      </w:r>
      <w:r w:rsidRPr="00FC3B7C">
        <w:rPr>
          <w:rFonts w:eastAsia="Times New Roman"/>
          <w:b/>
          <w:bCs/>
          <w:i/>
          <w:iCs/>
          <w:szCs w:val="24"/>
        </w:rPr>
        <w:t>řistoupení Španělska a Portugalska</w:t>
      </w:r>
    </w:p>
    <w:p w14:paraId="4A6F4E1C" w14:textId="481840AB" w:rsidR="00CE6695" w:rsidRPr="00FC3B7C" w:rsidRDefault="00CE6695" w:rsidP="00DC5ED2">
      <w:pPr>
        <w:rPr>
          <w:sz w:val="20"/>
          <w:szCs w:val="20"/>
        </w:rPr>
      </w:pPr>
      <w:r w:rsidRPr="00FC3B7C">
        <w:rPr>
          <w:rFonts w:eastAsia="Times New Roman"/>
          <w:b/>
          <w:bCs/>
          <w:i/>
          <w:iCs/>
          <w:szCs w:val="24"/>
        </w:rPr>
        <w:t xml:space="preserve">1992 Maastrichtská smlouva </w:t>
      </w:r>
      <w:r w:rsidRPr="00F9189C">
        <w:rPr>
          <w:rFonts w:eastAsia="Times New Roman"/>
          <w:b/>
          <w:bCs/>
          <w:szCs w:val="24"/>
        </w:rPr>
        <w:t>(Smlouva o EU</w:t>
      </w:r>
      <w:r w:rsidR="00F9189C" w:rsidRPr="00F9189C">
        <w:rPr>
          <w:rFonts w:eastAsia="Times New Roman"/>
          <w:b/>
          <w:bCs/>
          <w:szCs w:val="24"/>
        </w:rPr>
        <w:t>;</w:t>
      </w:r>
      <w:r w:rsidRPr="00F9189C">
        <w:rPr>
          <w:rFonts w:eastAsia="Times New Roman"/>
          <w:b/>
          <w:bCs/>
          <w:szCs w:val="24"/>
        </w:rPr>
        <w:t xml:space="preserve"> platnost</w:t>
      </w:r>
      <w:r w:rsidRPr="00FC3B7C">
        <w:rPr>
          <w:rFonts w:eastAsia="Times New Roman"/>
          <w:b/>
          <w:bCs/>
          <w:i/>
          <w:iCs/>
          <w:szCs w:val="24"/>
        </w:rPr>
        <w:t xml:space="preserve"> </w:t>
      </w:r>
      <w:r w:rsidRPr="00FC3B7C">
        <w:rPr>
          <w:rFonts w:eastAsia="Times New Roman"/>
          <w:b/>
          <w:bCs/>
          <w:szCs w:val="24"/>
        </w:rPr>
        <w:t>od 1. 1. 1993</w:t>
      </w:r>
      <w:r w:rsidRPr="00FC3B7C">
        <w:rPr>
          <w:rFonts w:eastAsia="Times New Roman"/>
          <w:szCs w:val="24"/>
        </w:rPr>
        <w:t>)</w:t>
      </w:r>
    </w:p>
    <w:p w14:paraId="4A6F4E1D" w14:textId="444859D2" w:rsidR="00CE6695" w:rsidRPr="00FC3B7C" w:rsidRDefault="00F9189C" w:rsidP="00D46B53">
      <w:pPr>
        <w:numPr>
          <w:ilvl w:val="0"/>
          <w:numId w:val="405"/>
        </w:numPr>
        <w:tabs>
          <w:tab w:val="left" w:pos="720"/>
        </w:tabs>
        <w:ind w:left="720" w:hanging="364"/>
        <w:rPr>
          <w:rFonts w:eastAsia="Arial"/>
          <w:szCs w:val="24"/>
        </w:rPr>
      </w:pPr>
      <w:r>
        <w:rPr>
          <w:rFonts w:eastAsia="Times New Roman"/>
          <w:b/>
          <w:bCs/>
          <w:szCs w:val="24"/>
        </w:rPr>
        <w:t>P</w:t>
      </w:r>
      <w:r w:rsidR="00CE6695" w:rsidRPr="00FC3B7C">
        <w:rPr>
          <w:rFonts w:eastAsia="Times New Roman"/>
          <w:b/>
          <w:bCs/>
          <w:szCs w:val="24"/>
        </w:rPr>
        <w:t xml:space="preserve">řeměna </w:t>
      </w:r>
      <w:r w:rsidR="00CE6695" w:rsidRPr="00FC3B7C">
        <w:rPr>
          <w:rFonts w:eastAsia="Times New Roman"/>
          <w:szCs w:val="24"/>
        </w:rPr>
        <w:t>Evropského společenství</w:t>
      </w:r>
      <w:r w:rsidR="00CE6695" w:rsidRPr="00FC3B7C">
        <w:rPr>
          <w:rFonts w:eastAsia="Times New Roman"/>
          <w:b/>
          <w:bCs/>
          <w:szCs w:val="24"/>
        </w:rPr>
        <w:t xml:space="preserve"> na Evropskou unii</w:t>
      </w:r>
    </w:p>
    <w:p w14:paraId="4A6F4E1E" w14:textId="77777777" w:rsidR="00CE6695" w:rsidRPr="00FC3B7C" w:rsidRDefault="00CE6695" w:rsidP="00D46B53">
      <w:pPr>
        <w:numPr>
          <w:ilvl w:val="0"/>
          <w:numId w:val="405"/>
        </w:numPr>
        <w:tabs>
          <w:tab w:val="left" w:pos="720"/>
        </w:tabs>
        <w:ind w:left="720" w:right="20" w:hanging="364"/>
        <w:rPr>
          <w:rFonts w:eastAsia="Arial"/>
          <w:szCs w:val="24"/>
        </w:rPr>
      </w:pPr>
      <w:r w:rsidRPr="00FC3B7C">
        <w:rPr>
          <w:rFonts w:eastAsia="Times New Roman"/>
          <w:szCs w:val="24"/>
        </w:rPr>
        <w:t xml:space="preserve">Maastrichtská smlouva jde za rámec Římské smlouvy - </w:t>
      </w:r>
      <w:r w:rsidRPr="00FC3B7C">
        <w:rPr>
          <w:rFonts w:eastAsia="Times New Roman"/>
          <w:b/>
          <w:bCs/>
          <w:szCs w:val="24"/>
        </w:rPr>
        <w:t>změny cílů</w:t>
      </w:r>
      <w:r w:rsidRPr="00FC3B7C">
        <w:rPr>
          <w:rFonts w:eastAsia="Times New Roman"/>
          <w:szCs w:val="24"/>
        </w:rPr>
        <w:t xml:space="preserve"> ekonomické integrace, nástrojů i institucionálního rámce</w:t>
      </w:r>
    </w:p>
    <w:p w14:paraId="4A6F4E1F" w14:textId="77777777" w:rsidR="00CE6695" w:rsidRPr="00FC3B7C" w:rsidRDefault="00CE6695" w:rsidP="00D46B53">
      <w:pPr>
        <w:numPr>
          <w:ilvl w:val="0"/>
          <w:numId w:val="405"/>
        </w:numPr>
        <w:tabs>
          <w:tab w:val="left" w:pos="720"/>
        </w:tabs>
        <w:ind w:left="720" w:hanging="364"/>
        <w:rPr>
          <w:rFonts w:eastAsia="Arial"/>
          <w:szCs w:val="24"/>
        </w:rPr>
      </w:pPr>
      <w:r w:rsidRPr="00FC3B7C">
        <w:rPr>
          <w:rFonts w:eastAsia="Times New Roman"/>
          <w:szCs w:val="24"/>
        </w:rPr>
        <w:t xml:space="preserve">EU stojí na </w:t>
      </w:r>
      <w:r w:rsidRPr="00FC3B7C">
        <w:rPr>
          <w:rFonts w:eastAsia="Times New Roman"/>
          <w:b/>
          <w:bCs/>
          <w:szCs w:val="24"/>
        </w:rPr>
        <w:t>3 pilířích</w:t>
      </w:r>
      <w:r w:rsidRPr="00FC3B7C">
        <w:rPr>
          <w:rFonts w:eastAsia="Times New Roman"/>
          <w:szCs w:val="24"/>
        </w:rPr>
        <w:t>:</w:t>
      </w:r>
    </w:p>
    <w:p w14:paraId="4A6F4E20" w14:textId="77777777" w:rsidR="00CE6695" w:rsidRPr="00FC3B7C" w:rsidRDefault="00CE6695" w:rsidP="00DC5ED2">
      <w:pPr>
        <w:ind w:left="1240" w:right="80" w:hanging="139"/>
        <w:rPr>
          <w:rFonts w:eastAsia="Arial"/>
          <w:szCs w:val="24"/>
        </w:rPr>
      </w:pPr>
      <w:r w:rsidRPr="00FC3B7C">
        <w:rPr>
          <w:rFonts w:eastAsia="Times New Roman"/>
          <w:b/>
          <w:bCs/>
          <w:szCs w:val="24"/>
        </w:rPr>
        <w:t xml:space="preserve">I. </w:t>
      </w:r>
      <w:r w:rsidRPr="00FC3B7C">
        <w:rPr>
          <w:rFonts w:eastAsia="Times New Roman"/>
          <w:szCs w:val="24"/>
        </w:rPr>
        <w:t>Dosavadní Evropská společenství (EHS, ESUO, EURATOM) spolupracují v</w:t>
      </w:r>
      <w:r w:rsidRPr="00FC3B7C">
        <w:rPr>
          <w:rFonts w:eastAsia="Times New Roman"/>
          <w:b/>
          <w:bCs/>
          <w:szCs w:val="24"/>
        </w:rPr>
        <w:t xml:space="preserve"> </w:t>
      </w:r>
      <w:r w:rsidRPr="00FC3B7C">
        <w:rPr>
          <w:rFonts w:eastAsia="Times New Roman"/>
          <w:szCs w:val="24"/>
        </w:rPr>
        <w:t xml:space="preserve">oblastech jako je např. společná zemědělská politika. Regionální a strukturální politika je na rozdíl od ostatních pilířů svěřena </w:t>
      </w:r>
      <w:r w:rsidRPr="00FC3B7C">
        <w:rPr>
          <w:rFonts w:eastAsia="Times New Roman"/>
          <w:szCs w:val="24"/>
          <w:u w:val="single"/>
        </w:rPr>
        <w:t>institucím EU, které jednají</w:t>
      </w:r>
      <w:r w:rsidRPr="00FC3B7C">
        <w:rPr>
          <w:rFonts w:eastAsia="Times New Roman"/>
          <w:szCs w:val="24"/>
        </w:rPr>
        <w:t xml:space="preserve"> </w:t>
      </w:r>
      <w:r w:rsidRPr="00FC3B7C">
        <w:rPr>
          <w:rFonts w:eastAsia="Times New Roman"/>
          <w:szCs w:val="24"/>
          <w:u w:val="single"/>
        </w:rPr>
        <w:t>nezávisle na jednotlivých národních vládách</w:t>
      </w:r>
    </w:p>
    <w:p w14:paraId="4A6F4E21" w14:textId="74672692" w:rsidR="00CE6695" w:rsidRPr="00FC3B7C" w:rsidRDefault="00CE6695" w:rsidP="00DC5ED2">
      <w:pPr>
        <w:ind w:left="1000"/>
        <w:rPr>
          <w:rFonts w:eastAsia="Arial"/>
          <w:szCs w:val="24"/>
        </w:rPr>
      </w:pPr>
      <w:r w:rsidRPr="00FC3B7C">
        <w:rPr>
          <w:rFonts w:eastAsia="Times New Roman"/>
          <w:b/>
          <w:bCs/>
          <w:szCs w:val="24"/>
        </w:rPr>
        <w:t>II.</w:t>
      </w:r>
      <w:r w:rsidR="003376E1">
        <w:rPr>
          <w:rFonts w:eastAsia="Times New Roman"/>
          <w:b/>
          <w:bCs/>
          <w:szCs w:val="24"/>
        </w:rPr>
        <w:t xml:space="preserve"> </w:t>
      </w:r>
      <w:r w:rsidRPr="00FC3B7C">
        <w:rPr>
          <w:rFonts w:eastAsia="Times New Roman"/>
          <w:b/>
          <w:bCs/>
          <w:szCs w:val="24"/>
        </w:rPr>
        <w:t xml:space="preserve"> Společná zahraniční a bezpečnostní politika</w:t>
      </w:r>
    </w:p>
    <w:p w14:paraId="4A6F4E22" w14:textId="0794ED7B" w:rsidR="00CE6695" w:rsidRPr="00FC3B7C" w:rsidRDefault="00CE6695" w:rsidP="00DC5ED2">
      <w:pPr>
        <w:ind w:left="900"/>
        <w:rPr>
          <w:rFonts w:eastAsia="Arial"/>
          <w:szCs w:val="24"/>
        </w:rPr>
      </w:pPr>
      <w:r w:rsidRPr="00FC3B7C">
        <w:rPr>
          <w:rFonts w:eastAsia="Times New Roman"/>
          <w:b/>
          <w:bCs/>
          <w:szCs w:val="24"/>
        </w:rPr>
        <w:t>III.</w:t>
      </w:r>
      <w:r w:rsidR="003376E1">
        <w:rPr>
          <w:rFonts w:eastAsia="Times New Roman"/>
          <w:b/>
          <w:bCs/>
          <w:szCs w:val="24"/>
        </w:rPr>
        <w:t xml:space="preserve"> </w:t>
      </w:r>
      <w:r w:rsidRPr="00FC3B7C">
        <w:rPr>
          <w:rFonts w:eastAsia="Times New Roman"/>
          <w:b/>
          <w:bCs/>
          <w:szCs w:val="24"/>
        </w:rPr>
        <w:t xml:space="preserve"> Spolupráce v oblasti vnitřní bezpečnosti a justice</w:t>
      </w:r>
    </w:p>
    <w:p w14:paraId="4A6F4E23" w14:textId="77777777" w:rsidR="00CE6695" w:rsidRPr="00FC3B7C" w:rsidRDefault="00CE6695" w:rsidP="00D46B53">
      <w:pPr>
        <w:numPr>
          <w:ilvl w:val="0"/>
          <w:numId w:val="406"/>
        </w:numPr>
        <w:tabs>
          <w:tab w:val="left" w:pos="840"/>
        </w:tabs>
        <w:ind w:left="840" w:hanging="368"/>
        <w:rPr>
          <w:rFonts w:eastAsia="Arial"/>
          <w:szCs w:val="24"/>
        </w:rPr>
      </w:pPr>
      <w:r w:rsidRPr="00FC3B7C">
        <w:rPr>
          <w:rFonts w:eastAsia="Times New Roman"/>
          <w:szCs w:val="24"/>
        </w:rPr>
        <w:t>Nově formulované cíle dle MS:</w:t>
      </w:r>
    </w:p>
    <w:p w14:paraId="4A6F4E24" w14:textId="77777777" w:rsidR="00CE6695" w:rsidRPr="00DC5ED2" w:rsidRDefault="00CE6695" w:rsidP="00D46B53">
      <w:pPr>
        <w:numPr>
          <w:ilvl w:val="0"/>
          <w:numId w:val="407"/>
        </w:numPr>
        <w:tabs>
          <w:tab w:val="left" w:pos="1420"/>
        </w:tabs>
        <w:ind w:left="1420" w:hanging="366"/>
        <w:rPr>
          <w:sz w:val="20"/>
          <w:szCs w:val="20"/>
        </w:rPr>
      </w:pPr>
      <w:r w:rsidRPr="00DC5ED2">
        <w:rPr>
          <w:rFonts w:eastAsia="Times New Roman"/>
          <w:szCs w:val="24"/>
        </w:rPr>
        <w:t>Harmonický a vyrovnaný rozvoj hospodářských činností</w:t>
      </w:r>
    </w:p>
    <w:p w14:paraId="4A6F4E25" w14:textId="77777777" w:rsidR="00CE6695" w:rsidRPr="00FC3B7C" w:rsidRDefault="00CE6695" w:rsidP="00D46B53">
      <w:pPr>
        <w:numPr>
          <w:ilvl w:val="0"/>
          <w:numId w:val="408"/>
        </w:numPr>
        <w:tabs>
          <w:tab w:val="left" w:pos="1420"/>
        </w:tabs>
        <w:ind w:left="1420" w:hanging="366"/>
        <w:rPr>
          <w:rFonts w:eastAsia="Courier New"/>
          <w:szCs w:val="24"/>
        </w:rPr>
      </w:pPr>
      <w:r w:rsidRPr="00FC3B7C">
        <w:rPr>
          <w:rFonts w:eastAsia="Times New Roman"/>
          <w:szCs w:val="24"/>
        </w:rPr>
        <w:t>Udržitelný a neinflační hospodářský růst respektující životní prostředí</w:t>
      </w:r>
    </w:p>
    <w:p w14:paraId="4A6F4E26" w14:textId="77777777" w:rsidR="00CE6695" w:rsidRPr="00FC3B7C" w:rsidRDefault="00CE6695" w:rsidP="00D46B53">
      <w:pPr>
        <w:numPr>
          <w:ilvl w:val="0"/>
          <w:numId w:val="409"/>
        </w:numPr>
        <w:tabs>
          <w:tab w:val="left" w:pos="1420"/>
        </w:tabs>
        <w:ind w:left="1420" w:hanging="366"/>
        <w:rPr>
          <w:rFonts w:eastAsia="Courier New"/>
          <w:szCs w:val="24"/>
        </w:rPr>
      </w:pPr>
      <w:r w:rsidRPr="00FC3B7C">
        <w:rPr>
          <w:rFonts w:eastAsia="Times New Roman"/>
          <w:szCs w:val="24"/>
        </w:rPr>
        <w:lastRenderedPageBreak/>
        <w:t>Vysoký stupeň konvergence ekonomické výkonnosti</w:t>
      </w:r>
    </w:p>
    <w:p w14:paraId="4A6F4E27" w14:textId="77777777" w:rsidR="00CE6695" w:rsidRPr="00FC3B7C" w:rsidRDefault="00CE6695" w:rsidP="00D46B53">
      <w:pPr>
        <w:numPr>
          <w:ilvl w:val="0"/>
          <w:numId w:val="410"/>
        </w:numPr>
        <w:tabs>
          <w:tab w:val="left" w:pos="1420"/>
        </w:tabs>
        <w:ind w:left="1420" w:hanging="366"/>
        <w:rPr>
          <w:rFonts w:eastAsia="Courier New"/>
          <w:szCs w:val="24"/>
        </w:rPr>
      </w:pPr>
      <w:r w:rsidRPr="00FC3B7C">
        <w:rPr>
          <w:rFonts w:eastAsia="Times New Roman"/>
          <w:szCs w:val="24"/>
        </w:rPr>
        <w:t>Vysoká úroveň zaměstnanosti a sociální ochrany</w:t>
      </w:r>
    </w:p>
    <w:p w14:paraId="4A6F4E28" w14:textId="77777777" w:rsidR="00CE6695" w:rsidRPr="00FC3B7C" w:rsidRDefault="00CE6695" w:rsidP="00D46B53">
      <w:pPr>
        <w:numPr>
          <w:ilvl w:val="0"/>
          <w:numId w:val="411"/>
        </w:numPr>
        <w:tabs>
          <w:tab w:val="left" w:pos="1420"/>
        </w:tabs>
        <w:ind w:left="1420" w:hanging="366"/>
        <w:rPr>
          <w:rFonts w:eastAsia="Courier New"/>
          <w:szCs w:val="24"/>
        </w:rPr>
      </w:pPr>
      <w:r w:rsidRPr="00FC3B7C">
        <w:rPr>
          <w:rFonts w:eastAsia="Times New Roman"/>
          <w:szCs w:val="24"/>
        </w:rPr>
        <w:t>Zvyšování životní úrovně a kvality života</w:t>
      </w:r>
    </w:p>
    <w:p w14:paraId="4A6F4E29" w14:textId="77777777" w:rsidR="00CE6695" w:rsidRPr="00FC3B7C" w:rsidRDefault="00CE6695" w:rsidP="00D46B53">
      <w:pPr>
        <w:numPr>
          <w:ilvl w:val="2"/>
          <w:numId w:val="412"/>
        </w:numPr>
        <w:tabs>
          <w:tab w:val="left" w:pos="1420"/>
        </w:tabs>
        <w:ind w:left="1420" w:hanging="366"/>
        <w:rPr>
          <w:rFonts w:eastAsia="Courier New"/>
          <w:szCs w:val="24"/>
        </w:rPr>
      </w:pPr>
      <w:r w:rsidRPr="00FC3B7C">
        <w:rPr>
          <w:rFonts w:eastAsia="Times New Roman"/>
          <w:szCs w:val="24"/>
        </w:rPr>
        <w:t>Hospodářská a sociální soudržnost a solidarita mezi členskými státy</w:t>
      </w:r>
    </w:p>
    <w:p w14:paraId="4A6F4E2A" w14:textId="3711EFA4" w:rsidR="00CE6695" w:rsidRPr="00FC3B7C" w:rsidRDefault="00F9189C" w:rsidP="00D46B53">
      <w:pPr>
        <w:numPr>
          <w:ilvl w:val="0"/>
          <w:numId w:val="412"/>
        </w:numPr>
        <w:tabs>
          <w:tab w:val="left" w:pos="840"/>
        </w:tabs>
        <w:ind w:left="840" w:hanging="353"/>
        <w:rPr>
          <w:rFonts w:eastAsia="Arial"/>
          <w:szCs w:val="24"/>
        </w:rPr>
      </w:pPr>
      <w:r>
        <w:rPr>
          <w:rFonts w:eastAsia="Times New Roman"/>
          <w:b/>
          <w:bCs/>
          <w:i/>
          <w:iCs/>
          <w:szCs w:val="24"/>
        </w:rPr>
        <w:t>N</w:t>
      </w:r>
      <w:r w:rsidR="00CE6695" w:rsidRPr="00FC3B7C">
        <w:rPr>
          <w:rFonts w:eastAsia="Times New Roman"/>
          <w:b/>
          <w:bCs/>
          <w:i/>
          <w:iCs/>
          <w:szCs w:val="24"/>
        </w:rPr>
        <w:t>ový nástroj</w:t>
      </w:r>
      <w:r w:rsidR="00CE6695" w:rsidRPr="00FC3B7C">
        <w:rPr>
          <w:rFonts w:eastAsia="Times New Roman"/>
          <w:szCs w:val="24"/>
        </w:rPr>
        <w:t>:</w:t>
      </w:r>
      <w:r w:rsidR="00CE6695" w:rsidRPr="00FC3B7C">
        <w:rPr>
          <w:rFonts w:eastAsia="Times New Roman"/>
          <w:b/>
          <w:bCs/>
          <w:i/>
          <w:iCs/>
          <w:szCs w:val="24"/>
        </w:rPr>
        <w:t xml:space="preserve"> </w:t>
      </w:r>
      <w:r w:rsidR="00CE6695" w:rsidRPr="00FC3B7C">
        <w:rPr>
          <w:rFonts w:eastAsia="Times New Roman"/>
          <w:b/>
          <w:bCs/>
          <w:szCs w:val="24"/>
        </w:rPr>
        <w:t>zavedení EMU</w:t>
      </w:r>
      <w:r w:rsidR="00CE6695" w:rsidRPr="00FC3B7C">
        <w:rPr>
          <w:rFonts w:eastAsia="Times New Roman"/>
          <w:b/>
          <w:bCs/>
          <w:i/>
          <w:iCs/>
          <w:szCs w:val="24"/>
        </w:rPr>
        <w:t xml:space="preserve"> </w:t>
      </w:r>
      <w:r w:rsidR="00CE6695" w:rsidRPr="00FC3B7C">
        <w:rPr>
          <w:rFonts w:eastAsia="Times New Roman"/>
          <w:szCs w:val="24"/>
        </w:rPr>
        <w:t>(hospodářské a měnové unie) nejpozději</w:t>
      </w:r>
      <w:r w:rsidR="00CE6695" w:rsidRPr="00FC3B7C">
        <w:rPr>
          <w:rFonts w:eastAsia="Times New Roman"/>
          <w:b/>
          <w:bCs/>
          <w:i/>
          <w:iCs/>
          <w:szCs w:val="24"/>
        </w:rPr>
        <w:t xml:space="preserve"> </w:t>
      </w:r>
      <w:r w:rsidR="00CE6695" w:rsidRPr="00FC3B7C">
        <w:rPr>
          <w:rFonts w:eastAsia="Times New Roman"/>
          <w:b/>
          <w:bCs/>
          <w:szCs w:val="24"/>
        </w:rPr>
        <w:t>do roku 1999</w:t>
      </w:r>
    </w:p>
    <w:p w14:paraId="4A6F4E2B" w14:textId="77777777" w:rsidR="00CE6695" w:rsidRPr="00FC3B7C" w:rsidRDefault="00CE6695" w:rsidP="00DC5ED2">
      <w:pPr>
        <w:ind w:left="840" w:right="80"/>
        <w:rPr>
          <w:rFonts w:eastAsia="Arial"/>
          <w:szCs w:val="24"/>
        </w:rPr>
      </w:pPr>
      <w:r w:rsidRPr="00FC3B7C">
        <w:rPr>
          <w:rFonts w:eastAsia="Times New Roman"/>
          <w:szCs w:val="24"/>
        </w:rPr>
        <w:t xml:space="preserve">– hlavním prvkem je </w:t>
      </w:r>
      <w:r w:rsidRPr="00FC3B7C">
        <w:rPr>
          <w:rFonts w:eastAsia="Times New Roman"/>
          <w:b/>
          <w:bCs/>
          <w:szCs w:val="24"/>
        </w:rPr>
        <w:t>společná měna</w:t>
      </w:r>
      <w:r w:rsidRPr="00FC3B7C">
        <w:rPr>
          <w:rFonts w:eastAsia="Times New Roman"/>
          <w:szCs w:val="24"/>
        </w:rPr>
        <w:t xml:space="preserve">, udržování </w:t>
      </w:r>
      <w:r w:rsidRPr="00FC3B7C">
        <w:rPr>
          <w:rFonts w:eastAsia="Times New Roman"/>
          <w:b/>
          <w:bCs/>
          <w:szCs w:val="24"/>
        </w:rPr>
        <w:t>cenové stability</w:t>
      </w:r>
      <w:r w:rsidRPr="00FC3B7C">
        <w:rPr>
          <w:rFonts w:eastAsia="Times New Roman"/>
          <w:szCs w:val="24"/>
        </w:rPr>
        <w:t xml:space="preserve"> (úkol Evropské centrální banky), dodržování </w:t>
      </w:r>
      <w:r w:rsidRPr="00FC3B7C">
        <w:rPr>
          <w:rFonts w:eastAsia="Times New Roman"/>
          <w:b/>
          <w:bCs/>
          <w:szCs w:val="24"/>
        </w:rPr>
        <w:t>rozpočtové disciplíny</w:t>
      </w:r>
      <w:r w:rsidRPr="00FC3B7C">
        <w:rPr>
          <w:rFonts w:eastAsia="Times New Roman"/>
          <w:szCs w:val="24"/>
        </w:rPr>
        <w:t xml:space="preserve">, splnění </w:t>
      </w:r>
      <w:r w:rsidRPr="00FC3B7C">
        <w:rPr>
          <w:rFonts w:eastAsia="Times New Roman"/>
          <w:b/>
          <w:bCs/>
          <w:szCs w:val="24"/>
        </w:rPr>
        <w:t>konvergenčních</w:t>
      </w:r>
      <w:r w:rsidRPr="00FC3B7C">
        <w:rPr>
          <w:rFonts w:eastAsia="Times New Roman"/>
          <w:szCs w:val="24"/>
        </w:rPr>
        <w:t xml:space="preserve"> </w:t>
      </w:r>
      <w:r w:rsidRPr="00FC3B7C">
        <w:rPr>
          <w:rFonts w:eastAsia="Times New Roman"/>
          <w:b/>
          <w:bCs/>
          <w:szCs w:val="24"/>
        </w:rPr>
        <w:t>kritérií</w:t>
      </w:r>
    </w:p>
    <w:p w14:paraId="4A6F4E2C" w14:textId="50264928" w:rsidR="00CE6695" w:rsidRPr="00FC3B7C" w:rsidRDefault="00F9189C" w:rsidP="00D46B53">
      <w:pPr>
        <w:numPr>
          <w:ilvl w:val="0"/>
          <w:numId w:val="412"/>
        </w:numPr>
        <w:tabs>
          <w:tab w:val="left" w:pos="840"/>
        </w:tabs>
        <w:ind w:left="840" w:hanging="353"/>
        <w:rPr>
          <w:rFonts w:eastAsia="Arial"/>
          <w:szCs w:val="24"/>
        </w:rPr>
      </w:pPr>
      <w:r>
        <w:rPr>
          <w:rFonts w:eastAsia="Times New Roman"/>
          <w:szCs w:val="24"/>
        </w:rPr>
        <w:t>Z</w:t>
      </w:r>
      <w:r w:rsidR="00CE6695" w:rsidRPr="00FC3B7C">
        <w:rPr>
          <w:rFonts w:eastAsia="Times New Roman"/>
          <w:szCs w:val="24"/>
        </w:rPr>
        <w:t xml:space="preserve">avádí </w:t>
      </w:r>
      <w:r w:rsidR="00CE6695" w:rsidRPr="00FC3B7C">
        <w:rPr>
          <w:rFonts w:eastAsia="Times New Roman"/>
          <w:b/>
          <w:bCs/>
          <w:szCs w:val="24"/>
        </w:rPr>
        <w:t>Maastrichtská kritéria</w:t>
      </w:r>
    </w:p>
    <w:p w14:paraId="4A6F4E2D" w14:textId="66B2AEC6" w:rsidR="00CE6695" w:rsidRPr="00FC3B7C" w:rsidRDefault="00F9189C" w:rsidP="00D46B53">
      <w:pPr>
        <w:numPr>
          <w:ilvl w:val="0"/>
          <w:numId w:val="412"/>
        </w:numPr>
        <w:tabs>
          <w:tab w:val="left" w:pos="840"/>
        </w:tabs>
        <w:ind w:left="840" w:right="80" w:hanging="353"/>
        <w:rPr>
          <w:rFonts w:eastAsia="Arial"/>
          <w:szCs w:val="24"/>
        </w:rPr>
      </w:pPr>
      <w:r>
        <w:rPr>
          <w:rFonts w:eastAsia="Times New Roman"/>
          <w:szCs w:val="24"/>
        </w:rPr>
        <w:t>P</w:t>
      </w:r>
      <w:r w:rsidR="00CE6695" w:rsidRPr="00FC3B7C">
        <w:rPr>
          <w:rFonts w:eastAsia="Times New Roman"/>
          <w:szCs w:val="24"/>
        </w:rPr>
        <w:t>roblémy s VB (nemusí přijmout euro) a s Dánskem (nemusí přijmout euro, nemusí se účastnit společné obranné politiky) – výjimka</w:t>
      </w:r>
    </w:p>
    <w:p w14:paraId="4A6F4E2E" w14:textId="2DE3A3A3" w:rsidR="00CE6695" w:rsidRPr="00FC3B7C" w:rsidRDefault="00F9189C" w:rsidP="00D46B53">
      <w:pPr>
        <w:numPr>
          <w:ilvl w:val="0"/>
          <w:numId w:val="412"/>
        </w:numPr>
        <w:tabs>
          <w:tab w:val="left" w:pos="840"/>
        </w:tabs>
        <w:ind w:left="840" w:hanging="353"/>
        <w:rPr>
          <w:rFonts w:eastAsia="Arial"/>
          <w:szCs w:val="24"/>
        </w:rPr>
      </w:pPr>
      <w:r>
        <w:rPr>
          <w:rFonts w:eastAsia="Times New Roman"/>
          <w:b/>
          <w:bCs/>
          <w:szCs w:val="24"/>
        </w:rPr>
        <w:t>Z</w:t>
      </w:r>
      <w:r w:rsidR="00CE6695" w:rsidRPr="00FC3B7C">
        <w:rPr>
          <w:rFonts w:eastAsia="Times New Roman"/>
          <w:b/>
          <w:bCs/>
          <w:szCs w:val="24"/>
        </w:rPr>
        <w:t xml:space="preserve">avádí občanství EU </w:t>
      </w:r>
      <w:r w:rsidR="00CE6695" w:rsidRPr="00FC3B7C">
        <w:rPr>
          <w:rFonts w:eastAsia="Times New Roman"/>
          <w:szCs w:val="24"/>
        </w:rPr>
        <w:t>a Evropský</w:t>
      </w:r>
      <w:r w:rsidR="00CE6695" w:rsidRPr="00FC3B7C">
        <w:rPr>
          <w:rFonts w:eastAsia="Times New Roman"/>
          <w:b/>
          <w:bCs/>
          <w:szCs w:val="24"/>
        </w:rPr>
        <w:t xml:space="preserve"> </w:t>
      </w:r>
      <w:r w:rsidR="00CE6695" w:rsidRPr="00FC3B7C">
        <w:rPr>
          <w:rFonts w:eastAsia="Times New Roman"/>
          <w:szCs w:val="24"/>
        </w:rPr>
        <w:t>měnový</w:t>
      </w:r>
      <w:r w:rsidR="00CE6695" w:rsidRPr="00FC3B7C">
        <w:rPr>
          <w:rFonts w:eastAsia="Times New Roman"/>
          <w:b/>
          <w:bCs/>
          <w:szCs w:val="24"/>
        </w:rPr>
        <w:t xml:space="preserve"> </w:t>
      </w:r>
      <w:r w:rsidR="00CE6695" w:rsidRPr="00FC3B7C">
        <w:rPr>
          <w:rFonts w:eastAsia="Times New Roman"/>
          <w:szCs w:val="24"/>
        </w:rPr>
        <w:t>institut</w:t>
      </w:r>
    </w:p>
    <w:p w14:paraId="4A6F4E2F" w14:textId="6C611FEE" w:rsidR="00CE6695" w:rsidRPr="00FC3B7C" w:rsidRDefault="00CE6695" w:rsidP="00DC5ED2">
      <w:pPr>
        <w:rPr>
          <w:sz w:val="20"/>
          <w:szCs w:val="20"/>
        </w:rPr>
      </w:pPr>
      <w:bookmarkStart w:id="411" w:name="page422"/>
      <w:bookmarkEnd w:id="411"/>
      <w:r w:rsidRPr="00FC3B7C">
        <w:rPr>
          <w:rFonts w:eastAsia="Times New Roman"/>
          <w:b/>
          <w:bCs/>
          <w:i/>
          <w:iCs/>
          <w:szCs w:val="24"/>
        </w:rPr>
        <w:t>1993 Kodaňská konference</w:t>
      </w:r>
    </w:p>
    <w:p w14:paraId="4A6F4E30" w14:textId="324D06BF" w:rsidR="00CE6695" w:rsidRPr="00FC3B7C" w:rsidRDefault="00F9189C" w:rsidP="00D46B53">
      <w:pPr>
        <w:numPr>
          <w:ilvl w:val="0"/>
          <w:numId w:val="413"/>
        </w:numPr>
        <w:tabs>
          <w:tab w:val="left" w:pos="840"/>
        </w:tabs>
        <w:ind w:left="840" w:right="80" w:hanging="353"/>
        <w:rPr>
          <w:rFonts w:eastAsia="Arial"/>
          <w:b/>
          <w:bCs/>
          <w:sz w:val="23"/>
          <w:szCs w:val="23"/>
        </w:rPr>
      </w:pPr>
      <w:r>
        <w:rPr>
          <w:rFonts w:eastAsia="Times New Roman"/>
          <w:szCs w:val="24"/>
        </w:rPr>
        <w:t>P</w:t>
      </w:r>
      <w:r w:rsidR="00CE6695" w:rsidRPr="00FC3B7C">
        <w:rPr>
          <w:rFonts w:eastAsia="Times New Roman"/>
          <w:szCs w:val="24"/>
        </w:rPr>
        <w:t xml:space="preserve">ředstavitelé EU poprvé připustili </w:t>
      </w:r>
      <w:r w:rsidR="00CE6695" w:rsidRPr="00FC3B7C">
        <w:rPr>
          <w:rFonts w:eastAsia="Times New Roman"/>
          <w:b/>
          <w:bCs/>
          <w:szCs w:val="24"/>
        </w:rPr>
        <w:t>možnost rozšíření</w:t>
      </w:r>
      <w:r w:rsidR="00CE6695" w:rsidRPr="00FC3B7C">
        <w:rPr>
          <w:rFonts w:eastAsia="Times New Roman"/>
          <w:szCs w:val="24"/>
        </w:rPr>
        <w:t xml:space="preserve"> o bývalé země tzv. </w:t>
      </w:r>
      <w:r w:rsidR="00CE6695" w:rsidRPr="00FC3B7C">
        <w:rPr>
          <w:rFonts w:eastAsia="Times New Roman"/>
          <w:b/>
          <w:bCs/>
          <w:szCs w:val="24"/>
        </w:rPr>
        <w:t>východního bloku</w:t>
      </w:r>
    </w:p>
    <w:p w14:paraId="4A6F4E31" w14:textId="72B45F67" w:rsidR="00CE6695" w:rsidRPr="00FC3B7C" w:rsidRDefault="00F9189C" w:rsidP="00D46B53">
      <w:pPr>
        <w:numPr>
          <w:ilvl w:val="0"/>
          <w:numId w:val="413"/>
        </w:numPr>
        <w:tabs>
          <w:tab w:val="left" w:pos="840"/>
        </w:tabs>
        <w:ind w:left="840" w:right="80" w:hanging="353"/>
        <w:rPr>
          <w:rFonts w:eastAsia="Arial"/>
          <w:b/>
          <w:bCs/>
          <w:sz w:val="23"/>
          <w:szCs w:val="23"/>
        </w:rPr>
      </w:pPr>
      <w:r>
        <w:rPr>
          <w:rFonts w:eastAsia="Times New Roman"/>
          <w:szCs w:val="24"/>
        </w:rPr>
        <w:t>S</w:t>
      </w:r>
      <w:r w:rsidR="00CE6695" w:rsidRPr="00FC3B7C">
        <w:rPr>
          <w:rFonts w:eastAsia="Times New Roman"/>
          <w:szCs w:val="24"/>
        </w:rPr>
        <w:t xml:space="preserve">tanovila tzv. </w:t>
      </w:r>
      <w:r w:rsidR="00CE6695" w:rsidRPr="00FC3B7C">
        <w:rPr>
          <w:rFonts w:eastAsia="Times New Roman"/>
          <w:b/>
          <w:bCs/>
          <w:szCs w:val="24"/>
        </w:rPr>
        <w:t>Kodaňská kritéria</w:t>
      </w:r>
      <w:r w:rsidR="00CE6695" w:rsidRPr="00FC3B7C">
        <w:rPr>
          <w:rFonts w:eastAsia="Times New Roman"/>
          <w:szCs w:val="24"/>
        </w:rPr>
        <w:t>, která musí splňovat země ucházející se o vstup do společenství:</w:t>
      </w:r>
    </w:p>
    <w:p w14:paraId="4A6F4E32" w14:textId="25E4407A" w:rsidR="00CE6695" w:rsidRPr="00FC3B7C" w:rsidRDefault="00CE6695" w:rsidP="00DC5ED2">
      <w:pPr>
        <w:ind w:left="1420" w:right="80" w:hanging="360"/>
        <w:rPr>
          <w:rFonts w:eastAsia="Arial"/>
          <w:b/>
          <w:bCs/>
          <w:sz w:val="23"/>
          <w:szCs w:val="23"/>
        </w:rPr>
      </w:pPr>
      <w:r w:rsidRPr="00FC3B7C">
        <w:rPr>
          <w:rFonts w:eastAsia="Courier New"/>
          <w:szCs w:val="24"/>
        </w:rPr>
        <w:t>o</w:t>
      </w:r>
      <w:r w:rsidR="00F9189C">
        <w:rPr>
          <w:rFonts w:eastAsia="Courier New"/>
          <w:szCs w:val="24"/>
        </w:rPr>
        <w:t xml:space="preserve"> </w:t>
      </w:r>
      <w:r w:rsidRPr="00FC3B7C">
        <w:rPr>
          <w:rFonts w:eastAsia="Times New Roman"/>
          <w:b/>
          <w:bCs/>
          <w:szCs w:val="24"/>
        </w:rPr>
        <w:t>Politické kritérium</w:t>
      </w:r>
      <w:r w:rsidRPr="00FC3B7C">
        <w:rPr>
          <w:rFonts w:eastAsia="Times New Roman"/>
          <w:szCs w:val="24"/>
        </w:rPr>
        <w:t>: stabilní instituce zaručující demokracii, právní stát,</w:t>
      </w:r>
      <w:r w:rsidRPr="00FC3B7C">
        <w:rPr>
          <w:rFonts w:eastAsia="Courier New"/>
          <w:szCs w:val="24"/>
        </w:rPr>
        <w:t xml:space="preserve"> </w:t>
      </w:r>
      <w:r w:rsidRPr="00FC3B7C">
        <w:rPr>
          <w:rFonts w:eastAsia="Times New Roman"/>
          <w:szCs w:val="24"/>
        </w:rPr>
        <w:t>dodržování lidských práv, úctu k menšinám a jejich ochranu</w:t>
      </w:r>
    </w:p>
    <w:p w14:paraId="4A6F4E33" w14:textId="77777777" w:rsidR="00CE6695" w:rsidRPr="00FC3B7C" w:rsidRDefault="00CE6695" w:rsidP="00DC5ED2">
      <w:pPr>
        <w:ind w:left="1420" w:right="80" w:hanging="360"/>
        <w:rPr>
          <w:rFonts w:eastAsia="Arial"/>
          <w:b/>
          <w:bCs/>
          <w:sz w:val="23"/>
          <w:szCs w:val="23"/>
        </w:rPr>
      </w:pPr>
      <w:r w:rsidRPr="00FC3B7C">
        <w:rPr>
          <w:rFonts w:eastAsia="Courier New"/>
          <w:szCs w:val="24"/>
        </w:rPr>
        <w:t xml:space="preserve">o </w:t>
      </w:r>
      <w:r w:rsidRPr="00FC3B7C">
        <w:rPr>
          <w:rFonts w:eastAsia="Times New Roman"/>
          <w:b/>
          <w:bCs/>
          <w:szCs w:val="24"/>
        </w:rPr>
        <w:t>Hospodářské kritérium</w:t>
      </w:r>
      <w:r w:rsidRPr="00FC3B7C">
        <w:rPr>
          <w:rFonts w:eastAsia="Times New Roman"/>
          <w:szCs w:val="24"/>
        </w:rPr>
        <w:t>: fungující tržní hospodářství a schopnost vyrovnat se</w:t>
      </w:r>
      <w:r w:rsidRPr="00FC3B7C">
        <w:rPr>
          <w:rFonts w:eastAsia="Courier New"/>
          <w:szCs w:val="24"/>
        </w:rPr>
        <w:t xml:space="preserve"> </w:t>
      </w:r>
      <w:r w:rsidR="00DC5ED2">
        <w:rPr>
          <w:rFonts w:eastAsia="Courier New"/>
          <w:szCs w:val="24"/>
        </w:rPr>
        <w:br/>
      </w:r>
      <w:r w:rsidRPr="00FC3B7C">
        <w:rPr>
          <w:rFonts w:eastAsia="Times New Roman"/>
          <w:szCs w:val="24"/>
        </w:rPr>
        <w:t>s konkurenčním tlakem a tržními silami v EU</w:t>
      </w:r>
    </w:p>
    <w:p w14:paraId="4A6F4E34" w14:textId="77777777" w:rsidR="00CE6695" w:rsidRPr="00FC3B7C" w:rsidRDefault="00CE6695" w:rsidP="00DC5ED2">
      <w:pPr>
        <w:ind w:left="1420" w:right="80" w:hanging="360"/>
        <w:rPr>
          <w:rFonts w:eastAsia="Arial"/>
          <w:b/>
          <w:bCs/>
          <w:sz w:val="23"/>
          <w:szCs w:val="23"/>
        </w:rPr>
      </w:pPr>
      <w:r w:rsidRPr="00FC3B7C">
        <w:rPr>
          <w:rFonts w:eastAsia="Courier New"/>
          <w:szCs w:val="24"/>
        </w:rPr>
        <w:t xml:space="preserve">o </w:t>
      </w:r>
      <w:r w:rsidRPr="00FC3B7C">
        <w:rPr>
          <w:rFonts w:eastAsia="Times New Roman"/>
          <w:b/>
          <w:bCs/>
          <w:szCs w:val="24"/>
        </w:rPr>
        <w:t>Právo acquis:</w:t>
      </w:r>
      <w:r w:rsidRPr="00FC3B7C">
        <w:rPr>
          <w:rFonts w:eastAsia="Courier New"/>
          <w:szCs w:val="24"/>
        </w:rPr>
        <w:t xml:space="preserve"> </w:t>
      </w:r>
      <w:r w:rsidRPr="00FC3B7C">
        <w:rPr>
          <w:rFonts w:eastAsia="Times New Roman"/>
          <w:szCs w:val="24"/>
        </w:rPr>
        <w:t>schopnost plnit závazky vyplývající z</w:t>
      </w:r>
      <w:r w:rsidRPr="00FC3B7C">
        <w:rPr>
          <w:rFonts w:eastAsia="Courier New"/>
          <w:szCs w:val="24"/>
        </w:rPr>
        <w:t xml:space="preserve"> </w:t>
      </w:r>
      <w:r w:rsidRPr="00FC3B7C">
        <w:rPr>
          <w:rFonts w:eastAsia="Times New Roman"/>
          <w:szCs w:val="24"/>
        </w:rPr>
        <w:t>členství, včetně</w:t>
      </w:r>
      <w:r w:rsidRPr="00FC3B7C">
        <w:rPr>
          <w:rFonts w:eastAsia="Courier New"/>
          <w:szCs w:val="24"/>
        </w:rPr>
        <w:t xml:space="preserve"> </w:t>
      </w:r>
      <w:r w:rsidRPr="00FC3B7C">
        <w:rPr>
          <w:rFonts w:eastAsia="Times New Roman"/>
          <w:szCs w:val="24"/>
        </w:rPr>
        <w:t>podpory</w:t>
      </w:r>
      <w:r w:rsidRPr="00FC3B7C">
        <w:rPr>
          <w:rFonts w:eastAsia="Courier New"/>
          <w:szCs w:val="24"/>
        </w:rPr>
        <w:t xml:space="preserve"> </w:t>
      </w:r>
      <w:r w:rsidRPr="00FC3B7C">
        <w:rPr>
          <w:rFonts w:eastAsia="Times New Roman"/>
          <w:szCs w:val="24"/>
        </w:rPr>
        <w:t>cílů EU</w:t>
      </w:r>
    </w:p>
    <w:p w14:paraId="4A6F4E35" w14:textId="435381F2" w:rsidR="00CE6695" w:rsidRPr="00FC3B7C" w:rsidRDefault="00F9189C" w:rsidP="00D46B53">
      <w:pPr>
        <w:numPr>
          <w:ilvl w:val="0"/>
          <w:numId w:val="413"/>
        </w:numPr>
        <w:tabs>
          <w:tab w:val="left" w:pos="840"/>
        </w:tabs>
        <w:ind w:left="840" w:hanging="353"/>
        <w:rPr>
          <w:rFonts w:eastAsia="Arial"/>
          <w:b/>
          <w:bCs/>
          <w:sz w:val="23"/>
          <w:szCs w:val="23"/>
        </w:rPr>
      </w:pPr>
      <w:r>
        <w:rPr>
          <w:rFonts w:eastAsia="Times New Roman"/>
          <w:szCs w:val="24"/>
        </w:rPr>
        <w:t>V</w:t>
      </w:r>
      <w:r w:rsidR="00CE6695" w:rsidRPr="00FC3B7C">
        <w:rPr>
          <w:rFonts w:eastAsia="Times New Roman"/>
          <w:szCs w:val="24"/>
        </w:rPr>
        <w:t>eřejnou správu, která dokáže provádět a spravovat právní předpisy EU v praxi</w:t>
      </w:r>
    </w:p>
    <w:p w14:paraId="178C4A02" w14:textId="77777777" w:rsidR="00F9189C" w:rsidRDefault="00F9189C" w:rsidP="00D46B53">
      <w:pPr>
        <w:numPr>
          <w:ilvl w:val="0"/>
          <w:numId w:val="413"/>
        </w:numPr>
        <w:tabs>
          <w:tab w:val="left" w:pos="840"/>
        </w:tabs>
        <w:ind w:left="840" w:hanging="353"/>
        <w:rPr>
          <w:rFonts w:eastAsia="Arial"/>
          <w:b/>
          <w:bCs/>
          <w:sz w:val="23"/>
          <w:szCs w:val="23"/>
        </w:rPr>
      </w:pPr>
      <w:r>
        <w:rPr>
          <w:rFonts w:eastAsia="Times New Roman"/>
          <w:szCs w:val="24"/>
        </w:rPr>
        <w:t>Z</w:t>
      </w:r>
      <w:r w:rsidR="00CE6695" w:rsidRPr="00FC3B7C">
        <w:rPr>
          <w:rFonts w:eastAsia="Times New Roman"/>
          <w:szCs w:val="24"/>
        </w:rPr>
        <w:t xml:space="preserve">emě musí být </w:t>
      </w:r>
      <w:r w:rsidR="00CE6695" w:rsidRPr="00FC3B7C">
        <w:rPr>
          <w:rFonts w:eastAsia="Times New Roman"/>
          <w:b/>
          <w:bCs/>
          <w:szCs w:val="24"/>
        </w:rPr>
        <w:t>schopny přijmout euro</w:t>
      </w:r>
    </w:p>
    <w:p w14:paraId="386A35D2" w14:textId="33A9E393" w:rsidR="00F9189C" w:rsidRPr="00F9189C" w:rsidRDefault="00CE6695" w:rsidP="00D46B53">
      <w:pPr>
        <w:numPr>
          <w:ilvl w:val="0"/>
          <w:numId w:val="413"/>
        </w:numPr>
        <w:tabs>
          <w:tab w:val="left" w:pos="840"/>
        </w:tabs>
        <w:ind w:left="840" w:hanging="353"/>
        <w:rPr>
          <w:rFonts w:eastAsia="Arial"/>
          <w:b/>
          <w:bCs/>
          <w:sz w:val="23"/>
          <w:szCs w:val="23"/>
        </w:rPr>
      </w:pPr>
      <w:r w:rsidRPr="00F9189C">
        <w:rPr>
          <w:rFonts w:eastAsia="Times New Roman"/>
          <w:b/>
          <w:bCs/>
          <w:sz w:val="23"/>
          <w:szCs w:val="23"/>
        </w:rPr>
        <w:t xml:space="preserve">Norsko, Švýcarsko </w:t>
      </w:r>
      <w:r w:rsidRPr="00F9189C">
        <w:rPr>
          <w:rFonts w:eastAsia="Times New Roman"/>
          <w:sz w:val="23"/>
          <w:szCs w:val="23"/>
        </w:rPr>
        <w:t>–</w:t>
      </w:r>
      <w:r w:rsidRPr="00F9189C">
        <w:rPr>
          <w:rFonts w:eastAsia="Times New Roman"/>
          <w:b/>
          <w:bCs/>
          <w:sz w:val="23"/>
          <w:szCs w:val="23"/>
        </w:rPr>
        <w:t xml:space="preserve"> odmítli </w:t>
      </w:r>
      <w:r w:rsidRPr="00F9189C">
        <w:rPr>
          <w:rFonts w:eastAsia="Times New Roman"/>
          <w:sz w:val="23"/>
          <w:szCs w:val="23"/>
        </w:rPr>
        <w:t>vstup do EU</w:t>
      </w:r>
      <w:r w:rsidRPr="00F9189C">
        <w:rPr>
          <w:rFonts w:eastAsia="Times New Roman"/>
          <w:b/>
          <w:bCs/>
          <w:sz w:val="23"/>
          <w:szCs w:val="23"/>
        </w:rPr>
        <w:t xml:space="preserve"> v referendu </w:t>
      </w:r>
    </w:p>
    <w:p w14:paraId="4E12D697" w14:textId="77777777" w:rsidR="00F9189C" w:rsidRPr="00F9189C" w:rsidRDefault="00F9189C" w:rsidP="00F9189C">
      <w:pPr>
        <w:ind w:right="3560"/>
        <w:rPr>
          <w:rFonts w:eastAsia="Times New Roman"/>
          <w:b/>
          <w:bCs/>
          <w:szCs w:val="24"/>
        </w:rPr>
      </w:pPr>
    </w:p>
    <w:p w14:paraId="6438F7CA" w14:textId="77777777" w:rsidR="00F9189C" w:rsidRPr="00F9189C" w:rsidRDefault="00CE6695" w:rsidP="00F9189C">
      <w:pPr>
        <w:ind w:right="3560"/>
        <w:rPr>
          <w:rFonts w:eastAsia="Times New Roman"/>
          <w:b/>
          <w:bCs/>
          <w:i/>
          <w:iCs/>
          <w:szCs w:val="24"/>
        </w:rPr>
      </w:pPr>
      <w:r w:rsidRPr="00F9189C">
        <w:rPr>
          <w:rFonts w:eastAsia="Times New Roman"/>
          <w:b/>
          <w:bCs/>
          <w:i/>
          <w:iCs/>
          <w:szCs w:val="24"/>
        </w:rPr>
        <w:t xml:space="preserve">1995 Přistoupení Rakouska, Finska a Švédska </w:t>
      </w:r>
    </w:p>
    <w:p w14:paraId="4A6F4E37" w14:textId="6C87BF2C" w:rsidR="00CE6695" w:rsidRPr="00F9189C" w:rsidRDefault="00CE6695" w:rsidP="00F9189C">
      <w:pPr>
        <w:ind w:right="3560"/>
        <w:rPr>
          <w:sz w:val="22"/>
        </w:rPr>
      </w:pPr>
      <w:r w:rsidRPr="00F9189C">
        <w:rPr>
          <w:rFonts w:eastAsia="Times New Roman"/>
          <w:b/>
          <w:bCs/>
          <w:i/>
          <w:iCs/>
          <w:szCs w:val="24"/>
        </w:rPr>
        <w:t xml:space="preserve">1997 Amsterodamská smlouva </w:t>
      </w:r>
      <w:r w:rsidRPr="00F9189C">
        <w:rPr>
          <w:rFonts w:eastAsia="Times New Roman"/>
          <w:b/>
          <w:bCs/>
          <w:szCs w:val="24"/>
        </w:rPr>
        <w:t>(platnost 1. 5. 1999)</w:t>
      </w:r>
    </w:p>
    <w:p w14:paraId="4A6F4E38" w14:textId="77777777" w:rsidR="00CE6695" w:rsidRPr="00FC3B7C" w:rsidRDefault="00CE6695" w:rsidP="00D46B53">
      <w:pPr>
        <w:numPr>
          <w:ilvl w:val="0"/>
          <w:numId w:val="414"/>
        </w:numPr>
        <w:tabs>
          <w:tab w:val="left" w:pos="840"/>
        </w:tabs>
        <w:ind w:left="840" w:hanging="353"/>
        <w:rPr>
          <w:rFonts w:eastAsia="Arial"/>
          <w:szCs w:val="24"/>
        </w:rPr>
      </w:pPr>
      <w:r w:rsidRPr="00FC3B7C">
        <w:rPr>
          <w:rFonts w:eastAsia="Times New Roman"/>
          <w:b/>
          <w:bCs/>
          <w:szCs w:val="24"/>
        </w:rPr>
        <w:t xml:space="preserve">začlenění Schengenské smlouvy </w:t>
      </w:r>
      <w:r w:rsidRPr="00FC3B7C">
        <w:rPr>
          <w:rFonts w:eastAsia="Times New Roman"/>
          <w:szCs w:val="24"/>
        </w:rPr>
        <w:t>do primárního práva EU</w:t>
      </w:r>
    </w:p>
    <w:p w14:paraId="4A6F4E39" w14:textId="77777777" w:rsidR="00CE6695" w:rsidRPr="00FC3B7C" w:rsidRDefault="00CE6695" w:rsidP="00D46B53">
      <w:pPr>
        <w:numPr>
          <w:ilvl w:val="0"/>
          <w:numId w:val="414"/>
        </w:numPr>
        <w:tabs>
          <w:tab w:val="left" w:pos="840"/>
        </w:tabs>
        <w:ind w:left="840" w:right="20" w:hanging="353"/>
        <w:rPr>
          <w:rFonts w:eastAsia="Arial"/>
          <w:sz w:val="23"/>
          <w:szCs w:val="23"/>
        </w:rPr>
      </w:pPr>
      <w:r w:rsidRPr="00FC3B7C">
        <w:rPr>
          <w:rFonts w:eastAsia="Times New Roman"/>
          <w:sz w:val="23"/>
          <w:szCs w:val="23"/>
        </w:rPr>
        <w:t xml:space="preserve">rovné zacházení s muži a ženami; vysoký stupeň konkurenceschopnosti; </w:t>
      </w:r>
      <w:r w:rsidRPr="00FC3B7C">
        <w:rPr>
          <w:rFonts w:eastAsia="Times New Roman"/>
          <w:b/>
          <w:bCs/>
          <w:sz w:val="23"/>
          <w:szCs w:val="23"/>
        </w:rPr>
        <w:t>sociální</w:t>
      </w:r>
      <w:r w:rsidRPr="00FC3B7C">
        <w:rPr>
          <w:rFonts w:eastAsia="Times New Roman"/>
          <w:sz w:val="23"/>
          <w:szCs w:val="23"/>
        </w:rPr>
        <w:t xml:space="preserve"> </w:t>
      </w:r>
      <w:r w:rsidRPr="00FC3B7C">
        <w:rPr>
          <w:rFonts w:eastAsia="Times New Roman"/>
          <w:b/>
          <w:bCs/>
          <w:sz w:val="23"/>
          <w:szCs w:val="23"/>
        </w:rPr>
        <w:t xml:space="preserve">protokol </w:t>
      </w:r>
      <w:r w:rsidRPr="00FC3B7C">
        <w:rPr>
          <w:rFonts w:eastAsia="Times New Roman"/>
          <w:sz w:val="23"/>
          <w:szCs w:val="23"/>
        </w:rPr>
        <w:t>je včleněn</w:t>
      </w:r>
      <w:r w:rsidRPr="00FC3B7C">
        <w:rPr>
          <w:rFonts w:eastAsia="Times New Roman"/>
          <w:b/>
          <w:bCs/>
          <w:sz w:val="23"/>
          <w:szCs w:val="23"/>
        </w:rPr>
        <w:t xml:space="preserve"> do smluv</w:t>
      </w:r>
      <w:r w:rsidRPr="00FC3B7C">
        <w:rPr>
          <w:rFonts w:eastAsia="Times New Roman"/>
          <w:sz w:val="23"/>
          <w:szCs w:val="23"/>
        </w:rPr>
        <w:t>; začleněna azylová, vízová a</w:t>
      </w:r>
      <w:r w:rsidRPr="00FC3B7C">
        <w:rPr>
          <w:rFonts w:eastAsia="Times New Roman"/>
          <w:b/>
          <w:bCs/>
          <w:sz w:val="23"/>
          <w:szCs w:val="23"/>
        </w:rPr>
        <w:t xml:space="preserve"> přistěhovalecká politika</w:t>
      </w:r>
    </w:p>
    <w:p w14:paraId="4A6F4E3A" w14:textId="77777777" w:rsidR="00CE6695" w:rsidRPr="00FC3B7C" w:rsidRDefault="00CE6695" w:rsidP="00CE6695">
      <w:pPr>
        <w:spacing w:line="1" w:lineRule="exact"/>
        <w:rPr>
          <w:rFonts w:eastAsia="Arial"/>
          <w:sz w:val="23"/>
          <w:szCs w:val="23"/>
        </w:rPr>
      </w:pPr>
    </w:p>
    <w:p w14:paraId="4A6F4E3B" w14:textId="77777777" w:rsidR="00CE6695" w:rsidRPr="00FC3B7C" w:rsidRDefault="00CE6695" w:rsidP="00D46B53">
      <w:pPr>
        <w:numPr>
          <w:ilvl w:val="0"/>
          <w:numId w:val="414"/>
        </w:numPr>
        <w:tabs>
          <w:tab w:val="left" w:pos="840"/>
        </w:tabs>
        <w:ind w:left="840" w:hanging="353"/>
        <w:rPr>
          <w:rFonts w:eastAsia="Arial"/>
          <w:szCs w:val="24"/>
        </w:rPr>
      </w:pPr>
      <w:r w:rsidRPr="00FC3B7C">
        <w:rPr>
          <w:rFonts w:eastAsia="Times New Roman"/>
          <w:b/>
          <w:bCs/>
          <w:szCs w:val="24"/>
        </w:rPr>
        <w:t xml:space="preserve">posílení </w:t>
      </w:r>
      <w:r w:rsidRPr="00FC3B7C">
        <w:rPr>
          <w:rFonts w:eastAsia="Times New Roman"/>
          <w:szCs w:val="24"/>
        </w:rPr>
        <w:t>Evropského</w:t>
      </w:r>
      <w:r w:rsidRPr="00FC3B7C">
        <w:rPr>
          <w:rFonts w:eastAsia="Times New Roman"/>
          <w:b/>
          <w:bCs/>
          <w:szCs w:val="24"/>
        </w:rPr>
        <w:t xml:space="preserve"> parlamentu</w:t>
      </w:r>
    </w:p>
    <w:p w14:paraId="4A6F4E3C" w14:textId="77777777" w:rsidR="00CE6695" w:rsidRPr="00FC3B7C" w:rsidRDefault="00CE6695" w:rsidP="00CE6695">
      <w:pPr>
        <w:spacing w:line="154" w:lineRule="exact"/>
        <w:rPr>
          <w:rFonts w:eastAsia="Arial"/>
          <w:szCs w:val="24"/>
        </w:rPr>
      </w:pPr>
    </w:p>
    <w:p w14:paraId="4A6F4E3D" w14:textId="77777777" w:rsidR="00CE6695" w:rsidRPr="00FC3B7C" w:rsidRDefault="00CE6695" w:rsidP="00D46B53">
      <w:pPr>
        <w:numPr>
          <w:ilvl w:val="0"/>
          <w:numId w:val="414"/>
        </w:numPr>
        <w:tabs>
          <w:tab w:val="left" w:pos="840"/>
        </w:tabs>
        <w:ind w:left="840" w:right="20" w:hanging="353"/>
        <w:rPr>
          <w:rFonts w:eastAsia="Arial"/>
          <w:szCs w:val="24"/>
        </w:rPr>
      </w:pPr>
      <w:r w:rsidRPr="00FC3B7C">
        <w:rPr>
          <w:rFonts w:eastAsia="Times New Roman"/>
          <w:b/>
          <w:bCs/>
          <w:szCs w:val="24"/>
        </w:rPr>
        <w:lastRenderedPageBreak/>
        <w:t>Pakt stability a růstu</w:t>
      </w:r>
      <w:r w:rsidRPr="00FC3B7C">
        <w:rPr>
          <w:rFonts w:eastAsia="Times New Roman"/>
          <w:szCs w:val="24"/>
        </w:rPr>
        <w:t>,</w:t>
      </w:r>
      <w:r w:rsidRPr="00FC3B7C">
        <w:rPr>
          <w:rFonts w:eastAsia="Times New Roman"/>
          <w:b/>
          <w:bCs/>
          <w:szCs w:val="24"/>
        </w:rPr>
        <w:t xml:space="preserve"> ERM 2 </w:t>
      </w:r>
      <w:r w:rsidRPr="00FC3B7C">
        <w:rPr>
          <w:rFonts w:eastAsia="Times New Roman"/>
          <w:szCs w:val="24"/>
        </w:rPr>
        <w:t>= směnný</w:t>
      </w:r>
      <w:r w:rsidRPr="00FC3B7C">
        <w:rPr>
          <w:rFonts w:eastAsia="Times New Roman"/>
          <w:b/>
          <w:bCs/>
          <w:szCs w:val="24"/>
        </w:rPr>
        <w:t xml:space="preserve"> </w:t>
      </w:r>
      <w:r w:rsidRPr="00FC3B7C">
        <w:rPr>
          <w:rFonts w:eastAsia="Times New Roman"/>
          <w:szCs w:val="24"/>
        </w:rPr>
        <w:t>mechanismus pro</w:t>
      </w:r>
      <w:r w:rsidRPr="00FC3B7C">
        <w:rPr>
          <w:rFonts w:eastAsia="Times New Roman"/>
          <w:b/>
          <w:bCs/>
          <w:szCs w:val="24"/>
        </w:rPr>
        <w:t xml:space="preserve"> </w:t>
      </w:r>
      <w:r w:rsidRPr="00FC3B7C">
        <w:rPr>
          <w:rFonts w:eastAsia="Times New Roman"/>
          <w:szCs w:val="24"/>
        </w:rPr>
        <w:t>členské země, které</w:t>
      </w:r>
      <w:r w:rsidRPr="00FC3B7C">
        <w:rPr>
          <w:rFonts w:eastAsia="Times New Roman"/>
          <w:b/>
          <w:bCs/>
          <w:szCs w:val="24"/>
        </w:rPr>
        <w:t xml:space="preserve"> </w:t>
      </w:r>
      <w:r w:rsidRPr="00FC3B7C">
        <w:rPr>
          <w:rFonts w:eastAsia="Times New Roman"/>
          <w:szCs w:val="24"/>
        </w:rPr>
        <w:t>nevstoupily do 3. fáze měnové unie (VB, Dánsko, Švédsko a původně také Řecko)</w:t>
      </w:r>
    </w:p>
    <w:p w14:paraId="4A6F4E3E" w14:textId="77777777" w:rsidR="00CE6695" w:rsidRPr="00FC3B7C" w:rsidRDefault="00CE6695" w:rsidP="00D46B53">
      <w:pPr>
        <w:numPr>
          <w:ilvl w:val="0"/>
          <w:numId w:val="414"/>
        </w:numPr>
        <w:tabs>
          <w:tab w:val="left" w:pos="900"/>
        </w:tabs>
        <w:ind w:left="840" w:right="20" w:hanging="353"/>
        <w:rPr>
          <w:rFonts w:eastAsia="Arial"/>
          <w:szCs w:val="24"/>
        </w:rPr>
      </w:pPr>
      <w:r w:rsidRPr="00FC3B7C">
        <w:rPr>
          <w:rFonts w:eastAsia="Times New Roman"/>
          <w:b/>
          <w:bCs/>
          <w:szCs w:val="24"/>
        </w:rPr>
        <w:t xml:space="preserve">Sociální protokol </w:t>
      </w:r>
      <w:r w:rsidRPr="00FC3B7C">
        <w:rPr>
          <w:rFonts w:eastAsia="Times New Roman"/>
          <w:szCs w:val="24"/>
        </w:rPr>
        <w:t>-odkaz na Evropskou sociální chartu (1961) a Sociální chartu</w:t>
      </w:r>
      <w:r w:rsidRPr="00FC3B7C">
        <w:rPr>
          <w:rFonts w:eastAsia="Times New Roman"/>
          <w:b/>
          <w:bCs/>
          <w:szCs w:val="24"/>
        </w:rPr>
        <w:t xml:space="preserve"> </w:t>
      </w:r>
      <w:r w:rsidRPr="00FC3B7C">
        <w:rPr>
          <w:rFonts w:eastAsia="Times New Roman"/>
          <w:szCs w:val="24"/>
        </w:rPr>
        <w:t>Společenství (1989)</w:t>
      </w:r>
    </w:p>
    <w:p w14:paraId="4A6F4E3F" w14:textId="7193F6B7" w:rsidR="00CE6695" w:rsidRPr="00FC3B7C" w:rsidRDefault="00CE6695" w:rsidP="00DC5ED2">
      <w:pPr>
        <w:rPr>
          <w:sz w:val="20"/>
          <w:szCs w:val="20"/>
        </w:rPr>
      </w:pPr>
      <w:r w:rsidRPr="00FC3B7C">
        <w:rPr>
          <w:rFonts w:eastAsia="Times New Roman"/>
          <w:b/>
          <w:bCs/>
          <w:i/>
          <w:iCs/>
          <w:szCs w:val="24"/>
        </w:rPr>
        <w:t>1997 Pakt stability a růstu</w:t>
      </w:r>
    </w:p>
    <w:p w14:paraId="4A6F4E40" w14:textId="6C38524A" w:rsidR="00CE6695" w:rsidRPr="00FC3B7C" w:rsidRDefault="00F9189C" w:rsidP="00D46B53">
      <w:pPr>
        <w:numPr>
          <w:ilvl w:val="0"/>
          <w:numId w:val="415"/>
        </w:numPr>
        <w:tabs>
          <w:tab w:val="left" w:pos="840"/>
        </w:tabs>
        <w:ind w:left="840" w:hanging="368"/>
        <w:rPr>
          <w:rFonts w:eastAsia="Arial"/>
          <w:szCs w:val="24"/>
        </w:rPr>
      </w:pPr>
      <w:r>
        <w:rPr>
          <w:rFonts w:eastAsia="Times New Roman"/>
          <w:szCs w:val="24"/>
        </w:rPr>
        <w:t>Z</w:t>
      </w:r>
      <w:r w:rsidR="00CE6695" w:rsidRPr="00FC3B7C">
        <w:rPr>
          <w:rFonts w:eastAsia="Times New Roman"/>
          <w:szCs w:val="24"/>
        </w:rPr>
        <w:t xml:space="preserve">avazuje členské státy měnové unie </w:t>
      </w:r>
      <w:r w:rsidR="00CE6695" w:rsidRPr="00FC3B7C">
        <w:rPr>
          <w:rFonts w:eastAsia="Times New Roman"/>
          <w:b/>
          <w:bCs/>
          <w:szCs w:val="24"/>
        </w:rPr>
        <w:t>neohrožovat stabilitu společné měny</w:t>
      </w:r>
      <w:r w:rsidR="00CE6695" w:rsidRPr="00FC3B7C">
        <w:rPr>
          <w:rFonts w:eastAsia="Times New Roman"/>
          <w:szCs w:val="24"/>
        </w:rPr>
        <w:t xml:space="preserve"> </w:t>
      </w:r>
      <w:r w:rsidR="00DC5ED2">
        <w:rPr>
          <w:rFonts w:eastAsia="Times New Roman"/>
          <w:szCs w:val="24"/>
        </w:rPr>
        <w:br/>
      </w:r>
      <w:r w:rsidR="00CE6695" w:rsidRPr="00FC3B7C">
        <w:rPr>
          <w:rFonts w:eastAsia="Times New Roman"/>
          <w:szCs w:val="24"/>
        </w:rPr>
        <w:t xml:space="preserve">a </w:t>
      </w:r>
      <w:r w:rsidR="00CE6695" w:rsidRPr="00FC3B7C">
        <w:rPr>
          <w:rFonts w:eastAsia="Times New Roman"/>
          <w:b/>
          <w:bCs/>
          <w:szCs w:val="24"/>
        </w:rPr>
        <w:t>dodržovat rozpočtovou disciplínu</w:t>
      </w:r>
    </w:p>
    <w:p w14:paraId="4A6F4E41" w14:textId="3C42B143" w:rsidR="00CE6695" w:rsidRPr="00FC3B7C" w:rsidRDefault="00F9189C" w:rsidP="00D46B53">
      <w:pPr>
        <w:numPr>
          <w:ilvl w:val="0"/>
          <w:numId w:val="415"/>
        </w:numPr>
        <w:tabs>
          <w:tab w:val="left" w:pos="840"/>
        </w:tabs>
        <w:ind w:left="840" w:hanging="368"/>
        <w:rPr>
          <w:rFonts w:eastAsia="Arial"/>
          <w:szCs w:val="24"/>
        </w:rPr>
      </w:pPr>
      <w:r>
        <w:rPr>
          <w:rFonts w:eastAsia="Times New Roman"/>
          <w:szCs w:val="24"/>
        </w:rPr>
        <w:t>N</w:t>
      </w:r>
      <w:r w:rsidR="00CE6695" w:rsidRPr="00FC3B7C">
        <w:rPr>
          <w:rFonts w:eastAsia="Times New Roman"/>
          <w:szCs w:val="24"/>
        </w:rPr>
        <w:t xml:space="preserve">amířen proti nadměrným deficitům (nesmí překročit </w:t>
      </w:r>
      <w:r w:rsidR="00CE6695" w:rsidRPr="00FC3B7C">
        <w:rPr>
          <w:rFonts w:eastAsia="Times New Roman"/>
          <w:b/>
          <w:bCs/>
          <w:szCs w:val="24"/>
        </w:rPr>
        <w:t>3% HDP</w:t>
      </w:r>
      <w:r w:rsidR="00CE6695" w:rsidRPr="00FC3B7C">
        <w:rPr>
          <w:rFonts w:eastAsia="Times New Roman"/>
          <w:szCs w:val="24"/>
        </w:rPr>
        <w:t>)</w:t>
      </w:r>
    </w:p>
    <w:p w14:paraId="4A6F4E42" w14:textId="71D6BF72" w:rsidR="00CE6695" w:rsidRPr="00FC3B7C" w:rsidRDefault="00F9189C" w:rsidP="00D46B53">
      <w:pPr>
        <w:numPr>
          <w:ilvl w:val="0"/>
          <w:numId w:val="415"/>
        </w:numPr>
        <w:tabs>
          <w:tab w:val="left" w:pos="840"/>
        </w:tabs>
        <w:ind w:left="840" w:hanging="368"/>
        <w:rPr>
          <w:rFonts w:eastAsia="Arial"/>
          <w:szCs w:val="24"/>
        </w:rPr>
      </w:pPr>
      <w:r>
        <w:rPr>
          <w:rFonts w:eastAsia="Times New Roman"/>
          <w:szCs w:val="24"/>
        </w:rPr>
        <w:t>N</w:t>
      </w:r>
      <w:r w:rsidR="00CE6695" w:rsidRPr="00FC3B7C">
        <w:rPr>
          <w:rFonts w:eastAsia="Times New Roman"/>
          <w:szCs w:val="24"/>
        </w:rPr>
        <w:t xml:space="preserve">ení dodržován, země </w:t>
      </w:r>
      <w:r w:rsidR="00CE6695" w:rsidRPr="00FC3B7C">
        <w:rPr>
          <w:rFonts w:eastAsia="Times New Roman"/>
          <w:b/>
          <w:bCs/>
          <w:szCs w:val="24"/>
        </w:rPr>
        <w:t>nejsou sankcionovány</w:t>
      </w:r>
    </w:p>
    <w:p w14:paraId="4A6F4E43" w14:textId="1825B4EE" w:rsidR="00CE6695" w:rsidRPr="00FC3B7C" w:rsidRDefault="00CE6695" w:rsidP="00DC5ED2">
      <w:pPr>
        <w:rPr>
          <w:sz w:val="20"/>
          <w:szCs w:val="20"/>
        </w:rPr>
      </w:pPr>
      <w:bookmarkStart w:id="412" w:name="page423"/>
      <w:bookmarkEnd w:id="412"/>
      <w:r w:rsidRPr="00FC3B7C">
        <w:rPr>
          <w:rFonts w:eastAsia="Times New Roman"/>
          <w:b/>
          <w:bCs/>
          <w:i/>
          <w:iCs/>
          <w:szCs w:val="24"/>
        </w:rPr>
        <w:t xml:space="preserve">2001 </w:t>
      </w:r>
      <w:r w:rsidR="00004F4F">
        <w:rPr>
          <w:rFonts w:eastAsia="Times New Roman"/>
          <w:b/>
          <w:bCs/>
          <w:i/>
          <w:iCs/>
          <w:szCs w:val="24"/>
        </w:rPr>
        <w:t>S</w:t>
      </w:r>
      <w:r w:rsidRPr="00FC3B7C">
        <w:rPr>
          <w:rFonts w:eastAsia="Times New Roman"/>
          <w:b/>
          <w:bCs/>
          <w:i/>
          <w:iCs/>
          <w:szCs w:val="24"/>
        </w:rPr>
        <w:t>mlouva z Nice (</w:t>
      </w:r>
      <w:r w:rsidR="00004F4F">
        <w:rPr>
          <w:rFonts w:eastAsia="Times New Roman"/>
          <w:b/>
          <w:bCs/>
          <w:i/>
          <w:iCs/>
          <w:szCs w:val="24"/>
        </w:rPr>
        <w:t>p</w:t>
      </w:r>
      <w:r w:rsidRPr="00FC3B7C">
        <w:rPr>
          <w:rFonts w:eastAsia="Times New Roman"/>
          <w:b/>
          <w:bCs/>
          <w:i/>
          <w:iCs/>
          <w:szCs w:val="24"/>
        </w:rPr>
        <w:t xml:space="preserve">latnost </w:t>
      </w:r>
      <w:r w:rsidR="00004F4F">
        <w:rPr>
          <w:rFonts w:eastAsia="Times New Roman"/>
          <w:b/>
          <w:bCs/>
          <w:i/>
          <w:iCs/>
          <w:szCs w:val="24"/>
        </w:rPr>
        <w:t xml:space="preserve">od </w:t>
      </w:r>
      <w:r w:rsidRPr="00FC3B7C">
        <w:rPr>
          <w:rFonts w:eastAsia="Times New Roman"/>
          <w:b/>
          <w:bCs/>
          <w:i/>
          <w:iCs/>
          <w:szCs w:val="24"/>
        </w:rPr>
        <w:t>1. 2. 2003)</w:t>
      </w:r>
    </w:p>
    <w:p w14:paraId="4A6F4E44" w14:textId="77777777" w:rsidR="00CE6695" w:rsidRPr="00FC3B7C" w:rsidRDefault="00CE6695" w:rsidP="00D46B53">
      <w:pPr>
        <w:numPr>
          <w:ilvl w:val="0"/>
          <w:numId w:val="416"/>
        </w:numPr>
        <w:tabs>
          <w:tab w:val="left" w:pos="840"/>
        </w:tabs>
        <w:ind w:left="840" w:right="100" w:hanging="368"/>
        <w:rPr>
          <w:rFonts w:eastAsia="Arial"/>
          <w:szCs w:val="24"/>
        </w:rPr>
      </w:pPr>
      <w:r w:rsidRPr="00FC3B7C">
        <w:rPr>
          <w:rFonts w:eastAsia="Times New Roman"/>
          <w:szCs w:val="24"/>
        </w:rPr>
        <w:t xml:space="preserve">snaha reformovat institucionální systém </w:t>
      </w:r>
      <w:r w:rsidRPr="00FC3B7C">
        <w:rPr>
          <w:rFonts w:eastAsia="Times New Roman"/>
          <w:b/>
          <w:bCs/>
          <w:szCs w:val="24"/>
        </w:rPr>
        <w:t>a připravit EU na východní rozšíření</w:t>
      </w:r>
      <w:r w:rsidRPr="00FC3B7C">
        <w:rPr>
          <w:rFonts w:eastAsia="Times New Roman"/>
          <w:szCs w:val="24"/>
        </w:rPr>
        <w:t xml:space="preserve"> (dalších 10 zemí)</w:t>
      </w:r>
    </w:p>
    <w:p w14:paraId="4A6F4E45" w14:textId="77777777" w:rsidR="00CE6695" w:rsidRPr="00FC3B7C" w:rsidRDefault="00CE6695" w:rsidP="00D46B53">
      <w:pPr>
        <w:numPr>
          <w:ilvl w:val="0"/>
          <w:numId w:val="416"/>
        </w:numPr>
        <w:tabs>
          <w:tab w:val="left" w:pos="840"/>
        </w:tabs>
        <w:ind w:left="840" w:hanging="368"/>
        <w:rPr>
          <w:rFonts w:eastAsia="Arial"/>
          <w:szCs w:val="24"/>
        </w:rPr>
      </w:pPr>
      <w:r w:rsidRPr="00FC3B7C">
        <w:rPr>
          <w:rFonts w:eastAsia="Times New Roman"/>
          <w:szCs w:val="24"/>
        </w:rPr>
        <w:t xml:space="preserve">Evropská komise - </w:t>
      </w:r>
      <w:r w:rsidRPr="00FC3B7C">
        <w:rPr>
          <w:rFonts w:eastAsia="Times New Roman"/>
          <w:b/>
          <w:bCs/>
          <w:szCs w:val="24"/>
        </w:rPr>
        <w:t>za každý</w:t>
      </w:r>
      <w:r w:rsidRPr="00FC3B7C">
        <w:rPr>
          <w:rFonts w:eastAsia="Times New Roman"/>
          <w:szCs w:val="24"/>
        </w:rPr>
        <w:t xml:space="preserve"> </w:t>
      </w:r>
      <w:r w:rsidRPr="00FC3B7C">
        <w:rPr>
          <w:rFonts w:eastAsia="Times New Roman"/>
          <w:b/>
          <w:bCs/>
          <w:szCs w:val="24"/>
        </w:rPr>
        <w:t>stát je 1 komisař</w:t>
      </w:r>
    </w:p>
    <w:p w14:paraId="4A6F4E46" w14:textId="77777777" w:rsidR="00CE6695" w:rsidRPr="00FC3B7C" w:rsidRDefault="00CE6695" w:rsidP="00D46B53">
      <w:pPr>
        <w:numPr>
          <w:ilvl w:val="0"/>
          <w:numId w:val="416"/>
        </w:numPr>
        <w:tabs>
          <w:tab w:val="left" w:pos="840"/>
        </w:tabs>
        <w:ind w:left="840" w:hanging="368"/>
        <w:rPr>
          <w:rFonts w:eastAsia="Arial"/>
          <w:szCs w:val="24"/>
        </w:rPr>
      </w:pPr>
      <w:r w:rsidRPr="00FC3B7C">
        <w:rPr>
          <w:rFonts w:eastAsia="Times New Roman"/>
          <w:szCs w:val="24"/>
        </w:rPr>
        <w:t>ratifikace probíhala parlamentní cestou</w:t>
      </w:r>
    </w:p>
    <w:p w14:paraId="4A6F4E47" w14:textId="4779158C" w:rsidR="00CE6695" w:rsidRPr="00FC3B7C" w:rsidRDefault="00CE6695" w:rsidP="00DC5ED2">
      <w:pPr>
        <w:rPr>
          <w:sz w:val="20"/>
          <w:szCs w:val="20"/>
        </w:rPr>
      </w:pPr>
      <w:r w:rsidRPr="00FC3B7C">
        <w:rPr>
          <w:rFonts w:eastAsia="Times New Roman"/>
          <w:b/>
          <w:bCs/>
          <w:i/>
          <w:iCs/>
          <w:szCs w:val="24"/>
        </w:rPr>
        <w:t xml:space="preserve">2004 </w:t>
      </w:r>
      <w:r w:rsidR="00004F4F">
        <w:rPr>
          <w:rFonts w:eastAsia="Times New Roman"/>
          <w:b/>
          <w:bCs/>
          <w:i/>
          <w:iCs/>
          <w:szCs w:val="24"/>
        </w:rPr>
        <w:t>R</w:t>
      </w:r>
      <w:r w:rsidRPr="00FC3B7C">
        <w:rPr>
          <w:rFonts w:eastAsia="Times New Roman"/>
          <w:b/>
          <w:bCs/>
          <w:i/>
          <w:iCs/>
          <w:szCs w:val="24"/>
        </w:rPr>
        <w:t>ozšíření o 10 států východní Evropy – tzv. „východní rozšíření“</w:t>
      </w:r>
    </w:p>
    <w:p w14:paraId="4A6F4E48" w14:textId="77777777" w:rsidR="00CE6695" w:rsidRPr="00004F4F" w:rsidRDefault="00CE6695" w:rsidP="00D46B53">
      <w:pPr>
        <w:pStyle w:val="Odstavecseseznamem"/>
        <w:numPr>
          <w:ilvl w:val="0"/>
          <w:numId w:val="661"/>
        </w:numPr>
        <w:tabs>
          <w:tab w:val="left" w:pos="260"/>
        </w:tabs>
        <w:ind w:right="520"/>
        <w:rPr>
          <w:rFonts w:eastAsia="Times New Roman"/>
          <w:szCs w:val="24"/>
        </w:rPr>
      </w:pPr>
      <w:r w:rsidRPr="00004F4F">
        <w:rPr>
          <w:rFonts w:eastAsia="Times New Roman"/>
          <w:szCs w:val="24"/>
        </w:rPr>
        <w:t>Polsko, Maďarsko, Česká republika, Slovensko, Slovinsko, Estonsko, Litva, Lotyšsko, Malta, Kypr</w:t>
      </w:r>
    </w:p>
    <w:p w14:paraId="4A6F4E49" w14:textId="608BFF42" w:rsidR="00CE6695" w:rsidRPr="00FC3B7C" w:rsidRDefault="00CE6695" w:rsidP="00DC5ED2">
      <w:pPr>
        <w:rPr>
          <w:sz w:val="20"/>
          <w:szCs w:val="20"/>
        </w:rPr>
      </w:pPr>
      <w:r w:rsidRPr="00FC3B7C">
        <w:rPr>
          <w:rFonts w:eastAsia="Times New Roman"/>
          <w:b/>
          <w:bCs/>
          <w:i/>
          <w:iCs/>
          <w:szCs w:val="24"/>
        </w:rPr>
        <w:t>2004 Smlouva o Ústavě pro Evropu</w:t>
      </w:r>
    </w:p>
    <w:p w14:paraId="4A6F4E4A" w14:textId="4DC93E5C" w:rsidR="00CE6695" w:rsidRPr="00FC3B7C" w:rsidRDefault="00004F4F" w:rsidP="00D46B53">
      <w:pPr>
        <w:numPr>
          <w:ilvl w:val="0"/>
          <w:numId w:val="417"/>
        </w:numPr>
        <w:tabs>
          <w:tab w:val="left" w:pos="840"/>
        </w:tabs>
        <w:ind w:left="840" w:right="100" w:hanging="368"/>
        <w:rPr>
          <w:rFonts w:eastAsia="Arial"/>
          <w:szCs w:val="24"/>
        </w:rPr>
      </w:pPr>
      <w:r>
        <w:rPr>
          <w:rFonts w:eastAsia="Times New Roman"/>
          <w:b/>
          <w:bCs/>
          <w:szCs w:val="24"/>
        </w:rPr>
        <w:t>S</w:t>
      </w:r>
      <w:r w:rsidR="00CE6695" w:rsidRPr="00FC3B7C">
        <w:rPr>
          <w:rFonts w:eastAsia="Times New Roman"/>
          <w:b/>
          <w:bCs/>
          <w:szCs w:val="24"/>
        </w:rPr>
        <w:t xml:space="preserve">naha nahradit </w:t>
      </w:r>
      <w:r w:rsidR="00CE6695" w:rsidRPr="00FC3B7C">
        <w:rPr>
          <w:rFonts w:eastAsia="Times New Roman"/>
          <w:szCs w:val="24"/>
        </w:rPr>
        <w:t>systém smluv</w:t>
      </w:r>
      <w:r w:rsidR="00CE6695" w:rsidRPr="00FC3B7C">
        <w:rPr>
          <w:rFonts w:eastAsia="Times New Roman"/>
          <w:b/>
          <w:bCs/>
          <w:szCs w:val="24"/>
        </w:rPr>
        <w:t xml:space="preserve"> jediným právním předpisem </w:t>
      </w:r>
      <w:r w:rsidR="00CE6695" w:rsidRPr="00FC3B7C">
        <w:rPr>
          <w:rFonts w:eastAsia="Times New Roman"/>
          <w:szCs w:val="24"/>
        </w:rPr>
        <w:t>a vytvořit z EU</w:t>
      </w:r>
      <w:r w:rsidR="00CE6695" w:rsidRPr="00FC3B7C">
        <w:rPr>
          <w:rFonts w:eastAsia="Times New Roman"/>
          <w:b/>
          <w:bCs/>
          <w:szCs w:val="24"/>
        </w:rPr>
        <w:t xml:space="preserve"> </w:t>
      </w:r>
      <w:r w:rsidR="00CE6695" w:rsidRPr="00FC3B7C">
        <w:rPr>
          <w:rFonts w:eastAsia="Times New Roman"/>
          <w:szCs w:val="24"/>
        </w:rPr>
        <w:t>organizaci s jedinou právní subjektivitou</w:t>
      </w:r>
    </w:p>
    <w:p w14:paraId="4A6F4E4B" w14:textId="4E64D088" w:rsidR="00CE6695" w:rsidRPr="00FC3B7C" w:rsidRDefault="00004F4F" w:rsidP="00D46B53">
      <w:pPr>
        <w:numPr>
          <w:ilvl w:val="0"/>
          <w:numId w:val="417"/>
        </w:numPr>
        <w:tabs>
          <w:tab w:val="left" w:pos="840"/>
        </w:tabs>
        <w:ind w:left="840" w:hanging="368"/>
        <w:rPr>
          <w:rFonts w:eastAsia="Arial"/>
          <w:szCs w:val="24"/>
        </w:rPr>
      </w:pPr>
      <w:r>
        <w:rPr>
          <w:rFonts w:eastAsia="Times New Roman"/>
          <w:szCs w:val="24"/>
        </w:rPr>
        <w:t>J</w:t>
      </w:r>
      <w:r w:rsidR="00CE6695" w:rsidRPr="00FC3B7C">
        <w:rPr>
          <w:rFonts w:eastAsia="Times New Roman"/>
          <w:szCs w:val="24"/>
        </w:rPr>
        <w:t>asné vymezení pravomocí EU</w:t>
      </w:r>
    </w:p>
    <w:p w14:paraId="4A6F4E4D" w14:textId="27817BA1" w:rsidR="00CE6695" w:rsidRPr="00004F4F" w:rsidRDefault="00004F4F" w:rsidP="00D46B53">
      <w:pPr>
        <w:numPr>
          <w:ilvl w:val="0"/>
          <w:numId w:val="417"/>
        </w:numPr>
        <w:tabs>
          <w:tab w:val="left" w:pos="840"/>
        </w:tabs>
        <w:ind w:left="840" w:hanging="368"/>
        <w:rPr>
          <w:rFonts w:eastAsia="Arial"/>
          <w:sz w:val="23"/>
          <w:szCs w:val="23"/>
        </w:rPr>
      </w:pPr>
      <w:r>
        <w:rPr>
          <w:rFonts w:eastAsia="Times New Roman"/>
          <w:sz w:val="23"/>
          <w:szCs w:val="23"/>
        </w:rPr>
        <w:t>Z</w:t>
      </w:r>
      <w:r w:rsidR="00CE6695" w:rsidRPr="00FC3B7C">
        <w:rPr>
          <w:rFonts w:eastAsia="Times New Roman"/>
          <w:sz w:val="23"/>
          <w:szCs w:val="23"/>
        </w:rPr>
        <w:t>ajistit efektivní fungování EU bez ohledu na to, o kolik členů se v budoucnosti rozšíří</w:t>
      </w:r>
      <w:r>
        <w:rPr>
          <w:rFonts w:eastAsia="Arial"/>
          <w:sz w:val="23"/>
          <w:szCs w:val="23"/>
        </w:rPr>
        <w:t xml:space="preserve"> - </w:t>
      </w:r>
      <w:r w:rsidR="00CE6695" w:rsidRPr="00004F4F">
        <w:rPr>
          <w:rFonts w:eastAsia="Times New Roman"/>
          <w:b/>
          <w:bCs/>
          <w:szCs w:val="24"/>
        </w:rPr>
        <w:t>odmítnuta</w:t>
      </w:r>
      <w:r w:rsidR="00CE6695" w:rsidRPr="00004F4F">
        <w:rPr>
          <w:rFonts w:eastAsia="Times New Roman"/>
          <w:szCs w:val="24"/>
        </w:rPr>
        <w:t xml:space="preserve"> v referendu </w:t>
      </w:r>
      <w:r w:rsidR="00CE6695" w:rsidRPr="00004F4F">
        <w:rPr>
          <w:rFonts w:eastAsia="Times New Roman"/>
          <w:b/>
          <w:bCs/>
          <w:szCs w:val="24"/>
        </w:rPr>
        <w:t>ve Francii a v Nizozemí</w:t>
      </w:r>
      <w:r w:rsidR="00CE6695" w:rsidRPr="00004F4F">
        <w:rPr>
          <w:rFonts w:eastAsia="Times New Roman"/>
          <w:szCs w:val="24"/>
        </w:rPr>
        <w:t xml:space="preserve"> (2005)</w:t>
      </w:r>
    </w:p>
    <w:p w14:paraId="4A6F4E4E" w14:textId="3E882E21" w:rsidR="00CE6695" w:rsidRPr="00FC3B7C" w:rsidRDefault="00CE6695" w:rsidP="00DC5ED2">
      <w:pPr>
        <w:rPr>
          <w:sz w:val="20"/>
          <w:szCs w:val="20"/>
        </w:rPr>
      </w:pPr>
      <w:r w:rsidRPr="00FC3B7C">
        <w:rPr>
          <w:rFonts w:eastAsia="Times New Roman"/>
          <w:b/>
          <w:bCs/>
          <w:i/>
          <w:iCs/>
          <w:szCs w:val="24"/>
        </w:rPr>
        <w:t>2007 Přistoupení Rumunska a Bulharska</w:t>
      </w:r>
    </w:p>
    <w:p w14:paraId="4A6F4E4F" w14:textId="0A8D6958" w:rsidR="00CE6695" w:rsidRPr="00FC3B7C" w:rsidRDefault="00CE6695" w:rsidP="00DC5ED2">
      <w:pPr>
        <w:rPr>
          <w:sz w:val="20"/>
          <w:szCs w:val="20"/>
        </w:rPr>
      </w:pPr>
      <w:r w:rsidRPr="00FC3B7C">
        <w:rPr>
          <w:rFonts w:eastAsia="Times New Roman"/>
          <w:b/>
          <w:bCs/>
          <w:i/>
          <w:iCs/>
          <w:szCs w:val="24"/>
        </w:rPr>
        <w:t>2007 Lisabonská smlouva</w:t>
      </w:r>
    </w:p>
    <w:p w14:paraId="4A6F4E50" w14:textId="540874F6" w:rsidR="00CE6695" w:rsidRPr="00FC3B7C" w:rsidRDefault="00004F4F" w:rsidP="00D46B53">
      <w:pPr>
        <w:numPr>
          <w:ilvl w:val="0"/>
          <w:numId w:val="418"/>
        </w:numPr>
        <w:tabs>
          <w:tab w:val="left" w:pos="840"/>
        </w:tabs>
        <w:ind w:left="840" w:hanging="368"/>
        <w:rPr>
          <w:rFonts w:eastAsia="Arial"/>
          <w:szCs w:val="24"/>
        </w:rPr>
      </w:pPr>
      <w:r>
        <w:rPr>
          <w:rFonts w:eastAsia="Times New Roman"/>
          <w:b/>
          <w:bCs/>
          <w:szCs w:val="24"/>
        </w:rPr>
        <w:t>R</w:t>
      </w:r>
      <w:r w:rsidR="00CE6695" w:rsidRPr="00FC3B7C">
        <w:rPr>
          <w:rFonts w:eastAsia="Times New Roman"/>
          <w:b/>
          <w:bCs/>
          <w:szCs w:val="24"/>
        </w:rPr>
        <w:t>atifikována</w:t>
      </w:r>
      <w:r w:rsidR="00CE6695" w:rsidRPr="00FC3B7C">
        <w:rPr>
          <w:rFonts w:eastAsia="Times New Roman"/>
          <w:szCs w:val="24"/>
        </w:rPr>
        <w:t>: 3. 11.</w:t>
      </w:r>
      <w:r w:rsidR="00CE6695" w:rsidRPr="00FC3B7C">
        <w:rPr>
          <w:rFonts w:eastAsia="Times New Roman"/>
          <w:b/>
          <w:bCs/>
          <w:szCs w:val="24"/>
        </w:rPr>
        <w:t xml:space="preserve"> 2007</w:t>
      </w:r>
      <w:r w:rsidR="00CE6695" w:rsidRPr="00FC3B7C">
        <w:rPr>
          <w:rFonts w:eastAsia="Times New Roman"/>
          <w:szCs w:val="24"/>
        </w:rPr>
        <w:t>, vstoupila</w:t>
      </w:r>
      <w:r w:rsidR="00CE6695" w:rsidRPr="00FC3B7C">
        <w:rPr>
          <w:rFonts w:eastAsia="Times New Roman"/>
          <w:b/>
          <w:bCs/>
          <w:szCs w:val="24"/>
        </w:rPr>
        <w:t xml:space="preserve"> v platnost 1. 12. 2009</w:t>
      </w:r>
    </w:p>
    <w:p w14:paraId="4A6F4E51" w14:textId="233EBECA" w:rsidR="00CE6695" w:rsidRPr="00FC3B7C" w:rsidRDefault="00004F4F" w:rsidP="00D46B53">
      <w:pPr>
        <w:numPr>
          <w:ilvl w:val="0"/>
          <w:numId w:val="418"/>
        </w:numPr>
        <w:tabs>
          <w:tab w:val="left" w:pos="840"/>
        </w:tabs>
        <w:ind w:left="840" w:hanging="368"/>
        <w:rPr>
          <w:rFonts w:eastAsia="Arial"/>
          <w:szCs w:val="24"/>
        </w:rPr>
      </w:pPr>
      <w:r>
        <w:rPr>
          <w:rFonts w:eastAsia="Times New Roman"/>
          <w:szCs w:val="24"/>
        </w:rPr>
        <w:t>V</w:t>
      </w:r>
      <w:r w:rsidR="00CE6695" w:rsidRPr="00FC3B7C">
        <w:rPr>
          <w:rFonts w:eastAsia="Times New Roman"/>
          <w:szCs w:val="24"/>
        </w:rPr>
        <w:t xml:space="preserve">ychází </w:t>
      </w:r>
      <w:r w:rsidR="00CE6695" w:rsidRPr="00FC3B7C">
        <w:rPr>
          <w:rFonts w:eastAsia="Times New Roman"/>
          <w:b/>
          <w:bCs/>
          <w:szCs w:val="24"/>
        </w:rPr>
        <w:t>z odmítnuté Evropské ústavy</w:t>
      </w:r>
      <w:r w:rsidR="00CE6695" w:rsidRPr="00FC3B7C">
        <w:rPr>
          <w:rFonts w:eastAsia="Times New Roman"/>
          <w:szCs w:val="24"/>
        </w:rPr>
        <w:t xml:space="preserve">; nesnaží se nahradit </w:t>
      </w:r>
      <w:r w:rsidR="00CE6695" w:rsidRPr="00FC3B7C">
        <w:rPr>
          <w:rFonts w:eastAsia="Times New Roman"/>
          <w:b/>
          <w:bCs/>
          <w:szCs w:val="24"/>
        </w:rPr>
        <w:t>zakladatelské smlouvy</w:t>
      </w:r>
      <w:r w:rsidR="00CE6695" w:rsidRPr="00FC3B7C">
        <w:rPr>
          <w:rFonts w:eastAsia="Times New Roman"/>
          <w:szCs w:val="24"/>
        </w:rPr>
        <w:t xml:space="preserve">, pouze je </w:t>
      </w:r>
      <w:r w:rsidR="00CE6695" w:rsidRPr="00FC3B7C">
        <w:rPr>
          <w:rFonts w:eastAsia="Times New Roman"/>
          <w:b/>
          <w:bCs/>
          <w:szCs w:val="24"/>
        </w:rPr>
        <w:t>upravuje</w:t>
      </w:r>
    </w:p>
    <w:p w14:paraId="4A6F4E52" w14:textId="1BA749A6" w:rsidR="00CE6695" w:rsidRPr="00FC3B7C" w:rsidRDefault="00004F4F" w:rsidP="00D46B53">
      <w:pPr>
        <w:numPr>
          <w:ilvl w:val="0"/>
          <w:numId w:val="418"/>
        </w:numPr>
        <w:tabs>
          <w:tab w:val="left" w:pos="840"/>
        </w:tabs>
        <w:ind w:left="840" w:hanging="368"/>
        <w:rPr>
          <w:rFonts w:eastAsia="Arial"/>
          <w:szCs w:val="24"/>
        </w:rPr>
      </w:pPr>
      <w:r>
        <w:rPr>
          <w:rFonts w:eastAsia="Times New Roman"/>
          <w:szCs w:val="24"/>
        </w:rPr>
        <w:t>U</w:t>
      </w:r>
      <w:r w:rsidR="00CE6695" w:rsidRPr="00FC3B7C">
        <w:rPr>
          <w:rFonts w:eastAsia="Times New Roman"/>
          <w:szCs w:val="24"/>
        </w:rPr>
        <w:t xml:space="preserve">pravuje dvě smlouvy: </w:t>
      </w:r>
      <w:r w:rsidR="00CE6695" w:rsidRPr="00FC3B7C">
        <w:rPr>
          <w:rFonts w:eastAsia="Times New Roman"/>
          <w:b/>
          <w:bCs/>
          <w:szCs w:val="24"/>
        </w:rPr>
        <w:t>Smlouva o EU</w:t>
      </w:r>
      <w:r w:rsidR="00CE6695" w:rsidRPr="00FC3B7C">
        <w:rPr>
          <w:rFonts w:eastAsia="Times New Roman"/>
          <w:szCs w:val="24"/>
        </w:rPr>
        <w:t xml:space="preserve"> (navazuje na Maastrichtskou smlouvu) </w:t>
      </w:r>
      <w:r w:rsidR="00DC5ED2">
        <w:rPr>
          <w:rFonts w:eastAsia="Times New Roman"/>
          <w:szCs w:val="24"/>
        </w:rPr>
        <w:br/>
      </w:r>
      <w:r w:rsidR="00CE6695" w:rsidRPr="00FC3B7C">
        <w:rPr>
          <w:rFonts w:eastAsia="Times New Roman"/>
          <w:szCs w:val="24"/>
        </w:rPr>
        <w:t xml:space="preserve">a </w:t>
      </w:r>
      <w:r w:rsidR="00CE6695" w:rsidRPr="00FC3B7C">
        <w:rPr>
          <w:rFonts w:eastAsia="Times New Roman"/>
          <w:b/>
          <w:bCs/>
          <w:szCs w:val="24"/>
        </w:rPr>
        <w:t xml:space="preserve">Smlouva o fungování EU </w:t>
      </w:r>
      <w:r w:rsidR="00CE6695" w:rsidRPr="00FC3B7C">
        <w:rPr>
          <w:rFonts w:eastAsia="Times New Roman"/>
          <w:szCs w:val="24"/>
        </w:rPr>
        <w:t>(navazuje na</w:t>
      </w:r>
      <w:r w:rsidR="00CE6695" w:rsidRPr="00FC3B7C">
        <w:rPr>
          <w:rFonts w:eastAsia="Times New Roman"/>
          <w:b/>
          <w:bCs/>
          <w:szCs w:val="24"/>
        </w:rPr>
        <w:t xml:space="preserve"> </w:t>
      </w:r>
      <w:r w:rsidR="00CE6695" w:rsidRPr="00FC3B7C">
        <w:rPr>
          <w:rFonts w:eastAsia="Times New Roman"/>
          <w:szCs w:val="24"/>
        </w:rPr>
        <w:t>Římskou smlouvu) - nenahrazuje, pouze</w:t>
      </w:r>
      <w:r w:rsidR="00CE6695" w:rsidRPr="00FC3B7C">
        <w:rPr>
          <w:rFonts w:eastAsia="Times New Roman"/>
          <w:b/>
          <w:bCs/>
          <w:szCs w:val="24"/>
        </w:rPr>
        <w:t xml:space="preserve"> novelizuje původní smlouvy</w:t>
      </w:r>
    </w:p>
    <w:p w14:paraId="4A6F4E53" w14:textId="3A257F3A" w:rsidR="00CE6695" w:rsidRPr="00DC5ED2" w:rsidRDefault="00004F4F" w:rsidP="00D46B53">
      <w:pPr>
        <w:numPr>
          <w:ilvl w:val="0"/>
          <w:numId w:val="418"/>
        </w:numPr>
        <w:tabs>
          <w:tab w:val="left" w:pos="840"/>
        </w:tabs>
        <w:ind w:left="840" w:hanging="368"/>
        <w:rPr>
          <w:rFonts w:eastAsia="Arial"/>
          <w:szCs w:val="24"/>
        </w:rPr>
      </w:pPr>
      <w:r>
        <w:rPr>
          <w:rFonts w:eastAsia="Times New Roman"/>
          <w:szCs w:val="24"/>
        </w:rPr>
        <w:t>Z</w:t>
      </w:r>
      <w:r w:rsidR="00CE6695" w:rsidRPr="00FC3B7C">
        <w:rPr>
          <w:rFonts w:eastAsia="Times New Roman"/>
          <w:szCs w:val="24"/>
        </w:rPr>
        <w:t xml:space="preserve">avádí posty </w:t>
      </w:r>
      <w:r w:rsidR="00CE6695" w:rsidRPr="00FC3B7C">
        <w:rPr>
          <w:rFonts w:eastAsia="Times New Roman"/>
          <w:b/>
          <w:bCs/>
          <w:szCs w:val="24"/>
        </w:rPr>
        <w:t>stálého předsedy Evropské rady</w:t>
      </w:r>
      <w:r w:rsidR="00CE6695" w:rsidRPr="00FC3B7C">
        <w:rPr>
          <w:rFonts w:eastAsia="Times New Roman"/>
          <w:szCs w:val="24"/>
        </w:rPr>
        <w:t xml:space="preserve"> a </w:t>
      </w:r>
      <w:r w:rsidR="00CE6695" w:rsidRPr="00FC3B7C">
        <w:rPr>
          <w:rFonts w:eastAsia="Times New Roman"/>
          <w:b/>
          <w:bCs/>
          <w:szCs w:val="24"/>
        </w:rPr>
        <w:t>vysokého představitele Unie</w:t>
      </w:r>
      <w:r w:rsidR="00CE6695" w:rsidRPr="00FC3B7C">
        <w:rPr>
          <w:rFonts w:eastAsia="Times New Roman"/>
          <w:szCs w:val="24"/>
        </w:rPr>
        <w:t xml:space="preserve"> pro zahraniční otázky</w:t>
      </w:r>
    </w:p>
    <w:p w14:paraId="4A6F4E54" w14:textId="722E8E5C" w:rsidR="00CE6695" w:rsidRPr="00FC3B7C" w:rsidRDefault="00517A71" w:rsidP="00D46B53">
      <w:pPr>
        <w:numPr>
          <w:ilvl w:val="0"/>
          <w:numId w:val="418"/>
        </w:numPr>
        <w:tabs>
          <w:tab w:val="left" w:pos="840"/>
        </w:tabs>
        <w:ind w:left="840" w:hanging="368"/>
        <w:rPr>
          <w:rFonts w:eastAsia="Arial"/>
          <w:szCs w:val="24"/>
        </w:rPr>
      </w:pPr>
      <w:r>
        <w:rPr>
          <w:rFonts w:eastAsia="Times New Roman"/>
          <w:b/>
          <w:bCs/>
          <w:szCs w:val="24"/>
        </w:rPr>
        <w:lastRenderedPageBreak/>
        <w:t>S</w:t>
      </w:r>
      <w:r w:rsidR="00CE6695" w:rsidRPr="00FC3B7C">
        <w:rPr>
          <w:rFonts w:eastAsia="Times New Roman"/>
          <w:b/>
          <w:bCs/>
          <w:szCs w:val="24"/>
        </w:rPr>
        <w:t xml:space="preserve">oučástí právního řádu </w:t>
      </w:r>
      <w:r w:rsidR="00CE6695" w:rsidRPr="00FC3B7C">
        <w:rPr>
          <w:rFonts w:eastAsia="Times New Roman"/>
          <w:szCs w:val="24"/>
        </w:rPr>
        <w:t>se stává</w:t>
      </w:r>
      <w:r w:rsidR="00CE6695" w:rsidRPr="00FC3B7C">
        <w:rPr>
          <w:rFonts w:eastAsia="Times New Roman"/>
          <w:b/>
          <w:bCs/>
          <w:szCs w:val="24"/>
        </w:rPr>
        <w:t xml:space="preserve"> Listina základních práv</w:t>
      </w:r>
      <w:r w:rsidR="00CE6695" w:rsidRPr="00FC3B7C">
        <w:rPr>
          <w:rFonts w:eastAsia="Times New Roman"/>
          <w:szCs w:val="24"/>
        </w:rPr>
        <w:t>, Lisabonská smlouva na ni</w:t>
      </w:r>
      <w:r w:rsidR="00CE6695" w:rsidRPr="00FC3B7C">
        <w:rPr>
          <w:rFonts w:eastAsia="Times New Roman"/>
          <w:b/>
          <w:bCs/>
          <w:szCs w:val="24"/>
        </w:rPr>
        <w:t xml:space="preserve"> </w:t>
      </w:r>
      <w:r w:rsidR="00CE6695" w:rsidRPr="00FC3B7C">
        <w:rPr>
          <w:rFonts w:eastAsia="Times New Roman"/>
          <w:szCs w:val="24"/>
        </w:rPr>
        <w:t>odkazuje (</w:t>
      </w:r>
      <w:r w:rsidR="00CE6695" w:rsidRPr="00FC3B7C">
        <w:rPr>
          <w:rFonts w:eastAsia="Times New Roman"/>
          <w:b/>
          <w:bCs/>
          <w:szCs w:val="24"/>
        </w:rPr>
        <w:t>výjimku</w:t>
      </w:r>
      <w:r w:rsidR="00CE6695" w:rsidRPr="00FC3B7C">
        <w:rPr>
          <w:rFonts w:eastAsia="Times New Roman"/>
          <w:szCs w:val="24"/>
        </w:rPr>
        <w:t xml:space="preserve"> má </w:t>
      </w:r>
      <w:r w:rsidR="00CE6695" w:rsidRPr="00FC3B7C">
        <w:rPr>
          <w:rFonts w:eastAsia="Times New Roman"/>
          <w:b/>
          <w:bCs/>
          <w:szCs w:val="24"/>
        </w:rPr>
        <w:t>VB</w:t>
      </w:r>
      <w:r w:rsidR="00CE6695" w:rsidRPr="00FC3B7C">
        <w:rPr>
          <w:rFonts w:eastAsia="Times New Roman"/>
          <w:szCs w:val="24"/>
        </w:rPr>
        <w:t xml:space="preserve"> - sociální a pracovní právo, </w:t>
      </w:r>
      <w:r w:rsidR="00CE6695" w:rsidRPr="00FC3B7C">
        <w:rPr>
          <w:rFonts w:eastAsia="Times New Roman"/>
          <w:b/>
          <w:bCs/>
          <w:szCs w:val="24"/>
        </w:rPr>
        <w:t>Polsko</w:t>
      </w:r>
      <w:r w:rsidR="00CE6695" w:rsidRPr="00FC3B7C">
        <w:rPr>
          <w:rFonts w:eastAsia="Times New Roman"/>
          <w:szCs w:val="24"/>
        </w:rPr>
        <w:t xml:space="preserve"> - rodinné právo </w:t>
      </w:r>
      <w:r w:rsidR="00DC5ED2">
        <w:rPr>
          <w:rFonts w:eastAsia="Times New Roman"/>
          <w:szCs w:val="24"/>
        </w:rPr>
        <w:br/>
      </w:r>
      <w:r w:rsidR="00CE6695" w:rsidRPr="00FC3B7C">
        <w:rPr>
          <w:rFonts w:eastAsia="Times New Roman"/>
          <w:szCs w:val="24"/>
        </w:rPr>
        <w:t xml:space="preserve">a </w:t>
      </w:r>
      <w:r w:rsidR="00CE6695" w:rsidRPr="00FC3B7C">
        <w:rPr>
          <w:rFonts w:eastAsia="Times New Roman"/>
          <w:b/>
          <w:bCs/>
          <w:szCs w:val="24"/>
        </w:rPr>
        <w:t>ČR</w:t>
      </w:r>
      <w:r w:rsidR="00CE6695" w:rsidRPr="00FC3B7C">
        <w:rPr>
          <w:rFonts w:eastAsia="Times New Roman"/>
          <w:szCs w:val="24"/>
        </w:rPr>
        <w:t xml:space="preserve"> - ohrožení platnosti Benešových dekretů)</w:t>
      </w:r>
    </w:p>
    <w:p w14:paraId="4A6F4E55" w14:textId="60EEDEC6" w:rsidR="00CE6695" w:rsidRPr="00FC3B7C" w:rsidRDefault="00517A71" w:rsidP="00D46B53">
      <w:pPr>
        <w:numPr>
          <w:ilvl w:val="0"/>
          <w:numId w:val="418"/>
        </w:numPr>
        <w:tabs>
          <w:tab w:val="left" w:pos="840"/>
        </w:tabs>
        <w:ind w:left="840" w:hanging="368"/>
        <w:rPr>
          <w:rFonts w:eastAsia="Arial"/>
          <w:szCs w:val="24"/>
        </w:rPr>
      </w:pPr>
      <w:r>
        <w:rPr>
          <w:rFonts w:eastAsia="Times New Roman"/>
          <w:szCs w:val="24"/>
        </w:rPr>
        <w:t>T</w:t>
      </w:r>
      <w:r w:rsidR="00CE6695" w:rsidRPr="00FC3B7C">
        <w:rPr>
          <w:rFonts w:eastAsia="Times New Roman"/>
          <w:szCs w:val="24"/>
        </w:rPr>
        <w:t>éměř totožná s euroústavou (vynechává státnické symboly)</w:t>
      </w:r>
    </w:p>
    <w:p w14:paraId="4A6F4E56" w14:textId="65A6BE5E" w:rsidR="00CE6695" w:rsidRPr="00FC3B7C" w:rsidRDefault="00517A71" w:rsidP="00D46B53">
      <w:pPr>
        <w:numPr>
          <w:ilvl w:val="0"/>
          <w:numId w:val="418"/>
        </w:numPr>
        <w:tabs>
          <w:tab w:val="left" w:pos="840"/>
        </w:tabs>
        <w:ind w:left="840" w:hanging="368"/>
        <w:rPr>
          <w:rFonts w:eastAsia="Arial"/>
          <w:szCs w:val="24"/>
        </w:rPr>
      </w:pPr>
      <w:r>
        <w:rPr>
          <w:rFonts w:eastAsia="Times New Roman"/>
          <w:b/>
          <w:bCs/>
          <w:szCs w:val="24"/>
        </w:rPr>
        <w:t>Z</w:t>
      </w:r>
      <w:r w:rsidR="00CE6695" w:rsidRPr="00FC3B7C">
        <w:rPr>
          <w:rFonts w:eastAsia="Times New Roman"/>
          <w:b/>
          <w:bCs/>
          <w:szCs w:val="24"/>
        </w:rPr>
        <w:t xml:space="preserve">ánik pilířové struktury </w:t>
      </w:r>
      <w:r w:rsidR="00CE6695" w:rsidRPr="00FC3B7C">
        <w:rPr>
          <w:rFonts w:eastAsia="Times New Roman"/>
          <w:szCs w:val="24"/>
        </w:rPr>
        <w:t>a tím pádem i ES, místo něhož</w:t>
      </w:r>
      <w:r w:rsidR="00CE6695" w:rsidRPr="00FC3B7C">
        <w:rPr>
          <w:rFonts w:eastAsia="Times New Roman"/>
          <w:b/>
          <w:bCs/>
          <w:szCs w:val="24"/>
        </w:rPr>
        <w:t xml:space="preserve"> právní subjektivitu </w:t>
      </w:r>
      <w:r w:rsidR="00CE6695" w:rsidRPr="00FC3B7C">
        <w:rPr>
          <w:rFonts w:eastAsia="Times New Roman"/>
          <w:szCs w:val="24"/>
        </w:rPr>
        <w:t>získává</w:t>
      </w:r>
      <w:r w:rsidR="00CE6695" w:rsidRPr="00FC3B7C">
        <w:rPr>
          <w:rFonts w:eastAsia="Times New Roman"/>
          <w:b/>
          <w:bCs/>
          <w:szCs w:val="24"/>
        </w:rPr>
        <w:t xml:space="preserve"> EU </w:t>
      </w:r>
      <w:r w:rsidR="00CE6695" w:rsidRPr="00FC3B7C">
        <w:rPr>
          <w:rFonts w:eastAsia="Times New Roman"/>
          <w:szCs w:val="24"/>
        </w:rPr>
        <w:t>(posílení v zahraničněpolitických vztazích)</w:t>
      </w:r>
    </w:p>
    <w:p w14:paraId="4A6F4E57" w14:textId="22FF560C" w:rsidR="00CE6695" w:rsidRPr="00FC3B7C" w:rsidRDefault="00517A71" w:rsidP="00D46B53">
      <w:pPr>
        <w:numPr>
          <w:ilvl w:val="0"/>
          <w:numId w:val="419"/>
        </w:numPr>
        <w:tabs>
          <w:tab w:val="left" w:pos="840"/>
        </w:tabs>
        <w:ind w:left="840" w:hanging="368"/>
        <w:rPr>
          <w:rFonts w:eastAsia="Arial"/>
          <w:szCs w:val="24"/>
        </w:rPr>
      </w:pPr>
      <w:bookmarkStart w:id="413" w:name="page424"/>
      <w:bookmarkEnd w:id="413"/>
      <w:r>
        <w:rPr>
          <w:rFonts w:eastAsia="Times New Roman"/>
          <w:szCs w:val="24"/>
        </w:rPr>
        <w:t>V</w:t>
      </w:r>
      <w:r w:rsidR="00CE6695" w:rsidRPr="00FC3B7C">
        <w:rPr>
          <w:rFonts w:eastAsia="Times New Roman"/>
          <w:szCs w:val="24"/>
        </w:rPr>
        <w:t xml:space="preserve"> Radě zavádí přechod od principu jednomyslnosti k </w:t>
      </w:r>
      <w:r w:rsidR="00CE6695" w:rsidRPr="00FC3B7C">
        <w:rPr>
          <w:rFonts w:eastAsia="Times New Roman"/>
          <w:b/>
          <w:bCs/>
          <w:szCs w:val="24"/>
        </w:rPr>
        <w:t>rozhodování kvalifikovanou</w:t>
      </w:r>
      <w:r w:rsidR="00CE6695" w:rsidRPr="00FC3B7C">
        <w:rPr>
          <w:rFonts w:eastAsia="Times New Roman"/>
          <w:szCs w:val="24"/>
        </w:rPr>
        <w:t xml:space="preserve"> </w:t>
      </w:r>
      <w:r w:rsidR="00CE6695" w:rsidRPr="00FC3B7C">
        <w:rPr>
          <w:rFonts w:eastAsia="Times New Roman"/>
          <w:b/>
          <w:bCs/>
          <w:szCs w:val="24"/>
        </w:rPr>
        <w:t xml:space="preserve">většinou </w:t>
      </w:r>
      <w:r w:rsidR="00CE6695" w:rsidRPr="00FC3B7C">
        <w:rPr>
          <w:rFonts w:eastAsia="Times New Roman"/>
          <w:szCs w:val="24"/>
        </w:rPr>
        <w:t>v mnoha oblastech (znevýhodňuje státy s nižším počtem obyvatel)</w:t>
      </w:r>
    </w:p>
    <w:p w14:paraId="4A6F4E58" w14:textId="3D210DF7" w:rsidR="00CE6695" w:rsidRPr="00FC3B7C" w:rsidRDefault="00517A71" w:rsidP="00D46B53">
      <w:pPr>
        <w:numPr>
          <w:ilvl w:val="0"/>
          <w:numId w:val="419"/>
        </w:numPr>
        <w:tabs>
          <w:tab w:val="left" w:pos="840"/>
        </w:tabs>
        <w:ind w:left="840" w:hanging="368"/>
        <w:rPr>
          <w:rFonts w:eastAsia="Arial"/>
          <w:szCs w:val="24"/>
        </w:rPr>
      </w:pPr>
      <w:r>
        <w:rPr>
          <w:rFonts w:eastAsia="Times New Roman"/>
          <w:szCs w:val="24"/>
        </w:rPr>
        <w:t>K</w:t>
      </w:r>
      <w:r w:rsidR="00CE6695" w:rsidRPr="00FC3B7C">
        <w:rPr>
          <w:rFonts w:eastAsia="Times New Roman"/>
          <w:szCs w:val="24"/>
        </w:rPr>
        <w:t xml:space="preserve">valifikovaná většina nově definována jako </w:t>
      </w:r>
      <w:r w:rsidR="00CE6695" w:rsidRPr="00FC3B7C">
        <w:rPr>
          <w:rFonts w:eastAsia="Times New Roman"/>
          <w:b/>
          <w:bCs/>
          <w:szCs w:val="24"/>
        </w:rPr>
        <w:t>dvojí většina</w:t>
      </w:r>
      <w:r w:rsidR="00CE6695" w:rsidRPr="00FC3B7C">
        <w:rPr>
          <w:rFonts w:eastAsia="Times New Roman"/>
          <w:szCs w:val="24"/>
        </w:rPr>
        <w:t xml:space="preserve">: pokud se pro návrh vysloví nejméně </w:t>
      </w:r>
      <w:r w:rsidR="00CE6695" w:rsidRPr="00FC3B7C">
        <w:rPr>
          <w:rFonts w:eastAsia="Times New Roman"/>
          <w:b/>
          <w:bCs/>
          <w:szCs w:val="24"/>
        </w:rPr>
        <w:t>55%</w:t>
      </w:r>
      <w:r w:rsidR="00CE6695" w:rsidRPr="00FC3B7C">
        <w:rPr>
          <w:rFonts w:eastAsia="Times New Roman"/>
          <w:szCs w:val="24"/>
        </w:rPr>
        <w:t xml:space="preserve"> </w:t>
      </w:r>
      <w:r w:rsidR="00CE6695" w:rsidRPr="00FC3B7C">
        <w:rPr>
          <w:rFonts w:eastAsia="Times New Roman"/>
          <w:b/>
          <w:bCs/>
          <w:szCs w:val="24"/>
        </w:rPr>
        <w:t>členů</w:t>
      </w:r>
      <w:r w:rsidR="00CE6695" w:rsidRPr="00FC3B7C">
        <w:rPr>
          <w:rFonts w:eastAsia="Times New Roman"/>
          <w:szCs w:val="24"/>
        </w:rPr>
        <w:t xml:space="preserve"> Rady (=15), jež zároveň reprezentují alespoň </w:t>
      </w:r>
      <w:r w:rsidR="00CE6695" w:rsidRPr="00FC3B7C">
        <w:rPr>
          <w:rFonts w:eastAsia="Times New Roman"/>
          <w:b/>
          <w:bCs/>
          <w:szCs w:val="24"/>
        </w:rPr>
        <w:t>65%</w:t>
      </w:r>
      <w:r w:rsidR="00CE6695" w:rsidRPr="00FC3B7C">
        <w:rPr>
          <w:rFonts w:eastAsia="Times New Roman"/>
          <w:szCs w:val="24"/>
        </w:rPr>
        <w:t xml:space="preserve"> </w:t>
      </w:r>
      <w:r w:rsidR="00CE6695" w:rsidRPr="00FC3B7C">
        <w:rPr>
          <w:rFonts w:eastAsia="Times New Roman"/>
          <w:b/>
          <w:bCs/>
          <w:szCs w:val="24"/>
        </w:rPr>
        <w:t xml:space="preserve">občanů </w:t>
      </w:r>
      <w:r w:rsidR="00CE6695" w:rsidRPr="00FC3B7C">
        <w:rPr>
          <w:rFonts w:eastAsia="Times New Roman"/>
          <w:szCs w:val="24"/>
        </w:rPr>
        <w:t>Unie</w:t>
      </w:r>
    </w:p>
    <w:p w14:paraId="4A6F4E59" w14:textId="7D325E58" w:rsidR="00CE6695" w:rsidRPr="00FC3B7C" w:rsidRDefault="00517A71" w:rsidP="00D46B53">
      <w:pPr>
        <w:numPr>
          <w:ilvl w:val="0"/>
          <w:numId w:val="419"/>
        </w:numPr>
        <w:tabs>
          <w:tab w:val="left" w:pos="840"/>
        </w:tabs>
        <w:ind w:left="840" w:hanging="368"/>
        <w:rPr>
          <w:rFonts w:eastAsia="Arial"/>
          <w:szCs w:val="24"/>
        </w:rPr>
      </w:pPr>
      <w:r>
        <w:rPr>
          <w:rFonts w:eastAsia="Times New Roman"/>
          <w:szCs w:val="24"/>
        </w:rPr>
        <w:t>N</w:t>
      </w:r>
      <w:r w:rsidR="00CE6695" w:rsidRPr="00FC3B7C">
        <w:rPr>
          <w:rFonts w:eastAsia="Times New Roman"/>
          <w:szCs w:val="24"/>
        </w:rPr>
        <w:t>ové maximum poslanců v Evropském parlamentu: 751</w:t>
      </w:r>
    </w:p>
    <w:p w14:paraId="4A6F4E5A" w14:textId="7F4318EC" w:rsidR="00CE6695" w:rsidRPr="00FC3B7C" w:rsidRDefault="00CE6695" w:rsidP="00DC5ED2">
      <w:pPr>
        <w:rPr>
          <w:sz w:val="20"/>
          <w:szCs w:val="20"/>
        </w:rPr>
      </w:pPr>
      <w:r w:rsidRPr="00FC3B7C">
        <w:rPr>
          <w:rFonts w:eastAsia="Times New Roman"/>
          <w:b/>
          <w:bCs/>
          <w:i/>
          <w:iCs/>
          <w:szCs w:val="24"/>
        </w:rPr>
        <w:t xml:space="preserve">2010 </w:t>
      </w:r>
      <w:r w:rsidR="00517A71">
        <w:rPr>
          <w:rFonts w:eastAsia="Times New Roman"/>
          <w:b/>
          <w:bCs/>
          <w:i/>
          <w:iCs/>
          <w:szCs w:val="24"/>
        </w:rPr>
        <w:t>V</w:t>
      </w:r>
      <w:r w:rsidRPr="00FC3B7C">
        <w:rPr>
          <w:rFonts w:eastAsia="Times New Roman"/>
          <w:b/>
          <w:bCs/>
          <w:i/>
          <w:iCs/>
          <w:szCs w:val="24"/>
        </w:rPr>
        <w:t>znik EFSM, EFSF</w:t>
      </w:r>
    </w:p>
    <w:p w14:paraId="4A6F4E5B" w14:textId="030B0B90" w:rsidR="00CE6695" w:rsidRPr="00FC3B7C" w:rsidRDefault="00517A71" w:rsidP="00D46B53">
      <w:pPr>
        <w:numPr>
          <w:ilvl w:val="0"/>
          <w:numId w:val="420"/>
        </w:numPr>
        <w:tabs>
          <w:tab w:val="left" w:pos="840"/>
        </w:tabs>
        <w:ind w:left="840" w:hanging="353"/>
        <w:rPr>
          <w:rFonts w:eastAsia="Arial"/>
          <w:b/>
          <w:bCs/>
          <w:sz w:val="23"/>
          <w:szCs w:val="23"/>
        </w:rPr>
      </w:pPr>
      <w:r>
        <w:rPr>
          <w:rFonts w:eastAsia="Times New Roman"/>
          <w:szCs w:val="24"/>
        </w:rPr>
        <w:t>D</w:t>
      </w:r>
      <w:r w:rsidR="00CE6695" w:rsidRPr="00FC3B7C">
        <w:rPr>
          <w:rFonts w:eastAsia="Times New Roman"/>
          <w:szCs w:val="24"/>
        </w:rPr>
        <w:t xml:space="preserve">va </w:t>
      </w:r>
      <w:r w:rsidR="00CE6695" w:rsidRPr="00FC3B7C">
        <w:rPr>
          <w:rFonts w:eastAsia="Times New Roman"/>
          <w:b/>
          <w:bCs/>
          <w:szCs w:val="24"/>
        </w:rPr>
        <w:t>dočasné stabilizační mechanismy</w:t>
      </w:r>
      <w:r w:rsidR="00CE6695" w:rsidRPr="00FC3B7C">
        <w:rPr>
          <w:rFonts w:eastAsia="Times New Roman"/>
          <w:szCs w:val="24"/>
        </w:rPr>
        <w:t xml:space="preserve"> (do r. 2013)</w:t>
      </w:r>
    </w:p>
    <w:p w14:paraId="4A6F4E5C" w14:textId="4D861E76" w:rsidR="00CE6695" w:rsidRPr="00FC3B7C" w:rsidRDefault="00517A71" w:rsidP="00D46B53">
      <w:pPr>
        <w:numPr>
          <w:ilvl w:val="0"/>
          <w:numId w:val="420"/>
        </w:numPr>
        <w:tabs>
          <w:tab w:val="left" w:pos="840"/>
        </w:tabs>
        <w:ind w:left="840" w:hanging="353"/>
        <w:rPr>
          <w:rFonts w:eastAsia="Arial"/>
          <w:b/>
          <w:bCs/>
          <w:sz w:val="23"/>
          <w:szCs w:val="23"/>
        </w:rPr>
      </w:pPr>
      <w:r>
        <w:rPr>
          <w:rFonts w:eastAsia="Times New Roman"/>
          <w:szCs w:val="24"/>
        </w:rPr>
        <w:t>C</w:t>
      </w:r>
      <w:r w:rsidR="00CE6695" w:rsidRPr="00FC3B7C">
        <w:rPr>
          <w:rFonts w:eastAsia="Times New Roman"/>
          <w:szCs w:val="24"/>
        </w:rPr>
        <w:t>hrání členy před finanční nestabilitou, poskytují půjčky zadluženým zemím</w:t>
      </w:r>
    </w:p>
    <w:p w14:paraId="4A6F4E5D" w14:textId="77777777" w:rsidR="00CE6695" w:rsidRPr="00FC3B7C" w:rsidRDefault="00CE6695" w:rsidP="00D46B53">
      <w:pPr>
        <w:numPr>
          <w:ilvl w:val="0"/>
          <w:numId w:val="420"/>
        </w:numPr>
        <w:tabs>
          <w:tab w:val="left" w:pos="840"/>
        </w:tabs>
        <w:ind w:left="840" w:hanging="353"/>
        <w:rPr>
          <w:rFonts w:eastAsia="Arial"/>
          <w:b/>
          <w:bCs/>
          <w:sz w:val="23"/>
          <w:szCs w:val="23"/>
        </w:rPr>
      </w:pPr>
      <w:r w:rsidRPr="00FC3B7C">
        <w:rPr>
          <w:rFonts w:eastAsia="Times New Roman"/>
          <w:szCs w:val="24"/>
        </w:rPr>
        <w:t>PIIGS – Portugalsko, Irsko, Itálie, Řecko, Španělsko</w:t>
      </w:r>
    </w:p>
    <w:p w14:paraId="4A6F4E5E" w14:textId="1B04587E" w:rsidR="00CE6695" w:rsidRPr="00FC3B7C" w:rsidRDefault="00CE6695" w:rsidP="00DC5ED2">
      <w:pPr>
        <w:rPr>
          <w:sz w:val="20"/>
          <w:szCs w:val="20"/>
        </w:rPr>
      </w:pPr>
      <w:r w:rsidRPr="00FC3B7C">
        <w:rPr>
          <w:rFonts w:eastAsia="Times New Roman"/>
          <w:b/>
          <w:bCs/>
          <w:i/>
          <w:iCs/>
          <w:szCs w:val="24"/>
        </w:rPr>
        <w:t xml:space="preserve">2012 </w:t>
      </w:r>
      <w:r w:rsidR="00517A71">
        <w:rPr>
          <w:rFonts w:eastAsia="Times New Roman"/>
          <w:b/>
          <w:bCs/>
          <w:i/>
          <w:iCs/>
          <w:szCs w:val="24"/>
        </w:rPr>
        <w:t>V</w:t>
      </w:r>
      <w:r w:rsidRPr="00FC3B7C">
        <w:rPr>
          <w:rFonts w:eastAsia="Times New Roman"/>
          <w:b/>
          <w:bCs/>
          <w:i/>
          <w:iCs/>
          <w:szCs w:val="24"/>
        </w:rPr>
        <w:t>znik ESM (Evropský stabilizační mechanismus)</w:t>
      </w:r>
    </w:p>
    <w:p w14:paraId="4A6F4E5F" w14:textId="3BE30155" w:rsidR="00CE6695" w:rsidRPr="00FC3B7C" w:rsidRDefault="00517A71" w:rsidP="00D46B53">
      <w:pPr>
        <w:numPr>
          <w:ilvl w:val="0"/>
          <w:numId w:val="421"/>
        </w:numPr>
        <w:tabs>
          <w:tab w:val="left" w:pos="720"/>
        </w:tabs>
        <w:ind w:left="720" w:hanging="364"/>
        <w:rPr>
          <w:rFonts w:eastAsia="Arial"/>
          <w:szCs w:val="24"/>
        </w:rPr>
      </w:pPr>
      <w:r>
        <w:rPr>
          <w:rFonts w:eastAsia="Times New Roman"/>
          <w:b/>
          <w:bCs/>
          <w:szCs w:val="24"/>
        </w:rPr>
        <w:t>T</w:t>
      </w:r>
      <w:r w:rsidR="00CE6695" w:rsidRPr="00FC3B7C">
        <w:rPr>
          <w:rFonts w:eastAsia="Times New Roman"/>
          <w:b/>
          <w:bCs/>
          <w:szCs w:val="24"/>
        </w:rPr>
        <w:t xml:space="preserve">rvalý záchranný fond </w:t>
      </w:r>
      <w:r w:rsidR="00CE6695" w:rsidRPr="00FC3B7C">
        <w:rPr>
          <w:rFonts w:eastAsia="Times New Roman"/>
          <w:szCs w:val="24"/>
        </w:rPr>
        <w:t>(500mld. eur)</w:t>
      </w:r>
    </w:p>
    <w:p w14:paraId="4A6F4E60" w14:textId="4C2360EF" w:rsidR="00CE6695" w:rsidRPr="00517A71" w:rsidRDefault="00517A71" w:rsidP="00D46B53">
      <w:pPr>
        <w:numPr>
          <w:ilvl w:val="0"/>
          <w:numId w:val="421"/>
        </w:numPr>
        <w:tabs>
          <w:tab w:val="left" w:pos="720"/>
        </w:tabs>
        <w:ind w:left="720" w:hanging="364"/>
        <w:rPr>
          <w:rFonts w:eastAsia="Arial"/>
          <w:szCs w:val="24"/>
        </w:rPr>
      </w:pPr>
      <w:r>
        <w:rPr>
          <w:rFonts w:eastAsia="Times New Roman"/>
          <w:szCs w:val="24"/>
        </w:rPr>
        <w:t>P</w:t>
      </w:r>
      <w:r w:rsidR="00CE6695" w:rsidRPr="00FC3B7C">
        <w:rPr>
          <w:rFonts w:eastAsia="Times New Roman"/>
          <w:szCs w:val="24"/>
        </w:rPr>
        <w:t>oskytuje půjčky zemím, rekapitalizuje bank</w:t>
      </w:r>
    </w:p>
    <w:p w14:paraId="044A95AF" w14:textId="1E735DA4" w:rsidR="00517A71" w:rsidRPr="00FC3B7C" w:rsidRDefault="00517A71" w:rsidP="00517A71">
      <w:pPr>
        <w:tabs>
          <w:tab w:val="left" w:pos="720"/>
        </w:tabs>
        <w:rPr>
          <w:rFonts w:eastAsia="Arial"/>
          <w:szCs w:val="24"/>
        </w:rPr>
      </w:pPr>
      <w:r w:rsidRPr="00FC3B7C">
        <w:rPr>
          <w:rFonts w:eastAsia="Times New Roman"/>
          <w:b/>
          <w:bCs/>
          <w:i/>
          <w:iCs/>
          <w:szCs w:val="24"/>
        </w:rPr>
        <w:t>20</w:t>
      </w:r>
      <w:r>
        <w:rPr>
          <w:rFonts w:eastAsia="Times New Roman"/>
          <w:b/>
          <w:bCs/>
          <w:i/>
          <w:iCs/>
          <w:szCs w:val="24"/>
        </w:rPr>
        <w:t>20 Brexit (1.2.2020)</w:t>
      </w:r>
    </w:p>
    <w:p w14:paraId="4A6F4E61" w14:textId="77777777" w:rsidR="00CE6695" w:rsidRPr="00FC3B7C" w:rsidRDefault="00CE6695" w:rsidP="00CE6695">
      <w:pPr>
        <w:spacing w:line="200" w:lineRule="exact"/>
        <w:rPr>
          <w:sz w:val="20"/>
          <w:szCs w:val="20"/>
        </w:rPr>
      </w:pPr>
    </w:p>
    <w:p w14:paraId="4A6F4E63" w14:textId="77777777" w:rsidR="00CE6695" w:rsidRPr="00FC3B7C" w:rsidRDefault="00CE6695" w:rsidP="00CE6695">
      <w:pPr>
        <w:spacing w:line="212" w:lineRule="exact"/>
        <w:rPr>
          <w:sz w:val="20"/>
          <w:szCs w:val="20"/>
        </w:rPr>
      </w:pPr>
    </w:p>
    <w:p w14:paraId="4A6F4E64" w14:textId="77777777" w:rsidR="00CE6695" w:rsidRPr="00244BB9" w:rsidRDefault="00CE6695" w:rsidP="00CE6695">
      <w:pPr>
        <w:pStyle w:val="Nadpis2"/>
        <w:rPr>
          <w:rFonts w:cs="Times New Roman"/>
          <w:b w:val="0"/>
          <w:color w:val="1F3864" w:themeColor="accent1" w:themeShade="80"/>
          <w:sz w:val="20"/>
          <w:szCs w:val="20"/>
        </w:rPr>
      </w:pPr>
      <w:r w:rsidRPr="00244BB9">
        <w:rPr>
          <w:rFonts w:cs="Times New Roman"/>
          <w:color w:val="1F3864" w:themeColor="accent1" w:themeShade="80"/>
        </w:rPr>
        <w:t>VÝVOJ EMU</w:t>
      </w:r>
    </w:p>
    <w:p w14:paraId="4A6F4E65" w14:textId="77777777" w:rsidR="00CE6695" w:rsidRPr="00FC3B7C" w:rsidRDefault="00CE6695" w:rsidP="0070178B">
      <w:pPr>
        <w:ind w:right="580"/>
        <w:rPr>
          <w:sz w:val="20"/>
          <w:szCs w:val="20"/>
        </w:rPr>
      </w:pPr>
      <w:r w:rsidRPr="00FC3B7C">
        <w:rPr>
          <w:rFonts w:eastAsia="Times New Roman"/>
          <w:szCs w:val="24"/>
        </w:rPr>
        <w:t xml:space="preserve">Původně se o měnové unii ve smlouvách EHS nehovořilo, poněvadž mezi státy fungoval Brettonwoodský systém (všechny měny jsou vázány na dolar, ten je vázán na zlato). Později se jednalo o hlavních zásadách Evropského měnového systému nebo </w:t>
      </w:r>
      <w:r w:rsidR="00DC5ED2">
        <w:rPr>
          <w:rFonts w:eastAsia="Times New Roman"/>
          <w:szCs w:val="24"/>
        </w:rPr>
        <w:br/>
      </w:r>
      <w:r w:rsidRPr="00FC3B7C">
        <w:rPr>
          <w:rFonts w:eastAsia="Times New Roman"/>
          <w:szCs w:val="24"/>
        </w:rPr>
        <w:t xml:space="preserve">o vytvoření Evropského rezervního fondu. V roce </w:t>
      </w:r>
      <w:r w:rsidRPr="00FC3B7C">
        <w:rPr>
          <w:rFonts w:eastAsia="Times New Roman"/>
          <w:b/>
          <w:bCs/>
          <w:szCs w:val="24"/>
        </w:rPr>
        <w:t>1961</w:t>
      </w:r>
      <w:r w:rsidRPr="00FC3B7C">
        <w:rPr>
          <w:rFonts w:eastAsia="Times New Roman"/>
          <w:szCs w:val="24"/>
        </w:rPr>
        <w:t xml:space="preserve"> Monnetův </w:t>
      </w:r>
      <w:r w:rsidRPr="00FC3B7C">
        <w:rPr>
          <w:rFonts w:eastAsia="Times New Roman"/>
          <w:b/>
          <w:bCs/>
          <w:szCs w:val="24"/>
        </w:rPr>
        <w:t>Akční výbor pro Spojené státy</w:t>
      </w:r>
      <w:r w:rsidRPr="00FC3B7C">
        <w:rPr>
          <w:rFonts w:eastAsia="Times New Roman"/>
          <w:szCs w:val="24"/>
        </w:rPr>
        <w:t xml:space="preserve"> </w:t>
      </w:r>
      <w:r w:rsidRPr="00FC3B7C">
        <w:rPr>
          <w:rFonts w:eastAsia="Times New Roman"/>
          <w:b/>
          <w:bCs/>
          <w:szCs w:val="24"/>
        </w:rPr>
        <w:t xml:space="preserve">evropské </w:t>
      </w:r>
      <w:r w:rsidRPr="00FC3B7C">
        <w:rPr>
          <w:rFonts w:eastAsia="Times New Roman"/>
          <w:szCs w:val="24"/>
        </w:rPr>
        <w:t>navrhl vytvoření</w:t>
      </w:r>
      <w:r w:rsidRPr="00FC3B7C">
        <w:rPr>
          <w:rFonts w:eastAsia="Times New Roman"/>
          <w:b/>
          <w:bCs/>
          <w:szCs w:val="24"/>
        </w:rPr>
        <w:t xml:space="preserve"> Evropského rezervního fondu </w:t>
      </w:r>
      <w:r w:rsidRPr="00FC3B7C">
        <w:rPr>
          <w:rFonts w:eastAsia="Times New Roman"/>
          <w:szCs w:val="24"/>
        </w:rPr>
        <w:t>jako prvního kroku k</w:t>
      </w:r>
      <w:r w:rsidRPr="00FC3B7C">
        <w:rPr>
          <w:rFonts w:eastAsia="Times New Roman"/>
          <w:b/>
          <w:bCs/>
          <w:szCs w:val="24"/>
        </w:rPr>
        <w:t xml:space="preserve"> </w:t>
      </w:r>
      <w:r w:rsidRPr="00FC3B7C">
        <w:rPr>
          <w:rFonts w:eastAsia="Times New Roman"/>
          <w:szCs w:val="24"/>
        </w:rPr>
        <w:t xml:space="preserve">evropské měně a ke společné měnové politice. Evropská komise v roce </w:t>
      </w:r>
      <w:r w:rsidRPr="00FC3B7C">
        <w:rPr>
          <w:rFonts w:eastAsia="Times New Roman"/>
          <w:b/>
          <w:bCs/>
          <w:szCs w:val="24"/>
        </w:rPr>
        <w:t>1962</w:t>
      </w:r>
      <w:r w:rsidRPr="00FC3B7C">
        <w:rPr>
          <w:rFonts w:eastAsia="Times New Roman"/>
          <w:szCs w:val="24"/>
        </w:rPr>
        <w:t xml:space="preserve"> předložila zásadní </w:t>
      </w:r>
      <w:r w:rsidRPr="00FC3B7C">
        <w:rPr>
          <w:rFonts w:eastAsia="Times New Roman"/>
          <w:b/>
          <w:bCs/>
          <w:szCs w:val="24"/>
        </w:rPr>
        <w:t>návrh na měnovou integraci</w:t>
      </w:r>
      <w:r w:rsidRPr="00FC3B7C">
        <w:rPr>
          <w:rFonts w:eastAsia="Times New Roman"/>
          <w:szCs w:val="24"/>
        </w:rPr>
        <w:t>.</w:t>
      </w:r>
    </w:p>
    <w:p w14:paraId="4A6F4E67" w14:textId="77D69574" w:rsidR="00CE6695" w:rsidRPr="00517A71" w:rsidRDefault="00CE6695" w:rsidP="0070178B">
      <w:pPr>
        <w:rPr>
          <w:b/>
          <w:sz w:val="20"/>
          <w:szCs w:val="20"/>
        </w:rPr>
      </w:pPr>
      <w:r w:rsidRPr="00FC3B7C">
        <w:rPr>
          <w:rFonts w:eastAsia="Times New Roman"/>
        </w:rPr>
        <w:t xml:space="preserve">Z podnětu Evropské komise v roce </w:t>
      </w:r>
      <w:r w:rsidRPr="004975AA">
        <w:rPr>
          <w:rFonts w:eastAsia="Times New Roman"/>
          <w:b/>
        </w:rPr>
        <w:t>1964</w:t>
      </w:r>
      <w:r w:rsidRPr="00FC3B7C">
        <w:rPr>
          <w:rFonts w:eastAsia="Times New Roman"/>
        </w:rPr>
        <w:t xml:space="preserve"> byl založen </w:t>
      </w:r>
      <w:r w:rsidRPr="004975AA">
        <w:rPr>
          <w:rFonts w:eastAsia="Times New Roman"/>
          <w:b/>
        </w:rPr>
        <w:t>Výbor guvernérů centrálních bank.</w:t>
      </w:r>
      <w:r w:rsidR="00517A71">
        <w:rPr>
          <w:b/>
          <w:sz w:val="20"/>
          <w:szCs w:val="20"/>
        </w:rPr>
        <w:t xml:space="preserve"> </w:t>
      </w:r>
      <w:r w:rsidRPr="00FC3B7C">
        <w:rPr>
          <w:rFonts w:eastAsia="Times New Roman"/>
        </w:rPr>
        <w:t xml:space="preserve">V roce </w:t>
      </w:r>
      <w:r w:rsidRPr="00FC3B7C">
        <w:rPr>
          <w:rFonts w:eastAsia="Times New Roman"/>
          <w:b/>
          <w:bCs/>
        </w:rPr>
        <w:t>1968 b</w:t>
      </w:r>
      <w:r w:rsidRPr="00FC3B7C">
        <w:rPr>
          <w:rFonts w:eastAsia="Times New Roman"/>
        </w:rPr>
        <w:t xml:space="preserve">yla </w:t>
      </w:r>
      <w:r w:rsidRPr="00FC3B7C">
        <w:rPr>
          <w:rFonts w:eastAsia="Times New Roman"/>
          <w:b/>
          <w:bCs/>
        </w:rPr>
        <w:t>zrušena cla uvnitř</w:t>
      </w:r>
      <w:r w:rsidRPr="00FC3B7C">
        <w:rPr>
          <w:rFonts w:eastAsia="Times New Roman"/>
        </w:rPr>
        <w:t xml:space="preserve"> </w:t>
      </w:r>
      <w:r w:rsidRPr="00FC3B7C">
        <w:rPr>
          <w:rFonts w:eastAsia="Times New Roman"/>
          <w:b/>
          <w:bCs/>
        </w:rPr>
        <w:t>Společenství</w:t>
      </w:r>
      <w:r w:rsidRPr="00FC3B7C">
        <w:rPr>
          <w:rFonts w:eastAsia="Times New Roman"/>
        </w:rPr>
        <w:t xml:space="preserve"> a byly zavedeny vnější celní tarify.</w:t>
      </w:r>
    </w:p>
    <w:p w14:paraId="20E08141" w14:textId="77777777" w:rsidR="00517A71" w:rsidRDefault="00517A71" w:rsidP="00DC5ED2">
      <w:pPr>
        <w:rPr>
          <w:rFonts w:eastAsia="Times New Roman"/>
          <w:b/>
          <w:bCs/>
          <w:i/>
          <w:iCs/>
        </w:rPr>
      </w:pPr>
    </w:p>
    <w:p w14:paraId="15E43581" w14:textId="77777777" w:rsidR="00517A71" w:rsidRDefault="00517A71" w:rsidP="00DC5ED2">
      <w:pPr>
        <w:rPr>
          <w:rFonts w:eastAsia="Times New Roman"/>
          <w:b/>
          <w:bCs/>
          <w:i/>
          <w:iCs/>
        </w:rPr>
      </w:pPr>
    </w:p>
    <w:p w14:paraId="4A6F4E68" w14:textId="5FCB50B6" w:rsidR="00CE6695" w:rsidRPr="00FC3B7C" w:rsidRDefault="00CE6695" w:rsidP="00DC5ED2">
      <w:pPr>
        <w:rPr>
          <w:sz w:val="20"/>
          <w:szCs w:val="20"/>
        </w:rPr>
      </w:pPr>
      <w:r w:rsidRPr="00FC3B7C">
        <w:rPr>
          <w:rFonts w:eastAsia="Times New Roman"/>
          <w:b/>
          <w:bCs/>
          <w:i/>
          <w:iCs/>
        </w:rPr>
        <w:lastRenderedPageBreak/>
        <w:t xml:space="preserve">1970 Wernerův plán </w:t>
      </w:r>
      <w:r w:rsidRPr="00FC3B7C">
        <w:rPr>
          <w:rFonts w:eastAsia="Times New Roman"/>
        </w:rPr>
        <w:t>(ministerský</w:t>
      </w:r>
      <w:r w:rsidRPr="00FC3B7C">
        <w:rPr>
          <w:rFonts w:eastAsia="Times New Roman"/>
          <w:b/>
          <w:bCs/>
          <w:i/>
          <w:iCs/>
        </w:rPr>
        <w:t xml:space="preserve"> </w:t>
      </w:r>
      <w:r w:rsidRPr="00FC3B7C">
        <w:rPr>
          <w:rFonts w:eastAsia="Times New Roman"/>
        </w:rPr>
        <w:t>předseda Lucemburska)</w:t>
      </w:r>
    </w:p>
    <w:p w14:paraId="4A6F4E69" w14:textId="77777777" w:rsidR="00CE6695" w:rsidRPr="00FC3B7C" w:rsidRDefault="00CE6695" w:rsidP="00CE6695">
      <w:pPr>
        <w:spacing w:line="151" w:lineRule="exact"/>
        <w:rPr>
          <w:sz w:val="20"/>
          <w:szCs w:val="20"/>
        </w:rPr>
      </w:pPr>
    </w:p>
    <w:p w14:paraId="4A6F4E6A" w14:textId="23C75457" w:rsidR="00CE6695" w:rsidRPr="00FC3B7C" w:rsidRDefault="00517A71" w:rsidP="00D46B53">
      <w:pPr>
        <w:numPr>
          <w:ilvl w:val="0"/>
          <w:numId w:val="422"/>
        </w:numPr>
        <w:tabs>
          <w:tab w:val="left" w:pos="840"/>
        </w:tabs>
        <w:spacing w:line="366" w:lineRule="auto"/>
        <w:ind w:left="840" w:right="100" w:hanging="368"/>
        <w:rPr>
          <w:rFonts w:eastAsia="Arial"/>
          <w:szCs w:val="24"/>
        </w:rPr>
      </w:pPr>
      <w:r>
        <w:rPr>
          <w:rFonts w:eastAsia="Times New Roman"/>
          <w:szCs w:val="24"/>
        </w:rPr>
        <w:t>Z</w:t>
      </w:r>
      <w:r w:rsidR="00CE6695" w:rsidRPr="00FC3B7C">
        <w:rPr>
          <w:rFonts w:eastAsia="Times New Roman"/>
          <w:szCs w:val="24"/>
        </w:rPr>
        <w:t xml:space="preserve">adání pro Wernerův plán </w:t>
      </w:r>
      <w:r w:rsidR="00CE6695" w:rsidRPr="00FC3B7C">
        <w:rPr>
          <w:rFonts w:eastAsia="Times New Roman"/>
          <w:b/>
          <w:bCs/>
          <w:szCs w:val="24"/>
        </w:rPr>
        <w:t>na summitu</w:t>
      </w:r>
      <w:r w:rsidR="00CE6695" w:rsidRPr="00FC3B7C">
        <w:rPr>
          <w:rFonts w:eastAsia="Times New Roman"/>
          <w:szCs w:val="24"/>
        </w:rPr>
        <w:t xml:space="preserve"> představitelů EHS </w:t>
      </w:r>
      <w:r w:rsidR="00CE6695" w:rsidRPr="00FC3B7C">
        <w:rPr>
          <w:rFonts w:eastAsia="Times New Roman"/>
          <w:b/>
          <w:bCs/>
          <w:szCs w:val="24"/>
        </w:rPr>
        <w:t>v Haagu 1969</w:t>
      </w:r>
      <w:r w:rsidR="00CE6695" w:rsidRPr="00FC3B7C">
        <w:rPr>
          <w:rFonts w:eastAsia="Times New Roman"/>
          <w:szCs w:val="24"/>
        </w:rPr>
        <w:t>, výsledkem setkání mělo být vytvoření měnové unie</w:t>
      </w:r>
    </w:p>
    <w:p w14:paraId="4A6F4E6B" w14:textId="77777777" w:rsidR="00CE6695" w:rsidRPr="00FC3B7C" w:rsidRDefault="00CE6695" w:rsidP="00D46B53">
      <w:pPr>
        <w:numPr>
          <w:ilvl w:val="0"/>
          <w:numId w:val="422"/>
        </w:numPr>
        <w:tabs>
          <w:tab w:val="left" w:pos="840"/>
        </w:tabs>
        <w:ind w:left="840" w:right="80" w:hanging="368"/>
        <w:rPr>
          <w:rFonts w:eastAsia="Arial"/>
          <w:szCs w:val="24"/>
        </w:rPr>
      </w:pPr>
      <w:r w:rsidRPr="00FC3B7C">
        <w:rPr>
          <w:rFonts w:eastAsia="Times New Roman"/>
          <w:b/>
          <w:bCs/>
          <w:szCs w:val="24"/>
        </w:rPr>
        <w:t xml:space="preserve">"Wernerova zpráva“ </w:t>
      </w:r>
      <w:r w:rsidRPr="00FC3B7C">
        <w:rPr>
          <w:rFonts w:eastAsia="Times New Roman"/>
          <w:szCs w:val="24"/>
        </w:rPr>
        <w:t>definovala</w:t>
      </w:r>
      <w:r w:rsidRPr="00FC3B7C">
        <w:rPr>
          <w:rFonts w:eastAsia="Times New Roman"/>
          <w:b/>
          <w:bCs/>
          <w:szCs w:val="24"/>
        </w:rPr>
        <w:t xml:space="preserve"> atributy hospodářské a měnové unie</w:t>
      </w:r>
      <w:r w:rsidRPr="00FC3B7C">
        <w:rPr>
          <w:rFonts w:eastAsia="Times New Roman"/>
          <w:szCs w:val="24"/>
        </w:rPr>
        <w:t>:</w:t>
      </w:r>
      <w:r w:rsidRPr="00FC3B7C">
        <w:rPr>
          <w:rFonts w:eastAsia="Times New Roman"/>
          <w:b/>
          <w:bCs/>
          <w:szCs w:val="24"/>
        </w:rPr>
        <w:t xml:space="preserve"> </w:t>
      </w:r>
      <w:r w:rsidRPr="00FC3B7C">
        <w:rPr>
          <w:rFonts w:eastAsia="Times New Roman"/>
          <w:szCs w:val="24"/>
        </w:rPr>
        <w:t>neodvolatelná konvertibilita měn členských zemí, volný pohyb kapitálu a pevně</w:t>
      </w:r>
    </w:p>
    <w:p w14:paraId="4A6F4E6C" w14:textId="77777777" w:rsidR="00CE6695" w:rsidRPr="00FC3B7C" w:rsidRDefault="00CE6695" w:rsidP="00DC5ED2">
      <w:pPr>
        <w:ind w:left="840" w:right="60"/>
        <w:rPr>
          <w:sz w:val="20"/>
          <w:szCs w:val="20"/>
        </w:rPr>
      </w:pPr>
      <w:bookmarkStart w:id="414" w:name="page425"/>
      <w:bookmarkEnd w:id="414"/>
      <w:r w:rsidRPr="00FC3B7C">
        <w:rPr>
          <w:rFonts w:eastAsia="Times New Roman"/>
          <w:szCs w:val="24"/>
        </w:rPr>
        <w:t>stanovené devizové kurzy mezi měnami členských zemí, nebo náhrada jednotlivých měn měnou jednotnou</w:t>
      </w:r>
    </w:p>
    <w:p w14:paraId="4A6F4E6D" w14:textId="335584C8" w:rsidR="00CE6695" w:rsidRPr="00FC3B7C" w:rsidRDefault="00517A71" w:rsidP="00D46B53">
      <w:pPr>
        <w:numPr>
          <w:ilvl w:val="0"/>
          <w:numId w:val="423"/>
        </w:numPr>
        <w:tabs>
          <w:tab w:val="left" w:pos="840"/>
        </w:tabs>
        <w:ind w:left="840" w:hanging="368"/>
        <w:rPr>
          <w:rFonts w:eastAsia="Arial"/>
          <w:szCs w:val="24"/>
        </w:rPr>
      </w:pPr>
      <w:r>
        <w:rPr>
          <w:rFonts w:eastAsia="Times New Roman"/>
          <w:szCs w:val="24"/>
        </w:rPr>
        <w:t>T</w:t>
      </w:r>
      <w:r w:rsidR="00CE6695" w:rsidRPr="00FC3B7C">
        <w:rPr>
          <w:rFonts w:eastAsia="Times New Roman"/>
          <w:szCs w:val="24"/>
        </w:rPr>
        <w:t xml:space="preserve">ohoto cíle mělo být dosaženo </w:t>
      </w:r>
      <w:r w:rsidR="00CE6695" w:rsidRPr="00FC3B7C">
        <w:rPr>
          <w:rFonts w:eastAsia="Times New Roman"/>
          <w:b/>
          <w:bCs/>
          <w:szCs w:val="24"/>
        </w:rPr>
        <w:t>ve 3 etapách do 10let</w:t>
      </w:r>
    </w:p>
    <w:p w14:paraId="4A6F4E6E" w14:textId="77777777" w:rsidR="00CE6695" w:rsidRPr="00FC3B7C" w:rsidRDefault="00CE6695" w:rsidP="00D46B53">
      <w:pPr>
        <w:numPr>
          <w:ilvl w:val="0"/>
          <w:numId w:val="423"/>
        </w:numPr>
        <w:tabs>
          <w:tab w:val="left" w:pos="840"/>
        </w:tabs>
        <w:ind w:left="840" w:hanging="368"/>
        <w:rPr>
          <w:rFonts w:eastAsia="Arial"/>
          <w:szCs w:val="24"/>
        </w:rPr>
      </w:pPr>
      <w:r w:rsidRPr="00FC3B7C">
        <w:rPr>
          <w:rFonts w:eastAsia="Times New Roman"/>
          <w:szCs w:val="24"/>
        </w:rPr>
        <w:t>Narazil na nepříznivé vnější podmínky:</w:t>
      </w:r>
    </w:p>
    <w:p w14:paraId="4A6F4E6F" w14:textId="77777777" w:rsidR="00CE6695" w:rsidRPr="00FC3B7C" w:rsidRDefault="00CE6695" w:rsidP="00DC5ED2">
      <w:pPr>
        <w:tabs>
          <w:tab w:val="left" w:pos="1540"/>
        </w:tabs>
        <w:ind w:left="1560" w:right="60" w:hanging="359"/>
        <w:rPr>
          <w:sz w:val="20"/>
          <w:szCs w:val="20"/>
        </w:rPr>
      </w:pPr>
      <w:r w:rsidRPr="00FC3B7C">
        <w:rPr>
          <w:rFonts w:eastAsia="Courier New"/>
          <w:szCs w:val="24"/>
        </w:rPr>
        <w:t>o</w:t>
      </w:r>
      <w:r w:rsidRPr="00FC3B7C">
        <w:rPr>
          <w:sz w:val="20"/>
          <w:szCs w:val="20"/>
        </w:rPr>
        <w:tab/>
      </w:r>
      <w:r w:rsidRPr="00FC3B7C">
        <w:rPr>
          <w:rFonts w:eastAsia="Times New Roman"/>
          <w:szCs w:val="24"/>
        </w:rPr>
        <w:t>1973 ropný šok, 1971 rozpad brettonwoodského systému (krize mezinárodního měnového systému)</w:t>
      </w:r>
    </w:p>
    <w:p w14:paraId="4A6F4E70" w14:textId="42028158" w:rsidR="00CE6695" w:rsidRPr="00FC3B7C" w:rsidRDefault="00517A71" w:rsidP="00D46B53">
      <w:pPr>
        <w:numPr>
          <w:ilvl w:val="0"/>
          <w:numId w:val="424"/>
        </w:numPr>
        <w:tabs>
          <w:tab w:val="left" w:pos="840"/>
        </w:tabs>
        <w:ind w:left="840" w:right="60" w:hanging="368"/>
        <w:rPr>
          <w:rFonts w:eastAsia="Arial"/>
          <w:szCs w:val="24"/>
        </w:rPr>
      </w:pPr>
      <w:r>
        <w:rPr>
          <w:rFonts w:eastAsia="Times New Roman"/>
          <w:b/>
          <w:bCs/>
          <w:szCs w:val="24"/>
        </w:rPr>
        <w:t>N</w:t>
      </w:r>
      <w:r w:rsidR="00CE6695" w:rsidRPr="00FC3B7C">
        <w:rPr>
          <w:rFonts w:eastAsia="Times New Roman"/>
          <w:b/>
          <w:bCs/>
          <w:szCs w:val="24"/>
        </w:rPr>
        <w:t>epodařilo se</w:t>
      </w:r>
      <w:r w:rsidR="00CE6695" w:rsidRPr="00FC3B7C">
        <w:rPr>
          <w:rFonts w:eastAsia="Times New Roman"/>
          <w:szCs w:val="24"/>
        </w:rPr>
        <w:t>, protože mezi zeměmi</w:t>
      </w:r>
      <w:r w:rsidR="00CE6695" w:rsidRPr="00FC3B7C">
        <w:rPr>
          <w:rFonts w:eastAsia="Times New Roman"/>
          <w:b/>
          <w:bCs/>
          <w:szCs w:val="24"/>
        </w:rPr>
        <w:t xml:space="preserve"> nebyla shoda </w:t>
      </w:r>
      <w:r w:rsidR="00CE6695" w:rsidRPr="00FC3B7C">
        <w:rPr>
          <w:rFonts w:eastAsia="Times New Roman"/>
          <w:szCs w:val="24"/>
        </w:rPr>
        <w:t>jak k tomu dospět:</w:t>
      </w:r>
      <w:r w:rsidR="00CE6695" w:rsidRPr="00FC3B7C">
        <w:rPr>
          <w:rFonts w:eastAsia="Times New Roman"/>
          <w:b/>
          <w:bCs/>
          <w:szCs w:val="24"/>
        </w:rPr>
        <w:t xml:space="preserve"> německá koncepce </w:t>
      </w:r>
      <w:r w:rsidR="00CE6695" w:rsidRPr="00FC3B7C">
        <w:rPr>
          <w:rFonts w:eastAsia="Times New Roman"/>
          <w:szCs w:val="24"/>
        </w:rPr>
        <w:t>(nejprve hospodářské sblížení,</w:t>
      </w:r>
      <w:r w:rsidR="00CE6695" w:rsidRPr="00FC3B7C">
        <w:rPr>
          <w:rFonts w:eastAsia="Times New Roman"/>
          <w:b/>
          <w:bCs/>
          <w:szCs w:val="24"/>
        </w:rPr>
        <w:t xml:space="preserve"> následně </w:t>
      </w:r>
      <w:r w:rsidR="00CE6695" w:rsidRPr="00FC3B7C">
        <w:rPr>
          <w:rFonts w:eastAsia="Times New Roman"/>
          <w:szCs w:val="24"/>
        </w:rPr>
        <w:t>společná</w:t>
      </w:r>
      <w:r w:rsidR="00CE6695" w:rsidRPr="00FC3B7C">
        <w:rPr>
          <w:rFonts w:eastAsia="Times New Roman"/>
          <w:b/>
          <w:bCs/>
          <w:szCs w:val="24"/>
        </w:rPr>
        <w:t xml:space="preserve"> měna) </w:t>
      </w:r>
      <w:r w:rsidR="00CE6695" w:rsidRPr="00FC3B7C">
        <w:rPr>
          <w:rFonts w:eastAsia="Times New Roman"/>
          <w:szCs w:val="24"/>
        </w:rPr>
        <w:t>a</w:t>
      </w:r>
      <w:r w:rsidR="00CE6695" w:rsidRPr="00FC3B7C">
        <w:rPr>
          <w:rFonts w:eastAsia="Times New Roman"/>
          <w:b/>
          <w:bCs/>
          <w:szCs w:val="24"/>
        </w:rPr>
        <w:t xml:space="preserve"> francouzská koncepce </w:t>
      </w:r>
      <w:r w:rsidR="00CE6695" w:rsidRPr="00FC3B7C">
        <w:rPr>
          <w:rFonts w:eastAsia="Times New Roman"/>
          <w:szCs w:val="24"/>
        </w:rPr>
        <w:t>(</w:t>
      </w:r>
      <w:r w:rsidR="00CE6695" w:rsidRPr="00FC3B7C">
        <w:rPr>
          <w:rFonts w:eastAsia="Times New Roman"/>
          <w:b/>
          <w:bCs/>
          <w:szCs w:val="24"/>
        </w:rPr>
        <w:t xml:space="preserve">nejprve </w:t>
      </w:r>
      <w:r w:rsidR="00CE6695" w:rsidRPr="00FC3B7C">
        <w:rPr>
          <w:rFonts w:eastAsia="Times New Roman"/>
          <w:szCs w:val="24"/>
        </w:rPr>
        <w:t>zavedení jednotné</w:t>
      </w:r>
      <w:r w:rsidR="00CE6695" w:rsidRPr="00FC3B7C">
        <w:rPr>
          <w:rFonts w:eastAsia="Times New Roman"/>
          <w:b/>
          <w:bCs/>
          <w:szCs w:val="24"/>
        </w:rPr>
        <w:t xml:space="preserve"> měny</w:t>
      </w:r>
      <w:r w:rsidR="00CE6695" w:rsidRPr="00FC3B7C">
        <w:rPr>
          <w:rFonts w:eastAsia="Times New Roman"/>
          <w:szCs w:val="24"/>
        </w:rPr>
        <w:t>, což</w:t>
      </w:r>
      <w:r w:rsidR="00CE6695" w:rsidRPr="00FC3B7C">
        <w:rPr>
          <w:rFonts w:eastAsia="Times New Roman"/>
          <w:b/>
          <w:bCs/>
          <w:szCs w:val="24"/>
        </w:rPr>
        <w:t xml:space="preserve"> </w:t>
      </w:r>
      <w:r w:rsidR="00CE6695" w:rsidRPr="00FC3B7C">
        <w:rPr>
          <w:rFonts w:eastAsia="Times New Roman"/>
          <w:szCs w:val="24"/>
        </w:rPr>
        <w:t>donutí země</w:t>
      </w:r>
      <w:r w:rsidR="00CE6695" w:rsidRPr="00FC3B7C">
        <w:rPr>
          <w:rFonts w:eastAsia="Times New Roman"/>
          <w:b/>
          <w:bCs/>
          <w:szCs w:val="24"/>
        </w:rPr>
        <w:t xml:space="preserve"> </w:t>
      </w:r>
      <w:r w:rsidR="00CE6695" w:rsidRPr="00FC3B7C">
        <w:rPr>
          <w:rFonts w:eastAsia="Times New Roman"/>
          <w:szCs w:val="24"/>
        </w:rPr>
        <w:t>k reálné konvergenci)</w:t>
      </w:r>
    </w:p>
    <w:p w14:paraId="2E5DF627" w14:textId="77777777" w:rsidR="00517A71" w:rsidRDefault="00CE6695" w:rsidP="00517A71">
      <w:pPr>
        <w:ind w:right="80"/>
        <w:rPr>
          <w:rFonts w:eastAsia="Times New Roman"/>
          <w:b/>
          <w:bCs/>
          <w:szCs w:val="24"/>
        </w:rPr>
      </w:pPr>
      <w:r w:rsidRPr="00517A71">
        <w:rPr>
          <w:rFonts w:eastAsia="Times New Roman"/>
          <w:b/>
          <w:bCs/>
          <w:i/>
          <w:iCs/>
          <w:szCs w:val="24"/>
        </w:rPr>
        <w:t>1972</w:t>
      </w:r>
    </w:p>
    <w:p w14:paraId="4A6F4E71" w14:textId="7E80CDA4" w:rsidR="00CE6695" w:rsidRPr="00517A71" w:rsidRDefault="00CE6695" w:rsidP="00D46B53">
      <w:pPr>
        <w:pStyle w:val="Odstavecseseznamem"/>
        <w:numPr>
          <w:ilvl w:val="0"/>
          <w:numId w:val="661"/>
        </w:numPr>
        <w:ind w:right="80"/>
        <w:rPr>
          <w:sz w:val="20"/>
          <w:szCs w:val="20"/>
        </w:rPr>
      </w:pPr>
      <w:r w:rsidRPr="00517A71">
        <w:rPr>
          <w:rFonts w:eastAsia="Times New Roman"/>
          <w:szCs w:val="24"/>
        </w:rPr>
        <w:t>Rada rozhodla,</w:t>
      </w:r>
      <w:r w:rsidRPr="00517A71">
        <w:rPr>
          <w:rFonts w:eastAsia="Times New Roman"/>
          <w:b/>
          <w:bCs/>
          <w:szCs w:val="24"/>
        </w:rPr>
        <w:t xml:space="preserve"> </w:t>
      </w:r>
      <w:r w:rsidRPr="00517A71">
        <w:rPr>
          <w:rFonts w:eastAsia="Times New Roman"/>
          <w:szCs w:val="24"/>
        </w:rPr>
        <w:t>že</w:t>
      </w:r>
      <w:r w:rsidRPr="00517A71">
        <w:rPr>
          <w:rFonts w:eastAsia="Times New Roman"/>
          <w:b/>
          <w:bCs/>
          <w:szCs w:val="24"/>
        </w:rPr>
        <w:t xml:space="preserve"> měny členských zemí </w:t>
      </w:r>
      <w:r w:rsidRPr="00517A71">
        <w:rPr>
          <w:rFonts w:eastAsia="Times New Roman"/>
          <w:szCs w:val="24"/>
        </w:rPr>
        <w:t>budou</w:t>
      </w:r>
      <w:r w:rsidRPr="00517A71">
        <w:rPr>
          <w:rFonts w:eastAsia="Times New Roman"/>
          <w:b/>
          <w:bCs/>
          <w:szCs w:val="24"/>
        </w:rPr>
        <w:t xml:space="preserve"> fluktuovat v </w:t>
      </w:r>
      <w:r w:rsidRPr="00517A71">
        <w:rPr>
          <w:rFonts w:eastAsia="Times New Roman"/>
          <w:szCs w:val="24"/>
        </w:rPr>
        <w:t>rozmezí</w:t>
      </w:r>
      <w:r w:rsidRPr="00517A71">
        <w:rPr>
          <w:rFonts w:eastAsia="Times New Roman"/>
          <w:b/>
          <w:bCs/>
          <w:szCs w:val="24"/>
        </w:rPr>
        <w:t xml:space="preserve"> +/-2,25 % </w:t>
      </w:r>
      <w:r w:rsidRPr="00517A71">
        <w:rPr>
          <w:rFonts w:eastAsia="Times New Roman"/>
          <w:szCs w:val="24"/>
        </w:rPr>
        <w:t>od</w:t>
      </w:r>
      <w:r w:rsidRPr="00517A71">
        <w:rPr>
          <w:rFonts w:eastAsia="Times New Roman"/>
          <w:b/>
          <w:bCs/>
          <w:szCs w:val="24"/>
        </w:rPr>
        <w:t xml:space="preserve"> </w:t>
      </w:r>
      <w:r w:rsidRPr="00517A71">
        <w:rPr>
          <w:rFonts w:eastAsia="Times New Roman"/>
          <w:szCs w:val="24"/>
        </w:rPr>
        <w:t xml:space="preserve">své </w:t>
      </w:r>
      <w:r w:rsidRPr="00517A71">
        <w:rPr>
          <w:rFonts w:eastAsia="Times New Roman"/>
          <w:b/>
          <w:bCs/>
          <w:szCs w:val="24"/>
        </w:rPr>
        <w:t>parity k dolaru</w:t>
      </w:r>
      <w:r w:rsidRPr="00517A71">
        <w:rPr>
          <w:rFonts w:eastAsia="Times New Roman"/>
          <w:szCs w:val="24"/>
        </w:rPr>
        <w:t xml:space="preserve"> ve srovnání s rozmezím 4,5 %, které přijaly ostatní členské státy Mezinárodního měnového fondu (tzv. „had v tunelu“)</w:t>
      </w:r>
    </w:p>
    <w:p w14:paraId="4A6F4E72" w14:textId="77777777" w:rsidR="00CE6695" w:rsidRPr="004975AA" w:rsidRDefault="00CE6695" w:rsidP="00DC5ED2">
      <w:pPr>
        <w:rPr>
          <w:b/>
          <w:i/>
          <w:sz w:val="20"/>
          <w:szCs w:val="20"/>
        </w:rPr>
      </w:pPr>
      <w:r w:rsidRPr="004975AA">
        <w:rPr>
          <w:rFonts w:eastAsia="Times New Roman"/>
          <w:b/>
          <w:i/>
        </w:rPr>
        <w:t>1979 Evropský měnový systému (EMS)</w:t>
      </w:r>
    </w:p>
    <w:p w14:paraId="4A6F4E73" w14:textId="4F46E345" w:rsidR="00CE6695" w:rsidRPr="00FC3B7C" w:rsidRDefault="001A38C3" w:rsidP="00D46B53">
      <w:pPr>
        <w:numPr>
          <w:ilvl w:val="0"/>
          <w:numId w:val="425"/>
        </w:numPr>
        <w:tabs>
          <w:tab w:val="left" w:pos="993"/>
        </w:tabs>
        <w:ind w:left="840" w:hanging="414"/>
        <w:rPr>
          <w:rFonts w:eastAsia="Arial"/>
          <w:szCs w:val="24"/>
        </w:rPr>
      </w:pPr>
      <w:r>
        <w:rPr>
          <w:rFonts w:eastAsia="Times New Roman"/>
          <w:b/>
          <w:bCs/>
          <w:szCs w:val="24"/>
        </w:rPr>
        <w:t>P</w:t>
      </w:r>
      <w:r w:rsidR="00CE6695" w:rsidRPr="00FC3B7C">
        <w:rPr>
          <w:rFonts w:eastAsia="Times New Roman"/>
          <w:b/>
          <w:bCs/>
          <w:szCs w:val="24"/>
        </w:rPr>
        <w:t>ředchůdce EMU</w:t>
      </w:r>
    </w:p>
    <w:p w14:paraId="4A6F4E74" w14:textId="77777777" w:rsidR="00CE6695" w:rsidRPr="00FC3B7C" w:rsidRDefault="00CE6695" w:rsidP="00D46B53">
      <w:pPr>
        <w:numPr>
          <w:ilvl w:val="1"/>
          <w:numId w:val="425"/>
        </w:numPr>
        <w:tabs>
          <w:tab w:val="left" w:pos="993"/>
        </w:tabs>
        <w:ind w:left="840" w:hanging="414"/>
        <w:rPr>
          <w:rFonts w:eastAsia="Arial"/>
          <w:szCs w:val="24"/>
        </w:rPr>
      </w:pPr>
      <w:r w:rsidRPr="00FC3B7C">
        <w:rPr>
          <w:rFonts w:eastAsia="Times New Roman"/>
          <w:b/>
          <w:bCs/>
          <w:szCs w:val="24"/>
        </w:rPr>
        <w:t xml:space="preserve">ECU </w:t>
      </w:r>
      <w:r w:rsidRPr="00FC3B7C">
        <w:rPr>
          <w:rFonts w:eastAsia="Times New Roman"/>
          <w:szCs w:val="24"/>
        </w:rPr>
        <w:t>(european curency unit) - evropská měnová jednotka</w:t>
      </w:r>
    </w:p>
    <w:p w14:paraId="4A6F4E75" w14:textId="77777777" w:rsidR="00CE6695" w:rsidRPr="00FC3B7C" w:rsidRDefault="00CE6695" w:rsidP="00D46B53">
      <w:pPr>
        <w:numPr>
          <w:ilvl w:val="0"/>
          <w:numId w:val="425"/>
        </w:numPr>
        <w:tabs>
          <w:tab w:val="left" w:pos="720"/>
        </w:tabs>
        <w:ind w:left="720" w:hanging="364"/>
        <w:rPr>
          <w:rFonts w:eastAsia="Arial"/>
          <w:szCs w:val="24"/>
        </w:rPr>
      </w:pPr>
      <w:r w:rsidRPr="00FC3B7C">
        <w:rPr>
          <w:rFonts w:eastAsia="Times New Roman"/>
          <w:b/>
          <w:bCs/>
          <w:szCs w:val="24"/>
        </w:rPr>
        <w:t xml:space="preserve">ERM </w:t>
      </w:r>
      <w:r w:rsidRPr="00FC3B7C">
        <w:rPr>
          <w:rFonts w:eastAsia="Times New Roman"/>
          <w:szCs w:val="24"/>
        </w:rPr>
        <w:t>(Exchange Rate Mechanism) – mechanismus směnných kurzů</w:t>
      </w:r>
    </w:p>
    <w:p w14:paraId="4A6F4E76" w14:textId="3B723D30" w:rsidR="00CE6695" w:rsidRPr="00FC3B7C" w:rsidRDefault="001A38C3" w:rsidP="00D46B53">
      <w:pPr>
        <w:numPr>
          <w:ilvl w:val="0"/>
          <w:numId w:val="425"/>
        </w:numPr>
        <w:tabs>
          <w:tab w:val="left" w:pos="720"/>
        </w:tabs>
        <w:ind w:left="720" w:hanging="364"/>
        <w:rPr>
          <w:rFonts w:eastAsia="Arial"/>
          <w:szCs w:val="24"/>
        </w:rPr>
      </w:pPr>
      <w:r>
        <w:rPr>
          <w:rFonts w:eastAsia="Times New Roman"/>
          <w:szCs w:val="24"/>
        </w:rPr>
        <w:t>N</w:t>
      </w:r>
      <w:r w:rsidR="00CE6695" w:rsidRPr="00FC3B7C">
        <w:rPr>
          <w:rFonts w:eastAsia="Times New Roman"/>
          <w:szCs w:val="24"/>
        </w:rPr>
        <w:t xml:space="preserve">eměl primárně za úkol vytvořit společnou měnu, ale cílem bylo </w:t>
      </w:r>
      <w:r w:rsidR="00CE6695" w:rsidRPr="00FC3B7C">
        <w:rPr>
          <w:rFonts w:eastAsia="Times New Roman"/>
          <w:b/>
          <w:bCs/>
          <w:szCs w:val="24"/>
        </w:rPr>
        <w:t>vytvořit oblast</w:t>
      </w:r>
      <w:r w:rsidR="00CE6695" w:rsidRPr="00FC3B7C">
        <w:rPr>
          <w:rFonts w:eastAsia="Times New Roman"/>
          <w:szCs w:val="24"/>
        </w:rPr>
        <w:t xml:space="preserve"> </w:t>
      </w:r>
      <w:r w:rsidR="00CE6695" w:rsidRPr="00FC3B7C">
        <w:rPr>
          <w:rFonts w:eastAsia="Times New Roman"/>
          <w:b/>
          <w:bCs/>
          <w:szCs w:val="24"/>
        </w:rPr>
        <w:t>měnové</w:t>
      </w:r>
    </w:p>
    <w:p w14:paraId="4A6F4E77" w14:textId="72AAEEBA" w:rsidR="00CE6695" w:rsidRPr="00FC3B7C" w:rsidRDefault="001A38C3" w:rsidP="00D46B53">
      <w:pPr>
        <w:numPr>
          <w:ilvl w:val="0"/>
          <w:numId w:val="425"/>
        </w:numPr>
        <w:tabs>
          <w:tab w:val="left" w:pos="720"/>
        </w:tabs>
        <w:ind w:left="720" w:hanging="364"/>
        <w:rPr>
          <w:rFonts w:eastAsia="Arial"/>
          <w:szCs w:val="24"/>
        </w:rPr>
      </w:pPr>
      <w:r>
        <w:rPr>
          <w:rFonts w:eastAsia="Times New Roman"/>
          <w:b/>
          <w:bCs/>
          <w:szCs w:val="24"/>
        </w:rPr>
        <w:t>S</w:t>
      </w:r>
      <w:r w:rsidR="00CE6695" w:rsidRPr="00FC3B7C">
        <w:rPr>
          <w:rFonts w:eastAsia="Times New Roman"/>
          <w:b/>
          <w:bCs/>
          <w:szCs w:val="24"/>
        </w:rPr>
        <w:t>tability</w:t>
      </w:r>
      <w:r w:rsidR="00CE6695" w:rsidRPr="00FC3B7C">
        <w:rPr>
          <w:rFonts w:eastAsia="Times New Roman"/>
          <w:szCs w:val="24"/>
        </w:rPr>
        <w:t>, kde by bylo možno</w:t>
      </w:r>
      <w:r w:rsidR="00CE6695" w:rsidRPr="00FC3B7C">
        <w:rPr>
          <w:rFonts w:eastAsia="Times New Roman"/>
          <w:b/>
          <w:bCs/>
          <w:szCs w:val="24"/>
        </w:rPr>
        <w:t xml:space="preserve"> spolehlivě kalkulovat ceny</w:t>
      </w:r>
    </w:p>
    <w:p w14:paraId="4A6F4E78" w14:textId="22542FF9" w:rsidR="00CE6695" w:rsidRPr="00FC3B7C" w:rsidRDefault="001A38C3" w:rsidP="00D46B53">
      <w:pPr>
        <w:numPr>
          <w:ilvl w:val="0"/>
          <w:numId w:val="425"/>
        </w:numPr>
        <w:tabs>
          <w:tab w:val="left" w:pos="720"/>
        </w:tabs>
        <w:ind w:left="720" w:hanging="364"/>
        <w:rPr>
          <w:rFonts w:eastAsia="Arial"/>
          <w:szCs w:val="24"/>
        </w:rPr>
      </w:pPr>
      <w:r>
        <w:rPr>
          <w:rFonts w:eastAsia="Times New Roman"/>
          <w:szCs w:val="24"/>
        </w:rPr>
        <w:t>V</w:t>
      </w:r>
      <w:r w:rsidR="00CE6695" w:rsidRPr="00FC3B7C">
        <w:rPr>
          <w:rFonts w:eastAsia="Times New Roman"/>
          <w:szCs w:val="24"/>
        </w:rPr>
        <w:t xml:space="preserve">ytvoření košové měny ECU (European Currency Unit), mechanismus směnných kurzů ERM, který stanovil pásmo kolísání měnových kurzů kolem kurzu ECU (± 2,25 %, později ± 15%), kurzy se podařilo stabilizovat, avšak </w:t>
      </w:r>
      <w:r w:rsidR="00CE6695" w:rsidRPr="00FC3B7C">
        <w:rPr>
          <w:rFonts w:eastAsia="Times New Roman"/>
          <w:b/>
          <w:bCs/>
          <w:szCs w:val="24"/>
        </w:rPr>
        <w:t>systém zkolaboval v r.</w:t>
      </w:r>
      <w:r w:rsidR="00CE6695" w:rsidRPr="00FC3B7C">
        <w:rPr>
          <w:rFonts w:eastAsia="Times New Roman"/>
          <w:szCs w:val="24"/>
        </w:rPr>
        <w:t xml:space="preserve"> </w:t>
      </w:r>
      <w:r w:rsidR="00CE6695" w:rsidRPr="00FC3B7C">
        <w:rPr>
          <w:rFonts w:eastAsia="Times New Roman"/>
          <w:b/>
          <w:bCs/>
          <w:szCs w:val="24"/>
        </w:rPr>
        <w:t xml:space="preserve">1992 </w:t>
      </w:r>
      <w:r w:rsidR="00CE6695" w:rsidRPr="00FC3B7C">
        <w:rPr>
          <w:rFonts w:eastAsia="Times New Roman"/>
          <w:szCs w:val="24"/>
        </w:rPr>
        <w:t>po</w:t>
      </w:r>
      <w:r w:rsidR="00CE6695" w:rsidRPr="00FC3B7C">
        <w:rPr>
          <w:rFonts w:eastAsia="Times New Roman"/>
          <w:b/>
          <w:bCs/>
          <w:szCs w:val="24"/>
        </w:rPr>
        <w:t xml:space="preserve"> vystoupení VB </w:t>
      </w:r>
      <w:r w:rsidR="00CE6695" w:rsidRPr="00FC3B7C">
        <w:rPr>
          <w:rFonts w:eastAsia="Times New Roman"/>
          <w:szCs w:val="24"/>
        </w:rPr>
        <w:t>a</w:t>
      </w:r>
      <w:r w:rsidR="00CE6695" w:rsidRPr="00FC3B7C">
        <w:rPr>
          <w:rFonts w:eastAsia="Times New Roman"/>
          <w:b/>
          <w:bCs/>
          <w:szCs w:val="24"/>
        </w:rPr>
        <w:t xml:space="preserve"> Itálie </w:t>
      </w:r>
      <w:r w:rsidR="00CE6695" w:rsidRPr="00FC3B7C">
        <w:rPr>
          <w:rFonts w:eastAsia="Times New Roman"/>
          <w:szCs w:val="24"/>
        </w:rPr>
        <w:t>ze systému, nicméně</w:t>
      </w:r>
      <w:r w:rsidR="00CE6695" w:rsidRPr="00FC3B7C">
        <w:rPr>
          <w:rFonts w:eastAsia="Times New Roman"/>
          <w:b/>
          <w:bCs/>
          <w:szCs w:val="24"/>
        </w:rPr>
        <w:t xml:space="preserve"> </w:t>
      </w:r>
      <w:r w:rsidR="00CE6695" w:rsidRPr="00FC3B7C">
        <w:rPr>
          <w:rFonts w:eastAsia="Times New Roman"/>
          <w:szCs w:val="24"/>
        </w:rPr>
        <w:t>připravil</w:t>
      </w:r>
      <w:r w:rsidR="00CE6695" w:rsidRPr="00FC3B7C">
        <w:rPr>
          <w:rFonts w:eastAsia="Times New Roman"/>
          <w:b/>
          <w:bCs/>
          <w:szCs w:val="24"/>
        </w:rPr>
        <w:t xml:space="preserve"> půdu k přechodu k měnové unii</w:t>
      </w:r>
    </w:p>
    <w:p w14:paraId="4A6F4E79" w14:textId="15F570DA" w:rsidR="00CE6695" w:rsidRPr="00FC3B7C" w:rsidRDefault="001A38C3" w:rsidP="00D46B53">
      <w:pPr>
        <w:numPr>
          <w:ilvl w:val="0"/>
          <w:numId w:val="425"/>
        </w:numPr>
        <w:tabs>
          <w:tab w:val="left" w:pos="720"/>
        </w:tabs>
        <w:ind w:left="720" w:hanging="364"/>
        <w:rPr>
          <w:rFonts w:eastAsia="Arial"/>
          <w:szCs w:val="24"/>
        </w:rPr>
      </w:pPr>
      <w:r>
        <w:rPr>
          <w:rFonts w:eastAsia="Times New Roman"/>
          <w:szCs w:val="24"/>
        </w:rPr>
        <w:t>M</w:t>
      </w:r>
      <w:r w:rsidR="00CE6695" w:rsidRPr="00FC3B7C">
        <w:rPr>
          <w:rFonts w:eastAsia="Times New Roman"/>
          <w:szCs w:val="24"/>
        </w:rPr>
        <w:t>echanismus směnných kurzů znamenal, že ke změnám parit mohlo dojít pouze "vzájemnou dohodou" států, účastnících se na ERM a Komise</w:t>
      </w:r>
    </w:p>
    <w:p w14:paraId="4A6F4E7A" w14:textId="77777777" w:rsidR="00CE6695" w:rsidRPr="00FC3B7C" w:rsidRDefault="00CE6695" w:rsidP="00D46B53">
      <w:pPr>
        <w:numPr>
          <w:ilvl w:val="0"/>
          <w:numId w:val="425"/>
        </w:numPr>
        <w:tabs>
          <w:tab w:val="left" w:pos="720"/>
        </w:tabs>
        <w:ind w:left="720" w:hanging="364"/>
        <w:rPr>
          <w:rFonts w:eastAsia="Arial"/>
          <w:szCs w:val="24"/>
        </w:rPr>
      </w:pPr>
      <w:r w:rsidRPr="00FC3B7C">
        <w:rPr>
          <w:rFonts w:eastAsia="Times New Roman"/>
          <w:szCs w:val="24"/>
        </w:rPr>
        <w:lastRenderedPageBreak/>
        <w:t xml:space="preserve">Evropská rada vyslovila souhlas s vytvořením </w:t>
      </w:r>
      <w:r w:rsidRPr="00FC3B7C">
        <w:rPr>
          <w:rFonts w:eastAsia="Times New Roman"/>
          <w:b/>
          <w:bCs/>
          <w:szCs w:val="24"/>
        </w:rPr>
        <w:t xml:space="preserve">Evropského měnového fondu do </w:t>
      </w:r>
      <w:r w:rsidR="00DC5ED2">
        <w:rPr>
          <w:rFonts w:eastAsia="Times New Roman"/>
          <w:b/>
          <w:bCs/>
          <w:szCs w:val="24"/>
        </w:rPr>
        <w:br/>
      </w:r>
      <w:r w:rsidRPr="00FC3B7C">
        <w:rPr>
          <w:rFonts w:eastAsia="Times New Roman"/>
          <w:b/>
          <w:bCs/>
          <w:szCs w:val="24"/>
        </w:rPr>
        <w:t>r.</w:t>
      </w:r>
      <w:r w:rsidRPr="00FC3B7C">
        <w:rPr>
          <w:rFonts w:eastAsia="Times New Roman"/>
          <w:szCs w:val="24"/>
        </w:rPr>
        <w:t xml:space="preserve"> </w:t>
      </w:r>
      <w:r w:rsidRPr="00FC3B7C">
        <w:rPr>
          <w:rFonts w:eastAsia="Times New Roman"/>
          <w:b/>
          <w:bCs/>
          <w:szCs w:val="24"/>
        </w:rPr>
        <w:t xml:space="preserve">1981 </w:t>
      </w:r>
      <w:r w:rsidRPr="00FC3B7C">
        <w:rPr>
          <w:rFonts w:eastAsia="Times New Roman"/>
          <w:szCs w:val="24"/>
        </w:rPr>
        <w:t>a s používáním</w:t>
      </w:r>
      <w:r w:rsidRPr="00FC3B7C">
        <w:rPr>
          <w:rFonts w:eastAsia="Times New Roman"/>
          <w:b/>
          <w:bCs/>
          <w:szCs w:val="24"/>
        </w:rPr>
        <w:t xml:space="preserve"> ECU </w:t>
      </w:r>
      <w:r w:rsidRPr="00FC3B7C">
        <w:rPr>
          <w:rFonts w:eastAsia="Times New Roman"/>
          <w:szCs w:val="24"/>
        </w:rPr>
        <w:t>jako</w:t>
      </w:r>
      <w:r w:rsidRPr="00FC3B7C">
        <w:rPr>
          <w:rFonts w:eastAsia="Times New Roman"/>
          <w:b/>
          <w:bCs/>
          <w:szCs w:val="24"/>
        </w:rPr>
        <w:t xml:space="preserve"> rezervního a zúčtovacího prostředku</w:t>
      </w:r>
    </w:p>
    <w:p w14:paraId="37EC4ECE" w14:textId="77777777" w:rsidR="001A38C3" w:rsidRDefault="001A38C3" w:rsidP="00DC5ED2">
      <w:pPr>
        <w:ind w:right="240"/>
        <w:rPr>
          <w:rFonts w:eastAsia="Times New Roman"/>
          <w:b/>
          <w:bCs/>
          <w:szCs w:val="24"/>
        </w:rPr>
      </w:pPr>
    </w:p>
    <w:p w14:paraId="04BD53F3" w14:textId="37F54CC2" w:rsidR="001A38C3" w:rsidRDefault="00CE6695" w:rsidP="00DC5ED2">
      <w:pPr>
        <w:ind w:right="240"/>
        <w:rPr>
          <w:rFonts w:eastAsia="Times New Roman"/>
          <w:szCs w:val="24"/>
        </w:rPr>
      </w:pPr>
      <w:r w:rsidRPr="001A38C3">
        <w:rPr>
          <w:rFonts w:eastAsia="Times New Roman"/>
          <w:b/>
          <w:bCs/>
          <w:i/>
          <w:iCs/>
          <w:szCs w:val="24"/>
        </w:rPr>
        <w:t>1985</w:t>
      </w:r>
    </w:p>
    <w:p w14:paraId="4A6F4E7B" w14:textId="62E921F5" w:rsidR="00CE6695" w:rsidRPr="001A38C3" w:rsidRDefault="001A38C3" w:rsidP="00D46B53">
      <w:pPr>
        <w:pStyle w:val="Odstavecseseznamem"/>
        <w:numPr>
          <w:ilvl w:val="0"/>
          <w:numId w:val="661"/>
        </w:numPr>
        <w:ind w:right="240"/>
        <w:rPr>
          <w:sz w:val="20"/>
          <w:szCs w:val="20"/>
        </w:rPr>
      </w:pPr>
      <w:r>
        <w:rPr>
          <w:rFonts w:eastAsia="Times New Roman"/>
          <w:szCs w:val="24"/>
        </w:rPr>
        <w:t>N</w:t>
      </w:r>
      <w:r w:rsidR="00CE6695" w:rsidRPr="001A38C3">
        <w:rPr>
          <w:rFonts w:eastAsia="Times New Roman"/>
          <w:szCs w:val="24"/>
        </w:rPr>
        <w:t>a základě</w:t>
      </w:r>
      <w:r w:rsidR="00CE6695" w:rsidRPr="001A38C3">
        <w:rPr>
          <w:rFonts w:eastAsia="Times New Roman"/>
          <w:b/>
          <w:bCs/>
          <w:szCs w:val="24"/>
        </w:rPr>
        <w:t xml:space="preserve"> </w:t>
      </w:r>
      <w:r w:rsidR="00CE6695" w:rsidRPr="001A38C3">
        <w:rPr>
          <w:rFonts w:eastAsia="Times New Roman"/>
          <w:szCs w:val="24"/>
        </w:rPr>
        <w:t>nařízení Rady se EMS stává mechanismem, do kterého je možno zapojit</w:t>
      </w:r>
      <w:r w:rsidR="00CE6695" w:rsidRPr="001A38C3">
        <w:rPr>
          <w:rFonts w:eastAsia="Times New Roman"/>
          <w:b/>
          <w:bCs/>
          <w:szCs w:val="24"/>
        </w:rPr>
        <w:t xml:space="preserve"> </w:t>
      </w:r>
      <w:r w:rsidR="00DC5ED2" w:rsidRPr="001A38C3">
        <w:rPr>
          <w:rFonts w:eastAsia="Times New Roman"/>
          <w:b/>
          <w:bCs/>
          <w:szCs w:val="24"/>
        </w:rPr>
        <w:br/>
      </w:r>
      <w:r w:rsidR="00CE6695" w:rsidRPr="001A38C3">
        <w:rPr>
          <w:rFonts w:eastAsia="Times New Roman"/>
          <w:b/>
          <w:bCs/>
          <w:szCs w:val="24"/>
        </w:rPr>
        <w:t xml:space="preserve">i nečlenské země </w:t>
      </w:r>
      <w:r w:rsidR="00CE6695" w:rsidRPr="001A38C3">
        <w:rPr>
          <w:rFonts w:eastAsia="Times New Roman"/>
          <w:szCs w:val="24"/>
        </w:rPr>
        <w:t>ES</w:t>
      </w:r>
    </w:p>
    <w:p w14:paraId="4A6F4E7C" w14:textId="3CFC28E2" w:rsidR="00CE6695" w:rsidRPr="00FC3B7C" w:rsidRDefault="00CE6695" w:rsidP="00DC5ED2">
      <w:pPr>
        <w:rPr>
          <w:sz w:val="20"/>
          <w:szCs w:val="20"/>
        </w:rPr>
      </w:pPr>
      <w:r w:rsidRPr="00FC3B7C">
        <w:rPr>
          <w:rFonts w:eastAsia="Times New Roman"/>
          <w:b/>
          <w:bCs/>
          <w:i/>
          <w:iCs/>
          <w:szCs w:val="24"/>
        </w:rPr>
        <w:t>1986 Jednotný evropský akt</w:t>
      </w:r>
    </w:p>
    <w:p w14:paraId="4A6F4E7D" w14:textId="4C896139" w:rsidR="00CE6695" w:rsidRPr="00FC3B7C" w:rsidRDefault="001A38C3" w:rsidP="00D46B53">
      <w:pPr>
        <w:numPr>
          <w:ilvl w:val="0"/>
          <w:numId w:val="426"/>
        </w:numPr>
        <w:tabs>
          <w:tab w:val="left" w:pos="840"/>
        </w:tabs>
        <w:ind w:left="840" w:hanging="368"/>
        <w:rPr>
          <w:rFonts w:eastAsia="Arial"/>
          <w:szCs w:val="24"/>
        </w:rPr>
      </w:pPr>
      <w:bookmarkStart w:id="415" w:name="page426"/>
      <w:bookmarkEnd w:id="415"/>
      <w:r>
        <w:rPr>
          <w:rFonts w:eastAsia="Times New Roman"/>
          <w:szCs w:val="24"/>
        </w:rPr>
        <w:t>H</w:t>
      </w:r>
      <w:r w:rsidR="00CE6695" w:rsidRPr="00FC3B7C">
        <w:rPr>
          <w:rFonts w:eastAsia="Times New Roman"/>
          <w:szCs w:val="24"/>
        </w:rPr>
        <w:t>ospodářská a měnová unie byla zařazena mezi cíle Smlouvy o EHS</w:t>
      </w:r>
    </w:p>
    <w:p w14:paraId="4A6F4E7E" w14:textId="77777777" w:rsidR="00CE6695" w:rsidRPr="004975AA" w:rsidRDefault="00CE6695" w:rsidP="00DC5ED2">
      <w:pPr>
        <w:rPr>
          <w:b/>
          <w:i/>
          <w:sz w:val="20"/>
          <w:szCs w:val="20"/>
        </w:rPr>
      </w:pPr>
      <w:r w:rsidRPr="004975AA">
        <w:rPr>
          <w:rFonts w:eastAsia="Times New Roman"/>
          <w:b/>
          <w:i/>
        </w:rPr>
        <w:t>1989 Delorsova zpráva o hospodářské a měnové unii</w:t>
      </w:r>
    </w:p>
    <w:p w14:paraId="4A6F4E7F" w14:textId="04CE6BCA" w:rsidR="00CE6695" w:rsidRPr="00FC3B7C" w:rsidRDefault="001A38C3" w:rsidP="00D46B53">
      <w:pPr>
        <w:numPr>
          <w:ilvl w:val="0"/>
          <w:numId w:val="427"/>
        </w:numPr>
        <w:tabs>
          <w:tab w:val="left" w:pos="980"/>
        </w:tabs>
        <w:ind w:left="980" w:right="80" w:hanging="351"/>
        <w:rPr>
          <w:rFonts w:eastAsia="Arial"/>
          <w:b/>
          <w:bCs/>
          <w:sz w:val="23"/>
          <w:szCs w:val="23"/>
        </w:rPr>
      </w:pPr>
      <w:r>
        <w:rPr>
          <w:rFonts w:eastAsia="Times New Roman"/>
          <w:szCs w:val="24"/>
        </w:rPr>
        <w:t>P</w:t>
      </w:r>
      <w:r w:rsidR="00CE6695" w:rsidRPr="00FC3B7C">
        <w:rPr>
          <w:rFonts w:eastAsia="Times New Roman"/>
          <w:szCs w:val="24"/>
        </w:rPr>
        <w:t xml:space="preserve">lán na </w:t>
      </w:r>
      <w:r w:rsidR="00CE6695" w:rsidRPr="00FC3B7C">
        <w:rPr>
          <w:rFonts w:eastAsia="Times New Roman"/>
          <w:b/>
          <w:bCs/>
          <w:szCs w:val="24"/>
        </w:rPr>
        <w:t>vytvoření měnové unie do deseti let</w:t>
      </w:r>
      <w:r w:rsidR="00CE6695" w:rsidRPr="00FC3B7C">
        <w:rPr>
          <w:rFonts w:eastAsia="Times New Roman"/>
          <w:szCs w:val="24"/>
        </w:rPr>
        <w:t>, byl schválen jako Strategie Evropské hospodářské a měnové unie</w:t>
      </w:r>
    </w:p>
    <w:p w14:paraId="4A6F4E80" w14:textId="5C48D1F8" w:rsidR="00DC5ED2" w:rsidRPr="00DC5ED2" w:rsidRDefault="001A38C3" w:rsidP="00D46B53">
      <w:pPr>
        <w:numPr>
          <w:ilvl w:val="0"/>
          <w:numId w:val="427"/>
        </w:numPr>
        <w:tabs>
          <w:tab w:val="left" w:pos="980"/>
        </w:tabs>
        <w:ind w:left="980" w:right="80" w:hanging="351"/>
        <w:rPr>
          <w:rFonts w:eastAsia="Arial"/>
          <w:b/>
          <w:bCs/>
        </w:rPr>
      </w:pPr>
      <w:r>
        <w:rPr>
          <w:rFonts w:eastAsia="Times New Roman"/>
          <w:sz w:val="23"/>
          <w:szCs w:val="23"/>
        </w:rPr>
        <w:t>Ú</w:t>
      </w:r>
      <w:r w:rsidR="00CE6695" w:rsidRPr="00FC3B7C">
        <w:rPr>
          <w:rFonts w:eastAsia="Times New Roman"/>
          <w:sz w:val="23"/>
          <w:szCs w:val="23"/>
        </w:rPr>
        <w:t xml:space="preserve">plná </w:t>
      </w:r>
      <w:r w:rsidR="00CE6695" w:rsidRPr="00FC3B7C">
        <w:rPr>
          <w:rFonts w:eastAsia="Times New Roman"/>
          <w:b/>
          <w:bCs/>
          <w:sz w:val="23"/>
          <w:szCs w:val="23"/>
        </w:rPr>
        <w:t>liberalizace kapitálových transakcí</w:t>
      </w:r>
      <w:r w:rsidR="00CE6695" w:rsidRPr="00FC3B7C">
        <w:rPr>
          <w:rFonts w:eastAsia="Times New Roman"/>
          <w:sz w:val="23"/>
          <w:szCs w:val="23"/>
        </w:rPr>
        <w:t xml:space="preserve"> a plná integrace finančních trhů, </w:t>
      </w:r>
      <w:r w:rsidR="00CE6695" w:rsidRPr="00FC3B7C">
        <w:rPr>
          <w:rFonts w:eastAsia="Times New Roman"/>
          <w:b/>
          <w:bCs/>
          <w:sz w:val="23"/>
          <w:szCs w:val="23"/>
        </w:rPr>
        <w:t>úplná</w:t>
      </w:r>
      <w:r w:rsidR="00CE6695" w:rsidRPr="00FC3B7C">
        <w:rPr>
          <w:rFonts w:eastAsia="Times New Roman"/>
          <w:sz w:val="23"/>
          <w:szCs w:val="23"/>
        </w:rPr>
        <w:t xml:space="preserve"> </w:t>
      </w:r>
    </w:p>
    <w:p w14:paraId="4A6F4E81" w14:textId="1AAA5E5A" w:rsidR="00CE6695" w:rsidRPr="00FC3B7C" w:rsidRDefault="001A38C3" w:rsidP="00D46B53">
      <w:pPr>
        <w:numPr>
          <w:ilvl w:val="0"/>
          <w:numId w:val="427"/>
        </w:numPr>
        <w:tabs>
          <w:tab w:val="left" w:pos="980"/>
        </w:tabs>
        <w:ind w:left="980" w:right="80" w:hanging="351"/>
        <w:rPr>
          <w:rFonts w:eastAsia="Arial"/>
          <w:b/>
          <w:bCs/>
        </w:rPr>
      </w:pPr>
      <w:r>
        <w:rPr>
          <w:rFonts w:eastAsia="Times New Roman"/>
          <w:b/>
          <w:bCs/>
          <w:sz w:val="23"/>
          <w:szCs w:val="23"/>
        </w:rPr>
        <w:t>N</w:t>
      </w:r>
      <w:r w:rsidR="00CE6695" w:rsidRPr="00FC3B7C">
        <w:rPr>
          <w:rFonts w:eastAsia="Times New Roman"/>
          <w:b/>
          <w:bCs/>
          <w:sz w:val="23"/>
          <w:szCs w:val="23"/>
        </w:rPr>
        <w:t>eodvolatelná konvertibilita měn</w:t>
      </w:r>
      <w:r w:rsidR="00CE6695" w:rsidRPr="00FC3B7C">
        <w:rPr>
          <w:rFonts w:eastAsia="Times New Roman"/>
          <w:sz w:val="23"/>
          <w:szCs w:val="23"/>
        </w:rPr>
        <w:t>,</w:t>
      </w:r>
      <w:r w:rsidR="00CE6695" w:rsidRPr="00FC3B7C">
        <w:rPr>
          <w:rFonts w:eastAsia="Times New Roman"/>
          <w:b/>
          <w:bCs/>
          <w:sz w:val="23"/>
          <w:szCs w:val="23"/>
        </w:rPr>
        <w:t xml:space="preserve"> odstranění rozpětí</w:t>
      </w:r>
      <w:r w:rsidR="00CE6695" w:rsidRPr="00FC3B7C">
        <w:rPr>
          <w:rFonts w:eastAsia="Times New Roman"/>
          <w:sz w:val="23"/>
          <w:szCs w:val="23"/>
        </w:rPr>
        <w:t>, v němž</w:t>
      </w:r>
      <w:r w:rsidR="00CE6695" w:rsidRPr="00FC3B7C">
        <w:rPr>
          <w:rFonts w:eastAsia="Times New Roman"/>
          <w:b/>
          <w:bCs/>
          <w:sz w:val="23"/>
          <w:szCs w:val="23"/>
        </w:rPr>
        <w:t xml:space="preserve"> </w:t>
      </w:r>
      <w:r w:rsidR="00CE6695" w:rsidRPr="00FC3B7C">
        <w:rPr>
          <w:rFonts w:eastAsia="Times New Roman"/>
          <w:sz w:val="23"/>
          <w:szCs w:val="23"/>
        </w:rPr>
        <w:t>se mohly kursy</w:t>
      </w:r>
      <w:r w:rsidR="00CE6695" w:rsidRPr="00FC3B7C">
        <w:rPr>
          <w:rFonts w:eastAsia="Times New Roman"/>
          <w:b/>
          <w:bCs/>
          <w:sz w:val="23"/>
          <w:szCs w:val="23"/>
        </w:rPr>
        <w:t xml:space="preserve"> </w:t>
      </w:r>
      <w:r w:rsidR="00CE6695" w:rsidRPr="00FC3B7C">
        <w:rPr>
          <w:rFonts w:eastAsia="Times New Roman"/>
          <w:sz w:val="23"/>
          <w:szCs w:val="23"/>
        </w:rPr>
        <w:t xml:space="preserve">měn členských zemí pohybovat a neodvolatelné </w:t>
      </w:r>
      <w:r w:rsidR="00CE6695" w:rsidRPr="00FC3B7C">
        <w:rPr>
          <w:rFonts w:eastAsia="Times New Roman"/>
          <w:b/>
          <w:bCs/>
          <w:sz w:val="23"/>
          <w:szCs w:val="23"/>
        </w:rPr>
        <w:t>stanovení parit jednotlivých měn</w:t>
      </w:r>
    </w:p>
    <w:p w14:paraId="4A6F4E82" w14:textId="34923199" w:rsidR="00CE6695" w:rsidRPr="00FC3B7C" w:rsidRDefault="001A38C3" w:rsidP="00D46B53">
      <w:pPr>
        <w:numPr>
          <w:ilvl w:val="0"/>
          <w:numId w:val="427"/>
        </w:numPr>
        <w:tabs>
          <w:tab w:val="left" w:pos="980"/>
        </w:tabs>
        <w:ind w:left="980" w:right="80" w:hanging="351"/>
        <w:rPr>
          <w:rFonts w:eastAsia="Arial"/>
          <w:b/>
          <w:bCs/>
          <w:sz w:val="23"/>
          <w:szCs w:val="23"/>
        </w:rPr>
      </w:pPr>
      <w:r>
        <w:rPr>
          <w:rFonts w:eastAsia="Times New Roman"/>
          <w:szCs w:val="24"/>
        </w:rPr>
        <w:t>N</w:t>
      </w:r>
      <w:r w:rsidR="00CE6695" w:rsidRPr="00FC3B7C">
        <w:rPr>
          <w:rFonts w:eastAsia="Times New Roman"/>
          <w:szCs w:val="24"/>
        </w:rPr>
        <w:t xml:space="preserve">a jednání v Římě se dospělo k základní jednotě o konečném stavu Evropského měnového institutu; na počátku roku </w:t>
      </w:r>
      <w:r w:rsidR="00CE6695" w:rsidRPr="00FC3B7C">
        <w:rPr>
          <w:rFonts w:eastAsia="Times New Roman"/>
          <w:b/>
          <w:bCs/>
          <w:szCs w:val="24"/>
        </w:rPr>
        <w:t>1990</w:t>
      </w:r>
      <w:r w:rsidR="00CE6695" w:rsidRPr="00FC3B7C">
        <w:rPr>
          <w:rFonts w:eastAsia="Times New Roman"/>
          <w:szCs w:val="24"/>
        </w:rPr>
        <w:t xml:space="preserve"> ministři financí schválili statut </w:t>
      </w:r>
      <w:r w:rsidR="00CE6695" w:rsidRPr="00FC3B7C">
        <w:rPr>
          <w:rFonts w:eastAsia="Times New Roman"/>
          <w:b/>
          <w:bCs/>
          <w:szCs w:val="24"/>
        </w:rPr>
        <w:t xml:space="preserve">Evropské centrální banky </w:t>
      </w:r>
      <w:r w:rsidR="00CE6695" w:rsidRPr="00FC3B7C">
        <w:rPr>
          <w:rFonts w:eastAsia="Times New Roman"/>
          <w:szCs w:val="24"/>
        </w:rPr>
        <w:t>(úkolem bylo zajišťování</w:t>
      </w:r>
      <w:r w:rsidR="00CE6695" w:rsidRPr="00FC3B7C">
        <w:rPr>
          <w:rFonts w:eastAsia="Times New Roman"/>
          <w:b/>
          <w:bCs/>
          <w:szCs w:val="24"/>
        </w:rPr>
        <w:t xml:space="preserve"> stability měny </w:t>
      </w:r>
      <w:r w:rsidR="00CE6695" w:rsidRPr="00FC3B7C">
        <w:rPr>
          <w:rFonts w:eastAsia="Times New Roman"/>
          <w:szCs w:val="24"/>
        </w:rPr>
        <w:t>a</w:t>
      </w:r>
      <w:r w:rsidR="00CE6695" w:rsidRPr="00FC3B7C">
        <w:rPr>
          <w:rFonts w:eastAsia="Times New Roman"/>
          <w:b/>
          <w:bCs/>
          <w:szCs w:val="24"/>
        </w:rPr>
        <w:t xml:space="preserve"> politická nezávislost</w:t>
      </w:r>
      <w:r w:rsidR="00CE6695" w:rsidRPr="00FC3B7C">
        <w:rPr>
          <w:rFonts w:eastAsia="Times New Roman"/>
          <w:szCs w:val="24"/>
        </w:rPr>
        <w:t>)</w:t>
      </w:r>
    </w:p>
    <w:p w14:paraId="24234D97" w14:textId="77777777" w:rsidR="001A38C3" w:rsidRPr="001A38C3" w:rsidRDefault="00CE6695" w:rsidP="001A38C3">
      <w:pPr>
        <w:tabs>
          <w:tab w:val="left" w:pos="980"/>
        </w:tabs>
        <w:ind w:right="80"/>
        <w:rPr>
          <w:rFonts w:eastAsia="Times New Roman"/>
          <w:b/>
          <w:bCs/>
          <w:i/>
          <w:iCs/>
          <w:sz w:val="23"/>
          <w:szCs w:val="23"/>
        </w:rPr>
      </w:pPr>
      <w:r w:rsidRPr="001A38C3">
        <w:rPr>
          <w:rFonts w:eastAsia="Times New Roman"/>
          <w:b/>
          <w:bCs/>
          <w:i/>
          <w:iCs/>
          <w:sz w:val="23"/>
          <w:szCs w:val="23"/>
        </w:rPr>
        <w:t>1990</w:t>
      </w:r>
    </w:p>
    <w:p w14:paraId="4A6F4E83" w14:textId="1BCBBB74" w:rsidR="00CE6695" w:rsidRPr="001A38C3" w:rsidRDefault="00CE6695" w:rsidP="00D46B53">
      <w:pPr>
        <w:pStyle w:val="Odstavecseseznamem"/>
        <w:numPr>
          <w:ilvl w:val="0"/>
          <w:numId w:val="661"/>
        </w:numPr>
        <w:tabs>
          <w:tab w:val="left" w:pos="980"/>
        </w:tabs>
        <w:ind w:right="80"/>
        <w:rPr>
          <w:rFonts w:eastAsia="Arial"/>
          <w:b/>
          <w:bCs/>
        </w:rPr>
      </w:pPr>
      <w:r w:rsidRPr="001A38C3">
        <w:rPr>
          <w:rFonts w:eastAsia="Times New Roman"/>
          <w:sz w:val="23"/>
          <w:szCs w:val="23"/>
        </w:rPr>
        <w:t>Komise se vyjádřila pro jednotnou měnu z důvodu závaznější</w:t>
      </w:r>
      <w:r w:rsidRPr="001A38C3">
        <w:rPr>
          <w:rFonts w:eastAsia="Times New Roman"/>
          <w:b/>
          <w:bCs/>
          <w:sz w:val="23"/>
          <w:szCs w:val="23"/>
        </w:rPr>
        <w:t xml:space="preserve"> </w:t>
      </w:r>
      <w:r w:rsidRPr="001A38C3">
        <w:rPr>
          <w:rFonts w:eastAsia="Times New Roman"/>
          <w:sz w:val="23"/>
          <w:szCs w:val="23"/>
        </w:rPr>
        <w:t>neodvolatelnosti kurzů a také proto, že jednotná měna by vyloučila jakékoli náklady</w:t>
      </w:r>
    </w:p>
    <w:p w14:paraId="4A6F4E84" w14:textId="77777777" w:rsidR="00CE6695" w:rsidRPr="004975AA" w:rsidRDefault="00CE6695" w:rsidP="00DC5ED2">
      <w:pPr>
        <w:rPr>
          <w:b/>
          <w:i/>
          <w:sz w:val="20"/>
          <w:szCs w:val="20"/>
        </w:rPr>
      </w:pPr>
      <w:r w:rsidRPr="004975AA">
        <w:rPr>
          <w:rFonts w:eastAsia="Times New Roman"/>
          <w:b/>
          <w:i/>
        </w:rPr>
        <w:t>1992 Maastrichtská smlouva</w:t>
      </w:r>
    </w:p>
    <w:p w14:paraId="4A6F4E85" w14:textId="4967DA35" w:rsidR="00CE6695" w:rsidRPr="00FC3B7C" w:rsidRDefault="00CE6695" w:rsidP="00D46B53">
      <w:pPr>
        <w:numPr>
          <w:ilvl w:val="0"/>
          <w:numId w:val="428"/>
        </w:numPr>
        <w:tabs>
          <w:tab w:val="left" w:pos="840"/>
        </w:tabs>
        <w:ind w:left="840" w:right="80" w:hanging="368"/>
        <w:rPr>
          <w:rFonts w:eastAsia="Arial"/>
          <w:szCs w:val="24"/>
        </w:rPr>
      </w:pPr>
      <w:r w:rsidRPr="00FC3B7C">
        <w:rPr>
          <w:rFonts w:eastAsia="Times New Roman"/>
          <w:szCs w:val="24"/>
        </w:rPr>
        <w:t xml:space="preserve">Hospodářská a měnová unie znamená: "neodvolatelně stanovit vzájemné měnové kursy měn členských států a zavést jednotnou měnu ECU, jakož i stanovit </w:t>
      </w:r>
      <w:r w:rsidR="00DC5ED2">
        <w:rPr>
          <w:rFonts w:eastAsia="Times New Roman"/>
          <w:szCs w:val="24"/>
        </w:rPr>
        <w:br/>
      </w:r>
      <w:r w:rsidRPr="00FC3B7C">
        <w:rPr>
          <w:rFonts w:eastAsia="Times New Roman"/>
          <w:szCs w:val="24"/>
        </w:rPr>
        <w:t>a provádět jednotnou peněžní a kursovou politiku", přičemž "přednostním cílem obou politik je cenová stabilita"215</w:t>
      </w:r>
    </w:p>
    <w:p w14:paraId="4A6F4E86" w14:textId="77777777" w:rsidR="00CE6695" w:rsidRPr="00FC3B7C" w:rsidRDefault="00CE6695" w:rsidP="00D46B53">
      <w:pPr>
        <w:numPr>
          <w:ilvl w:val="0"/>
          <w:numId w:val="428"/>
        </w:numPr>
        <w:tabs>
          <w:tab w:val="left" w:pos="840"/>
        </w:tabs>
        <w:ind w:left="840" w:hanging="368"/>
        <w:rPr>
          <w:rFonts w:eastAsia="Arial"/>
          <w:szCs w:val="24"/>
        </w:rPr>
      </w:pPr>
      <w:r w:rsidRPr="00FC3B7C">
        <w:rPr>
          <w:rFonts w:eastAsia="Times New Roman"/>
          <w:b/>
          <w:bCs/>
          <w:szCs w:val="24"/>
        </w:rPr>
        <w:t xml:space="preserve">Implementace </w:t>
      </w:r>
      <w:r w:rsidRPr="00FC3B7C">
        <w:rPr>
          <w:rFonts w:eastAsia="Times New Roman"/>
          <w:szCs w:val="24"/>
        </w:rPr>
        <w:t>závěrů</w:t>
      </w:r>
      <w:r w:rsidRPr="00FC3B7C">
        <w:rPr>
          <w:rFonts w:eastAsia="Times New Roman"/>
          <w:b/>
          <w:bCs/>
          <w:szCs w:val="24"/>
        </w:rPr>
        <w:t xml:space="preserve"> Delorsovy zprávy </w:t>
      </w:r>
      <w:r w:rsidRPr="00FC3B7C">
        <w:rPr>
          <w:rFonts w:eastAsia="Times New Roman"/>
          <w:szCs w:val="24"/>
        </w:rPr>
        <w:t>do smlouvy,</w:t>
      </w:r>
      <w:r w:rsidRPr="00FC3B7C">
        <w:rPr>
          <w:rFonts w:eastAsia="Times New Roman"/>
          <w:b/>
          <w:bCs/>
          <w:szCs w:val="24"/>
        </w:rPr>
        <w:t xml:space="preserve"> vytvořit instituce </w:t>
      </w:r>
      <w:r w:rsidRPr="00FC3B7C">
        <w:rPr>
          <w:rFonts w:eastAsia="Times New Roman"/>
          <w:szCs w:val="24"/>
        </w:rPr>
        <w:t>nutné</w:t>
      </w:r>
      <w:r w:rsidRPr="00FC3B7C">
        <w:rPr>
          <w:rFonts w:eastAsia="Times New Roman"/>
          <w:b/>
          <w:bCs/>
          <w:szCs w:val="24"/>
        </w:rPr>
        <w:t xml:space="preserve"> </w:t>
      </w:r>
      <w:r w:rsidR="00DC5ED2">
        <w:rPr>
          <w:rFonts w:eastAsia="Times New Roman"/>
          <w:b/>
          <w:bCs/>
          <w:szCs w:val="24"/>
        </w:rPr>
        <w:br/>
      </w:r>
      <w:r w:rsidRPr="00FC3B7C">
        <w:rPr>
          <w:rFonts w:eastAsia="Times New Roman"/>
          <w:b/>
          <w:bCs/>
          <w:szCs w:val="24"/>
        </w:rPr>
        <w:t>k zavedení eura</w:t>
      </w:r>
    </w:p>
    <w:p w14:paraId="4A6F4E87" w14:textId="77777777" w:rsidR="00CE6695" w:rsidRPr="00FC3B7C" w:rsidRDefault="00CE6695" w:rsidP="00D46B53">
      <w:pPr>
        <w:numPr>
          <w:ilvl w:val="0"/>
          <w:numId w:val="428"/>
        </w:numPr>
        <w:tabs>
          <w:tab w:val="left" w:pos="840"/>
        </w:tabs>
        <w:ind w:left="840" w:hanging="368"/>
        <w:rPr>
          <w:rFonts w:eastAsia="Arial"/>
          <w:szCs w:val="24"/>
        </w:rPr>
      </w:pPr>
      <w:r w:rsidRPr="00FC3B7C">
        <w:rPr>
          <w:rFonts w:eastAsia="Times New Roman"/>
          <w:szCs w:val="24"/>
        </w:rPr>
        <w:t>Stanoveny tři fáze přechodu ke společné měně:</w:t>
      </w:r>
    </w:p>
    <w:p w14:paraId="4A6F4E88" w14:textId="6E2010B0" w:rsidR="00CE6695" w:rsidRPr="00FC3B7C" w:rsidRDefault="00CE6695" w:rsidP="00D46B53">
      <w:pPr>
        <w:numPr>
          <w:ilvl w:val="0"/>
          <w:numId w:val="429"/>
        </w:numPr>
        <w:tabs>
          <w:tab w:val="left" w:pos="1560"/>
        </w:tabs>
        <w:ind w:left="1560" w:hanging="368"/>
        <w:rPr>
          <w:rFonts w:eastAsia="Courier New"/>
          <w:szCs w:val="24"/>
        </w:rPr>
      </w:pPr>
      <w:r w:rsidRPr="00FC3B7C">
        <w:rPr>
          <w:rFonts w:eastAsia="Times New Roman"/>
          <w:b/>
          <w:bCs/>
          <w:szCs w:val="24"/>
        </w:rPr>
        <w:t>1.</w:t>
      </w:r>
      <w:r w:rsidR="003376E1">
        <w:rPr>
          <w:rFonts w:eastAsia="Times New Roman"/>
          <w:b/>
          <w:bCs/>
          <w:szCs w:val="24"/>
        </w:rPr>
        <w:t xml:space="preserve"> </w:t>
      </w:r>
      <w:r w:rsidRPr="00FC3B7C">
        <w:rPr>
          <w:rFonts w:eastAsia="Times New Roman"/>
          <w:b/>
          <w:bCs/>
          <w:szCs w:val="24"/>
        </w:rPr>
        <w:t>fáze</w:t>
      </w:r>
      <w:r w:rsidR="003376E1">
        <w:rPr>
          <w:rFonts w:eastAsia="Times New Roman"/>
          <w:b/>
          <w:bCs/>
          <w:szCs w:val="24"/>
        </w:rPr>
        <w:t xml:space="preserve"> </w:t>
      </w:r>
      <w:r w:rsidRPr="00FC3B7C">
        <w:rPr>
          <w:rFonts w:eastAsia="Times New Roman"/>
          <w:szCs w:val="24"/>
        </w:rPr>
        <w:t>(</w:t>
      </w:r>
      <w:r w:rsidRPr="00FC3B7C">
        <w:rPr>
          <w:rFonts w:eastAsia="Times New Roman"/>
          <w:b/>
          <w:bCs/>
          <w:szCs w:val="24"/>
        </w:rPr>
        <w:t>1990-1993</w:t>
      </w:r>
      <w:r w:rsidRPr="00FC3B7C">
        <w:rPr>
          <w:rFonts w:eastAsia="Times New Roman"/>
          <w:szCs w:val="24"/>
        </w:rPr>
        <w:t>):</w:t>
      </w:r>
      <w:r w:rsidR="003376E1">
        <w:rPr>
          <w:rFonts w:eastAsia="Times New Roman"/>
          <w:b/>
          <w:bCs/>
          <w:szCs w:val="24"/>
        </w:rPr>
        <w:t xml:space="preserve"> </w:t>
      </w:r>
      <w:r w:rsidRPr="00FC3B7C">
        <w:rPr>
          <w:rFonts w:eastAsia="Times New Roman"/>
          <w:b/>
          <w:bCs/>
          <w:szCs w:val="24"/>
        </w:rPr>
        <w:t>odstranění</w:t>
      </w:r>
      <w:r w:rsidR="003376E1">
        <w:rPr>
          <w:rFonts w:eastAsia="Times New Roman"/>
          <w:b/>
          <w:bCs/>
          <w:szCs w:val="24"/>
        </w:rPr>
        <w:t xml:space="preserve"> </w:t>
      </w:r>
      <w:r w:rsidRPr="00FC3B7C">
        <w:rPr>
          <w:rFonts w:eastAsia="Times New Roman"/>
          <w:szCs w:val="24"/>
        </w:rPr>
        <w:t>posledních</w:t>
      </w:r>
      <w:r w:rsidR="003376E1">
        <w:rPr>
          <w:rFonts w:eastAsia="Times New Roman"/>
          <w:b/>
          <w:bCs/>
          <w:szCs w:val="24"/>
        </w:rPr>
        <w:t xml:space="preserve"> </w:t>
      </w:r>
      <w:r w:rsidRPr="00FC3B7C">
        <w:rPr>
          <w:rFonts w:eastAsia="Times New Roman"/>
          <w:b/>
          <w:bCs/>
          <w:szCs w:val="24"/>
        </w:rPr>
        <w:t>překážek</w:t>
      </w:r>
      <w:r w:rsidR="003376E1">
        <w:rPr>
          <w:rFonts w:eastAsia="Times New Roman"/>
          <w:b/>
          <w:bCs/>
          <w:szCs w:val="24"/>
        </w:rPr>
        <w:t xml:space="preserve"> </w:t>
      </w:r>
      <w:r w:rsidRPr="00FC3B7C">
        <w:rPr>
          <w:rFonts w:eastAsia="Times New Roman"/>
          <w:b/>
          <w:bCs/>
          <w:szCs w:val="24"/>
        </w:rPr>
        <w:t>volného</w:t>
      </w:r>
      <w:r w:rsidR="003376E1">
        <w:rPr>
          <w:rFonts w:eastAsia="Times New Roman"/>
          <w:b/>
          <w:bCs/>
          <w:szCs w:val="24"/>
        </w:rPr>
        <w:t xml:space="preserve"> </w:t>
      </w:r>
      <w:r w:rsidRPr="00FC3B7C">
        <w:rPr>
          <w:rFonts w:eastAsia="Times New Roman"/>
          <w:b/>
          <w:bCs/>
          <w:szCs w:val="24"/>
        </w:rPr>
        <w:t>pohybu</w:t>
      </w:r>
    </w:p>
    <w:p w14:paraId="4A6F4E89" w14:textId="77777777" w:rsidR="00CE6695" w:rsidRPr="00FC3B7C" w:rsidRDefault="00CE6695" w:rsidP="00DC5ED2">
      <w:pPr>
        <w:ind w:left="1560"/>
        <w:rPr>
          <w:sz w:val="20"/>
          <w:szCs w:val="20"/>
        </w:rPr>
      </w:pPr>
      <w:r w:rsidRPr="00FC3B7C">
        <w:rPr>
          <w:rFonts w:eastAsia="Times New Roman"/>
          <w:b/>
          <w:bCs/>
          <w:szCs w:val="24"/>
        </w:rPr>
        <w:t>kapitálu</w:t>
      </w:r>
    </w:p>
    <w:p w14:paraId="4A6F4E8A" w14:textId="2C9D5610" w:rsidR="00CE6695" w:rsidRPr="00FC3B7C" w:rsidRDefault="00CE6695" w:rsidP="00D46B53">
      <w:pPr>
        <w:numPr>
          <w:ilvl w:val="0"/>
          <w:numId w:val="430"/>
        </w:numPr>
        <w:tabs>
          <w:tab w:val="left" w:pos="1560"/>
        </w:tabs>
        <w:ind w:left="1560" w:hanging="368"/>
        <w:rPr>
          <w:rFonts w:eastAsia="Courier New"/>
          <w:szCs w:val="24"/>
        </w:rPr>
      </w:pPr>
      <w:r w:rsidRPr="00FC3B7C">
        <w:rPr>
          <w:rFonts w:eastAsia="Times New Roman"/>
          <w:b/>
          <w:bCs/>
          <w:szCs w:val="24"/>
        </w:rPr>
        <w:t xml:space="preserve">2. fáze </w:t>
      </w:r>
      <w:r w:rsidRPr="00FC3B7C">
        <w:rPr>
          <w:rFonts w:eastAsia="Times New Roman"/>
          <w:szCs w:val="24"/>
        </w:rPr>
        <w:t>(</w:t>
      </w:r>
      <w:r w:rsidRPr="00FC3B7C">
        <w:rPr>
          <w:rFonts w:eastAsia="Times New Roman"/>
          <w:b/>
          <w:bCs/>
          <w:szCs w:val="24"/>
        </w:rPr>
        <w:t>1994-1998</w:t>
      </w:r>
      <w:r w:rsidRPr="00FC3B7C">
        <w:rPr>
          <w:rFonts w:eastAsia="Times New Roman"/>
          <w:szCs w:val="24"/>
        </w:rPr>
        <w:t>): zřízen</w:t>
      </w:r>
      <w:r w:rsidRPr="00FC3B7C">
        <w:rPr>
          <w:rFonts w:eastAsia="Times New Roman"/>
          <w:b/>
          <w:bCs/>
          <w:szCs w:val="24"/>
        </w:rPr>
        <w:t xml:space="preserve"> Evropský měnový institut (EMI) </w:t>
      </w:r>
      <w:r w:rsidRPr="00FC3B7C">
        <w:rPr>
          <w:rFonts w:eastAsia="Times New Roman"/>
          <w:szCs w:val="24"/>
        </w:rPr>
        <w:t>jako</w:t>
      </w:r>
      <w:r w:rsidRPr="00FC3B7C">
        <w:rPr>
          <w:rFonts w:eastAsia="Times New Roman"/>
          <w:b/>
          <w:bCs/>
          <w:szCs w:val="24"/>
        </w:rPr>
        <w:t xml:space="preserve"> </w:t>
      </w:r>
      <w:r w:rsidRPr="00FC3B7C">
        <w:rPr>
          <w:rFonts w:eastAsia="Times New Roman"/>
          <w:szCs w:val="24"/>
        </w:rPr>
        <w:t xml:space="preserve">předchůdce </w:t>
      </w:r>
      <w:r w:rsidRPr="00FC3B7C">
        <w:rPr>
          <w:rFonts w:eastAsia="Times New Roman"/>
          <w:b/>
          <w:bCs/>
          <w:szCs w:val="24"/>
        </w:rPr>
        <w:t>ECB</w:t>
      </w:r>
      <w:r w:rsidRPr="00FC3B7C">
        <w:rPr>
          <w:rFonts w:eastAsia="Times New Roman"/>
          <w:szCs w:val="24"/>
        </w:rPr>
        <w:t xml:space="preserve"> (založena </w:t>
      </w:r>
      <w:r w:rsidRPr="00FC3B7C">
        <w:rPr>
          <w:rFonts w:eastAsia="Times New Roman"/>
          <w:b/>
          <w:bCs/>
          <w:szCs w:val="24"/>
        </w:rPr>
        <w:t>1998</w:t>
      </w:r>
      <w:r w:rsidR="00124942">
        <w:rPr>
          <w:rFonts w:eastAsia="Times New Roman"/>
          <w:szCs w:val="24"/>
        </w:rPr>
        <w:t xml:space="preserve"> - volí se 6</w:t>
      </w:r>
      <w:r w:rsidRPr="00FC3B7C">
        <w:rPr>
          <w:rFonts w:eastAsia="Times New Roman"/>
          <w:szCs w:val="24"/>
        </w:rPr>
        <w:t xml:space="preserve"> členné direktorium na </w:t>
      </w:r>
      <w:r w:rsidRPr="00FC3B7C">
        <w:rPr>
          <w:rFonts w:eastAsia="Times New Roman"/>
          <w:b/>
          <w:bCs/>
          <w:szCs w:val="24"/>
        </w:rPr>
        <w:t>8 let</w:t>
      </w:r>
      <w:r w:rsidRPr="00FC3B7C">
        <w:rPr>
          <w:rFonts w:eastAsia="Times New Roman"/>
          <w:szCs w:val="24"/>
        </w:rPr>
        <w:t>); plnění konvergenčních kritérií, aby rozdíly mezi zeměmi neohrožovaly</w:t>
      </w:r>
    </w:p>
    <w:p w14:paraId="4A6F4E8B" w14:textId="77777777" w:rsidR="00CE6695" w:rsidRPr="00FC3B7C" w:rsidRDefault="00CE6695" w:rsidP="00DC5ED2">
      <w:pPr>
        <w:ind w:left="1560"/>
        <w:rPr>
          <w:sz w:val="20"/>
          <w:szCs w:val="20"/>
        </w:rPr>
      </w:pPr>
      <w:r w:rsidRPr="00FC3B7C">
        <w:rPr>
          <w:rFonts w:eastAsia="Times New Roman"/>
          <w:szCs w:val="24"/>
        </w:rPr>
        <w:lastRenderedPageBreak/>
        <w:t>měnovou stabilitu potřebnou pro přechod k poslední etapě</w:t>
      </w:r>
    </w:p>
    <w:p w14:paraId="3AB87C7C" w14:textId="77777777" w:rsidR="001A38C3" w:rsidRDefault="00CE6695" w:rsidP="00D46B53">
      <w:pPr>
        <w:numPr>
          <w:ilvl w:val="0"/>
          <w:numId w:val="431"/>
        </w:numPr>
        <w:tabs>
          <w:tab w:val="left" w:pos="1560"/>
        </w:tabs>
        <w:ind w:left="1560" w:hanging="368"/>
        <w:rPr>
          <w:rFonts w:eastAsia="Courier New"/>
          <w:szCs w:val="24"/>
        </w:rPr>
      </w:pPr>
      <w:r w:rsidRPr="00FC3B7C">
        <w:rPr>
          <w:rFonts w:eastAsia="Times New Roman"/>
          <w:b/>
          <w:bCs/>
          <w:szCs w:val="24"/>
        </w:rPr>
        <w:t xml:space="preserve">3. fáze </w:t>
      </w:r>
      <w:r w:rsidRPr="00FC3B7C">
        <w:rPr>
          <w:rFonts w:eastAsia="Times New Roman"/>
          <w:szCs w:val="24"/>
        </w:rPr>
        <w:t>(</w:t>
      </w:r>
      <w:r w:rsidRPr="00FC3B7C">
        <w:rPr>
          <w:rFonts w:eastAsia="Times New Roman"/>
          <w:b/>
          <w:bCs/>
          <w:szCs w:val="24"/>
        </w:rPr>
        <w:t>1999-2002</w:t>
      </w:r>
      <w:r w:rsidRPr="00FC3B7C">
        <w:rPr>
          <w:rFonts w:eastAsia="Times New Roman"/>
          <w:szCs w:val="24"/>
        </w:rPr>
        <w:t>): od 1. 1.</w:t>
      </w:r>
      <w:r w:rsidRPr="00FC3B7C">
        <w:rPr>
          <w:rFonts w:eastAsia="Times New Roman"/>
          <w:b/>
          <w:bCs/>
          <w:szCs w:val="24"/>
        </w:rPr>
        <w:t xml:space="preserve"> 1999 </w:t>
      </w:r>
      <w:r w:rsidRPr="00FC3B7C">
        <w:rPr>
          <w:rFonts w:eastAsia="Times New Roman"/>
          <w:szCs w:val="24"/>
        </w:rPr>
        <w:t>zavedení</w:t>
      </w:r>
      <w:r w:rsidRPr="00FC3B7C">
        <w:rPr>
          <w:rFonts w:eastAsia="Times New Roman"/>
          <w:b/>
          <w:bCs/>
          <w:szCs w:val="24"/>
        </w:rPr>
        <w:t xml:space="preserve"> měnové unie v 11 zemích </w:t>
      </w:r>
      <w:r w:rsidRPr="00FC3B7C">
        <w:rPr>
          <w:rFonts w:eastAsia="Times New Roman"/>
          <w:szCs w:val="24"/>
        </w:rPr>
        <w:t xml:space="preserve">(neodvolatelně </w:t>
      </w:r>
      <w:r w:rsidRPr="00FC3B7C">
        <w:rPr>
          <w:rFonts w:eastAsia="Times New Roman"/>
          <w:b/>
          <w:bCs/>
          <w:szCs w:val="24"/>
        </w:rPr>
        <w:t>zafixovány měnové kurzy</w:t>
      </w:r>
      <w:r w:rsidRPr="00FC3B7C">
        <w:rPr>
          <w:rFonts w:eastAsia="Times New Roman"/>
          <w:szCs w:val="24"/>
        </w:rPr>
        <w:t xml:space="preserve"> vůči euru), konec r. </w:t>
      </w:r>
      <w:r w:rsidRPr="00FC3B7C">
        <w:rPr>
          <w:rFonts w:eastAsia="Times New Roman"/>
          <w:b/>
          <w:bCs/>
          <w:szCs w:val="24"/>
        </w:rPr>
        <w:t>2001</w:t>
      </w:r>
      <w:r w:rsidRPr="00FC3B7C">
        <w:rPr>
          <w:rFonts w:eastAsia="Times New Roman"/>
          <w:szCs w:val="24"/>
        </w:rPr>
        <w:t xml:space="preserve"> zavedeno </w:t>
      </w:r>
      <w:r w:rsidRPr="00FC3B7C">
        <w:rPr>
          <w:rFonts w:eastAsia="Times New Roman"/>
          <w:b/>
          <w:bCs/>
          <w:szCs w:val="24"/>
        </w:rPr>
        <w:t>euro v bezhotovostním styku</w:t>
      </w:r>
      <w:r w:rsidRPr="00FC3B7C">
        <w:rPr>
          <w:rFonts w:eastAsia="Times New Roman"/>
          <w:szCs w:val="24"/>
        </w:rPr>
        <w:t>, od</w:t>
      </w:r>
      <w:r w:rsidRPr="00FC3B7C">
        <w:rPr>
          <w:rFonts w:eastAsia="Times New Roman"/>
          <w:b/>
          <w:bCs/>
          <w:szCs w:val="24"/>
        </w:rPr>
        <w:t xml:space="preserve"> 1. 1. 2002 </w:t>
      </w:r>
      <w:r w:rsidRPr="00FC3B7C">
        <w:rPr>
          <w:rFonts w:eastAsia="Times New Roman"/>
          <w:szCs w:val="24"/>
        </w:rPr>
        <w:t>vznik</w:t>
      </w:r>
      <w:r w:rsidRPr="00FC3B7C">
        <w:rPr>
          <w:rFonts w:eastAsia="Times New Roman"/>
          <w:b/>
          <w:bCs/>
          <w:szCs w:val="24"/>
        </w:rPr>
        <w:t xml:space="preserve"> eura jako hotovostní měny</w:t>
      </w:r>
      <w:bookmarkStart w:id="416" w:name="page427"/>
      <w:bookmarkEnd w:id="416"/>
    </w:p>
    <w:p w14:paraId="4A6F4E8D" w14:textId="6C39A936" w:rsidR="00CE6695" w:rsidRPr="001A38C3" w:rsidRDefault="00CE6695" w:rsidP="00D46B53">
      <w:pPr>
        <w:pStyle w:val="Odstavecseseznamem"/>
        <w:numPr>
          <w:ilvl w:val="0"/>
          <w:numId w:val="396"/>
        </w:numPr>
        <w:tabs>
          <w:tab w:val="left" w:pos="1560"/>
        </w:tabs>
        <w:rPr>
          <w:rFonts w:eastAsia="Courier New"/>
          <w:szCs w:val="24"/>
        </w:rPr>
      </w:pPr>
      <w:r w:rsidRPr="001A38C3">
        <w:rPr>
          <w:rFonts w:eastAsia="Times New Roman"/>
          <w:szCs w:val="24"/>
        </w:rPr>
        <w:t xml:space="preserve">podmínky členství v HMU: </w:t>
      </w:r>
      <w:r w:rsidRPr="001A38C3">
        <w:rPr>
          <w:rFonts w:eastAsia="Times New Roman"/>
          <w:b/>
          <w:bCs/>
          <w:szCs w:val="24"/>
        </w:rPr>
        <w:t>4 kritéria konvergence</w:t>
      </w:r>
    </w:p>
    <w:p w14:paraId="4A6F4E8E" w14:textId="77777777" w:rsidR="00CE6695" w:rsidRPr="00FC3B7C" w:rsidRDefault="00CE6695" w:rsidP="00D46B53">
      <w:pPr>
        <w:numPr>
          <w:ilvl w:val="1"/>
          <w:numId w:val="432"/>
        </w:numPr>
        <w:tabs>
          <w:tab w:val="left" w:pos="1144"/>
        </w:tabs>
        <w:ind w:left="1144" w:hanging="370"/>
        <w:rPr>
          <w:rFonts w:eastAsia="Times New Roman"/>
          <w:szCs w:val="24"/>
        </w:rPr>
      </w:pPr>
      <w:r w:rsidRPr="00FC3B7C">
        <w:rPr>
          <w:rFonts w:eastAsia="Times New Roman"/>
          <w:b/>
          <w:bCs/>
          <w:szCs w:val="24"/>
        </w:rPr>
        <w:t xml:space="preserve">Schodek veřejných rozpočtů </w:t>
      </w:r>
      <w:r w:rsidRPr="00FC3B7C">
        <w:rPr>
          <w:rFonts w:eastAsia="Times New Roman"/>
          <w:szCs w:val="24"/>
        </w:rPr>
        <w:t>nesmí být větší než</w:t>
      </w:r>
      <w:r w:rsidRPr="00FC3B7C">
        <w:rPr>
          <w:rFonts w:eastAsia="Times New Roman"/>
          <w:b/>
          <w:bCs/>
          <w:szCs w:val="24"/>
        </w:rPr>
        <w:t xml:space="preserve"> 3 % </w:t>
      </w:r>
      <w:r w:rsidRPr="00FC3B7C">
        <w:rPr>
          <w:rFonts w:eastAsia="Times New Roman"/>
          <w:szCs w:val="24"/>
        </w:rPr>
        <w:t>hrubého domácího</w:t>
      </w:r>
      <w:r w:rsidRPr="00FC3B7C">
        <w:rPr>
          <w:rFonts w:eastAsia="Times New Roman"/>
          <w:b/>
          <w:bCs/>
          <w:szCs w:val="24"/>
        </w:rPr>
        <w:t xml:space="preserve"> </w:t>
      </w:r>
      <w:r w:rsidRPr="00FC3B7C">
        <w:rPr>
          <w:rFonts w:eastAsia="Times New Roman"/>
          <w:szCs w:val="24"/>
        </w:rPr>
        <w:t>produktu (</w:t>
      </w:r>
      <w:r w:rsidRPr="00FC3B7C">
        <w:rPr>
          <w:rFonts w:eastAsia="Times New Roman"/>
          <w:b/>
          <w:bCs/>
          <w:szCs w:val="24"/>
        </w:rPr>
        <w:t>HDP</w:t>
      </w:r>
      <w:r w:rsidRPr="00FC3B7C">
        <w:rPr>
          <w:rFonts w:eastAsia="Times New Roman"/>
          <w:szCs w:val="24"/>
        </w:rPr>
        <w:t xml:space="preserve">). Celkové veřejné </w:t>
      </w:r>
      <w:r w:rsidRPr="00FC3B7C">
        <w:rPr>
          <w:rFonts w:eastAsia="Times New Roman"/>
          <w:b/>
          <w:bCs/>
          <w:szCs w:val="24"/>
        </w:rPr>
        <w:t>zadlužení</w:t>
      </w:r>
      <w:r w:rsidRPr="00FC3B7C">
        <w:rPr>
          <w:rFonts w:eastAsia="Times New Roman"/>
          <w:szCs w:val="24"/>
        </w:rPr>
        <w:t xml:space="preserve"> nesmí překročit 60 % HDP</w:t>
      </w:r>
    </w:p>
    <w:p w14:paraId="4A6F4E8F" w14:textId="77777777" w:rsidR="00CE6695" w:rsidRPr="00FC3B7C" w:rsidRDefault="00CE6695" w:rsidP="00D46B53">
      <w:pPr>
        <w:numPr>
          <w:ilvl w:val="1"/>
          <w:numId w:val="432"/>
        </w:numPr>
        <w:tabs>
          <w:tab w:val="left" w:pos="1144"/>
        </w:tabs>
        <w:ind w:left="1144" w:right="80" w:hanging="370"/>
        <w:rPr>
          <w:rFonts w:eastAsia="Times New Roman"/>
          <w:szCs w:val="24"/>
        </w:rPr>
      </w:pPr>
      <w:r w:rsidRPr="00FC3B7C">
        <w:rPr>
          <w:rFonts w:eastAsia="Times New Roman"/>
          <w:b/>
          <w:bCs/>
          <w:szCs w:val="24"/>
        </w:rPr>
        <w:t xml:space="preserve">Míra inflace </w:t>
      </w:r>
      <w:r w:rsidRPr="00FC3B7C">
        <w:rPr>
          <w:rFonts w:eastAsia="Times New Roman"/>
          <w:szCs w:val="24"/>
        </w:rPr>
        <w:t>členského státu smí být maximálně</w:t>
      </w:r>
      <w:r w:rsidRPr="00FC3B7C">
        <w:rPr>
          <w:rFonts w:eastAsia="Times New Roman"/>
          <w:b/>
          <w:bCs/>
          <w:szCs w:val="24"/>
        </w:rPr>
        <w:t xml:space="preserve"> </w:t>
      </w:r>
      <w:r w:rsidRPr="00FC3B7C">
        <w:rPr>
          <w:rFonts w:eastAsia="Times New Roman"/>
          <w:szCs w:val="24"/>
        </w:rPr>
        <w:t>o</w:t>
      </w:r>
      <w:r w:rsidRPr="00FC3B7C">
        <w:rPr>
          <w:rFonts w:eastAsia="Times New Roman"/>
          <w:b/>
          <w:bCs/>
          <w:szCs w:val="24"/>
        </w:rPr>
        <w:t xml:space="preserve"> 1,5 % nad </w:t>
      </w:r>
      <w:r w:rsidRPr="00FC3B7C">
        <w:rPr>
          <w:rFonts w:eastAsia="Times New Roman"/>
          <w:szCs w:val="24"/>
        </w:rPr>
        <w:t>průměrnou</w:t>
      </w:r>
      <w:r w:rsidRPr="00FC3B7C">
        <w:rPr>
          <w:rFonts w:eastAsia="Times New Roman"/>
          <w:b/>
          <w:bCs/>
          <w:szCs w:val="24"/>
        </w:rPr>
        <w:t xml:space="preserve"> inflací tří zemí s nejlepšími výsledky </w:t>
      </w:r>
      <w:r w:rsidRPr="00FC3B7C">
        <w:rPr>
          <w:rFonts w:eastAsia="Times New Roman"/>
          <w:szCs w:val="24"/>
        </w:rPr>
        <w:t>v oblasti cenové stability</w:t>
      </w:r>
    </w:p>
    <w:p w14:paraId="4A6F4E90" w14:textId="77777777" w:rsidR="00CE6695" w:rsidRPr="00FC3B7C" w:rsidRDefault="00CE6695" w:rsidP="00D46B53">
      <w:pPr>
        <w:numPr>
          <w:ilvl w:val="1"/>
          <w:numId w:val="432"/>
        </w:numPr>
        <w:tabs>
          <w:tab w:val="left" w:pos="1144"/>
        </w:tabs>
        <w:ind w:left="1144" w:right="80" w:hanging="370"/>
        <w:rPr>
          <w:rFonts w:eastAsia="Times New Roman"/>
          <w:szCs w:val="24"/>
        </w:rPr>
      </w:pPr>
      <w:r w:rsidRPr="00FC3B7C">
        <w:rPr>
          <w:rFonts w:eastAsia="Times New Roman"/>
          <w:szCs w:val="24"/>
        </w:rPr>
        <w:t xml:space="preserve">Nominální </w:t>
      </w:r>
      <w:r w:rsidRPr="00FC3B7C">
        <w:rPr>
          <w:rFonts w:eastAsia="Times New Roman"/>
          <w:b/>
          <w:bCs/>
          <w:szCs w:val="24"/>
        </w:rPr>
        <w:t>dlouhodobá úroková sazba</w:t>
      </w:r>
      <w:r w:rsidRPr="00FC3B7C">
        <w:rPr>
          <w:rFonts w:eastAsia="Times New Roman"/>
          <w:szCs w:val="24"/>
        </w:rPr>
        <w:t xml:space="preserve"> nesmí překročit průměr </w:t>
      </w:r>
      <w:r w:rsidRPr="00FC3B7C">
        <w:rPr>
          <w:rFonts w:eastAsia="Times New Roman"/>
          <w:b/>
          <w:bCs/>
          <w:szCs w:val="24"/>
        </w:rPr>
        <w:t>tří zemí s</w:t>
      </w:r>
      <w:r w:rsidRPr="00FC3B7C">
        <w:rPr>
          <w:rFonts w:eastAsia="Times New Roman"/>
          <w:szCs w:val="24"/>
        </w:rPr>
        <w:t xml:space="preserve"> </w:t>
      </w:r>
      <w:r w:rsidRPr="00FC3B7C">
        <w:rPr>
          <w:rFonts w:eastAsia="Times New Roman"/>
          <w:b/>
          <w:bCs/>
          <w:szCs w:val="24"/>
        </w:rPr>
        <w:t xml:space="preserve">nejlepšími výsledky </w:t>
      </w:r>
      <w:r w:rsidRPr="00FC3B7C">
        <w:rPr>
          <w:rFonts w:eastAsia="Times New Roman"/>
          <w:szCs w:val="24"/>
        </w:rPr>
        <w:t>v oblasti cenové stability o více než</w:t>
      </w:r>
      <w:r w:rsidRPr="00FC3B7C">
        <w:rPr>
          <w:rFonts w:eastAsia="Times New Roman"/>
          <w:b/>
          <w:bCs/>
          <w:szCs w:val="24"/>
        </w:rPr>
        <w:t xml:space="preserve"> 2 %</w:t>
      </w:r>
    </w:p>
    <w:p w14:paraId="4A6F4E91" w14:textId="77777777" w:rsidR="00CE6695" w:rsidRPr="00FC3B7C" w:rsidRDefault="00CE6695" w:rsidP="00D46B53">
      <w:pPr>
        <w:numPr>
          <w:ilvl w:val="1"/>
          <w:numId w:val="432"/>
        </w:numPr>
        <w:tabs>
          <w:tab w:val="left" w:pos="1144"/>
        </w:tabs>
        <w:ind w:left="1144" w:right="80" w:hanging="370"/>
        <w:rPr>
          <w:rFonts w:eastAsia="Times New Roman"/>
          <w:szCs w:val="24"/>
        </w:rPr>
      </w:pPr>
      <w:r w:rsidRPr="00FC3B7C">
        <w:rPr>
          <w:rFonts w:eastAsia="Times New Roman"/>
          <w:szCs w:val="24"/>
        </w:rPr>
        <w:t xml:space="preserve">Země se </w:t>
      </w:r>
      <w:r w:rsidRPr="00FC3B7C">
        <w:rPr>
          <w:rFonts w:eastAsia="Times New Roman"/>
          <w:b/>
          <w:bCs/>
          <w:szCs w:val="24"/>
        </w:rPr>
        <w:t>musí účastnit systému měnových kurzů</w:t>
      </w:r>
      <w:r w:rsidRPr="00FC3B7C">
        <w:rPr>
          <w:rFonts w:eastAsia="Times New Roman"/>
          <w:szCs w:val="24"/>
        </w:rPr>
        <w:t xml:space="preserve"> (ERM) po dobu nejméně </w:t>
      </w:r>
      <w:r w:rsidRPr="00FC3B7C">
        <w:rPr>
          <w:rFonts w:eastAsia="Times New Roman"/>
          <w:b/>
          <w:bCs/>
          <w:szCs w:val="24"/>
        </w:rPr>
        <w:t>dvou</w:t>
      </w:r>
      <w:r w:rsidRPr="00FC3B7C">
        <w:rPr>
          <w:rFonts w:eastAsia="Times New Roman"/>
          <w:szCs w:val="24"/>
        </w:rPr>
        <w:t xml:space="preserve"> </w:t>
      </w:r>
      <w:r w:rsidRPr="00FC3B7C">
        <w:rPr>
          <w:rFonts w:eastAsia="Times New Roman"/>
          <w:b/>
          <w:bCs/>
          <w:szCs w:val="24"/>
        </w:rPr>
        <w:t xml:space="preserve">let </w:t>
      </w:r>
      <w:r w:rsidRPr="00FC3B7C">
        <w:rPr>
          <w:rFonts w:eastAsia="Times New Roman"/>
          <w:szCs w:val="24"/>
        </w:rPr>
        <w:t>bez závažného napětí</w:t>
      </w:r>
    </w:p>
    <w:p w14:paraId="4A6F4E92" w14:textId="77777777" w:rsidR="00CE6695" w:rsidRPr="00FC3B7C" w:rsidRDefault="00CE6695" w:rsidP="00CE6695">
      <w:pPr>
        <w:spacing w:line="127" w:lineRule="exact"/>
        <w:rPr>
          <w:rFonts w:eastAsia="Times New Roman"/>
          <w:szCs w:val="24"/>
        </w:rPr>
      </w:pPr>
    </w:p>
    <w:p w14:paraId="4A6F4E93" w14:textId="77777777" w:rsidR="00CE6695" w:rsidRPr="00FC3B7C" w:rsidRDefault="00CE6695" w:rsidP="00D46B53">
      <w:pPr>
        <w:numPr>
          <w:ilvl w:val="0"/>
          <w:numId w:val="433"/>
        </w:numPr>
        <w:tabs>
          <w:tab w:val="left" w:pos="244"/>
        </w:tabs>
        <w:ind w:left="244" w:hanging="244"/>
        <w:rPr>
          <w:rFonts w:eastAsia="Times New Roman"/>
          <w:b/>
          <w:bCs/>
          <w:i/>
          <w:iCs/>
          <w:szCs w:val="24"/>
        </w:rPr>
      </w:pPr>
      <w:r w:rsidRPr="00FC3B7C">
        <w:rPr>
          <w:rFonts w:eastAsia="Times New Roman"/>
          <w:b/>
          <w:bCs/>
          <w:i/>
          <w:iCs/>
          <w:szCs w:val="24"/>
        </w:rPr>
        <w:t>1. 1999</w:t>
      </w:r>
    </w:p>
    <w:p w14:paraId="4A6F4E94" w14:textId="09A3076C" w:rsidR="00CE6695" w:rsidRPr="00FC3B7C" w:rsidRDefault="00CE6695" w:rsidP="00DC5ED2">
      <w:pPr>
        <w:tabs>
          <w:tab w:val="left" w:pos="823"/>
          <w:tab w:val="left" w:pos="2044"/>
          <w:tab w:val="left" w:pos="3104"/>
          <w:tab w:val="left" w:pos="4224"/>
          <w:tab w:val="left" w:pos="5204"/>
          <w:tab w:val="left" w:pos="5924"/>
          <w:tab w:val="left" w:pos="6724"/>
          <w:tab w:val="left" w:pos="7844"/>
        </w:tabs>
        <w:ind w:left="484"/>
        <w:rPr>
          <w:sz w:val="20"/>
          <w:szCs w:val="20"/>
        </w:rPr>
      </w:pPr>
      <w:r w:rsidRPr="00FC3B7C">
        <w:rPr>
          <w:rFonts w:eastAsia="Arial"/>
          <w:szCs w:val="24"/>
        </w:rPr>
        <w:t>•</w:t>
      </w:r>
      <w:r w:rsidRPr="00FC3B7C">
        <w:rPr>
          <w:sz w:val="20"/>
          <w:szCs w:val="20"/>
        </w:rPr>
        <w:tab/>
      </w:r>
      <w:r w:rsidRPr="00FC3B7C">
        <w:rPr>
          <w:rFonts w:eastAsia="Times New Roman"/>
          <w:szCs w:val="24"/>
        </w:rPr>
        <w:t>Závěrečná</w:t>
      </w:r>
      <w:r w:rsidRPr="00FC3B7C">
        <w:rPr>
          <w:rFonts w:eastAsia="Times New Roman"/>
          <w:szCs w:val="24"/>
        </w:rPr>
        <w:tab/>
        <w:t>3.</w:t>
      </w:r>
      <w:r w:rsidR="003376E1">
        <w:rPr>
          <w:rFonts w:eastAsia="Times New Roman"/>
          <w:szCs w:val="24"/>
        </w:rPr>
        <w:t xml:space="preserve"> </w:t>
      </w:r>
      <w:r w:rsidRPr="00FC3B7C">
        <w:rPr>
          <w:rFonts w:eastAsia="Times New Roman"/>
          <w:szCs w:val="24"/>
        </w:rPr>
        <w:t>etapa</w:t>
      </w:r>
      <w:r w:rsidRPr="00FC3B7C">
        <w:rPr>
          <w:rFonts w:eastAsia="Times New Roman"/>
          <w:szCs w:val="24"/>
        </w:rPr>
        <w:tab/>
        <w:t>budování</w:t>
      </w:r>
      <w:r w:rsidRPr="00FC3B7C">
        <w:rPr>
          <w:rFonts w:eastAsia="Times New Roman"/>
          <w:szCs w:val="24"/>
        </w:rPr>
        <w:tab/>
        <w:t>měnové</w:t>
      </w:r>
      <w:r w:rsidRPr="00FC3B7C">
        <w:rPr>
          <w:rFonts w:eastAsia="Times New Roman"/>
          <w:szCs w:val="24"/>
        </w:rPr>
        <w:tab/>
        <w:t>unie:</w:t>
      </w:r>
      <w:r w:rsidRPr="00FC3B7C">
        <w:rPr>
          <w:sz w:val="20"/>
          <w:szCs w:val="20"/>
        </w:rPr>
        <w:tab/>
      </w:r>
      <w:r w:rsidRPr="00FC3B7C">
        <w:rPr>
          <w:rFonts w:eastAsia="Times New Roman"/>
          <w:b/>
          <w:bCs/>
          <w:szCs w:val="24"/>
        </w:rPr>
        <w:t>vznik</w:t>
      </w:r>
      <w:r w:rsidRPr="00FC3B7C">
        <w:rPr>
          <w:rFonts w:eastAsia="Times New Roman"/>
          <w:b/>
          <w:bCs/>
          <w:szCs w:val="24"/>
        </w:rPr>
        <w:tab/>
        <w:t>jednotné</w:t>
      </w:r>
      <w:r w:rsidRPr="00FC3B7C">
        <w:rPr>
          <w:rFonts w:eastAsia="Times New Roman"/>
          <w:b/>
          <w:bCs/>
          <w:szCs w:val="24"/>
        </w:rPr>
        <w:tab/>
        <w:t>měny</w:t>
      </w:r>
      <w:r w:rsidR="003376E1">
        <w:rPr>
          <w:rFonts w:eastAsia="Times New Roman"/>
          <w:b/>
          <w:bCs/>
          <w:szCs w:val="24"/>
        </w:rPr>
        <w:t xml:space="preserve"> </w:t>
      </w:r>
      <w:r w:rsidRPr="00FC3B7C">
        <w:rPr>
          <w:rFonts w:eastAsia="Times New Roman"/>
          <w:b/>
          <w:bCs/>
          <w:szCs w:val="24"/>
        </w:rPr>
        <w:t>Euro</w:t>
      </w:r>
    </w:p>
    <w:p w14:paraId="4A6F4E95" w14:textId="77777777" w:rsidR="00CE6695" w:rsidRPr="00FC3B7C" w:rsidRDefault="00CE6695" w:rsidP="00D46B53">
      <w:pPr>
        <w:numPr>
          <w:ilvl w:val="1"/>
          <w:numId w:val="434"/>
        </w:numPr>
        <w:tabs>
          <w:tab w:val="left" w:pos="1064"/>
        </w:tabs>
        <w:ind w:left="1064" w:hanging="228"/>
        <w:rPr>
          <w:rFonts w:eastAsia="Times New Roman"/>
          <w:b/>
          <w:bCs/>
          <w:szCs w:val="24"/>
        </w:rPr>
      </w:pPr>
      <w:r w:rsidRPr="00FC3B7C">
        <w:rPr>
          <w:rFonts w:eastAsia="Times New Roman"/>
          <w:b/>
          <w:bCs/>
          <w:szCs w:val="24"/>
        </w:rPr>
        <w:t xml:space="preserve">bezhotovostní podobě </w:t>
      </w:r>
      <w:r w:rsidRPr="00FC3B7C">
        <w:rPr>
          <w:rFonts w:eastAsia="Times New Roman"/>
          <w:szCs w:val="24"/>
        </w:rPr>
        <w:t>(ERM II)</w:t>
      </w:r>
    </w:p>
    <w:p w14:paraId="4A6F4E96" w14:textId="77777777" w:rsidR="00CE6695" w:rsidRPr="00FC3B7C" w:rsidRDefault="00CE6695" w:rsidP="00D46B53">
      <w:pPr>
        <w:numPr>
          <w:ilvl w:val="0"/>
          <w:numId w:val="435"/>
        </w:numPr>
        <w:tabs>
          <w:tab w:val="left" w:pos="244"/>
        </w:tabs>
        <w:ind w:left="244" w:hanging="244"/>
        <w:rPr>
          <w:rFonts w:eastAsia="Times New Roman"/>
          <w:b/>
          <w:bCs/>
          <w:i/>
          <w:iCs/>
          <w:szCs w:val="24"/>
        </w:rPr>
      </w:pPr>
      <w:r w:rsidRPr="00FC3B7C">
        <w:rPr>
          <w:rFonts w:eastAsia="Times New Roman"/>
          <w:b/>
          <w:bCs/>
          <w:i/>
          <w:iCs/>
          <w:szCs w:val="24"/>
        </w:rPr>
        <w:t>1. 2002 hotovostní Euro oficiálně platí ve 12 zemích eurozóny</w:t>
      </w:r>
    </w:p>
    <w:p w14:paraId="4A6F4E97" w14:textId="77777777" w:rsidR="00CE6695" w:rsidRPr="001A38C3" w:rsidRDefault="00CE6695" w:rsidP="00D46B53">
      <w:pPr>
        <w:pStyle w:val="Odstavecseseznamem"/>
        <w:numPr>
          <w:ilvl w:val="0"/>
          <w:numId w:val="396"/>
        </w:numPr>
        <w:ind w:right="240"/>
        <w:rPr>
          <w:sz w:val="20"/>
          <w:szCs w:val="20"/>
        </w:rPr>
      </w:pPr>
      <w:r w:rsidRPr="001A38C3">
        <w:rPr>
          <w:rFonts w:eastAsia="Times New Roman"/>
          <w:szCs w:val="24"/>
        </w:rPr>
        <w:t>Německo, Francie, Itálie, Belgie, Nizozemsko, Lucembursko, Finsko, Rakousko, Španělsko, Portugalsko, Irsko, Řecko</w:t>
      </w:r>
    </w:p>
    <w:p w14:paraId="4A6F4E98" w14:textId="31F7232A" w:rsidR="00CE6695" w:rsidRPr="001A38C3" w:rsidRDefault="00CE6695" w:rsidP="00D46B53">
      <w:pPr>
        <w:pStyle w:val="Odstavecseseznamem"/>
        <w:numPr>
          <w:ilvl w:val="0"/>
          <w:numId w:val="396"/>
        </w:numPr>
        <w:rPr>
          <w:sz w:val="20"/>
          <w:szCs w:val="20"/>
        </w:rPr>
      </w:pPr>
      <w:r w:rsidRPr="001A38C3">
        <w:rPr>
          <w:rFonts w:eastAsia="Times New Roman"/>
          <w:szCs w:val="24"/>
        </w:rPr>
        <w:t>2007 Slovinsko; 2008 Kypr, Malta; 2009 Slovensko; 2011 Estonsko; 2014 Lotyšsko</w:t>
      </w:r>
    </w:p>
    <w:p w14:paraId="4A6F4E99" w14:textId="77777777" w:rsidR="00CE6695" w:rsidRPr="00FC3B7C" w:rsidRDefault="00CE6695" w:rsidP="00CE6695">
      <w:pPr>
        <w:spacing w:line="200" w:lineRule="exact"/>
        <w:rPr>
          <w:sz w:val="20"/>
          <w:szCs w:val="20"/>
        </w:rPr>
      </w:pPr>
    </w:p>
    <w:p w14:paraId="4A6F4E9A" w14:textId="77777777" w:rsidR="00CE6695" w:rsidRPr="00FC3B7C" w:rsidRDefault="00CE6695" w:rsidP="00CE6695">
      <w:pPr>
        <w:spacing w:line="200" w:lineRule="exact"/>
        <w:rPr>
          <w:sz w:val="20"/>
          <w:szCs w:val="20"/>
        </w:rPr>
      </w:pPr>
    </w:p>
    <w:p w14:paraId="4A6F4E9B" w14:textId="77777777" w:rsidR="00CE6695" w:rsidRPr="00244BB9" w:rsidRDefault="00CE6695" w:rsidP="00CE6695">
      <w:pPr>
        <w:spacing w:line="208" w:lineRule="exact"/>
        <w:rPr>
          <w:color w:val="1F3864" w:themeColor="accent1" w:themeShade="80"/>
          <w:sz w:val="20"/>
          <w:szCs w:val="20"/>
        </w:rPr>
      </w:pPr>
    </w:p>
    <w:p w14:paraId="4A6F4E9C" w14:textId="77777777" w:rsidR="00CE6695" w:rsidRPr="00244BB9" w:rsidRDefault="00CE6695" w:rsidP="00CE6695">
      <w:pPr>
        <w:pStyle w:val="Nadpis2"/>
        <w:rPr>
          <w:rFonts w:cs="Times New Roman"/>
          <w:b w:val="0"/>
          <w:color w:val="1F3864" w:themeColor="accent1" w:themeShade="80"/>
          <w:sz w:val="20"/>
          <w:szCs w:val="20"/>
        </w:rPr>
      </w:pPr>
      <w:r w:rsidRPr="00244BB9">
        <w:rPr>
          <w:rFonts w:cs="Times New Roman"/>
          <w:color w:val="1F3864" w:themeColor="accent1" w:themeShade="80"/>
        </w:rPr>
        <w:t>DALŠÍ SVĚTOVÁ INTEGRAČNÍ USKUPENÍ A JEJICH</w:t>
      </w:r>
      <w:r w:rsidRPr="00244BB9">
        <w:rPr>
          <w:rFonts w:cs="Times New Roman"/>
          <w:color w:val="1F3864" w:themeColor="accent1" w:themeShade="80"/>
          <w:sz w:val="20"/>
          <w:szCs w:val="20"/>
        </w:rPr>
        <w:t xml:space="preserve"> </w:t>
      </w:r>
      <w:r w:rsidRPr="00244BB9">
        <w:rPr>
          <w:rFonts w:cs="Times New Roman"/>
          <w:color w:val="1F3864" w:themeColor="accent1" w:themeShade="80"/>
        </w:rPr>
        <w:t>VÝVOJ</w:t>
      </w:r>
    </w:p>
    <w:p w14:paraId="4A6F4E9D" w14:textId="77777777" w:rsidR="00CE6695" w:rsidRPr="00FC3B7C" w:rsidRDefault="00CE6695" w:rsidP="00CE6695">
      <w:pPr>
        <w:spacing w:line="221" w:lineRule="exact"/>
        <w:rPr>
          <w:sz w:val="20"/>
          <w:szCs w:val="20"/>
        </w:rPr>
      </w:pPr>
    </w:p>
    <w:p w14:paraId="4A6F4E9E" w14:textId="30E5CDDB" w:rsidR="00CE6695" w:rsidRPr="0070178B" w:rsidRDefault="0070178B" w:rsidP="00CE6695">
      <w:pPr>
        <w:pStyle w:val="Nadpis3"/>
        <w:rPr>
          <w:rFonts w:cs="Times New Roman"/>
          <w:color w:val="1F3864" w:themeColor="accent1" w:themeShade="80"/>
          <w:sz w:val="20"/>
          <w:szCs w:val="20"/>
        </w:rPr>
      </w:pPr>
      <w:r>
        <w:rPr>
          <w:rFonts w:eastAsia="Times New Roman" w:cs="Times New Roman"/>
          <w:color w:val="1F3864" w:themeColor="accent1" w:themeShade="80"/>
        </w:rPr>
        <w:t xml:space="preserve"> </w:t>
      </w:r>
      <w:r w:rsidR="00CE6695" w:rsidRPr="0070178B">
        <w:rPr>
          <w:rFonts w:eastAsia="Times New Roman" w:cs="Times New Roman"/>
          <w:color w:val="1F3864" w:themeColor="accent1" w:themeShade="80"/>
        </w:rPr>
        <w:t>NAFTA (Severoamerická zóna volného obchodu)</w:t>
      </w:r>
    </w:p>
    <w:p w14:paraId="4A6F4EA3" w14:textId="7AEE4204" w:rsidR="00CE6695" w:rsidRPr="00907952" w:rsidRDefault="00CE6695" w:rsidP="00907952">
      <w:pPr>
        <w:ind w:firstLine="720"/>
        <w:rPr>
          <w:sz w:val="20"/>
          <w:szCs w:val="20"/>
        </w:rPr>
      </w:pPr>
      <w:r w:rsidRPr="00FC3B7C">
        <w:rPr>
          <w:rFonts w:eastAsia="Times New Roman"/>
        </w:rPr>
        <w:t xml:space="preserve">Dohoda podepsána 8. 12. </w:t>
      </w:r>
      <w:r w:rsidRPr="00FC3B7C">
        <w:rPr>
          <w:rFonts w:eastAsia="Times New Roman"/>
          <w:b/>
          <w:bCs/>
        </w:rPr>
        <w:t>1993</w:t>
      </w:r>
      <w:r w:rsidRPr="00FC3B7C">
        <w:rPr>
          <w:rFonts w:eastAsia="Times New Roman"/>
        </w:rPr>
        <w:t xml:space="preserve">, vstoupila </w:t>
      </w:r>
      <w:r w:rsidRPr="00FC3B7C">
        <w:rPr>
          <w:rFonts w:eastAsia="Times New Roman"/>
          <w:b/>
          <w:bCs/>
        </w:rPr>
        <w:t>v platnost 1994.</w:t>
      </w:r>
      <w:r w:rsidRPr="00FC3B7C">
        <w:rPr>
          <w:rFonts w:eastAsia="Times New Roman"/>
        </w:rPr>
        <w:t xml:space="preserve"> Obchodní dohoda mezi </w:t>
      </w:r>
      <w:r w:rsidRPr="00FC3B7C">
        <w:rPr>
          <w:rFonts w:eastAsia="Times New Roman"/>
          <w:b/>
          <w:bCs/>
        </w:rPr>
        <w:t>USA,</w:t>
      </w:r>
      <w:r w:rsidRPr="00FC3B7C">
        <w:rPr>
          <w:rFonts w:eastAsia="Times New Roman"/>
        </w:rPr>
        <w:t xml:space="preserve"> </w:t>
      </w:r>
      <w:r w:rsidRPr="00FC3B7C">
        <w:rPr>
          <w:rFonts w:eastAsia="Times New Roman"/>
          <w:b/>
          <w:bCs/>
        </w:rPr>
        <w:t xml:space="preserve">Kanadou a Mexikem. </w:t>
      </w:r>
      <w:r w:rsidRPr="00FC3B7C">
        <w:rPr>
          <w:rFonts w:eastAsia="Times New Roman"/>
        </w:rPr>
        <w:t>Nahradila Kanadsko-Americkou dohodu o volném obchodu.</w:t>
      </w:r>
      <w:r w:rsidR="00907952">
        <w:rPr>
          <w:sz w:val="20"/>
          <w:szCs w:val="20"/>
        </w:rPr>
        <w:t xml:space="preserve"> </w:t>
      </w:r>
      <w:r w:rsidRPr="00FC3B7C">
        <w:rPr>
          <w:rFonts w:eastAsia="Times New Roman"/>
          <w:sz w:val="23"/>
          <w:szCs w:val="23"/>
        </w:rPr>
        <w:t xml:space="preserve">Přijetí Mexika znamenalo prolomení integrace mezi rozvinutými a rozvojovými zeměmi (USA disponuje kapitálem a technologiemi, zatímco Mexiko disponuje pracovní silou) </w:t>
      </w:r>
      <w:r w:rsidRPr="00FC3B7C">
        <w:rPr>
          <w:rFonts w:eastAsia="Times New Roman"/>
          <w:b/>
          <w:bCs/>
          <w:sz w:val="23"/>
          <w:szCs w:val="23"/>
        </w:rPr>
        <w:t>Základem je</w:t>
      </w:r>
      <w:r w:rsidR="00907952">
        <w:rPr>
          <w:sz w:val="20"/>
          <w:szCs w:val="20"/>
        </w:rPr>
        <w:t xml:space="preserve"> </w:t>
      </w:r>
      <w:r w:rsidRPr="00FC3B7C">
        <w:rPr>
          <w:rFonts w:eastAsia="Times New Roman"/>
          <w:b/>
          <w:bCs/>
        </w:rPr>
        <w:t>liberalizace obchodních vztahů, odstranění všech obchodních barié</w:t>
      </w:r>
      <w:r w:rsidRPr="00FC3B7C">
        <w:rPr>
          <w:rFonts w:eastAsia="Times New Roman"/>
        </w:rPr>
        <w:t>r a maximální</w:t>
      </w:r>
      <w:r w:rsidRPr="00FC3B7C">
        <w:rPr>
          <w:rFonts w:eastAsia="Times New Roman"/>
          <w:b/>
          <w:bCs/>
        </w:rPr>
        <w:t xml:space="preserve"> </w:t>
      </w:r>
      <w:r w:rsidRPr="00FC3B7C">
        <w:rPr>
          <w:rFonts w:eastAsia="Times New Roman"/>
        </w:rPr>
        <w:t xml:space="preserve">administrativní usnadnění přeshraničního pohybu zboží, služeb a kapitálu, dále společná </w:t>
      </w:r>
      <w:r w:rsidRPr="00FC3B7C">
        <w:rPr>
          <w:rFonts w:eastAsia="Times New Roman"/>
        </w:rPr>
        <w:lastRenderedPageBreak/>
        <w:t>ochrana duševního vlastnictví</w:t>
      </w:r>
      <w:r w:rsidR="00907952">
        <w:rPr>
          <w:sz w:val="20"/>
          <w:szCs w:val="20"/>
        </w:rPr>
        <w:t xml:space="preserve"> </w:t>
      </w:r>
      <w:r w:rsidRPr="00907952">
        <w:rPr>
          <w:rFonts w:eastAsia="Times New Roman"/>
          <w:b/>
          <w:bCs/>
        </w:rPr>
        <w:t>P</w:t>
      </w:r>
      <w:r w:rsidRPr="00FC3B7C">
        <w:rPr>
          <w:rFonts w:eastAsia="Times New Roman"/>
          <w:b/>
          <w:bCs/>
        </w:rPr>
        <w:t>odpořila reformní tendence v Mexiku</w:t>
      </w:r>
      <w:r w:rsidRPr="00FC3B7C">
        <w:rPr>
          <w:rFonts w:eastAsia="Times New Roman"/>
        </w:rPr>
        <w:t>, kde se ukázalo, že volný obchod přináší pozitivní</w:t>
      </w:r>
      <w:r w:rsidR="00907952">
        <w:rPr>
          <w:sz w:val="20"/>
          <w:szCs w:val="20"/>
        </w:rPr>
        <w:t xml:space="preserve"> </w:t>
      </w:r>
      <w:r w:rsidRPr="00FC3B7C">
        <w:rPr>
          <w:rFonts w:eastAsia="Times New Roman"/>
        </w:rPr>
        <w:t>efekty i méně rozvinutým zemím.</w:t>
      </w:r>
    </w:p>
    <w:p w14:paraId="4A6F4EA4" w14:textId="77777777" w:rsidR="00DC5ED2" w:rsidRPr="00FC3B7C" w:rsidRDefault="00DC5ED2" w:rsidP="00DC5ED2">
      <w:pPr>
        <w:rPr>
          <w:sz w:val="20"/>
          <w:szCs w:val="20"/>
        </w:rPr>
      </w:pPr>
    </w:p>
    <w:p w14:paraId="4A6F4EA5" w14:textId="77777777" w:rsidR="00CE6695" w:rsidRPr="00FC3B7C" w:rsidRDefault="00CE6695" w:rsidP="00CE6695">
      <w:pPr>
        <w:pStyle w:val="Nadpis3"/>
        <w:rPr>
          <w:rFonts w:cs="Times New Roman"/>
          <w:sz w:val="20"/>
          <w:szCs w:val="20"/>
        </w:rPr>
      </w:pPr>
      <w:bookmarkStart w:id="417" w:name="page428"/>
      <w:bookmarkEnd w:id="417"/>
      <w:r w:rsidRPr="00FC3B7C">
        <w:rPr>
          <w:rFonts w:eastAsia="Times New Roman" w:cs="Times New Roman"/>
        </w:rPr>
        <w:t>CEFTA (Středoevropská zóna volného obchodu)</w:t>
      </w:r>
    </w:p>
    <w:p w14:paraId="1C595410" w14:textId="71EA7D43" w:rsidR="00907952" w:rsidRPr="00907952" w:rsidRDefault="00907952" w:rsidP="00907952">
      <w:pPr>
        <w:ind w:firstLine="720"/>
        <w:rPr>
          <w:rFonts w:eastAsia="Times New Roman"/>
          <w:b/>
          <w:bCs/>
        </w:rPr>
      </w:pPr>
      <w:r w:rsidRPr="00FC3B7C">
        <w:rPr>
          <w:rFonts w:eastAsia="Times New Roman"/>
        </w:rPr>
        <w:t>CEFTA je považována za vstupní bránu do EU.</w:t>
      </w:r>
      <w:r>
        <w:rPr>
          <w:rFonts w:eastAsia="Times New Roman"/>
          <w:b/>
          <w:bCs/>
        </w:rPr>
        <w:t xml:space="preserve"> </w:t>
      </w:r>
      <w:r w:rsidR="00CE6695" w:rsidRPr="00FC3B7C">
        <w:rPr>
          <w:rFonts w:eastAsia="Times New Roman"/>
        </w:rPr>
        <w:t xml:space="preserve">Dohoda o zřízení CEFTA podepsána 21. 12. </w:t>
      </w:r>
      <w:r w:rsidR="00CE6695" w:rsidRPr="00FC3B7C">
        <w:rPr>
          <w:rFonts w:eastAsia="Times New Roman"/>
          <w:b/>
          <w:bCs/>
        </w:rPr>
        <w:t>1992,</w:t>
      </w:r>
      <w:r w:rsidR="00CE6695" w:rsidRPr="00FC3B7C">
        <w:rPr>
          <w:rFonts w:eastAsia="Times New Roman"/>
        </w:rPr>
        <w:t xml:space="preserve"> nabyla </w:t>
      </w:r>
      <w:r w:rsidR="00CE6695" w:rsidRPr="00FC3B7C">
        <w:rPr>
          <w:rFonts w:eastAsia="Times New Roman"/>
          <w:b/>
          <w:bCs/>
        </w:rPr>
        <w:t>účinnosti v</w:t>
      </w:r>
      <w:r w:rsidR="00CE6695" w:rsidRPr="00FC3B7C">
        <w:rPr>
          <w:rFonts w:eastAsia="Times New Roman"/>
        </w:rPr>
        <w:t xml:space="preserve"> </w:t>
      </w:r>
      <w:r w:rsidR="00CE6695" w:rsidRPr="00FC3B7C">
        <w:rPr>
          <w:rFonts w:eastAsia="Times New Roman"/>
          <w:b/>
          <w:bCs/>
        </w:rPr>
        <w:t>červenci 1994.</w:t>
      </w:r>
      <w:r w:rsidR="00CE6695" w:rsidRPr="00FC3B7C">
        <w:rPr>
          <w:rFonts w:eastAsia="Times New Roman"/>
        </w:rPr>
        <w:t xml:space="preserve"> Zakládající členové: </w:t>
      </w:r>
      <w:r w:rsidR="00CE6695" w:rsidRPr="00FC3B7C">
        <w:rPr>
          <w:rFonts w:eastAsia="Times New Roman"/>
          <w:b/>
          <w:bCs/>
        </w:rPr>
        <w:t>Polsko, Maďarsko,</w:t>
      </w:r>
      <w:r w:rsidR="00CE6695" w:rsidRPr="00FC3B7C">
        <w:rPr>
          <w:rFonts w:eastAsia="Times New Roman"/>
        </w:rPr>
        <w:t xml:space="preserve"> </w:t>
      </w:r>
      <w:r w:rsidR="00CE6695" w:rsidRPr="00FC3B7C">
        <w:rPr>
          <w:rFonts w:eastAsia="Times New Roman"/>
          <w:b/>
          <w:bCs/>
        </w:rPr>
        <w:t>Česká a Slovenská federativní republika</w:t>
      </w:r>
      <w:r w:rsidR="00CE6695" w:rsidRPr="00FC3B7C">
        <w:rPr>
          <w:rFonts w:eastAsia="Times New Roman"/>
        </w:rPr>
        <w:t xml:space="preserve"> (Visegrádská skupina). </w:t>
      </w:r>
      <w:r w:rsidR="00CE6695" w:rsidRPr="00FC3B7C">
        <w:rPr>
          <w:rFonts w:eastAsia="Times New Roman"/>
          <w:b/>
          <w:bCs/>
        </w:rPr>
        <w:t>Postupně</w:t>
      </w:r>
      <w:r w:rsidR="00CE6695" w:rsidRPr="00FC3B7C">
        <w:rPr>
          <w:rFonts w:eastAsia="Times New Roman"/>
        </w:rPr>
        <w:t xml:space="preserve"> </w:t>
      </w:r>
      <w:r w:rsidR="00CE6695" w:rsidRPr="00FC3B7C">
        <w:rPr>
          <w:rFonts w:eastAsia="Times New Roman"/>
          <w:b/>
          <w:bCs/>
        </w:rPr>
        <w:t>přistoupili</w:t>
      </w:r>
      <w:r w:rsidR="00CE6695" w:rsidRPr="00FC3B7C">
        <w:rPr>
          <w:rFonts w:eastAsia="Times New Roman"/>
        </w:rPr>
        <w:t>: Slovinsko, Rumunsko, Bulharsko, Chorvatsko, Makedonie a Srbsko, Albánie, Bosna a Hercegovina, Černá hora, Moldavsko.</w:t>
      </w:r>
    </w:p>
    <w:p w14:paraId="4A6F4EA7" w14:textId="21678B57" w:rsidR="00CE6695" w:rsidRPr="00FC3B7C" w:rsidRDefault="00CE6695" w:rsidP="00907952">
      <w:pPr>
        <w:ind w:firstLine="720"/>
        <w:rPr>
          <w:sz w:val="20"/>
          <w:szCs w:val="20"/>
        </w:rPr>
      </w:pPr>
      <w:r w:rsidRPr="00FC3B7C">
        <w:rPr>
          <w:rFonts w:eastAsia="Times New Roman"/>
          <w:b/>
          <w:bCs/>
        </w:rPr>
        <w:t>Současní členové</w:t>
      </w:r>
      <w:r w:rsidRPr="00FC3B7C">
        <w:rPr>
          <w:rFonts w:eastAsia="Times New Roman"/>
        </w:rPr>
        <w:t>: Makedonie a Srbsko, Albánie, Bosna a Hercegovina,</w:t>
      </w:r>
      <w:r w:rsidRPr="00FC3B7C">
        <w:rPr>
          <w:rFonts w:eastAsia="Times New Roman"/>
          <w:b/>
          <w:bCs/>
        </w:rPr>
        <w:t xml:space="preserve"> </w:t>
      </w:r>
      <w:r w:rsidRPr="00FC3B7C">
        <w:rPr>
          <w:rFonts w:eastAsia="Times New Roman"/>
        </w:rPr>
        <w:t>Černá hora, Kosovo,</w:t>
      </w:r>
      <w:r w:rsidRPr="00FC3B7C">
        <w:rPr>
          <w:rFonts w:eastAsia="Times New Roman"/>
          <w:b/>
          <w:bCs/>
        </w:rPr>
        <w:t xml:space="preserve"> </w:t>
      </w:r>
      <w:r w:rsidRPr="00FC3B7C">
        <w:rPr>
          <w:rFonts w:eastAsia="Times New Roman"/>
        </w:rPr>
        <w:t>Moldavsko (ostatní státy vystoupily při vstupu do EU – jako poslední Chorvatsko se vstupem do EU v červenci 2013)</w:t>
      </w:r>
    </w:p>
    <w:p w14:paraId="4A6F4EA9" w14:textId="5CB7569D" w:rsidR="00CE6695" w:rsidRPr="00907952" w:rsidRDefault="00CE6695" w:rsidP="00907952">
      <w:pPr>
        <w:ind w:firstLine="720"/>
        <w:rPr>
          <w:sz w:val="20"/>
          <w:szCs w:val="20"/>
        </w:rPr>
      </w:pPr>
      <w:r w:rsidRPr="00FC3B7C">
        <w:rPr>
          <w:rFonts w:eastAsia="Times New Roman"/>
          <w:b/>
          <w:bCs/>
        </w:rPr>
        <w:t xml:space="preserve">Cílem </w:t>
      </w:r>
      <w:r w:rsidRPr="00FC3B7C">
        <w:rPr>
          <w:rFonts w:eastAsia="Times New Roman"/>
        </w:rPr>
        <w:t>bylo vytvoření</w:t>
      </w:r>
      <w:r w:rsidRPr="00FC3B7C">
        <w:rPr>
          <w:rFonts w:eastAsia="Times New Roman"/>
          <w:b/>
          <w:bCs/>
        </w:rPr>
        <w:t xml:space="preserve"> pásma volného obchodu </w:t>
      </w:r>
      <w:r w:rsidRPr="00FC3B7C">
        <w:rPr>
          <w:rFonts w:eastAsia="Times New Roman"/>
        </w:rPr>
        <w:t>a podpora vzájemného obchodu -</w:t>
      </w:r>
      <w:r w:rsidRPr="00FC3B7C">
        <w:rPr>
          <w:rFonts w:eastAsia="Times New Roman"/>
          <w:b/>
          <w:bCs/>
        </w:rPr>
        <w:t xml:space="preserve"> podařilo se</w:t>
      </w:r>
      <w:r w:rsidR="00907952">
        <w:rPr>
          <w:sz w:val="20"/>
          <w:szCs w:val="20"/>
        </w:rPr>
        <w:t xml:space="preserve"> </w:t>
      </w:r>
      <w:r w:rsidRPr="00FC3B7C">
        <w:rPr>
          <w:rFonts w:eastAsia="Times New Roman"/>
          <w:b/>
          <w:bCs/>
        </w:rPr>
        <w:t>průmyslových výrobků</w:t>
      </w:r>
      <w:r w:rsidRPr="00FC3B7C">
        <w:rPr>
          <w:rFonts w:eastAsia="Times New Roman"/>
        </w:rPr>
        <w:t>, ale ne u zemědělských produktů</w:t>
      </w:r>
      <w:r w:rsidRPr="00FC3B7C">
        <w:rPr>
          <w:rFonts w:eastAsia="Times New Roman"/>
          <w:b/>
          <w:bCs/>
        </w:rPr>
        <w:t xml:space="preserve"> </w:t>
      </w:r>
      <w:r w:rsidRPr="00FC3B7C">
        <w:rPr>
          <w:rFonts w:eastAsia="Times New Roman"/>
        </w:rPr>
        <w:t>(zde je dominantním partnerem</w:t>
      </w:r>
      <w:r w:rsidRPr="00FC3B7C">
        <w:rPr>
          <w:rFonts w:eastAsia="Times New Roman"/>
          <w:b/>
          <w:bCs/>
        </w:rPr>
        <w:t xml:space="preserve"> </w:t>
      </w:r>
      <w:r w:rsidRPr="00FC3B7C">
        <w:rPr>
          <w:rFonts w:eastAsia="Times New Roman"/>
        </w:rPr>
        <w:t>EU).</w:t>
      </w:r>
    </w:p>
    <w:p w14:paraId="4A6F4EAB" w14:textId="77777777" w:rsidR="00CE6695" w:rsidRPr="00FC3B7C" w:rsidRDefault="00CE6695" w:rsidP="00CE6695">
      <w:pPr>
        <w:spacing w:line="366" w:lineRule="exact"/>
        <w:rPr>
          <w:sz w:val="20"/>
          <w:szCs w:val="20"/>
        </w:rPr>
      </w:pPr>
    </w:p>
    <w:p w14:paraId="4A6F4EAC" w14:textId="1FC05767" w:rsidR="00CE6695" w:rsidRPr="00FC3B7C" w:rsidRDefault="0070178B" w:rsidP="00CE6695">
      <w:pPr>
        <w:pStyle w:val="Nadpis3"/>
        <w:rPr>
          <w:rFonts w:cs="Times New Roman"/>
          <w:sz w:val="20"/>
          <w:szCs w:val="20"/>
        </w:rPr>
      </w:pPr>
      <w:r>
        <w:rPr>
          <w:rFonts w:eastAsia="Times New Roman" w:cs="Times New Roman"/>
        </w:rPr>
        <w:t xml:space="preserve"> </w:t>
      </w:r>
      <w:r w:rsidR="00CE6695" w:rsidRPr="0070178B">
        <w:rPr>
          <w:rFonts w:eastAsia="Times New Roman" w:cs="Times New Roman"/>
          <w:color w:val="1F3864" w:themeColor="accent1" w:themeShade="80"/>
        </w:rPr>
        <w:t>ASEAN (Sdružení národů jihovýchodní Asie)</w:t>
      </w:r>
    </w:p>
    <w:p w14:paraId="4A6F4EAD" w14:textId="77777777" w:rsidR="00CE6695" w:rsidRPr="00FC3B7C" w:rsidRDefault="00CE6695" w:rsidP="00907952">
      <w:pPr>
        <w:ind w:firstLine="720"/>
        <w:rPr>
          <w:sz w:val="20"/>
          <w:szCs w:val="20"/>
        </w:rPr>
      </w:pPr>
      <w:r w:rsidRPr="00FC3B7C">
        <w:rPr>
          <w:rFonts w:eastAsia="Times New Roman"/>
        </w:rPr>
        <w:t xml:space="preserve">Předchůdcem ASEAN byla </w:t>
      </w:r>
      <w:r w:rsidRPr="00FC3B7C">
        <w:rPr>
          <w:rFonts w:eastAsia="Times New Roman"/>
          <w:b/>
          <w:bCs/>
        </w:rPr>
        <w:t>ASA</w:t>
      </w:r>
      <w:r w:rsidRPr="00FC3B7C">
        <w:rPr>
          <w:rFonts w:eastAsia="Times New Roman"/>
        </w:rPr>
        <w:t xml:space="preserve"> (Asociace jižní Asie), jejímiž členy byly státy: Filipíny, Malajsie a Thajsko. Založen tzv. </w:t>
      </w:r>
      <w:r w:rsidRPr="00FC3B7C">
        <w:rPr>
          <w:rFonts w:eastAsia="Times New Roman"/>
          <w:b/>
          <w:bCs/>
        </w:rPr>
        <w:t>Bangkokskou deklarací</w:t>
      </w:r>
      <w:r w:rsidRPr="00FC3B7C">
        <w:rPr>
          <w:rFonts w:eastAsia="Times New Roman"/>
        </w:rPr>
        <w:t xml:space="preserve"> 8. 8.</w:t>
      </w:r>
      <w:r w:rsidRPr="00FC3B7C">
        <w:rPr>
          <w:rFonts w:eastAsia="Times New Roman"/>
          <w:b/>
          <w:bCs/>
        </w:rPr>
        <w:t>1967</w:t>
      </w:r>
      <w:r w:rsidRPr="00FC3B7C">
        <w:rPr>
          <w:rFonts w:eastAsia="Times New Roman"/>
        </w:rPr>
        <w:t xml:space="preserve"> (</w:t>
      </w:r>
      <w:r w:rsidRPr="00FC3B7C">
        <w:rPr>
          <w:rFonts w:eastAsia="Times New Roman"/>
          <w:b/>
          <w:bCs/>
        </w:rPr>
        <w:t>Filipíny, Malajsie,</w:t>
      </w:r>
      <w:r w:rsidRPr="00FC3B7C">
        <w:rPr>
          <w:rFonts w:eastAsia="Times New Roman"/>
        </w:rPr>
        <w:t xml:space="preserve"> </w:t>
      </w:r>
      <w:r w:rsidRPr="00FC3B7C">
        <w:rPr>
          <w:rFonts w:eastAsia="Times New Roman"/>
          <w:b/>
          <w:bCs/>
        </w:rPr>
        <w:t>Thajsko, Indonésie, Singapur</w:t>
      </w:r>
      <w:r w:rsidRPr="00FC3B7C">
        <w:rPr>
          <w:rFonts w:eastAsia="Times New Roman"/>
        </w:rPr>
        <w:t>).</w:t>
      </w:r>
    </w:p>
    <w:p w14:paraId="4A6F4EAE" w14:textId="77777777" w:rsidR="00CE6695" w:rsidRPr="00FC3B7C" w:rsidRDefault="00CE6695" w:rsidP="00907952">
      <w:pPr>
        <w:ind w:firstLine="720"/>
        <w:rPr>
          <w:sz w:val="20"/>
          <w:szCs w:val="20"/>
        </w:rPr>
      </w:pPr>
      <w:r w:rsidRPr="00FC3B7C">
        <w:rPr>
          <w:rFonts w:eastAsia="Times New Roman"/>
        </w:rPr>
        <w:t xml:space="preserve">Dnes sdružuje </w:t>
      </w:r>
      <w:r w:rsidRPr="00FC3B7C">
        <w:rPr>
          <w:rFonts w:eastAsia="Times New Roman"/>
          <w:b/>
          <w:bCs/>
        </w:rPr>
        <w:t>10 států</w:t>
      </w:r>
      <w:r w:rsidRPr="00FC3B7C">
        <w:rPr>
          <w:rFonts w:eastAsia="Times New Roman"/>
        </w:rPr>
        <w:t xml:space="preserve"> </w:t>
      </w:r>
      <w:r w:rsidRPr="00FC3B7C">
        <w:rPr>
          <w:rFonts w:eastAsia="Times New Roman"/>
          <w:b/>
          <w:bCs/>
        </w:rPr>
        <w:t>jihovýchodní Asie</w:t>
      </w:r>
      <w:r w:rsidRPr="00FC3B7C">
        <w:rPr>
          <w:rFonts w:eastAsia="Times New Roman"/>
        </w:rPr>
        <w:t>: Brunej, Filipíny, Indonésii, Kambodžu, Laos, Malajsii, Barma (Myanmar), Singapur, Thajsko a Vietnam.</w:t>
      </w:r>
    </w:p>
    <w:p w14:paraId="4A6F4EAF" w14:textId="77777777" w:rsidR="00CE6695" w:rsidRPr="00FC3B7C" w:rsidRDefault="00CE6695" w:rsidP="00907952">
      <w:pPr>
        <w:ind w:firstLine="720"/>
        <w:rPr>
          <w:sz w:val="20"/>
          <w:szCs w:val="20"/>
        </w:rPr>
      </w:pPr>
      <w:r w:rsidRPr="00FC3B7C">
        <w:rPr>
          <w:rFonts w:eastAsia="Times New Roman"/>
        </w:rPr>
        <w:t xml:space="preserve">Vzniklo </w:t>
      </w:r>
      <w:r w:rsidRPr="00FC3B7C">
        <w:rPr>
          <w:rFonts w:eastAsia="Times New Roman"/>
          <w:b/>
          <w:bCs/>
        </w:rPr>
        <w:t>z politicko-bezpečnostních důvodů</w:t>
      </w:r>
      <w:r w:rsidRPr="00FC3B7C">
        <w:rPr>
          <w:rFonts w:eastAsia="Times New Roman"/>
        </w:rPr>
        <w:t xml:space="preserve"> (studená válka). Do začátku 90. let nízký stupeň integrace (různé formy politické, ekonomické spolupráce). Po skončení studené války důraz na ekonomickou integraci -&gt; </w:t>
      </w:r>
      <w:r w:rsidRPr="00FC3B7C">
        <w:rPr>
          <w:rFonts w:eastAsia="Times New Roman"/>
          <w:b/>
          <w:bCs/>
        </w:rPr>
        <w:t>1992</w:t>
      </w:r>
      <w:r w:rsidRPr="00FC3B7C">
        <w:rPr>
          <w:rFonts w:eastAsia="Times New Roman"/>
        </w:rPr>
        <w:t xml:space="preserve"> dohoda o vytvoření </w:t>
      </w:r>
      <w:r w:rsidRPr="00FC3B7C">
        <w:rPr>
          <w:rFonts w:eastAsia="Times New Roman"/>
          <w:b/>
          <w:bCs/>
        </w:rPr>
        <w:t>pásma volného obchodu.</w:t>
      </w:r>
    </w:p>
    <w:p w14:paraId="4A6F4EB0" w14:textId="77777777" w:rsidR="00CE6695" w:rsidRPr="00FC3B7C" w:rsidRDefault="00CE6695" w:rsidP="00907952">
      <w:pPr>
        <w:ind w:firstLine="576"/>
        <w:rPr>
          <w:sz w:val="20"/>
          <w:szCs w:val="20"/>
        </w:rPr>
      </w:pPr>
      <w:r w:rsidRPr="00FC3B7C">
        <w:rPr>
          <w:rFonts w:eastAsia="Times New Roman"/>
        </w:rPr>
        <w:t xml:space="preserve">Integrační cíl - volný pohyb zboží, služeb a kapitálů a selektivní uvolňování pohybu pracovních sil (podnikatelů, studentů, kvalifikovaných pracovníků) - v podstatě </w:t>
      </w:r>
      <w:r w:rsidRPr="00FC3B7C">
        <w:rPr>
          <w:rFonts w:eastAsia="Times New Roman"/>
          <w:b/>
          <w:bCs/>
        </w:rPr>
        <w:t>snaha o</w:t>
      </w:r>
      <w:r w:rsidRPr="00FC3B7C">
        <w:rPr>
          <w:rFonts w:eastAsia="Times New Roman"/>
        </w:rPr>
        <w:t xml:space="preserve"> </w:t>
      </w:r>
      <w:r w:rsidRPr="00FC3B7C">
        <w:rPr>
          <w:rFonts w:eastAsia="Times New Roman"/>
          <w:b/>
          <w:bCs/>
        </w:rPr>
        <w:t>společný trh</w:t>
      </w:r>
    </w:p>
    <w:p w14:paraId="4A6F4EB1" w14:textId="77777777" w:rsidR="00CE6695" w:rsidRPr="00FC3B7C" w:rsidRDefault="00CE6695" w:rsidP="00CE6695">
      <w:pPr>
        <w:spacing w:line="218" w:lineRule="exact"/>
        <w:rPr>
          <w:sz w:val="20"/>
          <w:szCs w:val="20"/>
        </w:rPr>
      </w:pPr>
    </w:p>
    <w:p w14:paraId="4A6F4EB2" w14:textId="77777777" w:rsidR="00CE6695" w:rsidRPr="00FC3B7C" w:rsidRDefault="00CE6695" w:rsidP="00CE6695">
      <w:pPr>
        <w:spacing w:line="218" w:lineRule="exact"/>
        <w:rPr>
          <w:sz w:val="20"/>
          <w:szCs w:val="20"/>
        </w:rPr>
      </w:pPr>
    </w:p>
    <w:p w14:paraId="3101276C" w14:textId="77777777" w:rsidR="00907952" w:rsidRDefault="00907952">
      <w:pPr>
        <w:spacing w:line="240" w:lineRule="auto"/>
        <w:jc w:val="left"/>
        <w:rPr>
          <w:rFonts w:eastAsiaTheme="majorEastAsia"/>
          <w:b/>
          <w:sz w:val="28"/>
          <w:szCs w:val="26"/>
        </w:rPr>
      </w:pPr>
      <w:r>
        <w:br w:type="page"/>
      </w:r>
    </w:p>
    <w:p w14:paraId="4A6F4EB3" w14:textId="0082B25C" w:rsidR="00CE6695" w:rsidRPr="0070178B" w:rsidRDefault="00CE6695" w:rsidP="00CE6695">
      <w:pPr>
        <w:pStyle w:val="Nadpis2"/>
        <w:rPr>
          <w:rFonts w:cs="Times New Roman"/>
          <w:b w:val="0"/>
          <w:color w:val="1F3864" w:themeColor="accent1" w:themeShade="80"/>
          <w:sz w:val="20"/>
          <w:szCs w:val="20"/>
        </w:rPr>
      </w:pPr>
      <w:r w:rsidRPr="0070178B">
        <w:rPr>
          <w:rFonts w:cs="Times New Roman"/>
          <w:color w:val="1F3864" w:themeColor="accent1" w:themeShade="80"/>
        </w:rPr>
        <w:lastRenderedPageBreak/>
        <w:t>VLIV INTEGRAČNÍCH SESKUPENÍ NA FORMOVÁNÍ</w:t>
      </w:r>
      <w:r w:rsidRPr="0070178B">
        <w:rPr>
          <w:rFonts w:cs="Times New Roman"/>
          <w:color w:val="1F3864" w:themeColor="accent1" w:themeShade="80"/>
          <w:sz w:val="20"/>
          <w:szCs w:val="20"/>
        </w:rPr>
        <w:t xml:space="preserve"> </w:t>
      </w:r>
      <w:r w:rsidRPr="0070178B">
        <w:rPr>
          <w:rFonts w:cs="Times New Roman"/>
          <w:color w:val="1F3864" w:themeColor="accent1" w:themeShade="80"/>
        </w:rPr>
        <w:t>HOSPODÁŘSKÝCH POLITIK</w:t>
      </w:r>
    </w:p>
    <w:p w14:paraId="4A6F4EB4" w14:textId="77777777" w:rsidR="00CE6695" w:rsidRPr="00FC3B7C" w:rsidRDefault="00CE6695" w:rsidP="00CE6695">
      <w:pPr>
        <w:spacing w:line="200" w:lineRule="exact"/>
        <w:rPr>
          <w:sz w:val="20"/>
          <w:szCs w:val="20"/>
        </w:rPr>
      </w:pPr>
    </w:p>
    <w:p w14:paraId="4A6F4EB5" w14:textId="77777777" w:rsidR="00CE6695" w:rsidRPr="0070178B" w:rsidRDefault="00CE6695" w:rsidP="00CE6695">
      <w:pPr>
        <w:pStyle w:val="Nadpis3"/>
        <w:rPr>
          <w:rFonts w:cs="Times New Roman"/>
          <w:color w:val="1F3864" w:themeColor="accent1" w:themeShade="80"/>
          <w:sz w:val="20"/>
          <w:szCs w:val="20"/>
        </w:rPr>
      </w:pPr>
      <w:r w:rsidRPr="0070178B">
        <w:rPr>
          <w:rFonts w:eastAsia="Times New Roman" w:cs="Times New Roman"/>
          <w:color w:val="1F3864" w:themeColor="accent1" w:themeShade="80"/>
        </w:rPr>
        <w:t>Politická teorie integrace</w:t>
      </w:r>
    </w:p>
    <w:p w14:paraId="7A1BE8B4" w14:textId="77777777" w:rsidR="00907952" w:rsidRDefault="00CE6695" w:rsidP="00907952">
      <w:pPr>
        <w:ind w:right="1162" w:firstLine="356"/>
        <w:rPr>
          <w:rFonts w:eastAsia="Times New Roman"/>
          <w:szCs w:val="24"/>
        </w:rPr>
      </w:pPr>
      <w:r w:rsidRPr="00FC3B7C">
        <w:rPr>
          <w:rFonts w:eastAsia="Times New Roman"/>
          <w:szCs w:val="24"/>
        </w:rPr>
        <w:t>Zvažuje možné přístupy k integraci se zahrnutím pozitivní</w:t>
      </w:r>
      <w:r w:rsidR="00907952">
        <w:rPr>
          <w:rFonts w:eastAsia="Times New Roman"/>
          <w:szCs w:val="24"/>
        </w:rPr>
        <w:t xml:space="preserve"> </w:t>
      </w:r>
      <w:r w:rsidRPr="00FC3B7C">
        <w:rPr>
          <w:rFonts w:eastAsia="Times New Roman"/>
          <w:szCs w:val="24"/>
        </w:rPr>
        <w:t>integrace</w:t>
      </w:r>
      <w:r w:rsidR="00907952">
        <w:rPr>
          <w:rFonts w:eastAsia="Times New Roman"/>
          <w:szCs w:val="24"/>
        </w:rPr>
        <w:t>.</w:t>
      </w:r>
    </w:p>
    <w:p w14:paraId="30FAD632" w14:textId="355ADEA3" w:rsidR="00907952" w:rsidRDefault="00CE6695" w:rsidP="00907952">
      <w:pPr>
        <w:ind w:right="1162" w:firstLine="356"/>
        <w:rPr>
          <w:rFonts w:eastAsia="Times New Roman"/>
          <w:szCs w:val="24"/>
        </w:rPr>
      </w:pPr>
      <w:r w:rsidRPr="00FC3B7C">
        <w:rPr>
          <w:rFonts w:eastAsia="Times New Roman"/>
          <w:szCs w:val="24"/>
        </w:rPr>
        <w:t xml:space="preserve"> </w:t>
      </w:r>
    </w:p>
    <w:p w14:paraId="4A6F4EB6" w14:textId="14523653" w:rsidR="00CE6695" w:rsidRPr="00FC3B7C" w:rsidRDefault="00CE6695" w:rsidP="00907952">
      <w:pPr>
        <w:ind w:right="2540" w:firstLine="356"/>
        <w:rPr>
          <w:sz w:val="20"/>
          <w:szCs w:val="20"/>
        </w:rPr>
      </w:pPr>
      <w:r w:rsidRPr="00FC3B7C">
        <w:rPr>
          <w:rFonts w:eastAsia="Times New Roman"/>
          <w:b/>
          <w:bCs/>
          <w:szCs w:val="24"/>
        </w:rPr>
        <w:t>Federalismus</w:t>
      </w:r>
    </w:p>
    <w:p w14:paraId="4A6F4EB7" w14:textId="7B430534" w:rsidR="00CE6695" w:rsidRPr="00FC3B7C" w:rsidRDefault="00907952" w:rsidP="00D46B53">
      <w:pPr>
        <w:numPr>
          <w:ilvl w:val="0"/>
          <w:numId w:val="436"/>
        </w:numPr>
        <w:tabs>
          <w:tab w:val="left" w:pos="720"/>
        </w:tabs>
        <w:ind w:left="720" w:hanging="364"/>
        <w:rPr>
          <w:rFonts w:eastAsia="Arial"/>
          <w:szCs w:val="24"/>
        </w:rPr>
      </w:pPr>
      <w:r>
        <w:rPr>
          <w:rFonts w:eastAsia="Times New Roman"/>
          <w:b/>
          <w:bCs/>
          <w:szCs w:val="24"/>
        </w:rPr>
        <w:t>N</w:t>
      </w:r>
      <w:r w:rsidR="00CE6695" w:rsidRPr="00FC3B7C">
        <w:rPr>
          <w:rFonts w:eastAsia="Times New Roman"/>
          <w:b/>
          <w:bCs/>
          <w:szCs w:val="24"/>
        </w:rPr>
        <w:t xml:space="preserve">ejstarší přístup </w:t>
      </w:r>
      <w:r w:rsidR="00CE6695" w:rsidRPr="00FC3B7C">
        <w:rPr>
          <w:rFonts w:eastAsia="Times New Roman"/>
          <w:szCs w:val="24"/>
        </w:rPr>
        <w:t>k integraci</w:t>
      </w:r>
    </w:p>
    <w:p w14:paraId="4A6F4EB8" w14:textId="05D0ADE1" w:rsidR="00CE6695" w:rsidRPr="00FC3B7C" w:rsidRDefault="00907952" w:rsidP="00D46B53">
      <w:pPr>
        <w:numPr>
          <w:ilvl w:val="0"/>
          <w:numId w:val="436"/>
        </w:numPr>
        <w:tabs>
          <w:tab w:val="left" w:pos="720"/>
        </w:tabs>
        <w:ind w:left="720" w:hanging="364"/>
        <w:rPr>
          <w:rFonts w:eastAsia="Arial"/>
          <w:szCs w:val="24"/>
        </w:rPr>
      </w:pPr>
      <w:r>
        <w:rPr>
          <w:rFonts w:eastAsia="Times New Roman"/>
          <w:szCs w:val="24"/>
        </w:rPr>
        <w:t>V</w:t>
      </w:r>
      <w:r w:rsidR="00CE6695" w:rsidRPr="00FC3B7C">
        <w:rPr>
          <w:rFonts w:eastAsia="Times New Roman"/>
          <w:szCs w:val="24"/>
        </w:rPr>
        <w:t xml:space="preserve"> praxi uplatněn např. v </w:t>
      </w:r>
      <w:r w:rsidR="00CE6695" w:rsidRPr="00FC3B7C">
        <w:rPr>
          <w:rFonts w:eastAsia="Times New Roman"/>
          <w:b/>
          <w:bCs/>
          <w:szCs w:val="24"/>
        </w:rPr>
        <w:t>USA</w:t>
      </w:r>
      <w:r w:rsidR="00CE6695" w:rsidRPr="00FC3B7C">
        <w:rPr>
          <w:rFonts w:eastAsia="Times New Roman"/>
          <w:szCs w:val="24"/>
        </w:rPr>
        <w:t xml:space="preserve">, Švýcarsku, Holandsku, v minulosti R-U, </w:t>
      </w:r>
      <w:r w:rsidR="00CE6695" w:rsidRPr="00FC3B7C">
        <w:rPr>
          <w:rFonts w:eastAsia="Times New Roman"/>
          <w:b/>
          <w:bCs/>
          <w:szCs w:val="24"/>
        </w:rPr>
        <w:t>ČSFR</w:t>
      </w:r>
    </w:p>
    <w:p w14:paraId="4A6F4EB9" w14:textId="1347D970" w:rsidR="00CE6695" w:rsidRPr="00FC3B7C" w:rsidRDefault="00907952" w:rsidP="00D46B53">
      <w:pPr>
        <w:numPr>
          <w:ilvl w:val="0"/>
          <w:numId w:val="436"/>
        </w:numPr>
        <w:tabs>
          <w:tab w:val="left" w:pos="720"/>
        </w:tabs>
        <w:ind w:left="720" w:hanging="364"/>
        <w:rPr>
          <w:rFonts w:eastAsia="Arial"/>
          <w:szCs w:val="24"/>
        </w:rPr>
      </w:pPr>
      <w:r>
        <w:rPr>
          <w:rFonts w:eastAsia="Times New Roman"/>
          <w:szCs w:val="24"/>
        </w:rPr>
        <w:t>N</w:t>
      </w:r>
      <w:r w:rsidR="00CE6695" w:rsidRPr="00FC3B7C">
        <w:rPr>
          <w:rFonts w:eastAsia="Times New Roman"/>
          <w:szCs w:val="24"/>
        </w:rPr>
        <w:t>a začátku předpokládá vznik federální ústavy a politických institucí</w:t>
      </w:r>
    </w:p>
    <w:p w14:paraId="4A6F4EBA" w14:textId="6DB248B1" w:rsidR="00CE6695" w:rsidRPr="00FC3B7C" w:rsidRDefault="00907952" w:rsidP="00D46B53">
      <w:pPr>
        <w:numPr>
          <w:ilvl w:val="0"/>
          <w:numId w:val="436"/>
        </w:numPr>
        <w:tabs>
          <w:tab w:val="left" w:pos="720"/>
        </w:tabs>
        <w:ind w:left="720" w:right="20" w:hanging="364"/>
        <w:rPr>
          <w:rFonts w:eastAsia="Arial"/>
          <w:szCs w:val="24"/>
        </w:rPr>
      </w:pPr>
      <w:r>
        <w:rPr>
          <w:rFonts w:eastAsia="Times New Roman"/>
          <w:szCs w:val="24"/>
        </w:rPr>
        <w:t>J</w:t>
      </w:r>
      <w:r w:rsidR="00CE6695" w:rsidRPr="00FC3B7C">
        <w:rPr>
          <w:rFonts w:eastAsia="Times New Roman"/>
          <w:szCs w:val="24"/>
        </w:rPr>
        <w:t>ádrem je způsob rozdělení exekutivní moci tak, aby HP ústřední vlády i regionálních vlád</w:t>
      </w:r>
    </w:p>
    <w:p w14:paraId="4A6F4EBB" w14:textId="4AF325AE" w:rsidR="00CE6695" w:rsidRPr="00DC5ED2" w:rsidRDefault="00907952" w:rsidP="00D46B53">
      <w:pPr>
        <w:numPr>
          <w:ilvl w:val="0"/>
          <w:numId w:val="436"/>
        </w:numPr>
        <w:tabs>
          <w:tab w:val="left" w:pos="720"/>
        </w:tabs>
        <w:ind w:left="720" w:hanging="364"/>
        <w:rPr>
          <w:rFonts w:eastAsia="Arial"/>
          <w:szCs w:val="24"/>
        </w:rPr>
      </w:pPr>
      <w:r>
        <w:rPr>
          <w:rFonts w:eastAsia="Times New Roman"/>
          <w:szCs w:val="24"/>
        </w:rPr>
        <w:t>B</w:t>
      </w:r>
      <w:r w:rsidR="00CE6695" w:rsidRPr="00DC5ED2">
        <w:rPr>
          <w:rFonts w:eastAsia="Times New Roman"/>
          <w:szCs w:val="24"/>
        </w:rPr>
        <w:t xml:space="preserve">yla koordinována a přitom si </w:t>
      </w:r>
      <w:r w:rsidR="00CE6695" w:rsidRPr="00DC5ED2">
        <w:rPr>
          <w:rFonts w:eastAsia="Times New Roman"/>
          <w:b/>
          <w:bCs/>
          <w:szCs w:val="24"/>
        </w:rPr>
        <w:t>regionální vlády</w:t>
      </w:r>
      <w:r w:rsidR="00CE6695" w:rsidRPr="00DC5ED2">
        <w:rPr>
          <w:rFonts w:eastAsia="Times New Roman"/>
          <w:szCs w:val="24"/>
        </w:rPr>
        <w:t xml:space="preserve"> zachovaly </w:t>
      </w:r>
      <w:r w:rsidR="00CE6695" w:rsidRPr="00DC5ED2">
        <w:rPr>
          <w:rFonts w:eastAsia="Times New Roman"/>
          <w:b/>
          <w:bCs/>
          <w:szCs w:val="24"/>
        </w:rPr>
        <w:t>určitou nezávislost</w:t>
      </w:r>
    </w:p>
    <w:p w14:paraId="4A6F4EBC" w14:textId="37EFCF7F" w:rsidR="00CE6695" w:rsidRPr="00FC3B7C" w:rsidRDefault="00907952" w:rsidP="00D46B53">
      <w:pPr>
        <w:numPr>
          <w:ilvl w:val="0"/>
          <w:numId w:val="436"/>
        </w:numPr>
        <w:tabs>
          <w:tab w:val="left" w:pos="720"/>
        </w:tabs>
        <w:ind w:left="720" w:right="20" w:hanging="364"/>
        <w:rPr>
          <w:rFonts w:eastAsia="Arial"/>
          <w:szCs w:val="24"/>
        </w:rPr>
      </w:pPr>
      <w:r>
        <w:rPr>
          <w:rFonts w:eastAsia="Times New Roman"/>
          <w:b/>
          <w:bCs/>
          <w:szCs w:val="24"/>
        </w:rPr>
        <w:t>M</w:t>
      </w:r>
      <w:r w:rsidR="00CE6695" w:rsidRPr="00FC3B7C">
        <w:rPr>
          <w:rFonts w:eastAsia="Times New Roman"/>
          <w:b/>
          <w:bCs/>
          <w:szCs w:val="24"/>
        </w:rPr>
        <w:t xml:space="preserve">oc centrální vlády </w:t>
      </w:r>
      <w:r w:rsidR="00CE6695" w:rsidRPr="00FC3B7C">
        <w:rPr>
          <w:rFonts w:eastAsia="Times New Roman"/>
          <w:szCs w:val="24"/>
        </w:rPr>
        <w:t>musí být jasným způsobem</w:t>
      </w:r>
      <w:r w:rsidR="00CE6695" w:rsidRPr="00FC3B7C">
        <w:rPr>
          <w:rFonts w:eastAsia="Times New Roman"/>
          <w:b/>
          <w:bCs/>
          <w:szCs w:val="24"/>
        </w:rPr>
        <w:t xml:space="preserve"> vymezena a omezena </w:t>
      </w:r>
      <w:r w:rsidR="00CE6695" w:rsidRPr="00FC3B7C">
        <w:rPr>
          <w:rFonts w:eastAsia="Times New Roman"/>
          <w:szCs w:val="24"/>
        </w:rPr>
        <w:t>na základě</w:t>
      </w:r>
      <w:r w:rsidR="00CE6695" w:rsidRPr="00FC3B7C">
        <w:rPr>
          <w:rFonts w:eastAsia="Times New Roman"/>
          <w:b/>
          <w:bCs/>
          <w:szCs w:val="24"/>
        </w:rPr>
        <w:t xml:space="preserve"> </w:t>
      </w:r>
      <w:r w:rsidR="00CE6695" w:rsidRPr="00FC3B7C">
        <w:rPr>
          <w:rFonts w:eastAsia="Times New Roman"/>
          <w:szCs w:val="24"/>
        </w:rPr>
        <w:t>vůle</w:t>
      </w:r>
    </w:p>
    <w:p w14:paraId="4A6F4EBD" w14:textId="174423C6" w:rsidR="00CE6695" w:rsidRPr="00FC3B7C" w:rsidRDefault="00907952" w:rsidP="00D46B53">
      <w:pPr>
        <w:numPr>
          <w:ilvl w:val="0"/>
          <w:numId w:val="436"/>
        </w:numPr>
        <w:tabs>
          <w:tab w:val="left" w:pos="720"/>
        </w:tabs>
        <w:ind w:left="720" w:right="20" w:hanging="364"/>
        <w:rPr>
          <w:rFonts w:eastAsia="Arial"/>
          <w:szCs w:val="24"/>
        </w:rPr>
      </w:pPr>
      <w:r>
        <w:rPr>
          <w:rFonts w:eastAsia="Times New Roman"/>
          <w:szCs w:val="24"/>
        </w:rPr>
        <w:t>O</w:t>
      </w:r>
      <w:r w:rsidR="00CE6695" w:rsidRPr="00FC3B7C">
        <w:rPr>
          <w:rFonts w:eastAsia="Times New Roman"/>
          <w:szCs w:val="24"/>
        </w:rPr>
        <w:t xml:space="preserve">bčany volených zástupců celé unie - vznik </w:t>
      </w:r>
      <w:r w:rsidR="00CE6695" w:rsidRPr="00FC3B7C">
        <w:rPr>
          <w:rFonts w:eastAsia="Times New Roman"/>
          <w:b/>
          <w:bCs/>
          <w:szCs w:val="24"/>
        </w:rPr>
        <w:t>federální zákonodárné moci</w:t>
      </w:r>
      <w:r w:rsidR="00CE6695" w:rsidRPr="00FC3B7C">
        <w:rPr>
          <w:rFonts w:eastAsia="Times New Roman"/>
          <w:szCs w:val="24"/>
        </w:rPr>
        <w:t xml:space="preserve"> a také </w:t>
      </w:r>
      <w:r w:rsidR="00CE6695" w:rsidRPr="00FC3B7C">
        <w:rPr>
          <w:rFonts w:eastAsia="Times New Roman"/>
          <w:b/>
          <w:bCs/>
          <w:szCs w:val="24"/>
        </w:rPr>
        <w:t>moci</w:t>
      </w:r>
      <w:r w:rsidR="00CE6695" w:rsidRPr="00FC3B7C">
        <w:rPr>
          <w:rFonts w:eastAsia="Times New Roman"/>
          <w:szCs w:val="24"/>
        </w:rPr>
        <w:t xml:space="preserve"> </w:t>
      </w:r>
      <w:r w:rsidR="00CE6695" w:rsidRPr="00FC3B7C">
        <w:rPr>
          <w:rFonts w:eastAsia="Times New Roman"/>
          <w:b/>
          <w:bCs/>
          <w:szCs w:val="24"/>
        </w:rPr>
        <w:t>soudní</w:t>
      </w:r>
    </w:p>
    <w:p w14:paraId="4A6F4EBE" w14:textId="77777777" w:rsidR="00CE6695" w:rsidRPr="004975AA" w:rsidRDefault="00CE6695" w:rsidP="00DC5ED2">
      <w:pPr>
        <w:rPr>
          <w:b/>
          <w:sz w:val="20"/>
          <w:szCs w:val="20"/>
        </w:rPr>
      </w:pPr>
      <w:r w:rsidRPr="004975AA">
        <w:rPr>
          <w:rFonts w:eastAsia="Times New Roman"/>
          <w:b/>
        </w:rPr>
        <w:t>Funkcionalismus</w:t>
      </w:r>
    </w:p>
    <w:p w14:paraId="4A6F4EBF" w14:textId="74CE8FFB" w:rsidR="00CE6695" w:rsidRPr="00FC3B7C" w:rsidRDefault="00907952" w:rsidP="00D46B53">
      <w:pPr>
        <w:numPr>
          <w:ilvl w:val="0"/>
          <w:numId w:val="437"/>
        </w:numPr>
        <w:tabs>
          <w:tab w:val="left" w:pos="720"/>
        </w:tabs>
        <w:ind w:left="720" w:hanging="364"/>
        <w:rPr>
          <w:rFonts w:eastAsia="Arial"/>
          <w:szCs w:val="24"/>
        </w:rPr>
      </w:pPr>
      <w:r>
        <w:rPr>
          <w:rFonts w:eastAsia="Times New Roman"/>
          <w:szCs w:val="24"/>
        </w:rPr>
        <w:t>N</w:t>
      </w:r>
      <w:r w:rsidR="00CE6695" w:rsidRPr="00FC3B7C">
        <w:rPr>
          <w:rFonts w:eastAsia="Times New Roman"/>
          <w:szCs w:val="24"/>
        </w:rPr>
        <w:t>edoporučuje vytvářet závazné zákonné normy a pevný systém institucí</w:t>
      </w:r>
    </w:p>
    <w:p w14:paraId="4A6F4EC0" w14:textId="6773ED5D" w:rsidR="00CE6695" w:rsidRPr="00FC3B7C" w:rsidRDefault="00907952" w:rsidP="00D46B53">
      <w:pPr>
        <w:numPr>
          <w:ilvl w:val="0"/>
          <w:numId w:val="437"/>
        </w:numPr>
        <w:tabs>
          <w:tab w:val="left" w:pos="720"/>
        </w:tabs>
        <w:ind w:left="720" w:hanging="364"/>
        <w:rPr>
          <w:rFonts w:eastAsia="Arial"/>
          <w:szCs w:val="24"/>
        </w:rPr>
      </w:pPr>
      <w:r>
        <w:rPr>
          <w:rFonts w:eastAsia="Times New Roman"/>
          <w:szCs w:val="24"/>
        </w:rPr>
        <w:t>T</w:t>
      </w:r>
      <w:r w:rsidR="00CE6695" w:rsidRPr="00FC3B7C">
        <w:rPr>
          <w:rFonts w:eastAsia="Times New Roman"/>
          <w:szCs w:val="24"/>
        </w:rPr>
        <w:t>vrdí, že v rámci ekonomické integrace vzniknou nejefektivnější vazby na základě</w:t>
      </w:r>
    </w:p>
    <w:p w14:paraId="4A6F4EC1" w14:textId="1403DFA6" w:rsidR="00CE6695" w:rsidRPr="00FC3B7C" w:rsidRDefault="00907952" w:rsidP="00D46B53">
      <w:pPr>
        <w:numPr>
          <w:ilvl w:val="0"/>
          <w:numId w:val="437"/>
        </w:numPr>
        <w:tabs>
          <w:tab w:val="left" w:pos="720"/>
        </w:tabs>
        <w:ind w:left="720" w:hanging="364"/>
        <w:rPr>
          <w:rFonts w:eastAsia="Arial"/>
          <w:szCs w:val="24"/>
        </w:rPr>
      </w:pPr>
      <w:r>
        <w:rPr>
          <w:rFonts w:eastAsia="Times New Roman"/>
          <w:b/>
          <w:bCs/>
          <w:szCs w:val="24"/>
        </w:rPr>
        <w:t>V</w:t>
      </w:r>
      <w:r w:rsidR="00CE6695" w:rsidRPr="00FC3B7C">
        <w:rPr>
          <w:rFonts w:eastAsia="Times New Roman"/>
          <w:b/>
          <w:bCs/>
          <w:szCs w:val="24"/>
        </w:rPr>
        <w:t>yjednávání nejnižších subjektů trhu</w:t>
      </w:r>
      <w:r w:rsidR="00CE6695" w:rsidRPr="00FC3B7C">
        <w:rPr>
          <w:rFonts w:eastAsia="Times New Roman"/>
          <w:szCs w:val="24"/>
        </w:rPr>
        <w:t>, nikoli na základě</w:t>
      </w:r>
      <w:r w:rsidR="00CE6695" w:rsidRPr="00FC3B7C">
        <w:rPr>
          <w:rFonts w:eastAsia="Times New Roman"/>
          <w:b/>
          <w:bCs/>
          <w:szCs w:val="24"/>
        </w:rPr>
        <w:t xml:space="preserve"> </w:t>
      </w:r>
      <w:r w:rsidR="00CE6695" w:rsidRPr="00FC3B7C">
        <w:rPr>
          <w:rFonts w:eastAsia="Times New Roman"/>
          <w:szCs w:val="24"/>
        </w:rPr>
        <w:t>dohody na nejvyšší úrovni</w:t>
      </w:r>
    </w:p>
    <w:p w14:paraId="4A6F4EC2" w14:textId="0108148C" w:rsidR="00CE6695" w:rsidRPr="00FC3B7C" w:rsidRDefault="00907952" w:rsidP="00D46B53">
      <w:pPr>
        <w:numPr>
          <w:ilvl w:val="0"/>
          <w:numId w:val="437"/>
        </w:numPr>
        <w:tabs>
          <w:tab w:val="left" w:pos="720"/>
        </w:tabs>
        <w:ind w:left="720" w:hanging="364"/>
        <w:rPr>
          <w:rFonts w:eastAsia="Arial"/>
          <w:szCs w:val="24"/>
        </w:rPr>
      </w:pPr>
      <w:r>
        <w:rPr>
          <w:rFonts w:eastAsia="Times New Roman"/>
          <w:b/>
          <w:bCs/>
          <w:szCs w:val="24"/>
        </w:rPr>
        <w:t>I</w:t>
      </w:r>
      <w:r w:rsidR="00CE6695" w:rsidRPr="00FC3B7C">
        <w:rPr>
          <w:rFonts w:eastAsia="Times New Roman"/>
          <w:b/>
          <w:bCs/>
          <w:szCs w:val="24"/>
        </w:rPr>
        <w:t xml:space="preserve">ntegrace </w:t>
      </w:r>
      <w:r w:rsidR="00CE6695" w:rsidRPr="00FC3B7C">
        <w:rPr>
          <w:rFonts w:eastAsia="Times New Roman"/>
          <w:szCs w:val="24"/>
        </w:rPr>
        <w:t>by měla probíhat</w:t>
      </w:r>
      <w:r w:rsidR="00CE6695" w:rsidRPr="00FC3B7C">
        <w:rPr>
          <w:rFonts w:eastAsia="Times New Roman"/>
          <w:b/>
          <w:bCs/>
          <w:szCs w:val="24"/>
        </w:rPr>
        <w:t xml:space="preserve"> spontánně</w:t>
      </w:r>
      <w:r w:rsidR="00CE6695" w:rsidRPr="00FC3B7C">
        <w:rPr>
          <w:rFonts w:eastAsia="Times New Roman"/>
          <w:szCs w:val="24"/>
        </w:rPr>
        <w:t>, vyzdvihuje tedy</w:t>
      </w:r>
      <w:r w:rsidR="00CE6695" w:rsidRPr="00FC3B7C">
        <w:rPr>
          <w:rFonts w:eastAsia="Times New Roman"/>
          <w:b/>
          <w:bCs/>
          <w:szCs w:val="24"/>
        </w:rPr>
        <w:t xml:space="preserve"> negativní integraci</w:t>
      </w:r>
    </w:p>
    <w:p w14:paraId="4A6F4EC3" w14:textId="25B63C67" w:rsidR="00CE6695" w:rsidRPr="00FC3B7C" w:rsidRDefault="00907952" w:rsidP="00D46B53">
      <w:pPr>
        <w:numPr>
          <w:ilvl w:val="0"/>
          <w:numId w:val="437"/>
        </w:numPr>
        <w:tabs>
          <w:tab w:val="left" w:pos="720"/>
        </w:tabs>
        <w:ind w:left="720" w:hanging="364"/>
        <w:rPr>
          <w:rFonts w:eastAsia="Arial"/>
          <w:szCs w:val="24"/>
        </w:rPr>
      </w:pPr>
      <w:r>
        <w:rPr>
          <w:rFonts w:eastAsia="Times New Roman"/>
          <w:szCs w:val="24"/>
        </w:rPr>
        <w:t>P</w:t>
      </w:r>
      <w:r w:rsidR="00CE6695" w:rsidRPr="00FC3B7C">
        <w:rPr>
          <w:rFonts w:eastAsia="Times New Roman"/>
          <w:szCs w:val="24"/>
        </w:rPr>
        <w:t xml:space="preserve">říkladem je </w:t>
      </w:r>
      <w:r w:rsidR="00CE6695" w:rsidRPr="00FC3B7C">
        <w:rPr>
          <w:rFonts w:eastAsia="Times New Roman"/>
          <w:b/>
          <w:bCs/>
          <w:szCs w:val="24"/>
        </w:rPr>
        <w:t>MMF</w:t>
      </w:r>
      <w:r w:rsidR="00CE6695" w:rsidRPr="00FC3B7C">
        <w:rPr>
          <w:rFonts w:eastAsia="Times New Roman"/>
          <w:szCs w:val="24"/>
        </w:rPr>
        <w:t xml:space="preserve"> v období stanovování pravidel pevných měnových kurzů</w:t>
      </w:r>
    </w:p>
    <w:p w14:paraId="4A6F4EC4" w14:textId="77777777" w:rsidR="00CE6695" w:rsidRPr="00FC3B7C" w:rsidRDefault="00CE6695" w:rsidP="00D46B53">
      <w:pPr>
        <w:numPr>
          <w:ilvl w:val="0"/>
          <w:numId w:val="437"/>
        </w:numPr>
        <w:tabs>
          <w:tab w:val="left" w:pos="720"/>
        </w:tabs>
        <w:ind w:left="720" w:hanging="364"/>
        <w:rPr>
          <w:rFonts w:eastAsia="Arial"/>
          <w:szCs w:val="24"/>
        </w:rPr>
      </w:pPr>
      <w:r w:rsidRPr="00FC3B7C">
        <w:rPr>
          <w:rFonts w:eastAsia="Times New Roman"/>
          <w:szCs w:val="24"/>
        </w:rPr>
        <w:t>MMF byl založen jako mezinárodní hospodářský systém, nikoli jako politické uskupení, byl nastaven podle potřeb světového hospodářství tak, aby podporoval přirozené ekonomické vazby</w:t>
      </w:r>
    </w:p>
    <w:p w14:paraId="4A6F4EC5" w14:textId="78477F4E" w:rsidR="00CE6695" w:rsidRPr="00FC3B7C" w:rsidRDefault="00124942" w:rsidP="00D46B53">
      <w:pPr>
        <w:numPr>
          <w:ilvl w:val="0"/>
          <w:numId w:val="437"/>
        </w:numPr>
        <w:tabs>
          <w:tab w:val="left" w:pos="720"/>
        </w:tabs>
        <w:ind w:left="720" w:hanging="364"/>
        <w:rPr>
          <w:rFonts w:eastAsia="Arial"/>
          <w:szCs w:val="24"/>
        </w:rPr>
      </w:pPr>
      <w:r>
        <w:rPr>
          <w:rFonts w:eastAsia="Times New Roman"/>
          <w:szCs w:val="24"/>
        </w:rPr>
        <w:t>P</w:t>
      </w:r>
      <w:r w:rsidRPr="00FC3B7C">
        <w:rPr>
          <w:rFonts w:eastAsia="Times New Roman"/>
          <w:szCs w:val="24"/>
        </w:rPr>
        <w:t>roblémem</w:t>
      </w:r>
      <w:r w:rsidR="00CE6695" w:rsidRPr="00FC3B7C">
        <w:rPr>
          <w:rFonts w:eastAsia="Times New Roman"/>
          <w:szCs w:val="24"/>
        </w:rPr>
        <w:t xml:space="preserve"> funkcionalismu je, že </w:t>
      </w:r>
      <w:r w:rsidR="00CE6695" w:rsidRPr="00FC3B7C">
        <w:rPr>
          <w:rFonts w:eastAsia="Times New Roman"/>
          <w:b/>
          <w:bCs/>
          <w:szCs w:val="24"/>
        </w:rPr>
        <w:t>nebere ohled na</w:t>
      </w:r>
      <w:r w:rsidR="00CE6695" w:rsidRPr="00FC3B7C">
        <w:rPr>
          <w:rFonts w:eastAsia="Times New Roman"/>
          <w:szCs w:val="24"/>
        </w:rPr>
        <w:t xml:space="preserve"> </w:t>
      </w:r>
      <w:r w:rsidR="00CE6695" w:rsidRPr="00FC3B7C">
        <w:rPr>
          <w:rFonts w:eastAsia="Times New Roman"/>
          <w:b/>
          <w:bCs/>
          <w:szCs w:val="24"/>
        </w:rPr>
        <w:t>širší kontext</w:t>
      </w:r>
      <w:r w:rsidR="00CE6695" w:rsidRPr="00FC3B7C">
        <w:rPr>
          <w:rFonts w:eastAsia="Times New Roman"/>
          <w:szCs w:val="24"/>
        </w:rPr>
        <w:t>, v němž se integrační proces uskutečňuje</w:t>
      </w:r>
    </w:p>
    <w:p w14:paraId="4A6F4EC6" w14:textId="77777777" w:rsidR="00CE6695" w:rsidRPr="004975AA" w:rsidRDefault="00CE6695" w:rsidP="00DC5ED2">
      <w:pPr>
        <w:rPr>
          <w:b/>
          <w:sz w:val="20"/>
          <w:szCs w:val="20"/>
        </w:rPr>
      </w:pPr>
      <w:r w:rsidRPr="004975AA">
        <w:rPr>
          <w:rFonts w:eastAsia="Times New Roman"/>
          <w:b/>
        </w:rPr>
        <w:t>Neofunkcionalismus</w:t>
      </w:r>
    </w:p>
    <w:p w14:paraId="4A6F4EC7" w14:textId="02195DA1" w:rsidR="00CE6695" w:rsidRPr="00FC3B7C" w:rsidRDefault="00907952" w:rsidP="00D46B53">
      <w:pPr>
        <w:numPr>
          <w:ilvl w:val="0"/>
          <w:numId w:val="438"/>
        </w:numPr>
        <w:tabs>
          <w:tab w:val="left" w:pos="840"/>
        </w:tabs>
        <w:ind w:left="840" w:hanging="368"/>
        <w:rPr>
          <w:rFonts w:eastAsia="Arial"/>
          <w:szCs w:val="24"/>
        </w:rPr>
      </w:pPr>
      <w:r>
        <w:rPr>
          <w:rFonts w:eastAsia="Times New Roman"/>
          <w:b/>
          <w:bCs/>
          <w:szCs w:val="24"/>
        </w:rPr>
        <w:t>K</w:t>
      </w:r>
      <w:r w:rsidR="00CE6695" w:rsidRPr="00FC3B7C">
        <w:rPr>
          <w:rFonts w:eastAsia="Times New Roman"/>
          <w:b/>
          <w:bCs/>
          <w:szCs w:val="24"/>
        </w:rPr>
        <w:t>ombinace federalismu a funkcionalismu</w:t>
      </w:r>
    </w:p>
    <w:p w14:paraId="4A6F4EC8" w14:textId="2EEDDEA2" w:rsidR="00CE6695" w:rsidRPr="00FC3B7C" w:rsidRDefault="00907952" w:rsidP="00D46B53">
      <w:pPr>
        <w:numPr>
          <w:ilvl w:val="0"/>
          <w:numId w:val="438"/>
        </w:numPr>
        <w:tabs>
          <w:tab w:val="left" w:pos="840"/>
        </w:tabs>
        <w:ind w:left="840" w:right="300" w:hanging="368"/>
        <w:rPr>
          <w:rFonts w:eastAsia="Arial"/>
          <w:szCs w:val="24"/>
        </w:rPr>
      </w:pPr>
      <w:r>
        <w:rPr>
          <w:rFonts w:eastAsia="Times New Roman"/>
          <w:b/>
          <w:bCs/>
          <w:szCs w:val="24"/>
        </w:rPr>
        <w:t>H</w:t>
      </w:r>
      <w:r w:rsidR="00CE6695" w:rsidRPr="00FC3B7C">
        <w:rPr>
          <w:rFonts w:eastAsia="Times New Roman"/>
          <w:b/>
          <w:bCs/>
          <w:szCs w:val="24"/>
        </w:rPr>
        <w:t xml:space="preserve">ospodářské vztahy </w:t>
      </w:r>
      <w:r w:rsidR="00CE6695" w:rsidRPr="00FC3B7C">
        <w:rPr>
          <w:rFonts w:eastAsia="Times New Roman"/>
          <w:szCs w:val="24"/>
        </w:rPr>
        <w:t>mezi jednotlivými zeměmi mají vznikat</w:t>
      </w:r>
      <w:r w:rsidR="00CE6695" w:rsidRPr="00FC3B7C">
        <w:rPr>
          <w:rFonts w:eastAsia="Times New Roman"/>
          <w:b/>
          <w:bCs/>
          <w:szCs w:val="24"/>
        </w:rPr>
        <w:t xml:space="preserve"> spontánně na trhu </w:t>
      </w:r>
      <w:r w:rsidR="00CE6695" w:rsidRPr="00FC3B7C">
        <w:rPr>
          <w:rFonts w:eastAsia="Times New Roman"/>
          <w:szCs w:val="24"/>
        </w:rPr>
        <w:t xml:space="preserve">a teprve </w:t>
      </w:r>
      <w:r w:rsidR="00CE6695" w:rsidRPr="00FC3B7C">
        <w:rPr>
          <w:rFonts w:eastAsia="Times New Roman"/>
          <w:b/>
          <w:bCs/>
          <w:szCs w:val="24"/>
        </w:rPr>
        <w:t>fungují-li efektivně</w:t>
      </w:r>
      <w:r w:rsidR="00CE6695" w:rsidRPr="00FC3B7C">
        <w:rPr>
          <w:rFonts w:eastAsia="Times New Roman"/>
          <w:szCs w:val="24"/>
        </w:rPr>
        <w:t xml:space="preserve">, mají být </w:t>
      </w:r>
      <w:r w:rsidR="00CE6695" w:rsidRPr="00FC3B7C">
        <w:rPr>
          <w:rFonts w:eastAsia="Times New Roman"/>
          <w:b/>
          <w:bCs/>
          <w:szCs w:val="24"/>
        </w:rPr>
        <w:t>zastřešeny vznikem</w:t>
      </w:r>
      <w:r w:rsidR="00CE6695" w:rsidRPr="00FC3B7C">
        <w:rPr>
          <w:rFonts w:eastAsia="Times New Roman"/>
          <w:szCs w:val="24"/>
        </w:rPr>
        <w:t xml:space="preserve"> politických </w:t>
      </w:r>
      <w:r w:rsidR="00CE6695" w:rsidRPr="00FC3B7C">
        <w:rPr>
          <w:rFonts w:eastAsia="Times New Roman"/>
          <w:b/>
          <w:bCs/>
          <w:szCs w:val="24"/>
        </w:rPr>
        <w:t>institucí</w:t>
      </w:r>
      <w:r w:rsidR="00CE6695" w:rsidRPr="00FC3B7C">
        <w:rPr>
          <w:rFonts w:eastAsia="Times New Roman"/>
          <w:szCs w:val="24"/>
        </w:rPr>
        <w:t xml:space="preserve">, které ale </w:t>
      </w:r>
      <w:r w:rsidR="00CE6695" w:rsidRPr="00FC3B7C">
        <w:rPr>
          <w:rFonts w:eastAsia="Times New Roman"/>
          <w:b/>
          <w:bCs/>
          <w:szCs w:val="24"/>
        </w:rPr>
        <w:t>nebudou nadřazeny</w:t>
      </w:r>
      <w:r w:rsidR="00CE6695" w:rsidRPr="00FC3B7C">
        <w:rPr>
          <w:rFonts w:eastAsia="Times New Roman"/>
          <w:szCs w:val="24"/>
        </w:rPr>
        <w:t xml:space="preserve"> členům uskupení</w:t>
      </w:r>
    </w:p>
    <w:p w14:paraId="4A6F4EC9" w14:textId="1146EEE6" w:rsidR="00CE6695" w:rsidRPr="00FC3B7C" w:rsidRDefault="00907952" w:rsidP="00D46B53">
      <w:pPr>
        <w:numPr>
          <w:ilvl w:val="0"/>
          <w:numId w:val="438"/>
        </w:numPr>
        <w:tabs>
          <w:tab w:val="left" w:pos="840"/>
        </w:tabs>
        <w:ind w:left="840" w:hanging="368"/>
        <w:rPr>
          <w:rFonts w:eastAsia="Arial"/>
          <w:szCs w:val="24"/>
        </w:rPr>
      </w:pPr>
      <w:r>
        <w:rPr>
          <w:rFonts w:eastAsia="Times New Roman"/>
          <w:szCs w:val="24"/>
        </w:rPr>
        <w:lastRenderedPageBreak/>
        <w:t>S</w:t>
      </w:r>
      <w:r w:rsidR="00CE6695" w:rsidRPr="00FC3B7C">
        <w:rPr>
          <w:rFonts w:eastAsia="Times New Roman"/>
          <w:szCs w:val="24"/>
        </w:rPr>
        <w:t>polečné aktivity v rámci integrace, které jsou vybrány na základě vůle tržních subjektů,</w:t>
      </w:r>
    </w:p>
    <w:p w14:paraId="4A6F4ECA" w14:textId="7E49A6EF" w:rsidR="00CE6695" w:rsidRPr="00FC3B7C" w:rsidRDefault="00907952" w:rsidP="00D46B53">
      <w:pPr>
        <w:numPr>
          <w:ilvl w:val="0"/>
          <w:numId w:val="438"/>
        </w:numPr>
        <w:tabs>
          <w:tab w:val="left" w:pos="840"/>
        </w:tabs>
        <w:ind w:left="840" w:hanging="368"/>
        <w:rPr>
          <w:rFonts w:eastAsia="Arial"/>
          <w:sz w:val="23"/>
          <w:szCs w:val="23"/>
        </w:rPr>
      </w:pPr>
      <w:r>
        <w:rPr>
          <w:rFonts w:eastAsia="Times New Roman"/>
          <w:sz w:val="23"/>
          <w:szCs w:val="23"/>
        </w:rPr>
        <w:t>B</w:t>
      </w:r>
      <w:r w:rsidR="00CE6695" w:rsidRPr="00FC3B7C">
        <w:rPr>
          <w:rFonts w:eastAsia="Times New Roman"/>
          <w:sz w:val="23"/>
          <w:szCs w:val="23"/>
        </w:rPr>
        <w:t>udou mít vyšší výsledný přínos, než kdyby je jednotlivé země vykonávaly samostatně</w:t>
      </w:r>
    </w:p>
    <w:p w14:paraId="4A6F4ECB" w14:textId="1B622A9B" w:rsidR="00CE6695" w:rsidRPr="00FC3B7C" w:rsidRDefault="00907952" w:rsidP="00D46B53">
      <w:pPr>
        <w:numPr>
          <w:ilvl w:val="0"/>
          <w:numId w:val="439"/>
        </w:numPr>
        <w:tabs>
          <w:tab w:val="left" w:pos="844"/>
        </w:tabs>
        <w:ind w:left="844" w:right="160" w:hanging="368"/>
        <w:rPr>
          <w:rFonts w:eastAsia="Arial"/>
          <w:szCs w:val="24"/>
        </w:rPr>
      </w:pPr>
      <w:r>
        <w:rPr>
          <w:rFonts w:eastAsia="Times New Roman"/>
          <w:szCs w:val="24"/>
        </w:rPr>
        <w:t>P</w:t>
      </w:r>
      <w:r w:rsidR="00CE6695" w:rsidRPr="00FC3B7C">
        <w:rPr>
          <w:rFonts w:eastAsia="Times New Roman"/>
          <w:szCs w:val="24"/>
        </w:rPr>
        <w:t xml:space="preserve">ůsobí zde </w:t>
      </w:r>
      <w:r w:rsidR="00CE6695" w:rsidRPr="00FC3B7C">
        <w:rPr>
          <w:rFonts w:eastAsia="Times New Roman"/>
          <w:b/>
          <w:bCs/>
          <w:szCs w:val="24"/>
        </w:rPr>
        <w:t>spill-over efekt</w:t>
      </w:r>
      <w:r w:rsidR="00CE6695" w:rsidRPr="00FC3B7C">
        <w:rPr>
          <w:rFonts w:eastAsia="Times New Roman"/>
          <w:szCs w:val="24"/>
        </w:rPr>
        <w:t xml:space="preserve"> (efekt přelévání), kdy se </w:t>
      </w:r>
      <w:r w:rsidR="00CE6695" w:rsidRPr="00FC3B7C">
        <w:rPr>
          <w:rFonts w:eastAsia="Times New Roman"/>
          <w:b/>
          <w:bCs/>
          <w:szCs w:val="24"/>
        </w:rPr>
        <w:t>spolupráce rozšiřuje</w:t>
      </w:r>
      <w:r w:rsidR="00CE6695" w:rsidRPr="00FC3B7C">
        <w:rPr>
          <w:rFonts w:eastAsia="Times New Roman"/>
          <w:szCs w:val="24"/>
        </w:rPr>
        <w:t xml:space="preserve"> do dalších oblastí a na základě politických tlaků se integrace může prohloubit i do oblastí, kde je již efektivita společného postupu sporná</w:t>
      </w:r>
    </w:p>
    <w:p w14:paraId="4A6F4ECC" w14:textId="1AEE2A08" w:rsidR="00CE6695" w:rsidRPr="00FC3B7C" w:rsidRDefault="00907952" w:rsidP="00D46B53">
      <w:pPr>
        <w:numPr>
          <w:ilvl w:val="0"/>
          <w:numId w:val="439"/>
        </w:numPr>
        <w:tabs>
          <w:tab w:val="left" w:pos="844"/>
        </w:tabs>
        <w:ind w:left="844" w:right="280" w:hanging="368"/>
        <w:rPr>
          <w:rFonts w:eastAsia="Arial"/>
          <w:szCs w:val="24"/>
        </w:rPr>
      </w:pPr>
      <w:r>
        <w:rPr>
          <w:rFonts w:eastAsia="Times New Roman"/>
          <w:szCs w:val="24"/>
        </w:rPr>
        <w:t>N</w:t>
      </w:r>
      <w:r w:rsidR="00CE6695" w:rsidRPr="00FC3B7C">
        <w:rPr>
          <w:rFonts w:eastAsia="Times New Roman"/>
          <w:szCs w:val="24"/>
        </w:rPr>
        <w:t xml:space="preserve">apř. </w:t>
      </w:r>
      <w:r w:rsidR="00CE6695" w:rsidRPr="00FC3B7C">
        <w:rPr>
          <w:rFonts w:eastAsia="Times New Roman"/>
          <w:b/>
          <w:bCs/>
          <w:szCs w:val="24"/>
        </w:rPr>
        <w:t>ESUO</w:t>
      </w:r>
      <w:r w:rsidR="00CE6695" w:rsidRPr="00FC3B7C">
        <w:rPr>
          <w:rFonts w:eastAsia="Times New Roman"/>
          <w:szCs w:val="24"/>
        </w:rPr>
        <w:t xml:space="preserve"> - spojení uhelného a ocelářského průmyslu </w:t>
      </w:r>
      <w:r w:rsidR="00CE6695" w:rsidRPr="00FC3B7C">
        <w:rPr>
          <w:rFonts w:eastAsia="Times New Roman"/>
          <w:b/>
          <w:bCs/>
          <w:szCs w:val="24"/>
        </w:rPr>
        <w:t>-&gt;</w:t>
      </w:r>
      <w:r w:rsidR="00CE6695" w:rsidRPr="00FC3B7C">
        <w:rPr>
          <w:rFonts w:eastAsia="Times New Roman"/>
          <w:szCs w:val="24"/>
        </w:rPr>
        <w:t xml:space="preserve"> zapůsobil zde </w:t>
      </w:r>
      <w:r w:rsidR="00CE6695" w:rsidRPr="00FC3B7C">
        <w:rPr>
          <w:rFonts w:eastAsia="Times New Roman"/>
          <w:b/>
          <w:bCs/>
          <w:szCs w:val="24"/>
        </w:rPr>
        <w:t>efekt</w:t>
      </w:r>
      <w:r w:rsidR="00CE6695" w:rsidRPr="00FC3B7C">
        <w:rPr>
          <w:rFonts w:eastAsia="Times New Roman"/>
          <w:szCs w:val="24"/>
        </w:rPr>
        <w:t xml:space="preserve"> </w:t>
      </w:r>
      <w:r w:rsidR="00CE6695" w:rsidRPr="00FC3B7C">
        <w:rPr>
          <w:rFonts w:eastAsia="Times New Roman"/>
          <w:b/>
          <w:bCs/>
          <w:szCs w:val="24"/>
        </w:rPr>
        <w:t xml:space="preserve">přelévání </w:t>
      </w:r>
      <w:r w:rsidR="00CE6695" w:rsidRPr="00FC3B7C">
        <w:rPr>
          <w:rFonts w:eastAsia="Times New Roman"/>
          <w:szCs w:val="24"/>
        </w:rPr>
        <w:t>a vzniklo</w:t>
      </w:r>
      <w:r w:rsidR="00CE6695" w:rsidRPr="00FC3B7C">
        <w:rPr>
          <w:rFonts w:eastAsia="Times New Roman"/>
          <w:b/>
          <w:bCs/>
          <w:szCs w:val="24"/>
        </w:rPr>
        <w:t xml:space="preserve"> EHS</w:t>
      </w:r>
    </w:p>
    <w:p w14:paraId="4A6F4ECD" w14:textId="77777777" w:rsidR="00CE6695" w:rsidRPr="004975AA" w:rsidRDefault="00CE6695" w:rsidP="00DC5ED2">
      <w:pPr>
        <w:rPr>
          <w:b/>
          <w:sz w:val="20"/>
          <w:szCs w:val="20"/>
        </w:rPr>
      </w:pPr>
      <w:r w:rsidRPr="004975AA">
        <w:rPr>
          <w:rFonts w:eastAsia="Times New Roman"/>
          <w:b/>
        </w:rPr>
        <w:t>Intergovernmentalismus</w:t>
      </w:r>
    </w:p>
    <w:p w14:paraId="4A6F4ECE" w14:textId="50BFD897" w:rsidR="00CE6695" w:rsidRPr="00FC3B7C" w:rsidRDefault="00907952" w:rsidP="00D46B53">
      <w:pPr>
        <w:numPr>
          <w:ilvl w:val="0"/>
          <w:numId w:val="440"/>
        </w:numPr>
        <w:tabs>
          <w:tab w:val="left" w:pos="724"/>
        </w:tabs>
        <w:ind w:left="724" w:right="80" w:hanging="364"/>
        <w:rPr>
          <w:rFonts w:eastAsia="Arial"/>
          <w:szCs w:val="24"/>
        </w:rPr>
      </w:pPr>
      <w:r>
        <w:rPr>
          <w:rFonts w:eastAsia="Times New Roman"/>
          <w:b/>
          <w:bCs/>
          <w:szCs w:val="24"/>
        </w:rPr>
        <w:t>N</w:t>
      </w:r>
      <w:r w:rsidR="00CE6695" w:rsidRPr="00FC3B7C">
        <w:rPr>
          <w:rFonts w:eastAsia="Times New Roman"/>
          <w:b/>
          <w:bCs/>
          <w:szCs w:val="24"/>
        </w:rPr>
        <w:t>ávrat k federalismu</w:t>
      </w:r>
      <w:r w:rsidR="00CE6695" w:rsidRPr="00FC3B7C">
        <w:rPr>
          <w:rFonts w:eastAsia="Times New Roman"/>
          <w:szCs w:val="24"/>
        </w:rPr>
        <w:t>, ale ústřední instituci pojímá jen jako administrativní servis</w:t>
      </w:r>
      <w:r w:rsidR="00CE6695" w:rsidRPr="00FC3B7C">
        <w:rPr>
          <w:rFonts w:eastAsia="Times New Roman"/>
          <w:b/>
          <w:bCs/>
          <w:szCs w:val="24"/>
        </w:rPr>
        <w:t xml:space="preserve"> </w:t>
      </w:r>
      <w:r w:rsidR="00CE6695" w:rsidRPr="00FC3B7C">
        <w:rPr>
          <w:rFonts w:eastAsia="Times New Roman"/>
          <w:szCs w:val="24"/>
        </w:rPr>
        <w:t xml:space="preserve">zastřešující se výkonnou mocí odvozenou z národních vlád, čili </w:t>
      </w:r>
      <w:r w:rsidR="00CE6695" w:rsidRPr="00FC3B7C">
        <w:rPr>
          <w:rFonts w:eastAsia="Times New Roman"/>
          <w:b/>
          <w:bCs/>
          <w:szCs w:val="24"/>
        </w:rPr>
        <w:t>ústřední instituce</w:t>
      </w:r>
      <w:r w:rsidR="00CE6695" w:rsidRPr="00FC3B7C">
        <w:rPr>
          <w:rFonts w:eastAsia="Times New Roman"/>
          <w:szCs w:val="24"/>
        </w:rPr>
        <w:t xml:space="preserve"> </w:t>
      </w:r>
      <w:r w:rsidR="00CE6695" w:rsidRPr="00FC3B7C">
        <w:rPr>
          <w:rFonts w:eastAsia="Times New Roman"/>
          <w:b/>
          <w:bCs/>
          <w:szCs w:val="24"/>
        </w:rPr>
        <w:t>není volena</w:t>
      </w:r>
      <w:r w:rsidR="00CE6695" w:rsidRPr="00FC3B7C">
        <w:rPr>
          <w:rFonts w:eastAsia="Times New Roman"/>
          <w:szCs w:val="24"/>
        </w:rPr>
        <w:t>, nemá vlastní politickou zodpovědnost, rozhodování probíhá na úrovni</w:t>
      </w:r>
      <w:r w:rsidR="00CE6695" w:rsidRPr="00FC3B7C">
        <w:rPr>
          <w:rFonts w:eastAsia="Times New Roman"/>
          <w:b/>
          <w:bCs/>
          <w:szCs w:val="24"/>
        </w:rPr>
        <w:t xml:space="preserve"> </w:t>
      </w:r>
      <w:r w:rsidR="00CE6695" w:rsidRPr="00FC3B7C">
        <w:rPr>
          <w:rFonts w:eastAsia="Times New Roman"/>
          <w:szCs w:val="24"/>
        </w:rPr>
        <w:t>mezivládní konference</w:t>
      </w:r>
    </w:p>
    <w:p w14:paraId="4A6F4ECF" w14:textId="77777777" w:rsidR="00CE6695" w:rsidRPr="00FC3B7C" w:rsidRDefault="00CE6695" w:rsidP="00D46B53">
      <w:pPr>
        <w:numPr>
          <w:ilvl w:val="0"/>
          <w:numId w:val="440"/>
        </w:numPr>
        <w:tabs>
          <w:tab w:val="left" w:pos="724"/>
        </w:tabs>
        <w:ind w:left="724" w:hanging="364"/>
        <w:rPr>
          <w:rFonts w:eastAsia="Arial"/>
          <w:szCs w:val="24"/>
        </w:rPr>
      </w:pPr>
      <w:r w:rsidRPr="00FC3B7C">
        <w:rPr>
          <w:rFonts w:eastAsia="Times New Roman"/>
          <w:szCs w:val="24"/>
        </w:rPr>
        <w:t xml:space="preserve">např. </w:t>
      </w:r>
      <w:r w:rsidRPr="00FC3B7C">
        <w:rPr>
          <w:rFonts w:eastAsia="Times New Roman"/>
          <w:b/>
          <w:bCs/>
          <w:szCs w:val="24"/>
        </w:rPr>
        <w:t>Rada EU</w:t>
      </w:r>
    </w:p>
    <w:p w14:paraId="4A6F4ED0" w14:textId="77777777" w:rsidR="00CE6695" w:rsidRPr="004975AA" w:rsidRDefault="00CE6695" w:rsidP="00DC5ED2">
      <w:pPr>
        <w:rPr>
          <w:b/>
          <w:sz w:val="20"/>
          <w:szCs w:val="20"/>
        </w:rPr>
      </w:pPr>
      <w:r w:rsidRPr="004975AA">
        <w:rPr>
          <w:rFonts w:eastAsia="Times New Roman"/>
          <w:b/>
        </w:rPr>
        <w:t>Realismus</w:t>
      </w:r>
    </w:p>
    <w:p w14:paraId="4A6F4ED1" w14:textId="6CFFFFAB" w:rsidR="00CE6695" w:rsidRPr="00FC3B7C" w:rsidRDefault="00907952" w:rsidP="00D46B53">
      <w:pPr>
        <w:numPr>
          <w:ilvl w:val="0"/>
          <w:numId w:val="441"/>
        </w:numPr>
        <w:tabs>
          <w:tab w:val="left" w:pos="724"/>
        </w:tabs>
        <w:ind w:left="724" w:right="80" w:hanging="364"/>
        <w:rPr>
          <w:rFonts w:eastAsia="Arial"/>
          <w:szCs w:val="24"/>
        </w:rPr>
      </w:pPr>
      <w:r>
        <w:rPr>
          <w:rFonts w:eastAsia="Times New Roman"/>
          <w:szCs w:val="24"/>
        </w:rPr>
        <w:t>N</w:t>
      </w:r>
      <w:r w:rsidR="00CE6695" w:rsidRPr="00FC3B7C">
        <w:rPr>
          <w:rFonts w:eastAsia="Times New Roman"/>
          <w:szCs w:val="24"/>
        </w:rPr>
        <w:t xml:space="preserve">euznává možnost efektivní nadnárodní politické integrace, protože </w:t>
      </w:r>
      <w:r w:rsidR="00CE6695" w:rsidRPr="00FC3B7C">
        <w:rPr>
          <w:rFonts w:eastAsia="Times New Roman"/>
          <w:b/>
          <w:bCs/>
          <w:szCs w:val="24"/>
        </w:rPr>
        <w:t>jednotlivé země</w:t>
      </w:r>
      <w:r w:rsidR="00CE6695" w:rsidRPr="00FC3B7C">
        <w:rPr>
          <w:rFonts w:eastAsia="Times New Roman"/>
          <w:szCs w:val="24"/>
        </w:rPr>
        <w:t xml:space="preserve"> </w:t>
      </w:r>
      <w:r w:rsidR="00CE6695" w:rsidRPr="00FC3B7C">
        <w:rPr>
          <w:rFonts w:eastAsia="Times New Roman"/>
          <w:b/>
          <w:bCs/>
          <w:szCs w:val="24"/>
        </w:rPr>
        <w:t>prosazují své národní zájmy</w:t>
      </w:r>
      <w:r w:rsidR="00CE6695" w:rsidRPr="00FC3B7C">
        <w:rPr>
          <w:rFonts w:eastAsia="Times New Roman"/>
          <w:szCs w:val="24"/>
        </w:rPr>
        <w:t>, které jsou</w:t>
      </w:r>
      <w:r w:rsidR="00CE6695" w:rsidRPr="00FC3B7C">
        <w:rPr>
          <w:rFonts w:eastAsia="Times New Roman"/>
          <w:b/>
          <w:bCs/>
          <w:szCs w:val="24"/>
        </w:rPr>
        <w:t xml:space="preserve"> </w:t>
      </w:r>
      <w:r w:rsidR="00CE6695" w:rsidRPr="00FC3B7C">
        <w:rPr>
          <w:rFonts w:eastAsia="Times New Roman"/>
          <w:szCs w:val="24"/>
        </w:rPr>
        <w:t>často</w:t>
      </w:r>
      <w:r w:rsidR="00CE6695" w:rsidRPr="00FC3B7C">
        <w:rPr>
          <w:rFonts w:eastAsia="Times New Roman"/>
          <w:b/>
          <w:bCs/>
          <w:szCs w:val="24"/>
        </w:rPr>
        <w:t xml:space="preserve"> ve vzájemném rozporu </w:t>
      </w:r>
      <w:r w:rsidR="00CE6695" w:rsidRPr="00FC3B7C">
        <w:rPr>
          <w:rFonts w:eastAsia="Times New Roman"/>
          <w:szCs w:val="24"/>
        </w:rPr>
        <w:t>a navíc se</w:t>
      </w:r>
      <w:r w:rsidR="00CE6695" w:rsidRPr="00FC3B7C">
        <w:rPr>
          <w:rFonts w:eastAsia="Times New Roman"/>
          <w:b/>
          <w:bCs/>
          <w:szCs w:val="24"/>
        </w:rPr>
        <w:t xml:space="preserve"> neslučují se zájmy celého uskupení</w:t>
      </w:r>
    </w:p>
    <w:p w14:paraId="4A6F4ED2" w14:textId="77777777" w:rsidR="00CE6695" w:rsidRPr="00FC3B7C" w:rsidRDefault="00CE6695" w:rsidP="00D46B53">
      <w:pPr>
        <w:numPr>
          <w:ilvl w:val="0"/>
          <w:numId w:val="441"/>
        </w:numPr>
        <w:tabs>
          <w:tab w:val="left" w:pos="724"/>
        </w:tabs>
        <w:ind w:left="724" w:right="80" w:hanging="364"/>
        <w:rPr>
          <w:rFonts w:eastAsia="Arial"/>
          <w:szCs w:val="24"/>
        </w:rPr>
      </w:pPr>
      <w:r w:rsidRPr="00FC3B7C">
        <w:rPr>
          <w:rFonts w:eastAsia="Times New Roman"/>
          <w:szCs w:val="24"/>
        </w:rPr>
        <w:t xml:space="preserve">např. </w:t>
      </w:r>
      <w:r w:rsidRPr="00FC3B7C">
        <w:rPr>
          <w:rFonts w:eastAsia="Times New Roman"/>
          <w:b/>
          <w:bCs/>
          <w:szCs w:val="24"/>
        </w:rPr>
        <w:t>EHS v de Gaulleově</w:t>
      </w:r>
      <w:r w:rsidRPr="00FC3B7C">
        <w:rPr>
          <w:rFonts w:eastAsia="Times New Roman"/>
          <w:szCs w:val="24"/>
        </w:rPr>
        <w:t xml:space="preserve"> </w:t>
      </w:r>
      <w:r w:rsidRPr="00FC3B7C">
        <w:rPr>
          <w:rFonts w:eastAsia="Times New Roman"/>
          <w:b/>
          <w:bCs/>
          <w:szCs w:val="24"/>
        </w:rPr>
        <w:t>éře</w:t>
      </w:r>
      <w:r w:rsidRPr="00FC3B7C">
        <w:rPr>
          <w:rFonts w:eastAsia="Times New Roman"/>
          <w:szCs w:val="24"/>
        </w:rPr>
        <w:t>, kdy se výrazně prosazoval vliv jednotlivých národních vlád na úkor celého Společenství</w:t>
      </w:r>
    </w:p>
    <w:p w14:paraId="4A6F4ED3" w14:textId="77777777" w:rsidR="00CE6695" w:rsidRPr="004975AA" w:rsidRDefault="00CE6695" w:rsidP="00DC5ED2">
      <w:pPr>
        <w:rPr>
          <w:b/>
          <w:sz w:val="20"/>
          <w:szCs w:val="20"/>
        </w:rPr>
      </w:pPr>
      <w:r w:rsidRPr="004975AA">
        <w:rPr>
          <w:rFonts w:eastAsia="Times New Roman"/>
          <w:b/>
        </w:rPr>
        <w:t>Teorie interdependence</w:t>
      </w:r>
    </w:p>
    <w:p w14:paraId="4A6F4ED4" w14:textId="07F2E69D" w:rsidR="00CE6695" w:rsidRPr="00FC3B7C" w:rsidRDefault="00907952" w:rsidP="00D46B53">
      <w:pPr>
        <w:numPr>
          <w:ilvl w:val="0"/>
          <w:numId w:val="442"/>
        </w:numPr>
        <w:tabs>
          <w:tab w:val="left" w:pos="724"/>
        </w:tabs>
        <w:ind w:left="724" w:hanging="364"/>
        <w:rPr>
          <w:rFonts w:eastAsia="Arial"/>
          <w:szCs w:val="24"/>
        </w:rPr>
      </w:pPr>
      <w:r>
        <w:rPr>
          <w:rFonts w:eastAsia="Times New Roman"/>
          <w:b/>
          <w:bCs/>
          <w:szCs w:val="24"/>
        </w:rPr>
        <w:t>M</w:t>
      </w:r>
      <w:r w:rsidR="00CE6695" w:rsidRPr="00FC3B7C">
        <w:rPr>
          <w:rFonts w:eastAsia="Times New Roman"/>
          <w:b/>
          <w:bCs/>
          <w:szCs w:val="24"/>
        </w:rPr>
        <w:t xml:space="preserve">ezinárodní integraci </w:t>
      </w:r>
      <w:r w:rsidR="00CE6695" w:rsidRPr="00FC3B7C">
        <w:rPr>
          <w:rFonts w:eastAsia="Times New Roman"/>
          <w:szCs w:val="24"/>
        </w:rPr>
        <w:t>vysvětluje jako</w:t>
      </w:r>
      <w:r w:rsidR="00CE6695" w:rsidRPr="00FC3B7C">
        <w:rPr>
          <w:rFonts w:eastAsia="Times New Roman"/>
          <w:b/>
          <w:bCs/>
          <w:szCs w:val="24"/>
        </w:rPr>
        <w:t xml:space="preserve"> přirozený </w:t>
      </w:r>
      <w:r w:rsidR="00CE6695" w:rsidRPr="00FC3B7C">
        <w:rPr>
          <w:rFonts w:eastAsia="Times New Roman"/>
          <w:szCs w:val="24"/>
        </w:rPr>
        <w:t xml:space="preserve">a v současných hospodářsko-politických podmínkách </w:t>
      </w:r>
      <w:r w:rsidR="00CE6695" w:rsidRPr="00FC3B7C">
        <w:rPr>
          <w:rFonts w:eastAsia="Times New Roman"/>
          <w:b/>
          <w:bCs/>
          <w:szCs w:val="24"/>
        </w:rPr>
        <w:t>nezvratný</w:t>
      </w:r>
      <w:r w:rsidR="00CE6695" w:rsidRPr="00FC3B7C">
        <w:rPr>
          <w:rFonts w:eastAsia="Times New Roman"/>
          <w:szCs w:val="24"/>
        </w:rPr>
        <w:t xml:space="preserve"> </w:t>
      </w:r>
      <w:r w:rsidR="00CE6695" w:rsidRPr="00FC3B7C">
        <w:rPr>
          <w:rFonts w:eastAsia="Times New Roman"/>
          <w:b/>
          <w:bCs/>
          <w:szCs w:val="24"/>
        </w:rPr>
        <w:t>proces</w:t>
      </w:r>
      <w:r w:rsidR="00CE6695" w:rsidRPr="00FC3B7C">
        <w:rPr>
          <w:rFonts w:eastAsia="Times New Roman"/>
          <w:szCs w:val="24"/>
        </w:rPr>
        <w:t xml:space="preserve"> -&gt; jednotlivé země se vzájemně potřebují</w:t>
      </w:r>
    </w:p>
    <w:p w14:paraId="4A6F4ED5" w14:textId="00DD989F" w:rsidR="00CE6695" w:rsidRPr="00FC3B7C" w:rsidRDefault="00907952" w:rsidP="00D46B53">
      <w:pPr>
        <w:numPr>
          <w:ilvl w:val="0"/>
          <w:numId w:val="442"/>
        </w:numPr>
        <w:tabs>
          <w:tab w:val="left" w:pos="724"/>
        </w:tabs>
        <w:ind w:left="724" w:hanging="364"/>
        <w:rPr>
          <w:rFonts w:eastAsia="Arial"/>
          <w:szCs w:val="24"/>
        </w:rPr>
      </w:pPr>
      <w:r>
        <w:rPr>
          <w:rFonts w:eastAsia="Times New Roman"/>
          <w:szCs w:val="24"/>
        </w:rPr>
        <w:t>I</w:t>
      </w:r>
      <w:r w:rsidR="00CE6695" w:rsidRPr="00FC3B7C">
        <w:rPr>
          <w:rFonts w:eastAsia="Times New Roman"/>
          <w:szCs w:val="24"/>
        </w:rPr>
        <w:t>ntegrace je přirozenější a více efektivnější u zemí, které jsou si geograficky, kulturně a ekonomicky blízké</w:t>
      </w:r>
    </w:p>
    <w:p w14:paraId="4A6F4ED6" w14:textId="77777777" w:rsidR="00CE6695" w:rsidRPr="00FC3B7C" w:rsidRDefault="00CE6695" w:rsidP="00CE6695">
      <w:pPr>
        <w:spacing w:line="200" w:lineRule="exact"/>
        <w:rPr>
          <w:sz w:val="20"/>
          <w:szCs w:val="20"/>
        </w:rPr>
      </w:pPr>
    </w:p>
    <w:p w14:paraId="4A6F4ED7" w14:textId="77777777" w:rsidR="00CE6695" w:rsidRPr="00FC3B7C" w:rsidRDefault="00CE6695" w:rsidP="00CE6695">
      <w:pPr>
        <w:spacing w:line="200" w:lineRule="exact"/>
        <w:rPr>
          <w:sz w:val="20"/>
          <w:szCs w:val="20"/>
        </w:rPr>
      </w:pPr>
    </w:p>
    <w:p w14:paraId="4A6F4ED8" w14:textId="77777777" w:rsidR="00CE6695" w:rsidRPr="00FC3B7C" w:rsidRDefault="00CE6695" w:rsidP="00CE6695">
      <w:pPr>
        <w:spacing w:line="200" w:lineRule="exact"/>
        <w:rPr>
          <w:sz w:val="20"/>
          <w:szCs w:val="20"/>
        </w:rPr>
      </w:pPr>
    </w:p>
    <w:p w14:paraId="4A6F4ED9" w14:textId="77777777" w:rsidR="00CE6695" w:rsidRPr="00FC3B7C" w:rsidRDefault="00CE6695" w:rsidP="00CE6695">
      <w:pPr>
        <w:spacing w:line="210" w:lineRule="exact"/>
        <w:rPr>
          <w:sz w:val="20"/>
          <w:szCs w:val="20"/>
        </w:rPr>
      </w:pPr>
    </w:p>
    <w:p w14:paraId="5E9D7126" w14:textId="77777777" w:rsidR="00907952" w:rsidRDefault="00907952">
      <w:pPr>
        <w:spacing w:line="240" w:lineRule="auto"/>
        <w:jc w:val="left"/>
        <w:rPr>
          <w:rFonts w:eastAsiaTheme="majorEastAsia"/>
          <w:b/>
          <w:sz w:val="28"/>
          <w:szCs w:val="26"/>
        </w:rPr>
      </w:pPr>
      <w:r>
        <w:br w:type="page"/>
      </w:r>
    </w:p>
    <w:p w14:paraId="4A6F4EDA" w14:textId="3D31A948" w:rsidR="00CE6695" w:rsidRPr="00244BB9" w:rsidRDefault="00CE6695" w:rsidP="00CE6695">
      <w:pPr>
        <w:pStyle w:val="Nadpis2"/>
        <w:rPr>
          <w:rFonts w:cs="Times New Roman"/>
          <w:color w:val="1F3864" w:themeColor="accent1" w:themeShade="80"/>
        </w:rPr>
      </w:pPr>
      <w:r w:rsidRPr="00244BB9">
        <w:rPr>
          <w:rFonts w:cs="Times New Roman"/>
          <w:color w:val="1F3864" w:themeColor="accent1" w:themeShade="80"/>
        </w:rPr>
        <w:lastRenderedPageBreak/>
        <w:t>KONVERGENCE ČESKÉ</w:t>
      </w:r>
      <w:r w:rsidR="003376E1">
        <w:rPr>
          <w:rFonts w:cs="Times New Roman"/>
          <w:color w:val="1F3864" w:themeColor="accent1" w:themeShade="80"/>
        </w:rPr>
        <w:t xml:space="preserve"> </w:t>
      </w:r>
      <w:r w:rsidRPr="00244BB9">
        <w:rPr>
          <w:rFonts w:cs="Times New Roman"/>
          <w:color w:val="1F3864" w:themeColor="accent1" w:themeShade="80"/>
        </w:rPr>
        <w:t>EKONOMIKY</w:t>
      </w:r>
      <w:r w:rsidR="003376E1">
        <w:rPr>
          <w:rFonts w:cs="Times New Roman"/>
          <w:color w:val="1F3864" w:themeColor="accent1" w:themeShade="80"/>
        </w:rPr>
        <w:t xml:space="preserve"> </w:t>
      </w:r>
      <w:r w:rsidRPr="00244BB9">
        <w:rPr>
          <w:rFonts w:cs="Times New Roman"/>
          <w:color w:val="1F3864" w:themeColor="accent1" w:themeShade="80"/>
        </w:rPr>
        <w:t>K ÚROVNI</w:t>
      </w:r>
      <w:r w:rsidRPr="00244BB9">
        <w:rPr>
          <w:rFonts w:cs="Times New Roman"/>
          <w:color w:val="1F3864" w:themeColor="accent1" w:themeShade="80"/>
          <w:sz w:val="20"/>
          <w:szCs w:val="20"/>
        </w:rPr>
        <w:t xml:space="preserve"> </w:t>
      </w:r>
      <w:r w:rsidRPr="00244BB9">
        <w:rPr>
          <w:rFonts w:cs="Times New Roman"/>
          <w:color w:val="1F3864" w:themeColor="accent1" w:themeShade="80"/>
        </w:rPr>
        <w:t>EVROPSKÉ UNIE</w:t>
      </w:r>
    </w:p>
    <w:p w14:paraId="4A6F4EDB" w14:textId="77777777" w:rsidR="00CE6695" w:rsidRPr="00244BB9" w:rsidRDefault="00CE6695" w:rsidP="00CE6695">
      <w:pPr>
        <w:pStyle w:val="Nadpis3"/>
        <w:rPr>
          <w:rFonts w:cs="Times New Roman"/>
          <w:color w:val="1F3864" w:themeColor="accent1" w:themeShade="80"/>
          <w:sz w:val="20"/>
          <w:szCs w:val="20"/>
        </w:rPr>
      </w:pPr>
      <w:r w:rsidRPr="00244BB9">
        <w:rPr>
          <w:rFonts w:cs="Times New Roman"/>
          <w:color w:val="1F3864" w:themeColor="accent1" w:themeShade="80"/>
        </w:rPr>
        <w:t>Kritéria nominální konvergence:</w:t>
      </w:r>
    </w:p>
    <w:p w14:paraId="4A6F4EDC" w14:textId="2939F93E" w:rsidR="00CE6695" w:rsidRPr="004975AA" w:rsidRDefault="00CE6695" w:rsidP="00DC5ED2">
      <w:pPr>
        <w:rPr>
          <w:b/>
          <w:sz w:val="20"/>
          <w:szCs w:val="20"/>
        </w:rPr>
      </w:pPr>
      <w:r w:rsidRPr="004975AA">
        <w:rPr>
          <w:rFonts w:eastAsia="Times New Roman"/>
          <w:b/>
        </w:rPr>
        <w:t>Cenová stabilita</w:t>
      </w:r>
    </w:p>
    <w:p w14:paraId="4A6F4EDE" w14:textId="3EE0F149" w:rsidR="00CE6695" w:rsidRPr="00FC3B7C" w:rsidRDefault="00CE6695" w:rsidP="0016052A">
      <w:pPr>
        <w:ind w:firstLine="720"/>
        <w:rPr>
          <w:sz w:val="20"/>
          <w:szCs w:val="20"/>
        </w:rPr>
      </w:pPr>
      <w:r w:rsidRPr="00FC3B7C">
        <w:rPr>
          <w:rFonts w:eastAsia="Times New Roman"/>
          <w:szCs w:val="24"/>
        </w:rPr>
        <w:t>Země</w:t>
      </w:r>
      <w:r w:rsidR="003376E1">
        <w:rPr>
          <w:rFonts w:eastAsia="Times New Roman"/>
          <w:szCs w:val="24"/>
        </w:rPr>
        <w:t xml:space="preserve"> </w:t>
      </w:r>
      <w:r w:rsidRPr="00FC3B7C">
        <w:rPr>
          <w:rFonts w:eastAsia="Times New Roman"/>
          <w:szCs w:val="24"/>
        </w:rPr>
        <w:t xml:space="preserve">musí alespoň po dobu </w:t>
      </w:r>
      <w:r w:rsidRPr="00FC3B7C">
        <w:rPr>
          <w:rFonts w:eastAsia="Times New Roman"/>
          <w:b/>
          <w:bCs/>
          <w:szCs w:val="24"/>
        </w:rPr>
        <w:t>jednoho roku</w:t>
      </w:r>
      <w:r w:rsidRPr="00FC3B7C">
        <w:rPr>
          <w:rFonts w:eastAsia="Times New Roman"/>
          <w:szCs w:val="24"/>
        </w:rPr>
        <w:t xml:space="preserve"> udržovat míru inflace na úrovni, která nepřesáhne</w:t>
      </w:r>
      <w:r w:rsidR="0016052A">
        <w:rPr>
          <w:sz w:val="20"/>
          <w:szCs w:val="20"/>
        </w:rPr>
        <w:t xml:space="preserve"> </w:t>
      </w:r>
      <w:r w:rsidRPr="00FC3B7C">
        <w:rPr>
          <w:rFonts w:eastAsia="Times New Roman"/>
          <w:szCs w:val="24"/>
        </w:rPr>
        <w:t>o</w:t>
      </w:r>
      <w:r w:rsidRPr="00FC3B7C">
        <w:rPr>
          <w:rFonts w:eastAsia="Times New Roman"/>
          <w:szCs w:val="24"/>
        </w:rPr>
        <w:tab/>
        <w:t>více</w:t>
      </w:r>
      <w:r w:rsidRPr="00FC3B7C">
        <w:rPr>
          <w:rFonts w:eastAsia="Times New Roman"/>
          <w:szCs w:val="24"/>
        </w:rPr>
        <w:tab/>
        <w:t>než</w:t>
      </w:r>
      <w:r w:rsidRPr="00FC3B7C">
        <w:rPr>
          <w:sz w:val="20"/>
          <w:szCs w:val="20"/>
        </w:rPr>
        <w:tab/>
      </w:r>
      <w:r w:rsidRPr="00FC3B7C">
        <w:rPr>
          <w:rFonts w:eastAsia="Times New Roman"/>
          <w:b/>
          <w:bCs/>
          <w:szCs w:val="24"/>
        </w:rPr>
        <w:t>1,5</w:t>
      </w:r>
      <w:r w:rsidRPr="00FC3B7C">
        <w:rPr>
          <w:rFonts w:eastAsia="Times New Roman"/>
          <w:b/>
          <w:bCs/>
          <w:szCs w:val="24"/>
        </w:rPr>
        <w:tab/>
        <w:t>procentního</w:t>
      </w:r>
      <w:r w:rsidRPr="00FC3B7C">
        <w:rPr>
          <w:rFonts w:eastAsia="Times New Roman"/>
          <w:b/>
          <w:bCs/>
          <w:szCs w:val="24"/>
        </w:rPr>
        <w:tab/>
        <w:t>bodu</w:t>
      </w:r>
      <w:r w:rsidRPr="00FC3B7C">
        <w:rPr>
          <w:sz w:val="20"/>
          <w:szCs w:val="20"/>
        </w:rPr>
        <w:tab/>
      </w:r>
      <w:r w:rsidRPr="00FC3B7C">
        <w:rPr>
          <w:rFonts w:eastAsia="Times New Roman"/>
          <w:szCs w:val="24"/>
        </w:rPr>
        <w:t>průměrnou</w:t>
      </w:r>
      <w:r w:rsidRPr="00FC3B7C">
        <w:rPr>
          <w:rFonts w:eastAsia="Times New Roman"/>
          <w:szCs w:val="24"/>
        </w:rPr>
        <w:tab/>
        <w:t>hodnotu</w:t>
      </w:r>
      <w:r w:rsidR="0016052A">
        <w:rPr>
          <w:sz w:val="20"/>
          <w:szCs w:val="20"/>
        </w:rPr>
        <w:t xml:space="preserve"> </w:t>
      </w:r>
      <w:r w:rsidRPr="00FC3B7C">
        <w:rPr>
          <w:rFonts w:eastAsia="Times New Roman"/>
          <w:b/>
          <w:bCs/>
          <w:szCs w:val="24"/>
        </w:rPr>
        <w:t>míry</w:t>
      </w:r>
      <w:r w:rsidR="0016052A">
        <w:rPr>
          <w:rFonts w:eastAsia="Times New Roman"/>
          <w:b/>
          <w:bCs/>
          <w:szCs w:val="24"/>
        </w:rPr>
        <w:t xml:space="preserve"> </w:t>
      </w:r>
      <w:r w:rsidRPr="00FC3B7C">
        <w:rPr>
          <w:rFonts w:eastAsia="Times New Roman"/>
          <w:b/>
          <w:bCs/>
          <w:szCs w:val="24"/>
        </w:rPr>
        <w:t>inflace</w:t>
      </w:r>
      <w:r w:rsidRPr="00FC3B7C">
        <w:rPr>
          <w:rFonts w:eastAsia="Times New Roman"/>
          <w:b/>
          <w:bCs/>
          <w:szCs w:val="24"/>
        </w:rPr>
        <w:tab/>
        <w:t>tří</w:t>
      </w:r>
      <w:r w:rsidRPr="00FC3B7C">
        <w:rPr>
          <w:rFonts w:eastAsia="Times New Roman"/>
          <w:b/>
          <w:bCs/>
          <w:szCs w:val="24"/>
        </w:rPr>
        <w:tab/>
        <w:t xml:space="preserve">zemí </w:t>
      </w:r>
      <w:r w:rsidRPr="00FC3B7C">
        <w:rPr>
          <w:rFonts w:eastAsia="Times New Roman"/>
          <w:szCs w:val="24"/>
        </w:rPr>
        <w:t>s</w:t>
      </w:r>
      <w:r w:rsidR="0016052A">
        <w:rPr>
          <w:rFonts w:eastAsia="Times New Roman"/>
          <w:szCs w:val="24"/>
        </w:rPr>
        <w:t xml:space="preserve"> </w:t>
      </w:r>
      <w:r w:rsidRPr="00FC3B7C">
        <w:rPr>
          <w:rFonts w:eastAsia="Times New Roman"/>
          <w:b/>
          <w:bCs/>
          <w:szCs w:val="24"/>
        </w:rPr>
        <w:t>nejstabilnější cenovou hladinou</w:t>
      </w:r>
      <w:r w:rsidRPr="00FC3B7C">
        <w:rPr>
          <w:rFonts w:eastAsia="Times New Roman"/>
          <w:szCs w:val="24"/>
        </w:rPr>
        <w:t>.</w:t>
      </w:r>
      <w:r w:rsidR="00A77A99">
        <w:rPr>
          <w:rFonts w:eastAsia="Times New Roman"/>
          <w:szCs w:val="24"/>
        </w:rPr>
        <w:t xml:space="preserve"> (</w:t>
      </w:r>
      <w:r w:rsidR="0016052A">
        <w:rPr>
          <w:rFonts w:eastAsia="Times New Roman"/>
          <w:szCs w:val="24"/>
        </w:rPr>
        <w:t>K</w:t>
      </w:r>
      <w:r w:rsidR="00A77A99">
        <w:rPr>
          <w:rFonts w:eastAsia="Times New Roman"/>
          <w:szCs w:val="24"/>
        </w:rPr>
        <w:t>věten 2020 splňujeme)</w:t>
      </w:r>
    </w:p>
    <w:p w14:paraId="4A6F4EDF" w14:textId="15047EC2" w:rsidR="00CE6695" w:rsidRPr="00FC3B7C" w:rsidRDefault="00CE6695" w:rsidP="00CE6695">
      <w:pPr>
        <w:spacing w:line="143" w:lineRule="exact"/>
        <w:rPr>
          <w:sz w:val="20"/>
          <w:szCs w:val="20"/>
        </w:rPr>
      </w:pPr>
    </w:p>
    <w:p w14:paraId="4A6F4F1F" w14:textId="75121166" w:rsidR="00CE6695" w:rsidRPr="00FC3B7C" w:rsidRDefault="00A77A99" w:rsidP="00CE6695">
      <w:pPr>
        <w:spacing w:line="20" w:lineRule="exact"/>
        <w:rPr>
          <w:sz w:val="20"/>
          <w:szCs w:val="20"/>
        </w:rPr>
      </w:pPr>
      <w:r>
        <w:rPr>
          <w:sz w:val="20"/>
          <w:szCs w:val="20"/>
        </w:rPr>
        <w:t xml:space="preserve"> -</w:t>
      </w:r>
    </w:p>
    <w:p w14:paraId="4A6F4F20" w14:textId="77777777" w:rsidR="00CE6695" w:rsidRPr="00FC3B7C" w:rsidRDefault="00CE6695" w:rsidP="00CE6695">
      <w:pPr>
        <w:spacing w:line="11" w:lineRule="exact"/>
        <w:rPr>
          <w:sz w:val="20"/>
          <w:szCs w:val="20"/>
        </w:rPr>
      </w:pPr>
    </w:p>
    <w:p w14:paraId="4A6F4F21" w14:textId="77777777" w:rsidR="00CE6695" w:rsidRPr="00FC3B7C" w:rsidRDefault="00CE6695" w:rsidP="00CE6695">
      <w:pPr>
        <w:rPr>
          <w:sz w:val="20"/>
          <w:szCs w:val="20"/>
        </w:rPr>
      </w:pPr>
      <w:r w:rsidRPr="00FC3B7C">
        <w:rPr>
          <w:rFonts w:eastAsia="Times New Roman"/>
          <w:szCs w:val="24"/>
        </w:rPr>
        <w:t>p – prognózované hodnoty</w:t>
      </w:r>
    </w:p>
    <w:p w14:paraId="4A6F4F22" w14:textId="77777777" w:rsidR="00CE6695" w:rsidRPr="00FC3B7C" w:rsidRDefault="00CE6695" w:rsidP="00CE6695">
      <w:pPr>
        <w:spacing w:line="131" w:lineRule="exact"/>
        <w:rPr>
          <w:sz w:val="20"/>
          <w:szCs w:val="20"/>
        </w:rPr>
      </w:pPr>
    </w:p>
    <w:p w14:paraId="02B87C4A" w14:textId="189BCFF4" w:rsidR="00117E87" w:rsidRDefault="00117E87" w:rsidP="00DC5ED2">
      <w:pPr>
        <w:rPr>
          <w:rFonts w:eastAsia="Times New Roman"/>
          <w:b/>
        </w:rPr>
      </w:pPr>
      <w:r w:rsidRPr="00117E87">
        <w:rPr>
          <w:rFonts w:eastAsia="Times New Roman"/>
          <w:b/>
          <w:noProof/>
        </w:rPr>
        <w:drawing>
          <wp:inline distT="0" distB="0" distL="0" distR="0" wp14:anchorId="2C8594B7" wp14:editId="6623512C">
            <wp:extent cx="5581458" cy="1942651"/>
            <wp:effectExtent l="0" t="0" r="635" b="63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581458" cy="194265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68CC923D" w14:textId="77777777" w:rsidR="006A4B5A" w:rsidRPr="006A4B5A" w:rsidRDefault="006A4B5A" w:rsidP="006A4B5A">
      <w:pPr>
        <w:ind w:left="720"/>
        <w:rPr>
          <w:rFonts w:eastAsia="Times New Roman"/>
          <w:bCs/>
          <w:i/>
          <w:iCs/>
          <w:sz w:val="20"/>
          <w:szCs w:val="18"/>
        </w:rPr>
      </w:pPr>
      <w:r w:rsidRPr="006A4B5A">
        <w:rPr>
          <w:rFonts w:eastAsia="Times New Roman"/>
          <w:bCs/>
          <w:i/>
          <w:iCs/>
          <w:sz w:val="20"/>
          <w:szCs w:val="18"/>
        </w:rPr>
        <w:t>Zdroj: https://www.zavedenieura.cz/cs/euro-a-ceska-republika/plneni-vstupnich-podminek/kriterium-cenove-stability</w:t>
      </w:r>
    </w:p>
    <w:p w14:paraId="2A303277" w14:textId="77777777" w:rsidR="0016052A" w:rsidRDefault="0016052A" w:rsidP="0016052A">
      <w:pPr>
        <w:rPr>
          <w:rFonts w:eastAsia="Times New Roman"/>
          <w:b/>
        </w:rPr>
      </w:pPr>
    </w:p>
    <w:p w14:paraId="4A6F4F23" w14:textId="04541EDA" w:rsidR="00CE6695" w:rsidRPr="00244BB9" w:rsidRDefault="00CE6695" w:rsidP="0016052A">
      <w:pPr>
        <w:rPr>
          <w:b/>
          <w:sz w:val="20"/>
          <w:szCs w:val="20"/>
        </w:rPr>
      </w:pPr>
      <w:r w:rsidRPr="00244BB9">
        <w:rPr>
          <w:rFonts w:eastAsia="Times New Roman"/>
          <w:b/>
        </w:rPr>
        <w:t>Stabilita na finančních trzích</w:t>
      </w:r>
    </w:p>
    <w:p w14:paraId="4A6F4F82" w14:textId="03EAF07E" w:rsidR="00CE6695" w:rsidRPr="00117E87" w:rsidRDefault="00CE6695" w:rsidP="0016052A">
      <w:pPr>
        <w:ind w:right="60" w:firstLine="720"/>
        <w:rPr>
          <w:rFonts w:eastAsia="Times New Roman"/>
          <w:b/>
          <w:bCs/>
          <w:szCs w:val="24"/>
        </w:rPr>
      </w:pPr>
      <w:r w:rsidRPr="00FC3B7C">
        <w:rPr>
          <w:rFonts w:eastAsia="Times New Roman"/>
          <w:szCs w:val="24"/>
        </w:rPr>
        <w:t xml:space="preserve">Země musí po dobu </w:t>
      </w:r>
      <w:r w:rsidRPr="00FC3B7C">
        <w:rPr>
          <w:rFonts w:eastAsia="Times New Roman"/>
          <w:b/>
          <w:bCs/>
          <w:szCs w:val="24"/>
        </w:rPr>
        <w:t>jednoho roku</w:t>
      </w:r>
      <w:r w:rsidRPr="00FC3B7C">
        <w:rPr>
          <w:rFonts w:eastAsia="Times New Roman"/>
          <w:szCs w:val="24"/>
        </w:rPr>
        <w:t xml:space="preserve"> udržovat svoje </w:t>
      </w:r>
      <w:r w:rsidRPr="00FC3B7C">
        <w:rPr>
          <w:rFonts w:eastAsia="Times New Roman"/>
          <w:b/>
          <w:bCs/>
          <w:szCs w:val="24"/>
        </w:rPr>
        <w:t>dlouhodobé nominální sazby</w:t>
      </w:r>
      <w:r w:rsidRPr="00FC3B7C">
        <w:rPr>
          <w:rFonts w:eastAsia="Times New Roman"/>
          <w:szCs w:val="24"/>
        </w:rPr>
        <w:t xml:space="preserve"> na úrovni, která nepřesáhne o více než </w:t>
      </w:r>
      <w:r w:rsidRPr="00FC3B7C">
        <w:rPr>
          <w:rFonts w:eastAsia="Times New Roman"/>
          <w:b/>
          <w:bCs/>
          <w:szCs w:val="24"/>
        </w:rPr>
        <w:t>2 procentní body</w:t>
      </w:r>
      <w:r w:rsidRPr="00FC3B7C">
        <w:rPr>
          <w:rFonts w:eastAsia="Times New Roman"/>
          <w:szCs w:val="24"/>
        </w:rPr>
        <w:t xml:space="preserve"> průměrnou úrokovou míru </w:t>
      </w:r>
      <w:r w:rsidRPr="00FC3B7C">
        <w:rPr>
          <w:rFonts w:eastAsia="Times New Roman"/>
          <w:b/>
          <w:bCs/>
          <w:szCs w:val="24"/>
        </w:rPr>
        <w:t xml:space="preserve">tří zemí </w:t>
      </w:r>
      <w:r w:rsidR="00DC5ED2">
        <w:rPr>
          <w:rFonts w:eastAsia="Times New Roman"/>
          <w:b/>
          <w:bCs/>
          <w:szCs w:val="24"/>
        </w:rPr>
        <w:br/>
      </w:r>
      <w:r w:rsidRPr="00FC3B7C">
        <w:rPr>
          <w:rFonts w:eastAsia="Times New Roman"/>
          <w:b/>
          <w:bCs/>
          <w:szCs w:val="24"/>
        </w:rPr>
        <w:t>s</w:t>
      </w:r>
      <w:r w:rsidRPr="00FC3B7C">
        <w:rPr>
          <w:rFonts w:eastAsia="Times New Roman"/>
          <w:szCs w:val="24"/>
        </w:rPr>
        <w:t xml:space="preserve"> </w:t>
      </w:r>
      <w:r w:rsidRPr="00FC3B7C">
        <w:rPr>
          <w:rFonts w:eastAsia="Times New Roman"/>
          <w:b/>
          <w:bCs/>
          <w:szCs w:val="24"/>
        </w:rPr>
        <w:t>nejstabilnější cenovou hladinou.</w:t>
      </w:r>
      <w:r w:rsidR="008A3AA3">
        <w:rPr>
          <w:rFonts w:eastAsia="Times New Roman"/>
          <w:b/>
          <w:bCs/>
          <w:szCs w:val="24"/>
        </w:rPr>
        <w:t xml:space="preserve"> </w:t>
      </w:r>
      <w:r w:rsidR="008A3AA3">
        <w:rPr>
          <w:rFonts w:eastAsia="Times New Roman"/>
          <w:szCs w:val="24"/>
        </w:rPr>
        <w:t>(</w:t>
      </w:r>
      <w:r w:rsidR="0016052A">
        <w:rPr>
          <w:rFonts w:eastAsia="Times New Roman"/>
          <w:szCs w:val="24"/>
        </w:rPr>
        <w:t>K</w:t>
      </w:r>
      <w:r w:rsidR="008A3AA3">
        <w:rPr>
          <w:rFonts w:eastAsia="Times New Roman"/>
          <w:szCs w:val="24"/>
        </w:rPr>
        <w:t>věten 2020 splňujeme)</w:t>
      </w:r>
    </w:p>
    <w:p w14:paraId="6C60C6DA" w14:textId="77777777" w:rsidR="00117E87" w:rsidRDefault="00117E87" w:rsidP="00DC5ED2">
      <w:pPr>
        <w:rPr>
          <w:rFonts w:eastAsia="Times New Roman"/>
          <w:b/>
        </w:rPr>
      </w:pPr>
      <w:bookmarkStart w:id="418" w:name="page431"/>
      <w:bookmarkStart w:id="419" w:name="page432"/>
      <w:bookmarkEnd w:id="418"/>
      <w:bookmarkEnd w:id="419"/>
    </w:p>
    <w:p w14:paraId="06D14949" w14:textId="66375F51" w:rsidR="00117E87" w:rsidRDefault="00117E87" w:rsidP="00DC5ED2">
      <w:pPr>
        <w:rPr>
          <w:rFonts w:eastAsia="Times New Roman"/>
          <w:b/>
        </w:rPr>
      </w:pPr>
      <w:r w:rsidRPr="00117E87">
        <w:rPr>
          <w:rFonts w:eastAsia="Times New Roman"/>
          <w:b/>
          <w:noProof/>
        </w:rPr>
        <w:drawing>
          <wp:inline distT="0" distB="0" distL="0" distR="0" wp14:anchorId="7590D648" wp14:editId="73EDFD04">
            <wp:extent cx="5715505" cy="2145855"/>
            <wp:effectExtent l="0" t="0" r="0" b="6985"/>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15505" cy="21458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75509551" w14:textId="26E7BA55" w:rsidR="008A3AA3" w:rsidRPr="008A3AA3" w:rsidRDefault="008A3AA3" w:rsidP="008A3AA3">
      <w:pPr>
        <w:ind w:left="720"/>
        <w:rPr>
          <w:rFonts w:eastAsia="Times New Roman"/>
          <w:bCs/>
          <w:i/>
          <w:iCs/>
          <w:sz w:val="20"/>
          <w:szCs w:val="18"/>
        </w:rPr>
      </w:pPr>
      <w:r w:rsidRPr="008A3AA3">
        <w:rPr>
          <w:rFonts w:eastAsia="Times New Roman"/>
          <w:bCs/>
          <w:i/>
          <w:iCs/>
          <w:sz w:val="20"/>
          <w:szCs w:val="18"/>
        </w:rPr>
        <w:lastRenderedPageBreak/>
        <w:t>Zdroj: https://www.zavedenieura.cz/cs/euro-a-ceska-republika/plneni-vstupnich-podminek/kriterium-urokovych-sazeb</w:t>
      </w:r>
    </w:p>
    <w:p w14:paraId="4877B8B7" w14:textId="77777777" w:rsidR="00117E87" w:rsidRDefault="00117E87" w:rsidP="00DC5ED2">
      <w:pPr>
        <w:rPr>
          <w:rFonts w:eastAsia="Times New Roman"/>
          <w:b/>
        </w:rPr>
      </w:pPr>
    </w:p>
    <w:p w14:paraId="4A6F4F83" w14:textId="25F52420" w:rsidR="00CE6695" w:rsidRPr="00244BB9" w:rsidRDefault="00CE6695" w:rsidP="00DC5ED2">
      <w:pPr>
        <w:rPr>
          <w:b/>
          <w:sz w:val="20"/>
          <w:szCs w:val="20"/>
        </w:rPr>
      </w:pPr>
      <w:r w:rsidRPr="00244BB9">
        <w:rPr>
          <w:rFonts w:eastAsia="Times New Roman"/>
          <w:b/>
        </w:rPr>
        <w:t>Stabilita na devizových trzích</w:t>
      </w:r>
    </w:p>
    <w:p w14:paraId="4A6F4F84" w14:textId="1D54C1A9" w:rsidR="00CE6695" w:rsidRPr="00FC3B7C" w:rsidRDefault="00CE6695" w:rsidP="0016052A">
      <w:pPr>
        <w:ind w:right="100" w:firstLine="720"/>
        <w:rPr>
          <w:sz w:val="20"/>
          <w:szCs w:val="20"/>
        </w:rPr>
      </w:pPr>
      <w:r w:rsidRPr="00FC3B7C">
        <w:rPr>
          <w:rFonts w:eastAsia="Times New Roman"/>
          <w:szCs w:val="24"/>
        </w:rPr>
        <w:t xml:space="preserve">Země musí udržovat určená pásma </w:t>
      </w:r>
      <w:r w:rsidRPr="00FC3B7C">
        <w:rPr>
          <w:rFonts w:eastAsia="Times New Roman"/>
          <w:b/>
          <w:bCs/>
          <w:szCs w:val="24"/>
        </w:rPr>
        <w:t>oscilace (+/- 15 %)</w:t>
      </w:r>
      <w:r w:rsidRPr="00FC3B7C">
        <w:rPr>
          <w:rFonts w:eastAsia="Times New Roman"/>
          <w:szCs w:val="24"/>
        </w:rPr>
        <w:t xml:space="preserve"> nejméně po dobu </w:t>
      </w:r>
      <w:r w:rsidRPr="00FC3B7C">
        <w:rPr>
          <w:rFonts w:eastAsia="Times New Roman"/>
          <w:b/>
          <w:bCs/>
          <w:szCs w:val="24"/>
        </w:rPr>
        <w:t>dvou let bez</w:t>
      </w:r>
      <w:r w:rsidRPr="00FC3B7C">
        <w:rPr>
          <w:rFonts w:eastAsia="Times New Roman"/>
          <w:szCs w:val="24"/>
        </w:rPr>
        <w:t xml:space="preserve"> </w:t>
      </w:r>
      <w:r w:rsidRPr="00FC3B7C">
        <w:rPr>
          <w:rFonts w:eastAsia="Times New Roman"/>
          <w:b/>
          <w:bCs/>
          <w:szCs w:val="24"/>
        </w:rPr>
        <w:t xml:space="preserve">devalvace </w:t>
      </w:r>
      <w:r w:rsidRPr="00FC3B7C">
        <w:rPr>
          <w:rFonts w:eastAsia="Times New Roman"/>
          <w:szCs w:val="24"/>
        </w:rPr>
        <w:t>kurzu k jiné</w:t>
      </w:r>
      <w:r w:rsidRPr="00FC3B7C">
        <w:rPr>
          <w:rFonts w:eastAsia="Times New Roman"/>
          <w:b/>
          <w:bCs/>
          <w:szCs w:val="24"/>
        </w:rPr>
        <w:t xml:space="preserve"> </w:t>
      </w:r>
      <w:r w:rsidRPr="00FC3B7C">
        <w:rPr>
          <w:rFonts w:eastAsia="Times New Roman"/>
          <w:szCs w:val="24"/>
        </w:rPr>
        <w:t>členské měně. Podmínkou je také</w:t>
      </w:r>
      <w:r w:rsidRPr="00FC3B7C">
        <w:rPr>
          <w:rFonts w:eastAsia="Times New Roman"/>
          <w:b/>
          <w:bCs/>
          <w:szCs w:val="24"/>
        </w:rPr>
        <w:t xml:space="preserve"> dvouleté členství v ERM II</w:t>
      </w:r>
      <w:r w:rsidR="00A60AA4">
        <w:rPr>
          <w:rFonts w:eastAsia="Times New Roman"/>
          <w:b/>
          <w:bCs/>
          <w:szCs w:val="24"/>
        </w:rPr>
        <w:t xml:space="preserve"> </w:t>
      </w:r>
      <w:r w:rsidRPr="00FC3B7C">
        <w:rPr>
          <w:rFonts w:eastAsia="Times New Roman"/>
          <w:szCs w:val="24"/>
        </w:rPr>
        <w:t>(mechanismus měnových kurzů).</w:t>
      </w:r>
    </w:p>
    <w:p w14:paraId="6E986EAD" w14:textId="7EF058A6" w:rsidR="00F8058E" w:rsidRDefault="00CE6695" w:rsidP="0016052A">
      <w:pPr>
        <w:ind w:right="40" w:firstLine="720"/>
        <w:rPr>
          <w:rFonts w:eastAsia="Times New Roman"/>
          <w:szCs w:val="24"/>
        </w:rPr>
      </w:pPr>
      <w:r w:rsidRPr="00FC3B7C">
        <w:rPr>
          <w:rFonts w:eastAsia="Times New Roman"/>
          <w:szCs w:val="24"/>
        </w:rPr>
        <w:t>ČNB intervenovala v listopadu 2013 na měnových trzích s cílem oslabit korunu. ČR zatím není členem mechanismu ERM II.</w:t>
      </w:r>
      <w:r w:rsidR="0031011A">
        <w:rPr>
          <w:rFonts w:eastAsia="Times New Roman"/>
          <w:szCs w:val="24"/>
        </w:rPr>
        <w:t xml:space="preserve"> </w:t>
      </w:r>
      <w:r w:rsidR="00F8058E">
        <w:rPr>
          <w:rFonts w:eastAsia="Times New Roman"/>
          <w:szCs w:val="24"/>
        </w:rPr>
        <w:t>„</w:t>
      </w:r>
      <w:r w:rsidR="00F8058E" w:rsidRPr="00F8058E">
        <w:rPr>
          <w:rFonts w:eastAsia="Times New Roman"/>
          <w:szCs w:val="24"/>
        </w:rPr>
        <w:t>Dosavadní pozice české vlády k zapojení do kurzového uspořádání ERM II vychází z názoru, že na účast v mechanismu ERM II je nutno pohlížet pouze jako na bránu umožňující přistoupení k eurozóně a nikoli jako na optimální formu kurzového režimu pro českou korunu. Zapojení do ERM II lze proto očekávat až v okamžiku, kdy vláda si vyjasní vhodné načasování vstupu do eurozóny.</w:t>
      </w:r>
      <w:r w:rsidR="00F8058E">
        <w:rPr>
          <w:rFonts w:eastAsia="Times New Roman"/>
          <w:szCs w:val="24"/>
        </w:rPr>
        <w:t>“ (Dědek, 2017)</w:t>
      </w:r>
    </w:p>
    <w:p w14:paraId="70B03C33" w14:textId="340264BE" w:rsidR="0031011A" w:rsidRDefault="0031011A" w:rsidP="00DC5ED2">
      <w:pPr>
        <w:ind w:right="40"/>
        <w:rPr>
          <w:rFonts w:eastAsia="Times New Roman"/>
          <w:szCs w:val="24"/>
        </w:rPr>
      </w:pPr>
    </w:p>
    <w:p w14:paraId="5ADF9C5F" w14:textId="19711433" w:rsidR="0031011A" w:rsidRDefault="0031011A" w:rsidP="008A4E3D">
      <w:pPr>
        <w:ind w:right="40"/>
        <w:jc w:val="center"/>
        <w:rPr>
          <w:rFonts w:eastAsia="Times New Roman"/>
          <w:szCs w:val="24"/>
        </w:rPr>
      </w:pPr>
      <w:r>
        <w:rPr>
          <w:rFonts w:eastAsia="Times New Roman"/>
          <w:noProof/>
          <w:szCs w:val="24"/>
        </w:rPr>
        <w:drawing>
          <wp:inline distT="0" distB="0" distL="0" distR="0" wp14:anchorId="0B1535B5" wp14:editId="0C108236">
            <wp:extent cx="4102873" cy="2342374"/>
            <wp:effectExtent l="0" t="0" r="0" b="127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56350" cy="2372904"/>
                    </a:xfrm>
                    <a:prstGeom prst="rect">
                      <a:avLst/>
                    </a:prstGeom>
                    <a:noFill/>
                    <a:ln>
                      <a:noFill/>
                    </a:ln>
                  </pic:spPr>
                </pic:pic>
              </a:graphicData>
            </a:graphic>
          </wp:inline>
        </w:drawing>
      </w:r>
    </w:p>
    <w:p w14:paraId="30425BAD" w14:textId="53780601" w:rsidR="00F8058E" w:rsidRPr="0031011A" w:rsidRDefault="0031011A" w:rsidP="0031011A">
      <w:pPr>
        <w:ind w:left="720" w:right="40"/>
        <w:rPr>
          <w:i/>
          <w:iCs/>
          <w:sz w:val="20"/>
          <w:szCs w:val="20"/>
        </w:rPr>
      </w:pPr>
      <w:r w:rsidRPr="0031011A">
        <w:rPr>
          <w:i/>
          <w:iCs/>
          <w:sz w:val="20"/>
          <w:szCs w:val="20"/>
        </w:rPr>
        <w:t>Zdroj: https://www.zavedenieura.cz/cs/euro-a-ceska-republika/plneni-vstupnich-podminek/kriterium-smenneho-kurzu</w:t>
      </w:r>
    </w:p>
    <w:p w14:paraId="3BE797CF" w14:textId="3EB7B2EC" w:rsidR="0031011A" w:rsidRDefault="0031011A" w:rsidP="00DC5ED2">
      <w:pPr>
        <w:ind w:right="40"/>
        <w:rPr>
          <w:sz w:val="20"/>
          <w:szCs w:val="20"/>
        </w:rPr>
      </w:pPr>
    </w:p>
    <w:p w14:paraId="4C9ADB7F" w14:textId="611F68BE" w:rsidR="00366D78" w:rsidRDefault="00366D78">
      <w:pPr>
        <w:spacing w:line="240" w:lineRule="auto"/>
        <w:jc w:val="left"/>
        <w:rPr>
          <w:rFonts w:eastAsia="Times New Roman"/>
          <w:b/>
        </w:rPr>
      </w:pPr>
    </w:p>
    <w:p w14:paraId="4A6F4F86" w14:textId="5D1A14BF" w:rsidR="00CE6695" w:rsidRPr="00244BB9" w:rsidRDefault="00CE6695" w:rsidP="00DC5ED2">
      <w:pPr>
        <w:rPr>
          <w:b/>
          <w:sz w:val="20"/>
          <w:szCs w:val="20"/>
        </w:rPr>
      </w:pPr>
      <w:r w:rsidRPr="00244BB9">
        <w:rPr>
          <w:rFonts w:eastAsia="Times New Roman"/>
          <w:b/>
        </w:rPr>
        <w:t>Pravidla fiskální politiky</w:t>
      </w:r>
    </w:p>
    <w:p w14:paraId="38D10BCD" w14:textId="7C62C00A" w:rsidR="00E254E8" w:rsidRDefault="00CE6695" w:rsidP="0016052A">
      <w:pPr>
        <w:ind w:right="20" w:firstLine="720"/>
        <w:rPr>
          <w:rFonts w:eastAsia="Times New Roman"/>
          <w:szCs w:val="24"/>
        </w:rPr>
      </w:pPr>
      <w:r w:rsidRPr="00FC3B7C">
        <w:rPr>
          <w:rFonts w:eastAsia="Times New Roman"/>
          <w:szCs w:val="24"/>
        </w:rPr>
        <w:t xml:space="preserve">Úroveň plánovaného a skutečného deficitu státního rozpočtu nesmí překročit </w:t>
      </w:r>
      <w:r w:rsidRPr="00FC3B7C">
        <w:rPr>
          <w:rFonts w:eastAsia="Times New Roman"/>
          <w:b/>
          <w:bCs/>
          <w:szCs w:val="24"/>
        </w:rPr>
        <w:t>3% HDP</w:t>
      </w:r>
      <w:r w:rsidRPr="00FC3B7C">
        <w:rPr>
          <w:rFonts w:eastAsia="Times New Roman"/>
          <w:szCs w:val="24"/>
        </w:rPr>
        <w:t>.</w:t>
      </w:r>
    </w:p>
    <w:p w14:paraId="736E3544" w14:textId="77777777" w:rsidR="00E254E8" w:rsidRDefault="00E254E8" w:rsidP="0016052A">
      <w:pPr>
        <w:ind w:right="20" w:firstLine="720"/>
        <w:rPr>
          <w:rFonts w:eastAsia="Times New Roman"/>
          <w:szCs w:val="24"/>
        </w:rPr>
      </w:pPr>
    </w:p>
    <w:p w14:paraId="17F63A72" w14:textId="6ABFA9A4" w:rsidR="00E254E8" w:rsidRDefault="00E254E8" w:rsidP="00E254E8">
      <w:pPr>
        <w:ind w:right="20"/>
        <w:rPr>
          <w:rFonts w:eastAsia="Times New Roman"/>
          <w:szCs w:val="24"/>
        </w:rPr>
      </w:pPr>
      <w:r w:rsidRPr="00E254E8">
        <w:rPr>
          <w:rFonts w:eastAsia="Times New Roman"/>
          <w:noProof/>
          <w:szCs w:val="24"/>
        </w:rPr>
        <w:lastRenderedPageBreak/>
        <w:drawing>
          <wp:inline distT="0" distB="0" distL="0" distR="0" wp14:anchorId="55DBF4BC" wp14:editId="705FF98D">
            <wp:extent cx="5778500" cy="1962785"/>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78500" cy="1962785"/>
                    </a:xfrm>
                    <a:prstGeom prst="rect">
                      <a:avLst/>
                    </a:prstGeom>
                    <a:noFill/>
                    <a:ln>
                      <a:noFill/>
                    </a:ln>
                    <a:effectLst/>
                  </pic:spPr>
                </pic:pic>
              </a:graphicData>
            </a:graphic>
          </wp:inline>
        </w:drawing>
      </w:r>
    </w:p>
    <w:p w14:paraId="138F98B8" w14:textId="6BE3777E" w:rsidR="00E254E8" w:rsidRPr="00366D78" w:rsidRDefault="00E254E8" w:rsidP="00244BB9">
      <w:pPr>
        <w:ind w:right="20"/>
        <w:rPr>
          <w:rFonts w:eastAsia="Times New Roman"/>
          <w:i/>
          <w:iCs/>
          <w:sz w:val="20"/>
          <w:szCs w:val="20"/>
        </w:rPr>
      </w:pPr>
      <w:r w:rsidRPr="00E254E8">
        <w:rPr>
          <w:rFonts w:eastAsia="Times New Roman"/>
          <w:i/>
          <w:iCs/>
          <w:sz w:val="20"/>
          <w:szCs w:val="20"/>
        </w:rPr>
        <w:t>Zdroj: https://www.zavedenieura.cz/cs/euro-a-ceska-republika/plneni-vstupnich-podminek/kriterium-verejneho-deficitu</w:t>
      </w:r>
    </w:p>
    <w:p w14:paraId="196615E5" w14:textId="77777777" w:rsidR="00E254E8" w:rsidRPr="00244BB9" w:rsidRDefault="00E254E8" w:rsidP="0016052A">
      <w:pPr>
        <w:ind w:right="20" w:firstLine="720"/>
        <w:rPr>
          <w:rFonts w:eastAsia="Times New Roman"/>
          <w:szCs w:val="24"/>
        </w:rPr>
      </w:pPr>
    </w:p>
    <w:p w14:paraId="3F579FB2" w14:textId="7EDDADEB" w:rsidR="00E254E8" w:rsidRPr="00244BB9" w:rsidRDefault="00E254E8" w:rsidP="0016052A">
      <w:pPr>
        <w:ind w:right="20" w:firstLine="720"/>
        <w:rPr>
          <w:rFonts w:eastAsia="Times New Roman"/>
          <w:szCs w:val="24"/>
        </w:rPr>
      </w:pPr>
      <w:r w:rsidRPr="00244BB9">
        <w:rPr>
          <w:rFonts w:eastAsia="Times New Roman"/>
          <w:szCs w:val="24"/>
        </w:rPr>
        <w:t xml:space="preserve">Dluh veřejného sektoru nesmí překročit </w:t>
      </w:r>
      <w:r w:rsidRPr="00244BB9">
        <w:rPr>
          <w:rFonts w:eastAsia="Times New Roman"/>
          <w:b/>
          <w:bCs/>
          <w:szCs w:val="24"/>
        </w:rPr>
        <w:t>60% HDP.</w:t>
      </w:r>
    </w:p>
    <w:p w14:paraId="60EE09CC" w14:textId="068CC7A7" w:rsidR="00E254E8" w:rsidRDefault="00E254E8" w:rsidP="00E254E8">
      <w:pPr>
        <w:ind w:right="20"/>
        <w:jc w:val="center"/>
        <w:rPr>
          <w:rFonts w:eastAsia="Times New Roman"/>
          <w:szCs w:val="24"/>
        </w:rPr>
      </w:pPr>
      <w:r w:rsidRPr="00E254E8">
        <w:rPr>
          <w:rFonts w:eastAsia="Times New Roman"/>
          <w:noProof/>
          <w:szCs w:val="24"/>
        </w:rPr>
        <w:drawing>
          <wp:inline distT="0" distB="0" distL="0" distR="0" wp14:anchorId="61D41028" wp14:editId="2CF58F4F">
            <wp:extent cx="5778500" cy="2016760"/>
            <wp:effectExtent l="0" t="0" r="0" b="254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78500" cy="2016760"/>
                    </a:xfrm>
                    <a:prstGeom prst="rect">
                      <a:avLst/>
                    </a:prstGeom>
                    <a:noFill/>
                    <a:ln>
                      <a:noFill/>
                    </a:ln>
                    <a:effectLst/>
                  </pic:spPr>
                </pic:pic>
              </a:graphicData>
            </a:graphic>
          </wp:inline>
        </w:drawing>
      </w:r>
    </w:p>
    <w:p w14:paraId="7B1B23AB" w14:textId="059A117F" w:rsidR="00E254E8" w:rsidRPr="00E254E8" w:rsidRDefault="00E254E8" w:rsidP="00244BB9">
      <w:pPr>
        <w:ind w:right="20"/>
        <w:rPr>
          <w:rFonts w:eastAsia="Times New Roman"/>
          <w:i/>
          <w:iCs/>
          <w:sz w:val="20"/>
          <w:szCs w:val="20"/>
        </w:rPr>
      </w:pPr>
      <w:r w:rsidRPr="00E254E8">
        <w:rPr>
          <w:rFonts w:eastAsia="Times New Roman"/>
          <w:i/>
          <w:iCs/>
          <w:sz w:val="20"/>
          <w:szCs w:val="20"/>
        </w:rPr>
        <w:t>Zdroj: https://www.zavedenieura.cz/cs/euro-a-ceska-republika/plneni-vstupnich-podminek/kriterium-verejneho-dluhu</w:t>
      </w:r>
    </w:p>
    <w:p w14:paraId="1C44CFBA" w14:textId="16E1E1FF" w:rsidR="00366D78" w:rsidRDefault="00366D78" w:rsidP="00366D78">
      <w:pPr>
        <w:ind w:right="20"/>
        <w:rPr>
          <w:sz w:val="20"/>
          <w:szCs w:val="20"/>
        </w:rPr>
      </w:pPr>
    </w:p>
    <w:p w14:paraId="72A7BBCA" w14:textId="651760F4" w:rsidR="00907952" w:rsidRDefault="00907952" w:rsidP="00907952">
      <w:pPr>
        <w:ind w:right="20" w:firstLine="720"/>
        <w:rPr>
          <w:szCs w:val="24"/>
        </w:rPr>
      </w:pPr>
      <w:r>
        <w:rPr>
          <w:szCs w:val="24"/>
        </w:rPr>
        <w:t>Splňování obou kritérií je těžké ke květnu 2020 posoudit vzhledem ke koronavirové krizi.</w:t>
      </w:r>
    </w:p>
    <w:p w14:paraId="4A6F4F89" w14:textId="0D0221FC" w:rsidR="00CE6695" w:rsidRPr="00907952" w:rsidRDefault="00907952" w:rsidP="00907952">
      <w:pPr>
        <w:spacing w:line="240" w:lineRule="auto"/>
        <w:jc w:val="left"/>
        <w:rPr>
          <w:szCs w:val="24"/>
        </w:rPr>
      </w:pPr>
      <w:r>
        <w:rPr>
          <w:szCs w:val="24"/>
        </w:rPr>
        <w:br w:type="page"/>
      </w:r>
    </w:p>
    <w:p w14:paraId="4A6F4F8A" w14:textId="7B171050" w:rsidR="00CE6695" w:rsidRPr="00FC3B7C" w:rsidRDefault="0070178B" w:rsidP="00CE6695">
      <w:pPr>
        <w:pStyle w:val="Nadpis3"/>
        <w:rPr>
          <w:rFonts w:cs="Times New Roman"/>
          <w:sz w:val="20"/>
          <w:szCs w:val="20"/>
        </w:rPr>
      </w:pPr>
      <w:r>
        <w:rPr>
          <w:rFonts w:eastAsia="Times New Roman" w:cs="Times New Roman"/>
        </w:rPr>
        <w:lastRenderedPageBreak/>
        <w:t xml:space="preserve"> </w:t>
      </w:r>
      <w:r w:rsidR="00CE6695" w:rsidRPr="0070178B">
        <w:rPr>
          <w:rFonts w:eastAsia="Times New Roman" w:cs="Times New Roman"/>
          <w:color w:val="1F3864" w:themeColor="accent1" w:themeShade="80"/>
        </w:rPr>
        <w:t>Reálná kritéria konvergence</w:t>
      </w:r>
    </w:p>
    <w:p w14:paraId="4A6F4F8B" w14:textId="77777777" w:rsidR="00CE6695" w:rsidRPr="00FC3B7C" w:rsidRDefault="00CE6695" w:rsidP="00D46B53">
      <w:pPr>
        <w:numPr>
          <w:ilvl w:val="0"/>
          <w:numId w:val="443"/>
        </w:numPr>
        <w:tabs>
          <w:tab w:val="left" w:pos="560"/>
        </w:tabs>
        <w:ind w:left="560" w:hanging="354"/>
        <w:rPr>
          <w:rFonts w:eastAsia="Times New Roman"/>
          <w:b/>
          <w:bCs/>
          <w:szCs w:val="24"/>
        </w:rPr>
      </w:pPr>
      <w:r w:rsidRPr="00FC3B7C">
        <w:rPr>
          <w:rFonts w:eastAsia="Times New Roman"/>
          <w:szCs w:val="24"/>
        </w:rPr>
        <w:t>Snižování mezer ekonomické výkonnosti</w:t>
      </w:r>
    </w:p>
    <w:p w14:paraId="4A6F4F8C" w14:textId="77777777" w:rsidR="00CE6695" w:rsidRPr="00FC3B7C" w:rsidRDefault="00CE6695" w:rsidP="00D46B53">
      <w:pPr>
        <w:numPr>
          <w:ilvl w:val="0"/>
          <w:numId w:val="443"/>
        </w:numPr>
        <w:tabs>
          <w:tab w:val="left" w:pos="560"/>
        </w:tabs>
        <w:ind w:left="560" w:hanging="354"/>
        <w:rPr>
          <w:rFonts w:eastAsia="Times New Roman"/>
          <w:b/>
          <w:bCs/>
          <w:szCs w:val="24"/>
        </w:rPr>
      </w:pPr>
      <w:r w:rsidRPr="00FC3B7C">
        <w:rPr>
          <w:rFonts w:eastAsia="Times New Roman"/>
          <w:szCs w:val="24"/>
        </w:rPr>
        <w:t>Vyrovnávání kapitálové vybavenosti</w:t>
      </w:r>
    </w:p>
    <w:p w14:paraId="4A6F4F8D" w14:textId="77777777" w:rsidR="00CE6695" w:rsidRPr="00FC3B7C" w:rsidRDefault="00CE6695" w:rsidP="00D46B53">
      <w:pPr>
        <w:numPr>
          <w:ilvl w:val="0"/>
          <w:numId w:val="443"/>
        </w:numPr>
        <w:tabs>
          <w:tab w:val="left" w:pos="560"/>
        </w:tabs>
        <w:ind w:left="560" w:hanging="354"/>
        <w:rPr>
          <w:rFonts w:eastAsia="Times New Roman"/>
          <w:b/>
          <w:bCs/>
          <w:szCs w:val="24"/>
        </w:rPr>
      </w:pPr>
      <w:r w:rsidRPr="00FC3B7C">
        <w:rPr>
          <w:rFonts w:eastAsia="Times New Roman"/>
          <w:szCs w:val="24"/>
        </w:rPr>
        <w:t>Postupné vyrovnání úrovně produktivity práce</w:t>
      </w:r>
    </w:p>
    <w:p w14:paraId="4A6F4F8E" w14:textId="77777777" w:rsidR="00CE6695" w:rsidRPr="00FC3B7C" w:rsidRDefault="00CE6695" w:rsidP="00D46B53">
      <w:pPr>
        <w:numPr>
          <w:ilvl w:val="0"/>
          <w:numId w:val="443"/>
        </w:numPr>
        <w:tabs>
          <w:tab w:val="left" w:pos="560"/>
        </w:tabs>
        <w:ind w:left="560" w:hanging="354"/>
        <w:rPr>
          <w:rFonts w:eastAsia="Times New Roman"/>
          <w:b/>
          <w:bCs/>
          <w:szCs w:val="24"/>
        </w:rPr>
      </w:pPr>
      <w:r w:rsidRPr="00FC3B7C">
        <w:rPr>
          <w:rFonts w:eastAsia="Times New Roman"/>
          <w:szCs w:val="24"/>
        </w:rPr>
        <w:t>Postupné vyrovnávání úrovně mezd- zvyšování ceny výrobního faktoru práce</w:t>
      </w:r>
    </w:p>
    <w:p w14:paraId="4A6F4F8F" w14:textId="77777777" w:rsidR="00CE6695" w:rsidRPr="00FC3B7C" w:rsidRDefault="00CE6695" w:rsidP="00D46B53">
      <w:pPr>
        <w:numPr>
          <w:ilvl w:val="0"/>
          <w:numId w:val="444"/>
        </w:numPr>
        <w:tabs>
          <w:tab w:val="left" w:pos="560"/>
        </w:tabs>
        <w:ind w:left="560" w:hanging="354"/>
        <w:rPr>
          <w:rFonts w:eastAsia="Times New Roman"/>
          <w:b/>
          <w:bCs/>
          <w:szCs w:val="24"/>
        </w:rPr>
      </w:pPr>
      <w:r w:rsidRPr="00FC3B7C">
        <w:rPr>
          <w:rFonts w:eastAsia="Times New Roman"/>
          <w:szCs w:val="24"/>
        </w:rPr>
        <w:t>Kompatibilita institucionálního uspořádání</w:t>
      </w:r>
    </w:p>
    <w:p w14:paraId="4A6F4F90" w14:textId="77777777" w:rsidR="00CE6695" w:rsidRPr="00FC3B7C" w:rsidRDefault="00CE6695" w:rsidP="00D46B53">
      <w:pPr>
        <w:numPr>
          <w:ilvl w:val="0"/>
          <w:numId w:val="444"/>
        </w:numPr>
        <w:tabs>
          <w:tab w:val="left" w:pos="560"/>
        </w:tabs>
        <w:ind w:left="560" w:hanging="354"/>
        <w:rPr>
          <w:rFonts w:eastAsia="Times New Roman"/>
          <w:b/>
          <w:bCs/>
          <w:szCs w:val="24"/>
        </w:rPr>
      </w:pPr>
      <w:r w:rsidRPr="00FC3B7C">
        <w:rPr>
          <w:rFonts w:eastAsia="Times New Roman"/>
          <w:szCs w:val="24"/>
        </w:rPr>
        <w:t>Kompatibilita sociálních systémů</w:t>
      </w:r>
    </w:p>
    <w:p w14:paraId="4A6F4F91" w14:textId="77777777" w:rsidR="00CE6695" w:rsidRPr="00FC3B7C" w:rsidRDefault="00CE6695" w:rsidP="00D46B53">
      <w:pPr>
        <w:numPr>
          <w:ilvl w:val="0"/>
          <w:numId w:val="444"/>
        </w:numPr>
        <w:tabs>
          <w:tab w:val="left" w:pos="560"/>
        </w:tabs>
        <w:ind w:left="560" w:hanging="354"/>
        <w:rPr>
          <w:rFonts w:eastAsia="Times New Roman"/>
          <w:b/>
          <w:bCs/>
          <w:szCs w:val="24"/>
        </w:rPr>
      </w:pPr>
      <w:r w:rsidRPr="00FC3B7C">
        <w:rPr>
          <w:rFonts w:eastAsia="Times New Roman"/>
          <w:szCs w:val="24"/>
        </w:rPr>
        <w:t>Postupné sbližování cenových hladin</w:t>
      </w:r>
    </w:p>
    <w:p w14:paraId="4A6F4F92" w14:textId="77777777" w:rsidR="00CE6695" w:rsidRPr="00FC3B7C" w:rsidRDefault="00CE6695" w:rsidP="00D46B53">
      <w:pPr>
        <w:numPr>
          <w:ilvl w:val="0"/>
          <w:numId w:val="444"/>
        </w:numPr>
        <w:tabs>
          <w:tab w:val="left" w:pos="560"/>
        </w:tabs>
        <w:ind w:left="560" w:hanging="354"/>
        <w:rPr>
          <w:rFonts w:eastAsia="Times New Roman"/>
          <w:b/>
          <w:bCs/>
          <w:szCs w:val="24"/>
        </w:rPr>
      </w:pPr>
      <w:r w:rsidRPr="00FC3B7C">
        <w:rPr>
          <w:rFonts w:eastAsia="Times New Roman"/>
          <w:szCs w:val="24"/>
        </w:rPr>
        <w:t>Pravděpodobná apreciace domácí měny vůči Euru</w:t>
      </w:r>
    </w:p>
    <w:p w14:paraId="4A6F4F93" w14:textId="77777777" w:rsidR="00CE6695" w:rsidRPr="00FC3B7C" w:rsidRDefault="00CE6695" w:rsidP="00CE6695">
      <w:pPr>
        <w:sectPr w:rsidR="00CE6695" w:rsidRPr="00FC3B7C">
          <w:pgSz w:w="11900" w:h="16840"/>
          <w:pgMar w:top="1391" w:right="1380" w:bottom="1440" w:left="1420" w:header="0" w:footer="0" w:gutter="0"/>
          <w:cols w:space="708" w:equalWidth="0">
            <w:col w:w="9100"/>
          </w:cols>
        </w:sectPr>
      </w:pPr>
    </w:p>
    <w:p w14:paraId="4A6F4F94" w14:textId="77777777" w:rsidR="00CE6695" w:rsidRPr="004975AA" w:rsidRDefault="00CE6695" w:rsidP="004975AA">
      <w:pPr>
        <w:rPr>
          <w:b/>
          <w:sz w:val="28"/>
          <w:szCs w:val="28"/>
        </w:rPr>
      </w:pPr>
      <w:bookmarkStart w:id="420" w:name="page430"/>
      <w:bookmarkStart w:id="421" w:name="page433"/>
      <w:bookmarkEnd w:id="420"/>
      <w:bookmarkEnd w:id="421"/>
      <w:r w:rsidRPr="004975AA">
        <w:rPr>
          <w:rFonts w:eastAsia="Times New Roman"/>
          <w:b/>
          <w:sz w:val="28"/>
          <w:szCs w:val="28"/>
        </w:rPr>
        <w:lastRenderedPageBreak/>
        <w:t>Zdroje</w:t>
      </w:r>
    </w:p>
    <w:p w14:paraId="4A6F4F95" w14:textId="77777777" w:rsidR="00CE6695" w:rsidRPr="00FC3B7C" w:rsidRDefault="00CE6695" w:rsidP="00CE6695">
      <w:pPr>
        <w:spacing w:line="371" w:lineRule="exact"/>
        <w:rPr>
          <w:sz w:val="20"/>
          <w:szCs w:val="20"/>
        </w:rPr>
      </w:pPr>
    </w:p>
    <w:p w14:paraId="306D53F2" w14:textId="6F2774E3" w:rsidR="00124942" w:rsidRDefault="00124942" w:rsidP="0070178B">
      <w:pPr>
        <w:rPr>
          <w:rFonts w:eastAsia="Times New Roman"/>
        </w:rPr>
      </w:pPr>
      <w:r w:rsidRPr="00124942">
        <w:rPr>
          <w:rFonts w:eastAsia="Times New Roman"/>
        </w:rPr>
        <w:t>VOSTROVSKÁ Z., akol., Skripta ke státní zkoušce ze studijního oboru Národní hospodářství, sebrané referáty z kurzu 5HP324 2013.</w:t>
      </w:r>
    </w:p>
    <w:p w14:paraId="4A6F4F97" w14:textId="6D3A42F4" w:rsidR="00CE6695" w:rsidRPr="00FC3B7C" w:rsidRDefault="00CE6695" w:rsidP="0070178B">
      <w:pPr>
        <w:rPr>
          <w:sz w:val="20"/>
          <w:szCs w:val="20"/>
        </w:rPr>
      </w:pPr>
      <w:r w:rsidRPr="00FC3B7C">
        <w:rPr>
          <w:rFonts w:eastAsia="Times New Roman"/>
        </w:rPr>
        <w:t>Přednášky předmětu 5HP300 – Evropská unie a její politiky LS 2012/2013</w:t>
      </w:r>
    </w:p>
    <w:p w14:paraId="4A6F4F98" w14:textId="77777777" w:rsidR="00CE6695" w:rsidRPr="00FC3B7C" w:rsidRDefault="00CE6695" w:rsidP="0070178B">
      <w:pPr>
        <w:rPr>
          <w:sz w:val="20"/>
          <w:szCs w:val="20"/>
        </w:rPr>
      </w:pPr>
      <w:r w:rsidRPr="00FC3B7C">
        <w:rPr>
          <w:rFonts w:eastAsia="Times New Roman"/>
        </w:rPr>
        <w:t>Přednášky z předmětu 5HP200 – Úvod do hospodářské a sociální politiky LS 2009/2010</w:t>
      </w:r>
    </w:p>
    <w:p w14:paraId="4A6F4F99" w14:textId="77777777" w:rsidR="00CE6695" w:rsidRPr="00FC3B7C" w:rsidRDefault="00CE6695" w:rsidP="0070178B">
      <w:pPr>
        <w:rPr>
          <w:sz w:val="20"/>
          <w:szCs w:val="20"/>
        </w:rPr>
      </w:pPr>
      <w:r w:rsidRPr="00FC3B7C">
        <w:rPr>
          <w:rFonts w:eastAsia="Times New Roman"/>
        </w:rPr>
        <w:t>Přednášky z předmětu 5HP300 – Evropská unie a její politiky, Ing. Mgr. et Mgr. Michaela Ševčíková, Ph.D., LS 2013/2014</w:t>
      </w:r>
    </w:p>
    <w:p w14:paraId="4A6F4F9A" w14:textId="77777777" w:rsidR="00CE6695" w:rsidRPr="00FC3B7C" w:rsidRDefault="00CE6695" w:rsidP="0070178B">
      <w:pPr>
        <w:rPr>
          <w:sz w:val="20"/>
          <w:szCs w:val="20"/>
        </w:rPr>
      </w:pPr>
      <w:r w:rsidRPr="00FC3B7C">
        <w:rPr>
          <w:rFonts w:eastAsia="Times New Roman"/>
        </w:rPr>
        <w:t>Přednášky z předmětu 5HD403 - Geneze, aktuální problémy a budoucnost Evropské unie, prof. PhDr. Martin Kovář, Ph.D., LS 2012/2013</w:t>
      </w:r>
    </w:p>
    <w:p w14:paraId="69BE3E34" w14:textId="495465DC" w:rsidR="00F8058E" w:rsidRDefault="00CE6695" w:rsidP="0070178B">
      <w:pPr>
        <w:rPr>
          <w:sz w:val="20"/>
          <w:szCs w:val="20"/>
        </w:rPr>
      </w:pPr>
      <w:r w:rsidRPr="00FC3B7C">
        <w:rPr>
          <w:rFonts w:eastAsia="Times New Roman"/>
        </w:rPr>
        <w:t xml:space="preserve">R. Baldwin, Ch. Wyplos, Ekonomie evropské integrace. Grada, Praha 2008 Portály </w:t>
      </w:r>
      <w:r w:rsidRPr="00FC3B7C">
        <w:rPr>
          <w:rFonts w:eastAsia="Times New Roman"/>
          <w:color w:val="0563C1"/>
          <w:u w:val="single"/>
        </w:rPr>
        <w:t>www.euroskop.cz, www.europa.eu</w:t>
      </w:r>
    </w:p>
    <w:p w14:paraId="4A6F4F9C" w14:textId="34490B19" w:rsidR="00F8058E" w:rsidRPr="00F8058E" w:rsidRDefault="00F8058E" w:rsidP="0070178B">
      <w:pPr>
        <w:rPr>
          <w:szCs w:val="24"/>
        </w:rPr>
        <w:sectPr w:rsidR="00F8058E" w:rsidRPr="00F8058E">
          <w:pgSz w:w="11900" w:h="16840"/>
          <w:pgMar w:top="1386" w:right="1400" w:bottom="1440" w:left="1420" w:header="0" w:footer="0" w:gutter="0"/>
          <w:cols w:space="708" w:equalWidth="0">
            <w:col w:w="9080"/>
          </w:cols>
        </w:sectPr>
      </w:pPr>
      <w:r w:rsidRPr="00F8058E">
        <w:rPr>
          <w:szCs w:val="24"/>
        </w:rPr>
        <w:t>DĚDEK, Oldřich. Zavedení eura v ČR [online]. 2. ledna 2017 [cit. 2020-05-10]. Dostupné z: https://www.zavedenieura.cz/</w:t>
      </w:r>
    </w:p>
    <w:p w14:paraId="4A6F4F9D" w14:textId="77777777" w:rsidR="00CE6695" w:rsidRPr="0070178B" w:rsidRDefault="00CE6695" w:rsidP="0070178B">
      <w:pPr>
        <w:pStyle w:val="Nadpis1"/>
        <w:ind w:left="0" w:firstLine="0"/>
        <w:rPr>
          <w:color w:val="1F3864" w:themeColor="accent1" w:themeShade="80"/>
          <w:sz w:val="20"/>
          <w:szCs w:val="20"/>
        </w:rPr>
      </w:pPr>
      <w:bookmarkStart w:id="422" w:name="page434"/>
      <w:bookmarkStart w:id="423" w:name="_Toc54254091"/>
      <w:bookmarkEnd w:id="422"/>
      <w:r w:rsidRPr="0070178B">
        <w:rPr>
          <w:color w:val="1F3864" w:themeColor="accent1" w:themeShade="80"/>
        </w:rPr>
        <w:lastRenderedPageBreak/>
        <w:t>PROHLUBOVÁNÍ INTEGRAČNÍHO PROCESU V EU</w:t>
      </w:r>
      <w:bookmarkEnd w:id="423"/>
    </w:p>
    <w:p w14:paraId="4A6F4F9E" w14:textId="77777777" w:rsidR="00CE6695" w:rsidRPr="00EC5DF9" w:rsidRDefault="00CE6695" w:rsidP="00CE6695">
      <w:pPr>
        <w:pStyle w:val="Nadpis2"/>
        <w:rPr>
          <w:rFonts w:cs="Times New Roman"/>
          <w:color w:val="FF0000"/>
          <w:sz w:val="20"/>
          <w:szCs w:val="20"/>
        </w:rPr>
      </w:pPr>
      <w:r w:rsidRPr="00244BB9">
        <w:rPr>
          <w:rFonts w:cs="Times New Roman"/>
          <w:color w:val="1F3864" w:themeColor="accent1" w:themeShade="80"/>
        </w:rPr>
        <w:t>MAASTRICHTSKÁ KRITÉRIA</w:t>
      </w:r>
    </w:p>
    <w:p w14:paraId="1B1B0F93" w14:textId="77777777" w:rsidR="00A556D7" w:rsidRDefault="00CE6695" w:rsidP="00A556D7">
      <w:pPr>
        <w:ind w:firstLine="576"/>
        <w:rPr>
          <w:rFonts w:eastAsia="Times New Roman"/>
          <w:szCs w:val="24"/>
        </w:rPr>
      </w:pPr>
      <w:r w:rsidRPr="00FC3B7C">
        <w:rPr>
          <w:rFonts w:eastAsia="Times New Roman"/>
        </w:rPr>
        <w:t>Maastrichtská kritéria byla stanovena Maastrichtskou smlouvou z roku 1993 (neboli Smlouva</w:t>
      </w:r>
      <w:r w:rsidR="00A556D7" w:rsidRPr="00A556D7">
        <w:rPr>
          <w:szCs w:val="24"/>
        </w:rPr>
        <w:t xml:space="preserve"> o </w:t>
      </w:r>
      <w:r w:rsidRPr="00FC3B7C">
        <w:rPr>
          <w:rFonts w:eastAsia="Times New Roman"/>
          <w:szCs w:val="24"/>
        </w:rPr>
        <w:t>EU), která mění Evropské společenství (ES) na Evropskou unii (EU). Tato smlouva znamenala výrazné prohloubení integračního procesu, pozměňuje a doplňuje zakládající smlouvy, zahrnuje smlouvu o hospodářské, měnové a politické unii a zdůrazňuje posílení ekonomické a sociální soudržnosti států EU.</w:t>
      </w:r>
    </w:p>
    <w:p w14:paraId="14C4DF5E" w14:textId="77777777" w:rsidR="00A556D7" w:rsidRDefault="00A556D7" w:rsidP="00A556D7">
      <w:pPr>
        <w:rPr>
          <w:rFonts w:eastAsia="Times New Roman"/>
          <w:szCs w:val="24"/>
        </w:rPr>
      </w:pPr>
    </w:p>
    <w:p w14:paraId="4A6F4FA0" w14:textId="7831422E" w:rsidR="00CE6695" w:rsidRPr="00A556D7" w:rsidRDefault="00CE6695" w:rsidP="00A556D7">
      <w:pPr>
        <w:rPr>
          <w:sz w:val="20"/>
          <w:szCs w:val="20"/>
        </w:rPr>
      </w:pPr>
      <w:r w:rsidRPr="00FC3B7C">
        <w:rPr>
          <w:rFonts w:eastAsia="Times New Roman"/>
          <w:b/>
          <w:bCs/>
          <w:szCs w:val="24"/>
        </w:rPr>
        <w:t>Zahrnuje tři hlavní pilíře EU:</w:t>
      </w:r>
    </w:p>
    <w:p w14:paraId="4A6F4FA1" w14:textId="77777777" w:rsidR="00CE6695" w:rsidRPr="00FC3B7C" w:rsidRDefault="00CE6695" w:rsidP="00D46B53">
      <w:pPr>
        <w:numPr>
          <w:ilvl w:val="1"/>
          <w:numId w:val="445"/>
        </w:numPr>
        <w:tabs>
          <w:tab w:val="left" w:pos="724"/>
        </w:tabs>
        <w:ind w:left="724" w:hanging="364"/>
        <w:rPr>
          <w:rFonts w:eastAsia="Arial"/>
          <w:szCs w:val="24"/>
        </w:rPr>
      </w:pPr>
      <w:r w:rsidRPr="00FC3B7C">
        <w:rPr>
          <w:rFonts w:eastAsia="Times New Roman"/>
          <w:szCs w:val="24"/>
        </w:rPr>
        <w:t>Evropské společenství</w:t>
      </w:r>
    </w:p>
    <w:p w14:paraId="4A6F4FA2" w14:textId="77777777" w:rsidR="00CE6695" w:rsidRPr="00FC3B7C" w:rsidRDefault="00CE6695" w:rsidP="00D46B53">
      <w:pPr>
        <w:numPr>
          <w:ilvl w:val="1"/>
          <w:numId w:val="445"/>
        </w:numPr>
        <w:tabs>
          <w:tab w:val="left" w:pos="724"/>
        </w:tabs>
        <w:ind w:left="724" w:hanging="364"/>
        <w:rPr>
          <w:rFonts w:eastAsia="Arial"/>
          <w:szCs w:val="24"/>
        </w:rPr>
      </w:pPr>
      <w:r w:rsidRPr="00FC3B7C">
        <w:rPr>
          <w:rFonts w:eastAsia="Times New Roman"/>
          <w:szCs w:val="24"/>
        </w:rPr>
        <w:t>Společná bezpečnostní a zahraniční politika</w:t>
      </w:r>
    </w:p>
    <w:p w14:paraId="4A6F4FA3" w14:textId="77777777" w:rsidR="00CE6695" w:rsidRPr="00FC3B7C" w:rsidRDefault="00CE6695" w:rsidP="00D46B53">
      <w:pPr>
        <w:numPr>
          <w:ilvl w:val="1"/>
          <w:numId w:val="445"/>
        </w:numPr>
        <w:tabs>
          <w:tab w:val="left" w:pos="724"/>
        </w:tabs>
        <w:ind w:left="724" w:hanging="364"/>
        <w:rPr>
          <w:rFonts w:eastAsia="Arial"/>
          <w:szCs w:val="24"/>
        </w:rPr>
      </w:pPr>
      <w:r w:rsidRPr="00FC3B7C">
        <w:rPr>
          <w:rFonts w:eastAsia="Times New Roman"/>
          <w:szCs w:val="24"/>
        </w:rPr>
        <w:t>Spolupráce v oblasti spravedlnosti a justice</w:t>
      </w:r>
    </w:p>
    <w:p w14:paraId="7539AFD0" w14:textId="77777777" w:rsidR="00A556D7" w:rsidRDefault="00A556D7" w:rsidP="00DB6E27">
      <w:pPr>
        <w:rPr>
          <w:rFonts w:eastAsia="Times New Roman"/>
          <w:b/>
        </w:rPr>
      </w:pPr>
    </w:p>
    <w:p w14:paraId="4A6F4FA4" w14:textId="5FB9C7FA" w:rsidR="00CE6695" w:rsidRPr="004975AA" w:rsidRDefault="00CE6695" w:rsidP="00DB6E27">
      <w:pPr>
        <w:rPr>
          <w:b/>
          <w:sz w:val="20"/>
          <w:szCs w:val="20"/>
        </w:rPr>
      </w:pPr>
      <w:r w:rsidRPr="004975AA">
        <w:rPr>
          <w:rFonts w:eastAsia="Times New Roman"/>
          <w:b/>
        </w:rPr>
        <w:t>Maastrichtská (konvergenční) kritéria:</w:t>
      </w:r>
    </w:p>
    <w:p w14:paraId="4A6F4FA7" w14:textId="1A0AB1FC" w:rsidR="00DB6E27" w:rsidRDefault="00CE6695" w:rsidP="00A60AA4">
      <w:pPr>
        <w:ind w:left="4" w:firstLine="716"/>
        <w:rPr>
          <w:rFonts w:eastAsia="Times New Roman"/>
          <w:szCs w:val="24"/>
        </w:rPr>
      </w:pPr>
      <w:r w:rsidRPr="00FC3B7C">
        <w:rPr>
          <w:rFonts w:eastAsia="Times New Roman"/>
          <w:sz w:val="23"/>
          <w:szCs w:val="23"/>
        </w:rPr>
        <w:t>Jsou kritéria pro členské země EU, které chtějí vstoupit do Evropské měnové unie (EMU). Nutí členské země k opatrné měnové a rozpočtové politice. Jejich smyslem je zajistit, že budou udrženy stabilní směnné kurzy měn členských zemí tak, aby země byly připraveny na přechod</w:t>
      </w:r>
      <w:r w:rsidR="00A60AA4" w:rsidRPr="00A60AA4">
        <w:rPr>
          <w:szCs w:val="24"/>
        </w:rPr>
        <w:t xml:space="preserve"> k </w:t>
      </w:r>
      <w:r w:rsidRPr="00FC3B7C">
        <w:rPr>
          <w:rFonts w:eastAsia="Times New Roman"/>
          <w:szCs w:val="24"/>
        </w:rPr>
        <w:t xml:space="preserve">měnové unii. To vyžaduje koordinaci a sladění hospodářských politik. Nedodržení kritérií nebývá sankcionováno, nikdy totiž nebylo oficiálně vyhlášeno, co musí stát udělat, aby se </w:t>
      </w:r>
      <w:r w:rsidR="00DB6E27">
        <w:rPr>
          <w:rFonts w:eastAsia="Times New Roman"/>
          <w:szCs w:val="24"/>
        </w:rPr>
        <w:br/>
      </w:r>
      <w:r w:rsidRPr="00FC3B7C">
        <w:rPr>
          <w:rFonts w:eastAsia="Times New Roman"/>
          <w:szCs w:val="24"/>
        </w:rPr>
        <w:t>v EMU udržel, ale v listopadu 2009 Evropská komise avizovala, že při neplnění konvergenčních kritérií (zejména při nesnížení deficitu rozpočtu do r. 2013) může přistoupit k sankcím (v krajním případě omezení čerpání prostředků ze strukturálních fondů). V</w:t>
      </w:r>
      <w:r w:rsidR="00A60AA4">
        <w:rPr>
          <w:rFonts w:eastAsia="Times New Roman"/>
          <w:szCs w:val="24"/>
        </w:rPr>
        <w:t> </w:t>
      </w:r>
      <w:r w:rsidRPr="00FC3B7C">
        <w:rPr>
          <w:rFonts w:eastAsia="Times New Roman"/>
          <w:szCs w:val="24"/>
        </w:rPr>
        <w:t>době</w:t>
      </w:r>
      <w:r w:rsidR="00A60AA4">
        <w:rPr>
          <w:sz w:val="20"/>
          <w:szCs w:val="20"/>
        </w:rPr>
        <w:t xml:space="preserve"> </w:t>
      </w:r>
      <w:r w:rsidRPr="00FC3B7C">
        <w:rPr>
          <w:rFonts w:eastAsia="Times New Roman"/>
          <w:szCs w:val="24"/>
        </w:rPr>
        <w:t>ekonomické krize má mnoho států problém s jejich dodržováním, o sankcích nebo vyloučení z EMU se ovšem neuvažuje. Obsahují 3 měnová a 2 fiskální kritéria, která jsou snadno sledovatelná a porovnatelná.</w:t>
      </w:r>
      <w:r w:rsidR="00A60AA4">
        <w:rPr>
          <w:rFonts w:eastAsia="Times New Roman"/>
          <w:szCs w:val="24"/>
        </w:rPr>
        <w:t xml:space="preserve"> </w:t>
      </w:r>
    </w:p>
    <w:p w14:paraId="275ACDEA" w14:textId="619A5AC7" w:rsidR="00A60AA4" w:rsidRDefault="00A60AA4" w:rsidP="00A60AA4">
      <w:pPr>
        <w:ind w:left="4" w:firstLine="716"/>
        <w:rPr>
          <w:rFonts w:eastAsia="Times New Roman"/>
          <w:szCs w:val="24"/>
        </w:rPr>
      </w:pPr>
    </w:p>
    <w:p w14:paraId="79997D26" w14:textId="44B6367A" w:rsidR="00A60AA4" w:rsidRPr="00A60AA4" w:rsidRDefault="00A60AA4" w:rsidP="00A60AA4">
      <w:pPr>
        <w:ind w:left="4" w:firstLine="716"/>
        <w:rPr>
          <w:b/>
          <w:bCs/>
          <w:sz w:val="20"/>
          <w:szCs w:val="20"/>
        </w:rPr>
      </w:pPr>
      <w:r w:rsidRPr="00A60AA4">
        <w:rPr>
          <w:rFonts w:eastAsia="Times New Roman"/>
          <w:b/>
          <w:bCs/>
          <w:szCs w:val="24"/>
        </w:rPr>
        <w:t>VIZ. 18.6.1</w:t>
      </w:r>
    </w:p>
    <w:p w14:paraId="4A6F4FA8" w14:textId="77777777" w:rsidR="00DB6E27" w:rsidRDefault="00DB6E27">
      <w:pPr>
        <w:spacing w:line="240" w:lineRule="auto"/>
        <w:jc w:val="left"/>
        <w:rPr>
          <w:rFonts w:eastAsia="Times New Roman"/>
          <w:szCs w:val="24"/>
        </w:rPr>
      </w:pPr>
      <w:r>
        <w:rPr>
          <w:rFonts w:eastAsia="Times New Roman"/>
          <w:szCs w:val="24"/>
        </w:rPr>
        <w:br w:type="page"/>
      </w:r>
    </w:p>
    <w:p w14:paraId="4A6F5065" w14:textId="77777777" w:rsidR="00CE6695" w:rsidRPr="00244BB9" w:rsidRDefault="00CE6695" w:rsidP="00CE6695">
      <w:pPr>
        <w:pStyle w:val="Nadpis2"/>
        <w:rPr>
          <w:rFonts w:cs="Times New Roman"/>
          <w:b w:val="0"/>
          <w:color w:val="1F3864" w:themeColor="accent1" w:themeShade="80"/>
        </w:rPr>
      </w:pPr>
      <w:bookmarkStart w:id="424" w:name="page435"/>
      <w:bookmarkEnd w:id="424"/>
      <w:r w:rsidRPr="00244BB9">
        <w:rPr>
          <w:rFonts w:cs="Times New Roman"/>
          <w:color w:val="1F3864" w:themeColor="accent1" w:themeShade="80"/>
        </w:rPr>
        <w:lastRenderedPageBreak/>
        <w:t>PAKT STABILITY A RŮSTU</w:t>
      </w:r>
    </w:p>
    <w:p w14:paraId="4A6F5066" w14:textId="77777777" w:rsidR="00CE6695" w:rsidRPr="00FC3B7C" w:rsidRDefault="00CE6695" w:rsidP="00A60AA4">
      <w:pPr>
        <w:ind w:left="4" w:firstLine="572"/>
        <w:rPr>
          <w:sz w:val="20"/>
          <w:szCs w:val="20"/>
        </w:rPr>
      </w:pPr>
      <w:r w:rsidRPr="00FC3B7C">
        <w:rPr>
          <w:rFonts w:eastAsia="Times New Roman"/>
          <w:szCs w:val="24"/>
        </w:rPr>
        <w:t xml:space="preserve">Vstoupil v platnost 1. 1. 1997, řeší problém rozpočtové disciplíny členských zemí EMU. Zatímco měnová politika je plně v rukou ECB, za fiskální politiku zodpovídá každý </w:t>
      </w:r>
      <w:r w:rsidR="00DB6E27">
        <w:rPr>
          <w:rFonts w:eastAsia="Times New Roman"/>
          <w:szCs w:val="24"/>
        </w:rPr>
        <w:br/>
      </w:r>
      <w:r w:rsidRPr="00FC3B7C">
        <w:rPr>
          <w:rFonts w:eastAsia="Times New Roman"/>
          <w:szCs w:val="24"/>
        </w:rPr>
        <w:t>z</w:t>
      </w:r>
      <w:bookmarkStart w:id="425" w:name="page437"/>
      <w:bookmarkEnd w:id="425"/>
      <w:r w:rsidR="00DB6E27">
        <w:rPr>
          <w:sz w:val="20"/>
          <w:szCs w:val="20"/>
        </w:rPr>
        <w:t xml:space="preserve"> </w:t>
      </w:r>
      <w:r w:rsidRPr="00FC3B7C">
        <w:rPr>
          <w:rFonts w:eastAsia="Times New Roman"/>
          <w:szCs w:val="24"/>
        </w:rPr>
        <w:t>členských států sám. Pakt stability a růstu má pomoci tomu, aby jednotlivé státy svou nezodpovědnou fiskální politikou neohrozily společnou měnu.</w:t>
      </w:r>
    </w:p>
    <w:p w14:paraId="4A6F5067" w14:textId="77777777" w:rsidR="00CE6695" w:rsidRPr="00FC3B7C" w:rsidRDefault="00CE6695" w:rsidP="00A60AA4">
      <w:pPr>
        <w:ind w:left="4" w:firstLine="572"/>
        <w:rPr>
          <w:sz w:val="20"/>
          <w:szCs w:val="20"/>
        </w:rPr>
      </w:pPr>
      <w:r w:rsidRPr="00FC3B7C">
        <w:rPr>
          <w:rFonts w:eastAsia="Times New Roman"/>
          <w:szCs w:val="24"/>
        </w:rPr>
        <w:t>Zavazuje k dodržování 3% hranice deficitu státního rozpočtu i po vstupu do EMU. Při porušení paktu je zahájena procedura nadměrného schodku - země musí předložit plán vedoucí k nápravě.</w:t>
      </w:r>
    </w:p>
    <w:p w14:paraId="4A6F5068" w14:textId="77777777" w:rsidR="00CE6695" w:rsidRPr="00FC3B7C" w:rsidRDefault="00CE6695" w:rsidP="00A60AA4">
      <w:pPr>
        <w:ind w:left="4" w:firstLine="572"/>
        <w:rPr>
          <w:sz w:val="20"/>
          <w:szCs w:val="20"/>
        </w:rPr>
      </w:pPr>
      <w:r w:rsidRPr="00FC3B7C">
        <w:rPr>
          <w:rFonts w:eastAsia="Times New Roman"/>
          <w:szCs w:val="24"/>
        </w:rPr>
        <w:t>Rada EU (ECOFIN) může (kvalifikovanou většinou) rozhodnout o přidělení sankce. Reforma paktu byla přijata r. 2005.</w:t>
      </w:r>
    </w:p>
    <w:p w14:paraId="4F19DD0F" w14:textId="77777777" w:rsidR="00A60AA4" w:rsidRDefault="00A60AA4" w:rsidP="00DB6E27">
      <w:pPr>
        <w:ind w:left="4"/>
        <w:rPr>
          <w:rFonts w:eastAsia="Times New Roman"/>
          <w:b/>
          <w:bCs/>
          <w:szCs w:val="24"/>
        </w:rPr>
      </w:pPr>
    </w:p>
    <w:p w14:paraId="4A6F5069" w14:textId="53070363" w:rsidR="00CE6695" w:rsidRPr="00FC3B7C" w:rsidRDefault="00CE6695" w:rsidP="00DB6E27">
      <w:pPr>
        <w:ind w:left="4"/>
        <w:rPr>
          <w:sz w:val="20"/>
          <w:szCs w:val="20"/>
        </w:rPr>
      </w:pPr>
      <w:r w:rsidRPr="00FC3B7C">
        <w:rPr>
          <w:rFonts w:eastAsia="Times New Roman"/>
          <w:b/>
          <w:bCs/>
          <w:szCs w:val="24"/>
        </w:rPr>
        <w:t xml:space="preserve">Sankce: </w:t>
      </w:r>
      <w:r w:rsidRPr="00FC3B7C">
        <w:rPr>
          <w:rFonts w:eastAsia="Times New Roman"/>
          <w:szCs w:val="24"/>
        </w:rPr>
        <w:t>jsou ve formě</w:t>
      </w:r>
      <w:r w:rsidRPr="00FC3B7C">
        <w:rPr>
          <w:rFonts w:eastAsia="Times New Roman"/>
          <w:b/>
          <w:bCs/>
          <w:szCs w:val="24"/>
        </w:rPr>
        <w:t xml:space="preserve"> </w:t>
      </w:r>
      <w:r w:rsidRPr="00FC3B7C">
        <w:rPr>
          <w:rFonts w:eastAsia="Times New Roman"/>
          <w:szCs w:val="24"/>
        </w:rPr>
        <w:t>bezúročné kauce ve prospěch EK. Kauce začíná na 0,2% HDP a roste</w:t>
      </w:r>
      <w:r w:rsidRPr="00FC3B7C">
        <w:rPr>
          <w:rFonts w:eastAsia="Times New Roman"/>
          <w:b/>
          <w:bCs/>
          <w:szCs w:val="24"/>
        </w:rPr>
        <w:t xml:space="preserve"> </w:t>
      </w:r>
      <w:r w:rsidRPr="00FC3B7C">
        <w:rPr>
          <w:rFonts w:eastAsia="Times New Roman"/>
          <w:szCs w:val="24"/>
        </w:rPr>
        <w:t xml:space="preserve">s velikostí deficitu až na 0,5% HDP. Pokud nedojde k nápravě do dvou let, změní se kauce </w:t>
      </w:r>
      <w:r w:rsidR="00DB6E27">
        <w:rPr>
          <w:rFonts w:eastAsia="Times New Roman"/>
          <w:szCs w:val="24"/>
        </w:rPr>
        <w:br/>
      </w:r>
      <w:r w:rsidRPr="00FC3B7C">
        <w:rPr>
          <w:rFonts w:eastAsia="Times New Roman"/>
          <w:szCs w:val="24"/>
        </w:rPr>
        <w:t>v pokutu.</w:t>
      </w:r>
    </w:p>
    <w:p w14:paraId="4A6F506A" w14:textId="77777777" w:rsidR="00CE6695" w:rsidRPr="004975AA" w:rsidRDefault="00CE6695" w:rsidP="00DB6E27">
      <w:pPr>
        <w:rPr>
          <w:b/>
          <w:sz w:val="20"/>
          <w:szCs w:val="20"/>
        </w:rPr>
      </w:pPr>
      <w:r w:rsidRPr="004975AA">
        <w:rPr>
          <w:rFonts w:eastAsia="Times New Roman"/>
          <w:b/>
        </w:rPr>
        <w:t>Kritika paktu:</w:t>
      </w:r>
    </w:p>
    <w:p w14:paraId="4A6F506B" w14:textId="77777777" w:rsidR="00CE6695" w:rsidRPr="00FC3B7C" w:rsidRDefault="00CE6695" w:rsidP="00D46B53">
      <w:pPr>
        <w:numPr>
          <w:ilvl w:val="0"/>
          <w:numId w:val="446"/>
        </w:numPr>
        <w:tabs>
          <w:tab w:val="left" w:pos="1004"/>
        </w:tabs>
        <w:ind w:left="1004" w:hanging="360"/>
        <w:rPr>
          <w:rFonts w:eastAsia="Arial"/>
          <w:szCs w:val="24"/>
        </w:rPr>
      </w:pPr>
      <w:r w:rsidRPr="00FC3B7C">
        <w:rPr>
          <w:rFonts w:eastAsia="Times New Roman"/>
          <w:b/>
          <w:bCs/>
          <w:szCs w:val="24"/>
        </w:rPr>
        <w:t>Nedůslednost dozoru</w:t>
      </w:r>
    </w:p>
    <w:p w14:paraId="4A6F506C" w14:textId="77777777" w:rsidR="00CE6695" w:rsidRPr="00FC3B7C" w:rsidRDefault="00CE6695" w:rsidP="00DB6E27">
      <w:pPr>
        <w:tabs>
          <w:tab w:val="left" w:pos="1704"/>
          <w:tab w:val="left" w:pos="3524"/>
          <w:tab w:val="left" w:pos="4224"/>
          <w:tab w:val="left" w:pos="5644"/>
          <w:tab w:val="left" w:pos="7064"/>
          <w:tab w:val="left" w:pos="7764"/>
        </w:tabs>
        <w:ind w:left="1364"/>
        <w:rPr>
          <w:sz w:val="20"/>
          <w:szCs w:val="20"/>
        </w:rPr>
      </w:pPr>
      <w:r w:rsidRPr="00FC3B7C">
        <w:rPr>
          <w:rFonts w:eastAsia="Times New Roman"/>
          <w:szCs w:val="24"/>
        </w:rPr>
        <w:t>-</w:t>
      </w:r>
      <w:r w:rsidRPr="00FC3B7C">
        <w:rPr>
          <w:rFonts w:eastAsia="Times New Roman"/>
          <w:szCs w:val="24"/>
        </w:rPr>
        <w:tab/>
        <w:t>sankce nebyla</w:t>
      </w:r>
      <w:r w:rsidRPr="00FC3B7C">
        <w:rPr>
          <w:sz w:val="20"/>
          <w:szCs w:val="20"/>
        </w:rPr>
        <w:t xml:space="preserve"> </w:t>
      </w:r>
      <w:r w:rsidRPr="00FC3B7C">
        <w:rPr>
          <w:rFonts w:eastAsia="Times New Roman"/>
          <w:szCs w:val="24"/>
        </w:rPr>
        <w:t>nikdy použita,</w:t>
      </w:r>
      <w:r w:rsidRPr="00FC3B7C">
        <w:rPr>
          <w:sz w:val="20"/>
          <w:szCs w:val="20"/>
        </w:rPr>
        <w:t xml:space="preserve"> </w:t>
      </w:r>
      <w:r w:rsidRPr="00FC3B7C">
        <w:rPr>
          <w:rFonts w:eastAsia="Times New Roman"/>
          <w:szCs w:val="24"/>
        </w:rPr>
        <w:t>navzdory</w:t>
      </w:r>
      <w:r w:rsidRPr="00FC3B7C">
        <w:rPr>
          <w:sz w:val="20"/>
          <w:szCs w:val="20"/>
        </w:rPr>
        <w:t xml:space="preserve"> </w:t>
      </w:r>
      <w:r w:rsidRPr="00FC3B7C">
        <w:rPr>
          <w:rFonts w:eastAsia="Times New Roman"/>
          <w:szCs w:val="24"/>
        </w:rPr>
        <w:t>tomu,</w:t>
      </w:r>
      <w:r w:rsidRPr="00FC3B7C">
        <w:rPr>
          <w:sz w:val="20"/>
          <w:szCs w:val="20"/>
        </w:rPr>
        <w:t xml:space="preserve"> </w:t>
      </w:r>
      <w:r w:rsidRPr="00FC3B7C">
        <w:rPr>
          <w:rFonts w:eastAsia="Times New Roman"/>
          <w:szCs w:val="24"/>
        </w:rPr>
        <w:t>že</w:t>
      </w:r>
      <w:r w:rsidRPr="00FC3B7C">
        <w:rPr>
          <w:sz w:val="20"/>
          <w:szCs w:val="20"/>
        </w:rPr>
        <w:t xml:space="preserve"> </w:t>
      </w:r>
      <w:r w:rsidRPr="00FC3B7C">
        <w:rPr>
          <w:rFonts w:eastAsia="Times New Roman"/>
          <w:szCs w:val="24"/>
        </w:rPr>
        <w:t>mnohé země</w:t>
      </w:r>
      <w:r w:rsidRPr="00FC3B7C">
        <w:rPr>
          <w:sz w:val="20"/>
          <w:szCs w:val="20"/>
        </w:rPr>
        <w:t xml:space="preserve"> </w:t>
      </w:r>
      <w:r w:rsidRPr="00FC3B7C">
        <w:rPr>
          <w:rFonts w:eastAsia="Times New Roman"/>
          <w:sz w:val="23"/>
          <w:szCs w:val="23"/>
        </w:rPr>
        <w:t>pakt porušují (Francie, Německo, atd.)</w:t>
      </w:r>
    </w:p>
    <w:p w14:paraId="4A6F506D" w14:textId="77777777" w:rsidR="00CE6695" w:rsidRPr="00FC3B7C" w:rsidRDefault="00CE6695" w:rsidP="00D46B53">
      <w:pPr>
        <w:numPr>
          <w:ilvl w:val="0"/>
          <w:numId w:val="447"/>
        </w:numPr>
        <w:tabs>
          <w:tab w:val="left" w:pos="1004"/>
        </w:tabs>
        <w:ind w:left="1004" w:hanging="360"/>
        <w:rPr>
          <w:rFonts w:eastAsia="Arial"/>
          <w:szCs w:val="24"/>
        </w:rPr>
      </w:pPr>
      <w:r w:rsidRPr="00FC3B7C">
        <w:rPr>
          <w:rFonts w:eastAsia="Times New Roman"/>
          <w:b/>
          <w:bCs/>
          <w:szCs w:val="24"/>
        </w:rPr>
        <w:t>Striktnost paktu</w:t>
      </w:r>
    </w:p>
    <w:p w14:paraId="4A6F506E" w14:textId="77777777" w:rsidR="00CE6695" w:rsidRPr="00FC3B7C" w:rsidRDefault="00CE6695" w:rsidP="00D46B53">
      <w:pPr>
        <w:numPr>
          <w:ilvl w:val="1"/>
          <w:numId w:val="447"/>
        </w:numPr>
        <w:tabs>
          <w:tab w:val="left" w:pos="1724"/>
        </w:tabs>
        <w:ind w:left="1724" w:hanging="360"/>
        <w:rPr>
          <w:rFonts w:eastAsia="Times New Roman"/>
          <w:szCs w:val="24"/>
        </w:rPr>
      </w:pPr>
      <w:r w:rsidRPr="00FC3B7C">
        <w:rPr>
          <w:rFonts w:eastAsia="Times New Roman"/>
          <w:szCs w:val="24"/>
        </w:rPr>
        <w:t>omezuje prostor pro rozpočtovou politiku</w:t>
      </w:r>
    </w:p>
    <w:p w14:paraId="4A6F506F" w14:textId="77777777" w:rsidR="00CE6695" w:rsidRPr="00FC3B7C" w:rsidRDefault="00CE6695" w:rsidP="00D46B53">
      <w:pPr>
        <w:numPr>
          <w:ilvl w:val="1"/>
          <w:numId w:val="447"/>
        </w:numPr>
        <w:tabs>
          <w:tab w:val="left" w:pos="1724"/>
        </w:tabs>
        <w:ind w:left="1724" w:hanging="360"/>
        <w:rPr>
          <w:rFonts w:eastAsia="Times New Roman"/>
          <w:szCs w:val="24"/>
        </w:rPr>
      </w:pPr>
      <w:r w:rsidRPr="00FC3B7C">
        <w:rPr>
          <w:rFonts w:eastAsia="Times New Roman"/>
          <w:szCs w:val="24"/>
        </w:rPr>
        <w:t>působí procyklicky (krátkodobá nápravná opatření, místo dlouhodobě zaměřených)</w:t>
      </w:r>
    </w:p>
    <w:p w14:paraId="4A6F5070" w14:textId="77777777" w:rsidR="00CE6695" w:rsidRPr="004975AA" w:rsidRDefault="00CE6695" w:rsidP="00DB6E27">
      <w:pPr>
        <w:rPr>
          <w:b/>
          <w:sz w:val="20"/>
          <w:szCs w:val="20"/>
        </w:rPr>
      </w:pPr>
      <w:r w:rsidRPr="004975AA">
        <w:rPr>
          <w:rFonts w:eastAsia="Times New Roman"/>
          <w:b/>
        </w:rPr>
        <w:t>Reforma paktu v r. 2005:</w:t>
      </w:r>
    </w:p>
    <w:p w14:paraId="4A6F5072" w14:textId="4596AC9E" w:rsidR="00CE6695" w:rsidRPr="00A60AA4" w:rsidRDefault="00CE6695" w:rsidP="00A60AA4">
      <w:pPr>
        <w:ind w:left="4" w:firstLine="716"/>
        <w:rPr>
          <w:sz w:val="20"/>
          <w:szCs w:val="20"/>
        </w:rPr>
      </w:pPr>
      <w:r w:rsidRPr="00FC3B7C">
        <w:rPr>
          <w:rFonts w:eastAsia="Times New Roman"/>
          <w:szCs w:val="24"/>
        </w:rPr>
        <w:t>Uvolňuje pravidla paktu a rozšiřuje výjimky, kdy je možné překročit 3% hranici deficitu veřejných financí. Prodlužuje období před přístupem EU k sankcím. Zpružňuje sice pakt, ale v období recese vede tato pružnost k nezodpovědným fiskálním stimulům ekonomik s odvoláním na výjimky.</w:t>
      </w:r>
      <w:r w:rsidR="00A60AA4">
        <w:rPr>
          <w:sz w:val="20"/>
          <w:szCs w:val="20"/>
        </w:rPr>
        <w:t xml:space="preserve"> </w:t>
      </w:r>
      <w:r w:rsidR="00A60AA4" w:rsidRPr="00A60AA4">
        <w:rPr>
          <w:szCs w:val="24"/>
        </w:rPr>
        <w:t xml:space="preserve">V </w:t>
      </w:r>
      <w:r w:rsidRPr="00A60AA4">
        <w:rPr>
          <w:rFonts w:eastAsia="Times New Roman"/>
          <w:szCs w:val="24"/>
        </w:rPr>
        <w:t>s</w:t>
      </w:r>
      <w:r w:rsidRPr="00FC3B7C">
        <w:rPr>
          <w:rFonts w:eastAsia="Times New Roman"/>
          <w:szCs w:val="24"/>
        </w:rPr>
        <w:t>oučasnosti většina zemí eurozóny pakt nesplňuje, mnoho kritiků reforem říká, že pakt přestal fakticky existovat.</w:t>
      </w:r>
    </w:p>
    <w:p w14:paraId="4A6F5073" w14:textId="77777777" w:rsidR="00CE6695" w:rsidRPr="00FC3B7C" w:rsidRDefault="00CE6695" w:rsidP="00CE6695">
      <w:pPr>
        <w:spacing w:line="396" w:lineRule="exact"/>
        <w:rPr>
          <w:sz w:val="20"/>
          <w:szCs w:val="20"/>
        </w:rPr>
      </w:pPr>
    </w:p>
    <w:p w14:paraId="4A6F5074" w14:textId="77777777" w:rsidR="00CE6695" w:rsidRPr="0070178B" w:rsidRDefault="00CE6695" w:rsidP="00CE6695">
      <w:pPr>
        <w:pStyle w:val="Nadpis2"/>
        <w:rPr>
          <w:rFonts w:cs="Times New Roman"/>
          <w:color w:val="1F3864" w:themeColor="accent1" w:themeShade="80"/>
          <w:sz w:val="20"/>
          <w:szCs w:val="20"/>
        </w:rPr>
      </w:pPr>
      <w:r w:rsidRPr="0070178B">
        <w:rPr>
          <w:rFonts w:cs="Times New Roman"/>
          <w:color w:val="1F3864" w:themeColor="accent1" w:themeShade="80"/>
        </w:rPr>
        <w:t>SPOLEČNÁ MĚNOVÁ POLITIKA</w:t>
      </w:r>
    </w:p>
    <w:p w14:paraId="4A6F5075" w14:textId="77777777" w:rsidR="00CE6695" w:rsidRPr="00FC3B7C" w:rsidRDefault="00CE6695" w:rsidP="007E2AC3">
      <w:pPr>
        <w:ind w:firstLine="576"/>
        <w:rPr>
          <w:sz w:val="20"/>
          <w:szCs w:val="20"/>
        </w:rPr>
      </w:pPr>
      <w:r w:rsidRPr="00FC3B7C">
        <w:rPr>
          <w:rFonts w:eastAsia="Times New Roman"/>
        </w:rPr>
        <w:t>Evropský měnový systém (EMS) vznikl roku 1979 - neměl primárně za úkol vytvořit společnou měnu, ale cílem bylo vytvořit oblast měnové stability, kde by bylo možno spolehlivě kalkulovat ceny.</w:t>
      </w:r>
    </w:p>
    <w:p w14:paraId="4A6F5076" w14:textId="77777777" w:rsidR="00CE6695" w:rsidRPr="00FC3B7C" w:rsidRDefault="00CE6695" w:rsidP="00CE6695">
      <w:pPr>
        <w:sectPr w:rsidR="00CE6695" w:rsidRPr="00FC3B7C">
          <w:pgSz w:w="11900" w:h="16840"/>
          <w:pgMar w:top="1397" w:right="1420" w:bottom="1440" w:left="1416" w:header="0" w:footer="0" w:gutter="0"/>
          <w:cols w:space="708" w:equalWidth="0">
            <w:col w:w="9064"/>
          </w:cols>
        </w:sectPr>
      </w:pPr>
    </w:p>
    <w:p w14:paraId="4A6F5077" w14:textId="77777777" w:rsidR="00CE6695" w:rsidRPr="004975AA" w:rsidRDefault="00CE6695" w:rsidP="00DB6E27">
      <w:pPr>
        <w:rPr>
          <w:b/>
          <w:sz w:val="20"/>
          <w:szCs w:val="20"/>
        </w:rPr>
      </w:pPr>
      <w:bookmarkStart w:id="426" w:name="page438"/>
      <w:bookmarkEnd w:id="426"/>
      <w:r w:rsidRPr="004975AA">
        <w:rPr>
          <w:rFonts w:eastAsia="Times New Roman"/>
          <w:b/>
        </w:rPr>
        <w:lastRenderedPageBreak/>
        <w:t>Čtyři základní prvky EMS:</w:t>
      </w:r>
    </w:p>
    <w:p w14:paraId="4A6F5078" w14:textId="77777777" w:rsidR="00CE6695" w:rsidRPr="00FC3B7C" w:rsidRDefault="00CE6695" w:rsidP="00D46B53">
      <w:pPr>
        <w:numPr>
          <w:ilvl w:val="0"/>
          <w:numId w:val="448"/>
        </w:numPr>
        <w:tabs>
          <w:tab w:val="left" w:pos="560"/>
        </w:tabs>
        <w:ind w:left="560" w:hanging="357"/>
        <w:rPr>
          <w:rFonts w:eastAsia="Times New Roman"/>
          <w:b/>
          <w:bCs/>
          <w:szCs w:val="24"/>
        </w:rPr>
      </w:pPr>
      <w:r w:rsidRPr="00FC3B7C">
        <w:rPr>
          <w:rFonts w:eastAsia="Times New Roman"/>
          <w:b/>
          <w:bCs/>
          <w:szCs w:val="24"/>
        </w:rPr>
        <w:t>Zavedena zúčtovací jednotka ECU ( European currency unit)</w:t>
      </w:r>
    </w:p>
    <w:p w14:paraId="4A6F5079" w14:textId="77777777" w:rsidR="00CE6695" w:rsidRPr="00FC3B7C" w:rsidRDefault="00CE6695" w:rsidP="00D46B53">
      <w:pPr>
        <w:numPr>
          <w:ilvl w:val="1"/>
          <w:numId w:val="448"/>
        </w:numPr>
        <w:tabs>
          <w:tab w:val="left" w:pos="1140"/>
        </w:tabs>
        <w:ind w:left="1140" w:hanging="370"/>
        <w:rPr>
          <w:rFonts w:eastAsia="Times New Roman"/>
          <w:szCs w:val="24"/>
        </w:rPr>
      </w:pPr>
      <w:r w:rsidRPr="00FC3B7C">
        <w:rPr>
          <w:rFonts w:eastAsia="Times New Roman"/>
          <w:szCs w:val="24"/>
        </w:rPr>
        <w:t>Základní prvek EMS</w:t>
      </w:r>
    </w:p>
    <w:p w14:paraId="4A6F507A" w14:textId="77777777" w:rsidR="00CE6695" w:rsidRPr="00FC3B7C" w:rsidRDefault="00CE6695" w:rsidP="00D46B53">
      <w:pPr>
        <w:numPr>
          <w:ilvl w:val="1"/>
          <w:numId w:val="448"/>
        </w:numPr>
        <w:tabs>
          <w:tab w:val="left" w:pos="1140"/>
        </w:tabs>
        <w:ind w:left="1140" w:hanging="370"/>
        <w:rPr>
          <w:rFonts w:eastAsia="Times New Roman"/>
          <w:szCs w:val="24"/>
        </w:rPr>
      </w:pPr>
      <w:r w:rsidRPr="00FC3B7C">
        <w:rPr>
          <w:rFonts w:eastAsia="Times New Roman"/>
          <w:szCs w:val="24"/>
        </w:rPr>
        <w:t>Košová měna, váhy měn jednotlivých států byly odvozeny od ekonomické síly zemí a jejich podílu na vzájemném obchodě</w:t>
      </w:r>
    </w:p>
    <w:p w14:paraId="4A6F507B" w14:textId="77777777" w:rsidR="00CE6695" w:rsidRPr="00FC3B7C" w:rsidRDefault="00CE6695" w:rsidP="00D46B53">
      <w:pPr>
        <w:numPr>
          <w:ilvl w:val="1"/>
          <w:numId w:val="448"/>
        </w:numPr>
        <w:tabs>
          <w:tab w:val="left" w:pos="1140"/>
        </w:tabs>
        <w:ind w:left="1140" w:hanging="370"/>
        <w:rPr>
          <w:rFonts w:eastAsia="Times New Roman"/>
          <w:szCs w:val="24"/>
        </w:rPr>
      </w:pPr>
      <w:r w:rsidRPr="00FC3B7C">
        <w:rPr>
          <w:rFonts w:eastAsia="Times New Roman"/>
          <w:szCs w:val="24"/>
        </w:rPr>
        <w:t>Použití jako účetní jednotka pro určování závazků a pohledávek centrálních bank, jako platební jednotka při transakcích mezi institucemi EU, mezi EU a vládami členských zemí</w:t>
      </w:r>
    </w:p>
    <w:p w14:paraId="4A6F507C" w14:textId="77777777" w:rsidR="00CE6695" w:rsidRPr="00FC3B7C" w:rsidRDefault="00CE6695" w:rsidP="00D46B53">
      <w:pPr>
        <w:numPr>
          <w:ilvl w:val="0"/>
          <w:numId w:val="448"/>
        </w:numPr>
        <w:tabs>
          <w:tab w:val="left" w:pos="560"/>
        </w:tabs>
        <w:ind w:left="560" w:hanging="357"/>
        <w:rPr>
          <w:rFonts w:eastAsia="Times New Roman"/>
          <w:b/>
          <w:bCs/>
          <w:szCs w:val="24"/>
        </w:rPr>
      </w:pPr>
      <w:r w:rsidRPr="00FC3B7C">
        <w:rPr>
          <w:rFonts w:eastAsia="Times New Roman"/>
          <w:b/>
          <w:bCs/>
          <w:szCs w:val="24"/>
        </w:rPr>
        <w:t>Mechanismus udržování měnových kurzů (ERM)</w:t>
      </w:r>
    </w:p>
    <w:p w14:paraId="4A6F507D" w14:textId="77777777" w:rsidR="00CE6695" w:rsidRPr="00FC3B7C" w:rsidRDefault="00CE6695" w:rsidP="00D46B53">
      <w:pPr>
        <w:numPr>
          <w:ilvl w:val="1"/>
          <w:numId w:val="448"/>
        </w:numPr>
        <w:tabs>
          <w:tab w:val="left" w:pos="1140"/>
        </w:tabs>
        <w:ind w:left="1140" w:hanging="370"/>
        <w:rPr>
          <w:rFonts w:eastAsia="Times New Roman"/>
          <w:szCs w:val="24"/>
        </w:rPr>
      </w:pPr>
      <w:r w:rsidRPr="00FC3B7C">
        <w:rPr>
          <w:rFonts w:eastAsia="Times New Roman"/>
          <w:szCs w:val="24"/>
        </w:rPr>
        <w:t>Každá měna má stanovenou střední sazbu vůči ECU, maximálně přípustné rozpětí +/- 2,25%</w:t>
      </w:r>
    </w:p>
    <w:p w14:paraId="4A6F507E" w14:textId="77777777" w:rsidR="00CE6695" w:rsidRPr="00FC3B7C" w:rsidRDefault="00CE6695" w:rsidP="00D46B53">
      <w:pPr>
        <w:numPr>
          <w:ilvl w:val="1"/>
          <w:numId w:val="448"/>
        </w:numPr>
        <w:tabs>
          <w:tab w:val="left" w:pos="1140"/>
        </w:tabs>
        <w:ind w:left="1140" w:hanging="370"/>
        <w:rPr>
          <w:rFonts w:eastAsia="Times New Roman"/>
          <w:szCs w:val="24"/>
        </w:rPr>
      </w:pPr>
      <w:r w:rsidRPr="00FC3B7C">
        <w:rPr>
          <w:rFonts w:eastAsia="Times New Roman"/>
          <w:szCs w:val="24"/>
        </w:rPr>
        <w:t xml:space="preserve">Centrální banky mají povinnost intervenovat v případě přibližování kurzu </w:t>
      </w:r>
      <w:r w:rsidR="00DB6E27">
        <w:rPr>
          <w:rFonts w:eastAsia="Times New Roman"/>
          <w:szCs w:val="24"/>
        </w:rPr>
        <w:br/>
      </w:r>
      <w:r w:rsidRPr="00FC3B7C">
        <w:rPr>
          <w:rFonts w:eastAsia="Times New Roman"/>
          <w:szCs w:val="24"/>
        </w:rPr>
        <w:t>k hranici +/-2,25%</w:t>
      </w:r>
    </w:p>
    <w:p w14:paraId="4A6F507F" w14:textId="77777777" w:rsidR="00CE6695" w:rsidRPr="00FC3B7C" w:rsidRDefault="00CE6695" w:rsidP="00D46B53">
      <w:pPr>
        <w:numPr>
          <w:ilvl w:val="1"/>
          <w:numId w:val="448"/>
        </w:numPr>
        <w:tabs>
          <w:tab w:val="left" w:pos="1140"/>
        </w:tabs>
        <w:ind w:left="1140" w:hanging="370"/>
        <w:rPr>
          <w:rFonts w:eastAsia="Times New Roman"/>
          <w:szCs w:val="24"/>
        </w:rPr>
      </w:pPr>
      <w:r w:rsidRPr="00FC3B7C">
        <w:rPr>
          <w:rFonts w:eastAsia="Times New Roman"/>
          <w:szCs w:val="24"/>
        </w:rPr>
        <w:t>V roce 1993 fluktuační pásmo rozšířeno na +/- 15%</w:t>
      </w:r>
    </w:p>
    <w:p w14:paraId="4A6F5080" w14:textId="77777777" w:rsidR="00CE6695" w:rsidRPr="00FC3B7C" w:rsidRDefault="00CE6695" w:rsidP="00D46B53">
      <w:pPr>
        <w:numPr>
          <w:ilvl w:val="0"/>
          <w:numId w:val="448"/>
        </w:numPr>
        <w:tabs>
          <w:tab w:val="left" w:pos="560"/>
        </w:tabs>
        <w:ind w:left="560" w:hanging="357"/>
        <w:rPr>
          <w:rFonts w:eastAsia="Times New Roman"/>
          <w:b/>
          <w:bCs/>
          <w:szCs w:val="24"/>
        </w:rPr>
      </w:pPr>
      <w:r w:rsidRPr="00FC3B7C">
        <w:rPr>
          <w:rFonts w:eastAsia="Times New Roman"/>
          <w:b/>
          <w:bCs/>
          <w:szCs w:val="24"/>
        </w:rPr>
        <w:t>Úvěrová pomoc zemím s oslabenou měnou</w:t>
      </w:r>
    </w:p>
    <w:p w14:paraId="4A6F5081" w14:textId="77777777" w:rsidR="00CE6695" w:rsidRPr="00FC3B7C" w:rsidRDefault="00CE6695" w:rsidP="00D46B53">
      <w:pPr>
        <w:numPr>
          <w:ilvl w:val="0"/>
          <w:numId w:val="448"/>
        </w:numPr>
        <w:tabs>
          <w:tab w:val="left" w:pos="560"/>
        </w:tabs>
        <w:ind w:left="560" w:hanging="357"/>
        <w:rPr>
          <w:rFonts w:eastAsia="Times New Roman"/>
          <w:b/>
          <w:bCs/>
          <w:szCs w:val="24"/>
        </w:rPr>
      </w:pPr>
      <w:r w:rsidRPr="00FC3B7C">
        <w:rPr>
          <w:rFonts w:eastAsia="Times New Roman"/>
          <w:b/>
          <w:bCs/>
          <w:szCs w:val="24"/>
        </w:rPr>
        <w:t>Evropský fond měnové spolupráce</w:t>
      </w:r>
    </w:p>
    <w:p w14:paraId="4A6F5082" w14:textId="77777777" w:rsidR="00CE6695" w:rsidRPr="00FC3B7C" w:rsidRDefault="00CE6695" w:rsidP="00D46B53">
      <w:pPr>
        <w:numPr>
          <w:ilvl w:val="1"/>
          <w:numId w:val="448"/>
        </w:numPr>
        <w:tabs>
          <w:tab w:val="left" w:pos="1140"/>
        </w:tabs>
        <w:ind w:left="1140" w:hanging="370"/>
        <w:rPr>
          <w:rFonts w:eastAsia="Times New Roman"/>
          <w:szCs w:val="24"/>
        </w:rPr>
      </w:pPr>
      <w:r w:rsidRPr="00FC3B7C">
        <w:rPr>
          <w:rFonts w:eastAsia="Times New Roman"/>
          <w:szCs w:val="24"/>
        </w:rPr>
        <w:t>Možnost půjček členským zemím v platebních potížích</w:t>
      </w:r>
    </w:p>
    <w:p w14:paraId="4A6F5083" w14:textId="77777777" w:rsidR="00CE6695" w:rsidRPr="00FC3B7C" w:rsidRDefault="00CE6695" w:rsidP="00CE6695">
      <w:pPr>
        <w:spacing w:line="371" w:lineRule="exact"/>
        <w:rPr>
          <w:sz w:val="20"/>
          <w:szCs w:val="20"/>
        </w:rPr>
      </w:pPr>
    </w:p>
    <w:p w14:paraId="4A6F5084" w14:textId="4273893C" w:rsidR="00CE6695" w:rsidRPr="0070178B" w:rsidRDefault="0070178B" w:rsidP="00CE6695">
      <w:pPr>
        <w:pStyle w:val="Nadpis3"/>
        <w:rPr>
          <w:rFonts w:cs="Times New Roman"/>
          <w:color w:val="1F3864" w:themeColor="accent1" w:themeShade="80"/>
          <w:sz w:val="20"/>
          <w:szCs w:val="20"/>
        </w:rPr>
      </w:pPr>
      <w:r w:rsidRPr="0070178B">
        <w:rPr>
          <w:rFonts w:eastAsia="Times New Roman" w:cs="Times New Roman"/>
          <w:color w:val="1F3864" w:themeColor="accent1" w:themeShade="80"/>
        </w:rPr>
        <w:t xml:space="preserve"> </w:t>
      </w:r>
      <w:r w:rsidR="00CE6695" w:rsidRPr="0070178B">
        <w:rPr>
          <w:rFonts w:eastAsia="Times New Roman" w:cs="Times New Roman"/>
          <w:color w:val="1F3864" w:themeColor="accent1" w:themeShade="80"/>
        </w:rPr>
        <w:t>Přechod k měnové unii</w:t>
      </w:r>
    </w:p>
    <w:p w14:paraId="4A6F5085" w14:textId="77777777" w:rsidR="00CE6695" w:rsidRPr="00FC3B7C" w:rsidRDefault="00CE6695" w:rsidP="00DB6E27">
      <w:pPr>
        <w:rPr>
          <w:sz w:val="20"/>
          <w:szCs w:val="20"/>
        </w:rPr>
      </w:pPr>
      <w:r w:rsidRPr="00FC3B7C">
        <w:rPr>
          <w:rFonts w:eastAsia="Times New Roman"/>
          <w:szCs w:val="24"/>
        </w:rPr>
        <w:t>Roku 1989 vypracována tzv. Dellorsova zpráva = zpráva skupiny expertů, vedené předsedou Komise ES Jacquesem Dellorsem, z dubna 1989 o nezbytných podmínkách vybudování Hospodářské a měnové unie (HMU) států ES (obsahuje konkrétní návrhy, jak ve třech etapách dosáhnout cíle jednotné měny ES).</w:t>
      </w:r>
    </w:p>
    <w:p w14:paraId="4A6F5086" w14:textId="77777777" w:rsidR="00CE6695" w:rsidRPr="004975AA" w:rsidRDefault="00CE6695" w:rsidP="00DB6E27">
      <w:pPr>
        <w:rPr>
          <w:b/>
          <w:sz w:val="20"/>
          <w:szCs w:val="20"/>
        </w:rPr>
      </w:pPr>
      <w:r w:rsidRPr="004975AA">
        <w:rPr>
          <w:rFonts w:eastAsia="Times New Roman"/>
          <w:b/>
        </w:rPr>
        <w:t>Závěry:</w:t>
      </w:r>
    </w:p>
    <w:p w14:paraId="4A6F5087" w14:textId="77777777" w:rsidR="00CE6695" w:rsidRPr="00FC3B7C" w:rsidRDefault="00CE6695" w:rsidP="00D46B53">
      <w:pPr>
        <w:numPr>
          <w:ilvl w:val="0"/>
          <w:numId w:val="449"/>
        </w:numPr>
        <w:tabs>
          <w:tab w:val="left" w:pos="1140"/>
        </w:tabs>
        <w:ind w:left="1140" w:hanging="370"/>
        <w:rPr>
          <w:rFonts w:eastAsia="Arial"/>
          <w:szCs w:val="24"/>
        </w:rPr>
      </w:pPr>
      <w:r w:rsidRPr="00FC3B7C">
        <w:rPr>
          <w:rFonts w:eastAsia="Times New Roman"/>
          <w:szCs w:val="24"/>
        </w:rPr>
        <w:t>Zavést měnovou unii během 10 let ve třech etapách</w:t>
      </w:r>
    </w:p>
    <w:p w14:paraId="4A6F5088" w14:textId="77777777" w:rsidR="00CE6695" w:rsidRPr="00FC3B7C" w:rsidRDefault="00CE6695" w:rsidP="00D46B53">
      <w:pPr>
        <w:numPr>
          <w:ilvl w:val="0"/>
          <w:numId w:val="449"/>
        </w:numPr>
        <w:tabs>
          <w:tab w:val="left" w:pos="1140"/>
        </w:tabs>
        <w:ind w:left="1140" w:hanging="370"/>
        <w:rPr>
          <w:rFonts w:eastAsia="Arial"/>
          <w:szCs w:val="24"/>
        </w:rPr>
      </w:pPr>
      <w:r w:rsidRPr="00FC3B7C">
        <w:rPr>
          <w:rFonts w:eastAsia="Times New Roman"/>
          <w:szCs w:val="24"/>
        </w:rPr>
        <w:t>Centralizace měnové politiky do rukou společné centrální banky</w:t>
      </w:r>
    </w:p>
    <w:p w14:paraId="4A6F5089" w14:textId="77777777" w:rsidR="00CE6695" w:rsidRPr="00FC3B7C" w:rsidRDefault="00CE6695" w:rsidP="00D46B53">
      <w:pPr>
        <w:numPr>
          <w:ilvl w:val="0"/>
          <w:numId w:val="449"/>
        </w:numPr>
        <w:tabs>
          <w:tab w:val="left" w:pos="1140"/>
        </w:tabs>
        <w:ind w:left="1140" w:hanging="370"/>
        <w:rPr>
          <w:rFonts w:eastAsia="Arial"/>
          <w:szCs w:val="24"/>
        </w:rPr>
      </w:pPr>
      <w:r w:rsidRPr="00FC3B7C">
        <w:rPr>
          <w:rFonts w:eastAsia="Times New Roman"/>
          <w:szCs w:val="24"/>
        </w:rPr>
        <w:t>Sblížit hospodářskou a měnovou politiku</w:t>
      </w:r>
    </w:p>
    <w:p w14:paraId="4A6F508A" w14:textId="77777777" w:rsidR="00CE6695" w:rsidRPr="00FC3B7C" w:rsidRDefault="00CE6695" w:rsidP="00D46B53">
      <w:pPr>
        <w:numPr>
          <w:ilvl w:val="0"/>
          <w:numId w:val="449"/>
        </w:numPr>
        <w:tabs>
          <w:tab w:val="left" w:pos="1140"/>
        </w:tabs>
        <w:ind w:left="1140" w:hanging="370"/>
        <w:rPr>
          <w:rFonts w:eastAsia="Arial"/>
          <w:szCs w:val="24"/>
        </w:rPr>
      </w:pPr>
      <w:r w:rsidRPr="00FC3B7C">
        <w:rPr>
          <w:rFonts w:eastAsia="Times New Roman"/>
          <w:szCs w:val="24"/>
        </w:rPr>
        <w:t>Směnné kurzy zúčastněných zemí neodvolatelně zafixovat, výslovně se nezmiňuje společná měna</w:t>
      </w:r>
      <w:bookmarkStart w:id="427" w:name="page439"/>
      <w:bookmarkEnd w:id="427"/>
    </w:p>
    <w:p w14:paraId="4A6F508B" w14:textId="77777777" w:rsidR="00CE6695" w:rsidRPr="00FC3B7C" w:rsidRDefault="00CE6695" w:rsidP="00DB6E27">
      <w:pPr>
        <w:tabs>
          <w:tab w:val="left" w:pos="500"/>
        </w:tabs>
        <w:rPr>
          <w:rFonts w:eastAsia="Times New Roman"/>
          <w:b/>
          <w:bCs/>
          <w:szCs w:val="24"/>
        </w:rPr>
      </w:pPr>
      <w:r w:rsidRPr="00FC3B7C">
        <w:rPr>
          <w:rFonts w:eastAsia="Times New Roman"/>
          <w:b/>
          <w:bCs/>
          <w:szCs w:val="24"/>
        </w:rPr>
        <w:t>Etapy</w:t>
      </w:r>
    </w:p>
    <w:p w14:paraId="4A6F508C" w14:textId="77777777" w:rsidR="00CE6695" w:rsidRPr="00FC3B7C" w:rsidRDefault="00CE6695" w:rsidP="00D46B53">
      <w:pPr>
        <w:numPr>
          <w:ilvl w:val="0"/>
          <w:numId w:val="450"/>
        </w:numPr>
        <w:tabs>
          <w:tab w:val="left" w:pos="500"/>
        </w:tabs>
        <w:ind w:left="500" w:hanging="240"/>
        <w:rPr>
          <w:rFonts w:eastAsia="Times New Roman"/>
          <w:b/>
          <w:bCs/>
          <w:szCs w:val="24"/>
        </w:rPr>
      </w:pPr>
      <w:r w:rsidRPr="00FC3B7C">
        <w:rPr>
          <w:rFonts w:eastAsia="Times New Roman"/>
          <w:b/>
          <w:bCs/>
          <w:szCs w:val="24"/>
        </w:rPr>
        <w:t>etapa (1990- 1993):</w:t>
      </w:r>
    </w:p>
    <w:p w14:paraId="4A6F508D" w14:textId="77777777" w:rsidR="00CE6695" w:rsidRPr="00FC3B7C" w:rsidRDefault="00CE6695" w:rsidP="00D46B53">
      <w:pPr>
        <w:numPr>
          <w:ilvl w:val="1"/>
          <w:numId w:val="450"/>
        </w:numPr>
        <w:tabs>
          <w:tab w:val="left" w:pos="960"/>
        </w:tabs>
        <w:ind w:left="960" w:hanging="351"/>
        <w:rPr>
          <w:rFonts w:eastAsia="Times New Roman"/>
          <w:szCs w:val="24"/>
        </w:rPr>
      </w:pPr>
      <w:r w:rsidRPr="00FC3B7C">
        <w:rPr>
          <w:rFonts w:eastAsia="Times New Roman"/>
          <w:szCs w:val="24"/>
        </w:rPr>
        <w:t>Úplná liberalizace kapitálových toků</w:t>
      </w:r>
    </w:p>
    <w:p w14:paraId="4A6F508E" w14:textId="77777777" w:rsidR="00CE6695" w:rsidRPr="00DB6E27" w:rsidRDefault="00CE6695" w:rsidP="00D46B53">
      <w:pPr>
        <w:numPr>
          <w:ilvl w:val="1"/>
          <w:numId w:val="450"/>
        </w:numPr>
        <w:tabs>
          <w:tab w:val="left" w:pos="960"/>
        </w:tabs>
        <w:ind w:left="960" w:hanging="351"/>
        <w:rPr>
          <w:rFonts w:eastAsia="Times New Roman"/>
          <w:szCs w:val="24"/>
        </w:rPr>
      </w:pPr>
      <w:r w:rsidRPr="00DB6E27">
        <w:rPr>
          <w:rFonts w:eastAsia="Times New Roman"/>
          <w:szCs w:val="24"/>
        </w:rPr>
        <w:t>Užší spolupráce mezi centrálními bankami k dosažení stability cenového vývoje</w:t>
      </w:r>
    </w:p>
    <w:p w14:paraId="4A6F508F" w14:textId="77777777" w:rsidR="00CE6695" w:rsidRPr="00FC3B7C" w:rsidRDefault="00CE6695" w:rsidP="00D46B53">
      <w:pPr>
        <w:numPr>
          <w:ilvl w:val="1"/>
          <w:numId w:val="450"/>
        </w:numPr>
        <w:tabs>
          <w:tab w:val="left" w:pos="960"/>
        </w:tabs>
        <w:ind w:left="960" w:hanging="351"/>
        <w:rPr>
          <w:rFonts w:eastAsia="Times New Roman"/>
          <w:szCs w:val="24"/>
        </w:rPr>
      </w:pPr>
      <w:r w:rsidRPr="00FC3B7C">
        <w:rPr>
          <w:rFonts w:eastAsia="Times New Roman"/>
          <w:szCs w:val="24"/>
        </w:rPr>
        <w:t>Volné používání ECU, posilování nezávislosti CB</w:t>
      </w:r>
    </w:p>
    <w:p w14:paraId="4A6F5090" w14:textId="77777777" w:rsidR="00CE6695" w:rsidRPr="00FC3B7C" w:rsidRDefault="00CE6695" w:rsidP="00D46B53">
      <w:pPr>
        <w:numPr>
          <w:ilvl w:val="0"/>
          <w:numId w:val="450"/>
        </w:numPr>
        <w:tabs>
          <w:tab w:val="left" w:pos="500"/>
        </w:tabs>
        <w:ind w:left="500" w:hanging="240"/>
        <w:rPr>
          <w:rFonts w:eastAsia="Times New Roman"/>
          <w:b/>
          <w:bCs/>
          <w:szCs w:val="24"/>
        </w:rPr>
      </w:pPr>
      <w:r w:rsidRPr="00FC3B7C">
        <w:rPr>
          <w:rFonts w:eastAsia="Times New Roman"/>
          <w:b/>
          <w:bCs/>
          <w:szCs w:val="24"/>
        </w:rPr>
        <w:lastRenderedPageBreak/>
        <w:t>etapa (1994-1998):</w:t>
      </w:r>
    </w:p>
    <w:p w14:paraId="4A6F5091" w14:textId="77777777" w:rsidR="00CE6695" w:rsidRPr="00FC3B7C" w:rsidRDefault="00CE6695" w:rsidP="00D46B53">
      <w:pPr>
        <w:numPr>
          <w:ilvl w:val="2"/>
          <w:numId w:val="450"/>
        </w:numPr>
        <w:tabs>
          <w:tab w:val="left" w:pos="980"/>
        </w:tabs>
        <w:ind w:left="980" w:hanging="360"/>
        <w:rPr>
          <w:rFonts w:eastAsia="Times New Roman"/>
          <w:szCs w:val="24"/>
        </w:rPr>
      </w:pPr>
      <w:r w:rsidRPr="00FC3B7C">
        <w:rPr>
          <w:rFonts w:eastAsia="Times New Roman"/>
          <w:szCs w:val="24"/>
        </w:rPr>
        <w:t>Založení Evropského měnového institutu (EMI)</w:t>
      </w:r>
    </w:p>
    <w:p w14:paraId="4A6F5092" w14:textId="77777777" w:rsidR="00CE6695" w:rsidRPr="00FC3B7C" w:rsidRDefault="00CE6695" w:rsidP="00D46B53">
      <w:pPr>
        <w:numPr>
          <w:ilvl w:val="2"/>
          <w:numId w:val="450"/>
        </w:numPr>
        <w:tabs>
          <w:tab w:val="left" w:pos="980"/>
        </w:tabs>
        <w:ind w:left="980" w:hanging="360"/>
        <w:rPr>
          <w:rFonts w:eastAsia="Times New Roman"/>
          <w:szCs w:val="24"/>
        </w:rPr>
      </w:pPr>
      <w:r w:rsidRPr="00FC3B7C">
        <w:rPr>
          <w:rFonts w:eastAsia="Times New Roman"/>
          <w:szCs w:val="24"/>
        </w:rPr>
        <w:t>Předchůdce ECB</w:t>
      </w:r>
    </w:p>
    <w:p w14:paraId="4A6F5093" w14:textId="77777777" w:rsidR="00CE6695" w:rsidRPr="00FC3B7C" w:rsidRDefault="00CE6695" w:rsidP="00D46B53">
      <w:pPr>
        <w:numPr>
          <w:ilvl w:val="2"/>
          <w:numId w:val="450"/>
        </w:numPr>
        <w:tabs>
          <w:tab w:val="left" w:pos="980"/>
        </w:tabs>
        <w:ind w:left="980" w:hanging="360"/>
        <w:rPr>
          <w:rFonts w:eastAsia="Times New Roman"/>
          <w:szCs w:val="24"/>
        </w:rPr>
      </w:pPr>
      <w:r w:rsidRPr="00FC3B7C">
        <w:rPr>
          <w:rFonts w:eastAsia="Times New Roman"/>
          <w:szCs w:val="24"/>
        </w:rPr>
        <w:t>Účelem EMI bylo:</w:t>
      </w:r>
    </w:p>
    <w:p w14:paraId="4A6F5094" w14:textId="77777777" w:rsidR="00CE6695" w:rsidRPr="00FC3B7C" w:rsidRDefault="00CE6695" w:rsidP="00D46B53">
      <w:pPr>
        <w:numPr>
          <w:ilvl w:val="3"/>
          <w:numId w:val="450"/>
        </w:numPr>
        <w:tabs>
          <w:tab w:val="left" w:pos="1400"/>
        </w:tabs>
        <w:ind w:left="1400" w:hanging="366"/>
        <w:rPr>
          <w:rFonts w:eastAsia="Wingdings"/>
          <w:sz w:val="23"/>
          <w:szCs w:val="23"/>
        </w:rPr>
      </w:pPr>
      <w:r w:rsidRPr="00FC3B7C">
        <w:rPr>
          <w:rFonts w:eastAsia="Times New Roman"/>
          <w:sz w:val="23"/>
          <w:szCs w:val="23"/>
        </w:rPr>
        <w:t>Posilování spolupráce mezi centrálními bankami a koordinace měnových politik</w:t>
      </w:r>
    </w:p>
    <w:p w14:paraId="4A6F5095" w14:textId="77777777" w:rsidR="00CE6695" w:rsidRPr="00FC3B7C" w:rsidRDefault="00CE6695" w:rsidP="00D46B53">
      <w:pPr>
        <w:numPr>
          <w:ilvl w:val="3"/>
          <w:numId w:val="450"/>
        </w:numPr>
        <w:tabs>
          <w:tab w:val="left" w:pos="1400"/>
        </w:tabs>
        <w:ind w:left="1400" w:hanging="366"/>
        <w:rPr>
          <w:rFonts w:eastAsia="Wingdings"/>
          <w:szCs w:val="24"/>
        </w:rPr>
      </w:pPr>
      <w:r w:rsidRPr="00FC3B7C">
        <w:rPr>
          <w:rFonts w:eastAsia="Times New Roman"/>
          <w:szCs w:val="24"/>
        </w:rPr>
        <w:t>Provádění příprav k provádění jednotné měnové politiky a vzniku společné měny</w:t>
      </w:r>
    </w:p>
    <w:p w14:paraId="4A6F5096" w14:textId="77777777" w:rsidR="00CE6695" w:rsidRPr="00FC3B7C" w:rsidRDefault="00CE6695" w:rsidP="00D46B53">
      <w:pPr>
        <w:numPr>
          <w:ilvl w:val="3"/>
          <w:numId w:val="450"/>
        </w:numPr>
        <w:tabs>
          <w:tab w:val="left" w:pos="1400"/>
        </w:tabs>
        <w:ind w:left="1400" w:hanging="366"/>
        <w:rPr>
          <w:rFonts w:eastAsia="Wingdings"/>
          <w:szCs w:val="24"/>
        </w:rPr>
      </w:pPr>
      <w:r w:rsidRPr="00FC3B7C">
        <w:rPr>
          <w:rFonts w:eastAsia="Times New Roman"/>
          <w:szCs w:val="24"/>
        </w:rPr>
        <w:t>Posilování hospodářské konvergence sledováním konvergenčních kritérií</w:t>
      </w:r>
    </w:p>
    <w:p w14:paraId="4A6F5097" w14:textId="77777777" w:rsidR="00CE6695" w:rsidRPr="00FC3B7C" w:rsidRDefault="00CE6695" w:rsidP="00D46B53">
      <w:pPr>
        <w:numPr>
          <w:ilvl w:val="1"/>
          <w:numId w:val="450"/>
        </w:numPr>
        <w:tabs>
          <w:tab w:val="left" w:pos="960"/>
        </w:tabs>
        <w:ind w:left="960" w:hanging="351"/>
        <w:rPr>
          <w:rFonts w:eastAsia="Times New Roman"/>
          <w:szCs w:val="24"/>
        </w:rPr>
      </w:pPr>
      <w:r w:rsidRPr="00FC3B7C">
        <w:rPr>
          <w:rFonts w:eastAsia="Times New Roman"/>
          <w:szCs w:val="24"/>
        </w:rPr>
        <w:t>Hlavní cíl 2. etapy:</w:t>
      </w:r>
    </w:p>
    <w:p w14:paraId="4A6F5098" w14:textId="77777777" w:rsidR="00CE6695" w:rsidRPr="00FC3B7C" w:rsidRDefault="00CE6695" w:rsidP="00D46B53">
      <w:pPr>
        <w:numPr>
          <w:ilvl w:val="3"/>
          <w:numId w:val="450"/>
        </w:numPr>
        <w:tabs>
          <w:tab w:val="left" w:pos="1400"/>
        </w:tabs>
        <w:ind w:left="1400" w:hanging="366"/>
        <w:rPr>
          <w:rFonts w:eastAsia="Wingdings"/>
          <w:szCs w:val="24"/>
        </w:rPr>
      </w:pPr>
      <w:r w:rsidRPr="00FC3B7C">
        <w:rPr>
          <w:rFonts w:eastAsia="Times New Roman"/>
          <w:szCs w:val="24"/>
        </w:rPr>
        <w:t>Zajistit úplnou nezávislost centrálních bank</w:t>
      </w:r>
    </w:p>
    <w:p w14:paraId="4A6F5099" w14:textId="77777777" w:rsidR="00CE6695" w:rsidRPr="00FC3B7C" w:rsidRDefault="00CE6695" w:rsidP="00D46B53">
      <w:pPr>
        <w:numPr>
          <w:ilvl w:val="3"/>
          <w:numId w:val="450"/>
        </w:numPr>
        <w:tabs>
          <w:tab w:val="left" w:pos="1400"/>
        </w:tabs>
        <w:ind w:left="1400" w:hanging="366"/>
        <w:rPr>
          <w:rFonts w:eastAsia="Wingdings"/>
          <w:szCs w:val="24"/>
        </w:rPr>
      </w:pPr>
      <w:r w:rsidRPr="00FC3B7C">
        <w:rPr>
          <w:rFonts w:eastAsia="Times New Roman"/>
          <w:szCs w:val="24"/>
        </w:rPr>
        <w:t>1997 přijat Pakt stability a růstu</w:t>
      </w:r>
    </w:p>
    <w:p w14:paraId="4A6F509A" w14:textId="77777777" w:rsidR="00CE6695" w:rsidRPr="00FC3B7C" w:rsidRDefault="00CE6695" w:rsidP="00D46B53">
      <w:pPr>
        <w:numPr>
          <w:ilvl w:val="3"/>
          <w:numId w:val="450"/>
        </w:numPr>
        <w:tabs>
          <w:tab w:val="left" w:pos="1400"/>
        </w:tabs>
        <w:ind w:left="1400" w:hanging="366"/>
        <w:rPr>
          <w:rFonts w:eastAsia="Wingdings"/>
          <w:szCs w:val="24"/>
        </w:rPr>
      </w:pPr>
      <w:r w:rsidRPr="00FC3B7C">
        <w:rPr>
          <w:rFonts w:eastAsia="Times New Roman"/>
          <w:szCs w:val="24"/>
        </w:rPr>
        <w:t>Založení ECB</w:t>
      </w:r>
    </w:p>
    <w:p w14:paraId="4A6F509B" w14:textId="77777777" w:rsidR="00CE6695" w:rsidRPr="00FC3B7C" w:rsidRDefault="00CE6695" w:rsidP="00D46B53">
      <w:pPr>
        <w:numPr>
          <w:ilvl w:val="0"/>
          <w:numId w:val="451"/>
        </w:numPr>
        <w:tabs>
          <w:tab w:val="left" w:pos="520"/>
        </w:tabs>
        <w:ind w:left="520" w:hanging="240"/>
        <w:rPr>
          <w:rFonts w:eastAsia="Times New Roman"/>
          <w:b/>
          <w:bCs/>
          <w:szCs w:val="24"/>
        </w:rPr>
      </w:pPr>
      <w:r w:rsidRPr="00FC3B7C">
        <w:rPr>
          <w:rFonts w:eastAsia="Times New Roman"/>
          <w:b/>
          <w:bCs/>
          <w:szCs w:val="24"/>
        </w:rPr>
        <w:t>etapa (1999-2002):</w:t>
      </w:r>
    </w:p>
    <w:p w14:paraId="4A6F509C" w14:textId="77777777" w:rsidR="00CE6695" w:rsidRPr="00FC3B7C" w:rsidRDefault="00CE6695" w:rsidP="00D46B53">
      <w:pPr>
        <w:numPr>
          <w:ilvl w:val="1"/>
          <w:numId w:val="451"/>
        </w:numPr>
        <w:tabs>
          <w:tab w:val="left" w:pos="980"/>
        </w:tabs>
        <w:ind w:left="980" w:hanging="351"/>
        <w:rPr>
          <w:rFonts w:eastAsia="Times New Roman"/>
          <w:szCs w:val="24"/>
        </w:rPr>
      </w:pPr>
      <w:r w:rsidRPr="00FC3B7C">
        <w:rPr>
          <w:rFonts w:eastAsia="Times New Roman"/>
          <w:szCs w:val="24"/>
        </w:rPr>
        <w:t>Neodvolatelné zafixování kurzů zemí, které splnily konvergenční kritéria</w:t>
      </w:r>
    </w:p>
    <w:p w14:paraId="4A6F509D" w14:textId="77777777" w:rsidR="00CE6695" w:rsidRPr="00FC3B7C" w:rsidRDefault="00CE6695" w:rsidP="00D46B53">
      <w:pPr>
        <w:numPr>
          <w:ilvl w:val="1"/>
          <w:numId w:val="451"/>
        </w:numPr>
        <w:tabs>
          <w:tab w:val="left" w:pos="980"/>
        </w:tabs>
        <w:ind w:left="980" w:hanging="351"/>
        <w:rPr>
          <w:rFonts w:eastAsia="Times New Roman"/>
          <w:szCs w:val="24"/>
        </w:rPr>
      </w:pPr>
      <w:r w:rsidRPr="00FC3B7C">
        <w:rPr>
          <w:rFonts w:eastAsia="Times New Roman"/>
          <w:szCs w:val="24"/>
        </w:rPr>
        <w:t>ECB provádí jednotnou měnovou politiku</w:t>
      </w:r>
    </w:p>
    <w:p w14:paraId="4A6F509E" w14:textId="77777777" w:rsidR="00CE6695" w:rsidRPr="00FC3B7C" w:rsidRDefault="00CE6695" w:rsidP="00D46B53">
      <w:pPr>
        <w:numPr>
          <w:ilvl w:val="1"/>
          <w:numId w:val="451"/>
        </w:numPr>
        <w:tabs>
          <w:tab w:val="left" w:pos="980"/>
        </w:tabs>
        <w:ind w:left="980" w:hanging="351"/>
        <w:rPr>
          <w:rFonts w:eastAsia="Times New Roman"/>
          <w:szCs w:val="24"/>
        </w:rPr>
      </w:pPr>
      <w:r w:rsidRPr="00FC3B7C">
        <w:rPr>
          <w:rFonts w:eastAsia="Times New Roman"/>
          <w:szCs w:val="24"/>
        </w:rPr>
        <w:t>1999 vznik ERM II (=Evropský mechanismus směnných kurzů) - zrušil navázání měn na ECU a zavedl navázání na novou měnu euro, fluktuační pásmo zachováno na +/-15%, je nástupcem ERM</w:t>
      </w:r>
    </w:p>
    <w:p w14:paraId="4A6F509F" w14:textId="77777777" w:rsidR="00CE6695" w:rsidRPr="00FC3B7C" w:rsidRDefault="00CE6695" w:rsidP="00D46B53">
      <w:pPr>
        <w:numPr>
          <w:ilvl w:val="1"/>
          <w:numId w:val="451"/>
        </w:numPr>
        <w:tabs>
          <w:tab w:val="left" w:pos="980"/>
        </w:tabs>
        <w:ind w:left="980" w:hanging="351"/>
        <w:rPr>
          <w:rFonts w:eastAsia="Times New Roman"/>
          <w:szCs w:val="24"/>
        </w:rPr>
      </w:pPr>
      <w:r w:rsidRPr="00FC3B7C">
        <w:rPr>
          <w:rFonts w:eastAsia="Times New Roman"/>
          <w:szCs w:val="24"/>
        </w:rPr>
        <w:t>2002 přechod na hotovostní euro</w:t>
      </w:r>
    </w:p>
    <w:p w14:paraId="4A6F50A0" w14:textId="70291D5B" w:rsidR="00CE6695" w:rsidRPr="00FC3B7C" w:rsidRDefault="00CE6695" w:rsidP="00CE6695">
      <w:pPr>
        <w:spacing w:line="20" w:lineRule="exact"/>
        <w:rPr>
          <w:sz w:val="20"/>
          <w:szCs w:val="20"/>
        </w:rPr>
      </w:pPr>
      <w:bookmarkStart w:id="428" w:name="page440"/>
      <w:bookmarkEnd w:id="428"/>
    </w:p>
    <w:p w14:paraId="4A6F50A1" w14:textId="74582810" w:rsidR="00CE6695" w:rsidRPr="00FC3B7C" w:rsidRDefault="0070178B" w:rsidP="00CE6695">
      <w:pPr>
        <w:spacing w:line="200" w:lineRule="exact"/>
        <w:rPr>
          <w:sz w:val="20"/>
          <w:szCs w:val="20"/>
        </w:rPr>
      </w:pPr>
      <w:r w:rsidRPr="00FC3B7C">
        <w:rPr>
          <w:noProof/>
          <w:sz w:val="20"/>
          <w:szCs w:val="20"/>
        </w:rPr>
        <w:drawing>
          <wp:anchor distT="0" distB="0" distL="114300" distR="114300" simplePos="0" relativeHeight="251730432" behindDoc="1" locked="0" layoutInCell="0" allowOverlap="1" wp14:anchorId="4A6F5D2A" wp14:editId="6387918E">
            <wp:simplePos x="0" y="0"/>
            <wp:positionH relativeFrom="column">
              <wp:posOffset>7620</wp:posOffset>
            </wp:positionH>
            <wp:positionV relativeFrom="paragraph">
              <wp:posOffset>12700</wp:posOffset>
            </wp:positionV>
            <wp:extent cx="5754370" cy="363347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28"/>
                    <a:srcRect/>
                    <a:stretch>
                      <a:fillRect/>
                    </a:stretch>
                  </pic:blipFill>
                  <pic:spPr bwMode="auto">
                    <a:xfrm>
                      <a:off x="0" y="0"/>
                      <a:ext cx="5754370" cy="3633470"/>
                    </a:xfrm>
                    <a:prstGeom prst="rect">
                      <a:avLst/>
                    </a:prstGeom>
                    <a:noFill/>
                  </pic:spPr>
                </pic:pic>
              </a:graphicData>
            </a:graphic>
          </wp:anchor>
        </w:drawing>
      </w:r>
    </w:p>
    <w:p w14:paraId="4A6F50A2" w14:textId="77777777" w:rsidR="00CE6695" w:rsidRPr="00FC3B7C" w:rsidRDefault="00CE6695" w:rsidP="00CE6695">
      <w:pPr>
        <w:spacing w:line="200" w:lineRule="exact"/>
        <w:rPr>
          <w:sz w:val="20"/>
          <w:szCs w:val="20"/>
        </w:rPr>
      </w:pPr>
    </w:p>
    <w:p w14:paraId="4A6F50A3" w14:textId="77777777" w:rsidR="00CE6695" w:rsidRPr="00FC3B7C" w:rsidRDefault="00CE6695" w:rsidP="00CE6695">
      <w:pPr>
        <w:spacing w:line="200" w:lineRule="exact"/>
        <w:rPr>
          <w:sz w:val="20"/>
          <w:szCs w:val="20"/>
        </w:rPr>
      </w:pPr>
    </w:p>
    <w:p w14:paraId="4A6F50A4" w14:textId="2A0E85F1" w:rsidR="00CE6695" w:rsidRPr="00FC3B7C" w:rsidRDefault="00CE6695" w:rsidP="00CE6695">
      <w:pPr>
        <w:spacing w:line="200" w:lineRule="exact"/>
        <w:rPr>
          <w:sz w:val="20"/>
          <w:szCs w:val="20"/>
        </w:rPr>
      </w:pPr>
    </w:p>
    <w:p w14:paraId="4A6F50A5" w14:textId="77777777" w:rsidR="00CE6695" w:rsidRPr="00FC3B7C" w:rsidRDefault="00CE6695" w:rsidP="00CE6695">
      <w:pPr>
        <w:spacing w:line="200" w:lineRule="exact"/>
        <w:rPr>
          <w:sz w:val="20"/>
          <w:szCs w:val="20"/>
        </w:rPr>
      </w:pPr>
    </w:p>
    <w:p w14:paraId="4A6F50A6" w14:textId="77777777" w:rsidR="00CE6695" w:rsidRPr="00FC3B7C" w:rsidRDefault="00CE6695" w:rsidP="00CE6695">
      <w:pPr>
        <w:spacing w:line="200" w:lineRule="exact"/>
        <w:rPr>
          <w:sz w:val="20"/>
          <w:szCs w:val="20"/>
        </w:rPr>
      </w:pPr>
    </w:p>
    <w:p w14:paraId="4A6F50A7" w14:textId="77777777" w:rsidR="00CE6695" w:rsidRPr="00FC3B7C" w:rsidRDefault="00CE6695" w:rsidP="00CE6695">
      <w:pPr>
        <w:spacing w:line="200" w:lineRule="exact"/>
        <w:rPr>
          <w:sz w:val="20"/>
          <w:szCs w:val="20"/>
        </w:rPr>
      </w:pPr>
    </w:p>
    <w:p w14:paraId="4A6F50A8" w14:textId="77777777" w:rsidR="00CE6695" w:rsidRPr="00FC3B7C" w:rsidRDefault="00CE6695" w:rsidP="00CE6695">
      <w:pPr>
        <w:spacing w:line="200" w:lineRule="exact"/>
        <w:rPr>
          <w:sz w:val="20"/>
          <w:szCs w:val="20"/>
        </w:rPr>
      </w:pPr>
    </w:p>
    <w:p w14:paraId="4A6F50A9" w14:textId="77777777" w:rsidR="00CE6695" w:rsidRPr="00FC3B7C" w:rsidRDefault="00CE6695" w:rsidP="00CE6695">
      <w:pPr>
        <w:spacing w:line="200" w:lineRule="exact"/>
        <w:rPr>
          <w:sz w:val="20"/>
          <w:szCs w:val="20"/>
        </w:rPr>
      </w:pPr>
    </w:p>
    <w:p w14:paraId="4A6F50AA" w14:textId="77777777" w:rsidR="00CE6695" w:rsidRPr="00FC3B7C" w:rsidRDefault="00CE6695" w:rsidP="00CE6695">
      <w:pPr>
        <w:spacing w:line="200" w:lineRule="exact"/>
        <w:rPr>
          <w:sz w:val="20"/>
          <w:szCs w:val="20"/>
        </w:rPr>
      </w:pPr>
    </w:p>
    <w:p w14:paraId="4A6F50AB" w14:textId="77777777" w:rsidR="00CE6695" w:rsidRPr="00FC3B7C" w:rsidRDefault="00CE6695" w:rsidP="00CE6695">
      <w:pPr>
        <w:spacing w:line="200" w:lineRule="exact"/>
        <w:rPr>
          <w:sz w:val="20"/>
          <w:szCs w:val="20"/>
        </w:rPr>
      </w:pPr>
    </w:p>
    <w:p w14:paraId="4A6F50AC" w14:textId="77777777" w:rsidR="00CE6695" w:rsidRPr="00FC3B7C" w:rsidRDefault="00CE6695" w:rsidP="00CE6695">
      <w:pPr>
        <w:spacing w:line="200" w:lineRule="exact"/>
        <w:rPr>
          <w:sz w:val="20"/>
          <w:szCs w:val="20"/>
        </w:rPr>
      </w:pPr>
    </w:p>
    <w:p w14:paraId="4A6F50AD" w14:textId="77777777" w:rsidR="00CE6695" w:rsidRPr="00FC3B7C" w:rsidRDefault="00CE6695" w:rsidP="00CE6695">
      <w:pPr>
        <w:spacing w:line="200" w:lineRule="exact"/>
        <w:rPr>
          <w:sz w:val="20"/>
          <w:szCs w:val="20"/>
        </w:rPr>
      </w:pPr>
    </w:p>
    <w:p w14:paraId="4A6F50AE" w14:textId="77777777" w:rsidR="00CE6695" w:rsidRPr="00FC3B7C" w:rsidRDefault="00CE6695" w:rsidP="00CE6695">
      <w:pPr>
        <w:spacing w:line="200" w:lineRule="exact"/>
        <w:rPr>
          <w:sz w:val="20"/>
          <w:szCs w:val="20"/>
        </w:rPr>
      </w:pPr>
    </w:p>
    <w:p w14:paraId="4A6F50AF" w14:textId="77777777" w:rsidR="00CE6695" w:rsidRPr="00FC3B7C" w:rsidRDefault="00CE6695" w:rsidP="00CE6695">
      <w:pPr>
        <w:spacing w:line="200" w:lineRule="exact"/>
        <w:rPr>
          <w:sz w:val="20"/>
          <w:szCs w:val="20"/>
        </w:rPr>
      </w:pPr>
    </w:p>
    <w:p w14:paraId="4A6F50B0" w14:textId="77777777" w:rsidR="00CE6695" w:rsidRPr="00FC3B7C" w:rsidRDefault="00CE6695" w:rsidP="00CE6695">
      <w:pPr>
        <w:spacing w:line="200" w:lineRule="exact"/>
        <w:rPr>
          <w:sz w:val="20"/>
          <w:szCs w:val="20"/>
        </w:rPr>
      </w:pPr>
    </w:p>
    <w:p w14:paraId="4A6F50B1" w14:textId="77777777" w:rsidR="00CE6695" w:rsidRPr="00FC3B7C" w:rsidRDefault="00CE6695" w:rsidP="00CE6695">
      <w:pPr>
        <w:spacing w:line="200" w:lineRule="exact"/>
        <w:rPr>
          <w:sz w:val="20"/>
          <w:szCs w:val="20"/>
        </w:rPr>
      </w:pPr>
    </w:p>
    <w:p w14:paraId="4A6F50B2" w14:textId="77777777" w:rsidR="00CE6695" w:rsidRPr="00FC3B7C" w:rsidRDefault="00CE6695" w:rsidP="00CE6695">
      <w:pPr>
        <w:spacing w:line="200" w:lineRule="exact"/>
        <w:rPr>
          <w:sz w:val="20"/>
          <w:szCs w:val="20"/>
        </w:rPr>
      </w:pPr>
    </w:p>
    <w:p w14:paraId="4A6F50B3" w14:textId="77777777" w:rsidR="00CE6695" w:rsidRPr="00FC3B7C" w:rsidRDefault="00CE6695" w:rsidP="00CE6695">
      <w:pPr>
        <w:spacing w:line="200" w:lineRule="exact"/>
        <w:rPr>
          <w:sz w:val="20"/>
          <w:szCs w:val="20"/>
        </w:rPr>
      </w:pPr>
    </w:p>
    <w:p w14:paraId="4A6F50B4" w14:textId="77777777" w:rsidR="00CE6695" w:rsidRPr="00FC3B7C" w:rsidRDefault="00CE6695" w:rsidP="00CE6695">
      <w:pPr>
        <w:spacing w:line="200" w:lineRule="exact"/>
        <w:rPr>
          <w:sz w:val="20"/>
          <w:szCs w:val="20"/>
        </w:rPr>
      </w:pPr>
    </w:p>
    <w:p w14:paraId="4A6F50B5" w14:textId="77777777" w:rsidR="00CE6695" w:rsidRPr="00FC3B7C" w:rsidRDefault="00CE6695" w:rsidP="00CE6695">
      <w:pPr>
        <w:spacing w:line="200" w:lineRule="exact"/>
        <w:rPr>
          <w:sz w:val="20"/>
          <w:szCs w:val="20"/>
        </w:rPr>
      </w:pPr>
    </w:p>
    <w:p w14:paraId="4A6F50B6" w14:textId="77777777" w:rsidR="00CE6695" w:rsidRPr="00FC3B7C" w:rsidRDefault="00CE6695" w:rsidP="00CE6695">
      <w:pPr>
        <w:spacing w:line="200" w:lineRule="exact"/>
        <w:rPr>
          <w:sz w:val="20"/>
          <w:szCs w:val="20"/>
        </w:rPr>
      </w:pPr>
    </w:p>
    <w:p w14:paraId="4A6F50B7" w14:textId="77777777" w:rsidR="00CE6695" w:rsidRPr="00FC3B7C" w:rsidRDefault="00CE6695" w:rsidP="00CE6695">
      <w:pPr>
        <w:spacing w:line="200" w:lineRule="exact"/>
        <w:rPr>
          <w:sz w:val="20"/>
          <w:szCs w:val="20"/>
        </w:rPr>
      </w:pPr>
    </w:p>
    <w:p w14:paraId="4A6F50B8" w14:textId="77777777" w:rsidR="00CE6695" w:rsidRPr="00FC3B7C" w:rsidRDefault="00CE6695" w:rsidP="00CE6695">
      <w:pPr>
        <w:spacing w:line="200" w:lineRule="exact"/>
        <w:rPr>
          <w:sz w:val="20"/>
          <w:szCs w:val="20"/>
        </w:rPr>
      </w:pPr>
    </w:p>
    <w:p w14:paraId="4A6F50B9" w14:textId="77777777" w:rsidR="00CE6695" w:rsidRPr="00FC3B7C" w:rsidRDefault="00CE6695" w:rsidP="00CE6695">
      <w:pPr>
        <w:spacing w:line="200" w:lineRule="exact"/>
        <w:rPr>
          <w:sz w:val="20"/>
          <w:szCs w:val="20"/>
        </w:rPr>
      </w:pPr>
    </w:p>
    <w:p w14:paraId="4A6F50BA" w14:textId="77777777" w:rsidR="00CE6695" w:rsidRPr="00FC3B7C" w:rsidRDefault="00CE6695" w:rsidP="00CE6695">
      <w:pPr>
        <w:spacing w:line="200" w:lineRule="exact"/>
        <w:rPr>
          <w:sz w:val="20"/>
          <w:szCs w:val="20"/>
        </w:rPr>
      </w:pPr>
    </w:p>
    <w:p w14:paraId="4A6F50BB" w14:textId="77777777" w:rsidR="00CE6695" w:rsidRPr="00FC3B7C" w:rsidRDefault="00CE6695" w:rsidP="00CE6695">
      <w:pPr>
        <w:spacing w:line="200" w:lineRule="exact"/>
        <w:rPr>
          <w:sz w:val="20"/>
          <w:szCs w:val="20"/>
        </w:rPr>
      </w:pPr>
    </w:p>
    <w:p w14:paraId="4A6F50BC" w14:textId="77777777" w:rsidR="00CE6695" w:rsidRPr="00FC3B7C" w:rsidRDefault="00CE6695" w:rsidP="00CE6695">
      <w:pPr>
        <w:spacing w:line="200" w:lineRule="exact"/>
        <w:rPr>
          <w:sz w:val="20"/>
          <w:szCs w:val="20"/>
        </w:rPr>
      </w:pPr>
    </w:p>
    <w:p w14:paraId="4A6F50BD" w14:textId="77777777" w:rsidR="00CE6695" w:rsidRPr="00FC3B7C" w:rsidRDefault="00CE6695" w:rsidP="00CE6695">
      <w:pPr>
        <w:spacing w:line="200" w:lineRule="exact"/>
        <w:rPr>
          <w:sz w:val="20"/>
          <w:szCs w:val="20"/>
        </w:rPr>
      </w:pPr>
    </w:p>
    <w:p w14:paraId="4A6F50BE" w14:textId="77777777" w:rsidR="00CE6695" w:rsidRPr="00FC3B7C" w:rsidRDefault="00CE6695" w:rsidP="00CE6695">
      <w:pPr>
        <w:spacing w:line="226" w:lineRule="exact"/>
        <w:rPr>
          <w:sz w:val="20"/>
          <w:szCs w:val="20"/>
        </w:rPr>
      </w:pPr>
    </w:p>
    <w:p w14:paraId="4A6F50BF" w14:textId="6564A241" w:rsidR="00CE6695" w:rsidRPr="0070178B" w:rsidRDefault="0070178B" w:rsidP="00DB6E27">
      <w:pPr>
        <w:pStyle w:val="Nadpis3"/>
        <w:rPr>
          <w:color w:val="1F3864" w:themeColor="accent1" w:themeShade="80"/>
          <w:sz w:val="20"/>
          <w:szCs w:val="20"/>
        </w:rPr>
      </w:pPr>
      <w:r>
        <w:rPr>
          <w:rFonts w:eastAsia="Times New Roman"/>
          <w:color w:val="1F3864" w:themeColor="accent1" w:themeShade="80"/>
        </w:rPr>
        <w:lastRenderedPageBreak/>
        <w:t xml:space="preserve"> </w:t>
      </w:r>
      <w:r w:rsidR="00CE6695" w:rsidRPr="0070178B">
        <w:rPr>
          <w:rFonts w:eastAsia="Times New Roman"/>
          <w:color w:val="1F3864" w:themeColor="accent1" w:themeShade="80"/>
        </w:rPr>
        <w:t xml:space="preserve">Evropská </w:t>
      </w:r>
      <w:r w:rsidR="00CE6695" w:rsidRPr="0070178B">
        <w:rPr>
          <w:color w:val="1F3864" w:themeColor="accent1" w:themeShade="80"/>
        </w:rPr>
        <w:t>centrální</w:t>
      </w:r>
      <w:r w:rsidR="00CE6695" w:rsidRPr="0070178B">
        <w:rPr>
          <w:rFonts w:eastAsia="Times New Roman"/>
          <w:color w:val="1F3864" w:themeColor="accent1" w:themeShade="80"/>
        </w:rPr>
        <w:t xml:space="preserve"> banka</w:t>
      </w:r>
    </w:p>
    <w:p w14:paraId="4A6F50C0" w14:textId="77777777" w:rsidR="00CE6695" w:rsidRPr="00FC3B7C" w:rsidRDefault="00CE6695" w:rsidP="00C569A6">
      <w:pPr>
        <w:ind w:firstLine="720"/>
        <w:rPr>
          <w:sz w:val="20"/>
          <w:szCs w:val="20"/>
        </w:rPr>
      </w:pPr>
      <w:r w:rsidRPr="00FC3B7C">
        <w:rPr>
          <w:rFonts w:eastAsia="Times New Roman"/>
          <w:szCs w:val="24"/>
        </w:rPr>
        <w:t>Pro posun Evropského společenství k hospodářské a měnové unii bylo potřeba vytvořit novou instituci - Evropskou centrální banku (ECB) - ta zahájila svou činnost 1. 1. 1999 a je hlavní bankou pro státy eurozóny. Sídlí ve Frankfurtu nad Mohanem. Je řízena Výkonnou radou (v čele s prezidentem ECB) a Radou guvernérů (= Výkonná rada + guvernéři centrálních bank zemí eurozóny) + Generální rada (= prezident a viceprezident ECB a guvernéři bank všech států EU, i těch, které nejsou v eurozóně). Od 1. listopadu 2011 je prezidentem ECB Mario Draghi (před ním Jean-Claude Trichet).</w:t>
      </w:r>
    </w:p>
    <w:p w14:paraId="4A6F50C1" w14:textId="77777777" w:rsidR="00CE6695" w:rsidRDefault="00CE6695" w:rsidP="00C569A6">
      <w:pPr>
        <w:ind w:firstLine="720"/>
        <w:rPr>
          <w:rFonts w:eastAsia="Times New Roman"/>
          <w:szCs w:val="24"/>
        </w:rPr>
      </w:pPr>
      <w:r w:rsidRPr="00FC3B7C">
        <w:rPr>
          <w:rFonts w:eastAsia="Times New Roman"/>
          <w:szCs w:val="24"/>
        </w:rPr>
        <w:t>ECB začala v červnu 2014 používat zápornou depozitní sazbu (-0,1%) pro banky, které si ukládají peníze na účtech ECB – snaha motivovat banky, aby přesunuly peníze zpět do ekonomiky, což povede k růstu spotřeby a inflace.</w:t>
      </w:r>
      <w:r w:rsidR="00DB6E27" w:rsidRPr="00FC3B7C">
        <w:rPr>
          <w:rFonts w:eastAsia="Times New Roman"/>
          <w:szCs w:val="24"/>
        </w:rPr>
        <w:t xml:space="preserve"> </w:t>
      </w:r>
    </w:p>
    <w:p w14:paraId="4A6F50C2" w14:textId="77777777" w:rsidR="00DB6E27" w:rsidRPr="00FC3B7C" w:rsidRDefault="00DB6E27" w:rsidP="00DB6E27">
      <w:pPr>
        <w:rPr>
          <w:sz w:val="20"/>
          <w:szCs w:val="20"/>
        </w:rPr>
      </w:pPr>
    </w:p>
    <w:p w14:paraId="4A6F50C3" w14:textId="77777777" w:rsidR="00CE6695" w:rsidRPr="004975AA" w:rsidRDefault="00CE6695" w:rsidP="00DB6E27">
      <w:pPr>
        <w:rPr>
          <w:b/>
          <w:sz w:val="20"/>
          <w:szCs w:val="20"/>
        </w:rPr>
      </w:pPr>
      <w:r w:rsidRPr="004975AA">
        <w:rPr>
          <w:rFonts w:eastAsia="Times New Roman"/>
          <w:b/>
        </w:rPr>
        <w:t>Nezávislost ECB:</w:t>
      </w:r>
    </w:p>
    <w:p w14:paraId="4A6F50C4" w14:textId="77777777" w:rsidR="00CE6695" w:rsidRPr="00FC3B7C" w:rsidRDefault="00CE6695" w:rsidP="00D46B53">
      <w:pPr>
        <w:numPr>
          <w:ilvl w:val="0"/>
          <w:numId w:val="452"/>
        </w:numPr>
        <w:tabs>
          <w:tab w:val="left" w:pos="1000"/>
        </w:tabs>
        <w:ind w:left="1000" w:hanging="360"/>
        <w:rPr>
          <w:rFonts w:eastAsia="Arial"/>
          <w:szCs w:val="24"/>
        </w:rPr>
      </w:pPr>
      <w:r w:rsidRPr="00FC3B7C">
        <w:rPr>
          <w:rFonts w:eastAsia="Times New Roman"/>
          <w:b/>
          <w:bCs/>
          <w:szCs w:val="24"/>
        </w:rPr>
        <w:t xml:space="preserve">Institucionální </w:t>
      </w:r>
      <w:r w:rsidRPr="00FC3B7C">
        <w:rPr>
          <w:rFonts w:eastAsia="Times New Roman"/>
          <w:szCs w:val="24"/>
        </w:rPr>
        <w:t>= banky nesmějí požadovat nebo přijímat pokyny od orgánů</w:t>
      </w:r>
      <w:r w:rsidRPr="00FC3B7C">
        <w:rPr>
          <w:rFonts w:eastAsia="Times New Roman"/>
          <w:b/>
          <w:bCs/>
          <w:szCs w:val="24"/>
        </w:rPr>
        <w:t xml:space="preserve"> </w:t>
      </w:r>
      <w:r w:rsidRPr="00FC3B7C">
        <w:rPr>
          <w:rFonts w:eastAsia="Times New Roman"/>
          <w:szCs w:val="24"/>
        </w:rPr>
        <w:t>ES, vlády členského státu nebo jiného orgánu.</w:t>
      </w:r>
    </w:p>
    <w:p w14:paraId="4A6F50C5" w14:textId="77777777" w:rsidR="00CE6695" w:rsidRPr="00FC3B7C" w:rsidRDefault="00CE6695" w:rsidP="00D46B53">
      <w:pPr>
        <w:numPr>
          <w:ilvl w:val="0"/>
          <w:numId w:val="452"/>
        </w:numPr>
        <w:tabs>
          <w:tab w:val="left" w:pos="1000"/>
        </w:tabs>
        <w:ind w:left="1000" w:hanging="360"/>
        <w:rPr>
          <w:rFonts w:eastAsia="Arial"/>
          <w:szCs w:val="24"/>
        </w:rPr>
      </w:pPr>
      <w:r w:rsidRPr="00FC3B7C">
        <w:rPr>
          <w:rFonts w:eastAsia="Times New Roman"/>
          <w:b/>
          <w:bCs/>
          <w:szCs w:val="24"/>
        </w:rPr>
        <w:t xml:space="preserve">Osobní nezávislost </w:t>
      </w:r>
      <w:r w:rsidRPr="00FC3B7C">
        <w:rPr>
          <w:rFonts w:eastAsia="Times New Roman"/>
          <w:szCs w:val="24"/>
        </w:rPr>
        <w:t>= funkční období vrcholných orgánů</w:t>
      </w:r>
      <w:r w:rsidRPr="00FC3B7C">
        <w:rPr>
          <w:rFonts w:eastAsia="Times New Roman"/>
          <w:b/>
          <w:bCs/>
          <w:szCs w:val="24"/>
        </w:rPr>
        <w:t xml:space="preserve"> </w:t>
      </w:r>
      <w:r w:rsidRPr="00FC3B7C">
        <w:rPr>
          <w:rFonts w:eastAsia="Times New Roman"/>
          <w:szCs w:val="24"/>
        </w:rPr>
        <w:t>národních bank musí</w:t>
      </w:r>
      <w:r w:rsidRPr="00FC3B7C">
        <w:rPr>
          <w:rFonts w:eastAsia="Times New Roman"/>
          <w:b/>
          <w:bCs/>
          <w:szCs w:val="24"/>
        </w:rPr>
        <w:t xml:space="preserve"> </w:t>
      </w:r>
      <w:r w:rsidRPr="00FC3B7C">
        <w:rPr>
          <w:rFonts w:eastAsia="Times New Roman"/>
          <w:szCs w:val="24"/>
        </w:rPr>
        <w:t>být dostatečně dlouhé (min. 5 let) a představitelé centrálních bank mohou být odvolaní pouze z důvodů uvedených ve smlouvě.</w:t>
      </w:r>
    </w:p>
    <w:p w14:paraId="4A6F50C6" w14:textId="77777777" w:rsidR="00CE6695" w:rsidRPr="00FC3B7C" w:rsidRDefault="00CE6695" w:rsidP="00D46B53">
      <w:pPr>
        <w:numPr>
          <w:ilvl w:val="0"/>
          <w:numId w:val="452"/>
        </w:numPr>
        <w:tabs>
          <w:tab w:val="left" w:pos="1000"/>
        </w:tabs>
        <w:ind w:left="1000" w:hanging="360"/>
        <w:rPr>
          <w:rFonts w:eastAsia="Arial"/>
          <w:szCs w:val="24"/>
        </w:rPr>
      </w:pPr>
      <w:r w:rsidRPr="00FC3B7C">
        <w:rPr>
          <w:rFonts w:eastAsia="Times New Roman"/>
          <w:b/>
          <w:bCs/>
          <w:szCs w:val="24"/>
        </w:rPr>
        <w:t xml:space="preserve">Věcná (funkční) nezávislost </w:t>
      </w:r>
      <w:r w:rsidRPr="00FC3B7C">
        <w:rPr>
          <w:rFonts w:eastAsia="Times New Roman"/>
          <w:szCs w:val="24"/>
        </w:rPr>
        <w:t>= stanovení hlavního cíle a odpovědnosti za jeho</w:t>
      </w:r>
      <w:r w:rsidRPr="00FC3B7C">
        <w:rPr>
          <w:rFonts w:eastAsia="Times New Roman"/>
          <w:b/>
          <w:bCs/>
          <w:szCs w:val="24"/>
        </w:rPr>
        <w:t xml:space="preserve"> </w:t>
      </w:r>
      <w:r w:rsidRPr="00FC3B7C">
        <w:rPr>
          <w:rFonts w:eastAsia="Times New Roman"/>
          <w:szCs w:val="24"/>
        </w:rPr>
        <w:t>plnění. Hlavním cílem centrálních bank a ECB je udržovat cenovou stabilitu.</w:t>
      </w:r>
    </w:p>
    <w:p w14:paraId="4A6F50C7" w14:textId="77777777" w:rsidR="00CE6695" w:rsidRPr="00FC3B7C" w:rsidRDefault="00CE6695" w:rsidP="00D46B53">
      <w:pPr>
        <w:numPr>
          <w:ilvl w:val="0"/>
          <w:numId w:val="452"/>
        </w:numPr>
        <w:tabs>
          <w:tab w:val="left" w:pos="1000"/>
        </w:tabs>
        <w:ind w:left="1000" w:hanging="360"/>
        <w:rPr>
          <w:rFonts w:eastAsia="Arial"/>
          <w:szCs w:val="24"/>
        </w:rPr>
      </w:pPr>
      <w:r w:rsidRPr="00FC3B7C">
        <w:rPr>
          <w:rFonts w:eastAsia="Times New Roman"/>
          <w:b/>
          <w:bCs/>
          <w:szCs w:val="24"/>
        </w:rPr>
        <w:t xml:space="preserve">Finanční nezávislost </w:t>
      </w:r>
      <w:r w:rsidRPr="00FC3B7C">
        <w:rPr>
          <w:rFonts w:eastAsia="Times New Roman"/>
          <w:szCs w:val="24"/>
        </w:rPr>
        <w:t>= vláda nesmí ovlivňovat rozpočet centrální banky a</w:t>
      </w:r>
      <w:r w:rsidRPr="00FC3B7C">
        <w:rPr>
          <w:rFonts w:eastAsia="Times New Roman"/>
          <w:b/>
          <w:bCs/>
          <w:szCs w:val="24"/>
        </w:rPr>
        <w:t xml:space="preserve"> </w:t>
      </w:r>
      <w:r w:rsidRPr="00FC3B7C">
        <w:rPr>
          <w:rFonts w:eastAsia="Times New Roman"/>
          <w:szCs w:val="24"/>
        </w:rPr>
        <w:t>nesmí využívat centrální banku k financování státních výdajů. Finanční nezávislost umožňuje centrálním bankám faktický výkon nezávislosti.</w:t>
      </w:r>
    </w:p>
    <w:p w14:paraId="4A6F50C8" w14:textId="77777777" w:rsidR="00CE6695" w:rsidRPr="00FC3B7C" w:rsidRDefault="00CE6695" w:rsidP="00DB6E27"/>
    <w:p w14:paraId="4A6F50C9" w14:textId="77777777" w:rsidR="00CE6695" w:rsidRPr="004975AA" w:rsidRDefault="00CE6695" w:rsidP="00DB6E27">
      <w:pPr>
        <w:rPr>
          <w:b/>
          <w:sz w:val="20"/>
          <w:szCs w:val="20"/>
        </w:rPr>
      </w:pPr>
      <w:r w:rsidRPr="004975AA">
        <w:rPr>
          <w:rFonts w:eastAsia="Times New Roman"/>
          <w:b/>
        </w:rPr>
        <w:t>Úkoly ECB:</w:t>
      </w:r>
    </w:p>
    <w:p w14:paraId="4A6F50CA" w14:textId="77777777" w:rsidR="00CE6695" w:rsidRPr="00FC3B7C" w:rsidRDefault="00CE6695" w:rsidP="00C569A6">
      <w:pPr>
        <w:ind w:firstLine="720"/>
        <w:rPr>
          <w:rFonts w:eastAsia="Times New Roman"/>
          <w:szCs w:val="24"/>
        </w:rPr>
      </w:pPr>
      <w:r w:rsidRPr="00FC3B7C">
        <w:rPr>
          <w:rFonts w:eastAsia="Times New Roman"/>
          <w:szCs w:val="24"/>
        </w:rPr>
        <w:t>Hlavním úkolem je udržování cenové stability ve státech eurozóny a ochrana hodnoty eura (cenová stabilita je definována jako meziroční zvýšení harmonizovaného indexu spotřebních cen do 2 %). Má výlučné právo povolovat emitování bankovek v eurozóně. Orgány EU s ECB konzultují přijímání některých právních aktů, stejně jako členské státy. Úkolem ECB je dohlížet na sjednocování bankovních dohledů v EU. ECB vydává nařízení, rozhodnutí, doporučení, stanoviska a dále obecné zásady, pokyny a vnitřní rozhodnutí.</w:t>
      </w:r>
    </w:p>
    <w:p w14:paraId="4A6F50CB" w14:textId="77777777" w:rsidR="00CE6695" w:rsidRPr="00FC3B7C" w:rsidRDefault="00CE6695" w:rsidP="00CE6695">
      <w:pPr>
        <w:spacing w:line="359" w:lineRule="auto"/>
        <w:rPr>
          <w:sz w:val="20"/>
          <w:szCs w:val="20"/>
        </w:rPr>
      </w:pPr>
    </w:p>
    <w:p w14:paraId="4A6F50CC" w14:textId="77777777" w:rsidR="00CE6695" w:rsidRPr="00FC3B7C" w:rsidRDefault="00CE6695" w:rsidP="00CE6695">
      <w:pPr>
        <w:spacing w:line="4" w:lineRule="exact"/>
        <w:rPr>
          <w:sz w:val="20"/>
          <w:szCs w:val="20"/>
        </w:rPr>
      </w:pPr>
    </w:p>
    <w:p w14:paraId="4A6F50CD" w14:textId="77777777" w:rsidR="00DB6E27" w:rsidRDefault="00DB6E27" w:rsidP="004975AA">
      <w:pPr>
        <w:rPr>
          <w:rFonts w:eastAsia="Times New Roman"/>
          <w:b/>
        </w:rPr>
      </w:pPr>
    </w:p>
    <w:p w14:paraId="4A6F50CE" w14:textId="77777777" w:rsidR="00DB6E27" w:rsidRDefault="00DB6E27" w:rsidP="004975AA">
      <w:pPr>
        <w:rPr>
          <w:rFonts w:eastAsia="Times New Roman"/>
          <w:b/>
        </w:rPr>
      </w:pPr>
    </w:p>
    <w:p w14:paraId="4A6F50CF" w14:textId="77777777" w:rsidR="00CE6695" w:rsidRPr="004975AA" w:rsidRDefault="00CE6695" w:rsidP="00DB6E27">
      <w:pPr>
        <w:rPr>
          <w:b/>
          <w:sz w:val="20"/>
          <w:szCs w:val="20"/>
        </w:rPr>
      </w:pPr>
      <w:r w:rsidRPr="004975AA">
        <w:rPr>
          <w:rFonts w:eastAsia="Times New Roman"/>
          <w:b/>
        </w:rPr>
        <w:lastRenderedPageBreak/>
        <w:t>Evropský systém centrálních bank (ESCB):</w:t>
      </w:r>
    </w:p>
    <w:p w14:paraId="4A6F50D0" w14:textId="77777777" w:rsidR="00CE6695" w:rsidRPr="00FC3B7C" w:rsidRDefault="00CE6695" w:rsidP="00C569A6">
      <w:pPr>
        <w:ind w:firstLine="720"/>
        <w:rPr>
          <w:rFonts w:eastAsia="Times New Roman"/>
          <w:szCs w:val="24"/>
        </w:rPr>
      </w:pPr>
      <w:r w:rsidRPr="00FC3B7C">
        <w:rPr>
          <w:rFonts w:eastAsia="Times New Roman"/>
          <w:szCs w:val="24"/>
        </w:rPr>
        <w:t>Evropský systém centrálních bank je stejně jako ECB trvalou institucí, jež vznikla v závěrečné etapě měnové unie. Skládá se z ECB a z centrálních bank všech členských států EU. Na rozdíl od ECB a národních centrálních bank nemá ESCB právní subjektivitu.</w:t>
      </w:r>
    </w:p>
    <w:p w14:paraId="4A6F50D1" w14:textId="77777777" w:rsidR="00CE6695" w:rsidRPr="004975AA" w:rsidRDefault="00CE6695" w:rsidP="00DB6E27">
      <w:pPr>
        <w:rPr>
          <w:b/>
          <w:sz w:val="20"/>
          <w:szCs w:val="20"/>
        </w:rPr>
      </w:pPr>
      <w:r w:rsidRPr="004975AA">
        <w:rPr>
          <w:rFonts w:eastAsia="Times New Roman"/>
          <w:b/>
        </w:rPr>
        <w:t>ESCB je postaven na několika principech:</w:t>
      </w:r>
    </w:p>
    <w:p w14:paraId="4A6F50D2" w14:textId="77777777" w:rsidR="00CE6695" w:rsidRPr="00FC3B7C" w:rsidRDefault="00CE6695" w:rsidP="00D46B53">
      <w:pPr>
        <w:numPr>
          <w:ilvl w:val="0"/>
          <w:numId w:val="453"/>
        </w:numPr>
        <w:tabs>
          <w:tab w:val="left" w:pos="1000"/>
        </w:tabs>
        <w:ind w:left="1000" w:hanging="360"/>
        <w:rPr>
          <w:rFonts w:eastAsia="Arial"/>
          <w:szCs w:val="24"/>
        </w:rPr>
      </w:pPr>
      <w:r w:rsidRPr="00FC3B7C">
        <w:rPr>
          <w:rFonts w:eastAsia="Times New Roman"/>
          <w:szCs w:val="24"/>
        </w:rPr>
        <w:t>Zajištění stability cen, jakožto prioritního cíle</w:t>
      </w:r>
    </w:p>
    <w:p w14:paraId="4A6F50D3" w14:textId="77777777" w:rsidR="00CE6695" w:rsidRPr="00FC3B7C" w:rsidRDefault="00CE6695" w:rsidP="00D46B53">
      <w:pPr>
        <w:numPr>
          <w:ilvl w:val="0"/>
          <w:numId w:val="453"/>
        </w:numPr>
        <w:tabs>
          <w:tab w:val="left" w:pos="1000"/>
        </w:tabs>
        <w:ind w:left="1000" w:hanging="360"/>
        <w:rPr>
          <w:rFonts w:eastAsia="Arial"/>
          <w:szCs w:val="24"/>
        </w:rPr>
      </w:pPr>
      <w:r w:rsidRPr="00FC3B7C">
        <w:rPr>
          <w:rFonts w:eastAsia="Times New Roman"/>
          <w:szCs w:val="24"/>
        </w:rPr>
        <w:t>Podpory základní ekonomické politiky EU</w:t>
      </w:r>
    </w:p>
    <w:p w14:paraId="4A6F50D4" w14:textId="77777777" w:rsidR="00CE6695" w:rsidRPr="00FC3B7C" w:rsidRDefault="00CE6695" w:rsidP="00D46B53">
      <w:pPr>
        <w:numPr>
          <w:ilvl w:val="0"/>
          <w:numId w:val="453"/>
        </w:numPr>
        <w:tabs>
          <w:tab w:val="left" w:pos="1000"/>
        </w:tabs>
        <w:ind w:left="1000" w:hanging="360"/>
        <w:rPr>
          <w:rFonts w:eastAsia="Arial"/>
          <w:szCs w:val="24"/>
        </w:rPr>
      </w:pPr>
      <w:r w:rsidRPr="00FC3B7C">
        <w:rPr>
          <w:rFonts w:eastAsia="Times New Roman"/>
          <w:szCs w:val="24"/>
        </w:rPr>
        <w:t>Nedělitelnost měnové politiky</w:t>
      </w:r>
    </w:p>
    <w:p w14:paraId="4A6F50D5" w14:textId="77777777" w:rsidR="00CE6695" w:rsidRPr="00FC3B7C" w:rsidRDefault="00CE6695" w:rsidP="00D46B53">
      <w:pPr>
        <w:numPr>
          <w:ilvl w:val="0"/>
          <w:numId w:val="453"/>
        </w:numPr>
        <w:tabs>
          <w:tab w:val="left" w:pos="1000"/>
        </w:tabs>
        <w:ind w:left="1000" w:hanging="360"/>
        <w:rPr>
          <w:rFonts w:eastAsia="Arial"/>
          <w:szCs w:val="24"/>
        </w:rPr>
      </w:pPr>
      <w:r w:rsidRPr="00FC3B7C">
        <w:rPr>
          <w:rFonts w:eastAsia="Times New Roman"/>
          <w:szCs w:val="24"/>
        </w:rPr>
        <w:t>Federalismus a subsidiarita</w:t>
      </w:r>
    </w:p>
    <w:p w14:paraId="4A6F50D6" w14:textId="77777777" w:rsidR="00CE6695" w:rsidRPr="00FC3B7C" w:rsidRDefault="00CE6695" w:rsidP="00D46B53">
      <w:pPr>
        <w:numPr>
          <w:ilvl w:val="0"/>
          <w:numId w:val="453"/>
        </w:numPr>
        <w:tabs>
          <w:tab w:val="left" w:pos="1000"/>
        </w:tabs>
        <w:ind w:left="1000" w:hanging="360"/>
        <w:rPr>
          <w:rFonts w:eastAsia="Arial"/>
          <w:szCs w:val="24"/>
        </w:rPr>
      </w:pPr>
      <w:r w:rsidRPr="00FC3B7C">
        <w:rPr>
          <w:rFonts w:eastAsia="Times New Roman"/>
          <w:szCs w:val="24"/>
        </w:rPr>
        <w:t>Nezávislost a odpovědnost</w:t>
      </w:r>
    </w:p>
    <w:p w14:paraId="4A6F50D7" w14:textId="77777777" w:rsidR="00CE6695" w:rsidRPr="00FC3B7C" w:rsidRDefault="00CE6695" w:rsidP="00D46B53">
      <w:pPr>
        <w:numPr>
          <w:ilvl w:val="0"/>
          <w:numId w:val="453"/>
        </w:numPr>
        <w:tabs>
          <w:tab w:val="left" w:pos="1000"/>
        </w:tabs>
        <w:ind w:left="1000" w:hanging="360"/>
        <w:rPr>
          <w:rFonts w:eastAsia="Arial"/>
          <w:szCs w:val="24"/>
        </w:rPr>
      </w:pPr>
      <w:r w:rsidRPr="00FC3B7C">
        <w:rPr>
          <w:rFonts w:eastAsia="Times New Roman"/>
          <w:szCs w:val="24"/>
        </w:rPr>
        <w:t>Hlavní cílem je cenová stabilita</w:t>
      </w:r>
    </w:p>
    <w:p w14:paraId="4A6F50D8" w14:textId="77777777" w:rsidR="00CE6695" w:rsidRPr="00FC3B7C" w:rsidRDefault="00CE6695" w:rsidP="00DB6E27">
      <w:pPr>
        <w:rPr>
          <w:sz w:val="20"/>
          <w:szCs w:val="20"/>
        </w:rPr>
      </w:pPr>
    </w:p>
    <w:p w14:paraId="4A6F50D9" w14:textId="77777777" w:rsidR="00CE6695" w:rsidRPr="004975AA" w:rsidRDefault="00CE6695" w:rsidP="00DB6E27">
      <w:pPr>
        <w:rPr>
          <w:b/>
          <w:sz w:val="20"/>
          <w:szCs w:val="20"/>
        </w:rPr>
      </w:pPr>
      <w:r w:rsidRPr="004975AA">
        <w:rPr>
          <w:rFonts w:eastAsia="Times New Roman"/>
          <w:b/>
        </w:rPr>
        <w:t>Evropská investiční banka:</w:t>
      </w:r>
    </w:p>
    <w:p w14:paraId="4A6F50DA" w14:textId="77777777" w:rsidR="00CE6695" w:rsidRPr="00FC3B7C" w:rsidRDefault="00CE6695" w:rsidP="00C569A6">
      <w:pPr>
        <w:ind w:firstLine="720"/>
        <w:rPr>
          <w:rFonts w:eastAsia="Times New Roman"/>
          <w:szCs w:val="24"/>
        </w:rPr>
      </w:pPr>
      <w:r w:rsidRPr="00FC3B7C">
        <w:rPr>
          <w:rFonts w:eastAsia="Times New Roman"/>
          <w:szCs w:val="24"/>
        </w:rPr>
        <w:t>Byla založena roku 1958 a jejím cílem je střednědobé a dlouhodobé spolufinancování kapitálových investic, čímž podporuje rozvoj v zemích EU. Finanční prostředky EIB neproudí z EU. Je autonomní orán, který na neziskové bázi podporuje některá odvětví, zejména infrastrukturu, technologie, telekomunikaci a další. Prezidentem EIB je Werner Hoyer.</w:t>
      </w:r>
    </w:p>
    <w:p w14:paraId="4A6F50DB" w14:textId="77777777" w:rsidR="00CE6695" w:rsidRPr="00244BB9" w:rsidRDefault="00CE6695" w:rsidP="00DB6E27">
      <w:pPr>
        <w:rPr>
          <w:sz w:val="20"/>
          <w:szCs w:val="20"/>
        </w:rPr>
      </w:pPr>
    </w:p>
    <w:p w14:paraId="4A6F50DC" w14:textId="77777777" w:rsidR="00CE6695" w:rsidRPr="00244BB9" w:rsidRDefault="00CE6695" w:rsidP="00DB6E27">
      <w:pPr>
        <w:rPr>
          <w:b/>
          <w:sz w:val="20"/>
          <w:szCs w:val="20"/>
        </w:rPr>
      </w:pPr>
      <w:r w:rsidRPr="00244BB9">
        <w:rPr>
          <w:rFonts w:eastAsia="Times New Roman"/>
          <w:b/>
        </w:rPr>
        <w:t>Přijímání Eura v členských zemích:</w:t>
      </w:r>
    </w:p>
    <w:p w14:paraId="4A6F50DD" w14:textId="77777777" w:rsidR="00CE6695" w:rsidRPr="00FC3B7C" w:rsidRDefault="00CE6695" w:rsidP="00D46B53">
      <w:pPr>
        <w:numPr>
          <w:ilvl w:val="0"/>
          <w:numId w:val="454"/>
        </w:numPr>
        <w:tabs>
          <w:tab w:val="left" w:pos="1000"/>
        </w:tabs>
        <w:ind w:left="1000" w:hanging="360"/>
        <w:rPr>
          <w:rFonts w:eastAsia="Arial"/>
          <w:szCs w:val="24"/>
        </w:rPr>
      </w:pPr>
      <w:r w:rsidRPr="00244BB9">
        <w:rPr>
          <w:rFonts w:eastAsia="Times New Roman"/>
          <w:b/>
          <w:bCs/>
          <w:szCs w:val="24"/>
        </w:rPr>
        <w:t xml:space="preserve">1999 </w:t>
      </w:r>
      <w:r w:rsidRPr="00244BB9">
        <w:rPr>
          <w:rFonts w:eastAsia="Times New Roman"/>
          <w:szCs w:val="24"/>
        </w:rPr>
        <w:t>Německo, Francie, Irsko, Itálie</w:t>
      </w:r>
      <w:r w:rsidRPr="00FC3B7C">
        <w:rPr>
          <w:rFonts w:eastAsia="Times New Roman"/>
          <w:szCs w:val="24"/>
        </w:rPr>
        <w:t>, Finsko, Rakousko,</w:t>
      </w:r>
      <w:r w:rsidRPr="00FC3B7C">
        <w:rPr>
          <w:rFonts w:eastAsia="Times New Roman"/>
          <w:b/>
          <w:bCs/>
          <w:szCs w:val="24"/>
        </w:rPr>
        <w:t xml:space="preserve"> </w:t>
      </w:r>
      <w:r w:rsidRPr="00FC3B7C">
        <w:rPr>
          <w:rFonts w:eastAsia="Times New Roman"/>
          <w:szCs w:val="24"/>
        </w:rPr>
        <w:t>Španělsko, Portugalsko,</w:t>
      </w:r>
      <w:r w:rsidRPr="00FC3B7C">
        <w:rPr>
          <w:rFonts w:eastAsia="Times New Roman"/>
          <w:b/>
          <w:bCs/>
          <w:szCs w:val="24"/>
        </w:rPr>
        <w:t xml:space="preserve"> </w:t>
      </w:r>
      <w:r w:rsidRPr="00FC3B7C">
        <w:rPr>
          <w:rFonts w:eastAsia="Times New Roman"/>
          <w:szCs w:val="24"/>
        </w:rPr>
        <w:t>Belgie, Nizozemsko, Lucembursko (Řecko nesplnilo konvergenční kritéria, Velká Británie a Dánsko dostaly výjimku)</w:t>
      </w:r>
    </w:p>
    <w:p w14:paraId="4A6F50DE" w14:textId="46808B65" w:rsidR="00CE6695" w:rsidRPr="00FC3B7C" w:rsidRDefault="00CE6695" w:rsidP="00D46B53">
      <w:pPr>
        <w:numPr>
          <w:ilvl w:val="0"/>
          <w:numId w:val="454"/>
        </w:numPr>
        <w:tabs>
          <w:tab w:val="left" w:pos="1000"/>
        </w:tabs>
        <w:ind w:left="1000" w:hanging="360"/>
        <w:rPr>
          <w:rFonts w:eastAsia="Arial"/>
          <w:szCs w:val="24"/>
        </w:rPr>
      </w:pPr>
      <w:r w:rsidRPr="00FC3B7C">
        <w:rPr>
          <w:rFonts w:eastAsia="Times New Roman"/>
          <w:b/>
          <w:bCs/>
          <w:szCs w:val="24"/>
        </w:rPr>
        <w:t xml:space="preserve">2001 </w:t>
      </w:r>
      <w:r w:rsidRPr="00FC3B7C">
        <w:rPr>
          <w:rFonts w:eastAsia="Times New Roman"/>
          <w:szCs w:val="24"/>
        </w:rPr>
        <w:t>Řecko;</w:t>
      </w:r>
      <w:r w:rsidRPr="00FC3B7C">
        <w:rPr>
          <w:rFonts w:eastAsia="Times New Roman"/>
          <w:b/>
          <w:bCs/>
          <w:szCs w:val="24"/>
        </w:rPr>
        <w:t xml:space="preserve"> 2007 </w:t>
      </w:r>
      <w:r w:rsidRPr="00FC3B7C">
        <w:rPr>
          <w:rFonts w:eastAsia="Times New Roman"/>
          <w:szCs w:val="24"/>
        </w:rPr>
        <w:t>Slovinsko;</w:t>
      </w:r>
      <w:r w:rsidRPr="00FC3B7C">
        <w:rPr>
          <w:rFonts w:eastAsia="Times New Roman"/>
          <w:b/>
          <w:bCs/>
          <w:szCs w:val="24"/>
        </w:rPr>
        <w:t xml:space="preserve"> 2008 </w:t>
      </w:r>
      <w:r w:rsidRPr="00FC3B7C">
        <w:rPr>
          <w:rFonts w:eastAsia="Times New Roman"/>
          <w:szCs w:val="24"/>
        </w:rPr>
        <w:t>Kypr, Malta;</w:t>
      </w:r>
      <w:r w:rsidRPr="00FC3B7C">
        <w:rPr>
          <w:rFonts w:eastAsia="Times New Roman"/>
          <w:b/>
          <w:bCs/>
          <w:szCs w:val="24"/>
        </w:rPr>
        <w:t xml:space="preserve"> 2009 </w:t>
      </w:r>
      <w:r w:rsidRPr="00FC3B7C">
        <w:rPr>
          <w:rFonts w:eastAsia="Times New Roman"/>
          <w:szCs w:val="24"/>
        </w:rPr>
        <w:t>Slovensko;</w:t>
      </w:r>
      <w:r w:rsidRPr="00FC3B7C">
        <w:rPr>
          <w:rFonts w:eastAsia="Times New Roman"/>
          <w:b/>
          <w:bCs/>
          <w:szCs w:val="24"/>
        </w:rPr>
        <w:t xml:space="preserve"> 2011 </w:t>
      </w:r>
      <w:r w:rsidRPr="00FC3B7C">
        <w:rPr>
          <w:rFonts w:eastAsia="Times New Roman"/>
          <w:szCs w:val="24"/>
        </w:rPr>
        <w:t>Estonsko;</w:t>
      </w:r>
      <w:r w:rsidRPr="00FC3B7C">
        <w:rPr>
          <w:rFonts w:eastAsia="Times New Roman"/>
          <w:b/>
          <w:bCs/>
          <w:szCs w:val="24"/>
        </w:rPr>
        <w:t xml:space="preserve"> 2014 </w:t>
      </w:r>
      <w:r w:rsidRPr="00FC3B7C">
        <w:rPr>
          <w:rFonts w:eastAsia="Times New Roman"/>
          <w:szCs w:val="24"/>
        </w:rPr>
        <w:t>Lotyšsko;</w:t>
      </w:r>
      <w:r w:rsidRPr="00FC3B7C">
        <w:rPr>
          <w:rFonts w:eastAsia="Times New Roman"/>
          <w:b/>
          <w:bCs/>
          <w:szCs w:val="24"/>
        </w:rPr>
        <w:t xml:space="preserve"> 2015 </w:t>
      </w:r>
      <w:r w:rsidR="002902A0">
        <w:rPr>
          <w:rFonts w:eastAsia="Times New Roman"/>
          <w:szCs w:val="24"/>
        </w:rPr>
        <w:t>Litva</w:t>
      </w:r>
    </w:p>
    <w:p w14:paraId="4A6F50DF" w14:textId="77777777" w:rsidR="00CE6695" w:rsidRPr="00FC3B7C" w:rsidRDefault="00CE6695" w:rsidP="00CE6695"/>
    <w:p w14:paraId="4A6F50E0" w14:textId="6A0B6AFC" w:rsidR="00CE6695" w:rsidRPr="00FC3B7C" w:rsidRDefault="00D453CE" w:rsidP="00CE6695">
      <w:pPr>
        <w:pStyle w:val="Nadpis3"/>
        <w:rPr>
          <w:rFonts w:cs="Times New Roman"/>
          <w:sz w:val="20"/>
          <w:szCs w:val="20"/>
        </w:rPr>
      </w:pPr>
      <w:r>
        <w:rPr>
          <w:rFonts w:eastAsia="Times New Roman" w:cs="Times New Roman"/>
        </w:rPr>
        <w:t xml:space="preserve"> </w:t>
      </w:r>
      <w:r w:rsidR="00CE6695" w:rsidRPr="00D453CE">
        <w:rPr>
          <w:rFonts w:eastAsia="Times New Roman" w:cs="Times New Roman"/>
          <w:color w:val="1F3864" w:themeColor="accent1" w:themeShade="80"/>
        </w:rPr>
        <w:t>Přínosy měnové unie</w:t>
      </w:r>
    </w:p>
    <w:p w14:paraId="4A6F50E1" w14:textId="77777777" w:rsidR="00CE6695" w:rsidRPr="00627599" w:rsidRDefault="00CE6695" w:rsidP="00DB6E27">
      <w:pPr>
        <w:rPr>
          <w:b/>
          <w:sz w:val="20"/>
          <w:szCs w:val="20"/>
        </w:rPr>
      </w:pPr>
      <w:r w:rsidRPr="00627599">
        <w:rPr>
          <w:rFonts w:eastAsia="Times New Roman"/>
          <w:b/>
        </w:rPr>
        <w:t>Mikroekonomické:</w:t>
      </w:r>
    </w:p>
    <w:p w14:paraId="4A6F50E2" w14:textId="3DE6EDE7" w:rsidR="00CE6695" w:rsidRPr="00FC3B7C" w:rsidRDefault="00C569A6" w:rsidP="00D46B53">
      <w:pPr>
        <w:numPr>
          <w:ilvl w:val="0"/>
          <w:numId w:val="455"/>
        </w:numPr>
        <w:tabs>
          <w:tab w:val="left" w:pos="1000"/>
        </w:tabs>
        <w:ind w:left="1000" w:hanging="360"/>
        <w:rPr>
          <w:rFonts w:eastAsia="Arial"/>
          <w:szCs w:val="24"/>
        </w:rPr>
      </w:pPr>
      <w:r>
        <w:rPr>
          <w:rFonts w:eastAsia="Times New Roman"/>
          <w:szCs w:val="24"/>
        </w:rPr>
        <w:t>O</w:t>
      </w:r>
      <w:r w:rsidR="00CE6695" w:rsidRPr="00FC3B7C">
        <w:rPr>
          <w:rFonts w:eastAsia="Times New Roman"/>
          <w:szCs w:val="24"/>
        </w:rPr>
        <w:t>dstranění transakčních nákladů spojených s konverzí měn</w:t>
      </w:r>
    </w:p>
    <w:p w14:paraId="4A6F50E3" w14:textId="6E83F4DE" w:rsidR="00CE6695" w:rsidRPr="00FC3B7C" w:rsidRDefault="00C569A6" w:rsidP="00D46B53">
      <w:pPr>
        <w:numPr>
          <w:ilvl w:val="0"/>
          <w:numId w:val="455"/>
        </w:numPr>
        <w:tabs>
          <w:tab w:val="left" w:pos="1000"/>
        </w:tabs>
        <w:ind w:left="1000" w:hanging="360"/>
        <w:rPr>
          <w:rFonts w:eastAsia="Arial"/>
          <w:szCs w:val="24"/>
        </w:rPr>
      </w:pPr>
      <w:r>
        <w:rPr>
          <w:rFonts w:eastAsia="Times New Roman"/>
          <w:szCs w:val="24"/>
        </w:rPr>
        <w:t>O</w:t>
      </w:r>
      <w:r w:rsidR="00CE6695" w:rsidRPr="00FC3B7C">
        <w:rPr>
          <w:rFonts w:eastAsia="Times New Roman"/>
          <w:szCs w:val="24"/>
        </w:rPr>
        <w:t>dstranění kurzového rizika (exportéři a importéři se nemusí obávat náhlé změny kurzu, která jim přináší nečekané ztráty či zisky)</w:t>
      </w:r>
    </w:p>
    <w:p w14:paraId="4A6F50E4" w14:textId="11075C18" w:rsidR="00CE6695" w:rsidRPr="00FC3B7C" w:rsidRDefault="00C569A6" w:rsidP="00D46B53">
      <w:pPr>
        <w:numPr>
          <w:ilvl w:val="0"/>
          <w:numId w:val="455"/>
        </w:numPr>
        <w:tabs>
          <w:tab w:val="left" w:pos="1000"/>
        </w:tabs>
        <w:ind w:left="1000" w:hanging="360"/>
        <w:rPr>
          <w:rFonts w:eastAsia="Arial"/>
          <w:szCs w:val="24"/>
        </w:rPr>
      </w:pPr>
      <w:r>
        <w:rPr>
          <w:rFonts w:eastAsia="Times New Roman"/>
          <w:szCs w:val="24"/>
        </w:rPr>
        <w:t>O</w:t>
      </w:r>
      <w:r w:rsidR="00CE6695" w:rsidRPr="00FC3B7C">
        <w:rPr>
          <w:rFonts w:eastAsia="Times New Roman"/>
          <w:szCs w:val="24"/>
        </w:rPr>
        <w:t>dstranění kurzových spekulací</w:t>
      </w:r>
    </w:p>
    <w:p w14:paraId="4A6F50E5" w14:textId="4C295147" w:rsidR="00CE6695" w:rsidRPr="00DB6E27" w:rsidRDefault="00C569A6" w:rsidP="00D46B53">
      <w:pPr>
        <w:numPr>
          <w:ilvl w:val="0"/>
          <w:numId w:val="455"/>
        </w:numPr>
        <w:tabs>
          <w:tab w:val="left" w:pos="1000"/>
        </w:tabs>
        <w:ind w:left="1000" w:hanging="360"/>
        <w:rPr>
          <w:rFonts w:eastAsia="Arial"/>
          <w:szCs w:val="24"/>
        </w:rPr>
      </w:pPr>
      <w:r>
        <w:rPr>
          <w:rFonts w:eastAsia="Times New Roman"/>
          <w:szCs w:val="24"/>
        </w:rPr>
        <w:t>R</w:t>
      </w:r>
      <w:r w:rsidR="00CE6695" w:rsidRPr="00DB6E27">
        <w:rPr>
          <w:rFonts w:eastAsia="Times New Roman"/>
          <w:szCs w:val="24"/>
        </w:rPr>
        <w:t>ozvoj vzájemného obchodu a přeshraničních investic</w:t>
      </w:r>
    </w:p>
    <w:p w14:paraId="4A6F50E6" w14:textId="2A7F05C7" w:rsidR="00CE6695" w:rsidRPr="00DB6E27" w:rsidRDefault="00C569A6" w:rsidP="00D46B53">
      <w:pPr>
        <w:numPr>
          <w:ilvl w:val="0"/>
          <w:numId w:val="455"/>
        </w:numPr>
        <w:tabs>
          <w:tab w:val="left" w:pos="1000"/>
        </w:tabs>
        <w:ind w:left="1000" w:hanging="360"/>
        <w:rPr>
          <w:rFonts w:eastAsia="Arial"/>
          <w:szCs w:val="24"/>
        </w:rPr>
      </w:pPr>
      <w:r>
        <w:rPr>
          <w:rFonts w:eastAsia="Times New Roman"/>
          <w:szCs w:val="24"/>
        </w:rPr>
        <w:t>P</w:t>
      </w:r>
      <w:r w:rsidR="00CE6695" w:rsidRPr="00DB6E27">
        <w:rPr>
          <w:rFonts w:eastAsia="Times New Roman"/>
          <w:szCs w:val="24"/>
        </w:rPr>
        <w:t>rohloubení finančních a kapitálových trhů</w:t>
      </w:r>
    </w:p>
    <w:p w14:paraId="4A6F50E7" w14:textId="2AB21F20" w:rsidR="00CE6695" w:rsidRPr="00FC3B7C" w:rsidRDefault="00C569A6" w:rsidP="00D46B53">
      <w:pPr>
        <w:numPr>
          <w:ilvl w:val="0"/>
          <w:numId w:val="455"/>
        </w:numPr>
        <w:tabs>
          <w:tab w:val="left" w:pos="1000"/>
        </w:tabs>
        <w:ind w:left="1000" w:hanging="360"/>
        <w:rPr>
          <w:rFonts w:eastAsia="Arial"/>
          <w:szCs w:val="24"/>
        </w:rPr>
      </w:pPr>
      <w:r>
        <w:rPr>
          <w:rFonts w:eastAsia="Times New Roman"/>
          <w:szCs w:val="24"/>
        </w:rPr>
        <w:t>T</w:t>
      </w:r>
      <w:r w:rsidR="00CE6695" w:rsidRPr="00FC3B7C">
        <w:rPr>
          <w:rFonts w:eastAsia="Times New Roman"/>
          <w:szCs w:val="24"/>
        </w:rPr>
        <w:t>ransparentní a srovnatelné ceny v eurozóně posilují konkurenční prostředí</w:t>
      </w:r>
    </w:p>
    <w:p w14:paraId="4A6F50E8" w14:textId="77777777" w:rsidR="00CE6695" w:rsidRPr="00627599" w:rsidRDefault="00CE6695" w:rsidP="00DB6E27">
      <w:pPr>
        <w:rPr>
          <w:b/>
          <w:sz w:val="20"/>
          <w:szCs w:val="20"/>
        </w:rPr>
      </w:pPr>
      <w:r w:rsidRPr="00627599">
        <w:rPr>
          <w:rFonts w:eastAsia="Times New Roman"/>
          <w:b/>
        </w:rPr>
        <w:lastRenderedPageBreak/>
        <w:t>Makroekonomické:</w:t>
      </w:r>
    </w:p>
    <w:p w14:paraId="4A6F50E9" w14:textId="3492681F" w:rsidR="00CE6695" w:rsidRPr="00FC3B7C" w:rsidRDefault="00C569A6" w:rsidP="00D46B53">
      <w:pPr>
        <w:numPr>
          <w:ilvl w:val="0"/>
          <w:numId w:val="456"/>
        </w:numPr>
        <w:tabs>
          <w:tab w:val="left" w:pos="1000"/>
        </w:tabs>
        <w:ind w:left="1000" w:hanging="360"/>
        <w:rPr>
          <w:rFonts w:eastAsia="Arial"/>
          <w:szCs w:val="24"/>
        </w:rPr>
      </w:pPr>
      <w:r>
        <w:rPr>
          <w:rFonts w:eastAsia="Times New Roman"/>
          <w:szCs w:val="24"/>
        </w:rPr>
        <w:t>S</w:t>
      </w:r>
      <w:r w:rsidR="00CE6695" w:rsidRPr="00FC3B7C">
        <w:rPr>
          <w:rFonts w:eastAsia="Times New Roman"/>
          <w:szCs w:val="24"/>
        </w:rPr>
        <w:t>nížení míry inflace (snížily se cenové rozdíly mezi zeměmi eurozóny, sblížily se dlouhodobé IR)</w:t>
      </w:r>
    </w:p>
    <w:p w14:paraId="4A6F50EA" w14:textId="7EA2A662" w:rsidR="00CE6695" w:rsidRPr="00FC3B7C" w:rsidRDefault="00C569A6" w:rsidP="00D46B53">
      <w:pPr>
        <w:numPr>
          <w:ilvl w:val="0"/>
          <w:numId w:val="456"/>
        </w:numPr>
        <w:tabs>
          <w:tab w:val="left" w:pos="1000"/>
        </w:tabs>
        <w:ind w:left="1000" w:hanging="360"/>
        <w:rPr>
          <w:rFonts w:eastAsia="Arial"/>
          <w:szCs w:val="24"/>
        </w:rPr>
      </w:pPr>
      <w:r>
        <w:rPr>
          <w:rFonts w:eastAsia="Times New Roman"/>
          <w:szCs w:val="24"/>
        </w:rPr>
        <w:t>S</w:t>
      </w:r>
      <w:r w:rsidR="00CE6695" w:rsidRPr="00FC3B7C">
        <w:rPr>
          <w:rFonts w:eastAsia="Times New Roman"/>
          <w:szCs w:val="24"/>
        </w:rPr>
        <w:t>tabilizace veřejných financí</w:t>
      </w:r>
    </w:p>
    <w:p w14:paraId="4A6F50EE" w14:textId="28E2416A" w:rsidR="00CE6695" w:rsidRPr="00C569A6" w:rsidRDefault="00C569A6" w:rsidP="00D46B53">
      <w:pPr>
        <w:numPr>
          <w:ilvl w:val="0"/>
          <w:numId w:val="456"/>
        </w:numPr>
        <w:tabs>
          <w:tab w:val="left" w:pos="1000"/>
        </w:tabs>
        <w:ind w:left="1000" w:hanging="360"/>
        <w:rPr>
          <w:rFonts w:eastAsia="Arial"/>
          <w:szCs w:val="24"/>
        </w:rPr>
      </w:pPr>
      <w:r>
        <w:rPr>
          <w:rFonts w:eastAsia="Times New Roman"/>
          <w:szCs w:val="24"/>
        </w:rPr>
        <w:t>P</w:t>
      </w:r>
      <w:r w:rsidR="00CE6695" w:rsidRPr="00FC3B7C">
        <w:rPr>
          <w:rFonts w:eastAsia="Times New Roman"/>
          <w:szCs w:val="24"/>
        </w:rPr>
        <w:t>osílena váha EU ve světě - euro se stalo vedle amerického dolaru, britské libry, japonského jenu a švýcarského franku světovou měnou</w:t>
      </w:r>
    </w:p>
    <w:p w14:paraId="4A6F50EF" w14:textId="77777777" w:rsidR="00CE6695" w:rsidRPr="00FC3B7C" w:rsidRDefault="00CE6695" w:rsidP="00CE6695">
      <w:pPr>
        <w:ind w:left="440"/>
        <w:rPr>
          <w:sz w:val="20"/>
          <w:szCs w:val="20"/>
        </w:rPr>
      </w:pPr>
    </w:p>
    <w:p w14:paraId="4A6F50F0" w14:textId="42B50BBE" w:rsidR="00CE6695" w:rsidRPr="00FC3B7C" w:rsidRDefault="00C569A6" w:rsidP="00CE6695">
      <w:pPr>
        <w:pStyle w:val="Nadpis3"/>
        <w:rPr>
          <w:rFonts w:cs="Times New Roman"/>
          <w:sz w:val="20"/>
          <w:szCs w:val="20"/>
        </w:rPr>
      </w:pPr>
      <w:r>
        <w:rPr>
          <w:rFonts w:eastAsia="Times New Roman" w:cs="Times New Roman"/>
        </w:rPr>
        <w:t xml:space="preserve"> </w:t>
      </w:r>
      <w:r w:rsidR="00CE6695" w:rsidRPr="0070178B">
        <w:rPr>
          <w:rFonts w:eastAsia="Times New Roman" w:cs="Times New Roman"/>
          <w:color w:val="1F3864" w:themeColor="accent1" w:themeShade="80"/>
        </w:rPr>
        <w:t>Negativa měnové unie</w:t>
      </w:r>
    </w:p>
    <w:p w14:paraId="4A6F50F1" w14:textId="074CE7F1" w:rsidR="00CE6695" w:rsidRDefault="00CE6695" w:rsidP="00C569A6">
      <w:pPr>
        <w:ind w:firstLine="576"/>
        <w:rPr>
          <w:rFonts w:eastAsia="Times New Roman"/>
          <w:sz w:val="23"/>
          <w:szCs w:val="23"/>
        </w:rPr>
      </w:pPr>
      <w:r w:rsidRPr="00FC3B7C">
        <w:rPr>
          <w:rFonts w:eastAsia="Times New Roman"/>
          <w:b/>
          <w:bCs/>
          <w:sz w:val="23"/>
          <w:szCs w:val="23"/>
        </w:rPr>
        <w:t xml:space="preserve">Ztráta nástrojů MP pro členské země eurozóny - </w:t>
      </w:r>
      <w:r w:rsidRPr="00FC3B7C">
        <w:rPr>
          <w:rFonts w:eastAsia="Times New Roman"/>
          <w:sz w:val="23"/>
          <w:szCs w:val="23"/>
        </w:rPr>
        <w:t>riziko,</w:t>
      </w:r>
      <w:r w:rsidRPr="00FC3B7C">
        <w:rPr>
          <w:rFonts w:eastAsia="Times New Roman"/>
          <w:b/>
          <w:bCs/>
          <w:sz w:val="23"/>
          <w:szCs w:val="23"/>
        </w:rPr>
        <w:t xml:space="preserve"> </w:t>
      </w:r>
      <w:r w:rsidRPr="00FC3B7C">
        <w:rPr>
          <w:rFonts w:eastAsia="Times New Roman"/>
          <w:sz w:val="23"/>
          <w:szCs w:val="23"/>
        </w:rPr>
        <w:t>že se prohloubí ekonomické rozdíly</w:t>
      </w:r>
      <w:r w:rsidRPr="00FC3B7C">
        <w:rPr>
          <w:rFonts w:eastAsia="Times New Roman"/>
          <w:b/>
          <w:bCs/>
          <w:sz w:val="23"/>
          <w:szCs w:val="23"/>
        </w:rPr>
        <w:t xml:space="preserve"> </w:t>
      </w:r>
      <w:r w:rsidRPr="00FC3B7C">
        <w:rPr>
          <w:rFonts w:eastAsia="Times New Roman"/>
          <w:sz w:val="23"/>
          <w:szCs w:val="23"/>
        </w:rPr>
        <w:t xml:space="preserve">mezi zeměmi - u méně vyspělých zemí může docházet k přehřívání ekonomiky, růstu cenové hladiny -&gt; potřebovaly by vyšší úrokové sazby (naopak vyspělejší země nižší úrokové sazby). </w:t>
      </w:r>
      <w:r w:rsidRPr="00FC3B7C">
        <w:rPr>
          <w:rFonts w:eastAsia="Times New Roman"/>
          <w:b/>
          <w:bCs/>
          <w:sz w:val="23"/>
          <w:szCs w:val="23"/>
        </w:rPr>
        <w:t xml:space="preserve">Riziko asymetrického šoku </w:t>
      </w:r>
      <w:r w:rsidRPr="00FC3B7C">
        <w:rPr>
          <w:rFonts w:eastAsia="Times New Roman"/>
          <w:sz w:val="23"/>
          <w:szCs w:val="23"/>
        </w:rPr>
        <w:t>– na země</w:t>
      </w:r>
      <w:r w:rsidRPr="00FC3B7C">
        <w:rPr>
          <w:rFonts w:eastAsia="Times New Roman"/>
          <w:b/>
          <w:bCs/>
          <w:sz w:val="23"/>
          <w:szCs w:val="23"/>
        </w:rPr>
        <w:t xml:space="preserve"> </w:t>
      </w:r>
      <w:r w:rsidRPr="00FC3B7C">
        <w:rPr>
          <w:rFonts w:eastAsia="Times New Roman"/>
          <w:sz w:val="23"/>
          <w:szCs w:val="23"/>
        </w:rPr>
        <w:t>lišící se v odvětvové struktuře dopadne</w:t>
      </w:r>
      <w:r w:rsidRPr="00FC3B7C">
        <w:rPr>
          <w:rFonts w:eastAsia="Times New Roman"/>
          <w:b/>
          <w:bCs/>
          <w:sz w:val="23"/>
          <w:szCs w:val="23"/>
        </w:rPr>
        <w:t xml:space="preserve"> </w:t>
      </w:r>
      <w:r w:rsidRPr="00FC3B7C">
        <w:rPr>
          <w:rFonts w:eastAsia="Times New Roman"/>
          <w:sz w:val="23"/>
          <w:szCs w:val="23"/>
        </w:rPr>
        <w:t>šok rozdílným</w:t>
      </w:r>
      <w:r w:rsidRPr="00FC3B7C">
        <w:rPr>
          <w:rFonts w:eastAsia="Times New Roman"/>
          <w:b/>
          <w:bCs/>
          <w:sz w:val="23"/>
          <w:szCs w:val="23"/>
        </w:rPr>
        <w:t xml:space="preserve"> </w:t>
      </w:r>
      <w:r w:rsidRPr="00FC3B7C">
        <w:rPr>
          <w:rFonts w:eastAsia="Times New Roman"/>
          <w:sz w:val="23"/>
          <w:szCs w:val="23"/>
        </w:rPr>
        <w:t>způsobem - intenzivněji postižené země nemají možnost se vnějšímu šoku bránit nástroji MP. Na otázku, zda jsou ekonomické přínosy větší než náklady, nelze jednoznačně odpovědět,</w:t>
      </w:r>
      <w:r w:rsidR="00C569A6">
        <w:rPr>
          <w:rFonts w:eastAsia="Times New Roman"/>
          <w:sz w:val="23"/>
          <w:szCs w:val="23"/>
        </w:rPr>
        <w:t xml:space="preserve"> </w:t>
      </w:r>
      <w:r w:rsidRPr="00FC3B7C">
        <w:rPr>
          <w:rFonts w:eastAsia="Times New Roman"/>
          <w:sz w:val="23"/>
          <w:szCs w:val="23"/>
        </w:rPr>
        <w:t>mnohé</w:t>
      </w:r>
      <w:r w:rsidR="003376E1">
        <w:rPr>
          <w:rFonts w:eastAsia="Times New Roman"/>
          <w:sz w:val="23"/>
          <w:szCs w:val="23"/>
        </w:rPr>
        <w:t xml:space="preserve"> </w:t>
      </w:r>
      <w:r w:rsidRPr="00FC3B7C">
        <w:rPr>
          <w:rFonts w:eastAsia="Times New Roman"/>
          <w:sz w:val="23"/>
          <w:szCs w:val="23"/>
        </w:rPr>
        <w:t>z nich totiž nelze přesně kvantifikovat. Euro se zatím nestalo podnětem pro strukturální reformy</w:t>
      </w:r>
      <w:r w:rsidR="003376E1">
        <w:rPr>
          <w:rFonts w:eastAsia="Times New Roman"/>
          <w:sz w:val="23"/>
          <w:szCs w:val="23"/>
        </w:rPr>
        <w:t xml:space="preserve"> </w:t>
      </w:r>
      <w:r w:rsidRPr="00FC3B7C">
        <w:rPr>
          <w:rFonts w:eastAsia="Times New Roman"/>
          <w:sz w:val="23"/>
          <w:szCs w:val="23"/>
        </w:rPr>
        <w:t>a neposílilo ekonomický růst EU (2003 EK: nepodařilo se přejít od makroekonomické stability k dynamické ekonomice). Má se však za to, že v dlouhém období výhody převažují, avšak až v době probíhající recese se ukáže, jak je projekt společné měny úspěšný</w:t>
      </w:r>
      <w:r w:rsidR="00DB6E27">
        <w:rPr>
          <w:rFonts w:eastAsia="Times New Roman"/>
          <w:sz w:val="23"/>
          <w:szCs w:val="23"/>
        </w:rPr>
        <w:t>.</w:t>
      </w:r>
    </w:p>
    <w:p w14:paraId="4A6F50F2" w14:textId="77777777" w:rsidR="00DB6E27" w:rsidRDefault="00DB6E27" w:rsidP="00DB6E27">
      <w:pPr>
        <w:rPr>
          <w:rFonts w:eastAsia="Times New Roman"/>
          <w:sz w:val="23"/>
          <w:szCs w:val="23"/>
        </w:rPr>
      </w:pPr>
    </w:p>
    <w:p w14:paraId="4A6F50F3" w14:textId="04CBC247" w:rsidR="00CE6695" w:rsidRPr="00D453CE" w:rsidRDefault="00CE6695" w:rsidP="00CE6695">
      <w:pPr>
        <w:pStyle w:val="Nadpis2"/>
        <w:rPr>
          <w:rFonts w:cs="Times New Roman"/>
          <w:b w:val="0"/>
          <w:color w:val="1F3864" w:themeColor="accent1" w:themeShade="80"/>
          <w:sz w:val="20"/>
          <w:szCs w:val="20"/>
        </w:rPr>
      </w:pPr>
      <w:bookmarkStart w:id="429" w:name="page443"/>
      <w:bookmarkStart w:id="430" w:name="page444"/>
      <w:bookmarkEnd w:id="429"/>
      <w:bookmarkEnd w:id="430"/>
      <w:r w:rsidRPr="00D453CE">
        <w:rPr>
          <w:rFonts w:cs="Times New Roman"/>
          <w:color w:val="1F3864" w:themeColor="accent1" w:themeShade="80"/>
        </w:rPr>
        <w:t>SMLOUVA</w:t>
      </w:r>
      <w:r w:rsidR="003376E1">
        <w:rPr>
          <w:rFonts w:cs="Times New Roman"/>
          <w:color w:val="1F3864" w:themeColor="accent1" w:themeShade="80"/>
        </w:rPr>
        <w:t xml:space="preserve"> </w:t>
      </w:r>
      <w:r w:rsidRPr="00D453CE">
        <w:rPr>
          <w:rFonts w:cs="Times New Roman"/>
          <w:color w:val="1F3864" w:themeColor="accent1" w:themeShade="80"/>
        </w:rPr>
        <w:t>O</w:t>
      </w:r>
      <w:r w:rsidR="003376E1">
        <w:rPr>
          <w:rFonts w:cs="Times New Roman"/>
          <w:color w:val="1F3864" w:themeColor="accent1" w:themeShade="80"/>
        </w:rPr>
        <w:t xml:space="preserve"> </w:t>
      </w:r>
      <w:r w:rsidRPr="00D453CE">
        <w:rPr>
          <w:rFonts w:cs="Times New Roman"/>
          <w:color w:val="1F3864" w:themeColor="accent1" w:themeShade="80"/>
        </w:rPr>
        <w:t>ÚSTAVĚ</w:t>
      </w:r>
      <w:r w:rsidR="003376E1">
        <w:rPr>
          <w:rFonts w:cs="Times New Roman"/>
          <w:color w:val="1F3864" w:themeColor="accent1" w:themeShade="80"/>
        </w:rPr>
        <w:t xml:space="preserve"> </w:t>
      </w:r>
      <w:r w:rsidRPr="00D453CE">
        <w:rPr>
          <w:rFonts w:cs="Times New Roman"/>
          <w:color w:val="1F3864" w:themeColor="accent1" w:themeShade="80"/>
        </w:rPr>
        <w:t>PRO</w:t>
      </w:r>
      <w:r w:rsidR="003376E1">
        <w:rPr>
          <w:rFonts w:cs="Times New Roman"/>
          <w:color w:val="1F3864" w:themeColor="accent1" w:themeShade="80"/>
        </w:rPr>
        <w:t xml:space="preserve"> </w:t>
      </w:r>
      <w:r w:rsidRPr="00D453CE">
        <w:rPr>
          <w:rFonts w:cs="Times New Roman"/>
          <w:color w:val="1F3864" w:themeColor="accent1" w:themeShade="80"/>
        </w:rPr>
        <w:t>EVROPU</w:t>
      </w:r>
      <w:r w:rsidR="003376E1">
        <w:rPr>
          <w:rFonts w:cs="Times New Roman"/>
          <w:color w:val="1F3864" w:themeColor="accent1" w:themeShade="80"/>
        </w:rPr>
        <w:t xml:space="preserve"> </w:t>
      </w:r>
      <w:r w:rsidRPr="00D453CE">
        <w:rPr>
          <w:rFonts w:cs="Times New Roman"/>
          <w:color w:val="1F3864" w:themeColor="accent1" w:themeShade="80"/>
        </w:rPr>
        <w:t>(EVROPSKÁ</w:t>
      </w:r>
      <w:r w:rsidRPr="00D453CE">
        <w:rPr>
          <w:rFonts w:cs="Times New Roman"/>
          <w:color w:val="1F3864" w:themeColor="accent1" w:themeShade="80"/>
          <w:sz w:val="20"/>
          <w:szCs w:val="20"/>
        </w:rPr>
        <w:t xml:space="preserve"> </w:t>
      </w:r>
      <w:r w:rsidRPr="00D453CE">
        <w:rPr>
          <w:rFonts w:cs="Times New Roman"/>
          <w:color w:val="1F3864" w:themeColor="accent1" w:themeShade="80"/>
        </w:rPr>
        <w:t>ÚSTAVNÍ SMLOUVA)</w:t>
      </w:r>
    </w:p>
    <w:p w14:paraId="4A6F50F4" w14:textId="77777777" w:rsidR="00CE6695" w:rsidRPr="00FC3B7C" w:rsidRDefault="00CE6695" w:rsidP="00CE6695">
      <w:pPr>
        <w:spacing w:line="232" w:lineRule="exact"/>
        <w:rPr>
          <w:sz w:val="20"/>
          <w:szCs w:val="20"/>
        </w:rPr>
      </w:pPr>
    </w:p>
    <w:p w14:paraId="4A6F50F5" w14:textId="77777777" w:rsidR="00CE6695" w:rsidRPr="00FC3B7C" w:rsidRDefault="00CE6695" w:rsidP="00C569A6">
      <w:pPr>
        <w:ind w:firstLine="576"/>
        <w:rPr>
          <w:rFonts w:eastAsia="Times New Roman"/>
          <w:szCs w:val="24"/>
        </w:rPr>
      </w:pPr>
      <w:r w:rsidRPr="00FC3B7C">
        <w:rPr>
          <w:rFonts w:eastAsia="Times New Roman"/>
          <w:szCs w:val="24"/>
        </w:rPr>
        <w:t>Návrh smlouvy předložil Konvent o budoucnosti Evropy v červenci 2003. V říjnu 2003 byla smlouva hlavním tématem Mezivládní konference. V prosinci 2003 měla být schválena na summitu EU, který skončil fiaskem. V roce 2005 byla odmítnuta v referendu ve Francii a v Nizozemí -&gt; ratifikace tedy už nebyla možná. V roce 2007 byl návrh evropské ústavy definitivně zrušen.</w:t>
      </w:r>
    </w:p>
    <w:p w14:paraId="4A6F50F6" w14:textId="77777777" w:rsidR="00CE6695" w:rsidRPr="00FC3B7C" w:rsidRDefault="00CE6695" w:rsidP="00D512F8">
      <w:pPr>
        <w:rPr>
          <w:sz w:val="20"/>
          <w:szCs w:val="20"/>
        </w:rPr>
      </w:pPr>
    </w:p>
    <w:p w14:paraId="4A6F50F7" w14:textId="77777777" w:rsidR="00CE6695" w:rsidRPr="00627599" w:rsidRDefault="00CE6695" w:rsidP="00D512F8">
      <w:pPr>
        <w:rPr>
          <w:b/>
          <w:sz w:val="20"/>
          <w:szCs w:val="20"/>
        </w:rPr>
      </w:pPr>
      <w:r w:rsidRPr="00627599">
        <w:rPr>
          <w:rFonts w:eastAsia="Times New Roman"/>
          <w:b/>
        </w:rPr>
        <w:t>Cíle:</w:t>
      </w:r>
    </w:p>
    <w:p w14:paraId="4A6F50F8" w14:textId="77777777" w:rsidR="00CE6695" w:rsidRPr="00FC3B7C" w:rsidRDefault="00CE6695" w:rsidP="00D46B53">
      <w:pPr>
        <w:numPr>
          <w:ilvl w:val="0"/>
          <w:numId w:val="457"/>
        </w:numPr>
        <w:tabs>
          <w:tab w:val="left" w:pos="1000"/>
        </w:tabs>
        <w:ind w:left="1000" w:hanging="360"/>
        <w:rPr>
          <w:rFonts w:eastAsia="Arial"/>
          <w:szCs w:val="24"/>
        </w:rPr>
      </w:pPr>
      <w:r w:rsidRPr="00FC3B7C">
        <w:rPr>
          <w:rFonts w:eastAsia="Times New Roman"/>
          <w:szCs w:val="24"/>
        </w:rPr>
        <w:t>Snaha nahradit systém smluv jediným právním předpisem a vytvořit z EU organizaci s jedinou právní subjektivitou</w:t>
      </w:r>
    </w:p>
    <w:p w14:paraId="4A6F50F9" w14:textId="77777777" w:rsidR="00CE6695" w:rsidRPr="00FC3B7C" w:rsidRDefault="00CE6695" w:rsidP="00D46B53">
      <w:pPr>
        <w:numPr>
          <w:ilvl w:val="0"/>
          <w:numId w:val="457"/>
        </w:numPr>
        <w:tabs>
          <w:tab w:val="left" w:pos="1000"/>
        </w:tabs>
        <w:ind w:left="1000" w:hanging="360"/>
        <w:rPr>
          <w:rFonts w:eastAsia="Arial"/>
          <w:szCs w:val="24"/>
        </w:rPr>
      </w:pPr>
      <w:r w:rsidRPr="00FC3B7C">
        <w:rPr>
          <w:rFonts w:eastAsia="Times New Roman"/>
          <w:szCs w:val="24"/>
        </w:rPr>
        <w:t>Jasné vymezení pravomocí EU</w:t>
      </w:r>
    </w:p>
    <w:p w14:paraId="4A6F50FA" w14:textId="77777777" w:rsidR="00CE6695" w:rsidRPr="00FC3B7C" w:rsidRDefault="00CE6695" w:rsidP="00D46B53">
      <w:pPr>
        <w:numPr>
          <w:ilvl w:val="0"/>
          <w:numId w:val="457"/>
        </w:numPr>
        <w:tabs>
          <w:tab w:val="left" w:pos="1000"/>
        </w:tabs>
        <w:ind w:left="1000" w:hanging="360"/>
        <w:rPr>
          <w:rFonts w:eastAsia="Arial"/>
          <w:szCs w:val="24"/>
        </w:rPr>
      </w:pPr>
      <w:r w:rsidRPr="00FC3B7C">
        <w:rPr>
          <w:rFonts w:eastAsia="Times New Roman"/>
          <w:szCs w:val="24"/>
        </w:rPr>
        <w:t>Nahrazení systému smluv jediným právním předpisem</w:t>
      </w:r>
    </w:p>
    <w:p w14:paraId="4A6F50FB" w14:textId="77777777" w:rsidR="00CE6695" w:rsidRPr="00FC3B7C" w:rsidRDefault="00CE6695" w:rsidP="00D46B53">
      <w:pPr>
        <w:numPr>
          <w:ilvl w:val="0"/>
          <w:numId w:val="457"/>
        </w:numPr>
        <w:tabs>
          <w:tab w:val="left" w:pos="1000"/>
        </w:tabs>
        <w:ind w:left="1000" w:hanging="360"/>
        <w:rPr>
          <w:rFonts w:eastAsia="Arial"/>
          <w:szCs w:val="24"/>
        </w:rPr>
      </w:pPr>
      <w:r w:rsidRPr="00FC3B7C">
        <w:rPr>
          <w:rFonts w:eastAsia="Times New Roman"/>
          <w:szCs w:val="24"/>
        </w:rPr>
        <w:lastRenderedPageBreak/>
        <w:t>Zajistit efektivní fungování EU bez ohledu na to, o kolik členů se v budoucnosti rozšíří.</w:t>
      </w:r>
    </w:p>
    <w:p w14:paraId="4A6F50FC" w14:textId="77777777" w:rsidR="00CE6695" w:rsidRPr="00627599" w:rsidRDefault="00CE6695" w:rsidP="00D512F8">
      <w:pPr>
        <w:rPr>
          <w:b/>
          <w:sz w:val="20"/>
          <w:szCs w:val="20"/>
        </w:rPr>
      </w:pPr>
      <w:r w:rsidRPr="00627599">
        <w:rPr>
          <w:rFonts w:eastAsia="Times New Roman"/>
          <w:b/>
        </w:rPr>
        <w:t>Obsahuje čtyři části:</w:t>
      </w:r>
    </w:p>
    <w:p w14:paraId="4A6F50FD" w14:textId="77777777" w:rsidR="00CE6695" w:rsidRPr="00FC3B7C" w:rsidRDefault="00CE6695" w:rsidP="00D512F8">
      <w:pPr>
        <w:ind w:left="280"/>
        <w:rPr>
          <w:sz w:val="20"/>
          <w:szCs w:val="20"/>
        </w:rPr>
      </w:pPr>
      <w:r w:rsidRPr="00FC3B7C">
        <w:rPr>
          <w:rFonts w:eastAsia="Times New Roman"/>
          <w:b/>
          <w:bCs/>
          <w:szCs w:val="24"/>
        </w:rPr>
        <w:t xml:space="preserve">První část </w:t>
      </w:r>
      <w:r w:rsidRPr="00FC3B7C">
        <w:rPr>
          <w:rFonts w:eastAsia="Times New Roman"/>
          <w:szCs w:val="24"/>
        </w:rPr>
        <w:t>obsahuje základní charakteristiky EU:</w:t>
      </w:r>
    </w:p>
    <w:p w14:paraId="4A6F50FE" w14:textId="77777777" w:rsidR="00CE6695" w:rsidRPr="00FC3B7C" w:rsidRDefault="00CE6695" w:rsidP="00D46B53">
      <w:pPr>
        <w:numPr>
          <w:ilvl w:val="0"/>
          <w:numId w:val="458"/>
        </w:numPr>
        <w:tabs>
          <w:tab w:val="left" w:pos="1000"/>
        </w:tabs>
        <w:ind w:left="1000" w:hanging="360"/>
        <w:rPr>
          <w:rFonts w:eastAsia="Arial"/>
          <w:szCs w:val="24"/>
        </w:rPr>
      </w:pPr>
      <w:r w:rsidRPr="00FC3B7C">
        <w:rPr>
          <w:rFonts w:eastAsia="Times New Roman"/>
          <w:szCs w:val="24"/>
        </w:rPr>
        <w:t>Právní subjektivita EU (EU může uzavírat mezinárodní dohody, nebo být zastoupena v mezinárodních institucích)</w:t>
      </w:r>
    </w:p>
    <w:p w14:paraId="4A6F50FF" w14:textId="77777777" w:rsidR="00CE6695" w:rsidRPr="00FC3B7C" w:rsidRDefault="00CE6695" w:rsidP="00D46B53">
      <w:pPr>
        <w:numPr>
          <w:ilvl w:val="0"/>
          <w:numId w:val="458"/>
        </w:numPr>
        <w:tabs>
          <w:tab w:val="left" w:pos="1000"/>
        </w:tabs>
        <w:ind w:left="1000" w:hanging="360"/>
        <w:rPr>
          <w:rFonts w:eastAsia="Arial"/>
          <w:szCs w:val="24"/>
        </w:rPr>
      </w:pPr>
      <w:r w:rsidRPr="00FC3B7C">
        <w:rPr>
          <w:rFonts w:eastAsia="Times New Roman"/>
          <w:szCs w:val="24"/>
        </w:rPr>
        <w:t>Rozdělení kompetencí mezi EU a členské státy (exkluzivní, sdílené kompetence)</w:t>
      </w:r>
    </w:p>
    <w:p w14:paraId="4A6F5100" w14:textId="77777777" w:rsidR="00CE6695" w:rsidRPr="00FC3B7C" w:rsidRDefault="00CE6695" w:rsidP="00D46B53">
      <w:pPr>
        <w:numPr>
          <w:ilvl w:val="0"/>
          <w:numId w:val="458"/>
        </w:numPr>
        <w:tabs>
          <w:tab w:val="left" w:pos="1000"/>
        </w:tabs>
        <w:ind w:left="1000" w:hanging="360"/>
        <w:rPr>
          <w:rFonts w:eastAsia="Arial"/>
          <w:szCs w:val="24"/>
        </w:rPr>
      </w:pPr>
      <w:r w:rsidRPr="00FC3B7C">
        <w:rPr>
          <w:rFonts w:eastAsia="Times New Roman"/>
          <w:szCs w:val="24"/>
        </w:rPr>
        <w:t>Reforma institucí:</w:t>
      </w:r>
    </w:p>
    <w:p w14:paraId="4A6F5101" w14:textId="77777777" w:rsidR="00CE6695" w:rsidRPr="00FC3B7C" w:rsidRDefault="00CE6695" w:rsidP="00D46B53">
      <w:pPr>
        <w:numPr>
          <w:ilvl w:val="0"/>
          <w:numId w:val="459"/>
        </w:numPr>
        <w:tabs>
          <w:tab w:val="left" w:pos="1440"/>
        </w:tabs>
        <w:ind w:left="1440" w:hanging="364"/>
        <w:rPr>
          <w:rFonts w:eastAsia="Courier New"/>
          <w:szCs w:val="24"/>
        </w:rPr>
      </w:pPr>
      <w:r w:rsidRPr="00FC3B7C">
        <w:rPr>
          <w:rFonts w:eastAsia="Times New Roman"/>
          <w:szCs w:val="24"/>
        </w:rPr>
        <w:t>Nové pozice prezidenta, ministra zahraničí EU</w:t>
      </w:r>
    </w:p>
    <w:p w14:paraId="4A6F5102" w14:textId="77777777" w:rsidR="00CE6695" w:rsidRPr="00FC3B7C" w:rsidRDefault="00CE6695" w:rsidP="00D46B53">
      <w:pPr>
        <w:numPr>
          <w:ilvl w:val="0"/>
          <w:numId w:val="460"/>
        </w:numPr>
        <w:tabs>
          <w:tab w:val="left" w:pos="1440"/>
        </w:tabs>
        <w:ind w:left="1440" w:hanging="364"/>
        <w:rPr>
          <w:rFonts w:eastAsia="Courier New"/>
          <w:szCs w:val="24"/>
        </w:rPr>
      </w:pPr>
      <w:r w:rsidRPr="00FC3B7C">
        <w:rPr>
          <w:rFonts w:eastAsia="Times New Roman"/>
          <w:szCs w:val="24"/>
        </w:rPr>
        <w:t>Komise by měla mít maximálně 15 členů</w:t>
      </w:r>
    </w:p>
    <w:p w14:paraId="4A6F5103" w14:textId="77777777" w:rsidR="00CE6695" w:rsidRPr="00FC3B7C" w:rsidRDefault="00CE6695" w:rsidP="00D46B53">
      <w:pPr>
        <w:numPr>
          <w:ilvl w:val="0"/>
          <w:numId w:val="461"/>
        </w:numPr>
        <w:tabs>
          <w:tab w:val="left" w:pos="1440"/>
        </w:tabs>
        <w:ind w:left="1440" w:hanging="364"/>
        <w:rPr>
          <w:rFonts w:eastAsia="Courier New"/>
          <w:szCs w:val="24"/>
        </w:rPr>
      </w:pPr>
      <w:r w:rsidRPr="00FC3B7C">
        <w:rPr>
          <w:rFonts w:eastAsia="Times New Roman"/>
          <w:szCs w:val="24"/>
        </w:rPr>
        <w:t>Dvojí většina (50% členských států, které představují 60% obyvatel unie)</w:t>
      </w:r>
    </w:p>
    <w:p w14:paraId="4A6F5104" w14:textId="77777777" w:rsidR="00CE6695" w:rsidRPr="00FC3B7C" w:rsidRDefault="00CE6695" w:rsidP="00D512F8">
      <w:pPr>
        <w:ind w:left="284"/>
        <w:rPr>
          <w:sz w:val="20"/>
          <w:szCs w:val="20"/>
        </w:rPr>
      </w:pPr>
      <w:r w:rsidRPr="00FC3B7C">
        <w:rPr>
          <w:rFonts w:eastAsia="Times New Roman"/>
          <w:b/>
          <w:bCs/>
        </w:rPr>
        <w:t xml:space="preserve">Druhou část </w:t>
      </w:r>
      <w:r w:rsidRPr="00FC3B7C">
        <w:rPr>
          <w:rFonts w:eastAsia="Times New Roman"/>
        </w:rPr>
        <w:t>tvoří Charta základních práv EU</w:t>
      </w:r>
    </w:p>
    <w:p w14:paraId="4A6F5105" w14:textId="77777777" w:rsidR="00CE6695" w:rsidRPr="00FC3B7C" w:rsidRDefault="00CE6695" w:rsidP="00D512F8">
      <w:pPr>
        <w:ind w:left="284"/>
        <w:rPr>
          <w:sz w:val="20"/>
          <w:szCs w:val="20"/>
        </w:rPr>
      </w:pPr>
      <w:r w:rsidRPr="00FC3B7C">
        <w:rPr>
          <w:rFonts w:eastAsia="Times New Roman"/>
          <w:b/>
          <w:bCs/>
        </w:rPr>
        <w:t xml:space="preserve">Třetí část </w:t>
      </w:r>
      <w:r w:rsidRPr="00FC3B7C">
        <w:rPr>
          <w:rFonts w:eastAsia="Times New Roman"/>
        </w:rPr>
        <w:t>popisuje fungování EU:</w:t>
      </w:r>
    </w:p>
    <w:p w14:paraId="4A6F5106" w14:textId="77777777" w:rsidR="00CE6695" w:rsidRPr="00FC3B7C" w:rsidRDefault="00CE6695" w:rsidP="00D46B53">
      <w:pPr>
        <w:numPr>
          <w:ilvl w:val="0"/>
          <w:numId w:val="462"/>
        </w:numPr>
        <w:tabs>
          <w:tab w:val="left" w:pos="1000"/>
        </w:tabs>
        <w:ind w:left="1000" w:hanging="360"/>
        <w:rPr>
          <w:rFonts w:eastAsia="Arial"/>
          <w:szCs w:val="24"/>
        </w:rPr>
      </w:pPr>
      <w:r w:rsidRPr="00FC3B7C">
        <w:rPr>
          <w:rFonts w:eastAsia="Times New Roman"/>
          <w:szCs w:val="24"/>
        </w:rPr>
        <w:t>Nejobsáhlejší část, přebírá nebo mírně upravuje řadu článků ze zakladatelských smluv.</w:t>
      </w:r>
    </w:p>
    <w:p w14:paraId="4A6F5107" w14:textId="77777777" w:rsidR="00CE6695" w:rsidRPr="00FC3B7C" w:rsidRDefault="00CE6695" w:rsidP="00D46B53">
      <w:pPr>
        <w:numPr>
          <w:ilvl w:val="0"/>
          <w:numId w:val="462"/>
        </w:numPr>
        <w:tabs>
          <w:tab w:val="left" w:pos="1000"/>
        </w:tabs>
        <w:ind w:left="1000" w:hanging="360"/>
        <w:rPr>
          <w:rFonts w:eastAsia="Arial"/>
          <w:szCs w:val="24"/>
        </w:rPr>
      </w:pPr>
      <w:r w:rsidRPr="00FC3B7C">
        <w:rPr>
          <w:rFonts w:eastAsia="Times New Roman"/>
          <w:szCs w:val="24"/>
        </w:rPr>
        <w:t>Upřesňuje, které evropské orgány mají při výkonu dané politiky působit, jaké legislativní nástroje mají v konkrétních oblastech zvolit a za použití kterých</w:t>
      </w:r>
    </w:p>
    <w:p w14:paraId="4A6F5108" w14:textId="77777777" w:rsidR="00CE6695" w:rsidRPr="00FC3B7C" w:rsidRDefault="00CE6695" w:rsidP="00D512F8">
      <w:pPr>
        <w:ind w:left="1000"/>
        <w:rPr>
          <w:sz w:val="20"/>
          <w:szCs w:val="20"/>
        </w:rPr>
      </w:pPr>
      <w:bookmarkStart w:id="431" w:name="page445"/>
      <w:bookmarkEnd w:id="431"/>
      <w:r w:rsidRPr="00FC3B7C">
        <w:rPr>
          <w:rFonts w:eastAsia="Times New Roman"/>
          <w:szCs w:val="24"/>
        </w:rPr>
        <w:t>rozhodovacích procedur je přijímat (především otázka jednomyslného nebo většinového rozhodování).</w:t>
      </w:r>
    </w:p>
    <w:p w14:paraId="4A6F5109" w14:textId="77777777" w:rsidR="00CE6695" w:rsidRPr="00FC3B7C" w:rsidRDefault="00CE6695" w:rsidP="00D46B53">
      <w:pPr>
        <w:numPr>
          <w:ilvl w:val="0"/>
          <w:numId w:val="463"/>
        </w:numPr>
        <w:tabs>
          <w:tab w:val="left" w:pos="1000"/>
        </w:tabs>
        <w:ind w:left="1000" w:hanging="360"/>
        <w:rPr>
          <w:rFonts w:eastAsia="Arial"/>
          <w:sz w:val="23"/>
          <w:szCs w:val="23"/>
        </w:rPr>
      </w:pPr>
      <w:r w:rsidRPr="00FC3B7C">
        <w:rPr>
          <w:rFonts w:eastAsia="Times New Roman"/>
          <w:sz w:val="23"/>
          <w:szCs w:val="23"/>
        </w:rPr>
        <w:t>U většiny politik je aplikována spolurozhodovací procedura, návrh je schválen, pokud se na něm shodla Rada kvalifikovanou většinou a parlament prostou většinou.</w:t>
      </w:r>
    </w:p>
    <w:p w14:paraId="4A6F510A" w14:textId="77777777" w:rsidR="00CE6695" w:rsidRPr="00FC3B7C" w:rsidRDefault="00CE6695" w:rsidP="00D46B53">
      <w:pPr>
        <w:numPr>
          <w:ilvl w:val="0"/>
          <w:numId w:val="463"/>
        </w:numPr>
        <w:tabs>
          <w:tab w:val="left" w:pos="1000"/>
        </w:tabs>
        <w:ind w:left="1000" w:hanging="360"/>
        <w:rPr>
          <w:rFonts w:eastAsia="Arial"/>
          <w:szCs w:val="24"/>
        </w:rPr>
      </w:pPr>
      <w:r w:rsidRPr="00FC3B7C">
        <w:rPr>
          <w:rFonts w:eastAsia="Times New Roman"/>
          <w:szCs w:val="24"/>
        </w:rPr>
        <w:t>U citlivých politik zachováno jednomyslné rozhodování Rady (zahraniční, bezpečnostní politika, daňové a sociální otázky).</w:t>
      </w:r>
    </w:p>
    <w:p w14:paraId="4A6F510B" w14:textId="77777777" w:rsidR="00CE6695" w:rsidRPr="00FC3B7C" w:rsidRDefault="00CE6695" w:rsidP="00D512F8">
      <w:pPr>
        <w:ind w:left="280"/>
        <w:rPr>
          <w:sz w:val="20"/>
          <w:szCs w:val="20"/>
        </w:rPr>
      </w:pPr>
      <w:r w:rsidRPr="00FC3B7C">
        <w:rPr>
          <w:rFonts w:eastAsia="Times New Roman"/>
          <w:b/>
          <w:bCs/>
          <w:szCs w:val="24"/>
        </w:rPr>
        <w:t xml:space="preserve">Čtvrtou část </w:t>
      </w:r>
      <w:r w:rsidRPr="00FC3B7C">
        <w:rPr>
          <w:rFonts w:eastAsia="Times New Roman"/>
          <w:szCs w:val="24"/>
        </w:rPr>
        <w:t>tvoří obecná a závěrečná ustanovení:</w:t>
      </w:r>
    </w:p>
    <w:p w14:paraId="4A6F510C" w14:textId="77777777" w:rsidR="00CE6695" w:rsidRPr="00FC3B7C" w:rsidRDefault="00CE6695" w:rsidP="00D46B53">
      <w:pPr>
        <w:numPr>
          <w:ilvl w:val="0"/>
          <w:numId w:val="464"/>
        </w:numPr>
        <w:tabs>
          <w:tab w:val="left" w:pos="1000"/>
        </w:tabs>
        <w:ind w:left="1000" w:hanging="360"/>
        <w:rPr>
          <w:rFonts w:eastAsia="Arial"/>
          <w:szCs w:val="24"/>
        </w:rPr>
      </w:pPr>
      <w:r w:rsidRPr="00FC3B7C">
        <w:rPr>
          <w:rFonts w:eastAsia="Times New Roman"/>
          <w:szCs w:val="24"/>
        </w:rPr>
        <w:t>Symboly EU, postupy při změně ústavy, stanovuje postup ratifikace smlouvy</w:t>
      </w:r>
    </w:p>
    <w:p w14:paraId="5787D524" w14:textId="77777777" w:rsidR="00C569A6" w:rsidRDefault="00C569A6" w:rsidP="00D512F8">
      <w:pPr>
        <w:rPr>
          <w:rFonts w:eastAsia="Times New Roman"/>
          <w:szCs w:val="24"/>
        </w:rPr>
      </w:pPr>
    </w:p>
    <w:p w14:paraId="4A6F510E" w14:textId="5314387C" w:rsidR="00562370" w:rsidRDefault="00CE6695" w:rsidP="00D512F8">
      <w:pPr>
        <w:rPr>
          <w:rFonts w:eastAsia="Times New Roman"/>
          <w:szCs w:val="24"/>
        </w:rPr>
      </w:pPr>
      <w:r w:rsidRPr="00FC3B7C">
        <w:rPr>
          <w:rFonts w:eastAsia="Times New Roman"/>
          <w:szCs w:val="24"/>
        </w:rPr>
        <w:t>Poté co byla jednání přerušena a od schválení Smlouvy o ústavě pro Evropu se ustoupilo, vznikla nová reformní tzv. Lisabonská smlouva.</w:t>
      </w:r>
    </w:p>
    <w:p w14:paraId="4A6F510F" w14:textId="77777777" w:rsidR="00562370" w:rsidRPr="00FC3B7C" w:rsidRDefault="00562370" w:rsidP="00D512F8">
      <w:pPr>
        <w:rPr>
          <w:sz w:val="20"/>
          <w:szCs w:val="20"/>
        </w:rPr>
      </w:pPr>
    </w:p>
    <w:p w14:paraId="4A6F5110" w14:textId="77777777" w:rsidR="00CE6695" w:rsidRPr="00D453CE" w:rsidRDefault="00CE6695" w:rsidP="00CE6695">
      <w:pPr>
        <w:pStyle w:val="Nadpis2"/>
        <w:rPr>
          <w:rFonts w:cs="Times New Roman"/>
          <w:b w:val="0"/>
          <w:color w:val="1F3864" w:themeColor="accent1" w:themeShade="80"/>
          <w:sz w:val="20"/>
          <w:szCs w:val="20"/>
        </w:rPr>
      </w:pPr>
      <w:r w:rsidRPr="00D453CE">
        <w:rPr>
          <w:rFonts w:cs="Times New Roman"/>
          <w:color w:val="1F3864" w:themeColor="accent1" w:themeShade="80"/>
        </w:rPr>
        <w:t>LISABONSKÁ SMLOUVA</w:t>
      </w:r>
    </w:p>
    <w:p w14:paraId="4A6F5111" w14:textId="1A660210" w:rsidR="00CE6695" w:rsidRPr="00FC3B7C" w:rsidRDefault="00CE6695" w:rsidP="00D512F8">
      <w:pPr>
        <w:rPr>
          <w:sz w:val="20"/>
          <w:szCs w:val="20"/>
        </w:rPr>
      </w:pPr>
      <w:r w:rsidRPr="00FC3B7C">
        <w:rPr>
          <w:rFonts w:eastAsia="Times New Roman"/>
        </w:rPr>
        <w:t>Podepsána:</w:t>
      </w:r>
      <w:r w:rsidR="003376E1">
        <w:rPr>
          <w:rFonts w:eastAsia="Times New Roman"/>
        </w:rPr>
        <w:t xml:space="preserve"> </w:t>
      </w:r>
      <w:r w:rsidRPr="00FC3B7C">
        <w:rPr>
          <w:rFonts w:eastAsia="Times New Roman"/>
        </w:rPr>
        <w:t>13.</w:t>
      </w:r>
      <w:r w:rsidR="003376E1">
        <w:rPr>
          <w:rFonts w:eastAsia="Times New Roman"/>
        </w:rPr>
        <w:t xml:space="preserve"> </w:t>
      </w:r>
      <w:r w:rsidRPr="00FC3B7C">
        <w:rPr>
          <w:rFonts w:eastAsia="Times New Roman"/>
        </w:rPr>
        <w:t>prosince</w:t>
      </w:r>
      <w:r w:rsidR="003376E1">
        <w:rPr>
          <w:rFonts w:eastAsia="Times New Roman"/>
        </w:rPr>
        <w:t xml:space="preserve"> </w:t>
      </w:r>
      <w:r w:rsidRPr="00FC3B7C">
        <w:rPr>
          <w:rFonts w:eastAsia="Times New Roman"/>
        </w:rPr>
        <w:t>2007</w:t>
      </w:r>
      <w:r w:rsidR="003376E1">
        <w:rPr>
          <w:rFonts w:eastAsia="Times New Roman"/>
        </w:rPr>
        <w:t xml:space="preserve"> </w:t>
      </w:r>
      <w:r w:rsidRPr="00FC3B7C">
        <w:rPr>
          <w:rFonts w:eastAsia="Times New Roman"/>
        </w:rPr>
        <w:t>v</w:t>
      </w:r>
      <w:r w:rsidR="003376E1">
        <w:rPr>
          <w:rFonts w:eastAsia="Times New Roman"/>
        </w:rPr>
        <w:t xml:space="preserve"> </w:t>
      </w:r>
      <w:r w:rsidRPr="00FC3B7C">
        <w:rPr>
          <w:rFonts w:eastAsia="Times New Roman"/>
        </w:rPr>
        <w:t>Lisabonu.</w:t>
      </w:r>
      <w:r w:rsidR="003376E1">
        <w:rPr>
          <w:rFonts w:eastAsia="Times New Roman"/>
        </w:rPr>
        <w:t xml:space="preserve"> </w:t>
      </w:r>
      <w:r w:rsidRPr="00FC3B7C">
        <w:rPr>
          <w:rFonts w:eastAsia="Times New Roman"/>
        </w:rPr>
        <w:t>Ratifikována:</w:t>
      </w:r>
      <w:r w:rsidR="003376E1">
        <w:rPr>
          <w:rFonts w:eastAsia="Times New Roman"/>
        </w:rPr>
        <w:t xml:space="preserve"> </w:t>
      </w:r>
      <w:r w:rsidRPr="00FC3B7C">
        <w:rPr>
          <w:rFonts w:eastAsia="Times New Roman"/>
        </w:rPr>
        <w:t>3.</w:t>
      </w:r>
      <w:r w:rsidR="003376E1">
        <w:rPr>
          <w:rFonts w:eastAsia="Times New Roman"/>
        </w:rPr>
        <w:t xml:space="preserve"> </w:t>
      </w:r>
      <w:r w:rsidRPr="00FC3B7C">
        <w:rPr>
          <w:rFonts w:eastAsia="Times New Roman"/>
        </w:rPr>
        <w:t>listopadu</w:t>
      </w:r>
      <w:r w:rsidR="003376E1">
        <w:rPr>
          <w:rFonts w:eastAsia="Times New Roman"/>
        </w:rPr>
        <w:t xml:space="preserve"> </w:t>
      </w:r>
      <w:r w:rsidRPr="00FC3B7C">
        <w:rPr>
          <w:rFonts w:eastAsia="Times New Roman"/>
        </w:rPr>
        <w:t>2009.</w:t>
      </w:r>
      <w:r w:rsidR="003376E1">
        <w:rPr>
          <w:rFonts w:eastAsia="Times New Roman"/>
        </w:rPr>
        <w:t xml:space="preserve"> </w:t>
      </w:r>
      <w:r w:rsidRPr="00FC3B7C">
        <w:rPr>
          <w:rFonts w:eastAsia="Times New Roman"/>
        </w:rPr>
        <w:t>Vstoupila</w:t>
      </w:r>
      <w:r w:rsidR="003376E1">
        <w:rPr>
          <w:rFonts w:eastAsia="Times New Roman"/>
        </w:rPr>
        <w:t xml:space="preserve"> </w:t>
      </w:r>
      <w:r w:rsidRPr="00FC3B7C">
        <w:rPr>
          <w:rFonts w:eastAsia="Times New Roman"/>
        </w:rPr>
        <w:t>v</w:t>
      </w:r>
    </w:p>
    <w:p w14:paraId="4A6F5112" w14:textId="49C7DF50" w:rsidR="00CE6695" w:rsidRDefault="00CE6695" w:rsidP="00D512F8">
      <w:pPr>
        <w:rPr>
          <w:rFonts w:eastAsia="Times New Roman"/>
          <w:szCs w:val="24"/>
        </w:rPr>
      </w:pPr>
      <w:r w:rsidRPr="00FC3B7C">
        <w:rPr>
          <w:rFonts w:eastAsia="Times New Roman"/>
          <w:szCs w:val="24"/>
        </w:rPr>
        <w:t>platnost: 1. prosince 2009.</w:t>
      </w:r>
    </w:p>
    <w:p w14:paraId="13CED9FB" w14:textId="018D2477" w:rsidR="00D453CE" w:rsidRDefault="00D453CE" w:rsidP="00D512F8">
      <w:pPr>
        <w:rPr>
          <w:rFonts w:eastAsia="Times New Roman"/>
          <w:szCs w:val="24"/>
        </w:rPr>
      </w:pPr>
    </w:p>
    <w:p w14:paraId="1EBC9823" w14:textId="77777777" w:rsidR="00D453CE" w:rsidRPr="00FC3B7C" w:rsidRDefault="00D453CE" w:rsidP="00D512F8">
      <w:pPr>
        <w:rPr>
          <w:sz w:val="20"/>
          <w:szCs w:val="20"/>
        </w:rPr>
      </w:pPr>
    </w:p>
    <w:p w14:paraId="4A6F5113" w14:textId="77777777" w:rsidR="00CE6695" w:rsidRPr="00FC3B7C" w:rsidRDefault="00CE6695" w:rsidP="00CE6695">
      <w:pPr>
        <w:spacing w:line="131" w:lineRule="exact"/>
        <w:rPr>
          <w:sz w:val="20"/>
          <w:szCs w:val="20"/>
        </w:rPr>
      </w:pPr>
    </w:p>
    <w:p w14:paraId="4A6F5114" w14:textId="77777777" w:rsidR="00CE6695" w:rsidRPr="00627599" w:rsidRDefault="00CE6695" w:rsidP="00D512F8">
      <w:pPr>
        <w:rPr>
          <w:b/>
          <w:sz w:val="20"/>
          <w:szCs w:val="20"/>
        </w:rPr>
      </w:pPr>
      <w:r w:rsidRPr="00627599">
        <w:rPr>
          <w:rFonts w:eastAsia="Times New Roman"/>
          <w:b/>
        </w:rPr>
        <w:t>Upravuje 3 smlouvy:</w:t>
      </w:r>
    </w:p>
    <w:p w14:paraId="4A6F5115" w14:textId="77777777" w:rsidR="00CE6695" w:rsidRPr="00FC3B7C" w:rsidRDefault="00CE6695" w:rsidP="00D46B53">
      <w:pPr>
        <w:numPr>
          <w:ilvl w:val="0"/>
          <w:numId w:val="465"/>
        </w:numPr>
        <w:tabs>
          <w:tab w:val="left" w:pos="1000"/>
        </w:tabs>
        <w:ind w:left="1000" w:hanging="360"/>
        <w:rPr>
          <w:rFonts w:eastAsia="Times New Roman"/>
          <w:szCs w:val="24"/>
        </w:rPr>
      </w:pPr>
      <w:r w:rsidRPr="00FC3B7C">
        <w:rPr>
          <w:rFonts w:eastAsia="Times New Roman"/>
          <w:b/>
          <w:bCs/>
          <w:szCs w:val="24"/>
        </w:rPr>
        <w:t xml:space="preserve">Smlouvu o Evropské unii </w:t>
      </w:r>
      <w:r w:rsidRPr="00FC3B7C">
        <w:rPr>
          <w:rFonts w:eastAsia="Times New Roman"/>
          <w:szCs w:val="24"/>
        </w:rPr>
        <w:t>(Maastrichtská smlouva) - definuje cíle EU, vymezuje</w:t>
      </w:r>
      <w:r w:rsidRPr="00FC3B7C">
        <w:rPr>
          <w:rFonts w:eastAsia="Times New Roman"/>
          <w:b/>
          <w:bCs/>
          <w:szCs w:val="24"/>
        </w:rPr>
        <w:t xml:space="preserve"> </w:t>
      </w:r>
      <w:r w:rsidRPr="00FC3B7C">
        <w:rPr>
          <w:rFonts w:eastAsia="Times New Roman"/>
          <w:szCs w:val="24"/>
        </w:rPr>
        <w:t>pravomoci a nástroje orgánů EU, zahraniční a bezpečnostní politika, navazuje na Maastrichtskou smlouvu</w:t>
      </w:r>
    </w:p>
    <w:p w14:paraId="4A6F5116" w14:textId="77777777" w:rsidR="00CE6695" w:rsidRPr="00FC3B7C" w:rsidRDefault="00CE6695" w:rsidP="00D46B53">
      <w:pPr>
        <w:numPr>
          <w:ilvl w:val="0"/>
          <w:numId w:val="465"/>
        </w:numPr>
        <w:tabs>
          <w:tab w:val="left" w:pos="1000"/>
        </w:tabs>
        <w:ind w:left="1000" w:hanging="360"/>
        <w:rPr>
          <w:rFonts w:eastAsia="Times New Roman"/>
          <w:szCs w:val="24"/>
        </w:rPr>
      </w:pPr>
      <w:r w:rsidRPr="00FC3B7C">
        <w:rPr>
          <w:rFonts w:eastAsia="Times New Roman"/>
          <w:b/>
          <w:bCs/>
          <w:szCs w:val="24"/>
        </w:rPr>
        <w:t xml:space="preserve">Smlouvu o založení Evropského společenství </w:t>
      </w:r>
      <w:r w:rsidRPr="00FC3B7C">
        <w:rPr>
          <w:rFonts w:eastAsia="Times New Roman"/>
          <w:i/>
          <w:iCs/>
          <w:szCs w:val="24"/>
        </w:rPr>
        <w:t>(</w:t>
      </w:r>
      <w:r w:rsidRPr="00FC3B7C">
        <w:rPr>
          <w:rFonts w:eastAsia="Times New Roman"/>
          <w:szCs w:val="24"/>
        </w:rPr>
        <w:t>Římská smlouva</w:t>
      </w:r>
      <w:r w:rsidRPr="00FC3B7C">
        <w:rPr>
          <w:rFonts w:eastAsia="Times New Roman"/>
          <w:i/>
          <w:iCs/>
          <w:szCs w:val="24"/>
        </w:rPr>
        <w:t>),</w:t>
      </w:r>
      <w:r w:rsidRPr="00FC3B7C">
        <w:rPr>
          <w:rFonts w:eastAsia="Times New Roman"/>
          <w:b/>
          <w:bCs/>
          <w:szCs w:val="24"/>
        </w:rPr>
        <w:t xml:space="preserve"> </w:t>
      </w:r>
      <w:r w:rsidRPr="00FC3B7C">
        <w:rPr>
          <w:rFonts w:eastAsia="Times New Roman"/>
          <w:szCs w:val="24"/>
        </w:rPr>
        <w:t>která bude nově</w:t>
      </w:r>
      <w:r w:rsidRPr="00FC3B7C">
        <w:rPr>
          <w:rFonts w:eastAsia="Times New Roman"/>
          <w:b/>
          <w:bCs/>
          <w:szCs w:val="24"/>
        </w:rPr>
        <w:t xml:space="preserve"> </w:t>
      </w:r>
      <w:r w:rsidRPr="00FC3B7C">
        <w:rPr>
          <w:rFonts w:eastAsia="Times New Roman"/>
          <w:szCs w:val="24"/>
        </w:rPr>
        <w:t>nazývána Smlouvou o fungování Evropské unie, rozdělení pravomocí mezi EU</w:t>
      </w:r>
      <w:r w:rsidR="00D512F8">
        <w:rPr>
          <w:rFonts w:eastAsia="Times New Roman"/>
          <w:szCs w:val="24"/>
        </w:rPr>
        <w:br/>
      </w:r>
      <w:r w:rsidRPr="00FC3B7C">
        <w:rPr>
          <w:rFonts w:eastAsia="Times New Roman"/>
          <w:szCs w:val="24"/>
        </w:rPr>
        <w:t xml:space="preserve"> a členské státy, definuje politiky EU</w:t>
      </w:r>
    </w:p>
    <w:p w14:paraId="4A6F5117" w14:textId="77777777" w:rsidR="00CE6695" w:rsidRPr="00FC3B7C" w:rsidRDefault="00CE6695" w:rsidP="00D46B53">
      <w:pPr>
        <w:numPr>
          <w:ilvl w:val="0"/>
          <w:numId w:val="465"/>
        </w:numPr>
        <w:tabs>
          <w:tab w:val="left" w:pos="1000"/>
        </w:tabs>
        <w:ind w:left="1000" w:hanging="360"/>
        <w:rPr>
          <w:rFonts w:eastAsia="Times New Roman"/>
          <w:szCs w:val="24"/>
        </w:rPr>
      </w:pPr>
      <w:r w:rsidRPr="00FC3B7C">
        <w:rPr>
          <w:rFonts w:eastAsia="Times New Roman"/>
          <w:b/>
          <w:bCs/>
          <w:szCs w:val="24"/>
        </w:rPr>
        <w:t xml:space="preserve">Smlouvu o založení Evropského společenství pro atomovou energii </w:t>
      </w:r>
      <w:r w:rsidRPr="00FC3B7C">
        <w:rPr>
          <w:rFonts w:eastAsia="Times New Roman"/>
          <w:szCs w:val="24"/>
        </w:rPr>
        <w:t>(dále</w:t>
      </w:r>
      <w:r w:rsidRPr="00FC3B7C">
        <w:rPr>
          <w:rFonts w:eastAsia="Times New Roman"/>
          <w:b/>
          <w:bCs/>
          <w:szCs w:val="24"/>
        </w:rPr>
        <w:t xml:space="preserve"> </w:t>
      </w:r>
      <w:r w:rsidRPr="00FC3B7C">
        <w:rPr>
          <w:rFonts w:eastAsia="Times New Roman"/>
          <w:szCs w:val="24"/>
        </w:rPr>
        <w:t>Smlouva o Euratomu)</w:t>
      </w:r>
    </w:p>
    <w:p w14:paraId="4A6F5118" w14:textId="77777777" w:rsidR="00CE6695" w:rsidRPr="00FC3B7C" w:rsidRDefault="00CE6695" w:rsidP="00D512F8">
      <w:pPr>
        <w:rPr>
          <w:sz w:val="20"/>
          <w:szCs w:val="20"/>
        </w:rPr>
      </w:pPr>
      <w:r w:rsidRPr="00FC3B7C">
        <w:rPr>
          <w:rFonts w:eastAsia="Times New Roman"/>
          <w:b/>
          <w:bCs/>
          <w:szCs w:val="24"/>
        </w:rPr>
        <w:t xml:space="preserve">Co nového přináší Lisabonská smlouva? </w:t>
      </w:r>
      <w:r w:rsidRPr="00FC3B7C">
        <w:rPr>
          <w:rFonts w:eastAsia="Times New Roman"/>
          <w:szCs w:val="24"/>
        </w:rPr>
        <w:t>Pouze úpravy Ústavní smlouvy, obsahuje skoro</w:t>
      </w:r>
      <w:r w:rsidRPr="00FC3B7C">
        <w:rPr>
          <w:rFonts w:eastAsia="Times New Roman"/>
          <w:b/>
          <w:bCs/>
          <w:szCs w:val="24"/>
        </w:rPr>
        <w:t xml:space="preserve"> </w:t>
      </w:r>
      <w:r w:rsidRPr="00FC3B7C">
        <w:rPr>
          <w:rFonts w:eastAsia="Times New Roman"/>
          <w:szCs w:val="24"/>
        </w:rPr>
        <w:t>95% jejího textu.</w:t>
      </w:r>
    </w:p>
    <w:p w14:paraId="4A6F5119" w14:textId="77777777" w:rsidR="00CE6695" w:rsidRPr="00627599" w:rsidRDefault="00CE6695" w:rsidP="00562370">
      <w:pPr>
        <w:rPr>
          <w:b/>
          <w:sz w:val="20"/>
          <w:szCs w:val="20"/>
        </w:rPr>
      </w:pPr>
      <w:bookmarkStart w:id="432" w:name="page446"/>
      <w:bookmarkEnd w:id="432"/>
      <w:r w:rsidRPr="00627599">
        <w:rPr>
          <w:rFonts w:eastAsia="Times New Roman"/>
          <w:b/>
        </w:rPr>
        <w:t>Nové vymezení pravomocí Unie a rozdělení pravomocí mezi Unii a členské státy:</w:t>
      </w:r>
    </w:p>
    <w:p w14:paraId="4A6F511A" w14:textId="77777777" w:rsidR="00CE6695" w:rsidRPr="00FC3B7C" w:rsidRDefault="00CE6695" w:rsidP="00D46B53">
      <w:pPr>
        <w:numPr>
          <w:ilvl w:val="0"/>
          <w:numId w:val="466"/>
        </w:numPr>
        <w:tabs>
          <w:tab w:val="left" w:pos="1000"/>
        </w:tabs>
        <w:ind w:left="1000" w:hanging="360"/>
        <w:rPr>
          <w:rFonts w:eastAsia="Arial"/>
          <w:szCs w:val="24"/>
        </w:rPr>
      </w:pPr>
      <w:r w:rsidRPr="00FC3B7C">
        <w:rPr>
          <w:rFonts w:eastAsia="Times New Roman"/>
          <w:b/>
          <w:bCs/>
          <w:szCs w:val="24"/>
        </w:rPr>
        <w:t xml:space="preserve">Pravomoc výlučná: </w:t>
      </w:r>
      <w:r w:rsidRPr="00FC3B7C">
        <w:rPr>
          <w:rFonts w:eastAsia="Times New Roman"/>
          <w:szCs w:val="24"/>
        </w:rPr>
        <w:t>ve vymezených oblastech pouze Unie vydává právně</w:t>
      </w:r>
      <w:r w:rsidRPr="00FC3B7C">
        <w:rPr>
          <w:rFonts w:eastAsia="Times New Roman"/>
          <w:b/>
          <w:bCs/>
          <w:szCs w:val="24"/>
        </w:rPr>
        <w:t xml:space="preserve"> </w:t>
      </w:r>
      <w:r w:rsidRPr="00FC3B7C">
        <w:rPr>
          <w:rFonts w:eastAsia="Times New Roman"/>
          <w:szCs w:val="24"/>
        </w:rPr>
        <w:t>závazné</w:t>
      </w:r>
      <w:r w:rsidRPr="00FC3B7C">
        <w:rPr>
          <w:rFonts w:eastAsia="Times New Roman"/>
          <w:b/>
          <w:bCs/>
          <w:szCs w:val="24"/>
        </w:rPr>
        <w:t xml:space="preserve"> </w:t>
      </w:r>
      <w:r w:rsidRPr="00FC3B7C">
        <w:rPr>
          <w:rFonts w:eastAsia="Times New Roman"/>
          <w:szCs w:val="24"/>
        </w:rPr>
        <w:t>akty</w:t>
      </w:r>
    </w:p>
    <w:p w14:paraId="4A6F511B"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t>Celní unie</w:t>
      </w:r>
    </w:p>
    <w:p w14:paraId="4A6F511C"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t>Stanovování pravidel hospodářské soutěže nezbytných pro fungování vnitřního trhu</w:t>
      </w:r>
    </w:p>
    <w:p w14:paraId="4A6F511D"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t>Měnová politika pro členské státy, jejichž měnou je euro</w:t>
      </w:r>
    </w:p>
    <w:p w14:paraId="4A6F511E"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t>Zachování biologických mořských druhů v rámci společné rybářské politiky</w:t>
      </w:r>
    </w:p>
    <w:p w14:paraId="4A6F511F"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t>Společná obchodní politika</w:t>
      </w:r>
    </w:p>
    <w:p w14:paraId="4A6F5120" w14:textId="77777777" w:rsidR="00CE6695" w:rsidRPr="00FC3B7C" w:rsidRDefault="00CE6695" w:rsidP="00D46B53">
      <w:pPr>
        <w:numPr>
          <w:ilvl w:val="0"/>
          <w:numId w:val="466"/>
        </w:numPr>
        <w:tabs>
          <w:tab w:val="left" w:pos="1000"/>
        </w:tabs>
        <w:ind w:left="1000" w:hanging="360"/>
        <w:rPr>
          <w:rFonts w:eastAsia="Arial"/>
          <w:szCs w:val="24"/>
        </w:rPr>
      </w:pPr>
      <w:r w:rsidRPr="00FC3B7C">
        <w:rPr>
          <w:rFonts w:eastAsia="Times New Roman"/>
          <w:b/>
          <w:bCs/>
          <w:szCs w:val="24"/>
        </w:rPr>
        <w:t xml:space="preserve">Pravomoc sdílená: </w:t>
      </w:r>
      <w:r w:rsidRPr="00FC3B7C">
        <w:rPr>
          <w:rFonts w:eastAsia="Times New Roman"/>
          <w:szCs w:val="24"/>
        </w:rPr>
        <w:t>závazné právní akty vydávají jak</w:t>
      </w:r>
      <w:r w:rsidRPr="00FC3B7C">
        <w:rPr>
          <w:rFonts w:eastAsia="Times New Roman"/>
          <w:b/>
          <w:bCs/>
          <w:szCs w:val="24"/>
        </w:rPr>
        <w:t xml:space="preserve"> </w:t>
      </w:r>
      <w:r w:rsidRPr="00FC3B7C">
        <w:rPr>
          <w:rFonts w:eastAsia="Times New Roman"/>
          <w:szCs w:val="24"/>
        </w:rPr>
        <w:t>členské státy, tak Unie, pokud</w:t>
      </w:r>
      <w:r w:rsidRPr="00FC3B7C">
        <w:rPr>
          <w:rFonts w:eastAsia="Times New Roman"/>
          <w:b/>
          <w:bCs/>
          <w:szCs w:val="24"/>
        </w:rPr>
        <w:t xml:space="preserve"> </w:t>
      </w:r>
      <w:r w:rsidRPr="00FC3B7C">
        <w:rPr>
          <w:rFonts w:eastAsia="Times New Roman"/>
          <w:szCs w:val="24"/>
        </w:rPr>
        <w:t>jí smlouvy takovou pravomoc svěřují</w:t>
      </w:r>
    </w:p>
    <w:p w14:paraId="4A6F5121"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t>Vnitřní trh</w:t>
      </w:r>
    </w:p>
    <w:p w14:paraId="4A6F5122"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t>Sociální politika</w:t>
      </w:r>
    </w:p>
    <w:p w14:paraId="4A6F5123"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t>Hospodářská, sociální a územní soudržnost</w:t>
      </w:r>
    </w:p>
    <w:p w14:paraId="4A6F5124"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t>Zemědělství a rybolov (s výjimkou uvedenou shora)</w:t>
      </w:r>
    </w:p>
    <w:p w14:paraId="4A6F5125"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t>Životní prostředí</w:t>
      </w:r>
    </w:p>
    <w:p w14:paraId="4A6F5126"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t>Ochrana spotřebitele</w:t>
      </w:r>
    </w:p>
    <w:p w14:paraId="4A6F5127"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t>Doprava</w:t>
      </w:r>
    </w:p>
    <w:p w14:paraId="4A6F5128"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t>Transevropské sítě</w:t>
      </w:r>
    </w:p>
    <w:p w14:paraId="4A6F5129"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t>Energetika</w:t>
      </w:r>
    </w:p>
    <w:p w14:paraId="4A6F512A"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t>Prostor svobody, bezpečnosti a práva</w:t>
      </w:r>
    </w:p>
    <w:p w14:paraId="4A6F512B"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t>Společné otázky bezpečnosti v otázkách veřejného zdraví</w:t>
      </w:r>
    </w:p>
    <w:p w14:paraId="4A6F512C" w14:textId="77777777" w:rsidR="00CE6695" w:rsidRPr="00FC3B7C" w:rsidRDefault="00CE6695" w:rsidP="00CE6695">
      <w:pPr>
        <w:spacing w:line="136" w:lineRule="exact"/>
        <w:rPr>
          <w:rFonts w:eastAsia="Times New Roman"/>
          <w:szCs w:val="24"/>
        </w:rPr>
      </w:pPr>
    </w:p>
    <w:p w14:paraId="4A6F512D"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lastRenderedPageBreak/>
        <w:t>Činnost v oblasti výzkumu, technologického rozvoje</w:t>
      </w:r>
    </w:p>
    <w:p w14:paraId="4A6F512E" w14:textId="77777777" w:rsidR="00CE6695" w:rsidRPr="00FC3B7C" w:rsidRDefault="00CE6695" w:rsidP="00D46B53">
      <w:pPr>
        <w:numPr>
          <w:ilvl w:val="1"/>
          <w:numId w:val="466"/>
        </w:numPr>
        <w:tabs>
          <w:tab w:val="left" w:pos="1720"/>
        </w:tabs>
        <w:ind w:left="1720" w:hanging="360"/>
        <w:rPr>
          <w:rFonts w:eastAsia="Times New Roman"/>
          <w:szCs w:val="24"/>
        </w:rPr>
      </w:pPr>
      <w:r w:rsidRPr="00FC3B7C">
        <w:rPr>
          <w:rFonts w:eastAsia="Times New Roman"/>
          <w:szCs w:val="24"/>
        </w:rPr>
        <w:t>Společná politika v oblasti rozvojové spolupráce a humanitární pomoci</w:t>
      </w:r>
    </w:p>
    <w:p w14:paraId="4A6F512F" w14:textId="77777777" w:rsidR="00CE6695" w:rsidRPr="00FC3B7C" w:rsidRDefault="00CE6695" w:rsidP="00562370">
      <w:pPr>
        <w:rPr>
          <w:sz w:val="20"/>
          <w:szCs w:val="20"/>
        </w:rPr>
      </w:pPr>
    </w:p>
    <w:p w14:paraId="4A6F5130" w14:textId="77777777" w:rsidR="00CE6695" w:rsidRPr="00627599" w:rsidRDefault="00CE6695" w:rsidP="00562370">
      <w:pPr>
        <w:rPr>
          <w:b/>
          <w:sz w:val="20"/>
          <w:szCs w:val="20"/>
        </w:rPr>
      </w:pPr>
      <w:r w:rsidRPr="00627599">
        <w:rPr>
          <w:rFonts w:eastAsia="Times New Roman"/>
          <w:b/>
        </w:rPr>
        <w:t>Kritika Lisabonské smlouvy:</w:t>
      </w:r>
    </w:p>
    <w:p w14:paraId="4A6F5131" w14:textId="77777777" w:rsidR="00CE6695" w:rsidRPr="00FC3B7C" w:rsidRDefault="00CE6695" w:rsidP="00D46B53">
      <w:pPr>
        <w:numPr>
          <w:ilvl w:val="0"/>
          <w:numId w:val="467"/>
        </w:numPr>
        <w:tabs>
          <w:tab w:val="left" w:pos="1000"/>
        </w:tabs>
        <w:ind w:left="1000" w:hanging="360"/>
        <w:rPr>
          <w:rFonts w:eastAsia="Times New Roman"/>
          <w:szCs w:val="24"/>
        </w:rPr>
      </w:pPr>
      <w:r w:rsidRPr="00FC3B7C">
        <w:rPr>
          <w:rFonts w:eastAsia="Times New Roman"/>
          <w:szCs w:val="24"/>
        </w:rPr>
        <w:t>Je pouze kosmetickou úpravou Ústavní smlouvy</w:t>
      </w:r>
    </w:p>
    <w:p w14:paraId="4A6F5132" w14:textId="77777777" w:rsidR="00CE6695" w:rsidRPr="00FC3B7C" w:rsidRDefault="00CE6695" w:rsidP="00D46B53">
      <w:pPr>
        <w:numPr>
          <w:ilvl w:val="0"/>
          <w:numId w:val="467"/>
        </w:numPr>
        <w:tabs>
          <w:tab w:val="left" w:pos="1000"/>
        </w:tabs>
        <w:ind w:left="1000" w:hanging="360"/>
        <w:rPr>
          <w:rFonts w:eastAsia="Times New Roman"/>
          <w:szCs w:val="24"/>
        </w:rPr>
      </w:pPr>
      <w:r w:rsidRPr="00FC3B7C">
        <w:rPr>
          <w:rFonts w:eastAsia="Times New Roman"/>
          <w:szCs w:val="24"/>
        </w:rPr>
        <w:t xml:space="preserve">Rozšíření politik, o kterých je možno hlasovat kvalifikovanou většinou povede </w:t>
      </w:r>
      <w:r w:rsidR="00562370">
        <w:rPr>
          <w:rFonts w:eastAsia="Times New Roman"/>
          <w:szCs w:val="24"/>
        </w:rPr>
        <w:br/>
      </w:r>
      <w:r w:rsidRPr="00FC3B7C">
        <w:rPr>
          <w:rFonts w:eastAsia="Times New Roman"/>
          <w:szCs w:val="24"/>
        </w:rPr>
        <w:t>k omezení suverenity jednotlivých členů</w:t>
      </w:r>
    </w:p>
    <w:p w14:paraId="4A6F5133" w14:textId="77777777" w:rsidR="00CE6695" w:rsidRPr="00FC3B7C" w:rsidRDefault="00CE6695" w:rsidP="00D46B53">
      <w:pPr>
        <w:numPr>
          <w:ilvl w:val="0"/>
          <w:numId w:val="467"/>
        </w:numPr>
        <w:tabs>
          <w:tab w:val="left" w:pos="1000"/>
        </w:tabs>
        <w:ind w:left="1000" w:hanging="360"/>
        <w:rPr>
          <w:rFonts w:eastAsia="Times New Roman"/>
          <w:szCs w:val="24"/>
        </w:rPr>
      </w:pPr>
      <w:r w:rsidRPr="00FC3B7C">
        <w:rPr>
          <w:rFonts w:eastAsia="Times New Roman"/>
          <w:szCs w:val="24"/>
        </w:rPr>
        <w:t>Nový systém kvalifikované většiny je výhodnější pro velké země</w:t>
      </w:r>
    </w:p>
    <w:p w14:paraId="4A6F5134" w14:textId="77777777" w:rsidR="00CE6695" w:rsidRPr="00FC3B7C" w:rsidRDefault="00CE6695" w:rsidP="00D46B53">
      <w:pPr>
        <w:numPr>
          <w:ilvl w:val="0"/>
          <w:numId w:val="467"/>
        </w:numPr>
        <w:tabs>
          <w:tab w:val="left" w:pos="1000"/>
        </w:tabs>
        <w:ind w:left="1000" w:hanging="360"/>
        <w:rPr>
          <w:rFonts w:eastAsia="Times New Roman"/>
          <w:szCs w:val="24"/>
        </w:rPr>
      </w:pPr>
      <w:r w:rsidRPr="00FC3B7C">
        <w:rPr>
          <w:rFonts w:eastAsia="Times New Roman"/>
          <w:b/>
          <w:bCs/>
          <w:szCs w:val="24"/>
        </w:rPr>
        <w:t>Rozdíly LS x SÚ (Smlouva o Ústavě):</w:t>
      </w:r>
    </w:p>
    <w:p w14:paraId="4A6F5135" w14:textId="77777777" w:rsidR="00CE6695" w:rsidRPr="00FC3B7C" w:rsidRDefault="00CE6695" w:rsidP="00D46B53">
      <w:pPr>
        <w:numPr>
          <w:ilvl w:val="1"/>
          <w:numId w:val="467"/>
        </w:numPr>
        <w:tabs>
          <w:tab w:val="left" w:pos="1780"/>
        </w:tabs>
        <w:ind w:left="1780" w:hanging="360"/>
        <w:rPr>
          <w:rFonts w:eastAsia="Wingdings"/>
          <w:szCs w:val="24"/>
        </w:rPr>
      </w:pPr>
      <w:r w:rsidRPr="00FC3B7C">
        <w:rPr>
          <w:rFonts w:eastAsia="Times New Roman"/>
          <w:szCs w:val="24"/>
        </w:rPr>
        <w:t>vyjmuty články o symbolech - vlajka, hymna, heslo…</w:t>
      </w:r>
    </w:p>
    <w:p w14:paraId="4A6F5136" w14:textId="77777777" w:rsidR="00CE6695" w:rsidRPr="00FC3B7C" w:rsidRDefault="00CE6695" w:rsidP="00D46B53">
      <w:pPr>
        <w:numPr>
          <w:ilvl w:val="0"/>
          <w:numId w:val="468"/>
        </w:numPr>
        <w:tabs>
          <w:tab w:val="left" w:pos="1760"/>
        </w:tabs>
        <w:ind w:left="1760" w:hanging="360"/>
        <w:rPr>
          <w:rFonts w:eastAsia="Wingdings"/>
          <w:szCs w:val="24"/>
        </w:rPr>
      </w:pPr>
      <w:bookmarkStart w:id="433" w:name="page447"/>
      <w:bookmarkEnd w:id="433"/>
      <w:r w:rsidRPr="00FC3B7C">
        <w:rPr>
          <w:rFonts w:eastAsia="Times New Roman"/>
          <w:szCs w:val="24"/>
        </w:rPr>
        <w:t>nepoužívá se slovo ÚSTAVA</w:t>
      </w:r>
    </w:p>
    <w:p w14:paraId="4A6F5137" w14:textId="77777777" w:rsidR="00CE6695" w:rsidRPr="00FC3B7C" w:rsidRDefault="00CE6695" w:rsidP="00D46B53">
      <w:pPr>
        <w:numPr>
          <w:ilvl w:val="0"/>
          <w:numId w:val="468"/>
        </w:numPr>
        <w:tabs>
          <w:tab w:val="left" w:pos="1760"/>
        </w:tabs>
        <w:ind w:left="1760" w:hanging="360"/>
        <w:rPr>
          <w:rFonts w:eastAsia="Wingdings"/>
          <w:szCs w:val="24"/>
        </w:rPr>
      </w:pPr>
      <w:r w:rsidRPr="00FC3B7C">
        <w:rPr>
          <w:rFonts w:eastAsia="Times New Roman"/>
          <w:szCs w:val="24"/>
        </w:rPr>
        <w:t>původní funkce ministra zahraničních věcí Unie se nazývá Vysoký představitel Unie pro zahraniční věci a bezpečnostní politiku</w:t>
      </w:r>
    </w:p>
    <w:p w14:paraId="4A6F5138" w14:textId="77777777" w:rsidR="00CE6695" w:rsidRPr="00FC3B7C" w:rsidRDefault="00CE6695" w:rsidP="00D46B53">
      <w:pPr>
        <w:numPr>
          <w:ilvl w:val="0"/>
          <w:numId w:val="468"/>
        </w:numPr>
        <w:tabs>
          <w:tab w:val="left" w:pos="1760"/>
        </w:tabs>
        <w:ind w:left="1760" w:hanging="360"/>
        <w:rPr>
          <w:rFonts w:eastAsia="Wingdings"/>
          <w:szCs w:val="24"/>
        </w:rPr>
      </w:pPr>
      <w:r w:rsidRPr="00FC3B7C">
        <w:rPr>
          <w:rFonts w:eastAsia="Times New Roman"/>
          <w:szCs w:val="24"/>
        </w:rPr>
        <w:t>Listina základních práv EU není součástí textu smluv</w:t>
      </w:r>
    </w:p>
    <w:p w14:paraId="4A6F5139" w14:textId="77777777" w:rsidR="00CE6695" w:rsidRPr="00FC3B7C" w:rsidRDefault="00CE6695" w:rsidP="00D46B53">
      <w:pPr>
        <w:numPr>
          <w:ilvl w:val="0"/>
          <w:numId w:val="468"/>
        </w:numPr>
        <w:tabs>
          <w:tab w:val="left" w:pos="1820"/>
        </w:tabs>
        <w:ind w:left="1820" w:hanging="420"/>
        <w:rPr>
          <w:rFonts w:eastAsia="Wingdings"/>
          <w:szCs w:val="24"/>
        </w:rPr>
      </w:pPr>
      <w:r w:rsidRPr="00FC3B7C">
        <w:rPr>
          <w:rFonts w:eastAsia="Times New Roman"/>
          <w:szCs w:val="24"/>
        </w:rPr>
        <w:t>Lisabonská smlouva obsahuje cca 95% textu SÚ</w:t>
      </w:r>
    </w:p>
    <w:p w14:paraId="4A6F513A" w14:textId="77777777" w:rsidR="00CE6695" w:rsidRPr="00FC3B7C" w:rsidRDefault="00CE6695" w:rsidP="00CE6695">
      <w:pPr>
        <w:spacing w:line="371" w:lineRule="exact"/>
        <w:rPr>
          <w:sz w:val="20"/>
          <w:szCs w:val="20"/>
        </w:rPr>
      </w:pPr>
    </w:p>
    <w:p w14:paraId="4A6F513B" w14:textId="44254551" w:rsidR="00CE6695" w:rsidRPr="00D453CE" w:rsidRDefault="00D453CE" w:rsidP="00CE6695">
      <w:pPr>
        <w:pStyle w:val="Nadpis3"/>
        <w:rPr>
          <w:rFonts w:cs="Times New Roman"/>
          <w:color w:val="1F3864" w:themeColor="accent1" w:themeShade="80"/>
          <w:sz w:val="20"/>
          <w:szCs w:val="20"/>
        </w:rPr>
      </w:pPr>
      <w:r>
        <w:rPr>
          <w:rFonts w:eastAsia="Times New Roman" w:cs="Times New Roman"/>
          <w:color w:val="1F3864" w:themeColor="accent1" w:themeShade="80"/>
        </w:rPr>
        <w:t xml:space="preserve"> </w:t>
      </w:r>
      <w:r w:rsidR="00CE6695" w:rsidRPr="00D453CE">
        <w:rPr>
          <w:rFonts w:eastAsia="Times New Roman" w:cs="Times New Roman"/>
          <w:color w:val="1F3864" w:themeColor="accent1" w:themeShade="80"/>
        </w:rPr>
        <w:t>Vymezení cílů Unie</w:t>
      </w:r>
    </w:p>
    <w:p w14:paraId="4A6F513C" w14:textId="77777777" w:rsidR="00CE6695" w:rsidRPr="00FC3B7C" w:rsidRDefault="00CE6695" w:rsidP="00D46B53">
      <w:pPr>
        <w:numPr>
          <w:ilvl w:val="0"/>
          <w:numId w:val="469"/>
        </w:numPr>
        <w:tabs>
          <w:tab w:val="left" w:pos="960"/>
        </w:tabs>
        <w:ind w:left="960" w:hanging="366"/>
        <w:rPr>
          <w:rFonts w:eastAsia="Times New Roman"/>
          <w:b/>
          <w:bCs/>
          <w:szCs w:val="24"/>
        </w:rPr>
      </w:pPr>
      <w:r w:rsidRPr="00FC3B7C">
        <w:rPr>
          <w:rFonts w:eastAsia="Times New Roman"/>
          <w:szCs w:val="24"/>
        </w:rPr>
        <w:t>Cílem Unie je podporovat mír, své hodnoty a blahobyt svých obyvatel.</w:t>
      </w:r>
    </w:p>
    <w:p w14:paraId="4A6F513D" w14:textId="77777777" w:rsidR="00CE6695" w:rsidRPr="00FC3B7C" w:rsidRDefault="00CE6695" w:rsidP="00D46B53">
      <w:pPr>
        <w:numPr>
          <w:ilvl w:val="0"/>
          <w:numId w:val="469"/>
        </w:numPr>
        <w:tabs>
          <w:tab w:val="left" w:pos="960"/>
        </w:tabs>
        <w:ind w:left="960" w:hanging="366"/>
        <w:rPr>
          <w:rFonts w:eastAsia="Times New Roman"/>
          <w:b/>
          <w:bCs/>
          <w:szCs w:val="24"/>
        </w:rPr>
      </w:pPr>
      <w:r w:rsidRPr="00FC3B7C">
        <w:rPr>
          <w:rFonts w:eastAsia="Times New Roman"/>
          <w:szCs w:val="24"/>
        </w:rPr>
        <w:t xml:space="preserve">Unie poskytuje svým občanům prostor svobody, bezpečnosti a práva bez vnitřních hranic, ve kterém je zaručen volný pohyb osob ve spojení s vhodnými opatřeními týkajícími se ochrany vnějších hranic, azylu, přistěhovalectví a předcházení </w:t>
      </w:r>
      <w:r w:rsidR="00562370">
        <w:rPr>
          <w:rFonts w:eastAsia="Times New Roman"/>
          <w:szCs w:val="24"/>
        </w:rPr>
        <w:br/>
      </w:r>
      <w:r w:rsidRPr="00FC3B7C">
        <w:rPr>
          <w:rFonts w:eastAsia="Times New Roman"/>
          <w:szCs w:val="24"/>
        </w:rPr>
        <w:t>a potírání zločinnosti.</w:t>
      </w:r>
    </w:p>
    <w:p w14:paraId="4A6F513E" w14:textId="77777777" w:rsidR="00CE6695" w:rsidRPr="00FC3B7C" w:rsidRDefault="00CE6695" w:rsidP="00D46B53">
      <w:pPr>
        <w:numPr>
          <w:ilvl w:val="0"/>
          <w:numId w:val="469"/>
        </w:numPr>
        <w:tabs>
          <w:tab w:val="left" w:pos="960"/>
        </w:tabs>
        <w:ind w:left="960" w:hanging="366"/>
        <w:rPr>
          <w:rFonts w:eastAsia="Times New Roman"/>
          <w:b/>
          <w:bCs/>
          <w:sz w:val="23"/>
          <w:szCs w:val="23"/>
        </w:rPr>
      </w:pPr>
      <w:r w:rsidRPr="00FC3B7C">
        <w:rPr>
          <w:rFonts w:eastAsia="Times New Roman"/>
          <w:sz w:val="23"/>
          <w:szCs w:val="23"/>
        </w:rPr>
        <w:t>Unie vytváří vnitřní trh. Usiluje o udržitelný rozvoj Evropy, založený na vyváženém hospodářském růstu a na cenové stabilitě, vysoce konkurenceschopném sociálně tržním hospodářství směřujícím k plné zaměstnanosti a společenskému pokroku a na vysokém stupni ochrany a zlepšování kvality životního prostředí. Podporuje vědecký a technický pokrok. Bojuje proti sociálnímu vyloučení a diskriminaci, podporuje sociální spravedlnost a ochranu, rovnost žen a mužů, mezigenerační solidaritu a ochranu práv dítěte. Podporuje hospodářskou, sociální a územní soudržnost a solidaritu mezi členskými státy. Respektuje svou bohatou kulturní a jazykovou rozmanitost a dbá na zachování a rozvoj evropského kulturního dědictví.</w:t>
      </w:r>
    </w:p>
    <w:p w14:paraId="4A6F513F" w14:textId="77777777" w:rsidR="00CE6695" w:rsidRPr="00FC3B7C" w:rsidRDefault="00CE6695" w:rsidP="00D46B53">
      <w:pPr>
        <w:numPr>
          <w:ilvl w:val="0"/>
          <w:numId w:val="469"/>
        </w:numPr>
        <w:tabs>
          <w:tab w:val="left" w:pos="960"/>
        </w:tabs>
        <w:ind w:left="960" w:hanging="366"/>
        <w:rPr>
          <w:rFonts w:eastAsia="Times New Roman"/>
          <w:b/>
          <w:bCs/>
          <w:szCs w:val="24"/>
        </w:rPr>
      </w:pPr>
      <w:r w:rsidRPr="00FC3B7C">
        <w:rPr>
          <w:rFonts w:eastAsia="Times New Roman"/>
          <w:szCs w:val="24"/>
        </w:rPr>
        <w:t>Unie vytváří hospodářskou a měnovou unii, jejíž měnou je euro.</w:t>
      </w:r>
    </w:p>
    <w:p w14:paraId="4A6F5140" w14:textId="77777777" w:rsidR="00CE6695" w:rsidRPr="00FC3B7C" w:rsidRDefault="00CE6695" w:rsidP="00D46B53">
      <w:pPr>
        <w:numPr>
          <w:ilvl w:val="0"/>
          <w:numId w:val="469"/>
        </w:numPr>
        <w:tabs>
          <w:tab w:val="left" w:pos="960"/>
        </w:tabs>
        <w:ind w:left="960" w:hanging="366"/>
        <w:rPr>
          <w:rFonts w:eastAsia="Times New Roman"/>
          <w:b/>
          <w:bCs/>
          <w:szCs w:val="24"/>
        </w:rPr>
      </w:pPr>
      <w:r w:rsidRPr="00FC3B7C">
        <w:rPr>
          <w:rFonts w:eastAsia="Times New Roman"/>
          <w:szCs w:val="24"/>
        </w:rPr>
        <w:t xml:space="preserve">Ve svých vztazích s okolním světem Unie zastává a podporuje své hodnoty a zájmy a přispívá k ochraně svých občanů. Přispívá k míru, bezpečnosti, udržitelnému </w:t>
      </w:r>
      <w:r w:rsidRPr="00FC3B7C">
        <w:rPr>
          <w:rFonts w:eastAsia="Times New Roman"/>
          <w:szCs w:val="24"/>
        </w:rPr>
        <w:lastRenderedPageBreak/>
        <w:t xml:space="preserve">rozvoji této planety, k solidaritě a vzájemné úctě mezi národy, volnému </w:t>
      </w:r>
      <w:r w:rsidR="00562370">
        <w:rPr>
          <w:rFonts w:eastAsia="Times New Roman"/>
          <w:szCs w:val="24"/>
        </w:rPr>
        <w:br/>
      </w:r>
      <w:r w:rsidRPr="00FC3B7C">
        <w:rPr>
          <w:rFonts w:eastAsia="Times New Roman"/>
          <w:szCs w:val="24"/>
        </w:rPr>
        <w:t>a spravedlivému obchodování, vymýcení chudoby, ochraně lidských práv, především práv dítěte, a k přísnému dodržování a rozvoji mezinárodního práva zejména k dodržování zásad Charty Organizace spojených národů.</w:t>
      </w:r>
    </w:p>
    <w:p w14:paraId="4A6F5141" w14:textId="77777777" w:rsidR="00CE6695" w:rsidRPr="00562370" w:rsidRDefault="00CE6695" w:rsidP="00D46B53">
      <w:pPr>
        <w:numPr>
          <w:ilvl w:val="0"/>
          <w:numId w:val="469"/>
        </w:numPr>
        <w:tabs>
          <w:tab w:val="left" w:pos="960"/>
        </w:tabs>
        <w:ind w:left="960" w:hanging="366"/>
        <w:rPr>
          <w:rFonts w:eastAsia="Times New Roman"/>
          <w:b/>
          <w:bCs/>
          <w:szCs w:val="24"/>
        </w:rPr>
      </w:pPr>
      <w:r w:rsidRPr="00FC3B7C">
        <w:rPr>
          <w:rFonts w:eastAsia="Times New Roman"/>
          <w:szCs w:val="24"/>
        </w:rPr>
        <w:t>Unie sleduje své cíle vhodnými prostředky na základě pravomocí, které jsou jí smlouvami svěřeny.</w:t>
      </w:r>
    </w:p>
    <w:p w14:paraId="4A6F5142" w14:textId="77777777" w:rsidR="00562370" w:rsidRPr="00562370" w:rsidRDefault="00562370" w:rsidP="00562370">
      <w:pPr>
        <w:tabs>
          <w:tab w:val="left" w:pos="960"/>
        </w:tabs>
        <w:ind w:left="960"/>
        <w:rPr>
          <w:rFonts w:eastAsia="Times New Roman"/>
          <w:b/>
          <w:bCs/>
          <w:szCs w:val="24"/>
        </w:rPr>
      </w:pPr>
    </w:p>
    <w:p w14:paraId="4A6F5143" w14:textId="77777777" w:rsidR="00CE6695" w:rsidRPr="00244BB9" w:rsidRDefault="00CE6695" w:rsidP="00CE6695">
      <w:pPr>
        <w:pStyle w:val="Nadpis3"/>
        <w:rPr>
          <w:rFonts w:cs="Times New Roman"/>
          <w:color w:val="1F3864" w:themeColor="accent1" w:themeShade="80"/>
          <w:sz w:val="20"/>
          <w:szCs w:val="20"/>
        </w:rPr>
      </w:pPr>
      <w:bookmarkStart w:id="434" w:name="page448"/>
      <w:bookmarkEnd w:id="434"/>
      <w:r w:rsidRPr="00244BB9">
        <w:rPr>
          <w:rFonts w:eastAsia="Times New Roman" w:cs="Times New Roman"/>
          <w:color w:val="1F3864" w:themeColor="accent1" w:themeShade="80"/>
        </w:rPr>
        <w:t>Institucionální změny</w:t>
      </w:r>
    </w:p>
    <w:p w14:paraId="4A6F5144" w14:textId="77777777" w:rsidR="00CE6695" w:rsidRPr="00FC3B7C" w:rsidRDefault="00CE6695" w:rsidP="00562370">
      <w:pPr>
        <w:rPr>
          <w:sz w:val="20"/>
          <w:szCs w:val="20"/>
        </w:rPr>
      </w:pPr>
      <w:r w:rsidRPr="00FC3B7C">
        <w:rPr>
          <w:rFonts w:eastAsia="Times New Roman"/>
          <w:b/>
          <w:bCs/>
          <w:szCs w:val="24"/>
        </w:rPr>
        <w:t xml:space="preserve">Stálý předseda Evropské rady </w:t>
      </w:r>
      <w:r w:rsidRPr="00FC3B7C">
        <w:rPr>
          <w:rFonts w:eastAsia="Times New Roman"/>
          <w:szCs w:val="24"/>
        </w:rPr>
        <w:t>(ER) volený</w:t>
      </w:r>
      <w:r w:rsidRPr="00FC3B7C">
        <w:rPr>
          <w:rFonts w:eastAsia="Times New Roman"/>
          <w:b/>
          <w:bCs/>
          <w:szCs w:val="24"/>
        </w:rPr>
        <w:t xml:space="preserve"> </w:t>
      </w:r>
      <w:r w:rsidRPr="00FC3B7C">
        <w:rPr>
          <w:rFonts w:eastAsia="Times New Roman"/>
          <w:szCs w:val="24"/>
        </w:rPr>
        <w:t>ER na dva a půl roku, vede jednání ER, zastupuje</w:t>
      </w:r>
      <w:r w:rsidRPr="00FC3B7C">
        <w:rPr>
          <w:rFonts w:eastAsia="Times New Roman"/>
          <w:b/>
          <w:bCs/>
          <w:szCs w:val="24"/>
        </w:rPr>
        <w:t xml:space="preserve"> </w:t>
      </w:r>
      <w:r w:rsidRPr="00FC3B7C">
        <w:rPr>
          <w:rFonts w:eastAsia="Times New Roman"/>
          <w:szCs w:val="24"/>
        </w:rPr>
        <w:t>Unii navenek.</w:t>
      </w:r>
    </w:p>
    <w:p w14:paraId="4A6F5145" w14:textId="77777777" w:rsidR="00CE6695" w:rsidRPr="00FC3B7C" w:rsidRDefault="00CE6695" w:rsidP="00562370">
      <w:pPr>
        <w:rPr>
          <w:sz w:val="20"/>
          <w:szCs w:val="20"/>
        </w:rPr>
      </w:pPr>
      <w:r w:rsidRPr="00FC3B7C">
        <w:rPr>
          <w:rFonts w:eastAsia="Times New Roman"/>
          <w:b/>
          <w:bCs/>
          <w:szCs w:val="24"/>
        </w:rPr>
        <w:t xml:space="preserve">Vysoký představitel Unie pro zahraniční věci a bezpečnostní politiku </w:t>
      </w:r>
      <w:r w:rsidRPr="00FC3B7C">
        <w:rPr>
          <w:rFonts w:eastAsia="Times New Roman"/>
          <w:szCs w:val="24"/>
        </w:rPr>
        <w:t>(volený</w:t>
      </w:r>
      <w:r w:rsidRPr="00FC3B7C">
        <w:rPr>
          <w:rFonts w:eastAsia="Times New Roman"/>
          <w:b/>
          <w:bCs/>
          <w:szCs w:val="24"/>
        </w:rPr>
        <w:t xml:space="preserve"> </w:t>
      </w:r>
      <w:r w:rsidRPr="00FC3B7C">
        <w:rPr>
          <w:rFonts w:eastAsia="Times New Roman"/>
          <w:szCs w:val="24"/>
        </w:rPr>
        <w:t>ER, je</w:t>
      </w:r>
      <w:r w:rsidRPr="00FC3B7C">
        <w:rPr>
          <w:rFonts w:eastAsia="Times New Roman"/>
          <w:b/>
          <w:bCs/>
          <w:szCs w:val="24"/>
        </w:rPr>
        <w:t xml:space="preserve"> </w:t>
      </w:r>
      <w:r w:rsidRPr="00FC3B7C">
        <w:rPr>
          <w:rFonts w:eastAsia="Times New Roman"/>
          <w:szCs w:val="24"/>
        </w:rPr>
        <w:t>místopředsedou Komise a předsedou Rady pro zahraniční věci, jedná na základě mandátu Komise a Rady).</w:t>
      </w:r>
    </w:p>
    <w:p w14:paraId="4A6F5146" w14:textId="77777777" w:rsidR="00CE6695" w:rsidRPr="00FC3B7C" w:rsidRDefault="00CE6695" w:rsidP="00562370">
      <w:pPr>
        <w:rPr>
          <w:sz w:val="20"/>
          <w:szCs w:val="20"/>
        </w:rPr>
      </w:pPr>
      <w:r w:rsidRPr="00FC3B7C">
        <w:rPr>
          <w:rFonts w:eastAsia="Times New Roman"/>
          <w:b/>
          <w:bCs/>
          <w:szCs w:val="24"/>
        </w:rPr>
        <w:t>Změna hlasování kvalifikovanou většinou v Radě</w:t>
      </w:r>
      <w:r w:rsidRPr="00FC3B7C">
        <w:rPr>
          <w:rFonts w:eastAsia="Times New Roman"/>
          <w:szCs w:val="24"/>
        </w:rPr>
        <w:t>. Podpora nejméně</w:t>
      </w:r>
      <w:r w:rsidRPr="00FC3B7C">
        <w:rPr>
          <w:rFonts w:eastAsia="Times New Roman"/>
          <w:b/>
          <w:bCs/>
          <w:szCs w:val="24"/>
        </w:rPr>
        <w:t xml:space="preserve"> </w:t>
      </w:r>
      <w:r w:rsidRPr="00FC3B7C">
        <w:rPr>
          <w:rFonts w:eastAsia="Times New Roman"/>
          <w:szCs w:val="24"/>
        </w:rPr>
        <w:t>55 %</w:t>
      </w:r>
      <w:r w:rsidRPr="00FC3B7C">
        <w:rPr>
          <w:rFonts w:eastAsia="Times New Roman"/>
          <w:b/>
          <w:bCs/>
          <w:szCs w:val="24"/>
        </w:rPr>
        <w:t xml:space="preserve"> </w:t>
      </w:r>
      <w:r w:rsidRPr="00FC3B7C">
        <w:rPr>
          <w:rFonts w:eastAsia="Times New Roman"/>
          <w:szCs w:val="24"/>
        </w:rPr>
        <w:t>členů</w:t>
      </w:r>
      <w:r w:rsidRPr="00FC3B7C">
        <w:rPr>
          <w:rFonts w:eastAsia="Times New Roman"/>
          <w:b/>
          <w:bCs/>
          <w:szCs w:val="24"/>
        </w:rPr>
        <w:t xml:space="preserve"> </w:t>
      </w:r>
      <w:r w:rsidRPr="00FC3B7C">
        <w:rPr>
          <w:rFonts w:eastAsia="Times New Roman"/>
          <w:szCs w:val="24"/>
        </w:rPr>
        <w:t>Rady</w:t>
      </w:r>
      <w:r w:rsidRPr="00FC3B7C">
        <w:rPr>
          <w:rFonts w:eastAsia="Times New Roman"/>
          <w:b/>
          <w:bCs/>
          <w:szCs w:val="24"/>
        </w:rPr>
        <w:t xml:space="preserve"> </w:t>
      </w:r>
      <w:r w:rsidRPr="00FC3B7C">
        <w:rPr>
          <w:rFonts w:eastAsia="Times New Roman"/>
          <w:szCs w:val="24"/>
        </w:rPr>
        <w:t>zastupujících členské státy (nejméně 15 z nich), jež představují nejméně 65 % obyvatelstva těchto států.</w:t>
      </w:r>
    </w:p>
    <w:p w14:paraId="4A6F5147" w14:textId="77777777" w:rsidR="00CE6695" w:rsidRPr="00FC3B7C" w:rsidRDefault="00CE6695" w:rsidP="00562370">
      <w:pPr>
        <w:rPr>
          <w:sz w:val="20"/>
          <w:szCs w:val="20"/>
        </w:rPr>
      </w:pPr>
      <w:r w:rsidRPr="00FC3B7C">
        <w:rPr>
          <w:rFonts w:eastAsia="Times New Roman"/>
          <w:b/>
          <w:bCs/>
          <w:szCs w:val="24"/>
        </w:rPr>
        <w:t xml:space="preserve">Blokační menšina </w:t>
      </w:r>
      <w:r w:rsidRPr="00FC3B7C">
        <w:rPr>
          <w:rFonts w:eastAsia="Times New Roman"/>
          <w:szCs w:val="24"/>
        </w:rPr>
        <w:t>alespoň</w:t>
      </w:r>
      <w:r w:rsidRPr="00FC3B7C">
        <w:rPr>
          <w:rFonts w:eastAsia="Times New Roman"/>
          <w:b/>
          <w:bCs/>
          <w:szCs w:val="24"/>
        </w:rPr>
        <w:t xml:space="preserve"> </w:t>
      </w:r>
      <w:r w:rsidRPr="00FC3B7C">
        <w:rPr>
          <w:rFonts w:eastAsia="Times New Roman"/>
          <w:szCs w:val="24"/>
        </w:rPr>
        <w:t>13</w:t>
      </w:r>
      <w:r w:rsidRPr="00FC3B7C">
        <w:rPr>
          <w:rFonts w:eastAsia="Times New Roman"/>
          <w:b/>
          <w:bCs/>
          <w:szCs w:val="24"/>
        </w:rPr>
        <w:t xml:space="preserve"> </w:t>
      </w:r>
      <w:r w:rsidRPr="00FC3B7C">
        <w:rPr>
          <w:rFonts w:eastAsia="Times New Roman"/>
          <w:szCs w:val="24"/>
        </w:rPr>
        <w:t>členských států</w:t>
      </w:r>
      <w:r w:rsidRPr="00FC3B7C">
        <w:rPr>
          <w:rFonts w:eastAsia="Times New Roman"/>
          <w:b/>
          <w:bCs/>
          <w:szCs w:val="24"/>
        </w:rPr>
        <w:t xml:space="preserve"> </w:t>
      </w:r>
      <w:r w:rsidRPr="00FC3B7C">
        <w:rPr>
          <w:rFonts w:eastAsia="Times New Roman"/>
          <w:szCs w:val="24"/>
        </w:rPr>
        <w:t>s 35 % obyvatel proti. Rozšíření možnosti</w:t>
      </w:r>
      <w:r w:rsidRPr="00FC3B7C">
        <w:rPr>
          <w:rFonts w:eastAsia="Times New Roman"/>
          <w:b/>
          <w:bCs/>
          <w:szCs w:val="24"/>
        </w:rPr>
        <w:t xml:space="preserve"> </w:t>
      </w:r>
      <w:r w:rsidRPr="00FC3B7C">
        <w:rPr>
          <w:rFonts w:eastAsia="Times New Roman"/>
          <w:szCs w:val="24"/>
        </w:rPr>
        <w:t>hlasovat kvalifikovanou většinou.</w:t>
      </w:r>
    </w:p>
    <w:p w14:paraId="4A6F5149" w14:textId="25704CFF" w:rsidR="00CE6695" w:rsidRDefault="00CE6695" w:rsidP="00D96C2F">
      <w:pPr>
        <w:rPr>
          <w:rFonts w:eastAsia="Times New Roman"/>
          <w:szCs w:val="24"/>
        </w:rPr>
      </w:pPr>
      <w:r w:rsidRPr="00FC3B7C">
        <w:rPr>
          <w:rFonts w:eastAsia="Times New Roman"/>
          <w:b/>
          <w:bCs/>
          <w:szCs w:val="24"/>
        </w:rPr>
        <w:t>Jednomyslnost</w:t>
      </w:r>
      <w:r w:rsidRPr="00FC3B7C">
        <w:rPr>
          <w:rFonts w:eastAsia="Times New Roman"/>
          <w:szCs w:val="24"/>
        </w:rPr>
        <w:t>: daně, sociální zabezpečení, zahraniční, bezpečnostní a obranná politika,</w:t>
      </w:r>
      <w:r w:rsidRPr="00FC3B7C">
        <w:rPr>
          <w:rFonts w:eastAsia="Times New Roman"/>
          <w:b/>
          <w:bCs/>
          <w:szCs w:val="24"/>
        </w:rPr>
        <w:t xml:space="preserve"> </w:t>
      </w:r>
      <w:r w:rsidRPr="00FC3B7C">
        <w:rPr>
          <w:rFonts w:eastAsia="Times New Roman"/>
          <w:szCs w:val="24"/>
        </w:rPr>
        <w:t>policejní spolupráce.</w:t>
      </w:r>
    </w:p>
    <w:p w14:paraId="60469519" w14:textId="77777777" w:rsidR="00D96C2F" w:rsidRPr="00D96C2F" w:rsidRDefault="00D96C2F" w:rsidP="00D96C2F">
      <w:pPr>
        <w:rPr>
          <w:sz w:val="20"/>
          <w:szCs w:val="20"/>
        </w:rPr>
      </w:pPr>
    </w:p>
    <w:p w14:paraId="4A6F514A" w14:textId="77777777" w:rsidR="00CE6695" w:rsidRPr="00244BB9" w:rsidRDefault="00CE6695" w:rsidP="00CE6695">
      <w:pPr>
        <w:pStyle w:val="Nadpis2"/>
        <w:rPr>
          <w:rFonts w:cs="Times New Roman"/>
          <w:b w:val="0"/>
          <w:color w:val="1F3864" w:themeColor="accent1" w:themeShade="80"/>
        </w:rPr>
      </w:pPr>
      <w:r w:rsidRPr="00244BB9">
        <w:rPr>
          <w:rFonts w:cs="Times New Roman"/>
          <w:bCs/>
          <w:color w:val="1F3864" w:themeColor="accent1" w:themeShade="80"/>
          <w:szCs w:val="32"/>
        </w:rPr>
        <w:t>EU ve zkratce</w:t>
      </w:r>
    </w:p>
    <w:p w14:paraId="4A6F514B" w14:textId="77777777" w:rsidR="00CE6695" w:rsidRPr="00627599" w:rsidRDefault="00CE6695" w:rsidP="00562370">
      <w:pPr>
        <w:rPr>
          <w:b/>
          <w:sz w:val="20"/>
          <w:szCs w:val="20"/>
        </w:rPr>
      </w:pPr>
      <w:r w:rsidRPr="00627599">
        <w:rPr>
          <w:rFonts w:eastAsia="Times New Roman"/>
          <w:b/>
        </w:rPr>
        <w:t>Institucionální trojúhelník:</w:t>
      </w:r>
    </w:p>
    <w:p w14:paraId="4A6F514C" w14:textId="77777777" w:rsidR="00CE6695" w:rsidRPr="00FC3B7C" w:rsidRDefault="00CE6695" w:rsidP="00D46B53">
      <w:pPr>
        <w:numPr>
          <w:ilvl w:val="0"/>
          <w:numId w:val="470"/>
        </w:numPr>
        <w:tabs>
          <w:tab w:val="left" w:pos="1000"/>
        </w:tabs>
        <w:ind w:left="1000" w:hanging="360"/>
        <w:rPr>
          <w:rFonts w:eastAsia="Arial"/>
          <w:szCs w:val="24"/>
        </w:rPr>
      </w:pPr>
      <w:r w:rsidRPr="00FC3B7C">
        <w:rPr>
          <w:rFonts w:eastAsia="Times New Roman"/>
          <w:b/>
          <w:bCs/>
          <w:szCs w:val="24"/>
        </w:rPr>
        <w:t>Rada EU</w:t>
      </w:r>
    </w:p>
    <w:p w14:paraId="4A6F514D" w14:textId="77777777" w:rsidR="00CE6695" w:rsidRPr="00FC3B7C" w:rsidRDefault="00CE6695" w:rsidP="00D46B53">
      <w:pPr>
        <w:numPr>
          <w:ilvl w:val="0"/>
          <w:numId w:val="470"/>
        </w:numPr>
        <w:tabs>
          <w:tab w:val="left" w:pos="1000"/>
        </w:tabs>
        <w:ind w:left="1000" w:hanging="360"/>
        <w:rPr>
          <w:rFonts w:eastAsia="Arial"/>
          <w:szCs w:val="24"/>
        </w:rPr>
      </w:pPr>
      <w:r w:rsidRPr="00FC3B7C">
        <w:rPr>
          <w:rFonts w:eastAsia="Times New Roman"/>
          <w:b/>
          <w:bCs/>
          <w:szCs w:val="24"/>
        </w:rPr>
        <w:t>Evropská komise</w:t>
      </w:r>
    </w:p>
    <w:p w14:paraId="4A6F514E" w14:textId="77777777" w:rsidR="00CE6695" w:rsidRPr="00FC3B7C" w:rsidRDefault="00CE6695" w:rsidP="00D46B53">
      <w:pPr>
        <w:numPr>
          <w:ilvl w:val="0"/>
          <w:numId w:val="470"/>
        </w:numPr>
        <w:tabs>
          <w:tab w:val="left" w:pos="1000"/>
        </w:tabs>
        <w:ind w:left="1000" w:hanging="360"/>
        <w:rPr>
          <w:rFonts w:eastAsia="Arial"/>
          <w:szCs w:val="24"/>
        </w:rPr>
      </w:pPr>
      <w:r w:rsidRPr="00FC3B7C">
        <w:rPr>
          <w:rFonts w:eastAsia="Times New Roman"/>
          <w:b/>
          <w:bCs/>
          <w:szCs w:val="24"/>
        </w:rPr>
        <w:t>Evropský parlament</w:t>
      </w:r>
    </w:p>
    <w:p w14:paraId="4A6F514F" w14:textId="77777777" w:rsidR="00CE6695" w:rsidRPr="00FC3B7C" w:rsidRDefault="00CE6695" w:rsidP="00562370">
      <w:pPr>
        <w:rPr>
          <w:rFonts w:eastAsia="Arial"/>
          <w:szCs w:val="24"/>
        </w:rPr>
        <w:sectPr w:rsidR="00CE6695" w:rsidRPr="00FC3B7C">
          <w:pgSz w:w="11900" w:h="16840"/>
          <w:pgMar w:top="1386" w:right="1420" w:bottom="1440" w:left="1420" w:header="0" w:footer="0" w:gutter="0"/>
          <w:cols w:space="708" w:equalWidth="0">
            <w:col w:w="9060"/>
          </w:cols>
        </w:sectPr>
      </w:pPr>
    </w:p>
    <w:p w14:paraId="4A6F5150" w14:textId="3811AA91" w:rsidR="00CE6695" w:rsidRPr="00FC3B7C" w:rsidRDefault="00CE6695" w:rsidP="00D46B53">
      <w:pPr>
        <w:numPr>
          <w:ilvl w:val="0"/>
          <w:numId w:val="470"/>
        </w:numPr>
        <w:tabs>
          <w:tab w:val="left" w:pos="1000"/>
        </w:tabs>
        <w:ind w:left="280" w:right="5240" w:firstLine="360"/>
        <w:rPr>
          <w:rFonts w:eastAsia="Arial"/>
          <w:szCs w:val="24"/>
        </w:rPr>
      </w:pPr>
      <w:r w:rsidRPr="00FC3B7C">
        <w:rPr>
          <w:rFonts w:eastAsia="Times New Roman"/>
          <w:szCs w:val="24"/>
        </w:rPr>
        <w:t>+ Evropský soudní dvůr</w:t>
      </w:r>
      <w:r w:rsidR="003376E1">
        <w:rPr>
          <w:rFonts w:eastAsia="Times New Roman"/>
          <w:szCs w:val="24"/>
        </w:rPr>
        <w:t xml:space="preserve"> </w:t>
      </w:r>
      <w:r w:rsidRPr="00FC3B7C">
        <w:rPr>
          <w:rFonts w:eastAsia="Times New Roman"/>
          <w:szCs w:val="24"/>
        </w:rPr>
        <w:t>Nad trojúhelníkem je Evropská rada.</w:t>
      </w:r>
    </w:p>
    <w:p w14:paraId="4A6F5151" w14:textId="77777777" w:rsidR="00CE6695" w:rsidRPr="00627599" w:rsidRDefault="00CE6695" w:rsidP="00562370">
      <w:pPr>
        <w:rPr>
          <w:b/>
          <w:sz w:val="20"/>
          <w:szCs w:val="20"/>
        </w:rPr>
      </w:pPr>
      <w:r w:rsidRPr="00627599">
        <w:rPr>
          <w:rFonts w:eastAsia="Times New Roman"/>
          <w:b/>
        </w:rPr>
        <w:t>Evropská rada:</w:t>
      </w:r>
    </w:p>
    <w:p w14:paraId="4A6F5152" w14:textId="77777777" w:rsidR="00CE6695" w:rsidRPr="00FC3B7C" w:rsidRDefault="00CE6695" w:rsidP="00D46B53">
      <w:pPr>
        <w:numPr>
          <w:ilvl w:val="0"/>
          <w:numId w:val="471"/>
        </w:numPr>
        <w:tabs>
          <w:tab w:val="left" w:pos="1000"/>
        </w:tabs>
        <w:ind w:left="1000" w:hanging="360"/>
        <w:rPr>
          <w:rFonts w:eastAsia="Times New Roman"/>
          <w:szCs w:val="24"/>
        </w:rPr>
      </w:pPr>
      <w:r w:rsidRPr="00FC3B7C">
        <w:rPr>
          <w:rFonts w:eastAsia="Times New Roman"/>
          <w:szCs w:val="24"/>
        </w:rPr>
        <w:t>Brusel, zasedá 2x ročně</w:t>
      </w:r>
    </w:p>
    <w:p w14:paraId="4A6F5153" w14:textId="22327C81" w:rsidR="00CE6695" w:rsidRPr="00FC3B7C" w:rsidRDefault="00D96C2F" w:rsidP="00D46B53">
      <w:pPr>
        <w:numPr>
          <w:ilvl w:val="0"/>
          <w:numId w:val="471"/>
        </w:numPr>
        <w:tabs>
          <w:tab w:val="left" w:pos="1000"/>
        </w:tabs>
        <w:ind w:left="1000" w:hanging="360"/>
        <w:rPr>
          <w:rFonts w:eastAsia="Times New Roman"/>
          <w:szCs w:val="24"/>
        </w:rPr>
      </w:pPr>
      <w:r>
        <w:rPr>
          <w:rFonts w:eastAsia="Times New Roman"/>
          <w:szCs w:val="24"/>
        </w:rPr>
        <w:t>V</w:t>
      </w:r>
      <w:r w:rsidR="00CE6695" w:rsidRPr="00FC3B7C">
        <w:rPr>
          <w:rFonts w:eastAsia="Times New Roman"/>
          <w:szCs w:val="24"/>
        </w:rPr>
        <w:t>rcholný orgán EU, rozhoduje o vývoji EU</w:t>
      </w:r>
    </w:p>
    <w:p w14:paraId="4A6F5154" w14:textId="5C74E43F" w:rsidR="00CE6695" w:rsidRPr="00562370" w:rsidRDefault="00D96C2F" w:rsidP="00D46B53">
      <w:pPr>
        <w:numPr>
          <w:ilvl w:val="0"/>
          <w:numId w:val="471"/>
        </w:numPr>
        <w:tabs>
          <w:tab w:val="left" w:pos="1000"/>
        </w:tabs>
        <w:ind w:left="1000" w:hanging="360"/>
        <w:rPr>
          <w:rFonts w:eastAsia="Times New Roman"/>
          <w:szCs w:val="24"/>
        </w:rPr>
      </w:pPr>
      <w:r>
        <w:rPr>
          <w:rFonts w:eastAsia="Times New Roman"/>
          <w:szCs w:val="24"/>
        </w:rPr>
        <w:t>S</w:t>
      </w:r>
      <w:r w:rsidR="00CE6695" w:rsidRPr="00562370">
        <w:rPr>
          <w:rFonts w:eastAsia="Times New Roman"/>
          <w:szCs w:val="24"/>
        </w:rPr>
        <w:t>kládá se z hlav států (prezidenti, premiéři + předseda rady a předseda komise)</w:t>
      </w:r>
    </w:p>
    <w:p w14:paraId="4A6F5155" w14:textId="446F13AD" w:rsidR="00CE6695" w:rsidRPr="00FC3B7C" w:rsidRDefault="00D96C2F" w:rsidP="00D46B53">
      <w:pPr>
        <w:numPr>
          <w:ilvl w:val="0"/>
          <w:numId w:val="471"/>
        </w:numPr>
        <w:tabs>
          <w:tab w:val="left" w:pos="1000"/>
        </w:tabs>
        <w:ind w:left="1000" w:hanging="360"/>
        <w:rPr>
          <w:rFonts w:eastAsia="Times New Roman"/>
          <w:szCs w:val="24"/>
        </w:rPr>
      </w:pPr>
      <w:r>
        <w:rPr>
          <w:rFonts w:eastAsia="Times New Roman"/>
          <w:szCs w:val="24"/>
        </w:rPr>
        <w:t>P</w:t>
      </w:r>
      <w:r w:rsidR="00CE6695" w:rsidRPr="00FC3B7C">
        <w:rPr>
          <w:rFonts w:eastAsia="Times New Roman"/>
          <w:szCs w:val="24"/>
        </w:rPr>
        <w:t>ředseda: od 1. 12. 201</w:t>
      </w:r>
      <w:r w:rsidR="00C569A6">
        <w:rPr>
          <w:rFonts w:eastAsia="Times New Roman"/>
          <w:szCs w:val="24"/>
        </w:rPr>
        <w:t>9</w:t>
      </w:r>
      <w:r w:rsidR="00CE6695" w:rsidRPr="00FC3B7C">
        <w:rPr>
          <w:rFonts w:eastAsia="Times New Roman"/>
          <w:szCs w:val="24"/>
        </w:rPr>
        <w:t xml:space="preserve"> </w:t>
      </w:r>
      <w:r w:rsidR="00987E16">
        <w:rPr>
          <w:rFonts w:eastAsia="Times New Roman"/>
          <w:szCs w:val="24"/>
        </w:rPr>
        <w:t>Charles Michel</w:t>
      </w:r>
    </w:p>
    <w:p w14:paraId="4A6F5156" w14:textId="77777777" w:rsidR="00CE6695" w:rsidRPr="00FC3B7C" w:rsidRDefault="00CE6695" w:rsidP="00CE6695">
      <w:pPr>
        <w:sectPr w:rsidR="00CE6695" w:rsidRPr="00FC3B7C" w:rsidSect="00244780">
          <w:type w:val="continuous"/>
          <w:pgSz w:w="11900" w:h="16840"/>
          <w:pgMar w:top="1386" w:right="1420" w:bottom="1440" w:left="1420" w:header="0" w:footer="0" w:gutter="0"/>
          <w:cols w:space="708" w:equalWidth="0">
            <w:col w:w="9060"/>
          </w:cols>
        </w:sectPr>
      </w:pPr>
    </w:p>
    <w:p w14:paraId="4A6F5157" w14:textId="77777777" w:rsidR="00CE6695" w:rsidRPr="00627599" w:rsidRDefault="00CE6695" w:rsidP="00562370">
      <w:pPr>
        <w:rPr>
          <w:b/>
          <w:sz w:val="20"/>
          <w:szCs w:val="20"/>
        </w:rPr>
      </w:pPr>
      <w:bookmarkStart w:id="435" w:name="page449"/>
      <w:bookmarkEnd w:id="435"/>
      <w:r w:rsidRPr="00627599">
        <w:rPr>
          <w:rFonts w:eastAsia="Times New Roman"/>
          <w:b/>
        </w:rPr>
        <w:lastRenderedPageBreak/>
        <w:t>Evropský parlament:</w:t>
      </w:r>
    </w:p>
    <w:p w14:paraId="4A6F5158" w14:textId="77777777" w:rsidR="00CE6695" w:rsidRPr="00FC3B7C" w:rsidRDefault="00CE6695" w:rsidP="00D46B53">
      <w:pPr>
        <w:numPr>
          <w:ilvl w:val="0"/>
          <w:numId w:val="472"/>
        </w:numPr>
        <w:tabs>
          <w:tab w:val="left" w:pos="1004"/>
        </w:tabs>
        <w:ind w:left="1004" w:hanging="360"/>
        <w:rPr>
          <w:rFonts w:eastAsia="Times New Roman"/>
          <w:szCs w:val="24"/>
        </w:rPr>
      </w:pPr>
      <w:r w:rsidRPr="00FC3B7C">
        <w:rPr>
          <w:rFonts w:eastAsia="Times New Roman"/>
          <w:szCs w:val="24"/>
        </w:rPr>
        <w:t>Štrasburk, Brusel, Lucemburk, 751 poslanců volených občany EU, na 5 let</w:t>
      </w:r>
    </w:p>
    <w:p w14:paraId="4A6F5159" w14:textId="21F452A9" w:rsidR="00CE6695" w:rsidRPr="00FC3B7C" w:rsidRDefault="00D96C2F" w:rsidP="00D46B53">
      <w:pPr>
        <w:numPr>
          <w:ilvl w:val="0"/>
          <w:numId w:val="472"/>
        </w:numPr>
        <w:tabs>
          <w:tab w:val="left" w:pos="1004"/>
        </w:tabs>
        <w:ind w:left="1004" w:hanging="360"/>
        <w:rPr>
          <w:rFonts w:eastAsia="Times New Roman"/>
          <w:szCs w:val="24"/>
        </w:rPr>
      </w:pPr>
      <w:r>
        <w:rPr>
          <w:rFonts w:eastAsia="Times New Roman"/>
          <w:szCs w:val="24"/>
        </w:rPr>
        <w:t>H</w:t>
      </w:r>
      <w:r w:rsidR="00CE6695" w:rsidRPr="00FC3B7C">
        <w:rPr>
          <w:rFonts w:eastAsia="Times New Roman"/>
          <w:szCs w:val="24"/>
        </w:rPr>
        <w:t>ájí zájmy občanů</w:t>
      </w:r>
    </w:p>
    <w:p w14:paraId="4A6F515A" w14:textId="77777777" w:rsidR="00CE6695" w:rsidRPr="00FC3B7C" w:rsidRDefault="00CE6695" w:rsidP="00D46B53">
      <w:pPr>
        <w:numPr>
          <w:ilvl w:val="0"/>
          <w:numId w:val="472"/>
        </w:numPr>
        <w:tabs>
          <w:tab w:val="left" w:pos="1004"/>
        </w:tabs>
        <w:ind w:left="1004" w:hanging="360"/>
        <w:rPr>
          <w:rFonts w:eastAsia="Times New Roman"/>
          <w:szCs w:val="24"/>
        </w:rPr>
      </w:pPr>
      <w:r w:rsidRPr="00FC3B7C">
        <w:rPr>
          <w:rFonts w:eastAsia="Times New Roman"/>
          <w:szCs w:val="24"/>
        </w:rPr>
        <w:t>ČR 21 poslanců</w:t>
      </w:r>
    </w:p>
    <w:p w14:paraId="4A6F515B" w14:textId="59821028" w:rsidR="00CE6695" w:rsidRPr="00FC3B7C" w:rsidRDefault="00D96C2F" w:rsidP="00D46B53">
      <w:pPr>
        <w:numPr>
          <w:ilvl w:val="0"/>
          <w:numId w:val="472"/>
        </w:numPr>
        <w:tabs>
          <w:tab w:val="left" w:pos="1004"/>
        </w:tabs>
        <w:ind w:left="1004" w:hanging="360"/>
        <w:rPr>
          <w:rFonts w:eastAsia="Times New Roman"/>
          <w:szCs w:val="24"/>
        </w:rPr>
      </w:pPr>
      <w:r>
        <w:rPr>
          <w:rFonts w:eastAsia="Times New Roman"/>
          <w:szCs w:val="24"/>
        </w:rPr>
        <w:t>P</w:t>
      </w:r>
      <w:r w:rsidR="00CE6695" w:rsidRPr="00FC3B7C">
        <w:rPr>
          <w:rFonts w:eastAsia="Times New Roman"/>
          <w:szCs w:val="24"/>
        </w:rPr>
        <w:t xml:space="preserve">ředseda: </w:t>
      </w:r>
      <w:r w:rsidR="00987E16" w:rsidRPr="00987E16">
        <w:rPr>
          <w:rFonts w:eastAsia="Times New Roman"/>
          <w:szCs w:val="24"/>
        </w:rPr>
        <w:t>David Sassoli</w:t>
      </w:r>
    </w:p>
    <w:p w14:paraId="4A6F515C" w14:textId="77777777" w:rsidR="00CE6695" w:rsidRPr="00627599" w:rsidRDefault="00CE6695" w:rsidP="00562370">
      <w:pPr>
        <w:rPr>
          <w:b/>
          <w:sz w:val="20"/>
          <w:szCs w:val="20"/>
        </w:rPr>
      </w:pPr>
      <w:r w:rsidRPr="00627599">
        <w:rPr>
          <w:rFonts w:eastAsia="Times New Roman"/>
          <w:b/>
        </w:rPr>
        <w:t>Evropská komise:</w:t>
      </w:r>
    </w:p>
    <w:p w14:paraId="4A6F515D" w14:textId="77777777" w:rsidR="00CE6695" w:rsidRPr="00FC3B7C" w:rsidRDefault="00CE6695" w:rsidP="00D46B53">
      <w:pPr>
        <w:numPr>
          <w:ilvl w:val="0"/>
          <w:numId w:val="473"/>
        </w:numPr>
        <w:tabs>
          <w:tab w:val="left" w:pos="1004"/>
        </w:tabs>
        <w:ind w:left="1004" w:hanging="360"/>
        <w:rPr>
          <w:rFonts w:eastAsia="Times New Roman"/>
          <w:szCs w:val="24"/>
        </w:rPr>
      </w:pPr>
      <w:r w:rsidRPr="00FC3B7C">
        <w:rPr>
          <w:rFonts w:eastAsia="Times New Roman"/>
          <w:szCs w:val="24"/>
        </w:rPr>
        <w:t>Brusel, 28 komisařů, na 5 let</w:t>
      </w:r>
    </w:p>
    <w:p w14:paraId="4A6F515E" w14:textId="7E0E26D9" w:rsidR="00CE6695" w:rsidRPr="00FC3B7C" w:rsidRDefault="00D96C2F" w:rsidP="00D46B53">
      <w:pPr>
        <w:numPr>
          <w:ilvl w:val="0"/>
          <w:numId w:val="473"/>
        </w:numPr>
        <w:tabs>
          <w:tab w:val="left" w:pos="1004"/>
        </w:tabs>
        <w:ind w:left="1004" w:hanging="360"/>
        <w:rPr>
          <w:rFonts w:eastAsia="Times New Roman"/>
          <w:szCs w:val="24"/>
        </w:rPr>
      </w:pPr>
      <w:r>
        <w:rPr>
          <w:rFonts w:eastAsia="Times New Roman"/>
          <w:szCs w:val="24"/>
        </w:rPr>
        <w:t>N</w:t>
      </w:r>
      <w:r w:rsidR="00CE6695" w:rsidRPr="00FC3B7C">
        <w:rPr>
          <w:rFonts w:eastAsia="Times New Roman"/>
          <w:szCs w:val="24"/>
        </w:rPr>
        <w:t>adnárodní orgán, nezávislá na vládách států</w:t>
      </w:r>
    </w:p>
    <w:p w14:paraId="4A6F515F" w14:textId="7F9C67BD" w:rsidR="00CE6695" w:rsidRPr="00FC3B7C" w:rsidRDefault="00D96C2F" w:rsidP="00D46B53">
      <w:pPr>
        <w:numPr>
          <w:ilvl w:val="0"/>
          <w:numId w:val="473"/>
        </w:numPr>
        <w:tabs>
          <w:tab w:val="left" w:pos="1004"/>
        </w:tabs>
        <w:ind w:left="1004" w:hanging="360"/>
        <w:rPr>
          <w:rFonts w:eastAsia="Times New Roman"/>
          <w:szCs w:val="24"/>
        </w:rPr>
      </w:pPr>
      <w:r>
        <w:rPr>
          <w:rFonts w:eastAsia="Times New Roman"/>
          <w:szCs w:val="24"/>
        </w:rPr>
        <w:t>H</w:t>
      </w:r>
      <w:r w:rsidR="00CE6695" w:rsidRPr="00FC3B7C">
        <w:rPr>
          <w:rFonts w:eastAsia="Times New Roman"/>
          <w:szCs w:val="24"/>
        </w:rPr>
        <w:t>ájí zájmy EU jako celku</w:t>
      </w:r>
    </w:p>
    <w:p w14:paraId="4A6F5160" w14:textId="1F768A8D" w:rsidR="00CE6695" w:rsidRPr="00FC3B7C" w:rsidRDefault="00D96C2F" w:rsidP="00D46B53">
      <w:pPr>
        <w:numPr>
          <w:ilvl w:val="0"/>
          <w:numId w:val="473"/>
        </w:numPr>
        <w:tabs>
          <w:tab w:val="left" w:pos="1004"/>
        </w:tabs>
        <w:ind w:left="1004" w:hanging="360"/>
        <w:rPr>
          <w:rFonts w:eastAsia="Times New Roman"/>
          <w:szCs w:val="24"/>
        </w:rPr>
      </w:pPr>
      <w:r>
        <w:rPr>
          <w:rFonts w:eastAsia="Times New Roman"/>
          <w:szCs w:val="24"/>
        </w:rPr>
        <w:t>P</w:t>
      </w:r>
      <w:r w:rsidR="00CE6695" w:rsidRPr="00FC3B7C">
        <w:rPr>
          <w:rFonts w:eastAsia="Times New Roman"/>
          <w:szCs w:val="24"/>
        </w:rPr>
        <w:t xml:space="preserve">ředseda: </w:t>
      </w:r>
      <w:r w:rsidR="00987E16" w:rsidRPr="00987E16">
        <w:rPr>
          <w:rFonts w:eastAsia="Times New Roman"/>
          <w:szCs w:val="24"/>
        </w:rPr>
        <w:t>Ursula von der Leyenová</w:t>
      </w:r>
    </w:p>
    <w:p w14:paraId="4A6F5161" w14:textId="77777777" w:rsidR="00CE6695" w:rsidRPr="00FC3B7C" w:rsidRDefault="00CE6695" w:rsidP="00D46B53">
      <w:pPr>
        <w:numPr>
          <w:ilvl w:val="0"/>
          <w:numId w:val="473"/>
        </w:numPr>
        <w:tabs>
          <w:tab w:val="left" w:pos="1004"/>
        </w:tabs>
        <w:ind w:left="1004" w:hanging="360"/>
        <w:rPr>
          <w:rFonts w:eastAsia="Times New Roman"/>
          <w:szCs w:val="24"/>
        </w:rPr>
      </w:pPr>
      <w:r w:rsidRPr="00FC3B7C">
        <w:rPr>
          <w:rFonts w:eastAsia="Times New Roman"/>
          <w:szCs w:val="24"/>
        </w:rPr>
        <w:t>Věra Jourová - Spravedlnost, ochrana spotřebitelů a otázky rovnosti pohlaví</w:t>
      </w:r>
    </w:p>
    <w:p w14:paraId="4A6F5162" w14:textId="77777777" w:rsidR="00CE6695" w:rsidRPr="00627599" w:rsidRDefault="00CE6695" w:rsidP="00562370">
      <w:pPr>
        <w:rPr>
          <w:b/>
          <w:sz w:val="20"/>
          <w:szCs w:val="20"/>
        </w:rPr>
      </w:pPr>
      <w:r w:rsidRPr="00627599">
        <w:rPr>
          <w:rFonts w:eastAsia="Times New Roman"/>
          <w:b/>
        </w:rPr>
        <w:t>Rada EU (Rada ministrů):</w:t>
      </w:r>
    </w:p>
    <w:p w14:paraId="4A6F5163" w14:textId="77777777" w:rsidR="00CE6695" w:rsidRPr="00FC3B7C" w:rsidRDefault="00CE6695" w:rsidP="00D46B53">
      <w:pPr>
        <w:numPr>
          <w:ilvl w:val="0"/>
          <w:numId w:val="474"/>
        </w:numPr>
        <w:tabs>
          <w:tab w:val="left" w:pos="1004"/>
        </w:tabs>
        <w:ind w:left="1004" w:hanging="360"/>
        <w:rPr>
          <w:rFonts w:eastAsia="Times New Roman"/>
          <w:szCs w:val="24"/>
        </w:rPr>
      </w:pPr>
      <w:r w:rsidRPr="00FC3B7C">
        <w:rPr>
          <w:rFonts w:eastAsia="Times New Roman"/>
          <w:szCs w:val="24"/>
        </w:rPr>
        <w:t>Brusel, Lucemburk</w:t>
      </w:r>
    </w:p>
    <w:p w14:paraId="4A6F5164" w14:textId="2AAA1985" w:rsidR="00CE6695" w:rsidRPr="00FC3B7C" w:rsidRDefault="00D96C2F" w:rsidP="00D46B53">
      <w:pPr>
        <w:numPr>
          <w:ilvl w:val="0"/>
          <w:numId w:val="474"/>
        </w:numPr>
        <w:tabs>
          <w:tab w:val="left" w:pos="1004"/>
        </w:tabs>
        <w:ind w:left="1004" w:hanging="360"/>
        <w:rPr>
          <w:rFonts w:eastAsia="Times New Roman"/>
          <w:szCs w:val="24"/>
        </w:rPr>
      </w:pPr>
      <w:r>
        <w:rPr>
          <w:rFonts w:eastAsia="Times New Roman"/>
          <w:szCs w:val="24"/>
        </w:rPr>
        <w:t>H</w:t>
      </w:r>
      <w:r w:rsidR="00CE6695" w:rsidRPr="00FC3B7C">
        <w:rPr>
          <w:rFonts w:eastAsia="Times New Roman"/>
          <w:szCs w:val="24"/>
        </w:rPr>
        <w:t>ájí zájmy členských států</w:t>
      </w:r>
    </w:p>
    <w:p w14:paraId="4A6F5165" w14:textId="0B02237F" w:rsidR="00CE6695" w:rsidRPr="00FC3B7C" w:rsidRDefault="00D96C2F" w:rsidP="00D46B53">
      <w:pPr>
        <w:numPr>
          <w:ilvl w:val="0"/>
          <w:numId w:val="474"/>
        </w:numPr>
        <w:tabs>
          <w:tab w:val="left" w:pos="1004"/>
        </w:tabs>
        <w:ind w:left="1004" w:hanging="360"/>
        <w:rPr>
          <w:rFonts w:eastAsia="Times New Roman"/>
          <w:szCs w:val="24"/>
        </w:rPr>
      </w:pPr>
      <w:r>
        <w:rPr>
          <w:rFonts w:eastAsia="Times New Roman"/>
          <w:szCs w:val="24"/>
        </w:rPr>
        <w:t>S</w:t>
      </w:r>
      <w:r w:rsidR="00CE6695" w:rsidRPr="00FC3B7C">
        <w:rPr>
          <w:rFonts w:eastAsia="Times New Roman"/>
          <w:szCs w:val="24"/>
        </w:rPr>
        <w:t>kládá se vždy z ministrů zodpovědných za danou agendu</w:t>
      </w:r>
    </w:p>
    <w:p w14:paraId="4A6F5166" w14:textId="019B5B15" w:rsidR="00CE6695" w:rsidRPr="00FC3B7C" w:rsidRDefault="00D96C2F" w:rsidP="00D46B53">
      <w:pPr>
        <w:numPr>
          <w:ilvl w:val="0"/>
          <w:numId w:val="474"/>
        </w:numPr>
        <w:tabs>
          <w:tab w:val="left" w:pos="1004"/>
        </w:tabs>
        <w:ind w:left="1004" w:hanging="360"/>
        <w:rPr>
          <w:rFonts w:eastAsia="Times New Roman"/>
          <w:szCs w:val="24"/>
        </w:rPr>
      </w:pPr>
      <w:r>
        <w:rPr>
          <w:rFonts w:eastAsia="Times New Roman"/>
          <w:szCs w:val="24"/>
        </w:rPr>
        <w:t>P</w:t>
      </w:r>
      <w:r w:rsidR="00CE6695" w:rsidRPr="00FC3B7C">
        <w:rPr>
          <w:rFonts w:eastAsia="Times New Roman"/>
          <w:szCs w:val="24"/>
        </w:rPr>
        <w:t>ředsednictví: na půl roku, 2015/12 – Lucembursko, Itálie, 2016/06 – Nizozemsko</w:t>
      </w:r>
    </w:p>
    <w:p w14:paraId="4A6F5167" w14:textId="77777777" w:rsidR="00CE6695" w:rsidRPr="00FC3B7C" w:rsidRDefault="00CE6695" w:rsidP="00CE6695">
      <w:pPr>
        <w:spacing w:line="345" w:lineRule="exact"/>
        <w:rPr>
          <w:sz w:val="20"/>
          <w:szCs w:val="20"/>
        </w:rPr>
      </w:pPr>
    </w:p>
    <w:p w14:paraId="4A6F5168" w14:textId="2802D2E1" w:rsidR="00CE6695" w:rsidRPr="00244BB9" w:rsidRDefault="00D453CE" w:rsidP="00CE6695">
      <w:pPr>
        <w:pStyle w:val="Nadpis3"/>
        <w:rPr>
          <w:rFonts w:cs="Times New Roman"/>
          <w:color w:val="1F3864" w:themeColor="accent1" w:themeShade="80"/>
          <w:sz w:val="20"/>
          <w:szCs w:val="20"/>
        </w:rPr>
      </w:pPr>
      <w:r w:rsidRPr="00244BB9">
        <w:rPr>
          <w:rFonts w:eastAsia="Times New Roman" w:cs="Times New Roman"/>
          <w:color w:val="1F3864" w:themeColor="accent1" w:themeShade="80"/>
        </w:rPr>
        <w:t xml:space="preserve"> </w:t>
      </w:r>
      <w:r w:rsidR="00CE6695" w:rsidRPr="00244BB9">
        <w:rPr>
          <w:rFonts w:eastAsia="Times New Roman" w:cs="Times New Roman"/>
          <w:color w:val="1F3864" w:themeColor="accent1" w:themeShade="80"/>
        </w:rPr>
        <w:t>EU v datech</w:t>
      </w:r>
      <w:r w:rsidR="00562370" w:rsidRPr="00244BB9">
        <w:rPr>
          <w:rStyle w:val="Znakapoznpodarou"/>
          <w:rFonts w:cs="Times New Roman"/>
          <w:color w:val="1F3864" w:themeColor="accent1" w:themeShade="80"/>
          <w:sz w:val="20"/>
          <w:szCs w:val="20"/>
        </w:rPr>
        <w:footnoteReference w:id="45"/>
      </w:r>
    </w:p>
    <w:p w14:paraId="4A6F5169" w14:textId="69080F34" w:rsidR="00CE6695" w:rsidRPr="00627599" w:rsidRDefault="00CE6695" w:rsidP="00562370">
      <w:pPr>
        <w:rPr>
          <w:b/>
          <w:sz w:val="20"/>
          <w:szCs w:val="20"/>
        </w:rPr>
      </w:pPr>
      <w:r w:rsidRPr="00627599">
        <w:rPr>
          <w:rFonts w:eastAsia="Times New Roman"/>
          <w:b/>
        </w:rPr>
        <w:t>EU2</w:t>
      </w:r>
      <w:r w:rsidR="00AD46EA">
        <w:rPr>
          <w:rFonts w:eastAsia="Times New Roman"/>
          <w:b/>
        </w:rPr>
        <w:t>7</w:t>
      </w:r>
      <w:r w:rsidRPr="00627599">
        <w:rPr>
          <w:rFonts w:eastAsia="Times New Roman"/>
          <w:b/>
        </w:rPr>
        <w:t>:</w:t>
      </w:r>
    </w:p>
    <w:p w14:paraId="4A6F516A" w14:textId="6A3E6834" w:rsidR="00CE6695" w:rsidRPr="00FC3B7C" w:rsidRDefault="00CE6695" w:rsidP="00D46B53">
      <w:pPr>
        <w:numPr>
          <w:ilvl w:val="0"/>
          <w:numId w:val="475"/>
        </w:numPr>
        <w:tabs>
          <w:tab w:val="left" w:pos="1004"/>
        </w:tabs>
        <w:ind w:left="1004" w:hanging="360"/>
        <w:rPr>
          <w:rFonts w:eastAsia="Arial"/>
          <w:szCs w:val="24"/>
        </w:rPr>
      </w:pPr>
      <w:r w:rsidRPr="00FC3B7C">
        <w:rPr>
          <w:rFonts w:eastAsia="Times New Roman"/>
          <w:szCs w:val="24"/>
        </w:rPr>
        <w:t>obyvatelé: 5</w:t>
      </w:r>
      <w:r w:rsidR="00611D0C">
        <w:rPr>
          <w:rFonts w:eastAsia="Times New Roman"/>
          <w:szCs w:val="24"/>
        </w:rPr>
        <w:t>13,5</w:t>
      </w:r>
      <w:r w:rsidRPr="00FC3B7C">
        <w:rPr>
          <w:rFonts w:eastAsia="Times New Roman"/>
          <w:szCs w:val="24"/>
        </w:rPr>
        <w:t xml:space="preserve"> mil.</w:t>
      </w:r>
    </w:p>
    <w:p w14:paraId="4A6F516B" w14:textId="55D8A343" w:rsidR="00CE6695" w:rsidRPr="00FC3B7C" w:rsidRDefault="00CE6695" w:rsidP="00D46B53">
      <w:pPr>
        <w:numPr>
          <w:ilvl w:val="0"/>
          <w:numId w:val="475"/>
        </w:numPr>
        <w:tabs>
          <w:tab w:val="left" w:pos="1004"/>
        </w:tabs>
        <w:ind w:left="1004" w:hanging="360"/>
        <w:rPr>
          <w:rFonts w:eastAsia="Arial"/>
          <w:szCs w:val="24"/>
        </w:rPr>
      </w:pPr>
      <w:r w:rsidRPr="00FC3B7C">
        <w:rPr>
          <w:rFonts w:eastAsia="Times New Roman"/>
          <w:szCs w:val="24"/>
        </w:rPr>
        <w:t xml:space="preserve">nezaměstnanost: </w:t>
      </w:r>
      <w:r w:rsidR="00611D0C">
        <w:rPr>
          <w:rFonts w:eastAsia="Times New Roman"/>
          <w:szCs w:val="24"/>
        </w:rPr>
        <w:t>6,2</w:t>
      </w:r>
      <w:r w:rsidR="00611D0C" w:rsidRPr="00FC3B7C">
        <w:rPr>
          <w:rFonts w:eastAsia="Times New Roman"/>
          <w:szCs w:val="24"/>
        </w:rPr>
        <w:t xml:space="preserve"> </w:t>
      </w:r>
      <w:r w:rsidRPr="00FC3B7C">
        <w:rPr>
          <w:rFonts w:eastAsia="Times New Roman"/>
          <w:szCs w:val="24"/>
        </w:rPr>
        <w:t>%</w:t>
      </w:r>
    </w:p>
    <w:p w14:paraId="4A6F516C" w14:textId="5E00815E" w:rsidR="00CE6695" w:rsidRPr="00FC3B7C" w:rsidRDefault="00CE6695" w:rsidP="00D46B53">
      <w:pPr>
        <w:numPr>
          <w:ilvl w:val="0"/>
          <w:numId w:val="475"/>
        </w:numPr>
        <w:tabs>
          <w:tab w:val="left" w:pos="1004"/>
        </w:tabs>
        <w:ind w:left="1004" w:hanging="360"/>
        <w:rPr>
          <w:rFonts w:eastAsia="Arial"/>
          <w:szCs w:val="24"/>
        </w:rPr>
      </w:pPr>
      <w:r w:rsidRPr="00FC3B7C">
        <w:rPr>
          <w:rFonts w:eastAsia="Times New Roman"/>
          <w:szCs w:val="24"/>
        </w:rPr>
        <w:t xml:space="preserve">inflace: </w:t>
      </w:r>
      <w:r w:rsidR="00AD46EA">
        <w:rPr>
          <w:rFonts w:eastAsia="Times New Roman"/>
          <w:szCs w:val="24"/>
        </w:rPr>
        <w:t>1,4</w:t>
      </w:r>
      <w:r w:rsidRPr="00FC3B7C">
        <w:rPr>
          <w:rFonts w:eastAsia="Times New Roman"/>
          <w:szCs w:val="24"/>
        </w:rPr>
        <w:t xml:space="preserve"> %</w:t>
      </w:r>
    </w:p>
    <w:p w14:paraId="4A6F516D" w14:textId="1B3CCDFC" w:rsidR="00CE6695" w:rsidRPr="00FC3B7C" w:rsidRDefault="00CE6695" w:rsidP="00D46B53">
      <w:pPr>
        <w:numPr>
          <w:ilvl w:val="0"/>
          <w:numId w:val="475"/>
        </w:numPr>
        <w:tabs>
          <w:tab w:val="left" w:pos="1004"/>
        </w:tabs>
        <w:ind w:left="1004" w:hanging="360"/>
        <w:rPr>
          <w:rFonts w:eastAsia="Arial"/>
          <w:szCs w:val="24"/>
        </w:rPr>
      </w:pPr>
      <w:r w:rsidRPr="00FC3B7C">
        <w:rPr>
          <w:rFonts w:eastAsia="Times New Roman"/>
          <w:szCs w:val="24"/>
        </w:rPr>
        <w:t xml:space="preserve">ekonomický růst: </w:t>
      </w:r>
      <w:r w:rsidR="00AD46EA">
        <w:rPr>
          <w:rFonts w:eastAsia="Times New Roman"/>
          <w:szCs w:val="24"/>
        </w:rPr>
        <w:t>-2</w:t>
      </w:r>
      <w:r w:rsidRPr="00FC3B7C">
        <w:rPr>
          <w:rFonts w:eastAsia="Times New Roman"/>
          <w:szCs w:val="24"/>
        </w:rPr>
        <w:t>,</w:t>
      </w:r>
      <w:r w:rsidR="00AD46EA">
        <w:rPr>
          <w:rFonts w:eastAsia="Times New Roman"/>
          <w:szCs w:val="24"/>
        </w:rPr>
        <w:t>7</w:t>
      </w:r>
      <w:r w:rsidRPr="00FC3B7C">
        <w:rPr>
          <w:rFonts w:eastAsia="Times New Roman"/>
          <w:szCs w:val="24"/>
        </w:rPr>
        <w:t>%</w:t>
      </w:r>
    </w:p>
    <w:p w14:paraId="4A6F516E" w14:textId="77777777" w:rsidR="00CE6695" w:rsidRPr="00FC3B7C" w:rsidRDefault="00CE6695" w:rsidP="00562370">
      <w:pPr>
        <w:rPr>
          <w:sz w:val="20"/>
          <w:szCs w:val="20"/>
        </w:rPr>
      </w:pPr>
    </w:p>
    <w:p w14:paraId="4A6F516F" w14:textId="687B4850" w:rsidR="00CE6695" w:rsidRPr="00627599" w:rsidRDefault="00CE6695" w:rsidP="00562370">
      <w:pPr>
        <w:rPr>
          <w:b/>
          <w:sz w:val="20"/>
          <w:szCs w:val="20"/>
        </w:rPr>
      </w:pPr>
      <w:r w:rsidRPr="00627599">
        <w:rPr>
          <w:rFonts w:eastAsia="Times New Roman"/>
          <w:b/>
        </w:rPr>
        <w:t>EU1</w:t>
      </w:r>
      <w:r w:rsidR="00611D0C">
        <w:rPr>
          <w:rFonts w:eastAsia="Times New Roman"/>
          <w:b/>
        </w:rPr>
        <w:t>9</w:t>
      </w:r>
      <w:r w:rsidRPr="00627599">
        <w:rPr>
          <w:rFonts w:eastAsia="Times New Roman"/>
          <w:b/>
        </w:rPr>
        <w:t xml:space="preserve"> (eurozóna):</w:t>
      </w:r>
    </w:p>
    <w:p w14:paraId="4A6F5170" w14:textId="71D13DE0" w:rsidR="00CE6695" w:rsidRPr="00FC3B7C" w:rsidRDefault="00CE6695" w:rsidP="00D46B53">
      <w:pPr>
        <w:numPr>
          <w:ilvl w:val="0"/>
          <w:numId w:val="476"/>
        </w:numPr>
        <w:tabs>
          <w:tab w:val="left" w:pos="1004"/>
        </w:tabs>
        <w:ind w:left="1004" w:hanging="360"/>
        <w:rPr>
          <w:rFonts w:eastAsia="Arial"/>
          <w:szCs w:val="24"/>
        </w:rPr>
      </w:pPr>
      <w:r w:rsidRPr="00FC3B7C">
        <w:rPr>
          <w:rFonts w:eastAsia="Times New Roman"/>
          <w:szCs w:val="24"/>
        </w:rPr>
        <w:t>obyvatelé: 3</w:t>
      </w:r>
      <w:r w:rsidR="00611D0C">
        <w:rPr>
          <w:rFonts w:eastAsia="Times New Roman"/>
          <w:szCs w:val="24"/>
        </w:rPr>
        <w:t xml:space="preserve">42 </w:t>
      </w:r>
      <w:r w:rsidRPr="00FC3B7C">
        <w:rPr>
          <w:rFonts w:eastAsia="Times New Roman"/>
          <w:szCs w:val="24"/>
        </w:rPr>
        <w:t>mil.</w:t>
      </w:r>
    </w:p>
    <w:p w14:paraId="4A6F5171" w14:textId="3B314B7A" w:rsidR="00CE6695" w:rsidRPr="00FC3B7C" w:rsidRDefault="00CE6695" w:rsidP="00D46B53">
      <w:pPr>
        <w:numPr>
          <w:ilvl w:val="0"/>
          <w:numId w:val="476"/>
        </w:numPr>
        <w:tabs>
          <w:tab w:val="left" w:pos="1004"/>
        </w:tabs>
        <w:ind w:left="1004" w:hanging="360"/>
        <w:rPr>
          <w:rFonts w:eastAsia="Arial"/>
          <w:szCs w:val="24"/>
        </w:rPr>
      </w:pPr>
      <w:r w:rsidRPr="00FC3B7C">
        <w:rPr>
          <w:rFonts w:eastAsia="Times New Roman"/>
          <w:szCs w:val="24"/>
        </w:rPr>
        <w:t xml:space="preserve">nezaměstnanost: </w:t>
      </w:r>
      <w:r w:rsidR="00611D0C">
        <w:rPr>
          <w:rFonts w:eastAsia="Times New Roman"/>
          <w:szCs w:val="24"/>
        </w:rPr>
        <w:t>7</w:t>
      </w:r>
      <w:r w:rsidRPr="00FC3B7C">
        <w:rPr>
          <w:rFonts w:eastAsia="Times New Roman"/>
          <w:szCs w:val="24"/>
        </w:rPr>
        <w:t>,</w:t>
      </w:r>
      <w:r w:rsidR="00611D0C">
        <w:rPr>
          <w:rFonts w:eastAsia="Times New Roman"/>
          <w:szCs w:val="24"/>
        </w:rPr>
        <w:t>4</w:t>
      </w:r>
      <w:r w:rsidRPr="00FC3B7C">
        <w:rPr>
          <w:rFonts w:eastAsia="Times New Roman"/>
          <w:szCs w:val="24"/>
        </w:rPr>
        <w:t>%</w:t>
      </w:r>
    </w:p>
    <w:p w14:paraId="4A6F5172" w14:textId="38A1AEF2" w:rsidR="00CE6695" w:rsidRPr="00FC3B7C" w:rsidRDefault="00CE6695" w:rsidP="00D46B53">
      <w:pPr>
        <w:numPr>
          <w:ilvl w:val="0"/>
          <w:numId w:val="476"/>
        </w:numPr>
        <w:tabs>
          <w:tab w:val="left" w:pos="1004"/>
        </w:tabs>
        <w:ind w:left="1004" w:hanging="360"/>
        <w:rPr>
          <w:rFonts w:eastAsia="Arial"/>
          <w:szCs w:val="24"/>
        </w:rPr>
      </w:pPr>
      <w:r w:rsidRPr="00FC3B7C">
        <w:rPr>
          <w:rFonts w:eastAsia="Times New Roman"/>
          <w:szCs w:val="24"/>
        </w:rPr>
        <w:t>inflace: 0,</w:t>
      </w:r>
      <w:r w:rsidR="00AD46EA">
        <w:rPr>
          <w:rFonts w:eastAsia="Times New Roman"/>
          <w:szCs w:val="24"/>
        </w:rPr>
        <w:t>2</w:t>
      </w:r>
      <w:r w:rsidRPr="00FC3B7C">
        <w:rPr>
          <w:rFonts w:eastAsia="Times New Roman"/>
          <w:szCs w:val="24"/>
        </w:rPr>
        <w:t>%</w:t>
      </w:r>
    </w:p>
    <w:p w14:paraId="4A6F5173" w14:textId="0ED89460" w:rsidR="00CE6695" w:rsidRPr="00FC3B7C" w:rsidRDefault="00CE6695" w:rsidP="00D46B53">
      <w:pPr>
        <w:numPr>
          <w:ilvl w:val="0"/>
          <w:numId w:val="476"/>
        </w:numPr>
        <w:tabs>
          <w:tab w:val="left" w:pos="1004"/>
        </w:tabs>
        <w:ind w:left="1004" w:hanging="360"/>
        <w:rPr>
          <w:rFonts w:eastAsia="Arial"/>
          <w:szCs w:val="24"/>
        </w:rPr>
      </w:pPr>
      <w:r w:rsidRPr="00FC3B7C">
        <w:rPr>
          <w:rFonts w:eastAsia="Times New Roman"/>
          <w:szCs w:val="24"/>
        </w:rPr>
        <w:t xml:space="preserve">ekonomický růst: </w:t>
      </w:r>
      <w:r w:rsidR="00AD46EA">
        <w:rPr>
          <w:rFonts w:eastAsia="Times New Roman"/>
          <w:szCs w:val="24"/>
        </w:rPr>
        <w:t>-3,8</w:t>
      </w:r>
      <w:r w:rsidRPr="00FC3B7C">
        <w:rPr>
          <w:rFonts w:eastAsia="Times New Roman"/>
          <w:szCs w:val="24"/>
        </w:rPr>
        <w:t>%</w:t>
      </w:r>
    </w:p>
    <w:p w14:paraId="4A6F5174" w14:textId="77777777" w:rsidR="00CE6695" w:rsidRPr="00FC3B7C" w:rsidRDefault="00CE6695" w:rsidP="00CE6695">
      <w:pPr>
        <w:spacing w:line="20" w:lineRule="exact"/>
        <w:rPr>
          <w:sz w:val="20"/>
          <w:szCs w:val="20"/>
        </w:rPr>
      </w:pPr>
    </w:p>
    <w:p w14:paraId="4A6F5175" w14:textId="77777777" w:rsidR="00CE6695" w:rsidRPr="00FC3B7C" w:rsidRDefault="00CE6695" w:rsidP="00CE6695">
      <w:pPr>
        <w:spacing w:line="200" w:lineRule="exact"/>
        <w:rPr>
          <w:sz w:val="20"/>
          <w:szCs w:val="20"/>
        </w:rPr>
      </w:pPr>
    </w:p>
    <w:p w14:paraId="4A6F5176" w14:textId="77777777" w:rsidR="00CE6695" w:rsidRPr="00FC3B7C" w:rsidRDefault="00CE6695" w:rsidP="00CE6695">
      <w:pPr>
        <w:spacing w:line="200" w:lineRule="exact"/>
        <w:rPr>
          <w:sz w:val="20"/>
          <w:szCs w:val="20"/>
        </w:rPr>
      </w:pPr>
    </w:p>
    <w:p w14:paraId="4A6F5177" w14:textId="77777777" w:rsidR="00CE6695" w:rsidRPr="00FC3B7C" w:rsidRDefault="00CE6695" w:rsidP="00CE6695">
      <w:pPr>
        <w:spacing w:line="200" w:lineRule="exact"/>
        <w:rPr>
          <w:sz w:val="20"/>
          <w:szCs w:val="20"/>
        </w:rPr>
      </w:pPr>
    </w:p>
    <w:p w14:paraId="4A6F5178" w14:textId="64E10828" w:rsidR="00CE6695" w:rsidRPr="00D453CE" w:rsidRDefault="00D453CE" w:rsidP="00CE6695">
      <w:pPr>
        <w:pStyle w:val="Nadpis3"/>
        <w:rPr>
          <w:rFonts w:cs="Times New Roman"/>
          <w:color w:val="1F3864" w:themeColor="accent1" w:themeShade="80"/>
          <w:sz w:val="20"/>
          <w:szCs w:val="20"/>
        </w:rPr>
      </w:pPr>
      <w:bookmarkStart w:id="436" w:name="page450"/>
      <w:bookmarkEnd w:id="436"/>
      <w:r w:rsidRPr="00D453CE">
        <w:rPr>
          <w:rFonts w:eastAsia="Times New Roman" w:cs="Times New Roman"/>
          <w:color w:val="1F3864" w:themeColor="accent1" w:themeShade="80"/>
        </w:rPr>
        <w:lastRenderedPageBreak/>
        <w:t xml:space="preserve"> </w:t>
      </w:r>
      <w:r w:rsidR="00CE6695" w:rsidRPr="00D453CE">
        <w:rPr>
          <w:rFonts w:eastAsia="Times New Roman" w:cs="Times New Roman"/>
          <w:color w:val="1F3864" w:themeColor="accent1" w:themeShade="80"/>
        </w:rPr>
        <w:t>Nejdůležitější smlouvy</w:t>
      </w:r>
    </w:p>
    <w:p w14:paraId="4A6F5179" w14:textId="77777777" w:rsidR="00CE6695" w:rsidRPr="00FC3B7C" w:rsidRDefault="00CE6695" w:rsidP="00562370">
      <w:pPr>
        <w:rPr>
          <w:sz w:val="20"/>
          <w:szCs w:val="20"/>
        </w:rPr>
      </w:pPr>
      <w:r w:rsidRPr="00FC3B7C">
        <w:rPr>
          <w:rFonts w:eastAsia="Times New Roman"/>
          <w:b/>
          <w:bCs/>
        </w:rPr>
        <w:t xml:space="preserve">Římské smlouvy </w:t>
      </w:r>
      <w:r w:rsidRPr="00FC3B7C">
        <w:rPr>
          <w:rFonts w:eastAsia="Times New Roman"/>
        </w:rPr>
        <w:t>– vznik EHS, EUROATOM</w:t>
      </w:r>
    </w:p>
    <w:p w14:paraId="4A6F517A" w14:textId="77777777" w:rsidR="00CE6695" w:rsidRPr="00FC3B7C" w:rsidRDefault="00CE6695" w:rsidP="00562370">
      <w:pPr>
        <w:rPr>
          <w:sz w:val="20"/>
          <w:szCs w:val="20"/>
        </w:rPr>
      </w:pPr>
      <w:r w:rsidRPr="00FC3B7C">
        <w:rPr>
          <w:rFonts w:eastAsia="Times New Roman"/>
          <w:b/>
          <w:bCs/>
        </w:rPr>
        <w:t xml:space="preserve">Jednotný evropský akt </w:t>
      </w:r>
      <w:r w:rsidRPr="00FC3B7C">
        <w:rPr>
          <w:rFonts w:eastAsia="Times New Roman"/>
        </w:rPr>
        <w:t>– první revize smluv, definován vnitřní trh (volný</w:t>
      </w:r>
      <w:r w:rsidRPr="00FC3B7C">
        <w:rPr>
          <w:rFonts w:eastAsia="Times New Roman"/>
          <w:b/>
          <w:bCs/>
        </w:rPr>
        <w:t xml:space="preserve"> </w:t>
      </w:r>
      <w:r w:rsidRPr="00FC3B7C">
        <w:rPr>
          <w:rFonts w:eastAsia="Times New Roman"/>
        </w:rPr>
        <w:t>pohyb osob, zboží,</w:t>
      </w:r>
    </w:p>
    <w:p w14:paraId="4A6F517B" w14:textId="77777777" w:rsidR="00CE6695" w:rsidRPr="00FC3B7C" w:rsidRDefault="00CE6695" w:rsidP="00562370">
      <w:pPr>
        <w:rPr>
          <w:sz w:val="20"/>
          <w:szCs w:val="20"/>
        </w:rPr>
      </w:pPr>
      <w:r w:rsidRPr="00FC3B7C">
        <w:rPr>
          <w:rFonts w:eastAsia="Times New Roman"/>
          <w:szCs w:val="24"/>
        </w:rPr>
        <w:t>služeb a kapitálu</w:t>
      </w:r>
    </w:p>
    <w:p w14:paraId="4A6F517C" w14:textId="77777777" w:rsidR="00CE6695" w:rsidRPr="00FC3B7C" w:rsidRDefault="00CE6695" w:rsidP="00562370">
      <w:pPr>
        <w:rPr>
          <w:sz w:val="20"/>
          <w:szCs w:val="20"/>
        </w:rPr>
      </w:pPr>
      <w:r w:rsidRPr="00FC3B7C">
        <w:rPr>
          <w:rFonts w:eastAsia="Times New Roman"/>
          <w:b/>
          <w:bCs/>
        </w:rPr>
        <w:t xml:space="preserve">Maastrichtská smlouva </w:t>
      </w:r>
      <w:r w:rsidRPr="00FC3B7C">
        <w:rPr>
          <w:rFonts w:eastAsia="Times New Roman"/>
        </w:rPr>
        <w:t>– přeměna na EU, pilířová struktura, konvergenční kritéria</w:t>
      </w:r>
      <w:r w:rsidRPr="00FC3B7C">
        <w:rPr>
          <w:rFonts w:eastAsia="Times New Roman"/>
          <w:b/>
          <w:bCs/>
        </w:rPr>
        <w:t xml:space="preserve"> Lisabonská smlouva </w:t>
      </w:r>
      <w:r w:rsidRPr="00FC3B7C">
        <w:rPr>
          <w:rFonts w:eastAsia="Times New Roman"/>
        </w:rPr>
        <w:t>- revize smluv, EU získává právní subjektivitu</w:t>
      </w:r>
    </w:p>
    <w:p w14:paraId="4A6F517D" w14:textId="77777777" w:rsidR="00CE6695" w:rsidRPr="00FC3B7C" w:rsidRDefault="00CE6695" w:rsidP="00CE6695">
      <w:pPr>
        <w:rPr>
          <w:sz w:val="20"/>
          <w:szCs w:val="20"/>
        </w:rPr>
      </w:pPr>
    </w:p>
    <w:p w14:paraId="4A6F517E" w14:textId="77777777" w:rsidR="00CE6695" w:rsidRPr="00FC3B7C" w:rsidRDefault="00CE6695" w:rsidP="00CE6695">
      <w:pPr>
        <w:rPr>
          <w:sz w:val="20"/>
          <w:szCs w:val="20"/>
        </w:rPr>
      </w:pPr>
    </w:p>
    <w:p w14:paraId="4A6F517F" w14:textId="77777777" w:rsidR="00CE6695" w:rsidRPr="00FC3B7C" w:rsidRDefault="00CE6695" w:rsidP="00CE6695">
      <w:pPr>
        <w:rPr>
          <w:sz w:val="20"/>
          <w:szCs w:val="20"/>
        </w:rPr>
      </w:pPr>
    </w:p>
    <w:p w14:paraId="4A6F5180" w14:textId="77777777" w:rsidR="00CE6695" w:rsidRPr="00FC3B7C" w:rsidRDefault="00CE6695" w:rsidP="00CE6695">
      <w:pPr>
        <w:rPr>
          <w:sz w:val="20"/>
          <w:szCs w:val="20"/>
        </w:rPr>
      </w:pPr>
    </w:p>
    <w:p w14:paraId="4A6F5181" w14:textId="77777777" w:rsidR="00CE6695" w:rsidRPr="00FC3B7C" w:rsidRDefault="00CE6695" w:rsidP="00CE6695">
      <w:pPr>
        <w:rPr>
          <w:sz w:val="20"/>
          <w:szCs w:val="20"/>
        </w:rPr>
      </w:pPr>
    </w:p>
    <w:p w14:paraId="4A6F5182" w14:textId="77777777" w:rsidR="00CE6695" w:rsidRPr="00FC3B7C" w:rsidRDefault="00CE6695" w:rsidP="00CE6695">
      <w:pPr>
        <w:rPr>
          <w:sz w:val="20"/>
          <w:szCs w:val="20"/>
        </w:rPr>
      </w:pPr>
    </w:p>
    <w:p w14:paraId="4A6F5183" w14:textId="77777777" w:rsidR="00CE6695" w:rsidRPr="00FC3B7C" w:rsidRDefault="00CE6695" w:rsidP="00CE6695">
      <w:pPr>
        <w:rPr>
          <w:sz w:val="20"/>
          <w:szCs w:val="20"/>
        </w:rPr>
      </w:pPr>
    </w:p>
    <w:p w14:paraId="4A6F5184" w14:textId="77777777" w:rsidR="00CE6695" w:rsidRPr="00FC3B7C" w:rsidRDefault="00CE6695" w:rsidP="00CE6695">
      <w:pPr>
        <w:rPr>
          <w:sz w:val="20"/>
          <w:szCs w:val="20"/>
        </w:rPr>
      </w:pPr>
    </w:p>
    <w:p w14:paraId="4A6F5185" w14:textId="77777777" w:rsidR="00CE6695" w:rsidRPr="00FC3B7C" w:rsidRDefault="00CE6695" w:rsidP="00CE6695">
      <w:pPr>
        <w:rPr>
          <w:sz w:val="20"/>
          <w:szCs w:val="20"/>
        </w:rPr>
      </w:pPr>
    </w:p>
    <w:p w14:paraId="4A6F5186" w14:textId="77777777" w:rsidR="00CE6695" w:rsidRPr="00FC3B7C" w:rsidRDefault="00CE6695" w:rsidP="00CE6695">
      <w:pPr>
        <w:rPr>
          <w:sz w:val="20"/>
          <w:szCs w:val="20"/>
        </w:rPr>
      </w:pPr>
    </w:p>
    <w:p w14:paraId="4A6F5187" w14:textId="77777777" w:rsidR="00CE6695" w:rsidRPr="00FC3B7C" w:rsidRDefault="00CE6695" w:rsidP="00CE6695">
      <w:pPr>
        <w:rPr>
          <w:sz w:val="20"/>
          <w:szCs w:val="20"/>
        </w:rPr>
      </w:pPr>
    </w:p>
    <w:p w14:paraId="4A6F5188" w14:textId="77777777" w:rsidR="00CE6695" w:rsidRPr="00FC3B7C" w:rsidRDefault="00CE6695" w:rsidP="00CE6695">
      <w:pPr>
        <w:rPr>
          <w:sz w:val="20"/>
          <w:szCs w:val="20"/>
        </w:rPr>
      </w:pPr>
    </w:p>
    <w:p w14:paraId="4A6F5189" w14:textId="77777777" w:rsidR="00CE6695" w:rsidRPr="00FC3B7C" w:rsidRDefault="00CE6695" w:rsidP="00CE6695">
      <w:pPr>
        <w:rPr>
          <w:sz w:val="20"/>
          <w:szCs w:val="20"/>
        </w:rPr>
      </w:pPr>
    </w:p>
    <w:p w14:paraId="4A6F518A" w14:textId="77777777" w:rsidR="00CE6695" w:rsidRPr="00FC3B7C" w:rsidRDefault="00CE6695" w:rsidP="00CE6695">
      <w:pPr>
        <w:rPr>
          <w:sz w:val="20"/>
          <w:szCs w:val="20"/>
        </w:rPr>
      </w:pPr>
    </w:p>
    <w:p w14:paraId="4A6F518B" w14:textId="77777777" w:rsidR="00CE6695" w:rsidRPr="00FC3B7C" w:rsidRDefault="00CE6695" w:rsidP="00CE6695">
      <w:pPr>
        <w:rPr>
          <w:sz w:val="20"/>
          <w:szCs w:val="20"/>
        </w:rPr>
      </w:pPr>
    </w:p>
    <w:p w14:paraId="4A6F518C" w14:textId="77777777" w:rsidR="00CE6695" w:rsidRPr="00FC3B7C" w:rsidRDefault="00CE6695" w:rsidP="00CE6695">
      <w:pPr>
        <w:rPr>
          <w:sz w:val="20"/>
          <w:szCs w:val="20"/>
        </w:rPr>
      </w:pPr>
    </w:p>
    <w:p w14:paraId="4A6F518D" w14:textId="77777777" w:rsidR="00CE6695" w:rsidRPr="00FC3B7C" w:rsidRDefault="00CE6695" w:rsidP="00CE6695">
      <w:pPr>
        <w:rPr>
          <w:sz w:val="20"/>
          <w:szCs w:val="20"/>
        </w:rPr>
      </w:pPr>
    </w:p>
    <w:p w14:paraId="4A6F518E" w14:textId="77777777" w:rsidR="00CE6695" w:rsidRPr="00FC3B7C" w:rsidRDefault="00CE6695" w:rsidP="00CE6695">
      <w:pPr>
        <w:rPr>
          <w:sz w:val="20"/>
          <w:szCs w:val="20"/>
        </w:rPr>
      </w:pPr>
    </w:p>
    <w:p w14:paraId="4A6F518F" w14:textId="77777777" w:rsidR="00CE6695" w:rsidRPr="00FC3B7C" w:rsidRDefault="00CE6695" w:rsidP="00CE6695">
      <w:pPr>
        <w:rPr>
          <w:sz w:val="20"/>
          <w:szCs w:val="20"/>
        </w:rPr>
      </w:pPr>
    </w:p>
    <w:p w14:paraId="4A6F5190" w14:textId="77777777" w:rsidR="00CE6695" w:rsidRPr="00FC3B7C" w:rsidRDefault="00CE6695" w:rsidP="00CE6695">
      <w:pPr>
        <w:rPr>
          <w:sz w:val="20"/>
          <w:szCs w:val="20"/>
        </w:rPr>
      </w:pPr>
    </w:p>
    <w:p w14:paraId="4A6F5191" w14:textId="77777777" w:rsidR="00CE6695" w:rsidRPr="00FC3B7C" w:rsidRDefault="00CE6695" w:rsidP="00CE6695">
      <w:pPr>
        <w:rPr>
          <w:sz w:val="20"/>
          <w:szCs w:val="20"/>
        </w:rPr>
      </w:pPr>
    </w:p>
    <w:p w14:paraId="4A6F5192" w14:textId="77777777" w:rsidR="00CE6695" w:rsidRPr="00FC3B7C" w:rsidRDefault="00CE6695" w:rsidP="00CE6695">
      <w:pPr>
        <w:rPr>
          <w:sz w:val="20"/>
          <w:szCs w:val="20"/>
        </w:rPr>
      </w:pPr>
    </w:p>
    <w:p w14:paraId="4A6F5193" w14:textId="77777777" w:rsidR="00CE6695" w:rsidRPr="00FC3B7C" w:rsidRDefault="00CE6695" w:rsidP="00CE6695">
      <w:pPr>
        <w:rPr>
          <w:sz w:val="20"/>
          <w:szCs w:val="20"/>
        </w:rPr>
      </w:pPr>
    </w:p>
    <w:p w14:paraId="4A6F5194" w14:textId="77777777" w:rsidR="00CE6695" w:rsidRPr="00FC3B7C" w:rsidRDefault="00CE6695" w:rsidP="00CE6695">
      <w:pPr>
        <w:rPr>
          <w:sz w:val="20"/>
          <w:szCs w:val="20"/>
        </w:rPr>
      </w:pPr>
    </w:p>
    <w:p w14:paraId="4A6F5195" w14:textId="77777777" w:rsidR="00CE6695" w:rsidRPr="00FC3B7C" w:rsidRDefault="00CE6695" w:rsidP="00CE6695">
      <w:pPr>
        <w:rPr>
          <w:sz w:val="20"/>
          <w:szCs w:val="20"/>
        </w:rPr>
      </w:pPr>
    </w:p>
    <w:p w14:paraId="4A6F5196" w14:textId="77777777" w:rsidR="00CE6695" w:rsidRPr="00FC3B7C" w:rsidRDefault="00CE6695" w:rsidP="00CE6695">
      <w:pPr>
        <w:rPr>
          <w:sz w:val="20"/>
          <w:szCs w:val="20"/>
        </w:rPr>
      </w:pPr>
    </w:p>
    <w:p w14:paraId="4A6F5197" w14:textId="77777777" w:rsidR="00CE6695" w:rsidRPr="00FC3B7C" w:rsidRDefault="00CE6695" w:rsidP="00CE6695">
      <w:pPr>
        <w:rPr>
          <w:sz w:val="20"/>
          <w:szCs w:val="20"/>
        </w:rPr>
      </w:pPr>
    </w:p>
    <w:p w14:paraId="4A6F5198" w14:textId="77777777" w:rsidR="00562370" w:rsidRDefault="00562370">
      <w:pPr>
        <w:spacing w:line="240" w:lineRule="auto"/>
        <w:jc w:val="left"/>
        <w:rPr>
          <w:sz w:val="20"/>
          <w:szCs w:val="20"/>
        </w:rPr>
      </w:pPr>
      <w:r>
        <w:rPr>
          <w:sz w:val="20"/>
          <w:szCs w:val="20"/>
        </w:rPr>
        <w:br w:type="page"/>
      </w:r>
    </w:p>
    <w:p w14:paraId="4A6F5199" w14:textId="77777777" w:rsidR="00CE6695" w:rsidRPr="00627599" w:rsidRDefault="00CE6695" w:rsidP="00627599">
      <w:pPr>
        <w:rPr>
          <w:b/>
          <w:sz w:val="32"/>
          <w:szCs w:val="32"/>
        </w:rPr>
      </w:pPr>
      <w:r w:rsidRPr="00627599">
        <w:rPr>
          <w:rFonts w:eastAsia="Times New Roman"/>
          <w:b/>
          <w:sz w:val="32"/>
          <w:szCs w:val="32"/>
        </w:rPr>
        <w:lastRenderedPageBreak/>
        <w:t>Zdroje:</w:t>
      </w:r>
    </w:p>
    <w:p w14:paraId="4A6F519A" w14:textId="77777777" w:rsidR="00CE6695" w:rsidRPr="00FC3B7C" w:rsidRDefault="00CE6695" w:rsidP="00CE6695">
      <w:pPr>
        <w:spacing w:line="200" w:lineRule="exact"/>
        <w:rPr>
          <w:sz w:val="20"/>
          <w:szCs w:val="20"/>
        </w:rPr>
      </w:pPr>
    </w:p>
    <w:p w14:paraId="4A6F519B" w14:textId="77777777" w:rsidR="00CE6695" w:rsidRPr="00FC3B7C" w:rsidRDefault="00CE6695" w:rsidP="00CE6695">
      <w:pPr>
        <w:spacing w:line="214" w:lineRule="exact"/>
        <w:rPr>
          <w:sz w:val="20"/>
          <w:szCs w:val="20"/>
        </w:rPr>
      </w:pPr>
    </w:p>
    <w:p w14:paraId="4A6F519C" w14:textId="77777777" w:rsidR="00CE6695" w:rsidRPr="00FC3B7C" w:rsidRDefault="00CE6695" w:rsidP="005412D3">
      <w:pPr>
        <w:rPr>
          <w:sz w:val="20"/>
          <w:szCs w:val="20"/>
        </w:rPr>
      </w:pPr>
      <w:r w:rsidRPr="00FC3B7C">
        <w:rPr>
          <w:rFonts w:eastAsia="Times New Roman"/>
        </w:rPr>
        <w:t>VOSTROVSKÁ, Z.: Skripta z předmětu 5HP324: Kondiční kurz z praktické hospodářské politiky, Praha, 2012, LS 2011/2012.</w:t>
      </w:r>
    </w:p>
    <w:p w14:paraId="4A6F519D" w14:textId="77777777" w:rsidR="00CE6695" w:rsidRPr="00FC3B7C" w:rsidRDefault="00CE6695" w:rsidP="005412D3">
      <w:pPr>
        <w:rPr>
          <w:sz w:val="20"/>
          <w:szCs w:val="20"/>
        </w:rPr>
      </w:pPr>
      <w:r w:rsidRPr="00FC3B7C">
        <w:rPr>
          <w:rFonts w:eastAsia="Times New Roman"/>
        </w:rPr>
        <w:t>Přednášky z předmětu 5HP300, prof. Ing. Luděk Urban, Ccs. LS 2009/2010.</w:t>
      </w:r>
    </w:p>
    <w:p w14:paraId="4A6F519E" w14:textId="77777777" w:rsidR="00CE6695" w:rsidRPr="00FC3B7C" w:rsidRDefault="00CE6695" w:rsidP="005412D3">
      <w:pPr>
        <w:rPr>
          <w:sz w:val="20"/>
          <w:szCs w:val="20"/>
        </w:rPr>
      </w:pPr>
      <w:r w:rsidRPr="00FC3B7C">
        <w:rPr>
          <w:rFonts w:eastAsia="Times New Roman"/>
        </w:rPr>
        <w:t>Přednášky z předmětu 5HP200, Ing. Miroslav Ševčík, Csc.- LS 2009/2010.</w:t>
      </w:r>
    </w:p>
    <w:p w14:paraId="4A6F519F" w14:textId="77777777" w:rsidR="00CE6695" w:rsidRPr="00FC3B7C" w:rsidRDefault="00CE6695" w:rsidP="005412D3">
      <w:pPr>
        <w:rPr>
          <w:sz w:val="20"/>
          <w:szCs w:val="20"/>
        </w:rPr>
      </w:pPr>
      <w:r w:rsidRPr="00FC3B7C">
        <w:rPr>
          <w:rFonts w:eastAsia="Times New Roman"/>
        </w:rPr>
        <w:t>Přednášky z předmětu 5HP300 – Evropská unie a její politiky LS 2012/2013.</w:t>
      </w:r>
    </w:p>
    <w:p w14:paraId="4A6F51A0" w14:textId="77777777" w:rsidR="00CE6695" w:rsidRPr="00FC3B7C" w:rsidRDefault="00CE6695" w:rsidP="005412D3">
      <w:pPr>
        <w:rPr>
          <w:sz w:val="20"/>
          <w:szCs w:val="20"/>
        </w:rPr>
      </w:pPr>
      <w:r w:rsidRPr="00FC3B7C">
        <w:rPr>
          <w:rFonts w:eastAsia="Times New Roman"/>
        </w:rPr>
        <w:t>Přednášky z předmětu 5HP300 – Evropská unie a její politiky, Ing. Mgr. et Mgr. Michaela Ševčíková, Ph.D., LS 2013/2014.</w:t>
      </w:r>
    </w:p>
    <w:p w14:paraId="4A6F51A1" w14:textId="77777777" w:rsidR="00CE6695" w:rsidRPr="00FC3B7C" w:rsidRDefault="00CE6695" w:rsidP="005412D3">
      <w:pPr>
        <w:rPr>
          <w:sz w:val="20"/>
          <w:szCs w:val="20"/>
        </w:rPr>
      </w:pPr>
      <w:r w:rsidRPr="00FC3B7C">
        <w:rPr>
          <w:rFonts w:eastAsia="Times New Roman"/>
        </w:rPr>
        <w:t>Přednášky z předmětu 5HD403 - Geneze, aktuální problémy a budoucnost Evropské unie, prof. PhDr. Martin Kovář, Ph.D., LS 2012/2013.</w:t>
      </w:r>
    </w:p>
    <w:p w14:paraId="4A6F51A2" w14:textId="77777777" w:rsidR="00CE6695" w:rsidRPr="00FC3B7C" w:rsidRDefault="00CE6695" w:rsidP="005412D3">
      <w:pPr>
        <w:rPr>
          <w:sz w:val="20"/>
          <w:szCs w:val="20"/>
        </w:rPr>
      </w:pPr>
      <w:r w:rsidRPr="00FC3B7C">
        <w:rPr>
          <w:rFonts w:eastAsia="Times New Roman"/>
        </w:rPr>
        <w:t>Eurostat.eu, [ONLINE], dostupné na: http://epp.eurostat.ec.europa.eu.</w:t>
      </w:r>
    </w:p>
    <w:p w14:paraId="4A6F51A3" w14:textId="77777777" w:rsidR="00CE6695" w:rsidRPr="00FC3B7C" w:rsidRDefault="00CE6695" w:rsidP="005412D3">
      <w:pPr>
        <w:rPr>
          <w:sz w:val="20"/>
          <w:szCs w:val="20"/>
        </w:rPr>
      </w:pPr>
      <w:bookmarkStart w:id="437" w:name="page451"/>
      <w:bookmarkEnd w:id="437"/>
      <w:r w:rsidRPr="00FC3B7C">
        <w:rPr>
          <w:rFonts w:eastAsia="Times New Roman"/>
          <w:sz w:val="23"/>
          <w:szCs w:val="23"/>
        </w:rPr>
        <w:t>Portál euroskop.cz, [ONLINE], dostupné na: https:/</w:t>
      </w:r>
      <w:r w:rsidRPr="00FC3B7C">
        <w:rPr>
          <w:rFonts w:eastAsia="Times New Roman"/>
          <w:color w:val="0563C1"/>
          <w:sz w:val="23"/>
          <w:szCs w:val="23"/>
          <w:u w:val="single"/>
        </w:rPr>
        <w:t>/www.euroskop.c</w:t>
      </w:r>
      <w:r w:rsidRPr="00FC3B7C">
        <w:rPr>
          <w:rFonts w:eastAsia="Times New Roman"/>
          <w:sz w:val="23"/>
          <w:szCs w:val="23"/>
        </w:rPr>
        <w:t>z</w:t>
      </w:r>
      <w:r w:rsidRPr="00FC3B7C">
        <w:rPr>
          <w:rFonts w:eastAsia="Times New Roman"/>
          <w:color w:val="0563C1"/>
          <w:sz w:val="23"/>
          <w:szCs w:val="23"/>
          <w:u w:val="single"/>
        </w:rPr>
        <w:t>/282/sekce/a-b/</w:t>
      </w:r>
      <w:r w:rsidRPr="00FC3B7C">
        <w:rPr>
          <w:rFonts w:eastAsia="Times New Roman"/>
          <w:sz w:val="23"/>
          <w:szCs w:val="23"/>
        </w:rPr>
        <w:t xml:space="preserve"> Portál</w:t>
      </w:r>
      <w:r w:rsidR="00627599">
        <w:rPr>
          <w:sz w:val="20"/>
          <w:szCs w:val="20"/>
        </w:rPr>
        <w:t xml:space="preserve"> </w:t>
      </w:r>
      <w:r w:rsidRPr="00FC3B7C">
        <w:rPr>
          <w:rFonts w:eastAsia="Times New Roman"/>
        </w:rPr>
        <w:t>o</w:t>
      </w:r>
      <w:r w:rsidR="00627599">
        <w:rPr>
          <w:sz w:val="20"/>
          <w:szCs w:val="20"/>
        </w:rPr>
        <w:t xml:space="preserve"> </w:t>
      </w:r>
      <w:r w:rsidRPr="00FC3B7C">
        <w:rPr>
          <w:rFonts w:eastAsia="Times New Roman"/>
        </w:rPr>
        <w:t>zavedení</w:t>
      </w:r>
      <w:r w:rsidRPr="00FC3B7C">
        <w:rPr>
          <w:sz w:val="20"/>
          <w:szCs w:val="20"/>
        </w:rPr>
        <w:tab/>
      </w:r>
      <w:r w:rsidRPr="00FC3B7C">
        <w:rPr>
          <w:rFonts w:eastAsia="Times New Roman"/>
        </w:rPr>
        <w:t>eura,</w:t>
      </w:r>
      <w:r w:rsidRPr="00FC3B7C">
        <w:rPr>
          <w:sz w:val="20"/>
          <w:szCs w:val="20"/>
        </w:rPr>
        <w:tab/>
      </w:r>
      <w:r w:rsidRPr="00FC3B7C">
        <w:rPr>
          <w:rFonts w:eastAsia="Times New Roman"/>
        </w:rPr>
        <w:t>[ONLINE],</w:t>
      </w:r>
      <w:r w:rsidRPr="00FC3B7C">
        <w:rPr>
          <w:sz w:val="20"/>
          <w:szCs w:val="20"/>
        </w:rPr>
        <w:tab/>
      </w:r>
      <w:r w:rsidRPr="00FC3B7C">
        <w:rPr>
          <w:rFonts w:eastAsia="Times New Roman"/>
        </w:rPr>
        <w:t>dostupné</w:t>
      </w:r>
      <w:r w:rsidRPr="00FC3B7C">
        <w:rPr>
          <w:sz w:val="20"/>
          <w:szCs w:val="20"/>
        </w:rPr>
        <w:tab/>
      </w:r>
      <w:r w:rsidRPr="00FC3B7C">
        <w:rPr>
          <w:rFonts w:eastAsia="Times New Roman"/>
        </w:rPr>
        <w:t>na:</w:t>
      </w:r>
    </w:p>
    <w:p w14:paraId="4A6F51A4" w14:textId="0DD9BB57" w:rsidR="00CE6695" w:rsidRPr="00FC3B7C" w:rsidRDefault="00CE6695" w:rsidP="005412D3">
      <w:pPr>
        <w:rPr>
          <w:sz w:val="20"/>
          <w:szCs w:val="20"/>
        </w:rPr>
        <w:sectPr w:rsidR="00CE6695" w:rsidRPr="00FC3B7C">
          <w:pgSz w:w="11900" w:h="16840"/>
          <w:pgMar w:top="1397" w:right="1420" w:bottom="1440" w:left="1440" w:header="0" w:footer="0" w:gutter="0"/>
          <w:cols w:space="708" w:equalWidth="0">
            <w:col w:w="9040"/>
          </w:cols>
        </w:sectPr>
      </w:pPr>
      <w:r w:rsidRPr="00FC3B7C">
        <w:rPr>
          <w:rFonts w:eastAsia="Times New Roman"/>
          <w:color w:val="0563C1"/>
          <w:u w:val="single"/>
        </w:rPr>
        <w:t>http://www.zavedenieura.cz/cps/rde/xbcr/euro/Vyhodnoceni_Maastricht_2012_pdf.</w:t>
      </w:r>
    </w:p>
    <w:p w14:paraId="4A6F51A6" w14:textId="77777777" w:rsidR="008E0F74" w:rsidRPr="005412D3" w:rsidRDefault="00256F29" w:rsidP="005412D3">
      <w:pPr>
        <w:pStyle w:val="Nadpis1"/>
        <w:ind w:left="0" w:hanging="7"/>
        <w:rPr>
          <w:color w:val="1F3864" w:themeColor="accent1" w:themeShade="80"/>
        </w:rPr>
      </w:pPr>
      <w:bookmarkStart w:id="438" w:name="page429"/>
      <w:bookmarkStart w:id="439" w:name="_Toc54254092"/>
      <w:bookmarkEnd w:id="438"/>
      <w:r w:rsidRPr="005412D3">
        <w:rPr>
          <w:color w:val="1F3864" w:themeColor="accent1" w:themeShade="80"/>
        </w:rPr>
        <w:lastRenderedPageBreak/>
        <w:t>TRANSFORMACE NÁRODNÍHO HOSPODÁŘSTVÍ V ČR PO ROCE 1989</w:t>
      </w:r>
      <w:bookmarkEnd w:id="439"/>
    </w:p>
    <w:p w14:paraId="4A6F51A7" w14:textId="77777777" w:rsidR="008E0F74" w:rsidRPr="00FC3B7C" w:rsidRDefault="008E0F74">
      <w:pPr>
        <w:spacing w:line="2" w:lineRule="exact"/>
        <w:rPr>
          <w:sz w:val="20"/>
          <w:szCs w:val="20"/>
        </w:rPr>
      </w:pPr>
    </w:p>
    <w:p w14:paraId="3ADC97FE" w14:textId="77777777" w:rsidR="00AB7366" w:rsidRPr="00244BB9" w:rsidRDefault="00256F29" w:rsidP="00562370">
      <w:pPr>
        <w:rPr>
          <w:rFonts w:eastAsia="Times New Roman"/>
        </w:rPr>
      </w:pPr>
      <w:r w:rsidRPr="00FC3B7C">
        <w:rPr>
          <w:rFonts w:eastAsia="Times New Roman"/>
        </w:rPr>
        <w:t xml:space="preserve">Ekonomická transformace na počátku 90. let ve východní Evropě patří mezi nejzásadnější </w:t>
      </w:r>
      <w:r w:rsidRPr="00244BB9">
        <w:rPr>
          <w:rFonts w:eastAsia="Times New Roman"/>
        </w:rPr>
        <w:t xml:space="preserve">změny hospodářské politiky v moderní historii. Jednalo se o nahrazení systému centrálně plánované ekonomiky tržní ekonomikou. </w:t>
      </w:r>
    </w:p>
    <w:p w14:paraId="4A6F51A8" w14:textId="4C411740" w:rsidR="008E0F74" w:rsidRDefault="00AB7366" w:rsidP="00562370">
      <w:pPr>
        <w:rPr>
          <w:rFonts w:eastAsia="Times New Roman"/>
        </w:rPr>
      </w:pPr>
      <w:r w:rsidRPr="00244BB9">
        <w:rPr>
          <w:rFonts w:eastAsia="Times New Roman"/>
        </w:rPr>
        <w:t>Transformace j</w:t>
      </w:r>
      <w:r w:rsidR="00256F29" w:rsidRPr="00244BB9">
        <w:rPr>
          <w:rFonts w:eastAsia="Times New Roman"/>
        </w:rPr>
        <w:t>e to širší pojem než reforma</w:t>
      </w:r>
      <w:r w:rsidRPr="00244BB9">
        <w:rPr>
          <w:rFonts w:eastAsia="Times New Roman"/>
        </w:rPr>
        <w:t xml:space="preserve">. Jedná se o </w:t>
      </w:r>
      <w:r w:rsidR="00256F29" w:rsidRPr="00244BB9">
        <w:rPr>
          <w:rFonts w:eastAsia="Times New Roman"/>
        </w:rPr>
        <w:t>kompletní změna celého ekonomického systému včetně změny motivací ekonomických subjektů, změna nástrojů a cílů HP, vznik nových typů ekonomických subjektů a zánik jiných</w:t>
      </w:r>
      <w:r w:rsidR="00256F29" w:rsidRPr="00FC3B7C">
        <w:rPr>
          <w:rFonts w:eastAsia="Times New Roman"/>
        </w:rPr>
        <w:t>.</w:t>
      </w:r>
    </w:p>
    <w:p w14:paraId="7825C8CA" w14:textId="77777777" w:rsidR="00AB7366" w:rsidRPr="00FC3B7C" w:rsidRDefault="00AB7366" w:rsidP="00562370">
      <w:pPr>
        <w:rPr>
          <w:sz w:val="20"/>
          <w:szCs w:val="20"/>
        </w:rPr>
      </w:pPr>
    </w:p>
    <w:p w14:paraId="4A6F51A9" w14:textId="7EC7A63B" w:rsidR="008E0F74" w:rsidRPr="00FC3B7C" w:rsidRDefault="00256F29" w:rsidP="00562370">
      <w:pPr>
        <w:rPr>
          <w:sz w:val="20"/>
          <w:szCs w:val="20"/>
        </w:rPr>
      </w:pPr>
      <w:r w:rsidRPr="00FC3B7C">
        <w:rPr>
          <w:rFonts w:eastAsia="Times New Roman"/>
          <w:i/>
          <w:iCs/>
        </w:rPr>
        <w:t>„Privatizace jako základ transformace socialistické společnosti na společnost svobodných lidí, která spočívá v historicky ojedinělé operaci převádění obrovského státního majetku na soukromé subjekty za účelem vytváření svobodného trhu.“</w:t>
      </w:r>
      <w:r w:rsidRPr="00AB7366">
        <w:rPr>
          <w:rFonts w:eastAsia="Times New Roman"/>
        </w:rPr>
        <w:t xml:space="preserve"> </w:t>
      </w:r>
      <w:r w:rsidR="00AB7366" w:rsidRPr="00AB7366">
        <w:rPr>
          <w:rFonts w:eastAsia="Times New Roman"/>
        </w:rPr>
        <w:t>(</w:t>
      </w:r>
      <w:r w:rsidRPr="00AB7366">
        <w:rPr>
          <w:rFonts w:eastAsia="Times New Roman"/>
        </w:rPr>
        <w:t>Tomáš Ježek</w:t>
      </w:r>
      <w:r w:rsidR="00AB7366" w:rsidRPr="00AB7366">
        <w:rPr>
          <w:rFonts w:eastAsia="Times New Roman"/>
        </w:rPr>
        <w:t>)</w:t>
      </w:r>
    </w:p>
    <w:p w14:paraId="4A6F51AA" w14:textId="77777777" w:rsidR="00562370" w:rsidRDefault="00562370">
      <w:pPr>
        <w:ind w:left="4"/>
        <w:rPr>
          <w:rFonts w:eastAsia="Times New Roman"/>
          <w:b/>
          <w:bCs/>
          <w:sz w:val="28"/>
          <w:szCs w:val="28"/>
        </w:rPr>
      </w:pPr>
    </w:p>
    <w:p w14:paraId="4A6F51AB" w14:textId="77777777" w:rsidR="008E0F74" w:rsidRPr="00FC3B7C" w:rsidRDefault="00256F29">
      <w:pPr>
        <w:ind w:left="4"/>
        <w:rPr>
          <w:sz w:val="20"/>
          <w:szCs w:val="20"/>
        </w:rPr>
      </w:pPr>
      <w:r w:rsidRPr="00FC3B7C">
        <w:rPr>
          <w:rFonts w:eastAsia="Times New Roman"/>
          <w:b/>
          <w:bCs/>
          <w:sz w:val="28"/>
          <w:szCs w:val="28"/>
        </w:rPr>
        <w:t>Slovníček pojmů:</w:t>
      </w:r>
    </w:p>
    <w:p w14:paraId="4A6F51AC" w14:textId="77777777" w:rsidR="008E0F74" w:rsidRPr="00FC3B7C" w:rsidRDefault="00256F29" w:rsidP="00562370">
      <w:pPr>
        <w:ind w:left="4" w:right="20"/>
        <w:rPr>
          <w:sz w:val="20"/>
          <w:szCs w:val="20"/>
        </w:rPr>
      </w:pPr>
      <w:r w:rsidRPr="00FC3B7C">
        <w:rPr>
          <w:rFonts w:eastAsia="Times New Roman"/>
          <w:i/>
          <w:iCs/>
          <w:szCs w:val="24"/>
          <w:u w:val="single"/>
        </w:rPr>
        <w:t>Transformace</w:t>
      </w:r>
      <w:r w:rsidRPr="00FC3B7C">
        <w:rPr>
          <w:rFonts w:eastAsia="Times New Roman"/>
          <w:i/>
          <w:iCs/>
          <w:szCs w:val="24"/>
        </w:rPr>
        <w:t xml:space="preserve"> </w:t>
      </w:r>
      <w:r w:rsidRPr="00FC3B7C">
        <w:rPr>
          <w:rFonts w:eastAsia="Times New Roman"/>
          <w:szCs w:val="24"/>
        </w:rPr>
        <w:t>– přeměna, přetvoření (v tomto případě</w:t>
      </w:r>
      <w:r w:rsidRPr="00FC3B7C">
        <w:rPr>
          <w:rFonts w:eastAsia="Times New Roman"/>
          <w:i/>
          <w:iCs/>
          <w:szCs w:val="24"/>
        </w:rPr>
        <w:t xml:space="preserve"> </w:t>
      </w:r>
      <w:r w:rsidRPr="00FC3B7C">
        <w:rPr>
          <w:rFonts w:eastAsia="Times New Roman"/>
          <w:szCs w:val="24"/>
        </w:rPr>
        <w:t>přeměna centrálního plánování na tržní</w:t>
      </w:r>
      <w:r w:rsidRPr="00FC3B7C">
        <w:rPr>
          <w:rFonts w:eastAsia="Times New Roman"/>
          <w:i/>
          <w:iCs/>
          <w:szCs w:val="24"/>
        </w:rPr>
        <w:t xml:space="preserve"> </w:t>
      </w:r>
      <w:r w:rsidRPr="00FC3B7C">
        <w:rPr>
          <w:rFonts w:eastAsia="Times New Roman"/>
          <w:szCs w:val="24"/>
        </w:rPr>
        <w:t>ekonomiku).</w:t>
      </w:r>
    </w:p>
    <w:p w14:paraId="4A6F51AD" w14:textId="77777777" w:rsidR="008E0F74" w:rsidRPr="00FC3B7C" w:rsidRDefault="00256F29" w:rsidP="00562370">
      <w:pPr>
        <w:ind w:left="4"/>
        <w:rPr>
          <w:sz w:val="20"/>
          <w:szCs w:val="20"/>
        </w:rPr>
      </w:pPr>
      <w:r w:rsidRPr="00FC3B7C">
        <w:rPr>
          <w:rFonts w:eastAsia="Times New Roman"/>
          <w:i/>
          <w:iCs/>
          <w:sz w:val="23"/>
          <w:szCs w:val="23"/>
          <w:u w:val="single"/>
        </w:rPr>
        <w:t>Privatizace</w:t>
      </w:r>
      <w:r w:rsidRPr="00FC3B7C">
        <w:rPr>
          <w:rFonts w:eastAsia="Times New Roman"/>
          <w:i/>
          <w:iCs/>
          <w:sz w:val="23"/>
          <w:szCs w:val="23"/>
        </w:rPr>
        <w:t xml:space="preserve"> </w:t>
      </w:r>
      <w:r w:rsidRPr="00FC3B7C">
        <w:rPr>
          <w:rFonts w:eastAsia="Times New Roman"/>
          <w:sz w:val="23"/>
          <w:szCs w:val="23"/>
        </w:rPr>
        <w:t>- odstátnění, převedení majetku z vlastnictví států</w:t>
      </w:r>
      <w:r w:rsidRPr="00FC3B7C">
        <w:rPr>
          <w:rFonts w:eastAsia="Times New Roman"/>
          <w:i/>
          <w:iCs/>
          <w:sz w:val="23"/>
          <w:szCs w:val="23"/>
        </w:rPr>
        <w:t xml:space="preserve"> </w:t>
      </w:r>
      <w:r w:rsidRPr="00FC3B7C">
        <w:rPr>
          <w:rFonts w:eastAsia="Times New Roman"/>
          <w:sz w:val="23"/>
          <w:szCs w:val="23"/>
        </w:rPr>
        <w:t>do vlastnictví jiných, nestátních</w:t>
      </w:r>
    </w:p>
    <w:p w14:paraId="4A6F51AE" w14:textId="77777777" w:rsidR="008E0F74" w:rsidRPr="00FC3B7C" w:rsidRDefault="00256F29" w:rsidP="00562370">
      <w:pPr>
        <w:ind w:left="4"/>
        <w:rPr>
          <w:sz w:val="20"/>
          <w:szCs w:val="20"/>
        </w:rPr>
      </w:pPr>
      <w:r w:rsidRPr="00FC3B7C">
        <w:rPr>
          <w:rFonts w:eastAsia="Times New Roman"/>
          <w:szCs w:val="24"/>
        </w:rPr>
        <w:t>subjektů.</w:t>
      </w:r>
    </w:p>
    <w:p w14:paraId="4A6F51AF" w14:textId="77777777" w:rsidR="008E0F74" w:rsidRPr="00FC3B7C" w:rsidRDefault="00256F29" w:rsidP="00562370">
      <w:pPr>
        <w:ind w:left="4"/>
        <w:rPr>
          <w:sz w:val="20"/>
          <w:szCs w:val="20"/>
        </w:rPr>
      </w:pPr>
      <w:r w:rsidRPr="00FC3B7C">
        <w:rPr>
          <w:rFonts w:eastAsia="Times New Roman"/>
          <w:i/>
          <w:iCs/>
          <w:szCs w:val="24"/>
          <w:u w:val="single"/>
        </w:rPr>
        <w:t>RVHP</w:t>
      </w:r>
      <w:r w:rsidRPr="00FC3B7C">
        <w:rPr>
          <w:rFonts w:eastAsia="Times New Roman"/>
          <w:i/>
          <w:iCs/>
          <w:szCs w:val="24"/>
        </w:rPr>
        <w:t xml:space="preserve"> </w:t>
      </w:r>
      <w:r w:rsidRPr="00FC3B7C">
        <w:rPr>
          <w:rFonts w:eastAsia="Times New Roman"/>
          <w:szCs w:val="24"/>
        </w:rPr>
        <w:t>- Rada vzájemné hospodářské pomoci</w:t>
      </w:r>
    </w:p>
    <w:p w14:paraId="4A6F51B0" w14:textId="77777777" w:rsidR="008E0F74" w:rsidRPr="00FC3B7C" w:rsidRDefault="00256F29" w:rsidP="00562370">
      <w:pPr>
        <w:ind w:left="4" w:right="20"/>
        <w:rPr>
          <w:sz w:val="20"/>
          <w:szCs w:val="20"/>
        </w:rPr>
      </w:pPr>
      <w:r w:rsidRPr="00FC3B7C">
        <w:rPr>
          <w:rFonts w:eastAsia="Times New Roman"/>
          <w:i/>
          <w:iCs/>
          <w:szCs w:val="24"/>
          <w:u w:val="single"/>
        </w:rPr>
        <w:t>Přezaměstnanost</w:t>
      </w:r>
      <w:r w:rsidRPr="00FC3B7C">
        <w:rPr>
          <w:rFonts w:eastAsia="Times New Roman"/>
          <w:i/>
          <w:iCs/>
          <w:szCs w:val="24"/>
        </w:rPr>
        <w:t xml:space="preserve"> </w:t>
      </w:r>
      <w:r w:rsidRPr="00FC3B7C">
        <w:rPr>
          <w:rFonts w:eastAsia="Times New Roman"/>
          <w:szCs w:val="24"/>
        </w:rPr>
        <w:t>- Jedná se o skutečnou míru nezaměstnanosti, která nabývá ve srovnání</w:t>
      </w:r>
      <w:r w:rsidRPr="00FC3B7C">
        <w:rPr>
          <w:rFonts w:eastAsia="Times New Roman"/>
          <w:i/>
          <w:iCs/>
          <w:szCs w:val="24"/>
        </w:rPr>
        <w:t xml:space="preserve"> </w:t>
      </w:r>
      <w:r w:rsidRPr="00FC3B7C">
        <w:rPr>
          <w:rFonts w:eastAsia="Times New Roman"/>
          <w:szCs w:val="24"/>
        </w:rPr>
        <w:t>s přirozenou mírou nižších hodnot. V tomto případě se daná země potýká s expanzivní produkční mezerou. To znamená, že v této ekonomice jsou výrobní faktory využívány nad jejich obvyklou mírou.</w:t>
      </w:r>
    </w:p>
    <w:p w14:paraId="4A6F51B1" w14:textId="008FC60A" w:rsidR="008E0F74" w:rsidRPr="00FC3B7C" w:rsidRDefault="00256F29" w:rsidP="00562370">
      <w:pPr>
        <w:tabs>
          <w:tab w:val="left" w:pos="2684"/>
          <w:tab w:val="left" w:pos="2964"/>
          <w:tab w:val="left" w:pos="3804"/>
          <w:tab w:val="left" w:pos="5624"/>
          <w:tab w:val="left" w:pos="5864"/>
          <w:tab w:val="left" w:pos="6844"/>
          <w:tab w:val="left" w:pos="7784"/>
          <w:tab w:val="left" w:pos="8044"/>
        </w:tabs>
        <w:ind w:left="4"/>
        <w:rPr>
          <w:sz w:val="20"/>
          <w:szCs w:val="20"/>
        </w:rPr>
      </w:pPr>
      <w:r w:rsidRPr="00FC3B7C">
        <w:rPr>
          <w:rFonts w:eastAsia="Times New Roman"/>
          <w:i/>
          <w:iCs/>
          <w:szCs w:val="24"/>
          <w:u w:val="single"/>
        </w:rPr>
        <w:t>Samosprávný</w:t>
      </w:r>
      <w:r w:rsidR="003376E1">
        <w:rPr>
          <w:rFonts w:eastAsia="Times New Roman"/>
          <w:i/>
          <w:iCs/>
          <w:szCs w:val="24"/>
        </w:rPr>
        <w:t xml:space="preserve"> </w:t>
      </w:r>
      <w:r w:rsidRPr="00FC3B7C">
        <w:rPr>
          <w:rFonts w:eastAsia="Times New Roman"/>
          <w:i/>
          <w:iCs/>
          <w:szCs w:val="24"/>
          <w:u w:val="single"/>
        </w:rPr>
        <w:t>socialismus</w:t>
      </w:r>
      <w:r w:rsidRPr="00FC3B7C">
        <w:rPr>
          <w:sz w:val="20"/>
          <w:szCs w:val="20"/>
        </w:rPr>
        <w:tab/>
      </w:r>
      <w:r w:rsidRPr="00FC3B7C">
        <w:rPr>
          <w:rFonts w:eastAsia="Times New Roman"/>
          <w:szCs w:val="24"/>
        </w:rPr>
        <w:t>–</w:t>
      </w:r>
      <w:r w:rsidRPr="00FC3B7C">
        <w:rPr>
          <w:rFonts w:eastAsia="Times New Roman"/>
          <w:szCs w:val="24"/>
        </w:rPr>
        <w:tab/>
        <w:t>Dělníci</w:t>
      </w:r>
      <w:r w:rsidRPr="00FC3B7C">
        <w:rPr>
          <w:rFonts w:eastAsia="Times New Roman"/>
          <w:szCs w:val="24"/>
        </w:rPr>
        <w:tab/>
        <w:t>spolurozhodovali</w:t>
      </w:r>
      <w:r w:rsidRPr="00FC3B7C">
        <w:rPr>
          <w:rFonts w:eastAsia="Times New Roman"/>
          <w:szCs w:val="24"/>
        </w:rPr>
        <w:tab/>
        <w:t>s</w:t>
      </w:r>
      <w:r w:rsidRPr="00FC3B7C">
        <w:rPr>
          <w:rFonts w:eastAsia="Times New Roman"/>
          <w:szCs w:val="24"/>
        </w:rPr>
        <w:tab/>
        <w:t>vedením</w:t>
      </w:r>
      <w:r w:rsidRPr="00FC3B7C">
        <w:rPr>
          <w:rFonts w:eastAsia="Times New Roman"/>
          <w:szCs w:val="24"/>
        </w:rPr>
        <w:tab/>
        <w:t>podniku</w:t>
      </w:r>
      <w:r w:rsidRPr="00FC3B7C">
        <w:rPr>
          <w:rFonts w:eastAsia="Times New Roman"/>
          <w:szCs w:val="24"/>
        </w:rPr>
        <w:tab/>
        <w:t>o</w:t>
      </w:r>
      <w:r w:rsidRPr="00FC3B7C">
        <w:rPr>
          <w:rFonts w:eastAsia="Times New Roman"/>
          <w:szCs w:val="24"/>
        </w:rPr>
        <w:tab/>
        <w:t>zásadních</w:t>
      </w:r>
    </w:p>
    <w:p w14:paraId="4A6F51B2" w14:textId="77777777" w:rsidR="008E0F74" w:rsidRPr="00FC3B7C" w:rsidRDefault="00256F29" w:rsidP="00562370">
      <w:pPr>
        <w:ind w:left="4"/>
        <w:rPr>
          <w:sz w:val="20"/>
          <w:szCs w:val="20"/>
        </w:rPr>
      </w:pPr>
      <w:r w:rsidRPr="00FC3B7C">
        <w:rPr>
          <w:rFonts w:eastAsia="Times New Roman"/>
          <w:szCs w:val="24"/>
        </w:rPr>
        <w:t>rozhodnutích a mohly snadno dosáhnout i odvolání podnikového vedení</w:t>
      </w:r>
    </w:p>
    <w:p w14:paraId="4A6F51B3" w14:textId="4D075B61" w:rsidR="008E0F74" w:rsidRPr="00FC3B7C" w:rsidRDefault="00256F29" w:rsidP="00562370">
      <w:pPr>
        <w:ind w:left="4"/>
        <w:rPr>
          <w:sz w:val="20"/>
          <w:szCs w:val="20"/>
        </w:rPr>
      </w:pPr>
      <w:r w:rsidRPr="00FC3B7C">
        <w:rPr>
          <w:rFonts w:eastAsia="Times New Roman"/>
          <w:i/>
          <w:iCs/>
          <w:szCs w:val="24"/>
          <w:u w:val="single"/>
        </w:rPr>
        <w:t>Transformační dluh</w:t>
      </w:r>
      <w:r w:rsidR="003376E1">
        <w:rPr>
          <w:rFonts w:eastAsia="Times New Roman"/>
          <w:i/>
          <w:iCs/>
          <w:szCs w:val="24"/>
        </w:rPr>
        <w:t xml:space="preserve"> </w:t>
      </w:r>
      <w:r w:rsidRPr="00FC3B7C">
        <w:rPr>
          <w:rFonts w:eastAsia="Times New Roman"/>
          <w:szCs w:val="24"/>
        </w:rPr>
        <w:t>–</w:t>
      </w:r>
      <w:r w:rsidR="003376E1">
        <w:rPr>
          <w:rFonts w:eastAsia="Times New Roman"/>
          <w:szCs w:val="24"/>
        </w:rPr>
        <w:t xml:space="preserve"> </w:t>
      </w:r>
      <w:r w:rsidRPr="00FC3B7C">
        <w:rPr>
          <w:rFonts w:eastAsia="Times New Roman"/>
          <w:szCs w:val="24"/>
        </w:rPr>
        <w:t>dluh</w:t>
      </w:r>
      <w:r w:rsidR="003376E1">
        <w:rPr>
          <w:rFonts w:eastAsia="Times New Roman"/>
          <w:szCs w:val="24"/>
        </w:rPr>
        <w:t xml:space="preserve"> </w:t>
      </w:r>
      <w:r w:rsidRPr="00FC3B7C">
        <w:rPr>
          <w:rFonts w:eastAsia="Times New Roman"/>
          <w:szCs w:val="24"/>
        </w:rPr>
        <w:t>vznikající</w:t>
      </w:r>
      <w:r w:rsidR="003376E1">
        <w:rPr>
          <w:rFonts w:eastAsia="Times New Roman"/>
          <w:szCs w:val="24"/>
        </w:rPr>
        <w:t xml:space="preserve"> </w:t>
      </w:r>
      <w:r w:rsidRPr="00FC3B7C">
        <w:rPr>
          <w:rFonts w:eastAsia="Times New Roman"/>
          <w:szCs w:val="24"/>
        </w:rPr>
        <w:t>v</w:t>
      </w:r>
      <w:r w:rsidR="003376E1">
        <w:rPr>
          <w:rFonts w:eastAsia="Times New Roman"/>
          <w:szCs w:val="24"/>
        </w:rPr>
        <w:t xml:space="preserve"> </w:t>
      </w:r>
      <w:r w:rsidRPr="00FC3B7C">
        <w:rPr>
          <w:rFonts w:eastAsia="Times New Roman"/>
          <w:szCs w:val="24"/>
        </w:rPr>
        <w:t>důsledku</w:t>
      </w:r>
      <w:r w:rsidR="003376E1">
        <w:rPr>
          <w:rFonts w:eastAsia="Times New Roman"/>
          <w:szCs w:val="24"/>
        </w:rPr>
        <w:t xml:space="preserve"> </w:t>
      </w:r>
      <w:r w:rsidRPr="00FC3B7C">
        <w:rPr>
          <w:rFonts w:eastAsia="Times New Roman"/>
          <w:szCs w:val="24"/>
        </w:rPr>
        <w:t>transformace ekonomiky v</w:t>
      </w:r>
      <w:r w:rsidR="003376E1">
        <w:rPr>
          <w:rFonts w:eastAsia="Times New Roman"/>
          <w:szCs w:val="24"/>
        </w:rPr>
        <w:t xml:space="preserve"> </w:t>
      </w:r>
      <w:r w:rsidRPr="00FC3B7C">
        <w:rPr>
          <w:rFonts w:eastAsia="Times New Roman"/>
          <w:szCs w:val="24"/>
        </w:rPr>
        <w:t>soukromém</w:t>
      </w:r>
    </w:p>
    <w:p w14:paraId="4A6F51B4" w14:textId="77777777" w:rsidR="008E0F74" w:rsidRPr="00FC3B7C" w:rsidRDefault="00256F29" w:rsidP="00562370">
      <w:pPr>
        <w:ind w:left="4"/>
        <w:rPr>
          <w:sz w:val="20"/>
          <w:szCs w:val="20"/>
        </w:rPr>
      </w:pPr>
      <w:r w:rsidRPr="00FC3B7C">
        <w:rPr>
          <w:rFonts w:eastAsia="Times New Roman"/>
          <w:szCs w:val="24"/>
        </w:rPr>
        <w:t>sektoru</w:t>
      </w:r>
    </w:p>
    <w:p w14:paraId="4A6F51B5" w14:textId="77777777" w:rsidR="008E0F74" w:rsidRPr="00FC3B7C" w:rsidRDefault="00256F29" w:rsidP="00562370">
      <w:pPr>
        <w:ind w:left="4"/>
        <w:rPr>
          <w:sz w:val="20"/>
          <w:szCs w:val="20"/>
        </w:rPr>
      </w:pPr>
      <w:r w:rsidRPr="00FC3B7C">
        <w:rPr>
          <w:rFonts w:eastAsia="Times New Roman"/>
          <w:i/>
          <w:iCs/>
          <w:szCs w:val="24"/>
          <w:u w:val="single"/>
        </w:rPr>
        <w:t>Bankovní socializmus</w:t>
      </w:r>
      <w:r w:rsidRPr="00FC3B7C">
        <w:rPr>
          <w:rFonts w:eastAsia="Times New Roman"/>
          <w:i/>
          <w:iCs/>
          <w:szCs w:val="24"/>
        </w:rPr>
        <w:t xml:space="preserve"> </w:t>
      </w:r>
      <w:r w:rsidRPr="00FC3B7C">
        <w:rPr>
          <w:rFonts w:eastAsia="Times New Roman"/>
          <w:szCs w:val="24"/>
        </w:rPr>
        <w:t>– stát prostřednictvím svého vlastnictví v bankách má moc ovlivňovat</w:t>
      </w:r>
    </w:p>
    <w:p w14:paraId="4A6F51B6" w14:textId="77777777" w:rsidR="008E0F74" w:rsidRPr="00FC3B7C" w:rsidRDefault="00256F29" w:rsidP="00562370">
      <w:pPr>
        <w:ind w:left="4"/>
        <w:rPr>
          <w:sz w:val="20"/>
          <w:szCs w:val="20"/>
        </w:rPr>
      </w:pPr>
      <w:r w:rsidRPr="00FC3B7C">
        <w:rPr>
          <w:rFonts w:eastAsia="Times New Roman"/>
          <w:szCs w:val="24"/>
        </w:rPr>
        <w:t>privatizované podniky, protože banky jsou vlastníky podniků a zároveň jejich věřiteli</w:t>
      </w:r>
    </w:p>
    <w:p w14:paraId="4A6F51B7" w14:textId="77777777" w:rsidR="008E0F74" w:rsidRPr="00FC3B7C" w:rsidRDefault="00256F29" w:rsidP="00562370">
      <w:pPr>
        <w:ind w:left="4"/>
        <w:rPr>
          <w:sz w:val="20"/>
          <w:szCs w:val="20"/>
        </w:rPr>
      </w:pPr>
      <w:r w:rsidRPr="00FC3B7C">
        <w:rPr>
          <w:rFonts w:eastAsia="Times New Roman"/>
          <w:i/>
          <w:iCs/>
          <w:szCs w:val="24"/>
          <w:u w:val="single"/>
        </w:rPr>
        <w:t>Cenový</w:t>
      </w:r>
      <w:r w:rsidRPr="00FC3B7C">
        <w:rPr>
          <w:rFonts w:eastAsia="Times New Roman"/>
          <w:i/>
          <w:iCs/>
          <w:szCs w:val="24"/>
        </w:rPr>
        <w:t xml:space="preserve"> </w:t>
      </w:r>
      <w:r w:rsidRPr="00FC3B7C">
        <w:rPr>
          <w:rFonts w:eastAsia="Times New Roman"/>
          <w:i/>
          <w:iCs/>
          <w:szCs w:val="24"/>
          <w:u w:val="single"/>
        </w:rPr>
        <w:t>skok</w:t>
      </w:r>
      <w:r w:rsidRPr="00FC3B7C">
        <w:rPr>
          <w:rFonts w:eastAsia="Times New Roman"/>
          <w:i/>
          <w:iCs/>
          <w:szCs w:val="24"/>
        </w:rPr>
        <w:t xml:space="preserve"> </w:t>
      </w:r>
      <w:r w:rsidRPr="00FC3B7C">
        <w:rPr>
          <w:rFonts w:eastAsia="Times New Roman"/>
          <w:szCs w:val="24"/>
        </w:rPr>
        <w:t>– náhlá výrazná změna cenové hladina způsobená nějakým vnějším faktorem</w:t>
      </w:r>
    </w:p>
    <w:p w14:paraId="4A6F51B8" w14:textId="77777777" w:rsidR="008E0F74" w:rsidRPr="00FC3B7C" w:rsidRDefault="00256F29" w:rsidP="00562370">
      <w:pPr>
        <w:ind w:left="4"/>
        <w:rPr>
          <w:sz w:val="20"/>
          <w:szCs w:val="20"/>
        </w:rPr>
      </w:pPr>
      <w:r w:rsidRPr="00FC3B7C">
        <w:rPr>
          <w:rFonts w:eastAsia="Times New Roman"/>
          <w:szCs w:val="24"/>
        </w:rPr>
        <w:t>(ropné šoky, transformace, vstup do integračního uskupení apod.)</w:t>
      </w:r>
    </w:p>
    <w:p w14:paraId="4A6F51BD" w14:textId="77777777" w:rsidR="008E0F74" w:rsidRPr="00FC3B7C" w:rsidRDefault="008E0F74">
      <w:pPr>
        <w:sectPr w:rsidR="008E0F74" w:rsidRPr="00FC3B7C">
          <w:pgSz w:w="11900" w:h="16840"/>
          <w:pgMar w:top="1388" w:right="1440" w:bottom="1440" w:left="1416" w:header="0" w:footer="0" w:gutter="0"/>
          <w:cols w:space="708" w:equalWidth="0">
            <w:col w:w="9044"/>
          </w:cols>
        </w:sectPr>
      </w:pPr>
    </w:p>
    <w:p w14:paraId="4A6F51BE" w14:textId="1AD26B4C" w:rsidR="008E0F74" w:rsidRPr="00AB7366" w:rsidRDefault="00256F29" w:rsidP="00562370">
      <w:pPr>
        <w:pStyle w:val="Nadpis2"/>
        <w:rPr>
          <w:color w:val="1F3864" w:themeColor="accent1" w:themeShade="80"/>
          <w:szCs w:val="28"/>
        </w:rPr>
      </w:pPr>
      <w:bookmarkStart w:id="440" w:name="page453"/>
      <w:bookmarkEnd w:id="440"/>
      <w:r w:rsidRPr="00AB7366">
        <w:rPr>
          <w:rFonts w:eastAsia="Times New Roman"/>
          <w:color w:val="1F3864" w:themeColor="accent1" w:themeShade="80"/>
          <w:szCs w:val="28"/>
        </w:rPr>
        <w:lastRenderedPageBreak/>
        <w:t>VÝCHODISKA</w:t>
      </w:r>
      <w:r w:rsidR="00562370" w:rsidRPr="00AB7366">
        <w:rPr>
          <w:rFonts w:eastAsia="Times New Roman"/>
          <w:color w:val="1F3864" w:themeColor="accent1" w:themeShade="80"/>
          <w:szCs w:val="28"/>
        </w:rPr>
        <w:t xml:space="preserve"> </w:t>
      </w:r>
      <w:r w:rsidRPr="00AB7366">
        <w:rPr>
          <w:rFonts w:eastAsia="Times New Roman"/>
          <w:color w:val="1F3864" w:themeColor="accent1" w:themeShade="80"/>
          <w:szCs w:val="28"/>
        </w:rPr>
        <w:t>A</w:t>
      </w:r>
      <w:r w:rsidR="00562370" w:rsidRPr="00AB7366">
        <w:rPr>
          <w:color w:val="1F3864" w:themeColor="accent1" w:themeShade="80"/>
          <w:szCs w:val="28"/>
        </w:rPr>
        <w:t xml:space="preserve"> </w:t>
      </w:r>
      <w:r w:rsidRPr="00AB7366">
        <w:rPr>
          <w:rFonts w:eastAsia="Times New Roman"/>
          <w:color w:val="1F3864" w:themeColor="accent1" w:themeShade="80"/>
          <w:szCs w:val="28"/>
        </w:rPr>
        <w:t>ZÁKLADNÍ</w:t>
      </w:r>
      <w:r w:rsidR="00562370" w:rsidRPr="00AB7366">
        <w:rPr>
          <w:color w:val="1F3864" w:themeColor="accent1" w:themeShade="80"/>
          <w:szCs w:val="28"/>
        </w:rPr>
        <w:t xml:space="preserve"> </w:t>
      </w:r>
      <w:r w:rsidR="00AB7366" w:rsidRPr="00AB7366">
        <w:rPr>
          <w:rFonts w:eastAsia="Times New Roman"/>
          <w:color w:val="1F3864" w:themeColor="accent1" w:themeShade="80"/>
          <w:szCs w:val="28"/>
        </w:rPr>
        <w:t>P</w:t>
      </w:r>
      <w:r w:rsidRPr="00AB7366">
        <w:rPr>
          <w:rFonts w:eastAsia="Times New Roman"/>
          <w:color w:val="1F3864" w:themeColor="accent1" w:themeShade="80"/>
          <w:szCs w:val="28"/>
        </w:rPr>
        <w:t>ILÍŘE</w:t>
      </w:r>
      <w:r w:rsidR="00562370" w:rsidRPr="00AB7366">
        <w:rPr>
          <w:rFonts w:eastAsia="Times New Roman"/>
          <w:color w:val="1F3864" w:themeColor="accent1" w:themeShade="80"/>
          <w:szCs w:val="28"/>
        </w:rPr>
        <w:t xml:space="preserve"> </w:t>
      </w:r>
      <w:r w:rsidRPr="00AB7366">
        <w:rPr>
          <w:rFonts w:eastAsia="Times New Roman"/>
          <w:bCs/>
          <w:color w:val="1F3864" w:themeColor="accent1" w:themeShade="80"/>
          <w:szCs w:val="28"/>
        </w:rPr>
        <w:t>TRANSFORMACE</w:t>
      </w:r>
    </w:p>
    <w:p w14:paraId="4A6F51BF" w14:textId="77777777" w:rsidR="008E0F74" w:rsidRPr="00FC3B7C" w:rsidRDefault="008E0F74">
      <w:pPr>
        <w:spacing w:line="221" w:lineRule="exact"/>
        <w:rPr>
          <w:sz w:val="20"/>
          <w:szCs w:val="20"/>
        </w:rPr>
      </w:pPr>
    </w:p>
    <w:p w14:paraId="4A6F51C0" w14:textId="0B1073DB" w:rsidR="008E0F74" w:rsidRPr="00AB7366" w:rsidRDefault="00AB7366" w:rsidP="00562370">
      <w:pPr>
        <w:pStyle w:val="Nadpis3"/>
        <w:rPr>
          <w:color w:val="1F3864" w:themeColor="accent1" w:themeShade="80"/>
          <w:sz w:val="20"/>
          <w:szCs w:val="20"/>
        </w:rPr>
      </w:pPr>
      <w:r w:rsidRPr="00AB7366">
        <w:rPr>
          <w:rFonts w:eastAsia="Times New Roman"/>
          <w:color w:val="1F3864" w:themeColor="accent1" w:themeShade="80"/>
        </w:rPr>
        <w:t xml:space="preserve"> </w:t>
      </w:r>
      <w:r w:rsidR="00256F29" w:rsidRPr="00AB7366">
        <w:rPr>
          <w:rFonts w:eastAsia="Times New Roman"/>
          <w:color w:val="1F3864" w:themeColor="accent1" w:themeShade="80"/>
        </w:rPr>
        <w:t>Významné události před transformací</w:t>
      </w:r>
    </w:p>
    <w:p w14:paraId="4A6F51C1" w14:textId="77777777" w:rsidR="008E0F74" w:rsidRPr="00FC3B7C" w:rsidRDefault="00256F29" w:rsidP="00D46B53">
      <w:pPr>
        <w:numPr>
          <w:ilvl w:val="0"/>
          <w:numId w:val="477"/>
        </w:numPr>
        <w:tabs>
          <w:tab w:val="left" w:pos="720"/>
        </w:tabs>
        <w:ind w:left="720" w:right="40" w:hanging="367"/>
        <w:rPr>
          <w:rFonts w:eastAsia="Arial"/>
          <w:szCs w:val="24"/>
        </w:rPr>
      </w:pPr>
      <w:r w:rsidRPr="00FC3B7C">
        <w:rPr>
          <w:rFonts w:eastAsia="Times New Roman"/>
          <w:szCs w:val="24"/>
        </w:rPr>
        <w:t>v letech 1988/89 protivládní demonstrace – rozehnány bezpečnostními složkami, ale postupný zvrat</w:t>
      </w:r>
    </w:p>
    <w:p w14:paraId="4A6F51C2" w14:textId="77777777" w:rsidR="008E0F74" w:rsidRPr="00FC3B7C" w:rsidRDefault="00256F29" w:rsidP="00D46B53">
      <w:pPr>
        <w:numPr>
          <w:ilvl w:val="0"/>
          <w:numId w:val="477"/>
        </w:numPr>
        <w:tabs>
          <w:tab w:val="left" w:pos="720"/>
        </w:tabs>
        <w:ind w:left="720" w:right="40" w:hanging="367"/>
        <w:rPr>
          <w:rFonts w:eastAsia="Arial"/>
          <w:szCs w:val="24"/>
        </w:rPr>
      </w:pPr>
      <w:r w:rsidRPr="00FC3B7C">
        <w:rPr>
          <w:rFonts w:eastAsia="Times New Roman"/>
          <w:szCs w:val="24"/>
        </w:rPr>
        <w:t>1</w:t>
      </w:r>
      <w:r w:rsidR="00AB5C63" w:rsidRPr="00FC3B7C">
        <w:rPr>
          <w:rFonts w:eastAsia="Times New Roman"/>
          <w:szCs w:val="24"/>
        </w:rPr>
        <w:t>19.</w:t>
      </w:r>
      <w:r w:rsidRPr="00FC3B7C">
        <w:rPr>
          <w:rFonts w:eastAsia="Times New Roman"/>
          <w:szCs w:val="24"/>
        </w:rPr>
        <w:t xml:space="preserve"> listopadu 1989 se uskutečnilo studentské shromáždění k připomenutí J. Opletala, který byl roku1939 zavražděn nacisty, na Národní třídě policie zablokovala pochod, surově zbila účastníky</w:t>
      </w:r>
    </w:p>
    <w:p w14:paraId="4A6F51C3" w14:textId="77777777" w:rsidR="008E0F74" w:rsidRPr="00FC3B7C" w:rsidRDefault="00256F29" w:rsidP="00D46B53">
      <w:pPr>
        <w:numPr>
          <w:ilvl w:val="0"/>
          <w:numId w:val="477"/>
        </w:numPr>
        <w:tabs>
          <w:tab w:val="left" w:pos="720"/>
        </w:tabs>
        <w:ind w:left="720" w:right="40" w:hanging="367"/>
        <w:rPr>
          <w:rFonts w:eastAsia="Arial"/>
          <w:szCs w:val="24"/>
        </w:rPr>
      </w:pPr>
      <w:r w:rsidRPr="00FC3B7C">
        <w:rPr>
          <w:rFonts w:eastAsia="Times New Roman"/>
          <w:szCs w:val="24"/>
        </w:rPr>
        <w:t xml:space="preserve">19. listopadu 1989 založeno Občanské fórum, které požadovalo odstoupení vlády </w:t>
      </w:r>
      <w:r w:rsidR="00562370">
        <w:rPr>
          <w:rFonts w:eastAsia="Times New Roman"/>
          <w:szCs w:val="24"/>
        </w:rPr>
        <w:br/>
      </w:r>
      <w:r w:rsidRPr="00FC3B7C">
        <w:rPr>
          <w:rFonts w:eastAsia="Times New Roman"/>
          <w:szCs w:val="24"/>
        </w:rPr>
        <w:t>a odmítalo komunistický režim</w:t>
      </w:r>
    </w:p>
    <w:p w14:paraId="4A6F51C4" w14:textId="77777777" w:rsidR="008E0F74" w:rsidRPr="00FC3B7C" w:rsidRDefault="00256F29" w:rsidP="00D46B53">
      <w:pPr>
        <w:numPr>
          <w:ilvl w:val="0"/>
          <w:numId w:val="477"/>
        </w:numPr>
        <w:tabs>
          <w:tab w:val="left" w:pos="720"/>
        </w:tabs>
        <w:ind w:left="720" w:right="40" w:hanging="367"/>
        <w:rPr>
          <w:rFonts w:eastAsia="Arial"/>
          <w:szCs w:val="24"/>
        </w:rPr>
      </w:pPr>
      <w:r w:rsidRPr="00FC3B7C">
        <w:rPr>
          <w:rFonts w:eastAsia="Times New Roman"/>
          <w:szCs w:val="24"/>
        </w:rPr>
        <w:t>20. 11. 1989 – přes 100 tisíc občanů se sešlo na Václavském náměstí, aby protestovalo proti surovému zákroku policejních sil a požadovali politické reformy</w:t>
      </w:r>
    </w:p>
    <w:p w14:paraId="4A6F51C5" w14:textId="65F89651" w:rsidR="008E0F74" w:rsidRPr="00FC3B7C" w:rsidRDefault="00256F29" w:rsidP="00D46B53">
      <w:pPr>
        <w:numPr>
          <w:ilvl w:val="0"/>
          <w:numId w:val="477"/>
        </w:numPr>
        <w:tabs>
          <w:tab w:val="left" w:pos="720"/>
        </w:tabs>
        <w:ind w:left="720" w:hanging="367"/>
        <w:rPr>
          <w:rFonts w:eastAsia="Arial"/>
          <w:szCs w:val="24"/>
        </w:rPr>
      </w:pPr>
      <w:r w:rsidRPr="00FC3B7C">
        <w:rPr>
          <w:rFonts w:eastAsia="Times New Roman"/>
          <w:szCs w:val="24"/>
        </w:rPr>
        <w:t xml:space="preserve">29. </w:t>
      </w:r>
      <w:r w:rsidR="00124942" w:rsidRPr="00FC3B7C">
        <w:rPr>
          <w:rFonts w:eastAsia="Times New Roman"/>
          <w:szCs w:val="24"/>
        </w:rPr>
        <w:t>12. 1989</w:t>
      </w:r>
      <w:r w:rsidRPr="00FC3B7C">
        <w:rPr>
          <w:rFonts w:eastAsia="Times New Roman"/>
          <w:szCs w:val="24"/>
        </w:rPr>
        <w:t xml:space="preserve"> – prezidentem se stává Václav Havel</w:t>
      </w:r>
    </w:p>
    <w:p w14:paraId="4A6F51C6" w14:textId="77777777" w:rsidR="008E0F74" w:rsidRPr="00FC3B7C" w:rsidRDefault="00256F29" w:rsidP="00D46B53">
      <w:pPr>
        <w:numPr>
          <w:ilvl w:val="0"/>
          <w:numId w:val="477"/>
        </w:numPr>
        <w:tabs>
          <w:tab w:val="left" w:pos="720"/>
        </w:tabs>
        <w:ind w:left="720" w:hanging="367"/>
        <w:rPr>
          <w:rFonts w:eastAsia="Arial"/>
          <w:szCs w:val="24"/>
        </w:rPr>
      </w:pPr>
      <w:r w:rsidRPr="00FC3B7C">
        <w:rPr>
          <w:rFonts w:eastAsia="Times New Roman"/>
          <w:szCs w:val="24"/>
        </w:rPr>
        <w:t>1. 1. 1991 začátek transformace</w:t>
      </w:r>
    </w:p>
    <w:p w14:paraId="4A6F51C7" w14:textId="77777777" w:rsidR="008E0F74" w:rsidRPr="00FC3B7C" w:rsidRDefault="008E0F74">
      <w:pPr>
        <w:spacing w:line="370" w:lineRule="exact"/>
        <w:rPr>
          <w:sz w:val="20"/>
          <w:szCs w:val="20"/>
        </w:rPr>
      </w:pPr>
    </w:p>
    <w:p w14:paraId="4A6F51C8" w14:textId="11394585" w:rsidR="008E0F74" w:rsidRPr="00AB7366" w:rsidRDefault="00AB7366" w:rsidP="00562370">
      <w:pPr>
        <w:pStyle w:val="Nadpis3"/>
        <w:rPr>
          <w:color w:val="1F3864" w:themeColor="accent1" w:themeShade="80"/>
          <w:sz w:val="20"/>
          <w:szCs w:val="20"/>
        </w:rPr>
      </w:pPr>
      <w:r>
        <w:rPr>
          <w:rFonts w:eastAsia="Times New Roman"/>
          <w:color w:val="1F3864" w:themeColor="accent1" w:themeShade="80"/>
        </w:rPr>
        <w:t xml:space="preserve"> </w:t>
      </w:r>
      <w:r w:rsidR="00256F29" w:rsidRPr="00AB7366">
        <w:rPr>
          <w:rFonts w:eastAsia="Times New Roman"/>
          <w:color w:val="1F3864" w:themeColor="accent1" w:themeShade="80"/>
        </w:rPr>
        <w:t>Základní pilíře transformace</w:t>
      </w:r>
    </w:p>
    <w:p w14:paraId="4A6F51C9" w14:textId="77777777" w:rsidR="008E0F74" w:rsidRPr="00FC3B7C" w:rsidRDefault="008E0F74">
      <w:pPr>
        <w:spacing w:line="200" w:lineRule="exact"/>
        <w:rPr>
          <w:sz w:val="20"/>
          <w:szCs w:val="20"/>
        </w:rPr>
      </w:pPr>
    </w:p>
    <w:p w14:paraId="4A6F51CA" w14:textId="77777777" w:rsidR="008E0F74" w:rsidRPr="00FC3B7C" w:rsidRDefault="00256F29" w:rsidP="00D46B53">
      <w:pPr>
        <w:numPr>
          <w:ilvl w:val="0"/>
          <w:numId w:val="478"/>
        </w:numPr>
        <w:tabs>
          <w:tab w:val="left" w:pos="820"/>
        </w:tabs>
        <w:ind w:left="820" w:hanging="353"/>
        <w:rPr>
          <w:rFonts w:eastAsia="Times New Roman"/>
          <w:b/>
          <w:bCs/>
          <w:i/>
          <w:iCs/>
          <w:szCs w:val="24"/>
        </w:rPr>
      </w:pPr>
      <w:r w:rsidRPr="00FC3B7C">
        <w:rPr>
          <w:rFonts w:eastAsia="Times New Roman"/>
          <w:i/>
          <w:iCs/>
          <w:szCs w:val="24"/>
        </w:rPr>
        <w:t>přeměna vlastnických vztahů (privatizace)</w:t>
      </w:r>
    </w:p>
    <w:p w14:paraId="4A6F51CB" w14:textId="77777777" w:rsidR="008E0F74" w:rsidRPr="00FC3B7C" w:rsidRDefault="00256F29" w:rsidP="00D46B53">
      <w:pPr>
        <w:numPr>
          <w:ilvl w:val="0"/>
          <w:numId w:val="478"/>
        </w:numPr>
        <w:tabs>
          <w:tab w:val="left" w:pos="820"/>
        </w:tabs>
        <w:ind w:left="820" w:hanging="353"/>
        <w:rPr>
          <w:rFonts w:eastAsia="Times New Roman"/>
          <w:b/>
          <w:bCs/>
          <w:i/>
          <w:iCs/>
          <w:szCs w:val="24"/>
        </w:rPr>
      </w:pPr>
      <w:r w:rsidRPr="00FC3B7C">
        <w:rPr>
          <w:rFonts w:eastAsia="Times New Roman"/>
          <w:i/>
          <w:iCs/>
          <w:szCs w:val="24"/>
        </w:rPr>
        <w:t>cenová liberalizace</w:t>
      </w:r>
    </w:p>
    <w:p w14:paraId="4A6F51CC" w14:textId="77777777" w:rsidR="008E0F74" w:rsidRPr="00FC3B7C" w:rsidRDefault="00256F29" w:rsidP="00D46B53">
      <w:pPr>
        <w:numPr>
          <w:ilvl w:val="0"/>
          <w:numId w:val="478"/>
        </w:numPr>
        <w:tabs>
          <w:tab w:val="left" w:pos="820"/>
        </w:tabs>
        <w:ind w:left="820" w:hanging="353"/>
        <w:rPr>
          <w:rFonts w:eastAsia="Times New Roman"/>
          <w:b/>
          <w:bCs/>
          <w:i/>
          <w:iCs/>
          <w:szCs w:val="24"/>
        </w:rPr>
      </w:pPr>
      <w:r w:rsidRPr="00FC3B7C">
        <w:rPr>
          <w:rFonts w:eastAsia="Times New Roman"/>
          <w:i/>
          <w:iCs/>
          <w:szCs w:val="24"/>
        </w:rPr>
        <w:t>liberalizace vnějších ekonomických vztahů (zahraničního obchodu)</w:t>
      </w:r>
    </w:p>
    <w:p w14:paraId="4A6F51CD" w14:textId="77777777" w:rsidR="008E0F74" w:rsidRPr="00FC3B7C" w:rsidRDefault="00256F29" w:rsidP="00D46B53">
      <w:pPr>
        <w:numPr>
          <w:ilvl w:val="0"/>
          <w:numId w:val="478"/>
        </w:numPr>
        <w:tabs>
          <w:tab w:val="left" w:pos="820"/>
        </w:tabs>
        <w:ind w:left="820" w:hanging="353"/>
        <w:rPr>
          <w:rFonts w:eastAsia="Times New Roman"/>
          <w:b/>
          <w:bCs/>
          <w:i/>
          <w:iCs/>
          <w:szCs w:val="24"/>
        </w:rPr>
      </w:pPr>
      <w:r w:rsidRPr="00FC3B7C">
        <w:rPr>
          <w:rFonts w:eastAsia="Times New Roman"/>
          <w:i/>
          <w:iCs/>
          <w:szCs w:val="24"/>
        </w:rPr>
        <w:t>obnova a udržení makroekonomické rovnováhy (stabilizace)</w:t>
      </w:r>
    </w:p>
    <w:p w14:paraId="4A6F51CE" w14:textId="77777777" w:rsidR="008E0F74" w:rsidRPr="00562370" w:rsidRDefault="00256F29" w:rsidP="00D46B53">
      <w:pPr>
        <w:numPr>
          <w:ilvl w:val="0"/>
          <w:numId w:val="478"/>
        </w:numPr>
        <w:tabs>
          <w:tab w:val="left" w:pos="820"/>
        </w:tabs>
        <w:ind w:left="820" w:hanging="353"/>
        <w:rPr>
          <w:rFonts w:eastAsia="Times New Roman"/>
          <w:b/>
          <w:bCs/>
          <w:i/>
          <w:szCs w:val="24"/>
        </w:rPr>
      </w:pPr>
      <w:r w:rsidRPr="00562370">
        <w:rPr>
          <w:rFonts w:eastAsia="Times New Roman"/>
          <w:i/>
          <w:szCs w:val="24"/>
        </w:rPr>
        <w:t>udržení sociálního smíru a získání podpory obyvatel pro realizaci transformace</w:t>
      </w:r>
    </w:p>
    <w:p w14:paraId="4A6F51CF" w14:textId="16BCE875" w:rsidR="008E0F74" w:rsidRPr="00AB7366" w:rsidRDefault="00256F29" w:rsidP="00D46B53">
      <w:pPr>
        <w:numPr>
          <w:ilvl w:val="0"/>
          <w:numId w:val="478"/>
        </w:numPr>
        <w:tabs>
          <w:tab w:val="left" w:pos="820"/>
        </w:tabs>
        <w:ind w:left="820" w:hanging="353"/>
        <w:rPr>
          <w:rFonts w:eastAsia="Times New Roman"/>
          <w:b/>
          <w:bCs/>
          <w:i/>
          <w:szCs w:val="24"/>
        </w:rPr>
      </w:pPr>
      <w:r w:rsidRPr="00562370">
        <w:rPr>
          <w:rFonts w:eastAsia="Times New Roman"/>
          <w:i/>
          <w:szCs w:val="24"/>
        </w:rPr>
        <w:t>vytvoření právního prostření založeného na respektování soukromých smluv</w:t>
      </w:r>
    </w:p>
    <w:p w14:paraId="682E7E22" w14:textId="77777777" w:rsidR="00AB7366" w:rsidRPr="00562370" w:rsidRDefault="00AB7366" w:rsidP="00AB7366">
      <w:pPr>
        <w:tabs>
          <w:tab w:val="left" w:pos="820"/>
        </w:tabs>
        <w:ind w:left="820"/>
        <w:rPr>
          <w:rFonts w:eastAsia="Times New Roman"/>
          <w:b/>
          <w:bCs/>
          <w:i/>
          <w:szCs w:val="24"/>
        </w:rPr>
      </w:pPr>
    </w:p>
    <w:p w14:paraId="4A6F51D0" w14:textId="77777777" w:rsidR="008E0F74" w:rsidRPr="00FC3B7C" w:rsidRDefault="00256F29" w:rsidP="00562370">
      <w:pPr>
        <w:ind w:right="40"/>
        <w:rPr>
          <w:sz w:val="20"/>
          <w:szCs w:val="20"/>
        </w:rPr>
      </w:pPr>
      <w:r w:rsidRPr="00FC3B7C">
        <w:rPr>
          <w:rFonts w:eastAsia="Times New Roman"/>
          <w:szCs w:val="24"/>
        </w:rPr>
        <w:t>Základní pilíře transformace jsou navzájem provázány - např. liberalizace cen musí být doprovázena restriktivní monetární politikou a liberalizací vnějších vztahů.</w:t>
      </w:r>
    </w:p>
    <w:p w14:paraId="4A6F51D1" w14:textId="77777777" w:rsidR="008E0F74" w:rsidRPr="00FC3B7C" w:rsidRDefault="008E0F74">
      <w:pPr>
        <w:spacing w:line="158" w:lineRule="exact"/>
        <w:rPr>
          <w:sz w:val="20"/>
          <w:szCs w:val="20"/>
        </w:rPr>
      </w:pPr>
    </w:p>
    <w:p w14:paraId="4A6F51D2" w14:textId="5D2CB231" w:rsidR="008E0F74" w:rsidRPr="00AB7366" w:rsidRDefault="00AB7366" w:rsidP="00562370">
      <w:pPr>
        <w:pStyle w:val="Nadpis3"/>
        <w:rPr>
          <w:color w:val="1F3864" w:themeColor="accent1" w:themeShade="80"/>
          <w:sz w:val="20"/>
          <w:szCs w:val="20"/>
        </w:rPr>
      </w:pPr>
      <w:r>
        <w:rPr>
          <w:rFonts w:eastAsia="Times New Roman"/>
          <w:color w:val="1F3864" w:themeColor="accent1" w:themeShade="80"/>
        </w:rPr>
        <w:t xml:space="preserve"> </w:t>
      </w:r>
      <w:r w:rsidR="00256F29" w:rsidRPr="00AB7366">
        <w:rPr>
          <w:rFonts w:eastAsia="Times New Roman"/>
          <w:color w:val="1F3864" w:themeColor="accent1" w:themeShade="80"/>
        </w:rPr>
        <w:t>Výchozí podmínky</w:t>
      </w:r>
    </w:p>
    <w:p w14:paraId="4A6F51D3" w14:textId="77777777" w:rsidR="008E0F74" w:rsidRPr="00FC3B7C" w:rsidRDefault="00256F29" w:rsidP="00562370">
      <w:pPr>
        <w:ind w:right="40"/>
        <w:rPr>
          <w:sz w:val="20"/>
          <w:szCs w:val="20"/>
        </w:rPr>
      </w:pPr>
      <w:r w:rsidRPr="00FC3B7C">
        <w:rPr>
          <w:rFonts w:eastAsia="Times New Roman"/>
          <w:szCs w:val="24"/>
        </w:rPr>
        <w:t>Československo patřilo před rokem 1989 k totalitním režimům s výsadním postavením jedné strany, absencí politických a občanských svobod. Ekonomický systém byl založen na všelidovém vlastnictví výrobních prostředků.</w:t>
      </w:r>
    </w:p>
    <w:p w14:paraId="4A6F51D4" w14:textId="14C390E2" w:rsidR="008E0F74" w:rsidRPr="00FC3B7C" w:rsidRDefault="00256F29" w:rsidP="00562370">
      <w:pPr>
        <w:ind w:left="4" w:right="20"/>
        <w:rPr>
          <w:sz w:val="20"/>
          <w:szCs w:val="20"/>
        </w:rPr>
      </w:pPr>
      <w:bookmarkStart w:id="441" w:name="page454"/>
      <w:bookmarkEnd w:id="441"/>
      <w:r w:rsidRPr="00FC3B7C">
        <w:rPr>
          <w:rFonts w:eastAsia="Times New Roman"/>
          <w:szCs w:val="24"/>
        </w:rPr>
        <w:t xml:space="preserve">Úkolem transformace byl přechod od socialistické ekonomiky k tržnímu systému. </w:t>
      </w:r>
      <w:r w:rsidR="00562370">
        <w:rPr>
          <w:rFonts w:eastAsia="Times New Roman"/>
          <w:szCs w:val="24"/>
        </w:rPr>
        <w:br/>
      </w:r>
      <w:r w:rsidRPr="00FC3B7C">
        <w:rPr>
          <w:rFonts w:eastAsia="Times New Roman"/>
          <w:szCs w:val="24"/>
        </w:rPr>
        <w:t xml:space="preserve">V centrálně plánované ekonomice neexistoval </w:t>
      </w:r>
      <w:r w:rsidR="00AB7366">
        <w:rPr>
          <w:rFonts w:eastAsia="Times New Roman"/>
          <w:szCs w:val="24"/>
        </w:rPr>
        <w:t>svob</w:t>
      </w:r>
      <w:r w:rsidRPr="00FC3B7C">
        <w:rPr>
          <w:rFonts w:eastAsia="Times New Roman"/>
          <w:szCs w:val="24"/>
        </w:rPr>
        <w:t xml:space="preserve">odný trh, na kterém by mohly vznikat přiměřené ceny, ty muselo uměle určovat plánovací centrum. Ceny tak pochopitelně nemohly </w:t>
      </w:r>
      <w:r w:rsidRPr="00FC3B7C">
        <w:rPr>
          <w:rFonts w:eastAsia="Times New Roman"/>
          <w:szCs w:val="24"/>
        </w:rPr>
        <w:lastRenderedPageBreak/>
        <w:t>odrážet ani spotřebitelské preference ani vzácnost ekonomických zdrojů. Ceny tak neplnily svou alokační funkci, tím pádem docházelo k neefektivní alokaci ekonomických zdrojů.</w:t>
      </w:r>
    </w:p>
    <w:p w14:paraId="4A6F51D5" w14:textId="77777777" w:rsidR="008E0F74" w:rsidRPr="00FC3B7C" w:rsidRDefault="00256F29" w:rsidP="00562370">
      <w:pPr>
        <w:ind w:left="4" w:right="20"/>
        <w:rPr>
          <w:sz w:val="20"/>
          <w:szCs w:val="20"/>
        </w:rPr>
      </w:pPr>
      <w:r w:rsidRPr="00FC3B7C">
        <w:rPr>
          <w:rFonts w:eastAsia="Times New Roman"/>
          <w:szCs w:val="24"/>
        </w:rPr>
        <w:t>Docházelo také k technologickému zaostávání, zhoršovalo se životní prostředí a hospodářství stagnovalo.</w:t>
      </w:r>
    </w:p>
    <w:p w14:paraId="4A6F51D6" w14:textId="77777777" w:rsidR="008E0F74" w:rsidRPr="00FC3B7C" w:rsidRDefault="008E0F74">
      <w:pPr>
        <w:spacing w:line="158" w:lineRule="exact"/>
        <w:rPr>
          <w:sz w:val="20"/>
          <w:szCs w:val="20"/>
        </w:rPr>
      </w:pPr>
    </w:p>
    <w:p w14:paraId="4A6F51D7" w14:textId="2D99F702" w:rsidR="008E0F74" w:rsidRPr="00FC3B7C" w:rsidRDefault="00AB7366" w:rsidP="00562370">
      <w:pPr>
        <w:pStyle w:val="Nadpis3"/>
        <w:rPr>
          <w:sz w:val="20"/>
          <w:szCs w:val="20"/>
        </w:rPr>
      </w:pPr>
      <w:r>
        <w:rPr>
          <w:rFonts w:eastAsia="Times New Roman"/>
        </w:rPr>
        <w:t xml:space="preserve"> </w:t>
      </w:r>
      <w:r w:rsidR="00256F29" w:rsidRPr="00AB7366">
        <w:rPr>
          <w:rFonts w:eastAsia="Times New Roman"/>
          <w:color w:val="1F3864" w:themeColor="accent1" w:themeShade="80"/>
        </w:rPr>
        <w:t>Centrálně plánovaná ekonomika</w:t>
      </w:r>
    </w:p>
    <w:p w14:paraId="4A6F51D8" w14:textId="77777777" w:rsidR="008E0F74" w:rsidRPr="00FC3B7C" w:rsidRDefault="00256F29" w:rsidP="00562370">
      <w:pPr>
        <w:ind w:left="4" w:right="20"/>
        <w:rPr>
          <w:sz w:val="20"/>
          <w:szCs w:val="20"/>
        </w:rPr>
      </w:pPr>
      <w:r w:rsidRPr="00FC3B7C">
        <w:rPr>
          <w:rFonts w:eastAsia="Times New Roman"/>
          <w:szCs w:val="24"/>
        </w:rPr>
        <w:t>H</w:t>
      </w:r>
      <w:r w:rsidR="00562370">
        <w:rPr>
          <w:rFonts w:eastAsia="Times New Roman"/>
          <w:szCs w:val="24"/>
        </w:rPr>
        <w:t>lavním rysem je neexistence svobodnéh</w:t>
      </w:r>
      <w:r w:rsidRPr="00FC3B7C">
        <w:rPr>
          <w:rFonts w:eastAsia="Times New Roman"/>
          <w:szCs w:val="24"/>
        </w:rPr>
        <w:t>o trh</w:t>
      </w:r>
      <w:r w:rsidR="00562370">
        <w:rPr>
          <w:rFonts w:eastAsia="Times New Roman"/>
          <w:szCs w:val="24"/>
        </w:rPr>
        <w:t>u</w:t>
      </w:r>
      <w:r w:rsidRPr="00FC3B7C">
        <w:rPr>
          <w:rFonts w:eastAsia="Times New Roman"/>
          <w:szCs w:val="24"/>
        </w:rPr>
        <w:t xml:space="preserve"> a tedy i neexistence tržních cen, které by plnily informační, alokační a motivační funkce. Vedla k neefektivní alokaci a využívání zdrojů, hospodářské stagnaci, technologické zaostalosti a zhoršování životního prostředí:</w:t>
      </w:r>
    </w:p>
    <w:p w14:paraId="4A6F51D9" w14:textId="77777777" w:rsidR="008E0F74" w:rsidRPr="00FC3B7C" w:rsidRDefault="00256F29" w:rsidP="00D46B53">
      <w:pPr>
        <w:numPr>
          <w:ilvl w:val="0"/>
          <w:numId w:val="479"/>
        </w:numPr>
        <w:tabs>
          <w:tab w:val="left" w:pos="724"/>
        </w:tabs>
        <w:ind w:left="724" w:right="40" w:hanging="367"/>
        <w:rPr>
          <w:rFonts w:eastAsia="Arial"/>
          <w:szCs w:val="24"/>
        </w:rPr>
      </w:pPr>
      <w:r w:rsidRPr="00FC3B7C">
        <w:rPr>
          <w:rFonts w:eastAsia="Times New Roman"/>
          <w:szCs w:val="24"/>
        </w:rPr>
        <w:t>Ceny, mzdy a úrokové míry byly administrativní a neposkytovaly žádné informace, neodrážely spotřebitelskou preferenci ani vzácnost zdrojů.</w:t>
      </w:r>
    </w:p>
    <w:p w14:paraId="4A6F51DA" w14:textId="2E421C39" w:rsidR="008E0F74" w:rsidRPr="00562370" w:rsidRDefault="00256F29" w:rsidP="00D46B53">
      <w:pPr>
        <w:numPr>
          <w:ilvl w:val="0"/>
          <w:numId w:val="479"/>
        </w:numPr>
        <w:tabs>
          <w:tab w:val="left" w:pos="718"/>
        </w:tabs>
        <w:ind w:left="709" w:right="20" w:hanging="352"/>
        <w:rPr>
          <w:rFonts w:eastAsia="Arial"/>
          <w:szCs w:val="24"/>
        </w:rPr>
      </w:pPr>
      <w:r w:rsidRPr="00FC3B7C">
        <w:rPr>
          <w:rFonts w:eastAsia="Times New Roman"/>
          <w:szCs w:val="24"/>
        </w:rPr>
        <w:t>Ekonomické rozhodování bylo centralizováno, podniky samostatně nemohly rozhodovat o produkci. V důsledku docházelo k</w:t>
      </w:r>
      <w:r w:rsidR="00562370">
        <w:rPr>
          <w:rFonts w:eastAsia="Times New Roman"/>
          <w:szCs w:val="24"/>
        </w:rPr>
        <w:t> </w:t>
      </w:r>
      <w:r w:rsidRPr="00FC3B7C">
        <w:rPr>
          <w:rFonts w:eastAsia="Times New Roman"/>
          <w:szCs w:val="24"/>
        </w:rPr>
        <w:t>neefektivní</w:t>
      </w:r>
      <w:r w:rsidR="00562370">
        <w:rPr>
          <w:rFonts w:eastAsia="Arial"/>
          <w:szCs w:val="24"/>
        </w:rPr>
        <w:t xml:space="preserve"> </w:t>
      </w:r>
      <w:r w:rsidRPr="00562370">
        <w:rPr>
          <w:rFonts w:eastAsia="Times New Roman"/>
          <w:szCs w:val="24"/>
        </w:rPr>
        <w:t xml:space="preserve">alokaci. Hlavním cílem podniků nebylo dosahování </w:t>
      </w:r>
      <w:r w:rsidR="00124942" w:rsidRPr="00562370">
        <w:rPr>
          <w:rFonts w:eastAsia="Times New Roman"/>
          <w:szCs w:val="24"/>
        </w:rPr>
        <w:t>maximálního</w:t>
      </w:r>
      <w:r w:rsidRPr="00562370">
        <w:rPr>
          <w:rFonts w:eastAsia="Times New Roman"/>
          <w:szCs w:val="24"/>
        </w:rPr>
        <w:t xml:space="preserve"> zisku, ale splnění hmotného cíle stanoveného centrálním plánovačem.</w:t>
      </w:r>
    </w:p>
    <w:p w14:paraId="4A6F51DB" w14:textId="77777777" w:rsidR="008E0F74" w:rsidRPr="00FC3B7C" w:rsidRDefault="00256F29" w:rsidP="00D46B53">
      <w:pPr>
        <w:numPr>
          <w:ilvl w:val="0"/>
          <w:numId w:val="480"/>
        </w:numPr>
        <w:tabs>
          <w:tab w:val="left" w:pos="724"/>
        </w:tabs>
        <w:ind w:left="724" w:hanging="367"/>
        <w:rPr>
          <w:rFonts w:eastAsia="Arial"/>
          <w:szCs w:val="24"/>
        </w:rPr>
      </w:pPr>
      <w:r w:rsidRPr="00FC3B7C">
        <w:rPr>
          <w:rFonts w:eastAsia="Times New Roman"/>
          <w:szCs w:val="24"/>
        </w:rPr>
        <w:t>Zahraniční obchod byl orientován na země RVHP (těžký průmysl, zbrojní výroba).</w:t>
      </w:r>
    </w:p>
    <w:p w14:paraId="4A6F51DC" w14:textId="77777777" w:rsidR="008E0F74" w:rsidRPr="00FC3B7C" w:rsidRDefault="00256F29" w:rsidP="00D46B53">
      <w:pPr>
        <w:numPr>
          <w:ilvl w:val="0"/>
          <w:numId w:val="480"/>
        </w:numPr>
        <w:tabs>
          <w:tab w:val="left" w:pos="724"/>
        </w:tabs>
        <w:ind w:left="724" w:right="20" w:hanging="367"/>
        <w:rPr>
          <w:rFonts w:eastAsia="Arial"/>
          <w:szCs w:val="24"/>
        </w:rPr>
      </w:pPr>
      <w:r w:rsidRPr="00FC3B7C">
        <w:rPr>
          <w:rFonts w:eastAsia="Times New Roman"/>
          <w:szCs w:val="24"/>
        </w:rPr>
        <w:t>Nadměrné využívání zdrojů - přezaměstnanost, nadměrné vyčerpávání surovinových zdrojů.</w:t>
      </w:r>
    </w:p>
    <w:p w14:paraId="4A6F51DD" w14:textId="77777777" w:rsidR="008E0F74" w:rsidRPr="00FC3B7C" w:rsidRDefault="00256F29" w:rsidP="00D46B53">
      <w:pPr>
        <w:numPr>
          <w:ilvl w:val="0"/>
          <w:numId w:val="480"/>
        </w:numPr>
        <w:tabs>
          <w:tab w:val="left" w:pos="724"/>
        </w:tabs>
        <w:ind w:left="724" w:hanging="367"/>
        <w:rPr>
          <w:rFonts w:eastAsia="Arial"/>
          <w:szCs w:val="24"/>
        </w:rPr>
      </w:pPr>
      <w:r w:rsidRPr="00FC3B7C">
        <w:rPr>
          <w:rFonts w:eastAsia="Times New Roman"/>
          <w:szCs w:val="24"/>
        </w:rPr>
        <w:t>Monopolní struktura hospodářství</w:t>
      </w:r>
    </w:p>
    <w:p w14:paraId="4A6F51DF" w14:textId="77777777" w:rsidR="008E0F74" w:rsidRPr="00FC3B7C" w:rsidRDefault="008E0F74">
      <w:pPr>
        <w:spacing w:line="200" w:lineRule="exact"/>
        <w:rPr>
          <w:sz w:val="20"/>
          <w:szCs w:val="20"/>
        </w:rPr>
      </w:pPr>
    </w:p>
    <w:p w14:paraId="4A6F51E0" w14:textId="77777777" w:rsidR="008E0F74" w:rsidRPr="00FC3B7C" w:rsidRDefault="008E0F74">
      <w:pPr>
        <w:spacing w:line="200" w:lineRule="exact"/>
        <w:rPr>
          <w:sz w:val="20"/>
          <w:szCs w:val="20"/>
        </w:rPr>
      </w:pPr>
    </w:p>
    <w:p w14:paraId="4A6F51E1" w14:textId="77777777" w:rsidR="008E0F74" w:rsidRPr="00FC3B7C" w:rsidRDefault="008E0F74">
      <w:pPr>
        <w:spacing w:line="200" w:lineRule="exact"/>
        <w:rPr>
          <w:sz w:val="20"/>
          <w:szCs w:val="20"/>
        </w:rPr>
      </w:pPr>
    </w:p>
    <w:p w14:paraId="4A6F51E2" w14:textId="06A5D774" w:rsidR="008E0F74" w:rsidRPr="00FC3B7C" w:rsidRDefault="00AB7366" w:rsidP="00A51BC4">
      <w:pPr>
        <w:pStyle w:val="Nadpis3"/>
        <w:rPr>
          <w:sz w:val="20"/>
          <w:szCs w:val="20"/>
        </w:rPr>
      </w:pPr>
      <w:bookmarkStart w:id="442" w:name="page455"/>
      <w:bookmarkEnd w:id="442"/>
      <w:r>
        <w:rPr>
          <w:rFonts w:eastAsia="Times New Roman"/>
        </w:rPr>
        <w:t xml:space="preserve"> </w:t>
      </w:r>
      <w:r w:rsidR="00256F29" w:rsidRPr="00AB7366">
        <w:rPr>
          <w:rFonts w:eastAsia="Times New Roman"/>
          <w:color w:val="1F3864" w:themeColor="accent1" w:themeShade="80"/>
        </w:rPr>
        <w:t>Pokusy o reformu</w:t>
      </w:r>
    </w:p>
    <w:p w14:paraId="4A6F51E3" w14:textId="77777777" w:rsidR="008E0F74" w:rsidRPr="00FC3B7C" w:rsidRDefault="00256F29" w:rsidP="00A51BC4">
      <w:pPr>
        <w:rPr>
          <w:sz w:val="20"/>
          <w:szCs w:val="20"/>
        </w:rPr>
      </w:pPr>
      <w:r w:rsidRPr="00FC3B7C">
        <w:rPr>
          <w:rFonts w:eastAsia="Times New Roman"/>
          <w:szCs w:val="24"/>
        </w:rPr>
        <w:t>V roce 1956 první úvahy o potřebě reformy …</w:t>
      </w:r>
    </w:p>
    <w:p w14:paraId="4A6F51E4" w14:textId="77777777" w:rsidR="008E0F74" w:rsidRPr="00FC3B7C" w:rsidRDefault="008E0F74">
      <w:pPr>
        <w:spacing w:line="126" w:lineRule="exact"/>
        <w:rPr>
          <w:sz w:val="20"/>
          <w:szCs w:val="20"/>
        </w:rPr>
      </w:pPr>
    </w:p>
    <w:p w14:paraId="4A6F51E5" w14:textId="77777777" w:rsidR="008E0F74" w:rsidRPr="00AB7366" w:rsidRDefault="00256F29" w:rsidP="00A51BC4">
      <w:pPr>
        <w:pStyle w:val="Nadpis4"/>
        <w:rPr>
          <w:color w:val="1F3864" w:themeColor="accent1" w:themeShade="80"/>
          <w:sz w:val="20"/>
          <w:szCs w:val="20"/>
        </w:rPr>
      </w:pPr>
      <w:r w:rsidRPr="00AB7366">
        <w:rPr>
          <w:rFonts w:eastAsia="Times New Roman"/>
          <w:color w:val="1F3864" w:themeColor="accent1" w:themeShade="80"/>
        </w:rPr>
        <w:t>Rozsypalova reforma-1958-1961</w:t>
      </w:r>
    </w:p>
    <w:p w14:paraId="4A6F51E6" w14:textId="77777777" w:rsidR="008E0F74" w:rsidRPr="00FC3B7C" w:rsidRDefault="00256F29" w:rsidP="00D46B53">
      <w:pPr>
        <w:numPr>
          <w:ilvl w:val="0"/>
          <w:numId w:val="481"/>
        </w:numPr>
        <w:tabs>
          <w:tab w:val="left" w:pos="720"/>
        </w:tabs>
        <w:ind w:left="720" w:right="20" w:hanging="367"/>
        <w:rPr>
          <w:rFonts w:eastAsia="Arial"/>
          <w:szCs w:val="24"/>
        </w:rPr>
      </w:pPr>
      <w:r w:rsidRPr="00FC3B7C">
        <w:rPr>
          <w:rFonts w:eastAsia="Times New Roman"/>
          <w:szCs w:val="24"/>
        </w:rPr>
        <w:t>Změna organizace průmyslu, vznik výrobně hospodářských jednotek s podniky-za účelem decentralizace řízení</w:t>
      </w:r>
    </w:p>
    <w:p w14:paraId="4A6F51E7" w14:textId="77777777" w:rsidR="008E0F74" w:rsidRPr="00FC3B7C" w:rsidRDefault="00256F29" w:rsidP="00D46B53">
      <w:pPr>
        <w:numPr>
          <w:ilvl w:val="0"/>
          <w:numId w:val="481"/>
        </w:numPr>
        <w:tabs>
          <w:tab w:val="left" w:pos="720"/>
        </w:tabs>
        <w:ind w:left="720" w:right="20" w:hanging="367"/>
        <w:rPr>
          <w:rFonts w:eastAsia="Arial"/>
          <w:szCs w:val="24"/>
        </w:rPr>
      </w:pPr>
      <w:r w:rsidRPr="00FC3B7C">
        <w:rPr>
          <w:rFonts w:eastAsia="Times New Roman"/>
          <w:szCs w:val="24"/>
        </w:rPr>
        <w:t>Mzdová přestavba-centrálně určené mzdové katalogy dle jednotlivých odvětví, institut kolektivních smluv</w:t>
      </w:r>
    </w:p>
    <w:p w14:paraId="4A6F51E8" w14:textId="22648744" w:rsidR="008E0F74" w:rsidRPr="00FC3B7C" w:rsidRDefault="00256F29" w:rsidP="00D46B53">
      <w:pPr>
        <w:numPr>
          <w:ilvl w:val="0"/>
          <w:numId w:val="481"/>
        </w:numPr>
        <w:tabs>
          <w:tab w:val="left" w:pos="720"/>
        </w:tabs>
        <w:ind w:left="720" w:right="20" w:hanging="367"/>
        <w:rPr>
          <w:rFonts w:eastAsia="Arial"/>
          <w:szCs w:val="24"/>
        </w:rPr>
      </w:pPr>
      <w:r w:rsidRPr="00FC3B7C">
        <w:rPr>
          <w:rFonts w:eastAsia="Times New Roman"/>
          <w:szCs w:val="24"/>
        </w:rPr>
        <w:t>Změna v soustavě plánování</w:t>
      </w:r>
      <w:r w:rsidR="00124942">
        <w:rPr>
          <w:rFonts w:eastAsia="Times New Roman"/>
          <w:szCs w:val="24"/>
        </w:rPr>
        <w:t xml:space="preserve"> </w:t>
      </w:r>
      <w:r w:rsidRPr="00FC3B7C">
        <w:rPr>
          <w:rFonts w:eastAsia="Times New Roman"/>
          <w:szCs w:val="24"/>
        </w:rPr>
        <w:t>-</w:t>
      </w:r>
      <w:r w:rsidR="00124942">
        <w:rPr>
          <w:rFonts w:eastAsia="Times New Roman"/>
          <w:szCs w:val="24"/>
        </w:rPr>
        <w:t xml:space="preserve"> </w:t>
      </w:r>
      <w:r w:rsidRPr="00FC3B7C">
        <w:rPr>
          <w:rFonts w:eastAsia="Times New Roman"/>
          <w:szCs w:val="24"/>
        </w:rPr>
        <w:t>dlouhodobé plány a navazující střednědobé plány (závazné)</w:t>
      </w:r>
    </w:p>
    <w:p w14:paraId="4A6F51E9" w14:textId="77777777" w:rsidR="008E0F74" w:rsidRPr="00A51BC4" w:rsidRDefault="00256F29" w:rsidP="00D46B53">
      <w:pPr>
        <w:numPr>
          <w:ilvl w:val="0"/>
          <w:numId w:val="481"/>
        </w:numPr>
        <w:tabs>
          <w:tab w:val="left" w:pos="720"/>
        </w:tabs>
        <w:ind w:left="720" w:right="20" w:hanging="367"/>
        <w:rPr>
          <w:rFonts w:eastAsia="Arial"/>
          <w:szCs w:val="24"/>
        </w:rPr>
      </w:pPr>
      <w:r w:rsidRPr="00A51BC4">
        <w:rPr>
          <w:rFonts w:eastAsia="Times New Roman"/>
          <w:szCs w:val="24"/>
        </w:rPr>
        <w:t>Vznik normativů-měly sloužit k zainteresovanosti a možnému vytvoření vlastních finančních zdrojů podniků</w:t>
      </w:r>
    </w:p>
    <w:p w14:paraId="4A6F51EA" w14:textId="77777777" w:rsidR="008E0F74" w:rsidRPr="00FC3B7C" w:rsidRDefault="00256F29" w:rsidP="00D46B53">
      <w:pPr>
        <w:numPr>
          <w:ilvl w:val="0"/>
          <w:numId w:val="481"/>
        </w:numPr>
        <w:tabs>
          <w:tab w:val="left" w:pos="720"/>
        </w:tabs>
        <w:ind w:left="720" w:hanging="367"/>
        <w:rPr>
          <w:rFonts w:eastAsia="Arial"/>
          <w:szCs w:val="24"/>
        </w:rPr>
      </w:pPr>
      <w:r w:rsidRPr="00FC3B7C">
        <w:rPr>
          <w:rFonts w:eastAsia="Times New Roman"/>
          <w:szCs w:val="24"/>
        </w:rPr>
        <w:t>Na počátku šedesátých let se zhroutila</w:t>
      </w:r>
    </w:p>
    <w:p w14:paraId="4A6F51EB" w14:textId="77777777" w:rsidR="008E0F74" w:rsidRPr="00AB7366" w:rsidRDefault="00256F29" w:rsidP="00A51BC4">
      <w:pPr>
        <w:pStyle w:val="Nadpis4"/>
        <w:rPr>
          <w:color w:val="1F3864" w:themeColor="accent1" w:themeShade="80"/>
          <w:sz w:val="20"/>
          <w:szCs w:val="20"/>
        </w:rPr>
      </w:pPr>
      <w:r w:rsidRPr="00AB7366">
        <w:rPr>
          <w:rFonts w:eastAsia="Times New Roman"/>
          <w:color w:val="1F3864" w:themeColor="accent1" w:themeShade="80"/>
        </w:rPr>
        <w:lastRenderedPageBreak/>
        <w:t>Reforma Oty Šika -1963-1968</w:t>
      </w:r>
    </w:p>
    <w:p w14:paraId="4A6F51EC" w14:textId="77777777" w:rsidR="008E0F74" w:rsidRPr="00FC3B7C" w:rsidRDefault="00256F29" w:rsidP="00A51BC4">
      <w:pPr>
        <w:tabs>
          <w:tab w:val="left" w:pos="700"/>
        </w:tabs>
        <w:ind w:left="360"/>
        <w:rPr>
          <w:sz w:val="20"/>
          <w:szCs w:val="20"/>
        </w:rPr>
      </w:pPr>
      <w:r w:rsidRPr="00FC3B7C">
        <w:rPr>
          <w:rFonts w:eastAsia="Arial"/>
          <w:szCs w:val="24"/>
        </w:rPr>
        <w:t>•</w:t>
      </w:r>
      <w:r w:rsidRPr="00FC3B7C">
        <w:rPr>
          <w:sz w:val="20"/>
          <w:szCs w:val="20"/>
        </w:rPr>
        <w:tab/>
      </w:r>
      <w:r w:rsidRPr="00FC3B7C">
        <w:rPr>
          <w:rFonts w:eastAsia="Times New Roman"/>
          <w:szCs w:val="24"/>
        </w:rPr>
        <w:t>Prvky tržního socialismu i samosprávného socialismu (= dělníci se podíleli spolu</w:t>
      </w:r>
    </w:p>
    <w:p w14:paraId="4A6F51ED" w14:textId="77777777" w:rsidR="008E0F74" w:rsidRPr="00FC3B7C" w:rsidRDefault="00256F29" w:rsidP="00A51BC4">
      <w:pPr>
        <w:ind w:left="720"/>
        <w:rPr>
          <w:sz w:val="20"/>
          <w:szCs w:val="20"/>
        </w:rPr>
      </w:pPr>
      <w:r w:rsidRPr="00FC3B7C">
        <w:rPr>
          <w:rFonts w:eastAsia="Times New Roman"/>
          <w:szCs w:val="24"/>
        </w:rPr>
        <w:t>s vedením podniku na rozhodování o důležitých úkonech)</w:t>
      </w:r>
    </w:p>
    <w:p w14:paraId="4A6F51EE" w14:textId="77777777" w:rsidR="008E0F74" w:rsidRPr="00FC3B7C" w:rsidRDefault="00256F29" w:rsidP="00D46B53">
      <w:pPr>
        <w:numPr>
          <w:ilvl w:val="0"/>
          <w:numId w:val="482"/>
        </w:numPr>
        <w:tabs>
          <w:tab w:val="left" w:pos="720"/>
        </w:tabs>
        <w:ind w:left="720" w:right="20" w:hanging="367"/>
        <w:rPr>
          <w:rFonts w:eastAsia="Arial"/>
          <w:szCs w:val="24"/>
        </w:rPr>
      </w:pPr>
      <w:r w:rsidRPr="00FC3B7C">
        <w:rPr>
          <w:rFonts w:eastAsia="Times New Roman"/>
          <w:szCs w:val="24"/>
        </w:rPr>
        <w:t>Od roku 1965 prvky tzv. pružnosti cen – ceny zboží ovlivňovali i výrobci, začíná se sledovat zisk národních podniků</w:t>
      </w:r>
    </w:p>
    <w:p w14:paraId="4A6F51EF" w14:textId="77777777" w:rsidR="008E0F74" w:rsidRPr="00FC3B7C" w:rsidRDefault="00256F29" w:rsidP="00D46B53">
      <w:pPr>
        <w:numPr>
          <w:ilvl w:val="0"/>
          <w:numId w:val="482"/>
        </w:numPr>
        <w:tabs>
          <w:tab w:val="left" w:pos="720"/>
        </w:tabs>
        <w:ind w:left="720" w:right="20" w:hanging="367"/>
        <w:rPr>
          <w:rFonts w:eastAsia="Arial"/>
          <w:szCs w:val="24"/>
        </w:rPr>
      </w:pPr>
      <w:r w:rsidRPr="00FC3B7C">
        <w:rPr>
          <w:rFonts w:eastAsia="Times New Roman"/>
          <w:szCs w:val="24"/>
        </w:rPr>
        <w:t>Roku 1967 došlo k cenové reformě – přizpůsobení ceny skutečným výrobním nákladům</w:t>
      </w:r>
    </w:p>
    <w:p w14:paraId="4A6F51F0" w14:textId="77777777" w:rsidR="008E0F74" w:rsidRPr="00FC3B7C" w:rsidRDefault="00256F29" w:rsidP="00D46B53">
      <w:pPr>
        <w:numPr>
          <w:ilvl w:val="0"/>
          <w:numId w:val="482"/>
        </w:numPr>
        <w:tabs>
          <w:tab w:val="left" w:pos="720"/>
        </w:tabs>
        <w:ind w:left="720" w:right="20" w:hanging="367"/>
        <w:rPr>
          <w:rFonts w:eastAsia="Arial"/>
          <w:szCs w:val="24"/>
        </w:rPr>
      </w:pPr>
      <w:r w:rsidRPr="00FC3B7C">
        <w:rPr>
          <w:rFonts w:eastAsia="Times New Roman"/>
          <w:szCs w:val="24"/>
        </w:rPr>
        <w:t>Financování investic z vlastních prostředků, odstranění mzdového stropu, opatření proti negativním stránkám monopolů</w:t>
      </w:r>
    </w:p>
    <w:p w14:paraId="4A6F51F1" w14:textId="77777777" w:rsidR="008E0F74" w:rsidRPr="00FC3B7C" w:rsidRDefault="00256F29" w:rsidP="00D46B53">
      <w:pPr>
        <w:numPr>
          <w:ilvl w:val="0"/>
          <w:numId w:val="482"/>
        </w:numPr>
        <w:tabs>
          <w:tab w:val="left" w:pos="720"/>
        </w:tabs>
        <w:ind w:left="720" w:hanging="367"/>
        <w:rPr>
          <w:rFonts w:eastAsia="Arial"/>
          <w:szCs w:val="24"/>
        </w:rPr>
      </w:pPr>
      <w:r w:rsidRPr="00FC3B7C">
        <w:rPr>
          <w:rFonts w:eastAsia="Times New Roman"/>
          <w:szCs w:val="24"/>
        </w:rPr>
        <w:t>Ukončena vpádem vojsk Varšavské smlouvy ´68 (počátek normalizace)</w:t>
      </w:r>
    </w:p>
    <w:p w14:paraId="4A6F51F2" w14:textId="77777777" w:rsidR="008E0F74" w:rsidRDefault="00256F29" w:rsidP="00A51BC4">
      <w:pPr>
        <w:ind w:right="20"/>
        <w:rPr>
          <w:rFonts w:eastAsia="Times New Roman"/>
          <w:szCs w:val="24"/>
        </w:rPr>
      </w:pPr>
      <w:r w:rsidRPr="00FC3B7C">
        <w:rPr>
          <w:rFonts w:eastAsia="Times New Roman"/>
          <w:szCs w:val="24"/>
        </w:rPr>
        <w:t>V 80. letech vznikají centra reformního myšlení - Prognostický Ústav Akademie Věd vedený Valtrem Komárkem a Ekonomický ústav Československé akademie věd.</w:t>
      </w:r>
    </w:p>
    <w:p w14:paraId="4A6F51F3" w14:textId="77777777" w:rsidR="00A51BC4" w:rsidRPr="00FC3B7C" w:rsidRDefault="00A51BC4" w:rsidP="00A51BC4">
      <w:pPr>
        <w:ind w:right="20"/>
        <w:rPr>
          <w:sz w:val="20"/>
          <w:szCs w:val="20"/>
        </w:rPr>
      </w:pPr>
    </w:p>
    <w:p w14:paraId="4A6F51F4" w14:textId="23473ACF" w:rsidR="008E0F74" w:rsidRPr="00FC3B7C" w:rsidRDefault="00AB7366" w:rsidP="00A51BC4">
      <w:pPr>
        <w:pStyle w:val="Nadpis3"/>
        <w:rPr>
          <w:sz w:val="20"/>
          <w:szCs w:val="20"/>
        </w:rPr>
      </w:pPr>
      <w:bookmarkStart w:id="443" w:name="page456"/>
      <w:bookmarkEnd w:id="443"/>
      <w:r>
        <w:rPr>
          <w:rFonts w:eastAsia="Times New Roman"/>
        </w:rPr>
        <w:t xml:space="preserve"> </w:t>
      </w:r>
      <w:r w:rsidR="00256F29" w:rsidRPr="00AB7366">
        <w:rPr>
          <w:rFonts w:eastAsia="Times New Roman"/>
          <w:color w:val="1F3864" w:themeColor="accent1" w:themeShade="80"/>
        </w:rPr>
        <w:t>Výhody a nevýhody Československa</w:t>
      </w:r>
    </w:p>
    <w:p w14:paraId="4A6F51F5" w14:textId="77777777" w:rsidR="008E0F74" w:rsidRPr="00FC3B7C" w:rsidRDefault="00256F29" w:rsidP="00A51BC4">
      <w:pPr>
        <w:rPr>
          <w:sz w:val="20"/>
          <w:szCs w:val="20"/>
        </w:rPr>
      </w:pPr>
      <w:r w:rsidRPr="00FC3B7C">
        <w:rPr>
          <w:rFonts w:eastAsia="Times New Roman"/>
          <w:b/>
          <w:bCs/>
          <w:i/>
          <w:iCs/>
          <w:szCs w:val="24"/>
        </w:rPr>
        <w:t>Výhody:</w:t>
      </w:r>
    </w:p>
    <w:p w14:paraId="4A6F51F6" w14:textId="77777777" w:rsidR="008E0F74" w:rsidRPr="00FC3B7C" w:rsidRDefault="00256F29" w:rsidP="00D46B53">
      <w:pPr>
        <w:numPr>
          <w:ilvl w:val="0"/>
          <w:numId w:val="483"/>
        </w:numPr>
        <w:tabs>
          <w:tab w:val="left" w:pos="1180"/>
        </w:tabs>
        <w:ind w:left="1180" w:hanging="351"/>
        <w:rPr>
          <w:rFonts w:eastAsia="Arial"/>
          <w:szCs w:val="24"/>
        </w:rPr>
      </w:pPr>
      <w:r w:rsidRPr="00FC3B7C">
        <w:rPr>
          <w:rFonts w:eastAsia="Times New Roman"/>
          <w:szCs w:val="24"/>
        </w:rPr>
        <w:t>Tradice restriktivní monetární politiky – relativně nízká inflace</w:t>
      </w:r>
    </w:p>
    <w:p w14:paraId="4A6F51F7" w14:textId="77777777" w:rsidR="008E0F74" w:rsidRPr="00FC3B7C" w:rsidRDefault="00256F29" w:rsidP="00D46B53">
      <w:pPr>
        <w:numPr>
          <w:ilvl w:val="0"/>
          <w:numId w:val="483"/>
        </w:numPr>
        <w:tabs>
          <w:tab w:val="left" w:pos="1180"/>
        </w:tabs>
        <w:ind w:left="1180" w:hanging="351"/>
        <w:rPr>
          <w:rFonts w:eastAsia="Arial"/>
          <w:szCs w:val="24"/>
        </w:rPr>
      </w:pPr>
      <w:r w:rsidRPr="00FC3B7C">
        <w:rPr>
          <w:rFonts w:eastAsia="Times New Roman"/>
          <w:szCs w:val="24"/>
        </w:rPr>
        <w:t>V rámci RVHP nejvyspělejší ekonomika (za námi východní Němci)</w:t>
      </w:r>
    </w:p>
    <w:p w14:paraId="4A6F51F8" w14:textId="77777777" w:rsidR="008E0F74" w:rsidRPr="00FC3B7C" w:rsidRDefault="00256F29" w:rsidP="00D46B53">
      <w:pPr>
        <w:numPr>
          <w:ilvl w:val="0"/>
          <w:numId w:val="483"/>
        </w:numPr>
        <w:tabs>
          <w:tab w:val="left" w:pos="1180"/>
        </w:tabs>
        <w:ind w:left="1180" w:hanging="351"/>
        <w:rPr>
          <w:rFonts w:eastAsia="Arial"/>
          <w:szCs w:val="24"/>
        </w:rPr>
      </w:pPr>
      <w:r w:rsidRPr="00FC3B7C">
        <w:rPr>
          <w:rFonts w:eastAsia="Times New Roman"/>
          <w:szCs w:val="24"/>
        </w:rPr>
        <w:t>Kvalifikovaná pracovní síla</w:t>
      </w:r>
    </w:p>
    <w:p w14:paraId="4A6F51F9" w14:textId="77777777" w:rsidR="008E0F74" w:rsidRPr="00FC3B7C" w:rsidRDefault="00256F29" w:rsidP="00D46B53">
      <w:pPr>
        <w:numPr>
          <w:ilvl w:val="0"/>
          <w:numId w:val="483"/>
        </w:numPr>
        <w:tabs>
          <w:tab w:val="left" w:pos="1180"/>
        </w:tabs>
        <w:ind w:left="1180" w:hanging="351"/>
        <w:rPr>
          <w:rFonts w:eastAsia="Arial"/>
          <w:szCs w:val="24"/>
        </w:rPr>
      </w:pPr>
      <w:r w:rsidRPr="00FC3B7C">
        <w:rPr>
          <w:rFonts w:eastAsia="Times New Roman"/>
          <w:szCs w:val="24"/>
        </w:rPr>
        <w:t>Relativně vysoká životní úroveň</w:t>
      </w:r>
    </w:p>
    <w:p w14:paraId="4A6F51FA" w14:textId="77777777" w:rsidR="008E0F74" w:rsidRPr="00FC3B7C" w:rsidRDefault="00256F29" w:rsidP="00D46B53">
      <w:pPr>
        <w:numPr>
          <w:ilvl w:val="0"/>
          <w:numId w:val="483"/>
        </w:numPr>
        <w:tabs>
          <w:tab w:val="left" w:pos="1180"/>
        </w:tabs>
        <w:ind w:left="1180" w:hanging="351"/>
        <w:rPr>
          <w:rFonts w:eastAsia="Arial"/>
          <w:szCs w:val="24"/>
        </w:rPr>
      </w:pPr>
      <w:r w:rsidRPr="00FC3B7C">
        <w:rPr>
          <w:rFonts w:eastAsia="Times New Roman"/>
          <w:szCs w:val="24"/>
        </w:rPr>
        <w:t>Rozvinutější infrastruktura – doprava, kanalizace, vodovody</w:t>
      </w:r>
    </w:p>
    <w:p w14:paraId="4A6F51FB" w14:textId="77777777" w:rsidR="008E0F74" w:rsidRPr="00FC3B7C" w:rsidRDefault="00256F29" w:rsidP="00D46B53">
      <w:pPr>
        <w:numPr>
          <w:ilvl w:val="0"/>
          <w:numId w:val="483"/>
        </w:numPr>
        <w:tabs>
          <w:tab w:val="left" w:pos="1180"/>
        </w:tabs>
        <w:ind w:left="1180" w:hanging="351"/>
        <w:rPr>
          <w:rFonts w:eastAsia="Arial"/>
          <w:szCs w:val="24"/>
        </w:rPr>
      </w:pPr>
      <w:r w:rsidRPr="00FC3B7C">
        <w:rPr>
          <w:rFonts w:eastAsia="Times New Roman"/>
          <w:szCs w:val="24"/>
        </w:rPr>
        <w:t>Blízkost k západním zemím (30% exportu)</w:t>
      </w:r>
    </w:p>
    <w:p w14:paraId="4A6F51FC" w14:textId="77777777" w:rsidR="008E0F74" w:rsidRPr="00FC3B7C" w:rsidRDefault="00256F29" w:rsidP="00D46B53">
      <w:pPr>
        <w:numPr>
          <w:ilvl w:val="0"/>
          <w:numId w:val="483"/>
        </w:numPr>
        <w:tabs>
          <w:tab w:val="left" w:pos="1180"/>
        </w:tabs>
        <w:ind w:left="1180" w:hanging="351"/>
        <w:rPr>
          <w:rFonts w:eastAsia="Arial"/>
          <w:szCs w:val="24"/>
        </w:rPr>
      </w:pPr>
      <w:r w:rsidRPr="00FC3B7C">
        <w:rPr>
          <w:rFonts w:eastAsia="Times New Roman"/>
          <w:szCs w:val="24"/>
        </w:rPr>
        <w:t>Nízká zahraniční zadluženost</w:t>
      </w:r>
    </w:p>
    <w:p w14:paraId="4A6F51FD" w14:textId="77777777" w:rsidR="008E0F74" w:rsidRPr="00FC3B7C" w:rsidRDefault="00256F29" w:rsidP="00D46B53">
      <w:pPr>
        <w:numPr>
          <w:ilvl w:val="0"/>
          <w:numId w:val="483"/>
        </w:numPr>
        <w:tabs>
          <w:tab w:val="left" w:pos="1180"/>
        </w:tabs>
        <w:ind w:left="1180" w:hanging="351"/>
        <w:rPr>
          <w:rFonts w:eastAsia="Arial"/>
          <w:szCs w:val="24"/>
        </w:rPr>
      </w:pPr>
      <w:r w:rsidRPr="00FC3B7C">
        <w:rPr>
          <w:rFonts w:eastAsia="Times New Roman"/>
          <w:szCs w:val="24"/>
        </w:rPr>
        <w:t>Inflace „nula“ (reálná inflace 2% - taky dobré, nízká)</w:t>
      </w:r>
    </w:p>
    <w:p w14:paraId="4A6F51FE" w14:textId="77777777" w:rsidR="008E0F74" w:rsidRPr="00FC3B7C" w:rsidRDefault="00256F29" w:rsidP="00D46B53">
      <w:pPr>
        <w:numPr>
          <w:ilvl w:val="0"/>
          <w:numId w:val="483"/>
        </w:numPr>
        <w:tabs>
          <w:tab w:val="left" w:pos="1180"/>
        </w:tabs>
        <w:ind w:left="1180" w:hanging="351"/>
        <w:rPr>
          <w:rFonts w:eastAsia="Arial"/>
          <w:szCs w:val="24"/>
        </w:rPr>
      </w:pPr>
      <w:r w:rsidRPr="00FC3B7C">
        <w:rPr>
          <w:rFonts w:eastAsia="Times New Roman"/>
          <w:szCs w:val="24"/>
        </w:rPr>
        <w:t>Chemický a biologický průmysl</w:t>
      </w:r>
    </w:p>
    <w:p w14:paraId="4A6F51FF" w14:textId="77777777" w:rsidR="008E0F74" w:rsidRPr="00FC3B7C" w:rsidRDefault="00256F29" w:rsidP="00D46B53">
      <w:pPr>
        <w:numPr>
          <w:ilvl w:val="0"/>
          <w:numId w:val="483"/>
        </w:numPr>
        <w:tabs>
          <w:tab w:val="left" w:pos="1180"/>
        </w:tabs>
        <w:ind w:left="1180" w:hanging="351"/>
        <w:rPr>
          <w:rFonts w:eastAsia="Arial"/>
          <w:szCs w:val="24"/>
        </w:rPr>
      </w:pPr>
      <w:r w:rsidRPr="00FC3B7C">
        <w:rPr>
          <w:rFonts w:eastAsia="Times New Roman"/>
          <w:szCs w:val="24"/>
        </w:rPr>
        <w:t>Dopravní zařízení, obráběcí stroje</w:t>
      </w:r>
    </w:p>
    <w:p w14:paraId="4A6F5200" w14:textId="77777777" w:rsidR="008E0F74" w:rsidRPr="00FC3B7C" w:rsidRDefault="008E0F74" w:rsidP="00A51BC4">
      <w:pPr>
        <w:rPr>
          <w:sz w:val="20"/>
          <w:szCs w:val="20"/>
        </w:rPr>
      </w:pPr>
    </w:p>
    <w:p w14:paraId="4A6F5201" w14:textId="77777777" w:rsidR="008E0F74" w:rsidRPr="00FC3B7C" w:rsidRDefault="00256F29" w:rsidP="00A51BC4">
      <w:pPr>
        <w:rPr>
          <w:sz w:val="20"/>
          <w:szCs w:val="20"/>
        </w:rPr>
      </w:pPr>
      <w:r w:rsidRPr="00FC3B7C">
        <w:rPr>
          <w:rFonts w:eastAsia="Times New Roman"/>
          <w:b/>
          <w:bCs/>
          <w:i/>
          <w:iCs/>
          <w:szCs w:val="24"/>
        </w:rPr>
        <w:t>Nevýhody</w:t>
      </w:r>
    </w:p>
    <w:p w14:paraId="4A6F5202" w14:textId="49AD9919" w:rsidR="008E0F74" w:rsidRPr="00FC3B7C" w:rsidRDefault="00256F29" w:rsidP="00D46B53">
      <w:pPr>
        <w:numPr>
          <w:ilvl w:val="0"/>
          <w:numId w:val="484"/>
        </w:numPr>
        <w:tabs>
          <w:tab w:val="left" w:pos="720"/>
        </w:tabs>
        <w:ind w:left="720" w:right="20" w:hanging="367"/>
        <w:rPr>
          <w:rFonts w:eastAsia="Arial"/>
          <w:szCs w:val="24"/>
        </w:rPr>
      </w:pPr>
      <w:r w:rsidRPr="00FC3B7C">
        <w:rPr>
          <w:rFonts w:eastAsia="Times New Roman"/>
          <w:szCs w:val="24"/>
        </w:rPr>
        <w:t xml:space="preserve">Téměř neexistoval soukromý sektor- znárodnění nejdůslednější ze všech zemí. Znárodnění začalo </w:t>
      </w:r>
      <w:r w:rsidR="00124942" w:rsidRPr="00FC3B7C">
        <w:rPr>
          <w:rFonts w:eastAsia="Times New Roman"/>
          <w:szCs w:val="24"/>
        </w:rPr>
        <w:t>25. 2. 1948</w:t>
      </w:r>
      <w:r w:rsidRPr="00FC3B7C">
        <w:rPr>
          <w:rFonts w:eastAsia="Times New Roman"/>
          <w:szCs w:val="24"/>
        </w:rPr>
        <w:t>. Důvod pro společné vlastnictví byl</w:t>
      </w:r>
      <w:r w:rsidR="00124942">
        <w:rPr>
          <w:rFonts w:eastAsia="Times New Roman"/>
          <w:szCs w:val="24"/>
        </w:rPr>
        <w:t>o</w:t>
      </w:r>
      <w:r w:rsidRPr="00FC3B7C">
        <w:rPr>
          <w:rFonts w:eastAsia="Times New Roman"/>
          <w:szCs w:val="24"/>
        </w:rPr>
        <w:t xml:space="preserve"> zakotvení </w:t>
      </w:r>
      <w:r w:rsidR="00A51BC4">
        <w:rPr>
          <w:rFonts w:eastAsia="Times New Roman"/>
          <w:szCs w:val="24"/>
        </w:rPr>
        <w:br/>
      </w:r>
      <w:r w:rsidRPr="00FC3B7C">
        <w:rPr>
          <w:rFonts w:eastAsia="Times New Roman"/>
          <w:szCs w:val="24"/>
        </w:rPr>
        <w:t>v marxistické představě vykořisťovaní</w:t>
      </w:r>
      <w:r w:rsidR="00124942">
        <w:rPr>
          <w:rFonts w:eastAsia="Times New Roman"/>
          <w:szCs w:val="24"/>
        </w:rPr>
        <w:t>,</w:t>
      </w:r>
      <w:r w:rsidRPr="00FC3B7C">
        <w:rPr>
          <w:rFonts w:eastAsia="Times New Roman"/>
          <w:szCs w:val="24"/>
        </w:rPr>
        <w:t xml:space="preserve"> spojeného se soukromým majetkem, taky státní podniky se lépe kontrolovaly z centra.</w:t>
      </w:r>
    </w:p>
    <w:p w14:paraId="4A6F5203" w14:textId="77777777" w:rsidR="008E0F74" w:rsidRPr="00FC3B7C" w:rsidRDefault="00256F29" w:rsidP="00D46B53">
      <w:pPr>
        <w:numPr>
          <w:ilvl w:val="0"/>
          <w:numId w:val="484"/>
        </w:numPr>
        <w:tabs>
          <w:tab w:val="left" w:pos="720"/>
        </w:tabs>
        <w:ind w:left="720" w:hanging="367"/>
        <w:rPr>
          <w:rFonts w:eastAsia="Arial"/>
          <w:szCs w:val="24"/>
        </w:rPr>
      </w:pPr>
      <w:r w:rsidRPr="00FC3B7C">
        <w:rPr>
          <w:rFonts w:eastAsia="Times New Roman"/>
          <w:szCs w:val="24"/>
        </w:rPr>
        <w:t>Zastavení předchozích reforem</w:t>
      </w:r>
    </w:p>
    <w:p w14:paraId="4A6F5204" w14:textId="77777777" w:rsidR="008E0F74" w:rsidRPr="00A51BC4" w:rsidRDefault="00256F29" w:rsidP="00D46B53">
      <w:pPr>
        <w:numPr>
          <w:ilvl w:val="0"/>
          <w:numId w:val="484"/>
        </w:numPr>
        <w:tabs>
          <w:tab w:val="left" w:pos="720"/>
        </w:tabs>
        <w:ind w:left="720" w:hanging="367"/>
        <w:rPr>
          <w:rFonts w:eastAsia="Arial"/>
          <w:szCs w:val="24"/>
        </w:rPr>
      </w:pPr>
      <w:r w:rsidRPr="00A51BC4">
        <w:rPr>
          <w:rFonts w:eastAsia="Times New Roman"/>
          <w:szCs w:val="24"/>
        </w:rPr>
        <w:t>Zkreslené ceny – zkreslené informace na světových trzích</w:t>
      </w:r>
    </w:p>
    <w:p w14:paraId="4A6F5205" w14:textId="77777777" w:rsidR="008E0F74" w:rsidRPr="00FC3B7C" w:rsidRDefault="00256F29" w:rsidP="00D46B53">
      <w:pPr>
        <w:numPr>
          <w:ilvl w:val="0"/>
          <w:numId w:val="484"/>
        </w:numPr>
        <w:tabs>
          <w:tab w:val="left" w:pos="720"/>
        </w:tabs>
        <w:ind w:left="720" w:hanging="367"/>
        <w:rPr>
          <w:rFonts w:eastAsia="Arial"/>
          <w:szCs w:val="24"/>
        </w:rPr>
      </w:pPr>
      <w:r w:rsidRPr="00FC3B7C">
        <w:rPr>
          <w:rFonts w:eastAsia="Times New Roman"/>
          <w:szCs w:val="24"/>
        </w:rPr>
        <w:t>Sovětizace ekonomiky, izolace od západních zemí</w:t>
      </w:r>
    </w:p>
    <w:p w14:paraId="4A6F5206" w14:textId="77777777" w:rsidR="008E0F74" w:rsidRPr="00FC3B7C" w:rsidRDefault="00256F29" w:rsidP="00D46B53">
      <w:pPr>
        <w:numPr>
          <w:ilvl w:val="0"/>
          <w:numId w:val="484"/>
        </w:numPr>
        <w:tabs>
          <w:tab w:val="left" w:pos="720"/>
        </w:tabs>
        <w:ind w:left="720" w:hanging="367"/>
        <w:rPr>
          <w:rFonts w:eastAsia="Arial"/>
          <w:szCs w:val="24"/>
        </w:rPr>
      </w:pPr>
      <w:r w:rsidRPr="00FC3B7C">
        <w:rPr>
          <w:rFonts w:eastAsia="Times New Roman"/>
          <w:szCs w:val="24"/>
        </w:rPr>
        <w:lastRenderedPageBreak/>
        <w:t>Těžba uhlí a těžký průmysl</w:t>
      </w:r>
    </w:p>
    <w:p w14:paraId="4A6F5207" w14:textId="77777777" w:rsidR="008E0F74" w:rsidRPr="00FC3B7C" w:rsidRDefault="00256F29" w:rsidP="00D46B53">
      <w:pPr>
        <w:numPr>
          <w:ilvl w:val="0"/>
          <w:numId w:val="484"/>
        </w:numPr>
        <w:tabs>
          <w:tab w:val="left" w:pos="720"/>
        </w:tabs>
        <w:ind w:left="720" w:hanging="367"/>
        <w:rPr>
          <w:rFonts w:eastAsia="Arial"/>
          <w:szCs w:val="24"/>
        </w:rPr>
      </w:pPr>
      <w:r w:rsidRPr="00FC3B7C">
        <w:rPr>
          <w:rFonts w:eastAsia="Times New Roman"/>
          <w:szCs w:val="24"/>
        </w:rPr>
        <w:t>Vysoký stupeň centralizace řízení</w:t>
      </w:r>
    </w:p>
    <w:p w14:paraId="4A6F5208" w14:textId="77777777" w:rsidR="008E0F74" w:rsidRPr="00FC3B7C" w:rsidRDefault="00256F29" w:rsidP="00D46B53">
      <w:pPr>
        <w:numPr>
          <w:ilvl w:val="0"/>
          <w:numId w:val="484"/>
        </w:numPr>
        <w:tabs>
          <w:tab w:val="left" w:pos="720"/>
        </w:tabs>
        <w:ind w:left="720" w:hanging="367"/>
        <w:rPr>
          <w:rFonts w:eastAsia="Arial"/>
          <w:szCs w:val="24"/>
        </w:rPr>
      </w:pPr>
      <w:r w:rsidRPr="00FC3B7C">
        <w:rPr>
          <w:rFonts w:eastAsia="Times New Roman"/>
          <w:szCs w:val="24"/>
        </w:rPr>
        <w:t>Energeticky náročná ekonomika</w:t>
      </w:r>
    </w:p>
    <w:p w14:paraId="4A6F5209" w14:textId="77777777" w:rsidR="008E0F74" w:rsidRPr="00FC3B7C" w:rsidRDefault="00256F29" w:rsidP="00D46B53">
      <w:pPr>
        <w:numPr>
          <w:ilvl w:val="0"/>
          <w:numId w:val="484"/>
        </w:numPr>
        <w:tabs>
          <w:tab w:val="left" w:pos="720"/>
        </w:tabs>
        <w:ind w:left="720" w:hanging="367"/>
        <w:rPr>
          <w:rFonts w:eastAsia="Arial"/>
          <w:szCs w:val="24"/>
        </w:rPr>
      </w:pPr>
      <w:r w:rsidRPr="00FC3B7C">
        <w:rPr>
          <w:rFonts w:eastAsia="Times New Roman"/>
          <w:szCs w:val="24"/>
        </w:rPr>
        <w:t>Kapitálová a technologická poddimenzovanou, stroje z doby před 2. Světovou válkou</w:t>
      </w:r>
    </w:p>
    <w:p w14:paraId="4A6F520A" w14:textId="08E8A010" w:rsidR="008E0F74" w:rsidRPr="00AB7366" w:rsidRDefault="00256F29" w:rsidP="00D46B53">
      <w:pPr>
        <w:numPr>
          <w:ilvl w:val="0"/>
          <w:numId w:val="484"/>
        </w:numPr>
        <w:tabs>
          <w:tab w:val="left" w:pos="720"/>
        </w:tabs>
        <w:ind w:left="720" w:hanging="367"/>
        <w:rPr>
          <w:rFonts w:eastAsia="Arial"/>
          <w:szCs w:val="24"/>
        </w:rPr>
      </w:pPr>
      <w:r w:rsidRPr="00FC3B7C">
        <w:rPr>
          <w:rFonts w:eastAsia="Times New Roman"/>
          <w:szCs w:val="24"/>
        </w:rPr>
        <w:t>Korupce, úplatky</w:t>
      </w:r>
    </w:p>
    <w:p w14:paraId="5F513A56" w14:textId="4A37DBBE" w:rsidR="00AB7366" w:rsidRDefault="00AB7366" w:rsidP="00AB7366">
      <w:pPr>
        <w:tabs>
          <w:tab w:val="left" w:pos="720"/>
        </w:tabs>
        <w:rPr>
          <w:rFonts w:eastAsia="Times New Roman"/>
          <w:szCs w:val="24"/>
        </w:rPr>
      </w:pPr>
    </w:p>
    <w:p w14:paraId="5BF5F471" w14:textId="7C87E56D" w:rsidR="00AB7366" w:rsidRPr="00A51BC4" w:rsidRDefault="00AB7366" w:rsidP="00AB7366">
      <w:pPr>
        <w:tabs>
          <w:tab w:val="left" w:pos="720"/>
        </w:tabs>
        <w:rPr>
          <w:rFonts w:eastAsia="Arial"/>
          <w:szCs w:val="24"/>
        </w:rPr>
      </w:pPr>
      <w:r w:rsidRPr="00AB7366">
        <w:rPr>
          <w:rFonts w:eastAsia="Arial"/>
          <w:noProof/>
          <w:szCs w:val="24"/>
        </w:rPr>
        <w:drawing>
          <wp:inline distT="0" distB="0" distL="0" distR="0" wp14:anchorId="2D7D3C3E" wp14:editId="62E7D5D7">
            <wp:extent cx="4305300" cy="3596640"/>
            <wp:effectExtent l="0" t="0" r="0" b="6096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14:paraId="4A6F520B" w14:textId="77777777" w:rsidR="00A51BC4" w:rsidRPr="00FC3B7C" w:rsidRDefault="00A51BC4" w:rsidP="00A51BC4">
      <w:pPr>
        <w:tabs>
          <w:tab w:val="left" w:pos="720"/>
        </w:tabs>
        <w:ind w:left="720"/>
        <w:rPr>
          <w:rFonts w:eastAsia="Arial"/>
          <w:szCs w:val="24"/>
        </w:rPr>
      </w:pPr>
    </w:p>
    <w:p w14:paraId="4A6F520C" w14:textId="7EA7DD7A" w:rsidR="008E0F74" w:rsidRPr="00FC3B7C" w:rsidRDefault="00AB7366" w:rsidP="00A51BC4">
      <w:pPr>
        <w:pStyle w:val="Nadpis3"/>
        <w:rPr>
          <w:sz w:val="20"/>
          <w:szCs w:val="20"/>
        </w:rPr>
      </w:pPr>
      <w:bookmarkStart w:id="444" w:name="page457"/>
      <w:bookmarkEnd w:id="444"/>
      <w:r>
        <w:rPr>
          <w:rFonts w:eastAsia="Times New Roman"/>
        </w:rPr>
        <w:t xml:space="preserve"> </w:t>
      </w:r>
      <w:r w:rsidR="00256F29" w:rsidRPr="00AB7366">
        <w:rPr>
          <w:rFonts w:eastAsia="Times New Roman"/>
          <w:color w:val="1F3864" w:themeColor="accent1" w:themeShade="80"/>
        </w:rPr>
        <w:t>Základní pilíře transformace:</w:t>
      </w:r>
    </w:p>
    <w:p w14:paraId="4A6F520D" w14:textId="77777777" w:rsidR="008E0F74" w:rsidRPr="00FC3B7C" w:rsidRDefault="00256F29" w:rsidP="00D46B53">
      <w:pPr>
        <w:numPr>
          <w:ilvl w:val="0"/>
          <w:numId w:val="485"/>
        </w:numPr>
        <w:tabs>
          <w:tab w:val="left" w:pos="784"/>
        </w:tabs>
        <w:ind w:left="784" w:hanging="358"/>
        <w:rPr>
          <w:rFonts w:eastAsia="Times New Roman"/>
          <w:b/>
          <w:bCs/>
          <w:szCs w:val="24"/>
        </w:rPr>
      </w:pPr>
      <w:r w:rsidRPr="00FC3B7C">
        <w:rPr>
          <w:rFonts w:eastAsia="Times New Roman"/>
          <w:b/>
          <w:bCs/>
          <w:i/>
          <w:iCs/>
          <w:szCs w:val="24"/>
        </w:rPr>
        <w:t>Liberalizace cen</w:t>
      </w:r>
    </w:p>
    <w:p w14:paraId="4A6F520E" w14:textId="77777777" w:rsidR="008E0F74" w:rsidRPr="00FC3B7C" w:rsidRDefault="00256F29" w:rsidP="00A51BC4">
      <w:pPr>
        <w:ind w:left="4" w:right="20"/>
        <w:rPr>
          <w:sz w:val="20"/>
          <w:szCs w:val="20"/>
        </w:rPr>
      </w:pPr>
      <w:r w:rsidRPr="00FC3B7C">
        <w:rPr>
          <w:rFonts w:eastAsia="Times New Roman"/>
          <w:szCs w:val="24"/>
        </w:rPr>
        <w:t>Cena je nejdůležitějším ukazatelem pro tržní hospodářství. V tržním hospodářství má cena funkci – informační, alokační, motivační a distribuční</w:t>
      </w:r>
    </w:p>
    <w:p w14:paraId="4A6F520F" w14:textId="77777777" w:rsidR="008E0F74" w:rsidRPr="00FC3B7C" w:rsidRDefault="00256F29" w:rsidP="00A51BC4">
      <w:pPr>
        <w:tabs>
          <w:tab w:val="left" w:pos="763"/>
        </w:tabs>
        <w:ind w:left="424"/>
        <w:rPr>
          <w:sz w:val="20"/>
          <w:szCs w:val="20"/>
        </w:rPr>
      </w:pPr>
      <w:r w:rsidRPr="00FC3B7C">
        <w:rPr>
          <w:rFonts w:eastAsia="Times New Roman"/>
          <w:b/>
          <w:bCs/>
          <w:i/>
          <w:iCs/>
          <w:szCs w:val="24"/>
        </w:rPr>
        <w:t>2)</w:t>
      </w:r>
      <w:r w:rsidRPr="00FC3B7C">
        <w:rPr>
          <w:sz w:val="20"/>
          <w:szCs w:val="20"/>
        </w:rPr>
        <w:tab/>
      </w:r>
      <w:r w:rsidRPr="00FC3B7C">
        <w:rPr>
          <w:rFonts w:eastAsia="Times New Roman"/>
          <w:b/>
          <w:bCs/>
          <w:i/>
          <w:iCs/>
          <w:sz w:val="23"/>
          <w:szCs w:val="23"/>
        </w:rPr>
        <w:t>Liberalizace zahraničního obchodu</w:t>
      </w:r>
    </w:p>
    <w:p w14:paraId="4A6F5210" w14:textId="77777777" w:rsidR="008E0F74" w:rsidRPr="00FC3B7C" w:rsidRDefault="00256F29" w:rsidP="00A51BC4">
      <w:pPr>
        <w:ind w:left="4" w:right="20"/>
        <w:rPr>
          <w:sz w:val="20"/>
          <w:szCs w:val="20"/>
        </w:rPr>
      </w:pPr>
      <w:r w:rsidRPr="00FC3B7C">
        <w:rPr>
          <w:rFonts w:eastAsia="Times New Roman"/>
          <w:szCs w:val="24"/>
        </w:rPr>
        <w:t>Především zavedení vnitřní a vnější konvertibility měny - zrušení devizových regulací tak, aby kdokoliv mohl nakupovat cizí měnu a směňovat ji za zahraniční zboží.</w:t>
      </w:r>
    </w:p>
    <w:p w14:paraId="4A6F5211" w14:textId="77777777" w:rsidR="008E0F74" w:rsidRPr="00FC3B7C" w:rsidRDefault="00256F29" w:rsidP="00D46B53">
      <w:pPr>
        <w:numPr>
          <w:ilvl w:val="0"/>
          <w:numId w:val="486"/>
        </w:numPr>
        <w:tabs>
          <w:tab w:val="left" w:pos="724"/>
        </w:tabs>
        <w:ind w:left="724" w:hanging="367"/>
        <w:rPr>
          <w:rFonts w:eastAsia="Arial"/>
          <w:szCs w:val="24"/>
        </w:rPr>
      </w:pPr>
      <w:r w:rsidRPr="00FC3B7C">
        <w:rPr>
          <w:rFonts w:eastAsia="Times New Roman"/>
          <w:szCs w:val="24"/>
        </w:rPr>
        <w:t>Výraznou změnu struktury vývozu a dovozu.</w:t>
      </w:r>
    </w:p>
    <w:p w14:paraId="4A6F5212" w14:textId="77777777" w:rsidR="008E0F74" w:rsidRPr="00FC3B7C" w:rsidRDefault="00256F29" w:rsidP="00D46B53">
      <w:pPr>
        <w:numPr>
          <w:ilvl w:val="0"/>
          <w:numId w:val="486"/>
        </w:numPr>
        <w:tabs>
          <w:tab w:val="left" w:pos="724"/>
        </w:tabs>
        <w:ind w:left="724" w:hanging="367"/>
        <w:rPr>
          <w:rFonts w:eastAsia="Arial"/>
          <w:szCs w:val="24"/>
        </w:rPr>
      </w:pPr>
      <w:r w:rsidRPr="00FC3B7C">
        <w:rPr>
          <w:rFonts w:eastAsia="Times New Roman"/>
          <w:szCs w:val="24"/>
        </w:rPr>
        <w:t>Výraznou změnu ve struktuře trhů</w:t>
      </w:r>
    </w:p>
    <w:p w14:paraId="4A6F5213" w14:textId="77777777" w:rsidR="008E0F74" w:rsidRPr="00FC3B7C" w:rsidRDefault="00256F29" w:rsidP="00D46B53">
      <w:pPr>
        <w:numPr>
          <w:ilvl w:val="1"/>
          <w:numId w:val="486"/>
        </w:numPr>
        <w:tabs>
          <w:tab w:val="left" w:pos="784"/>
        </w:tabs>
        <w:ind w:left="784" w:hanging="358"/>
        <w:rPr>
          <w:rFonts w:eastAsia="Times New Roman"/>
          <w:b/>
          <w:bCs/>
          <w:i/>
          <w:iCs/>
          <w:szCs w:val="24"/>
        </w:rPr>
      </w:pPr>
      <w:r w:rsidRPr="00FC3B7C">
        <w:rPr>
          <w:rFonts w:eastAsia="Times New Roman"/>
          <w:b/>
          <w:bCs/>
          <w:i/>
          <w:iCs/>
          <w:szCs w:val="24"/>
        </w:rPr>
        <w:t>Makroekonomická stabilizace</w:t>
      </w:r>
    </w:p>
    <w:p w14:paraId="4A6F5214" w14:textId="77777777" w:rsidR="008E0F74" w:rsidRPr="00FC3B7C" w:rsidRDefault="00256F29" w:rsidP="00D46B53">
      <w:pPr>
        <w:numPr>
          <w:ilvl w:val="2"/>
          <w:numId w:val="486"/>
        </w:numPr>
        <w:tabs>
          <w:tab w:val="left" w:pos="1144"/>
        </w:tabs>
        <w:ind w:left="1144" w:hanging="370"/>
        <w:rPr>
          <w:rFonts w:eastAsia="Times New Roman"/>
          <w:szCs w:val="24"/>
        </w:rPr>
      </w:pPr>
      <w:r w:rsidRPr="00FC3B7C">
        <w:rPr>
          <w:rFonts w:eastAsia="Times New Roman"/>
          <w:b/>
          <w:bCs/>
          <w:szCs w:val="24"/>
        </w:rPr>
        <w:t xml:space="preserve">Restriktivní fiskální politika </w:t>
      </w:r>
      <w:r w:rsidRPr="00FC3B7C">
        <w:rPr>
          <w:rFonts w:eastAsia="Times New Roman"/>
          <w:szCs w:val="24"/>
        </w:rPr>
        <w:t>(zamezení poskytování ztrátových úvěrů)</w:t>
      </w:r>
    </w:p>
    <w:p w14:paraId="4A6F5215" w14:textId="77777777" w:rsidR="008E0F74" w:rsidRPr="00FC3B7C" w:rsidRDefault="00256F29" w:rsidP="00D46B53">
      <w:pPr>
        <w:numPr>
          <w:ilvl w:val="2"/>
          <w:numId w:val="486"/>
        </w:numPr>
        <w:tabs>
          <w:tab w:val="left" w:pos="1144"/>
        </w:tabs>
        <w:ind w:left="1144" w:right="20" w:hanging="370"/>
        <w:rPr>
          <w:rFonts w:eastAsia="Times New Roman"/>
          <w:szCs w:val="24"/>
        </w:rPr>
      </w:pPr>
      <w:r w:rsidRPr="00FC3B7C">
        <w:rPr>
          <w:rFonts w:eastAsia="Times New Roman"/>
          <w:b/>
          <w:bCs/>
          <w:szCs w:val="24"/>
        </w:rPr>
        <w:lastRenderedPageBreak/>
        <w:t xml:space="preserve">Restriktivní měnová politika </w:t>
      </w:r>
      <w:r w:rsidRPr="00FC3B7C">
        <w:rPr>
          <w:rFonts w:eastAsia="Times New Roman"/>
          <w:szCs w:val="24"/>
        </w:rPr>
        <w:t>(snížení inflace - zavedení režimu fixního</w:t>
      </w:r>
      <w:r w:rsidRPr="00FC3B7C">
        <w:rPr>
          <w:rFonts w:eastAsia="Times New Roman"/>
          <w:b/>
          <w:bCs/>
          <w:szCs w:val="24"/>
        </w:rPr>
        <w:t xml:space="preserve"> </w:t>
      </w:r>
      <w:r w:rsidRPr="00FC3B7C">
        <w:rPr>
          <w:rFonts w:eastAsia="Times New Roman"/>
          <w:szCs w:val="24"/>
        </w:rPr>
        <w:t>směnného kurzu koruny navázání koruny na koš pěti západních měn, především na americký dolar a německou marku). Krátce po revoluci byli jedinými nástroji měnové politiky úvěrové limity. Za socializmu byli podniky zvyklé automaticky získávat na financování svých výrob úvěry od státní banky, stanovením úvěrových limitů došlo k přerušení automatického financování podniků</w:t>
      </w:r>
      <w:r w:rsidRPr="00FC3B7C">
        <w:rPr>
          <w:rFonts w:eastAsia="Times New Roman"/>
          <w:b/>
          <w:bCs/>
          <w:sz w:val="20"/>
          <w:szCs w:val="20"/>
        </w:rPr>
        <w:t>.</w:t>
      </w:r>
    </w:p>
    <w:p w14:paraId="4A6F5216" w14:textId="77777777" w:rsidR="008E0F74" w:rsidRPr="00FC3B7C" w:rsidRDefault="00256F29" w:rsidP="00D46B53">
      <w:pPr>
        <w:numPr>
          <w:ilvl w:val="2"/>
          <w:numId w:val="486"/>
        </w:numPr>
        <w:tabs>
          <w:tab w:val="left" w:pos="1144"/>
        </w:tabs>
        <w:ind w:left="1144" w:right="20" w:hanging="370"/>
        <w:rPr>
          <w:rFonts w:eastAsia="Times New Roman"/>
          <w:szCs w:val="24"/>
        </w:rPr>
      </w:pPr>
      <w:r w:rsidRPr="00FC3B7C">
        <w:rPr>
          <w:rFonts w:eastAsia="Times New Roman"/>
          <w:b/>
          <w:bCs/>
          <w:szCs w:val="24"/>
        </w:rPr>
        <w:t xml:space="preserve">Regulace růstu mezd </w:t>
      </w:r>
      <w:r w:rsidRPr="00FC3B7C">
        <w:rPr>
          <w:rFonts w:eastAsia="Times New Roman"/>
          <w:szCs w:val="24"/>
        </w:rPr>
        <w:t>(mzdy byly sice liberalizovány, ale stát kontroloval jejich</w:t>
      </w:r>
      <w:r w:rsidRPr="00FC3B7C">
        <w:rPr>
          <w:rFonts w:eastAsia="Times New Roman"/>
          <w:b/>
          <w:bCs/>
          <w:szCs w:val="24"/>
        </w:rPr>
        <w:t xml:space="preserve"> </w:t>
      </w:r>
      <w:r w:rsidRPr="00FC3B7C">
        <w:rPr>
          <w:rFonts w:eastAsia="Times New Roman"/>
          <w:szCs w:val="24"/>
        </w:rPr>
        <w:t xml:space="preserve">případný nepřiměřený růst, který by vyvolal rostoucí inflaci). Využíval k tomu jednak daňovou regulací a jednak tripartitní jednání mezi vládou, odbory </w:t>
      </w:r>
      <w:r w:rsidR="00A51BC4">
        <w:rPr>
          <w:rFonts w:eastAsia="Times New Roman"/>
          <w:szCs w:val="24"/>
        </w:rPr>
        <w:br/>
      </w:r>
      <w:r w:rsidRPr="00FC3B7C">
        <w:rPr>
          <w:rFonts w:eastAsia="Times New Roman"/>
          <w:szCs w:val="24"/>
        </w:rPr>
        <w:t>a zaměstnavateli.</w:t>
      </w:r>
    </w:p>
    <w:p w14:paraId="4A6F5217" w14:textId="77777777" w:rsidR="008E0F74" w:rsidRPr="00FC3B7C" w:rsidRDefault="00256F29" w:rsidP="00D46B53">
      <w:pPr>
        <w:numPr>
          <w:ilvl w:val="2"/>
          <w:numId w:val="486"/>
        </w:numPr>
        <w:tabs>
          <w:tab w:val="left" w:pos="1144"/>
        </w:tabs>
        <w:ind w:left="1144" w:right="20" w:hanging="370"/>
        <w:rPr>
          <w:rFonts w:eastAsia="Times New Roman"/>
          <w:szCs w:val="24"/>
        </w:rPr>
      </w:pPr>
      <w:r w:rsidRPr="00FC3B7C">
        <w:rPr>
          <w:rFonts w:eastAsia="Times New Roman"/>
          <w:b/>
          <w:bCs/>
          <w:szCs w:val="24"/>
        </w:rPr>
        <w:t xml:space="preserve">Devalvace </w:t>
      </w:r>
      <w:r w:rsidRPr="00FC3B7C">
        <w:rPr>
          <w:rFonts w:eastAsia="Times New Roman"/>
          <w:szCs w:val="24"/>
        </w:rPr>
        <w:t>a následné</w:t>
      </w:r>
      <w:r w:rsidRPr="00FC3B7C">
        <w:rPr>
          <w:rFonts w:eastAsia="Times New Roman"/>
          <w:b/>
          <w:bCs/>
          <w:szCs w:val="24"/>
        </w:rPr>
        <w:t xml:space="preserve"> ukotvení kurzu domácí měny</w:t>
      </w:r>
      <w:r w:rsidRPr="00FC3B7C">
        <w:rPr>
          <w:rFonts w:eastAsia="Times New Roman"/>
          <w:szCs w:val="24"/>
        </w:rPr>
        <w:t>. Devalvací byl vytvořen tzv.</w:t>
      </w:r>
      <w:r w:rsidRPr="00FC3B7C">
        <w:rPr>
          <w:rFonts w:eastAsia="Times New Roman"/>
          <w:b/>
          <w:bCs/>
          <w:szCs w:val="24"/>
        </w:rPr>
        <w:t xml:space="preserve"> </w:t>
      </w:r>
      <w:r w:rsidRPr="00FC3B7C">
        <w:rPr>
          <w:rFonts w:eastAsia="Times New Roman"/>
          <w:szCs w:val="24"/>
        </w:rPr>
        <w:t>„kurzovní polštář“, vláda se tímhle způsobem snažila chránit domácí podniky a zvýšit jejich konkurenceschopnost v zahraničí.</w:t>
      </w:r>
    </w:p>
    <w:p w14:paraId="4A6F5218" w14:textId="77777777" w:rsidR="008E0F74" w:rsidRPr="00FC3B7C" w:rsidRDefault="00256F29" w:rsidP="00D46B53">
      <w:pPr>
        <w:numPr>
          <w:ilvl w:val="1"/>
          <w:numId w:val="486"/>
        </w:numPr>
        <w:tabs>
          <w:tab w:val="left" w:pos="784"/>
        </w:tabs>
        <w:ind w:left="784" w:hanging="359"/>
        <w:rPr>
          <w:rFonts w:eastAsia="Times New Roman"/>
          <w:b/>
          <w:bCs/>
          <w:i/>
          <w:iCs/>
          <w:szCs w:val="24"/>
        </w:rPr>
      </w:pPr>
      <w:r w:rsidRPr="00FC3B7C">
        <w:rPr>
          <w:rFonts w:eastAsia="Times New Roman"/>
          <w:b/>
          <w:bCs/>
          <w:i/>
          <w:iCs/>
          <w:szCs w:val="24"/>
        </w:rPr>
        <w:t>Změny vlastnických práv – privatizace</w:t>
      </w:r>
    </w:p>
    <w:p w14:paraId="4A6F5219" w14:textId="77777777" w:rsidR="008E0F74" w:rsidRPr="00FC3B7C" w:rsidRDefault="00256F29" w:rsidP="00D46B53">
      <w:pPr>
        <w:numPr>
          <w:ilvl w:val="1"/>
          <w:numId w:val="486"/>
        </w:numPr>
        <w:tabs>
          <w:tab w:val="left" w:pos="784"/>
        </w:tabs>
        <w:ind w:left="784" w:hanging="359"/>
        <w:rPr>
          <w:rFonts w:eastAsia="Times New Roman"/>
          <w:b/>
          <w:bCs/>
          <w:i/>
          <w:iCs/>
          <w:szCs w:val="24"/>
        </w:rPr>
      </w:pPr>
      <w:r w:rsidRPr="00FC3B7C">
        <w:rPr>
          <w:rFonts w:eastAsia="Times New Roman"/>
          <w:b/>
          <w:bCs/>
          <w:i/>
          <w:iCs/>
          <w:szCs w:val="24"/>
        </w:rPr>
        <w:t>Nutnost vytvoření nového právního prostředí</w:t>
      </w:r>
    </w:p>
    <w:p w14:paraId="4A6F521A" w14:textId="77777777" w:rsidR="008E0F74" w:rsidRPr="00FC3B7C" w:rsidRDefault="00256F29" w:rsidP="00D46B53">
      <w:pPr>
        <w:numPr>
          <w:ilvl w:val="1"/>
          <w:numId w:val="486"/>
        </w:numPr>
        <w:tabs>
          <w:tab w:val="left" w:pos="784"/>
        </w:tabs>
        <w:ind w:left="784" w:hanging="359"/>
        <w:rPr>
          <w:rFonts w:eastAsia="Times New Roman"/>
          <w:b/>
          <w:bCs/>
          <w:i/>
          <w:iCs/>
          <w:szCs w:val="24"/>
        </w:rPr>
      </w:pPr>
      <w:r w:rsidRPr="00FC3B7C">
        <w:rPr>
          <w:rFonts w:eastAsia="Times New Roman"/>
          <w:b/>
          <w:bCs/>
          <w:i/>
          <w:iCs/>
          <w:szCs w:val="24"/>
        </w:rPr>
        <w:t>Nutnost vytvoření transformačních institucí</w:t>
      </w:r>
    </w:p>
    <w:p w14:paraId="4A6F521B" w14:textId="77777777" w:rsidR="008E0F74" w:rsidRPr="00FC3B7C" w:rsidRDefault="008E0F74">
      <w:pPr>
        <w:spacing w:line="20" w:lineRule="exact"/>
        <w:rPr>
          <w:sz w:val="20"/>
          <w:szCs w:val="20"/>
        </w:rPr>
      </w:pPr>
    </w:p>
    <w:p w14:paraId="4A6F521C" w14:textId="77777777" w:rsidR="008E0F74" w:rsidRPr="00FC3B7C" w:rsidRDefault="008E0F74">
      <w:pPr>
        <w:spacing w:line="200" w:lineRule="exact"/>
        <w:rPr>
          <w:sz w:val="20"/>
          <w:szCs w:val="20"/>
        </w:rPr>
      </w:pPr>
    </w:p>
    <w:p w14:paraId="4A6F521D" w14:textId="77777777" w:rsidR="008E0F74" w:rsidRPr="00FC3B7C" w:rsidRDefault="00256F29" w:rsidP="00A51BC4">
      <w:pPr>
        <w:rPr>
          <w:sz w:val="20"/>
          <w:szCs w:val="20"/>
        </w:rPr>
      </w:pPr>
      <w:bookmarkStart w:id="445" w:name="page458"/>
      <w:bookmarkEnd w:id="445"/>
      <w:r w:rsidRPr="00FC3B7C">
        <w:rPr>
          <w:rFonts w:eastAsia="Times New Roman"/>
          <w:b/>
          <w:bCs/>
          <w:szCs w:val="24"/>
        </w:rPr>
        <w:t>Hospodářská politika řeší 4 kritické momenty</w:t>
      </w:r>
    </w:p>
    <w:p w14:paraId="4A6F521E" w14:textId="77777777" w:rsidR="008E0F74" w:rsidRPr="00FC3B7C" w:rsidRDefault="00256F29" w:rsidP="00D46B53">
      <w:pPr>
        <w:numPr>
          <w:ilvl w:val="0"/>
          <w:numId w:val="487"/>
        </w:numPr>
        <w:tabs>
          <w:tab w:val="left" w:pos="1180"/>
        </w:tabs>
        <w:ind w:left="1180" w:hanging="351"/>
        <w:rPr>
          <w:rFonts w:eastAsia="Arial"/>
          <w:szCs w:val="24"/>
        </w:rPr>
      </w:pPr>
      <w:r w:rsidRPr="00FC3B7C">
        <w:rPr>
          <w:rFonts w:eastAsia="Times New Roman"/>
          <w:szCs w:val="24"/>
        </w:rPr>
        <w:t>Zabránění vzniku inflační spirály</w:t>
      </w:r>
    </w:p>
    <w:p w14:paraId="4A6F521F" w14:textId="77777777" w:rsidR="008E0F74" w:rsidRPr="00FC3B7C" w:rsidRDefault="00256F29" w:rsidP="00D46B53">
      <w:pPr>
        <w:numPr>
          <w:ilvl w:val="0"/>
          <w:numId w:val="487"/>
        </w:numPr>
        <w:tabs>
          <w:tab w:val="left" w:pos="1180"/>
        </w:tabs>
        <w:ind w:left="1180" w:hanging="351"/>
        <w:rPr>
          <w:rFonts w:eastAsia="Arial"/>
          <w:szCs w:val="24"/>
        </w:rPr>
      </w:pPr>
      <w:r w:rsidRPr="00FC3B7C">
        <w:rPr>
          <w:rFonts w:eastAsia="Times New Roman"/>
          <w:szCs w:val="24"/>
        </w:rPr>
        <w:t>Sociální dopady (spotřební ceny vzrostly o 56%)</w:t>
      </w:r>
    </w:p>
    <w:p w14:paraId="4A6F5220" w14:textId="77777777" w:rsidR="008E0F74" w:rsidRPr="00FC3B7C" w:rsidRDefault="00256F29" w:rsidP="00D46B53">
      <w:pPr>
        <w:numPr>
          <w:ilvl w:val="0"/>
          <w:numId w:val="487"/>
        </w:numPr>
        <w:tabs>
          <w:tab w:val="left" w:pos="1180"/>
        </w:tabs>
        <w:ind w:left="1180" w:hanging="351"/>
        <w:rPr>
          <w:rFonts w:eastAsia="Arial"/>
          <w:szCs w:val="24"/>
        </w:rPr>
      </w:pPr>
      <w:r w:rsidRPr="00FC3B7C">
        <w:rPr>
          <w:rFonts w:eastAsia="Times New Roman"/>
          <w:szCs w:val="24"/>
        </w:rPr>
        <w:t>Daňová reforma (1993) odstraňuje zápornou daň z obratu, opět nárůst cen</w:t>
      </w:r>
    </w:p>
    <w:p w14:paraId="4A6F5221" w14:textId="77777777" w:rsidR="008E0F74" w:rsidRPr="00FC3B7C" w:rsidRDefault="00256F29" w:rsidP="00D46B53">
      <w:pPr>
        <w:numPr>
          <w:ilvl w:val="0"/>
          <w:numId w:val="487"/>
        </w:numPr>
        <w:tabs>
          <w:tab w:val="left" w:pos="1180"/>
        </w:tabs>
        <w:ind w:left="1180" w:hanging="351"/>
        <w:rPr>
          <w:rFonts w:eastAsia="Arial"/>
          <w:szCs w:val="24"/>
        </w:rPr>
      </w:pPr>
      <w:r w:rsidRPr="00FC3B7C">
        <w:rPr>
          <w:rFonts w:eastAsia="Times New Roman"/>
          <w:szCs w:val="24"/>
        </w:rPr>
        <w:t>Liberalizace mezd (1993), bohužel rostou rychleji než produktivita práce</w:t>
      </w:r>
    </w:p>
    <w:p w14:paraId="4A6F5222" w14:textId="77777777" w:rsidR="008E0F74" w:rsidRPr="00FC3B7C" w:rsidRDefault="008E0F74" w:rsidP="00A51BC4">
      <w:pPr>
        <w:rPr>
          <w:sz w:val="20"/>
          <w:szCs w:val="20"/>
        </w:rPr>
      </w:pPr>
    </w:p>
    <w:p w14:paraId="4A6F5223" w14:textId="77777777" w:rsidR="008E0F74" w:rsidRPr="00FC3B7C" w:rsidRDefault="00256F29" w:rsidP="00A51BC4">
      <w:pPr>
        <w:rPr>
          <w:sz w:val="20"/>
          <w:szCs w:val="20"/>
        </w:rPr>
      </w:pPr>
      <w:r w:rsidRPr="00FC3B7C">
        <w:rPr>
          <w:rFonts w:eastAsia="Times New Roman"/>
          <w:b/>
          <w:bCs/>
          <w:szCs w:val="24"/>
        </w:rPr>
        <w:t>Daňová reforma</w:t>
      </w:r>
    </w:p>
    <w:p w14:paraId="4A6F5224" w14:textId="77777777" w:rsidR="008E0F74" w:rsidRPr="00FC3B7C" w:rsidRDefault="00256F29" w:rsidP="00D46B53">
      <w:pPr>
        <w:numPr>
          <w:ilvl w:val="0"/>
          <w:numId w:val="488"/>
        </w:numPr>
        <w:tabs>
          <w:tab w:val="left" w:pos="1280"/>
        </w:tabs>
        <w:ind w:left="1280" w:hanging="365"/>
        <w:rPr>
          <w:rFonts w:eastAsia="Arial"/>
          <w:szCs w:val="24"/>
        </w:rPr>
      </w:pPr>
      <w:r w:rsidRPr="00FC3B7C">
        <w:rPr>
          <w:rFonts w:eastAsia="Times New Roman"/>
          <w:szCs w:val="24"/>
        </w:rPr>
        <w:t>1. 1. 1993 v ČR zaveden nový daňový systém</w:t>
      </w:r>
    </w:p>
    <w:p w14:paraId="4A6F5225" w14:textId="77777777" w:rsidR="008E0F74" w:rsidRPr="00FC3B7C" w:rsidRDefault="00256F29" w:rsidP="00D46B53">
      <w:pPr>
        <w:numPr>
          <w:ilvl w:val="0"/>
          <w:numId w:val="488"/>
        </w:numPr>
        <w:tabs>
          <w:tab w:val="left" w:pos="1280"/>
        </w:tabs>
        <w:ind w:left="1280" w:hanging="365"/>
        <w:rPr>
          <w:rFonts w:eastAsia="Arial"/>
          <w:szCs w:val="24"/>
        </w:rPr>
      </w:pPr>
      <w:r w:rsidRPr="00FC3B7C">
        <w:rPr>
          <w:rFonts w:eastAsia="Times New Roman"/>
          <w:szCs w:val="24"/>
        </w:rPr>
        <w:t>součást „šokové terapie“</w:t>
      </w:r>
    </w:p>
    <w:p w14:paraId="4A6F5226" w14:textId="77777777" w:rsidR="008E0F74" w:rsidRPr="00FC3B7C" w:rsidRDefault="00256F29" w:rsidP="00D46B53">
      <w:pPr>
        <w:numPr>
          <w:ilvl w:val="0"/>
          <w:numId w:val="488"/>
        </w:numPr>
        <w:tabs>
          <w:tab w:val="left" w:pos="1280"/>
        </w:tabs>
        <w:ind w:left="1280" w:hanging="365"/>
        <w:rPr>
          <w:rFonts w:eastAsia="Arial"/>
          <w:szCs w:val="24"/>
        </w:rPr>
      </w:pPr>
      <w:r w:rsidRPr="00FC3B7C">
        <w:rPr>
          <w:rFonts w:eastAsia="Times New Roman"/>
          <w:szCs w:val="24"/>
        </w:rPr>
        <w:t>rozdělila daně na přímé a nepřímé</w:t>
      </w:r>
    </w:p>
    <w:p w14:paraId="4A6F5227" w14:textId="77777777" w:rsidR="008E0F74" w:rsidRPr="00FC3B7C" w:rsidRDefault="00256F29" w:rsidP="00D46B53">
      <w:pPr>
        <w:numPr>
          <w:ilvl w:val="0"/>
          <w:numId w:val="489"/>
        </w:numPr>
        <w:tabs>
          <w:tab w:val="left" w:pos="1420"/>
        </w:tabs>
        <w:ind w:left="1420" w:hanging="366"/>
        <w:rPr>
          <w:rFonts w:eastAsia="Courier New"/>
          <w:szCs w:val="24"/>
        </w:rPr>
      </w:pPr>
      <w:r w:rsidRPr="00FC3B7C">
        <w:rPr>
          <w:rFonts w:eastAsia="Times New Roman"/>
          <w:szCs w:val="24"/>
        </w:rPr>
        <w:t>přímé:</w:t>
      </w:r>
    </w:p>
    <w:p w14:paraId="4A6F5228" w14:textId="77777777" w:rsidR="008E0F74" w:rsidRPr="00FC3B7C" w:rsidRDefault="00256F29" w:rsidP="00D46B53">
      <w:pPr>
        <w:numPr>
          <w:ilvl w:val="1"/>
          <w:numId w:val="489"/>
        </w:numPr>
        <w:tabs>
          <w:tab w:val="left" w:pos="1700"/>
        </w:tabs>
        <w:ind w:left="1700" w:hanging="360"/>
        <w:rPr>
          <w:rFonts w:eastAsia="Wingdings"/>
          <w:szCs w:val="24"/>
        </w:rPr>
      </w:pPr>
      <w:r w:rsidRPr="00FC3B7C">
        <w:rPr>
          <w:rFonts w:eastAsia="Times New Roman"/>
          <w:szCs w:val="24"/>
        </w:rPr>
        <w:t>daně z příjmu fyzické a právnické osoby</w:t>
      </w:r>
    </w:p>
    <w:p w14:paraId="4A6F5229" w14:textId="77777777" w:rsidR="008E0F74" w:rsidRPr="00FC3B7C" w:rsidRDefault="00256F29" w:rsidP="00D46B53">
      <w:pPr>
        <w:numPr>
          <w:ilvl w:val="1"/>
          <w:numId w:val="489"/>
        </w:numPr>
        <w:tabs>
          <w:tab w:val="left" w:pos="1700"/>
        </w:tabs>
        <w:ind w:left="1700" w:right="20" w:hanging="360"/>
        <w:rPr>
          <w:rFonts w:eastAsia="Wingdings"/>
          <w:szCs w:val="24"/>
        </w:rPr>
      </w:pPr>
      <w:r w:rsidRPr="00FC3B7C">
        <w:rPr>
          <w:rFonts w:eastAsia="Times New Roman"/>
          <w:szCs w:val="24"/>
        </w:rPr>
        <w:t xml:space="preserve">dále daně majetkové, jako je silniční, což bylo úplnou novinkou, </w:t>
      </w:r>
      <w:r w:rsidR="00A51BC4">
        <w:rPr>
          <w:rFonts w:eastAsia="Times New Roman"/>
          <w:szCs w:val="24"/>
        </w:rPr>
        <w:br/>
      </w:r>
      <w:r w:rsidRPr="00FC3B7C">
        <w:rPr>
          <w:rFonts w:eastAsia="Times New Roman"/>
          <w:szCs w:val="24"/>
        </w:rPr>
        <w:t>z nemovitostí, z převodu nemovitostí, dědickou a darovací.</w:t>
      </w:r>
    </w:p>
    <w:p w14:paraId="4A6F522A" w14:textId="77777777" w:rsidR="008E0F74" w:rsidRPr="00FC3B7C" w:rsidRDefault="00256F29" w:rsidP="00D46B53">
      <w:pPr>
        <w:numPr>
          <w:ilvl w:val="0"/>
          <w:numId w:val="490"/>
        </w:numPr>
        <w:tabs>
          <w:tab w:val="left" w:pos="1420"/>
        </w:tabs>
        <w:ind w:left="1420" w:hanging="366"/>
        <w:rPr>
          <w:rFonts w:eastAsia="Courier New"/>
          <w:szCs w:val="24"/>
        </w:rPr>
      </w:pPr>
      <w:r w:rsidRPr="00FC3B7C">
        <w:rPr>
          <w:rFonts w:eastAsia="Times New Roman"/>
          <w:szCs w:val="24"/>
        </w:rPr>
        <w:t>nepřímé</w:t>
      </w:r>
    </w:p>
    <w:p w14:paraId="4A6F522B" w14:textId="77777777" w:rsidR="008E0F74" w:rsidRPr="00FC3B7C" w:rsidRDefault="00256F29" w:rsidP="00D46B53">
      <w:pPr>
        <w:numPr>
          <w:ilvl w:val="1"/>
          <w:numId w:val="490"/>
        </w:numPr>
        <w:tabs>
          <w:tab w:val="left" w:pos="1700"/>
        </w:tabs>
        <w:ind w:left="1700" w:hanging="360"/>
        <w:rPr>
          <w:rFonts w:eastAsia="Wingdings"/>
          <w:szCs w:val="24"/>
        </w:rPr>
      </w:pPr>
      <w:r w:rsidRPr="00FC3B7C">
        <w:rPr>
          <w:rFonts w:eastAsia="Times New Roman"/>
          <w:szCs w:val="24"/>
        </w:rPr>
        <w:t>selektivní - spotřební</w:t>
      </w:r>
    </w:p>
    <w:p w14:paraId="4A6F522E" w14:textId="46B15278" w:rsidR="008E0F74" w:rsidRPr="005412D3" w:rsidRDefault="00256F29" w:rsidP="00D46B53">
      <w:pPr>
        <w:numPr>
          <w:ilvl w:val="1"/>
          <w:numId w:val="490"/>
        </w:numPr>
        <w:tabs>
          <w:tab w:val="left" w:pos="1700"/>
        </w:tabs>
        <w:ind w:left="1700" w:hanging="360"/>
        <w:rPr>
          <w:rFonts w:eastAsia="Wingdings"/>
          <w:szCs w:val="24"/>
        </w:rPr>
      </w:pPr>
      <w:r w:rsidRPr="00FC3B7C">
        <w:rPr>
          <w:rFonts w:eastAsia="Times New Roman"/>
          <w:szCs w:val="24"/>
        </w:rPr>
        <w:t>univerzální – DPH</w:t>
      </w:r>
    </w:p>
    <w:p w14:paraId="4A6F522F" w14:textId="77777777" w:rsidR="008E0F74" w:rsidRPr="00FC3B7C" w:rsidRDefault="008E0F74">
      <w:pPr>
        <w:spacing w:line="218" w:lineRule="exact"/>
        <w:rPr>
          <w:sz w:val="20"/>
          <w:szCs w:val="20"/>
        </w:rPr>
      </w:pPr>
    </w:p>
    <w:p w14:paraId="4A6F5230" w14:textId="77777777" w:rsidR="008E0F74" w:rsidRPr="00AB7366" w:rsidRDefault="00256F29" w:rsidP="00A51BC4">
      <w:pPr>
        <w:pStyle w:val="Nadpis2"/>
        <w:rPr>
          <w:color w:val="1F3864" w:themeColor="accent1" w:themeShade="80"/>
          <w:sz w:val="20"/>
          <w:szCs w:val="20"/>
        </w:rPr>
      </w:pPr>
      <w:r w:rsidRPr="00AB7366">
        <w:rPr>
          <w:rFonts w:eastAsia="Times New Roman"/>
          <w:color w:val="1F3864" w:themeColor="accent1" w:themeShade="80"/>
        </w:rPr>
        <w:t>DISKUZE O PODOBĚ TRANSFORMACE</w:t>
      </w:r>
    </w:p>
    <w:p w14:paraId="4A6F5231" w14:textId="77777777" w:rsidR="008E0F74" w:rsidRPr="00FC3B7C" w:rsidRDefault="008E0F74">
      <w:pPr>
        <w:spacing w:line="200" w:lineRule="exact"/>
        <w:rPr>
          <w:sz w:val="20"/>
          <w:szCs w:val="20"/>
        </w:rPr>
      </w:pPr>
    </w:p>
    <w:p w14:paraId="4A6F5232" w14:textId="77777777" w:rsidR="008E0F74" w:rsidRPr="00FC3B7C" w:rsidRDefault="00256F29" w:rsidP="00A51BC4">
      <w:pPr>
        <w:ind w:right="20"/>
        <w:rPr>
          <w:sz w:val="20"/>
          <w:szCs w:val="20"/>
        </w:rPr>
      </w:pPr>
      <w:r w:rsidRPr="00FC3B7C">
        <w:rPr>
          <w:rFonts w:eastAsia="Times New Roman"/>
          <w:szCs w:val="24"/>
        </w:rPr>
        <w:t>O podobě transformace se vedly rozsáhlé diskuze. Konsenzus byl na tom, že je nutné zavést základní prvky tržního systému- potvrdila se předpověď Hayeka a Misese, že centrálně plánované hospodářství nemůže efektivně fungovat.</w:t>
      </w:r>
    </w:p>
    <w:p w14:paraId="4A6F5233" w14:textId="77777777" w:rsidR="008E0F74" w:rsidRPr="00FC3B7C" w:rsidRDefault="00256F29" w:rsidP="00A51BC4">
      <w:pPr>
        <w:tabs>
          <w:tab w:val="left" w:pos="700"/>
        </w:tabs>
        <w:ind w:left="360"/>
        <w:rPr>
          <w:sz w:val="20"/>
          <w:szCs w:val="20"/>
        </w:rPr>
      </w:pPr>
      <w:r w:rsidRPr="00FC3B7C">
        <w:rPr>
          <w:rFonts w:eastAsia="Times New Roman"/>
          <w:b/>
          <w:bCs/>
          <w:szCs w:val="24"/>
        </w:rPr>
        <w:t>2</w:t>
      </w:r>
      <w:r w:rsidRPr="00FC3B7C">
        <w:rPr>
          <w:rFonts w:eastAsia="Times New Roman"/>
          <w:b/>
          <w:bCs/>
          <w:szCs w:val="24"/>
        </w:rPr>
        <w:tab/>
        <w:t>přístupy:</w:t>
      </w:r>
    </w:p>
    <w:p w14:paraId="4A6F5234" w14:textId="77777777" w:rsidR="008E0F74" w:rsidRPr="00FC3B7C" w:rsidRDefault="00256F29" w:rsidP="00A51BC4">
      <w:pPr>
        <w:tabs>
          <w:tab w:val="left" w:pos="1320"/>
        </w:tabs>
        <w:ind w:left="980"/>
        <w:rPr>
          <w:sz w:val="20"/>
          <w:szCs w:val="20"/>
        </w:rPr>
      </w:pPr>
      <w:r w:rsidRPr="00FC3B7C">
        <w:rPr>
          <w:rFonts w:eastAsia="Times New Roman"/>
          <w:b/>
          <w:bCs/>
          <w:i/>
          <w:iCs/>
          <w:szCs w:val="24"/>
        </w:rPr>
        <w:t>1.</w:t>
      </w:r>
      <w:r w:rsidRPr="00FC3B7C">
        <w:rPr>
          <w:rFonts w:eastAsia="Times New Roman"/>
          <w:b/>
          <w:bCs/>
          <w:i/>
          <w:iCs/>
          <w:szCs w:val="24"/>
        </w:rPr>
        <w:tab/>
        <w:t>liberální přístup</w:t>
      </w:r>
    </w:p>
    <w:p w14:paraId="4A6F5235" w14:textId="77777777" w:rsidR="008E0F74" w:rsidRPr="00FC3B7C" w:rsidRDefault="00256F29" w:rsidP="00A51BC4">
      <w:pPr>
        <w:ind w:right="20"/>
        <w:rPr>
          <w:sz w:val="20"/>
          <w:szCs w:val="20"/>
        </w:rPr>
      </w:pPr>
      <w:r w:rsidRPr="00FC3B7C">
        <w:rPr>
          <w:rFonts w:eastAsia="Times New Roman"/>
          <w:szCs w:val="24"/>
        </w:rPr>
        <w:t xml:space="preserve">Za východisko transformace považoval vytvoření tržních podnětů (liberalizace trhů </w:t>
      </w:r>
      <w:r w:rsidR="00A51BC4">
        <w:rPr>
          <w:rFonts w:eastAsia="Times New Roman"/>
          <w:szCs w:val="24"/>
        </w:rPr>
        <w:br/>
      </w:r>
      <w:r w:rsidRPr="00FC3B7C">
        <w:rPr>
          <w:rFonts w:eastAsia="Times New Roman"/>
          <w:szCs w:val="24"/>
        </w:rPr>
        <w:t>a privatizace). Vznik tržních podnětů je předpokladem pro následný vývoj tržních institucí (formálních a neformálních pravidel chování).</w:t>
      </w:r>
    </w:p>
    <w:p w14:paraId="4A6F5236" w14:textId="77777777" w:rsidR="008E0F74" w:rsidRPr="00FC3B7C" w:rsidRDefault="00256F29" w:rsidP="00A51BC4">
      <w:pPr>
        <w:ind w:right="20"/>
        <w:rPr>
          <w:sz w:val="20"/>
          <w:szCs w:val="20"/>
        </w:rPr>
      </w:pPr>
      <w:r w:rsidRPr="00FC3B7C">
        <w:rPr>
          <w:rFonts w:eastAsia="Times New Roman"/>
          <w:szCs w:val="24"/>
        </w:rPr>
        <w:t xml:space="preserve">Transformace je vytvoření tržních podnětů, které dovedou lidi k tomu, aby se chovali ekonomicky racionálně. Stačí základní systémové změny, které v lidech vytvoří podněty </w:t>
      </w:r>
      <w:r w:rsidR="00A51BC4">
        <w:rPr>
          <w:rFonts w:eastAsia="Times New Roman"/>
          <w:szCs w:val="24"/>
        </w:rPr>
        <w:br/>
      </w:r>
      <w:r w:rsidRPr="00FC3B7C">
        <w:rPr>
          <w:rFonts w:eastAsia="Times New Roman"/>
          <w:szCs w:val="24"/>
        </w:rPr>
        <w:t>k žádoucímu tržnímu chování: k tvrdé práci, k podnikání, k hledání nových trhů, ke zvyšování kvality služeb.</w:t>
      </w:r>
    </w:p>
    <w:p w14:paraId="4A6F5237" w14:textId="77777777" w:rsidR="008E0F74" w:rsidRPr="00FC3B7C" w:rsidRDefault="00256F29" w:rsidP="00A51BC4">
      <w:pPr>
        <w:rPr>
          <w:sz w:val="20"/>
          <w:szCs w:val="20"/>
        </w:rPr>
      </w:pPr>
      <w:bookmarkStart w:id="446" w:name="page459"/>
      <w:bookmarkEnd w:id="446"/>
      <w:r w:rsidRPr="00FC3B7C">
        <w:rPr>
          <w:rFonts w:eastAsia="Times New Roman"/>
          <w:szCs w:val="24"/>
        </w:rPr>
        <w:t>Zejména liberalizace trhů a privatizace.</w:t>
      </w:r>
    </w:p>
    <w:p w14:paraId="4A6F5238" w14:textId="77777777" w:rsidR="008E0F74" w:rsidRPr="00FC3B7C" w:rsidRDefault="00256F29" w:rsidP="00A51BC4">
      <w:pPr>
        <w:ind w:right="20"/>
        <w:rPr>
          <w:sz w:val="20"/>
          <w:szCs w:val="20"/>
        </w:rPr>
      </w:pPr>
      <w:r w:rsidRPr="00FC3B7C">
        <w:rPr>
          <w:rFonts w:eastAsia="Times New Roman"/>
          <w:szCs w:val="24"/>
        </w:rPr>
        <w:t>Nejprve musí být volné ceny a volný vstup na trhy, teprve pak se rozvíjí podnikání a vzniká konkurence a pod tlakem konkurence se upevňuje podnikatelská etika a formují se tržní instituce. Nejprve musí být soukromé vlastnictví, teprve pak mohou vznikat a zrát instituce kapitálového trhu</w:t>
      </w:r>
    </w:p>
    <w:p w14:paraId="4A6F5239" w14:textId="77777777" w:rsidR="008E0F74" w:rsidRPr="00FC3B7C" w:rsidRDefault="00256F29" w:rsidP="00D46B53">
      <w:pPr>
        <w:numPr>
          <w:ilvl w:val="0"/>
          <w:numId w:val="491"/>
        </w:numPr>
        <w:tabs>
          <w:tab w:val="left" w:pos="1340"/>
        </w:tabs>
        <w:ind w:left="1340" w:hanging="351"/>
        <w:rPr>
          <w:rFonts w:eastAsia="Times New Roman"/>
          <w:b/>
          <w:bCs/>
          <w:szCs w:val="24"/>
        </w:rPr>
      </w:pPr>
      <w:r w:rsidRPr="00FC3B7C">
        <w:rPr>
          <w:rFonts w:eastAsia="Times New Roman"/>
          <w:b/>
          <w:bCs/>
          <w:i/>
          <w:iCs/>
          <w:szCs w:val="24"/>
        </w:rPr>
        <w:t>institucionální přístup</w:t>
      </w:r>
    </w:p>
    <w:p w14:paraId="4A6F523A" w14:textId="77777777" w:rsidR="008E0F74" w:rsidRPr="00FC3B7C" w:rsidRDefault="00256F29" w:rsidP="00A51BC4">
      <w:pPr>
        <w:ind w:right="20"/>
        <w:rPr>
          <w:sz w:val="20"/>
          <w:szCs w:val="20"/>
        </w:rPr>
      </w:pPr>
      <w:r w:rsidRPr="00FC3B7C">
        <w:rPr>
          <w:rFonts w:eastAsia="Times New Roman"/>
          <w:szCs w:val="24"/>
        </w:rPr>
        <w:t>Východiskem transformace je vznik tržně konformních institucí-formálních i neformálních, které až následně vygenerují tržní podněty. Je to komplexní změna vžitých vzorců chování, probíhá pomalu. Lidé jsou nepřizpůsobiví – závislost na minulém vývoji, která brání rychlým změnám. Rychlé systémové změny jsou nežádoucí. Je těžké zvolit kombinaci obou, neexistuje optimální strategie.</w:t>
      </w:r>
    </w:p>
    <w:p w14:paraId="4A6F523B" w14:textId="77777777" w:rsidR="008E0F74" w:rsidRDefault="00256F29" w:rsidP="00A51BC4">
      <w:pPr>
        <w:ind w:right="20"/>
        <w:rPr>
          <w:rFonts w:eastAsia="Times New Roman"/>
          <w:szCs w:val="24"/>
        </w:rPr>
      </w:pPr>
      <w:r w:rsidRPr="00FC3B7C">
        <w:rPr>
          <w:rFonts w:eastAsia="Times New Roman"/>
          <w:szCs w:val="24"/>
        </w:rPr>
        <w:t>Různé představy o podobě transformace vykrystalizovaly v podobě sporu mezi zastánci dvou směrů (gradualisté a zastánci šokové terapie).</w:t>
      </w:r>
    </w:p>
    <w:p w14:paraId="4A6F523C" w14:textId="77777777" w:rsidR="00A51BC4" w:rsidRPr="00FC3B7C" w:rsidRDefault="00A51BC4" w:rsidP="00A51BC4">
      <w:pPr>
        <w:ind w:right="20"/>
        <w:rPr>
          <w:sz w:val="20"/>
          <w:szCs w:val="20"/>
        </w:rPr>
      </w:pPr>
    </w:p>
    <w:p w14:paraId="4A6F523D" w14:textId="77777777" w:rsidR="008E0F74" w:rsidRPr="00FC3B7C" w:rsidRDefault="00256F29">
      <w:pPr>
        <w:rPr>
          <w:sz w:val="20"/>
          <w:szCs w:val="20"/>
        </w:rPr>
      </w:pPr>
      <w:r w:rsidRPr="00FC3B7C">
        <w:rPr>
          <w:rFonts w:eastAsia="Times New Roman"/>
          <w:b/>
          <w:bCs/>
          <w:sz w:val="28"/>
          <w:szCs w:val="28"/>
        </w:rPr>
        <w:t>Transformační scénáře:</w:t>
      </w:r>
    </w:p>
    <w:p w14:paraId="4A6F523E" w14:textId="77777777" w:rsidR="008E0F74" w:rsidRPr="00FC3B7C" w:rsidRDefault="00256F29" w:rsidP="00D46B53">
      <w:pPr>
        <w:numPr>
          <w:ilvl w:val="0"/>
          <w:numId w:val="492"/>
        </w:numPr>
        <w:tabs>
          <w:tab w:val="left" w:pos="720"/>
        </w:tabs>
        <w:ind w:left="720" w:hanging="248"/>
        <w:rPr>
          <w:rFonts w:eastAsia="Times New Roman"/>
          <w:b/>
          <w:bCs/>
          <w:i/>
          <w:iCs/>
          <w:szCs w:val="24"/>
        </w:rPr>
      </w:pPr>
      <w:r w:rsidRPr="00FC3B7C">
        <w:rPr>
          <w:rFonts w:eastAsia="Times New Roman"/>
          <w:b/>
          <w:bCs/>
          <w:i/>
          <w:iCs/>
          <w:szCs w:val="24"/>
        </w:rPr>
        <w:t xml:space="preserve">Socialistická cesta </w:t>
      </w:r>
      <w:r w:rsidRPr="00FC3B7C">
        <w:rPr>
          <w:rFonts w:eastAsia="Times New Roman"/>
          <w:szCs w:val="24"/>
        </w:rPr>
        <w:t>(Hába, Rusmich, Mlčoch):</w:t>
      </w:r>
    </w:p>
    <w:p w14:paraId="4A6F523F" w14:textId="77777777" w:rsidR="008E0F74" w:rsidRPr="00FC3B7C" w:rsidRDefault="00256F29" w:rsidP="00A51BC4">
      <w:pPr>
        <w:ind w:right="20"/>
        <w:rPr>
          <w:sz w:val="20"/>
          <w:szCs w:val="20"/>
        </w:rPr>
      </w:pPr>
      <w:r w:rsidRPr="00FC3B7C">
        <w:rPr>
          <w:rFonts w:eastAsia="Times New Roman"/>
          <w:szCs w:val="24"/>
        </w:rPr>
        <w:t>Ekonomika řízena centrálně ročním operativním plánem, ale zaváděly by se postupně tržní nástroje. Politici v tehdejší atmosféře neprosadili.</w:t>
      </w:r>
    </w:p>
    <w:p w14:paraId="4A6F5240" w14:textId="77777777" w:rsidR="008E0F74" w:rsidRPr="00FC3B7C" w:rsidRDefault="00256F29" w:rsidP="00D46B53">
      <w:pPr>
        <w:numPr>
          <w:ilvl w:val="0"/>
          <w:numId w:val="493"/>
        </w:numPr>
        <w:tabs>
          <w:tab w:val="left" w:pos="844"/>
        </w:tabs>
        <w:ind w:left="840" w:right="20" w:hanging="368"/>
        <w:rPr>
          <w:rFonts w:eastAsia="Times New Roman"/>
          <w:b/>
          <w:bCs/>
          <w:i/>
          <w:iCs/>
          <w:szCs w:val="24"/>
        </w:rPr>
      </w:pPr>
      <w:r w:rsidRPr="00FC3B7C">
        <w:rPr>
          <w:rFonts w:eastAsia="Times New Roman"/>
          <w:b/>
          <w:bCs/>
          <w:i/>
          <w:iCs/>
          <w:szCs w:val="24"/>
        </w:rPr>
        <w:lastRenderedPageBreak/>
        <w:t xml:space="preserve">Návrh vypracovaný Hospodářskou radou ČR pod vedením místopředsedy vlády Vlasáka – GRADUALISTICKÁ KONCEPCE (postupná cesta) - „Návrh strategie přechodu k tržní ekonomice“ </w:t>
      </w:r>
      <w:r w:rsidRPr="00FC3B7C">
        <w:rPr>
          <w:rFonts w:eastAsia="Times New Roman"/>
          <w:i/>
          <w:iCs/>
          <w:szCs w:val="24"/>
        </w:rPr>
        <w:t>(</w:t>
      </w:r>
      <w:r w:rsidRPr="00FC3B7C">
        <w:rPr>
          <w:rFonts w:eastAsia="Times New Roman"/>
          <w:szCs w:val="24"/>
        </w:rPr>
        <w:t>Ekonomové ideově</w:t>
      </w:r>
      <w:r w:rsidRPr="00FC3B7C">
        <w:rPr>
          <w:rFonts w:eastAsia="Times New Roman"/>
          <w:b/>
          <w:bCs/>
          <w:i/>
          <w:iCs/>
          <w:szCs w:val="24"/>
        </w:rPr>
        <w:t xml:space="preserve"> </w:t>
      </w:r>
      <w:r w:rsidRPr="00FC3B7C">
        <w:rPr>
          <w:rFonts w:eastAsia="Times New Roman"/>
          <w:szCs w:val="24"/>
        </w:rPr>
        <w:t>spjatí s reformami z 60. let, Valtr</w:t>
      </w:r>
      <w:r w:rsidRPr="00FC3B7C">
        <w:rPr>
          <w:rFonts w:eastAsia="Times New Roman"/>
          <w:b/>
          <w:bCs/>
          <w:i/>
          <w:iCs/>
          <w:szCs w:val="24"/>
        </w:rPr>
        <w:t xml:space="preserve"> </w:t>
      </w:r>
      <w:r w:rsidRPr="00FC3B7C">
        <w:rPr>
          <w:rFonts w:eastAsia="Times New Roman"/>
          <w:szCs w:val="24"/>
        </w:rPr>
        <w:t xml:space="preserve">Komárek, Miloš Zeman, František Vlasák) - </w:t>
      </w:r>
      <w:r w:rsidRPr="00FC3B7C">
        <w:rPr>
          <w:rFonts w:eastAsia="Times New Roman"/>
          <w:b/>
          <w:bCs/>
          <w:szCs w:val="24"/>
        </w:rPr>
        <w:t>tzv.</w:t>
      </w:r>
      <w:r w:rsidRPr="00FC3B7C">
        <w:rPr>
          <w:rFonts w:eastAsia="Times New Roman"/>
          <w:szCs w:val="24"/>
        </w:rPr>
        <w:t xml:space="preserve"> </w:t>
      </w:r>
      <w:r w:rsidRPr="00FC3B7C">
        <w:rPr>
          <w:rFonts w:eastAsia="Times New Roman"/>
          <w:b/>
          <w:bCs/>
          <w:szCs w:val="24"/>
        </w:rPr>
        <w:t>český</w:t>
      </w:r>
      <w:r w:rsidRPr="00FC3B7C">
        <w:rPr>
          <w:rFonts w:eastAsia="Times New Roman"/>
          <w:szCs w:val="24"/>
        </w:rPr>
        <w:t xml:space="preserve"> </w:t>
      </w:r>
      <w:r w:rsidRPr="00FC3B7C">
        <w:rPr>
          <w:rFonts w:eastAsia="Times New Roman"/>
          <w:b/>
          <w:bCs/>
          <w:szCs w:val="24"/>
        </w:rPr>
        <w:t>scénář</w:t>
      </w:r>
    </w:p>
    <w:p w14:paraId="4A6F5241" w14:textId="77777777" w:rsidR="008E0F74" w:rsidRPr="00FC3B7C" w:rsidRDefault="00256F29" w:rsidP="00A51BC4">
      <w:pPr>
        <w:ind w:right="20"/>
        <w:rPr>
          <w:sz w:val="20"/>
          <w:szCs w:val="20"/>
        </w:rPr>
      </w:pPr>
      <w:r w:rsidRPr="00FC3B7C">
        <w:rPr>
          <w:rFonts w:eastAsia="Times New Roman"/>
          <w:szCs w:val="24"/>
        </w:rPr>
        <w:t>Pomalejší tempo transformace, standardní metody privatizace, aktivní strukturální politika. Později označeni jako gradualisti-snaha o pomalejší tempo ve snaze předejít výraznějšímu hospodářskému poklesu, podnikatelé potřebují čas na adaptaci.</w:t>
      </w:r>
    </w:p>
    <w:p w14:paraId="4A6F5242" w14:textId="264F95DF" w:rsidR="008E0F74" w:rsidRPr="00AB7366" w:rsidRDefault="00256F29" w:rsidP="00D46B53">
      <w:pPr>
        <w:numPr>
          <w:ilvl w:val="0"/>
          <w:numId w:val="493"/>
        </w:numPr>
        <w:tabs>
          <w:tab w:val="left" w:pos="844"/>
        </w:tabs>
        <w:ind w:left="840" w:right="20" w:hanging="368"/>
        <w:rPr>
          <w:sz w:val="20"/>
          <w:szCs w:val="20"/>
        </w:rPr>
      </w:pPr>
      <w:bookmarkStart w:id="447" w:name="page460"/>
      <w:bookmarkEnd w:id="447"/>
      <w:r w:rsidRPr="00AB7366">
        <w:rPr>
          <w:rFonts w:eastAsia="Times New Roman"/>
          <w:b/>
          <w:bCs/>
          <w:i/>
          <w:iCs/>
          <w:szCs w:val="24"/>
        </w:rPr>
        <w:t xml:space="preserve"> Návrh vypracovaný na federálním Ministerstvu financí reprezentovaný Klausem - ŠOKOVÁ TERAPIE- „Strategie ekonomické reformy“ - </w:t>
      </w:r>
      <w:r w:rsidRPr="00AB7366">
        <w:rPr>
          <w:rFonts w:eastAsia="Times New Roman"/>
          <w:b/>
          <w:bCs/>
          <w:szCs w:val="24"/>
        </w:rPr>
        <w:t>tzv. federální scénář</w:t>
      </w:r>
    </w:p>
    <w:p w14:paraId="4A6F5243" w14:textId="77777777" w:rsidR="00A51BC4" w:rsidRDefault="00256F29" w:rsidP="00A51BC4">
      <w:pPr>
        <w:ind w:right="20"/>
        <w:rPr>
          <w:rFonts w:eastAsia="Times New Roman"/>
          <w:szCs w:val="24"/>
        </w:rPr>
      </w:pPr>
      <w:r w:rsidRPr="00FC3B7C">
        <w:rPr>
          <w:rFonts w:eastAsia="Times New Roman"/>
          <w:szCs w:val="24"/>
        </w:rPr>
        <w:t xml:space="preserve">Důraz na rychlost decentralizace a cenové liberalizace, okamžitou privatizaci, s tím, že </w:t>
      </w:r>
      <w:r w:rsidR="00A51BC4">
        <w:rPr>
          <w:rFonts w:eastAsia="Times New Roman"/>
          <w:szCs w:val="24"/>
        </w:rPr>
        <w:br/>
      </w:r>
      <w:r w:rsidRPr="00FC3B7C">
        <w:rPr>
          <w:rFonts w:eastAsia="Times New Roman"/>
          <w:szCs w:val="24"/>
        </w:rPr>
        <w:t xml:space="preserve">o restrukturalizaci rozhodnou až noví vlastníci. Rychlá liberalizace měla být doprovázená stabilizačními opatřeními proti inflaci a rozvrácení platební bilance. Tzn. šoková terapie-pokles ekonomiky je daň za transformaci, byl pro to příznivý okamžik, protože lidé byli nadšeni a ochotni nést náklady, navíc noví politici měli důvěru a mohli dělat větší změny </w:t>
      </w:r>
    </w:p>
    <w:p w14:paraId="4A6F5246" w14:textId="26F68A27" w:rsidR="00A51BC4" w:rsidRDefault="00256F29" w:rsidP="00A51BC4">
      <w:pPr>
        <w:ind w:right="20"/>
        <w:rPr>
          <w:rFonts w:eastAsia="Times New Roman"/>
          <w:szCs w:val="24"/>
        </w:rPr>
      </w:pPr>
      <w:r w:rsidRPr="00FC3B7C">
        <w:rPr>
          <w:rFonts w:eastAsia="Times New Roman"/>
          <w:szCs w:val="24"/>
        </w:rPr>
        <w:t>a ještě neustavily zájmové skupiny</w:t>
      </w:r>
    </w:p>
    <w:p w14:paraId="5B1ECBD7" w14:textId="77777777" w:rsidR="00C24093" w:rsidRPr="00C24093" w:rsidRDefault="00C24093" w:rsidP="00A51BC4">
      <w:pPr>
        <w:ind w:right="20"/>
        <w:rPr>
          <w:rFonts w:eastAsia="Times New Roman"/>
          <w:szCs w:val="24"/>
        </w:rPr>
      </w:pPr>
    </w:p>
    <w:p w14:paraId="4A6F5247" w14:textId="339FFBA5" w:rsidR="008E0F74" w:rsidRDefault="00256F29" w:rsidP="00A51BC4">
      <w:pPr>
        <w:rPr>
          <w:rFonts w:eastAsia="Times New Roman"/>
          <w:b/>
          <w:bCs/>
          <w:i/>
          <w:iCs/>
          <w:szCs w:val="24"/>
          <w:u w:val="single"/>
        </w:rPr>
      </w:pPr>
      <w:r w:rsidRPr="00FC3B7C">
        <w:rPr>
          <w:rFonts w:eastAsia="Times New Roman"/>
          <w:b/>
          <w:bCs/>
          <w:i/>
          <w:iCs/>
          <w:szCs w:val="24"/>
          <w:u w:val="single"/>
        </w:rPr>
        <w:t>Schválení definitivní podoby transformace:</w:t>
      </w:r>
    </w:p>
    <w:p w14:paraId="4A6F5248" w14:textId="6381525D" w:rsidR="008E0F74" w:rsidRDefault="00256F29" w:rsidP="00D46B53">
      <w:pPr>
        <w:numPr>
          <w:ilvl w:val="0"/>
          <w:numId w:val="494"/>
        </w:numPr>
        <w:tabs>
          <w:tab w:val="left" w:pos="820"/>
        </w:tabs>
        <w:ind w:left="820" w:hanging="348"/>
        <w:rPr>
          <w:rFonts w:eastAsia="Times New Roman"/>
          <w:szCs w:val="24"/>
        </w:rPr>
      </w:pPr>
      <w:r w:rsidRPr="00FC3B7C">
        <w:rPr>
          <w:rFonts w:eastAsia="Times New Roman"/>
          <w:szCs w:val="24"/>
        </w:rPr>
        <w:t>Září 1990</w:t>
      </w:r>
    </w:p>
    <w:p w14:paraId="73419EB6" w14:textId="547EC5DB" w:rsidR="002A2887" w:rsidRPr="002A2887" w:rsidRDefault="003376E1" w:rsidP="00D46B53">
      <w:pPr>
        <w:pStyle w:val="Odstavecseseznamem"/>
        <w:numPr>
          <w:ilvl w:val="0"/>
          <w:numId w:val="494"/>
        </w:numPr>
        <w:rPr>
          <w:rFonts w:eastAsia="Times New Roman"/>
          <w:szCs w:val="24"/>
        </w:rPr>
      </w:pPr>
      <w:r>
        <w:rPr>
          <w:rFonts w:eastAsia="Times New Roman"/>
          <w:szCs w:val="24"/>
        </w:rPr>
        <w:t xml:space="preserve"> </w:t>
      </w:r>
      <w:r w:rsidR="002A2887" w:rsidRPr="002A2887">
        <w:rPr>
          <w:rFonts w:eastAsia="Times New Roman"/>
          <w:szCs w:val="24"/>
        </w:rPr>
        <w:t xml:space="preserve">Zvítězil návrh tzv. Šokové terapie </w:t>
      </w:r>
    </w:p>
    <w:p w14:paraId="4A6F5249" w14:textId="77777777" w:rsidR="008E0F74" w:rsidRPr="00FC3B7C" w:rsidRDefault="00256F29" w:rsidP="00D46B53">
      <w:pPr>
        <w:numPr>
          <w:ilvl w:val="0"/>
          <w:numId w:val="494"/>
        </w:numPr>
        <w:tabs>
          <w:tab w:val="left" w:pos="820"/>
        </w:tabs>
        <w:ind w:left="820" w:hanging="348"/>
        <w:rPr>
          <w:rFonts w:eastAsia="Times New Roman"/>
          <w:szCs w:val="24"/>
        </w:rPr>
      </w:pPr>
      <w:r w:rsidRPr="00FC3B7C">
        <w:rPr>
          <w:rFonts w:eastAsia="Times New Roman"/>
          <w:szCs w:val="24"/>
        </w:rPr>
        <w:t>Schváleno Federálním shromážděním</w:t>
      </w:r>
    </w:p>
    <w:p w14:paraId="4A6F524A" w14:textId="477ED07F" w:rsidR="008E0F74" w:rsidRPr="00FC3B7C" w:rsidRDefault="00256F29" w:rsidP="00D46B53">
      <w:pPr>
        <w:numPr>
          <w:ilvl w:val="0"/>
          <w:numId w:val="494"/>
        </w:numPr>
        <w:tabs>
          <w:tab w:val="left" w:pos="820"/>
        </w:tabs>
        <w:ind w:left="820" w:hanging="348"/>
        <w:rPr>
          <w:rFonts w:eastAsia="Times New Roman"/>
          <w:szCs w:val="24"/>
        </w:rPr>
      </w:pPr>
      <w:r w:rsidRPr="00FC3B7C">
        <w:rPr>
          <w:rFonts w:eastAsia="Times New Roman"/>
          <w:szCs w:val="24"/>
        </w:rPr>
        <w:t xml:space="preserve">Schválen dokument s názvem </w:t>
      </w:r>
      <w:r w:rsidRPr="00FC3B7C">
        <w:rPr>
          <w:rFonts w:eastAsia="Times New Roman"/>
          <w:b/>
          <w:bCs/>
          <w:szCs w:val="24"/>
        </w:rPr>
        <w:t>„Scénář</w:t>
      </w:r>
      <w:r w:rsidRPr="00FC3B7C">
        <w:rPr>
          <w:rFonts w:eastAsia="Times New Roman"/>
          <w:szCs w:val="24"/>
        </w:rPr>
        <w:t xml:space="preserve"> </w:t>
      </w:r>
      <w:r w:rsidRPr="00FC3B7C">
        <w:rPr>
          <w:rFonts w:eastAsia="Times New Roman"/>
          <w:b/>
          <w:bCs/>
          <w:szCs w:val="24"/>
        </w:rPr>
        <w:t>ekonomické reformy“</w:t>
      </w:r>
    </w:p>
    <w:p w14:paraId="4A6F524B" w14:textId="77777777" w:rsidR="008E0F74" w:rsidRPr="00FC3B7C" w:rsidRDefault="00256F29" w:rsidP="00D46B53">
      <w:pPr>
        <w:numPr>
          <w:ilvl w:val="0"/>
          <w:numId w:val="494"/>
        </w:numPr>
        <w:tabs>
          <w:tab w:val="left" w:pos="820"/>
        </w:tabs>
        <w:ind w:left="820" w:hanging="348"/>
        <w:rPr>
          <w:rFonts w:eastAsia="Times New Roman"/>
          <w:szCs w:val="24"/>
        </w:rPr>
      </w:pPr>
      <w:r w:rsidRPr="00FC3B7C">
        <w:rPr>
          <w:rFonts w:eastAsia="Times New Roman"/>
          <w:szCs w:val="24"/>
        </w:rPr>
        <w:t>Většina opatření blíže k federálnímu scénáři</w:t>
      </w:r>
    </w:p>
    <w:p w14:paraId="4A6F524C" w14:textId="77777777" w:rsidR="008E0F74" w:rsidRPr="00FC3B7C" w:rsidRDefault="00256F29" w:rsidP="00D46B53">
      <w:pPr>
        <w:numPr>
          <w:ilvl w:val="0"/>
          <w:numId w:val="494"/>
        </w:numPr>
        <w:tabs>
          <w:tab w:val="left" w:pos="824"/>
        </w:tabs>
        <w:ind w:left="840" w:right="20" w:hanging="368"/>
        <w:rPr>
          <w:rFonts w:eastAsia="Times New Roman"/>
          <w:szCs w:val="24"/>
        </w:rPr>
      </w:pPr>
      <w:r w:rsidRPr="00FC3B7C">
        <w:rPr>
          <w:rFonts w:eastAsia="Times New Roman"/>
          <w:szCs w:val="24"/>
        </w:rPr>
        <w:t>Součástí scénáře ekonomické reformy byl transformační zákon, který měl za cíl vytvoření tržní ekonomiky</w:t>
      </w:r>
    </w:p>
    <w:p w14:paraId="4A6F524D" w14:textId="77777777" w:rsidR="008E0F74" w:rsidRPr="00FC3B7C" w:rsidRDefault="00256F29" w:rsidP="00D46B53">
      <w:pPr>
        <w:numPr>
          <w:ilvl w:val="0"/>
          <w:numId w:val="494"/>
        </w:numPr>
        <w:tabs>
          <w:tab w:val="left" w:pos="824"/>
        </w:tabs>
        <w:ind w:left="840" w:right="20" w:hanging="368"/>
        <w:rPr>
          <w:rFonts w:eastAsia="Times New Roman"/>
          <w:szCs w:val="24"/>
        </w:rPr>
      </w:pPr>
      <w:r w:rsidRPr="00FC3B7C">
        <w:rPr>
          <w:rFonts w:eastAsia="Times New Roman"/>
          <w:szCs w:val="24"/>
        </w:rPr>
        <w:t>Cíl transformace - tržní ekonomika bez přívlastků s minimálními zásahy státu během přeměny ekonomického mechanismu i po jejím dokončení</w:t>
      </w:r>
    </w:p>
    <w:p w14:paraId="4A6F524E" w14:textId="34141AAC" w:rsidR="008E0F74" w:rsidRPr="00FC3B7C" w:rsidRDefault="00256F29" w:rsidP="00D46B53">
      <w:pPr>
        <w:numPr>
          <w:ilvl w:val="0"/>
          <w:numId w:val="494"/>
        </w:numPr>
        <w:tabs>
          <w:tab w:val="left" w:pos="824"/>
        </w:tabs>
        <w:ind w:left="480" w:right="20" w:hanging="8"/>
        <w:rPr>
          <w:rFonts w:eastAsia="Times New Roman"/>
          <w:szCs w:val="24"/>
        </w:rPr>
      </w:pPr>
      <w:r w:rsidRPr="00FC3B7C">
        <w:rPr>
          <w:rFonts w:eastAsia="Times New Roman"/>
          <w:szCs w:val="24"/>
        </w:rPr>
        <w:t>Dosažení cíle rychlým postupem změn</w:t>
      </w:r>
      <w:r w:rsidR="002A2887">
        <w:rPr>
          <w:rFonts w:eastAsia="Times New Roman"/>
          <w:szCs w:val="24"/>
        </w:rPr>
        <w:t xml:space="preserve"> </w:t>
      </w:r>
      <w:r w:rsidRPr="00FC3B7C">
        <w:rPr>
          <w:rFonts w:eastAsia="Times New Roman"/>
          <w:szCs w:val="24"/>
        </w:rPr>
        <w:t>při liberalizaci vnitřních cen, zahraničního obchodu i privatizaci, to vše při maximální otevřenosti ekonomiky</w:t>
      </w:r>
    </w:p>
    <w:p w14:paraId="4A6F524F" w14:textId="77777777" w:rsidR="008E0F74" w:rsidRPr="00FC3B7C" w:rsidRDefault="008E0F74" w:rsidP="00A51BC4">
      <w:pPr>
        <w:rPr>
          <w:sz w:val="20"/>
          <w:szCs w:val="20"/>
        </w:rPr>
      </w:pPr>
    </w:p>
    <w:p w14:paraId="4A6F5250" w14:textId="77777777" w:rsidR="008E0F74" w:rsidRPr="00FC3B7C" w:rsidRDefault="00256F29" w:rsidP="00A51BC4">
      <w:pPr>
        <w:ind w:left="100"/>
        <w:rPr>
          <w:sz w:val="20"/>
          <w:szCs w:val="20"/>
        </w:rPr>
      </w:pPr>
      <w:r w:rsidRPr="00FC3B7C">
        <w:rPr>
          <w:rFonts w:eastAsia="Times New Roman"/>
          <w:b/>
          <w:bCs/>
          <w:i/>
          <w:iCs/>
          <w:szCs w:val="24"/>
          <w:u w:val="single"/>
        </w:rPr>
        <w:t>Přípravné kroky transformace:</w:t>
      </w:r>
    </w:p>
    <w:p w14:paraId="4A6F5251" w14:textId="77777777" w:rsidR="008E0F74" w:rsidRPr="00FC3B7C" w:rsidRDefault="00256F29" w:rsidP="00D46B53">
      <w:pPr>
        <w:numPr>
          <w:ilvl w:val="0"/>
          <w:numId w:val="495"/>
        </w:numPr>
        <w:tabs>
          <w:tab w:val="left" w:pos="560"/>
        </w:tabs>
        <w:ind w:left="560" w:hanging="357"/>
        <w:rPr>
          <w:rFonts w:eastAsia="Times New Roman"/>
          <w:szCs w:val="24"/>
        </w:rPr>
      </w:pPr>
      <w:r w:rsidRPr="00FC3B7C">
        <w:rPr>
          <w:rFonts w:eastAsia="Times New Roman"/>
          <w:szCs w:val="24"/>
        </w:rPr>
        <w:t>Vytvoření demokratického státu, vyřešení otázky mezi ČR a SR</w:t>
      </w:r>
    </w:p>
    <w:p w14:paraId="4A6F5252" w14:textId="77777777" w:rsidR="008E0F74" w:rsidRPr="00FC3B7C" w:rsidRDefault="00256F29" w:rsidP="00D46B53">
      <w:pPr>
        <w:numPr>
          <w:ilvl w:val="0"/>
          <w:numId w:val="495"/>
        </w:numPr>
        <w:tabs>
          <w:tab w:val="left" w:pos="560"/>
        </w:tabs>
        <w:ind w:left="560" w:hanging="357"/>
        <w:rPr>
          <w:rFonts w:eastAsia="Times New Roman"/>
          <w:szCs w:val="24"/>
        </w:rPr>
      </w:pPr>
      <w:r w:rsidRPr="00FC3B7C">
        <w:rPr>
          <w:rFonts w:eastAsia="Times New Roman"/>
          <w:szCs w:val="24"/>
        </w:rPr>
        <w:t>Nový institucionální rámec, tržní infrastruktura</w:t>
      </w:r>
    </w:p>
    <w:p w14:paraId="4A6F5253" w14:textId="77777777" w:rsidR="008E0F74" w:rsidRPr="00FC3B7C" w:rsidRDefault="00256F29" w:rsidP="00D46B53">
      <w:pPr>
        <w:numPr>
          <w:ilvl w:val="1"/>
          <w:numId w:val="495"/>
        </w:numPr>
        <w:tabs>
          <w:tab w:val="left" w:pos="1180"/>
        </w:tabs>
        <w:ind w:left="1180" w:hanging="348"/>
        <w:rPr>
          <w:rFonts w:eastAsia="Times New Roman"/>
          <w:szCs w:val="24"/>
        </w:rPr>
      </w:pPr>
      <w:r w:rsidRPr="00FC3B7C">
        <w:rPr>
          <w:rFonts w:eastAsia="Times New Roman"/>
          <w:szCs w:val="24"/>
        </w:rPr>
        <w:t>Finanční burzy, obchodní soudy, živnostenské úřady, celní úřady</w:t>
      </w:r>
    </w:p>
    <w:p w14:paraId="4A6F5254" w14:textId="77777777" w:rsidR="008E0F74" w:rsidRPr="00FC3B7C" w:rsidRDefault="00256F29" w:rsidP="00D46B53">
      <w:pPr>
        <w:numPr>
          <w:ilvl w:val="0"/>
          <w:numId w:val="495"/>
        </w:numPr>
        <w:tabs>
          <w:tab w:val="left" w:pos="560"/>
        </w:tabs>
        <w:ind w:left="560" w:hanging="357"/>
        <w:rPr>
          <w:rFonts w:eastAsia="Times New Roman"/>
          <w:szCs w:val="24"/>
        </w:rPr>
      </w:pPr>
      <w:r w:rsidRPr="00FC3B7C">
        <w:rPr>
          <w:rFonts w:eastAsia="Times New Roman"/>
          <w:szCs w:val="24"/>
        </w:rPr>
        <w:t>Změna právních norem, tržní legislativa</w:t>
      </w:r>
    </w:p>
    <w:p w14:paraId="4A6F5255" w14:textId="77777777" w:rsidR="008E0F74" w:rsidRPr="00FC3B7C" w:rsidRDefault="00256F29" w:rsidP="00D46B53">
      <w:pPr>
        <w:numPr>
          <w:ilvl w:val="1"/>
          <w:numId w:val="495"/>
        </w:numPr>
        <w:tabs>
          <w:tab w:val="left" w:pos="1184"/>
        </w:tabs>
        <w:ind w:left="1200" w:right="20" w:hanging="368"/>
        <w:rPr>
          <w:rFonts w:eastAsia="Times New Roman"/>
          <w:szCs w:val="24"/>
        </w:rPr>
      </w:pPr>
      <w:r w:rsidRPr="00FC3B7C">
        <w:rPr>
          <w:rFonts w:eastAsia="Times New Roman"/>
          <w:szCs w:val="24"/>
        </w:rPr>
        <w:lastRenderedPageBreak/>
        <w:t>Ústava, zákon o zaměstnanosti, zákon na ochranu hospodářské soutěže, obchodní zákoník, daňová reforma, živnostenský zákon</w:t>
      </w:r>
    </w:p>
    <w:p w14:paraId="4A6F5256" w14:textId="77777777" w:rsidR="008E0F74" w:rsidRPr="00FC3B7C" w:rsidRDefault="00256F29" w:rsidP="00D46B53">
      <w:pPr>
        <w:numPr>
          <w:ilvl w:val="0"/>
          <w:numId w:val="495"/>
        </w:numPr>
        <w:tabs>
          <w:tab w:val="left" w:pos="560"/>
        </w:tabs>
        <w:ind w:left="560" w:hanging="357"/>
        <w:rPr>
          <w:rFonts w:eastAsia="Times New Roman"/>
          <w:szCs w:val="24"/>
        </w:rPr>
      </w:pPr>
      <w:r w:rsidRPr="00FC3B7C">
        <w:rPr>
          <w:rFonts w:eastAsia="Times New Roman"/>
          <w:szCs w:val="24"/>
        </w:rPr>
        <w:t>Vznik ČNB a bankovního systému</w:t>
      </w:r>
    </w:p>
    <w:p w14:paraId="4A6F5257" w14:textId="77777777" w:rsidR="008E0F74" w:rsidRPr="00FC3B7C" w:rsidRDefault="00256F29" w:rsidP="00D46B53">
      <w:pPr>
        <w:numPr>
          <w:ilvl w:val="0"/>
          <w:numId w:val="495"/>
        </w:numPr>
        <w:tabs>
          <w:tab w:val="left" w:pos="560"/>
        </w:tabs>
        <w:ind w:left="560" w:hanging="357"/>
        <w:rPr>
          <w:rFonts w:eastAsia="Times New Roman"/>
          <w:szCs w:val="24"/>
        </w:rPr>
      </w:pPr>
      <w:r w:rsidRPr="00FC3B7C">
        <w:rPr>
          <w:rFonts w:eastAsia="Times New Roman"/>
          <w:szCs w:val="24"/>
        </w:rPr>
        <w:t>Zajištění sociální pomoci občanům</w:t>
      </w:r>
    </w:p>
    <w:p w14:paraId="4A6F5258" w14:textId="77777777" w:rsidR="008E0F74" w:rsidRDefault="00256F29" w:rsidP="00D46B53">
      <w:pPr>
        <w:numPr>
          <w:ilvl w:val="0"/>
          <w:numId w:val="495"/>
        </w:numPr>
        <w:tabs>
          <w:tab w:val="left" w:pos="560"/>
        </w:tabs>
        <w:ind w:left="560" w:hanging="357"/>
        <w:rPr>
          <w:rFonts w:eastAsia="Times New Roman"/>
          <w:szCs w:val="24"/>
        </w:rPr>
      </w:pPr>
      <w:r w:rsidRPr="00FC3B7C">
        <w:rPr>
          <w:rFonts w:eastAsia="Times New Roman"/>
          <w:szCs w:val="24"/>
        </w:rPr>
        <w:t>Snaha o vyrovnaný rozpočet a zdravou měnovou politiku</w:t>
      </w:r>
    </w:p>
    <w:p w14:paraId="4A6F5259" w14:textId="77777777" w:rsidR="00A51BC4" w:rsidRDefault="00A51BC4" w:rsidP="00A51BC4">
      <w:pPr>
        <w:tabs>
          <w:tab w:val="left" w:pos="560"/>
        </w:tabs>
        <w:rPr>
          <w:rFonts w:eastAsia="Times New Roman"/>
          <w:szCs w:val="24"/>
        </w:rPr>
      </w:pPr>
    </w:p>
    <w:p w14:paraId="4A6F525A" w14:textId="77777777" w:rsidR="00A51BC4" w:rsidRPr="00FC3B7C" w:rsidRDefault="00A51BC4" w:rsidP="00A51BC4">
      <w:pPr>
        <w:tabs>
          <w:tab w:val="left" w:pos="560"/>
        </w:tabs>
        <w:rPr>
          <w:rFonts w:eastAsia="Times New Roman"/>
          <w:szCs w:val="24"/>
        </w:rPr>
      </w:pPr>
    </w:p>
    <w:p w14:paraId="4A6F525B" w14:textId="6711665C" w:rsidR="00287AD0" w:rsidRPr="00C24093" w:rsidRDefault="00A51BC4" w:rsidP="00A51BC4">
      <w:pPr>
        <w:pStyle w:val="Nadpis2"/>
        <w:rPr>
          <w:color w:val="1F3864" w:themeColor="accent1" w:themeShade="80"/>
          <w:sz w:val="20"/>
          <w:szCs w:val="20"/>
        </w:rPr>
      </w:pPr>
      <w:bookmarkStart w:id="448" w:name="page461"/>
      <w:bookmarkEnd w:id="448"/>
      <w:r w:rsidRPr="00C24093">
        <w:rPr>
          <w:rFonts w:eastAsia="Times New Roman"/>
          <w:color w:val="1F3864" w:themeColor="accent1" w:themeShade="80"/>
        </w:rPr>
        <w:t xml:space="preserve">HODNOCENÍ ÚSPĚŠNOSTI </w:t>
      </w:r>
      <w:r w:rsidR="00287AD0" w:rsidRPr="00C24093">
        <w:rPr>
          <w:rFonts w:eastAsia="Times New Roman"/>
          <w:color w:val="1F3864" w:themeColor="accent1" w:themeShade="80"/>
        </w:rPr>
        <w:t>TRANSFORMACE</w:t>
      </w:r>
      <w:r w:rsidRPr="00C24093">
        <w:rPr>
          <w:color w:val="1F3864" w:themeColor="accent1" w:themeShade="80"/>
          <w:sz w:val="20"/>
          <w:szCs w:val="20"/>
        </w:rPr>
        <w:t xml:space="preserve"> </w:t>
      </w:r>
    </w:p>
    <w:p w14:paraId="4A6F525C" w14:textId="77777777" w:rsidR="008E0F74" w:rsidRPr="00FC3B7C" w:rsidRDefault="008E0F74">
      <w:pPr>
        <w:spacing w:line="179" w:lineRule="exact"/>
        <w:rPr>
          <w:sz w:val="20"/>
          <w:szCs w:val="20"/>
        </w:rPr>
      </w:pPr>
    </w:p>
    <w:p w14:paraId="4A6F525F" w14:textId="4A907F1C" w:rsidR="008E0F74" w:rsidRPr="00C24093" w:rsidRDefault="00A51BC4" w:rsidP="00C24093">
      <w:pPr>
        <w:tabs>
          <w:tab w:val="left" w:pos="4160"/>
          <w:tab w:val="left" w:pos="7060"/>
        </w:tabs>
        <w:rPr>
          <w:color w:val="1F3864" w:themeColor="accent1" w:themeShade="80"/>
          <w:sz w:val="20"/>
          <w:szCs w:val="20"/>
        </w:rPr>
      </w:pPr>
      <w:r w:rsidRPr="00C24093">
        <w:rPr>
          <w:rFonts w:eastAsia="Times New Roman"/>
          <w:b/>
          <w:bCs/>
          <w:color w:val="1F3864" w:themeColor="accent1" w:themeShade="80"/>
          <w:sz w:val="32"/>
          <w:szCs w:val="32"/>
        </w:rPr>
        <w:t xml:space="preserve"> </w:t>
      </w:r>
      <w:r w:rsidR="00256F29" w:rsidRPr="00C24093">
        <w:rPr>
          <w:rFonts w:eastAsia="Times New Roman"/>
          <w:b/>
          <w:bCs/>
          <w:color w:val="1F3864" w:themeColor="accent1" w:themeShade="80"/>
          <w:sz w:val="32"/>
          <w:szCs w:val="32"/>
        </w:rPr>
        <w:t>ZÁKLADNÍCH</w:t>
      </w:r>
      <w:r w:rsidRPr="00C24093">
        <w:rPr>
          <w:color w:val="1F3864" w:themeColor="accent1" w:themeShade="80"/>
          <w:sz w:val="20"/>
          <w:szCs w:val="20"/>
        </w:rPr>
        <w:t xml:space="preserve"> </w:t>
      </w:r>
      <w:r w:rsidR="00256F29" w:rsidRPr="00C24093">
        <w:rPr>
          <w:rFonts w:eastAsia="Times New Roman"/>
          <w:b/>
          <w:bCs/>
          <w:color w:val="1F3864" w:themeColor="accent1" w:themeShade="80"/>
          <w:sz w:val="32"/>
          <w:szCs w:val="32"/>
        </w:rPr>
        <w:t>OBLASTECH</w:t>
      </w:r>
      <w:r w:rsidRPr="00C24093">
        <w:rPr>
          <w:color w:val="1F3864" w:themeColor="accent1" w:themeShade="80"/>
          <w:sz w:val="20"/>
          <w:szCs w:val="20"/>
        </w:rPr>
        <w:t xml:space="preserve"> </w:t>
      </w:r>
      <w:r w:rsidR="00256F29" w:rsidRPr="00C24093">
        <w:rPr>
          <w:rFonts w:eastAsia="Times New Roman"/>
          <w:b/>
          <w:bCs/>
          <w:color w:val="1F3864" w:themeColor="accent1" w:themeShade="80"/>
          <w:sz w:val="32"/>
          <w:szCs w:val="32"/>
        </w:rPr>
        <w:t>FUNGOVÁNÍ</w:t>
      </w:r>
      <w:r w:rsidRPr="00C24093">
        <w:rPr>
          <w:color w:val="1F3864" w:themeColor="accent1" w:themeShade="80"/>
          <w:sz w:val="20"/>
          <w:szCs w:val="20"/>
        </w:rPr>
        <w:t xml:space="preserve"> </w:t>
      </w:r>
      <w:r w:rsidR="00256F29" w:rsidRPr="00C24093">
        <w:rPr>
          <w:rFonts w:eastAsia="Times New Roman"/>
          <w:b/>
          <w:bCs/>
          <w:color w:val="1F3864" w:themeColor="accent1" w:themeShade="80"/>
          <w:sz w:val="32"/>
          <w:szCs w:val="32"/>
        </w:rPr>
        <w:t>EKONOMIKY</w:t>
      </w:r>
    </w:p>
    <w:p w14:paraId="4A6F5260" w14:textId="2190C98A" w:rsidR="008E0F74" w:rsidRPr="00C24093" w:rsidRDefault="00C24093" w:rsidP="00A51BC4">
      <w:pPr>
        <w:pStyle w:val="Nadpis3"/>
        <w:rPr>
          <w:color w:val="1F3864" w:themeColor="accent1" w:themeShade="80"/>
          <w:sz w:val="20"/>
          <w:szCs w:val="20"/>
        </w:rPr>
      </w:pPr>
      <w:r>
        <w:rPr>
          <w:rFonts w:eastAsia="Times New Roman"/>
          <w:color w:val="1F3864" w:themeColor="accent1" w:themeShade="80"/>
        </w:rPr>
        <w:t xml:space="preserve"> </w:t>
      </w:r>
      <w:r w:rsidR="00256F29" w:rsidRPr="00C24093">
        <w:rPr>
          <w:rFonts w:eastAsia="Times New Roman"/>
          <w:color w:val="1F3864" w:themeColor="accent1" w:themeShade="80"/>
        </w:rPr>
        <w:t>Pozitiva privatizačního procesu</w:t>
      </w:r>
    </w:p>
    <w:p w14:paraId="4A6F5261" w14:textId="77777777" w:rsidR="008E0F74" w:rsidRPr="00FC3B7C" w:rsidRDefault="008E0F74">
      <w:pPr>
        <w:spacing w:line="214" w:lineRule="exact"/>
        <w:rPr>
          <w:sz w:val="20"/>
          <w:szCs w:val="20"/>
        </w:rPr>
      </w:pPr>
    </w:p>
    <w:p w14:paraId="4A6F5262" w14:textId="77777777" w:rsidR="008E0F74" w:rsidRPr="00FC3B7C" w:rsidRDefault="00256F29" w:rsidP="00A51BC4">
      <w:pPr>
        <w:rPr>
          <w:sz w:val="20"/>
          <w:szCs w:val="20"/>
        </w:rPr>
      </w:pPr>
      <w:r w:rsidRPr="00FC3B7C">
        <w:rPr>
          <w:rFonts w:eastAsia="Times New Roman"/>
        </w:rPr>
        <w:t xml:space="preserve">Zprivatizování mimořádného objemu státního majetku za velmi malý časový interval. Rychlá změna vlastnického práva státního majetku do vlastnictví privátního – měla politické dopady – determinovala změny v sociální struktuře občanů ČR = voličů a tím determinovala </w:t>
      </w:r>
      <w:r w:rsidR="00A51BC4">
        <w:rPr>
          <w:rFonts w:eastAsia="Times New Roman"/>
        </w:rPr>
        <w:br/>
      </w:r>
      <w:r w:rsidRPr="00FC3B7C">
        <w:rPr>
          <w:rFonts w:eastAsia="Times New Roman"/>
        </w:rPr>
        <w:t>i výsledky voleb. Možnost každého občana podílet se na privatizačním procesu minimálně prostřednictvím kupónové knížky bez příslušného kapitálu, kterým disponovali zahraniční investoři. Seznámení občanů s kapitálovým trhem prostřednictvím akcií získaných za kupónovou knížku. Zprivatizování značného objemu majetku prostřednictvím kupónů bez možnosti vzniku dlužníků a tím zbytečných ztrát na výnosech a dodatečných transakčních nákladů.</w:t>
      </w:r>
    </w:p>
    <w:p w14:paraId="4A6F5263" w14:textId="77777777" w:rsidR="008E0F74" w:rsidRPr="00FC3B7C" w:rsidRDefault="008E0F74">
      <w:pPr>
        <w:spacing w:line="197" w:lineRule="exact"/>
        <w:rPr>
          <w:sz w:val="20"/>
          <w:szCs w:val="20"/>
        </w:rPr>
      </w:pPr>
    </w:p>
    <w:p w14:paraId="4A6F5264" w14:textId="2469360E" w:rsidR="008E0F74" w:rsidRPr="00C24093" w:rsidRDefault="00C24093" w:rsidP="00A51BC4">
      <w:pPr>
        <w:pStyle w:val="Nadpis3"/>
        <w:rPr>
          <w:color w:val="1F3864" w:themeColor="accent1" w:themeShade="80"/>
          <w:sz w:val="20"/>
          <w:szCs w:val="20"/>
        </w:rPr>
      </w:pPr>
      <w:r w:rsidRPr="00C24093">
        <w:rPr>
          <w:rFonts w:eastAsia="Times New Roman"/>
          <w:color w:val="1F3864" w:themeColor="accent1" w:themeShade="80"/>
        </w:rPr>
        <w:t xml:space="preserve"> </w:t>
      </w:r>
      <w:r w:rsidR="00256F29" w:rsidRPr="00C24093">
        <w:rPr>
          <w:rFonts w:eastAsia="Times New Roman"/>
          <w:color w:val="1F3864" w:themeColor="accent1" w:themeShade="80"/>
        </w:rPr>
        <w:t>Negativa privatizačního procesu</w:t>
      </w:r>
    </w:p>
    <w:p w14:paraId="4A6F5265" w14:textId="77777777" w:rsidR="008E0F74" w:rsidRPr="00FC3B7C" w:rsidRDefault="00256F29" w:rsidP="00D46B53">
      <w:pPr>
        <w:numPr>
          <w:ilvl w:val="0"/>
          <w:numId w:val="496"/>
        </w:numPr>
        <w:tabs>
          <w:tab w:val="left" w:pos="720"/>
        </w:tabs>
        <w:ind w:left="720" w:hanging="367"/>
        <w:rPr>
          <w:rFonts w:eastAsia="Arial"/>
          <w:szCs w:val="24"/>
        </w:rPr>
      </w:pPr>
      <w:r w:rsidRPr="00FC3B7C">
        <w:rPr>
          <w:rFonts w:eastAsia="Times New Roman"/>
          <w:szCs w:val="24"/>
        </w:rPr>
        <w:t>Absence úvodního soupisu státního majetku</w:t>
      </w:r>
    </w:p>
    <w:p w14:paraId="4A6F5266" w14:textId="77777777" w:rsidR="008E0F74" w:rsidRPr="00FC3B7C" w:rsidRDefault="00256F29" w:rsidP="00D46B53">
      <w:pPr>
        <w:numPr>
          <w:ilvl w:val="0"/>
          <w:numId w:val="496"/>
        </w:numPr>
        <w:tabs>
          <w:tab w:val="left" w:pos="720"/>
        </w:tabs>
        <w:ind w:left="720" w:hanging="367"/>
        <w:rPr>
          <w:rFonts w:eastAsia="Arial"/>
          <w:szCs w:val="24"/>
        </w:rPr>
      </w:pPr>
      <w:r w:rsidRPr="00FC3B7C">
        <w:rPr>
          <w:rFonts w:eastAsia="Times New Roman"/>
          <w:szCs w:val="24"/>
        </w:rPr>
        <w:t>Nedostatečná legislativně právní ochrana státu proti neplatičům</w:t>
      </w:r>
    </w:p>
    <w:p w14:paraId="4A6F5267" w14:textId="77777777" w:rsidR="008E0F74" w:rsidRPr="00FC3B7C" w:rsidRDefault="00256F29" w:rsidP="00D46B53">
      <w:pPr>
        <w:numPr>
          <w:ilvl w:val="0"/>
          <w:numId w:val="496"/>
        </w:numPr>
        <w:tabs>
          <w:tab w:val="left" w:pos="720"/>
        </w:tabs>
        <w:ind w:left="720" w:right="40" w:hanging="367"/>
        <w:rPr>
          <w:rFonts w:eastAsia="Arial"/>
          <w:szCs w:val="24"/>
        </w:rPr>
      </w:pPr>
      <w:r w:rsidRPr="00FC3B7C">
        <w:rPr>
          <w:rFonts w:eastAsia="Times New Roman"/>
          <w:szCs w:val="24"/>
        </w:rPr>
        <w:t xml:space="preserve">Nedostatečná legislativně právní ochrana drobných akcionářů, vzniklých zejména </w:t>
      </w:r>
      <w:r w:rsidR="00A51BC4">
        <w:rPr>
          <w:rFonts w:eastAsia="Times New Roman"/>
          <w:szCs w:val="24"/>
        </w:rPr>
        <w:br/>
      </w:r>
      <w:r w:rsidRPr="00FC3B7C">
        <w:rPr>
          <w:rFonts w:eastAsia="Times New Roman"/>
          <w:szCs w:val="24"/>
        </w:rPr>
        <w:t>z kupónové privatizace, proti nekorektním praktikám investičních fondů. Mnohokrát docházelo k tunelování těchto fondů.</w:t>
      </w:r>
    </w:p>
    <w:p w14:paraId="4A6F5268" w14:textId="77777777" w:rsidR="008E0F74" w:rsidRPr="00FC3B7C" w:rsidRDefault="00256F29" w:rsidP="00D46B53">
      <w:pPr>
        <w:numPr>
          <w:ilvl w:val="0"/>
          <w:numId w:val="496"/>
        </w:numPr>
        <w:tabs>
          <w:tab w:val="left" w:pos="720"/>
        </w:tabs>
        <w:ind w:left="720" w:right="40" w:hanging="367"/>
        <w:rPr>
          <w:rFonts w:eastAsia="Arial"/>
          <w:szCs w:val="24"/>
        </w:rPr>
      </w:pPr>
      <w:r w:rsidRPr="00FC3B7C">
        <w:rPr>
          <w:rFonts w:eastAsia="Times New Roman"/>
          <w:szCs w:val="24"/>
        </w:rPr>
        <w:t xml:space="preserve">Absence politických a legislativně právních opatření zabraňujících vynaložení výnosů z privatizace do běžné spotřeby státu a doplňování deficitu státního rozpočtu výnosy </w:t>
      </w:r>
      <w:r w:rsidR="00A51BC4">
        <w:rPr>
          <w:rFonts w:eastAsia="Times New Roman"/>
          <w:szCs w:val="24"/>
        </w:rPr>
        <w:br/>
      </w:r>
      <w:r w:rsidRPr="00FC3B7C">
        <w:rPr>
          <w:rFonts w:eastAsia="Times New Roman"/>
          <w:szCs w:val="24"/>
        </w:rPr>
        <w:t>z privatizace</w:t>
      </w:r>
    </w:p>
    <w:p w14:paraId="4A6F5269" w14:textId="77777777" w:rsidR="008E0F74" w:rsidRPr="00FC3B7C" w:rsidRDefault="00256F29" w:rsidP="00D46B53">
      <w:pPr>
        <w:numPr>
          <w:ilvl w:val="0"/>
          <w:numId w:val="496"/>
        </w:numPr>
        <w:tabs>
          <w:tab w:val="left" w:pos="720"/>
        </w:tabs>
        <w:ind w:left="720" w:hanging="367"/>
        <w:rPr>
          <w:rFonts w:eastAsia="Arial"/>
          <w:szCs w:val="24"/>
        </w:rPr>
      </w:pPr>
      <w:r w:rsidRPr="00FC3B7C">
        <w:rPr>
          <w:rFonts w:eastAsia="Times New Roman"/>
          <w:szCs w:val="24"/>
        </w:rPr>
        <w:t>Nerovné podmínky pro české a zahraniční zájemce</w:t>
      </w:r>
    </w:p>
    <w:p w14:paraId="4A6F526A" w14:textId="77777777" w:rsidR="008E0F74" w:rsidRPr="00FC3B7C" w:rsidRDefault="00256F29" w:rsidP="00D46B53">
      <w:pPr>
        <w:numPr>
          <w:ilvl w:val="0"/>
          <w:numId w:val="496"/>
        </w:numPr>
        <w:tabs>
          <w:tab w:val="left" w:pos="720"/>
        </w:tabs>
        <w:ind w:left="720" w:right="40" w:hanging="367"/>
        <w:rPr>
          <w:rFonts w:eastAsia="Arial"/>
          <w:szCs w:val="24"/>
        </w:rPr>
      </w:pPr>
      <w:r w:rsidRPr="00FC3B7C">
        <w:rPr>
          <w:rFonts w:eastAsia="Times New Roman"/>
          <w:szCs w:val="24"/>
        </w:rPr>
        <w:lastRenderedPageBreak/>
        <w:t>Úmysl privatizovat zahraničním konkurentům za účelem likvidace výrobních kapacit v ČR</w:t>
      </w:r>
    </w:p>
    <w:p w14:paraId="4A6F526B" w14:textId="77777777" w:rsidR="008E0F74" w:rsidRPr="00FC3B7C" w:rsidRDefault="00256F29" w:rsidP="00D46B53">
      <w:pPr>
        <w:numPr>
          <w:ilvl w:val="0"/>
          <w:numId w:val="496"/>
        </w:numPr>
        <w:tabs>
          <w:tab w:val="left" w:pos="720"/>
        </w:tabs>
        <w:ind w:left="720" w:right="40" w:hanging="367"/>
        <w:rPr>
          <w:rFonts w:eastAsia="Arial"/>
          <w:szCs w:val="24"/>
        </w:rPr>
      </w:pPr>
      <w:r w:rsidRPr="00FC3B7C">
        <w:rPr>
          <w:rFonts w:eastAsia="Times New Roman"/>
          <w:szCs w:val="24"/>
        </w:rPr>
        <w:t>„Vyzobávání“ nejdůležitějších závodů nebo výrobních jednotek s rozhodující částí technologického řetězce zůstatek řetězce se stal závislým na zahraničním vlastníkovi rozhodující části</w:t>
      </w:r>
    </w:p>
    <w:p w14:paraId="4A6F526C" w14:textId="77777777" w:rsidR="008E0F74" w:rsidRPr="00FC3B7C" w:rsidRDefault="00256F29" w:rsidP="00D46B53">
      <w:pPr>
        <w:numPr>
          <w:ilvl w:val="0"/>
          <w:numId w:val="497"/>
        </w:numPr>
        <w:tabs>
          <w:tab w:val="left" w:pos="724"/>
        </w:tabs>
        <w:ind w:left="724" w:hanging="367"/>
        <w:rPr>
          <w:rFonts w:eastAsia="Arial"/>
          <w:szCs w:val="24"/>
        </w:rPr>
      </w:pPr>
      <w:bookmarkStart w:id="449" w:name="page462"/>
      <w:bookmarkEnd w:id="449"/>
      <w:r w:rsidRPr="00FC3B7C">
        <w:rPr>
          <w:rFonts w:eastAsia="Times New Roman"/>
          <w:szCs w:val="24"/>
        </w:rPr>
        <w:t>Nesprávně stanovené kupní ceny</w:t>
      </w:r>
      <w:r w:rsidRPr="00FC3B7C">
        <w:rPr>
          <w:rFonts w:eastAsia="Times New Roman"/>
          <w:sz w:val="31"/>
          <w:szCs w:val="31"/>
          <w:vertAlign w:val="superscript"/>
        </w:rPr>
        <w:t>125</w:t>
      </w:r>
    </w:p>
    <w:p w14:paraId="4A6F526D" w14:textId="77777777" w:rsidR="008E0F74" w:rsidRPr="00FC3B7C" w:rsidRDefault="00256F29" w:rsidP="00D46B53">
      <w:pPr>
        <w:numPr>
          <w:ilvl w:val="0"/>
          <w:numId w:val="497"/>
        </w:numPr>
        <w:tabs>
          <w:tab w:val="left" w:pos="724"/>
        </w:tabs>
        <w:ind w:left="724" w:right="20" w:hanging="367"/>
        <w:rPr>
          <w:rFonts w:eastAsia="Arial"/>
          <w:szCs w:val="24"/>
        </w:rPr>
      </w:pPr>
      <w:r w:rsidRPr="00FC3B7C">
        <w:rPr>
          <w:rFonts w:eastAsia="Times New Roman"/>
          <w:szCs w:val="24"/>
        </w:rPr>
        <w:t xml:space="preserve">Docházelo k působení zájmových skupin a také k </w:t>
      </w:r>
      <w:r w:rsidRPr="00FC3B7C">
        <w:rPr>
          <w:rFonts w:eastAsia="Times New Roman"/>
          <w:i/>
          <w:iCs/>
          <w:szCs w:val="24"/>
          <w:u w:val="single"/>
        </w:rPr>
        <w:t>dobývání renty</w:t>
      </w:r>
      <w:r w:rsidRPr="00FC3B7C">
        <w:rPr>
          <w:rFonts w:eastAsia="Times New Roman"/>
          <w:szCs w:val="24"/>
        </w:rPr>
        <w:t xml:space="preserve"> těmito skupinami (telekomunikace)</w:t>
      </w:r>
    </w:p>
    <w:p w14:paraId="4A6F526E" w14:textId="77777777" w:rsidR="008E0F74" w:rsidRPr="00FC3B7C" w:rsidRDefault="008E0F74">
      <w:pPr>
        <w:spacing w:line="200" w:lineRule="exact"/>
        <w:rPr>
          <w:sz w:val="20"/>
          <w:szCs w:val="20"/>
        </w:rPr>
      </w:pPr>
    </w:p>
    <w:p w14:paraId="4A6F526F" w14:textId="77777777" w:rsidR="008E0F74" w:rsidRPr="00FC3B7C" w:rsidRDefault="008E0F74">
      <w:pPr>
        <w:spacing w:line="208" w:lineRule="exact"/>
        <w:rPr>
          <w:sz w:val="20"/>
          <w:szCs w:val="20"/>
        </w:rPr>
      </w:pPr>
    </w:p>
    <w:p w14:paraId="4A6F5270" w14:textId="77777777" w:rsidR="008E0F74" w:rsidRPr="00C24093" w:rsidRDefault="00256F29" w:rsidP="00A51BC4">
      <w:pPr>
        <w:pStyle w:val="Nadpis2"/>
        <w:rPr>
          <w:color w:val="1F3864" w:themeColor="accent1" w:themeShade="80"/>
          <w:sz w:val="20"/>
          <w:szCs w:val="20"/>
        </w:rPr>
      </w:pPr>
      <w:r w:rsidRPr="00C24093">
        <w:rPr>
          <w:rFonts w:eastAsia="Times New Roman"/>
          <w:color w:val="1F3864" w:themeColor="accent1" w:themeShade="80"/>
        </w:rPr>
        <w:t>PRIVATIZAČNÍ PROCESY</w:t>
      </w:r>
    </w:p>
    <w:p w14:paraId="4A6F5271" w14:textId="77777777" w:rsidR="008E0F74" w:rsidRPr="00FC3B7C" w:rsidRDefault="008E0F74">
      <w:pPr>
        <w:spacing w:line="217" w:lineRule="exact"/>
        <w:rPr>
          <w:sz w:val="20"/>
          <w:szCs w:val="20"/>
        </w:rPr>
      </w:pPr>
    </w:p>
    <w:p w14:paraId="4A6F5272" w14:textId="734B8B9A" w:rsidR="008E0F74" w:rsidRPr="00C24093" w:rsidRDefault="00256F29" w:rsidP="00A51BC4">
      <w:pPr>
        <w:pStyle w:val="Nadpis3"/>
        <w:rPr>
          <w:color w:val="1F3864" w:themeColor="accent1" w:themeShade="80"/>
          <w:sz w:val="20"/>
          <w:szCs w:val="20"/>
        </w:rPr>
      </w:pPr>
      <w:r w:rsidRPr="00C24093">
        <w:rPr>
          <w:rFonts w:eastAsia="Times New Roman"/>
          <w:color w:val="1F3864" w:themeColor="accent1" w:themeShade="80"/>
        </w:rPr>
        <w:t xml:space="preserve"> Spory o rychlost privatizace</w:t>
      </w:r>
    </w:p>
    <w:p w14:paraId="4A6F5273" w14:textId="77777777" w:rsidR="008E0F74" w:rsidRPr="00FC3B7C" w:rsidRDefault="00256F29" w:rsidP="00D46B53">
      <w:pPr>
        <w:numPr>
          <w:ilvl w:val="0"/>
          <w:numId w:val="498"/>
        </w:numPr>
        <w:tabs>
          <w:tab w:val="left" w:pos="1704"/>
        </w:tabs>
        <w:ind w:left="1704" w:hanging="366"/>
        <w:rPr>
          <w:rFonts w:eastAsia="Times New Roman"/>
          <w:szCs w:val="24"/>
        </w:rPr>
      </w:pPr>
      <w:r w:rsidRPr="00FC3B7C">
        <w:rPr>
          <w:rFonts w:eastAsia="Times New Roman"/>
          <w:b/>
          <w:bCs/>
          <w:szCs w:val="24"/>
        </w:rPr>
        <w:t>Rychlá privatizace</w:t>
      </w:r>
    </w:p>
    <w:p w14:paraId="4A6F5274" w14:textId="77777777" w:rsidR="008E0F74" w:rsidRPr="00A51BC4" w:rsidRDefault="00256F29" w:rsidP="00D46B53">
      <w:pPr>
        <w:numPr>
          <w:ilvl w:val="0"/>
          <w:numId w:val="499"/>
        </w:numPr>
        <w:tabs>
          <w:tab w:val="left" w:pos="1004"/>
        </w:tabs>
        <w:ind w:left="1004" w:right="20" w:hanging="357"/>
        <w:rPr>
          <w:rFonts w:eastAsia="Times New Roman"/>
          <w:szCs w:val="24"/>
        </w:rPr>
      </w:pPr>
      <w:r w:rsidRPr="00A51BC4">
        <w:rPr>
          <w:rFonts w:eastAsia="Times New Roman"/>
          <w:sz w:val="23"/>
          <w:szCs w:val="23"/>
          <w:u w:val="single"/>
        </w:rPr>
        <w:t>tzv. předprivatizační agonii</w:t>
      </w:r>
      <w:r w:rsidRPr="00A51BC4">
        <w:rPr>
          <w:rFonts w:eastAsia="Times New Roman"/>
          <w:sz w:val="23"/>
          <w:szCs w:val="23"/>
        </w:rPr>
        <w:t xml:space="preserve"> - stav, kdy není management firem motivován k efektivní práci a pouze čeká na nového vlastníka, případně se začne podnik tunelovat (levný rozprodej aktiv vlastním či spřáteleným firmám tzv. spontánní privatizace)</w:t>
      </w:r>
      <w:r w:rsidR="00A51BC4">
        <w:rPr>
          <w:rFonts w:eastAsia="Times New Roman"/>
          <w:sz w:val="23"/>
          <w:szCs w:val="23"/>
        </w:rPr>
        <w:t xml:space="preserve"> </w:t>
      </w:r>
      <w:r w:rsidR="00A51BC4">
        <w:rPr>
          <w:rFonts w:eastAsia="Times New Roman"/>
          <w:szCs w:val="24"/>
        </w:rPr>
        <w:t>stá</w:t>
      </w:r>
      <w:r w:rsidRPr="00A51BC4">
        <w:rPr>
          <w:rFonts w:eastAsia="Times New Roman"/>
          <w:szCs w:val="24"/>
        </w:rPr>
        <w:t>t není</w:t>
      </w:r>
      <w:r w:rsidR="00A51BC4">
        <w:rPr>
          <w:rFonts w:eastAsia="Times New Roman"/>
          <w:szCs w:val="24"/>
        </w:rPr>
        <w:t xml:space="preserve"> </w:t>
      </w:r>
      <w:r w:rsidRPr="00A51BC4">
        <w:rPr>
          <w:rFonts w:eastAsia="Times New Roman"/>
          <w:szCs w:val="24"/>
        </w:rPr>
        <w:t>schopen</w:t>
      </w:r>
      <w:r w:rsidR="00A51BC4">
        <w:rPr>
          <w:rFonts w:eastAsia="Times New Roman"/>
          <w:szCs w:val="24"/>
        </w:rPr>
        <w:t xml:space="preserve"> </w:t>
      </w:r>
      <w:r w:rsidRPr="00A51BC4">
        <w:rPr>
          <w:rFonts w:eastAsia="Times New Roman"/>
          <w:szCs w:val="24"/>
        </w:rPr>
        <w:t>podniky efektivně restrukturalizovat (= rozdělovat velké podniky na menší celky, zavírat neefektivní provozy a propouštět jejich zaměstnance, měnit výrobní sortiment, hledat nové trhy, investovat) - pro takovou restrukturalizaci je</w:t>
      </w:r>
    </w:p>
    <w:p w14:paraId="4A6F5275" w14:textId="77777777" w:rsidR="008E0F74" w:rsidRPr="00FC3B7C" w:rsidRDefault="00256F29" w:rsidP="00D46B53">
      <w:pPr>
        <w:numPr>
          <w:ilvl w:val="1"/>
          <w:numId w:val="499"/>
        </w:numPr>
        <w:tabs>
          <w:tab w:val="left" w:pos="2164"/>
        </w:tabs>
        <w:ind w:left="2164" w:right="20" w:hanging="361"/>
        <w:rPr>
          <w:rFonts w:eastAsia="Wingdings"/>
          <w:szCs w:val="24"/>
        </w:rPr>
      </w:pPr>
      <w:r w:rsidRPr="00FC3B7C">
        <w:rPr>
          <w:rFonts w:eastAsia="Times New Roman"/>
          <w:szCs w:val="24"/>
        </w:rPr>
        <w:t xml:space="preserve">nezbytná kontrola vlastníka nad podnikovým vedením </w:t>
      </w:r>
      <w:r w:rsidRPr="00FC3B7C">
        <w:rPr>
          <w:rFonts w:eastAsia="Times New Roman"/>
          <w:b/>
          <w:bCs/>
          <w:i/>
          <w:iCs/>
          <w:szCs w:val="24"/>
        </w:rPr>
        <w:t>=</w:t>
      </w:r>
      <w:r w:rsidRPr="00FC3B7C">
        <w:rPr>
          <w:rFonts w:eastAsia="Times New Roman"/>
          <w:szCs w:val="24"/>
        </w:rPr>
        <w:t xml:space="preserve"> </w:t>
      </w:r>
      <w:r w:rsidRPr="00FC3B7C">
        <w:rPr>
          <w:rFonts w:eastAsia="Times New Roman"/>
          <w:b/>
          <w:bCs/>
          <w:i/>
          <w:iCs/>
          <w:szCs w:val="24"/>
          <w:u w:val="single"/>
        </w:rPr>
        <w:t>corporate</w:t>
      </w:r>
      <w:r w:rsidRPr="00FC3B7C">
        <w:rPr>
          <w:rFonts w:eastAsia="Times New Roman"/>
          <w:szCs w:val="24"/>
        </w:rPr>
        <w:t xml:space="preserve"> </w:t>
      </w:r>
      <w:r w:rsidRPr="00FC3B7C">
        <w:rPr>
          <w:rFonts w:eastAsia="Times New Roman"/>
          <w:b/>
          <w:bCs/>
          <w:i/>
          <w:iCs/>
          <w:szCs w:val="24"/>
          <w:u w:val="single"/>
        </w:rPr>
        <w:t>governance</w:t>
      </w:r>
      <w:r w:rsidRPr="00FC3B7C">
        <w:rPr>
          <w:rFonts w:eastAsia="Times New Roman"/>
          <w:szCs w:val="24"/>
        </w:rPr>
        <w:t>, avšak stát nemá ani dostatečnou lidskou kapacitu ani</w:t>
      </w:r>
      <w:r w:rsidRPr="00FC3B7C">
        <w:rPr>
          <w:rFonts w:eastAsia="Times New Roman"/>
          <w:b/>
          <w:bCs/>
          <w:i/>
          <w:iCs/>
          <w:szCs w:val="24"/>
        </w:rPr>
        <w:t xml:space="preserve"> </w:t>
      </w:r>
      <w:r w:rsidRPr="00FC3B7C">
        <w:rPr>
          <w:rFonts w:eastAsia="Times New Roman"/>
          <w:szCs w:val="24"/>
        </w:rPr>
        <w:t>dostatek motivací k tomu, aby něco takového mohl zvládnout, stát může udělat jen jedno – podniky privatizovat, restrukturalizovat je může teprve jejich nový soukromý vlastník</w:t>
      </w:r>
      <w:r w:rsidRPr="00FC3B7C">
        <w:rPr>
          <w:rFonts w:eastAsia="Times New Roman"/>
          <w:sz w:val="31"/>
          <w:szCs w:val="31"/>
          <w:vertAlign w:val="superscript"/>
        </w:rPr>
        <w:t>126</w:t>
      </w:r>
    </w:p>
    <w:p w14:paraId="4A6F5276" w14:textId="77777777" w:rsidR="008E0F74" w:rsidRPr="00FC3B7C" w:rsidRDefault="00256F29" w:rsidP="00D46B53">
      <w:pPr>
        <w:numPr>
          <w:ilvl w:val="0"/>
          <w:numId w:val="499"/>
        </w:numPr>
        <w:tabs>
          <w:tab w:val="left" w:pos="1004"/>
        </w:tabs>
        <w:ind w:left="1004" w:right="20" w:hanging="357"/>
        <w:rPr>
          <w:rFonts w:eastAsia="Times New Roman"/>
          <w:szCs w:val="24"/>
        </w:rPr>
      </w:pPr>
      <w:r w:rsidRPr="00FC3B7C">
        <w:rPr>
          <w:rFonts w:eastAsia="Times New Roman"/>
          <w:szCs w:val="24"/>
        </w:rPr>
        <w:t xml:space="preserve">mezi argumenty proti rychlé privatizaci lze zařadit: </w:t>
      </w:r>
      <w:r w:rsidRPr="00FC3B7C">
        <w:rPr>
          <w:rFonts w:eastAsia="Times New Roman"/>
          <w:szCs w:val="24"/>
          <w:u w:val="single"/>
        </w:rPr>
        <w:t>komplikované usazování</w:t>
      </w:r>
      <w:r w:rsidRPr="00FC3B7C">
        <w:rPr>
          <w:rFonts w:eastAsia="Times New Roman"/>
          <w:szCs w:val="24"/>
        </w:rPr>
        <w:t xml:space="preserve"> </w:t>
      </w:r>
      <w:r w:rsidRPr="00FC3B7C">
        <w:rPr>
          <w:rFonts w:eastAsia="Times New Roman"/>
          <w:szCs w:val="24"/>
          <w:u w:val="single"/>
        </w:rPr>
        <w:t>vlastnických práv po privatizaci</w:t>
      </w:r>
    </w:p>
    <w:p w14:paraId="4A6F5277" w14:textId="77777777" w:rsidR="008E0F74" w:rsidRPr="00FC3B7C" w:rsidRDefault="008E0F74" w:rsidP="00A51BC4">
      <w:pPr>
        <w:rPr>
          <w:sz w:val="20"/>
          <w:szCs w:val="20"/>
        </w:rPr>
      </w:pPr>
    </w:p>
    <w:p w14:paraId="4A6F5278" w14:textId="77777777" w:rsidR="008E0F74" w:rsidRPr="00FC3B7C" w:rsidRDefault="00256F29" w:rsidP="00A51BC4">
      <w:pPr>
        <w:tabs>
          <w:tab w:val="left" w:pos="1684"/>
        </w:tabs>
        <w:ind w:left="1344"/>
        <w:rPr>
          <w:sz w:val="20"/>
          <w:szCs w:val="20"/>
        </w:rPr>
      </w:pPr>
      <w:r w:rsidRPr="00FC3B7C">
        <w:rPr>
          <w:rFonts w:eastAsia="Times New Roman"/>
          <w:b/>
          <w:bCs/>
          <w:szCs w:val="24"/>
        </w:rPr>
        <w:t>2)</w:t>
      </w:r>
      <w:r w:rsidRPr="00FC3B7C">
        <w:rPr>
          <w:sz w:val="20"/>
          <w:szCs w:val="20"/>
        </w:rPr>
        <w:tab/>
      </w:r>
      <w:r w:rsidRPr="00FC3B7C">
        <w:rPr>
          <w:rFonts w:eastAsia="Times New Roman"/>
          <w:b/>
          <w:bCs/>
          <w:sz w:val="23"/>
          <w:szCs w:val="23"/>
        </w:rPr>
        <w:t>Pomalá privatizace:</w:t>
      </w:r>
    </w:p>
    <w:p w14:paraId="4A6F5279" w14:textId="77777777" w:rsidR="008E0F74" w:rsidRPr="00FC3B7C" w:rsidRDefault="00A51BC4" w:rsidP="00A51BC4">
      <w:pPr>
        <w:ind w:left="4" w:right="20"/>
        <w:rPr>
          <w:sz w:val="20"/>
          <w:szCs w:val="20"/>
        </w:rPr>
      </w:pPr>
      <w:r w:rsidRPr="00FC3B7C">
        <w:rPr>
          <w:noProof/>
          <w:sz w:val="20"/>
          <w:szCs w:val="20"/>
        </w:rPr>
        <w:lastRenderedPageBreak/>
        <w:drawing>
          <wp:anchor distT="0" distB="0" distL="114300" distR="114300" simplePos="0" relativeHeight="251557376" behindDoc="1" locked="0" layoutInCell="0" allowOverlap="1" wp14:anchorId="4A6F5D2C" wp14:editId="73039077">
            <wp:simplePos x="0" y="0"/>
            <wp:positionH relativeFrom="page">
              <wp:posOffset>895350</wp:posOffset>
            </wp:positionH>
            <wp:positionV relativeFrom="page">
              <wp:posOffset>5210175</wp:posOffset>
            </wp:positionV>
            <wp:extent cx="5096510" cy="1237615"/>
            <wp:effectExtent l="0" t="0" r="0" b="0"/>
            <wp:wrapTopAndBottom/>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34">
                      <a:clrChange>
                        <a:clrFrom>
                          <a:srgbClr val="FFFFFF"/>
                        </a:clrFrom>
                        <a:clrTo>
                          <a:srgbClr val="FFFFFF">
                            <a:alpha val="0"/>
                          </a:srgbClr>
                        </a:clrTo>
                      </a:clrChange>
                    </a:blip>
                    <a:srcRect/>
                    <a:stretch>
                      <a:fillRect/>
                    </a:stretch>
                  </pic:blipFill>
                  <pic:spPr bwMode="auto">
                    <a:xfrm>
                      <a:off x="0" y="0"/>
                      <a:ext cx="5096510" cy="1237615"/>
                    </a:xfrm>
                    <a:prstGeom prst="rect">
                      <a:avLst/>
                    </a:prstGeom>
                    <a:noFill/>
                  </pic:spPr>
                </pic:pic>
              </a:graphicData>
            </a:graphic>
          </wp:anchor>
        </w:drawing>
      </w:r>
      <w:r w:rsidR="00256F29" w:rsidRPr="00FC3B7C">
        <w:rPr>
          <w:rFonts w:eastAsia="Times New Roman"/>
          <w:szCs w:val="24"/>
        </w:rPr>
        <w:t>Pro pomalou privatizaci hovořil problém vhodného vlastníka. Její zastánci tvrdili, že výběrem špatného vlastníka se může nadělat více škody, než kdyby podnik vlastnil stát. Navrhovali, že měly být podniky převedeny na a.s. a restrukturalizovány státem, a pak by byl teprve nalezen vhodný vlastník. Bylo by to ovšem časově náročné a s přibývajícím časem mohl dojít reformní „lauf“, případně mohli politici podléhat tlakům zájmových skupin.</w:t>
      </w:r>
    </w:p>
    <w:p w14:paraId="4A6F527A" w14:textId="77777777" w:rsidR="008E0F74" w:rsidRPr="00FC3B7C" w:rsidRDefault="00256F29" w:rsidP="00A51BC4">
      <w:pPr>
        <w:ind w:left="4" w:right="20"/>
        <w:rPr>
          <w:sz w:val="20"/>
          <w:szCs w:val="20"/>
        </w:rPr>
      </w:pPr>
      <w:bookmarkStart w:id="450" w:name="page463"/>
      <w:bookmarkEnd w:id="450"/>
      <w:r w:rsidRPr="00FC3B7C">
        <w:rPr>
          <w:rFonts w:eastAsia="Times New Roman"/>
          <w:b/>
          <w:bCs/>
          <w:szCs w:val="24"/>
        </w:rPr>
        <w:t xml:space="preserve">DEETATIZACE = odstátnění, </w:t>
      </w:r>
      <w:r w:rsidRPr="00FC3B7C">
        <w:rPr>
          <w:rFonts w:eastAsia="Times New Roman"/>
          <w:szCs w:val="24"/>
        </w:rPr>
        <w:t>aby mohly být podniky privatizovány, musely se odstátnit,</w:t>
      </w:r>
      <w:r w:rsidRPr="00FC3B7C">
        <w:rPr>
          <w:rFonts w:eastAsia="Times New Roman"/>
          <w:b/>
          <w:bCs/>
          <w:szCs w:val="24"/>
        </w:rPr>
        <w:t xml:space="preserve"> </w:t>
      </w:r>
      <w:r w:rsidRPr="00FC3B7C">
        <w:rPr>
          <w:rFonts w:eastAsia="Times New Roman"/>
          <w:szCs w:val="24"/>
        </w:rPr>
        <w:t>poté byly pod správou Fondu národního majetku, který je měl do doby, než se našel nový vlastník.</w:t>
      </w:r>
    </w:p>
    <w:p w14:paraId="4A6F527B" w14:textId="77777777" w:rsidR="008E0F74" w:rsidRPr="00FC3B7C" w:rsidRDefault="00256F29" w:rsidP="00A51BC4">
      <w:pPr>
        <w:ind w:left="4"/>
        <w:rPr>
          <w:sz w:val="20"/>
          <w:szCs w:val="20"/>
        </w:rPr>
      </w:pPr>
      <w:r w:rsidRPr="00FC3B7C">
        <w:rPr>
          <w:rFonts w:eastAsia="Times New Roman"/>
          <w:b/>
          <w:bCs/>
          <w:szCs w:val="24"/>
        </w:rPr>
        <w:t>Změna vlastnických vztahů měla 3 formy:</w:t>
      </w:r>
    </w:p>
    <w:p w14:paraId="4A6F527C" w14:textId="77777777" w:rsidR="008E0F74" w:rsidRPr="00FC3B7C" w:rsidRDefault="00256F29" w:rsidP="00D46B53">
      <w:pPr>
        <w:numPr>
          <w:ilvl w:val="0"/>
          <w:numId w:val="500"/>
        </w:numPr>
        <w:tabs>
          <w:tab w:val="left" w:pos="724"/>
        </w:tabs>
        <w:ind w:left="724" w:hanging="364"/>
        <w:rPr>
          <w:rFonts w:eastAsia="Times New Roman"/>
          <w:szCs w:val="24"/>
        </w:rPr>
      </w:pPr>
      <w:r w:rsidRPr="00FC3B7C">
        <w:rPr>
          <w:rFonts w:eastAsia="Times New Roman"/>
          <w:szCs w:val="24"/>
        </w:rPr>
        <w:t>Restituce</w:t>
      </w:r>
    </w:p>
    <w:p w14:paraId="4A6F527D" w14:textId="77777777" w:rsidR="008E0F74" w:rsidRPr="00FC3B7C" w:rsidRDefault="00256F29" w:rsidP="00D46B53">
      <w:pPr>
        <w:numPr>
          <w:ilvl w:val="0"/>
          <w:numId w:val="500"/>
        </w:numPr>
        <w:tabs>
          <w:tab w:val="left" w:pos="724"/>
        </w:tabs>
        <w:ind w:left="724" w:hanging="364"/>
        <w:rPr>
          <w:rFonts w:eastAsia="Times New Roman"/>
          <w:szCs w:val="24"/>
        </w:rPr>
      </w:pPr>
      <w:r w:rsidRPr="00FC3B7C">
        <w:rPr>
          <w:rFonts w:eastAsia="Times New Roman"/>
          <w:szCs w:val="24"/>
        </w:rPr>
        <w:t>Malá privatizace</w:t>
      </w:r>
    </w:p>
    <w:p w14:paraId="4A6F527E" w14:textId="23D3E06E" w:rsidR="008E0F74" w:rsidRDefault="00256F29" w:rsidP="00D46B53">
      <w:pPr>
        <w:numPr>
          <w:ilvl w:val="0"/>
          <w:numId w:val="500"/>
        </w:numPr>
        <w:tabs>
          <w:tab w:val="left" w:pos="724"/>
        </w:tabs>
        <w:ind w:left="724" w:hanging="364"/>
        <w:rPr>
          <w:rFonts w:eastAsia="Times New Roman"/>
          <w:szCs w:val="24"/>
        </w:rPr>
      </w:pPr>
      <w:r w:rsidRPr="00FC3B7C">
        <w:rPr>
          <w:rFonts w:eastAsia="Times New Roman"/>
          <w:szCs w:val="24"/>
        </w:rPr>
        <w:t>Velká privatizace</w:t>
      </w:r>
    </w:p>
    <w:p w14:paraId="1255B26E" w14:textId="3DE69834" w:rsidR="004E174C" w:rsidRPr="00244BB9" w:rsidRDefault="004E174C" w:rsidP="004E174C">
      <w:pPr>
        <w:tabs>
          <w:tab w:val="left" w:pos="724"/>
        </w:tabs>
        <w:rPr>
          <w:rFonts w:eastAsia="Times New Roman"/>
          <w:b/>
          <w:bCs/>
          <w:szCs w:val="24"/>
        </w:rPr>
      </w:pPr>
      <w:r w:rsidRPr="00244BB9">
        <w:rPr>
          <w:rFonts w:eastAsia="Times New Roman"/>
          <w:b/>
          <w:bCs/>
          <w:szCs w:val="24"/>
        </w:rPr>
        <w:t xml:space="preserve">Ostatní metody: </w:t>
      </w:r>
    </w:p>
    <w:p w14:paraId="5269E57F" w14:textId="0274A0AD" w:rsidR="004E174C" w:rsidRPr="00244BB9" w:rsidRDefault="004E174C" w:rsidP="00D46B53">
      <w:pPr>
        <w:pStyle w:val="Odstavecseseznamem"/>
        <w:numPr>
          <w:ilvl w:val="0"/>
          <w:numId w:val="499"/>
        </w:numPr>
        <w:tabs>
          <w:tab w:val="left" w:pos="724"/>
        </w:tabs>
        <w:rPr>
          <w:rFonts w:eastAsia="Times New Roman"/>
          <w:szCs w:val="24"/>
        </w:rPr>
      </w:pPr>
      <w:r w:rsidRPr="00244BB9">
        <w:rPr>
          <w:rFonts w:eastAsia="Times New Roman"/>
          <w:szCs w:val="24"/>
        </w:rPr>
        <w:t>Likvidace státního podniku</w:t>
      </w:r>
    </w:p>
    <w:p w14:paraId="08799AAF" w14:textId="53C4590F" w:rsidR="004E174C" w:rsidRPr="00244BB9" w:rsidRDefault="004E174C" w:rsidP="00D46B53">
      <w:pPr>
        <w:pStyle w:val="Odstavecseseznamem"/>
        <w:numPr>
          <w:ilvl w:val="0"/>
          <w:numId w:val="499"/>
        </w:numPr>
        <w:tabs>
          <w:tab w:val="left" w:pos="724"/>
        </w:tabs>
        <w:rPr>
          <w:rFonts w:eastAsia="Times New Roman"/>
          <w:szCs w:val="24"/>
        </w:rPr>
      </w:pPr>
      <w:r w:rsidRPr="00244BB9">
        <w:rPr>
          <w:rFonts w:eastAsia="Times New Roman"/>
          <w:szCs w:val="24"/>
        </w:rPr>
        <w:t xml:space="preserve">Insolvenční řízení </w:t>
      </w:r>
    </w:p>
    <w:p w14:paraId="2E9964C6" w14:textId="10CA4B41" w:rsidR="004E174C" w:rsidRPr="00244BB9" w:rsidRDefault="00124942" w:rsidP="00D46B53">
      <w:pPr>
        <w:pStyle w:val="Odstavecseseznamem"/>
        <w:numPr>
          <w:ilvl w:val="0"/>
          <w:numId w:val="499"/>
        </w:numPr>
        <w:tabs>
          <w:tab w:val="left" w:pos="724"/>
        </w:tabs>
        <w:rPr>
          <w:rFonts w:eastAsia="Times New Roman"/>
          <w:szCs w:val="24"/>
        </w:rPr>
      </w:pPr>
      <w:r w:rsidRPr="00244BB9">
        <w:rPr>
          <w:rFonts w:eastAsia="Times New Roman"/>
          <w:szCs w:val="24"/>
        </w:rPr>
        <w:t>Bezúplatný</w:t>
      </w:r>
      <w:r w:rsidR="004E174C" w:rsidRPr="00244BB9">
        <w:rPr>
          <w:rFonts w:eastAsia="Times New Roman"/>
          <w:szCs w:val="24"/>
        </w:rPr>
        <w:t xml:space="preserve"> převod do vlastnictví obcí </w:t>
      </w:r>
    </w:p>
    <w:p w14:paraId="4A6F527F" w14:textId="2D7F69A4" w:rsidR="008E0F74" w:rsidRDefault="00C24093" w:rsidP="00A51BC4">
      <w:pPr>
        <w:pStyle w:val="Nadpis3"/>
        <w:rPr>
          <w:rFonts w:eastAsia="Times New Roman"/>
          <w:color w:val="1F3864" w:themeColor="accent1" w:themeShade="80"/>
        </w:rPr>
      </w:pPr>
      <w:r>
        <w:rPr>
          <w:rFonts w:eastAsia="Times New Roman"/>
          <w:color w:val="1F3864" w:themeColor="accent1" w:themeShade="80"/>
        </w:rPr>
        <w:t xml:space="preserve"> </w:t>
      </w:r>
      <w:r w:rsidR="00256F29" w:rsidRPr="00C24093">
        <w:rPr>
          <w:rFonts w:eastAsia="Times New Roman"/>
          <w:color w:val="1F3864" w:themeColor="accent1" w:themeShade="80"/>
        </w:rPr>
        <w:t>Restituce</w:t>
      </w:r>
    </w:p>
    <w:p w14:paraId="0C047BA4" w14:textId="3B4BC1E9" w:rsidR="005F2775" w:rsidRPr="00244BB9" w:rsidRDefault="005F2775" w:rsidP="00D46B53">
      <w:pPr>
        <w:pStyle w:val="Odstavecseseznamem"/>
        <w:numPr>
          <w:ilvl w:val="0"/>
          <w:numId w:val="499"/>
        </w:numPr>
        <w:ind w:left="142"/>
      </w:pPr>
      <w:r w:rsidRPr="00244BB9">
        <w:t>Morální aspket &gt; nepravení křivd zestátněním majetku od r. 1948</w:t>
      </w:r>
    </w:p>
    <w:p w14:paraId="645AD4BE" w14:textId="721D4141" w:rsidR="004E174C" w:rsidRPr="00244BB9" w:rsidRDefault="004E174C" w:rsidP="00D46B53">
      <w:pPr>
        <w:pStyle w:val="Odstavecseseznamem"/>
        <w:numPr>
          <w:ilvl w:val="0"/>
          <w:numId w:val="499"/>
        </w:numPr>
        <w:ind w:right="20"/>
      </w:pPr>
      <w:r w:rsidRPr="00244BB9">
        <w:rPr>
          <w:rFonts w:eastAsia="Times New Roman"/>
          <w:sz w:val="23"/>
          <w:szCs w:val="23"/>
        </w:rPr>
        <w:t xml:space="preserve">Proces vydání majetku ve vlastnictví státu původním majitelům nebo jejich dědicům jako opravný prostředek po násilné konfiskaci nebo znárodnění majetku státem. </w:t>
      </w:r>
    </w:p>
    <w:p w14:paraId="2A32C1EB" w14:textId="77777777" w:rsidR="005F2775" w:rsidRPr="00244BB9" w:rsidRDefault="005F2775" w:rsidP="00D46B53">
      <w:pPr>
        <w:pStyle w:val="Odstavecseseznamem"/>
        <w:numPr>
          <w:ilvl w:val="0"/>
          <w:numId w:val="499"/>
        </w:numPr>
      </w:pPr>
      <w:r w:rsidRPr="00244BB9">
        <w:t>Není zahrnuto období zestátněný majetek mezi lety 1945-48 → především německý majetek v pohraničí, většina průmyslových podniků z významných průmyslových odvětví (elektrárny, doly, hutní závody atd.)</w:t>
      </w:r>
    </w:p>
    <w:p w14:paraId="4C592BA6" w14:textId="77777777" w:rsidR="005F2775" w:rsidRPr="00244BB9" w:rsidRDefault="005F2775" w:rsidP="004E174C">
      <w:r w:rsidRPr="00244BB9">
        <w:rPr>
          <w:u w:val="single"/>
        </w:rPr>
        <w:t>Více způsobů vrácení majetku</w:t>
      </w:r>
      <w:r w:rsidRPr="00244BB9">
        <w:t>:</w:t>
      </w:r>
    </w:p>
    <w:p w14:paraId="13EC58D9" w14:textId="77777777" w:rsidR="005F2775" w:rsidRPr="00244BB9" w:rsidRDefault="005F2775" w:rsidP="00D46B53">
      <w:pPr>
        <w:pStyle w:val="Odstavecseseznamem"/>
        <w:numPr>
          <w:ilvl w:val="0"/>
          <w:numId w:val="499"/>
        </w:numPr>
      </w:pPr>
      <w:r w:rsidRPr="00244BB9">
        <w:t>Vrácení původního majetku → navíc možnost přednostně dokoupit nově vybudovaný navazující majetek</w:t>
      </w:r>
    </w:p>
    <w:p w14:paraId="6D193E18" w14:textId="77777777" w:rsidR="005F2775" w:rsidRPr="00244BB9" w:rsidRDefault="005F2775" w:rsidP="00D46B53">
      <w:pPr>
        <w:pStyle w:val="Odstavecseseznamem"/>
        <w:numPr>
          <w:ilvl w:val="0"/>
          <w:numId w:val="499"/>
        </w:numPr>
      </w:pPr>
      <w:r w:rsidRPr="00244BB9">
        <w:t>Finanční náhrada (pokud není majetek dle zákona způsobilý k vydání)</w:t>
      </w:r>
    </w:p>
    <w:p w14:paraId="7C700092" w14:textId="77777777" w:rsidR="005F2775" w:rsidRPr="00244BB9" w:rsidRDefault="005F2775" w:rsidP="00D46B53">
      <w:pPr>
        <w:pStyle w:val="Odstavecseseznamem"/>
        <w:numPr>
          <w:ilvl w:val="0"/>
          <w:numId w:val="499"/>
        </w:numPr>
      </w:pPr>
      <w:r w:rsidRPr="00244BB9">
        <w:t>Náhradní plnění – zejména u zemědělského a lesního majetku</w:t>
      </w:r>
    </w:p>
    <w:p w14:paraId="6FD2E9EE" w14:textId="53C973D2" w:rsidR="005F2775" w:rsidRPr="00244BB9" w:rsidRDefault="005F2775" w:rsidP="004E174C">
      <w:r w:rsidRPr="00244BB9">
        <w:lastRenderedPageBreak/>
        <w:t xml:space="preserve">Cca. 900 tis. </w:t>
      </w:r>
      <w:r w:rsidR="004E174C" w:rsidRPr="00244BB9">
        <w:t>o</w:t>
      </w:r>
      <w:r w:rsidRPr="00244BB9">
        <w:t>právněných žádostí v hodnotě zhruba 300 mld. Kč</w:t>
      </w:r>
    </w:p>
    <w:p w14:paraId="7A720BB1" w14:textId="0EFF84E9" w:rsidR="004E174C" w:rsidRPr="00244BB9" w:rsidRDefault="005F2775" w:rsidP="004E174C">
      <w:r w:rsidRPr="00244BB9">
        <w:rPr>
          <w:u w:val="single"/>
        </w:rPr>
        <w:t>Více procesů</w:t>
      </w:r>
      <w:r w:rsidR="004E174C" w:rsidRPr="00244BB9">
        <w:t>:</w:t>
      </w:r>
    </w:p>
    <w:p w14:paraId="358CA104" w14:textId="77777777" w:rsidR="004E174C" w:rsidRPr="00244BB9" w:rsidRDefault="004E174C" w:rsidP="00D46B53">
      <w:pPr>
        <w:pStyle w:val="Odstavecseseznamem"/>
        <w:numPr>
          <w:ilvl w:val="0"/>
          <w:numId w:val="499"/>
        </w:numPr>
      </w:pPr>
      <w:r w:rsidRPr="00244BB9">
        <w:t>M</w:t>
      </w:r>
      <w:r w:rsidR="005F2775" w:rsidRPr="00244BB9">
        <w:t>alá restituce</w:t>
      </w:r>
    </w:p>
    <w:p w14:paraId="49B6EAAE" w14:textId="77777777" w:rsidR="004E174C" w:rsidRPr="00244BB9" w:rsidRDefault="004E174C" w:rsidP="00D46B53">
      <w:pPr>
        <w:pStyle w:val="Odstavecseseznamem"/>
        <w:numPr>
          <w:ilvl w:val="0"/>
          <w:numId w:val="499"/>
        </w:numPr>
      </w:pPr>
      <w:r w:rsidRPr="00244BB9">
        <w:t>C</w:t>
      </w:r>
      <w:r w:rsidR="005F2775" w:rsidRPr="00244BB9">
        <w:t>írkevní majetek</w:t>
      </w:r>
    </w:p>
    <w:p w14:paraId="034AD33A" w14:textId="2E33282C" w:rsidR="004E174C" w:rsidRPr="00244BB9" w:rsidRDefault="004E174C" w:rsidP="00D46B53">
      <w:pPr>
        <w:pStyle w:val="Odstavecseseznamem"/>
        <w:numPr>
          <w:ilvl w:val="0"/>
          <w:numId w:val="499"/>
        </w:numPr>
      </w:pPr>
      <w:r w:rsidRPr="00244BB9">
        <w:t>Ž</w:t>
      </w:r>
      <w:r w:rsidR="005F2775" w:rsidRPr="00244BB9">
        <w:t>idovský majetek</w:t>
      </w:r>
    </w:p>
    <w:p w14:paraId="2B8B037C" w14:textId="77777777" w:rsidR="004E174C" w:rsidRPr="00244BB9" w:rsidRDefault="004E174C" w:rsidP="00D46B53">
      <w:pPr>
        <w:pStyle w:val="Odstavecseseznamem"/>
        <w:numPr>
          <w:ilvl w:val="0"/>
          <w:numId w:val="499"/>
        </w:numPr>
      </w:pPr>
      <w:r w:rsidRPr="00244BB9">
        <w:t>H</w:t>
      </w:r>
      <w:r w:rsidR="005F2775" w:rsidRPr="00244BB9">
        <w:t>istorický majetek obcí</w:t>
      </w:r>
    </w:p>
    <w:p w14:paraId="09654A46" w14:textId="0F11854A" w:rsidR="005F2775" w:rsidRPr="00244BB9" w:rsidRDefault="004E174C" w:rsidP="00D46B53">
      <w:pPr>
        <w:pStyle w:val="Odstavecseseznamem"/>
        <w:numPr>
          <w:ilvl w:val="0"/>
          <w:numId w:val="499"/>
        </w:numPr>
      </w:pPr>
      <w:r w:rsidRPr="00244BB9">
        <w:t>Z</w:t>
      </w:r>
      <w:r w:rsidR="005F2775" w:rsidRPr="00244BB9">
        <w:t>emědělský a lesní majetek</w:t>
      </w:r>
    </w:p>
    <w:p w14:paraId="0DDF07D2" w14:textId="77777777" w:rsidR="005F2775" w:rsidRPr="00244BB9" w:rsidRDefault="005F2775" w:rsidP="004E174C">
      <w:r w:rsidRPr="00244BB9">
        <w:t xml:space="preserve">Kontroverze </w:t>
      </w:r>
      <w:r w:rsidRPr="00244BB9">
        <w:rPr>
          <w:b/>
          <w:bCs/>
          <w:u w:val="single"/>
        </w:rPr>
        <w:t xml:space="preserve">církevních restitucí </w:t>
      </w:r>
      <w:r w:rsidRPr="00244BB9">
        <w:t>→ kritika odlišného přístupu a zvýhodnění oproti ostatním restitučním procesům (náhrada škody za nemožnost užívání majetku; netransparentnost a nedostupnost podkladů v porovnání s ostatními procesy)</w:t>
      </w:r>
    </w:p>
    <w:p w14:paraId="403BB318" w14:textId="77777777" w:rsidR="005F2775" w:rsidRPr="00244BB9" w:rsidRDefault="005F2775" w:rsidP="00D46B53">
      <w:pPr>
        <w:pStyle w:val="Odstavecseseznamem"/>
        <w:numPr>
          <w:ilvl w:val="0"/>
          <w:numId w:val="499"/>
        </w:numPr>
      </w:pPr>
      <w:r w:rsidRPr="00244BB9">
        <w:t xml:space="preserve">již vydán majetek v hodnotě 75 mld. </w:t>
      </w:r>
    </w:p>
    <w:p w14:paraId="4D527536" w14:textId="77777777" w:rsidR="005F2775" w:rsidRPr="00244BB9" w:rsidRDefault="005F2775" w:rsidP="00D46B53">
      <w:pPr>
        <w:pStyle w:val="Odstavecseseznamem"/>
        <w:numPr>
          <w:ilvl w:val="0"/>
          <w:numId w:val="499"/>
        </w:numPr>
      </w:pPr>
      <w:r w:rsidRPr="00244BB9">
        <w:t>až do roku 2042 splácení finanční náhrady 59 mld. (s inflací cca 79 mld.)</w:t>
      </w:r>
    </w:p>
    <w:p w14:paraId="3DE7D9A0" w14:textId="77777777" w:rsidR="005F2775" w:rsidRPr="004E174C" w:rsidRDefault="005F2775" w:rsidP="004E174C">
      <w:pPr>
        <w:ind w:left="142"/>
        <w:rPr>
          <w:color w:val="FF0000"/>
        </w:rPr>
      </w:pPr>
    </w:p>
    <w:p w14:paraId="4A6F5281" w14:textId="77777777" w:rsidR="008E0F74" w:rsidRPr="00FC3B7C" w:rsidRDefault="008E0F74">
      <w:pPr>
        <w:spacing w:line="158" w:lineRule="exact"/>
        <w:rPr>
          <w:sz w:val="20"/>
          <w:szCs w:val="20"/>
        </w:rPr>
      </w:pPr>
    </w:p>
    <w:p w14:paraId="20F78F14" w14:textId="066E0125" w:rsidR="00D6370C" w:rsidRPr="00D6370C" w:rsidRDefault="00C24093" w:rsidP="00D6370C">
      <w:pPr>
        <w:pStyle w:val="Nadpis3"/>
        <w:rPr>
          <w:rFonts w:eastAsia="Times New Roman"/>
          <w:color w:val="1F3864" w:themeColor="accent1" w:themeShade="80"/>
        </w:rPr>
      </w:pPr>
      <w:r w:rsidRPr="00C24093">
        <w:rPr>
          <w:rFonts w:eastAsia="Times New Roman"/>
          <w:color w:val="1F3864" w:themeColor="accent1" w:themeShade="80"/>
        </w:rPr>
        <w:t xml:space="preserve"> </w:t>
      </w:r>
      <w:r w:rsidR="00256F29" w:rsidRPr="00C24093">
        <w:rPr>
          <w:rFonts w:eastAsia="Times New Roman"/>
          <w:color w:val="1F3864" w:themeColor="accent1" w:themeShade="80"/>
        </w:rPr>
        <w:t>Malá privatizace (leden 1991 – 1993)</w:t>
      </w:r>
    </w:p>
    <w:p w14:paraId="1683F9B6" w14:textId="2ECF270B" w:rsidR="00D6370C" w:rsidRDefault="00256F29" w:rsidP="00D6370C">
      <w:pPr>
        <w:ind w:left="4" w:right="20"/>
        <w:rPr>
          <w:sz w:val="20"/>
          <w:szCs w:val="20"/>
        </w:rPr>
      </w:pPr>
      <w:r w:rsidRPr="00FC3B7C">
        <w:rPr>
          <w:rFonts w:eastAsia="Times New Roman"/>
          <w:szCs w:val="24"/>
        </w:rPr>
        <w:t xml:space="preserve">Prodej většinou malých jednotek (např. provozoven služeb, malých dílen, restaurací, obchodu). </w:t>
      </w:r>
      <w:r w:rsidR="00D6370C" w:rsidRPr="00FC3B7C">
        <w:rPr>
          <w:rFonts w:eastAsia="Times New Roman"/>
          <w:szCs w:val="24"/>
        </w:rPr>
        <w:t>Jedinou metodou byly veřejné aukce za peníze. V prvním kole privatizace se mohli účastnit pouze domácí podnikatelé, v dalších kolech i zahraniční podnikatelé.</w:t>
      </w:r>
      <w:r w:rsidR="003376E1">
        <w:rPr>
          <w:rFonts w:eastAsia="Times New Roman"/>
          <w:szCs w:val="24"/>
        </w:rPr>
        <w:t xml:space="preserve"> </w:t>
      </w:r>
      <w:r w:rsidR="00D6370C" w:rsidRPr="00FC3B7C">
        <w:rPr>
          <w:rFonts w:eastAsia="Times New Roman"/>
          <w:szCs w:val="24"/>
        </w:rPr>
        <w:t>Existovala Možnost tzv. holandské dražby,</w:t>
      </w:r>
      <w:r w:rsidR="00D6370C">
        <w:rPr>
          <w:rFonts w:eastAsia="Times New Roman"/>
          <w:szCs w:val="24"/>
        </w:rPr>
        <w:t xml:space="preserve"> </w:t>
      </w:r>
      <w:r w:rsidR="00D6370C" w:rsidRPr="00FC3B7C">
        <w:rPr>
          <w:rFonts w:eastAsia="Times New Roman"/>
          <w:szCs w:val="24"/>
        </w:rPr>
        <w:t>tedy dražby směrem dolů – v příp. že o provozovnu nebyl zájem (až na 50% vyvolávací ceny).</w:t>
      </w:r>
    </w:p>
    <w:p w14:paraId="046893EE" w14:textId="77777777" w:rsidR="00D6370C" w:rsidRPr="00D6370C" w:rsidRDefault="00D6370C" w:rsidP="00D6370C">
      <w:pPr>
        <w:ind w:left="4" w:right="20"/>
        <w:rPr>
          <w:sz w:val="20"/>
          <w:szCs w:val="20"/>
        </w:rPr>
      </w:pPr>
    </w:p>
    <w:p w14:paraId="4A6F5283" w14:textId="6A3AC574" w:rsidR="008E0F74" w:rsidRPr="00D6370C" w:rsidRDefault="00D6370C" w:rsidP="00D6370C">
      <w:pPr>
        <w:ind w:right="20"/>
        <w:rPr>
          <w:rFonts w:eastAsia="Times New Roman"/>
          <w:szCs w:val="24"/>
        </w:rPr>
      </w:pPr>
      <w:r w:rsidRPr="00D6370C">
        <w:rPr>
          <w:rFonts w:eastAsia="Times New Roman"/>
          <w:szCs w:val="24"/>
        </w:rPr>
        <w:t xml:space="preserve">Cíl → co nejjednodušším způsobem zahájit liberalizaci </w:t>
      </w:r>
      <w:r w:rsidR="00256F29" w:rsidRPr="00FC3B7C">
        <w:rPr>
          <w:rFonts w:eastAsia="Times New Roman"/>
          <w:szCs w:val="24"/>
        </w:rPr>
        <w:t>Jedinou metodou byly veřejné aukce za peníze. V prvním kole privatizace se mohli účastnit pouze domácí podnikatelé, v dalších kolech i zahraniční podnikatelé.</w:t>
      </w:r>
    </w:p>
    <w:p w14:paraId="4A6F5285" w14:textId="77777777" w:rsidR="008E0F74" w:rsidRPr="00FC3B7C" w:rsidRDefault="00256F29" w:rsidP="00A51BC4">
      <w:pPr>
        <w:ind w:left="4" w:right="20"/>
        <w:rPr>
          <w:sz w:val="20"/>
          <w:szCs w:val="20"/>
        </w:rPr>
      </w:pPr>
      <w:r w:rsidRPr="00FC3B7C">
        <w:rPr>
          <w:rFonts w:eastAsia="Times New Roman"/>
          <w:szCs w:val="24"/>
        </w:rPr>
        <w:t>Byly zřízeny okresní privatizační komise. Zaměstnanci ani vedení privatizovaných podniků neměli žádná privilegia.</w:t>
      </w:r>
    </w:p>
    <w:p w14:paraId="4A6F5288" w14:textId="3AFFBABF" w:rsidR="008E0F74" w:rsidRPr="00244BB9" w:rsidRDefault="00256F29" w:rsidP="00D6370C">
      <w:pPr>
        <w:ind w:left="4" w:right="20"/>
        <w:rPr>
          <w:rFonts w:eastAsia="Times New Roman"/>
          <w:szCs w:val="24"/>
        </w:rPr>
      </w:pPr>
      <w:r w:rsidRPr="00FC3B7C">
        <w:rPr>
          <w:rFonts w:eastAsia="Times New Roman"/>
          <w:szCs w:val="24"/>
        </w:rPr>
        <w:t xml:space="preserve">Předmětem privatizace nesměly být věci zemědělského charakteru a dále ty věci, které se </w:t>
      </w:r>
      <w:r w:rsidRPr="00244BB9">
        <w:rPr>
          <w:rFonts w:eastAsia="Times New Roman"/>
          <w:szCs w:val="24"/>
        </w:rPr>
        <w:t>měly stát předmětem restitucí. Na nového nabyvatele přecházela pouze aktiva, nikoliv závazky.</w:t>
      </w:r>
      <w:bookmarkStart w:id="451" w:name="page464"/>
      <w:bookmarkEnd w:id="451"/>
    </w:p>
    <w:p w14:paraId="660C8251" w14:textId="5DD5DB45" w:rsidR="00D6370C" w:rsidRPr="00244BB9" w:rsidRDefault="00D6370C" w:rsidP="00D6370C">
      <w:pPr>
        <w:ind w:right="20"/>
        <w:rPr>
          <w:rFonts w:eastAsia="Times New Roman"/>
          <w:szCs w:val="24"/>
        </w:rPr>
      </w:pPr>
      <w:r w:rsidRPr="00244BB9">
        <w:rPr>
          <w:rFonts w:eastAsia="Times New Roman"/>
          <w:szCs w:val="24"/>
        </w:rPr>
        <w:t>Ministerstvo privatizace (MSNMP; od r. 1991-1996, poté povinnosti přebírá MF ČR) rozhodlo o zařazení majetku do</w:t>
      </w:r>
      <w:r w:rsidR="003376E1">
        <w:rPr>
          <w:rFonts w:eastAsia="Times New Roman"/>
          <w:szCs w:val="24"/>
        </w:rPr>
        <w:t xml:space="preserve"> </w:t>
      </w:r>
      <w:r w:rsidRPr="00244BB9">
        <w:rPr>
          <w:rFonts w:eastAsia="Times New Roman"/>
          <w:szCs w:val="24"/>
        </w:rPr>
        <w:t>privatizace a OPK (okresní privatizační komise) vyhlásila a vykonávala veřejnou dražbu → z 30 % nemovitý a ze 70 % movitý majetek.</w:t>
      </w:r>
    </w:p>
    <w:p w14:paraId="6332ADFB" w14:textId="77777777" w:rsidR="00D6370C" w:rsidRPr="00244BB9" w:rsidRDefault="00D6370C" w:rsidP="00D46B53">
      <w:pPr>
        <w:numPr>
          <w:ilvl w:val="0"/>
          <w:numId w:val="662"/>
        </w:numPr>
        <w:ind w:right="20"/>
        <w:rPr>
          <w:rFonts w:eastAsia="Times New Roman"/>
          <w:szCs w:val="24"/>
        </w:rPr>
      </w:pPr>
      <w:r w:rsidRPr="00244BB9">
        <w:rPr>
          <w:rFonts w:eastAsia="Times New Roman"/>
          <w:szCs w:val="24"/>
        </w:rPr>
        <w:t xml:space="preserve">Většina financována za pomoci bankovních úvěrů → banky velmi vstřícné </w:t>
      </w:r>
    </w:p>
    <w:p w14:paraId="7CBE0CE2" w14:textId="2201343D" w:rsidR="00D6370C" w:rsidRDefault="00D6370C" w:rsidP="00D6370C">
      <w:pPr>
        <w:ind w:right="20"/>
        <w:rPr>
          <w:rFonts w:eastAsia="Times New Roman"/>
          <w:color w:val="FF0000"/>
          <w:szCs w:val="24"/>
        </w:rPr>
      </w:pPr>
    </w:p>
    <w:p w14:paraId="233DBEA3" w14:textId="705D77D9" w:rsidR="00D6370C" w:rsidRPr="00244BB9" w:rsidRDefault="00D6370C" w:rsidP="00D6370C">
      <w:pPr>
        <w:ind w:right="20"/>
        <w:rPr>
          <w:rFonts w:eastAsia="Times New Roman"/>
          <w:szCs w:val="24"/>
        </w:rPr>
      </w:pPr>
      <w:r w:rsidRPr="00244BB9">
        <w:rPr>
          <w:rFonts w:eastAsia="Times New Roman"/>
          <w:szCs w:val="24"/>
        </w:rPr>
        <w:lastRenderedPageBreak/>
        <w:t xml:space="preserve">Výhody: </w:t>
      </w:r>
    </w:p>
    <w:p w14:paraId="2FB726DB" w14:textId="77777777" w:rsidR="00D6370C" w:rsidRPr="00244BB9" w:rsidRDefault="00D6370C" w:rsidP="00D46B53">
      <w:pPr>
        <w:numPr>
          <w:ilvl w:val="0"/>
          <w:numId w:val="663"/>
        </w:numPr>
        <w:ind w:right="20"/>
        <w:rPr>
          <w:rFonts w:eastAsia="Times New Roman"/>
          <w:szCs w:val="24"/>
        </w:rPr>
      </w:pPr>
      <w:r w:rsidRPr="00244BB9">
        <w:rPr>
          <w:rFonts w:eastAsia="Times New Roman"/>
          <w:szCs w:val="24"/>
        </w:rPr>
        <w:t>Rychlá</w:t>
      </w:r>
    </w:p>
    <w:p w14:paraId="205A68B1" w14:textId="77777777" w:rsidR="00D6370C" w:rsidRPr="00244BB9" w:rsidRDefault="00D6370C" w:rsidP="00D46B53">
      <w:pPr>
        <w:numPr>
          <w:ilvl w:val="0"/>
          <w:numId w:val="663"/>
        </w:numPr>
        <w:ind w:right="20"/>
        <w:rPr>
          <w:rFonts w:eastAsia="Times New Roman"/>
          <w:szCs w:val="24"/>
        </w:rPr>
      </w:pPr>
      <w:r w:rsidRPr="00244BB9">
        <w:rPr>
          <w:rFonts w:eastAsia="Times New Roman"/>
          <w:szCs w:val="24"/>
        </w:rPr>
        <w:t>Efektivní</w:t>
      </w:r>
    </w:p>
    <w:p w14:paraId="476F0C91" w14:textId="77777777" w:rsidR="00D6370C" w:rsidRPr="00244BB9" w:rsidRDefault="00D6370C" w:rsidP="00D46B53">
      <w:pPr>
        <w:numPr>
          <w:ilvl w:val="0"/>
          <w:numId w:val="663"/>
        </w:numPr>
        <w:ind w:right="20"/>
        <w:rPr>
          <w:rFonts w:eastAsia="Times New Roman"/>
          <w:szCs w:val="24"/>
        </w:rPr>
      </w:pPr>
      <w:r w:rsidRPr="00244BB9">
        <w:rPr>
          <w:rFonts w:eastAsia="Times New Roman"/>
          <w:szCs w:val="24"/>
        </w:rPr>
        <w:t>Jednoduchá</w:t>
      </w:r>
    </w:p>
    <w:p w14:paraId="0A41EE58" w14:textId="6FCDED55" w:rsidR="00D6370C" w:rsidRPr="00244BB9" w:rsidRDefault="00D6370C" w:rsidP="00D46B53">
      <w:pPr>
        <w:numPr>
          <w:ilvl w:val="0"/>
          <w:numId w:val="663"/>
        </w:numPr>
        <w:ind w:right="20"/>
        <w:rPr>
          <w:rFonts w:eastAsia="Times New Roman"/>
          <w:szCs w:val="24"/>
        </w:rPr>
      </w:pPr>
      <w:r w:rsidRPr="00244BB9">
        <w:rPr>
          <w:rFonts w:eastAsia="Times New Roman"/>
          <w:szCs w:val="24"/>
        </w:rPr>
        <w:t>Transparentní → veřejné dražby</w:t>
      </w:r>
    </w:p>
    <w:p w14:paraId="4A16C931" w14:textId="724F5AED" w:rsidR="00D6370C" w:rsidRPr="00244BB9" w:rsidRDefault="00D6370C" w:rsidP="00D6370C">
      <w:pPr>
        <w:ind w:right="20"/>
        <w:rPr>
          <w:rFonts w:eastAsia="Times New Roman"/>
          <w:szCs w:val="24"/>
        </w:rPr>
      </w:pPr>
      <w:r w:rsidRPr="00244BB9">
        <w:rPr>
          <w:rFonts w:eastAsia="Times New Roman"/>
          <w:szCs w:val="24"/>
        </w:rPr>
        <w:t>Nevýhody:</w:t>
      </w:r>
    </w:p>
    <w:p w14:paraId="0F05D5CF" w14:textId="77777777" w:rsidR="00D6370C" w:rsidRPr="00244BB9" w:rsidRDefault="00D6370C" w:rsidP="00D46B53">
      <w:pPr>
        <w:numPr>
          <w:ilvl w:val="0"/>
          <w:numId w:val="664"/>
        </w:numPr>
        <w:ind w:right="20"/>
        <w:rPr>
          <w:rFonts w:eastAsia="Times New Roman"/>
          <w:szCs w:val="24"/>
        </w:rPr>
      </w:pPr>
      <w:r w:rsidRPr="00244BB9">
        <w:rPr>
          <w:rFonts w:eastAsia="Times New Roman"/>
          <w:szCs w:val="24"/>
        </w:rPr>
        <w:t>Konflikt zájmů a zájmové skupiny</w:t>
      </w:r>
    </w:p>
    <w:p w14:paraId="6DE82D01" w14:textId="77777777" w:rsidR="00D6370C" w:rsidRPr="00244BB9" w:rsidRDefault="00D6370C" w:rsidP="00D46B53">
      <w:pPr>
        <w:numPr>
          <w:ilvl w:val="0"/>
          <w:numId w:val="664"/>
        </w:numPr>
        <w:ind w:right="20"/>
        <w:rPr>
          <w:rFonts w:eastAsia="Times New Roman"/>
          <w:szCs w:val="24"/>
        </w:rPr>
      </w:pPr>
      <w:r w:rsidRPr="00244BB9">
        <w:rPr>
          <w:rFonts w:eastAsia="Times New Roman"/>
          <w:szCs w:val="24"/>
        </w:rPr>
        <w:t>Maření prodeje → 8 tis. nezaplacených dražeb (růst dražebních jistin → celkově cca 5 mld. Kč propadlo státu)</w:t>
      </w:r>
    </w:p>
    <w:p w14:paraId="4A6F5289" w14:textId="77777777" w:rsidR="008E0F74" w:rsidRPr="00FC3B7C" w:rsidRDefault="008E0F74">
      <w:pPr>
        <w:spacing w:line="371" w:lineRule="exact"/>
        <w:rPr>
          <w:sz w:val="20"/>
          <w:szCs w:val="20"/>
        </w:rPr>
      </w:pPr>
    </w:p>
    <w:p w14:paraId="4A6F528A" w14:textId="77777777" w:rsidR="008E0F74" w:rsidRPr="00C24093" w:rsidRDefault="00256F29" w:rsidP="006F3627">
      <w:pPr>
        <w:pStyle w:val="Nadpis4"/>
        <w:rPr>
          <w:color w:val="1F3864" w:themeColor="accent1" w:themeShade="80"/>
          <w:sz w:val="20"/>
          <w:szCs w:val="20"/>
        </w:rPr>
      </w:pPr>
      <w:r w:rsidRPr="00C24093">
        <w:rPr>
          <w:rFonts w:eastAsia="Times New Roman"/>
          <w:color w:val="1F3864" w:themeColor="accent1" w:themeShade="80"/>
        </w:rPr>
        <w:t>Průběh malé privatizace</w:t>
      </w:r>
    </w:p>
    <w:p w14:paraId="4A6F528B" w14:textId="77777777" w:rsidR="008E0F74" w:rsidRPr="00FC3B7C" w:rsidRDefault="008E0F74">
      <w:pPr>
        <w:spacing w:line="268" w:lineRule="exact"/>
        <w:rPr>
          <w:sz w:val="20"/>
          <w:szCs w:val="20"/>
        </w:rPr>
      </w:pPr>
    </w:p>
    <w:p w14:paraId="4A6F528C" w14:textId="77777777" w:rsidR="008E0F74" w:rsidRPr="00FC3B7C" w:rsidRDefault="00256F29" w:rsidP="006F3627">
      <w:pPr>
        <w:rPr>
          <w:sz w:val="20"/>
          <w:szCs w:val="20"/>
        </w:rPr>
      </w:pPr>
      <w:r w:rsidRPr="00FC3B7C">
        <w:rPr>
          <w:rFonts w:eastAsia="Times New Roman"/>
        </w:rPr>
        <w:t>Kvůli administrování malé privatizace vznikly tzv. okresní privatizační komise. Ty měly za úkol vytvořit seznamy podniků vhodných k privatizaci v daném okrese a uložit podnikům za úkol vytvoření „karty“, která nesla základní informace o prodávaném podniku.</w:t>
      </w:r>
    </w:p>
    <w:p w14:paraId="4A6F528D" w14:textId="77777777" w:rsidR="008E0F74" w:rsidRPr="00244BB9" w:rsidRDefault="00256F29" w:rsidP="006F3627">
      <w:pPr>
        <w:rPr>
          <w:sz w:val="20"/>
          <w:szCs w:val="20"/>
        </w:rPr>
      </w:pPr>
      <w:r w:rsidRPr="00244BB9">
        <w:rPr>
          <w:rFonts w:eastAsia="Times New Roman"/>
        </w:rPr>
        <w:t>Tyto seznamy pak předložila komise MSNMP, a pokud byly schváleny, tak měla komise zajistit administraci a vyhlášení veřejných dražeb.</w:t>
      </w:r>
    </w:p>
    <w:p w14:paraId="4A6F528E" w14:textId="3BB5BD94" w:rsidR="008E0F74" w:rsidRPr="00244BB9" w:rsidRDefault="00256F29" w:rsidP="006F3627">
      <w:pPr>
        <w:rPr>
          <w:sz w:val="20"/>
          <w:szCs w:val="20"/>
        </w:rPr>
      </w:pPr>
      <w:r w:rsidRPr="00244BB9">
        <w:rPr>
          <w:rFonts w:eastAsia="Times New Roman"/>
        </w:rPr>
        <w:t xml:space="preserve">Na konci procesu stálo předání majetku podniku vydražiteli. </w:t>
      </w:r>
      <w:r w:rsidR="005F2775" w:rsidRPr="00244BB9">
        <w:rPr>
          <w:rFonts w:eastAsia="Times New Roman"/>
        </w:rPr>
        <w:t xml:space="preserve">Proběhlo </w:t>
      </w:r>
      <w:r w:rsidR="005F2775" w:rsidRPr="00244BB9">
        <w:rPr>
          <w:rFonts w:eastAsia="Times New Roman"/>
          <w:szCs w:val="24"/>
        </w:rPr>
        <w:t xml:space="preserve">přibližně 32 tis. dražeb. Příjem </w:t>
      </w:r>
      <w:r w:rsidR="00D6370C" w:rsidRPr="00244BB9">
        <w:rPr>
          <w:rFonts w:eastAsia="Times New Roman"/>
          <w:szCs w:val="24"/>
        </w:rPr>
        <w:t>z prodaného majetku cca 32 mld. Kč (celkem 52 mld. Kč včetně úroků a propadnutých jistin k roku 2015)</w:t>
      </w:r>
      <w:r w:rsidR="005F2775" w:rsidRPr="00244BB9">
        <w:rPr>
          <w:rFonts w:eastAsia="Times New Roman"/>
          <w:szCs w:val="24"/>
        </w:rPr>
        <w:t xml:space="preserve">. </w:t>
      </w:r>
      <w:r w:rsidRPr="00244BB9">
        <w:rPr>
          <w:rFonts w:eastAsia="Times New Roman"/>
        </w:rPr>
        <w:t>Problémem bylo, že většina domácností neměla na počátku privatizace významnější úspory, takže byl proces financován de facto na dluh, což mělo později vliv na problémy v bankovním sektoru.</w:t>
      </w:r>
    </w:p>
    <w:p w14:paraId="4A6F528F" w14:textId="2B280A61" w:rsidR="008E0F74" w:rsidRPr="00D6370C" w:rsidRDefault="00D6370C" w:rsidP="00D6370C">
      <w:pPr>
        <w:ind w:right="20"/>
        <w:rPr>
          <w:rFonts w:eastAsia="Times New Roman"/>
          <w:color w:val="FF0000"/>
          <w:szCs w:val="24"/>
        </w:rPr>
      </w:pPr>
      <w:r w:rsidRPr="00244BB9">
        <w:rPr>
          <w:rFonts w:eastAsia="Times New Roman"/>
          <w:szCs w:val="24"/>
        </w:rPr>
        <w:t xml:space="preserve">Na nového majitele přecházely pouze movité a nemovité věci, nikoliv závazky, ty </w:t>
      </w:r>
      <w:r w:rsidR="00256F29" w:rsidRPr="00244BB9">
        <w:rPr>
          <w:rFonts w:eastAsia="Times New Roman"/>
        </w:rPr>
        <w:t xml:space="preserve">si ponechával stát, jenž závazky těchto organizací soustřeďoval na zvláštní účet, který byl později zlikvidován (viz níže). Tento aspekt také představoval hlavní </w:t>
      </w:r>
      <w:r w:rsidR="00256F29" w:rsidRPr="00FC3B7C">
        <w:rPr>
          <w:rFonts w:eastAsia="Times New Roman"/>
        </w:rPr>
        <w:t xml:space="preserve">rozdíl mezi malou a pozdější velkou privatizací, kde již na nabyvatele přecházely i závazky privatizovaných jednotek. Někdy bývá malá privatizace chybně interpretována jako malá proto, že by v jejím rámci šlo výhradně o prodej malých jednotek. Jedná se však o všeobecně rozšířený omyl, neboť žádný limit, stanovující maximální možnou velikost prodávané privatizační jednotky, formálně stanoven nebyl a záleželo tak pouze na </w:t>
      </w:r>
      <w:r w:rsidR="006F3627">
        <w:rPr>
          <w:rFonts w:eastAsia="Times New Roman"/>
        </w:rPr>
        <w:t>n</w:t>
      </w:r>
      <w:r w:rsidR="00256F29" w:rsidRPr="00FC3B7C">
        <w:rPr>
          <w:rFonts w:eastAsia="Times New Roman"/>
        </w:rPr>
        <w:t>ávrhu privatizačních komisích a schválení ministerstva privatizace, jaký majetek bude touto formou v aukci dražen.</w:t>
      </w:r>
    </w:p>
    <w:p w14:paraId="4A6F5291" w14:textId="77777777" w:rsidR="008E0F74" w:rsidRPr="00FC3B7C" w:rsidRDefault="008E0F74">
      <w:pPr>
        <w:spacing w:line="200" w:lineRule="exact"/>
        <w:rPr>
          <w:sz w:val="20"/>
          <w:szCs w:val="20"/>
        </w:rPr>
      </w:pPr>
    </w:p>
    <w:p w14:paraId="4A6F5292" w14:textId="77777777" w:rsidR="008E0F74" w:rsidRPr="00FC3B7C" w:rsidRDefault="008E0F74">
      <w:pPr>
        <w:spacing w:line="200" w:lineRule="exact"/>
        <w:rPr>
          <w:sz w:val="20"/>
          <w:szCs w:val="20"/>
        </w:rPr>
      </w:pPr>
    </w:p>
    <w:p w14:paraId="4A6F5293" w14:textId="7BC7FACE" w:rsidR="008E0F74" w:rsidRPr="00FC3B7C" w:rsidRDefault="00C24093" w:rsidP="009309DD">
      <w:pPr>
        <w:pStyle w:val="Nadpis3"/>
        <w:rPr>
          <w:sz w:val="20"/>
          <w:szCs w:val="20"/>
        </w:rPr>
      </w:pPr>
      <w:bookmarkStart w:id="452" w:name="page465"/>
      <w:bookmarkEnd w:id="452"/>
      <w:r>
        <w:rPr>
          <w:rFonts w:eastAsia="Times New Roman"/>
        </w:rPr>
        <w:lastRenderedPageBreak/>
        <w:t xml:space="preserve"> </w:t>
      </w:r>
      <w:r w:rsidR="00256F29" w:rsidRPr="00C24093">
        <w:rPr>
          <w:rFonts w:eastAsia="Times New Roman"/>
          <w:color w:val="1F3864" w:themeColor="accent1" w:themeShade="80"/>
        </w:rPr>
        <w:t>Velká privatizace</w:t>
      </w:r>
    </w:p>
    <w:p w14:paraId="4A6F5294" w14:textId="77777777" w:rsidR="008E0F74" w:rsidRPr="00FC3B7C" w:rsidRDefault="00256F29" w:rsidP="009309DD">
      <w:pPr>
        <w:rPr>
          <w:sz w:val="20"/>
          <w:szCs w:val="20"/>
        </w:rPr>
      </w:pPr>
      <w:r w:rsidRPr="00FC3B7C">
        <w:rPr>
          <w:rFonts w:eastAsia="Times New Roman"/>
        </w:rPr>
        <w:t>Ta měla na základě zvolené koncepce privatizace proběhnout co nejrychleji a masově, což mělo vést k rychlému zavedení tržních principů v ekonomice. Restrukturalizace podniků měla být ponechána až na nové vlastníky. Na počátku velké privatizace byly vytyčeny dva základní vcelku protikladné cíle. Na jedné straně mělo dojít k rychlé privatizaci podstatné části české ekonomiky, na straně druhé k uplatnění co největšího množství soutěžních prvků v průběhu privatizačního procesu.</w:t>
      </w:r>
    </w:p>
    <w:p w14:paraId="4A6F5295" w14:textId="77777777" w:rsidR="008E0F74" w:rsidRPr="00FC3B7C" w:rsidRDefault="008E0F74">
      <w:pPr>
        <w:spacing w:line="190" w:lineRule="exact"/>
        <w:rPr>
          <w:sz w:val="20"/>
          <w:szCs w:val="20"/>
        </w:rPr>
      </w:pPr>
    </w:p>
    <w:p w14:paraId="4A6F5296" w14:textId="77777777" w:rsidR="008E0F74" w:rsidRPr="00C24093" w:rsidRDefault="00256F29" w:rsidP="009309DD">
      <w:pPr>
        <w:pStyle w:val="Nadpis4"/>
        <w:rPr>
          <w:color w:val="1F3864" w:themeColor="accent1" w:themeShade="80"/>
          <w:sz w:val="20"/>
          <w:szCs w:val="20"/>
        </w:rPr>
      </w:pPr>
      <w:r w:rsidRPr="00C24093">
        <w:rPr>
          <w:rFonts w:eastAsia="Times New Roman"/>
          <w:color w:val="1F3864" w:themeColor="accent1" w:themeShade="80"/>
        </w:rPr>
        <w:t>Specifika velké privatizace</w:t>
      </w:r>
    </w:p>
    <w:p w14:paraId="4A6F5297" w14:textId="77777777" w:rsidR="008E0F74" w:rsidRPr="00FC3B7C" w:rsidRDefault="00256F29" w:rsidP="00D46B53">
      <w:pPr>
        <w:numPr>
          <w:ilvl w:val="0"/>
          <w:numId w:val="501"/>
        </w:numPr>
        <w:tabs>
          <w:tab w:val="left" w:pos="724"/>
        </w:tabs>
        <w:ind w:left="724" w:hanging="367"/>
        <w:rPr>
          <w:rFonts w:eastAsia="Arial"/>
          <w:szCs w:val="24"/>
        </w:rPr>
      </w:pPr>
      <w:r w:rsidRPr="00FC3B7C">
        <w:rPr>
          <w:rFonts w:eastAsia="Times New Roman"/>
          <w:szCs w:val="24"/>
        </w:rPr>
        <w:t>Odstátnění velkých podniků</w:t>
      </w:r>
    </w:p>
    <w:p w14:paraId="4A6F5298" w14:textId="77777777" w:rsidR="008E0F74" w:rsidRPr="00FC3B7C" w:rsidRDefault="00256F29" w:rsidP="00D46B53">
      <w:pPr>
        <w:numPr>
          <w:ilvl w:val="0"/>
          <w:numId w:val="501"/>
        </w:numPr>
        <w:tabs>
          <w:tab w:val="left" w:pos="724"/>
        </w:tabs>
        <w:ind w:left="724" w:hanging="367"/>
        <w:rPr>
          <w:rFonts w:eastAsia="Arial"/>
          <w:szCs w:val="24"/>
        </w:rPr>
      </w:pPr>
      <w:r w:rsidRPr="00FC3B7C">
        <w:rPr>
          <w:rFonts w:eastAsia="Times New Roman"/>
          <w:szCs w:val="24"/>
        </w:rPr>
        <w:t>Masový prodej či převod obrovských objemů majetku</w:t>
      </w:r>
    </w:p>
    <w:p w14:paraId="4A6F5299" w14:textId="77777777" w:rsidR="008E0F74" w:rsidRPr="00FC3B7C" w:rsidRDefault="00256F29" w:rsidP="00D46B53">
      <w:pPr>
        <w:numPr>
          <w:ilvl w:val="0"/>
          <w:numId w:val="501"/>
        </w:numPr>
        <w:tabs>
          <w:tab w:val="left" w:pos="724"/>
        </w:tabs>
        <w:ind w:left="724" w:right="20" w:hanging="367"/>
        <w:rPr>
          <w:rFonts w:eastAsia="Arial"/>
          <w:szCs w:val="24"/>
        </w:rPr>
      </w:pPr>
      <w:r w:rsidRPr="00FC3B7C">
        <w:rPr>
          <w:rFonts w:eastAsia="Times New Roman"/>
          <w:szCs w:val="24"/>
        </w:rPr>
        <w:t>Více metod prodeje majetku - dražba, veřejná soutěž, přímý prodej, bezúplatný převod a kuponová metoda</w:t>
      </w:r>
    </w:p>
    <w:p w14:paraId="4A6F529A" w14:textId="77777777" w:rsidR="008E0F74" w:rsidRPr="00FC3B7C" w:rsidRDefault="00256F29" w:rsidP="00D46B53">
      <w:pPr>
        <w:numPr>
          <w:ilvl w:val="0"/>
          <w:numId w:val="501"/>
        </w:numPr>
        <w:tabs>
          <w:tab w:val="left" w:pos="724"/>
        </w:tabs>
        <w:ind w:left="724" w:hanging="367"/>
        <w:rPr>
          <w:rFonts w:eastAsia="Arial"/>
          <w:szCs w:val="24"/>
        </w:rPr>
      </w:pPr>
      <w:r w:rsidRPr="00FC3B7C">
        <w:rPr>
          <w:rFonts w:eastAsia="Times New Roman"/>
          <w:szCs w:val="24"/>
        </w:rPr>
        <w:t>Na nového nabyvatele přecházela nejen aktiva, ale i pasiva podniků</w:t>
      </w:r>
    </w:p>
    <w:p w14:paraId="4A6F529B" w14:textId="77777777" w:rsidR="008E0F74" w:rsidRPr="00FC3B7C" w:rsidRDefault="00256F29" w:rsidP="00D46B53">
      <w:pPr>
        <w:numPr>
          <w:ilvl w:val="0"/>
          <w:numId w:val="501"/>
        </w:numPr>
        <w:tabs>
          <w:tab w:val="left" w:pos="724"/>
        </w:tabs>
        <w:ind w:left="724" w:right="20" w:hanging="367"/>
        <w:rPr>
          <w:rFonts w:eastAsia="Arial"/>
          <w:szCs w:val="24"/>
        </w:rPr>
      </w:pPr>
      <w:r w:rsidRPr="00FC3B7C">
        <w:rPr>
          <w:rFonts w:eastAsia="Times New Roman"/>
          <w:szCs w:val="24"/>
        </w:rPr>
        <w:t xml:space="preserve">Pokud byla privatizace prováděna jinou než kuponovou metodou, byli si zahraniční </w:t>
      </w:r>
      <w:r w:rsidR="009309DD">
        <w:rPr>
          <w:rFonts w:eastAsia="Times New Roman"/>
          <w:szCs w:val="24"/>
        </w:rPr>
        <w:br/>
      </w:r>
      <w:r w:rsidRPr="00FC3B7C">
        <w:rPr>
          <w:rFonts w:eastAsia="Times New Roman"/>
          <w:szCs w:val="24"/>
        </w:rPr>
        <w:t>i domácí zájemci rovni</w:t>
      </w:r>
    </w:p>
    <w:p w14:paraId="4A6F529C" w14:textId="77777777" w:rsidR="008E0F74" w:rsidRPr="00FC3B7C" w:rsidRDefault="00256F29" w:rsidP="00D46B53">
      <w:pPr>
        <w:numPr>
          <w:ilvl w:val="0"/>
          <w:numId w:val="501"/>
        </w:numPr>
        <w:tabs>
          <w:tab w:val="left" w:pos="724"/>
        </w:tabs>
        <w:ind w:left="724" w:right="20" w:hanging="367"/>
        <w:rPr>
          <w:rFonts w:eastAsia="Arial"/>
          <w:szCs w:val="24"/>
        </w:rPr>
      </w:pPr>
      <w:r w:rsidRPr="00FC3B7C">
        <w:rPr>
          <w:rFonts w:eastAsia="Times New Roman"/>
          <w:szCs w:val="24"/>
        </w:rPr>
        <w:t>Privatizovány byly veškeré majetkové hodnoty, ne pouze hmotné věci jako v případě malé privatizace</w:t>
      </w:r>
    </w:p>
    <w:p w14:paraId="4A6F529E" w14:textId="77777777" w:rsidR="008E0F74" w:rsidRPr="00FC3B7C" w:rsidRDefault="00256F29" w:rsidP="00D46B53">
      <w:pPr>
        <w:numPr>
          <w:ilvl w:val="0"/>
          <w:numId w:val="501"/>
        </w:numPr>
        <w:tabs>
          <w:tab w:val="left" w:pos="724"/>
        </w:tabs>
        <w:ind w:left="724" w:right="20" w:hanging="367"/>
        <w:rPr>
          <w:rFonts w:eastAsia="Arial"/>
          <w:szCs w:val="24"/>
        </w:rPr>
      </w:pPr>
      <w:r w:rsidRPr="00FC3B7C">
        <w:rPr>
          <w:rFonts w:eastAsia="Times New Roman"/>
          <w:szCs w:val="24"/>
        </w:rPr>
        <w:t>Federální zákon o velké privatizaci č. 92/1991 Sb. o podmínkách převodu majetku státu na jiné osoby</w:t>
      </w:r>
    </w:p>
    <w:p w14:paraId="4A6F529F" w14:textId="77777777" w:rsidR="008E0F74" w:rsidRPr="00FC3B7C" w:rsidRDefault="00256F29" w:rsidP="00D46B53">
      <w:pPr>
        <w:numPr>
          <w:ilvl w:val="0"/>
          <w:numId w:val="501"/>
        </w:numPr>
        <w:tabs>
          <w:tab w:val="left" w:pos="724"/>
        </w:tabs>
        <w:ind w:left="724" w:hanging="367"/>
        <w:rPr>
          <w:rFonts w:eastAsia="Arial"/>
          <w:szCs w:val="24"/>
        </w:rPr>
      </w:pPr>
      <w:r w:rsidRPr="00FC3B7C">
        <w:rPr>
          <w:rFonts w:eastAsia="Times New Roman"/>
          <w:szCs w:val="24"/>
        </w:rPr>
        <w:t>Zákon České národní rady č. 171/1991 Sb. o působnosti orgánů České republiky ve</w:t>
      </w:r>
    </w:p>
    <w:p w14:paraId="4A6F52A0" w14:textId="77777777" w:rsidR="008E0F74" w:rsidRPr="00244BB9" w:rsidRDefault="00256F29" w:rsidP="009309DD">
      <w:pPr>
        <w:ind w:left="724" w:right="20"/>
        <w:rPr>
          <w:rFonts w:eastAsia="Arial"/>
          <w:szCs w:val="24"/>
        </w:rPr>
      </w:pPr>
      <w:r w:rsidRPr="00FC3B7C">
        <w:rPr>
          <w:rFonts w:eastAsia="Times New Roman"/>
          <w:szCs w:val="24"/>
        </w:rPr>
        <w:t xml:space="preserve">věcech převodu majetku státu na jiné osoby a o Fondu národního majetku České </w:t>
      </w:r>
      <w:r w:rsidRPr="00244BB9">
        <w:rPr>
          <w:rFonts w:eastAsia="Times New Roman"/>
          <w:szCs w:val="24"/>
        </w:rPr>
        <w:t>republiky</w:t>
      </w:r>
      <w:r w:rsidR="009309DD" w:rsidRPr="00244BB9">
        <w:rPr>
          <w:rStyle w:val="Znakapoznpodarou"/>
          <w:rFonts w:eastAsia="Arial"/>
          <w:szCs w:val="24"/>
        </w:rPr>
        <w:footnoteReference w:id="46"/>
      </w:r>
    </w:p>
    <w:p w14:paraId="4A6F52A1" w14:textId="13FA4C3A" w:rsidR="008E0F74" w:rsidRPr="00244BB9" w:rsidRDefault="00256F29" w:rsidP="00D46B53">
      <w:pPr>
        <w:numPr>
          <w:ilvl w:val="0"/>
          <w:numId w:val="501"/>
        </w:numPr>
        <w:tabs>
          <w:tab w:val="left" w:pos="724"/>
        </w:tabs>
        <w:ind w:left="724" w:hanging="367"/>
        <w:rPr>
          <w:rFonts w:eastAsia="Arial"/>
          <w:szCs w:val="24"/>
        </w:rPr>
      </w:pPr>
      <w:r w:rsidRPr="00244BB9">
        <w:rPr>
          <w:rFonts w:eastAsia="Times New Roman"/>
          <w:szCs w:val="24"/>
        </w:rPr>
        <w:t>Nezdařila se, pouze 10% majetku se vrátilo do státního rozpočtu</w:t>
      </w:r>
    </w:p>
    <w:p w14:paraId="044B00ED" w14:textId="138531AA" w:rsidR="005F2775" w:rsidRPr="00244BB9" w:rsidRDefault="005F2775" w:rsidP="00D46B53">
      <w:pPr>
        <w:numPr>
          <w:ilvl w:val="0"/>
          <w:numId w:val="501"/>
        </w:numPr>
        <w:tabs>
          <w:tab w:val="left" w:pos="724"/>
        </w:tabs>
        <w:ind w:left="724" w:hanging="367"/>
        <w:rPr>
          <w:rFonts w:eastAsia="Arial"/>
          <w:szCs w:val="24"/>
        </w:rPr>
      </w:pPr>
      <w:r w:rsidRPr="00244BB9">
        <w:rPr>
          <w:rFonts w:eastAsia="Arial"/>
          <w:szCs w:val="24"/>
        </w:rPr>
        <w:t>Příjem státu z Velké privatizace cca 852 mld. Kč (k r. 2015; zahrnuje příjem z prodaného majetku + dividendy + úroky atd.)</w:t>
      </w:r>
    </w:p>
    <w:p w14:paraId="4A6F52A2" w14:textId="77777777" w:rsidR="008E0F74" w:rsidRPr="00244BB9" w:rsidRDefault="008E0F74">
      <w:pPr>
        <w:spacing w:line="261" w:lineRule="exact"/>
        <w:rPr>
          <w:sz w:val="20"/>
          <w:szCs w:val="20"/>
        </w:rPr>
      </w:pPr>
    </w:p>
    <w:p w14:paraId="4A6F52A3" w14:textId="77777777" w:rsidR="008E0F74" w:rsidRPr="00FC3B7C" w:rsidRDefault="00256F29">
      <w:pPr>
        <w:spacing w:line="376" w:lineRule="auto"/>
        <w:ind w:left="4" w:right="20"/>
        <w:rPr>
          <w:sz w:val="20"/>
          <w:szCs w:val="20"/>
        </w:rPr>
      </w:pPr>
      <w:r w:rsidRPr="00244BB9">
        <w:rPr>
          <w:rFonts w:eastAsia="Times New Roman"/>
          <w:szCs w:val="24"/>
        </w:rPr>
        <w:t xml:space="preserve">Na počátku privatizace stála snaha o sepsání seznamů veškerého </w:t>
      </w:r>
      <w:r w:rsidRPr="00FC3B7C">
        <w:rPr>
          <w:rFonts w:eastAsia="Times New Roman"/>
          <w:szCs w:val="24"/>
        </w:rPr>
        <w:t>majetku státu. Na základě něj pak MSNMP rozhodovalo, který majetek zařadí do privatizace a do které vlny a který majetek si ponechá.</w:t>
      </w:r>
    </w:p>
    <w:p w14:paraId="4A6F52A4" w14:textId="77777777" w:rsidR="008E0F74" w:rsidRPr="00C24093" w:rsidRDefault="00256F29" w:rsidP="009309DD">
      <w:pPr>
        <w:pStyle w:val="Nadpis4"/>
        <w:rPr>
          <w:color w:val="1F3864" w:themeColor="accent1" w:themeShade="80"/>
          <w:sz w:val="20"/>
          <w:szCs w:val="20"/>
        </w:rPr>
      </w:pPr>
      <w:bookmarkStart w:id="453" w:name="page466"/>
      <w:bookmarkEnd w:id="453"/>
      <w:r w:rsidRPr="00C24093">
        <w:rPr>
          <w:rFonts w:eastAsia="Times New Roman"/>
          <w:color w:val="1F3864" w:themeColor="accent1" w:themeShade="80"/>
        </w:rPr>
        <w:t>Privatizační projekt</w:t>
      </w:r>
    </w:p>
    <w:p w14:paraId="4A6F52A5" w14:textId="77777777" w:rsidR="008E0F74" w:rsidRPr="00FC3B7C" w:rsidRDefault="00256F29" w:rsidP="009309DD">
      <w:pPr>
        <w:rPr>
          <w:sz w:val="20"/>
          <w:szCs w:val="20"/>
        </w:rPr>
      </w:pPr>
      <w:r w:rsidRPr="00FC3B7C">
        <w:rPr>
          <w:rFonts w:eastAsia="Times New Roman"/>
          <w:szCs w:val="24"/>
        </w:rPr>
        <w:t>Ústřední dokument, podle kterého byla velká privatizace organizována</w:t>
      </w:r>
    </w:p>
    <w:p w14:paraId="4A6F52A6" w14:textId="77777777" w:rsidR="008E0F74" w:rsidRPr="00FC3B7C" w:rsidRDefault="00256F29" w:rsidP="00D46B53">
      <w:pPr>
        <w:numPr>
          <w:ilvl w:val="0"/>
          <w:numId w:val="502"/>
        </w:numPr>
        <w:tabs>
          <w:tab w:val="left" w:pos="720"/>
        </w:tabs>
        <w:ind w:left="720" w:hanging="367"/>
        <w:rPr>
          <w:rFonts w:eastAsia="Arial"/>
          <w:szCs w:val="24"/>
        </w:rPr>
      </w:pPr>
      <w:r w:rsidRPr="00FC3B7C">
        <w:rPr>
          <w:rFonts w:eastAsia="Times New Roman"/>
          <w:szCs w:val="24"/>
        </w:rPr>
        <w:lastRenderedPageBreak/>
        <w:t>Vymezovaly privatizovaný majetek státu</w:t>
      </w:r>
    </w:p>
    <w:p w14:paraId="4A6F52A7" w14:textId="77777777" w:rsidR="008E0F74" w:rsidRPr="00FC3B7C" w:rsidRDefault="00256F29" w:rsidP="00D46B53">
      <w:pPr>
        <w:numPr>
          <w:ilvl w:val="0"/>
          <w:numId w:val="502"/>
        </w:numPr>
        <w:tabs>
          <w:tab w:val="left" w:pos="720"/>
        </w:tabs>
        <w:ind w:left="720" w:hanging="367"/>
        <w:rPr>
          <w:rFonts w:eastAsia="Arial"/>
          <w:szCs w:val="24"/>
        </w:rPr>
      </w:pPr>
      <w:r w:rsidRPr="00FC3B7C">
        <w:rPr>
          <w:rFonts w:eastAsia="Times New Roman"/>
          <w:szCs w:val="24"/>
        </w:rPr>
        <w:t>Způsob privatizace</w:t>
      </w:r>
    </w:p>
    <w:p w14:paraId="4A6F52A8" w14:textId="77777777" w:rsidR="008E0F74" w:rsidRPr="00FC3B7C" w:rsidRDefault="00256F29" w:rsidP="00D46B53">
      <w:pPr>
        <w:numPr>
          <w:ilvl w:val="0"/>
          <w:numId w:val="502"/>
        </w:numPr>
        <w:tabs>
          <w:tab w:val="left" w:pos="720"/>
        </w:tabs>
        <w:ind w:left="720" w:hanging="367"/>
        <w:rPr>
          <w:rFonts w:eastAsia="Arial"/>
          <w:szCs w:val="24"/>
        </w:rPr>
      </w:pPr>
      <w:r w:rsidRPr="00FC3B7C">
        <w:rPr>
          <w:rFonts w:eastAsia="Times New Roman"/>
          <w:szCs w:val="24"/>
        </w:rPr>
        <w:t>Právní formu zakládané společnosti</w:t>
      </w:r>
    </w:p>
    <w:p w14:paraId="4A6F52A9" w14:textId="77777777" w:rsidR="008E0F74" w:rsidRPr="00FC3B7C" w:rsidRDefault="00256F29" w:rsidP="00D46B53">
      <w:pPr>
        <w:numPr>
          <w:ilvl w:val="0"/>
          <w:numId w:val="502"/>
        </w:numPr>
        <w:tabs>
          <w:tab w:val="left" w:pos="720"/>
        </w:tabs>
        <w:ind w:left="720" w:hanging="367"/>
        <w:rPr>
          <w:rFonts w:eastAsia="Arial"/>
          <w:szCs w:val="24"/>
        </w:rPr>
      </w:pPr>
      <w:r w:rsidRPr="00FC3B7C">
        <w:rPr>
          <w:rFonts w:eastAsia="Times New Roman"/>
          <w:szCs w:val="24"/>
        </w:rPr>
        <w:t>Kolik akcií bude použito v kuponové metodě atp.</w:t>
      </w:r>
    </w:p>
    <w:p w14:paraId="4A6F52AA" w14:textId="77777777" w:rsidR="008E0F74" w:rsidRPr="00FC3B7C" w:rsidRDefault="00256F29" w:rsidP="009309DD">
      <w:pPr>
        <w:rPr>
          <w:sz w:val="20"/>
          <w:szCs w:val="20"/>
        </w:rPr>
      </w:pPr>
      <w:r w:rsidRPr="00FC3B7C">
        <w:rPr>
          <w:rFonts w:eastAsia="Times New Roman"/>
          <w:b/>
          <w:bCs/>
          <w:szCs w:val="24"/>
        </w:rPr>
        <w:t>Existovaly privatizační projekty dvojího druhu:</w:t>
      </w:r>
    </w:p>
    <w:p w14:paraId="4A6F52AB" w14:textId="77777777" w:rsidR="008E0F74" w:rsidRPr="00FC3B7C" w:rsidRDefault="00256F29" w:rsidP="00D46B53">
      <w:pPr>
        <w:numPr>
          <w:ilvl w:val="0"/>
          <w:numId w:val="503"/>
        </w:numPr>
        <w:tabs>
          <w:tab w:val="left" w:pos="480"/>
        </w:tabs>
        <w:ind w:left="480" w:hanging="368"/>
        <w:rPr>
          <w:rFonts w:eastAsia="Times New Roman"/>
          <w:b/>
          <w:bCs/>
          <w:szCs w:val="24"/>
        </w:rPr>
      </w:pPr>
      <w:r w:rsidRPr="00FC3B7C">
        <w:rPr>
          <w:rFonts w:eastAsia="Times New Roman"/>
          <w:szCs w:val="24"/>
        </w:rPr>
        <w:t>Základní privatizační projekt, který měl povinnost sestavit management státních firem</w:t>
      </w:r>
    </w:p>
    <w:p w14:paraId="4A6F52AC" w14:textId="77777777" w:rsidR="008E0F74" w:rsidRPr="00FC3B7C" w:rsidRDefault="00256F29" w:rsidP="00D46B53">
      <w:pPr>
        <w:numPr>
          <w:ilvl w:val="0"/>
          <w:numId w:val="503"/>
        </w:numPr>
        <w:tabs>
          <w:tab w:val="left" w:pos="480"/>
        </w:tabs>
        <w:ind w:left="480" w:right="20" w:hanging="368"/>
        <w:rPr>
          <w:rFonts w:eastAsia="Times New Roman"/>
          <w:b/>
          <w:bCs/>
          <w:szCs w:val="24"/>
        </w:rPr>
      </w:pPr>
      <w:r w:rsidRPr="00FC3B7C">
        <w:rPr>
          <w:rFonts w:eastAsia="Times New Roman"/>
          <w:szCs w:val="24"/>
        </w:rPr>
        <w:t>Konkurenční privatizační projekt, který mohl předložit kdokoliv. Na rozdíl od základního projektu mohl být také napsán na jednotlivé části firem, nikoliv na celek.</w:t>
      </w:r>
    </w:p>
    <w:p w14:paraId="4A6F52AD" w14:textId="77777777" w:rsidR="008E0F74" w:rsidRPr="00FC3B7C" w:rsidRDefault="00256F29" w:rsidP="009309DD">
      <w:pPr>
        <w:ind w:right="20"/>
        <w:rPr>
          <w:sz w:val="20"/>
          <w:szCs w:val="20"/>
        </w:rPr>
      </w:pPr>
      <w:r w:rsidRPr="00FC3B7C">
        <w:rPr>
          <w:rFonts w:eastAsia="Times New Roman"/>
          <w:szCs w:val="24"/>
        </w:rPr>
        <w:t>Existence konkurenčních projektů měla do procesu privatizace zařadit prvek konkurence, ovšem je jasné, že „insideři“ měli velkou výhodu při psaní projektu. Navíc bránili outsiderům v získávání informací, což bylo možno pouze v první vlně, později upraveno zákonem.</w:t>
      </w:r>
    </w:p>
    <w:p w14:paraId="4A6F52AE" w14:textId="77777777" w:rsidR="008E0F74" w:rsidRPr="00FC3B7C" w:rsidRDefault="00256F29" w:rsidP="009309DD">
      <w:pPr>
        <w:ind w:right="20"/>
        <w:rPr>
          <w:sz w:val="20"/>
          <w:szCs w:val="20"/>
        </w:rPr>
      </w:pPr>
      <w:r w:rsidRPr="00FC3B7C">
        <w:rPr>
          <w:rFonts w:eastAsia="Times New Roman"/>
          <w:szCs w:val="24"/>
        </w:rPr>
        <w:t>Výhodou outsiderů ale bylo, že si mohli vybrat pouze zdravé části podniku a na ně psát projekt. Pro každou navrženou jednotku pak mohla být navržena jedna z přípustných privatizačních metod. Většina podniků byla privatizována smíšeným způsobem, tedy kombinací níže uvedených metod:</w:t>
      </w:r>
    </w:p>
    <w:p w14:paraId="4A6F52AF" w14:textId="77777777" w:rsidR="008E0F74" w:rsidRPr="00FC3B7C" w:rsidRDefault="00256F29" w:rsidP="00D46B53">
      <w:pPr>
        <w:numPr>
          <w:ilvl w:val="0"/>
          <w:numId w:val="504"/>
        </w:numPr>
        <w:tabs>
          <w:tab w:val="left" w:pos="720"/>
        </w:tabs>
        <w:ind w:left="720" w:right="20" w:hanging="367"/>
        <w:rPr>
          <w:rFonts w:eastAsia="Arial"/>
          <w:szCs w:val="24"/>
        </w:rPr>
      </w:pPr>
      <w:r w:rsidRPr="00FC3B7C">
        <w:rPr>
          <w:rFonts w:eastAsia="Times New Roman"/>
          <w:szCs w:val="24"/>
        </w:rPr>
        <w:t>Přímý prodej předem určenému vlastníkovi- tedy bez veřejné soutěže, rozhodovalo se administrativně</w:t>
      </w:r>
    </w:p>
    <w:p w14:paraId="4A6F52B0" w14:textId="77777777" w:rsidR="008E0F74" w:rsidRPr="00FC3B7C" w:rsidRDefault="00256F29" w:rsidP="00D46B53">
      <w:pPr>
        <w:numPr>
          <w:ilvl w:val="0"/>
          <w:numId w:val="504"/>
        </w:numPr>
        <w:tabs>
          <w:tab w:val="left" w:pos="720"/>
        </w:tabs>
        <w:ind w:left="720" w:hanging="367"/>
        <w:rPr>
          <w:rFonts w:eastAsia="Arial"/>
          <w:szCs w:val="24"/>
        </w:rPr>
      </w:pPr>
      <w:r w:rsidRPr="00FC3B7C">
        <w:rPr>
          <w:rFonts w:eastAsia="Times New Roman"/>
          <w:szCs w:val="24"/>
        </w:rPr>
        <w:t>Veřejná aukce, kdy je jediným kritériem výběru cena</w:t>
      </w:r>
    </w:p>
    <w:p w14:paraId="4A6F52B1" w14:textId="77777777" w:rsidR="008E0F74" w:rsidRPr="00FC3B7C" w:rsidRDefault="00256F29" w:rsidP="00D46B53">
      <w:pPr>
        <w:numPr>
          <w:ilvl w:val="0"/>
          <w:numId w:val="504"/>
        </w:numPr>
        <w:tabs>
          <w:tab w:val="left" w:pos="720"/>
        </w:tabs>
        <w:ind w:left="720" w:hanging="367"/>
        <w:rPr>
          <w:rFonts w:eastAsia="Arial"/>
          <w:szCs w:val="24"/>
        </w:rPr>
      </w:pPr>
      <w:r w:rsidRPr="00FC3B7C">
        <w:rPr>
          <w:rFonts w:eastAsia="Times New Roman"/>
          <w:szCs w:val="24"/>
        </w:rPr>
        <w:t>Veřejná soutěž, kdy kromě ceny byly na zájemce kladeny i další požadavky</w:t>
      </w:r>
    </w:p>
    <w:p w14:paraId="4A6F52B2" w14:textId="77777777" w:rsidR="008E0F74" w:rsidRPr="00FC3B7C" w:rsidRDefault="00256F29" w:rsidP="00D46B53">
      <w:pPr>
        <w:numPr>
          <w:ilvl w:val="0"/>
          <w:numId w:val="504"/>
        </w:numPr>
        <w:tabs>
          <w:tab w:val="left" w:pos="720"/>
        </w:tabs>
        <w:ind w:left="720" w:right="20" w:hanging="367"/>
        <w:rPr>
          <w:rFonts w:eastAsia="Arial"/>
          <w:szCs w:val="24"/>
        </w:rPr>
      </w:pPr>
      <w:r w:rsidRPr="00FC3B7C">
        <w:rPr>
          <w:rFonts w:eastAsia="Times New Roman"/>
          <w:szCs w:val="24"/>
        </w:rPr>
        <w:t xml:space="preserve">Bezúplatný převod majetku (městům, obcím, fondům sociálního pojištění </w:t>
      </w:r>
      <w:r w:rsidR="009309DD">
        <w:rPr>
          <w:rFonts w:eastAsia="Times New Roman"/>
          <w:szCs w:val="24"/>
        </w:rPr>
        <w:br/>
      </w:r>
      <w:r w:rsidRPr="00FC3B7C">
        <w:rPr>
          <w:rFonts w:eastAsia="Times New Roman"/>
          <w:szCs w:val="24"/>
        </w:rPr>
        <w:t>a restituentům)</w:t>
      </w:r>
    </w:p>
    <w:p w14:paraId="4A6F52B3" w14:textId="77777777" w:rsidR="008E0F74" w:rsidRPr="00FC3B7C" w:rsidRDefault="00256F29" w:rsidP="00D46B53">
      <w:pPr>
        <w:numPr>
          <w:ilvl w:val="0"/>
          <w:numId w:val="504"/>
        </w:numPr>
        <w:tabs>
          <w:tab w:val="left" w:pos="720"/>
        </w:tabs>
        <w:ind w:left="720" w:hanging="367"/>
        <w:rPr>
          <w:rFonts w:eastAsia="Arial"/>
          <w:szCs w:val="24"/>
        </w:rPr>
      </w:pPr>
      <w:r w:rsidRPr="00FC3B7C">
        <w:rPr>
          <w:rFonts w:eastAsia="Times New Roman"/>
          <w:szCs w:val="24"/>
        </w:rPr>
        <w:t>Dočasné ponechání majetku ve FNM, pokud bylo třeba, dostatečný čas</w:t>
      </w:r>
    </w:p>
    <w:p w14:paraId="4A6F52B4" w14:textId="77777777" w:rsidR="008E0F74" w:rsidRPr="00FC3B7C" w:rsidRDefault="00256F29" w:rsidP="00D46B53">
      <w:pPr>
        <w:numPr>
          <w:ilvl w:val="0"/>
          <w:numId w:val="504"/>
        </w:numPr>
        <w:tabs>
          <w:tab w:val="left" w:pos="720"/>
        </w:tabs>
        <w:ind w:left="720" w:right="20" w:hanging="367"/>
        <w:rPr>
          <w:rFonts w:eastAsia="Arial"/>
          <w:szCs w:val="24"/>
        </w:rPr>
      </w:pPr>
      <w:r w:rsidRPr="00FC3B7C">
        <w:rPr>
          <w:rFonts w:eastAsia="Times New Roman"/>
          <w:szCs w:val="24"/>
        </w:rPr>
        <w:t>Na nalezení a jednání s vhodným vlastníkem, nebo v případech, kdy chtěl stát podnik restrukturalizovat</w:t>
      </w:r>
    </w:p>
    <w:p w14:paraId="4A6F52B5" w14:textId="77777777" w:rsidR="008E0F74" w:rsidRPr="00FC3B7C" w:rsidRDefault="00256F29" w:rsidP="00D46B53">
      <w:pPr>
        <w:numPr>
          <w:ilvl w:val="0"/>
          <w:numId w:val="504"/>
        </w:numPr>
        <w:tabs>
          <w:tab w:val="left" w:pos="720"/>
        </w:tabs>
        <w:ind w:left="720" w:hanging="367"/>
        <w:rPr>
          <w:rFonts w:eastAsia="Arial"/>
          <w:szCs w:val="24"/>
        </w:rPr>
      </w:pPr>
      <w:r w:rsidRPr="00FC3B7C">
        <w:rPr>
          <w:rFonts w:eastAsia="Times New Roman"/>
          <w:szCs w:val="24"/>
        </w:rPr>
        <w:t>Použití zaměstnaneckých akcií (maximálně 10% privatizovaného majetku)</w:t>
      </w:r>
    </w:p>
    <w:p w14:paraId="4A6F52B6" w14:textId="77777777" w:rsidR="008E0F74" w:rsidRPr="00FC3B7C" w:rsidRDefault="008E0F74">
      <w:pPr>
        <w:spacing w:line="337" w:lineRule="exact"/>
        <w:rPr>
          <w:sz w:val="20"/>
          <w:szCs w:val="20"/>
        </w:rPr>
      </w:pPr>
    </w:p>
    <w:p w14:paraId="4A6F52B7" w14:textId="46369CC0" w:rsidR="008E0F74" w:rsidRPr="00FC3B7C" w:rsidRDefault="00256F29">
      <w:pPr>
        <w:spacing w:line="394" w:lineRule="auto"/>
        <w:ind w:right="20"/>
        <w:rPr>
          <w:sz w:val="20"/>
          <w:szCs w:val="20"/>
        </w:rPr>
      </w:pPr>
      <w:r w:rsidRPr="00FC3B7C">
        <w:rPr>
          <w:rFonts w:eastAsia="Times New Roman"/>
          <w:szCs w:val="24"/>
        </w:rPr>
        <w:t xml:space="preserve">(Ze seznamu jasně plyne, že kuponová metoda, je pouze jednou z metod velké privatizace. Často se zde chybuje u státnic </w:t>
      </w:r>
      <w:r w:rsidR="00124942">
        <w:rPr>
          <w:rFonts w:eastAsia="Times New Roman"/>
          <w:szCs w:val="24"/>
        </w:rPr>
        <w:t xml:space="preserve">- </w:t>
      </w:r>
      <w:r w:rsidRPr="00FC3B7C">
        <w:rPr>
          <w:rFonts w:eastAsia="Times New Roman"/>
          <w:szCs w:val="24"/>
        </w:rPr>
        <w:t>Kuponová metoda však není jediná metoda velké privatizace.)</w:t>
      </w:r>
    </w:p>
    <w:p w14:paraId="4A6F52B9" w14:textId="77777777" w:rsidR="008E0F74" w:rsidRPr="00FC3B7C" w:rsidRDefault="00256F29" w:rsidP="009309DD">
      <w:pPr>
        <w:pStyle w:val="Nadpis4"/>
        <w:rPr>
          <w:sz w:val="20"/>
          <w:szCs w:val="20"/>
        </w:rPr>
      </w:pPr>
      <w:bookmarkStart w:id="454" w:name="page467"/>
      <w:bookmarkEnd w:id="454"/>
      <w:r w:rsidRPr="00C24093">
        <w:rPr>
          <w:rFonts w:eastAsia="Times New Roman"/>
          <w:color w:val="1F3864" w:themeColor="accent1" w:themeShade="80"/>
        </w:rPr>
        <w:t>Proces velké privatizace</w:t>
      </w:r>
    </w:p>
    <w:p w14:paraId="4A6F52BA" w14:textId="77777777" w:rsidR="008E0F74" w:rsidRPr="00FC3B7C" w:rsidRDefault="008E0F74">
      <w:pPr>
        <w:spacing w:line="263" w:lineRule="exact"/>
        <w:rPr>
          <w:sz w:val="20"/>
          <w:szCs w:val="20"/>
        </w:rPr>
      </w:pPr>
    </w:p>
    <w:p w14:paraId="4A6F52BB" w14:textId="77777777" w:rsidR="008E0F74" w:rsidRPr="00FC3B7C" w:rsidRDefault="00256F29" w:rsidP="009309DD">
      <w:pPr>
        <w:rPr>
          <w:sz w:val="20"/>
          <w:szCs w:val="20"/>
        </w:rPr>
      </w:pPr>
      <w:r w:rsidRPr="00FC3B7C">
        <w:rPr>
          <w:rFonts w:eastAsia="Times New Roman"/>
        </w:rPr>
        <w:t xml:space="preserve">Pokud byl nějaký majetek zařazen na návrh Ministerstva privatizace na seznam určený </w:t>
      </w:r>
      <w:r w:rsidR="009309DD">
        <w:rPr>
          <w:rFonts w:eastAsia="Times New Roman"/>
        </w:rPr>
        <w:br/>
      </w:r>
      <w:r w:rsidRPr="00FC3B7C">
        <w:rPr>
          <w:rFonts w:eastAsia="Times New Roman"/>
        </w:rPr>
        <w:t xml:space="preserve">k privatizaci, management byl povinen napsat základní privatizační projekt. Kdokoliv mohl podat konkurenční projekt. Předložené projekty pak vyhodnotilo Ministerstvo privatizace. </w:t>
      </w:r>
      <w:r w:rsidR="009309DD">
        <w:rPr>
          <w:rFonts w:eastAsia="Times New Roman"/>
        </w:rPr>
        <w:br/>
      </w:r>
      <w:r w:rsidRPr="00FC3B7C">
        <w:rPr>
          <w:rFonts w:eastAsia="Times New Roman"/>
        </w:rPr>
        <w:lastRenderedPageBreak/>
        <w:t>To vydalo rozhodnutí o privatizaci (v případě přímých prodejů to činila vláda). Projekty pak realizovaly realizační instituce, tedy Fond národního majetku a Pozemkový fond. Opět pozor, realizace byla prováděna mnoha metodami, viz výše.</w:t>
      </w:r>
    </w:p>
    <w:p w14:paraId="4A6F52BC" w14:textId="77777777" w:rsidR="008E0F74" w:rsidRPr="00FC3B7C" w:rsidRDefault="008E0F74">
      <w:pPr>
        <w:spacing w:line="190" w:lineRule="exact"/>
        <w:rPr>
          <w:sz w:val="20"/>
          <w:szCs w:val="20"/>
        </w:rPr>
      </w:pPr>
    </w:p>
    <w:p w14:paraId="4A6F52BD" w14:textId="49FFD309" w:rsidR="008E0F74" w:rsidRPr="00C24093" w:rsidRDefault="00C24093" w:rsidP="009309DD">
      <w:pPr>
        <w:pStyle w:val="Nadpis3"/>
        <w:rPr>
          <w:color w:val="1F3864" w:themeColor="accent1" w:themeShade="80"/>
          <w:sz w:val="20"/>
          <w:szCs w:val="20"/>
        </w:rPr>
      </w:pPr>
      <w:r w:rsidRPr="00C24093">
        <w:rPr>
          <w:rFonts w:eastAsia="Times New Roman"/>
          <w:color w:val="1F3864" w:themeColor="accent1" w:themeShade="80"/>
        </w:rPr>
        <w:t xml:space="preserve"> </w:t>
      </w:r>
      <w:r w:rsidR="00256F29" w:rsidRPr="00C24093">
        <w:rPr>
          <w:rFonts w:eastAsia="Times New Roman"/>
          <w:color w:val="1F3864" w:themeColor="accent1" w:themeShade="80"/>
        </w:rPr>
        <w:t>Kuponová privatizace</w:t>
      </w:r>
    </w:p>
    <w:p w14:paraId="4A6F52BE" w14:textId="77777777" w:rsidR="008E0F74" w:rsidRPr="00FC3B7C" w:rsidRDefault="008E0F74">
      <w:pPr>
        <w:spacing w:line="200" w:lineRule="exact"/>
        <w:rPr>
          <w:sz w:val="20"/>
          <w:szCs w:val="20"/>
        </w:rPr>
      </w:pPr>
    </w:p>
    <w:p w14:paraId="4A6F52BF" w14:textId="77777777" w:rsidR="008E0F74" w:rsidRPr="00FC3B7C" w:rsidRDefault="00256F29" w:rsidP="009309DD">
      <w:pPr>
        <w:ind w:left="4" w:right="20"/>
        <w:rPr>
          <w:sz w:val="20"/>
          <w:szCs w:val="20"/>
        </w:rPr>
      </w:pPr>
      <w:r w:rsidRPr="00FC3B7C">
        <w:rPr>
          <w:rFonts w:eastAsia="Times New Roman"/>
          <w:szCs w:val="24"/>
        </w:rPr>
        <w:t>Specifická metoda pro Českou republiku (do jisté míry byla experimentem). Zvolena zejména v důsledku rozhodnutí o co nejrychlejší odstátnění majetku. Dominantní privatizační metoda (téměř 50% všech akcií bylo nabídnuto za kupony). Byla organizována do dvou vln:</w:t>
      </w:r>
    </w:p>
    <w:p w14:paraId="4A6F52C0" w14:textId="77777777" w:rsidR="008E0F74" w:rsidRPr="00FC3B7C" w:rsidRDefault="008E0F74" w:rsidP="009309DD">
      <w:pPr>
        <w:rPr>
          <w:sz w:val="20"/>
          <w:szCs w:val="20"/>
        </w:rPr>
      </w:pPr>
    </w:p>
    <w:p w14:paraId="4A6F52C1" w14:textId="5F97F270" w:rsidR="008E0F74" w:rsidRPr="00FC3B7C" w:rsidRDefault="00996B5C" w:rsidP="00D46B53">
      <w:pPr>
        <w:numPr>
          <w:ilvl w:val="0"/>
          <w:numId w:val="505"/>
        </w:numPr>
        <w:tabs>
          <w:tab w:val="left" w:pos="844"/>
        </w:tabs>
        <w:ind w:left="844" w:hanging="351"/>
        <w:rPr>
          <w:rFonts w:eastAsia="Times New Roman"/>
          <w:szCs w:val="24"/>
        </w:rPr>
      </w:pPr>
      <w:r w:rsidRPr="00FC3B7C">
        <w:rPr>
          <w:rFonts w:eastAsia="Times New Roman"/>
          <w:szCs w:val="24"/>
        </w:rPr>
        <w:t>vlna kupónové</w:t>
      </w:r>
      <w:r w:rsidR="00256F29" w:rsidRPr="00FC3B7C">
        <w:rPr>
          <w:rFonts w:eastAsia="Times New Roman"/>
          <w:szCs w:val="24"/>
        </w:rPr>
        <w:t xml:space="preserve"> privatizace- od února 1992, zúčastnilo se jí téměř 6 milionů občanů</w:t>
      </w:r>
    </w:p>
    <w:p w14:paraId="4A6F52C2" w14:textId="5F886765" w:rsidR="008E0F74" w:rsidRPr="009309DD" w:rsidRDefault="00996B5C" w:rsidP="00D46B53">
      <w:pPr>
        <w:numPr>
          <w:ilvl w:val="0"/>
          <w:numId w:val="505"/>
        </w:numPr>
        <w:tabs>
          <w:tab w:val="left" w:pos="844"/>
        </w:tabs>
        <w:ind w:left="844" w:right="20" w:hanging="351"/>
        <w:rPr>
          <w:rFonts w:eastAsia="Times New Roman"/>
          <w:szCs w:val="24"/>
        </w:rPr>
      </w:pPr>
      <w:r w:rsidRPr="00FC3B7C">
        <w:rPr>
          <w:rFonts w:eastAsia="Times New Roman"/>
          <w:szCs w:val="24"/>
        </w:rPr>
        <w:t>vlna kupónové</w:t>
      </w:r>
      <w:r w:rsidR="00256F29" w:rsidRPr="00FC3B7C">
        <w:rPr>
          <w:rFonts w:eastAsia="Times New Roman"/>
          <w:szCs w:val="24"/>
        </w:rPr>
        <w:t xml:space="preserve"> privatizace - od prosince 1993 do listopadu 1994 a zúčastni</w:t>
      </w:r>
      <w:r w:rsidR="009309DD">
        <w:rPr>
          <w:rFonts w:eastAsia="Times New Roman"/>
          <w:szCs w:val="24"/>
        </w:rPr>
        <w:t>lo se jí 6,16 milionů občanů ČR</w:t>
      </w:r>
    </w:p>
    <w:p w14:paraId="4A6F52C3" w14:textId="7272866F" w:rsidR="008E0F74" w:rsidRPr="00FC3B7C" w:rsidRDefault="00256F29" w:rsidP="009309DD">
      <w:pPr>
        <w:ind w:left="4" w:right="20"/>
        <w:rPr>
          <w:sz w:val="20"/>
          <w:szCs w:val="20"/>
        </w:rPr>
      </w:pPr>
      <w:r w:rsidRPr="00FC3B7C">
        <w:rPr>
          <w:rFonts w:eastAsia="Times New Roman"/>
          <w:szCs w:val="24"/>
        </w:rPr>
        <w:t>Ke stanovení technických podrobností procesu kuponové privatizace byla zmocněna federální vláda, která vydala nařízení vlády č. 544/1992 o vydávání a použití investičních kuponů. Po rozdělení federace přešlo zmocnění organizovat druhou vlnu kuponové privatizace na vládu České republiky</w:t>
      </w:r>
      <w:r w:rsidR="009309DD">
        <w:rPr>
          <w:rStyle w:val="Znakapoznpodarou"/>
          <w:rFonts w:eastAsia="Times New Roman"/>
          <w:szCs w:val="24"/>
        </w:rPr>
        <w:footnoteReference w:id="47"/>
      </w:r>
      <w:r w:rsidRPr="00FC3B7C">
        <w:rPr>
          <w:rFonts w:eastAsia="Times New Roman"/>
          <w:szCs w:val="24"/>
        </w:rPr>
        <w:t>.</w:t>
      </w:r>
    </w:p>
    <w:p w14:paraId="4A6F52C4" w14:textId="77777777" w:rsidR="008E0F74" w:rsidRPr="00FC3B7C" w:rsidRDefault="008E0F74">
      <w:pPr>
        <w:spacing w:line="143" w:lineRule="exact"/>
        <w:rPr>
          <w:sz w:val="20"/>
          <w:szCs w:val="20"/>
        </w:rPr>
      </w:pPr>
    </w:p>
    <w:p w14:paraId="4A6F52C5" w14:textId="5C1C6382" w:rsidR="008E0F74" w:rsidRPr="00C24093" w:rsidRDefault="00AB5C63" w:rsidP="00C24093">
      <w:pPr>
        <w:pStyle w:val="Nadpis4"/>
        <w:numPr>
          <w:ilvl w:val="0"/>
          <w:numId w:val="0"/>
        </w:numPr>
        <w:ind w:left="1432" w:hanging="864"/>
        <w:rPr>
          <w:color w:val="1F3864" w:themeColor="accent1" w:themeShade="80"/>
          <w:sz w:val="20"/>
          <w:szCs w:val="20"/>
        </w:rPr>
      </w:pPr>
      <w:r w:rsidRPr="00C24093">
        <w:rPr>
          <w:rFonts w:eastAsia="Times New Roman"/>
          <w:color w:val="1F3864" w:themeColor="accent1" w:themeShade="80"/>
        </w:rPr>
        <w:t>20</w:t>
      </w:r>
      <w:r w:rsidR="00C24093" w:rsidRPr="00C24093">
        <w:rPr>
          <w:rFonts w:eastAsia="Times New Roman"/>
          <w:color w:val="1F3864" w:themeColor="accent1" w:themeShade="80"/>
        </w:rPr>
        <w:t xml:space="preserve">.4.5.1 </w:t>
      </w:r>
      <w:r w:rsidR="00256F29" w:rsidRPr="00C24093">
        <w:rPr>
          <w:color w:val="1F3864" w:themeColor="accent1" w:themeShade="80"/>
          <w:sz w:val="20"/>
          <w:szCs w:val="20"/>
        </w:rPr>
        <w:tab/>
      </w:r>
      <w:r w:rsidR="00256F29" w:rsidRPr="00C24093">
        <w:rPr>
          <w:rFonts w:eastAsia="Times New Roman"/>
          <w:color w:val="1F3864" w:themeColor="accent1" w:themeShade="80"/>
        </w:rPr>
        <w:t>Proces kuponové privatizace</w:t>
      </w:r>
    </w:p>
    <w:p w14:paraId="4A6F52C6" w14:textId="77777777" w:rsidR="008E0F74" w:rsidRPr="00FC3B7C" w:rsidRDefault="008E0F74">
      <w:pPr>
        <w:spacing w:line="263" w:lineRule="exact"/>
        <w:rPr>
          <w:sz w:val="20"/>
          <w:szCs w:val="20"/>
        </w:rPr>
      </w:pPr>
    </w:p>
    <w:p w14:paraId="4A6F52C7" w14:textId="77777777" w:rsidR="008E0F74" w:rsidRPr="00FC3B7C" w:rsidRDefault="00256F29">
      <w:pPr>
        <w:ind w:left="4"/>
        <w:rPr>
          <w:sz w:val="20"/>
          <w:szCs w:val="20"/>
        </w:rPr>
      </w:pPr>
      <w:r w:rsidRPr="00FC3B7C">
        <w:rPr>
          <w:rFonts w:eastAsia="Times New Roman"/>
          <w:sz w:val="23"/>
          <w:szCs w:val="23"/>
        </w:rPr>
        <w:t>Na základě Ministerstvem privatizace schválených projektů Fond národního majetku založil a.</w:t>
      </w:r>
    </w:p>
    <w:p w14:paraId="4A6F52C8" w14:textId="03C91060" w:rsidR="008E0F74" w:rsidRDefault="00256F29" w:rsidP="00D46B53">
      <w:pPr>
        <w:numPr>
          <w:ilvl w:val="0"/>
          <w:numId w:val="506"/>
        </w:numPr>
        <w:tabs>
          <w:tab w:val="left" w:pos="235"/>
        </w:tabs>
        <w:spacing w:line="376" w:lineRule="auto"/>
        <w:ind w:left="4" w:right="20" w:hanging="4"/>
        <w:rPr>
          <w:rFonts w:eastAsia="Times New Roman"/>
          <w:szCs w:val="24"/>
        </w:rPr>
      </w:pPr>
      <w:r w:rsidRPr="009309DD">
        <w:rPr>
          <w:rFonts w:eastAsia="Times New Roman"/>
          <w:szCs w:val="24"/>
        </w:rPr>
        <w:t xml:space="preserve">a vložil do ní majetek, který na něj byl převeden z vlastnictví státu. (fond byl právnickou osobou). FNM pak předal tu část akcií, která byla určena ke kuponové metodě do střediska cenných papírů. Nejprve došlo k registraci investičních privatizačních fondů, kam mohli lidé investovat, pokud nechtěli investovat </w:t>
      </w:r>
      <w:r w:rsidR="00996B5C" w:rsidRPr="009309DD">
        <w:rPr>
          <w:rFonts w:eastAsia="Times New Roman"/>
          <w:szCs w:val="24"/>
        </w:rPr>
        <w:t>sami. Občan</w:t>
      </w:r>
      <w:r w:rsidRPr="009309DD">
        <w:rPr>
          <w:rFonts w:eastAsia="Times New Roman"/>
          <w:szCs w:val="24"/>
        </w:rPr>
        <w:t xml:space="preserve"> straší 18</w:t>
      </w:r>
      <w:r w:rsidR="00996B5C">
        <w:rPr>
          <w:rFonts w:eastAsia="Times New Roman"/>
          <w:szCs w:val="24"/>
        </w:rPr>
        <w:t xml:space="preserve"> </w:t>
      </w:r>
      <w:r w:rsidRPr="009309DD">
        <w:rPr>
          <w:rFonts w:eastAsia="Times New Roman"/>
          <w:szCs w:val="24"/>
        </w:rPr>
        <w:t xml:space="preserve">ti let mohl nakoupit za 1000 Kčs kupony v hodnotě 1000 bodů, čímž se stal DIKem – držitelem investičních bodů. Samotná </w:t>
      </w:r>
      <w:r w:rsidR="009309DD">
        <w:rPr>
          <w:rFonts w:eastAsia="Times New Roman"/>
          <w:szCs w:val="24"/>
        </w:rPr>
        <w:t>k</w:t>
      </w:r>
      <w:r w:rsidRPr="009309DD">
        <w:rPr>
          <w:rFonts w:eastAsia="Times New Roman"/>
          <w:szCs w:val="24"/>
        </w:rPr>
        <w:t>uponová knížka stála 35 Kčs, kupóny měli hodnotu 1000 Kčs, celkově vás teda nákup kuponové knížky stál 1035 Kčs.</w:t>
      </w:r>
    </w:p>
    <w:p w14:paraId="4A6F52D6" w14:textId="01F99FBF" w:rsidR="008E0F74" w:rsidRPr="00FC3B7C" w:rsidRDefault="00C24093" w:rsidP="00C24093">
      <w:pPr>
        <w:rPr>
          <w:sz w:val="20"/>
          <w:szCs w:val="20"/>
        </w:rPr>
      </w:pPr>
      <w:r w:rsidRPr="00FC3B7C">
        <w:rPr>
          <w:rFonts w:eastAsia="Times New Roman"/>
          <w:szCs w:val="24"/>
        </w:rPr>
        <w:t>Zveřejnění seznamů podniků privatizovaných v</w:t>
      </w:r>
      <w:r>
        <w:rPr>
          <w:rFonts w:eastAsia="Times New Roman"/>
          <w:szCs w:val="24"/>
        </w:rPr>
        <w:t xml:space="preserve"> </w:t>
      </w:r>
      <w:r w:rsidRPr="00FC3B7C">
        <w:rPr>
          <w:rFonts w:eastAsia="Times New Roman"/>
          <w:szCs w:val="24"/>
        </w:rPr>
        <w:t>daném kole, zveřejnění základních údajů</w:t>
      </w:r>
      <w:r>
        <w:rPr>
          <w:rFonts w:eastAsia="Times New Roman"/>
          <w:szCs w:val="24"/>
        </w:rPr>
        <w:t xml:space="preserve"> </w:t>
      </w:r>
      <w:r w:rsidRPr="00FC3B7C">
        <w:rPr>
          <w:rFonts w:eastAsia="Times New Roman"/>
          <w:szCs w:val="24"/>
        </w:rPr>
        <w:t>o podnicích.</w:t>
      </w:r>
      <w:r>
        <w:rPr>
          <w:rFonts w:eastAsia="Times New Roman"/>
          <w:szCs w:val="24"/>
        </w:rPr>
        <w:t xml:space="preserve"> </w:t>
      </w:r>
      <w:r w:rsidRPr="00FC3B7C">
        <w:rPr>
          <w:rFonts w:eastAsia="Times New Roman"/>
          <w:szCs w:val="24"/>
        </w:rPr>
        <w:t>Tzv. nulté kolo,</w:t>
      </w:r>
      <w:r w:rsidR="003376E1">
        <w:rPr>
          <w:rFonts w:eastAsia="Times New Roman"/>
          <w:szCs w:val="24"/>
        </w:rPr>
        <w:t xml:space="preserve"> </w:t>
      </w:r>
      <w:r w:rsidRPr="00FC3B7C">
        <w:rPr>
          <w:rFonts w:eastAsia="Times New Roman"/>
          <w:szCs w:val="24"/>
        </w:rPr>
        <w:t>zde</w:t>
      </w:r>
      <w:r w:rsidR="003376E1">
        <w:rPr>
          <w:rFonts w:eastAsia="Times New Roman"/>
          <w:szCs w:val="24"/>
        </w:rPr>
        <w:t xml:space="preserve"> </w:t>
      </w:r>
      <w:r w:rsidRPr="00FC3B7C">
        <w:rPr>
          <w:rFonts w:eastAsia="Times New Roman"/>
          <w:szCs w:val="24"/>
        </w:rPr>
        <w:t>mohli</w:t>
      </w:r>
      <w:r w:rsidR="003376E1">
        <w:rPr>
          <w:rFonts w:eastAsia="Times New Roman"/>
          <w:szCs w:val="24"/>
        </w:rPr>
        <w:t xml:space="preserve"> </w:t>
      </w:r>
      <w:r w:rsidRPr="00FC3B7C">
        <w:rPr>
          <w:rFonts w:eastAsia="Times New Roman"/>
          <w:szCs w:val="24"/>
        </w:rPr>
        <w:t>občané</w:t>
      </w:r>
      <w:r w:rsidR="003376E1">
        <w:rPr>
          <w:rFonts w:eastAsia="Times New Roman"/>
          <w:szCs w:val="24"/>
        </w:rPr>
        <w:t xml:space="preserve"> </w:t>
      </w:r>
      <w:r w:rsidRPr="00FC3B7C">
        <w:rPr>
          <w:rFonts w:eastAsia="Times New Roman"/>
          <w:szCs w:val="24"/>
        </w:rPr>
        <w:t>svěřit</w:t>
      </w:r>
      <w:r w:rsidR="003376E1">
        <w:rPr>
          <w:rFonts w:eastAsia="Times New Roman"/>
          <w:szCs w:val="24"/>
        </w:rPr>
        <w:t xml:space="preserve"> </w:t>
      </w:r>
      <w:r w:rsidRPr="00FC3B7C">
        <w:rPr>
          <w:rFonts w:eastAsia="Times New Roman"/>
          <w:szCs w:val="24"/>
        </w:rPr>
        <w:t>své</w:t>
      </w:r>
      <w:r>
        <w:rPr>
          <w:rFonts w:eastAsia="Times New Roman"/>
          <w:szCs w:val="24"/>
        </w:rPr>
        <w:t xml:space="preserve"> </w:t>
      </w:r>
      <w:r w:rsidRPr="00FC3B7C">
        <w:rPr>
          <w:rFonts w:eastAsia="Times New Roman"/>
          <w:szCs w:val="24"/>
        </w:rPr>
        <w:t>body</w:t>
      </w:r>
      <w:r w:rsidR="003376E1">
        <w:rPr>
          <w:rFonts w:eastAsia="Times New Roman"/>
          <w:szCs w:val="24"/>
        </w:rPr>
        <w:t xml:space="preserve"> </w:t>
      </w:r>
      <w:r w:rsidRPr="00FC3B7C">
        <w:rPr>
          <w:rFonts w:eastAsia="Times New Roman"/>
          <w:szCs w:val="24"/>
        </w:rPr>
        <w:t>investičním</w:t>
      </w:r>
      <w:r w:rsidR="003376E1">
        <w:rPr>
          <w:rFonts w:eastAsia="Times New Roman"/>
          <w:szCs w:val="24"/>
        </w:rPr>
        <w:t xml:space="preserve"> </w:t>
      </w:r>
      <w:r w:rsidRPr="00FC3B7C">
        <w:rPr>
          <w:rFonts w:eastAsia="Times New Roman"/>
          <w:szCs w:val="24"/>
        </w:rPr>
        <w:t>fondům.</w:t>
      </w:r>
      <w:r w:rsidR="003376E1">
        <w:rPr>
          <w:rFonts w:eastAsia="Times New Roman"/>
          <w:szCs w:val="24"/>
        </w:rPr>
        <w:t xml:space="preserve"> </w:t>
      </w:r>
      <w:r w:rsidRPr="00FC3B7C">
        <w:rPr>
          <w:rFonts w:eastAsia="Times New Roman"/>
          <w:szCs w:val="24"/>
        </w:rPr>
        <w:t>Jinak</w:t>
      </w:r>
      <w:r w:rsidR="003376E1">
        <w:rPr>
          <w:rFonts w:eastAsia="Times New Roman"/>
          <w:szCs w:val="24"/>
        </w:rPr>
        <w:t xml:space="preserve"> </w:t>
      </w:r>
      <w:r w:rsidRPr="00FC3B7C">
        <w:rPr>
          <w:rFonts w:eastAsia="Times New Roman"/>
          <w:szCs w:val="24"/>
        </w:rPr>
        <w:t>museli</w:t>
      </w:r>
      <w:r>
        <w:rPr>
          <w:rFonts w:eastAsia="Times New Roman"/>
          <w:szCs w:val="24"/>
        </w:rPr>
        <w:t xml:space="preserve"> </w:t>
      </w:r>
      <w:r w:rsidRPr="00FC3B7C">
        <w:rPr>
          <w:rFonts w:eastAsia="Times New Roman"/>
          <w:szCs w:val="24"/>
        </w:rPr>
        <w:t>investovat sami.</w:t>
      </w:r>
      <w:bookmarkStart w:id="455" w:name="page468"/>
      <w:bookmarkEnd w:id="455"/>
      <w:r>
        <w:rPr>
          <w:sz w:val="20"/>
          <w:szCs w:val="20"/>
        </w:rPr>
        <w:t xml:space="preserve"> </w:t>
      </w:r>
      <w:r w:rsidR="00256F29" w:rsidRPr="00FC3B7C">
        <w:rPr>
          <w:rFonts w:eastAsia="Times New Roman"/>
          <w:szCs w:val="24"/>
        </w:rPr>
        <w:t xml:space="preserve">V každém kole byly oznámeny počty akcií a jejich ceny (vyjádřeno </w:t>
      </w:r>
      <w:r w:rsidR="009309DD">
        <w:rPr>
          <w:rFonts w:eastAsia="Times New Roman"/>
          <w:szCs w:val="24"/>
        </w:rPr>
        <w:br/>
      </w:r>
      <w:r w:rsidR="00256F29" w:rsidRPr="00FC3B7C">
        <w:rPr>
          <w:rFonts w:eastAsia="Times New Roman"/>
          <w:szCs w:val="24"/>
        </w:rPr>
        <w:t xml:space="preserve">v bodech). DIKové a investiční fondy si objednali akcie. Objednávky se pak poslaly do centra kuponové privatizace, které je zpracovalo. Pokud byly poptávka vyšší než nabídka a to </w:t>
      </w:r>
      <w:r w:rsidR="00256F29" w:rsidRPr="00FC3B7C">
        <w:rPr>
          <w:rFonts w:eastAsia="Times New Roman"/>
          <w:szCs w:val="24"/>
        </w:rPr>
        <w:lastRenderedPageBreak/>
        <w:t>více jak o 25%, byly vráceny body všem investorům a zvýšila se cena do dalšího kola. Pokud Byla vyšší o méně jak 25%, tak se krátila poptávka fondů na požadovanou úroveň. Po ukončení vlny došlo k předání akcií novým majitelům</w:t>
      </w:r>
    </w:p>
    <w:p w14:paraId="4A6F52D7" w14:textId="77777777" w:rsidR="008E0F74" w:rsidRPr="00FC3B7C" w:rsidRDefault="008E0F74">
      <w:pPr>
        <w:spacing w:line="190" w:lineRule="exact"/>
        <w:rPr>
          <w:sz w:val="20"/>
          <w:szCs w:val="20"/>
        </w:rPr>
      </w:pPr>
    </w:p>
    <w:p w14:paraId="4A6F52D8" w14:textId="77777777" w:rsidR="008E0F74" w:rsidRPr="00C24093" w:rsidRDefault="00256F29" w:rsidP="009309DD">
      <w:pPr>
        <w:pStyle w:val="Nadpis4"/>
        <w:rPr>
          <w:color w:val="1F3864" w:themeColor="accent1" w:themeShade="80"/>
          <w:sz w:val="20"/>
          <w:szCs w:val="20"/>
        </w:rPr>
      </w:pPr>
      <w:r w:rsidRPr="00C24093">
        <w:rPr>
          <w:rFonts w:eastAsia="Times New Roman"/>
          <w:color w:val="1F3864" w:themeColor="accent1" w:themeShade="80"/>
        </w:rPr>
        <w:t>Pozitiva privatizačního procesu</w:t>
      </w:r>
    </w:p>
    <w:p w14:paraId="4A6F52D9" w14:textId="77777777" w:rsidR="008E0F74" w:rsidRPr="00FC3B7C" w:rsidRDefault="00256F29" w:rsidP="009309DD">
      <w:pPr>
        <w:rPr>
          <w:sz w:val="20"/>
          <w:szCs w:val="20"/>
        </w:rPr>
      </w:pPr>
      <w:r w:rsidRPr="00FC3B7C">
        <w:rPr>
          <w:rFonts w:eastAsia="Times New Roman"/>
        </w:rPr>
        <w:t>Zprivatizování mimořádného objemu státního majetku za velmi malý časový interval. Rychlá změna vlastnického práva státního majetku do vlastnictví privátního – měla politické konsekvence – determinovala změny v sociální struktuře občanů ČR = voličů a tím determinovala i výsledky voleb. Možnost každého občana podílet se na privatizačním procesu minimálně prostřednictvím kupónové knížky bez příslušného kapitálu, kterým disponovali zahraniční investoři. Seznámení občanů s kapitálovým trhem prostřednictvím akcií získaných za kupónovou knížku. Zprivatizování značného objemu majetku prostřednictvím kupónů bez možnosti vzniku dlužníků a tím zbytečných ztrát na výnosech a dodatečných transakčních nákladů. Kuponová privatizace se těšila velké popularitě hlavně kvůli rozsáhlé mediální kampani ze strany investičních privatizačních fondů.</w:t>
      </w:r>
    </w:p>
    <w:p w14:paraId="4A6F52DA" w14:textId="77777777" w:rsidR="008E0F74" w:rsidRPr="00FC3B7C" w:rsidRDefault="008E0F74">
      <w:pPr>
        <w:spacing w:line="197" w:lineRule="exact"/>
        <w:rPr>
          <w:sz w:val="20"/>
          <w:szCs w:val="20"/>
        </w:rPr>
      </w:pPr>
    </w:p>
    <w:p w14:paraId="4A6F52DB" w14:textId="77777777" w:rsidR="008E0F74" w:rsidRPr="00C24093" w:rsidRDefault="00256F29" w:rsidP="009309DD">
      <w:pPr>
        <w:pStyle w:val="Nadpis4"/>
        <w:rPr>
          <w:color w:val="1F3864" w:themeColor="accent1" w:themeShade="80"/>
          <w:sz w:val="20"/>
          <w:szCs w:val="20"/>
        </w:rPr>
      </w:pPr>
      <w:r w:rsidRPr="00C24093">
        <w:rPr>
          <w:rFonts w:eastAsia="Times New Roman"/>
          <w:color w:val="1F3864" w:themeColor="accent1" w:themeShade="80"/>
        </w:rPr>
        <w:t>Negativa privatizačního procesu</w:t>
      </w:r>
    </w:p>
    <w:p w14:paraId="4A6F52DC" w14:textId="77777777" w:rsidR="008E0F74" w:rsidRPr="00FC3B7C" w:rsidRDefault="00256F29" w:rsidP="009309DD">
      <w:pPr>
        <w:rPr>
          <w:sz w:val="20"/>
          <w:szCs w:val="20"/>
        </w:rPr>
      </w:pPr>
      <w:r w:rsidRPr="00FC3B7C">
        <w:rPr>
          <w:rFonts w:eastAsia="Times New Roman"/>
        </w:rPr>
        <w:t>Absence úvodní inventarizace státního majetek. Nedostatečná legislativně právní ochrana státu proti neplatičům. Nedostatečná legislativně právní ochrana drobných akcionářů vzniklých zejména z kupónové privatizace proti nekorektním praktikám investičních fondů.</w:t>
      </w:r>
    </w:p>
    <w:p w14:paraId="4A6F52DD" w14:textId="77777777" w:rsidR="008E0F74" w:rsidRPr="00FC3B7C" w:rsidRDefault="00256F29" w:rsidP="009309DD">
      <w:pPr>
        <w:rPr>
          <w:sz w:val="20"/>
          <w:szCs w:val="20"/>
        </w:rPr>
      </w:pPr>
      <w:r w:rsidRPr="00FC3B7C">
        <w:rPr>
          <w:rFonts w:eastAsia="Times New Roman"/>
        </w:rPr>
        <w:t xml:space="preserve">Absence politických a legislativně právních opatření zabraňujících vynaložení výnosů </w:t>
      </w:r>
      <w:r w:rsidR="009309DD">
        <w:rPr>
          <w:rFonts w:eastAsia="Times New Roman"/>
        </w:rPr>
        <w:br/>
      </w:r>
      <w:r w:rsidRPr="00FC3B7C">
        <w:rPr>
          <w:rFonts w:eastAsia="Times New Roman"/>
        </w:rPr>
        <w:t xml:space="preserve">z privatizace do běžné spotřeby státu a doplňování deficitu státního rozpočtu výnosy </w:t>
      </w:r>
      <w:r w:rsidR="009309DD">
        <w:rPr>
          <w:rFonts w:eastAsia="Times New Roman"/>
        </w:rPr>
        <w:br/>
      </w:r>
      <w:r w:rsidRPr="00FC3B7C">
        <w:rPr>
          <w:rFonts w:eastAsia="Times New Roman"/>
        </w:rPr>
        <w:t>z privatizace. Nerovné podmínky pro české a zahraniční zájemce. Úmysl privatizovat zahraničním konkurentům za účelem likvidace výrobních kapacit v ČR.</w:t>
      </w:r>
    </w:p>
    <w:p w14:paraId="4A6F52DE" w14:textId="77777777" w:rsidR="008E0F74" w:rsidRPr="00FC3B7C" w:rsidRDefault="00256F29" w:rsidP="009309DD">
      <w:pPr>
        <w:rPr>
          <w:sz w:val="20"/>
          <w:szCs w:val="20"/>
        </w:rPr>
      </w:pPr>
      <w:r w:rsidRPr="00FC3B7C">
        <w:rPr>
          <w:rFonts w:eastAsia="Times New Roman"/>
        </w:rPr>
        <w:t>„Vyzobávání“ nejdůležitějších závodů nebo výrobních jednotek s rozhodující částí technologického řetězce zůstatek řetězce se stal závislým na zahraničním vlastníkovi rozhodující části.</w:t>
      </w:r>
    </w:p>
    <w:p w14:paraId="4A6F52DF" w14:textId="77777777" w:rsidR="008E0F74" w:rsidRPr="00FC3B7C" w:rsidRDefault="00256F29">
      <w:pPr>
        <w:ind w:left="4"/>
        <w:rPr>
          <w:sz w:val="20"/>
          <w:szCs w:val="20"/>
        </w:rPr>
      </w:pPr>
      <w:bookmarkStart w:id="456" w:name="page469"/>
      <w:bookmarkEnd w:id="456"/>
      <w:r w:rsidRPr="00FC3B7C">
        <w:rPr>
          <w:rFonts w:eastAsia="Times New Roman"/>
          <w:szCs w:val="24"/>
        </w:rPr>
        <w:t>Nesprávně stanovené kupní ceny.</w:t>
      </w:r>
    </w:p>
    <w:p w14:paraId="4A6F52E0" w14:textId="77777777" w:rsidR="008E0F74" w:rsidRPr="00C24093" w:rsidRDefault="00256F29" w:rsidP="009309DD">
      <w:pPr>
        <w:pStyle w:val="Nadpis4"/>
        <w:rPr>
          <w:color w:val="1F3864" w:themeColor="accent1" w:themeShade="80"/>
          <w:sz w:val="20"/>
          <w:szCs w:val="20"/>
        </w:rPr>
      </w:pPr>
      <w:r w:rsidRPr="00C24093">
        <w:rPr>
          <w:rFonts w:eastAsia="Times New Roman"/>
          <w:color w:val="1F3864" w:themeColor="accent1" w:themeShade="80"/>
        </w:rPr>
        <w:t>Největší neúspěch kuponové privatizace</w:t>
      </w:r>
    </w:p>
    <w:p w14:paraId="4A6F52E1" w14:textId="77777777" w:rsidR="008E0F74" w:rsidRPr="00FC3B7C" w:rsidRDefault="00256F29" w:rsidP="009309DD">
      <w:pPr>
        <w:ind w:left="4" w:right="20"/>
        <w:rPr>
          <w:sz w:val="20"/>
          <w:szCs w:val="20"/>
        </w:rPr>
      </w:pPr>
      <w:r w:rsidRPr="00FC3B7C">
        <w:rPr>
          <w:rFonts w:eastAsia="Times New Roman"/>
          <w:szCs w:val="24"/>
        </w:rPr>
        <w:t>Výnos z privatizace KB, České spořitelny, ČSOB cca 90 mld. Kč. Státní výdaje na pomoc bankám 400 mld. Kč.</w:t>
      </w:r>
    </w:p>
    <w:p w14:paraId="4A6F52E2" w14:textId="77777777" w:rsidR="008E0F74" w:rsidRPr="00FC3B7C" w:rsidRDefault="008E0F74">
      <w:pPr>
        <w:spacing w:line="163" w:lineRule="exact"/>
        <w:rPr>
          <w:sz w:val="20"/>
          <w:szCs w:val="20"/>
        </w:rPr>
      </w:pPr>
    </w:p>
    <w:p w14:paraId="4A6F52E3" w14:textId="77777777" w:rsidR="008E0F74" w:rsidRPr="00C24093" w:rsidRDefault="00256F29" w:rsidP="009309DD">
      <w:pPr>
        <w:pStyle w:val="Nadpis4"/>
        <w:rPr>
          <w:color w:val="1F3864" w:themeColor="accent1" w:themeShade="80"/>
          <w:sz w:val="20"/>
          <w:szCs w:val="20"/>
        </w:rPr>
      </w:pPr>
      <w:r w:rsidRPr="00C24093">
        <w:rPr>
          <w:rFonts w:eastAsia="Times New Roman"/>
          <w:color w:val="1F3864" w:themeColor="accent1" w:themeShade="80"/>
        </w:rPr>
        <w:t>Teorie vlastnických práv</w:t>
      </w:r>
    </w:p>
    <w:p w14:paraId="4A6F52E4" w14:textId="77777777" w:rsidR="008E0F74" w:rsidRPr="00FC3B7C" w:rsidRDefault="00256F29" w:rsidP="009309DD">
      <w:pPr>
        <w:ind w:left="4" w:right="20"/>
        <w:rPr>
          <w:sz w:val="20"/>
          <w:szCs w:val="20"/>
        </w:rPr>
      </w:pPr>
      <w:r w:rsidRPr="00FC3B7C">
        <w:rPr>
          <w:rFonts w:eastAsia="Times New Roman"/>
          <w:i/>
          <w:iCs/>
          <w:szCs w:val="24"/>
        </w:rPr>
        <w:t xml:space="preserve">„Otázka vlastnictví je nejústřednější, nejobtížnější eticko-hospodářskou otázkou doby. Když se v ní najde správné stanovisko, velká řada problémů automaticky odpadá; když je tato </w:t>
      </w:r>
      <w:r w:rsidRPr="00FC3B7C">
        <w:rPr>
          <w:rFonts w:eastAsia="Times New Roman"/>
          <w:i/>
          <w:iCs/>
          <w:szCs w:val="24"/>
        </w:rPr>
        <w:lastRenderedPageBreak/>
        <w:t>otázka postavena nesprávně, pak celá soustava eticko-hospodářská ujíždí po nesprávných kolejích.“</w:t>
      </w:r>
      <w:r w:rsidR="009309DD">
        <w:rPr>
          <w:rStyle w:val="Znakapoznpodarou"/>
          <w:rFonts w:eastAsia="Times New Roman"/>
          <w:i/>
          <w:iCs/>
          <w:sz w:val="31"/>
          <w:szCs w:val="31"/>
        </w:rPr>
        <w:footnoteReference w:id="48"/>
      </w:r>
    </w:p>
    <w:p w14:paraId="4A6F52E5" w14:textId="77777777" w:rsidR="008E0F74" w:rsidRPr="00FC3B7C" w:rsidRDefault="00256F29" w:rsidP="009309DD">
      <w:pPr>
        <w:ind w:left="4" w:right="20"/>
        <w:rPr>
          <w:sz w:val="20"/>
          <w:szCs w:val="20"/>
        </w:rPr>
      </w:pPr>
      <w:r w:rsidRPr="00FC3B7C">
        <w:rPr>
          <w:rFonts w:eastAsia="Times New Roman"/>
          <w:szCs w:val="24"/>
        </w:rPr>
        <w:t>S privatizací úzce souvisí Teorie vlastnických práv. Proces koncentrace vlastnických práv, tj. nalézání "strategických vlastníků", byl během velké privatizace bolestivý, ale nezbytný. Kdyby kupónová privatizace nenastala, podniky by zůstaly v předprivatizační agónii, manažeři by je úspěšně tunelovali. Avšak i tak usazování vlastnických práv trvá určitou dobu a neobejde se bez nákladů.</w:t>
      </w:r>
    </w:p>
    <w:p w14:paraId="4A6F52E6" w14:textId="77777777" w:rsidR="008E0F74" w:rsidRPr="00FC3B7C" w:rsidRDefault="00256F29" w:rsidP="009309DD">
      <w:pPr>
        <w:ind w:left="4"/>
        <w:rPr>
          <w:sz w:val="20"/>
          <w:szCs w:val="20"/>
        </w:rPr>
      </w:pPr>
      <w:r w:rsidRPr="00FC3B7C">
        <w:rPr>
          <w:rFonts w:eastAsia="Times New Roman"/>
          <w:b/>
          <w:bCs/>
          <w:i/>
          <w:iCs/>
          <w:szCs w:val="24"/>
        </w:rPr>
        <w:t>Vlastnické právo lze charakterizovat jako:</w:t>
      </w:r>
    </w:p>
    <w:p w14:paraId="4A6F52E7" w14:textId="77777777" w:rsidR="008E0F74" w:rsidRPr="00FC3B7C" w:rsidRDefault="00256F29" w:rsidP="00D46B53">
      <w:pPr>
        <w:numPr>
          <w:ilvl w:val="0"/>
          <w:numId w:val="507"/>
        </w:numPr>
        <w:tabs>
          <w:tab w:val="left" w:pos="724"/>
        </w:tabs>
        <w:ind w:left="724" w:right="20" w:hanging="367"/>
        <w:rPr>
          <w:rFonts w:eastAsia="Arial"/>
          <w:szCs w:val="24"/>
        </w:rPr>
      </w:pPr>
      <w:r w:rsidRPr="00FC3B7C">
        <w:rPr>
          <w:rFonts w:eastAsia="Times New Roman"/>
          <w:szCs w:val="24"/>
        </w:rPr>
        <w:t>Vlastník je v mezích zákona oprávněn předmět svého vlastnictví držet, užívat, požívat jeho plody a užitky a nakládat s ním</w:t>
      </w:r>
    </w:p>
    <w:p w14:paraId="4A6F52E8" w14:textId="77777777" w:rsidR="008E0F74" w:rsidRPr="00FC3B7C" w:rsidRDefault="00256F29" w:rsidP="00D46B53">
      <w:pPr>
        <w:numPr>
          <w:ilvl w:val="0"/>
          <w:numId w:val="507"/>
        </w:numPr>
        <w:tabs>
          <w:tab w:val="left" w:pos="724"/>
        </w:tabs>
        <w:ind w:left="724" w:right="20" w:hanging="367"/>
        <w:rPr>
          <w:rFonts w:eastAsia="Arial"/>
          <w:szCs w:val="24"/>
        </w:rPr>
      </w:pPr>
      <w:r w:rsidRPr="00FC3B7C">
        <w:rPr>
          <w:rFonts w:eastAsia="Times New Roman"/>
          <w:szCs w:val="24"/>
        </w:rPr>
        <w:t>Všichni vlastníci mají stejná práva a povinnosti a poskytuje se jim stejná právní ochrana</w:t>
      </w:r>
    </w:p>
    <w:p w14:paraId="4A6F52E9" w14:textId="77777777" w:rsidR="008E0F74" w:rsidRPr="00FC3B7C" w:rsidRDefault="008E0F74">
      <w:pPr>
        <w:spacing w:line="200" w:lineRule="exact"/>
        <w:rPr>
          <w:sz w:val="20"/>
          <w:szCs w:val="20"/>
        </w:rPr>
      </w:pPr>
    </w:p>
    <w:p w14:paraId="4A6F52EA" w14:textId="77777777" w:rsidR="008E0F74" w:rsidRPr="00FC3B7C" w:rsidRDefault="008E0F74">
      <w:pPr>
        <w:spacing w:line="210" w:lineRule="exact"/>
        <w:rPr>
          <w:sz w:val="20"/>
          <w:szCs w:val="20"/>
        </w:rPr>
      </w:pPr>
    </w:p>
    <w:p w14:paraId="4A6F52EC" w14:textId="1F562985" w:rsidR="009309DD" w:rsidRPr="002A2887" w:rsidRDefault="00256F29" w:rsidP="009309DD">
      <w:pPr>
        <w:pStyle w:val="Nadpis2"/>
        <w:rPr>
          <w:rFonts w:eastAsia="Times New Roman"/>
          <w:color w:val="1F3864" w:themeColor="accent1" w:themeShade="80"/>
        </w:rPr>
      </w:pPr>
      <w:r w:rsidRPr="00C24093">
        <w:rPr>
          <w:rFonts w:eastAsia="Times New Roman"/>
          <w:color w:val="1F3864" w:themeColor="accent1" w:themeShade="80"/>
        </w:rPr>
        <w:t xml:space="preserve">LIBERALIZACE A </w:t>
      </w:r>
      <w:r w:rsidRPr="00C24093">
        <w:rPr>
          <w:color w:val="1F3864" w:themeColor="accent1" w:themeShade="80"/>
        </w:rPr>
        <w:t>STABILIZAČNÍ</w:t>
      </w:r>
      <w:r w:rsidRPr="00C24093">
        <w:rPr>
          <w:rFonts w:eastAsia="Times New Roman"/>
          <w:color w:val="1F3864" w:themeColor="accent1" w:themeShade="80"/>
        </w:rPr>
        <w:t xml:space="preserve"> OPATŘENÍ</w:t>
      </w:r>
    </w:p>
    <w:p w14:paraId="4A6F52EE" w14:textId="7C35B64F" w:rsidR="009309DD" w:rsidRPr="002A2887" w:rsidRDefault="00256F29" w:rsidP="009309DD">
      <w:pPr>
        <w:pStyle w:val="Nadpis3"/>
        <w:rPr>
          <w:rFonts w:eastAsia="Times New Roman"/>
          <w:color w:val="1F3864" w:themeColor="accent1" w:themeShade="80"/>
        </w:rPr>
      </w:pPr>
      <w:r w:rsidRPr="00C24093">
        <w:rPr>
          <w:rFonts w:eastAsia="Times New Roman"/>
          <w:color w:val="1F3864" w:themeColor="accent1" w:themeShade="80"/>
        </w:rPr>
        <w:t>Cenová liberalizace</w:t>
      </w:r>
    </w:p>
    <w:p w14:paraId="4A6F52EF" w14:textId="77777777" w:rsidR="008E0F74" w:rsidRPr="00FC3B7C" w:rsidRDefault="00256F29" w:rsidP="009309DD">
      <w:pPr>
        <w:ind w:left="4"/>
        <w:rPr>
          <w:sz w:val="20"/>
          <w:szCs w:val="20"/>
        </w:rPr>
      </w:pPr>
      <w:r w:rsidRPr="00FC3B7C">
        <w:rPr>
          <w:rFonts w:eastAsia="Times New Roman"/>
          <w:szCs w:val="24"/>
        </w:rPr>
        <w:t>Do roku 1990 v ČR existuje tzv</w:t>
      </w:r>
      <w:r w:rsidRPr="00FC3B7C">
        <w:rPr>
          <w:rFonts w:eastAsia="Times New Roman"/>
          <w:b/>
          <w:bCs/>
          <w:szCs w:val="24"/>
        </w:rPr>
        <w:t>. smíšený</w:t>
      </w:r>
      <w:r w:rsidRPr="00FC3B7C">
        <w:rPr>
          <w:rFonts w:eastAsia="Times New Roman"/>
          <w:szCs w:val="24"/>
        </w:rPr>
        <w:t xml:space="preserve"> </w:t>
      </w:r>
      <w:r w:rsidRPr="00FC3B7C">
        <w:rPr>
          <w:rFonts w:eastAsia="Times New Roman"/>
          <w:b/>
          <w:bCs/>
          <w:szCs w:val="24"/>
        </w:rPr>
        <w:t>model</w:t>
      </w:r>
      <w:r w:rsidRPr="00FC3B7C">
        <w:rPr>
          <w:rFonts w:eastAsia="Times New Roman"/>
          <w:szCs w:val="24"/>
        </w:rPr>
        <w:t>, který chápeme jako:</w:t>
      </w:r>
    </w:p>
    <w:p w14:paraId="4A6F52F0" w14:textId="77777777" w:rsidR="008E0F74" w:rsidRPr="00FC3B7C" w:rsidRDefault="00256F29" w:rsidP="00D46B53">
      <w:pPr>
        <w:numPr>
          <w:ilvl w:val="0"/>
          <w:numId w:val="508"/>
        </w:numPr>
        <w:tabs>
          <w:tab w:val="left" w:pos="724"/>
        </w:tabs>
        <w:ind w:left="724" w:hanging="367"/>
        <w:rPr>
          <w:rFonts w:eastAsia="Times New Roman"/>
          <w:szCs w:val="24"/>
        </w:rPr>
      </w:pPr>
      <w:r w:rsidRPr="00FC3B7C">
        <w:rPr>
          <w:rFonts w:eastAsia="Times New Roman"/>
          <w:szCs w:val="24"/>
        </w:rPr>
        <w:t>Centrálně regulovaný model</w:t>
      </w:r>
    </w:p>
    <w:p w14:paraId="4A6F52F1" w14:textId="77777777" w:rsidR="008E0F74" w:rsidRPr="00FC3B7C" w:rsidRDefault="00256F29" w:rsidP="00D46B53">
      <w:pPr>
        <w:numPr>
          <w:ilvl w:val="0"/>
          <w:numId w:val="508"/>
        </w:numPr>
        <w:tabs>
          <w:tab w:val="left" w:pos="724"/>
        </w:tabs>
        <w:ind w:left="724" w:hanging="367"/>
        <w:rPr>
          <w:rFonts w:eastAsia="Times New Roman"/>
          <w:szCs w:val="24"/>
        </w:rPr>
      </w:pPr>
      <w:r w:rsidRPr="00FC3B7C">
        <w:rPr>
          <w:rFonts w:eastAsia="Times New Roman"/>
          <w:szCs w:val="24"/>
        </w:rPr>
        <w:t>Tržní ceny</w:t>
      </w:r>
    </w:p>
    <w:p w14:paraId="4A6F52F7" w14:textId="1AF552FB" w:rsidR="008E0F74" w:rsidRPr="002A2887" w:rsidRDefault="00256F29" w:rsidP="00D46B53">
      <w:pPr>
        <w:numPr>
          <w:ilvl w:val="0"/>
          <w:numId w:val="508"/>
        </w:numPr>
        <w:tabs>
          <w:tab w:val="left" w:pos="724"/>
        </w:tabs>
        <w:rPr>
          <w:rFonts w:eastAsia="Times New Roman"/>
          <w:szCs w:val="24"/>
        </w:rPr>
      </w:pPr>
      <w:r w:rsidRPr="00FC3B7C">
        <w:rPr>
          <w:rFonts w:eastAsia="Times New Roman"/>
          <w:szCs w:val="24"/>
        </w:rPr>
        <w:t>Tržní ceny, kde deregulaci určuje centrum</w:t>
      </w:r>
    </w:p>
    <w:p w14:paraId="4A6F52F8" w14:textId="77777777" w:rsidR="009309DD" w:rsidRDefault="009309DD">
      <w:pPr>
        <w:spacing w:line="200" w:lineRule="exact"/>
        <w:rPr>
          <w:sz w:val="20"/>
          <w:szCs w:val="20"/>
        </w:rPr>
      </w:pPr>
    </w:p>
    <w:p w14:paraId="4A6F52F9" w14:textId="77777777" w:rsidR="008E0F74" w:rsidRPr="00FC3B7C" w:rsidRDefault="00256F29" w:rsidP="00D46B53">
      <w:pPr>
        <w:numPr>
          <w:ilvl w:val="0"/>
          <w:numId w:val="509"/>
        </w:numPr>
        <w:tabs>
          <w:tab w:val="left" w:pos="376"/>
        </w:tabs>
        <w:ind w:left="4" w:right="20" w:hanging="4"/>
        <w:rPr>
          <w:rFonts w:eastAsia="Times New Roman"/>
          <w:szCs w:val="24"/>
        </w:rPr>
      </w:pPr>
      <w:bookmarkStart w:id="457" w:name="page470"/>
      <w:bookmarkEnd w:id="457"/>
      <w:r w:rsidRPr="00FC3B7C">
        <w:rPr>
          <w:rFonts w:eastAsia="Times New Roman"/>
          <w:szCs w:val="24"/>
        </w:rPr>
        <w:t>centrálně plánované ekonomice byla úloha trhů a cen potlačena-byly tvořeny administrativně. Proto velkou roli hrála liberalizace cen, kterou bylo možné provést téměř</w:t>
      </w:r>
    </w:p>
    <w:p w14:paraId="4A6F52FA" w14:textId="77777777" w:rsidR="008E0F74" w:rsidRPr="00FC3B7C" w:rsidRDefault="00256F29" w:rsidP="009309DD">
      <w:pPr>
        <w:ind w:left="4"/>
        <w:rPr>
          <w:sz w:val="20"/>
          <w:szCs w:val="20"/>
        </w:rPr>
      </w:pPr>
      <w:r w:rsidRPr="00FC3B7C">
        <w:rPr>
          <w:rFonts w:eastAsia="Times New Roman"/>
          <w:szCs w:val="24"/>
        </w:rPr>
        <w:t>okamžitě díky:</w:t>
      </w:r>
    </w:p>
    <w:p w14:paraId="4A6F52FB" w14:textId="77777777" w:rsidR="008E0F74" w:rsidRPr="00FC3B7C" w:rsidRDefault="00256F29" w:rsidP="00D46B53">
      <w:pPr>
        <w:numPr>
          <w:ilvl w:val="0"/>
          <w:numId w:val="510"/>
        </w:numPr>
        <w:tabs>
          <w:tab w:val="left" w:pos="784"/>
        </w:tabs>
        <w:ind w:left="784" w:hanging="424"/>
        <w:rPr>
          <w:rFonts w:eastAsia="Times New Roman"/>
          <w:szCs w:val="24"/>
        </w:rPr>
      </w:pPr>
      <w:r w:rsidRPr="00FC3B7C">
        <w:rPr>
          <w:rFonts w:eastAsia="Times New Roman"/>
          <w:szCs w:val="24"/>
        </w:rPr>
        <w:t>Deregulaci cen a mez</w:t>
      </w:r>
    </w:p>
    <w:p w14:paraId="4A6F52FC" w14:textId="77777777" w:rsidR="008E0F74" w:rsidRPr="00FC3B7C" w:rsidRDefault="00256F29" w:rsidP="00D46B53">
      <w:pPr>
        <w:numPr>
          <w:ilvl w:val="0"/>
          <w:numId w:val="510"/>
        </w:numPr>
        <w:tabs>
          <w:tab w:val="left" w:pos="724"/>
        </w:tabs>
        <w:ind w:left="724" w:hanging="364"/>
        <w:rPr>
          <w:rFonts w:eastAsia="Times New Roman"/>
          <w:szCs w:val="24"/>
        </w:rPr>
      </w:pPr>
      <w:r w:rsidRPr="00FC3B7C">
        <w:rPr>
          <w:rFonts w:eastAsia="Times New Roman"/>
          <w:szCs w:val="24"/>
        </w:rPr>
        <w:t>Povolení soukromého podnikání</w:t>
      </w:r>
    </w:p>
    <w:p w14:paraId="4A6F52FD" w14:textId="77777777" w:rsidR="008E0F74" w:rsidRPr="00FC3B7C" w:rsidRDefault="00256F29" w:rsidP="00D46B53">
      <w:pPr>
        <w:numPr>
          <w:ilvl w:val="0"/>
          <w:numId w:val="510"/>
        </w:numPr>
        <w:tabs>
          <w:tab w:val="left" w:pos="724"/>
        </w:tabs>
        <w:ind w:left="724" w:hanging="364"/>
        <w:rPr>
          <w:rFonts w:eastAsia="Times New Roman"/>
          <w:szCs w:val="24"/>
        </w:rPr>
      </w:pPr>
      <w:r w:rsidRPr="00FC3B7C">
        <w:rPr>
          <w:rFonts w:eastAsia="Times New Roman"/>
          <w:szCs w:val="24"/>
        </w:rPr>
        <w:t>Zavedení vnitřní konvertibility měny</w:t>
      </w:r>
    </w:p>
    <w:p w14:paraId="4A6F52FE" w14:textId="77777777" w:rsidR="008E0F74" w:rsidRPr="00FC3B7C" w:rsidRDefault="008E0F74">
      <w:pPr>
        <w:spacing w:line="343" w:lineRule="exact"/>
        <w:rPr>
          <w:sz w:val="20"/>
          <w:szCs w:val="20"/>
        </w:rPr>
      </w:pPr>
    </w:p>
    <w:p w14:paraId="4A6F52FF" w14:textId="77777777" w:rsidR="008E0F74" w:rsidRPr="00FC3B7C" w:rsidRDefault="00256F29" w:rsidP="009309DD">
      <w:pPr>
        <w:ind w:left="4" w:right="20"/>
        <w:rPr>
          <w:sz w:val="20"/>
          <w:szCs w:val="20"/>
        </w:rPr>
      </w:pPr>
      <w:r w:rsidRPr="00FC3B7C">
        <w:rPr>
          <w:rFonts w:eastAsia="Times New Roman"/>
          <w:szCs w:val="24"/>
        </w:rPr>
        <w:t xml:space="preserve">Cenová liberalizace proběhla 1. 1. 1991. Byla liberalizována většina cen, zahraniční obchod </w:t>
      </w:r>
      <w:r w:rsidR="009309DD">
        <w:rPr>
          <w:rFonts w:eastAsia="Times New Roman"/>
          <w:szCs w:val="24"/>
        </w:rPr>
        <w:br/>
      </w:r>
      <w:r w:rsidRPr="00FC3B7C">
        <w:rPr>
          <w:rFonts w:eastAsia="Times New Roman"/>
          <w:szCs w:val="24"/>
        </w:rPr>
        <w:t>a odbourány dotace. Přesto stát nadále kontroloval některé ceny (pouze 15 % cen regulováno)</w:t>
      </w:r>
    </w:p>
    <w:p w14:paraId="4A6F5300" w14:textId="77777777" w:rsidR="008E0F74" w:rsidRPr="00FC3B7C" w:rsidRDefault="00256F29" w:rsidP="009309DD">
      <w:pPr>
        <w:ind w:left="4" w:right="20"/>
        <w:rPr>
          <w:sz w:val="20"/>
          <w:szCs w:val="20"/>
        </w:rPr>
      </w:pPr>
      <w:r w:rsidRPr="00FC3B7C">
        <w:rPr>
          <w:rFonts w:eastAsia="Times New Roman"/>
          <w:szCs w:val="24"/>
        </w:rPr>
        <w:lastRenderedPageBreak/>
        <w:t>– např. u nájemného, dopravy či elektřiny. Byla také zavedena vnitřní konvertibilita měny, která prakticky znamenala zrušení devizových regulací v zahraničním obchodě (podniky mohli pak bez omezení nakupovat zahraniční měny za účelem dovozů zboží). Díky tomu došlo k otevření domácích zahraniční konkurenci, což vytvořilo podněty k zvyšování kvality produkce a změnám sortimentu reagujícím na tržní poptávku (první impuls pro strukturální změny v ekonomice a restrukturalizace podniků).</w:t>
      </w:r>
    </w:p>
    <w:p w14:paraId="4A6F5301" w14:textId="77777777" w:rsidR="008E0F74" w:rsidRPr="00FC3B7C" w:rsidRDefault="00256F29" w:rsidP="009309DD">
      <w:pPr>
        <w:ind w:left="4" w:right="20"/>
        <w:rPr>
          <w:sz w:val="20"/>
          <w:szCs w:val="20"/>
        </w:rPr>
      </w:pPr>
      <w:r w:rsidRPr="00FC3B7C">
        <w:rPr>
          <w:rFonts w:eastAsia="Times New Roman"/>
          <w:szCs w:val="24"/>
        </w:rPr>
        <w:t>Složitým krokem transformace bylo zrušení cenových subvencí. Týkalo se především zemědělských produktů (součástí cenové politiky komunistů byly levné potraviny, a proto byly jejich ceny státem silně subvencovány; cenová struktura byla deformovaná, neodrážela strukturu poptávky ani strukturu nákladů). Zrušení cenových regulací a subvencí bylo nezbytné již na počátku transformace, jelikož bylo klíčové pro rozvoj soukromého podnikání.</w:t>
      </w:r>
    </w:p>
    <w:p w14:paraId="4A6F5302" w14:textId="77777777" w:rsidR="008E0F74" w:rsidRPr="00FC3B7C" w:rsidRDefault="00256F29" w:rsidP="009309DD">
      <w:pPr>
        <w:ind w:left="4" w:right="20"/>
        <w:rPr>
          <w:sz w:val="20"/>
          <w:szCs w:val="20"/>
        </w:rPr>
      </w:pPr>
      <w:r w:rsidRPr="00FC3B7C">
        <w:rPr>
          <w:rFonts w:eastAsia="Times New Roman"/>
          <w:szCs w:val="24"/>
        </w:rPr>
        <w:t>Po odstranění se očekával velký růst inflace, a tak bylo nezbytné stabilizovat ekonomiku. Mimo jiné musela hospodářská politika řešit další problémy týkající se: sociálních dopadů</w:t>
      </w:r>
    </w:p>
    <w:p w14:paraId="4A6F5303" w14:textId="77777777" w:rsidR="008E0F74" w:rsidRPr="00FC3B7C" w:rsidRDefault="00256F29" w:rsidP="009309DD">
      <w:pPr>
        <w:ind w:left="4" w:right="20"/>
        <w:rPr>
          <w:sz w:val="20"/>
          <w:szCs w:val="20"/>
        </w:rPr>
      </w:pPr>
      <w:r w:rsidRPr="00FC3B7C">
        <w:rPr>
          <w:rFonts w:eastAsia="Times New Roman"/>
          <w:szCs w:val="24"/>
        </w:rPr>
        <w:t>(spotřební ceny vzrostly o 56 %), daňové reformy (provedeny 1993, odstraněna záporná daň z obratu, další nárůst cen), liberalizace mezd (rostly rychleji než produktivita práce).</w:t>
      </w:r>
    </w:p>
    <w:p w14:paraId="4A6F5304" w14:textId="77777777" w:rsidR="008E0F74" w:rsidRPr="00FC3B7C" w:rsidRDefault="008E0F74">
      <w:pPr>
        <w:spacing w:line="158" w:lineRule="exact"/>
        <w:rPr>
          <w:sz w:val="20"/>
          <w:szCs w:val="20"/>
        </w:rPr>
      </w:pPr>
    </w:p>
    <w:p w14:paraId="4A6F5305" w14:textId="0391284A" w:rsidR="008E0F74" w:rsidRPr="00C24093" w:rsidRDefault="00C24093" w:rsidP="009309DD">
      <w:pPr>
        <w:pStyle w:val="Nadpis3"/>
        <w:rPr>
          <w:color w:val="1F3864" w:themeColor="accent1" w:themeShade="80"/>
          <w:sz w:val="20"/>
          <w:szCs w:val="20"/>
        </w:rPr>
      </w:pPr>
      <w:r>
        <w:rPr>
          <w:rFonts w:eastAsia="Times New Roman"/>
          <w:color w:val="1F3864" w:themeColor="accent1" w:themeShade="80"/>
        </w:rPr>
        <w:t xml:space="preserve"> </w:t>
      </w:r>
      <w:r w:rsidR="00256F29" w:rsidRPr="00C24093">
        <w:rPr>
          <w:rFonts w:eastAsia="Times New Roman"/>
          <w:color w:val="1F3864" w:themeColor="accent1" w:themeShade="80"/>
        </w:rPr>
        <w:t>Stabilizační opatření</w:t>
      </w:r>
    </w:p>
    <w:p w14:paraId="03CEB73F" w14:textId="2D302CD4" w:rsidR="002A2887" w:rsidRDefault="00256F29" w:rsidP="005412D3">
      <w:pPr>
        <w:ind w:left="4" w:right="20"/>
        <w:rPr>
          <w:sz w:val="20"/>
          <w:szCs w:val="20"/>
        </w:rPr>
      </w:pPr>
      <w:r w:rsidRPr="00FC3B7C">
        <w:rPr>
          <w:rFonts w:eastAsia="Times New Roman"/>
          <w:szCs w:val="24"/>
        </w:rPr>
        <w:t xml:space="preserve">Hlavním cílem stabilizace bylo udržet pod kontrolou inflaci. V oblasti zahraničního obchodu vznikala možnost rozvrácení platební bilance (pro socialistické ekonomiky byl charakteristický hlad po dovozech kvalitního zboží ze západu). Proto bylo možné, že by se vytvořil schodek obchodní bilance, který by si následně vynutil devalvaci domácí měny. </w:t>
      </w:r>
      <w:r w:rsidR="009309DD">
        <w:rPr>
          <w:rFonts w:eastAsia="Times New Roman"/>
          <w:szCs w:val="24"/>
        </w:rPr>
        <w:br/>
      </w:r>
      <w:r w:rsidRPr="00FC3B7C">
        <w:rPr>
          <w:rFonts w:eastAsia="Times New Roman"/>
          <w:szCs w:val="24"/>
        </w:rPr>
        <w:t>A protože devalvace se často přelévá do inflace a následně opět do devalvace, obávali se ekonomové inflační spirály devalvace-inflace.</w:t>
      </w:r>
      <w:bookmarkStart w:id="458" w:name="page471"/>
      <w:bookmarkEnd w:id="458"/>
    </w:p>
    <w:p w14:paraId="2C349CF4" w14:textId="77777777" w:rsidR="005412D3" w:rsidRPr="005412D3" w:rsidRDefault="005412D3" w:rsidP="005412D3">
      <w:pPr>
        <w:ind w:left="4" w:right="20"/>
        <w:rPr>
          <w:sz w:val="20"/>
          <w:szCs w:val="20"/>
        </w:rPr>
      </w:pPr>
    </w:p>
    <w:p w14:paraId="4A6F5309" w14:textId="77777777" w:rsidR="008E0F74" w:rsidRPr="00FC3B7C" w:rsidRDefault="00256F29">
      <w:pPr>
        <w:ind w:left="4"/>
        <w:rPr>
          <w:sz w:val="20"/>
          <w:szCs w:val="20"/>
        </w:rPr>
      </w:pPr>
      <w:r w:rsidRPr="00FC3B7C">
        <w:rPr>
          <w:rFonts w:eastAsia="Times New Roman"/>
          <w:b/>
          <w:bCs/>
          <w:i/>
          <w:iCs/>
          <w:szCs w:val="24"/>
        </w:rPr>
        <w:t>Stabilizační opatření</w:t>
      </w:r>
      <w:r w:rsidR="009309DD">
        <w:rPr>
          <w:rStyle w:val="Znakapoznpodarou"/>
          <w:sz w:val="20"/>
          <w:szCs w:val="20"/>
        </w:rPr>
        <w:footnoteReference w:id="49"/>
      </w:r>
    </w:p>
    <w:p w14:paraId="4A6F530A" w14:textId="77777777" w:rsidR="008E0F74" w:rsidRPr="00FC3B7C" w:rsidRDefault="00256F29" w:rsidP="00D46B53">
      <w:pPr>
        <w:numPr>
          <w:ilvl w:val="0"/>
          <w:numId w:val="511"/>
        </w:numPr>
        <w:tabs>
          <w:tab w:val="left" w:pos="1004"/>
        </w:tabs>
        <w:ind w:left="1004" w:hanging="358"/>
        <w:rPr>
          <w:rFonts w:eastAsia="Arial"/>
          <w:szCs w:val="24"/>
        </w:rPr>
      </w:pPr>
      <w:r w:rsidRPr="00FC3B7C">
        <w:rPr>
          <w:rFonts w:eastAsia="Times New Roman"/>
          <w:i/>
          <w:iCs/>
          <w:szCs w:val="24"/>
        </w:rPr>
        <w:t xml:space="preserve">Restriktivní monetární politika </w:t>
      </w:r>
      <w:r w:rsidRPr="00FC3B7C">
        <w:rPr>
          <w:rFonts w:eastAsia="Times New Roman"/>
          <w:szCs w:val="24"/>
        </w:rPr>
        <w:t>– úvěrové limity</w:t>
      </w:r>
    </w:p>
    <w:p w14:paraId="4A6F530B" w14:textId="77777777" w:rsidR="008E0F74" w:rsidRPr="00FC3B7C" w:rsidRDefault="00256F29" w:rsidP="00D46B53">
      <w:pPr>
        <w:numPr>
          <w:ilvl w:val="0"/>
          <w:numId w:val="511"/>
        </w:numPr>
        <w:tabs>
          <w:tab w:val="left" w:pos="1004"/>
        </w:tabs>
        <w:ind w:left="1004" w:hanging="358"/>
        <w:rPr>
          <w:rFonts w:eastAsia="Arial"/>
          <w:szCs w:val="24"/>
        </w:rPr>
      </w:pPr>
      <w:r w:rsidRPr="00FC3B7C">
        <w:rPr>
          <w:rFonts w:eastAsia="Times New Roman"/>
          <w:i/>
          <w:iCs/>
          <w:szCs w:val="24"/>
        </w:rPr>
        <w:t xml:space="preserve">Restriktivní fiskální politika </w:t>
      </w:r>
      <w:r w:rsidRPr="00FC3B7C">
        <w:rPr>
          <w:rFonts w:eastAsia="Times New Roman"/>
          <w:szCs w:val="24"/>
        </w:rPr>
        <w:t>– omezení dotací podnikům</w:t>
      </w:r>
    </w:p>
    <w:p w14:paraId="4A6F530C" w14:textId="77777777" w:rsidR="008E0F74" w:rsidRPr="00FC3B7C" w:rsidRDefault="00256F29" w:rsidP="00D46B53">
      <w:pPr>
        <w:numPr>
          <w:ilvl w:val="0"/>
          <w:numId w:val="511"/>
        </w:numPr>
        <w:tabs>
          <w:tab w:val="left" w:pos="1004"/>
        </w:tabs>
        <w:ind w:left="1004" w:right="20" w:hanging="358"/>
        <w:rPr>
          <w:rFonts w:eastAsia="Arial"/>
          <w:szCs w:val="24"/>
        </w:rPr>
      </w:pPr>
      <w:r w:rsidRPr="00FC3B7C">
        <w:rPr>
          <w:rFonts w:eastAsia="Times New Roman"/>
          <w:i/>
          <w:iCs/>
          <w:szCs w:val="24"/>
        </w:rPr>
        <w:t xml:space="preserve">Regulace mezd </w:t>
      </w:r>
      <w:r w:rsidRPr="00FC3B7C">
        <w:rPr>
          <w:rFonts w:eastAsia="Times New Roman"/>
          <w:szCs w:val="24"/>
        </w:rPr>
        <w:t>– přestože byla tvorba mezd liberalizována, vláda se snažila</w:t>
      </w:r>
      <w:r w:rsidRPr="00FC3B7C">
        <w:rPr>
          <w:rFonts w:eastAsia="Times New Roman"/>
          <w:i/>
          <w:iCs/>
          <w:szCs w:val="24"/>
        </w:rPr>
        <w:t xml:space="preserve"> </w:t>
      </w:r>
      <w:r w:rsidRPr="00FC3B7C">
        <w:rPr>
          <w:rFonts w:eastAsia="Times New Roman"/>
          <w:szCs w:val="24"/>
        </w:rPr>
        <w:t xml:space="preserve">držet průměrný růst nominálních mezd v určitých mezích pomocí daní (stát stanovil určitou hranici pro růst nominálních mezd a při jejím překročení musely podniky odvést státu mimořádnou daň) a tripartitních jednání mezi vládou, odbory </w:t>
      </w:r>
      <w:r w:rsidR="009309DD">
        <w:rPr>
          <w:rFonts w:eastAsia="Times New Roman"/>
          <w:szCs w:val="24"/>
        </w:rPr>
        <w:br/>
      </w:r>
      <w:r w:rsidRPr="00FC3B7C">
        <w:rPr>
          <w:rFonts w:eastAsia="Times New Roman"/>
          <w:szCs w:val="24"/>
        </w:rPr>
        <w:t>a zaměstnavateli</w:t>
      </w:r>
    </w:p>
    <w:p w14:paraId="4A6F530D" w14:textId="77777777" w:rsidR="008E0F74" w:rsidRPr="00FC3B7C" w:rsidRDefault="00256F29" w:rsidP="00D46B53">
      <w:pPr>
        <w:numPr>
          <w:ilvl w:val="0"/>
          <w:numId w:val="511"/>
        </w:numPr>
        <w:tabs>
          <w:tab w:val="left" w:pos="1004"/>
        </w:tabs>
        <w:ind w:left="1004" w:right="20" w:hanging="358"/>
        <w:rPr>
          <w:rFonts w:eastAsia="Arial"/>
          <w:szCs w:val="24"/>
        </w:rPr>
      </w:pPr>
      <w:r w:rsidRPr="00FC3B7C">
        <w:rPr>
          <w:rFonts w:eastAsia="Times New Roman"/>
          <w:i/>
          <w:iCs/>
          <w:szCs w:val="24"/>
        </w:rPr>
        <w:lastRenderedPageBreak/>
        <w:t xml:space="preserve">Ukotvení měnového kurzu </w:t>
      </w:r>
      <w:r w:rsidRPr="00FC3B7C">
        <w:rPr>
          <w:rFonts w:eastAsia="Times New Roman"/>
          <w:szCs w:val="24"/>
        </w:rPr>
        <w:t>– devalvace domácí měny a následné ukotvení kurzu</w:t>
      </w:r>
      <w:r w:rsidRPr="00FC3B7C">
        <w:rPr>
          <w:rFonts w:eastAsia="Times New Roman"/>
          <w:i/>
          <w:iCs/>
          <w:szCs w:val="24"/>
        </w:rPr>
        <w:t xml:space="preserve"> </w:t>
      </w:r>
      <w:r w:rsidRPr="00FC3B7C">
        <w:rPr>
          <w:rFonts w:eastAsia="Times New Roman"/>
          <w:szCs w:val="24"/>
        </w:rPr>
        <w:t>na některou z pevných zahraničních měn, vytvoření podhodnoceného ale dlouhodobě udržitelného kurzu, tím bylo zažehnáno nebezpečí inflační spirály</w:t>
      </w:r>
    </w:p>
    <w:p w14:paraId="4A6F530E" w14:textId="77777777" w:rsidR="008E0F74" w:rsidRPr="00FC3B7C" w:rsidRDefault="008E0F74">
      <w:pPr>
        <w:spacing w:line="181" w:lineRule="exact"/>
        <w:rPr>
          <w:sz w:val="20"/>
          <w:szCs w:val="20"/>
        </w:rPr>
      </w:pPr>
    </w:p>
    <w:p w14:paraId="4A6F530F" w14:textId="72C33F66" w:rsidR="008E0F74" w:rsidRPr="00C24093" w:rsidRDefault="00C24093" w:rsidP="009309DD">
      <w:pPr>
        <w:pStyle w:val="Nadpis3"/>
        <w:rPr>
          <w:color w:val="1F3864" w:themeColor="accent1" w:themeShade="80"/>
          <w:sz w:val="20"/>
          <w:szCs w:val="20"/>
        </w:rPr>
      </w:pPr>
      <w:r>
        <w:rPr>
          <w:rFonts w:eastAsia="Times New Roman"/>
          <w:color w:val="1F3864" w:themeColor="accent1" w:themeShade="80"/>
        </w:rPr>
        <w:t xml:space="preserve"> </w:t>
      </w:r>
      <w:r w:rsidR="00256F29" w:rsidRPr="00C24093">
        <w:rPr>
          <w:rFonts w:eastAsia="Times New Roman"/>
          <w:color w:val="1F3864" w:themeColor="accent1" w:themeShade="80"/>
        </w:rPr>
        <w:t>Liberalizace zahraničního obchodu</w:t>
      </w:r>
    </w:p>
    <w:p w14:paraId="4A6F5310" w14:textId="77777777" w:rsidR="008E0F74" w:rsidRPr="00FC3B7C" w:rsidRDefault="00256F29" w:rsidP="009309DD">
      <w:pPr>
        <w:rPr>
          <w:sz w:val="20"/>
          <w:szCs w:val="20"/>
        </w:rPr>
      </w:pPr>
      <w:r w:rsidRPr="00FC3B7C">
        <w:rPr>
          <w:rFonts w:eastAsia="Times New Roman"/>
        </w:rPr>
        <w:t>Podniky v ČR měly většinou monopol, když došlo k liberalizaci cen, výrobci stanovili vyšší ceny, než bylo zdrávo. Liberalizace zahraničního obchodu přinesla českým výrobcům nové konkurenty a ceny se pomalu snižovaly.</w:t>
      </w:r>
    </w:p>
    <w:p w14:paraId="4A6F5311" w14:textId="77777777" w:rsidR="008E0F74" w:rsidRPr="00FC3B7C" w:rsidRDefault="00256F29" w:rsidP="009309DD">
      <w:pPr>
        <w:rPr>
          <w:sz w:val="20"/>
          <w:szCs w:val="20"/>
        </w:rPr>
      </w:pPr>
      <w:r w:rsidRPr="00FC3B7C">
        <w:rPr>
          <w:rFonts w:eastAsia="Times New Roman"/>
        </w:rPr>
        <w:t>Byla zavedena vnitřní konvertibilita měny-zrušení devizových regulací v zahraničním obchodě. To otevřelo domácí trhy zahraniční konkurenci a vytvořilo podněty k zvyšování kvality produkce a změnám sortimentu reagujícím na tržní poptávku.</w:t>
      </w:r>
    </w:p>
    <w:p w14:paraId="4A6F5312" w14:textId="77777777" w:rsidR="008E0F74" w:rsidRPr="00FC3B7C" w:rsidRDefault="00256F29" w:rsidP="009309DD">
      <w:pPr>
        <w:rPr>
          <w:sz w:val="20"/>
          <w:szCs w:val="20"/>
        </w:rPr>
      </w:pPr>
      <w:r w:rsidRPr="00FC3B7C">
        <w:rPr>
          <w:rFonts w:eastAsia="Times New Roman"/>
        </w:rPr>
        <w:t>Během roku 1990 vláda 3x devalvovala českou korunu. Došlo k úmyslnému podhodnocení, což mělo podpůrný efekt pro domácí výrobce. (tzv. kurzový polštář).</w:t>
      </w:r>
    </w:p>
    <w:p w14:paraId="4A6F5313" w14:textId="77777777" w:rsidR="008E0F74" w:rsidRPr="00FC3B7C" w:rsidRDefault="00256F29" w:rsidP="009309DD">
      <w:pPr>
        <w:rPr>
          <w:sz w:val="20"/>
          <w:szCs w:val="20"/>
        </w:rPr>
      </w:pPr>
      <w:r w:rsidRPr="00FC3B7C">
        <w:rPr>
          <w:rFonts w:eastAsia="Times New Roman"/>
        </w:rPr>
        <w:t>Do roku 1992- ochrana vnitřního trhu (dovozní přirážka max. 20 %, celní kvóty na dovoz jablek, pšenice apod. – nelíbí se okolním státům).</w:t>
      </w:r>
    </w:p>
    <w:p w14:paraId="4A6F5314" w14:textId="77777777" w:rsidR="008E0F74" w:rsidRPr="00FC3B7C" w:rsidRDefault="00256F29" w:rsidP="009309DD">
      <w:pPr>
        <w:rPr>
          <w:sz w:val="20"/>
          <w:szCs w:val="20"/>
        </w:rPr>
      </w:pPr>
      <w:r w:rsidRPr="00FC3B7C">
        <w:rPr>
          <w:rFonts w:eastAsia="Times New Roman"/>
        </w:rPr>
        <w:t>Pro stabilizaci ekonomiky byl zaveden fixní kurz české koruny (plus, mínus 0,5% - plus mínus 0,75%)</w:t>
      </w:r>
    </w:p>
    <w:p w14:paraId="4A6F5315" w14:textId="77777777" w:rsidR="008E0F74" w:rsidRPr="00FC3B7C" w:rsidRDefault="008E0F74">
      <w:pPr>
        <w:spacing w:line="1" w:lineRule="exact"/>
        <w:rPr>
          <w:sz w:val="20"/>
          <w:szCs w:val="20"/>
        </w:rPr>
      </w:pPr>
    </w:p>
    <w:p w14:paraId="4A6F5316" w14:textId="77777777" w:rsidR="008E0F74" w:rsidRPr="00FC3B7C" w:rsidRDefault="00256F29" w:rsidP="009309DD">
      <w:pPr>
        <w:tabs>
          <w:tab w:val="left" w:pos="1424"/>
        </w:tabs>
        <w:ind w:left="1084"/>
        <w:rPr>
          <w:sz w:val="20"/>
          <w:szCs w:val="20"/>
        </w:rPr>
      </w:pPr>
      <w:r w:rsidRPr="00FC3B7C">
        <w:rPr>
          <w:rFonts w:eastAsia="Times New Roman"/>
          <w:b/>
          <w:bCs/>
          <w:i/>
          <w:iCs/>
          <w:szCs w:val="24"/>
        </w:rPr>
        <w:t>1)</w:t>
      </w:r>
      <w:r w:rsidRPr="00FC3B7C">
        <w:rPr>
          <w:sz w:val="20"/>
          <w:szCs w:val="20"/>
        </w:rPr>
        <w:tab/>
      </w:r>
      <w:r w:rsidRPr="00FC3B7C">
        <w:rPr>
          <w:rFonts w:eastAsia="Times New Roman"/>
          <w:b/>
          <w:bCs/>
          <w:i/>
          <w:iCs/>
          <w:sz w:val="23"/>
          <w:szCs w:val="23"/>
        </w:rPr>
        <w:t>etapa 1990-1993</w:t>
      </w:r>
    </w:p>
    <w:p w14:paraId="4A6F5317" w14:textId="77777777" w:rsidR="008E0F74" w:rsidRPr="00FC3B7C" w:rsidRDefault="00256F29" w:rsidP="009309DD">
      <w:pPr>
        <w:ind w:left="4" w:right="20"/>
        <w:rPr>
          <w:sz w:val="20"/>
          <w:szCs w:val="20"/>
        </w:rPr>
      </w:pPr>
      <w:r w:rsidRPr="00FC3B7C">
        <w:rPr>
          <w:rFonts w:eastAsia="Times New Roman"/>
          <w:szCs w:val="24"/>
        </w:rPr>
        <w:t>ZO ovlivněn poklesem HDP, rozpadem trhů RVHP, strukturálními změnami. Deficity byly pouze do 34 mld. a nepředstavovaly pro českou ekonomiku hlavní problém.</w:t>
      </w:r>
    </w:p>
    <w:p w14:paraId="4A6F5318" w14:textId="77777777" w:rsidR="008E0F74" w:rsidRPr="00FC3B7C" w:rsidRDefault="00256F29" w:rsidP="009309DD">
      <w:pPr>
        <w:tabs>
          <w:tab w:val="left" w:pos="1424"/>
        </w:tabs>
        <w:ind w:left="1084"/>
        <w:rPr>
          <w:sz w:val="20"/>
          <w:szCs w:val="20"/>
        </w:rPr>
      </w:pPr>
      <w:r w:rsidRPr="00FC3B7C">
        <w:rPr>
          <w:rFonts w:eastAsia="Times New Roman"/>
          <w:b/>
          <w:bCs/>
          <w:i/>
          <w:iCs/>
          <w:szCs w:val="24"/>
        </w:rPr>
        <w:t>2)</w:t>
      </w:r>
      <w:r w:rsidRPr="00FC3B7C">
        <w:rPr>
          <w:sz w:val="20"/>
          <w:szCs w:val="20"/>
        </w:rPr>
        <w:tab/>
      </w:r>
      <w:r w:rsidRPr="00FC3B7C">
        <w:rPr>
          <w:rFonts w:eastAsia="Times New Roman"/>
          <w:b/>
          <w:bCs/>
          <w:i/>
          <w:iCs/>
          <w:sz w:val="23"/>
          <w:szCs w:val="23"/>
        </w:rPr>
        <w:t>etapa 1994 – 1995</w:t>
      </w:r>
    </w:p>
    <w:p w14:paraId="4A6F5319" w14:textId="77777777" w:rsidR="008E0F74" w:rsidRPr="00FC3B7C" w:rsidRDefault="00256F29" w:rsidP="009309DD">
      <w:pPr>
        <w:ind w:left="4"/>
        <w:rPr>
          <w:sz w:val="20"/>
          <w:szCs w:val="20"/>
        </w:rPr>
      </w:pPr>
      <w:r w:rsidRPr="00FC3B7C">
        <w:rPr>
          <w:rFonts w:eastAsia="Times New Roman"/>
          <w:sz w:val="23"/>
          <w:szCs w:val="23"/>
        </w:rPr>
        <w:t>Roste domácí poptávka, která je uspokojena velkým importem. Naopak export má nižší tempo.</w:t>
      </w:r>
    </w:p>
    <w:p w14:paraId="4A6F531A" w14:textId="77777777" w:rsidR="008E0F74" w:rsidRPr="00FC3B7C" w:rsidRDefault="00256F29" w:rsidP="009309DD">
      <w:pPr>
        <w:ind w:left="4"/>
        <w:rPr>
          <w:sz w:val="20"/>
          <w:szCs w:val="20"/>
        </w:rPr>
      </w:pPr>
      <w:r w:rsidRPr="00FC3B7C">
        <w:rPr>
          <w:rFonts w:eastAsia="Times New Roman"/>
          <w:szCs w:val="24"/>
        </w:rPr>
        <w:t>Deficit ZO je kompenzován přílivem zahraničního kapitálu. Vyčerpání kurzového polštáře.</w:t>
      </w:r>
    </w:p>
    <w:p w14:paraId="4A6F531B" w14:textId="77777777" w:rsidR="008E0F74" w:rsidRPr="00FC3B7C" w:rsidRDefault="008E0F74">
      <w:pPr>
        <w:spacing w:line="20" w:lineRule="exact"/>
        <w:rPr>
          <w:sz w:val="20"/>
          <w:szCs w:val="20"/>
        </w:rPr>
      </w:pPr>
    </w:p>
    <w:p w14:paraId="4A6F531C" w14:textId="77777777" w:rsidR="008E0F74" w:rsidRPr="00FC3B7C" w:rsidRDefault="00256F29" w:rsidP="009309DD">
      <w:pPr>
        <w:tabs>
          <w:tab w:val="left" w:pos="1424"/>
        </w:tabs>
        <w:ind w:left="1084"/>
        <w:rPr>
          <w:sz w:val="20"/>
          <w:szCs w:val="20"/>
        </w:rPr>
      </w:pPr>
      <w:bookmarkStart w:id="459" w:name="page472"/>
      <w:bookmarkEnd w:id="459"/>
      <w:r w:rsidRPr="00FC3B7C">
        <w:rPr>
          <w:rFonts w:eastAsia="Times New Roman"/>
          <w:b/>
          <w:bCs/>
          <w:i/>
          <w:iCs/>
          <w:szCs w:val="24"/>
        </w:rPr>
        <w:t>3)</w:t>
      </w:r>
      <w:r w:rsidRPr="00FC3B7C">
        <w:rPr>
          <w:sz w:val="20"/>
          <w:szCs w:val="20"/>
        </w:rPr>
        <w:tab/>
      </w:r>
      <w:r w:rsidRPr="00FC3B7C">
        <w:rPr>
          <w:rFonts w:eastAsia="Times New Roman"/>
          <w:b/>
          <w:bCs/>
          <w:i/>
          <w:iCs/>
          <w:sz w:val="23"/>
          <w:szCs w:val="23"/>
        </w:rPr>
        <w:t>etapa 1996 – 1997</w:t>
      </w:r>
    </w:p>
    <w:p w14:paraId="4A6F531D" w14:textId="77777777" w:rsidR="008E0F74" w:rsidRPr="00FC3B7C" w:rsidRDefault="00256F29" w:rsidP="009309DD">
      <w:pPr>
        <w:ind w:left="4" w:right="20"/>
        <w:rPr>
          <w:sz w:val="20"/>
          <w:szCs w:val="20"/>
        </w:rPr>
      </w:pPr>
      <w:r w:rsidRPr="00FC3B7C">
        <w:rPr>
          <w:rFonts w:eastAsia="Times New Roman"/>
          <w:szCs w:val="24"/>
        </w:rPr>
        <w:t>Rozšíření fluktuačního pásma (z plus, mínus 0,5% na plus, mínus 7,5%) -&gt; klesá příliv krátkodobého kapitálu - &gt;nestabilita finančního účtu. Obrovský deficit ZO (159,5 mld. Kč)</w:t>
      </w:r>
    </w:p>
    <w:p w14:paraId="4A6F531E" w14:textId="2D191333" w:rsidR="008E0F74" w:rsidRPr="00FC3B7C" w:rsidRDefault="00256F29" w:rsidP="00D46B53">
      <w:pPr>
        <w:numPr>
          <w:ilvl w:val="0"/>
          <w:numId w:val="512"/>
        </w:numPr>
        <w:tabs>
          <w:tab w:val="left" w:pos="844"/>
        </w:tabs>
        <w:ind w:left="844" w:hanging="351"/>
        <w:rPr>
          <w:rFonts w:eastAsia="Arial"/>
          <w:szCs w:val="24"/>
        </w:rPr>
      </w:pPr>
      <w:r w:rsidRPr="00FC3B7C">
        <w:rPr>
          <w:rFonts w:eastAsia="Times New Roman"/>
          <w:szCs w:val="24"/>
        </w:rPr>
        <w:t>převyšující domácí poptávka nad nabídkou</w:t>
      </w:r>
    </w:p>
    <w:p w14:paraId="4A6F531F" w14:textId="2CC33846" w:rsidR="008E0F74" w:rsidRPr="00FC3B7C" w:rsidRDefault="00256F29" w:rsidP="00D46B53">
      <w:pPr>
        <w:numPr>
          <w:ilvl w:val="0"/>
          <w:numId w:val="512"/>
        </w:numPr>
        <w:tabs>
          <w:tab w:val="left" w:pos="844"/>
        </w:tabs>
        <w:ind w:left="844" w:hanging="351"/>
        <w:rPr>
          <w:rFonts w:eastAsia="Arial"/>
          <w:szCs w:val="24"/>
        </w:rPr>
      </w:pPr>
      <w:r w:rsidRPr="00FC3B7C">
        <w:rPr>
          <w:rFonts w:eastAsia="Times New Roman"/>
          <w:szCs w:val="24"/>
        </w:rPr>
        <w:t>slabá konjunktura západoevropských trhů</w:t>
      </w:r>
    </w:p>
    <w:p w14:paraId="4A6F5320" w14:textId="5385D6B1" w:rsidR="008E0F74" w:rsidRPr="00FC3B7C" w:rsidRDefault="00256F29" w:rsidP="00D46B53">
      <w:pPr>
        <w:numPr>
          <w:ilvl w:val="0"/>
          <w:numId w:val="512"/>
        </w:numPr>
        <w:tabs>
          <w:tab w:val="left" w:pos="844"/>
        </w:tabs>
        <w:ind w:left="844" w:hanging="351"/>
        <w:rPr>
          <w:rFonts w:eastAsia="Arial"/>
          <w:szCs w:val="24"/>
        </w:rPr>
      </w:pPr>
      <w:r w:rsidRPr="00FC3B7C">
        <w:rPr>
          <w:rFonts w:eastAsia="Times New Roman"/>
          <w:szCs w:val="24"/>
        </w:rPr>
        <w:t xml:space="preserve">reálné </w:t>
      </w:r>
      <w:r w:rsidR="00996B5C">
        <w:rPr>
          <w:rFonts w:eastAsia="Times New Roman"/>
          <w:szCs w:val="24"/>
        </w:rPr>
        <w:t>z</w:t>
      </w:r>
      <w:r w:rsidRPr="00FC3B7C">
        <w:rPr>
          <w:rFonts w:eastAsia="Times New Roman"/>
          <w:szCs w:val="24"/>
        </w:rPr>
        <w:t>hodnocování kurzu koruny</w:t>
      </w:r>
    </w:p>
    <w:p w14:paraId="4A6F5321" w14:textId="3E4FA703" w:rsidR="008E0F74" w:rsidRPr="00FC3B7C" w:rsidRDefault="008E0F74">
      <w:pPr>
        <w:spacing w:line="20" w:lineRule="exact"/>
        <w:rPr>
          <w:sz w:val="20"/>
          <w:szCs w:val="20"/>
        </w:rPr>
      </w:pPr>
    </w:p>
    <w:p w14:paraId="4A6F5322" w14:textId="77777777" w:rsidR="008E0F74" w:rsidRPr="00FC3B7C" w:rsidRDefault="008E0F74">
      <w:pPr>
        <w:spacing w:line="200" w:lineRule="exact"/>
        <w:rPr>
          <w:sz w:val="20"/>
          <w:szCs w:val="20"/>
        </w:rPr>
      </w:pPr>
    </w:p>
    <w:p w14:paraId="4A6F5323" w14:textId="7B5E508F" w:rsidR="008E0F74" w:rsidRDefault="008E0F74">
      <w:pPr>
        <w:spacing w:line="200" w:lineRule="exact"/>
        <w:rPr>
          <w:sz w:val="20"/>
          <w:szCs w:val="20"/>
        </w:rPr>
      </w:pPr>
    </w:p>
    <w:p w14:paraId="6C45662C" w14:textId="3D6D994D" w:rsidR="004A43AA" w:rsidRDefault="004A43AA">
      <w:pPr>
        <w:spacing w:line="200" w:lineRule="exact"/>
        <w:rPr>
          <w:sz w:val="20"/>
          <w:szCs w:val="20"/>
        </w:rPr>
      </w:pPr>
    </w:p>
    <w:p w14:paraId="309EE76E" w14:textId="5B21333D" w:rsidR="004A43AA" w:rsidRDefault="004A43AA">
      <w:pPr>
        <w:spacing w:line="200" w:lineRule="exact"/>
        <w:rPr>
          <w:sz w:val="20"/>
          <w:szCs w:val="20"/>
        </w:rPr>
      </w:pPr>
    </w:p>
    <w:p w14:paraId="23B7818E" w14:textId="51F1E89F" w:rsidR="004A43AA" w:rsidRDefault="004A43AA">
      <w:pPr>
        <w:spacing w:line="200" w:lineRule="exact"/>
        <w:rPr>
          <w:sz w:val="20"/>
          <w:szCs w:val="20"/>
        </w:rPr>
      </w:pPr>
    </w:p>
    <w:p w14:paraId="4875F2E7" w14:textId="77777777" w:rsidR="004A43AA" w:rsidRPr="00FC3B7C" w:rsidRDefault="004A43AA">
      <w:pPr>
        <w:spacing w:line="200" w:lineRule="exact"/>
        <w:rPr>
          <w:sz w:val="20"/>
          <w:szCs w:val="20"/>
        </w:rPr>
      </w:pPr>
    </w:p>
    <w:p w14:paraId="4A6F5324" w14:textId="77777777" w:rsidR="008E0F74" w:rsidRPr="00FC3B7C" w:rsidRDefault="008E0F74">
      <w:pPr>
        <w:spacing w:line="200" w:lineRule="exact"/>
        <w:rPr>
          <w:sz w:val="20"/>
          <w:szCs w:val="20"/>
        </w:rPr>
      </w:pPr>
    </w:p>
    <w:p w14:paraId="4A6F5325" w14:textId="77777777" w:rsidR="008E0F74" w:rsidRPr="00FC3B7C" w:rsidRDefault="008E0F74">
      <w:pPr>
        <w:spacing w:line="200" w:lineRule="exact"/>
        <w:rPr>
          <w:sz w:val="20"/>
          <w:szCs w:val="20"/>
        </w:rPr>
      </w:pPr>
    </w:p>
    <w:p w14:paraId="4A6F5326" w14:textId="77777777" w:rsidR="008E0F74" w:rsidRPr="00FC3B7C" w:rsidRDefault="008E0F74">
      <w:pPr>
        <w:spacing w:line="200" w:lineRule="exact"/>
        <w:rPr>
          <w:sz w:val="20"/>
          <w:szCs w:val="20"/>
        </w:rPr>
      </w:pPr>
    </w:p>
    <w:p w14:paraId="4A6F5327" w14:textId="77777777" w:rsidR="008E0F74" w:rsidRPr="00FC3B7C" w:rsidRDefault="008E0F74">
      <w:pPr>
        <w:spacing w:line="200" w:lineRule="exact"/>
        <w:rPr>
          <w:sz w:val="20"/>
          <w:szCs w:val="20"/>
        </w:rPr>
      </w:pPr>
    </w:p>
    <w:p w14:paraId="4A6F5328" w14:textId="29CE72E6" w:rsidR="008E0F74" w:rsidRPr="00FC3B7C" w:rsidRDefault="00D20832">
      <w:pPr>
        <w:spacing w:line="200" w:lineRule="exact"/>
        <w:rPr>
          <w:sz w:val="20"/>
          <w:szCs w:val="20"/>
        </w:rPr>
      </w:pPr>
      <w:r w:rsidRPr="00FC3B7C">
        <w:rPr>
          <w:noProof/>
          <w:sz w:val="20"/>
          <w:szCs w:val="20"/>
        </w:rPr>
        <w:lastRenderedPageBreak/>
        <w:drawing>
          <wp:anchor distT="0" distB="0" distL="114300" distR="114300" simplePos="0" relativeHeight="251602432" behindDoc="1" locked="0" layoutInCell="0" allowOverlap="1" wp14:anchorId="4A6F5D2E" wp14:editId="6ACA0CA1">
            <wp:simplePos x="0" y="0"/>
            <wp:positionH relativeFrom="column">
              <wp:posOffset>800100</wp:posOffset>
            </wp:positionH>
            <wp:positionV relativeFrom="paragraph">
              <wp:posOffset>-18415</wp:posOffset>
            </wp:positionV>
            <wp:extent cx="4273550" cy="327025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35"/>
                    <a:srcRect/>
                    <a:stretch>
                      <a:fillRect/>
                    </a:stretch>
                  </pic:blipFill>
                  <pic:spPr bwMode="auto">
                    <a:xfrm>
                      <a:off x="0" y="0"/>
                      <a:ext cx="4273550" cy="3270250"/>
                    </a:xfrm>
                    <a:prstGeom prst="rect">
                      <a:avLst/>
                    </a:prstGeom>
                    <a:noFill/>
                  </pic:spPr>
                </pic:pic>
              </a:graphicData>
            </a:graphic>
          </wp:anchor>
        </w:drawing>
      </w:r>
    </w:p>
    <w:p w14:paraId="4A6F5329" w14:textId="4071F121" w:rsidR="008E0F74" w:rsidRPr="00FC3B7C" w:rsidRDefault="008E0F74">
      <w:pPr>
        <w:spacing w:line="200" w:lineRule="exact"/>
        <w:rPr>
          <w:sz w:val="20"/>
          <w:szCs w:val="20"/>
        </w:rPr>
      </w:pPr>
    </w:p>
    <w:p w14:paraId="4A6F532A" w14:textId="77777777" w:rsidR="008E0F74" w:rsidRPr="00FC3B7C" w:rsidRDefault="008E0F74">
      <w:pPr>
        <w:spacing w:line="200" w:lineRule="exact"/>
        <w:rPr>
          <w:sz w:val="20"/>
          <w:szCs w:val="20"/>
        </w:rPr>
      </w:pPr>
    </w:p>
    <w:p w14:paraId="4A6F532B" w14:textId="77777777" w:rsidR="008E0F74" w:rsidRPr="00FC3B7C" w:rsidRDefault="008E0F74">
      <w:pPr>
        <w:spacing w:line="200" w:lineRule="exact"/>
        <w:rPr>
          <w:sz w:val="20"/>
          <w:szCs w:val="20"/>
        </w:rPr>
      </w:pPr>
    </w:p>
    <w:p w14:paraId="4A6F532C" w14:textId="77777777" w:rsidR="008E0F74" w:rsidRPr="00FC3B7C" w:rsidRDefault="008E0F74">
      <w:pPr>
        <w:spacing w:line="200" w:lineRule="exact"/>
        <w:rPr>
          <w:sz w:val="20"/>
          <w:szCs w:val="20"/>
        </w:rPr>
      </w:pPr>
    </w:p>
    <w:p w14:paraId="4A6F532D" w14:textId="77777777" w:rsidR="008E0F74" w:rsidRPr="00FC3B7C" w:rsidRDefault="008E0F74">
      <w:pPr>
        <w:spacing w:line="200" w:lineRule="exact"/>
        <w:rPr>
          <w:sz w:val="20"/>
          <w:szCs w:val="20"/>
        </w:rPr>
      </w:pPr>
    </w:p>
    <w:p w14:paraId="4A6F532E" w14:textId="77777777" w:rsidR="008E0F74" w:rsidRPr="00FC3B7C" w:rsidRDefault="008E0F74">
      <w:pPr>
        <w:spacing w:line="200" w:lineRule="exact"/>
        <w:rPr>
          <w:sz w:val="20"/>
          <w:szCs w:val="20"/>
        </w:rPr>
      </w:pPr>
    </w:p>
    <w:p w14:paraId="4A6F532F" w14:textId="77777777" w:rsidR="008E0F74" w:rsidRPr="00FC3B7C" w:rsidRDefault="008E0F74">
      <w:pPr>
        <w:spacing w:line="200" w:lineRule="exact"/>
        <w:rPr>
          <w:sz w:val="20"/>
          <w:szCs w:val="20"/>
        </w:rPr>
      </w:pPr>
    </w:p>
    <w:p w14:paraId="4A6F5330" w14:textId="77777777" w:rsidR="008E0F74" w:rsidRPr="00FC3B7C" w:rsidRDefault="008E0F74">
      <w:pPr>
        <w:spacing w:line="200" w:lineRule="exact"/>
        <w:rPr>
          <w:sz w:val="20"/>
          <w:szCs w:val="20"/>
        </w:rPr>
      </w:pPr>
    </w:p>
    <w:p w14:paraId="4A6F5337" w14:textId="3A4951A8" w:rsidR="008E0F74" w:rsidRPr="00FC3B7C" w:rsidRDefault="008E0F74">
      <w:pPr>
        <w:spacing w:line="200" w:lineRule="exact"/>
        <w:rPr>
          <w:sz w:val="20"/>
          <w:szCs w:val="20"/>
        </w:rPr>
      </w:pPr>
    </w:p>
    <w:p w14:paraId="4A6F5338" w14:textId="7A108DA5" w:rsidR="008E0F74" w:rsidRPr="00FC3B7C" w:rsidRDefault="008E0F74">
      <w:pPr>
        <w:spacing w:line="200" w:lineRule="exact"/>
        <w:rPr>
          <w:sz w:val="20"/>
          <w:szCs w:val="20"/>
        </w:rPr>
      </w:pPr>
    </w:p>
    <w:p w14:paraId="4A6F5339" w14:textId="327F0181" w:rsidR="008E0F74" w:rsidRDefault="008E0F74">
      <w:pPr>
        <w:spacing w:line="200" w:lineRule="exact"/>
        <w:rPr>
          <w:sz w:val="20"/>
          <w:szCs w:val="20"/>
        </w:rPr>
      </w:pPr>
    </w:p>
    <w:p w14:paraId="4D69869B" w14:textId="387B938F" w:rsidR="00D20832" w:rsidRDefault="00D20832">
      <w:pPr>
        <w:spacing w:line="200" w:lineRule="exact"/>
        <w:rPr>
          <w:sz w:val="20"/>
          <w:szCs w:val="20"/>
        </w:rPr>
      </w:pPr>
    </w:p>
    <w:p w14:paraId="77D8B501" w14:textId="4FA4E252" w:rsidR="00D20832" w:rsidRDefault="00D20832">
      <w:pPr>
        <w:spacing w:line="200" w:lineRule="exact"/>
        <w:rPr>
          <w:sz w:val="20"/>
          <w:szCs w:val="20"/>
        </w:rPr>
      </w:pPr>
    </w:p>
    <w:p w14:paraId="038B407B" w14:textId="10355640" w:rsidR="00D20832" w:rsidRDefault="00D20832">
      <w:pPr>
        <w:spacing w:line="200" w:lineRule="exact"/>
        <w:rPr>
          <w:sz w:val="20"/>
          <w:szCs w:val="20"/>
        </w:rPr>
      </w:pPr>
    </w:p>
    <w:p w14:paraId="693A8521" w14:textId="05121F74" w:rsidR="00D20832" w:rsidRDefault="00D20832">
      <w:pPr>
        <w:spacing w:line="200" w:lineRule="exact"/>
        <w:rPr>
          <w:sz w:val="20"/>
          <w:szCs w:val="20"/>
        </w:rPr>
      </w:pPr>
    </w:p>
    <w:p w14:paraId="234D5E2A" w14:textId="6A222D7F" w:rsidR="00D20832" w:rsidRDefault="00D20832">
      <w:pPr>
        <w:spacing w:line="200" w:lineRule="exact"/>
        <w:rPr>
          <w:sz w:val="20"/>
          <w:szCs w:val="20"/>
        </w:rPr>
      </w:pPr>
    </w:p>
    <w:p w14:paraId="3C3862D7" w14:textId="5A3495B1" w:rsidR="00D20832" w:rsidRDefault="00D20832">
      <w:pPr>
        <w:spacing w:line="200" w:lineRule="exact"/>
        <w:rPr>
          <w:sz w:val="20"/>
          <w:szCs w:val="20"/>
        </w:rPr>
      </w:pPr>
    </w:p>
    <w:p w14:paraId="2E5F7AFF" w14:textId="1FFE5E5B" w:rsidR="00D20832" w:rsidRDefault="00D20832">
      <w:pPr>
        <w:spacing w:line="200" w:lineRule="exact"/>
        <w:rPr>
          <w:sz w:val="20"/>
          <w:szCs w:val="20"/>
        </w:rPr>
      </w:pPr>
    </w:p>
    <w:p w14:paraId="7C769B1A" w14:textId="6D2930AD" w:rsidR="00D20832" w:rsidRDefault="00D20832">
      <w:pPr>
        <w:spacing w:line="200" w:lineRule="exact"/>
        <w:rPr>
          <w:sz w:val="20"/>
          <w:szCs w:val="20"/>
        </w:rPr>
      </w:pPr>
    </w:p>
    <w:p w14:paraId="603D3CFB" w14:textId="285944D3" w:rsidR="00D20832" w:rsidRDefault="00D20832">
      <w:pPr>
        <w:spacing w:line="200" w:lineRule="exact"/>
        <w:rPr>
          <w:sz w:val="20"/>
          <w:szCs w:val="20"/>
        </w:rPr>
      </w:pPr>
    </w:p>
    <w:p w14:paraId="03B20BC0" w14:textId="607987F6" w:rsidR="00D20832" w:rsidRDefault="00D20832">
      <w:pPr>
        <w:spacing w:line="200" w:lineRule="exact"/>
        <w:rPr>
          <w:sz w:val="20"/>
          <w:szCs w:val="20"/>
        </w:rPr>
      </w:pPr>
    </w:p>
    <w:p w14:paraId="3161BF96" w14:textId="77777777" w:rsidR="00D20832" w:rsidRPr="00FC3B7C" w:rsidRDefault="00D20832">
      <w:pPr>
        <w:spacing w:line="200" w:lineRule="exact"/>
        <w:rPr>
          <w:sz w:val="20"/>
          <w:szCs w:val="20"/>
        </w:rPr>
      </w:pPr>
    </w:p>
    <w:p w14:paraId="4A6F533A" w14:textId="77777777" w:rsidR="008E0F74" w:rsidRPr="00FC3B7C" w:rsidRDefault="008E0F74">
      <w:pPr>
        <w:spacing w:line="200" w:lineRule="exact"/>
        <w:rPr>
          <w:sz w:val="20"/>
          <w:szCs w:val="20"/>
        </w:rPr>
      </w:pPr>
    </w:p>
    <w:p w14:paraId="4A6F533B" w14:textId="77777777" w:rsidR="008E0F74" w:rsidRPr="00FC3B7C" w:rsidRDefault="008E0F74">
      <w:pPr>
        <w:spacing w:line="200" w:lineRule="exact"/>
        <w:rPr>
          <w:sz w:val="20"/>
          <w:szCs w:val="20"/>
        </w:rPr>
      </w:pPr>
    </w:p>
    <w:p w14:paraId="4A6F533D" w14:textId="77777777" w:rsidR="008E0F74" w:rsidRPr="00FC3B7C" w:rsidRDefault="008E0F74">
      <w:pPr>
        <w:spacing w:line="200" w:lineRule="exact"/>
        <w:rPr>
          <w:sz w:val="20"/>
          <w:szCs w:val="20"/>
        </w:rPr>
      </w:pPr>
    </w:p>
    <w:p w14:paraId="4A6F533F" w14:textId="7D6338E6" w:rsidR="008E0F74" w:rsidRPr="00D6370C" w:rsidRDefault="002A2887" w:rsidP="009309DD">
      <w:pPr>
        <w:pStyle w:val="Nadpis3"/>
        <w:rPr>
          <w:rFonts w:eastAsia="Times New Roman"/>
          <w:color w:val="FF0000"/>
        </w:rPr>
      </w:pPr>
      <w:r w:rsidRPr="00D6370C">
        <w:rPr>
          <w:rFonts w:eastAsia="Times New Roman"/>
          <w:color w:val="FF0000"/>
        </w:rPr>
        <w:t xml:space="preserve"> </w:t>
      </w:r>
      <w:r w:rsidRPr="00244BB9">
        <w:rPr>
          <w:rFonts w:eastAsia="Times New Roman"/>
          <w:color w:val="1F3864" w:themeColor="accent1" w:themeShade="80"/>
        </w:rPr>
        <w:t>Liberalizace vlastnických práv</w:t>
      </w:r>
    </w:p>
    <w:p w14:paraId="74EFF358" w14:textId="20206647" w:rsidR="002A2887" w:rsidRPr="00244BB9" w:rsidRDefault="002A2887" w:rsidP="00D46B53">
      <w:pPr>
        <w:pStyle w:val="Odstavecseseznamem"/>
        <w:numPr>
          <w:ilvl w:val="0"/>
          <w:numId w:val="499"/>
        </w:numPr>
      </w:pPr>
      <w:r w:rsidRPr="00244BB9">
        <w:t>Privatizace (</w:t>
      </w:r>
      <w:r w:rsidR="00996B5C" w:rsidRPr="00244BB9">
        <w:t>odstátnění</w:t>
      </w:r>
      <w:r w:rsidRPr="00244BB9">
        <w:t xml:space="preserve">) majetku -&gt; stěžejní krok pro zavedení </w:t>
      </w:r>
      <w:r w:rsidR="00996B5C" w:rsidRPr="00244BB9">
        <w:t>liberálně</w:t>
      </w:r>
      <w:r w:rsidRPr="00244BB9">
        <w:t xml:space="preserve"> tržní ekonomiky a ekonomické svobody </w:t>
      </w:r>
    </w:p>
    <w:p w14:paraId="01A12BDB" w14:textId="49B849B3" w:rsidR="002A2887" w:rsidRPr="00244BB9" w:rsidRDefault="002A2887" w:rsidP="00D46B53">
      <w:pPr>
        <w:pStyle w:val="Odstavecseseznamem"/>
        <w:numPr>
          <w:ilvl w:val="0"/>
          <w:numId w:val="499"/>
        </w:numPr>
      </w:pPr>
      <w:r w:rsidRPr="00244BB9">
        <w:t>Zestátnění v ČSR nejdůslednější ze všech zemí -&gt; téměř neexistoval soukromý sektor</w:t>
      </w:r>
    </w:p>
    <w:p w14:paraId="3DF02893" w14:textId="40E4BF55" w:rsidR="002A2887" w:rsidRPr="00244BB9" w:rsidRDefault="00D6370C" w:rsidP="00D46B53">
      <w:pPr>
        <w:pStyle w:val="Odstavecseseznamem"/>
        <w:numPr>
          <w:ilvl w:val="0"/>
          <w:numId w:val="499"/>
        </w:numPr>
      </w:pPr>
      <w:r w:rsidRPr="00244BB9">
        <w:t xml:space="preserve">Začátek roku 1991 -&gt; existence 3668 státních podniků </w:t>
      </w:r>
    </w:p>
    <w:p w14:paraId="14DF48D3" w14:textId="3535D5FB" w:rsidR="00D6370C" w:rsidRPr="00244BB9" w:rsidRDefault="00D6370C" w:rsidP="00D46B53">
      <w:pPr>
        <w:pStyle w:val="Odstavecseseznamem"/>
        <w:numPr>
          <w:ilvl w:val="0"/>
          <w:numId w:val="499"/>
        </w:numPr>
      </w:pPr>
      <w:r w:rsidRPr="00244BB9">
        <w:t>Administrativně, časově i z pohledu transakčních nákladů nejsložitější transformační pilíř – vznik desítek nových zákonů a právních norem, vznik celé řady nových institucí, trvá od roku 1989 dodnes</w:t>
      </w:r>
    </w:p>
    <w:p w14:paraId="37069E62" w14:textId="77777777" w:rsidR="00D6370C" w:rsidRPr="00244BB9" w:rsidRDefault="00D6370C" w:rsidP="00D46B53">
      <w:pPr>
        <w:pStyle w:val="Odstavecseseznamem"/>
        <w:numPr>
          <w:ilvl w:val="0"/>
          <w:numId w:val="499"/>
        </w:numPr>
      </w:pPr>
      <w:r w:rsidRPr="00244BB9">
        <w:t>Rychlost privatizačního procesu → „</w:t>
      </w:r>
      <w:r w:rsidRPr="00244BB9">
        <w:rPr>
          <w:i/>
          <w:iCs/>
        </w:rPr>
        <w:t xml:space="preserve">cílem bylo najít první soukromé vlastníky, nikoliv vlastníky konečné“ </w:t>
      </w:r>
      <w:r w:rsidRPr="00244BB9">
        <w:t>(V. Klaus), stát nemá kapacity na správu a restrukturalizaci podniků, i za cenu prodeje nevhodným vlastníkům</w:t>
      </w:r>
    </w:p>
    <w:p w14:paraId="728BF945" w14:textId="77777777" w:rsidR="00D6370C" w:rsidRPr="00244BB9" w:rsidRDefault="00D6370C" w:rsidP="00D6370C">
      <w:pPr>
        <w:ind w:left="142"/>
        <w:rPr>
          <w:u w:val="single"/>
        </w:rPr>
      </w:pPr>
      <w:r w:rsidRPr="00244BB9">
        <w:rPr>
          <w:u w:val="single"/>
        </w:rPr>
        <w:t xml:space="preserve">Etapy změn vlastnických práv: </w:t>
      </w:r>
    </w:p>
    <w:p w14:paraId="7785D6B0" w14:textId="77777777" w:rsidR="00D6370C" w:rsidRPr="00244BB9" w:rsidRDefault="00D6370C" w:rsidP="00D46B53">
      <w:pPr>
        <w:pStyle w:val="Odstavecseseznamem"/>
        <w:numPr>
          <w:ilvl w:val="0"/>
          <w:numId w:val="499"/>
        </w:numPr>
      </w:pPr>
      <w:r w:rsidRPr="00244BB9">
        <w:t>1992 – 2000 → privatizace a restituce převážné části výrobních kapacit NH</w:t>
      </w:r>
    </w:p>
    <w:p w14:paraId="648A02B7" w14:textId="77777777" w:rsidR="00D6370C" w:rsidRPr="00244BB9" w:rsidRDefault="00D6370C" w:rsidP="00D46B53">
      <w:pPr>
        <w:pStyle w:val="Odstavecseseznamem"/>
        <w:numPr>
          <w:ilvl w:val="0"/>
          <w:numId w:val="499"/>
        </w:numPr>
      </w:pPr>
      <w:r w:rsidRPr="00244BB9">
        <w:t>2000 – 2010 → prodej státní zemědělské a lesnické půdy</w:t>
      </w:r>
    </w:p>
    <w:p w14:paraId="0223F068" w14:textId="694D8DFB" w:rsidR="00D6370C" w:rsidRPr="00244BB9" w:rsidRDefault="00D6370C" w:rsidP="00D46B53">
      <w:pPr>
        <w:pStyle w:val="Odstavecseseznamem"/>
        <w:numPr>
          <w:ilvl w:val="0"/>
          <w:numId w:val="499"/>
        </w:numPr>
      </w:pPr>
      <w:r w:rsidRPr="00244BB9">
        <w:t>2013 – 2042 → církevní restituce</w:t>
      </w:r>
    </w:p>
    <w:p w14:paraId="2296BB2E" w14:textId="22CE46FD" w:rsidR="002A2887" w:rsidRPr="00D6370C" w:rsidRDefault="002A2887" w:rsidP="003076FA">
      <w:pPr>
        <w:pStyle w:val="Nadpis3"/>
        <w:rPr>
          <w:rFonts w:eastAsia="Times New Roman"/>
          <w:color w:val="1F3864" w:themeColor="accent1" w:themeShade="80"/>
        </w:rPr>
      </w:pPr>
      <w:r>
        <w:rPr>
          <w:rFonts w:eastAsia="Times New Roman"/>
          <w:color w:val="1F3864" w:themeColor="accent1" w:themeShade="80"/>
        </w:rPr>
        <w:t xml:space="preserve"> </w:t>
      </w:r>
      <w:r w:rsidRPr="00C24093">
        <w:rPr>
          <w:rFonts w:eastAsia="Times New Roman"/>
          <w:color w:val="1F3864" w:themeColor="accent1" w:themeShade="80"/>
        </w:rPr>
        <w:t>Privatizace finančního sektoru</w:t>
      </w:r>
    </w:p>
    <w:p w14:paraId="4A6F5340" w14:textId="77777777" w:rsidR="008E0F74" w:rsidRPr="00FC3B7C" w:rsidRDefault="00256F29" w:rsidP="009309DD">
      <w:pPr>
        <w:rPr>
          <w:sz w:val="20"/>
          <w:szCs w:val="20"/>
        </w:rPr>
      </w:pPr>
      <w:r w:rsidRPr="00FC3B7C">
        <w:rPr>
          <w:rFonts w:eastAsia="Times New Roman"/>
        </w:rPr>
        <w:t>Na počátku přeměny centrálně plánované ekonomiky na tržní ekonomiku se v České republice projevil tzv. transformační dluh</w:t>
      </w:r>
      <w:r w:rsidRPr="00FC3B7C">
        <w:rPr>
          <w:rFonts w:eastAsia="Times New Roman"/>
          <w:b/>
          <w:bCs/>
        </w:rPr>
        <w:t>.</w:t>
      </w:r>
      <w:r w:rsidRPr="00FC3B7C">
        <w:rPr>
          <w:rFonts w:eastAsia="Times New Roman"/>
        </w:rPr>
        <w:t xml:space="preserve"> Ten byl způsoben jednak špatnou strukturou kapitálu, jednak nedobytnými pohledávkami českých podniků u zahraničních dlužníků. Tyto problémy vedly</w:t>
      </w:r>
      <w:r w:rsidR="009309DD">
        <w:rPr>
          <w:sz w:val="20"/>
          <w:szCs w:val="20"/>
        </w:rPr>
        <w:t xml:space="preserve"> </w:t>
      </w:r>
      <w:r w:rsidRPr="00FC3B7C">
        <w:rPr>
          <w:rFonts w:eastAsia="Times New Roman"/>
          <w:szCs w:val="24"/>
        </w:rPr>
        <w:t xml:space="preserve">nárůstu špatných úvěrů u bank. (Tento problém byl menší v zemích </w:t>
      </w:r>
      <w:r w:rsidR="009309DD">
        <w:rPr>
          <w:rFonts w:eastAsia="Times New Roman"/>
          <w:szCs w:val="24"/>
        </w:rPr>
        <w:br/>
      </w:r>
      <w:r w:rsidRPr="00FC3B7C">
        <w:rPr>
          <w:rFonts w:eastAsia="Times New Roman"/>
          <w:szCs w:val="24"/>
        </w:rPr>
        <w:lastRenderedPageBreak/>
        <w:t>s vysokou inflací, kde de facto došlo k částečnému oddlužení podniků, což se ČR netýkalo). Vláda se rozhodla nepřevést tíhu oddlužování na daňové poplatníky, rozhodla se přenechat restrukturalizaci až</w:t>
      </w:r>
      <w:r w:rsidR="009309DD">
        <w:rPr>
          <w:sz w:val="20"/>
          <w:szCs w:val="20"/>
        </w:rPr>
        <w:t xml:space="preserve"> </w:t>
      </w:r>
      <w:r w:rsidRPr="00FC3B7C">
        <w:rPr>
          <w:rFonts w:eastAsia="Times New Roman"/>
          <w:szCs w:val="24"/>
        </w:rPr>
        <w:t>na nové vlastníky a nechtěla sama podniky restrukturalizovat.</w:t>
      </w:r>
    </w:p>
    <w:p w14:paraId="4A6F5341" w14:textId="77777777" w:rsidR="008E0F74" w:rsidRPr="00244BB9" w:rsidRDefault="00256F29" w:rsidP="009309DD">
      <w:pPr>
        <w:rPr>
          <w:sz w:val="20"/>
          <w:szCs w:val="20"/>
        </w:rPr>
      </w:pPr>
      <w:r w:rsidRPr="00FC3B7C">
        <w:rPr>
          <w:rFonts w:eastAsia="Times New Roman"/>
        </w:rPr>
        <w:t>Za socialismu měla v ČSR dominantní roli Státní banka Československá, ta měla na starost jak funkce centrální banky (kurzová politika, tisk peněz), tak funkce komerčních bank (vklady, úvěry atp.) Jejími klienty ale byly pouze firmy. Dále existovaly Živnostenská banka (devizové</w:t>
      </w:r>
      <w:bookmarkStart w:id="460" w:name="page473"/>
      <w:bookmarkEnd w:id="460"/>
      <w:r w:rsidR="009309DD">
        <w:rPr>
          <w:rFonts w:eastAsia="Times New Roman"/>
        </w:rPr>
        <w:t xml:space="preserve"> </w:t>
      </w:r>
      <w:r w:rsidRPr="00FC3B7C">
        <w:rPr>
          <w:rFonts w:eastAsia="Times New Roman"/>
        </w:rPr>
        <w:t xml:space="preserve">operace pro soukromou klientelu), Československá obchodní banka (platební styk v rámci RVHP) a dvě spořitelny-Česká a Slovenská – ty měly klienty v podobě domácností. </w:t>
      </w:r>
      <w:r w:rsidR="009309DD">
        <w:rPr>
          <w:rFonts w:eastAsia="Times New Roman"/>
        </w:rPr>
        <w:br/>
      </w:r>
      <w:r w:rsidRPr="00FC3B7C">
        <w:rPr>
          <w:rFonts w:eastAsia="Times New Roman"/>
        </w:rPr>
        <w:t xml:space="preserve">I komunisté si uvědomovali nefunkčnost tohoto sytému a proto byl zaveden už roku 1989 dvoustupňový systém, kdy se ze SBČS vyčlenily tři banky (Komerční banka, Investiční </w:t>
      </w:r>
      <w:r w:rsidRPr="00244BB9">
        <w:rPr>
          <w:rFonts w:eastAsia="Times New Roman"/>
        </w:rPr>
        <w:t>banka a Všeobecná úvěrová) a jedna spořitelna - Česká státní spořitelna.</w:t>
      </w:r>
    </w:p>
    <w:p w14:paraId="5D034334" w14:textId="12C37E8A" w:rsidR="005F2775" w:rsidRPr="00244BB9" w:rsidRDefault="00256F29" w:rsidP="009309DD">
      <w:pPr>
        <w:rPr>
          <w:rFonts w:eastAsia="Times New Roman"/>
        </w:rPr>
      </w:pPr>
      <w:r w:rsidRPr="00244BB9">
        <w:rPr>
          <w:rFonts w:eastAsia="Times New Roman"/>
        </w:rPr>
        <w:t>Po roce 1989 došlo k rychlému nárůstu počtu bank, především těch malých, díky nízké míře regulace – k založení stačilo pouze 50milionů Kč. Časem se začaly podmínky zpřísňovat</w:t>
      </w:r>
      <w:r w:rsidR="009309DD" w:rsidRPr="00244BB9">
        <w:rPr>
          <w:rFonts w:eastAsia="Times New Roman"/>
        </w:rPr>
        <w:br/>
      </w:r>
      <w:r w:rsidRPr="00244BB9">
        <w:rPr>
          <w:rFonts w:eastAsia="Times New Roman"/>
        </w:rPr>
        <w:t xml:space="preserve"> a v roce 1993 bylo třeba už 500 mil. Na počátku transformace byl bankovní trh koncentrovaný, nové banky měly minimální procento trhu (7,2 % úvěry, 4 % vklady).</w:t>
      </w:r>
      <w:r w:rsidR="005F2775" w:rsidRPr="00244BB9">
        <w:rPr>
          <w:rFonts w:eastAsia="Times New Roman"/>
        </w:rPr>
        <w:t xml:space="preserve"> Privatizace komerčních bank je považována za nejméně povedenou část privatizace. Následný ekonomický výkon zprivatizovaných bank ukázal, že nebyly v tak špatném stavu, jak bylo prezentováno</w:t>
      </w:r>
    </w:p>
    <w:p w14:paraId="6590BABB" w14:textId="77777777" w:rsidR="005F2775" w:rsidRPr="00244BB9" w:rsidRDefault="005F2775" w:rsidP="009309DD">
      <w:pPr>
        <w:rPr>
          <w:rFonts w:eastAsia="Times New Roman"/>
        </w:rPr>
      </w:pPr>
    </w:p>
    <w:p w14:paraId="0AD43457" w14:textId="641E486D" w:rsidR="005F2775" w:rsidRPr="00244BB9" w:rsidRDefault="005F2775" w:rsidP="005F2775">
      <w:pPr>
        <w:rPr>
          <w:rFonts w:eastAsia="Times New Roman"/>
        </w:rPr>
      </w:pPr>
      <w:r w:rsidRPr="00244BB9">
        <w:rPr>
          <w:rFonts w:eastAsia="Times New Roman"/>
        </w:rPr>
        <w:t>Týká se ČS, ČSOB, KB, IPB, ŽB → zisk cca 105 mld. a náklady státu na vyvedení nebonitních aktiv do konsolidačních institucí cca 340 mld. = ztráta státu ve výši 235 mld. Kč</w:t>
      </w:r>
    </w:p>
    <w:p w14:paraId="78CD5C87" w14:textId="77777777" w:rsidR="005F2775" w:rsidRPr="00244BB9" w:rsidRDefault="005F2775" w:rsidP="005F2775">
      <w:pPr>
        <w:rPr>
          <w:rFonts w:eastAsia="Times New Roman"/>
        </w:rPr>
      </w:pPr>
    </w:p>
    <w:p w14:paraId="6C10DC8F" w14:textId="7D5EA2C1" w:rsidR="005F2775" w:rsidRPr="00244BB9" w:rsidRDefault="005F2775" w:rsidP="005F2775">
      <w:pPr>
        <w:rPr>
          <w:rFonts w:eastAsia="Times New Roman"/>
        </w:rPr>
      </w:pPr>
      <w:r w:rsidRPr="00244BB9">
        <w:rPr>
          <w:rFonts w:eastAsia="Times New Roman"/>
          <w:i/>
          <w:iCs/>
        </w:rPr>
        <w:t>„Nemůže být pochyb o tom, že rozhodující manažeři tehdejšího ministerstva financí museli být součástí zájmových skupin, které dobývali svou rentu tím, že šířili asymetrické informace, tak aby vytvořili prostředí pro nezbytnost finančního posílení bank, což je učebnicový příklad teorie vládního selhání, negativního výběru a morálního hazardu.“</w:t>
      </w:r>
      <w:r w:rsidR="003376E1">
        <w:rPr>
          <w:rFonts w:eastAsia="Times New Roman"/>
          <w:i/>
          <w:iCs/>
        </w:rPr>
        <w:t xml:space="preserve"> </w:t>
      </w:r>
      <w:r w:rsidRPr="00244BB9">
        <w:rPr>
          <w:rFonts w:eastAsia="Times New Roman"/>
        </w:rPr>
        <w:t xml:space="preserve">(Zeman 2018, </w:t>
      </w:r>
      <w:r w:rsidR="00996B5C" w:rsidRPr="00244BB9">
        <w:rPr>
          <w:rFonts w:eastAsia="Times New Roman"/>
        </w:rPr>
        <w:t>s. 192</w:t>
      </w:r>
      <w:r w:rsidRPr="00244BB9">
        <w:rPr>
          <w:rFonts w:eastAsia="Times New Roman"/>
        </w:rPr>
        <w:t>)</w:t>
      </w:r>
    </w:p>
    <w:p w14:paraId="63623062" w14:textId="77777777" w:rsidR="005F2775" w:rsidRPr="005F2775" w:rsidRDefault="005F2775" w:rsidP="009309DD">
      <w:pPr>
        <w:rPr>
          <w:rFonts w:eastAsia="Times New Roman"/>
        </w:rPr>
      </w:pPr>
    </w:p>
    <w:p w14:paraId="4A6F5343" w14:textId="77777777" w:rsidR="008E0F74" w:rsidRPr="00FC3B7C" w:rsidRDefault="00256F29" w:rsidP="009309DD">
      <w:pPr>
        <w:ind w:left="4"/>
        <w:rPr>
          <w:sz w:val="20"/>
          <w:szCs w:val="20"/>
        </w:rPr>
      </w:pPr>
      <w:r w:rsidRPr="00FC3B7C">
        <w:rPr>
          <w:rFonts w:eastAsia="Times New Roman"/>
          <w:b/>
          <w:bCs/>
          <w:i/>
          <w:iCs/>
          <w:szCs w:val="24"/>
        </w:rPr>
        <w:t>Na počátku transformace byly založeny státem instituce:</w:t>
      </w:r>
    </w:p>
    <w:p w14:paraId="4A6F5344" w14:textId="77777777" w:rsidR="008E0F74" w:rsidRPr="00FC3B7C" w:rsidRDefault="00256F29" w:rsidP="009309DD">
      <w:pPr>
        <w:ind w:left="4" w:right="20"/>
        <w:rPr>
          <w:sz w:val="20"/>
          <w:szCs w:val="20"/>
        </w:rPr>
      </w:pPr>
      <w:r w:rsidRPr="00FC3B7C">
        <w:rPr>
          <w:rFonts w:eastAsia="Times New Roman"/>
          <w:b/>
          <w:bCs/>
          <w:i/>
          <w:iCs/>
          <w:szCs w:val="24"/>
        </w:rPr>
        <w:t xml:space="preserve">Českomoravská záruční a rozvojová banka </w:t>
      </w:r>
      <w:r w:rsidRPr="00FC3B7C">
        <w:rPr>
          <w:rFonts w:eastAsia="Times New Roman"/>
          <w:szCs w:val="24"/>
        </w:rPr>
        <w:t>- podpora malých a středních firem formou</w:t>
      </w:r>
      <w:r w:rsidRPr="00FC3B7C">
        <w:rPr>
          <w:rFonts w:eastAsia="Times New Roman"/>
          <w:b/>
          <w:bCs/>
          <w:i/>
          <w:iCs/>
          <w:szCs w:val="24"/>
        </w:rPr>
        <w:t xml:space="preserve"> </w:t>
      </w:r>
      <w:r w:rsidRPr="00FC3B7C">
        <w:rPr>
          <w:rFonts w:eastAsia="Times New Roman"/>
          <w:szCs w:val="24"/>
        </w:rPr>
        <w:t>výhodných úvěrů</w:t>
      </w:r>
    </w:p>
    <w:p w14:paraId="4A6F5345" w14:textId="77777777" w:rsidR="008E0F74" w:rsidRPr="00FC3B7C" w:rsidRDefault="00256F29" w:rsidP="009309DD">
      <w:pPr>
        <w:ind w:left="4" w:right="20"/>
        <w:rPr>
          <w:sz w:val="20"/>
          <w:szCs w:val="20"/>
        </w:rPr>
      </w:pPr>
      <w:r w:rsidRPr="00FC3B7C">
        <w:rPr>
          <w:rFonts w:eastAsia="Times New Roman"/>
          <w:b/>
          <w:bCs/>
          <w:i/>
          <w:iCs/>
          <w:szCs w:val="24"/>
        </w:rPr>
        <w:t xml:space="preserve">Česká exportní banka </w:t>
      </w:r>
      <w:r w:rsidRPr="00FC3B7C">
        <w:rPr>
          <w:rFonts w:eastAsia="Times New Roman"/>
          <w:szCs w:val="24"/>
        </w:rPr>
        <w:t>– doplňuje služby nabízené domácí bankovní soustavou financování</w:t>
      </w:r>
      <w:r w:rsidRPr="00FC3B7C">
        <w:rPr>
          <w:rFonts w:eastAsia="Times New Roman"/>
          <w:b/>
          <w:bCs/>
          <w:i/>
          <w:iCs/>
          <w:szCs w:val="24"/>
        </w:rPr>
        <w:t xml:space="preserve"> </w:t>
      </w:r>
      <w:r w:rsidRPr="00FC3B7C">
        <w:rPr>
          <w:rFonts w:eastAsia="Times New Roman"/>
          <w:szCs w:val="24"/>
        </w:rPr>
        <w:t>vývozních operací vyžadující dlouhodobé zdroje financování za úrokové sazby a v objemech, které jsou pro vývozce na bankovním trhu ve stávajících tuzemských podmínkách jinak nedosažitelné</w:t>
      </w:r>
    </w:p>
    <w:p w14:paraId="4A6F5346" w14:textId="2A24BCD0" w:rsidR="008E0F74" w:rsidRPr="00FC3B7C" w:rsidRDefault="00256F29" w:rsidP="009309DD">
      <w:pPr>
        <w:ind w:left="4" w:right="20"/>
        <w:rPr>
          <w:sz w:val="20"/>
          <w:szCs w:val="20"/>
        </w:rPr>
      </w:pPr>
      <w:r w:rsidRPr="00FC3B7C">
        <w:rPr>
          <w:rFonts w:eastAsia="Times New Roman"/>
          <w:b/>
          <w:bCs/>
          <w:i/>
          <w:iCs/>
          <w:szCs w:val="24"/>
        </w:rPr>
        <w:lastRenderedPageBreak/>
        <w:t xml:space="preserve">Konsolidační banka </w:t>
      </w:r>
      <w:r w:rsidRPr="00FC3B7C">
        <w:rPr>
          <w:rFonts w:eastAsia="Times New Roman"/>
          <w:szCs w:val="24"/>
        </w:rPr>
        <w:t xml:space="preserve">– Vznikla za účelem oddlužení bank. </w:t>
      </w:r>
      <w:r w:rsidR="00996B5C" w:rsidRPr="00FC3B7C">
        <w:rPr>
          <w:rFonts w:eastAsia="Times New Roman"/>
          <w:szCs w:val="24"/>
        </w:rPr>
        <w:t>Na</w:t>
      </w:r>
      <w:r w:rsidRPr="00FC3B7C">
        <w:rPr>
          <w:rFonts w:eastAsia="Times New Roman"/>
          <w:szCs w:val="24"/>
        </w:rPr>
        <w:t xml:space="preserve"> ni bylo převedeno cca 80 </w:t>
      </w:r>
      <w:r w:rsidR="00996B5C" w:rsidRPr="00FC3B7C">
        <w:rPr>
          <w:rFonts w:eastAsia="Times New Roman"/>
          <w:szCs w:val="24"/>
        </w:rPr>
        <w:t>mld.</w:t>
      </w:r>
      <w:r w:rsidRPr="00FC3B7C">
        <w:rPr>
          <w:rFonts w:eastAsia="Times New Roman"/>
          <w:b/>
          <w:bCs/>
          <w:i/>
          <w:iCs/>
          <w:szCs w:val="24"/>
        </w:rPr>
        <w:t xml:space="preserve"> </w:t>
      </w:r>
      <w:r w:rsidRPr="00FC3B7C">
        <w:rPr>
          <w:rFonts w:eastAsia="Times New Roman"/>
          <w:szCs w:val="24"/>
        </w:rPr>
        <w:t>úvěrů a špatných aktiv bank Tato banka měla za úkol vyčistit bankovní bilance od dluhů tak, aby splňovaly mezinárodně uznávaná kritéria kapitálové přiměřenosti. Jelikož ale musela pracovat ve stejném režimu jako ostatní banky (přísná omezení, např. tvorba rezerv, nesměla přejímat majoritní podíl ve společnostech, což vcelku ztěžovalo podniky restrukturalizovat), tak byla roku 2001 převedena na Konsolidační agenturu. V této podobě se na ní již přísné regulace nevztahují. Podniky se také často dostaly do problémů se solventností. Nebyly schopny splácet dluhy, a jelikož restriktivní politika CB (úvěrové stropy) nedovolovala dostatečné půjčky, nebylo si možno půjčovat tak, jak byly firmy zvyklé za socialismu. Docházelo pak k řetězení mezipodnikové platební neschopnosti.</w:t>
      </w:r>
    </w:p>
    <w:p w14:paraId="4A6F5347" w14:textId="77777777" w:rsidR="008E0F74" w:rsidRPr="00FC3B7C" w:rsidRDefault="00256F29" w:rsidP="00D46B53">
      <w:pPr>
        <w:numPr>
          <w:ilvl w:val="0"/>
          <w:numId w:val="513"/>
        </w:numPr>
        <w:tabs>
          <w:tab w:val="left" w:pos="268"/>
        </w:tabs>
        <w:ind w:left="4" w:right="20" w:hanging="4"/>
        <w:rPr>
          <w:rFonts w:eastAsia="Times New Roman"/>
          <w:szCs w:val="24"/>
        </w:rPr>
      </w:pPr>
      <w:r w:rsidRPr="00FC3B7C">
        <w:rPr>
          <w:rFonts w:eastAsia="Times New Roman"/>
          <w:szCs w:val="24"/>
        </w:rPr>
        <w:t>ČR byla privatizace bank značně opožděná, což bylo kritizováno, protože banky během kuponové privatizace zakládaly investiční fondy a vlastnily akcie mnoha podniků. Samotné banky však doposud byly státní, jednalo se o tzv. bankovní socialismus. To mělo mít zásadní nevýhodu v problému „too big to fail“, který byl zesílen tím, že banky byly státní. Stát mohl tlačit na banky, aby úvěrovaly hospodářsky důležité, čili velké společnosti. Mohl vznikat</w:t>
      </w:r>
    </w:p>
    <w:p w14:paraId="4A6F5348" w14:textId="77777777" w:rsidR="008E0F74" w:rsidRPr="00FC3B7C" w:rsidRDefault="00256F29" w:rsidP="009309DD">
      <w:pPr>
        <w:ind w:right="20"/>
        <w:rPr>
          <w:sz w:val="20"/>
          <w:szCs w:val="20"/>
        </w:rPr>
      </w:pPr>
      <w:bookmarkStart w:id="461" w:name="page474"/>
      <w:bookmarkEnd w:id="461"/>
      <w:r w:rsidRPr="00FC3B7C">
        <w:rPr>
          <w:rFonts w:eastAsia="Times New Roman"/>
          <w:szCs w:val="24"/>
        </w:rPr>
        <w:t>problém morálního hazardu. Banky mohly hospodařit neuváženě, protože věděly, že je stát nenechá padnout.</w:t>
      </w:r>
    </w:p>
    <w:p w14:paraId="4A6F5349" w14:textId="77777777" w:rsidR="008E0F74" w:rsidRPr="00FC3B7C" w:rsidRDefault="00256F29" w:rsidP="000040D6">
      <w:pPr>
        <w:ind w:right="20"/>
        <w:rPr>
          <w:sz w:val="20"/>
          <w:szCs w:val="20"/>
        </w:rPr>
      </w:pPr>
      <w:r w:rsidRPr="00FC3B7C">
        <w:rPr>
          <w:rFonts w:eastAsia="Times New Roman"/>
          <w:sz w:val="23"/>
          <w:szCs w:val="23"/>
        </w:rPr>
        <w:t xml:space="preserve">Zpoždění privatizace bank mělo však důvody ve zvolené privatizační strategii. Systém rychlé privatizace vyžadoval konstantní chování bankovních institucí v jeho průběhu ve věci úvěrování podniků. Pokud by se banky začaly po rychlé privatizaci ihned chovat tržně, nebyly by ochotny </w:t>
      </w:r>
      <w:r w:rsidR="000040D6">
        <w:rPr>
          <w:rFonts w:eastAsia="Times New Roman"/>
          <w:sz w:val="23"/>
          <w:szCs w:val="23"/>
        </w:rPr>
        <w:t>p</w:t>
      </w:r>
      <w:r w:rsidRPr="00FC3B7C">
        <w:rPr>
          <w:rFonts w:eastAsia="Times New Roman"/>
          <w:sz w:val="23"/>
          <w:szCs w:val="23"/>
        </w:rPr>
        <w:t>oskytovat transformační a restrukturalizační úvěry a celý proces transformace by mohl být ohrožen. Proto byla privatizace bank odložena až na dobu po hromadné privatizaci. (respektive banky byly částečně privatizovány, ale rozhodující část akcií držel stát).</w:t>
      </w:r>
    </w:p>
    <w:p w14:paraId="4A6F534A" w14:textId="77777777" w:rsidR="008E0F74" w:rsidRPr="00FC3B7C" w:rsidRDefault="00256F29" w:rsidP="000040D6">
      <w:pPr>
        <w:ind w:right="20"/>
        <w:rPr>
          <w:sz w:val="20"/>
          <w:szCs w:val="20"/>
        </w:rPr>
      </w:pPr>
      <w:r w:rsidRPr="00FC3B7C">
        <w:rPr>
          <w:rFonts w:eastAsia="Times New Roman"/>
          <w:szCs w:val="24"/>
        </w:rPr>
        <w:t xml:space="preserve">Na počátku transformačního období existovaly zcela státní banky - Živnostenská, Česká státní spořitelna, Komerční banka, Investiční banka a Československá obchodní banka (restrukturalizace z roku 1989). První tři jmenované byly roku 1992 převedeny na a.s. a část převedena do kuponové privatizace. V průběhu 90. let se díky navyšování kapitálu bank měnila procentuální rozložení vlastnických podílů a tedy postupně stát ztrácel většinový podíl a i kontrolu nad bankami. Jediná banka, která byla rovnou privatizována z více než 50%, byla Živnostenská banka. ČSSD se zavázala, že banky zprivatizuje do roku 2000, což se téměř povedlo. Podmínkou pro možnost ucházet se o některou z bank bylo, že zájemci museli mít bankovní licenci a vyšší rating než ČR, tedy banky se mohly dostat jen do rukou institucí </w:t>
      </w:r>
      <w:r w:rsidR="000040D6">
        <w:rPr>
          <w:rFonts w:eastAsia="Times New Roman"/>
          <w:szCs w:val="24"/>
        </w:rPr>
        <w:br/>
      </w:r>
      <w:r w:rsidRPr="00FC3B7C">
        <w:rPr>
          <w:rFonts w:eastAsia="Times New Roman"/>
          <w:szCs w:val="24"/>
        </w:rPr>
        <w:t>z vyspělých ekonomik.</w:t>
      </w:r>
    </w:p>
    <w:p w14:paraId="4A6F534B" w14:textId="77777777" w:rsidR="008E0F74" w:rsidRPr="00FC3B7C" w:rsidRDefault="008E0F74">
      <w:pPr>
        <w:spacing w:line="202" w:lineRule="exact"/>
        <w:rPr>
          <w:sz w:val="20"/>
          <w:szCs w:val="20"/>
        </w:rPr>
      </w:pPr>
    </w:p>
    <w:p w14:paraId="4A6F534C" w14:textId="77777777" w:rsidR="008E0F74" w:rsidRPr="00C24093" w:rsidRDefault="00256F29" w:rsidP="000040D6">
      <w:pPr>
        <w:pStyle w:val="Nadpis4"/>
        <w:rPr>
          <w:color w:val="1F3864" w:themeColor="accent1" w:themeShade="80"/>
          <w:sz w:val="20"/>
          <w:szCs w:val="20"/>
        </w:rPr>
      </w:pPr>
      <w:r w:rsidRPr="00C24093">
        <w:rPr>
          <w:rFonts w:eastAsia="Times New Roman"/>
          <w:color w:val="1F3864" w:themeColor="accent1" w:themeShade="80"/>
        </w:rPr>
        <w:t>Česká státní spořitelna</w:t>
      </w:r>
    </w:p>
    <w:p w14:paraId="4A6F534D" w14:textId="77777777" w:rsidR="008E0F74" w:rsidRPr="00FC3B7C" w:rsidRDefault="00256F29" w:rsidP="00D46B53">
      <w:pPr>
        <w:numPr>
          <w:ilvl w:val="0"/>
          <w:numId w:val="514"/>
        </w:numPr>
        <w:tabs>
          <w:tab w:val="left" w:pos="840"/>
        </w:tabs>
        <w:ind w:left="840" w:hanging="350"/>
        <w:rPr>
          <w:rFonts w:eastAsia="Times New Roman"/>
          <w:szCs w:val="24"/>
        </w:rPr>
      </w:pPr>
      <w:r w:rsidRPr="00FC3B7C">
        <w:rPr>
          <w:rFonts w:eastAsia="Times New Roman"/>
          <w:szCs w:val="24"/>
        </w:rPr>
        <w:t>Od roku 1991 název Česká spořitelna</w:t>
      </w:r>
    </w:p>
    <w:p w14:paraId="4A6F534E" w14:textId="77777777" w:rsidR="008E0F74" w:rsidRPr="00FC3B7C" w:rsidRDefault="00256F29" w:rsidP="00D46B53">
      <w:pPr>
        <w:numPr>
          <w:ilvl w:val="0"/>
          <w:numId w:val="514"/>
        </w:numPr>
        <w:tabs>
          <w:tab w:val="left" w:pos="820"/>
        </w:tabs>
        <w:ind w:left="820" w:hanging="330"/>
        <w:rPr>
          <w:rFonts w:eastAsia="Times New Roman"/>
          <w:szCs w:val="24"/>
        </w:rPr>
      </w:pPr>
      <w:r w:rsidRPr="00FC3B7C">
        <w:rPr>
          <w:rFonts w:eastAsia="Times New Roman"/>
          <w:szCs w:val="24"/>
        </w:rPr>
        <w:t>1992 → převedena na akciovou společnost</w:t>
      </w:r>
    </w:p>
    <w:p w14:paraId="4A6F534F" w14:textId="77777777" w:rsidR="008E0F74" w:rsidRPr="00FC3B7C" w:rsidRDefault="00256F29" w:rsidP="00D46B53">
      <w:pPr>
        <w:numPr>
          <w:ilvl w:val="0"/>
          <w:numId w:val="514"/>
        </w:numPr>
        <w:tabs>
          <w:tab w:val="left" w:pos="820"/>
        </w:tabs>
        <w:ind w:left="820" w:hanging="330"/>
        <w:rPr>
          <w:rFonts w:eastAsia="Times New Roman"/>
          <w:sz w:val="23"/>
          <w:szCs w:val="23"/>
        </w:rPr>
      </w:pPr>
      <w:r w:rsidRPr="00FC3B7C">
        <w:rPr>
          <w:rFonts w:eastAsia="Times New Roman"/>
          <w:sz w:val="23"/>
          <w:szCs w:val="23"/>
        </w:rPr>
        <w:t>1992 – 1993 → 37% privatizováno pomocí kuponů, 20 % převedeno na obce a města</w:t>
      </w:r>
    </w:p>
    <w:p w14:paraId="4A6F5350" w14:textId="77777777" w:rsidR="008E0F74" w:rsidRPr="00FC3B7C" w:rsidRDefault="00256F29" w:rsidP="00D46B53">
      <w:pPr>
        <w:numPr>
          <w:ilvl w:val="0"/>
          <w:numId w:val="514"/>
        </w:numPr>
        <w:tabs>
          <w:tab w:val="left" w:pos="820"/>
        </w:tabs>
        <w:ind w:left="820" w:hanging="330"/>
        <w:rPr>
          <w:rFonts w:eastAsia="Times New Roman"/>
          <w:szCs w:val="24"/>
        </w:rPr>
      </w:pPr>
      <w:r w:rsidRPr="00FC3B7C">
        <w:rPr>
          <w:rFonts w:eastAsia="Times New Roman"/>
          <w:szCs w:val="24"/>
        </w:rPr>
        <w:t>2000 → 52% kupuje Erste Bank za 19,3mld</w:t>
      </w:r>
    </w:p>
    <w:p w14:paraId="4A6F5351" w14:textId="77777777" w:rsidR="008E0F74" w:rsidRPr="00FC3B7C" w:rsidRDefault="008E0F74">
      <w:pPr>
        <w:spacing w:line="371" w:lineRule="exact"/>
        <w:rPr>
          <w:sz w:val="20"/>
          <w:szCs w:val="20"/>
        </w:rPr>
      </w:pPr>
    </w:p>
    <w:p w14:paraId="4A6F5352" w14:textId="77777777" w:rsidR="008E0F74" w:rsidRPr="00C24093" w:rsidRDefault="00256F29" w:rsidP="000040D6">
      <w:pPr>
        <w:pStyle w:val="Nadpis4"/>
        <w:rPr>
          <w:color w:val="1F3864" w:themeColor="accent1" w:themeShade="80"/>
          <w:sz w:val="20"/>
          <w:szCs w:val="20"/>
        </w:rPr>
      </w:pPr>
      <w:r w:rsidRPr="00C24093">
        <w:rPr>
          <w:rFonts w:eastAsia="Times New Roman"/>
          <w:color w:val="1F3864" w:themeColor="accent1" w:themeShade="80"/>
        </w:rPr>
        <w:t>Komerční</w:t>
      </w:r>
      <w:r w:rsidRPr="00C24093">
        <w:rPr>
          <w:rStyle w:val="Nadpis4Char"/>
          <w:color w:val="1F3864" w:themeColor="accent1" w:themeShade="80"/>
        </w:rPr>
        <w:t xml:space="preserve"> </w:t>
      </w:r>
      <w:r w:rsidRPr="00C24093">
        <w:rPr>
          <w:rFonts w:eastAsia="Times New Roman"/>
          <w:color w:val="1F3864" w:themeColor="accent1" w:themeShade="80"/>
        </w:rPr>
        <w:t>banka</w:t>
      </w:r>
    </w:p>
    <w:p w14:paraId="4A6F5353" w14:textId="77777777" w:rsidR="008E0F74" w:rsidRPr="00FC3B7C" w:rsidRDefault="00256F29" w:rsidP="00D46B53">
      <w:pPr>
        <w:numPr>
          <w:ilvl w:val="0"/>
          <w:numId w:val="515"/>
        </w:numPr>
        <w:tabs>
          <w:tab w:val="left" w:pos="840"/>
        </w:tabs>
        <w:ind w:left="840" w:hanging="350"/>
        <w:rPr>
          <w:rFonts w:eastAsia="Times New Roman"/>
          <w:szCs w:val="24"/>
        </w:rPr>
      </w:pPr>
      <w:r w:rsidRPr="00FC3B7C">
        <w:rPr>
          <w:rFonts w:eastAsia="Times New Roman"/>
          <w:szCs w:val="24"/>
        </w:rPr>
        <w:t>1992 → převedena na akciovou společnost</w:t>
      </w:r>
    </w:p>
    <w:p w14:paraId="4A6F5354" w14:textId="77777777" w:rsidR="008E0F74" w:rsidRPr="00FC3B7C" w:rsidRDefault="00256F29" w:rsidP="00D46B53">
      <w:pPr>
        <w:numPr>
          <w:ilvl w:val="0"/>
          <w:numId w:val="515"/>
        </w:numPr>
        <w:tabs>
          <w:tab w:val="left" w:pos="840"/>
        </w:tabs>
        <w:ind w:left="840" w:hanging="350"/>
        <w:rPr>
          <w:rFonts w:eastAsia="Times New Roman"/>
          <w:szCs w:val="24"/>
        </w:rPr>
      </w:pPr>
      <w:r w:rsidRPr="00FC3B7C">
        <w:rPr>
          <w:rFonts w:eastAsia="Times New Roman"/>
          <w:szCs w:val="24"/>
        </w:rPr>
        <w:t>1992 → 48% privatizováno pomocí kuponů</w:t>
      </w:r>
    </w:p>
    <w:p w14:paraId="4A6F5355" w14:textId="77777777" w:rsidR="008E0F74" w:rsidRPr="00FC3B7C" w:rsidRDefault="00256F29" w:rsidP="00D46B53">
      <w:pPr>
        <w:numPr>
          <w:ilvl w:val="0"/>
          <w:numId w:val="515"/>
        </w:numPr>
        <w:tabs>
          <w:tab w:val="left" w:pos="840"/>
        </w:tabs>
        <w:ind w:left="840" w:hanging="350"/>
        <w:rPr>
          <w:rFonts w:eastAsia="Times New Roman"/>
          <w:szCs w:val="24"/>
        </w:rPr>
      </w:pPr>
      <w:r w:rsidRPr="00FC3B7C">
        <w:rPr>
          <w:rFonts w:eastAsia="Times New Roman"/>
          <w:szCs w:val="24"/>
        </w:rPr>
        <w:t>2001 → 60% kupuje Société Générale za 40mld</w:t>
      </w:r>
    </w:p>
    <w:p w14:paraId="4A6F5356" w14:textId="77777777" w:rsidR="008E0F74" w:rsidRPr="00FC3B7C" w:rsidRDefault="008E0F74">
      <w:pPr>
        <w:spacing w:line="371" w:lineRule="exact"/>
        <w:rPr>
          <w:sz w:val="20"/>
          <w:szCs w:val="20"/>
        </w:rPr>
      </w:pPr>
    </w:p>
    <w:p w14:paraId="4A6F5358" w14:textId="2D19B8F6" w:rsidR="008E0F74" w:rsidRPr="00756691" w:rsidRDefault="00256F29" w:rsidP="00756691">
      <w:pPr>
        <w:pStyle w:val="Nadpis4"/>
        <w:rPr>
          <w:color w:val="1F3864" w:themeColor="accent1" w:themeShade="80"/>
          <w:sz w:val="20"/>
          <w:szCs w:val="20"/>
        </w:rPr>
      </w:pPr>
      <w:r w:rsidRPr="00C24093">
        <w:rPr>
          <w:rFonts w:eastAsia="Times New Roman"/>
          <w:color w:val="1F3864" w:themeColor="accent1" w:themeShade="80"/>
        </w:rPr>
        <w:t>ČSOB</w:t>
      </w:r>
    </w:p>
    <w:p w14:paraId="4A6F5359" w14:textId="77777777" w:rsidR="008E0F74" w:rsidRPr="00FC3B7C" w:rsidRDefault="00256F29" w:rsidP="00D46B53">
      <w:pPr>
        <w:numPr>
          <w:ilvl w:val="0"/>
          <w:numId w:val="516"/>
        </w:numPr>
        <w:tabs>
          <w:tab w:val="left" w:pos="1000"/>
        </w:tabs>
        <w:ind w:left="1000" w:hanging="358"/>
        <w:rPr>
          <w:rFonts w:eastAsia="Times New Roman"/>
          <w:szCs w:val="24"/>
        </w:rPr>
      </w:pPr>
      <w:r w:rsidRPr="00FC3B7C">
        <w:rPr>
          <w:rFonts w:eastAsia="Times New Roman"/>
          <w:szCs w:val="24"/>
        </w:rPr>
        <w:t>Akciovou společností už za minulého režimu</w:t>
      </w:r>
    </w:p>
    <w:p w14:paraId="4A6F535A" w14:textId="77777777" w:rsidR="008E0F74" w:rsidRPr="00FC3B7C" w:rsidRDefault="00256F29" w:rsidP="00D46B53">
      <w:pPr>
        <w:numPr>
          <w:ilvl w:val="0"/>
          <w:numId w:val="517"/>
        </w:numPr>
        <w:tabs>
          <w:tab w:val="left" w:pos="980"/>
        </w:tabs>
        <w:ind w:left="980" w:right="20" w:hanging="358"/>
        <w:rPr>
          <w:rFonts w:eastAsia="Times New Roman"/>
          <w:szCs w:val="24"/>
        </w:rPr>
      </w:pPr>
      <w:bookmarkStart w:id="462" w:name="page475"/>
      <w:bookmarkEnd w:id="462"/>
      <w:r w:rsidRPr="00FC3B7C">
        <w:rPr>
          <w:rFonts w:eastAsia="Times New Roman"/>
          <w:szCs w:val="24"/>
        </w:rPr>
        <w:t>Nebyla privatizována pomocí kuponů, protože 24% bylo vlastněno Národní bankou Slovenska</w:t>
      </w:r>
    </w:p>
    <w:p w14:paraId="4A6F535B" w14:textId="77777777" w:rsidR="008E0F74" w:rsidRPr="00FC3B7C" w:rsidRDefault="00256F29" w:rsidP="00D46B53">
      <w:pPr>
        <w:numPr>
          <w:ilvl w:val="0"/>
          <w:numId w:val="517"/>
        </w:numPr>
        <w:tabs>
          <w:tab w:val="left" w:pos="980"/>
        </w:tabs>
        <w:ind w:left="980" w:hanging="358"/>
        <w:rPr>
          <w:rFonts w:eastAsia="Times New Roman"/>
          <w:szCs w:val="24"/>
        </w:rPr>
      </w:pPr>
      <w:r w:rsidRPr="00FC3B7C">
        <w:rPr>
          <w:rFonts w:eastAsia="Times New Roman"/>
          <w:szCs w:val="24"/>
        </w:rPr>
        <w:t>1999 → 66% kupuje KBC za cca 25mld</w:t>
      </w:r>
    </w:p>
    <w:p w14:paraId="4A6F535C" w14:textId="77777777" w:rsidR="008E0F74" w:rsidRPr="00FC3B7C" w:rsidRDefault="008E0F74">
      <w:pPr>
        <w:spacing w:line="376" w:lineRule="exact"/>
        <w:rPr>
          <w:sz w:val="20"/>
          <w:szCs w:val="20"/>
        </w:rPr>
      </w:pPr>
    </w:p>
    <w:p w14:paraId="4A6F535D" w14:textId="77777777" w:rsidR="008E0F74" w:rsidRPr="00C24093" w:rsidRDefault="00256F29" w:rsidP="000040D6">
      <w:pPr>
        <w:pStyle w:val="Nadpis4"/>
        <w:rPr>
          <w:color w:val="1F3864" w:themeColor="accent1" w:themeShade="80"/>
          <w:sz w:val="20"/>
          <w:szCs w:val="20"/>
        </w:rPr>
      </w:pPr>
      <w:r w:rsidRPr="00C24093">
        <w:rPr>
          <w:rFonts w:eastAsia="Times New Roman"/>
          <w:color w:val="1F3864" w:themeColor="accent1" w:themeShade="80"/>
        </w:rPr>
        <w:t>Živnostenská banka</w:t>
      </w:r>
    </w:p>
    <w:p w14:paraId="4A6F535E" w14:textId="77777777" w:rsidR="008E0F74" w:rsidRPr="00FC3B7C" w:rsidRDefault="00256F29" w:rsidP="00D46B53">
      <w:pPr>
        <w:numPr>
          <w:ilvl w:val="0"/>
          <w:numId w:val="518"/>
        </w:numPr>
        <w:tabs>
          <w:tab w:val="left" w:pos="800"/>
        </w:tabs>
        <w:ind w:left="800" w:hanging="178"/>
        <w:rPr>
          <w:rFonts w:eastAsia="Times New Roman"/>
          <w:szCs w:val="24"/>
        </w:rPr>
      </w:pPr>
      <w:r w:rsidRPr="00FC3B7C">
        <w:rPr>
          <w:rFonts w:eastAsia="Times New Roman"/>
          <w:szCs w:val="24"/>
        </w:rPr>
        <w:t>1992 → převedena na akciovou společnost</w:t>
      </w:r>
    </w:p>
    <w:p w14:paraId="4A6F535F" w14:textId="77777777" w:rsidR="008E0F74" w:rsidRPr="00FC3B7C" w:rsidRDefault="00256F29" w:rsidP="00D46B53">
      <w:pPr>
        <w:numPr>
          <w:ilvl w:val="0"/>
          <w:numId w:val="518"/>
        </w:numPr>
        <w:tabs>
          <w:tab w:val="left" w:pos="800"/>
        </w:tabs>
        <w:ind w:left="800" w:hanging="178"/>
        <w:rPr>
          <w:rFonts w:eastAsia="Times New Roman"/>
          <w:szCs w:val="24"/>
        </w:rPr>
      </w:pPr>
      <w:r w:rsidRPr="00FC3B7C">
        <w:rPr>
          <w:rFonts w:eastAsia="Times New Roman"/>
          <w:szCs w:val="24"/>
        </w:rPr>
        <w:t>1992 → prodáno 52% (první většinově privatizovaná banka) BHF-Bank a IFC</w:t>
      </w:r>
    </w:p>
    <w:p w14:paraId="4A6F5360" w14:textId="77777777" w:rsidR="008E0F74" w:rsidRPr="00FC3B7C" w:rsidRDefault="00256F29" w:rsidP="00D46B53">
      <w:pPr>
        <w:numPr>
          <w:ilvl w:val="0"/>
          <w:numId w:val="518"/>
        </w:numPr>
        <w:tabs>
          <w:tab w:val="left" w:pos="800"/>
        </w:tabs>
        <w:ind w:left="800" w:hanging="178"/>
        <w:rPr>
          <w:rFonts w:eastAsia="Times New Roman"/>
          <w:szCs w:val="24"/>
        </w:rPr>
      </w:pPr>
      <w:r w:rsidRPr="00FC3B7C">
        <w:rPr>
          <w:rFonts w:eastAsia="Times New Roman"/>
          <w:szCs w:val="24"/>
        </w:rPr>
        <w:t>2007 → Unicredit bank</w:t>
      </w:r>
    </w:p>
    <w:p w14:paraId="4A6F5361" w14:textId="77777777" w:rsidR="008E0F74" w:rsidRPr="00FC3B7C" w:rsidRDefault="008E0F74">
      <w:pPr>
        <w:spacing w:line="376" w:lineRule="exact"/>
        <w:rPr>
          <w:sz w:val="20"/>
          <w:szCs w:val="20"/>
        </w:rPr>
      </w:pPr>
    </w:p>
    <w:p w14:paraId="4A6F5362" w14:textId="77777777" w:rsidR="008E0F74" w:rsidRPr="00C24093" w:rsidRDefault="00256F29" w:rsidP="000040D6">
      <w:pPr>
        <w:pStyle w:val="Nadpis4"/>
        <w:rPr>
          <w:color w:val="1F3864" w:themeColor="accent1" w:themeShade="80"/>
          <w:sz w:val="20"/>
          <w:szCs w:val="20"/>
        </w:rPr>
      </w:pPr>
      <w:r w:rsidRPr="00C24093">
        <w:rPr>
          <w:rFonts w:eastAsia="Times New Roman"/>
          <w:color w:val="1F3864" w:themeColor="accent1" w:themeShade="80"/>
        </w:rPr>
        <w:t>Investiční a poštovní banka (IPB)</w:t>
      </w:r>
    </w:p>
    <w:p w14:paraId="4A6F5363" w14:textId="77777777" w:rsidR="008E0F74" w:rsidRPr="00FC3B7C" w:rsidRDefault="00256F29" w:rsidP="00D46B53">
      <w:pPr>
        <w:numPr>
          <w:ilvl w:val="0"/>
          <w:numId w:val="519"/>
        </w:numPr>
        <w:tabs>
          <w:tab w:val="left" w:pos="800"/>
        </w:tabs>
        <w:ind w:left="800" w:hanging="178"/>
        <w:rPr>
          <w:rFonts w:eastAsia="Times New Roman"/>
          <w:szCs w:val="24"/>
        </w:rPr>
      </w:pPr>
      <w:r w:rsidRPr="00FC3B7C">
        <w:rPr>
          <w:rFonts w:eastAsia="Times New Roman"/>
          <w:szCs w:val="24"/>
        </w:rPr>
        <w:t>1992 → převedena na akciovou společnost</w:t>
      </w:r>
    </w:p>
    <w:p w14:paraId="4A6F5364" w14:textId="77777777" w:rsidR="008E0F74" w:rsidRPr="00FC3B7C" w:rsidRDefault="00256F29" w:rsidP="00D46B53">
      <w:pPr>
        <w:numPr>
          <w:ilvl w:val="0"/>
          <w:numId w:val="519"/>
        </w:numPr>
        <w:tabs>
          <w:tab w:val="left" w:pos="800"/>
        </w:tabs>
        <w:ind w:left="800" w:hanging="178"/>
        <w:rPr>
          <w:rFonts w:eastAsia="Times New Roman"/>
          <w:szCs w:val="24"/>
        </w:rPr>
      </w:pPr>
      <w:r w:rsidRPr="00FC3B7C">
        <w:rPr>
          <w:rFonts w:eastAsia="Times New Roman"/>
          <w:szCs w:val="24"/>
        </w:rPr>
        <w:t>1992 → 49% privatizován pomocí kuponů</w:t>
      </w:r>
    </w:p>
    <w:p w14:paraId="4A6F5365" w14:textId="77777777" w:rsidR="008E0F74" w:rsidRPr="00FC3B7C" w:rsidRDefault="00256F29" w:rsidP="00D46B53">
      <w:pPr>
        <w:numPr>
          <w:ilvl w:val="0"/>
          <w:numId w:val="519"/>
        </w:numPr>
        <w:tabs>
          <w:tab w:val="left" w:pos="800"/>
        </w:tabs>
        <w:ind w:left="800" w:hanging="178"/>
        <w:rPr>
          <w:rFonts w:eastAsia="Times New Roman"/>
          <w:szCs w:val="24"/>
        </w:rPr>
      </w:pPr>
      <w:r w:rsidRPr="00FC3B7C">
        <w:rPr>
          <w:rFonts w:eastAsia="Times New Roman"/>
          <w:szCs w:val="24"/>
        </w:rPr>
        <w:t>1993 → stát se nepodílí na navýšení základního kapitálu a ztrácí majoritu</w:t>
      </w:r>
    </w:p>
    <w:p w14:paraId="4A6F5366" w14:textId="77777777" w:rsidR="008E0F74" w:rsidRPr="00FC3B7C" w:rsidRDefault="00256F29" w:rsidP="00D46B53">
      <w:pPr>
        <w:numPr>
          <w:ilvl w:val="0"/>
          <w:numId w:val="519"/>
        </w:numPr>
        <w:tabs>
          <w:tab w:val="left" w:pos="800"/>
        </w:tabs>
        <w:ind w:left="800" w:hanging="178"/>
        <w:rPr>
          <w:rFonts w:eastAsia="Times New Roman"/>
          <w:szCs w:val="24"/>
        </w:rPr>
      </w:pPr>
      <w:r w:rsidRPr="00FC3B7C">
        <w:rPr>
          <w:rFonts w:eastAsia="Times New Roman"/>
          <w:szCs w:val="24"/>
        </w:rPr>
        <w:t>1998 → Nomura kupuje státní podíl</w:t>
      </w:r>
    </w:p>
    <w:p w14:paraId="4A6F5367" w14:textId="77777777" w:rsidR="008E0F74" w:rsidRPr="00FC3B7C" w:rsidRDefault="00256F29" w:rsidP="00D46B53">
      <w:pPr>
        <w:numPr>
          <w:ilvl w:val="0"/>
          <w:numId w:val="519"/>
        </w:numPr>
        <w:tabs>
          <w:tab w:val="left" w:pos="800"/>
        </w:tabs>
        <w:ind w:left="800" w:hanging="178"/>
        <w:rPr>
          <w:rFonts w:eastAsia="Times New Roman"/>
          <w:szCs w:val="24"/>
        </w:rPr>
      </w:pPr>
      <w:r w:rsidRPr="00FC3B7C">
        <w:rPr>
          <w:rFonts w:eastAsia="Times New Roman"/>
          <w:szCs w:val="24"/>
        </w:rPr>
        <w:t>2000 → krach, státní správa a prodej ČŠOB za 1 kč (navíc stát ručí za ztráty)</w:t>
      </w:r>
    </w:p>
    <w:p w14:paraId="4A6F5369" w14:textId="429D9EB9" w:rsidR="000040D6" w:rsidRDefault="00256F29" w:rsidP="002A2887">
      <w:pPr>
        <w:ind w:left="100"/>
        <w:rPr>
          <w:rFonts w:eastAsia="Times New Roman"/>
          <w:szCs w:val="24"/>
        </w:rPr>
      </w:pPr>
      <w:r w:rsidRPr="00FC3B7C">
        <w:rPr>
          <w:rFonts w:eastAsia="Times New Roman"/>
          <w:szCs w:val="24"/>
        </w:rPr>
        <w:t>V roce 2003 bylo 95% aktiv bank v rukou zahraničních vlastníků.</w:t>
      </w:r>
    </w:p>
    <w:p w14:paraId="18F26017" w14:textId="33DEEAE3" w:rsidR="004E174C" w:rsidRDefault="004E174C" w:rsidP="002A2887">
      <w:pPr>
        <w:ind w:left="100"/>
        <w:rPr>
          <w:rFonts w:eastAsia="Times New Roman"/>
          <w:szCs w:val="24"/>
        </w:rPr>
      </w:pPr>
      <w:r>
        <w:rPr>
          <w:noProof/>
        </w:rPr>
        <w:lastRenderedPageBreak/>
        <w:drawing>
          <wp:anchor distT="0" distB="0" distL="114300" distR="114300" simplePos="0" relativeHeight="251604480" behindDoc="1" locked="0" layoutInCell="1" allowOverlap="1" wp14:anchorId="2DF6D19B" wp14:editId="64536FCD">
            <wp:simplePos x="0" y="0"/>
            <wp:positionH relativeFrom="column">
              <wp:posOffset>0</wp:posOffset>
            </wp:positionH>
            <wp:positionV relativeFrom="paragraph">
              <wp:posOffset>13970</wp:posOffset>
            </wp:positionV>
            <wp:extent cx="5303520" cy="2750185"/>
            <wp:effectExtent l="0" t="0" r="0" b="0"/>
            <wp:wrapTight wrapText="bothSides">
              <wp:wrapPolygon edited="0">
                <wp:start x="0" y="0"/>
                <wp:lineTo x="0" y="21396"/>
                <wp:lineTo x="21491" y="21396"/>
                <wp:lineTo x="21491"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a:extLst>
                        <a:ext uri="{28A0092B-C50C-407E-A947-70E740481C1C}">
                          <a14:useLocalDpi xmlns:a14="http://schemas.microsoft.com/office/drawing/2010/main" val="0"/>
                        </a:ext>
                      </a:extLst>
                    </a:blip>
                    <a:srcRect l="18709" t="29414" r="22380" b="16258"/>
                    <a:stretch/>
                  </pic:blipFill>
                  <pic:spPr bwMode="auto">
                    <a:xfrm>
                      <a:off x="0" y="0"/>
                      <a:ext cx="5303520" cy="2750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DFFE13" w14:textId="1D5B4D83" w:rsidR="004E174C" w:rsidRDefault="004E174C" w:rsidP="002A2887">
      <w:pPr>
        <w:ind w:left="100"/>
        <w:rPr>
          <w:rFonts w:eastAsia="Times New Roman"/>
          <w:szCs w:val="24"/>
        </w:rPr>
      </w:pPr>
    </w:p>
    <w:p w14:paraId="4A6F536A" w14:textId="77777777" w:rsidR="000040D6" w:rsidRPr="00FC3B7C" w:rsidRDefault="000040D6" w:rsidP="000040D6">
      <w:pPr>
        <w:ind w:left="100"/>
        <w:rPr>
          <w:sz w:val="20"/>
          <w:szCs w:val="20"/>
        </w:rPr>
      </w:pPr>
    </w:p>
    <w:p w14:paraId="4A6F536B" w14:textId="77777777" w:rsidR="008E0F74" w:rsidRPr="00C24093" w:rsidRDefault="00256F29" w:rsidP="000040D6">
      <w:pPr>
        <w:pStyle w:val="Nadpis2"/>
        <w:rPr>
          <w:color w:val="1F3864" w:themeColor="accent1" w:themeShade="80"/>
          <w:sz w:val="20"/>
          <w:szCs w:val="20"/>
        </w:rPr>
      </w:pPr>
      <w:bookmarkStart w:id="463" w:name="page476"/>
      <w:bookmarkEnd w:id="463"/>
      <w:r w:rsidRPr="00C24093">
        <w:rPr>
          <w:rFonts w:eastAsia="Times New Roman"/>
          <w:color w:val="1F3864" w:themeColor="accent1" w:themeShade="80"/>
        </w:rPr>
        <w:t>VÝVOJ MAKROEKONOMICKÝCH UKAZATELŮ</w:t>
      </w:r>
    </w:p>
    <w:p w14:paraId="4A6F536C" w14:textId="77777777" w:rsidR="008E0F74" w:rsidRPr="00FC3B7C" w:rsidRDefault="00256F29" w:rsidP="000040D6">
      <w:pPr>
        <w:ind w:left="4" w:right="20"/>
        <w:rPr>
          <w:sz w:val="20"/>
          <w:szCs w:val="20"/>
        </w:rPr>
      </w:pPr>
      <w:r w:rsidRPr="00FC3B7C">
        <w:rPr>
          <w:rFonts w:eastAsia="Times New Roman"/>
          <w:szCs w:val="24"/>
        </w:rPr>
        <w:t>Na počátku transformace došlo do v zemích střední a východní Evropy k silnému propadu HDP, růstu inflace a nezaměstnanosti. Důvodem nebyly jen ekonomické reformy, ale také externí šoky (zejména rozpad RVHP). Hlavním vnitřním zdrojem změny makroekonomických ukazatelů byla liberalizace cen a restrukturalizace podniků</w:t>
      </w:r>
      <w:r w:rsidR="000040D6">
        <w:rPr>
          <w:rFonts w:eastAsia="Times New Roman"/>
          <w:szCs w:val="24"/>
        </w:rPr>
        <w:t>.</w:t>
      </w:r>
    </w:p>
    <w:p w14:paraId="4A6F536D" w14:textId="77777777" w:rsidR="008E0F74" w:rsidRPr="00FC3B7C" w:rsidRDefault="00256F29">
      <w:pPr>
        <w:spacing w:line="20" w:lineRule="exact"/>
        <w:rPr>
          <w:sz w:val="20"/>
          <w:szCs w:val="20"/>
        </w:rPr>
      </w:pPr>
      <w:r w:rsidRPr="00FC3B7C">
        <w:rPr>
          <w:noProof/>
          <w:sz w:val="20"/>
          <w:szCs w:val="20"/>
        </w:rPr>
        <w:drawing>
          <wp:anchor distT="0" distB="0" distL="114300" distR="114300" simplePos="0" relativeHeight="251608576" behindDoc="1" locked="0" layoutInCell="0" allowOverlap="1" wp14:anchorId="4A6F5D30" wp14:editId="6FF4FA4A">
            <wp:simplePos x="0" y="0"/>
            <wp:positionH relativeFrom="column">
              <wp:posOffset>0</wp:posOffset>
            </wp:positionH>
            <wp:positionV relativeFrom="paragraph">
              <wp:posOffset>-16510</wp:posOffset>
            </wp:positionV>
            <wp:extent cx="6077585" cy="184721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7"/>
                    <a:srcRect/>
                    <a:stretch>
                      <a:fillRect/>
                    </a:stretch>
                  </pic:blipFill>
                  <pic:spPr bwMode="auto">
                    <a:xfrm>
                      <a:off x="0" y="0"/>
                      <a:ext cx="6077585" cy="1847215"/>
                    </a:xfrm>
                    <a:prstGeom prst="rect">
                      <a:avLst/>
                    </a:prstGeom>
                    <a:noFill/>
                  </pic:spPr>
                </pic:pic>
              </a:graphicData>
            </a:graphic>
          </wp:anchor>
        </w:drawing>
      </w:r>
    </w:p>
    <w:p w14:paraId="4A6F536E" w14:textId="77777777" w:rsidR="008E0F74" w:rsidRPr="00FC3B7C" w:rsidRDefault="008E0F74">
      <w:pPr>
        <w:spacing w:line="200" w:lineRule="exact"/>
        <w:rPr>
          <w:sz w:val="20"/>
          <w:szCs w:val="20"/>
        </w:rPr>
      </w:pPr>
    </w:p>
    <w:p w14:paraId="4A6F536F" w14:textId="77777777" w:rsidR="008E0F74" w:rsidRPr="00FC3B7C" w:rsidRDefault="008E0F74">
      <w:pPr>
        <w:spacing w:line="200" w:lineRule="exact"/>
        <w:rPr>
          <w:sz w:val="20"/>
          <w:szCs w:val="20"/>
        </w:rPr>
      </w:pPr>
    </w:p>
    <w:p w14:paraId="4A6F5370" w14:textId="77777777" w:rsidR="008E0F74" w:rsidRPr="00FC3B7C" w:rsidRDefault="008E0F74">
      <w:pPr>
        <w:spacing w:line="200" w:lineRule="exact"/>
        <w:rPr>
          <w:sz w:val="20"/>
          <w:szCs w:val="20"/>
        </w:rPr>
      </w:pPr>
    </w:p>
    <w:p w14:paraId="4A6F5371" w14:textId="77777777" w:rsidR="008E0F74" w:rsidRPr="00FC3B7C" w:rsidRDefault="008E0F74">
      <w:pPr>
        <w:spacing w:line="200" w:lineRule="exact"/>
        <w:rPr>
          <w:sz w:val="20"/>
          <w:szCs w:val="20"/>
        </w:rPr>
      </w:pPr>
    </w:p>
    <w:p w14:paraId="4A6F5372" w14:textId="77777777" w:rsidR="008E0F74" w:rsidRPr="00FC3B7C" w:rsidRDefault="008E0F74">
      <w:pPr>
        <w:spacing w:line="200" w:lineRule="exact"/>
        <w:rPr>
          <w:sz w:val="20"/>
          <w:szCs w:val="20"/>
        </w:rPr>
      </w:pPr>
    </w:p>
    <w:p w14:paraId="4A6F5373" w14:textId="77777777" w:rsidR="008E0F74" w:rsidRPr="00FC3B7C" w:rsidRDefault="008E0F74">
      <w:pPr>
        <w:spacing w:line="200" w:lineRule="exact"/>
        <w:rPr>
          <w:sz w:val="20"/>
          <w:szCs w:val="20"/>
        </w:rPr>
      </w:pPr>
    </w:p>
    <w:p w14:paraId="4A6F5374" w14:textId="77777777" w:rsidR="008E0F74" w:rsidRPr="00FC3B7C" w:rsidRDefault="008E0F74">
      <w:pPr>
        <w:spacing w:line="200" w:lineRule="exact"/>
        <w:rPr>
          <w:sz w:val="20"/>
          <w:szCs w:val="20"/>
        </w:rPr>
      </w:pPr>
    </w:p>
    <w:p w14:paraId="4A6F5375" w14:textId="77777777" w:rsidR="008E0F74" w:rsidRPr="00FC3B7C" w:rsidRDefault="008E0F74">
      <w:pPr>
        <w:spacing w:line="200" w:lineRule="exact"/>
        <w:rPr>
          <w:sz w:val="20"/>
          <w:szCs w:val="20"/>
        </w:rPr>
      </w:pPr>
    </w:p>
    <w:p w14:paraId="4A6F5376" w14:textId="77777777" w:rsidR="008E0F74" w:rsidRPr="00FC3B7C" w:rsidRDefault="008E0F74">
      <w:pPr>
        <w:spacing w:line="200" w:lineRule="exact"/>
        <w:rPr>
          <w:sz w:val="20"/>
          <w:szCs w:val="20"/>
        </w:rPr>
      </w:pPr>
    </w:p>
    <w:p w14:paraId="4A6F5377" w14:textId="77777777" w:rsidR="008E0F74" w:rsidRPr="00FC3B7C" w:rsidRDefault="008E0F74">
      <w:pPr>
        <w:spacing w:line="200" w:lineRule="exact"/>
        <w:rPr>
          <w:sz w:val="20"/>
          <w:szCs w:val="20"/>
        </w:rPr>
      </w:pPr>
    </w:p>
    <w:p w14:paraId="4A6F5378" w14:textId="77777777" w:rsidR="008E0F74" w:rsidRPr="00FC3B7C" w:rsidRDefault="008E0F74">
      <w:pPr>
        <w:spacing w:line="200" w:lineRule="exact"/>
        <w:rPr>
          <w:sz w:val="20"/>
          <w:szCs w:val="20"/>
        </w:rPr>
      </w:pPr>
    </w:p>
    <w:p w14:paraId="4A6F5379" w14:textId="77777777" w:rsidR="008E0F74" w:rsidRPr="00FC3B7C" w:rsidRDefault="008E0F74">
      <w:pPr>
        <w:spacing w:line="200" w:lineRule="exact"/>
        <w:rPr>
          <w:sz w:val="20"/>
          <w:szCs w:val="20"/>
        </w:rPr>
      </w:pPr>
    </w:p>
    <w:p w14:paraId="4A6F537A" w14:textId="77777777" w:rsidR="008E0F74" w:rsidRPr="00FC3B7C" w:rsidRDefault="008E0F74">
      <w:pPr>
        <w:spacing w:line="200" w:lineRule="exact"/>
        <w:rPr>
          <w:sz w:val="20"/>
          <w:szCs w:val="20"/>
        </w:rPr>
      </w:pPr>
    </w:p>
    <w:p w14:paraId="4A6F537B" w14:textId="77777777" w:rsidR="008E0F74" w:rsidRPr="00FC3B7C" w:rsidRDefault="008E0F74">
      <w:pPr>
        <w:spacing w:line="200" w:lineRule="exact"/>
        <w:rPr>
          <w:sz w:val="20"/>
          <w:szCs w:val="20"/>
        </w:rPr>
      </w:pPr>
    </w:p>
    <w:p w14:paraId="4A6F537C" w14:textId="77777777" w:rsidR="008E0F74" w:rsidRPr="00FC3B7C" w:rsidRDefault="008E0F74">
      <w:pPr>
        <w:spacing w:line="200" w:lineRule="exact"/>
        <w:rPr>
          <w:sz w:val="20"/>
          <w:szCs w:val="20"/>
        </w:rPr>
      </w:pPr>
    </w:p>
    <w:p w14:paraId="4A6F537D" w14:textId="77777777" w:rsidR="008E0F74" w:rsidRPr="00FC3B7C" w:rsidRDefault="008E0F74">
      <w:pPr>
        <w:spacing w:line="211" w:lineRule="exact"/>
        <w:rPr>
          <w:sz w:val="20"/>
          <w:szCs w:val="20"/>
        </w:rPr>
      </w:pPr>
    </w:p>
    <w:p w14:paraId="4A6F537E" w14:textId="1BC153F8" w:rsidR="008E0F74" w:rsidRPr="00C24093" w:rsidRDefault="00C24093" w:rsidP="000040D6">
      <w:pPr>
        <w:pStyle w:val="Nadpis3"/>
        <w:rPr>
          <w:color w:val="1F3864" w:themeColor="accent1" w:themeShade="80"/>
          <w:sz w:val="20"/>
          <w:szCs w:val="20"/>
        </w:rPr>
      </w:pPr>
      <w:r>
        <w:rPr>
          <w:rFonts w:eastAsia="Times New Roman"/>
          <w:color w:val="1F3864" w:themeColor="accent1" w:themeShade="80"/>
        </w:rPr>
        <w:t xml:space="preserve"> </w:t>
      </w:r>
      <w:r w:rsidR="00256F29" w:rsidRPr="00C24093">
        <w:rPr>
          <w:rFonts w:eastAsia="Times New Roman"/>
          <w:color w:val="1F3864" w:themeColor="accent1" w:themeShade="80"/>
        </w:rPr>
        <w:t>Nezaměstnanost</w:t>
      </w:r>
    </w:p>
    <w:p w14:paraId="4A6F537F" w14:textId="77777777" w:rsidR="000040D6" w:rsidRDefault="00256F29" w:rsidP="000040D6">
      <w:pPr>
        <w:ind w:left="4" w:right="20"/>
        <w:rPr>
          <w:rFonts w:eastAsia="Times New Roman"/>
          <w:szCs w:val="24"/>
        </w:rPr>
      </w:pPr>
      <w:r w:rsidRPr="00FC3B7C">
        <w:rPr>
          <w:rFonts w:eastAsia="Times New Roman"/>
          <w:szCs w:val="24"/>
        </w:rPr>
        <w:t xml:space="preserve">Bývalé socialistické země trpěly přezaměstnaností. S počátkem transformace podniky </w:t>
      </w:r>
      <w:r w:rsidR="000040D6">
        <w:rPr>
          <w:rFonts w:eastAsia="Times New Roman"/>
          <w:szCs w:val="24"/>
        </w:rPr>
        <w:br/>
      </w:r>
      <w:r w:rsidRPr="00FC3B7C">
        <w:rPr>
          <w:rFonts w:eastAsia="Times New Roman"/>
          <w:szCs w:val="24"/>
        </w:rPr>
        <w:t xml:space="preserve">v důsledku poklesu poptávky začaly snižovat produkci a tím i zaměstnanost. Nezaměstnanost tedy postupně rostla a začala se přibližovat své přirozené míře. Zároveň produkt klesal </w:t>
      </w:r>
    </w:p>
    <w:p w14:paraId="4A6F5380" w14:textId="77777777" w:rsidR="008E0F74" w:rsidRPr="00FC3B7C" w:rsidRDefault="00256F29" w:rsidP="000040D6">
      <w:pPr>
        <w:ind w:left="4" w:right="20"/>
        <w:rPr>
          <w:sz w:val="20"/>
          <w:szCs w:val="20"/>
        </w:rPr>
      </w:pPr>
      <w:r w:rsidRPr="00FC3B7C">
        <w:rPr>
          <w:rFonts w:eastAsia="Times New Roman"/>
          <w:szCs w:val="24"/>
        </w:rPr>
        <w:t>k potenciálnímu produktu. Zatímco produkt klesal poměrně rychle, nezaměstnanost rostla podstatně pomaleji. Bylo způsobeno tím, že mnoho lidí odcházelo ze zaměstnání, aniž by hledali nové. Týkalo se to především důchodců, žen a lidí, kteří začali sami podnikat (liberální politika v oblasti podnikání přispívala k rychlému rozvoji soukromého podnikání). Zároveň proběhl rychlý přesun velkého počtu lidí z průmyslu do expandujícího sektoru služeb (odvětví náročnější na lidskou práci), který zbrzdil nárůst nezaměstnanosti.</w:t>
      </w:r>
    </w:p>
    <w:p w14:paraId="4A6F5381" w14:textId="77777777" w:rsidR="008E0F74" w:rsidRPr="00FC3B7C" w:rsidRDefault="008E0F74">
      <w:pPr>
        <w:spacing w:line="197" w:lineRule="exact"/>
        <w:rPr>
          <w:sz w:val="20"/>
          <w:szCs w:val="20"/>
        </w:rPr>
      </w:pPr>
    </w:p>
    <w:p w14:paraId="4A6F5382" w14:textId="62BF2157" w:rsidR="008E0F74" w:rsidRPr="00C24093" w:rsidRDefault="00C24093" w:rsidP="000040D6">
      <w:pPr>
        <w:pStyle w:val="Nadpis3"/>
        <w:rPr>
          <w:color w:val="1F3864" w:themeColor="accent1" w:themeShade="80"/>
          <w:sz w:val="20"/>
          <w:szCs w:val="20"/>
        </w:rPr>
      </w:pPr>
      <w:r w:rsidRPr="00C24093">
        <w:rPr>
          <w:rFonts w:eastAsia="Times New Roman"/>
          <w:color w:val="1F3864" w:themeColor="accent1" w:themeShade="80"/>
        </w:rPr>
        <w:t xml:space="preserve"> </w:t>
      </w:r>
      <w:r w:rsidR="00256F29" w:rsidRPr="00C24093">
        <w:rPr>
          <w:rFonts w:eastAsia="Times New Roman"/>
          <w:color w:val="1F3864" w:themeColor="accent1" w:themeShade="80"/>
        </w:rPr>
        <w:t>Inflace</w:t>
      </w:r>
    </w:p>
    <w:p w14:paraId="4A6F5383" w14:textId="77777777" w:rsidR="008E0F74" w:rsidRPr="000040D6" w:rsidRDefault="00256F29" w:rsidP="00D46B53">
      <w:pPr>
        <w:numPr>
          <w:ilvl w:val="0"/>
          <w:numId w:val="520"/>
        </w:numPr>
        <w:tabs>
          <w:tab w:val="left" w:pos="230"/>
        </w:tabs>
        <w:ind w:left="4" w:right="20" w:hanging="4"/>
        <w:rPr>
          <w:rFonts w:eastAsia="Times New Roman"/>
          <w:szCs w:val="24"/>
        </w:rPr>
      </w:pPr>
      <w:r w:rsidRPr="00FC3B7C">
        <w:rPr>
          <w:rFonts w:eastAsia="Times New Roman"/>
          <w:szCs w:val="24"/>
        </w:rPr>
        <w:t xml:space="preserve">prostředí transformace je vhodné odlišit transformační cenový skok od inflace. Cenový skok byl typický zejména pro Polsko a Československo, kde souvisel s šokovou terapií. </w:t>
      </w:r>
      <w:r w:rsidR="000040D6">
        <w:rPr>
          <w:rFonts w:eastAsia="Times New Roman"/>
          <w:szCs w:val="24"/>
        </w:rPr>
        <w:br/>
      </w:r>
      <w:r w:rsidRPr="00FC3B7C">
        <w:rPr>
          <w:rFonts w:eastAsia="Times New Roman"/>
          <w:szCs w:val="24"/>
        </w:rPr>
        <w:t>V</w:t>
      </w:r>
      <w:r w:rsidR="000040D6">
        <w:rPr>
          <w:rFonts w:eastAsia="Times New Roman"/>
          <w:szCs w:val="24"/>
        </w:rPr>
        <w:t xml:space="preserve"> </w:t>
      </w:r>
      <w:r w:rsidRPr="000040D6">
        <w:rPr>
          <w:rFonts w:eastAsia="Times New Roman"/>
          <w:sz w:val="23"/>
          <w:szCs w:val="23"/>
        </w:rPr>
        <w:t xml:space="preserve">československé ekonomice došlo k cenovému skoku, který byl koncentrován do překvapivě krátkého období. Po devalvaci v prosinci 1990 a cenové liberalizace v lednu 1991 došlo </w:t>
      </w:r>
      <w:r w:rsidR="000040D6">
        <w:rPr>
          <w:rFonts w:eastAsia="Times New Roman"/>
          <w:sz w:val="23"/>
          <w:szCs w:val="23"/>
        </w:rPr>
        <w:br/>
      </w:r>
      <w:r w:rsidRPr="000040D6">
        <w:rPr>
          <w:rFonts w:eastAsia="Times New Roman"/>
          <w:sz w:val="23"/>
          <w:szCs w:val="23"/>
        </w:rPr>
        <w:t>k okamžitému zvýšení cenové hladiny na počátku roku 1991, v dalších letech se však inflace již stabilizovala. Vysvětlení lze nalézt v tržní struktuře, jež byla silně koncentrovaná. Kdyby bylo</w:t>
      </w:r>
    </w:p>
    <w:p w14:paraId="4A6F5384" w14:textId="77777777" w:rsidR="008E0F74" w:rsidRPr="00FC3B7C" w:rsidRDefault="00256F29" w:rsidP="000040D6">
      <w:pPr>
        <w:ind w:right="20"/>
        <w:rPr>
          <w:sz w:val="20"/>
          <w:szCs w:val="20"/>
        </w:rPr>
      </w:pPr>
      <w:bookmarkStart w:id="464" w:name="page477"/>
      <w:bookmarkEnd w:id="464"/>
      <w:r w:rsidRPr="00FC3B7C">
        <w:rPr>
          <w:rFonts w:eastAsia="Times New Roman"/>
          <w:szCs w:val="24"/>
        </w:rPr>
        <w:t xml:space="preserve">prostředí více konkurenční, neměly by podniky takovou odvahu k okamžitému zvýšení cen </w:t>
      </w:r>
      <w:r w:rsidR="000040D6">
        <w:rPr>
          <w:rFonts w:eastAsia="Times New Roman"/>
          <w:szCs w:val="24"/>
        </w:rPr>
        <w:br/>
      </w:r>
      <w:r w:rsidRPr="00FC3B7C">
        <w:rPr>
          <w:rFonts w:eastAsia="Times New Roman"/>
          <w:szCs w:val="24"/>
        </w:rPr>
        <w:t>a cenový skok by byl pravděpodobně rozložen do delšího časového období. Následná poměrně nízká míra inflace (v porovnání s ostatními socialistickými zeměmi) souvisela i s přijatými stabilizačními opatřeními v důsledku liberalizace, které se zaměřovali především na krocení inflace.</w:t>
      </w:r>
    </w:p>
    <w:p w14:paraId="4A6F5385" w14:textId="77777777" w:rsidR="008E0F74" w:rsidRPr="00FC3B7C" w:rsidRDefault="008E0F74">
      <w:pPr>
        <w:spacing w:line="188" w:lineRule="exact"/>
        <w:rPr>
          <w:sz w:val="20"/>
          <w:szCs w:val="20"/>
        </w:rPr>
      </w:pPr>
    </w:p>
    <w:p w14:paraId="4A6F5386" w14:textId="596EF50C" w:rsidR="008E0F74" w:rsidRPr="00C24093" w:rsidRDefault="00C24093" w:rsidP="000040D6">
      <w:pPr>
        <w:pStyle w:val="Nadpis3"/>
        <w:rPr>
          <w:color w:val="1F3864" w:themeColor="accent1" w:themeShade="80"/>
          <w:sz w:val="20"/>
          <w:szCs w:val="20"/>
        </w:rPr>
      </w:pPr>
      <w:r w:rsidRPr="00C24093">
        <w:rPr>
          <w:rFonts w:eastAsia="Times New Roman"/>
          <w:color w:val="1F3864" w:themeColor="accent1" w:themeShade="80"/>
        </w:rPr>
        <w:t xml:space="preserve"> </w:t>
      </w:r>
      <w:r w:rsidR="00256F29" w:rsidRPr="00C24093">
        <w:rPr>
          <w:rFonts w:eastAsia="Times New Roman"/>
          <w:color w:val="1F3864" w:themeColor="accent1" w:themeShade="80"/>
        </w:rPr>
        <w:t>HDP</w:t>
      </w:r>
    </w:p>
    <w:p w14:paraId="4A6F5387" w14:textId="77777777" w:rsidR="008E0F74" w:rsidRDefault="00256F29" w:rsidP="000040D6">
      <w:pPr>
        <w:ind w:right="20"/>
        <w:rPr>
          <w:rFonts w:eastAsia="Times New Roman"/>
          <w:szCs w:val="24"/>
        </w:rPr>
      </w:pPr>
      <w:r w:rsidRPr="00FC3B7C">
        <w:rPr>
          <w:rFonts w:eastAsia="Times New Roman"/>
          <w:szCs w:val="24"/>
        </w:rPr>
        <w:t xml:space="preserve">Bezprostředně po započetí transformace došlo ke snížení produktu. Ale velmi rychle došlo </w:t>
      </w:r>
      <w:r w:rsidR="000040D6">
        <w:rPr>
          <w:rFonts w:eastAsia="Times New Roman"/>
          <w:szCs w:val="24"/>
        </w:rPr>
        <w:br/>
      </w:r>
      <w:r w:rsidRPr="00FC3B7C">
        <w:rPr>
          <w:rFonts w:eastAsia="Times New Roman"/>
          <w:szCs w:val="24"/>
        </w:rPr>
        <w:t xml:space="preserve">k obnovení ekonomické růstu, a to již v letech 1994 – 1996. Růst produktu byl podpořen přílivem zahraničního kapitálu a zvyšováním soukromé spotřeby v důsledku rostoucích mezd. Zvyšující se produkce byla doprovázena i zvýšením importů, které pokrývaly rostoucí předstih domácí poptávky před nabídkou. To však přispělo ke zvětšování schodku obchodní bilance, protože většina dovozů směřovala do spotřeby, což nepodporovalo exportní výkonnost české ekonomiky. V porovnání s vyspělými státy s fungujícím tržním hospodářstvím se totiž česká ekonomika vyznačovala nízkou výkonností </w:t>
      </w:r>
      <w:r w:rsidR="000040D6">
        <w:rPr>
          <w:rFonts w:eastAsia="Times New Roman"/>
          <w:szCs w:val="24"/>
        </w:rPr>
        <w:br/>
      </w:r>
      <w:r w:rsidRPr="00FC3B7C">
        <w:rPr>
          <w:rFonts w:eastAsia="Times New Roman"/>
          <w:szCs w:val="24"/>
        </w:rPr>
        <w:t>a konkurenceschopností na zahraničních trzích. Tato přetrvávající nestabilita vůči zahraničí se stala hlavním makroekonomickým problémem v ČR v polovině 90. let. Zároveň začal vyvstávat hrozící problém přehřátí ekonomiky a následné recese.</w:t>
      </w:r>
    </w:p>
    <w:p w14:paraId="4A6F5388" w14:textId="77777777" w:rsidR="000040D6" w:rsidRPr="00FC3B7C" w:rsidRDefault="000040D6" w:rsidP="000040D6">
      <w:pPr>
        <w:ind w:right="20"/>
        <w:rPr>
          <w:sz w:val="20"/>
          <w:szCs w:val="20"/>
        </w:rPr>
      </w:pPr>
    </w:p>
    <w:p w14:paraId="4A6F5389" w14:textId="77777777" w:rsidR="008E0F74" w:rsidRDefault="00256F29" w:rsidP="000040D6">
      <w:pPr>
        <w:ind w:right="20"/>
        <w:rPr>
          <w:rFonts w:eastAsia="Times New Roman"/>
          <w:szCs w:val="24"/>
        </w:rPr>
      </w:pPr>
      <w:r w:rsidRPr="00FC3B7C">
        <w:rPr>
          <w:rFonts w:eastAsia="Times New Roman"/>
          <w:szCs w:val="24"/>
        </w:rPr>
        <w:t xml:space="preserve">Již během roku 1996 se začaly objevovat problémy v bankovním sektoru, pokles domácí </w:t>
      </w:r>
      <w:r w:rsidR="000040D6">
        <w:rPr>
          <w:rFonts w:eastAsia="Times New Roman"/>
          <w:szCs w:val="24"/>
        </w:rPr>
        <w:br/>
      </w:r>
      <w:r w:rsidRPr="00FC3B7C">
        <w:rPr>
          <w:rFonts w:eastAsia="Times New Roman"/>
          <w:szCs w:val="24"/>
        </w:rPr>
        <w:t xml:space="preserve">i zahraniční investiční aktivity a saldo obchodní bilance se propadalo do stále hlubších deficitů. V roce 1997 došlo k odlivu kapitálu pod vlivem krize na mezinárodních trzích </w:t>
      </w:r>
      <w:r w:rsidR="000040D6">
        <w:rPr>
          <w:rFonts w:eastAsia="Times New Roman"/>
          <w:szCs w:val="24"/>
        </w:rPr>
        <w:br/>
      </w:r>
      <w:r w:rsidRPr="00FC3B7C">
        <w:rPr>
          <w:rFonts w:eastAsia="Times New Roman"/>
          <w:szCs w:val="24"/>
        </w:rPr>
        <w:t xml:space="preserve">a tlaku na kurz, což vyústilo v měnovou krizi a následně recesi (je nutné podotknout, že měnová politika nebyla jedinou příčinou hospodářské recese, ta by nastala stejně v důsledku přehřátí ekonomiky, ale její charakter neadekvátní hospodářské situaci recesi zbytečně </w:t>
      </w:r>
      <w:r w:rsidR="000040D6">
        <w:rPr>
          <w:rFonts w:eastAsia="Times New Roman"/>
          <w:szCs w:val="24"/>
        </w:rPr>
        <w:lastRenderedPageBreak/>
        <w:t>p</w:t>
      </w:r>
      <w:r w:rsidRPr="00FC3B7C">
        <w:rPr>
          <w:rFonts w:eastAsia="Times New Roman"/>
          <w:szCs w:val="24"/>
        </w:rPr>
        <w:t xml:space="preserve">rohloubil). Mezi lety 1997 a 1999 byla aplikována restriktivní fiskální a politika (udržení </w:t>
      </w:r>
      <w:r w:rsidR="000040D6" w:rsidRPr="00FC3B7C">
        <w:rPr>
          <w:noProof/>
          <w:sz w:val="20"/>
          <w:szCs w:val="20"/>
        </w:rPr>
        <w:drawing>
          <wp:anchor distT="0" distB="0" distL="114300" distR="114300" simplePos="0" relativeHeight="251560448" behindDoc="1" locked="0" layoutInCell="0" allowOverlap="1" wp14:anchorId="4A6F5D32" wp14:editId="2432DB86">
            <wp:simplePos x="0" y="0"/>
            <wp:positionH relativeFrom="page">
              <wp:posOffset>904875</wp:posOffset>
            </wp:positionH>
            <wp:positionV relativeFrom="page">
              <wp:posOffset>1543050</wp:posOffset>
            </wp:positionV>
            <wp:extent cx="4876800" cy="2572385"/>
            <wp:effectExtent l="0" t="0" r="0" b="0"/>
            <wp:wrapTopAndBottom/>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38">
                      <a:clrChange>
                        <a:clrFrom>
                          <a:srgbClr val="FFFFFF"/>
                        </a:clrFrom>
                        <a:clrTo>
                          <a:srgbClr val="FFFFFF">
                            <a:alpha val="0"/>
                          </a:srgbClr>
                        </a:clrTo>
                      </a:clrChange>
                    </a:blip>
                    <a:srcRect/>
                    <a:stretch>
                      <a:fillRect/>
                    </a:stretch>
                  </pic:blipFill>
                  <pic:spPr bwMode="auto">
                    <a:xfrm>
                      <a:off x="0" y="0"/>
                      <a:ext cx="4876800" cy="2572385"/>
                    </a:xfrm>
                    <a:prstGeom prst="rect">
                      <a:avLst/>
                    </a:prstGeom>
                    <a:noFill/>
                  </pic:spPr>
                </pic:pic>
              </a:graphicData>
            </a:graphic>
          </wp:anchor>
        </w:drawing>
      </w:r>
      <w:r w:rsidRPr="00FC3B7C">
        <w:rPr>
          <w:rFonts w:eastAsia="Times New Roman"/>
          <w:szCs w:val="24"/>
        </w:rPr>
        <w:t>vyrovnaného rozpočtu), v jejímž důsledku také došlo k poklesu HDP.</w:t>
      </w:r>
    </w:p>
    <w:p w14:paraId="4A6F538A" w14:textId="77777777" w:rsidR="008E0F74" w:rsidRPr="00FC3B7C" w:rsidRDefault="008E0F74">
      <w:pPr>
        <w:spacing w:line="200" w:lineRule="exact"/>
        <w:rPr>
          <w:sz w:val="20"/>
          <w:szCs w:val="20"/>
        </w:rPr>
      </w:pPr>
      <w:bookmarkStart w:id="465" w:name="page478"/>
      <w:bookmarkEnd w:id="465"/>
    </w:p>
    <w:p w14:paraId="4A6F538B" w14:textId="77777777" w:rsidR="008E0F74" w:rsidRPr="00FC3B7C" w:rsidRDefault="008E0F74">
      <w:pPr>
        <w:spacing w:line="200" w:lineRule="exact"/>
        <w:rPr>
          <w:sz w:val="20"/>
          <w:szCs w:val="20"/>
        </w:rPr>
      </w:pPr>
    </w:p>
    <w:p w14:paraId="4A6F538C" w14:textId="10BBC386" w:rsidR="008E0F74" w:rsidRPr="00C24093" w:rsidRDefault="00C24093" w:rsidP="000040D6">
      <w:pPr>
        <w:pStyle w:val="Nadpis3"/>
        <w:rPr>
          <w:color w:val="1F3864" w:themeColor="accent1" w:themeShade="80"/>
          <w:sz w:val="20"/>
          <w:szCs w:val="20"/>
        </w:rPr>
      </w:pPr>
      <w:r w:rsidRPr="00C24093">
        <w:rPr>
          <w:rFonts w:eastAsia="Times New Roman"/>
          <w:color w:val="1F3864" w:themeColor="accent1" w:themeShade="80"/>
        </w:rPr>
        <w:t xml:space="preserve"> </w:t>
      </w:r>
      <w:r w:rsidR="00256F29" w:rsidRPr="00C24093">
        <w:rPr>
          <w:rFonts w:eastAsia="Times New Roman"/>
          <w:color w:val="1F3864" w:themeColor="accent1" w:themeShade="80"/>
        </w:rPr>
        <w:t>Etapy hospodářského cyklu české ekonomiky:</w:t>
      </w:r>
    </w:p>
    <w:p w14:paraId="4A6F538D" w14:textId="77777777" w:rsidR="008E0F74" w:rsidRPr="00FC3B7C" w:rsidRDefault="008E0F74">
      <w:pPr>
        <w:spacing w:line="200" w:lineRule="exact"/>
        <w:rPr>
          <w:sz w:val="20"/>
          <w:szCs w:val="20"/>
        </w:rPr>
      </w:pPr>
    </w:p>
    <w:p w14:paraId="4A6F538E" w14:textId="5E6C4410" w:rsidR="008E0F74" w:rsidRPr="00FC3B7C" w:rsidRDefault="00256F29" w:rsidP="00D46B53">
      <w:pPr>
        <w:numPr>
          <w:ilvl w:val="0"/>
          <w:numId w:val="521"/>
        </w:numPr>
        <w:tabs>
          <w:tab w:val="left" w:pos="340"/>
        </w:tabs>
        <w:ind w:left="340" w:hanging="248"/>
        <w:rPr>
          <w:rFonts w:eastAsia="Times New Roman"/>
          <w:szCs w:val="24"/>
        </w:rPr>
      </w:pPr>
      <w:r w:rsidRPr="00FC3B7C">
        <w:rPr>
          <w:rFonts w:eastAsia="Times New Roman"/>
          <w:szCs w:val="24"/>
        </w:rPr>
        <w:t>Etapa transformační</w:t>
      </w:r>
      <w:r w:rsidR="00996B5C">
        <w:rPr>
          <w:rFonts w:eastAsia="Times New Roman"/>
          <w:szCs w:val="24"/>
        </w:rPr>
        <w:t xml:space="preserve"> </w:t>
      </w:r>
      <w:r w:rsidRPr="00FC3B7C">
        <w:rPr>
          <w:rFonts w:eastAsia="Times New Roman"/>
          <w:szCs w:val="24"/>
        </w:rPr>
        <w:t>recese (1990–1992)</w:t>
      </w:r>
    </w:p>
    <w:p w14:paraId="4A6F538F" w14:textId="77777777" w:rsidR="008E0F74" w:rsidRPr="00FC3B7C" w:rsidRDefault="00256F29" w:rsidP="00D46B53">
      <w:pPr>
        <w:numPr>
          <w:ilvl w:val="1"/>
          <w:numId w:val="521"/>
        </w:numPr>
        <w:tabs>
          <w:tab w:val="left" w:pos="980"/>
        </w:tabs>
        <w:ind w:left="980" w:hanging="358"/>
        <w:rPr>
          <w:rFonts w:eastAsia="Times New Roman"/>
          <w:szCs w:val="24"/>
        </w:rPr>
      </w:pPr>
      <w:r w:rsidRPr="00FC3B7C">
        <w:rPr>
          <w:rFonts w:eastAsia="Times New Roman"/>
          <w:szCs w:val="24"/>
        </w:rPr>
        <w:t>Transformační recese strukturálního charakteru, pokles HDP kumulativně o 16%</w:t>
      </w:r>
    </w:p>
    <w:p w14:paraId="4A6F5390" w14:textId="77777777" w:rsidR="008E0F74" w:rsidRPr="00FC3B7C" w:rsidRDefault="00256F29" w:rsidP="00D46B53">
      <w:pPr>
        <w:numPr>
          <w:ilvl w:val="1"/>
          <w:numId w:val="521"/>
        </w:numPr>
        <w:tabs>
          <w:tab w:val="left" w:pos="980"/>
        </w:tabs>
        <w:ind w:left="980" w:hanging="358"/>
        <w:rPr>
          <w:rFonts w:eastAsia="Times New Roman"/>
          <w:szCs w:val="24"/>
        </w:rPr>
      </w:pPr>
      <w:r w:rsidRPr="00FC3B7C">
        <w:rPr>
          <w:rFonts w:eastAsia="Times New Roman"/>
          <w:szCs w:val="24"/>
        </w:rPr>
        <w:t>Neefektivní výroby, rozpad trhů RVHP, liberalizace cen a zahraničního obchodu</w:t>
      </w:r>
    </w:p>
    <w:p w14:paraId="4A6F5391" w14:textId="7A7C051B" w:rsidR="008E0F74" w:rsidRPr="00FC3B7C" w:rsidRDefault="00256F29" w:rsidP="000040D6">
      <w:pPr>
        <w:ind w:left="100"/>
        <w:rPr>
          <w:sz w:val="20"/>
          <w:szCs w:val="20"/>
        </w:rPr>
      </w:pPr>
      <w:r w:rsidRPr="00FC3B7C">
        <w:rPr>
          <w:rFonts w:eastAsia="Times New Roman"/>
          <w:szCs w:val="24"/>
        </w:rPr>
        <w:t>2.</w:t>
      </w:r>
      <w:r w:rsidR="004E174C">
        <w:rPr>
          <w:rFonts w:eastAsia="Times New Roman"/>
          <w:szCs w:val="24"/>
        </w:rPr>
        <w:t xml:space="preserve"> </w:t>
      </w:r>
      <w:r w:rsidRPr="00FC3B7C">
        <w:rPr>
          <w:rFonts w:eastAsia="Times New Roman"/>
          <w:szCs w:val="24"/>
        </w:rPr>
        <w:t>Etapa hospodářského oživení</w:t>
      </w:r>
      <w:r w:rsidR="00996B5C">
        <w:rPr>
          <w:rFonts w:eastAsia="Times New Roman"/>
          <w:szCs w:val="24"/>
        </w:rPr>
        <w:t xml:space="preserve"> </w:t>
      </w:r>
      <w:r w:rsidRPr="00FC3B7C">
        <w:rPr>
          <w:rFonts w:eastAsia="Times New Roman"/>
          <w:szCs w:val="24"/>
        </w:rPr>
        <w:t>(199</w:t>
      </w:r>
      <w:r w:rsidR="004E174C">
        <w:rPr>
          <w:rFonts w:eastAsia="Times New Roman"/>
          <w:szCs w:val="24"/>
        </w:rPr>
        <w:t>3</w:t>
      </w:r>
      <w:r w:rsidRPr="00FC3B7C">
        <w:rPr>
          <w:rFonts w:eastAsia="Times New Roman"/>
          <w:szCs w:val="24"/>
        </w:rPr>
        <w:t>–1996)</w:t>
      </w:r>
    </w:p>
    <w:p w14:paraId="4A6F5392" w14:textId="77777777" w:rsidR="008E0F74" w:rsidRPr="00FC3B7C" w:rsidRDefault="00256F29" w:rsidP="00D46B53">
      <w:pPr>
        <w:numPr>
          <w:ilvl w:val="1"/>
          <w:numId w:val="522"/>
        </w:numPr>
        <w:tabs>
          <w:tab w:val="left" w:pos="980"/>
        </w:tabs>
        <w:ind w:left="980" w:hanging="358"/>
        <w:rPr>
          <w:rFonts w:eastAsia="Times New Roman"/>
          <w:szCs w:val="24"/>
        </w:rPr>
      </w:pPr>
      <w:r w:rsidRPr="00FC3B7C">
        <w:rPr>
          <w:rFonts w:eastAsia="Times New Roman"/>
          <w:szCs w:val="24"/>
        </w:rPr>
        <w:t>Rozpad federace</w:t>
      </w:r>
    </w:p>
    <w:p w14:paraId="4A6F5393" w14:textId="77777777" w:rsidR="008E0F74" w:rsidRPr="00FC3B7C" w:rsidRDefault="00256F29" w:rsidP="00D46B53">
      <w:pPr>
        <w:numPr>
          <w:ilvl w:val="1"/>
          <w:numId w:val="522"/>
        </w:numPr>
        <w:tabs>
          <w:tab w:val="left" w:pos="980"/>
        </w:tabs>
        <w:ind w:left="980" w:hanging="358"/>
        <w:rPr>
          <w:rFonts w:eastAsia="Times New Roman"/>
          <w:szCs w:val="24"/>
        </w:rPr>
      </w:pPr>
      <w:r w:rsidRPr="00FC3B7C">
        <w:rPr>
          <w:rFonts w:eastAsia="Times New Roman"/>
          <w:szCs w:val="24"/>
        </w:rPr>
        <w:t>Oživení HDP (v roce 1995 o 6,4 %), růst tažen růstem domácí poptávky</w:t>
      </w:r>
    </w:p>
    <w:p w14:paraId="4A6F5394" w14:textId="77777777" w:rsidR="008E0F74" w:rsidRPr="00FC3B7C" w:rsidRDefault="00256F29" w:rsidP="00D46B53">
      <w:pPr>
        <w:numPr>
          <w:ilvl w:val="1"/>
          <w:numId w:val="522"/>
        </w:numPr>
        <w:tabs>
          <w:tab w:val="left" w:pos="980"/>
        </w:tabs>
        <w:ind w:left="980" w:hanging="358"/>
        <w:rPr>
          <w:rFonts w:eastAsia="Times New Roman"/>
          <w:szCs w:val="24"/>
        </w:rPr>
      </w:pPr>
      <w:r w:rsidRPr="00FC3B7C">
        <w:rPr>
          <w:rFonts w:eastAsia="Times New Roman"/>
          <w:szCs w:val="24"/>
        </w:rPr>
        <w:t>Politická stabilita</w:t>
      </w:r>
    </w:p>
    <w:p w14:paraId="4A6F5395" w14:textId="77777777" w:rsidR="008E0F74" w:rsidRPr="00FC3B7C" w:rsidRDefault="00256F29" w:rsidP="00D46B53">
      <w:pPr>
        <w:numPr>
          <w:ilvl w:val="1"/>
          <w:numId w:val="522"/>
        </w:numPr>
        <w:tabs>
          <w:tab w:val="left" w:pos="980"/>
        </w:tabs>
        <w:ind w:left="980" w:hanging="358"/>
        <w:rPr>
          <w:rFonts w:eastAsia="Times New Roman"/>
          <w:szCs w:val="24"/>
        </w:rPr>
      </w:pPr>
      <w:r w:rsidRPr="00FC3B7C">
        <w:rPr>
          <w:rFonts w:eastAsia="Times New Roman"/>
          <w:szCs w:val="24"/>
        </w:rPr>
        <w:t>Narůstající vnitřní a vnější nerovnováha, převis poptávky nad nabídkou</w:t>
      </w:r>
    </w:p>
    <w:p w14:paraId="4A6F5396" w14:textId="02DCE136" w:rsidR="008E0F74" w:rsidRPr="000040D6" w:rsidRDefault="00256F29" w:rsidP="00D46B53">
      <w:pPr>
        <w:numPr>
          <w:ilvl w:val="0"/>
          <w:numId w:val="522"/>
        </w:numPr>
        <w:tabs>
          <w:tab w:val="left" w:pos="300"/>
        </w:tabs>
        <w:ind w:left="300" w:hanging="246"/>
        <w:rPr>
          <w:rFonts w:eastAsia="Times New Roman"/>
          <w:szCs w:val="24"/>
        </w:rPr>
      </w:pPr>
      <w:r w:rsidRPr="000040D6">
        <w:rPr>
          <w:rFonts w:eastAsia="Times New Roman"/>
          <w:szCs w:val="24"/>
        </w:rPr>
        <w:t>Etapa opětovné</w:t>
      </w:r>
      <w:r w:rsidR="004E174C">
        <w:rPr>
          <w:rFonts w:eastAsia="Times New Roman"/>
          <w:szCs w:val="24"/>
        </w:rPr>
        <w:t xml:space="preserve"> </w:t>
      </w:r>
      <w:r w:rsidRPr="000040D6">
        <w:rPr>
          <w:rFonts w:eastAsia="Times New Roman"/>
          <w:szCs w:val="24"/>
        </w:rPr>
        <w:t>recese</w:t>
      </w:r>
      <w:r w:rsidR="00996B5C">
        <w:rPr>
          <w:rFonts w:eastAsia="Times New Roman"/>
          <w:szCs w:val="24"/>
        </w:rPr>
        <w:t xml:space="preserve"> </w:t>
      </w:r>
      <w:r w:rsidRPr="000040D6">
        <w:rPr>
          <w:rFonts w:eastAsia="Times New Roman"/>
          <w:szCs w:val="24"/>
        </w:rPr>
        <w:t>(1997 –1999)</w:t>
      </w:r>
    </w:p>
    <w:p w14:paraId="4A6F5397" w14:textId="77777777" w:rsidR="008E0F74" w:rsidRPr="000040D6" w:rsidRDefault="00256F29" w:rsidP="00D46B53">
      <w:pPr>
        <w:numPr>
          <w:ilvl w:val="1"/>
          <w:numId w:val="522"/>
        </w:numPr>
        <w:tabs>
          <w:tab w:val="left" w:pos="980"/>
        </w:tabs>
        <w:ind w:left="980" w:hanging="358"/>
        <w:rPr>
          <w:rFonts w:eastAsia="Times New Roman"/>
          <w:szCs w:val="24"/>
        </w:rPr>
      </w:pPr>
      <w:r w:rsidRPr="000040D6">
        <w:rPr>
          <w:rFonts w:eastAsia="Times New Roman"/>
          <w:szCs w:val="24"/>
        </w:rPr>
        <w:t>Pokles HDP (cca 1 % ročně) a reálných mezd, stagnace fixního kapitálu</w:t>
      </w:r>
    </w:p>
    <w:p w14:paraId="4A6F5398" w14:textId="77777777" w:rsidR="008E0F74" w:rsidRPr="00FC3B7C" w:rsidRDefault="00256F29" w:rsidP="00D46B53">
      <w:pPr>
        <w:numPr>
          <w:ilvl w:val="1"/>
          <w:numId w:val="522"/>
        </w:numPr>
        <w:tabs>
          <w:tab w:val="left" w:pos="980"/>
        </w:tabs>
        <w:ind w:left="980" w:right="20" w:hanging="358"/>
        <w:rPr>
          <w:rFonts w:eastAsia="Times New Roman"/>
          <w:szCs w:val="24"/>
        </w:rPr>
      </w:pPr>
      <w:r w:rsidRPr="00FC3B7C">
        <w:rPr>
          <w:rFonts w:eastAsia="Times New Roman"/>
          <w:szCs w:val="24"/>
        </w:rPr>
        <w:t>Opatření hospodářské politiky: zpomalení růstu mezd, omezení importu spotřebního zboží, fiskální „balíčky“ (omezení výdajů)</w:t>
      </w:r>
    </w:p>
    <w:p w14:paraId="4A6F5399" w14:textId="77777777" w:rsidR="008E0F74" w:rsidRPr="00FC3B7C" w:rsidRDefault="00256F29" w:rsidP="00D46B53">
      <w:pPr>
        <w:numPr>
          <w:ilvl w:val="1"/>
          <w:numId w:val="522"/>
        </w:numPr>
        <w:tabs>
          <w:tab w:val="left" w:pos="980"/>
        </w:tabs>
        <w:ind w:left="980" w:right="20" w:hanging="358"/>
        <w:rPr>
          <w:rFonts w:eastAsia="Times New Roman"/>
          <w:szCs w:val="24"/>
        </w:rPr>
      </w:pPr>
      <w:r w:rsidRPr="00FC3B7C">
        <w:rPr>
          <w:rFonts w:eastAsia="Times New Roman"/>
          <w:szCs w:val="24"/>
        </w:rPr>
        <w:t>Stabilizační a ozdravný balíček (1997): cílová inflace (nízká 1,7%), od roku 1999 snižování úrokových sazeb, tlak na vynucování právních norem</w:t>
      </w:r>
    </w:p>
    <w:p w14:paraId="4A6F539A" w14:textId="77777777" w:rsidR="008E0F74" w:rsidRPr="00FC3B7C" w:rsidRDefault="00256F29" w:rsidP="00D46B53">
      <w:pPr>
        <w:numPr>
          <w:ilvl w:val="1"/>
          <w:numId w:val="522"/>
        </w:numPr>
        <w:tabs>
          <w:tab w:val="left" w:pos="980"/>
        </w:tabs>
        <w:ind w:left="980" w:hanging="358"/>
        <w:rPr>
          <w:rFonts w:eastAsia="Times New Roman"/>
          <w:szCs w:val="24"/>
        </w:rPr>
      </w:pPr>
      <w:r w:rsidRPr="00FC3B7C">
        <w:rPr>
          <w:rFonts w:eastAsia="Times New Roman"/>
          <w:szCs w:val="24"/>
        </w:rPr>
        <w:t>Od 1999 růst spotřeby domácností, vyšší vývozy</w:t>
      </w:r>
    </w:p>
    <w:p w14:paraId="4A6F539B" w14:textId="1AC7ED27" w:rsidR="008E0F74" w:rsidRPr="00FC3B7C" w:rsidRDefault="00996B5C" w:rsidP="000040D6">
      <w:pPr>
        <w:ind w:left="80"/>
        <w:rPr>
          <w:sz w:val="20"/>
          <w:szCs w:val="20"/>
        </w:rPr>
      </w:pPr>
      <w:r w:rsidRPr="00FC3B7C">
        <w:rPr>
          <w:rFonts w:eastAsia="Times New Roman"/>
          <w:szCs w:val="24"/>
        </w:rPr>
        <w:t>4. Etapa</w:t>
      </w:r>
      <w:r w:rsidR="00256F29" w:rsidRPr="00FC3B7C">
        <w:rPr>
          <w:rFonts w:eastAsia="Times New Roman"/>
          <w:szCs w:val="24"/>
        </w:rPr>
        <w:t xml:space="preserve"> mírného oživení</w:t>
      </w:r>
      <w:r>
        <w:rPr>
          <w:rFonts w:eastAsia="Times New Roman"/>
          <w:szCs w:val="24"/>
        </w:rPr>
        <w:t xml:space="preserve"> </w:t>
      </w:r>
      <w:r w:rsidR="00256F29" w:rsidRPr="00FC3B7C">
        <w:rPr>
          <w:rFonts w:eastAsia="Times New Roman"/>
          <w:szCs w:val="24"/>
        </w:rPr>
        <w:t>(2000</w:t>
      </w:r>
      <w:r>
        <w:rPr>
          <w:rFonts w:eastAsia="Times New Roman"/>
          <w:szCs w:val="24"/>
        </w:rPr>
        <w:t xml:space="preserve"> </w:t>
      </w:r>
      <w:r w:rsidR="00256F29" w:rsidRPr="00FC3B7C">
        <w:rPr>
          <w:rFonts w:eastAsia="Times New Roman"/>
          <w:szCs w:val="24"/>
        </w:rPr>
        <w:t>–</w:t>
      </w:r>
      <w:r>
        <w:rPr>
          <w:rFonts w:eastAsia="Times New Roman"/>
          <w:szCs w:val="24"/>
        </w:rPr>
        <w:t xml:space="preserve"> </w:t>
      </w:r>
      <w:r w:rsidR="00256F29" w:rsidRPr="00FC3B7C">
        <w:rPr>
          <w:rFonts w:eastAsia="Times New Roman"/>
          <w:szCs w:val="24"/>
        </w:rPr>
        <w:t>a</w:t>
      </w:r>
      <w:r>
        <w:rPr>
          <w:rFonts w:eastAsia="Times New Roman"/>
          <w:szCs w:val="24"/>
        </w:rPr>
        <w:t xml:space="preserve"> </w:t>
      </w:r>
      <w:r w:rsidR="00256F29" w:rsidRPr="00FC3B7C">
        <w:rPr>
          <w:rFonts w:eastAsia="Times New Roman"/>
          <w:szCs w:val="24"/>
        </w:rPr>
        <w:t>dále)</w:t>
      </w:r>
    </w:p>
    <w:p w14:paraId="4A6F539C" w14:textId="77777777" w:rsidR="008E0F74" w:rsidRPr="00FC3B7C" w:rsidRDefault="00256F29" w:rsidP="00D46B53">
      <w:pPr>
        <w:numPr>
          <w:ilvl w:val="0"/>
          <w:numId w:val="523"/>
        </w:numPr>
        <w:tabs>
          <w:tab w:val="left" w:pos="980"/>
        </w:tabs>
        <w:ind w:left="980" w:hanging="358"/>
        <w:rPr>
          <w:rFonts w:eastAsia="Times New Roman"/>
          <w:szCs w:val="24"/>
        </w:rPr>
      </w:pPr>
      <w:r w:rsidRPr="00FC3B7C">
        <w:rPr>
          <w:rFonts w:eastAsia="Times New Roman"/>
          <w:szCs w:val="24"/>
        </w:rPr>
        <w:t>Obnoven hospodářský růst</w:t>
      </w:r>
    </w:p>
    <w:p w14:paraId="4A6F539D" w14:textId="77777777" w:rsidR="008E0F74" w:rsidRPr="00FC3B7C" w:rsidRDefault="00256F29" w:rsidP="00D46B53">
      <w:pPr>
        <w:numPr>
          <w:ilvl w:val="0"/>
          <w:numId w:val="523"/>
        </w:numPr>
        <w:tabs>
          <w:tab w:val="left" w:pos="980"/>
        </w:tabs>
        <w:ind w:left="980" w:right="20" w:hanging="358"/>
        <w:rPr>
          <w:rFonts w:eastAsia="Times New Roman"/>
          <w:szCs w:val="24"/>
        </w:rPr>
      </w:pPr>
      <w:r w:rsidRPr="00FC3B7C">
        <w:rPr>
          <w:rFonts w:eastAsia="Times New Roman"/>
          <w:szCs w:val="24"/>
        </w:rPr>
        <w:t>Roste fixní kapitál, ale i deficit obchodní bilance, zlepšování obchodní bilance až od roku 2004</w:t>
      </w:r>
    </w:p>
    <w:p w14:paraId="4A6F539E" w14:textId="77777777" w:rsidR="008E0F74" w:rsidRPr="00FC3B7C" w:rsidRDefault="00256F29" w:rsidP="00D46B53">
      <w:pPr>
        <w:numPr>
          <w:ilvl w:val="0"/>
          <w:numId w:val="524"/>
        </w:numPr>
        <w:tabs>
          <w:tab w:val="left" w:pos="1004"/>
        </w:tabs>
        <w:spacing w:line="385" w:lineRule="auto"/>
        <w:ind w:left="1004" w:right="20" w:hanging="358"/>
        <w:rPr>
          <w:rFonts w:eastAsia="Times New Roman"/>
          <w:szCs w:val="24"/>
        </w:rPr>
      </w:pPr>
      <w:bookmarkStart w:id="466" w:name="page479"/>
      <w:bookmarkEnd w:id="466"/>
      <w:r w:rsidRPr="00FC3B7C">
        <w:rPr>
          <w:rFonts w:eastAsia="Times New Roman"/>
          <w:szCs w:val="24"/>
        </w:rPr>
        <w:lastRenderedPageBreak/>
        <w:t>Vysoká úroveň národních úspor nepokryla růst míry investic, využívají se zahraniční zdroje, deficit běžného účtu platební bilance</w:t>
      </w:r>
    </w:p>
    <w:p w14:paraId="4A6F539F" w14:textId="77777777" w:rsidR="008E0F74" w:rsidRPr="00FC3B7C" w:rsidRDefault="008E0F74">
      <w:pPr>
        <w:spacing w:line="169" w:lineRule="exact"/>
        <w:rPr>
          <w:sz w:val="20"/>
          <w:szCs w:val="20"/>
        </w:rPr>
      </w:pPr>
    </w:p>
    <w:p w14:paraId="4A6F53A0" w14:textId="0E48B051" w:rsidR="008E0F74" w:rsidRPr="00C24093" w:rsidRDefault="00C24093" w:rsidP="000040D6">
      <w:pPr>
        <w:pStyle w:val="Nadpis3"/>
        <w:rPr>
          <w:color w:val="1F3864" w:themeColor="accent1" w:themeShade="80"/>
          <w:sz w:val="20"/>
          <w:szCs w:val="20"/>
        </w:rPr>
      </w:pPr>
      <w:r w:rsidRPr="00C24093">
        <w:rPr>
          <w:rFonts w:eastAsia="Times New Roman"/>
          <w:color w:val="1F3864" w:themeColor="accent1" w:themeShade="80"/>
        </w:rPr>
        <w:t xml:space="preserve"> </w:t>
      </w:r>
      <w:r w:rsidR="00256F29" w:rsidRPr="00C24093">
        <w:rPr>
          <w:rFonts w:eastAsia="Times New Roman"/>
          <w:color w:val="1F3864" w:themeColor="accent1" w:themeShade="80"/>
        </w:rPr>
        <w:t>Strukturální změny</w:t>
      </w:r>
    </w:p>
    <w:p w14:paraId="4A6F53A1" w14:textId="589EB959" w:rsidR="008E0F74" w:rsidRPr="00FC3B7C" w:rsidRDefault="00256F29" w:rsidP="000040D6">
      <w:pPr>
        <w:rPr>
          <w:sz w:val="20"/>
          <w:szCs w:val="20"/>
        </w:rPr>
      </w:pPr>
      <w:r w:rsidRPr="00FC3B7C">
        <w:rPr>
          <w:rFonts w:eastAsia="Times New Roman"/>
        </w:rPr>
        <w:t xml:space="preserve">Centrálně plánované ekonomiky trpěly strukturálními deformacemi. Měly příliš velký podíl průmyslu, zejména těžkého, a nedostatečně rozvinutý sektor služeb (logický důsledek socialistické politiky dohánění Západu, kdy byl kladen velký důraz na industrializaci). Strukturální změny tedy zahrnovaly přesun od zemědělství a průmyslu ke službám, dynamický rozvoj obchodu, finančních a kapitálových trhů. První strukturální změny </w:t>
      </w:r>
      <w:r w:rsidR="000040D6">
        <w:rPr>
          <w:rFonts w:eastAsia="Times New Roman"/>
        </w:rPr>
        <w:br/>
      </w:r>
      <w:r w:rsidRPr="00FC3B7C">
        <w:rPr>
          <w:rFonts w:eastAsia="Times New Roman"/>
        </w:rPr>
        <w:t>v ekonomice proběhly již ve fázi liberalizace a stabilizace, ještě před zahájením privatizace, která představovala především restrukturalizace podniků.</w:t>
      </w:r>
    </w:p>
    <w:p w14:paraId="4A6F53A2" w14:textId="55270F00" w:rsidR="008E0F74" w:rsidRPr="00FC3B7C" w:rsidRDefault="008E0F74">
      <w:pPr>
        <w:spacing w:line="20" w:lineRule="exact"/>
        <w:rPr>
          <w:sz w:val="20"/>
          <w:szCs w:val="20"/>
        </w:rPr>
      </w:pPr>
    </w:p>
    <w:p w14:paraId="4A6F53A3" w14:textId="25044266" w:rsidR="008E0F74" w:rsidRPr="00FC3B7C" w:rsidRDefault="005412D3">
      <w:pPr>
        <w:spacing w:line="200" w:lineRule="exact"/>
        <w:rPr>
          <w:sz w:val="20"/>
          <w:szCs w:val="20"/>
        </w:rPr>
      </w:pPr>
      <w:r w:rsidRPr="00FC3B7C">
        <w:rPr>
          <w:noProof/>
          <w:sz w:val="20"/>
          <w:szCs w:val="20"/>
        </w:rPr>
        <w:drawing>
          <wp:anchor distT="0" distB="0" distL="114300" distR="114300" simplePos="0" relativeHeight="251586048" behindDoc="1" locked="0" layoutInCell="0" allowOverlap="1" wp14:anchorId="4A6F5D34" wp14:editId="4E1C7A39">
            <wp:simplePos x="0" y="0"/>
            <wp:positionH relativeFrom="column">
              <wp:posOffset>894715</wp:posOffset>
            </wp:positionH>
            <wp:positionV relativeFrom="paragraph">
              <wp:posOffset>94615</wp:posOffset>
            </wp:positionV>
            <wp:extent cx="3496310" cy="241109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9"/>
                    <a:srcRect/>
                    <a:stretch>
                      <a:fillRect/>
                    </a:stretch>
                  </pic:blipFill>
                  <pic:spPr bwMode="auto">
                    <a:xfrm>
                      <a:off x="0" y="0"/>
                      <a:ext cx="3496310" cy="2411095"/>
                    </a:xfrm>
                    <a:prstGeom prst="rect">
                      <a:avLst/>
                    </a:prstGeom>
                    <a:noFill/>
                  </pic:spPr>
                </pic:pic>
              </a:graphicData>
            </a:graphic>
          </wp:anchor>
        </w:drawing>
      </w:r>
    </w:p>
    <w:p w14:paraId="4A6F53A4" w14:textId="77777777" w:rsidR="008E0F74" w:rsidRPr="00FC3B7C" w:rsidRDefault="008E0F74">
      <w:pPr>
        <w:spacing w:line="200" w:lineRule="exact"/>
        <w:rPr>
          <w:sz w:val="20"/>
          <w:szCs w:val="20"/>
        </w:rPr>
      </w:pPr>
    </w:p>
    <w:p w14:paraId="4A6F53A5" w14:textId="104793F8" w:rsidR="008E0F74" w:rsidRPr="00FC3B7C" w:rsidRDefault="008E0F74">
      <w:pPr>
        <w:spacing w:line="200" w:lineRule="exact"/>
        <w:rPr>
          <w:sz w:val="20"/>
          <w:szCs w:val="20"/>
        </w:rPr>
      </w:pPr>
    </w:p>
    <w:p w14:paraId="4A6F53A6" w14:textId="77777777" w:rsidR="008E0F74" w:rsidRPr="00FC3B7C" w:rsidRDefault="008E0F74">
      <w:pPr>
        <w:spacing w:line="200" w:lineRule="exact"/>
        <w:rPr>
          <w:sz w:val="20"/>
          <w:szCs w:val="20"/>
        </w:rPr>
      </w:pPr>
    </w:p>
    <w:p w14:paraId="4A6F53A7" w14:textId="77777777" w:rsidR="008E0F74" w:rsidRPr="00FC3B7C" w:rsidRDefault="008E0F74">
      <w:pPr>
        <w:spacing w:line="200" w:lineRule="exact"/>
        <w:rPr>
          <w:sz w:val="20"/>
          <w:szCs w:val="20"/>
        </w:rPr>
      </w:pPr>
    </w:p>
    <w:p w14:paraId="4A6F53A8" w14:textId="77777777" w:rsidR="008E0F74" w:rsidRPr="00FC3B7C" w:rsidRDefault="008E0F74">
      <w:pPr>
        <w:spacing w:line="200" w:lineRule="exact"/>
        <w:rPr>
          <w:sz w:val="20"/>
          <w:szCs w:val="20"/>
        </w:rPr>
      </w:pPr>
    </w:p>
    <w:p w14:paraId="4A6F53A9" w14:textId="77777777" w:rsidR="008E0F74" w:rsidRPr="00FC3B7C" w:rsidRDefault="008E0F74">
      <w:pPr>
        <w:spacing w:line="200" w:lineRule="exact"/>
        <w:rPr>
          <w:sz w:val="20"/>
          <w:szCs w:val="20"/>
        </w:rPr>
      </w:pPr>
    </w:p>
    <w:p w14:paraId="4A6F53AA" w14:textId="77777777" w:rsidR="008E0F74" w:rsidRPr="00FC3B7C" w:rsidRDefault="008E0F74">
      <w:pPr>
        <w:spacing w:line="200" w:lineRule="exact"/>
        <w:rPr>
          <w:sz w:val="20"/>
          <w:szCs w:val="20"/>
        </w:rPr>
      </w:pPr>
    </w:p>
    <w:p w14:paraId="4A6F53AB" w14:textId="77777777" w:rsidR="008E0F74" w:rsidRPr="00FC3B7C" w:rsidRDefault="008E0F74">
      <w:pPr>
        <w:spacing w:line="200" w:lineRule="exact"/>
        <w:rPr>
          <w:sz w:val="20"/>
          <w:szCs w:val="20"/>
        </w:rPr>
      </w:pPr>
    </w:p>
    <w:p w14:paraId="4A6F53AC" w14:textId="77777777" w:rsidR="008E0F74" w:rsidRPr="00FC3B7C" w:rsidRDefault="008E0F74">
      <w:pPr>
        <w:spacing w:line="200" w:lineRule="exact"/>
        <w:rPr>
          <w:sz w:val="20"/>
          <w:szCs w:val="20"/>
        </w:rPr>
      </w:pPr>
    </w:p>
    <w:p w14:paraId="4A6F53AD" w14:textId="77777777" w:rsidR="008E0F74" w:rsidRPr="00FC3B7C" w:rsidRDefault="008E0F74">
      <w:pPr>
        <w:spacing w:line="200" w:lineRule="exact"/>
        <w:rPr>
          <w:sz w:val="20"/>
          <w:szCs w:val="20"/>
        </w:rPr>
      </w:pPr>
    </w:p>
    <w:p w14:paraId="4A6F53AE" w14:textId="77777777" w:rsidR="008E0F74" w:rsidRPr="00FC3B7C" w:rsidRDefault="008E0F74">
      <w:pPr>
        <w:spacing w:line="200" w:lineRule="exact"/>
        <w:rPr>
          <w:sz w:val="20"/>
          <w:szCs w:val="20"/>
        </w:rPr>
      </w:pPr>
    </w:p>
    <w:p w14:paraId="4A6F53AF" w14:textId="77777777" w:rsidR="008E0F74" w:rsidRPr="00FC3B7C" w:rsidRDefault="008E0F74">
      <w:pPr>
        <w:spacing w:line="200" w:lineRule="exact"/>
        <w:rPr>
          <w:sz w:val="20"/>
          <w:szCs w:val="20"/>
        </w:rPr>
      </w:pPr>
    </w:p>
    <w:p w14:paraId="4A6F53B0" w14:textId="77777777" w:rsidR="008E0F74" w:rsidRPr="00FC3B7C" w:rsidRDefault="008E0F74">
      <w:pPr>
        <w:spacing w:line="200" w:lineRule="exact"/>
        <w:rPr>
          <w:sz w:val="20"/>
          <w:szCs w:val="20"/>
        </w:rPr>
      </w:pPr>
    </w:p>
    <w:p w14:paraId="4A6F53B1" w14:textId="77777777" w:rsidR="008E0F74" w:rsidRPr="00FC3B7C" w:rsidRDefault="008E0F74">
      <w:pPr>
        <w:spacing w:line="200" w:lineRule="exact"/>
        <w:rPr>
          <w:sz w:val="20"/>
          <w:szCs w:val="20"/>
        </w:rPr>
      </w:pPr>
    </w:p>
    <w:p w14:paraId="4A6F53B2" w14:textId="77777777" w:rsidR="008E0F74" w:rsidRPr="00FC3B7C" w:rsidRDefault="008E0F74">
      <w:pPr>
        <w:spacing w:line="200" w:lineRule="exact"/>
        <w:rPr>
          <w:sz w:val="20"/>
          <w:szCs w:val="20"/>
        </w:rPr>
      </w:pPr>
    </w:p>
    <w:p w14:paraId="4A6F53B3" w14:textId="77777777" w:rsidR="008E0F74" w:rsidRPr="00FC3B7C" w:rsidRDefault="008E0F74">
      <w:pPr>
        <w:spacing w:line="200" w:lineRule="exact"/>
        <w:rPr>
          <w:sz w:val="20"/>
          <w:szCs w:val="20"/>
        </w:rPr>
      </w:pPr>
    </w:p>
    <w:p w14:paraId="4A6F53B4" w14:textId="77777777" w:rsidR="008E0F74" w:rsidRPr="00FC3B7C" w:rsidRDefault="008E0F74">
      <w:pPr>
        <w:spacing w:line="200" w:lineRule="exact"/>
        <w:rPr>
          <w:sz w:val="20"/>
          <w:szCs w:val="20"/>
        </w:rPr>
      </w:pPr>
    </w:p>
    <w:p w14:paraId="4A6F53B5" w14:textId="77777777" w:rsidR="008E0F74" w:rsidRPr="00FC3B7C" w:rsidRDefault="008E0F74">
      <w:pPr>
        <w:spacing w:line="292" w:lineRule="exact"/>
        <w:rPr>
          <w:sz w:val="20"/>
          <w:szCs w:val="20"/>
        </w:rPr>
      </w:pPr>
    </w:p>
    <w:p w14:paraId="1F0A2BEB" w14:textId="77777777" w:rsidR="005412D3" w:rsidRDefault="005412D3" w:rsidP="000040D6">
      <w:pPr>
        <w:rPr>
          <w:rFonts w:eastAsia="Times New Roman"/>
        </w:rPr>
      </w:pPr>
    </w:p>
    <w:p w14:paraId="4A6F53B6" w14:textId="261A47E5" w:rsidR="008E0F74" w:rsidRPr="00FC3B7C" w:rsidRDefault="00256F29" w:rsidP="000040D6">
      <w:pPr>
        <w:rPr>
          <w:sz w:val="20"/>
          <w:szCs w:val="20"/>
        </w:rPr>
      </w:pPr>
      <w:r w:rsidRPr="00FC3B7C">
        <w:rPr>
          <w:rFonts w:eastAsia="Times New Roman"/>
        </w:rPr>
        <w:t>Změny proběhly i v oblasti zahraničního obchodu. V prvních letech transformace dominovalo ve struktuře vývozu zboží s nízkou přidanou hodnotou. Později se ale komoditní struktura změnila. Na konci 80. let směřoval vývoz na trhy socialistických zemí, ale na konci 90. let směřoval především na trhy vyspělých zemí.</w:t>
      </w:r>
    </w:p>
    <w:p w14:paraId="4A6F53B7" w14:textId="77777777" w:rsidR="008E0F74" w:rsidRPr="00FC3B7C" w:rsidRDefault="008E0F74">
      <w:pPr>
        <w:spacing w:line="200" w:lineRule="exact"/>
        <w:rPr>
          <w:sz w:val="20"/>
          <w:szCs w:val="20"/>
        </w:rPr>
      </w:pPr>
    </w:p>
    <w:p w14:paraId="4A6F53B8" w14:textId="77777777" w:rsidR="008E0F74" w:rsidRPr="00FC3B7C" w:rsidRDefault="008E0F74">
      <w:pPr>
        <w:spacing w:line="226" w:lineRule="exact"/>
        <w:rPr>
          <w:sz w:val="20"/>
          <w:szCs w:val="20"/>
        </w:rPr>
      </w:pPr>
    </w:p>
    <w:p w14:paraId="4A6F53B9" w14:textId="77777777" w:rsidR="008E0F74" w:rsidRPr="004E174C" w:rsidRDefault="00256F29" w:rsidP="000040D6">
      <w:pPr>
        <w:pStyle w:val="Nadpis2"/>
        <w:rPr>
          <w:color w:val="1F3864" w:themeColor="accent1" w:themeShade="80"/>
          <w:sz w:val="20"/>
          <w:szCs w:val="20"/>
        </w:rPr>
      </w:pPr>
      <w:r w:rsidRPr="004E174C">
        <w:rPr>
          <w:rFonts w:eastAsia="Times New Roman"/>
          <w:color w:val="1F3864" w:themeColor="accent1" w:themeShade="80"/>
        </w:rPr>
        <w:t>FISKÁLNÍ POLITIKA</w:t>
      </w:r>
    </w:p>
    <w:p w14:paraId="4A6F53BA" w14:textId="77777777" w:rsidR="008E0F74" w:rsidRPr="00FC3B7C" w:rsidRDefault="000040D6" w:rsidP="000040D6">
      <w:pPr>
        <w:rPr>
          <w:rFonts w:eastAsia="Times New Roman"/>
        </w:rPr>
      </w:pPr>
      <w:r>
        <w:rPr>
          <w:rFonts w:eastAsia="Times New Roman"/>
        </w:rPr>
        <w:t xml:space="preserve">V </w:t>
      </w:r>
      <w:r w:rsidR="00256F29" w:rsidRPr="00FC3B7C">
        <w:rPr>
          <w:rFonts w:eastAsia="Times New Roman"/>
        </w:rPr>
        <w:t>centrálně plánované ekonomice velký podíl vládních výdajů na HDP (přes 60 %). Veřejné finance byly nástrojem přerozdělování, komplikovaný systém daní odrážel také ideologické priority. Klíčovým cílem transformace bylo omezení role státu, snížení přerozdělování a míru zdanění podniků alespoň na úroveň obvyklou v západoevropských zemích.</w:t>
      </w:r>
    </w:p>
    <w:p w14:paraId="4A6F53BB" w14:textId="5C9E9BBA" w:rsidR="008E0F74" w:rsidRPr="00FC3B7C" w:rsidRDefault="00256F29" w:rsidP="000040D6">
      <w:pPr>
        <w:ind w:left="4" w:right="20"/>
        <w:rPr>
          <w:sz w:val="20"/>
          <w:szCs w:val="20"/>
        </w:rPr>
      </w:pPr>
      <w:bookmarkStart w:id="467" w:name="page480"/>
      <w:bookmarkEnd w:id="467"/>
      <w:r w:rsidRPr="00FC3B7C">
        <w:rPr>
          <w:rFonts w:eastAsia="Times New Roman"/>
          <w:szCs w:val="24"/>
        </w:rPr>
        <w:t xml:space="preserve">Československo zdědilo po socialistické éře vyrovnaný státní rozpočet. Po rozpadu Československa v roce 1993, vláda aplikovala restriktivní fiskální politiku s cílem udržet </w:t>
      </w:r>
      <w:r w:rsidRPr="00FC3B7C">
        <w:rPr>
          <w:rFonts w:eastAsia="Times New Roman"/>
          <w:szCs w:val="24"/>
        </w:rPr>
        <w:lastRenderedPageBreak/>
        <w:t>vyrovnaný rozpočet. V prvních letech vykazoval rozpočet dokonce i přebytky. Deficity se začaly projevovat až rokem 1996, nebyly však velké a měly převážně charakter cyklických schodků.</w:t>
      </w:r>
    </w:p>
    <w:p w14:paraId="4A6F53D6" w14:textId="40518966" w:rsidR="008E0F74" w:rsidRPr="00FC3B7C" w:rsidRDefault="008E0F74" w:rsidP="004E174C">
      <w:pPr>
        <w:spacing w:line="20" w:lineRule="exact"/>
        <w:rPr>
          <w:sz w:val="20"/>
          <w:szCs w:val="20"/>
        </w:rPr>
      </w:pPr>
    </w:p>
    <w:p w14:paraId="4A6F53DA" w14:textId="18BC1C70" w:rsidR="008E0F74" w:rsidRPr="00FC3B7C" w:rsidRDefault="008E0F74">
      <w:pPr>
        <w:spacing w:line="220" w:lineRule="exact"/>
        <w:rPr>
          <w:sz w:val="20"/>
          <w:szCs w:val="20"/>
        </w:rPr>
      </w:pPr>
    </w:p>
    <w:p w14:paraId="4A6F53DB" w14:textId="1310F589" w:rsidR="008E0F74" w:rsidRPr="00FC3B7C" w:rsidRDefault="00256F29" w:rsidP="000040D6">
      <w:pPr>
        <w:rPr>
          <w:sz w:val="20"/>
          <w:szCs w:val="20"/>
        </w:rPr>
      </w:pPr>
      <w:r w:rsidRPr="00FC3B7C">
        <w:rPr>
          <w:rFonts w:eastAsia="Times New Roman"/>
        </w:rPr>
        <w:t>Úspěchem rozpočtové politiky bylo zrušení dotací pro podniky a postupné snižování míry zdanění podniků. V roce 1993 byla zavedena nová daňová soustava a také změny v sociálním a zdravotním pojištění. Specifikem transformace jsou mimořádné položky na straně příjmů (výnosy z privatizace) i výdajů (náklady spojené s restrukturalizací, oddlužování bankovního sektoru, ekologické škody).</w:t>
      </w:r>
    </w:p>
    <w:p w14:paraId="4A6F53DC" w14:textId="4328863E" w:rsidR="008E0F74" w:rsidRPr="00FC3B7C" w:rsidRDefault="000040D6" w:rsidP="000040D6">
      <w:pPr>
        <w:rPr>
          <w:rFonts w:eastAsia="Times New Roman"/>
          <w:sz w:val="23"/>
          <w:szCs w:val="23"/>
        </w:rPr>
      </w:pPr>
      <w:r>
        <w:rPr>
          <w:sz w:val="20"/>
          <w:szCs w:val="20"/>
        </w:rPr>
        <w:t xml:space="preserve">V </w:t>
      </w:r>
      <w:r w:rsidR="00256F29" w:rsidRPr="00FC3B7C">
        <w:rPr>
          <w:rFonts w:eastAsia="Times New Roman"/>
          <w:sz w:val="23"/>
          <w:szCs w:val="23"/>
        </w:rPr>
        <w:t>žádné postkomunistické zemi se však nepodařilo snížit podíl veřejných výdajů na úroveň, která by odpovídala jejich hospodářské úrovni. Země trpěly tzv. předčasným státem blahobytu, protože nebyly schopné odbourat sociální výhody zavedené za socialismu (přídavky na děti, regulované nájemné, subvencovaná železniční doprava, subvencované ceny elektřiny, dávky v nemoci, bezplatné vzdělání, bezplatná zdravotní péče apod.). To udržovalo veřejné výdaje na vysoké úrovni, která nedovolovala podstatně snížit daně a posílit hospodářský růst.</w:t>
      </w:r>
    </w:p>
    <w:p w14:paraId="4A6F53DD" w14:textId="77777777" w:rsidR="008E0F74" w:rsidRPr="00FC3B7C" w:rsidRDefault="00256F29" w:rsidP="000040D6">
      <w:pPr>
        <w:rPr>
          <w:rFonts w:eastAsia="Times New Roman"/>
          <w:sz w:val="23"/>
          <w:szCs w:val="23"/>
        </w:rPr>
      </w:pPr>
      <w:r w:rsidRPr="00FC3B7C">
        <w:rPr>
          <w:rFonts w:eastAsia="Times New Roman"/>
        </w:rPr>
        <w:t>Nástup krize v roce 1997 zkomplikoval vládě snahu udržet vyrovnaný rozpočet, přesto od svého záměru neustoupila. Uskutečnila poměrně razantní obrat směrem k rozpočtové restrikci</w:t>
      </w:r>
    </w:p>
    <w:p w14:paraId="4A6F53E0" w14:textId="5C3A6586" w:rsidR="008E0F74" w:rsidRPr="00244BB9" w:rsidRDefault="005412D3" w:rsidP="00244BB9">
      <w:pPr>
        <w:rPr>
          <w:rFonts w:eastAsia="Times New Roman"/>
        </w:rPr>
      </w:pPr>
      <w:bookmarkStart w:id="468" w:name="page481"/>
      <w:bookmarkEnd w:id="468"/>
      <w:r>
        <w:rPr>
          <w:noProof/>
        </w:rPr>
        <w:drawing>
          <wp:anchor distT="0" distB="0" distL="114300" distR="114300" simplePos="0" relativeHeight="251649536" behindDoc="1" locked="0" layoutInCell="1" allowOverlap="1" wp14:anchorId="05FB0508" wp14:editId="3589AEAE">
            <wp:simplePos x="0" y="0"/>
            <wp:positionH relativeFrom="column">
              <wp:posOffset>-11430</wp:posOffset>
            </wp:positionH>
            <wp:positionV relativeFrom="paragraph">
              <wp:posOffset>1343025</wp:posOffset>
            </wp:positionV>
            <wp:extent cx="5753735" cy="3175000"/>
            <wp:effectExtent l="0" t="0" r="0" b="6350"/>
            <wp:wrapTight wrapText="bothSides">
              <wp:wrapPolygon edited="0">
                <wp:start x="0" y="0"/>
                <wp:lineTo x="0" y="21514"/>
                <wp:lineTo x="21526" y="21514"/>
                <wp:lineTo x="21526"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extLst>
                        <a:ext uri="{28A0092B-C50C-407E-A947-70E740481C1C}">
                          <a14:useLocalDpi xmlns:a14="http://schemas.microsoft.com/office/drawing/2010/main" val="0"/>
                        </a:ext>
                      </a:extLst>
                    </a:blip>
                    <a:srcRect l="26670" t="21466" r="10571" b="16964"/>
                    <a:stretch/>
                  </pic:blipFill>
                  <pic:spPr bwMode="auto">
                    <a:xfrm>
                      <a:off x="0" y="0"/>
                      <a:ext cx="5753735" cy="3175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40D6">
        <w:rPr>
          <w:rFonts w:eastAsia="Times New Roman"/>
        </w:rPr>
        <w:t xml:space="preserve">v </w:t>
      </w:r>
      <w:r w:rsidR="00256F29" w:rsidRPr="00FC3B7C">
        <w:rPr>
          <w:rFonts w:eastAsia="Times New Roman"/>
        </w:rPr>
        <w:t>podobě vládních balíčků, které dramaticky snížily vládní výdaje a udržely rozpočet v přijatelných mezích. Nicméně tato opatření byla pouze dočasná a nebyla podložena skutečnými reformami veřejného sektoru, jež by zaručily trvalost snížení výdajů pro budoucí léta. Proto vládní výdaje začali opět narůstat na svou původní úroveň a s nimi narůstal také deficit státního rozpočtu.</w:t>
      </w:r>
    </w:p>
    <w:p w14:paraId="4A6F53E1" w14:textId="77777777" w:rsidR="008E0F74" w:rsidRPr="002A2887" w:rsidRDefault="00256F29" w:rsidP="000040D6">
      <w:pPr>
        <w:pStyle w:val="Nadpis2"/>
        <w:rPr>
          <w:color w:val="1F3864" w:themeColor="accent1" w:themeShade="80"/>
          <w:sz w:val="20"/>
          <w:szCs w:val="20"/>
        </w:rPr>
      </w:pPr>
      <w:r w:rsidRPr="002A2887">
        <w:rPr>
          <w:rFonts w:eastAsia="Times New Roman"/>
          <w:color w:val="1F3864" w:themeColor="accent1" w:themeShade="80"/>
        </w:rPr>
        <w:lastRenderedPageBreak/>
        <w:t>MONETÁRNÍ POLITIKA</w:t>
      </w:r>
    </w:p>
    <w:p w14:paraId="4A6F53E2" w14:textId="77777777" w:rsidR="008E0F74" w:rsidRPr="00FC3B7C" w:rsidRDefault="00256F29" w:rsidP="000040D6">
      <w:r w:rsidRPr="00FC3B7C">
        <w:rPr>
          <w:rFonts w:eastAsia="Times New Roman"/>
          <w:szCs w:val="24"/>
        </w:rPr>
        <w:t>V prvních letech hrála monetární politika hlavně stabilizační úlohu. Měla zabránit tomu, aby liberalizace trhů vyvolala nekontrolovatelnou inflaci, a proto byla použita restriktivní měnová politika. Měnová politika ČNB do určité míry přispěla k větší hloubce transformačního poklesu a k nárůstu mezipodnikové platební neschopnosti, ale inflaci se podařilo udržet pod kontrolou, a tak lze říci, že byla úspěšná.</w:t>
      </w:r>
    </w:p>
    <w:p w14:paraId="4A6F53E3" w14:textId="77777777" w:rsidR="008E0F74" w:rsidRPr="00FC3B7C" w:rsidRDefault="00256F29" w:rsidP="000040D6">
      <w:r w:rsidRPr="00FC3B7C">
        <w:rPr>
          <w:rFonts w:eastAsia="Times New Roman"/>
          <w:szCs w:val="24"/>
        </w:rPr>
        <w:t>Byl nastaven fixní kurz měny s fluktuačním pásmem na úrovni 0,5 %, který sloužil jako nástroj protiinflační a stabilizační politiky. V říjnu 1995 uskutečnila ČNB rozsáhlou liberalizaci toků na finančním účtu platební bilance a umožnila obchodování s českou korunou na mezinárodních měnových trzích. Stále však byl udržován režim fixního kurzu. Tím vytvořila riziko spekulačního útoku na korunu, ke kterému nakonec došlo v roce 199</w:t>
      </w:r>
      <w:r w:rsidR="00AB5C63" w:rsidRPr="00FC3B7C">
        <w:rPr>
          <w:rFonts w:eastAsia="Times New Roman"/>
          <w:szCs w:val="24"/>
        </w:rPr>
        <w:t>20.</w:t>
      </w:r>
    </w:p>
    <w:p w14:paraId="4A6F53E4" w14:textId="77777777" w:rsidR="008E0F74" w:rsidRPr="00FC3B7C" w:rsidRDefault="00256F29" w:rsidP="000040D6">
      <w:r w:rsidRPr="00FC3B7C">
        <w:rPr>
          <w:rFonts w:eastAsia="Times New Roman"/>
          <w:szCs w:val="24"/>
        </w:rPr>
        <w:t xml:space="preserve">Od roku 1993 se v České republice zrychlil růst peněžní zásoby, což přispělo k obnovení hospodářského růstu v následujících letech. Na růst peněžní zásoby působil i příliv zahraničního kapitálu, který byl následkem liberalizace kapitálových toků. Příliv zahraničního kapitálu vyvolával aktivní saldo platební bilance. Aby však centrální banka udržela fixní kurz koruny, musela intervenovat na měnovém trhu nákupem zahraničních měn za koruny. Důsledkem byl tedy růst peněžní zásoby. ČNB se snažila tlumit růst peněžní zásoby prodejem dluhopisů, ale to se míjelo účinkem. Jediným výsledkem byl další růst úrokových měr a tedy </w:t>
      </w:r>
      <w:r w:rsidR="000040D6">
        <w:rPr>
          <w:rFonts w:eastAsia="Times New Roman"/>
          <w:szCs w:val="24"/>
        </w:rPr>
        <w:br/>
      </w:r>
      <w:r w:rsidRPr="00FC3B7C">
        <w:rPr>
          <w:rFonts w:eastAsia="Times New Roman"/>
          <w:szCs w:val="24"/>
        </w:rPr>
        <w:t>i další příliv zahraničního kapitálu. Růst peněžní zásoby zvyšoval agregátní poptávku, která narážela na nedostatek domácích produkčních kapacit a přelévala se do dovozů. Obchodní bilance se začala prudce zhoršovat.</w:t>
      </w:r>
    </w:p>
    <w:p w14:paraId="64AF4667" w14:textId="77777777" w:rsidR="005412D3" w:rsidRDefault="00256F29" w:rsidP="000040D6">
      <w:r w:rsidRPr="00FC3B7C">
        <w:rPr>
          <w:rFonts w:eastAsia="Times New Roman"/>
          <w:szCs w:val="24"/>
        </w:rPr>
        <w:t>Roku 1996 ČNB rozšířila fluktuační pásmo na z 5 % na 15 %. Zároveň zvýšila povinné rezervy bank a úrokovou míru, čímž v důsledku prohloubila recesi, která se začala následně projevovat od roku 199</w:t>
      </w:r>
      <w:r w:rsidR="00AB5C63" w:rsidRPr="00FC3B7C">
        <w:rPr>
          <w:rFonts w:eastAsia="Times New Roman"/>
          <w:szCs w:val="24"/>
        </w:rPr>
        <w:t>20.</w:t>
      </w:r>
      <w:r w:rsidRPr="00FC3B7C">
        <w:rPr>
          <w:rFonts w:eastAsia="Times New Roman"/>
          <w:szCs w:val="24"/>
        </w:rPr>
        <w:t xml:space="preserve"> Aplikování restriktivní měnové i fiskální politiky byla špatnou kombinací. Investoři se začali zbavovat korun a zahraniční kapitál začal opouštět zemi.</w:t>
      </w:r>
      <w:r w:rsidR="005412D3">
        <w:t xml:space="preserve"> </w:t>
      </w:r>
      <w:bookmarkStart w:id="469" w:name="page482"/>
      <w:bookmarkEnd w:id="469"/>
    </w:p>
    <w:p w14:paraId="4A6F53E7" w14:textId="0152E887" w:rsidR="008E0F74" w:rsidRPr="00FC3B7C" w:rsidRDefault="00256F29" w:rsidP="000040D6">
      <w:r w:rsidRPr="00FC3B7C">
        <w:rPr>
          <w:rFonts w:eastAsia="Times New Roman"/>
        </w:rPr>
        <w:t xml:space="preserve">ČNB se marně snažila devizovými internacemi udržovat korunu ve fluktuačním pásmu. </w:t>
      </w:r>
      <w:r w:rsidR="000040D6">
        <w:rPr>
          <w:rFonts w:eastAsia="Times New Roman"/>
        </w:rPr>
        <w:br/>
      </w:r>
      <w:r w:rsidRPr="00FC3B7C">
        <w:rPr>
          <w:rFonts w:eastAsia="Times New Roman"/>
        </w:rPr>
        <w:t xml:space="preserve">V květnu roku 1997 došlo ke spekulativnímu útoku na korunu, na který centrální banka reagovala velkým zvýšením úrokových sazeb a posléze opuštěním režimu fixního kurzu </w:t>
      </w:r>
      <w:r w:rsidR="000040D6">
        <w:rPr>
          <w:rFonts w:eastAsia="Times New Roman"/>
        </w:rPr>
        <w:br/>
      </w:r>
      <w:r w:rsidRPr="00FC3B7C">
        <w:rPr>
          <w:rFonts w:eastAsia="Times New Roman"/>
        </w:rPr>
        <w:t>a přechodem na floating.</w:t>
      </w:r>
    </w:p>
    <w:p w14:paraId="4A6F53E8" w14:textId="77777777" w:rsidR="008E0F74" w:rsidRPr="00FC3B7C" w:rsidRDefault="00256F29" w:rsidP="000040D6">
      <w:r w:rsidRPr="00FC3B7C">
        <w:rPr>
          <w:rFonts w:eastAsia="Times New Roman"/>
        </w:rPr>
        <w:t>Přechodem na floating ztratila měnová politika svůj protiinflační nástroj, kterým byl do té doby pevný měnový kurz. ČNB si proto zvolila za novou protiinflační strategii – inflační cílování.</w:t>
      </w:r>
    </w:p>
    <w:p w14:paraId="4A6F53E9" w14:textId="77777777" w:rsidR="008E0F74" w:rsidRPr="00FC3B7C" w:rsidRDefault="008E0F74">
      <w:pPr>
        <w:spacing w:line="200" w:lineRule="exact"/>
        <w:rPr>
          <w:sz w:val="20"/>
          <w:szCs w:val="20"/>
        </w:rPr>
      </w:pPr>
    </w:p>
    <w:p w14:paraId="4A6F53EA" w14:textId="77777777" w:rsidR="008E0F74" w:rsidRPr="00FC3B7C" w:rsidRDefault="008E0F74">
      <w:pPr>
        <w:spacing w:line="218" w:lineRule="exact"/>
        <w:rPr>
          <w:sz w:val="20"/>
          <w:szCs w:val="20"/>
        </w:rPr>
      </w:pPr>
    </w:p>
    <w:p w14:paraId="4A6F53ED" w14:textId="45EED96F" w:rsidR="008E0F74" w:rsidRPr="002A2887" w:rsidRDefault="000040D6" w:rsidP="002A2887">
      <w:pPr>
        <w:pStyle w:val="Nadpis2"/>
        <w:rPr>
          <w:color w:val="1F3864" w:themeColor="accent1" w:themeShade="80"/>
          <w:sz w:val="20"/>
          <w:szCs w:val="20"/>
        </w:rPr>
      </w:pPr>
      <w:r w:rsidRPr="002A2887">
        <w:rPr>
          <w:rFonts w:eastAsia="Times New Roman"/>
          <w:color w:val="1F3864" w:themeColor="accent1" w:themeShade="80"/>
        </w:rPr>
        <w:t>DŮLEŽITÉ</w:t>
      </w:r>
      <w:r w:rsidRPr="002A2887">
        <w:rPr>
          <w:rFonts w:eastAsia="Times New Roman"/>
          <w:color w:val="1F3864" w:themeColor="accent1" w:themeShade="80"/>
        </w:rPr>
        <w:tab/>
        <w:t>POJMY SOUVISEJÍCÍ S </w:t>
      </w:r>
      <w:r w:rsidR="00256F29" w:rsidRPr="002A2887">
        <w:rPr>
          <w:rFonts w:eastAsia="Times New Roman"/>
          <w:color w:val="1F3864" w:themeColor="accent1" w:themeShade="80"/>
        </w:rPr>
        <w:t>PROCESEM</w:t>
      </w:r>
      <w:r w:rsidRPr="002A2887">
        <w:rPr>
          <w:rFonts w:eastAsia="Times New Roman"/>
          <w:color w:val="1F3864" w:themeColor="accent1" w:themeShade="80"/>
        </w:rPr>
        <w:t xml:space="preserve"> </w:t>
      </w:r>
      <w:r w:rsidR="00256F29" w:rsidRPr="002A2887">
        <w:rPr>
          <w:rFonts w:eastAsia="Times New Roman"/>
          <w:bCs/>
          <w:color w:val="1F3864" w:themeColor="accent1" w:themeShade="80"/>
          <w:szCs w:val="28"/>
        </w:rPr>
        <w:t>TRANSFORMACE</w:t>
      </w:r>
      <w:r w:rsidR="003376E1">
        <w:rPr>
          <w:rFonts w:eastAsia="Times New Roman"/>
          <w:bCs/>
          <w:color w:val="1F3864" w:themeColor="accent1" w:themeShade="80"/>
          <w:szCs w:val="28"/>
        </w:rPr>
        <w:t xml:space="preserve"> </w:t>
      </w:r>
      <w:r w:rsidR="00256F29" w:rsidRPr="005412D3">
        <w:rPr>
          <w:rFonts w:eastAsia="Times New Roman"/>
          <w:bCs/>
          <w:color w:val="1F3864" w:themeColor="accent1" w:themeShade="80"/>
          <w:szCs w:val="24"/>
        </w:rPr>
        <w:t>(NOVÉ PODOTÁZKY U STÁTNIC!!! )</w:t>
      </w:r>
    </w:p>
    <w:p w14:paraId="4A6F53EE" w14:textId="3B92F686" w:rsidR="008E0F74" w:rsidRPr="00FC3B7C" w:rsidRDefault="002A2887" w:rsidP="000040D6">
      <w:pPr>
        <w:pStyle w:val="Nadpis3"/>
        <w:rPr>
          <w:sz w:val="20"/>
          <w:szCs w:val="20"/>
        </w:rPr>
      </w:pPr>
      <w:r>
        <w:rPr>
          <w:rFonts w:eastAsia="Times New Roman"/>
          <w:color w:val="1F3864" w:themeColor="accent1" w:themeShade="80"/>
        </w:rPr>
        <w:t xml:space="preserve"> </w:t>
      </w:r>
      <w:r w:rsidR="00256F29" w:rsidRPr="002A2887">
        <w:rPr>
          <w:rFonts w:eastAsia="Times New Roman"/>
          <w:color w:val="1F3864" w:themeColor="accent1" w:themeShade="80"/>
        </w:rPr>
        <w:t>Dobývání renty (rent-seeking)</w:t>
      </w:r>
    </w:p>
    <w:p w14:paraId="4A6F53EF" w14:textId="77777777" w:rsidR="008E0F74" w:rsidRPr="00FC3B7C" w:rsidRDefault="00256F29">
      <w:pPr>
        <w:spacing w:line="356" w:lineRule="auto"/>
        <w:ind w:left="4" w:right="40"/>
        <w:rPr>
          <w:sz w:val="20"/>
          <w:szCs w:val="20"/>
        </w:rPr>
      </w:pPr>
      <w:r w:rsidRPr="000040D6">
        <w:t>Využívání politického procesu k obohacení se na úkor jiných. K dobývání dochází při udělování licencí – ten, kdo ji získá, inkasuje čistý zisk. Renta je výsledkem privilegia. Ten, kdo dobývá rentu je ochoten nést značné náklady ž do výše renty. Týká se subvencí, licencí ke vstupu na trh, k dovozům, k vývozům, cenové stropy atd. Možnost dobývat rentu vyplývá z regulace ekonomiky. Deregulace, demonopolizace a konkurence naopak odstraňují podmínky pro dobývání renty. V privatizačním procesu se týká telekomunikací</w:t>
      </w:r>
      <w:r w:rsidRPr="00FC3B7C">
        <w:rPr>
          <w:rFonts w:eastAsia="Times New Roman"/>
          <w:szCs w:val="24"/>
        </w:rPr>
        <w:t>.</w:t>
      </w:r>
    </w:p>
    <w:p w14:paraId="4A6F53F0" w14:textId="77777777" w:rsidR="008E0F74" w:rsidRPr="00FC3B7C" w:rsidRDefault="008E0F74">
      <w:pPr>
        <w:spacing w:line="135" w:lineRule="exact"/>
        <w:rPr>
          <w:sz w:val="20"/>
          <w:szCs w:val="20"/>
        </w:rPr>
      </w:pPr>
    </w:p>
    <w:p w14:paraId="4A6F53F1" w14:textId="0422869D" w:rsidR="008E0F74" w:rsidRPr="002A2887" w:rsidRDefault="002A2887" w:rsidP="000040D6">
      <w:pPr>
        <w:pStyle w:val="Nadpis3"/>
        <w:rPr>
          <w:color w:val="1F3864" w:themeColor="accent1" w:themeShade="80"/>
          <w:sz w:val="20"/>
          <w:szCs w:val="20"/>
        </w:rPr>
      </w:pPr>
      <w:r>
        <w:rPr>
          <w:rFonts w:eastAsia="Times New Roman"/>
          <w:color w:val="1F3864" w:themeColor="accent1" w:themeShade="80"/>
        </w:rPr>
        <w:t xml:space="preserve"> </w:t>
      </w:r>
      <w:r w:rsidR="00256F29" w:rsidRPr="002A2887">
        <w:rPr>
          <w:rFonts w:eastAsia="Times New Roman"/>
          <w:color w:val="1F3864" w:themeColor="accent1" w:themeShade="80"/>
        </w:rPr>
        <w:t>Teorie regulace a dohledu</w:t>
      </w:r>
    </w:p>
    <w:p w14:paraId="4A6F53F2" w14:textId="77777777" w:rsidR="008E0F74" w:rsidRPr="00FC3B7C" w:rsidRDefault="00256F29" w:rsidP="000040D6">
      <w:pPr>
        <w:ind w:left="4" w:right="40"/>
        <w:rPr>
          <w:sz w:val="20"/>
          <w:szCs w:val="20"/>
        </w:rPr>
      </w:pPr>
      <w:r w:rsidRPr="00FC3B7C">
        <w:rPr>
          <w:rFonts w:eastAsia="Times New Roman"/>
          <w:szCs w:val="24"/>
        </w:rPr>
        <w:t xml:space="preserve">Pojmem regulace představuje podmínky a pravidla fungování v dané oblasti. Jedná se </w:t>
      </w:r>
      <w:r w:rsidR="000040D6">
        <w:rPr>
          <w:rFonts w:eastAsia="Times New Roman"/>
          <w:szCs w:val="24"/>
        </w:rPr>
        <w:br/>
      </w:r>
      <w:r w:rsidRPr="00FC3B7C">
        <w:rPr>
          <w:rFonts w:eastAsia="Times New Roman"/>
          <w:szCs w:val="24"/>
        </w:rPr>
        <w:t>o právní předpisy, které vydávají příslušné orgány, jako je vláda, ministerstva, centrální banky či jiný regulační orgán atd. Regulace existuje ve formě směrnic, zákonů a jiných nařízení.</w:t>
      </w:r>
    </w:p>
    <w:p w14:paraId="4A6F53F3" w14:textId="77777777" w:rsidR="008E0F74" w:rsidRPr="00FC3B7C" w:rsidRDefault="00256F29" w:rsidP="000040D6">
      <w:pPr>
        <w:ind w:left="4" w:right="40"/>
        <w:rPr>
          <w:sz w:val="20"/>
          <w:szCs w:val="20"/>
        </w:rPr>
      </w:pPr>
      <w:r w:rsidRPr="00FC3B7C">
        <w:rPr>
          <w:rFonts w:eastAsia="Times New Roman"/>
          <w:szCs w:val="24"/>
        </w:rPr>
        <w:t xml:space="preserve">Dohled znamená dozor nad nastavením regulatorních pravidel, jejich dodržováním </w:t>
      </w:r>
      <w:r w:rsidR="000040D6">
        <w:rPr>
          <w:rFonts w:eastAsia="Times New Roman"/>
          <w:szCs w:val="24"/>
        </w:rPr>
        <w:br/>
      </w:r>
      <w:r w:rsidRPr="00FC3B7C">
        <w:rPr>
          <w:rFonts w:eastAsia="Times New Roman"/>
          <w:szCs w:val="24"/>
        </w:rPr>
        <w:t>a respektováním ze strany subjektů, na které se regulace vztahuje. V případě porušení pravidel jsou orgány oprávněné zasáhnout a sjednat nápravu, uložit sankce atd.</w:t>
      </w:r>
    </w:p>
    <w:p w14:paraId="4A6F53F4" w14:textId="77777777" w:rsidR="008E0F74" w:rsidRPr="00FC3B7C" w:rsidRDefault="008E0F74" w:rsidP="000040D6">
      <w:pPr>
        <w:rPr>
          <w:sz w:val="20"/>
          <w:szCs w:val="20"/>
        </w:rPr>
      </w:pPr>
    </w:p>
    <w:p w14:paraId="4A6F53F5" w14:textId="77777777" w:rsidR="008E0F74" w:rsidRPr="00FC3B7C" w:rsidRDefault="00256F29" w:rsidP="000040D6">
      <w:pPr>
        <w:ind w:left="4"/>
        <w:rPr>
          <w:sz w:val="20"/>
          <w:szCs w:val="20"/>
        </w:rPr>
      </w:pPr>
      <w:r w:rsidRPr="00FC3B7C">
        <w:rPr>
          <w:rFonts w:eastAsia="Times New Roman"/>
          <w:i/>
          <w:iCs/>
          <w:szCs w:val="24"/>
          <w:u w:val="single"/>
        </w:rPr>
        <w:t>Regulace a dohled nad finančními institucemi:</w:t>
      </w:r>
    </w:p>
    <w:p w14:paraId="4A6F53F6" w14:textId="77777777" w:rsidR="008E0F74" w:rsidRPr="00FC3B7C" w:rsidRDefault="00256F29" w:rsidP="000040D6">
      <w:pPr>
        <w:ind w:left="4"/>
        <w:rPr>
          <w:sz w:val="20"/>
          <w:szCs w:val="20"/>
        </w:rPr>
      </w:pPr>
      <w:r w:rsidRPr="00FC3B7C">
        <w:rPr>
          <w:rFonts w:eastAsia="Times New Roman"/>
          <w:szCs w:val="24"/>
        </w:rPr>
        <w:t>Tvoří pravidla a kontroluje jejich dodržování s cíli:</w:t>
      </w:r>
    </w:p>
    <w:p w14:paraId="4A6F53F7" w14:textId="77777777" w:rsidR="008E0F74" w:rsidRPr="00FC3B7C" w:rsidRDefault="008E0F74">
      <w:pPr>
        <w:spacing w:line="20" w:lineRule="exact"/>
        <w:rPr>
          <w:sz w:val="20"/>
          <w:szCs w:val="20"/>
        </w:rPr>
      </w:pPr>
    </w:p>
    <w:p w14:paraId="4A6F53F8" w14:textId="77777777" w:rsidR="008E0F74" w:rsidRPr="00FC3B7C" w:rsidRDefault="00256F29" w:rsidP="00D46B53">
      <w:pPr>
        <w:numPr>
          <w:ilvl w:val="0"/>
          <w:numId w:val="525"/>
        </w:numPr>
        <w:tabs>
          <w:tab w:val="left" w:pos="980"/>
        </w:tabs>
        <w:ind w:left="980" w:hanging="348"/>
        <w:rPr>
          <w:rFonts w:eastAsia="Arial"/>
          <w:szCs w:val="24"/>
        </w:rPr>
      </w:pPr>
      <w:bookmarkStart w:id="470" w:name="page483"/>
      <w:bookmarkEnd w:id="470"/>
      <w:r w:rsidRPr="00FC3B7C">
        <w:rPr>
          <w:rFonts w:eastAsia="Times New Roman"/>
          <w:szCs w:val="24"/>
        </w:rPr>
        <w:t>Stability institucí a finančního systému</w:t>
      </w:r>
    </w:p>
    <w:p w14:paraId="6637746E" w14:textId="16F259A5" w:rsidR="004E174C" w:rsidRPr="005412D3" w:rsidRDefault="00256F29" w:rsidP="00D46B53">
      <w:pPr>
        <w:numPr>
          <w:ilvl w:val="0"/>
          <w:numId w:val="525"/>
        </w:numPr>
        <w:tabs>
          <w:tab w:val="left" w:pos="980"/>
        </w:tabs>
        <w:ind w:left="980" w:hanging="348"/>
        <w:rPr>
          <w:rFonts w:eastAsia="Arial"/>
          <w:szCs w:val="24"/>
        </w:rPr>
      </w:pPr>
      <w:r w:rsidRPr="00FC3B7C">
        <w:rPr>
          <w:rFonts w:eastAsia="Times New Roman"/>
          <w:szCs w:val="24"/>
        </w:rPr>
        <w:t>Omezení tržního selhání</w:t>
      </w:r>
    </w:p>
    <w:p w14:paraId="11FACCF8" w14:textId="77777777" w:rsidR="004E174C" w:rsidRPr="00FC3B7C" w:rsidRDefault="004E174C">
      <w:pPr>
        <w:spacing w:line="342" w:lineRule="exact"/>
        <w:rPr>
          <w:sz w:val="20"/>
          <w:szCs w:val="20"/>
        </w:rPr>
      </w:pPr>
    </w:p>
    <w:p w14:paraId="4A6F53FB" w14:textId="77777777" w:rsidR="008E0F74" w:rsidRPr="00FC3B7C" w:rsidRDefault="00256F29" w:rsidP="000040D6">
      <w:pPr>
        <w:rPr>
          <w:sz w:val="20"/>
          <w:szCs w:val="20"/>
        </w:rPr>
      </w:pPr>
      <w:r w:rsidRPr="00FC3B7C">
        <w:rPr>
          <w:rFonts w:eastAsia="Times New Roman"/>
          <w:szCs w:val="24"/>
          <w:u w:val="single"/>
        </w:rPr>
        <w:t>V oblasti tržního selhání lze rozlišovat:</w:t>
      </w:r>
    </w:p>
    <w:p w14:paraId="4A6F53FC" w14:textId="77777777" w:rsidR="008E0F74" w:rsidRPr="00FC3B7C" w:rsidRDefault="00256F29" w:rsidP="00D46B53">
      <w:pPr>
        <w:numPr>
          <w:ilvl w:val="0"/>
          <w:numId w:val="526"/>
        </w:numPr>
        <w:tabs>
          <w:tab w:val="left" w:pos="1000"/>
        </w:tabs>
        <w:ind w:left="1000" w:right="20" w:hanging="358"/>
        <w:rPr>
          <w:rFonts w:eastAsia="Times New Roman"/>
          <w:szCs w:val="24"/>
        </w:rPr>
      </w:pPr>
      <w:r w:rsidRPr="00FC3B7C">
        <w:rPr>
          <w:rFonts w:eastAsia="Times New Roman"/>
          <w:szCs w:val="24"/>
        </w:rPr>
        <w:t>Asymetrii informací - různá úroveň přístupu k informacím, kterou disponují jednotliví účastníci na finančním trhu typu.</w:t>
      </w:r>
    </w:p>
    <w:p w14:paraId="4A6F53FD" w14:textId="77777777" w:rsidR="008E0F74" w:rsidRPr="00FC3B7C" w:rsidRDefault="00256F29" w:rsidP="00D46B53">
      <w:pPr>
        <w:numPr>
          <w:ilvl w:val="0"/>
          <w:numId w:val="526"/>
        </w:numPr>
        <w:tabs>
          <w:tab w:val="left" w:pos="1000"/>
        </w:tabs>
        <w:ind w:left="1000" w:hanging="358"/>
        <w:rPr>
          <w:rFonts w:eastAsia="Times New Roman"/>
          <w:szCs w:val="24"/>
        </w:rPr>
      </w:pPr>
      <w:r w:rsidRPr="00FC3B7C">
        <w:rPr>
          <w:rFonts w:eastAsia="Times New Roman"/>
          <w:szCs w:val="24"/>
        </w:rPr>
        <w:t>Zneužití trhů – využití privátních informací při obchodování na trhu</w:t>
      </w:r>
    </w:p>
    <w:p w14:paraId="4A6F53FE" w14:textId="6A65C5DD" w:rsidR="008E0F74" w:rsidRDefault="00256F29" w:rsidP="00D46B53">
      <w:pPr>
        <w:numPr>
          <w:ilvl w:val="0"/>
          <w:numId w:val="526"/>
        </w:numPr>
        <w:tabs>
          <w:tab w:val="left" w:pos="1000"/>
        </w:tabs>
        <w:ind w:left="1000" w:hanging="358"/>
        <w:rPr>
          <w:rFonts w:eastAsia="Times New Roman"/>
          <w:szCs w:val="24"/>
        </w:rPr>
      </w:pPr>
      <w:r w:rsidRPr="00FC3B7C">
        <w:rPr>
          <w:rFonts w:eastAsia="Times New Roman"/>
          <w:szCs w:val="24"/>
        </w:rPr>
        <w:t>Zneužití dominantního postavení na trhu – omezení hospodářské soutěže</w:t>
      </w:r>
    </w:p>
    <w:p w14:paraId="5D648E98" w14:textId="77777777" w:rsidR="005412D3" w:rsidRPr="00FC3B7C" w:rsidRDefault="005412D3" w:rsidP="005412D3">
      <w:pPr>
        <w:tabs>
          <w:tab w:val="left" w:pos="1000"/>
        </w:tabs>
        <w:ind w:left="1000"/>
        <w:rPr>
          <w:rFonts w:eastAsia="Times New Roman"/>
          <w:szCs w:val="24"/>
        </w:rPr>
      </w:pPr>
    </w:p>
    <w:p w14:paraId="4A6F53FF" w14:textId="77777777" w:rsidR="008E0F74" w:rsidRPr="00FC3B7C" w:rsidRDefault="00256F29" w:rsidP="000040D6">
      <w:pPr>
        <w:rPr>
          <w:sz w:val="20"/>
          <w:szCs w:val="20"/>
        </w:rPr>
      </w:pPr>
      <w:r w:rsidRPr="00FC3B7C">
        <w:rPr>
          <w:rFonts w:eastAsia="Times New Roman"/>
          <w:szCs w:val="24"/>
          <w:u w:val="single"/>
        </w:rPr>
        <w:t>Dohled provádí</w:t>
      </w:r>
    </w:p>
    <w:p w14:paraId="4A6F5400" w14:textId="77777777" w:rsidR="008E0F74" w:rsidRPr="00FC3B7C" w:rsidRDefault="00256F29" w:rsidP="00D46B53">
      <w:pPr>
        <w:numPr>
          <w:ilvl w:val="0"/>
          <w:numId w:val="527"/>
        </w:numPr>
        <w:tabs>
          <w:tab w:val="left" w:pos="1000"/>
        </w:tabs>
        <w:ind w:left="1000" w:hanging="358"/>
        <w:rPr>
          <w:rFonts w:eastAsia="Times New Roman"/>
          <w:szCs w:val="24"/>
        </w:rPr>
      </w:pPr>
      <w:r w:rsidRPr="00FC3B7C">
        <w:rPr>
          <w:rFonts w:eastAsia="Times New Roman"/>
          <w:szCs w:val="24"/>
        </w:rPr>
        <w:t>Obchodní banky</w:t>
      </w:r>
    </w:p>
    <w:p w14:paraId="4A6F5401" w14:textId="77777777" w:rsidR="008E0F74" w:rsidRPr="00FC3B7C" w:rsidRDefault="00256F29" w:rsidP="00D46B53">
      <w:pPr>
        <w:numPr>
          <w:ilvl w:val="0"/>
          <w:numId w:val="527"/>
        </w:numPr>
        <w:tabs>
          <w:tab w:val="left" w:pos="1000"/>
        </w:tabs>
        <w:ind w:left="1000" w:hanging="358"/>
        <w:rPr>
          <w:rFonts w:eastAsia="Times New Roman"/>
          <w:szCs w:val="24"/>
        </w:rPr>
      </w:pPr>
      <w:r w:rsidRPr="00FC3B7C">
        <w:rPr>
          <w:rFonts w:eastAsia="Times New Roman"/>
          <w:szCs w:val="24"/>
        </w:rPr>
        <w:t>Družstevní záložny</w:t>
      </w:r>
    </w:p>
    <w:p w14:paraId="4A6F5402" w14:textId="77777777" w:rsidR="008E0F74" w:rsidRPr="00FC3B7C" w:rsidRDefault="00256F29" w:rsidP="00D46B53">
      <w:pPr>
        <w:numPr>
          <w:ilvl w:val="0"/>
          <w:numId w:val="527"/>
        </w:numPr>
        <w:tabs>
          <w:tab w:val="left" w:pos="1000"/>
        </w:tabs>
        <w:ind w:left="1000" w:hanging="358"/>
        <w:rPr>
          <w:rFonts w:eastAsia="Times New Roman"/>
          <w:szCs w:val="24"/>
        </w:rPr>
      </w:pPr>
      <w:r w:rsidRPr="00FC3B7C">
        <w:rPr>
          <w:rFonts w:eastAsia="Times New Roman"/>
          <w:szCs w:val="24"/>
        </w:rPr>
        <w:lastRenderedPageBreak/>
        <w:t>Pojišťovny</w:t>
      </w:r>
    </w:p>
    <w:p w14:paraId="4A6F5403" w14:textId="77777777" w:rsidR="008E0F74" w:rsidRPr="00FC3B7C" w:rsidRDefault="00256F29" w:rsidP="00D46B53">
      <w:pPr>
        <w:numPr>
          <w:ilvl w:val="0"/>
          <w:numId w:val="527"/>
        </w:numPr>
        <w:tabs>
          <w:tab w:val="left" w:pos="1000"/>
        </w:tabs>
        <w:ind w:left="1000" w:hanging="358"/>
        <w:rPr>
          <w:rFonts w:eastAsia="Times New Roman"/>
          <w:szCs w:val="24"/>
        </w:rPr>
      </w:pPr>
      <w:r w:rsidRPr="00FC3B7C">
        <w:rPr>
          <w:rFonts w:eastAsia="Times New Roman"/>
          <w:szCs w:val="24"/>
        </w:rPr>
        <w:t>Penzijní fondy apod.</w:t>
      </w:r>
    </w:p>
    <w:p w14:paraId="4A6F5404" w14:textId="77777777" w:rsidR="008E0F74" w:rsidRPr="00FC3B7C" w:rsidRDefault="008E0F74">
      <w:pPr>
        <w:spacing w:line="371" w:lineRule="exact"/>
        <w:rPr>
          <w:sz w:val="20"/>
          <w:szCs w:val="20"/>
        </w:rPr>
      </w:pPr>
    </w:p>
    <w:p w14:paraId="4A6F5405" w14:textId="10084315" w:rsidR="008E0F74" w:rsidRPr="00FC3B7C" w:rsidRDefault="002A2887" w:rsidP="00FA44CF">
      <w:pPr>
        <w:pStyle w:val="Nadpis3"/>
        <w:rPr>
          <w:sz w:val="20"/>
          <w:szCs w:val="20"/>
        </w:rPr>
      </w:pPr>
      <w:r>
        <w:rPr>
          <w:rFonts w:eastAsia="Times New Roman"/>
        </w:rPr>
        <w:t xml:space="preserve"> </w:t>
      </w:r>
      <w:r w:rsidR="00256F29" w:rsidRPr="002A2887">
        <w:rPr>
          <w:rFonts w:eastAsia="Times New Roman"/>
          <w:color w:val="1F3864" w:themeColor="accent1" w:themeShade="80"/>
        </w:rPr>
        <w:t>Teorie hospodářské soutěže</w:t>
      </w:r>
    </w:p>
    <w:p w14:paraId="4A6F5406" w14:textId="28F9D723" w:rsidR="008E0F74" w:rsidRPr="00FC3B7C" w:rsidRDefault="00996B5C" w:rsidP="00FA44CF">
      <w:pPr>
        <w:rPr>
          <w:sz w:val="20"/>
          <w:szCs w:val="20"/>
        </w:rPr>
      </w:pPr>
      <w:r w:rsidRPr="00FC3B7C">
        <w:rPr>
          <w:rFonts w:eastAsia="Times New Roman"/>
          <w:szCs w:val="24"/>
        </w:rPr>
        <w:t>Viz. O obecné</w:t>
      </w:r>
      <w:r w:rsidR="00256F29" w:rsidRPr="00FC3B7C">
        <w:rPr>
          <w:rFonts w:eastAsia="Times New Roman"/>
          <w:szCs w:val="24"/>
        </w:rPr>
        <w:t xml:space="preserve"> teorii hospodářské soutěže Otázka č. 10.</w:t>
      </w:r>
    </w:p>
    <w:p w14:paraId="4A6F5407" w14:textId="77777777" w:rsidR="008E0F74" w:rsidRPr="00FC3B7C" w:rsidRDefault="00256F29" w:rsidP="00D46B53">
      <w:pPr>
        <w:numPr>
          <w:ilvl w:val="0"/>
          <w:numId w:val="528"/>
        </w:numPr>
        <w:tabs>
          <w:tab w:val="left" w:pos="1000"/>
        </w:tabs>
        <w:ind w:left="1000" w:right="20" w:hanging="358"/>
        <w:rPr>
          <w:rFonts w:eastAsia="Times New Roman"/>
          <w:szCs w:val="24"/>
        </w:rPr>
      </w:pPr>
      <w:r w:rsidRPr="00FC3B7C">
        <w:rPr>
          <w:rFonts w:eastAsia="Times New Roman"/>
          <w:szCs w:val="24"/>
        </w:rPr>
        <w:t>Zákon České národní rady z r. 1991 zřídil Český úřad pro hospodářskou soutěž, který zahájil činnost k 1. červenci 1991</w:t>
      </w:r>
    </w:p>
    <w:p w14:paraId="4A6F5408" w14:textId="77777777" w:rsidR="008E0F74" w:rsidRPr="00FC3B7C" w:rsidRDefault="00256F29" w:rsidP="00D46B53">
      <w:pPr>
        <w:numPr>
          <w:ilvl w:val="0"/>
          <w:numId w:val="528"/>
        </w:numPr>
        <w:tabs>
          <w:tab w:val="left" w:pos="1000"/>
        </w:tabs>
        <w:ind w:left="1000" w:right="20" w:hanging="358"/>
        <w:rPr>
          <w:rFonts w:eastAsia="Times New Roman"/>
          <w:szCs w:val="24"/>
        </w:rPr>
      </w:pPr>
      <w:r w:rsidRPr="00FC3B7C">
        <w:rPr>
          <w:rFonts w:eastAsia="Times New Roman"/>
          <w:szCs w:val="24"/>
        </w:rPr>
        <w:t>Sídlem Úřadu se nestala Praha, jako centrum všech orgánů státní správy, ale Brno, což mělo deklarovat nezávislost rozhodování</w:t>
      </w:r>
    </w:p>
    <w:p w14:paraId="4A6F5409" w14:textId="77777777" w:rsidR="008E0F74" w:rsidRPr="00FC3B7C" w:rsidRDefault="00256F29" w:rsidP="00D46B53">
      <w:pPr>
        <w:numPr>
          <w:ilvl w:val="0"/>
          <w:numId w:val="528"/>
        </w:numPr>
        <w:tabs>
          <w:tab w:val="left" w:pos="1000"/>
        </w:tabs>
        <w:ind w:left="1000" w:right="20" w:hanging="358"/>
        <w:rPr>
          <w:rFonts w:eastAsia="Times New Roman"/>
          <w:szCs w:val="24"/>
        </w:rPr>
      </w:pPr>
      <w:r w:rsidRPr="00FC3B7C">
        <w:rPr>
          <w:rFonts w:eastAsia="Times New Roman"/>
          <w:szCs w:val="24"/>
        </w:rPr>
        <w:t>V roce 1992 byl tento úřad nahrazen Ministerstvem pro hospodářskou soutěž. Tato změna byla odůvodněna tehdy probíhající ekonomickou transformací a především úlohou, kterou plnilo Ministerstvo v privatizačním procesu</w:t>
      </w:r>
    </w:p>
    <w:p w14:paraId="4A6F540A" w14:textId="77777777" w:rsidR="008E0F74" w:rsidRPr="00FC3B7C" w:rsidRDefault="00256F29" w:rsidP="00D46B53">
      <w:pPr>
        <w:numPr>
          <w:ilvl w:val="0"/>
          <w:numId w:val="528"/>
        </w:numPr>
        <w:tabs>
          <w:tab w:val="left" w:pos="1000"/>
        </w:tabs>
        <w:ind w:left="1000" w:right="20" w:hanging="358"/>
        <w:rPr>
          <w:rFonts w:eastAsia="Times New Roman"/>
          <w:szCs w:val="24"/>
        </w:rPr>
      </w:pPr>
      <w:r w:rsidRPr="00FC3B7C">
        <w:rPr>
          <w:rFonts w:eastAsia="Times New Roman"/>
          <w:szCs w:val="24"/>
        </w:rPr>
        <w:t xml:space="preserve">V současné době je ochrana hospodářské soutěže v České republice institucionálně zajišťována </w:t>
      </w:r>
      <w:r w:rsidRPr="00FC3B7C">
        <w:rPr>
          <w:rFonts w:eastAsia="Times New Roman"/>
          <w:szCs w:val="24"/>
          <w:u w:val="single"/>
        </w:rPr>
        <w:t>Úřadem pro ochranu hospodářské soutěže (ÚOHS)</w:t>
      </w:r>
      <w:r w:rsidRPr="00FC3B7C">
        <w:rPr>
          <w:rFonts w:eastAsia="Times New Roman"/>
          <w:szCs w:val="24"/>
        </w:rPr>
        <w:t xml:space="preserve"> se sídlem v Brně</w:t>
      </w:r>
    </w:p>
    <w:p w14:paraId="4A6F540B" w14:textId="77777777" w:rsidR="008E0F74" w:rsidRPr="00FC3B7C" w:rsidRDefault="00256F29" w:rsidP="00D46B53">
      <w:pPr>
        <w:numPr>
          <w:ilvl w:val="0"/>
          <w:numId w:val="528"/>
        </w:numPr>
        <w:tabs>
          <w:tab w:val="left" w:pos="1000"/>
        </w:tabs>
        <w:ind w:left="1000" w:right="20" w:hanging="358"/>
        <w:rPr>
          <w:rFonts w:eastAsia="Times New Roman"/>
          <w:szCs w:val="24"/>
        </w:rPr>
      </w:pPr>
      <w:r w:rsidRPr="00FC3B7C">
        <w:rPr>
          <w:rFonts w:eastAsia="Times New Roman"/>
          <w:szCs w:val="24"/>
        </w:rPr>
        <w:t>Úřadu přísluší vytvářet podmínky pro podporu a ochranu hospodářské soutěže, vykonávat dohled při zadávání veřejných zakázek a veřejné podpory</w:t>
      </w:r>
    </w:p>
    <w:p w14:paraId="4A6F540C" w14:textId="77777777" w:rsidR="008E0F74" w:rsidRPr="00FC3B7C" w:rsidRDefault="00256F29" w:rsidP="00FA44CF">
      <w:pPr>
        <w:rPr>
          <w:sz w:val="20"/>
          <w:szCs w:val="20"/>
        </w:rPr>
      </w:pPr>
      <w:r w:rsidRPr="00FC3B7C">
        <w:rPr>
          <w:rFonts w:eastAsia="Times New Roman"/>
          <w:b/>
          <w:bCs/>
          <w:szCs w:val="24"/>
        </w:rPr>
        <w:t>Česká soutěžní legislativa po roce 1989</w:t>
      </w:r>
    </w:p>
    <w:p w14:paraId="4A6F540F" w14:textId="42B6F7C7" w:rsidR="008E0F74" w:rsidRPr="00FC3B7C" w:rsidRDefault="00256F29" w:rsidP="005412D3">
      <w:pPr>
        <w:ind w:right="20"/>
        <w:rPr>
          <w:sz w:val="20"/>
          <w:szCs w:val="20"/>
        </w:rPr>
      </w:pPr>
      <w:r w:rsidRPr="00FC3B7C">
        <w:rPr>
          <w:rFonts w:eastAsia="Times New Roman"/>
          <w:szCs w:val="24"/>
        </w:rPr>
        <w:t xml:space="preserve">První zákon o ochraně hospodářské soutěže č. 63/1991 byl Federálním shromážděním České a Slovenské Federativní republiky přijat 30. ledna 1991. Účinnosti nabyl 1. 3. 1991, tedy </w:t>
      </w:r>
      <w:r w:rsidR="00FA44CF">
        <w:rPr>
          <w:rFonts w:eastAsia="Times New Roman"/>
          <w:szCs w:val="24"/>
        </w:rPr>
        <w:br/>
      </w:r>
      <w:r w:rsidRPr="00FC3B7C">
        <w:rPr>
          <w:rFonts w:eastAsia="Times New Roman"/>
          <w:szCs w:val="24"/>
        </w:rPr>
        <w:t>v době, kdy ještě nebyly přijaty některé rozhodující právní předpisy, mezi které nepochybně</w:t>
      </w:r>
      <w:bookmarkStart w:id="471" w:name="page484"/>
      <w:bookmarkEnd w:id="471"/>
      <w:r w:rsidR="005412D3">
        <w:rPr>
          <w:sz w:val="20"/>
          <w:szCs w:val="20"/>
        </w:rPr>
        <w:t xml:space="preserve"> </w:t>
      </w:r>
      <w:r w:rsidRPr="00FC3B7C">
        <w:rPr>
          <w:rFonts w:eastAsia="Times New Roman"/>
          <w:szCs w:val="24"/>
        </w:rPr>
        <w:t>patří ústava, obchodní zákoník, občanský zákoník. Zákon například nepoužíval současný pojem soutěžitel, ale podnikatel, nerozlišoval mezi dohodami horizontálními a vertikálními. Zákon se od svého prvního znění dotýká tří oblastí: dohod narušujících soutěž, zneužití dominantního (monopolního) postavení a kontroly spojování soutěžitelů. Mezi zakázané dohody narušující soutěž patřilo od počátku přímé či nepřímé určování cen, obchodních podmínek, závazky omezující kontrolu výroby, odbytu, rozdělení trhu a další…</w:t>
      </w:r>
    </w:p>
    <w:p w14:paraId="4A6F5410" w14:textId="77777777" w:rsidR="008E0F74" w:rsidRPr="00FC3B7C" w:rsidRDefault="00256F29" w:rsidP="00FA44CF">
      <w:pPr>
        <w:ind w:left="4" w:right="20"/>
        <w:rPr>
          <w:sz w:val="20"/>
          <w:szCs w:val="20"/>
        </w:rPr>
      </w:pPr>
      <w:r w:rsidRPr="00FC3B7C">
        <w:rPr>
          <w:rFonts w:eastAsia="Times New Roman"/>
          <w:szCs w:val="24"/>
        </w:rPr>
        <w:t>Druhou oblastí, kterou zákon definoval, byly dohody o sloučení podniků, tedy fúze a akvizice. Od začátku měl úřad možnost schválení těchto dohod vázat na uskutečnění podmínek. Za nebezpečí narušení soutěže se počítala možnost dosažení 30procentního podílu na daném trhu</w:t>
      </w:r>
      <w:r w:rsidR="00FA44CF">
        <w:rPr>
          <w:rStyle w:val="Znakapoznpodarou"/>
          <w:rFonts w:eastAsia="Times New Roman"/>
          <w:szCs w:val="24"/>
        </w:rPr>
        <w:footnoteReference w:id="50"/>
      </w:r>
      <w:r w:rsidRPr="00FC3B7C">
        <w:rPr>
          <w:rFonts w:eastAsia="Times New Roman"/>
          <w:szCs w:val="24"/>
        </w:rPr>
        <w:t>.</w:t>
      </w:r>
    </w:p>
    <w:p w14:paraId="4A6F5411" w14:textId="77777777" w:rsidR="008E0F74" w:rsidRPr="00FC3B7C" w:rsidRDefault="008E0F74">
      <w:pPr>
        <w:spacing w:line="138" w:lineRule="exact"/>
        <w:rPr>
          <w:sz w:val="20"/>
          <w:szCs w:val="20"/>
        </w:rPr>
      </w:pPr>
    </w:p>
    <w:p w14:paraId="4A6F5412" w14:textId="28022C49" w:rsidR="008E0F74" w:rsidRPr="002A2887" w:rsidRDefault="002A2887" w:rsidP="00FA44CF">
      <w:pPr>
        <w:pStyle w:val="Nadpis3"/>
        <w:rPr>
          <w:color w:val="1F3864" w:themeColor="accent1" w:themeShade="80"/>
          <w:sz w:val="20"/>
          <w:szCs w:val="20"/>
        </w:rPr>
      </w:pPr>
      <w:r w:rsidRPr="002A2887">
        <w:rPr>
          <w:rFonts w:eastAsia="Times New Roman"/>
          <w:color w:val="1F3864" w:themeColor="accent1" w:themeShade="80"/>
        </w:rPr>
        <w:lastRenderedPageBreak/>
        <w:t xml:space="preserve"> </w:t>
      </w:r>
      <w:r w:rsidR="00256F29" w:rsidRPr="002A2887">
        <w:rPr>
          <w:rFonts w:eastAsia="Times New Roman"/>
          <w:color w:val="1F3864" w:themeColor="accent1" w:themeShade="80"/>
        </w:rPr>
        <w:t>Strukturální politika</w:t>
      </w:r>
    </w:p>
    <w:p w14:paraId="4A6F5413" w14:textId="77777777" w:rsidR="008E0F74" w:rsidRPr="00FC3B7C" w:rsidRDefault="00256F29" w:rsidP="00FA44CF">
      <w:pPr>
        <w:ind w:left="4" w:right="20"/>
        <w:rPr>
          <w:sz w:val="20"/>
          <w:szCs w:val="20"/>
        </w:rPr>
      </w:pPr>
      <w:r w:rsidRPr="00FC3B7C">
        <w:rPr>
          <w:rFonts w:eastAsia="Times New Roman"/>
          <w:szCs w:val="24"/>
        </w:rPr>
        <w:t>Opatření, která jsou činěna proto, aby došlo ke změně struktury ekonomiky tím či oním směrem, např. daňové úlevy, státní garance za půjčky, bezúročné úvěry, přímé dotace za vytvořená pracovní místa v daném odvětví, ochrana odvětví před zahraniční konkurencí</w:t>
      </w:r>
    </w:p>
    <w:p w14:paraId="4A6F5414" w14:textId="4103E733" w:rsidR="008E0F74" w:rsidRPr="00FC3B7C" w:rsidRDefault="00256F29" w:rsidP="00FA44CF">
      <w:pPr>
        <w:ind w:left="4" w:right="20"/>
        <w:rPr>
          <w:sz w:val="20"/>
          <w:szCs w:val="20"/>
        </w:rPr>
      </w:pPr>
      <w:r w:rsidRPr="00FC3B7C">
        <w:rPr>
          <w:rFonts w:eastAsia="Times New Roman"/>
          <w:szCs w:val="24"/>
        </w:rPr>
        <w:t xml:space="preserve">V centrálně plánované ekonomice se pod pojmem strukturální politiky rozumělo přerozdělování nově vytvořené hodnoty prostřednictvím centrálního plánu a státního rozpočtu. Transformační proces zahrnuje změnu struktury ekonomiky – tzv. restrukturalizaci, Nejdůležitější změny </w:t>
      </w:r>
      <w:r w:rsidR="00996B5C" w:rsidRPr="00FC3B7C">
        <w:rPr>
          <w:rFonts w:eastAsia="Times New Roman"/>
          <w:szCs w:val="24"/>
        </w:rPr>
        <w:t>strukturální politiky</w:t>
      </w:r>
      <w:r w:rsidRPr="00FC3B7C">
        <w:rPr>
          <w:rFonts w:eastAsia="Times New Roman"/>
          <w:szCs w:val="24"/>
        </w:rPr>
        <w:t xml:space="preserve"> jsou:</w:t>
      </w:r>
    </w:p>
    <w:p w14:paraId="4A6F5415" w14:textId="77777777" w:rsidR="008E0F74" w:rsidRPr="00FC3B7C" w:rsidRDefault="00256F29" w:rsidP="00FA44CF">
      <w:pPr>
        <w:rPr>
          <w:sz w:val="20"/>
          <w:szCs w:val="20"/>
        </w:rPr>
      </w:pPr>
      <w:r w:rsidRPr="00FC3B7C">
        <w:rPr>
          <w:noProof/>
          <w:sz w:val="20"/>
          <w:szCs w:val="20"/>
        </w:rPr>
        <w:drawing>
          <wp:anchor distT="0" distB="0" distL="114300" distR="114300" simplePos="0" relativeHeight="251567616" behindDoc="1" locked="0" layoutInCell="0" allowOverlap="1" wp14:anchorId="4A6F5D38" wp14:editId="7BF591E3">
            <wp:simplePos x="0" y="0"/>
            <wp:positionH relativeFrom="column">
              <wp:posOffset>0</wp:posOffset>
            </wp:positionH>
            <wp:positionV relativeFrom="paragraph">
              <wp:posOffset>-93345</wp:posOffset>
            </wp:positionV>
            <wp:extent cx="2840990" cy="635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41"/>
                    <a:srcRect/>
                    <a:stretch>
                      <a:fillRect/>
                    </a:stretch>
                  </pic:blipFill>
                  <pic:spPr bwMode="auto">
                    <a:xfrm>
                      <a:off x="0" y="0"/>
                      <a:ext cx="2840990" cy="6350"/>
                    </a:xfrm>
                    <a:prstGeom prst="rect">
                      <a:avLst/>
                    </a:prstGeom>
                    <a:noFill/>
                  </pic:spPr>
                </pic:pic>
              </a:graphicData>
            </a:graphic>
          </wp:anchor>
        </w:drawing>
      </w:r>
    </w:p>
    <w:p w14:paraId="4A6F5416" w14:textId="77777777" w:rsidR="008E0F74" w:rsidRPr="00FC3B7C" w:rsidRDefault="00256F29" w:rsidP="00D46B53">
      <w:pPr>
        <w:numPr>
          <w:ilvl w:val="0"/>
          <w:numId w:val="529"/>
        </w:numPr>
        <w:tabs>
          <w:tab w:val="left" w:pos="844"/>
        </w:tabs>
        <w:ind w:left="844" w:hanging="351"/>
        <w:rPr>
          <w:rFonts w:eastAsia="Arial"/>
          <w:szCs w:val="24"/>
        </w:rPr>
      </w:pPr>
      <w:r w:rsidRPr="00FC3B7C">
        <w:rPr>
          <w:rFonts w:eastAsia="Times New Roman"/>
          <w:szCs w:val="24"/>
        </w:rPr>
        <w:t>omezení těžkého a podpora lehkého průmyslu</w:t>
      </w:r>
    </w:p>
    <w:p w14:paraId="4A6F5417" w14:textId="77777777" w:rsidR="008E0F74" w:rsidRPr="00FC3B7C" w:rsidRDefault="00256F29" w:rsidP="00D46B53">
      <w:pPr>
        <w:numPr>
          <w:ilvl w:val="0"/>
          <w:numId w:val="529"/>
        </w:numPr>
        <w:tabs>
          <w:tab w:val="left" w:pos="844"/>
        </w:tabs>
        <w:ind w:left="844" w:hanging="351"/>
        <w:rPr>
          <w:rFonts w:eastAsia="Arial"/>
          <w:szCs w:val="24"/>
        </w:rPr>
      </w:pPr>
      <w:r w:rsidRPr="00FC3B7C">
        <w:rPr>
          <w:rFonts w:eastAsia="Times New Roman"/>
          <w:szCs w:val="24"/>
        </w:rPr>
        <w:t>snížení energetické, surovinové a ekologické náročnosti výrob</w:t>
      </w:r>
    </w:p>
    <w:p w14:paraId="4A6F5418" w14:textId="77777777" w:rsidR="008E0F74" w:rsidRPr="00FC3B7C" w:rsidRDefault="00256F29" w:rsidP="00D46B53">
      <w:pPr>
        <w:numPr>
          <w:ilvl w:val="0"/>
          <w:numId w:val="529"/>
        </w:numPr>
        <w:tabs>
          <w:tab w:val="left" w:pos="844"/>
        </w:tabs>
        <w:ind w:left="844" w:hanging="351"/>
        <w:rPr>
          <w:rFonts w:eastAsia="Arial"/>
          <w:szCs w:val="24"/>
        </w:rPr>
      </w:pPr>
      <w:r w:rsidRPr="00FC3B7C">
        <w:rPr>
          <w:rFonts w:eastAsia="Times New Roman"/>
          <w:szCs w:val="24"/>
        </w:rPr>
        <w:t>posílení terciálního sektoru, obnova hospodářského růstu</w:t>
      </w:r>
    </w:p>
    <w:p w14:paraId="4A6F5419" w14:textId="77777777" w:rsidR="008E0F74" w:rsidRPr="00FC3B7C" w:rsidRDefault="00256F29" w:rsidP="00D46B53">
      <w:pPr>
        <w:numPr>
          <w:ilvl w:val="0"/>
          <w:numId w:val="529"/>
        </w:numPr>
        <w:tabs>
          <w:tab w:val="left" w:pos="844"/>
        </w:tabs>
        <w:ind w:left="844" w:hanging="351"/>
        <w:rPr>
          <w:rFonts w:eastAsia="Arial"/>
          <w:szCs w:val="24"/>
        </w:rPr>
      </w:pPr>
      <w:r w:rsidRPr="00FC3B7C">
        <w:rPr>
          <w:rFonts w:eastAsia="Times New Roman"/>
          <w:szCs w:val="24"/>
        </w:rPr>
        <w:t>náprava škod na životním prostředí</w:t>
      </w:r>
    </w:p>
    <w:p w14:paraId="4A6F5425" w14:textId="57191CA9" w:rsidR="00FA44CF" w:rsidRPr="005412D3" w:rsidRDefault="00256F29" w:rsidP="00D46B53">
      <w:pPr>
        <w:numPr>
          <w:ilvl w:val="0"/>
          <w:numId w:val="529"/>
        </w:numPr>
        <w:tabs>
          <w:tab w:val="left" w:pos="844"/>
        </w:tabs>
        <w:ind w:left="844" w:hanging="351"/>
        <w:rPr>
          <w:rFonts w:eastAsia="Arial"/>
          <w:szCs w:val="24"/>
        </w:rPr>
      </w:pPr>
      <w:r w:rsidRPr="00FC3B7C">
        <w:rPr>
          <w:rFonts w:eastAsia="Times New Roman"/>
          <w:szCs w:val="24"/>
        </w:rPr>
        <w:t>rozvoj dopravy, atd.</w:t>
      </w:r>
      <w:r w:rsidRPr="00FC3B7C">
        <w:rPr>
          <w:noProof/>
          <w:sz w:val="20"/>
          <w:szCs w:val="20"/>
        </w:rPr>
        <w:drawing>
          <wp:anchor distT="0" distB="0" distL="114300" distR="114300" simplePos="0" relativeHeight="251551232" behindDoc="1" locked="0" layoutInCell="0" allowOverlap="1" wp14:anchorId="4A6F5D3A" wp14:editId="16EA9C64">
            <wp:simplePos x="0" y="0"/>
            <wp:positionH relativeFrom="column">
              <wp:posOffset>0</wp:posOffset>
            </wp:positionH>
            <wp:positionV relativeFrom="paragraph">
              <wp:posOffset>2027555</wp:posOffset>
            </wp:positionV>
            <wp:extent cx="1828800" cy="635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7"/>
                    <a:srcRect/>
                    <a:stretch>
                      <a:fillRect/>
                    </a:stretch>
                  </pic:blipFill>
                  <pic:spPr bwMode="auto">
                    <a:xfrm>
                      <a:off x="0" y="0"/>
                      <a:ext cx="1828800" cy="6350"/>
                    </a:xfrm>
                    <a:prstGeom prst="rect">
                      <a:avLst/>
                    </a:prstGeom>
                    <a:noFill/>
                  </pic:spPr>
                </pic:pic>
              </a:graphicData>
            </a:graphic>
          </wp:anchor>
        </w:drawing>
      </w:r>
    </w:p>
    <w:p w14:paraId="4A6F5426" w14:textId="77777777" w:rsidR="00FA44CF" w:rsidRPr="00FC3B7C" w:rsidRDefault="00FA44CF">
      <w:pPr>
        <w:spacing w:line="278" w:lineRule="exact"/>
        <w:rPr>
          <w:sz w:val="20"/>
          <w:szCs w:val="20"/>
        </w:rPr>
      </w:pPr>
    </w:p>
    <w:p w14:paraId="4A6F5428" w14:textId="5EAC449C" w:rsidR="008E0F74" w:rsidRPr="005412D3" w:rsidRDefault="002A2887" w:rsidP="005412D3">
      <w:pPr>
        <w:pStyle w:val="Nadpis3"/>
        <w:rPr>
          <w:color w:val="1F3864" w:themeColor="accent1" w:themeShade="80"/>
          <w:sz w:val="20"/>
          <w:szCs w:val="20"/>
        </w:rPr>
      </w:pPr>
      <w:bookmarkStart w:id="472" w:name="page485"/>
      <w:bookmarkEnd w:id="472"/>
      <w:r>
        <w:rPr>
          <w:rFonts w:eastAsia="Times New Roman"/>
          <w:color w:val="1F3864" w:themeColor="accent1" w:themeShade="80"/>
        </w:rPr>
        <w:t xml:space="preserve"> </w:t>
      </w:r>
      <w:r w:rsidR="00256F29" w:rsidRPr="002A2887">
        <w:rPr>
          <w:rFonts w:eastAsia="Times New Roman"/>
          <w:color w:val="1F3864" w:themeColor="accent1" w:themeShade="80"/>
        </w:rPr>
        <w:t>Teorie zájmových skupin</w:t>
      </w:r>
    </w:p>
    <w:p w14:paraId="4A6F5429" w14:textId="77777777" w:rsidR="008E0F74" w:rsidRPr="00FC3B7C" w:rsidRDefault="00256F29" w:rsidP="00FA44CF">
      <w:pPr>
        <w:ind w:right="20"/>
        <w:rPr>
          <w:sz w:val="20"/>
          <w:szCs w:val="20"/>
        </w:rPr>
      </w:pPr>
      <w:r w:rsidRPr="00FC3B7C">
        <w:rPr>
          <w:rFonts w:eastAsia="Times New Roman"/>
          <w:szCs w:val="24"/>
        </w:rPr>
        <w:t xml:space="preserve">Snaží se ovlivňovat moc, ale převzetí příslušné politické odpovědnosti se brání. Zájmová skupina se snaží vytěžit z určité hospodářské politiky maximu pro svůj vlastní prospěch. </w:t>
      </w:r>
      <w:r w:rsidR="00FA44CF">
        <w:rPr>
          <w:rFonts w:eastAsia="Times New Roman"/>
          <w:szCs w:val="24"/>
        </w:rPr>
        <w:br/>
      </w:r>
      <w:r w:rsidRPr="00FC3B7C">
        <w:rPr>
          <w:rFonts w:eastAsia="Times New Roman"/>
          <w:szCs w:val="24"/>
        </w:rPr>
        <w:t xml:space="preserve">S růstem občanských svobod vzrostla angažovanost lidu na formování veřejné politiky </w:t>
      </w:r>
      <w:r w:rsidR="00FA44CF">
        <w:rPr>
          <w:rFonts w:eastAsia="Times New Roman"/>
          <w:szCs w:val="24"/>
        </w:rPr>
        <w:br/>
      </w:r>
      <w:r w:rsidRPr="00FC3B7C">
        <w:rPr>
          <w:rFonts w:eastAsia="Times New Roman"/>
          <w:szCs w:val="24"/>
        </w:rPr>
        <w:t xml:space="preserve">a společnost byla otevřena myšlenkám pro působení nejrůznějších zájmových skupin. </w:t>
      </w:r>
      <w:r w:rsidR="00FA44CF">
        <w:rPr>
          <w:rFonts w:eastAsia="Times New Roman"/>
          <w:szCs w:val="24"/>
        </w:rPr>
        <w:br/>
      </w:r>
      <w:r w:rsidRPr="00FC3B7C">
        <w:rPr>
          <w:rFonts w:eastAsia="Times New Roman"/>
          <w:szCs w:val="24"/>
        </w:rPr>
        <w:t>S poklesem reformního entusiasmu dochází ke vzniku zájmových skupin, jenž se snaží hájit zájmy „utlačované“ probíhající reformami. Vyvíjejí se profesní sdružení, odborové organizace, občanské iniciativy a ekologická hnutí. 2 dny po „sametové revoluci“ vzniká politické hnutí Občanské fórum, s prioritou nastolení demokratického režimu. Havel zájmovým skupinám fandil a mnohé z nich podporoval, Klaus byl jejich odpůrcem a většinu, v rámci svých liberálních myšlenek odmítal.</w:t>
      </w:r>
    </w:p>
    <w:p w14:paraId="3769BD0E" w14:textId="461FB6C4" w:rsidR="00D20832" w:rsidRDefault="00256F29" w:rsidP="00FA44CF">
      <w:pPr>
        <w:ind w:right="20"/>
        <w:rPr>
          <w:rFonts w:eastAsia="Times New Roman"/>
          <w:szCs w:val="24"/>
        </w:rPr>
      </w:pPr>
      <w:r w:rsidRPr="00FC3B7C">
        <w:rPr>
          <w:rFonts w:eastAsia="Times New Roman"/>
          <w:szCs w:val="24"/>
        </w:rPr>
        <w:t xml:space="preserve">Zájmové skupiny, které byly schopny nabídnout expertní podklady a pozitivně přetlumočit své požadavky, získaly poměrně výsadní postavení. Např. Českou společnost pro jakost </w:t>
      </w:r>
      <w:r w:rsidR="00FA44CF">
        <w:rPr>
          <w:rFonts w:eastAsia="Times New Roman"/>
          <w:szCs w:val="24"/>
        </w:rPr>
        <w:br/>
      </w:r>
      <w:r w:rsidRPr="00FC3B7C">
        <w:rPr>
          <w:rFonts w:eastAsia="Times New Roman"/>
          <w:szCs w:val="24"/>
        </w:rPr>
        <w:t>a Ochranný svaz autorských práv</w:t>
      </w:r>
    </w:p>
    <w:p w14:paraId="3D1D08BC" w14:textId="77777777" w:rsidR="00244BB9" w:rsidRDefault="00244BB9" w:rsidP="00D20832">
      <w:pPr>
        <w:ind w:right="20"/>
        <w:jc w:val="left"/>
        <w:rPr>
          <w:rFonts w:eastAsia="Times New Roman" w:cstheme="majorBidi"/>
          <w:b/>
          <w:color w:val="FF0000"/>
          <w:sz w:val="28"/>
          <w:szCs w:val="24"/>
          <w:u w:val="single"/>
        </w:rPr>
      </w:pPr>
    </w:p>
    <w:p w14:paraId="739BDA5B" w14:textId="77777777" w:rsidR="00244BB9" w:rsidRDefault="00244BB9" w:rsidP="00D20832">
      <w:pPr>
        <w:ind w:right="20"/>
        <w:jc w:val="left"/>
        <w:rPr>
          <w:rFonts w:eastAsia="Times New Roman" w:cstheme="majorBidi"/>
          <w:b/>
          <w:color w:val="FF0000"/>
          <w:sz w:val="28"/>
          <w:szCs w:val="24"/>
          <w:u w:val="single"/>
        </w:rPr>
      </w:pPr>
    </w:p>
    <w:p w14:paraId="63435D4A" w14:textId="77777777" w:rsidR="00244BB9" w:rsidRDefault="00244BB9" w:rsidP="00D20832">
      <w:pPr>
        <w:ind w:right="20"/>
        <w:jc w:val="left"/>
        <w:rPr>
          <w:rFonts w:eastAsia="Times New Roman" w:cstheme="majorBidi"/>
          <w:b/>
          <w:color w:val="FF0000"/>
          <w:sz w:val="28"/>
          <w:szCs w:val="24"/>
          <w:u w:val="single"/>
        </w:rPr>
      </w:pPr>
    </w:p>
    <w:p w14:paraId="11AB417E" w14:textId="77777777" w:rsidR="00244BB9" w:rsidRDefault="00244BB9" w:rsidP="00D20832">
      <w:pPr>
        <w:ind w:right="20"/>
        <w:jc w:val="left"/>
        <w:rPr>
          <w:rFonts w:eastAsia="Times New Roman" w:cstheme="majorBidi"/>
          <w:b/>
          <w:color w:val="FF0000"/>
          <w:sz w:val="28"/>
          <w:szCs w:val="24"/>
          <w:u w:val="single"/>
        </w:rPr>
      </w:pPr>
    </w:p>
    <w:p w14:paraId="49B354A5" w14:textId="2A5ECB55" w:rsidR="00D20832" w:rsidRPr="00244BB9" w:rsidRDefault="00D20832" w:rsidP="00D20832">
      <w:pPr>
        <w:ind w:right="20"/>
        <w:jc w:val="left"/>
        <w:rPr>
          <w:rFonts w:eastAsia="Times New Roman" w:cstheme="majorBidi"/>
          <w:b/>
          <w:color w:val="1F3864" w:themeColor="accent1" w:themeShade="80"/>
          <w:sz w:val="28"/>
          <w:szCs w:val="24"/>
          <w:u w:val="single"/>
        </w:rPr>
      </w:pPr>
      <w:r w:rsidRPr="00244BB9">
        <w:rPr>
          <w:rFonts w:eastAsia="Times New Roman" w:cstheme="majorBidi"/>
          <w:b/>
          <w:color w:val="1F3864" w:themeColor="accent1" w:themeShade="80"/>
          <w:sz w:val="28"/>
          <w:szCs w:val="24"/>
          <w:u w:val="single"/>
        </w:rPr>
        <w:lastRenderedPageBreak/>
        <w:t xml:space="preserve">Otázky na procvičení: </w:t>
      </w:r>
    </w:p>
    <w:p w14:paraId="3F5964ED" w14:textId="77777777" w:rsidR="00D20832" w:rsidRPr="00244BB9" w:rsidRDefault="00D20832" w:rsidP="00D20832">
      <w:pPr>
        <w:jc w:val="left"/>
        <w:rPr>
          <w:szCs w:val="24"/>
          <w:shd w:val="clear" w:color="auto" w:fill="FFFFFF"/>
        </w:rPr>
      </w:pPr>
      <w:r w:rsidRPr="00244BB9">
        <w:rPr>
          <w:szCs w:val="24"/>
          <w:shd w:val="clear" w:color="auto" w:fill="FFFFFF"/>
        </w:rPr>
        <w:t>1. Jaký je rozdíl mezi ekonomickou transformací a ekonomickou reformou?</w:t>
      </w:r>
      <w:r w:rsidRPr="00244BB9">
        <w:rPr>
          <w:szCs w:val="24"/>
          <w:shd w:val="clear" w:color="auto" w:fill="FFFFFF"/>
        </w:rPr>
        <w:br/>
        <w:t>2. Jaký je rozdíl mezi ročním operativním plánem (základní nástroj řízení ekonomiky do roku 1989) a indikativním plánem?</w:t>
      </w:r>
      <w:r w:rsidRPr="00244BB9">
        <w:rPr>
          <w:szCs w:val="24"/>
          <w:shd w:val="clear" w:color="auto" w:fill="FFFFFF"/>
        </w:rPr>
        <w:br/>
        <w:t>3. O jaké teoretické a praktické zdroje se mohla opřít naše transformace?</w:t>
      </w:r>
      <w:r w:rsidRPr="00244BB9">
        <w:rPr>
          <w:szCs w:val="24"/>
          <w:shd w:val="clear" w:color="auto" w:fill="FFFFFF"/>
        </w:rPr>
        <w:br/>
        <w:t>4. Jaká byla naše východiska pro naši transformaci?</w:t>
      </w:r>
      <w:r w:rsidRPr="00244BB9">
        <w:rPr>
          <w:szCs w:val="24"/>
          <w:shd w:val="clear" w:color="auto" w:fill="FFFFFF"/>
        </w:rPr>
        <w:br/>
        <w:t>5. Charakterizujte „Scénář ekonomické reformy“.</w:t>
      </w:r>
      <w:r w:rsidRPr="00244BB9">
        <w:rPr>
          <w:szCs w:val="24"/>
          <w:shd w:val="clear" w:color="auto" w:fill="FFFFFF"/>
        </w:rPr>
        <w:br/>
        <w:t>6. Co ovlivnilo velmi dobře zvládnutou liberalizaci cen v ČR?</w:t>
      </w:r>
      <w:r w:rsidRPr="00244BB9">
        <w:rPr>
          <w:szCs w:val="24"/>
          <w:shd w:val="clear" w:color="auto" w:fill="FFFFFF"/>
        </w:rPr>
        <w:br/>
        <w:t>7. Popište jednotlivé etapy liberalizace zahraničního obchodu.</w:t>
      </w:r>
      <w:r w:rsidRPr="00244BB9">
        <w:rPr>
          <w:szCs w:val="24"/>
          <w:shd w:val="clear" w:color="auto" w:fill="FFFFFF"/>
        </w:rPr>
        <w:br/>
        <w:t>8. Jaké byly výhody a nevýhody fixního kurzu v ČR?</w:t>
      </w:r>
      <w:r w:rsidRPr="00244BB9">
        <w:rPr>
          <w:szCs w:val="24"/>
          <w:shd w:val="clear" w:color="auto" w:fill="FFFFFF"/>
        </w:rPr>
        <w:br/>
        <w:t>9. Co je podstatou velké privatizace?</w:t>
      </w:r>
      <w:r w:rsidRPr="00244BB9">
        <w:rPr>
          <w:szCs w:val="24"/>
          <w:shd w:val="clear" w:color="auto" w:fill="FFFFFF"/>
        </w:rPr>
        <w:br/>
        <w:t>10. Jaký je zásadní rozdíl mezi velkou a malou privatizací?</w:t>
      </w:r>
      <w:r w:rsidRPr="00244BB9">
        <w:rPr>
          <w:szCs w:val="24"/>
          <w:shd w:val="clear" w:color="auto" w:fill="FFFFFF"/>
        </w:rPr>
        <w:br/>
        <w:t>11. Proč se tzv. nepovedla privatizace bank?</w:t>
      </w:r>
      <w:r w:rsidRPr="00244BB9">
        <w:rPr>
          <w:szCs w:val="24"/>
          <w:shd w:val="clear" w:color="auto" w:fill="FFFFFF"/>
        </w:rPr>
        <w:br/>
        <w:t>12. Charakterizujte právně-institucionální rámec transformačního procesu.</w:t>
      </w:r>
      <w:r w:rsidRPr="00244BB9">
        <w:rPr>
          <w:szCs w:val="24"/>
          <w:shd w:val="clear" w:color="auto" w:fill="FFFFFF"/>
        </w:rPr>
        <w:br/>
        <w:t>13. Plusy a mínusy kupónové privatizace.</w:t>
      </w:r>
    </w:p>
    <w:p w14:paraId="2B732256" w14:textId="0D886DE9" w:rsidR="00D20832" w:rsidRDefault="00D20832" w:rsidP="00FA44CF">
      <w:pPr>
        <w:ind w:right="20"/>
        <w:rPr>
          <w:rFonts w:eastAsia="Times New Roman"/>
          <w:szCs w:val="24"/>
        </w:rPr>
      </w:pPr>
    </w:p>
    <w:p w14:paraId="4A6F542E" w14:textId="262AD059" w:rsidR="008E0F74" w:rsidRPr="00FC3B7C" w:rsidRDefault="00256F29" w:rsidP="005412D3">
      <w:pPr>
        <w:spacing w:line="240" w:lineRule="auto"/>
        <w:jc w:val="left"/>
        <w:rPr>
          <w:sz w:val="20"/>
          <w:szCs w:val="20"/>
        </w:rPr>
      </w:pPr>
      <w:r w:rsidRPr="00FC3B7C">
        <w:rPr>
          <w:rFonts w:eastAsia="Times New Roman"/>
          <w:b/>
          <w:bCs/>
          <w:sz w:val="28"/>
          <w:szCs w:val="28"/>
        </w:rPr>
        <w:t>Zdroje</w:t>
      </w:r>
    </w:p>
    <w:p w14:paraId="4A6F543B" w14:textId="77777777" w:rsidR="008E0F74" w:rsidRPr="00FC3B7C" w:rsidRDefault="008E0F74" w:rsidP="00FA44CF">
      <w:pPr>
        <w:spacing w:line="137" w:lineRule="exact"/>
        <w:jc w:val="left"/>
        <w:rPr>
          <w:sz w:val="20"/>
          <w:szCs w:val="20"/>
        </w:rPr>
      </w:pPr>
    </w:p>
    <w:p w14:paraId="4A6F543D" w14:textId="1E95366B" w:rsidR="008E0F74" w:rsidRPr="00FC3B7C" w:rsidRDefault="00256F29" w:rsidP="004E174C">
      <w:pPr>
        <w:spacing w:before="240"/>
        <w:jc w:val="left"/>
        <w:rPr>
          <w:sz w:val="20"/>
          <w:szCs w:val="20"/>
        </w:rPr>
      </w:pPr>
      <w:r w:rsidRPr="00FC3B7C">
        <w:rPr>
          <w:rFonts w:eastAsia="Times New Roman"/>
          <w:szCs w:val="24"/>
        </w:rPr>
        <w:t>H</w:t>
      </w:r>
      <w:r w:rsidR="004E174C">
        <w:rPr>
          <w:rFonts w:eastAsia="Times New Roman"/>
          <w:szCs w:val="24"/>
        </w:rPr>
        <w:t>OLMAN</w:t>
      </w:r>
      <w:r w:rsidRPr="00FC3B7C">
        <w:rPr>
          <w:rFonts w:eastAsia="Times New Roman"/>
          <w:szCs w:val="24"/>
        </w:rPr>
        <w:t>, R. Dějiny ekonomického myšlení. Praha: C. H. Beck, 2005. ISBN 80-7179-380</w:t>
      </w:r>
    </w:p>
    <w:p w14:paraId="4D293654" w14:textId="5D556296" w:rsidR="004E174C" w:rsidRPr="00FC3B7C" w:rsidRDefault="00256F29" w:rsidP="004E174C">
      <w:pPr>
        <w:tabs>
          <w:tab w:val="left" w:pos="544"/>
        </w:tabs>
        <w:spacing w:before="240"/>
        <w:ind w:right="20"/>
        <w:jc w:val="left"/>
        <w:rPr>
          <w:rFonts w:eastAsia="Times New Roman"/>
          <w:szCs w:val="24"/>
        </w:rPr>
      </w:pPr>
      <w:r w:rsidRPr="00FC3B7C">
        <w:rPr>
          <w:rFonts w:eastAsia="Times New Roman"/>
          <w:szCs w:val="24"/>
        </w:rPr>
        <w:t>HOLMAN, R. Transformace české ekonomiky v komparaci s dalšími zeměmi střední</w:t>
      </w:r>
      <w:r w:rsidR="004E174C">
        <w:rPr>
          <w:rFonts w:eastAsia="Times New Roman"/>
          <w:szCs w:val="24"/>
        </w:rPr>
        <w:t xml:space="preserve"> </w:t>
      </w:r>
      <w:r w:rsidRPr="00FC3B7C">
        <w:rPr>
          <w:rFonts w:eastAsia="Times New Roman"/>
          <w:szCs w:val="24"/>
        </w:rPr>
        <w:t>Evropy. Praha: Centrum pro ekonomiku a politiku, 2000. ISBN 80-902795-6-2.</w:t>
      </w:r>
    </w:p>
    <w:p w14:paraId="5A854D63" w14:textId="30CE4D28" w:rsidR="004E174C" w:rsidRDefault="00256F29" w:rsidP="004E174C">
      <w:pPr>
        <w:spacing w:before="240"/>
        <w:ind w:right="20"/>
        <w:jc w:val="left"/>
        <w:rPr>
          <w:rFonts w:eastAsia="Times New Roman"/>
          <w:szCs w:val="24"/>
        </w:rPr>
      </w:pPr>
      <w:r w:rsidRPr="00FC3B7C">
        <w:rPr>
          <w:rFonts w:eastAsia="Times New Roman"/>
          <w:szCs w:val="24"/>
        </w:rPr>
        <w:t xml:space="preserve">JEŽEK, T. Privatizace </w:t>
      </w:r>
      <w:r w:rsidR="00996B5C" w:rsidRPr="00FC3B7C">
        <w:rPr>
          <w:rFonts w:eastAsia="Times New Roman"/>
          <w:szCs w:val="24"/>
        </w:rPr>
        <w:t>české</w:t>
      </w:r>
      <w:r w:rsidRPr="00FC3B7C">
        <w:rPr>
          <w:rFonts w:eastAsia="Times New Roman"/>
          <w:szCs w:val="24"/>
        </w:rPr>
        <w:t xml:space="preserve"> ekonomiky: její kořeny, metody a výsledky. Praha:</w:t>
      </w:r>
      <w:r w:rsidR="004E174C">
        <w:rPr>
          <w:rFonts w:eastAsia="Times New Roman"/>
          <w:szCs w:val="24"/>
        </w:rPr>
        <w:t xml:space="preserve"> </w:t>
      </w:r>
      <w:r w:rsidRPr="00FC3B7C">
        <w:rPr>
          <w:rFonts w:eastAsia="Times New Roman"/>
          <w:szCs w:val="24"/>
        </w:rPr>
        <w:t>Oeconomica, 2006. ISBN 80-245-1069-3.</w:t>
      </w:r>
      <w:bookmarkStart w:id="473" w:name="page486"/>
      <w:bookmarkEnd w:id="473"/>
    </w:p>
    <w:p w14:paraId="4A6F5443" w14:textId="61B8BBED" w:rsidR="008E0F74" w:rsidRPr="00FC3B7C" w:rsidRDefault="00256F29" w:rsidP="004E174C">
      <w:pPr>
        <w:spacing w:before="240"/>
        <w:rPr>
          <w:sz w:val="20"/>
          <w:szCs w:val="20"/>
        </w:rPr>
      </w:pPr>
      <w:r w:rsidRPr="00FC3B7C">
        <w:rPr>
          <w:rFonts w:eastAsia="Times New Roman"/>
          <w:szCs w:val="24"/>
        </w:rPr>
        <w:t>JEŽEK, Tomáš. Zrození ze zkumavky: svědectví o české privatizaci 1990–199</w:t>
      </w:r>
      <w:r w:rsidR="00AB5C63" w:rsidRPr="00FC3B7C">
        <w:rPr>
          <w:rFonts w:eastAsia="Times New Roman"/>
          <w:szCs w:val="24"/>
        </w:rPr>
        <w:t>20.</w:t>
      </w:r>
      <w:r w:rsidRPr="00FC3B7C">
        <w:rPr>
          <w:rFonts w:eastAsia="Times New Roman"/>
          <w:szCs w:val="24"/>
        </w:rPr>
        <w:t xml:space="preserve"> </w:t>
      </w:r>
      <w:r w:rsidR="004E174C">
        <w:rPr>
          <w:rFonts w:eastAsia="Times New Roman"/>
          <w:szCs w:val="24"/>
        </w:rPr>
        <w:t>1. vydání</w:t>
      </w:r>
      <w:r w:rsidRPr="00FC3B7C">
        <w:rPr>
          <w:rFonts w:eastAsia="Times New Roman"/>
          <w:szCs w:val="24"/>
        </w:rPr>
        <w:t xml:space="preserve"> Praha: Prostor, 2007, 224 s. ISBN 978-807-2601-837</w:t>
      </w:r>
    </w:p>
    <w:p w14:paraId="0379AD30" w14:textId="070E5B40" w:rsidR="004E174C" w:rsidRDefault="00256F29" w:rsidP="004E174C">
      <w:pPr>
        <w:spacing w:before="240"/>
        <w:ind w:right="20"/>
        <w:rPr>
          <w:rFonts w:eastAsia="Times New Roman"/>
          <w:szCs w:val="24"/>
        </w:rPr>
      </w:pPr>
      <w:r w:rsidRPr="00FC3B7C">
        <w:rPr>
          <w:rFonts w:eastAsia="Times New Roman"/>
          <w:szCs w:val="24"/>
        </w:rPr>
        <w:t>JONÁŠ, J. Ekonomická transformace v České republice:makroekonomický vývoj a hospodářská politika. Praha: Management Press, 199</w:t>
      </w:r>
      <w:r w:rsidR="00AB5C63" w:rsidRPr="00FC3B7C">
        <w:rPr>
          <w:rFonts w:eastAsia="Times New Roman"/>
          <w:szCs w:val="24"/>
        </w:rPr>
        <w:t>20.</w:t>
      </w:r>
      <w:r w:rsidRPr="00FC3B7C">
        <w:rPr>
          <w:rFonts w:eastAsia="Times New Roman"/>
          <w:szCs w:val="24"/>
        </w:rPr>
        <w:t xml:space="preserve"> ISBN 80-85943-22-0. </w:t>
      </w:r>
    </w:p>
    <w:p w14:paraId="6FF950B3" w14:textId="4CCF6C28" w:rsidR="004E174C" w:rsidRPr="00244BB9" w:rsidRDefault="00256F29" w:rsidP="004E174C">
      <w:pPr>
        <w:spacing w:before="240"/>
        <w:ind w:right="20"/>
        <w:rPr>
          <w:rFonts w:eastAsia="Times New Roman"/>
          <w:szCs w:val="24"/>
        </w:rPr>
      </w:pPr>
      <w:r w:rsidRPr="00FC3B7C">
        <w:rPr>
          <w:rFonts w:eastAsia="Times New Roman"/>
          <w:szCs w:val="24"/>
        </w:rPr>
        <w:t>KOLLAROVSKÁ, A. Analýza ekonomického vývoje privatizovaných bank v</w:t>
      </w:r>
      <w:r w:rsidR="004E174C">
        <w:rPr>
          <w:rFonts w:eastAsia="Times New Roman"/>
          <w:szCs w:val="24"/>
        </w:rPr>
        <w:t> </w:t>
      </w:r>
      <w:r w:rsidRPr="00FC3B7C">
        <w:rPr>
          <w:rFonts w:eastAsia="Times New Roman"/>
          <w:szCs w:val="24"/>
        </w:rPr>
        <w:t>ČR</w:t>
      </w:r>
      <w:r w:rsidR="004E174C">
        <w:rPr>
          <w:sz w:val="20"/>
          <w:szCs w:val="20"/>
        </w:rPr>
        <w:t xml:space="preserve"> v </w:t>
      </w:r>
      <w:r w:rsidRPr="00FC3B7C">
        <w:rPr>
          <w:rFonts w:eastAsia="Times New Roman"/>
          <w:szCs w:val="24"/>
        </w:rPr>
        <w:t xml:space="preserve">letech </w:t>
      </w:r>
      <w:r w:rsidRPr="00244BB9">
        <w:rPr>
          <w:rFonts w:eastAsia="Times New Roman"/>
          <w:szCs w:val="24"/>
        </w:rPr>
        <w:t>1992-2010. Praha, 2012. Bakalářská práce. Vysoká škola ekonomická v Praze. Vedoucí práce Ing. Karel Zeman, CSc.</w:t>
      </w:r>
    </w:p>
    <w:p w14:paraId="70119ABD" w14:textId="4C75266D" w:rsidR="004E174C" w:rsidRPr="00244BB9" w:rsidRDefault="004E174C" w:rsidP="004E174C">
      <w:pPr>
        <w:spacing w:before="240"/>
        <w:rPr>
          <w:rFonts w:eastAsia="Times New Roman"/>
          <w:szCs w:val="24"/>
        </w:rPr>
      </w:pPr>
      <w:r w:rsidRPr="00244BB9">
        <w:rPr>
          <w:rFonts w:eastAsia="Times New Roman"/>
          <w:szCs w:val="24"/>
        </w:rPr>
        <w:lastRenderedPageBreak/>
        <w:t xml:space="preserve">MF ČR, 2020. Výsledek hospodaření státního rozpočtu v roce 2019 je o 11,5 mld. lepší než očekávání. </w:t>
      </w:r>
      <w:r w:rsidRPr="00244BB9">
        <w:rPr>
          <w:rFonts w:eastAsia="Times New Roman"/>
          <w:i/>
          <w:iCs/>
          <w:szCs w:val="24"/>
        </w:rPr>
        <w:t>Ministerstvo financí České republiky</w:t>
      </w:r>
      <w:r w:rsidRPr="00244BB9">
        <w:rPr>
          <w:rFonts w:eastAsia="Times New Roman"/>
          <w:szCs w:val="24"/>
        </w:rPr>
        <w:t xml:space="preserve"> [online] [vid. 2020-05-04]. Dostupné z: </w:t>
      </w:r>
      <w:hyperlink r:id="rId142" w:history="1">
        <w:r w:rsidRPr="00244BB9">
          <w:rPr>
            <w:rStyle w:val="Hypertextovodkaz"/>
            <w:rFonts w:eastAsia="Times New Roman"/>
            <w:color w:val="auto"/>
            <w:szCs w:val="24"/>
          </w:rPr>
          <w:t>https://www.mfcr.cz/cs/aktualne/tiskove-zpravy/2020/pokladni-plneni-sr-37026</w:t>
        </w:r>
      </w:hyperlink>
    </w:p>
    <w:p w14:paraId="347F9C20" w14:textId="45501304" w:rsidR="004E174C" w:rsidRPr="00244BB9" w:rsidRDefault="004E174C" w:rsidP="004E174C">
      <w:pPr>
        <w:spacing w:before="240"/>
        <w:rPr>
          <w:rFonts w:eastAsia="Times New Roman"/>
          <w:szCs w:val="24"/>
        </w:rPr>
      </w:pPr>
      <w:r w:rsidRPr="00244BB9">
        <w:rPr>
          <w:rFonts w:eastAsia="Times New Roman"/>
          <w:szCs w:val="24"/>
        </w:rPr>
        <w:t xml:space="preserve">ZEMAN, Karel, 2018. </w:t>
      </w:r>
      <w:r w:rsidRPr="00244BB9">
        <w:rPr>
          <w:rFonts w:eastAsia="Times New Roman"/>
          <w:i/>
          <w:iCs/>
          <w:szCs w:val="24"/>
        </w:rPr>
        <w:t>Analýza Privatizace a Restitucí V ČR: Transformace Národního Hospodářství, Zejména Liberalizace Vlastnických Práv: Privatizace, Restituce a Ostatní Systémové Změny</w:t>
      </w:r>
      <w:r w:rsidRPr="00244BB9">
        <w:rPr>
          <w:rFonts w:eastAsia="Times New Roman"/>
          <w:szCs w:val="24"/>
        </w:rPr>
        <w:t xml:space="preserve"> [online]. Prague, CZECH REPUBLIC: Karolinum Press [vid. 2020-05-04]. ISBN 978-80-246-3840-9. Dostupné z: </w:t>
      </w:r>
      <w:hyperlink r:id="rId143" w:history="1">
        <w:r w:rsidRPr="00244BB9">
          <w:rPr>
            <w:rStyle w:val="Hypertextovodkaz"/>
            <w:rFonts w:eastAsia="Times New Roman"/>
            <w:color w:val="auto"/>
            <w:szCs w:val="24"/>
          </w:rPr>
          <w:t>http://ebookcentral.proquest.com/lib/vsep/detail.action?docID=5399329</w:t>
        </w:r>
      </w:hyperlink>
    </w:p>
    <w:p w14:paraId="4A6F5448" w14:textId="2BF65E1D" w:rsidR="008E0F74" w:rsidRPr="00244BB9" w:rsidRDefault="004E174C" w:rsidP="004E174C">
      <w:pPr>
        <w:spacing w:before="240"/>
        <w:rPr>
          <w:rFonts w:eastAsia="Times New Roman"/>
          <w:szCs w:val="24"/>
        </w:rPr>
      </w:pPr>
      <w:r w:rsidRPr="00244BB9">
        <w:rPr>
          <w:rFonts w:eastAsia="Times New Roman"/>
          <w:szCs w:val="24"/>
        </w:rPr>
        <w:t xml:space="preserve">ZEMAN, K. Přednášky z předmětu </w:t>
      </w:r>
      <w:r w:rsidRPr="00244BB9">
        <w:rPr>
          <w:rFonts w:eastAsia="Times New Roman"/>
          <w:szCs w:val="24"/>
          <w:lang w:val="pt-BR"/>
        </w:rPr>
        <w:t>5HP405 Transformační procesy v ČR</w:t>
      </w:r>
      <w:r w:rsidRPr="00244BB9">
        <w:rPr>
          <w:rFonts w:eastAsia="Times New Roman"/>
          <w:szCs w:val="24"/>
        </w:rPr>
        <w:t>. Praha: VŠE. Dostupné z:</w:t>
      </w:r>
      <w:hyperlink r:id="rId144" w:history="1">
        <w:r w:rsidRPr="00244BB9">
          <w:rPr>
            <w:rStyle w:val="Hypertextovodkaz"/>
            <w:rFonts w:eastAsia="Times New Roman"/>
            <w:color w:val="auto"/>
            <w:szCs w:val="24"/>
          </w:rPr>
          <w:t xml:space="preserve"> https://khp.vse.cz/5hp405-transformacni-procesy-v-cr/</w:t>
        </w:r>
      </w:hyperlink>
      <w:r w:rsidRPr="00244BB9">
        <w:rPr>
          <w:rFonts w:eastAsia="Times New Roman"/>
          <w:szCs w:val="24"/>
        </w:rPr>
        <w:t xml:space="preserve"> </w:t>
      </w:r>
    </w:p>
    <w:p w14:paraId="4A6F544A" w14:textId="25855A53" w:rsidR="008E0F74" w:rsidRPr="00FC3B7C" w:rsidRDefault="00256F29" w:rsidP="004E174C">
      <w:pPr>
        <w:spacing w:before="240"/>
        <w:ind w:right="20"/>
        <w:rPr>
          <w:rFonts w:eastAsia="Times New Roman"/>
          <w:szCs w:val="24"/>
        </w:rPr>
      </w:pPr>
      <w:r w:rsidRPr="00FC3B7C">
        <w:rPr>
          <w:rFonts w:eastAsia="Times New Roman"/>
          <w:szCs w:val="24"/>
        </w:rPr>
        <w:t>SLANÝ, A. Makroekonomická analýza a hospodářská politika. Praha: C. H. Beck, 2003. ISBN 80-7179-738-3.</w:t>
      </w:r>
    </w:p>
    <w:p w14:paraId="4A6F544D" w14:textId="408C9168" w:rsidR="008E0F74" w:rsidRPr="00FC3B7C" w:rsidRDefault="00256F29" w:rsidP="004E174C">
      <w:pPr>
        <w:spacing w:before="240"/>
        <w:rPr>
          <w:rFonts w:eastAsia="Times New Roman"/>
          <w:szCs w:val="24"/>
        </w:rPr>
      </w:pPr>
      <w:r w:rsidRPr="00FC3B7C">
        <w:rPr>
          <w:rFonts w:eastAsia="Times New Roman"/>
          <w:szCs w:val="24"/>
        </w:rPr>
        <w:t>SPĚVÁČEK, V. Ekonomická transformace: ekonomické, politické a sociální aspekty.</w:t>
      </w:r>
      <w:r w:rsidR="004E174C">
        <w:rPr>
          <w:rFonts w:eastAsia="Times New Roman"/>
          <w:szCs w:val="24"/>
        </w:rPr>
        <w:t xml:space="preserve"> </w:t>
      </w:r>
      <w:r w:rsidRPr="00FC3B7C">
        <w:rPr>
          <w:rFonts w:eastAsia="Times New Roman"/>
          <w:szCs w:val="24"/>
        </w:rPr>
        <w:t>Praha: Libri, 2002. ISBN 80-86131-32-</w:t>
      </w:r>
      <w:r w:rsidR="00AB5C63" w:rsidRPr="00FC3B7C">
        <w:rPr>
          <w:rFonts w:eastAsia="Times New Roman"/>
          <w:szCs w:val="24"/>
        </w:rPr>
        <w:t>20.</w:t>
      </w:r>
    </w:p>
    <w:p w14:paraId="5115F4AA" w14:textId="77777777" w:rsidR="004E174C" w:rsidRDefault="00256F29" w:rsidP="004E174C">
      <w:pPr>
        <w:spacing w:before="240"/>
        <w:ind w:right="20"/>
        <w:rPr>
          <w:rFonts w:eastAsia="Times New Roman"/>
          <w:color w:val="0563C1"/>
          <w:szCs w:val="24"/>
          <w:u w:val="single"/>
        </w:rPr>
      </w:pPr>
      <w:r w:rsidRPr="00FC3B7C">
        <w:rPr>
          <w:rFonts w:eastAsia="Times New Roman"/>
          <w:szCs w:val="24"/>
        </w:rPr>
        <w:t xml:space="preserve">Úřad pro ochranu hospodářské soutěže, Vývoj soutěžního práva, Dostupné z: </w:t>
      </w:r>
      <w:r w:rsidRPr="00FC3B7C">
        <w:rPr>
          <w:rFonts w:eastAsia="Times New Roman"/>
          <w:color w:val="0563C1"/>
          <w:szCs w:val="24"/>
          <w:u w:val="single"/>
        </w:rPr>
        <w:t xml:space="preserve">http://www.uohs.cz/cs/o-uradu/historie-uradu/vyvoj-soutezniho-prava.html </w:t>
      </w:r>
    </w:p>
    <w:p w14:paraId="4A6F544F" w14:textId="6BB31ABF" w:rsidR="008E0F74" w:rsidRPr="00FC3B7C" w:rsidRDefault="00256F29" w:rsidP="004E174C">
      <w:pPr>
        <w:spacing w:before="240"/>
        <w:ind w:right="20"/>
        <w:rPr>
          <w:rFonts w:eastAsia="Times New Roman"/>
          <w:szCs w:val="24"/>
        </w:rPr>
      </w:pPr>
      <w:r w:rsidRPr="00FC3B7C">
        <w:rPr>
          <w:rFonts w:eastAsia="Times New Roman"/>
          <w:color w:val="000000"/>
          <w:szCs w:val="24"/>
        </w:rPr>
        <w:t>VOSTROVSKÁ, Z. Prezentace Transformace české ekonomiky. Praha: VŠE, 2005 ZEMAN, K. Přednášky z předmětu HP 502. Praha: VŠE. Dostupné z: http://khp.vse. cz/wpcontent/uploads/2010/07/5HP502-zeman-prednasky-ls II. pdf</w:t>
      </w:r>
    </w:p>
    <w:p w14:paraId="4A6F5451" w14:textId="77777777" w:rsidR="008E0F74" w:rsidRPr="00FC3B7C" w:rsidRDefault="00256F29" w:rsidP="004E174C">
      <w:pPr>
        <w:spacing w:before="240"/>
        <w:ind w:right="700"/>
        <w:rPr>
          <w:rFonts w:eastAsia="Times New Roman"/>
          <w:szCs w:val="24"/>
        </w:rPr>
      </w:pPr>
      <w:r w:rsidRPr="00FC3B7C">
        <w:rPr>
          <w:rFonts w:eastAsia="Times New Roman"/>
          <w:szCs w:val="24"/>
        </w:rPr>
        <w:t>ZIDEK, L. Transformace ceske ekonomiky 1989-2004. Praha: C. H. Beck, 2006. ISBN 80-7179-922-X.</w:t>
      </w:r>
    </w:p>
    <w:p w14:paraId="4A6F5452" w14:textId="77777777" w:rsidR="008E0F74" w:rsidRPr="00FC3B7C" w:rsidRDefault="008E0F74">
      <w:pPr>
        <w:sectPr w:rsidR="008E0F74" w:rsidRPr="00FC3B7C">
          <w:pgSz w:w="11900" w:h="16840"/>
          <w:pgMar w:top="1397" w:right="1440" w:bottom="1440" w:left="1440" w:header="0" w:footer="0" w:gutter="0"/>
          <w:cols w:space="708" w:equalWidth="0">
            <w:col w:w="9020"/>
          </w:cols>
        </w:sectPr>
      </w:pPr>
    </w:p>
    <w:p w14:paraId="4A6F5453" w14:textId="77777777" w:rsidR="008E0F74" w:rsidRPr="00244BB9" w:rsidRDefault="00256F29" w:rsidP="00756691">
      <w:pPr>
        <w:pStyle w:val="Nadpis1"/>
        <w:tabs>
          <w:tab w:val="left" w:pos="993"/>
          <w:tab w:val="left" w:pos="1134"/>
        </w:tabs>
        <w:ind w:left="0" w:firstLine="0"/>
        <w:rPr>
          <w:color w:val="1F3864" w:themeColor="accent1" w:themeShade="80"/>
        </w:rPr>
      </w:pPr>
      <w:bookmarkStart w:id="474" w:name="page487"/>
      <w:bookmarkStart w:id="475" w:name="_Toc54254093"/>
      <w:bookmarkEnd w:id="474"/>
      <w:r w:rsidRPr="00244BB9">
        <w:rPr>
          <w:color w:val="1F3864" w:themeColor="accent1" w:themeShade="80"/>
        </w:rPr>
        <w:lastRenderedPageBreak/>
        <w:t>CHARAKTERISTIKA VEŘEJNÝCH FINANCÍ</w:t>
      </w:r>
      <w:bookmarkEnd w:id="475"/>
    </w:p>
    <w:p w14:paraId="4A6F5454" w14:textId="77777777" w:rsidR="008E0F74" w:rsidRPr="00FC3B7C" w:rsidRDefault="00256F29" w:rsidP="00D0642B">
      <w:pPr>
        <w:rPr>
          <w:sz w:val="20"/>
          <w:szCs w:val="20"/>
        </w:rPr>
      </w:pPr>
      <w:r w:rsidRPr="00FC3B7C">
        <w:rPr>
          <w:rFonts w:eastAsia="Times New Roman"/>
          <w:b/>
          <w:bCs/>
          <w:szCs w:val="24"/>
        </w:rPr>
        <w:t>Veřejné finance:</w:t>
      </w:r>
    </w:p>
    <w:p w14:paraId="4A6F5456" w14:textId="77777777" w:rsidR="008E0F74" w:rsidRPr="00FC3B7C" w:rsidRDefault="00256F29" w:rsidP="00D0642B">
      <w:pPr>
        <w:ind w:right="80"/>
        <w:rPr>
          <w:sz w:val="20"/>
          <w:szCs w:val="20"/>
        </w:rPr>
      </w:pPr>
      <w:r w:rsidRPr="00FC3B7C">
        <w:rPr>
          <w:rFonts w:eastAsia="Times New Roman"/>
          <w:szCs w:val="24"/>
        </w:rPr>
        <w:t>Veřejné finance = jeden z nejdůležitějších nástrojů veřejné politiky, jejichž důsledkem je existence a fungování veřejného sektoru.</w:t>
      </w:r>
    </w:p>
    <w:p w14:paraId="4A6F5457" w14:textId="77777777" w:rsidR="008E0F74" w:rsidRPr="00FC3B7C" w:rsidRDefault="00256F29" w:rsidP="00D0642B">
      <w:pPr>
        <w:ind w:right="80"/>
        <w:rPr>
          <w:sz w:val="20"/>
          <w:szCs w:val="20"/>
        </w:rPr>
      </w:pPr>
      <w:r w:rsidRPr="00FC3B7C">
        <w:rPr>
          <w:rFonts w:eastAsia="Times New Roman"/>
          <w:szCs w:val="24"/>
        </w:rPr>
        <w:t>Jedná se o peněžní vztahy, vznikající v souvislosti s tvorbou, rozdělováním a užitím peněžních fondů spojených s činností veřejných institucí.</w:t>
      </w:r>
    </w:p>
    <w:p w14:paraId="4A6F5458" w14:textId="77777777" w:rsidR="008E0F74" w:rsidRPr="00FC3B7C" w:rsidRDefault="00256F29" w:rsidP="00D0642B">
      <w:pPr>
        <w:rPr>
          <w:sz w:val="20"/>
          <w:szCs w:val="20"/>
        </w:rPr>
      </w:pPr>
      <w:r w:rsidRPr="00FC3B7C">
        <w:rPr>
          <w:rFonts w:eastAsia="Times New Roman"/>
          <w:szCs w:val="24"/>
        </w:rPr>
        <w:t xml:space="preserve">Podstatná charakteristika – vždy jedním ze subjektů je </w:t>
      </w:r>
      <w:r w:rsidRPr="00DD3971">
        <w:rPr>
          <w:rFonts w:eastAsia="Times New Roman"/>
          <w:b/>
          <w:bCs/>
          <w:szCs w:val="24"/>
        </w:rPr>
        <w:t>stát</w:t>
      </w:r>
      <w:r w:rsidRPr="00FC3B7C">
        <w:rPr>
          <w:rFonts w:eastAsia="Times New Roman"/>
          <w:szCs w:val="24"/>
        </w:rPr>
        <w:t xml:space="preserve"> (nebo případně město, obec).</w:t>
      </w:r>
    </w:p>
    <w:p w14:paraId="4A6F5459" w14:textId="77777777" w:rsidR="008E0F74" w:rsidRPr="00FC3B7C" w:rsidRDefault="008E0F74">
      <w:pPr>
        <w:spacing w:line="366" w:lineRule="exact"/>
        <w:rPr>
          <w:sz w:val="20"/>
          <w:szCs w:val="20"/>
        </w:rPr>
      </w:pPr>
    </w:p>
    <w:p w14:paraId="4A6F545A" w14:textId="77777777" w:rsidR="008E0F74" w:rsidRPr="00353E4B" w:rsidRDefault="00256F29" w:rsidP="00D0642B">
      <w:pPr>
        <w:pStyle w:val="Nadpis2"/>
        <w:rPr>
          <w:color w:val="1F3864" w:themeColor="accent1" w:themeShade="80"/>
          <w:sz w:val="20"/>
          <w:szCs w:val="20"/>
        </w:rPr>
      </w:pPr>
      <w:r w:rsidRPr="00353E4B">
        <w:rPr>
          <w:rFonts w:eastAsia="Times New Roman"/>
          <w:color w:val="1F3864" w:themeColor="accent1" w:themeShade="80"/>
        </w:rPr>
        <w:t>Principy veřejných financí</w:t>
      </w:r>
    </w:p>
    <w:p w14:paraId="4A6F545B" w14:textId="77777777" w:rsidR="008E0F74" w:rsidRPr="00FC3B7C" w:rsidRDefault="00256F29" w:rsidP="00D0642B">
      <w:pPr>
        <w:rPr>
          <w:sz w:val="20"/>
          <w:szCs w:val="20"/>
        </w:rPr>
      </w:pPr>
      <w:r w:rsidRPr="00FC3B7C">
        <w:rPr>
          <w:rFonts w:eastAsia="Times New Roman"/>
          <w:szCs w:val="24"/>
        </w:rPr>
        <w:t xml:space="preserve">Jsou založeny na </w:t>
      </w:r>
      <w:r w:rsidRPr="00FC3B7C">
        <w:rPr>
          <w:rFonts w:eastAsia="Times New Roman"/>
          <w:b/>
          <w:bCs/>
          <w:szCs w:val="24"/>
        </w:rPr>
        <w:t>3 principech – pilířích:</w:t>
      </w:r>
    </w:p>
    <w:p w14:paraId="4A6F545C" w14:textId="77777777" w:rsidR="008E0F74" w:rsidRPr="00FC3B7C" w:rsidRDefault="00256F29" w:rsidP="00D46B53">
      <w:pPr>
        <w:numPr>
          <w:ilvl w:val="0"/>
          <w:numId w:val="624"/>
        </w:numPr>
        <w:tabs>
          <w:tab w:val="left" w:pos="1000"/>
        </w:tabs>
        <w:ind w:left="1000" w:hanging="360"/>
        <w:rPr>
          <w:rFonts w:eastAsia="Arial"/>
          <w:szCs w:val="24"/>
        </w:rPr>
      </w:pPr>
      <w:r w:rsidRPr="00FC3B7C">
        <w:rPr>
          <w:rFonts w:eastAsia="Times New Roman"/>
          <w:b/>
          <w:bCs/>
          <w:szCs w:val="24"/>
        </w:rPr>
        <w:t xml:space="preserve">Nenávratnosti veřejných financí </w:t>
      </w:r>
      <w:r w:rsidRPr="00FC3B7C">
        <w:rPr>
          <w:rFonts w:eastAsia="Times New Roman"/>
          <w:szCs w:val="24"/>
        </w:rPr>
        <w:t>– ve smyslu,</w:t>
      </w:r>
      <w:r w:rsidRPr="00FC3B7C">
        <w:rPr>
          <w:rFonts w:eastAsia="Times New Roman"/>
          <w:b/>
          <w:bCs/>
          <w:szCs w:val="24"/>
        </w:rPr>
        <w:t xml:space="preserve"> </w:t>
      </w:r>
      <w:r w:rsidRPr="00FC3B7C">
        <w:rPr>
          <w:rFonts w:eastAsia="Times New Roman"/>
          <w:szCs w:val="24"/>
        </w:rPr>
        <w:t>že jedinec zaplatí daň</w:t>
      </w:r>
      <w:r w:rsidRPr="00FC3B7C">
        <w:rPr>
          <w:rFonts w:eastAsia="Times New Roman"/>
          <w:b/>
          <w:bCs/>
          <w:szCs w:val="24"/>
        </w:rPr>
        <w:t xml:space="preserve"> </w:t>
      </w:r>
      <w:r w:rsidRPr="00FC3B7C">
        <w:rPr>
          <w:rFonts w:eastAsia="Times New Roman"/>
          <w:szCs w:val="24"/>
        </w:rPr>
        <w:t>a nevzniká</w:t>
      </w:r>
      <w:r w:rsidRPr="00FC3B7C">
        <w:rPr>
          <w:rFonts w:eastAsia="Times New Roman"/>
          <w:b/>
          <w:bCs/>
          <w:szCs w:val="24"/>
        </w:rPr>
        <w:t xml:space="preserve"> </w:t>
      </w:r>
      <w:r w:rsidRPr="00FC3B7C">
        <w:rPr>
          <w:rFonts w:eastAsia="Times New Roman"/>
          <w:szCs w:val="24"/>
        </w:rPr>
        <w:t>mu nárok na její „proplacení“ (z globálního hlediska princip návratnosti existuje – vyjádřen vztahem mezi veřejnými příjmy a výdaji)</w:t>
      </w:r>
    </w:p>
    <w:p w14:paraId="4A6F545D" w14:textId="77777777" w:rsidR="008E0F74" w:rsidRPr="00FC3B7C" w:rsidRDefault="00256F29" w:rsidP="00D46B53">
      <w:pPr>
        <w:numPr>
          <w:ilvl w:val="0"/>
          <w:numId w:val="624"/>
        </w:numPr>
        <w:tabs>
          <w:tab w:val="left" w:pos="1000"/>
        </w:tabs>
        <w:ind w:left="1000" w:hanging="360"/>
        <w:rPr>
          <w:rFonts w:eastAsia="Arial"/>
          <w:szCs w:val="24"/>
        </w:rPr>
      </w:pPr>
      <w:r w:rsidRPr="00FC3B7C">
        <w:rPr>
          <w:rFonts w:eastAsia="Times New Roman"/>
          <w:b/>
          <w:bCs/>
          <w:szCs w:val="24"/>
        </w:rPr>
        <w:t xml:space="preserve">Není zřejmý účel platby </w:t>
      </w:r>
      <w:r w:rsidRPr="00FC3B7C">
        <w:rPr>
          <w:rFonts w:eastAsia="Times New Roman"/>
          <w:szCs w:val="24"/>
        </w:rPr>
        <w:t>– nevíme, na jaký</w:t>
      </w:r>
      <w:r w:rsidRPr="00FC3B7C">
        <w:rPr>
          <w:rFonts w:eastAsia="Times New Roman"/>
          <w:b/>
          <w:bCs/>
          <w:szCs w:val="24"/>
        </w:rPr>
        <w:t xml:space="preserve"> </w:t>
      </w:r>
      <w:r w:rsidRPr="00FC3B7C">
        <w:rPr>
          <w:rFonts w:eastAsia="Times New Roman"/>
          <w:szCs w:val="24"/>
        </w:rPr>
        <w:t>účel budou daně</w:t>
      </w:r>
      <w:r w:rsidRPr="00FC3B7C">
        <w:rPr>
          <w:rFonts w:eastAsia="Times New Roman"/>
          <w:b/>
          <w:bCs/>
          <w:szCs w:val="24"/>
        </w:rPr>
        <w:t xml:space="preserve"> </w:t>
      </w:r>
      <w:r w:rsidRPr="00FC3B7C">
        <w:rPr>
          <w:rFonts w:eastAsia="Times New Roman"/>
          <w:szCs w:val="24"/>
        </w:rPr>
        <w:t>použity;</w:t>
      </w:r>
      <w:r w:rsidRPr="00FC3B7C">
        <w:rPr>
          <w:rFonts w:eastAsia="Times New Roman"/>
          <w:b/>
          <w:bCs/>
          <w:szCs w:val="24"/>
        </w:rPr>
        <w:t xml:space="preserve"> </w:t>
      </w:r>
      <w:r w:rsidRPr="00FC3B7C">
        <w:rPr>
          <w:rFonts w:eastAsia="Times New Roman"/>
          <w:szCs w:val="24"/>
        </w:rPr>
        <w:t>neekvivalence v tom, že nemůžeme očekávat zpět tolik, kolik jsme zaplatili</w:t>
      </w:r>
    </w:p>
    <w:p w14:paraId="4A6F545E" w14:textId="77777777" w:rsidR="008E0F74" w:rsidRPr="00FC3B7C" w:rsidRDefault="00256F29" w:rsidP="00D46B53">
      <w:pPr>
        <w:numPr>
          <w:ilvl w:val="0"/>
          <w:numId w:val="624"/>
        </w:numPr>
        <w:tabs>
          <w:tab w:val="left" w:pos="1000"/>
        </w:tabs>
        <w:ind w:left="1000" w:hanging="360"/>
        <w:rPr>
          <w:rFonts w:eastAsia="Arial"/>
          <w:szCs w:val="24"/>
        </w:rPr>
      </w:pPr>
      <w:r w:rsidRPr="00FC3B7C">
        <w:rPr>
          <w:rFonts w:eastAsia="Times New Roman"/>
          <w:b/>
          <w:bCs/>
          <w:szCs w:val="24"/>
        </w:rPr>
        <w:t xml:space="preserve">Nedobrovolnosti </w:t>
      </w:r>
      <w:r w:rsidRPr="00FC3B7C">
        <w:rPr>
          <w:rFonts w:eastAsia="Times New Roman"/>
          <w:szCs w:val="24"/>
        </w:rPr>
        <w:t>– při platbě</w:t>
      </w:r>
      <w:r w:rsidRPr="00FC3B7C">
        <w:rPr>
          <w:rFonts w:eastAsia="Times New Roman"/>
          <w:b/>
          <w:bCs/>
          <w:szCs w:val="24"/>
        </w:rPr>
        <w:t xml:space="preserve"> </w:t>
      </w:r>
      <w:r w:rsidRPr="00FC3B7C">
        <w:rPr>
          <w:rFonts w:eastAsia="Times New Roman"/>
          <w:szCs w:val="24"/>
        </w:rPr>
        <w:t>není sdělen účel použití =&gt; povinnost platby musí</w:t>
      </w:r>
      <w:r w:rsidRPr="00FC3B7C">
        <w:rPr>
          <w:rFonts w:eastAsia="Times New Roman"/>
          <w:b/>
          <w:bCs/>
          <w:szCs w:val="24"/>
        </w:rPr>
        <w:t xml:space="preserve"> </w:t>
      </w:r>
      <w:r w:rsidRPr="00FC3B7C">
        <w:rPr>
          <w:rFonts w:eastAsia="Times New Roman"/>
          <w:szCs w:val="24"/>
        </w:rPr>
        <w:t>být uzákoněna legislativně (včetně represivních opatření v případě vyhýbání se platbám).</w:t>
      </w:r>
    </w:p>
    <w:p w14:paraId="4A6F545F" w14:textId="4A1FEB4C" w:rsidR="008E0F74" w:rsidRPr="00353E4B" w:rsidRDefault="00353E4B" w:rsidP="00D0642B">
      <w:pPr>
        <w:pStyle w:val="Nadpis3"/>
        <w:rPr>
          <w:color w:val="1F3864" w:themeColor="accent1" w:themeShade="80"/>
          <w:sz w:val="20"/>
          <w:szCs w:val="20"/>
        </w:rPr>
      </w:pPr>
      <w:bookmarkStart w:id="476" w:name="page488"/>
      <w:bookmarkEnd w:id="476"/>
      <w:r>
        <w:rPr>
          <w:rFonts w:eastAsia="Times New Roman"/>
          <w:color w:val="1F3864" w:themeColor="accent1" w:themeShade="80"/>
        </w:rPr>
        <w:t xml:space="preserve"> </w:t>
      </w:r>
      <w:r w:rsidR="00256F29" w:rsidRPr="00353E4B">
        <w:rPr>
          <w:rFonts w:eastAsia="Times New Roman"/>
          <w:color w:val="1F3864" w:themeColor="accent1" w:themeShade="80"/>
        </w:rPr>
        <w:t>Funkce veřejných financí</w:t>
      </w:r>
    </w:p>
    <w:p w14:paraId="4A6F5460" w14:textId="77777777" w:rsidR="008E0F74" w:rsidRPr="00FC3B7C" w:rsidRDefault="008E0F74">
      <w:pPr>
        <w:spacing w:line="200" w:lineRule="exact"/>
        <w:rPr>
          <w:sz w:val="20"/>
          <w:szCs w:val="20"/>
        </w:rPr>
      </w:pPr>
    </w:p>
    <w:p w14:paraId="4A6F5461" w14:textId="77777777" w:rsidR="008E0F74" w:rsidRPr="00FC3B7C" w:rsidRDefault="00256F29" w:rsidP="00D46B53">
      <w:pPr>
        <w:numPr>
          <w:ilvl w:val="0"/>
          <w:numId w:val="625"/>
        </w:numPr>
        <w:tabs>
          <w:tab w:val="left" w:pos="1180"/>
        </w:tabs>
        <w:ind w:left="1180" w:right="40" w:hanging="368"/>
        <w:rPr>
          <w:rFonts w:eastAsia="Arial"/>
          <w:szCs w:val="24"/>
        </w:rPr>
      </w:pPr>
      <w:r w:rsidRPr="00FC3B7C">
        <w:rPr>
          <w:rFonts w:eastAsia="Times New Roman"/>
          <w:b/>
          <w:bCs/>
          <w:szCs w:val="24"/>
        </w:rPr>
        <w:t xml:space="preserve">Alokační (rozpočtové) </w:t>
      </w:r>
      <w:r w:rsidRPr="00FC3B7C">
        <w:rPr>
          <w:rFonts w:eastAsia="Times New Roman"/>
          <w:szCs w:val="24"/>
        </w:rPr>
        <w:t>– stát rozhoduje o produkci veřejných statků; snaha nalézt</w:t>
      </w:r>
      <w:r w:rsidRPr="00FC3B7C">
        <w:rPr>
          <w:rFonts w:eastAsia="Times New Roman"/>
          <w:b/>
          <w:bCs/>
          <w:szCs w:val="24"/>
        </w:rPr>
        <w:t xml:space="preserve"> </w:t>
      </w:r>
      <w:r w:rsidRPr="00FC3B7C">
        <w:rPr>
          <w:rFonts w:eastAsia="Times New Roman"/>
          <w:szCs w:val="24"/>
        </w:rPr>
        <w:t>správný poměr soukromých a veřejných statků</w:t>
      </w:r>
    </w:p>
    <w:p w14:paraId="4A6F5462" w14:textId="0AD9F8DD" w:rsidR="008E0F74" w:rsidRPr="00D0642B" w:rsidRDefault="00256F29" w:rsidP="00D46B53">
      <w:pPr>
        <w:numPr>
          <w:ilvl w:val="0"/>
          <w:numId w:val="625"/>
        </w:numPr>
        <w:tabs>
          <w:tab w:val="left" w:pos="1180"/>
        </w:tabs>
        <w:ind w:left="1180" w:right="40" w:hanging="368"/>
        <w:rPr>
          <w:rFonts w:eastAsia="Arial"/>
          <w:szCs w:val="24"/>
        </w:rPr>
      </w:pPr>
      <w:r w:rsidRPr="00D0642B">
        <w:rPr>
          <w:rFonts w:eastAsia="Times New Roman"/>
          <w:b/>
          <w:bCs/>
          <w:szCs w:val="24"/>
        </w:rPr>
        <w:t xml:space="preserve">Redistribuční </w:t>
      </w:r>
      <w:r w:rsidRPr="00D0642B">
        <w:rPr>
          <w:rFonts w:eastAsia="Times New Roman"/>
          <w:szCs w:val="24"/>
        </w:rPr>
        <w:t>– stát má za úkol redistribuovat příjmy a statky se snahou</w:t>
      </w:r>
      <w:r w:rsidRPr="00D0642B">
        <w:rPr>
          <w:rFonts w:eastAsia="Times New Roman"/>
          <w:b/>
          <w:bCs/>
          <w:szCs w:val="24"/>
        </w:rPr>
        <w:t xml:space="preserve"> </w:t>
      </w:r>
      <w:r w:rsidRPr="00D0642B">
        <w:rPr>
          <w:rFonts w:eastAsia="Times New Roman"/>
          <w:szCs w:val="24"/>
        </w:rPr>
        <w:t>dosáhnout stavu, který bude obecně přijímán jako spravedlivý (nebo alespoň zmírnit nerovnosti) redistribuce – přímo (prostřednictvím adresných peněžních transferů) nebo nepřímo (např. progresivní daně)</w:t>
      </w:r>
    </w:p>
    <w:p w14:paraId="4A6F5463" w14:textId="33AFFADC" w:rsidR="008E0F74" w:rsidRPr="00FC3B7C" w:rsidRDefault="00256F29" w:rsidP="00D46B53">
      <w:pPr>
        <w:numPr>
          <w:ilvl w:val="0"/>
          <w:numId w:val="625"/>
        </w:numPr>
        <w:tabs>
          <w:tab w:val="left" w:pos="1180"/>
        </w:tabs>
        <w:ind w:left="1180" w:right="40" w:hanging="368"/>
        <w:rPr>
          <w:rFonts w:eastAsia="Arial"/>
          <w:szCs w:val="24"/>
        </w:rPr>
      </w:pPr>
      <w:r w:rsidRPr="00FC3B7C">
        <w:rPr>
          <w:rFonts w:eastAsia="Times New Roman"/>
          <w:b/>
          <w:bCs/>
          <w:szCs w:val="24"/>
        </w:rPr>
        <w:t xml:space="preserve">Stabilizační </w:t>
      </w:r>
      <w:r w:rsidRPr="00FC3B7C">
        <w:rPr>
          <w:rFonts w:eastAsia="Times New Roman"/>
          <w:szCs w:val="24"/>
        </w:rPr>
        <w:t>– stát pomocí výdajové a příjmové (zvláště</w:t>
      </w:r>
      <w:r w:rsidRPr="00FC3B7C">
        <w:rPr>
          <w:rFonts w:eastAsia="Times New Roman"/>
          <w:b/>
          <w:bCs/>
          <w:szCs w:val="24"/>
        </w:rPr>
        <w:t xml:space="preserve"> </w:t>
      </w:r>
      <w:r w:rsidRPr="00FC3B7C">
        <w:rPr>
          <w:rFonts w:eastAsia="Times New Roman"/>
          <w:szCs w:val="24"/>
        </w:rPr>
        <w:t>daňové) politiky</w:t>
      </w:r>
      <w:r w:rsidRPr="00FC3B7C">
        <w:rPr>
          <w:rFonts w:eastAsia="Times New Roman"/>
          <w:b/>
          <w:bCs/>
          <w:szCs w:val="24"/>
        </w:rPr>
        <w:t xml:space="preserve"> </w:t>
      </w:r>
      <w:r w:rsidRPr="00FC3B7C">
        <w:rPr>
          <w:rFonts w:eastAsia="Times New Roman"/>
          <w:szCs w:val="24"/>
        </w:rPr>
        <w:t>usiluje o dosažení makroekonomické stability (př. žádoucí tempo růstu ekonomiky, zaměstnanosti apod.)</w:t>
      </w:r>
    </w:p>
    <w:p w14:paraId="3138B007" w14:textId="77777777" w:rsidR="00FD0CD6" w:rsidRDefault="00FD0CD6">
      <w:pPr>
        <w:spacing w:line="240" w:lineRule="auto"/>
        <w:jc w:val="left"/>
        <w:rPr>
          <w:rFonts w:eastAsia="Times New Roman" w:cstheme="majorBidi"/>
          <w:b/>
          <w:sz w:val="28"/>
          <w:szCs w:val="26"/>
          <w:highlight w:val="yellow"/>
        </w:rPr>
      </w:pPr>
      <w:r>
        <w:rPr>
          <w:rFonts w:eastAsia="Times New Roman"/>
          <w:highlight w:val="yellow"/>
        </w:rPr>
        <w:br w:type="page"/>
      </w:r>
    </w:p>
    <w:p w14:paraId="4A6F5464" w14:textId="49CEBA28" w:rsidR="008E0F74" w:rsidRPr="00244BB9" w:rsidRDefault="00256F29" w:rsidP="00FD0CD6">
      <w:pPr>
        <w:pStyle w:val="Nadpis2"/>
        <w:spacing w:before="0"/>
        <w:rPr>
          <w:color w:val="1F3864" w:themeColor="accent1" w:themeShade="80"/>
          <w:sz w:val="20"/>
          <w:szCs w:val="20"/>
        </w:rPr>
      </w:pPr>
      <w:r w:rsidRPr="00244BB9">
        <w:rPr>
          <w:rFonts w:eastAsia="Times New Roman"/>
          <w:color w:val="1F3864" w:themeColor="accent1" w:themeShade="80"/>
        </w:rPr>
        <w:lastRenderedPageBreak/>
        <w:t>PŘÍJMY A VÝDAJE</w:t>
      </w:r>
    </w:p>
    <w:p w14:paraId="4A6F5465" w14:textId="51649036" w:rsidR="008E0F74" w:rsidRDefault="00256F29" w:rsidP="00FD0CD6">
      <w:pPr>
        <w:spacing w:before="240" w:after="240"/>
        <w:ind w:left="260"/>
        <w:rPr>
          <w:rFonts w:eastAsia="Times New Roman"/>
          <w:b/>
          <w:bCs/>
          <w:szCs w:val="24"/>
        </w:rPr>
      </w:pPr>
      <w:r w:rsidRPr="00FD0CD6">
        <w:rPr>
          <w:rFonts w:eastAsia="Times New Roman"/>
          <w:b/>
          <w:bCs/>
          <w:szCs w:val="24"/>
        </w:rPr>
        <w:t>Graf č. 1</w:t>
      </w:r>
      <w:r w:rsidRPr="00244BB9">
        <w:rPr>
          <w:rFonts w:eastAsia="Times New Roman"/>
          <w:b/>
          <w:bCs/>
          <w:szCs w:val="24"/>
        </w:rPr>
        <w:t>: Vývoj příjmů a výdajů vládních rozpočtů České republiky</w:t>
      </w:r>
    </w:p>
    <w:p w14:paraId="50A58ABB" w14:textId="3D0F92BF" w:rsidR="00000FB0" w:rsidRDefault="00FD0CD6">
      <w:pPr>
        <w:ind w:left="260"/>
        <w:rPr>
          <w:rFonts w:eastAsia="Times New Roman"/>
          <w:sz w:val="20"/>
          <w:szCs w:val="20"/>
        </w:rPr>
      </w:pPr>
      <w:r w:rsidRPr="00000FB0">
        <w:rPr>
          <w:noProof/>
          <w:sz w:val="20"/>
          <w:szCs w:val="20"/>
        </w:rPr>
        <w:drawing>
          <wp:inline distT="0" distB="0" distL="0" distR="0" wp14:anchorId="1EDDFDEE" wp14:editId="417E6399">
            <wp:extent cx="4584700" cy="2755900"/>
            <wp:effectExtent l="0" t="0" r="6350" b="635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6801D71" w14:textId="197D73CB" w:rsidR="00FD0CD6" w:rsidRPr="00FD0CD6" w:rsidRDefault="00756691" w:rsidP="00FD0CD6">
      <w:pPr>
        <w:spacing w:before="240" w:after="240"/>
        <w:ind w:left="260"/>
        <w:rPr>
          <w:rFonts w:eastAsia="Times New Roman"/>
          <w:b/>
          <w:bCs/>
          <w:szCs w:val="24"/>
        </w:rPr>
      </w:pPr>
      <w:r w:rsidRPr="00000FB0">
        <w:rPr>
          <w:noProof/>
        </w:rPr>
        <w:drawing>
          <wp:anchor distT="0" distB="0" distL="114300" distR="114300" simplePos="0" relativeHeight="251732480" behindDoc="0" locked="0" layoutInCell="1" allowOverlap="1" wp14:anchorId="1020D4B9" wp14:editId="28BFB20F">
            <wp:simplePos x="0" y="0"/>
            <wp:positionH relativeFrom="column">
              <wp:posOffset>115570</wp:posOffset>
            </wp:positionH>
            <wp:positionV relativeFrom="paragraph">
              <wp:posOffset>595630</wp:posOffset>
            </wp:positionV>
            <wp:extent cx="3168650" cy="2158365"/>
            <wp:effectExtent l="0" t="0" r="0" b="0"/>
            <wp:wrapTopAndBottom/>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168650" cy="215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92C">
        <w:rPr>
          <w:rFonts w:eastAsia="Times New Roman"/>
          <w:b/>
          <w:bCs/>
          <w:szCs w:val="24"/>
        </w:rPr>
        <w:t>Tabulka č. 1</w:t>
      </w:r>
      <w:r w:rsidR="00256F29" w:rsidRPr="00000FB0">
        <w:rPr>
          <w:rFonts w:eastAsia="Times New Roman"/>
          <w:b/>
          <w:bCs/>
          <w:szCs w:val="24"/>
        </w:rPr>
        <w:t xml:space="preserve">: </w:t>
      </w:r>
      <w:r w:rsidR="00256F29" w:rsidRPr="00244BB9">
        <w:rPr>
          <w:rFonts w:eastAsia="Times New Roman"/>
          <w:b/>
          <w:bCs/>
          <w:szCs w:val="24"/>
        </w:rPr>
        <w:t>Struktura příjmů a výdajů</w:t>
      </w:r>
      <w:r w:rsidR="00FD0CD6" w:rsidRPr="00244BB9">
        <w:rPr>
          <w:rFonts w:eastAsia="Times New Roman"/>
          <w:b/>
          <w:bCs/>
          <w:szCs w:val="24"/>
        </w:rPr>
        <w:t xml:space="preserve"> v mld.</w:t>
      </w:r>
    </w:p>
    <w:p w14:paraId="4A6F54A4" w14:textId="682F60E8" w:rsidR="008E0F74" w:rsidRPr="00000FB0" w:rsidRDefault="00256F29" w:rsidP="00FD0CD6">
      <w:pPr>
        <w:spacing w:line="369" w:lineRule="exact"/>
        <w:rPr>
          <w:sz w:val="20"/>
          <w:szCs w:val="20"/>
        </w:rPr>
      </w:pPr>
      <w:bookmarkStart w:id="477" w:name="page489"/>
      <w:bookmarkEnd w:id="477"/>
      <w:r w:rsidRPr="00000FB0">
        <w:rPr>
          <w:rFonts w:eastAsia="Times New Roman"/>
          <w:sz w:val="20"/>
          <w:szCs w:val="20"/>
        </w:rPr>
        <w:t xml:space="preserve">Zdroj: </w:t>
      </w:r>
      <w:r w:rsidR="00000FB0" w:rsidRPr="00000FB0">
        <w:rPr>
          <w:rFonts w:eastAsia="Times New Roman"/>
          <w:sz w:val="20"/>
          <w:szCs w:val="20"/>
        </w:rPr>
        <w:t>http://www.cnb.cz/</w:t>
      </w:r>
    </w:p>
    <w:p w14:paraId="4A6F54A5" w14:textId="2B9A2DA5" w:rsidR="008E0F74" w:rsidRPr="00FC3B7C" w:rsidRDefault="008E0F74">
      <w:pPr>
        <w:spacing w:line="105" w:lineRule="exact"/>
        <w:rPr>
          <w:sz w:val="20"/>
          <w:szCs w:val="20"/>
        </w:rPr>
      </w:pPr>
    </w:p>
    <w:p w14:paraId="4A6F55F1" w14:textId="4A971E55" w:rsidR="008E0F74" w:rsidRPr="00FC3B7C" w:rsidRDefault="008E0F74">
      <w:pPr>
        <w:spacing w:line="106" w:lineRule="exact"/>
        <w:rPr>
          <w:sz w:val="20"/>
          <w:szCs w:val="20"/>
        </w:rPr>
      </w:pPr>
    </w:p>
    <w:p w14:paraId="4A6F55FD" w14:textId="1908AB4C" w:rsidR="008E0F74" w:rsidRPr="005F3EF5" w:rsidRDefault="005F3EF5" w:rsidP="005F3EF5">
      <w:r w:rsidRPr="005F3EF5">
        <w:t xml:space="preserve">Poslanecká sněmovna schválila návrh zákona o státním rozpočtu na rok 2020. Návrh státního rozpočtu počítá s celkovými příjmy ve výši 1 578,1 mld. Kč a s celkovými výdaji ve výši 1 618,1 mld. Kč. Deficit státního rozpočtu bude ve výši </w:t>
      </w:r>
      <w:r w:rsidRPr="005F3EF5">
        <w:rPr>
          <w:b/>
          <w:bCs/>
        </w:rPr>
        <w:t xml:space="preserve">40 mld. Kč </w:t>
      </w:r>
      <w:r w:rsidRPr="005F3EF5">
        <w:t>a zůstává pro rok 2020 na stejné úrovni jako v roce 2019.</w:t>
      </w:r>
    </w:p>
    <w:p w14:paraId="2C0BDBF2" w14:textId="77777777" w:rsidR="005F3EF5" w:rsidRDefault="005F3EF5" w:rsidP="005F3EF5">
      <w:pPr>
        <w:rPr>
          <w:b/>
          <w:bCs/>
        </w:rPr>
      </w:pPr>
      <w:r w:rsidRPr="005F3EF5">
        <w:t xml:space="preserve">Dne </w:t>
      </w:r>
      <w:r w:rsidRPr="005F3EF5">
        <w:rPr>
          <w:b/>
          <w:bCs/>
        </w:rPr>
        <w:t>23. 3. 2020</w:t>
      </w:r>
      <w:r w:rsidRPr="005F3EF5">
        <w:t xml:space="preserve"> sněmovna schválila novelu Zákona o státním rozpočtu na rok 2020. Novela počítá v letošním roce s celkovými příjmy ve výši </w:t>
      </w:r>
      <w:r w:rsidRPr="005F3EF5">
        <w:rPr>
          <w:b/>
          <w:bCs/>
        </w:rPr>
        <w:t>1 488,3 mld. Kč</w:t>
      </w:r>
      <w:r w:rsidRPr="005F3EF5">
        <w:t xml:space="preserve"> a výdaji ve výši </w:t>
      </w:r>
      <w:r w:rsidRPr="005F3EF5">
        <w:rPr>
          <w:b/>
          <w:bCs/>
        </w:rPr>
        <w:t>1 688,3 mld. Kč.</w:t>
      </w:r>
      <w:r w:rsidRPr="005F3EF5">
        <w:t xml:space="preserve"> Deficit státního rozpočtu bude ve výši </w:t>
      </w:r>
      <w:r w:rsidRPr="005F3EF5">
        <w:rPr>
          <w:b/>
          <w:bCs/>
        </w:rPr>
        <w:t>200 mld. Kč.</w:t>
      </w:r>
    </w:p>
    <w:p w14:paraId="4A6F55FE" w14:textId="45928CCA" w:rsidR="008E0F74" w:rsidRPr="00FC3B7C" w:rsidRDefault="00353E4B" w:rsidP="00D0642B">
      <w:pPr>
        <w:pStyle w:val="Nadpis3"/>
        <w:rPr>
          <w:sz w:val="20"/>
          <w:szCs w:val="20"/>
        </w:rPr>
      </w:pPr>
      <w:r>
        <w:rPr>
          <w:rFonts w:eastAsia="Times New Roman"/>
        </w:rPr>
        <w:lastRenderedPageBreak/>
        <w:t xml:space="preserve"> </w:t>
      </w:r>
      <w:r w:rsidR="00256F29" w:rsidRPr="00353E4B">
        <w:rPr>
          <w:rFonts w:eastAsia="Times New Roman"/>
          <w:color w:val="1F3864" w:themeColor="accent1" w:themeShade="80"/>
        </w:rPr>
        <w:t>Příjmy veřejných rozpočtů</w:t>
      </w:r>
    </w:p>
    <w:p w14:paraId="4A6F55FF" w14:textId="77777777" w:rsidR="008E0F74" w:rsidRPr="00FC3B7C" w:rsidRDefault="00256F29" w:rsidP="00B74383">
      <w:pPr>
        <w:spacing w:after="240"/>
        <w:rPr>
          <w:sz w:val="20"/>
          <w:szCs w:val="20"/>
        </w:rPr>
      </w:pPr>
      <w:r w:rsidRPr="00FC3B7C">
        <w:rPr>
          <w:rFonts w:eastAsia="Times New Roman"/>
        </w:rPr>
        <w:t xml:space="preserve">Nejobecněji lze příjmy veřejných rozpočtů (veřejné příjmy) definovat jako zdroj krytí veřejných výdajů (v případě vyrovnaného rozpočtu představují veřejné příjmy tzv. rozpočtové omezení). Funkce veřejných příjmů (úzce souvisí s funkcemi veřejných financí): </w:t>
      </w:r>
      <w:r w:rsidRPr="00FC3B7C">
        <w:rPr>
          <w:rFonts w:eastAsia="Times New Roman"/>
          <w:b/>
          <w:bCs/>
        </w:rPr>
        <w:t>alokační</w:t>
      </w:r>
      <w:r w:rsidRPr="00FC3B7C">
        <w:rPr>
          <w:rFonts w:eastAsia="Times New Roman"/>
        </w:rPr>
        <w:t xml:space="preserve"> (tzn. zabezpečení nutných finančních prostředků na financování veřejných výdajů),</w:t>
      </w:r>
      <w:r w:rsidR="00D0642B">
        <w:rPr>
          <w:sz w:val="20"/>
          <w:szCs w:val="20"/>
        </w:rPr>
        <w:t xml:space="preserve"> </w:t>
      </w:r>
      <w:r w:rsidRPr="00FC3B7C">
        <w:rPr>
          <w:rFonts w:eastAsia="Times New Roman"/>
          <w:b/>
          <w:bCs/>
        </w:rPr>
        <w:t>redistribuční, stabilizační.</w:t>
      </w:r>
    </w:p>
    <w:p w14:paraId="4A6F5600" w14:textId="77777777" w:rsidR="008E0F74" w:rsidRPr="00756691" w:rsidRDefault="00256F29" w:rsidP="00B74383">
      <w:pPr>
        <w:pStyle w:val="Nadpis4"/>
        <w:spacing w:before="0"/>
        <w:rPr>
          <w:color w:val="1F3864" w:themeColor="accent1" w:themeShade="80"/>
          <w:sz w:val="20"/>
          <w:szCs w:val="20"/>
        </w:rPr>
      </w:pPr>
      <w:bookmarkStart w:id="478" w:name="page491"/>
      <w:bookmarkEnd w:id="478"/>
      <w:r w:rsidRPr="00756691">
        <w:rPr>
          <w:rFonts w:eastAsia="Times New Roman"/>
          <w:color w:val="1F3864" w:themeColor="accent1" w:themeShade="80"/>
        </w:rPr>
        <w:t>Klasifikace příjm</w:t>
      </w:r>
      <w:r w:rsidRPr="00756691">
        <w:rPr>
          <w:rStyle w:val="Nadpis4Char"/>
          <w:color w:val="1F3864" w:themeColor="accent1" w:themeShade="80"/>
        </w:rPr>
        <w:t>ů</w:t>
      </w:r>
      <w:r w:rsidRPr="00756691">
        <w:rPr>
          <w:rFonts w:eastAsia="Times New Roman"/>
          <w:color w:val="1F3864" w:themeColor="accent1" w:themeShade="80"/>
        </w:rPr>
        <w:t xml:space="preserve"> veřejných rozpočtů</w:t>
      </w:r>
    </w:p>
    <w:p w14:paraId="4A6F5601" w14:textId="77777777" w:rsidR="008E0F74" w:rsidRPr="00FC3B7C" w:rsidRDefault="00256F29" w:rsidP="00D0642B">
      <w:pPr>
        <w:rPr>
          <w:sz w:val="20"/>
          <w:szCs w:val="20"/>
        </w:rPr>
      </w:pPr>
      <w:r w:rsidRPr="00FC3B7C">
        <w:rPr>
          <w:rFonts w:eastAsia="Times New Roman"/>
          <w:b/>
          <w:bCs/>
          <w:szCs w:val="24"/>
        </w:rPr>
        <w:t>Hledisko návratnosti</w:t>
      </w:r>
    </w:p>
    <w:p w14:paraId="4A6F5602" w14:textId="77777777" w:rsidR="008E0F74" w:rsidRPr="00FC3B7C" w:rsidRDefault="00256F29" w:rsidP="00D46B53">
      <w:pPr>
        <w:numPr>
          <w:ilvl w:val="0"/>
          <w:numId w:val="530"/>
        </w:numPr>
        <w:tabs>
          <w:tab w:val="left" w:pos="1140"/>
        </w:tabs>
        <w:ind w:left="1140" w:hanging="370"/>
        <w:rPr>
          <w:rFonts w:eastAsia="Times New Roman"/>
          <w:b/>
          <w:bCs/>
          <w:szCs w:val="24"/>
        </w:rPr>
      </w:pPr>
      <w:r w:rsidRPr="00FC3B7C">
        <w:rPr>
          <w:rFonts w:eastAsia="Times New Roman"/>
          <w:b/>
          <w:bCs/>
          <w:i/>
          <w:iCs/>
          <w:szCs w:val="24"/>
        </w:rPr>
        <w:t xml:space="preserve">návratné </w:t>
      </w:r>
      <w:r w:rsidRPr="00FC3B7C">
        <w:rPr>
          <w:rFonts w:eastAsia="Times New Roman"/>
          <w:szCs w:val="24"/>
        </w:rPr>
        <w:t>– takové, které má veřejný</w:t>
      </w:r>
      <w:r w:rsidRPr="00FC3B7C">
        <w:rPr>
          <w:rFonts w:eastAsia="Times New Roman"/>
          <w:b/>
          <w:bCs/>
          <w:i/>
          <w:iCs/>
          <w:szCs w:val="24"/>
        </w:rPr>
        <w:t xml:space="preserve"> </w:t>
      </w:r>
      <w:r w:rsidRPr="00FC3B7C">
        <w:rPr>
          <w:rFonts w:eastAsia="Times New Roman"/>
          <w:szCs w:val="24"/>
        </w:rPr>
        <w:t xml:space="preserve">rozpočet k dispozici jen na určitou dobu </w:t>
      </w:r>
      <w:r w:rsidR="00D0642B">
        <w:rPr>
          <w:rFonts w:eastAsia="Times New Roman"/>
          <w:szCs w:val="24"/>
        </w:rPr>
        <w:br/>
      </w:r>
      <w:r w:rsidRPr="00FC3B7C">
        <w:rPr>
          <w:rFonts w:eastAsia="Times New Roman"/>
          <w:szCs w:val="24"/>
        </w:rPr>
        <w:t>a poté</w:t>
      </w:r>
      <w:r w:rsidRPr="00FC3B7C">
        <w:rPr>
          <w:rFonts w:eastAsia="Times New Roman"/>
          <w:b/>
          <w:bCs/>
          <w:i/>
          <w:iCs/>
          <w:szCs w:val="24"/>
        </w:rPr>
        <w:t xml:space="preserve"> </w:t>
      </w:r>
      <w:r w:rsidRPr="00FC3B7C">
        <w:rPr>
          <w:rFonts w:eastAsia="Times New Roman"/>
          <w:szCs w:val="24"/>
        </w:rPr>
        <w:t>je musí vrátit – př. bankovní úvěr, prostředky z emise cenných papírů</w:t>
      </w:r>
    </w:p>
    <w:p w14:paraId="4A6F5603" w14:textId="77777777" w:rsidR="008E0F74" w:rsidRPr="00FC3B7C" w:rsidRDefault="00256F29" w:rsidP="00D46B53">
      <w:pPr>
        <w:numPr>
          <w:ilvl w:val="0"/>
          <w:numId w:val="530"/>
        </w:numPr>
        <w:tabs>
          <w:tab w:val="left" w:pos="1140"/>
        </w:tabs>
        <w:ind w:left="1140" w:hanging="370"/>
        <w:rPr>
          <w:rFonts w:eastAsia="Times New Roman"/>
          <w:b/>
          <w:bCs/>
          <w:szCs w:val="24"/>
        </w:rPr>
      </w:pPr>
      <w:r w:rsidRPr="00FC3B7C">
        <w:rPr>
          <w:rFonts w:eastAsia="Times New Roman"/>
          <w:b/>
          <w:bCs/>
          <w:i/>
          <w:iCs/>
          <w:szCs w:val="24"/>
        </w:rPr>
        <w:t xml:space="preserve">nenávratné </w:t>
      </w:r>
      <w:r w:rsidRPr="00FC3B7C">
        <w:rPr>
          <w:rFonts w:eastAsia="Times New Roman"/>
          <w:szCs w:val="24"/>
        </w:rPr>
        <w:t>– jsou k dispozici natrvalo – příjmy, které na různých úrovních</w:t>
      </w:r>
      <w:r w:rsidRPr="00FC3B7C">
        <w:rPr>
          <w:rFonts w:eastAsia="Times New Roman"/>
          <w:b/>
          <w:bCs/>
          <w:i/>
          <w:iCs/>
          <w:szCs w:val="24"/>
        </w:rPr>
        <w:t xml:space="preserve"> </w:t>
      </w:r>
      <w:r w:rsidRPr="00FC3B7C">
        <w:rPr>
          <w:rFonts w:eastAsia="Times New Roman"/>
          <w:szCs w:val="24"/>
        </w:rPr>
        <w:t>plynou jednosměrně do veřejného rozpočtu – př. daně, cla, poplatky…</w:t>
      </w:r>
    </w:p>
    <w:p w14:paraId="4A6F5604" w14:textId="77777777" w:rsidR="008E0F74" w:rsidRPr="00FC3B7C" w:rsidRDefault="00256F29" w:rsidP="00D0642B">
      <w:pPr>
        <w:rPr>
          <w:sz w:val="20"/>
          <w:szCs w:val="20"/>
        </w:rPr>
      </w:pPr>
      <w:r w:rsidRPr="00FC3B7C">
        <w:rPr>
          <w:rFonts w:eastAsia="Times New Roman"/>
          <w:b/>
          <w:bCs/>
          <w:szCs w:val="24"/>
        </w:rPr>
        <w:t>Hledisko časové</w:t>
      </w:r>
    </w:p>
    <w:p w14:paraId="4A6F5605" w14:textId="77777777" w:rsidR="008E0F74" w:rsidRPr="00FC3B7C" w:rsidRDefault="00256F29" w:rsidP="00D46B53">
      <w:pPr>
        <w:numPr>
          <w:ilvl w:val="0"/>
          <w:numId w:val="531"/>
        </w:numPr>
        <w:tabs>
          <w:tab w:val="left" w:pos="1140"/>
        </w:tabs>
        <w:ind w:left="1140" w:hanging="370"/>
        <w:rPr>
          <w:rFonts w:eastAsia="Times New Roman"/>
          <w:b/>
          <w:bCs/>
          <w:szCs w:val="24"/>
        </w:rPr>
      </w:pPr>
      <w:r w:rsidRPr="00FC3B7C">
        <w:rPr>
          <w:rFonts w:eastAsia="Times New Roman"/>
          <w:b/>
          <w:bCs/>
          <w:i/>
          <w:iCs/>
          <w:szCs w:val="24"/>
        </w:rPr>
        <w:t xml:space="preserve">příjmy běžné </w:t>
      </w:r>
      <w:r w:rsidRPr="00FC3B7C">
        <w:rPr>
          <w:rFonts w:eastAsia="Times New Roman"/>
          <w:szCs w:val="24"/>
        </w:rPr>
        <w:t>– jsou ke krytí běžných výdajů, dále je dělíme na:</w:t>
      </w:r>
    </w:p>
    <w:p w14:paraId="4A6F5606" w14:textId="77777777" w:rsidR="008E0F74" w:rsidRPr="00FC3B7C" w:rsidRDefault="00256F29" w:rsidP="00D46B53">
      <w:pPr>
        <w:numPr>
          <w:ilvl w:val="1"/>
          <w:numId w:val="531"/>
        </w:numPr>
        <w:tabs>
          <w:tab w:val="left" w:pos="1420"/>
        </w:tabs>
        <w:ind w:left="1420" w:hanging="366"/>
        <w:rPr>
          <w:rFonts w:eastAsia="Arial"/>
          <w:szCs w:val="24"/>
        </w:rPr>
      </w:pPr>
      <w:r w:rsidRPr="00FC3B7C">
        <w:rPr>
          <w:rFonts w:eastAsia="Times New Roman"/>
          <w:szCs w:val="24"/>
        </w:rPr>
        <w:t>daňové (nenávratné) příjmy</w:t>
      </w:r>
    </w:p>
    <w:p w14:paraId="4A6F5607" w14:textId="77777777" w:rsidR="008E0F74" w:rsidRPr="00FC3B7C" w:rsidRDefault="00256F29" w:rsidP="00D46B53">
      <w:pPr>
        <w:numPr>
          <w:ilvl w:val="1"/>
          <w:numId w:val="531"/>
        </w:numPr>
        <w:tabs>
          <w:tab w:val="left" w:pos="1420"/>
        </w:tabs>
        <w:ind w:left="1420" w:hanging="366"/>
        <w:rPr>
          <w:rFonts w:eastAsia="Arial"/>
          <w:szCs w:val="24"/>
        </w:rPr>
      </w:pPr>
      <w:r w:rsidRPr="00FC3B7C">
        <w:rPr>
          <w:rFonts w:eastAsia="Times New Roman"/>
          <w:szCs w:val="24"/>
        </w:rPr>
        <w:t>nedaňové příjmy (návratné i nenávratné)</w:t>
      </w:r>
    </w:p>
    <w:p w14:paraId="4A6F5608" w14:textId="77777777" w:rsidR="008E0F74" w:rsidRPr="00FC3B7C" w:rsidRDefault="00256F29" w:rsidP="00D46B53">
      <w:pPr>
        <w:numPr>
          <w:ilvl w:val="0"/>
          <w:numId w:val="531"/>
        </w:numPr>
        <w:tabs>
          <w:tab w:val="left" w:pos="1140"/>
        </w:tabs>
        <w:ind w:left="1140" w:hanging="370"/>
        <w:rPr>
          <w:rFonts w:eastAsia="Times New Roman"/>
          <w:b/>
          <w:bCs/>
          <w:szCs w:val="24"/>
        </w:rPr>
      </w:pPr>
      <w:r w:rsidRPr="00FC3B7C">
        <w:rPr>
          <w:rFonts w:eastAsia="Times New Roman"/>
          <w:b/>
          <w:bCs/>
          <w:i/>
          <w:iCs/>
          <w:szCs w:val="24"/>
        </w:rPr>
        <w:t xml:space="preserve">kapitálové příjmy </w:t>
      </w:r>
      <w:r w:rsidRPr="00FC3B7C">
        <w:rPr>
          <w:rFonts w:eastAsia="Times New Roman"/>
          <w:szCs w:val="24"/>
        </w:rPr>
        <w:t>– nedaňové příjmy určené ke krytí investičních výdajů</w:t>
      </w:r>
    </w:p>
    <w:p w14:paraId="4A6F5609" w14:textId="77777777" w:rsidR="008E0F74" w:rsidRPr="00FC3B7C" w:rsidRDefault="00256F29" w:rsidP="00D46B53">
      <w:pPr>
        <w:numPr>
          <w:ilvl w:val="1"/>
          <w:numId w:val="531"/>
        </w:numPr>
        <w:tabs>
          <w:tab w:val="left" w:pos="1420"/>
        </w:tabs>
        <w:ind w:left="1420" w:right="140" w:hanging="366"/>
        <w:rPr>
          <w:rFonts w:eastAsia="Arial"/>
          <w:szCs w:val="24"/>
        </w:rPr>
      </w:pPr>
      <w:r w:rsidRPr="00FC3B7C">
        <w:rPr>
          <w:rFonts w:eastAsia="Times New Roman"/>
          <w:szCs w:val="24"/>
        </w:rPr>
        <w:t>nenávratné (státní rozpočet – př. z prodeje státního majetku; municipální rozpočty – př. dotace ze státního rozpočtu)</w:t>
      </w:r>
    </w:p>
    <w:p w14:paraId="4A6F560A" w14:textId="77777777" w:rsidR="008E0F74" w:rsidRPr="00FC3B7C" w:rsidRDefault="00256F29" w:rsidP="00D46B53">
      <w:pPr>
        <w:numPr>
          <w:ilvl w:val="1"/>
          <w:numId w:val="531"/>
        </w:numPr>
        <w:tabs>
          <w:tab w:val="left" w:pos="1420"/>
        </w:tabs>
        <w:ind w:left="1420" w:right="140" w:hanging="366"/>
        <w:rPr>
          <w:rFonts w:eastAsia="Arial"/>
          <w:szCs w:val="24"/>
        </w:rPr>
      </w:pPr>
      <w:r w:rsidRPr="00FC3B7C">
        <w:rPr>
          <w:rFonts w:eastAsia="Times New Roman"/>
          <w:szCs w:val="24"/>
        </w:rPr>
        <w:t>návratné (př. u střednědobé a dlouhodobé bankovní úvěry, příjmy z emisí cenných papírů…)</w:t>
      </w:r>
    </w:p>
    <w:p w14:paraId="4A6F560B" w14:textId="77777777" w:rsidR="008E0F74" w:rsidRPr="00FC3B7C" w:rsidRDefault="00256F29" w:rsidP="00D0642B">
      <w:pPr>
        <w:rPr>
          <w:sz w:val="20"/>
          <w:szCs w:val="20"/>
        </w:rPr>
      </w:pPr>
      <w:r w:rsidRPr="00FC3B7C">
        <w:rPr>
          <w:rFonts w:eastAsia="Times New Roman"/>
          <w:b/>
          <w:bCs/>
          <w:szCs w:val="24"/>
        </w:rPr>
        <w:t>Hledisko závaznosti</w:t>
      </w:r>
    </w:p>
    <w:p w14:paraId="4A6F560C" w14:textId="77777777" w:rsidR="008E0F74" w:rsidRPr="00FC3B7C" w:rsidRDefault="00256F29" w:rsidP="00D46B53">
      <w:pPr>
        <w:numPr>
          <w:ilvl w:val="0"/>
          <w:numId w:val="532"/>
        </w:numPr>
        <w:tabs>
          <w:tab w:val="left" w:pos="1140"/>
        </w:tabs>
        <w:ind w:left="1140" w:right="340" w:hanging="370"/>
        <w:rPr>
          <w:rFonts w:eastAsia="Times New Roman"/>
          <w:b/>
          <w:bCs/>
          <w:szCs w:val="24"/>
        </w:rPr>
      </w:pPr>
      <w:r w:rsidRPr="00FC3B7C">
        <w:rPr>
          <w:rFonts w:eastAsia="Times New Roman"/>
          <w:b/>
          <w:bCs/>
          <w:i/>
          <w:iCs/>
          <w:szCs w:val="24"/>
        </w:rPr>
        <w:t xml:space="preserve">obligatorní (povinné) </w:t>
      </w:r>
      <w:r w:rsidRPr="00FC3B7C">
        <w:rPr>
          <w:rFonts w:eastAsia="Times New Roman"/>
          <w:szCs w:val="24"/>
        </w:rPr>
        <w:t>– povinné ze zákona – typickým příkladem jsou daňové</w:t>
      </w:r>
      <w:r w:rsidRPr="00FC3B7C">
        <w:rPr>
          <w:rFonts w:eastAsia="Times New Roman"/>
          <w:b/>
          <w:bCs/>
          <w:i/>
          <w:iCs/>
          <w:szCs w:val="24"/>
        </w:rPr>
        <w:t xml:space="preserve"> </w:t>
      </w:r>
      <w:r w:rsidRPr="00FC3B7C">
        <w:rPr>
          <w:rFonts w:eastAsia="Times New Roman"/>
          <w:szCs w:val="24"/>
        </w:rPr>
        <w:t>příjmy, jsou vynutitelné</w:t>
      </w:r>
    </w:p>
    <w:p w14:paraId="4A6F560D" w14:textId="77777777" w:rsidR="008E0F74" w:rsidRPr="00FC3B7C" w:rsidRDefault="00256F29" w:rsidP="00D46B53">
      <w:pPr>
        <w:numPr>
          <w:ilvl w:val="0"/>
          <w:numId w:val="532"/>
        </w:numPr>
        <w:tabs>
          <w:tab w:val="left" w:pos="1140"/>
        </w:tabs>
        <w:ind w:left="1140" w:right="340" w:hanging="370"/>
        <w:rPr>
          <w:rFonts w:eastAsia="Times New Roman"/>
          <w:b/>
          <w:bCs/>
          <w:szCs w:val="24"/>
        </w:rPr>
      </w:pPr>
      <w:r w:rsidRPr="00FC3B7C">
        <w:rPr>
          <w:rFonts w:eastAsia="Times New Roman"/>
          <w:b/>
          <w:bCs/>
          <w:i/>
          <w:iCs/>
          <w:szCs w:val="24"/>
        </w:rPr>
        <w:t xml:space="preserve">fakultativní </w:t>
      </w:r>
      <w:r w:rsidRPr="00FC3B7C">
        <w:rPr>
          <w:rFonts w:eastAsia="Times New Roman"/>
          <w:szCs w:val="24"/>
        </w:rPr>
        <w:t>– závisejí na rozhodnutí příslušné vládní autority (-&gt; jsou do</w:t>
      </w:r>
      <w:r w:rsidRPr="00FC3B7C">
        <w:rPr>
          <w:rFonts w:eastAsia="Times New Roman"/>
          <w:b/>
          <w:bCs/>
          <w:i/>
          <w:iCs/>
          <w:szCs w:val="24"/>
        </w:rPr>
        <w:t xml:space="preserve"> </w:t>
      </w:r>
      <w:r w:rsidRPr="00FC3B7C">
        <w:rPr>
          <w:rFonts w:eastAsia="Times New Roman"/>
          <w:szCs w:val="24"/>
        </w:rPr>
        <w:t>jisté míry dobrovolné), bývá za ně poskytnuta protihodnota (ekvivalentní nebo neekvivalentní) ve formě veřejného statku – př. v ČR tzv. místní poplatky (jako např. poplatek za psa) – o tom, zda a v jaké výši se bude poplatek vybírat, rozhoduje zastupitelstvo dané obce</w:t>
      </w:r>
    </w:p>
    <w:p w14:paraId="4A6F560E" w14:textId="0A138E2F" w:rsidR="008E0F74" w:rsidRPr="00FC3B7C" w:rsidRDefault="00256F29" w:rsidP="00D0642B">
      <w:pPr>
        <w:rPr>
          <w:sz w:val="20"/>
          <w:szCs w:val="20"/>
        </w:rPr>
      </w:pPr>
      <w:r w:rsidRPr="00FC3B7C">
        <w:rPr>
          <w:rFonts w:eastAsia="Times New Roman"/>
          <w:b/>
          <w:bCs/>
          <w:szCs w:val="24"/>
        </w:rPr>
        <w:t xml:space="preserve">Hledisko </w:t>
      </w:r>
      <w:r w:rsidR="00996B5C" w:rsidRPr="00FC3B7C">
        <w:rPr>
          <w:rFonts w:eastAsia="Times New Roman"/>
          <w:b/>
          <w:bCs/>
          <w:szCs w:val="24"/>
        </w:rPr>
        <w:t>území (hledisko</w:t>
      </w:r>
      <w:r w:rsidRPr="00FC3B7C">
        <w:rPr>
          <w:rFonts w:eastAsia="Times New Roman"/>
          <w:b/>
          <w:bCs/>
          <w:szCs w:val="24"/>
        </w:rPr>
        <w:t xml:space="preserve"> daňové pravomoci)</w:t>
      </w:r>
    </w:p>
    <w:p w14:paraId="4A6F560F" w14:textId="77777777" w:rsidR="008E0F74" w:rsidRPr="00D0642B" w:rsidRDefault="00256F29" w:rsidP="00D46B53">
      <w:pPr>
        <w:numPr>
          <w:ilvl w:val="0"/>
          <w:numId w:val="533"/>
        </w:numPr>
        <w:tabs>
          <w:tab w:val="left" w:pos="1140"/>
        </w:tabs>
        <w:ind w:left="1140" w:hanging="370"/>
        <w:rPr>
          <w:rFonts w:eastAsia="Times New Roman"/>
          <w:b/>
          <w:bCs/>
          <w:szCs w:val="24"/>
        </w:rPr>
      </w:pPr>
      <w:r w:rsidRPr="00FC3B7C">
        <w:rPr>
          <w:rFonts w:eastAsia="Times New Roman"/>
          <w:b/>
          <w:bCs/>
          <w:i/>
          <w:iCs/>
          <w:szCs w:val="24"/>
        </w:rPr>
        <w:t xml:space="preserve">celostátní </w:t>
      </w:r>
      <w:r w:rsidRPr="00FC3B7C">
        <w:rPr>
          <w:rFonts w:eastAsia="Times New Roman"/>
          <w:szCs w:val="24"/>
        </w:rPr>
        <w:t>– vybírány na celém území daného státu, plynou do státního rozpočtu</w:t>
      </w:r>
    </w:p>
    <w:p w14:paraId="4A6F5610" w14:textId="77777777" w:rsidR="008E0F74" w:rsidRPr="00FC3B7C" w:rsidRDefault="00256F29" w:rsidP="00D46B53">
      <w:pPr>
        <w:numPr>
          <w:ilvl w:val="0"/>
          <w:numId w:val="533"/>
        </w:numPr>
        <w:tabs>
          <w:tab w:val="left" w:pos="1140"/>
        </w:tabs>
        <w:ind w:left="1140" w:right="140" w:hanging="370"/>
        <w:rPr>
          <w:rFonts w:eastAsia="Times New Roman"/>
          <w:b/>
          <w:bCs/>
          <w:szCs w:val="24"/>
        </w:rPr>
      </w:pPr>
      <w:r w:rsidRPr="00FC3B7C">
        <w:rPr>
          <w:rFonts w:eastAsia="Times New Roman"/>
          <w:b/>
          <w:bCs/>
          <w:i/>
          <w:iCs/>
          <w:szCs w:val="24"/>
        </w:rPr>
        <w:t xml:space="preserve">municipální (místní) </w:t>
      </w:r>
      <w:r w:rsidRPr="00FC3B7C">
        <w:rPr>
          <w:rFonts w:eastAsia="Times New Roman"/>
          <w:szCs w:val="24"/>
        </w:rPr>
        <w:t>– plynou do místních (municipálních) rozpočtů</w:t>
      </w:r>
      <w:r w:rsidRPr="00FC3B7C">
        <w:rPr>
          <w:rFonts w:eastAsia="Times New Roman"/>
          <w:b/>
          <w:bCs/>
          <w:i/>
          <w:iCs/>
          <w:szCs w:val="24"/>
        </w:rPr>
        <w:t xml:space="preserve"> </w:t>
      </w:r>
      <w:r w:rsidRPr="00FC3B7C">
        <w:rPr>
          <w:rFonts w:eastAsia="Times New Roman"/>
          <w:szCs w:val="24"/>
        </w:rPr>
        <w:t>– př. místní</w:t>
      </w:r>
      <w:r w:rsidRPr="00FC3B7C">
        <w:rPr>
          <w:rFonts w:eastAsia="Times New Roman"/>
          <w:b/>
          <w:bCs/>
          <w:i/>
          <w:iCs/>
          <w:szCs w:val="24"/>
        </w:rPr>
        <w:t xml:space="preserve"> </w:t>
      </w:r>
      <w:r w:rsidRPr="00FC3B7C">
        <w:rPr>
          <w:rFonts w:eastAsia="Times New Roman"/>
          <w:szCs w:val="24"/>
        </w:rPr>
        <w:t>poplatky, daň z nemovitosti</w:t>
      </w:r>
    </w:p>
    <w:p w14:paraId="4A6F5612" w14:textId="25C52B8B" w:rsidR="008E0F74" w:rsidRPr="00FC3B7C" w:rsidRDefault="00256F29" w:rsidP="00F243DA">
      <w:pPr>
        <w:rPr>
          <w:sz w:val="20"/>
          <w:szCs w:val="20"/>
        </w:rPr>
      </w:pPr>
      <w:bookmarkStart w:id="479" w:name="page492"/>
      <w:bookmarkEnd w:id="479"/>
      <w:r w:rsidRPr="00FC3B7C">
        <w:rPr>
          <w:rFonts w:eastAsia="Times New Roman"/>
          <w:b/>
          <w:bCs/>
          <w:szCs w:val="24"/>
        </w:rPr>
        <w:lastRenderedPageBreak/>
        <w:t xml:space="preserve">Podle </w:t>
      </w:r>
      <w:r w:rsidR="00996B5C" w:rsidRPr="00FC3B7C">
        <w:rPr>
          <w:rFonts w:eastAsia="Times New Roman"/>
          <w:b/>
          <w:bCs/>
          <w:szCs w:val="24"/>
        </w:rPr>
        <w:t>toho, kam</w:t>
      </w:r>
      <w:r w:rsidRPr="00FC3B7C">
        <w:rPr>
          <w:rFonts w:eastAsia="Times New Roman"/>
          <w:b/>
          <w:bCs/>
          <w:szCs w:val="24"/>
        </w:rPr>
        <w:t xml:space="preserve"> příjmy plynou</w:t>
      </w:r>
    </w:p>
    <w:p w14:paraId="4A6F5613" w14:textId="77777777" w:rsidR="008E0F74" w:rsidRPr="00FC3B7C" w:rsidRDefault="00256F29" w:rsidP="00D46B53">
      <w:pPr>
        <w:numPr>
          <w:ilvl w:val="0"/>
          <w:numId w:val="534"/>
        </w:numPr>
        <w:tabs>
          <w:tab w:val="left" w:pos="1140"/>
        </w:tabs>
        <w:ind w:left="1140" w:hanging="370"/>
        <w:rPr>
          <w:rFonts w:eastAsia="Times New Roman"/>
          <w:b/>
          <w:bCs/>
          <w:szCs w:val="24"/>
        </w:rPr>
      </w:pPr>
      <w:r w:rsidRPr="00FC3B7C">
        <w:rPr>
          <w:rFonts w:eastAsia="Times New Roman"/>
          <w:b/>
          <w:bCs/>
          <w:i/>
          <w:iCs/>
          <w:szCs w:val="24"/>
        </w:rPr>
        <w:t xml:space="preserve">fiskální </w:t>
      </w:r>
      <w:r w:rsidRPr="00FC3B7C">
        <w:rPr>
          <w:rFonts w:eastAsia="Times New Roman"/>
          <w:szCs w:val="24"/>
        </w:rPr>
        <w:t>- veřejné příjmy, které plynou do veřejných rozpočtů</w:t>
      </w:r>
    </w:p>
    <w:p w14:paraId="4A6F5614" w14:textId="77777777" w:rsidR="008E0F74" w:rsidRPr="00FC3B7C" w:rsidRDefault="00256F29" w:rsidP="00D46B53">
      <w:pPr>
        <w:numPr>
          <w:ilvl w:val="0"/>
          <w:numId w:val="534"/>
        </w:numPr>
        <w:tabs>
          <w:tab w:val="left" w:pos="1140"/>
        </w:tabs>
        <w:ind w:left="1140" w:right="60" w:hanging="370"/>
        <w:rPr>
          <w:rFonts w:eastAsia="Times New Roman"/>
          <w:b/>
          <w:bCs/>
          <w:szCs w:val="24"/>
        </w:rPr>
      </w:pPr>
      <w:r w:rsidRPr="00FC3B7C">
        <w:rPr>
          <w:rFonts w:eastAsia="Times New Roman"/>
          <w:b/>
          <w:bCs/>
          <w:i/>
          <w:iCs/>
          <w:szCs w:val="24"/>
        </w:rPr>
        <w:t xml:space="preserve">parafiskální </w:t>
      </w:r>
      <w:r w:rsidRPr="00FC3B7C">
        <w:rPr>
          <w:rFonts w:eastAsia="Times New Roman"/>
          <w:szCs w:val="24"/>
        </w:rPr>
        <w:t>- různé povinné příspěvky, dávky a poplatky, které neplynou přímo</w:t>
      </w:r>
      <w:r w:rsidRPr="00FC3B7C">
        <w:rPr>
          <w:rFonts w:eastAsia="Times New Roman"/>
          <w:b/>
          <w:bCs/>
          <w:i/>
          <w:iCs/>
          <w:szCs w:val="24"/>
        </w:rPr>
        <w:t xml:space="preserve"> </w:t>
      </w:r>
      <w:r w:rsidRPr="00FC3B7C">
        <w:rPr>
          <w:rFonts w:eastAsia="Times New Roman"/>
          <w:szCs w:val="24"/>
        </w:rPr>
        <w:t>do veřejných rozpočtů, ale do mimorozpočtových státních fondů, v ČR je typickým parafiskálním příjmem povinné veřejné zdravotní pojištění, které je placeno do fondu zdravotního pojištění (= parafiskální fond)</w:t>
      </w:r>
    </w:p>
    <w:p w14:paraId="4A6F5615" w14:textId="77777777" w:rsidR="008E0F74" w:rsidRPr="00FC3B7C" w:rsidRDefault="008E0F74">
      <w:pPr>
        <w:spacing w:line="194" w:lineRule="exact"/>
        <w:rPr>
          <w:sz w:val="20"/>
          <w:szCs w:val="20"/>
        </w:rPr>
      </w:pPr>
    </w:p>
    <w:p w14:paraId="4A6F5616" w14:textId="77777777" w:rsidR="008E0F74" w:rsidRPr="00353E4B" w:rsidRDefault="00256F29" w:rsidP="00F243DA">
      <w:pPr>
        <w:pStyle w:val="Nadpis4"/>
        <w:rPr>
          <w:color w:val="1F3864" w:themeColor="accent1" w:themeShade="80"/>
          <w:sz w:val="20"/>
          <w:szCs w:val="20"/>
        </w:rPr>
      </w:pPr>
      <w:r w:rsidRPr="00353E4B">
        <w:rPr>
          <w:rFonts w:eastAsia="Times New Roman"/>
          <w:color w:val="1F3864" w:themeColor="accent1" w:themeShade="80"/>
        </w:rPr>
        <w:t>Daňové příjmy</w:t>
      </w:r>
    </w:p>
    <w:p w14:paraId="4A6F5617" w14:textId="18243FC7" w:rsidR="008E0F74" w:rsidRPr="00FC3B7C" w:rsidRDefault="00256F29" w:rsidP="00F243DA">
      <w:pPr>
        <w:ind w:right="80"/>
        <w:rPr>
          <w:sz w:val="20"/>
          <w:szCs w:val="20"/>
        </w:rPr>
      </w:pPr>
      <w:r w:rsidRPr="00FC3B7C">
        <w:rPr>
          <w:rFonts w:eastAsia="Times New Roman"/>
          <w:szCs w:val="24"/>
        </w:rPr>
        <w:t xml:space="preserve">Tvoří </w:t>
      </w:r>
      <w:r w:rsidR="00996B5C">
        <w:rPr>
          <w:rFonts w:eastAsia="Times New Roman"/>
          <w:szCs w:val="24"/>
        </w:rPr>
        <w:t>r</w:t>
      </w:r>
      <w:r w:rsidRPr="00FC3B7C">
        <w:rPr>
          <w:rFonts w:eastAsia="Times New Roman"/>
          <w:szCs w:val="24"/>
        </w:rPr>
        <w:t>ozhodující část příjmů veřejných rozpočtů (zahrnují nejen daně, ale i cla a povinné příspěvky na sociální zabezpečení).</w:t>
      </w:r>
    </w:p>
    <w:p w14:paraId="4A6F5618" w14:textId="77777777" w:rsidR="008E0F74" w:rsidRPr="00FC3B7C" w:rsidRDefault="00256F29" w:rsidP="00F243DA">
      <w:pPr>
        <w:ind w:right="80"/>
        <w:rPr>
          <w:sz w:val="20"/>
          <w:szCs w:val="20"/>
        </w:rPr>
      </w:pPr>
      <w:r w:rsidRPr="00FC3B7C">
        <w:rPr>
          <w:rFonts w:eastAsia="Times New Roman"/>
          <w:b/>
          <w:bCs/>
          <w:szCs w:val="24"/>
        </w:rPr>
        <w:t xml:space="preserve">Daň </w:t>
      </w:r>
      <w:r w:rsidRPr="00FC3B7C">
        <w:rPr>
          <w:rFonts w:eastAsia="Times New Roman"/>
          <w:szCs w:val="24"/>
        </w:rPr>
        <w:t>= povinná (obligatorní), nenávratná, neekvivalentní, neúčelová, zpravidla opakující se</w:t>
      </w:r>
      <w:r w:rsidRPr="00FC3B7C">
        <w:rPr>
          <w:rFonts w:eastAsia="Times New Roman"/>
          <w:b/>
          <w:bCs/>
          <w:szCs w:val="24"/>
        </w:rPr>
        <w:t xml:space="preserve"> </w:t>
      </w:r>
      <w:r w:rsidRPr="00FC3B7C">
        <w:rPr>
          <w:rFonts w:eastAsia="Times New Roman"/>
          <w:szCs w:val="24"/>
        </w:rPr>
        <w:t>platba do veřejného rozpočtu – je vynutitelná.</w:t>
      </w:r>
    </w:p>
    <w:p w14:paraId="4A6F5619" w14:textId="77777777" w:rsidR="008E0F74" w:rsidRPr="00FC3B7C" w:rsidRDefault="00256F29" w:rsidP="00F243DA">
      <w:pPr>
        <w:ind w:right="80"/>
        <w:rPr>
          <w:sz w:val="20"/>
          <w:szCs w:val="20"/>
        </w:rPr>
      </w:pPr>
      <w:r w:rsidRPr="00FC3B7C">
        <w:rPr>
          <w:rFonts w:eastAsia="Times New Roman"/>
          <w:b/>
          <w:bCs/>
          <w:szCs w:val="24"/>
        </w:rPr>
        <w:t xml:space="preserve">Clo </w:t>
      </w:r>
      <w:r w:rsidRPr="00FC3B7C">
        <w:rPr>
          <w:rFonts w:eastAsia="Times New Roman"/>
          <w:szCs w:val="24"/>
        </w:rPr>
        <w:t>= má povahu nepřímé selektivní spotřební daně</w:t>
      </w:r>
      <w:r w:rsidRPr="00FC3B7C">
        <w:rPr>
          <w:rFonts w:eastAsia="Times New Roman"/>
          <w:b/>
          <w:bCs/>
          <w:szCs w:val="24"/>
        </w:rPr>
        <w:t xml:space="preserve"> </w:t>
      </w:r>
      <w:r w:rsidRPr="00FC3B7C">
        <w:rPr>
          <w:rFonts w:eastAsia="Times New Roman"/>
          <w:szCs w:val="24"/>
        </w:rPr>
        <w:t>(= daně</w:t>
      </w:r>
      <w:r w:rsidRPr="00FC3B7C">
        <w:rPr>
          <w:rFonts w:eastAsia="Times New Roman"/>
          <w:b/>
          <w:bCs/>
          <w:szCs w:val="24"/>
        </w:rPr>
        <w:t xml:space="preserve"> </w:t>
      </w:r>
      <w:r w:rsidRPr="00FC3B7C">
        <w:rPr>
          <w:rFonts w:eastAsia="Times New Roman"/>
          <w:szCs w:val="24"/>
        </w:rPr>
        <w:t xml:space="preserve">uvalené na vývoz, průvoz </w:t>
      </w:r>
      <w:r w:rsidR="00F243DA">
        <w:rPr>
          <w:rFonts w:eastAsia="Times New Roman"/>
          <w:szCs w:val="24"/>
        </w:rPr>
        <w:br/>
      </w:r>
      <w:r w:rsidRPr="00FC3B7C">
        <w:rPr>
          <w:rFonts w:eastAsia="Times New Roman"/>
          <w:szCs w:val="24"/>
        </w:rPr>
        <w:t>a</w:t>
      </w:r>
      <w:r w:rsidRPr="00FC3B7C">
        <w:rPr>
          <w:rFonts w:eastAsia="Times New Roman"/>
          <w:b/>
          <w:bCs/>
          <w:szCs w:val="24"/>
        </w:rPr>
        <w:t xml:space="preserve"> </w:t>
      </w:r>
      <w:r w:rsidRPr="00FC3B7C">
        <w:rPr>
          <w:rFonts w:eastAsia="Times New Roman"/>
          <w:szCs w:val="24"/>
        </w:rPr>
        <w:t>dovoz). Jsou odváděna do státního rozpočtu a do rozpočtu EU. Právní úprava – předpisy Evropských společenství (Celní kodex EU) a české předpisy.</w:t>
      </w:r>
    </w:p>
    <w:p w14:paraId="4A6F561A" w14:textId="77777777" w:rsidR="008E0F74" w:rsidRPr="00FC3B7C" w:rsidRDefault="00256F29" w:rsidP="00F243DA">
      <w:pPr>
        <w:rPr>
          <w:sz w:val="20"/>
          <w:szCs w:val="20"/>
        </w:rPr>
      </w:pPr>
      <w:r w:rsidRPr="00FC3B7C">
        <w:rPr>
          <w:rFonts w:eastAsia="Times New Roman"/>
          <w:i/>
          <w:iCs/>
          <w:szCs w:val="24"/>
        </w:rPr>
        <w:t>Pro mezinárodní srovnání daňového zatížení se používá ukazatel – daňová kvóta:</w:t>
      </w:r>
    </w:p>
    <w:p w14:paraId="4A6F561B" w14:textId="77777777" w:rsidR="008E0F74" w:rsidRPr="00FC3B7C" w:rsidRDefault="00256F29" w:rsidP="00D46B53">
      <w:pPr>
        <w:numPr>
          <w:ilvl w:val="0"/>
          <w:numId w:val="535"/>
        </w:numPr>
        <w:tabs>
          <w:tab w:val="left" w:pos="720"/>
        </w:tabs>
        <w:ind w:left="720" w:hanging="367"/>
        <w:rPr>
          <w:rFonts w:eastAsia="Arial"/>
          <w:szCs w:val="24"/>
        </w:rPr>
      </w:pPr>
      <w:r w:rsidRPr="00FC3B7C">
        <w:rPr>
          <w:rFonts w:eastAsia="Times New Roman"/>
          <w:b/>
          <w:bCs/>
          <w:szCs w:val="24"/>
        </w:rPr>
        <w:t xml:space="preserve">Daňová kvóta </w:t>
      </w:r>
      <w:r w:rsidRPr="00FC3B7C">
        <w:rPr>
          <w:rFonts w:eastAsia="Times New Roman"/>
          <w:szCs w:val="24"/>
        </w:rPr>
        <w:t>= (příjmy z daní / HDP) * 100 (%)</w:t>
      </w:r>
    </w:p>
    <w:p w14:paraId="4A6F561C" w14:textId="77777777" w:rsidR="008E0F74" w:rsidRPr="00FC3B7C" w:rsidRDefault="00256F29" w:rsidP="00D46B53">
      <w:pPr>
        <w:numPr>
          <w:ilvl w:val="0"/>
          <w:numId w:val="535"/>
        </w:numPr>
        <w:tabs>
          <w:tab w:val="left" w:pos="720"/>
        </w:tabs>
        <w:ind w:left="720" w:right="80" w:hanging="367"/>
        <w:rPr>
          <w:rFonts w:eastAsia="Arial"/>
          <w:szCs w:val="24"/>
        </w:rPr>
      </w:pPr>
      <w:r w:rsidRPr="00FC3B7C">
        <w:rPr>
          <w:rFonts w:eastAsia="Times New Roman"/>
          <w:b/>
          <w:bCs/>
          <w:szCs w:val="24"/>
        </w:rPr>
        <w:t xml:space="preserve">Složená daňová kvóta </w:t>
      </w:r>
      <w:r w:rsidRPr="00FC3B7C">
        <w:rPr>
          <w:rFonts w:eastAsia="Times New Roman"/>
          <w:szCs w:val="24"/>
        </w:rPr>
        <w:t>- v případě,</w:t>
      </w:r>
      <w:r w:rsidRPr="00FC3B7C">
        <w:rPr>
          <w:rFonts w:eastAsia="Times New Roman"/>
          <w:b/>
          <w:bCs/>
          <w:szCs w:val="24"/>
        </w:rPr>
        <w:t xml:space="preserve"> </w:t>
      </w:r>
      <w:r w:rsidRPr="00FC3B7C">
        <w:rPr>
          <w:rFonts w:eastAsia="Times New Roman"/>
          <w:szCs w:val="24"/>
        </w:rPr>
        <w:t>že do daňového zatížení zahrneme nejen daně, ale</w:t>
      </w:r>
      <w:r w:rsidRPr="00FC3B7C">
        <w:rPr>
          <w:rFonts w:eastAsia="Times New Roman"/>
          <w:b/>
          <w:bCs/>
          <w:szCs w:val="24"/>
        </w:rPr>
        <w:t xml:space="preserve"> </w:t>
      </w:r>
      <w:r w:rsidRPr="00FC3B7C">
        <w:rPr>
          <w:rFonts w:eastAsia="Times New Roman"/>
          <w:szCs w:val="24"/>
        </w:rPr>
        <w:t xml:space="preserve">i povinné příspěvky na sociální zabezpečení, veřejné zdravotní pojištění, cla, místní </w:t>
      </w:r>
      <w:r w:rsidR="00F243DA">
        <w:rPr>
          <w:rFonts w:eastAsia="Times New Roman"/>
          <w:szCs w:val="24"/>
        </w:rPr>
        <w:br/>
      </w:r>
      <w:r w:rsidRPr="00FC3B7C">
        <w:rPr>
          <w:rFonts w:eastAsia="Times New Roman"/>
          <w:szCs w:val="24"/>
        </w:rPr>
        <w:t>a regionální daně (tj. všechny příjmy daňového charakteru).</w:t>
      </w:r>
    </w:p>
    <w:p w14:paraId="4A6F561D" w14:textId="77777777" w:rsidR="008E0F74" w:rsidRPr="00FC3B7C" w:rsidRDefault="008E0F74">
      <w:pPr>
        <w:spacing w:line="184" w:lineRule="exact"/>
        <w:rPr>
          <w:sz w:val="20"/>
          <w:szCs w:val="20"/>
        </w:rPr>
      </w:pPr>
    </w:p>
    <w:p w14:paraId="4A6F561E" w14:textId="24768E24" w:rsidR="008E0F74" w:rsidRPr="00353E4B" w:rsidRDefault="00256F29" w:rsidP="00353E4B">
      <w:pPr>
        <w:pStyle w:val="Nadpis5"/>
        <w:ind w:firstLine="126"/>
        <w:rPr>
          <w:color w:val="1F3864" w:themeColor="accent1" w:themeShade="80"/>
          <w:sz w:val="20"/>
          <w:szCs w:val="20"/>
        </w:rPr>
      </w:pPr>
      <w:r w:rsidRPr="00353E4B">
        <w:rPr>
          <w:rFonts w:eastAsia="Times New Roman"/>
          <w:color w:val="1F3864" w:themeColor="accent1" w:themeShade="80"/>
        </w:rPr>
        <w:t>Klasifikace daní</w:t>
      </w:r>
    </w:p>
    <w:p w14:paraId="4A6F561F" w14:textId="77777777" w:rsidR="008E0F74" w:rsidRPr="00FC3B7C" w:rsidRDefault="00256F29" w:rsidP="00F243DA">
      <w:pPr>
        <w:rPr>
          <w:sz w:val="20"/>
          <w:szCs w:val="20"/>
        </w:rPr>
      </w:pPr>
      <w:r w:rsidRPr="00FC3B7C">
        <w:rPr>
          <w:rFonts w:eastAsia="Times New Roman"/>
          <w:b/>
          <w:bCs/>
          <w:szCs w:val="24"/>
        </w:rPr>
        <w:t>Podle daňového přesunu</w:t>
      </w:r>
    </w:p>
    <w:p w14:paraId="4A6F5620" w14:textId="77777777" w:rsidR="008E0F74" w:rsidRPr="00FC3B7C" w:rsidRDefault="00256F29" w:rsidP="00D46B53">
      <w:pPr>
        <w:numPr>
          <w:ilvl w:val="0"/>
          <w:numId w:val="536"/>
        </w:numPr>
        <w:tabs>
          <w:tab w:val="left" w:pos="700"/>
        </w:tabs>
        <w:ind w:left="700" w:hanging="355"/>
        <w:rPr>
          <w:rFonts w:eastAsia="Times New Roman"/>
          <w:b/>
          <w:bCs/>
          <w:szCs w:val="24"/>
        </w:rPr>
      </w:pPr>
      <w:r w:rsidRPr="00FC3B7C">
        <w:rPr>
          <w:rFonts w:eastAsia="Times New Roman"/>
          <w:b/>
          <w:bCs/>
          <w:i/>
          <w:iCs/>
          <w:szCs w:val="24"/>
        </w:rPr>
        <w:t xml:space="preserve">přímé </w:t>
      </w:r>
      <w:r w:rsidRPr="00FC3B7C">
        <w:rPr>
          <w:rFonts w:eastAsia="Times New Roman"/>
          <w:szCs w:val="24"/>
        </w:rPr>
        <w:t>= daně, u nichž</w:t>
      </w:r>
      <w:r w:rsidRPr="00FC3B7C">
        <w:rPr>
          <w:rFonts w:eastAsia="Times New Roman"/>
          <w:b/>
          <w:bCs/>
          <w:i/>
          <w:iCs/>
          <w:szCs w:val="24"/>
        </w:rPr>
        <w:t xml:space="preserve"> </w:t>
      </w:r>
      <w:r w:rsidRPr="00FC3B7C">
        <w:rPr>
          <w:rFonts w:eastAsia="Times New Roman"/>
          <w:szCs w:val="24"/>
        </w:rPr>
        <w:t>se předpokládá nemožnost přesunu na jiný</w:t>
      </w:r>
      <w:r w:rsidRPr="00FC3B7C">
        <w:rPr>
          <w:rFonts w:eastAsia="Times New Roman"/>
          <w:b/>
          <w:bCs/>
          <w:i/>
          <w:iCs/>
          <w:szCs w:val="24"/>
        </w:rPr>
        <w:t xml:space="preserve"> </w:t>
      </w:r>
      <w:r w:rsidRPr="00FC3B7C">
        <w:rPr>
          <w:rFonts w:eastAsia="Times New Roman"/>
          <w:szCs w:val="24"/>
        </w:rPr>
        <w:t>subjekt; dělíme na:</w:t>
      </w:r>
    </w:p>
    <w:p w14:paraId="4A6F5621" w14:textId="77777777" w:rsidR="008E0F74" w:rsidRPr="00FC3B7C" w:rsidRDefault="00256F29" w:rsidP="00D46B53">
      <w:pPr>
        <w:numPr>
          <w:ilvl w:val="1"/>
          <w:numId w:val="536"/>
        </w:numPr>
        <w:tabs>
          <w:tab w:val="left" w:pos="1420"/>
        </w:tabs>
        <w:ind w:left="1420" w:hanging="366"/>
        <w:rPr>
          <w:rFonts w:eastAsia="Arial"/>
          <w:szCs w:val="24"/>
        </w:rPr>
      </w:pPr>
      <w:r w:rsidRPr="00FC3B7C">
        <w:rPr>
          <w:rFonts w:eastAsia="Times New Roman"/>
          <w:szCs w:val="24"/>
        </w:rPr>
        <w:t>daně důchodové:</w:t>
      </w:r>
    </w:p>
    <w:p w14:paraId="4A6F5622" w14:textId="77777777" w:rsidR="008E0F74" w:rsidRPr="00FC3B7C" w:rsidRDefault="00256F29" w:rsidP="00D46B53">
      <w:pPr>
        <w:numPr>
          <w:ilvl w:val="2"/>
          <w:numId w:val="536"/>
        </w:numPr>
        <w:tabs>
          <w:tab w:val="left" w:pos="1980"/>
        </w:tabs>
        <w:ind w:left="1980" w:hanging="359"/>
        <w:rPr>
          <w:rFonts w:eastAsia="Wingdings"/>
          <w:szCs w:val="24"/>
        </w:rPr>
      </w:pPr>
      <w:r w:rsidRPr="00FC3B7C">
        <w:rPr>
          <w:rFonts w:eastAsia="Times New Roman"/>
          <w:szCs w:val="24"/>
        </w:rPr>
        <w:t>z příjmů fyzických osob (DPFO)</w:t>
      </w:r>
    </w:p>
    <w:p w14:paraId="4A6F5623" w14:textId="77777777" w:rsidR="008E0F74" w:rsidRPr="00FC3B7C" w:rsidRDefault="00256F29" w:rsidP="00D46B53">
      <w:pPr>
        <w:numPr>
          <w:ilvl w:val="2"/>
          <w:numId w:val="536"/>
        </w:numPr>
        <w:tabs>
          <w:tab w:val="left" w:pos="1980"/>
        </w:tabs>
        <w:ind w:left="1980" w:hanging="359"/>
        <w:rPr>
          <w:rFonts w:eastAsia="Wingdings"/>
          <w:szCs w:val="24"/>
        </w:rPr>
      </w:pPr>
      <w:r w:rsidRPr="00FC3B7C">
        <w:rPr>
          <w:rFonts w:eastAsia="Times New Roman"/>
          <w:szCs w:val="24"/>
        </w:rPr>
        <w:t>z příjmů právnických osob (DPPP)</w:t>
      </w:r>
    </w:p>
    <w:p w14:paraId="4A6F5624" w14:textId="77777777" w:rsidR="008E0F74" w:rsidRPr="00FC3B7C" w:rsidRDefault="00256F29" w:rsidP="00D46B53">
      <w:pPr>
        <w:numPr>
          <w:ilvl w:val="1"/>
          <w:numId w:val="536"/>
        </w:numPr>
        <w:tabs>
          <w:tab w:val="left" w:pos="1420"/>
        </w:tabs>
        <w:ind w:left="1420" w:hanging="366"/>
        <w:rPr>
          <w:rFonts w:eastAsia="Arial"/>
          <w:szCs w:val="24"/>
        </w:rPr>
      </w:pPr>
      <w:r w:rsidRPr="00FC3B7C">
        <w:rPr>
          <w:rFonts w:eastAsia="Times New Roman"/>
          <w:szCs w:val="24"/>
        </w:rPr>
        <w:t>daně majetkové:</w:t>
      </w:r>
    </w:p>
    <w:p w14:paraId="4A6F5625" w14:textId="77777777" w:rsidR="008E0F74" w:rsidRPr="00F243DA" w:rsidRDefault="00256F29" w:rsidP="00D46B53">
      <w:pPr>
        <w:numPr>
          <w:ilvl w:val="2"/>
          <w:numId w:val="536"/>
        </w:numPr>
        <w:tabs>
          <w:tab w:val="left" w:pos="1980"/>
        </w:tabs>
        <w:ind w:left="1980" w:hanging="359"/>
        <w:rPr>
          <w:rFonts w:eastAsia="Wingdings"/>
          <w:szCs w:val="24"/>
        </w:rPr>
      </w:pPr>
      <w:r w:rsidRPr="00F243DA">
        <w:rPr>
          <w:rFonts w:eastAsia="Times New Roman"/>
          <w:szCs w:val="24"/>
        </w:rPr>
        <w:t>daň z nemovitosti (z pozemků a ze staveb)</w:t>
      </w:r>
    </w:p>
    <w:p w14:paraId="4A6F5626" w14:textId="77777777" w:rsidR="008E0F74" w:rsidRPr="00FC3B7C" w:rsidRDefault="00256F29" w:rsidP="00D46B53">
      <w:pPr>
        <w:numPr>
          <w:ilvl w:val="2"/>
          <w:numId w:val="536"/>
        </w:numPr>
        <w:tabs>
          <w:tab w:val="left" w:pos="1980"/>
        </w:tabs>
        <w:ind w:left="1980" w:hanging="359"/>
        <w:rPr>
          <w:rFonts w:eastAsia="Wingdings"/>
          <w:szCs w:val="24"/>
        </w:rPr>
      </w:pPr>
      <w:r w:rsidRPr="00FC3B7C">
        <w:rPr>
          <w:rFonts w:eastAsia="Times New Roman"/>
          <w:szCs w:val="24"/>
        </w:rPr>
        <w:t>daň silniční</w:t>
      </w:r>
    </w:p>
    <w:p w14:paraId="4A6F5627" w14:textId="77777777" w:rsidR="008E0F74" w:rsidRPr="00FC3B7C" w:rsidRDefault="00256F29" w:rsidP="00D46B53">
      <w:pPr>
        <w:numPr>
          <w:ilvl w:val="2"/>
          <w:numId w:val="536"/>
        </w:numPr>
        <w:tabs>
          <w:tab w:val="left" w:pos="1980"/>
        </w:tabs>
        <w:ind w:left="1980" w:hanging="359"/>
        <w:rPr>
          <w:rFonts w:eastAsia="Wingdings"/>
          <w:szCs w:val="24"/>
        </w:rPr>
      </w:pPr>
      <w:r w:rsidRPr="00FC3B7C">
        <w:rPr>
          <w:rFonts w:eastAsia="Times New Roman"/>
          <w:szCs w:val="24"/>
        </w:rPr>
        <w:t xml:space="preserve">daň z nabytí nemovitých věcí (nahradila daň dědickou, darovací a daň </w:t>
      </w:r>
      <w:r w:rsidR="00F243DA">
        <w:rPr>
          <w:rFonts w:eastAsia="Times New Roman"/>
          <w:szCs w:val="24"/>
        </w:rPr>
        <w:br/>
      </w:r>
      <w:r w:rsidRPr="00FC3B7C">
        <w:rPr>
          <w:rFonts w:eastAsia="Times New Roman"/>
          <w:szCs w:val="24"/>
        </w:rPr>
        <w:t>z převodu nemovitostí)</w:t>
      </w:r>
    </w:p>
    <w:p w14:paraId="4A6F5628" w14:textId="77777777" w:rsidR="008E0F74" w:rsidRPr="00FC3B7C" w:rsidRDefault="00256F29" w:rsidP="00D46B53">
      <w:pPr>
        <w:numPr>
          <w:ilvl w:val="0"/>
          <w:numId w:val="537"/>
        </w:numPr>
        <w:tabs>
          <w:tab w:val="left" w:pos="700"/>
        </w:tabs>
        <w:ind w:left="700" w:right="40" w:hanging="352"/>
        <w:rPr>
          <w:rFonts w:eastAsia="Times New Roman"/>
          <w:b/>
          <w:bCs/>
          <w:szCs w:val="24"/>
        </w:rPr>
      </w:pPr>
      <w:bookmarkStart w:id="480" w:name="page493"/>
      <w:bookmarkEnd w:id="480"/>
      <w:r w:rsidRPr="00FC3B7C">
        <w:rPr>
          <w:rFonts w:eastAsia="Times New Roman"/>
          <w:b/>
          <w:bCs/>
          <w:i/>
          <w:iCs/>
          <w:szCs w:val="24"/>
        </w:rPr>
        <w:t xml:space="preserve">nepřímé </w:t>
      </w:r>
      <w:r w:rsidRPr="00FC3B7C">
        <w:rPr>
          <w:rFonts w:eastAsia="Times New Roman"/>
          <w:szCs w:val="24"/>
        </w:rPr>
        <w:t>= daně</w:t>
      </w:r>
      <w:r w:rsidRPr="00FC3B7C">
        <w:rPr>
          <w:rFonts w:eastAsia="Times New Roman"/>
          <w:b/>
          <w:bCs/>
          <w:i/>
          <w:iCs/>
          <w:szCs w:val="24"/>
        </w:rPr>
        <w:t xml:space="preserve"> </w:t>
      </w:r>
      <w:r w:rsidRPr="00FC3B7C">
        <w:rPr>
          <w:rFonts w:eastAsia="Times New Roman"/>
          <w:szCs w:val="24"/>
        </w:rPr>
        <w:t>placené a vybírané v cenách zboží, služeb a převodů</w:t>
      </w:r>
      <w:r w:rsidRPr="00FC3B7C">
        <w:rPr>
          <w:rFonts w:eastAsia="Times New Roman"/>
          <w:b/>
          <w:bCs/>
          <w:i/>
          <w:iCs/>
          <w:szCs w:val="24"/>
        </w:rPr>
        <w:t xml:space="preserve"> </w:t>
      </w:r>
      <w:r w:rsidRPr="00FC3B7C">
        <w:rPr>
          <w:rFonts w:eastAsia="Times New Roman"/>
          <w:szCs w:val="24"/>
        </w:rPr>
        <w:t>práv; poplatníkem</w:t>
      </w:r>
      <w:r w:rsidRPr="00FC3B7C">
        <w:rPr>
          <w:rFonts w:eastAsia="Times New Roman"/>
          <w:b/>
          <w:bCs/>
          <w:i/>
          <w:iCs/>
          <w:szCs w:val="24"/>
        </w:rPr>
        <w:t xml:space="preserve"> </w:t>
      </w:r>
      <w:r w:rsidRPr="00FC3B7C">
        <w:rPr>
          <w:rFonts w:eastAsia="Times New Roman"/>
          <w:szCs w:val="24"/>
        </w:rPr>
        <w:t>je konečný spotřebitel, plátcem daně je výrobce, obchod, dovozce…</w:t>
      </w:r>
    </w:p>
    <w:p w14:paraId="4A6F5629" w14:textId="77777777" w:rsidR="008E0F74" w:rsidRPr="00FC3B7C" w:rsidRDefault="00256F29" w:rsidP="00D46B53">
      <w:pPr>
        <w:numPr>
          <w:ilvl w:val="1"/>
          <w:numId w:val="537"/>
        </w:numPr>
        <w:tabs>
          <w:tab w:val="left" w:pos="1420"/>
        </w:tabs>
        <w:ind w:left="1420" w:hanging="366"/>
        <w:rPr>
          <w:rFonts w:eastAsia="Arial"/>
          <w:szCs w:val="24"/>
        </w:rPr>
      </w:pPr>
      <w:r w:rsidRPr="00FC3B7C">
        <w:rPr>
          <w:rFonts w:eastAsia="Times New Roman"/>
          <w:szCs w:val="24"/>
        </w:rPr>
        <w:lastRenderedPageBreak/>
        <w:t>daně univerzální (všeobecné):</w:t>
      </w:r>
    </w:p>
    <w:p w14:paraId="4A6F562A" w14:textId="77777777" w:rsidR="008E0F74" w:rsidRPr="00FC3B7C" w:rsidRDefault="00256F29" w:rsidP="00D46B53">
      <w:pPr>
        <w:numPr>
          <w:ilvl w:val="2"/>
          <w:numId w:val="537"/>
        </w:numPr>
        <w:tabs>
          <w:tab w:val="left" w:pos="1980"/>
        </w:tabs>
        <w:ind w:left="1980" w:hanging="359"/>
        <w:rPr>
          <w:rFonts w:eastAsia="Wingdings"/>
          <w:szCs w:val="24"/>
        </w:rPr>
      </w:pPr>
      <w:r w:rsidRPr="00FC3B7C">
        <w:rPr>
          <w:rFonts w:eastAsia="Times New Roman"/>
          <w:szCs w:val="24"/>
        </w:rPr>
        <w:t>daň z přidané hodnoty (DPH)</w:t>
      </w:r>
    </w:p>
    <w:p w14:paraId="4A6F562B" w14:textId="77777777" w:rsidR="008E0F74" w:rsidRPr="00FC3B7C" w:rsidRDefault="00256F29" w:rsidP="00D46B53">
      <w:pPr>
        <w:numPr>
          <w:ilvl w:val="1"/>
          <w:numId w:val="537"/>
        </w:numPr>
        <w:tabs>
          <w:tab w:val="left" w:pos="1420"/>
        </w:tabs>
        <w:ind w:left="1420" w:hanging="366"/>
        <w:rPr>
          <w:rFonts w:eastAsia="Arial"/>
          <w:szCs w:val="24"/>
        </w:rPr>
      </w:pPr>
      <w:r w:rsidRPr="00FC3B7C">
        <w:rPr>
          <w:rFonts w:eastAsia="Times New Roman"/>
          <w:szCs w:val="24"/>
        </w:rPr>
        <w:t>daně selektivní:</w:t>
      </w:r>
    </w:p>
    <w:p w14:paraId="4A6F562C" w14:textId="77777777" w:rsidR="008E0F74" w:rsidRPr="00FC3B7C" w:rsidRDefault="00256F29" w:rsidP="00D46B53">
      <w:pPr>
        <w:numPr>
          <w:ilvl w:val="2"/>
          <w:numId w:val="537"/>
        </w:numPr>
        <w:tabs>
          <w:tab w:val="left" w:pos="1980"/>
        </w:tabs>
        <w:ind w:left="1980" w:hanging="359"/>
        <w:rPr>
          <w:rFonts w:eastAsia="Wingdings"/>
          <w:sz w:val="23"/>
          <w:szCs w:val="23"/>
        </w:rPr>
      </w:pPr>
      <w:r w:rsidRPr="00FC3B7C">
        <w:rPr>
          <w:rFonts w:eastAsia="Times New Roman"/>
          <w:sz w:val="23"/>
          <w:szCs w:val="23"/>
        </w:rPr>
        <w:t>spotřební daně (z minerálních olejů, lihu, vína, piva, tabákových výrobků)</w:t>
      </w:r>
    </w:p>
    <w:p w14:paraId="4A6F562D" w14:textId="77777777" w:rsidR="008E0F74" w:rsidRPr="00FC3B7C" w:rsidRDefault="00256F29" w:rsidP="00D46B53">
      <w:pPr>
        <w:numPr>
          <w:ilvl w:val="2"/>
          <w:numId w:val="537"/>
        </w:numPr>
        <w:tabs>
          <w:tab w:val="left" w:pos="1980"/>
        </w:tabs>
        <w:ind w:left="1980" w:hanging="359"/>
        <w:rPr>
          <w:rFonts w:eastAsia="Wingdings"/>
          <w:szCs w:val="24"/>
        </w:rPr>
      </w:pPr>
      <w:r w:rsidRPr="00FC3B7C">
        <w:rPr>
          <w:rFonts w:eastAsia="Times New Roman"/>
          <w:szCs w:val="24"/>
        </w:rPr>
        <w:t>ekologické daně (ze zemního plynu, pevných paliv, elektřiny)</w:t>
      </w:r>
    </w:p>
    <w:p w14:paraId="4A6F562E" w14:textId="77777777" w:rsidR="008E0F74" w:rsidRPr="00FC3B7C" w:rsidRDefault="00256F29" w:rsidP="00F243DA">
      <w:pPr>
        <w:rPr>
          <w:sz w:val="20"/>
          <w:szCs w:val="20"/>
        </w:rPr>
      </w:pPr>
      <w:r w:rsidRPr="00FC3B7C">
        <w:rPr>
          <w:rFonts w:eastAsia="Times New Roman"/>
          <w:b/>
          <w:bCs/>
          <w:szCs w:val="24"/>
        </w:rPr>
        <w:t>Podle rozpočtového (daňového) určení</w:t>
      </w:r>
    </w:p>
    <w:p w14:paraId="4A6F562F" w14:textId="77777777" w:rsidR="008E0F74" w:rsidRPr="00FC3B7C" w:rsidRDefault="00256F29" w:rsidP="00D46B53">
      <w:pPr>
        <w:numPr>
          <w:ilvl w:val="0"/>
          <w:numId w:val="538"/>
        </w:numPr>
        <w:tabs>
          <w:tab w:val="left" w:pos="700"/>
        </w:tabs>
        <w:ind w:left="700" w:hanging="355"/>
        <w:rPr>
          <w:rFonts w:eastAsia="Times New Roman"/>
          <w:b/>
          <w:bCs/>
          <w:szCs w:val="24"/>
        </w:rPr>
      </w:pPr>
      <w:r w:rsidRPr="00FC3B7C">
        <w:rPr>
          <w:rFonts w:eastAsia="Times New Roman"/>
          <w:b/>
          <w:bCs/>
          <w:i/>
          <w:iCs/>
          <w:szCs w:val="24"/>
        </w:rPr>
        <w:t xml:space="preserve">sdílené </w:t>
      </w:r>
      <w:r w:rsidRPr="00FC3B7C">
        <w:rPr>
          <w:rFonts w:eastAsia="Times New Roman"/>
          <w:szCs w:val="24"/>
        </w:rPr>
        <w:t>– výnos těchto daní je rozdělen mezi jednotlivé úrovně</w:t>
      </w:r>
      <w:r w:rsidRPr="00FC3B7C">
        <w:rPr>
          <w:rFonts w:eastAsia="Times New Roman"/>
          <w:b/>
          <w:bCs/>
          <w:i/>
          <w:iCs/>
          <w:szCs w:val="24"/>
        </w:rPr>
        <w:t xml:space="preserve"> </w:t>
      </w:r>
      <w:r w:rsidRPr="00FC3B7C">
        <w:rPr>
          <w:rFonts w:eastAsia="Times New Roman"/>
          <w:szCs w:val="24"/>
        </w:rPr>
        <w:t>státní správy</w:t>
      </w:r>
    </w:p>
    <w:p w14:paraId="4A6F5630" w14:textId="77777777" w:rsidR="008E0F74" w:rsidRPr="00FC3B7C" w:rsidRDefault="00256F29" w:rsidP="00D46B53">
      <w:pPr>
        <w:numPr>
          <w:ilvl w:val="1"/>
          <w:numId w:val="538"/>
        </w:numPr>
        <w:tabs>
          <w:tab w:val="left" w:pos="1420"/>
        </w:tabs>
        <w:ind w:left="1420" w:hanging="366"/>
        <w:rPr>
          <w:rFonts w:eastAsia="Arial"/>
          <w:szCs w:val="24"/>
        </w:rPr>
      </w:pPr>
      <w:r w:rsidRPr="00FC3B7C">
        <w:rPr>
          <w:rFonts w:eastAsia="Times New Roman"/>
          <w:szCs w:val="24"/>
        </w:rPr>
        <w:t>v ČR je to daň z příjmů PO i FO a DPH</w:t>
      </w:r>
    </w:p>
    <w:p w14:paraId="4A6F5631" w14:textId="7CB7955D" w:rsidR="008E0F74" w:rsidRPr="00FC3B7C" w:rsidRDefault="00256F29" w:rsidP="00F243DA">
      <w:pPr>
        <w:ind w:left="340"/>
        <w:rPr>
          <w:sz w:val="20"/>
          <w:szCs w:val="20"/>
        </w:rPr>
      </w:pPr>
      <w:r w:rsidRPr="00FC3B7C">
        <w:rPr>
          <w:rFonts w:eastAsia="Times New Roman"/>
          <w:b/>
          <w:bCs/>
          <w:szCs w:val="24"/>
        </w:rPr>
        <w:t>b)</w:t>
      </w:r>
      <w:r w:rsidR="003376E1">
        <w:rPr>
          <w:rFonts w:eastAsia="Times New Roman"/>
          <w:b/>
          <w:bCs/>
          <w:szCs w:val="24"/>
        </w:rPr>
        <w:t xml:space="preserve"> </w:t>
      </w:r>
      <w:r w:rsidRPr="00FC3B7C">
        <w:rPr>
          <w:rFonts w:eastAsia="Times New Roman"/>
          <w:b/>
          <w:bCs/>
          <w:i/>
          <w:iCs/>
          <w:szCs w:val="24"/>
        </w:rPr>
        <w:t>svěřené</w:t>
      </w:r>
      <w:r w:rsidRPr="00FC3B7C">
        <w:rPr>
          <w:rFonts w:eastAsia="Times New Roman"/>
          <w:b/>
          <w:bCs/>
          <w:szCs w:val="24"/>
        </w:rPr>
        <w:t xml:space="preserve"> </w:t>
      </w:r>
      <w:r w:rsidRPr="00FC3B7C">
        <w:rPr>
          <w:rFonts w:eastAsia="Times New Roman"/>
          <w:szCs w:val="24"/>
        </w:rPr>
        <w:t>– daně, jejichž</w:t>
      </w:r>
      <w:r w:rsidRPr="00FC3B7C">
        <w:rPr>
          <w:rFonts w:eastAsia="Times New Roman"/>
          <w:b/>
          <w:bCs/>
          <w:szCs w:val="24"/>
        </w:rPr>
        <w:t xml:space="preserve"> </w:t>
      </w:r>
      <w:r w:rsidRPr="00FC3B7C">
        <w:rPr>
          <w:rFonts w:eastAsia="Times New Roman"/>
          <w:szCs w:val="24"/>
        </w:rPr>
        <w:t>celý</w:t>
      </w:r>
      <w:r w:rsidRPr="00FC3B7C">
        <w:rPr>
          <w:rFonts w:eastAsia="Times New Roman"/>
          <w:b/>
          <w:bCs/>
          <w:szCs w:val="24"/>
        </w:rPr>
        <w:t xml:space="preserve"> </w:t>
      </w:r>
      <w:r w:rsidRPr="00FC3B7C">
        <w:rPr>
          <w:rFonts w:eastAsia="Times New Roman"/>
          <w:szCs w:val="24"/>
        </w:rPr>
        <w:t>výnos plyne do určitého rozpočtu</w:t>
      </w:r>
    </w:p>
    <w:p w14:paraId="4A6F5632" w14:textId="29A34DFE" w:rsidR="008E0F74" w:rsidRPr="00FC3B7C" w:rsidRDefault="00256F29" w:rsidP="00D46B53">
      <w:pPr>
        <w:numPr>
          <w:ilvl w:val="0"/>
          <w:numId w:val="539"/>
        </w:numPr>
        <w:tabs>
          <w:tab w:val="left" w:pos="1420"/>
        </w:tabs>
        <w:spacing w:after="240"/>
        <w:ind w:left="1420" w:hanging="366"/>
        <w:rPr>
          <w:rFonts w:eastAsia="Arial"/>
          <w:szCs w:val="24"/>
        </w:rPr>
      </w:pPr>
      <w:r w:rsidRPr="00FC3B7C">
        <w:rPr>
          <w:rFonts w:eastAsia="Times New Roman"/>
          <w:szCs w:val="24"/>
        </w:rPr>
        <w:t>v ČR např. daň z nemovitosti (výnos plyne do místních rozpočtů)</w:t>
      </w:r>
    </w:p>
    <w:p w14:paraId="4A6F5633" w14:textId="0FFCBF70" w:rsidR="008E0F74" w:rsidRPr="00FC3B7C" w:rsidRDefault="00256F29">
      <w:pPr>
        <w:spacing w:line="369" w:lineRule="auto"/>
        <w:ind w:right="20"/>
        <w:rPr>
          <w:sz w:val="20"/>
          <w:szCs w:val="20"/>
        </w:rPr>
      </w:pPr>
      <w:r w:rsidRPr="00FC3B7C">
        <w:rPr>
          <w:rFonts w:eastAsia="Times New Roman"/>
          <w:b/>
          <w:bCs/>
          <w:szCs w:val="24"/>
        </w:rPr>
        <w:t>Hlavní zdroj daňových příjmů státu může být výsledkem nejen daňové politiky, ale i tradic:</w:t>
      </w:r>
    </w:p>
    <w:p w14:paraId="4A6F5634" w14:textId="77777777" w:rsidR="008E0F74" w:rsidRPr="00FC3B7C" w:rsidRDefault="008E0F74">
      <w:pPr>
        <w:spacing w:line="2" w:lineRule="exact"/>
        <w:rPr>
          <w:sz w:val="20"/>
          <w:szCs w:val="20"/>
        </w:rPr>
      </w:pPr>
    </w:p>
    <w:p w14:paraId="4A6F5635" w14:textId="446744F5" w:rsidR="008E0F74" w:rsidRPr="00FC3B7C" w:rsidRDefault="00256F29" w:rsidP="00D46B53">
      <w:pPr>
        <w:numPr>
          <w:ilvl w:val="0"/>
          <w:numId w:val="540"/>
        </w:numPr>
        <w:tabs>
          <w:tab w:val="left" w:pos="1000"/>
        </w:tabs>
        <w:ind w:left="1000" w:hanging="360"/>
        <w:rPr>
          <w:rFonts w:eastAsia="Arial"/>
          <w:szCs w:val="24"/>
        </w:rPr>
      </w:pPr>
      <w:r w:rsidRPr="00FC3B7C">
        <w:rPr>
          <w:rFonts w:eastAsia="Times New Roman"/>
          <w:szCs w:val="24"/>
        </w:rPr>
        <w:t>důchodové daně bývají vyšší ve vyspělých zemích s dobrou daňovou morálkou</w:t>
      </w:r>
    </w:p>
    <w:p w14:paraId="4A6F5636" w14:textId="47449D33" w:rsidR="008E0F74" w:rsidRPr="00FC3B7C" w:rsidRDefault="00256F29" w:rsidP="00D46B53">
      <w:pPr>
        <w:numPr>
          <w:ilvl w:val="0"/>
          <w:numId w:val="540"/>
        </w:numPr>
        <w:tabs>
          <w:tab w:val="left" w:pos="1000"/>
        </w:tabs>
        <w:spacing w:line="366" w:lineRule="auto"/>
        <w:ind w:left="1000" w:right="20" w:hanging="360"/>
        <w:rPr>
          <w:rFonts w:eastAsia="Arial"/>
          <w:szCs w:val="24"/>
        </w:rPr>
      </w:pPr>
      <w:r w:rsidRPr="00FC3B7C">
        <w:rPr>
          <w:rFonts w:eastAsia="Times New Roman"/>
          <w:szCs w:val="24"/>
        </w:rPr>
        <w:t>vysoké nepřímé daně bývají vyšší v zemích s nízkými důchody a v zemích s horší daňovou morálkou (výjimka – Norsko)</w:t>
      </w:r>
    </w:p>
    <w:p w14:paraId="4A6F5637" w14:textId="77777777" w:rsidR="008E0F74" w:rsidRPr="00FC3B7C" w:rsidRDefault="008E0F74">
      <w:pPr>
        <w:spacing w:line="1" w:lineRule="exact"/>
        <w:rPr>
          <w:rFonts w:eastAsia="Arial"/>
          <w:szCs w:val="24"/>
        </w:rPr>
      </w:pPr>
    </w:p>
    <w:p w14:paraId="4A6F5638" w14:textId="009BC9DA" w:rsidR="008E0F74" w:rsidRPr="00FC3B7C" w:rsidRDefault="00256F29" w:rsidP="00D46B53">
      <w:pPr>
        <w:numPr>
          <w:ilvl w:val="0"/>
          <w:numId w:val="540"/>
        </w:numPr>
        <w:tabs>
          <w:tab w:val="left" w:pos="1000"/>
        </w:tabs>
        <w:spacing w:after="240" w:line="373" w:lineRule="auto"/>
        <w:ind w:left="1000" w:right="20" w:hanging="360"/>
        <w:rPr>
          <w:rFonts w:eastAsia="Arial"/>
          <w:szCs w:val="24"/>
        </w:rPr>
      </w:pPr>
      <w:r w:rsidRPr="00FC3B7C">
        <w:rPr>
          <w:rFonts w:eastAsia="Times New Roman"/>
          <w:szCs w:val="24"/>
        </w:rPr>
        <w:t>vysoké příspěvky na sociální zabezpečení značí, že vlády kladou důraz na sociální zabezpečení prostřednictvím povinného pojištění (nebo také úsilí přesunout břemeno daní na daně s nižšími možnými úniky)</w:t>
      </w:r>
    </w:p>
    <w:p w14:paraId="4A6F5663" w14:textId="77777777" w:rsidR="008E0F74" w:rsidRPr="00353E4B" w:rsidRDefault="00256F29" w:rsidP="00F243DA">
      <w:pPr>
        <w:pStyle w:val="Nadpis4"/>
        <w:rPr>
          <w:color w:val="1F3864" w:themeColor="accent1" w:themeShade="80"/>
          <w:sz w:val="20"/>
          <w:szCs w:val="20"/>
        </w:rPr>
      </w:pPr>
      <w:bookmarkStart w:id="481" w:name="page494"/>
      <w:bookmarkEnd w:id="481"/>
      <w:r w:rsidRPr="00353E4B">
        <w:rPr>
          <w:rFonts w:eastAsia="Times New Roman"/>
          <w:color w:val="1F3864" w:themeColor="accent1" w:themeShade="80"/>
        </w:rPr>
        <w:t>Nedaňové příjmy veřejných rozpočtů</w:t>
      </w:r>
    </w:p>
    <w:p w14:paraId="4A6F5664" w14:textId="77777777" w:rsidR="008E0F74" w:rsidRPr="00FC3B7C" w:rsidRDefault="00256F29" w:rsidP="00D46B53">
      <w:pPr>
        <w:numPr>
          <w:ilvl w:val="0"/>
          <w:numId w:val="541"/>
        </w:numPr>
        <w:tabs>
          <w:tab w:val="left" w:pos="840"/>
        </w:tabs>
        <w:ind w:left="840" w:hanging="353"/>
        <w:rPr>
          <w:rFonts w:eastAsia="Times New Roman"/>
          <w:szCs w:val="24"/>
        </w:rPr>
      </w:pPr>
      <w:r w:rsidRPr="00FC3B7C">
        <w:rPr>
          <w:rFonts w:eastAsia="Times New Roman"/>
          <w:b/>
          <w:bCs/>
          <w:szCs w:val="24"/>
        </w:rPr>
        <w:t xml:space="preserve">Příjmy z veřejného podnikání </w:t>
      </w:r>
      <w:r w:rsidRPr="00FC3B7C">
        <w:rPr>
          <w:rFonts w:eastAsia="Times New Roman"/>
          <w:szCs w:val="24"/>
        </w:rPr>
        <w:t>– veřejné podniky a instituce (které zabezpečují</w:t>
      </w:r>
      <w:r w:rsidRPr="00FC3B7C">
        <w:rPr>
          <w:rFonts w:eastAsia="Times New Roman"/>
          <w:b/>
          <w:bCs/>
          <w:szCs w:val="24"/>
        </w:rPr>
        <w:t xml:space="preserve"> </w:t>
      </w:r>
      <w:r w:rsidRPr="00FC3B7C">
        <w:rPr>
          <w:rFonts w:eastAsia="Times New Roman"/>
          <w:szCs w:val="24"/>
        </w:rPr>
        <w:t>veřejné statky)</w:t>
      </w:r>
    </w:p>
    <w:p w14:paraId="4A6F5665" w14:textId="77777777" w:rsidR="008E0F74" w:rsidRPr="00FC3B7C" w:rsidRDefault="00256F29" w:rsidP="00D46B53">
      <w:pPr>
        <w:numPr>
          <w:ilvl w:val="0"/>
          <w:numId w:val="541"/>
        </w:numPr>
        <w:tabs>
          <w:tab w:val="left" w:pos="840"/>
        </w:tabs>
        <w:ind w:left="840" w:hanging="353"/>
        <w:rPr>
          <w:rFonts w:eastAsia="Times New Roman"/>
          <w:szCs w:val="24"/>
        </w:rPr>
      </w:pPr>
      <w:r w:rsidRPr="00FC3B7C">
        <w:rPr>
          <w:rFonts w:eastAsia="Times New Roman"/>
          <w:b/>
          <w:bCs/>
          <w:szCs w:val="24"/>
        </w:rPr>
        <w:t xml:space="preserve">Příjmy z podnikání s majetkem </w:t>
      </w:r>
      <w:r w:rsidRPr="00FC3B7C">
        <w:rPr>
          <w:rFonts w:eastAsia="Times New Roman"/>
          <w:szCs w:val="24"/>
        </w:rPr>
        <w:t>- příjmy z prodeje nebo pronájmu státního nebo</w:t>
      </w:r>
      <w:r w:rsidRPr="00FC3B7C">
        <w:rPr>
          <w:rFonts w:eastAsia="Times New Roman"/>
          <w:b/>
          <w:bCs/>
          <w:szCs w:val="24"/>
        </w:rPr>
        <w:t xml:space="preserve"> </w:t>
      </w:r>
      <w:r w:rsidRPr="00FC3B7C">
        <w:rPr>
          <w:rFonts w:eastAsia="Times New Roman"/>
          <w:szCs w:val="24"/>
        </w:rPr>
        <w:t xml:space="preserve">municipálního majetku; příjmy z prodeje jsou kapitálovým příjmem, příjmy </w:t>
      </w:r>
      <w:r w:rsidR="00F243DA">
        <w:rPr>
          <w:rFonts w:eastAsia="Times New Roman"/>
          <w:szCs w:val="24"/>
        </w:rPr>
        <w:br/>
      </w:r>
      <w:r w:rsidRPr="00FC3B7C">
        <w:rPr>
          <w:rFonts w:eastAsia="Times New Roman"/>
          <w:szCs w:val="24"/>
        </w:rPr>
        <w:t>z pronájmu jsou běžným příjmem</w:t>
      </w:r>
    </w:p>
    <w:p w14:paraId="4A6F5666" w14:textId="77777777" w:rsidR="008E0F74" w:rsidRPr="00FC3B7C" w:rsidRDefault="00256F29" w:rsidP="00D46B53">
      <w:pPr>
        <w:numPr>
          <w:ilvl w:val="0"/>
          <w:numId w:val="541"/>
        </w:numPr>
        <w:tabs>
          <w:tab w:val="left" w:pos="840"/>
        </w:tabs>
        <w:spacing w:after="240"/>
        <w:ind w:left="840" w:hanging="353"/>
        <w:rPr>
          <w:rFonts w:eastAsia="Times New Roman"/>
          <w:szCs w:val="24"/>
        </w:rPr>
      </w:pPr>
      <w:r w:rsidRPr="00FC3B7C">
        <w:rPr>
          <w:rFonts w:eastAsia="Times New Roman"/>
          <w:b/>
          <w:bCs/>
          <w:szCs w:val="24"/>
        </w:rPr>
        <w:t xml:space="preserve">Poplatky za úkony </w:t>
      </w:r>
      <w:r w:rsidRPr="00FC3B7C">
        <w:rPr>
          <w:rFonts w:eastAsia="Times New Roman"/>
          <w:szCs w:val="24"/>
        </w:rPr>
        <w:t>– jednorázové platby za určité úkony prováděné státními orgány;</w:t>
      </w:r>
      <w:r w:rsidRPr="00FC3B7C">
        <w:rPr>
          <w:rFonts w:eastAsia="Times New Roman"/>
          <w:b/>
          <w:bCs/>
          <w:szCs w:val="24"/>
        </w:rPr>
        <w:t xml:space="preserve"> </w:t>
      </w:r>
      <w:r w:rsidRPr="00FC3B7C">
        <w:rPr>
          <w:rFonts w:eastAsia="Times New Roman"/>
          <w:szCs w:val="24"/>
        </w:rPr>
        <w:t>v ČR je výše těchto poplatků dána zákonem – př. poplatek za zápis nemovitosti do katastru nemovitostí, za vydávání cestovních pasů, výpisů z matriky…)</w:t>
      </w:r>
    </w:p>
    <w:p w14:paraId="4A6F5667" w14:textId="5BCDC01E" w:rsidR="00F92EF4" w:rsidRDefault="00256F29" w:rsidP="00F243DA">
      <w:pPr>
        <w:rPr>
          <w:rFonts w:eastAsia="Times New Roman"/>
          <w:i/>
          <w:iCs/>
          <w:szCs w:val="24"/>
        </w:rPr>
      </w:pPr>
      <w:r w:rsidRPr="00F92EF4">
        <w:rPr>
          <w:rFonts w:eastAsia="Times New Roman"/>
          <w:b/>
          <w:bCs/>
          <w:i/>
          <w:iCs/>
          <w:szCs w:val="24"/>
        </w:rPr>
        <w:t>Nedaňové příjmy</w:t>
      </w:r>
      <w:r w:rsidRPr="00F92EF4">
        <w:rPr>
          <w:rFonts w:eastAsia="Times New Roman"/>
          <w:i/>
          <w:iCs/>
          <w:szCs w:val="24"/>
        </w:rPr>
        <w:t xml:space="preserve"> ve svém součtu tvoří podstatně </w:t>
      </w:r>
      <w:r w:rsidRPr="00F92EF4">
        <w:rPr>
          <w:rFonts w:eastAsia="Times New Roman"/>
          <w:b/>
          <w:bCs/>
          <w:i/>
          <w:iCs/>
          <w:szCs w:val="24"/>
        </w:rPr>
        <w:t>menší část</w:t>
      </w:r>
      <w:r w:rsidRPr="00F92EF4">
        <w:rPr>
          <w:rFonts w:eastAsia="Times New Roman"/>
          <w:i/>
          <w:iCs/>
          <w:szCs w:val="24"/>
        </w:rPr>
        <w:t xml:space="preserve"> veřejných příjmů než daňové.</w:t>
      </w:r>
    </w:p>
    <w:p w14:paraId="7F5031C3" w14:textId="77777777" w:rsidR="00F92EF4" w:rsidRDefault="00F92EF4">
      <w:pPr>
        <w:spacing w:line="240" w:lineRule="auto"/>
        <w:jc w:val="left"/>
        <w:rPr>
          <w:rFonts w:eastAsia="Times New Roman"/>
          <w:i/>
          <w:iCs/>
          <w:szCs w:val="24"/>
        </w:rPr>
      </w:pPr>
      <w:r>
        <w:rPr>
          <w:rFonts w:eastAsia="Times New Roman"/>
          <w:i/>
          <w:iCs/>
          <w:szCs w:val="24"/>
        </w:rPr>
        <w:br w:type="page"/>
      </w:r>
    </w:p>
    <w:p w14:paraId="4A6F5669" w14:textId="6D4C48B6" w:rsidR="008E0F74" w:rsidRPr="00244BB9" w:rsidRDefault="00256F29">
      <w:pPr>
        <w:ind w:left="260"/>
        <w:rPr>
          <w:sz w:val="20"/>
          <w:szCs w:val="20"/>
        </w:rPr>
      </w:pPr>
      <w:bookmarkStart w:id="482" w:name="page495"/>
      <w:bookmarkEnd w:id="482"/>
      <w:r w:rsidRPr="00244BB9">
        <w:rPr>
          <w:rFonts w:eastAsia="Times New Roman"/>
          <w:b/>
          <w:bCs/>
          <w:szCs w:val="24"/>
        </w:rPr>
        <w:lastRenderedPageBreak/>
        <w:t xml:space="preserve">Graf č. </w:t>
      </w:r>
      <w:r w:rsidR="00F92EF4" w:rsidRPr="00244BB9">
        <w:rPr>
          <w:rFonts w:eastAsia="Times New Roman"/>
          <w:b/>
          <w:bCs/>
          <w:szCs w:val="24"/>
        </w:rPr>
        <w:t>2</w:t>
      </w:r>
      <w:r w:rsidRPr="00244BB9">
        <w:rPr>
          <w:rFonts w:eastAsia="Times New Roman"/>
          <w:b/>
          <w:bCs/>
          <w:szCs w:val="24"/>
        </w:rPr>
        <w:t xml:space="preserve">: </w:t>
      </w:r>
      <w:r w:rsidR="00827023" w:rsidRPr="00244BB9">
        <w:rPr>
          <w:rFonts w:eastAsia="Times New Roman"/>
          <w:b/>
          <w:bCs/>
          <w:szCs w:val="24"/>
        </w:rPr>
        <w:t>S</w:t>
      </w:r>
      <w:r w:rsidR="00F92EF4" w:rsidRPr="00244BB9">
        <w:rPr>
          <w:rFonts w:eastAsia="Times New Roman"/>
          <w:b/>
          <w:bCs/>
          <w:szCs w:val="24"/>
        </w:rPr>
        <w:t>truktura příjmů státního rozpočtu v mld. Kč</w:t>
      </w:r>
    </w:p>
    <w:p w14:paraId="4A6F566A" w14:textId="043D7FBC" w:rsidR="008E0F74" w:rsidRPr="00FC3B7C" w:rsidRDefault="000146D4">
      <w:pPr>
        <w:spacing w:line="20" w:lineRule="exact"/>
        <w:rPr>
          <w:sz w:val="20"/>
          <w:szCs w:val="20"/>
        </w:rPr>
      </w:pPr>
      <w:r>
        <w:rPr>
          <w:noProof/>
        </w:rPr>
        <w:drawing>
          <wp:anchor distT="0" distB="0" distL="114300" distR="114300" simplePos="0" relativeHeight="251554304" behindDoc="0" locked="0" layoutInCell="1" allowOverlap="1" wp14:anchorId="084AF522" wp14:editId="5D1EBC3E">
            <wp:simplePos x="0" y="0"/>
            <wp:positionH relativeFrom="column">
              <wp:posOffset>372405</wp:posOffset>
            </wp:positionH>
            <wp:positionV relativeFrom="paragraph">
              <wp:posOffset>4938262</wp:posOffset>
            </wp:positionV>
            <wp:extent cx="3742055" cy="4248150"/>
            <wp:effectExtent l="0" t="0" r="0" b="0"/>
            <wp:wrapTopAndBottom/>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3742055" cy="4248150"/>
                    </a:xfrm>
                    <a:prstGeom prst="rect">
                      <a:avLst/>
                    </a:prstGeom>
                  </pic:spPr>
                </pic:pic>
              </a:graphicData>
            </a:graphic>
            <wp14:sizeRelH relativeFrom="margin">
              <wp14:pctWidth>0</wp14:pctWidth>
            </wp14:sizeRelH>
            <wp14:sizeRelV relativeFrom="margin">
              <wp14:pctHeight>0</wp14:pctHeight>
            </wp14:sizeRelV>
          </wp:anchor>
        </w:drawing>
      </w:r>
      <w:r w:rsidR="00F92EF4">
        <w:rPr>
          <w:noProof/>
        </w:rPr>
        <w:drawing>
          <wp:anchor distT="0" distB="0" distL="114300" distR="114300" simplePos="0" relativeHeight="251735552" behindDoc="0" locked="0" layoutInCell="1" allowOverlap="1" wp14:anchorId="0DB712FD" wp14:editId="7F288BB5">
            <wp:simplePos x="0" y="0"/>
            <wp:positionH relativeFrom="column">
              <wp:posOffset>119321</wp:posOffset>
            </wp:positionH>
            <wp:positionV relativeFrom="paragraph">
              <wp:posOffset>76200</wp:posOffset>
            </wp:positionV>
            <wp:extent cx="5624195" cy="4281170"/>
            <wp:effectExtent l="0" t="0" r="0" b="5080"/>
            <wp:wrapTopAndBottom/>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5624195" cy="4281170"/>
                    </a:xfrm>
                    <a:prstGeom prst="rect">
                      <a:avLst/>
                    </a:prstGeom>
                  </pic:spPr>
                </pic:pic>
              </a:graphicData>
            </a:graphic>
          </wp:anchor>
        </w:drawing>
      </w:r>
    </w:p>
    <w:p w14:paraId="4A6F5688" w14:textId="6F50B07A" w:rsidR="008E0F74" w:rsidRPr="00244BB9" w:rsidRDefault="00256F29" w:rsidP="00F92EF4">
      <w:pPr>
        <w:spacing w:before="240" w:after="240"/>
        <w:ind w:left="280"/>
        <w:rPr>
          <w:sz w:val="20"/>
          <w:szCs w:val="20"/>
        </w:rPr>
      </w:pPr>
      <w:bookmarkStart w:id="483" w:name="page496"/>
      <w:bookmarkEnd w:id="483"/>
      <w:r w:rsidRPr="00244BB9">
        <w:rPr>
          <w:rFonts w:eastAsia="Times New Roman"/>
          <w:b/>
          <w:bCs/>
          <w:szCs w:val="24"/>
        </w:rPr>
        <w:t xml:space="preserve">Graf č. </w:t>
      </w:r>
      <w:r w:rsidR="00F92EF4" w:rsidRPr="00244BB9">
        <w:rPr>
          <w:rFonts w:eastAsia="Times New Roman"/>
          <w:b/>
          <w:bCs/>
          <w:szCs w:val="24"/>
        </w:rPr>
        <w:t>3</w:t>
      </w:r>
      <w:r w:rsidRPr="00244BB9">
        <w:rPr>
          <w:rFonts w:eastAsia="Times New Roman"/>
          <w:b/>
          <w:bCs/>
          <w:szCs w:val="24"/>
        </w:rPr>
        <w:t xml:space="preserve">: </w:t>
      </w:r>
      <w:r w:rsidR="00F92EF4" w:rsidRPr="00244BB9">
        <w:rPr>
          <w:rFonts w:eastAsia="Times New Roman"/>
          <w:b/>
          <w:bCs/>
          <w:szCs w:val="24"/>
        </w:rPr>
        <w:t>Struktura příjmů státního rozpočtu roku 2019</w:t>
      </w:r>
    </w:p>
    <w:p w14:paraId="4A6F56D7" w14:textId="58F32E21" w:rsidR="00B716D0" w:rsidRPr="00244BB9" w:rsidRDefault="00B716D0" w:rsidP="00F92EF4">
      <w:pPr>
        <w:spacing w:line="20" w:lineRule="exact"/>
        <w:rPr>
          <w:rFonts w:eastAsia="Times New Roman"/>
          <w:b/>
          <w:bCs/>
          <w:szCs w:val="24"/>
          <w:highlight w:val="yellow"/>
        </w:rPr>
      </w:pPr>
    </w:p>
    <w:p w14:paraId="1927D1EA" w14:textId="4BD26A4B" w:rsidR="003C62EA" w:rsidRPr="00244BB9" w:rsidRDefault="00F92EF4" w:rsidP="00F92EF4">
      <w:pPr>
        <w:rPr>
          <w:b/>
          <w:bCs/>
        </w:rPr>
      </w:pPr>
      <w:r w:rsidRPr="00244BB9">
        <w:rPr>
          <w:noProof/>
        </w:rPr>
        <w:drawing>
          <wp:anchor distT="0" distB="0" distL="114300" distR="114300" simplePos="0" relativeHeight="251508224" behindDoc="0" locked="0" layoutInCell="1" allowOverlap="1" wp14:anchorId="3FAD1CBA" wp14:editId="5184A241">
            <wp:simplePos x="0" y="0"/>
            <wp:positionH relativeFrom="column">
              <wp:posOffset>-8639</wp:posOffset>
            </wp:positionH>
            <wp:positionV relativeFrom="paragraph">
              <wp:posOffset>381000</wp:posOffset>
            </wp:positionV>
            <wp:extent cx="5740400" cy="6233795"/>
            <wp:effectExtent l="0" t="0" r="0" b="0"/>
            <wp:wrapTopAndBottom/>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5740400" cy="6233795"/>
                    </a:xfrm>
                    <a:prstGeom prst="rect">
                      <a:avLst/>
                    </a:prstGeom>
                  </pic:spPr>
                </pic:pic>
              </a:graphicData>
            </a:graphic>
          </wp:anchor>
        </w:drawing>
      </w:r>
      <w:r w:rsidRPr="00244BB9">
        <w:rPr>
          <w:b/>
          <w:bCs/>
        </w:rPr>
        <w:t>Graf č. 4:</w:t>
      </w:r>
      <w:r w:rsidRPr="00244BB9">
        <w:t xml:space="preserve"> </w:t>
      </w:r>
      <w:r w:rsidRPr="00244BB9">
        <w:rPr>
          <w:b/>
          <w:bCs/>
        </w:rPr>
        <w:t>Vývoj celkových a vybraných daňových příjmů v letech 2014-2019 v mld. Kč</w:t>
      </w:r>
    </w:p>
    <w:p w14:paraId="6244938A" w14:textId="77777777" w:rsidR="003C62EA" w:rsidRDefault="003C62EA">
      <w:pPr>
        <w:spacing w:line="240" w:lineRule="auto"/>
        <w:jc w:val="left"/>
        <w:rPr>
          <w:b/>
          <w:bCs/>
          <w:highlight w:val="yellow"/>
        </w:rPr>
      </w:pPr>
      <w:r>
        <w:rPr>
          <w:b/>
          <w:bCs/>
          <w:highlight w:val="yellow"/>
        </w:rPr>
        <w:br w:type="page"/>
      </w:r>
    </w:p>
    <w:p w14:paraId="4A6F56E3" w14:textId="7337C3AE" w:rsidR="008E0F74" w:rsidRPr="00353E4B" w:rsidRDefault="00353E4B" w:rsidP="00F243DA">
      <w:pPr>
        <w:pStyle w:val="Nadpis3"/>
        <w:rPr>
          <w:color w:val="1F3864" w:themeColor="accent1" w:themeShade="80"/>
          <w:sz w:val="20"/>
          <w:szCs w:val="20"/>
        </w:rPr>
      </w:pPr>
      <w:bookmarkStart w:id="484" w:name="page497"/>
      <w:bookmarkEnd w:id="484"/>
      <w:r w:rsidRPr="00353E4B">
        <w:rPr>
          <w:rFonts w:eastAsia="Times New Roman"/>
          <w:color w:val="1F3864" w:themeColor="accent1" w:themeShade="80"/>
        </w:rPr>
        <w:lastRenderedPageBreak/>
        <w:t xml:space="preserve"> </w:t>
      </w:r>
      <w:r w:rsidR="00256F29" w:rsidRPr="00353E4B">
        <w:rPr>
          <w:rFonts w:eastAsia="Times New Roman"/>
          <w:color w:val="1F3864" w:themeColor="accent1" w:themeShade="80"/>
        </w:rPr>
        <w:t>Veřejné výdaje</w:t>
      </w:r>
    </w:p>
    <w:p w14:paraId="4A6F56E4" w14:textId="77777777" w:rsidR="008E0F74" w:rsidRPr="00FC3B7C" w:rsidRDefault="00256F29" w:rsidP="00F243DA">
      <w:pPr>
        <w:rPr>
          <w:sz w:val="20"/>
          <w:szCs w:val="20"/>
        </w:rPr>
      </w:pPr>
      <w:r w:rsidRPr="00FC3B7C">
        <w:rPr>
          <w:rFonts w:eastAsia="Times New Roman"/>
        </w:rPr>
        <w:t>Jsou to toky finančních prostředků, které jsou v rámci soustavy veřejných rozpočtů alokovány na uskutečňování různých fiskálních funkcí státu (vlády, regionu, města a obce), a to na principu částečné nebo plné nenávratnosti a neekvivalence. Zdrojem jejich krytí jsou veřejné příjmy, nebo dluhové financování.</w:t>
      </w:r>
    </w:p>
    <w:p w14:paraId="4A6F56E5" w14:textId="271CC620" w:rsidR="008E0F74" w:rsidRPr="00FC3B7C" w:rsidRDefault="00256F29" w:rsidP="00F243DA">
      <w:pPr>
        <w:rPr>
          <w:sz w:val="20"/>
          <w:szCs w:val="20"/>
        </w:rPr>
      </w:pPr>
      <w:r w:rsidRPr="00FC3B7C">
        <w:rPr>
          <w:rFonts w:eastAsia="Times New Roman"/>
        </w:rPr>
        <w:t xml:space="preserve">Původní účely veřejných výdajů: profinancování činností vlády a místní správy, výdaje na obranu, bezpečnost, soudnictví… </w:t>
      </w:r>
      <w:r w:rsidR="00996B5C" w:rsidRPr="00FC3B7C">
        <w:rPr>
          <w:rFonts w:eastAsia="Times New Roman"/>
        </w:rPr>
        <w:t>přibývají</w:t>
      </w:r>
      <w:r w:rsidRPr="00FC3B7C">
        <w:rPr>
          <w:rFonts w:eastAsia="Times New Roman"/>
        </w:rPr>
        <w:t xml:space="preserve"> však další účely: sociální, kulturní, vzdělávací, ekologické…</w:t>
      </w:r>
    </w:p>
    <w:p w14:paraId="4A6F56E6" w14:textId="77777777" w:rsidR="008E0F74" w:rsidRPr="00FC3B7C" w:rsidRDefault="00256F29" w:rsidP="00F243DA">
      <w:pPr>
        <w:rPr>
          <w:sz w:val="20"/>
          <w:szCs w:val="20"/>
        </w:rPr>
      </w:pPr>
      <w:r w:rsidRPr="00FC3B7C">
        <w:rPr>
          <w:rFonts w:eastAsia="Times New Roman"/>
        </w:rPr>
        <w:t xml:space="preserve">Proti tomu stojí </w:t>
      </w:r>
      <w:r w:rsidRPr="00FC3B7C">
        <w:rPr>
          <w:rFonts w:eastAsia="Times New Roman"/>
          <w:b/>
          <w:bCs/>
        </w:rPr>
        <w:t>veřejné projekty, veřejné výdajové programy</w:t>
      </w:r>
      <w:r w:rsidRPr="00FC3B7C">
        <w:rPr>
          <w:rFonts w:eastAsia="Times New Roman"/>
        </w:rPr>
        <w:t>, kde nejde jen o pohyb finančních prostředků (na rozdíl od veřejných výdajů), ale o realizaci konkrétních cílů, v jejichž důsledku vzniká specifická produkce statků a služeb. Veřejné výdaje jsou navíc vytvářeny a profinancovány během jednoho rozpočtového období, zatímco veřejné výdajové projekty a programy mají dlouhodobý charakter (až několik desetiletí).</w:t>
      </w:r>
    </w:p>
    <w:p w14:paraId="4A6F56E7" w14:textId="77777777" w:rsidR="008E0F74" w:rsidRPr="00FC3B7C" w:rsidRDefault="008E0F74">
      <w:pPr>
        <w:spacing w:line="5" w:lineRule="exact"/>
        <w:rPr>
          <w:sz w:val="20"/>
          <w:szCs w:val="20"/>
        </w:rPr>
      </w:pPr>
    </w:p>
    <w:p w14:paraId="4A6F56E8" w14:textId="77777777" w:rsidR="008E0F74" w:rsidRPr="00FC3B7C" w:rsidRDefault="00256F29" w:rsidP="00F243DA">
      <w:pPr>
        <w:rPr>
          <w:sz w:val="20"/>
          <w:szCs w:val="20"/>
        </w:rPr>
      </w:pPr>
      <w:r w:rsidRPr="00FC3B7C">
        <w:rPr>
          <w:rFonts w:eastAsia="Times New Roman"/>
          <w:b/>
          <w:bCs/>
          <w:szCs w:val="24"/>
        </w:rPr>
        <w:t>Funkce veřejných výdajů:</w:t>
      </w:r>
    </w:p>
    <w:p w14:paraId="4A6F56E9" w14:textId="77777777" w:rsidR="008E0F74" w:rsidRPr="00FC3B7C" w:rsidRDefault="00256F29" w:rsidP="00D46B53">
      <w:pPr>
        <w:numPr>
          <w:ilvl w:val="0"/>
          <w:numId w:val="626"/>
        </w:numPr>
        <w:tabs>
          <w:tab w:val="left" w:pos="1000"/>
        </w:tabs>
        <w:ind w:left="1000" w:hanging="360"/>
        <w:rPr>
          <w:rFonts w:eastAsia="Arial"/>
          <w:szCs w:val="24"/>
        </w:rPr>
      </w:pPr>
      <w:r w:rsidRPr="00FC3B7C">
        <w:rPr>
          <w:rFonts w:eastAsia="Times New Roman"/>
          <w:b/>
          <w:bCs/>
          <w:szCs w:val="24"/>
        </w:rPr>
        <w:t xml:space="preserve">alokační </w:t>
      </w:r>
      <w:r w:rsidRPr="00FC3B7C">
        <w:rPr>
          <w:rFonts w:eastAsia="Times New Roman"/>
          <w:szCs w:val="24"/>
        </w:rPr>
        <w:t>– spočívá v zabezpečování veřejných statků</w:t>
      </w:r>
    </w:p>
    <w:p w14:paraId="4A6F56EA" w14:textId="77777777" w:rsidR="008E0F74" w:rsidRPr="00FC3B7C" w:rsidRDefault="00256F29" w:rsidP="00D46B53">
      <w:pPr>
        <w:numPr>
          <w:ilvl w:val="0"/>
          <w:numId w:val="626"/>
        </w:numPr>
        <w:tabs>
          <w:tab w:val="left" w:pos="1000"/>
        </w:tabs>
        <w:ind w:left="1000" w:right="20" w:hanging="360"/>
        <w:rPr>
          <w:rFonts w:eastAsia="Arial"/>
          <w:szCs w:val="24"/>
        </w:rPr>
      </w:pPr>
      <w:r w:rsidRPr="00FC3B7C">
        <w:rPr>
          <w:rFonts w:eastAsia="Times New Roman"/>
          <w:b/>
          <w:bCs/>
          <w:szCs w:val="24"/>
        </w:rPr>
        <w:t xml:space="preserve">redistribuční </w:t>
      </w:r>
      <w:r w:rsidRPr="00FC3B7C">
        <w:rPr>
          <w:rFonts w:eastAsia="Times New Roman"/>
          <w:szCs w:val="24"/>
        </w:rPr>
        <w:t>- financování redistribučních funkcí státu; hlavními nástroji jsou</w:t>
      </w:r>
      <w:r w:rsidRPr="00FC3B7C">
        <w:rPr>
          <w:rFonts w:eastAsia="Times New Roman"/>
          <w:b/>
          <w:bCs/>
          <w:szCs w:val="24"/>
        </w:rPr>
        <w:t xml:space="preserve"> </w:t>
      </w:r>
      <w:r w:rsidRPr="00FC3B7C">
        <w:rPr>
          <w:rFonts w:eastAsia="Times New Roman"/>
          <w:szCs w:val="24"/>
        </w:rPr>
        <w:t>transfery</w:t>
      </w:r>
    </w:p>
    <w:p w14:paraId="4A6F56EB" w14:textId="77777777" w:rsidR="008E0F74" w:rsidRPr="00FC3B7C" w:rsidRDefault="00256F29" w:rsidP="00D46B53">
      <w:pPr>
        <w:numPr>
          <w:ilvl w:val="0"/>
          <w:numId w:val="626"/>
        </w:numPr>
        <w:tabs>
          <w:tab w:val="left" w:pos="1000"/>
        </w:tabs>
        <w:ind w:left="1000" w:hanging="360"/>
        <w:rPr>
          <w:rFonts w:eastAsia="Arial"/>
          <w:szCs w:val="24"/>
        </w:rPr>
      </w:pPr>
      <w:r w:rsidRPr="00FC3B7C">
        <w:rPr>
          <w:rFonts w:eastAsia="Times New Roman"/>
          <w:b/>
          <w:bCs/>
          <w:szCs w:val="24"/>
        </w:rPr>
        <w:t xml:space="preserve">stabilizační </w:t>
      </w:r>
      <w:r w:rsidRPr="00FC3B7C">
        <w:rPr>
          <w:rFonts w:eastAsia="Times New Roman"/>
          <w:szCs w:val="24"/>
        </w:rPr>
        <w:t>– financování stabilizačních a regulačních netržních</w:t>
      </w:r>
      <w:r w:rsidRPr="00FC3B7C">
        <w:rPr>
          <w:rFonts w:eastAsia="Times New Roman"/>
          <w:b/>
          <w:bCs/>
          <w:szCs w:val="24"/>
        </w:rPr>
        <w:t xml:space="preserve"> </w:t>
      </w:r>
      <w:r w:rsidRPr="00FC3B7C">
        <w:rPr>
          <w:rFonts w:eastAsia="Times New Roman"/>
          <w:szCs w:val="24"/>
        </w:rPr>
        <w:t>činností státu</w:t>
      </w:r>
    </w:p>
    <w:p w14:paraId="4A6F56EC" w14:textId="77777777" w:rsidR="008E0F74" w:rsidRPr="00FC3B7C" w:rsidRDefault="008E0F74">
      <w:pPr>
        <w:spacing w:line="376" w:lineRule="exact"/>
        <w:rPr>
          <w:sz w:val="20"/>
          <w:szCs w:val="20"/>
        </w:rPr>
      </w:pPr>
    </w:p>
    <w:p w14:paraId="4A6F56ED" w14:textId="77777777" w:rsidR="008E0F74" w:rsidRPr="00353E4B" w:rsidRDefault="00256F29" w:rsidP="00F243DA">
      <w:pPr>
        <w:pStyle w:val="Nadpis4"/>
        <w:rPr>
          <w:color w:val="1F3864" w:themeColor="accent1" w:themeShade="80"/>
          <w:sz w:val="20"/>
          <w:szCs w:val="20"/>
        </w:rPr>
      </w:pPr>
      <w:r w:rsidRPr="00353E4B">
        <w:rPr>
          <w:rFonts w:eastAsia="Times New Roman"/>
          <w:color w:val="1F3864" w:themeColor="accent1" w:themeShade="80"/>
        </w:rPr>
        <w:t>Klasifikace veřejných výdajů</w:t>
      </w:r>
    </w:p>
    <w:p w14:paraId="4A6F56EE" w14:textId="77777777" w:rsidR="008E0F74" w:rsidRPr="00FC3B7C" w:rsidRDefault="00256F29" w:rsidP="00F243DA">
      <w:pPr>
        <w:rPr>
          <w:sz w:val="20"/>
          <w:szCs w:val="20"/>
        </w:rPr>
      </w:pPr>
      <w:r w:rsidRPr="00FC3B7C">
        <w:rPr>
          <w:rFonts w:eastAsia="Times New Roman"/>
          <w:b/>
          <w:bCs/>
          <w:szCs w:val="24"/>
        </w:rPr>
        <w:t>Hledisko časové</w:t>
      </w:r>
    </w:p>
    <w:p w14:paraId="4A6F56EF" w14:textId="77777777" w:rsidR="008E0F74" w:rsidRPr="00FC3B7C" w:rsidRDefault="00256F29" w:rsidP="00D46B53">
      <w:pPr>
        <w:numPr>
          <w:ilvl w:val="0"/>
          <w:numId w:val="542"/>
        </w:numPr>
        <w:tabs>
          <w:tab w:val="left" w:pos="840"/>
        </w:tabs>
        <w:ind w:left="840" w:hanging="353"/>
        <w:rPr>
          <w:rFonts w:eastAsia="Times New Roman"/>
          <w:b/>
          <w:bCs/>
          <w:szCs w:val="24"/>
        </w:rPr>
      </w:pPr>
      <w:r w:rsidRPr="00FC3B7C">
        <w:rPr>
          <w:rFonts w:eastAsia="Times New Roman"/>
          <w:b/>
          <w:bCs/>
          <w:i/>
          <w:iCs/>
          <w:szCs w:val="24"/>
        </w:rPr>
        <w:t xml:space="preserve">Běžné </w:t>
      </w:r>
      <w:r w:rsidRPr="00FC3B7C">
        <w:rPr>
          <w:rFonts w:eastAsia="Times New Roman"/>
          <w:szCs w:val="24"/>
        </w:rPr>
        <w:t>– financování běžných, opakujících se potřeb v rozpočtovém roce</w:t>
      </w:r>
    </w:p>
    <w:p w14:paraId="4A6F56F0" w14:textId="761B09E1" w:rsidR="008E0F74" w:rsidRPr="00FC3B7C" w:rsidRDefault="00256F29" w:rsidP="00D46B53">
      <w:pPr>
        <w:numPr>
          <w:ilvl w:val="1"/>
          <w:numId w:val="542"/>
        </w:numPr>
        <w:tabs>
          <w:tab w:val="left" w:pos="1420"/>
        </w:tabs>
        <w:ind w:left="1420" w:right="20" w:hanging="366"/>
        <w:rPr>
          <w:rFonts w:eastAsia="Arial"/>
          <w:szCs w:val="24"/>
        </w:rPr>
      </w:pPr>
      <w:r w:rsidRPr="00FC3B7C">
        <w:rPr>
          <w:rFonts w:eastAsia="Times New Roman"/>
          <w:szCs w:val="24"/>
        </w:rPr>
        <w:t xml:space="preserve">velká část běžných výdajů jsou tzv. mandatorní výdaje (dané zákonem) </w:t>
      </w:r>
      <w:r w:rsidR="00F243DA">
        <w:rPr>
          <w:rFonts w:eastAsia="Times New Roman"/>
          <w:szCs w:val="24"/>
        </w:rPr>
        <w:br/>
      </w:r>
      <w:r w:rsidRPr="00FC3B7C">
        <w:rPr>
          <w:rFonts w:eastAsia="Times New Roman"/>
          <w:szCs w:val="24"/>
        </w:rPr>
        <w:t xml:space="preserve">+ kvazimandatorní </w:t>
      </w:r>
      <w:r w:rsidRPr="00456DDE">
        <w:rPr>
          <w:rFonts w:eastAsia="Times New Roman"/>
          <w:szCs w:val="24"/>
        </w:rPr>
        <w:t>výdaje</w:t>
      </w:r>
      <w:r w:rsidR="00A720D0" w:rsidRPr="00456DDE">
        <w:rPr>
          <w:rFonts w:eastAsia="Times New Roman"/>
          <w:szCs w:val="24"/>
        </w:rPr>
        <w:t xml:space="preserve"> </w:t>
      </w:r>
      <w:r w:rsidR="00A720D0" w:rsidRPr="00456DDE">
        <w:rPr>
          <w:rFonts w:eastAsia="Times New Roman"/>
          <w:i/>
          <w:iCs/>
          <w:szCs w:val="24"/>
        </w:rPr>
        <w:t xml:space="preserve">(tvoří dohromady </w:t>
      </w:r>
      <w:r w:rsidR="00456DDE" w:rsidRPr="00456DDE">
        <w:rPr>
          <w:rFonts w:eastAsia="Times New Roman"/>
          <w:i/>
          <w:iCs/>
          <w:szCs w:val="24"/>
        </w:rPr>
        <w:t xml:space="preserve">více než </w:t>
      </w:r>
      <w:r w:rsidR="00A720D0" w:rsidRPr="00456DDE">
        <w:rPr>
          <w:rFonts w:eastAsia="Times New Roman"/>
          <w:i/>
          <w:iCs/>
          <w:szCs w:val="24"/>
        </w:rPr>
        <w:t>70% výdajů)</w:t>
      </w:r>
    </w:p>
    <w:p w14:paraId="4A6F56F1" w14:textId="77777777" w:rsidR="008E0F74" w:rsidRPr="00FC3B7C" w:rsidRDefault="00256F29" w:rsidP="00D46B53">
      <w:pPr>
        <w:numPr>
          <w:ilvl w:val="1"/>
          <w:numId w:val="542"/>
        </w:numPr>
        <w:tabs>
          <w:tab w:val="left" w:pos="1420"/>
        </w:tabs>
        <w:ind w:left="1420" w:right="20" w:hanging="366"/>
        <w:rPr>
          <w:rFonts w:eastAsia="Arial"/>
          <w:szCs w:val="24"/>
        </w:rPr>
      </w:pPr>
      <w:r w:rsidRPr="00FC3B7C">
        <w:rPr>
          <w:rFonts w:eastAsia="Times New Roman"/>
          <w:szCs w:val="24"/>
        </w:rPr>
        <w:t>mandatorní výdaje v ČR – př. starobní důchody, dávky sociální podpory, … tvoří více jak 50% celkových výdajů</w:t>
      </w:r>
    </w:p>
    <w:p w14:paraId="4A6F56F2" w14:textId="77777777" w:rsidR="008E0F74" w:rsidRPr="00FC3B7C" w:rsidRDefault="00256F29" w:rsidP="00D46B53">
      <w:pPr>
        <w:numPr>
          <w:ilvl w:val="1"/>
          <w:numId w:val="542"/>
        </w:numPr>
        <w:tabs>
          <w:tab w:val="left" w:pos="1420"/>
        </w:tabs>
        <w:ind w:left="1420" w:right="20" w:hanging="366"/>
        <w:rPr>
          <w:rFonts w:eastAsia="Arial"/>
          <w:szCs w:val="24"/>
        </w:rPr>
      </w:pPr>
      <w:r w:rsidRPr="00FC3B7C">
        <w:rPr>
          <w:rFonts w:eastAsia="Times New Roman"/>
          <w:szCs w:val="24"/>
        </w:rPr>
        <w:t>patří sem: sociální dávky, platy a platy za provedenou práci, neinvestiční transfery územním rozpočtům, obsluha státního dluhu, ostatní běžné výdaje (např. dotace či provoz ministerstev)</w:t>
      </w:r>
    </w:p>
    <w:p w14:paraId="4A6F56F3" w14:textId="37EFD5D6" w:rsidR="008E0F74" w:rsidRPr="00FC3B7C" w:rsidRDefault="00256F29" w:rsidP="00D46B53">
      <w:pPr>
        <w:numPr>
          <w:ilvl w:val="0"/>
          <w:numId w:val="542"/>
        </w:numPr>
        <w:tabs>
          <w:tab w:val="left" w:pos="840"/>
        </w:tabs>
        <w:ind w:left="840" w:hanging="351"/>
        <w:rPr>
          <w:rFonts w:eastAsia="Times New Roman"/>
          <w:b/>
          <w:bCs/>
          <w:szCs w:val="24"/>
        </w:rPr>
      </w:pPr>
      <w:bookmarkStart w:id="485" w:name="page498"/>
      <w:bookmarkEnd w:id="485"/>
      <w:r w:rsidRPr="00FC3B7C">
        <w:rPr>
          <w:rFonts w:eastAsia="Times New Roman"/>
          <w:b/>
          <w:bCs/>
          <w:i/>
          <w:iCs/>
          <w:szCs w:val="24"/>
        </w:rPr>
        <w:t xml:space="preserve">Kapitálové </w:t>
      </w:r>
      <w:r w:rsidRPr="00FC3B7C">
        <w:rPr>
          <w:rFonts w:eastAsia="Times New Roman"/>
          <w:szCs w:val="24"/>
        </w:rPr>
        <w:t xml:space="preserve">– určeny k financování </w:t>
      </w:r>
      <w:r w:rsidR="00996B5C" w:rsidRPr="00FC3B7C">
        <w:rPr>
          <w:rFonts w:eastAsia="Times New Roman"/>
          <w:szCs w:val="24"/>
        </w:rPr>
        <w:t>dlouhodobých (investičních</w:t>
      </w:r>
      <w:r w:rsidRPr="00FC3B7C">
        <w:rPr>
          <w:rFonts w:eastAsia="Times New Roman"/>
          <w:szCs w:val="24"/>
        </w:rPr>
        <w:t>) potřeb</w:t>
      </w:r>
    </w:p>
    <w:p w14:paraId="4A6F56F4" w14:textId="77777777" w:rsidR="008E0F74" w:rsidRPr="00FC3B7C" w:rsidRDefault="00256F29" w:rsidP="00D46B53">
      <w:pPr>
        <w:numPr>
          <w:ilvl w:val="1"/>
          <w:numId w:val="543"/>
        </w:numPr>
        <w:tabs>
          <w:tab w:val="left" w:pos="1420"/>
        </w:tabs>
        <w:ind w:left="1420" w:hanging="366"/>
        <w:rPr>
          <w:rFonts w:eastAsia="Arial"/>
          <w:szCs w:val="24"/>
        </w:rPr>
      </w:pPr>
      <w:r w:rsidRPr="00FC3B7C">
        <w:rPr>
          <w:rFonts w:eastAsia="Times New Roman"/>
          <w:szCs w:val="24"/>
        </w:rPr>
        <w:t>zpravidla přesahují jedno rozpočtové období, většinou jsou jednorázové</w:t>
      </w:r>
    </w:p>
    <w:p w14:paraId="4A6F56F5" w14:textId="77777777" w:rsidR="00F243DA" w:rsidRDefault="00F243DA">
      <w:pPr>
        <w:rPr>
          <w:rFonts w:eastAsia="Times New Roman"/>
          <w:b/>
          <w:bCs/>
          <w:szCs w:val="24"/>
        </w:rPr>
      </w:pPr>
    </w:p>
    <w:p w14:paraId="4A6F56F6" w14:textId="77777777" w:rsidR="00F243DA" w:rsidRDefault="00F243DA">
      <w:pPr>
        <w:rPr>
          <w:rFonts w:eastAsia="Times New Roman"/>
          <w:b/>
          <w:bCs/>
          <w:szCs w:val="24"/>
        </w:rPr>
      </w:pPr>
    </w:p>
    <w:p w14:paraId="4A6F56F7" w14:textId="77777777" w:rsidR="008E0F74" w:rsidRPr="00FC3B7C" w:rsidRDefault="00256F29" w:rsidP="00F243DA">
      <w:pPr>
        <w:rPr>
          <w:sz w:val="20"/>
          <w:szCs w:val="20"/>
        </w:rPr>
      </w:pPr>
      <w:r w:rsidRPr="00FC3B7C">
        <w:rPr>
          <w:rFonts w:eastAsia="Times New Roman"/>
          <w:b/>
          <w:bCs/>
          <w:szCs w:val="24"/>
        </w:rPr>
        <w:lastRenderedPageBreak/>
        <w:t>Hledisko návratnosti</w:t>
      </w:r>
    </w:p>
    <w:p w14:paraId="4A6F56F8" w14:textId="77777777" w:rsidR="008E0F74" w:rsidRPr="00FC3B7C" w:rsidRDefault="00256F29" w:rsidP="00D46B53">
      <w:pPr>
        <w:numPr>
          <w:ilvl w:val="0"/>
          <w:numId w:val="627"/>
        </w:numPr>
        <w:tabs>
          <w:tab w:val="left" w:pos="840"/>
        </w:tabs>
        <w:ind w:left="840" w:right="80" w:hanging="353"/>
        <w:rPr>
          <w:rFonts w:eastAsia="Times New Roman"/>
          <w:b/>
          <w:bCs/>
          <w:szCs w:val="24"/>
        </w:rPr>
      </w:pPr>
      <w:r w:rsidRPr="00FC3B7C">
        <w:rPr>
          <w:rFonts w:eastAsia="Times New Roman"/>
          <w:b/>
          <w:bCs/>
          <w:i/>
          <w:iCs/>
          <w:szCs w:val="24"/>
        </w:rPr>
        <w:t xml:space="preserve">návratné </w:t>
      </w:r>
      <w:r w:rsidRPr="00FC3B7C">
        <w:rPr>
          <w:rFonts w:eastAsia="Times New Roman"/>
          <w:szCs w:val="24"/>
        </w:rPr>
        <w:t>– př. návratné půjčky mezi jednotlivými rozpočty v rámci rozpočtové</w:t>
      </w:r>
      <w:r w:rsidRPr="00FC3B7C">
        <w:rPr>
          <w:rFonts w:eastAsia="Times New Roman"/>
          <w:b/>
          <w:bCs/>
          <w:i/>
          <w:iCs/>
          <w:szCs w:val="24"/>
        </w:rPr>
        <w:t xml:space="preserve"> </w:t>
      </w:r>
      <w:r w:rsidRPr="00FC3B7C">
        <w:rPr>
          <w:rFonts w:eastAsia="Times New Roman"/>
          <w:szCs w:val="24"/>
        </w:rPr>
        <w:t>soustavy; představují menší část veřejných výdajů</w:t>
      </w:r>
    </w:p>
    <w:p w14:paraId="4A6F56F9" w14:textId="77777777" w:rsidR="008E0F74" w:rsidRPr="00FC3B7C" w:rsidRDefault="00256F29" w:rsidP="00D46B53">
      <w:pPr>
        <w:numPr>
          <w:ilvl w:val="0"/>
          <w:numId w:val="627"/>
        </w:numPr>
        <w:tabs>
          <w:tab w:val="left" w:pos="840"/>
        </w:tabs>
        <w:ind w:left="840" w:hanging="353"/>
        <w:rPr>
          <w:rFonts w:eastAsia="Times New Roman"/>
          <w:b/>
          <w:bCs/>
          <w:szCs w:val="24"/>
        </w:rPr>
      </w:pPr>
      <w:r w:rsidRPr="00FC3B7C">
        <w:rPr>
          <w:rFonts w:eastAsia="Times New Roman"/>
          <w:b/>
          <w:bCs/>
          <w:i/>
          <w:iCs/>
          <w:szCs w:val="24"/>
        </w:rPr>
        <w:t xml:space="preserve">nenávratné </w:t>
      </w:r>
      <w:r w:rsidRPr="00FC3B7C">
        <w:rPr>
          <w:rFonts w:eastAsia="Times New Roman"/>
          <w:szCs w:val="24"/>
        </w:rPr>
        <w:t>– rozhodující</w:t>
      </w:r>
      <w:r w:rsidRPr="00FC3B7C">
        <w:rPr>
          <w:rFonts w:eastAsia="Times New Roman"/>
          <w:b/>
          <w:bCs/>
          <w:i/>
          <w:iCs/>
          <w:szCs w:val="24"/>
        </w:rPr>
        <w:t xml:space="preserve"> </w:t>
      </w:r>
      <w:r w:rsidRPr="00FC3B7C">
        <w:rPr>
          <w:rFonts w:eastAsia="Times New Roman"/>
          <w:szCs w:val="24"/>
        </w:rPr>
        <w:t>část</w:t>
      </w:r>
    </w:p>
    <w:p w14:paraId="4A6F56FA" w14:textId="77777777" w:rsidR="008E0F74" w:rsidRPr="00FC3B7C" w:rsidRDefault="00256F29" w:rsidP="00F243DA">
      <w:pPr>
        <w:rPr>
          <w:sz w:val="20"/>
          <w:szCs w:val="20"/>
        </w:rPr>
      </w:pPr>
      <w:r w:rsidRPr="00FC3B7C">
        <w:rPr>
          <w:rFonts w:eastAsia="Times New Roman"/>
          <w:b/>
          <w:bCs/>
          <w:szCs w:val="24"/>
        </w:rPr>
        <w:t>Hledisko místa, odkud jsou vynakládány</w:t>
      </w:r>
    </w:p>
    <w:p w14:paraId="4A6F56FB" w14:textId="77777777" w:rsidR="008E0F74" w:rsidRPr="00FC3B7C" w:rsidRDefault="00256F29" w:rsidP="00D46B53">
      <w:pPr>
        <w:numPr>
          <w:ilvl w:val="0"/>
          <w:numId w:val="628"/>
        </w:numPr>
        <w:tabs>
          <w:tab w:val="left" w:pos="820"/>
        </w:tabs>
        <w:ind w:left="820" w:hanging="333"/>
        <w:rPr>
          <w:rFonts w:eastAsia="Times New Roman"/>
          <w:b/>
          <w:bCs/>
          <w:szCs w:val="24"/>
        </w:rPr>
      </w:pPr>
      <w:r w:rsidRPr="00FC3B7C">
        <w:rPr>
          <w:rFonts w:eastAsia="Times New Roman"/>
          <w:b/>
          <w:bCs/>
          <w:i/>
          <w:iCs/>
          <w:szCs w:val="24"/>
        </w:rPr>
        <w:t xml:space="preserve">výdaje z veřejných rozpočtů </w:t>
      </w:r>
      <w:r w:rsidRPr="00FC3B7C">
        <w:rPr>
          <w:rFonts w:eastAsia="Times New Roman"/>
          <w:szCs w:val="24"/>
        </w:rPr>
        <w:t>– rozhodující</w:t>
      </w:r>
      <w:r w:rsidRPr="00FC3B7C">
        <w:rPr>
          <w:rFonts w:eastAsia="Times New Roman"/>
          <w:b/>
          <w:bCs/>
          <w:i/>
          <w:iCs/>
          <w:szCs w:val="24"/>
        </w:rPr>
        <w:t xml:space="preserve"> </w:t>
      </w:r>
      <w:r w:rsidRPr="00FC3B7C">
        <w:rPr>
          <w:rFonts w:eastAsia="Times New Roman"/>
          <w:szCs w:val="24"/>
        </w:rPr>
        <w:t>část</w:t>
      </w:r>
    </w:p>
    <w:p w14:paraId="4A6F56FC" w14:textId="77777777" w:rsidR="008E0F74" w:rsidRPr="00FC3B7C" w:rsidRDefault="00256F29" w:rsidP="00D46B53">
      <w:pPr>
        <w:numPr>
          <w:ilvl w:val="0"/>
          <w:numId w:val="628"/>
        </w:numPr>
        <w:tabs>
          <w:tab w:val="left" w:pos="840"/>
        </w:tabs>
        <w:ind w:left="840" w:hanging="353"/>
        <w:rPr>
          <w:rFonts w:eastAsia="Times New Roman"/>
          <w:b/>
          <w:bCs/>
          <w:szCs w:val="24"/>
        </w:rPr>
      </w:pPr>
      <w:r w:rsidRPr="00FC3B7C">
        <w:rPr>
          <w:rFonts w:eastAsia="Times New Roman"/>
          <w:b/>
          <w:bCs/>
          <w:i/>
          <w:iCs/>
          <w:szCs w:val="24"/>
        </w:rPr>
        <w:t xml:space="preserve">výdaje z mimorozpočtových </w:t>
      </w:r>
      <w:r w:rsidRPr="00FC3B7C">
        <w:rPr>
          <w:rFonts w:eastAsia="Times New Roman"/>
          <w:i/>
          <w:iCs/>
          <w:szCs w:val="24"/>
        </w:rPr>
        <w:t>(parafiskálních)</w:t>
      </w:r>
      <w:r w:rsidRPr="00FC3B7C">
        <w:rPr>
          <w:rFonts w:eastAsia="Times New Roman"/>
          <w:b/>
          <w:bCs/>
          <w:i/>
          <w:iCs/>
          <w:szCs w:val="24"/>
        </w:rPr>
        <w:t xml:space="preserve"> fondů</w:t>
      </w:r>
    </w:p>
    <w:p w14:paraId="4A6F56FD" w14:textId="77777777" w:rsidR="008E0F74" w:rsidRPr="00FC3B7C" w:rsidRDefault="00256F29" w:rsidP="00F243DA">
      <w:pPr>
        <w:rPr>
          <w:sz w:val="20"/>
          <w:szCs w:val="20"/>
        </w:rPr>
      </w:pPr>
      <w:r w:rsidRPr="00FC3B7C">
        <w:rPr>
          <w:rFonts w:eastAsia="Times New Roman"/>
          <w:b/>
          <w:bCs/>
          <w:szCs w:val="24"/>
        </w:rPr>
        <w:t>Hledisko plánovanosti výdajů</w:t>
      </w:r>
    </w:p>
    <w:p w14:paraId="4A6F56FE" w14:textId="77777777" w:rsidR="008E0F74" w:rsidRPr="00FC3B7C" w:rsidRDefault="00256F29" w:rsidP="00D46B53">
      <w:pPr>
        <w:numPr>
          <w:ilvl w:val="0"/>
          <w:numId w:val="629"/>
        </w:numPr>
        <w:tabs>
          <w:tab w:val="left" w:pos="840"/>
        </w:tabs>
        <w:ind w:left="840" w:hanging="353"/>
        <w:rPr>
          <w:rFonts w:eastAsia="Times New Roman"/>
          <w:b/>
          <w:bCs/>
          <w:szCs w:val="24"/>
        </w:rPr>
      </w:pPr>
      <w:r w:rsidRPr="00FC3B7C">
        <w:rPr>
          <w:rFonts w:eastAsia="Times New Roman"/>
          <w:b/>
          <w:bCs/>
          <w:i/>
          <w:iCs/>
          <w:szCs w:val="24"/>
        </w:rPr>
        <w:t xml:space="preserve">plánovatelné </w:t>
      </w:r>
      <w:r w:rsidRPr="00FC3B7C">
        <w:rPr>
          <w:rFonts w:eastAsia="Times New Roman"/>
          <w:szCs w:val="24"/>
        </w:rPr>
        <w:t>– lze je předem odhadnout (naplánovat); hlavně</w:t>
      </w:r>
      <w:r w:rsidRPr="00FC3B7C">
        <w:rPr>
          <w:rFonts w:eastAsia="Times New Roman"/>
          <w:b/>
          <w:bCs/>
          <w:i/>
          <w:iCs/>
          <w:szCs w:val="24"/>
        </w:rPr>
        <w:t xml:space="preserve"> </w:t>
      </w:r>
      <w:r w:rsidRPr="00FC3B7C">
        <w:rPr>
          <w:rFonts w:eastAsia="Times New Roman"/>
          <w:szCs w:val="24"/>
        </w:rPr>
        <w:t xml:space="preserve">mandatorní </w:t>
      </w:r>
      <w:r w:rsidR="00F243DA">
        <w:rPr>
          <w:rFonts w:eastAsia="Times New Roman"/>
          <w:szCs w:val="24"/>
        </w:rPr>
        <w:br/>
      </w:r>
      <w:r w:rsidRPr="00FC3B7C">
        <w:rPr>
          <w:rFonts w:eastAsia="Times New Roman"/>
          <w:szCs w:val="24"/>
        </w:rPr>
        <w:t>a</w:t>
      </w:r>
      <w:r w:rsidRPr="00FC3B7C">
        <w:rPr>
          <w:rFonts w:eastAsia="Times New Roman"/>
          <w:b/>
          <w:bCs/>
          <w:i/>
          <w:iCs/>
          <w:szCs w:val="24"/>
        </w:rPr>
        <w:t xml:space="preserve"> </w:t>
      </w:r>
      <w:r w:rsidRPr="00FC3B7C">
        <w:rPr>
          <w:rFonts w:eastAsia="Times New Roman"/>
          <w:szCs w:val="24"/>
        </w:rPr>
        <w:t>kvazimandatorní výdaje</w:t>
      </w:r>
    </w:p>
    <w:p w14:paraId="4A6F56FF" w14:textId="77777777" w:rsidR="008E0F74" w:rsidRPr="00FC3B7C" w:rsidRDefault="00256F29" w:rsidP="00D46B53">
      <w:pPr>
        <w:numPr>
          <w:ilvl w:val="0"/>
          <w:numId w:val="629"/>
        </w:numPr>
        <w:tabs>
          <w:tab w:val="left" w:pos="840"/>
        </w:tabs>
        <w:ind w:left="840" w:hanging="353"/>
        <w:rPr>
          <w:rFonts w:eastAsia="Times New Roman"/>
          <w:b/>
          <w:bCs/>
          <w:szCs w:val="24"/>
        </w:rPr>
      </w:pPr>
      <w:r w:rsidRPr="00FC3B7C">
        <w:rPr>
          <w:rFonts w:eastAsia="Times New Roman"/>
          <w:b/>
          <w:bCs/>
          <w:i/>
          <w:iCs/>
          <w:szCs w:val="24"/>
        </w:rPr>
        <w:t xml:space="preserve">neplánovatelné </w:t>
      </w:r>
      <w:r w:rsidRPr="00FC3B7C">
        <w:rPr>
          <w:rFonts w:eastAsia="Times New Roman"/>
          <w:szCs w:val="24"/>
        </w:rPr>
        <w:t>– výdaje nahodilé – př. výdaje na odstraňování následků živelných</w:t>
      </w:r>
      <w:r w:rsidRPr="00FC3B7C">
        <w:rPr>
          <w:rFonts w:eastAsia="Times New Roman"/>
          <w:b/>
          <w:bCs/>
          <w:i/>
          <w:iCs/>
          <w:szCs w:val="24"/>
        </w:rPr>
        <w:t xml:space="preserve"> </w:t>
      </w:r>
      <w:r w:rsidRPr="00FC3B7C">
        <w:rPr>
          <w:rFonts w:eastAsia="Times New Roman"/>
          <w:szCs w:val="24"/>
        </w:rPr>
        <w:t>katastrof</w:t>
      </w:r>
    </w:p>
    <w:p w14:paraId="4A6F5700" w14:textId="77777777" w:rsidR="008E0F74" w:rsidRPr="00FC3B7C" w:rsidRDefault="00256F29" w:rsidP="00F243DA">
      <w:pPr>
        <w:ind w:right="80"/>
        <w:rPr>
          <w:sz w:val="20"/>
          <w:szCs w:val="20"/>
        </w:rPr>
      </w:pPr>
      <w:r w:rsidRPr="00FC3B7C">
        <w:rPr>
          <w:rFonts w:eastAsia="Times New Roman"/>
          <w:szCs w:val="24"/>
        </w:rPr>
        <w:t>Aby bylo možné je profinancovat, v každém veřejném rozpočtu je stanovena povinná rezerva (ve státním rozpočtu je stanovena ve výši 0,3% výdajů).</w:t>
      </w:r>
    </w:p>
    <w:p w14:paraId="4A6F5701" w14:textId="77777777" w:rsidR="008E0F74" w:rsidRPr="00FC3B7C" w:rsidRDefault="008E0F74">
      <w:pPr>
        <w:spacing w:line="163" w:lineRule="exact"/>
        <w:rPr>
          <w:sz w:val="20"/>
          <w:szCs w:val="20"/>
        </w:rPr>
      </w:pPr>
    </w:p>
    <w:p w14:paraId="4A6F5702" w14:textId="77777777" w:rsidR="008E0F74" w:rsidRPr="00353E4B" w:rsidRDefault="00256F29" w:rsidP="00597735">
      <w:pPr>
        <w:pStyle w:val="Nadpis4"/>
        <w:rPr>
          <w:color w:val="1F3864" w:themeColor="accent1" w:themeShade="80"/>
          <w:sz w:val="20"/>
          <w:szCs w:val="20"/>
        </w:rPr>
      </w:pPr>
      <w:r w:rsidRPr="00353E4B">
        <w:rPr>
          <w:rFonts w:eastAsia="Times New Roman"/>
          <w:color w:val="1F3864" w:themeColor="accent1" w:themeShade="80"/>
        </w:rPr>
        <w:t>Veřejné výdaje a jejich vztah k agregátní poptávce</w:t>
      </w:r>
    </w:p>
    <w:p w14:paraId="4A6F5703" w14:textId="77777777" w:rsidR="008E0F74" w:rsidRPr="00FC3B7C" w:rsidRDefault="00256F29" w:rsidP="00597735">
      <w:pPr>
        <w:rPr>
          <w:sz w:val="20"/>
          <w:szCs w:val="20"/>
        </w:rPr>
      </w:pPr>
      <w:r w:rsidRPr="00FC3B7C">
        <w:rPr>
          <w:rFonts w:eastAsia="Times New Roman"/>
          <w:b/>
          <w:bCs/>
          <w:szCs w:val="24"/>
        </w:rPr>
        <w:t>V = G + Tr</w:t>
      </w:r>
    </w:p>
    <w:p w14:paraId="4A6F5704" w14:textId="77777777" w:rsidR="008E0F74" w:rsidRPr="00FC3B7C" w:rsidRDefault="00256F29" w:rsidP="00597735">
      <w:pPr>
        <w:rPr>
          <w:sz w:val="20"/>
          <w:szCs w:val="20"/>
        </w:rPr>
      </w:pPr>
      <w:r w:rsidRPr="00FC3B7C">
        <w:rPr>
          <w:rFonts w:eastAsia="Times New Roman"/>
          <w:szCs w:val="24"/>
        </w:rPr>
        <w:t>V…veřejné výdaje; G…vládní výdaje; Tr…transfery</w:t>
      </w:r>
    </w:p>
    <w:p w14:paraId="4A6F5705" w14:textId="77777777" w:rsidR="008E0F74" w:rsidRPr="00FC3B7C" w:rsidRDefault="00256F29" w:rsidP="00597735">
      <w:pPr>
        <w:rPr>
          <w:sz w:val="20"/>
          <w:szCs w:val="20"/>
        </w:rPr>
      </w:pPr>
      <w:r w:rsidRPr="00FC3B7C">
        <w:rPr>
          <w:rFonts w:eastAsia="Times New Roman"/>
          <w:b/>
          <w:bCs/>
          <w:szCs w:val="24"/>
        </w:rPr>
        <w:t>V = (Gc + Gi) + Tr</w:t>
      </w:r>
    </w:p>
    <w:p w14:paraId="4A6F5706" w14:textId="77777777" w:rsidR="008E0F74" w:rsidRPr="00FC3B7C" w:rsidRDefault="00256F29" w:rsidP="00597735">
      <w:pPr>
        <w:ind w:right="80"/>
        <w:rPr>
          <w:sz w:val="20"/>
          <w:szCs w:val="20"/>
        </w:rPr>
      </w:pPr>
      <w:r w:rsidRPr="00FC3B7C">
        <w:rPr>
          <w:rFonts w:eastAsia="Times New Roman"/>
          <w:szCs w:val="24"/>
        </w:rPr>
        <w:t xml:space="preserve">Vládní výdaje se podle účelu užití rozdělují na vládní výdaje </w:t>
      </w:r>
      <w:r w:rsidRPr="00FC3B7C">
        <w:rPr>
          <w:rFonts w:eastAsia="Times New Roman"/>
          <w:b/>
          <w:bCs/>
          <w:szCs w:val="24"/>
        </w:rPr>
        <w:t>spotřebního charakteru</w:t>
      </w:r>
      <w:r w:rsidRPr="00FC3B7C">
        <w:rPr>
          <w:rFonts w:eastAsia="Times New Roman"/>
          <w:szCs w:val="24"/>
        </w:rPr>
        <w:t xml:space="preserve"> </w:t>
      </w:r>
      <w:r w:rsidRPr="00FC3B7C">
        <w:rPr>
          <w:rFonts w:eastAsia="Times New Roman"/>
          <w:b/>
          <w:bCs/>
          <w:szCs w:val="24"/>
        </w:rPr>
        <w:t xml:space="preserve">(Gc) </w:t>
      </w:r>
      <w:r w:rsidRPr="00FC3B7C">
        <w:rPr>
          <w:rFonts w:eastAsia="Times New Roman"/>
          <w:szCs w:val="24"/>
        </w:rPr>
        <w:t>a vládní výdaje</w:t>
      </w:r>
      <w:r w:rsidRPr="00FC3B7C">
        <w:rPr>
          <w:rFonts w:eastAsia="Times New Roman"/>
          <w:b/>
          <w:bCs/>
          <w:szCs w:val="24"/>
        </w:rPr>
        <w:t xml:space="preserve"> investičního charakteru (Gi) </w:t>
      </w:r>
      <w:r w:rsidRPr="00FC3B7C">
        <w:rPr>
          <w:rFonts w:eastAsia="Times New Roman"/>
          <w:szCs w:val="24"/>
        </w:rPr>
        <w:t>– vládní výdaje obsahují prostředky</w:t>
      </w:r>
      <w:r w:rsidRPr="00FC3B7C">
        <w:rPr>
          <w:rFonts w:eastAsia="Times New Roman"/>
          <w:b/>
          <w:bCs/>
          <w:szCs w:val="24"/>
        </w:rPr>
        <w:t xml:space="preserve"> </w:t>
      </w:r>
      <w:r w:rsidRPr="00FC3B7C">
        <w:rPr>
          <w:rFonts w:eastAsia="Times New Roman"/>
          <w:szCs w:val="24"/>
        </w:rPr>
        <w:t xml:space="preserve">sloužící </w:t>
      </w:r>
      <w:r w:rsidR="00597735">
        <w:rPr>
          <w:rFonts w:eastAsia="Times New Roman"/>
          <w:szCs w:val="24"/>
        </w:rPr>
        <w:br/>
      </w:r>
      <w:r w:rsidRPr="00FC3B7C">
        <w:rPr>
          <w:rFonts w:eastAsia="Times New Roman"/>
          <w:szCs w:val="24"/>
        </w:rPr>
        <w:t>k financování institucí a k financování projektů nebo programů.</w:t>
      </w:r>
    </w:p>
    <w:p w14:paraId="4A6F5707" w14:textId="77777777" w:rsidR="008E0F74" w:rsidRPr="00FC3B7C" w:rsidRDefault="00256F29" w:rsidP="00597735">
      <w:pPr>
        <w:ind w:right="80"/>
        <w:rPr>
          <w:sz w:val="20"/>
          <w:szCs w:val="20"/>
        </w:rPr>
      </w:pPr>
      <w:r w:rsidRPr="00FC3B7C">
        <w:rPr>
          <w:rFonts w:eastAsia="Times New Roman"/>
          <w:szCs w:val="24"/>
        </w:rPr>
        <w:t>Transferové platby jsou specifické veřejné výdaje; princip neekvivalence (jsou poskytovány s určitým cílem různým subjektům, ale nevzniká žádné protiplnění). Ovlivňují motivaci příjemců k většímu nebo menšímu pracovnímu a investičnímu úsilí.</w:t>
      </w:r>
    </w:p>
    <w:p w14:paraId="4A6F5708" w14:textId="77777777" w:rsidR="008E0F74" w:rsidRDefault="00256F29" w:rsidP="00597735">
      <w:pPr>
        <w:ind w:right="80"/>
        <w:rPr>
          <w:rFonts w:eastAsia="Times New Roman"/>
          <w:szCs w:val="24"/>
        </w:rPr>
      </w:pPr>
      <w:r w:rsidRPr="00FC3B7C">
        <w:rPr>
          <w:rFonts w:eastAsia="Times New Roman"/>
          <w:szCs w:val="24"/>
        </w:rPr>
        <w:t>Vládní výdaje mohou působit jako multiplikátor a stimulovat ekonomický růst, ale záleží na tom, na jaký účel budou použity (zda na spotřebu nebo na investice).</w:t>
      </w:r>
    </w:p>
    <w:p w14:paraId="4A6F5709" w14:textId="77777777" w:rsidR="00597735" w:rsidRPr="00FC3B7C" w:rsidRDefault="00597735" w:rsidP="00597735">
      <w:pPr>
        <w:ind w:right="80"/>
        <w:rPr>
          <w:sz w:val="20"/>
          <w:szCs w:val="20"/>
        </w:rPr>
      </w:pPr>
    </w:p>
    <w:p w14:paraId="4A6F570A" w14:textId="77777777" w:rsidR="008E0F74" w:rsidRPr="00353E4B" w:rsidRDefault="00256F29" w:rsidP="00597735">
      <w:pPr>
        <w:pStyle w:val="Nadpis4"/>
        <w:rPr>
          <w:color w:val="1F3864" w:themeColor="accent1" w:themeShade="80"/>
          <w:sz w:val="20"/>
          <w:szCs w:val="20"/>
        </w:rPr>
      </w:pPr>
      <w:bookmarkStart w:id="486" w:name="page499"/>
      <w:bookmarkEnd w:id="486"/>
      <w:r w:rsidRPr="00353E4B">
        <w:rPr>
          <w:color w:val="1F3864" w:themeColor="accent1" w:themeShade="80"/>
          <w:sz w:val="20"/>
          <w:szCs w:val="20"/>
        </w:rPr>
        <w:tab/>
      </w:r>
      <w:r w:rsidRPr="00353E4B">
        <w:rPr>
          <w:rFonts w:eastAsia="Times New Roman"/>
          <w:color w:val="1F3864" w:themeColor="accent1" w:themeShade="80"/>
        </w:rPr>
        <w:t>Faktory ovlivňující objem a strukturu veřejných výdajů</w:t>
      </w:r>
    </w:p>
    <w:p w14:paraId="4A6F570B" w14:textId="77777777" w:rsidR="008E0F74" w:rsidRPr="00FC3B7C" w:rsidRDefault="00256F29">
      <w:pPr>
        <w:rPr>
          <w:sz w:val="20"/>
          <w:szCs w:val="20"/>
        </w:rPr>
      </w:pPr>
      <w:r w:rsidRPr="00FC3B7C">
        <w:rPr>
          <w:rFonts w:eastAsia="Times New Roman"/>
          <w:b/>
          <w:bCs/>
          <w:szCs w:val="24"/>
        </w:rPr>
        <w:t>Faktory demografické:</w:t>
      </w:r>
    </w:p>
    <w:p w14:paraId="4A6F570C" w14:textId="77777777" w:rsidR="008E0F74" w:rsidRDefault="00256F29" w:rsidP="00597735">
      <w:pPr>
        <w:rPr>
          <w:rFonts w:eastAsia="Times New Roman"/>
        </w:rPr>
      </w:pPr>
      <w:r w:rsidRPr="00FC3B7C">
        <w:rPr>
          <w:rFonts w:eastAsia="Times New Roman"/>
        </w:rPr>
        <w:t>Nejdůležitější. Patří sem například růst (případně pokles) absolutního počtu obyvatelstva, věková struktura obyvatelstva (rozdělení na předproduktivní, produktivní, poproduktivní věk). Ovlivňují výdaje v odvětvích veřejného sektoru (hlavně zdravotnictví, školství, sociální služby) a objem transferů.</w:t>
      </w:r>
    </w:p>
    <w:p w14:paraId="4A6F570D" w14:textId="77777777" w:rsidR="008E0F74" w:rsidRPr="00FC3B7C" w:rsidRDefault="008E0F74">
      <w:pPr>
        <w:spacing w:line="3" w:lineRule="exact"/>
        <w:rPr>
          <w:sz w:val="20"/>
          <w:szCs w:val="20"/>
        </w:rPr>
      </w:pPr>
    </w:p>
    <w:p w14:paraId="4A6F570E" w14:textId="3E2ADE63" w:rsidR="008E0F74" w:rsidRPr="00FC3B7C" w:rsidRDefault="00256F29" w:rsidP="00597735">
      <w:pPr>
        <w:rPr>
          <w:sz w:val="20"/>
          <w:szCs w:val="20"/>
        </w:rPr>
      </w:pPr>
      <w:r w:rsidRPr="00FC3B7C">
        <w:rPr>
          <w:rFonts w:eastAsia="Times New Roman"/>
          <w:b/>
          <w:bCs/>
          <w:szCs w:val="24"/>
        </w:rPr>
        <w:lastRenderedPageBreak/>
        <w:t>Faktory geografické:</w:t>
      </w:r>
    </w:p>
    <w:p w14:paraId="4A6F570F" w14:textId="54DCAF90" w:rsidR="008E0F74" w:rsidRDefault="00256F29" w:rsidP="00597735">
      <w:pPr>
        <w:ind w:right="20"/>
        <w:rPr>
          <w:rFonts w:eastAsia="Times New Roman"/>
          <w:szCs w:val="24"/>
        </w:rPr>
      </w:pPr>
      <w:r w:rsidRPr="00FC3B7C">
        <w:rPr>
          <w:rFonts w:eastAsia="Times New Roman"/>
          <w:szCs w:val="24"/>
        </w:rPr>
        <w:t xml:space="preserve">S tím souvisí povodně, zemětřesení, aj. </w:t>
      </w:r>
      <w:r w:rsidRPr="00FC3B7C">
        <w:rPr>
          <w:rFonts w:eastAsia="Times New Roman"/>
          <w:b/>
          <w:bCs/>
          <w:szCs w:val="24"/>
        </w:rPr>
        <w:t>Teorie prahových efektů</w:t>
      </w:r>
      <w:r w:rsidRPr="00FC3B7C">
        <w:rPr>
          <w:rFonts w:eastAsia="Times New Roman"/>
          <w:szCs w:val="24"/>
        </w:rPr>
        <w:t xml:space="preserve"> – v nepříznivém období (př. povodně) jsou obyvatelé (daňoví poplatníci) ochotni přijmout vyšší daňovou zátěž, aby z toho mohla být uhrazena vyšší potřeba veřejných výdajů – po skončení nepříznivé situace se však objem veřejných výdajů nesníží na původní úroveň.</w:t>
      </w:r>
    </w:p>
    <w:p w14:paraId="4A6F5710" w14:textId="7419924A" w:rsidR="00597735" w:rsidRDefault="00597735" w:rsidP="00597735">
      <w:pPr>
        <w:rPr>
          <w:rFonts w:eastAsia="Times New Roman"/>
          <w:b/>
          <w:bCs/>
          <w:szCs w:val="24"/>
        </w:rPr>
      </w:pPr>
    </w:p>
    <w:p w14:paraId="4A6F5711" w14:textId="77777777" w:rsidR="008E0F74" w:rsidRPr="00FC3B7C" w:rsidRDefault="00256F29" w:rsidP="00597735">
      <w:pPr>
        <w:rPr>
          <w:sz w:val="20"/>
          <w:szCs w:val="20"/>
        </w:rPr>
      </w:pPr>
      <w:r w:rsidRPr="00FC3B7C">
        <w:rPr>
          <w:rFonts w:eastAsia="Times New Roman"/>
          <w:b/>
          <w:bCs/>
          <w:szCs w:val="24"/>
        </w:rPr>
        <w:t>Faktory politické:</w:t>
      </w:r>
    </w:p>
    <w:p w14:paraId="4A6F5712" w14:textId="2E4EA00A" w:rsidR="008E0F74" w:rsidRPr="00FC3B7C" w:rsidRDefault="00256F29" w:rsidP="00597735">
      <w:pPr>
        <w:ind w:right="60"/>
        <w:rPr>
          <w:sz w:val="20"/>
          <w:szCs w:val="20"/>
        </w:rPr>
      </w:pPr>
      <w:r w:rsidRPr="00FC3B7C">
        <w:rPr>
          <w:rFonts w:eastAsia="Times New Roman"/>
          <w:b/>
          <w:bCs/>
          <w:szCs w:val="24"/>
        </w:rPr>
        <w:t xml:space="preserve">Demonstrační efekt </w:t>
      </w:r>
      <w:r w:rsidRPr="00FC3B7C">
        <w:rPr>
          <w:rFonts w:eastAsia="Times New Roman"/>
          <w:szCs w:val="24"/>
        </w:rPr>
        <w:t>– lidé srovnávají svoji</w:t>
      </w:r>
      <w:r w:rsidRPr="00FC3B7C">
        <w:rPr>
          <w:rFonts w:eastAsia="Times New Roman"/>
          <w:b/>
          <w:bCs/>
          <w:szCs w:val="24"/>
        </w:rPr>
        <w:t xml:space="preserve"> </w:t>
      </w:r>
      <w:r w:rsidRPr="00FC3B7C">
        <w:rPr>
          <w:rFonts w:eastAsia="Times New Roman"/>
          <w:szCs w:val="24"/>
        </w:rPr>
        <w:t>životní úroveň</w:t>
      </w:r>
      <w:r w:rsidRPr="00FC3B7C">
        <w:rPr>
          <w:rFonts w:eastAsia="Times New Roman"/>
          <w:b/>
          <w:bCs/>
          <w:szCs w:val="24"/>
        </w:rPr>
        <w:t xml:space="preserve"> </w:t>
      </w:r>
      <w:r w:rsidRPr="00FC3B7C">
        <w:rPr>
          <w:rFonts w:eastAsia="Times New Roman"/>
          <w:szCs w:val="24"/>
        </w:rPr>
        <w:t>se zahraničím a potom vyvíjejí tlak</w:t>
      </w:r>
      <w:r w:rsidRPr="00FC3B7C">
        <w:rPr>
          <w:rFonts w:eastAsia="Times New Roman"/>
          <w:b/>
          <w:bCs/>
          <w:szCs w:val="24"/>
        </w:rPr>
        <w:t xml:space="preserve"> </w:t>
      </w:r>
      <w:r w:rsidRPr="00FC3B7C">
        <w:rPr>
          <w:rFonts w:eastAsia="Times New Roman"/>
          <w:szCs w:val="24"/>
        </w:rPr>
        <w:t>na vládu a místní autority, aby poskytovaly veřejné služby v určité struktuře a kvalitě. Zároveň i samy vlády se snaží z vlastní iniciativy zvyšovat veřejné výdaje.</w:t>
      </w:r>
    </w:p>
    <w:p w14:paraId="4A6F5713" w14:textId="77777777" w:rsidR="008E0F74" w:rsidRPr="00FC3B7C" w:rsidRDefault="008E0F74" w:rsidP="00597735">
      <w:pPr>
        <w:rPr>
          <w:sz w:val="20"/>
          <w:szCs w:val="20"/>
        </w:rPr>
      </w:pPr>
    </w:p>
    <w:p w14:paraId="4A6F5714" w14:textId="77777777" w:rsidR="008E0F74" w:rsidRPr="00FC3B7C" w:rsidRDefault="00256F29" w:rsidP="00597735">
      <w:pPr>
        <w:rPr>
          <w:sz w:val="20"/>
          <w:szCs w:val="20"/>
        </w:rPr>
      </w:pPr>
      <w:r w:rsidRPr="00FC3B7C">
        <w:rPr>
          <w:rFonts w:eastAsia="Times New Roman"/>
          <w:b/>
          <w:bCs/>
          <w:szCs w:val="24"/>
        </w:rPr>
        <w:t>Inflační vlivy:</w:t>
      </w:r>
    </w:p>
    <w:p w14:paraId="4A6F5715" w14:textId="5C0F5C47" w:rsidR="008E0F74" w:rsidRDefault="00256F29" w:rsidP="00597735">
      <w:pPr>
        <w:ind w:right="60"/>
        <w:rPr>
          <w:rFonts w:eastAsia="Times New Roman"/>
          <w:szCs w:val="24"/>
        </w:rPr>
      </w:pPr>
      <w:r w:rsidRPr="00FC3B7C">
        <w:rPr>
          <w:rFonts w:eastAsia="Times New Roman"/>
          <w:szCs w:val="24"/>
        </w:rPr>
        <w:t>Veřejný sektor produkuje statky a služby specifického charakteru, tzn. s vysokým podílem živé práce (která nemůže být substituována technikou). Tlak zaměstnanců veřejného sektoru na růst mezd je stejný jako tlak v soukromém sektoru, ale bez odpovídajícího vzrůstu produktivity práce.</w:t>
      </w:r>
    </w:p>
    <w:p w14:paraId="4A6F5716" w14:textId="2BEF0CFC" w:rsidR="00597735" w:rsidRPr="00FC3B7C" w:rsidRDefault="00597735" w:rsidP="00597735">
      <w:pPr>
        <w:ind w:right="60"/>
        <w:rPr>
          <w:sz w:val="20"/>
          <w:szCs w:val="20"/>
        </w:rPr>
      </w:pPr>
    </w:p>
    <w:p w14:paraId="4A6F5717" w14:textId="07260A16" w:rsidR="008E0F74" w:rsidRPr="00FC3B7C" w:rsidRDefault="00256F29" w:rsidP="00597735">
      <w:pPr>
        <w:rPr>
          <w:sz w:val="20"/>
          <w:szCs w:val="20"/>
        </w:rPr>
      </w:pPr>
      <w:r w:rsidRPr="00FC3B7C">
        <w:rPr>
          <w:rFonts w:eastAsia="Times New Roman"/>
          <w:b/>
          <w:bCs/>
          <w:szCs w:val="24"/>
        </w:rPr>
        <w:t>Technicko-</w:t>
      </w:r>
      <w:r w:rsidR="00996B5C" w:rsidRPr="00FC3B7C">
        <w:rPr>
          <w:rFonts w:eastAsia="Times New Roman"/>
          <w:b/>
          <w:bCs/>
          <w:szCs w:val="24"/>
        </w:rPr>
        <w:t>technologické faktory</w:t>
      </w:r>
      <w:r w:rsidRPr="00FC3B7C">
        <w:rPr>
          <w:rFonts w:eastAsia="Times New Roman"/>
          <w:b/>
          <w:bCs/>
          <w:szCs w:val="24"/>
        </w:rPr>
        <w:t>:</w:t>
      </w:r>
    </w:p>
    <w:p w14:paraId="4A6F5718" w14:textId="4761AC1C" w:rsidR="00B4589C" w:rsidRDefault="00256F29" w:rsidP="00597735">
      <w:pPr>
        <w:ind w:right="60"/>
        <w:rPr>
          <w:rFonts w:eastAsia="Times New Roman"/>
          <w:szCs w:val="24"/>
        </w:rPr>
      </w:pPr>
      <w:r w:rsidRPr="00FC3B7C">
        <w:rPr>
          <w:rFonts w:eastAsia="Times New Roman"/>
          <w:szCs w:val="24"/>
        </w:rPr>
        <w:t>Při zavádění nových vynálezů a objevů musí stát (vláda) asistovat formou zvýšení veřejných výdajů (tzv. teorie stupňovitého růstu – veřejné výdaje se z důvodu technického a technologického růstu zvyšují ve skocích). Např. vynález auta si vynutil budování široké silniční sítě.</w:t>
      </w:r>
    </w:p>
    <w:p w14:paraId="09148B76" w14:textId="77777777" w:rsidR="00B4589C" w:rsidRDefault="00B4589C">
      <w:pPr>
        <w:spacing w:line="240" w:lineRule="auto"/>
        <w:jc w:val="left"/>
        <w:rPr>
          <w:rFonts w:eastAsia="Times New Roman"/>
          <w:szCs w:val="24"/>
        </w:rPr>
      </w:pPr>
      <w:r>
        <w:rPr>
          <w:rFonts w:eastAsia="Times New Roman"/>
          <w:szCs w:val="24"/>
        </w:rPr>
        <w:br w:type="page"/>
      </w:r>
    </w:p>
    <w:p w14:paraId="4A6F571A" w14:textId="1316519C" w:rsidR="008E0F74" w:rsidRPr="00244BB9" w:rsidRDefault="00B4589C" w:rsidP="00B4589C">
      <w:pPr>
        <w:spacing w:after="240"/>
        <w:jc w:val="left"/>
        <w:rPr>
          <w:sz w:val="20"/>
          <w:szCs w:val="20"/>
        </w:rPr>
      </w:pPr>
      <w:bookmarkStart w:id="487" w:name="page500"/>
      <w:bookmarkEnd w:id="487"/>
      <w:r w:rsidRPr="00244BB9">
        <w:rPr>
          <w:noProof/>
        </w:rPr>
        <w:lastRenderedPageBreak/>
        <w:drawing>
          <wp:anchor distT="0" distB="0" distL="114300" distR="114300" simplePos="0" relativeHeight="251564544" behindDoc="0" locked="0" layoutInCell="1" allowOverlap="1" wp14:anchorId="6F4133E4" wp14:editId="6851690F">
            <wp:simplePos x="0" y="0"/>
            <wp:positionH relativeFrom="column">
              <wp:posOffset>-102235</wp:posOffset>
            </wp:positionH>
            <wp:positionV relativeFrom="paragraph">
              <wp:posOffset>679317</wp:posOffset>
            </wp:positionV>
            <wp:extent cx="5751830" cy="4685030"/>
            <wp:effectExtent l="0" t="0" r="1270" b="1270"/>
            <wp:wrapTopAndBottom/>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5751830" cy="4685030"/>
                    </a:xfrm>
                    <a:prstGeom prst="rect">
                      <a:avLst/>
                    </a:prstGeom>
                  </pic:spPr>
                </pic:pic>
              </a:graphicData>
            </a:graphic>
            <wp14:sizeRelH relativeFrom="margin">
              <wp14:pctWidth>0</wp14:pctWidth>
            </wp14:sizeRelH>
            <wp14:sizeRelV relativeFrom="margin">
              <wp14:pctHeight>0</wp14:pctHeight>
            </wp14:sizeRelV>
          </wp:anchor>
        </w:drawing>
      </w:r>
      <w:r w:rsidR="00256F29" w:rsidRPr="00244BB9">
        <w:rPr>
          <w:rFonts w:eastAsia="Times New Roman"/>
          <w:b/>
          <w:bCs/>
          <w:szCs w:val="24"/>
        </w:rPr>
        <w:t xml:space="preserve">Graf č. </w:t>
      </w:r>
      <w:r w:rsidR="00F92EF4" w:rsidRPr="00244BB9">
        <w:rPr>
          <w:rFonts w:eastAsia="Times New Roman"/>
          <w:b/>
          <w:bCs/>
          <w:szCs w:val="24"/>
        </w:rPr>
        <w:t>5</w:t>
      </w:r>
      <w:r w:rsidR="00256F29" w:rsidRPr="00244BB9">
        <w:rPr>
          <w:rFonts w:eastAsia="Times New Roman"/>
          <w:b/>
          <w:bCs/>
          <w:szCs w:val="24"/>
        </w:rPr>
        <w:t>:</w:t>
      </w:r>
      <w:r w:rsidR="003376E1">
        <w:rPr>
          <w:rFonts w:eastAsia="Times New Roman"/>
          <w:b/>
          <w:bCs/>
          <w:szCs w:val="24"/>
        </w:rPr>
        <w:t xml:space="preserve"> </w:t>
      </w:r>
      <w:r w:rsidRPr="00244BB9">
        <w:rPr>
          <w:rFonts w:eastAsia="Times New Roman"/>
          <w:b/>
          <w:bCs/>
          <w:szCs w:val="24"/>
        </w:rPr>
        <w:t>Vývoj a podíl celkových, mandatorních a nemandatorních výdajů v letech 2011—2019 v mld. Kč</w:t>
      </w:r>
    </w:p>
    <w:p w14:paraId="4A6F571B" w14:textId="0C4AEBE4" w:rsidR="008E0F74" w:rsidRPr="00FC3B7C" w:rsidRDefault="00B4589C">
      <w:pPr>
        <w:spacing w:line="20" w:lineRule="exact"/>
        <w:rPr>
          <w:sz w:val="20"/>
          <w:szCs w:val="20"/>
        </w:rPr>
      </w:pPr>
      <w:r w:rsidRPr="00B4589C">
        <w:rPr>
          <w:noProof/>
          <w:highlight w:val="yellow"/>
        </w:rPr>
        <w:drawing>
          <wp:anchor distT="0" distB="0" distL="114300" distR="114300" simplePos="0" relativeHeight="251699712" behindDoc="0" locked="0" layoutInCell="1" allowOverlap="1" wp14:anchorId="62326A0A" wp14:editId="16384F4D">
            <wp:simplePos x="0" y="0"/>
            <wp:positionH relativeFrom="column">
              <wp:posOffset>15240</wp:posOffset>
            </wp:positionH>
            <wp:positionV relativeFrom="paragraph">
              <wp:posOffset>5328285</wp:posOffset>
            </wp:positionV>
            <wp:extent cx="3902075" cy="3591560"/>
            <wp:effectExtent l="0" t="0" r="3175" b="8890"/>
            <wp:wrapTopAndBottom/>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3902075" cy="3591560"/>
                    </a:xfrm>
                    <a:prstGeom prst="rect">
                      <a:avLst/>
                    </a:prstGeom>
                  </pic:spPr>
                </pic:pic>
              </a:graphicData>
            </a:graphic>
            <wp14:sizeRelH relativeFrom="margin">
              <wp14:pctWidth>0</wp14:pctWidth>
            </wp14:sizeRelH>
            <wp14:sizeRelV relativeFrom="margin">
              <wp14:pctHeight>0</wp14:pctHeight>
            </wp14:sizeRelV>
          </wp:anchor>
        </w:drawing>
      </w:r>
    </w:p>
    <w:p w14:paraId="3BC386BE" w14:textId="01CD9145" w:rsidR="00B4589C" w:rsidRPr="00B4589C" w:rsidRDefault="00B4589C" w:rsidP="000146D4">
      <w:pPr>
        <w:spacing w:before="240" w:after="240"/>
        <w:jc w:val="left"/>
        <w:rPr>
          <w:b/>
          <w:bCs/>
        </w:rPr>
      </w:pPr>
      <w:r w:rsidRPr="00244BB9">
        <w:rPr>
          <w:b/>
          <w:bCs/>
        </w:rPr>
        <w:t xml:space="preserve">Graf č. 6: </w:t>
      </w:r>
      <w:bookmarkStart w:id="488" w:name="page501"/>
      <w:bookmarkEnd w:id="488"/>
      <w:r w:rsidRPr="00244BB9">
        <w:rPr>
          <w:b/>
          <w:bCs/>
        </w:rPr>
        <w:t>Struktura výdajů státního rozpočtu podle druhů v roce 2019</w:t>
      </w:r>
      <w:r>
        <w:rPr>
          <w:b/>
          <w:bCs/>
          <w:highlight w:val="yellow"/>
        </w:rPr>
        <w:br w:type="page"/>
      </w:r>
    </w:p>
    <w:p w14:paraId="4A6F57FE" w14:textId="3D65D8E1" w:rsidR="008E0F74" w:rsidRPr="00353E4B" w:rsidRDefault="00256F29" w:rsidP="00597735">
      <w:pPr>
        <w:pStyle w:val="Nadpis2"/>
        <w:rPr>
          <w:color w:val="1F3864" w:themeColor="accent1" w:themeShade="80"/>
          <w:sz w:val="20"/>
          <w:szCs w:val="20"/>
        </w:rPr>
      </w:pPr>
      <w:r w:rsidRPr="00353E4B">
        <w:rPr>
          <w:rFonts w:eastAsia="Times New Roman"/>
          <w:color w:val="1F3864" w:themeColor="accent1" w:themeShade="80"/>
        </w:rPr>
        <w:lastRenderedPageBreak/>
        <w:t>ROZPOČTOVÝ DEFICIT</w:t>
      </w:r>
    </w:p>
    <w:p w14:paraId="4A6F57FF" w14:textId="20420DD7" w:rsidR="008E0F74" w:rsidRPr="00FC3B7C" w:rsidRDefault="008E0F74">
      <w:pPr>
        <w:spacing w:line="226" w:lineRule="exact"/>
        <w:rPr>
          <w:sz w:val="20"/>
          <w:szCs w:val="20"/>
        </w:rPr>
      </w:pPr>
    </w:p>
    <w:p w14:paraId="4A6F5800" w14:textId="72FCD027" w:rsidR="008E0F74" w:rsidRPr="00FC3B7C" w:rsidRDefault="00256F29" w:rsidP="00597735">
      <w:pPr>
        <w:rPr>
          <w:sz w:val="20"/>
          <w:szCs w:val="20"/>
        </w:rPr>
      </w:pPr>
      <w:r w:rsidRPr="00FC3B7C">
        <w:rPr>
          <w:rFonts w:eastAsia="Times New Roman"/>
          <w:b/>
          <w:bCs/>
          <w:szCs w:val="24"/>
        </w:rPr>
        <w:t>Ve vztahu mezi</w:t>
      </w:r>
      <w:r w:rsidR="00996B5C">
        <w:rPr>
          <w:rFonts w:eastAsia="Times New Roman"/>
          <w:b/>
          <w:bCs/>
          <w:szCs w:val="24"/>
        </w:rPr>
        <w:t xml:space="preserve"> </w:t>
      </w:r>
      <w:r w:rsidRPr="00FC3B7C">
        <w:rPr>
          <w:rFonts w:eastAsia="Times New Roman"/>
          <w:b/>
          <w:bCs/>
          <w:szCs w:val="24"/>
        </w:rPr>
        <w:t>příjmy</w:t>
      </w:r>
      <w:r w:rsidR="00996B5C">
        <w:rPr>
          <w:rFonts w:eastAsia="Times New Roman"/>
          <w:b/>
          <w:bCs/>
          <w:szCs w:val="24"/>
        </w:rPr>
        <w:t xml:space="preserve"> </w:t>
      </w:r>
      <w:r w:rsidRPr="00FC3B7C">
        <w:rPr>
          <w:rFonts w:eastAsia="Times New Roman"/>
          <w:b/>
          <w:bCs/>
          <w:szCs w:val="24"/>
        </w:rPr>
        <w:t>a</w:t>
      </w:r>
      <w:r w:rsidR="00996B5C">
        <w:rPr>
          <w:rFonts w:eastAsia="Times New Roman"/>
          <w:b/>
          <w:bCs/>
          <w:szCs w:val="24"/>
        </w:rPr>
        <w:t xml:space="preserve"> </w:t>
      </w:r>
      <w:r w:rsidRPr="00FC3B7C">
        <w:rPr>
          <w:rFonts w:eastAsia="Times New Roman"/>
          <w:b/>
          <w:bCs/>
          <w:szCs w:val="24"/>
        </w:rPr>
        <w:t>výdaji nastávají 3 situace (u kteréhokoli veřejného rozpočtu):</w:t>
      </w:r>
    </w:p>
    <w:p w14:paraId="4A6F5801" w14:textId="231707A5" w:rsidR="008E0F74" w:rsidRPr="00FC3B7C" w:rsidRDefault="00256F29" w:rsidP="00D46B53">
      <w:pPr>
        <w:numPr>
          <w:ilvl w:val="0"/>
          <w:numId w:val="544"/>
        </w:numPr>
        <w:tabs>
          <w:tab w:val="left" w:pos="840"/>
        </w:tabs>
        <w:ind w:left="840" w:hanging="353"/>
        <w:rPr>
          <w:rFonts w:eastAsia="Times New Roman"/>
          <w:szCs w:val="24"/>
        </w:rPr>
      </w:pPr>
      <w:r w:rsidRPr="00FC3B7C">
        <w:rPr>
          <w:rFonts w:eastAsia="Times New Roman"/>
          <w:szCs w:val="24"/>
        </w:rPr>
        <w:t>veřejné příjmy = veřejným výdajům …vyrovnaný rozpočet (= rovnovážný stav)</w:t>
      </w:r>
    </w:p>
    <w:p w14:paraId="4A6F5802" w14:textId="77777777" w:rsidR="008E0F74" w:rsidRPr="00FC3B7C" w:rsidRDefault="00256F29" w:rsidP="00D46B53">
      <w:pPr>
        <w:numPr>
          <w:ilvl w:val="0"/>
          <w:numId w:val="544"/>
        </w:numPr>
        <w:tabs>
          <w:tab w:val="left" w:pos="840"/>
        </w:tabs>
        <w:ind w:left="840" w:hanging="353"/>
        <w:rPr>
          <w:rFonts w:eastAsia="Times New Roman"/>
          <w:szCs w:val="24"/>
        </w:rPr>
      </w:pPr>
      <w:r w:rsidRPr="00FC3B7C">
        <w:rPr>
          <w:rFonts w:eastAsia="Times New Roman"/>
          <w:szCs w:val="24"/>
        </w:rPr>
        <w:t>veřejné příjmy &gt; veřejné výdaje … přebytkový rozpočet</w:t>
      </w:r>
    </w:p>
    <w:p w14:paraId="4A6F5803" w14:textId="77777777" w:rsidR="008E0F74" w:rsidRPr="00FC3B7C" w:rsidRDefault="00256F29" w:rsidP="00D46B53">
      <w:pPr>
        <w:numPr>
          <w:ilvl w:val="0"/>
          <w:numId w:val="544"/>
        </w:numPr>
        <w:tabs>
          <w:tab w:val="left" w:pos="840"/>
        </w:tabs>
        <w:ind w:left="840" w:hanging="353"/>
        <w:rPr>
          <w:rFonts w:eastAsia="Times New Roman"/>
          <w:szCs w:val="24"/>
        </w:rPr>
      </w:pPr>
      <w:r w:rsidRPr="00FC3B7C">
        <w:rPr>
          <w:rFonts w:eastAsia="Times New Roman"/>
          <w:szCs w:val="24"/>
        </w:rPr>
        <w:t>veřejné příjmy &lt; veřejné výdaje … schodkový (deficitní) rozpočet.</w:t>
      </w:r>
    </w:p>
    <w:p w14:paraId="4A6F5804" w14:textId="77777777" w:rsidR="008E0F74" w:rsidRPr="00FC3B7C" w:rsidRDefault="00256F29" w:rsidP="00597735">
      <w:pPr>
        <w:ind w:right="60"/>
        <w:rPr>
          <w:sz w:val="20"/>
          <w:szCs w:val="20"/>
        </w:rPr>
      </w:pPr>
      <w:r w:rsidRPr="00FC3B7C">
        <w:rPr>
          <w:rFonts w:eastAsia="Times New Roman"/>
          <w:sz w:val="23"/>
          <w:szCs w:val="23"/>
        </w:rPr>
        <w:t>Pokud je veřejný rozpočet přebytkový nebo deficitní = nerovnovážný stav, vyžaduje další analýzu (nelze zcela jasně hodnotit pozitivně přebytek veřejného rozpočtu, může být způsoben neuváženými úsporami; nebo jednoznačně negativně hodnotit deficit veřejného rozpočtu).</w:t>
      </w:r>
    </w:p>
    <w:p w14:paraId="4A6F5805" w14:textId="77777777" w:rsidR="008E0F74" w:rsidRPr="00FC3B7C" w:rsidRDefault="00256F29" w:rsidP="00597735">
      <w:pPr>
        <w:ind w:right="60"/>
        <w:rPr>
          <w:sz w:val="20"/>
          <w:szCs w:val="20"/>
        </w:rPr>
      </w:pPr>
      <w:r w:rsidRPr="00FC3B7C">
        <w:rPr>
          <w:rFonts w:eastAsia="Times New Roman"/>
          <w:szCs w:val="24"/>
        </w:rPr>
        <w:t xml:space="preserve">Příčiny deficitu je důležité analyzovat ne jako celek, ale podrobně, jedná se totiž o soustavu deficitů (státní rozpočet, rozpočet nižších vládních úrovní a územní samosprávy </w:t>
      </w:r>
      <w:r w:rsidR="00597735">
        <w:rPr>
          <w:rFonts w:eastAsia="Times New Roman"/>
          <w:szCs w:val="24"/>
        </w:rPr>
        <w:br/>
      </w:r>
      <w:r w:rsidRPr="00FC3B7C">
        <w:rPr>
          <w:rFonts w:eastAsia="Times New Roman"/>
          <w:szCs w:val="24"/>
        </w:rPr>
        <w:t>+ mimorozpočtové fondy – zdravotní a sociální pojištění).</w:t>
      </w:r>
    </w:p>
    <w:p w14:paraId="4A6F5806" w14:textId="77777777" w:rsidR="008E0F74" w:rsidRPr="00FC3B7C" w:rsidRDefault="008E0F74" w:rsidP="00597735">
      <w:pPr>
        <w:rPr>
          <w:sz w:val="20"/>
          <w:szCs w:val="20"/>
        </w:rPr>
      </w:pPr>
    </w:p>
    <w:p w14:paraId="4A6F5807" w14:textId="77777777" w:rsidR="008E0F74" w:rsidRPr="00FC3B7C" w:rsidRDefault="00256F29" w:rsidP="00597735">
      <w:pPr>
        <w:rPr>
          <w:sz w:val="20"/>
          <w:szCs w:val="20"/>
        </w:rPr>
      </w:pPr>
      <w:r w:rsidRPr="00FC3B7C">
        <w:rPr>
          <w:rFonts w:eastAsia="Times New Roman"/>
          <w:b/>
          <w:bCs/>
          <w:szCs w:val="24"/>
        </w:rPr>
        <w:t>Podle Mezinárodního měnového fondu:</w:t>
      </w:r>
    </w:p>
    <w:p w14:paraId="4A6F5808" w14:textId="77777777" w:rsidR="008E0F74" w:rsidRPr="00FC3B7C" w:rsidRDefault="00256F29" w:rsidP="00597735">
      <w:pPr>
        <w:ind w:right="140"/>
        <w:rPr>
          <w:sz w:val="20"/>
          <w:szCs w:val="20"/>
        </w:rPr>
      </w:pPr>
      <w:r w:rsidRPr="00FC3B7C">
        <w:rPr>
          <w:rFonts w:eastAsia="Times New Roman"/>
          <w:b/>
          <w:bCs/>
          <w:szCs w:val="24"/>
        </w:rPr>
        <w:t>Celkový deficit = primární deficit + úroky z veřejného dluhu</w:t>
      </w:r>
      <w:r w:rsidRPr="00FC3B7C">
        <w:rPr>
          <w:rFonts w:eastAsia="Times New Roman"/>
          <w:szCs w:val="24"/>
        </w:rPr>
        <w:t>; primární deficit je výsledek</w:t>
      </w:r>
      <w:r w:rsidRPr="00FC3B7C">
        <w:rPr>
          <w:rFonts w:eastAsia="Times New Roman"/>
          <w:b/>
          <w:bCs/>
          <w:szCs w:val="24"/>
        </w:rPr>
        <w:t xml:space="preserve"> </w:t>
      </w:r>
      <w:r w:rsidRPr="00FC3B7C">
        <w:rPr>
          <w:rFonts w:eastAsia="Times New Roman"/>
          <w:szCs w:val="24"/>
        </w:rPr>
        <w:t>hospodaření v daném roce (rozdíl mezi příjmy a výdaji).</w:t>
      </w:r>
    </w:p>
    <w:p w14:paraId="4A6F5809" w14:textId="77777777" w:rsidR="008E0F74" w:rsidRPr="00FC3B7C" w:rsidRDefault="008E0F74">
      <w:pPr>
        <w:spacing w:line="152" w:lineRule="exact"/>
        <w:rPr>
          <w:sz w:val="20"/>
          <w:szCs w:val="20"/>
        </w:rPr>
      </w:pPr>
    </w:p>
    <w:p w14:paraId="4A6F580A" w14:textId="2FD9437E" w:rsidR="008E0F74" w:rsidRPr="00FC3B7C" w:rsidRDefault="00996B5C" w:rsidP="00597735">
      <w:pPr>
        <w:rPr>
          <w:sz w:val="20"/>
          <w:szCs w:val="20"/>
        </w:rPr>
      </w:pPr>
      <w:r w:rsidRPr="00FC3B7C">
        <w:rPr>
          <w:rFonts w:eastAsia="Times New Roman"/>
          <w:b/>
          <w:bCs/>
          <w:szCs w:val="24"/>
        </w:rPr>
        <w:t>Aktivní (strukturální</w:t>
      </w:r>
      <w:r w:rsidR="00256F29" w:rsidRPr="00FC3B7C">
        <w:rPr>
          <w:rFonts w:eastAsia="Times New Roman"/>
          <w:b/>
          <w:bCs/>
          <w:szCs w:val="24"/>
        </w:rPr>
        <w:t>) schodek</w:t>
      </w:r>
    </w:p>
    <w:p w14:paraId="4A6F580B" w14:textId="77777777" w:rsidR="008E0F74" w:rsidRPr="00FC3B7C" w:rsidRDefault="00256F29" w:rsidP="00D46B53">
      <w:pPr>
        <w:numPr>
          <w:ilvl w:val="0"/>
          <w:numId w:val="545"/>
        </w:numPr>
        <w:tabs>
          <w:tab w:val="left" w:pos="840"/>
        </w:tabs>
        <w:ind w:left="840" w:hanging="353"/>
        <w:rPr>
          <w:rFonts w:eastAsia="Arial"/>
          <w:szCs w:val="24"/>
        </w:rPr>
      </w:pPr>
      <w:r w:rsidRPr="00FC3B7C">
        <w:rPr>
          <w:rFonts w:eastAsia="Times New Roman"/>
          <w:szCs w:val="24"/>
        </w:rPr>
        <w:t>má záměrný charakter, je předem plánován (tzn. státní rozpočet je schválen jako deficitní)</w:t>
      </w:r>
    </w:p>
    <w:p w14:paraId="4A6F580C" w14:textId="77777777" w:rsidR="008E0F74" w:rsidRPr="00FC3B7C" w:rsidRDefault="00256F29" w:rsidP="00D46B53">
      <w:pPr>
        <w:numPr>
          <w:ilvl w:val="0"/>
          <w:numId w:val="545"/>
        </w:numPr>
        <w:tabs>
          <w:tab w:val="left" w:pos="840"/>
        </w:tabs>
        <w:ind w:left="840" w:hanging="353"/>
        <w:rPr>
          <w:rFonts w:eastAsia="Arial"/>
          <w:szCs w:val="24"/>
        </w:rPr>
      </w:pPr>
      <w:r w:rsidRPr="00FC3B7C">
        <w:rPr>
          <w:rFonts w:eastAsia="Times New Roman"/>
          <w:szCs w:val="24"/>
        </w:rPr>
        <w:t>jeho příčinou může být jakékoli vládní rozhodnutí, které vede k poklesu příjmů nebo k růstu veřejných výdajů (nebo k oběma současně)</w:t>
      </w:r>
    </w:p>
    <w:p w14:paraId="4A6F580D" w14:textId="77777777" w:rsidR="008E0F74" w:rsidRPr="00FC3B7C" w:rsidRDefault="00256F29" w:rsidP="00D46B53">
      <w:pPr>
        <w:numPr>
          <w:ilvl w:val="0"/>
          <w:numId w:val="545"/>
        </w:numPr>
        <w:tabs>
          <w:tab w:val="left" w:pos="840"/>
        </w:tabs>
        <w:ind w:left="840" w:hanging="353"/>
        <w:rPr>
          <w:rFonts w:eastAsia="Arial"/>
          <w:szCs w:val="24"/>
        </w:rPr>
      </w:pPr>
      <w:r w:rsidRPr="00FC3B7C">
        <w:rPr>
          <w:rFonts w:eastAsia="Times New Roman"/>
          <w:szCs w:val="24"/>
        </w:rPr>
        <w:t>př. expanzivní fiskální politika (vláda se snaží vyššími výdaji SR podpořit agregátní poptávku), politické důvody (př. vládní populismus), zvyšování výdajů nebo snižování daní na základě politického (a méně ekonomického) rozhodnutí, snaha rozložit důsledky výdajového šoku do několika let, snaha rozložit daňovou zátěž na několik generací</w:t>
      </w:r>
    </w:p>
    <w:p w14:paraId="4A6F580E" w14:textId="19C1AC59" w:rsidR="008E0F74" w:rsidRPr="00FC3B7C" w:rsidRDefault="00256F29" w:rsidP="00597735">
      <w:pPr>
        <w:rPr>
          <w:sz w:val="20"/>
          <w:szCs w:val="20"/>
        </w:rPr>
      </w:pPr>
      <w:bookmarkStart w:id="489" w:name="page502"/>
      <w:bookmarkEnd w:id="489"/>
      <w:r w:rsidRPr="00FC3B7C">
        <w:rPr>
          <w:rFonts w:eastAsia="Times New Roman"/>
          <w:b/>
          <w:bCs/>
          <w:szCs w:val="24"/>
        </w:rPr>
        <w:t>Pasivní</w:t>
      </w:r>
      <w:r w:rsidR="00756691">
        <w:rPr>
          <w:rFonts w:eastAsia="Times New Roman"/>
          <w:b/>
          <w:bCs/>
          <w:szCs w:val="24"/>
        </w:rPr>
        <w:t xml:space="preserve"> </w:t>
      </w:r>
      <w:r w:rsidRPr="00FC3B7C">
        <w:rPr>
          <w:rFonts w:eastAsia="Times New Roman"/>
          <w:b/>
          <w:bCs/>
          <w:szCs w:val="24"/>
        </w:rPr>
        <w:t>(cyklický) schodek</w:t>
      </w:r>
    </w:p>
    <w:p w14:paraId="4A6F580F" w14:textId="77777777" w:rsidR="008E0F74" w:rsidRPr="00FC3B7C" w:rsidRDefault="00256F29" w:rsidP="00D46B53">
      <w:pPr>
        <w:numPr>
          <w:ilvl w:val="0"/>
          <w:numId w:val="546"/>
        </w:numPr>
        <w:tabs>
          <w:tab w:val="left" w:pos="840"/>
        </w:tabs>
        <w:ind w:left="840" w:hanging="353"/>
        <w:rPr>
          <w:rFonts w:eastAsia="Arial"/>
          <w:szCs w:val="24"/>
        </w:rPr>
      </w:pPr>
      <w:r w:rsidRPr="00FC3B7C">
        <w:rPr>
          <w:rFonts w:eastAsia="Times New Roman"/>
          <w:szCs w:val="24"/>
        </w:rPr>
        <w:t>Není plánovaný nebo záměrný</w:t>
      </w:r>
    </w:p>
    <w:p w14:paraId="4A6F5810" w14:textId="77777777" w:rsidR="008E0F74" w:rsidRPr="00FC3B7C" w:rsidRDefault="00256F29" w:rsidP="00D46B53">
      <w:pPr>
        <w:numPr>
          <w:ilvl w:val="0"/>
          <w:numId w:val="546"/>
        </w:numPr>
        <w:tabs>
          <w:tab w:val="left" w:pos="840"/>
        </w:tabs>
        <w:ind w:left="840" w:hanging="353"/>
        <w:rPr>
          <w:rFonts w:eastAsia="Arial"/>
          <w:szCs w:val="24"/>
        </w:rPr>
      </w:pPr>
      <w:r w:rsidRPr="00FC3B7C">
        <w:rPr>
          <w:rFonts w:eastAsia="Times New Roman"/>
          <w:szCs w:val="24"/>
        </w:rPr>
        <w:t>je následný, vzniká v důsledku nějakého vnějšího faktoru (těžko vládou ovlivnitelného)</w:t>
      </w:r>
    </w:p>
    <w:p w14:paraId="4A6F5811" w14:textId="32A67429" w:rsidR="00B4589C" w:rsidRDefault="00256F29" w:rsidP="00D46B53">
      <w:pPr>
        <w:numPr>
          <w:ilvl w:val="0"/>
          <w:numId w:val="546"/>
        </w:numPr>
        <w:tabs>
          <w:tab w:val="left" w:pos="840"/>
        </w:tabs>
        <w:ind w:left="840" w:hanging="353"/>
        <w:rPr>
          <w:rFonts w:eastAsia="Times New Roman"/>
          <w:szCs w:val="24"/>
        </w:rPr>
      </w:pPr>
      <w:r w:rsidRPr="00FC3B7C">
        <w:rPr>
          <w:rFonts w:eastAsia="Times New Roman"/>
          <w:szCs w:val="24"/>
        </w:rPr>
        <w:t>př. hospodářský cyklus (v období deprese), růst cen základních surovin (př. ropné šoky v 70. letech), společenské, přírodní katastrofy (které si vynutí mimořádné zvýšení veřejných výdajů), úroky z veřejného dluhu</w:t>
      </w:r>
    </w:p>
    <w:p w14:paraId="36C30FC7" w14:textId="77777777" w:rsidR="00B4589C" w:rsidRDefault="00B4589C">
      <w:pPr>
        <w:spacing w:line="240" w:lineRule="auto"/>
        <w:jc w:val="left"/>
        <w:rPr>
          <w:rFonts w:eastAsia="Times New Roman"/>
          <w:szCs w:val="24"/>
        </w:rPr>
      </w:pPr>
      <w:r>
        <w:rPr>
          <w:rFonts w:eastAsia="Times New Roman"/>
          <w:szCs w:val="24"/>
        </w:rPr>
        <w:br w:type="page"/>
      </w:r>
    </w:p>
    <w:p w14:paraId="4A6F5813" w14:textId="12F4A825" w:rsidR="008E0F74" w:rsidRPr="00FC3B7C" w:rsidRDefault="00256F29" w:rsidP="003C62EA">
      <w:pPr>
        <w:rPr>
          <w:sz w:val="20"/>
          <w:szCs w:val="20"/>
        </w:rPr>
      </w:pPr>
      <w:r w:rsidRPr="000146D4">
        <w:rPr>
          <w:rFonts w:eastAsia="Times New Roman"/>
          <w:b/>
          <w:bCs/>
          <w:szCs w:val="24"/>
        </w:rPr>
        <w:lastRenderedPageBreak/>
        <w:t xml:space="preserve">Graf č. </w:t>
      </w:r>
      <w:r w:rsidR="00B4589C" w:rsidRPr="000146D4">
        <w:rPr>
          <w:rFonts w:eastAsia="Times New Roman"/>
          <w:b/>
          <w:bCs/>
          <w:szCs w:val="24"/>
        </w:rPr>
        <w:t>7</w:t>
      </w:r>
      <w:r w:rsidRPr="00244BB9">
        <w:rPr>
          <w:rFonts w:eastAsia="Times New Roman"/>
          <w:b/>
          <w:bCs/>
          <w:szCs w:val="24"/>
        </w:rPr>
        <w:t xml:space="preserve">: </w:t>
      </w:r>
      <w:r w:rsidR="00B4589C" w:rsidRPr="00244BB9">
        <w:rPr>
          <w:rFonts w:eastAsia="Times New Roman"/>
          <w:b/>
          <w:bCs/>
          <w:szCs w:val="24"/>
        </w:rPr>
        <w:t>Vývoj salda státního rozpočtu v letech 1998-2021 v mld. Kč</w:t>
      </w:r>
    </w:p>
    <w:p w14:paraId="4A6F5814" w14:textId="72EA7992" w:rsidR="008E0F74" w:rsidRPr="00FC3B7C" w:rsidRDefault="00B4589C">
      <w:pPr>
        <w:spacing w:line="20" w:lineRule="exact"/>
        <w:rPr>
          <w:sz w:val="20"/>
          <w:szCs w:val="20"/>
        </w:rPr>
      </w:pPr>
      <w:r>
        <w:rPr>
          <w:noProof/>
        </w:rPr>
        <w:drawing>
          <wp:anchor distT="0" distB="0" distL="114300" distR="114300" simplePos="0" relativeHeight="251718144" behindDoc="0" locked="0" layoutInCell="1" allowOverlap="1" wp14:anchorId="1A1A71EE" wp14:editId="0946F134">
            <wp:simplePos x="0" y="0"/>
            <wp:positionH relativeFrom="column">
              <wp:posOffset>4445</wp:posOffset>
            </wp:positionH>
            <wp:positionV relativeFrom="paragraph">
              <wp:posOffset>19685</wp:posOffset>
            </wp:positionV>
            <wp:extent cx="4146550" cy="4497070"/>
            <wp:effectExtent l="0" t="0" r="6350" b="0"/>
            <wp:wrapTopAndBottom/>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4146550" cy="4497070"/>
                    </a:xfrm>
                    <a:prstGeom prst="rect">
                      <a:avLst/>
                    </a:prstGeom>
                  </pic:spPr>
                </pic:pic>
              </a:graphicData>
            </a:graphic>
            <wp14:sizeRelH relativeFrom="margin">
              <wp14:pctWidth>0</wp14:pctWidth>
            </wp14:sizeRelH>
            <wp14:sizeRelV relativeFrom="margin">
              <wp14:pctHeight>0</wp14:pctHeight>
            </wp14:sizeRelV>
          </wp:anchor>
        </w:drawing>
      </w:r>
    </w:p>
    <w:p w14:paraId="4A6F582F" w14:textId="3191FCBD" w:rsidR="008E0F74" w:rsidRPr="00FC3B7C" w:rsidRDefault="00256F29" w:rsidP="003C62EA">
      <w:pPr>
        <w:spacing w:before="240"/>
        <w:ind w:left="4"/>
        <w:rPr>
          <w:sz w:val="20"/>
          <w:szCs w:val="20"/>
        </w:rPr>
      </w:pPr>
      <w:r w:rsidRPr="000146D4">
        <w:rPr>
          <w:rFonts w:eastAsia="Times New Roman"/>
          <w:b/>
          <w:bCs/>
          <w:szCs w:val="24"/>
        </w:rPr>
        <w:t xml:space="preserve">Graf č. </w:t>
      </w:r>
      <w:r w:rsidR="00B4589C" w:rsidRPr="000146D4">
        <w:rPr>
          <w:rFonts w:eastAsia="Times New Roman"/>
          <w:b/>
          <w:bCs/>
          <w:szCs w:val="24"/>
        </w:rPr>
        <w:t>8</w:t>
      </w:r>
      <w:r w:rsidRPr="000146D4">
        <w:rPr>
          <w:rFonts w:eastAsia="Times New Roman"/>
          <w:b/>
          <w:bCs/>
          <w:szCs w:val="24"/>
        </w:rPr>
        <w:t xml:space="preserve">: </w:t>
      </w:r>
      <w:r w:rsidR="003C62EA" w:rsidRPr="00244BB9">
        <w:rPr>
          <w:rFonts w:eastAsia="Times New Roman"/>
          <w:b/>
          <w:bCs/>
          <w:szCs w:val="24"/>
        </w:rPr>
        <w:t>Vývoj státního dluhu v letech 2000-2021 v mld. Kč</w:t>
      </w:r>
    </w:p>
    <w:p w14:paraId="548E7FFE" w14:textId="4899BBCC" w:rsidR="003C62EA" w:rsidRDefault="003C62EA" w:rsidP="003C62EA">
      <w:pPr>
        <w:jc w:val="left"/>
        <w:rPr>
          <w:rFonts w:eastAsia="Times New Roman"/>
          <w:sz w:val="20"/>
          <w:szCs w:val="20"/>
        </w:rPr>
      </w:pPr>
      <w:r w:rsidRPr="003C62EA">
        <w:rPr>
          <w:noProof/>
        </w:rPr>
        <w:drawing>
          <wp:anchor distT="0" distB="0" distL="114300" distR="114300" simplePos="0" relativeHeight="251738624" behindDoc="0" locked="0" layoutInCell="1" allowOverlap="1" wp14:anchorId="770A2982" wp14:editId="019FFC29">
            <wp:simplePos x="0" y="0"/>
            <wp:positionH relativeFrom="column">
              <wp:posOffset>1905</wp:posOffset>
            </wp:positionH>
            <wp:positionV relativeFrom="paragraph">
              <wp:posOffset>77470</wp:posOffset>
            </wp:positionV>
            <wp:extent cx="4316730" cy="4240530"/>
            <wp:effectExtent l="0" t="0" r="7620" b="7620"/>
            <wp:wrapSquare wrapText="bothSides"/>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4316730" cy="4240530"/>
                    </a:xfrm>
                    <a:prstGeom prst="rect">
                      <a:avLst/>
                    </a:prstGeom>
                  </pic:spPr>
                </pic:pic>
              </a:graphicData>
            </a:graphic>
            <wp14:sizeRelH relativeFrom="margin">
              <wp14:pctWidth>0</wp14:pctWidth>
            </wp14:sizeRelH>
            <wp14:sizeRelV relativeFrom="margin">
              <wp14:pctHeight>0</wp14:pctHeight>
            </wp14:sizeRelV>
          </wp:anchor>
        </w:drawing>
      </w:r>
    </w:p>
    <w:p w14:paraId="637DE861" w14:textId="77777777" w:rsidR="003C62EA" w:rsidRDefault="003C62EA" w:rsidP="003C62EA">
      <w:pPr>
        <w:jc w:val="left"/>
        <w:rPr>
          <w:rFonts w:eastAsia="Times New Roman"/>
          <w:sz w:val="20"/>
          <w:szCs w:val="20"/>
        </w:rPr>
      </w:pPr>
    </w:p>
    <w:p w14:paraId="30815CCC" w14:textId="77777777" w:rsidR="003C62EA" w:rsidRDefault="003C62EA" w:rsidP="003C62EA">
      <w:pPr>
        <w:jc w:val="left"/>
        <w:rPr>
          <w:rFonts w:eastAsia="Times New Roman"/>
          <w:sz w:val="20"/>
          <w:szCs w:val="20"/>
        </w:rPr>
      </w:pPr>
    </w:p>
    <w:p w14:paraId="26E050BE" w14:textId="77777777" w:rsidR="003C62EA" w:rsidRDefault="003C62EA" w:rsidP="003C62EA">
      <w:pPr>
        <w:jc w:val="left"/>
        <w:rPr>
          <w:rFonts w:eastAsia="Times New Roman"/>
          <w:sz w:val="20"/>
          <w:szCs w:val="20"/>
        </w:rPr>
      </w:pPr>
    </w:p>
    <w:p w14:paraId="6B9A14D1" w14:textId="77777777" w:rsidR="003C62EA" w:rsidRDefault="003C62EA" w:rsidP="003C62EA">
      <w:pPr>
        <w:jc w:val="left"/>
        <w:rPr>
          <w:rFonts w:eastAsia="Times New Roman"/>
          <w:sz w:val="20"/>
          <w:szCs w:val="20"/>
        </w:rPr>
      </w:pPr>
    </w:p>
    <w:p w14:paraId="372680F6" w14:textId="77777777" w:rsidR="003C62EA" w:rsidRDefault="003C62EA" w:rsidP="003C62EA">
      <w:pPr>
        <w:jc w:val="left"/>
        <w:rPr>
          <w:rFonts w:eastAsia="Times New Roman"/>
          <w:sz w:val="20"/>
          <w:szCs w:val="20"/>
        </w:rPr>
      </w:pPr>
    </w:p>
    <w:p w14:paraId="144E3D5B" w14:textId="77777777" w:rsidR="003C62EA" w:rsidRDefault="003C62EA" w:rsidP="003C62EA">
      <w:pPr>
        <w:jc w:val="left"/>
        <w:rPr>
          <w:rFonts w:eastAsia="Times New Roman"/>
          <w:sz w:val="20"/>
          <w:szCs w:val="20"/>
        </w:rPr>
      </w:pPr>
    </w:p>
    <w:p w14:paraId="1474965E" w14:textId="77777777" w:rsidR="003C62EA" w:rsidRDefault="003C62EA" w:rsidP="003C62EA">
      <w:pPr>
        <w:jc w:val="left"/>
        <w:rPr>
          <w:rFonts w:eastAsia="Times New Roman"/>
          <w:sz w:val="20"/>
          <w:szCs w:val="20"/>
        </w:rPr>
      </w:pPr>
    </w:p>
    <w:p w14:paraId="79A47ACE" w14:textId="77777777" w:rsidR="003C62EA" w:rsidRDefault="003C62EA" w:rsidP="003C62EA">
      <w:pPr>
        <w:jc w:val="left"/>
        <w:rPr>
          <w:rFonts w:eastAsia="Times New Roman"/>
          <w:sz w:val="20"/>
          <w:szCs w:val="20"/>
        </w:rPr>
      </w:pPr>
    </w:p>
    <w:p w14:paraId="6F62EB96" w14:textId="77777777" w:rsidR="003C62EA" w:rsidRDefault="003C62EA" w:rsidP="003C62EA">
      <w:pPr>
        <w:jc w:val="left"/>
        <w:rPr>
          <w:rFonts w:eastAsia="Times New Roman"/>
          <w:sz w:val="20"/>
          <w:szCs w:val="20"/>
        </w:rPr>
      </w:pPr>
    </w:p>
    <w:p w14:paraId="0B677DF7" w14:textId="77777777" w:rsidR="003C62EA" w:rsidRDefault="003C62EA" w:rsidP="003C62EA">
      <w:pPr>
        <w:jc w:val="left"/>
        <w:rPr>
          <w:rFonts w:eastAsia="Times New Roman"/>
          <w:sz w:val="20"/>
          <w:szCs w:val="20"/>
        </w:rPr>
      </w:pPr>
    </w:p>
    <w:p w14:paraId="7C25FF6E" w14:textId="77777777" w:rsidR="003C62EA" w:rsidRDefault="003C62EA" w:rsidP="003C62EA">
      <w:pPr>
        <w:jc w:val="left"/>
        <w:rPr>
          <w:rFonts w:eastAsia="Times New Roman"/>
          <w:sz w:val="20"/>
          <w:szCs w:val="20"/>
        </w:rPr>
      </w:pPr>
    </w:p>
    <w:p w14:paraId="1DCABA1D" w14:textId="77777777" w:rsidR="003C62EA" w:rsidRDefault="003C62EA" w:rsidP="003C62EA">
      <w:pPr>
        <w:jc w:val="left"/>
        <w:rPr>
          <w:rFonts w:eastAsia="Times New Roman"/>
          <w:sz w:val="20"/>
          <w:szCs w:val="20"/>
        </w:rPr>
      </w:pPr>
    </w:p>
    <w:p w14:paraId="7BDCFC3B" w14:textId="7C2FF19F" w:rsidR="003C62EA" w:rsidRPr="00B716D0" w:rsidRDefault="003C62EA" w:rsidP="003C62EA">
      <w:pPr>
        <w:jc w:val="left"/>
        <w:rPr>
          <w:sz w:val="20"/>
          <w:szCs w:val="20"/>
        </w:rPr>
        <w:sectPr w:rsidR="003C62EA" w:rsidRPr="00B716D0">
          <w:pgSz w:w="11900" w:h="16840"/>
          <w:pgMar w:top="1391" w:right="1440" w:bottom="1440" w:left="1420" w:header="0" w:footer="0" w:gutter="0"/>
          <w:cols w:space="708" w:equalWidth="0">
            <w:col w:w="9040"/>
          </w:cols>
        </w:sectPr>
      </w:pPr>
      <w:r w:rsidRPr="000146D4">
        <w:rPr>
          <w:rFonts w:eastAsia="Times New Roman"/>
          <w:b/>
          <w:bCs/>
          <w:sz w:val="20"/>
          <w:szCs w:val="20"/>
        </w:rPr>
        <w:t>Zdroje grafů 2-8:</w:t>
      </w:r>
      <w:r w:rsidRPr="00FC3B7C">
        <w:rPr>
          <w:rFonts w:eastAsia="Times New Roman"/>
          <w:sz w:val="20"/>
          <w:szCs w:val="20"/>
        </w:rPr>
        <w:t xml:space="preserve"> Státní rozpočet v kostce, MFČR 201</w:t>
      </w:r>
      <w:r>
        <w:rPr>
          <w:rFonts w:eastAsia="Times New Roman"/>
          <w:sz w:val="20"/>
          <w:szCs w:val="20"/>
        </w:rPr>
        <w:t>9</w:t>
      </w:r>
    </w:p>
    <w:p w14:paraId="4A6F5847" w14:textId="77777777" w:rsidR="008E0F74" w:rsidRPr="00353E4B" w:rsidRDefault="00256F29" w:rsidP="00597735">
      <w:pPr>
        <w:pStyle w:val="Nadpis3"/>
        <w:rPr>
          <w:color w:val="1F3864" w:themeColor="accent1" w:themeShade="80"/>
          <w:sz w:val="20"/>
          <w:szCs w:val="20"/>
        </w:rPr>
      </w:pPr>
      <w:r w:rsidRPr="00353E4B">
        <w:rPr>
          <w:color w:val="1F3864" w:themeColor="accent1" w:themeShade="80"/>
          <w:sz w:val="20"/>
          <w:szCs w:val="20"/>
        </w:rPr>
        <w:lastRenderedPageBreak/>
        <w:tab/>
      </w:r>
      <w:r w:rsidRPr="00353E4B">
        <w:rPr>
          <w:rFonts w:eastAsia="Times New Roman"/>
          <w:color w:val="1F3864" w:themeColor="accent1" w:themeShade="80"/>
        </w:rPr>
        <w:t>Časový pohled:</w:t>
      </w:r>
    </w:p>
    <w:p w14:paraId="4A6F5848" w14:textId="77777777" w:rsidR="008E0F74" w:rsidRPr="00FC3B7C" w:rsidRDefault="00256F29" w:rsidP="003C62EA">
      <w:pPr>
        <w:spacing w:before="240"/>
        <w:ind w:left="4"/>
        <w:rPr>
          <w:sz w:val="20"/>
          <w:szCs w:val="20"/>
        </w:rPr>
      </w:pPr>
      <w:r w:rsidRPr="00FC3B7C">
        <w:rPr>
          <w:rFonts w:eastAsia="Times New Roman"/>
          <w:b/>
          <w:bCs/>
          <w:szCs w:val="24"/>
        </w:rPr>
        <w:t>Krátkodobý rozpočtový deficit</w:t>
      </w:r>
    </w:p>
    <w:p w14:paraId="4A6F5849" w14:textId="77777777" w:rsidR="008E0F74" w:rsidRPr="00FC3B7C" w:rsidRDefault="00256F29" w:rsidP="00D46B53">
      <w:pPr>
        <w:numPr>
          <w:ilvl w:val="0"/>
          <w:numId w:val="547"/>
        </w:numPr>
        <w:tabs>
          <w:tab w:val="left" w:pos="261"/>
        </w:tabs>
        <w:ind w:left="4" w:hanging="4"/>
        <w:rPr>
          <w:rFonts w:eastAsia="Times New Roman"/>
          <w:szCs w:val="24"/>
        </w:rPr>
      </w:pPr>
      <w:r w:rsidRPr="00FC3B7C">
        <w:rPr>
          <w:rFonts w:eastAsia="Times New Roman"/>
          <w:szCs w:val="24"/>
        </w:rPr>
        <w:t xml:space="preserve">rozpočtový deficit v rámci jednoho rozpočtového období (kdy je běžné, že dochází </w:t>
      </w:r>
      <w:r w:rsidR="00597735">
        <w:rPr>
          <w:rFonts w:eastAsia="Times New Roman"/>
          <w:szCs w:val="24"/>
        </w:rPr>
        <w:br/>
      </w:r>
      <w:r w:rsidRPr="00FC3B7C">
        <w:rPr>
          <w:rFonts w:eastAsia="Times New Roman"/>
          <w:szCs w:val="24"/>
        </w:rPr>
        <w:t>k nesouladu mezi příjmy a výdaji); je to zcela normální jev daný např. lhůtami při výběru daní a zároveň nutností plynule uvolňovat prostředky na výdaje dané zákonnými normami.</w:t>
      </w:r>
    </w:p>
    <w:p w14:paraId="4A6F584B" w14:textId="77777777" w:rsidR="008E0F74" w:rsidRPr="00FC3B7C" w:rsidRDefault="00256F29" w:rsidP="003C62EA">
      <w:pPr>
        <w:spacing w:before="240"/>
        <w:ind w:left="4"/>
        <w:rPr>
          <w:sz w:val="20"/>
          <w:szCs w:val="20"/>
        </w:rPr>
      </w:pPr>
      <w:bookmarkStart w:id="490" w:name="page504"/>
      <w:bookmarkEnd w:id="490"/>
      <w:r w:rsidRPr="00FC3B7C">
        <w:rPr>
          <w:rFonts w:eastAsia="Times New Roman"/>
          <w:b/>
          <w:bCs/>
          <w:szCs w:val="24"/>
        </w:rPr>
        <w:t>Střednědobý (a dlouhodobý) deficit</w:t>
      </w:r>
    </w:p>
    <w:p w14:paraId="4A6F584C" w14:textId="77777777" w:rsidR="008E0F74" w:rsidRPr="00FC3B7C" w:rsidRDefault="00256F29" w:rsidP="00D46B53">
      <w:pPr>
        <w:numPr>
          <w:ilvl w:val="0"/>
          <w:numId w:val="548"/>
        </w:numPr>
        <w:tabs>
          <w:tab w:val="left" w:pos="193"/>
        </w:tabs>
        <w:ind w:left="4" w:hanging="4"/>
        <w:rPr>
          <w:rFonts w:eastAsia="Times New Roman"/>
          <w:szCs w:val="24"/>
        </w:rPr>
      </w:pPr>
      <w:r w:rsidRPr="00FC3B7C">
        <w:rPr>
          <w:rFonts w:eastAsia="Times New Roman"/>
          <w:szCs w:val="24"/>
        </w:rPr>
        <w:t>opakující se deficity státního rozpočtu se stávají chronickými; týká se téměř všech vyspělých zemí -problém (dluhová služba pohlcuje velkou část běžných výdajů, které potom nelze využít na jiné účely); proti chronickým deficitům působí Maastrichtská kritéria –</w:t>
      </w:r>
      <w:r w:rsidR="00597735">
        <w:rPr>
          <w:rFonts w:eastAsia="Times New Roman"/>
          <w:szCs w:val="24"/>
        </w:rPr>
        <w:br/>
      </w:r>
      <w:r w:rsidRPr="00FC3B7C">
        <w:rPr>
          <w:rFonts w:eastAsia="Times New Roman"/>
          <w:szCs w:val="24"/>
        </w:rPr>
        <w:t>v jednom z nich je stanoven podíl primárního deficitu na HDP ve výši 3%.</w:t>
      </w:r>
    </w:p>
    <w:p w14:paraId="4A6F584D" w14:textId="77777777" w:rsidR="008E0F74" w:rsidRPr="00FC3B7C" w:rsidRDefault="008E0F74">
      <w:pPr>
        <w:spacing w:line="188" w:lineRule="exact"/>
        <w:rPr>
          <w:sz w:val="20"/>
          <w:szCs w:val="20"/>
        </w:rPr>
      </w:pPr>
    </w:p>
    <w:p w14:paraId="4A6F584E" w14:textId="77777777" w:rsidR="008E0F74" w:rsidRPr="00353E4B" w:rsidRDefault="00256F29" w:rsidP="00597735">
      <w:pPr>
        <w:pStyle w:val="Nadpis4"/>
        <w:rPr>
          <w:color w:val="1F3864" w:themeColor="accent1" w:themeShade="80"/>
          <w:sz w:val="20"/>
          <w:szCs w:val="20"/>
        </w:rPr>
      </w:pPr>
      <w:r w:rsidRPr="00353E4B">
        <w:rPr>
          <w:rFonts w:eastAsia="Times New Roman"/>
          <w:color w:val="1F3864" w:themeColor="accent1" w:themeShade="80"/>
        </w:rPr>
        <w:t>Důsledky rozpočtového deficitu</w:t>
      </w:r>
    </w:p>
    <w:p w14:paraId="4A6F584F" w14:textId="77777777" w:rsidR="008E0F74" w:rsidRPr="00FC3B7C" w:rsidRDefault="00256F29" w:rsidP="003C62EA">
      <w:pPr>
        <w:spacing w:before="240"/>
        <w:ind w:left="4"/>
        <w:rPr>
          <w:sz w:val="20"/>
          <w:szCs w:val="20"/>
        </w:rPr>
      </w:pPr>
      <w:r w:rsidRPr="00FC3B7C">
        <w:rPr>
          <w:rFonts w:eastAsia="Times New Roman"/>
          <w:b/>
          <w:bCs/>
          <w:szCs w:val="24"/>
        </w:rPr>
        <w:t>Důsledky rozpočtové</w:t>
      </w:r>
    </w:p>
    <w:p w14:paraId="4A6F5850" w14:textId="77777777" w:rsidR="008E0F74" w:rsidRPr="00FC3B7C" w:rsidRDefault="00256F29" w:rsidP="00597735">
      <w:pPr>
        <w:ind w:left="4"/>
        <w:rPr>
          <w:sz w:val="20"/>
          <w:szCs w:val="20"/>
        </w:rPr>
      </w:pPr>
      <w:r w:rsidRPr="00FC3B7C">
        <w:rPr>
          <w:rFonts w:eastAsia="Times New Roman"/>
          <w:szCs w:val="24"/>
        </w:rPr>
        <w:t>V krátkém období mohou být i pozitivní a naopak v dlouhém období jsou jednoznačně negativní.</w:t>
      </w:r>
    </w:p>
    <w:p w14:paraId="4A6F5851" w14:textId="77777777" w:rsidR="008E0F74" w:rsidRPr="00FC3B7C" w:rsidRDefault="00256F29" w:rsidP="00597735">
      <w:pPr>
        <w:ind w:left="4"/>
        <w:rPr>
          <w:sz w:val="20"/>
          <w:szCs w:val="20"/>
        </w:rPr>
      </w:pPr>
      <w:r w:rsidRPr="00FC3B7C">
        <w:rPr>
          <w:rFonts w:eastAsia="Times New Roman"/>
          <w:szCs w:val="24"/>
        </w:rPr>
        <w:t xml:space="preserve">Krátkodobé pozitivní hodnocení – vychází z toho, že rozpočtový deficit umožňuje změkčení vládního rozpočtového omezení (např. když se objeví vlivy, které silně působí na zvýšení výdajů nebo snížení příjmů); změkčené rozpočtové omezení umožní zmírnit negativní dopad takového šoku na druhou stranu rozpočtu (př. v případě negativního výdajového šoku </w:t>
      </w:r>
      <w:r w:rsidR="00597735">
        <w:rPr>
          <w:rFonts w:eastAsia="Times New Roman"/>
          <w:szCs w:val="24"/>
        </w:rPr>
        <w:br/>
      </w:r>
      <w:r w:rsidRPr="00FC3B7C">
        <w:rPr>
          <w:rFonts w:eastAsia="Times New Roman"/>
          <w:szCs w:val="24"/>
        </w:rPr>
        <w:t>v důsledku přírodní katastrofy nemusí dojít k velkému zvýšení daní).</w:t>
      </w:r>
    </w:p>
    <w:p w14:paraId="4A6F5852" w14:textId="77777777" w:rsidR="008E0F74" w:rsidRPr="00FC3B7C" w:rsidRDefault="00256F29" w:rsidP="00597735">
      <w:pPr>
        <w:ind w:left="4"/>
        <w:rPr>
          <w:sz w:val="20"/>
          <w:szCs w:val="20"/>
        </w:rPr>
      </w:pPr>
      <w:r w:rsidRPr="00FC3B7C">
        <w:rPr>
          <w:rFonts w:eastAsia="Times New Roman"/>
          <w:sz w:val="23"/>
          <w:szCs w:val="23"/>
        </w:rPr>
        <w:t>Dlouhodobý negativní rozpočtový důsledek – vyplývá z toho, že je nutno jej nějakým způsobem krýt (při dluhovém krytí roste úroková zátěž; peněžní krytí vede k inflačním tlakům).</w:t>
      </w:r>
    </w:p>
    <w:p w14:paraId="4A6F5853" w14:textId="77777777" w:rsidR="008E0F74" w:rsidRPr="00FC3B7C" w:rsidRDefault="00256F29" w:rsidP="003C62EA">
      <w:pPr>
        <w:spacing w:before="240"/>
        <w:ind w:left="4"/>
        <w:rPr>
          <w:sz w:val="20"/>
          <w:szCs w:val="20"/>
        </w:rPr>
      </w:pPr>
      <w:r w:rsidRPr="00FC3B7C">
        <w:rPr>
          <w:rFonts w:eastAsia="Times New Roman"/>
          <w:b/>
          <w:bCs/>
          <w:szCs w:val="24"/>
        </w:rPr>
        <w:t>Důsledky fiskální (makroekonomické)</w:t>
      </w:r>
    </w:p>
    <w:p w14:paraId="4A6F5854" w14:textId="77777777" w:rsidR="008E0F74" w:rsidRPr="00FC3B7C" w:rsidRDefault="00256F29" w:rsidP="00597735">
      <w:pPr>
        <w:ind w:left="4"/>
        <w:rPr>
          <w:sz w:val="20"/>
          <w:szCs w:val="20"/>
        </w:rPr>
      </w:pPr>
      <w:r w:rsidRPr="00FC3B7C">
        <w:rPr>
          <w:rFonts w:eastAsia="Times New Roman"/>
          <w:szCs w:val="24"/>
        </w:rPr>
        <w:t>Názory na fiskální důsledky nejsou jednotné – liší se podle jednotlivých proudů ekonomických teorií.</w:t>
      </w:r>
    </w:p>
    <w:p w14:paraId="4A6F5855" w14:textId="77777777" w:rsidR="008E0F74" w:rsidRPr="00FC3B7C" w:rsidRDefault="00256F29" w:rsidP="00D46B53">
      <w:pPr>
        <w:numPr>
          <w:ilvl w:val="0"/>
          <w:numId w:val="549"/>
        </w:numPr>
        <w:tabs>
          <w:tab w:val="left" w:pos="844"/>
        </w:tabs>
        <w:ind w:left="844" w:hanging="353"/>
        <w:rPr>
          <w:rFonts w:eastAsia="Arial"/>
          <w:szCs w:val="24"/>
        </w:rPr>
      </w:pPr>
      <w:r w:rsidRPr="00FC3B7C">
        <w:rPr>
          <w:rFonts w:eastAsia="Times New Roman"/>
          <w:szCs w:val="24"/>
        </w:rPr>
        <w:t>keynesiánci – hodnotí makroeko. důsledky deficitu za jistých podmínek pozitivně</w:t>
      </w:r>
    </w:p>
    <w:p w14:paraId="4A6F5856" w14:textId="77777777" w:rsidR="008E0F74" w:rsidRPr="00FC3B7C" w:rsidRDefault="00256F29" w:rsidP="00D46B53">
      <w:pPr>
        <w:numPr>
          <w:ilvl w:val="0"/>
          <w:numId w:val="549"/>
        </w:numPr>
        <w:tabs>
          <w:tab w:val="left" w:pos="844"/>
        </w:tabs>
        <w:ind w:left="844" w:hanging="353"/>
        <w:rPr>
          <w:rFonts w:eastAsia="Arial"/>
          <w:szCs w:val="24"/>
        </w:rPr>
      </w:pPr>
      <w:r w:rsidRPr="00FC3B7C">
        <w:rPr>
          <w:rFonts w:eastAsia="Times New Roman"/>
          <w:szCs w:val="24"/>
        </w:rPr>
        <w:t>neoklasikové – deficit odmítají, hodnotí jej negativně</w:t>
      </w:r>
    </w:p>
    <w:p w14:paraId="4A6F5857" w14:textId="77777777" w:rsidR="008E0F74" w:rsidRPr="00FC3B7C" w:rsidRDefault="008E0F74">
      <w:pPr>
        <w:spacing w:line="375" w:lineRule="exact"/>
        <w:rPr>
          <w:sz w:val="20"/>
          <w:szCs w:val="20"/>
        </w:rPr>
      </w:pPr>
    </w:p>
    <w:p w14:paraId="4A6F5858" w14:textId="77777777" w:rsidR="008E0F74" w:rsidRPr="00353E4B" w:rsidRDefault="00256F29" w:rsidP="00597735">
      <w:pPr>
        <w:pStyle w:val="Nadpis4"/>
        <w:rPr>
          <w:color w:val="1F3864" w:themeColor="accent1" w:themeShade="80"/>
          <w:sz w:val="20"/>
          <w:szCs w:val="20"/>
        </w:rPr>
      </w:pPr>
      <w:r w:rsidRPr="00353E4B">
        <w:rPr>
          <w:rFonts w:eastAsia="Times New Roman"/>
          <w:color w:val="1F3864" w:themeColor="accent1" w:themeShade="80"/>
        </w:rPr>
        <w:t>Možnosti financování rozpočtového deficitu</w:t>
      </w:r>
    </w:p>
    <w:p w14:paraId="4A6F5859" w14:textId="77777777" w:rsidR="008E0F74" w:rsidRPr="00FC3B7C" w:rsidRDefault="00256F29" w:rsidP="00597735">
      <w:pPr>
        <w:ind w:left="4"/>
        <w:rPr>
          <w:sz w:val="20"/>
          <w:szCs w:val="20"/>
        </w:rPr>
      </w:pPr>
      <w:r w:rsidRPr="00FC3B7C">
        <w:rPr>
          <w:rFonts w:eastAsia="Times New Roman"/>
          <w:szCs w:val="24"/>
        </w:rPr>
        <w:t>Způsobů je mnoho – některé jsou reálně používané, některé spíše teoretické:</w:t>
      </w:r>
    </w:p>
    <w:p w14:paraId="4A6F585A" w14:textId="77777777" w:rsidR="008E0F74" w:rsidRPr="00FC3B7C" w:rsidRDefault="00256F29" w:rsidP="00D46B53">
      <w:pPr>
        <w:numPr>
          <w:ilvl w:val="0"/>
          <w:numId w:val="550"/>
        </w:numPr>
        <w:tabs>
          <w:tab w:val="left" w:pos="1004"/>
        </w:tabs>
        <w:ind w:left="1004" w:hanging="358"/>
        <w:rPr>
          <w:rFonts w:eastAsia="Arial"/>
          <w:szCs w:val="24"/>
        </w:rPr>
      </w:pPr>
      <w:r w:rsidRPr="00FC3B7C">
        <w:rPr>
          <w:rFonts w:eastAsia="Times New Roman"/>
          <w:szCs w:val="24"/>
        </w:rPr>
        <w:t>zvýšení veřejných příjmů (= zvýšení daní)</w:t>
      </w:r>
    </w:p>
    <w:p w14:paraId="4A6F585B" w14:textId="77777777" w:rsidR="008E0F74" w:rsidRPr="00FC3B7C" w:rsidRDefault="00256F29" w:rsidP="00D46B53">
      <w:pPr>
        <w:numPr>
          <w:ilvl w:val="0"/>
          <w:numId w:val="550"/>
        </w:numPr>
        <w:tabs>
          <w:tab w:val="left" w:pos="1004"/>
        </w:tabs>
        <w:ind w:left="1004" w:hanging="358"/>
        <w:rPr>
          <w:rFonts w:eastAsia="Arial"/>
          <w:szCs w:val="24"/>
        </w:rPr>
      </w:pPr>
      <w:r w:rsidRPr="00FC3B7C">
        <w:rPr>
          <w:rFonts w:eastAsia="Times New Roman"/>
          <w:szCs w:val="24"/>
        </w:rPr>
        <w:t>snížení veřejných výdajů</w:t>
      </w:r>
    </w:p>
    <w:p w14:paraId="4A6F585C" w14:textId="77777777" w:rsidR="008E0F74" w:rsidRPr="00FC3B7C" w:rsidRDefault="00256F29" w:rsidP="00D46B53">
      <w:pPr>
        <w:numPr>
          <w:ilvl w:val="0"/>
          <w:numId w:val="550"/>
        </w:numPr>
        <w:tabs>
          <w:tab w:val="left" w:pos="1004"/>
        </w:tabs>
        <w:ind w:left="1004" w:hanging="358"/>
        <w:rPr>
          <w:rFonts w:eastAsia="Arial"/>
          <w:szCs w:val="24"/>
        </w:rPr>
      </w:pPr>
      <w:r w:rsidRPr="00FC3B7C">
        <w:rPr>
          <w:rFonts w:eastAsia="Times New Roman"/>
          <w:szCs w:val="24"/>
        </w:rPr>
        <w:lastRenderedPageBreak/>
        <w:t>prostředky z privatizace, z prodeje státních licencí, apod.</w:t>
      </w:r>
    </w:p>
    <w:p w14:paraId="4A6F585D" w14:textId="77777777" w:rsidR="008E0F74" w:rsidRPr="00FC3B7C" w:rsidRDefault="00256F29" w:rsidP="00D46B53">
      <w:pPr>
        <w:numPr>
          <w:ilvl w:val="0"/>
          <w:numId w:val="550"/>
        </w:numPr>
        <w:tabs>
          <w:tab w:val="left" w:pos="1004"/>
        </w:tabs>
        <w:ind w:left="1004" w:hanging="358"/>
        <w:rPr>
          <w:rFonts w:eastAsia="Arial"/>
          <w:szCs w:val="24"/>
        </w:rPr>
      </w:pPr>
      <w:r w:rsidRPr="00FC3B7C">
        <w:rPr>
          <w:rFonts w:eastAsia="Times New Roman"/>
          <w:szCs w:val="24"/>
        </w:rPr>
        <w:t>dluhové financování</w:t>
      </w:r>
    </w:p>
    <w:p w14:paraId="4A6F585E" w14:textId="77777777" w:rsidR="008E0F74" w:rsidRPr="00FC3B7C" w:rsidRDefault="00256F29" w:rsidP="00D46B53">
      <w:pPr>
        <w:numPr>
          <w:ilvl w:val="0"/>
          <w:numId w:val="550"/>
        </w:numPr>
        <w:tabs>
          <w:tab w:val="left" w:pos="1004"/>
        </w:tabs>
        <w:ind w:left="1004" w:hanging="358"/>
        <w:rPr>
          <w:rFonts w:eastAsia="Arial"/>
          <w:szCs w:val="24"/>
        </w:rPr>
      </w:pPr>
      <w:r w:rsidRPr="00FC3B7C">
        <w:rPr>
          <w:rFonts w:eastAsia="Times New Roman"/>
          <w:szCs w:val="24"/>
        </w:rPr>
        <w:t>emisní financování</w:t>
      </w:r>
    </w:p>
    <w:p w14:paraId="4A6F585F" w14:textId="77777777" w:rsidR="008E0F74" w:rsidRPr="00FC3B7C" w:rsidRDefault="00256F29" w:rsidP="00D46B53">
      <w:pPr>
        <w:numPr>
          <w:ilvl w:val="0"/>
          <w:numId w:val="550"/>
        </w:numPr>
        <w:tabs>
          <w:tab w:val="left" w:pos="1004"/>
        </w:tabs>
        <w:ind w:left="1004" w:hanging="360"/>
        <w:rPr>
          <w:rFonts w:eastAsia="Arial"/>
          <w:szCs w:val="24"/>
        </w:rPr>
      </w:pPr>
      <w:r w:rsidRPr="00FC3B7C">
        <w:rPr>
          <w:rFonts w:eastAsia="Times New Roman"/>
          <w:szCs w:val="24"/>
        </w:rPr>
        <w:t>kombinace výše uvedených</w:t>
      </w:r>
    </w:p>
    <w:p w14:paraId="4A6F5861" w14:textId="77777777" w:rsidR="008E0F74" w:rsidRPr="00FC3B7C" w:rsidRDefault="00256F29" w:rsidP="003C62EA">
      <w:pPr>
        <w:spacing w:before="240"/>
        <w:ind w:right="40"/>
        <w:rPr>
          <w:sz w:val="20"/>
          <w:szCs w:val="20"/>
        </w:rPr>
      </w:pPr>
      <w:bookmarkStart w:id="491" w:name="page505"/>
      <w:bookmarkEnd w:id="491"/>
      <w:r w:rsidRPr="00FC3B7C">
        <w:rPr>
          <w:rFonts w:eastAsia="Times New Roman"/>
          <w:b/>
          <w:bCs/>
          <w:szCs w:val="24"/>
        </w:rPr>
        <w:t xml:space="preserve">Zvýšení veřejných příjmů (popř. snížení výdajů) </w:t>
      </w:r>
      <w:r w:rsidRPr="00FC3B7C">
        <w:rPr>
          <w:rFonts w:eastAsia="Times New Roman"/>
          <w:szCs w:val="24"/>
        </w:rPr>
        <w:t>– ve skutečnosti spíše teoretické – oba</w:t>
      </w:r>
      <w:r w:rsidRPr="00FC3B7C">
        <w:rPr>
          <w:rFonts w:eastAsia="Times New Roman"/>
          <w:b/>
          <w:bCs/>
          <w:szCs w:val="24"/>
        </w:rPr>
        <w:t xml:space="preserve"> </w:t>
      </w:r>
      <w:r w:rsidRPr="00FC3B7C">
        <w:rPr>
          <w:rFonts w:eastAsia="Times New Roman"/>
          <w:szCs w:val="24"/>
        </w:rPr>
        <w:t>způsoby jsou nepřitažlivé pro voliče, tudíž se jim většina vlád raději vyhne.</w:t>
      </w:r>
    </w:p>
    <w:p w14:paraId="4A6F5862" w14:textId="77777777" w:rsidR="008E0F74" w:rsidRPr="00FC3B7C" w:rsidRDefault="00256F29" w:rsidP="003C62EA">
      <w:pPr>
        <w:spacing w:after="240"/>
        <w:ind w:right="40"/>
        <w:rPr>
          <w:sz w:val="20"/>
          <w:szCs w:val="20"/>
        </w:rPr>
      </w:pPr>
      <w:r w:rsidRPr="00FC3B7C">
        <w:rPr>
          <w:rFonts w:eastAsia="Times New Roman"/>
          <w:b/>
          <w:bCs/>
          <w:szCs w:val="24"/>
        </w:rPr>
        <w:t xml:space="preserve">Využití prostředků z privatizace státního majetku </w:t>
      </w:r>
      <w:r w:rsidRPr="00FC3B7C">
        <w:rPr>
          <w:rFonts w:eastAsia="Times New Roman"/>
          <w:szCs w:val="24"/>
        </w:rPr>
        <w:t>– způsob reálný, ale ve většině</w:t>
      </w:r>
      <w:r w:rsidRPr="00FC3B7C">
        <w:rPr>
          <w:rFonts w:eastAsia="Times New Roman"/>
          <w:b/>
          <w:bCs/>
          <w:szCs w:val="24"/>
        </w:rPr>
        <w:t xml:space="preserve"> </w:t>
      </w:r>
      <w:r w:rsidRPr="00FC3B7C">
        <w:rPr>
          <w:rFonts w:eastAsia="Times New Roman"/>
          <w:szCs w:val="24"/>
        </w:rPr>
        <w:t>zemí</w:t>
      </w:r>
      <w:r w:rsidRPr="00FC3B7C">
        <w:rPr>
          <w:rFonts w:eastAsia="Times New Roman"/>
          <w:b/>
          <w:bCs/>
          <w:szCs w:val="24"/>
        </w:rPr>
        <w:t xml:space="preserve"> </w:t>
      </w:r>
      <w:r w:rsidRPr="00FC3B7C">
        <w:rPr>
          <w:rFonts w:eastAsia="Times New Roman"/>
          <w:szCs w:val="24"/>
        </w:rPr>
        <w:t>časově omezený.</w:t>
      </w:r>
    </w:p>
    <w:p w14:paraId="4A6F5863" w14:textId="77777777" w:rsidR="008E0F74" w:rsidRPr="00FC3B7C" w:rsidRDefault="00256F29" w:rsidP="00597735">
      <w:pPr>
        <w:ind w:right="40"/>
        <w:rPr>
          <w:sz w:val="20"/>
          <w:szCs w:val="20"/>
        </w:rPr>
      </w:pPr>
      <w:r w:rsidRPr="00FC3B7C">
        <w:rPr>
          <w:rFonts w:eastAsia="Times New Roman"/>
          <w:b/>
          <w:bCs/>
          <w:szCs w:val="24"/>
        </w:rPr>
        <w:t xml:space="preserve">Dluhové financování </w:t>
      </w:r>
      <w:r w:rsidRPr="00FC3B7C">
        <w:rPr>
          <w:rFonts w:eastAsia="Times New Roman"/>
          <w:szCs w:val="24"/>
        </w:rPr>
        <w:t>– subjekty (firmy, bankovní instituce, fyzické osoby, někdy i centrální</w:t>
      </w:r>
      <w:r w:rsidRPr="00FC3B7C">
        <w:rPr>
          <w:rFonts w:eastAsia="Times New Roman"/>
          <w:b/>
          <w:bCs/>
          <w:szCs w:val="24"/>
        </w:rPr>
        <w:t xml:space="preserve"> </w:t>
      </w:r>
      <w:r w:rsidRPr="00FC3B7C">
        <w:rPr>
          <w:rFonts w:eastAsia="Times New Roman"/>
          <w:szCs w:val="24"/>
        </w:rPr>
        <w:t>banka) nakupují státní cenné papíry (dluhopisy) – podstatou dluhového financování je transformace deficitu do veřejného dluhu (domácího nebo zahraničního). Pokud státní dluhopisy nakupují domácí subjekty, nemohou pak tyto domácí úspory být využity na jiné účely (investice), dochází k efektu vytěsňování.</w:t>
      </w:r>
    </w:p>
    <w:p w14:paraId="4A6F5864" w14:textId="77777777" w:rsidR="008E0F74" w:rsidRPr="00FC3B7C" w:rsidRDefault="00256F29" w:rsidP="003C62EA">
      <w:pPr>
        <w:spacing w:after="240"/>
        <w:ind w:right="40"/>
        <w:rPr>
          <w:sz w:val="20"/>
          <w:szCs w:val="20"/>
        </w:rPr>
      </w:pPr>
      <w:r w:rsidRPr="00FC3B7C">
        <w:rPr>
          <w:rFonts w:eastAsia="Times New Roman"/>
          <w:szCs w:val="24"/>
        </w:rPr>
        <w:t xml:space="preserve">Pokud státní dluhopisy nakupuje centrální banka (na primárním trhu – přímo od státu; nebo na sekundárním trhu – od bankovních a nebankovních subjektů), dochází k zvýšení měnové báze s možností růstu inflačních tlaků = </w:t>
      </w:r>
      <w:r w:rsidRPr="00FC3B7C">
        <w:rPr>
          <w:rFonts w:eastAsia="Times New Roman"/>
          <w:b/>
          <w:bCs/>
          <w:szCs w:val="24"/>
        </w:rPr>
        <w:t>tzv. monetizace dluhu</w:t>
      </w:r>
      <w:r w:rsidRPr="00FC3B7C">
        <w:rPr>
          <w:rFonts w:eastAsia="Times New Roman"/>
          <w:szCs w:val="24"/>
        </w:rPr>
        <w:t xml:space="preserve"> (z důvodu nebezpečí zvýšení inflace je v mnoha zemích rozsah monetizace dluhu limitován nebo zakázán). Dluhové financování je </w:t>
      </w:r>
      <w:r w:rsidRPr="00FC3B7C">
        <w:rPr>
          <w:rFonts w:eastAsia="Times New Roman"/>
          <w:b/>
          <w:bCs/>
          <w:szCs w:val="24"/>
        </w:rPr>
        <w:t>nejčastější způsob</w:t>
      </w:r>
      <w:r w:rsidRPr="00FC3B7C">
        <w:rPr>
          <w:rFonts w:eastAsia="Times New Roman"/>
          <w:szCs w:val="24"/>
        </w:rPr>
        <w:t xml:space="preserve"> ve většině vyspělých zemí.</w:t>
      </w:r>
    </w:p>
    <w:p w14:paraId="4A6F5865" w14:textId="77777777" w:rsidR="008E0F74" w:rsidRPr="00FC3B7C" w:rsidRDefault="00256F29" w:rsidP="00597735">
      <w:pPr>
        <w:ind w:right="40"/>
        <w:rPr>
          <w:sz w:val="20"/>
          <w:szCs w:val="20"/>
        </w:rPr>
      </w:pPr>
      <w:r w:rsidRPr="00FC3B7C">
        <w:rPr>
          <w:rFonts w:eastAsia="Times New Roman"/>
          <w:b/>
          <w:bCs/>
          <w:szCs w:val="24"/>
        </w:rPr>
        <w:t xml:space="preserve">Emisní financování </w:t>
      </w:r>
      <w:r w:rsidRPr="00FC3B7C">
        <w:rPr>
          <w:rFonts w:eastAsia="Times New Roman"/>
          <w:szCs w:val="24"/>
        </w:rPr>
        <w:t>– centrální banka poskytuje přímý</w:t>
      </w:r>
      <w:r w:rsidRPr="00FC3B7C">
        <w:rPr>
          <w:rFonts w:eastAsia="Times New Roman"/>
          <w:b/>
          <w:bCs/>
          <w:szCs w:val="24"/>
        </w:rPr>
        <w:t xml:space="preserve"> </w:t>
      </w:r>
      <w:r w:rsidRPr="00FC3B7C">
        <w:rPr>
          <w:rFonts w:eastAsia="Times New Roman"/>
          <w:szCs w:val="24"/>
        </w:rPr>
        <w:t>(státními cennými papíry nekrytý)</w:t>
      </w:r>
      <w:r w:rsidRPr="00FC3B7C">
        <w:rPr>
          <w:rFonts w:eastAsia="Times New Roman"/>
          <w:b/>
          <w:bCs/>
          <w:szCs w:val="24"/>
        </w:rPr>
        <w:t xml:space="preserve"> </w:t>
      </w:r>
      <w:r w:rsidRPr="00FC3B7C">
        <w:rPr>
          <w:rFonts w:eastAsia="Times New Roman"/>
          <w:szCs w:val="24"/>
        </w:rPr>
        <w:t>úvěr vládě. Ve většině zemí je toto legislativně omezeno nebo zakázáno (ustanovením nezávislého postavení CB ze zákona) – včetně ČR.</w:t>
      </w:r>
    </w:p>
    <w:p w14:paraId="4A6F5866" w14:textId="77777777" w:rsidR="008E0F74" w:rsidRPr="00FC3B7C" w:rsidRDefault="008E0F74">
      <w:pPr>
        <w:spacing w:line="200" w:lineRule="exact"/>
        <w:rPr>
          <w:sz w:val="20"/>
          <w:szCs w:val="20"/>
        </w:rPr>
      </w:pPr>
    </w:p>
    <w:p w14:paraId="4A6F5867" w14:textId="77777777" w:rsidR="008E0F74" w:rsidRPr="00FC3B7C" w:rsidRDefault="008E0F74">
      <w:pPr>
        <w:spacing w:line="215" w:lineRule="exact"/>
        <w:rPr>
          <w:sz w:val="20"/>
          <w:szCs w:val="20"/>
        </w:rPr>
      </w:pPr>
    </w:p>
    <w:p w14:paraId="4A6F5868" w14:textId="77777777" w:rsidR="008E0F74" w:rsidRPr="00244BB9" w:rsidRDefault="00256F29" w:rsidP="00597735">
      <w:pPr>
        <w:pStyle w:val="Nadpis2"/>
        <w:rPr>
          <w:color w:val="1F3864" w:themeColor="accent1" w:themeShade="80"/>
          <w:sz w:val="20"/>
          <w:szCs w:val="20"/>
        </w:rPr>
      </w:pPr>
      <w:r w:rsidRPr="00244BB9">
        <w:rPr>
          <w:rFonts w:eastAsia="Times New Roman"/>
          <w:color w:val="1F3864" w:themeColor="accent1" w:themeShade="80"/>
        </w:rPr>
        <w:t>VEŘEJNÝ DLUH</w:t>
      </w:r>
    </w:p>
    <w:p w14:paraId="27AD9E83" w14:textId="1093D3EA" w:rsidR="00155F00" w:rsidRPr="00FC3B7C" w:rsidRDefault="00155F00" w:rsidP="003C62EA">
      <w:pPr>
        <w:spacing w:after="240"/>
      </w:pPr>
      <w:r w:rsidRPr="00155F00">
        <w:t>Veřejný dluh vůči HDP</w:t>
      </w:r>
      <w:r>
        <w:t xml:space="preserve"> = </w:t>
      </w:r>
      <w:r w:rsidRPr="003C62EA">
        <w:rPr>
          <w:b/>
          <w:bCs/>
        </w:rPr>
        <w:t>31.08 % (rok 2020)</w:t>
      </w:r>
    </w:p>
    <w:p w14:paraId="4A6F5869" w14:textId="24BFB81D" w:rsidR="008E0F74" w:rsidRPr="00FC3B7C" w:rsidRDefault="00256F29" w:rsidP="003C62EA">
      <w:pPr>
        <w:spacing w:after="240"/>
        <w:rPr>
          <w:sz w:val="20"/>
          <w:szCs w:val="20"/>
        </w:rPr>
      </w:pPr>
      <w:r w:rsidRPr="00FC3B7C">
        <w:rPr>
          <w:rFonts w:eastAsia="Times New Roman"/>
        </w:rPr>
        <w:t xml:space="preserve">Většinou má formu vládních (středně a dlouhodobých) dluhopisů. Podle toho, kdo dluhopisy nakupuje a vlastní, rozlišujeme: </w:t>
      </w:r>
      <w:r w:rsidRPr="00FC3B7C">
        <w:rPr>
          <w:rFonts w:eastAsia="Times New Roman"/>
          <w:b/>
          <w:bCs/>
        </w:rPr>
        <w:t>veřejný</w:t>
      </w:r>
      <w:r w:rsidRPr="00FC3B7C">
        <w:rPr>
          <w:rFonts w:eastAsia="Times New Roman"/>
        </w:rPr>
        <w:t xml:space="preserve"> </w:t>
      </w:r>
      <w:r w:rsidRPr="00FC3B7C">
        <w:rPr>
          <w:rFonts w:eastAsia="Times New Roman"/>
          <w:b/>
          <w:bCs/>
        </w:rPr>
        <w:t>dluh vnitřní</w:t>
      </w:r>
      <w:r w:rsidRPr="00FC3B7C">
        <w:rPr>
          <w:rFonts w:eastAsia="Times New Roman"/>
        </w:rPr>
        <w:t xml:space="preserve"> (domácí) a </w:t>
      </w:r>
      <w:r w:rsidRPr="00FC3B7C">
        <w:rPr>
          <w:rFonts w:eastAsia="Times New Roman"/>
          <w:b/>
          <w:bCs/>
        </w:rPr>
        <w:t>veřejný</w:t>
      </w:r>
      <w:r w:rsidRPr="00FC3B7C">
        <w:rPr>
          <w:rFonts w:eastAsia="Times New Roman"/>
        </w:rPr>
        <w:t xml:space="preserve"> </w:t>
      </w:r>
      <w:r w:rsidRPr="00FC3B7C">
        <w:rPr>
          <w:rFonts w:eastAsia="Times New Roman"/>
          <w:b/>
          <w:bCs/>
        </w:rPr>
        <w:t>dluh vnější</w:t>
      </w:r>
      <w:r w:rsidRPr="00FC3B7C">
        <w:rPr>
          <w:rFonts w:eastAsia="Times New Roman"/>
        </w:rPr>
        <w:t xml:space="preserve"> (zahraniční). Dluhopisy nakupují subjekty bankovní i nebankovní.</w:t>
      </w:r>
    </w:p>
    <w:p w14:paraId="4A6F586A" w14:textId="77777777" w:rsidR="008E0F74" w:rsidRPr="00FC3B7C" w:rsidRDefault="00256F29" w:rsidP="003C62EA">
      <w:pPr>
        <w:spacing w:after="240"/>
        <w:rPr>
          <w:sz w:val="20"/>
          <w:szCs w:val="20"/>
        </w:rPr>
      </w:pPr>
      <w:r w:rsidRPr="00FC3B7C">
        <w:rPr>
          <w:rFonts w:eastAsia="Times New Roman"/>
        </w:rPr>
        <w:t xml:space="preserve">Souvisí s rozpočtovými deficity, je vyústěním dlouhodobé fiskální nerovnováhy. Veřejný dluh však nemusí být pouhým součtem minulých rozpočtových deficitů, protože má i další příčiny. Např. také rozpočtový deficit nemusí nutně ústit do dluhu (když se profinancuje jinak, než dluhovým krytím). Dále existují mimorozpočtové příčiny vzniku veřejného dluhu </w:t>
      </w:r>
      <w:r w:rsidRPr="00FC3B7C">
        <w:rPr>
          <w:rFonts w:eastAsia="Times New Roman"/>
        </w:rPr>
        <w:lastRenderedPageBreak/>
        <w:t>(př. když stát převezme závazky jiných subjektů), stát může mít veřejný dluh bez řady předchozích rozpočtových deficitů. A dále rozpočtový deficit zachycuje veřejné finanční toky procházející rozpočtem – k veřejnému dluhu však mohou přispívat i deficity některých mimorozpočtových fondů.</w:t>
      </w:r>
    </w:p>
    <w:p w14:paraId="4A6F586B" w14:textId="77777777" w:rsidR="008E0F74" w:rsidRPr="00FC3B7C" w:rsidRDefault="00256F29" w:rsidP="00597735">
      <w:pPr>
        <w:ind w:left="4"/>
        <w:rPr>
          <w:sz w:val="20"/>
          <w:szCs w:val="20"/>
        </w:rPr>
      </w:pPr>
      <w:bookmarkStart w:id="492" w:name="page506"/>
      <w:bookmarkEnd w:id="492"/>
      <w:r w:rsidRPr="00FC3B7C">
        <w:rPr>
          <w:rFonts w:eastAsia="Times New Roman"/>
          <w:szCs w:val="24"/>
        </w:rPr>
        <w:t xml:space="preserve">Veřejný dluh je tedy </w:t>
      </w:r>
      <w:r w:rsidRPr="00FC3B7C">
        <w:rPr>
          <w:rFonts w:eastAsia="Times New Roman"/>
          <w:b/>
          <w:bCs/>
          <w:szCs w:val="24"/>
        </w:rPr>
        <w:t>souhrn pohledávek ostatních ekonomických subjektů</w:t>
      </w:r>
      <w:r w:rsidRPr="00FC3B7C">
        <w:rPr>
          <w:rFonts w:eastAsia="Times New Roman"/>
          <w:szCs w:val="24"/>
        </w:rPr>
        <w:t xml:space="preserve"> vůči státu (ale</w:t>
      </w:r>
    </w:p>
    <w:p w14:paraId="4A6F586C" w14:textId="3DA22919" w:rsidR="008E0F74" w:rsidRPr="00597735" w:rsidRDefault="00256F29" w:rsidP="00D46B53">
      <w:pPr>
        <w:numPr>
          <w:ilvl w:val="0"/>
          <w:numId w:val="551"/>
        </w:numPr>
        <w:tabs>
          <w:tab w:val="left" w:pos="208"/>
        </w:tabs>
        <w:spacing w:after="240"/>
        <w:ind w:left="4" w:right="40" w:hanging="4"/>
        <w:rPr>
          <w:rFonts w:eastAsia="Times New Roman"/>
          <w:sz w:val="23"/>
          <w:szCs w:val="23"/>
        </w:rPr>
      </w:pPr>
      <w:r w:rsidRPr="00FC3B7C">
        <w:rPr>
          <w:rFonts w:eastAsia="Times New Roman"/>
          <w:sz w:val="23"/>
          <w:szCs w:val="23"/>
        </w:rPr>
        <w:t xml:space="preserve">vůči mimorozpočtovým fondům, nižším článkům samosprávy, veřejným podnikům </w:t>
      </w:r>
      <w:r w:rsidR="00597735">
        <w:rPr>
          <w:rFonts w:eastAsia="Times New Roman"/>
          <w:sz w:val="23"/>
          <w:szCs w:val="23"/>
        </w:rPr>
        <w:br/>
      </w:r>
      <w:r w:rsidRPr="00FC3B7C">
        <w:rPr>
          <w:rFonts w:eastAsia="Times New Roman"/>
          <w:sz w:val="23"/>
          <w:szCs w:val="23"/>
        </w:rPr>
        <w:t xml:space="preserve">a veřejnoprávním institucím) – bez ohledu, zda vznikly rozpočtovou či jinou cestou. Nebo jinak, veřejný dluh je </w:t>
      </w:r>
      <w:r w:rsidRPr="00FC3B7C">
        <w:rPr>
          <w:rFonts w:eastAsia="Times New Roman"/>
          <w:b/>
          <w:bCs/>
          <w:sz w:val="23"/>
          <w:szCs w:val="23"/>
        </w:rPr>
        <w:t>souhrn závazků</w:t>
      </w:r>
      <w:r w:rsidRPr="00FC3B7C">
        <w:rPr>
          <w:rFonts w:eastAsia="Times New Roman"/>
          <w:sz w:val="23"/>
          <w:szCs w:val="23"/>
        </w:rPr>
        <w:t xml:space="preserve"> </w:t>
      </w:r>
      <w:r w:rsidRPr="00FC3B7C">
        <w:rPr>
          <w:rFonts w:eastAsia="Times New Roman"/>
          <w:b/>
          <w:bCs/>
          <w:sz w:val="23"/>
          <w:szCs w:val="23"/>
        </w:rPr>
        <w:t>státu</w:t>
      </w:r>
      <w:r w:rsidRPr="00FC3B7C">
        <w:rPr>
          <w:rFonts w:eastAsia="Times New Roman"/>
          <w:sz w:val="23"/>
          <w:szCs w:val="23"/>
        </w:rPr>
        <w:t xml:space="preserve"> (mimorozpočtových fondů, nižších článků samosprávy, veřejných podniků a veřejnoprávních institucí) </w:t>
      </w:r>
      <w:r w:rsidRPr="00FC3B7C">
        <w:rPr>
          <w:rFonts w:eastAsia="Times New Roman"/>
          <w:b/>
          <w:bCs/>
          <w:sz w:val="23"/>
          <w:szCs w:val="23"/>
        </w:rPr>
        <w:t>vůči ostatním ekonomickým subjektům.</w:t>
      </w:r>
    </w:p>
    <w:p w14:paraId="4A6F586D" w14:textId="506B12DA" w:rsidR="008E0F74" w:rsidRPr="00597735" w:rsidRDefault="00256F29" w:rsidP="00597735">
      <w:pPr>
        <w:ind w:left="4"/>
        <w:rPr>
          <w:rFonts w:eastAsia="Times New Roman"/>
          <w:sz w:val="23"/>
          <w:szCs w:val="23"/>
        </w:rPr>
      </w:pPr>
      <w:r w:rsidRPr="00FC3B7C">
        <w:rPr>
          <w:rFonts w:eastAsia="Times New Roman"/>
          <w:b/>
          <w:bCs/>
          <w:sz w:val="23"/>
          <w:szCs w:val="23"/>
        </w:rPr>
        <w:t xml:space="preserve">Veřejný dluh </w:t>
      </w:r>
      <w:r w:rsidRPr="00FC3B7C">
        <w:rPr>
          <w:rFonts w:eastAsia="Times New Roman"/>
          <w:sz w:val="23"/>
          <w:szCs w:val="23"/>
        </w:rPr>
        <w:t>= státní dluh + dluhy zdravotních pojišťoven + dluhy mimorozpočtových fondů</w:t>
      </w:r>
    </w:p>
    <w:p w14:paraId="4A6F5882" w14:textId="783BF157" w:rsidR="008E0F74" w:rsidRPr="00FC3B7C" w:rsidRDefault="00256F29" w:rsidP="003C62EA">
      <w:pPr>
        <w:spacing w:after="240"/>
        <w:ind w:left="4" w:right="40"/>
        <w:rPr>
          <w:sz w:val="20"/>
          <w:szCs w:val="20"/>
        </w:rPr>
      </w:pPr>
      <w:r w:rsidRPr="00FC3B7C">
        <w:rPr>
          <w:rFonts w:eastAsia="Times New Roman"/>
          <w:szCs w:val="24"/>
        </w:rPr>
        <w:t>a místních rozpočtů (municipálních – kraje, města, obce). Pojem veřejný dluh vyjadřuje nikoli způsob jeho vzniku, ale způsob jeho úhrady.</w:t>
      </w:r>
    </w:p>
    <w:p w14:paraId="4A6F5883" w14:textId="77777777" w:rsidR="008E0F74" w:rsidRPr="00FC3B7C" w:rsidRDefault="00256F29" w:rsidP="00597735">
      <w:pPr>
        <w:ind w:left="4"/>
        <w:rPr>
          <w:sz w:val="20"/>
          <w:szCs w:val="20"/>
        </w:rPr>
      </w:pPr>
      <w:r w:rsidRPr="00FC3B7C">
        <w:rPr>
          <w:rFonts w:eastAsia="Times New Roman"/>
          <w:b/>
          <w:bCs/>
          <w:szCs w:val="24"/>
        </w:rPr>
        <w:t>Základní způsoby metodiky výpočtu dluhu (i deficitu rozpočtu):</w:t>
      </w:r>
    </w:p>
    <w:p w14:paraId="4A6F5884" w14:textId="77777777" w:rsidR="008E0F74" w:rsidRPr="00FC3B7C" w:rsidRDefault="00256F29" w:rsidP="00D46B53">
      <w:pPr>
        <w:numPr>
          <w:ilvl w:val="0"/>
          <w:numId w:val="552"/>
        </w:numPr>
        <w:tabs>
          <w:tab w:val="left" w:pos="1164"/>
        </w:tabs>
        <w:ind w:left="1164" w:right="40" w:hanging="366"/>
        <w:rPr>
          <w:rFonts w:eastAsia="Times New Roman"/>
          <w:szCs w:val="24"/>
        </w:rPr>
      </w:pPr>
      <w:r w:rsidRPr="00FC3B7C">
        <w:rPr>
          <w:rFonts w:eastAsia="Times New Roman"/>
          <w:szCs w:val="24"/>
        </w:rPr>
        <w:t>Metodika Mezinárodního měnového fondu (metodika GFSM 1986, resp. GFSM 2001)</w:t>
      </w:r>
    </w:p>
    <w:p w14:paraId="4A6F5885" w14:textId="77777777" w:rsidR="008E0F74" w:rsidRPr="00FC3B7C" w:rsidRDefault="00256F29" w:rsidP="00D46B53">
      <w:pPr>
        <w:numPr>
          <w:ilvl w:val="0"/>
          <w:numId w:val="552"/>
        </w:numPr>
        <w:tabs>
          <w:tab w:val="left" w:pos="1164"/>
        </w:tabs>
        <w:ind w:left="1164" w:right="40" w:hanging="366"/>
        <w:rPr>
          <w:rFonts w:eastAsia="Times New Roman"/>
          <w:szCs w:val="24"/>
        </w:rPr>
      </w:pPr>
      <w:r w:rsidRPr="00FC3B7C">
        <w:rPr>
          <w:rFonts w:eastAsia="Times New Roman"/>
          <w:szCs w:val="24"/>
        </w:rPr>
        <w:t>Metodika Evropského statistického úřadu – Eurostatu – metodika ESA 95 – pracuje se širším vymezením vládního sektoru (než metodika GFSM)</w:t>
      </w:r>
    </w:p>
    <w:p w14:paraId="4A6F5886" w14:textId="77777777" w:rsidR="008E0F74" w:rsidRPr="00FC3B7C" w:rsidRDefault="00256F29" w:rsidP="00597735">
      <w:pPr>
        <w:ind w:left="4"/>
        <w:rPr>
          <w:sz w:val="20"/>
          <w:szCs w:val="20"/>
        </w:rPr>
      </w:pPr>
      <w:r w:rsidRPr="00FC3B7C">
        <w:rPr>
          <w:rFonts w:eastAsia="Times New Roman"/>
          <w:b/>
          <w:bCs/>
          <w:szCs w:val="24"/>
        </w:rPr>
        <w:t>Podle doby splatnosti vládních dluhopisu dělíme dluh (z časového hlediska) na:</w:t>
      </w:r>
    </w:p>
    <w:p w14:paraId="4A6F5887" w14:textId="77777777" w:rsidR="008E0F74" w:rsidRPr="00FC3B7C" w:rsidRDefault="00256F29" w:rsidP="00D46B53">
      <w:pPr>
        <w:numPr>
          <w:ilvl w:val="0"/>
          <w:numId w:val="553"/>
        </w:numPr>
        <w:tabs>
          <w:tab w:val="left" w:pos="724"/>
        </w:tabs>
        <w:ind w:left="724" w:hanging="364"/>
        <w:rPr>
          <w:rFonts w:eastAsia="Arial"/>
          <w:szCs w:val="24"/>
        </w:rPr>
      </w:pPr>
      <w:r w:rsidRPr="00FC3B7C">
        <w:rPr>
          <w:rFonts w:eastAsia="Times New Roman"/>
          <w:szCs w:val="24"/>
        </w:rPr>
        <w:t>krátkodobý – splatnost do 1 roku</w:t>
      </w:r>
    </w:p>
    <w:p w14:paraId="4A6F5888" w14:textId="77777777" w:rsidR="008E0F74" w:rsidRPr="00FC3B7C" w:rsidRDefault="00256F29" w:rsidP="00D46B53">
      <w:pPr>
        <w:numPr>
          <w:ilvl w:val="0"/>
          <w:numId w:val="553"/>
        </w:numPr>
        <w:tabs>
          <w:tab w:val="left" w:pos="724"/>
        </w:tabs>
        <w:ind w:left="724" w:hanging="364"/>
        <w:rPr>
          <w:rFonts w:eastAsia="Arial"/>
          <w:szCs w:val="24"/>
        </w:rPr>
      </w:pPr>
      <w:r w:rsidRPr="00FC3B7C">
        <w:rPr>
          <w:rFonts w:eastAsia="Times New Roman"/>
          <w:szCs w:val="24"/>
        </w:rPr>
        <w:t>střednědobý – splatný do 10 let</w:t>
      </w:r>
    </w:p>
    <w:p w14:paraId="4A6F5889" w14:textId="77777777" w:rsidR="008E0F74" w:rsidRPr="00FC3B7C" w:rsidRDefault="00256F29" w:rsidP="00D46B53">
      <w:pPr>
        <w:numPr>
          <w:ilvl w:val="0"/>
          <w:numId w:val="553"/>
        </w:numPr>
        <w:tabs>
          <w:tab w:val="left" w:pos="724"/>
        </w:tabs>
        <w:ind w:left="724" w:hanging="364"/>
        <w:rPr>
          <w:rFonts w:eastAsia="Arial"/>
          <w:szCs w:val="24"/>
        </w:rPr>
      </w:pPr>
      <w:r w:rsidRPr="00FC3B7C">
        <w:rPr>
          <w:rFonts w:eastAsia="Times New Roman"/>
          <w:szCs w:val="24"/>
        </w:rPr>
        <w:t>dlouhodobý – splatnost nad 10 let</w:t>
      </w:r>
    </w:p>
    <w:p w14:paraId="4A6F588A" w14:textId="77777777" w:rsidR="008E0F74" w:rsidRPr="00FC3B7C" w:rsidRDefault="008E0F74" w:rsidP="00597735">
      <w:pPr>
        <w:rPr>
          <w:sz w:val="20"/>
          <w:szCs w:val="20"/>
        </w:rPr>
      </w:pPr>
    </w:p>
    <w:p w14:paraId="4A6F588B" w14:textId="77777777" w:rsidR="008E0F74" w:rsidRDefault="00256F29" w:rsidP="00597735">
      <w:pPr>
        <w:ind w:left="4" w:right="40"/>
        <w:rPr>
          <w:rFonts w:eastAsia="Times New Roman"/>
          <w:szCs w:val="24"/>
        </w:rPr>
      </w:pPr>
      <w:r w:rsidRPr="00FC3B7C">
        <w:rPr>
          <w:rFonts w:eastAsia="Times New Roman"/>
          <w:b/>
          <w:bCs/>
          <w:szCs w:val="24"/>
        </w:rPr>
        <w:t xml:space="preserve">Státní cenné papíry (dluhopisy) </w:t>
      </w:r>
      <w:r w:rsidRPr="00FC3B7C">
        <w:rPr>
          <w:rFonts w:eastAsia="Times New Roman"/>
          <w:szCs w:val="24"/>
        </w:rPr>
        <w:t>– veřejně</w:t>
      </w:r>
      <w:r w:rsidRPr="00FC3B7C">
        <w:rPr>
          <w:rFonts w:eastAsia="Times New Roman"/>
          <w:b/>
          <w:bCs/>
          <w:szCs w:val="24"/>
        </w:rPr>
        <w:t xml:space="preserve"> </w:t>
      </w:r>
      <w:r w:rsidRPr="00FC3B7C">
        <w:rPr>
          <w:rFonts w:eastAsia="Times New Roman"/>
          <w:szCs w:val="24"/>
        </w:rPr>
        <w:t>obchodovatelné mohou být na sekundárním</w:t>
      </w:r>
      <w:r w:rsidRPr="00FC3B7C">
        <w:rPr>
          <w:rFonts w:eastAsia="Times New Roman"/>
          <w:b/>
          <w:bCs/>
          <w:szCs w:val="24"/>
        </w:rPr>
        <w:t xml:space="preserve"> </w:t>
      </w:r>
      <w:r w:rsidRPr="00FC3B7C">
        <w:rPr>
          <w:rFonts w:eastAsia="Times New Roman"/>
          <w:szCs w:val="24"/>
        </w:rPr>
        <w:t>kapitálovém trhu. Na primárním trhu jsou prodávány formou tzv. aukcí nebo formou přímého prodeje (přímými účastníky aukcí mohou být bankovní domy, obchodníci s cennými papíry, příp. jiné nebankovní instituce – ostatní zájemci (právnické a fyzické osoby) většinou mohou dluhopisy nakoupit pouze prostřednictvím přímých účastníků)</w:t>
      </w:r>
    </w:p>
    <w:p w14:paraId="4A6F58A6" w14:textId="77777777" w:rsidR="008E0F74" w:rsidRPr="00FC3B7C" w:rsidRDefault="008E0F74">
      <w:pPr>
        <w:spacing w:line="111" w:lineRule="exact"/>
        <w:rPr>
          <w:sz w:val="20"/>
          <w:szCs w:val="20"/>
        </w:rPr>
      </w:pPr>
    </w:p>
    <w:p w14:paraId="4A6F58A7" w14:textId="1F93ED0E" w:rsidR="008E0F74" w:rsidRPr="00FC3B7C" w:rsidRDefault="00256F29" w:rsidP="00597735">
      <w:pPr>
        <w:ind w:right="40"/>
        <w:rPr>
          <w:sz w:val="20"/>
          <w:szCs w:val="20"/>
        </w:rPr>
      </w:pPr>
      <w:r w:rsidRPr="00FC3B7C">
        <w:rPr>
          <w:rFonts w:eastAsia="Times New Roman"/>
          <w:szCs w:val="24"/>
        </w:rPr>
        <w:t>Za vykazování dluhu (i deficitu) ČR je zodpovědné Ministerstvo financí (v metodice GFSM 1986, resp. 2001, jehož autorem</w:t>
      </w:r>
      <w:r w:rsidR="00996B5C">
        <w:rPr>
          <w:rFonts w:eastAsia="Times New Roman"/>
          <w:szCs w:val="24"/>
        </w:rPr>
        <w:t xml:space="preserve"> je Mezinárodní měnový fond). M</w:t>
      </w:r>
      <w:r w:rsidRPr="00FC3B7C">
        <w:rPr>
          <w:rFonts w:eastAsia="Times New Roman"/>
          <w:szCs w:val="24"/>
        </w:rPr>
        <w:t xml:space="preserve">etodika pracuje na bázi peněžních toků, veškeré operace běžného roku jsou sledovány na hotovostním principu (tj. v okamžiku, kdy je příjmová (nebo výdajová) operace realizována). Za dodržování kritérií je zodpovědný Český statistický úřad. V 90. letech byly zaznamenány relativně nízké </w:t>
      </w:r>
      <w:r w:rsidRPr="00FC3B7C">
        <w:rPr>
          <w:rFonts w:eastAsia="Times New Roman"/>
          <w:szCs w:val="24"/>
        </w:rPr>
        <w:lastRenderedPageBreak/>
        <w:t>rozpočtové deficity (ale vysoké netransparentní zadlužení státu mimo státní rozpočet). Velká část dluhů se kumulovala v Konsolidační bance (od r. 2001 = Česká konsolidační agentura), jednalo se o přebírání soukromých a polosoukromých dluhů státem.</w:t>
      </w:r>
    </w:p>
    <w:p w14:paraId="4A6F58A9" w14:textId="77777777" w:rsidR="008E0F74" w:rsidRPr="00FC3B7C" w:rsidRDefault="00256F29" w:rsidP="003C62EA">
      <w:pPr>
        <w:spacing w:before="240"/>
        <w:rPr>
          <w:sz w:val="20"/>
          <w:szCs w:val="20"/>
        </w:rPr>
      </w:pPr>
      <w:r w:rsidRPr="00FC3B7C">
        <w:rPr>
          <w:rFonts w:eastAsia="Times New Roman"/>
          <w:b/>
          <w:bCs/>
          <w:szCs w:val="24"/>
        </w:rPr>
        <w:t>Dluh ČR je typický dvěma vlastnostmi:</w:t>
      </w:r>
    </w:p>
    <w:p w14:paraId="4A6F58AA" w14:textId="77777777" w:rsidR="008E0F74" w:rsidRPr="00FC3B7C" w:rsidRDefault="00256F29" w:rsidP="00D46B53">
      <w:pPr>
        <w:numPr>
          <w:ilvl w:val="0"/>
          <w:numId w:val="554"/>
        </w:numPr>
        <w:tabs>
          <w:tab w:val="left" w:pos="840"/>
        </w:tabs>
        <w:ind w:left="840" w:hanging="353"/>
        <w:rPr>
          <w:rFonts w:eastAsia="Arial"/>
          <w:szCs w:val="24"/>
        </w:rPr>
      </w:pPr>
      <w:r w:rsidRPr="00FC3B7C">
        <w:rPr>
          <w:rFonts w:eastAsia="Times New Roman"/>
          <w:szCs w:val="24"/>
        </w:rPr>
        <w:t>vysokou sekuritizací (= převaha krytí dluhu státními cennými papíry)</w:t>
      </w:r>
    </w:p>
    <w:p w14:paraId="4A6F58AB" w14:textId="222CC3E2" w:rsidR="008E0F74" w:rsidRPr="00244BB9" w:rsidRDefault="00256F29" w:rsidP="00D46B53">
      <w:pPr>
        <w:numPr>
          <w:ilvl w:val="0"/>
          <w:numId w:val="554"/>
        </w:numPr>
        <w:tabs>
          <w:tab w:val="left" w:pos="840"/>
        </w:tabs>
        <w:ind w:left="840" w:hanging="353"/>
        <w:rPr>
          <w:rFonts w:eastAsia="Arial"/>
          <w:szCs w:val="24"/>
        </w:rPr>
      </w:pPr>
      <w:r w:rsidRPr="00244BB9">
        <w:rPr>
          <w:rFonts w:eastAsia="Times New Roman"/>
          <w:szCs w:val="24"/>
        </w:rPr>
        <w:t>převahou vnitřního (domácího) dluhu nad vnějším (zahraničním)</w:t>
      </w:r>
    </w:p>
    <w:p w14:paraId="4A6F58B5" w14:textId="65A3E78C" w:rsidR="008E0F74" w:rsidRPr="00244BB9" w:rsidRDefault="00204D12" w:rsidP="00204D12">
      <w:pPr>
        <w:spacing w:before="240" w:after="240"/>
        <w:rPr>
          <w:sz w:val="20"/>
          <w:szCs w:val="20"/>
        </w:rPr>
      </w:pPr>
      <w:bookmarkStart w:id="493" w:name="page508"/>
      <w:bookmarkEnd w:id="493"/>
      <w:r w:rsidRPr="00244BB9">
        <w:rPr>
          <w:noProof/>
        </w:rPr>
        <w:drawing>
          <wp:anchor distT="0" distB="0" distL="114300" distR="114300" simplePos="0" relativeHeight="251726336" behindDoc="0" locked="0" layoutInCell="1" allowOverlap="1" wp14:anchorId="73A19A24" wp14:editId="71996112">
            <wp:simplePos x="0" y="0"/>
            <wp:positionH relativeFrom="column">
              <wp:posOffset>-127635</wp:posOffset>
            </wp:positionH>
            <wp:positionV relativeFrom="paragraph">
              <wp:posOffset>2784475</wp:posOffset>
            </wp:positionV>
            <wp:extent cx="5740400" cy="1818005"/>
            <wp:effectExtent l="0" t="0" r="0" b="0"/>
            <wp:wrapTopAndBottom/>
            <wp:docPr id="23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40400" cy="1818005"/>
                    </a:xfrm>
                    <a:prstGeom prst="rect">
                      <a:avLst/>
                    </a:prstGeom>
                    <a:noFill/>
                    <a:ln>
                      <a:noFill/>
                    </a:ln>
                  </pic:spPr>
                </pic:pic>
              </a:graphicData>
            </a:graphic>
          </wp:anchor>
        </w:drawing>
      </w:r>
      <w:r w:rsidRPr="00244BB9">
        <w:rPr>
          <w:noProof/>
        </w:rPr>
        <w:drawing>
          <wp:anchor distT="0" distB="0" distL="114300" distR="114300" simplePos="0" relativeHeight="251721216" behindDoc="0" locked="0" layoutInCell="1" allowOverlap="1" wp14:anchorId="26CC0DE1" wp14:editId="242DE7E1">
            <wp:simplePos x="0" y="0"/>
            <wp:positionH relativeFrom="column">
              <wp:posOffset>-232410</wp:posOffset>
            </wp:positionH>
            <wp:positionV relativeFrom="paragraph">
              <wp:posOffset>584835</wp:posOffset>
            </wp:positionV>
            <wp:extent cx="5740400" cy="1778000"/>
            <wp:effectExtent l="0" t="0" r="0" b="0"/>
            <wp:wrapTopAndBottom/>
            <wp:docPr id="23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40400" cy="1778000"/>
                    </a:xfrm>
                    <a:prstGeom prst="rect">
                      <a:avLst/>
                    </a:prstGeom>
                    <a:noFill/>
                    <a:ln>
                      <a:noFill/>
                    </a:ln>
                  </pic:spPr>
                </pic:pic>
              </a:graphicData>
            </a:graphic>
          </wp:anchor>
        </w:drawing>
      </w:r>
      <w:r w:rsidR="00256F29" w:rsidRPr="00244BB9">
        <w:rPr>
          <w:rFonts w:eastAsia="Times New Roman"/>
          <w:b/>
          <w:bCs/>
          <w:szCs w:val="24"/>
        </w:rPr>
        <w:t xml:space="preserve">Graf č. </w:t>
      </w:r>
      <w:r w:rsidRPr="00244BB9">
        <w:rPr>
          <w:rFonts w:eastAsia="Times New Roman"/>
          <w:b/>
          <w:bCs/>
          <w:szCs w:val="24"/>
        </w:rPr>
        <w:t>9</w:t>
      </w:r>
      <w:r w:rsidR="00256F29" w:rsidRPr="00244BB9">
        <w:rPr>
          <w:rFonts w:eastAsia="Times New Roman"/>
          <w:b/>
          <w:bCs/>
          <w:szCs w:val="24"/>
        </w:rPr>
        <w:t xml:space="preserve">: </w:t>
      </w:r>
      <w:r w:rsidRPr="00244BB9">
        <w:rPr>
          <w:rFonts w:eastAsia="Times New Roman"/>
          <w:b/>
          <w:bCs/>
          <w:szCs w:val="24"/>
        </w:rPr>
        <w:t>Státní dluh ČR v miliardách Kč</w:t>
      </w:r>
    </w:p>
    <w:p w14:paraId="09B69E35" w14:textId="272F88E8" w:rsidR="00204D12" w:rsidRPr="00204D12" w:rsidRDefault="00204D12" w:rsidP="00204D12">
      <w:pPr>
        <w:spacing w:before="240" w:after="240"/>
        <w:rPr>
          <w:b/>
          <w:bCs/>
        </w:rPr>
      </w:pPr>
      <w:r w:rsidRPr="000146D4">
        <w:rPr>
          <w:b/>
          <w:bCs/>
        </w:rPr>
        <w:t xml:space="preserve">Graf č. </w:t>
      </w:r>
      <w:r w:rsidRPr="00244BB9">
        <w:rPr>
          <w:b/>
          <w:bCs/>
        </w:rPr>
        <w:t>10: Státní dluh ČR v % HDP</w:t>
      </w:r>
    </w:p>
    <w:p w14:paraId="47B2E9BC" w14:textId="5AC1BE8C" w:rsidR="00204D12" w:rsidRPr="00204D12" w:rsidRDefault="00204D12" w:rsidP="00204D12">
      <w:pPr>
        <w:rPr>
          <w:b/>
          <w:bCs/>
        </w:rPr>
      </w:pPr>
    </w:p>
    <w:p w14:paraId="4A6F58B6" w14:textId="5F2DD85A" w:rsidR="008E0F74" w:rsidRPr="00FC3B7C" w:rsidRDefault="008E0F74">
      <w:pPr>
        <w:spacing w:line="200" w:lineRule="exact"/>
        <w:rPr>
          <w:sz w:val="20"/>
          <w:szCs w:val="20"/>
        </w:rPr>
      </w:pPr>
    </w:p>
    <w:p w14:paraId="4A6F58B7" w14:textId="7DE28D4B" w:rsidR="008E0F74" w:rsidRPr="00FC3B7C" w:rsidRDefault="008E0F74">
      <w:pPr>
        <w:spacing w:line="200" w:lineRule="exact"/>
        <w:rPr>
          <w:sz w:val="20"/>
          <w:szCs w:val="20"/>
        </w:rPr>
      </w:pPr>
    </w:p>
    <w:p w14:paraId="4A6F58B8" w14:textId="36255105" w:rsidR="008E0F74" w:rsidRPr="00FC3B7C" w:rsidRDefault="008E0F74">
      <w:pPr>
        <w:spacing w:line="200" w:lineRule="exact"/>
        <w:rPr>
          <w:sz w:val="20"/>
          <w:szCs w:val="20"/>
        </w:rPr>
      </w:pPr>
    </w:p>
    <w:p w14:paraId="4A6F58B9" w14:textId="6A60B3DA" w:rsidR="008E0F74" w:rsidRPr="00FC3B7C" w:rsidRDefault="008E0F74">
      <w:pPr>
        <w:spacing w:line="200" w:lineRule="exact"/>
        <w:rPr>
          <w:sz w:val="20"/>
          <w:szCs w:val="20"/>
        </w:rPr>
      </w:pPr>
    </w:p>
    <w:p w14:paraId="4A6F58BA" w14:textId="583B9BFA" w:rsidR="008E0F74" w:rsidRPr="00FC3B7C" w:rsidRDefault="008E0F74">
      <w:pPr>
        <w:spacing w:line="200" w:lineRule="exact"/>
        <w:rPr>
          <w:sz w:val="20"/>
          <w:szCs w:val="20"/>
        </w:rPr>
      </w:pPr>
    </w:p>
    <w:p w14:paraId="4A6F58BB" w14:textId="15AEB788" w:rsidR="008E0F74" w:rsidRPr="00FC3B7C" w:rsidRDefault="008E0F74">
      <w:pPr>
        <w:spacing w:line="200" w:lineRule="exact"/>
        <w:rPr>
          <w:sz w:val="20"/>
          <w:szCs w:val="20"/>
        </w:rPr>
      </w:pPr>
    </w:p>
    <w:p w14:paraId="4A6F58BC" w14:textId="79EF01D3" w:rsidR="008E0F74" w:rsidRPr="00FC3B7C" w:rsidRDefault="008E0F74">
      <w:pPr>
        <w:spacing w:line="200" w:lineRule="exact"/>
        <w:rPr>
          <w:sz w:val="20"/>
          <w:szCs w:val="20"/>
        </w:rPr>
      </w:pPr>
    </w:p>
    <w:p w14:paraId="4A6F58BD" w14:textId="670F1090" w:rsidR="008E0F74" w:rsidRPr="00FC3B7C" w:rsidRDefault="008E0F74">
      <w:pPr>
        <w:spacing w:line="200" w:lineRule="exact"/>
        <w:rPr>
          <w:sz w:val="20"/>
          <w:szCs w:val="20"/>
        </w:rPr>
      </w:pPr>
    </w:p>
    <w:p w14:paraId="4A6F58BE" w14:textId="19A6AE66" w:rsidR="008E0F74" w:rsidRPr="00FC3B7C" w:rsidRDefault="008E0F74">
      <w:pPr>
        <w:spacing w:line="200" w:lineRule="exact"/>
        <w:rPr>
          <w:sz w:val="20"/>
          <w:szCs w:val="20"/>
        </w:rPr>
      </w:pPr>
    </w:p>
    <w:p w14:paraId="4A6F58BF" w14:textId="20CB4D44" w:rsidR="008E0F74" w:rsidRPr="00FC3B7C" w:rsidRDefault="008E0F74">
      <w:pPr>
        <w:spacing w:line="200" w:lineRule="exact"/>
        <w:rPr>
          <w:sz w:val="20"/>
          <w:szCs w:val="20"/>
        </w:rPr>
      </w:pPr>
    </w:p>
    <w:p w14:paraId="4A6F58C0" w14:textId="77777777" w:rsidR="008E0F74" w:rsidRPr="00FC3B7C" w:rsidRDefault="008E0F74">
      <w:pPr>
        <w:spacing w:line="200" w:lineRule="exact"/>
        <w:rPr>
          <w:sz w:val="20"/>
          <w:szCs w:val="20"/>
        </w:rPr>
      </w:pPr>
    </w:p>
    <w:p w14:paraId="4A6F58C1" w14:textId="77777777" w:rsidR="008E0F74" w:rsidRPr="00FC3B7C" w:rsidRDefault="008E0F74">
      <w:pPr>
        <w:spacing w:line="200" w:lineRule="exact"/>
        <w:rPr>
          <w:sz w:val="20"/>
          <w:szCs w:val="20"/>
        </w:rPr>
      </w:pPr>
    </w:p>
    <w:p w14:paraId="4A6F58C2" w14:textId="77777777" w:rsidR="008E0F74" w:rsidRPr="00FC3B7C" w:rsidRDefault="008E0F74">
      <w:pPr>
        <w:spacing w:line="200" w:lineRule="exact"/>
        <w:rPr>
          <w:sz w:val="20"/>
          <w:szCs w:val="20"/>
        </w:rPr>
      </w:pPr>
    </w:p>
    <w:p w14:paraId="4A6F58C3" w14:textId="77777777" w:rsidR="008E0F74" w:rsidRPr="00FC3B7C" w:rsidRDefault="008E0F74">
      <w:pPr>
        <w:spacing w:line="200" w:lineRule="exact"/>
        <w:rPr>
          <w:sz w:val="20"/>
          <w:szCs w:val="20"/>
        </w:rPr>
      </w:pPr>
    </w:p>
    <w:p w14:paraId="4A6F58C4" w14:textId="77777777" w:rsidR="008E0F74" w:rsidRPr="00FC3B7C" w:rsidRDefault="008E0F74">
      <w:pPr>
        <w:spacing w:line="200" w:lineRule="exact"/>
        <w:rPr>
          <w:sz w:val="20"/>
          <w:szCs w:val="20"/>
        </w:rPr>
      </w:pPr>
    </w:p>
    <w:p w14:paraId="4A6F58C5" w14:textId="77777777" w:rsidR="008E0F74" w:rsidRPr="00FC3B7C" w:rsidRDefault="008E0F74">
      <w:pPr>
        <w:spacing w:line="200" w:lineRule="exact"/>
        <w:rPr>
          <w:sz w:val="20"/>
          <w:szCs w:val="20"/>
        </w:rPr>
      </w:pPr>
    </w:p>
    <w:p w14:paraId="4A6F58C6" w14:textId="77777777" w:rsidR="008E0F74" w:rsidRPr="00FC3B7C" w:rsidRDefault="008E0F74">
      <w:pPr>
        <w:spacing w:line="200" w:lineRule="exact"/>
        <w:rPr>
          <w:sz w:val="20"/>
          <w:szCs w:val="20"/>
        </w:rPr>
      </w:pPr>
    </w:p>
    <w:p w14:paraId="4A6F58C7" w14:textId="77777777" w:rsidR="008E0F74" w:rsidRPr="00FC3B7C" w:rsidRDefault="008E0F74">
      <w:pPr>
        <w:spacing w:line="200" w:lineRule="exact"/>
        <w:rPr>
          <w:sz w:val="20"/>
          <w:szCs w:val="20"/>
        </w:rPr>
      </w:pPr>
    </w:p>
    <w:p w14:paraId="4A6F58D9" w14:textId="77777777" w:rsidR="008E0F74" w:rsidRPr="00353E4B" w:rsidRDefault="00597735" w:rsidP="00597735">
      <w:pPr>
        <w:pStyle w:val="Nadpis2"/>
        <w:rPr>
          <w:color w:val="1F3864" w:themeColor="accent1" w:themeShade="80"/>
          <w:sz w:val="20"/>
          <w:szCs w:val="20"/>
        </w:rPr>
      </w:pPr>
      <w:r w:rsidRPr="00353E4B">
        <w:rPr>
          <w:rFonts w:eastAsia="Times New Roman"/>
          <w:color w:val="1F3864" w:themeColor="accent1" w:themeShade="80"/>
        </w:rPr>
        <w:lastRenderedPageBreak/>
        <w:t>S</w:t>
      </w:r>
      <w:r w:rsidR="00256F29" w:rsidRPr="00353E4B">
        <w:rPr>
          <w:rFonts w:eastAsia="Times New Roman"/>
          <w:color w:val="1F3864" w:themeColor="accent1" w:themeShade="80"/>
        </w:rPr>
        <w:t>TRUKTURA VEŘEJNÉHO DLUHU</w:t>
      </w:r>
    </w:p>
    <w:p w14:paraId="4A6F58DA" w14:textId="3D5AEACA" w:rsidR="008E0F74" w:rsidRPr="00353E4B" w:rsidRDefault="00353E4B" w:rsidP="00597735">
      <w:pPr>
        <w:pStyle w:val="Nadpis3"/>
        <w:rPr>
          <w:color w:val="1F3864" w:themeColor="accent1" w:themeShade="80"/>
          <w:sz w:val="20"/>
          <w:szCs w:val="20"/>
        </w:rPr>
      </w:pPr>
      <w:r>
        <w:rPr>
          <w:rFonts w:eastAsia="Times New Roman"/>
          <w:color w:val="1F3864" w:themeColor="accent1" w:themeShade="80"/>
        </w:rPr>
        <w:t xml:space="preserve"> </w:t>
      </w:r>
      <w:r w:rsidR="00256F29" w:rsidRPr="00353E4B">
        <w:rPr>
          <w:rFonts w:eastAsia="Times New Roman"/>
          <w:color w:val="1F3864" w:themeColor="accent1" w:themeShade="80"/>
        </w:rPr>
        <w:t>Státní dluh</w:t>
      </w:r>
    </w:p>
    <w:p w14:paraId="4A6F58DB" w14:textId="77777777" w:rsidR="008E0F74" w:rsidRPr="00FC3B7C" w:rsidRDefault="00256F29" w:rsidP="00204D12">
      <w:pPr>
        <w:spacing w:after="240" w:line="367" w:lineRule="auto"/>
        <w:ind w:right="40"/>
        <w:rPr>
          <w:sz w:val="20"/>
          <w:szCs w:val="20"/>
        </w:rPr>
      </w:pPr>
      <w:r w:rsidRPr="00597735">
        <w:t>Je souhrn státních finančních pasiv – tato pasiva jsou tvořena závazky státu, které vznikly ze zahraničních půjček, úvěrů od bank, vydaných státních dluhopisů a jiných závazků státu (do státního dluhu se nepočítají dluhové závazky krajů a obcí, zdravotních pojišťoven, mimorozpočtových fondů, ani státní záruky). Státnímu dluhu je ve státním rozpočtu věnovaná samostatná kapitola – za ní je zodpovědné ministerstvo financí</w:t>
      </w:r>
      <w:r w:rsidRPr="00FC3B7C">
        <w:rPr>
          <w:rFonts w:eastAsia="Times New Roman"/>
          <w:szCs w:val="24"/>
        </w:rPr>
        <w:t>.</w:t>
      </w:r>
    </w:p>
    <w:p w14:paraId="4A6F58DC" w14:textId="77777777" w:rsidR="008E0F74" w:rsidRPr="00FC3B7C" w:rsidRDefault="00256F29">
      <w:pPr>
        <w:rPr>
          <w:sz w:val="20"/>
          <w:szCs w:val="20"/>
        </w:rPr>
      </w:pPr>
      <w:bookmarkStart w:id="494" w:name="page509"/>
      <w:bookmarkEnd w:id="494"/>
      <w:r w:rsidRPr="00FC3B7C">
        <w:rPr>
          <w:rFonts w:eastAsia="Times New Roman"/>
          <w:b/>
          <w:bCs/>
          <w:szCs w:val="24"/>
        </w:rPr>
        <w:t>Možnosti financování státního dluhu:</w:t>
      </w:r>
    </w:p>
    <w:p w14:paraId="4A6F58DD" w14:textId="77777777" w:rsidR="008E0F74" w:rsidRPr="00FC3B7C" w:rsidRDefault="00256F29" w:rsidP="00D46B53">
      <w:pPr>
        <w:numPr>
          <w:ilvl w:val="0"/>
          <w:numId w:val="555"/>
        </w:numPr>
        <w:tabs>
          <w:tab w:val="left" w:pos="840"/>
        </w:tabs>
        <w:spacing w:line="368" w:lineRule="auto"/>
        <w:ind w:left="840" w:right="40" w:hanging="353"/>
        <w:rPr>
          <w:rFonts w:eastAsia="Arial"/>
          <w:szCs w:val="24"/>
        </w:rPr>
      </w:pPr>
      <w:r w:rsidRPr="00FC3B7C">
        <w:rPr>
          <w:rFonts w:eastAsia="Times New Roman"/>
          <w:szCs w:val="24"/>
        </w:rPr>
        <w:t>emisí domácích cenných papírů – nejčastěji (krátkodobé (státní pokladniční poukázky), střednědobé, dlouhodobé)</w:t>
      </w:r>
    </w:p>
    <w:p w14:paraId="4A6F58DE" w14:textId="77777777" w:rsidR="008E0F74" w:rsidRPr="00FC3B7C" w:rsidRDefault="008E0F74">
      <w:pPr>
        <w:spacing w:line="1" w:lineRule="exact"/>
        <w:rPr>
          <w:rFonts w:eastAsia="Arial"/>
          <w:szCs w:val="24"/>
        </w:rPr>
      </w:pPr>
    </w:p>
    <w:p w14:paraId="4A6F58DF" w14:textId="77777777" w:rsidR="008E0F74" w:rsidRPr="00FC3B7C" w:rsidRDefault="00256F29" w:rsidP="00D46B53">
      <w:pPr>
        <w:numPr>
          <w:ilvl w:val="0"/>
          <w:numId w:val="555"/>
        </w:numPr>
        <w:tabs>
          <w:tab w:val="left" w:pos="840"/>
        </w:tabs>
        <w:ind w:left="840" w:hanging="353"/>
        <w:rPr>
          <w:rFonts w:eastAsia="Arial"/>
          <w:szCs w:val="24"/>
        </w:rPr>
      </w:pPr>
      <w:r w:rsidRPr="00FC3B7C">
        <w:rPr>
          <w:rFonts w:eastAsia="Times New Roman"/>
          <w:szCs w:val="24"/>
        </w:rPr>
        <w:t>přímými úvěry</w:t>
      </w:r>
    </w:p>
    <w:p w14:paraId="4A6F58FA" w14:textId="68806258" w:rsidR="008E0F74" w:rsidRPr="00204D12" w:rsidRDefault="00256F29" w:rsidP="00D46B53">
      <w:pPr>
        <w:numPr>
          <w:ilvl w:val="0"/>
          <w:numId w:val="555"/>
        </w:numPr>
        <w:tabs>
          <w:tab w:val="left" w:pos="840"/>
        </w:tabs>
        <w:spacing w:after="240" w:line="200" w:lineRule="exact"/>
        <w:ind w:left="840" w:hanging="353"/>
        <w:rPr>
          <w:sz w:val="20"/>
          <w:szCs w:val="20"/>
        </w:rPr>
      </w:pPr>
      <w:r w:rsidRPr="00204D12">
        <w:rPr>
          <w:rFonts w:eastAsia="Times New Roman"/>
          <w:szCs w:val="24"/>
        </w:rPr>
        <w:t>emisí zahraničních dluhopisů</w:t>
      </w:r>
    </w:p>
    <w:p w14:paraId="4A6F58FD" w14:textId="77777777" w:rsidR="008E0F74" w:rsidRPr="00FC3B7C" w:rsidRDefault="008E0F74">
      <w:pPr>
        <w:spacing w:line="111" w:lineRule="exact"/>
        <w:rPr>
          <w:sz w:val="20"/>
          <w:szCs w:val="20"/>
        </w:rPr>
      </w:pPr>
    </w:p>
    <w:p w14:paraId="4A6F58FE" w14:textId="77777777" w:rsidR="008E0F74" w:rsidRPr="00FC3B7C" w:rsidRDefault="00256F29" w:rsidP="00204D12">
      <w:pPr>
        <w:spacing w:after="240"/>
        <w:ind w:right="40"/>
        <w:rPr>
          <w:sz w:val="20"/>
          <w:szCs w:val="20"/>
        </w:rPr>
      </w:pPr>
      <w:r w:rsidRPr="00FC3B7C">
        <w:rPr>
          <w:rFonts w:eastAsia="Times New Roman"/>
          <w:szCs w:val="24"/>
        </w:rPr>
        <w:t>V poslední době sledujeme trend nahrazování krátkodobých pokladničních poukázek střednědobými a dlouhodobými dluhopisy (snižuje to riziko financování).</w:t>
      </w:r>
    </w:p>
    <w:p w14:paraId="4A6F58FF" w14:textId="77777777" w:rsidR="008E0F74" w:rsidRPr="00FC3B7C" w:rsidRDefault="00256F29" w:rsidP="00597735">
      <w:pPr>
        <w:rPr>
          <w:sz w:val="20"/>
          <w:szCs w:val="20"/>
        </w:rPr>
      </w:pPr>
      <w:r w:rsidRPr="00FC3B7C">
        <w:rPr>
          <w:rFonts w:eastAsia="Times New Roman"/>
          <w:b/>
          <w:bCs/>
          <w:szCs w:val="24"/>
        </w:rPr>
        <w:t>Emise domácích cenných papírů:</w:t>
      </w:r>
    </w:p>
    <w:p w14:paraId="4A6F5900" w14:textId="77777777" w:rsidR="008E0F74" w:rsidRPr="00FC3B7C" w:rsidRDefault="00256F29" w:rsidP="00D46B53">
      <w:pPr>
        <w:numPr>
          <w:ilvl w:val="0"/>
          <w:numId w:val="556"/>
        </w:numPr>
        <w:tabs>
          <w:tab w:val="left" w:pos="720"/>
        </w:tabs>
        <w:ind w:left="720" w:hanging="364"/>
        <w:rPr>
          <w:rFonts w:eastAsia="Times New Roman"/>
          <w:szCs w:val="24"/>
        </w:rPr>
      </w:pPr>
      <w:r w:rsidRPr="00FC3B7C">
        <w:rPr>
          <w:rFonts w:eastAsia="Times New Roman"/>
          <w:szCs w:val="24"/>
        </w:rPr>
        <w:t>Státní pokladniční poukázky</w:t>
      </w:r>
    </w:p>
    <w:p w14:paraId="4A6F5901" w14:textId="77777777" w:rsidR="008E0F74" w:rsidRPr="00FC3B7C" w:rsidRDefault="00256F29" w:rsidP="00D46B53">
      <w:pPr>
        <w:numPr>
          <w:ilvl w:val="1"/>
          <w:numId w:val="556"/>
        </w:numPr>
        <w:tabs>
          <w:tab w:val="left" w:pos="1440"/>
        </w:tabs>
        <w:ind w:left="1440" w:right="40" w:hanging="364"/>
        <w:rPr>
          <w:rFonts w:eastAsia="Arial"/>
          <w:szCs w:val="24"/>
        </w:rPr>
      </w:pPr>
      <w:r w:rsidRPr="00FC3B7C">
        <w:rPr>
          <w:rFonts w:eastAsia="Times New Roman"/>
          <w:szCs w:val="24"/>
        </w:rPr>
        <w:t>splatné do 1 roku, jejich primární prodej organizuje ČNB, na primárním trhu se prodávají pouze přímým účastníkům aukce</w:t>
      </w:r>
    </w:p>
    <w:p w14:paraId="4A6F5902" w14:textId="77777777" w:rsidR="008E0F74" w:rsidRPr="00FC3B7C" w:rsidRDefault="00256F29" w:rsidP="00D46B53">
      <w:pPr>
        <w:numPr>
          <w:ilvl w:val="0"/>
          <w:numId w:val="556"/>
        </w:numPr>
        <w:tabs>
          <w:tab w:val="left" w:pos="720"/>
        </w:tabs>
        <w:ind w:left="720" w:hanging="364"/>
        <w:rPr>
          <w:rFonts w:eastAsia="Times New Roman"/>
          <w:szCs w:val="24"/>
        </w:rPr>
      </w:pPr>
      <w:r w:rsidRPr="00FC3B7C">
        <w:rPr>
          <w:rFonts w:eastAsia="Times New Roman"/>
          <w:szCs w:val="24"/>
        </w:rPr>
        <w:t>Střednědobé a dlouhodobé státní dluhopisy</w:t>
      </w:r>
    </w:p>
    <w:p w14:paraId="4A6F5903" w14:textId="77777777" w:rsidR="008E0F74" w:rsidRPr="00FC3B7C" w:rsidRDefault="00256F29" w:rsidP="00D46B53">
      <w:pPr>
        <w:numPr>
          <w:ilvl w:val="1"/>
          <w:numId w:val="556"/>
        </w:numPr>
        <w:tabs>
          <w:tab w:val="left" w:pos="1440"/>
        </w:tabs>
        <w:ind w:left="1440" w:right="40" w:hanging="364"/>
        <w:rPr>
          <w:rFonts w:eastAsia="Arial"/>
          <w:szCs w:val="24"/>
        </w:rPr>
      </w:pPr>
      <w:r w:rsidRPr="00FC3B7C">
        <w:rPr>
          <w:rFonts w:eastAsia="Times New Roman"/>
          <w:szCs w:val="24"/>
        </w:rPr>
        <w:t>jsou vydávané v zaknihované podobě, primární prodej organizuje taktéž ČNB, emitentem je ČR zastoupená Ministerstvem financí</w:t>
      </w:r>
    </w:p>
    <w:p w14:paraId="4A6F5904" w14:textId="77777777" w:rsidR="008E0F74" w:rsidRPr="00FC3B7C" w:rsidRDefault="00256F29" w:rsidP="00D46B53">
      <w:pPr>
        <w:numPr>
          <w:ilvl w:val="1"/>
          <w:numId w:val="556"/>
        </w:numPr>
        <w:tabs>
          <w:tab w:val="left" w:pos="1440"/>
        </w:tabs>
        <w:ind w:left="1440" w:hanging="364"/>
        <w:rPr>
          <w:rFonts w:eastAsia="Arial"/>
          <w:sz w:val="23"/>
          <w:szCs w:val="23"/>
        </w:rPr>
      </w:pPr>
      <w:r w:rsidRPr="00FC3B7C">
        <w:rPr>
          <w:rFonts w:eastAsia="Times New Roman"/>
          <w:sz w:val="23"/>
          <w:szCs w:val="23"/>
        </w:rPr>
        <w:t>prodej formou aukce na primárním trhu pro přímé účastníky, nebo přímý prodej</w:t>
      </w:r>
    </w:p>
    <w:p w14:paraId="4A6F5905" w14:textId="77777777" w:rsidR="008E0F74" w:rsidRPr="00FC3B7C" w:rsidRDefault="00256F29" w:rsidP="00D46B53">
      <w:pPr>
        <w:numPr>
          <w:ilvl w:val="1"/>
          <w:numId w:val="556"/>
        </w:numPr>
        <w:tabs>
          <w:tab w:val="left" w:pos="1440"/>
        </w:tabs>
        <w:ind w:left="1440" w:hanging="364"/>
        <w:rPr>
          <w:rFonts w:eastAsia="Arial"/>
          <w:szCs w:val="24"/>
        </w:rPr>
      </w:pPr>
      <w:r w:rsidRPr="00FC3B7C">
        <w:rPr>
          <w:rFonts w:eastAsia="Times New Roman"/>
          <w:szCs w:val="24"/>
        </w:rPr>
        <w:t>střednědobé – obvykle platnost 5-10 let</w:t>
      </w:r>
    </w:p>
    <w:p w14:paraId="4A6F5906" w14:textId="79413071" w:rsidR="008E0F74" w:rsidRPr="00FC3B7C" w:rsidRDefault="00256F29" w:rsidP="00D46B53">
      <w:pPr>
        <w:numPr>
          <w:ilvl w:val="1"/>
          <w:numId w:val="556"/>
        </w:numPr>
        <w:tabs>
          <w:tab w:val="left" w:pos="1440"/>
        </w:tabs>
        <w:spacing w:after="240"/>
        <w:ind w:left="1440" w:right="40" w:hanging="364"/>
        <w:rPr>
          <w:rFonts w:eastAsia="Arial"/>
          <w:szCs w:val="24"/>
        </w:rPr>
      </w:pPr>
      <w:r w:rsidRPr="00FC3B7C">
        <w:rPr>
          <w:rFonts w:eastAsia="Times New Roman"/>
          <w:szCs w:val="24"/>
        </w:rPr>
        <w:t xml:space="preserve">dlouhodobé – nad 10 let (v roce 2007 byla realizována první emise korunového dluhopisu s </w:t>
      </w:r>
      <w:r w:rsidR="00996B5C" w:rsidRPr="00FC3B7C">
        <w:rPr>
          <w:rFonts w:eastAsia="Times New Roman"/>
          <w:szCs w:val="24"/>
        </w:rPr>
        <w:t>50</w:t>
      </w:r>
      <w:r w:rsidRPr="00FC3B7C">
        <w:rPr>
          <w:rFonts w:eastAsia="Times New Roman"/>
          <w:szCs w:val="24"/>
        </w:rPr>
        <w:t xml:space="preserve"> letou splatností)</w:t>
      </w:r>
    </w:p>
    <w:p w14:paraId="4A6F5907" w14:textId="30F33D18" w:rsidR="008E0F74" w:rsidRPr="00FC3B7C" w:rsidRDefault="00256F29" w:rsidP="00597735">
      <w:pPr>
        <w:rPr>
          <w:sz w:val="20"/>
          <w:szCs w:val="20"/>
        </w:rPr>
      </w:pPr>
      <w:bookmarkStart w:id="495" w:name="page510"/>
      <w:bookmarkEnd w:id="495"/>
      <w:r w:rsidRPr="00FC3B7C">
        <w:rPr>
          <w:rFonts w:eastAsia="Times New Roman"/>
          <w:i/>
          <w:iCs/>
          <w:szCs w:val="24"/>
        </w:rPr>
        <w:t xml:space="preserve">Dělení dluhopisů </w:t>
      </w:r>
      <w:r w:rsidR="00996B5C" w:rsidRPr="00FC3B7C">
        <w:rPr>
          <w:rFonts w:eastAsia="Times New Roman"/>
          <w:i/>
          <w:iCs/>
          <w:szCs w:val="24"/>
        </w:rPr>
        <w:t>podle způsobu</w:t>
      </w:r>
      <w:r w:rsidRPr="00FC3B7C">
        <w:rPr>
          <w:rFonts w:eastAsia="Times New Roman"/>
          <w:i/>
          <w:iCs/>
          <w:szCs w:val="24"/>
        </w:rPr>
        <w:t xml:space="preserve"> úročení:</w:t>
      </w:r>
    </w:p>
    <w:p w14:paraId="4A6F5908" w14:textId="77777777" w:rsidR="008E0F74" w:rsidRPr="00FC3B7C" w:rsidRDefault="00256F29" w:rsidP="00D46B53">
      <w:pPr>
        <w:numPr>
          <w:ilvl w:val="0"/>
          <w:numId w:val="557"/>
        </w:numPr>
        <w:tabs>
          <w:tab w:val="left" w:pos="840"/>
        </w:tabs>
        <w:ind w:left="840" w:hanging="353"/>
        <w:rPr>
          <w:rFonts w:eastAsia="Wingdings"/>
          <w:szCs w:val="24"/>
        </w:rPr>
      </w:pPr>
      <w:r w:rsidRPr="00FC3B7C">
        <w:rPr>
          <w:rFonts w:eastAsia="Times New Roman"/>
          <w:i/>
          <w:iCs/>
          <w:szCs w:val="24"/>
        </w:rPr>
        <w:t xml:space="preserve">fixně úročené CP </w:t>
      </w:r>
      <w:r w:rsidRPr="00FC3B7C">
        <w:rPr>
          <w:rFonts w:eastAsia="Times New Roman"/>
          <w:szCs w:val="24"/>
        </w:rPr>
        <w:t>– pevně</w:t>
      </w:r>
      <w:r w:rsidRPr="00FC3B7C">
        <w:rPr>
          <w:rFonts w:eastAsia="Times New Roman"/>
          <w:i/>
          <w:iCs/>
          <w:szCs w:val="24"/>
        </w:rPr>
        <w:t xml:space="preserve"> </w:t>
      </w:r>
      <w:r w:rsidRPr="00FC3B7C">
        <w:rPr>
          <w:rFonts w:eastAsia="Times New Roman"/>
          <w:szCs w:val="24"/>
        </w:rPr>
        <w:t>stanovená úroková míra od emise do splatnosti</w:t>
      </w:r>
    </w:p>
    <w:p w14:paraId="4A6F5909" w14:textId="77777777" w:rsidR="008E0F74" w:rsidRPr="00FC3B7C" w:rsidRDefault="00256F29" w:rsidP="00D46B53">
      <w:pPr>
        <w:numPr>
          <w:ilvl w:val="0"/>
          <w:numId w:val="557"/>
        </w:numPr>
        <w:tabs>
          <w:tab w:val="left" w:pos="840"/>
        </w:tabs>
        <w:ind w:left="840" w:right="40" w:hanging="353"/>
        <w:rPr>
          <w:rFonts w:eastAsia="Wingdings"/>
          <w:szCs w:val="24"/>
        </w:rPr>
      </w:pPr>
      <w:r w:rsidRPr="00FC3B7C">
        <w:rPr>
          <w:rFonts w:eastAsia="Times New Roman"/>
          <w:i/>
          <w:iCs/>
          <w:szCs w:val="24"/>
        </w:rPr>
        <w:t xml:space="preserve">inflačně indexované CP </w:t>
      </w:r>
      <w:r w:rsidRPr="00FC3B7C">
        <w:rPr>
          <w:rFonts w:eastAsia="Times New Roman"/>
          <w:szCs w:val="24"/>
        </w:rPr>
        <w:t>– do jejich úročení a jmenovité hodnoty se promítá</w:t>
      </w:r>
      <w:r w:rsidRPr="00FC3B7C">
        <w:rPr>
          <w:rFonts w:eastAsia="Times New Roman"/>
          <w:i/>
          <w:iCs/>
          <w:szCs w:val="24"/>
        </w:rPr>
        <w:t xml:space="preserve"> </w:t>
      </w:r>
      <w:r w:rsidRPr="00FC3B7C">
        <w:rPr>
          <w:rFonts w:eastAsia="Times New Roman"/>
          <w:szCs w:val="24"/>
        </w:rPr>
        <w:t>skutečná míra inflace</w:t>
      </w:r>
    </w:p>
    <w:p w14:paraId="4A6F590A" w14:textId="77777777" w:rsidR="008E0F74" w:rsidRPr="00FC3B7C" w:rsidRDefault="00256F29" w:rsidP="00D46B53">
      <w:pPr>
        <w:numPr>
          <w:ilvl w:val="0"/>
          <w:numId w:val="557"/>
        </w:numPr>
        <w:tabs>
          <w:tab w:val="left" w:pos="840"/>
        </w:tabs>
        <w:ind w:left="840" w:hanging="353"/>
        <w:rPr>
          <w:rFonts w:eastAsia="Wingdings"/>
          <w:szCs w:val="24"/>
        </w:rPr>
      </w:pPr>
      <w:r w:rsidRPr="00FC3B7C">
        <w:rPr>
          <w:rFonts w:eastAsia="Times New Roman"/>
          <w:i/>
          <w:iCs/>
          <w:szCs w:val="24"/>
        </w:rPr>
        <w:t xml:space="preserve">variabilně úročený dluh </w:t>
      </w:r>
      <w:r w:rsidRPr="00FC3B7C">
        <w:rPr>
          <w:rFonts w:eastAsia="Times New Roman"/>
          <w:szCs w:val="24"/>
        </w:rPr>
        <w:t>– umožňuje promítnutí změny úrokové míry</w:t>
      </w:r>
    </w:p>
    <w:p w14:paraId="4A6F590B" w14:textId="77777777" w:rsidR="008E0F74" w:rsidRPr="00FC3B7C" w:rsidRDefault="008E0F74" w:rsidP="00597735">
      <w:pPr>
        <w:rPr>
          <w:sz w:val="20"/>
          <w:szCs w:val="20"/>
        </w:rPr>
      </w:pPr>
    </w:p>
    <w:p w14:paraId="4A6F590C" w14:textId="732794AB" w:rsidR="008E0F74" w:rsidRPr="00FC3B7C" w:rsidRDefault="00256F29" w:rsidP="00597735">
      <w:pPr>
        <w:ind w:right="540"/>
        <w:rPr>
          <w:sz w:val="20"/>
          <w:szCs w:val="20"/>
        </w:rPr>
      </w:pPr>
      <w:r w:rsidRPr="00FC3B7C">
        <w:rPr>
          <w:rFonts w:eastAsia="Times New Roman"/>
          <w:szCs w:val="24"/>
        </w:rPr>
        <w:lastRenderedPageBreak/>
        <w:t xml:space="preserve">V ČR: emise na kapitálovém trhu jako fixně úročené CP; emise obvykle 2 krát za měsíc. </w:t>
      </w:r>
      <w:r w:rsidRPr="00FC3B7C">
        <w:rPr>
          <w:rFonts w:eastAsia="Times New Roman"/>
          <w:b/>
          <w:bCs/>
          <w:szCs w:val="24"/>
        </w:rPr>
        <w:t xml:space="preserve">Financování </w:t>
      </w:r>
      <w:r w:rsidR="00996B5C" w:rsidRPr="00FC3B7C">
        <w:rPr>
          <w:rFonts w:eastAsia="Times New Roman"/>
          <w:b/>
          <w:bCs/>
          <w:szCs w:val="24"/>
        </w:rPr>
        <w:t>státního dluhu</w:t>
      </w:r>
      <w:r w:rsidRPr="00FC3B7C">
        <w:rPr>
          <w:rFonts w:eastAsia="Times New Roman"/>
          <w:b/>
          <w:bCs/>
          <w:szCs w:val="24"/>
        </w:rPr>
        <w:t xml:space="preserve"> přímými úvěry</w:t>
      </w:r>
    </w:p>
    <w:p w14:paraId="4A6F590D" w14:textId="77777777" w:rsidR="008E0F74" w:rsidRPr="00FC3B7C" w:rsidRDefault="00256F29" w:rsidP="00D46B53">
      <w:pPr>
        <w:numPr>
          <w:ilvl w:val="0"/>
          <w:numId w:val="558"/>
        </w:numPr>
        <w:tabs>
          <w:tab w:val="left" w:pos="720"/>
        </w:tabs>
        <w:ind w:left="720" w:right="40" w:hanging="364"/>
        <w:rPr>
          <w:rFonts w:eastAsia="Arial"/>
          <w:szCs w:val="24"/>
        </w:rPr>
      </w:pPr>
      <w:r w:rsidRPr="00FC3B7C">
        <w:rPr>
          <w:rFonts w:eastAsia="Times New Roman"/>
          <w:szCs w:val="24"/>
        </w:rPr>
        <w:t xml:space="preserve">úvěry od Evropské investiční banky (European Investment Bank, EIB) </w:t>
      </w:r>
      <w:r w:rsidR="00597735">
        <w:rPr>
          <w:rFonts w:eastAsia="Times New Roman"/>
          <w:szCs w:val="24"/>
        </w:rPr>
        <w:br/>
      </w:r>
      <w:r w:rsidRPr="00FC3B7C">
        <w:rPr>
          <w:rFonts w:eastAsia="Times New Roman"/>
          <w:szCs w:val="24"/>
        </w:rPr>
        <w:t>a od Rozvojové banky rady Evropy (Council of European Development Bank, CEB)</w:t>
      </w:r>
    </w:p>
    <w:p w14:paraId="4A6F590E" w14:textId="77777777" w:rsidR="008E0F74" w:rsidRPr="00FC3B7C" w:rsidRDefault="00256F29" w:rsidP="00D46B53">
      <w:pPr>
        <w:numPr>
          <w:ilvl w:val="0"/>
          <w:numId w:val="558"/>
        </w:numPr>
        <w:tabs>
          <w:tab w:val="left" w:pos="720"/>
        </w:tabs>
        <w:ind w:left="720" w:right="40" w:hanging="364"/>
        <w:rPr>
          <w:rFonts w:eastAsia="Arial"/>
          <w:szCs w:val="24"/>
        </w:rPr>
      </w:pPr>
      <w:r w:rsidRPr="00FC3B7C">
        <w:rPr>
          <w:rFonts w:eastAsia="Times New Roman"/>
          <w:szCs w:val="24"/>
        </w:rPr>
        <w:t>v minulosti byli z přímých úvěrů financovány např. české dálnice, výstavba univerzitního kampusu v Brně nebo prevence před povodněmi.</w:t>
      </w:r>
    </w:p>
    <w:p w14:paraId="4A6F590F" w14:textId="77777777" w:rsidR="008E0F74" w:rsidRPr="00FC3B7C" w:rsidRDefault="008E0F74" w:rsidP="00597735">
      <w:pPr>
        <w:rPr>
          <w:sz w:val="20"/>
          <w:szCs w:val="20"/>
        </w:rPr>
      </w:pPr>
    </w:p>
    <w:p w14:paraId="4A6F5910" w14:textId="77777777" w:rsidR="008E0F74" w:rsidRPr="00FC3B7C" w:rsidRDefault="00256F29" w:rsidP="00597735">
      <w:pPr>
        <w:rPr>
          <w:sz w:val="20"/>
          <w:szCs w:val="20"/>
        </w:rPr>
      </w:pPr>
      <w:r w:rsidRPr="00FC3B7C">
        <w:rPr>
          <w:rFonts w:eastAsia="Times New Roman"/>
          <w:b/>
          <w:bCs/>
          <w:szCs w:val="24"/>
        </w:rPr>
        <w:t>Financování</w:t>
      </w:r>
      <w:r w:rsidR="00597735">
        <w:rPr>
          <w:rFonts w:eastAsia="Times New Roman"/>
          <w:b/>
          <w:bCs/>
          <w:szCs w:val="24"/>
        </w:rPr>
        <w:t xml:space="preserve"> </w:t>
      </w:r>
      <w:r w:rsidRPr="00FC3B7C">
        <w:rPr>
          <w:rFonts w:eastAsia="Times New Roman"/>
          <w:b/>
          <w:bCs/>
          <w:szCs w:val="24"/>
        </w:rPr>
        <w:t>emisí zahraničních dluhopisů</w:t>
      </w:r>
    </w:p>
    <w:p w14:paraId="4A6F5911" w14:textId="77777777" w:rsidR="008E0F74" w:rsidRPr="00FC3B7C" w:rsidRDefault="00256F29" w:rsidP="00D46B53">
      <w:pPr>
        <w:numPr>
          <w:ilvl w:val="0"/>
          <w:numId w:val="559"/>
        </w:numPr>
        <w:tabs>
          <w:tab w:val="left" w:pos="700"/>
        </w:tabs>
        <w:ind w:left="700" w:right="40" w:hanging="355"/>
        <w:rPr>
          <w:rFonts w:eastAsia="Arial"/>
          <w:szCs w:val="24"/>
        </w:rPr>
      </w:pPr>
      <w:r w:rsidRPr="00FC3B7C">
        <w:rPr>
          <w:rFonts w:eastAsia="Times New Roman"/>
          <w:szCs w:val="24"/>
        </w:rPr>
        <w:t>emise zahraničních dluhopisů, v roce 2004 (jmenovitá hodnota emise 1,5 mld. EUR se splatností v r. 2014)</w:t>
      </w:r>
    </w:p>
    <w:p w14:paraId="4A6F5912" w14:textId="77777777" w:rsidR="008E0F74" w:rsidRPr="00FC3B7C" w:rsidRDefault="008E0F74">
      <w:pPr>
        <w:spacing w:line="172" w:lineRule="exact"/>
        <w:rPr>
          <w:sz w:val="20"/>
          <w:szCs w:val="20"/>
        </w:rPr>
      </w:pPr>
    </w:p>
    <w:p w14:paraId="4A6F5913" w14:textId="77777777" w:rsidR="008E0F74" w:rsidRPr="00756691" w:rsidRDefault="00256F29" w:rsidP="00597735">
      <w:pPr>
        <w:pStyle w:val="Nadpis4"/>
        <w:rPr>
          <w:color w:val="1F3864" w:themeColor="accent1" w:themeShade="80"/>
          <w:sz w:val="20"/>
          <w:szCs w:val="20"/>
        </w:rPr>
      </w:pPr>
      <w:r w:rsidRPr="00756691">
        <w:rPr>
          <w:rFonts w:eastAsia="Times New Roman"/>
          <w:color w:val="1F3864" w:themeColor="accent1" w:themeShade="80"/>
        </w:rPr>
        <w:t>Vývoj státního dluhu</w:t>
      </w:r>
    </w:p>
    <w:p w14:paraId="2866A914" w14:textId="77777777" w:rsidR="0063710B" w:rsidRDefault="00256F29" w:rsidP="00597735">
      <w:pPr>
        <w:ind w:right="40"/>
        <w:rPr>
          <w:rFonts w:eastAsia="Times New Roman"/>
          <w:szCs w:val="24"/>
        </w:rPr>
      </w:pPr>
      <w:r w:rsidRPr="00FC3B7C">
        <w:rPr>
          <w:rFonts w:eastAsia="Times New Roman"/>
          <w:szCs w:val="24"/>
        </w:rPr>
        <w:t>Při rozdělení Československé federace došlo i k rozdělení dluhu podle počtu obyvatel (na ČR připadly dvě třetiny z celkového dluhu, 88,9 mld. Kč). Celkový státní dluh byl však vyšší ještě o zahraniční dluh (70 mld.).</w:t>
      </w:r>
    </w:p>
    <w:p w14:paraId="4A6F5915" w14:textId="507F66A5" w:rsidR="008E0F74" w:rsidRPr="0063710B" w:rsidRDefault="00256F29" w:rsidP="00597735">
      <w:pPr>
        <w:ind w:right="40"/>
        <w:rPr>
          <w:rFonts w:eastAsia="Times New Roman"/>
          <w:szCs w:val="24"/>
        </w:rPr>
      </w:pPr>
      <w:r w:rsidRPr="00FC3B7C">
        <w:rPr>
          <w:rFonts w:eastAsia="Times New Roman"/>
          <w:szCs w:val="24"/>
        </w:rPr>
        <w:t>V letech 1993 – 1996 dluh mírně klesal, rozpočty byly sestavovány jako vyrovnané (ve</w:t>
      </w:r>
      <w:r w:rsidR="0063710B">
        <w:rPr>
          <w:rFonts w:eastAsia="Times New Roman"/>
          <w:szCs w:val="24"/>
        </w:rPr>
        <w:t xml:space="preserve"> </w:t>
      </w:r>
      <w:r w:rsidR="00996B5C">
        <w:rPr>
          <w:rFonts w:eastAsia="Times New Roman"/>
          <w:szCs w:val="24"/>
        </w:rPr>
        <w:t>s</w:t>
      </w:r>
      <w:r w:rsidRPr="00FC3B7C">
        <w:rPr>
          <w:rFonts w:eastAsia="Times New Roman"/>
          <w:szCs w:val="24"/>
        </w:rPr>
        <w:t>kutečnosti dokonce přebytkové) a to přestože ekonomika procházela transformací na tržní hospodářství.</w:t>
      </w:r>
    </w:p>
    <w:p w14:paraId="35DACC43" w14:textId="69A5504D" w:rsidR="00204D12" w:rsidRDefault="00256F29" w:rsidP="00204D12">
      <w:pPr>
        <w:spacing w:after="240"/>
        <w:rPr>
          <w:rFonts w:eastAsia="Times New Roman"/>
        </w:rPr>
      </w:pPr>
      <w:r w:rsidRPr="00FC3B7C">
        <w:rPr>
          <w:rFonts w:eastAsia="Times New Roman"/>
        </w:rPr>
        <w:t xml:space="preserve">V roce 1996 byl sestaven první deficitní rozpočet. Od té doby se deficity zvyšovaly </w:t>
      </w:r>
      <w:r w:rsidR="00597735">
        <w:rPr>
          <w:rFonts w:eastAsia="Times New Roman"/>
        </w:rPr>
        <w:br/>
      </w:r>
      <w:r w:rsidRPr="00FC3B7C">
        <w:rPr>
          <w:rFonts w:eastAsia="Times New Roman"/>
        </w:rPr>
        <w:t xml:space="preserve">a všechny rozpočty již byly sestavovány jako deficitní (a to i přesto, že hospodářský růst byl vyšší, než se čekalo). Začal se zvyšovat státní dluh a také </w:t>
      </w:r>
      <w:r w:rsidR="00597735">
        <w:rPr>
          <w:rFonts w:eastAsia="Times New Roman"/>
        </w:rPr>
        <w:t>podíl dluhu na HDP (ke konci</w:t>
      </w:r>
      <w:r w:rsidR="0063710B">
        <w:rPr>
          <w:rFonts w:eastAsia="Times New Roman"/>
        </w:rPr>
        <w:t xml:space="preserve"> </w:t>
      </w:r>
      <w:r w:rsidR="00996B5C">
        <w:rPr>
          <w:rFonts w:eastAsia="Times New Roman"/>
        </w:rPr>
        <w:t>r.</w:t>
      </w:r>
      <w:r w:rsidR="00996B5C" w:rsidRPr="00FC3B7C">
        <w:rPr>
          <w:rFonts w:eastAsia="Times New Roman"/>
        </w:rPr>
        <w:t xml:space="preserve"> 2012</w:t>
      </w:r>
      <w:r w:rsidRPr="00FC3B7C">
        <w:rPr>
          <w:rFonts w:eastAsia="Times New Roman"/>
        </w:rPr>
        <w:t xml:space="preserve"> byl státní dluh 43% HDP</w:t>
      </w:r>
      <w:r w:rsidR="00204D12">
        <w:rPr>
          <w:rFonts w:eastAsia="Times New Roman"/>
        </w:rPr>
        <w:t>).</w:t>
      </w:r>
    </w:p>
    <w:p w14:paraId="4A6F5917" w14:textId="0BFE4CF3" w:rsidR="008E0F74" w:rsidRPr="00FC3B7C" w:rsidRDefault="00256F29" w:rsidP="00204D12">
      <w:pPr>
        <w:rPr>
          <w:sz w:val="20"/>
          <w:szCs w:val="20"/>
        </w:rPr>
      </w:pPr>
      <w:r w:rsidRPr="00FC3B7C">
        <w:rPr>
          <w:rFonts w:eastAsia="Times New Roman"/>
          <w:b/>
          <w:bCs/>
          <w:szCs w:val="24"/>
        </w:rPr>
        <w:t xml:space="preserve">Možné příčiny růstu dluhu: </w:t>
      </w:r>
      <w:r w:rsidRPr="00FC3B7C">
        <w:rPr>
          <w:rFonts w:eastAsia="Times New Roman"/>
          <w:szCs w:val="24"/>
        </w:rPr>
        <w:t>deficitní rozpočty, tempo růstu mandatorních výdajů,</w:t>
      </w:r>
      <w:r w:rsidRPr="00FC3B7C">
        <w:rPr>
          <w:rFonts w:eastAsia="Times New Roman"/>
          <w:b/>
          <w:bCs/>
          <w:szCs w:val="24"/>
        </w:rPr>
        <w:t xml:space="preserve"> </w:t>
      </w:r>
      <w:r w:rsidRPr="00FC3B7C">
        <w:rPr>
          <w:rFonts w:eastAsia="Times New Roman"/>
          <w:szCs w:val="24"/>
        </w:rPr>
        <w:t>transformace dluhů Fondu národního majetku a České konsolidační agentury.</w:t>
      </w:r>
    </w:p>
    <w:p w14:paraId="4A6F5965" w14:textId="6C3494A7" w:rsidR="008E0F74" w:rsidRPr="00FC3B7C" w:rsidRDefault="008E0F74" w:rsidP="0063710B">
      <w:pPr>
        <w:rPr>
          <w:sz w:val="20"/>
          <w:szCs w:val="20"/>
        </w:rPr>
      </w:pPr>
      <w:bookmarkStart w:id="496" w:name="page511"/>
      <w:bookmarkEnd w:id="496"/>
    </w:p>
    <w:p w14:paraId="4A6F5966" w14:textId="77777777" w:rsidR="008E0F74" w:rsidRPr="00756691" w:rsidRDefault="00256F29" w:rsidP="00597735">
      <w:pPr>
        <w:pStyle w:val="Nadpis4"/>
        <w:rPr>
          <w:color w:val="1F3864" w:themeColor="accent1" w:themeShade="80"/>
          <w:sz w:val="20"/>
          <w:szCs w:val="20"/>
        </w:rPr>
      </w:pPr>
      <w:r w:rsidRPr="00756691">
        <w:rPr>
          <w:rFonts w:eastAsia="Times New Roman"/>
          <w:color w:val="1F3864" w:themeColor="accent1" w:themeShade="80"/>
        </w:rPr>
        <w:t>Řízení státního dluhu</w:t>
      </w:r>
    </w:p>
    <w:p w14:paraId="4A6F5967" w14:textId="77777777" w:rsidR="008E0F74" w:rsidRDefault="00256F29" w:rsidP="00597735">
      <w:pPr>
        <w:ind w:right="160"/>
        <w:rPr>
          <w:rFonts w:eastAsia="Times New Roman"/>
          <w:szCs w:val="24"/>
        </w:rPr>
      </w:pPr>
      <w:r w:rsidRPr="00FC3B7C">
        <w:rPr>
          <w:rFonts w:eastAsia="Times New Roman"/>
          <w:szCs w:val="24"/>
        </w:rPr>
        <w:t>Zodpovídá Ministerstvo financí (odbor Řízení státního dluhu a finančního majetku). Vydává a prodává státní dluhopisy, hradí úrokové výdaje, splácí jistiny splatných dluhopisů, zabezpečuje solventní pozici státu (řízením hotovosti na účtu u ČNB), vytváří a zajišťuje portfolio státních dluhopisů, řízení úvěru a státních záruk.</w:t>
      </w:r>
    </w:p>
    <w:p w14:paraId="4A6F5968" w14:textId="77777777" w:rsidR="00597735" w:rsidRPr="00FC3B7C" w:rsidRDefault="00597735" w:rsidP="00597735">
      <w:pPr>
        <w:ind w:right="160"/>
        <w:rPr>
          <w:sz w:val="20"/>
          <w:szCs w:val="20"/>
        </w:rPr>
      </w:pPr>
    </w:p>
    <w:p w14:paraId="4A6F5969" w14:textId="77777777" w:rsidR="008E0F74" w:rsidRPr="00FC3B7C" w:rsidRDefault="008E0F74">
      <w:pPr>
        <w:spacing w:line="3" w:lineRule="exact"/>
        <w:rPr>
          <w:sz w:val="20"/>
          <w:szCs w:val="20"/>
        </w:rPr>
      </w:pPr>
    </w:p>
    <w:p w14:paraId="4A6F59A3" w14:textId="77777777" w:rsidR="008E0F74" w:rsidRPr="00FC3B7C" w:rsidRDefault="008E0F74">
      <w:pPr>
        <w:spacing w:line="20" w:lineRule="exact"/>
        <w:rPr>
          <w:sz w:val="20"/>
          <w:szCs w:val="20"/>
        </w:rPr>
      </w:pPr>
      <w:bookmarkStart w:id="497" w:name="page512"/>
      <w:bookmarkEnd w:id="497"/>
    </w:p>
    <w:p w14:paraId="4A6F59BE" w14:textId="55ECD690" w:rsidR="008E0F74" w:rsidRPr="00FC3B7C" w:rsidRDefault="00756691" w:rsidP="00597735">
      <w:pPr>
        <w:pStyle w:val="Nadpis3"/>
        <w:rPr>
          <w:sz w:val="20"/>
          <w:szCs w:val="20"/>
        </w:rPr>
      </w:pPr>
      <w:r>
        <w:rPr>
          <w:rFonts w:eastAsia="Times New Roman"/>
        </w:rPr>
        <w:t xml:space="preserve"> </w:t>
      </w:r>
      <w:r w:rsidR="00256F29" w:rsidRPr="00756691">
        <w:rPr>
          <w:rFonts w:eastAsia="Times New Roman"/>
          <w:color w:val="1F3864" w:themeColor="accent1" w:themeShade="80"/>
        </w:rPr>
        <w:t>Municipální dluh</w:t>
      </w:r>
    </w:p>
    <w:p w14:paraId="4A6F59BF" w14:textId="45360EF4" w:rsidR="008E0F74" w:rsidRPr="00FC3B7C" w:rsidRDefault="00256F29" w:rsidP="00597735">
      <w:pPr>
        <w:ind w:left="4" w:right="100"/>
        <w:rPr>
          <w:sz w:val="20"/>
          <w:szCs w:val="20"/>
        </w:rPr>
      </w:pPr>
      <w:bookmarkStart w:id="498" w:name="page513"/>
      <w:bookmarkEnd w:id="498"/>
      <w:r w:rsidRPr="00FC3B7C">
        <w:rPr>
          <w:rFonts w:eastAsia="Times New Roman"/>
          <w:szCs w:val="24"/>
        </w:rPr>
        <w:t>Municipální dluh = „obecní dlu</w:t>
      </w:r>
      <w:r w:rsidR="00996B5C">
        <w:rPr>
          <w:rFonts w:eastAsia="Times New Roman"/>
          <w:szCs w:val="24"/>
        </w:rPr>
        <w:t>h“. Z</w:t>
      </w:r>
      <w:r w:rsidRPr="00FC3B7C">
        <w:rPr>
          <w:rFonts w:eastAsia="Times New Roman"/>
          <w:szCs w:val="24"/>
        </w:rPr>
        <w:t>ahrnuje dluhy municipálních samosprávných celků, tedy obcí a krajů. Za jeho výši a strukturu odpovídá obecní zastupitelstvo.</w:t>
      </w:r>
    </w:p>
    <w:p w14:paraId="4A6F59C0" w14:textId="77777777" w:rsidR="008E0F74" w:rsidRPr="00FC3B7C" w:rsidRDefault="00256F29" w:rsidP="00597735">
      <w:pPr>
        <w:ind w:left="4"/>
        <w:rPr>
          <w:sz w:val="20"/>
          <w:szCs w:val="20"/>
        </w:rPr>
      </w:pPr>
      <w:r w:rsidRPr="00FC3B7C">
        <w:rPr>
          <w:rFonts w:eastAsia="Times New Roman"/>
          <w:b/>
          <w:bCs/>
          <w:szCs w:val="24"/>
        </w:rPr>
        <w:lastRenderedPageBreak/>
        <w:t>Municipální dluhy:</w:t>
      </w:r>
    </w:p>
    <w:p w14:paraId="4A6F59C1" w14:textId="77777777" w:rsidR="008E0F74" w:rsidRPr="00FC3B7C" w:rsidRDefault="00256F29" w:rsidP="00D46B53">
      <w:pPr>
        <w:numPr>
          <w:ilvl w:val="0"/>
          <w:numId w:val="560"/>
        </w:numPr>
        <w:tabs>
          <w:tab w:val="left" w:pos="844"/>
        </w:tabs>
        <w:ind w:left="844" w:right="60" w:hanging="353"/>
        <w:rPr>
          <w:rFonts w:eastAsia="Arial"/>
          <w:szCs w:val="24"/>
        </w:rPr>
      </w:pPr>
      <w:r w:rsidRPr="00FC3B7C">
        <w:rPr>
          <w:rFonts w:eastAsia="Times New Roman"/>
          <w:b/>
          <w:bCs/>
          <w:szCs w:val="24"/>
        </w:rPr>
        <w:t xml:space="preserve">Přímé </w:t>
      </w:r>
      <w:r w:rsidRPr="00FC3B7C">
        <w:rPr>
          <w:rFonts w:eastAsia="Times New Roman"/>
          <w:szCs w:val="24"/>
        </w:rPr>
        <w:t>– dluhy ze smluvních obchodních vztahů</w:t>
      </w:r>
      <w:r w:rsidRPr="00FC3B7C">
        <w:rPr>
          <w:rFonts w:eastAsia="Times New Roman"/>
          <w:b/>
          <w:bCs/>
          <w:szCs w:val="24"/>
        </w:rPr>
        <w:t xml:space="preserve"> </w:t>
      </w:r>
      <w:r w:rsidRPr="00FC3B7C">
        <w:rPr>
          <w:rFonts w:eastAsia="Times New Roman"/>
          <w:szCs w:val="24"/>
        </w:rPr>
        <w:t>(věřiteli jsou banky, státní a</w:t>
      </w:r>
      <w:r w:rsidRPr="00FC3B7C">
        <w:rPr>
          <w:rFonts w:eastAsia="Times New Roman"/>
          <w:b/>
          <w:bCs/>
          <w:szCs w:val="24"/>
        </w:rPr>
        <w:t xml:space="preserve"> </w:t>
      </w:r>
      <w:r w:rsidRPr="00FC3B7C">
        <w:rPr>
          <w:rFonts w:eastAsia="Times New Roman"/>
          <w:szCs w:val="24"/>
        </w:rPr>
        <w:t>okresní rozpočet, státní fondy a majitelé komunálních obligací), komunální obligace</w:t>
      </w:r>
    </w:p>
    <w:p w14:paraId="4A6F59C2" w14:textId="77777777" w:rsidR="008E0F74" w:rsidRPr="00FC3B7C" w:rsidRDefault="00256F29" w:rsidP="00597735">
      <w:pPr>
        <w:ind w:left="844" w:right="60"/>
        <w:rPr>
          <w:rFonts w:eastAsia="Arial"/>
          <w:szCs w:val="24"/>
        </w:rPr>
      </w:pPr>
      <w:r w:rsidRPr="00FC3B7C">
        <w:rPr>
          <w:rFonts w:eastAsia="Times New Roman"/>
          <w:szCs w:val="24"/>
        </w:rPr>
        <w:t>– ve formě veřejně obchodovatelných CP (jejich emise musí být schválena Komisí pro cenné papíry) – v ČR pouze Praha, Ostrava, Liberec</w:t>
      </w:r>
    </w:p>
    <w:p w14:paraId="4A6F59C3" w14:textId="77777777" w:rsidR="008E0F74" w:rsidRPr="00FC3B7C" w:rsidRDefault="00256F29" w:rsidP="00D46B53">
      <w:pPr>
        <w:numPr>
          <w:ilvl w:val="0"/>
          <w:numId w:val="560"/>
        </w:numPr>
        <w:tabs>
          <w:tab w:val="left" w:pos="844"/>
        </w:tabs>
        <w:ind w:left="844" w:hanging="353"/>
        <w:rPr>
          <w:rFonts w:eastAsia="Arial"/>
          <w:szCs w:val="24"/>
        </w:rPr>
      </w:pPr>
      <w:r w:rsidRPr="00FC3B7C">
        <w:rPr>
          <w:rFonts w:eastAsia="Times New Roman"/>
          <w:b/>
          <w:bCs/>
          <w:szCs w:val="24"/>
        </w:rPr>
        <w:t xml:space="preserve">Nepřímé </w:t>
      </w:r>
      <w:r w:rsidRPr="00FC3B7C">
        <w:rPr>
          <w:rFonts w:eastAsia="Times New Roman"/>
          <w:szCs w:val="24"/>
        </w:rPr>
        <w:t>– závazky za služby a závazky z vlastního vnitřního zadlužení</w:t>
      </w:r>
    </w:p>
    <w:p w14:paraId="4A6F59C6" w14:textId="152C1B72" w:rsidR="008E0F74" w:rsidRPr="00FC3B7C" w:rsidRDefault="00256F29" w:rsidP="00204D12">
      <w:pPr>
        <w:ind w:left="4" w:right="60"/>
        <w:rPr>
          <w:sz w:val="20"/>
          <w:szCs w:val="20"/>
        </w:rPr>
      </w:pPr>
      <w:r w:rsidRPr="00FC3B7C">
        <w:rPr>
          <w:rFonts w:eastAsia="Times New Roman"/>
          <w:szCs w:val="24"/>
        </w:rPr>
        <w:t>Po roce 1990 převedl stát majetek na obce (i s dluhy). Obce si musely v krátké době zajistit prostředky na financování výdajů spojených s tímto majetkem. Úvěr získávaly poměrně snadno, pro banky byly výhodným klientem. Úvěry však často na financování projektů, které by zastupitelstvu zajistily znovuzvolení.</w:t>
      </w:r>
    </w:p>
    <w:p w14:paraId="4A6F59D6" w14:textId="5825A06E" w:rsidR="008E0F74" w:rsidRPr="00FC3B7C" w:rsidRDefault="00353E4B" w:rsidP="00204D12">
      <w:pPr>
        <w:spacing w:before="240" w:after="240"/>
        <w:ind w:left="284"/>
        <w:rPr>
          <w:sz w:val="20"/>
          <w:szCs w:val="20"/>
        </w:rPr>
      </w:pPr>
      <w:r w:rsidRPr="00204D12">
        <w:rPr>
          <w:noProof/>
        </w:rPr>
        <w:drawing>
          <wp:anchor distT="0" distB="0" distL="114300" distR="114300" simplePos="0" relativeHeight="251612672" behindDoc="0" locked="0" layoutInCell="1" allowOverlap="1" wp14:anchorId="305AE52A" wp14:editId="102556D1">
            <wp:simplePos x="0" y="0"/>
            <wp:positionH relativeFrom="column">
              <wp:posOffset>-7620</wp:posOffset>
            </wp:positionH>
            <wp:positionV relativeFrom="paragraph">
              <wp:posOffset>593725</wp:posOffset>
            </wp:positionV>
            <wp:extent cx="5745480" cy="1339215"/>
            <wp:effectExtent l="0" t="0" r="7620" b="0"/>
            <wp:wrapTopAndBottom/>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5745480" cy="1339215"/>
                    </a:xfrm>
                    <a:prstGeom prst="rect">
                      <a:avLst/>
                    </a:prstGeom>
                  </pic:spPr>
                </pic:pic>
              </a:graphicData>
            </a:graphic>
            <wp14:sizeRelH relativeFrom="margin">
              <wp14:pctWidth>0</wp14:pctWidth>
            </wp14:sizeRelH>
            <wp14:sizeRelV relativeFrom="margin">
              <wp14:pctHeight>0</wp14:pctHeight>
            </wp14:sizeRelV>
          </wp:anchor>
        </w:drawing>
      </w:r>
      <w:r w:rsidR="00256F29" w:rsidRPr="000146D4">
        <w:rPr>
          <w:rFonts w:eastAsia="Times New Roman"/>
          <w:b/>
          <w:bCs/>
          <w:szCs w:val="24"/>
        </w:rPr>
        <w:t>Tab. č. 2: Souhrnné údaje o dluhu obcí v ČR v letech 20</w:t>
      </w:r>
      <w:r w:rsidR="000146D4" w:rsidRPr="000146D4">
        <w:rPr>
          <w:rFonts w:eastAsia="Times New Roman"/>
          <w:b/>
          <w:bCs/>
          <w:szCs w:val="24"/>
        </w:rPr>
        <w:t xml:space="preserve">10 - </w:t>
      </w:r>
      <w:r w:rsidR="00256F29" w:rsidRPr="000146D4">
        <w:rPr>
          <w:rFonts w:eastAsia="Times New Roman"/>
          <w:b/>
          <w:bCs/>
          <w:szCs w:val="24"/>
        </w:rPr>
        <w:t>201</w:t>
      </w:r>
      <w:r w:rsidR="000146D4" w:rsidRPr="000146D4">
        <w:rPr>
          <w:rFonts w:eastAsia="Times New Roman"/>
          <w:b/>
          <w:bCs/>
          <w:szCs w:val="24"/>
        </w:rPr>
        <w:t>8</w:t>
      </w:r>
      <w:r w:rsidR="00256F29" w:rsidRPr="000146D4">
        <w:rPr>
          <w:rFonts w:eastAsia="Times New Roman"/>
          <w:b/>
          <w:bCs/>
          <w:szCs w:val="24"/>
        </w:rPr>
        <w:t>:</w:t>
      </w:r>
      <w:r w:rsidR="00204D12" w:rsidRPr="00204D12">
        <w:rPr>
          <w:noProof/>
        </w:rPr>
        <w:t xml:space="preserve"> </w:t>
      </w:r>
    </w:p>
    <w:p w14:paraId="11340E97" w14:textId="77777777" w:rsidR="00436A06" w:rsidRDefault="00436A06" w:rsidP="00436A06">
      <w:pPr>
        <w:spacing w:before="240"/>
        <w:jc w:val="left"/>
        <w:rPr>
          <w:rFonts w:eastAsia="Times New Roman"/>
        </w:rPr>
      </w:pPr>
    </w:p>
    <w:p w14:paraId="017003DB" w14:textId="0ED3AB31" w:rsidR="00204D12" w:rsidRPr="00436A06" w:rsidRDefault="00204D12" w:rsidP="00436A06">
      <w:pPr>
        <w:spacing w:after="240"/>
        <w:jc w:val="left"/>
        <w:rPr>
          <w:rFonts w:eastAsia="Times New Roman"/>
          <w:sz w:val="20"/>
          <w:szCs w:val="18"/>
        </w:rPr>
      </w:pPr>
      <w:r w:rsidRPr="00436A06">
        <w:rPr>
          <w:rFonts w:eastAsia="Times New Roman"/>
          <w:b/>
          <w:bCs/>
          <w:sz w:val="20"/>
          <w:szCs w:val="18"/>
        </w:rPr>
        <w:t xml:space="preserve">Zdroj: </w:t>
      </w:r>
      <w:hyperlink r:id="rId157" w:history="1">
        <w:r w:rsidRPr="00436A06">
          <w:rPr>
            <w:rStyle w:val="Hypertextovodkaz"/>
            <w:color w:val="auto"/>
            <w:sz w:val="20"/>
            <w:szCs w:val="18"/>
            <w:u w:val="none"/>
          </w:rPr>
          <w:t>https://www.mfcr.cz/cs/verejny-sektor/uzemni-rozpocty/zadluzenost-uzemnich-rozpoctu/2018/zadluzenost-uzemnich-rozpoctu-v-roce-201-36295</w:t>
        </w:r>
      </w:hyperlink>
    </w:p>
    <w:p w14:paraId="4A6F59DB" w14:textId="6A3153FD" w:rsidR="008E0F74" w:rsidRPr="00FC3B7C" w:rsidRDefault="00256F29" w:rsidP="00597735">
      <w:pPr>
        <w:ind w:left="4" w:right="60"/>
        <w:rPr>
          <w:sz w:val="20"/>
          <w:szCs w:val="20"/>
        </w:rPr>
      </w:pPr>
      <w:r w:rsidRPr="00FC3B7C">
        <w:rPr>
          <w:rFonts w:eastAsia="Times New Roman"/>
          <w:szCs w:val="24"/>
        </w:rPr>
        <w:t>V roce 2004 bylo přijato vládní usnesení o regulaci zadluženosti obcí a krajů pomocí ukazatele dluhové služby. Ministerstvo financí sleduje, zda obce a kraje nepřekračují 30% výši ukazatele dluhové služby. Obce mají povinnost dát přezkoumat své hospodaření za uplynulý kalendářní rok auditorovi nebo krajským úřadům.</w:t>
      </w:r>
    </w:p>
    <w:p w14:paraId="4A6F59DC" w14:textId="77777777" w:rsidR="008E0F74" w:rsidRPr="00597735" w:rsidRDefault="00256F29" w:rsidP="00597735">
      <w:pPr>
        <w:ind w:left="4" w:right="60"/>
        <w:rPr>
          <w:sz w:val="20"/>
          <w:szCs w:val="20"/>
        </w:rPr>
      </w:pPr>
      <w:r w:rsidRPr="00FC3B7C">
        <w:rPr>
          <w:rFonts w:eastAsia="Times New Roman"/>
          <w:sz w:val="23"/>
          <w:szCs w:val="23"/>
        </w:rPr>
        <w:t>Ministr financí každoročně informuje vládu o stavu zadluženosti obcí a krajů (v dubnu). Obce, které danou hranici překročí, musí do 3 měsíců překročení zdůvodnit a předložit zprávu</w:t>
      </w:r>
      <w:r w:rsidR="00597735">
        <w:rPr>
          <w:sz w:val="20"/>
          <w:szCs w:val="20"/>
        </w:rPr>
        <w:t xml:space="preserve"> </w:t>
      </w:r>
      <w:r w:rsidR="00597735" w:rsidRPr="00597735">
        <w:rPr>
          <w:szCs w:val="24"/>
        </w:rPr>
        <w:t>o</w:t>
      </w:r>
      <w:r w:rsidR="00597735">
        <w:rPr>
          <w:sz w:val="20"/>
          <w:szCs w:val="20"/>
        </w:rPr>
        <w:t xml:space="preserve"> </w:t>
      </w:r>
      <w:r w:rsidRPr="00FC3B7C">
        <w:rPr>
          <w:rFonts w:eastAsia="Times New Roman"/>
          <w:szCs w:val="24"/>
        </w:rPr>
        <w:t>hospodaření za daný kalendářní rok, dále rozpočtový výhled a návrh opatření. Překročení ukazatele dluhové služby v dalším roce znamená, že ministerstvo financí je povinno</w:t>
      </w:r>
      <w:r w:rsidR="005D3036">
        <w:rPr>
          <w:rFonts w:eastAsia="Times New Roman"/>
          <w:szCs w:val="24"/>
        </w:rPr>
        <w:t xml:space="preserve">stí </w:t>
      </w:r>
      <w:r w:rsidRPr="00FC3B7C">
        <w:rPr>
          <w:rFonts w:eastAsia="Times New Roman"/>
          <w:szCs w:val="24"/>
        </w:rPr>
        <w:t>informovat poskytovatele prostředků ze státního rozpočtu a státních fondů, aby toto zohlednili při poskytování dalších půjček.</w:t>
      </w:r>
    </w:p>
    <w:p w14:paraId="4A6F59DD" w14:textId="77777777" w:rsidR="008E0F74" w:rsidRPr="00FC3B7C" w:rsidRDefault="00256F29" w:rsidP="005D3036">
      <w:pPr>
        <w:ind w:right="60"/>
        <w:rPr>
          <w:sz w:val="20"/>
          <w:szCs w:val="20"/>
        </w:rPr>
      </w:pPr>
      <w:bookmarkStart w:id="499" w:name="page514"/>
      <w:bookmarkEnd w:id="499"/>
      <w:r w:rsidRPr="00FC3B7C">
        <w:rPr>
          <w:rFonts w:eastAsia="Times New Roman"/>
          <w:sz w:val="23"/>
          <w:szCs w:val="23"/>
        </w:rPr>
        <w:t>Dále každý rok provádí Ministerstvo financí výpočet soustavy informativních ukazatelů (celkem 17 – př. rozvaha aktiv a pasiv, cizí zdroje, úvěry a komunální obligace, zadluženost…) za všechny obce a jimi zřízené příspěvkové organizace, a tyto výpočty hodnotí.</w:t>
      </w:r>
    </w:p>
    <w:p w14:paraId="4A6F59DE" w14:textId="4E351BE6" w:rsidR="008E0F74" w:rsidRPr="00FC3B7C" w:rsidRDefault="00256F29" w:rsidP="000146D4">
      <w:pPr>
        <w:spacing w:after="240"/>
        <w:ind w:right="60"/>
        <w:rPr>
          <w:sz w:val="20"/>
          <w:szCs w:val="20"/>
        </w:rPr>
      </w:pPr>
      <w:r w:rsidRPr="00FC3B7C">
        <w:rPr>
          <w:rFonts w:eastAsia="Times New Roman"/>
          <w:szCs w:val="24"/>
        </w:rPr>
        <w:lastRenderedPageBreak/>
        <w:t>Největší podíl na zadluženosti měst a obcí ČR mají statutární města (v roce 20</w:t>
      </w:r>
      <w:r w:rsidR="00436A06">
        <w:rPr>
          <w:rFonts w:eastAsia="Times New Roman"/>
          <w:szCs w:val="24"/>
        </w:rPr>
        <w:t>18</w:t>
      </w:r>
      <w:r w:rsidRPr="00FC3B7C">
        <w:rPr>
          <w:rFonts w:eastAsia="Times New Roman"/>
          <w:szCs w:val="24"/>
        </w:rPr>
        <w:t xml:space="preserve"> Praha podíl na celkovém zadlužení </w:t>
      </w:r>
      <w:r w:rsidR="00436A06">
        <w:rPr>
          <w:rFonts w:eastAsia="Times New Roman"/>
          <w:szCs w:val="24"/>
        </w:rPr>
        <w:t>30,8</w:t>
      </w:r>
      <w:r w:rsidRPr="00FC3B7C">
        <w:rPr>
          <w:rFonts w:eastAsia="Times New Roman"/>
          <w:szCs w:val="24"/>
        </w:rPr>
        <w:t>%).</w:t>
      </w:r>
    </w:p>
    <w:p w14:paraId="4A6F59DF" w14:textId="77777777" w:rsidR="008E0F74" w:rsidRPr="00FC3B7C" w:rsidRDefault="008E0F74">
      <w:pPr>
        <w:spacing w:line="1" w:lineRule="exact"/>
        <w:rPr>
          <w:sz w:val="20"/>
          <w:szCs w:val="20"/>
        </w:rPr>
      </w:pPr>
    </w:p>
    <w:p w14:paraId="4A6F59E0" w14:textId="77777777" w:rsidR="008E0F74" w:rsidRPr="00FC3B7C" w:rsidRDefault="00256F29">
      <w:pPr>
        <w:ind w:left="280"/>
        <w:rPr>
          <w:sz w:val="20"/>
          <w:szCs w:val="20"/>
        </w:rPr>
      </w:pPr>
      <w:r w:rsidRPr="00FC3B7C">
        <w:rPr>
          <w:rFonts w:eastAsia="Times New Roman"/>
          <w:b/>
          <w:bCs/>
          <w:szCs w:val="24"/>
        </w:rPr>
        <w:t>Obr. č. 1: Míra zadluženosti obcí v ČR:</w:t>
      </w:r>
    </w:p>
    <w:p w14:paraId="4A6F59E1" w14:textId="77777777" w:rsidR="008E0F74" w:rsidRPr="00FC3B7C" w:rsidRDefault="00256F29">
      <w:pPr>
        <w:spacing w:line="20" w:lineRule="exact"/>
        <w:rPr>
          <w:sz w:val="20"/>
          <w:szCs w:val="20"/>
        </w:rPr>
      </w:pPr>
      <w:r w:rsidRPr="00FC3B7C">
        <w:rPr>
          <w:noProof/>
          <w:sz w:val="20"/>
          <w:szCs w:val="20"/>
        </w:rPr>
        <w:drawing>
          <wp:anchor distT="0" distB="0" distL="114300" distR="114300" simplePos="0" relativeHeight="251616768" behindDoc="1" locked="0" layoutInCell="0" allowOverlap="1" wp14:anchorId="4A6F5D74" wp14:editId="03804C9F">
            <wp:simplePos x="0" y="0"/>
            <wp:positionH relativeFrom="column">
              <wp:posOffset>70485</wp:posOffset>
            </wp:positionH>
            <wp:positionV relativeFrom="paragraph">
              <wp:posOffset>106045</wp:posOffset>
            </wp:positionV>
            <wp:extent cx="4053840" cy="2517775"/>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58"/>
                    <a:srcRect/>
                    <a:stretch>
                      <a:fillRect/>
                    </a:stretch>
                  </pic:blipFill>
                  <pic:spPr bwMode="auto">
                    <a:xfrm>
                      <a:off x="0" y="0"/>
                      <a:ext cx="4053840" cy="2517775"/>
                    </a:xfrm>
                    <a:prstGeom prst="rect">
                      <a:avLst/>
                    </a:prstGeom>
                    <a:noFill/>
                  </pic:spPr>
                </pic:pic>
              </a:graphicData>
            </a:graphic>
          </wp:anchor>
        </w:drawing>
      </w:r>
    </w:p>
    <w:p w14:paraId="4A6F59E2" w14:textId="77777777" w:rsidR="008E0F74" w:rsidRPr="00FC3B7C" w:rsidRDefault="008E0F74">
      <w:pPr>
        <w:spacing w:line="200" w:lineRule="exact"/>
        <w:rPr>
          <w:sz w:val="20"/>
          <w:szCs w:val="20"/>
        </w:rPr>
      </w:pPr>
    </w:p>
    <w:p w14:paraId="4A6F59E3" w14:textId="77777777" w:rsidR="008E0F74" w:rsidRPr="00FC3B7C" w:rsidRDefault="008E0F74">
      <w:pPr>
        <w:spacing w:line="200" w:lineRule="exact"/>
        <w:rPr>
          <w:sz w:val="20"/>
          <w:szCs w:val="20"/>
        </w:rPr>
      </w:pPr>
    </w:p>
    <w:p w14:paraId="4A6F59E4" w14:textId="77777777" w:rsidR="008E0F74" w:rsidRPr="00FC3B7C" w:rsidRDefault="008E0F74">
      <w:pPr>
        <w:spacing w:line="200" w:lineRule="exact"/>
        <w:rPr>
          <w:sz w:val="20"/>
          <w:szCs w:val="20"/>
        </w:rPr>
      </w:pPr>
    </w:p>
    <w:p w14:paraId="4A6F59E5" w14:textId="77777777" w:rsidR="008E0F74" w:rsidRPr="00FC3B7C" w:rsidRDefault="008E0F74">
      <w:pPr>
        <w:spacing w:line="200" w:lineRule="exact"/>
        <w:rPr>
          <w:sz w:val="20"/>
          <w:szCs w:val="20"/>
        </w:rPr>
      </w:pPr>
    </w:p>
    <w:p w14:paraId="4A6F59E6" w14:textId="77777777" w:rsidR="008E0F74" w:rsidRPr="00FC3B7C" w:rsidRDefault="008E0F74">
      <w:pPr>
        <w:spacing w:line="200" w:lineRule="exact"/>
        <w:rPr>
          <w:sz w:val="20"/>
          <w:szCs w:val="20"/>
        </w:rPr>
      </w:pPr>
    </w:p>
    <w:p w14:paraId="4A6F59E7" w14:textId="77777777" w:rsidR="008E0F74" w:rsidRPr="00FC3B7C" w:rsidRDefault="008E0F74">
      <w:pPr>
        <w:spacing w:line="200" w:lineRule="exact"/>
        <w:rPr>
          <w:sz w:val="20"/>
          <w:szCs w:val="20"/>
        </w:rPr>
      </w:pPr>
    </w:p>
    <w:p w14:paraId="4A6F59E8" w14:textId="77777777" w:rsidR="008E0F74" w:rsidRPr="00FC3B7C" w:rsidRDefault="008E0F74">
      <w:pPr>
        <w:spacing w:line="200" w:lineRule="exact"/>
        <w:rPr>
          <w:sz w:val="20"/>
          <w:szCs w:val="20"/>
        </w:rPr>
      </w:pPr>
    </w:p>
    <w:p w14:paraId="4A6F59E9" w14:textId="77777777" w:rsidR="008E0F74" w:rsidRPr="00FC3B7C" w:rsidRDefault="008E0F74">
      <w:pPr>
        <w:spacing w:line="200" w:lineRule="exact"/>
        <w:rPr>
          <w:sz w:val="20"/>
          <w:szCs w:val="20"/>
        </w:rPr>
      </w:pPr>
    </w:p>
    <w:p w14:paraId="4A6F59EA" w14:textId="77777777" w:rsidR="008E0F74" w:rsidRPr="00FC3B7C" w:rsidRDefault="008E0F74">
      <w:pPr>
        <w:spacing w:line="200" w:lineRule="exact"/>
        <w:rPr>
          <w:sz w:val="20"/>
          <w:szCs w:val="20"/>
        </w:rPr>
      </w:pPr>
    </w:p>
    <w:p w14:paraId="4A6F59EB" w14:textId="77777777" w:rsidR="008E0F74" w:rsidRPr="00FC3B7C" w:rsidRDefault="008E0F74">
      <w:pPr>
        <w:spacing w:line="200" w:lineRule="exact"/>
        <w:rPr>
          <w:sz w:val="20"/>
          <w:szCs w:val="20"/>
        </w:rPr>
      </w:pPr>
    </w:p>
    <w:p w14:paraId="4A6F59EC" w14:textId="77777777" w:rsidR="008E0F74" w:rsidRPr="00FC3B7C" w:rsidRDefault="008E0F74">
      <w:pPr>
        <w:spacing w:line="200" w:lineRule="exact"/>
        <w:rPr>
          <w:sz w:val="20"/>
          <w:szCs w:val="20"/>
        </w:rPr>
      </w:pPr>
    </w:p>
    <w:p w14:paraId="4A6F59ED" w14:textId="77777777" w:rsidR="008E0F74" w:rsidRPr="00FC3B7C" w:rsidRDefault="008E0F74">
      <w:pPr>
        <w:spacing w:line="200" w:lineRule="exact"/>
        <w:rPr>
          <w:sz w:val="20"/>
          <w:szCs w:val="20"/>
        </w:rPr>
      </w:pPr>
    </w:p>
    <w:p w14:paraId="4A6F59EE" w14:textId="77777777" w:rsidR="008E0F74" w:rsidRPr="00FC3B7C" w:rsidRDefault="008E0F74">
      <w:pPr>
        <w:spacing w:line="200" w:lineRule="exact"/>
        <w:rPr>
          <w:sz w:val="20"/>
          <w:szCs w:val="20"/>
        </w:rPr>
      </w:pPr>
    </w:p>
    <w:p w14:paraId="4A6F59EF" w14:textId="77777777" w:rsidR="008E0F74" w:rsidRPr="00FC3B7C" w:rsidRDefault="008E0F74">
      <w:pPr>
        <w:spacing w:line="200" w:lineRule="exact"/>
        <w:rPr>
          <w:sz w:val="20"/>
          <w:szCs w:val="20"/>
        </w:rPr>
      </w:pPr>
    </w:p>
    <w:p w14:paraId="4A6F59F0" w14:textId="77777777" w:rsidR="008E0F74" w:rsidRPr="00FC3B7C" w:rsidRDefault="008E0F74">
      <w:pPr>
        <w:spacing w:line="200" w:lineRule="exact"/>
        <w:rPr>
          <w:sz w:val="20"/>
          <w:szCs w:val="20"/>
        </w:rPr>
      </w:pPr>
    </w:p>
    <w:p w14:paraId="4A6F59F1" w14:textId="77777777" w:rsidR="008E0F74" w:rsidRPr="00FC3B7C" w:rsidRDefault="008E0F74">
      <w:pPr>
        <w:spacing w:line="200" w:lineRule="exact"/>
        <w:rPr>
          <w:sz w:val="20"/>
          <w:szCs w:val="20"/>
        </w:rPr>
      </w:pPr>
    </w:p>
    <w:p w14:paraId="4A6F59F2" w14:textId="77777777" w:rsidR="008E0F74" w:rsidRPr="00FC3B7C" w:rsidRDefault="008E0F74">
      <w:pPr>
        <w:spacing w:line="200" w:lineRule="exact"/>
        <w:rPr>
          <w:sz w:val="20"/>
          <w:szCs w:val="20"/>
        </w:rPr>
      </w:pPr>
    </w:p>
    <w:p w14:paraId="4A6F59F3" w14:textId="77777777" w:rsidR="008E0F74" w:rsidRPr="00FC3B7C" w:rsidRDefault="008E0F74">
      <w:pPr>
        <w:spacing w:line="200" w:lineRule="exact"/>
        <w:rPr>
          <w:sz w:val="20"/>
          <w:szCs w:val="20"/>
        </w:rPr>
      </w:pPr>
    </w:p>
    <w:p w14:paraId="4A6F59F4" w14:textId="77777777" w:rsidR="008E0F74" w:rsidRPr="00FC3B7C" w:rsidRDefault="008E0F74">
      <w:pPr>
        <w:spacing w:line="200" w:lineRule="exact"/>
        <w:rPr>
          <w:sz w:val="20"/>
          <w:szCs w:val="20"/>
        </w:rPr>
      </w:pPr>
    </w:p>
    <w:p w14:paraId="4A6F59F5" w14:textId="77777777" w:rsidR="008E0F74" w:rsidRPr="00FC3B7C" w:rsidRDefault="008E0F74">
      <w:pPr>
        <w:spacing w:line="200" w:lineRule="exact"/>
        <w:rPr>
          <w:sz w:val="20"/>
          <w:szCs w:val="20"/>
        </w:rPr>
      </w:pPr>
    </w:p>
    <w:p w14:paraId="4A6F59F6" w14:textId="77777777" w:rsidR="008E0F74" w:rsidRPr="00FC3B7C" w:rsidRDefault="008E0F74">
      <w:pPr>
        <w:spacing w:line="231" w:lineRule="exact"/>
        <w:rPr>
          <w:sz w:val="20"/>
          <w:szCs w:val="20"/>
        </w:rPr>
      </w:pPr>
    </w:p>
    <w:p w14:paraId="4A6F59F9" w14:textId="31A6BDF4" w:rsidR="008E0F74" w:rsidRPr="00436A06" w:rsidRDefault="00256F29" w:rsidP="00436A06">
      <w:pPr>
        <w:jc w:val="left"/>
        <w:rPr>
          <w:sz w:val="20"/>
          <w:szCs w:val="20"/>
        </w:rPr>
      </w:pPr>
      <w:r w:rsidRPr="00436A06">
        <w:rPr>
          <w:rFonts w:eastAsia="Times New Roman"/>
          <w:b/>
          <w:bCs/>
          <w:sz w:val="20"/>
          <w:szCs w:val="20"/>
        </w:rPr>
        <w:t>Zdroj:</w:t>
      </w:r>
      <w:r w:rsidRPr="00436A06">
        <w:rPr>
          <w:rFonts w:eastAsia="Times New Roman"/>
          <w:sz w:val="20"/>
          <w:szCs w:val="20"/>
        </w:rPr>
        <w:t xml:space="preserve"> http://data.blog.ihned.cz/c1-58868120-mapa-dluhu-vsech-6-246-obecnich-uradu-hrozi- vasemu-mestu-ci-vesnici-krach r. 2011</w:t>
      </w:r>
    </w:p>
    <w:p w14:paraId="4A6F59FA" w14:textId="77777777" w:rsidR="008E0F74" w:rsidRPr="00FC3B7C" w:rsidRDefault="008E0F74">
      <w:pPr>
        <w:spacing w:line="111" w:lineRule="exact"/>
        <w:rPr>
          <w:sz w:val="20"/>
          <w:szCs w:val="20"/>
        </w:rPr>
      </w:pPr>
    </w:p>
    <w:p w14:paraId="4A6F59FB" w14:textId="77777777" w:rsidR="008E0F74" w:rsidRPr="00FC3B7C" w:rsidRDefault="00256F29" w:rsidP="005D3036">
      <w:pPr>
        <w:rPr>
          <w:sz w:val="20"/>
          <w:szCs w:val="20"/>
        </w:rPr>
      </w:pPr>
      <w:r w:rsidRPr="00FC3B7C">
        <w:rPr>
          <w:rFonts w:eastAsia="Times New Roman"/>
        </w:rPr>
        <w:t>Obce, u nichž je ukazatel celkové likvidity v intervalu &lt;0,1&gt; a zároveň je podíl jejich cizích zdrojů vyšší než 25% včetně, jsou osloveny dopisem ministra financí.</w:t>
      </w:r>
    </w:p>
    <w:p w14:paraId="4A6F59FC" w14:textId="77777777" w:rsidR="008E0F74" w:rsidRPr="00353E4B" w:rsidRDefault="008E0F74">
      <w:pPr>
        <w:spacing w:line="162" w:lineRule="exact"/>
        <w:rPr>
          <w:color w:val="1F3864" w:themeColor="accent1" w:themeShade="80"/>
          <w:sz w:val="20"/>
          <w:szCs w:val="20"/>
        </w:rPr>
      </w:pPr>
    </w:p>
    <w:p w14:paraId="4A6F59FD" w14:textId="64D1F6EF" w:rsidR="008E0F74" w:rsidRPr="00353E4B" w:rsidRDefault="00353E4B" w:rsidP="005D3036">
      <w:pPr>
        <w:pStyle w:val="Nadpis3"/>
        <w:rPr>
          <w:color w:val="1F3864" w:themeColor="accent1" w:themeShade="80"/>
          <w:sz w:val="20"/>
          <w:szCs w:val="20"/>
        </w:rPr>
      </w:pPr>
      <w:r w:rsidRPr="00353E4B">
        <w:rPr>
          <w:rFonts w:eastAsia="Times New Roman"/>
          <w:color w:val="1F3864" w:themeColor="accent1" w:themeShade="80"/>
        </w:rPr>
        <w:t xml:space="preserve"> </w:t>
      </w:r>
      <w:r w:rsidR="00256F29" w:rsidRPr="00353E4B">
        <w:rPr>
          <w:rFonts w:eastAsia="Times New Roman"/>
          <w:color w:val="1F3864" w:themeColor="accent1" w:themeShade="80"/>
        </w:rPr>
        <w:t>Dluh mimorozpočtových fondů</w:t>
      </w:r>
    </w:p>
    <w:p w14:paraId="4A6F59FE" w14:textId="77777777" w:rsidR="008E0F74" w:rsidRPr="00FC3B7C" w:rsidRDefault="00256F29" w:rsidP="005D3036">
      <w:pPr>
        <w:ind w:right="40"/>
        <w:rPr>
          <w:sz w:val="20"/>
          <w:szCs w:val="20"/>
        </w:rPr>
      </w:pPr>
      <w:r w:rsidRPr="00FC3B7C">
        <w:rPr>
          <w:rFonts w:eastAsia="Times New Roman"/>
          <w:szCs w:val="24"/>
        </w:rPr>
        <w:t>Mimorozpočtové fondy – nacházejí se mimo státní rozpočet, prostředky z nich však vlastní a řídí vláda (patří do oblasti veřejných financí).</w:t>
      </w:r>
    </w:p>
    <w:p w14:paraId="4A6F59FF" w14:textId="77777777" w:rsidR="008E0F74" w:rsidRPr="00FC3B7C" w:rsidRDefault="00256F29" w:rsidP="005D3036">
      <w:pPr>
        <w:rPr>
          <w:sz w:val="20"/>
          <w:szCs w:val="20"/>
        </w:rPr>
      </w:pPr>
      <w:r w:rsidRPr="00FC3B7C">
        <w:rPr>
          <w:rFonts w:eastAsia="Times New Roman"/>
          <w:b/>
          <w:bCs/>
          <w:szCs w:val="24"/>
        </w:rPr>
        <w:t>Mimorozpočtové fondy:</w:t>
      </w:r>
    </w:p>
    <w:p w14:paraId="4A6F5A00" w14:textId="77777777" w:rsidR="008E0F74" w:rsidRPr="00FC3B7C" w:rsidRDefault="00256F29" w:rsidP="00D46B53">
      <w:pPr>
        <w:numPr>
          <w:ilvl w:val="0"/>
          <w:numId w:val="561"/>
        </w:numPr>
        <w:tabs>
          <w:tab w:val="left" w:pos="720"/>
        </w:tabs>
        <w:ind w:left="720" w:hanging="367"/>
        <w:rPr>
          <w:rFonts w:eastAsia="Arial"/>
          <w:szCs w:val="24"/>
        </w:rPr>
      </w:pPr>
      <w:r w:rsidRPr="00FC3B7C">
        <w:rPr>
          <w:rFonts w:eastAsia="Times New Roman"/>
          <w:szCs w:val="24"/>
        </w:rPr>
        <w:t>státní fondy</w:t>
      </w:r>
    </w:p>
    <w:p w14:paraId="4A6F5A01" w14:textId="77777777" w:rsidR="008E0F74" w:rsidRPr="00FC3B7C" w:rsidRDefault="00256F29" w:rsidP="00D46B53">
      <w:pPr>
        <w:numPr>
          <w:ilvl w:val="0"/>
          <w:numId w:val="561"/>
        </w:numPr>
        <w:tabs>
          <w:tab w:val="left" w:pos="720"/>
        </w:tabs>
        <w:ind w:left="720" w:hanging="367"/>
        <w:rPr>
          <w:rFonts w:eastAsia="Arial"/>
          <w:szCs w:val="24"/>
        </w:rPr>
      </w:pPr>
      <w:r w:rsidRPr="00FC3B7C">
        <w:rPr>
          <w:rFonts w:eastAsia="Times New Roman"/>
          <w:szCs w:val="24"/>
        </w:rPr>
        <w:t>mimorozpočtové fondy základních územních samosprávních celků – tj. města a obce</w:t>
      </w:r>
    </w:p>
    <w:p w14:paraId="4A6F5A02" w14:textId="77777777" w:rsidR="008E0F74" w:rsidRPr="00FC3B7C" w:rsidRDefault="00256F29" w:rsidP="00D46B53">
      <w:pPr>
        <w:numPr>
          <w:ilvl w:val="0"/>
          <w:numId w:val="561"/>
        </w:numPr>
        <w:tabs>
          <w:tab w:val="left" w:pos="720"/>
        </w:tabs>
        <w:ind w:left="720" w:hanging="364"/>
        <w:rPr>
          <w:rFonts w:eastAsia="Arial"/>
          <w:szCs w:val="24"/>
        </w:rPr>
      </w:pPr>
      <w:r w:rsidRPr="00FC3B7C">
        <w:rPr>
          <w:rFonts w:eastAsia="Times New Roman"/>
          <w:szCs w:val="24"/>
        </w:rPr>
        <w:t>mimorozpočtové fondy vyšších územních samosprávních celků – tj. úroveň krajů</w:t>
      </w:r>
    </w:p>
    <w:p w14:paraId="4A6F5A03" w14:textId="77777777" w:rsidR="008E0F74" w:rsidRPr="00FC3B7C" w:rsidRDefault="008E0F74">
      <w:pPr>
        <w:spacing w:line="331" w:lineRule="exact"/>
        <w:rPr>
          <w:sz w:val="20"/>
          <w:szCs w:val="20"/>
        </w:rPr>
      </w:pPr>
    </w:p>
    <w:p w14:paraId="4A6F5A04" w14:textId="310C278A" w:rsidR="008E0F74" w:rsidRPr="00FC3B7C" w:rsidRDefault="00256F29">
      <w:pPr>
        <w:rPr>
          <w:sz w:val="20"/>
          <w:szCs w:val="20"/>
        </w:rPr>
      </w:pPr>
      <w:r w:rsidRPr="00FC3B7C">
        <w:rPr>
          <w:rFonts w:eastAsia="Times New Roman"/>
          <w:szCs w:val="24"/>
        </w:rPr>
        <w:t xml:space="preserve">Každý státní fond je zřízen zvláštním zákonem – </w:t>
      </w:r>
      <w:r w:rsidR="00996B5C" w:rsidRPr="00FC3B7C">
        <w:rPr>
          <w:rFonts w:eastAsia="Times New Roman"/>
          <w:b/>
          <w:bCs/>
          <w:szCs w:val="24"/>
        </w:rPr>
        <w:t>existující státní</w:t>
      </w:r>
      <w:r w:rsidRPr="00FC3B7C">
        <w:rPr>
          <w:rFonts w:eastAsia="Times New Roman"/>
          <w:b/>
          <w:bCs/>
          <w:szCs w:val="24"/>
        </w:rPr>
        <w:t xml:space="preserve"> fondy (6):</w:t>
      </w:r>
    </w:p>
    <w:p w14:paraId="4A6F5A05" w14:textId="77777777" w:rsidR="008E0F74" w:rsidRPr="00FC3B7C" w:rsidRDefault="008E0F74">
      <w:pPr>
        <w:spacing w:line="157" w:lineRule="exact"/>
        <w:rPr>
          <w:sz w:val="20"/>
          <w:szCs w:val="20"/>
        </w:rPr>
      </w:pPr>
    </w:p>
    <w:p w14:paraId="4A6F5A06" w14:textId="77777777" w:rsidR="008E0F74" w:rsidRPr="00FC3B7C" w:rsidRDefault="00256F29" w:rsidP="00D46B53">
      <w:pPr>
        <w:numPr>
          <w:ilvl w:val="0"/>
          <w:numId w:val="562"/>
        </w:numPr>
        <w:tabs>
          <w:tab w:val="left" w:pos="720"/>
        </w:tabs>
        <w:ind w:left="720" w:hanging="367"/>
        <w:rPr>
          <w:rFonts w:eastAsia="Arial"/>
          <w:szCs w:val="24"/>
        </w:rPr>
      </w:pPr>
      <w:r w:rsidRPr="00FC3B7C">
        <w:rPr>
          <w:rFonts w:eastAsia="Times New Roman"/>
          <w:szCs w:val="24"/>
        </w:rPr>
        <w:t>Státní fond životního prostředí ČR</w:t>
      </w:r>
    </w:p>
    <w:p w14:paraId="4A6F5A07" w14:textId="77777777" w:rsidR="008E0F74" w:rsidRPr="00FC3B7C" w:rsidRDefault="008E0F74">
      <w:pPr>
        <w:spacing w:line="154" w:lineRule="exact"/>
        <w:rPr>
          <w:rFonts w:eastAsia="Arial"/>
          <w:szCs w:val="24"/>
        </w:rPr>
      </w:pPr>
    </w:p>
    <w:p w14:paraId="4A6F5A08" w14:textId="77777777" w:rsidR="008E0F74" w:rsidRPr="00FC3B7C" w:rsidRDefault="00256F29" w:rsidP="00D46B53">
      <w:pPr>
        <w:numPr>
          <w:ilvl w:val="0"/>
          <w:numId w:val="562"/>
        </w:numPr>
        <w:tabs>
          <w:tab w:val="left" w:pos="720"/>
        </w:tabs>
        <w:ind w:left="720" w:hanging="367"/>
        <w:rPr>
          <w:rFonts w:eastAsia="Arial"/>
          <w:szCs w:val="24"/>
        </w:rPr>
      </w:pPr>
      <w:r w:rsidRPr="00FC3B7C">
        <w:rPr>
          <w:rFonts w:eastAsia="Times New Roman"/>
          <w:szCs w:val="24"/>
        </w:rPr>
        <w:t>Státní fond kinematografie</w:t>
      </w:r>
    </w:p>
    <w:p w14:paraId="4A6F5A09" w14:textId="77777777" w:rsidR="008E0F74" w:rsidRPr="00FC3B7C" w:rsidRDefault="00256F29" w:rsidP="00D46B53">
      <w:pPr>
        <w:numPr>
          <w:ilvl w:val="0"/>
          <w:numId w:val="562"/>
        </w:numPr>
        <w:tabs>
          <w:tab w:val="left" w:pos="720"/>
        </w:tabs>
        <w:ind w:left="720" w:hanging="367"/>
        <w:rPr>
          <w:rFonts w:eastAsia="Arial"/>
          <w:szCs w:val="24"/>
        </w:rPr>
      </w:pPr>
      <w:r w:rsidRPr="00FC3B7C">
        <w:rPr>
          <w:rFonts w:eastAsia="Times New Roman"/>
          <w:szCs w:val="24"/>
        </w:rPr>
        <w:t>Státní fond kultury ČR</w:t>
      </w:r>
    </w:p>
    <w:p w14:paraId="4A6F5A0A" w14:textId="77777777" w:rsidR="008E0F74" w:rsidRPr="00FC3B7C" w:rsidRDefault="00256F29" w:rsidP="00D46B53">
      <w:pPr>
        <w:numPr>
          <w:ilvl w:val="0"/>
          <w:numId w:val="563"/>
        </w:numPr>
        <w:tabs>
          <w:tab w:val="left" w:pos="724"/>
        </w:tabs>
        <w:ind w:left="724" w:hanging="367"/>
        <w:rPr>
          <w:rFonts w:eastAsia="Arial"/>
          <w:szCs w:val="24"/>
        </w:rPr>
      </w:pPr>
      <w:bookmarkStart w:id="500" w:name="page515"/>
      <w:bookmarkEnd w:id="500"/>
      <w:r w:rsidRPr="00FC3B7C">
        <w:rPr>
          <w:rFonts w:eastAsia="Times New Roman"/>
          <w:szCs w:val="24"/>
        </w:rPr>
        <w:t>Státní zemědělský intervenční fond</w:t>
      </w:r>
    </w:p>
    <w:p w14:paraId="4A6F5A0B" w14:textId="77777777" w:rsidR="008E0F74" w:rsidRPr="00FC3B7C" w:rsidRDefault="00256F29" w:rsidP="00D46B53">
      <w:pPr>
        <w:numPr>
          <w:ilvl w:val="0"/>
          <w:numId w:val="563"/>
        </w:numPr>
        <w:tabs>
          <w:tab w:val="left" w:pos="724"/>
        </w:tabs>
        <w:ind w:left="724" w:hanging="367"/>
        <w:rPr>
          <w:rFonts w:eastAsia="Arial"/>
          <w:szCs w:val="24"/>
        </w:rPr>
      </w:pPr>
      <w:r w:rsidRPr="00FC3B7C">
        <w:rPr>
          <w:rFonts w:eastAsia="Times New Roman"/>
          <w:szCs w:val="24"/>
        </w:rPr>
        <w:t>Státní fond dopravní infrastruktury</w:t>
      </w:r>
    </w:p>
    <w:p w14:paraId="4A6F5A0C" w14:textId="77777777" w:rsidR="008E0F74" w:rsidRPr="00FC3B7C" w:rsidRDefault="00256F29" w:rsidP="00D46B53">
      <w:pPr>
        <w:numPr>
          <w:ilvl w:val="0"/>
          <w:numId w:val="563"/>
        </w:numPr>
        <w:tabs>
          <w:tab w:val="left" w:pos="724"/>
        </w:tabs>
        <w:ind w:left="724" w:hanging="364"/>
        <w:rPr>
          <w:rFonts w:eastAsia="Arial"/>
          <w:szCs w:val="24"/>
        </w:rPr>
      </w:pPr>
      <w:r w:rsidRPr="00FC3B7C">
        <w:rPr>
          <w:rFonts w:eastAsia="Times New Roman"/>
          <w:szCs w:val="24"/>
        </w:rPr>
        <w:t>Státní fond rozvoje bydlení</w:t>
      </w:r>
    </w:p>
    <w:p w14:paraId="4A6F5A0D" w14:textId="77777777" w:rsidR="008E0F74" w:rsidRPr="00FC3B7C" w:rsidRDefault="00256F29" w:rsidP="005D3036">
      <w:pPr>
        <w:ind w:left="4" w:right="80"/>
        <w:rPr>
          <w:sz w:val="20"/>
          <w:szCs w:val="20"/>
        </w:rPr>
      </w:pPr>
      <w:r w:rsidRPr="00FC3B7C">
        <w:rPr>
          <w:rFonts w:eastAsia="Times New Roman"/>
          <w:sz w:val="23"/>
          <w:szCs w:val="23"/>
        </w:rPr>
        <w:lastRenderedPageBreak/>
        <w:t xml:space="preserve">Specifické postavení má </w:t>
      </w:r>
      <w:r w:rsidRPr="00FC3B7C">
        <w:rPr>
          <w:rFonts w:eastAsia="Times New Roman"/>
          <w:b/>
          <w:bCs/>
          <w:sz w:val="23"/>
          <w:szCs w:val="23"/>
        </w:rPr>
        <w:t>Národní fond,</w:t>
      </w:r>
      <w:r w:rsidRPr="00FC3B7C">
        <w:rPr>
          <w:rFonts w:eastAsia="Times New Roman"/>
          <w:sz w:val="23"/>
          <w:szCs w:val="23"/>
        </w:rPr>
        <w:t xml:space="preserve"> po vstupu ČR do EU je fondem, jehož prostřednictvím do ČR plynou finanční prostředky v rámci politiky soudržnosti ze strukturálních fondů EU.</w:t>
      </w:r>
    </w:p>
    <w:p w14:paraId="4A6F5A0E" w14:textId="77777777" w:rsidR="008E0F74" w:rsidRPr="00FC3B7C" w:rsidRDefault="00256F29" w:rsidP="00D46B53">
      <w:pPr>
        <w:numPr>
          <w:ilvl w:val="0"/>
          <w:numId w:val="564"/>
        </w:numPr>
        <w:tabs>
          <w:tab w:val="left" w:pos="181"/>
        </w:tabs>
        <w:ind w:left="4" w:right="80" w:hanging="4"/>
        <w:rPr>
          <w:rFonts w:eastAsia="Times New Roman"/>
          <w:szCs w:val="24"/>
        </w:rPr>
      </w:pPr>
      <w:r w:rsidRPr="00FC3B7C">
        <w:rPr>
          <w:rFonts w:eastAsia="Times New Roman"/>
          <w:szCs w:val="24"/>
        </w:rPr>
        <w:t xml:space="preserve">ídícím orgánem je Ministerstvo financí (je platebním orgánem). Prostředky se soustřeďují na účtech ČNB, zůstatky se převádějí do následujícího roku. Specifické postavení dále mají tzv. </w:t>
      </w:r>
      <w:r w:rsidRPr="00FC3B7C">
        <w:rPr>
          <w:rFonts w:eastAsia="Times New Roman"/>
          <w:b/>
          <w:bCs/>
          <w:szCs w:val="24"/>
        </w:rPr>
        <w:t>transformační (privatizační) fondy:</w:t>
      </w:r>
    </w:p>
    <w:p w14:paraId="4A6F5A0F" w14:textId="77777777" w:rsidR="008E0F74" w:rsidRPr="00FC3B7C" w:rsidRDefault="00256F29" w:rsidP="00D46B53">
      <w:pPr>
        <w:numPr>
          <w:ilvl w:val="1"/>
          <w:numId w:val="564"/>
        </w:numPr>
        <w:tabs>
          <w:tab w:val="left" w:pos="1924"/>
        </w:tabs>
        <w:ind w:left="1924" w:hanging="368"/>
        <w:rPr>
          <w:rFonts w:eastAsia="Arial"/>
          <w:szCs w:val="24"/>
        </w:rPr>
      </w:pPr>
      <w:r w:rsidRPr="00FC3B7C">
        <w:rPr>
          <w:rFonts w:eastAsia="Times New Roman"/>
          <w:szCs w:val="24"/>
        </w:rPr>
        <w:t>Pozemkový fond ČR</w:t>
      </w:r>
    </w:p>
    <w:p w14:paraId="4A6F5A10" w14:textId="77777777" w:rsidR="008E0F74" w:rsidRPr="00FC3B7C" w:rsidRDefault="00256F29" w:rsidP="00D46B53">
      <w:pPr>
        <w:numPr>
          <w:ilvl w:val="1"/>
          <w:numId w:val="564"/>
        </w:numPr>
        <w:tabs>
          <w:tab w:val="left" w:pos="1924"/>
        </w:tabs>
        <w:ind w:left="1924" w:hanging="368"/>
        <w:rPr>
          <w:rFonts w:eastAsia="Arial"/>
          <w:szCs w:val="24"/>
        </w:rPr>
      </w:pPr>
      <w:r w:rsidRPr="00FC3B7C">
        <w:rPr>
          <w:rFonts w:eastAsia="Times New Roman"/>
          <w:szCs w:val="24"/>
        </w:rPr>
        <w:t>Fond národního majetku ČR – od r. 2005 zrušen</w:t>
      </w:r>
    </w:p>
    <w:p w14:paraId="4A6F5A11" w14:textId="77777777" w:rsidR="008E0F74" w:rsidRPr="00FC3B7C" w:rsidRDefault="00256F29" w:rsidP="005D3036">
      <w:pPr>
        <w:tabs>
          <w:tab w:val="left" w:pos="4124"/>
          <w:tab w:val="left" w:pos="6304"/>
        </w:tabs>
        <w:ind w:left="4"/>
        <w:rPr>
          <w:sz w:val="20"/>
          <w:szCs w:val="20"/>
        </w:rPr>
      </w:pPr>
      <w:r w:rsidRPr="00FC3B7C">
        <w:rPr>
          <w:rFonts w:eastAsia="Times New Roman"/>
          <w:szCs w:val="24"/>
        </w:rPr>
        <w:t>Využívání mimorozpočtových fondů</w:t>
      </w:r>
      <w:r w:rsidR="005D3036">
        <w:rPr>
          <w:sz w:val="20"/>
          <w:szCs w:val="20"/>
        </w:rPr>
        <w:t xml:space="preserve"> </w:t>
      </w:r>
      <w:r w:rsidRPr="00FC3B7C">
        <w:rPr>
          <w:rFonts w:eastAsia="Times New Roman"/>
          <w:szCs w:val="24"/>
        </w:rPr>
        <w:t>na úrovni územní</w:t>
      </w:r>
      <w:r w:rsidR="005D3036">
        <w:rPr>
          <w:sz w:val="20"/>
          <w:szCs w:val="20"/>
        </w:rPr>
        <w:t xml:space="preserve"> </w:t>
      </w:r>
      <w:r w:rsidRPr="00FC3B7C">
        <w:rPr>
          <w:rFonts w:eastAsia="Times New Roman"/>
          <w:szCs w:val="24"/>
        </w:rPr>
        <w:t xml:space="preserve">samosprávy je v ČR plně </w:t>
      </w:r>
      <w:r w:rsidR="005D3036">
        <w:rPr>
          <w:rFonts w:eastAsia="Times New Roman"/>
          <w:szCs w:val="24"/>
        </w:rPr>
        <w:br/>
      </w:r>
      <w:r w:rsidRPr="00FC3B7C">
        <w:rPr>
          <w:rFonts w:eastAsia="Times New Roman"/>
          <w:szCs w:val="24"/>
        </w:rPr>
        <w:t>v</w:t>
      </w:r>
      <w:r w:rsidR="005D3036">
        <w:rPr>
          <w:sz w:val="20"/>
          <w:szCs w:val="20"/>
        </w:rPr>
        <w:t xml:space="preserve"> </w:t>
      </w:r>
      <w:r w:rsidRPr="00FC3B7C">
        <w:rPr>
          <w:rFonts w:eastAsia="Times New Roman"/>
          <w:szCs w:val="24"/>
        </w:rPr>
        <w:t>kompetenci volených orgánů příslušného subjektu územní samosprávy (obce, kraje).</w:t>
      </w:r>
    </w:p>
    <w:p w14:paraId="4A6F5A12" w14:textId="5EE1A215" w:rsidR="008E0F74" w:rsidRPr="00FC3B7C" w:rsidRDefault="00256F29" w:rsidP="005D3036">
      <w:pPr>
        <w:ind w:left="4"/>
        <w:rPr>
          <w:sz w:val="20"/>
          <w:szCs w:val="20"/>
        </w:rPr>
      </w:pPr>
      <w:r w:rsidRPr="00FC3B7C">
        <w:rPr>
          <w:rFonts w:eastAsia="Times New Roman"/>
          <w:szCs w:val="24"/>
        </w:rPr>
        <w:t xml:space="preserve">Mezi </w:t>
      </w:r>
      <w:r w:rsidR="00996B5C" w:rsidRPr="00FC3B7C">
        <w:rPr>
          <w:rFonts w:eastAsia="Times New Roman"/>
          <w:b/>
          <w:bCs/>
          <w:szCs w:val="24"/>
        </w:rPr>
        <w:t>účelové fondy</w:t>
      </w:r>
      <w:r w:rsidRPr="00FC3B7C">
        <w:rPr>
          <w:rFonts w:eastAsia="Times New Roman"/>
          <w:b/>
          <w:bCs/>
          <w:szCs w:val="24"/>
        </w:rPr>
        <w:t xml:space="preserve"> obcí</w:t>
      </w:r>
      <w:r w:rsidRPr="00FC3B7C">
        <w:rPr>
          <w:rFonts w:eastAsia="Times New Roman"/>
          <w:szCs w:val="24"/>
        </w:rPr>
        <w:t xml:space="preserve"> patří:</w:t>
      </w:r>
    </w:p>
    <w:p w14:paraId="4A6F5A13" w14:textId="77777777" w:rsidR="008E0F74" w:rsidRPr="00FC3B7C" w:rsidRDefault="00256F29" w:rsidP="00D46B53">
      <w:pPr>
        <w:numPr>
          <w:ilvl w:val="0"/>
          <w:numId w:val="565"/>
        </w:numPr>
        <w:tabs>
          <w:tab w:val="left" w:pos="1924"/>
        </w:tabs>
        <w:ind w:left="1924" w:hanging="368"/>
        <w:rPr>
          <w:rFonts w:eastAsia="Arial"/>
          <w:szCs w:val="24"/>
        </w:rPr>
      </w:pPr>
      <w:r w:rsidRPr="00FC3B7C">
        <w:rPr>
          <w:rFonts w:eastAsia="Times New Roman"/>
          <w:szCs w:val="24"/>
        </w:rPr>
        <w:t>rezervní fond – tvoří se z přebytků rozpočtového hospodaření</w:t>
      </w:r>
    </w:p>
    <w:p w14:paraId="4A6F5A14" w14:textId="77777777" w:rsidR="008E0F74" w:rsidRPr="00FC3B7C" w:rsidRDefault="00256F29" w:rsidP="00D46B53">
      <w:pPr>
        <w:numPr>
          <w:ilvl w:val="0"/>
          <w:numId w:val="565"/>
        </w:numPr>
        <w:tabs>
          <w:tab w:val="left" w:pos="1924"/>
        </w:tabs>
        <w:ind w:left="1924" w:hanging="368"/>
        <w:rPr>
          <w:rFonts w:eastAsia="Arial"/>
          <w:szCs w:val="24"/>
        </w:rPr>
      </w:pPr>
      <w:r w:rsidRPr="00FC3B7C">
        <w:rPr>
          <w:rFonts w:eastAsia="Times New Roman"/>
          <w:szCs w:val="24"/>
        </w:rPr>
        <w:t>účelové fondy – př. bytový fond, památkový fond apod.</w:t>
      </w:r>
    </w:p>
    <w:p w14:paraId="4A6F5A15" w14:textId="77777777" w:rsidR="008E0F74" w:rsidRPr="00FC3B7C" w:rsidRDefault="008E0F74">
      <w:pPr>
        <w:spacing w:line="370" w:lineRule="exact"/>
        <w:rPr>
          <w:sz w:val="20"/>
          <w:szCs w:val="20"/>
        </w:rPr>
      </w:pPr>
    </w:p>
    <w:p w14:paraId="4A6F5A16" w14:textId="65FB0FA1" w:rsidR="008E0F74" w:rsidRPr="00353E4B" w:rsidRDefault="00353E4B" w:rsidP="005D3036">
      <w:pPr>
        <w:pStyle w:val="Nadpis3"/>
        <w:rPr>
          <w:color w:val="1F3864" w:themeColor="accent1" w:themeShade="80"/>
          <w:sz w:val="20"/>
          <w:szCs w:val="20"/>
        </w:rPr>
      </w:pPr>
      <w:r>
        <w:rPr>
          <w:rFonts w:eastAsia="Times New Roman"/>
          <w:color w:val="1F3864" w:themeColor="accent1" w:themeShade="80"/>
        </w:rPr>
        <w:t xml:space="preserve"> </w:t>
      </w:r>
      <w:r w:rsidR="00256F29" w:rsidRPr="00353E4B">
        <w:rPr>
          <w:rFonts w:eastAsia="Times New Roman"/>
          <w:color w:val="1F3864" w:themeColor="accent1" w:themeShade="80"/>
        </w:rPr>
        <w:t>Dluh zdravotních pojišťoven</w:t>
      </w:r>
    </w:p>
    <w:p w14:paraId="4A6F5A17" w14:textId="77777777" w:rsidR="008E0F74" w:rsidRPr="00FC3B7C" w:rsidRDefault="00256F29" w:rsidP="005D3036">
      <w:r w:rsidRPr="00FC3B7C">
        <w:rPr>
          <w:rFonts w:eastAsia="Times New Roman"/>
          <w:szCs w:val="24"/>
        </w:rPr>
        <w:t>Rozpočty zdravotních pojišťoven v ČR patří do rozpočtové soustavy, tvoří de facto fond zdravotního pojištění.</w:t>
      </w:r>
    </w:p>
    <w:p w14:paraId="4A6F5A18" w14:textId="77777777" w:rsidR="008E0F74" w:rsidRPr="00FC3B7C" w:rsidRDefault="00256F29" w:rsidP="00436A06">
      <w:pPr>
        <w:spacing w:after="240"/>
      </w:pPr>
      <w:r w:rsidRPr="00FC3B7C">
        <w:rPr>
          <w:rFonts w:eastAsia="Times New Roman"/>
          <w:szCs w:val="24"/>
        </w:rPr>
        <w:t xml:space="preserve">Součástí rozpočtové soustavy jsou proto, že příjmy z povinného veřejného pojištění vyplývají ze zákona, mají daňový charakter (jsou zahrnovány do složené daňové kvóty). Sazby povinného zdravotního pojištění jsou stanoveny zákonem. Rozpočty zdravotních pojišťoven jsou dotovány ze státního rozpočtu za </w:t>
      </w:r>
      <w:r w:rsidRPr="00FC3B7C">
        <w:rPr>
          <w:rFonts w:eastAsia="Times New Roman"/>
          <w:b/>
          <w:bCs/>
          <w:szCs w:val="24"/>
        </w:rPr>
        <w:t>tzv. státní pojištěnce</w:t>
      </w:r>
      <w:r w:rsidRPr="00FC3B7C">
        <w:rPr>
          <w:rFonts w:eastAsia="Times New Roman"/>
          <w:szCs w:val="24"/>
        </w:rPr>
        <w:t xml:space="preserve"> = osoby nevýdělečné (děti, důchodci, studenti, ženy na mateřské dovolené, nezaměstnaní). Z rozpočtů zdravotních pojišťoven se hradí zdravotní péče včetně léků.</w:t>
      </w:r>
    </w:p>
    <w:p w14:paraId="4A6F5A1A" w14:textId="77777777" w:rsidR="008E0F74" w:rsidRPr="00353E4B" w:rsidRDefault="00256F29" w:rsidP="005D3036">
      <w:pPr>
        <w:pStyle w:val="Nadpis2"/>
        <w:rPr>
          <w:color w:val="1F3864" w:themeColor="accent1" w:themeShade="80"/>
          <w:sz w:val="20"/>
          <w:szCs w:val="20"/>
        </w:rPr>
      </w:pPr>
      <w:bookmarkStart w:id="501" w:name="page516"/>
      <w:bookmarkEnd w:id="501"/>
      <w:r w:rsidRPr="00353E4B">
        <w:rPr>
          <w:rFonts w:eastAsia="Times New Roman"/>
          <w:color w:val="1F3864" w:themeColor="accent1" w:themeShade="80"/>
        </w:rPr>
        <w:t>DLUHOVÁ SLUŽBA</w:t>
      </w:r>
    </w:p>
    <w:p w14:paraId="4A6F5A1B" w14:textId="77777777" w:rsidR="008E0F74" w:rsidRPr="00FC3B7C" w:rsidRDefault="00256F29" w:rsidP="005D3036">
      <w:pPr>
        <w:rPr>
          <w:sz w:val="20"/>
          <w:szCs w:val="20"/>
        </w:rPr>
      </w:pPr>
      <w:r w:rsidRPr="00FC3B7C">
        <w:rPr>
          <w:rFonts w:eastAsia="Times New Roman"/>
          <w:b/>
          <w:bCs/>
          <w:szCs w:val="24"/>
        </w:rPr>
        <w:t>Definicí je více:</w:t>
      </w:r>
    </w:p>
    <w:p w14:paraId="4A6F5A1C" w14:textId="77777777" w:rsidR="008E0F74" w:rsidRPr="00FC3B7C" w:rsidRDefault="00256F29" w:rsidP="00D46B53">
      <w:pPr>
        <w:numPr>
          <w:ilvl w:val="0"/>
          <w:numId w:val="566"/>
        </w:numPr>
        <w:tabs>
          <w:tab w:val="left" w:pos="840"/>
        </w:tabs>
        <w:ind w:left="840" w:right="40" w:hanging="368"/>
        <w:rPr>
          <w:rFonts w:eastAsia="Arial"/>
          <w:szCs w:val="24"/>
        </w:rPr>
      </w:pPr>
      <w:r w:rsidRPr="00FC3B7C">
        <w:rPr>
          <w:rFonts w:eastAsia="Times New Roman"/>
          <w:szCs w:val="24"/>
        </w:rPr>
        <w:t>Dluhová služba = celkový objem finančních prostředků, které jsou potřebné na úhradu dluhů (celkové náklady spjaté s obsluhou dluhu)</w:t>
      </w:r>
    </w:p>
    <w:p w14:paraId="4A6F5A1D" w14:textId="77777777" w:rsidR="008E0F74" w:rsidRPr="00FC3B7C" w:rsidRDefault="00256F29" w:rsidP="00D46B53">
      <w:pPr>
        <w:numPr>
          <w:ilvl w:val="0"/>
          <w:numId w:val="566"/>
        </w:numPr>
        <w:tabs>
          <w:tab w:val="left" w:pos="840"/>
        </w:tabs>
        <w:ind w:left="840" w:hanging="368"/>
        <w:rPr>
          <w:rFonts w:eastAsia="Arial"/>
          <w:szCs w:val="24"/>
        </w:rPr>
      </w:pPr>
      <w:r w:rsidRPr="00FC3B7C">
        <w:rPr>
          <w:rFonts w:eastAsia="Times New Roman"/>
          <w:szCs w:val="24"/>
        </w:rPr>
        <w:t>Dluhová služba = platba jistin a úroků (podle Josepha Stiglitze)</w:t>
      </w:r>
    </w:p>
    <w:p w14:paraId="4A6F5A1E" w14:textId="77777777" w:rsidR="008E0F74" w:rsidRPr="00FC3B7C" w:rsidRDefault="00256F29" w:rsidP="00D46B53">
      <w:pPr>
        <w:numPr>
          <w:ilvl w:val="0"/>
          <w:numId w:val="566"/>
        </w:numPr>
        <w:tabs>
          <w:tab w:val="left" w:pos="840"/>
        </w:tabs>
        <w:ind w:left="840" w:right="40" w:hanging="368"/>
        <w:rPr>
          <w:rFonts w:eastAsia="Arial"/>
          <w:szCs w:val="24"/>
        </w:rPr>
      </w:pPr>
      <w:r w:rsidRPr="00FC3B7C">
        <w:rPr>
          <w:rFonts w:eastAsia="Times New Roman"/>
          <w:szCs w:val="24"/>
        </w:rPr>
        <w:t>Dluhová služba = uhrazené splátky vydaných dluhopisů, splátky jistin, splátky leasingu (podle Ministerstva financí)</w:t>
      </w:r>
    </w:p>
    <w:p w14:paraId="4A6F5A20" w14:textId="77777777" w:rsidR="008E0F74" w:rsidRPr="00FC3B7C" w:rsidRDefault="00256F29" w:rsidP="00436A06">
      <w:pPr>
        <w:spacing w:before="240"/>
        <w:ind w:right="40"/>
        <w:rPr>
          <w:sz w:val="20"/>
          <w:szCs w:val="20"/>
        </w:rPr>
      </w:pPr>
      <w:r w:rsidRPr="00FC3B7C">
        <w:rPr>
          <w:rFonts w:eastAsia="Times New Roman"/>
          <w:szCs w:val="24"/>
        </w:rPr>
        <w:t xml:space="preserve">V ČR se dluhová služba řadí do mandatorních výdajů. Ve všech vyspělých zemích roste tendence k dluhu (tedy i k růstu dluhové služby). Rostoucí výdaje na dluhovou službu snižují objem finančních prostředků na ostatní výdaje veřejných financí. Na celkové výši dluhové </w:t>
      </w:r>
      <w:r w:rsidRPr="00FC3B7C">
        <w:rPr>
          <w:rFonts w:eastAsia="Times New Roman"/>
          <w:szCs w:val="24"/>
        </w:rPr>
        <w:lastRenderedPageBreak/>
        <w:t>služby (stejně jako na výši celkového veřejného dluhu) má zásadní vliv stanovená úroková sazba a míra růstu ekonomiky.</w:t>
      </w:r>
    </w:p>
    <w:p w14:paraId="4A6F5A21" w14:textId="77777777" w:rsidR="008E0F74" w:rsidRPr="00353E4B" w:rsidRDefault="008E0F74">
      <w:pPr>
        <w:spacing w:line="188" w:lineRule="exact"/>
        <w:rPr>
          <w:color w:val="1F3864" w:themeColor="accent1" w:themeShade="80"/>
          <w:sz w:val="20"/>
          <w:szCs w:val="20"/>
        </w:rPr>
      </w:pPr>
    </w:p>
    <w:p w14:paraId="4A6F5A22" w14:textId="6B938766" w:rsidR="008E0F74" w:rsidRPr="00353E4B" w:rsidRDefault="00353E4B" w:rsidP="005D3036">
      <w:pPr>
        <w:pStyle w:val="Nadpis3"/>
        <w:rPr>
          <w:color w:val="1F3864" w:themeColor="accent1" w:themeShade="80"/>
          <w:sz w:val="20"/>
          <w:szCs w:val="20"/>
        </w:rPr>
      </w:pPr>
      <w:r>
        <w:rPr>
          <w:rFonts w:eastAsia="Times New Roman"/>
          <w:color w:val="1F3864" w:themeColor="accent1" w:themeShade="80"/>
        </w:rPr>
        <w:t xml:space="preserve"> </w:t>
      </w:r>
      <w:r w:rsidR="00256F29" w:rsidRPr="00353E4B">
        <w:rPr>
          <w:rFonts w:eastAsia="Times New Roman"/>
          <w:color w:val="1F3864" w:themeColor="accent1" w:themeShade="80"/>
        </w:rPr>
        <w:t>Ukazatel dluhové služby</w:t>
      </w:r>
    </w:p>
    <w:p w14:paraId="4A6F5A23" w14:textId="77777777" w:rsidR="008E0F74" w:rsidRPr="00FC3B7C" w:rsidRDefault="00256F29" w:rsidP="00436A06">
      <w:pPr>
        <w:spacing w:after="240"/>
        <w:ind w:right="40"/>
        <w:rPr>
          <w:sz w:val="20"/>
          <w:szCs w:val="20"/>
        </w:rPr>
      </w:pPr>
      <w:r w:rsidRPr="00FC3B7C">
        <w:rPr>
          <w:rFonts w:eastAsia="Times New Roman"/>
          <w:szCs w:val="24"/>
        </w:rPr>
        <w:t>Zadluženost obcí je regulována pomocí ukazatele dluhové služby. Ústřední orgán státu každoročně sleduje zadlužení obcí. Každé obci je vypočítán tento ukazatel a neměla by překročit stanovenou výši.</w:t>
      </w:r>
    </w:p>
    <w:p w14:paraId="4A6F5A24" w14:textId="77777777" w:rsidR="008E0F74" w:rsidRPr="00FC3B7C" w:rsidRDefault="00256F29" w:rsidP="005D3036">
      <w:pPr>
        <w:rPr>
          <w:sz w:val="20"/>
          <w:szCs w:val="20"/>
        </w:rPr>
      </w:pPr>
      <w:r w:rsidRPr="00FC3B7C">
        <w:rPr>
          <w:rFonts w:eastAsia="Times New Roman"/>
          <w:b/>
          <w:bCs/>
          <w:szCs w:val="24"/>
        </w:rPr>
        <w:t>Vzorec pro výpočet ukazatele dluhové služby:</w:t>
      </w:r>
    </w:p>
    <w:p w14:paraId="4A6F5A25" w14:textId="77777777" w:rsidR="008E0F74" w:rsidRPr="00FC3B7C" w:rsidRDefault="00256F29" w:rsidP="005D3036">
      <w:pPr>
        <w:rPr>
          <w:sz w:val="20"/>
          <w:szCs w:val="20"/>
        </w:rPr>
      </w:pPr>
      <w:r w:rsidRPr="00FC3B7C">
        <w:rPr>
          <w:rFonts w:eastAsia="Times New Roman"/>
          <w:szCs w:val="24"/>
        </w:rPr>
        <w:t>Dluhová služba je poměřována ke skutečné celkové částce dluhové základny za předchozí</w:t>
      </w:r>
    </w:p>
    <w:p w14:paraId="4A6F5A26" w14:textId="79CB4AED" w:rsidR="008E0F74" w:rsidRPr="00FC3B7C" w:rsidRDefault="00256F29" w:rsidP="005D3036">
      <w:pPr>
        <w:rPr>
          <w:sz w:val="20"/>
          <w:szCs w:val="20"/>
        </w:rPr>
      </w:pPr>
      <w:r w:rsidRPr="00FC3B7C">
        <w:rPr>
          <w:rFonts w:eastAsia="Times New Roman"/>
          <w:szCs w:val="24"/>
        </w:rPr>
        <w:t xml:space="preserve">rok </w:t>
      </w:r>
      <w:r w:rsidRPr="00FC3B7C">
        <w:rPr>
          <w:rFonts w:eastAsia="Times New Roman"/>
          <w:b/>
          <w:bCs/>
          <w:i/>
          <w:iCs/>
          <w:szCs w:val="24"/>
        </w:rPr>
        <w:t>(dluhová služba/dluhová základna)*100 = ukazatel dluhové služby v %</w:t>
      </w:r>
      <w:r w:rsidR="005D3036">
        <w:rPr>
          <w:sz w:val="20"/>
          <w:szCs w:val="20"/>
        </w:rPr>
        <w:t xml:space="preserve"> </w:t>
      </w:r>
      <w:r w:rsidRPr="00FC3B7C">
        <w:rPr>
          <w:rFonts w:eastAsia="Times New Roman"/>
          <w:b/>
          <w:bCs/>
          <w:i/>
          <w:iCs/>
          <w:szCs w:val="24"/>
        </w:rPr>
        <w:t xml:space="preserve">dluhová služba </w:t>
      </w:r>
      <w:r w:rsidRPr="00FC3B7C">
        <w:rPr>
          <w:rFonts w:eastAsia="Times New Roman"/>
          <w:i/>
          <w:iCs/>
          <w:szCs w:val="24"/>
        </w:rPr>
        <w:t>…zaplacené</w:t>
      </w:r>
      <w:r w:rsidR="003376E1">
        <w:rPr>
          <w:rFonts w:eastAsia="Times New Roman"/>
          <w:i/>
          <w:iCs/>
          <w:szCs w:val="24"/>
        </w:rPr>
        <w:t xml:space="preserve"> </w:t>
      </w:r>
      <w:r w:rsidRPr="00FC3B7C">
        <w:rPr>
          <w:rFonts w:eastAsia="Times New Roman"/>
          <w:i/>
          <w:iCs/>
          <w:szCs w:val="24"/>
        </w:rPr>
        <w:t>úroky,</w:t>
      </w:r>
      <w:r w:rsidR="003376E1">
        <w:rPr>
          <w:rFonts w:eastAsia="Times New Roman"/>
          <w:i/>
          <w:iCs/>
          <w:szCs w:val="24"/>
        </w:rPr>
        <w:t xml:space="preserve"> </w:t>
      </w:r>
      <w:r w:rsidRPr="00FC3B7C">
        <w:rPr>
          <w:rFonts w:eastAsia="Times New Roman"/>
          <w:i/>
          <w:iCs/>
          <w:szCs w:val="24"/>
        </w:rPr>
        <w:t>uhrazené</w:t>
      </w:r>
      <w:r w:rsidR="003376E1">
        <w:rPr>
          <w:rFonts w:eastAsia="Times New Roman"/>
          <w:i/>
          <w:iCs/>
          <w:szCs w:val="24"/>
        </w:rPr>
        <w:t xml:space="preserve"> </w:t>
      </w:r>
      <w:r w:rsidRPr="00FC3B7C">
        <w:rPr>
          <w:rFonts w:eastAsia="Times New Roman"/>
          <w:i/>
          <w:iCs/>
          <w:szCs w:val="24"/>
        </w:rPr>
        <w:t>splátky vydaných</w:t>
      </w:r>
      <w:r w:rsidR="003376E1">
        <w:rPr>
          <w:rFonts w:eastAsia="Times New Roman"/>
          <w:i/>
          <w:iCs/>
          <w:szCs w:val="24"/>
        </w:rPr>
        <w:t xml:space="preserve"> </w:t>
      </w:r>
      <w:r w:rsidRPr="00FC3B7C">
        <w:rPr>
          <w:rFonts w:eastAsia="Times New Roman"/>
          <w:i/>
          <w:iCs/>
          <w:szCs w:val="24"/>
        </w:rPr>
        <w:t>dluhopisů,</w:t>
      </w:r>
      <w:r w:rsidR="003376E1">
        <w:rPr>
          <w:rFonts w:eastAsia="Times New Roman"/>
          <w:i/>
          <w:iCs/>
          <w:szCs w:val="24"/>
        </w:rPr>
        <w:t xml:space="preserve"> </w:t>
      </w:r>
      <w:r w:rsidRPr="00FC3B7C">
        <w:rPr>
          <w:rFonts w:eastAsia="Times New Roman"/>
          <w:i/>
          <w:iCs/>
          <w:szCs w:val="24"/>
        </w:rPr>
        <w:t>splátky</w:t>
      </w:r>
      <w:r w:rsidR="003376E1">
        <w:rPr>
          <w:rFonts w:eastAsia="Times New Roman"/>
          <w:i/>
          <w:iCs/>
          <w:szCs w:val="24"/>
        </w:rPr>
        <w:t xml:space="preserve"> </w:t>
      </w:r>
      <w:r w:rsidRPr="00FC3B7C">
        <w:rPr>
          <w:rFonts w:eastAsia="Times New Roman"/>
          <w:i/>
          <w:iCs/>
          <w:szCs w:val="24"/>
        </w:rPr>
        <w:t>jistin,</w:t>
      </w:r>
      <w:r w:rsidR="005D3036">
        <w:rPr>
          <w:sz w:val="20"/>
          <w:szCs w:val="20"/>
        </w:rPr>
        <w:t xml:space="preserve"> </w:t>
      </w:r>
      <w:r w:rsidRPr="00FC3B7C">
        <w:rPr>
          <w:rFonts w:eastAsia="Times New Roman"/>
          <w:i/>
          <w:iCs/>
          <w:szCs w:val="24"/>
        </w:rPr>
        <w:t>leasingu</w:t>
      </w:r>
    </w:p>
    <w:p w14:paraId="65F0479F" w14:textId="31C23FF4" w:rsidR="00FD0CD6" w:rsidRDefault="00256F29" w:rsidP="00436A06">
      <w:pPr>
        <w:rPr>
          <w:sz w:val="20"/>
          <w:szCs w:val="20"/>
        </w:rPr>
      </w:pPr>
      <w:r w:rsidRPr="00FC3B7C">
        <w:rPr>
          <w:rFonts w:eastAsia="Times New Roman"/>
          <w:b/>
          <w:bCs/>
          <w:i/>
          <w:iCs/>
          <w:szCs w:val="24"/>
        </w:rPr>
        <w:t xml:space="preserve">dluhová základna </w:t>
      </w:r>
      <w:r w:rsidRPr="00FC3B7C">
        <w:rPr>
          <w:rFonts w:eastAsia="Times New Roman"/>
          <w:i/>
          <w:iCs/>
          <w:szCs w:val="24"/>
        </w:rPr>
        <w:t>…skutečně</w:t>
      </w:r>
      <w:r w:rsidRPr="00FC3B7C">
        <w:rPr>
          <w:rFonts w:eastAsia="Times New Roman"/>
          <w:b/>
          <w:bCs/>
          <w:i/>
          <w:iCs/>
          <w:szCs w:val="24"/>
        </w:rPr>
        <w:t xml:space="preserve"> </w:t>
      </w:r>
      <w:r w:rsidRPr="00FC3B7C">
        <w:rPr>
          <w:rFonts w:eastAsia="Times New Roman"/>
          <w:i/>
          <w:iCs/>
          <w:szCs w:val="24"/>
        </w:rPr>
        <w:t>dosažené daňové a nedaňové příjmy, přijaté dotace (za rok)</w:t>
      </w:r>
      <w:r w:rsidR="005D3036">
        <w:rPr>
          <w:sz w:val="20"/>
          <w:szCs w:val="20"/>
        </w:rPr>
        <w:t>.</w:t>
      </w:r>
    </w:p>
    <w:p w14:paraId="4DF88EEE" w14:textId="37ADCDE6" w:rsidR="00436A06" w:rsidRDefault="00FD0CD6" w:rsidP="00436A06">
      <w:pPr>
        <w:spacing w:before="240"/>
        <w:jc w:val="left"/>
        <w:rPr>
          <w:sz w:val="20"/>
          <w:szCs w:val="20"/>
        </w:rPr>
      </w:pPr>
      <w:r w:rsidRPr="00436A06">
        <w:rPr>
          <w:b/>
          <w:bCs/>
          <w:sz w:val="20"/>
          <w:szCs w:val="20"/>
        </w:rPr>
        <w:t>Zdroj</w:t>
      </w:r>
      <w:r w:rsidRPr="00436A06">
        <w:rPr>
          <w:sz w:val="20"/>
          <w:szCs w:val="20"/>
        </w:rPr>
        <w:t>:</w:t>
      </w:r>
      <w:hyperlink r:id="rId159" w:history="1">
        <w:r w:rsidRPr="00436A06">
          <w:rPr>
            <w:rStyle w:val="Hypertextovodkaz"/>
            <w:color w:val="auto"/>
            <w:sz w:val="20"/>
            <w:szCs w:val="20"/>
            <w:u w:val="none"/>
          </w:rPr>
          <w:t>https://www.mfcr.cz/cs/aktualne/tiskove-zpravy/2020/vlada-schvalila-novelu-zakona-o-statnim-37959</w:t>
        </w:r>
      </w:hyperlink>
    </w:p>
    <w:p w14:paraId="4A6F5AD8" w14:textId="03B62C01" w:rsidR="008E0F74" w:rsidRPr="00FC3B7C" w:rsidRDefault="00436A06" w:rsidP="00353E4B">
      <w:pPr>
        <w:spacing w:line="240" w:lineRule="auto"/>
        <w:jc w:val="left"/>
        <w:rPr>
          <w:sz w:val="20"/>
          <w:szCs w:val="20"/>
        </w:rPr>
      </w:pPr>
      <w:r>
        <w:rPr>
          <w:sz w:val="20"/>
          <w:szCs w:val="20"/>
        </w:rPr>
        <w:br w:type="page"/>
      </w:r>
    </w:p>
    <w:p w14:paraId="4CB75196" w14:textId="77777777" w:rsidR="00353E4B" w:rsidRPr="00FC3B7C" w:rsidRDefault="00353E4B" w:rsidP="00353E4B">
      <w:pPr>
        <w:rPr>
          <w:sz w:val="20"/>
          <w:szCs w:val="20"/>
        </w:rPr>
      </w:pPr>
      <w:r w:rsidRPr="00FC3B7C">
        <w:rPr>
          <w:rFonts w:eastAsia="Times New Roman"/>
          <w:b/>
          <w:bCs/>
          <w:sz w:val="28"/>
          <w:szCs w:val="28"/>
        </w:rPr>
        <w:lastRenderedPageBreak/>
        <w:t>Zdroje</w:t>
      </w:r>
    </w:p>
    <w:p w14:paraId="65CD4FF9" w14:textId="77777777" w:rsidR="00353E4B" w:rsidRPr="00FC3B7C" w:rsidRDefault="00353E4B">
      <w:pPr>
        <w:spacing w:line="210" w:lineRule="exact"/>
        <w:rPr>
          <w:sz w:val="20"/>
          <w:szCs w:val="20"/>
        </w:rPr>
      </w:pPr>
    </w:p>
    <w:p w14:paraId="198DA587" w14:textId="2AB1C6E2" w:rsidR="00353E4B" w:rsidRPr="00FC3B7C" w:rsidRDefault="00353E4B" w:rsidP="00353E4B">
      <w:pPr>
        <w:spacing w:after="240"/>
        <w:rPr>
          <w:sz w:val="20"/>
          <w:szCs w:val="20"/>
        </w:rPr>
      </w:pPr>
      <w:r w:rsidRPr="00FC3B7C">
        <w:rPr>
          <w:rFonts w:eastAsia="Times New Roman"/>
          <w:szCs w:val="24"/>
        </w:rPr>
        <w:t xml:space="preserve">PEKOVÁ, J.; PILNÝ, J.; JETMAR, M. </w:t>
      </w:r>
      <w:r w:rsidRPr="00FC3B7C">
        <w:rPr>
          <w:rFonts w:eastAsia="Times New Roman"/>
          <w:i/>
          <w:iCs/>
          <w:szCs w:val="24"/>
        </w:rPr>
        <w:t>Veřejná správa a finance veřejného sektoru</w:t>
      </w:r>
      <w:r w:rsidRPr="00FC3B7C">
        <w:rPr>
          <w:rFonts w:eastAsia="Times New Roman"/>
          <w:szCs w:val="24"/>
        </w:rPr>
        <w:t xml:space="preserve">, </w:t>
      </w:r>
      <w:r>
        <w:rPr>
          <w:rFonts w:eastAsia="Times New Roman"/>
          <w:szCs w:val="24"/>
        </w:rPr>
        <w:t xml:space="preserve">3. vydání, </w:t>
      </w:r>
      <w:r w:rsidRPr="00FC3B7C">
        <w:rPr>
          <w:rFonts w:eastAsia="Times New Roman"/>
          <w:szCs w:val="24"/>
        </w:rPr>
        <w:t>Praha: ASPI, a.s., 2008, 712 s.</w:t>
      </w:r>
    </w:p>
    <w:p w14:paraId="1BA5D29F" w14:textId="0127A62B" w:rsidR="00353E4B" w:rsidRPr="00FC3B7C" w:rsidRDefault="00353E4B" w:rsidP="00353E4B">
      <w:pPr>
        <w:spacing w:after="240"/>
        <w:ind w:left="284" w:hanging="280"/>
        <w:rPr>
          <w:sz w:val="20"/>
          <w:szCs w:val="20"/>
        </w:rPr>
      </w:pPr>
      <w:r w:rsidRPr="00FC3B7C">
        <w:rPr>
          <w:rFonts w:eastAsia="Times New Roman"/>
          <w:szCs w:val="24"/>
        </w:rPr>
        <w:t xml:space="preserve">PEKOVÁ, J. </w:t>
      </w:r>
      <w:r w:rsidRPr="00FC3B7C">
        <w:rPr>
          <w:rFonts w:eastAsia="Times New Roman"/>
          <w:i/>
          <w:iCs/>
          <w:szCs w:val="24"/>
        </w:rPr>
        <w:t>Veřejné finance, úvod do problematiky</w:t>
      </w:r>
      <w:r w:rsidRPr="00FC3B7C">
        <w:rPr>
          <w:rFonts w:eastAsia="Times New Roman"/>
          <w:szCs w:val="24"/>
        </w:rPr>
        <w:t>. 4. vyd. Praha: ASPI, a. s., 2008, 580s.</w:t>
      </w:r>
    </w:p>
    <w:p w14:paraId="374CAD09" w14:textId="521B01C5" w:rsidR="00353E4B" w:rsidRPr="00FC3B7C" w:rsidRDefault="00353E4B" w:rsidP="00353E4B">
      <w:pPr>
        <w:spacing w:after="240"/>
        <w:ind w:left="280" w:hanging="280"/>
        <w:rPr>
          <w:sz w:val="20"/>
          <w:szCs w:val="20"/>
        </w:rPr>
      </w:pPr>
      <w:r w:rsidRPr="00FC3B7C">
        <w:rPr>
          <w:rFonts w:eastAsia="Times New Roman"/>
          <w:szCs w:val="24"/>
        </w:rPr>
        <w:t xml:space="preserve">LAJTKEPOVÁ, E. </w:t>
      </w:r>
      <w:r w:rsidRPr="00FC3B7C">
        <w:rPr>
          <w:rFonts w:eastAsia="Times New Roman"/>
          <w:i/>
          <w:iCs/>
          <w:szCs w:val="24"/>
        </w:rPr>
        <w:t>Veřejné finance</w:t>
      </w:r>
      <w:r w:rsidRPr="00FC3B7C">
        <w:rPr>
          <w:rFonts w:eastAsia="Times New Roman"/>
          <w:szCs w:val="24"/>
        </w:rPr>
        <w:t>. 2. vyd. Brno: CERM, s.r.o, 2009</w:t>
      </w:r>
    </w:p>
    <w:p w14:paraId="19C9A601" w14:textId="43040612" w:rsidR="00353E4B" w:rsidRDefault="00353E4B" w:rsidP="00353E4B">
      <w:pPr>
        <w:spacing w:after="240"/>
        <w:ind w:firstLine="4"/>
        <w:rPr>
          <w:rFonts w:eastAsia="Times New Roman"/>
          <w:szCs w:val="24"/>
        </w:rPr>
      </w:pPr>
      <w:r w:rsidRPr="00FC3B7C">
        <w:rPr>
          <w:rFonts w:eastAsia="Times New Roman"/>
          <w:szCs w:val="24"/>
        </w:rPr>
        <w:t>HAMERNÍKOVÁ,</w:t>
      </w:r>
      <w:r w:rsidR="003376E1">
        <w:rPr>
          <w:rFonts w:eastAsia="Times New Roman"/>
          <w:szCs w:val="24"/>
        </w:rPr>
        <w:t xml:space="preserve"> </w:t>
      </w:r>
      <w:r w:rsidRPr="00FC3B7C">
        <w:rPr>
          <w:rFonts w:eastAsia="Times New Roman"/>
          <w:szCs w:val="24"/>
        </w:rPr>
        <w:t>B.;MAATYOVÁ,</w:t>
      </w:r>
      <w:r w:rsidR="003376E1">
        <w:rPr>
          <w:rFonts w:eastAsia="Times New Roman"/>
          <w:szCs w:val="24"/>
        </w:rPr>
        <w:t xml:space="preserve"> </w:t>
      </w:r>
      <w:r w:rsidRPr="00FC3B7C">
        <w:rPr>
          <w:rFonts w:eastAsia="Times New Roman"/>
          <w:szCs w:val="24"/>
        </w:rPr>
        <w:t>A.;</w:t>
      </w:r>
      <w:r w:rsidR="003376E1">
        <w:rPr>
          <w:rFonts w:eastAsia="Times New Roman"/>
          <w:szCs w:val="24"/>
        </w:rPr>
        <w:t xml:space="preserve"> </w:t>
      </w:r>
      <w:r w:rsidRPr="00FC3B7C">
        <w:rPr>
          <w:rFonts w:eastAsia="Times New Roman"/>
          <w:szCs w:val="24"/>
        </w:rPr>
        <w:t>et</w:t>
      </w:r>
      <w:r w:rsidR="003376E1">
        <w:rPr>
          <w:rFonts w:eastAsia="Times New Roman"/>
          <w:szCs w:val="24"/>
        </w:rPr>
        <w:t xml:space="preserve"> </w:t>
      </w:r>
      <w:r w:rsidRPr="00FC3B7C">
        <w:rPr>
          <w:rFonts w:eastAsia="Times New Roman"/>
          <w:szCs w:val="24"/>
        </w:rPr>
        <w:t>al.</w:t>
      </w:r>
      <w:r w:rsidR="003376E1">
        <w:rPr>
          <w:rFonts w:eastAsia="Times New Roman"/>
          <w:szCs w:val="24"/>
        </w:rPr>
        <w:t xml:space="preserve"> </w:t>
      </w:r>
      <w:r w:rsidRPr="00FC3B7C">
        <w:rPr>
          <w:rFonts w:eastAsia="Times New Roman"/>
          <w:i/>
          <w:iCs/>
          <w:szCs w:val="24"/>
        </w:rPr>
        <w:t>Veřejné</w:t>
      </w:r>
      <w:r w:rsidR="003376E1">
        <w:rPr>
          <w:rFonts w:eastAsia="Times New Roman"/>
          <w:i/>
          <w:iCs/>
          <w:szCs w:val="24"/>
        </w:rPr>
        <w:t xml:space="preserve"> </w:t>
      </w:r>
      <w:r w:rsidRPr="00FC3B7C">
        <w:rPr>
          <w:rFonts w:eastAsia="Times New Roman"/>
          <w:i/>
          <w:iCs/>
          <w:szCs w:val="24"/>
        </w:rPr>
        <w:t>finance</w:t>
      </w:r>
      <w:r w:rsidRPr="00FC3B7C">
        <w:rPr>
          <w:rFonts w:eastAsia="Times New Roman"/>
          <w:szCs w:val="24"/>
        </w:rPr>
        <w:t>.</w:t>
      </w:r>
      <w:r w:rsidR="003376E1">
        <w:rPr>
          <w:rFonts w:eastAsia="Times New Roman"/>
          <w:szCs w:val="24"/>
        </w:rPr>
        <w:t xml:space="preserve"> </w:t>
      </w:r>
      <w:r w:rsidRPr="00FC3B7C">
        <w:rPr>
          <w:rFonts w:eastAsia="Times New Roman"/>
          <w:szCs w:val="24"/>
        </w:rPr>
        <w:t>vyd.</w:t>
      </w:r>
      <w:r w:rsidR="003376E1">
        <w:rPr>
          <w:rFonts w:eastAsia="Times New Roman"/>
          <w:szCs w:val="24"/>
        </w:rPr>
        <w:t xml:space="preserve"> </w:t>
      </w:r>
      <w:r w:rsidRPr="00FC3B7C">
        <w:rPr>
          <w:rFonts w:eastAsia="Times New Roman"/>
          <w:szCs w:val="24"/>
        </w:rPr>
        <w:t>Praha:</w:t>
      </w:r>
      <w:r w:rsidR="003376E1">
        <w:rPr>
          <w:rFonts w:eastAsia="Times New Roman"/>
          <w:szCs w:val="24"/>
        </w:rPr>
        <w:t xml:space="preserve"> </w:t>
      </w:r>
      <w:r w:rsidRPr="00FC3B7C">
        <w:rPr>
          <w:rFonts w:eastAsia="Times New Roman"/>
          <w:szCs w:val="24"/>
        </w:rPr>
        <w:t>Wolters</w:t>
      </w:r>
      <w:r>
        <w:rPr>
          <w:sz w:val="20"/>
          <w:szCs w:val="20"/>
        </w:rPr>
        <w:t xml:space="preserve"> </w:t>
      </w:r>
      <w:r w:rsidRPr="00FC3B7C">
        <w:rPr>
          <w:rFonts w:eastAsia="Times New Roman"/>
          <w:szCs w:val="24"/>
        </w:rPr>
        <w:t>Kluwer ČR, 2010, 340 s.</w:t>
      </w:r>
    </w:p>
    <w:p w14:paraId="22E7CA0D" w14:textId="4F454B3A" w:rsidR="00353E4B" w:rsidRDefault="00353E4B" w:rsidP="00353E4B">
      <w:pPr>
        <w:tabs>
          <w:tab w:val="left" w:pos="567"/>
        </w:tabs>
        <w:ind w:firstLine="4"/>
        <w:rPr>
          <w:rFonts w:eastAsia="Times New Roman"/>
          <w:szCs w:val="24"/>
        </w:rPr>
      </w:pPr>
      <w:r w:rsidRPr="00FC3B7C">
        <w:rPr>
          <w:rFonts w:eastAsia="Times New Roman"/>
          <w:szCs w:val="24"/>
        </w:rPr>
        <w:t xml:space="preserve">PEKOVÁ, J.; PILNÝ, J.; JETMAR, M. </w:t>
      </w:r>
      <w:r w:rsidRPr="00FC3B7C">
        <w:rPr>
          <w:rFonts w:eastAsia="Times New Roman"/>
          <w:i/>
          <w:iCs/>
          <w:szCs w:val="24"/>
        </w:rPr>
        <w:t>Veřejná správa a finance veřejného sektoru</w:t>
      </w:r>
      <w:r w:rsidRPr="00FC3B7C">
        <w:rPr>
          <w:rFonts w:eastAsia="Times New Roman"/>
          <w:szCs w:val="24"/>
        </w:rPr>
        <w:t>, 3.</w:t>
      </w:r>
      <w:r>
        <w:rPr>
          <w:rFonts w:eastAsia="Times New Roman"/>
          <w:szCs w:val="24"/>
        </w:rPr>
        <w:t xml:space="preserve"> vydání,</w:t>
      </w:r>
      <w:r w:rsidR="003376E1">
        <w:rPr>
          <w:rFonts w:eastAsia="Times New Roman"/>
          <w:szCs w:val="24"/>
        </w:rPr>
        <w:t xml:space="preserve"> </w:t>
      </w:r>
      <w:r w:rsidRPr="00FC3B7C">
        <w:rPr>
          <w:rFonts w:eastAsia="Times New Roman"/>
          <w:szCs w:val="24"/>
        </w:rPr>
        <w:t>Praha: ASPI, a.s., 2008, 712 s.</w:t>
      </w:r>
    </w:p>
    <w:p w14:paraId="5C803C68" w14:textId="6249AF05" w:rsidR="00353E4B" w:rsidRDefault="00353E4B" w:rsidP="00353E4B">
      <w:pPr>
        <w:spacing w:before="240" w:after="240"/>
        <w:rPr>
          <w:rFonts w:eastAsia="Times New Roman"/>
          <w:szCs w:val="24"/>
        </w:rPr>
      </w:pPr>
      <w:r w:rsidRPr="00FC3B7C">
        <w:rPr>
          <w:rFonts w:eastAsia="Times New Roman"/>
          <w:szCs w:val="24"/>
        </w:rPr>
        <w:t xml:space="preserve">PEKOVÁ, J. </w:t>
      </w:r>
      <w:r w:rsidRPr="00FC3B7C">
        <w:rPr>
          <w:rFonts w:eastAsia="Times New Roman"/>
          <w:i/>
          <w:iCs/>
          <w:szCs w:val="24"/>
        </w:rPr>
        <w:t>Veřejné finance, úvod do problematiky</w:t>
      </w:r>
      <w:r w:rsidRPr="00FC3B7C">
        <w:rPr>
          <w:rFonts w:eastAsia="Times New Roman"/>
          <w:szCs w:val="24"/>
        </w:rPr>
        <w:t>. 4. vyd. Praha: ASPI, a. s., 2008, 580s.</w:t>
      </w:r>
    </w:p>
    <w:p w14:paraId="0684CCB0" w14:textId="77777777" w:rsidR="00353E4B" w:rsidRPr="00FC3B7C" w:rsidRDefault="00353E4B" w:rsidP="00353E4B">
      <w:pPr>
        <w:rPr>
          <w:sz w:val="20"/>
          <w:szCs w:val="20"/>
        </w:rPr>
      </w:pPr>
      <w:r w:rsidRPr="00FC3B7C">
        <w:rPr>
          <w:rFonts w:eastAsia="Times New Roman"/>
          <w:szCs w:val="24"/>
        </w:rPr>
        <w:t xml:space="preserve">PEKOVÁ, J. </w:t>
      </w:r>
      <w:r w:rsidRPr="00FC3B7C">
        <w:rPr>
          <w:rFonts w:eastAsia="Times New Roman"/>
          <w:i/>
          <w:iCs/>
          <w:szCs w:val="24"/>
        </w:rPr>
        <w:t>Veřejné finance, úvod do problematiky</w:t>
      </w:r>
      <w:r w:rsidRPr="00FC3B7C">
        <w:rPr>
          <w:rFonts w:eastAsia="Times New Roman"/>
          <w:szCs w:val="24"/>
        </w:rPr>
        <w:t>. 4. vyd. Praha: ASPI, a. s., 2008, 580s.</w:t>
      </w:r>
    </w:p>
    <w:p w14:paraId="2FAD31E3" w14:textId="77777777" w:rsidR="00353E4B" w:rsidRPr="00FC3B7C" w:rsidRDefault="00353E4B" w:rsidP="00353E4B">
      <w:pPr>
        <w:spacing w:line="142" w:lineRule="exact"/>
        <w:rPr>
          <w:sz w:val="20"/>
          <w:szCs w:val="20"/>
        </w:rPr>
      </w:pPr>
    </w:p>
    <w:p w14:paraId="225FA2EA" w14:textId="77777777" w:rsidR="00353E4B" w:rsidRPr="00FC3B7C" w:rsidRDefault="00353E4B" w:rsidP="00353E4B">
      <w:pPr>
        <w:rPr>
          <w:sz w:val="20"/>
          <w:szCs w:val="20"/>
        </w:rPr>
      </w:pPr>
      <w:r w:rsidRPr="00FC3B7C">
        <w:rPr>
          <w:rFonts w:eastAsia="Times New Roman"/>
          <w:szCs w:val="24"/>
        </w:rPr>
        <w:t xml:space="preserve">LAJTKEPOVÁ, E. </w:t>
      </w:r>
      <w:r w:rsidRPr="00FC3B7C">
        <w:rPr>
          <w:rFonts w:eastAsia="Times New Roman"/>
          <w:i/>
          <w:iCs/>
          <w:szCs w:val="24"/>
        </w:rPr>
        <w:t>Veřejné finance</w:t>
      </w:r>
      <w:r w:rsidRPr="00FC3B7C">
        <w:rPr>
          <w:rFonts w:eastAsia="Times New Roman"/>
          <w:szCs w:val="24"/>
        </w:rPr>
        <w:t>. 2. vyd. Brno: CERM, s.r.o, 2009.</w:t>
      </w:r>
    </w:p>
    <w:p w14:paraId="49F9AF7E" w14:textId="77777777" w:rsidR="00353E4B" w:rsidRPr="00FC3B7C" w:rsidRDefault="00353E4B" w:rsidP="00353E4B">
      <w:pPr>
        <w:spacing w:line="137" w:lineRule="exact"/>
        <w:rPr>
          <w:sz w:val="20"/>
          <w:szCs w:val="20"/>
        </w:rPr>
      </w:pPr>
    </w:p>
    <w:p w14:paraId="28BD520D" w14:textId="1AC74628" w:rsidR="00353E4B" w:rsidRPr="00FC3B7C" w:rsidRDefault="00353E4B" w:rsidP="00353E4B">
      <w:pPr>
        <w:spacing w:after="240"/>
        <w:rPr>
          <w:sz w:val="20"/>
          <w:szCs w:val="20"/>
        </w:rPr>
      </w:pPr>
      <w:r w:rsidRPr="00FC3B7C">
        <w:rPr>
          <w:rFonts w:eastAsia="Times New Roman"/>
          <w:szCs w:val="24"/>
        </w:rPr>
        <w:t>HAMERNÍKOVÁ,</w:t>
      </w:r>
      <w:r w:rsidR="003376E1">
        <w:rPr>
          <w:rFonts w:eastAsia="Times New Roman"/>
          <w:szCs w:val="24"/>
        </w:rPr>
        <w:t xml:space="preserve"> </w:t>
      </w:r>
      <w:r w:rsidRPr="00FC3B7C">
        <w:rPr>
          <w:rFonts w:eastAsia="Times New Roman"/>
          <w:szCs w:val="24"/>
        </w:rPr>
        <w:t>B.;MAATYOVÁ,</w:t>
      </w:r>
      <w:r w:rsidR="003376E1">
        <w:rPr>
          <w:rFonts w:eastAsia="Times New Roman"/>
          <w:szCs w:val="24"/>
        </w:rPr>
        <w:t xml:space="preserve"> </w:t>
      </w:r>
      <w:r w:rsidRPr="00FC3B7C">
        <w:rPr>
          <w:rFonts w:eastAsia="Times New Roman"/>
          <w:szCs w:val="24"/>
        </w:rPr>
        <w:t>A.;</w:t>
      </w:r>
      <w:r w:rsidR="003376E1">
        <w:rPr>
          <w:rFonts w:eastAsia="Times New Roman"/>
          <w:szCs w:val="24"/>
        </w:rPr>
        <w:t xml:space="preserve"> </w:t>
      </w:r>
      <w:r w:rsidRPr="00FC3B7C">
        <w:rPr>
          <w:rFonts w:eastAsia="Times New Roman"/>
          <w:szCs w:val="24"/>
        </w:rPr>
        <w:t>et</w:t>
      </w:r>
      <w:r w:rsidR="003376E1">
        <w:rPr>
          <w:rFonts w:eastAsia="Times New Roman"/>
          <w:szCs w:val="24"/>
        </w:rPr>
        <w:t xml:space="preserve"> </w:t>
      </w:r>
      <w:r w:rsidRPr="00FC3B7C">
        <w:rPr>
          <w:rFonts w:eastAsia="Times New Roman"/>
          <w:szCs w:val="24"/>
        </w:rPr>
        <w:t>al.</w:t>
      </w:r>
      <w:r w:rsidR="003376E1">
        <w:rPr>
          <w:rFonts w:eastAsia="Times New Roman"/>
          <w:szCs w:val="24"/>
        </w:rPr>
        <w:t xml:space="preserve"> </w:t>
      </w:r>
      <w:r w:rsidRPr="00FC3B7C">
        <w:rPr>
          <w:rFonts w:eastAsia="Times New Roman"/>
          <w:i/>
          <w:iCs/>
          <w:szCs w:val="24"/>
        </w:rPr>
        <w:t>Veřejné</w:t>
      </w:r>
      <w:r w:rsidR="003376E1">
        <w:rPr>
          <w:rFonts w:eastAsia="Times New Roman"/>
          <w:i/>
          <w:iCs/>
          <w:szCs w:val="24"/>
        </w:rPr>
        <w:t xml:space="preserve"> </w:t>
      </w:r>
      <w:r w:rsidRPr="00FC3B7C">
        <w:rPr>
          <w:rFonts w:eastAsia="Times New Roman"/>
          <w:i/>
          <w:iCs/>
          <w:szCs w:val="24"/>
        </w:rPr>
        <w:t>finance</w:t>
      </w:r>
      <w:r w:rsidRPr="00FC3B7C">
        <w:rPr>
          <w:rFonts w:eastAsia="Times New Roman"/>
          <w:szCs w:val="24"/>
        </w:rPr>
        <w:t>.</w:t>
      </w:r>
      <w:r w:rsidR="003376E1">
        <w:rPr>
          <w:rFonts w:eastAsia="Times New Roman"/>
          <w:szCs w:val="24"/>
        </w:rPr>
        <w:t xml:space="preserve"> </w:t>
      </w:r>
      <w:r w:rsidRPr="00FC3B7C">
        <w:rPr>
          <w:rFonts w:eastAsia="Times New Roman"/>
          <w:szCs w:val="24"/>
        </w:rPr>
        <w:t>vyd.</w:t>
      </w:r>
      <w:r w:rsidR="003376E1">
        <w:rPr>
          <w:rFonts w:eastAsia="Times New Roman"/>
          <w:szCs w:val="24"/>
        </w:rPr>
        <w:t xml:space="preserve"> </w:t>
      </w:r>
      <w:r w:rsidRPr="00FC3B7C">
        <w:rPr>
          <w:rFonts w:eastAsia="Times New Roman"/>
          <w:szCs w:val="24"/>
        </w:rPr>
        <w:t>Praha:</w:t>
      </w:r>
      <w:r w:rsidR="003376E1">
        <w:rPr>
          <w:rFonts w:eastAsia="Times New Roman"/>
          <w:szCs w:val="24"/>
        </w:rPr>
        <w:t xml:space="preserve"> </w:t>
      </w:r>
      <w:r w:rsidRPr="00FC3B7C">
        <w:rPr>
          <w:rFonts w:eastAsia="Times New Roman"/>
          <w:szCs w:val="24"/>
        </w:rPr>
        <w:t>Wolters</w:t>
      </w:r>
      <w:r>
        <w:rPr>
          <w:sz w:val="20"/>
          <w:szCs w:val="20"/>
        </w:rPr>
        <w:t xml:space="preserve"> </w:t>
      </w:r>
      <w:r w:rsidRPr="00FC3B7C">
        <w:rPr>
          <w:rFonts w:eastAsia="Times New Roman"/>
          <w:szCs w:val="24"/>
        </w:rPr>
        <w:t>Kluwer ČR, 2010, 340 s.</w:t>
      </w:r>
    </w:p>
    <w:p w14:paraId="4CAE4CF6" w14:textId="1113EB61" w:rsidR="00353E4B" w:rsidRPr="00353E4B" w:rsidRDefault="00353E4B" w:rsidP="00353E4B">
      <w:pPr>
        <w:spacing w:after="240"/>
        <w:rPr>
          <w:sz w:val="20"/>
          <w:szCs w:val="20"/>
        </w:rPr>
      </w:pPr>
      <w:r w:rsidRPr="00FC3B7C">
        <w:rPr>
          <w:rFonts w:eastAsia="Times New Roman"/>
          <w:szCs w:val="24"/>
        </w:rPr>
        <w:t>MATOUŠKOVÁ,</w:t>
      </w:r>
      <w:r w:rsidR="003376E1">
        <w:rPr>
          <w:rFonts w:eastAsia="Times New Roman"/>
          <w:szCs w:val="24"/>
        </w:rPr>
        <w:t xml:space="preserve"> </w:t>
      </w:r>
      <w:r w:rsidRPr="00FC3B7C">
        <w:rPr>
          <w:rFonts w:eastAsia="Times New Roman"/>
          <w:szCs w:val="24"/>
        </w:rPr>
        <w:t>Martina.</w:t>
      </w:r>
      <w:r w:rsidR="003376E1">
        <w:rPr>
          <w:rFonts w:eastAsia="Times New Roman"/>
          <w:szCs w:val="24"/>
        </w:rPr>
        <w:t xml:space="preserve"> </w:t>
      </w:r>
      <w:r w:rsidRPr="00FC3B7C">
        <w:rPr>
          <w:rFonts w:eastAsia="Times New Roman"/>
          <w:i/>
          <w:iCs/>
          <w:szCs w:val="24"/>
        </w:rPr>
        <w:t>Analýza</w:t>
      </w:r>
      <w:r w:rsidR="003376E1">
        <w:rPr>
          <w:rFonts w:eastAsia="Times New Roman"/>
          <w:i/>
          <w:iCs/>
          <w:szCs w:val="24"/>
        </w:rPr>
        <w:t xml:space="preserve"> </w:t>
      </w:r>
      <w:r w:rsidRPr="00FC3B7C">
        <w:rPr>
          <w:rFonts w:eastAsia="Times New Roman"/>
          <w:i/>
          <w:iCs/>
          <w:szCs w:val="24"/>
        </w:rPr>
        <w:t>hospodaření</w:t>
      </w:r>
      <w:r w:rsidR="003376E1">
        <w:rPr>
          <w:rFonts w:eastAsia="Times New Roman"/>
          <w:i/>
          <w:iCs/>
          <w:szCs w:val="24"/>
        </w:rPr>
        <w:t xml:space="preserve"> </w:t>
      </w:r>
      <w:r w:rsidRPr="00FC3B7C">
        <w:rPr>
          <w:rFonts w:eastAsia="Times New Roman"/>
          <w:i/>
          <w:iCs/>
          <w:szCs w:val="24"/>
        </w:rPr>
        <w:t>obcí</w:t>
      </w:r>
      <w:r w:rsidR="003376E1">
        <w:rPr>
          <w:rFonts w:eastAsia="Times New Roman"/>
          <w:i/>
          <w:iCs/>
          <w:szCs w:val="24"/>
        </w:rPr>
        <w:t xml:space="preserve"> </w:t>
      </w:r>
      <w:r w:rsidRPr="00FC3B7C">
        <w:rPr>
          <w:rFonts w:eastAsia="Times New Roman"/>
          <w:i/>
          <w:iCs/>
          <w:szCs w:val="24"/>
        </w:rPr>
        <w:t>v</w:t>
      </w:r>
      <w:r w:rsidRPr="00FC3B7C">
        <w:rPr>
          <w:rFonts w:eastAsia="Times New Roman"/>
          <w:szCs w:val="24"/>
        </w:rPr>
        <w:t xml:space="preserve"> </w:t>
      </w:r>
      <w:r w:rsidRPr="00FC3B7C">
        <w:rPr>
          <w:rFonts w:eastAsia="Times New Roman"/>
          <w:i/>
          <w:iCs/>
          <w:szCs w:val="24"/>
        </w:rPr>
        <w:t>České</w:t>
      </w:r>
      <w:r w:rsidR="003376E1">
        <w:rPr>
          <w:rFonts w:eastAsia="Times New Roman"/>
          <w:i/>
          <w:iCs/>
          <w:szCs w:val="24"/>
        </w:rPr>
        <w:t xml:space="preserve"> </w:t>
      </w:r>
      <w:r w:rsidRPr="00FC3B7C">
        <w:rPr>
          <w:rFonts w:eastAsia="Times New Roman"/>
          <w:i/>
          <w:iCs/>
          <w:szCs w:val="24"/>
        </w:rPr>
        <w:t>republice</w:t>
      </w:r>
      <w:r w:rsidR="003376E1">
        <w:rPr>
          <w:rFonts w:eastAsia="Times New Roman"/>
          <w:i/>
          <w:iCs/>
          <w:szCs w:val="24"/>
        </w:rPr>
        <w:t xml:space="preserve"> </w:t>
      </w:r>
      <w:r w:rsidRPr="00FC3B7C">
        <w:rPr>
          <w:rFonts w:eastAsia="Times New Roman"/>
          <w:i/>
          <w:iCs/>
          <w:szCs w:val="24"/>
        </w:rPr>
        <w:t>se</w:t>
      </w:r>
      <w:r w:rsidR="003376E1">
        <w:rPr>
          <w:rFonts w:eastAsia="Times New Roman"/>
          <w:i/>
          <w:iCs/>
          <w:szCs w:val="24"/>
        </w:rPr>
        <w:t xml:space="preserve"> </w:t>
      </w:r>
      <w:r w:rsidRPr="00FC3B7C">
        <w:rPr>
          <w:rFonts w:eastAsia="Times New Roman"/>
          <w:i/>
          <w:iCs/>
          <w:szCs w:val="24"/>
        </w:rPr>
        <w:t>zvláštním</w:t>
      </w:r>
      <w:r>
        <w:rPr>
          <w:rFonts w:eastAsia="Times New Roman"/>
          <w:i/>
          <w:iCs/>
          <w:szCs w:val="24"/>
        </w:rPr>
        <w:t xml:space="preserve"> </w:t>
      </w:r>
      <w:r w:rsidRPr="00FC3B7C">
        <w:rPr>
          <w:rFonts w:eastAsia="Times New Roman"/>
          <w:i/>
          <w:iCs/>
          <w:szCs w:val="24"/>
        </w:rPr>
        <w:t>zřetelem na jejich zadlužení</w:t>
      </w:r>
      <w:r w:rsidRPr="00FC3B7C">
        <w:rPr>
          <w:rFonts w:eastAsia="Times New Roman"/>
          <w:szCs w:val="24"/>
        </w:rPr>
        <w:t>: diplomová práce. Praha: Vysoká</w:t>
      </w:r>
      <w:r w:rsidRPr="00FC3B7C">
        <w:rPr>
          <w:rFonts w:eastAsia="Times New Roman"/>
          <w:i/>
          <w:iCs/>
          <w:szCs w:val="24"/>
        </w:rPr>
        <w:t xml:space="preserve"> </w:t>
      </w:r>
      <w:r w:rsidRPr="00FC3B7C">
        <w:rPr>
          <w:rFonts w:eastAsia="Times New Roman"/>
          <w:szCs w:val="24"/>
        </w:rPr>
        <w:t>škola ekonomická, Fakulta</w:t>
      </w:r>
      <w:r>
        <w:rPr>
          <w:rFonts w:eastAsia="Times New Roman"/>
          <w:szCs w:val="24"/>
        </w:rPr>
        <w:t xml:space="preserve"> </w:t>
      </w:r>
      <w:r w:rsidRPr="00FC3B7C">
        <w:rPr>
          <w:rFonts w:eastAsia="Times New Roman"/>
          <w:szCs w:val="24"/>
        </w:rPr>
        <w:t>národohospodářská, 2013, 104 s.</w:t>
      </w:r>
      <w:r>
        <w:rPr>
          <w:rFonts w:eastAsia="Times New Roman"/>
          <w:szCs w:val="24"/>
        </w:rPr>
        <w:t xml:space="preserve"> </w:t>
      </w:r>
      <w:r w:rsidRPr="00FC3B7C">
        <w:rPr>
          <w:rFonts w:eastAsia="Times New Roman"/>
          <w:szCs w:val="24"/>
        </w:rPr>
        <w:t>Vedoucí diplomové práce Karel Zeman.</w:t>
      </w:r>
    </w:p>
    <w:p w14:paraId="14C8D9D0" w14:textId="10D91C60" w:rsidR="00004383" w:rsidRDefault="00353E4B" w:rsidP="00353E4B">
      <w:pPr>
        <w:spacing w:after="240"/>
        <w:rPr>
          <w:rFonts w:eastAsia="Times New Roman"/>
          <w:szCs w:val="24"/>
        </w:rPr>
      </w:pPr>
      <w:r w:rsidRPr="00353E4B">
        <w:rPr>
          <w:rFonts w:eastAsia="Times New Roman"/>
          <w:szCs w:val="24"/>
        </w:rPr>
        <w:t>SVOBODOVÁ,</w:t>
      </w:r>
      <w:r w:rsidR="003376E1">
        <w:rPr>
          <w:rFonts w:eastAsia="Times New Roman"/>
          <w:szCs w:val="24"/>
        </w:rPr>
        <w:t xml:space="preserve"> </w:t>
      </w:r>
      <w:r w:rsidRPr="00353E4B">
        <w:rPr>
          <w:rFonts w:eastAsia="Times New Roman"/>
          <w:szCs w:val="24"/>
        </w:rPr>
        <w:t>Eva.</w:t>
      </w:r>
      <w:r w:rsidR="003376E1">
        <w:rPr>
          <w:rFonts w:eastAsia="Times New Roman"/>
          <w:szCs w:val="24"/>
        </w:rPr>
        <w:t xml:space="preserve"> </w:t>
      </w:r>
      <w:r w:rsidRPr="00353E4B">
        <w:rPr>
          <w:rFonts w:eastAsia="Times New Roman"/>
          <w:szCs w:val="24"/>
        </w:rPr>
        <w:t>Struktura</w:t>
      </w:r>
      <w:r w:rsidR="003376E1">
        <w:rPr>
          <w:rFonts w:eastAsia="Times New Roman"/>
          <w:szCs w:val="24"/>
        </w:rPr>
        <w:t xml:space="preserve"> </w:t>
      </w:r>
      <w:r w:rsidRPr="00353E4B">
        <w:rPr>
          <w:rFonts w:eastAsia="Times New Roman"/>
          <w:szCs w:val="24"/>
        </w:rPr>
        <w:t>veřejného</w:t>
      </w:r>
      <w:r w:rsidRPr="00353E4B">
        <w:rPr>
          <w:rFonts w:eastAsia="Times New Roman"/>
          <w:szCs w:val="24"/>
        </w:rPr>
        <w:tab/>
        <w:t>dluhu</w:t>
      </w:r>
      <w:r w:rsidR="003376E1">
        <w:rPr>
          <w:rFonts w:eastAsia="Times New Roman"/>
          <w:szCs w:val="24"/>
        </w:rPr>
        <w:t xml:space="preserve"> </w:t>
      </w:r>
      <w:r w:rsidRPr="00353E4B">
        <w:rPr>
          <w:rFonts w:eastAsia="Times New Roman"/>
          <w:szCs w:val="24"/>
        </w:rPr>
        <w:t>v České</w:t>
      </w:r>
      <w:r>
        <w:rPr>
          <w:rFonts w:eastAsia="Times New Roman"/>
          <w:szCs w:val="24"/>
        </w:rPr>
        <w:t xml:space="preserve"> </w:t>
      </w:r>
      <w:r w:rsidRPr="00353E4B">
        <w:rPr>
          <w:rFonts w:eastAsia="Times New Roman"/>
          <w:szCs w:val="24"/>
        </w:rPr>
        <w:t>republic</w:t>
      </w:r>
      <w:r>
        <w:rPr>
          <w:rFonts w:eastAsia="Times New Roman"/>
          <w:szCs w:val="24"/>
        </w:rPr>
        <w:t>e</w:t>
      </w:r>
      <w:r w:rsidRPr="00353E4B">
        <w:rPr>
          <w:rFonts w:eastAsia="Times New Roman"/>
          <w:szCs w:val="24"/>
        </w:rPr>
        <w:t>:</w:t>
      </w:r>
      <w:r w:rsidR="003376E1">
        <w:rPr>
          <w:rFonts w:eastAsia="Times New Roman"/>
          <w:szCs w:val="24"/>
        </w:rPr>
        <w:t xml:space="preserve"> </w:t>
      </w:r>
      <w:r w:rsidRPr="00353E4B">
        <w:rPr>
          <w:rFonts w:eastAsia="Times New Roman"/>
          <w:szCs w:val="24"/>
        </w:rPr>
        <w:t>bakalářská</w:t>
      </w:r>
      <w:r w:rsidR="003376E1">
        <w:rPr>
          <w:rFonts w:eastAsia="Times New Roman"/>
          <w:szCs w:val="24"/>
        </w:rPr>
        <w:t xml:space="preserve"> </w:t>
      </w:r>
      <w:r w:rsidRPr="00353E4B">
        <w:rPr>
          <w:rFonts w:eastAsia="Times New Roman"/>
          <w:szCs w:val="24"/>
        </w:rPr>
        <w:t>práce.</w:t>
      </w:r>
      <w:r>
        <w:rPr>
          <w:rFonts w:eastAsia="Times New Roman"/>
          <w:szCs w:val="24"/>
        </w:rPr>
        <w:t xml:space="preserve"> </w:t>
      </w:r>
      <w:r w:rsidRPr="00353E4B">
        <w:rPr>
          <w:rFonts w:eastAsia="Times New Roman"/>
          <w:szCs w:val="24"/>
        </w:rPr>
        <w:t>Praha:</w:t>
      </w:r>
      <w:r w:rsidR="003376E1">
        <w:rPr>
          <w:rFonts w:eastAsia="Times New Roman"/>
          <w:szCs w:val="24"/>
        </w:rPr>
        <w:t xml:space="preserve"> </w:t>
      </w:r>
      <w:r w:rsidRPr="00353E4B">
        <w:rPr>
          <w:rFonts w:eastAsia="Times New Roman"/>
          <w:szCs w:val="24"/>
        </w:rPr>
        <w:t>Vysoká škola</w:t>
      </w:r>
      <w:r w:rsidR="003376E1">
        <w:rPr>
          <w:rFonts w:eastAsia="Times New Roman"/>
          <w:szCs w:val="24"/>
        </w:rPr>
        <w:t xml:space="preserve"> </w:t>
      </w:r>
      <w:r w:rsidRPr="00353E4B">
        <w:rPr>
          <w:rFonts w:eastAsia="Times New Roman"/>
          <w:szCs w:val="24"/>
        </w:rPr>
        <w:t>ekonomická,</w:t>
      </w:r>
      <w:r w:rsidR="003376E1">
        <w:rPr>
          <w:rFonts w:eastAsia="Times New Roman"/>
          <w:szCs w:val="24"/>
        </w:rPr>
        <w:t xml:space="preserve"> </w:t>
      </w:r>
      <w:r w:rsidRPr="00353E4B">
        <w:rPr>
          <w:rFonts w:eastAsia="Times New Roman"/>
          <w:szCs w:val="24"/>
        </w:rPr>
        <w:t>Fakulta</w:t>
      </w:r>
      <w:r w:rsidRPr="00353E4B">
        <w:rPr>
          <w:rFonts w:eastAsia="Times New Roman"/>
          <w:szCs w:val="24"/>
        </w:rPr>
        <w:tab/>
        <w:t>financí</w:t>
      </w:r>
      <w:r>
        <w:rPr>
          <w:rFonts w:eastAsia="Times New Roman"/>
          <w:szCs w:val="24"/>
        </w:rPr>
        <w:t xml:space="preserve"> </w:t>
      </w:r>
      <w:r w:rsidRPr="00353E4B">
        <w:rPr>
          <w:rFonts w:eastAsia="Times New Roman"/>
          <w:szCs w:val="24"/>
        </w:rPr>
        <w:t>a</w:t>
      </w:r>
      <w:r>
        <w:rPr>
          <w:rFonts w:eastAsia="Times New Roman"/>
          <w:szCs w:val="24"/>
        </w:rPr>
        <w:t xml:space="preserve"> </w:t>
      </w:r>
      <w:r w:rsidRPr="00353E4B">
        <w:rPr>
          <w:rFonts w:eastAsia="Times New Roman"/>
          <w:szCs w:val="24"/>
        </w:rPr>
        <w:t>účetnictví,</w:t>
      </w:r>
      <w:r w:rsidR="003376E1">
        <w:rPr>
          <w:rFonts w:eastAsia="Times New Roman"/>
          <w:szCs w:val="24"/>
        </w:rPr>
        <w:t xml:space="preserve"> </w:t>
      </w:r>
      <w:r w:rsidRPr="00353E4B">
        <w:rPr>
          <w:rFonts w:eastAsia="Times New Roman"/>
          <w:szCs w:val="24"/>
        </w:rPr>
        <w:t>2008,</w:t>
      </w:r>
      <w:r>
        <w:rPr>
          <w:rFonts w:eastAsia="Times New Roman"/>
          <w:szCs w:val="24"/>
        </w:rPr>
        <w:t xml:space="preserve"> </w:t>
      </w:r>
      <w:r w:rsidRPr="00353E4B">
        <w:rPr>
          <w:rFonts w:eastAsia="Times New Roman"/>
          <w:szCs w:val="24"/>
        </w:rPr>
        <w:t>s</w:t>
      </w:r>
      <w:r>
        <w:rPr>
          <w:rFonts w:eastAsia="Times New Roman"/>
          <w:szCs w:val="24"/>
        </w:rPr>
        <w:t>tr</w:t>
      </w:r>
      <w:r w:rsidRPr="00353E4B">
        <w:rPr>
          <w:rFonts w:eastAsia="Times New Roman"/>
          <w:szCs w:val="24"/>
        </w:rPr>
        <w:t xml:space="preserve">. </w:t>
      </w:r>
      <w:r>
        <w:rPr>
          <w:rFonts w:eastAsia="Times New Roman"/>
          <w:szCs w:val="24"/>
        </w:rPr>
        <w:t>52</w:t>
      </w:r>
      <w:r w:rsidRPr="00353E4B">
        <w:rPr>
          <w:rFonts w:eastAsia="Times New Roman"/>
          <w:szCs w:val="24"/>
        </w:rPr>
        <w:t xml:space="preserve"> Vedoucí</w:t>
      </w:r>
      <w:r>
        <w:rPr>
          <w:rFonts w:eastAsia="Times New Roman"/>
          <w:szCs w:val="24"/>
        </w:rPr>
        <w:t xml:space="preserve"> </w:t>
      </w:r>
      <w:r w:rsidRPr="00353E4B">
        <w:rPr>
          <w:rFonts w:eastAsia="Times New Roman"/>
          <w:szCs w:val="24"/>
        </w:rPr>
        <w:t>bakalářské práce Václav Urbánek.</w:t>
      </w:r>
      <w:r w:rsidRPr="00353E4B">
        <w:rPr>
          <w:rFonts w:eastAsia="Times New Roman"/>
          <w:szCs w:val="24"/>
        </w:rPr>
        <w:tab/>
      </w:r>
    </w:p>
    <w:p w14:paraId="7EC4E911" w14:textId="7FD41E56" w:rsidR="00004383" w:rsidRDefault="00004383" w:rsidP="00004383">
      <w:pPr>
        <w:ind w:firstLine="4"/>
        <w:rPr>
          <w:rFonts w:eastAsia="Times New Roman"/>
          <w:szCs w:val="24"/>
        </w:rPr>
      </w:pPr>
      <w:r w:rsidRPr="00FC3B7C">
        <w:rPr>
          <w:rFonts w:eastAsia="Times New Roman"/>
          <w:szCs w:val="24"/>
        </w:rPr>
        <w:t>ZIDEK,</w:t>
      </w:r>
      <w:r w:rsidR="003376E1">
        <w:rPr>
          <w:rFonts w:eastAsia="Times New Roman"/>
          <w:szCs w:val="24"/>
        </w:rPr>
        <w:t xml:space="preserve"> </w:t>
      </w:r>
      <w:r w:rsidRPr="00FC3B7C">
        <w:rPr>
          <w:rFonts w:eastAsia="Times New Roman"/>
          <w:szCs w:val="24"/>
        </w:rPr>
        <w:t>L. Transformace české</w:t>
      </w:r>
      <w:r w:rsidR="003376E1">
        <w:rPr>
          <w:rFonts w:eastAsia="Times New Roman"/>
          <w:szCs w:val="24"/>
        </w:rPr>
        <w:t xml:space="preserve"> </w:t>
      </w:r>
      <w:r w:rsidRPr="00FC3B7C">
        <w:rPr>
          <w:rFonts w:eastAsia="Times New Roman"/>
          <w:szCs w:val="24"/>
        </w:rPr>
        <w:t>ekonomiky 1989-2004. Praha:</w:t>
      </w:r>
      <w:r w:rsidR="003376E1">
        <w:rPr>
          <w:rFonts w:eastAsia="Times New Roman"/>
          <w:szCs w:val="24"/>
        </w:rPr>
        <w:t xml:space="preserve"> </w:t>
      </w:r>
      <w:r w:rsidRPr="00FC3B7C">
        <w:rPr>
          <w:rFonts w:eastAsia="Times New Roman"/>
          <w:szCs w:val="24"/>
        </w:rPr>
        <w:t>C. H. Beck,</w:t>
      </w:r>
      <w:r w:rsidR="003376E1">
        <w:rPr>
          <w:rFonts w:eastAsia="Times New Roman"/>
          <w:szCs w:val="24"/>
        </w:rPr>
        <w:t xml:space="preserve"> </w:t>
      </w:r>
      <w:r w:rsidRPr="00FC3B7C">
        <w:rPr>
          <w:rFonts w:eastAsia="Times New Roman"/>
          <w:szCs w:val="24"/>
        </w:rPr>
        <w:t>2006. ISBN</w:t>
      </w:r>
      <w:r>
        <w:rPr>
          <w:sz w:val="20"/>
          <w:szCs w:val="20"/>
        </w:rPr>
        <w:t xml:space="preserve"> </w:t>
      </w:r>
      <w:r w:rsidRPr="00FC3B7C">
        <w:rPr>
          <w:rFonts w:eastAsia="Times New Roman"/>
          <w:szCs w:val="24"/>
        </w:rPr>
        <w:t>80-7179-922-X.</w:t>
      </w:r>
    </w:p>
    <w:p w14:paraId="2D486653" w14:textId="4D8A49AE" w:rsidR="00CF20A7" w:rsidRDefault="00CF20A7" w:rsidP="00004383">
      <w:pPr>
        <w:ind w:firstLine="4"/>
        <w:rPr>
          <w:rFonts w:eastAsia="Times New Roman"/>
          <w:szCs w:val="24"/>
        </w:rPr>
      </w:pPr>
    </w:p>
    <w:p w14:paraId="4D3975A5" w14:textId="30632830" w:rsidR="00CF20A7" w:rsidRDefault="00CF20A7" w:rsidP="00004383">
      <w:pPr>
        <w:ind w:firstLine="4"/>
        <w:rPr>
          <w:rFonts w:eastAsia="Times New Roman"/>
          <w:szCs w:val="24"/>
        </w:rPr>
      </w:pPr>
    </w:p>
    <w:p w14:paraId="67098CD5" w14:textId="746CA795" w:rsidR="00CF20A7" w:rsidRDefault="00CF20A7" w:rsidP="00004383">
      <w:pPr>
        <w:ind w:firstLine="4"/>
        <w:rPr>
          <w:rFonts w:eastAsia="Times New Roman"/>
          <w:szCs w:val="24"/>
        </w:rPr>
      </w:pPr>
    </w:p>
    <w:p w14:paraId="07660807" w14:textId="704EA29F" w:rsidR="00CF20A7" w:rsidRDefault="00CF20A7" w:rsidP="00004383">
      <w:pPr>
        <w:ind w:firstLine="4"/>
        <w:rPr>
          <w:rFonts w:eastAsia="Times New Roman"/>
          <w:szCs w:val="24"/>
        </w:rPr>
      </w:pPr>
    </w:p>
    <w:p w14:paraId="13C1A2CE" w14:textId="068F61D3" w:rsidR="00CF20A7" w:rsidRDefault="00CF20A7" w:rsidP="00004383">
      <w:pPr>
        <w:ind w:firstLine="4"/>
        <w:rPr>
          <w:rFonts w:eastAsia="Times New Roman"/>
          <w:szCs w:val="24"/>
        </w:rPr>
      </w:pPr>
    </w:p>
    <w:p w14:paraId="212BE309" w14:textId="6A90E934" w:rsidR="00CF20A7" w:rsidRPr="00244BB9" w:rsidRDefault="00CF20A7" w:rsidP="00CF20A7">
      <w:pPr>
        <w:pStyle w:val="Nadpis1"/>
        <w:ind w:left="0" w:hanging="7"/>
        <w:rPr>
          <w:color w:val="1F3864" w:themeColor="accent1" w:themeShade="80"/>
        </w:rPr>
      </w:pPr>
      <w:bookmarkStart w:id="502" w:name="_Toc54254094"/>
      <w:r w:rsidRPr="00244BB9">
        <w:rPr>
          <w:color w:val="1F3864" w:themeColor="accent1" w:themeShade="80"/>
        </w:rPr>
        <w:lastRenderedPageBreak/>
        <w:t>AKTUALITY LS 2020</w:t>
      </w:r>
      <w:bookmarkEnd w:id="502"/>
    </w:p>
    <w:p w14:paraId="3CFFE56E" w14:textId="07B264AE" w:rsidR="005E1578" w:rsidRPr="005E1578" w:rsidRDefault="00996B5C" w:rsidP="005E1578">
      <w:pPr>
        <w:pStyle w:val="Documenttitle"/>
        <w:rPr>
          <w:rFonts w:ascii="Times New Roman" w:eastAsia="Times New Roman" w:hAnsi="Times New Roman"/>
          <w:color w:val="auto"/>
          <w:kern w:val="36"/>
          <w:sz w:val="32"/>
          <w:szCs w:val="48"/>
          <w:lang w:val="cs-CZ" w:eastAsia="cs-CZ"/>
        </w:rPr>
      </w:pPr>
      <w:r w:rsidRPr="005E1578">
        <w:rPr>
          <w:rFonts w:ascii="Times New Roman" w:eastAsia="Times New Roman" w:hAnsi="Times New Roman"/>
          <w:color w:val="auto"/>
          <w:kern w:val="36"/>
          <w:sz w:val="32"/>
          <w:szCs w:val="48"/>
          <w:lang w:val="cs-CZ" w:eastAsia="cs-CZ"/>
        </w:rPr>
        <w:t>26. 02. 2020</w:t>
      </w:r>
    </w:p>
    <w:p w14:paraId="4011836E" w14:textId="77777777" w:rsidR="005E1578" w:rsidRPr="005E1578" w:rsidRDefault="005E1578" w:rsidP="005E1578">
      <w:pPr>
        <w:rPr>
          <w:szCs w:val="24"/>
          <w:shd w:val="clear" w:color="auto" w:fill="FFFFFF"/>
        </w:rPr>
      </w:pPr>
      <w:r w:rsidRPr="005E1578">
        <w:rPr>
          <w:szCs w:val="24"/>
        </w:rPr>
        <w:t>V druhém týdnu školy jsme se mohli dočíst z medií, jak se dále rozšiřuje koronavir a čím dál více ovlivňuje ekonomiku kolem nás. Po zjištění viru v Itálii dochází k poklesu cen akcii o 4 %, u leteckých firem až 14 %, přičemž mezinárodní sdružení pro leteckou dopravu (IATA) očekávají ztrátu díky snížení vytížení letů 700 miliard korun. Dále může dojít k problémům s včasným dodáním přísad z Číny na různé druhy léků, které se vyrábějí v Evropě. Dle ministra zdravotnictví Čína dodává až 1/3 všech léků, či přísad, které jsou do EU importovány. Také ceny pohonných hmot díky koronaviru klesají, protože je nižší spotřeba v Číně. S tím blízko souvisí automobilová doprava, kde se p</w:t>
      </w:r>
      <w:r w:rsidRPr="005E1578">
        <w:rPr>
          <w:szCs w:val="24"/>
          <w:shd w:val="clear" w:color="auto" w:fill="FFFFFF"/>
        </w:rPr>
        <w:t xml:space="preserve">rodej nových vozů v první polovině února meziročně propadl o 92 procent. Vyplývá to podle agentury Bloomberg z údajů Čínského svazu osobních automobilů (CPCA). </w:t>
      </w:r>
    </w:p>
    <w:p w14:paraId="7AEBDDF6" w14:textId="77777777" w:rsidR="005E1578" w:rsidRPr="005E1578" w:rsidRDefault="005E1578" w:rsidP="005E1578">
      <w:pPr>
        <w:rPr>
          <w:szCs w:val="24"/>
        </w:rPr>
      </w:pPr>
      <w:r w:rsidRPr="005E1578">
        <w:rPr>
          <w:szCs w:val="24"/>
          <w:shd w:val="clear" w:color="auto" w:fill="FFFFFF"/>
        </w:rPr>
        <w:t xml:space="preserve">Novinkou, která už konečně nenavazuje na žádný vir je, že inflace v ČR je nejvyšší za 8 let 3,6%. </w:t>
      </w:r>
      <w:r w:rsidRPr="005E1578">
        <w:rPr>
          <w:szCs w:val="24"/>
        </w:rPr>
        <w:t>Dále Rusko dle zpráv bude možná muset zaplatit 1,1 bilionu korun akcionářům bývalé firmy Jukol Chodorkovského. O všem rozhodl soud v Haagu, a však Rusko se k rozsudku odvolalo.</w:t>
      </w:r>
    </w:p>
    <w:p w14:paraId="45AF1FC0" w14:textId="77777777" w:rsidR="005E1578" w:rsidRPr="005E1578" w:rsidRDefault="005E1578" w:rsidP="005E1578">
      <w:pPr>
        <w:spacing w:after="240" w:line="240" w:lineRule="atLeast"/>
        <w:rPr>
          <w:szCs w:val="24"/>
          <w:shd w:val="clear" w:color="auto" w:fill="FFFFFF"/>
        </w:rPr>
      </w:pPr>
      <w:r w:rsidRPr="005E1578">
        <w:rPr>
          <w:szCs w:val="24"/>
          <w:shd w:val="clear" w:color="auto" w:fill="FFFFFF"/>
        </w:rPr>
        <w:t>Zdroj: ekonom</w:t>
      </w:r>
    </w:p>
    <w:p w14:paraId="6A61EC7A" w14:textId="77777777" w:rsidR="005E1578" w:rsidRPr="005E1578" w:rsidRDefault="005E1578" w:rsidP="005E1578">
      <w:pPr>
        <w:rPr>
          <w:b/>
          <w:szCs w:val="24"/>
        </w:rPr>
      </w:pPr>
      <w:r w:rsidRPr="005E1578">
        <w:rPr>
          <w:szCs w:val="24"/>
        </w:rPr>
        <w:t xml:space="preserve"> </w:t>
      </w:r>
      <w:r w:rsidRPr="005E1578">
        <w:rPr>
          <w:b/>
          <w:szCs w:val="24"/>
        </w:rPr>
        <w:t>Poslední novinkou je fb příspěvek Petra Robejška.</w:t>
      </w:r>
    </w:p>
    <w:p w14:paraId="49B9FB75" w14:textId="77777777" w:rsidR="005E1578" w:rsidRPr="005E1578" w:rsidRDefault="005E1578" w:rsidP="005E1578">
      <w:pPr>
        <w:pStyle w:val="Normlnweb"/>
        <w:shd w:val="clear" w:color="auto" w:fill="FFFFFF"/>
        <w:spacing w:before="0" w:beforeAutospacing="0" w:after="240" w:afterAutospacing="0"/>
      </w:pPr>
      <w:r w:rsidRPr="005E1578">
        <w:t>„V beznadějně zadluženém Berlíně si v duchu doby pořídili elektrické autobusy. Objednáno je třicet zelených Pegasů a tři již normálně jezdí. Ale bohužel jen dopoledne, protože zbytek dne se musí dobíjet baterie. "Výhodnost" elektrobusů se projevuje již tím, že za den ujedou maximálně 140 kilometrů a spotřebují méně energie. Pravda taky je, že odpoledne a večer za ně musí zaskočit „zaostalé“ dieselové autobusy, které na jednu nádrž ujedou 600 - 700 kilometrů. Chudý Berlín si spásu světového klimatu nechá něco stát. Nejenom provoz elektrobusů, ale i jejich nákupní cena odpovídá nezměrnému významu Berlína pro záchranu světového klimatu. Jeden elektrobus stojí se vším všudy 900 000 euro a normální autobus jenom 250 000 euro. Takže jistě rozumíte tomu, proč se Berlín rozhodl, koupit za dobrých osmdesát milionů dalších devadesát těchto poslů zelené budoucnosti. Klimatická změna je prostě k nezaplacení. Jen to prosím nikomu neříkejte, aby to pražský magistrát náhodou nechtěl napodobit.“</w:t>
      </w:r>
    </w:p>
    <w:p w14:paraId="7EF089FF" w14:textId="77777777" w:rsidR="005E1578" w:rsidRPr="005E1578" w:rsidRDefault="004430A1" w:rsidP="005E1578">
      <w:pPr>
        <w:spacing w:after="240" w:line="240" w:lineRule="atLeast"/>
        <w:rPr>
          <w:szCs w:val="24"/>
        </w:rPr>
      </w:pPr>
      <w:hyperlink r:id="rId160" w:history="1">
        <w:r w:rsidR="005E1578" w:rsidRPr="005E1578">
          <w:rPr>
            <w:rStyle w:val="Hypertextovodkaz"/>
            <w:color w:val="auto"/>
            <w:szCs w:val="24"/>
          </w:rPr>
          <w:t>https://www.novinky.cz/zahranicni/koronavirus/clanek/evropske-akcie-kvuli-koronaviru-prudce-klesaji-</w:t>
        </w:r>
        <w:r w:rsidR="005E1578" w:rsidRPr="005E1578">
          <w:rPr>
            <w:rStyle w:val="Hypertextovodkaz"/>
            <w:color w:val="auto"/>
            <w:szCs w:val="24"/>
          </w:rPr>
          <w:lastRenderedPageBreak/>
          <w:t>40314499?fbclid=IwAR3huU8reNAuNDZrRKOYJcIKKzCOUvjqYH8WxVkUClMH_avJaUNGF__0mnI</w:t>
        </w:r>
      </w:hyperlink>
    </w:p>
    <w:p w14:paraId="6CEAFB50" w14:textId="77777777" w:rsidR="005E1578" w:rsidRPr="005E1578" w:rsidRDefault="004430A1" w:rsidP="005E1578">
      <w:pPr>
        <w:spacing w:after="240" w:line="240" w:lineRule="atLeast"/>
        <w:rPr>
          <w:szCs w:val="24"/>
        </w:rPr>
      </w:pPr>
      <w:hyperlink r:id="rId161" w:history="1">
        <w:r w:rsidR="005E1578" w:rsidRPr="005E1578">
          <w:rPr>
            <w:rStyle w:val="Hypertextovodkaz"/>
            <w:color w:val="auto"/>
            <w:szCs w:val="24"/>
          </w:rPr>
          <w:t>https://www.novinky.cz/zahranicni/koronavirus/clanek/koronavirus-by-mohl-zpusobit-ekonomickou-pandemii-mini-analytici-40314675?fbclid=IwAR1QzGFfE95jQult2c2M8JkFAWr8sEFBXVPiqbP1wuA2tQxu0VpAPwYOEkM</w:t>
        </w:r>
      </w:hyperlink>
    </w:p>
    <w:p w14:paraId="0DB819B0" w14:textId="77777777" w:rsidR="005E1578" w:rsidRPr="005E1578" w:rsidRDefault="004430A1" w:rsidP="005E1578">
      <w:pPr>
        <w:spacing w:after="240" w:line="240" w:lineRule="atLeast"/>
        <w:rPr>
          <w:szCs w:val="24"/>
        </w:rPr>
      </w:pPr>
      <w:hyperlink r:id="rId162" w:history="1">
        <w:r w:rsidR="005E1578" w:rsidRPr="005E1578">
          <w:rPr>
            <w:rStyle w:val="Hypertextovodkaz"/>
            <w:color w:val="auto"/>
            <w:szCs w:val="24"/>
          </w:rPr>
          <w:t>https://www.novinky.cz/ekonomika/clanek/rusko-musi-akcionarum-zbankrotovaneho-jukosu-zaplatit-pres-bilion-korun-40313844?fbclid=IwAR1Rx6mYkL2agkpv55uD9OOJQHqmsa6uaxGiqv1sDFjuUvd0RtmMUX3YCTA</w:t>
        </w:r>
      </w:hyperlink>
    </w:p>
    <w:p w14:paraId="6ABE1E85" w14:textId="77777777" w:rsidR="005E1578" w:rsidRPr="005E1578" w:rsidRDefault="004430A1" w:rsidP="005E1578">
      <w:pPr>
        <w:spacing w:after="240" w:line="240" w:lineRule="atLeast"/>
        <w:rPr>
          <w:szCs w:val="24"/>
        </w:rPr>
      </w:pPr>
      <w:hyperlink r:id="rId163" w:history="1">
        <w:r w:rsidR="005E1578" w:rsidRPr="005E1578">
          <w:rPr>
            <w:rStyle w:val="Hypertextovodkaz"/>
            <w:color w:val="auto"/>
            <w:szCs w:val="24"/>
          </w:rPr>
          <w:t>https://www.novinky.cz/ekonomika/clanek/ceny-benzinu-a-nafty-dal-klesaji-40314071?fbclid=IwAR0Y1_KT0_znuje8W8TexMwZE0c3rKWC-U3Uql4uV7M981-noSTWv3OQG3w</w:t>
        </w:r>
      </w:hyperlink>
    </w:p>
    <w:p w14:paraId="1AA5CD41" w14:textId="77777777" w:rsidR="005E1578" w:rsidRPr="005E1578" w:rsidRDefault="004430A1" w:rsidP="005E1578">
      <w:pPr>
        <w:spacing w:after="240" w:line="240" w:lineRule="atLeast"/>
        <w:rPr>
          <w:szCs w:val="24"/>
        </w:rPr>
      </w:pPr>
      <w:hyperlink r:id="rId164" w:history="1">
        <w:r w:rsidR="005E1578" w:rsidRPr="005E1578">
          <w:rPr>
            <w:rStyle w:val="Hypertextovodkaz"/>
            <w:color w:val="auto"/>
            <w:szCs w:val="24"/>
          </w:rPr>
          <w:t>https://www.novinky.cz/ekonomika/clanek/na-40-procent-dluhopisovych-emitentu-je-vysoce-rizikovych-tvrdi-analyza-40314114?fbclid=IwAR3_oCuHsklChxs2VHGBtWbFNLd0CyXU__W5YD504nT731Zle0OQpc4DJfQ</w:t>
        </w:r>
      </w:hyperlink>
    </w:p>
    <w:p w14:paraId="65BFF088" w14:textId="77777777" w:rsidR="005E1578" w:rsidRPr="005E1578" w:rsidRDefault="004430A1" w:rsidP="005E1578">
      <w:pPr>
        <w:spacing w:after="240" w:line="240" w:lineRule="atLeast"/>
        <w:rPr>
          <w:szCs w:val="24"/>
        </w:rPr>
      </w:pPr>
      <w:hyperlink r:id="rId165" w:history="1">
        <w:r w:rsidR="005E1578" w:rsidRPr="005E1578">
          <w:rPr>
            <w:rStyle w:val="Hypertextovodkaz"/>
            <w:color w:val="auto"/>
            <w:szCs w:val="24"/>
          </w:rPr>
          <w:t>https://www.novinky.cz/ekonomika/clanek/za-skokove-zdrazovani-muze-cnb-i-vlada-soudi-analytici-40314139?fbclid=IwAR2FAn8fMCNpQsuBUrTizCrreJF18xnNrW3Q9vide0B9P01YPqBt7bPFgvc</w:t>
        </w:r>
      </w:hyperlink>
    </w:p>
    <w:p w14:paraId="0F7B7AE9" w14:textId="77777777" w:rsidR="005E1578" w:rsidRPr="005E1578" w:rsidRDefault="004430A1" w:rsidP="005E1578">
      <w:pPr>
        <w:spacing w:after="240" w:line="240" w:lineRule="atLeast"/>
        <w:rPr>
          <w:szCs w:val="24"/>
        </w:rPr>
      </w:pPr>
      <w:hyperlink r:id="rId166" w:history="1">
        <w:r w:rsidR="005E1578" w:rsidRPr="005E1578">
          <w:rPr>
            <w:rStyle w:val="Hypertextovodkaz"/>
            <w:color w:val="auto"/>
            <w:szCs w:val="24"/>
          </w:rPr>
          <w:t>https://www.novinky.cz/ekonomika/clanek/ochromene-cinske-podniky-nemaji-na-vyplaty-40314194?fbclid=IwAR3iIUUGPzTxdDlpEsSY2SCYvdYret6VnIMI_YWj4GvhrxD3Rk9E3FcLUnk</w:t>
        </w:r>
      </w:hyperlink>
    </w:p>
    <w:p w14:paraId="0F26E688" w14:textId="77777777" w:rsidR="005E1578" w:rsidRPr="005E1578" w:rsidRDefault="004430A1" w:rsidP="005E1578">
      <w:pPr>
        <w:spacing w:after="240" w:line="240" w:lineRule="atLeast"/>
        <w:rPr>
          <w:szCs w:val="24"/>
        </w:rPr>
      </w:pPr>
      <w:hyperlink r:id="rId167" w:history="1">
        <w:r w:rsidR="005E1578" w:rsidRPr="005E1578">
          <w:rPr>
            <w:rStyle w:val="Hypertextovodkaz"/>
            <w:color w:val="auto"/>
            <w:szCs w:val="24"/>
          </w:rPr>
          <w:t>https://www.novinky.cz/ekonomika/clanek/cinane-kvuli-koronaviru-prestali-kupovat-auta-prodeje-klesly-o-92-procent-40314206?fbclid=IwAR1_KFb7f66bcTqmbKLioS_x_LLctuIvUj5bCay38tBgUfYWnH-tGVhY8cQ</w:t>
        </w:r>
      </w:hyperlink>
    </w:p>
    <w:p w14:paraId="6266B77C" w14:textId="0E4D089F" w:rsidR="005E1578" w:rsidRPr="005E1578" w:rsidRDefault="005E1578" w:rsidP="005E1578">
      <w:pPr>
        <w:spacing w:after="240" w:line="240" w:lineRule="atLeast"/>
        <w:rPr>
          <w:szCs w:val="24"/>
        </w:rPr>
      </w:pPr>
      <w:r w:rsidRPr="005E1578">
        <w:rPr>
          <w:szCs w:val="24"/>
        </w:rPr>
        <w:t xml:space="preserve">Ekonom číslo 08 a 09 vydané </w:t>
      </w:r>
      <w:r w:rsidR="00BB06F8" w:rsidRPr="005E1578">
        <w:rPr>
          <w:szCs w:val="24"/>
        </w:rPr>
        <w:t>20. 02. 2020</w:t>
      </w:r>
    </w:p>
    <w:p w14:paraId="199A0636" w14:textId="75A690D1" w:rsidR="005E1578" w:rsidRPr="005E1578" w:rsidRDefault="00BB06F8" w:rsidP="005E1578">
      <w:pPr>
        <w:pStyle w:val="Documenttitle"/>
        <w:rPr>
          <w:rFonts w:ascii="Times New Roman" w:eastAsia="Times New Roman" w:hAnsi="Times New Roman"/>
          <w:color w:val="auto"/>
          <w:kern w:val="36"/>
          <w:sz w:val="32"/>
          <w:szCs w:val="48"/>
          <w:lang w:val="cs-CZ" w:eastAsia="cs-CZ"/>
        </w:rPr>
      </w:pPr>
      <w:r w:rsidRPr="005E1578">
        <w:rPr>
          <w:rFonts w:ascii="Times New Roman" w:eastAsia="Times New Roman" w:hAnsi="Times New Roman"/>
          <w:color w:val="auto"/>
          <w:kern w:val="36"/>
          <w:sz w:val="32"/>
          <w:szCs w:val="48"/>
          <w:lang w:val="cs-CZ" w:eastAsia="cs-CZ"/>
        </w:rPr>
        <w:t>04. 03. 2020</w:t>
      </w:r>
    </w:p>
    <w:p w14:paraId="44ED0A40" w14:textId="77777777" w:rsidR="005E1578" w:rsidRPr="005E1578" w:rsidRDefault="005E1578" w:rsidP="005E1578">
      <w:pPr>
        <w:pStyle w:val="Odstavecseseznamem"/>
        <w:numPr>
          <w:ilvl w:val="0"/>
          <w:numId w:val="718"/>
        </w:numPr>
        <w:spacing w:after="160" w:line="254" w:lineRule="auto"/>
        <w:rPr>
          <w:szCs w:val="24"/>
        </w:rPr>
      </w:pPr>
      <w:r w:rsidRPr="005E1578">
        <w:rPr>
          <w:szCs w:val="24"/>
        </w:rPr>
        <w:t>Hospodaření vlády je ve schodku za leden a únor 27,4 miliardy korun, což je nejhorší výsledek od roku 1993.</w:t>
      </w:r>
    </w:p>
    <w:p w14:paraId="54AF21C6" w14:textId="77777777" w:rsidR="005E1578" w:rsidRPr="005E1578" w:rsidRDefault="005E1578" w:rsidP="005E1578">
      <w:pPr>
        <w:pStyle w:val="Odstavecseseznamem"/>
        <w:numPr>
          <w:ilvl w:val="0"/>
          <w:numId w:val="718"/>
        </w:numPr>
        <w:spacing w:after="160" w:line="254" w:lineRule="auto"/>
        <w:rPr>
          <w:szCs w:val="24"/>
        </w:rPr>
      </w:pPr>
      <w:r w:rsidRPr="005E1578">
        <w:rPr>
          <w:szCs w:val="24"/>
        </w:rPr>
        <w:t>Burza šla trochu nahoru, díky zvýšené spotřebě obyvatel a také tím, že FED snížil úrokové sazby o 0,5%</w:t>
      </w:r>
    </w:p>
    <w:p w14:paraId="5DAF91AE" w14:textId="1A5664D6" w:rsidR="005E1578" w:rsidRPr="005E1578" w:rsidRDefault="005E1578" w:rsidP="005E1578">
      <w:pPr>
        <w:pStyle w:val="Odstavecseseznamem"/>
        <w:numPr>
          <w:ilvl w:val="0"/>
          <w:numId w:val="718"/>
        </w:numPr>
        <w:spacing w:after="160" w:line="254" w:lineRule="auto"/>
        <w:rPr>
          <w:szCs w:val="24"/>
        </w:rPr>
      </w:pPr>
      <w:r w:rsidRPr="005E1578">
        <w:rPr>
          <w:szCs w:val="24"/>
        </w:rPr>
        <w:t xml:space="preserve">Na konci ledna se i k nám dostal Coronavirus a </w:t>
      </w:r>
      <w:r w:rsidR="00BB06F8" w:rsidRPr="005E1578">
        <w:rPr>
          <w:szCs w:val="24"/>
        </w:rPr>
        <w:t>5. 3. 2020</w:t>
      </w:r>
      <w:r w:rsidRPr="005E1578">
        <w:rPr>
          <w:szCs w:val="24"/>
        </w:rPr>
        <w:t xml:space="preserve"> bylo nakaženo už 12 lidí. Co je větší hrůza než to, že je tento vir u nás je, že primátor Hřib z pirátské strany, je stále na magistrátu.</w:t>
      </w:r>
    </w:p>
    <w:p w14:paraId="33749781" w14:textId="77777777" w:rsidR="005E1578" w:rsidRPr="005E1578" w:rsidRDefault="005E1578" w:rsidP="005E1578">
      <w:pPr>
        <w:pStyle w:val="Odstavecseseznamem"/>
        <w:numPr>
          <w:ilvl w:val="0"/>
          <w:numId w:val="718"/>
        </w:numPr>
        <w:spacing w:after="160" w:line="254" w:lineRule="auto"/>
        <w:rPr>
          <w:szCs w:val="24"/>
        </w:rPr>
      </w:pPr>
      <w:r w:rsidRPr="005E1578">
        <w:rPr>
          <w:szCs w:val="24"/>
        </w:rPr>
        <w:t>Na Slovensku vyhráli volby strana Obyčejní občané a nezávislé osoby Igora Matoviče</w:t>
      </w:r>
    </w:p>
    <w:p w14:paraId="1AE4FACB" w14:textId="77777777" w:rsidR="005E1578" w:rsidRPr="005E1578" w:rsidRDefault="005E1578" w:rsidP="005E1578">
      <w:pPr>
        <w:pStyle w:val="Odstavecseseznamem"/>
        <w:numPr>
          <w:ilvl w:val="0"/>
          <w:numId w:val="718"/>
        </w:numPr>
        <w:spacing w:after="160" w:line="254" w:lineRule="auto"/>
        <w:rPr>
          <w:szCs w:val="24"/>
        </w:rPr>
      </w:pPr>
      <w:r w:rsidRPr="005E1578">
        <w:rPr>
          <w:szCs w:val="24"/>
        </w:rPr>
        <w:lastRenderedPageBreak/>
        <w:t>Erdogan namlouvá uprchlíkům fake news a úmyslně vytváří eskalace na Řecko Turecké hranici, aby zamaskoval vstup své armády na území Syrského režimu pod vedením Bashara Assada.</w:t>
      </w:r>
    </w:p>
    <w:p w14:paraId="5D7609CC" w14:textId="77777777" w:rsidR="005E1578" w:rsidRPr="005E1578" w:rsidRDefault="004430A1" w:rsidP="005E1578">
      <w:pPr>
        <w:spacing w:after="240" w:line="240" w:lineRule="atLeast"/>
        <w:rPr>
          <w:szCs w:val="24"/>
        </w:rPr>
      </w:pPr>
      <w:hyperlink r:id="rId168" w:history="1">
        <w:r w:rsidR="005E1578" w:rsidRPr="005E1578">
          <w:rPr>
            <w:rStyle w:val="Hypertextovodkaz"/>
            <w:color w:val="auto"/>
            <w:szCs w:val="24"/>
          </w:rPr>
          <w:t>https://www.novinky.cz/ekonomika/clanek/stat-hospodari-s-nejvetsim-deficitem-ve-sve-historii-40315252</w:t>
        </w:r>
      </w:hyperlink>
    </w:p>
    <w:p w14:paraId="1462BEF7" w14:textId="77777777" w:rsidR="005E1578" w:rsidRPr="005E1578" w:rsidRDefault="004430A1" w:rsidP="005E1578">
      <w:pPr>
        <w:spacing w:after="240" w:line="240" w:lineRule="atLeast"/>
        <w:rPr>
          <w:szCs w:val="24"/>
        </w:rPr>
      </w:pPr>
      <w:hyperlink r:id="rId169" w:history="1">
        <w:r w:rsidR="005E1578" w:rsidRPr="005E1578">
          <w:rPr>
            <w:rStyle w:val="Hypertextovodkaz"/>
            <w:color w:val="auto"/>
            <w:szCs w:val="24"/>
          </w:rPr>
          <w:t>https://www.novinky.cz/zahranicni/koronavirus/clanek/g7-s-akci-centralnich-bank-proti-koronaviru-nepocita-40315334</w:t>
        </w:r>
      </w:hyperlink>
    </w:p>
    <w:p w14:paraId="2B44B3C4" w14:textId="77777777" w:rsidR="005E1578" w:rsidRPr="005E1578" w:rsidRDefault="004430A1" w:rsidP="005E1578">
      <w:pPr>
        <w:spacing w:after="240" w:line="240" w:lineRule="atLeast"/>
        <w:rPr>
          <w:szCs w:val="24"/>
        </w:rPr>
      </w:pPr>
      <w:hyperlink r:id="rId170" w:history="1">
        <w:r w:rsidR="005E1578" w:rsidRPr="005E1578">
          <w:rPr>
            <w:rStyle w:val="Hypertextovodkaz"/>
            <w:color w:val="auto"/>
            <w:szCs w:val="24"/>
          </w:rPr>
          <w:t>https://www.novinky.cz/zahranicni/koronavirus/clanek/financni-injekce-proti-koronaviru-americka-centralni-banka-snizila-uroky-40315423</w:t>
        </w:r>
      </w:hyperlink>
    </w:p>
    <w:p w14:paraId="05B13C3A" w14:textId="77777777" w:rsidR="005E1578" w:rsidRPr="005E1578" w:rsidRDefault="004430A1" w:rsidP="005E1578">
      <w:pPr>
        <w:spacing w:after="240" w:line="240" w:lineRule="atLeast"/>
        <w:rPr>
          <w:szCs w:val="24"/>
        </w:rPr>
      </w:pPr>
      <w:hyperlink r:id="rId171" w:history="1">
        <w:r w:rsidR="005E1578" w:rsidRPr="005E1578">
          <w:rPr>
            <w:rStyle w:val="Hypertextovodkaz"/>
            <w:color w:val="auto"/>
            <w:szCs w:val="24"/>
          </w:rPr>
          <w:t>https://www.novinky.cz/ekonomika/clanek/prumerne-ceny-nafty-i-benzinu-dal-klesaji-40315623</w:t>
        </w:r>
      </w:hyperlink>
    </w:p>
    <w:p w14:paraId="7B601E43" w14:textId="77777777" w:rsidR="005E1578" w:rsidRPr="005E1578" w:rsidRDefault="004430A1" w:rsidP="005E1578">
      <w:pPr>
        <w:spacing w:after="240" w:line="240" w:lineRule="atLeast"/>
        <w:rPr>
          <w:szCs w:val="24"/>
        </w:rPr>
      </w:pPr>
      <w:hyperlink r:id="rId172" w:history="1">
        <w:r w:rsidR="005E1578" w:rsidRPr="005E1578">
          <w:rPr>
            <w:rStyle w:val="Hypertextovodkaz"/>
            <w:color w:val="auto"/>
            <w:szCs w:val="24"/>
          </w:rPr>
          <w:t>https://www.novinky.cz/zahranicni/evropa/clanek/slovenska-prezidentka-poverila-matovice-sestavenim-vlady-40315495</w:t>
        </w:r>
      </w:hyperlink>
    </w:p>
    <w:p w14:paraId="3175DC17" w14:textId="77777777" w:rsidR="005E1578" w:rsidRPr="005E1578" w:rsidRDefault="004430A1" w:rsidP="005E1578">
      <w:pPr>
        <w:spacing w:after="240" w:line="240" w:lineRule="atLeast"/>
        <w:rPr>
          <w:szCs w:val="24"/>
        </w:rPr>
      </w:pPr>
      <w:hyperlink r:id="rId173" w:history="1">
        <w:r w:rsidR="005E1578" w:rsidRPr="005E1578">
          <w:rPr>
            <w:rStyle w:val="Hypertextovodkaz"/>
            <w:color w:val="auto"/>
            <w:szCs w:val="24"/>
          </w:rPr>
          <w:t>https://www.novinky.cz/zahranicni/evropa/clanek/letecke-zabery-davy-migrantu-na-turecko-recke-hranici-40315658</w:t>
        </w:r>
      </w:hyperlink>
    </w:p>
    <w:p w14:paraId="118919A0" w14:textId="77777777" w:rsidR="005E1578" w:rsidRPr="005E1578" w:rsidRDefault="004430A1" w:rsidP="005E1578">
      <w:pPr>
        <w:spacing w:after="240" w:line="240" w:lineRule="atLeast"/>
        <w:rPr>
          <w:szCs w:val="24"/>
        </w:rPr>
      </w:pPr>
      <w:hyperlink r:id="rId174" w:history="1">
        <w:r w:rsidR="005E1578" w:rsidRPr="005E1578">
          <w:rPr>
            <w:rStyle w:val="Hypertextovodkaz"/>
            <w:color w:val="auto"/>
            <w:szCs w:val="24"/>
          </w:rPr>
          <w:t>https://www.novinky.cz/zahranicni/evropa/clanek/ankara-u-hranic-presouva-migranty-sem-a-tam-aby-rekum-ztizila-praci-40315638</w:t>
        </w:r>
      </w:hyperlink>
    </w:p>
    <w:p w14:paraId="53A8DC9A" w14:textId="77777777" w:rsidR="005E1578" w:rsidRPr="005E1578" w:rsidRDefault="004430A1" w:rsidP="005E1578">
      <w:pPr>
        <w:spacing w:after="240" w:line="240" w:lineRule="atLeast"/>
        <w:rPr>
          <w:szCs w:val="24"/>
        </w:rPr>
      </w:pPr>
      <w:hyperlink r:id="rId175" w:history="1">
        <w:r w:rsidR="005E1578" w:rsidRPr="005E1578">
          <w:rPr>
            <w:rStyle w:val="Hypertextovodkaz"/>
            <w:color w:val="auto"/>
            <w:szCs w:val="24"/>
          </w:rPr>
          <w:t>https://www.novinky.cz/zahranicni/koronavirus/clanek/primator-hrib-predbehl-hygieniky-ministra-i-premiera-a-ohlasil-novy-nepotvrzeny-pripad-koronaviru-40315472</w:t>
        </w:r>
      </w:hyperlink>
    </w:p>
    <w:p w14:paraId="1023D2BF" w14:textId="7957B8C1" w:rsidR="005E1578" w:rsidRPr="005E1578" w:rsidRDefault="00BB06F8" w:rsidP="005E1578">
      <w:pPr>
        <w:pStyle w:val="Nadpis1"/>
        <w:numPr>
          <w:ilvl w:val="0"/>
          <w:numId w:val="0"/>
        </w:numPr>
        <w:spacing w:after="0" w:afterAutospacing="0"/>
        <w:jc w:val="both"/>
        <w:rPr>
          <w:color w:val="auto"/>
        </w:rPr>
      </w:pPr>
      <w:bookmarkStart w:id="503" w:name="_Toc54254095"/>
      <w:r w:rsidRPr="005E1578">
        <w:rPr>
          <w:color w:val="auto"/>
        </w:rPr>
        <w:t>04. 03. 2020</w:t>
      </w:r>
      <w:bookmarkEnd w:id="503"/>
    </w:p>
    <w:p w14:paraId="495891D9" w14:textId="77777777" w:rsidR="005E1578" w:rsidRPr="005E1578" w:rsidRDefault="005E1578" w:rsidP="005E1578">
      <w:pPr>
        <w:pStyle w:val="Odstavecseseznamem"/>
        <w:numPr>
          <w:ilvl w:val="0"/>
          <w:numId w:val="723"/>
        </w:numPr>
        <w:spacing w:after="160" w:line="256" w:lineRule="auto"/>
        <w:jc w:val="left"/>
      </w:pPr>
      <w:r w:rsidRPr="005E1578">
        <w:t>Systém na elektronické dálniční známky vyjde nakonec 128 milionů. Původní zakázka, kvůli které skončil ministr dopravy Vladimír Kremlík (za ANO), měla stát 400 milionů. O nové ceně po jednání vlády informoval nový šéf resortu Karel Havlíček (za ANO).</w:t>
      </w:r>
    </w:p>
    <w:p w14:paraId="65E00EF7" w14:textId="77777777" w:rsidR="005E1578" w:rsidRPr="005E1578" w:rsidRDefault="005E1578" w:rsidP="005E1578">
      <w:pPr>
        <w:pStyle w:val="Odstavecseseznamem"/>
        <w:numPr>
          <w:ilvl w:val="0"/>
          <w:numId w:val="723"/>
        </w:numPr>
        <w:spacing w:after="160" w:line="256" w:lineRule="auto"/>
        <w:jc w:val="left"/>
      </w:pPr>
      <w:r w:rsidRPr="005E1578">
        <w:t>Kvůli negativním dopadům koronaviru na ekonomiku v úterý americká centrální banka (Fed) překvapivě snížila základní úrokovou sazbu o půl procentního bodu do pásma 1,00 až 1,25 procenta. Fed se tak rozhodl jen krátce po telekonferenci ministrů financí a guvernérů centrálních bank zemí G7.</w:t>
      </w:r>
    </w:p>
    <w:p w14:paraId="5FAB1177" w14:textId="77777777" w:rsidR="005E1578" w:rsidRPr="005E1578" w:rsidRDefault="005E1578" w:rsidP="005E1578">
      <w:pPr>
        <w:pStyle w:val="Odstavecseseznamem"/>
        <w:numPr>
          <w:ilvl w:val="0"/>
          <w:numId w:val="723"/>
        </w:numPr>
        <w:spacing w:after="160" w:line="256" w:lineRule="auto"/>
        <w:jc w:val="left"/>
      </w:pPr>
      <w:r w:rsidRPr="005E1578">
        <w:t>Hospodaření státního rozpočtu skončilo za leden a únor ve schodku 27,4 miliardy korun, uvedlo v pondělí ministerstvo financí. Jde o nejhorší únorový výsledek od roku 1993, tedy v moderní historii ČR. Vedle slabších příjmů z EU za horším hospodařením stojí i větší výdaje na sociální dávky nebo nárůst platů ve školství.</w:t>
      </w:r>
    </w:p>
    <w:p w14:paraId="40C9E61C" w14:textId="77777777" w:rsidR="005E1578" w:rsidRPr="005E1578" w:rsidRDefault="005E1578" w:rsidP="005E1578">
      <w:pPr>
        <w:pStyle w:val="Odstavecseseznamem"/>
        <w:numPr>
          <w:ilvl w:val="0"/>
          <w:numId w:val="723"/>
        </w:numPr>
        <w:spacing w:after="160" w:line="256" w:lineRule="auto"/>
        <w:jc w:val="left"/>
      </w:pPr>
      <w:r w:rsidRPr="005E1578">
        <w:t>Vyšší zdanění</w:t>
      </w:r>
    </w:p>
    <w:p w14:paraId="1C8D9EE2" w14:textId="77777777" w:rsidR="005E1578" w:rsidRPr="005E1578" w:rsidRDefault="005E1578" w:rsidP="005E1578">
      <w:pPr>
        <w:pStyle w:val="Odstavecseseznamem"/>
        <w:numPr>
          <w:ilvl w:val="1"/>
          <w:numId w:val="723"/>
        </w:numPr>
        <w:spacing w:after="160" w:line="256" w:lineRule="auto"/>
        <w:jc w:val="left"/>
      </w:pPr>
      <w:r w:rsidRPr="005E1578">
        <w:t>Rozpočtové příjmy rostly o 11,8 miliardy, stoupl výběr u daní z příjmů, spotřební daně i DPH.</w:t>
      </w:r>
    </w:p>
    <w:p w14:paraId="00150E5C" w14:textId="77777777" w:rsidR="005E1578" w:rsidRPr="005E1578" w:rsidRDefault="005E1578" w:rsidP="005E1578">
      <w:pPr>
        <w:pStyle w:val="Odstavecseseznamem"/>
        <w:numPr>
          <w:ilvl w:val="1"/>
          <w:numId w:val="723"/>
        </w:numPr>
        <w:spacing w:after="160" w:line="256" w:lineRule="auto"/>
        <w:jc w:val="left"/>
      </w:pPr>
      <w:r w:rsidRPr="005E1578">
        <w:t>Resort počítá ještě s vyššími příjmy díky další vlně EET, která začne platit od května</w:t>
      </w:r>
    </w:p>
    <w:p w14:paraId="42D4931F" w14:textId="77777777" w:rsidR="005E1578" w:rsidRPr="005E1578" w:rsidRDefault="005E1578" w:rsidP="005E1578">
      <w:pPr>
        <w:pStyle w:val="Odstavecseseznamem"/>
        <w:spacing w:after="160" w:line="256" w:lineRule="auto"/>
        <w:ind w:left="1440"/>
        <w:jc w:val="left"/>
      </w:pPr>
    </w:p>
    <w:p w14:paraId="701CF2D6" w14:textId="77777777" w:rsidR="005E1578" w:rsidRPr="005E1578" w:rsidRDefault="005E1578" w:rsidP="005E1578">
      <w:pPr>
        <w:pStyle w:val="Odstavecseseznamem"/>
        <w:spacing w:after="160" w:line="256" w:lineRule="auto"/>
        <w:ind w:left="1440"/>
        <w:jc w:val="left"/>
      </w:pPr>
    </w:p>
    <w:p w14:paraId="219CFCC5" w14:textId="1CAAB2B5" w:rsidR="005E1578" w:rsidRPr="005E1578" w:rsidRDefault="00BB06F8" w:rsidP="005E1578">
      <w:pPr>
        <w:pStyle w:val="Nadpis1"/>
        <w:numPr>
          <w:ilvl w:val="0"/>
          <w:numId w:val="0"/>
        </w:numPr>
        <w:spacing w:after="0" w:afterAutospacing="0"/>
        <w:jc w:val="both"/>
        <w:rPr>
          <w:color w:val="auto"/>
        </w:rPr>
      </w:pPr>
      <w:bookmarkStart w:id="504" w:name="_Toc54254096"/>
      <w:r w:rsidRPr="005E1578">
        <w:rPr>
          <w:color w:val="auto"/>
        </w:rPr>
        <w:lastRenderedPageBreak/>
        <w:t>12. 03. 2020</w:t>
      </w:r>
      <w:bookmarkEnd w:id="504"/>
      <w:r w:rsidR="005E1578" w:rsidRPr="005E1578">
        <w:rPr>
          <w:color w:val="auto"/>
        </w:rPr>
        <w:t xml:space="preserve"> </w:t>
      </w:r>
    </w:p>
    <w:p w14:paraId="1E99E351" w14:textId="77777777" w:rsidR="005E1578" w:rsidRPr="005E1578" w:rsidRDefault="005E1578" w:rsidP="005E1578">
      <w:pPr>
        <w:rPr>
          <w:i/>
          <w:iCs/>
          <w:sz w:val="16"/>
          <w:szCs w:val="16"/>
        </w:rPr>
      </w:pPr>
      <w:r w:rsidRPr="005E1578">
        <w:rPr>
          <w:i/>
          <w:iCs/>
          <w:sz w:val="16"/>
          <w:szCs w:val="16"/>
        </w:rPr>
        <w:t>Psané na papír, který jsem bohužel ztratil, moc mě to mrzí…</w:t>
      </w:r>
    </w:p>
    <w:p w14:paraId="10B2546C" w14:textId="77777777" w:rsidR="005E1578" w:rsidRPr="005E1578" w:rsidRDefault="005E1578" w:rsidP="005E1578">
      <w:pPr>
        <w:pStyle w:val="Odstavecseseznamem"/>
        <w:numPr>
          <w:ilvl w:val="0"/>
          <w:numId w:val="724"/>
        </w:numPr>
        <w:spacing w:after="160" w:line="256" w:lineRule="auto"/>
        <w:jc w:val="left"/>
        <w:rPr>
          <w:sz w:val="22"/>
        </w:rPr>
      </w:pPr>
      <w:r w:rsidRPr="005E1578">
        <w:t>Vyhlášení nouzového stavu pro území České republiky z důvodu ohrožení zdraví v souvislosti s prokázáním výskytu koronaviru (označovaný jako SARS CoV-2) na území České republiky od 14.00 hodin dne 12. března 2020 na dobu 30 dnů</w:t>
      </w:r>
    </w:p>
    <w:p w14:paraId="245D7D57" w14:textId="77777777" w:rsidR="005E1578" w:rsidRPr="005E1578" w:rsidRDefault="005E1578" w:rsidP="005E1578">
      <w:pPr>
        <w:spacing w:after="240" w:line="240" w:lineRule="atLeast"/>
        <w:rPr>
          <w:szCs w:val="24"/>
          <w:u w:val="single"/>
        </w:rPr>
      </w:pPr>
    </w:p>
    <w:p w14:paraId="319E3EBC" w14:textId="7569559A" w:rsidR="005E1578" w:rsidRPr="005E1578" w:rsidRDefault="00BB06F8" w:rsidP="005E1578">
      <w:pPr>
        <w:pStyle w:val="Nadpis1"/>
        <w:numPr>
          <w:ilvl w:val="0"/>
          <w:numId w:val="0"/>
        </w:numPr>
        <w:spacing w:after="0" w:afterAutospacing="0"/>
        <w:jc w:val="both"/>
        <w:rPr>
          <w:color w:val="auto"/>
        </w:rPr>
      </w:pPr>
      <w:bookmarkStart w:id="505" w:name="_Toc54254097"/>
      <w:r w:rsidRPr="005E1578">
        <w:rPr>
          <w:color w:val="auto"/>
        </w:rPr>
        <w:t>18. 03. 2020</w:t>
      </w:r>
      <w:bookmarkEnd w:id="505"/>
    </w:p>
    <w:p w14:paraId="1ED97AC1" w14:textId="77777777" w:rsidR="005E1578" w:rsidRPr="005E1578" w:rsidRDefault="005E1578" w:rsidP="005E1578">
      <w:pPr>
        <w:pStyle w:val="Odstavecseseznamem"/>
        <w:numPr>
          <w:ilvl w:val="0"/>
          <w:numId w:val="725"/>
        </w:numPr>
        <w:spacing w:after="160" w:line="256" w:lineRule="auto"/>
        <w:jc w:val="left"/>
      </w:pPr>
      <w:r w:rsidRPr="005E1578">
        <w:t>Svět zamířil do hospodářské recese</w:t>
      </w:r>
    </w:p>
    <w:p w14:paraId="18470A65" w14:textId="77777777" w:rsidR="005E1578" w:rsidRPr="005E1578" w:rsidRDefault="005E1578" w:rsidP="005E1578">
      <w:pPr>
        <w:pStyle w:val="Odstavecseseznamem"/>
        <w:numPr>
          <w:ilvl w:val="1"/>
          <w:numId w:val="725"/>
        </w:numPr>
        <w:spacing w:after="160" w:line="256" w:lineRule="auto"/>
        <w:jc w:val="left"/>
      </w:pPr>
      <w:r w:rsidRPr="005E1578">
        <w:t>Světová ekonomika zpomalovala už před koronavirem. Teď v důsledku jeho šíření a nutnosti reagovat na něj drastickými opatřeními zamířila do hospodářské recese. Shodují se na tom prakticky všichni ekonomové.</w:t>
      </w:r>
    </w:p>
    <w:p w14:paraId="786674B8" w14:textId="77777777" w:rsidR="005E1578" w:rsidRPr="005E1578" w:rsidRDefault="005E1578" w:rsidP="005E1578">
      <w:pPr>
        <w:pStyle w:val="Odstavecseseznamem"/>
        <w:numPr>
          <w:ilvl w:val="0"/>
          <w:numId w:val="725"/>
        </w:numPr>
        <w:spacing w:after="160" w:line="256" w:lineRule="auto"/>
        <w:jc w:val="left"/>
      </w:pPr>
      <w:r w:rsidRPr="005E1578">
        <w:t>Mimořádná opatření – ČNB snížila úrokovou sazbu, nevylučuje měnové intervence</w:t>
      </w:r>
    </w:p>
    <w:p w14:paraId="0D98A13F" w14:textId="77777777" w:rsidR="005E1578" w:rsidRPr="005E1578" w:rsidRDefault="005E1578" w:rsidP="005E1578">
      <w:pPr>
        <w:pStyle w:val="Odstavecseseznamem"/>
        <w:numPr>
          <w:ilvl w:val="1"/>
          <w:numId w:val="725"/>
        </w:numPr>
        <w:spacing w:after="160" w:line="256" w:lineRule="auto"/>
        <w:jc w:val="left"/>
      </w:pPr>
      <w:r w:rsidRPr="005E1578">
        <w:t>Rada ČNB na mimořádném jednání s cílem mírnit dopady epidemie koronaviru snížila jednomyslně základní úrokovou sazbu o půl procentního bodu na 1,75 procenta. Rada také uvedla, že je připravena reagovat na případné nadměrné výkyvy kurzu koruny. K mimořádnému jednání bankovní rady došlo v pondělí poté, co koruna oslabila až nad hranici 27 korun za euro</w:t>
      </w:r>
    </w:p>
    <w:p w14:paraId="336E9EAB" w14:textId="77777777" w:rsidR="005E1578" w:rsidRPr="005E1578" w:rsidRDefault="005E1578" w:rsidP="005E1578">
      <w:pPr>
        <w:pStyle w:val="Odstavecseseznamem"/>
        <w:numPr>
          <w:ilvl w:val="0"/>
          <w:numId w:val="725"/>
        </w:numPr>
        <w:spacing w:after="160" w:line="256" w:lineRule="auto"/>
        <w:jc w:val="left"/>
      </w:pPr>
      <w:r w:rsidRPr="005E1578">
        <w:t>Daňové přiznání o 3 měsíce později</w:t>
      </w:r>
    </w:p>
    <w:p w14:paraId="35C9C31D" w14:textId="77777777" w:rsidR="005E1578" w:rsidRPr="005E1578" w:rsidRDefault="005E1578" w:rsidP="005E1578">
      <w:pPr>
        <w:pStyle w:val="Odstavecseseznamem"/>
        <w:numPr>
          <w:ilvl w:val="1"/>
          <w:numId w:val="725"/>
        </w:numPr>
        <w:spacing w:after="160" w:line="256" w:lineRule="auto"/>
        <w:jc w:val="left"/>
      </w:pPr>
      <w:r w:rsidRPr="005E1578">
        <w:t>Daňové přiznání by mělo být možné bez pokuty podat nejpozději 1. července, tedy o tři měsíce později, než byl původní termín. Jedná se o součást takzvaného liberačního balíčku opatření, která mají podnikatelům a fyzickým osobám ulevit od dopadů koronaviru. Kromě toho se budou podnikatelům promíjet pokuty a poplatky.</w:t>
      </w:r>
    </w:p>
    <w:p w14:paraId="184F03D5" w14:textId="77777777" w:rsidR="005E1578" w:rsidRPr="005E1578" w:rsidRDefault="005E1578" w:rsidP="005E1578">
      <w:pPr>
        <w:pStyle w:val="Odstavecseseznamem"/>
        <w:numPr>
          <w:ilvl w:val="0"/>
          <w:numId w:val="725"/>
        </w:numPr>
        <w:spacing w:after="160" w:line="256" w:lineRule="auto"/>
        <w:jc w:val="left"/>
      </w:pPr>
      <w:r w:rsidRPr="005E1578">
        <w:t>Daňové přiznání o 3 měsíce později</w:t>
      </w:r>
    </w:p>
    <w:p w14:paraId="2A52C31E" w14:textId="77777777" w:rsidR="005E1578" w:rsidRPr="005E1578" w:rsidRDefault="005E1578" w:rsidP="005E1578">
      <w:pPr>
        <w:pStyle w:val="Odstavecseseznamem"/>
        <w:numPr>
          <w:ilvl w:val="1"/>
          <w:numId w:val="725"/>
        </w:numPr>
        <w:spacing w:after="160" w:line="256" w:lineRule="auto"/>
        <w:jc w:val="left"/>
      </w:pPr>
      <w:r w:rsidRPr="005E1578">
        <w:t>Daňové přiznání by mělo být možné bez pokuty podat nejpozději 1. července, tedy o tři měsíce později, než byl původní termín. Jedná se o součást takzvaného liberačního balíčku opatření, která mají podnikatelům a fyzickým osobám ulevit od dopadů koronaviru. Kromě toho se budou podnikatelům promíjet pokuty a poplatky.</w:t>
      </w:r>
    </w:p>
    <w:p w14:paraId="44142D57" w14:textId="0BFB386E" w:rsidR="005E1578" w:rsidRPr="005E1578" w:rsidRDefault="00BB06F8" w:rsidP="005E1578">
      <w:pPr>
        <w:pStyle w:val="Nadpis1"/>
        <w:numPr>
          <w:ilvl w:val="0"/>
          <w:numId w:val="0"/>
        </w:numPr>
        <w:spacing w:after="0" w:afterAutospacing="0"/>
        <w:jc w:val="both"/>
        <w:rPr>
          <w:color w:val="auto"/>
        </w:rPr>
      </w:pPr>
      <w:bookmarkStart w:id="506" w:name="_Toc54254098"/>
      <w:r w:rsidRPr="005E1578">
        <w:rPr>
          <w:color w:val="auto"/>
        </w:rPr>
        <w:t>25. 03. 2020</w:t>
      </w:r>
      <w:bookmarkEnd w:id="506"/>
    </w:p>
    <w:p w14:paraId="551C3B78" w14:textId="77777777" w:rsidR="005E1578" w:rsidRPr="005E1578" w:rsidRDefault="005E1578" w:rsidP="005E1578">
      <w:pPr>
        <w:pStyle w:val="Odstavecseseznamem"/>
        <w:numPr>
          <w:ilvl w:val="0"/>
          <w:numId w:val="726"/>
        </w:numPr>
        <w:spacing w:after="160" w:line="256" w:lineRule="auto"/>
        <w:jc w:val="left"/>
      </w:pPr>
      <w:r w:rsidRPr="005E1578">
        <w:t>Sněmovna schválila zvýšení schodku letošního rozpočtu se zvýší ze 40 na 200 miliard</w:t>
      </w:r>
    </w:p>
    <w:p w14:paraId="372254C5" w14:textId="77777777" w:rsidR="005E1578" w:rsidRPr="005E1578" w:rsidRDefault="005E1578" w:rsidP="005E1578">
      <w:pPr>
        <w:pStyle w:val="Odstavecseseznamem"/>
        <w:numPr>
          <w:ilvl w:val="0"/>
          <w:numId w:val="726"/>
        </w:numPr>
        <w:spacing w:after="160" w:line="256" w:lineRule="auto"/>
        <w:jc w:val="left"/>
      </w:pPr>
      <w:r w:rsidRPr="005E1578">
        <w:t>MF ČR změnilo předpověď růstu HDP z +2 % na -5 %</w:t>
      </w:r>
    </w:p>
    <w:p w14:paraId="3B1ACBCE" w14:textId="77777777" w:rsidR="005E1578" w:rsidRPr="005E1578" w:rsidRDefault="005E1578" w:rsidP="005E1578">
      <w:pPr>
        <w:pStyle w:val="Odstavecseseznamem"/>
        <w:numPr>
          <w:ilvl w:val="0"/>
          <w:numId w:val="726"/>
        </w:numPr>
        <w:spacing w:after="160" w:line="256" w:lineRule="auto"/>
        <w:jc w:val="left"/>
      </w:pPr>
      <w:r w:rsidRPr="005E1578">
        <w:t>Vláda schválila novelu zákona o České národní bance, která centrální bance uvolňuje stávající omezení v obchodech na volném trhu.</w:t>
      </w:r>
    </w:p>
    <w:p w14:paraId="0E096732" w14:textId="62495D01" w:rsidR="005E1578" w:rsidRPr="005E1578" w:rsidRDefault="005E1578" w:rsidP="005E1578">
      <w:pPr>
        <w:pStyle w:val="Odstavecseseznamem"/>
        <w:numPr>
          <w:ilvl w:val="0"/>
          <w:numId w:val="726"/>
        </w:numPr>
        <w:spacing w:after="160" w:line="256" w:lineRule="auto"/>
        <w:jc w:val="left"/>
      </w:pPr>
      <w:r w:rsidRPr="005E1578">
        <w:t>V USA byl schválen fiskální stimulační balíček ve výši přibližně 2 bilionů dolarů. Trump k tomu řekl na tiskové konferenci, že by byl rád, kdyby USA znovu normálně fungovalo okolo Velikonoc (to mu pr</w:t>
      </w:r>
      <w:r w:rsidR="002E71F5">
        <w:t>ý</w:t>
      </w:r>
      <w:r w:rsidRPr="005E1578">
        <w:t xml:space="preserve"> neklaplo).</w:t>
      </w:r>
    </w:p>
    <w:p w14:paraId="19C895F9" w14:textId="77777777" w:rsidR="005E1578" w:rsidRPr="005E1578" w:rsidRDefault="005E1578" w:rsidP="005E1578">
      <w:pPr>
        <w:pStyle w:val="Odstavecseseznamem"/>
        <w:numPr>
          <w:ilvl w:val="0"/>
          <w:numId w:val="726"/>
        </w:numPr>
        <w:spacing w:after="160" w:line="256" w:lineRule="auto"/>
        <w:jc w:val="left"/>
      </w:pPr>
      <w:r w:rsidRPr="005E1578">
        <w:t>Souhrn – změny schválené v souvislosti s opatřeními proti korona viru:</w:t>
      </w:r>
    </w:p>
    <w:p w14:paraId="3F2E3CC3" w14:textId="77777777" w:rsidR="005E1578" w:rsidRPr="005E1578" w:rsidRDefault="005E1578" w:rsidP="005E1578">
      <w:pPr>
        <w:pStyle w:val="Odstavecseseznamem"/>
        <w:numPr>
          <w:ilvl w:val="1"/>
          <w:numId w:val="726"/>
        </w:numPr>
        <w:spacing w:after="160" w:line="256" w:lineRule="auto"/>
        <w:jc w:val="left"/>
      </w:pPr>
      <w:r w:rsidRPr="005E1578">
        <w:t>Ošetřovné:</w:t>
      </w:r>
    </w:p>
    <w:p w14:paraId="6BDDCD5E" w14:textId="77777777" w:rsidR="005E1578" w:rsidRPr="005E1578" w:rsidRDefault="005E1578" w:rsidP="005E1578">
      <w:pPr>
        <w:pStyle w:val="Odstavecseseznamem"/>
        <w:numPr>
          <w:ilvl w:val="2"/>
          <w:numId w:val="726"/>
        </w:numPr>
        <w:spacing w:after="160" w:line="256" w:lineRule="auto"/>
        <w:jc w:val="left"/>
      </w:pPr>
      <w:r w:rsidRPr="005E1578">
        <w:t>pro rodiče dětí do 13 let na celou dobu uzavření škol</w:t>
      </w:r>
    </w:p>
    <w:p w14:paraId="371C88C2" w14:textId="77777777" w:rsidR="005E1578" w:rsidRPr="005E1578" w:rsidRDefault="005E1578" w:rsidP="005E1578">
      <w:pPr>
        <w:pStyle w:val="Odstavecseseznamem"/>
        <w:numPr>
          <w:ilvl w:val="2"/>
          <w:numId w:val="726"/>
        </w:numPr>
        <w:spacing w:after="160" w:line="256" w:lineRule="auto"/>
        <w:jc w:val="left"/>
      </w:pPr>
      <w:r w:rsidRPr="005E1578">
        <w:t>zůstává na 60 % redukovaného vyměřovacího základu</w:t>
      </w:r>
    </w:p>
    <w:p w14:paraId="5CB74CD2" w14:textId="77777777" w:rsidR="005E1578" w:rsidRPr="005E1578" w:rsidRDefault="005E1578" w:rsidP="005E1578">
      <w:pPr>
        <w:pStyle w:val="Odstavecseseznamem"/>
        <w:numPr>
          <w:ilvl w:val="1"/>
          <w:numId w:val="726"/>
        </w:numPr>
        <w:spacing w:after="160" w:line="256" w:lineRule="auto"/>
        <w:jc w:val="left"/>
      </w:pPr>
      <w:r w:rsidRPr="005E1578">
        <w:t>Sociální a zdravotní pojištění:</w:t>
      </w:r>
    </w:p>
    <w:p w14:paraId="7F0B0607" w14:textId="77777777" w:rsidR="005E1578" w:rsidRPr="005E1578" w:rsidRDefault="005E1578" w:rsidP="005E1578">
      <w:pPr>
        <w:pStyle w:val="Odstavecseseznamem"/>
        <w:numPr>
          <w:ilvl w:val="2"/>
          <w:numId w:val="726"/>
        </w:numPr>
        <w:spacing w:after="160" w:line="256" w:lineRule="auto"/>
        <w:jc w:val="left"/>
      </w:pPr>
      <w:r w:rsidRPr="005E1578">
        <w:lastRenderedPageBreak/>
        <w:t>odpuštění minimální výše pojištění pro OSVČ za březen až srpen</w:t>
      </w:r>
    </w:p>
    <w:p w14:paraId="64F33067" w14:textId="77777777" w:rsidR="005E1578" w:rsidRPr="005E1578" w:rsidRDefault="005E1578" w:rsidP="005E1578">
      <w:pPr>
        <w:pStyle w:val="Odstavecseseznamem"/>
        <w:numPr>
          <w:ilvl w:val="2"/>
          <w:numId w:val="726"/>
        </w:numPr>
        <w:spacing w:after="160" w:line="256" w:lineRule="auto"/>
        <w:jc w:val="left"/>
      </w:pPr>
      <w:r w:rsidRPr="005E1578">
        <w:t>možný odklad platby nad hodnotu minimálních záloh na rok 2021</w:t>
      </w:r>
    </w:p>
    <w:p w14:paraId="6094D4FB" w14:textId="77777777" w:rsidR="005E1578" w:rsidRPr="005E1578" w:rsidRDefault="005E1578" w:rsidP="005E1578">
      <w:pPr>
        <w:pStyle w:val="Odstavecseseznamem"/>
        <w:numPr>
          <w:ilvl w:val="1"/>
          <w:numId w:val="726"/>
        </w:numPr>
        <w:spacing w:after="160" w:line="256" w:lineRule="auto"/>
        <w:jc w:val="left"/>
      </w:pPr>
      <w:r w:rsidRPr="005E1578">
        <w:t>Elektronická evidence tržeb:</w:t>
      </w:r>
    </w:p>
    <w:p w14:paraId="48BB7ACC" w14:textId="77777777" w:rsidR="005E1578" w:rsidRPr="005E1578" w:rsidRDefault="005E1578" w:rsidP="005E1578">
      <w:pPr>
        <w:pStyle w:val="Odstavecseseznamem"/>
        <w:numPr>
          <w:ilvl w:val="2"/>
          <w:numId w:val="726"/>
        </w:numPr>
        <w:spacing w:after="160" w:line="256" w:lineRule="auto"/>
        <w:jc w:val="left"/>
      </w:pPr>
      <w:r w:rsidRPr="005E1578">
        <w:t>pozastavení do konce nouzového stavu a na tři následující měsíce</w:t>
      </w:r>
    </w:p>
    <w:p w14:paraId="5B62C73D" w14:textId="77777777" w:rsidR="005E1578" w:rsidRPr="005E1578" w:rsidRDefault="005E1578" w:rsidP="005E1578">
      <w:pPr>
        <w:pStyle w:val="Odstavecseseznamem"/>
        <w:numPr>
          <w:ilvl w:val="1"/>
          <w:numId w:val="726"/>
        </w:numPr>
        <w:spacing w:after="160" w:line="256" w:lineRule="auto"/>
        <w:jc w:val="left"/>
      </w:pPr>
      <w:r w:rsidRPr="005E1578">
        <w:t>Maturitní a přijímací zkoušky na střední školy:</w:t>
      </w:r>
    </w:p>
    <w:p w14:paraId="778254E9" w14:textId="77777777" w:rsidR="005E1578" w:rsidRPr="005E1578" w:rsidRDefault="005E1578" w:rsidP="005E1578">
      <w:pPr>
        <w:pStyle w:val="Odstavecseseznamem"/>
        <w:numPr>
          <w:ilvl w:val="2"/>
          <w:numId w:val="726"/>
        </w:numPr>
        <w:spacing w:after="160" w:line="256" w:lineRule="auto"/>
        <w:jc w:val="left"/>
      </w:pPr>
      <w:r w:rsidRPr="005E1578">
        <w:t>přijímací zkoušky proběhnou nejdříve dva týdny po otevření škol</w:t>
      </w:r>
    </w:p>
    <w:p w14:paraId="5E00621C" w14:textId="77777777" w:rsidR="005E1578" w:rsidRPr="005E1578" w:rsidRDefault="005E1578" w:rsidP="005E1578">
      <w:pPr>
        <w:pStyle w:val="Odstavecseseznamem"/>
        <w:numPr>
          <w:ilvl w:val="2"/>
          <w:numId w:val="726"/>
        </w:numPr>
        <w:spacing w:after="160" w:line="256" w:lineRule="auto"/>
        <w:jc w:val="left"/>
      </w:pPr>
      <w:r w:rsidRPr="005E1578">
        <w:t>maturity proběhnou týden po přijímacích zkouškách, otevřou-li se školy do 1. června</w:t>
      </w:r>
    </w:p>
    <w:p w14:paraId="4FC0A290" w14:textId="77777777" w:rsidR="005E1578" w:rsidRPr="005E1578" w:rsidRDefault="005E1578" w:rsidP="005E1578">
      <w:pPr>
        <w:pStyle w:val="Odstavecseseznamem"/>
        <w:numPr>
          <w:ilvl w:val="2"/>
          <w:numId w:val="726"/>
        </w:numPr>
        <w:spacing w:after="160" w:line="256" w:lineRule="auto"/>
        <w:jc w:val="left"/>
      </w:pPr>
      <w:r w:rsidRPr="005E1578">
        <w:t>maturity neproběhnou, neotevřou-li se školy do 1. června</w:t>
      </w:r>
    </w:p>
    <w:p w14:paraId="2C2958B6" w14:textId="77777777" w:rsidR="005E1578" w:rsidRPr="005E1578" w:rsidRDefault="005E1578" w:rsidP="005E1578">
      <w:pPr>
        <w:pStyle w:val="Odstavecseseznamem"/>
        <w:spacing w:after="160" w:line="256" w:lineRule="auto"/>
        <w:ind w:left="2160"/>
        <w:jc w:val="left"/>
      </w:pPr>
    </w:p>
    <w:p w14:paraId="493D1542" w14:textId="77777777" w:rsidR="005E1578" w:rsidRPr="005E1578" w:rsidRDefault="005E1578" w:rsidP="005E1578">
      <w:pPr>
        <w:pStyle w:val="Odstavecseseznamem"/>
        <w:numPr>
          <w:ilvl w:val="0"/>
          <w:numId w:val="726"/>
        </w:numPr>
        <w:spacing w:line="240" w:lineRule="auto"/>
      </w:pPr>
      <w:r w:rsidRPr="005E1578">
        <w:t>Sněmovna schválila změnu schodku státního rozpočtu ze 40 na 200 miliard. Schváleno bylo také odpuštění sociálního (2 544 Kč) a zdravotního (2 352 Kč) pojištění pro OSVČ na půl roku. Očekává se pokles příjmů o 90 miliard a nárůst výdajů o 70 miliard. Podle Aleny Schillerové si ČR takový rozpočet může dovolit :D.</w:t>
      </w:r>
    </w:p>
    <w:p w14:paraId="47656855" w14:textId="77777777" w:rsidR="005E1578" w:rsidRPr="005E1578" w:rsidRDefault="005E1578" w:rsidP="005E1578">
      <w:pPr>
        <w:pStyle w:val="Odstavecseseznamem"/>
        <w:spacing w:line="240" w:lineRule="auto"/>
      </w:pPr>
    </w:p>
    <w:p w14:paraId="1860592D" w14:textId="77777777" w:rsidR="005E1578" w:rsidRPr="005E1578" w:rsidRDefault="005E1578" w:rsidP="005E1578">
      <w:pPr>
        <w:pStyle w:val="Odstavecseseznamem"/>
        <w:numPr>
          <w:ilvl w:val="0"/>
          <w:numId w:val="726"/>
        </w:numPr>
        <w:spacing w:line="240" w:lineRule="auto"/>
      </w:pPr>
      <w:r w:rsidRPr="005E1578">
        <w:t>ČNB bude moci nakupovat dluhopisy s delší splatností (nyní maximálně 1 rok) a více subjektů (nyní banky, spořitelny a družstva). Nově bude moci nakupovat od pojišťoven, penzijních spol. nebo dalších investorů, kteří drží státní dluhopisy. ČNB bude mít tuto možnost pro případ, kdy by nebyl o dluhopisy zájem.</w:t>
      </w:r>
    </w:p>
    <w:p w14:paraId="4349D416" w14:textId="77777777" w:rsidR="005E1578" w:rsidRPr="005E1578" w:rsidRDefault="005E1578" w:rsidP="005E1578">
      <w:pPr>
        <w:pStyle w:val="Odstavecseseznamem"/>
      </w:pPr>
    </w:p>
    <w:p w14:paraId="025A2770" w14:textId="77777777" w:rsidR="005E1578" w:rsidRPr="005E1578" w:rsidRDefault="005E1578" w:rsidP="005E1578">
      <w:pPr>
        <w:spacing w:after="160" w:line="256" w:lineRule="auto"/>
        <w:jc w:val="left"/>
      </w:pPr>
    </w:p>
    <w:p w14:paraId="57A7A630" w14:textId="3F2C055C" w:rsidR="005E1578" w:rsidRPr="005E1578" w:rsidRDefault="002E71F5" w:rsidP="005E1578">
      <w:pPr>
        <w:pStyle w:val="Nadpis1"/>
        <w:numPr>
          <w:ilvl w:val="0"/>
          <w:numId w:val="0"/>
        </w:numPr>
        <w:spacing w:after="0" w:afterAutospacing="0"/>
        <w:jc w:val="both"/>
        <w:rPr>
          <w:color w:val="auto"/>
        </w:rPr>
      </w:pPr>
      <w:bookmarkStart w:id="507" w:name="_Toc54254099"/>
      <w:r w:rsidRPr="005E1578">
        <w:rPr>
          <w:color w:val="auto"/>
        </w:rPr>
        <w:t>01. 04. 2020</w:t>
      </w:r>
      <w:bookmarkEnd w:id="507"/>
    </w:p>
    <w:p w14:paraId="559F699D" w14:textId="77777777" w:rsidR="005E1578" w:rsidRPr="005E1578" w:rsidRDefault="005E1578" w:rsidP="005E1578">
      <w:pPr>
        <w:pStyle w:val="Odstavecseseznamem"/>
        <w:numPr>
          <w:ilvl w:val="0"/>
          <w:numId w:val="727"/>
        </w:numPr>
        <w:spacing w:after="160" w:line="256" w:lineRule="auto"/>
        <w:jc w:val="left"/>
      </w:pPr>
      <w:r w:rsidRPr="005E1578">
        <w:t>Přebytek veřejných financí klesl</w:t>
      </w:r>
    </w:p>
    <w:p w14:paraId="5FA38546" w14:textId="77777777" w:rsidR="005E1578" w:rsidRPr="005E1578" w:rsidRDefault="005E1578" w:rsidP="005E1578">
      <w:pPr>
        <w:pStyle w:val="Odstavecseseznamem"/>
        <w:numPr>
          <w:ilvl w:val="1"/>
          <w:numId w:val="727"/>
        </w:numPr>
        <w:spacing w:after="160" w:line="256" w:lineRule="auto"/>
        <w:jc w:val="left"/>
      </w:pPr>
      <w:r w:rsidRPr="005E1578">
        <w:t>Přebytek veřejných financí loni klesl na 0,3 procenta hrubého domácího produktu (HDP) z předloňských 0,9 procenta HDP.</w:t>
      </w:r>
    </w:p>
    <w:p w14:paraId="1F3CB515" w14:textId="77777777" w:rsidR="005E1578" w:rsidRPr="005E1578" w:rsidRDefault="005E1578" w:rsidP="005E1578">
      <w:pPr>
        <w:pStyle w:val="Odstavecseseznamem"/>
        <w:numPr>
          <w:ilvl w:val="0"/>
          <w:numId w:val="727"/>
        </w:numPr>
        <w:spacing w:after="160" w:line="256" w:lineRule="auto"/>
        <w:jc w:val="left"/>
      </w:pPr>
      <w:r w:rsidRPr="005E1578">
        <w:t>Vláda schválila kurzarbeit</w:t>
      </w:r>
    </w:p>
    <w:p w14:paraId="76FBBA9F" w14:textId="21C13094" w:rsidR="005E1578" w:rsidRPr="005E1578" w:rsidRDefault="005E1578" w:rsidP="005E1578">
      <w:pPr>
        <w:pStyle w:val="Odstavecseseznamem"/>
        <w:numPr>
          <w:ilvl w:val="1"/>
          <w:numId w:val="727"/>
        </w:numPr>
        <w:spacing w:after="160" w:line="256" w:lineRule="auto"/>
        <w:jc w:val="left"/>
      </w:pPr>
      <w:r w:rsidRPr="005E1578">
        <w:t>Vláda schválila, aby stát vyplácel zaměstnavatelům dva příspěvky na mzdy.</w:t>
      </w:r>
      <w:r w:rsidR="003376E1">
        <w:t xml:space="preserve"> </w:t>
      </w:r>
      <w:r w:rsidRPr="005E1578">
        <w:t>Cílem je zajistit, aby firmy nepropouštěly lidi. Chtějí udržet firmy v provozu, aby po skončení krizové situace mohly znovu rozjet provoz.</w:t>
      </w:r>
    </w:p>
    <w:p w14:paraId="3233575B" w14:textId="77777777" w:rsidR="005E1578" w:rsidRPr="005E1578" w:rsidRDefault="005E1578" w:rsidP="005E1578">
      <w:pPr>
        <w:pStyle w:val="Odstavecseseznamem"/>
        <w:numPr>
          <w:ilvl w:val="1"/>
          <w:numId w:val="727"/>
        </w:numPr>
        <w:spacing w:after="160" w:line="256" w:lineRule="auto"/>
        <w:jc w:val="left"/>
      </w:pPr>
      <w:r w:rsidRPr="005E1578">
        <w:t xml:space="preserve">80 % z vyplacené náhrady mzdy včetně odvodů bude stát vyplácet zaměstnavateli, který musel uzavřít svůj podnik či omezit jeho provoz kvůli krizovým opatřením či nařízené karanténě. </w:t>
      </w:r>
    </w:p>
    <w:p w14:paraId="76AAFF9E" w14:textId="77777777" w:rsidR="005E1578" w:rsidRPr="005E1578" w:rsidRDefault="005E1578" w:rsidP="005E1578">
      <w:pPr>
        <w:pStyle w:val="Odstavecseseznamem"/>
        <w:numPr>
          <w:ilvl w:val="1"/>
          <w:numId w:val="727"/>
        </w:numPr>
        <w:spacing w:after="160" w:line="256" w:lineRule="auto"/>
        <w:jc w:val="left"/>
      </w:pPr>
      <w:r w:rsidRPr="005E1578">
        <w:t>Státní příspěvek ve výši 60 % pak bude vyplácen těm zaměstnavatelům, kteří kvůli koronaviru trpí hospodářskými potížemi. Konkrétně tak bude příspěvek vyplácet při výpadku pracovníků a surovin či snížení poptávky. Podpora se stanoví ze superhrubé mzdy.</w:t>
      </w:r>
    </w:p>
    <w:p w14:paraId="191D4E21" w14:textId="77777777" w:rsidR="005E1578" w:rsidRPr="005E1578" w:rsidRDefault="005E1578" w:rsidP="005E1578">
      <w:pPr>
        <w:pStyle w:val="Odstavecseseznamem"/>
        <w:numPr>
          <w:ilvl w:val="1"/>
          <w:numId w:val="727"/>
        </w:numPr>
        <w:spacing w:after="160" w:line="256" w:lineRule="auto"/>
        <w:jc w:val="left"/>
      </w:pPr>
      <w:r w:rsidRPr="005E1578">
        <w:t>Ministerstvo práce výdaje za dva březnové týdny spočítalo na 10,9 miliardy korun.</w:t>
      </w:r>
    </w:p>
    <w:p w14:paraId="144B1A0A" w14:textId="77777777" w:rsidR="005E1578" w:rsidRPr="005E1578" w:rsidRDefault="005E1578" w:rsidP="005E1578">
      <w:pPr>
        <w:pStyle w:val="Odstavecseseznamem"/>
        <w:numPr>
          <w:ilvl w:val="1"/>
          <w:numId w:val="727"/>
        </w:numPr>
        <w:spacing w:after="160" w:line="256" w:lineRule="auto"/>
        <w:jc w:val="left"/>
      </w:pPr>
      <w:r w:rsidRPr="005E1578">
        <w:t>Vláda také schválila jednorázový příspěvek pro OSVČ na hlavním i vedlejším pracovním poměru 25 tisíc korun, a to také od 12. března do konce dubna.</w:t>
      </w:r>
    </w:p>
    <w:p w14:paraId="2032A124" w14:textId="77777777" w:rsidR="005E1578" w:rsidRPr="005E1578" w:rsidRDefault="005E1578" w:rsidP="005E1578">
      <w:pPr>
        <w:pStyle w:val="Odstavecseseznamem"/>
        <w:numPr>
          <w:ilvl w:val="0"/>
          <w:numId w:val="727"/>
        </w:numPr>
        <w:spacing w:after="160" w:line="256" w:lineRule="auto"/>
        <w:jc w:val="left"/>
      </w:pPr>
      <w:r w:rsidRPr="005E1578">
        <w:t>Nezaměstnanost v Česku v únoru stagnovala na rekordně nízkých úrovních</w:t>
      </w:r>
    </w:p>
    <w:p w14:paraId="515C9BB2" w14:textId="77777777" w:rsidR="005E1578" w:rsidRPr="005E1578" w:rsidRDefault="005E1578" w:rsidP="005E1578">
      <w:pPr>
        <w:pStyle w:val="Odstavecseseznamem"/>
        <w:numPr>
          <w:ilvl w:val="1"/>
          <w:numId w:val="727"/>
        </w:numPr>
        <w:spacing w:after="160" w:line="256" w:lineRule="auto"/>
        <w:jc w:val="left"/>
      </w:pPr>
      <w:r w:rsidRPr="005E1578">
        <w:t>Míra nezaměstnanosti v Česku činila v únoru 2 %. Meziročně se tak nezaměstnanost v podstatě nezměnila.</w:t>
      </w:r>
    </w:p>
    <w:p w14:paraId="68CDEFA7" w14:textId="77777777" w:rsidR="005E1578" w:rsidRPr="005E1578" w:rsidRDefault="005E1578" w:rsidP="005E1578">
      <w:pPr>
        <w:pStyle w:val="Odstavecseseznamem"/>
        <w:numPr>
          <w:ilvl w:val="1"/>
          <w:numId w:val="727"/>
        </w:numPr>
        <w:spacing w:after="160" w:line="256" w:lineRule="auto"/>
        <w:jc w:val="left"/>
      </w:pPr>
      <w:r w:rsidRPr="005E1578">
        <w:t>Čeká se na dopad epidemie na nezaměstnanost. Česká ekonomika může podle odhadů Deloitte letos klesnout o deset procent.</w:t>
      </w:r>
    </w:p>
    <w:p w14:paraId="3F6FBA67" w14:textId="77777777" w:rsidR="005E1578" w:rsidRPr="005E1578" w:rsidRDefault="005E1578" w:rsidP="005E1578">
      <w:pPr>
        <w:pStyle w:val="Nadpis1"/>
        <w:numPr>
          <w:ilvl w:val="0"/>
          <w:numId w:val="0"/>
        </w:numPr>
        <w:spacing w:before="0" w:beforeAutospacing="0" w:after="0" w:afterAutospacing="0"/>
        <w:jc w:val="both"/>
        <w:rPr>
          <w:color w:val="auto"/>
        </w:rPr>
      </w:pPr>
      <w:bookmarkStart w:id="508" w:name="_Toc54254100"/>
      <w:r w:rsidRPr="005E1578">
        <w:rPr>
          <w:color w:val="auto"/>
        </w:rPr>
        <w:lastRenderedPageBreak/>
        <w:t>08. 04. 2020</w:t>
      </w:r>
      <w:bookmarkEnd w:id="508"/>
    </w:p>
    <w:p w14:paraId="3C4EC800" w14:textId="77777777" w:rsidR="005E1578" w:rsidRPr="005E1578" w:rsidRDefault="005E1578" w:rsidP="005E1578">
      <w:pPr>
        <w:pStyle w:val="Odstavecseseznamem"/>
        <w:numPr>
          <w:ilvl w:val="0"/>
          <w:numId w:val="719"/>
        </w:numPr>
        <w:spacing w:after="240" w:line="240" w:lineRule="atLeast"/>
        <w:jc w:val="left"/>
        <w:rPr>
          <w:szCs w:val="24"/>
        </w:rPr>
      </w:pPr>
      <w:r w:rsidRPr="005E1578">
        <w:rPr>
          <w:szCs w:val="24"/>
        </w:rPr>
        <w:t>2 dubna začal program na podporu podniků v ČR s názvem COVID II. Balíček činní 1,5 miliardy.</w:t>
      </w:r>
    </w:p>
    <w:p w14:paraId="355B85E3" w14:textId="77777777" w:rsidR="005E1578" w:rsidRPr="005E1578" w:rsidRDefault="005E1578" w:rsidP="005E1578">
      <w:pPr>
        <w:pStyle w:val="Odstavecseseznamem"/>
        <w:numPr>
          <w:ilvl w:val="0"/>
          <w:numId w:val="719"/>
        </w:numPr>
        <w:spacing w:after="240" w:line="240" w:lineRule="atLeast"/>
        <w:jc w:val="left"/>
        <w:rPr>
          <w:szCs w:val="24"/>
        </w:rPr>
      </w:pPr>
      <w:r w:rsidRPr="005E1578">
        <w:rPr>
          <w:szCs w:val="24"/>
        </w:rPr>
        <w:t>Evropská komise aktualizovala index důvěry eurozóny, který se snížil o 8,9 bodů a index očekávání zaměstnanosti, který se také snížil o 10 bodů.</w:t>
      </w:r>
    </w:p>
    <w:p w14:paraId="132C1FCC" w14:textId="77777777" w:rsidR="005E1578" w:rsidRPr="005E1578" w:rsidRDefault="005E1578" w:rsidP="005E1578">
      <w:pPr>
        <w:pStyle w:val="Odstavecseseznamem"/>
        <w:numPr>
          <w:ilvl w:val="0"/>
          <w:numId w:val="719"/>
        </w:numPr>
        <w:spacing w:after="240" w:line="240" w:lineRule="atLeast"/>
        <w:jc w:val="left"/>
        <w:rPr>
          <w:szCs w:val="24"/>
        </w:rPr>
      </w:pPr>
      <w:r w:rsidRPr="005E1578">
        <w:rPr>
          <w:szCs w:val="24"/>
        </w:rPr>
        <w:t>Moodys investors vydal odhad o snížení automobilového průmyslu o 2 % a snížení poptávky po autech o 14% v Evropě.</w:t>
      </w:r>
    </w:p>
    <w:p w14:paraId="1ECC8FC8" w14:textId="77777777" w:rsidR="005E1578" w:rsidRPr="005E1578" w:rsidRDefault="005E1578" w:rsidP="005E1578">
      <w:pPr>
        <w:pStyle w:val="Odstavecseseznamem"/>
        <w:numPr>
          <w:ilvl w:val="0"/>
          <w:numId w:val="719"/>
        </w:numPr>
        <w:spacing w:after="240" w:line="240" w:lineRule="atLeast"/>
        <w:jc w:val="left"/>
        <w:rPr>
          <w:szCs w:val="24"/>
        </w:rPr>
      </w:pPr>
      <w:r w:rsidRPr="005E1578">
        <w:rPr>
          <w:szCs w:val="24"/>
        </w:rPr>
        <w:t>Banky v eurozóně nebudou vyplácet dividendy, protože očekávají budoucí náklady spojené s korona virem.</w:t>
      </w:r>
    </w:p>
    <w:p w14:paraId="28B4A7C0" w14:textId="185D05A2" w:rsidR="005E1578" w:rsidRPr="005E1578" w:rsidRDefault="005E1578" w:rsidP="005E1578">
      <w:pPr>
        <w:pStyle w:val="Odstavecseseznamem"/>
        <w:numPr>
          <w:ilvl w:val="0"/>
          <w:numId w:val="719"/>
        </w:numPr>
        <w:spacing w:after="240" w:line="240" w:lineRule="atLeast"/>
        <w:jc w:val="left"/>
        <w:rPr>
          <w:szCs w:val="24"/>
        </w:rPr>
      </w:pPr>
      <w:r w:rsidRPr="005E1578">
        <w:rPr>
          <w:szCs w:val="24"/>
        </w:rPr>
        <w:t>Poslanci změnili zákon o rozpočtové odpovědnosti. Maximální deficit byl předtím zvolen na 1% HDP a změněn byl na 4% HDP ročně.</w:t>
      </w:r>
      <w:r w:rsidR="003376E1">
        <w:rPr>
          <w:szCs w:val="24"/>
        </w:rPr>
        <w:t xml:space="preserve"> </w:t>
      </w:r>
      <w:r w:rsidRPr="005E1578">
        <w:rPr>
          <w:szCs w:val="24"/>
        </w:rPr>
        <w:t>Zatím k březnu odsouhlasen deficit 200 miliard.</w:t>
      </w:r>
    </w:p>
    <w:p w14:paraId="35943E27" w14:textId="77777777" w:rsidR="005E1578" w:rsidRPr="005E1578" w:rsidRDefault="005E1578" w:rsidP="005E1578">
      <w:pPr>
        <w:pStyle w:val="Odstavecseseznamem"/>
        <w:numPr>
          <w:ilvl w:val="0"/>
          <w:numId w:val="719"/>
        </w:numPr>
        <w:spacing w:after="240" w:line="240" w:lineRule="atLeast"/>
        <w:jc w:val="left"/>
        <w:rPr>
          <w:szCs w:val="24"/>
        </w:rPr>
      </w:pPr>
      <w:r w:rsidRPr="005E1578">
        <w:rPr>
          <w:szCs w:val="24"/>
        </w:rPr>
        <w:t>Novela zákona o ČNB, které teď může nakupovat dluhopisy s dlouhodobou splatností 7, 10, 15 let.</w:t>
      </w:r>
    </w:p>
    <w:p w14:paraId="13212A00" w14:textId="77777777" w:rsidR="005E1578" w:rsidRPr="005E1578" w:rsidRDefault="005E1578" w:rsidP="005E1578">
      <w:pPr>
        <w:pStyle w:val="Odstavecseseznamem"/>
        <w:numPr>
          <w:ilvl w:val="0"/>
          <w:numId w:val="719"/>
        </w:numPr>
        <w:spacing w:after="240" w:line="240" w:lineRule="atLeast"/>
        <w:jc w:val="left"/>
        <w:rPr>
          <w:szCs w:val="24"/>
        </w:rPr>
      </w:pPr>
      <w:r w:rsidRPr="005E1578">
        <w:rPr>
          <w:szCs w:val="24"/>
        </w:rPr>
        <w:t>Nezaměstnanost je na 3% v ČR</w:t>
      </w:r>
      <w:r w:rsidRPr="005E1578">
        <w:rPr>
          <w:szCs w:val="24"/>
        </w:rPr>
        <w:tab/>
        <w:t xml:space="preserve"> a v EU 6,5%. A však za poslední dva týdny přibyl v EU 1milion nezaměstnaných.</w:t>
      </w:r>
    </w:p>
    <w:p w14:paraId="7A54EE94" w14:textId="77777777" w:rsidR="005E1578" w:rsidRPr="005E1578" w:rsidRDefault="004430A1" w:rsidP="005E1578">
      <w:pPr>
        <w:spacing w:after="240" w:line="240" w:lineRule="atLeast"/>
        <w:ind w:left="360"/>
        <w:jc w:val="left"/>
        <w:rPr>
          <w:szCs w:val="24"/>
        </w:rPr>
      </w:pPr>
      <w:hyperlink r:id="rId176" w:history="1">
        <w:r w:rsidR="005E1578" w:rsidRPr="005E1578">
          <w:rPr>
            <w:rStyle w:val="Hypertextovodkaz"/>
            <w:color w:val="auto"/>
            <w:szCs w:val="24"/>
          </w:rPr>
          <w:t>https://www.irozhlas.cz/zpravy-domov/korupce-index-vnimani-korupce-transparency-international-andrej-babis_2001230633_ako</w:t>
        </w:r>
      </w:hyperlink>
    </w:p>
    <w:p w14:paraId="2751A6E4" w14:textId="77777777" w:rsidR="005E1578" w:rsidRPr="005E1578" w:rsidRDefault="004430A1" w:rsidP="005E1578">
      <w:pPr>
        <w:spacing w:after="240" w:line="240" w:lineRule="atLeast"/>
        <w:ind w:left="360"/>
        <w:jc w:val="left"/>
        <w:rPr>
          <w:szCs w:val="24"/>
        </w:rPr>
      </w:pPr>
      <w:hyperlink r:id="rId177" w:history="1">
        <w:r w:rsidR="005E1578" w:rsidRPr="005E1578">
          <w:rPr>
            <w:rStyle w:val="Hypertextovodkaz"/>
            <w:color w:val="auto"/>
            <w:szCs w:val="24"/>
          </w:rPr>
          <w:t>https://www.irozhlas.cz/ekonomika/usa-ekonomicka-krize-rust-nezamestnanosti_2004021455_wei</w:t>
        </w:r>
      </w:hyperlink>
    </w:p>
    <w:p w14:paraId="027C4DE0" w14:textId="77777777" w:rsidR="005E1578" w:rsidRPr="005E1578" w:rsidRDefault="004430A1" w:rsidP="005E1578">
      <w:pPr>
        <w:spacing w:after="240" w:line="240" w:lineRule="atLeast"/>
        <w:ind w:left="360"/>
        <w:jc w:val="left"/>
        <w:rPr>
          <w:szCs w:val="24"/>
        </w:rPr>
      </w:pPr>
      <w:hyperlink r:id="rId178" w:history="1">
        <w:r w:rsidR="005E1578" w:rsidRPr="005E1578">
          <w:rPr>
            <w:rStyle w:val="Hypertextovodkaz"/>
            <w:color w:val="auto"/>
            <w:szCs w:val="24"/>
          </w:rPr>
          <w:t>https://www.novinky.cz/ekonomika/clanek/cnb-bude-moci-kupovat-statni-dluhopisy-s-delsi-splatnosti-schvalili-poslanci-40319909</w:t>
        </w:r>
      </w:hyperlink>
    </w:p>
    <w:p w14:paraId="75C44411" w14:textId="77777777" w:rsidR="005E1578" w:rsidRPr="005E1578" w:rsidRDefault="004430A1" w:rsidP="005E1578">
      <w:pPr>
        <w:spacing w:after="240" w:line="240" w:lineRule="atLeast"/>
        <w:ind w:left="360"/>
        <w:jc w:val="left"/>
        <w:rPr>
          <w:szCs w:val="24"/>
        </w:rPr>
      </w:pPr>
      <w:hyperlink r:id="rId179" w:history="1">
        <w:r w:rsidR="005E1578" w:rsidRPr="005E1578">
          <w:rPr>
            <w:rStyle w:val="Hypertextovodkaz"/>
            <w:color w:val="auto"/>
            <w:szCs w:val="24"/>
          </w:rPr>
          <w:t>https://www.novinky.cz/domaci/clanek/stat-se-bude-moct-zadluzovat-poslanci-zmenili-zakon-o-rozpoctove-odpovednosti-40319912</w:t>
        </w:r>
      </w:hyperlink>
    </w:p>
    <w:p w14:paraId="05743B24" w14:textId="469494A2" w:rsidR="005E1578" w:rsidRPr="005E1578" w:rsidRDefault="002E71F5" w:rsidP="005E1578">
      <w:pPr>
        <w:pStyle w:val="Nadpis1"/>
        <w:numPr>
          <w:ilvl w:val="0"/>
          <w:numId w:val="0"/>
        </w:numPr>
        <w:spacing w:after="0" w:afterAutospacing="0"/>
        <w:jc w:val="both"/>
        <w:rPr>
          <w:color w:val="auto"/>
        </w:rPr>
      </w:pPr>
      <w:bookmarkStart w:id="509" w:name="_Toc54254101"/>
      <w:r w:rsidRPr="005E1578">
        <w:rPr>
          <w:color w:val="auto"/>
        </w:rPr>
        <w:t>08. 04. 2020</w:t>
      </w:r>
      <w:bookmarkEnd w:id="509"/>
    </w:p>
    <w:p w14:paraId="570D7AF7" w14:textId="77777777" w:rsidR="005E1578" w:rsidRPr="005E1578" w:rsidRDefault="005E1578" w:rsidP="005E1578">
      <w:pPr>
        <w:pStyle w:val="Odstavecseseznamem"/>
        <w:numPr>
          <w:ilvl w:val="0"/>
          <w:numId w:val="728"/>
        </w:numPr>
        <w:spacing w:after="160" w:line="256" w:lineRule="auto"/>
        <w:jc w:val="left"/>
      </w:pPr>
      <w:r w:rsidRPr="005E1578">
        <w:t>Stav nouze prodloužen do konce dubna</w:t>
      </w:r>
    </w:p>
    <w:p w14:paraId="3B3339FC" w14:textId="48A2DC96" w:rsidR="005E1578" w:rsidRPr="005E1578" w:rsidRDefault="005E1578" w:rsidP="005E1578">
      <w:pPr>
        <w:pStyle w:val="Odstavecseseznamem"/>
        <w:numPr>
          <w:ilvl w:val="0"/>
          <w:numId w:val="728"/>
        </w:numPr>
        <w:spacing w:after="160" w:line="256" w:lineRule="auto"/>
        <w:jc w:val="left"/>
      </w:pPr>
      <w:r w:rsidRPr="005E1578">
        <w:t xml:space="preserve">Od </w:t>
      </w:r>
      <w:r w:rsidR="002E71F5" w:rsidRPr="005E1578">
        <w:t>9. 4</w:t>
      </w:r>
      <w:r w:rsidRPr="005E1578">
        <w:t>. zmírnění karantény – otevírají hobby markety, papírnictví</w:t>
      </w:r>
    </w:p>
    <w:p w14:paraId="374453BC" w14:textId="0FD55A5E" w:rsidR="005E1578" w:rsidRPr="005E1578" w:rsidRDefault="005E1578" w:rsidP="005E1578">
      <w:pPr>
        <w:pStyle w:val="Odstavecseseznamem"/>
        <w:numPr>
          <w:ilvl w:val="0"/>
          <w:numId w:val="728"/>
        </w:numPr>
        <w:spacing w:after="160" w:line="256" w:lineRule="auto"/>
        <w:jc w:val="left"/>
      </w:pPr>
      <w:r w:rsidRPr="005E1578">
        <w:t xml:space="preserve">Sněmovna schválila příspěvek pro OSVČ od 12.3. do </w:t>
      </w:r>
      <w:r w:rsidR="002E71F5" w:rsidRPr="005E1578">
        <w:t>30. 4</w:t>
      </w:r>
      <w:r w:rsidRPr="005E1578">
        <w:t xml:space="preserve">. </w:t>
      </w:r>
      <w:r w:rsidR="002E71F5" w:rsidRPr="005E1578">
        <w:t>max.</w:t>
      </w:r>
      <w:r w:rsidRPr="005E1578">
        <w:t xml:space="preserve"> 25 000</w:t>
      </w:r>
    </w:p>
    <w:p w14:paraId="534D2F4F" w14:textId="77777777" w:rsidR="005E1578" w:rsidRPr="005E1578" w:rsidRDefault="005E1578" w:rsidP="005E1578">
      <w:pPr>
        <w:pStyle w:val="Odstavecseseznamem"/>
        <w:numPr>
          <w:ilvl w:val="0"/>
          <w:numId w:val="728"/>
        </w:numPr>
        <w:spacing w:after="160" w:line="256" w:lineRule="auto"/>
        <w:jc w:val="left"/>
      </w:pPr>
      <w:r w:rsidRPr="005E1578">
        <w:t>MPSV uvedlo, že nezaměstnanost za březen zůstává 3 %</w:t>
      </w:r>
    </w:p>
    <w:p w14:paraId="531CC5A3" w14:textId="77777777" w:rsidR="005E1578" w:rsidRPr="005E1578" w:rsidRDefault="005E1578" w:rsidP="005E1578">
      <w:pPr>
        <w:pStyle w:val="Odstavecseseznamem"/>
        <w:numPr>
          <w:ilvl w:val="0"/>
          <w:numId w:val="728"/>
        </w:numPr>
        <w:spacing w:after="160" w:line="256" w:lineRule="auto"/>
        <w:jc w:val="left"/>
      </w:pPr>
      <w:r w:rsidRPr="005E1578">
        <w:t>Program Antivirus (kurzarbeit)</w:t>
      </w:r>
    </w:p>
    <w:p w14:paraId="11D6D330" w14:textId="77777777" w:rsidR="005E1578" w:rsidRPr="005E1578" w:rsidRDefault="005E1578" w:rsidP="005E1578">
      <w:pPr>
        <w:pStyle w:val="Odstavecseseznamem"/>
        <w:numPr>
          <w:ilvl w:val="1"/>
          <w:numId w:val="728"/>
        </w:numPr>
        <w:spacing w:after="160" w:line="256" w:lineRule="auto"/>
        <w:jc w:val="left"/>
      </w:pPr>
      <w:r w:rsidRPr="005E1578">
        <w:t xml:space="preserve"> jedná se o program náhrady mezd zaměstnanců, má bránit propouštění</w:t>
      </w:r>
    </w:p>
    <w:p w14:paraId="79708B29" w14:textId="45573D6B" w:rsidR="005E1578" w:rsidRPr="005E1578" w:rsidRDefault="005E1578" w:rsidP="005E1578">
      <w:pPr>
        <w:pStyle w:val="Odstavecseseznamem"/>
        <w:numPr>
          <w:ilvl w:val="1"/>
          <w:numId w:val="728"/>
        </w:numPr>
        <w:spacing w:after="160" w:line="256" w:lineRule="auto"/>
        <w:jc w:val="left"/>
      </w:pPr>
      <w:r w:rsidRPr="005E1578">
        <w:t xml:space="preserve">Odhadovaná výše 11 </w:t>
      </w:r>
      <w:r w:rsidR="002E71F5" w:rsidRPr="005E1578">
        <w:t>mld.</w:t>
      </w:r>
      <w:r w:rsidRPr="005E1578">
        <w:t xml:space="preserve"> za duben</w:t>
      </w:r>
    </w:p>
    <w:p w14:paraId="6D97A2F8" w14:textId="77777777" w:rsidR="005E1578" w:rsidRPr="005E1578" w:rsidRDefault="005E1578" w:rsidP="005E1578">
      <w:pPr>
        <w:pStyle w:val="Odstavecseseznamem"/>
        <w:numPr>
          <w:ilvl w:val="1"/>
          <w:numId w:val="728"/>
        </w:numPr>
        <w:spacing w:after="160" w:line="256" w:lineRule="auto"/>
        <w:jc w:val="left"/>
      </w:pPr>
      <w:r w:rsidRPr="005E1578">
        <w:t>Chybovost 30 %</w:t>
      </w:r>
    </w:p>
    <w:p w14:paraId="6D5406B1" w14:textId="46C22741" w:rsidR="005E1578" w:rsidRPr="005E1578" w:rsidRDefault="002E71F5" w:rsidP="005E1578">
      <w:pPr>
        <w:pStyle w:val="Nadpis1"/>
        <w:numPr>
          <w:ilvl w:val="0"/>
          <w:numId w:val="0"/>
        </w:numPr>
        <w:spacing w:after="0" w:afterAutospacing="0"/>
        <w:jc w:val="both"/>
        <w:rPr>
          <w:color w:val="auto"/>
        </w:rPr>
      </w:pPr>
      <w:bookmarkStart w:id="510" w:name="_Toc54254102"/>
      <w:r w:rsidRPr="005E1578">
        <w:rPr>
          <w:color w:val="auto"/>
        </w:rPr>
        <w:t>15. 04. 2020</w:t>
      </w:r>
      <w:bookmarkEnd w:id="510"/>
    </w:p>
    <w:p w14:paraId="4B91A538" w14:textId="77777777" w:rsidR="005E1578" w:rsidRPr="005E1578" w:rsidRDefault="005E1578" w:rsidP="005E1578">
      <w:pPr>
        <w:pStyle w:val="Odstavecseseznamem"/>
        <w:numPr>
          <w:ilvl w:val="0"/>
          <w:numId w:val="729"/>
        </w:numPr>
        <w:spacing w:after="160" w:line="256" w:lineRule="auto"/>
        <w:jc w:val="left"/>
      </w:pPr>
      <w:r w:rsidRPr="005E1578">
        <w:t>Světovou ekonomiku čeká nejhlubší propad za 90 let</w:t>
      </w:r>
    </w:p>
    <w:p w14:paraId="2D7C24FE" w14:textId="77777777" w:rsidR="005E1578" w:rsidRPr="005E1578" w:rsidRDefault="005E1578" w:rsidP="005E1578">
      <w:pPr>
        <w:pStyle w:val="Odstavecseseznamem"/>
        <w:numPr>
          <w:ilvl w:val="1"/>
          <w:numId w:val="729"/>
        </w:numPr>
        <w:spacing w:after="160" w:line="256" w:lineRule="auto"/>
        <w:jc w:val="left"/>
      </w:pPr>
      <w:r w:rsidRPr="005E1578">
        <w:t>Globální hrubý domácí produkt podle MMF letos klesne o tři procenta. Smaže tak celý růst z loňska, kdy o 2,9 vzrostl.</w:t>
      </w:r>
    </w:p>
    <w:p w14:paraId="0EA40156" w14:textId="77777777" w:rsidR="005E1578" w:rsidRPr="005E1578" w:rsidRDefault="005E1578" w:rsidP="005E1578">
      <w:pPr>
        <w:pStyle w:val="Odstavecseseznamem"/>
        <w:numPr>
          <w:ilvl w:val="1"/>
          <w:numId w:val="729"/>
        </w:numPr>
        <w:spacing w:after="160" w:line="256" w:lineRule="auto"/>
        <w:jc w:val="left"/>
      </w:pPr>
      <w:r w:rsidRPr="005E1578">
        <w:t>Více bude klesat ekonomika rozvinutých zemí. U nich MMF předpokládá průměrný pokles o 6,1 procenta.</w:t>
      </w:r>
    </w:p>
    <w:p w14:paraId="44D40AA5" w14:textId="77777777" w:rsidR="005E1578" w:rsidRPr="005E1578" w:rsidRDefault="005E1578" w:rsidP="005E1578">
      <w:pPr>
        <w:pStyle w:val="Odstavecseseznamem"/>
        <w:numPr>
          <w:ilvl w:val="0"/>
          <w:numId w:val="729"/>
        </w:numPr>
        <w:spacing w:after="160" w:line="256" w:lineRule="auto"/>
        <w:jc w:val="left"/>
      </w:pPr>
      <w:r w:rsidRPr="005E1578">
        <w:lastRenderedPageBreak/>
        <w:t xml:space="preserve">Česká ekonomika letos kvůli dopadům globální pandemie nemoci covid-19 klesne o 6,5 procenta. Ve svém jarním výhledu světové ekonomiky to v úterý uvedl Mezinárodní měnový fond (MMF). </w:t>
      </w:r>
    </w:p>
    <w:p w14:paraId="15A943F2" w14:textId="77777777" w:rsidR="005E1578" w:rsidRPr="005E1578" w:rsidRDefault="005E1578" w:rsidP="005E1578">
      <w:pPr>
        <w:pStyle w:val="Odstavecseseznamem"/>
        <w:numPr>
          <w:ilvl w:val="1"/>
          <w:numId w:val="729"/>
        </w:numPr>
        <w:spacing w:after="160" w:line="256" w:lineRule="auto"/>
        <w:jc w:val="left"/>
      </w:pPr>
      <w:r w:rsidRPr="005E1578">
        <w:t>Někteří odhadují propad českého HDP od 5,6 až do 11 %.</w:t>
      </w:r>
    </w:p>
    <w:p w14:paraId="19A052E3" w14:textId="77777777" w:rsidR="005E1578" w:rsidRPr="005E1578" w:rsidRDefault="005E1578" w:rsidP="005E1578">
      <w:pPr>
        <w:pStyle w:val="Odstavecseseznamem"/>
        <w:numPr>
          <w:ilvl w:val="1"/>
          <w:numId w:val="729"/>
        </w:numPr>
        <w:spacing w:after="160" w:line="256" w:lineRule="auto"/>
        <w:jc w:val="left"/>
      </w:pPr>
      <w:r w:rsidRPr="005E1578">
        <w:t>Počet nezaměstnaných by se podle odhadů mohl do konce roku ztrojnásobit ze 109 tisíc na konci roku 2019 na 305 tisíc.</w:t>
      </w:r>
    </w:p>
    <w:p w14:paraId="36989C3E" w14:textId="77777777" w:rsidR="005E1578" w:rsidRPr="005E1578" w:rsidRDefault="005E1578" w:rsidP="005E1578">
      <w:pPr>
        <w:pStyle w:val="Odstavecseseznamem"/>
        <w:numPr>
          <w:ilvl w:val="0"/>
          <w:numId w:val="729"/>
        </w:numPr>
        <w:spacing w:after="160" w:line="256" w:lineRule="auto"/>
        <w:jc w:val="left"/>
      </w:pPr>
      <w:r w:rsidRPr="005E1578">
        <w:t>Životní minimum se zvyšuje, na podpory dosáhne víc příjemců</w:t>
      </w:r>
    </w:p>
    <w:p w14:paraId="17AEBED5" w14:textId="77777777" w:rsidR="005E1578" w:rsidRPr="005E1578" w:rsidRDefault="005E1578" w:rsidP="005E1578">
      <w:pPr>
        <w:pStyle w:val="Odstavecseseznamem"/>
        <w:numPr>
          <w:ilvl w:val="1"/>
          <w:numId w:val="729"/>
        </w:numPr>
        <w:spacing w:after="160" w:line="256" w:lineRule="auto"/>
        <w:jc w:val="left"/>
      </w:pPr>
      <w:r w:rsidRPr="005E1578">
        <w:t>Částky životního minima, od kterého se odvíjejí některé dávky, jsou od dubna vyšší. Zvýšilo se i existenční minimum. Tato úprava se projeví především u výpočtu nároku na jednotlivé dávky státní sociální podpory i dávky pomoci v hmotné nouzi, na něž tak dosáhne více lidí.</w:t>
      </w:r>
    </w:p>
    <w:p w14:paraId="25DBAFB9" w14:textId="77777777" w:rsidR="005E1578" w:rsidRPr="005E1578" w:rsidRDefault="005E1578" w:rsidP="005E1578">
      <w:pPr>
        <w:pStyle w:val="Odstavecseseznamem"/>
        <w:numPr>
          <w:ilvl w:val="1"/>
          <w:numId w:val="729"/>
        </w:numPr>
        <w:spacing w:after="160" w:line="256" w:lineRule="auto"/>
        <w:jc w:val="left"/>
      </w:pPr>
      <w:r w:rsidRPr="005E1578">
        <w:t>Životní minimum pro jednotlivce se zvýšilo o 450 korun na 3860 korun měsíčně.</w:t>
      </w:r>
    </w:p>
    <w:p w14:paraId="77F1047A" w14:textId="77777777" w:rsidR="005E1578" w:rsidRPr="005E1578" w:rsidRDefault="005E1578" w:rsidP="005E1578">
      <w:pPr>
        <w:pStyle w:val="Odstavecseseznamem"/>
        <w:numPr>
          <w:ilvl w:val="1"/>
          <w:numId w:val="729"/>
        </w:numPr>
        <w:spacing w:after="160" w:line="256" w:lineRule="auto"/>
        <w:jc w:val="left"/>
      </w:pPr>
      <w:r w:rsidRPr="005E1578">
        <w:t>Existenční minimum se od dubna z původních 2200 korun zvyšuje o 290 korun na 2490 korun.</w:t>
      </w:r>
    </w:p>
    <w:p w14:paraId="7445A5F7" w14:textId="77777777" w:rsidR="005E1578" w:rsidRPr="005E1578" w:rsidRDefault="005E1578" w:rsidP="005E1578">
      <w:pPr>
        <w:pStyle w:val="Odstavecseseznamem"/>
        <w:spacing w:after="160" w:line="256" w:lineRule="auto"/>
        <w:ind w:left="1505"/>
        <w:jc w:val="left"/>
      </w:pPr>
    </w:p>
    <w:p w14:paraId="2EFCF96E" w14:textId="77777777" w:rsidR="005E1578" w:rsidRPr="005E1578" w:rsidRDefault="005E1578" w:rsidP="005E1578">
      <w:pPr>
        <w:pStyle w:val="Odstavecseseznamem"/>
        <w:numPr>
          <w:ilvl w:val="0"/>
          <w:numId w:val="729"/>
        </w:numPr>
        <w:spacing w:line="240" w:lineRule="auto"/>
      </w:pPr>
      <w:r w:rsidRPr="005E1578">
        <w:t>Přibývá lidí v předčasném důchodu. V roce 2019 bylo 642 636 důchodců (26,6 % ze všech důchodců), kteří odešli do předčasného důchodu (v roce 2010 – 19 %, v roce 2000 – 9,2 %). Hlavním důvodem je zvyšování věku odchodu do důchodu.</w:t>
      </w:r>
    </w:p>
    <w:p w14:paraId="39F9BED0" w14:textId="77777777" w:rsidR="005E1578" w:rsidRPr="005E1578" w:rsidRDefault="005E1578" w:rsidP="005E1578">
      <w:pPr>
        <w:pStyle w:val="Odstavecseseznamem"/>
        <w:spacing w:line="240" w:lineRule="auto"/>
        <w:ind w:left="785"/>
      </w:pPr>
    </w:p>
    <w:p w14:paraId="3D1A00D6" w14:textId="77777777" w:rsidR="005E1578" w:rsidRPr="005E1578" w:rsidRDefault="005E1578" w:rsidP="005E1578">
      <w:pPr>
        <w:pStyle w:val="Odstavecseseznamem"/>
        <w:numPr>
          <w:ilvl w:val="0"/>
          <w:numId w:val="729"/>
        </w:numPr>
        <w:spacing w:line="240" w:lineRule="auto"/>
      </w:pPr>
      <w:r w:rsidRPr="005E1578">
        <w:t xml:space="preserve">MMF odhaduje největší světovou recesi od 30. let minulého století. Propad se očekává především u vyspělých zemí, kde půjde průměrně o 6,1 % HDP. Pro následující rok se odhaduje celosvětový růst ve výši 4,5 %. Odhad pro ČR letos činí -6,5 %, pro rok 2021 se počítá s růstem ve výši 7,5 % HDP. Čínu v letošním roce čeká růst „pouhých“ 2,5 % HDP, což je nejnižší hodnota za nejméně 44 let. Odhady hovoří, že krize ubere z globálního HDP 220 bilionu korun, což je více než 160 ročních rozpočtů České republiky. </w:t>
      </w:r>
    </w:p>
    <w:p w14:paraId="299EF254" w14:textId="77777777" w:rsidR="005E1578" w:rsidRPr="005E1578" w:rsidRDefault="005E1578" w:rsidP="005E1578">
      <w:pPr>
        <w:pStyle w:val="Odstavecseseznamem"/>
        <w:spacing w:line="240" w:lineRule="auto"/>
        <w:ind w:left="785"/>
      </w:pPr>
    </w:p>
    <w:p w14:paraId="51C33929" w14:textId="7FF06991" w:rsidR="005E1578" w:rsidRPr="005E1578" w:rsidRDefault="005E1578" w:rsidP="005E1578">
      <w:pPr>
        <w:pStyle w:val="Odstavecseseznamem"/>
        <w:numPr>
          <w:ilvl w:val="0"/>
          <w:numId w:val="729"/>
        </w:numPr>
        <w:spacing w:line="240" w:lineRule="auto"/>
      </w:pPr>
      <w:r w:rsidRPr="005E1578">
        <w:t>V USA padají týdenní rekordy v nezaměstnanosti. Doposud nejvíce žádostí o příspěvek v nezaměstnanosti bylo zaznamenáno v roce 1982, kdy během jednoho se o příspěvek přihlásilo 700 000 lidí. Během světové krize v roce 2009 se nejvyšší týdenní počet žádostí zastavil na 670 tisících. Nyní, během posledních tří týdnů (přelom března a dubna), o podporu v nezaměstnanosti zažádalo 16,5 milionu lidí. Během posledního týdne přibylo 6 600 000 nových žádostí, což je téměř desetinásobek rekordní hodnoty z roku 1982. Jedním z důvodů, proč došlo k tak razantnímu nárůstu je, že nyní mají možnost o podporu zažádat i OSVČ a osoby pracující na dohodu. FED odhaduje, že by</w:t>
      </w:r>
      <w:r w:rsidR="003376E1">
        <w:t xml:space="preserve"> </w:t>
      </w:r>
      <w:r w:rsidRPr="005E1578">
        <w:t>nezaměstnanost mohla pokořit 32% hranici.</w:t>
      </w:r>
    </w:p>
    <w:p w14:paraId="4974C006" w14:textId="77777777" w:rsidR="005E1578" w:rsidRPr="005E1578" w:rsidRDefault="005E1578" w:rsidP="005E1578">
      <w:pPr>
        <w:pStyle w:val="Odstavecseseznamem"/>
        <w:spacing w:line="240" w:lineRule="auto"/>
        <w:ind w:left="785"/>
      </w:pPr>
    </w:p>
    <w:p w14:paraId="1EF76FC3" w14:textId="77777777" w:rsidR="005E1578" w:rsidRPr="005E1578" w:rsidRDefault="005E1578" w:rsidP="005E1578">
      <w:pPr>
        <w:pStyle w:val="Odstavecseseznamem"/>
        <w:numPr>
          <w:ilvl w:val="0"/>
          <w:numId w:val="729"/>
        </w:numPr>
        <w:spacing w:line="240" w:lineRule="auto"/>
      </w:pPr>
      <w:r w:rsidRPr="005E1578">
        <w:t xml:space="preserve">V České republice zatím k masivnímu propouštění nedochází. Dle údajů MPSV bylo ke konci března 225 000 uchazečů o příspěvek v nezaměstnanosti, což je meziměsíční pokles o 1 700 lidí. </w:t>
      </w:r>
    </w:p>
    <w:p w14:paraId="15874D8E" w14:textId="77777777" w:rsidR="005E1578" w:rsidRPr="005E1578" w:rsidRDefault="005E1578" w:rsidP="005E1578">
      <w:pPr>
        <w:pStyle w:val="Odstavecseseznamem"/>
        <w:spacing w:line="240" w:lineRule="auto"/>
        <w:ind w:left="785"/>
      </w:pPr>
    </w:p>
    <w:p w14:paraId="02B6FF88" w14:textId="4A56242D" w:rsidR="005E1578" w:rsidRPr="005E1578" w:rsidRDefault="005E1578" w:rsidP="002E71F5">
      <w:pPr>
        <w:pStyle w:val="Odstavecseseznamem"/>
        <w:numPr>
          <w:ilvl w:val="0"/>
          <w:numId w:val="729"/>
        </w:numPr>
        <w:spacing w:line="240" w:lineRule="auto"/>
      </w:pPr>
      <w:r w:rsidRPr="005E1578">
        <w:t>Špatná zpráva pro lidi, kteří se snažili vyhrát milion či auto v „loterii“ Účtenkovka. Z důvodu vládních úspor byla Účtenkovka pozastavena. Poslední – 30. - slosování proběhlo 15.4.</w:t>
      </w:r>
    </w:p>
    <w:p w14:paraId="4175A7B3" w14:textId="77777777" w:rsidR="005E1578" w:rsidRDefault="005E1578" w:rsidP="005E1578">
      <w:pPr>
        <w:spacing w:after="160" w:line="256" w:lineRule="auto"/>
        <w:jc w:val="left"/>
      </w:pPr>
    </w:p>
    <w:p w14:paraId="65B6B434" w14:textId="77777777" w:rsidR="002E71F5" w:rsidRPr="005E1578" w:rsidRDefault="002E71F5" w:rsidP="005E1578">
      <w:pPr>
        <w:spacing w:after="160" w:line="256" w:lineRule="auto"/>
        <w:jc w:val="left"/>
      </w:pPr>
    </w:p>
    <w:p w14:paraId="59AF46B5" w14:textId="0E9F70DE" w:rsidR="005E1578" w:rsidRPr="005E1578" w:rsidRDefault="002E71F5" w:rsidP="005E1578">
      <w:pPr>
        <w:pStyle w:val="Documenttitle"/>
        <w:rPr>
          <w:rFonts w:ascii="Times New Roman" w:eastAsia="Times New Roman" w:hAnsi="Times New Roman"/>
          <w:color w:val="auto"/>
          <w:kern w:val="36"/>
          <w:sz w:val="32"/>
          <w:szCs w:val="48"/>
          <w:lang w:val="cs-CZ" w:eastAsia="cs-CZ"/>
        </w:rPr>
      </w:pPr>
      <w:r w:rsidRPr="005E1578">
        <w:rPr>
          <w:rFonts w:ascii="Times New Roman" w:eastAsia="Times New Roman" w:hAnsi="Times New Roman"/>
          <w:color w:val="auto"/>
          <w:kern w:val="36"/>
          <w:sz w:val="32"/>
          <w:szCs w:val="48"/>
          <w:lang w:val="cs-CZ" w:eastAsia="cs-CZ"/>
        </w:rPr>
        <w:lastRenderedPageBreak/>
        <w:t>22. 04</w:t>
      </w:r>
      <w:r w:rsidR="005E1578" w:rsidRPr="005E1578">
        <w:rPr>
          <w:rFonts w:ascii="Times New Roman" w:eastAsia="Times New Roman" w:hAnsi="Times New Roman"/>
          <w:color w:val="auto"/>
          <w:kern w:val="36"/>
          <w:sz w:val="32"/>
          <w:szCs w:val="48"/>
          <w:lang w:val="cs-CZ" w:eastAsia="cs-CZ"/>
        </w:rPr>
        <w:t>. 2020</w:t>
      </w:r>
    </w:p>
    <w:p w14:paraId="343885F1" w14:textId="77777777" w:rsidR="005E1578" w:rsidRPr="005E1578" w:rsidRDefault="005E1578" w:rsidP="005E1578">
      <w:pPr>
        <w:pStyle w:val="Odstavecseseznamem"/>
        <w:numPr>
          <w:ilvl w:val="0"/>
          <w:numId w:val="720"/>
        </w:numPr>
        <w:spacing w:after="240" w:line="240" w:lineRule="atLeast"/>
        <w:jc w:val="left"/>
        <w:rPr>
          <w:szCs w:val="24"/>
        </w:rPr>
      </w:pPr>
      <w:r w:rsidRPr="005E1578">
        <w:rPr>
          <w:szCs w:val="24"/>
        </w:rPr>
        <w:t>Ceny americké ropy West Texas klesly na -37,63 dolarů za barel 20.4.</w:t>
      </w:r>
    </w:p>
    <w:p w14:paraId="77772F83" w14:textId="77777777" w:rsidR="005E1578" w:rsidRPr="005E1578" w:rsidRDefault="005E1578" w:rsidP="005E1578">
      <w:pPr>
        <w:pStyle w:val="Odstavecseseznamem"/>
        <w:numPr>
          <w:ilvl w:val="0"/>
          <w:numId w:val="720"/>
        </w:numPr>
        <w:spacing w:after="240" w:line="240" w:lineRule="atLeast"/>
        <w:jc w:val="left"/>
        <w:rPr>
          <w:szCs w:val="24"/>
        </w:rPr>
      </w:pPr>
      <w:r w:rsidRPr="005E1578">
        <w:rPr>
          <w:szCs w:val="24"/>
        </w:rPr>
        <w:t>Státní dluh stoupl v prvním čtvrtletí o 132,6 miliardy korun na 1,773 bilionu korun. V pátek o tom informovalo ministerstvo financí. Za růstem dluhu stojí zejména vydávání státních dluhopisů ministerstvem financí s cílem zajistit krytí letošního schodku státního rozpočtu. Na každého Čecha hypoteticky připadá dluh zhruba 165 800 korun</w:t>
      </w:r>
    </w:p>
    <w:p w14:paraId="3266A0F0" w14:textId="77777777" w:rsidR="005E1578" w:rsidRPr="005E1578" w:rsidRDefault="005E1578" w:rsidP="005E1578">
      <w:pPr>
        <w:pStyle w:val="Odstavecseseznamem"/>
        <w:numPr>
          <w:ilvl w:val="0"/>
          <w:numId w:val="720"/>
        </w:numPr>
        <w:spacing w:after="240" w:line="240" w:lineRule="atLeast"/>
        <w:jc w:val="left"/>
        <w:rPr>
          <w:szCs w:val="24"/>
        </w:rPr>
      </w:pPr>
      <w:r w:rsidRPr="005E1578">
        <w:rPr>
          <w:szCs w:val="24"/>
        </w:rPr>
        <w:t>V březnu se prodej auto propadl o 55% a celkově od nového roku o 25 % Vyplynulo to z údajů o nových registracích, jež v pátek zveřejnilo Evropské sdružení výrobců automobilů (ACEA). V Česku došlo v březnu k poklesu o 36,3 procenta, za celé čtvrtletí o 15,8 procenta.</w:t>
      </w:r>
    </w:p>
    <w:p w14:paraId="2638E3D7" w14:textId="77777777" w:rsidR="005E1578" w:rsidRPr="005E1578" w:rsidRDefault="004430A1" w:rsidP="005E1578">
      <w:pPr>
        <w:spacing w:after="240" w:line="240" w:lineRule="atLeast"/>
        <w:jc w:val="left"/>
        <w:rPr>
          <w:szCs w:val="24"/>
        </w:rPr>
      </w:pPr>
      <w:hyperlink r:id="rId180" w:history="1">
        <w:r w:rsidR="005E1578" w:rsidRPr="005E1578">
          <w:rPr>
            <w:rStyle w:val="Hypertextovodkaz"/>
            <w:color w:val="auto"/>
            <w:szCs w:val="24"/>
          </w:rPr>
          <w:t>https://www.novinky.cz/ekonomika/clanek/statni-dluh-v-prvnim-ctvrtleti-stoupl-na-1773-bilionu-korun-40320890</w:t>
        </w:r>
      </w:hyperlink>
    </w:p>
    <w:p w14:paraId="6F8981F9" w14:textId="77777777" w:rsidR="005E1578" w:rsidRPr="005E1578" w:rsidRDefault="004430A1" w:rsidP="005E1578">
      <w:pPr>
        <w:spacing w:after="240" w:line="240" w:lineRule="atLeast"/>
        <w:jc w:val="left"/>
        <w:rPr>
          <w:szCs w:val="24"/>
        </w:rPr>
      </w:pPr>
      <w:hyperlink r:id="rId181" w:history="1">
        <w:r w:rsidR="005E1578" w:rsidRPr="005E1578">
          <w:rPr>
            <w:rStyle w:val="Hypertextovodkaz"/>
            <w:color w:val="auto"/>
            <w:szCs w:val="24"/>
          </w:rPr>
          <w:t>https://www.novinky.cz/ekonomika/clanek/prodej-aut-se-v-eu-propadl-o-vice-nez-o-polovinu-40320832</w:t>
        </w:r>
      </w:hyperlink>
    </w:p>
    <w:p w14:paraId="094C299E" w14:textId="294A946F" w:rsidR="005E1578" w:rsidRPr="005E1578" w:rsidRDefault="002E71F5" w:rsidP="005E1578">
      <w:pPr>
        <w:pStyle w:val="Nadpis1"/>
        <w:numPr>
          <w:ilvl w:val="0"/>
          <w:numId w:val="0"/>
        </w:numPr>
        <w:spacing w:after="0" w:afterAutospacing="0"/>
        <w:jc w:val="both"/>
        <w:rPr>
          <w:color w:val="auto"/>
        </w:rPr>
      </w:pPr>
      <w:bookmarkStart w:id="511" w:name="_Toc54254103"/>
      <w:r w:rsidRPr="005E1578">
        <w:rPr>
          <w:color w:val="auto"/>
        </w:rPr>
        <w:t>22. 04. 2020</w:t>
      </w:r>
      <w:bookmarkEnd w:id="511"/>
    </w:p>
    <w:p w14:paraId="49E54520" w14:textId="62B99AFA" w:rsidR="005E1578" w:rsidRPr="005E1578" w:rsidRDefault="005E1578" w:rsidP="005E1578">
      <w:pPr>
        <w:pStyle w:val="Odstavecseseznamem"/>
        <w:numPr>
          <w:ilvl w:val="0"/>
          <w:numId w:val="730"/>
        </w:numPr>
        <w:spacing w:after="160" w:line="256" w:lineRule="auto"/>
        <w:jc w:val="left"/>
      </w:pPr>
      <w:r w:rsidRPr="005E1578">
        <w:t xml:space="preserve">Vláda schválila rekordní zvýšení schodku státního rozpočtu na 300 </w:t>
      </w:r>
      <w:r w:rsidR="002E71F5" w:rsidRPr="005E1578">
        <w:t>mld.</w:t>
      </w:r>
      <w:r w:rsidRPr="005E1578">
        <w:t xml:space="preserve"> </w:t>
      </w:r>
    </w:p>
    <w:p w14:paraId="7B99B556" w14:textId="77777777" w:rsidR="005E1578" w:rsidRPr="005E1578" w:rsidRDefault="005E1578" w:rsidP="005E1578">
      <w:pPr>
        <w:pStyle w:val="Odstavecseseznamem"/>
        <w:numPr>
          <w:ilvl w:val="1"/>
          <w:numId w:val="730"/>
        </w:numPr>
        <w:spacing w:after="160" w:line="256" w:lineRule="auto"/>
        <w:jc w:val="left"/>
      </w:pPr>
      <w:r w:rsidRPr="005E1578">
        <w:t>Historicky nejvyšší byl v roce 2009 kvůli finanční krizi ve výši 192 mld.</w:t>
      </w:r>
    </w:p>
    <w:p w14:paraId="52CEA6D7" w14:textId="77777777" w:rsidR="005E1578" w:rsidRPr="005E1578" w:rsidRDefault="005E1578" w:rsidP="005E1578">
      <w:pPr>
        <w:pStyle w:val="Odstavecseseznamem"/>
        <w:numPr>
          <w:ilvl w:val="0"/>
          <w:numId w:val="730"/>
        </w:numPr>
        <w:spacing w:after="160" w:line="256" w:lineRule="auto"/>
        <w:jc w:val="left"/>
      </w:pPr>
      <w:r w:rsidRPr="005E1578">
        <w:t>Ministerstvo financí již prodalo dluhopisy za 73,9 mld. korun</w:t>
      </w:r>
    </w:p>
    <w:p w14:paraId="5CE37705" w14:textId="77777777" w:rsidR="005E1578" w:rsidRPr="005E1578" w:rsidRDefault="005E1578" w:rsidP="005E1578">
      <w:pPr>
        <w:pStyle w:val="Odstavecseseznamem"/>
        <w:numPr>
          <w:ilvl w:val="0"/>
          <w:numId w:val="730"/>
        </w:numPr>
        <w:spacing w:after="160" w:line="256" w:lineRule="auto"/>
        <w:jc w:val="left"/>
      </w:pPr>
      <w:r w:rsidRPr="005E1578">
        <w:t>Od pondělí 27.4. mají otevřeno řemeslníci, farmářské trhy, autobazary, autosalony</w:t>
      </w:r>
    </w:p>
    <w:p w14:paraId="1D59F0C2" w14:textId="77777777" w:rsidR="005E1578" w:rsidRPr="005E1578" w:rsidRDefault="005E1578" w:rsidP="005E1578">
      <w:pPr>
        <w:pStyle w:val="Odstavecseseznamem"/>
        <w:numPr>
          <w:ilvl w:val="0"/>
          <w:numId w:val="730"/>
        </w:numPr>
        <w:spacing w:after="160" w:line="256" w:lineRule="auto"/>
        <w:jc w:val="left"/>
      </w:pPr>
      <w:r w:rsidRPr="005E1578">
        <w:t>Pivovary mohou žádat o vrácení spotřební daně za pivo, které museli likvidovat, kvůli uzavření restaurací</w:t>
      </w:r>
    </w:p>
    <w:p w14:paraId="1E75F235" w14:textId="77777777" w:rsidR="005E1578" w:rsidRPr="005E1578" w:rsidRDefault="005E1578" w:rsidP="005E1578">
      <w:pPr>
        <w:pStyle w:val="Odstavecseseznamem"/>
        <w:numPr>
          <w:ilvl w:val="0"/>
          <w:numId w:val="730"/>
        </w:numPr>
        <w:spacing w:after="160" w:line="256" w:lineRule="auto"/>
        <w:jc w:val="left"/>
      </w:pPr>
      <w:r w:rsidRPr="005E1578">
        <w:t>Prodloužení příspěvku pro živnostníky i po 30. dubnu; vláda zatím počítá, že do 8. června</w:t>
      </w:r>
    </w:p>
    <w:p w14:paraId="2DD9A9C8" w14:textId="77777777" w:rsidR="005E1578" w:rsidRPr="005E1578" w:rsidRDefault="005E1578" w:rsidP="005E1578">
      <w:pPr>
        <w:pStyle w:val="Odstavecseseznamem"/>
        <w:numPr>
          <w:ilvl w:val="0"/>
          <w:numId w:val="730"/>
        </w:numPr>
        <w:spacing w:after="160" w:line="256" w:lineRule="auto"/>
        <w:jc w:val="left"/>
      </w:pPr>
      <w:r w:rsidRPr="005E1578">
        <w:t xml:space="preserve">Vláda schválila záruku 150 mld pro malé a střední firmy (do 500 zaměstnanců) </w:t>
      </w:r>
      <w:hyperlink r:id="rId182" w:history="1">
        <w:r w:rsidRPr="005E1578">
          <w:rPr>
            <w:rStyle w:val="Hypertextovodkaz"/>
            <w:color w:val="auto"/>
          </w:rPr>
          <w:t>https://www.mfcr.cz/cs/aktualne/tiskove-zpravy/2020/statni-zaruky-ve-vysi-150-miliard-ozivi-38247</w:t>
        </w:r>
      </w:hyperlink>
    </w:p>
    <w:p w14:paraId="12531EEC" w14:textId="00E2033D" w:rsidR="005E1578" w:rsidRPr="005E1578" w:rsidRDefault="002E71F5" w:rsidP="005E1578">
      <w:pPr>
        <w:pStyle w:val="Nadpis1"/>
        <w:numPr>
          <w:ilvl w:val="0"/>
          <w:numId w:val="0"/>
        </w:numPr>
        <w:spacing w:after="0" w:afterAutospacing="0"/>
        <w:jc w:val="both"/>
        <w:rPr>
          <w:color w:val="auto"/>
        </w:rPr>
      </w:pPr>
      <w:bookmarkStart w:id="512" w:name="_Toc54254104"/>
      <w:r w:rsidRPr="005E1578">
        <w:rPr>
          <w:color w:val="auto"/>
        </w:rPr>
        <w:t>29. 04. 2020</w:t>
      </w:r>
      <w:bookmarkEnd w:id="512"/>
    </w:p>
    <w:p w14:paraId="19D5FF3B" w14:textId="77777777" w:rsidR="005E1578" w:rsidRPr="005E1578" w:rsidRDefault="005E1578" w:rsidP="005E1578">
      <w:pPr>
        <w:pStyle w:val="Odstavecseseznamem"/>
        <w:numPr>
          <w:ilvl w:val="0"/>
          <w:numId w:val="731"/>
        </w:numPr>
        <w:spacing w:after="160" w:line="256" w:lineRule="auto"/>
        <w:jc w:val="left"/>
      </w:pPr>
      <w:r w:rsidRPr="005E1578">
        <w:t>Schodek veřejných financí 5,1 procenta HDP, dluh 37 procent HDP</w:t>
      </w:r>
    </w:p>
    <w:p w14:paraId="41AD3674" w14:textId="77777777" w:rsidR="005E1578" w:rsidRPr="005E1578" w:rsidRDefault="005E1578" w:rsidP="005E1578">
      <w:pPr>
        <w:pStyle w:val="Odstavecseseznamem"/>
        <w:numPr>
          <w:ilvl w:val="1"/>
          <w:numId w:val="731"/>
        </w:numPr>
        <w:spacing w:after="160" w:line="256" w:lineRule="auto"/>
        <w:jc w:val="left"/>
      </w:pPr>
      <w:r w:rsidRPr="005E1578">
        <w:t>Veřejné finance České republiky se v letošním roce propadnou do schodku, který odpovídá 5,1 procenta hrubého domácího produktu (HDP). V loňském roce přitom byly v přebytku 0,3 procenta HDP. Veřejný dluh stoupne na 37 procent HDP z loňských 30,8 procenta HDP. Vyplývá to z materiálu ministerstva financí.</w:t>
      </w:r>
    </w:p>
    <w:p w14:paraId="2D0EC693" w14:textId="77777777" w:rsidR="005E1578" w:rsidRPr="005E1578" w:rsidRDefault="005E1578" w:rsidP="005E1578">
      <w:pPr>
        <w:pStyle w:val="Odstavecseseznamem"/>
        <w:numPr>
          <w:ilvl w:val="1"/>
          <w:numId w:val="731"/>
        </w:numPr>
        <w:spacing w:after="160" w:line="256" w:lineRule="auto"/>
        <w:jc w:val="left"/>
      </w:pPr>
      <w:r w:rsidRPr="005E1578">
        <w:t xml:space="preserve">Resort financí letos počítá s poklesem daňových příjmů včetně příspěvků na sociální zabezpečení o 3,8 procenta. </w:t>
      </w:r>
    </w:p>
    <w:p w14:paraId="2AE4C55A" w14:textId="77777777" w:rsidR="005E1578" w:rsidRPr="005E1578" w:rsidRDefault="005E1578" w:rsidP="005E1578">
      <w:pPr>
        <w:pStyle w:val="Odstavecseseznamem"/>
        <w:numPr>
          <w:ilvl w:val="1"/>
          <w:numId w:val="731"/>
        </w:numPr>
        <w:spacing w:after="160" w:line="256" w:lineRule="auto"/>
        <w:jc w:val="left"/>
      </w:pPr>
      <w:r w:rsidRPr="005E1578">
        <w:t>Kvůli dopadům šíření nemoci covid-19 ministerstvo prosadilo zvýšení schodku letošního rozpočtu ze 40 na 300 miliard korun.</w:t>
      </w:r>
    </w:p>
    <w:p w14:paraId="2573E045" w14:textId="77777777" w:rsidR="005E1578" w:rsidRPr="005E1578" w:rsidRDefault="005E1578" w:rsidP="005E1578">
      <w:pPr>
        <w:pStyle w:val="Odstavecseseznamem"/>
      </w:pPr>
    </w:p>
    <w:p w14:paraId="696F70FC" w14:textId="77777777" w:rsidR="005E1578" w:rsidRPr="005E1578" w:rsidRDefault="005E1578" w:rsidP="005E1578">
      <w:pPr>
        <w:pStyle w:val="Odstavecseseznamem"/>
        <w:numPr>
          <w:ilvl w:val="0"/>
          <w:numId w:val="731"/>
        </w:numPr>
        <w:spacing w:after="160" w:line="256" w:lineRule="auto"/>
        <w:jc w:val="left"/>
      </w:pPr>
      <w:r w:rsidRPr="005E1578">
        <w:t>Česká ekonomika se může propadnout až o 11 procent</w:t>
      </w:r>
    </w:p>
    <w:p w14:paraId="734E5D0B" w14:textId="77777777" w:rsidR="005E1578" w:rsidRPr="005E1578" w:rsidRDefault="005E1578" w:rsidP="005E1578">
      <w:pPr>
        <w:pStyle w:val="Odstavecseseznamem"/>
        <w:numPr>
          <w:ilvl w:val="1"/>
          <w:numId w:val="731"/>
        </w:numPr>
        <w:spacing w:after="160" w:line="256" w:lineRule="auto"/>
        <w:jc w:val="left"/>
      </w:pPr>
      <w:r w:rsidRPr="005E1578">
        <w:t xml:space="preserve">Česká ekonomika by se v letošním roce kvůli dopadům globální pandemie covidu-19 mohla propadnout až o 11 procent. Ti nicméně upozorňují, že </w:t>
      </w:r>
      <w:r w:rsidRPr="005E1578">
        <w:lastRenderedPageBreak/>
        <w:t>odhady jsou v současnosti velmi nejisté kvůli dalšímu nepředvídatelnému vývoji situace v Česku i ve světě.</w:t>
      </w:r>
    </w:p>
    <w:p w14:paraId="2054659C" w14:textId="77777777" w:rsidR="005E1578" w:rsidRPr="005E1578" w:rsidRDefault="005E1578" w:rsidP="005E1578">
      <w:pPr>
        <w:pStyle w:val="Odstavecseseznamem"/>
        <w:spacing w:line="240" w:lineRule="auto"/>
      </w:pPr>
    </w:p>
    <w:p w14:paraId="60CAD9D3" w14:textId="77777777" w:rsidR="005E1578" w:rsidRPr="005E1578" w:rsidRDefault="005E1578" w:rsidP="005E1578">
      <w:pPr>
        <w:pStyle w:val="Odstavecseseznamem"/>
        <w:numPr>
          <w:ilvl w:val="0"/>
          <w:numId w:val="731"/>
        </w:numPr>
        <w:spacing w:line="240" w:lineRule="auto"/>
      </w:pPr>
      <w:r w:rsidRPr="005E1578">
        <w:t>V Číně boom nových firem specializujících se na výrobu nebo distribuci zdravotnického materiálu. Od začátku roku 2020 vzniklo 38 000 nových firem, které se zmíněnou problematikou zabývají. Materiál je však často velmi pochybné kvality. Například Nizozemsko se rozhodlo vrátit 600 000 vadných respirátorů a roušek. Stahovaly se i roušky v Liberci, protože jedna z roušek, přestože byla originálně zabalena, byla silně znečištěná.</w:t>
      </w:r>
    </w:p>
    <w:p w14:paraId="611370C8" w14:textId="77777777" w:rsidR="005E1578" w:rsidRPr="005E1578" w:rsidRDefault="005E1578" w:rsidP="005E1578">
      <w:pPr>
        <w:pStyle w:val="Odstavecseseznamem"/>
        <w:spacing w:line="240" w:lineRule="auto"/>
      </w:pPr>
    </w:p>
    <w:p w14:paraId="41DA8F88" w14:textId="77777777" w:rsidR="005E1578" w:rsidRPr="005E1578" w:rsidRDefault="005E1578" w:rsidP="005E1578">
      <w:pPr>
        <w:pStyle w:val="Odstavecseseznamem"/>
        <w:numPr>
          <w:ilvl w:val="0"/>
          <w:numId w:val="731"/>
        </w:numPr>
        <w:spacing w:line="240" w:lineRule="auto"/>
      </w:pPr>
      <w:r w:rsidRPr="005E1578">
        <w:t>Nejvíce postiženým segmentem ekonomiky koronavirovou krizí je bezesporu letecký průmysl. V prvním čtvrtletí se s obrovskými ztrátami musely potýkat oba největší výrobci letadel. Airbus reportuje ztrátu 13 mld. Kč, Boeing dokonce 16 mld. Kč. Boeing také již avizoval, že propustí 16 000 zaměstnanců (10 % všech). Itálie slíbila převzetí kontroly nad aerolinkami Alitalia, druhé největší australské aerolinky na sebe uvalily správu (vláda jim 8x odmítla pomoci), skandinávské aerolinky SAS budou propouštět 5000 zaměstnanců, EU schválila pomoc letecké společnosti Condor, která má od Německa dostat dotaci 15 miliard Kč.</w:t>
      </w:r>
    </w:p>
    <w:p w14:paraId="78C13D4D" w14:textId="77777777" w:rsidR="005E1578" w:rsidRPr="005E1578" w:rsidRDefault="005E1578" w:rsidP="005E1578">
      <w:pPr>
        <w:pStyle w:val="Odstavecseseznamem"/>
        <w:spacing w:line="240" w:lineRule="auto"/>
      </w:pPr>
    </w:p>
    <w:p w14:paraId="2859BE91" w14:textId="6B35919B" w:rsidR="005E1578" w:rsidRPr="005E1578" w:rsidRDefault="005E1578" w:rsidP="005E1578">
      <w:pPr>
        <w:pStyle w:val="Odstavecseseznamem"/>
        <w:numPr>
          <w:ilvl w:val="0"/>
          <w:numId w:val="731"/>
        </w:numPr>
        <w:spacing w:line="240" w:lineRule="auto"/>
      </w:pPr>
      <w:r w:rsidRPr="005E1578">
        <w:t xml:space="preserve">Ceny ropy stále </w:t>
      </w:r>
      <w:r w:rsidR="002E71F5" w:rsidRPr="005E1578">
        <w:t>padají</w:t>
      </w:r>
      <w:r w:rsidRPr="005E1578">
        <w:t>. Ropa WTI se obchodovala za 10,2 dolarů za barel (</w:t>
      </w:r>
      <w:r w:rsidR="002E71F5" w:rsidRPr="005E1578">
        <w:t>3. 2</w:t>
      </w:r>
      <w:r w:rsidRPr="005E1578">
        <w:t>. byla její cena 50 dolarů) a během minulého týdne (20. dubna) došlo k historické ceně (mínus) 37 dolarů za barel. Barel ropy BRENT se obchodoval za 19 dolarů (na začátku roku za 70 dolarů).</w:t>
      </w:r>
    </w:p>
    <w:p w14:paraId="15F08371" w14:textId="77777777" w:rsidR="005E1578" w:rsidRPr="005E1578" w:rsidRDefault="005E1578" w:rsidP="005E1578">
      <w:pPr>
        <w:pStyle w:val="Odstavecseseznamem"/>
        <w:spacing w:line="240" w:lineRule="auto"/>
      </w:pPr>
    </w:p>
    <w:p w14:paraId="46EF3375" w14:textId="77777777" w:rsidR="005E1578" w:rsidRPr="005E1578" w:rsidRDefault="005E1578" w:rsidP="005E1578">
      <w:pPr>
        <w:pStyle w:val="Odstavecseseznamem"/>
        <w:numPr>
          <w:ilvl w:val="0"/>
          <w:numId w:val="731"/>
        </w:numPr>
        <w:spacing w:line="240" w:lineRule="auto"/>
      </w:pPr>
      <w:r w:rsidRPr="005E1578">
        <w:t>Vláda snížila podporu pro solární elektrárny na nejnižší úroveň, kterou povoluje Evropská unie. Očekává se tak úspora ve výši 7-10 miliard korun.</w:t>
      </w:r>
    </w:p>
    <w:p w14:paraId="6195EC30" w14:textId="77777777" w:rsidR="005E1578" w:rsidRPr="005E1578" w:rsidRDefault="005E1578" w:rsidP="005E1578">
      <w:pPr>
        <w:pStyle w:val="Odstavecseseznamem"/>
        <w:spacing w:line="240" w:lineRule="auto"/>
      </w:pPr>
    </w:p>
    <w:p w14:paraId="4F92E1BA" w14:textId="77777777" w:rsidR="005E1578" w:rsidRPr="005E1578" w:rsidRDefault="005E1578" w:rsidP="005E1578">
      <w:pPr>
        <w:pStyle w:val="Odstavecseseznamem"/>
        <w:numPr>
          <w:ilvl w:val="0"/>
          <w:numId w:val="731"/>
        </w:numPr>
        <w:spacing w:line="240" w:lineRule="auto"/>
      </w:pPr>
      <w:r w:rsidRPr="005E1578">
        <w:t>Ke konci dubna v rámci programu Pětadvacítka bylo podáno přes 400 000 žádostí. Kladně bylo vyřízeno 364 000 žádostí a odesláno žadatelům necelých 9 miliard korun.</w:t>
      </w:r>
    </w:p>
    <w:p w14:paraId="50EA72D0" w14:textId="77777777" w:rsidR="005E1578" w:rsidRPr="005E1578" w:rsidRDefault="005E1578" w:rsidP="005E1578">
      <w:pPr>
        <w:spacing w:after="160" w:line="256" w:lineRule="auto"/>
        <w:jc w:val="left"/>
      </w:pPr>
    </w:p>
    <w:p w14:paraId="4D437206" w14:textId="77777777" w:rsidR="005E1578" w:rsidRPr="005E1578" w:rsidRDefault="005E1578" w:rsidP="005E1578">
      <w:pPr>
        <w:pStyle w:val="Nadpis1"/>
        <w:numPr>
          <w:ilvl w:val="0"/>
          <w:numId w:val="0"/>
        </w:numPr>
        <w:spacing w:after="0" w:afterAutospacing="0"/>
        <w:jc w:val="both"/>
        <w:rPr>
          <w:color w:val="auto"/>
        </w:rPr>
      </w:pPr>
      <w:bookmarkStart w:id="513" w:name="_Toc54254105"/>
      <w:r w:rsidRPr="005E1578">
        <w:rPr>
          <w:color w:val="auto"/>
        </w:rPr>
        <w:t>06. 05. 2020</w:t>
      </w:r>
      <w:bookmarkEnd w:id="513"/>
    </w:p>
    <w:p w14:paraId="2F7A2F91" w14:textId="77777777" w:rsidR="005E1578" w:rsidRPr="005E1578" w:rsidRDefault="005E1578" w:rsidP="005E1578">
      <w:pPr>
        <w:pStyle w:val="Odstavecseseznamem"/>
        <w:numPr>
          <w:ilvl w:val="0"/>
          <w:numId w:val="721"/>
        </w:numPr>
        <w:spacing w:after="240" w:line="240" w:lineRule="atLeast"/>
        <w:jc w:val="left"/>
        <w:rPr>
          <w:szCs w:val="24"/>
        </w:rPr>
      </w:pPr>
      <w:r w:rsidRPr="005E1578">
        <w:rPr>
          <w:szCs w:val="24"/>
        </w:rPr>
        <w:t>Tržby obchodníků v březnu klesly: Tržby obchodníků v březnu meziročně klesly o 8,9 procenta. Důvodem jsou vládní restriktivní opatření kvůli epidemii nemoci covid-19.</w:t>
      </w:r>
    </w:p>
    <w:p w14:paraId="7D7F89EA" w14:textId="77777777" w:rsidR="005E1578" w:rsidRPr="005E1578" w:rsidRDefault="005E1578" w:rsidP="005E1578">
      <w:pPr>
        <w:pStyle w:val="Odstavecseseznamem"/>
        <w:numPr>
          <w:ilvl w:val="0"/>
          <w:numId w:val="721"/>
        </w:numPr>
        <w:spacing w:after="240" w:line="240" w:lineRule="atLeast"/>
        <w:jc w:val="left"/>
        <w:rPr>
          <w:szCs w:val="24"/>
        </w:rPr>
      </w:pPr>
      <w:r w:rsidRPr="005E1578">
        <w:rPr>
          <w:szCs w:val="24"/>
        </w:rPr>
        <w:t>Mladoboleslavské automobilce Škoda Auto v prvním čtvrtletí klesl meziročně provozní zisk o 25,1 procenta na 307 milionů eur (8,3 miliardy korun). Příčinou jsou nižší prodeje a vývoj směnných kurzů. Ve středu to uvedl mateřský koncern Volkswagen, který sídlí v německém Wolfsburgu.</w:t>
      </w:r>
    </w:p>
    <w:p w14:paraId="20DAD7B6" w14:textId="77777777" w:rsidR="005E1578" w:rsidRPr="005E1578" w:rsidRDefault="005E1578" w:rsidP="005E1578">
      <w:pPr>
        <w:pStyle w:val="Odstavecseseznamem"/>
        <w:numPr>
          <w:ilvl w:val="0"/>
          <w:numId w:val="721"/>
        </w:numPr>
        <w:spacing w:after="240" w:line="240" w:lineRule="atLeast"/>
        <w:jc w:val="left"/>
        <w:rPr>
          <w:szCs w:val="24"/>
        </w:rPr>
      </w:pPr>
      <w:r w:rsidRPr="005E1578">
        <w:rPr>
          <w:szCs w:val="24"/>
        </w:rPr>
        <w:t>Schodek státního rozpočtu ke konci dubna stoupl na 93,8 miliardy korun z březnových 44,7 miliardy korun. Pro porovnání – loni ke konci dubna byl schodek 29,7 miliardy korun. V pondělí o tom informovalo ministerstvo financí. Letošní dubnový výsledek je nejhorší od vzniku České republiky.</w:t>
      </w:r>
    </w:p>
    <w:p w14:paraId="069224C8" w14:textId="77777777" w:rsidR="005E1578" w:rsidRPr="005E1578" w:rsidRDefault="005E1578" w:rsidP="005E1578">
      <w:pPr>
        <w:pStyle w:val="Odstavecseseznamem"/>
        <w:numPr>
          <w:ilvl w:val="0"/>
          <w:numId w:val="721"/>
        </w:numPr>
        <w:spacing w:after="240" w:line="240" w:lineRule="atLeast"/>
        <w:jc w:val="left"/>
        <w:rPr>
          <w:szCs w:val="24"/>
        </w:rPr>
      </w:pPr>
      <w:r w:rsidRPr="005E1578">
        <w:rPr>
          <w:szCs w:val="24"/>
        </w:rPr>
        <w:t>Počet cestujících, které v dubnu přepravila letadla irské společnosti Ryanair, kvůli dopadům koronaviru meziročně klesl o 99,6 procenta. U menšího rivala Wizz Air propad činí 97,6 procenta. Informovala o tom agentura Reuters. Místo 13 mil 40 k v dubnu</w:t>
      </w:r>
    </w:p>
    <w:p w14:paraId="2F99C0F5" w14:textId="3E2CD358" w:rsidR="005E1578" w:rsidRPr="005E1578" w:rsidRDefault="005E1578" w:rsidP="005E1578">
      <w:pPr>
        <w:pStyle w:val="Odstavecseseznamem"/>
        <w:numPr>
          <w:ilvl w:val="0"/>
          <w:numId w:val="721"/>
        </w:numPr>
        <w:spacing w:after="240" w:line="240" w:lineRule="atLeast"/>
        <w:jc w:val="left"/>
        <w:rPr>
          <w:szCs w:val="24"/>
        </w:rPr>
      </w:pPr>
      <w:r w:rsidRPr="005E1578">
        <w:rPr>
          <w:szCs w:val="24"/>
        </w:rPr>
        <w:t xml:space="preserve">Spolkový ústavní soudní dvůr rozhodl, že nákupy státních dluhopisů Evropskou centrální bankou (ECB) jsou částečně v rozporu s německou ústavou. Informoval o </w:t>
      </w:r>
      <w:r w:rsidRPr="005E1578">
        <w:rPr>
          <w:szCs w:val="24"/>
        </w:rPr>
        <w:lastRenderedPageBreak/>
        <w:t xml:space="preserve">tom server týdeníku Die Zeit. Německý nejvyšší soud tak dal za pravdu několika ústavním stížnostem, které byly na program ECB podány. 3 </w:t>
      </w:r>
      <w:r w:rsidR="002E71F5" w:rsidRPr="005E1578">
        <w:rPr>
          <w:szCs w:val="24"/>
        </w:rPr>
        <w:t>měsíce</w:t>
      </w:r>
      <w:r w:rsidRPr="005E1578">
        <w:rPr>
          <w:szCs w:val="24"/>
        </w:rPr>
        <w:t xml:space="preserve"> na do přerušení, pokud ECB nevysvětli nutnost, ale netýká se dnešních problému korony</w:t>
      </w:r>
    </w:p>
    <w:p w14:paraId="388C489A" w14:textId="77777777" w:rsidR="005E1578" w:rsidRPr="005E1578" w:rsidRDefault="005E1578" w:rsidP="005E1578">
      <w:pPr>
        <w:pStyle w:val="Odstavecseseznamem"/>
        <w:numPr>
          <w:ilvl w:val="0"/>
          <w:numId w:val="721"/>
        </w:numPr>
        <w:spacing w:after="240" w:line="240" w:lineRule="atLeast"/>
        <w:jc w:val="left"/>
        <w:rPr>
          <w:szCs w:val="24"/>
        </w:rPr>
      </w:pPr>
      <w:r w:rsidRPr="005E1578">
        <w:rPr>
          <w:szCs w:val="24"/>
        </w:rPr>
        <w:t>Po dobu trvání mimořádných opatření v souvislosti s pandemií koronaviru nebude možné zvyšovat nájemné bytů. Příslušné nařízení 21.4 schválila vláda a informovalo o něm ministerstvo financí. Cenové moratorium na nájemné bude automaticky ukončeno ke dni, kdy budou zrušena mimořádná opatření.</w:t>
      </w:r>
    </w:p>
    <w:p w14:paraId="78CA0E5D" w14:textId="77777777" w:rsidR="005E1578" w:rsidRPr="005E1578" w:rsidRDefault="004430A1" w:rsidP="005E1578">
      <w:pPr>
        <w:spacing w:after="240" w:line="240" w:lineRule="atLeast"/>
        <w:jc w:val="left"/>
        <w:rPr>
          <w:szCs w:val="24"/>
        </w:rPr>
      </w:pPr>
      <w:hyperlink r:id="rId183" w:history="1">
        <w:r w:rsidR="005E1578" w:rsidRPr="005E1578">
          <w:rPr>
            <w:rStyle w:val="Hypertextovodkaz"/>
            <w:color w:val="auto"/>
            <w:szCs w:val="24"/>
          </w:rPr>
          <w:t>https://www.novinky.cz/ekonomika/clanek/skode-auto-o-ctvrtinu-klesl-zisk-40322256</w:t>
        </w:r>
      </w:hyperlink>
    </w:p>
    <w:p w14:paraId="7A95FE7E" w14:textId="77777777" w:rsidR="005E1578" w:rsidRPr="005E1578" w:rsidRDefault="004430A1" w:rsidP="005E1578">
      <w:pPr>
        <w:spacing w:after="240" w:line="240" w:lineRule="atLeast"/>
        <w:jc w:val="left"/>
        <w:rPr>
          <w:szCs w:val="24"/>
        </w:rPr>
      </w:pPr>
      <w:hyperlink r:id="rId184" w:history="1">
        <w:r w:rsidR="005E1578" w:rsidRPr="005E1578">
          <w:rPr>
            <w:rStyle w:val="Hypertextovodkaz"/>
            <w:color w:val="auto"/>
            <w:szCs w:val="24"/>
          </w:rPr>
          <w:t>https://www.novinky.cz/ekonomika/clanek/dubnovy-schodek-rozpoctu-je-nejhorsi-v-dejinach-ceska-40322832</w:t>
        </w:r>
      </w:hyperlink>
    </w:p>
    <w:p w14:paraId="67511996" w14:textId="77777777" w:rsidR="005E1578" w:rsidRPr="005E1578" w:rsidRDefault="004430A1" w:rsidP="005E1578">
      <w:pPr>
        <w:spacing w:after="240" w:line="240" w:lineRule="atLeast"/>
        <w:jc w:val="left"/>
        <w:rPr>
          <w:szCs w:val="24"/>
        </w:rPr>
      </w:pPr>
      <w:hyperlink r:id="rId185" w:history="1">
        <w:r w:rsidR="005E1578" w:rsidRPr="005E1578">
          <w:rPr>
            <w:rStyle w:val="Hypertextovodkaz"/>
            <w:color w:val="auto"/>
            <w:szCs w:val="24"/>
          </w:rPr>
          <w:t>https://www.novinky.cz/ekonomika/clanek/nakupy-statnich-dluhopisu-evropskou-centralni-bankou-jsou-v-rozporu-s-nemeckou-ustavou-40322947</w:t>
        </w:r>
      </w:hyperlink>
    </w:p>
    <w:p w14:paraId="2D4F8C66" w14:textId="77777777" w:rsidR="005E1578" w:rsidRPr="005E1578" w:rsidRDefault="004430A1" w:rsidP="005E1578">
      <w:pPr>
        <w:spacing w:after="240" w:line="240" w:lineRule="atLeast"/>
        <w:jc w:val="left"/>
        <w:rPr>
          <w:szCs w:val="24"/>
        </w:rPr>
      </w:pPr>
      <w:hyperlink r:id="rId186" w:history="1">
        <w:r w:rsidR="005E1578" w:rsidRPr="005E1578">
          <w:rPr>
            <w:rStyle w:val="Hypertextovodkaz"/>
            <w:color w:val="auto"/>
            <w:szCs w:val="24"/>
          </w:rPr>
          <w:t>https://www.novinky.cz/ekonomika/clanek/vlada-zmrazila-ceny-najemneho-u-bytu-40321583</w:t>
        </w:r>
      </w:hyperlink>
    </w:p>
    <w:p w14:paraId="5FC9F706" w14:textId="24B4B0B7" w:rsidR="005E1578" w:rsidRPr="005E1578" w:rsidRDefault="002E71F5" w:rsidP="005E1578">
      <w:pPr>
        <w:pStyle w:val="Nadpis1"/>
        <w:numPr>
          <w:ilvl w:val="0"/>
          <w:numId w:val="0"/>
        </w:numPr>
        <w:spacing w:after="0" w:afterAutospacing="0"/>
        <w:jc w:val="both"/>
        <w:rPr>
          <w:color w:val="auto"/>
        </w:rPr>
      </w:pPr>
      <w:bookmarkStart w:id="514" w:name="_Toc54254106"/>
      <w:r w:rsidRPr="005E1578">
        <w:rPr>
          <w:color w:val="auto"/>
        </w:rPr>
        <w:t>06. 05. 2020</w:t>
      </w:r>
      <w:bookmarkEnd w:id="514"/>
    </w:p>
    <w:p w14:paraId="62169671" w14:textId="77777777" w:rsidR="005E1578" w:rsidRPr="005E1578" w:rsidRDefault="005E1578" w:rsidP="005E1578">
      <w:pPr>
        <w:pStyle w:val="Odstavecseseznamem"/>
        <w:numPr>
          <w:ilvl w:val="0"/>
          <w:numId w:val="732"/>
        </w:numPr>
        <w:spacing w:after="160" w:line="256" w:lineRule="auto"/>
        <w:jc w:val="left"/>
      </w:pPr>
      <w:r w:rsidRPr="005E1578">
        <w:t>Kurzarbeit</w:t>
      </w:r>
    </w:p>
    <w:p w14:paraId="17965128" w14:textId="77777777" w:rsidR="005E1578" w:rsidRPr="005E1578" w:rsidRDefault="005E1578" w:rsidP="005E1578">
      <w:pPr>
        <w:pStyle w:val="Odstavecseseznamem"/>
        <w:numPr>
          <w:ilvl w:val="1"/>
          <w:numId w:val="732"/>
        </w:numPr>
        <w:spacing w:after="160" w:line="256" w:lineRule="auto"/>
        <w:jc w:val="left"/>
      </w:pPr>
      <w:r w:rsidRPr="005E1578">
        <w:t>Program Antivirus se prodlouží do konce května</w:t>
      </w:r>
    </w:p>
    <w:p w14:paraId="7CB438C7" w14:textId="77777777" w:rsidR="005E1578" w:rsidRPr="005E1578" w:rsidRDefault="005E1578" w:rsidP="005E1578">
      <w:pPr>
        <w:pStyle w:val="Odstavecseseznamem"/>
        <w:numPr>
          <w:ilvl w:val="1"/>
          <w:numId w:val="732"/>
        </w:numPr>
        <w:spacing w:after="160" w:line="256" w:lineRule="auto"/>
        <w:jc w:val="left"/>
      </w:pPr>
      <w:r w:rsidRPr="005E1578">
        <w:t>K 5.5.</w:t>
      </w:r>
    </w:p>
    <w:p w14:paraId="28F334E9" w14:textId="77777777" w:rsidR="005E1578" w:rsidRPr="005E1578" w:rsidRDefault="005E1578" w:rsidP="005E1578">
      <w:pPr>
        <w:pStyle w:val="Odstavecseseznamem"/>
        <w:numPr>
          <w:ilvl w:val="0"/>
          <w:numId w:val="732"/>
        </w:numPr>
        <w:spacing w:after="160" w:line="256" w:lineRule="auto"/>
        <w:jc w:val="left"/>
      </w:pPr>
      <w:r w:rsidRPr="005E1578">
        <w:t>K programu antivirus bylo celkem podáno 49 617 žádostí z toho 29 119 bylo odesláno k výplatě (cca 60 %)</w:t>
      </w:r>
    </w:p>
    <w:p w14:paraId="1541A9FC" w14:textId="77777777" w:rsidR="005E1578" w:rsidRPr="005E1578" w:rsidRDefault="005E1578" w:rsidP="005E1578">
      <w:pPr>
        <w:pStyle w:val="Odstavecseseznamem"/>
        <w:numPr>
          <w:ilvl w:val="0"/>
          <w:numId w:val="732"/>
        </w:numPr>
        <w:spacing w:after="160" w:line="256" w:lineRule="auto"/>
        <w:jc w:val="left"/>
      </w:pPr>
      <w:r w:rsidRPr="005E1578">
        <w:t>Podpořených 267 459 osob</w:t>
      </w:r>
    </w:p>
    <w:p w14:paraId="1322EC23" w14:textId="31A53525" w:rsidR="005E1578" w:rsidRPr="005E1578" w:rsidRDefault="005E1578" w:rsidP="005E1578">
      <w:pPr>
        <w:pStyle w:val="Odstavecseseznamem"/>
        <w:numPr>
          <w:ilvl w:val="0"/>
          <w:numId w:val="732"/>
        </w:numPr>
        <w:spacing w:after="160" w:line="256" w:lineRule="auto"/>
        <w:jc w:val="left"/>
      </w:pPr>
      <w:r w:rsidRPr="005E1578">
        <w:t xml:space="preserve">Celková vyplacená částka 1,8 </w:t>
      </w:r>
      <w:r w:rsidR="002E71F5" w:rsidRPr="005E1578">
        <w:t>mld.</w:t>
      </w:r>
      <w:r w:rsidRPr="005E1578">
        <w:t xml:space="preserve"> Kč</w:t>
      </w:r>
    </w:p>
    <w:p w14:paraId="3DC9A80C" w14:textId="77777777" w:rsidR="005E1578" w:rsidRPr="005E1578" w:rsidRDefault="005E1578" w:rsidP="005E1578">
      <w:pPr>
        <w:pStyle w:val="Odstavecseseznamem"/>
        <w:numPr>
          <w:ilvl w:val="0"/>
          <w:numId w:val="732"/>
        </w:numPr>
        <w:spacing w:after="160" w:line="256" w:lineRule="auto"/>
        <w:jc w:val="left"/>
      </w:pPr>
      <w:r w:rsidRPr="005E1578">
        <w:t>Nezaměstnanost k 5.5.</w:t>
      </w:r>
    </w:p>
    <w:p w14:paraId="7C40AA13" w14:textId="77777777" w:rsidR="005E1578" w:rsidRPr="005E1578" w:rsidRDefault="005E1578" w:rsidP="005E1578">
      <w:pPr>
        <w:pStyle w:val="Odstavecseseznamem"/>
        <w:numPr>
          <w:ilvl w:val="1"/>
          <w:numId w:val="732"/>
        </w:numPr>
        <w:spacing w:after="160" w:line="256" w:lineRule="auto"/>
        <w:jc w:val="left"/>
      </w:pPr>
      <w:r w:rsidRPr="005E1578">
        <w:t>Celkový počet nezaměstnaných 258 007</w:t>
      </w:r>
    </w:p>
    <w:p w14:paraId="57C99350" w14:textId="77777777" w:rsidR="005E1578" w:rsidRPr="005E1578" w:rsidRDefault="005E1578" w:rsidP="005E1578">
      <w:pPr>
        <w:pStyle w:val="Odstavecseseznamem"/>
        <w:numPr>
          <w:ilvl w:val="1"/>
          <w:numId w:val="732"/>
        </w:numPr>
        <w:spacing w:after="160" w:line="256" w:lineRule="auto"/>
        <w:jc w:val="left"/>
      </w:pPr>
      <w:r w:rsidRPr="005E1578">
        <w:t>Podíl nezaměstnaných z celkového počtu uchazečů o zaměstnání: 3,49 %</w:t>
      </w:r>
    </w:p>
    <w:p w14:paraId="6B253A01" w14:textId="77777777" w:rsidR="005E1578" w:rsidRPr="005E1578" w:rsidRDefault="005E1578" w:rsidP="005E1578">
      <w:pPr>
        <w:pStyle w:val="Odstavecseseznamem"/>
        <w:numPr>
          <w:ilvl w:val="0"/>
          <w:numId w:val="732"/>
        </w:numPr>
        <w:spacing w:after="160" w:line="256" w:lineRule="auto"/>
        <w:jc w:val="left"/>
      </w:pPr>
      <w:r w:rsidRPr="005E1578">
        <w:t xml:space="preserve">Dávky mimořádné okamžité pomoci </w:t>
      </w:r>
    </w:p>
    <w:p w14:paraId="0E2F1F51" w14:textId="797C1994" w:rsidR="005E1578" w:rsidRPr="005E1578" w:rsidRDefault="005E1578" w:rsidP="005E1578">
      <w:pPr>
        <w:pStyle w:val="Odstavecseseznamem"/>
        <w:numPr>
          <w:ilvl w:val="1"/>
          <w:numId w:val="732"/>
        </w:numPr>
        <w:spacing w:after="160" w:line="256" w:lineRule="auto"/>
        <w:jc w:val="left"/>
      </w:pPr>
      <w:r w:rsidRPr="005E1578">
        <w:t xml:space="preserve">Od </w:t>
      </w:r>
      <w:r w:rsidR="002E71F5" w:rsidRPr="005E1578">
        <w:t>1. 3</w:t>
      </w:r>
      <w:r w:rsidRPr="005E1578">
        <w:t xml:space="preserve">. celkový počet podaných žádostí činí 7 030 z toho 3 491 přiznaných </w:t>
      </w:r>
    </w:p>
    <w:p w14:paraId="40D13015" w14:textId="1DA6A37C" w:rsidR="005E1578" w:rsidRPr="005E1578" w:rsidRDefault="005E1578" w:rsidP="005E1578">
      <w:pPr>
        <w:pStyle w:val="Odstavecseseznamem"/>
        <w:numPr>
          <w:ilvl w:val="1"/>
          <w:numId w:val="732"/>
        </w:numPr>
        <w:spacing w:after="160" w:line="256" w:lineRule="auto"/>
        <w:jc w:val="left"/>
      </w:pPr>
      <w:r w:rsidRPr="005E1578">
        <w:t xml:space="preserve">Celkem vyplaceno 11,9 </w:t>
      </w:r>
      <w:r w:rsidR="002E71F5" w:rsidRPr="005E1578">
        <w:t>milionů</w:t>
      </w:r>
    </w:p>
    <w:p w14:paraId="342E5E4F" w14:textId="77777777" w:rsidR="005E1578" w:rsidRPr="005E1578" w:rsidRDefault="005E1578" w:rsidP="005E1578">
      <w:pPr>
        <w:pStyle w:val="Odstavecseseznamem"/>
        <w:numPr>
          <w:ilvl w:val="1"/>
          <w:numId w:val="732"/>
        </w:numPr>
        <w:spacing w:after="160" w:line="256" w:lineRule="auto"/>
        <w:jc w:val="left"/>
      </w:pPr>
      <w:r w:rsidRPr="005E1578">
        <w:t>Vyřešeno do 60 min (v případě doložení všech náležitostí)</w:t>
      </w:r>
    </w:p>
    <w:p w14:paraId="71E4DDE1" w14:textId="77777777" w:rsidR="005E1578" w:rsidRPr="005E1578" w:rsidRDefault="005E1578" w:rsidP="005E1578">
      <w:pPr>
        <w:pStyle w:val="Odstavecseseznamem"/>
        <w:numPr>
          <w:ilvl w:val="1"/>
          <w:numId w:val="732"/>
        </w:numPr>
        <w:spacing w:after="160" w:line="256" w:lineRule="auto"/>
        <w:jc w:val="left"/>
      </w:pPr>
      <w:r w:rsidRPr="005E1578">
        <w:t>Chybovost při podávání žádostí je 90 %</w:t>
      </w:r>
    </w:p>
    <w:p w14:paraId="7420F121" w14:textId="77777777" w:rsidR="005E1578" w:rsidRPr="005E1578" w:rsidRDefault="005E1578" w:rsidP="005E1578">
      <w:pPr>
        <w:pStyle w:val="Odstavecseseznamem"/>
        <w:numPr>
          <w:ilvl w:val="2"/>
          <w:numId w:val="732"/>
        </w:numPr>
        <w:spacing w:after="160" w:line="256" w:lineRule="auto"/>
        <w:jc w:val="left"/>
      </w:pPr>
      <w:r w:rsidRPr="005E1578">
        <w:t>Pak vyřízení trvá zpravidla 48 h</w:t>
      </w:r>
    </w:p>
    <w:p w14:paraId="2ECF6A83" w14:textId="77777777" w:rsidR="005E1578" w:rsidRPr="005E1578" w:rsidRDefault="005E1578" w:rsidP="005E1578">
      <w:pPr>
        <w:pStyle w:val="Odstavecseseznamem"/>
        <w:numPr>
          <w:ilvl w:val="1"/>
          <w:numId w:val="732"/>
        </w:numPr>
        <w:spacing w:after="160" w:line="256" w:lineRule="auto"/>
        <w:jc w:val="left"/>
      </w:pPr>
      <w:r w:rsidRPr="005E1578">
        <w:t>Finanční prostředky klient obdrží do cca 3–5 dnů</w:t>
      </w:r>
    </w:p>
    <w:p w14:paraId="6635F03D" w14:textId="77777777" w:rsidR="005E1578" w:rsidRPr="005E1578" w:rsidRDefault="005E1578" w:rsidP="005E1578">
      <w:pPr>
        <w:pStyle w:val="Odstavecseseznamem"/>
        <w:numPr>
          <w:ilvl w:val="0"/>
          <w:numId w:val="732"/>
        </w:numPr>
        <w:spacing w:after="160" w:line="256" w:lineRule="auto"/>
        <w:jc w:val="left"/>
      </w:pPr>
      <w:r w:rsidRPr="005E1578">
        <w:t>Nakonec trocha politologie</w:t>
      </w:r>
    </w:p>
    <w:p w14:paraId="3E4E4D65" w14:textId="77777777" w:rsidR="005E1578" w:rsidRPr="005E1578" w:rsidRDefault="005E1578" w:rsidP="005E1578">
      <w:pPr>
        <w:pStyle w:val="Odstavecseseznamem"/>
        <w:numPr>
          <w:ilvl w:val="1"/>
          <w:numId w:val="732"/>
        </w:numPr>
        <w:spacing w:after="160" w:line="256" w:lineRule="auto"/>
        <w:jc w:val="left"/>
      </w:pPr>
      <w:r w:rsidRPr="005E1578">
        <w:t>Americká nevládní organizace Freedom House, která sleduje stav demokracie v postkomunistických zemích, zveřejnila každoroční zprávu Nations In Transit, která tvrdí, že demokracie ve střední Evropě je od pádu komunismu v největším ohrožení</w:t>
      </w:r>
    </w:p>
    <w:p w14:paraId="5CFBF17C" w14:textId="77777777" w:rsidR="005E1578" w:rsidRPr="005E1578" w:rsidRDefault="005E1578" w:rsidP="005E1578">
      <w:pPr>
        <w:pStyle w:val="Odstavecseseznamem"/>
      </w:pPr>
    </w:p>
    <w:p w14:paraId="486BFB10" w14:textId="00145782" w:rsidR="005E1578" w:rsidRPr="005E1578" w:rsidRDefault="005E1578" w:rsidP="005E1578">
      <w:pPr>
        <w:pStyle w:val="Odstavecseseznamem"/>
        <w:numPr>
          <w:ilvl w:val="1"/>
          <w:numId w:val="732"/>
        </w:numPr>
        <w:spacing w:after="160" w:line="256" w:lineRule="auto"/>
        <w:jc w:val="left"/>
      </w:pPr>
      <w:r w:rsidRPr="005E1578">
        <w:t xml:space="preserve">Jako příklad uvádí Polsko kvůli, kde kvůli pandemii není jisté, kdy se budou konat volby prezidenta (měli se konat </w:t>
      </w:r>
      <w:r w:rsidR="002E71F5" w:rsidRPr="005E1578">
        <w:t>10. 5</w:t>
      </w:r>
      <w:r w:rsidRPr="005E1578">
        <w:t>. 2. kolo 23.5.), vláda ještě ani nerozhodla, zda volby odloží</w:t>
      </w:r>
    </w:p>
    <w:p w14:paraId="718B668E" w14:textId="77777777" w:rsidR="005E1578" w:rsidRPr="005E1578" w:rsidRDefault="005E1578" w:rsidP="005E1578">
      <w:pPr>
        <w:pStyle w:val="Odstavecseseznamem"/>
        <w:numPr>
          <w:ilvl w:val="1"/>
          <w:numId w:val="732"/>
        </w:numPr>
        <w:spacing w:after="160" w:line="256" w:lineRule="auto"/>
        <w:jc w:val="left"/>
      </w:pPr>
      <w:r w:rsidRPr="005E1578">
        <w:lastRenderedPageBreak/>
        <w:t>Další příklad je Maďarsko, kde Orbán odebral kontrolní roli parlamentu a vládne pomocí dekretů. Maďarsko se propadlo ze skupiny konsolidovaných demokracií do skupiny hybridních režimů (tam patří např. Srbsko, Černá hora)</w:t>
      </w:r>
    </w:p>
    <w:p w14:paraId="0BEA5C4F" w14:textId="77777777" w:rsidR="005E1578" w:rsidRPr="005E1578" w:rsidRDefault="005E1578" w:rsidP="005E1578">
      <w:pPr>
        <w:pStyle w:val="Odstavecseseznamem"/>
        <w:numPr>
          <w:ilvl w:val="1"/>
          <w:numId w:val="732"/>
        </w:numPr>
        <w:spacing w:after="160" w:line="256" w:lineRule="auto"/>
        <w:jc w:val="left"/>
      </w:pPr>
      <w:r w:rsidRPr="005E1578">
        <w:t>Freedom House označuje korona krizi jako bod zlomu pro vývoj postkomunistických demokracií.</w:t>
      </w:r>
    </w:p>
    <w:p w14:paraId="38E40CF4" w14:textId="1CF915D5" w:rsidR="005E1578" w:rsidRPr="005E1578" w:rsidRDefault="002E71F5" w:rsidP="005E1578">
      <w:pPr>
        <w:pStyle w:val="Nadpis1"/>
        <w:numPr>
          <w:ilvl w:val="0"/>
          <w:numId w:val="0"/>
        </w:numPr>
        <w:spacing w:after="0" w:afterAutospacing="0"/>
        <w:jc w:val="both"/>
        <w:rPr>
          <w:color w:val="auto"/>
        </w:rPr>
      </w:pPr>
      <w:bookmarkStart w:id="515" w:name="_Toc54254107"/>
      <w:r w:rsidRPr="005E1578">
        <w:rPr>
          <w:color w:val="auto"/>
        </w:rPr>
        <w:t>13. 05. 2020</w:t>
      </w:r>
      <w:bookmarkEnd w:id="515"/>
    </w:p>
    <w:p w14:paraId="1FD1C6B5" w14:textId="1AC73CB6" w:rsidR="005E1578" w:rsidRPr="005E1578" w:rsidRDefault="005E1578" w:rsidP="005E1578">
      <w:pPr>
        <w:pStyle w:val="Contacttext"/>
        <w:numPr>
          <w:ilvl w:val="0"/>
          <w:numId w:val="722"/>
        </w:numPr>
        <w:rPr>
          <w:rFonts w:ascii="Times New Roman" w:hAnsi="Times New Roman"/>
          <w:sz w:val="24"/>
          <w:szCs w:val="24"/>
          <w:lang w:val="en-GB"/>
        </w:rPr>
      </w:pPr>
      <w:r w:rsidRPr="005E1578">
        <w:rPr>
          <w:rFonts w:ascii="Times New Roman" w:hAnsi="Times New Roman"/>
          <w:sz w:val="24"/>
          <w:szCs w:val="24"/>
          <w:lang w:val="en-GB"/>
        </w:rPr>
        <w:t>Možným řešení</w:t>
      </w:r>
      <w:r w:rsidR="002E71F5">
        <w:rPr>
          <w:rFonts w:ascii="Times New Roman" w:hAnsi="Times New Roman"/>
          <w:sz w:val="24"/>
          <w:szCs w:val="24"/>
          <w:lang w:val="en-GB"/>
        </w:rPr>
        <w:t>m</w:t>
      </w:r>
      <w:r w:rsidRPr="005E1578">
        <w:rPr>
          <w:rFonts w:ascii="Times New Roman" w:hAnsi="Times New Roman"/>
          <w:sz w:val="24"/>
          <w:szCs w:val="24"/>
          <w:lang w:val="en-GB"/>
        </w:rPr>
        <w:t xml:space="preserve"> pokrizové situace je šrotovné. Hlavním důvodem této myšlenky je odhad menší produkce automobile o 20 mil. Na 40 mil k roku 2020. Celkově je v Čr 8,1 mil registrovaných automobilů. Také je dobré vědět, že Česko přislíbilo do roku 2030 14% aut v dopravě ekologických. Dnes je elektromobilů zaregistrováno v Čr okolo 4 000 ks.</w:t>
      </w:r>
    </w:p>
    <w:p w14:paraId="4DC0CDF8" w14:textId="77777777" w:rsidR="005E1578" w:rsidRPr="005E1578" w:rsidRDefault="005E1578" w:rsidP="005E1578">
      <w:pPr>
        <w:pStyle w:val="Contacttext"/>
        <w:numPr>
          <w:ilvl w:val="0"/>
          <w:numId w:val="722"/>
        </w:numPr>
        <w:rPr>
          <w:rFonts w:ascii="Times New Roman" w:hAnsi="Times New Roman"/>
          <w:sz w:val="24"/>
          <w:szCs w:val="24"/>
          <w:lang w:val="en-GB"/>
        </w:rPr>
      </w:pPr>
      <w:r w:rsidRPr="005E1578">
        <w:rPr>
          <w:rFonts w:ascii="Times New Roman" w:hAnsi="Times New Roman"/>
          <w:sz w:val="24"/>
          <w:szCs w:val="24"/>
          <w:lang w:val="en-GB"/>
        </w:rPr>
        <w:t>V Praze se díky problematice pronájmů Airbnb zvýšila nabídka dlouhodobých o 12 000.</w:t>
      </w:r>
    </w:p>
    <w:p w14:paraId="78AA701E" w14:textId="77777777" w:rsidR="005E1578" w:rsidRPr="005E1578" w:rsidRDefault="005E1578" w:rsidP="005E1578">
      <w:pPr>
        <w:pStyle w:val="Contacttext"/>
        <w:numPr>
          <w:ilvl w:val="0"/>
          <w:numId w:val="722"/>
        </w:numPr>
        <w:rPr>
          <w:rFonts w:ascii="Times New Roman" w:hAnsi="Times New Roman"/>
          <w:sz w:val="24"/>
          <w:szCs w:val="24"/>
          <w:lang w:val="en-GB"/>
        </w:rPr>
      </w:pPr>
      <w:r w:rsidRPr="005E1578">
        <w:rPr>
          <w:rFonts w:ascii="Times New Roman" w:hAnsi="Times New Roman"/>
          <w:sz w:val="24"/>
          <w:szCs w:val="24"/>
          <w:lang w:val="en-GB"/>
        </w:rPr>
        <w:t>Zrušení daně z převodu nemovitostí sníží příjem státu o 14 miliard.</w:t>
      </w:r>
    </w:p>
    <w:p w14:paraId="3D9C249C" w14:textId="77777777" w:rsidR="005E1578" w:rsidRPr="005E1578" w:rsidRDefault="005E1578" w:rsidP="005E1578">
      <w:pPr>
        <w:pStyle w:val="Contacttext"/>
        <w:numPr>
          <w:ilvl w:val="0"/>
          <w:numId w:val="722"/>
        </w:numPr>
        <w:rPr>
          <w:rFonts w:ascii="Times New Roman" w:hAnsi="Times New Roman"/>
          <w:sz w:val="24"/>
          <w:szCs w:val="24"/>
          <w:lang w:val="en-GB"/>
        </w:rPr>
      </w:pPr>
      <w:r w:rsidRPr="005E1578">
        <w:rPr>
          <w:rFonts w:ascii="Times New Roman" w:hAnsi="Times New Roman"/>
          <w:sz w:val="24"/>
          <w:szCs w:val="24"/>
          <w:lang w:val="en-GB"/>
        </w:rPr>
        <w:t>Míra nezaměstnanosti v dubnu stoupla na 3,4 procenta, zatímco v březnu činila 3 procenta. Ve čtvrtek to uvedl Úřad práce ČR (ÚP ČR). Celkem úřad eviduje 254 040 uchazečů o zaměstnání, což je o 28 362 více než v březnu. Nezaměstnaných je nejvíce od března 2018.</w:t>
      </w:r>
    </w:p>
    <w:p w14:paraId="2A355C4D" w14:textId="77777777" w:rsidR="005E1578" w:rsidRPr="005E1578" w:rsidRDefault="005E1578" w:rsidP="005E1578">
      <w:pPr>
        <w:pStyle w:val="Contacttext"/>
        <w:numPr>
          <w:ilvl w:val="0"/>
          <w:numId w:val="722"/>
        </w:numPr>
        <w:rPr>
          <w:rFonts w:ascii="Times New Roman" w:hAnsi="Times New Roman"/>
          <w:sz w:val="24"/>
          <w:szCs w:val="24"/>
          <w:lang w:val="en-GB"/>
        </w:rPr>
      </w:pPr>
      <w:r w:rsidRPr="005E1578">
        <w:rPr>
          <w:rFonts w:ascii="Times New Roman" w:hAnsi="Times New Roman"/>
          <w:sz w:val="24"/>
          <w:szCs w:val="24"/>
          <w:lang w:val="en-GB"/>
        </w:rPr>
        <w:t>Od vypuknutí koronavirové krize v Česku přerušilo podnikání 15 838 osob samostatně výdělečně činných (OSVČ), což je o 26 procent meziročně víc a o 46 procent víc než v roce 2018.</w:t>
      </w:r>
    </w:p>
    <w:p w14:paraId="5C22B177" w14:textId="77777777" w:rsidR="005E1578" w:rsidRPr="005E1578" w:rsidRDefault="005E1578" w:rsidP="005E1578">
      <w:pPr>
        <w:pStyle w:val="Contacttext"/>
        <w:numPr>
          <w:ilvl w:val="0"/>
          <w:numId w:val="722"/>
        </w:numPr>
        <w:rPr>
          <w:rFonts w:ascii="Times New Roman" w:hAnsi="Times New Roman"/>
          <w:sz w:val="24"/>
          <w:szCs w:val="24"/>
          <w:lang w:val="en-GB"/>
        </w:rPr>
      </w:pPr>
      <w:r w:rsidRPr="005E1578">
        <w:rPr>
          <w:rFonts w:ascii="Times New Roman" w:hAnsi="Times New Roman"/>
          <w:sz w:val="24"/>
          <w:szCs w:val="24"/>
          <w:lang w:val="en-GB"/>
        </w:rPr>
        <w:t>Bankovní rada České národní banky (ČNB) snížila základní úrokovou sazbu o 0,75 bodu na 0,25 procenta. Současně snížila i další dvě úrokové sazby. ČNB to uvedla po čtvrtečním jednání rady.</w:t>
      </w:r>
    </w:p>
    <w:p w14:paraId="39FF049D" w14:textId="77777777" w:rsidR="005E1578" w:rsidRPr="005E1578" w:rsidRDefault="005E1578" w:rsidP="005E1578">
      <w:pPr>
        <w:pStyle w:val="Contacttext"/>
        <w:numPr>
          <w:ilvl w:val="0"/>
          <w:numId w:val="722"/>
        </w:numPr>
        <w:rPr>
          <w:rFonts w:ascii="Times New Roman" w:hAnsi="Times New Roman"/>
          <w:sz w:val="24"/>
          <w:szCs w:val="24"/>
          <w:lang w:val="en-GB"/>
        </w:rPr>
      </w:pPr>
      <w:r w:rsidRPr="005E1578">
        <w:rPr>
          <w:rFonts w:ascii="Times New Roman" w:hAnsi="Times New Roman"/>
          <w:sz w:val="24"/>
          <w:szCs w:val="24"/>
          <w:lang w:val="en-GB"/>
        </w:rPr>
        <w:t>Stavební produkce v březnu meziročně klesla o 2,3 procenta. Vyplynulo to z dat, jež ve čtvrtek zveřejnil Český statistický úřad (ČSÚ). Stavební úřady vydaly meziročně o 14 procent stavebních povolení méně, orientační hodnota povolených projektů se snížila o 17,4 procenta.</w:t>
      </w:r>
    </w:p>
    <w:p w14:paraId="0760C179" w14:textId="77777777" w:rsidR="005E1578" w:rsidRPr="005E1578" w:rsidRDefault="004430A1" w:rsidP="005E1578">
      <w:pPr>
        <w:pStyle w:val="Contacttext"/>
        <w:spacing w:after="240"/>
        <w:rPr>
          <w:rFonts w:ascii="Times New Roman" w:hAnsi="Times New Roman"/>
          <w:sz w:val="24"/>
          <w:szCs w:val="24"/>
        </w:rPr>
      </w:pPr>
      <w:hyperlink r:id="rId187" w:history="1">
        <w:r w:rsidR="005E1578" w:rsidRPr="005E1578">
          <w:rPr>
            <w:rStyle w:val="Hypertextovodkaz"/>
            <w:rFonts w:ascii="Times New Roman" w:hAnsi="Times New Roman"/>
            <w:color w:val="auto"/>
            <w:sz w:val="24"/>
            <w:szCs w:val="24"/>
          </w:rPr>
          <w:t>https://www.novinky.cz/ekonomika/clanek/v-dubnu-pribylo-temer-30-tisic-nezamestnanych-nejvice-roste-nezamestnanost-na-chebsku-40323284</w:t>
        </w:r>
      </w:hyperlink>
    </w:p>
    <w:p w14:paraId="25EAE88B" w14:textId="77777777" w:rsidR="005E1578" w:rsidRPr="005E1578" w:rsidRDefault="004430A1" w:rsidP="005E1578">
      <w:pPr>
        <w:pStyle w:val="Contacttext"/>
        <w:spacing w:after="240"/>
        <w:rPr>
          <w:rFonts w:ascii="Times New Roman" w:hAnsi="Times New Roman"/>
          <w:sz w:val="24"/>
          <w:szCs w:val="24"/>
        </w:rPr>
      </w:pPr>
      <w:hyperlink r:id="rId188" w:history="1">
        <w:r w:rsidR="005E1578" w:rsidRPr="005E1578">
          <w:rPr>
            <w:rStyle w:val="Hypertextovodkaz"/>
            <w:rFonts w:ascii="Times New Roman" w:hAnsi="Times New Roman"/>
            <w:color w:val="auto"/>
            <w:sz w:val="24"/>
            <w:szCs w:val="24"/>
          </w:rPr>
          <w:t>https://www.novinky.cz/ekonomika/clanek/vyrazne-pribylo-prerusenych-podnikani-40323553</w:t>
        </w:r>
      </w:hyperlink>
    </w:p>
    <w:p w14:paraId="3FE7EF11" w14:textId="77777777" w:rsidR="005E1578" w:rsidRPr="005E1578" w:rsidRDefault="004430A1" w:rsidP="005E1578">
      <w:pPr>
        <w:pStyle w:val="Contacttext"/>
        <w:spacing w:after="240"/>
        <w:rPr>
          <w:rFonts w:ascii="Times New Roman" w:hAnsi="Times New Roman"/>
          <w:sz w:val="24"/>
          <w:szCs w:val="24"/>
        </w:rPr>
      </w:pPr>
      <w:hyperlink r:id="rId189" w:history="1">
        <w:r w:rsidR="005E1578" w:rsidRPr="005E1578">
          <w:rPr>
            <w:rStyle w:val="Hypertextovodkaz"/>
            <w:rFonts w:ascii="Times New Roman" w:hAnsi="Times New Roman"/>
            <w:color w:val="auto"/>
            <w:sz w:val="24"/>
            <w:szCs w:val="24"/>
          </w:rPr>
          <w:t>https://www.novinky.cz/ekonomika/clanek/cnb-razantne-snizila-urokove-sazby-40323326</w:t>
        </w:r>
      </w:hyperlink>
    </w:p>
    <w:p w14:paraId="3FCB3F75" w14:textId="77777777" w:rsidR="005E1578" w:rsidRPr="005E1578" w:rsidRDefault="004430A1" w:rsidP="005E1578">
      <w:pPr>
        <w:pStyle w:val="Contacttext"/>
        <w:spacing w:after="240"/>
        <w:rPr>
          <w:rFonts w:ascii="Times New Roman" w:hAnsi="Times New Roman"/>
          <w:sz w:val="24"/>
          <w:szCs w:val="24"/>
        </w:rPr>
      </w:pPr>
      <w:hyperlink r:id="rId190" w:history="1">
        <w:r w:rsidR="005E1578" w:rsidRPr="005E1578">
          <w:rPr>
            <w:rStyle w:val="Hypertextovodkaz"/>
            <w:rFonts w:ascii="Times New Roman" w:hAnsi="Times New Roman"/>
            <w:color w:val="auto"/>
            <w:sz w:val="24"/>
            <w:szCs w:val="24"/>
          </w:rPr>
          <w:t>https://www.novinky.cz/koronavirus/clanek/stavebnictvi-v-breznu-kleslo-prispela-k-tomu-omezeni-na-uradech-i-zavrene-hranice-40323280</w:t>
        </w:r>
      </w:hyperlink>
    </w:p>
    <w:p w14:paraId="734E5500" w14:textId="77777777" w:rsidR="005E1578" w:rsidRPr="005E1578" w:rsidRDefault="005E1578" w:rsidP="005E1578">
      <w:pPr>
        <w:spacing w:after="240" w:line="240" w:lineRule="atLeast"/>
        <w:rPr>
          <w:szCs w:val="24"/>
        </w:rPr>
      </w:pPr>
      <w:r w:rsidRPr="005E1578">
        <w:rPr>
          <w:szCs w:val="24"/>
        </w:rPr>
        <w:t>Ekonom číslo 18 a 19 2020</w:t>
      </w:r>
    </w:p>
    <w:p w14:paraId="1F1FD79D" w14:textId="77777777" w:rsidR="005E1578" w:rsidRPr="005E1578" w:rsidRDefault="005E1578" w:rsidP="005E1578">
      <w:pPr>
        <w:pStyle w:val="Nadpis1"/>
        <w:numPr>
          <w:ilvl w:val="0"/>
          <w:numId w:val="0"/>
        </w:numPr>
        <w:spacing w:after="0" w:afterAutospacing="0"/>
        <w:jc w:val="both"/>
        <w:rPr>
          <w:color w:val="auto"/>
        </w:rPr>
      </w:pPr>
      <w:bookmarkStart w:id="516" w:name="_Toc54254108"/>
      <w:r w:rsidRPr="005E1578">
        <w:rPr>
          <w:color w:val="auto"/>
        </w:rPr>
        <w:t>13.05.2020</w:t>
      </w:r>
      <w:bookmarkEnd w:id="516"/>
    </w:p>
    <w:p w14:paraId="239F6A31" w14:textId="77777777" w:rsidR="005E1578" w:rsidRPr="005E1578" w:rsidRDefault="005E1578" w:rsidP="005E1578">
      <w:pPr>
        <w:pStyle w:val="Odstavecseseznamem"/>
        <w:numPr>
          <w:ilvl w:val="0"/>
          <w:numId w:val="733"/>
        </w:numPr>
        <w:spacing w:after="160" w:line="256" w:lineRule="auto"/>
        <w:jc w:val="left"/>
      </w:pPr>
      <w:r w:rsidRPr="005E1578">
        <w:t>Přibylo přerušených podnikání</w:t>
      </w:r>
    </w:p>
    <w:p w14:paraId="35B9B092" w14:textId="77777777" w:rsidR="005E1578" w:rsidRPr="005E1578" w:rsidRDefault="005E1578" w:rsidP="005E1578">
      <w:pPr>
        <w:pStyle w:val="Odstavecseseznamem"/>
        <w:numPr>
          <w:ilvl w:val="1"/>
          <w:numId w:val="733"/>
        </w:numPr>
        <w:spacing w:after="160" w:line="256" w:lineRule="auto"/>
        <w:jc w:val="left"/>
      </w:pPr>
      <w:r w:rsidRPr="005E1578">
        <w:t>Od vypuknutí koronavirové krize v ČR přerušilo podnikání 15 838 podnikatelů, o čtvrtinu víc než ve stejném období loni a o polovinu více než předloni.</w:t>
      </w:r>
    </w:p>
    <w:p w14:paraId="2FB7918E" w14:textId="77777777" w:rsidR="005E1578" w:rsidRPr="005E1578" w:rsidRDefault="005E1578" w:rsidP="005E1578">
      <w:pPr>
        <w:pStyle w:val="Odstavecseseznamem"/>
        <w:numPr>
          <w:ilvl w:val="0"/>
          <w:numId w:val="733"/>
        </w:numPr>
        <w:spacing w:after="160" w:line="256" w:lineRule="auto"/>
        <w:jc w:val="left"/>
      </w:pPr>
      <w:r w:rsidRPr="005E1578">
        <w:t>Inflace v dubnu kvůli levnějšímu benzínu zpomalila</w:t>
      </w:r>
    </w:p>
    <w:p w14:paraId="3057B720" w14:textId="77777777" w:rsidR="005E1578" w:rsidRPr="005E1578" w:rsidRDefault="005E1578" w:rsidP="005E1578">
      <w:pPr>
        <w:pStyle w:val="Odstavecseseznamem"/>
        <w:numPr>
          <w:ilvl w:val="1"/>
          <w:numId w:val="733"/>
        </w:numPr>
        <w:spacing w:after="160" w:line="256" w:lineRule="auto"/>
        <w:jc w:val="left"/>
      </w:pPr>
      <w:r w:rsidRPr="005E1578">
        <w:lastRenderedPageBreak/>
        <w:t>Zvyšování cen v dubnu v meziročním srovnání zpomalilo z březnových 3,4 na 3,2 procenta. Ve středu to oznámil Český statistický úřad (ČSÚ). Zpomalení inflace statistici přičítají poklesu cen pohonných hmot. Naopak nadále zdražují potraviny jako ovoce a zelenina, uzeniny nebo vepřové maso.</w:t>
      </w:r>
    </w:p>
    <w:p w14:paraId="3019057E" w14:textId="77777777" w:rsidR="005E1578" w:rsidRPr="005E1578" w:rsidRDefault="005E1578" w:rsidP="005E1578">
      <w:pPr>
        <w:pStyle w:val="Odstavecseseznamem"/>
        <w:numPr>
          <w:ilvl w:val="0"/>
          <w:numId w:val="733"/>
        </w:numPr>
        <w:spacing w:after="160" w:line="256" w:lineRule="auto"/>
        <w:jc w:val="left"/>
      </w:pPr>
      <w:r w:rsidRPr="005E1578">
        <w:t>Tržby služeb klesly o 3,5 procenta, krvácely hlavně cestovky a hospody</w:t>
      </w:r>
    </w:p>
    <w:p w14:paraId="4AF47576" w14:textId="77777777" w:rsidR="005E1578" w:rsidRPr="005E1578" w:rsidRDefault="005E1578" w:rsidP="005E1578">
      <w:pPr>
        <w:pStyle w:val="Odstavecseseznamem"/>
        <w:numPr>
          <w:ilvl w:val="1"/>
          <w:numId w:val="733"/>
        </w:numPr>
        <w:spacing w:after="160" w:line="256" w:lineRule="auto"/>
        <w:jc w:val="left"/>
      </w:pPr>
      <w:r w:rsidRPr="005E1578">
        <w:t>Tržby poskytovatelů služeb v Česku klesly v prvním čtvrtletí letošního roku meziročně o 3,5 procenta. Nejhůře dopadla zejména odvětví spojená s cestovním ruchem (ČSÚ). Nejvíce se propadly tržby v ubytování, stravování a pohostinství, kde klesly o 14,8 procenta. V ubytování se snížily téměř o čtvrtinu a ve stravování a pohostinství o 11,1 procenta. Nejvýrazněji, o 27,2 procenta, se pokles projevil u cestovních agentur. Dalšími klesajícími odvětvími byly činnosti související se stavbami a úpravou krajiny, činnosti v pronájmu a operativním leasingu a v administrativní a kancelářské činnosti. Jedinou růstovou sekcí byly v prvním čtvrtletí informační a komunikační činnosti, kde se tržby zvýšily o 4,2 procenta.</w:t>
      </w:r>
    </w:p>
    <w:p w14:paraId="1F4AFCAC" w14:textId="77777777" w:rsidR="005E1578" w:rsidRPr="005E1578" w:rsidRDefault="005E1578" w:rsidP="005E1578">
      <w:pPr>
        <w:pStyle w:val="Odstavecseseznamem"/>
        <w:numPr>
          <w:ilvl w:val="0"/>
          <w:numId w:val="733"/>
        </w:numPr>
        <w:spacing w:after="160" w:line="256" w:lineRule="auto"/>
        <w:jc w:val="left"/>
      </w:pPr>
      <w:r w:rsidRPr="005E1578">
        <w:t>ČNB razantně snížila úrokové sazby</w:t>
      </w:r>
    </w:p>
    <w:p w14:paraId="1ACC0CEE" w14:textId="77777777" w:rsidR="005E1578" w:rsidRPr="005E1578" w:rsidRDefault="005E1578" w:rsidP="005E1578">
      <w:pPr>
        <w:pStyle w:val="Odstavecseseznamem"/>
        <w:numPr>
          <w:ilvl w:val="1"/>
          <w:numId w:val="733"/>
        </w:numPr>
        <w:spacing w:after="160" w:line="256" w:lineRule="auto"/>
        <w:jc w:val="left"/>
      </w:pPr>
      <w:r w:rsidRPr="005E1578">
        <w:t>Bankovní rada České národní banky (ČNB) snížila základní úrokovou sazbu o 0,75 bodu na 0,25 procenta. Současně snížila i další dvě úrokové sazby. Základní sazba (takzvaná repo sazba) upravuje výši úroku, za který si ČNB může půjčit peníze od bank, pokud chce snížit objem peněz v oběhu. Od této sazby se také odvíjí úročení spotřebitelských úvěrů. ČNB kromě toho snížila lombardní sazbu o 1 procentní bod na 1 procento. Diskontní sazbu centrální bankéři ponechali na 0,05 procenta.</w:t>
      </w:r>
    </w:p>
    <w:p w14:paraId="2118D404" w14:textId="77777777" w:rsidR="005E1578" w:rsidRPr="005E1578" w:rsidRDefault="005E1578" w:rsidP="005E1578">
      <w:pPr>
        <w:pStyle w:val="Odstavecseseznamem"/>
        <w:numPr>
          <w:ilvl w:val="0"/>
          <w:numId w:val="733"/>
        </w:numPr>
        <w:spacing w:after="160" w:line="256" w:lineRule="auto"/>
        <w:jc w:val="left"/>
      </w:pPr>
      <w:r w:rsidRPr="005E1578">
        <w:t>V dubnu přibylo téměř 30 tisíc nezaměstnaných</w:t>
      </w:r>
    </w:p>
    <w:p w14:paraId="508A50DA" w14:textId="77777777" w:rsidR="005E1578" w:rsidRPr="005E1578" w:rsidRDefault="005E1578" w:rsidP="005E1578">
      <w:pPr>
        <w:pStyle w:val="Odstavecseseznamem"/>
        <w:numPr>
          <w:ilvl w:val="1"/>
          <w:numId w:val="733"/>
        </w:numPr>
        <w:spacing w:after="160" w:line="256" w:lineRule="auto"/>
        <w:jc w:val="left"/>
      </w:pPr>
      <w:r w:rsidRPr="005E1578">
        <w:t>Míra nezaměstnanosti v dubnu stoupla na 3,4 procenta, zatímco v březnu činila 3 procenta. Ve čtvrtek to uvedl Úřad práce ČR (ÚP ČR). Celkem úřad eviduje 254 040 uchazečů o zaměstnání, což je o 28 362 více než v březnu. Nezaměstnaných je nejvíce od března 2018. Podle hlavního ekonoma skupiny Natland Petra Bartoně současná čísla neukazují celou skutečnost. „Ve statistikách nejsou vykázáni ti, kteří si namísto nástupu na Úřad práce zvolili nástup na nemocenskou,” podotkl.</w:t>
      </w:r>
    </w:p>
    <w:p w14:paraId="654CAC43" w14:textId="77777777" w:rsidR="005E1578" w:rsidRPr="005E1578" w:rsidRDefault="005E1578" w:rsidP="005E1578">
      <w:pPr>
        <w:pStyle w:val="Odstavecseseznamem"/>
        <w:spacing w:line="240" w:lineRule="auto"/>
      </w:pPr>
    </w:p>
    <w:p w14:paraId="497963DA" w14:textId="77777777" w:rsidR="005E1578" w:rsidRPr="005E1578" w:rsidRDefault="005E1578" w:rsidP="005E1578">
      <w:pPr>
        <w:pStyle w:val="Odstavecseseznamem"/>
        <w:numPr>
          <w:ilvl w:val="0"/>
          <w:numId w:val="733"/>
        </w:numPr>
        <w:spacing w:line="240" w:lineRule="auto"/>
      </w:pPr>
      <w:r w:rsidRPr="005E1578">
        <w:t>V dubnu došlo k poklesu inflace o 0,2 p.b. na 3,2 %. Analytici jako hlavní důvod udávají velmi nízké ceny pohonných hmot. I přes pokles inflace nadále skokově rostou ceny potravin, především ovoce a zeleniny.</w:t>
      </w:r>
    </w:p>
    <w:p w14:paraId="50F8700C" w14:textId="77777777" w:rsidR="005E1578" w:rsidRPr="005E1578" w:rsidRDefault="005E1578" w:rsidP="005E1578">
      <w:pPr>
        <w:pStyle w:val="Odstavecseseznamem"/>
        <w:spacing w:line="240" w:lineRule="auto"/>
      </w:pPr>
    </w:p>
    <w:p w14:paraId="65EF4BA2" w14:textId="77777777" w:rsidR="005E1578" w:rsidRPr="005E1578" w:rsidRDefault="005E1578" w:rsidP="005E1578">
      <w:pPr>
        <w:pStyle w:val="Odstavecseseznamem"/>
        <w:numPr>
          <w:ilvl w:val="0"/>
          <w:numId w:val="733"/>
        </w:numPr>
        <w:spacing w:line="240" w:lineRule="auto"/>
      </w:pPr>
      <w:r w:rsidRPr="005E1578">
        <w:t xml:space="preserve">Vláda schválila novelu týkající se přeshraničního elektronického obchodu. Od roku 2021 bude v celé Evropské unii zrušeno osvobození od platby DPH při dovozu malých zásilek do 22 eur ze zemí mimo Evropskou unii. Jedná se o snahu „narovnat trh“, protože evropské podniky mohly jen těžko cenově konkurovat levnému čínskému zboží, u kterého se nemuselo platit DPH (u „evropského“ zboží žádné osvobození nebylo). Evropská unie očekává zisk z DPH pro členské země v celkové výš 7 miliard eur. </w:t>
      </w:r>
    </w:p>
    <w:p w14:paraId="28356670" w14:textId="77777777" w:rsidR="005E1578" w:rsidRPr="005E1578" w:rsidRDefault="005E1578" w:rsidP="005E1578">
      <w:pPr>
        <w:pStyle w:val="Odstavecseseznamem"/>
        <w:spacing w:line="240" w:lineRule="auto"/>
      </w:pPr>
    </w:p>
    <w:p w14:paraId="23A78F56" w14:textId="77777777" w:rsidR="005E1578" w:rsidRPr="005E1578" w:rsidRDefault="005E1578" w:rsidP="005E1578">
      <w:pPr>
        <w:pStyle w:val="Odstavecseseznamem"/>
        <w:numPr>
          <w:ilvl w:val="0"/>
          <w:numId w:val="733"/>
        </w:numPr>
        <w:spacing w:line="240" w:lineRule="auto"/>
      </w:pPr>
      <w:r w:rsidRPr="005E1578">
        <w:t>V dubnu došlo k nárůstu nezaměstnanosti. V ČR se míra nezaměstnanosti (Úřad práce) zvýšila o 0,4 p.b. na 3,4 %.</w:t>
      </w:r>
    </w:p>
    <w:p w14:paraId="6E329601" w14:textId="77777777" w:rsidR="005E1578" w:rsidRDefault="005E1578" w:rsidP="005E1578">
      <w:pPr>
        <w:pStyle w:val="Odstavecseseznamem"/>
        <w:numPr>
          <w:ilvl w:val="0"/>
          <w:numId w:val="733"/>
        </w:numPr>
        <w:spacing w:line="240" w:lineRule="auto"/>
      </w:pPr>
      <w:r w:rsidRPr="005E1578">
        <w:t xml:space="preserve">Došlo k dalšímu razantnímu snížení úrokových sazeb. Bankovní rada se rozhodla snížit úrokové sazby o 0,75 bodu na úroveň 0,25 %. Za poslední 3 měsíce tak došlo ke </w:t>
      </w:r>
      <w:r w:rsidRPr="005E1578">
        <w:lastRenderedPageBreak/>
        <w:t>snížení o celé 2 procentní body. Na snížení ihned zareagovala česká koruna depreciací.</w:t>
      </w:r>
    </w:p>
    <w:p w14:paraId="77E80A8E" w14:textId="77777777" w:rsidR="00882717" w:rsidRDefault="00882717" w:rsidP="00882717">
      <w:pPr>
        <w:spacing w:line="240" w:lineRule="auto"/>
      </w:pPr>
    </w:p>
    <w:p w14:paraId="52CDBA3E" w14:textId="77777777" w:rsidR="00882717" w:rsidRDefault="00882717" w:rsidP="00882717">
      <w:pPr>
        <w:spacing w:line="240" w:lineRule="auto"/>
      </w:pPr>
    </w:p>
    <w:p w14:paraId="5AB393BE" w14:textId="77777777" w:rsidR="00882717" w:rsidRPr="00775C40" w:rsidRDefault="00882717" w:rsidP="00882717">
      <w:pPr>
        <w:rPr>
          <w:rFonts w:cstheme="minorHAnsi"/>
          <w:b/>
          <w:sz w:val="28"/>
          <w:szCs w:val="24"/>
        </w:rPr>
      </w:pPr>
      <w:r w:rsidRPr="00775C40">
        <w:rPr>
          <w:rFonts w:cstheme="minorHAnsi"/>
          <w:b/>
          <w:sz w:val="28"/>
          <w:szCs w:val="24"/>
        </w:rPr>
        <w:t xml:space="preserve">Přehled </w:t>
      </w:r>
      <w:r>
        <w:rPr>
          <w:rFonts w:cstheme="minorHAnsi"/>
          <w:b/>
          <w:sz w:val="28"/>
          <w:szCs w:val="24"/>
        </w:rPr>
        <w:t xml:space="preserve">stabilizačních </w:t>
      </w:r>
      <w:r w:rsidRPr="00775C40">
        <w:rPr>
          <w:rFonts w:cstheme="minorHAnsi"/>
          <w:b/>
          <w:sz w:val="28"/>
          <w:szCs w:val="24"/>
        </w:rPr>
        <w:t xml:space="preserve">opatření ČNB </w:t>
      </w:r>
      <w:r>
        <w:rPr>
          <w:rFonts w:cstheme="minorHAnsi"/>
          <w:b/>
          <w:sz w:val="28"/>
          <w:szCs w:val="24"/>
        </w:rPr>
        <w:t>v souvislosti s epidemií koronaviru</w:t>
      </w:r>
    </w:p>
    <w:p w14:paraId="0C01F819" w14:textId="77777777" w:rsidR="00882717" w:rsidRDefault="00882717" w:rsidP="00882717">
      <w:pPr>
        <w:rPr>
          <w:rFonts w:cstheme="minorHAnsi"/>
          <w:szCs w:val="24"/>
        </w:rPr>
      </w:pPr>
      <w:r w:rsidRPr="00F52D72">
        <w:rPr>
          <w:rFonts w:cstheme="minorHAnsi"/>
          <w:szCs w:val="24"/>
        </w:rPr>
        <w:t xml:space="preserve">ČNB očekává, že v důsledku koronavirové nákazy a s ní spojených opatření dojde k silné recesi, ve které česká ekonomika setrvá po celý zbytek letošního roku. </w:t>
      </w:r>
    </w:p>
    <w:p w14:paraId="4297883C" w14:textId="77777777" w:rsidR="00882717" w:rsidRDefault="00882717" w:rsidP="00882717">
      <w:pPr>
        <w:rPr>
          <w:rFonts w:cstheme="minorHAnsi"/>
          <w:szCs w:val="24"/>
        </w:rPr>
      </w:pPr>
      <w:r w:rsidRPr="00F52D72">
        <w:rPr>
          <w:rFonts w:cstheme="minorHAnsi"/>
          <w:szCs w:val="24"/>
        </w:rPr>
        <w:t xml:space="preserve">Bankovní rada ČNB </w:t>
      </w:r>
      <w:r>
        <w:rPr>
          <w:rFonts w:cstheme="minorHAnsi"/>
          <w:szCs w:val="24"/>
        </w:rPr>
        <w:t xml:space="preserve">dne </w:t>
      </w:r>
      <w:r w:rsidRPr="00F52D72">
        <w:rPr>
          <w:rFonts w:cstheme="minorHAnsi"/>
          <w:szCs w:val="24"/>
        </w:rPr>
        <w:t xml:space="preserve">16. března 2020 na mimořádném měnovém jednání jednomyslně rozhodla o opatřeních na zmírnění dopadů situace způsobené epidemií koronaviru na české firmy, podnikatele a domácnosti. </w:t>
      </w:r>
      <w:r>
        <w:rPr>
          <w:rFonts w:cstheme="minorHAnsi"/>
          <w:szCs w:val="24"/>
        </w:rPr>
        <w:t>(</w:t>
      </w:r>
      <w:hyperlink r:id="rId191" w:history="1">
        <w:r w:rsidRPr="00F52D72">
          <w:rPr>
            <w:rStyle w:val="Hypertextovodkaz"/>
            <w:rFonts w:cstheme="minorHAnsi"/>
            <w:szCs w:val="24"/>
          </w:rPr>
          <w:t>ČNB</w:t>
        </w:r>
      </w:hyperlink>
      <w:r>
        <w:rPr>
          <w:rFonts w:cstheme="minorHAnsi"/>
          <w:szCs w:val="24"/>
        </w:rPr>
        <w:t xml:space="preserve">) </w:t>
      </w:r>
      <w:r w:rsidRPr="00F52D72">
        <w:rPr>
          <w:rFonts w:cstheme="minorHAnsi"/>
          <w:szCs w:val="24"/>
        </w:rPr>
        <w:t>Následovaly další kroky ČNB schválené 26. března 2020 a 7. května 2020.</w:t>
      </w:r>
      <w:r>
        <w:rPr>
          <w:rFonts w:cstheme="minorHAnsi"/>
          <w:szCs w:val="24"/>
        </w:rPr>
        <w:t xml:space="preserve"> </w:t>
      </w:r>
    </w:p>
    <w:p w14:paraId="0A37F936" w14:textId="77777777" w:rsidR="00882717" w:rsidRPr="00775C40" w:rsidRDefault="00882717" w:rsidP="00882717">
      <w:pPr>
        <w:rPr>
          <w:rFonts w:cstheme="minorHAnsi"/>
          <w:szCs w:val="24"/>
        </w:rPr>
      </w:pPr>
    </w:p>
    <w:p w14:paraId="2BBABB86" w14:textId="77777777" w:rsidR="00882717" w:rsidRPr="00180340" w:rsidRDefault="00882717" w:rsidP="00882717">
      <w:pPr>
        <w:rPr>
          <w:rFonts w:cstheme="minorHAnsi"/>
          <w:b/>
          <w:szCs w:val="24"/>
          <w:u w:val="single"/>
        </w:rPr>
      </w:pPr>
      <w:r w:rsidRPr="00180340">
        <w:rPr>
          <w:rFonts w:cstheme="minorHAnsi"/>
          <w:b/>
          <w:szCs w:val="24"/>
          <w:u w:val="single"/>
        </w:rPr>
        <w:t xml:space="preserve">Měnová politika </w:t>
      </w:r>
    </w:p>
    <w:p w14:paraId="35B8BCA0" w14:textId="77777777" w:rsidR="00882717" w:rsidRDefault="00882717" w:rsidP="00882717">
      <w:pPr>
        <w:rPr>
          <w:rFonts w:cstheme="minorHAnsi"/>
          <w:szCs w:val="24"/>
        </w:rPr>
      </w:pPr>
      <w:r w:rsidRPr="00775C40">
        <w:rPr>
          <w:rFonts w:cstheme="minorHAnsi"/>
          <w:szCs w:val="24"/>
        </w:rPr>
        <w:t xml:space="preserve">ČNB ve třech krocích postupně snížila všechny základní úrokové sazby. </w:t>
      </w:r>
    </w:p>
    <w:p w14:paraId="0B2921C4" w14:textId="77777777" w:rsidR="00882717" w:rsidRDefault="00882717" w:rsidP="00882717">
      <w:pPr>
        <w:rPr>
          <w:rFonts w:cstheme="minorHAnsi"/>
          <w:szCs w:val="24"/>
        </w:rPr>
      </w:pPr>
      <w:r>
        <w:rPr>
          <w:rFonts w:cstheme="minorHAnsi"/>
          <w:b/>
          <w:szCs w:val="24"/>
        </w:rPr>
        <w:t>16. března</w:t>
      </w:r>
      <w:r w:rsidRPr="00894F90">
        <w:rPr>
          <w:rFonts w:cstheme="minorHAnsi"/>
          <w:b/>
          <w:szCs w:val="24"/>
        </w:rPr>
        <w:t xml:space="preserve"> 2020</w:t>
      </w:r>
      <w:r>
        <w:rPr>
          <w:rFonts w:cstheme="minorHAnsi"/>
          <w:szCs w:val="24"/>
        </w:rPr>
        <w:t xml:space="preserve"> B</w:t>
      </w:r>
      <w:r w:rsidRPr="00775C40">
        <w:rPr>
          <w:rFonts w:cstheme="minorHAnsi"/>
          <w:szCs w:val="24"/>
        </w:rPr>
        <w:t xml:space="preserve">ankovní rada </w:t>
      </w:r>
      <w:r>
        <w:rPr>
          <w:rFonts w:cstheme="minorHAnsi"/>
          <w:szCs w:val="24"/>
        </w:rPr>
        <w:t>ČNB</w:t>
      </w:r>
      <w:r w:rsidRPr="00775C40">
        <w:rPr>
          <w:rFonts w:cstheme="minorHAnsi"/>
          <w:szCs w:val="24"/>
        </w:rPr>
        <w:t xml:space="preserve"> na svém mimořádném měnovém jednání snížila dvoutýdenní repo sazbu o 0,5 procentního bodu na 1,75 %. Současně rozhodla o snížení lombardní sazby na 2,75 % a diskontní sazby na 0,75 %.</w:t>
      </w:r>
      <w:r>
        <w:rPr>
          <w:rFonts w:cstheme="minorHAnsi"/>
          <w:szCs w:val="24"/>
        </w:rPr>
        <w:t xml:space="preserve"> </w:t>
      </w:r>
      <w:r w:rsidRPr="00775C40">
        <w:rPr>
          <w:rFonts w:cstheme="minorHAnsi"/>
          <w:szCs w:val="24"/>
        </w:rPr>
        <w:t>Bankovní rada vyjádřila svou připravenost úrokové sazby dále snížit, pokud si to ekonomický vývoj vyžádá.</w:t>
      </w:r>
      <w:r>
        <w:rPr>
          <w:rFonts w:cstheme="minorHAnsi"/>
          <w:szCs w:val="24"/>
        </w:rPr>
        <w:t xml:space="preserve"> (</w:t>
      </w:r>
      <w:hyperlink r:id="rId192" w:history="1">
        <w:r w:rsidRPr="00221EFE">
          <w:rPr>
            <w:rStyle w:val="Hypertextovodkaz"/>
            <w:rFonts w:cstheme="minorHAnsi"/>
            <w:szCs w:val="24"/>
          </w:rPr>
          <w:t>ČNB</w:t>
        </w:r>
      </w:hyperlink>
      <w:r>
        <w:rPr>
          <w:rFonts w:cstheme="minorHAnsi"/>
          <w:szCs w:val="24"/>
        </w:rPr>
        <w:t>)</w:t>
      </w:r>
    </w:p>
    <w:p w14:paraId="2060366E" w14:textId="77777777" w:rsidR="00882717" w:rsidRDefault="00882717" w:rsidP="00882717">
      <w:pPr>
        <w:rPr>
          <w:rFonts w:cstheme="minorHAnsi"/>
          <w:szCs w:val="24"/>
        </w:rPr>
      </w:pPr>
    </w:p>
    <w:p w14:paraId="4401154C" w14:textId="77777777" w:rsidR="00882717" w:rsidRDefault="00882717" w:rsidP="00882717">
      <w:pPr>
        <w:rPr>
          <w:rFonts w:cstheme="minorHAnsi"/>
          <w:szCs w:val="24"/>
        </w:rPr>
      </w:pPr>
      <w:r>
        <w:rPr>
          <w:rFonts w:cstheme="minorHAnsi"/>
          <w:szCs w:val="24"/>
        </w:rPr>
        <w:t xml:space="preserve">Dne </w:t>
      </w:r>
      <w:r w:rsidRPr="00894F90">
        <w:rPr>
          <w:rFonts w:cstheme="minorHAnsi"/>
          <w:b/>
          <w:szCs w:val="24"/>
        </w:rPr>
        <w:t>26. března 2020</w:t>
      </w:r>
      <w:r w:rsidRPr="00775C40">
        <w:rPr>
          <w:rFonts w:cstheme="minorHAnsi"/>
          <w:szCs w:val="24"/>
        </w:rPr>
        <w:t xml:space="preserve"> </w:t>
      </w:r>
      <w:r w:rsidRPr="00221EFE">
        <w:rPr>
          <w:rFonts w:cstheme="minorHAnsi"/>
          <w:szCs w:val="24"/>
        </w:rPr>
        <w:t xml:space="preserve">Bankovní rada </w:t>
      </w:r>
      <w:r>
        <w:rPr>
          <w:rFonts w:cstheme="minorHAnsi"/>
          <w:szCs w:val="24"/>
        </w:rPr>
        <w:t>ČNB opět</w:t>
      </w:r>
      <w:r w:rsidRPr="00221EFE">
        <w:rPr>
          <w:rFonts w:cstheme="minorHAnsi"/>
          <w:szCs w:val="24"/>
        </w:rPr>
        <w:t xml:space="preserve"> snížila dvoutýdenní repo sazbu o 75 bazických bodů na 1,00 %. Současně rozhodla o snížení lombardní sazby na 2,00 % a diskontní sazby na 0,05 %.</w:t>
      </w:r>
      <w:r>
        <w:rPr>
          <w:rFonts w:cstheme="minorHAnsi"/>
          <w:szCs w:val="24"/>
        </w:rPr>
        <w:t xml:space="preserve"> </w:t>
      </w:r>
      <w:r w:rsidRPr="00221EFE">
        <w:rPr>
          <w:rFonts w:cstheme="minorHAnsi"/>
          <w:szCs w:val="24"/>
        </w:rPr>
        <w:t>Bankovní rada se pro další snížení úrokových sazeb rozhodla v reakci na očekávané dopady koronavirové pandemie do české ekonomiky</w:t>
      </w:r>
      <w:r>
        <w:rPr>
          <w:rFonts w:cstheme="minorHAnsi"/>
          <w:szCs w:val="24"/>
        </w:rPr>
        <w:t>. (</w:t>
      </w:r>
      <w:hyperlink r:id="rId193" w:history="1">
        <w:r w:rsidRPr="00221EFE">
          <w:rPr>
            <w:rStyle w:val="Hypertextovodkaz"/>
            <w:rFonts w:cstheme="minorHAnsi"/>
            <w:szCs w:val="24"/>
          </w:rPr>
          <w:t>ČNB</w:t>
        </w:r>
      </w:hyperlink>
      <w:r>
        <w:rPr>
          <w:rFonts w:cstheme="minorHAnsi"/>
          <w:szCs w:val="24"/>
        </w:rPr>
        <w:t>)</w:t>
      </w:r>
    </w:p>
    <w:p w14:paraId="2614DB13" w14:textId="77777777" w:rsidR="00882717" w:rsidRPr="00775C40" w:rsidRDefault="00882717" w:rsidP="00882717">
      <w:pPr>
        <w:rPr>
          <w:rFonts w:cstheme="minorHAnsi"/>
          <w:szCs w:val="24"/>
        </w:rPr>
      </w:pPr>
    </w:p>
    <w:p w14:paraId="789AEE2E" w14:textId="77777777" w:rsidR="00882717" w:rsidRDefault="00882717" w:rsidP="00882717">
      <w:pPr>
        <w:rPr>
          <w:rFonts w:cstheme="minorHAnsi"/>
          <w:szCs w:val="24"/>
        </w:rPr>
      </w:pPr>
      <w:r w:rsidRPr="00894F90">
        <w:rPr>
          <w:rFonts w:cstheme="minorHAnsi"/>
          <w:b/>
          <w:szCs w:val="24"/>
        </w:rPr>
        <w:t>7. května</w:t>
      </w:r>
      <w:r w:rsidRPr="00775C40">
        <w:rPr>
          <w:rFonts w:cstheme="minorHAnsi"/>
          <w:szCs w:val="24"/>
        </w:rPr>
        <w:t xml:space="preserve"> došlo </w:t>
      </w:r>
      <w:r>
        <w:rPr>
          <w:rFonts w:cstheme="minorHAnsi"/>
          <w:szCs w:val="24"/>
        </w:rPr>
        <w:t xml:space="preserve">k dalšímu snížení repo sazby o </w:t>
      </w:r>
      <w:r w:rsidRPr="00775C40">
        <w:rPr>
          <w:rFonts w:cstheme="minorHAnsi"/>
          <w:szCs w:val="24"/>
        </w:rPr>
        <w:t xml:space="preserve">0,75 procenta. Dvoutýdenní repo sazba je nyní nastavena na úrovni 0,25 %, lombardní sazba na 1,00 % a diskontní sazba na 0,05 %. Přijaté rozhodnutí bankovní rady se opírá o </w:t>
      </w:r>
      <w:r>
        <w:rPr>
          <w:rFonts w:cstheme="minorHAnsi"/>
          <w:szCs w:val="24"/>
        </w:rPr>
        <w:t xml:space="preserve">novou makroekonomickou prognózu, </w:t>
      </w:r>
      <w:r w:rsidRPr="00775C40">
        <w:rPr>
          <w:rFonts w:cstheme="minorHAnsi"/>
          <w:szCs w:val="24"/>
        </w:rPr>
        <w:t xml:space="preserve">další pokles </w:t>
      </w:r>
      <w:r>
        <w:rPr>
          <w:rFonts w:cstheme="minorHAnsi"/>
          <w:szCs w:val="24"/>
        </w:rPr>
        <w:t xml:space="preserve">domácích úrokových sazeb </w:t>
      </w:r>
      <w:r w:rsidRPr="00775C40">
        <w:rPr>
          <w:rFonts w:cstheme="minorHAnsi"/>
          <w:szCs w:val="24"/>
        </w:rPr>
        <w:t>ve druhém čtvrtletí 2020</w:t>
      </w:r>
      <w:r>
        <w:rPr>
          <w:rFonts w:cstheme="minorHAnsi"/>
          <w:szCs w:val="24"/>
        </w:rPr>
        <w:t xml:space="preserve"> </w:t>
      </w:r>
      <w:r w:rsidRPr="00775C40">
        <w:rPr>
          <w:rFonts w:cstheme="minorHAnsi"/>
          <w:szCs w:val="24"/>
        </w:rPr>
        <w:t xml:space="preserve">je </w:t>
      </w:r>
      <w:r>
        <w:rPr>
          <w:rFonts w:cstheme="minorHAnsi"/>
          <w:szCs w:val="24"/>
        </w:rPr>
        <w:t>s prognózou konzistentní</w:t>
      </w:r>
      <w:r w:rsidRPr="00775C40">
        <w:rPr>
          <w:rFonts w:cstheme="minorHAnsi"/>
          <w:szCs w:val="24"/>
        </w:rPr>
        <w:t>.</w:t>
      </w:r>
      <w:r>
        <w:rPr>
          <w:rFonts w:cstheme="minorHAnsi"/>
          <w:szCs w:val="24"/>
        </w:rPr>
        <w:t xml:space="preserve"> (</w:t>
      </w:r>
      <w:hyperlink r:id="rId194" w:history="1">
        <w:r w:rsidRPr="00221EFE">
          <w:rPr>
            <w:rStyle w:val="Hypertextovodkaz"/>
            <w:rFonts w:cstheme="minorHAnsi"/>
            <w:szCs w:val="24"/>
          </w:rPr>
          <w:t>ČNB</w:t>
        </w:r>
      </w:hyperlink>
      <w:r>
        <w:rPr>
          <w:rFonts w:cstheme="minorHAnsi"/>
          <w:szCs w:val="24"/>
        </w:rPr>
        <w:t xml:space="preserve">) </w:t>
      </w:r>
    </w:p>
    <w:p w14:paraId="09253BD3" w14:textId="77777777" w:rsidR="00882717" w:rsidRDefault="00882717" w:rsidP="00882717">
      <w:pPr>
        <w:rPr>
          <w:rFonts w:cstheme="minorHAnsi"/>
          <w:szCs w:val="24"/>
        </w:rPr>
      </w:pPr>
    </w:p>
    <w:p w14:paraId="6AB0584A" w14:textId="77777777" w:rsidR="00882717" w:rsidRDefault="00882717" w:rsidP="00882717">
      <w:pPr>
        <w:rPr>
          <w:rFonts w:cstheme="minorHAnsi"/>
          <w:szCs w:val="24"/>
        </w:rPr>
      </w:pPr>
      <w:r w:rsidRPr="005F0E17">
        <w:rPr>
          <w:rFonts w:cstheme="minorHAnsi"/>
          <w:szCs w:val="24"/>
        </w:rPr>
        <w:t>Tento pokles sazeb navazuje na jejich razantní březnové snížení</w:t>
      </w:r>
      <w:r>
        <w:rPr>
          <w:rFonts w:cstheme="minorHAnsi"/>
          <w:szCs w:val="24"/>
        </w:rPr>
        <w:t xml:space="preserve"> a </w:t>
      </w:r>
      <w:r w:rsidRPr="00180340">
        <w:rPr>
          <w:rFonts w:cstheme="minorHAnsi"/>
          <w:szCs w:val="24"/>
        </w:rPr>
        <w:t>odráží vedle výrazně zhoršeného zahraničního výhledu také dopady vládních karanténních opatření v domácí ekonomice. Tyto faktory totiž povedou k výraznému ochlazení na trhu práce a zhoršení sentimentu domácností i firem. To bude mít významné protiinflační dopady.</w:t>
      </w:r>
      <w:r>
        <w:rPr>
          <w:rFonts w:cstheme="minorHAnsi"/>
          <w:szCs w:val="24"/>
        </w:rPr>
        <w:t xml:space="preserve"> (</w:t>
      </w:r>
      <w:hyperlink r:id="rId195" w:history="1">
        <w:r w:rsidRPr="00180340">
          <w:rPr>
            <w:rStyle w:val="Hypertextovodkaz"/>
            <w:rFonts w:cstheme="minorHAnsi"/>
            <w:szCs w:val="24"/>
          </w:rPr>
          <w:t>ČNB</w:t>
        </w:r>
      </w:hyperlink>
      <w:r>
        <w:rPr>
          <w:rFonts w:cstheme="minorHAnsi"/>
          <w:szCs w:val="24"/>
        </w:rPr>
        <w:t>)</w:t>
      </w:r>
    </w:p>
    <w:p w14:paraId="24563B8C" w14:textId="77777777" w:rsidR="00882717" w:rsidRDefault="00882717" w:rsidP="00882717">
      <w:pPr>
        <w:rPr>
          <w:rFonts w:cstheme="minorHAnsi"/>
          <w:szCs w:val="24"/>
        </w:rPr>
      </w:pPr>
    </w:p>
    <w:p w14:paraId="13E1AC3F" w14:textId="77777777" w:rsidR="00882717" w:rsidRDefault="00882717" w:rsidP="00882717">
      <w:pPr>
        <w:rPr>
          <w:rFonts w:cstheme="minorHAnsi"/>
          <w:b/>
          <w:szCs w:val="24"/>
          <w:u w:val="single"/>
        </w:rPr>
      </w:pPr>
    </w:p>
    <w:p w14:paraId="31D3F6B6" w14:textId="77777777" w:rsidR="00882717" w:rsidRPr="00511171" w:rsidRDefault="00882717" w:rsidP="00882717">
      <w:pPr>
        <w:rPr>
          <w:rFonts w:cstheme="minorHAnsi"/>
          <w:b/>
          <w:color w:val="C45911" w:themeColor="accent2" w:themeShade="BF"/>
          <w:szCs w:val="24"/>
        </w:rPr>
      </w:pPr>
      <w:r w:rsidRPr="00180340">
        <w:rPr>
          <w:rFonts w:cstheme="minorHAnsi"/>
          <w:b/>
          <w:szCs w:val="24"/>
          <w:u w:val="single"/>
        </w:rPr>
        <w:lastRenderedPageBreak/>
        <w:t xml:space="preserve">Opatření pro banky </w:t>
      </w:r>
    </w:p>
    <w:p w14:paraId="32077C46" w14:textId="77777777" w:rsidR="00882717" w:rsidRDefault="00882717" w:rsidP="00882717">
      <w:pPr>
        <w:rPr>
          <w:rFonts w:cstheme="minorHAnsi"/>
          <w:szCs w:val="24"/>
        </w:rPr>
      </w:pPr>
      <w:r w:rsidRPr="00E94302">
        <w:rPr>
          <w:rFonts w:cstheme="minorHAnsi"/>
          <w:szCs w:val="24"/>
        </w:rPr>
        <w:t>ČNB očekává, že v důsledku koronavirové nákazy dojde k útlumu ekonomické aktivity, který se s vysokou pravděpodobností nepříznivě promítne do kvality úvěrových portfolií bank.</w:t>
      </w:r>
    </w:p>
    <w:p w14:paraId="2BAC811B" w14:textId="6437672A" w:rsidR="00882717" w:rsidRDefault="00882717" w:rsidP="00882717">
      <w:pPr>
        <w:rPr>
          <w:rFonts w:cstheme="minorHAnsi"/>
          <w:szCs w:val="24"/>
        </w:rPr>
      </w:pPr>
      <w:r w:rsidRPr="00E94302">
        <w:rPr>
          <w:rFonts w:cstheme="minorHAnsi"/>
          <w:szCs w:val="24"/>
        </w:rPr>
        <w:t xml:space="preserve"> </w:t>
      </w:r>
    </w:p>
    <w:p w14:paraId="2AD976E5" w14:textId="77777777" w:rsidR="00882717" w:rsidRDefault="00882717" w:rsidP="00882717">
      <w:pPr>
        <w:rPr>
          <w:rFonts w:cstheme="minorHAnsi"/>
          <w:szCs w:val="24"/>
        </w:rPr>
      </w:pPr>
      <w:r w:rsidRPr="00E94302">
        <w:rPr>
          <w:rFonts w:cstheme="minorHAnsi"/>
          <w:szCs w:val="24"/>
        </w:rPr>
        <w:t xml:space="preserve">ČNB </w:t>
      </w:r>
      <w:r w:rsidRPr="00E94302">
        <w:rPr>
          <w:rFonts w:cstheme="minorHAnsi"/>
          <w:b/>
          <w:szCs w:val="24"/>
        </w:rPr>
        <w:t>umožnila bankám odložit splátky úvěrů</w:t>
      </w:r>
      <w:r w:rsidRPr="00E94302">
        <w:rPr>
          <w:rFonts w:cstheme="minorHAnsi"/>
          <w:szCs w:val="24"/>
        </w:rPr>
        <w:t xml:space="preserve"> v případě dočasného výpadků příjmů klienta v důsledku koronavirové nákazy či preventivních opatření.</w:t>
      </w:r>
      <w:r>
        <w:rPr>
          <w:rFonts w:cstheme="minorHAnsi"/>
          <w:szCs w:val="24"/>
        </w:rPr>
        <w:t xml:space="preserve"> (</w:t>
      </w:r>
      <w:hyperlink r:id="rId196" w:history="1">
        <w:r w:rsidRPr="00511171">
          <w:rPr>
            <w:rStyle w:val="Hypertextovodkaz"/>
            <w:rFonts w:cstheme="minorHAnsi"/>
            <w:szCs w:val="24"/>
          </w:rPr>
          <w:t>ČNB</w:t>
        </w:r>
      </w:hyperlink>
      <w:r>
        <w:rPr>
          <w:rFonts w:cstheme="minorHAnsi"/>
          <w:szCs w:val="24"/>
        </w:rPr>
        <w:t>)</w:t>
      </w:r>
    </w:p>
    <w:p w14:paraId="3C7D9904" w14:textId="77777777" w:rsidR="00882717" w:rsidRDefault="00882717" w:rsidP="00882717">
      <w:pPr>
        <w:rPr>
          <w:rFonts w:cstheme="minorHAnsi"/>
          <w:szCs w:val="24"/>
        </w:rPr>
      </w:pPr>
    </w:p>
    <w:p w14:paraId="73B2EBA8" w14:textId="77777777" w:rsidR="00882717" w:rsidRDefault="00882717" w:rsidP="00882717">
      <w:pPr>
        <w:rPr>
          <w:rFonts w:cstheme="minorHAnsi"/>
          <w:szCs w:val="24"/>
        </w:rPr>
      </w:pPr>
      <w:r w:rsidRPr="00E94302">
        <w:rPr>
          <w:rFonts w:cstheme="minorHAnsi"/>
          <w:szCs w:val="24"/>
        </w:rPr>
        <w:t xml:space="preserve">Klienti bank mají </w:t>
      </w:r>
      <w:r w:rsidRPr="00E94302">
        <w:rPr>
          <w:rFonts w:cstheme="minorHAnsi"/>
          <w:b/>
          <w:szCs w:val="24"/>
        </w:rPr>
        <w:t>možnost odložit si splátky svých úvěrů o 3 nebo 6 měsíců</w:t>
      </w:r>
      <w:r w:rsidRPr="00E94302">
        <w:rPr>
          <w:rFonts w:cstheme="minorHAnsi"/>
          <w:szCs w:val="24"/>
        </w:rPr>
        <w:t xml:space="preserve"> (tzv. úvěrové moratorium). Moratorium je závazné pro všechny banky a nebankovní společnosti. Splátky je možné odložit u spotřebitelských i podnikatelských úvěrů včetně hypoték, které byly sjednány a čerpány před 26. březnem 2020.</w:t>
      </w:r>
      <w:r>
        <w:rPr>
          <w:rFonts w:cstheme="minorHAnsi"/>
          <w:szCs w:val="24"/>
        </w:rPr>
        <w:t xml:space="preserve"> (</w:t>
      </w:r>
      <w:hyperlink r:id="rId197" w:history="1">
        <w:r w:rsidRPr="00511171">
          <w:rPr>
            <w:rStyle w:val="Hypertextovodkaz"/>
            <w:rFonts w:cstheme="minorHAnsi"/>
            <w:szCs w:val="24"/>
          </w:rPr>
          <w:t>ČNB</w:t>
        </w:r>
      </w:hyperlink>
      <w:r>
        <w:rPr>
          <w:rFonts w:cstheme="minorHAnsi"/>
          <w:szCs w:val="24"/>
        </w:rPr>
        <w:t>)</w:t>
      </w:r>
    </w:p>
    <w:p w14:paraId="4A2F5E7E" w14:textId="77777777" w:rsidR="00882717" w:rsidRDefault="00882717" w:rsidP="00882717">
      <w:pPr>
        <w:rPr>
          <w:rFonts w:cstheme="minorHAnsi"/>
          <w:szCs w:val="24"/>
        </w:rPr>
      </w:pPr>
    </w:p>
    <w:p w14:paraId="04351F06" w14:textId="77777777" w:rsidR="00882717" w:rsidRDefault="00882717" w:rsidP="00882717">
      <w:pPr>
        <w:rPr>
          <w:rFonts w:cstheme="minorHAnsi"/>
          <w:szCs w:val="24"/>
        </w:rPr>
      </w:pPr>
      <w:r w:rsidRPr="00F52D72">
        <w:rPr>
          <w:rFonts w:cstheme="minorHAnsi"/>
          <w:b/>
          <w:szCs w:val="24"/>
        </w:rPr>
        <w:t>ČNB snížila proticyklickou kapitálovou rezervu pro úvěry bank</w:t>
      </w:r>
      <w:r w:rsidRPr="00F52D72">
        <w:rPr>
          <w:rFonts w:cstheme="minorHAnsi"/>
          <w:szCs w:val="24"/>
        </w:rPr>
        <w:t xml:space="preserve"> umístěné v České republice s platností od 1. dubna 2020 z dosavadní úrovně 1,75 % na 1 %. Toto rozhodnutí znamená, že banky budou pro poskytnutí každého úvěru do domácí ekonomiky potřebovat méně kapitálu. Rozšíří se jim tak prostor pro úvěrování firem, podnikatelů a občanů zasažených dopady koronavirové pandemie. </w:t>
      </w:r>
      <w:r w:rsidRPr="00F52D72">
        <w:rPr>
          <w:rFonts w:cstheme="minorHAnsi"/>
          <w:b/>
          <w:szCs w:val="24"/>
        </w:rPr>
        <w:t xml:space="preserve">ČNB </w:t>
      </w:r>
      <w:r w:rsidRPr="00E94302">
        <w:rPr>
          <w:rFonts w:cstheme="minorHAnsi"/>
          <w:b/>
          <w:szCs w:val="24"/>
        </w:rPr>
        <w:t>vyzvala banky, aby se zdržely výplaty dividend</w:t>
      </w:r>
      <w:r w:rsidRPr="00E94302">
        <w:rPr>
          <w:rFonts w:cstheme="minorHAnsi"/>
          <w:szCs w:val="24"/>
        </w:rPr>
        <w:t xml:space="preserve"> či jiných kroků, které by mohly ohrozit jejich kapitálovou odolnost.</w:t>
      </w:r>
      <w:r>
        <w:rPr>
          <w:rFonts w:cstheme="minorHAnsi"/>
          <w:szCs w:val="24"/>
        </w:rPr>
        <w:t xml:space="preserve"> </w:t>
      </w:r>
      <w:r w:rsidRPr="00E94302">
        <w:rPr>
          <w:rFonts w:cstheme="minorHAnsi"/>
          <w:szCs w:val="24"/>
        </w:rPr>
        <w:t>Postupné uvolňování proticyklické kapitálové rezervy v kombinaci s odkladem výplaty dividend by mělo pomoci zvyšovat schopnost bank financovat reálnou ekonomiku.</w:t>
      </w:r>
      <w:r>
        <w:rPr>
          <w:rFonts w:cstheme="minorHAnsi"/>
          <w:szCs w:val="24"/>
        </w:rPr>
        <w:t xml:space="preserve"> (</w:t>
      </w:r>
      <w:hyperlink r:id="rId198" w:history="1">
        <w:r w:rsidRPr="00F52D72">
          <w:rPr>
            <w:rStyle w:val="Hypertextovodkaz"/>
            <w:rFonts w:cstheme="minorHAnsi"/>
            <w:szCs w:val="24"/>
          </w:rPr>
          <w:t>ČNB</w:t>
        </w:r>
      </w:hyperlink>
      <w:r>
        <w:rPr>
          <w:rFonts w:cstheme="minorHAnsi"/>
          <w:szCs w:val="24"/>
        </w:rPr>
        <w:t>)</w:t>
      </w:r>
    </w:p>
    <w:p w14:paraId="44FB9575" w14:textId="77777777" w:rsidR="00882717" w:rsidRDefault="00882717" w:rsidP="00882717">
      <w:pPr>
        <w:rPr>
          <w:rFonts w:cstheme="minorHAnsi"/>
          <w:szCs w:val="24"/>
        </w:rPr>
      </w:pPr>
      <w:r w:rsidRPr="00E94302">
        <w:rPr>
          <w:rFonts w:cstheme="minorHAnsi"/>
          <w:szCs w:val="24"/>
        </w:rPr>
        <w:t xml:space="preserve">ČNB </w:t>
      </w:r>
      <w:r w:rsidRPr="00E94302">
        <w:rPr>
          <w:rFonts w:cstheme="minorHAnsi"/>
          <w:b/>
          <w:szCs w:val="24"/>
        </w:rPr>
        <w:t>preventivně zvýšila týdenní počet měnových operací</w:t>
      </w:r>
      <w:r w:rsidRPr="00E94302">
        <w:rPr>
          <w:rFonts w:cstheme="minorHAnsi"/>
          <w:szCs w:val="24"/>
        </w:rPr>
        <w:t xml:space="preserve"> k dodávání likvidity bankám. Dodávací repo operace jsou nově vyhlašovány třikrát týdně (v pondělí, středu, pátek) namísto původní frekvence jednou týdně. Objednávky bank v rámci těchto dodávacích repo operací budou uspokojovány v plné výši za fixní sazbu ve výši 2T repo sazby, tedy s nulovou přirážkou.</w:t>
      </w:r>
      <w:r>
        <w:rPr>
          <w:rFonts w:cstheme="minorHAnsi"/>
          <w:szCs w:val="24"/>
        </w:rPr>
        <w:t xml:space="preserve"> (</w:t>
      </w:r>
      <w:hyperlink r:id="rId199" w:history="1">
        <w:r w:rsidRPr="00511171">
          <w:rPr>
            <w:rStyle w:val="Hypertextovodkaz"/>
            <w:rFonts w:cstheme="minorHAnsi"/>
            <w:szCs w:val="24"/>
          </w:rPr>
          <w:t>ČNB</w:t>
        </w:r>
      </w:hyperlink>
      <w:r>
        <w:rPr>
          <w:rFonts w:cstheme="minorHAnsi"/>
          <w:szCs w:val="24"/>
        </w:rPr>
        <w:t>)</w:t>
      </w:r>
    </w:p>
    <w:p w14:paraId="5112D8CE" w14:textId="77777777" w:rsidR="00882717" w:rsidRPr="00775C40" w:rsidRDefault="00882717" w:rsidP="00882717">
      <w:pPr>
        <w:rPr>
          <w:rFonts w:cstheme="minorHAnsi"/>
          <w:szCs w:val="24"/>
        </w:rPr>
      </w:pPr>
    </w:p>
    <w:p w14:paraId="02A18B4A" w14:textId="77777777" w:rsidR="00882717" w:rsidRPr="00894F90" w:rsidRDefault="00882717" w:rsidP="00882717">
      <w:pPr>
        <w:rPr>
          <w:rFonts w:cstheme="minorHAnsi"/>
          <w:b/>
          <w:sz w:val="28"/>
          <w:szCs w:val="24"/>
        </w:rPr>
      </w:pPr>
      <w:r w:rsidRPr="00894F90">
        <w:rPr>
          <w:rFonts w:cstheme="minorHAnsi"/>
          <w:b/>
          <w:sz w:val="28"/>
          <w:szCs w:val="24"/>
        </w:rPr>
        <w:t xml:space="preserve">Prognóza ČNB ohledně dalšího vývoje  </w:t>
      </w:r>
    </w:p>
    <w:p w14:paraId="0A694AF0" w14:textId="77777777" w:rsidR="00882717" w:rsidRPr="00775C40" w:rsidRDefault="00882717" w:rsidP="00882717">
      <w:pPr>
        <w:rPr>
          <w:rFonts w:cstheme="minorHAnsi"/>
          <w:szCs w:val="24"/>
        </w:rPr>
      </w:pPr>
      <w:r>
        <w:rPr>
          <w:rFonts w:cstheme="minorHAnsi"/>
          <w:szCs w:val="24"/>
        </w:rPr>
        <w:t xml:space="preserve">Guvernér ČNB Jiří </w:t>
      </w:r>
      <w:r w:rsidRPr="00775C40">
        <w:rPr>
          <w:rFonts w:cstheme="minorHAnsi"/>
          <w:szCs w:val="24"/>
        </w:rPr>
        <w:t>Rusnok zdůraznil, že vytváření prognózy v situaci, kdy se vnější i vnitřní veličiny velmi rychle mění, je velmi obtížné.</w:t>
      </w:r>
      <w:r>
        <w:rPr>
          <w:rFonts w:cstheme="minorHAnsi"/>
          <w:szCs w:val="24"/>
        </w:rPr>
        <w:t xml:space="preserve"> </w:t>
      </w:r>
      <w:r w:rsidRPr="00775C40">
        <w:rPr>
          <w:rFonts w:cstheme="minorHAnsi"/>
          <w:szCs w:val="24"/>
        </w:rPr>
        <w:t xml:space="preserve">ČNB </w:t>
      </w:r>
      <w:r>
        <w:rPr>
          <w:rFonts w:cstheme="minorHAnsi"/>
          <w:szCs w:val="24"/>
        </w:rPr>
        <w:t xml:space="preserve">však </w:t>
      </w:r>
      <w:r w:rsidRPr="00775C40">
        <w:rPr>
          <w:rFonts w:cstheme="minorHAnsi"/>
          <w:szCs w:val="24"/>
        </w:rPr>
        <w:t xml:space="preserve">ve své </w:t>
      </w:r>
      <w:r>
        <w:rPr>
          <w:rFonts w:cstheme="minorHAnsi"/>
          <w:szCs w:val="24"/>
        </w:rPr>
        <w:t xml:space="preserve">základní </w:t>
      </w:r>
      <w:hyperlink r:id="rId200" w:history="1">
        <w:r w:rsidRPr="00511171">
          <w:rPr>
            <w:rStyle w:val="Hypertextovodkaz"/>
            <w:rFonts w:cstheme="minorHAnsi"/>
            <w:szCs w:val="24"/>
          </w:rPr>
          <w:t>prognóze (07. 05. 2020)</w:t>
        </w:r>
      </w:hyperlink>
      <w:r>
        <w:rPr>
          <w:rFonts w:cstheme="minorHAnsi"/>
          <w:szCs w:val="24"/>
        </w:rPr>
        <w:t xml:space="preserve"> </w:t>
      </w:r>
      <w:r w:rsidRPr="00775C40">
        <w:rPr>
          <w:rFonts w:cstheme="minorHAnsi"/>
          <w:szCs w:val="24"/>
        </w:rPr>
        <w:t>očekává</w:t>
      </w:r>
      <w:r>
        <w:rPr>
          <w:rFonts w:cstheme="minorHAnsi"/>
          <w:szCs w:val="24"/>
        </w:rPr>
        <w:t xml:space="preserve"> </w:t>
      </w:r>
      <w:r w:rsidRPr="00894F90">
        <w:rPr>
          <w:rFonts w:cstheme="minorHAnsi"/>
          <w:b/>
          <w:szCs w:val="24"/>
        </w:rPr>
        <w:t xml:space="preserve">propad ekonomiky </w:t>
      </w:r>
      <w:r>
        <w:rPr>
          <w:rFonts w:cstheme="minorHAnsi"/>
          <w:szCs w:val="24"/>
        </w:rPr>
        <w:t>o osm procent.</w:t>
      </w:r>
      <w:r w:rsidRPr="00775C40">
        <w:rPr>
          <w:rFonts w:cstheme="minorHAnsi"/>
          <w:szCs w:val="24"/>
        </w:rPr>
        <w:t xml:space="preserve"> </w:t>
      </w:r>
      <w:r>
        <w:rPr>
          <w:rFonts w:cstheme="minorHAnsi"/>
          <w:szCs w:val="24"/>
        </w:rPr>
        <w:t>V</w:t>
      </w:r>
      <w:r w:rsidRPr="00775C40">
        <w:rPr>
          <w:rFonts w:cstheme="minorHAnsi"/>
          <w:szCs w:val="24"/>
        </w:rPr>
        <w:t xml:space="preserve"> příštím roce počítají centrální bankéři s lepším výhledem – ekonomika by měla stoupnout zhruba o čtyři procenta, i přes obnovení růstu se ekonomika do konce příštího roku nedostane na úroveň před pandemií.</w:t>
      </w:r>
    </w:p>
    <w:p w14:paraId="046C7D62" w14:textId="77777777" w:rsidR="00882717" w:rsidRPr="00775C40" w:rsidRDefault="00882717" w:rsidP="00882717">
      <w:pPr>
        <w:rPr>
          <w:rFonts w:cstheme="minorHAnsi"/>
          <w:szCs w:val="24"/>
        </w:rPr>
      </w:pPr>
      <w:r w:rsidRPr="00775C40">
        <w:rPr>
          <w:rFonts w:cstheme="minorHAnsi"/>
          <w:szCs w:val="24"/>
        </w:rPr>
        <w:t xml:space="preserve">Spolu s poklesem ekonomiky očekává ČNB také významný </w:t>
      </w:r>
      <w:r w:rsidRPr="00894F90">
        <w:rPr>
          <w:rFonts w:cstheme="minorHAnsi"/>
          <w:b/>
          <w:szCs w:val="24"/>
        </w:rPr>
        <w:t>pokles zaměstnanosti</w:t>
      </w:r>
      <w:r>
        <w:rPr>
          <w:rFonts w:cstheme="minorHAnsi"/>
          <w:szCs w:val="24"/>
        </w:rPr>
        <w:t xml:space="preserve">. Podle </w:t>
      </w:r>
      <w:r w:rsidRPr="00775C40">
        <w:rPr>
          <w:rFonts w:cstheme="minorHAnsi"/>
          <w:szCs w:val="24"/>
        </w:rPr>
        <w:t>Rusnoka, by se měla nezaměstnanost nacházet na svém vrcholu na přelomu let 2020 a 2021.</w:t>
      </w:r>
    </w:p>
    <w:p w14:paraId="45EA230D" w14:textId="77777777" w:rsidR="00882717" w:rsidRDefault="00882717" w:rsidP="00882717">
      <w:pPr>
        <w:rPr>
          <w:rFonts w:cstheme="minorHAnsi"/>
          <w:szCs w:val="24"/>
        </w:rPr>
      </w:pPr>
      <w:r w:rsidRPr="00894F90">
        <w:rPr>
          <w:rFonts w:cstheme="minorHAnsi"/>
          <w:b/>
          <w:szCs w:val="24"/>
        </w:rPr>
        <w:lastRenderedPageBreak/>
        <w:t>Celková inflace</w:t>
      </w:r>
      <w:r>
        <w:rPr>
          <w:rFonts w:cstheme="minorHAnsi"/>
          <w:szCs w:val="24"/>
        </w:rPr>
        <w:t xml:space="preserve"> by </w:t>
      </w:r>
      <w:r w:rsidRPr="00775C40">
        <w:rPr>
          <w:rFonts w:cstheme="minorHAnsi"/>
          <w:szCs w:val="24"/>
        </w:rPr>
        <w:t xml:space="preserve">dle ČNB měla rychle klesnout do pásma kolem dvouprocentního inflačního cíle a na horizontu měnové politiky se bude nacházet v blízkosti dvou procent. Ve druhém i třetím čtvrtletí 2021 tak ČNB čeká inflaci 2,1 procenta. </w:t>
      </w:r>
    </w:p>
    <w:p w14:paraId="424F78C6" w14:textId="77777777" w:rsidR="00882717" w:rsidRDefault="00882717" w:rsidP="00882717">
      <w:pPr>
        <w:rPr>
          <w:rFonts w:cstheme="minorHAnsi"/>
          <w:szCs w:val="24"/>
        </w:rPr>
      </w:pPr>
      <w:r w:rsidRPr="003D0728">
        <w:rPr>
          <w:rFonts w:cstheme="minorHAnsi"/>
          <w:szCs w:val="24"/>
        </w:rPr>
        <w:t xml:space="preserve">Růst cen potravin bude v nejbližší době odrážet omezení na straně nabídky i silnou poptávku a zvolní až na </w:t>
      </w:r>
      <w:r>
        <w:rPr>
          <w:rFonts w:cstheme="minorHAnsi"/>
          <w:szCs w:val="24"/>
        </w:rPr>
        <w:t>přelomu roku. Na</w:t>
      </w:r>
      <w:r w:rsidRPr="003D0728">
        <w:rPr>
          <w:rFonts w:cstheme="minorHAnsi"/>
          <w:szCs w:val="24"/>
        </w:rPr>
        <w:t xml:space="preserve"> růstu cen se bude podílet vysoká poptávka po potravinách, nedostatek pracovníků v zemědělství v Evropě a omezení mezinárodní dopravy vlivem koronavirové pandemie.</w:t>
      </w:r>
      <w:r w:rsidRPr="003D0728">
        <w:rPr>
          <w:rFonts w:cstheme="minorHAnsi"/>
          <w:szCs w:val="24"/>
        </w:rPr>
        <w:cr/>
      </w:r>
      <w:r w:rsidRPr="003D0728">
        <w:t xml:space="preserve"> </w:t>
      </w:r>
      <w:r w:rsidRPr="003D0728">
        <w:rPr>
          <w:rFonts w:cstheme="minorHAnsi"/>
          <w:szCs w:val="24"/>
        </w:rPr>
        <w:t xml:space="preserve">V důsledku kolapsu světových cen ropy se výrazně propadnou i ceny domácích pohonných hmot. Letošní vývoj světových cen ropy stlačil ceny pohonných hmot do prudkého meziročního poklesu. Ten bude nejhlubší ve </w:t>
      </w:r>
      <w:r>
        <w:rPr>
          <w:rFonts w:cstheme="minorHAnsi"/>
          <w:szCs w:val="24"/>
        </w:rPr>
        <w:t xml:space="preserve">druhém čtvrtletí, </w:t>
      </w:r>
      <w:r w:rsidRPr="003D0728">
        <w:rPr>
          <w:rFonts w:cstheme="minorHAnsi"/>
          <w:szCs w:val="24"/>
        </w:rPr>
        <w:t>nicméně i ve zbytku roku bude pokles pokračovat dvouciferným tempem, a to navzdory významnému oslabení kurzu koruny vůči euru i dolaru. V příštím roce se ceny pohonných hmot navrátí k meziročnímu růstu.</w:t>
      </w:r>
      <w:r>
        <w:rPr>
          <w:rFonts w:cstheme="minorHAnsi"/>
          <w:szCs w:val="24"/>
        </w:rPr>
        <w:t xml:space="preserve"> (</w:t>
      </w:r>
      <w:hyperlink r:id="rId201" w:history="1">
        <w:r w:rsidRPr="00180340">
          <w:rPr>
            <w:rStyle w:val="Hypertextovodkaz"/>
            <w:rFonts w:cstheme="minorHAnsi"/>
            <w:szCs w:val="24"/>
          </w:rPr>
          <w:t>ČNB</w:t>
        </w:r>
      </w:hyperlink>
      <w:r>
        <w:rPr>
          <w:rFonts w:cstheme="minorHAnsi"/>
          <w:szCs w:val="24"/>
        </w:rPr>
        <w:t>)</w:t>
      </w:r>
    </w:p>
    <w:p w14:paraId="1546304B" w14:textId="77777777" w:rsidR="00882717" w:rsidRDefault="00882717" w:rsidP="00882717">
      <w:pPr>
        <w:rPr>
          <w:rFonts w:cstheme="minorHAnsi"/>
          <w:szCs w:val="24"/>
        </w:rPr>
      </w:pPr>
    </w:p>
    <w:p w14:paraId="7DD90F9B" w14:textId="77777777" w:rsidR="00882717" w:rsidRDefault="00882717" w:rsidP="00882717">
      <w:pPr>
        <w:rPr>
          <w:rFonts w:cstheme="minorHAnsi"/>
          <w:szCs w:val="24"/>
        </w:rPr>
      </w:pPr>
      <w:r w:rsidRPr="00894F90">
        <w:rPr>
          <w:rFonts w:cstheme="minorHAnsi"/>
          <w:b/>
          <w:szCs w:val="24"/>
        </w:rPr>
        <w:t>Kurz koruny</w:t>
      </w:r>
      <w:r w:rsidRPr="00775C40">
        <w:rPr>
          <w:rFonts w:cstheme="minorHAnsi"/>
          <w:szCs w:val="24"/>
        </w:rPr>
        <w:t xml:space="preserve"> by podle centrální banky měl kvůli nepříznivému ekonomickému vývoji zůstat poblíž aktuálních hodnot. Kurz by tak letos měl být v průměru 26,90 koruny za euro a příští rok 27,50 koruny za euro. </w:t>
      </w:r>
    </w:p>
    <w:p w14:paraId="0B3898AF" w14:textId="77777777" w:rsidR="00882717" w:rsidRPr="00137FA5" w:rsidRDefault="00882717" w:rsidP="00882717">
      <w:pPr>
        <w:rPr>
          <w:rFonts w:cstheme="minorHAnsi"/>
          <w:szCs w:val="24"/>
        </w:rPr>
      </w:pPr>
      <w:r>
        <w:rPr>
          <w:rFonts w:cstheme="minorHAnsi"/>
          <w:szCs w:val="24"/>
        </w:rPr>
        <w:t xml:space="preserve">Podle </w:t>
      </w:r>
      <w:hyperlink r:id="rId202" w:history="1">
        <w:r w:rsidRPr="006D6428">
          <w:rPr>
            <w:rStyle w:val="Hypertextovodkaz"/>
            <w:rFonts w:cstheme="minorHAnsi"/>
            <w:szCs w:val="24"/>
          </w:rPr>
          <w:t>alternativního scénáře</w:t>
        </w:r>
      </w:hyperlink>
      <w:r>
        <w:rPr>
          <w:rFonts w:cstheme="minorHAnsi"/>
          <w:szCs w:val="24"/>
        </w:rPr>
        <w:t xml:space="preserve"> (str. 26), ve kterém by na konci letošního roku zasáhla Evropu druhá vlna pandemie a byla by opět zavedena vládní karanténní opatření (říjen - prosinec), </w:t>
      </w:r>
      <w:r w:rsidRPr="006D6428">
        <w:rPr>
          <w:rFonts w:cstheme="minorHAnsi"/>
          <w:szCs w:val="24"/>
        </w:rPr>
        <w:t>by mohla česká ekonomika letos klesnout až o 13,5 procenta a příští rok o 1,5 procenta.</w:t>
      </w:r>
      <w:r>
        <w:rPr>
          <w:rFonts w:cstheme="minorHAnsi"/>
          <w:szCs w:val="24"/>
        </w:rPr>
        <w:t xml:space="preserve"> </w:t>
      </w:r>
      <w:r w:rsidRPr="006D6428">
        <w:rPr>
          <w:rFonts w:cstheme="minorHAnsi"/>
          <w:szCs w:val="24"/>
        </w:rPr>
        <w:t xml:space="preserve">Model nejhoršího scénáře zároveň počítá příští rok s oslabením koruny až na 31,6 koruny za euro. Guvernér ČNB Jiří Rusnok ale </w:t>
      </w:r>
      <w:r>
        <w:rPr>
          <w:rFonts w:cstheme="minorHAnsi"/>
          <w:szCs w:val="24"/>
        </w:rPr>
        <w:t>označil za nepravděpodobné</w:t>
      </w:r>
      <w:r w:rsidRPr="006D6428">
        <w:rPr>
          <w:rFonts w:cstheme="minorHAnsi"/>
          <w:szCs w:val="24"/>
        </w:rPr>
        <w:t xml:space="preserve">, že by koruna mohla skutečně oslabit až </w:t>
      </w:r>
      <w:r>
        <w:rPr>
          <w:rFonts w:cstheme="minorHAnsi"/>
          <w:szCs w:val="24"/>
        </w:rPr>
        <w:t>na tuto hodnotu.</w:t>
      </w:r>
    </w:p>
    <w:p w14:paraId="1648DC38" w14:textId="77777777" w:rsidR="00882717" w:rsidRDefault="00882717" w:rsidP="00882717">
      <w:pPr>
        <w:rPr>
          <w:rFonts w:cstheme="minorHAnsi"/>
          <w:szCs w:val="24"/>
        </w:rPr>
      </w:pPr>
    </w:p>
    <w:p w14:paraId="76580C36" w14:textId="77777777" w:rsidR="00882717" w:rsidRDefault="00882717" w:rsidP="00882717">
      <w:pPr>
        <w:rPr>
          <w:rFonts w:cstheme="minorHAnsi"/>
          <w:szCs w:val="24"/>
        </w:rPr>
      </w:pPr>
    </w:p>
    <w:p w14:paraId="1B374161" w14:textId="77777777" w:rsidR="00882717" w:rsidRDefault="00882717" w:rsidP="00882717">
      <w:pPr>
        <w:rPr>
          <w:rFonts w:cstheme="minorHAnsi"/>
          <w:szCs w:val="24"/>
        </w:rPr>
      </w:pPr>
    </w:p>
    <w:p w14:paraId="396EBBE8" w14:textId="77777777" w:rsidR="00882717" w:rsidRPr="005E1578" w:rsidRDefault="00882717" w:rsidP="00882717">
      <w:pPr>
        <w:spacing w:line="240" w:lineRule="auto"/>
      </w:pPr>
    </w:p>
    <w:p w14:paraId="37D2169E" w14:textId="77777777" w:rsidR="00353E4B" w:rsidRPr="00244BB9" w:rsidRDefault="00353E4B" w:rsidP="00004383">
      <w:pPr>
        <w:spacing w:after="240"/>
        <w:rPr>
          <w:sz w:val="20"/>
          <w:szCs w:val="20"/>
        </w:rPr>
      </w:pPr>
    </w:p>
    <w:sectPr w:rsidR="00353E4B" w:rsidRPr="00244BB9">
      <w:pgSz w:w="11900" w:h="16840"/>
      <w:pgMar w:top="1393" w:right="1420" w:bottom="1440" w:left="1440" w:header="0" w:footer="0" w:gutter="0"/>
      <w:cols w:space="708" w:equalWidth="0">
        <w:col w:w="904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00901B" w14:textId="77777777" w:rsidR="004430A1" w:rsidRDefault="004430A1" w:rsidP="00DC3854">
      <w:r>
        <w:separator/>
      </w:r>
    </w:p>
  </w:endnote>
  <w:endnote w:type="continuationSeparator" w:id="0">
    <w:p w14:paraId="0C4CC45E" w14:textId="77777777" w:rsidR="004430A1" w:rsidRDefault="004430A1" w:rsidP="00DC3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Century Schoolbook">
    <w:altName w:val="Century"/>
    <w:charset w:val="EE"/>
    <w:family w:val="roman"/>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CE">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F5D7E" w14:textId="77777777" w:rsidR="000506FA" w:rsidRDefault="000506FA">
    <w:pPr>
      <w:pStyle w:val="Zpat"/>
      <w:jc w:val="center"/>
      <w:rPr>
        <w:caps/>
        <w:noProof/>
        <w:color w:val="4472C4" w:themeColor="accent1"/>
      </w:rPr>
    </w:pPr>
  </w:p>
  <w:p w14:paraId="4A6F5D7F" w14:textId="77777777" w:rsidR="000506FA" w:rsidRDefault="000506FA">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F5D80" w14:textId="77777777" w:rsidR="000506FA" w:rsidRDefault="000506FA">
    <w:pPr>
      <w:pStyle w:val="Zpat"/>
      <w:jc w:val="center"/>
      <w:rPr>
        <w:caps/>
        <w:noProof/>
        <w:color w:val="4472C4" w:themeColor="accent1"/>
      </w:rPr>
    </w:pPr>
  </w:p>
  <w:p w14:paraId="4A6F5D81" w14:textId="77777777" w:rsidR="000506FA" w:rsidRDefault="000506FA">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4241165"/>
      <w:docPartObj>
        <w:docPartGallery w:val="Page Numbers (Bottom of Page)"/>
        <w:docPartUnique/>
      </w:docPartObj>
    </w:sdtPr>
    <w:sdtEndPr/>
    <w:sdtContent>
      <w:p w14:paraId="4A6F5D82" w14:textId="77777777" w:rsidR="000506FA" w:rsidRDefault="000506FA">
        <w:pPr>
          <w:pStyle w:val="Zpat"/>
          <w:jc w:val="center"/>
        </w:pPr>
        <w:r>
          <w:fldChar w:fldCharType="begin"/>
        </w:r>
        <w:r>
          <w:instrText>PAGE   \* MERGEFORMAT</w:instrText>
        </w:r>
        <w:r>
          <w:fldChar w:fldCharType="separate"/>
        </w:r>
        <w:r w:rsidR="003B103A">
          <w:rPr>
            <w:noProof/>
          </w:rPr>
          <w:t>2</w:t>
        </w:r>
        <w:r>
          <w:fldChar w:fldCharType="end"/>
        </w:r>
      </w:p>
    </w:sdtContent>
  </w:sdt>
  <w:p w14:paraId="4A6F5D83" w14:textId="77777777" w:rsidR="000506FA" w:rsidRDefault="000506FA">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F5D86" w14:textId="77777777" w:rsidR="000506FA" w:rsidRDefault="000506FA">
    <w:pPr>
      <w:pStyle w:val="Zp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F5D88" w14:textId="77777777" w:rsidR="000506FA" w:rsidRDefault="000506F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8B3A47" w14:textId="77777777" w:rsidR="004430A1" w:rsidRDefault="004430A1" w:rsidP="00DC3854">
      <w:r>
        <w:separator/>
      </w:r>
    </w:p>
  </w:footnote>
  <w:footnote w:type="continuationSeparator" w:id="0">
    <w:p w14:paraId="75D411BA" w14:textId="77777777" w:rsidR="004430A1" w:rsidRDefault="004430A1" w:rsidP="00DC3854">
      <w:r>
        <w:continuationSeparator/>
      </w:r>
    </w:p>
  </w:footnote>
  <w:footnote w:id="1">
    <w:p w14:paraId="4A6F5D89" w14:textId="77777777" w:rsidR="000506FA" w:rsidRPr="004A43AA" w:rsidRDefault="000506FA" w:rsidP="008300B2">
      <w:pPr>
        <w:tabs>
          <w:tab w:val="left" w:pos="100"/>
        </w:tabs>
        <w:ind w:left="100"/>
        <w:rPr>
          <w:rFonts w:eastAsia="Calibri"/>
          <w:sz w:val="16"/>
          <w:szCs w:val="16"/>
          <w:vertAlign w:val="superscript"/>
        </w:rPr>
      </w:pPr>
      <w:r w:rsidRPr="004A43AA">
        <w:rPr>
          <w:rStyle w:val="Znakapoznpodarou"/>
          <w:sz w:val="16"/>
          <w:szCs w:val="16"/>
        </w:rPr>
        <w:footnoteRef/>
      </w:r>
      <w:r w:rsidRPr="004A43AA">
        <w:rPr>
          <w:rFonts w:eastAsia="Times New Roman"/>
          <w:sz w:val="16"/>
          <w:szCs w:val="16"/>
        </w:rPr>
        <w:t>Kasan, J., Žák, M., 2001.</w:t>
      </w:r>
    </w:p>
    <w:p w14:paraId="4A6F5D8A" w14:textId="77777777" w:rsidR="000506FA" w:rsidRDefault="000506FA">
      <w:pPr>
        <w:pStyle w:val="Textpoznpodarou"/>
      </w:pPr>
    </w:p>
  </w:footnote>
  <w:footnote w:id="2">
    <w:p w14:paraId="4A6F5D8B" w14:textId="77777777" w:rsidR="000506FA" w:rsidRPr="004A43AA" w:rsidRDefault="000506FA">
      <w:pPr>
        <w:pStyle w:val="Textpoznpodarou"/>
        <w:rPr>
          <w:sz w:val="16"/>
          <w:szCs w:val="16"/>
        </w:rPr>
      </w:pPr>
      <w:r w:rsidRPr="004A43AA">
        <w:rPr>
          <w:rStyle w:val="Znakapoznpodarou"/>
          <w:sz w:val="16"/>
          <w:szCs w:val="16"/>
        </w:rPr>
        <w:footnoteRef/>
      </w:r>
      <w:r w:rsidRPr="004A43AA">
        <w:rPr>
          <w:sz w:val="16"/>
          <w:szCs w:val="16"/>
        </w:rPr>
        <w:t xml:space="preserve"> Slaný, A., 2003.</w:t>
      </w:r>
    </w:p>
  </w:footnote>
  <w:footnote w:id="3">
    <w:p w14:paraId="4A6F5D8C" w14:textId="77777777" w:rsidR="000506FA" w:rsidRDefault="000506FA">
      <w:pPr>
        <w:pStyle w:val="Textpoznpodarou"/>
      </w:pPr>
      <w:r w:rsidRPr="004A43AA">
        <w:rPr>
          <w:rStyle w:val="Znakapoznpodarou"/>
          <w:sz w:val="16"/>
          <w:szCs w:val="16"/>
        </w:rPr>
        <w:footnoteRef/>
      </w:r>
      <w:r w:rsidRPr="004A43AA">
        <w:rPr>
          <w:sz w:val="16"/>
          <w:szCs w:val="16"/>
        </w:rPr>
        <w:t xml:space="preserve"> Holman, R., 2005.</w:t>
      </w:r>
    </w:p>
  </w:footnote>
  <w:footnote w:id="4">
    <w:p w14:paraId="4A6F5D8D" w14:textId="77777777" w:rsidR="000506FA" w:rsidRPr="00A25D52" w:rsidRDefault="000506FA">
      <w:pPr>
        <w:pStyle w:val="Textpoznpodarou"/>
        <w:rPr>
          <w:sz w:val="16"/>
          <w:szCs w:val="16"/>
        </w:rPr>
      </w:pPr>
      <w:r w:rsidRPr="00A25D52">
        <w:rPr>
          <w:rStyle w:val="Znakapoznpodarou"/>
          <w:sz w:val="16"/>
          <w:szCs w:val="16"/>
        </w:rPr>
        <w:footnoteRef/>
      </w:r>
      <w:r w:rsidRPr="00A25D52">
        <w:rPr>
          <w:sz w:val="16"/>
          <w:szCs w:val="16"/>
        </w:rPr>
        <w:t xml:space="preserve"> Slaný, A., 2003.</w:t>
      </w:r>
    </w:p>
  </w:footnote>
  <w:footnote w:id="5">
    <w:p w14:paraId="4A6F5D8E" w14:textId="3067F9C1" w:rsidR="000506FA" w:rsidRPr="00A25D52" w:rsidRDefault="000506FA">
      <w:pPr>
        <w:pStyle w:val="Textpoznpodarou"/>
        <w:rPr>
          <w:sz w:val="16"/>
          <w:szCs w:val="16"/>
        </w:rPr>
      </w:pPr>
      <w:r w:rsidRPr="00A25D52">
        <w:rPr>
          <w:sz w:val="16"/>
          <w:szCs w:val="16"/>
          <w:vertAlign w:val="superscript"/>
        </w:rPr>
        <w:footnoteRef/>
      </w:r>
      <w:r w:rsidRPr="00A25D52">
        <w:rPr>
          <w:sz w:val="16"/>
          <w:szCs w:val="16"/>
        </w:rPr>
        <w:t xml:space="preserve"> Kasan, J., Žák, M., 1991.</w:t>
      </w:r>
    </w:p>
  </w:footnote>
  <w:footnote w:id="6">
    <w:p w14:paraId="4A6F5D8F" w14:textId="77777777" w:rsidR="000506FA" w:rsidRPr="00A25D52" w:rsidRDefault="000506FA">
      <w:pPr>
        <w:pStyle w:val="Textpoznpodarou"/>
        <w:rPr>
          <w:sz w:val="16"/>
          <w:szCs w:val="16"/>
        </w:rPr>
      </w:pPr>
      <w:r w:rsidRPr="00A25D52">
        <w:rPr>
          <w:rStyle w:val="Znakapoznpodarou"/>
          <w:sz w:val="16"/>
          <w:szCs w:val="16"/>
        </w:rPr>
        <w:footnoteRef/>
      </w:r>
      <w:r w:rsidRPr="00A25D52">
        <w:rPr>
          <w:sz w:val="16"/>
          <w:szCs w:val="16"/>
        </w:rPr>
        <w:t xml:space="preserve"> Holman R., 2005.</w:t>
      </w:r>
    </w:p>
  </w:footnote>
  <w:footnote w:id="7">
    <w:p w14:paraId="4A6F5D90" w14:textId="77777777" w:rsidR="000506FA" w:rsidRDefault="000506FA">
      <w:pPr>
        <w:pStyle w:val="Textpoznpodarou"/>
      </w:pPr>
      <w:r w:rsidRPr="00A25D52">
        <w:rPr>
          <w:rStyle w:val="Znakapoznpodarou"/>
          <w:sz w:val="16"/>
          <w:szCs w:val="16"/>
        </w:rPr>
        <w:footnoteRef/>
      </w:r>
      <w:r w:rsidRPr="00A25D52">
        <w:rPr>
          <w:sz w:val="16"/>
          <w:szCs w:val="16"/>
        </w:rPr>
        <w:t xml:space="preserve"> Slaný, A., 2003.</w:t>
      </w:r>
    </w:p>
  </w:footnote>
  <w:footnote w:id="8">
    <w:p w14:paraId="4A6F5D91" w14:textId="0C897B08" w:rsidR="000506FA" w:rsidRPr="0096098D" w:rsidRDefault="000506FA" w:rsidP="005C0E1F">
      <w:pPr>
        <w:tabs>
          <w:tab w:val="left" w:pos="100"/>
        </w:tabs>
        <w:rPr>
          <w:rFonts w:eastAsia="Calibri"/>
          <w:sz w:val="16"/>
          <w:szCs w:val="16"/>
          <w:vertAlign w:val="superscript"/>
        </w:rPr>
      </w:pPr>
      <w:r w:rsidRPr="0096098D">
        <w:rPr>
          <w:rStyle w:val="Znakapoznpodarou"/>
          <w:sz w:val="16"/>
          <w:szCs w:val="16"/>
        </w:rPr>
        <w:footnoteRef/>
      </w:r>
      <w:r w:rsidRPr="0096098D">
        <w:rPr>
          <w:rFonts w:eastAsia="Times New Roman"/>
          <w:sz w:val="16"/>
          <w:szCs w:val="16"/>
        </w:rPr>
        <w:t xml:space="preserve"> Slaný, A., 2003.</w:t>
      </w:r>
    </w:p>
  </w:footnote>
  <w:footnote w:id="9">
    <w:p w14:paraId="4A6F5D92" w14:textId="77777777" w:rsidR="000506FA" w:rsidRDefault="000506FA">
      <w:pPr>
        <w:pStyle w:val="Textpoznpodarou"/>
      </w:pPr>
      <w:r w:rsidRPr="0096098D">
        <w:rPr>
          <w:rStyle w:val="Znakapoznpodarou"/>
          <w:sz w:val="16"/>
          <w:szCs w:val="16"/>
        </w:rPr>
        <w:footnoteRef/>
      </w:r>
      <w:r w:rsidRPr="0096098D">
        <w:rPr>
          <w:sz w:val="16"/>
          <w:szCs w:val="16"/>
        </w:rPr>
        <w:t xml:space="preserve"> </w:t>
      </w:r>
      <w:r w:rsidRPr="0096098D">
        <w:rPr>
          <w:rFonts w:eastAsia="Times New Roman"/>
          <w:sz w:val="16"/>
          <w:szCs w:val="16"/>
        </w:rPr>
        <w:t>Slaný, A., 2003.</w:t>
      </w:r>
    </w:p>
  </w:footnote>
  <w:footnote w:id="10">
    <w:p w14:paraId="4A6F5D93" w14:textId="77777777" w:rsidR="000506FA" w:rsidRPr="004A43AA" w:rsidRDefault="000506FA" w:rsidP="005C0E1F">
      <w:pPr>
        <w:tabs>
          <w:tab w:val="left" w:pos="480"/>
        </w:tabs>
        <w:rPr>
          <w:rFonts w:eastAsia="Calibri"/>
          <w:sz w:val="16"/>
          <w:szCs w:val="16"/>
          <w:vertAlign w:val="superscript"/>
        </w:rPr>
      </w:pPr>
      <w:r w:rsidRPr="004A43AA">
        <w:rPr>
          <w:rStyle w:val="Znakapoznpodarou"/>
          <w:sz w:val="16"/>
          <w:szCs w:val="16"/>
        </w:rPr>
        <w:footnoteRef/>
      </w:r>
      <w:r w:rsidRPr="004A43AA">
        <w:rPr>
          <w:rFonts w:eastAsia="Times New Roman"/>
          <w:sz w:val="16"/>
          <w:szCs w:val="16"/>
        </w:rPr>
        <w:t>Tomeš, Z. a kol., 2008</w:t>
      </w:r>
    </w:p>
    <w:p w14:paraId="4A6F5D94" w14:textId="77777777" w:rsidR="000506FA" w:rsidRDefault="000506FA">
      <w:pPr>
        <w:pStyle w:val="Textpoznpodarou"/>
      </w:pPr>
    </w:p>
  </w:footnote>
  <w:footnote w:id="11">
    <w:p w14:paraId="4A6F5D95" w14:textId="77777777" w:rsidR="000506FA" w:rsidRPr="00FC3B7C" w:rsidRDefault="000506FA" w:rsidP="00C85388">
      <w:pPr>
        <w:tabs>
          <w:tab w:val="left" w:pos="180"/>
        </w:tabs>
        <w:rPr>
          <w:rFonts w:eastAsia="Calibri"/>
          <w:sz w:val="26"/>
          <w:szCs w:val="26"/>
          <w:vertAlign w:val="superscript"/>
        </w:rPr>
      </w:pPr>
      <w:r>
        <w:rPr>
          <w:rStyle w:val="Znakapoznpodarou"/>
        </w:rPr>
        <w:footnoteRef/>
      </w:r>
      <w:r w:rsidRPr="00FC3B7C">
        <w:rPr>
          <w:rFonts w:eastAsia="Times New Roman"/>
          <w:sz w:val="16"/>
          <w:szCs w:val="16"/>
        </w:rPr>
        <w:t xml:space="preserve">Více informací na: </w:t>
      </w:r>
      <w:r w:rsidRPr="00FC3B7C">
        <w:rPr>
          <w:rFonts w:eastAsia="Times New Roman"/>
          <w:color w:val="0563C1"/>
          <w:sz w:val="16"/>
          <w:szCs w:val="16"/>
          <w:u w:val="single"/>
        </w:rPr>
        <w:t>http://keke.vse.cz/studium/materialy/5en302/</w:t>
      </w:r>
    </w:p>
    <w:p w14:paraId="4A6F5D96" w14:textId="77777777" w:rsidR="000506FA" w:rsidRDefault="000506FA">
      <w:pPr>
        <w:pStyle w:val="Textpoznpodarou"/>
      </w:pPr>
    </w:p>
  </w:footnote>
  <w:footnote w:id="12">
    <w:p w14:paraId="4A6F5D97" w14:textId="77777777" w:rsidR="000506FA" w:rsidRPr="00FC3B7C" w:rsidRDefault="000506FA" w:rsidP="004A5F54">
      <w:pPr>
        <w:numPr>
          <w:ilvl w:val="0"/>
          <w:numId w:val="14"/>
        </w:numPr>
        <w:tabs>
          <w:tab w:val="left" w:pos="178"/>
        </w:tabs>
        <w:ind w:left="178" w:hanging="178"/>
        <w:rPr>
          <w:rFonts w:eastAsia="Calibri"/>
          <w:sz w:val="26"/>
          <w:szCs w:val="26"/>
          <w:vertAlign w:val="superscript"/>
        </w:rPr>
      </w:pPr>
      <w:r w:rsidRPr="00FC3B7C">
        <w:rPr>
          <w:rFonts w:eastAsia="Times New Roman"/>
          <w:sz w:val="16"/>
          <w:szCs w:val="16"/>
        </w:rPr>
        <w:t>Zdroj: Přednášky M. Ševčíka – Úvod do hospodářské a sociální politiky</w:t>
      </w:r>
    </w:p>
    <w:p w14:paraId="4A6F5D98" w14:textId="77777777" w:rsidR="000506FA" w:rsidRDefault="000506FA">
      <w:pPr>
        <w:pStyle w:val="Textpoznpodarou"/>
      </w:pPr>
    </w:p>
  </w:footnote>
  <w:footnote w:id="13">
    <w:p w14:paraId="4A6F5D99" w14:textId="77777777" w:rsidR="000506FA" w:rsidRPr="004A43AA" w:rsidRDefault="000506FA" w:rsidP="00712250">
      <w:pPr>
        <w:tabs>
          <w:tab w:val="left" w:pos="164"/>
        </w:tabs>
        <w:rPr>
          <w:rFonts w:eastAsia="Calibri"/>
          <w:sz w:val="16"/>
          <w:szCs w:val="16"/>
        </w:rPr>
      </w:pPr>
      <w:r w:rsidRPr="004A43AA">
        <w:rPr>
          <w:rStyle w:val="Znakapoznpodarou"/>
          <w:sz w:val="16"/>
          <w:szCs w:val="16"/>
        </w:rPr>
        <w:footnoteRef/>
      </w:r>
      <w:r w:rsidRPr="004A43AA">
        <w:rPr>
          <w:rFonts w:eastAsia="Times New Roman"/>
          <w:sz w:val="16"/>
          <w:szCs w:val="16"/>
        </w:rPr>
        <w:t>Zdroj: Přednášky M. Ševčíka – Úvod do hospodářské a sociální politiky.</w:t>
      </w:r>
    </w:p>
    <w:p w14:paraId="4A6F5D9A" w14:textId="77777777" w:rsidR="000506FA" w:rsidRDefault="000506FA">
      <w:pPr>
        <w:pStyle w:val="Textpoznpodarou"/>
      </w:pPr>
    </w:p>
  </w:footnote>
  <w:footnote w:id="14">
    <w:p w14:paraId="67EC357B" w14:textId="77777777" w:rsidR="000506FA" w:rsidRPr="00AC6666" w:rsidRDefault="000506FA" w:rsidP="000C1B71">
      <w:pPr>
        <w:rPr>
          <w:sz w:val="16"/>
          <w:szCs w:val="16"/>
        </w:rPr>
      </w:pPr>
      <w:r w:rsidRPr="00AC6666">
        <w:rPr>
          <w:rStyle w:val="Znakapoznpodarou"/>
          <w:sz w:val="16"/>
          <w:szCs w:val="16"/>
        </w:rPr>
        <w:footnoteRef/>
      </w:r>
      <w:r w:rsidRPr="00AC6666">
        <w:rPr>
          <w:sz w:val="16"/>
          <w:szCs w:val="16"/>
        </w:rPr>
        <w:t xml:space="preserve"> </w:t>
      </w:r>
      <w:r w:rsidRPr="00AC6666">
        <w:rPr>
          <w:rFonts w:eastAsia="Times New Roman"/>
          <w:sz w:val="16"/>
          <w:szCs w:val="16"/>
        </w:rPr>
        <w:t xml:space="preserve">Zdroj: </w:t>
      </w:r>
      <w:r w:rsidRPr="00AC6666">
        <w:rPr>
          <w:rFonts w:eastAsia="Times New Roman"/>
          <w:color w:val="0563C1"/>
          <w:sz w:val="16"/>
          <w:szCs w:val="16"/>
          <w:u w:val="single"/>
        </w:rPr>
        <w:t>https://www.kurzy.cz/makroekonomika/hdp/</w:t>
      </w:r>
    </w:p>
    <w:p w14:paraId="6BCCA6D1" w14:textId="77777777" w:rsidR="000506FA" w:rsidRDefault="000506FA" w:rsidP="000C1B71">
      <w:pPr>
        <w:pStyle w:val="Textpoznpodarou"/>
      </w:pPr>
    </w:p>
  </w:footnote>
  <w:footnote w:id="15">
    <w:p w14:paraId="683B48FD" w14:textId="77777777" w:rsidR="000506FA" w:rsidRPr="00AC6666" w:rsidRDefault="000506FA" w:rsidP="000C1B71">
      <w:pPr>
        <w:tabs>
          <w:tab w:val="left" w:pos="224"/>
        </w:tabs>
        <w:rPr>
          <w:rFonts w:eastAsia="Calibri"/>
          <w:sz w:val="16"/>
          <w:szCs w:val="16"/>
          <w:vertAlign w:val="superscript"/>
        </w:rPr>
      </w:pPr>
      <w:r w:rsidRPr="00AC6666">
        <w:rPr>
          <w:rStyle w:val="Znakapoznpodarou"/>
          <w:sz w:val="16"/>
          <w:szCs w:val="16"/>
        </w:rPr>
        <w:footnoteRef/>
      </w:r>
      <w:r w:rsidRPr="00AC6666">
        <w:rPr>
          <w:rFonts w:eastAsia="Calibri"/>
          <w:sz w:val="16"/>
          <w:szCs w:val="16"/>
        </w:rPr>
        <w:t xml:space="preserve"> https://www.kurzy.cz/makroekonomika/inflace/</w:t>
      </w:r>
    </w:p>
  </w:footnote>
  <w:footnote w:id="16">
    <w:p w14:paraId="32634527" w14:textId="77777777" w:rsidR="000506FA" w:rsidRPr="00AC6666" w:rsidRDefault="000506FA" w:rsidP="000C1B71">
      <w:pPr>
        <w:tabs>
          <w:tab w:val="left" w:pos="164"/>
        </w:tabs>
        <w:rPr>
          <w:rFonts w:eastAsia="Calibri"/>
          <w:sz w:val="16"/>
          <w:szCs w:val="16"/>
          <w:vertAlign w:val="subscript"/>
        </w:rPr>
      </w:pPr>
      <w:r w:rsidRPr="00AC6666">
        <w:rPr>
          <w:rStyle w:val="Znakapoznpodarou"/>
          <w:sz w:val="16"/>
          <w:szCs w:val="16"/>
          <w:vertAlign w:val="subscript"/>
        </w:rPr>
        <w:footnoteRef/>
      </w:r>
      <w:r w:rsidRPr="00AC6666">
        <w:rPr>
          <w:sz w:val="16"/>
          <w:szCs w:val="16"/>
          <w:vertAlign w:val="subscript"/>
        </w:rPr>
        <w:t xml:space="preserve"> </w:t>
      </w:r>
      <w:r w:rsidRPr="00AC6666">
        <w:rPr>
          <w:rFonts w:eastAsia="Times New Roman"/>
          <w:sz w:val="16"/>
          <w:szCs w:val="16"/>
          <w:vertAlign w:val="subscript"/>
        </w:rPr>
        <w:t xml:space="preserve">Zdroj: </w:t>
      </w:r>
      <w:r w:rsidRPr="00AC6666">
        <w:rPr>
          <w:rFonts w:eastAsia="Times New Roman"/>
          <w:color w:val="0563C1"/>
          <w:sz w:val="16"/>
          <w:szCs w:val="16"/>
          <w:u w:val="single"/>
          <w:vertAlign w:val="subscript"/>
        </w:rPr>
        <w:t>https://www.czso.cz/csu/czso/zamestnanost_nezamestnanost_prace</w:t>
      </w:r>
    </w:p>
    <w:p w14:paraId="2560BA64" w14:textId="77777777" w:rsidR="000506FA" w:rsidRDefault="000506FA" w:rsidP="000C1B71">
      <w:pPr>
        <w:pStyle w:val="Textpoznpodarou"/>
      </w:pPr>
    </w:p>
  </w:footnote>
  <w:footnote w:id="17">
    <w:p w14:paraId="694605DD" w14:textId="77777777" w:rsidR="000506FA" w:rsidRPr="00AC6666" w:rsidRDefault="000506FA" w:rsidP="004236C6">
      <w:pPr>
        <w:tabs>
          <w:tab w:val="left" w:pos="184"/>
        </w:tabs>
        <w:rPr>
          <w:rFonts w:eastAsia="Calibri"/>
          <w:sz w:val="16"/>
          <w:szCs w:val="16"/>
          <w:vertAlign w:val="superscript"/>
        </w:rPr>
      </w:pPr>
      <w:r w:rsidRPr="00AC6666">
        <w:rPr>
          <w:rStyle w:val="Znakapoznpodarou"/>
          <w:sz w:val="16"/>
          <w:szCs w:val="16"/>
        </w:rPr>
        <w:footnoteRef/>
      </w:r>
      <w:r w:rsidRPr="00AC6666">
        <w:rPr>
          <w:sz w:val="16"/>
          <w:szCs w:val="16"/>
        </w:rPr>
        <w:t xml:space="preserve"> </w:t>
      </w:r>
      <w:r w:rsidRPr="00AC6666">
        <w:rPr>
          <w:rFonts w:eastAsia="Times New Roman"/>
          <w:sz w:val="16"/>
          <w:szCs w:val="16"/>
        </w:rPr>
        <w:t>Zdroj: Roana blog</w:t>
      </w:r>
    </w:p>
    <w:p w14:paraId="3E5BE2E6" w14:textId="77777777" w:rsidR="000506FA" w:rsidRDefault="000506FA" w:rsidP="004236C6">
      <w:pPr>
        <w:pStyle w:val="Textpoznpodarou"/>
      </w:pPr>
    </w:p>
  </w:footnote>
  <w:footnote w:id="18">
    <w:p w14:paraId="661C75CF" w14:textId="77777777" w:rsidR="000506FA" w:rsidRPr="004B6CDE" w:rsidRDefault="000506FA" w:rsidP="004236C6">
      <w:pPr>
        <w:tabs>
          <w:tab w:val="left" w:pos="184"/>
        </w:tabs>
        <w:spacing w:line="240" w:lineRule="auto"/>
        <w:rPr>
          <w:rFonts w:eastAsia="Calibri"/>
          <w:sz w:val="16"/>
          <w:szCs w:val="16"/>
          <w:vertAlign w:val="superscript"/>
        </w:rPr>
      </w:pPr>
      <w:r w:rsidRPr="004B6CDE">
        <w:rPr>
          <w:rStyle w:val="Znakapoznpodarou"/>
          <w:sz w:val="16"/>
          <w:szCs w:val="16"/>
        </w:rPr>
        <w:footnoteRef/>
      </w:r>
      <w:r w:rsidRPr="004B6CDE">
        <w:rPr>
          <w:sz w:val="16"/>
          <w:szCs w:val="16"/>
        </w:rPr>
        <w:t xml:space="preserve"> </w:t>
      </w:r>
      <w:r w:rsidRPr="004B6CDE">
        <w:rPr>
          <w:rFonts w:eastAsia="Times New Roman"/>
          <w:sz w:val="16"/>
          <w:szCs w:val="16"/>
        </w:rPr>
        <w:t>Zdroj: fineweb.sk</w:t>
      </w:r>
    </w:p>
  </w:footnote>
  <w:footnote w:id="19">
    <w:p w14:paraId="6CE06162" w14:textId="77777777" w:rsidR="000506FA" w:rsidRPr="004B6CDE" w:rsidRDefault="000506FA" w:rsidP="004236C6">
      <w:pPr>
        <w:tabs>
          <w:tab w:val="left" w:pos="224"/>
        </w:tabs>
        <w:spacing w:line="240" w:lineRule="auto"/>
        <w:rPr>
          <w:rFonts w:eastAsia="Times New Roman"/>
          <w:sz w:val="16"/>
          <w:szCs w:val="16"/>
          <w:vertAlign w:val="superscript"/>
        </w:rPr>
      </w:pPr>
      <w:r w:rsidRPr="004B6CDE">
        <w:rPr>
          <w:rStyle w:val="Znakapoznpodarou"/>
          <w:sz w:val="16"/>
          <w:szCs w:val="16"/>
        </w:rPr>
        <w:footnoteRef/>
      </w:r>
      <w:r w:rsidRPr="004B6CDE">
        <w:rPr>
          <w:sz w:val="16"/>
          <w:szCs w:val="16"/>
        </w:rPr>
        <w:t xml:space="preserve"> </w:t>
      </w:r>
      <w:r w:rsidRPr="004B6CDE">
        <w:rPr>
          <w:rFonts w:eastAsia="Times New Roman"/>
          <w:sz w:val="16"/>
          <w:szCs w:val="16"/>
        </w:rPr>
        <w:t xml:space="preserve">Zdroj: </w:t>
      </w:r>
      <w:r w:rsidRPr="004B6CDE">
        <w:rPr>
          <w:rFonts w:eastAsia="Times New Roman"/>
          <w:color w:val="0563C1"/>
          <w:sz w:val="16"/>
          <w:szCs w:val="16"/>
          <w:u w:val="single"/>
        </w:rPr>
        <w:t>http://www.cnb.cz/cs/o_cnb/mezinarodni_vztahy/rating/</w:t>
      </w:r>
    </w:p>
    <w:p w14:paraId="7704EEF9" w14:textId="77777777" w:rsidR="000506FA" w:rsidRDefault="000506FA" w:rsidP="004236C6">
      <w:pPr>
        <w:pStyle w:val="Textpoznpodarou"/>
      </w:pPr>
    </w:p>
  </w:footnote>
  <w:footnote w:id="20">
    <w:p w14:paraId="1350C8C3" w14:textId="77777777" w:rsidR="000506FA" w:rsidRPr="004A43AA" w:rsidRDefault="000506FA" w:rsidP="004236C6">
      <w:pPr>
        <w:tabs>
          <w:tab w:val="left" w:pos="184"/>
        </w:tabs>
        <w:rPr>
          <w:rFonts w:eastAsia="Calibri"/>
          <w:sz w:val="16"/>
          <w:szCs w:val="16"/>
          <w:vertAlign w:val="superscript"/>
        </w:rPr>
      </w:pPr>
      <w:r w:rsidRPr="004A43AA">
        <w:rPr>
          <w:rStyle w:val="Znakapoznpodarou"/>
          <w:sz w:val="16"/>
          <w:szCs w:val="16"/>
        </w:rPr>
        <w:footnoteRef/>
      </w:r>
      <w:r w:rsidRPr="004A43AA">
        <w:rPr>
          <w:sz w:val="16"/>
          <w:szCs w:val="16"/>
        </w:rPr>
        <w:t xml:space="preserve"> </w:t>
      </w:r>
      <w:r w:rsidRPr="004A43AA">
        <w:rPr>
          <w:rFonts w:eastAsia="Calibri"/>
          <w:sz w:val="16"/>
          <w:szCs w:val="16"/>
        </w:rPr>
        <w:t xml:space="preserve">Zdroj: </w:t>
      </w:r>
      <w:r w:rsidRPr="004A43AA">
        <w:rPr>
          <w:rFonts w:eastAsia="Calibri"/>
          <w:color w:val="0563C1"/>
          <w:sz w:val="16"/>
          <w:szCs w:val="16"/>
          <w:u w:val="single"/>
        </w:rPr>
        <w:t>http://www.vlada.cz/cz/vlada/</w:t>
      </w:r>
    </w:p>
    <w:p w14:paraId="1D328F86" w14:textId="77777777" w:rsidR="000506FA" w:rsidRDefault="000506FA" w:rsidP="004236C6">
      <w:pPr>
        <w:pStyle w:val="Textpoznpodarou"/>
      </w:pPr>
    </w:p>
  </w:footnote>
  <w:footnote w:id="21">
    <w:p w14:paraId="5F61A80E" w14:textId="77777777" w:rsidR="000506FA" w:rsidRPr="004B6CDE" w:rsidRDefault="000506FA" w:rsidP="004236C6">
      <w:pPr>
        <w:tabs>
          <w:tab w:val="left" w:pos="478"/>
        </w:tabs>
        <w:spacing w:line="311" w:lineRule="auto"/>
        <w:rPr>
          <w:rFonts w:eastAsia="Calibri"/>
          <w:sz w:val="16"/>
          <w:szCs w:val="16"/>
          <w:vertAlign w:val="superscript"/>
        </w:rPr>
      </w:pPr>
      <w:r w:rsidRPr="004B6CDE">
        <w:rPr>
          <w:rStyle w:val="Znakapoznpodarou"/>
          <w:sz w:val="16"/>
          <w:szCs w:val="16"/>
        </w:rPr>
        <w:footnoteRef/>
      </w:r>
      <w:r w:rsidRPr="004B6CDE">
        <w:rPr>
          <w:sz w:val="16"/>
          <w:szCs w:val="16"/>
        </w:rPr>
        <w:t xml:space="preserve"> </w:t>
      </w:r>
      <w:r w:rsidRPr="004B6CDE">
        <w:rPr>
          <w:rFonts w:eastAsia="Times New Roman"/>
          <w:sz w:val="16"/>
          <w:szCs w:val="16"/>
        </w:rPr>
        <w:t xml:space="preserve">TOMEŠ, Z., 2008. </w:t>
      </w:r>
      <w:r w:rsidRPr="004B6CDE">
        <w:rPr>
          <w:rFonts w:eastAsia="Times New Roman"/>
          <w:i/>
          <w:iCs/>
          <w:sz w:val="16"/>
          <w:szCs w:val="16"/>
        </w:rPr>
        <w:t>Hospodářská politika. 1900-2007</w:t>
      </w:r>
      <w:r w:rsidRPr="004B6CDE">
        <w:rPr>
          <w:rFonts w:eastAsia="Times New Roman"/>
          <w:sz w:val="16"/>
          <w:szCs w:val="16"/>
        </w:rPr>
        <w:t>. B.m.: Nakladatelství C H Beck. ISBN 978-80-7400-002-7.</w:t>
      </w:r>
    </w:p>
    <w:p w14:paraId="407916CC" w14:textId="77777777" w:rsidR="000506FA" w:rsidRDefault="000506FA" w:rsidP="004236C6">
      <w:pPr>
        <w:pStyle w:val="Textpoznpodarou"/>
      </w:pPr>
    </w:p>
  </w:footnote>
  <w:footnote w:id="22">
    <w:p w14:paraId="006C77AA" w14:textId="77777777" w:rsidR="000506FA" w:rsidRPr="004B6CDE" w:rsidRDefault="000506FA" w:rsidP="004236C6">
      <w:pPr>
        <w:tabs>
          <w:tab w:val="left" w:pos="482"/>
        </w:tabs>
        <w:spacing w:line="311" w:lineRule="auto"/>
        <w:rPr>
          <w:rFonts w:eastAsia="Calibri"/>
          <w:sz w:val="16"/>
          <w:szCs w:val="16"/>
          <w:vertAlign w:val="superscript"/>
        </w:rPr>
      </w:pPr>
      <w:r w:rsidRPr="004B6CDE">
        <w:rPr>
          <w:rStyle w:val="Znakapoznpodarou"/>
          <w:sz w:val="16"/>
          <w:szCs w:val="16"/>
        </w:rPr>
        <w:footnoteRef/>
      </w:r>
      <w:r w:rsidRPr="004B6CDE">
        <w:rPr>
          <w:sz w:val="16"/>
          <w:szCs w:val="16"/>
        </w:rPr>
        <w:t xml:space="preserve"> </w:t>
      </w:r>
      <w:r w:rsidRPr="004B6CDE">
        <w:rPr>
          <w:rFonts w:eastAsia="Times New Roman"/>
          <w:sz w:val="16"/>
          <w:szCs w:val="16"/>
        </w:rPr>
        <w:t xml:space="preserve">TOMEŠ, Z., 2008. </w:t>
      </w:r>
      <w:r w:rsidRPr="004B6CDE">
        <w:rPr>
          <w:rFonts w:eastAsia="Times New Roman"/>
          <w:i/>
          <w:iCs/>
          <w:sz w:val="16"/>
          <w:szCs w:val="16"/>
        </w:rPr>
        <w:t>Hospodářská politika. 1900-2007</w:t>
      </w:r>
      <w:r w:rsidRPr="004B6CDE">
        <w:rPr>
          <w:rFonts w:eastAsia="Times New Roman"/>
          <w:sz w:val="16"/>
          <w:szCs w:val="16"/>
        </w:rPr>
        <w:t>. B.m.: Nakladatelství C H Beck. ISBN 978-80-7400-002-7.</w:t>
      </w:r>
    </w:p>
    <w:p w14:paraId="5C376948" w14:textId="77777777" w:rsidR="000506FA" w:rsidRDefault="000506FA" w:rsidP="004236C6">
      <w:pPr>
        <w:pStyle w:val="Textpoznpodarou"/>
      </w:pPr>
    </w:p>
  </w:footnote>
  <w:footnote w:id="23">
    <w:p w14:paraId="54CED5A9" w14:textId="77777777" w:rsidR="000506FA" w:rsidRPr="004B6CDE" w:rsidRDefault="000506FA" w:rsidP="004236C6">
      <w:pPr>
        <w:tabs>
          <w:tab w:val="left" w:pos="478"/>
        </w:tabs>
        <w:spacing w:line="311" w:lineRule="auto"/>
        <w:rPr>
          <w:rFonts w:eastAsia="Calibri"/>
          <w:sz w:val="16"/>
          <w:szCs w:val="16"/>
          <w:vertAlign w:val="superscript"/>
        </w:rPr>
      </w:pPr>
      <w:r w:rsidRPr="004B6CDE">
        <w:rPr>
          <w:rStyle w:val="Znakapoznpodarou"/>
          <w:sz w:val="16"/>
          <w:szCs w:val="16"/>
        </w:rPr>
        <w:footnoteRef/>
      </w:r>
      <w:r w:rsidRPr="004B6CDE">
        <w:rPr>
          <w:sz w:val="16"/>
          <w:szCs w:val="16"/>
        </w:rPr>
        <w:t xml:space="preserve"> </w:t>
      </w:r>
      <w:r w:rsidRPr="004B6CDE">
        <w:rPr>
          <w:rFonts w:eastAsia="Times New Roman"/>
          <w:sz w:val="16"/>
          <w:szCs w:val="16"/>
        </w:rPr>
        <w:t xml:space="preserve">TOMEŠ, Z., 2008. </w:t>
      </w:r>
      <w:r w:rsidRPr="004B6CDE">
        <w:rPr>
          <w:rFonts w:eastAsia="Times New Roman"/>
          <w:i/>
          <w:iCs/>
          <w:sz w:val="16"/>
          <w:szCs w:val="16"/>
        </w:rPr>
        <w:t>Hospodářská politika. 1900-2007</w:t>
      </w:r>
      <w:r w:rsidRPr="004B6CDE">
        <w:rPr>
          <w:rFonts w:eastAsia="Times New Roman"/>
          <w:sz w:val="16"/>
          <w:szCs w:val="16"/>
        </w:rPr>
        <w:t>. B.m.: Nakladatelství C H Beck. ISBN 978-80-7400-002-7.</w:t>
      </w:r>
    </w:p>
    <w:p w14:paraId="1DE785EB" w14:textId="77777777" w:rsidR="000506FA" w:rsidRDefault="000506FA" w:rsidP="004236C6">
      <w:pPr>
        <w:pStyle w:val="Textpoznpodarou"/>
      </w:pPr>
    </w:p>
  </w:footnote>
  <w:footnote w:id="24">
    <w:p w14:paraId="560953D3" w14:textId="77777777" w:rsidR="000506FA" w:rsidRPr="004B6CDE" w:rsidRDefault="000506FA" w:rsidP="004236C6">
      <w:pPr>
        <w:tabs>
          <w:tab w:val="left" w:pos="164"/>
        </w:tabs>
        <w:rPr>
          <w:rFonts w:eastAsia="Calibri"/>
          <w:sz w:val="16"/>
          <w:szCs w:val="16"/>
          <w:vertAlign w:val="superscript"/>
        </w:rPr>
      </w:pPr>
      <w:r w:rsidRPr="004B6CDE">
        <w:rPr>
          <w:rStyle w:val="Znakapoznpodarou"/>
          <w:sz w:val="16"/>
          <w:szCs w:val="16"/>
        </w:rPr>
        <w:footnoteRef/>
      </w:r>
      <w:r w:rsidRPr="004B6CDE">
        <w:rPr>
          <w:sz w:val="16"/>
          <w:szCs w:val="16"/>
        </w:rPr>
        <w:t xml:space="preserve"> </w:t>
      </w:r>
      <w:r w:rsidRPr="004B6CDE">
        <w:rPr>
          <w:rFonts w:eastAsia="Calibri"/>
          <w:sz w:val="16"/>
          <w:szCs w:val="16"/>
        </w:rPr>
        <w:t>Kubíček, 2006</w:t>
      </w:r>
    </w:p>
  </w:footnote>
  <w:footnote w:id="25">
    <w:p w14:paraId="3EE19C1F" w14:textId="77777777" w:rsidR="000506FA" w:rsidRPr="004B6CDE" w:rsidRDefault="000506FA" w:rsidP="004236C6">
      <w:pPr>
        <w:tabs>
          <w:tab w:val="left" w:pos="164"/>
        </w:tabs>
        <w:spacing w:line="195" w:lineRule="auto"/>
        <w:rPr>
          <w:rFonts w:eastAsia="Calibri"/>
          <w:sz w:val="16"/>
          <w:szCs w:val="16"/>
          <w:vertAlign w:val="superscript"/>
        </w:rPr>
      </w:pPr>
      <w:r w:rsidRPr="004B6CDE">
        <w:rPr>
          <w:rStyle w:val="Znakapoznpodarou"/>
          <w:sz w:val="16"/>
          <w:szCs w:val="16"/>
        </w:rPr>
        <w:footnoteRef/>
      </w:r>
      <w:r w:rsidRPr="004B6CDE">
        <w:rPr>
          <w:sz w:val="16"/>
          <w:szCs w:val="16"/>
        </w:rPr>
        <w:t xml:space="preserve"> </w:t>
      </w:r>
      <w:r w:rsidRPr="004B6CDE">
        <w:rPr>
          <w:rFonts w:eastAsia="Calibri"/>
          <w:sz w:val="16"/>
          <w:szCs w:val="16"/>
        </w:rPr>
        <w:t>Schwarz, 2012</w:t>
      </w:r>
    </w:p>
    <w:p w14:paraId="702F1C43" w14:textId="77777777" w:rsidR="000506FA" w:rsidRDefault="000506FA" w:rsidP="004236C6">
      <w:pPr>
        <w:pStyle w:val="Textpoznpodarou"/>
      </w:pPr>
    </w:p>
  </w:footnote>
  <w:footnote w:id="26">
    <w:p w14:paraId="69CBC7DD" w14:textId="77777777" w:rsidR="000506FA" w:rsidRPr="006254C9" w:rsidRDefault="000506FA" w:rsidP="00332556">
      <w:pPr>
        <w:tabs>
          <w:tab w:val="left" w:pos="164"/>
        </w:tabs>
        <w:rPr>
          <w:rFonts w:eastAsia="Calibri"/>
          <w:sz w:val="16"/>
          <w:szCs w:val="16"/>
          <w:vertAlign w:val="superscript"/>
        </w:rPr>
      </w:pPr>
      <w:r w:rsidRPr="006254C9">
        <w:rPr>
          <w:rStyle w:val="Znakapoznpodarou"/>
          <w:sz w:val="16"/>
          <w:szCs w:val="16"/>
        </w:rPr>
        <w:footnoteRef/>
      </w:r>
      <w:r w:rsidRPr="006254C9">
        <w:rPr>
          <w:sz w:val="16"/>
          <w:szCs w:val="16"/>
        </w:rPr>
        <w:t xml:space="preserve"> https://www.senat.cz/senatori/</w:t>
      </w:r>
    </w:p>
    <w:p w14:paraId="49BF672A" w14:textId="77777777" w:rsidR="000506FA" w:rsidRDefault="000506FA" w:rsidP="00332556">
      <w:pPr>
        <w:pStyle w:val="Textpoznpodarou"/>
      </w:pPr>
    </w:p>
  </w:footnote>
  <w:footnote w:id="27">
    <w:p w14:paraId="6FDA5A9F" w14:textId="77777777" w:rsidR="000506FA" w:rsidRPr="006254C9" w:rsidRDefault="000506FA" w:rsidP="007E750A">
      <w:pPr>
        <w:tabs>
          <w:tab w:val="left" w:pos="164"/>
        </w:tabs>
        <w:rPr>
          <w:rFonts w:eastAsia="Calibri"/>
          <w:sz w:val="16"/>
          <w:szCs w:val="16"/>
          <w:vertAlign w:val="superscript"/>
        </w:rPr>
      </w:pPr>
      <w:r w:rsidRPr="006254C9">
        <w:rPr>
          <w:rStyle w:val="Znakapoznpodarou"/>
          <w:sz w:val="16"/>
          <w:szCs w:val="16"/>
        </w:rPr>
        <w:footnoteRef/>
      </w:r>
      <w:r w:rsidRPr="006254C9">
        <w:rPr>
          <w:sz w:val="16"/>
          <w:szCs w:val="16"/>
        </w:rPr>
        <w:t xml:space="preserve"> </w:t>
      </w:r>
      <w:r w:rsidRPr="006254C9">
        <w:rPr>
          <w:rFonts w:eastAsia="Times New Roman"/>
          <w:sz w:val="16"/>
          <w:szCs w:val="16"/>
        </w:rPr>
        <w:t>Schwarz, 2012</w:t>
      </w:r>
    </w:p>
  </w:footnote>
  <w:footnote w:id="28">
    <w:p w14:paraId="26D365E6" w14:textId="77777777" w:rsidR="000506FA" w:rsidRPr="006254C9" w:rsidRDefault="000506FA" w:rsidP="007E750A">
      <w:pPr>
        <w:tabs>
          <w:tab w:val="left" w:pos="184"/>
        </w:tabs>
        <w:rPr>
          <w:rFonts w:eastAsia="Calibri"/>
          <w:sz w:val="16"/>
          <w:szCs w:val="16"/>
          <w:vertAlign w:val="superscript"/>
        </w:rPr>
      </w:pPr>
      <w:r w:rsidRPr="006254C9">
        <w:rPr>
          <w:rStyle w:val="Znakapoznpodarou"/>
          <w:sz w:val="16"/>
          <w:szCs w:val="16"/>
        </w:rPr>
        <w:footnoteRef/>
      </w:r>
      <w:r w:rsidRPr="006254C9">
        <w:rPr>
          <w:sz w:val="16"/>
          <w:szCs w:val="16"/>
        </w:rPr>
        <w:t xml:space="preserve"> </w:t>
      </w:r>
      <w:r w:rsidRPr="006254C9">
        <w:rPr>
          <w:rFonts w:eastAsia="Times New Roman"/>
          <w:sz w:val="16"/>
          <w:szCs w:val="16"/>
        </w:rPr>
        <w:t>Toto může být řešeno tzv, selektivními podněty (=kolektivní výhody jsou učiněny selektivně soukromými) nebo monopolizací odvětví.</w:t>
      </w:r>
    </w:p>
  </w:footnote>
  <w:footnote w:id="29">
    <w:p w14:paraId="6462ED79" w14:textId="173EBF69" w:rsidR="000506FA" w:rsidRPr="004B6CDE" w:rsidRDefault="000506FA" w:rsidP="004B6CDE">
      <w:pPr>
        <w:tabs>
          <w:tab w:val="left" w:pos="184"/>
        </w:tabs>
        <w:spacing w:line="188" w:lineRule="auto"/>
        <w:rPr>
          <w:rFonts w:eastAsia="Calibri"/>
          <w:sz w:val="16"/>
          <w:szCs w:val="16"/>
          <w:vertAlign w:val="superscript"/>
        </w:rPr>
      </w:pPr>
      <w:r w:rsidRPr="006254C9">
        <w:rPr>
          <w:rStyle w:val="Znakapoznpodarou"/>
          <w:sz w:val="16"/>
          <w:szCs w:val="16"/>
        </w:rPr>
        <w:footnoteRef/>
      </w:r>
      <w:r w:rsidRPr="006254C9">
        <w:rPr>
          <w:sz w:val="16"/>
          <w:szCs w:val="16"/>
        </w:rPr>
        <w:t xml:space="preserve"> </w:t>
      </w:r>
      <w:r w:rsidRPr="006254C9">
        <w:rPr>
          <w:rFonts w:eastAsia="Times New Roman"/>
          <w:sz w:val="16"/>
          <w:szCs w:val="16"/>
        </w:rPr>
        <w:t>Může dojít k alianci s konkurenčními skupinami – vznik tzv. vyšších odborových svazů.</w:t>
      </w:r>
    </w:p>
  </w:footnote>
  <w:footnote w:id="30">
    <w:p w14:paraId="3EAF4CA0" w14:textId="5D41DE4F" w:rsidR="000506FA" w:rsidRPr="004B6CDE" w:rsidRDefault="000506FA" w:rsidP="004B6CDE">
      <w:pPr>
        <w:tabs>
          <w:tab w:val="left" w:pos="200"/>
        </w:tabs>
        <w:spacing w:line="259" w:lineRule="auto"/>
        <w:ind w:left="4" w:right="100"/>
        <w:rPr>
          <w:rFonts w:eastAsia="Times New Roman"/>
          <w:sz w:val="16"/>
          <w:szCs w:val="16"/>
          <w:vertAlign w:val="superscript"/>
        </w:rPr>
      </w:pPr>
      <w:r w:rsidRPr="006254C9">
        <w:rPr>
          <w:rStyle w:val="Znakapoznpodarou"/>
          <w:sz w:val="16"/>
          <w:szCs w:val="16"/>
        </w:rPr>
        <w:footnoteRef/>
      </w:r>
      <w:r w:rsidRPr="006254C9">
        <w:rPr>
          <w:sz w:val="16"/>
          <w:szCs w:val="16"/>
        </w:rPr>
        <w:t xml:space="preserve"> </w:t>
      </w:r>
      <w:r w:rsidRPr="006254C9">
        <w:rPr>
          <w:rFonts w:eastAsia="Times New Roman"/>
          <w:sz w:val="16"/>
          <w:szCs w:val="16"/>
        </w:rPr>
        <w:t xml:space="preserve">Nejvíce rozvinut v Kongresu USA. Zahrnuje dvě strategie, které se nazývají metoda kulovnice a brokovnice. </w:t>
      </w:r>
      <w:r w:rsidRPr="006254C9">
        <w:rPr>
          <w:rFonts w:eastAsia="Times New Roman"/>
          <w:i/>
          <w:iCs/>
          <w:sz w:val="16"/>
          <w:szCs w:val="16"/>
        </w:rPr>
        <w:t>Metoda kulovnice</w:t>
      </w:r>
      <w:r w:rsidRPr="006254C9">
        <w:rPr>
          <w:rFonts w:eastAsia="Times New Roman"/>
          <w:sz w:val="16"/>
          <w:szCs w:val="16"/>
        </w:rPr>
        <w:t xml:space="preserve"> je založená na vyhledávání kontaktů. Její cíl spočívá v navázání vazeb ke konkrétní osobě a snaze získat na ní vliv. Obvykle se uplatňuje v rodinných, přátelských a pracovních vztazích. </w:t>
      </w:r>
      <w:r w:rsidRPr="006254C9">
        <w:rPr>
          <w:rFonts w:eastAsia="Times New Roman"/>
          <w:i/>
          <w:iCs/>
          <w:sz w:val="16"/>
          <w:szCs w:val="16"/>
        </w:rPr>
        <w:t>Metoda brokovnice</w:t>
      </w:r>
      <w:r w:rsidRPr="006254C9">
        <w:rPr>
          <w:rFonts w:eastAsia="Times New Roman"/>
          <w:sz w:val="16"/>
          <w:szCs w:val="16"/>
        </w:rPr>
        <w:t xml:space="preserve"> – hlavní motivací je ovlivnění maximálního počtu členů Kongresu ve svůj prospěch. Realizace této metody vyžaduje účast vícero lobbistů, někdy i spojení lobbyistických kanceláří.</w:t>
      </w:r>
    </w:p>
  </w:footnote>
  <w:footnote w:id="31">
    <w:p w14:paraId="661B5A15" w14:textId="77777777" w:rsidR="000506FA" w:rsidRPr="004B6CDE" w:rsidRDefault="000506FA" w:rsidP="007E750A">
      <w:pPr>
        <w:tabs>
          <w:tab w:val="left" w:pos="204"/>
        </w:tabs>
        <w:rPr>
          <w:rFonts w:eastAsia="Times New Roman"/>
          <w:sz w:val="16"/>
          <w:szCs w:val="16"/>
          <w:vertAlign w:val="superscript"/>
        </w:rPr>
      </w:pPr>
      <w:r w:rsidRPr="004B6CDE">
        <w:rPr>
          <w:rStyle w:val="Znakapoznpodarou"/>
          <w:sz w:val="16"/>
          <w:szCs w:val="16"/>
        </w:rPr>
        <w:footnoteRef/>
      </w:r>
      <w:r w:rsidRPr="004B6CDE">
        <w:rPr>
          <w:rFonts w:eastAsia="Times New Roman"/>
          <w:sz w:val="16"/>
          <w:szCs w:val="16"/>
        </w:rPr>
        <w:t xml:space="preserve">Zdroj: </w:t>
      </w:r>
      <w:r w:rsidRPr="004B6CDE">
        <w:rPr>
          <w:rFonts w:eastAsia="Times New Roman"/>
          <w:color w:val="0563C1"/>
          <w:sz w:val="16"/>
          <w:szCs w:val="16"/>
          <w:u w:val="single"/>
        </w:rPr>
        <w:t>http://www.mfcr.cz/cs/legislativa/legislativni-dokumenty/2016/zakon-c-400-2015-sb-23454</w:t>
      </w:r>
    </w:p>
    <w:p w14:paraId="425BCE2A" w14:textId="77777777" w:rsidR="000506FA" w:rsidRDefault="000506FA" w:rsidP="007E750A">
      <w:pPr>
        <w:pStyle w:val="Textpoznpodarou"/>
      </w:pPr>
      <w:r>
        <w:t xml:space="preserve"> </w:t>
      </w:r>
    </w:p>
  </w:footnote>
  <w:footnote w:id="32">
    <w:p w14:paraId="5DB8E837" w14:textId="3241D829" w:rsidR="000506FA" w:rsidRPr="004B6CDE" w:rsidRDefault="000506FA" w:rsidP="004B6CDE">
      <w:pPr>
        <w:spacing w:line="238" w:lineRule="auto"/>
        <w:jc w:val="left"/>
        <w:rPr>
          <w:rFonts w:eastAsia="Times New Roman"/>
          <w:sz w:val="16"/>
          <w:szCs w:val="16"/>
        </w:rPr>
      </w:pPr>
      <w:r w:rsidRPr="004B6CDE">
        <w:rPr>
          <w:rFonts w:eastAsia="Times New Roman"/>
          <w:sz w:val="16"/>
          <w:szCs w:val="16"/>
          <w:vertAlign w:val="superscript"/>
        </w:rPr>
        <w:footnoteRef/>
      </w:r>
      <w:r w:rsidRPr="004B6CDE">
        <w:rPr>
          <w:rFonts w:eastAsia="Times New Roman"/>
          <w:sz w:val="16"/>
          <w:szCs w:val="16"/>
          <w:vertAlign w:val="superscript"/>
        </w:rPr>
        <w:t xml:space="preserve"> </w:t>
      </w:r>
      <w:r w:rsidRPr="007E750A">
        <w:rPr>
          <w:rFonts w:eastAsia="Times New Roman"/>
          <w:sz w:val="16"/>
          <w:szCs w:val="16"/>
        </w:rPr>
        <w:t>Zdroj:</w:t>
      </w:r>
      <w:r w:rsidRPr="007E750A">
        <w:rPr>
          <w:sz w:val="16"/>
          <w:szCs w:val="16"/>
        </w:rPr>
        <w:t xml:space="preserve"> </w:t>
      </w:r>
      <w:r w:rsidRPr="007E750A">
        <w:rPr>
          <w:rFonts w:eastAsia="Times New Roman"/>
          <w:color w:val="0563C1"/>
          <w:sz w:val="16"/>
          <w:szCs w:val="16"/>
          <w:u w:val="single"/>
        </w:rPr>
        <w:t>https://www.google.cz/url?sa=i&amp;rct=j&amp;q=&amp;esrc=s&amp;source=images&amp;cd=&amp;cad=rja&amp;uact=8&amp;ved=0ahUKEwim6fO3nsXLAhWqC5oKHQfo</w:t>
      </w:r>
    </w:p>
    <w:p w14:paraId="19B1709B" w14:textId="77777777" w:rsidR="000506FA" w:rsidRPr="007E750A" w:rsidRDefault="000506FA" w:rsidP="007E750A">
      <w:pPr>
        <w:ind w:left="4"/>
        <w:rPr>
          <w:rFonts w:eastAsia="Calibri"/>
          <w:sz w:val="16"/>
          <w:szCs w:val="16"/>
          <w:vertAlign w:val="superscript"/>
        </w:rPr>
      </w:pPr>
      <w:r w:rsidRPr="007E750A">
        <w:rPr>
          <w:rFonts w:eastAsia="Times New Roman"/>
          <w:color w:val="0563C1"/>
          <w:sz w:val="16"/>
          <w:szCs w:val="16"/>
          <w:u w:val="single"/>
        </w:rPr>
        <w:t>AkwQjRwIBw&amp;url=http%3A%2F%2Fwww.psp.cz%2Fsqw%2Fhp.sqw%3Fk%3D173&amp;bvm=bv.116954456,d.bGs&amp;psig=AFQjCNG1Mvq</w:t>
      </w:r>
    </w:p>
    <w:p w14:paraId="4739AFFE" w14:textId="77777777" w:rsidR="000506FA" w:rsidRPr="007E750A" w:rsidRDefault="000506FA" w:rsidP="007E750A">
      <w:pPr>
        <w:spacing w:line="3" w:lineRule="exact"/>
        <w:rPr>
          <w:rFonts w:eastAsia="Calibri"/>
          <w:sz w:val="16"/>
          <w:szCs w:val="16"/>
          <w:vertAlign w:val="superscript"/>
        </w:rPr>
      </w:pPr>
    </w:p>
    <w:p w14:paraId="0B217A45" w14:textId="77777777" w:rsidR="000506FA" w:rsidRPr="007E750A" w:rsidRDefault="000506FA" w:rsidP="007E750A">
      <w:pPr>
        <w:spacing w:line="238" w:lineRule="auto"/>
        <w:ind w:left="4"/>
        <w:rPr>
          <w:rFonts w:eastAsia="Calibri"/>
          <w:sz w:val="16"/>
          <w:szCs w:val="16"/>
          <w:vertAlign w:val="superscript"/>
        </w:rPr>
      </w:pPr>
      <w:r w:rsidRPr="007E750A">
        <w:rPr>
          <w:rFonts w:eastAsia="Times New Roman"/>
          <w:color w:val="0563C1"/>
          <w:sz w:val="16"/>
          <w:szCs w:val="16"/>
          <w:u w:val="single"/>
        </w:rPr>
        <w:t>cvjwhiejsHn3HctnwEAusig&amp;ust=1458218675098030</w:t>
      </w:r>
    </w:p>
    <w:p w14:paraId="1E5C5820" w14:textId="77777777" w:rsidR="000506FA" w:rsidRDefault="000506FA" w:rsidP="007E750A">
      <w:pPr>
        <w:pStyle w:val="Textpoznpodarou"/>
      </w:pPr>
    </w:p>
  </w:footnote>
  <w:footnote w:id="33">
    <w:p w14:paraId="7E5E566F" w14:textId="77777777" w:rsidR="000506FA" w:rsidRPr="00201107" w:rsidRDefault="000506FA" w:rsidP="00A15E2D">
      <w:pPr>
        <w:rPr>
          <w:sz w:val="16"/>
          <w:szCs w:val="16"/>
        </w:rPr>
      </w:pPr>
      <w:r w:rsidRPr="00201107">
        <w:rPr>
          <w:rStyle w:val="Znakapoznpodarou"/>
          <w:sz w:val="16"/>
          <w:szCs w:val="16"/>
        </w:rPr>
        <w:footnoteRef/>
      </w:r>
      <w:r w:rsidRPr="00201107">
        <w:rPr>
          <w:sz w:val="16"/>
          <w:szCs w:val="16"/>
        </w:rPr>
        <w:t xml:space="preserve"> </w:t>
      </w:r>
      <w:r w:rsidRPr="00201107">
        <w:rPr>
          <w:rFonts w:eastAsia="Times New Roman"/>
          <w:sz w:val="16"/>
          <w:szCs w:val="16"/>
        </w:rPr>
        <w:t>KALÍNSKÁE., Mezinárodní obchod, str.60-71; ŽÁKM. Učebnice hospodářské politiky II, str.25-28</w:t>
      </w:r>
    </w:p>
  </w:footnote>
  <w:footnote w:id="34">
    <w:p w14:paraId="0426D54B" w14:textId="77777777" w:rsidR="000506FA" w:rsidRPr="005208EE" w:rsidRDefault="000506FA" w:rsidP="00A15E2D">
      <w:pPr>
        <w:ind w:left="120"/>
        <w:rPr>
          <w:sz w:val="18"/>
          <w:szCs w:val="18"/>
        </w:rPr>
      </w:pPr>
      <w:r w:rsidRPr="00201107">
        <w:rPr>
          <w:rStyle w:val="Znakapoznpodarou"/>
          <w:sz w:val="16"/>
          <w:szCs w:val="16"/>
        </w:rPr>
        <w:footnoteRef/>
      </w:r>
      <w:r w:rsidRPr="00201107">
        <w:rPr>
          <w:sz w:val="16"/>
          <w:szCs w:val="16"/>
        </w:rPr>
        <w:t xml:space="preserve"> </w:t>
      </w:r>
      <w:r w:rsidRPr="00201107">
        <w:rPr>
          <w:rFonts w:eastAsia="Times New Roman"/>
          <w:sz w:val="16"/>
          <w:szCs w:val="16"/>
        </w:rPr>
        <w:t>HOLMANR.,Dějiny ekonomického myšlení,kap.2,3,4</w:t>
      </w:r>
    </w:p>
  </w:footnote>
  <w:footnote w:id="35">
    <w:p w14:paraId="15E5E219" w14:textId="18EE8E12" w:rsidR="000506FA" w:rsidRPr="004A43AA" w:rsidRDefault="000506FA" w:rsidP="004A43AA">
      <w:pPr>
        <w:tabs>
          <w:tab w:val="left" w:pos="1260"/>
        </w:tabs>
        <w:rPr>
          <w:rFonts w:eastAsia="Times New Roman"/>
          <w:sz w:val="18"/>
          <w:szCs w:val="18"/>
        </w:rPr>
      </w:pPr>
      <w:r>
        <w:rPr>
          <w:rStyle w:val="Znakapoznpodarou"/>
        </w:rPr>
        <w:footnoteRef/>
      </w:r>
      <w:r>
        <w:t xml:space="preserve"> </w:t>
      </w:r>
      <w:r w:rsidRPr="003375BB">
        <w:rPr>
          <w:rFonts w:eastAsia="Times New Roman"/>
          <w:sz w:val="18"/>
          <w:szCs w:val="18"/>
        </w:rPr>
        <w:t>Zdroj: Kliková, Kotlán (2012)</w:t>
      </w:r>
    </w:p>
  </w:footnote>
  <w:footnote w:id="36">
    <w:p w14:paraId="4A6F5DCA" w14:textId="77777777" w:rsidR="000506FA" w:rsidRPr="004A43AA" w:rsidRDefault="000506FA">
      <w:pPr>
        <w:pStyle w:val="Textpoznpodarou"/>
        <w:rPr>
          <w:sz w:val="16"/>
          <w:szCs w:val="16"/>
        </w:rPr>
      </w:pPr>
      <w:r w:rsidRPr="00AE6CBA">
        <w:rPr>
          <w:rStyle w:val="Znakapoznpodarou"/>
          <w:sz w:val="16"/>
          <w:szCs w:val="16"/>
        </w:rPr>
        <w:footnoteRef/>
      </w:r>
      <w:r w:rsidRPr="00AE6CBA">
        <w:rPr>
          <w:sz w:val="16"/>
          <w:szCs w:val="16"/>
        </w:rPr>
        <w:t xml:space="preserve"> Holman, R., ekonomie, 3. aktualizované vydání</w:t>
      </w:r>
    </w:p>
  </w:footnote>
  <w:footnote w:id="37">
    <w:p w14:paraId="4A6F5DCB" w14:textId="77777777" w:rsidR="000506FA" w:rsidRDefault="000506FA">
      <w:pPr>
        <w:pStyle w:val="Textpoznpodarou"/>
      </w:pPr>
      <w:r w:rsidRPr="004A43AA">
        <w:rPr>
          <w:rStyle w:val="Znakapoznpodarou"/>
          <w:sz w:val="16"/>
          <w:szCs w:val="16"/>
        </w:rPr>
        <w:footnoteRef/>
      </w:r>
      <w:r w:rsidRPr="004A43AA">
        <w:rPr>
          <w:sz w:val="16"/>
          <w:szCs w:val="16"/>
        </w:rPr>
        <w:t xml:space="preserve"> Lidové noviny, 9.4.1998</w:t>
      </w:r>
    </w:p>
  </w:footnote>
  <w:footnote w:id="38">
    <w:p w14:paraId="4A6F5DCC" w14:textId="77777777" w:rsidR="000506FA" w:rsidRPr="00AE6CBA" w:rsidRDefault="000506FA" w:rsidP="00525FA8">
      <w:pPr>
        <w:tabs>
          <w:tab w:val="left" w:pos="1260"/>
        </w:tabs>
        <w:rPr>
          <w:rFonts w:eastAsia="Times New Roman"/>
          <w:sz w:val="16"/>
          <w:szCs w:val="16"/>
          <w:vertAlign w:val="superscript"/>
        </w:rPr>
      </w:pPr>
      <w:r w:rsidRPr="00AE6CBA">
        <w:rPr>
          <w:rStyle w:val="Znakapoznpodarou"/>
          <w:sz w:val="16"/>
          <w:szCs w:val="16"/>
        </w:rPr>
        <w:footnoteRef/>
      </w:r>
      <w:r w:rsidRPr="00AE6CBA">
        <w:rPr>
          <w:sz w:val="16"/>
          <w:szCs w:val="16"/>
        </w:rPr>
        <w:t xml:space="preserve"> </w:t>
      </w:r>
      <w:r w:rsidRPr="00AE6CBA">
        <w:rPr>
          <w:rFonts w:eastAsia="Times New Roman"/>
          <w:sz w:val="16"/>
          <w:szCs w:val="16"/>
        </w:rPr>
        <w:t xml:space="preserve">Zdroj: </w:t>
      </w:r>
      <w:r w:rsidRPr="00AE6CBA">
        <w:rPr>
          <w:rFonts w:eastAsia="Times New Roman"/>
          <w:color w:val="0000FF"/>
          <w:sz w:val="16"/>
          <w:szCs w:val="16"/>
          <w:u w:val="single"/>
        </w:rPr>
        <w:t>http://upv.cz/cs/uzitecne-odkazy/prava-k-jinemu-dusevnimu-vlastnictvi.html</w:t>
      </w:r>
    </w:p>
    <w:p w14:paraId="4A6F5DCD" w14:textId="77777777" w:rsidR="000506FA" w:rsidRDefault="000506FA">
      <w:pPr>
        <w:pStyle w:val="Textpoznpodarou"/>
      </w:pPr>
    </w:p>
  </w:footnote>
  <w:footnote w:id="39">
    <w:p w14:paraId="4A6F5DCE" w14:textId="77777777" w:rsidR="000506FA" w:rsidRPr="00AE6CBA" w:rsidRDefault="000506FA">
      <w:pPr>
        <w:pStyle w:val="Textpoznpodarou"/>
        <w:rPr>
          <w:sz w:val="16"/>
          <w:szCs w:val="16"/>
        </w:rPr>
      </w:pPr>
      <w:r w:rsidRPr="00AE6CBA">
        <w:rPr>
          <w:rStyle w:val="Znakapoznpodarou"/>
          <w:sz w:val="16"/>
          <w:szCs w:val="16"/>
        </w:rPr>
        <w:footnoteRef/>
      </w:r>
      <w:r w:rsidRPr="00AE6CBA">
        <w:rPr>
          <w:sz w:val="16"/>
          <w:szCs w:val="16"/>
        </w:rPr>
        <w:t xml:space="preserve"> </w:t>
      </w:r>
      <w:r w:rsidRPr="00AE6CBA">
        <w:rPr>
          <w:rFonts w:eastAsia="Times New Roman"/>
          <w:sz w:val="16"/>
          <w:szCs w:val="16"/>
        </w:rPr>
        <w:t>Zdroj: Infolist 2005-01 fúze</w:t>
      </w:r>
    </w:p>
  </w:footnote>
  <w:footnote w:id="40">
    <w:p w14:paraId="4A6F5DCF" w14:textId="77777777" w:rsidR="000506FA" w:rsidRPr="00AE6CBA" w:rsidRDefault="000506FA" w:rsidP="00877FBE">
      <w:pPr>
        <w:tabs>
          <w:tab w:val="left" w:pos="1260"/>
        </w:tabs>
        <w:rPr>
          <w:rFonts w:eastAsia="Times New Roman"/>
          <w:sz w:val="16"/>
          <w:szCs w:val="16"/>
          <w:vertAlign w:val="superscript"/>
        </w:rPr>
      </w:pPr>
      <w:r w:rsidRPr="00AE6CBA">
        <w:rPr>
          <w:rStyle w:val="Znakapoznpodarou"/>
          <w:sz w:val="16"/>
          <w:szCs w:val="16"/>
        </w:rPr>
        <w:footnoteRef/>
      </w:r>
      <w:r w:rsidRPr="00AE6CBA">
        <w:rPr>
          <w:sz w:val="16"/>
          <w:szCs w:val="16"/>
        </w:rPr>
        <w:t xml:space="preserve"> </w:t>
      </w:r>
      <w:r w:rsidRPr="00AE6CBA">
        <w:rPr>
          <w:rFonts w:eastAsia="Times New Roman"/>
          <w:sz w:val="16"/>
          <w:szCs w:val="16"/>
        </w:rPr>
        <w:t xml:space="preserve">Zdroj: </w:t>
      </w:r>
      <w:r w:rsidRPr="00AE6CBA">
        <w:rPr>
          <w:rFonts w:eastAsia="Times New Roman"/>
          <w:color w:val="0000FF"/>
          <w:sz w:val="16"/>
          <w:szCs w:val="16"/>
          <w:u w:val="single"/>
        </w:rPr>
        <w:t>http://www.podnikatel.cz/clanky/zneuzila-firma-student-agency-sveho-postaveni/</w:t>
      </w:r>
    </w:p>
    <w:p w14:paraId="4A6F5DD0" w14:textId="77777777" w:rsidR="000506FA" w:rsidRDefault="000506FA">
      <w:pPr>
        <w:pStyle w:val="Textpoznpodarou"/>
      </w:pPr>
    </w:p>
  </w:footnote>
  <w:footnote w:id="41">
    <w:p w14:paraId="4A6F5DD1" w14:textId="77777777" w:rsidR="000506FA" w:rsidRPr="004A43AA" w:rsidRDefault="000506FA" w:rsidP="004A43AA">
      <w:pPr>
        <w:spacing w:line="363" w:lineRule="auto"/>
        <w:ind w:left="120" w:right="780"/>
        <w:jc w:val="left"/>
        <w:rPr>
          <w:sz w:val="16"/>
          <w:szCs w:val="16"/>
        </w:rPr>
      </w:pPr>
      <w:r w:rsidRPr="004A43AA">
        <w:rPr>
          <w:rStyle w:val="Znakapoznpodarou"/>
          <w:sz w:val="16"/>
          <w:szCs w:val="16"/>
        </w:rPr>
        <w:footnoteRef/>
      </w:r>
      <w:r w:rsidRPr="004A43AA">
        <w:rPr>
          <w:rFonts w:eastAsia="Times New Roman"/>
          <w:sz w:val="16"/>
          <w:szCs w:val="16"/>
        </w:rPr>
        <w:t xml:space="preserve">ZEMÁNEK,Josef.Veřejnýsektor,byrokracie,daně.In:Euroekonom.cz[online].2008[cit.2013-03-29]. Dostupnéz: </w:t>
      </w:r>
      <w:hyperlink r:id="rId1" w:history="1">
        <w:r w:rsidRPr="004A43AA">
          <w:rPr>
            <w:rStyle w:val="Hypertextovodkaz"/>
            <w:rFonts w:eastAsia="Times New Roman"/>
            <w:sz w:val="16"/>
            <w:szCs w:val="16"/>
          </w:rPr>
          <w:t>http://www.euroekonom.cz/ekonomie-clanky.php?type=lekce19</w:t>
        </w:r>
      </w:hyperlink>
      <w:r w:rsidRPr="004A43AA">
        <w:rPr>
          <w:rFonts w:eastAsia="Times New Roman"/>
          <w:sz w:val="16"/>
          <w:szCs w:val="16"/>
        </w:rPr>
        <w:t xml:space="preserve"> </w:t>
      </w:r>
    </w:p>
    <w:p w14:paraId="4A6F5DD2" w14:textId="77777777" w:rsidR="000506FA" w:rsidRDefault="000506FA">
      <w:pPr>
        <w:pStyle w:val="Textpoznpodarou"/>
      </w:pPr>
    </w:p>
  </w:footnote>
  <w:footnote w:id="42">
    <w:p w14:paraId="4A6F5DE1" w14:textId="77777777" w:rsidR="000506FA" w:rsidRPr="00FC3B7C" w:rsidRDefault="000506FA" w:rsidP="003738DA">
      <w:pPr>
        <w:rPr>
          <w:sz w:val="20"/>
          <w:szCs w:val="20"/>
        </w:rPr>
      </w:pPr>
      <w:r>
        <w:rPr>
          <w:rStyle w:val="Znakapoznpodarou"/>
        </w:rPr>
        <w:footnoteRef/>
      </w:r>
      <w:r>
        <w:t xml:space="preserve"> </w:t>
      </w:r>
      <w:r w:rsidRPr="00FC3B7C">
        <w:rPr>
          <w:rFonts w:eastAsia="Times New Roman"/>
          <w:sz w:val="20"/>
          <w:szCs w:val="20"/>
        </w:rPr>
        <w:t xml:space="preserve">KLIKOVÁ, Ch; KOTLÁN, I. </w:t>
      </w:r>
      <w:r w:rsidRPr="00FC3B7C">
        <w:rPr>
          <w:rFonts w:eastAsia="Times New Roman"/>
          <w:i/>
          <w:iCs/>
          <w:sz w:val="20"/>
          <w:szCs w:val="20"/>
        </w:rPr>
        <w:t>Hospodářská politika</w:t>
      </w:r>
      <w:r w:rsidRPr="00FC3B7C">
        <w:rPr>
          <w:rFonts w:eastAsia="Times New Roman"/>
          <w:sz w:val="20"/>
          <w:szCs w:val="20"/>
        </w:rPr>
        <w:t>. s. 218-221</w:t>
      </w:r>
      <w:r w:rsidRPr="00FC3B7C">
        <w:rPr>
          <w:rFonts w:eastAsia="Times New Roman"/>
          <w:color w:val="FF0000"/>
          <w:sz w:val="20"/>
          <w:szCs w:val="20"/>
        </w:rPr>
        <w:t>.</w:t>
      </w:r>
    </w:p>
    <w:p w14:paraId="4A6F5DE2" w14:textId="77777777" w:rsidR="000506FA" w:rsidRDefault="000506FA">
      <w:pPr>
        <w:pStyle w:val="Textpoznpodarou"/>
      </w:pPr>
    </w:p>
  </w:footnote>
  <w:footnote w:id="43">
    <w:p w14:paraId="4A6F5DE3" w14:textId="77777777" w:rsidR="000506FA" w:rsidRPr="004A43AA" w:rsidRDefault="000506FA">
      <w:pPr>
        <w:pStyle w:val="Textpoznpodarou"/>
        <w:rPr>
          <w:sz w:val="16"/>
          <w:szCs w:val="16"/>
        </w:rPr>
      </w:pPr>
      <w:r w:rsidRPr="004A43AA">
        <w:rPr>
          <w:rStyle w:val="Znakapoznpodarou"/>
          <w:sz w:val="16"/>
          <w:szCs w:val="16"/>
        </w:rPr>
        <w:footnoteRef/>
      </w:r>
      <w:r w:rsidRPr="004A43AA">
        <w:rPr>
          <w:sz w:val="16"/>
          <w:szCs w:val="16"/>
        </w:rPr>
        <w:t xml:space="preserve"> </w:t>
      </w:r>
      <w:r w:rsidRPr="004A43AA">
        <w:rPr>
          <w:rFonts w:eastAsia="Times New Roman"/>
          <w:sz w:val="16"/>
          <w:szCs w:val="16"/>
        </w:rPr>
        <w:t>Přednášky předmětu Ekonomie veřejného sektoru 5EN 302, LS 2013/2014</w:t>
      </w:r>
    </w:p>
  </w:footnote>
  <w:footnote w:id="44">
    <w:p w14:paraId="7B4F91C6" w14:textId="77777777" w:rsidR="000506FA" w:rsidRPr="00EE01FF" w:rsidRDefault="000506FA" w:rsidP="00EE01FF">
      <w:pPr>
        <w:pStyle w:val="Textpoznpodarou"/>
        <w:rPr>
          <w:sz w:val="16"/>
          <w:szCs w:val="16"/>
        </w:rPr>
      </w:pPr>
      <w:r w:rsidRPr="00EE01FF">
        <w:rPr>
          <w:rStyle w:val="Znakapoznpodarou"/>
          <w:sz w:val="16"/>
          <w:szCs w:val="16"/>
        </w:rPr>
        <w:footnoteRef/>
      </w:r>
      <w:r w:rsidRPr="00EE01FF">
        <w:rPr>
          <w:sz w:val="16"/>
          <w:szCs w:val="16"/>
        </w:rPr>
        <w:t xml:space="preserve"> Zdroj: https://www.strukturalni-fondy.cz/cs/Uvodni-strana</w:t>
      </w:r>
    </w:p>
  </w:footnote>
  <w:footnote w:id="45">
    <w:p w14:paraId="4A6F5DE5" w14:textId="530BB034" w:rsidR="000506FA" w:rsidRPr="004A43AA" w:rsidRDefault="000506FA" w:rsidP="00562370">
      <w:pPr>
        <w:tabs>
          <w:tab w:val="left" w:pos="184"/>
        </w:tabs>
        <w:ind w:left="184"/>
        <w:rPr>
          <w:rFonts w:eastAsia="Times New Roman"/>
          <w:sz w:val="16"/>
          <w:szCs w:val="16"/>
          <w:vertAlign w:val="superscript"/>
        </w:rPr>
      </w:pPr>
      <w:r w:rsidRPr="004A43AA">
        <w:rPr>
          <w:rStyle w:val="Znakapoznpodarou"/>
          <w:sz w:val="16"/>
          <w:szCs w:val="16"/>
        </w:rPr>
        <w:footnoteRef/>
      </w:r>
      <w:r w:rsidRPr="004A43AA">
        <w:rPr>
          <w:sz w:val="16"/>
          <w:szCs w:val="16"/>
        </w:rPr>
        <w:t xml:space="preserve"> </w:t>
      </w:r>
      <w:r w:rsidRPr="004A43AA">
        <w:rPr>
          <w:rFonts w:eastAsia="Times New Roman"/>
          <w:sz w:val="16"/>
          <w:szCs w:val="16"/>
        </w:rPr>
        <w:t xml:space="preserve">Eurostat, data za 3. čtvrtletí 2014, dostupné z: </w:t>
      </w:r>
      <w:hyperlink r:id="rId2" w:history="1">
        <w:r w:rsidRPr="004A43AA">
          <w:rPr>
            <w:rStyle w:val="Hypertextovodkaz"/>
            <w:rFonts w:eastAsia="Times New Roman"/>
            <w:color w:val="auto"/>
            <w:sz w:val="16"/>
            <w:szCs w:val="16"/>
            <w:u w:val="none"/>
          </w:rPr>
          <w:t>http://epp.eurostat.ec.europa.eu/</w:t>
        </w:r>
      </w:hyperlink>
      <w:r w:rsidRPr="004A43AA">
        <w:rPr>
          <w:rFonts w:eastAsia="Times New Roman"/>
          <w:sz w:val="16"/>
          <w:szCs w:val="16"/>
        </w:rPr>
        <w:t>; https://tradingeconomics.com/euro-area/gdp-growth</w:t>
      </w:r>
    </w:p>
    <w:p w14:paraId="4A6F5DE6" w14:textId="77777777" w:rsidR="000506FA" w:rsidRDefault="000506FA">
      <w:pPr>
        <w:pStyle w:val="Textpoznpodarou"/>
      </w:pPr>
    </w:p>
  </w:footnote>
  <w:footnote w:id="46">
    <w:p w14:paraId="4A6F5DE7" w14:textId="77777777" w:rsidR="000506FA" w:rsidRPr="004A43AA" w:rsidRDefault="000506FA">
      <w:pPr>
        <w:pStyle w:val="Textpoznpodarou"/>
        <w:rPr>
          <w:sz w:val="16"/>
          <w:szCs w:val="16"/>
        </w:rPr>
      </w:pPr>
      <w:r w:rsidRPr="004A43AA">
        <w:rPr>
          <w:rStyle w:val="Znakapoznpodarou"/>
          <w:sz w:val="16"/>
          <w:szCs w:val="16"/>
        </w:rPr>
        <w:footnoteRef/>
      </w:r>
      <w:r w:rsidRPr="004A43AA">
        <w:rPr>
          <w:sz w:val="16"/>
          <w:szCs w:val="16"/>
        </w:rPr>
        <w:t xml:space="preserve"> Fond národního majetku = FNM</w:t>
      </w:r>
    </w:p>
  </w:footnote>
  <w:footnote w:id="47">
    <w:p w14:paraId="4A6F5DE8" w14:textId="77777777" w:rsidR="000506FA" w:rsidRPr="004A43AA" w:rsidRDefault="000506FA" w:rsidP="009309DD">
      <w:pPr>
        <w:ind w:left="4"/>
        <w:rPr>
          <w:sz w:val="16"/>
          <w:szCs w:val="16"/>
        </w:rPr>
      </w:pPr>
      <w:r w:rsidRPr="004A43AA">
        <w:rPr>
          <w:rStyle w:val="Znakapoznpodarou"/>
          <w:sz w:val="16"/>
          <w:szCs w:val="16"/>
        </w:rPr>
        <w:footnoteRef/>
      </w:r>
      <w:r w:rsidRPr="004A43AA">
        <w:rPr>
          <w:sz w:val="16"/>
          <w:szCs w:val="16"/>
        </w:rPr>
        <w:t xml:space="preserve"> </w:t>
      </w:r>
      <w:r w:rsidRPr="004A43AA">
        <w:rPr>
          <w:rFonts w:eastAsia="Times New Roman"/>
          <w:sz w:val="16"/>
          <w:szCs w:val="16"/>
        </w:rPr>
        <w:t>Ježek, T. Zrození ze zkumavky, Svědectví o české privatizace 1990-1997</w:t>
      </w:r>
    </w:p>
    <w:p w14:paraId="4A6F5DE9" w14:textId="77777777" w:rsidR="000506FA" w:rsidRDefault="000506FA">
      <w:pPr>
        <w:pStyle w:val="Textpoznpodarou"/>
      </w:pPr>
    </w:p>
  </w:footnote>
  <w:footnote w:id="48">
    <w:p w14:paraId="4A6F5DEA" w14:textId="77777777" w:rsidR="000506FA" w:rsidRPr="004A43AA" w:rsidRDefault="000506FA" w:rsidP="009309DD">
      <w:pPr>
        <w:tabs>
          <w:tab w:val="left" w:pos="244"/>
        </w:tabs>
        <w:rPr>
          <w:rFonts w:eastAsia="Calibri"/>
          <w:sz w:val="16"/>
          <w:szCs w:val="16"/>
          <w:vertAlign w:val="superscript"/>
        </w:rPr>
      </w:pPr>
      <w:r w:rsidRPr="004A43AA">
        <w:rPr>
          <w:rStyle w:val="Znakapoznpodarou"/>
          <w:sz w:val="16"/>
          <w:szCs w:val="16"/>
        </w:rPr>
        <w:footnoteRef/>
      </w:r>
      <w:r w:rsidRPr="004A43AA">
        <w:rPr>
          <w:sz w:val="16"/>
          <w:szCs w:val="16"/>
        </w:rPr>
        <w:t xml:space="preserve"> </w:t>
      </w:r>
      <w:r w:rsidRPr="004A43AA">
        <w:rPr>
          <w:rFonts w:eastAsia="Times New Roman"/>
          <w:sz w:val="16"/>
          <w:szCs w:val="16"/>
        </w:rPr>
        <w:t>Vašek, B., Spravedlnost v životě hospodářském. Praha (1931)</w:t>
      </w:r>
    </w:p>
    <w:p w14:paraId="4A6F5DEB" w14:textId="77777777" w:rsidR="000506FA" w:rsidRDefault="000506FA">
      <w:pPr>
        <w:pStyle w:val="Textpoznpodarou"/>
      </w:pPr>
    </w:p>
  </w:footnote>
  <w:footnote w:id="49">
    <w:p w14:paraId="4A6F5DEC" w14:textId="77777777" w:rsidR="000506FA" w:rsidRPr="004A43AA" w:rsidRDefault="000506FA" w:rsidP="009309DD">
      <w:pPr>
        <w:tabs>
          <w:tab w:val="left" w:pos="184"/>
        </w:tabs>
        <w:rPr>
          <w:rFonts w:eastAsia="Times New Roman"/>
          <w:sz w:val="16"/>
          <w:szCs w:val="16"/>
          <w:vertAlign w:val="superscript"/>
        </w:rPr>
      </w:pPr>
      <w:r w:rsidRPr="004A43AA">
        <w:rPr>
          <w:rStyle w:val="Znakapoznpodarou"/>
          <w:sz w:val="16"/>
          <w:szCs w:val="16"/>
        </w:rPr>
        <w:footnoteRef/>
      </w:r>
      <w:r w:rsidRPr="004A43AA">
        <w:rPr>
          <w:sz w:val="16"/>
          <w:szCs w:val="16"/>
        </w:rPr>
        <w:t xml:space="preserve"> </w:t>
      </w:r>
      <w:r w:rsidRPr="004A43AA">
        <w:rPr>
          <w:rFonts w:eastAsia="Times New Roman"/>
          <w:sz w:val="16"/>
          <w:szCs w:val="16"/>
        </w:rPr>
        <w:t>Holman, R. Transformace české ekonomiky v komparaci s dalšími zeměmi střední Evropy</w:t>
      </w:r>
    </w:p>
    <w:p w14:paraId="4A6F5DED" w14:textId="77777777" w:rsidR="000506FA" w:rsidRDefault="000506FA">
      <w:pPr>
        <w:pStyle w:val="Textpoznpodarou"/>
      </w:pPr>
    </w:p>
  </w:footnote>
  <w:footnote w:id="50">
    <w:p w14:paraId="4A6F5DEE" w14:textId="77777777" w:rsidR="000506FA" w:rsidRPr="004A43AA" w:rsidRDefault="000506FA" w:rsidP="00FA44CF">
      <w:pPr>
        <w:tabs>
          <w:tab w:val="left" w:pos="184"/>
        </w:tabs>
        <w:rPr>
          <w:rFonts w:eastAsia="Times New Roman"/>
          <w:sz w:val="16"/>
          <w:szCs w:val="16"/>
          <w:vertAlign w:val="superscript"/>
        </w:rPr>
      </w:pPr>
      <w:r w:rsidRPr="004A43AA">
        <w:rPr>
          <w:rStyle w:val="Znakapoznpodarou"/>
          <w:sz w:val="16"/>
          <w:szCs w:val="16"/>
        </w:rPr>
        <w:footnoteRef/>
      </w:r>
      <w:r w:rsidRPr="004A43AA">
        <w:rPr>
          <w:sz w:val="16"/>
          <w:szCs w:val="16"/>
        </w:rPr>
        <w:t xml:space="preserve"> </w:t>
      </w:r>
      <w:r w:rsidRPr="004A43AA">
        <w:rPr>
          <w:rFonts w:eastAsia="Times New Roman"/>
          <w:sz w:val="16"/>
          <w:szCs w:val="16"/>
        </w:rPr>
        <w:t xml:space="preserve">Zdroj: </w:t>
      </w:r>
      <w:r w:rsidRPr="004A43AA">
        <w:rPr>
          <w:rFonts w:eastAsia="Times New Roman"/>
          <w:color w:val="0563C1"/>
          <w:sz w:val="16"/>
          <w:szCs w:val="16"/>
          <w:u w:val="single"/>
        </w:rPr>
        <w:t>http://www.uohs.cz/cs/o-uradu/historie-uradu/vyvoj-soutezniho-prava.html</w:t>
      </w:r>
    </w:p>
    <w:p w14:paraId="4A6F5DEF" w14:textId="77777777" w:rsidR="000506FA" w:rsidRDefault="000506FA">
      <w:pPr>
        <w:pStyle w:val="Textpoznpodarou"/>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F5D84" w14:textId="77777777" w:rsidR="000506FA" w:rsidRDefault="000506FA">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F5D85" w14:textId="77777777" w:rsidR="000506FA" w:rsidRDefault="000506FA">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F5D87" w14:textId="77777777" w:rsidR="000506FA" w:rsidRDefault="000506FA">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1893D"/>
    <w:multiLevelType w:val="hybridMultilevel"/>
    <w:tmpl w:val="83A257B6"/>
    <w:lvl w:ilvl="0" w:tplc="6060AB96">
      <w:start w:val="1"/>
      <w:numFmt w:val="bullet"/>
      <w:lvlText w:val="•"/>
      <w:lvlJc w:val="left"/>
    </w:lvl>
    <w:lvl w:ilvl="1" w:tplc="26389B92">
      <w:numFmt w:val="decimal"/>
      <w:lvlText w:val=""/>
      <w:lvlJc w:val="left"/>
    </w:lvl>
    <w:lvl w:ilvl="2" w:tplc="C628858E">
      <w:numFmt w:val="decimal"/>
      <w:lvlText w:val=""/>
      <w:lvlJc w:val="left"/>
    </w:lvl>
    <w:lvl w:ilvl="3" w:tplc="30E4EBDA">
      <w:numFmt w:val="decimal"/>
      <w:lvlText w:val=""/>
      <w:lvlJc w:val="left"/>
    </w:lvl>
    <w:lvl w:ilvl="4" w:tplc="A97A1A6C">
      <w:numFmt w:val="decimal"/>
      <w:lvlText w:val=""/>
      <w:lvlJc w:val="left"/>
    </w:lvl>
    <w:lvl w:ilvl="5" w:tplc="E4CE4CE2">
      <w:numFmt w:val="decimal"/>
      <w:lvlText w:val=""/>
      <w:lvlJc w:val="left"/>
    </w:lvl>
    <w:lvl w:ilvl="6" w:tplc="CCDC9B5E">
      <w:numFmt w:val="decimal"/>
      <w:lvlText w:val=""/>
      <w:lvlJc w:val="left"/>
    </w:lvl>
    <w:lvl w:ilvl="7" w:tplc="EE42078C">
      <w:numFmt w:val="decimal"/>
      <w:lvlText w:val=""/>
      <w:lvlJc w:val="left"/>
    </w:lvl>
    <w:lvl w:ilvl="8" w:tplc="CD3AA77C">
      <w:numFmt w:val="decimal"/>
      <w:lvlText w:val=""/>
      <w:lvlJc w:val="left"/>
    </w:lvl>
  </w:abstractNum>
  <w:abstractNum w:abstractNumId="1" w15:restartNumberingAfterBreak="0">
    <w:nsid w:val="00486447"/>
    <w:multiLevelType w:val="hybridMultilevel"/>
    <w:tmpl w:val="BB2400DC"/>
    <w:lvl w:ilvl="0" w:tplc="43DEE6F6">
      <w:start w:val="1"/>
      <w:numFmt w:val="lowerLetter"/>
      <w:lvlText w:val="%1"/>
      <w:lvlJc w:val="left"/>
    </w:lvl>
    <w:lvl w:ilvl="1" w:tplc="1E5860E2">
      <w:start w:val="1"/>
      <w:numFmt w:val="lowerLetter"/>
      <w:lvlText w:val="%2)"/>
      <w:lvlJc w:val="left"/>
    </w:lvl>
    <w:lvl w:ilvl="2" w:tplc="55DEB13A">
      <w:numFmt w:val="decimal"/>
      <w:lvlText w:val=""/>
      <w:lvlJc w:val="left"/>
    </w:lvl>
    <w:lvl w:ilvl="3" w:tplc="9F60D5AE">
      <w:numFmt w:val="decimal"/>
      <w:lvlText w:val=""/>
      <w:lvlJc w:val="left"/>
    </w:lvl>
    <w:lvl w:ilvl="4" w:tplc="EEC24636">
      <w:numFmt w:val="decimal"/>
      <w:lvlText w:val=""/>
      <w:lvlJc w:val="left"/>
    </w:lvl>
    <w:lvl w:ilvl="5" w:tplc="07CC9806">
      <w:numFmt w:val="decimal"/>
      <w:lvlText w:val=""/>
      <w:lvlJc w:val="left"/>
    </w:lvl>
    <w:lvl w:ilvl="6" w:tplc="936039A6">
      <w:numFmt w:val="decimal"/>
      <w:lvlText w:val=""/>
      <w:lvlJc w:val="left"/>
    </w:lvl>
    <w:lvl w:ilvl="7" w:tplc="EC2E464A">
      <w:numFmt w:val="decimal"/>
      <w:lvlText w:val=""/>
      <w:lvlJc w:val="left"/>
    </w:lvl>
    <w:lvl w:ilvl="8" w:tplc="E58A6616">
      <w:numFmt w:val="decimal"/>
      <w:lvlText w:val=""/>
      <w:lvlJc w:val="left"/>
    </w:lvl>
  </w:abstractNum>
  <w:abstractNum w:abstractNumId="2" w15:restartNumberingAfterBreak="0">
    <w:nsid w:val="00715079"/>
    <w:multiLevelType w:val="hybridMultilevel"/>
    <w:tmpl w:val="A1863F80"/>
    <w:lvl w:ilvl="0" w:tplc="82405550">
      <w:start w:val="4"/>
      <w:numFmt w:val="decimal"/>
      <w:lvlText w:val="%1)"/>
      <w:lvlJc w:val="left"/>
    </w:lvl>
    <w:lvl w:ilvl="1" w:tplc="5278524E">
      <w:start w:val="1"/>
      <w:numFmt w:val="bullet"/>
      <w:lvlText w:val="-"/>
      <w:lvlJc w:val="left"/>
    </w:lvl>
    <w:lvl w:ilvl="2" w:tplc="DE9A6820">
      <w:numFmt w:val="decimal"/>
      <w:lvlText w:val=""/>
      <w:lvlJc w:val="left"/>
    </w:lvl>
    <w:lvl w:ilvl="3" w:tplc="F07C604C">
      <w:numFmt w:val="decimal"/>
      <w:lvlText w:val=""/>
      <w:lvlJc w:val="left"/>
    </w:lvl>
    <w:lvl w:ilvl="4" w:tplc="AD7639B4">
      <w:numFmt w:val="decimal"/>
      <w:lvlText w:val=""/>
      <w:lvlJc w:val="left"/>
    </w:lvl>
    <w:lvl w:ilvl="5" w:tplc="FE4A206C">
      <w:numFmt w:val="decimal"/>
      <w:lvlText w:val=""/>
      <w:lvlJc w:val="left"/>
    </w:lvl>
    <w:lvl w:ilvl="6" w:tplc="27728DA0">
      <w:numFmt w:val="decimal"/>
      <w:lvlText w:val=""/>
      <w:lvlJc w:val="left"/>
    </w:lvl>
    <w:lvl w:ilvl="7" w:tplc="D46CCF88">
      <w:numFmt w:val="decimal"/>
      <w:lvlText w:val=""/>
      <w:lvlJc w:val="left"/>
    </w:lvl>
    <w:lvl w:ilvl="8" w:tplc="4B8ED6C6">
      <w:numFmt w:val="decimal"/>
      <w:lvlText w:val=""/>
      <w:lvlJc w:val="left"/>
    </w:lvl>
  </w:abstractNum>
  <w:abstractNum w:abstractNumId="3" w15:restartNumberingAfterBreak="0">
    <w:nsid w:val="00C89AA6"/>
    <w:multiLevelType w:val="hybridMultilevel"/>
    <w:tmpl w:val="42E4A51C"/>
    <w:lvl w:ilvl="0" w:tplc="8CD08A98">
      <w:start w:val="1"/>
      <w:numFmt w:val="bullet"/>
      <w:lvlText w:val="•"/>
      <w:lvlJc w:val="left"/>
    </w:lvl>
    <w:lvl w:ilvl="1" w:tplc="91B665B8">
      <w:numFmt w:val="decimal"/>
      <w:lvlText w:val=""/>
      <w:lvlJc w:val="left"/>
    </w:lvl>
    <w:lvl w:ilvl="2" w:tplc="C5002286">
      <w:numFmt w:val="decimal"/>
      <w:lvlText w:val=""/>
      <w:lvlJc w:val="left"/>
    </w:lvl>
    <w:lvl w:ilvl="3" w:tplc="C4F0CE02">
      <w:numFmt w:val="decimal"/>
      <w:lvlText w:val=""/>
      <w:lvlJc w:val="left"/>
    </w:lvl>
    <w:lvl w:ilvl="4" w:tplc="B672D74A">
      <w:numFmt w:val="decimal"/>
      <w:lvlText w:val=""/>
      <w:lvlJc w:val="left"/>
    </w:lvl>
    <w:lvl w:ilvl="5" w:tplc="DE3C55FC">
      <w:numFmt w:val="decimal"/>
      <w:lvlText w:val=""/>
      <w:lvlJc w:val="left"/>
    </w:lvl>
    <w:lvl w:ilvl="6" w:tplc="2034B924">
      <w:numFmt w:val="decimal"/>
      <w:lvlText w:val=""/>
      <w:lvlJc w:val="left"/>
    </w:lvl>
    <w:lvl w:ilvl="7" w:tplc="32A09198">
      <w:numFmt w:val="decimal"/>
      <w:lvlText w:val=""/>
      <w:lvlJc w:val="left"/>
    </w:lvl>
    <w:lvl w:ilvl="8" w:tplc="D85E3CEE">
      <w:numFmt w:val="decimal"/>
      <w:lvlText w:val=""/>
      <w:lvlJc w:val="left"/>
    </w:lvl>
  </w:abstractNum>
  <w:abstractNum w:abstractNumId="4" w15:restartNumberingAfterBreak="0">
    <w:nsid w:val="00E3DFE6"/>
    <w:multiLevelType w:val="hybridMultilevel"/>
    <w:tmpl w:val="9E02233A"/>
    <w:lvl w:ilvl="0" w:tplc="E9FAC280">
      <w:start w:val="12"/>
      <w:numFmt w:val="decimal"/>
      <w:lvlText w:val="%1"/>
      <w:lvlJc w:val="left"/>
      <w:rPr>
        <w:sz w:val="16"/>
        <w:szCs w:val="16"/>
      </w:rPr>
    </w:lvl>
    <w:lvl w:ilvl="1" w:tplc="DC4845E2">
      <w:numFmt w:val="decimal"/>
      <w:lvlText w:val=""/>
      <w:lvlJc w:val="left"/>
    </w:lvl>
    <w:lvl w:ilvl="2" w:tplc="429A972A">
      <w:numFmt w:val="decimal"/>
      <w:lvlText w:val=""/>
      <w:lvlJc w:val="left"/>
    </w:lvl>
    <w:lvl w:ilvl="3" w:tplc="AEA687AA">
      <w:numFmt w:val="decimal"/>
      <w:lvlText w:val=""/>
      <w:lvlJc w:val="left"/>
    </w:lvl>
    <w:lvl w:ilvl="4" w:tplc="240C2596">
      <w:numFmt w:val="decimal"/>
      <w:lvlText w:val=""/>
      <w:lvlJc w:val="left"/>
    </w:lvl>
    <w:lvl w:ilvl="5" w:tplc="32987A0E">
      <w:numFmt w:val="decimal"/>
      <w:lvlText w:val=""/>
      <w:lvlJc w:val="left"/>
    </w:lvl>
    <w:lvl w:ilvl="6" w:tplc="C67401B0">
      <w:numFmt w:val="decimal"/>
      <w:lvlText w:val=""/>
      <w:lvlJc w:val="left"/>
    </w:lvl>
    <w:lvl w:ilvl="7" w:tplc="F9CCCDB8">
      <w:numFmt w:val="decimal"/>
      <w:lvlText w:val=""/>
      <w:lvlJc w:val="left"/>
    </w:lvl>
    <w:lvl w:ilvl="8" w:tplc="AB822A4E">
      <w:numFmt w:val="decimal"/>
      <w:lvlText w:val=""/>
      <w:lvlJc w:val="left"/>
    </w:lvl>
  </w:abstractNum>
  <w:abstractNum w:abstractNumId="5" w15:restartNumberingAfterBreak="0">
    <w:nsid w:val="010236EF"/>
    <w:multiLevelType w:val="hybridMultilevel"/>
    <w:tmpl w:val="D814F5D2"/>
    <w:lvl w:ilvl="0" w:tplc="FC5C1B6C">
      <w:start w:val="1"/>
      <w:numFmt w:val="lowerLetter"/>
      <w:lvlText w:val="%1)"/>
      <w:lvlJc w:val="left"/>
    </w:lvl>
    <w:lvl w:ilvl="1" w:tplc="77183074">
      <w:numFmt w:val="decimal"/>
      <w:lvlText w:val=""/>
      <w:lvlJc w:val="left"/>
    </w:lvl>
    <w:lvl w:ilvl="2" w:tplc="5DAE73AA">
      <w:numFmt w:val="decimal"/>
      <w:lvlText w:val=""/>
      <w:lvlJc w:val="left"/>
    </w:lvl>
    <w:lvl w:ilvl="3" w:tplc="ABA442A8">
      <w:numFmt w:val="decimal"/>
      <w:lvlText w:val=""/>
      <w:lvlJc w:val="left"/>
    </w:lvl>
    <w:lvl w:ilvl="4" w:tplc="716A71D4">
      <w:numFmt w:val="decimal"/>
      <w:lvlText w:val=""/>
      <w:lvlJc w:val="left"/>
    </w:lvl>
    <w:lvl w:ilvl="5" w:tplc="2BBE9154">
      <w:numFmt w:val="decimal"/>
      <w:lvlText w:val=""/>
      <w:lvlJc w:val="left"/>
    </w:lvl>
    <w:lvl w:ilvl="6" w:tplc="F1783412">
      <w:numFmt w:val="decimal"/>
      <w:lvlText w:val=""/>
      <w:lvlJc w:val="left"/>
    </w:lvl>
    <w:lvl w:ilvl="7" w:tplc="DE26ED0E">
      <w:numFmt w:val="decimal"/>
      <w:lvlText w:val=""/>
      <w:lvlJc w:val="left"/>
    </w:lvl>
    <w:lvl w:ilvl="8" w:tplc="B63225A0">
      <w:numFmt w:val="decimal"/>
      <w:lvlText w:val=""/>
      <w:lvlJc w:val="left"/>
    </w:lvl>
  </w:abstractNum>
  <w:abstractNum w:abstractNumId="6" w15:restartNumberingAfterBreak="0">
    <w:nsid w:val="0136513C"/>
    <w:multiLevelType w:val="hybridMultilevel"/>
    <w:tmpl w:val="D63670F0"/>
    <w:lvl w:ilvl="0" w:tplc="133896DE">
      <w:start w:val="1"/>
      <w:numFmt w:val="upperLetter"/>
      <w:lvlText w:val="%1)"/>
      <w:lvlJc w:val="left"/>
    </w:lvl>
    <w:lvl w:ilvl="1" w:tplc="725CA8A8">
      <w:numFmt w:val="decimal"/>
      <w:lvlText w:val=""/>
      <w:lvlJc w:val="left"/>
    </w:lvl>
    <w:lvl w:ilvl="2" w:tplc="BF7A46DC">
      <w:numFmt w:val="decimal"/>
      <w:lvlText w:val=""/>
      <w:lvlJc w:val="left"/>
    </w:lvl>
    <w:lvl w:ilvl="3" w:tplc="E79E51FE">
      <w:numFmt w:val="decimal"/>
      <w:lvlText w:val=""/>
      <w:lvlJc w:val="left"/>
    </w:lvl>
    <w:lvl w:ilvl="4" w:tplc="0D746338">
      <w:numFmt w:val="decimal"/>
      <w:lvlText w:val=""/>
      <w:lvlJc w:val="left"/>
    </w:lvl>
    <w:lvl w:ilvl="5" w:tplc="B674FA84">
      <w:numFmt w:val="decimal"/>
      <w:lvlText w:val=""/>
      <w:lvlJc w:val="left"/>
    </w:lvl>
    <w:lvl w:ilvl="6" w:tplc="5928AAAA">
      <w:numFmt w:val="decimal"/>
      <w:lvlText w:val=""/>
      <w:lvlJc w:val="left"/>
    </w:lvl>
    <w:lvl w:ilvl="7" w:tplc="B53A2216">
      <w:numFmt w:val="decimal"/>
      <w:lvlText w:val=""/>
      <w:lvlJc w:val="left"/>
    </w:lvl>
    <w:lvl w:ilvl="8" w:tplc="EE527FA8">
      <w:numFmt w:val="decimal"/>
      <w:lvlText w:val=""/>
      <w:lvlJc w:val="left"/>
    </w:lvl>
  </w:abstractNum>
  <w:abstractNum w:abstractNumId="7" w15:restartNumberingAfterBreak="0">
    <w:nsid w:val="014611D5"/>
    <w:multiLevelType w:val="hybridMultilevel"/>
    <w:tmpl w:val="8D3CDE16"/>
    <w:lvl w:ilvl="0" w:tplc="04050011">
      <w:start w:val="1"/>
      <w:numFmt w:val="decimal"/>
      <w:lvlText w:val="%1)"/>
      <w:lvlJc w:val="left"/>
    </w:lvl>
    <w:lvl w:ilvl="1" w:tplc="E23A8496">
      <w:numFmt w:val="decimal"/>
      <w:lvlText w:val=""/>
      <w:lvlJc w:val="left"/>
    </w:lvl>
    <w:lvl w:ilvl="2" w:tplc="E0CC81AE">
      <w:numFmt w:val="decimal"/>
      <w:lvlText w:val=""/>
      <w:lvlJc w:val="left"/>
    </w:lvl>
    <w:lvl w:ilvl="3" w:tplc="792E71B0">
      <w:numFmt w:val="decimal"/>
      <w:lvlText w:val=""/>
      <w:lvlJc w:val="left"/>
    </w:lvl>
    <w:lvl w:ilvl="4" w:tplc="05248040">
      <w:numFmt w:val="decimal"/>
      <w:lvlText w:val=""/>
      <w:lvlJc w:val="left"/>
    </w:lvl>
    <w:lvl w:ilvl="5" w:tplc="A0D243A0">
      <w:numFmt w:val="decimal"/>
      <w:lvlText w:val=""/>
      <w:lvlJc w:val="left"/>
    </w:lvl>
    <w:lvl w:ilvl="6" w:tplc="AFFE58BA">
      <w:numFmt w:val="decimal"/>
      <w:lvlText w:val=""/>
      <w:lvlJc w:val="left"/>
    </w:lvl>
    <w:lvl w:ilvl="7" w:tplc="2AC897C0">
      <w:numFmt w:val="decimal"/>
      <w:lvlText w:val=""/>
      <w:lvlJc w:val="left"/>
    </w:lvl>
    <w:lvl w:ilvl="8" w:tplc="3ABEF4C2">
      <w:numFmt w:val="decimal"/>
      <w:lvlText w:val=""/>
      <w:lvlJc w:val="left"/>
    </w:lvl>
  </w:abstractNum>
  <w:abstractNum w:abstractNumId="8" w15:restartNumberingAfterBreak="0">
    <w:nsid w:val="01931676"/>
    <w:multiLevelType w:val="hybridMultilevel"/>
    <w:tmpl w:val="22927EA2"/>
    <w:lvl w:ilvl="0" w:tplc="91284FB2">
      <w:start w:val="1"/>
      <w:numFmt w:val="lowerLetter"/>
      <w:lvlText w:val="%1)"/>
      <w:lvlJc w:val="left"/>
    </w:lvl>
    <w:lvl w:ilvl="1" w:tplc="B6462C66">
      <w:numFmt w:val="decimal"/>
      <w:lvlText w:val=""/>
      <w:lvlJc w:val="left"/>
    </w:lvl>
    <w:lvl w:ilvl="2" w:tplc="C43471D4">
      <w:numFmt w:val="decimal"/>
      <w:lvlText w:val=""/>
      <w:lvlJc w:val="left"/>
    </w:lvl>
    <w:lvl w:ilvl="3" w:tplc="63425336">
      <w:numFmt w:val="decimal"/>
      <w:lvlText w:val=""/>
      <w:lvlJc w:val="left"/>
    </w:lvl>
    <w:lvl w:ilvl="4" w:tplc="9476E076">
      <w:numFmt w:val="decimal"/>
      <w:lvlText w:val=""/>
      <w:lvlJc w:val="left"/>
    </w:lvl>
    <w:lvl w:ilvl="5" w:tplc="9CD88E88">
      <w:numFmt w:val="decimal"/>
      <w:lvlText w:val=""/>
      <w:lvlJc w:val="left"/>
    </w:lvl>
    <w:lvl w:ilvl="6" w:tplc="82F8D26E">
      <w:numFmt w:val="decimal"/>
      <w:lvlText w:val=""/>
      <w:lvlJc w:val="left"/>
    </w:lvl>
    <w:lvl w:ilvl="7" w:tplc="4D620A5E">
      <w:numFmt w:val="decimal"/>
      <w:lvlText w:val=""/>
      <w:lvlJc w:val="left"/>
    </w:lvl>
    <w:lvl w:ilvl="8" w:tplc="3104D7DA">
      <w:numFmt w:val="decimal"/>
      <w:lvlText w:val=""/>
      <w:lvlJc w:val="left"/>
    </w:lvl>
  </w:abstractNum>
  <w:abstractNum w:abstractNumId="9" w15:restartNumberingAfterBreak="0">
    <w:nsid w:val="01CFAC1A"/>
    <w:multiLevelType w:val="hybridMultilevel"/>
    <w:tmpl w:val="CFB84EB8"/>
    <w:lvl w:ilvl="0" w:tplc="46CC900A">
      <w:start w:val="1"/>
      <w:numFmt w:val="bullet"/>
      <w:lvlText w:val="•"/>
      <w:lvlJc w:val="left"/>
    </w:lvl>
    <w:lvl w:ilvl="1" w:tplc="425656E2">
      <w:numFmt w:val="decimal"/>
      <w:lvlText w:val=""/>
      <w:lvlJc w:val="left"/>
    </w:lvl>
    <w:lvl w:ilvl="2" w:tplc="8F680282">
      <w:numFmt w:val="decimal"/>
      <w:lvlText w:val=""/>
      <w:lvlJc w:val="left"/>
    </w:lvl>
    <w:lvl w:ilvl="3" w:tplc="9CC0EDB4">
      <w:numFmt w:val="decimal"/>
      <w:lvlText w:val=""/>
      <w:lvlJc w:val="left"/>
    </w:lvl>
    <w:lvl w:ilvl="4" w:tplc="A05680DE">
      <w:numFmt w:val="decimal"/>
      <w:lvlText w:val=""/>
      <w:lvlJc w:val="left"/>
    </w:lvl>
    <w:lvl w:ilvl="5" w:tplc="5D8632C2">
      <w:numFmt w:val="decimal"/>
      <w:lvlText w:val=""/>
      <w:lvlJc w:val="left"/>
    </w:lvl>
    <w:lvl w:ilvl="6" w:tplc="883A8CE0">
      <w:numFmt w:val="decimal"/>
      <w:lvlText w:val=""/>
      <w:lvlJc w:val="left"/>
    </w:lvl>
    <w:lvl w:ilvl="7" w:tplc="0C5442F0">
      <w:numFmt w:val="decimal"/>
      <w:lvlText w:val=""/>
      <w:lvlJc w:val="left"/>
    </w:lvl>
    <w:lvl w:ilvl="8" w:tplc="78CEDEDC">
      <w:numFmt w:val="decimal"/>
      <w:lvlText w:val=""/>
      <w:lvlJc w:val="left"/>
    </w:lvl>
  </w:abstractNum>
  <w:abstractNum w:abstractNumId="10" w15:restartNumberingAfterBreak="0">
    <w:nsid w:val="01FA1091"/>
    <w:multiLevelType w:val="hybridMultilevel"/>
    <w:tmpl w:val="3D2C1F26"/>
    <w:lvl w:ilvl="0" w:tplc="41CE0D84">
      <w:start w:val="1"/>
      <w:numFmt w:val="decimal"/>
      <w:lvlText w:val="%1."/>
      <w:lvlJc w:val="left"/>
    </w:lvl>
    <w:lvl w:ilvl="1" w:tplc="CCF21C84">
      <w:start w:val="1"/>
      <w:numFmt w:val="bullet"/>
      <w:lvlText w:val="-"/>
      <w:lvlJc w:val="left"/>
    </w:lvl>
    <w:lvl w:ilvl="2" w:tplc="618A77DE">
      <w:start w:val="1"/>
      <w:numFmt w:val="bullet"/>
      <w:lvlText w:val="§"/>
      <w:lvlJc w:val="left"/>
    </w:lvl>
    <w:lvl w:ilvl="3" w:tplc="F0D6C260">
      <w:numFmt w:val="decimal"/>
      <w:lvlText w:val=""/>
      <w:lvlJc w:val="left"/>
    </w:lvl>
    <w:lvl w:ilvl="4" w:tplc="68061A56">
      <w:numFmt w:val="decimal"/>
      <w:lvlText w:val=""/>
      <w:lvlJc w:val="left"/>
    </w:lvl>
    <w:lvl w:ilvl="5" w:tplc="C1F2FE6A">
      <w:numFmt w:val="decimal"/>
      <w:lvlText w:val=""/>
      <w:lvlJc w:val="left"/>
    </w:lvl>
    <w:lvl w:ilvl="6" w:tplc="D5F0EE98">
      <w:numFmt w:val="decimal"/>
      <w:lvlText w:val=""/>
      <w:lvlJc w:val="left"/>
    </w:lvl>
    <w:lvl w:ilvl="7" w:tplc="ED9E4A92">
      <w:numFmt w:val="decimal"/>
      <w:lvlText w:val=""/>
      <w:lvlJc w:val="left"/>
    </w:lvl>
    <w:lvl w:ilvl="8" w:tplc="4F88AE1E">
      <w:numFmt w:val="decimal"/>
      <w:lvlText w:val=""/>
      <w:lvlJc w:val="left"/>
    </w:lvl>
  </w:abstractNum>
  <w:abstractNum w:abstractNumId="11" w15:restartNumberingAfterBreak="0">
    <w:nsid w:val="02026EC5"/>
    <w:multiLevelType w:val="hybridMultilevel"/>
    <w:tmpl w:val="F7C8722A"/>
    <w:lvl w:ilvl="0" w:tplc="3A02F214">
      <w:start w:val="1"/>
      <w:numFmt w:val="bullet"/>
      <w:lvlText w:val="●"/>
      <w:lvlJc w:val="left"/>
    </w:lvl>
    <w:lvl w:ilvl="1" w:tplc="9F805792">
      <w:numFmt w:val="decimal"/>
      <w:lvlText w:val=""/>
      <w:lvlJc w:val="left"/>
    </w:lvl>
    <w:lvl w:ilvl="2" w:tplc="FDB0E2EC">
      <w:numFmt w:val="decimal"/>
      <w:lvlText w:val=""/>
      <w:lvlJc w:val="left"/>
    </w:lvl>
    <w:lvl w:ilvl="3" w:tplc="29D2CAEC">
      <w:numFmt w:val="decimal"/>
      <w:lvlText w:val=""/>
      <w:lvlJc w:val="left"/>
    </w:lvl>
    <w:lvl w:ilvl="4" w:tplc="47C85192">
      <w:numFmt w:val="decimal"/>
      <w:lvlText w:val=""/>
      <w:lvlJc w:val="left"/>
    </w:lvl>
    <w:lvl w:ilvl="5" w:tplc="D480BE58">
      <w:numFmt w:val="decimal"/>
      <w:lvlText w:val=""/>
      <w:lvlJc w:val="left"/>
    </w:lvl>
    <w:lvl w:ilvl="6" w:tplc="C9C04A42">
      <w:numFmt w:val="decimal"/>
      <w:lvlText w:val=""/>
      <w:lvlJc w:val="left"/>
    </w:lvl>
    <w:lvl w:ilvl="7" w:tplc="1CD0AE38">
      <w:numFmt w:val="decimal"/>
      <w:lvlText w:val=""/>
      <w:lvlJc w:val="left"/>
    </w:lvl>
    <w:lvl w:ilvl="8" w:tplc="4A0C0386">
      <w:numFmt w:val="decimal"/>
      <w:lvlText w:val=""/>
      <w:lvlJc w:val="left"/>
    </w:lvl>
  </w:abstractNum>
  <w:abstractNum w:abstractNumId="12" w15:restartNumberingAfterBreak="0">
    <w:nsid w:val="02117670"/>
    <w:multiLevelType w:val="hybridMultilevel"/>
    <w:tmpl w:val="DD8A74C0"/>
    <w:lvl w:ilvl="0" w:tplc="04050011">
      <w:start w:val="1"/>
      <w:numFmt w:val="decimal"/>
      <w:lvlText w:val="%1)"/>
      <w:lvlJc w:val="left"/>
    </w:lvl>
    <w:lvl w:ilvl="1" w:tplc="AFFE53EC">
      <w:numFmt w:val="decimal"/>
      <w:lvlText w:val=""/>
      <w:lvlJc w:val="left"/>
    </w:lvl>
    <w:lvl w:ilvl="2" w:tplc="E1AAF52A">
      <w:numFmt w:val="decimal"/>
      <w:lvlText w:val=""/>
      <w:lvlJc w:val="left"/>
    </w:lvl>
    <w:lvl w:ilvl="3" w:tplc="CD24735A">
      <w:numFmt w:val="decimal"/>
      <w:lvlText w:val=""/>
      <w:lvlJc w:val="left"/>
    </w:lvl>
    <w:lvl w:ilvl="4" w:tplc="9FC4C64A">
      <w:numFmt w:val="decimal"/>
      <w:lvlText w:val=""/>
      <w:lvlJc w:val="left"/>
    </w:lvl>
    <w:lvl w:ilvl="5" w:tplc="953A7CD4">
      <w:numFmt w:val="decimal"/>
      <w:lvlText w:val=""/>
      <w:lvlJc w:val="left"/>
    </w:lvl>
    <w:lvl w:ilvl="6" w:tplc="5EB26ED8">
      <w:numFmt w:val="decimal"/>
      <w:lvlText w:val=""/>
      <w:lvlJc w:val="left"/>
    </w:lvl>
    <w:lvl w:ilvl="7" w:tplc="C6B6D602">
      <w:numFmt w:val="decimal"/>
      <w:lvlText w:val=""/>
      <w:lvlJc w:val="left"/>
    </w:lvl>
    <w:lvl w:ilvl="8" w:tplc="954C0028">
      <w:numFmt w:val="decimal"/>
      <w:lvlText w:val=""/>
      <w:lvlJc w:val="left"/>
    </w:lvl>
  </w:abstractNum>
  <w:abstractNum w:abstractNumId="13" w15:restartNumberingAfterBreak="0">
    <w:nsid w:val="023E1696"/>
    <w:multiLevelType w:val="hybridMultilevel"/>
    <w:tmpl w:val="07583F3C"/>
    <w:lvl w:ilvl="0" w:tplc="377CE67E">
      <w:start w:val="22"/>
      <w:numFmt w:val="upperLetter"/>
      <w:lvlText w:val="%1"/>
      <w:lvlJc w:val="left"/>
    </w:lvl>
    <w:lvl w:ilvl="1" w:tplc="F342B77C">
      <w:numFmt w:val="decimal"/>
      <w:lvlText w:val=""/>
      <w:lvlJc w:val="left"/>
    </w:lvl>
    <w:lvl w:ilvl="2" w:tplc="C776B212">
      <w:numFmt w:val="decimal"/>
      <w:lvlText w:val=""/>
      <w:lvlJc w:val="left"/>
    </w:lvl>
    <w:lvl w:ilvl="3" w:tplc="E03E5318">
      <w:numFmt w:val="decimal"/>
      <w:lvlText w:val=""/>
      <w:lvlJc w:val="left"/>
    </w:lvl>
    <w:lvl w:ilvl="4" w:tplc="1A5CB538">
      <w:numFmt w:val="decimal"/>
      <w:lvlText w:val=""/>
      <w:lvlJc w:val="left"/>
    </w:lvl>
    <w:lvl w:ilvl="5" w:tplc="B096F2EA">
      <w:numFmt w:val="decimal"/>
      <w:lvlText w:val=""/>
      <w:lvlJc w:val="left"/>
    </w:lvl>
    <w:lvl w:ilvl="6" w:tplc="8692FEE0">
      <w:numFmt w:val="decimal"/>
      <w:lvlText w:val=""/>
      <w:lvlJc w:val="left"/>
    </w:lvl>
    <w:lvl w:ilvl="7" w:tplc="8C2C02E0">
      <w:numFmt w:val="decimal"/>
      <w:lvlText w:val=""/>
      <w:lvlJc w:val="left"/>
    </w:lvl>
    <w:lvl w:ilvl="8" w:tplc="9692F150">
      <w:numFmt w:val="decimal"/>
      <w:lvlText w:val=""/>
      <w:lvlJc w:val="left"/>
    </w:lvl>
  </w:abstractNum>
  <w:abstractNum w:abstractNumId="14" w15:restartNumberingAfterBreak="0">
    <w:nsid w:val="02436990"/>
    <w:multiLevelType w:val="hybridMultilevel"/>
    <w:tmpl w:val="F2C4DB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026C64AE"/>
    <w:multiLevelType w:val="hybridMultilevel"/>
    <w:tmpl w:val="B1163F36"/>
    <w:lvl w:ilvl="0" w:tplc="4B264DFE">
      <w:start w:val="1"/>
      <w:numFmt w:val="decimal"/>
      <w:lvlText w:val="%1."/>
      <w:lvlJc w:val="left"/>
    </w:lvl>
    <w:lvl w:ilvl="1" w:tplc="6AD4A1FE">
      <w:start w:val="1"/>
      <w:numFmt w:val="bullet"/>
      <w:lvlText w:val="-"/>
      <w:lvlJc w:val="left"/>
    </w:lvl>
    <w:lvl w:ilvl="2" w:tplc="307E9802">
      <w:start w:val="1"/>
      <w:numFmt w:val="bullet"/>
      <w:lvlText w:val="§"/>
      <w:lvlJc w:val="left"/>
    </w:lvl>
    <w:lvl w:ilvl="3" w:tplc="EC8EC4D4">
      <w:numFmt w:val="decimal"/>
      <w:lvlText w:val=""/>
      <w:lvlJc w:val="left"/>
    </w:lvl>
    <w:lvl w:ilvl="4" w:tplc="AD82DA5C">
      <w:numFmt w:val="decimal"/>
      <w:lvlText w:val=""/>
      <w:lvlJc w:val="left"/>
    </w:lvl>
    <w:lvl w:ilvl="5" w:tplc="9DB4A85C">
      <w:numFmt w:val="decimal"/>
      <w:lvlText w:val=""/>
      <w:lvlJc w:val="left"/>
    </w:lvl>
    <w:lvl w:ilvl="6" w:tplc="40404B7A">
      <w:numFmt w:val="decimal"/>
      <w:lvlText w:val=""/>
      <w:lvlJc w:val="left"/>
    </w:lvl>
    <w:lvl w:ilvl="7" w:tplc="DB34090E">
      <w:numFmt w:val="decimal"/>
      <w:lvlText w:val=""/>
      <w:lvlJc w:val="left"/>
    </w:lvl>
    <w:lvl w:ilvl="8" w:tplc="CF466D96">
      <w:numFmt w:val="decimal"/>
      <w:lvlText w:val=""/>
      <w:lvlJc w:val="left"/>
    </w:lvl>
  </w:abstractNum>
  <w:abstractNum w:abstractNumId="16" w15:restartNumberingAfterBreak="0">
    <w:nsid w:val="026E31F4"/>
    <w:multiLevelType w:val="hybridMultilevel"/>
    <w:tmpl w:val="D458EAE6"/>
    <w:lvl w:ilvl="0" w:tplc="4268F7A8">
      <w:start w:val="1"/>
      <w:numFmt w:val="bullet"/>
      <w:lvlText w:val="•"/>
      <w:lvlJc w:val="left"/>
    </w:lvl>
    <w:lvl w:ilvl="1" w:tplc="6C963BC0">
      <w:numFmt w:val="decimal"/>
      <w:lvlText w:val=""/>
      <w:lvlJc w:val="left"/>
    </w:lvl>
    <w:lvl w:ilvl="2" w:tplc="9230B9E8">
      <w:numFmt w:val="decimal"/>
      <w:lvlText w:val=""/>
      <w:lvlJc w:val="left"/>
    </w:lvl>
    <w:lvl w:ilvl="3" w:tplc="8D3CD4FE">
      <w:numFmt w:val="decimal"/>
      <w:lvlText w:val=""/>
      <w:lvlJc w:val="left"/>
    </w:lvl>
    <w:lvl w:ilvl="4" w:tplc="AB60F2FA">
      <w:numFmt w:val="decimal"/>
      <w:lvlText w:val=""/>
      <w:lvlJc w:val="left"/>
    </w:lvl>
    <w:lvl w:ilvl="5" w:tplc="065EAB48">
      <w:numFmt w:val="decimal"/>
      <w:lvlText w:val=""/>
      <w:lvlJc w:val="left"/>
    </w:lvl>
    <w:lvl w:ilvl="6" w:tplc="70B200CC">
      <w:numFmt w:val="decimal"/>
      <w:lvlText w:val=""/>
      <w:lvlJc w:val="left"/>
    </w:lvl>
    <w:lvl w:ilvl="7" w:tplc="CE24B902">
      <w:numFmt w:val="decimal"/>
      <w:lvlText w:val=""/>
      <w:lvlJc w:val="left"/>
    </w:lvl>
    <w:lvl w:ilvl="8" w:tplc="2856C4CC">
      <w:numFmt w:val="decimal"/>
      <w:lvlText w:val=""/>
      <w:lvlJc w:val="left"/>
    </w:lvl>
  </w:abstractNum>
  <w:abstractNum w:abstractNumId="17" w15:restartNumberingAfterBreak="0">
    <w:nsid w:val="02A68FC8"/>
    <w:multiLevelType w:val="hybridMultilevel"/>
    <w:tmpl w:val="8A6E1F56"/>
    <w:lvl w:ilvl="0" w:tplc="9D72A5B6">
      <w:start w:val="1"/>
      <w:numFmt w:val="bullet"/>
      <w:lvlText w:val="-"/>
      <w:lvlJc w:val="left"/>
    </w:lvl>
    <w:lvl w:ilvl="1" w:tplc="BF188840">
      <w:numFmt w:val="decimal"/>
      <w:lvlText w:val=""/>
      <w:lvlJc w:val="left"/>
    </w:lvl>
    <w:lvl w:ilvl="2" w:tplc="811EBFD0">
      <w:numFmt w:val="decimal"/>
      <w:lvlText w:val=""/>
      <w:lvlJc w:val="left"/>
    </w:lvl>
    <w:lvl w:ilvl="3" w:tplc="2E80708E">
      <w:numFmt w:val="decimal"/>
      <w:lvlText w:val=""/>
      <w:lvlJc w:val="left"/>
    </w:lvl>
    <w:lvl w:ilvl="4" w:tplc="707CA800">
      <w:numFmt w:val="decimal"/>
      <w:lvlText w:val=""/>
      <w:lvlJc w:val="left"/>
    </w:lvl>
    <w:lvl w:ilvl="5" w:tplc="A532F068">
      <w:numFmt w:val="decimal"/>
      <w:lvlText w:val=""/>
      <w:lvlJc w:val="left"/>
    </w:lvl>
    <w:lvl w:ilvl="6" w:tplc="6A38602A">
      <w:numFmt w:val="decimal"/>
      <w:lvlText w:val=""/>
      <w:lvlJc w:val="left"/>
    </w:lvl>
    <w:lvl w:ilvl="7" w:tplc="C986B6BE">
      <w:numFmt w:val="decimal"/>
      <w:lvlText w:val=""/>
      <w:lvlJc w:val="left"/>
    </w:lvl>
    <w:lvl w:ilvl="8" w:tplc="2B3021BE">
      <w:numFmt w:val="decimal"/>
      <w:lvlText w:val=""/>
      <w:lvlJc w:val="left"/>
    </w:lvl>
  </w:abstractNum>
  <w:abstractNum w:abstractNumId="18" w15:restartNumberingAfterBreak="0">
    <w:nsid w:val="033ED493"/>
    <w:multiLevelType w:val="hybridMultilevel"/>
    <w:tmpl w:val="E48A2360"/>
    <w:lvl w:ilvl="0" w:tplc="82C2B60C">
      <w:start w:val="15"/>
      <w:numFmt w:val="lowerLetter"/>
      <w:lvlText w:val="%1"/>
      <w:lvlJc w:val="left"/>
    </w:lvl>
    <w:lvl w:ilvl="1" w:tplc="926A614E">
      <w:numFmt w:val="decimal"/>
      <w:lvlText w:val=""/>
      <w:lvlJc w:val="left"/>
    </w:lvl>
    <w:lvl w:ilvl="2" w:tplc="504CEC2A">
      <w:numFmt w:val="decimal"/>
      <w:lvlText w:val=""/>
      <w:lvlJc w:val="left"/>
    </w:lvl>
    <w:lvl w:ilvl="3" w:tplc="867481E0">
      <w:numFmt w:val="decimal"/>
      <w:lvlText w:val=""/>
      <w:lvlJc w:val="left"/>
    </w:lvl>
    <w:lvl w:ilvl="4" w:tplc="F9946CA0">
      <w:numFmt w:val="decimal"/>
      <w:lvlText w:val=""/>
      <w:lvlJc w:val="left"/>
    </w:lvl>
    <w:lvl w:ilvl="5" w:tplc="D7649688">
      <w:numFmt w:val="decimal"/>
      <w:lvlText w:val=""/>
      <w:lvlJc w:val="left"/>
    </w:lvl>
    <w:lvl w:ilvl="6" w:tplc="87DA6184">
      <w:numFmt w:val="decimal"/>
      <w:lvlText w:val=""/>
      <w:lvlJc w:val="left"/>
    </w:lvl>
    <w:lvl w:ilvl="7" w:tplc="79145166">
      <w:numFmt w:val="decimal"/>
      <w:lvlText w:val=""/>
      <w:lvlJc w:val="left"/>
    </w:lvl>
    <w:lvl w:ilvl="8" w:tplc="507E80B8">
      <w:numFmt w:val="decimal"/>
      <w:lvlText w:val=""/>
      <w:lvlJc w:val="left"/>
    </w:lvl>
  </w:abstractNum>
  <w:abstractNum w:abstractNumId="19" w15:restartNumberingAfterBreak="0">
    <w:nsid w:val="03713AFC"/>
    <w:multiLevelType w:val="hybridMultilevel"/>
    <w:tmpl w:val="07B4C28A"/>
    <w:lvl w:ilvl="0" w:tplc="53CABD30">
      <w:start w:val="1"/>
      <w:numFmt w:val="bullet"/>
      <w:lvlText w:val="-"/>
      <w:lvlJc w:val="left"/>
    </w:lvl>
    <w:lvl w:ilvl="1" w:tplc="7F30BB46">
      <w:numFmt w:val="decimal"/>
      <w:lvlText w:val=""/>
      <w:lvlJc w:val="left"/>
    </w:lvl>
    <w:lvl w:ilvl="2" w:tplc="174C1954">
      <w:numFmt w:val="decimal"/>
      <w:lvlText w:val=""/>
      <w:lvlJc w:val="left"/>
    </w:lvl>
    <w:lvl w:ilvl="3" w:tplc="2996A910">
      <w:numFmt w:val="decimal"/>
      <w:lvlText w:val=""/>
      <w:lvlJc w:val="left"/>
    </w:lvl>
    <w:lvl w:ilvl="4" w:tplc="48566D84">
      <w:numFmt w:val="decimal"/>
      <w:lvlText w:val=""/>
      <w:lvlJc w:val="left"/>
    </w:lvl>
    <w:lvl w:ilvl="5" w:tplc="DF8A6A02">
      <w:numFmt w:val="decimal"/>
      <w:lvlText w:val=""/>
      <w:lvlJc w:val="left"/>
    </w:lvl>
    <w:lvl w:ilvl="6" w:tplc="526C63A8">
      <w:numFmt w:val="decimal"/>
      <w:lvlText w:val=""/>
      <w:lvlJc w:val="left"/>
    </w:lvl>
    <w:lvl w:ilvl="7" w:tplc="88301946">
      <w:numFmt w:val="decimal"/>
      <w:lvlText w:val=""/>
      <w:lvlJc w:val="left"/>
    </w:lvl>
    <w:lvl w:ilvl="8" w:tplc="FF201CDA">
      <w:numFmt w:val="decimal"/>
      <w:lvlText w:val=""/>
      <w:lvlJc w:val="left"/>
    </w:lvl>
  </w:abstractNum>
  <w:abstractNum w:abstractNumId="20" w15:restartNumberingAfterBreak="0">
    <w:nsid w:val="03A5E689"/>
    <w:multiLevelType w:val="hybridMultilevel"/>
    <w:tmpl w:val="5E7E83F2"/>
    <w:lvl w:ilvl="0" w:tplc="6082E772">
      <w:start w:val="1"/>
      <w:numFmt w:val="bullet"/>
      <w:lvlText w:val="-"/>
      <w:lvlJc w:val="left"/>
    </w:lvl>
    <w:lvl w:ilvl="1" w:tplc="86EEC100">
      <w:numFmt w:val="decimal"/>
      <w:lvlText w:val=""/>
      <w:lvlJc w:val="left"/>
    </w:lvl>
    <w:lvl w:ilvl="2" w:tplc="9AC038AC">
      <w:numFmt w:val="decimal"/>
      <w:lvlText w:val=""/>
      <w:lvlJc w:val="left"/>
    </w:lvl>
    <w:lvl w:ilvl="3" w:tplc="773CA69C">
      <w:numFmt w:val="decimal"/>
      <w:lvlText w:val=""/>
      <w:lvlJc w:val="left"/>
    </w:lvl>
    <w:lvl w:ilvl="4" w:tplc="2D4C1212">
      <w:numFmt w:val="decimal"/>
      <w:lvlText w:val=""/>
      <w:lvlJc w:val="left"/>
    </w:lvl>
    <w:lvl w:ilvl="5" w:tplc="A20AC1B2">
      <w:numFmt w:val="decimal"/>
      <w:lvlText w:val=""/>
      <w:lvlJc w:val="left"/>
    </w:lvl>
    <w:lvl w:ilvl="6" w:tplc="860AA51C">
      <w:numFmt w:val="decimal"/>
      <w:lvlText w:val=""/>
      <w:lvlJc w:val="left"/>
    </w:lvl>
    <w:lvl w:ilvl="7" w:tplc="AC8E6210">
      <w:numFmt w:val="decimal"/>
      <w:lvlText w:val=""/>
      <w:lvlJc w:val="left"/>
    </w:lvl>
    <w:lvl w:ilvl="8" w:tplc="5E8EE8D0">
      <w:numFmt w:val="decimal"/>
      <w:lvlText w:val=""/>
      <w:lvlJc w:val="left"/>
    </w:lvl>
  </w:abstractNum>
  <w:abstractNum w:abstractNumId="21" w15:restartNumberingAfterBreak="0">
    <w:nsid w:val="03D92C7D"/>
    <w:multiLevelType w:val="hybridMultilevel"/>
    <w:tmpl w:val="38E05BC6"/>
    <w:lvl w:ilvl="0" w:tplc="41A6FBB2">
      <w:start w:val="1"/>
      <w:numFmt w:val="bullet"/>
      <w:lvlText w:val="·"/>
      <w:lvlJc w:val="left"/>
    </w:lvl>
    <w:lvl w:ilvl="1" w:tplc="A6AA37AC">
      <w:numFmt w:val="decimal"/>
      <w:lvlText w:val=""/>
      <w:lvlJc w:val="left"/>
    </w:lvl>
    <w:lvl w:ilvl="2" w:tplc="36549792">
      <w:numFmt w:val="decimal"/>
      <w:lvlText w:val=""/>
      <w:lvlJc w:val="left"/>
    </w:lvl>
    <w:lvl w:ilvl="3" w:tplc="65D64FC6">
      <w:numFmt w:val="decimal"/>
      <w:lvlText w:val=""/>
      <w:lvlJc w:val="left"/>
    </w:lvl>
    <w:lvl w:ilvl="4" w:tplc="BCBE3A00">
      <w:numFmt w:val="decimal"/>
      <w:lvlText w:val=""/>
      <w:lvlJc w:val="left"/>
    </w:lvl>
    <w:lvl w:ilvl="5" w:tplc="887A4E52">
      <w:numFmt w:val="decimal"/>
      <w:lvlText w:val=""/>
      <w:lvlJc w:val="left"/>
    </w:lvl>
    <w:lvl w:ilvl="6" w:tplc="0B88A196">
      <w:numFmt w:val="decimal"/>
      <w:lvlText w:val=""/>
      <w:lvlJc w:val="left"/>
    </w:lvl>
    <w:lvl w:ilvl="7" w:tplc="7E82B718">
      <w:numFmt w:val="decimal"/>
      <w:lvlText w:val=""/>
      <w:lvlJc w:val="left"/>
    </w:lvl>
    <w:lvl w:ilvl="8" w:tplc="A39062DC">
      <w:numFmt w:val="decimal"/>
      <w:lvlText w:val=""/>
      <w:lvlJc w:val="left"/>
    </w:lvl>
  </w:abstractNum>
  <w:abstractNum w:abstractNumId="22" w15:restartNumberingAfterBreak="0">
    <w:nsid w:val="040BAD55"/>
    <w:multiLevelType w:val="hybridMultilevel"/>
    <w:tmpl w:val="62862D58"/>
    <w:lvl w:ilvl="0" w:tplc="E9F27D48">
      <w:start w:val="1"/>
      <w:numFmt w:val="bullet"/>
      <w:lvlText w:val="-"/>
      <w:lvlJc w:val="left"/>
    </w:lvl>
    <w:lvl w:ilvl="1" w:tplc="B46E8452">
      <w:numFmt w:val="decimal"/>
      <w:lvlText w:val=""/>
      <w:lvlJc w:val="left"/>
    </w:lvl>
    <w:lvl w:ilvl="2" w:tplc="C8B41950">
      <w:numFmt w:val="decimal"/>
      <w:lvlText w:val=""/>
      <w:lvlJc w:val="left"/>
    </w:lvl>
    <w:lvl w:ilvl="3" w:tplc="931C3256">
      <w:numFmt w:val="decimal"/>
      <w:lvlText w:val=""/>
      <w:lvlJc w:val="left"/>
    </w:lvl>
    <w:lvl w:ilvl="4" w:tplc="8940E27C">
      <w:numFmt w:val="decimal"/>
      <w:lvlText w:val=""/>
      <w:lvlJc w:val="left"/>
    </w:lvl>
    <w:lvl w:ilvl="5" w:tplc="4D066AFA">
      <w:numFmt w:val="decimal"/>
      <w:lvlText w:val=""/>
      <w:lvlJc w:val="left"/>
    </w:lvl>
    <w:lvl w:ilvl="6" w:tplc="969C550A">
      <w:numFmt w:val="decimal"/>
      <w:lvlText w:val=""/>
      <w:lvlJc w:val="left"/>
    </w:lvl>
    <w:lvl w:ilvl="7" w:tplc="B40E32FA">
      <w:numFmt w:val="decimal"/>
      <w:lvlText w:val=""/>
      <w:lvlJc w:val="left"/>
    </w:lvl>
    <w:lvl w:ilvl="8" w:tplc="F9A6E978">
      <w:numFmt w:val="decimal"/>
      <w:lvlText w:val=""/>
      <w:lvlJc w:val="left"/>
    </w:lvl>
  </w:abstractNum>
  <w:abstractNum w:abstractNumId="23" w15:restartNumberingAfterBreak="0">
    <w:nsid w:val="041E9A4F"/>
    <w:multiLevelType w:val="hybridMultilevel"/>
    <w:tmpl w:val="D624A6F4"/>
    <w:lvl w:ilvl="0" w:tplc="74A8B114">
      <w:start w:val="1"/>
      <w:numFmt w:val="bullet"/>
      <w:lvlText w:val="•"/>
      <w:lvlJc w:val="left"/>
    </w:lvl>
    <w:lvl w:ilvl="1" w:tplc="D8A6D598">
      <w:numFmt w:val="decimal"/>
      <w:lvlText w:val=""/>
      <w:lvlJc w:val="left"/>
    </w:lvl>
    <w:lvl w:ilvl="2" w:tplc="C75A3F72">
      <w:numFmt w:val="decimal"/>
      <w:lvlText w:val=""/>
      <w:lvlJc w:val="left"/>
    </w:lvl>
    <w:lvl w:ilvl="3" w:tplc="702005FA">
      <w:numFmt w:val="decimal"/>
      <w:lvlText w:val=""/>
      <w:lvlJc w:val="left"/>
    </w:lvl>
    <w:lvl w:ilvl="4" w:tplc="C590B128">
      <w:numFmt w:val="decimal"/>
      <w:lvlText w:val=""/>
      <w:lvlJc w:val="left"/>
    </w:lvl>
    <w:lvl w:ilvl="5" w:tplc="DC4E14C0">
      <w:numFmt w:val="decimal"/>
      <w:lvlText w:val=""/>
      <w:lvlJc w:val="left"/>
    </w:lvl>
    <w:lvl w:ilvl="6" w:tplc="63DE92B0">
      <w:numFmt w:val="decimal"/>
      <w:lvlText w:val=""/>
      <w:lvlJc w:val="left"/>
    </w:lvl>
    <w:lvl w:ilvl="7" w:tplc="EF508560">
      <w:numFmt w:val="decimal"/>
      <w:lvlText w:val=""/>
      <w:lvlJc w:val="left"/>
    </w:lvl>
    <w:lvl w:ilvl="8" w:tplc="296671EA">
      <w:numFmt w:val="decimal"/>
      <w:lvlText w:val=""/>
      <w:lvlJc w:val="left"/>
    </w:lvl>
  </w:abstractNum>
  <w:abstractNum w:abstractNumId="24" w15:restartNumberingAfterBreak="0">
    <w:nsid w:val="043E3308"/>
    <w:multiLevelType w:val="hybridMultilevel"/>
    <w:tmpl w:val="A8FC3C6C"/>
    <w:lvl w:ilvl="0" w:tplc="6EF4218A">
      <w:start w:val="1"/>
      <w:numFmt w:val="bullet"/>
      <w:lvlText w:val="•"/>
      <w:lvlJc w:val="left"/>
    </w:lvl>
    <w:lvl w:ilvl="1" w:tplc="1E3EAF6A">
      <w:numFmt w:val="decimal"/>
      <w:lvlText w:val=""/>
      <w:lvlJc w:val="left"/>
    </w:lvl>
    <w:lvl w:ilvl="2" w:tplc="E9340FC6">
      <w:numFmt w:val="decimal"/>
      <w:lvlText w:val=""/>
      <w:lvlJc w:val="left"/>
    </w:lvl>
    <w:lvl w:ilvl="3" w:tplc="70BC6022">
      <w:numFmt w:val="decimal"/>
      <w:lvlText w:val=""/>
      <w:lvlJc w:val="left"/>
    </w:lvl>
    <w:lvl w:ilvl="4" w:tplc="79FEA5A2">
      <w:numFmt w:val="decimal"/>
      <w:lvlText w:val=""/>
      <w:lvlJc w:val="left"/>
    </w:lvl>
    <w:lvl w:ilvl="5" w:tplc="AD26FE92">
      <w:numFmt w:val="decimal"/>
      <w:lvlText w:val=""/>
      <w:lvlJc w:val="left"/>
    </w:lvl>
    <w:lvl w:ilvl="6" w:tplc="DBAE2D7C">
      <w:numFmt w:val="decimal"/>
      <w:lvlText w:val=""/>
      <w:lvlJc w:val="left"/>
    </w:lvl>
    <w:lvl w:ilvl="7" w:tplc="4A94A1BE">
      <w:numFmt w:val="decimal"/>
      <w:lvlText w:val=""/>
      <w:lvlJc w:val="left"/>
    </w:lvl>
    <w:lvl w:ilvl="8" w:tplc="826E52F8">
      <w:numFmt w:val="decimal"/>
      <w:lvlText w:val=""/>
      <w:lvlJc w:val="left"/>
    </w:lvl>
  </w:abstractNum>
  <w:abstractNum w:abstractNumId="25" w15:restartNumberingAfterBreak="0">
    <w:nsid w:val="04642A7B"/>
    <w:multiLevelType w:val="hybridMultilevel"/>
    <w:tmpl w:val="1A26A38A"/>
    <w:lvl w:ilvl="0" w:tplc="8AF0900C">
      <w:start w:val="1"/>
      <w:numFmt w:val="bullet"/>
      <w:lvlText w:val="•"/>
      <w:lvlJc w:val="left"/>
    </w:lvl>
    <w:lvl w:ilvl="1" w:tplc="8BFE3BC8">
      <w:numFmt w:val="decimal"/>
      <w:lvlText w:val=""/>
      <w:lvlJc w:val="left"/>
    </w:lvl>
    <w:lvl w:ilvl="2" w:tplc="B83205B6">
      <w:numFmt w:val="decimal"/>
      <w:lvlText w:val=""/>
      <w:lvlJc w:val="left"/>
    </w:lvl>
    <w:lvl w:ilvl="3" w:tplc="72A21AA8">
      <w:numFmt w:val="decimal"/>
      <w:lvlText w:val=""/>
      <w:lvlJc w:val="left"/>
    </w:lvl>
    <w:lvl w:ilvl="4" w:tplc="1136C4AE">
      <w:numFmt w:val="decimal"/>
      <w:lvlText w:val=""/>
      <w:lvlJc w:val="left"/>
    </w:lvl>
    <w:lvl w:ilvl="5" w:tplc="F3D6E13A">
      <w:numFmt w:val="decimal"/>
      <w:lvlText w:val=""/>
      <w:lvlJc w:val="left"/>
    </w:lvl>
    <w:lvl w:ilvl="6" w:tplc="EBDE39FA">
      <w:numFmt w:val="decimal"/>
      <w:lvlText w:val=""/>
      <w:lvlJc w:val="left"/>
    </w:lvl>
    <w:lvl w:ilvl="7" w:tplc="ADD2ECC2">
      <w:numFmt w:val="decimal"/>
      <w:lvlText w:val=""/>
      <w:lvlJc w:val="left"/>
    </w:lvl>
    <w:lvl w:ilvl="8" w:tplc="6762AEBE">
      <w:numFmt w:val="decimal"/>
      <w:lvlText w:val=""/>
      <w:lvlJc w:val="left"/>
    </w:lvl>
  </w:abstractNum>
  <w:abstractNum w:abstractNumId="26" w15:restartNumberingAfterBreak="0">
    <w:nsid w:val="047C27FA"/>
    <w:multiLevelType w:val="hybridMultilevel"/>
    <w:tmpl w:val="1152C644"/>
    <w:lvl w:ilvl="0" w:tplc="B7B65F2C">
      <w:start w:val="15"/>
      <w:numFmt w:val="lowerLetter"/>
      <w:lvlText w:val="%1"/>
      <w:lvlJc w:val="left"/>
    </w:lvl>
    <w:lvl w:ilvl="1" w:tplc="8E5A8D24">
      <w:start w:val="1"/>
      <w:numFmt w:val="bullet"/>
      <w:lvlText w:val="§"/>
      <w:lvlJc w:val="left"/>
    </w:lvl>
    <w:lvl w:ilvl="2" w:tplc="2FDC9110">
      <w:numFmt w:val="decimal"/>
      <w:lvlText w:val=""/>
      <w:lvlJc w:val="left"/>
    </w:lvl>
    <w:lvl w:ilvl="3" w:tplc="B2F2A304">
      <w:numFmt w:val="decimal"/>
      <w:lvlText w:val=""/>
      <w:lvlJc w:val="left"/>
    </w:lvl>
    <w:lvl w:ilvl="4" w:tplc="73AC2D52">
      <w:numFmt w:val="decimal"/>
      <w:lvlText w:val=""/>
      <w:lvlJc w:val="left"/>
    </w:lvl>
    <w:lvl w:ilvl="5" w:tplc="1C9CD38E">
      <w:numFmt w:val="decimal"/>
      <w:lvlText w:val=""/>
      <w:lvlJc w:val="left"/>
    </w:lvl>
    <w:lvl w:ilvl="6" w:tplc="A5CAA79A">
      <w:numFmt w:val="decimal"/>
      <w:lvlText w:val=""/>
      <w:lvlJc w:val="left"/>
    </w:lvl>
    <w:lvl w:ilvl="7" w:tplc="5B7C232C">
      <w:numFmt w:val="decimal"/>
      <w:lvlText w:val=""/>
      <w:lvlJc w:val="left"/>
    </w:lvl>
    <w:lvl w:ilvl="8" w:tplc="B2B2C31E">
      <w:numFmt w:val="decimal"/>
      <w:lvlText w:val=""/>
      <w:lvlJc w:val="left"/>
    </w:lvl>
  </w:abstractNum>
  <w:abstractNum w:abstractNumId="27" w15:restartNumberingAfterBreak="0">
    <w:nsid w:val="04AC8EC3"/>
    <w:multiLevelType w:val="hybridMultilevel"/>
    <w:tmpl w:val="4BC6583C"/>
    <w:lvl w:ilvl="0" w:tplc="70CEF916">
      <w:start w:val="1"/>
      <w:numFmt w:val="lowerLetter"/>
      <w:lvlText w:val="%1)"/>
      <w:lvlJc w:val="left"/>
    </w:lvl>
    <w:lvl w:ilvl="1" w:tplc="59C080C8">
      <w:numFmt w:val="decimal"/>
      <w:lvlText w:val=""/>
      <w:lvlJc w:val="left"/>
    </w:lvl>
    <w:lvl w:ilvl="2" w:tplc="D83C2E32">
      <w:numFmt w:val="decimal"/>
      <w:lvlText w:val=""/>
      <w:lvlJc w:val="left"/>
    </w:lvl>
    <w:lvl w:ilvl="3" w:tplc="B6CA0BEE">
      <w:numFmt w:val="decimal"/>
      <w:lvlText w:val=""/>
      <w:lvlJc w:val="left"/>
    </w:lvl>
    <w:lvl w:ilvl="4" w:tplc="EC2844F4">
      <w:numFmt w:val="decimal"/>
      <w:lvlText w:val=""/>
      <w:lvlJc w:val="left"/>
    </w:lvl>
    <w:lvl w:ilvl="5" w:tplc="9A506732">
      <w:numFmt w:val="decimal"/>
      <w:lvlText w:val=""/>
      <w:lvlJc w:val="left"/>
    </w:lvl>
    <w:lvl w:ilvl="6" w:tplc="62CCB712">
      <w:numFmt w:val="decimal"/>
      <w:lvlText w:val=""/>
      <w:lvlJc w:val="left"/>
    </w:lvl>
    <w:lvl w:ilvl="7" w:tplc="D2E6558C">
      <w:numFmt w:val="decimal"/>
      <w:lvlText w:val=""/>
      <w:lvlJc w:val="left"/>
    </w:lvl>
    <w:lvl w:ilvl="8" w:tplc="401869FA">
      <w:numFmt w:val="decimal"/>
      <w:lvlText w:val=""/>
      <w:lvlJc w:val="left"/>
    </w:lvl>
  </w:abstractNum>
  <w:abstractNum w:abstractNumId="28" w15:restartNumberingAfterBreak="0">
    <w:nsid w:val="051362AD"/>
    <w:multiLevelType w:val="hybridMultilevel"/>
    <w:tmpl w:val="8D24308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05377D7E"/>
    <w:multiLevelType w:val="hybridMultilevel"/>
    <w:tmpl w:val="E506A1BE"/>
    <w:lvl w:ilvl="0" w:tplc="A3AA254E">
      <w:start w:val="1"/>
      <w:numFmt w:val="bullet"/>
      <w:lvlText w:val="·"/>
      <w:lvlJc w:val="left"/>
    </w:lvl>
    <w:lvl w:ilvl="1" w:tplc="6AE89C8C">
      <w:numFmt w:val="decimal"/>
      <w:lvlText w:val=""/>
      <w:lvlJc w:val="left"/>
    </w:lvl>
    <w:lvl w:ilvl="2" w:tplc="26865E9C">
      <w:numFmt w:val="decimal"/>
      <w:lvlText w:val=""/>
      <w:lvlJc w:val="left"/>
    </w:lvl>
    <w:lvl w:ilvl="3" w:tplc="0EDEB2E2">
      <w:numFmt w:val="decimal"/>
      <w:lvlText w:val=""/>
      <w:lvlJc w:val="left"/>
    </w:lvl>
    <w:lvl w:ilvl="4" w:tplc="FE582C4A">
      <w:numFmt w:val="decimal"/>
      <w:lvlText w:val=""/>
      <w:lvlJc w:val="left"/>
    </w:lvl>
    <w:lvl w:ilvl="5" w:tplc="86E226C4">
      <w:numFmt w:val="decimal"/>
      <w:lvlText w:val=""/>
      <w:lvlJc w:val="left"/>
    </w:lvl>
    <w:lvl w:ilvl="6" w:tplc="7988C434">
      <w:numFmt w:val="decimal"/>
      <w:lvlText w:val=""/>
      <w:lvlJc w:val="left"/>
    </w:lvl>
    <w:lvl w:ilvl="7" w:tplc="B3D0DCD4">
      <w:numFmt w:val="decimal"/>
      <w:lvlText w:val=""/>
      <w:lvlJc w:val="left"/>
    </w:lvl>
    <w:lvl w:ilvl="8" w:tplc="53E0124C">
      <w:numFmt w:val="decimal"/>
      <w:lvlText w:val=""/>
      <w:lvlJc w:val="left"/>
    </w:lvl>
  </w:abstractNum>
  <w:abstractNum w:abstractNumId="30" w15:restartNumberingAfterBreak="0">
    <w:nsid w:val="05488892"/>
    <w:multiLevelType w:val="hybridMultilevel"/>
    <w:tmpl w:val="3C90E46C"/>
    <w:lvl w:ilvl="0" w:tplc="895E7116">
      <w:start w:val="1"/>
      <w:numFmt w:val="upperLetter"/>
      <w:lvlText w:val="%1."/>
      <w:lvlJc w:val="left"/>
    </w:lvl>
    <w:lvl w:ilvl="1" w:tplc="B46AC874">
      <w:start w:val="1"/>
      <w:numFmt w:val="bullet"/>
      <w:lvlText w:val="→"/>
      <w:lvlJc w:val="left"/>
    </w:lvl>
    <w:lvl w:ilvl="2" w:tplc="AFA25492">
      <w:start w:val="1"/>
      <w:numFmt w:val="bullet"/>
      <w:lvlText w:val="-"/>
      <w:lvlJc w:val="left"/>
    </w:lvl>
    <w:lvl w:ilvl="3" w:tplc="F76C9C9C">
      <w:start w:val="1"/>
      <w:numFmt w:val="bullet"/>
      <w:lvlText w:val="§"/>
      <w:lvlJc w:val="left"/>
    </w:lvl>
    <w:lvl w:ilvl="4" w:tplc="B4BC0AD4">
      <w:numFmt w:val="decimal"/>
      <w:lvlText w:val=""/>
      <w:lvlJc w:val="left"/>
    </w:lvl>
    <w:lvl w:ilvl="5" w:tplc="D518B4F6">
      <w:numFmt w:val="decimal"/>
      <w:lvlText w:val=""/>
      <w:lvlJc w:val="left"/>
    </w:lvl>
    <w:lvl w:ilvl="6" w:tplc="DFE6FB8E">
      <w:numFmt w:val="decimal"/>
      <w:lvlText w:val=""/>
      <w:lvlJc w:val="left"/>
    </w:lvl>
    <w:lvl w:ilvl="7" w:tplc="36AA6254">
      <w:numFmt w:val="decimal"/>
      <w:lvlText w:val=""/>
      <w:lvlJc w:val="left"/>
    </w:lvl>
    <w:lvl w:ilvl="8" w:tplc="CE205858">
      <w:numFmt w:val="decimal"/>
      <w:lvlText w:val=""/>
      <w:lvlJc w:val="left"/>
    </w:lvl>
  </w:abstractNum>
  <w:abstractNum w:abstractNumId="31" w15:restartNumberingAfterBreak="0">
    <w:nsid w:val="058D717E"/>
    <w:multiLevelType w:val="hybridMultilevel"/>
    <w:tmpl w:val="AC9C916E"/>
    <w:lvl w:ilvl="0" w:tplc="A4F6E716">
      <w:start w:val="1"/>
      <w:numFmt w:val="lowerLetter"/>
      <w:lvlText w:val="%1)"/>
      <w:lvlJc w:val="left"/>
    </w:lvl>
    <w:lvl w:ilvl="1" w:tplc="DC72BA28">
      <w:numFmt w:val="decimal"/>
      <w:lvlText w:val=""/>
      <w:lvlJc w:val="left"/>
    </w:lvl>
    <w:lvl w:ilvl="2" w:tplc="3E8AA94C">
      <w:numFmt w:val="decimal"/>
      <w:lvlText w:val=""/>
      <w:lvlJc w:val="left"/>
    </w:lvl>
    <w:lvl w:ilvl="3" w:tplc="547C7B30">
      <w:numFmt w:val="decimal"/>
      <w:lvlText w:val=""/>
      <w:lvlJc w:val="left"/>
    </w:lvl>
    <w:lvl w:ilvl="4" w:tplc="70421966">
      <w:numFmt w:val="decimal"/>
      <w:lvlText w:val=""/>
      <w:lvlJc w:val="left"/>
    </w:lvl>
    <w:lvl w:ilvl="5" w:tplc="BA60925A">
      <w:numFmt w:val="decimal"/>
      <w:lvlText w:val=""/>
      <w:lvlJc w:val="left"/>
    </w:lvl>
    <w:lvl w:ilvl="6" w:tplc="2D6E5E3A">
      <w:numFmt w:val="decimal"/>
      <w:lvlText w:val=""/>
      <w:lvlJc w:val="left"/>
    </w:lvl>
    <w:lvl w:ilvl="7" w:tplc="38B6FD80">
      <w:numFmt w:val="decimal"/>
      <w:lvlText w:val=""/>
      <w:lvlJc w:val="left"/>
    </w:lvl>
    <w:lvl w:ilvl="8" w:tplc="E4226ABE">
      <w:numFmt w:val="decimal"/>
      <w:lvlText w:val=""/>
      <w:lvlJc w:val="left"/>
    </w:lvl>
  </w:abstractNum>
  <w:abstractNum w:abstractNumId="32" w15:restartNumberingAfterBreak="0">
    <w:nsid w:val="05FF178A"/>
    <w:multiLevelType w:val="hybridMultilevel"/>
    <w:tmpl w:val="E7D68274"/>
    <w:lvl w:ilvl="0" w:tplc="26C4ABC6">
      <w:start w:val="1"/>
      <w:numFmt w:val="bullet"/>
      <w:lvlText w:val="·"/>
      <w:lvlJc w:val="left"/>
    </w:lvl>
    <w:lvl w:ilvl="1" w:tplc="6F70BED8">
      <w:numFmt w:val="decimal"/>
      <w:lvlText w:val=""/>
      <w:lvlJc w:val="left"/>
    </w:lvl>
    <w:lvl w:ilvl="2" w:tplc="F24E5E04">
      <w:numFmt w:val="decimal"/>
      <w:lvlText w:val=""/>
      <w:lvlJc w:val="left"/>
    </w:lvl>
    <w:lvl w:ilvl="3" w:tplc="42505568">
      <w:numFmt w:val="decimal"/>
      <w:lvlText w:val=""/>
      <w:lvlJc w:val="left"/>
    </w:lvl>
    <w:lvl w:ilvl="4" w:tplc="EA86AC9E">
      <w:numFmt w:val="decimal"/>
      <w:lvlText w:val=""/>
      <w:lvlJc w:val="left"/>
    </w:lvl>
    <w:lvl w:ilvl="5" w:tplc="B42EE268">
      <w:numFmt w:val="decimal"/>
      <w:lvlText w:val=""/>
      <w:lvlJc w:val="left"/>
    </w:lvl>
    <w:lvl w:ilvl="6" w:tplc="70ACDCB6">
      <w:numFmt w:val="decimal"/>
      <w:lvlText w:val=""/>
      <w:lvlJc w:val="left"/>
    </w:lvl>
    <w:lvl w:ilvl="7" w:tplc="D944BD58">
      <w:numFmt w:val="decimal"/>
      <w:lvlText w:val=""/>
      <w:lvlJc w:val="left"/>
    </w:lvl>
    <w:lvl w:ilvl="8" w:tplc="55C4B340">
      <w:numFmt w:val="decimal"/>
      <w:lvlText w:val=""/>
      <w:lvlJc w:val="left"/>
    </w:lvl>
  </w:abstractNum>
  <w:abstractNum w:abstractNumId="33" w15:restartNumberingAfterBreak="0">
    <w:nsid w:val="06064067"/>
    <w:multiLevelType w:val="hybridMultilevel"/>
    <w:tmpl w:val="489E5400"/>
    <w:lvl w:ilvl="0" w:tplc="DB12C516">
      <w:start w:val="1"/>
      <w:numFmt w:val="bullet"/>
      <w:lvlText w:val="•"/>
      <w:lvlJc w:val="left"/>
    </w:lvl>
    <w:lvl w:ilvl="1" w:tplc="933CEC8A">
      <w:start w:val="1"/>
      <w:numFmt w:val="bullet"/>
      <w:lvlText w:val="-"/>
      <w:lvlJc w:val="left"/>
    </w:lvl>
    <w:lvl w:ilvl="2" w:tplc="ED06C3EA">
      <w:numFmt w:val="decimal"/>
      <w:lvlText w:val=""/>
      <w:lvlJc w:val="left"/>
    </w:lvl>
    <w:lvl w:ilvl="3" w:tplc="85686CE4">
      <w:numFmt w:val="decimal"/>
      <w:lvlText w:val=""/>
      <w:lvlJc w:val="left"/>
    </w:lvl>
    <w:lvl w:ilvl="4" w:tplc="BFACC268">
      <w:numFmt w:val="decimal"/>
      <w:lvlText w:val=""/>
      <w:lvlJc w:val="left"/>
    </w:lvl>
    <w:lvl w:ilvl="5" w:tplc="B06819FE">
      <w:numFmt w:val="decimal"/>
      <w:lvlText w:val=""/>
      <w:lvlJc w:val="left"/>
    </w:lvl>
    <w:lvl w:ilvl="6" w:tplc="98B83BE2">
      <w:numFmt w:val="decimal"/>
      <w:lvlText w:val=""/>
      <w:lvlJc w:val="left"/>
    </w:lvl>
    <w:lvl w:ilvl="7" w:tplc="BE681E64">
      <w:numFmt w:val="decimal"/>
      <w:lvlText w:val=""/>
      <w:lvlJc w:val="left"/>
    </w:lvl>
    <w:lvl w:ilvl="8" w:tplc="68EC8292">
      <w:numFmt w:val="decimal"/>
      <w:lvlText w:val=""/>
      <w:lvlJc w:val="left"/>
    </w:lvl>
  </w:abstractNum>
  <w:abstractNum w:abstractNumId="34" w15:restartNumberingAfterBreak="0">
    <w:nsid w:val="06175EB8"/>
    <w:multiLevelType w:val="hybridMultilevel"/>
    <w:tmpl w:val="7876EDB2"/>
    <w:lvl w:ilvl="0" w:tplc="80885042">
      <w:start w:val="1"/>
      <w:numFmt w:val="bullet"/>
      <w:lvlText w:val="•"/>
      <w:lvlJc w:val="left"/>
    </w:lvl>
    <w:lvl w:ilvl="1" w:tplc="6EECAB24">
      <w:numFmt w:val="decimal"/>
      <w:lvlText w:val=""/>
      <w:lvlJc w:val="left"/>
    </w:lvl>
    <w:lvl w:ilvl="2" w:tplc="08448398">
      <w:numFmt w:val="decimal"/>
      <w:lvlText w:val=""/>
      <w:lvlJc w:val="left"/>
    </w:lvl>
    <w:lvl w:ilvl="3" w:tplc="05A29BB2">
      <w:numFmt w:val="decimal"/>
      <w:lvlText w:val=""/>
      <w:lvlJc w:val="left"/>
    </w:lvl>
    <w:lvl w:ilvl="4" w:tplc="8A34959A">
      <w:numFmt w:val="decimal"/>
      <w:lvlText w:val=""/>
      <w:lvlJc w:val="left"/>
    </w:lvl>
    <w:lvl w:ilvl="5" w:tplc="A33CE75E">
      <w:numFmt w:val="decimal"/>
      <w:lvlText w:val=""/>
      <w:lvlJc w:val="left"/>
    </w:lvl>
    <w:lvl w:ilvl="6" w:tplc="93A6E51C">
      <w:numFmt w:val="decimal"/>
      <w:lvlText w:val=""/>
      <w:lvlJc w:val="left"/>
    </w:lvl>
    <w:lvl w:ilvl="7" w:tplc="0742BA50">
      <w:numFmt w:val="decimal"/>
      <w:lvlText w:val=""/>
      <w:lvlJc w:val="left"/>
    </w:lvl>
    <w:lvl w:ilvl="8" w:tplc="211EEE86">
      <w:numFmt w:val="decimal"/>
      <w:lvlText w:val=""/>
      <w:lvlJc w:val="left"/>
    </w:lvl>
  </w:abstractNum>
  <w:abstractNum w:abstractNumId="35" w15:restartNumberingAfterBreak="0">
    <w:nsid w:val="061C66E3"/>
    <w:multiLevelType w:val="hybridMultilevel"/>
    <w:tmpl w:val="8A545864"/>
    <w:lvl w:ilvl="0" w:tplc="4E14ACC2">
      <w:start w:val="1"/>
      <w:numFmt w:val="bullet"/>
      <w:lvlText w:val="·"/>
      <w:lvlJc w:val="left"/>
    </w:lvl>
    <w:lvl w:ilvl="1" w:tplc="1C6CACC6">
      <w:numFmt w:val="decimal"/>
      <w:lvlText w:val=""/>
      <w:lvlJc w:val="left"/>
    </w:lvl>
    <w:lvl w:ilvl="2" w:tplc="DCEE3ADA">
      <w:numFmt w:val="decimal"/>
      <w:lvlText w:val=""/>
      <w:lvlJc w:val="left"/>
    </w:lvl>
    <w:lvl w:ilvl="3" w:tplc="098A4504">
      <w:numFmt w:val="decimal"/>
      <w:lvlText w:val=""/>
      <w:lvlJc w:val="left"/>
    </w:lvl>
    <w:lvl w:ilvl="4" w:tplc="3358258A">
      <w:numFmt w:val="decimal"/>
      <w:lvlText w:val=""/>
      <w:lvlJc w:val="left"/>
    </w:lvl>
    <w:lvl w:ilvl="5" w:tplc="8C7ABA62">
      <w:numFmt w:val="decimal"/>
      <w:lvlText w:val=""/>
      <w:lvlJc w:val="left"/>
    </w:lvl>
    <w:lvl w:ilvl="6" w:tplc="E6423606">
      <w:numFmt w:val="decimal"/>
      <w:lvlText w:val=""/>
      <w:lvlJc w:val="left"/>
    </w:lvl>
    <w:lvl w:ilvl="7" w:tplc="0F6E6EF8">
      <w:numFmt w:val="decimal"/>
      <w:lvlText w:val=""/>
      <w:lvlJc w:val="left"/>
    </w:lvl>
    <w:lvl w:ilvl="8" w:tplc="BC046AB2">
      <w:numFmt w:val="decimal"/>
      <w:lvlText w:val=""/>
      <w:lvlJc w:val="left"/>
    </w:lvl>
  </w:abstractNum>
  <w:abstractNum w:abstractNumId="36" w15:restartNumberingAfterBreak="0">
    <w:nsid w:val="063649BD"/>
    <w:multiLevelType w:val="hybridMultilevel"/>
    <w:tmpl w:val="B0EE0E08"/>
    <w:lvl w:ilvl="0" w:tplc="8FF057F8">
      <w:start w:val="1"/>
      <w:numFmt w:val="bullet"/>
      <w:lvlText w:val="•"/>
      <w:lvlJc w:val="left"/>
    </w:lvl>
    <w:lvl w:ilvl="1" w:tplc="3E964DDA">
      <w:numFmt w:val="decimal"/>
      <w:lvlText w:val=""/>
      <w:lvlJc w:val="left"/>
    </w:lvl>
    <w:lvl w:ilvl="2" w:tplc="32D44844">
      <w:numFmt w:val="decimal"/>
      <w:lvlText w:val=""/>
      <w:lvlJc w:val="left"/>
    </w:lvl>
    <w:lvl w:ilvl="3" w:tplc="E2AA314E">
      <w:numFmt w:val="decimal"/>
      <w:lvlText w:val=""/>
      <w:lvlJc w:val="left"/>
    </w:lvl>
    <w:lvl w:ilvl="4" w:tplc="D61C9D84">
      <w:numFmt w:val="decimal"/>
      <w:lvlText w:val=""/>
      <w:lvlJc w:val="left"/>
    </w:lvl>
    <w:lvl w:ilvl="5" w:tplc="774C3C0A">
      <w:numFmt w:val="decimal"/>
      <w:lvlText w:val=""/>
      <w:lvlJc w:val="left"/>
    </w:lvl>
    <w:lvl w:ilvl="6" w:tplc="C7D277C0">
      <w:numFmt w:val="decimal"/>
      <w:lvlText w:val=""/>
      <w:lvlJc w:val="left"/>
    </w:lvl>
    <w:lvl w:ilvl="7" w:tplc="6622904E">
      <w:numFmt w:val="decimal"/>
      <w:lvlText w:val=""/>
      <w:lvlJc w:val="left"/>
    </w:lvl>
    <w:lvl w:ilvl="8" w:tplc="943C53B8">
      <w:numFmt w:val="decimal"/>
      <w:lvlText w:val=""/>
      <w:lvlJc w:val="left"/>
    </w:lvl>
  </w:abstractNum>
  <w:abstractNum w:abstractNumId="37" w15:restartNumberingAfterBreak="0">
    <w:nsid w:val="06552335"/>
    <w:multiLevelType w:val="hybridMultilevel"/>
    <w:tmpl w:val="FCA0265A"/>
    <w:lvl w:ilvl="0" w:tplc="CB10CFAC">
      <w:start w:val="1"/>
      <w:numFmt w:val="bullet"/>
      <w:lvlText w:val="•"/>
      <w:lvlJc w:val="left"/>
    </w:lvl>
    <w:lvl w:ilvl="1" w:tplc="B010F34C">
      <w:numFmt w:val="decimal"/>
      <w:lvlText w:val=""/>
      <w:lvlJc w:val="left"/>
    </w:lvl>
    <w:lvl w:ilvl="2" w:tplc="30D02546">
      <w:numFmt w:val="decimal"/>
      <w:lvlText w:val=""/>
      <w:lvlJc w:val="left"/>
    </w:lvl>
    <w:lvl w:ilvl="3" w:tplc="52BC76EE">
      <w:numFmt w:val="decimal"/>
      <w:lvlText w:val=""/>
      <w:lvlJc w:val="left"/>
    </w:lvl>
    <w:lvl w:ilvl="4" w:tplc="0D304E7A">
      <w:numFmt w:val="decimal"/>
      <w:lvlText w:val=""/>
      <w:lvlJc w:val="left"/>
    </w:lvl>
    <w:lvl w:ilvl="5" w:tplc="FDA8B25E">
      <w:numFmt w:val="decimal"/>
      <w:lvlText w:val=""/>
      <w:lvlJc w:val="left"/>
    </w:lvl>
    <w:lvl w:ilvl="6" w:tplc="73A85D54">
      <w:numFmt w:val="decimal"/>
      <w:lvlText w:val=""/>
      <w:lvlJc w:val="left"/>
    </w:lvl>
    <w:lvl w:ilvl="7" w:tplc="BE9ACC34">
      <w:numFmt w:val="decimal"/>
      <w:lvlText w:val=""/>
      <w:lvlJc w:val="left"/>
    </w:lvl>
    <w:lvl w:ilvl="8" w:tplc="A31E484A">
      <w:numFmt w:val="decimal"/>
      <w:lvlText w:val=""/>
      <w:lvlJc w:val="left"/>
    </w:lvl>
  </w:abstractNum>
  <w:abstractNum w:abstractNumId="38" w15:restartNumberingAfterBreak="0">
    <w:nsid w:val="066433C7"/>
    <w:multiLevelType w:val="hybridMultilevel"/>
    <w:tmpl w:val="0362033C"/>
    <w:lvl w:ilvl="0" w:tplc="6FB84092">
      <w:start w:val="1"/>
      <w:numFmt w:val="decimal"/>
      <w:lvlText w:val="%1."/>
      <w:lvlJc w:val="left"/>
    </w:lvl>
    <w:lvl w:ilvl="1" w:tplc="A4D635F0">
      <w:numFmt w:val="decimal"/>
      <w:lvlText w:val=""/>
      <w:lvlJc w:val="left"/>
    </w:lvl>
    <w:lvl w:ilvl="2" w:tplc="BFCEFC58">
      <w:numFmt w:val="decimal"/>
      <w:lvlText w:val=""/>
      <w:lvlJc w:val="left"/>
    </w:lvl>
    <w:lvl w:ilvl="3" w:tplc="7FEC0D62">
      <w:numFmt w:val="decimal"/>
      <w:lvlText w:val=""/>
      <w:lvlJc w:val="left"/>
    </w:lvl>
    <w:lvl w:ilvl="4" w:tplc="D9B6ADFC">
      <w:numFmt w:val="decimal"/>
      <w:lvlText w:val=""/>
      <w:lvlJc w:val="left"/>
    </w:lvl>
    <w:lvl w:ilvl="5" w:tplc="2F5ADD86">
      <w:numFmt w:val="decimal"/>
      <w:lvlText w:val=""/>
      <w:lvlJc w:val="left"/>
    </w:lvl>
    <w:lvl w:ilvl="6" w:tplc="ED6E213E">
      <w:numFmt w:val="decimal"/>
      <w:lvlText w:val=""/>
      <w:lvlJc w:val="left"/>
    </w:lvl>
    <w:lvl w:ilvl="7" w:tplc="9AA2E280">
      <w:numFmt w:val="decimal"/>
      <w:lvlText w:val=""/>
      <w:lvlJc w:val="left"/>
    </w:lvl>
    <w:lvl w:ilvl="8" w:tplc="C3182A40">
      <w:numFmt w:val="decimal"/>
      <w:lvlText w:val=""/>
      <w:lvlJc w:val="left"/>
    </w:lvl>
  </w:abstractNum>
  <w:abstractNum w:abstractNumId="39" w15:restartNumberingAfterBreak="0">
    <w:nsid w:val="0693ABDF"/>
    <w:multiLevelType w:val="hybridMultilevel"/>
    <w:tmpl w:val="33ACD614"/>
    <w:lvl w:ilvl="0" w:tplc="7A06C85A">
      <w:start w:val="1"/>
      <w:numFmt w:val="bullet"/>
      <w:lvlText w:val="-"/>
      <w:lvlJc w:val="left"/>
    </w:lvl>
    <w:lvl w:ilvl="1" w:tplc="9A9849AA">
      <w:numFmt w:val="decimal"/>
      <w:lvlText w:val=""/>
      <w:lvlJc w:val="left"/>
    </w:lvl>
    <w:lvl w:ilvl="2" w:tplc="6CB00784">
      <w:numFmt w:val="decimal"/>
      <w:lvlText w:val=""/>
      <w:lvlJc w:val="left"/>
    </w:lvl>
    <w:lvl w:ilvl="3" w:tplc="C82256CC">
      <w:numFmt w:val="decimal"/>
      <w:lvlText w:val=""/>
      <w:lvlJc w:val="left"/>
    </w:lvl>
    <w:lvl w:ilvl="4" w:tplc="4A0E4CFE">
      <w:numFmt w:val="decimal"/>
      <w:lvlText w:val=""/>
      <w:lvlJc w:val="left"/>
    </w:lvl>
    <w:lvl w:ilvl="5" w:tplc="FAD8C614">
      <w:numFmt w:val="decimal"/>
      <w:lvlText w:val=""/>
      <w:lvlJc w:val="left"/>
    </w:lvl>
    <w:lvl w:ilvl="6" w:tplc="84F2B128">
      <w:numFmt w:val="decimal"/>
      <w:lvlText w:val=""/>
      <w:lvlJc w:val="left"/>
    </w:lvl>
    <w:lvl w:ilvl="7" w:tplc="01D22A1C">
      <w:numFmt w:val="decimal"/>
      <w:lvlText w:val=""/>
      <w:lvlJc w:val="left"/>
    </w:lvl>
    <w:lvl w:ilvl="8" w:tplc="E6EC827C">
      <w:numFmt w:val="decimal"/>
      <w:lvlText w:val=""/>
      <w:lvlJc w:val="left"/>
    </w:lvl>
  </w:abstractNum>
  <w:abstractNum w:abstractNumId="40" w15:restartNumberingAfterBreak="0">
    <w:nsid w:val="06A3A3B2"/>
    <w:multiLevelType w:val="hybridMultilevel"/>
    <w:tmpl w:val="16146AC0"/>
    <w:lvl w:ilvl="0" w:tplc="D4A2EDDC">
      <w:start w:val="3"/>
      <w:numFmt w:val="decimal"/>
      <w:lvlText w:val="%1."/>
      <w:lvlJc w:val="left"/>
    </w:lvl>
    <w:lvl w:ilvl="1" w:tplc="8FB8EEFE">
      <w:start w:val="1"/>
      <w:numFmt w:val="bullet"/>
      <w:lvlText w:val="-"/>
      <w:lvlJc w:val="left"/>
    </w:lvl>
    <w:lvl w:ilvl="2" w:tplc="057E0104">
      <w:numFmt w:val="decimal"/>
      <w:lvlText w:val=""/>
      <w:lvlJc w:val="left"/>
    </w:lvl>
    <w:lvl w:ilvl="3" w:tplc="34A042B2">
      <w:numFmt w:val="decimal"/>
      <w:lvlText w:val=""/>
      <w:lvlJc w:val="left"/>
    </w:lvl>
    <w:lvl w:ilvl="4" w:tplc="1C60F3EE">
      <w:numFmt w:val="decimal"/>
      <w:lvlText w:val=""/>
      <w:lvlJc w:val="left"/>
    </w:lvl>
    <w:lvl w:ilvl="5" w:tplc="A6D4B3FC">
      <w:numFmt w:val="decimal"/>
      <w:lvlText w:val=""/>
      <w:lvlJc w:val="left"/>
    </w:lvl>
    <w:lvl w:ilvl="6" w:tplc="39D4F7F6">
      <w:numFmt w:val="decimal"/>
      <w:lvlText w:val=""/>
      <w:lvlJc w:val="left"/>
    </w:lvl>
    <w:lvl w:ilvl="7" w:tplc="464A0124">
      <w:numFmt w:val="decimal"/>
      <w:lvlText w:val=""/>
      <w:lvlJc w:val="left"/>
    </w:lvl>
    <w:lvl w:ilvl="8" w:tplc="10B095E0">
      <w:numFmt w:val="decimal"/>
      <w:lvlText w:val=""/>
      <w:lvlJc w:val="left"/>
    </w:lvl>
  </w:abstractNum>
  <w:abstractNum w:abstractNumId="41" w15:restartNumberingAfterBreak="0">
    <w:nsid w:val="06C7F1B7"/>
    <w:multiLevelType w:val="hybridMultilevel"/>
    <w:tmpl w:val="A8F4316E"/>
    <w:lvl w:ilvl="0" w:tplc="9A1815BC">
      <w:start w:val="1"/>
      <w:numFmt w:val="decimal"/>
      <w:lvlText w:val="%1."/>
      <w:lvlJc w:val="left"/>
    </w:lvl>
    <w:lvl w:ilvl="1" w:tplc="3D9C1308">
      <w:start w:val="1"/>
      <w:numFmt w:val="bullet"/>
      <w:lvlText w:val="-"/>
      <w:lvlJc w:val="left"/>
    </w:lvl>
    <w:lvl w:ilvl="2" w:tplc="57968F80">
      <w:start w:val="1"/>
      <w:numFmt w:val="bullet"/>
      <w:lvlText w:val="-"/>
      <w:lvlJc w:val="left"/>
    </w:lvl>
    <w:lvl w:ilvl="3" w:tplc="C0AE57C6">
      <w:start w:val="1"/>
      <w:numFmt w:val="bullet"/>
      <w:lvlText w:val="§"/>
      <w:lvlJc w:val="left"/>
    </w:lvl>
    <w:lvl w:ilvl="4" w:tplc="A0602DB8">
      <w:numFmt w:val="decimal"/>
      <w:lvlText w:val=""/>
      <w:lvlJc w:val="left"/>
    </w:lvl>
    <w:lvl w:ilvl="5" w:tplc="4EBCECBC">
      <w:numFmt w:val="decimal"/>
      <w:lvlText w:val=""/>
      <w:lvlJc w:val="left"/>
    </w:lvl>
    <w:lvl w:ilvl="6" w:tplc="6F488AEE">
      <w:numFmt w:val="decimal"/>
      <w:lvlText w:val=""/>
      <w:lvlJc w:val="left"/>
    </w:lvl>
    <w:lvl w:ilvl="7" w:tplc="32FC7692">
      <w:numFmt w:val="decimal"/>
      <w:lvlText w:val=""/>
      <w:lvlJc w:val="left"/>
    </w:lvl>
    <w:lvl w:ilvl="8" w:tplc="2746067C">
      <w:numFmt w:val="decimal"/>
      <w:lvlText w:val=""/>
      <w:lvlJc w:val="left"/>
    </w:lvl>
  </w:abstractNum>
  <w:abstractNum w:abstractNumId="42" w15:restartNumberingAfterBreak="0">
    <w:nsid w:val="06D96282"/>
    <w:multiLevelType w:val="hybridMultilevel"/>
    <w:tmpl w:val="E2964BA8"/>
    <w:lvl w:ilvl="0" w:tplc="53CABD30">
      <w:start w:val="1"/>
      <w:numFmt w:val="bullet"/>
      <w:lvlText w:val="-"/>
      <w:lvlJc w:val="left"/>
      <w:pPr>
        <w:ind w:left="1803" w:hanging="360"/>
      </w:pPr>
    </w:lvl>
    <w:lvl w:ilvl="1" w:tplc="04050003" w:tentative="1">
      <w:start w:val="1"/>
      <w:numFmt w:val="bullet"/>
      <w:lvlText w:val="o"/>
      <w:lvlJc w:val="left"/>
      <w:pPr>
        <w:ind w:left="2523" w:hanging="360"/>
      </w:pPr>
      <w:rPr>
        <w:rFonts w:ascii="Courier New" w:hAnsi="Courier New" w:cs="Courier New" w:hint="default"/>
      </w:rPr>
    </w:lvl>
    <w:lvl w:ilvl="2" w:tplc="04050005" w:tentative="1">
      <w:start w:val="1"/>
      <w:numFmt w:val="bullet"/>
      <w:lvlText w:val=""/>
      <w:lvlJc w:val="left"/>
      <w:pPr>
        <w:ind w:left="3243" w:hanging="360"/>
      </w:pPr>
      <w:rPr>
        <w:rFonts w:ascii="Wingdings" w:hAnsi="Wingdings" w:hint="default"/>
      </w:rPr>
    </w:lvl>
    <w:lvl w:ilvl="3" w:tplc="04050001" w:tentative="1">
      <w:start w:val="1"/>
      <w:numFmt w:val="bullet"/>
      <w:lvlText w:val=""/>
      <w:lvlJc w:val="left"/>
      <w:pPr>
        <w:ind w:left="3963" w:hanging="360"/>
      </w:pPr>
      <w:rPr>
        <w:rFonts w:ascii="Symbol" w:hAnsi="Symbol" w:hint="default"/>
      </w:rPr>
    </w:lvl>
    <w:lvl w:ilvl="4" w:tplc="04050003" w:tentative="1">
      <w:start w:val="1"/>
      <w:numFmt w:val="bullet"/>
      <w:lvlText w:val="o"/>
      <w:lvlJc w:val="left"/>
      <w:pPr>
        <w:ind w:left="4683" w:hanging="360"/>
      </w:pPr>
      <w:rPr>
        <w:rFonts w:ascii="Courier New" w:hAnsi="Courier New" w:cs="Courier New" w:hint="default"/>
      </w:rPr>
    </w:lvl>
    <w:lvl w:ilvl="5" w:tplc="04050005" w:tentative="1">
      <w:start w:val="1"/>
      <w:numFmt w:val="bullet"/>
      <w:lvlText w:val=""/>
      <w:lvlJc w:val="left"/>
      <w:pPr>
        <w:ind w:left="5403" w:hanging="360"/>
      </w:pPr>
      <w:rPr>
        <w:rFonts w:ascii="Wingdings" w:hAnsi="Wingdings" w:hint="default"/>
      </w:rPr>
    </w:lvl>
    <w:lvl w:ilvl="6" w:tplc="04050001" w:tentative="1">
      <w:start w:val="1"/>
      <w:numFmt w:val="bullet"/>
      <w:lvlText w:val=""/>
      <w:lvlJc w:val="left"/>
      <w:pPr>
        <w:ind w:left="6123" w:hanging="360"/>
      </w:pPr>
      <w:rPr>
        <w:rFonts w:ascii="Symbol" w:hAnsi="Symbol" w:hint="default"/>
      </w:rPr>
    </w:lvl>
    <w:lvl w:ilvl="7" w:tplc="04050003" w:tentative="1">
      <w:start w:val="1"/>
      <w:numFmt w:val="bullet"/>
      <w:lvlText w:val="o"/>
      <w:lvlJc w:val="left"/>
      <w:pPr>
        <w:ind w:left="6843" w:hanging="360"/>
      </w:pPr>
      <w:rPr>
        <w:rFonts w:ascii="Courier New" w:hAnsi="Courier New" w:cs="Courier New" w:hint="default"/>
      </w:rPr>
    </w:lvl>
    <w:lvl w:ilvl="8" w:tplc="04050005" w:tentative="1">
      <w:start w:val="1"/>
      <w:numFmt w:val="bullet"/>
      <w:lvlText w:val=""/>
      <w:lvlJc w:val="left"/>
      <w:pPr>
        <w:ind w:left="7563" w:hanging="360"/>
      </w:pPr>
      <w:rPr>
        <w:rFonts w:ascii="Wingdings" w:hAnsi="Wingdings" w:hint="default"/>
      </w:rPr>
    </w:lvl>
  </w:abstractNum>
  <w:abstractNum w:abstractNumId="43" w15:restartNumberingAfterBreak="0">
    <w:nsid w:val="0717B226"/>
    <w:multiLevelType w:val="hybridMultilevel"/>
    <w:tmpl w:val="E3BE917E"/>
    <w:lvl w:ilvl="0" w:tplc="3AE261A0">
      <w:start w:val="1"/>
      <w:numFmt w:val="bullet"/>
      <w:lvlText w:val="•"/>
      <w:lvlJc w:val="left"/>
    </w:lvl>
    <w:lvl w:ilvl="1" w:tplc="C2E6924E">
      <w:numFmt w:val="decimal"/>
      <w:lvlText w:val=""/>
      <w:lvlJc w:val="left"/>
    </w:lvl>
    <w:lvl w:ilvl="2" w:tplc="2612C774">
      <w:numFmt w:val="decimal"/>
      <w:lvlText w:val=""/>
      <w:lvlJc w:val="left"/>
    </w:lvl>
    <w:lvl w:ilvl="3" w:tplc="6B8A2940">
      <w:numFmt w:val="decimal"/>
      <w:lvlText w:val=""/>
      <w:lvlJc w:val="left"/>
    </w:lvl>
    <w:lvl w:ilvl="4" w:tplc="F3D6D916">
      <w:numFmt w:val="decimal"/>
      <w:lvlText w:val=""/>
      <w:lvlJc w:val="left"/>
    </w:lvl>
    <w:lvl w:ilvl="5" w:tplc="D5AA7156">
      <w:numFmt w:val="decimal"/>
      <w:lvlText w:val=""/>
      <w:lvlJc w:val="left"/>
    </w:lvl>
    <w:lvl w:ilvl="6" w:tplc="7A2A3FA2">
      <w:numFmt w:val="decimal"/>
      <w:lvlText w:val=""/>
      <w:lvlJc w:val="left"/>
    </w:lvl>
    <w:lvl w:ilvl="7" w:tplc="8444C282">
      <w:numFmt w:val="decimal"/>
      <w:lvlText w:val=""/>
      <w:lvlJc w:val="left"/>
    </w:lvl>
    <w:lvl w:ilvl="8" w:tplc="8000ED6E">
      <w:numFmt w:val="decimal"/>
      <w:lvlText w:val=""/>
      <w:lvlJc w:val="left"/>
    </w:lvl>
  </w:abstractNum>
  <w:abstractNum w:abstractNumId="44" w15:restartNumberingAfterBreak="0">
    <w:nsid w:val="0792A9DB"/>
    <w:multiLevelType w:val="hybridMultilevel"/>
    <w:tmpl w:val="E1D6839A"/>
    <w:lvl w:ilvl="0" w:tplc="40AA24A6">
      <w:start w:val="1"/>
      <w:numFmt w:val="bullet"/>
      <w:lvlText w:val="·"/>
      <w:lvlJc w:val="left"/>
    </w:lvl>
    <w:lvl w:ilvl="1" w:tplc="74B6EE26">
      <w:start w:val="15"/>
      <w:numFmt w:val="upperLetter"/>
      <w:lvlText w:val="%2"/>
      <w:lvlJc w:val="left"/>
    </w:lvl>
    <w:lvl w:ilvl="2" w:tplc="DDE2C15C">
      <w:numFmt w:val="decimal"/>
      <w:lvlText w:val=""/>
      <w:lvlJc w:val="left"/>
    </w:lvl>
    <w:lvl w:ilvl="3" w:tplc="829C21D6">
      <w:numFmt w:val="decimal"/>
      <w:lvlText w:val=""/>
      <w:lvlJc w:val="left"/>
    </w:lvl>
    <w:lvl w:ilvl="4" w:tplc="7B32905A">
      <w:numFmt w:val="decimal"/>
      <w:lvlText w:val=""/>
      <w:lvlJc w:val="left"/>
    </w:lvl>
    <w:lvl w:ilvl="5" w:tplc="571E92E4">
      <w:numFmt w:val="decimal"/>
      <w:lvlText w:val=""/>
      <w:lvlJc w:val="left"/>
    </w:lvl>
    <w:lvl w:ilvl="6" w:tplc="D9705C56">
      <w:numFmt w:val="decimal"/>
      <w:lvlText w:val=""/>
      <w:lvlJc w:val="left"/>
    </w:lvl>
    <w:lvl w:ilvl="7" w:tplc="D8C219F8">
      <w:numFmt w:val="decimal"/>
      <w:lvlText w:val=""/>
      <w:lvlJc w:val="left"/>
    </w:lvl>
    <w:lvl w:ilvl="8" w:tplc="A70E35E6">
      <w:numFmt w:val="decimal"/>
      <w:lvlText w:val=""/>
      <w:lvlJc w:val="left"/>
    </w:lvl>
  </w:abstractNum>
  <w:abstractNum w:abstractNumId="45" w15:restartNumberingAfterBreak="0">
    <w:nsid w:val="07BD1DCF"/>
    <w:multiLevelType w:val="hybridMultilevel"/>
    <w:tmpl w:val="8CFE619A"/>
    <w:lvl w:ilvl="0" w:tplc="B16AC9B0">
      <w:start w:val="15"/>
      <w:numFmt w:val="lowerLetter"/>
      <w:lvlText w:val="%1"/>
      <w:lvlJc w:val="left"/>
    </w:lvl>
    <w:lvl w:ilvl="1" w:tplc="11183BA8">
      <w:numFmt w:val="decimal"/>
      <w:lvlText w:val=""/>
      <w:lvlJc w:val="left"/>
    </w:lvl>
    <w:lvl w:ilvl="2" w:tplc="04E2D406">
      <w:numFmt w:val="decimal"/>
      <w:lvlText w:val=""/>
      <w:lvlJc w:val="left"/>
    </w:lvl>
    <w:lvl w:ilvl="3" w:tplc="9A60FAB8">
      <w:numFmt w:val="decimal"/>
      <w:lvlText w:val=""/>
      <w:lvlJc w:val="left"/>
    </w:lvl>
    <w:lvl w:ilvl="4" w:tplc="27A8A41A">
      <w:numFmt w:val="decimal"/>
      <w:lvlText w:val=""/>
      <w:lvlJc w:val="left"/>
    </w:lvl>
    <w:lvl w:ilvl="5" w:tplc="29AC2414">
      <w:numFmt w:val="decimal"/>
      <w:lvlText w:val=""/>
      <w:lvlJc w:val="left"/>
    </w:lvl>
    <w:lvl w:ilvl="6" w:tplc="6E7047DA">
      <w:numFmt w:val="decimal"/>
      <w:lvlText w:val=""/>
      <w:lvlJc w:val="left"/>
    </w:lvl>
    <w:lvl w:ilvl="7" w:tplc="E77ADC70">
      <w:numFmt w:val="decimal"/>
      <w:lvlText w:val=""/>
      <w:lvlJc w:val="left"/>
    </w:lvl>
    <w:lvl w:ilvl="8" w:tplc="499A2586">
      <w:numFmt w:val="decimal"/>
      <w:lvlText w:val=""/>
      <w:lvlJc w:val="left"/>
    </w:lvl>
  </w:abstractNum>
  <w:abstractNum w:abstractNumId="46" w15:restartNumberingAfterBreak="0">
    <w:nsid w:val="07E7C514"/>
    <w:multiLevelType w:val="hybridMultilevel"/>
    <w:tmpl w:val="8C7E6340"/>
    <w:lvl w:ilvl="0" w:tplc="1D4E7E98">
      <w:start w:val="1"/>
      <w:numFmt w:val="decimal"/>
      <w:lvlText w:val="%1."/>
      <w:lvlJc w:val="left"/>
    </w:lvl>
    <w:lvl w:ilvl="1" w:tplc="F0849108">
      <w:start w:val="1"/>
      <w:numFmt w:val="bullet"/>
      <w:lvlText w:val="-"/>
      <w:lvlJc w:val="left"/>
    </w:lvl>
    <w:lvl w:ilvl="2" w:tplc="4FCEF25A">
      <w:numFmt w:val="decimal"/>
      <w:lvlText w:val=""/>
      <w:lvlJc w:val="left"/>
    </w:lvl>
    <w:lvl w:ilvl="3" w:tplc="22B02D34">
      <w:numFmt w:val="decimal"/>
      <w:lvlText w:val=""/>
      <w:lvlJc w:val="left"/>
    </w:lvl>
    <w:lvl w:ilvl="4" w:tplc="9D741674">
      <w:numFmt w:val="decimal"/>
      <w:lvlText w:val=""/>
      <w:lvlJc w:val="left"/>
    </w:lvl>
    <w:lvl w:ilvl="5" w:tplc="D9DE9B38">
      <w:numFmt w:val="decimal"/>
      <w:lvlText w:val=""/>
      <w:lvlJc w:val="left"/>
    </w:lvl>
    <w:lvl w:ilvl="6" w:tplc="4F1098BE">
      <w:numFmt w:val="decimal"/>
      <w:lvlText w:val=""/>
      <w:lvlJc w:val="left"/>
    </w:lvl>
    <w:lvl w:ilvl="7" w:tplc="41B8A2DC">
      <w:numFmt w:val="decimal"/>
      <w:lvlText w:val=""/>
      <w:lvlJc w:val="left"/>
    </w:lvl>
    <w:lvl w:ilvl="8" w:tplc="82D47960">
      <w:numFmt w:val="decimal"/>
      <w:lvlText w:val=""/>
      <w:lvlJc w:val="left"/>
    </w:lvl>
  </w:abstractNum>
  <w:abstractNum w:abstractNumId="47" w15:restartNumberingAfterBreak="0">
    <w:nsid w:val="07F1CC41"/>
    <w:multiLevelType w:val="hybridMultilevel"/>
    <w:tmpl w:val="BB646DBE"/>
    <w:lvl w:ilvl="0" w:tplc="8142480A">
      <w:start w:val="1"/>
      <w:numFmt w:val="lowerLetter"/>
      <w:lvlText w:val="%1)"/>
      <w:lvlJc w:val="left"/>
    </w:lvl>
    <w:lvl w:ilvl="1" w:tplc="013EF686">
      <w:start w:val="1"/>
      <w:numFmt w:val="bullet"/>
      <w:lvlText w:val="-"/>
      <w:lvlJc w:val="left"/>
    </w:lvl>
    <w:lvl w:ilvl="2" w:tplc="F7B6C462">
      <w:numFmt w:val="decimal"/>
      <w:lvlText w:val=""/>
      <w:lvlJc w:val="left"/>
    </w:lvl>
    <w:lvl w:ilvl="3" w:tplc="70224438">
      <w:numFmt w:val="decimal"/>
      <w:lvlText w:val=""/>
      <w:lvlJc w:val="left"/>
    </w:lvl>
    <w:lvl w:ilvl="4" w:tplc="A36264BC">
      <w:numFmt w:val="decimal"/>
      <w:lvlText w:val=""/>
      <w:lvlJc w:val="left"/>
    </w:lvl>
    <w:lvl w:ilvl="5" w:tplc="DA8E0F66">
      <w:numFmt w:val="decimal"/>
      <w:lvlText w:val=""/>
      <w:lvlJc w:val="left"/>
    </w:lvl>
    <w:lvl w:ilvl="6" w:tplc="2FCAD608">
      <w:numFmt w:val="decimal"/>
      <w:lvlText w:val=""/>
      <w:lvlJc w:val="left"/>
    </w:lvl>
    <w:lvl w:ilvl="7" w:tplc="A3C40716">
      <w:numFmt w:val="decimal"/>
      <w:lvlText w:val=""/>
      <w:lvlJc w:val="left"/>
    </w:lvl>
    <w:lvl w:ilvl="8" w:tplc="3CC8198C">
      <w:numFmt w:val="decimal"/>
      <w:lvlText w:val=""/>
      <w:lvlJc w:val="left"/>
    </w:lvl>
  </w:abstractNum>
  <w:abstractNum w:abstractNumId="48" w15:restartNumberingAfterBreak="0">
    <w:nsid w:val="081D416A"/>
    <w:multiLevelType w:val="hybridMultilevel"/>
    <w:tmpl w:val="C648407E"/>
    <w:lvl w:ilvl="0" w:tplc="B420DF62">
      <w:start w:val="1"/>
      <w:numFmt w:val="bullet"/>
      <w:lvlText w:val="•"/>
      <w:lvlJc w:val="left"/>
    </w:lvl>
    <w:lvl w:ilvl="1" w:tplc="4E3A7716">
      <w:numFmt w:val="decimal"/>
      <w:lvlText w:val=""/>
      <w:lvlJc w:val="left"/>
    </w:lvl>
    <w:lvl w:ilvl="2" w:tplc="F6B6617E">
      <w:numFmt w:val="decimal"/>
      <w:lvlText w:val=""/>
      <w:lvlJc w:val="left"/>
    </w:lvl>
    <w:lvl w:ilvl="3" w:tplc="B32E6588">
      <w:numFmt w:val="decimal"/>
      <w:lvlText w:val=""/>
      <w:lvlJc w:val="left"/>
    </w:lvl>
    <w:lvl w:ilvl="4" w:tplc="9CE452E8">
      <w:numFmt w:val="decimal"/>
      <w:lvlText w:val=""/>
      <w:lvlJc w:val="left"/>
    </w:lvl>
    <w:lvl w:ilvl="5" w:tplc="02C6B670">
      <w:numFmt w:val="decimal"/>
      <w:lvlText w:val=""/>
      <w:lvlJc w:val="left"/>
    </w:lvl>
    <w:lvl w:ilvl="6" w:tplc="7A64E5B4">
      <w:numFmt w:val="decimal"/>
      <w:lvlText w:val=""/>
      <w:lvlJc w:val="left"/>
    </w:lvl>
    <w:lvl w:ilvl="7" w:tplc="B288C00E">
      <w:numFmt w:val="decimal"/>
      <w:lvlText w:val=""/>
      <w:lvlJc w:val="left"/>
    </w:lvl>
    <w:lvl w:ilvl="8" w:tplc="5928EB92">
      <w:numFmt w:val="decimal"/>
      <w:lvlText w:val=""/>
      <w:lvlJc w:val="left"/>
    </w:lvl>
  </w:abstractNum>
  <w:abstractNum w:abstractNumId="49" w15:restartNumberingAfterBreak="0">
    <w:nsid w:val="083C5851"/>
    <w:multiLevelType w:val="hybridMultilevel"/>
    <w:tmpl w:val="15D04E9A"/>
    <w:lvl w:ilvl="0" w:tplc="F08CF0FC">
      <w:start w:val="1"/>
      <w:numFmt w:val="bullet"/>
      <w:lvlText w:val="•"/>
      <w:lvlJc w:val="left"/>
    </w:lvl>
    <w:lvl w:ilvl="1" w:tplc="7D708E7E">
      <w:numFmt w:val="decimal"/>
      <w:lvlText w:val=""/>
      <w:lvlJc w:val="left"/>
    </w:lvl>
    <w:lvl w:ilvl="2" w:tplc="1C8CACEC">
      <w:numFmt w:val="decimal"/>
      <w:lvlText w:val=""/>
      <w:lvlJc w:val="left"/>
    </w:lvl>
    <w:lvl w:ilvl="3" w:tplc="821840DC">
      <w:numFmt w:val="decimal"/>
      <w:lvlText w:val=""/>
      <w:lvlJc w:val="left"/>
    </w:lvl>
    <w:lvl w:ilvl="4" w:tplc="97E2441C">
      <w:numFmt w:val="decimal"/>
      <w:lvlText w:val=""/>
      <w:lvlJc w:val="left"/>
    </w:lvl>
    <w:lvl w:ilvl="5" w:tplc="3E68768A">
      <w:numFmt w:val="decimal"/>
      <w:lvlText w:val=""/>
      <w:lvlJc w:val="left"/>
    </w:lvl>
    <w:lvl w:ilvl="6" w:tplc="252C66C2">
      <w:numFmt w:val="decimal"/>
      <w:lvlText w:val=""/>
      <w:lvlJc w:val="left"/>
    </w:lvl>
    <w:lvl w:ilvl="7" w:tplc="9712019C">
      <w:numFmt w:val="decimal"/>
      <w:lvlText w:val=""/>
      <w:lvlJc w:val="left"/>
    </w:lvl>
    <w:lvl w:ilvl="8" w:tplc="40AE9F66">
      <w:numFmt w:val="decimal"/>
      <w:lvlText w:val=""/>
      <w:lvlJc w:val="left"/>
    </w:lvl>
  </w:abstractNum>
  <w:abstractNum w:abstractNumId="50" w15:restartNumberingAfterBreak="0">
    <w:nsid w:val="084467D2"/>
    <w:multiLevelType w:val="hybridMultilevel"/>
    <w:tmpl w:val="CE38C3FC"/>
    <w:lvl w:ilvl="0" w:tplc="24461738">
      <w:start w:val="15"/>
      <w:numFmt w:val="lowerLetter"/>
      <w:lvlText w:val="%1"/>
      <w:lvlJc w:val="left"/>
    </w:lvl>
    <w:lvl w:ilvl="1" w:tplc="09E262DC">
      <w:numFmt w:val="decimal"/>
      <w:lvlText w:val=""/>
      <w:lvlJc w:val="left"/>
    </w:lvl>
    <w:lvl w:ilvl="2" w:tplc="E9EA5724">
      <w:numFmt w:val="decimal"/>
      <w:lvlText w:val=""/>
      <w:lvlJc w:val="left"/>
    </w:lvl>
    <w:lvl w:ilvl="3" w:tplc="766C75C4">
      <w:numFmt w:val="decimal"/>
      <w:lvlText w:val=""/>
      <w:lvlJc w:val="left"/>
    </w:lvl>
    <w:lvl w:ilvl="4" w:tplc="6C24FE14">
      <w:numFmt w:val="decimal"/>
      <w:lvlText w:val=""/>
      <w:lvlJc w:val="left"/>
    </w:lvl>
    <w:lvl w:ilvl="5" w:tplc="ECB0AEB4">
      <w:numFmt w:val="decimal"/>
      <w:lvlText w:val=""/>
      <w:lvlJc w:val="left"/>
    </w:lvl>
    <w:lvl w:ilvl="6" w:tplc="AFA27C7C">
      <w:numFmt w:val="decimal"/>
      <w:lvlText w:val=""/>
      <w:lvlJc w:val="left"/>
    </w:lvl>
    <w:lvl w:ilvl="7" w:tplc="485C80D4">
      <w:numFmt w:val="decimal"/>
      <w:lvlText w:val=""/>
      <w:lvlJc w:val="left"/>
    </w:lvl>
    <w:lvl w:ilvl="8" w:tplc="C46E5812">
      <w:numFmt w:val="decimal"/>
      <w:lvlText w:val=""/>
      <w:lvlJc w:val="left"/>
    </w:lvl>
  </w:abstractNum>
  <w:abstractNum w:abstractNumId="51" w15:restartNumberingAfterBreak="0">
    <w:nsid w:val="086DCA90"/>
    <w:multiLevelType w:val="hybridMultilevel"/>
    <w:tmpl w:val="0C1C129C"/>
    <w:lvl w:ilvl="0" w:tplc="3C5E4CF4">
      <w:start w:val="1"/>
      <w:numFmt w:val="bullet"/>
      <w:lvlText w:val="•"/>
      <w:lvlJc w:val="left"/>
    </w:lvl>
    <w:lvl w:ilvl="1" w:tplc="B61CE042">
      <w:numFmt w:val="decimal"/>
      <w:lvlText w:val=""/>
      <w:lvlJc w:val="left"/>
    </w:lvl>
    <w:lvl w:ilvl="2" w:tplc="CFCEB4E4">
      <w:numFmt w:val="decimal"/>
      <w:lvlText w:val=""/>
      <w:lvlJc w:val="left"/>
    </w:lvl>
    <w:lvl w:ilvl="3" w:tplc="203E39CA">
      <w:numFmt w:val="decimal"/>
      <w:lvlText w:val=""/>
      <w:lvlJc w:val="left"/>
    </w:lvl>
    <w:lvl w:ilvl="4" w:tplc="6922CC40">
      <w:numFmt w:val="decimal"/>
      <w:lvlText w:val=""/>
      <w:lvlJc w:val="left"/>
    </w:lvl>
    <w:lvl w:ilvl="5" w:tplc="4CF24C74">
      <w:numFmt w:val="decimal"/>
      <w:lvlText w:val=""/>
      <w:lvlJc w:val="left"/>
    </w:lvl>
    <w:lvl w:ilvl="6" w:tplc="82DEF6A0">
      <w:numFmt w:val="decimal"/>
      <w:lvlText w:val=""/>
      <w:lvlJc w:val="left"/>
    </w:lvl>
    <w:lvl w:ilvl="7" w:tplc="E1C4D032">
      <w:numFmt w:val="decimal"/>
      <w:lvlText w:val=""/>
      <w:lvlJc w:val="left"/>
    </w:lvl>
    <w:lvl w:ilvl="8" w:tplc="849615F4">
      <w:numFmt w:val="decimal"/>
      <w:lvlText w:val=""/>
      <w:lvlJc w:val="left"/>
    </w:lvl>
  </w:abstractNum>
  <w:abstractNum w:abstractNumId="52" w15:restartNumberingAfterBreak="0">
    <w:nsid w:val="08A29A69"/>
    <w:multiLevelType w:val="hybridMultilevel"/>
    <w:tmpl w:val="80D277BE"/>
    <w:lvl w:ilvl="0" w:tplc="2004AB6E">
      <w:start w:val="3"/>
      <w:numFmt w:val="decimal"/>
      <w:lvlText w:val="%1."/>
      <w:lvlJc w:val="left"/>
    </w:lvl>
    <w:lvl w:ilvl="1" w:tplc="08B20AB0">
      <w:start w:val="15"/>
      <w:numFmt w:val="lowerLetter"/>
      <w:lvlText w:val="%2"/>
      <w:lvlJc w:val="left"/>
    </w:lvl>
    <w:lvl w:ilvl="2" w:tplc="5D6A28D4">
      <w:numFmt w:val="decimal"/>
      <w:lvlText w:val=""/>
      <w:lvlJc w:val="left"/>
    </w:lvl>
    <w:lvl w:ilvl="3" w:tplc="BAAA9D24">
      <w:numFmt w:val="decimal"/>
      <w:lvlText w:val=""/>
      <w:lvlJc w:val="left"/>
    </w:lvl>
    <w:lvl w:ilvl="4" w:tplc="0C569AF8">
      <w:numFmt w:val="decimal"/>
      <w:lvlText w:val=""/>
      <w:lvlJc w:val="left"/>
    </w:lvl>
    <w:lvl w:ilvl="5" w:tplc="AC18804C">
      <w:numFmt w:val="decimal"/>
      <w:lvlText w:val=""/>
      <w:lvlJc w:val="left"/>
    </w:lvl>
    <w:lvl w:ilvl="6" w:tplc="40961AD0">
      <w:numFmt w:val="decimal"/>
      <w:lvlText w:val=""/>
      <w:lvlJc w:val="left"/>
    </w:lvl>
    <w:lvl w:ilvl="7" w:tplc="1F428DAE">
      <w:numFmt w:val="decimal"/>
      <w:lvlText w:val=""/>
      <w:lvlJc w:val="left"/>
    </w:lvl>
    <w:lvl w:ilvl="8" w:tplc="EEC47EDA">
      <w:numFmt w:val="decimal"/>
      <w:lvlText w:val=""/>
      <w:lvlJc w:val="left"/>
    </w:lvl>
  </w:abstractNum>
  <w:abstractNum w:abstractNumId="53" w15:restartNumberingAfterBreak="0">
    <w:nsid w:val="08A75F95"/>
    <w:multiLevelType w:val="hybridMultilevel"/>
    <w:tmpl w:val="9F6CA0B4"/>
    <w:lvl w:ilvl="0" w:tplc="ADD42708">
      <w:start w:val="1"/>
      <w:numFmt w:val="bullet"/>
      <w:lvlText w:val="•"/>
      <w:lvlJc w:val="left"/>
    </w:lvl>
    <w:lvl w:ilvl="1" w:tplc="DF1E3942">
      <w:numFmt w:val="decimal"/>
      <w:lvlText w:val=""/>
      <w:lvlJc w:val="left"/>
    </w:lvl>
    <w:lvl w:ilvl="2" w:tplc="EAC6759A">
      <w:numFmt w:val="decimal"/>
      <w:lvlText w:val=""/>
      <w:lvlJc w:val="left"/>
    </w:lvl>
    <w:lvl w:ilvl="3" w:tplc="FF9233D2">
      <w:numFmt w:val="decimal"/>
      <w:lvlText w:val=""/>
      <w:lvlJc w:val="left"/>
    </w:lvl>
    <w:lvl w:ilvl="4" w:tplc="5C72DC8C">
      <w:numFmt w:val="decimal"/>
      <w:lvlText w:val=""/>
      <w:lvlJc w:val="left"/>
    </w:lvl>
    <w:lvl w:ilvl="5" w:tplc="9244DAC2">
      <w:numFmt w:val="decimal"/>
      <w:lvlText w:val=""/>
      <w:lvlJc w:val="left"/>
    </w:lvl>
    <w:lvl w:ilvl="6" w:tplc="D390B76C">
      <w:numFmt w:val="decimal"/>
      <w:lvlText w:val=""/>
      <w:lvlJc w:val="left"/>
    </w:lvl>
    <w:lvl w:ilvl="7" w:tplc="1FBA8250">
      <w:numFmt w:val="decimal"/>
      <w:lvlText w:val=""/>
      <w:lvlJc w:val="left"/>
    </w:lvl>
    <w:lvl w:ilvl="8" w:tplc="9948D3CE">
      <w:numFmt w:val="decimal"/>
      <w:lvlText w:val=""/>
      <w:lvlJc w:val="left"/>
    </w:lvl>
  </w:abstractNum>
  <w:abstractNum w:abstractNumId="54" w15:restartNumberingAfterBreak="0">
    <w:nsid w:val="08AA4358"/>
    <w:multiLevelType w:val="hybridMultilevel"/>
    <w:tmpl w:val="D324B2DA"/>
    <w:lvl w:ilvl="0" w:tplc="F2AA1538">
      <w:start w:val="1"/>
      <w:numFmt w:val="bullet"/>
      <w:lvlText w:val="-"/>
      <w:lvlJc w:val="left"/>
    </w:lvl>
    <w:lvl w:ilvl="1" w:tplc="83D87016">
      <w:numFmt w:val="decimal"/>
      <w:lvlText w:val=""/>
      <w:lvlJc w:val="left"/>
    </w:lvl>
    <w:lvl w:ilvl="2" w:tplc="6D62EC06">
      <w:numFmt w:val="decimal"/>
      <w:lvlText w:val=""/>
      <w:lvlJc w:val="left"/>
    </w:lvl>
    <w:lvl w:ilvl="3" w:tplc="644C12F8">
      <w:numFmt w:val="decimal"/>
      <w:lvlText w:val=""/>
      <w:lvlJc w:val="left"/>
    </w:lvl>
    <w:lvl w:ilvl="4" w:tplc="0F8CF0BE">
      <w:numFmt w:val="decimal"/>
      <w:lvlText w:val=""/>
      <w:lvlJc w:val="left"/>
    </w:lvl>
    <w:lvl w:ilvl="5" w:tplc="2DE8A0C2">
      <w:numFmt w:val="decimal"/>
      <w:lvlText w:val=""/>
      <w:lvlJc w:val="left"/>
    </w:lvl>
    <w:lvl w:ilvl="6" w:tplc="A6C0933C">
      <w:numFmt w:val="decimal"/>
      <w:lvlText w:val=""/>
      <w:lvlJc w:val="left"/>
    </w:lvl>
    <w:lvl w:ilvl="7" w:tplc="F08820B0">
      <w:numFmt w:val="decimal"/>
      <w:lvlText w:val=""/>
      <w:lvlJc w:val="left"/>
    </w:lvl>
    <w:lvl w:ilvl="8" w:tplc="50A8D528">
      <w:numFmt w:val="decimal"/>
      <w:lvlText w:val=""/>
      <w:lvlJc w:val="left"/>
    </w:lvl>
  </w:abstractNum>
  <w:abstractNum w:abstractNumId="55" w15:restartNumberingAfterBreak="0">
    <w:nsid w:val="08F3EAE3"/>
    <w:multiLevelType w:val="hybridMultilevel"/>
    <w:tmpl w:val="AE0A3328"/>
    <w:lvl w:ilvl="0" w:tplc="04F68A78">
      <w:start w:val="1"/>
      <w:numFmt w:val="bullet"/>
      <w:lvlText w:val="="/>
      <w:lvlJc w:val="left"/>
    </w:lvl>
    <w:lvl w:ilvl="1" w:tplc="81FABCE6">
      <w:numFmt w:val="decimal"/>
      <w:lvlText w:val=""/>
      <w:lvlJc w:val="left"/>
    </w:lvl>
    <w:lvl w:ilvl="2" w:tplc="33F0D572">
      <w:numFmt w:val="decimal"/>
      <w:lvlText w:val=""/>
      <w:lvlJc w:val="left"/>
    </w:lvl>
    <w:lvl w:ilvl="3" w:tplc="37E6C3C0">
      <w:numFmt w:val="decimal"/>
      <w:lvlText w:val=""/>
      <w:lvlJc w:val="left"/>
    </w:lvl>
    <w:lvl w:ilvl="4" w:tplc="2AC2BB2E">
      <w:numFmt w:val="decimal"/>
      <w:lvlText w:val=""/>
      <w:lvlJc w:val="left"/>
    </w:lvl>
    <w:lvl w:ilvl="5" w:tplc="5628BDB2">
      <w:numFmt w:val="decimal"/>
      <w:lvlText w:val=""/>
      <w:lvlJc w:val="left"/>
    </w:lvl>
    <w:lvl w:ilvl="6" w:tplc="0846D126">
      <w:numFmt w:val="decimal"/>
      <w:lvlText w:val=""/>
      <w:lvlJc w:val="left"/>
    </w:lvl>
    <w:lvl w:ilvl="7" w:tplc="28DCC6C6">
      <w:numFmt w:val="decimal"/>
      <w:lvlText w:val=""/>
      <w:lvlJc w:val="left"/>
    </w:lvl>
    <w:lvl w:ilvl="8" w:tplc="34F03C2A">
      <w:numFmt w:val="decimal"/>
      <w:lvlText w:val=""/>
      <w:lvlJc w:val="left"/>
    </w:lvl>
  </w:abstractNum>
  <w:abstractNum w:abstractNumId="56" w15:restartNumberingAfterBreak="0">
    <w:nsid w:val="097AB90E"/>
    <w:multiLevelType w:val="hybridMultilevel"/>
    <w:tmpl w:val="41560E1C"/>
    <w:lvl w:ilvl="0" w:tplc="C21895FA">
      <w:start w:val="1"/>
      <w:numFmt w:val="bullet"/>
      <w:lvlText w:val="•"/>
      <w:lvlJc w:val="left"/>
    </w:lvl>
    <w:lvl w:ilvl="1" w:tplc="11F425D0">
      <w:numFmt w:val="decimal"/>
      <w:lvlText w:val=""/>
      <w:lvlJc w:val="left"/>
    </w:lvl>
    <w:lvl w:ilvl="2" w:tplc="04163714">
      <w:numFmt w:val="decimal"/>
      <w:lvlText w:val=""/>
      <w:lvlJc w:val="left"/>
    </w:lvl>
    <w:lvl w:ilvl="3" w:tplc="4D7C1ABE">
      <w:numFmt w:val="decimal"/>
      <w:lvlText w:val=""/>
      <w:lvlJc w:val="left"/>
    </w:lvl>
    <w:lvl w:ilvl="4" w:tplc="4EC8D3AA">
      <w:numFmt w:val="decimal"/>
      <w:lvlText w:val=""/>
      <w:lvlJc w:val="left"/>
    </w:lvl>
    <w:lvl w:ilvl="5" w:tplc="D338ABE4">
      <w:numFmt w:val="decimal"/>
      <w:lvlText w:val=""/>
      <w:lvlJc w:val="left"/>
    </w:lvl>
    <w:lvl w:ilvl="6" w:tplc="D2627856">
      <w:numFmt w:val="decimal"/>
      <w:lvlText w:val=""/>
      <w:lvlJc w:val="left"/>
    </w:lvl>
    <w:lvl w:ilvl="7" w:tplc="F094F2C0">
      <w:numFmt w:val="decimal"/>
      <w:lvlText w:val=""/>
      <w:lvlJc w:val="left"/>
    </w:lvl>
    <w:lvl w:ilvl="8" w:tplc="3446E50C">
      <w:numFmt w:val="decimal"/>
      <w:lvlText w:val=""/>
      <w:lvlJc w:val="left"/>
    </w:lvl>
  </w:abstractNum>
  <w:abstractNum w:abstractNumId="57" w15:restartNumberingAfterBreak="0">
    <w:nsid w:val="09F9D75E"/>
    <w:multiLevelType w:val="hybridMultilevel"/>
    <w:tmpl w:val="7B3A0036"/>
    <w:lvl w:ilvl="0" w:tplc="4EEE6884">
      <w:start w:val="1"/>
      <w:numFmt w:val="bullet"/>
      <w:lvlText w:val="-"/>
      <w:lvlJc w:val="left"/>
    </w:lvl>
    <w:lvl w:ilvl="1" w:tplc="F2EA9C30">
      <w:start w:val="5"/>
      <w:numFmt w:val="decimal"/>
      <w:lvlText w:val="%2)"/>
      <w:lvlJc w:val="left"/>
    </w:lvl>
    <w:lvl w:ilvl="2" w:tplc="59A6BB80">
      <w:numFmt w:val="decimal"/>
      <w:lvlText w:val=""/>
      <w:lvlJc w:val="left"/>
    </w:lvl>
    <w:lvl w:ilvl="3" w:tplc="D83E6030">
      <w:numFmt w:val="decimal"/>
      <w:lvlText w:val=""/>
      <w:lvlJc w:val="left"/>
    </w:lvl>
    <w:lvl w:ilvl="4" w:tplc="9ABE068E">
      <w:numFmt w:val="decimal"/>
      <w:lvlText w:val=""/>
      <w:lvlJc w:val="left"/>
    </w:lvl>
    <w:lvl w:ilvl="5" w:tplc="F6F0FA5A">
      <w:numFmt w:val="decimal"/>
      <w:lvlText w:val=""/>
      <w:lvlJc w:val="left"/>
    </w:lvl>
    <w:lvl w:ilvl="6" w:tplc="FDD09F86">
      <w:numFmt w:val="decimal"/>
      <w:lvlText w:val=""/>
      <w:lvlJc w:val="left"/>
    </w:lvl>
    <w:lvl w:ilvl="7" w:tplc="83AAA2EC">
      <w:numFmt w:val="decimal"/>
      <w:lvlText w:val=""/>
      <w:lvlJc w:val="left"/>
    </w:lvl>
    <w:lvl w:ilvl="8" w:tplc="E0CA29F8">
      <w:numFmt w:val="decimal"/>
      <w:lvlText w:val=""/>
      <w:lvlJc w:val="left"/>
    </w:lvl>
  </w:abstractNum>
  <w:abstractNum w:abstractNumId="58" w15:restartNumberingAfterBreak="0">
    <w:nsid w:val="0A4A062B"/>
    <w:multiLevelType w:val="hybridMultilevel"/>
    <w:tmpl w:val="F0266B6A"/>
    <w:lvl w:ilvl="0" w:tplc="542444FE">
      <w:start w:val="1"/>
      <w:numFmt w:val="bullet"/>
      <w:lvlText w:val="-"/>
      <w:lvlJc w:val="left"/>
    </w:lvl>
    <w:lvl w:ilvl="1" w:tplc="4CBE76AA">
      <w:numFmt w:val="decimal"/>
      <w:lvlText w:val=""/>
      <w:lvlJc w:val="left"/>
    </w:lvl>
    <w:lvl w:ilvl="2" w:tplc="EB0CA802">
      <w:numFmt w:val="decimal"/>
      <w:lvlText w:val=""/>
      <w:lvlJc w:val="left"/>
    </w:lvl>
    <w:lvl w:ilvl="3" w:tplc="CC50C458">
      <w:numFmt w:val="decimal"/>
      <w:lvlText w:val=""/>
      <w:lvlJc w:val="left"/>
    </w:lvl>
    <w:lvl w:ilvl="4" w:tplc="1B443F9C">
      <w:numFmt w:val="decimal"/>
      <w:lvlText w:val=""/>
      <w:lvlJc w:val="left"/>
    </w:lvl>
    <w:lvl w:ilvl="5" w:tplc="9536CE56">
      <w:numFmt w:val="decimal"/>
      <w:lvlText w:val=""/>
      <w:lvlJc w:val="left"/>
    </w:lvl>
    <w:lvl w:ilvl="6" w:tplc="507C2F38">
      <w:numFmt w:val="decimal"/>
      <w:lvlText w:val=""/>
      <w:lvlJc w:val="left"/>
    </w:lvl>
    <w:lvl w:ilvl="7" w:tplc="F600010A">
      <w:numFmt w:val="decimal"/>
      <w:lvlText w:val=""/>
      <w:lvlJc w:val="left"/>
    </w:lvl>
    <w:lvl w:ilvl="8" w:tplc="5376329C">
      <w:numFmt w:val="decimal"/>
      <w:lvlText w:val=""/>
      <w:lvlJc w:val="left"/>
    </w:lvl>
  </w:abstractNum>
  <w:abstractNum w:abstractNumId="59" w15:restartNumberingAfterBreak="0">
    <w:nsid w:val="0A577FD6"/>
    <w:multiLevelType w:val="hybridMultilevel"/>
    <w:tmpl w:val="11DC7548"/>
    <w:lvl w:ilvl="0" w:tplc="CB9A5EFA">
      <w:start w:val="1"/>
      <w:numFmt w:val="bullet"/>
      <w:lvlText w:val="·"/>
      <w:lvlJc w:val="left"/>
    </w:lvl>
    <w:lvl w:ilvl="1" w:tplc="1E5C1AB6">
      <w:numFmt w:val="decimal"/>
      <w:lvlText w:val=""/>
      <w:lvlJc w:val="left"/>
    </w:lvl>
    <w:lvl w:ilvl="2" w:tplc="2DF0A164">
      <w:numFmt w:val="decimal"/>
      <w:lvlText w:val=""/>
      <w:lvlJc w:val="left"/>
    </w:lvl>
    <w:lvl w:ilvl="3" w:tplc="0872640C">
      <w:numFmt w:val="decimal"/>
      <w:lvlText w:val=""/>
      <w:lvlJc w:val="left"/>
    </w:lvl>
    <w:lvl w:ilvl="4" w:tplc="88BE583E">
      <w:numFmt w:val="decimal"/>
      <w:lvlText w:val=""/>
      <w:lvlJc w:val="left"/>
    </w:lvl>
    <w:lvl w:ilvl="5" w:tplc="A04AE3DA">
      <w:numFmt w:val="decimal"/>
      <w:lvlText w:val=""/>
      <w:lvlJc w:val="left"/>
    </w:lvl>
    <w:lvl w:ilvl="6" w:tplc="D99A8D28">
      <w:numFmt w:val="decimal"/>
      <w:lvlText w:val=""/>
      <w:lvlJc w:val="left"/>
    </w:lvl>
    <w:lvl w:ilvl="7" w:tplc="98C66408">
      <w:numFmt w:val="decimal"/>
      <w:lvlText w:val=""/>
      <w:lvlJc w:val="left"/>
    </w:lvl>
    <w:lvl w:ilvl="8" w:tplc="09E05010">
      <w:numFmt w:val="decimal"/>
      <w:lvlText w:val=""/>
      <w:lvlJc w:val="left"/>
    </w:lvl>
  </w:abstractNum>
  <w:abstractNum w:abstractNumId="60" w15:restartNumberingAfterBreak="0">
    <w:nsid w:val="0A91E1DC"/>
    <w:multiLevelType w:val="hybridMultilevel"/>
    <w:tmpl w:val="CE169DD0"/>
    <w:lvl w:ilvl="0" w:tplc="D7042F14">
      <w:start w:val="1"/>
      <w:numFmt w:val="bullet"/>
      <w:lvlText w:val="•"/>
      <w:lvlJc w:val="left"/>
    </w:lvl>
    <w:lvl w:ilvl="1" w:tplc="648CAD2E">
      <w:numFmt w:val="decimal"/>
      <w:lvlText w:val=""/>
      <w:lvlJc w:val="left"/>
    </w:lvl>
    <w:lvl w:ilvl="2" w:tplc="30A69564">
      <w:numFmt w:val="decimal"/>
      <w:lvlText w:val=""/>
      <w:lvlJc w:val="left"/>
    </w:lvl>
    <w:lvl w:ilvl="3" w:tplc="C2AEFEDA">
      <w:numFmt w:val="decimal"/>
      <w:lvlText w:val=""/>
      <w:lvlJc w:val="left"/>
    </w:lvl>
    <w:lvl w:ilvl="4" w:tplc="8EDE7822">
      <w:numFmt w:val="decimal"/>
      <w:lvlText w:val=""/>
      <w:lvlJc w:val="left"/>
    </w:lvl>
    <w:lvl w:ilvl="5" w:tplc="21564B72">
      <w:numFmt w:val="decimal"/>
      <w:lvlText w:val=""/>
      <w:lvlJc w:val="left"/>
    </w:lvl>
    <w:lvl w:ilvl="6" w:tplc="C17C37A2">
      <w:numFmt w:val="decimal"/>
      <w:lvlText w:val=""/>
      <w:lvlJc w:val="left"/>
    </w:lvl>
    <w:lvl w:ilvl="7" w:tplc="A5BA6AEA">
      <w:numFmt w:val="decimal"/>
      <w:lvlText w:val=""/>
      <w:lvlJc w:val="left"/>
    </w:lvl>
    <w:lvl w:ilvl="8" w:tplc="32B0F8F2">
      <w:numFmt w:val="decimal"/>
      <w:lvlText w:val=""/>
      <w:lvlJc w:val="left"/>
    </w:lvl>
  </w:abstractNum>
  <w:abstractNum w:abstractNumId="61" w15:restartNumberingAfterBreak="0">
    <w:nsid w:val="0ACD4C11"/>
    <w:multiLevelType w:val="hybridMultilevel"/>
    <w:tmpl w:val="6CB4D3CE"/>
    <w:lvl w:ilvl="0" w:tplc="3B70B14E">
      <w:start w:val="15"/>
      <w:numFmt w:val="lowerLetter"/>
      <w:lvlText w:val="%1"/>
      <w:lvlJc w:val="left"/>
    </w:lvl>
    <w:lvl w:ilvl="1" w:tplc="AE36DDD0">
      <w:numFmt w:val="decimal"/>
      <w:lvlText w:val=""/>
      <w:lvlJc w:val="left"/>
    </w:lvl>
    <w:lvl w:ilvl="2" w:tplc="FCB8D86C">
      <w:numFmt w:val="decimal"/>
      <w:lvlText w:val=""/>
      <w:lvlJc w:val="left"/>
    </w:lvl>
    <w:lvl w:ilvl="3" w:tplc="65A255FC">
      <w:numFmt w:val="decimal"/>
      <w:lvlText w:val=""/>
      <w:lvlJc w:val="left"/>
    </w:lvl>
    <w:lvl w:ilvl="4" w:tplc="3A683A9C">
      <w:numFmt w:val="decimal"/>
      <w:lvlText w:val=""/>
      <w:lvlJc w:val="left"/>
    </w:lvl>
    <w:lvl w:ilvl="5" w:tplc="C5B689C2">
      <w:numFmt w:val="decimal"/>
      <w:lvlText w:val=""/>
      <w:lvlJc w:val="left"/>
    </w:lvl>
    <w:lvl w:ilvl="6" w:tplc="4EC0B5FE">
      <w:numFmt w:val="decimal"/>
      <w:lvlText w:val=""/>
      <w:lvlJc w:val="left"/>
    </w:lvl>
    <w:lvl w:ilvl="7" w:tplc="52B8E816">
      <w:numFmt w:val="decimal"/>
      <w:lvlText w:val=""/>
      <w:lvlJc w:val="left"/>
    </w:lvl>
    <w:lvl w:ilvl="8" w:tplc="55FE8C8A">
      <w:numFmt w:val="decimal"/>
      <w:lvlText w:val=""/>
      <w:lvlJc w:val="left"/>
    </w:lvl>
  </w:abstractNum>
  <w:abstractNum w:abstractNumId="62" w15:restartNumberingAfterBreak="0">
    <w:nsid w:val="0B6D7A6F"/>
    <w:multiLevelType w:val="hybridMultilevel"/>
    <w:tmpl w:val="AD480DB0"/>
    <w:lvl w:ilvl="0" w:tplc="53CABD30">
      <w:start w:val="1"/>
      <w:numFmt w:val="bullet"/>
      <w:lvlText w:val="-"/>
      <w:lvlJc w:val="left"/>
      <w:pPr>
        <w:ind w:left="720" w:hanging="360"/>
      </w:pPr>
      <w:rPr>
        <w:rFonts w:hint="default"/>
        <w:color w:val="auto"/>
        <w:sz w:val="24"/>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0B726EDC"/>
    <w:multiLevelType w:val="hybridMultilevel"/>
    <w:tmpl w:val="DE32CFBE"/>
    <w:lvl w:ilvl="0" w:tplc="4F72370E">
      <w:start w:val="1"/>
      <w:numFmt w:val="bullet"/>
      <w:lvlText w:val="•"/>
      <w:lvlJc w:val="left"/>
    </w:lvl>
    <w:lvl w:ilvl="1" w:tplc="96049A92">
      <w:numFmt w:val="decimal"/>
      <w:lvlText w:val=""/>
      <w:lvlJc w:val="left"/>
    </w:lvl>
    <w:lvl w:ilvl="2" w:tplc="38B018BA">
      <w:numFmt w:val="decimal"/>
      <w:lvlText w:val=""/>
      <w:lvlJc w:val="left"/>
    </w:lvl>
    <w:lvl w:ilvl="3" w:tplc="E078DC9C">
      <w:numFmt w:val="decimal"/>
      <w:lvlText w:val=""/>
      <w:lvlJc w:val="left"/>
    </w:lvl>
    <w:lvl w:ilvl="4" w:tplc="CA56B964">
      <w:numFmt w:val="decimal"/>
      <w:lvlText w:val=""/>
      <w:lvlJc w:val="left"/>
    </w:lvl>
    <w:lvl w:ilvl="5" w:tplc="E230CDFC">
      <w:numFmt w:val="decimal"/>
      <w:lvlText w:val=""/>
      <w:lvlJc w:val="left"/>
    </w:lvl>
    <w:lvl w:ilvl="6" w:tplc="BBD0921A">
      <w:numFmt w:val="decimal"/>
      <w:lvlText w:val=""/>
      <w:lvlJc w:val="left"/>
    </w:lvl>
    <w:lvl w:ilvl="7" w:tplc="945E616C">
      <w:numFmt w:val="decimal"/>
      <w:lvlText w:val=""/>
      <w:lvlJc w:val="left"/>
    </w:lvl>
    <w:lvl w:ilvl="8" w:tplc="CC02FB92">
      <w:numFmt w:val="decimal"/>
      <w:lvlText w:val=""/>
      <w:lvlJc w:val="left"/>
    </w:lvl>
  </w:abstractNum>
  <w:abstractNum w:abstractNumId="64" w15:restartNumberingAfterBreak="0">
    <w:nsid w:val="0B79D08D"/>
    <w:multiLevelType w:val="hybridMultilevel"/>
    <w:tmpl w:val="BC6AB96E"/>
    <w:lvl w:ilvl="0" w:tplc="427885DE">
      <w:start w:val="1"/>
      <w:numFmt w:val="bullet"/>
      <w:lvlText w:val="•"/>
      <w:lvlJc w:val="left"/>
    </w:lvl>
    <w:lvl w:ilvl="1" w:tplc="0A36046A">
      <w:numFmt w:val="decimal"/>
      <w:lvlText w:val=""/>
      <w:lvlJc w:val="left"/>
    </w:lvl>
    <w:lvl w:ilvl="2" w:tplc="D4B23996">
      <w:numFmt w:val="decimal"/>
      <w:lvlText w:val=""/>
      <w:lvlJc w:val="left"/>
    </w:lvl>
    <w:lvl w:ilvl="3" w:tplc="A8066BC6">
      <w:numFmt w:val="decimal"/>
      <w:lvlText w:val=""/>
      <w:lvlJc w:val="left"/>
    </w:lvl>
    <w:lvl w:ilvl="4" w:tplc="16AC45A0">
      <w:numFmt w:val="decimal"/>
      <w:lvlText w:val=""/>
      <w:lvlJc w:val="left"/>
    </w:lvl>
    <w:lvl w:ilvl="5" w:tplc="6C80F366">
      <w:numFmt w:val="decimal"/>
      <w:lvlText w:val=""/>
      <w:lvlJc w:val="left"/>
    </w:lvl>
    <w:lvl w:ilvl="6" w:tplc="2326DC16">
      <w:numFmt w:val="decimal"/>
      <w:lvlText w:val=""/>
      <w:lvlJc w:val="left"/>
    </w:lvl>
    <w:lvl w:ilvl="7" w:tplc="CB448582">
      <w:numFmt w:val="decimal"/>
      <w:lvlText w:val=""/>
      <w:lvlJc w:val="left"/>
    </w:lvl>
    <w:lvl w:ilvl="8" w:tplc="44B68A80">
      <w:numFmt w:val="decimal"/>
      <w:lvlText w:val=""/>
      <w:lvlJc w:val="left"/>
    </w:lvl>
  </w:abstractNum>
  <w:abstractNum w:abstractNumId="65" w15:restartNumberingAfterBreak="0">
    <w:nsid w:val="0B895EBF"/>
    <w:multiLevelType w:val="hybridMultilevel"/>
    <w:tmpl w:val="11EAA42A"/>
    <w:lvl w:ilvl="0" w:tplc="512EA806">
      <w:start w:val="1"/>
      <w:numFmt w:val="bullet"/>
      <w:lvlText w:val="-"/>
      <w:lvlJc w:val="left"/>
    </w:lvl>
    <w:lvl w:ilvl="1" w:tplc="89526FF2">
      <w:start w:val="22"/>
      <w:numFmt w:val="lowerLetter"/>
      <w:lvlText w:val="%2"/>
      <w:lvlJc w:val="left"/>
    </w:lvl>
    <w:lvl w:ilvl="2" w:tplc="F1362E36">
      <w:numFmt w:val="decimal"/>
      <w:lvlText w:val=""/>
      <w:lvlJc w:val="left"/>
    </w:lvl>
    <w:lvl w:ilvl="3" w:tplc="560EDDA8">
      <w:numFmt w:val="decimal"/>
      <w:lvlText w:val=""/>
      <w:lvlJc w:val="left"/>
    </w:lvl>
    <w:lvl w:ilvl="4" w:tplc="FBC2D33C">
      <w:numFmt w:val="decimal"/>
      <w:lvlText w:val=""/>
      <w:lvlJc w:val="left"/>
    </w:lvl>
    <w:lvl w:ilvl="5" w:tplc="4AAC02C6">
      <w:numFmt w:val="decimal"/>
      <w:lvlText w:val=""/>
      <w:lvlJc w:val="left"/>
    </w:lvl>
    <w:lvl w:ilvl="6" w:tplc="ADF64E36">
      <w:numFmt w:val="decimal"/>
      <w:lvlText w:val=""/>
      <w:lvlJc w:val="left"/>
    </w:lvl>
    <w:lvl w:ilvl="7" w:tplc="03FC1F34">
      <w:numFmt w:val="decimal"/>
      <w:lvlText w:val=""/>
      <w:lvlJc w:val="left"/>
    </w:lvl>
    <w:lvl w:ilvl="8" w:tplc="530A02B6">
      <w:numFmt w:val="decimal"/>
      <w:lvlText w:val=""/>
      <w:lvlJc w:val="left"/>
    </w:lvl>
  </w:abstractNum>
  <w:abstractNum w:abstractNumId="66" w15:restartNumberingAfterBreak="0">
    <w:nsid w:val="0BB02F47"/>
    <w:multiLevelType w:val="hybridMultilevel"/>
    <w:tmpl w:val="AD6ED704"/>
    <w:lvl w:ilvl="0" w:tplc="3A0C5D32">
      <w:start w:val="1"/>
      <w:numFmt w:val="bullet"/>
      <w:lvlText w:val="·"/>
      <w:lvlJc w:val="left"/>
    </w:lvl>
    <w:lvl w:ilvl="1" w:tplc="BE6A755C">
      <w:numFmt w:val="decimal"/>
      <w:lvlText w:val=""/>
      <w:lvlJc w:val="left"/>
    </w:lvl>
    <w:lvl w:ilvl="2" w:tplc="DD72202C">
      <w:numFmt w:val="decimal"/>
      <w:lvlText w:val=""/>
      <w:lvlJc w:val="left"/>
    </w:lvl>
    <w:lvl w:ilvl="3" w:tplc="AFE67974">
      <w:numFmt w:val="decimal"/>
      <w:lvlText w:val=""/>
      <w:lvlJc w:val="left"/>
    </w:lvl>
    <w:lvl w:ilvl="4" w:tplc="B77A5D4A">
      <w:numFmt w:val="decimal"/>
      <w:lvlText w:val=""/>
      <w:lvlJc w:val="left"/>
    </w:lvl>
    <w:lvl w:ilvl="5" w:tplc="33909852">
      <w:numFmt w:val="decimal"/>
      <w:lvlText w:val=""/>
      <w:lvlJc w:val="left"/>
    </w:lvl>
    <w:lvl w:ilvl="6" w:tplc="FCE43DA4">
      <w:numFmt w:val="decimal"/>
      <w:lvlText w:val=""/>
      <w:lvlJc w:val="left"/>
    </w:lvl>
    <w:lvl w:ilvl="7" w:tplc="43BCD89A">
      <w:numFmt w:val="decimal"/>
      <w:lvlText w:val=""/>
      <w:lvlJc w:val="left"/>
    </w:lvl>
    <w:lvl w:ilvl="8" w:tplc="4530AB5A">
      <w:numFmt w:val="decimal"/>
      <w:lvlText w:val=""/>
      <w:lvlJc w:val="left"/>
    </w:lvl>
  </w:abstractNum>
  <w:abstractNum w:abstractNumId="67" w15:restartNumberingAfterBreak="0">
    <w:nsid w:val="0C0A92D4"/>
    <w:multiLevelType w:val="hybridMultilevel"/>
    <w:tmpl w:val="B0202E7C"/>
    <w:lvl w:ilvl="0" w:tplc="CD887674">
      <w:start w:val="1"/>
      <w:numFmt w:val="decimal"/>
      <w:lvlText w:val="%1."/>
      <w:lvlJc w:val="left"/>
    </w:lvl>
    <w:lvl w:ilvl="1" w:tplc="E0BE5852">
      <w:numFmt w:val="decimal"/>
      <w:lvlText w:val=""/>
      <w:lvlJc w:val="left"/>
    </w:lvl>
    <w:lvl w:ilvl="2" w:tplc="CA36F59C">
      <w:numFmt w:val="decimal"/>
      <w:lvlText w:val=""/>
      <w:lvlJc w:val="left"/>
    </w:lvl>
    <w:lvl w:ilvl="3" w:tplc="1C544578">
      <w:numFmt w:val="decimal"/>
      <w:lvlText w:val=""/>
      <w:lvlJc w:val="left"/>
    </w:lvl>
    <w:lvl w:ilvl="4" w:tplc="9C969430">
      <w:numFmt w:val="decimal"/>
      <w:lvlText w:val=""/>
      <w:lvlJc w:val="left"/>
    </w:lvl>
    <w:lvl w:ilvl="5" w:tplc="99A034C0">
      <w:numFmt w:val="decimal"/>
      <w:lvlText w:val=""/>
      <w:lvlJc w:val="left"/>
    </w:lvl>
    <w:lvl w:ilvl="6" w:tplc="F16A362E">
      <w:numFmt w:val="decimal"/>
      <w:lvlText w:val=""/>
      <w:lvlJc w:val="left"/>
    </w:lvl>
    <w:lvl w:ilvl="7" w:tplc="14BAA68C">
      <w:numFmt w:val="decimal"/>
      <w:lvlText w:val=""/>
      <w:lvlJc w:val="left"/>
    </w:lvl>
    <w:lvl w:ilvl="8" w:tplc="CF660930">
      <w:numFmt w:val="decimal"/>
      <w:lvlText w:val=""/>
      <w:lvlJc w:val="left"/>
    </w:lvl>
  </w:abstractNum>
  <w:abstractNum w:abstractNumId="68" w15:restartNumberingAfterBreak="0">
    <w:nsid w:val="0C266F90"/>
    <w:multiLevelType w:val="hybridMultilevel"/>
    <w:tmpl w:val="9DB0F57E"/>
    <w:lvl w:ilvl="0" w:tplc="957C47DC">
      <w:start w:val="1"/>
      <w:numFmt w:val="upperLetter"/>
      <w:lvlText w:val="%1."/>
      <w:lvlJc w:val="left"/>
    </w:lvl>
    <w:lvl w:ilvl="1" w:tplc="365A8C30">
      <w:start w:val="1"/>
      <w:numFmt w:val="bullet"/>
      <w:lvlText w:val="-"/>
      <w:lvlJc w:val="left"/>
    </w:lvl>
    <w:lvl w:ilvl="2" w:tplc="83DE56BE">
      <w:numFmt w:val="decimal"/>
      <w:lvlText w:val=""/>
      <w:lvlJc w:val="left"/>
    </w:lvl>
    <w:lvl w:ilvl="3" w:tplc="1A6ACA3A">
      <w:numFmt w:val="decimal"/>
      <w:lvlText w:val=""/>
      <w:lvlJc w:val="left"/>
    </w:lvl>
    <w:lvl w:ilvl="4" w:tplc="CC7E8A78">
      <w:numFmt w:val="decimal"/>
      <w:lvlText w:val=""/>
      <w:lvlJc w:val="left"/>
    </w:lvl>
    <w:lvl w:ilvl="5" w:tplc="B63CC234">
      <w:numFmt w:val="decimal"/>
      <w:lvlText w:val=""/>
      <w:lvlJc w:val="left"/>
    </w:lvl>
    <w:lvl w:ilvl="6" w:tplc="FFE6ABF8">
      <w:numFmt w:val="decimal"/>
      <w:lvlText w:val=""/>
      <w:lvlJc w:val="left"/>
    </w:lvl>
    <w:lvl w:ilvl="7" w:tplc="E306014E">
      <w:numFmt w:val="decimal"/>
      <w:lvlText w:val=""/>
      <w:lvlJc w:val="left"/>
    </w:lvl>
    <w:lvl w:ilvl="8" w:tplc="5FCC6A8A">
      <w:numFmt w:val="decimal"/>
      <w:lvlText w:val=""/>
      <w:lvlJc w:val="left"/>
    </w:lvl>
  </w:abstractNum>
  <w:abstractNum w:abstractNumId="69" w15:restartNumberingAfterBreak="0">
    <w:nsid w:val="0C2F5540"/>
    <w:multiLevelType w:val="hybridMultilevel"/>
    <w:tmpl w:val="474A33DE"/>
    <w:lvl w:ilvl="0" w:tplc="5A503532">
      <w:start w:val="1"/>
      <w:numFmt w:val="upperLetter"/>
      <w:lvlText w:val="%1."/>
      <w:lvlJc w:val="left"/>
    </w:lvl>
    <w:lvl w:ilvl="1" w:tplc="462A3800">
      <w:start w:val="1"/>
      <w:numFmt w:val="bullet"/>
      <w:lvlText w:val="•"/>
      <w:lvlJc w:val="left"/>
    </w:lvl>
    <w:lvl w:ilvl="2" w:tplc="E806C6E6">
      <w:numFmt w:val="decimal"/>
      <w:lvlText w:val=""/>
      <w:lvlJc w:val="left"/>
    </w:lvl>
    <w:lvl w:ilvl="3" w:tplc="DA0A6BC0">
      <w:numFmt w:val="decimal"/>
      <w:lvlText w:val=""/>
      <w:lvlJc w:val="left"/>
    </w:lvl>
    <w:lvl w:ilvl="4" w:tplc="19CCECC6">
      <w:numFmt w:val="decimal"/>
      <w:lvlText w:val=""/>
      <w:lvlJc w:val="left"/>
    </w:lvl>
    <w:lvl w:ilvl="5" w:tplc="3134071A">
      <w:numFmt w:val="decimal"/>
      <w:lvlText w:val=""/>
      <w:lvlJc w:val="left"/>
    </w:lvl>
    <w:lvl w:ilvl="6" w:tplc="E246401A">
      <w:numFmt w:val="decimal"/>
      <w:lvlText w:val=""/>
      <w:lvlJc w:val="left"/>
    </w:lvl>
    <w:lvl w:ilvl="7" w:tplc="8F6EDCA6">
      <w:numFmt w:val="decimal"/>
      <w:lvlText w:val=""/>
      <w:lvlJc w:val="left"/>
    </w:lvl>
    <w:lvl w:ilvl="8" w:tplc="77961D16">
      <w:numFmt w:val="decimal"/>
      <w:lvlText w:val=""/>
      <w:lvlJc w:val="left"/>
    </w:lvl>
  </w:abstractNum>
  <w:abstractNum w:abstractNumId="70" w15:restartNumberingAfterBreak="0">
    <w:nsid w:val="0C5124AC"/>
    <w:multiLevelType w:val="hybridMultilevel"/>
    <w:tmpl w:val="4A0E4E36"/>
    <w:lvl w:ilvl="0" w:tplc="F1ACF262">
      <w:start w:val="1"/>
      <w:numFmt w:val="lowerLetter"/>
      <w:lvlText w:val="%1)"/>
      <w:lvlJc w:val="left"/>
      <w:pPr>
        <w:ind w:left="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15:restartNumberingAfterBreak="0">
    <w:nsid w:val="0CA75DBC"/>
    <w:multiLevelType w:val="hybridMultilevel"/>
    <w:tmpl w:val="00AACD12"/>
    <w:lvl w:ilvl="0" w:tplc="DCC89536">
      <w:start w:val="1"/>
      <w:numFmt w:val="bullet"/>
      <w:lvlText w:val="·"/>
      <w:lvlJc w:val="left"/>
    </w:lvl>
    <w:lvl w:ilvl="1" w:tplc="A0AC7B9E">
      <w:numFmt w:val="decimal"/>
      <w:lvlText w:val=""/>
      <w:lvlJc w:val="left"/>
    </w:lvl>
    <w:lvl w:ilvl="2" w:tplc="DC38D8B6">
      <w:numFmt w:val="decimal"/>
      <w:lvlText w:val=""/>
      <w:lvlJc w:val="left"/>
    </w:lvl>
    <w:lvl w:ilvl="3" w:tplc="68DA0040">
      <w:numFmt w:val="decimal"/>
      <w:lvlText w:val=""/>
      <w:lvlJc w:val="left"/>
    </w:lvl>
    <w:lvl w:ilvl="4" w:tplc="E24ACBC8">
      <w:numFmt w:val="decimal"/>
      <w:lvlText w:val=""/>
      <w:lvlJc w:val="left"/>
    </w:lvl>
    <w:lvl w:ilvl="5" w:tplc="2B5A8ABA">
      <w:numFmt w:val="decimal"/>
      <w:lvlText w:val=""/>
      <w:lvlJc w:val="left"/>
    </w:lvl>
    <w:lvl w:ilvl="6" w:tplc="9E165020">
      <w:numFmt w:val="decimal"/>
      <w:lvlText w:val=""/>
      <w:lvlJc w:val="left"/>
    </w:lvl>
    <w:lvl w:ilvl="7" w:tplc="476C8A92">
      <w:numFmt w:val="decimal"/>
      <w:lvlText w:val=""/>
      <w:lvlJc w:val="left"/>
    </w:lvl>
    <w:lvl w:ilvl="8" w:tplc="8B00208A">
      <w:numFmt w:val="decimal"/>
      <w:lvlText w:val=""/>
      <w:lvlJc w:val="left"/>
    </w:lvl>
  </w:abstractNum>
  <w:abstractNum w:abstractNumId="72" w15:restartNumberingAfterBreak="0">
    <w:nsid w:val="0CC0A782"/>
    <w:multiLevelType w:val="hybridMultilevel"/>
    <w:tmpl w:val="6AC47F44"/>
    <w:lvl w:ilvl="0" w:tplc="D93EC92A">
      <w:start w:val="9"/>
      <w:numFmt w:val="upperLetter"/>
      <w:lvlText w:val="%1"/>
      <w:lvlJc w:val="left"/>
    </w:lvl>
    <w:lvl w:ilvl="1" w:tplc="E3D27354">
      <w:start w:val="1"/>
      <w:numFmt w:val="lowerLetter"/>
      <w:lvlText w:val="%2)"/>
      <w:lvlJc w:val="left"/>
    </w:lvl>
    <w:lvl w:ilvl="2" w:tplc="BC1644DC">
      <w:numFmt w:val="decimal"/>
      <w:lvlText w:val=""/>
      <w:lvlJc w:val="left"/>
    </w:lvl>
    <w:lvl w:ilvl="3" w:tplc="1E46D706">
      <w:numFmt w:val="decimal"/>
      <w:lvlText w:val=""/>
      <w:lvlJc w:val="left"/>
    </w:lvl>
    <w:lvl w:ilvl="4" w:tplc="B24CAFFA">
      <w:numFmt w:val="decimal"/>
      <w:lvlText w:val=""/>
      <w:lvlJc w:val="left"/>
    </w:lvl>
    <w:lvl w:ilvl="5" w:tplc="BEE86CCA">
      <w:numFmt w:val="decimal"/>
      <w:lvlText w:val=""/>
      <w:lvlJc w:val="left"/>
    </w:lvl>
    <w:lvl w:ilvl="6" w:tplc="0200053E">
      <w:numFmt w:val="decimal"/>
      <w:lvlText w:val=""/>
      <w:lvlJc w:val="left"/>
    </w:lvl>
    <w:lvl w:ilvl="7" w:tplc="7598DF00">
      <w:numFmt w:val="decimal"/>
      <w:lvlText w:val=""/>
      <w:lvlJc w:val="left"/>
    </w:lvl>
    <w:lvl w:ilvl="8" w:tplc="B5CAB65A">
      <w:numFmt w:val="decimal"/>
      <w:lvlText w:val=""/>
      <w:lvlJc w:val="left"/>
    </w:lvl>
  </w:abstractNum>
  <w:abstractNum w:abstractNumId="73" w15:restartNumberingAfterBreak="0">
    <w:nsid w:val="0CF19F38"/>
    <w:multiLevelType w:val="hybridMultilevel"/>
    <w:tmpl w:val="75EE9B8A"/>
    <w:lvl w:ilvl="0" w:tplc="82882EEE">
      <w:start w:val="15"/>
      <w:numFmt w:val="lowerLetter"/>
      <w:lvlText w:val="%1"/>
      <w:lvlJc w:val="left"/>
    </w:lvl>
    <w:lvl w:ilvl="1" w:tplc="AC54B5A4">
      <w:numFmt w:val="decimal"/>
      <w:lvlText w:val=""/>
      <w:lvlJc w:val="left"/>
    </w:lvl>
    <w:lvl w:ilvl="2" w:tplc="D0AAA194">
      <w:numFmt w:val="decimal"/>
      <w:lvlText w:val=""/>
      <w:lvlJc w:val="left"/>
    </w:lvl>
    <w:lvl w:ilvl="3" w:tplc="333A822C">
      <w:numFmt w:val="decimal"/>
      <w:lvlText w:val=""/>
      <w:lvlJc w:val="left"/>
    </w:lvl>
    <w:lvl w:ilvl="4" w:tplc="35C08C72">
      <w:numFmt w:val="decimal"/>
      <w:lvlText w:val=""/>
      <w:lvlJc w:val="left"/>
    </w:lvl>
    <w:lvl w:ilvl="5" w:tplc="74962FCA">
      <w:numFmt w:val="decimal"/>
      <w:lvlText w:val=""/>
      <w:lvlJc w:val="left"/>
    </w:lvl>
    <w:lvl w:ilvl="6" w:tplc="DAA0A3F2">
      <w:numFmt w:val="decimal"/>
      <w:lvlText w:val=""/>
      <w:lvlJc w:val="left"/>
    </w:lvl>
    <w:lvl w:ilvl="7" w:tplc="E7682F18">
      <w:numFmt w:val="decimal"/>
      <w:lvlText w:val=""/>
      <w:lvlJc w:val="left"/>
    </w:lvl>
    <w:lvl w:ilvl="8" w:tplc="F73C6AE0">
      <w:numFmt w:val="decimal"/>
      <w:lvlText w:val=""/>
      <w:lvlJc w:val="left"/>
    </w:lvl>
  </w:abstractNum>
  <w:abstractNum w:abstractNumId="74" w15:restartNumberingAfterBreak="0">
    <w:nsid w:val="0D0A6D54"/>
    <w:multiLevelType w:val="hybridMultilevel"/>
    <w:tmpl w:val="07DE48B0"/>
    <w:lvl w:ilvl="0" w:tplc="DC36C4CA">
      <w:start w:val="14"/>
      <w:numFmt w:val="bullet"/>
      <w:lvlText w:val="-"/>
      <w:lvlJc w:val="left"/>
      <w:pPr>
        <w:ind w:left="720" w:hanging="360"/>
      </w:pPr>
      <w:rPr>
        <w:rFonts w:ascii="Times New Roman" w:eastAsia="Times New Roman" w:hAnsi="Times New Roman" w:cs="Times New Roman" w:hint="default"/>
        <w:color w:val="auto"/>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0D1C9241"/>
    <w:multiLevelType w:val="hybridMultilevel"/>
    <w:tmpl w:val="20F82C1C"/>
    <w:lvl w:ilvl="0" w:tplc="A3989D52">
      <w:start w:val="1"/>
      <w:numFmt w:val="bullet"/>
      <w:lvlText w:val="•"/>
      <w:lvlJc w:val="left"/>
    </w:lvl>
    <w:lvl w:ilvl="1" w:tplc="BD584CE2">
      <w:numFmt w:val="decimal"/>
      <w:lvlText w:val=""/>
      <w:lvlJc w:val="left"/>
    </w:lvl>
    <w:lvl w:ilvl="2" w:tplc="113A55C8">
      <w:numFmt w:val="decimal"/>
      <w:lvlText w:val=""/>
      <w:lvlJc w:val="left"/>
    </w:lvl>
    <w:lvl w:ilvl="3" w:tplc="6624F6BA">
      <w:numFmt w:val="decimal"/>
      <w:lvlText w:val=""/>
      <w:lvlJc w:val="left"/>
    </w:lvl>
    <w:lvl w:ilvl="4" w:tplc="E014DDD4">
      <w:numFmt w:val="decimal"/>
      <w:lvlText w:val=""/>
      <w:lvlJc w:val="left"/>
    </w:lvl>
    <w:lvl w:ilvl="5" w:tplc="C652E6E8">
      <w:numFmt w:val="decimal"/>
      <w:lvlText w:val=""/>
      <w:lvlJc w:val="left"/>
    </w:lvl>
    <w:lvl w:ilvl="6" w:tplc="F7D44AD0">
      <w:numFmt w:val="decimal"/>
      <w:lvlText w:val=""/>
      <w:lvlJc w:val="left"/>
    </w:lvl>
    <w:lvl w:ilvl="7" w:tplc="95C4FB24">
      <w:numFmt w:val="decimal"/>
      <w:lvlText w:val=""/>
      <w:lvlJc w:val="left"/>
    </w:lvl>
    <w:lvl w:ilvl="8" w:tplc="1D00C912">
      <w:numFmt w:val="decimal"/>
      <w:lvlText w:val=""/>
      <w:lvlJc w:val="left"/>
    </w:lvl>
  </w:abstractNum>
  <w:abstractNum w:abstractNumId="76" w15:restartNumberingAfterBreak="0">
    <w:nsid w:val="0D24B94B"/>
    <w:multiLevelType w:val="hybridMultilevel"/>
    <w:tmpl w:val="FB847FAE"/>
    <w:lvl w:ilvl="0" w:tplc="ABD2282A">
      <w:start w:val="1"/>
      <w:numFmt w:val="bullet"/>
      <w:lvlText w:val="-"/>
      <w:lvlJc w:val="left"/>
    </w:lvl>
    <w:lvl w:ilvl="1" w:tplc="529CC0B2">
      <w:numFmt w:val="decimal"/>
      <w:lvlText w:val=""/>
      <w:lvlJc w:val="left"/>
    </w:lvl>
    <w:lvl w:ilvl="2" w:tplc="046CDAE8">
      <w:numFmt w:val="decimal"/>
      <w:lvlText w:val=""/>
      <w:lvlJc w:val="left"/>
    </w:lvl>
    <w:lvl w:ilvl="3" w:tplc="83886FE4">
      <w:numFmt w:val="decimal"/>
      <w:lvlText w:val=""/>
      <w:lvlJc w:val="left"/>
    </w:lvl>
    <w:lvl w:ilvl="4" w:tplc="00F63BC2">
      <w:numFmt w:val="decimal"/>
      <w:lvlText w:val=""/>
      <w:lvlJc w:val="left"/>
    </w:lvl>
    <w:lvl w:ilvl="5" w:tplc="DF4A9D96">
      <w:numFmt w:val="decimal"/>
      <w:lvlText w:val=""/>
      <w:lvlJc w:val="left"/>
    </w:lvl>
    <w:lvl w:ilvl="6" w:tplc="30B880A2">
      <w:numFmt w:val="decimal"/>
      <w:lvlText w:val=""/>
      <w:lvlJc w:val="left"/>
    </w:lvl>
    <w:lvl w:ilvl="7" w:tplc="4B7AF610">
      <w:numFmt w:val="decimal"/>
      <w:lvlText w:val=""/>
      <w:lvlJc w:val="left"/>
    </w:lvl>
    <w:lvl w:ilvl="8" w:tplc="4F0CE400">
      <w:numFmt w:val="decimal"/>
      <w:lvlText w:val=""/>
      <w:lvlJc w:val="left"/>
    </w:lvl>
  </w:abstractNum>
  <w:abstractNum w:abstractNumId="77" w15:restartNumberingAfterBreak="0">
    <w:nsid w:val="0DE6DA7D"/>
    <w:multiLevelType w:val="hybridMultilevel"/>
    <w:tmpl w:val="15BC3768"/>
    <w:lvl w:ilvl="0" w:tplc="F27C361E">
      <w:start w:val="1"/>
      <w:numFmt w:val="lowerRoman"/>
      <w:lvlText w:val="%1."/>
      <w:lvlJc w:val="left"/>
    </w:lvl>
    <w:lvl w:ilvl="1" w:tplc="7DB618BE">
      <w:numFmt w:val="decimal"/>
      <w:lvlText w:val=""/>
      <w:lvlJc w:val="left"/>
    </w:lvl>
    <w:lvl w:ilvl="2" w:tplc="9BDA98D2">
      <w:numFmt w:val="decimal"/>
      <w:lvlText w:val=""/>
      <w:lvlJc w:val="left"/>
    </w:lvl>
    <w:lvl w:ilvl="3" w:tplc="5AEEBAD4">
      <w:numFmt w:val="decimal"/>
      <w:lvlText w:val=""/>
      <w:lvlJc w:val="left"/>
    </w:lvl>
    <w:lvl w:ilvl="4" w:tplc="C9541318">
      <w:numFmt w:val="decimal"/>
      <w:lvlText w:val=""/>
      <w:lvlJc w:val="left"/>
    </w:lvl>
    <w:lvl w:ilvl="5" w:tplc="D40A2C22">
      <w:numFmt w:val="decimal"/>
      <w:lvlText w:val=""/>
      <w:lvlJc w:val="left"/>
    </w:lvl>
    <w:lvl w:ilvl="6" w:tplc="A1DE32F8">
      <w:numFmt w:val="decimal"/>
      <w:lvlText w:val=""/>
      <w:lvlJc w:val="left"/>
    </w:lvl>
    <w:lvl w:ilvl="7" w:tplc="E00A7690">
      <w:numFmt w:val="decimal"/>
      <w:lvlText w:val=""/>
      <w:lvlJc w:val="left"/>
    </w:lvl>
    <w:lvl w:ilvl="8" w:tplc="F12490F4">
      <w:numFmt w:val="decimal"/>
      <w:lvlText w:val=""/>
      <w:lvlJc w:val="left"/>
    </w:lvl>
  </w:abstractNum>
  <w:abstractNum w:abstractNumId="78" w15:restartNumberingAfterBreak="0">
    <w:nsid w:val="0DECACAF"/>
    <w:multiLevelType w:val="hybridMultilevel"/>
    <w:tmpl w:val="5B02CA50"/>
    <w:lvl w:ilvl="0" w:tplc="F98AC54C">
      <w:start w:val="1"/>
      <w:numFmt w:val="bullet"/>
      <w:lvlText w:val="•"/>
      <w:lvlJc w:val="left"/>
    </w:lvl>
    <w:lvl w:ilvl="1" w:tplc="883AB24C">
      <w:numFmt w:val="decimal"/>
      <w:lvlText w:val=""/>
      <w:lvlJc w:val="left"/>
    </w:lvl>
    <w:lvl w:ilvl="2" w:tplc="B4665816">
      <w:numFmt w:val="decimal"/>
      <w:lvlText w:val=""/>
      <w:lvlJc w:val="left"/>
    </w:lvl>
    <w:lvl w:ilvl="3" w:tplc="D8246B6C">
      <w:numFmt w:val="decimal"/>
      <w:lvlText w:val=""/>
      <w:lvlJc w:val="left"/>
    </w:lvl>
    <w:lvl w:ilvl="4" w:tplc="853E3DD6">
      <w:numFmt w:val="decimal"/>
      <w:lvlText w:val=""/>
      <w:lvlJc w:val="left"/>
    </w:lvl>
    <w:lvl w:ilvl="5" w:tplc="C5F4A938">
      <w:numFmt w:val="decimal"/>
      <w:lvlText w:val=""/>
      <w:lvlJc w:val="left"/>
    </w:lvl>
    <w:lvl w:ilvl="6" w:tplc="4EFEFF94">
      <w:numFmt w:val="decimal"/>
      <w:lvlText w:val=""/>
      <w:lvlJc w:val="left"/>
    </w:lvl>
    <w:lvl w:ilvl="7" w:tplc="6A5A9964">
      <w:numFmt w:val="decimal"/>
      <w:lvlText w:val=""/>
      <w:lvlJc w:val="left"/>
    </w:lvl>
    <w:lvl w:ilvl="8" w:tplc="294E049E">
      <w:numFmt w:val="decimal"/>
      <w:lvlText w:val=""/>
      <w:lvlJc w:val="left"/>
    </w:lvl>
  </w:abstractNum>
  <w:abstractNum w:abstractNumId="79" w15:restartNumberingAfterBreak="0">
    <w:nsid w:val="0DFD09FE"/>
    <w:multiLevelType w:val="hybridMultilevel"/>
    <w:tmpl w:val="9A982292"/>
    <w:lvl w:ilvl="0" w:tplc="A834702A">
      <w:start w:val="1"/>
      <w:numFmt w:val="bullet"/>
      <w:lvlText w:val="-"/>
      <w:lvlJc w:val="left"/>
    </w:lvl>
    <w:lvl w:ilvl="1" w:tplc="5F88808A">
      <w:numFmt w:val="decimal"/>
      <w:lvlText w:val=""/>
      <w:lvlJc w:val="left"/>
    </w:lvl>
    <w:lvl w:ilvl="2" w:tplc="8F3698B8">
      <w:numFmt w:val="decimal"/>
      <w:lvlText w:val=""/>
      <w:lvlJc w:val="left"/>
    </w:lvl>
    <w:lvl w:ilvl="3" w:tplc="7876CE84">
      <w:numFmt w:val="decimal"/>
      <w:lvlText w:val=""/>
      <w:lvlJc w:val="left"/>
    </w:lvl>
    <w:lvl w:ilvl="4" w:tplc="1756A6FC">
      <w:numFmt w:val="decimal"/>
      <w:lvlText w:val=""/>
      <w:lvlJc w:val="left"/>
    </w:lvl>
    <w:lvl w:ilvl="5" w:tplc="AD705802">
      <w:numFmt w:val="decimal"/>
      <w:lvlText w:val=""/>
      <w:lvlJc w:val="left"/>
    </w:lvl>
    <w:lvl w:ilvl="6" w:tplc="A9A83D10">
      <w:numFmt w:val="decimal"/>
      <w:lvlText w:val=""/>
      <w:lvlJc w:val="left"/>
    </w:lvl>
    <w:lvl w:ilvl="7" w:tplc="10FAB112">
      <w:numFmt w:val="decimal"/>
      <w:lvlText w:val=""/>
      <w:lvlJc w:val="left"/>
    </w:lvl>
    <w:lvl w:ilvl="8" w:tplc="AA92496C">
      <w:numFmt w:val="decimal"/>
      <w:lvlText w:val=""/>
      <w:lvlJc w:val="left"/>
    </w:lvl>
  </w:abstractNum>
  <w:abstractNum w:abstractNumId="80" w15:restartNumberingAfterBreak="0">
    <w:nsid w:val="0DFEC288"/>
    <w:multiLevelType w:val="hybridMultilevel"/>
    <w:tmpl w:val="A0463166"/>
    <w:lvl w:ilvl="0" w:tplc="944496BC">
      <w:start w:val="1"/>
      <w:numFmt w:val="bullet"/>
      <w:lvlText w:val="▪"/>
      <w:lvlJc w:val="left"/>
    </w:lvl>
    <w:lvl w:ilvl="1" w:tplc="368E6C30">
      <w:numFmt w:val="decimal"/>
      <w:lvlText w:val=""/>
      <w:lvlJc w:val="left"/>
    </w:lvl>
    <w:lvl w:ilvl="2" w:tplc="FBCC7B48">
      <w:numFmt w:val="decimal"/>
      <w:lvlText w:val=""/>
      <w:lvlJc w:val="left"/>
    </w:lvl>
    <w:lvl w:ilvl="3" w:tplc="1E5298D2">
      <w:numFmt w:val="decimal"/>
      <w:lvlText w:val=""/>
      <w:lvlJc w:val="left"/>
    </w:lvl>
    <w:lvl w:ilvl="4" w:tplc="1D743352">
      <w:numFmt w:val="decimal"/>
      <w:lvlText w:val=""/>
      <w:lvlJc w:val="left"/>
    </w:lvl>
    <w:lvl w:ilvl="5" w:tplc="5E6E29CC">
      <w:numFmt w:val="decimal"/>
      <w:lvlText w:val=""/>
      <w:lvlJc w:val="left"/>
    </w:lvl>
    <w:lvl w:ilvl="6" w:tplc="D34E01E2">
      <w:numFmt w:val="decimal"/>
      <w:lvlText w:val=""/>
      <w:lvlJc w:val="left"/>
    </w:lvl>
    <w:lvl w:ilvl="7" w:tplc="87763EC0">
      <w:numFmt w:val="decimal"/>
      <w:lvlText w:val=""/>
      <w:lvlJc w:val="left"/>
    </w:lvl>
    <w:lvl w:ilvl="8" w:tplc="A6AA724A">
      <w:numFmt w:val="decimal"/>
      <w:lvlText w:val=""/>
      <w:lvlJc w:val="left"/>
    </w:lvl>
  </w:abstractNum>
  <w:abstractNum w:abstractNumId="81" w15:restartNumberingAfterBreak="0">
    <w:nsid w:val="0E1A7B6A"/>
    <w:multiLevelType w:val="hybridMultilevel"/>
    <w:tmpl w:val="1E9CC4B4"/>
    <w:lvl w:ilvl="0" w:tplc="C84CA9C0">
      <w:start w:val="1"/>
      <w:numFmt w:val="bullet"/>
      <w:lvlText w:val="•"/>
      <w:lvlJc w:val="left"/>
    </w:lvl>
    <w:lvl w:ilvl="1" w:tplc="DDE0947A">
      <w:numFmt w:val="decimal"/>
      <w:lvlText w:val=""/>
      <w:lvlJc w:val="left"/>
    </w:lvl>
    <w:lvl w:ilvl="2" w:tplc="9BD24522">
      <w:numFmt w:val="decimal"/>
      <w:lvlText w:val=""/>
      <w:lvlJc w:val="left"/>
    </w:lvl>
    <w:lvl w:ilvl="3" w:tplc="93F6ECE4">
      <w:numFmt w:val="decimal"/>
      <w:lvlText w:val=""/>
      <w:lvlJc w:val="left"/>
    </w:lvl>
    <w:lvl w:ilvl="4" w:tplc="9988A026">
      <w:numFmt w:val="decimal"/>
      <w:lvlText w:val=""/>
      <w:lvlJc w:val="left"/>
    </w:lvl>
    <w:lvl w:ilvl="5" w:tplc="4A10D958">
      <w:numFmt w:val="decimal"/>
      <w:lvlText w:val=""/>
      <w:lvlJc w:val="left"/>
    </w:lvl>
    <w:lvl w:ilvl="6" w:tplc="BDB0A6B4">
      <w:numFmt w:val="decimal"/>
      <w:lvlText w:val=""/>
      <w:lvlJc w:val="left"/>
    </w:lvl>
    <w:lvl w:ilvl="7" w:tplc="C97E76BA">
      <w:numFmt w:val="decimal"/>
      <w:lvlText w:val=""/>
      <w:lvlJc w:val="left"/>
    </w:lvl>
    <w:lvl w:ilvl="8" w:tplc="52588176">
      <w:numFmt w:val="decimal"/>
      <w:lvlText w:val=""/>
      <w:lvlJc w:val="left"/>
    </w:lvl>
  </w:abstractNum>
  <w:abstractNum w:abstractNumId="82" w15:restartNumberingAfterBreak="0">
    <w:nsid w:val="0E227944"/>
    <w:multiLevelType w:val="hybridMultilevel"/>
    <w:tmpl w:val="BFB882CA"/>
    <w:lvl w:ilvl="0" w:tplc="27DC75DE">
      <w:start w:val="1"/>
      <w:numFmt w:val="bullet"/>
      <w:lvlText w:val="•"/>
      <w:lvlJc w:val="left"/>
    </w:lvl>
    <w:lvl w:ilvl="1" w:tplc="23747CE2">
      <w:numFmt w:val="decimal"/>
      <w:lvlText w:val=""/>
      <w:lvlJc w:val="left"/>
    </w:lvl>
    <w:lvl w:ilvl="2" w:tplc="694E416C">
      <w:numFmt w:val="decimal"/>
      <w:lvlText w:val=""/>
      <w:lvlJc w:val="left"/>
    </w:lvl>
    <w:lvl w:ilvl="3" w:tplc="463E4B44">
      <w:numFmt w:val="decimal"/>
      <w:lvlText w:val=""/>
      <w:lvlJc w:val="left"/>
    </w:lvl>
    <w:lvl w:ilvl="4" w:tplc="D0305BCC">
      <w:numFmt w:val="decimal"/>
      <w:lvlText w:val=""/>
      <w:lvlJc w:val="left"/>
    </w:lvl>
    <w:lvl w:ilvl="5" w:tplc="20B2AA08">
      <w:numFmt w:val="decimal"/>
      <w:lvlText w:val=""/>
      <w:lvlJc w:val="left"/>
    </w:lvl>
    <w:lvl w:ilvl="6" w:tplc="6F7A2F06">
      <w:numFmt w:val="decimal"/>
      <w:lvlText w:val=""/>
      <w:lvlJc w:val="left"/>
    </w:lvl>
    <w:lvl w:ilvl="7" w:tplc="56580A6C">
      <w:numFmt w:val="decimal"/>
      <w:lvlText w:val=""/>
      <w:lvlJc w:val="left"/>
    </w:lvl>
    <w:lvl w:ilvl="8" w:tplc="3DB6D528">
      <w:numFmt w:val="decimal"/>
      <w:lvlText w:val=""/>
      <w:lvlJc w:val="left"/>
    </w:lvl>
  </w:abstractNum>
  <w:abstractNum w:abstractNumId="83" w15:restartNumberingAfterBreak="0">
    <w:nsid w:val="0E9E1415"/>
    <w:multiLevelType w:val="hybridMultilevel"/>
    <w:tmpl w:val="547A367E"/>
    <w:lvl w:ilvl="0" w:tplc="FAEE032A">
      <w:start w:val="1"/>
      <w:numFmt w:val="bullet"/>
      <w:lvlText w:val="•"/>
      <w:lvlJc w:val="left"/>
    </w:lvl>
    <w:lvl w:ilvl="1" w:tplc="A030C83A">
      <w:start w:val="15"/>
      <w:numFmt w:val="lowerLetter"/>
      <w:lvlText w:val="%2"/>
      <w:lvlJc w:val="left"/>
    </w:lvl>
    <w:lvl w:ilvl="2" w:tplc="12627696">
      <w:numFmt w:val="decimal"/>
      <w:lvlText w:val=""/>
      <w:lvlJc w:val="left"/>
    </w:lvl>
    <w:lvl w:ilvl="3" w:tplc="DAAA3262">
      <w:numFmt w:val="decimal"/>
      <w:lvlText w:val=""/>
      <w:lvlJc w:val="left"/>
    </w:lvl>
    <w:lvl w:ilvl="4" w:tplc="68B0C00C">
      <w:numFmt w:val="decimal"/>
      <w:lvlText w:val=""/>
      <w:lvlJc w:val="left"/>
    </w:lvl>
    <w:lvl w:ilvl="5" w:tplc="27D68D64">
      <w:numFmt w:val="decimal"/>
      <w:lvlText w:val=""/>
      <w:lvlJc w:val="left"/>
    </w:lvl>
    <w:lvl w:ilvl="6" w:tplc="CB5AB6AE">
      <w:numFmt w:val="decimal"/>
      <w:lvlText w:val=""/>
      <w:lvlJc w:val="left"/>
    </w:lvl>
    <w:lvl w:ilvl="7" w:tplc="A420F714">
      <w:numFmt w:val="decimal"/>
      <w:lvlText w:val=""/>
      <w:lvlJc w:val="left"/>
    </w:lvl>
    <w:lvl w:ilvl="8" w:tplc="6560A82E">
      <w:numFmt w:val="decimal"/>
      <w:lvlText w:val=""/>
      <w:lvlJc w:val="left"/>
    </w:lvl>
  </w:abstractNum>
  <w:abstractNum w:abstractNumId="84" w15:restartNumberingAfterBreak="0">
    <w:nsid w:val="0EAB0386"/>
    <w:multiLevelType w:val="hybridMultilevel"/>
    <w:tmpl w:val="61EAA8A4"/>
    <w:lvl w:ilvl="0" w:tplc="11D21810">
      <w:start w:val="1"/>
      <w:numFmt w:val="decimal"/>
      <w:lvlText w:val="%1."/>
      <w:lvlJc w:val="left"/>
    </w:lvl>
    <w:lvl w:ilvl="1" w:tplc="6CF456BC">
      <w:numFmt w:val="decimal"/>
      <w:lvlText w:val=""/>
      <w:lvlJc w:val="left"/>
    </w:lvl>
    <w:lvl w:ilvl="2" w:tplc="F942F3D0">
      <w:numFmt w:val="decimal"/>
      <w:lvlText w:val=""/>
      <w:lvlJc w:val="left"/>
    </w:lvl>
    <w:lvl w:ilvl="3" w:tplc="389409EA">
      <w:numFmt w:val="decimal"/>
      <w:lvlText w:val=""/>
      <w:lvlJc w:val="left"/>
    </w:lvl>
    <w:lvl w:ilvl="4" w:tplc="C94C1518">
      <w:numFmt w:val="decimal"/>
      <w:lvlText w:val=""/>
      <w:lvlJc w:val="left"/>
    </w:lvl>
    <w:lvl w:ilvl="5" w:tplc="9C447AD2">
      <w:numFmt w:val="decimal"/>
      <w:lvlText w:val=""/>
      <w:lvlJc w:val="left"/>
    </w:lvl>
    <w:lvl w:ilvl="6" w:tplc="7070E3C4">
      <w:numFmt w:val="decimal"/>
      <w:lvlText w:val=""/>
      <w:lvlJc w:val="left"/>
    </w:lvl>
    <w:lvl w:ilvl="7" w:tplc="71AAEB88">
      <w:numFmt w:val="decimal"/>
      <w:lvlText w:val=""/>
      <w:lvlJc w:val="left"/>
    </w:lvl>
    <w:lvl w:ilvl="8" w:tplc="5FF6EE44">
      <w:numFmt w:val="decimal"/>
      <w:lvlText w:val=""/>
      <w:lvlJc w:val="left"/>
    </w:lvl>
  </w:abstractNum>
  <w:abstractNum w:abstractNumId="85" w15:restartNumberingAfterBreak="0">
    <w:nsid w:val="0EF9AD2F"/>
    <w:multiLevelType w:val="hybridMultilevel"/>
    <w:tmpl w:val="B5CAA7F6"/>
    <w:lvl w:ilvl="0" w:tplc="0D76C990">
      <w:start w:val="1"/>
      <w:numFmt w:val="bullet"/>
      <w:lvlText w:val="•"/>
      <w:lvlJc w:val="left"/>
    </w:lvl>
    <w:lvl w:ilvl="1" w:tplc="19B6D54E">
      <w:start w:val="1"/>
      <w:numFmt w:val="bullet"/>
      <w:lvlText w:val="•"/>
      <w:lvlJc w:val="left"/>
    </w:lvl>
    <w:lvl w:ilvl="2" w:tplc="B9CC3610">
      <w:start w:val="1"/>
      <w:numFmt w:val="bullet"/>
      <w:lvlText w:val="\endash "/>
      <w:lvlJc w:val="left"/>
    </w:lvl>
    <w:lvl w:ilvl="3" w:tplc="6722084A">
      <w:numFmt w:val="decimal"/>
      <w:lvlText w:val=""/>
      <w:lvlJc w:val="left"/>
    </w:lvl>
    <w:lvl w:ilvl="4" w:tplc="7A4A0190">
      <w:numFmt w:val="decimal"/>
      <w:lvlText w:val=""/>
      <w:lvlJc w:val="left"/>
    </w:lvl>
    <w:lvl w:ilvl="5" w:tplc="7180D830">
      <w:numFmt w:val="decimal"/>
      <w:lvlText w:val=""/>
      <w:lvlJc w:val="left"/>
    </w:lvl>
    <w:lvl w:ilvl="6" w:tplc="44889F38">
      <w:numFmt w:val="decimal"/>
      <w:lvlText w:val=""/>
      <w:lvlJc w:val="left"/>
    </w:lvl>
    <w:lvl w:ilvl="7" w:tplc="AD1CB6B6">
      <w:numFmt w:val="decimal"/>
      <w:lvlText w:val=""/>
      <w:lvlJc w:val="left"/>
    </w:lvl>
    <w:lvl w:ilvl="8" w:tplc="0374DC08">
      <w:numFmt w:val="decimal"/>
      <w:lvlText w:val=""/>
      <w:lvlJc w:val="left"/>
    </w:lvl>
  </w:abstractNum>
  <w:abstractNum w:abstractNumId="86" w15:restartNumberingAfterBreak="0">
    <w:nsid w:val="0F02B952"/>
    <w:multiLevelType w:val="hybridMultilevel"/>
    <w:tmpl w:val="82BCD646"/>
    <w:lvl w:ilvl="0" w:tplc="EFC85FB0">
      <w:start w:val="1"/>
      <w:numFmt w:val="bullet"/>
      <w:lvlText w:val="-"/>
      <w:lvlJc w:val="left"/>
    </w:lvl>
    <w:lvl w:ilvl="1" w:tplc="7278F87C">
      <w:numFmt w:val="decimal"/>
      <w:lvlText w:val=""/>
      <w:lvlJc w:val="left"/>
    </w:lvl>
    <w:lvl w:ilvl="2" w:tplc="6DC6D8DA">
      <w:numFmt w:val="decimal"/>
      <w:lvlText w:val=""/>
      <w:lvlJc w:val="left"/>
    </w:lvl>
    <w:lvl w:ilvl="3" w:tplc="A188885A">
      <w:numFmt w:val="decimal"/>
      <w:lvlText w:val=""/>
      <w:lvlJc w:val="left"/>
    </w:lvl>
    <w:lvl w:ilvl="4" w:tplc="6DA02498">
      <w:numFmt w:val="decimal"/>
      <w:lvlText w:val=""/>
      <w:lvlJc w:val="left"/>
    </w:lvl>
    <w:lvl w:ilvl="5" w:tplc="457E82EE">
      <w:numFmt w:val="decimal"/>
      <w:lvlText w:val=""/>
      <w:lvlJc w:val="left"/>
    </w:lvl>
    <w:lvl w:ilvl="6" w:tplc="7BA022D6">
      <w:numFmt w:val="decimal"/>
      <w:lvlText w:val=""/>
      <w:lvlJc w:val="left"/>
    </w:lvl>
    <w:lvl w:ilvl="7" w:tplc="EACE606E">
      <w:numFmt w:val="decimal"/>
      <w:lvlText w:val=""/>
      <w:lvlJc w:val="left"/>
    </w:lvl>
    <w:lvl w:ilvl="8" w:tplc="F30CBC06">
      <w:numFmt w:val="decimal"/>
      <w:lvlText w:val=""/>
      <w:lvlJc w:val="left"/>
    </w:lvl>
  </w:abstractNum>
  <w:abstractNum w:abstractNumId="87" w15:restartNumberingAfterBreak="0">
    <w:nsid w:val="0F4E8872"/>
    <w:multiLevelType w:val="hybridMultilevel"/>
    <w:tmpl w:val="2A36C076"/>
    <w:lvl w:ilvl="0" w:tplc="208045BE">
      <w:start w:val="1"/>
      <w:numFmt w:val="bullet"/>
      <w:lvlText w:val="·"/>
      <w:lvlJc w:val="left"/>
    </w:lvl>
    <w:lvl w:ilvl="1" w:tplc="0026ED8C">
      <w:start w:val="15"/>
      <w:numFmt w:val="upperLetter"/>
      <w:lvlText w:val="%2"/>
      <w:lvlJc w:val="left"/>
    </w:lvl>
    <w:lvl w:ilvl="2" w:tplc="D64A6DC0">
      <w:numFmt w:val="decimal"/>
      <w:lvlText w:val=""/>
      <w:lvlJc w:val="left"/>
    </w:lvl>
    <w:lvl w:ilvl="3" w:tplc="CDC6AB90">
      <w:numFmt w:val="decimal"/>
      <w:lvlText w:val=""/>
      <w:lvlJc w:val="left"/>
    </w:lvl>
    <w:lvl w:ilvl="4" w:tplc="589A62CC">
      <w:numFmt w:val="decimal"/>
      <w:lvlText w:val=""/>
      <w:lvlJc w:val="left"/>
    </w:lvl>
    <w:lvl w:ilvl="5" w:tplc="896442EC">
      <w:numFmt w:val="decimal"/>
      <w:lvlText w:val=""/>
      <w:lvlJc w:val="left"/>
    </w:lvl>
    <w:lvl w:ilvl="6" w:tplc="CB0E734A">
      <w:numFmt w:val="decimal"/>
      <w:lvlText w:val=""/>
      <w:lvlJc w:val="left"/>
    </w:lvl>
    <w:lvl w:ilvl="7" w:tplc="5C08229E">
      <w:numFmt w:val="decimal"/>
      <w:lvlText w:val=""/>
      <w:lvlJc w:val="left"/>
    </w:lvl>
    <w:lvl w:ilvl="8" w:tplc="894EE498">
      <w:numFmt w:val="decimal"/>
      <w:lvlText w:val=""/>
      <w:lvlJc w:val="left"/>
    </w:lvl>
  </w:abstractNum>
  <w:abstractNum w:abstractNumId="88" w15:restartNumberingAfterBreak="0">
    <w:nsid w:val="0F51A837"/>
    <w:multiLevelType w:val="hybridMultilevel"/>
    <w:tmpl w:val="004A511E"/>
    <w:lvl w:ilvl="0" w:tplc="52A4ADEC">
      <w:start w:val="1"/>
      <w:numFmt w:val="bullet"/>
      <w:lvlText w:val="•"/>
      <w:lvlJc w:val="left"/>
    </w:lvl>
    <w:lvl w:ilvl="1" w:tplc="BBFE75BA">
      <w:numFmt w:val="decimal"/>
      <w:lvlText w:val=""/>
      <w:lvlJc w:val="left"/>
    </w:lvl>
    <w:lvl w:ilvl="2" w:tplc="ED68329E">
      <w:numFmt w:val="decimal"/>
      <w:lvlText w:val=""/>
      <w:lvlJc w:val="left"/>
    </w:lvl>
    <w:lvl w:ilvl="3" w:tplc="297006D0">
      <w:numFmt w:val="decimal"/>
      <w:lvlText w:val=""/>
      <w:lvlJc w:val="left"/>
    </w:lvl>
    <w:lvl w:ilvl="4" w:tplc="C2BAFF10">
      <w:numFmt w:val="decimal"/>
      <w:lvlText w:val=""/>
      <w:lvlJc w:val="left"/>
    </w:lvl>
    <w:lvl w:ilvl="5" w:tplc="C5481582">
      <w:numFmt w:val="decimal"/>
      <w:lvlText w:val=""/>
      <w:lvlJc w:val="left"/>
    </w:lvl>
    <w:lvl w:ilvl="6" w:tplc="8B744B56">
      <w:numFmt w:val="decimal"/>
      <w:lvlText w:val=""/>
      <w:lvlJc w:val="left"/>
    </w:lvl>
    <w:lvl w:ilvl="7" w:tplc="8576A238">
      <w:numFmt w:val="decimal"/>
      <w:lvlText w:val=""/>
      <w:lvlJc w:val="left"/>
    </w:lvl>
    <w:lvl w:ilvl="8" w:tplc="BBC4DA04">
      <w:numFmt w:val="decimal"/>
      <w:lvlText w:val=""/>
      <w:lvlJc w:val="left"/>
    </w:lvl>
  </w:abstractNum>
  <w:abstractNum w:abstractNumId="89" w15:restartNumberingAfterBreak="0">
    <w:nsid w:val="0FADB8F8"/>
    <w:multiLevelType w:val="hybridMultilevel"/>
    <w:tmpl w:val="C968162A"/>
    <w:lvl w:ilvl="0" w:tplc="8CF406E6">
      <w:start w:val="1"/>
      <w:numFmt w:val="bullet"/>
      <w:lvlText w:val="·"/>
      <w:lvlJc w:val="left"/>
    </w:lvl>
    <w:lvl w:ilvl="1" w:tplc="F8A45A92">
      <w:numFmt w:val="decimal"/>
      <w:lvlText w:val=""/>
      <w:lvlJc w:val="left"/>
    </w:lvl>
    <w:lvl w:ilvl="2" w:tplc="EBB64752">
      <w:numFmt w:val="decimal"/>
      <w:lvlText w:val=""/>
      <w:lvlJc w:val="left"/>
    </w:lvl>
    <w:lvl w:ilvl="3" w:tplc="A33E1022">
      <w:numFmt w:val="decimal"/>
      <w:lvlText w:val=""/>
      <w:lvlJc w:val="left"/>
    </w:lvl>
    <w:lvl w:ilvl="4" w:tplc="38989670">
      <w:numFmt w:val="decimal"/>
      <w:lvlText w:val=""/>
      <w:lvlJc w:val="left"/>
    </w:lvl>
    <w:lvl w:ilvl="5" w:tplc="B3D6C7F0">
      <w:numFmt w:val="decimal"/>
      <w:lvlText w:val=""/>
      <w:lvlJc w:val="left"/>
    </w:lvl>
    <w:lvl w:ilvl="6" w:tplc="C6FAEAB8">
      <w:numFmt w:val="decimal"/>
      <w:lvlText w:val=""/>
      <w:lvlJc w:val="left"/>
    </w:lvl>
    <w:lvl w:ilvl="7" w:tplc="5852C3F0">
      <w:numFmt w:val="decimal"/>
      <w:lvlText w:val=""/>
      <w:lvlJc w:val="left"/>
    </w:lvl>
    <w:lvl w:ilvl="8" w:tplc="6756D49A">
      <w:numFmt w:val="decimal"/>
      <w:lvlText w:val=""/>
      <w:lvlJc w:val="left"/>
    </w:lvl>
  </w:abstractNum>
  <w:abstractNum w:abstractNumId="90" w15:restartNumberingAfterBreak="0">
    <w:nsid w:val="0FB37489"/>
    <w:multiLevelType w:val="hybridMultilevel"/>
    <w:tmpl w:val="A6DA7B78"/>
    <w:lvl w:ilvl="0" w:tplc="520A9B42">
      <w:start w:val="1"/>
      <w:numFmt w:val="bullet"/>
      <w:lvlText w:val="•"/>
      <w:lvlJc w:val="left"/>
    </w:lvl>
    <w:lvl w:ilvl="1" w:tplc="994C9602">
      <w:numFmt w:val="decimal"/>
      <w:lvlText w:val=""/>
      <w:lvlJc w:val="left"/>
    </w:lvl>
    <w:lvl w:ilvl="2" w:tplc="7958AAFA">
      <w:numFmt w:val="decimal"/>
      <w:lvlText w:val=""/>
      <w:lvlJc w:val="left"/>
    </w:lvl>
    <w:lvl w:ilvl="3" w:tplc="E0F49EFE">
      <w:numFmt w:val="decimal"/>
      <w:lvlText w:val=""/>
      <w:lvlJc w:val="left"/>
    </w:lvl>
    <w:lvl w:ilvl="4" w:tplc="F1CE043C">
      <w:numFmt w:val="decimal"/>
      <w:lvlText w:val=""/>
      <w:lvlJc w:val="left"/>
    </w:lvl>
    <w:lvl w:ilvl="5" w:tplc="DFFC8322">
      <w:numFmt w:val="decimal"/>
      <w:lvlText w:val=""/>
      <w:lvlJc w:val="left"/>
    </w:lvl>
    <w:lvl w:ilvl="6" w:tplc="18A2797A">
      <w:numFmt w:val="decimal"/>
      <w:lvlText w:val=""/>
      <w:lvlJc w:val="left"/>
    </w:lvl>
    <w:lvl w:ilvl="7" w:tplc="D924E2D6">
      <w:numFmt w:val="decimal"/>
      <w:lvlText w:val=""/>
      <w:lvlJc w:val="left"/>
    </w:lvl>
    <w:lvl w:ilvl="8" w:tplc="DAA0ED64">
      <w:numFmt w:val="decimal"/>
      <w:lvlText w:val=""/>
      <w:lvlJc w:val="left"/>
    </w:lvl>
  </w:abstractNum>
  <w:abstractNum w:abstractNumId="91" w15:restartNumberingAfterBreak="0">
    <w:nsid w:val="0FD3522E"/>
    <w:multiLevelType w:val="hybridMultilevel"/>
    <w:tmpl w:val="E5FA259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0FE6F967"/>
    <w:multiLevelType w:val="hybridMultilevel"/>
    <w:tmpl w:val="5D7E25EC"/>
    <w:lvl w:ilvl="0" w:tplc="253001D8">
      <w:start w:val="1"/>
      <w:numFmt w:val="decimal"/>
      <w:lvlText w:val="%1."/>
      <w:lvlJc w:val="left"/>
    </w:lvl>
    <w:lvl w:ilvl="1" w:tplc="3B602400">
      <w:numFmt w:val="decimal"/>
      <w:lvlText w:val=""/>
      <w:lvlJc w:val="left"/>
    </w:lvl>
    <w:lvl w:ilvl="2" w:tplc="8D940F86">
      <w:numFmt w:val="decimal"/>
      <w:lvlText w:val=""/>
      <w:lvlJc w:val="left"/>
    </w:lvl>
    <w:lvl w:ilvl="3" w:tplc="0E4CCEEE">
      <w:numFmt w:val="decimal"/>
      <w:lvlText w:val=""/>
      <w:lvlJc w:val="left"/>
    </w:lvl>
    <w:lvl w:ilvl="4" w:tplc="FDBCA642">
      <w:numFmt w:val="decimal"/>
      <w:lvlText w:val=""/>
      <w:lvlJc w:val="left"/>
    </w:lvl>
    <w:lvl w:ilvl="5" w:tplc="E4DA26E4">
      <w:numFmt w:val="decimal"/>
      <w:lvlText w:val=""/>
      <w:lvlJc w:val="left"/>
    </w:lvl>
    <w:lvl w:ilvl="6" w:tplc="63948786">
      <w:numFmt w:val="decimal"/>
      <w:lvlText w:val=""/>
      <w:lvlJc w:val="left"/>
    </w:lvl>
    <w:lvl w:ilvl="7" w:tplc="AC248AB4">
      <w:numFmt w:val="decimal"/>
      <w:lvlText w:val=""/>
      <w:lvlJc w:val="left"/>
    </w:lvl>
    <w:lvl w:ilvl="8" w:tplc="806E6318">
      <w:numFmt w:val="decimal"/>
      <w:lvlText w:val=""/>
      <w:lvlJc w:val="left"/>
    </w:lvl>
  </w:abstractNum>
  <w:abstractNum w:abstractNumId="93" w15:restartNumberingAfterBreak="0">
    <w:nsid w:val="10214BE1"/>
    <w:multiLevelType w:val="hybridMultilevel"/>
    <w:tmpl w:val="79A673BA"/>
    <w:lvl w:ilvl="0" w:tplc="25E88824">
      <w:start w:val="1"/>
      <w:numFmt w:val="bullet"/>
      <w:lvlText w:val="•"/>
      <w:lvlJc w:val="left"/>
    </w:lvl>
    <w:lvl w:ilvl="1" w:tplc="61FC5A6E">
      <w:numFmt w:val="decimal"/>
      <w:lvlText w:val=""/>
      <w:lvlJc w:val="left"/>
    </w:lvl>
    <w:lvl w:ilvl="2" w:tplc="7F462866">
      <w:numFmt w:val="decimal"/>
      <w:lvlText w:val=""/>
      <w:lvlJc w:val="left"/>
    </w:lvl>
    <w:lvl w:ilvl="3" w:tplc="2444D156">
      <w:numFmt w:val="decimal"/>
      <w:lvlText w:val=""/>
      <w:lvlJc w:val="left"/>
    </w:lvl>
    <w:lvl w:ilvl="4" w:tplc="81AC4056">
      <w:numFmt w:val="decimal"/>
      <w:lvlText w:val=""/>
      <w:lvlJc w:val="left"/>
    </w:lvl>
    <w:lvl w:ilvl="5" w:tplc="7EE21BA4">
      <w:numFmt w:val="decimal"/>
      <w:lvlText w:val=""/>
      <w:lvlJc w:val="left"/>
    </w:lvl>
    <w:lvl w:ilvl="6" w:tplc="AA92446E">
      <w:numFmt w:val="decimal"/>
      <w:lvlText w:val=""/>
      <w:lvlJc w:val="left"/>
    </w:lvl>
    <w:lvl w:ilvl="7" w:tplc="ACA4838C">
      <w:numFmt w:val="decimal"/>
      <w:lvlText w:val=""/>
      <w:lvlJc w:val="left"/>
    </w:lvl>
    <w:lvl w:ilvl="8" w:tplc="F468C2D0">
      <w:numFmt w:val="decimal"/>
      <w:lvlText w:val=""/>
      <w:lvlJc w:val="left"/>
    </w:lvl>
  </w:abstractNum>
  <w:abstractNum w:abstractNumId="94" w15:restartNumberingAfterBreak="0">
    <w:nsid w:val="1033BD58"/>
    <w:multiLevelType w:val="hybridMultilevel"/>
    <w:tmpl w:val="3ED28638"/>
    <w:lvl w:ilvl="0" w:tplc="A6E2B1DE">
      <w:start w:val="1"/>
      <w:numFmt w:val="lowerLetter"/>
      <w:lvlText w:val="%1)"/>
      <w:lvlJc w:val="left"/>
    </w:lvl>
    <w:lvl w:ilvl="1" w:tplc="00786A48">
      <w:numFmt w:val="decimal"/>
      <w:lvlText w:val=""/>
      <w:lvlJc w:val="left"/>
    </w:lvl>
    <w:lvl w:ilvl="2" w:tplc="D7B4B850">
      <w:numFmt w:val="decimal"/>
      <w:lvlText w:val=""/>
      <w:lvlJc w:val="left"/>
    </w:lvl>
    <w:lvl w:ilvl="3" w:tplc="6A1E8672">
      <w:numFmt w:val="decimal"/>
      <w:lvlText w:val=""/>
      <w:lvlJc w:val="left"/>
    </w:lvl>
    <w:lvl w:ilvl="4" w:tplc="4C42EE16">
      <w:numFmt w:val="decimal"/>
      <w:lvlText w:val=""/>
      <w:lvlJc w:val="left"/>
    </w:lvl>
    <w:lvl w:ilvl="5" w:tplc="4B72AD38">
      <w:numFmt w:val="decimal"/>
      <w:lvlText w:val=""/>
      <w:lvlJc w:val="left"/>
    </w:lvl>
    <w:lvl w:ilvl="6" w:tplc="A8404C8C">
      <w:numFmt w:val="decimal"/>
      <w:lvlText w:val=""/>
      <w:lvlJc w:val="left"/>
    </w:lvl>
    <w:lvl w:ilvl="7" w:tplc="F7763170">
      <w:numFmt w:val="decimal"/>
      <w:lvlText w:val=""/>
      <w:lvlJc w:val="left"/>
    </w:lvl>
    <w:lvl w:ilvl="8" w:tplc="E2DE0C84">
      <w:numFmt w:val="decimal"/>
      <w:lvlText w:val=""/>
      <w:lvlJc w:val="left"/>
    </w:lvl>
  </w:abstractNum>
  <w:abstractNum w:abstractNumId="95" w15:restartNumberingAfterBreak="0">
    <w:nsid w:val="103B2716"/>
    <w:multiLevelType w:val="hybridMultilevel"/>
    <w:tmpl w:val="C3004E62"/>
    <w:lvl w:ilvl="0" w:tplc="933CF904">
      <w:start w:val="1"/>
      <w:numFmt w:val="bullet"/>
      <w:lvlText w:val="•"/>
      <w:lvlJc w:val="left"/>
    </w:lvl>
    <w:lvl w:ilvl="1" w:tplc="9690B7D4">
      <w:numFmt w:val="decimal"/>
      <w:lvlText w:val=""/>
      <w:lvlJc w:val="left"/>
    </w:lvl>
    <w:lvl w:ilvl="2" w:tplc="F930626A">
      <w:numFmt w:val="decimal"/>
      <w:lvlText w:val=""/>
      <w:lvlJc w:val="left"/>
    </w:lvl>
    <w:lvl w:ilvl="3" w:tplc="E886DF12">
      <w:numFmt w:val="decimal"/>
      <w:lvlText w:val=""/>
      <w:lvlJc w:val="left"/>
    </w:lvl>
    <w:lvl w:ilvl="4" w:tplc="62C6C5F2">
      <w:numFmt w:val="decimal"/>
      <w:lvlText w:val=""/>
      <w:lvlJc w:val="left"/>
    </w:lvl>
    <w:lvl w:ilvl="5" w:tplc="9118C514">
      <w:numFmt w:val="decimal"/>
      <w:lvlText w:val=""/>
      <w:lvlJc w:val="left"/>
    </w:lvl>
    <w:lvl w:ilvl="6" w:tplc="178CCF5A">
      <w:numFmt w:val="decimal"/>
      <w:lvlText w:val=""/>
      <w:lvlJc w:val="left"/>
    </w:lvl>
    <w:lvl w:ilvl="7" w:tplc="64B85C02">
      <w:numFmt w:val="decimal"/>
      <w:lvlText w:val=""/>
      <w:lvlJc w:val="left"/>
    </w:lvl>
    <w:lvl w:ilvl="8" w:tplc="2C26F704">
      <w:numFmt w:val="decimal"/>
      <w:lvlText w:val=""/>
      <w:lvlJc w:val="left"/>
    </w:lvl>
  </w:abstractNum>
  <w:abstractNum w:abstractNumId="96" w15:restartNumberingAfterBreak="0">
    <w:nsid w:val="10511938"/>
    <w:multiLevelType w:val="hybridMultilevel"/>
    <w:tmpl w:val="81AE8648"/>
    <w:lvl w:ilvl="0" w:tplc="04050011">
      <w:start w:val="1"/>
      <w:numFmt w:val="decimal"/>
      <w:lvlText w:val="%1)"/>
      <w:lvlJc w:val="left"/>
    </w:lvl>
    <w:lvl w:ilvl="1" w:tplc="F93E6C68">
      <w:numFmt w:val="decimal"/>
      <w:lvlText w:val=""/>
      <w:lvlJc w:val="left"/>
    </w:lvl>
    <w:lvl w:ilvl="2" w:tplc="6D7247E8">
      <w:numFmt w:val="decimal"/>
      <w:lvlText w:val=""/>
      <w:lvlJc w:val="left"/>
    </w:lvl>
    <w:lvl w:ilvl="3" w:tplc="0D54D2DC">
      <w:numFmt w:val="decimal"/>
      <w:lvlText w:val=""/>
      <w:lvlJc w:val="left"/>
    </w:lvl>
    <w:lvl w:ilvl="4" w:tplc="E60E3156">
      <w:numFmt w:val="decimal"/>
      <w:lvlText w:val=""/>
      <w:lvlJc w:val="left"/>
    </w:lvl>
    <w:lvl w:ilvl="5" w:tplc="23DCF138">
      <w:numFmt w:val="decimal"/>
      <w:lvlText w:val=""/>
      <w:lvlJc w:val="left"/>
    </w:lvl>
    <w:lvl w:ilvl="6" w:tplc="8F1CB1BC">
      <w:numFmt w:val="decimal"/>
      <w:lvlText w:val=""/>
      <w:lvlJc w:val="left"/>
    </w:lvl>
    <w:lvl w:ilvl="7" w:tplc="30C2FAC0">
      <w:numFmt w:val="decimal"/>
      <w:lvlText w:val=""/>
      <w:lvlJc w:val="left"/>
    </w:lvl>
    <w:lvl w:ilvl="8" w:tplc="3E883C04">
      <w:numFmt w:val="decimal"/>
      <w:lvlText w:val=""/>
      <w:lvlJc w:val="left"/>
    </w:lvl>
  </w:abstractNum>
  <w:abstractNum w:abstractNumId="97" w15:restartNumberingAfterBreak="0">
    <w:nsid w:val="1059DF71"/>
    <w:multiLevelType w:val="hybridMultilevel"/>
    <w:tmpl w:val="950208E8"/>
    <w:lvl w:ilvl="0" w:tplc="14F09B56">
      <w:start w:val="1"/>
      <w:numFmt w:val="bullet"/>
      <w:lvlText w:val="-"/>
      <w:lvlJc w:val="left"/>
    </w:lvl>
    <w:lvl w:ilvl="1" w:tplc="D1EAB514">
      <w:numFmt w:val="decimal"/>
      <w:lvlText w:val=""/>
      <w:lvlJc w:val="left"/>
    </w:lvl>
    <w:lvl w:ilvl="2" w:tplc="2CFA016E">
      <w:numFmt w:val="decimal"/>
      <w:lvlText w:val=""/>
      <w:lvlJc w:val="left"/>
    </w:lvl>
    <w:lvl w:ilvl="3" w:tplc="1218A50C">
      <w:numFmt w:val="decimal"/>
      <w:lvlText w:val=""/>
      <w:lvlJc w:val="left"/>
    </w:lvl>
    <w:lvl w:ilvl="4" w:tplc="46D6156C">
      <w:numFmt w:val="decimal"/>
      <w:lvlText w:val=""/>
      <w:lvlJc w:val="left"/>
    </w:lvl>
    <w:lvl w:ilvl="5" w:tplc="32AECC92">
      <w:numFmt w:val="decimal"/>
      <w:lvlText w:val=""/>
      <w:lvlJc w:val="left"/>
    </w:lvl>
    <w:lvl w:ilvl="6" w:tplc="9B2095EE">
      <w:numFmt w:val="decimal"/>
      <w:lvlText w:val=""/>
      <w:lvlJc w:val="left"/>
    </w:lvl>
    <w:lvl w:ilvl="7" w:tplc="65EEFA28">
      <w:numFmt w:val="decimal"/>
      <w:lvlText w:val=""/>
      <w:lvlJc w:val="left"/>
    </w:lvl>
    <w:lvl w:ilvl="8" w:tplc="71E27D40">
      <w:numFmt w:val="decimal"/>
      <w:lvlText w:val=""/>
      <w:lvlJc w:val="left"/>
    </w:lvl>
  </w:abstractNum>
  <w:abstractNum w:abstractNumId="98" w15:restartNumberingAfterBreak="0">
    <w:nsid w:val="109B3C30"/>
    <w:multiLevelType w:val="hybridMultilevel"/>
    <w:tmpl w:val="2BCC7D24"/>
    <w:lvl w:ilvl="0" w:tplc="3FF27BAA">
      <w:start w:val="1"/>
      <w:numFmt w:val="lowerLetter"/>
      <w:lvlText w:val="%1)"/>
      <w:lvlJc w:val="left"/>
    </w:lvl>
    <w:lvl w:ilvl="1" w:tplc="935821A6">
      <w:numFmt w:val="decimal"/>
      <w:lvlText w:val=""/>
      <w:lvlJc w:val="left"/>
    </w:lvl>
    <w:lvl w:ilvl="2" w:tplc="548283CE">
      <w:numFmt w:val="decimal"/>
      <w:lvlText w:val=""/>
      <w:lvlJc w:val="left"/>
    </w:lvl>
    <w:lvl w:ilvl="3" w:tplc="0C1A7D6C">
      <w:numFmt w:val="decimal"/>
      <w:lvlText w:val=""/>
      <w:lvlJc w:val="left"/>
    </w:lvl>
    <w:lvl w:ilvl="4" w:tplc="212288F6">
      <w:numFmt w:val="decimal"/>
      <w:lvlText w:val=""/>
      <w:lvlJc w:val="left"/>
    </w:lvl>
    <w:lvl w:ilvl="5" w:tplc="B572700C">
      <w:numFmt w:val="decimal"/>
      <w:lvlText w:val=""/>
      <w:lvlJc w:val="left"/>
    </w:lvl>
    <w:lvl w:ilvl="6" w:tplc="09BAA50A">
      <w:numFmt w:val="decimal"/>
      <w:lvlText w:val=""/>
      <w:lvlJc w:val="left"/>
    </w:lvl>
    <w:lvl w:ilvl="7" w:tplc="DC38CC44">
      <w:numFmt w:val="decimal"/>
      <w:lvlText w:val=""/>
      <w:lvlJc w:val="left"/>
    </w:lvl>
    <w:lvl w:ilvl="8" w:tplc="094E479E">
      <w:numFmt w:val="decimal"/>
      <w:lvlText w:val=""/>
      <w:lvlJc w:val="left"/>
    </w:lvl>
  </w:abstractNum>
  <w:abstractNum w:abstractNumId="99" w15:restartNumberingAfterBreak="0">
    <w:nsid w:val="10F27D8C"/>
    <w:multiLevelType w:val="hybridMultilevel"/>
    <w:tmpl w:val="A8A2E7D8"/>
    <w:lvl w:ilvl="0" w:tplc="DA3A99A6">
      <w:start w:val="1"/>
      <w:numFmt w:val="decimal"/>
      <w:lvlText w:val="%1."/>
      <w:lvlJc w:val="left"/>
    </w:lvl>
    <w:lvl w:ilvl="1" w:tplc="DD1E4ADC">
      <w:start w:val="1"/>
      <w:numFmt w:val="bullet"/>
      <w:lvlText w:val="-"/>
      <w:lvlJc w:val="left"/>
    </w:lvl>
    <w:lvl w:ilvl="2" w:tplc="2CD8A39A">
      <w:start w:val="1"/>
      <w:numFmt w:val="bullet"/>
      <w:lvlText w:val="§"/>
      <w:lvlJc w:val="left"/>
    </w:lvl>
    <w:lvl w:ilvl="3" w:tplc="F3302CC8">
      <w:numFmt w:val="decimal"/>
      <w:lvlText w:val=""/>
      <w:lvlJc w:val="left"/>
    </w:lvl>
    <w:lvl w:ilvl="4" w:tplc="3C82B558">
      <w:numFmt w:val="decimal"/>
      <w:lvlText w:val=""/>
      <w:lvlJc w:val="left"/>
    </w:lvl>
    <w:lvl w:ilvl="5" w:tplc="6B728F42">
      <w:numFmt w:val="decimal"/>
      <w:lvlText w:val=""/>
      <w:lvlJc w:val="left"/>
    </w:lvl>
    <w:lvl w:ilvl="6" w:tplc="680642D2">
      <w:numFmt w:val="decimal"/>
      <w:lvlText w:val=""/>
      <w:lvlJc w:val="left"/>
    </w:lvl>
    <w:lvl w:ilvl="7" w:tplc="DC24EB3C">
      <w:numFmt w:val="decimal"/>
      <w:lvlText w:val=""/>
      <w:lvlJc w:val="left"/>
    </w:lvl>
    <w:lvl w:ilvl="8" w:tplc="0F1AD16C">
      <w:numFmt w:val="decimal"/>
      <w:lvlText w:val=""/>
      <w:lvlJc w:val="left"/>
    </w:lvl>
  </w:abstractNum>
  <w:abstractNum w:abstractNumId="100" w15:restartNumberingAfterBreak="0">
    <w:nsid w:val="111817CF"/>
    <w:multiLevelType w:val="hybridMultilevel"/>
    <w:tmpl w:val="25082182"/>
    <w:lvl w:ilvl="0" w:tplc="C83E7318">
      <w:start w:val="1"/>
      <w:numFmt w:val="bullet"/>
      <w:lvlText w:val="•"/>
      <w:lvlJc w:val="left"/>
    </w:lvl>
    <w:lvl w:ilvl="1" w:tplc="CA74597A">
      <w:start w:val="15"/>
      <w:numFmt w:val="lowerLetter"/>
      <w:lvlText w:val="%2"/>
      <w:lvlJc w:val="left"/>
    </w:lvl>
    <w:lvl w:ilvl="2" w:tplc="2520A3F8">
      <w:numFmt w:val="decimal"/>
      <w:lvlText w:val=""/>
      <w:lvlJc w:val="left"/>
    </w:lvl>
    <w:lvl w:ilvl="3" w:tplc="0436F856">
      <w:numFmt w:val="decimal"/>
      <w:lvlText w:val=""/>
      <w:lvlJc w:val="left"/>
    </w:lvl>
    <w:lvl w:ilvl="4" w:tplc="7BCCB11A">
      <w:numFmt w:val="decimal"/>
      <w:lvlText w:val=""/>
      <w:lvlJc w:val="left"/>
    </w:lvl>
    <w:lvl w:ilvl="5" w:tplc="DEB461D8">
      <w:numFmt w:val="decimal"/>
      <w:lvlText w:val=""/>
      <w:lvlJc w:val="left"/>
    </w:lvl>
    <w:lvl w:ilvl="6" w:tplc="01B4A18C">
      <w:numFmt w:val="decimal"/>
      <w:lvlText w:val=""/>
      <w:lvlJc w:val="left"/>
    </w:lvl>
    <w:lvl w:ilvl="7" w:tplc="FD206946">
      <w:numFmt w:val="decimal"/>
      <w:lvlText w:val=""/>
      <w:lvlJc w:val="left"/>
    </w:lvl>
    <w:lvl w:ilvl="8" w:tplc="15EEAC80">
      <w:numFmt w:val="decimal"/>
      <w:lvlText w:val=""/>
      <w:lvlJc w:val="left"/>
    </w:lvl>
  </w:abstractNum>
  <w:abstractNum w:abstractNumId="101" w15:restartNumberingAfterBreak="0">
    <w:nsid w:val="113B38C2"/>
    <w:multiLevelType w:val="hybridMultilevel"/>
    <w:tmpl w:val="5DA85778"/>
    <w:lvl w:ilvl="0" w:tplc="53CABD30">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1159860A"/>
    <w:multiLevelType w:val="hybridMultilevel"/>
    <w:tmpl w:val="002E2882"/>
    <w:lvl w:ilvl="0" w:tplc="912245B2">
      <w:start w:val="1"/>
      <w:numFmt w:val="decimal"/>
      <w:lvlText w:val="%1."/>
      <w:lvlJc w:val="left"/>
    </w:lvl>
    <w:lvl w:ilvl="1" w:tplc="4CBA0D7C">
      <w:numFmt w:val="decimal"/>
      <w:lvlText w:val=""/>
      <w:lvlJc w:val="left"/>
    </w:lvl>
    <w:lvl w:ilvl="2" w:tplc="A1F84A22">
      <w:numFmt w:val="decimal"/>
      <w:lvlText w:val=""/>
      <w:lvlJc w:val="left"/>
    </w:lvl>
    <w:lvl w:ilvl="3" w:tplc="59BCE016">
      <w:numFmt w:val="decimal"/>
      <w:lvlText w:val=""/>
      <w:lvlJc w:val="left"/>
    </w:lvl>
    <w:lvl w:ilvl="4" w:tplc="6B46FF54">
      <w:numFmt w:val="decimal"/>
      <w:lvlText w:val=""/>
      <w:lvlJc w:val="left"/>
    </w:lvl>
    <w:lvl w:ilvl="5" w:tplc="DC149188">
      <w:numFmt w:val="decimal"/>
      <w:lvlText w:val=""/>
      <w:lvlJc w:val="left"/>
    </w:lvl>
    <w:lvl w:ilvl="6" w:tplc="A244AB60">
      <w:numFmt w:val="decimal"/>
      <w:lvlText w:val=""/>
      <w:lvlJc w:val="left"/>
    </w:lvl>
    <w:lvl w:ilvl="7" w:tplc="0832CCAE">
      <w:numFmt w:val="decimal"/>
      <w:lvlText w:val=""/>
      <w:lvlJc w:val="left"/>
    </w:lvl>
    <w:lvl w:ilvl="8" w:tplc="C57E0F00">
      <w:numFmt w:val="decimal"/>
      <w:lvlText w:val=""/>
      <w:lvlJc w:val="left"/>
    </w:lvl>
  </w:abstractNum>
  <w:abstractNum w:abstractNumId="103" w15:restartNumberingAfterBreak="0">
    <w:nsid w:val="11A5DA5E"/>
    <w:multiLevelType w:val="hybridMultilevel"/>
    <w:tmpl w:val="52CEFFE6"/>
    <w:lvl w:ilvl="0" w:tplc="E8E665F4">
      <w:start w:val="1"/>
      <w:numFmt w:val="bullet"/>
      <w:lvlText w:val="-"/>
      <w:lvlJc w:val="left"/>
    </w:lvl>
    <w:lvl w:ilvl="1" w:tplc="9D66EC98">
      <w:numFmt w:val="decimal"/>
      <w:lvlText w:val=""/>
      <w:lvlJc w:val="left"/>
    </w:lvl>
    <w:lvl w:ilvl="2" w:tplc="30B0386E">
      <w:numFmt w:val="decimal"/>
      <w:lvlText w:val=""/>
      <w:lvlJc w:val="left"/>
    </w:lvl>
    <w:lvl w:ilvl="3" w:tplc="1D06B9B8">
      <w:numFmt w:val="decimal"/>
      <w:lvlText w:val=""/>
      <w:lvlJc w:val="left"/>
    </w:lvl>
    <w:lvl w:ilvl="4" w:tplc="73E23B8E">
      <w:numFmt w:val="decimal"/>
      <w:lvlText w:val=""/>
      <w:lvlJc w:val="left"/>
    </w:lvl>
    <w:lvl w:ilvl="5" w:tplc="3530D152">
      <w:numFmt w:val="decimal"/>
      <w:lvlText w:val=""/>
      <w:lvlJc w:val="left"/>
    </w:lvl>
    <w:lvl w:ilvl="6" w:tplc="D33670A6">
      <w:numFmt w:val="decimal"/>
      <w:lvlText w:val=""/>
      <w:lvlJc w:val="left"/>
    </w:lvl>
    <w:lvl w:ilvl="7" w:tplc="19F8C364">
      <w:numFmt w:val="decimal"/>
      <w:lvlText w:val=""/>
      <w:lvlJc w:val="left"/>
    </w:lvl>
    <w:lvl w:ilvl="8" w:tplc="54D4C66C">
      <w:numFmt w:val="decimal"/>
      <w:lvlText w:val=""/>
      <w:lvlJc w:val="left"/>
    </w:lvl>
  </w:abstractNum>
  <w:abstractNum w:abstractNumId="104" w15:restartNumberingAfterBreak="0">
    <w:nsid w:val="11ACAB8C"/>
    <w:multiLevelType w:val="hybridMultilevel"/>
    <w:tmpl w:val="FFC26738"/>
    <w:lvl w:ilvl="0" w:tplc="51A6C08C">
      <w:start w:val="1"/>
      <w:numFmt w:val="bullet"/>
      <w:lvlText w:val="-"/>
      <w:lvlJc w:val="left"/>
    </w:lvl>
    <w:lvl w:ilvl="1" w:tplc="3466B61C">
      <w:numFmt w:val="decimal"/>
      <w:lvlText w:val=""/>
      <w:lvlJc w:val="left"/>
    </w:lvl>
    <w:lvl w:ilvl="2" w:tplc="0916E7D6">
      <w:numFmt w:val="decimal"/>
      <w:lvlText w:val=""/>
      <w:lvlJc w:val="left"/>
    </w:lvl>
    <w:lvl w:ilvl="3" w:tplc="97644D12">
      <w:numFmt w:val="decimal"/>
      <w:lvlText w:val=""/>
      <w:lvlJc w:val="left"/>
    </w:lvl>
    <w:lvl w:ilvl="4" w:tplc="24845724">
      <w:numFmt w:val="decimal"/>
      <w:lvlText w:val=""/>
      <w:lvlJc w:val="left"/>
    </w:lvl>
    <w:lvl w:ilvl="5" w:tplc="7C48372A">
      <w:numFmt w:val="decimal"/>
      <w:lvlText w:val=""/>
      <w:lvlJc w:val="left"/>
    </w:lvl>
    <w:lvl w:ilvl="6" w:tplc="9C5276E2">
      <w:numFmt w:val="decimal"/>
      <w:lvlText w:val=""/>
      <w:lvlJc w:val="left"/>
    </w:lvl>
    <w:lvl w:ilvl="7" w:tplc="2C0C237A">
      <w:numFmt w:val="decimal"/>
      <w:lvlText w:val=""/>
      <w:lvlJc w:val="left"/>
    </w:lvl>
    <w:lvl w:ilvl="8" w:tplc="8C8E8A8C">
      <w:numFmt w:val="decimal"/>
      <w:lvlText w:val=""/>
      <w:lvlJc w:val="left"/>
    </w:lvl>
  </w:abstractNum>
  <w:abstractNum w:abstractNumId="105" w15:restartNumberingAfterBreak="0">
    <w:nsid w:val="11BFDA2C"/>
    <w:multiLevelType w:val="hybridMultilevel"/>
    <w:tmpl w:val="C5C8FDE6"/>
    <w:lvl w:ilvl="0" w:tplc="00FAC25A">
      <w:start w:val="15"/>
      <w:numFmt w:val="lowerLetter"/>
      <w:lvlText w:val="%1"/>
      <w:lvlJc w:val="left"/>
    </w:lvl>
    <w:lvl w:ilvl="1" w:tplc="6AFE1994">
      <w:start w:val="1"/>
      <w:numFmt w:val="bullet"/>
      <w:lvlText w:val="§"/>
      <w:lvlJc w:val="left"/>
    </w:lvl>
    <w:lvl w:ilvl="2" w:tplc="C9F69872">
      <w:numFmt w:val="decimal"/>
      <w:lvlText w:val=""/>
      <w:lvlJc w:val="left"/>
    </w:lvl>
    <w:lvl w:ilvl="3" w:tplc="C8C0FC26">
      <w:numFmt w:val="decimal"/>
      <w:lvlText w:val=""/>
      <w:lvlJc w:val="left"/>
    </w:lvl>
    <w:lvl w:ilvl="4" w:tplc="EF1C894E">
      <w:numFmt w:val="decimal"/>
      <w:lvlText w:val=""/>
      <w:lvlJc w:val="left"/>
    </w:lvl>
    <w:lvl w:ilvl="5" w:tplc="17BAB876">
      <w:numFmt w:val="decimal"/>
      <w:lvlText w:val=""/>
      <w:lvlJc w:val="left"/>
    </w:lvl>
    <w:lvl w:ilvl="6" w:tplc="2E421E34">
      <w:numFmt w:val="decimal"/>
      <w:lvlText w:val=""/>
      <w:lvlJc w:val="left"/>
    </w:lvl>
    <w:lvl w:ilvl="7" w:tplc="094E65F4">
      <w:numFmt w:val="decimal"/>
      <w:lvlText w:val=""/>
      <w:lvlJc w:val="left"/>
    </w:lvl>
    <w:lvl w:ilvl="8" w:tplc="AF5CF4D8">
      <w:numFmt w:val="decimal"/>
      <w:lvlText w:val=""/>
      <w:lvlJc w:val="left"/>
    </w:lvl>
  </w:abstractNum>
  <w:abstractNum w:abstractNumId="106" w15:restartNumberingAfterBreak="0">
    <w:nsid w:val="11C061F3"/>
    <w:multiLevelType w:val="hybridMultilevel"/>
    <w:tmpl w:val="B0F66C14"/>
    <w:lvl w:ilvl="0" w:tplc="BB44A260">
      <w:start w:val="1"/>
      <w:numFmt w:val="bullet"/>
      <w:lvlText w:val="•"/>
      <w:lvlJc w:val="left"/>
    </w:lvl>
    <w:lvl w:ilvl="1" w:tplc="BBE6058C">
      <w:numFmt w:val="decimal"/>
      <w:lvlText w:val=""/>
      <w:lvlJc w:val="left"/>
    </w:lvl>
    <w:lvl w:ilvl="2" w:tplc="40543C50">
      <w:numFmt w:val="decimal"/>
      <w:lvlText w:val=""/>
      <w:lvlJc w:val="left"/>
    </w:lvl>
    <w:lvl w:ilvl="3" w:tplc="328212AA">
      <w:numFmt w:val="decimal"/>
      <w:lvlText w:val=""/>
      <w:lvlJc w:val="left"/>
    </w:lvl>
    <w:lvl w:ilvl="4" w:tplc="4D2C236A">
      <w:numFmt w:val="decimal"/>
      <w:lvlText w:val=""/>
      <w:lvlJc w:val="left"/>
    </w:lvl>
    <w:lvl w:ilvl="5" w:tplc="092E868E">
      <w:numFmt w:val="decimal"/>
      <w:lvlText w:val=""/>
      <w:lvlJc w:val="left"/>
    </w:lvl>
    <w:lvl w:ilvl="6" w:tplc="9F46ED94">
      <w:numFmt w:val="decimal"/>
      <w:lvlText w:val=""/>
      <w:lvlJc w:val="left"/>
    </w:lvl>
    <w:lvl w:ilvl="7" w:tplc="D99E1CFA">
      <w:numFmt w:val="decimal"/>
      <w:lvlText w:val=""/>
      <w:lvlJc w:val="left"/>
    </w:lvl>
    <w:lvl w:ilvl="8" w:tplc="FC562EB6">
      <w:numFmt w:val="decimal"/>
      <w:lvlText w:val=""/>
      <w:lvlJc w:val="left"/>
    </w:lvl>
  </w:abstractNum>
  <w:abstractNum w:abstractNumId="107" w15:restartNumberingAfterBreak="0">
    <w:nsid w:val="11C5ABEF"/>
    <w:multiLevelType w:val="hybridMultilevel"/>
    <w:tmpl w:val="2C8AFFE0"/>
    <w:lvl w:ilvl="0" w:tplc="CA62C824">
      <w:start w:val="1"/>
      <w:numFmt w:val="lowerLetter"/>
      <w:lvlText w:val="%1)"/>
      <w:lvlJc w:val="left"/>
    </w:lvl>
    <w:lvl w:ilvl="1" w:tplc="B89850B8">
      <w:numFmt w:val="decimal"/>
      <w:lvlText w:val=""/>
      <w:lvlJc w:val="left"/>
    </w:lvl>
    <w:lvl w:ilvl="2" w:tplc="FDA2D488">
      <w:numFmt w:val="decimal"/>
      <w:lvlText w:val=""/>
      <w:lvlJc w:val="left"/>
    </w:lvl>
    <w:lvl w:ilvl="3" w:tplc="F9943978">
      <w:numFmt w:val="decimal"/>
      <w:lvlText w:val=""/>
      <w:lvlJc w:val="left"/>
    </w:lvl>
    <w:lvl w:ilvl="4" w:tplc="1EB465C4">
      <w:numFmt w:val="decimal"/>
      <w:lvlText w:val=""/>
      <w:lvlJc w:val="left"/>
    </w:lvl>
    <w:lvl w:ilvl="5" w:tplc="77E883A4">
      <w:numFmt w:val="decimal"/>
      <w:lvlText w:val=""/>
      <w:lvlJc w:val="left"/>
    </w:lvl>
    <w:lvl w:ilvl="6" w:tplc="9AD67DB2">
      <w:numFmt w:val="decimal"/>
      <w:lvlText w:val=""/>
      <w:lvlJc w:val="left"/>
    </w:lvl>
    <w:lvl w:ilvl="7" w:tplc="8766BA42">
      <w:numFmt w:val="decimal"/>
      <w:lvlText w:val=""/>
      <w:lvlJc w:val="left"/>
    </w:lvl>
    <w:lvl w:ilvl="8" w:tplc="E6422C7A">
      <w:numFmt w:val="decimal"/>
      <w:lvlText w:val=""/>
      <w:lvlJc w:val="left"/>
    </w:lvl>
  </w:abstractNum>
  <w:abstractNum w:abstractNumId="108" w15:restartNumberingAfterBreak="0">
    <w:nsid w:val="1201EF18"/>
    <w:multiLevelType w:val="hybridMultilevel"/>
    <w:tmpl w:val="D7B4AB80"/>
    <w:lvl w:ilvl="0" w:tplc="EA9AD156">
      <w:start w:val="1"/>
      <w:numFmt w:val="bullet"/>
      <w:lvlText w:val="-"/>
      <w:lvlJc w:val="left"/>
    </w:lvl>
    <w:lvl w:ilvl="1" w:tplc="5A200BC4">
      <w:numFmt w:val="decimal"/>
      <w:lvlText w:val=""/>
      <w:lvlJc w:val="left"/>
    </w:lvl>
    <w:lvl w:ilvl="2" w:tplc="BF26C07E">
      <w:numFmt w:val="decimal"/>
      <w:lvlText w:val=""/>
      <w:lvlJc w:val="left"/>
    </w:lvl>
    <w:lvl w:ilvl="3" w:tplc="19CC2DB6">
      <w:numFmt w:val="decimal"/>
      <w:lvlText w:val=""/>
      <w:lvlJc w:val="left"/>
    </w:lvl>
    <w:lvl w:ilvl="4" w:tplc="16B2E922">
      <w:numFmt w:val="decimal"/>
      <w:lvlText w:val=""/>
      <w:lvlJc w:val="left"/>
    </w:lvl>
    <w:lvl w:ilvl="5" w:tplc="6ECCF1C4">
      <w:numFmt w:val="decimal"/>
      <w:lvlText w:val=""/>
      <w:lvlJc w:val="left"/>
    </w:lvl>
    <w:lvl w:ilvl="6" w:tplc="B712D0D0">
      <w:numFmt w:val="decimal"/>
      <w:lvlText w:val=""/>
      <w:lvlJc w:val="left"/>
    </w:lvl>
    <w:lvl w:ilvl="7" w:tplc="5B82F3F8">
      <w:numFmt w:val="decimal"/>
      <w:lvlText w:val=""/>
      <w:lvlJc w:val="left"/>
    </w:lvl>
    <w:lvl w:ilvl="8" w:tplc="30A23538">
      <w:numFmt w:val="decimal"/>
      <w:lvlText w:val=""/>
      <w:lvlJc w:val="left"/>
    </w:lvl>
  </w:abstractNum>
  <w:abstractNum w:abstractNumId="109" w15:restartNumberingAfterBreak="0">
    <w:nsid w:val="12552B10"/>
    <w:multiLevelType w:val="hybridMultilevel"/>
    <w:tmpl w:val="B6B82F34"/>
    <w:lvl w:ilvl="0" w:tplc="3D4A8F28">
      <w:start w:val="1"/>
      <w:numFmt w:val="bullet"/>
      <w:lvlText w:val="·"/>
      <w:lvlJc w:val="left"/>
    </w:lvl>
    <w:lvl w:ilvl="1" w:tplc="6F6282E0">
      <w:numFmt w:val="decimal"/>
      <w:lvlText w:val=""/>
      <w:lvlJc w:val="left"/>
    </w:lvl>
    <w:lvl w:ilvl="2" w:tplc="3398BEB0">
      <w:numFmt w:val="decimal"/>
      <w:lvlText w:val=""/>
      <w:lvlJc w:val="left"/>
    </w:lvl>
    <w:lvl w:ilvl="3" w:tplc="EBCEE97E">
      <w:numFmt w:val="decimal"/>
      <w:lvlText w:val=""/>
      <w:lvlJc w:val="left"/>
    </w:lvl>
    <w:lvl w:ilvl="4" w:tplc="211466B2">
      <w:numFmt w:val="decimal"/>
      <w:lvlText w:val=""/>
      <w:lvlJc w:val="left"/>
    </w:lvl>
    <w:lvl w:ilvl="5" w:tplc="5608D66C">
      <w:numFmt w:val="decimal"/>
      <w:lvlText w:val=""/>
      <w:lvlJc w:val="left"/>
    </w:lvl>
    <w:lvl w:ilvl="6" w:tplc="AEF208C0">
      <w:numFmt w:val="decimal"/>
      <w:lvlText w:val=""/>
      <w:lvlJc w:val="left"/>
    </w:lvl>
    <w:lvl w:ilvl="7" w:tplc="06CACDB2">
      <w:numFmt w:val="decimal"/>
      <w:lvlText w:val=""/>
      <w:lvlJc w:val="left"/>
    </w:lvl>
    <w:lvl w:ilvl="8" w:tplc="BD5ADC9E">
      <w:numFmt w:val="decimal"/>
      <w:lvlText w:val=""/>
      <w:lvlJc w:val="left"/>
    </w:lvl>
  </w:abstractNum>
  <w:abstractNum w:abstractNumId="110" w15:restartNumberingAfterBreak="0">
    <w:nsid w:val="1276A960"/>
    <w:multiLevelType w:val="hybridMultilevel"/>
    <w:tmpl w:val="9A68F3F0"/>
    <w:lvl w:ilvl="0" w:tplc="F96C4A0E">
      <w:start w:val="1"/>
      <w:numFmt w:val="bullet"/>
      <w:lvlText w:val="•"/>
      <w:lvlJc w:val="left"/>
    </w:lvl>
    <w:lvl w:ilvl="1" w:tplc="80E65AAE">
      <w:numFmt w:val="decimal"/>
      <w:lvlText w:val=""/>
      <w:lvlJc w:val="left"/>
    </w:lvl>
    <w:lvl w:ilvl="2" w:tplc="5CB88C10">
      <w:numFmt w:val="decimal"/>
      <w:lvlText w:val=""/>
      <w:lvlJc w:val="left"/>
    </w:lvl>
    <w:lvl w:ilvl="3" w:tplc="AD1C9EAA">
      <w:numFmt w:val="decimal"/>
      <w:lvlText w:val=""/>
      <w:lvlJc w:val="left"/>
    </w:lvl>
    <w:lvl w:ilvl="4" w:tplc="4C50192E">
      <w:numFmt w:val="decimal"/>
      <w:lvlText w:val=""/>
      <w:lvlJc w:val="left"/>
    </w:lvl>
    <w:lvl w:ilvl="5" w:tplc="7D546896">
      <w:numFmt w:val="decimal"/>
      <w:lvlText w:val=""/>
      <w:lvlJc w:val="left"/>
    </w:lvl>
    <w:lvl w:ilvl="6" w:tplc="D01AEEBC">
      <w:numFmt w:val="decimal"/>
      <w:lvlText w:val=""/>
      <w:lvlJc w:val="left"/>
    </w:lvl>
    <w:lvl w:ilvl="7" w:tplc="236A086C">
      <w:numFmt w:val="decimal"/>
      <w:lvlText w:val=""/>
      <w:lvlJc w:val="left"/>
    </w:lvl>
    <w:lvl w:ilvl="8" w:tplc="8CDC433E">
      <w:numFmt w:val="decimal"/>
      <w:lvlText w:val=""/>
      <w:lvlJc w:val="left"/>
    </w:lvl>
  </w:abstractNum>
  <w:abstractNum w:abstractNumId="111" w15:restartNumberingAfterBreak="0">
    <w:nsid w:val="12904FB3"/>
    <w:multiLevelType w:val="hybridMultilevel"/>
    <w:tmpl w:val="8F6C92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2" w15:restartNumberingAfterBreak="0">
    <w:nsid w:val="129B95F2"/>
    <w:multiLevelType w:val="hybridMultilevel"/>
    <w:tmpl w:val="CA826212"/>
    <w:lvl w:ilvl="0" w:tplc="C8223906">
      <w:start w:val="1"/>
      <w:numFmt w:val="bullet"/>
      <w:lvlText w:val="•"/>
      <w:lvlJc w:val="left"/>
    </w:lvl>
    <w:lvl w:ilvl="1" w:tplc="0226AFE6">
      <w:numFmt w:val="decimal"/>
      <w:lvlText w:val=""/>
      <w:lvlJc w:val="left"/>
    </w:lvl>
    <w:lvl w:ilvl="2" w:tplc="9C82A370">
      <w:numFmt w:val="decimal"/>
      <w:lvlText w:val=""/>
      <w:lvlJc w:val="left"/>
    </w:lvl>
    <w:lvl w:ilvl="3" w:tplc="99C8393E">
      <w:numFmt w:val="decimal"/>
      <w:lvlText w:val=""/>
      <w:lvlJc w:val="left"/>
    </w:lvl>
    <w:lvl w:ilvl="4" w:tplc="755EFFFA">
      <w:numFmt w:val="decimal"/>
      <w:lvlText w:val=""/>
      <w:lvlJc w:val="left"/>
    </w:lvl>
    <w:lvl w:ilvl="5" w:tplc="D2663F4E">
      <w:numFmt w:val="decimal"/>
      <w:lvlText w:val=""/>
      <w:lvlJc w:val="left"/>
    </w:lvl>
    <w:lvl w:ilvl="6" w:tplc="EE6E78E0">
      <w:numFmt w:val="decimal"/>
      <w:lvlText w:val=""/>
      <w:lvlJc w:val="left"/>
    </w:lvl>
    <w:lvl w:ilvl="7" w:tplc="C5AA8382">
      <w:numFmt w:val="decimal"/>
      <w:lvlText w:val=""/>
      <w:lvlJc w:val="left"/>
    </w:lvl>
    <w:lvl w:ilvl="8" w:tplc="89226512">
      <w:numFmt w:val="decimal"/>
      <w:lvlText w:val=""/>
      <w:lvlJc w:val="left"/>
    </w:lvl>
  </w:abstractNum>
  <w:abstractNum w:abstractNumId="113" w15:restartNumberingAfterBreak="0">
    <w:nsid w:val="12E63B47"/>
    <w:multiLevelType w:val="hybridMultilevel"/>
    <w:tmpl w:val="BD1C9050"/>
    <w:lvl w:ilvl="0" w:tplc="CBFADD0C">
      <w:start w:val="1"/>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15:restartNumberingAfterBreak="0">
    <w:nsid w:val="12F962FE"/>
    <w:multiLevelType w:val="hybridMultilevel"/>
    <w:tmpl w:val="A62A21C2"/>
    <w:lvl w:ilvl="0" w:tplc="7366A6C6">
      <w:start w:val="2"/>
      <w:numFmt w:val="upperLetter"/>
      <w:lvlText w:val="%1."/>
      <w:lvlJc w:val="left"/>
    </w:lvl>
    <w:lvl w:ilvl="1" w:tplc="7160068C">
      <w:numFmt w:val="decimal"/>
      <w:lvlText w:val=""/>
      <w:lvlJc w:val="left"/>
    </w:lvl>
    <w:lvl w:ilvl="2" w:tplc="7916D6C0">
      <w:numFmt w:val="decimal"/>
      <w:lvlText w:val=""/>
      <w:lvlJc w:val="left"/>
    </w:lvl>
    <w:lvl w:ilvl="3" w:tplc="352E9C62">
      <w:numFmt w:val="decimal"/>
      <w:lvlText w:val=""/>
      <w:lvlJc w:val="left"/>
    </w:lvl>
    <w:lvl w:ilvl="4" w:tplc="D2CA3C30">
      <w:numFmt w:val="decimal"/>
      <w:lvlText w:val=""/>
      <w:lvlJc w:val="left"/>
    </w:lvl>
    <w:lvl w:ilvl="5" w:tplc="84226AE2">
      <w:numFmt w:val="decimal"/>
      <w:lvlText w:val=""/>
      <w:lvlJc w:val="left"/>
    </w:lvl>
    <w:lvl w:ilvl="6" w:tplc="B98A692E">
      <w:numFmt w:val="decimal"/>
      <w:lvlText w:val=""/>
      <w:lvlJc w:val="left"/>
    </w:lvl>
    <w:lvl w:ilvl="7" w:tplc="8D7E8AD0">
      <w:numFmt w:val="decimal"/>
      <w:lvlText w:val=""/>
      <w:lvlJc w:val="left"/>
    </w:lvl>
    <w:lvl w:ilvl="8" w:tplc="EC3AF222">
      <w:numFmt w:val="decimal"/>
      <w:lvlText w:val=""/>
      <w:lvlJc w:val="left"/>
    </w:lvl>
  </w:abstractNum>
  <w:abstractNum w:abstractNumId="115" w15:restartNumberingAfterBreak="0">
    <w:nsid w:val="1388B868"/>
    <w:multiLevelType w:val="hybridMultilevel"/>
    <w:tmpl w:val="98EC3D58"/>
    <w:lvl w:ilvl="0" w:tplc="DE18BF8C">
      <w:start w:val="1"/>
      <w:numFmt w:val="bullet"/>
      <w:lvlText w:val="•"/>
      <w:lvlJc w:val="left"/>
    </w:lvl>
    <w:lvl w:ilvl="1" w:tplc="196214E2">
      <w:numFmt w:val="decimal"/>
      <w:lvlText w:val=""/>
      <w:lvlJc w:val="left"/>
    </w:lvl>
    <w:lvl w:ilvl="2" w:tplc="7CB6B6BA">
      <w:numFmt w:val="decimal"/>
      <w:lvlText w:val=""/>
      <w:lvlJc w:val="left"/>
    </w:lvl>
    <w:lvl w:ilvl="3" w:tplc="6C7AFC60">
      <w:numFmt w:val="decimal"/>
      <w:lvlText w:val=""/>
      <w:lvlJc w:val="left"/>
    </w:lvl>
    <w:lvl w:ilvl="4" w:tplc="B80C536E">
      <w:numFmt w:val="decimal"/>
      <w:lvlText w:val=""/>
      <w:lvlJc w:val="left"/>
    </w:lvl>
    <w:lvl w:ilvl="5" w:tplc="3B42C9B2">
      <w:numFmt w:val="decimal"/>
      <w:lvlText w:val=""/>
      <w:lvlJc w:val="left"/>
    </w:lvl>
    <w:lvl w:ilvl="6" w:tplc="5AC4861A">
      <w:numFmt w:val="decimal"/>
      <w:lvlText w:val=""/>
      <w:lvlJc w:val="left"/>
    </w:lvl>
    <w:lvl w:ilvl="7" w:tplc="FD425B3C">
      <w:numFmt w:val="decimal"/>
      <w:lvlText w:val=""/>
      <w:lvlJc w:val="left"/>
    </w:lvl>
    <w:lvl w:ilvl="8" w:tplc="9A7AE466">
      <w:numFmt w:val="decimal"/>
      <w:lvlText w:val=""/>
      <w:lvlJc w:val="left"/>
    </w:lvl>
  </w:abstractNum>
  <w:abstractNum w:abstractNumId="116" w15:restartNumberingAfterBreak="0">
    <w:nsid w:val="13BAE843"/>
    <w:multiLevelType w:val="hybridMultilevel"/>
    <w:tmpl w:val="CDF84994"/>
    <w:lvl w:ilvl="0" w:tplc="1F3A3950">
      <w:start w:val="1"/>
      <w:numFmt w:val="bullet"/>
      <w:lvlText w:val="-"/>
      <w:lvlJc w:val="left"/>
    </w:lvl>
    <w:lvl w:ilvl="1" w:tplc="1BB422E4">
      <w:numFmt w:val="decimal"/>
      <w:lvlText w:val=""/>
      <w:lvlJc w:val="left"/>
    </w:lvl>
    <w:lvl w:ilvl="2" w:tplc="09CACE08">
      <w:numFmt w:val="decimal"/>
      <w:lvlText w:val=""/>
      <w:lvlJc w:val="left"/>
    </w:lvl>
    <w:lvl w:ilvl="3" w:tplc="B106E98C">
      <w:numFmt w:val="decimal"/>
      <w:lvlText w:val=""/>
      <w:lvlJc w:val="left"/>
    </w:lvl>
    <w:lvl w:ilvl="4" w:tplc="569867AA">
      <w:numFmt w:val="decimal"/>
      <w:lvlText w:val=""/>
      <w:lvlJc w:val="left"/>
    </w:lvl>
    <w:lvl w:ilvl="5" w:tplc="65D6531E">
      <w:numFmt w:val="decimal"/>
      <w:lvlText w:val=""/>
      <w:lvlJc w:val="left"/>
    </w:lvl>
    <w:lvl w:ilvl="6" w:tplc="1BAC1C7E">
      <w:numFmt w:val="decimal"/>
      <w:lvlText w:val=""/>
      <w:lvlJc w:val="left"/>
    </w:lvl>
    <w:lvl w:ilvl="7" w:tplc="5B58CF64">
      <w:numFmt w:val="decimal"/>
      <w:lvlText w:val=""/>
      <w:lvlJc w:val="left"/>
    </w:lvl>
    <w:lvl w:ilvl="8" w:tplc="A4085ACE">
      <w:numFmt w:val="decimal"/>
      <w:lvlText w:val=""/>
      <w:lvlJc w:val="left"/>
    </w:lvl>
  </w:abstractNum>
  <w:abstractNum w:abstractNumId="117" w15:restartNumberingAfterBreak="0">
    <w:nsid w:val="13D4A2F2"/>
    <w:multiLevelType w:val="hybridMultilevel"/>
    <w:tmpl w:val="C7627F58"/>
    <w:lvl w:ilvl="0" w:tplc="E4B22E46">
      <w:start w:val="15"/>
      <w:numFmt w:val="lowerLetter"/>
      <w:lvlText w:val="%1"/>
      <w:lvlJc w:val="left"/>
    </w:lvl>
    <w:lvl w:ilvl="1" w:tplc="8C285660">
      <w:numFmt w:val="decimal"/>
      <w:lvlText w:val=""/>
      <w:lvlJc w:val="left"/>
    </w:lvl>
    <w:lvl w:ilvl="2" w:tplc="1E888A64">
      <w:numFmt w:val="decimal"/>
      <w:lvlText w:val=""/>
      <w:lvlJc w:val="left"/>
    </w:lvl>
    <w:lvl w:ilvl="3" w:tplc="AF18C42A">
      <w:numFmt w:val="decimal"/>
      <w:lvlText w:val=""/>
      <w:lvlJc w:val="left"/>
    </w:lvl>
    <w:lvl w:ilvl="4" w:tplc="1354CA3C">
      <w:numFmt w:val="decimal"/>
      <w:lvlText w:val=""/>
      <w:lvlJc w:val="left"/>
    </w:lvl>
    <w:lvl w:ilvl="5" w:tplc="0F4AE662">
      <w:numFmt w:val="decimal"/>
      <w:lvlText w:val=""/>
      <w:lvlJc w:val="left"/>
    </w:lvl>
    <w:lvl w:ilvl="6" w:tplc="F8B4B8F2">
      <w:numFmt w:val="decimal"/>
      <w:lvlText w:val=""/>
      <w:lvlJc w:val="left"/>
    </w:lvl>
    <w:lvl w:ilvl="7" w:tplc="9C2CB6C2">
      <w:numFmt w:val="decimal"/>
      <w:lvlText w:val=""/>
      <w:lvlJc w:val="left"/>
    </w:lvl>
    <w:lvl w:ilvl="8" w:tplc="CE2CF6C4">
      <w:numFmt w:val="decimal"/>
      <w:lvlText w:val=""/>
      <w:lvlJc w:val="left"/>
    </w:lvl>
  </w:abstractNum>
  <w:abstractNum w:abstractNumId="118" w15:restartNumberingAfterBreak="0">
    <w:nsid w:val="13E08266"/>
    <w:multiLevelType w:val="hybridMultilevel"/>
    <w:tmpl w:val="46C697EA"/>
    <w:lvl w:ilvl="0" w:tplc="794236EE">
      <w:start w:val="1"/>
      <w:numFmt w:val="bullet"/>
      <w:lvlText w:val="•"/>
      <w:lvlJc w:val="left"/>
    </w:lvl>
    <w:lvl w:ilvl="1" w:tplc="ADA28FA0">
      <w:numFmt w:val="decimal"/>
      <w:lvlText w:val=""/>
      <w:lvlJc w:val="left"/>
    </w:lvl>
    <w:lvl w:ilvl="2" w:tplc="8862B0A6">
      <w:numFmt w:val="decimal"/>
      <w:lvlText w:val=""/>
      <w:lvlJc w:val="left"/>
    </w:lvl>
    <w:lvl w:ilvl="3" w:tplc="58D8DB66">
      <w:numFmt w:val="decimal"/>
      <w:lvlText w:val=""/>
      <w:lvlJc w:val="left"/>
    </w:lvl>
    <w:lvl w:ilvl="4" w:tplc="9552EFDC">
      <w:numFmt w:val="decimal"/>
      <w:lvlText w:val=""/>
      <w:lvlJc w:val="left"/>
    </w:lvl>
    <w:lvl w:ilvl="5" w:tplc="88883580">
      <w:numFmt w:val="decimal"/>
      <w:lvlText w:val=""/>
      <w:lvlJc w:val="left"/>
    </w:lvl>
    <w:lvl w:ilvl="6" w:tplc="FCACEC58">
      <w:numFmt w:val="decimal"/>
      <w:lvlText w:val=""/>
      <w:lvlJc w:val="left"/>
    </w:lvl>
    <w:lvl w:ilvl="7" w:tplc="AA4EFA14">
      <w:numFmt w:val="decimal"/>
      <w:lvlText w:val=""/>
      <w:lvlJc w:val="left"/>
    </w:lvl>
    <w:lvl w:ilvl="8" w:tplc="5D4EEB28">
      <w:numFmt w:val="decimal"/>
      <w:lvlText w:val=""/>
      <w:lvlJc w:val="left"/>
    </w:lvl>
  </w:abstractNum>
  <w:abstractNum w:abstractNumId="119" w15:restartNumberingAfterBreak="0">
    <w:nsid w:val="13FD740F"/>
    <w:multiLevelType w:val="hybridMultilevel"/>
    <w:tmpl w:val="44F28E60"/>
    <w:lvl w:ilvl="0" w:tplc="04050011">
      <w:start w:val="1"/>
      <w:numFmt w:val="decimal"/>
      <w:lvlText w:val="%1)"/>
      <w:lvlJc w:val="left"/>
    </w:lvl>
    <w:lvl w:ilvl="1" w:tplc="B1DCBD62">
      <w:numFmt w:val="decimal"/>
      <w:lvlText w:val=""/>
      <w:lvlJc w:val="left"/>
    </w:lvl>
    <w:lvl w:ilvl="2" w:tplc="007A841E">
      <w:numFmt w:val="decimal"/>
      <w:lvlText w:val=""/>
      <w:lvlJc w:val="left"/>
    </w:lvl>
    <w:lvl w:ilvl="3" w:tplc="D45457D4">
      <w:numFmt w:val="decimal"/>
      <w:lvlText w:val=""/>
      <w:lvlJc w:val="left"/>
    </w:lvl>
    <w:lvl w:ilvl="4" w:tplc="D0365AC4">
      <w:numFmt w:val="decimal"/>
      <w:lvlText w:val=""/>
      <w:lvlJc w:val="left"/>
    </w:lvl>
    <w:lvl w:ilvl="5" w:tplc="7164A016">
      <w:numFmt w:val="decimal"/>
      <w:lvlText w:val=""/>
      <w:lvlJc w:val="left"/>
    </w:lvl>
    <w:lvl w:ilvl="6" w:tplc="154C6B36">
      <w:numFmt w:val="decimal"/>
      <w:lvlText w:val=""/>
      <w:lvlJc w:val="left"/>
    </w:lvl>
    <w:lvl w:ilvl="7" w:tplc="65DC1686">
      <w:numFmt w:val="decimal"/>
      <w:lvlText w:val=""/>
      <w:lvlJc w:val="left"/>
    </w:lvl>
    <w:lvl w:ilvl="8" w:tplc="907A009E">
      <w:numFmt w:val="decimal"/>
      <w:lvlText w:val=""/>
      <w:lvlJc w:val="left"/>
    </w:lvl>
  </w:abstractNum>
  <w:abstractNum w:abstractNumId="120" w15:restartNumberingAfterBreak="0">
    <w:nsid w:val="142AC06C"/>
    <w:multiLevelType w:val="hybridMultilevel"/>
    <w:tmpl w:val="1A98B490"/>
    <w:lvl w:ilvl="0" w:tplc="9A9A706A">
      <w:start w:val="1"/>
      <w:numFmt w:val="bullet"/>
      <w:lvlText w:val="•"/>
      <w:lvlJc w:val="left"/>
    </w:lvl>
    <w:lvl w:ilvl="1" w:tplc="ED2C42AA">
      <w:numFmt w:val="decimal"/>
      <w:lvlText w:val=""/>
      <w:lvlJc w:val="left"/>
    </w:lvl>
    <w:lvl w:ilvl="2" w:tplc="BE8A5FAA">
      <w:numFmt w:val="decimal"/>
      <w:lvlText w:val=""/>
      <w:lvlJc w:val="left"/>
    </w:lvl>
    <w:lvl w:ilvl="3" w:tplc="93A460A2">
      <w:numFmt w:val="decimal"/>
      <w:lvlText w:val=""/>
      <w:lvlJc w:val="left"/>
    </w:lvl>
    <w:lvl w:ilvl="4" w:tplc="8F227722">
      <w:numFmt w:val="decimal"/>
      <w:lvlText w:val=""/>
      <w:lvlJc w:val="left"/>
    </w:lvl>
    <w:lvl w:ilvl="5" w:tplc="C9B0E624">
      <w:numFmt w:val="decimal"/>
      <w:lvlText w:val=""/>
      <w:lvlJc w:val="left"/>
    </w:lvl>
    <w:lvl w:ilvl="6" w:tplc="78F49476">
      <w:numFmt w:val="decimal"/>
      <w:lvlText w:val=""/>
      <w:lvlJc w:val="left"/>
    </w:lvl>
    <w:lvl w:ilvl="7" w:tplc="0A20EF2A">
      <w:numFmt w:val="decimal"/>
      <w:lvlText w:val=""/>
      <w:lvlJc w:val="left"/>
    </w:lvl>
    <w:lvl w:ilvl="8" w:tplc="CC44CC0A">
      <w:numFmt w:val="decimal"/>
      <w:lvlText w:val=""/>
      <w:lvlJc w:val="left"/>
    </w:lvl>
  </w:abstractNum>
  <w:abstractNum w:abstractNumId="121" w15:restartNumberingAfterBreak="0">
    <w:nsid w:val="142D45BD"/>
    <w:multiLevelType w:val="hybridMultilevel"/>
    <w:tmpl w:val="7122A0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2" w15:restartNumberingAfterBreak="0">
    <w:nsid w:val="1439D7FC"/>
    <w:multiLevelType w:val="hybridMultilevel"/>
    <w:tmpl w:val="68A6449A"/>
    <w:lvl w:ilvl="0" w:tplc="36441FEA">
      <w:start w:val="1"/>
      <w:numFmt w:val="bullet"/>
      <w:lvlText w:val="•"/>
      <w:lvlJc w:val="left"/>
    </w:lvl>
    <w:lvl w:ilvl="1" w:tplc="DFB2313C">
      <w:numFmt w:val="decimal"/>
      <w:lvlText w:val=""/>
      <w:lvlJc w:val="left"/>
    </w:lvl>
    <w:lvl w:ilvl="2" w:tplc="3B50C37A">
      <w:numFmt w:val="decimal"/>
      <w:lvlText w:val=""/>
      <w:lvlJc w:val="left"/>
    </w:lvl>
    <w:lvl w:ilvl="3" w:tplc="BCB6167C">
      <w:numFmt w:val="decimal"/>
      <w:lvlText w:val=""/>
      <w:lvlJc w:val="left"/>
    </w:lvl>
    <w:lvl w:ilvl="4" w:tplc="136A4FDC">
      <w:numFmt w:val="decimal"/>
      <w:lvlText w:val=""/>
      <w:lvlJc w:val="left"/>
    </w:lvl>
    <w:lvl w:ilvl="5" w:tplc="1A42C7A2">
      <w:numFmt w:val="decimal"/>
      <w:lvlText w:val=""/>
      <w:lvlJc w:val="left"/>
    </w:lvl>
    <w:lvl w:ilvl="6" w:tplc="451A858E">
      <w:numFmt w:val="decimal"/>
      <w:lvlText w:val=""/>
      <w:lvlJc w:val="left"/>
    </w:lvl>
    <w:lvl w:ilvl="7" w:tplc="FFE6CCA2">
      <w:numFmt w:val="decimal"/>
      <w:lvlText w:val=""/>
      <w:lvlJc w:val="left"/>
    </w:lvl>
    <w:lvl w:ilvl="8" w:tplc="FB188114">
      <w:numFmt w:val="decimal"/>
      <w:lvlText w:val=""/>
      <w:lvlJc w:val="left"/>
    </w:lvl>
  </w:abstractNum>
  <w:abstractNum w:abstractNumId="123" w15:restartNumberingAfterBreak="0">
    <w:nsid w:val="1443B0FA"/>
    <w:multiLevelType w:val="hybridMultilevel"/>
    <w:tmpl w:val="1C52E05E"/>
    <w:lvl w:ilvl="0" w:tplc="34FC35FA">
      <w:start w:val="1"/>
      <w:numFmt w:val="upperLetter"/>
      <w:lvlText w:val="%1."/>
      <w:lvlJc w:val="left"/>
    </w:lvl>
    <w:lvl w:ilvl="1" w:tplc="14C05D7C">
      <w:start w:val="1"/>
      <w:numFmt w:val="bullet"/>
      <w:lvlText w:val="-"/>
      <w:lvlJc w:val="left"/>
    </w:lvl>
    <w:lvl w:ilvl="2" w:tplc="EA683ED2">
      <w:start w:val="1"/>
      <w:numFmt w:val="bullet"/>
      <w:lvlText w:val="§"/>
      <w:lvlJc w:val="left"/>
    </w:lvl>
    <w:lvl w:ilvl="3" w:tplc="5970A3AE">
      <w:numFmt w:val="decimal"/>
      <w:lvlText w:val=""/>
      <w:lvlJc w:val="left"/>
    </w:lvl>
    <w:lvl w:ilvl="4" w:tplc="C5086678">
      <w:numFmt w:val="decimal"/>
      <w:lvlText w:val=""/>
      <w:lvlJc w:val="left"/>
    </w:lvl>
    <w:lvl w:ilvl="5" w:tplc="7E74C480">
      <w:numFmt w:val="decimal"/>
      <w:lvlText w:val=""/>
      <w:lvlJc w:val="left"/>
    </w:lvl>
    <w:lvl w:ilvl="6" w:tplc="169469A2">
      <w:numFmt w:val="decimal"/>
      <w:lvlText w:val=""/>
      <w:lvlJc w:val="left"/>
    </w:lvl>
    <w:lvl w:ilvl="7" w:tplc="DC88E5C0">
      <w:numFmt w:val="decimal"/>
      <w:lvlText w:val=""/>
      <w:lvlJc w:val="left"/>
    </w:lvl>
    <w:lvl w:ilvl="8" w:tplc="AAA85FF2">
      <w:numFmt w:val="decimal"/>
      <w:lvlText w:val=""/>
      <w:lvlJc w:val="left"/>
    </w:lvl>
  </w:abstractNum>
  <w:abstractNum w:abstractNumId="124" w15:restartNumberingAfterBreak="0">
    <w:nsid w:val="14A73585"/>
    <w:multiLevelType w:val="hybridMultilevel"/>
    <w:tmpl w:val="DDA240F0"/>
    <w:lvl w:ilvl="0" w:tplc="C716217C">
      <w:start w:val="1"/>
      <w:numFmt w:val="bullet"/>
      <w:lvlText w:val="-"/>
      <w:lvlJc w:val="left"/>
    </w:lvl>
    <w:lvl w:ilvl="1" w:tplc="1E646C88">
      <w:numFmt w:val="decimal"/>
      <w:lvlText w:val=""/>
      <w:lvlJc w:val="left"/>
    </w:lvl>
    <w:lvl w:ilvl="2" w:tplc="303A8252">
      <w:numFmt w:val="decimal"/>
      <w:lvlText w:val=""/>
      <w:lvlJc w:val="left"/>
    </w:lvl>
    <w:lvl w:ilvl="3" w:tplc="08E45F10">
      <w:numFmt w:val="decimal"/>
      <w:lvlText w:val=""/>
      <w:lvlJc w:val="left"/>
    </w:lvl>
    <w:lvl w:ilvl="4" w:tplc="735287A8">
      <w:numFmt w:val="decimal"/>
      <w:lvlText w:val=""/>
      <w:lvlJc w:val="left"/>
    </w:lvl>
    <w:lvl w:ilvl="5" w:tplc="E164472E">
      <w:numFmt w:val="decimal"/>
      <w:lvlText w:val=""/>
      <w:lvlJc w:val="left"/>
    </w:lvl>
    <w:lvl w:ilvl="6" w:tplc="21A6278A">
      <w:numFmt w:val="decimal"/>
      <w:lvlText w:val=""/>
      <w:lvlJc w:val="left"/>
    </w:lvl>
    <w:lvl w:ilvl="7" w:tplc="23525546">
      <w:numFmt w:val="decimal"/>
      <w:lvlText w:val=""/>
      <w:lvlJc w:val="left"/>
    </w:lvl>
    <w:lvl w:ilvl="8" w:tplc="C60AEEC8">
      <w:numFmt w:val="decimal"/>
      <w:lvlText w:val=""/>
      <w:lvlJc w:val="left"/>
    </w:lvl>
  </w:abstractNum>
  <w:abstractNum w:abstractNumId="125" w15:restartNumberingAfterBreak="0">
    <w:nsid w:val="14CF2CF8"/>
    <w:multiLevelType w:val="hybridMultilevel"/>
    <w:tmpl w:val="55ECD5C2"/>
    <w:lvl w:ilvl="0" w:tplc="0C902B44">
      <w:start w:val="1"/>
      <w:numFmt w:val="decimal"/>
      <w:lvlText w:val="%1."/>
      <w:lvlJc w:val="left"/>
    </w:lvl>
    <w:lvl w:ilvl="1" w:tplc="3728623A">
      <w:numFmt w:val="decimal"/>
      <w:lvlText w:val=""/>
      <w:lvlJc w:val="left"/>
    </w:lvl>
    <w:lvl w:ilvl="2" w:tplc="CCE86BCC">
      <w:numFmt w:val="decimal"/>
      <w:lvlText w:val=""/>
      <w:lvlJc w:val="left"/>
    </w:lvl>
    <w:lvl w:ilvl="3" w:tplc="0878491E">
      <w:numFmt w:val="decimal"/>
      <w:lvlText w:val=""/>
      <w:lvlJc w:val="left"/>
    </w:lvl>
    <w:lvl w:ilvl="4" w:tplc="73F27BE8">
      <w:numFmt w:val="decimal"/>
      <w:lvlText w:val=""/>
      <w:lvlJc w:val="left"/>
    </w:lvl>
    <w:lvl w:ilvl="5" w:tplc="1910DAF0">
      <w:numFmt w:val="decimal"/>
      <w:lvlText w:val=""/>
      <w:lvlJc w:val="left"/>
    </w:lvl>
    <w:lvl w:ilvl="6" w:tplc="BA888424">
      <w:numFmt w:val="decimal"/>
      <w:lvlText w:val=""/>
      <w:lvlJc w:val="left"/>
    </w:lvl>
    <w:lvl w:ilvl="7" w:tplc="DFB4817C">
      <w:numFmt w:val="decimal"/>
      <w:lvlText w:val=""/>
      <w:lvlJc w:val="left"/>
    </w:lvl>
    <w:lvl w:ilvl="8" w:tplc="FE9C469A">
      <w:numFmt w:val="decimal"/>
      <w:lvlText w:val=""/>
      <w:lvlJc w:val="left"/>
    </w:lvl>
  </w:abstractNum>
  <w:abstractNum w:abstractNumId="126" w15:restartNumberingAfterBreak="0">
    <w:nsid w:val="155AEAC4"/>
    <w:multiLevelType w:val="hybridMultilevel"/>
    <w:tmpl w:val="1F28B952"/>
    <w:lvl w:ilvl="0" w:tplc="385EEFEE">
      <w:start w:val="1"/>
      <w:numFmt w:val="bullet"/>
      <w:lvlText w:val="-"/>
      <w:lvlJc w:val="left"/>
    </w:lvl>
    <w:lvl w:ilvl="1" w:tplc="143CC26C">
      <w:numFmt w:val="decimal"/>
      <w:lvlText w:val=""/>
      <w:lvlJc w:val="left"/>
    </w:lvl>
    <w:lvl w:ilvl="2" w:tplc="468AA0A0">
      <w:numFmt w:val="decimal"/>
      <w:lvlText w:val=""/>
      <w:lvlJc w:val="left"/>
    </w:lvl>
    <w:lvl w:ilvl="3" w:tplc="A2CA981C">
      <w:numFmt w:val="decimal"/>
      <w:lvlText w:val=""/>
      <w:lvlJc w:val="left"/>
    </w:lvl>
    <w:lvl w:ilvl="4" w:tplc="FA10F85E">
      <w:numFmt w:val="decimal"/>
      <w:lvlText w:val=""/>
      <w:lvlJc w:val="left"/>
    </w:lvl>
    <w:lvl w:ilvl="5" w:tplc="EB304BEA">
      <w:numFmt w:val="decimal"/>
      <w:lvlText w:val=""/>
      <w:lvlJc w:val="left"/>
    </w:lvl>
    <w:lvl w:ilvl="6" w:tplc="D0A6F2AC">
      <w:numFmt w:val="decimal"/>
      <w:lvlText w:val=""/>
      <w:lvlJc w:val="left"/>
    </w:lvl>
    <w:lvl w:ilvl="7" w:tplc="7A5444D2">
      <w:numFmt w:val="decimal"/>
      <w:lvlText w:val=""/>
      <w:lvlJc w:val="left"/>
    </w:lvl>
    <w:lvl w:ilvl="8" w:tplc="ABC05BB6">
      <w:numFmt w:val="decimal"/>
      <w:lvlText w:val=""/>
      <w:lvlJc w:val="left"/>
    </w:lvl>
  </w:abstractNum>
  <w:abstractNum w:abstractNumId="127" w15:restartNumberingAfterBreak="0">
    <w:nsid w:val="156827FB"/>
    <w:multiLevelType w:val="hybridMultilevel"/>
    <w:tmpl w:val="0E8ED592"/>
    <w:lvl w:ilvl="0" w:tplc="DEE478B0">
      <w:start w:val="22"/>
      <w:numFmt w:val="upperLetter"/>
      <w:lvlText w:val="%1"/>
      <w:lvlJc w:val="left"/>
    </w:lvl>
    <w:lvl w:ilvl="1" w:tplc="723CDFF6">
      <w:numFmt w:val="decimal"/>
      <w:lvlText w:val=""/>
      <w:lvlJc w:val="left"/>
    </w:lvl>
    <w:lvl w:ilvl="2" w:tplc="82E896BC">
      <w:numFmt w:val="decimal"/>
      <w:lvlText w:val=""/>
      <w:lvlJc w:val="left"/>
    </w:lvl>
    <w:lvl w:ilvl="3" w:tplc="20826D60">
      <w:numFmt w:val="decimal"/>
      <w:lvlText w:val=""/>
      <w:lvlJc w:val="left"/>
    </w:lvl>
    <w:lvl w:ilvl="4" w:tplc="725CD06A">
      <w:numFmt w:val="decimal"/>
      <w:lvlText w:val=""/>
      <w:lvlJc w:val="left"/>
    </w:lvl>
    <w:lvl w:ilvl="5" w:tplc="1B5C1558">
      <w:numFmt w:val="decimal"/>
      <w:lvlText w:val=""/>
      <w:lvlJc w:val="left"/>
    </w:lvl>
    <w:lvl w:ilvl="6" w:tplc="2B8C016C">
      <w:numFmt w:val="decimal"/>
      <w:lvlText w:val=""/>
      <w:lvlJc w:val="left"/>
    </w:lvl>
    <w:lvl w:ilvl="7" w:tplc="E5161730">
      <w:numFmt w:val="decimal"/>
      <w:lvlText w:val=""/>
      <w:lvlJc w:val="left"/>
    </w:lvl>
    <w:lvl w:ilvl="8" w:tplc="E9949518">
      <w:numFmt w:val="decimal"/>
      <w:lvlText w:val=""/>
      <w:lvlJc w:val="left"/>
    </w:lvl>
  </w:abstractNum>
  <w:abstractNum w:abstractNumId="128" w15:restartNumberingAfterBreak="0">
    <w:nsid w:val="1575811C"/>
    <w:multiLevelType w:val="hybridMultilevel"/>
    <w:tmpl w:val="275201C6"/>
    <w:lvl w:ilvl="0" w:tplc="68CCE6D8">
      <w:start w:val="1"/>
      <w:numFmt w:val="bullet"/>
      <w:lvlText w:val="·"/>
      <w:lvlJc w:val="left"/>
    </w:lvl>
    <w:lvl w:ilvl="1" w:tplc="8B84B56E">
      <w:numFmt w:val="decimal"/>
      <w:lvlText w:val=""/>
      <w:lvlJc w:val="left"/>
    </w:lvl>
    <w:lvl w:ilvl="2" w:tplc="BECAEB20">
      <w:numFmt w:val="decimal"/>
      <w:lvlText w:val=""/>
      <w:lvlJc w:val="left"/>
    </w:lvl>
    <w:lvl w:ilvl="3" w:tplc="B06A4E8A">
      <w:numFmt w:val="decimal"/>
      <w:lvlText w:val=""/>
      <w:lvlJc w:val="left"/>
    </w:lvl>
    <w:lvl w:ilvl="4" w:tplc="61987B04">
      <w:numFmt w:val="decimal"/>
      <w:lvlText w:val=""/>
      <w:lvlJc w:val="left"/>
    </w:lvl>
    <w:lvl w:ilvl="5" w:tplc="B5A2BD08">
      <w:numFmt w:val="decimal"/>
      <w:lvlText w:val=""/>
      <w:lvlJc w:val="left"/>
    </w:lvl>
    <w:lvl w:ilvl="6" w:tplc="7A801460">
      <w:numFmt w:val="decimal"/>
      <w:lvlText w:val=""/>
      <w:lvlJc w:val="left"/>
    </w:lvl>
    <w:lvl w:ilvl="7" w:tplc="252A21B4">
      <w:numFmt w:val="decimal"/>
      <w:lvlText w:val=""/>
      <w:lvlJc w:val="left"/>
    </w:lvl>
    <w:lvl w:ilvl="8" w:tplc="64302170">
      <w:numFmt w:val="decimal"/>
      <w:lvlText w:val=""/>
      <w:lvlJc w:val="left"/>
    </w:lvl>
  </w:abstractNum>
  <w:abstractNum w:abstractNumId="129" w15:restartNumberingAfterBreak="0">
    <w:nsid w:val="15BA4F24"/>
    <w:multiLevelType w:val="hybridMultilevel"/>
    <w:tmpl w:val="11DA1724"/>
    <w:lvl w:ilvl="0" w:tplc="40822A06">
      <w:start w:val="1"/>
      <w:numFmt w:val="bullet"/>
      <w:lvlText w:val="•"/>
      <w:lvlJc w:val="left"/>
    </w:lvl>
    <w:lvl w:ilvl="1" w:tplc="A88A2742">
      <w:numFmt w:val="decimal"/>
      <w:lvlText w:val=""/>
      <w:lvlJc w:val="left"/>
    </w:lvl>
    <w:lvl w:ilvl="2" w:tplc="5464DCB0">
      <w:numFmt w:val="decimal"/>
      <w:lvlText w:val=""/>
      <w:lvlJc w:val="left"/>
    </w:lvl>
    <w:lvl w:ilvl="3" w:tplc="D2B05128">
      <w:numFmt w:val="decimal"/>
      <w:lvlText w:val=""/>
      <w:lvlJc w:val="left"/>
    </w:lvl>
    <w:lvl w:ilvl="4" w:tplc="D11A70C8">
      <w:numFmt w:val="decimal"/>
      <w:lvlText w:val=""/>
      <w:lvlJc w:val="left"/>
    </w:lvl>
    <w:lvl w:ilvl="5" w:tplc="3E4E9190">
      <w:numFmt w:val="decimal"/>
      <w:lvlText w:val=""/>
      <w:lvlJc w:val="left"/>
    </w:lvl>
    <w:lvl w:ilvl="6" w:tplc="AF68CC14">
      <w:numFmt w:val="decimal"/>
      <w:lvlText w:val=""/>
      <w:lvlJc w:val="left"/>
    </w:lvl>
    <w:lvl w:ilvl="7" w:tplc="CA083752">
      <w:numFmt w:val="decimal"/>
      <w:lvlText w:val=""/>
      <w:lvlJc w:val="left"/>
    </w:lvl>
    <w:lvl w:ilvl="8" w:tplc="A55C3A0C">
      <w:numFmt w:val="decimal"/>
      <w:lvlText w:val=""/>
      <w:lvlJc w:val="left"/>
    </w:lvl>
  </w:abstractNum>
  <w:abstractNum w:abstractNumId="130" w15:restartNumberingAfterBreak="0">
    <w:nsid w:val="15CE9F92"/>
    <w:multiLevelType w:val="hybridMultilevel"/>
    <w:tmpl w:val="3A10E872"/>
    <w:lvl w:ilvl="0" w:tplc="1200CD60">
      <w:start w:val="1"/>
      <w:numFmt w:val="decimal"/>
      <w:lvlText w:val="%1."/>
      <w:lvlJc w:val="left"/>
    </w:lvl>
    <w:lvl w:ilvl="1" w:tplc="7C6E0AF0">
      <w:numFmt w:val="decimal"/>
      <w:lvlText w:val=""/>
      <w:lvlJc w:val="left"/>
    </w:lvl>
    <w:lvl w:ilvl="2" w:tplc="E9DAE3FC">
      <w:numFmt w:val="decimal"/>
      <w:lvlText w:val=""/>
      <w:lvlJc w:val="left"/>
    </w:lvl>
    <w:lvl w:ilvl="3" w:tplc="F69A052C">
      <w:numFmt w:val="decimal"/>
      <w:lvlText w:val=""/>
      <w:lvlJc w:val="left"/>
    </w:lvl>
    <w:lvl w:ilvl="4" w:tplc="E07C79FE">
      <w:numFmt w:val="decimal"/>
      <w:lvlText w:val=""/>
      <w:lvlJc w:val="left"/>
    </w:lvl>
    <w:lvl w:ilvl="5" w:tplc="7766DF34">
      <w:numFmt w:val="decimal"/>
      <w:lvlText w:val=""/>
      <w:lvlJc w:val="left"/>
    </w:lvl>
    <w:lvl w:ilvl="6" w:tplc="73CCB9A0">
      <w:numFmt w:val="decimal"/>
      <w:lvlText w:val=""/>
      <w:lvlJc w:val="left"/>
    </w:lvl>
    <w:lvl w:ilvl="7" w:tplc="C084019E">
      <w:numFmt w:val="decimal"/>
      <w:lvlText w:val=""/>
      <w:lvlJc w:val="left"/>
    </w:lvl>
    <w:lvl w:ilvl="8" w:tplc="50D2D854">
      <w:numFmt w:val="decimal"/>
      <w:lvlText w:val=""/>
      <w:lvlJc w:val="left"/>
    </w:lvl>
  </w:abstractNum>
  <w:abstractNum w:abstractNumId="131" w15:restartNumberingAfterBreak="0">
    <w:nsid w:val="15DD687E"/>
    <w:multiLevelType w:val="hybridMultilevel"/>
    <w:tmpl w:val="EA5417E0"/>
    <w:lvl w:ilvl="0" w:tplc="4D2AC6AA">
      <w:start w:val="1"/>
      <w:numFmt w:val="bullet"/>
      <w:lvlText w:val="•"/>
      <w:lvlJc w:val="left"/>
    </w:lvl>
    <w:lvl w:ilvl="1" w:tplc="15604D62">
      <w:numFmt w:val="decimal"/>
      <w:lvlText w:val=""/>
      <w:lvlJc w:val="left"/>
    </w:lvl>
    <w:lvl w:ilvl="2" w:tplc="36EA3BE2">
      <w:numFmt w:val="decimal"/>
      <w:lvlText w:val=""/>
      <w:lvlJc w:val="left"/>
    </w:lvl>
    <w:lvl w:ilvl="3" w:tplc="A58C620A">
      <w:numFmt w:val="decimal"/>
      <w:lvlText w:val=""/>
      <w:lvlJc w:val="left"/>
    </w:lvl>
    <w:lvl w:ilvl="4" w:tplc="71F2B566">
      <w:numFmt w:val="decimal"/>
      <w:lvlText w:val=""/>
      <w:lvlJc w:val="left"/>
    </w:lvl>
    <w:lvl w:ilvl="5" w:tplc="87F415E8">
      <w:numFmt w:val="decimal"/>
      <w:lvlText w:val=""/>
      <w:lvlJc w:val="left"/>
    </w:lvl>
    <w:lvl w:ilvl="6" w:tplc="BC8E3794">
      <w:numFmt w:val="decimal"/>
      <w:lvlText w:val=""/>
      <w:lvlJc w:val="left"/>
    </w:lvl>
    <w:lvl w:ilvl="7" w:tplc="8A2EA93C">
      <w:numFmt w:val="decimal"/>
      <w:lvlText w:val=""/>
      <w:lvlJc w:val="left"/>
    </w:lvl>
    <w:lvl w:ilvl="8" w:tplc="E60C2166">
      <w:numFmt w:val="decimal"/>
      <w:lvlText w:val=""/>
      <w:lvlJc w:val="left"/>
    </w:lvl>
  </w:abstractNum>
  <w:abstractNum w:abstractNumId="132" w15:restartNumberingAfterBreak="0">
    <w:nsid w:val="16311481"/>
    <w:multiLevelType w:val="hybridMultilevel"/>
    <w:tmpl w:val="93AA4980"/>
    <w:lvl w:ilvl="0" w:tplc="314EF480">
      <w:start w:val="1"/>
      <w:numFmt w:val="bullet"/>
      <w:lvlText w:val="•"/>
      <w:lvlJc w:val="left"/>
    </w:lvl>
    <w:lvl w:ilvl="1" w:tplc="6F56A306">
      <w:numFmt w:val="decimal"/>
      <w:lvlText w:val=""/>
      <w:lvlJc w:val="left"/>
    </w:lvl>
    <w:lvl w:ilvl="2" w:tplc="86AC07D6">
      <w:numFmt w:val="decimal"/>
      <w:lvlText w:val=""/>
      <w:lvlJc w:val="left"/>
    </w:lvl>
    <w:lvl w:ilvl="3" w:tplc="FC7CEC6E">
      <w:numFmt w:val="decimal"/>
      <w:lvlText w:val=""/>
      <w:lvlJc w:val="left"/>
    </w:lvl>
    <w:lvl w:ilvl="4" w:tplc="C0806CB8">
      <w:numFmt w:val="decimal"/>
      <w:lvlText w:val=""/>
      <w:lvlJc w:val="left"/>
    </w:lvl>
    <w:lvl w:ilvl="5" w:tplc="67C45E70">
      <w:numFmt w:val="decimal"/>
      <w:lvlText w:val=""/>
      <w:lvlJc w:val="left"/>
    </w:lvl>
    <w:lvl w:ilvl="6" w:tplc="4B927A6A">
      <w:numFmt w:val="decimal"/>
      <w:lvlText w:val=""/>
      <w:lvlJc w:val="left"/>
    </w:lvl>
    <w:lvl w:ilvl="7" w:tplc="AA5C2B94">
      <w:numFmt w:val="decimal"/>
      <w:lvlText w:val=""/>
      <w:lvlJc w:val="left"/>
    </w:lvl>
    <w:lvl w:ilvl="8" w:tplc="3AE4A9DC">
      <w:numFmt w:val="decimal"/>
      <w:lvlText w:val=""/>
      <w:lvlJc w:val="left"/>
    </w:lvl>
  </w:abstractNum>
  <w:abstractNum w:abstractNumId="133" w15:restartNumberingAfterBreak="0">
    <w:nsid w:val="164CE714"/>
    <w:multiLevelType w:val="hybridMultilevel"/>
    <w:tmpl w:val="C310F1D4"/>
    <w:lvl w:ilvl="0" w:tplc="148A3E1A">
      <w:start w:val="1"/>
      <w:numFmt w:val="decimal"/>
      <w:lvlText w:val="%1."/>
      <w:lvlJc w:val="left"/>
    </w:lvl>
    <w:lvl w:ilvl="1" w:tplc="E152A5C8">
      <w:start w:val="1"/>
      <w:numFmt w:val="bullet"/>
      <w:lvlText w:val="-"/>
      <w:lvlJc w:val="left"/>
    </w:lvl>
    <w:lvl w:ilvl="2" w:tplc="5F50009A">
      <w:numFmt w:val="decimal"/>
      <w:lvlText w:val=""/>
      <w:lvlJc w:val="left"/>
    </w:lvl>
    <w:lvl w:ilvl="3" w:tplc="6DD4C5F0">
      <w:numFmt w:val="decimal"/>
      <w:lvlText w:val=""/>
      <w:lvlJc w:val="left"/>
    </w:lvl>
    <w:lvl w:ilvl="4" w:tplc="3F702BF2">
      <w:numFmt w:val="decimal"/>
      <w:lvlText w:val=""/>
      <w:lvlJc w:val="left"/>
    </w:lvl>
    <w:lvl w:ilvl="5" w:tplc="409AE614">
      <w:numFmt w:val="decimal"/>
      <w:lvlText w:val=""/>
      <w:lvlJc w:val="left"/>
    </w:lvl>
    <w:lvl w:ilvl="6" w:tplc="43CEAEF6">
      <w:numFmt w:val="decimal"/>
      <w:lvlText w:val=""/>
      <w:lvlJc w:val="left"/>
    </w:lvl>
    <w:lvl w:ilvl="7" w:tplc="A8C642A4">
      <w:numFmt w:val="decimal"/>
      <w:lvlText w:val=""/>
      <w:lvlJc w:val="left"/>
    </w:lvl>
    <w:lvl w:ilvl="8" w:tplc="032C1A74">
      <w:numFmt w:val="decimal"/>
      <w:lvlText w:val=""/>
      <w:lvlJc w:val="left"/>
    </w:lvl>
  </w:abstractNum>
  <w:abstractNum w:abstractNumId="134" w15:restartNumberingAfterBreak="0">
    <w:nsid w:val="16A31F55"/>
    <w:multiLevelType w:val="hybridMultilevel"/>
    <w:tmpl w:val="52DADB24"/>
    <w:lvl w:ilvl="0" w:tplc="53CABD30">
      <w:start w:val="1"/>
      <w:numFmt w:val="bullet"/>
      <w:lvlText w:val="-"/>
      <w:lvlJc w:val="left"/>
      <w:pPr>
        <w:ind w:left="720" w:hanging="360"/>
      </w:pPr>
      <w:rPr>
        <w:rFonts w:hint="default"/>
        <w:color w:val="auto"/>
        <w:sz w:val="24"/>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5" w15:restartNumberingAfterBreak="0">
    <w:nsid w:val="16DB0254"/>
    <w:multiLevelType w:val="multilevel"/>
    <w:tmpl w:val="6860B2B8"/>
    <w:lvl w:ilvl="0">
      <w:start w:val="1"/>
      <w:numFmt w:val="decimal"/>
      <w:pStyle w:val="Nadpis1"/>
      <w:lvlText w:val="%1"/>
      <w:lvlJc w:val="left"/>
      <w:pPr>
        <w:ind w:left="3126" w:hanging="432"/>
      </w:pPr>
      <w:rPr>
        <w:rFonts w:hint="default"/>
        <w:color w:val="1F3864" w:themeColor="accent1" w:themeShade="80"/>
        <w:sz w:val="32"/>
        <w:szCs w:val="32"/>
      </w:rPr>
    </w:lvl>
    <w:lvl w:ilvl="1">
      <w:start w:val="1"/>
      <w:numFmt w:val="decimal"/>
      <w:pStyle w:val="Nadpis2"/>
      <w:lvlText w:val="%1.%2"/>
      <w:lvlJc w:val="left"/>
      <w:pPr>
        <w:ind w:left="576" w:hanging="576"/>
      </w:pPr>
      <w:rPr>
        <w:b/>
        <w:color w:val="1F3864" w:themeColor="accent1" w:themeShade="80"/>
        <w:sz w:val="28"/>
        <w:szCs w:val="28"/>
      </w:rPr>
    </w:lvl>
    <w:lvl w:ilvl="2">
      <w:start w:val="1"/>
      <w:numFmt w:val="decimal"/>
      <w:pStyle w:val="Nadpis3"/>
      <w:lvlText w:val="%1.%2.%3"/>
      <w:lvlJc w:val="left"/>
      <w:pPr>
        <w:ind w:left="720" w:hanging="720"/>
      </w:pPr>
      <w:rPr>
        <w:b/>
        <w:color w:val="1F3864" w:themeColor="accent1" w:themeShade="80"/>
        <w:sz w:val="28"/>
        <w:szCs w:val="28"/>
      </w:rPr>
    </w:lvl>
    <w:lvl w:ilvl="3">
      <w:start w:val="1"/>
      <w:numFmt w:val="decimal"/>
      <w:pStyle w:val="Nadpis4"/>
      <w:lvlText w:val="%1.%2.%3.%4"/>
      <w:lvlJc w:val="left"/>
      <w:pPr>
        <w:ind w:left="1432" w:hanging="864"/>
      </w:pPr>
      <w:rPr>
        <w:color w:val="1F3864" w:themeColor="accent1" w:themeShade="80"/>
        <w:sz w:val="22"/>
        <w:szCs w:val="22"/>
      </w:r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36" w15:restartNumberingAfterBreak="0">
    <w:nsid w:val="16E7E3C7"/>
    <w:multiLevelType w:val="hybridMultilevel"/>
    <w:tmpl w:val="0634464C"/>
    <w:lvl w:ilvl="0" w:tplc="20D00D7E">
      <w:start w:val="1"/>
      <w:numFmt w:val="bullet"/>
      <w:lvlText w:val="●"/>
      <w:lvlJc w:val="left"/>
    </w:lvl>
    <w:lvl w:ilvl="1" w:tplc="DF58C960">
      <w:numFmt w:val="decimal"/>
      <w:lvlText w:val=""/>
      <w:lvlJc w:val="left"/>
    </w:lvl>
    <w:lvl w:ilvl="2" w:tplc="F66E6892">
      <w:numFmt w:val="decimal"/>
      <w:lvlText w:val=""/>
      <w:lvlJc w:val="left"/>
    </w:lvl>
    <w:lvl w:ilvl="3" w:tplc="2466D69E">
      <w:numFmt w:val="decimal"/>
      <w:lvlText w:val=""/>
      <w:lvlJc w:val="left"/>
    </w:lvl>
    <w:lvl w:ilvl="4" w:tplc="1FD48530">
      <w:numFmt w:val="decimal"/>
      <w:lvlText w:val=""/>
      <w:lvlJc w:val="left"/>
    </w:lvl>
    <w:lvl w:ilvl="5" w:tplc="FF1EC312">
      <w:numFmt w:val="decimal"/>
      <w:lvlText w:val=""/>
      <w:lvlJc w:val="left"/>
    </w:lvl>
    <w:lvl w:ilvl="6" w:tplc="07908D5E">
      <w:numFmt w:val="decimal"/>
      <w:lvlText w:val=""/>
      <w:lvlJc w:val="left"/>
    </w:lvl>
    <w:lvl w:ilvl="7" w:tplc="C5C81C68">
      <w:numFmt w:val="decimal"/>
      <w:lvlText w:val=""/>
      <w:lvlJc w:val="left"/>
    </w:lvl>
    <w:lvl w:ilvl="8" w:tplc="22A44602">
      <w:numFmt w:val="decimal"/>
      <w:lvlText w:val=""/>
      <w:lvlJc w:val="left"/>
    </w:lvl>
  </w:abstractNum>
  <w:abstractNum w:abstractNumId="137" w15:restartNumberingAfterBreak="0">
    <w:nsid w:val="16EE013A"/>
    <w:multiLevelType w:val="hybridMultilevel"/>
    <w:tmpl w:val="E7880BCE"/>
    <w:lvl w:ilvl="0" w:tplc="614C2B8C">
      <w:start w:val="1"/>
      <w:numFmt w:val="bullet"/>
      <w:lvlText w:val="•"/>
      <w:lvlJc w:val="left"/>
    </w:lvl>
    <w:lvl w:ilvl="1" w:tplc="14EA930C">
      <w:numFmt w:val="decimal"/>
      <w:lvlText w:val=""/>
      <w:lvlJc w:val="left"/>
    </w:lvl>
    <w:lvl w:ilvl="2" w:tplc="E054AF3A">
      <w:numFmt w:val="decimal"/>
      <w:lvlText w:val=""/>
      <w:lvlJc w:val="left"/>
    </w:lvl>
    <w:lvl w:ilvl="3" w:tplc="D2D855C8">
      <w:numFmt w:val="decimal"/>
      <w:lvlText w:val=""/>
      <w:lvlJc w:val="left"/>
    </w:lvl>
    <w:lvl w:ilvl="4" w:tplc="53985DCC">
      <w:numFmt w:val="decimal"/>
      <w:lvlText w:val=""/>
      <w:lvlJc w:val="left"/>
    </w:lvl>
    <w:lvl w:ilvl="5" w:tplc="F14A5AC8">
      <w:numFmt w:val="decimal"/>
      <w:lvlText w:val=""/>
      <w:lvlJc w:val="left"/>
    </w:lvl>
    <w:lvl w:ilvl="6" w:tplc="27BA5E10">
      <w:numFmt w:val="decimal"/>
      <w:lvlText w:val=""/>
      <w:lvlJc w:val="left"/>
    </w:lvl>
    <w:lvl w:ilvl="7" w:tplc="0F6AA2A0">
      <w:numFmt w:val="decimal"/>
      <w:lvlText w:val=""/>
      <w:lvlJc w:val="left"/>
    </w:lvl>
    <w:lvl w:ilvl="8" w:tplc="54C2F528">
      <w:numFmt w:val="decimal"/>
      <w:lvlText w:val=""/>
      <w:lvlJc w:val="left"/>
    </w:lvl>
  </w:abstractNum>
  <w:abstractNum w:abstractNumId="138" w15:restartNumberingAfterBreak="0">
    <w:nsid w:val="16F0A060"/>
    <w:multiLevelType w:val="hybridMultilevel"/>
    <w:tmpl w:val="003675B2"/>
    <w:lvl w:ilvl="0" w:tplc="9E2EF452">
      <w:start w:val="1"/>
      <w:numFmt w:val="bullet"/>
      <w:lvlText w:val="•"/>
      <w:lvlJc w:val="left"/>
    </w:lvl>
    <w:lvl w:ilvl="1" w:tplc="74B82C86">
      <w:numFmt w:val="decimal"/>
      <w:lvlText w:val=""/>
      <w:lvlJc w:val="left"/>
    </w:lvl>
    <w:lvl w:ilvl="2" w:tplc="9634D93A">
      <w:numFmt w:val="decimal"/>
      <w:lvlText w:val=""/>
      <w:lvlJc w:val="left"/>
    </w:lvl>
    <w:lvl w:ilvl="3" w:tplc="1B445A74">
      <w:numFmt w:val="decimal"/>
      <w:lvlText w:val=""/>
      <w:lvlJc w:val="left"/>
    </w:lvl>
    <w:lvl w:ilvl="4" w:tplc="8B527254">
      <w:numFmt w:val="decimal"/>
      <w:lvlText w:val=""/>
      <w:lvlJc w:val="left"/>
    </w:lvl>
    <w:lvl w:ilvl="5" w:tplc="8B000DEC">
      <w:numFmt w:val="decimal"/>
      <w:lvlText w:val=""/>
      <w:lvlJc w:val="left"/>
    </w:lvl>
    <w:lvl w:ilvl="6" w:tplc="744ADB32">
      <w:numFmt w:val="decimal"/>
      <w:lvlText w:val=""/>
      <w:lvlJc w:val="left"/>
    </w:lvl>
    <w:lvl w:ilvl="7" w:tplc="958473EA">
      <w:numFmt w:val="decimal"/>
      <w:lvlText w:val=""/>
      <w:lvlJc w:val="left"/>
    </w:lvl>
    <w:lvl w:ilvl="8" w:tplc="71DA1CF0">
      <w:numFmt w:val="decimal"/>
      <w:lvlText w:val=""/>
      <w:lvlJc w:val="left"/>
    </w:lvl>
  </w:abstractNum>
  <w:abstractNum w:abstractNumId="139" w15:restartNumberingAfterBreak="0">
    <w:nsid w:val="16FC6AF3"/>
    <w:multiLevelType w:val="hybridMultilevel"/>
    <w:tmpl w:val="6CCAF5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0" w15:restartNumberingAfterBreak="0">
    <w:nsid w:val="172E05B4"/>
    <w:multiLevelType w:val="hybridMultilevel"/>
    <w:tmpl w:val="1AC2F03C"/>
    <w:lvl w:ilvl="0" w:tplc="53CABD30">
      <w:start w:val="1"/>
      <w:numFmt w:val="bullet"/>
      <w:lvlText w:val="-"/>
      <w:lvlJc w:val="left"/>
    </w:lvl>
    <w:lvl w:ilvl="1" w:tplc="B15C82B4">
      <w:start w:val="15"/>
      <w:numFmt w:val="lowerLetter"/>
      <w:lvlText w:val="%2"/>
      <w:lvlJc w:val="left"/>
    </w:lvl>
    <w:lvl w:ilvl="2" w:tplc="CC985AFC">
      <w:numFmt w:val="decimal"/>
      <w:lvlText w:val=""/>
      <w:lvlJc w:val="left"/>
    </w:lvl>
    <w:lvl w:ilvl="3" w:tplc="E5F45C48">
      <w:numFmt w:val="decimal"/>
      <w:lvlText w:val=""/>
      <w:lvlJc w:val="left"/>
    </w:lvl>
    <w:lvl w:ilvl="4" w:tplc="AF3C155C">
      <w:numFmt w:val="decimal"/>
      <w:lvlText w:val=""/>
      <w:lvlJc w:val="left"/>
    </w:lvl>
    <w:lvl w:ilvl="5" w:tplc="AB428B92">
      <w:numFmt w:val="decimal"/>
      <w:lvlText w:val=""/>
      <w:lvlJc w:val="left"/>
    </w:lvl>
    <w:lvl w:ilvl="6" w:tplc="F53A4CFE">
      <w:numFmt w:val="decimal"/>
      <w:lvlText w:val=""/>
      <w:lvlJc w:val="left"/>
    </w:lvl>
    <w:lvl w:ilvl="7" w:tplc="2F8A0CE6">
      <w:numFmt w:val="decimal"/>
      <w:lvlText w:val=""/>
      <w:lvlJc w:val="left"/>
    </w:lvl>
    <w:lvl w:ilvl="8" w:tplc="540CC9EA">
      <w:numFmt w:val="decimal"/>
      <w:lvlText w:val=""/>
      <w:lvlJc w:val="left"/>
    </w:lvl>
  </w:abstractNum>
  <w:abstractNum w:abstractNumId="141" w15:restartNumberingAfterBreak="0">
    <w:nsid w:val="175374A4"/>
    <w:multiLevelType w:val="hybridMultilevel"/>
    <w:tmpl w:val="050261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2" w15:restartNumberingAfterBreak="0">
    <w:nsid w:val="17BA092C"/>
    <w:multiLevelType w:val="hybridMultilevel"/>
    <w:tmpl w:val="F9D884E2"/>
    <w:lvl w:ilvl="0" w:tplc="59BCEAB6">
      <w:start w:val="1"/>
      <w:numFmt w:val="bullet"/>
      <w:lvlText w:val="•"/>
      <w:lvlJc w:val="left"/>
    </w:lvl>
    <w:lvl w:ilvl="1" w:tplc="EF16E3E6">
      <w:start w:val="1"/>
      <w:numFmt w:val="bullet"/>
      <w:lvlText w:val="\endash "/>
      <w:lvlJc w:val="left"/>
    </w:lvl>
    <w:lvl w:ilvl="2" w:tplc="806E71C0">
      <w:numFmt w:val="decimal"/>
      <w:lvlText w:val=""/>
      <w:lvlJc w:val="left"/>
    </w:lvl>
    <w:lvl w:ilvl="3" w:tplc="621A056E">
      <w:numFmt w:val="decimal"/>
      <w:lvlText w:val=""/>
      <w:lvlJc w:val="left"/>
    </w:lvl>
    <w:lvl w:ilvl="4" w:tplc="A34E70B4">
      <w:numFmt w:val="decimal"/>
      <w:lvlText w:val=""/>
      <w:lvlJc w:val="left"/>
    </w:lvl>
    <w:lvl w:ilvl="5" w:tplc="13D29E66">
      <w:numFmt w:val="decimal"/>
      <w:lvlText w:val=""/>
      <w:lvlJc w:val="left"/>
    </w:lvl>
    <w:lvl w:ilvl="6" w:tplc="40B83764">
      <w:numFmt w:val="decimal"/>
      <w:lvlText w:val=""/>
      <w:lvlJc w:val="left"/>
    </w:lvl>
    <w:lvl w:ilvl="7" w:tplc="85DE3B76">
      <w:numFmt w:val="decimal"/>
      <w:lvlText w:val=""/>
      <w:lvlJc w:val="left"/>
    </w:lvl>
    <w:lvl w:ilvl="8" w:tplc="93DCD1E4">
      <w:numFmt w:val="decimal"/>
      <w:lvlText w:val=""/>
      <w:lvlJc w:val="left"/>
    </w:lvl>
  </w:abstractNum>
  <w:abstractNum w:abstractNumId="143" w15:restartNumberingAfterBreak="0">
    <w:nsid w:val="18275849"/>
    <w:multiLevelType w:val="hybridMultilevel"/>
    <w:tmpl w:val="A2F078A2"/>
    <w:lvl w:ilvl="0" w:tplc="CBFADD0C">
      <w:start w:val="1"/>
      <w:numFmt w:val="bullet"/>
      <w:lvlText w:val="―"/>
      <w:lvlJc w:val="left"/>
      <w:pPr>
        <w:ind w:left="1440" w:hanging="360"/>
      </w:p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cs="Wingdings" w:hint="default"/>
      </w:rPr>
    </w:lvl>
    <w:lvl w:ilvl="3" w:tplc="04050001" w:tentative="1">
      <w:start w:val="1"/>
      <w:numFmt w:val="bullet"/>
      <w:lvlText w:val=""/>
      <w:lvlJc w:val="left"/>
      <w:pPr>
        <w:ind w:left="3600" w:hanging="360"/>
      </w:pPr>
      <w:rPr>
        <w:rFonts w:ascii="Symbol" w:hAnsi="Symbol" w:cs="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cs="Wingdings" w:hint="default"/>
      </w:rPr>
    </w:lvl>
    <w:lvl w:ilvl="6" w:tplc="04050001" w:tentative="1">
      <w:start w:val="1"/>
      <w:numFmt w:val="bullet"/>
      <w:lvlText w:val=""/>
      <w:lvlJc w:val="left"/>
      <w:pPr>
        <w:ind w:left="5760" w:hanging="360"/>
      </w:pPr>
      <w:rPr>
        <w:rFonts w:ascii="Symbol" w:hAnsi="Symbol" w:cs="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cs="Wingdings" w:hint="default"/>
      </w:rPr>
    </w:lvl>
  </w:abstractNum>
  <w:abstractNum w:abstractNumId="144" w15:restartNumberingAfterBreak="0">
    <w:nsid w:val="182903A1"/>
    <w:multiLevelType w:val="hybridMultilevel"/>
    <w:tmpl w:val="8146D3DA"/>
    <w:lvl w:ilvl="0" w:tplc="C9788C9E">
      <w:start w:val="15"/>
      <w:numFmt w:val="lowerLetter"/>
      <w:lvlText w:val="%1"/>
      <w:lvlJc w:val="left"/>
    </w:lvl>
    <w:lvl w:ilvl="1" w:tplc="2CFABE4A">
      <w:numFmt w:val="decimal"/>
      <w:lvlText w:val=""/>
      <w:lvlJc w:val="left"/>
    </w:lvl>
    <w:lvl w:ilvl="2" w:tplc="C6CE3F2C">
      <w:numFmt w:val="decimal"/>
      <w:lvlText w:val=""/>
      <w:lvlJc w:val="left"/>
    </w:lvl>
    <w:lvl w:ilvl="3" w:tplc="F460C712">
      <w:numFmt w:val="decimal"/>
      <w:lvlText w:val=""/>
      <w:lvlJc w:val="left"/>
    </w:lvl>
    <w:lvl w:ilvl="4" w:tplc="BA8E49F6">
      <w:numFmt w:val="decimal"/>
      <w:lvlText w:val=""/>
      <w:lvlJc w:val="left"/>
    </w:lvl>
    <w:lvl w:ilvl="5" w:tplc="EBFEFE58">
      <w:numFmt w:val="decimal"/>
      <w:lvlText w:val=""/>
      <w:lvlJc w:val="left"/>
    </w:lvl>
    <w:lvl w:ilvl="6" w:tplc="31FA9412">
      <w:numFmt w:val="decimal"/>
      <w:lvlText w:val=""/>
      <w:lvlJc w:val="left"/>
    </w:lvl>
    <w:lvl w:ilvl="7" w:tplc="F6AEF72A">
      <w:numFmt w:val="decimal"/>
      <w:lvlText w:val=""/>
      <w:lvlJc w:val="left"/>
    </w:lvl>
    <w:lvl w:ilvl="8" w:tplc="972E3C8A">
      <w:numFmt w:val="decimal"/>
      <w:lvlText w:val=""/>
      <w:lvlJc w:val="left"/>
    </w:lvl>
  </w:abstractNum>
  <w:abstractNum w:abstractNumId="145" w15:restartNumberingAfterBreak="0">
    <w:nsid w:val="183F5BDF"/>
    <w:multiLevelType w:val="hybridMultilevel"/>
    <w:tmpl w:val="641C002E"/>
    <w:lvl w:ilvl="0" w:tplc="53CABD30">
      <w:start w:val="1"/>
      <w:numFmt w:val="bullet"/>
      <w:lvlText w:val="-"/>
      <w:lvlJc w:val="left"/>
      <w:pPr>
        <w:ind w:left="1440" w:hanging="360"/>
      </w:p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6" w15:restartNumberingAfterBreak="0">
    <w:nsid w:val="18AB7E41"/>
    <w:multiLevelType w:val="hybridMultilevel"/>
    <w:tmpl w:val="5074FFB4"/>
    <w:lvl w:ilvl="0" w:tplc="5E404F82">
      <w:start w:val="6"/>
      <w:numFmt w:val="decimal"/>
      <w:lvlText w:val="%1."/>
      <w:lvlJc w:val="left"/>
    </w:lvl>
    <w:lvl w:ilvl="1" w:tplc="B7860ADE">
      <w:numFmt w:val="decimal"/>
      <w:lvlText w:val=""/>
      <w:lvlJc w:val="left"/>
    </w:lvl>
    <w:lvl w:ilvl="2" w:tplc="47AE3492">
      <w:numFmt w:val="decimal"/>
      <w:lvlText w:val=""/>
      <w:lvlJc w:val="left"/>
    </w:lvl>
    <w:lvl w:ilvl="3" w:tplc="418E5F48">
      <w:numFmt w:val="decimal"/>
      <w:lvlText w:val=""/>
      <w:lvlJc w:val="left"/>
    </w:lvl>
    <w:lvl w:ilvl="4" w:tplc="C08C507C">
      <w:numFmt w:val="decimal"/>
      <w:lvlText w:val=""/>
      <w:lvlJc w:val="left"/>
    </w:lvl>
    <w:lvl w:ilvl="5" w:tplc="20A2345A">
      <w:numFmt w:val="decimal"/>
      <w:lvlText w:val=""/>
      <w:lvlJc w:val="left"/>
    </w:lvl>
    <w:lvl w:ilvl="6" w:tplc="CD306958">
      <w:numFmt w:val="decimal"/>
      <w:lvlText w:val=""/>
      <w:lvlJc w:val="left"/>
    </w:lvl>
    <w:lvl w:ilvl="7" w:tplc="B3CC3260">
      <w:numFmt w:val="decimal"/>
      <w:lvlText w:val=""/>
      <w:lvlJc w:val="left"/>
    </w:lvl>
    <w:lvl w:ilvl="8" w:tplc="0786E9E6">
      <w:numFmt w:val="decimal"/>
      <w:lvlText w:val=""/>
      <w:lvlJc w:val="left"/>
    </w:lvl>
  </w:abstractNum>
  <w:abstractNum w:abstractNumId="147" w15:restartNumberingAfterBreak="0">
    <w:nsid w:val="1900C91C"/>
    <w:multiLevelType w:val="hybridMultilevel"/>
    <w:tmpl w:val="6AAEFB12"/>
    <w:lvl w:ilvl="0" w:tplc="A6242478">
      <w:start w:val="15"/>
      <w:numFmt w:val="lowerLetter"/>
      <w:lvlText w:val="%1"/>
      <w:lvlJc w:val="left"/>
    </w:lvl>
    <w:lvl w:ilvl="1" w:tplc="75A0FA92">
      <w:numFmt w:val="decimal"/>
      <w:lvlText w:val=""/>
      <w:lvlJc w:val="left"/>
    </w:lvl>
    <w:lvl w:ilvl="2" w:tplc="6464CF04">
      <w:numFmt w:val="decimal"/>
      <w:lvlText w:val=""/>
      <w:lvlJc w:val="left"/>
    </w:lvl>
    <w:lvl w:ilvl="3" w:tplc="5352F93C">
      <w:numFmt w:val="decimal"/>
      <w:lvlText w:val=""/>
      <w:lvlJc w:val="left"/>
    </w:lvl>
    <w:lvl w:ilvl="4" w:tplc="1F7E6A8E">
      <w:numFmt w:val="decimal"/>
      <w:lvlText w:val=""/>
      <w:lvlJc w:val="left"/>
    </w:lvl>
    <w:lvl w:ilvl="5" w:tplc="280E07AE">
      <w:numFmt w:val="decimal"/>
      <w:lvlText w:val=""/>
      <w:lvlJc w:val="left"/>
    </w:lvl>
    <w:lvl w:ilvl="6" w:tplc="1B98F32A">
      <w:numFmt w:val="decimal"/>
      <w:lvlText w:val=""/>
      <w:lvlJc w:val="left"/>
    </w:lvl>
    <w:lvl w:ilvl="7" w:tplc="1F428426">
      <w:numFmt w:val="decimal"/>
      <w:lvlText w:val=""/>
      <w:lvlJc w:val="left"/>
    </w:lvl>
    <w:lvl w:ilvl="8" w:tplc="0AFA903C">
      <w:numFmt w:val="decimal"/>
      <w:lvlText w:val=""/>
      <w:lvlJc w:val="left"/>
    </w:lvl>
  </w:abstractNum>
  <w:abstractNum w:abstractNumId="148" w15:restartNumberingAfterBreak="0">
    <w:nsid w:val="19076430"/>
    <w:multiLevelType w:val="hybridMultilevel"/>
    <w:tmpl w:val="F878CCB4"/>
    <w:lvl w:ilvl="0" w:tplc="B2D2978A">
      <w:start w:val="1"/>
      <w:numFmt w:val="bullet"/>
      <w:lvlText w:val="•"/>
      <w:lvlJc w:val="left"/>
    </w:lvl>
    <w:lvl w:ilvl="1" w:tplc="2CCC01D0">
      <w:numFmt w:val="decimal"/>
      <w:lvlText w:val=""/>
      <w:lvlJc w:val="left"/>
    </w:lvl>
    <w:lvl w:ilvl="2" w:tplc="0150A486">
      <w:numFmt w:val="decimal"/>
      <w:lvlText w:val=""/>
      <w:lvlJc w:val="left"/>
    </w:lvl>
    <w:lvl w:ilvl="3" w:tplc="4D285C20">
      <w:numFmt w:val="decimal"/>
      <w:lvlText w:val=""/>
      <w:lvlJc w:val="left"/>
    </w:lvl>
    <w:lvl w:ilvl="4" w:tplc="8E8C3838">
      <w:numFmt w:val="decimal"/>
      <w:lvlText w:val=""/>
      <w:lvlJc w:val="left"/>
    </w:lvl>
    <w:lvl w:ilvl="5" w:tplc="2E92E0CA">
      <w:numFmt w:val="decimal"/>
      <w:lvlText w:val=""/>
      <w:lvlJc w:val="left"/>
    </w:lvl>
    <w:lvl w:ilvl="6" w:tplc="3E20D5A2">
      <w:numFmt w:val="decimal"/>
      <w:lvlText w:val=""/>
      <w:lvlJc w:val="left"/>
    </w:lvl>
    <w:lvl w:ilvl="7" w:tplc="5650D35A">
      <w:numFmt w:val="decimal"/>
      <w:lvlText w:val=""/>
      <w:lvlJc w:val="left"/>
    </w:lvl>
    <w:lvl w:ilvl="8" w:tplc="C108F7A4">
      <w:numFmt w:val="decimal"/>
      <w:lvlText w:val=""/>
      <w:lvlJc w:val="left"/>
    </w:lvl>
  </w:abstractNum>
  <w:abstractNum w:abstractNumId="149" w15:restartNumberingAfterBreak="0">
    <w:nsid w:val="19248B51"/>
    <w:multiLevelType w:val="hybridMultilevel"/>
    <w:tmpl w:val="9C1452FE"/>
    <w:lvl w:ilvl="0" w:tplc="46628EEC">
      <w:start w:val="1"/>
      <w:numFmt w:val="bullet"/>
      <w:lvlText w:val="·"/>
      <w:lvlJc w:val="left"/>
    </w:lvl>
    <w:lvl w:ilvl="1" w:tplc="91668B2C">
      <w:numFmt w:val="decimal"/>
      <w:lvlText w:val=""/>
      <w:lvlJc w:val="left"/>
    </w:lvl>
    <w:lvl w:ilvl="2" w:tplc="B14EAA98">
      <w:numFmt w:val="decimal"/>
      <w:lvlText w:val=""/>
      <w:lvlJc w:val="left"/>
    </w:lvl>
    <w:lvl w:ilvl="3" w:tplc="1E66B908">
      <w:numFmt w:val="decimal"/>
      <w:lvlText w:val=""/>
      <w:lvlJc w:val="left"/>
    </w:lvl>
    <w:lvl w:ilvl="4" w:tplc="1028520E">
      <w:numFmt w:val="decimal"/>
      <w:lvlText w:val=""/>
      <w:lvlJc w:val="left"/>
    </w:lvl>
    <w:lvl w:ilvl="5" w:tplc="77707D38">
      <w:numFmt w:val="decimal"/>
      <w:lvlText w:val=""/>
      <w:lvlJc w:val="left"/>
    </w:lvl>
    <w:lvl w:ilvl="6" w:tplc="6834180E">
      <w:numFmt w:val="decimal"/>
      <w:lvlText w:val=""/>
      <w:lvlJc w:val="left"/>
    </w:lvl>
    <w:lvl w:ilvl="7" w:tplc="578E7738">
      <w:numFmt w:val="decimal"/>
      <w:lvlText w:val=""/>
      <w:lvlJc w:val="left"/>
    </w:lvl>
    <w:lvl w:ilvl="8" w:tplc="38FA57D0">
      <w:numFmt w:val="decimal"/>
      <w:lvlText w:val=""/>
      <w:lvlJc w:val="left"/>
    </w:lvl>
  </w:abstractNum>
  <w:abstractNum w:abstractNumId="150" w15:restartNumberingAfterBreak="0">
    <w:nsid w:val="197E3265"/>
    <w:multiLevelType w:val="hybridMultilevel"/>
    <w:tmpl w:val="023047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51" w15:restartNumberingAfterBreak="0">
    <w:nsid w:val="197F6285"/>
    <w:multiLevelType w:val="hybridMultilevel"/>
    <w:tmpl w:val="E5AEF0D0"/>
    <w:lvl w:ilvl="0" w:tplc="0BA4D028">
      <w:start w:val="15"/>
      <w:numFmt w:val="lowerLetter"/>
      <w:lvlText w:val="%1"/>
      <w:lvlJc w:val="left"/>
    </w:lvl>
    <w:lvl w:ilvl="1" w:tplc="362CA802">
      <w:numFmt w:val="decimal"/>
      <w:lvlText w:val=""/>
      <w:lvlJc w:val="left"/>
    </w:lvl>
    <w:lvl w:ilvl="2" w:tplc="FDE28E3A">
      <w:numFmt w:val="decimal"/>
      <w:lvlText w:val=""/>
      <w:lvlJc w:val="left"/>
    </w:lvl>
    <w:lvl w:ilvl="3" w:tplc="EFA8A082">
      <w:numFmt w:val="decimal"/>
      <w:lvlText w:val=""/>
      <w:lvlJc w:val="left"/>
    </w:lvl>
    <w:lvl w:ilvl="4" w:tplc="1CDA515C">
      <w:numFmt w:val="decimal"/>
      <w:lvlText w:val=""/>
      <w:lvlJc w:val="left"/>
    </w:lvl>
    <w:lvl w:ilvl="5" w:tplc="B06A4900">
      <w:numFmt w:val="decimal"/>
      <w:lvlText w:val=""/>
      <w:lvlJc w:val="left"/>
    </w:lvl>
    <w:lvl w:ilvl="6" w:tplc="08F874E6">
      <w:numFmt w:val="decimal"/>
      <w:lvlText w:val=""/>
      <w:lvlJc w:val="left"/>
    </w:lvl>
    <w:lvl w:ilvl="7" w:tplc="26F4C86E">
      <w:numFmt w:val="decimal"/>
      <w:lvlText w:val=""/>
      <w:lvlJc w:val="left"/>
    </w:lvl>
    <w:lvl w:ilvl="8" w:tplc="BC80041A">
      <w:numFmt w:val="decimal"/>
      <w:lvlText w:val=""/>
      <w:lvlJc w:val="left"/>
    </w:lvl>
  </w:abstractNum>
  <w:abstractNum w:abstractNumId="152" w15:restartNumberingAfterBreak="0">
    <w:nsid w:val="198D0EDE"/>
    <w:multiLevelType w:val="hybridMultilevel"/>
    <w:tmpl w:val="EC4A6E66"/>
    <w:lvl w:ilvl="0" w:tplc="AAB20F4E">
      <w:start w:val="1"/>
      <w:numFmt w:val="bullet"/>
      <w:lvlText w:val="•"/>
      <w:lvlJc w:val="left"/>
    </w:lvl>
    <w:lvl w:ilvl="1" w:tplc="A3DE0B26">
      <w:numFmt w:val="decimal"/>
      <w:lvlText w:val=""/>
      <w:lvlJc w:val="left"/>
    </w:lvl>
    <w:lvl w:ilvl="2" w:tplc="23D89C50">
      <w:numFmt w:val="decimal"/>
      <w:lvlText w:val=""/>
      <w:lvlJc w:val="left"/>
    </w:lvl>
    <w:lvl w:ilvl="3" w:tplc="54C460B4">
      <w:numFmt w:val="decimal"/>
      <w:lvlText w:val=""/>
      <w:lvlJc w:val="left"/>
    </w:lvl>
    <w:lvl w:ilvl="4" w:tplc="50A2E544">
      <w:numFmt w:val="decimal"/>
      <w:lvlText w:val=""/>
      <w:lvlJc w:val="left"/>
    </w:lvl>
    <w:lvl w:ilvl="5" w:tplc="F9C80DD6">
      <w:numFmt w:val="decimal"/>
      <w:lvlText w:val=""/>
      <w:lvlJc w:val="left"/>
    </w:lvl>
    <w:lvl w:ilvl="6" w:tplc="15862BBA">
      <w:numFmt w:val="decimal"/>
      <w:lvlText w:val=""/>
      <w:lvlJc w:val="left"/>
    </w:lvl>
    <w:lvl w:ilvl="7" w:tplc="C5249368">
      <w:numFmt w:val="decimal"/>
      <w:lvlText w:val=""/>
      <w:lvlJc w:val="left"/>
    </w:lvl>
    <w:lvl w:ilvl="8" w:tplc="9DB6BF68">
      <w:numFmt w:val="decimal"/>
      <w:lvlText w:val=""/>
      <w:lvlJc w:val="left"/>
    </w:lvl>
  </w:abstractNum>
  <w:abstractNum w:abstractNumId="153" w15:restartNumberingAfterBreak="0">
    <w:nsid w:val="19F87EDF"/>
    <w:multiLevelType w:val="hybridMultilevel"/>
    <w:tmpl w:val="EACE85C8"/>
    <w:lvl w:ilvl="0" w:tplc="CBFADD0C">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54" w15:restartNumberingAfterBreak="0">
    <w:nsid w:val="1A5D162A"/>
    <w:multiLevelType w:val="hybridMultilevel"/>
    <w:tmpl w:val="046AC922"/>
    <w:lvl w:ilvl="0" w:tplc="04050011">
      <w:start w:val="1"/>
      <w:numFmt w:val="decimal"/>
      <w:lvlText w:val="%1)"/>
      <w:lvlJc w:val="left"/>
    </w:lvl>
    <w:lvl w:ilvl="1" w:tplc="9FA293C2">
      <w:numFmt w:val="decimal"/>
      <w:lvlText w:val=""/>
      <w:lvlJc w:val="left"/>
    </w:lvl>
    <w:lvl w:ilvl="2" w:tplc="26026986">
      <w:numFmt w:val="decimal"/>
      <w:lvlText w:val=""/>
      <w:lvlJc w:val="left"/>
    </w:lvl>
    <w:lvl w:ilvl="3" w:tplc="B838BE2A">
      <w:numFmt w:val="decimal"/>
      <w:lvlText w:val=""/>
      <w:lvlJc w:val="left"/>
    </w:lvl>
    <w:lvl w:ilvl="4" w:tplc="F8F691EE">
      <w:numFmt w:val="decimal"/>
      <w:lvlText w:val=""/>
      <w:lvlJc w:val="left"/>
    </w:lvl>
    <w:lvl w:ilvl="5" w:tplc="F5E4BEEE">
      <w:numFmt w:val="decimal"/>
      <w:lvlText w:val=""/>
      <w:lvlJc w:val="left"/>
    </w:lvl>
    <w:lvl w:ilvl="6" w:tplc="395CE4AA">
      <w:numFmt w:val="decimal"/>
      <w:lvlText w:val=""/>
      <w:lvlJc w:val="left"/>
    </w:lvl>
    <w:lvl w:ilvl="7" w:tplc="F1ACE470">
      <w:numFmt w:val="decimal"/>
      <w:lvlText w:val=""/>
      <w:lvlJc w:val="left"/>
    </w:lvl>
    <w:lvl w:ilvl="8" w:tplc="5770FBF2">
      <w:numFmt w:val="decimal"/>
      <w:lvlText w:val=""/>
      <w:lvlJc w:val="left"/>
    </w:lvl>
  </w:abstractNum>
  <w:abstractNum w:abstractNumId="155" w15:restartNumberingAfterBreak="0">
    <w:nsid w:val="1A5FC05D"/>
    <w:multiLevelType w:val="hybridMultilevel"/>
    <w:tmpl w:val="DC76187E"/>
    <w:lvl w:ilvl="0" w:tplc="F7B6BBEC">
      <w:start w:val="15"/>
      <w:numFmt w:val="lowerLetter"/>
      <w:lvlText w:val="%1"/>
      <w:lvlJc w:val="left"/>
    </w:lvl>
    <w:lvl w:ilvl="1" w:tplc="BE7ADBE6">
      <w:numFmt w:val="decimal"/>
      <w:lvlText w:val=""/>
      <w:lvlJc w:val="left"/>
    </w:lvl>
    <w:lvl w:ilvl="2" w:tplc="8172862A">
      <w:numFmt w:val="decimal"/>
      <w:lvlText w:val=""/>
      <w:lvlJc w:val="left"/>
    </w:lvl>
    <w:lvl w:ilvl="3" w:tplc="98465E5C">
      <w:numFmt w:val="decimal"/>
      <w:lvlText w:val=""/>
      <w:lvlJc w:val="left"/>
    </w:lvl>
    <w:lvl w:ilvl="4" w:tplc="7348FBC2">
      <w:numFmt w:val="decimal"/>
      <w:lvlText w:val=""/>
      <w:lvlJc w:val="left"/>
    </w:lvl>
    <w:lvl w:ilvl="5" w:tplc="FBF0B818">
      <w:numFmt w:val="decimal"/>
      <w:lvlText w:val=""/>
      <w:lvlJc w:val="left"/>
    </w:lvl>
    <w:lvl w:ilvl="6" w:tplc="2254598A">
      <w:numFmt w:val="decimal"/>
      <w:lvlText w:val=""/>
      <w:lvlJc w:val="left"/>
    </w:lvl>
    <w:lvl w:ilvl="7" w:tplc="6F80DC64">
      <w:numFmt w:val="decimal"/>
      <w:lvlText w:val=""/>
      <w:lvlJc w:val="left"/>
    </w:lvl>
    <w:lvl w:ilvl="8" w:tplc="7FFE95F4">
      <w:numFmt w:val="decimal"/>
      <w:lvlText w:val=""/>
      <w:lvlJc w:val="left"/>
    </w:lvl>
  </w:abstractNum>
  <w:abstractNum w:abstractNumId="156" w15:restartNumberingAfterBreak="0">
    <w:nsid w:val="1A6760EF"/>
    <w:multiLevelType w:val="hybridMultilevel"/>
    <w:tmpl w:val="1F36B5C4"/>
    <w:lvl w:ilvl="0" w:tplc="9F0E500E">
      <w:start w:val="1"/>
      <w:numFmt w:val="lowerLetter"/>
      <w:lvlText w:val="%1)"/>
      <w:lvlJc w:val="left"/>
    </w:lvl>
    <w:lvl w:ilvl="1" w:tplc="A2843372">
      <w:numFmt w:val="decimal"/>
      <w:lvlText w:val=""/>
      <w:lvlJc w:val="left"/>
    </w:lvl>
    <w:lvl w:ilvl="2" w:tplc="10389338">
      <w:numFmt w:val="decimal"/>
      <w:lvlText w:val=""/>
      <w:lvlJc w:val="left"/>
    </w:lvl>
    <w:lvl w:ilvl="3" w:tplc="6D944692">
      <w:numFmt w:val="decimal"/>
      <w:lvlText w:val=""/>
      <w:lvlJc w:val="left"/>
    </w:lvl>
    <w:lvl w:ilvl="4" w:tplc="C4B4E18A">
      <w:numFmt w:val="decimal"/>
      <w:lvlText w:val=""/>
      <w:lvlJc w:val="left"/>
    </w:lvl>
    <w:lvl w:ilvl="5" w:tplc="FDA09220">
      <w:numFmt w:val="decimal"/>
      <w:lvlText w:val=""/>
      <w:lvlJc w:val="left"/>
    </w:lvl>
    <w:lvl w:ilvl="6" w:tplc="63C28130">
      <w:numFmt w:val="decimal"/>
      <w:lvlText w:val=""/>
      <w:lvlJc w:val="left"/>
    </w:lvl>
    <w:lvl w:ilvl="7" w:tplc="9A96E722">
      <w:numFmt w:val="decimal"/>
      <w:lvlText w:val=""/>
      <w:lvlJc w:val="left"/>
    </w:lvl>
    <w:lvl w:ilvl="8" w:tplc="962A5EE4">
      <w:numFmt w:val="decimal"/>
      <w:lvlText w:val=""/>
      <w:lvlJc w:val="left"/>
    </w:lvl>
  </w:abstractNum>
  <w:abstractNum w:abstractNumId="157" w15:restartNumberingAfterBreak="0">
    <w:nsid w:val="1A915954"/>
    <w:multiLevelType w:val="hybridMultilevel"/>
    <w:tmpl w:val="5DD4E79A"/>
    <w:lvl w:ilvl="0" w:tplc="04050011">
      <w:start w:val="1"/>
      <w:numFmt w:val="decimal"/>
      <w:lvlText w:val="%1)"/>
      <w:lvlJc w:val="left"/>
    </w:lvl>
    <w:lvl w:ilvl="1" w:tplc="56428B6A">
      <w:numFmt w:val="decimal"/>
      <w:lvlText w:val=""/>
      <w:lvlJc w:val="left"/>
    </w:lvl>
    <w:lvl w:ilvl="2" w:tplc="0BE814BA">
      <w:numFmt w:val="decimal"/>
      <w:lvlText w:val=""/>
      <w:lvlJc w:val="left"/>
    </w:lvl>
    <w:lvl w:ilvl="3" w:tplc="99746C1A">
      <w:numFmt w:val="decimal"/>
      <w:lvlText w:val=""/>
      <w:lvlJc w:val="left"/>
    </w:lvl>
    <w:lvl w:ilvl="4" w:tplc="9E5A6854">
      <w:numFmt w:val="decimal"/>
      <w:lvlText w:val=""/>
      <w:lvlJc w:val="left"/>
    </w:lvl>
    <w:lvl w:ilvl="5" w:tplc="C4CE974C">
      <w:numFmt w:val="decimal"/>
      <w:lvlText w:val=""/>
      <w:lvlJc w:val="left"/>
    </w:lvl>
    <w:lvl w:ilvl="6" w:tplc="CDC494AA">
      <w:numFmt w:val="decimal"/>
      <w:lvlText w:val=""/>
      <w:lvlJc w:val="left"/>
    </w:lvl>
    <w:lvl w:ilvl="7" w:tplc="BE401828">
      <w:numFmt w:val="decimal"/>
      <w:lvlText w:val=""/>
      <w:lvlJc w:val="left"/>
    </w:lvl>
    <w:lvl w:ilvl="8" w:tplc="30BAB4DE">
      <w:numFmt w:val="decimal"/>
      <w:lvlText w:val=""/>
      <w:lvlJc w:val="left"/>
    </w:lvl>
  </w:abstractNum>
  <w:abstractNum w:abstractNumId="158" w15:restartNumberingAfterBreak="0">
    <w:nsid w:val="1B15D96C"/>
    <w:multiLevelType w:val="hybridMultilevel"/>
    <w:tmpl w:val="B13E0C8E"/>
    <w:lvl w:ilvl="0" w:tplc="0B2C1872">
      <w:start w:val="1"/>
      <w:numFmt w:val="bullet"/>
      <w:lvlText w:val="−"/>
      <w:lvlJc w:val="left"/>
    </w:lvl>
    <w:lvl w:ilvl="1" w:tplc="4D681B2C">
      <w:numFmt w:val="decimal"/>
      <w:lvlText w:val=""/>
      <w:lvlJc w:val="left"/>
    </w:lvl>
    <w:lvl w:ilvl="2" w:tplc="C038AD3C">
      <w:numFmt w:val="decimal"/>
      <w:lvlText w:val=""/>
      <w:lvlJc w:val="left"/>
    </w:lvl>
    <w:lvl w:ilvl="3" w:tplc="55BCA186">
      <w:numFmt w:val="decimal"/>
      <w:lvlText w:val=""/>
      <w:lvlJc w:val="left"/>
    </w:lvl>
    <w:lvl w:ilvl="4" w:tplc="0478E572">
      <w:numFmt w:val="decimal"/>
      <w:lvlText w:val=""/>
      <w:lvlJc w:val="left"/>
    </w:lvl>
    <w:lvl w:ilvl="5" w:tplc="D48232E2">
      <w:numFmt w:val="decimal"/>
      <w:lvlText w:val=""/>
      <w:lvlJc w:val="left"/>
    </w:lvl>
    <w:lvl w:ilvl="6" w:tplc="50D80260">
      <w:numFmt w:val="decimal"/>
      <w:lvlText w:val=""/>
      <w:lvlJc w:val="left"/>
    </w:lvl>
    <w:lvl w:ilvl="7" w:tplc="71E02C16">
      <w:numFmt w:val="decimal"/>
      <w:lvlText w:val=""/>
      <w:lvlJc w:val="left"/>
    </w:lvl>
    <w:lvl w:ilvl="8" w:tplc="8DDCB314">
      <w:numFmt w:val="decimal"/>
      <w:lvlText w:val=""/>
      <w:lvlJc w:val="left"/>
    </w:lvl>
  </w:abstractNum>
  <w:abstractNum w:abstractNumId="159" w15:restartNumberingAfterBreak="0">
    <w:nsid w:val="1B1BCCF5"/>
    <w:multiLevelType w:val="hybridMultilevel"/>
    <w:tmpl w:val="B00C472C"/>
    <w:lvl w:ilvl="0" w:tplc="FA00821C">
      <w:start w:val="1"/>
      <w:numFmt w:val="lowerLetter"/>
      <w:lvlText w:val="%1)"/>
      <w:lvlJc w:val="left"/>
    </w:lvl>
    <w:lvl w:ilvl="1" w:tplc="FA3450E0">
      <w:numFmt w:val="decimal"/>
      <w:lvlText w:val=""/>
      <w:lvlJc w:val="left"/>
    </w:lvl>
    <w:lvl w:ilvl="2" w:tplc="0D78EF64">
      <w:numFmt w:val="decimal"/>
      <w:lvlText w:val=""/>
      <w:lvlJc w:val="left"/>
    </w:lvl>
    <w:lvl w:ilvl="3" w:tplc="84481F4C">
      <w:numFmt w:val="decimal"/>
      <w:lvlText w:val=""/>
      <w:lvlJc w:val="left"/>
    </w:lvl>
    <w:lvl w:ilvl="4" w:tplc="2272BB72">
      <w:numFmt w:val="decimal"/>
      <w:lvlText w:val=""/>
      <w:lvlJc w:val="left"/>
    </w:lvl>
    <w:lvl w:ilvl="5" w:tplc="9B325548">
      <w:numFmt w:val="decimal"/>
      <w:lvlText w:val=""/>
      <w:lvlJc w:val="left"/>
    </w:lvl>
    <w:lvl w:ilvl="6" w:tplc="17068322">
      <w:numFmt w:val="decimal"/>
      <w:lvlText w:val=""/>
      <w:lvlJc w:val="left"/>
    </w:lvl>
    <w:lvl w:ilvl="7" w:tplc="2C24CBF0">
      <w:numFmt w:val="decimal"/>
      <w:lvlText w:val=""/>
      <w:lvlJc w:val="left"/>
    </w:lvl>
    <w:lvl w:ilvl="8" w:tplc="4BD465A2">
      <w:numFmt w:val="decimal"/>
      <w:lvlText w:val=""/>
      <w:lvlJc w:val="left"/>
    </w:lvl>
  </w:abstractNum>
  <w:abstractNum w:abstractNumId="160" w15:restartNumberingAfterBreak="0">
    <w:nsid w:val="1B874986"/>
    <w:multiLevelType w:val="hybridMultilevel"/>
    <w:tmpl w:val="3082451E"/>
    <w:lvl w:ilvl="0" w:tplc="105C0B66">
      <w:start w:val="1"/>
      <w:numFmt w:val="bullet"/>
      <w:lvlText w:val="●"/>
      <w:lvlJc w:val="left"/>
    </w:lvl>
    <w:lvl w:ilvl="1" w:tplc="CA4A0EA8">
      <w:start w:val="1"/>
      <w:numFmt w:val="bullet"/>
      <w:lvlText w:val="●"/>
      <w:lvlJc w:val="left"/>
    </w:lvl>
    <w:lvl w:ilvl="2" w:tplc="8396918C">
      <w:numFmt w:val="decimal"/>
      <w:lvlText w:val=""/>
      <w:lvlJc w:val="left"/>
    </w:lvl>
    <w:lvl w:ilvl="3" w:tplc="1CAC6660">
      <w:numFmt w:val="decimal"/>
      <w:lvlText w:val=""/>
      <w:lvlJc w:val="left"/>
    </w:lvl>
    <w:lvl w:ilvl="4" w:tplc="D97CFC8E">
      <w:numFmt w:val="decimal"/>
      <w:lvlText w:val=""/>
      <w:lvlJc w:val="left"/>
    </w:lvl>
    <w:lvl w:ilvl="5" w:tplc="8DF8E144">
      <w:numFmt w:val="decimal"/>
      <w:lvlText w:val=""/>
      <w:lvlJc w:val="left"/>
    </w:lvl>
    <w:lvl w:ilvl="6" w:tplc="6BDAF4DC">
      <w:numFmt w:val="decimal"/>
      <w:lvlText w:val=""/>
      <w:lvlJc w:val="left"/>
    </w:lvl>
    <w:lvl w:ilvl="7" w:tplc="65DC420A">
      <w:numFmt w:val="decimal"/>
      <w:lvlText w:val=""/>
      <w:lvlJc w:val="left"/>
    </w:lvl>
    <w:lvl w:ilvl="8" w:tplc="D6367D74">
      <w:numFmt w:val="decimal"/>
      <w:lvlText w:val=""/>
      <w:lvlJc w:val="left"/>
    </w:lvl>
  </w:abstractNum>
  <w:abstractNum w:abstractNumId="161" w15:restartNumberingAfterBreak="0">
    <w:nsid w:val="1BDF6248"/>
    <w:multiLevelType w:val="hybridMultilevel"/>
    <w:tmpl w:val="851021E6"/>
    <w:lvl w:ilvl="0" w:tplc="53CABD30">
      <w:start w:val="1"/>
      <w:numFmt w:val="bullet"/>
      <w:lvlText w:val="-"/>
      <w:lvlJc w:val="left"/>
      <w:pPr>
        <w:ind w:left="1493" w:hanging="360"/>
      </w:pPr>
    </w:lvl>
    <w:lvl w:ilvl="1" w:tplc="04050003" w:tentative="1">
      <w:start w:val="1"/>
      <w:numFmt w:val="bullet"/>
      <w:lvlText w:val="o"/>
      <w:lvlJc w:val="left"/>
      <w:pPr>
        <w:ind w:left="2213" w:hanging="360"/>
      </w:pPr>
      <w:rPr>
        <w:rFonts w:ascii="Courier New" w:hAnsi="Courier New" w:cs="Courier New" w:hint="default"/>
      </w:rPr>
    </w:lvl>
    <w:lvl w:ilvl="2" w:tplc="04050005" w:tentative="1">
      <w:start w:val="1"/>
      <w:numFmt w:val="bullet"/>
      <w:lvlText w:val=""/>
      <w:lvlJc w:val="left"/>
      <w:pPr>
        <w:ind w:left="2933" w:hanging="360"/>
      </w:pPr>
      <w:rPr>
        <w:rFonts w:ascii="Wingdings" w:hAnsi="Wingdings" w:hint="default"/>
      </w:rPr>
    </w:lvl>
    <w:lvl w:ilvl="3" w:tplc="04050001" w:tentative="1">
      <w:start w:val="1"/>
      <w:numFmt w:val="bullet"/>
      <w:lvlText w:val=""/>
      <w:lvlJc w:val="left"/>
      <w:pPr>
        <w:ind w:left="3653" w:hanging="360"/>
      </w:pPr>
      <w:rPr>
        <w:rFonts w:ascii="Symbol" w:hAnsi="Symbol" w:hint="default"/>
      </w:rPr>
    </w:lvl>
    <w:lvl w:ilvl="4" w:tplc="04050003" w:tentative="1">
      <w:start w:val="1"/>
      <w:numFmt w:val="bullet"/>
      <w:lvlText w:val="o"/>
      <w:lvlJc w:val="left"/>
      <w:pPr>
        <w:ind w:left="4373" w:hanging="360"/>
      </w:pPr>
      <w:rPr>
        <w:rFonts w:ascii="Courier New" w:hAnsi="Courier New" w:cs="Courier New" w:hint="default"/>
      </w:rPr>
    </w:lvl>
    <w:lvl w:ilvl="5" w:tplc="04050005" w:tentative="1">
      <w:start w:val="1"/>
      <w:numFmt w:val="bullet"/>
      <w:lvlText w:val=""/>
      <w:lvlJc w:val="left"/>
      <w:pPr>
        <w:ind w:left="5093" w:hanging="360"/>
      </w:pPr>
      <w:rPr>
        <w:rFonts w:ascii="Wingdings" w:hAnsi="Wingdings" w:hint="default"/>
      </w:rPr>
    </w:lvl>
    <w:lvl w:ilvl="6" w:tplc="04050001" w:tentative="1">
      <w:start w:val="1"/>
      <w:numFmt w:val="bullet"/>
      <w:lvlText w:val=""/>
      <w:lvlJc w:val="left"/>
      <w:pPr>
        <w:ind w:left="5813" w:hanging="360"/>
      </w:pPr>
      <w:rPr>
        <w:rFonts w:ascii="Symbol" w:hAnsi="Symbol" w:hint="default"/>
      </w:rPr>
    </w:lvl>
    <w:lvl w:ilvl="7" w:tplc="04050003" w:tentative="1">
      <w:start w:val="1"/>
      <w:numFmt w:val="bullet"/>
      <w:lvlText w:val="o"/>
      <w:lvlJc w:val="left"/>
      <w:pPr>
        <w:ind w:left="6533" w:hanging="360"/>
      </w:pPr>
      <w:rPr>
        <w:rFonts w:ascii="Courier New" w:hAnsi="Courier New" w:cs="Courier New" w:hint="default"/>
      </w:rPr>
    </w:lvl>
    <w:lvl w:ilvl="8" w:tplc="04050005" w:tentative="1">
      <w:start w:val="1"/>
      <w:numFmt w:val="bullet"/>
      <w:lvlText w:val=""/>
      <w:lvlJc w:val="left"/>
      <w:pPr>
        <w:ind w:left="7253" w:hanging="360"/>
      </w:pPr>
      <w:rPr>
        <w:rFonts w:ascii="Wingdings" w:hAnsi="Wingdings" w:hint="default"/>
      </w:rPr>
    </w:lvl>
  </w:abstractNum>
  <w:abstractNum w:abstractNumId="162" w15:restartNumberingAfterBreak="0">
    <w:nsid w:val="1C274923"/>
    <w:multiLevelType w:val="hybridMultilevel"/>
    <w:tmpl w:val="AA8C478A"/>
    <w:lvl w:ilvl="0" w:tplc="3E465A2E">
      <w:start w:val="1"/>
      <w:numFmt w:val="bullet"/>
      <w:lvlText w:val="·"/>
      <w:lvlJc w:val="left"/>
    </w:lvl>
    <w:lvl w:ilvl="1" w:tplc="04050003">
      <w:start w:val="1"/>
      <w:numFmt w:val="bullet"/>
      <w:lvlText w:val="o"/>
      <w:lvlJc w:val="left"/>
      <w:pPr>
        <w:ind w:left="2280" w:hanging="360"/>
      </w:pPr>
      <w:rPr>
        <w:rFonts w:ascii="Courier New" w:hAnsi="Courier New" w:cs="Courier New" w:hint="default"/>
      </w:rPr>
    </w:lvl>
    <w:lvl w:ilvl="2" w:tplc="04050005" w:tentative="1">
      <w:start w:val="1"/>
      <w:numFmt w:val="bullet"/>
      <w:lvlText w:val=""/>
      <w:lvlJc w:val="left"/>
      <w:pPr>
        <w:ind w:left="3000" w:hanging="360"/>
      </w:pPr>
      <w:rPr>
        <w:rFonts w:ascii="Wingdings" w:hAnsi="Wingdings" w:hint="default"/>
      </w:rPr>
    </w:lvl>
    <w:lvl w:ilvl="3" w:tplc="04050001" w:tentative="1">
      <w:start w:val="1"/>
      <w:numFmt w:val="bullet"/>
      <w:lvlText w:val=""/>
      <w:lvlJc w:val="left"/>
      <w:pPr>
        <w:ind w:left="3720" w:hanging="360"/>
      </w:pPr>
      <w:rPr>
        <w:rFonts w:ascii="Symbol" w:hAnsi="Symbol" w:hint="default"/>
      </w:rPr>
    </w:lvl>
    <w:lvl w:ilvl="4" w:tplc="04050003" w:tentative="1">
      <w:start w:val="1"/>
      <w:numFmt w:val="bullet"/>
      <w:lvlText w:val="o"/>
      <w:lvlJc w:val="left"/>
      <w:pPr>
        <w:ind w:left="4440" w:hanging="360"/>
      </w:pPr>
      <w:rPr>
        <w:rFonts w:ascii="Courier New" w:hAnsi="Courier New" w:cs="Courier New" w:hint="default"/>
      </w:rPr>
    </w:lvl>
    <w:lvl w:ilvl="5" w:tplc="04050005" w:tentative="1">
      <w:start w:val="1"/>
      <w:numFmt w:val="bullet"/>
      <w:lvlText w:val=""/>
      <w:lvlJc w:val="left"/>
      <w:pPr>
        <w:ind w:left="5160" w:hanging="360"/>
      </w:pPr>
      <w:rPr>
        <w:rFonts w:ascii="Wingdings" w:hAnsi="Wingdings" w:hint="default"/>
      </w:rPr>
    </w:lvl>
    <w:lvl w:ilvl="6" w:tplc="04050001" w:tentative="1">
      <w:start w:val="1"/>
      <w:numFmt w:val="bullet"/>
      <w:lvlText w:val=""/>
      <w:lvlJc w:val="left"/>
      <w:pPr>
        <w:ind w:left="5880" w:hanging="360"/>
      </w:pPr>
      <w:rPr>
        <w:rFonts w:ascii="Symbol" w:hAnsi="Symbol" w:hint="default"/>
      </w:rPr>
    </w:lvl>
    <w:lvl w:ilvl="7" w:tplc="04050003" w:tentative="1">
      <w:start w:val="1"/>
      <w:numFmt w:val="bullet"/>
      <w:lvlText w:val="o"/>
      <w:lvlJc w:val="left"/>
      <w:pPr>
        <w:ind w:left="6600" w:hanging="360"/>
      </w:pPr>
      <w:rPr>
        <w:rFonts w:ascii="Courier New" w:hAnsi="Courier New" w:cs="Courier New" w:hint="default"/>
      </w:rPr>
    </w:lvl>
    <w:lvl w:ilvl="8" w:tplc="04050005" w:tentative="1">
      <w:start w:val="1"/>
      <w:numFmt w:val="bullet"/>
      <w:lvlText w:val=""/>
      <w:lvlJc w:val="left"/>
      <w:pPr>
        <w:ind w:left="7320" w:hanging="360"/>
      </w:pPr>
      <w:rPr>
        <w:rFonts w:ascii="Wingdings" w:hAnsi="Wingdings" w:hint="default"/>
      </w:rPr>
    </w:lvl>
  </w:abstractNum>
  <w:abstractNum w:abstractNumId="163" w15:restartNumberingAfterBreak="0">
    <w:nsid w:val="1C3F31CE"/>
    <w:multiLevelType w:val="hybridMultilevel"/>
    <w:tmpl w:val="17C8A8A4"/>
    <w:lvl w:ilvl="0" w:tplc="4836BF82">
      <w:start w:val="1"/>
      <w:numFmt w:val="decimal"/>
      <w:lvlText w:val="%1."/>
      <w:lvlJc w:val="left"/>
    </w:lvl>
    <w:lvl w:ilvl="1" w:tplc="6CB27CAE">
      <w:numFmt w:val="decimal"/>
      <w:lvlText w:val=""/>
      <w:lvlJc w:val="left"/>
    </w:lvl>
    <w:lvl w:ilvl="2" w:tplc="7CFC4B20">
      <w:numFmt w:val="decimal"/>
      <w:lvlText w:val=""/>
      <w:lvlJc w:val="left"/>
    </w:lvl>
    <w:lvl w:ilvl="3" w:tplc="8946B82A">
      <w:numFmt w:val="decimal"/>
      <w:lvlText w:val=""/>
      <w:lvlJc w:val="left"/>
    </w:lvl>
    <w:lvl w:ilvl="4" w:tplc="99B64F3A">
      <w:numFmt w:val="decimal"/>
      <w:lvlText w:val=""/>
      <w:lvlJc w:val="left"/>
    </w:lvl>
    <w:lvl w:ilvl="5" w:tplc="F5CC5EF2">
      <w:numFmt w:val="decimal"/>
      <w:lvlText w:val=""/>
      <w:lvlJc w:val="left"/>
    </w:lvl>
    <w:lvl w:ilvl="6" w:tplc="C802AA52">
      <w:numFmt w:val="decimal"/>
      <w:lvlText w:val=""/>
      <w:lvlJc w:val="left"/>
    </w:lvl>
    <w:lvl w:ilvl="7" w:tplc="8500BD9C">
      <w:numFmt w:val="decimal"/>
      <w:lvlText w:val=""/>
      <w:lvlJc w:val="left"/>
    </w:lvl>
    <w:lvl w:ilvl="8" w:tplc="A654608A">
      <w:numFmt w:val="decimal"/>
      <w:lvlText w:val=""/>
      <w:lvlJc w:val="left"/>
    </w:lvl>
  </w:abstractNum>
  <w:abstractNum w:abstractNumId="164" w15:restartNumberingAfterBreak="0">
    <w:nsid w:val="1C773C3F"/>
    <w:multiLevelType w:val="hybridMultilevel"/>
    <w:tmpl w:val="1B88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5" w15:restartNumberingAfterBreak="0">
    <w:nsid w:val="1CB1657E"/>
    <w:multiLevelType w:val="hybridMultilevel"/>
    <w:tmpl w:val="4812386E"/>
    <w:lvl w:ilvl="0" w:tplc="533A28DA">
      <w:start w:val="1"/>
      <w:numFmt w:val="bullet"/>
      <w:lvlText w:val="•"/>
      <w:lvlJc w:val="left"/>
    </w:lvl>
    <w:lvl w:ilvl="1" w:tplc="BB1CAD74">
      <w:numFmt w:val="decimal"/>
      <w:lvlText w:val=""/>
      <w:lvlJc w:val="left"/>
    </w:lvl>
    <w:lvl w:ilvl="2" w:tplc="AEB4BDC6">
      <w:numFmt w:val="decimal"/>
      <w:lvlText w:val=""/>
      <w:lvlJc w:val="left"/>
    </w:lvl>
    <w:lvl w:ilvl="3" w:tplc="0F1C297E">
      <w:numFmt w:val="decimal"/>
      <w:lvlText w:val=""/>
      <w:lvlJc w:val="left"/>
    </w:lvl>
    <w:lvl w:ilvl="4" w:tplc="1D968CF8">
      <w:numFmt w:val="decimal"/>
      <w:lvlText w:val=""/>
      <w:lvlJc w:val="left"/>
    </w:lvl>
    <w:lvl w:ilvl="5" w:tplc="88849BAC">
      <w:numFmt w:val="decimal"/>
      <w:lvlText w:val=""/>
      <w:lvlJc w:val="left"/>
    </w:lvl>
    <w:lvl w:ilvl="6" w:tplc="9146A6AC">
      <w:numFmt w:val="decimal"/>
      <w:lvlText w:val=""/>
      <w:lvlJc w:val="left"/>
    </w:lvl>
    <w:lvl w:ilvl="7" w:tplc="7CF89BA4">
      <w:numFmt w:val="decimal"/>
      <w:lvlText w:val=""/>
      <w:lvlJc w:val="left"/>
    </w:lvl>
    <w:lvl w:ilvl="8" w:tplc="5A04D1FC">
      <w:numFmt w:val="decimal"/>
      <w:lvlText w:val=""/>
      <w:lvlJc w:val="left"/>
    </w:lvl>
  </w:abstractNum>
  <w:abstractNum w:abstractNumId="166" w15:restartNumberingAfterBreak="0">
    <w:nsid w:val="1D3A7A14"/>
    <w:multiLevelType w:val="hybridMultilevel"/>
    <w:tmpl w:val="CFE40DEE"/>
    <w:lvl w:ilvl="0" w:tplc="04050001">
      <w:start w:val="1"/>
      <w:numFmt w:val="bullet"/>
      <w:lvlText w:val=""/>
      <w:lvlJc w:val="left"/>
      <w:pPr>
        <w:ind w:left="1920" w:hanging="360"/>
      </w:pPr>
      <w:rPr>
        <w:rFonts w:ascii="Symbol" w:hAnsi="Symbol" w:hint="default"/>
      </w:rPr>
    </w:lvl>
    <w:lvl w:ilvl="1" w:tplc="04050003" w:tentative="1">
      <w:start w:val="1"/>
      <w:numFmt w:val="bullet"/>
      <w:lvlText w:val="o"/>
      <w:lvlJc w:val="left"/>
      <w:pPr>
        <w:ind w:left="2640" w:hanging="360"/>
      </w:pPr>
      <w:rPr>
        <w:rFonts w:ascii="Courier New" w:hAnsi="Courier New" w:cs="Courier New" w:hint="default"/>
      </w:rPr>
    </w:lvl>
    <w:lvl w:ilvl="2" w:tplc="04050005" w:tentative="1">
      <w:start w:val="1"/>
      <w:numFmt w:val="bullet"/>
      <w:lvlText w:val=""/>
      <w:lvlJc w:val="left"/>
      <w:pPr>
        <w:ind w:left="3360" w:hanging="360"/>
      </w:pPr>
      <w:rPr>
        <w:rFonts w:ascii="Wingdings" w:hAnsi="Wingdings" w:hint="default"/>
      </w:rPr>
    </w:lvl>
    <w:lvl w:ilvl="3" w:tplc="04050001" w:tentative="1">
      <w:start w:val="1"/>
      <w:numFmt w:val="bullet"/>
      <w:lvlText w:val=""/>
      <w:lvlJc w:val="left"/>
      <w:pPr>
        <w:ind w:left="4080" w:hanging="360"/>
      </w:pPr>
      <w:rPr>
        <w:rFonts w:ascii="Symbol" w:hAnsi="Symbol" w:hint="default"/>
      </w:rPr>
    </w:lvl>
    <w:lvl w:ilvl="4" w:tplc="04050003" w:tentative="1">
      <w:start w:val="1"/>
      <w:numFmt w:val="bullet"/>
      <w:lvlText w:val="o"/>
      <w:lvlJc w:val="left"/>
      <w:pPr>
        <w:ind w:left="4800" w:hanging="360"/>
      </w:pPr>
      <w:rPr>
        <w:rFonts w:ascii="Courier New" w:hAnsi="Courier New" w:cs="Courier New" w:hint="default"/>
      </w:rPr>
    </w:lvl>
    <w:lvl w:ilvl="5" w:tplc="04050005" w:tentative="1">
      <w:start w:val="1"/>
      <w:numFmt w:val="bullet"/>
      <w:lvlText w:val=""/>
      <w:lvlJc w:val="left"/>
      <w:pPr>
        <w:ind w:left="5520" w:hanging="360"/>
      </w:pPr>
      <w:rPr>
        <w:rFonts w:ascii="Wingdings" w:hAnsi="Wingdings" w:hint="default"/>
      </w:rPr>
    </w:lvl>
    <w:lvl w:ilvl="6" w:tplc="04050001" w:tentative="1">
      <w:start w:val="1"/>
      <w:numFmt w:val="bullet"/>
      <w:lvlText w:val=""/>
      <w:lvlJc w:val="left"/>
      <w:pPr>
        <w:ind w:left="6240" w:hanging="360"/>
      </w:pPr>
      <w:rPr>
        <w:rFonts w:ascii="Symbol" w:hAnsi="Symbol" w:hint="default"/>
      </w:rPr>
    </w:lvl>
    <w:lvl w:ilvl="7" w:tplc="04050003" w:tentative="1">
      <w:start w:val="1"/>
      <w:numFmt w:val="bullet"/>
      <w:lvlText w:val="o"/>
      <w:lvlJc w:val="left"/>
      <w:pPr>
        <w:ind w:left="6960" w:hanging="360"/>
      </w:pPr>
      <w:rPr>
        <w:rFonts w:ascii="Courier New" w:hAnsi="Courier New" w:cs="Courier New" w:hint="default"/>
      </w:rPr>
    </w:lvl>
    <w:lvl w:ilvl="8" w:tplc="04050005" w:tentative="1">
      <w:start w:val="1"/>
      <w:numFmt w:val="bullet"/>
      <w:lvlText w:val=""/>
      <w:lvlJc w:val="left"/>
      <w:pPr>
        <w:ind w:left="7680" w:hanging="360"/>
      </w:pPr>
      <w:rPr>
        <w:rFonts w:ascii="Wingdings" w:hAnsi="Wingdings" w:hint="default"/>
      </w:rPr>
    </w:lvl>
  </w:abstractNum>
  <w:abstractNum w:abstractNumId="167" w15:restartNumberingAfterBreak="0">
    <w:nsid w:val="1D920E5C"/>
    <w:multiLevelType w:val="hybridMultilevel"/>
    <w:tmpl w:val="39304F9E"/>
    <w:lvl w:ilvl="0" w:tplc="CBFADD0C">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68" w15:restartNumberingAfterBreak="0">
    <w:nsid w:val="1DC4B111"/>
    <w:multiLevelType w:val="hybridMultilevel"/>
    <w:tmpl w:val="9E18697A"/>
    <w:lvl w:ilvl="0" w:tplc="0B3EB4DA">
      <w:start w:val="1"/>
      <w:numFmt w:val="lowerLetter"/>
      <w:lvlText w:val="%1)"/>
      <w:lvlJc w:val="left"/>
    </w:lvl>
    <w:lvl w:ilvl="1" w:tplc="B1BE6316">
      <w:numFmt w:val="decimal"/>
      <w:lvlText w:val=""/>
      <w:lvlJc w:val="left"/>
    </w:lvl>
    <w:lvl w:ilvl="2" w:tplc="D96A6E64">
      <w:numFmt w:val="decimal"/>
      <w:lvlText w:val=""/>
      <w:lvlJc w:val="left"/>
    </w:lvl>
    <w:lvl w:ilvl="3" w:tplc="82267B1A">
      <w:numFmt w:val="decimal"/>
      <w:lvlText w:val=""/>
      <w:lvlJc w:val="left"/>
    </w:lvl>
    <w:lvl w:ilvl="4" w:tplc="2C726222">
      <w:numFmt w:val="decimal"/>
      <w:lvlText w:val=""/>
      <w:lvlJc w:val="left"/>
    </w:lvl>
    <w:lvl w:ilvl="5" w:tplc="4D763DD4">
      <w:numFmt w:val="decimal"/>
      <w:lvlText w:val=""/>
      <w:lvlJc w:val="left"/>
    </w:lvl>
    <w:lvl w:ilvl="6" w:tplc="4F4ED718">
      <w:numFmt w:val="decimal"/>
      <w:lvlText w:val=""/>
      <w:lvlJc w:val="left"/>
    </w:lvl>
    <w:lvl w:ilvl="7" w:tplc="43DCCAA0">
      <w:numFmt w:val="decimal"/>
      <w:lvlText w:val=""/>
      <w:lvlJc w:val="left"/>
    </w:lvl>
    <w:lvl w:ilvl="8" w:tplc="DB34091E">
      <w:numFmt w:val="decimal"/>
      <w:lvlText w:val=""/>
      <w:lvlJc w:val="left"/>
    </w:lvl>
  </w:abstractNum>
  <w:abstractNum w:abstractNumId="169" w15:restartNumberingAfterBreak="0">
    <w:nsid w:val="1DF1DEFB"/>
    <w:multiLevelType w:val="hybridMultilevel"/>
    <w:tmpl w:val="FC981F10"/>
    <w:lvl w:ilvl="0" w:tplc="2BFA83B8">
      <w:start w:val="1"/>
      <w:numFmt w:val="bullet"/>
      <w:lvlText w:val="•"/>
      <w:lvlJc w:val="left"/>
    </w:lvl>
    <w:lvl w:ilvl="1" w:tplc="91084220">
      <w:numFmt w:val="decimal"/>
      <w:lvlText w:val=""/>
      <w:lvlJc w:val="left"/>
    </w:lvl>
    <w:lvl w:ilvl="2" w:tplc="1D9EBB80">
      <w:numFmt w:val="decimal"/>
      <w:lvlText w:val=""/>
      <w:lvlJc w:val="left"/>
    </w:lvl>
    <w:lvl w:ilvl="3" w:tplc="C436F02E">
      <w:numFmt w:val="decimal"/>
      <w:lvlText w:val=""/>
      <w:lvlJc w:val="left"/>
    </w:lvl>
    <w:lvl w:ilvl="4" w:tplc="B4CA197C">
      <w:numFmt w:val="decimal"/>
      <w:lvlText w:val=""/>
      <w:lvlJc w:val="left"/>
    </w:lvl>
    <w:lvl w:ilvl="5" w:tplc="14765A96">
      <w:numFmt w:val="decimal"/>
      <w:lvlText w:val=""/>
      <w:lvlJc w:val="left"/>
    </w:lvl>
    <w:lvl w:ilvl="6" w:tplc="A45600C8">
      <w:numFmt w:val="decimal"/>
      <w:lvlText w:val=""/>
      <w:lvlJc w:val="left"/>
    </w:lvl>
    <w:lvl w:ilvl="7" w:tplc="70C0F86E">
      <w:numFmt w:val="decimal"/>
      <w:lvlText w:val=""/>
      <w:lvlJc w:val="left"/>
    </w:lvl>
    <w:lvl w:ilvl="8" w:tplc="3FA4FE9A">
      <w:numFmt w:val="decimal"/>
      <w:lvlText w:val=""/>
      <w:lvlJc w:val="left"/>
    </w:lvl>
  </w:abstractNum>
  <w:abstractNum w:abstractNumId="170" w15:restartNumberingAfterBreak="0">
    <w:nsid w:val="1E0B04A6"/>
    <w:multiLevelType w:val="hybridMultilevel"/>
    <w:tmpl w:val="7BB6692E"/>
    <w:lvl w:ilvl="0" w:tplc="8D2C7A70">
      <w:start w:val="1"/>
      <w:numFmt w:val="bullet"/>
      <w:lvlText w:val="•"/>
      <w:lvlJc w:val="left"/>
    </w:lvl>
    <w:lvl w:ilvl="1" w:tplc="B76072A8">
      <w:numFmt w:val="decimal"/>
      <w:lvlText w:val=""/>
      <w:lvlJc w:val="left"/>
    </w:lvl>
    <w:lvl w:ilvl="2" w:tplc="31E47B54">
      <w:numFmt w:val="decimal"/>
      <w:lvlText w:val=""/>
      <w:lvlJc w:val="left"/>
    </w:lvl>
    <w:lvl w:ilvl="3" w:tplc="E208FF8A">
      <w:numFmt w:val="decimal"/>
      <w:lvlText w:val=""/>
      <w:lvlJc w:val="left"/>
    </w:lvl>
    <w:lvl w:ilvl="4" w:tplc="DCAC74A6">
      <w:numFmt w:val="decimal"/>
      <w:lvlText w:val=""/>
      <w:lvlJc w:val="left"/>
    </w:lvl>
    <w:lvl w:ilvl="5" w:tplc="85660C28">
      <w:numFmt w:val="decimal"/>
      <w:lvlText w:val=""/>
      <w:lvlJc w:val="left"/>
    </w:lvl>
    <w:lvl w:ilvl="6" w:tplc="B1EE6E5E">
      <w:numFmt w:val="decimal"/>
      <w:lvlText w:val=""/>
      <w:lvlJc w:val="left"/>
    </w:lvl>
    <w:lvl w:ilvl="7" w:tplc="78F24210">
      <w:numFmt w:val="decimal"/>
      <w:lvlText w:val=""/>
      <w:lvlJc w:val="left"/>
    </w:lvl>
    <w:lvl w:ilvl="8" w:tplc="AFE6A302">
      <w:numFmt w:val="decimal"/>
      <w:lvlText w:val=""/>
      <w:lvlJc w:val="left"/>
    </w:lvl>
  </w:abstractNum>
  <w:abstractNum w:abstractNumId="171" w15:restartNumberingAfterBreak="0">
    <w:nsid w:val="1E1C83A1"/>
    <w:multiLevelType w:val="hybridMultilevel"/>
    <w:tmpl w:val="59A48512"/>
    <w:lvl w:ilvl="0" w:tplc="806898B2">
      <w:start w:val="1"/>
      <w:numFmt w:val="bullet"/>
      <w:lvlText w:val="●"/>
      <w:lvlJc w:val="left"/>
    </w:lvl>
    <w:lvl w:ilvl="1" w:tplc="599E78C8">
      <w:numFmt w:val="decimal"/>
      <w:lvlText w:val=""/>
      <w:lvlJc w:val="left"/>
    </w:lvl>
    <w:lvl w:ilvl="2" w:tplc="294C9452">
      <w:numFmt w:val="decimal"/>
      <w:lvlText w:val=""/>
      <w:lvlJc w:val="left"/>
    </w:lvl>
    <w:lvl w:ilvl="3" w:tplc="7596593E">
      <w:numFmt w:val="decimal"/>
      <w:lvlText w:val=""/>
      <w:lvlJc w:val="left"/>
    </w:lvl>
    <w:lvl w:ilvl="4" w:tplc="1BCCBC44">
      <w:numFmt w:val="decimal"/>
      <w:lvlText w:val=""/>
      <w:lvlJc w:val="left"/>
    </w:lvl>
    <w:lvl w:ilvl="5" w:tplc="F7063B94">
      <w:numFmt w:val="decimal"/>
      <w:lvlText w:val=""/>
      <w:lvlJc w:val="left"/>
    </w:lvl>
    <w:lvl w:ilvl="6" w:tplc="09C2AE30">
      <w:numFmt w:val="decimal"/>
      <w:lvlText w:val=""/>
      <w:lvlJc w:val="left"/>
    </w:lvl>
    <w:lvl w:ilvl="7" w:tplc="136208BA">
      <w:numFmt w:val="decimal"/>
      <w:lvlText w:val=""/>
      <w:lvlJc w:val="left"/>
    </w:lvl>
    <w:lvl w:ilvl="8" w:tplc="2BA49924">
      <w:numFmt w:val="decimal"/>
      <w:lvlText w:val=""/>
      <w:lvlJc w:val="left"/>
    </w:lvl>
  </w:abstractNum>
  <w:abstractNum w:abstractNumId="172" w15:restartNumberingAfterBreak="0">
    <w:nsid w:val="1E4046A2"/>
    <w:multiLevelType w:val="hybridMultilevel"/>
    <w:tmpl w:val="DF74E32A"/>
    <w:lvl w:ilvl="0" w:tplc="78AAB82A">
      <w:start w:val="1"/>
      <w:numFmt w:val="lowerLetter"/>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3" w15:restartNumberingAfterBreak="0">
    <w:nsid w:val="1E71BBD8"/>
    <w:multiLevelType w:val="hybridMultilevel"/>
    <w:tmpl w:val="921A721A"/>
    <w:lvl w:ilvl="0" w:tplc="E6A29CC2">
      <w:start w:val="15"/>
      <w:numFmt w:val="lowerLetter"/>
      <w:lvlText w:val="%1"/>
      <w:lvlJc w:val="left"/>
    </w:lvl>
    <w:lvl w:ilvl="1" w:tplc="68BA2A5E">
      <w:numFmt w:val="decimal"/>
      <w:lvlText w:val=""/>
      <w:lvlJc w:val="left"/>
    </w:lvl>
    <w:lvl w:ilvl="2" w:tplc="A296F89E">
      <w:numFmt w:val="decimal"/>
      <w:lvlText w:val=""/>
      <w:lvlJc w:val="left"/>
    </w:lvl>
    <w:lvl w:ilvl="3" w:tplc="8B1AFF74">
      <w:numFmt w:val="decimal"/>
      <w:lvlText w:val=""/>
      <w:lvlJc w:val="left"/>
    </w:lvl>
    <w:lvl w:ilvl="4" w:tplc="8D94C772">
      <w:numFmt w:val="decimal"/>
      <w:lvlText w:val=""/>
      <w:lvlJc w:val="left"/>
    </w:lvl>
    <w:lvl w:ilvl="5" w:tplc="1DF22112">
      <w:numFmt w:val="decimal"/>
      <w:lvlText w:val=""/>
      <w:lvlJc w:val="left"/>
    </w:lvl>
    <w:lvl w:ilvl="6" w:tplc="2D36C17A">
      <w:numFmt w:val="decimal"/>
      <w:lvlText w:val=""/>
      <w:lvlJc w:val="left"/>
    </w:lvl>
    <w:lvl w:ilvl="7" w:tplc="EB6AD9C0">
      <w:numFmt w:val="decimal"/>
      <w:lvlText w:val=""/>
      <w:lvlJc w:val="left"/>
    </w:lvl>
    <w:lvl w:ilvl="8" w:tplc="48D6A660">
      <w:numFmt w:val="decimal"/>
      <w:lvlText w:val=""/>
      <w:lvlJc w:val="left"/>
    </w:lvl>
  </w:abstractNum>
  <w:abstractNum w:abstractNumId="174" w15:restartNumberingAfterBreak="0">
    <w:nsid w:val="1E7E26D6"/>
    <w:multiLevelType w:val="hybridMultilevel"/>
    <w:tmpl w:val="043A5DB8"/>
    <w:lvl w:ilvl="0" w:tplc="CE9CEF14">
      <w:start w:val="1"/>
      <w:numFmt w:val="decimal"/>
      <w:lvlText w:val="%1."/>
      <w:lvlJc w:val="left"/>
    </w:lvl>
    <w:lvl w:ilvl="1" w:tplc="884EB6AE">
      <w:start w:val="1"/>
      <w:numFmt w:val="decimal"/>
      <w:lvlText w:val="%2"/>
      <w:lvlJc w:val="left"/>
    </w:lvl>
    <w:lvl w:ilvl="2" w:tplc="D9EE0856">
      <w:numFmt w:val="decimal"/>
      <w:lvlText w:val=""/>
      <w:lvlJc w:val="left"/>
    </w:lvl>
    <w:lvl w:ilvl="3" w:tplc="183E7FC8">
      <w:numFmt w:val="decimal"/>
      <w:lvlText w:val=""/>
      <w:lvlJc w:val="left"/>
    </w:lvl>
    <w:lvl w:ilvl="4" w:tplc="BAD860C2">
      <w:numFmt w:val="decimal"/>
      <w:lvlText w:val=""/>
      <w:lvlJc w:val="left"/>
    </w:lvl>
    <w:lvl w:ilvl="5" w:tplc="70C01758">
      <w:numFmt w:val="decimal"/>
      <w:lvlText w:val=""/>
      <w:lvlJc w:val="left"/>
    </w:lvl>
    <w:lvl w:ilvl="6" w:tplc="D068DC3E">
      <w:numFmt w:val="decimal"/>
      <w:lvlText w:val=""/>
      <w:lvlJc w:val="left"/>
    </w:lvl>
    <w:lvl w:ilvl="7" w:tplc="C0BCA816">
      <w:numFmt w:val="decimal"/>
      <w:lvlText w:val=""/>
      <w:lvlJc w:val="left"/>
    </w:lvl>
    <w:lvl w:ilvl="8" w:tplc="C6B4A516">
      <w:numFmt w:val="decimal"/>
      <w:lvlText w:val=""/>
      <w:lvlJc w:val="left"/>
    </w:lvl>
  </w:abstractNum>
  <w:abstractNum w:abstractNumId="175" w15:restartNumberingAfterBreak="0">
    <w:nsid w:val="1E9366AA"/>
    <w:multiLevelType w:val="hybridMultilevel"/>
    <w:tmpl w:val="094ADE3C"/>
    <w:lvl w:ilvl="0" w:tplc="65BC7382">
      <w:start w:val="1"/>
      <w:numFmt w:val="bullet"/>
      <w:lvlText w:val="-"/>
      <w:lvlJc w:val="left"/>
    </w:lvl>
    <w:lvl w:ilvl="1" w:tplc="C3FA079E">
      <w:start w:val="1"/>
      <w:numFmt w:val="bullet"/>
      <w:lvlText w:val="§"/>
      <w:lvlJc w:val="left"/>
    </w:lvl>
    <w:lvl w:ilvl="2" w:tplc="91FC16C4">
      <w:numFmt w:val="decimal"/>
      <w:lvlText w:val=""/>
      <w:lvlJc w:val="left"/>
    </w:lvl>
    <w:lvl w:ilvl="3" w:tplc="DFA0B0D0">
      <w:numFmt w:val="decimal"/>
      <w:lvlText w:val=""/>
      <w:lvlJc w:val="left"/>
    </w:lvl>
    <w:lvl w:ilvl="4" w:tplc="D158CF0C">
      <w:numFmt w:val="decimal"/>
      <w:lvlText w:val=""/>
      <w:lvlJc w:val="left"/>
    </w:lvl>
    <w:lvl w:ilvl="5" w:tplc="B2B0A7B0">
      <w:numFmt w:val="decimal"/>
      <w:lvlText w:val=""/>
      <w:lvlJc w:val="left"/>
    </w:lvl>
    <w:lvl w:ilvl="6" w:tplc="7E96A294">
      <w:numFmt w:val="decimal"/>
      <w:lvlText w:val=""/>
      <w:lvlJc w:val="left"/>
    </w:lvl>
    <w:lvl w:ilvl="7" w:tplc="AF922312">
      <w:numFmt w:val="decimal"/>
      <w:lvlText w:val=""/>
      <w:lvlJc w:val="left"/>
    </w:lvl>
    <w:lvl w:ilvl="8" w:tplc="D9AE7E42">
      <w:numFmt w:val="decimal"/>
      <w:lvlText w:val=""/>
      <w:lvlJc w:val="left"/>
    </w:lvl>
  </w:abstractNum>
  <w:abstractNum w:abstractNumId="176" w15:restartNumberingAfterBreak="0">
    <w:nsid w:val="1ED708D2"/>
    <w:multiLevelType w:val="hybridMultilevel"/>
    <w:tmpl w:val="4336C948"/>
    <w:lvl w:ilvl="0" w:tplc="4894CA6A">
      <w:start w:val="1"/>
      <w:numFmt w:val="bullet"/>
      <w:lvlText w:val="•"/>
      <w:lvlJc w:val="left"/>
    </w:lvl>
    <w:lvl w:ilvl="1" w:tplc="B84CC0D8">
      <w:numFmt w:val="decimal"/>
      <w:lvlText w:val=""/>
      <w:lvlJc w:val="left"/>
    </w:lvl>
    <w:lvl w:ilvl="2" w:tplc="D1204186">
      <w:numFmt w:val="decimal"/>
      <w:lvlText w:val=""/>
      <w:lvlJc w:val="left"/>
    </w:lvl>
    <w:lvl w:ilvl="3" w:tplc="445E5150">
      <w:numFmt w:val="decimal"/>
      <w:lvlText w:val=""/>
      <w:lvlJc w:val="left"/>
    </w:lvl>
    <w:lvl w:ilvl="4" w:tplc="DB226276">
      <w:numFmt w:val="decimal"/>
      <w:lvlText w:val=""/>
      <w:lvlJc w:val="left"/>
    </w:lvl>
    <w:lvl w:ilvl="5" w:tplc="E3501666">
      <w:numFmt w:val="decimal"/>
      <w:lvlText w:val=""/>
      <w:lvlJc w:val="left"/>
    </w:lvl>
    <w:lvl w:ilvl="6" w:tplc="A31041E2">
      <w:numFmt w:val="decimal"/>
      <w:lvlText w:val=""/>
      <w:lvlJc w:val="left"/>
    </w:lvl>
    <w:lvl w:ilvl="7" w:tplc="049C49FE">
      <w:numFmt w:val="decimal"/>
      <w:lvlText w:val=""/>
      <w:lvlJc w:val="left"/>
    </w:lvl>
    <w:lvl w:ilvl="8" w:tplc="0234E15E">
      <w:numFmt w:val="decimal"/>
      <w:lvlText w:val=""/>
      <w:lvlJc w:val="left"/>
    </w:lvl>
  </w:abstractNum>
  <w:abstractNum w:abstractNumId="177" w15:restartNumberingAfterBreak="0">
    <w:nsid w:val="1F3DAB44"/>
    <w:multiLevelType w:val="hybridMultilevel"/>
    <w:tmpl w:val="B9F68244"/>
    <w:lvl w:ilvl="0" w:tplc="13E0E6EE">
      <w:start w:val="1"/>
      <w:numFmt w:val="bullet"/>
      <w:lvlText w:val="•"/>
      <w:lvlJc w:val="left"/>
    </w:lvl>
    <w:lvl w:ilvl="1" w:tplc="B434CEC8">
      <w:numFmt w:val="decimal"/>
      <w:lvlText w:val=""/>
      <w:lvlJc w:val="left"/>
    </w:lvl>
    <w:lvl w:ilvl="2" w:tplc="61AA2BCA">
      <w:numFmt w:val="decimal"/>
      <w:lvlText w:val=""/>
      <w:lvlJc w:val="left"/>
    </w:lvl>
    <w:lvl w:ilvl="3" w:tplc="306AD392">
      <w:numFmt w:val="decimal"/>
      <w:lvlText w:val=""/>
      <w:lvlJc w:val="left"/>
    </w:lvl>
    <w:lvl w:ilvl="4" w:tplc="2C0C3556">
      <w:numFmt w:val="decimal"/>
      <w:lvlText w:val=""/>
      <w:lvlJc w:val="left"/>
    </w:lvl>
    <w:lvl w:ilvl="5" w:tplc="B67EA12E">
      <w:numFmt w:val="decimal"/>
      <w:lvlText w:val=""/>
      <w:lvlJc w:val="left"/>
    </w:lvl>
    <w:lvl w:ilvl="6" w:tplc="E1645BC0">
      <w:numFmt w:val="decimal"/>
      <w:lvlText w:val=""/>
      <w:lvlJc w:val="left"/>
    </w:lvl>
    <w:lvl w:ilvl="7" w:tplc="27CAE2DC">
      <w:numFmt w:val="decimal"/>
      <w:lvlText w:val=""/>
      <w:lvlJc w:val="left"/>
    </w:lvl>
    <w:lvl w:ilvl="8" w:tplc="B4CCA30C">
      <w:numFmt w:val="decimal"/>
      <w:lvlText w:val=""/>
      <w:lvlJc w:val="left"/>
    </w:lvl>
  </w:abstractNum>
  <w:abstractNum w:abstractNumId="178" w15:restartNumberingAfterBreak="0">
    <w:nsid w:val="1F96030F"/>
    <w:multiLevelType w:val="hybridMultilevel"/>
    <w:tmpl w:val="1FBAA670"/>
    <w:lvl w:ilvl="0" w:tplc="53CABD30">
      <w:start w:val="1"/>
      <w:numFmt w:val="bullet"/>
      <w:lvlText w:val="-"/>
      <w:lvlJc w:val="left"/>
      <w:pPr>
        <w:ind w:left="1440" w:hanging="360"/>
      </w:p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79" w15:restartNumberingAfterBreak="0">
    <w:nsid w:val="1FB42682"/>
    <w:multiLevelType w:val="hybridMultilevel"/>
    <w:tmpl w:val="0F663304"/>
    <w:lvl w:ilvl="0" w:tplc="8D10255A">
      <w:start w:val="1"/>
      <w:numFmt w:val="upperLetter"/>
      <w:lvlText w:val="%1"/>
      <w:lvlJc w:val="left"/>
    </w:lvl>
    <w:lvl w:ilvl="1" w:tplc="4CC4553E">
      <w:start w:val="1"/>
      <w:numFmt w:val="bullet"/>
      <w:lvlText w:val="•"/>
      <w:lvlJc w:val="left"/>
    </w:lvl>
    <w:lvl w:ilvl="2" w:tplc="82FEB2E8">
      <w:start w:val="1"/>
      <w:numFmt w:val="bullet"/>
      <w:lvlText w:val="•"/>
      <w:lvlJc w:val="left"/>
    </w:lvl>
    <w:lvl w:ilvl="3" w:tplc="0448B4EA">
      <w:start w:val="1"/>
      <w:numFmt w:val="bullet"/>
      <w:lvlText w:val="•"/>
      <w:lvlJc w:val="left"/>
    </w:lvl>
    <w:lvl w:ilvl="4" w:tplc="E9B0C0BC">
      <w:numFmt w:val="decimal"/>
      <w:lvlText w:val=""/>
      <w:lvlJc w:val="left"/>
    </w:lvl>
    <w:lvl w:ilvl="5" w:tplc="935E1BE4">
      <w:numFmt w:val="decimal"/>
      <w:lvlText w:val=""/>
      <w:lvlJc w:val="left"/>
    </w:lvl>
    <w:lvl w:ilvl="6" w:tplc="38E05D42">
      <w:numFmt w:val="decimal"/>
      <w:lvlText w:val=""/>
      <w:lvlJc w:val="left"/>
    </w:lvl>
    <w:lvl w:ilvl="7" w:tplc="063EEA22">
      <w:numFmt w:val="decimal"/>
      <w:lvlText w:val=""/>
      <w:lvlJc w:val="left"/>
    </w:lvl>
    <w:lvl w:ilvl="8" w:tplc="DC02DD74">
      <w:numFmt w:val="decimal"/>
      <w:lvlText w:val=""/>
      <w:lvlJc w:val="left"/>
    </w:lvl>
  </w:abstractNum>
  <w:abstractNum w:abstractNumId="180" w15:restartNumberingAfterBreak="0">
    <w:nsid w:val="1FE7D17D"/>
    <w:multiLevelType w:val="hybridMultilevel"/>
    <w:tmpl w:val="674E8010"/>
    <w:lvl w:ilvl="0" w:tplc="8E5E1956">
      <w:start w:val="11"/>
      <w:numFmt w:val="upperLetter"/>
      <w:lvlText w:val="%1"/>
      <w:lvlJc w:val="left"/>
    </w:lvl>
    <w:lvl w:ilvl="1" w:tplc="4992CCA6">
      <w:start w:val="1"/>
      <w:numFmt w:val="lowerLetter"/>
      <w:lvlText w:val="%2)"/>
      <w:lvlJc w:val="left"/>
    </w:lvl>
    <w:lvl w:ilvl="2" w:tplc="8CC4D136">
      <w:numFmt w:val="decimal"/>
      <w:lvlText w:val=""/>
      <w:lvlJc w:val="left"/>
    </w:lvl>
    <w:lvl w:ilvl="3" w:tplc="8E9A5598">
      <w:numFmt w:val="decimal"/>
      <w:lvlText w:val=""/>
      <w:lvlJc w:val="left"/>
    </w:lvl>
    <w:lvl w:ilvl="4" w:tplc="3AE6127C">
      <w:numFmt w:val="decimal"/>
      <w:lvlText w:val=""/>
      <w:lvlJc w:val="left"/>
    </w:lvl>
    <w:lvl w:ilvl="5" w:tplc="8B3C010E">
      <w:numFmt w:val="decimal"/>
      <w:lvlText w:val=""/>
      <w:lvlJc w:val="left"/>
    </w:lvl>
    <w:lvl w:ilvl="6" w:tplc="D58AA152">
      <w:numFmt w:val="decimal"/>
      <w:lvlText w:val=""/>
      <w:lvlJc w:val="left"/>
    </w:lvl>
    <w:lvl w:ilvl="7" w:tplc="644E92A4">
      <w:numFmt w:val="decimal"/>
      <w:lvlText w:val=""/>
      <w:lvlJc w:val="left"/>
    </w:lvl>
    <w:lvl w:ilvl="8" w:tplc="03E84476">
      <w:numFmt w:val="decimal"/>
      <w:lvlText w:val=""/>
      <w:lvlJc w:val="left"/>
    </w:lvl>
  </w:abstractNum>
  <w:abstractNum w:abstractNumId="181" w15:restartNumberingAfterBreak="0">
    <w:nsid w:val="20615676"/>
    <w:multiLevelType w:val="hybridMultilevel"/>
    <w:tmpl w:val="6B90EA2C"/>
    <w:lvl w:ilvl="0" w:tplc="04050011">
      <w:start w:val="1"/>
      <w:numFmt w:val="decimal"/>
      <w:lvlText w:val="%1)"/>
      <w:lvlJc w:val="left"/>
    </w:lvl>
    <w:lvl w:ilvl="1" w:tplc="3904D6E4">
      <w:numFmt w:val="decimal"/>
      <w:lvlText w:val=""/>
      <w:lvlJc w:val="left"/>
    </w:lvl>
    <w:lvl w:ilvl="2" w:tplc="836E9C7A">
      <w:numFmt w:val="decimal"/>
      <w:lvlText w:val=""/>
      <w:lvlJc w:val="left"/>
    </w:lvl>
    <w:lvl w:ilvl="3" w:tplc="83467D52">
      <w:numFmt w:val="decimal"/>
      <w:lvlText w:val=""/>
      <w:lvlJc w:val="left"/>
    </w:lvl>
    <w:lvl w:ilvl="4" w:tplc="2A2412D6">
      <w:numFmt w:val="decimal"/>
      <w:lvlText w:val=""/>
      <w:lvlJc w:val="left"/>
    </w:lvl>
    <w:lvl w:ilvl="5" w:tplc="0CC2B036">
      <w:numFmt w:val="decimal"/>
      <w:lvlText w:val=""/>
      <w:lvlJc w:val="left"/>
    </w:lvl>
    <w:lvl w:ilvl="6" w:tplc="9D427FA4">
      <w:numFmt w:val="decimal"/>
      <w:lvlText w:val=""/>
      <w:lvlJc w:val="left"/>
    </w:lvl>
    <w:lvl w:ilvl="7" w:tplc="231069B2">
      <w:numFmt w:val="decimal"/>
      <w:lvlText w:val=""/>
      <w:lvlJc w:val="left"/>
    </w:lvl>
    <w:lvl w:ilvl="8" w:tplc="33A493B0">
      <w:numFmt w:val="decimal"/>
      <w:lvlText w:val=""/>
      <w:lvlJc w:val="left"/>
    </w:lvl>
  </w:abstractNum>
  <w:abstractNum w:abstractNumId="182" w15:restartNumberingAfterBreak="0">
    <w:nsid w:val="20913E41"/>
    <w:multiLevelType w:val="hybridMultilevel"/>
    <w:tmpl w:val="CF466C6A"/>
    <w:lvl w:ilvl="0" w:tplc="B2D880A4">
      <w:start w:val="1"/>
      <w:numFmt w:val="bullet"/>
      <w:lvlText w:val="▪"/>
      <w:lvlJc w:val="left"/>
    </w:lvl>
    <w:lvl w:ilvl="1" w:tplc="7390FEFA">
      <w:numFmt w:val="decimal"/>
      <w:lvlText w:val=""/>
      <w:lvlJc w:val="left"/>
    </w:lvl>
    <w:lvl w:ilvl="2" w:tplc="4FEC667A">
      <w:numFmt w:val="decimal"/>
      <w:lvlText w:val=""/>
      <w:lvlJc w:val="left"/>
    </w:lvl>
    <w:lvl w:ilvl="3" w:tplc="B4E8CB64">
      <w:numFmt w:val="decimal"/>
      <w:lvlText w:val=""/>
      <w:lvlJc w:val="left"/>
    </w:lvl>
    <w:lvl w:ilvl="4" w:tplc="7226841E">
      <w:numFmt w:val="decimal"/>
      <w:lvlText w:val=""/>
      <w:lvlJc w:val="left"/>
    </w:lvl>
    <w:lvl w:ilvl="5" w:tplc="114AB6F6">
      <w:numFmt w:val="decimal"/>
      <w:lvlText w:val=""/>
      <w:lvlJc w:val="left"/>
    </w:lvl>
    <w:lvl w:ilvl="6" w:tplc="826004CA">
      <w:numFmt w:val="decimal"/>
      <w:lvlText w:val=""/>
      <w:lvlJc w:val="left"/>
    </w:lvl>
    <w:lvl w:ilvl="7" w:tplc="391C6ACA">
      <w:numFmt w:val="decimal"/>
      <w:lvlText w:val=""/>
      <w:lvlJc w:val="left"/>
    </w:lvl>
    <w:lvl w:ilvl="8" w:tplc="3446DC28">
      <w:numFmt w:val="decimal"/>
      <w:lvlText w:val=""/>
      <w:lvlJc w:val="left"/>
    </w:lvl>
  </w:abstractNum>
  <w:abstractNum w:abstractNumId="183" w15:restartNumberingAfterBreak="0">
    <w:nsid w:val="210E8FA8"/>
    <w:multiLevelType w:val="hybridMultilevel"/>
    <w:tmpl w:val="AAB69C04"/>
    <w:lvl w:ilvl="0" w:tplc="B1F0B11C">
      <w:start w:val="1"/>
      <w:numFmt w:val="bullet"/>
      <w:lvlText w:val="●"/>
      <w:lvlJc w:val="left"/>
    </w:lvl>
    <w:lvl w:ilvl="1" w:tplc="268422D6">
      <w:numFmt w:val="decimal"/>
      <w:lvlText w:val=""/>
      <w:lvlJc w:val="left"/>
    </w:lvl>
    <w:lvl w:ilvl="2" w:tplc="E3B4EB8E">
      <w:numFmt w:val="decimal"/>
      <w:lvlText w:val=""/>
      <w:lvlJc w:val="left"/>
    </w:lvl>
    <w:lvl w:ilvl="3" w:tplc="365837A6">
      <w:numFmt w:val="decimal"/>
      <w:lvlText w:val=""/>
      <w:lvlJc w:val="left"/>
    </w:lvl>
    <w:lvl w:ilvl="4" w:tplc="58CCE578">
      <w:numFmt w:val="decimal"/>
      <w:lvlText w:val=""/>
      <w:lvlJc w:val="left"/>
    </w:lvl>
    <w:lvl w:ilvl="5" w:tplc="E9481D34">
      <w:numFmt w:val="decimal"/>
      <w:lvlText w:val=""/>
      <w:lvlJc w:val="left"/>
    </w:lvl>
    <w:lvl w:ilvl="6" w:tplc="DBF0343E">
      <w:numFmt w:val="decimal"/>
      <w:lvlText w:val=""/>
      <w:lvlJc w:val="left"/>
    </w:lvl>
    <w:lvl w:ilvl="7" w:tplc="871CC254">
      <w:numFmt w:val="decimal"/>
      <w:lvlText w:val=""/>
      <w:lvlJc w:val="left"/>
    </w:lvl>
    <w:lvl w:ilvl="8" w:tplc="A9AA47BA">
      <w:numFmt w:val="decimal"/>
      <w:lvlText w:val=""/>
      <w:lvlJc w:val="left"/>
    </w:lvl>
  </w:abstractNum>
  <w:abstractNum w:abstractNumId="184" w15:restartNumberingAfterBreak="0">
    <w:nsid w:val="21857A57"/>
    <w:multiLevelType w:val="hybridMultilevel"/>
    <w:tmpl w:val="118EB2EC"/>
    <w:lvl w:ilvl="0" w:tplc="AEE0404A">
      <w:start w:val="1"/>
      <w:numFmt w:val="decimal"/>
      <w:lvlText w:val="%1)"/>
      <w:lvlJc w:val="left"/>
      <w:rPr>
        <w:rFonts w:ascii="Times New Roman" w:eastAsiaTheme="minorEastAsia" w:hAnsi="Times New Roman" w:cs="Times New Roman"/>
        <w:color w:val="auto"/>
      </w:rPr>
    </w:lvl>
    <w:lvl w:ilvl="1" w:tplc="EBFE2E0E">
      <w:numFmt w:val="decimal"/>
      <w:lvlText w:val=""/>
      <w:lvlJc w:val="left"/>
    </w:lvl>
    <w:lvl w:ilvl="2" w:tplc="36F6DDF6">
      <w:numFmt w:val="decimal"/>
      <w:lvlText w:val=""/>
      <w:lvlJc w:val="left"/>
    </w:lvl>
    <w:lvl w:ilvl="3" w:tplc="E63AC936">
      <w:numFmt w:val="decimal"/>
      <w:lvlText w:val=""/>
      <w:lvlJc w:val="left"/>
    </w:lvl>
    <w:lvl w:ilvl="4" w:tplc="C59207DE">
      <w:numFmt w:val="decimal"/>
      <w:lvlText w:val=""/>
      <w:lvlJc w:val="left"/>
    </w:lvl>
    <w:lvl w:ilvl="5" w:tplc="472237DC">
      <w:numFmt w:val="decimal"/>
      <w:lvlText w:val=""/>
      <w:lvlJc w:val="left"/>
    </w:lvl>
    <w:lvl w:ilvl="6" w:tplc="7B6A05CC">
      <w:numFmt w:val="decimal"/>
      <w:lvlText w:val=""/>
      <w:lvlJc w:val="left"/>
    </w:lvl>
    <w:lvl w:ilvl="7" w:tplc="C890BF1E">
      <w:numFmt w:val="decimal"/>
      <w:lvlText w:val=""/>
      <w:lvlJc w:val="left"/>
    </w:lvl>
    <w:lvl w:ilvl="8" w:tplc="6EAAF6E0">
      <w:numFmt w:val="decimal"/>
      <w:lvlText w:val=""/>
      <w:lvlJc w:val="left"/>
    </w:lvl>
  </w:abstractNum>
  <w:abstractNum w:abstractNumId="185" w15:restartNumberingAfterBreak="0">
    <w:nsid w:val="21DCDBA0"/>
    <w:multiLevelType w:val="hybridMultilevel"/>
    <w:tmpl w:val="11A4195E"/>
    <w:lvl w:ilvl="0" w:tplc="7BECA052">
      <w:start w:val="1"/>
      <w:numFmt w:val="bullet"/>
      <w:lvlText w:val="−"/>
      <w:lvlJc w:val="left"/>
    </w:lvl>
    <w:lvl w:ilvl="1" w:tplc="D67E48EA">
      <w:numFmt w:val="decimal"/>
      <w:lvlText w:val=""/>
      <w:lvlJc w:val="left"/>
    </w:lvl>
    <w:lvl w:ilvl="2" w:tplc="98D00E36">
      <w:numFmt w:val="decimal"/>
      <w:lvlText w:val=""/>
      <w:lvlJc w:val="left"/>
    </w:lvl>
    <w:lvl w:ilvl="3" w:tplc="93E64EA4">
      <w:numFmt w:val="decimal"/>
      <w:lvlText w:val=""/>
      <w:lvlJc w:val="left"/>
    </w:lvl>
    <w:lvl w:ilvl="4" w:tplc="60868636">
      <w:numFmt w:val="decimal"/>
      <w:lvlText w:val=""/>
      <w:lvlJc w:val="left"/>
    </w:lvl>
    <w:lvl w:ilvl="5" w:tplc="5F0E2CB6">
      <w:numFmt w:val="decimal"/>
      <w:lvlText w:val=""/>
      <w:lvlJc w:val="left"/>
    </w:lvl>
    <w:lvl w:ilvl="6" w:tplc="B5480E78">
      <w:numFmt w:val="decimal"/>
      <w:lvlText w:val=""/>
      <w:lvlJc w:val="left"/>
    </w:lvl>
    <w:lvl w:ilvl="7" w:tplc="6DC830CE">
      <w:numFmt w:val="decimal"/>
      <w:lvlText w:val=""/>
      <w:lvlJc w:val="left"/>
    </w:lvl>
    <w:lvl w:ilvl="8" w:tplc="C03407B2">
      <w:numFmt w:val="decimal"/>
      <w:lvlText w:val=""/>
      <w:lvlJc w:val="left"/>
    </w:lvl>
  </w:abstractNum>
  <w:abstractNum w:abstractNumId="186" w15:restartNumberingAfterBreak="0">
    <w:nsid w:val="220655C4"/>
    <w:multiLevelType w:val="hybridMultilevel"/>
    <w:tmpl w:val="771C04B4"/>
    <w:lvl w:ilvl="0" w:tplc="C0B2EB20">
      <w:start w:val="1"/>
      <w:numFmt w:val="bullet"/>
      <w:lvlText w:val="−"/>
      <w:lvlJc w:val="left"/>
    </w:lvl>
    <w:lvl w:ilvl="1" w:tplc="BDE6A836">
      <w:numFmt w:val="decimal"/>
      <w:lvlText w:val=""/>
      <w:lvlJc w:val="left"/>
    </w:lvl>
    <w:lvl w:ilvl="2" w:tplc="9D4CE2F4">
      <w:numFmt w:val="decimal"/>
      <w:lvlText w:val=""/>
      <w:lvlJc w:val="left"/>
    </w:lvl>
    <w:lvl w:ilvl="3" w:tplc="64F6B668">
      <w:numFmt w:val="decimal"/>
      <w:lvlText w:val=""/>
      <w:lvlJc w:val="left"/>
    </w:lvl>
    <w:lvl w:ilvl="4" w:tplc="3418D828">
      <w:numFmt w:val="decimal"/>
      <w:lvlText w:val=""/>
      <w:lvlJc w:val="left"/>
    </w:lvl>
    <w:lvl w:ilvl="5" w:tplc="0644D350">
      <w:numFmt w:val="decimal"/>
      <w:lvlText w:val=""/>
      <w:lvlJc w:val="left"/>
    </w:lvl>
    <w:lvl w:ilvl="6" w:tplc="391899FA">
      <w:numFmt w:val="decimal"/>
      <w:lvlText w:val=""/>
      <w:lvlJc w:val="left"/>
    </w:lvl>
    <w:lvl w:ilvl="7" w:tplc="7C3CA00A">
      <w:numFmt w:val="decimal"/>
      <w:lvlText w:val=""/>
      <w:lvlJc w:val="left"/>
    </w:lvl>
    <w:lvl w:ilvl="8" w:tplc="5218B30C">
      <w:numFmt w:val="decimal"/>
      <w:lvlText w:val=""/>
      <w:lvlJc w:val="left"/>
    </w:lvl>
  </w:abstractNum>
  <w:abstractNum w:abstractNumId="187" w15:restartNumberingAfterBreak="0">
    <w:nsid w:val="222FC865"/>
    <w:multiLevelType w:val="hybridMultilevel"/>
    <w:tmpl w:val="908AAB72"/>
    <w:lvl w:ilvl="0" w:tplc="B90A3820">
      <w:start w:val="1"/>
      <w:numFmt w:val="bullet"/>
      <w:lvlText w:val="•"/>
      <w:lvlJc w:val="left"/>
    </w:lvl>
    <w:lvl w:ilvl="1" w:tplc="B16856B4">
      <w:numFmt w:val="decimal"/>
      <w:lvlText w:val=""/>
      <w:lvlJc w:val="left"/>
    </w:lvl>
    <w:lvl w:ilvl="2" w:tplc="8A6490C8">
      <w:numFmt w:val="decimal"/>
      <w:lvlText w:val=""/>
      <w:lvlJc w:val="left"/>
    </w:lvl>
    <w:lvl w:ilvl="3" w:tplc="F58C7ED0">
      <w:numFmt w:val="decimal"/>
      <w:lvlText w:val=""/>
      <w:lvlJc w:val="left"/>
    </w:lvl>
    <w:lvl w:ilvl="4" w:tplc="57A01B48">
      <w:numFmt w:val="decimal"/>
      <w:lvlText w:val=""/>
      <w:lvlJc w:val="left"/>
    </w:lvl>
    <w:lvl w:ilvl="5" w:tplc="165ACCC2">
      <w:numFmt w:val="decimal"/>
      <w:lvlText w:val=""/>
      <w:lvlJc w:val="left"/>
    </w:lvl>
    <w:lvl w:ilvl="6" w:tplc="BED230B6">
      <w:numFmt w:val="decimal"/>
      <w:lvlText w:val=""/>
      <w:lvlJc w:val="left"/>
    </w:lvl>
    <w:lvl w:ilvl="7" w:tplc="06A2C81C">
      <w:numFmt w:val="decimal"/>
      <w:lvlText w:val=""/>
      <w:lvlJc w:val="left"/>
    </w:lvl>
    <w:lvl w:ilvl="8" w:tplc="8C4CD828">
      <w:numFmt w:val="decimal"/>
      <w:lvlText w:val=""/>
      <w:lvlJc w:val="left"/>
    </w:lvl>
  </w:abstractNum>
  <w:abstractNum w:abstractNumId="188" w15:restartNumberingAfterBreak="0">
    <w:nsid w:val="22317590"/>
    <w:multiLevelType w:val="hybridMultilevel"/>
    <w:tmpl w:val="503C6E08"/>
    <w:lvl w:ilvl="0" w:tplc="80EEC4D2">
      <w:start w:val="1"/>
      <w:numFmt w:val="bullet"/>
      <w:lvlText w:val="-"/>
      <w:lvlJc w:val="left"/>
    </w:lvl>
    <w:lvl w:ilvl="1" w:tplc="5274A6D2">
      <w:numFmt w:val="decimal"/>
      <w:lvlText w:val=""/>
      <w:lvlJc w:val="left"/>
    </w:lvl>
    <w:lvl w:ilvl="2" w:tplc="70DE4DB6">
      <w:numFmt w:val="decimal"/>
      <w:lvlText w:val=""/>
      <w:lvlJc w:val="left"/>
    </w:lvl>
    <w:lvl w:ilvl="3" w:tplc="B5702686">
      <w:numFmt w:val="decimal"/>
      <w:lvlText w:val=""/>
      <w:lvlJc w:val="left"/>
    </w:lvl>
    <w:lvl w:ilvl="4" w:tplc="2B98F0CA">
      <w:numFmt w:val="decimal"/>
      <w:lvlText w:val=""/>
      <w:lvlJc w:val="left"/>
    </w:lvl>
    <w:lvl w:ilvl="5" w:tplc="3C8C1ABE">
      <w:numFmt w:val="decimal"/>
      <w:lvlText w:val=""/>
      <w:lvlJc w:val="left"/>
    </w:lvl>
    <w:lvl w:ilvl="6" w:tplc="5D889ACA">
      <w:numFmt w:val="decimal"/>
      <w:lvlText w:val=""/>
      <w:lvlJc w:val="left"/>
    </w:lvl>
    <w:lvl w:ilvl="7" w:tplc="E2EC379C">
      <w:numFmt w:val="decimal"/>
      <w:lvlText w:val=""/>
      <w:lvlJc w:val="left"/>
    </w:lvl>
    <w:lvl w:ilvl="8" w:tplc="C98A30AC">
      <w:numFmt w:val="decimal"/>
      <w:lvlText w:val=""/>
      <w:lvlJc w:val="left"/>
    </w:lvl>
  </w:abstractNum>
  <w:abstractNum w:abstractNumId="189" w15:restartNumberingAfterBreak="0">
    <w:nsid w:val="223FA5B6"/>
    <w:multiLevelType w:val="hybridMultilevel"/>
    <w:tmpl w:val="D7625AFA"/>
    <w:lvl w:ilvl="0" w:tplc="BF56CE4C">
      <w:start w:val="1"/>
      <w:numFmt w:val="bullet"/>
      <w:lvlText w:val="·"/>
      <w:lvlJc w:val="left"/>
    </w:lvl>
    <w:lvl w:ilvl="1" w:tplc="D07244AE">
      <w:numFmt w:val="decimal"/>
      <w:lvlText w:val=""/>
      <w:lvlJc w:val="left"/>
    </w:lvl>
    <w:lvl w:ilvl="2" w:tplc="34C86874">
      <w:numFmt w:val="decimal"/>
      <w:lvlText w:val=""/>
      <w:lvlJc w:val="left"/>
    </w:lvl>
    <w:lvl w:ilvl="3" w:tplc="8FAC4DCE">
      <w:numFmt w:val="decimal"/>
      <w:lvlText w:val=""/>
      <w:lvlJc w:val="left"/>
    </w:lvl>
    <w:lvl w:ilvl="4" w:tplc="6BF881DC">
      <w:numFmt w:val="decimal"/>
      <w:lvlText w:val=""/>
      <w:lvlJc w:val="left"/>
    </w:lvl>
    <w:lvl w:ilvl="5" w:tplc="5A500E4C">
      <w:numFmt w:val="decimal"/>
      <w:lvlText w:val=""/>
      <w:lvlJc w:val="left"/>
    </w:lvl>
    <w:lvl w:ilvl="6" w:tplc="C792B56E">
      <w:numFmt w:val="decimal"/>
      <w:lvlText w:val=""/>
      <w:lvlJc w:val="left"/>
    </w:lvl>
    <w:lvl w:ilvl="7" w:tplc="C39241D0">
      <w:numFmt w:val="decimal"/>
      <w:lvlText w:val=""/>
      <w:lvlJc w:val="left"/>
    </w:lvl>
    <w:lvl w:ilvl="8" w:tplc="2C9A962E">
      <w:numFmt w:val="decimal"/>
      <w:lvlText w:val=""/>
      <w:lvlJc w:val="left"/>
    </w:lvl>
  </w:abstractNum>
  <w:abstractNum w:abstractNumId="190" w15:restartNumberingAfterBreak="0">
    <w:nsid w:val="224002E8"/>
    <w:multiLevelType w:val="hybridMultilevel"/>
    <w:tmpl w:val="B8B2FE5A"/>
    <w:lvl w:ilvl="0" w:tplc="8A94EF2E">
      <w:start w:val="1"/>
      <w:numFmt w:val="bullet"/>
      <w:lvlText w:val="-"/>
      <w:lvlJc w:val="left"/>
    </w:lvl>
    <w:lvl w:ilvl="1" w:tplc="8136816A">
      <w:numFmt w:val="decimal"/>
      <w:lvlText w:val=""/>
      <w:lvlJc w:val="left"/>
    </w:lvl>
    <w:lvl w:ilvl="2" w:tplc="506E1E1A">
      <w:numFmt w:val="decimal"/>
      <w:lvlText w:val=""/>
      <w:lvlJc w:val="left"/>
    </w:lvl>
    <w:lvl w:ilvl="3" w:tplc="25BE4DFC">
      <w:numFmt w:val="decimal"/>
      <w:lvlText w:val=""/>
      <w:lvlJc w:val="left"/>
    </w:lvl>
    <w:lvl w:ilvl="4" w:tplc="12DCF510">
      <w:numFmt w:val="decimal"/>
      <w:lvlText w:val=""/>
      <w:lvlJc w:val="left"/>
    </w:lvl>
    <w:lvl w:ilvl="5" w:tplc="F0385390">
      <w:numFmt w:val="decimal"/>
      <w:lvlText w:val=""/>
      <w:lvlJc w:val="left"/>
    </w:lvl>
    <w:lvl w:ilvl="6" w:tplc="46F80754">
      <w:numFmt w:val="decimal"/>
      <w:lvlText w:val=""/>
      <w:lvlJc w:val="left"/>
    </w:lvl>
    <w:lvl w:ilvl="7" w:tplc="7A5C8B40">
      <w:numFmt w:val="decimal"/>
      <w:lvlText w:val=""/>
      <w:lvlJc w:val="left"/>
    </w:lvl>
    <w:lvl w:ilvl="8" w:tplc="9DE61864">
      <w:numFmt w:val="decimal"/>
      <w:lvlText w:val=""/>
      <w:lvlJc w:val="left"/>
    </w:lvl>
  </w:abstractNum>
  <w:abstractNum w:abstractNumId="191" w15:restartNumberingAfterBreak="0">
    <w:nsid w:val="225953F9"/>
    <w:multiLevelType w:val="hybridMultilevel"/>
    <w:tmpl w:val="BB88CDB8"/>
    <w:lvl w:ilvl="0" w:tplc="8124D79A">
      <w:start w:val="1"/>
      <w:numFmt w:val="lowerLetter"/>
      <w:lvlText w:val="%1)"/>
      <w:lvlJc w:val="left"/>
    </w:lvl>
    <w:lvl w:ilvl="1" w:tplc="B2EC7B86">
      <w:numFmt w:val="decimal"/>
      <w:lvlText w:val=""/>
      <w:lvlJc w:val="left"/>
    </w:lvl>
    <w:lvl w:ilvl="2" w:tplc="638EB016">
      <w:numFmt w:val="decimal"/>
      <w:lvlText w:val=""/>
      <w:lvlJc w:val="left"/>
    </w:lvl>
    <w:lvl w:ilvl="3" w:tplc="F0BE6704">
      <w:numFmt w:val="decimal"/>
      <w:lvlText w:val=""/>
      <w:lvlJc w:val="left"/>
    </w:lvl>
    <w:lvl w:ilvl="4" w:tplc="79867818">
      <w:numFmt w:val="decimal"/>
      <w:lvlText w:val=""/>
      <w:lvlJc w:val="left"/>
    </w:lvl>
    <w:lvl w:ilvl="5" w:tplc="A6045E24">
      <w:numFmt w:val="decimal"/>
      <w:lvlText w:val=""/>
      <w:lvlJc w:val="left"/>
    </w:lvl>
    <w:lvl w:ilvl="6" w:tplc="2780D352">
      <w:numFmt w:val="decimal"/>
      <w:lvlText w:val=""/>
      <w:lvlJc w:val="left"/>
    </w:lvl>
    <w:lvl w:ilvl="7" w:tplc="8528BA8E">
      <w:numFmt w:val="decimal"/>
      <w:lvlText w:val=""/>
      <w:lvlJc w:val="left"/>
    </w:lvl>
    <w:lvl w:ilvl="8" w:tplc="4E0A673E">
      <w:numFmt w:val="decimal"/>
      <w:lvlText w:val=""/>
      <w:lvlJc w:val="left"/>
    </w:lvl>
  </w:abstractNum>
  <w:abstractNum w:abstractNumId="192" w15:restartNumberingAfterBreak="0">
    <w:nsid w:val="22705838"/>
    <w:multiLevelType w:val="hybridMultilevel"/>
    <w:tmpl w:val="3F7273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3" w15:restartNumberingAfterBreak="0">
    <w:nsid w:val="22A83D1E"/>
    <w:multiLevelType w:val="hybridMultilevel"/>
    <w:tmpl w:val="E46CBCBA"/>
    <w:lvl w:ilvl="0" w:tplc="53CABD30">
      <w:start w:val="1"/>
      <w:numFmt w:val="bullet"/>
      <w:lvlText w:val="-"/>
      <w:lvlJc w:val="left"/>
      <w:pPr>
        <w:ind w:left="720" w:hanging="360"/>
      </w:pPr>
      <w:rPr>
        <w:rFonts w:hint="default"/>
        <w:color w:val="auto"/>
        <w:sz w:val="24"/>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4" w15:restartNumberingAfterBreak="0">
    <w:nsid w:val="22B22F6F"/>
    <w:multiLevelType w:val="hybridMultilevel"/>
    <w:tmpl w:val="061A5DAC"/>
    <w:lvl w:ilvl="0" w:tplc="04050011">
      <w:start w:val="1"/>
      <w:numFmt w:val="decimal"/>
      <w:lvlText w:val="%1)"/>
      <w:lvlJc w:val="left"/>
    </w:lvl>
    <w:lvl w:ilvl="1" w:tplc="D700CB6C">
      <w:numFmt w:val="decimal"/>
      <w:lvlText w:val=""/>
      <w:lvlJc w:val="left"/>
    </w:lvl>
    <w:lvl w:ilvl="2" w:tplc="9CDAFFDA">
      <w:numFmt w:val="decimal"/>
      <w:lvlText w:val=""/>
      <w:lvlJc w:val="left"/>
    </w:lvl>
    <w:lvl w:ilvl="3" w:tplc="10D8A276">
      <w:numFmt w:val="decimal"/>
      <w:lvlText w:val=""/>
      <w:lvlJc w:val="left"/>
    </w:lvl>
    <w:lvl w:ilvl="4" w:tplc="23DCF8D6">
      <w:numFmt w:val="decimal"/>
      <w:lvlText w:val=""/>
      <w:lvlJc w:val="left"/>
    </w:lvl>
    <w:lvl w:ilvl="5" w:tplc="D5DE686C">
      <w:numFmt w:val="decimal"/>
      <w:lvlText w:val=""/>
      <w:lvlJc w:val="left"/>
    </w:lvl>
    <w:lvl w:ilvl="6" w:tplc="50D45B22">
      <w:numFmt w:val="decimal"/>
      <w:lvlText w:val=""/>
      <w:lvlJc w:val="left"/>
    </w:lvl>
    <w:lvl w:ilvl="7" w:tplc="8CB6CDA4">
      <w:numFmt w:val="decimal"/>
      <w:lvlText w:val=""/>
      <w:lvlJc w:val="left"/>
    </w:lvl>
    <w:lvl w:ilvl="8" w:tplc="9CDE8698">
      <w:numFmt w:val="decimal"/>
      <w:lvlText w:val=""/>
      <w:lvlJc w:val="left"/>
    </w:lvl>
  </w:abstractNum>
  <w:abstractNum w:abstractNumId="195" w15:restartNumberingAfterBreak="0">
    <w:nsid w:val="2357E574"/>
    <w:multiLevelType w:val="hybridMultilevel"/>
    <w:tmpl w:val="975AE208"/>
    <w:lvl w:ilvl="0" w:tplc="1046A32C">
      <w:start w:val="1"/>
      <w:numFmt w:val="bullet"/>
      <w:lvlText w:val="−"/>
      <w:lvlJc w:val="left"/>
    </w:lvl>
    <w:lvl w:ilvl="1" w:tplc="3B188052">
      <w:numFmt w:val="decimal"/>
      <w:lvlText w:val=""/>
      <w:lvlJc w:val="left"/>
    </w:lvl>
    <w:lvl w:ilvl="2" w:tplc="348ADBE4">
      <w:numFmt w:val="decimal"/>
      <w:lvlText w:val=""/>
      <w:lvlJc w:val="left"/>
    </w:lvl>
    <w:lvl w:ilvl="3" w:tplc="7B0621F0">
      <w:numFmt w:val="decimal"/>
      <w:lvlText w:val=""/>
      <w:lvlJc w:val="left"/>
    </w:lvl>
    <w:lvl w:ilvl="4" w:tplc="70B2F5A4">
      <w:numFmt w:val="decimal"/>
      <w:lvlText w:val=""/>
      <w:lvlJc w:val="left"/>
    </w:lvl>
    <w:lvl w:ilvl="5" w:tplc="31C4A34A">
      <w:numFmt w:val="decimal"/>
      <w:lvlText w:val=""/>
      <w:lvlJc w:val="left"/>
    </w:lvl>
    <w:lvl w:ilvl="6" w:tplc="D20E0E60">
      <w:numFmt w:val="decimal"/>
      <w:lvlText w:val=""/>
      <w:lvlJc w:val="left"/>
    </w:lvl>
    <w:lvl w:ilvl="7" w:tplc="C0A64C34">
      <w:numFmt w:val="decimal"/>
      <w:lvlText w:val=""/>
      <w:lvlJc w:val="left"/>
    </w:lvl>
    <w:lvl w:ilvl="8" w:tplc="CDD270CE">
      <w:numFmt w:val="decimal"/>
      <w:lvlText w:val=""/>
      <w:lvlJc w:val="left"/>
    </w:lvl>
  </w:abstractNum>
  <w:abstractNum w:abstractNumId="196" w15:restartNumberingAfterBreak="0">
    <w:nsid w:val="243DE0AA"/>
    <w:multiLevelType w:val="hybridMultilevel"/>
    <w:tmpl w:val="DCC4CE3E"/>
    <w:lvl w:ilvl="0" w:tplc="CF94F9DA">
      <w:start w:val="1"/>
      <w:numFmt w:val="decimal"/>
      <w:lvlText w:val="%1."/>
      <w:lvlJc w:val="left"/>
    </w:lvl>
    <w:lvl w:ilvl="1" w:tplc="A50C6EA2">
      <w:numFmt w:val="decimal"/>
      <w:lvlText w:val=""/>
      <w:lvlJc w:val="left"/>
    </w:lvl>
    <w:lvl w:ilvl="2" w:tplc="C43A8DA8">
      <w:numFmt w:val="decimal"/>
      <w:lvlText w:val=""/>
      <w:lvlJc w:val="left"/>
    </w:lvl>
    <w:lvl w:ilvl="3" w:tplc="DFE058AC">
      <w:numFmt w:val="decimal"/>
      <w:lvlText w:val=""/>
      <w:lvlJc w:val="left"/>
    </w:lvl>
    <w:lvl w:ilvl="4" w:tplc="15DCE406">
      <w:numFmt w:val="decimal"/>
      <w:lvlText w:val=""/>
      <w:lvlJc w:val="left"/>
    </w:lvl>
    <w:lvl w:ilvl="5" w:tplc="80387C36">
      <w:numFmt w:val="decimal"/>
      <w:lvlText w:val=""/>
      <w:lvlJc w:val="left"/>
    </w:lvl>
    <w:lvl w:ilvl="6" w:tplc="B3F0A5AA">
      <w:numFmt w:val="decimal"/>
      <w:lvlText w:val=""/>
      <w:lvlJc w:val="left"/>
    </w:lvl>
    <w:lvl w:ilvl="7" w:tplc="E5660A72">
      <w:numFmt w:val="decimal"/>
      <w:lvlText w:val=""/>
      <w:lvlJc w:val="left"/>
    </w:lvl>
    <w:lvl w:ilvl="8" w:tplc="2AE0288A">
      <w:numFmt w:val="decimal"/>
      <w:lvlText w:val=""/>
      <w:lvlJc w:val="left"/>
    </w:lvl>
  </w:abstractNum>
  <w:abstractNum w:abstractNumId="197" w15:restartNumberingAfterBreak="0">
    <w:nsid w:val="247D7CEF"/>
    <w:multiLevelType w:val="hybridMultilevel"/>
    <w:tmpl w:val="70BEA256"/>
    <w:lvl w:ilvl="0" w:tplc="3EA81D5E">
      <w:start w:val="1"/>
      <w:numFmt w:val="bullet"/>
      <w:lvlText w:val="•"/>
      <w:lvlJc w:val="left"/>
    </w:lvl>
    <w:lvl w:ilvl="1" w:tplc="1F8202BA">
      <w:numFmt w:val="decimal"/>
      <w:lvlText w:val=""/>
      <w:lvlJc w:val="left"/>
    </w:lvl>
    <w:lvl w:ilvl="2" w:tplc="FC0ABCE2">
      <w:numFmt w:val="decimal"/>
      <w:lvlText w:val=""/>
      <w:lvlJc w:val="left"/>
    </w:lvl>
    <w:lvl w:ilvl="3" w:tplc="D65AB4C8">
      <w:numFmt w:val="decimal"/>
      <w:lvlText w:val=""/>
      <w:lvlJc w:val="left"/>
    </w:lvl>
    <w:lvl w:ilvl="4" w:tplc="D472A7B2">
      <w:numFmt w:val="decimal"/>
      <w:lvlText w:val=""/>
      <w:lvlJc w:val="left"/>
    </w:lvl>
    <w:lvl w:ilvl="5" w:tplc="D772EE64">
      <w:numFmt w:val="decimal"/>
      <w:lvlText w:val=""/>
      <w:lvlJc w:val="left"/>
    </w:lvl>
    <w:lvl w:ilvl="6" w:tplc="F0E05EDA">
      <w:numFmt w:val="decimal"/>
      <w:lvlText w:val=""/>
      <w:lvlJc w:val="left"/>
    </w:lvl>
    <w:lvl w:ilvl="7" w:tplc="5E38FCDE">
      <w:numFmt w:val="decimal"/>
      <w:lvlText w:val=""/>
      <w:lvlJc w:val="left"/>
    </w:lvl>
    <w:lvl w:ilvl="8" w:tplc="931C2DD4">
      <w:numFmt w:val="decimal"/>
      <w:lvlText w:val=""/>
      <w:lvlJc w:val="left"/>
    </w:lvl>
  </w:abstractNum>
  <w:abstractNum w:abstractNumId="198" w15:restartNumberingAfterBreak="0">
    <w:nsid w:val="2486D4C7"/>
    <w:multiLevelType w:val="hybridMultilevel"/>
    <w:tmpl w:val="9528B572"/>
    <w:lvl w:ilvl="0" w:tplc="6A6C3F14">
      <w:start w:val="1"/>
      <w:numFmt w:val="bullet"/>
      <w:lvlText w:val="-"/>
      <w:lvlJc w:val="left"/>
    </w:lvl>
    <w:lvl w:ilvl="1" w:tplc="68F04D46">
      <w:numFmt w:val="decimal"/>
      <w:lvlText w:val=""/>
      <w:lvlJc w:val="left"/>
    </w:lvl>
    <w:lvl w:ilvl="2" w:tplc="FE86F90A">
      <w:numFmt w:val="decimal"/>
      <w:lvlText w:val=""/>
      <w:lvlJc w:val="left"/>
    </w:lvl>
    <w:lvl w:ilvl="3" w:tplc="901E7250">
      <w:numFmt w:val="decimal"/>
      <w:lvlText w:val=""/>
      <w:lvlJc w:val="left"/>
    </w:lvl>
    <w:lvl w:ilvl="4" w:tplc="E3304ACA">
      <w:numFmt w:val="decimal"/>
      <w:lvlText w:val=""/>
      <w:lvlJc w:val="left"/>
    </w:lvl>
    <w:lvl w:ilvl="5" w:tplc="BA0CFF12">
      <w:numFmt w:val="decimal"/>
      <w:lvlText w:val=""/>
      <w:lvlJc w:val="left"/>
    </w:lvl>
    <w:lvl w:ilvl="6" w:tplc="F4E4866E">
      <w:numFmt w:val="decimal"/>
      <w:lvlText w:val=""/>
      <w:lvlJc w:val="left"/>
    </w:lvl>
    <w:lvl w:ilvl="7" w:tplc="8D662AD6">
      <w:numFmt w:val="decimal"/>
      <w:lvlText w:val=""/>
      <w:lvlJc w:val="left"/>
    </w:lvl>
    <w:lvl w:ilvl="8" w:tplc="B682105E">
      <w:numFmt w:val="decimal"/>
      <w:lvlText w:val=""/>
      <w:lvlJc w:val="left"/>
    </w:lvl>
  </w:abstractNum>
  <w:abstractNum w:abstractNumId="199" w15:restartNumberingAfterBreak="0">
    <w:nsid w:val="249E15AC"/>
    <w:multiLevelType w:val="hybridMultilevel"/>
    <w:tmpl w:val="E75EAE56"/>
    <w:lvl w:ilvl="0" w:tplc="D00CFBA6">
      <w:start w:val="1"/>
      <w:numFmt w:val="decimal"/>
      <w:lvlText w:val="%1)"/>
      <w:lvlJc w:val="left"/>
    </w:lvl>
    <w:lvl w:ilvl="1" w:tplc="C7CC6034">
      <w:numFmt w:val="decimal"/>
      <w:lvlText w:val=""/>
      <w:lvlJc w:val="left"/>
    </w:lvl>
    <w:lvl w:ilvl="2" w:tplc="425E6BB8">
      <w:numFmt w:val="decimal"/>
      <w:lvlText w:val=""/>
      <w:lvlJc w:val="left"/>
    </w:lvl>
    <w:lvl w:ilvl="3" w:tplc="0EB0F33A">
      <w:numFmt w:val="decimal"/>
      <w:lvlText w:val=""/>
      <w:lvlJc w:val="left"/>
    </w:lvl>
    <w:lvl w:ilvl="4" w:tplc="A6C426DE">
      <w:numFmt w:val="decimal"/>
      <w:lvlText w:val=""/>
      <w:lvlJc w:val="left"/>
    </w:lvl>
    <w:lvl w:ilvl="5" w:tplc="6F6E6B7E">
      <w:numFmt w:val="decimal"/>
      <w:lvlText w:val=""/>
      <w:lvlJc w:val="left"/>
    </w:lvl>
    <w:lvl w:ilvl="6" w:tplc="1F988710">
      <w:numFmt w:val="decimal"/>
      <w:lvlText w:val=""/>
      <w:lvlJc w:val="left"/>
    </w:lvl>
    <w:lvl w:ilvl="7" w:tplc="1AAA5188">
      <w:numFmt w:val="decimal"/>
      <w:lvlText w:val=""/>
      <w:lvlJc w:val="left"/>
    </w:lvl>
    <w:lvl w:ilvl="8" w:tplc="1CF8A260">
      <w:numFmt w:val="decimal"/>
      <w:lvlText w:val=""/>
      <w:lvlJc w:val="left"/>
    </w:lvl>
  </w:abstractNum>
  <w:abstractNum w:abstractNumId="200" w15:restartNumberingAfterBreak="0">
    <w:nsid w:val="24A868C8"/>
    <w:multiLevelType w:val="hybridMultilevel"/>
    <w:tmpl w:val="FC806B2E"/>
    <w:lvl w:ilvl="0" w:tplc="53CABD30">
      <w:start w:val="1"/>
      <w:numFmt w:val="bullet"/>
      <w:lvlText w:val="-"/>
      <w:lvlJc w:val="left"/>
      <w:pPr>
        <w:ind w:left="1440" w:hanging="360"/>
      </w:p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1" w15:restartNumberingAfterBreak="0">
    <w:nsid w:val="24C29FD1"/>
    <w:multiLevelType w:val="hybridMultilevel"/>
    <w:tmpl w:val="CC8A50BA"/>
    <w:lvl w:ilvl="0" w:tplc="765C201C">
      <w:start w:val="1"/>
      <w:numFmt w:val="bullet"/>
      <w:lvlText w:val="•"/>
      <w:lvlJc w:val="left"/>
    </w:lvl>
    <w:lvl w:ilvl="1" w:tplc="3AEE1DEC">
      <w:numFmt w:val="decimal"/>
      <w:lvlText w:val=""/>
      <w:lvlJc w:val="left"/>
    </w:lvl>
    <w:lvl w:ilvl="2" w:tplc="4F6081D2">
      <w:numFmt w:val="decimal"/>
      <w:lvlText w:val=""/>
      <w:lvlJc w:val="left"/>
    </w:lvl>
    <w:lvl w:ilvl="3" w:tplc="DCECF086">
      <w:numFmt w:val="decimal"/>
      <w:lvlText w:val=""/>
      <w:lvlJc w:val="left"/>
    </w:lvl>
    <w:lvl w:ilvl="4" w:tplc="EB385F44">
      <w:numFmt w:val="decimal"/>
      <w:lvlText w:val=""/>
      <w:lvlJc w:val="left"/>
    </w:lvl>
    <w:lvl w:ilvl="5" w:tplc="4D62033A">
      <w:numFmt w:val="decimal"/>
      <w:lvlText w:val=""/>
      <w:lvlJc w:val="left"/>
    </w:lvl>
    <w:lvl w:ilvl="6" w:tplc="3816F94E">
      <w:numFmt w:val="decimal"/>
      <w:lvlText w:val=""/>
      <w:lvlJc w:val="left"/>
    </w:lvl>
    <w:lvl w:ilvl="7" w:tplc="C3922E80">
      <w:numFmt w:val="decimal"/>
      <w:lvlText w:val=""/>
      <w:lvlJc w:val="left"/>
    </w:lvl>
    <w:lvl w:ilvl="8" w:tplc="4F420128">
      <w:numFmt w:val="decimal"/>
      <w:lvlText w:val=""/>
      <w:lvlJc w:val="left"/>
    </w:lvl>
  </w:abstractNum>
  <w:abstractNum w:abstractNumId="202" w15:restartNumberingAfterBreak="0">
    <w:nsid w:val="24FC8752"/>
    <w:multiLevelType w:val="hybridMultilevel"/>
    <w:tmpl w:val="4EC89CD2"/>
    <w:lvl w:ilvl="0" w:tplc="CB54FF32">
      <w:start w:val="1"/>
      <w:numFmt w:val="bullet"/>
      <w:lvlText w:val="-"/>
      <w:lvlJc w:val="left"/>
    </w:lvl>
    <w:lvl w:ilvl="1" w:tplc="AF7251EE">
      <w:numFmt w:val="decimal"/>
      <w:lvlText w:val=""/>
      <w:lvlJc w:val="left"/>
    </w:lvl>
    <w:lvl w:ilvl="2" w:tplc="7A3EF75C">
      <w:numFmt w:val="decimal"/>
      <w:lvlText w:val=""/>
      <w:lvlJc w:val="left"/>
    </w:lvl>
    <w:lvl w:ilvl="3" w:tplc="29527756">
      <w:numFmt w:val="decimal"/>
      <w:lvlText w:val=""/>
      <w:lvlJc w:val="left"/>
    </w:lvl>
    <w:lvl w:ilvl="4" w:tplc="7B422242">
      <w:numFmt w:val="decimal"/>
      <w:lvlText w:val=""/>
      <w:lvlJc w:val="left"/>
    </w:lvl>
    <w:lvl w:ilvl="5" w:tplc="9E324E58">
      <w:numFmt w:val="decimal"/>
      <w:lvlText w:val=""/>
      <w:lvlJc w:val="left"/>
    </w:lvl>
    <w:lvl w:ilvl="6" w:tplc="E08CF542">
      <w:numFmt w:val="decimal"/>
      <w:lvlText w:val=""/>
      <w:lvlJc w:val="left"/>
    </w:lvl>
    <w:lvl w:ilvl="7" w:tplc="7F88F5FE">
      <w:numFmt w:val="decimal"/>
      <w:lvlText w:val=""/>
      <w:lvlJc w:val="left"/>
    </w:lvl>
    <w:lvl w:ilvl="8" w:tplc="C8089682">
      <w:numFmt w:val="decimal"/>
      <w:lvlText w:val=""/>
      <w:lvlJc w:val="left"/>
    </w:lvl>
  </w:abstractNum>
  <w:abstractNum w:abstractNumId="203" w15:restartNumberingAfterBreak="0">
    <w:nsid w:val="25166C3E"/>
    <w:multiLevelType w:val="hybridMultilevel"/>
    <w:tmpl w:val="AF6EBC5E"/>
    <w:lvl w:ilvl="0" w:tplc="53CABD30">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4" w15:restartNumberingAfterBreak="0">
    <w:nsid w:val="2545A7C9"/>
    <w:multiLevelType w:val="hybridMultilevel"/>
    <w:tmpl w:val="CDB4F678"/>
    <w:lvl w:ilvl="0" w:tplc="23281C74">
      <w:start w:val="1"/>
      <w:numFmt w:val="bullet"/>
      <w:lvlText w:val="•"/>
      <w:lvlJc w:val="left"/>
    </w:lvl>
    <w:lvl w:ilvl="1" w:tplc="E8F45EB2">
      <w:numFmt w:val="decimal"/>
      <w:lvlText w:val=""/>
      <w:lvlJc w:val="left"/>
    </w:lvl>
    <w:lvl w:ilvl="2" w:tplc="548027C4">
      <w:numFmt w:val="decimal"/>
      <w:lvlText w:val=""/>
      <w:lvlJc w:val="left"/>
    </w:lvl>
    <w:lvl w:ilvl="3" w:tplc="F1A62642">
      <w:numFmt w:val="decimal"/>
      <w:lvlText w:val=""/>
      <w:lvlJc w:val="left"/>
    </w:lvl>
    <w:lvl w:ilvl="4" w:tplc="FDC61BF4">
      <w:numFmt w:val="decimal"/>
      <w:lvlText w:val=""/>
      <w:lvlJc w:val="left"/>
    </w:lvl>
    <w:lvl w:ilvl="5" w:tplc="A558CC48">
      <w:numFmt w:val="decimal"/>
      <w:lvlText w:val=""/>
      <w:lvlJc w:val="left"/>
    </w:lvl>
    <w:lvl w:ilvl="6" w:tplc="7582886E">
      <w:numFmt w:val="decimal"/>
      <w:lvlText w:val=""/>
      <w:lvlJc w:val="left"/>
    </w:lvl>
    <w:lvl w:ilvl="7" w:tplc="4C5834E2">
      <w:numFmt w:val="decimal"/>
      <w:lvlText w:val=""/>
      <w:lvlJc w:val="left"/>
    </w:lvl>
    <w:lvl w:ilvl="8" w:tplc="1BCA9C16">
      <w:numFmt w:val="decimal"/>
      <w:lvlText w:val=""/>
      <w:lvlJc w:val="left"/>
    </w:lvl>
  </w:abstractNum>
  <w:abstractNum w:abstractNumId="205" w15:restartNumberingAfterBreak="0">
    <w:nsid w:val="254D9EA9"/>
    <w:multiLevelType w:val="hybridMultilevel"/>
    <w:tmpl w:val="E2683CD2"/>
    <w:lvl w:ilvl="0" w:tplc="A044E774">
      <w:start w:val="1"/>
      <w:numFmt w:val="lowerLetter"/>
      <w:lvlText w:val="%1)"/>
      <w:lvlJc w:val="left"/>
    </w:lvl>
    <w:lvl w:ilvl="1" w:tplc="E7FE8C26">
      <w:numFmt w:val="decimal"/>
      <w:lvlText w:val=""/>
      <w:lvlJc w:val="left"/>
    </w:lvl>
    <w:lvl w:ilvl="2" w:tplc="2E329ACA">
      <w:numFmt w:val="decimal"/>
      <w:lvlText w:val=""/>
      <w:lvlJc w:val="left"/>
    </w:lvl>
    <w:lvl w:ilvl="3" w:tplc="9BE412A8">
      <w:numFmt w:val="decimal"/>
      <w:lvlText w:val=""/>
      <w:lvlJc w:val="left"/>
    </w:lvl>
    <w:lvl w:ilvl="4" w:tplc="384AFCC4">
      <w:numFmt w:val="decimal"/>
      <w:lvlText w:val=""/>
      <w:lvlJc w:val="left"/>
    </w:lvl>
    <w:lvl w:ilvl="5" w:tplc="860AD212">
      <w:numFmt w:val="decimal"/>
      <w:lvlText w:val=""/>
      <w:lvlJc w:val="left"/>
    </w:lvl>
    <w:lvl w:ilvl="6" w:tplc="B104928C">
      <w:numFmt w:val="decimal"/>
      <w:lvlText w:val=""/>
      <w:lvlJc w:val="left"/>
    </w:lvl>
    <w:lvl w:ilvl="7" w:tplc="7EB8E5BA">
      <w:numFmt w:val="decimal"/>
      <w:lvlText w:val=""/>
      <w:lvlJc w:val="left"/>
    </w:lvl>
    <w:lvl w:ilvl="8" w:tplc="B8121D26">
      <w:numFmt w:val="decimal"/>
      <w:lvlText w:val=""/>
      <w:lvlJc w:val="left"/>
    </w:lvl>
  </w:abstractNum>
  <w:abstractNum w:abstractNumId="206" w15:restartNumberingAfterBreak="0">
    <w:nsid w:val="25670D6B"/>
    <w:multiLevelType w:val="hybridMultilevel"/>
    <w:tmpl w:val="AB94E8D8"/>
    <w:lvl w:ilvl="0" w:tplc="5F3AA43A">
      <w:start w:val="1"/>
      <w:numFmt w:val="bullet"/>
      <w:lvlText w:val="•"/>
      <w:lvlJc w:val="left"/>
    </w:lvl>
    <w:lvl w:ilvl="1" w:tplc="BF327432">
      <w:numFmt w:val="decimal"/>
      <w:lvlText w:val=""/>
      <w:lvlJc w:val="left"/>
    </w:lvl>
    <w:lvl w:ilvl="2" w:tplc="1DC6BE42">
      <w:numFmt w:val="decimal"/>
      <w:lvlText w:val=""/>
      <w:lvlJc w:val="left"/>
    </w:lvl>
    <w:lvl w:ilvl="3" w:tplc="67D48A38">
      <w:numFmt w:val="decimal"/>
      <w:lvlText w:val=""/>
      <w:lvlJc w:val="left"/>
    </w:lvl>
    <w:lvl w:ilvl="4" w:tplc="26ACFC5C">
      <w:numFmt w:val="decimal"/>
      <w:lvlText w:val=""/>
      <w:lvlJc w:val="left"/>
    </w:lvl>
    <w:lvl w:ilvl="5" w:tplc="D8FCE8DE">
      <w:numFmt w:val="decimal"/>
      <w:lvlText w:val=""/>
      <w:lvlJc w:val="left"/>
    </w:lvl>
    <w:lvl w:ilvl="6" w:tplc="277AB598">
      <w:numFmt w:val="decimal"/>
      <w:lvlText w:val=""/>
      <w:lvlJc w:val="left"/>
    </w:lvl>
    <w:lvl w:ilvl="7" w:tplc="114E1E96">
      <w:numFmt w:val="decimal"/>
      <w:lvlText w:val=""/>
      <w:lvlJc w:val="left"/>
    </w:lvl>
    <w:lvl w:ilvl="8" w:tplc="E09A0650">
      <w:numFmt w:val="decimal"/>
      <w:lvlText w:val=""/>
      <w:lvlJc w:val="left"/>
    </w:lvl>
  </w:abstractNum>
  <w:abstractNum w:abstractNumId="207" w15:restartNumberingAfterBreak="0">
    <w:nsid w:val="257273DB"/>
    <w:multiLevelType w:val="hybridMultilevel"/>
    <w:tmpl w:val="718C62A8"/>
    <w:lvl w:ilvl="0" w:tplc="25B4D634">
      <w:start w:val="1"/>
      <w:numFmt w:val="bullet"/>
      <w:lvlText w:val="-"/>
      <w:lvlJc w:val="left"/>
    </w:lvl>
    <w:lvl w:ilvl="1" w:tplc="06CAD222">
      <w:numFmt w:val="decimal"/>
      <w:lvlText w:val=""/>
      <w:lvlJc w:val="left"/>
    </w:lvl>
    <w:lvl w:ilvl="2" w:tplc="F2B2516A">
      <w:numFmt w:val="decimal"/>
      <w:lvlText w:val=""/>
      <w:lvlJc w:val="left"/>
    </w:lvl>
    <w:lvl w:ilvl="3" w:tplc="C1985AB4">
      <w:numFmt w:val="decimal"/>
      <w:lvlText w:val=""/>
      <w:lvlJc w:val="left"/>
    </w:lvl>
    <w:lvl w:ilvl="4" w:tplc="18EA3D88">
      <w:numFmt w:val="decimal"/>
      <w:lvlText w:val=""/>
      <w:lvlJc w:val="left"/>
    </w:lvl>
    <w:lvl w:ilvl="5" w:tplc="E6B2CAFE">
      <w:numFmt w:val="decimal"/>
      <w:lvlText w:val=""/>
      <w:lvlJc w:val="left"/>
    </w:lvl>
    <w:lvl w:ilvl="6" w:tplc="01FA52FA">
      <w:numFmt w:val="decimal"/>
      <w:lvlText w:val=""/>
      <w:lvlJc w:val="left"/>
    </w:lvl>
    <w:lvl w:ilvl="7" w:tplc="9F82EAAA">
      <w:numFmt w:val="decimal"/>
      <w:lvlText w:val=""/>
      <w:lvlJc w:val="left"/>
    </w:lvl>
    <w:lvl w:ilvl="8" w:tplc="0DEC7930">
      <w:numFmt w:val="decimal"/>
      <w:lvlText w:val=""/>
      <w:lvlJc w:val="left"/>
    </w:lvl>
  </w:abstractNum>
  <w:abstractNum w:abstractNumId="208" w15:restartNumberingAfterBreak="0">
    <w:nsid w:val="2578301F"/>
    <w:multiLevelType w:val="hybridMultilevel"/>
    <w:tmpl w:val="BE08E1EE"/>
    <w:lvl w:ilvl="0" w:tplc="53CABD30">
      <w:start w:val="1"/>
      <w:numFmt w:val="bullet"/>
      <w:lvlText w:val="-"/>
      <w:lvlJc w:val="left"/>
      <w:pPr>
        <w:ind w:left="1440" w:hanging="360"/>
      </w:p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9" w15:restartNumberingAfterBreak="0">
    <w:nsid w:val="25A17D41"/>
    <w:multiLevelType w:val="hybridMultilevel"/>
    <w:tmpl w:val="B5840614"/>
    <w:lvl w:ilvl="0" w:tplc="90EC3582">
      <w:start w:val="15"/>
      <w:numFmt w:val="lowerLetter"/>
      <w:lvlText w:val="%1"/>
      <w:lvlJc w:val="left"/>
    </w:lvl>
    <w:lvl w:ilvl="1" w:tplc="220A289E">
      <w:numFmt w:val="decimal"/>
      <w:lvlText w:val=""/>
      <w:lvlJc w:val="left"/>
    </w:lvl>
    <w:lvl w:ilvl="2" w:tplc="B0843258">
      <w:numFmt w:val="decimal"/>
      <w:lvlText w:val=""/>
      <w:lvlJc w:val="left"/>
    </w:lvl>
    <w:lvl w:ilvl="3" w:tplc="D3E20AC8">
      <w:numFmt w:val="decimal"/>
      <w:lvlText w:val=""/>
      <w:lvlJc w:val="left"/>
    </w:lvl>
    <w:lvl w:ilvl="4" w:tplc="DED29BFA">
      <w:numFmt w:val="decimal"/>
      <w:lvlText w:val=""/>
      <w:lvlJc w:val="left"/>
    </w:lvl>
    <w:lvl w:ilvl="5" w:tplc="45A2DD50">
      <w:numFmt w:val="decimal"/>
      <w:lvlText w:val=""/>
      <w:lvlJc w:val="left"/>
    </w:lvl>
    <w:lvl w:ilvl="6" w:tplc="F3F8113E">
      <w:numFmt w:val="decimal"/>
      <w:lvlText w:val=""/>
      <w:lvlJc w:val="left"/>
    </w:lvl>
    <w:lvl w:ilvl="7" w:tplc="C7A803D4">
      <w:numFmt w:val="decimal"/>
      <w:lvlText w:val=""/>
      <w:lvlJc w:val="left"/>
    </w:lvl>
    <w:lvl w:ilvl="8" w:tplc="58981898">
      <w:numFmt w:val="decimal"/>
      <w:lvlText w:val=""/>
      <w:lvlJc w:val="left"/>
    </w:lvl>
  </w:abstractNum>
  <w:abstractNum w:abstractNumId="210" w15:restartNumberingAfterBreak="0">
    <w:nsid w:val="261ABBD5"/>
    <w:multiLevelType w:val="hybridMultilevel"/>
    <w:tmpl w:val="26B2D93C"/>
    <w:lvl w:ilvl="0" w:tplc="858CC73C">
      <w:start w:val="1"/>
      <w:numFmt w:val="decimal"/>
      <w:lvlText w:val="%1."/>
      <w:lvlJc w:val="left"/>
    </w:lvl>
    <w:lvl w:ilvl="1" w:tplc="D8F8598C">
      <w:numFmt w:val="decimal"/>
      <w:lvlText w:val=""/>
      <w:lvlJc w:val="left"/>
    </w:lvl>
    <w:lvl w:ilvl="2" w:tplc="C57A6618">
      <w:numFmt w:val="decimal"/>
      <w:lvlText w:val=""/>
      <w:lvlJc w:val="left"/>
    </w:lvl>
    <w:lvl w:ilvl="3" w:tplc="2EFE450C">
      <w:numFmt w:val="decimal"/>
      <w:lvlText w:val=""/>
      <w:lvlJc w:val="left"/>
    </w:lvl>
    <w:lvl w:ilvl="4" w:tplc="36B2B948">
      <w:numFmt w:val="decimal"/>
      <w:lvlText w:val=""/>
      <w:lvlJc w:val="left"/>
    </w:lvl>
    <w:lvl w:ilvl="5" w:tplc="9D043C90">
      <w:numFmt w:val="decimal"/>
      <w:lvlText w:val=""/>
      <w:lvlJc w:val="left"/>
    </w:lvl>
    <w:lvl w:ilvl="6" w:tplc="B694D246">
      <w:numFmt w:val="decimal"/>
      <w:lvlText w:val=""/>
      <w:lvlJc w:val="left"/>
    </w:lvl>
    <w:lvl w:ilvl="7" w:tplc="7AACACDC">
      <w:numFmt w:val="decimal"/>
      <w:lvlText w:val=""/>
      <w:lvlJc w:val="left"/>
    </w:lvl>
    <w:lvl w:ilvl="8" w:tplc="F6AA7B6C">
      <w:numFmt w:val="decimal"/>
      <w:lvlText w:val=""/>
      <w:lvlJc w:val="left"/>
    </w:lvl>
  </w:abstractNum>
  <w:abstractNum w:abstractNumId="211" w15:restartNumberingAfterBreak="0">
    <w:nsid w:val="26555018"/>
    <w:multiLevelType w:val="hybridMultilevel"/>
    <w:tmpl w:val="CBD644D4"/>
    <w:lvl w:ilvl="0" w:tplc="53CABD30">
      <w:start w:val="1"/>
      <w:numFmt w:val="bullet"/>
      <w:lvlText w:val="-"/>
      <w:lvlJc w:val="left"/>
      <w:pPr>
        <w:ind w:left="1497" w:hanging="360"/>
      </w:pPr>
    </w:lvl>
    <w:lvl w:ilvl="1" w:tplc="04050003" w:tentative="1">
      <w:start w:val="1"/>
      <w:numFmt w:val="bullet"/>
      <w:lvlText w:val="o"/>
      <w:lvlJc w:val="left"/>
      <w:pPr>
        <w:ind w:left="2217" w:hanging="360"/>
      </w:pPr>
      <w:rPr>
        <w:rFonts w:ascii="Courier New" w:hAnsi="Courier New" w:cs="Courier New" w:hint="default"/>
      </w:rPr>
    </w:lvl>
    <w:lvl w:ilvl="2" w:tplc="04050005" w:tentative="1">
      <w:start w:val="1"/>
      <w:numFmt w:val="bullet"/>
      <w:lvlText w:val=""/>
      <w:lvlJc w:val="left"/>
      <w:pPr>
        <w:ind w:left="2937" w:hanging="360"/>
      </w:pPr>
      <w:rPr>
        <w:rFonts w:ascii="Wingdings" w:hAnsi="Wingdings" w:hint="default"/>
      </w:rPr>
    </w:lvl>
    <w:lvl w:ilvl="3" w:tplc="04050001" w:tentative="1">
      <w:start w:val="1"/>
      <w:numFmt w:val="bullet"/>
      <w:lvlText w:val=""/>
      <w:lvlJc w:val="left"/>
      <w:pPr>
        <w:ind w:left="3657" w:hanging="360"/>
      </w:pPr>
      <w:rPr>
        <w:rFonts w:ascii="Symbol" w:hAnsi="Symbol" w:hint="default"/>
      </w:rPr>
    </w:lvl>
    <w:lvl w:ilvl="4" w:tplc="04050003" w:tentative="1">
      <w:start w:val="1"/>
      <w:numFmt w:val="bullet"/>
      <w:lvlText w:val="o"/>
      <w:lvlJc w:val="left"/>
      <w:pPr>
        <w:ind w:left="4377" w:hanging="360"/>
      </w:pPr>
      <w:rPr>
        <w:rFonts w:ascii="Courier New" w:hAnsi="Courier New" w:cs="Courier New" w:hint="default"/>
      </w:rPr>
    </w:lvl>
    <w:lvl w:ilvl="5" w:tplc="04050005" w:tentative="1">
      <w:start w:val="1"/>
      <w:numFmt w:val="bullet"/>
      <w:lvlText w:val=""/>
      <w:lvlJc w:val="left"/>
      <w:pPr>
        <w:ind w:left="5097" w:hanging="360"/>
      </w:pPr>
      <w:rPr>
        <w:rFonts w:ascii="Wingdings" w:hAnsi="Wingdings" w:hint="default"/>
      </w:rPr>
    </w:lvl>
    <w:lvl w:ilvl="6" w:tplc="04050001" w:tentative="1">
      <w:start w:val="1"/>
      <w:numFmt w:val="bullet"/>
      <w:lvlText w:val=""/>
      <w:lvlJc w:val="left"/>
      <w:pPr>
        <w:ind w:left="5817" w:hanging="360"/>
      </w:pPr>
      <w:rPr>
        <w:rFonts w:ascii="Symbol" w:hAnsi="Symbol" w:hint="default"/>
      </w:rPr>
    </w:lvl>
    <w:lvl w:ilvl="7" w:tplc="04050003" w:tentative="1">
      <w:start w:val="1"/>
      <w:numFmt w:val="bullet"/>
      <w:lvlText w:val="o"/>
      <w:lvlJc w:val="left"/>
      <w:pPr>
        <w:ind w:left="6537" w:hanging="360"/>
      </w:pPr>
      <w:rPr>
        <w:rFonts w:ascii="Courier New" w:hAnsi="Courier New" w:cs="Courier New" w:hint="default"/>
      </w:rPr>
    </w:lvl>
    <w:lvl w:ilvl="8" w:tplc="04050005" w:tentative="1">
      <w:start w:val="1"/>
      <w:numFmt w:val="bullet"/>
      <w:lvlText w:val=""/>
      <w:lvlJc w:val="left"/>
      <w:pPr>
        <w:ind w:left="7257" w:hanging="360"/>
      </w:pPr>
      <w:rPr>
        <w:rFonts w:ascii="Wingdings" w:hAnsi="Wingdings" w:hint="default"/>
      </w:rPr>
    </w:lvl>
  </w:abstractNum>
  <w:abstractNum w:abstractNumId="212" w15:restartNumberingAfterBreak="0">
    <w:nsid w:val="266F657C"/>
    <w:multiLevelType w:val="hybridMultilevel"/>
    <w:tmpl w:val="9AE6F342"/>
    <w:lvl w:ilvl="0" w:tplc="D760400A">
      <w:start w:val="1"/>
      <w:numFmt w:val="bullet"/>
      <w:lvlText w:val="•"/>
      <w:lvlJc w:val="left"/>
    </w:lvl>
    <w:lvl w:ilvl="1" w:tplc="34540204">
      <w:numFmt w:val="decimal"/>
      <w:lvlText w:val=""/>
      <w:lvlJc w:val="left"/>
    </w:lvl>
    <w:lvl w:ilvl="2" w:tplc="91C82162">
      <w:numFmt w:val="decimal"/>
      <w:lvlText w:val=""/>
      <w:lvlJc w:val="left"/>
    </w:lvl>
    <w:lvl w:ilvl="3" w:tplc="FB8498C6">
      <w:numFmt w:val="decimal"/>
      <w:lvlText w:val=""/>
      <w:lvlJc w:val="left"/>
    </w:lvl>
    <w:lvl w:ilvl="4" w:tplc="57ACCD84">
      <w:numFmt w:val="decimal"/>
      <w:lvlText w:val=""/>
      <w:lvlJc w:val="left"/>
    </w:lvl>
    <w:lvl w:ilvl="5" w:tplc="DA849FA6">
      <w:numFmt w:val="decimal"/>
      <w:lvlText w:val=""/>
      <w:lvlJc w:val="left"/>
    </w:lvl>
    <w:lvl w:ilvl="6" w:tplc="35EE5E1E">
      <w:numFmt w:val="decimal"/>
      <w:lvlText w:val=""/>
      <w:lvlJc w:val="left"/>
    </w:lvl>
    <w:lvl w:ilvl="7" w:tplc="17764E64">
      <w:numFmt w:val="decimal"/>
      <w:lvlText w:val=""/>
      <w:lvlJc w:val="left"/>
    </w:lvl>
    <w:lvl w:ilvl="8" w:tplc="D9CAC144">
      <w:numFmt w:val="decimal"/>
      <w:lvlText w:val=""/>
      <w:lvlJc w:val="left"/>
    </w:lvl>
  </w:abstractNum>
  <w:abstractNum w:abstractNumId="213" w15:restartNumberingAfterBreak="0">
    <w:nsid w:val="26BAF231"/>
    <w:multiLevelType w:val="hybridMultilevel"/>
    <w:tmpl w:val="504E147C"/>
    <w:lvl w:ilvl="0" w:tplc="52645FF0">
      <w:start w:val="1"/>
      <w:numFmt w:val="lowerLetter"/>
      <w:lvlText w:val="%1)"/>
      <w:lvlJc w:val="left"/>
    </w:lvl>
    <w:lvl w:ilvl="1" w:tplc="0EDA25F6">
      <w:start w:val="1"/>
      <w:numFmt w:val="lowerRoman"/>
      <w:lvlText w:val="%2."/>
      <w:lvlJc w:val="left"/>
    </w:lvl>
    <w:lvl w:ilvl="2" w:tplc="A086DCD4">
      <w:numFmt w:val="decimal"/>
      <w:lvlText w:val=""/>
      <w:lvlJc w:val="left"/>
    </w:lvl>
    <w:lvl w:ilvl="3" w:tplc="33B03E76">
      <w:numFmt w:val="decimal"/>
      <w:lvlText w:val=""/>
      <w:lvlJc w:val="left"/>
    </w:lvl>
    <w:lvl w:ilvl="4" w:tplc="C1BE20BA">
      <w:numFmt w:val="decimal"/>
      <w:lvlText w:val=""/>
      <w:lvlJc w:val="left"/>
    </w:lvl>
    <w:lvl w:ilvl="5" w:tplc="FEE89988">
      <w:numFmt w:val="decimal"/>
      <w:lvlText w:val=""/>
      <w:lvlJc w:val="left"/>
    </w:lvl>
    <w:lvl w:ilvl="6" w:tplc="6638E09E">
      <w:numFmt w:val="decimal"/>
      <w:lvlText w:val=""/>
      <w:lvlJc w:val="left"/>
    </w:lvl>
    <w:lvl w:ilvl="7" w:tplc="C3BE0848">
      <w:numFmt w:val="decimal"/>
      <w:lvlText w:val=""/>
      <w:lvlJc w:val="left"/>
    </w:lvl>
    <w:lvl w:ilvl="8" w:tplc="0C7AEAFE">
      <w:numFmt w:val="decimal"/>
      <w:lvlText w:val=""/>
      <w:lvlJc w:val="left"/>
    </w:lvl>
  </w:abstractNum>
  <w:abstractNum w:abstractNumId="214" w15:restartNumberingAfterBreak="0">
    <w:nsid w:val="26EBF166"/>
    <w:multiLevelType w:val="hybridMultilevel"/>
    <w:tmpl w:val="A90E14C2"/>
    <w:lvl w:ilvl="0" w:tplc="B3B4AFAA">
      <w:start w:val="1"/>
      <w:numFmt w:val="bullet"/>
      <w:lvlText w:val="•"/>
      <w:lvlJc w:val="left"/>
    </w:lvl>
    <w:lvl w:ilvl="1" w:tplc="976EE520">
      <w:numFmt w:val="decimal"/>
      <w:lvlText w:val=""/>
      <w:lvlJc w:val="left"/>
    </w:lvl>
    <w:lvl w:ilvl="2" w:tplc="A47479BE">
      <w:numFmt w:val="decimal"/>
      <w:lvlText w:val=""/>
      <w:lvlJc w:val="left"/>
    </w:lvl>
    <w:lvl w:ilvl="3" w:tplc="F51E4916">
      <w:numFmt w:val="decimal"/>
      <w:lvlText w:val=""/>
      <w:lvlJc w:val="left"/>
    </w:lvl>
    <w:lvl w:ilvl="4" w:tplc="302EE11E">
      <w:numFmt w:val="decimal"/>
      <w:lvlText w:val=""/>
      <w:lvlJc w:val="left"/>
    </w:lvl>
    <w:lvl w:ilvl="5" w:tplc="B7F6CF32">
      <w:numFmt w:val="decimal"/>
      <w:lvlText w:val=""/>
      <w:lvlJc w:val="left"/>
    </w:lvl>
    <w:lvl w:ilvl="6" w:tplc="29EEFE7A">
      <w:numFmt w:val="decimal"/>
      <w:lvlText w:val=""/>
      <w:lvlJc w:val="left"/>
    </w:lvl>
    <w:lvl w:ilvl="7" w:tplc="3A86761C">
      <w:numFmt w:val="decimal"/>
      <w:lvlText w:val=""/>
      <w:lvlJc w:val="left"/>
    </w:lvl>
    <w:lvl w:ilvl="8" w:tplc="96943884">
      <w:numFmt w:val="decimal"/>
      <w:lvlText w:val=""/>
      <w:lvlJc w:val="left"/>
    </w:lvl>
  </w:abstractNum>
  <w:abstractNum w:abstractNumId="215" w15:restartNumberingAfterBreak="0">
    <w:nsid w:val="2707E622"/>
    <w:multiLevelType w:val="hybridMultilevel"/>
    <w:tmpl w:val="99340F06"/>
    <w:lvl w:ilvl="0" w:tplc="CB589976">
      <w:start w:val="1"/>
      <w:numFmt w:val="bullet"/>
      <w:lvlText w:val="-"/>
      <w:lvlJc w:val="left"/>
    </w:lvl>
    <w:lvl w:ilvl="1" w:tplc="C9F2D05E">
      <w:numFmt w:val="decimal"/>
      <w:lvlText w:val=""/>
      <w:lvlJc w:val="left"/>
    </w:lvl>
    <w:lvl w:ilvl="2" w:tplc="2A660950">
      <w:numFmt w:val="decimal"/>
      <w:lvlText w:val=""/>
      <w:lvlJc w:val="left"/>
    </w:lvl>
    <w:lvl w:ilvl="3" w:tplc="BA04D1D6">
      <w:numFmt w:val="decimal"/>
      <w:lvlText w:val=""/>
      <w:lvlJc w:val="left"/>
    </w:lvl>
    <w:lvl w:ilvl="4" w:tplc="A1F605BA">
      <w:numFmt w:val="decimal"/>
      <w:lvlText w:val=""/>
      <w:lvlJc w:val="left"/>
    </w:lvl>
    <w:lvl w:ilvl="5" w:tplc="0CEAC2DA">
      <w:numFmt w:val="decimal"/>
      <w:lvlText w:val=""/>
      <w:lvlJc w:val="left"/>
    </w:lvl>
    <w:lvl w:ilvl="6" w:tplc="C6D20ADA">
      <w:numFmt w:val="decimal"/>
      <w:lvlText w:val=""/>
      <w:lvlJc w:val="left"/>
    </w:lvl>
    <w:lvl w:ilvl="7" w:tplc="AB2E8F90">
      <w:numFmt w:val="decimal"/>
      <w:lvlText w:val=""/>
      <w:lvlJc w:val="left"/>
    </w:lvl>
    <w:lvl w:ilvl="8" w:tplc="2530125E">
      <w:numFmt w:val="decimal"/>
      <w:lvlText w:val=""/>
      <w:lvlJc w:val="left"/>
    </w:lvl>
  </w:abstractNum>
  <w:abstractNum w:abstractNumId="216" w15:restartNumberingAfterBreak="0">
    <w:nsid w:val="272A9914"/>
    <w:multiLevelType w:val="hybridMultilevel"/>
    <w:tmpl w:val="B59229FE"/>
    <w:lvl w:ilvl="0" w:tplc="63B6A0AC">
      <w:start w:val="1"/>
      <w:numFmt w:val="bullet"/>
      <w:lvlText w:val="-"/>
      <w:lvlJc w:val="left"/>
    </w:lvl>
    <w:lvl w:ilvl="1" w:tplc="947E4180">
      <w:numFmt w:val="decimal"/>
      <w:lvlText w:val=""/>
      <w:lvlJc w:val="left"/>
    </w:lvl>
    <w:lvl w:ilvl="2" w:tplc="319806A2">
      <w:numFmt w:val="decimal"/>
      <w:lvlText w:val=""/>
      <w:lvlJc w:val="left"/>
    </w:lvl>
    <w:lvl w:ilvl="3" w:tplc="B1FE0808">
      <w:numFmt w:val="decimal"/>
      <w:lvlText w:val=""/>
      <w:lvlJc w:val="left"/>
    </w:lvl>
    <w:lvl w:ilvl="4" w:tplc="638ED288">
      <w:numFmt w:val="decimal"/>
      <w:lvlText w:val=""/>
      <w:lvlJc w:val="left"/>
    </w:lvl>
    <w:lvl w:ilvl="5" w:tplc="66E621CC">
      <w:numFmt w:val="decimal"/>
      <w:lvlText w:val=""/>
      <w:lvlJc w:val="left"/>
    </w:lvl>
    <w:lvl w:ilvl="6" w:tplc="D2549F2A">
      <w:numFmt w:val="decimal"/>
      <w:lvlText w:val=""/>
      <w:lvlJc w:val="left"/>
    </w:lvl>
    <w:lvl w:ilvl="7" w:tplc="852EBEEE">
      <w:numFmt w:val="decimal"/>
      <w:lvlText w:val=""/>
      <w:lvlJc w:val="left"/>
    </w:lvl>
    <w:lvl w:ilvl="8" w:tplc="3F8C307E">
      <w:numFmt w:val="decimal"/>
      <w:lvlText w:val=""/>
      <w:lvlJc w:val="left"/>
    </w:lvl>
  </w:abstractNum>
  <w:abstractNum w:abstractNumId="217" w15:restartNumberingAfterBreak="0">
    <w:nsid w:val="2757C8D8"/>
    <w:multiLevelType w:val="hybridMultilevel"/>
    <w:tmpl w:val="76DEA9BE"/>
    <w:lvl w:ilvl="0" w:tplc="04050011">
      <w:start w:val="1"/>
      <w:numFmt w:val="decimal"/>
      <w:lvlText w:val="%1)"/>
      <w:lvlJc w:val="left"/>
    </w:lvl>
    <w:lvl w:ilvl="1" w:tplc="B6905334">
      <w:start w:val="1"/>
      <w:numFmt w:val="bullet"/>
      <w:lvlText w:val="-"/>
      <w:lvlJc w:val="left"/>
    </w:lvl>
    <w:lvl w:ilvl="2" w:tplc="78E2189C">
      <w:numFmt w:val="decimal"/>
      <w:lvlText w:val=""/>
      <w:lvlJc w:val="left"/>
    </w:lvl>
    <w:lvl w:ilvl="3" w:tplc="A2AC1512">
      <w:numFmt w:val="decimal"/>
      <w:lvlText w:val=""/>
      <w:lvlJc w:val="left"/>
    </w:lvl>
    <w:lvl w:ilvl="4" w:tplc="A5E848B2">
      <w:numFmt w:val="decimal"/>
      <w:lvlText w:val=""/>
      <w:lvlJc w:val="left"/>
    </w:lvl>
    <w:lvl w:ilvl="5" w:tplc="69B6D610">
      <w:numFmt w:val="decimal"/>
      <w:lvlText w:val=""/>
      <w:lvlJc w:val="left"/>
    </w:lvl>
    <w:lvl w:ilvl="6" w:tplc="CF20AEFC">
      <w:numFmt w:val="decimal"/>
      <w:lvlText w:val=""/>
      <w:lvlJc w:val="left"/>
    </w:lvl>
    <w:lvl w:ilvl="7" w:tplc="ACAEFAF8">
      <w:numFmt w:val="decimal"/>
      <w:lvlText w:val=""/>
      <w:lvlJc w:val="left"/>
    </w:lvl>
    <w:lvl w:ilvl="8" w:tplc="8E62D42A">
      <w:numFmt w:val="decimal"/>
      <w:lvlText w:val=""/>
      <w:lvlJc w:val="left"/>
    </w:lvl>
  </w:abstractNum>
  <w:abstractNum w:abstractNumId="218" w15:restartNumberingAfterBreak="0">
    <w:nsid w:val="2764C907"/>
    <w:multiLevelType w:val="hybridMultilevel"/>
    <w:tmpl w:val="443C44A2"/>
    <w:lvl w:ilvl="0" w:tplc="660098E0">
      <w:start w:val="15"/>
      <w:numFmt w:val="lowerLetter"/>
      <w:lvlText w:val="%1"/>
      <w:lvlJc w:val="left"/>
    </w:lvl>
    <w:lvl w:ilvl="1" w:tplc="51C20146">
      <w:numFmt w:val="decimal"/>
      <w:lvlText w:val=""/>
      <w:lvlJc w:val="left"/>
    </w:lvl>
    <w:lvl w:ilvl="2" w:tplc="2B909660">
      <w:numFmt w:val="decimal"/>
      <w:lvlText w:val=""/>
      <w:lvlJc w:val="left"/>
    </w:lvl>
    <w:lvl w:ilvl="3" w:tplc="6630D72E">
      <w:numFmt w:val="decimal"/>
      <w:lvlText w:val=""/>
      <w:lvlJc w:val="left"/>
    </w:lvl>
    <w:lvl w:ilvl="4" w:tplc="818A2492">
      <w:numFmt w:val="decimal"/>
      <w:lvlText w:val=""/>
      <w:lvlJc w:val="left"/>
    </w:lvl>
    <w:lvl w:ilvl="5" w:tplc="429CBB4E">
      <w:numFmt w:val="decimal"/>
      <w:lvlText w:val=""/>
      <w:lvlJc w:val="left"/>
    </w:lvl>
    <w:lvl w:ilvl="6" w:tplc="19CC2A6E">
      <w:numFmt w:val="decimal"/>
      <w:lvlText w:val=""/>
      <w:lvlJc w:val="left"/>
    </w:lvl>
    <w:lvl w:ilvl="7" w:tplc="0A720A06">
      <w:numFmt w:val="decimal"/>
      <w:lvlText w:val=""/>
      <w:lvlJc w:val="left"/>
    </w:lvl>
    <w:lvl w:ilvl="8" w:tplc="EDD6B800">
      <w:numFmt w:val="decimal"/>
      <w:lvlText w:val=""/>
      <w:lvlJc w:val="left"/>
    </w:lvl>
  </w:abstractNum>
  <w:abstractNum w:abstractNumId="219" w15:restartNumberingAfterBreak="0">
    <w:nsid w:val="276D2B19"/>
    <w:multiLevelType w:val="hybridMultilevel"/>
    <w:tmpl w:val="1CCC482E"/>
    <w:lvl w:ilvl="0" w:tplc="53CABD30">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0" w15:restartNumberingAfterBreak="0">
    <w:nsid w:val="276E7148"/>
    <w:multiLevelType w:val="hybridMultilevel"/>
    <w:tmpl w:val="440C0F3A"/>
    <w:lvl w:ilvl="0" w:tplc="53CABD30">
      <w:start w:val="1"/>
      <w:numFmt w:val="bullet"/>
      <w:lvlText w:val="-"/>
      <w:lvlJc w:val="left"/>
      <w:pPr>
        <w:ind w:left="1440" w:hanging="360"/>
      </w:p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21" w15:restartNumberingAfterBreak="0">
    <w:nsid w:val="27FFB15A"/>
    <w:multiLevelType w:val="hybridMultilevel"/>
    <w:tmpl w:val="AD66B59C"/>
    <w:lvl w:ilvl="0" w:tplc="B0A8AA00">
      <w:start w:val="22"/>
      <w:numFmt w:val="upperLetter"/>
      <w:lvlText w:val="%1"/>
      <w:lvlJc w:val="left"/>
    </w:lvl>
    <w:lvl w:ilvl="1" w:tplc="4594CD50">
      <w:start w:val="1"/>
      <w:numFmt w:val="bullet"/>
      <w:lvlText w:val="•"/>
      <w:lvlJc w:val="left"/>
    </w:lvl>
    <w:lvl w:ilvl="2" w:tplc="2CDC7E64">
      <w:numFmt w:val="decimal"/>
      <w:lvlText w:val=""/>
      <w:lvlJc w:val="left"/>
    </w:lvl>
    <w:lvl w:ilvl="3" w:tplc="3D04526E">
      <w:numFmt w:val="decimal"/>
      <w:lvlText w:val=""/>
      <w:lvlJc w:val="left"/>
    </w:lvl>
    <w:lvl w:ilvl="4" w:tplc="953CA716">
      <w:numFmt w:val="decimal"/>
      <w:lvlText w:val=""/>
      <w:lvlJc w:val="left"/>
    </w:lvl>
    <w:lvl w:ilvl="5" w:tplc="A860ED36">
      <w:numFmt w:val="decimal"/>
      <w:lvlText w:val=""/>
      <w:lvlJc w:val="left"/>
    </w:lvl>
    <w:lvl w:ilvl="6" w:tplc="D5523FD2">
      <w:numFmt w:val="decimal"/>
      <w:lvlText w:val=""/>
      <w:lvlJc w:val="left"/>
    </w:lvl>
    <w:lvl w:ilvl="7" w:tplc="E2DA5836">
      <w:numFmt w:val="decimal"/>
      <w:lvlText w:val=""/>
      <w:lvlJc w:val="left"/>
    </w:lvl>
    <w:lvl w:ilvl="8" w:tplc="A15A7F8A">
      <w:numFmt w:val="decimal"/>
      <w:lvlText w:val=""/>
      <w:lvlJc w:val="left"/>
    </w:lvl>
  </w:abstractNum>
  <w:abstractNum w:abstractNumId="222" w15:restartNumberingAfterBreak="0">
    <w:nsid w:val="2822BCA7"/>
    <w:multiLevelType w:val="hybridMultilevel"/>
    <w:tmpl w:val="CCDC8938"/>
    <w:lvl w:ilvl="0" w:tplc="999C8A00">
      <w:start w:val="1"/>
      <w:numFmt w:val="bullet"/>
      <w:lvlText w:val="−"/>
      <w:lvlJc w:val="left"/>
    </w:lvl>
    <w:lvl w:ilvl="1" w:tplc="84D41F3A">
      <w:numFmt w:val="decimal"/>
      <w:lvlText w:val=""/>
      <w:lvlJc w:val="left"/>
    </w:lvl>
    <w:lvl w:ilvl="2" w:tplc="7D34BBC0">
      <w:numFmt w:val="decimal"/>
      <w:lvlText w:val=""/>
      <w:lvlJc w:val="left"/>
    </w:lvl>
    <w:lvl w:ilvl="3" w:tplc="5F7CAA0E">
      <w:numFmt w:val="decimal"/>
      <w:lvlText w:val=""/>
      <w:lvlJc w:val="left"/>
    </w:lvl>
    <w:lvl w:ilvl="4" w:tplc="870A0228">
      <w:numFmt w:val="decimal"/>
      <w:lvlText w:val=""/>
      <w:lvlJc w:val="left"/>
    </w:lvl>
    <w:lvl w:ilvl="5" w:tplc="1EB8C5AC">
      <w:numFmt w:val="decimal"/>
      <w:lvlText w:val=""/>
      <w:lvlJc w:val="left"/>
    </w:lvl>
    <w:lvl w:ilvl="6" w:tplc="FEC436B2">
      <w:numFmt w:val="decimal"/>
      <w:lvlText w:val=""/>
      <w:lvlJc w:val="left"/>
    </w:lvl>
    <w:lvl w:ilvl="7" w:tplc="CD7CBC7E">
      <w:numFmt w:val="decimal"/>
      <w:lvlText w:val=""/>
      <w:lvlJc w:val="left"/>
    </w:lvl>
    <w:lvl w:ilvl="8" w:tplc="BAAE5278">
      <w:numFmt w:val="decimal"/>
      <w:lvlText w:val=""/>
      <w:lvlJc w:val="left"/>
    </w:lvl>
  </w:abstractNum>
  <w:abstractNum w:abstractNumId="223" w15:restartNumberingAfterBreak="0">
    <w:nsid w:val="283290FD"/>
    <w:multiLevelType w:val="hybridMultilevel"/>
    <w:tmpl w:val="22880C66"/>
    <w:lvl w:ilvl="0" w:tplc="1AF69304">
      <w:start w:val="1"/>
      <w:numFmt w:val="bullet"/>
      <w:lvlText w:val="-"/>
      <w:lvlJc w:val="left"/>
    </w:lvl>
    <w:lvl w:ilvl="1" w:tplc="8B445586">
      <w:start w:val="1"/>
      <w:numFmt w:val="bullet"/>
      <w:lvlText w:val="-"/>
      <w:lvlJc w:val="left"/>
    </w:lvl>
    <w:lvl w:ilvl="2" w:tplc="6F7A0994">
      <w:start w:val="1"/>
      <w:numFmt w:val="bullet"/>
      <w:lvlText w:val="-"/>
      <w:lvlJc w:val="left"/>
    </w:lvl>
    <w:lvl w:ilvl="3" w:tplc="B08C762A">
      <w:numFmt w:val="decimal"/>
      <w:lvlText w:val=""/>
      <w:lvlJc w:val="left"/>
    </w:lvl>
    <w:lvl w:ilvl="4" w:tplc="C2863BDA">
      <w:numFmt w:val="decimal"/>
      <w:lvlText w:val=""/>
      <w:lvlJc w:val="left"/>
    </w:lvl>
    <w:lvl w:ilvl="5" w:tplc="937A253E">
      <w:numFmt w:val="decimal"/>
      <w:lvlText w:val=""/>
      <w:lvlJc w:val="left"/>
    </w:lvl>
    <w:lvl w:ilvl="6" w:tplc="4582E478">
      <w:numFmt w:val="decimal"/>
      <w:lvlText w:val=""/>
      <w:lvlJc w:val="left"/>
    </w:lvl>
    <w:lvl w:ilvl="7" w:tplc="6BF632BC">
      <w:numFmt w:val="decimal"/>
      <w:lvlText w:val=""/>
      <w:lvlJc w:val="left"/>
    </w:lvl>
    <w:lvl w:ilvl="8" w:tplc="E3C0DB34">
      <w:numFmt w:val="decimal"/>
      <w:lvlText w:val=""/>
      <w:lvlJc w:val="left"/>
    </w:lvl>
  </w:abstractNum>
  <w:abstractNum w:abstractNumId="224" w15:restartNumberingAfterBreak="0">
    <w:nsid w:val="28575AA4"/>
    <w:multiLevelType w:val="hybridMultilevel"/>
    <w:tmpl w:val="4C5E3F62"/>
    <w:lvl w:ilvl="0" w:tplc="CBFADD0C">
      <w:start w:val="1"/>
      <w:numFmt w:val="bullet"/>
      <w:lvlText w:val="―"/>
      <w:lvlJc w:val="left"/>
      <w:pPr>
        <w:ind w:left="720" w:hanging="360"/>
      </w:pPr>
      <w:rPr>
        <w:rFonts w:hint="default"/>
      </w:rPr>
    </w:lvl>
    <w:lvl w:ilvl="1" w:tplc="CBFADD0C">
      <w:start w:val="1"/>
      <w:numFmt w:val="bullet"/>
      <w:lvlText w:val="―"/>
      <w:lvlJc w:val="left"/>
      <w:pPr>
        <w:ind w:left="1440" w:hanging="360"/>
      </w:pPr>
      <w:rPr>
        <w:rFonts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25" w15:restartNumberingAfterBreak="0">
    <w:nsid w:val="287670F4"/>
    <w:multiLevelType w:val="hybridMultilevel"/>
    <w:tmpl w:val="1076F458"/>
    <w:lvl w:ilvl="0" w:tplc="04050011">
      <w:start w:val="1"/>
      <w:numFmt w:val="decimal"/>
      <w:lvlText w:val="%1)"/>
      <w:lvlJc w:val="left"/>
    </w:lvl>
    <w:lvl w:ilvl="1" w:tplc="577C8564">
      <w:numFmt w:val="decimal"/>
      <w:lvlText w:val=""/>
      <w:lvlJc w:val="left"/>
    </w:lvl>
    <w:lvl w:ilvl="2" w:tplc="C324BDE2">
      <w:numFmt w:val="decimal"/>
      <w:lvlText w:val=""/>
      <w:lvlJc w:val="left"/>
    </w:lvl>
    <w:lvl w:ilvl="3" w:tplc="FED24A16">
      <w:numFmt w:val="decimal"/>
      <w:lvlText w:val=""/>
      <w:lvlJc w:val="left"/>
    </w:lvl>
    <w:lvl w:ilvl="4" w:tplc="B4ACAC00">
      <w:numFmt w:val="decimal"/>
      <w:lvlText w:val=""/>
      <w:lvlJc w:val="left"/>
    </w:lvl>
    <w:lvl w:ilvl="5" w:tplc="25386104">
      <w:numFmt w:val="decimal"/>
      <w:lvlText w:val=""/>
      <w:lvlJc w:val="left"/>
    </w:lvl>
    <w:lvl w:ilvl="6" w:tplc="2B001FFE">
      <w:numFmt w:val="decimal"/>
      <w:lvlText w:val=""/>
      <w:lvlJc w:val="left"/>
    </w:lvl>
    <w:lvl w:ilvl="7" w:tplc="C0F067C8">
      <w:numFmt w:val="decimal"/>
      <w:lvlText w:val=""/>
      <w:lvlJc w:val="left"/>
    </w:lvl>
    <w:lvl w:ilvl="8" w:tplc="FFAC2ACC">
      <w:numFmt w:val="decimal"/>
      <w:lvlText w:val=""/>
      <w:lvlJc w:val="left"/>
    </w:lvl>
  </w:abstractNum>
  <w:abstractNum w:abstractNumId="226" w15:restartNumberingAfterBreak="0">
    <w:nsid w:val="288FA9D6"/>
    <w:multiLevelType w:val="hybridMultilevel"/>
    <w:tmpl w:val="782CA098"/>
    <w:lvl w:ilvl="0" w:tplc="84F2AB9A">
      <w:start w:val="1"/>
      <w:numFmt w:val="bullet"/>
      <w:lvlText w:val="-"/>
      <w:lvlJc w:val="left"/>
    </w:lvl>
    <w:lvl w:ilvl="1" w:tplc="A29E3426">
      <w:numFmt w:val="decimal"/>
      <w:lvlText w:val=""/>
      <w:lvlJc w:val="left"/>
    </w:lvl>
    <w:lvl w:ilvl="2" w:tplc="15801A0A">
      <w:numFmt w:val="decimal"/>
      <w:lvlText w:val=""/>
      <w:lvlJc w:val="left"/>
    </w:lvl>
    <w:lvl w:ilvl="3" w:tplc="6CF2E434">
      <w:numFmt w:val="decimal"/>
      <w:lvlText w:val=""/>
      <w:lvlJc w:val="left"/>
    </w:lvl>
    <w:lvl w:ilvl="4" w:tplc="3D0A1382">
      <w:numFmt w:val="decimal"/>
      <w:lvlText w:val=""/>
      <w:lvlJc w:val="left"/>
    </w:lvl>
    <w:lvl w:ilvl="5" w:tplc="D18695F8">
      <w:numFmt w:val="decimal"/>
      <w:lvlText w:val=""/>
      <w:lvlJc w:val="left"/>
    </w:lvl>
    <w:lvl w:ilvl="6" w:tplc="D6249A92">
      <w:numFmt w:val="decimal"/>
      <w:lvlText w:val=""/>
      <w:lvlJc w:val="left"/>
    </w:lvl>
    <w:lvl w:ilvl="7" w:tplc="443077E6">
      <w:numFmt w:val="decimal"/>
      <w:lvlText w:val=""/>
      <w:lvlJc w:val="left"/>
    </w:lvl>
    <w:lvl w:ilvl="8" w:tplc="58DA25CE">
      <w:numFmt w:val="decimal"/>
      <w:lvlText w:val=""/>
      <w:lvlJc w:val="left"/>
    </w:lvl>
  </w:abstractNum>
  <w:abstractNum w:abstractNumId="227" w15:restartNumberingAfterBreak="0">
    <w:nsid w:val="28B1BBF2"/>
    <w:multiLevelType w:val="hybridMultilevel"/>
    <w:tmpl w:val="4950046C"/>
    <w:lvl w:ilvl="0" w:tplc="E2800246">
      <w:start w:val="3"/>
      <w:numFmt w:val="decimal"/>
      <w:lvlText w:val="%1."/>
      <w:lvlJc w:val="left"/>
    </w:lvl>
    <w:lvl w:ilvl="1" w:tplc="8EC4A0AC">
      <w:numFmt w:val="decimal"/>
      <w:lvlText w:val=""/>
      <w:lvlJc w:val="left"/>
    </w:lvl>
    <w:lvl w:ilvl="2" w:tplc="834451D2">
      <w:numFmt w:val="decimal"/>
      <w:lvlText w:val=""/>
      <w:lvlJc w:val="left"/>
    </w:lvl>
    <w:lvl w:ilvl="3" w:tplc="3594FEA0">
      <w:numFmt w:val="decimal"/>
      <w:lvlText w:val=""/>
      <w:lvlJc w:val="left"/>
    </w:lvl>
    <w:lvl w:ilvl="4" w:tplc="D0EEB2B4">
      <w:numFmt w:val="decimal"/>
      <w:lvlText w:val=""/>
      <w:lvlJc w:val="left"/>
    </w:lvl>
    <w:lvl w:ilvl="5" w:tplc="351E0B20">
      <w:numFmt w:val="decimal"/>
      <w:lvlText w:val=""/>
      <w:lvlJc w:val="left"/>
    </w:lvl>
    <w:lvl w:ilvl="6" w:tplc="16F06680">
      <w:numFmt w:val="decimal"/>
      <w:lvlText w:val=""/>
      <w:lvlJc w:val="left"/>
    </w:lvl>
    <w:lvl w:ilvl="7" w:tplc="A48E4522">
      <w:numFmt w:val="decimal"/>
      <w:lvlText w:val=""/>
      <w:lvlJc w:val="left"/>
    </w:lvl>
    <w:lvl w:ilvl="8" w:tplc="8AE878E8">
      <w:numFmt w:val="decimal"/>
      <w:lvlText w:val=""/>
      <w:lvlJc w:val="left"/>
    </w:lvl>
  </w:abstractNum>
  <w:abstractNum w:abstractNumId="228" w15:restartNumberingAfterBreak="0">
    <w:nsid w:val="28F616B6"/>
    <w:multiLevelType w:val="hybridMultilevel"/>
    <w:tmpl w:val="FD32EF3A"/>
    <w:lvl w:ilvl="0" w:tplc="53CABD30">
      <w:start w:val="1"/>
      <w:numFmt w:val="bullet"/>
      <w:lvlText w:val="-"/>
      <w:lvlJc w:val="left"/>
    </w:lvl>
    <w:lvl w:ilvl="1" w:tplc="7D3A94FA">
      <w:numFmt w:val="decimal"/>
      <w:lvlText w:val=""/>
      <w:lvlJc w:val="left"/>
    </w:lvl>
    <w:lvl w:ilvl="2" w:tplc="BD1EC256">
      <w:numFmt w:val="decimal"/>
      <w:lvlText w:val=""/>
      <w:lvlJc w:val="left"/>
    </w:lvl>
    <w:lvl w:ilvl="3" w:tplc="0DF61142">
      <w:numFmt w:val="decimal"/>
      <w:lvlText w:val=""/>
      <w:lvlJc w:val="left"/>
    </w:lvl>
    <w:lvl w:ilvl="4" w:tplc="55F4D8CA">
      <w:numFmt w:val="decimal"/>
      <w:lvlText w:val=""/>
      <w:lvlJc w:val="left"/>
    </w:lvl>
    <w:lvl w:ilvl="5" w:tplc="6D6ADD70">
      <w:numFmt w:val="decimal"/>
      <w:lvlText w:val=""/>
      <w:lvlJc w:val="left"/>
    </w:lvl>
    <w:lvl w:ilvl="6" w:tplc="9F84FEDA">
      <w:numFmt w:val="decimal"/>
      <w:lvlText w:val=""/>
      <w:lvlJc w:val="left"/>
    </w:lvl>
    <w:lvl w:ilvl="7" w:tplc="A5A29FA6">
      <w:numFmt w:val="decimal"/>
      <w:lvlText w:val=""/>
      <w:lvlJc w:val="left"/>
    </w:lvl>
    <w:lvl w:ilvl="8" w:tplc="5054203C">
      <w:numFmt w:val="decimal"/>
      <w:lvlText w:val=""/>
      <w:lvlJc w:val="left"/>
    </w:lvl>
  </w:abstractNum>
  <w:abstractNum w:abstractNumId="229" w15:restartNumberingAfterBreak="0">
    <w:nsid w:val="29180EE2"/>
    <w:multiLevelType w:val="hybridMultilevel"/>
    <w:tmpl w:val="3BF47FF0"/>
    <w:lvl w:ilvl="0" w:tplc="A4B4F824">
      <w:start w:val="1"/>
      <w:numFmt w:val="bullet"/>
      <w:lvlText w:val="·"/>
      <w:lvlJc w:val="left"/>
    </w:lvl>
    <w:lvl w:ilvl="1" w:tplc="206E5F50">
      <w:numFmt w:val="decimal"/>
      <w:lvlText w:val=""/>
      <w:lvlJc w:val="left"/>
    </w:lvl>
    <w:lvl w:ilvl="2" w:tplc="0C3A60FE">
      <w:numFmt w:val="decimal"/>
      <w:lvlText w:val=""/>
      <w:lvlJc w:val="left"/>
    </w:lvl>
    <w:lvl w:ilvl="3" w:tplc="734A3AFE">
      <w:numFmt w:val="decimal"/>
      <w:lvlText w:val=""/>
      <w:lvlJc w:val="left"/>
    </w:lvl>
    <w:lvl w:ilvl="4" w:tplc="8D08F14C">
      <w:numFmt w:val="decimal"/>
      <w:lvlText w:val=""/>
      <w:lvlJc w:val="left"/>
    </w:lvl>
    <w:lvl w:ilvl="5" w:tplc="ACA2307A">
      <w:numFmt w:val="decimal"/>
      <w:lvlText w:val=""/>
      <w:lvlJc w:val="left"/>
    </w:lvl>
    <w:lvl w:ilvl="6" w:tplc="FFD66376">
      <w:numFmt w:val="decimal"/>
      <w:lvlText w:val=""/>
      <w:lvlJc w:val="left"/>
    </w:lvl>
    <w:lvl w:ilvl="7" w:tplc="3E3CE116">
      <w:numFmt w:val="decimal"/>
      <w:lvlText w:val=""/>
      <w:lvlJc w:val="left"/>
    </w:lvl>
    <w:lvl w:ilvl="8" w:tplc="AB6CF436">
      <w:numFmt w:val="decimal"/>
      <w:lvlText w:val=""/>
      <w:lvlJc w:val="left"/>
    </w:lvl>
  </w:abstractNum>
  <w:abstractNum w:abstractNumId="230" w15:restartNumberingAfterBreak="0">
    <w:nsid w:val="29321529"/>
    <w:multiLevelType w:val="hybridMultilevel"/>
    <w:tmpl w:val="06E24724"/>
    <w:lvl w:ilvl="0" w:tplc="CBFADD0C">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1" w15:restartNumberingAfterBreak="0">
    <w:nsid w:val="294614F7"/>
    <w:multiLevelType w:val="hybridMultilevel"/>
    <w:tmpl w:val="4F6402F0"/>
    <w:lvl w:ilvl="0" w:tplc="192AC8B8">
      <w:start w:val="1"/>
      <w:numFmt w:val="lowerLetter"/>
      <w:lvlText w:val="%1)"/>
      <w:lvlJc w:val="left"/>
    </w:lvl>
    <w:lvl w:ilvl="1" w:tplc="EBC0B17C">
      <w:start w:val="1"/>
      <w:numFmt w:val="bullet"/>
      <w:lvlText w:val="§"/>
      <w:lvlJc w:val="left"/>
    </w:lvl>
    <w:lvl w:ilvl="2" w:tplc="9918D8D0">
      <w:numFmt w:val="decimal"/>
      <w:lvlText w:val=""/>
      <w:lvlJc w:val="left"/>
    </w:lvl>
    <w:lvl w:ilvl="3" w:tplc="20E2CF80">
      <w:numFmt w:val="decimal"/>
      <w:lvlText w:val=""/>
      <w:lvlJc w:val="left"/>
    </w:lvl>
    <w:lvl w:ilvl="4" w:tplc="EA1E4724">
      <w:numFmt w:val="decimal"/>
      <w:lvlText w:val=""/>
      <w:lvlJc w:val="left"/>
    </w:lvl>
    <w:lvl w:ilvl="5" w:tplc="A23A194C">
      <w:numFmt w:val="decimal"/>
      <w:lvlText w:val=""/>
      <w:lvlJc w:val="left"/>
    </w:lvl>
    <w:lvl w:ilvl="6" w:tplc="DF12326E">
      <w:numFmt w:val="decimal"/>
      <w:lvlText w:val=""/>
      <w:lvlJc w:val="left"/>
    </w:lvl>
    <w:lvl w:ilvl="7" w:tplc="1DFEE368">
      <w:numFmt w:val="decimal"/>
      <w:lvlText w:val=""/>
      <w:lvlJc w:val="left"/>
    </w:lvl>
    <w:lvl w:ilvl="8" w:tplc="8EA825BA">
      <w:numFmt w:val="decimal"/>
      <w:lvlText w:val=""/>
      <w:lvlJc w:val="left"/>
    </w:lvl>
  </w:abstractNum>
  <w:abstractNum w:abstractNumId="232" w15:restartNumberingAfterBreak="0">
    <w:nsid w:val="294E0FD0"/>
    <w:multiLevelType w:val="hybridMultilevel"/>
    <w:tmpl w:val="B7E6AB16"/>
    <w:lvl w:ilvl="0" w:tplc="DD8867A2">
      <w:start w:val="1"/>
      <w:numFmt w:val="bullet"/>
      <w:lvlText w:val="-"/>
      <w:lvlJc w:val="left"/>
    </w:lvl>
    <w:lvl w:ilvl="1" w:tplc="2CDEC34C">
      <w:numFmt w:val="decimal"/>
      <w:lvlText w:val=""/>
      <w:lvlJc w:val="left"/>
    </w:lvl>
    <w:lvl w:ilvl="2" w:tplc="C7DE23BC">
      <w:numFmt w:val="decimal"/>
      <w:lvlText w:val=""/>
      <w:lvlJc w:val="left"/>
    </w:lvl>
    <w:lvl w:ilvl="3" w:tplc="30048CAE">
      <w:numFmt w:val="decimal"/>
      <w:lvlText w:val=""/>
      <w:lvlJc w:val="left"/>
    </w:lvl>
    <w:lvl w:ilvl="4" w:tplc="682A6C82">
      <w:numFmt w:val="decimal"/>
      <w:lvlText w:val=""/>
      <w:lvlJc w:val="left"/>
    </w:lvl>
    <w:lvl w:ilvl="5" w:tplc="3886DFA2">
      <w:numFmt w:val="decimal"/>
      <w:lvlText w:val=""/>
      <w:lvlJc w:val="left"/>
    </w:lvl>
    <w:lvl w:ilvl="6" w:tplc="0932290E">
      <w:numFmt w:val="decimal"/>
      <w:lvlText w:val=""/>
      <w:lvlJc w:val="left"/>
    </w:lvl>
    <w:lvl w:ilvl="7" w:tplc="7F3ECAD4">
      <w:numFmt w:val="decimal"/>
      <w:lvlText w:val=""/>
      <w:lvlJc w:val="left"/>
    </w:lvl>
    <w:lvl w:ilvl="8" w:tplc="BA9EF90E">
      <w:numFmt w:val="decimal"/>
      <w:lvlText w:val=""/>
      <w:lvlJc w:val="left"/>
    </w:lvl>
  </w:abstractNum>
  <w:abstractNum w:abstractNumId="233" w15:restartNumberingAfterBreak="0">
    <w:nsid w:val="29A05A67"/>
    <w:multiLevelType w:val="hybridMultilevel"/>
    <w:tmpl w:val="90E41AE6"/>
    <w:lvl w:ilvl="0" w:tplc="589239E0">
      <w:start w:val="1"/>
      <w:numFmt w:val="decimal"/>
      <w:lvlText w:val="%1."/>
      <w:lvlJc w:val="left"/>
    </w:lvl>
    <w:lvl w:ilvl="1" w:tplc="A4CCA036">
      <w:start w:val="1"/>
      <w:numFmt w:val="bullet"/>
      <w:lvlText w:val="-"/>
      <w:lvlJc w:val="left"/>
    </w:lvl>
    <w:lvl w:ilvl="2" w:tplc="A50C6128">
      <w:numFmt w:val="decimal"/>
      <w:lvlText w:val=""/>
      <w:lvlJc w:val="left"/>
    </w:lvl>
    <w:lvl w:ilvl="3" w:tplc="B664AF9E">
      <w:numFmt w:val="decimal"/>
      <w:lvlText w:val=""/>
      <w:lvlJc w:val="left"/>
    </w:lvl>
    <w:lvl w:ilvl="4" w:tplc="C2327B98">
      <w:numFmt w:val="decimal"/>
      <w:lvlText w:val=""/>
      <w:lvlJc w:val="left"/>
    </w:lvl>
    <w:lvl w:ilvl="5" w:tplc="1BEA4248">
      <w:numFmt w:val="decimal"/>
      <w:lvlText w:val=""/>
      <w:lvlJc w:val="left"/>
    </w:lvl>
    <w:lvl w:ilvl="6" w:tplc="47202B2C">
      <w:numFmt w:val="decimal"/>
      <w:lvlText w:val=""/>
      <w:lvlJc w:val="left"/>
    </w:lvl>
    <w:lvl w:ilvl="7" w:tplc="A0820CAE">
      <w:numFmt w:val="decimal"/>
      <w:lvlText w:val=""/>
      <w:lvlJc w:val="left"/>
    </w:lvl>
    <w:lvl w:ilvl="8" w:tplc="E0E09B6E">
      <w:numFmt w:val="decimal"/>
      <w:lvlText w:val=""/>
      <w:lvlJc w:val="left"/>
    </w:lvl>
  </w:abstractNum>
  <w:abstractNum w:abstractNumId="234" w15:restartNumberingAfterBreak="0">
    <w:nsid w:val="29AA94C7"/>
    <w:multiLevelType w:val="hybridMultilevel"/>
    <w:tmpl w:val="70141652"/>
    <w:lvl w:ilvl="0" w:tplc="C9AC5736">
      <w:start w:val="1"/>
      <w:numFmt w:val="bullet"/>
      <w:lvlText w:val="•"/>
      <w:lvlJc w:val="left"/>
    </w:lvl>
    <w:lvl w:ilvl="1" w:tplc="4B126A20">
      <w:start w:val="1"/>
      <w:numFmt w:val="bullet"/>
      <w:lvlText w:val="-"/>
      <w:lvlJc w:val="left"/>
    </w:lvl>
    <w:lvl w:ilvl="2" w:tplc="D534E33C">
      <w:numFmt w:val="decimal"/>
      <w:lvlText w:val=""/>
      <w:lvlJc w:val="left"/>
    </w:lvl>
    <w:lvl w:ilvl="3" w:tplc="21D42BAA">
      <w:numFmt w:val="decimal"/>
      <w:lvlText w:val=""/>
      <w:lvlJc w:val="left"/>
    </w:lvl>
    <w:lvl w:ilvl="4" w:tplc="7EF28622">
      <w:numFmt w:val="decimal"/>
      <w:lvlText w:val=""/>
      <w:lvlJc w:val="left"/>
    </w:lvl>
    <w:lvl w:ilvl="5" w:tplc="2F08C25C">
      <w:numFmt w:val="decimal"/>
      <w:lvlText w:val=""/>
      <w:lvlJc w:val="left"/>
    </w:lvl>
    <w:lvl w:ilvl="6" w:tplc="B7C6D9A8">
      <w:numFmt w:val="decimal"/>
      <w:lvlText w:val=""/>
      <w:lvlJc w:val="left"/>
    </w:lvl>
    <w:lvl w:ilvl="7" w:tplc="BAD2A79E">
      <w:numFmt w:val="decimal"/>
      <w:lvlText w:val=""/>
      <w:lvlJc w:val="left"/>
    </w:lvl>
    <w:lvl w:ilvl="8" w:tplc="EBC8FC16">
      <w:numFmt w:val="decimal"/>
      <w:lvlText w:val=""/>
      <w:lvlJc w:val="left"/>
    </w:lvl>
  </w:abstractNum>
  <w:abstractNum w:abstractNumId="235" w15:restartNumberingAfterBreak="0">
    <w:nsid w:val="29BD8A97"/>
    <w:multiLevelType w:val="hybridMultilevel"/>
    <w:tmpl w:val="D0865E68"/>
    <w:lvl w:ilvl="0" w:tplc="186A048A">
      <w:start w:val="1"/>
      <w:numFmt w:val="bullet"/>
      <w:lvlText w:val="·"/>
      <w:lvlJc w:val="left"/>
    </w:lvl>
    <w:lvl w:ilvl="1" w:tplc="A1EED1B6">
      <w:numFmt w:val="decimal"/>
      <w:lvlText w:val=""/>
      <w:lvlJc w:val="left"/>
    </w:lvl>
    <w:lvl w:ilvl="2" w:tplc="E0FA8A72">
      <w:numFmt w:val="decimal"/>
      <w:lvlText w:val=""/>
      <w:lvlJc w:val="left"/>
    </w:lvl>
    <w:lvl w:ilvl="3" w:tplc="CDEEDFFA">
      <w:numFmt w:val="decimal"/>
      <w:lvlText w:val=""/>
      <w:lvlJc w:val="left"/>
    </w:lvl>
    <w:lvl w:ilvl="4" w:tplc="02D87E5E">
      <w:numFmt w:val="decimal"/>
      <w:lvlText w:val=""/>
      <w:lvlJc w:val="left"/>
    </w:lvl>
    <w:lvl w:ilvl="5" w:tplc="3E40B1FC">
      <w:numFmt w:val="decimal"/>
      <w:lvlText w:val=""/>
      <w:lvlJc w:val="left"/>
    </w:lvl>
    <w:lvl w:ilvl="6" w:tplc="C13E23C8">
      <w:numFmt w:val="decimal"/>
      <w:lvlText w:val=""/>
      <w:lvlJc w:val="left"/>
    </w:lvl>
    <w:lvl w:ilvl="7" w:tplc="FAF42FD4">
      <w:numFmt w:val="decimal"/>
      <w:lvlText w:val=""/>
      <w:lvlJc w:val="left"/>
    </w:lvl>
    <w:lvl w:ilvl="8" w:tplc="281C0D68">
      <w:numFmt w:val="decimal"/>
      <w:lvlText w:val=""/>
      <w:lvlJc w:val="left"/>
    </w:lvl>
  </w:abstractNum>
  <w:abstractNum w:abstractNumId="236" w15:restartNumberingAfterBreak="0">
    <w:nsid w:val="29D0A5DF"/>
    <w:multiLevelType w:val="hybridMultilevel"/>
    <w:tmpl w:val="E2486AE4"/>
    <w:lvl w:ilvl="0" w:tplc="45D0AD68">
      <w:start w:val="1"/>
      <w:numFmt w:val="bullet"/>
      <w:lvlText w:val="·"/>
      <w:lvlJc w:val="left"/>
    </w:lvl>
    <w:lvl w:ilvl="1" w:tplc="E7845A98">
      <w:numFmt w:val="decimal"/>
      <w:lvlText w:val=""/>
      <w:lvlJc w:val="left"/>
    </w:lvl>
    <w:lvl w:ilvl="2" w:tplc="12A46F92">
      <w:numFmt w:val="decimal"/>
      <w:lvlText w:val=""/>
      <w:lvlJc w:val="left"/>
    </w:lvl>
    <w:lvl w:ilvl="3" w:tplc="D612F3DC">
      <w:numFmt w:val="decimal"/>
      <w:lvlText w:val=""/>
      <w:lvlJc w:val="left"/>
    </w:lvl>
    <w:lvl w:ilvl="4" w:tplc="C1C42732">
      <w:numFmt w:val="decimal"/>
      <w:lvlText w:val=""/>
      <w:lvlJc w:val="left"/>
    </w:lvl>
    <w:lvl w:ilvl="5" w:tplc="2E68A784">
      <w:numFmt w:val="decimal"/>
      <w:lvlText w:val=""/>
      <w:lvlJc w:val="left"/>
    </w:lvl>
    <w:lvl w:ilvl="6" w:tplc="FA44A578">
      <w:numFmt w:val="decimal"/>
      <w:lvlText w:val=""/>
      <w:lvlJc w:val="left"/>
    </w:lvl>
    <w:lvl w:ilvl="7" w:tplc="61C2C4EA">
      <w:numFmt w:val="decimal"/>
      <w:lvlText w:val=""/>
      <w:lvlJc w:val="left"/>
    </w:lvl>
    <w:lvl w:ilvl="8" w:tplc="C4487CF6">
      <w:numFmt w:val="decimal"/>
      <w:lvlText w:val=""/>
      <w:lvlJc w:val="left"/>
    </w:lvl>
  </w:abstractNum>
  <w:abstractNum w:abstractNumId="237" w15:restartNumberingAfterBreak="0">
    <w:nsid w:val="29D6CF99"/>
    <w:multiLevelType w:val="hybridMultilevel"/>
    <w:tmpl w:val="6F8A9A20"/>
    <w:lvl w:ilvl="0" w:tplc="53EAAB80">
      <w:start w:val="1"/>
      <w:numFmt w:val="decimal"/>
      <w:lvlText w:val="%1."/>
      <w:lvlJc w:val="left"/>
    </w:lvl>
    <w:lvl w:ilvl="1" w:tplc="EF308CBA">
      <w:numFmt w:val="decimal"/>
      <w:lvlText w:val=""/>
      <w:lvlJc w:val="left"/>
    </w:lvl>
    <w:lvl w:ilvl="2" w:tplc="617A11E6">
      <w:numFmt w:val="decimal"/>
      <w:lvlText w:val=""/>
      <w:lvlJc w:val="left"/>
    </w:lvl>
    <w:lvl w:ilvl="3" w:tplc="236C4734">
      <w:numFmt w:val="decimal"/>
      <w:lvlText w:val=""/>
      <w:lvlJc w:val="left"/>
    </w:lvl>
    <w:lvl w:ilvl="4" w:tplc="F0AA5CA4">
      <w:numFmt w:val="decimal"/>
      <w:lvlText w:val=""/>
      <w:lvlJc w:val="left"/>
    </w:lvl>
    <w:lvl w:ilvl="5" w:tplc="5ACA91B4">
      <w:numFmt w:val="decimal"/>
      <w:lvlText w:val=""/>
      <w:lvlJc w:val="left"/>
    </w:lvl>
    <w:lvl w:ilvl="6" w:tplc="200CD456">
      <w:numFmt w:val="decimal"/>
      <w:lvlText w:val=""/>
      <w:lvlJc w:val="left"/>
    </w:lvl>
    <w:lvl w:ilvl="7" w:tplc="94F64DD4">
      <w:numFmt w:val="decimal"/>
      <w:lvlText w:val=""/>
      <w:lvlJc w:val="left"/>
    </w:lvl>
    <w:lvl w:ilvl="8" w:tplc="2C9490DC">
      <w:numFmt w:val="decimal"/>
      <w:lvlText w:val=""/>
      <w:lvlJc w:val="left"/>
    </w:lvl>
  </w:abstractNum>
  <w:abstractNum w:abstractNumId="238" w15:restartNumberingAfterBreak="0">
    <w:nsid w:val="29F97796"/>
    <w:multiLevelType w:val="hybridMultilevel"/>
    <w:tmpl w:val="BDE44760"/>
    <w:lvl w:ilvl="0" w:tplc="463A9B42">
      <w:start w:val="1"/>
      <w:numFmt w:val="decimal"/>
      <w:lvlText w:val="%1)"/>
      <w:lvlJc w:val="left"/>
      <w:pPr>
        <w:ind w:left="720" w:hanging="360"/>
      </w:pPr>
      <w:rPr>
        <w:rFonts w:eastAsia="Times New Roman" w:hint="default"/>
        <w:b/>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9" w15:restartNumberingAfterBreak="0">
    <w:nsid w:val="2A27DE11"/>
    <w:multiLevelType w:val="hybridMultilevel"/>
    <w:tmpl w:val="5E3C7E62"/>
    <w:lvl w:ilvl="0" w:tplc="042EBCCA">
      <w:start w:val="1"/>
      <w:numFmt w:val="lowerLetter"/>
      <w:lvlText w:val="%1)"/>
      <w:lvlJc w:val="left"/>
    </w:lvl>
    <w:lvl w:ilvl="1" w:tplc="2222B90A">
      <w:numFmt w:val="decimal"/>
      <w:lvlText w:val=""/>
      <w:lvlJc w:val="left"/>
    </w:lvl>
    <w:lvl w:ilvl="2" w:tplc="2C6695D2">
      <w:numFmt w:val="decimal"/>
      <w:lvlText w:val=""/>
      <w:lvlJc w:val="left"/>
    </w:lvl>
    <w:lvl w:ilvl="3" w:tplc="27684844">
      <w:numFmt w:val="decimal"/>
      <w:lvlText w:val=""/>
      <w:lvlJc w:val="left"/>
    </w:lvl>
    <w:lvl w:ilvl="4" w:tplc="BC5C902A">
      <w:numFmt w:val="decimal"/>
      <w:lvlText w:val=""/>
      <w:lvlJc w:val="left"/>
    </w:lvl>
    <w:lvl w:ilvl="5" w:tplc="3DEA891E">
      <w:numFmt w:val="decimal"/>
      <w:lvlText w:val=""/>
      <w:lvlJc w:val="left"/>
    </w:lvl>
    <w:lvl w:ilvl="6" w:tplc="B142B0A0">
      <w:numFmt w:val="decimal"/>
      <w:lvlText w:val=""/>
      <w:lvlJc w:val="left"/>
    </w:lvl>
    <w:lvl w:ilvl="7" w:tplc="760666AA">
      <w:numFmt w:val="decimal"/>
      <w:lvlText w:val=""/>
      <w:lvlJc w:val="left"/>
    </w:lvl>
    <w:lvl w:ilvl="8" w:tplc="178CCE1A">
      <w:numFmt w:val="decimal"/>
      <w:lvlText w:val=""/>
      <w:lvlJc w:val="left"/>
    </w:lvl>
  </w:abstractNum>
  <w:abstractNum w:abstractNumId="240" w15:restartNumberingAfterBreak="0">
    <w:nsid w:val="2A961DE3"/>
    <w:multiLevelType w:val="hybridMultilevel"/>
    <w:tmpl w:val="F4FC2166"/>
    <w:lvl w:ilvl="0" w:tplc="933E4084">
      <w:start w:val="1"/>
      <w:numFmt w:val="bullet"/>
      <w:lvlText w:val="•"/>
      <w:lvlJc w:val="left"/>
    </w:lvl>
    <w:lvl w:ilvl="1" w:tplc="8E606CD4">
      <w:numFmt w:val="decimal"/>
      <w:lvlText w:val=""/>
      <w:lvlJc w:val="left"/>
    </w:lvl>
    <w:lvl w:ilvl="2" w:tplc="71B226A0">
      <w:numFmt w:val="decimal"/>
      <w:lvlText w:val=""/>
      <w:lvlJc w:val="left"/>
    </w:lvl>
    <w:lvl w:ilvl="3" w:tplc="53D451EA">
      <w:numFmt w:val="decimal"/>
      <w:lvlText w:val=""/>
      <w:lvlJc w:val="left"/>
    </w:lvl>
    <w:lvl w:ilvl="4" w:tplc="F202C958">
      <w:numFmt w:val="decimal"/>
      <w:lvlText w:val=""/>
      <w:lvlJc w:val="left"/>
    </w:lvl>
    <w:lvl w:ilvl="5" w:tplc="C8B6A264">
      <w:numFmt w:val="decimal"/>
      <w:lvlText w:val=""/>
      <w:lvlJc w:val="left"/>
    </w:lvl>
    <w:lvl w:ilvl="6" w:tplc="7F160B72">
      <w:numFmt w:val="decimal"/>
      <w:lvlText w:val=""/>
      <w:lvlJc w:val="left"/>
    </w:lvl>
    <w:lvl w:ilvl="7" w:tplc="8BF6CC12">
      <w:numFmt w:val="decimal"/>
      <w:lvlText w:val=""/>
      <w:lvlJc w:val="left"/>
    </w:lvl>
    <w:lvl w:ilvl="8" w:tplc="838CF77C">
      <w:numFmt w:val="decimal"/>
      <w:lvlText w:val=""/>
      <w:lvlJc w:val="left"/>
    </w:lvl>
  </w:abstractNum>
  <w:abstractNum w:abstractNumId="241" w15:restartNumberingAfterBreak="0">
    <w:nsid w:val="2B620264"/>
    <w:multiLevelType w:val="hybridMultilevel"/>
    <w:tmpl w:val="C4322412"/>
    <w:lvl w:ilvl="0" w:tplc="4296FE34">
      <w:start w:val="1"/>
      <w:numFmt w:val="decimal"/>
      <w:lvlText w:val="%1)"/>
      <w:lvlJc w:val="left"/>
      <w:rPr>
        <w:b/>
        <w:bCs/>
      </w:rPr>
    </w:lvl>
    <w:lvl w:ilvl="1" w:tplc="7F08EB0C">
      <w:numFmt w:val="decimal"/>
      <w:lvlText w:val=""/>
      <w:lvlJc w:val="left"/>
    </w:lvl>
    <w:lvl w:ilvl="2" w:tplc="E5C69B74">
      <w:numFmt w:val="decimal"/>
      <w:lvlText w:val=""/>
      <w:lvlJc w:val="left"/>
    </w:lvl>
    <w:lvl w:ilvl="3" w:tplc="3AAC5418">
      <w:numFmt w:val="decimal"/>
      <w:lvlText w:val=""/>
      <w:lvlJc w:val="left"/>
    </w:lvl>
    <w:lvl w:ilvl="4" w:tplc="AAAC1188">
      <w:numFmt w:val="decimal"/>
      <w:lvlText w:val=""/>
      <w:lvlJc w:val="left"/>
    </w:lvl>
    <w:lvl w:ilvl="5" w:tplc="F8A22878">
      <w:numFmt w:val="decimal"/>
      <w:lvlText w:val=""/>
      <w:lvlJc w:val="left"/>
    </w:lvl>
    <w:lvl w:ilvl="6" w:tplc="02DADC70">
      <w:numFmt w:val="decimal"/>
      <w:lvlText w:val=""/>
      <w:lvlJc w:val="left"/>
    </w:lvl>
    <w:lvl w:ilvl="7" w:tplc="31EEC3B2">
      <w:numFmt w:val="decimal"/>
      <w:lvlText w:val=""/>
      <w:lvlJc w:val="left"/>
    </w:lvl>
    <w:lvl w:ilvl="8" w:tplc="064006AC">
      <w:numFmt w:val="decimal"/>
      <w:lvlText w:val=""/>
      <w:lvlJc w:val="left"/>
    </w:lvl>
  </w:abstractNum>
  <w:abstractNum w:abstractNumId="242" w15:restartNumberingAfterBreak="0">
    <w:nsid w:val="2B8FA025"/>
    <w:multiLevelType w:val="hybridMultilevel"/>
    <w:tmpl w:val="D6A04B48"/>
    <w:lvl w:ilvl="0" w:tplc="957073BC">
      <w:start w:val="1"/>
      <w:numFmt w:val="bullet"/>
      <w:lvlText w:val="•"/>
      <w:lvlJc w:val="left"/>
    </w:lvl>
    <w:lvl w:ilvl="1" w:tplc="514C41D4">
      <w:numFmt w:val="decimal"/>
      <w:lvlText w:val=""/>
      <w:lvlJc w:val="left"/>
    </w:lvl>
    <w:lvl w:ilvl="2" w:tplc="C80C219A">
      <w:numFmt w:val="decimal"/>
      <w:lvlText w:val=""/>
      <w:lvlJc w:val="left"/>
    </w:lvl>
    <w:lvl w:ilvl="3" w:tplc="7CDA54C6">
      <w:numFmt w:val="decimal"/>
      <w:lvlText w:val=""/>
      <w:lvlJc w:val="left"/>
    </w:lvl>
    <w:lvl w:ilvl="4" w:tplc="A7A4E436">
      <w:numFmt w:val="decimal"/>
      <w:lvlText w:val=""/>
      <w:lvlJc w:val="left"/>
    </w:lvl>
    <w:lvl w:ilvl="5" w:tplc="9096351E">
      <w:numFmt w:val="decimal"/>
      <w:lvlText w:val=""/>
      <w:lvlJc w:val="left"/>
    </w:lvl>
    <w:lvl w:ilvl="6" w:tplc="35D47A4A">
      <w:numFmt w:val="decimal"/>
      <w:lvlText w:val=""/>
      <w:lvlJc w:val="left"/>
    </w:lvl>
    <w:lvl w:ilvl="7" w:tplc="E86E7F88">
      <w:numFmt w:val="decimal"/>
      <w:lvlText w:val=""/>
      <w:lvlJc w:val="left"/>
    </w:lvl>
    <w:lvl w:ilvl="8" w:tplc="262CB21C">
      <w:numFmt w:val="decimal"/>
      <w:lvlText w:val=""/>
      <w:lvlJc w:val="left"/>
    </w:lvl>
  </w:abstractNum>
  <w:abstractNum w:abstractNumId="243" w15:restartNumberingAfterBreak="0">
    <w:nsid w:val="2BBA481F"/>
    <w:multiLevelType w:val="hybridMultilevel"/>
    <w:tmpl w:val="87B6BFE2"/>
    <w:lvl w:ilvl="0" w:tplc="B5ECC2C2">
      <w:start w:val="22"/>
      <w:numFmt w:val="upperLetter"/>
      <w:lvlText w:val="%1"/>
      <w:lvlJc w:val="left"/>
    </w:lvl>
    <w:lvl w:ilvl="1" w:tplc="03C4ADA0">
      <w:numFmt w:val="decimal"/>
      <w:lvlText w:val=""/>
      <w:lvlJc w:val="left"/>
    </w:lvl>
    <w:lvl w:ilvl="2" w:tplc="862021A6">
      <w:numFmt w:val="decimal"/>
      <w:lvlText w:val=""/>
      <w:lvlJc w:val="left"/>
    </w:lvl>
    <w:lvl w:ilvl="3" w:tplc="1F22C230">
      <w:numFmt w:val="decimal"/>
      <w:lvlText w:val=""/>
      <w:lvlJc w:val="left"/>
    </w:lvl>
    <w:lvl w:ilvl="4" w:tplc="3B7EA03A">
      <w:numFmt w:val="decimal"/>
      <w:lvlText w:val=""/>
      <w:lvlJc w:val="left"/>
    </w:lvl>
    <w:lvl w:ilvl="5" w:tplc="584A9FC0">
      <w:numFmt w:val="decimal"/>
      <w:lvlText w:val=""/>
      <w:lvlJc w:val="left"/>
    </w:lvl>
    <w:lvl w:ilvl="6" w:tplc="2D101CCE">
      <w:numFmt w:val="decimal"/>
      <w:lvlText w:val=""/>
      <w:lvlJc w:val="left"/>
    </w:lvl>
    <w:lvl w:ilvl="7" w:tplc="7884F09C">
      <w:numFmt w:val="decimal"/>
      <w:lvlText w:val=""/>
      <w:lvlJc w:val="left"/>
    </w:lvl>
    <w:lvl w:ilvl="8" w:tplc="245EACA0">
      <w:numFmt w:val="decimal"/>
      <w:lvlText w:val=""/>
      <w:lvlJc w:val="left"/>
    </w:lvl>
  </w:abstractNum>
  <w:abstractNum w:abstractNumId="244" w15:restartNumberingAfterBreak="0">
    <w:nsid w:val="2BC00EE9"/>
    <w:multiLevelType w:val="hybridMultilevel"/>
    <w:tmpl w:val="80DAA90E"/>
    <w:lvl w:ilvl="0" w:tplc="04050001">
      <w:start w:val="1"/>
      <w:numFmt w:val="bullet"/>
      <w:lvlText w:val=""/>
      <w:lvlJc w:val="left"/>
      <w:pPr>
        <w:ind w:left="1200" w:hanging="360"/>
      </w:pPr>
      <w:rPr>
        <w:rFonts w:ascii="Symbol" w:hAnsi="Symbol" w:hint="default"/>
      </w:rPr>
    </w:lvl>
    <w:lvl w:ilvl="1" w:tplc="04050003" w:tentative="1">
      <w:start w:val="1"/>
      <w:numFmt w:val="bullet"/>
      <w:lvlText w:val="o"/>
      <w:lvlJc w:val="left"/>
      <w:pPr>
        <w:ind w:left="1920" w:hanging="360"/>
      </w:pPr>
      <w:rPr>
        <w:rFonts w:ascii="Courier New" w:hAnsi="Courier New" w:cs="Courier New" w:hint="default"/>
      </w:rPr>
    </w:lvl>
    <w:lvl w:ilvl="2" w:tplc="04050005" w:tentative="1">
      <w:start w:val="1"/>
      <w:numFmt w:val="bullet"/>
      <w:lvlText w:val=""/>
      <w:lvlJc w:val="left"/>
      <w:pPr>
        <w:ind w:left="2640" w:hanging="360"/>
      </w:pPr>
      <w:rPr>
        <w:rFonts w:ascii="Wingdings" w:hAnsi="Wingdings" w:hint="default"/>
      </w:rPr>
    </w:lvl>
    <w:lvl w:ilvl="3" w:tplc="04050001" w:tentative="1">
      <w:start w:val="1"/>
      <w:numFmt w:val="bullet"/>
      <w:lvlText w:val=""/>
      <w:lvlJc w:val="left"/>
      <w:pPr>
        <w:ind w:left="3360" w:hanging="360"/>
      </w:pPr>
      <w:rPr>
        <w:rFonts w:ascii="Symbol" w:hAnsi="Symbol" w:hint="default"/>
      </w:rPr>
    </w:lvl>
    <w:lvl w:ilvl="4" w:tplc="04050003" w:tentative="1">
      <w:start w:val="1"/>
      <w:numFmt w:val="bullet"/>
      <w:lvlText w:val="o"/>
      <w:lvlJc w:val="left"/>
      <w:pPr>
        <w:ind w:left="4080" w:hanging="360"/>
      </w:pPr>
      <w:rPr>
        <w:rFonts w:ascii="Courier New" w:hAnsi="Courier New" w:cs="Courier New" w:hint="default"/>
      </w:rPr>
    </w:lvl>
    <w:lvl w:ilvl="5" w:tplc="04050005" w:tentative="1">
      <w:start w:val="1"/>
      <w:numFmt w:val="bullet"/>
      <w:lvlText w:val=""/>
      <w:lvlJc w:val="left"/>
      <w:pPr>
        <w:ind w:left="4800" w:hanging="360"/>
      </w:pPr>
      <w:rPr>
        <w:rFonts w:ascii="Wingdings" w:hAnsi="Wingdings" w:hint="default"/>
      </w:rPr>
    </w:lvl>
    <w:lvl w:ilvl="6" w:tplc="04050001" w:tentative="1">
      <w:start w:val="1"/>
      <w:numFmt w:val="bullet"/>
      <w:lvlText w:val=""/>
      <w:lvlJc w:val="left"/>
      <w:pPr>
        <w:ind w:left="5520" w:hanging="360"/>
      </w:pPr>
      <w:rPr>
        <w:rFonts w:ascii="Symbol" w:hAnsi="Symbol" w:hint="default"/>
      </w:rPr>
    </w:lvl>
    <w:lvl w:ilvl="7" w:tplc="04050003" w:tentative="1">
      <w:start w:val="1"/>
      <w:numFmt w:val="bullet"/>
      <w:lvlText w:val="o"/>
      <w:lvlJc w:val="left"/>
      <w:pPr>
        <w:ind w:left="6240" w:hanging="360"/>
      </w:pPr>
      <w:rPr>
        <w:rFonts w:ascii="Courier New" w:hAnsi="Courier New" w:cs="Courier New" w:hint="default"/>
      </w:rPr>
    </w:lvl>
    <w:lvl w:ilvl="8" w:tplc="04050005" w:tentative="1">
      <w:start w:val="1"/>
      <w:numFmt w:val="bullet"/>
      <w:lvlText w:val=""/>
      <w:lvlJc w:val="left"/>
      <w:pPr>
        <w:ind w:left="6960" w:hanging="360"/>
      </w:pPr>
      <w:rPr>
        <w:rFonts w:ascii="Wingdings" w:hAnsi="Wingdings" w:hint="default"/>
      </w:rPr>
    </w:lvl>
  </w:abstractNum>
  <w:abstractNum w:abstractNumId="245" w15:restartNumberingAfterBreak="0">
    <w:nsid w:val="2C311575"/>
    <w:multiLevelType w:val="hybridMultilevel"/>
    <w:tmpl w:val="0C186B3C"/>
    <w:lvl w:ilvl="0" w:tplc="DC36C4CA">
      <w:start w:val="14"/>
      <w:numFmt w:val="bullet"/>
      <w:lvlText w:val="-"/>
      <w:lvlJc w:val="left"/>
      <w:pPr>
        <w:ind w:left="720" w:hanging="360"/>
      </w:pPr>
      <w:rPr>
        <w:rFonts w:ascii="Times New Roman" w:eastAsia="Times New Roman" w:hAnsi="Times New Roman" w:cs="Times New Roman" w:hint="default"/>
        <w:color w:val="auto"/>
        <w:sz w:val="24"/>
      </w:rPr>
    </w:lvl>
    <w:lvl w:ilvl="1" w:tplc="CAD4D55C">
      <w:start w:val="14"/>
      <w:numFmt w:val="bullet"/>
      <w:lvlText w:val="-"/>
      <w:lvlJc w:val="left"/>
      <w:pPr>
        <w:ind w:left="1440" w:hanging="360"/>
      </w:pPr>
      <w:rPr>
        <w:rFonts w:ascii="Arial" w:eastAsia="Times New Roman" w:hAnsi="Arial" w:cs="Arial"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6" w15:restartNumberingAfterBreak="0">
    <w:nsid w:val="2C8242FB"/>
    <w:multiLevelType w:val="hybridMultilevel"/>
    <w:tmpl w:val="8EA00F7C"/>
    <w:lvl w:ilvl="0" w:tplc="CBFADD0C">
      <w:start w:val="1"/>
      <w:numFmt w:val="bullet"/>
      <w:lvlText w:val="―"/>
      <w:lvlJc w:val="left"/>
    </w:lvl>
    <w:lvl w:ilvl="1" w:tplc="42DA0694">
      <w:start w:val="1"/>
      <w:numFmt w:val="bullet"/>
      <w:lvlText w:val="●"/>
      <w:lvlJc w:val="left"/>
    </w:lvl>
    <w:lvl w:ilvl="2" w:tplc="9F3C6410">
      <w:numFmt w:val="decimal"/>
      <w:lvlText w:val=""/>
      <w:lvlJc w:val="left"/>
    </w:lvl>
    <w:lvl w:ilvl="3" w:tplc="4E34AD38">
      <w:numFmt w:val="decimal"/>
      <w:lvlText w:val=""/>
      <w:lvlJc w:val="left"/>
    </w:lvl>
    <w:lvl w:ilvl="4" w:tplc="D426558C">
      <w:numFmt w:val="decimal"/>
      <w:lvlText w:val=""/>
      <w:lvlJc w:val="left"/>
    </w:lvl>
    <w:lvl w:ilvl="5" w:tplc="7130C600">
      <w:numFmt w:val="decimal"/>
      <w:lvlText w:val=""/>
      <w:lvlJc w:val="left"/>
    </w:lvl>
    <w:lvl w:ilvl="6" w:tplc="AA3AEDA2">
      <w:numFmt w:val="decimal"/>
      <w:lvlText w:val=""/>
      <w:lvlJc w:val="left"/>
    </w:lvl>
    <w:lvl w:ilvl="7" w:tplc="E7462F40">
      <w:numFmt w:val="decimal"/>
      <w:lvlText w:val=""/>
      <w:lvlJc w:val="left"/>
    </w:lvl>
    <w:lvl w:ilvl="8" w:tplc="348EA552">
      <w:numFmt w:val="decimal"/>
      <w:lvlText w:val=""/>
      <w:lvlJc w:val="left"/>
    </w:lvl>
  </w:abstractNum>
  <w:abstractNum w:abstractNumId="247" w15:restartNumberingAfterBreak="0">
    <w:nsid w:val="2CD39943"/>
    <w:multiLevelType w:val="hybridMultilevel"/>
    <w:tmpl w:val="9294C01E"/>
    <w:lvl w:ilvl="0" w:tplc="B5AC1438">
      <w:start w:val="1"/>
      <w:numFmt w:val="bullet"/>
      <w:lvlText w:val="-"/>
      <w:lvlJc w:val="left"/>
    </w:lvl>
    <w:lvl w:ilvl="1" w:tplc="17F6A888">
      <w:numFmt w:val="decimal"/>
      <w:lvlText w:val=""/>
      <w:lvlJc w:val="left"/>
    </w:lvl>
    <w:lvl w:ilvl="2" w:tplc="F80A55D4">
      <w:numFmt w:val="decimal"/>
      <w:lvlText w:val=""/>
      <w:lvlJc w:val="left"/>
    </w:lvl>
    <w:lvl w:ilvl="3" w:tplc="24CC0D4A">
      <w:numFmt w:val="decimal"/>
      <w:lvlText w:val=""/>
      <w:lvlJc w:val="left"/>
    </w:lvl>
    <w:lvl w:ilvl="4" w:tplc="320C5632">
      <w:numFmt w:val="decimal"/>
      <w:lvlText w:val=""/>
      <w:lvlJc w:val="left"/>
    </w:lvl>
    <w:lvl w:ilvl="5" w:tplc="30708782">
      <w:numFmt w:val="decimal"/>
      <w:lvlText w:val=""/>
      <w:lvlJc w:val="left"/>
    </w:lvl>
    <w:lvl w:ilvl="6" w:tplc="0FA47B28">
      <w:numFmt w:val="decimal"/>
      <w:lvlText w:val=""/>
      <w:lvlJc w:val="left"/>
    </w:lvl>
    <w:lvl w:ilvl="7" w:tplc="525AD9D0">
      <w:numFmt w:val="decimal"/>
      <w:lvlText w:val=""/>
      <w:lvlJc w:val="left"/>
    </w:lvl>
    <w:lvl w:ilvl="8" w:tplc="BA340C18">
      <w:numFmt w:val="decimal"/>
      <w:lvlText w:val=""/>
      <w:lvlJc w:val="left"/>
    </w:lvl>
  </w:abstractNum>
  <w:abstractNum w:abstractNumId="248" w15:restartNumberingAfterBreak="0">
    <w:nsid w:val="2D095B30"/>
    <w:multiLevelType w:val="hybridMultilevel"/>
    <w:tmpl w:val="F3A22128"/>
    <w:lvl w:ilvl="0" w:tplc="53CABD30">
      <w:start w:val="1"/>
      <w:numFmt w:val="bullet"/>
      <w:lvlText w:val="-"/>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9" w15:restartNumberingAfterBreak="0">
    <w:nsid w:val="2D4E368A"/>
    <w:multiLevelType w:val="hybridMultilevel"/>
    <w:tmpl w:val="F02696B0"/>
    <w:lvl w:ilvl="0" w:tplc="53CABD30">
      <w:start w:val="1"/>
      <w:numFmt w:val="bullet"/>
      <w:lvlText w:val="-"/>
      <w:lvlJc w:val="left"/>
    </w:lvl>
    <w:lvl w:ilvl="1" w:tplc="213EB98E">
      <w:numFmt w:val="decimal"/>
      <w:lvlText w:val=""/>
      <w:lvlJc w:val="left"/>
    </w:lvl>
    <w:lvl w:ilvl="2" w:tplc="ED649C88">
      <w:numFmt w:val="decimal"/>
      <w:lvlText w:val=""/>
      <w:lvlJc w:val="left"/>
    </w:lvl>
    <w:lvl w:ilvl="3" w:tplc="761C6FE8">
      <w:numFmt w:val="decimal"/>
      <w:lvlText w:val=""/>
      <w:lvlJc w:val="left"/>
    </w:lvl>
    <w:lvl w:ilvl="4" w:tplc="92C6536C">
      <w:numFmt w:val="decimal"/>
      <w:lvlText w:val=""/>
      <w:lvlJc w:val="left"/>
    </w:lvl>
    <w:lvl w:ilvl="5" w:tplc="EBF6E6A8">
      <w:numFmt w:val="decimal"/>
      <w:lvlText w:val=""/>
      <w:lvlJc w:val="left"/>
    </w:lvl>
    <w:lvl w:ilvl="6" w:tplc="7C7ADEEA">
      <w:numFmt w:val="decimal"/>
      <w:lvlText w:val=""/>
      <w:lvlJc w:val="left"/>
    </w:lvl>
    <w:lvl w:ilvl="7" w:tplc="55700FDC">
      <w:numFmt w:val="decimal"/>
      <w:lvlText w:val=""/>
      <w:lvlJc w:val="left"/>
    </w:lvl>
    <w:lvl w:ilvl="8" w:tplc="B18E4C78">
      <w:numFmt w:val="decimal"/>
      <w:lvlText w:val=""/>
      <w:lvlJc w:val="left"/>
    </w:lvl>
  </w:abstractNum>
  <w:abstractNum w:abstractNumId="250" w15:restartNumberingAfterBreak="0">
    <w:nsid w:val="2D96B714"/>
    <w:multiLevelType w:val="hybridMultilevel"/>
    <w:tmpl w:val="08760900"/>
    <w:lvl w:ilvl="0" w:tplc="A000C800">
      <w:start w:val="1"/>
      <w:numFmt w:val="bullet"/>
      <w:lvlText w:val="→"/>
      <w:lvlJc w:val="left"/>
    </w:lvl>
    <w:lvl w:ilvl="1" w:tplc="2EA25A80">
      <w:numFmt w:val="decimal"/>
      <w:lvlText w:val=""/>
      <w:lvlJc w:val="left"/>
    </w:lvl>
    <w:lvl w:ilvl="2" w:tplc="5316F6DE">
      <w:numFmt w:val="decimal"/>
      <w:lvlText w:val=""/>
      <w:lvlJc w:val="left"/>
    </w:lvl>
    <w:lvl w:ilvl="3" w:tplc="5226062E">
      <w:numFmt w:val="decimal"/>
      <w:lvlText w:val=""/>
      <w:lvlJc w:val="left"/>
    </w:lvl>
    <w:lvl w:ilvl="4" w:tplc="76F2B8F2">
      <w:numFmt w:val="decimal"/>
      <w:lvlText w:val=""/>
      <w:lvlJc w:val="left"/>
    </w:lvl>
    <w:lvl w:ilvl="5" w:tplc="A2F2B0B4">
      <w:numFmt w:val="decimal"/>
      <w:lvlText w:val=""/>
      <w:lvlJc w:val="left"/>
    </w:lvl>
    <w:lvl w:ilvl="6" w:tplc="67C6B8B0">
      <w:numFmt w:val="decimal"/>
      <w:lvlText w:val=""/>
      <w:lvlJc w:val="left"/>
    </w:lvl>
    <w:lvl w:ilvl="7" w:tplc="BD3C28E8">
      <w:numFmt w:val="decimal"/>
      <w:lvlText w:val=""/>
      <w:lvlJc w:val="left"/>
    </w:lvl>
    <w:lvl w:ilvl="8" w:tplc="CE3662E6">
      <w:numFmt w:val="decimal"/>
      <w:lvlText w:val=""/>
      <w:lvlJc w:val="left"/>
    </w:lvl>
  </w:abstractNum>
  <w:abstractNum w:abstractNumId="251" w15:restartNumberingAfterBreak="0">
    <w:nsid w:val="2DF1FE0E"/>
    <w:multiLevelType w:val="hybridMultilevel"/>
    <w:tmpl w:val="BBB6ED2E"/>
    <w:lvl w:ilvl="0" w:tplc="8E14239A">
      <w:start w:val="1"/>
      <w:numFmt w:val="bullet"/>
      <w:lvlText w:val="§"/>
      <w:lvlJc w:val="left"/>
    </w:lvl>
    <w:lvl w:ilvl="1" w:tplc="2F5A2054">
      <w:numFmt w:val="decimal"/>
      <w:lvlText w:val=""/>
      <w:lvlJc w:val="left"/>
    </w:lvl>
    <w:lvl w:ilvl="2" w:tplc="7E088642">
      <w:numFmt w:val="decimal"/>
      <w:lvlText w:val=""/>
      <w:lvlJc w:val="left"/>
    </w:lvl>
    <w:lvl w:ilvl="3" w:tplc="04081E18">
      <w:numFmt w:val="decimal"/>
      <w:lvlText w:val=""/>
      <w:lvlJc w:val="left"/>
    </w:lvl>
    <w:lvl w:ilvl="4" w:tplc="006EF6B6">
      <w:numFmt w:val="decimal"/>
      <w:lvlText w:val=""/>
      <w:lvlJc w:val="left"/>
    </w:lvl>
    <w:lvl w:ilvl="5" w:tplc="6832B3BC">
      <w:numFmt w:val="decimal"/>
      <w:lvlText w:val=""/>
      <w:lvlJc w:val="left"/>
    </w:lvl>
    <w:lvl w:ilvl="6" w:tplc="E8A232F4">
      <w:numFmt w:val="decimal"/>
      <w:lvlText w:val=""/>
      <w:lvlJc w:val="left"/>
    </w:lvl>
    <w:lvl w:ilvl="7" w:tplc="138A09DC">
      <w:numFmt w:val="decimal"/>
      <w:lvlText w:val=""/>
      <w:lvlJc w:val="left"/>
    </w:lvl>
    <w:lvl w:ilvl="8" w:tplc="7C4CEEA4">
      <w:numFmt w:val="decimal"/>
      <w:lvlText w:val=""/>
      <w:lvlJc w:val="left"/>
    </w:lvl>
  </w:abstractNum>
  <w:abstractNum w:abstractNumId="252" w15:restartNumberingAfterBreak="0">
    <w:nsid w:val="2E287A14"/>
    <w:multiLevelType w:val="hybridMultilevel"/>
    <w:tmpl w:val="24F05870"/>
    <w:lvl w:ilvl="0" w:tplc="4EB28FEC">
      <w:start w:val="1"/>
      <w:numFmt w:val="bullet"/>
      <w:lvlText w:val="•"/>
      <w:lvlJc w:val="left"/>
    </w:lvl>
    <w:lvl w:ilvl="1" w:tplc="FA202F10">
      <w:numFmt w:val="decimal"/>
      <w:lvlText w:val=""/>
      <w:lvlJc w:val="left"/>
    </w:lvl>
    <w:lvl w:ilvl="2" w:tplc="D8BE8220">
      <w:numFmt w:val="decimal"/>
      <w:lvlText w:val=""/>
      <w:lvlJc w:val="left"/>
    </w:lvl>
    <w:lvl w:ilvl="3" w:tplc="68BEB6F8">
      <w:numFmt w:val="decimal"/>
      <w:lvlText w:val=""/>
      <w:lvlJc w:val="left"/>
    </w:lvl>
    <w:lvl w:ilvl="4" w:tplc="F09E798A">
      <w:numFmt w:val="decimal"/>
      <w:lvlText w:val=""/>
      <w:lvlJc w:val="left"/>
    </w:lvl>
    <w:lvl w:ilvl="5" w:tplc="0A56C77E">
      <w:numFmt w:val="decimal"/>
      <w:lvlText w:val=""/>
      <w:lvlJc w:val="left"/>
    </w:lvl>
    <w:lvl w:ilvl="6" w:tplc="D2CA4F62">
      <w:numFmt w:val="decimal"/>
      <w:lvlText w:val=""/>
      <w:lvlJc w:val="left"/>
    </w:lvl>
    <w:lvl w:ilvl="7" w:tplc="B5B093D4">
      <w:numFmt w:val="decimal"/>
      <w:lvlText w:val=""/>
      <w:lvlJc w:val="left"/>
    </w:lvl>
    <w:lvl w:ilvl="8" w:tplc="C60C6516">
      <w:numFmt w:val="decimal"/>
      <w:lvlText w:val=""/>
      <w:lvlJc w:val="left"/>
    </w:lvl>
  </w:abstractNum>
  <w:abstractNum w:abstractNumId="253" w15:restartNumberingAfterBreak="0">
    <w:nsid w:val="2F08146E"/>
    <w:multiLevelType w:val="hybridMultilevel"/>
    <w:tmpl w:val="DA86F7A0"/>
    <w:lvl w:ilvl="0" w:tplc="53CABD30">
      <w:start w:val="1"/>
      <w:numFmt w:val="bullet"/>
      <w:lvlText w:val="-"/>
      <w:lvlJc w:val="left"/>
    </w:lvl>
    <w:lvl w:ilvl="1" w:tplc="14E4AB68">
      <w:start w:val="15"/>
      <w:numFmt w:val="lowerLetter"/>
      <w:lvlText w:val="%2"/>
      <w:lvlJc w:val="left"/>
    </w:lvl>
    <w:lvl w:ilvl="2" w:tplc="36B66B4C">
      <w:numFmt w:val="decimal"/>
      <w:lvlText w:val=""/>
      <w:lvlJc w:val="left"/>
    </w:lvl>
    <w:lvl w:ilvl="3" w:tplc="BE02F61A">
      <w:numFmt w:val="decimal"/>
      <w:lvlText w:val=""/>
      <w:lvlJc w:val="left"/>
    </w:lvl>
    <w:lvl w:ilvl="4" w:tplc="0F3CBA00">
      <w:numFmt w:val="decimal"/>
      <w:lvlText w:val=""/>
      <w:lvlJc w:val="left"/>
    </w:lvl>
    <w:lvl w:ilvl="5" w:tplc="271CB342">
      <w:numFmt w:val="decimal"/>
      <w:lvlText w:val=""/>
      <w:lvlJc w:val="left"/>
    </w:lvl>
    <w:lvl w:ilvl="6" w:tplc="A2AAE7AA">
      <w:numFmt w:val="decimal"/>
      <w:lvlText w:val=""/>
      <w:lvlJc w:val="left"/>
    </w:lvl>
    <w:lvl w:ilvl="7" w:tplc="246E1230">
      <w:numFmt w:val="decimal"/>
      <w:lvlText w:val=""/>
      <w:lvlJc w:val="left"/>
    </w:lvl>
    <w:lvl w:ilvl="8" w:tplc="3C4A58E2">
      <w:numFmt w:val="decimal"/>
      <w:lvlText w:val=""/>
      <w:lvlJc w:val="left"/>
    </w:lvl>
  </w:abstractNum>
  <w:abstractNum w:abstractNumId="254" w15:restartNumberingAfterBreak="0">
    <w:nsid w:val="2F1A2E62"/>
    <w:multiLevelType w:val="hybridMultilevel"/>
    <w:tmpl w:val="23E08C9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55" w15:restartNumberingAfterBreak="0">
    <w:nsid w:val="2F1F05C3"/>
    <w:multiLevelType w:val="hybridMultilevel"/>
    <w:tmpl w:val="968E6790"/>
    <w:lvl w:ilvl="0" w:tplc="CBFADD0C">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6" w15:restartNumberingAfterBreak="0">
    <w:nsid w:val="2F298A4A"/>
    <w:multiLevelType w:val="hybridMultilevel"/>
    <w:tmpl w:val="0D0C02F2"/>
    <w:lvl w:ilvl="0" w:tplc="6C628A3C">
      <w:start w:val="1"/>
      <w:numFmt w:val="decimal"/>
      <w:lvlText w:val="%1."/>
      <w:lvlJc w:val="left"/>
    </w:lvl>
    <w:lvl w:ilvl="1" w:tplc="B2587A5E">
      <w:start w:val="1"/>
      <w:numFmt w:val="bullet"/>
      <w:lvlText w:val="•"/>
      <w:lvlJc w:val="left"/>
    </w:lvl>
    <w:lvl w:ilvl="2" w:tplc="F602539E">
      <w:numFmt w:val="decimal"/>
      <w:lvlText w:val=""/>
      <w:lvlJc w:val="left"/>
    </w:lvl>
    <w:lvl w:ilvl="3" w:tplc="6E3EB58A">
      <w:numFmt w:val="decimal"/>
      <w:lvlText w:val=""/>
      <w:lvlJc w:val="left"/>
    </w:lvl>
    <w:lvl w:ilvl="4" w:tplc="11D0A9E6">
      <w:numFmt w:val="decimal"/>
      <w:lvlText w:val=""/>
      <w:lvlJc w:val="left"/>
    </w:lvl>
    <w:lvl w:ilvl="5" w:tplc="55307C0C">
      <w:numFmt w:val="decimal"/>
      <w:lvlText w:val=""/>
      <w:lvlJc w:val="left"/>
    </w:lvl>
    <w:lvl w:ilvl="6" w:tplc="782CA908">
      <w:numFmt w:val="decimal"/>
      <w:lvlText w:val=""/>
      <w:lvlJc w:val="left"/>
    </w:lvl>
    <w:lvl w:ilvl="7" w:tplc="142420DE">
      <w:numFmt w:val="decimal"/>
      <w:lvlText w:val=""/>
      <w:lvlJc w:val="left"/>
    </w:lvl>
    <w:lvl w:ilvl="8" w:tplc="5DE454CC">
      <w:numFmt w:val="decimal"/>
      <w:lvlText w:val=""/>
      <w:lvlJc w:val="left"/>
    </w:lvl>
  </w:abstractNum>
  <w:abstractNum w:abstractNumId="257" w15:restartNumberingAfterBreak="0">
    <w:nsid w:val="309FB9AB"/>
    <w:multiLevelType w:val="hybridMultilevel"/>
    <w:tmpl w:val="F1863A92"/>
    <w:lvl w:ilvl="0" w:tplc="6FA8EB1E">
      <w:start w:val="1"/>
      <w:numFmt w:val="bullet"/>
      <w:lvlText w:val="•"/>
      <w:lvlJc w:val="left"/>
    </w:lvl>
    <w:lvl w:ilvl="1" w:tplc="8DC2BED6">
      <w:numFmt w:val="decimal"/>
      <w:lvlText w:val=""/>
      <w:lvlJc w:val="left"/>
    </w:lvl>
    <w:lvl w:ilvl="2" w:tplc="B5422858">
      <w:numFmt w:val="decimal"/>
      <w:lvlText w:val=""/>
      <w:lvlJc w:val="left"/>
    </w:lvl>
    <w:lvl w:ilvl="3" w:tplc="2796ECE0">
      <w:numFmt w:val="decimal"/>
      <w:lvlText w:val=""/>
      <w:lvlJc w:val="left"/>
    </w:lvl>
    <w:lvl w:ilvl="4" w:tplc="D5ACD942">
      <w:numFmt w:val="decimal"/>
      <w:lvlText w:val=""/>
      <w:lvlJc w:val="left"/>
    </w:lvl>
    <w:lvl w:ilvl="5" w:tplc="3C7CD994">
      <w:numFmt w:val="decimal"/>
      <w:lvlText w:val=""/>
      <w:lvlJc w:val="left"/>
    </w:lvl>
    <w:lvl w:ilvl="6" w:tplc="824AEC78">
      <w:numFmt w:val="decimal"/>
      <w:lvlText w:val=""/>
      <w:lvlJc w:val="left"/>
    </w:lvl>
    <w:lvl w:ilvl="7" w:tplc="64B6309A">
      <w:numFmt w:val="decimal"/>
      <w:lvlText w:val=""/>
      <w:lvlJc w:val="left"/>
    </w:lvl>
    <w:lvl w:ilvl="8" w:tplc="CDCEDF90">
      <w:numFmt w:val="decimal"/>
      <w:lvlText w:val=""/>
      <w:lvlJc w:val="left"/>
    </w:lvl>
  </w:abstractNum>
  <w:abstractNum w:abstractNumId="258" w15:restartNumberingAfterBreak="0">
    <w:nsid w:val="30B21390"/>
    <w:multiLevelType w:val="hybridMultilevel"/>
    <w:tmpl w:val="ECDC6146"/>
    <w:lvl w:ilvl="0" w:tplc="3B603502">
      <w:start w:val="1"/>
      <w:numFmt w:val="bullet"/>
      <w:lvlText w:val="●"/>
      <w:lvlJc w:val="left"/>
    </w:lvl>
    <w:lvl w:ilvl="1" w:tplc="DBF62D2A">
      <w:numFmt w:val="decimal"/>
      <w:lvlText w:val=""/>
      <w:lvlJc w:val="left"/>
    </w:lvl>
    <w:lvl w:ilvl="2" w:tplc="F886D32A">
      <w:numFmt w:val="decimal"/>
      <w:lvlText w:val=""/>
      <w:lvlJc w:val="left"/>
    </w:lvl>
    <w:lvl w:ilvl="3" w:tplc="765C2D64">
      <w:numFmt w:val="decimal"/>
      <w:lvlText w:val=""/>
      <w:lvlJc w:val="left"/>
    </w:lvl>
    <w:lvl w:ilvl="4" w:tplc="D68664B8">
      <w:numFmt w:val="decimal"/>
      <w:lvlText w:val=""/>
      <w:lvlJc w:val="left"/>
    </w:lvl>
    <w:lvl w:ilvl="5" w:tplc="456CC7FC">
      <w:numFmt w:val="decimal"/>
      <w:lvlText w:val=""/>
      <w:lvlJc w:val="left"/>
    </w:lvl>
    <w:lvl w:ilvl="6" w:tplc="AF9C995C">
      <w:numFmt w:val="decimal"/>
      <w:lvlText w:val=""/>
      <w:lvlJc w:val="left"/>
    </w:lvl>
    <w:lvl w:ilvl="7" w:tplc="F478440A">
      <w:numFmt w:val="decimal"/>
      <w:lvlText w:val=""/>
      <w:lvlJc w:val="left"/>
    </w:lvl>
    <w:lvl w:ilvl="8" w:tplc="9E0E3034">
      <w:numFmt w:val="decimal"/>
      <w:lvlText w:val=""/>
      <w:lvlJc w:val="left"/>
    </w:lvl>
  </w:abstractNum>
  <w:abstractNum w:abstractNumId="259" w15:restartNumberingAfterBreak="0">
    <w:nsid w:val="30BB2B99"/>
    <w:multiLevelType w:val="hybridMultilevel"/>
    <w:tmpl w:val="AA02C1D6"/>
    <w:lvl w:ilvl="0" w:tplc="A52AC036">
      <w:start w:val="1"/>
      <w:numFmt w:val="lowerLetter"/>
      <w:lvlText w:val="%1)"/>
      <w:lvlJc w:val="left"/>
    </w:lvl>
    <w:lvl w:ilvl="1" w:tplc="503C830C">
      <w:start w:val="1"/>
      <w:numFmt w:val="bullet"/>
      <w:lvlText w:val="-"/>
      <w:lvlJc w:val="left"/>
    </w:lvl>
    <w:lvl w:ilvl="2" w:tplc="E1CE595C">
      <w:numFmt w:val="decimal"/>
      <w:lvlText w:val=""/>
      <w:lvlJc w:val="left"/>
    </w:lvl>
    <w:lvl w:ilvl="3" w:tplc="78F2698A">
      <w:numFmt w:val="decimal"/>
      <w:lvlText w:val=""/>
      <w:lvlJc w:val="left"/>
    </w:lvl>
    <w:lvl w:ilvl="4" w:tplc="6D40AC58">
      <w:numFmt w:val="decimal"/>
      <w:lvlText w:val=""/>
      <w:lvlJc w:val="left"/>
    </w:lvl>
    <w:lvl w:ilvl="5" w:tplc="22FECD46">
      <w:numFmt w:val="decimal"/>
      <w:lvlText w:val=""/>
      <w:lvlJc w:val="left"/>
    </w:lvl>
    <w:lvl w:ilvl="6" w:tplc="92B00B08">
      <w:numFmt w:val="decimal"/>
      <w:lvlText w:val=""/>
      <w:lvlJc w:val="left"/>
    </w:lvl>
    <w:lvl w:ilvl="7" w:tplc="955C7D7A">
      <w:numFmt w:val="decimal"/>
      <w:lvlText w:val=""/>
      <w:lvlJc w:val="left"/>
    </w:lvl>
    <w:lvl w:ilvl="8" w:tplc="50706D64">
      <w:numFmt w:val="decimal"/>
      <w:lvlText w:val=""/>
      <w:lvlJc w:val="left"/>
    </w:lvl>
  </w:abstractNum>
  <w:abstractNum w:abstractNumId="260" w15:restartNumberingAfterBreak="0">
    <w:nsid w:val="30DD9510"/>
    <w:multiLevelType w:val="hybridMultilevel"/>
    <w:tmpl w:val="515828FE"/>
    <w:lvl w:ilvl="0" w:tplc="17AC7B72">
      <w:start w:val="1"/>
      <w:numFmt w:val="bullet"/>
      <w:lvlText w:val="·"/>
      <w:lvlJc w:val="left"/>
    </w:lvl>
    <w:lvl w:ilvl="1" w:tplc="52341D36">
      <w:numFmt w:val="decimal"/>
      <w:lvlText w:val=""/>
      <w:lvlJc w:val="left"/>
    </w:lvl>
    <w:lvl w:ilvl="2" w:tplc="0234F548">
      <w:numFmt w:val="decimal"/>
      <w:lvlText w:val=""/>
      <w:lvlJc w:val="left"/>
    </w:lvl>
    <w:lvl w:ilvl="3" w:tplc="77240124">
      <w:numFmt w:val="decimal"/>
      <w:lvlText w:val=""/>
      <w:lvlJc w:val="left"/>
    </w:lvl>
    <w:lvl w:ilvl="4" w:tplc="F9F48E2E">
      <w:numFmt w:val="decimal"/>
      <w:lvlText w:val=""/>
      <w:lvlJc w:val="left"/>
    </w:lvl>
    <w:lvl w:ilvl="5" w:tplc="1708CFFC">
      <w:numFmt w:val="decimal"/>
      <w:lvlText w:val=""/>
      <w:lvlJc w:val="left"/>
    </w:lvl>
    <w:lvl w:ilvl="6" w:tplc="8674943E">
      <w:numFmt w:val="decimal"/>
      <w:lvlText w:val=""/>
      <w:lvlJc w:val="left"/>
    </w:lvl>
    <w:lvl w:ilvl="7" w:tplc="9490BC9E">
      <w:numFmt w:val="decimal"/>
      <w:lvlText w:val=""/>
      <w:lvlJc w:val="left"/>
    </w:lvl>
    <w:lvl w:ilvl="8" w:tplc="9DEAC0B2">
      <w:numFmt w:val="decimal"/>
      <w:lvlText w:val=""/>
      <w:lvlJc w:val="left"/>
    </w:lvl>
  </w:abstractNum>
  <w:abstractNum w:abstractNumId="261" w15:restartNumberingAfterBreak="0">
    <w:nsid w:val="31106154"/>
    <w:multiLevelType w:val="hybridMultilevel"/>
    <w:tmpl w:val="28CA2F4E"/>
    <w:lvl w:ilvl="0" w:tplc="04050011">
      <w:start w:val="1"/>
      <w:numFmt w:val="decimal"/>
      <w:lvlText w:val="%1)"/>
      <w:lvlJc w:val="left"/>
    </w:lvl>
    <w:lvl w:ilvl="1" w:tplc="A9663C08">
      <w:numFmt w:val="decimal"/>
      <w:lvlText w:val=""/>
      <w:lvlJc w:val="left"/>
    </w:lvl>
    <w:lvl w:ilvl="2" w:tplc="62C482C8">
      <w:numFmt w:val="decimal"/>
      <w:lvlText w:val=""/>
      <w:lvlJc w:val="left"/>
    </w:lvl>
    <w:lvl w:ilvl="3" w:tplc="9EDE4B0C">
      <w:numFmt w:val="decimal"/>
      <w:lvlText w:val=""/>
      <w:lvlJc w:val="left"/>
    </w:lvl>
    <w:lvl w:ilvl="4" w:tplc="82E6476E">
      <w:numFmt w:val="decimal"/>
      <w:lvlText w:val=""/>
      <w:lvlJc w:val="left"/>
    </w:lvl>
    <w:lvl w:ilvl="5" w:tplc="D5049C8A">
      <w:numFmt w:val="decimal"/>
      <w:lvlText w:val=""/>
      <w:lvlJc w:val="left"/>
    </w:lvl>
    <w:lvl w:ilvl="6" w:tplc="F4389726">
      <w:numFmt w:val="decimal"/>
      <w:lvlText w:val=""/>
      <w:lvlJc w:val="left"/>
    </w:lvl>
    <w:lvl w:ilvl="7" w:tplc="327AC74A">
      <w:numFmt w:val="decimal"/>
      <w:lvlText w:val=""/>
      <w:lvlJc w:val="left"/>
    </w:lvl>
    <w:lvl w:ilvl="8" w:tplc="1CA67020">
      <w:numFmt w:val="decimal"/>
      <w:lvlText w:val=""/>
      <w:lvlJc w:val="left"/>
    </w:lvl>
  </w:abstractNum>
  <w:abstractNum w:abstractNumId="262" w15:restartNumberingAfterBreak="0">
    <w:nsid w:val="3128443A"/>
    <w:multiLevelType w:val="hybridMultilevel"/>
    <w:tmpl w:val="1E52AB6E"/>
    <w:lvl w:ilvl="0" w:tplc="53CABD30">
      <w:start w:val="1"/>
      <w:numFmt w:val="bullet"/>
      <w:lvlText w:val="-"/>
      <w:lvlJc w:val="left"/>
    </w:lvl>
    <w:lvl w:ilvl="1" w:tplc="7BAE2094">
      <w:numFmt w:val="decimal"/>
      <w:lvlText w:val=""/>
      <w:lvlJc w:val="left"/>
    </w:lvl>
    <w:lvl w:ilvl="2" w:tplc="378C55CC">
      <w:numFmt w:val="decimal"/>
      <w:lvlText w:val=""/>
      <w:lvlJc w:val="left"/>
    </w:lvl>
    <w:lvl w:ilvl="3" w:tplc="063ED062">
      <w:numFmt w:val="decimal"/>
      <w:lvlText w:val=""/>
      <w:lvlJc w:val="left"/>
    </w:lvl>
    <w:lvl w:ilvl="4" w:tplc="E506BD1E">
      <w:numFmt w:val="decimal"/>
      <w:lvlText w:val=""/>
      <w:lvlJc w:val="left"/>
    </w:lvl>
    <w:lvl w:ilvl="5" w:tplc="A9269D6E">
      <w:numFmt w:val="decimal"/>
      <w:lvlText w:val=""/>
      <w:lvlJc w:val="left"/>
    </w:lvl>
    <w:lvl w:ilvl="6" w:tplc="F0F218A2">
      <w:numFmt w:val="decimal"/>
      <w:lvlText w:val=""/>
      <w:lvlJc w:val="left"/>
    </w:lvl>
    <w:lvl w:ilvl="7" w:tplc="7CA8CF9C">
      <w:numFmt w:val="decimal"/>
      <w:lvlText w:val=""/>
      <w:lvlJc w:val="left"/>
    </w:lvl>
    <w:lvl w:ilvl="8" w:tplc="509A77DC">
      <w:numFmt w:val="decimal"/>
      <w:lvlText w:val=""/>
      <w:lvlJc w:val="left"/>
    </w:lvl>
  </w:abstractNum>
  <w:abstractNum w:abstractNumId="263" w15:restartNumberingAfterBreak="0">
    <w:nsid w:val="313894CE"/>
    <w:multiLevelType w:val="hybridMultilevel"/>
    <w:tmpl w:val="76D65052"/>
    <w:lvl w:ilvl="0" w:tplc="EBEC5706">
      <w:start w:val="1"/>
      <w:numFmt w:val="bullet"/>
      <w:lvlText w:val="•"/>
      <w:lvlJc w:val="left"/>
    </w:lvl>
    <w:lvl w:ilvl="1" w:tplc="F1841BFA">
      <w:numFmt w:val="decimal"/>
      <w:lvlText w:val=""/>
      <w:lvlJc w:val="left"/>
    </w:lvl>
    <w:lvl w:ilvl="2" w:tplc="CB367F1A">
      <w:numFmt w:val="decimal"/>
      <w:lvlText w:val=""/>
      <w:lvlJc w:val="left"/>
    </w:lvl>
    <w:lvl w:ilvl="3" w:tplc="849AA6B8">
      <w:numFmt w:val="decimal"/>
      <w:lvlText w:val=""/>
      <w:lvlJc w:val="left"/>
    </w:lvl>
    <w:lvl w:ilvl="4" w:tplc="6448BCCE">
      <w:numFmt w:val="decimal"/>
      <w:lvlText w:val=""/>
      <w:lvlJc w:val="left"/>
    </w:lvl>
    <w:lvl w:ilvl="5" w:tplc="B7E0B686">
      <w:numFmt w:val="decimal"/>
      <w:lvlText w:val=""/>
      <w:lvlJc w:val="left"/>
    </w:lvl>
    <w:lvl w:ilvl="6" w:tplc="D25EF0A0">
      <w:numFmt w:val="decimal"/>
      <w:lvlText w:val=""/>
      <w:lvlJc w:val="left"/>
    </w:lvl>
    <w:lvl w:ilvl="7" w:tplc="E6B44F2A">
      <w:numFmt w:val="decimal"/>
      <w:lvlText w:val=""/>
      <w:lvlJc w:val="left"/>
    </w:lvl>
    <w:lvl w:ilvl="8" w:tplc="5CEC4FC4">
      <w:numFmt w:val="decimal"/>
      <w:lvlText w:val=""/>
      <w:lvlJc w:val="left"/>
    </w:lvl>
  </w:abstractNum>
  <w:abstractNum w:abstractNumId="264" w15:restartNumberingAfterBreak="0">
    <w:nsid w:val="3150E85C"/>
    <w:multiLevelType w:val="hybridMultilevel"/>
    <w:tmpl w:val="2A401DD0"/>
    <w:lvl w:ilvl="0" w:tplc="3FAAE9CC">
      <w:start w:val="1"/>
      <w:numFmt w:val="bullet"/>
      <w:lvlText w:val="-"/>
      <w:lvlJc w:val="left"/>
    </w:lvl>
    <w:lvl w:ilvl="1" w:tplc="EFDA3E3C">
      <w:numFmt w:val="decimal"/>
      <w:lvlText w:val=""/>
      <w:lvlJc w:val="left"/>
    </w:lvl>
    <w:lvl w:ilvl="2" w:tplc="09D2FE46">
      <w:numFmt w:val="decimal"/>
      <w:lvlText w:val=""/>
      <w:lvlJc w:val="left"/>
    </w:lvl>
    <w:lvl w:ilvl="3" w:tplc="67B0236E">
      <w:numFmt w:val="decimal"/>
      <w:lvlText w:val=""/>
      <w:lvlJc w:val="left"/>
    </w:lvl>
    <w:lvl w:ilvl="4" w:tplc="BA0857D4">
      <w:numFmt w:val="decimal"/>
      <w:lvlText w:val=""/>
      <w:lvlJc w:val="left"/>
    </w:lvl>
    <w:lvl w:ilvl="5" w:tplc="F0F8DE58">
      <w:numFmt w:val="decimal"/>
      <w:lvlText w:val=""/>
      <w:lvlJc w:val="left"/>
    </w:lvl>
    <w:lvl w:ilvl="6" w:tplc="4F9A33BA">
      <w:numFmt w:val="decimal"/>
      <w:lvlText w:val=""/>
      <w:lvlJc w:val="left"/>
    </w:lvl>
    <w:lvl w:ilvl="7" w:tplc="F35220D4">
      <w:numFmt w:val="decimal"/>
      <w:lvlText w:val=""/>
      <w:lvlJc w:val="left"/>
    </w:lvl>
    <w:lvl w:ilvl="8" w:tplc="E408C838">
      <w:numFmt w:val="decimal"/>
      <w:lvlText w:val=""/>
      <w:lvlJc w:val="left"/>
    </w:lvl>
  </w:abstractNum>
  <w:abstractNum w:abstractNumId="265" w15:restartNumberingAfterBreak="0">
    <w:nsid w:val="3189923B"/>
    <w:multiLevelType w:val="hybridMultilevel"/>
    <w:tmpl w:val="F89C3F24"/>
    <w:lvl w:ilvl="0" w:tplc="93023E66">
      <w:start w:val="1"/>
      <w:numFmt w:val="bullet"/>
      <w:lvlText w:val="●"/>
      <w:lvlJc w:val="left"/>
    </w:lvl>
    <w:lvl w:ilvl="1" w:tplc="3B62842A">
      <w:numFmt w:val="decimal"/>
      <w:lvlText w:val=""/>
      <w:lvlJc w:val="left"/>
    </w:lvl>
    <w:lvl w:ilvl="2" w:tplc="A81E03EC">
      <w:numFmt w:val="decimal"/>
      <w:lvlText w:val=""/>
      <w:lvlJc w:val="left"/>
    </w:lvl>
    <w:lvl w:ilvl="3" w:tplc="BC28E17E">
      <w:numFmt w:val="decimal"/>
      <w:lvlText w:val=""/>
      <w:lvlJc w:val="left"/>
    </w:lvl>
    <w:lvl w:ilvl="4" w:tplc="53A2BDC0">
      <w:numFmt w:val="decimal"/>
      <w:lvlText w:val=""/>
      <w:lvlJc w:val="left"/>
    </w:lvl>
    <w:lvl w:ilvl="5" w:tplc="E8AA85D6">
      <w:numFmt w:val="decimal"/>
      <w:lvlText w:val=""/>
      <w:lvlJc w:val="left"/>
    </w:lvl>
    <w:lvl w:ilvl="6" w:tplc="049ADEBC">
      <w:numFmt w:val="decimal"/>
      <w:lvlText w:val=""/>
      <w:lvlJc w:val="left"/>
    </w:lvl>
    <w:lvl w:ilvl="7" w:tplc="797ADD42">
      <w:numFmt w:val="decimal"/>
      <w:lvlText w:val=""/>
      <w:lvlJc w:val="left"/>
    </w:lvl>
    <w:lvl w:ilvl="8" w:tplc="C42A31A8">
      <w:numFmt w:val="decimal"/>
      <w:lvlText w:val=""/>
      <w:lvlJc w:val="left"/>
    </w:lvl>
  </w:abstractNum>
  <w:abstractNum w:abstractNumId="266" w15:restartNumberingAfterBreak="0">
    <w:nsid w:val="319226A8"/>
    <w:multiLevelType w:val="hybridMultilevel"/>
    <w:tmpl w:val="562AF090"/>
    <w:lvl w:ilvl="0" w:tplc="83B4FCA4">
      <w:start w:val="1"/>
      <w:numFmt w:val="decimal"/>
      <w:lvlText w:val="%1."/>
      <w:lvlJc w:val="left"/>
    </w:lvl>
    <w:lvl w:ilvl="1" w:tplc="D0C6BC76">
      <w:numFmt w:val="decimal"/>
      <w:lvlText w:val=""/>
      <w:lvlJc w:val="left"/>
    </w:lvl>
    <w:lvl w:ilvl="2" w:tplc="6CF2128E">
      <w:numFmt w:val="decimal"/>
      <w:lvlText w:val=""/>
      <w:lvlJc w:val="left"/>
    </w:lvl>
    <w:lvl w:ilvl="3" w:tplc="1646BAC0">
      <w:numFmt w:val="decimal"/>
      <w:lvlText w:val=""/>
      <w:lvlJc w:val="left"/>
    </w:lvl>
    <w:lvl w:ilvl="4" w:tplc="CED68F1C">
      <w:numFmt w:val="decimal"/>
      <w:lvlText w:val=""/>
      <w:lvlJc w:val="left"/>
    </w:lvl>
    <w:lvl w:ilvl="5" w:tplc="9D4E5AA2">
      <w:numFmt w:val="decimal"/>
      <w:lvlText w:val=""/>
      <w:lvlJc w:val="left"/>
    </w:lvl>
    <w:lvl w:ilvl="6" w:tplc="528C4256">
      <w:numFmt w:val="decimal"/>
      <w:lvlText w:val=""/>
      <w:lvlJc w:val="left"/>
    </w:lvl>
    <w:lvl w:ilvl="7" w:tplc="3984CAE6">
      <w:numFmt w:val="decimal"/>
      <w:lvlText w:val=""/>
      <w:lvlJc w:val="left"/>
    </w:lvl>
    <w:lvl w:ilvl="8" w:tplc="9502E6F8">
      <w:numFmt w:val="decimal"/>
      <w:lvlText w:val=""/>
      <w:lvlJc w:val="left"/>
    </w:lvl>
  </w:abstractNum>
  <w:abstractNum w:abstractNumId="267" w15:restartNumberingAfterBreak="0">
    <w:nsid w:val="31987F4D"/>
    <w:multiLevelType w:val="hybridMultilevel"/>
    <w:tmpl w:val="06264BAC"/>
    <w:lvl w:ilvl="0" w:tplc="592EAB0E">
      <w:start w:val="1"/>
      <w:numFmt w:val="bullet"/>
      <w:lvlText w:val="•"/>
      <w:lvlJc w:val="left"/>
    </w:lvl>
    <w:lvl w:ilvl="1" w:tplc="E51276EC">
      <w:numFmt w:val="decimal"/>
      <w:lvlText w:val=""/>
      <w:lvlJc w:val="left"/>
    </w:lvl>
    <w:lvl w:ilvl="2" w:tplc="CB7CFA54">
      <w:numFmt w:val="decimal"/>
      <w:lvlText w:val=""/>
      <w:lvlJc w:val="left"/>
    </w:lvl>
    <w:lvl w:ilvl="3" w:tplc="EEA0229A">
      <w:numFmt w:val="decimal"/>
      <w:lvlText w:val=""/>
      <w:lvlJc w:val="left"/>
    </w:lvl>
    <w:lvl w:ilvl="4" w:tplc="C284CB14">
      <w:numFmt w:val="decimal"/>
      <w:lvlText w:val=""/>
      <w:lvlJc w:val="left"/>
    </w:lvl>
    <w:lvl w:ilvl="5" w:tplc="369A3C18">
      <w:numFmt w:val="decimal"/>
      <w:lvlText w:val=""/>
      <w:lvlJc w:val="left"/>
    </w:lvl>
    <w:lvl w:ilvl="6" w:tplc="E64A508C">
      <w:numFmt w:val="decimal"/>
      <w:lvlText w:val=""/>
      <w:lvlJc w:val="left"/>
    </w:lvl>
    <w:lvl w:ilvl="7" w:tplc="826E37DE">
      <w:numFmt w:val="decimal"/>
      <w:lvlText w:val=""/>
      <w:lvlJc w:val="left"/>
    </w:lvl>
    <w:lvl w:ilvl="8" w:tplc="A13AD1A8">
      <w:numFmt w:val="decimal"/>
      <w:lvlText w:val=""/>
      <w:lvlJc w:val="left"/>
    </w:lvl>
  </w:abstractNum>
  <w:abstractNum w:abstractNumId="268" w15:restartNumberingAfterBreak="0">
    <w:nsid w:val="31DB67DC"/>
    <w:multiLevelType w:val="hybridMultilevel"/>
    <w:tmpl w:val="5C1CFC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9" w15:restartNumberingAfterBreak="0">
    <w:nsid w:val="31E0986F"/>
    <w:multiLevelType w:val="hybridMultilevel"/>
    <w:tmpl w:val="B002C86A"/>
    <w:lvl w:ilvl="0" w:tplc="372C1654">
      <w:start w:val="2"/>
      <w:numFmt w:val="lowerLetter"/>
      <w:lvlText w:val="%1."/>
      <w:lvlJc w:val="left"/>
    </w:lvl>
    <w:lvl w:ilvl="1" w:tplc="FE082EC8">
      <w:numFmt w:val="decimal"/>
      <w:lvlText w:val=""/>
      <w:lvlJc w:val="left"/>
    </w:lvl>
    <w:lvl w:ilvl="2" w:tplc="F51E267E">
      <w:numFmt w:val="decimal"/>
      <w:lvlText w:val=""/>
      <w:lvlJc w:val="left"/>
    </w:lvl>
    <w:lvl w:ilvl="3" w:tplc="26F00832">
      <w:numFmt w:val="decimal"/>
      <w:lvlText w:val=""/>
      <w:lvlJc w:val="left"/>
    </w:lvl>
    <w:lvl w:ilvl="4" w:tplc="D488F206">
      <w:numFmt w:val="decimal"/>
      <w:lvlText w:val=""/>
      <w:lvlJc w:val="left"/>
    </w:lvl>
    <w:lvl w:ilvl="5" w:tplc="69E26552">
      <w:numFmt w:val="decimal"/>
      <w:lvlText w:val=""/>
      <w:lvlJc w:val="left"/>
    </w:lvl>
    <w:lvl w:ilvl="6" w:tplc="766C84C8">
      <w:numFmt w:val="decimal"/>
      <w:lvlText w:val=""/>
      <w:lvlJc w:val="left"/>
    </w:lvl>
    <w:lvl w:ilvl="7" w:tplc="685CF82E">
      <w:numFmt w:val="decimal"/>
      <w:lvlText w:val=""/>
      <w:lvlJc w:val="left"/>
    </w:lvl>
    <w:lvl w:ilvl="8" w:tplc="A5F42CA4">
      <w:numFmt w:val="decimal"/>
      <w:lvlText w:val=""/>
      <w:lvlJc w:val="left"/>
    </w:lvl>
  </w:abstractNum>
  <w:abstractNum w:abstractNumId="270" w15:restartNumberingAfterBreak="0">
    <w:nsid w:val="31ED2BAF"/>
    <w:multiLevelType w:val="hybridMultilevel"/>
    <w:tmpl w:val="BA667E12"/>
    <w:lvl w:ilvl="0" w:tplc="FF921F24">
      <w:start w:val="1"/>
      <w:numFmt w:val="bullet"/>
      <w:lvlText w:val="-"/>
      <w:lvlJc w:val="left"/>
    </w:lvl>
    <w:lvl w:ilvl="1" w:tplc="04F21068">
      <w:start w:val="1"/>
      <w:numFmt w:val="bullet"/>
      <w:lvlText w:val="•"/>
      <w:lvlJc w:val="left"/>
    </w:lvl>
    <w:lvl w:ilvl="2" w:tplc="E4CAB0A2">
      <w:numFmt w:val="decimal"/>
      <w:lvlText w:val=""/>
      <w:lvlJc w:val="left"/>
    </w:lvl>
    <w:lvl w:ilvl="3" w:tplc="A8B4B6AA">
      <w:numFmt w:val="decimal"/>
      <w:lvlText w:val=""/>
      <w:lvlJc w:val="left"/>
    </w:lvl>
    <w:lvl w:ilvl="4" w:tplc="0E4A8C28">
      <w:numFmt w:val="decimal"/>
      <w:lvlText w:val=""/>
      <w:lvlJc w:val="left"/>
    </w:lvl>
    <w:lvl w:ilvl="5" w:tplc="42C011DC">
      <w:numFmt w:val="decimal"/>
      <w:lvlText w:val=""/>
      <w:lvlJc w:val="left"/>
    </w:lvl>
    <w:lvl w:ilvl="6" w:tplc="92789F38">
      <w:numFmt w:val="decimal"/>
      <w:lvlText w:val=""/>
      <w:lvlJc w:val="left"/>
    </w:lvl>
    <w:lvl w:ilvl="7" w:tplc="95D81698">
      <w:numFmt w:val="decimal"/>
      <w:lvlText w:val=""/>
      <w:lvlJc w:val="left"/>
    </w:lvl>
    <w:lvl w:ilvl="8" w:tplc="45BCBA96">
      <w:numFmt w:val="decimal"/>
      <w:lvlText w:val=""/>
      <w:lvlJc w:val="left"/>
    </w:lvl>
  </w:abstractNum>
  <w:abstractNum w:abstractNumId="271" w15:restartNumberingAfterBreak="0">
    <w:nsid w:val="325102D3"/>
    <w:multiLevelType w:val="hybridMultilevel"/>
    <w:tmpl w:val="1618E67A"/>
    <w:lvl w:ilvl="0" w:tplc="93F225B8">
      <w:start w:val="1"/>
      <w:numFmt w:val="lowerLetter"/>
      <w:lvlText w:val="%1)"/>
      <w:lvlJc w:val="left"/>
    </w:lvl>
    <w:lvl w:ilvl="1" w:tplc="54F6C5AA">
      <w:numFmt w:val="decimal"/>
      <w:lvlText w:val=""/>
      <w:lvlJc w:val="left"/>
    </w:lvl>
    <w:lvl w:ilvl="2" w:tplc="C3CACDC6">
      <w:numFmt w:val="decimal"/>
      <w:lvlText w:val=""/>
      <w:lvlJc w:val="left"/>
    </w:lvl>
    <w:lvl w:ilvl="3" w:tplc="BB9A8666">
      <w:numFmt w:val="decimal"/>
      <w:lvlText w:val=""/>
      <w:lvlJc w:val="left"/>
    </w:lvl>
    <w:lvl w:ilvl="4" w:tplc="778A7460">
      <w:numFmt w:val="decimal"/>
      <w:lvlText w:val=""/>
      <w:lvlJc w:val="left"/>
    </w:lvl>
    <w:lvl w:ilvl="5" w:tplc="262A6A2E">
      <w:numFmt w:val="decimal"/>
      <w:lvlText w:val=""/>
      <w:lvlJc w:val="left"/>
    </w:lvl>
    <w:lvl w:ilvl="6" w:tplc="DCC06142">
      <w:numFmt w:val="decimal"/>
      <w:lvlText w:val=""/>
      <w:lvlJc w:val="left"/>
    </w:lvl>
    <w:lvl w:ilvl="7" w:tplc="8DA0AFB6">
      <w:numFmt w:val="decimal"/>
      <w:lvlText w:val=""/>
      <w:lvlJc w:val="left"/>
    </w:lvl>
    <w:lvl w:ilvl="8" w:tplc="65BEC894">
      <w:numFmt w:val="decimal"/>
      <w:lvlText w:val=""/>
      <w:lvlJc w:val="left"/>
    </w:lvl>
  </w:abstractNum>
  <w:abstractNum w:abstractNumId="272" w15:restartNumberingAfterBreak="0">
    <w:nsid w:val="326C3C76"/>
    <w:multiLevelType w:val="hybridMultilevel"/>
    <w:tmpl w:val="C1989F76"/>
    <w:lvl w:ilvl="0" w:tplc="20769762">
      <w:start w:val="1"/>
      <w:numFmt w:val="bullet"/>
      <w:lvlText w:val="•"/>
      <w:lvlJc w:val="left"/>
    </w:lvl>
    <w:lvl w:ilvl="1" w:tplc="37725B48">
      <w:numFmt w:val="decimal"/>
      <w:lvlText w:val=""/>
      <w:lvlJc w:val="left"/>
    </w:lvl>
    <w:lvl w:ilvl="2" w:tplc="51D6E834">
      <w:numFmt w:val="decimal"/>
      <w:lvlText w:val=""/>
      <w:lvlJc w:val="left"/>
    </w:lvl>
    <w:lvl w:ilvl="3" w:tplc="B46AEFEA">
      <w:numFmt w:val="decimal"/>
      <w:lvlText w:val=""/>
      <w:lvlJc w:val="left"/>
    </w:lvl>
    <w:lvl w:ilvl="4" w:tplc="76DA10BE">
      <w:numFmt w:val="decimal"/>
      <w:lvlText w:val=""/>
      <w:lvlJc w:val="left"/>
    </w:lvl>
    <w:lvl w:ilvl="5" w:tplc="AE5ED2B6">
      <w:numFmt w:val="decimal"/>
      <w:lvlText w:val=""/>
      <w:lvlJc w:val="left"/>
    </w:lvl>
    <w:lvl w:ilvl="6" w:tplc="2C9015CC">
      <w:numFmt w:val="decimal"/>
      <w:lvlText w:val=""/>
      <w:lvlJc w:val="left"/>
    </w:lvl>
    <w:lvl w:ilvl="7" w:tplc="9C1A1E34">
      <w:numFmt w:val="decimal"/>
      <w:lvlText w:val=""/>
      <w:lvlJc w:val="left"/>
    </w:lvl>
    <w:lvl w:ilvl="8" w:tplc="193C950A">
      <w:numFmt w:val="decimal"/>
      <w:lvlText w:val=""/>
      <w:lvlJc w:val="left"/>
    </w:lvl>
  </w:abstractNum>
  <w:abstractNum w:abstractNumId="273" w15:restartNumberingAfterBreak="0">
    <w:nsid w:val="32AFBB81"/>
    <w:multiLevelType w:val="hybridMultilevel"/>
    <w:tmpl w:val="2B5267B6"/>
    <w:lvl w:ilvl="0" w:tplc="37B2118E">
      <w:start w:val="1"/>
      <w:numFmt w:val="lowerRoman"/>
      <w:lvlText w:val="%1"/>
      <w:lvlJc w:val="left"/>
    </w:lvl>
    <w:lvl w:ilvl="1" w:tplc="F51864BA">
      <w:numFmt w:val="decimal"/>
      <w:lvlText w:val=""/>
      <w:lvlJc w:val="left"/>
    </w:lvl>
    <w:lvl w:ilvl="2" w:tplc="9A485F78">
      <w:numFmt w:val="decimal"/>
      <w:lvlText w:val=""/>
      <w:lvlJc w:val="left"/>
    </w:lvl>
    <w:lvl w:ilvl="3" w:tplc="DC10E12E">
      <w:numFmt w:val="decimal"/>
      <w:lvlText w:val=""/>
      <w:lvlJc w:val="left"/>
    </w:lvl>
    <w:lvl w:ilvl="4" w:tplc="4FD28CCA">
      <w:numFmt w:val="decimal"/>
      <w:lvlText w:val=""/>
      <w:lvlJc w:val="left"/>
    </w:lvl>
    <w:lvl w:ilvl="5" w:tplc="87427C14">
      <w:numFmt w:val="decimal"/>
      <w:lvlText w:val=""/>
      <w:lvlJc w:val="left"/>
    </w:lvl>
    <w:lvl w:ilvl="6" w:tplc="A694F712">
      <w:numFmt w:val="decimal"/>
      <w:lvlText w:val=""/>
      <w:lvlJc w:val="left"/>
    </w:lvl>
    <w:lvl w:ilvl="7" w:tplc="231EAF66">
      <w:numFmt w:val="decimal"/>
      <w:lvlText w:val=""/>
      <w:lvlJc w:val="left"/>
    </w:lvl>
    <w:lvl w:ilvl="8" w:tplc="913E816C">
      <w:numFmt w:val="decimal"/>
      <w:lvlText w:val=""/>
      <w:lvlJc w:val="left"/>
    </w:lvl>
  </w:abstractNum>
  <w:abstractNum w:abstractNumId="274" w15:restartNumberingAfterBreak="0">
    <w:nsid w:val="32D55C79"/>
    <w:multiLevelType w:val="hybridMultilevel"/>
    <w:tmpl w:val="8E083BA8"/>
    <w:lvl w:ilvl="0" w:tplc="53CABD30">
      <w:start w:val="1"/>
      <w:numFmt w:val="bullet"/>
      <w:lvlText w:val="-"/>
      <w:lvlJc w:val="left"/>
      <w:pPr>
        <w:ind w:left="1440" w:hanging="360"/>
      </w:p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75" w15:restartNumberingAfterBreak="0">
    <w:nsid w:val="32FB27C0"/>
    <w:multiLevelType w:val="hybridMultilevel"/>
    <w:tmpl w:val="5C72F71A"/>
    <w:lvl w:ilvl="0" w:tplc="2932B63E">
      <w:start w:val="1"/>
      <w:numFmt w:val="bullet"/>
      <w:lvlText w:val="•"/>
      <w:lvlJc w:val="left"/>
    </w:lvl>
    <w:lvl w:ilvl="1" w:tplc="DA9E8C26">
      <w:numFmt w:val="decimal"/>
      <w:lvlText w:val=""/>
      <w:lvlJc w:val="left"/>
    </w:lvl>
    <w:lvl w:ilvl="2" w:tplc="F5D22640">
      <w:numFmt w:val="decimal"/>
      <w:lvlText w:val=""/>
      <w:lvlJc w:val="left"/>
    </w:lvl>
    <w:lvl w:ilvl="3" w:tplc="D9182E60">
      <w:numFmt w:val="decimal"/>
      <w:lvlText w:val=""/>
      <w:lvlJc w:val="left"/>
    </w:lvl>
    <w:lvl w:ilvl="4" w:tplc="983CBD7A">
      <w:numFmt w:val="decimal"/>
      <w:lvlText w:val=""/>
      <w:lvlJc w:val="left"/>
    </w:lvl>
    <w:lvl w:ilvl="5" w:tplc="A3AA3B3C">
      <w:numFmt w:val="decimal"/>
      <w:lvlText w:val=""/>
      <w:lvlJc w:val="left"/>
    </w:lvl>
    <w:lvl w:ilvl="6" w:tplc="C648368E">
      <w:numFmt w:val="decimal"/>
      <w:lvlText w:val=""/>
      <w:lvlJc w:val="left"/>
    </w:lvl>
    <w:lvl w:ilvl="7" w:tplc="64D8470A">
      <w:numFmt w:val="decimal"/>
      <w:lvlText w:val=""/>
      <w:lvlJc w:val="left"/>
    </w:lvl>
    <w:lvl w:ilvl="8" w:tplc="CECAC44A">
      <w:numFmt w:val="decimal"/>
      <w:lvlText w:val=""/>
      <w:lvlJc w:val="left"/>
    </w:lvl>
  </w:abstractNum>
  <w:abstractNum w:abstractNumId="276" w15:restartNumberingAfterBreak="0">
    <w:nsid w:val="330B7CD1"/>
    <w:multiLevelType w:val="hybridMultilevel"/>
    <w:tmpl w:val="4FDAD9B4"/>
    <w:lvl w:ilvl="0" w:tplc="04050011">
      <w:start w:val="1"/>
      <w:numFmt w:val="decimal"/>
      <w:lvlText w:val="%1)"/>
      <w:lvlJc w:val="left"/>
    </w:lvl>
    <w:lvl w:ilvl="1" w:tplc="63729A72">
      <w:numFmt w:val="decimal"/>
      <w:lvlText w:val=""/>
      <w:lvlJc w:val="left"/>
    </w:lvl>
    <w:lvl w:ilvl="2" w:tplc="7D584032">
      <w:numFmt w:val="decimal"/>
      <w:lvlText w:val=""/>
      <w:lvlJc w:val="left"/>
    </w:lvl>
    <w:lvl w:ilvl="3" w:tplc="4F447BE2">
      <w:numFmt w:val="decimal"/>
      <w:lvlText w:val=""/>
      <w:lvlJc w:val="left"/>
    </w:lvl>
    <w:lvl w:ilvl="4" w:tplc="241A3C0A">
      <w:numFmt w:val="decimal"/>
      <w:lvlText w:val=""/>
      <w:lvlJc w:val="left"/>
    </w:lvl>
    <w:lvl w:ilvl="5" w:tplc="C004D9FC">
      <w:numFmt w:val="decimal"/>
      <w:lvlText w:val=""/>
      <w:lvlJc w:val="left"/>
    </w:lvl>
    <w:lvl w:ilvl="6" w:tplc="1F7E89CE">
      <w:numFmt w:val="decimal"/>
      <w:lvlText w:val=""/>
      <w:lvlJc w:val="left"/>
    </w:lvl>
    <w:lvl w:ilvl="7" w:tplc="49C6B70E">
      <w:numFmt w:val="decimal"/>
      <w:lvlText w:val=""/>
      <w:lvlJc w:val="left"/>
    </w:lvl>
    <w:lvl w:ilvl="8" w:tplc="08B0AB0E">
      <w:numFmt w:val="decimal"/>
      <w:lvlText w:val=""/>
      <w:lvlJc w:val="left"/>
    </w:lvl>
  </w:abstractNum>
  <w:abstractNum w:abstractNumId="277" w15:restartNumberingAfterBreak="0">
    <w:nsid w:val="33157B2C"/>
    <w:multiLevelType w:val="hybridMultilevel"/>
    <w:tmpl w:val="1C8ED0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8" w15:restartNumberingAfterBreak="0">
    <w:nsid w:val="3330B1EE"/>
    <w:multiLevelType w:val="hybridMultilevel"/>
    <w:tmpl w:val="37BCB176"/>
    <w:lvl w:ilvl="0" w:tplc="8222C00E">
      <w:start w:val="1"/>
      <w:numFmt w:val="bullet"/>
      <w:lvlText w:val="•"/>
      <w:lvlJc w:val="left"/>
    </w:lvl>
    <w:lvl w:ilvl="1" w:tplc="8F9CE514">
      <w:numFmt w:val="decimal"/>
      <w:lvlText w:val=""/>
      <w:lvlJc w:val="left"/>
    </w:lvl>
    <w:lvl w:ilvl="2" w:tplc="BE6CBBDC">
      <w:numFmt w:val="decimal"/>
      <w:lvlText w:val=""/>
      <w:lvlJc w:val="left"/>
    </w:lvl>
    <w:lvl w:ilvl="3" w:tplc="853CDFCA">
      <w:numFmt w:val="decimal"/>
      <w:lvlText w:val=""/>
      <w:lvlJc w:val="left"/>
    </w:lvl>
    <w:lvl w:ilvl="4" w:tplc="C2E2F55A">
      <w:numFmt w:val="decimal"/>
      <w:lvlText w:val=""/>
      <w:lvlJc w:val="left"/>
    </w:lvl>
    <w:lvl w:ilvl="5" w:tplc="19C05DCE">
      <w:numFmt w:val="decimal"/>
      <w:lvlText w:val=""/>
      <w:lvlJc w:val="left"/>
    </w:lvl>
    <w:lvl w:ilvl="6" w:tplc="3F3EA65E">
      <w:numFmt w:val="decimal"/>
      <w:lvlText w:val=""/>
      <w:lvlJc w:val="left"/>
    </w:lvl>
    <w:lvl w:ilvl="7" w:tplc="E4423C54">
      <w:numFmt w:val="decimal"/>
      <w:lvlText w:val=""/>
      <w:lvlJc w:val="left"/>
    </w:lvl>
    <w:lvl w:ilvl="8" w:tplc="B54CC604">
      <w:numFmt w:val="decimal"/>
      <w:lvlText w:val=""/>
      <w:lvlJc w:val="left"/>
    </w:lvl>
  </w:abstractNum>
  <w:abstractNum w:abstractNumId="279" w15:restartNumberingAfterBreak="0">
    <w:nsid w:val="335D34EA"/>
    <w:multiLevelType w:val="hybridMultilevel"/>
    <w:tmpl w:val="40288AA4"/>
    <w:lvl w:ilvl="0" w:tplc="4322D6AE">
      <w:start w:val="1"/>
      <w:numFmt w:val="bullet"/>
      <w:lvlText w:val="•"/>
      <w:lvlJc w:val="left"/>
    </w:lvl>
    <w:lvl w:ilvl="1" w:tplc="5142A03A">
      <w:numFmt w:val="decimal"/>
      <w:lvlText w:val=""/>
      <w:lvlJc w:val="left"/>
    </w:lvl>
    <w:lvl w:ilvl="2" w:tplc="7A601496">
      <w:numFmt w:val="decimal"/>
      <w:lvlText w:val=""/>
      <w:lvlJc w:val="left"/>
    </w:lvl>
    <w:lvl w:ilvl="3" w:tplc="09AEC6E0">
      <w:numFmt w:val="decimal"/>
      <w:lvlText w:val=""/>
      <w:lvlJc w:val="left"/>
    </w:lvl>
    <w:lvl w:ilvl="4" w:tplc="3C0A9EDC">
      <w:numFmt w:val="decimal"/>
      <w:lvlText w:val=""/>
      <w:lvlJc w:val="left"/>
    </w:lvl>
    <w:lvl w:ilvl="5" w:tplc="E3C0C412">
      <w:numFmt w:val="decimal"/>
      <w:lvlText w:val=""/>
      <w:lvlJc w:val="left"/>
    </w:lvl>
    <w:lvl w:ilvl="6" w:tplc="86644328">
      <w:numFmt w:val="decimal"/>
      <w:lvlText w:val=""/>
      <w:lvlJc w:val="left"/>
    </w:lvl>
    <w:lvl w:ilvl="7" w:tplc="A420F83A">
      <w:numFmt w:val="decimal"/>
      <w:lvlText w:val=""/>
      <w:lvlJc w:val="left"/>
    </w:lvl>
    <w:lvl w:ilvl="8" w:tplc="578617C0">
      <w:numFmt w:val="decimal"/>
      <w:lvlText w:val=""/>
      <w:lvlJc w:val="left"/>
    </w:lvl>
  </w:abstractNum>
  <w:abstractNum w:abstractNumId="280" w15:restartNumberingAfterBreak="0">
    <w:nsid w:val="33D9F200"/>
    <w:multiLevelType w:val="hybridMultilevel"/>
    <w:tmpl w:val="0EE23ACE"/>
    <w:lvl w:ilvl="0" w:tplc="4CEE9AB8">
      <w:start w:val="1"/>
      <w:numFmt w:val="bullet"/>
      <w:lvlText w:val="-"/>
      <w:lvlJc w:val="left"/>
    </w:lvl>
    <w:lvl w:ilvl="1" w:tplc="01768014">
      <w:start w:val="4"/>
      <w:numFmt w:val="decimal"/>
      <w:lvlText w:val="%2)"/>
      <w:lvlJc w:val="left"/>
    </w:lvl>
    <w:lvl w:ilvl="2" w:tplc="E5D6FDEA">
      <w:numFmt w:val="decimal"/>
      <w:lvlText w:val=""/>
      <w:lvlJc w:val="left"/>
    </w:lvl>
    <w:lvl w:ilvl="3" w:tplc="AA04040E">
      <w:numFmt w:val="decimal"/>
      <w:lvlText w:val=""/>
      <w:lvlJc w:val="left"/>
    </w:lvl>
    <w:lvl w:ilvl="4" w:tplc="F1B44CA4">
      <w:numFmt w:val="decimal"/>
      <w:lvlText w:val=""/>
      <w:lvlJc w:val="left"/>
    </w:lvl>
    <w:lvl w:ilvl="5" w:tplc="AC2EE59C">
      <w:numFmt w:val="decimal"/>
      <w:lvlText w:val=""/>
      <w:lvlJc w:val="left"/>
    </w:lvl>
    <w:lvl w:ilvl="6" w:tplc="114E48C0">
      <w:numFmt w:val="decimal"/>
      <w:lvlText w:val=""/>
      <w:lvlJc w:val="left"/>
    </w:lvl>
    <w:lvl w:ilvl="7" w:tplc="51908F0E">
      <w:numFmt w:val="decimal"/>
      <w:lvlText w:val=""/>
      <w:lvlJc w:val="left"/>
    </w:lvl>
    <w:lvl w:ilvl="8" w:tplc="9F9A4A1C">
      <w:numFmt w:val="decimal"/>
      <w:lvlText w:val=""/>
      <w:lvlJc w:val="left"/>
    </w:lvl>
  </w:abstractNum>
  <w:abstractNum w:abstractNumId="281" w15:restartNumberingAfterBreak="0">
    <w:nsid w:val="33F518DB"/>
    <w:multiLevelType w:val="hybridMultilevel"/>
    <w:tmpl w:val="DDC6B988"/>
    <w:lvl w:ilvl="0" w:tplc="15E0B6F4">
      <w:start w:val="1"/>
      <w:numFmt w:val="bullet"/>
      <w:lvlText w:val="•"/>
      <w:lvlJc w:val="left"/>
    </w:lvl>
    <w:lvl w:ilvl="1" w:tplc="203AD5EE">
      <w:numFmt w:val="decimal"/>
      <w:lvlText w:val=""/>
      <w:lvlJc w:val="left"/>
    </w:lvl>
    <w:lvl w:ilvl="2" w:tplc="BD480500">
      <w:numFmt w:val="decimal"/>
      <w:lvlText w:val=""/>
      <w:lvlJc w:val="left"/>
    </w:lvl>
    <w:lvl w:ilvl="3" w:tplc="4F06EC92">
      <w:numFmt w:val="decimal"/>
      <w:lvlText w:val=""/>
      <w:lvlJc w:val="left"/>
    </w:lvl>
    <w:lvl w:ilvl="4" w:tplc="5E7422EC">
      <w:numFmt w:val="decimal"/>
      <w:lvlText w:val=""/>
      <w:lvlJc w:val="left"/>
    </w:lvl>
    <w:lvl w:ilvl="5" w:tplc="F9527784">
      <w:numFmt w:val="decimal"/>
      <w:lvlText w:val=""/>
      <w:lvlJc w:val="left"/>
    </w:lvl>
    <w:lvl w:ilvl="6" w:tplc="9F90C076">
      <w:numFmt w:val="decimal"/>
      <w:lvlText w:val=""/>
      <w:lvlJc w:val="left"/>
    </w:lvl>
    <w:lvl w:ilvl="7" w:tplc="FF7CBE8E">
      <w:numFmt w:val="decimal"/>
      <w:lvlText w:val=""/>
      <w:lvlJc w:val="left"/>
    </w:lvl>
    <w:lvl w:ilvl="8" w:tplc="03FAF666">
      <w:numFmt w:val="decimal"/>
      <w:lvlText w:val=""/>
      <w:lvlJc w:val="left"/>
    </w:lvl>
  </w:abstractNum>
  <w:abstractNum w:abstractNumId="282" w15:restartNumberingAfterBreak="0">
    <w:nsid w:val="3402785F"/>
    <w:multiLevelType w:val="hybridMultilevel"/>
    <w:tmpl w:val="6D40AF78"/>
    <w:lvl w:ilvl="0" w:tplc="53CABD30">
      <w:start w:val="1"/>
      <w:numFmt w:val="bullet"/>
      <w:lvlText w:val="-"/>
      <w:lvlJc w:val="left"/>
      <w:pPr>
        <w:ind w:left="720" w:hanging="360"/>
      </w:pPr>
      <w:rPr>
        <w:rFonts w:hint="default"/>
        <w:color w:val="auto"/>
        <w:sz w:val="24"/>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3" w15:restartNumberingAfterBreak="0">
    <w:nsid w:val="344702AC"/>
    <w:multiLevelType w:val="hybridMultilevel"/>
    <w:tmpl w:val="A3C4302E"/>
    <w:lvl w:ilvl="0" w:tplc="D9820400">
      <w:start w:val="1"/>
      <w:numFmt w:val="bullet"/>
      <w:lvlText w:val="•"/>
      <w:lvlJc w:val="left"/>
    </w:lvl>
    <w:lvl w:ilvl="1" w:tplc="E0907938">
      <w:numFmt w:val="decimal"/>
      <w:lvlText w:val=""/>
      <w:lvlJc w:val="left"/>
    </w:lvl>
    <w:lvl w:ilvl="2" w:tplc="FCE44CEA">
      <w:numFmt w:val="decimal"/>
      <w:lvlText w:val=""/>
      <w:lvlJc w:val="left"/>
    </w:lvl>
    <w:lvl w:ilvl="3" w:tplc="1B84D7D4">
      <w:numFmt w:val="decimal"/>
      <w:lvlText w:val=""/>
      <w:lvlJc w:val="left"/>
    </w:lvl>
    <w:lvl w:ilvl="4" w:tplc="70F83A20">
      <w:numFmt w:val="decimal"/>
      <w:lvlText w:val=""/>
      <w:lvlJc w:val="left"/>
    </w:lvl>
    <w:lvl w:ilvl="5" w:tplc="2C4E0098">
      <w:numFmt w:val="decimal"/>
      <w:lvlText w:val=""/>
      <w:lvlJc w:val="left"/>
    </w:lvl>
    <w:lvl w:ilvl="6" w:tplc="1680724A">
      <w:numFmt w:val="decimal"/>
      <w:lvlText w:val=""/>
      <w:lvlJc w:val="left"/>
    </w:lvl>
    <w:lvl w:ilvl="7" w:tplc="DD7EC114">
      <w:numFmt w:val="decimal"/>
      <w:lvlText w:val=""/>
      <w:lvlJc w:val="left"/>
    </w:lvl>
    <w:lvl w:ilvl="8" w:tplc="C7FCBC64">
      <w:numFmt w:val="decimal"/>
      <w:lvlText w:val=""/>
      <w:lvlJc w:val="left"/>
    </w:lvl>
  </w:abstractNum>
  <w:abstractNum w:abstractNumId="284" w15:restartNumberingAfterBreak="0">
    <w:nsid w:val="34611421"/>
    <w:multiLevelType w:val="hybridMultilevel"/>
    <w:tmpl w:val="10D06FCE"/>
    <w:lvl w:ilvl="0" w:tplc="BB80C040">
      <w:start w:val="1"/>
      <w:numFmt w:val="bullet"/>
      <w:lvlText w:val="•"/>
      <w:lvlJc w:val="left"/>
    </w:lvl>
    <w:lvl w:ilvl="1" w:tplc="CA8E1E88">
      <w:numFmt w:val="decimal"/>
      <w:lvlText w:val=""/>
      <w:lvlJc w:val="left"/>
    </w:lvl>
    <w:lvl w:ilvl="2" w:tplc="9A6A4876">
      <w:numFmt w:val="decimal"/>
      <w:lvlText w:val=""/>
      <w:lvlJc w:val="left"/>
    </w:lvl>
    <w:lvl w:ilvl="3" w:tplc="2CB6AD72">
      <w:numFmt w:val="decimal"/>
      <w:lvlText w:val=""/>
      <w:lvlJc w:val="left"/>
    </w:lvl>
    <w:lvl w:ilvl="4" w:tplc="6388ED90">
      <w:numFmt w:val="decimal"/>
      <w:lvlText w:val=""/>
      <w:lvlJc w:val="left"/>
    </w:lvl>
    <w:lvl w:ilvl="5" w:tplc="5448C870">
      <w:numFmt w:val="decimal"/>
      <w:lvlText w:val=""/>
      <w:lvlJc w:val="left"/>
    </w:lvl>
    <w:lvl w:ilvl="6" w:tplc="06B6B916">
      <w:numFmt w:val="decimal"/>
      <w:lvlText w:val=""/>
      <w:lvlJc w:val="left"/>
    </w:lvl>
    <w:lvl w:ilvl="7" w:tplc="345C0808">
      <w:numFmt w:val="decimal"/>
      <w:lvlText w:val=""/>
      <w:lvlJc w:val="left"/>
    </w:lvl>
    <w:lvl w:ilvl="8" w:tplc="556EDAF4">
      <w:numFmt w:val="decimal"/>
      <w:lvlText w:val=""/>
      <w:lvlJc w:val="left"/>
    </w:lvl>
  </w:abstractNum>
  <w:abstractNum w:abstractNumId="285" w15:restartNumberingAfterBreak="0">
    <w:nsid w:val="34FA7B2B"/>
    <w:multiLevelType w:val="hybridMultilevel"/>
    <w:tmpl w:val="42CAA7AC"/>
    <w:lvl w:ilvl="0" w:tplc="DCB6BE6E">
      <w:start w:val="1"/>
      <w:numFmt w:val="bullet"/>
      <w:lvlText w:val="·"/>
      <w:lvlJc w:val="left"/>
    </w:lvl>
    <w:lvl w:ilvl="1" w:tplc="071ADE4C">
      <w:numFmt w:val="decimal"/>
      <w:lvlText w:val=""/>
      <w:lvlJc w:val="left"/>
    </w:lvl>
    <w:lvl w:ilvl="2" w:tplc="9CD89BDE">
      <w:numFmt w:val="decimal"/>
      <w:lvlText w:val=""/>
      <w:lvlJc w:val="left"/>
    </w:lvl>
    <w:lvl w:ilvl="3" w:tplc="3A74FE56">
      <w:numFmt w:val="decimal"/>
      <w:lvlText w:val=""/>
      <w:lvlJc w:val="left"/>
    </w:lvl>
    <w:lvl w:ilvl="4" w:tplc="B69E3DCC">
      <w:numFmt w:val="decimal"/>
      <w:lvlText w:val=""/>
      <w:lvlJc w:val="left"/>
    </w:lvl>
    <w:lvl w:ilvl="5" w:tplc="1A76A014">
      <w:numFmt w:val="decimal"/>
      <w:lvlText w:val=""/>
      <w:lvlJc w:val="left"/>
    </w:lvl>
    <w:lvl w:ilvl="6" w:tplc="95A461CC">
      <w:numFmt w:val="decimal"/>
      <w:lvlText w:val=""/>
      <w:lvlJc w:val="left"/>
    </w:lvl>
    <w:lvl w:ilvl="7" w:tplc="555C0B6E">
      <w:numFmt w:val="decimal"/>
      <w:lvlText w:val=""/>
      <w:lvlJc w:val="left"/>
    </w:lvl>
    <w:lvl w:ilvl="8" w:tplc="C70CD006">
      <w:numFmt w:val="decimal"/>
      <w:lvlText w:val=""/>
      <w:lvlJc w:val="left"/>
    </w:lvl>
  </w:abstractNum>
  <w:abstractNum w:abstractNumId="286" w15:restartNumberingAfterBreak="0">
    <w:nsid w:val="34FF5C25"/>
    <w:multiLevelType w:val="hybridMultilevel"/>
    <w:tmpl w:val="6022837A"/>
    <w:lvl w:ilvl="0" w:tplc="53CABD30">
      <w:start w:val="1"/>
      <w:numFmt w:val="bullet"/>
      <w:lvlText w:val="-"/>
      <w:lvlJc w:val="left"/>
      <w:pPr>
        <w:ind w:left="1440" w:hanging="360"/>
      </w:p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87" w15:restartNumberingAfterBreak="0">
    <w:nsid w:val="350C3F58"/>
    <w:multiLevelType w:val="hybridMultilevel"/>
    <w:tmpl w:val="D2F6BF7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8" w15:restartNumberingAfterBreak="0">
    <w:nsid w:val="35262F7E"/>
    <w:multiLevelType w:val="hybridMultilevel"/>
    <w:tmpl w:val="547C928C"/>
    <w:lvl w:ilvl="0" w:tplc="CBFADD0C">
      <w:start w:val="1"/>
      <w:numFmt w:val="bullet"/>
      <w:lvlText w:val="―"/>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89" w15:restartNumberingAfterBreak="0">
    <w:nsid w:val="35569F99"/>
    <w:multiLevelType w:val="hybridMultilevel"/>
    <w:tmpl w:val="A872B764"/>
    <w:lvl w:ilvl="0" w:tplc="F1142950">
      <w:start w:val="1"/>
      <w:numFmt w:val="bullet"/>
      <w:lvlText w:val="-"/>
      <w:lvlJc w:val="left"/>
    </w:lvl>
    <w:lvl w:ilvl="1" w:tplc="37202AE2">
      <w:numFmt w:val="decimal"/>
      <w:lvlText w:val=""/>
      <w:lvlJc w:val="left"/>
    </w:lvl>
    <w:lvl w:ilvl="2" w:tplc="791CBEDE">
      <w:numFmt w:val="decimal"/>
      <w:lvlText w:val=""/>
      <w:lvlJc w:val="left"/>
    </w:lvl>
    <w:lvl w:ilvl="3" w:tplc="EDB4B426">
      <w:numFmt w:val="decimal"/>
      <w:lvlText w:val=""/>
      <w:lvlJc w:val="left"/>
    </w:lvl>
    <w:lvl w:ilvl="4" w:tplc="9594C746">
      <w:numFmt w:val="decimal"/>
      <w:lvlText w:val=""/>
      <w:lvlJc w:val="left"/>
    </w:lvl>
    <w:lvl w:ilvl="5" w:tplc="49F47850">
      <w:numFmt w:val="decimal"/>
      <w:lvlText w:val=""/>
      <w:lvlJc w:val="left"/>
    </w:lvl>
    <w:lvl w:ilvl="6" w:tplc="F94C66AE">
      <w:numFmt w:val="decimal"/>
      <w:lvlText w:val=""/>
      <w:lvlJc w:val="left"/>
    </w:lvl>
    <w:lvl w:ilvl="7" w:tplc="AE1E3DBA">
      <w:numFmt w:val="decimal"/>
      <w:lvlText w:val=""/>
      <w:lvlJc w:val="left"/>
    </w:lvl>
    <w:lvl w:ilvl="8" w:tplc="9C18F366">
      <w:numFmt w:val="decimal"/>
      <w:lvlText w:val=""/>
      <w:lvlJc w:val="left"/>
    </w:lvl>
  </w:abstractNum>
  <w:abstractNum w:abstractNumId="290" w15:restartNumberingAfterBreak="0">
    <w:nsid w:val="3575FED1"/>
    <w:multiLevelType w:val="hybridMultilevel"/>
    <w:tmpl w:val="B434B1A8"/>
    <w:lvl w:ilvl="0" w:tplc="EE12B70C">
      <w:start w:val="1"/>
      <w:numFmt w:val="bullet"/>
      <w:lvlText w:val="•"/>
      <w:lvlJc w:val="left"/>
    </w:lvl>
    <w:lvl w:ilvl="1" w:tplc="D83AB240">
      <w:start w:val="1"/>
      <w:numFmt w:val="lowerLetter"/>
      <w:lvlText w:val="%2)"/>
      <w:lvlJc w:val="left"/>
    </w:lvl>
    <w:lvl w:ilvl="2" w:tplc="CE10C2BC">
      <w:numFmt w:val="decimal"/>
      <w:lvlText w:val=""/>
      <w:lvlJc w:val="left"/>
    </w:lvl>
    <w:lvl w:ilvl="3" w:tplc="4D60CD6A">
      <w:numFmt w:val="decimal"/>
      <w:lvlText w:val=""/>
      <w:lvlJc w:val="left"/>
    </w:lvl>
    <w:lvl w:ilvl="4" w:tplc="D7382C52">
      <w:numFmt w:val="decimal"/>
      <w:lvlText w:val=""/>
      <w:lvlJc w:val="left"/>
    </w:lvl>
    <w:lvl w:ilvl="5" w:tplc="94783DDE">
      <w:numFmt w:val="decimal"/>
      <w:lvlText w:val=""/>
      <w:lvlJc w:val="left"/>
    </w:lvl>
    <w:lvl w:ilvl="6" w:tplc="CAB88098">
      <w:numFmt w:val="decimal"/>
      <w:lvlText w:val=""/>
      <w:lvlJc w:val="left"/>
    </w:lvl>
    <w:lvl w:ilvl="7" w:tplc="B0D44A6E">
      <w:numFmt w:val="decimal"/>
      <w:lvlText w:val=""/>
      <w:lvlJc w:val="left"/>
    </w:lvl>
    <w:lvl w:ilvl="8" w:tplc="DF5C6E02">
      <w:numFmt w:val="decimal"/>
      <w:lvlText w:val=""/>
      <w:lvlJc w:val="left"/>
    </w:lvl>
  </w:abstractNum>
  <w:abstractNum w:abstractNumId="291" w15:restartNumberingAfterBreak="0">
    <w:nsid w:val="35C90E36"/>
    <w:multiLevelType w:val="hybridMultilevel"/>
    <w:tmpl w:val="D090C8C2"/>
    <w:lvl w:ilvl="0" w:tplc="38B4D712">
      <w:start w:val="12"/>
      <w:numFmt w:val="bullet"/>
      <w:lvlText w:val="–"/>
      <w:lvlJc w:val="left"/>
      <w:pPr>
        <w:ind w:left="720" w:hanging="360"/>
      </w:pPr>
      <w:rPr>
        <w:rFonts w:ascii="Times New Roman" w:eastAsia="Times New Roman" w:hAnsi="Times New Roman" w:cs="Times New Roman"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2" w15:restartNumberingAfterBreak="0">
    <w:nsid w:val="36313FB3"/>
    <w:multiLevelType w:val="hybridMultilevel"/>
    <w:tmpl w:val="6270F0CA"/>
    <w:lvl w:ilvl="0" w:tplc="FBE0785C">
      <w:start w:val="19"/>
      <w:numFmt w:val="lowerLetter"/>
      <w:lvlText w:val="%1."/>
      <w:lvlJc w:val="left"/>
    </w:lvl>
    <w:lvl w:ilvl="1" w:tplc="FD264FDC">
      <w:numFmt w:val="decimal"/>
      <w:lvlText w:val=""/>
      <w:lvlJc w:val="left"/>
    </w:lvl>
    <w:lvl w:ilvl="2" w:tplc="0824A484">
      <w:numFmt w:val="decimal"/>
      <w:lvlText w:val=""/>
      <w:lvlJc w:val="left"/>
    </w:lvl>
    <w:lvl w:ilvl="3" w:tplc="CFC2CA6A">
      <w:numFmt w:val="decimal"/>
      <w:lvlText w:val=""/>
      <w:lvlJc w:val="left"/>
    </w:lvl>
    <w:lvl w:ilvl="4" w:tplc="FB5C80D2">
      <w:numFmt w:val="decimal"/>
      <w:lvlText w:val=""/>
      <w:lvlJc w:val="left"/>
    </w:lvl>
    <w:lvl w:ilvl="5" w:tplc="70444682">
      <w:numFmt w:val="decimal"/>
      <w:lvlText w:val=""/>
      <w:lvlJc w:val="left"/>
    </w:lvl>
    <w:lvl w:ilvl="6" w:tplc="67FEE536">
      <w:numFmt w:val="decimal"/>
      <w:lvlText w:val=""/>
      <w:lvlJc w:val="left"/>
    </w:lvl>
    <w:lvl w:ilvl="7" w:tplc="023CF1C2">
      <w:numFmt w:val="decimal"/>
      <w:lvlText w:val=""/>
      <w:lvlJc w:val="left"/>
    </w:lvl>
    <w:lvl w:ilvl="8" w:tplc="51F0F450">
      <w:numFmt w:val="decimal"/>
      <w:lvlText w:val=""/>
      <w:lvlJc w:val="left"/>
    </w:lvl>
  </w:abstractNum>
  <w:abstractNum w:abstractNumId="293" w15:restartNumberingAfterBreak="0">
    <w:nsid w:val="3695094A"/>
    <w:multiLevelType w:val="hybridMultilevel"/>
    <w:tmpl w:val="9B94F842"/>
    <w:lvl w:ilvl="0" w:tplc="A844E4D8">
      <w:start w:val="1"/>
      <w:numFmt w:val="bullet"/>
      <w:lvlText w:val="•"/>
      <w:lvlJc w:val="left"/>
    </w:lvl>
    <w:lvl w:ilvl="1" w:tplc="BD003758">
      <w:numFmt w:val="decimal"/>
      <w:lvlText w:val=""/>
      <w:lvlJc w:val="left"/>
    </w:lvl>
    <w:lvl w:ilvl="2" w:tplc="A7CCB89C">
      <w:numFmt w:val="decimal"/>
      <w:lvlText w:val=""/>
      <w:lvlJc w:val="left"/>
    </w:lvl>
    <w:lvl w:ilvl="3" w:tplc="CDFA8258">
      <w:numFmt w:val="decimal"/>
      <w:lvlText w:val=""/>
      <w:lvlJc w:val="left"/>
    </w:lvl>
    <w:lvl w:ilvl="4" w:tplc="E766B59C">
      <w:numFmt w:val="decimal"/>
      <w:lvlText w:val=""/>
      <w:lvlJc w:val="left"/>
    </w:lvl>
    <w:lvl w:ilvl="5" w:tplc="DA6E44D0">
      <w:numFmt w:val="decimal"/>
      <w:lvlText w:val=""/>
      <w:lvlJc w:val="left"/>
    </w:lvl>
    <w:lvl w:ilvl="6" w:tplc="46D0285C">
      <w:numFmt w:val="decimal"/>
      <w:lvlText w:val=""/>
      <w:lvlJc w:val="left"/>
    </w:lvl>
    <w:lvl w:ilvl="7" w:tplc="CB1C736C">
      <w:numFmt w:val="decimal"/>
      <w:lvlText w:val=""/>
      <w:lvlJc w:val="left"/>
    </w:lvl>
    <w:lvl w:ilvl="8" w:tplc="57A02A2C">
      <w:numFmt w:val="decimal"/>
      <w:lvlText w:val=""/>
      <w:lvlJc w:val="left"/>
    </w:lvl>
  </w:abstractNum>
  <w:abstractNum w:abstractNumId="294" w15:restartNumberingAfterBreak="0">
    <w:nsid w:val="36A4C6E2"/>
    <w:multiLevelType w:val="hybridMultilevel"/>
    <w:tmpl w:val="E6A62BD2"/>
    <w:lvl w:ilvl="0" w:tplc="71DA272C">
      <w:start w:val="1"/>
      <w:numFmt w:val="bullet"/>
      <w:lvlText w:val="•"/>
      <w:lvlJc w:val="left"/>
    </w:lvl>
    <w:lvl w:ilvl="1" w:tplc="2822F7B6">
      <w:numFmt w:val="decimal"/>
      <w:lvlText w:val=""/>
      <w:lvlJc w:val="left"/>
    </w:lvl>
    <w:lvl w:ilvl="2" w:tplc="910AA82C">
      <w:numFmt w:val="decimal"/>
      <w:lvlText w:val=""/>
      <w:lvlJc w:val="left"/>
    </w:lvl>
    <w:lvl w:ilvl="3" w:tplc="38821CB2">
      <w:numFmt w:val="decimal"/>
      <w:lvlText w:val=""/>
      <w:lvlJc w:val="left"/>
    </w:lvl>
    <w:lvl w:ilvl="4" w:tplc="1F1E31BC">
      <w:numFmt w:val="decimal"/>
      <w:lvlText w:val=""/>
      <w:lvlJc w:val="left"/>
    </w:lvl>
    <w:lvl w:ilvl="5" w:tplc="63A08D74">
      <w:numFmt w:val="decimal"/>
      <w:lvlText w:val=""/>
      <w:lvlJc w:val="left"/>
    </w:lvl>
    <w:lvl w:ilvl="6" w:tplc="03D68B06">
      <w:numFmt w:val="decimal"/>
      <w:lvlText w:val=""/>
      <w:lvlJc w:val="left"/>
    </w:lvl>
    <w:lvl w:ilvl="7" w:tplc="0A64DCDA">
      <w:numFmt w:val="decimal"/>
      <w:lvlText w:val=""/>
      <w:lvlJc w:val="left"/>
    </w:lvl>
    <w:lvl w:ilvl="8" w:tplc="42E26BC6">
      <w:numFmt w:val="decimal"/>
      <w:lvlText w:val=""/>
      <w:lvlJc w:val="left"/>
    </w:lvl>
  </w:abstractNum>
  <w:abstractNum w:abstractNumId="295" w15:restartNumberingAfterBreak="0">
    <w:nsid w:val="36B19CBF"/>
    <w:multiLevelType w:val="hybridMultilevel"/>
    <w:tmpl w:val="B36835FA"/>
    <w:lvl w:ilvl="0" w:tplc="052E1728">
      <w:start w:val="1"/>
      <w:numFmt w:val="lowerLetter"/>
      <w:lvlText w:val="%1)"/>
      <w:lvlJc w:val="left"/>
    </w:lvl>
    <w:lvl w:ilvl="1" w:tplc="DA683FC2">
      <w:numFmt w:val="decimal"/>
      <w:lvlText w:val=""/>
      <w:lvlJc w:val="left"/>
    </w:lvl>
    <w:lvl w:ilvl="2" w:tplc="7F8C98CE">
      <w:numFmt w:val="decimal"/>
      <w:lvlText w:val=""/>
      <w:lvlJc w:val="left"/>
    </w:lvl>
    <w:lvl w:ilvl="3" w:tplc="C51A2486">
      <w:numFmt w:val="decimal"/>
      <w:lvlText w:val=""/>
      <w:lvlJc w:val="left"/>
    </w:lvl>
    <w:lvl w:ilvl="4" w:tplc="8F1A7190">
      <w:numFmt w:val="decimal"/>
      <w:lvlText w:val=""/>
      <w:lvlJc w:val="left"/>
    </w:lvl>
    <w:lvl w:ilvl="5" w:tplc="2C229C56">
      <w:numFmt w:val="decimal"/>
      <w:lvlText w:val=""/>
      <w:lvlJc w:val="left"/>
    </w:lvl>
    <w:lvl w:ilvl="6" w:tplc="04D6DABA">
      <w:numFmt w:val="decimal"/>
      <w:lvlText w:val=""/>
      <w:lvlJc w:val="left"/>
    </w:lvl>
    <w:lvl w:ilvl="7" w:tplc="A7E2F5FA">
      <w:numFmt w:val="decimal"/>
      <w:lvlText w:val=""/>
      <w:lvlJc w:val="left"/>
    </w:lvl>
    <w:lvl w:ilvl="8" w:tplc="01683E7E">
      <w:numFmt w:val="decimal"/>
      <w:lvlText w:val=""/>
      <w:lvlJc w:val="left"/>
    </w:lvl>
  </w:abstractNum>
  <w:abstractNum w:abstractNumId="296" w15:restartNumberingAfterBreak="0">
    <w:nsid w:val="36C741C5"/>
    <w:multiLevelType w:val="hybridMultilevel"/>
    <w:tmpl w:val="EA52DD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7" w15:restartNumberingAfterBreak="0">
    <w:nsid w:val="37385BB8"/>
    <w:multiLevelType w:val="hybridMultilevel"/>
    <w:tmpl w:val="3272A5A4"/>
    <w:lvl w:ilvl="0" w:tplc="F16EB222">
      <w:start w:val="1"/>
      <w:numFmt w:val="bullet"/>
      <w:lvlText w:val="-"/>
      <w:lvlJc w:val="left"/>
    </w:lvl>
    <w:lvl w:ilvl="1" w:tplc="4EB0117E">
      <w:numFmt w:val="decimal"/>
      <w:lvlText w:val=""/>
      <w:lvlJc w:val="left"/>
    </w:lvl>
    <w:lvl w:ilvl="2" w:tplc="7D2ED454">
      <w:numFmt w:val="decimal"/>
      <w:lvlText w:val=""/>
      <w:lvlJc w:val="left"/>
    </w:lvl>
    <w:lvl w:ilvl="3" w:tplc="5AF4DA06">
      <w:numFmt w:val="decimal"/>
      <w:lvlText w:val=""/>
      <w:lvlJc w:val="left"/>
    </w:lvl>
    <w:lvl w:ilvl="4" w:tplc="AC48CB3C">
      <w:numFmt w:val="decimal"/>
      <w:lvlText w:val=""/>
      <w:lvlJc w:val="left"/>
    </w:lvl>
    <w:lvl w:ilvl="5" w:tplc="5F20EBA4">
      <w:numFmt w:val="decimal"/>
      <w:lvlText w:val=""/>
      <w:lvlJc w:val="left"/>
    </w:lvl>
    <w:lvl w:ilvl="6" w:tplc="724A23F8">
      <w:numFmt w:val="decimal"/>
      <w:lvlText w:val=""/>
      <w:lvlJc w:val="left"/>
    </w:lvl>
    <w:lvl w:ilvl="7" w:tplc="3A66C5CC">
      <w:numFmt w:val="decimal"/>
      <w:lvlText w:val=""/>
      <w:lvlJc w:val="left"/>
    </w:lvl>
    <w:lvl w:ilvl="8" w:tplc="B6B49A74">
      <w:numFmt w:val="decimal"/>
      <w:lvlText w:val=""/>
      <w:lvlJc w:val="left"/>
    </w:lvl>
  </w:abstractNum>
  <w:abstractNum w:abstractNumId="298" w15:restartNumberingAfterBreak="0">
    <w:nsid w:val="375A92FF"/>
    <w:multiLevelType w:val="hybridMultilevel"/>
    <w:tmpl w:val="0470B8EA"/>
    <w:lvl w:ilvl="0" w:tplc="9522C980">
      <w:start w:val="1"/>
      <w:numFmt w:val="bullet"/>
      <w:lvlText w:val="·"/>
      <w:lvlJc w:val="left"/>
    </w:lvl>
    <w:lvl w:ilvl="1" w:tplc="D820E762">
      <w:numFmt w:val="decimal"/>
      <w:lvlText w:val=""/>
      <w:lvlJc w:val="left"/>
    </w:lvl>
    <w:lvl w:ilvl="2" w:tplc="5636AB7E">
      <w:numFmt w:val="decimal"/>
      <w:lvlText w:val=""/>
      <w:lvlJc w:val="left"/>
    </w:lvl>
    <w:lvl w:ilvl="3" w:tplc="9F8AFE54">
      <w:numFmt w:val="decimal"/>
      <w:lvlText w:val=""/>
      <w:lvlJc w:val="left"/>
    </w:lvl>
    <w:lvl w:ilvl="4" w:tplc="8ED85E28">
      <w:numFmt w:val="decimal"/>
      <w:lvlText w:val=""/>
      <w:lvlJc w:val="left"/>
    </w:lvl>
    <w:lvl w:ilvl="5" w:tplc="BC803044">
      <w:numFmt w:val="decimal"/>
      <w:lvlText w:val=""/>
      <w:lvlJc w:val="left"/>
    </w:lvl>
    <w:lvl w:ilvl="6" w:tplc="15EA0AEA">
      <w:numFmt w:val="decimal"/>
      <w:lvlText w:val=""/>
      <w:lvlJc w:val="left"/>
    </w:lvl>
    <w:lvl w:ilvl="7" w:tplc="184457CC">
      <w:numFmt w:val="decimal"/>
      <w:lvlText w:val=""/>
      <w:lvlJc w:val="left"/>
    </w:lvl>
    <w:lvl w:ilvl="8" w:tplc="7DE8B9CC">
      <w:numFmt w:val="decimal"/>
      <w:lvlText w:val=""/>
      <w:lvlJc w:val="left"/>
    </w:lvl>
  </w:abstractNum>
  <w:abstractNum w:abstractNumId="299" w15:restartNumberingAfterBreak="0">
    <w:nsid w:val="379B7534"/>
    <w:multiLevelType w:val="hybridMultilevel"/>
    <w:tmpl w:val="8FCAC026"/>
    <w:lvl w:ilvl="0" w:tplc="E3526F80">
      <w:start w:val="1"/>
      <w:numFmt w:val="decimal"/>
      <w:lvlText w:val="%1)"/>
      <w:lvlJc w:val="left"/>
      <w:pPr>
        <w:ind w:left="720" w:hanging="360"/>
      </w:pPr>
      <w:rPr>
        <w:rFonts w:eastAsia="Times New Roman" w:hint="default"/>
        <w:b/>
        <w:bCs/>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0" w15:restartNumberingAfterBreak="0">
    <w:nsid w:val="37A58EEF"/>
    <w:multiLevelType w:val="hybridMultilevel"/>
    <w:tmpl w:val="ADE24E74"/>
    <w:lvl w:ilvl="0" w:tplc="52748BF6">
      <w:start w:val="1"/>
      <w:numFmt w:val="bullet"/>
      <w:lvlText w:val="-"/>
      <w:lvlJc w:val="left"/>
    </w:lvl>
    <w:lvl w:ilvl="1" w:tplc="D2523BEC">
      <w:numFmt w:val="decimal"/>
      <w:lvlText w:val=""/>
      <w:lvlJc w:val="left"/>
    </w:lvl>
    <w:lvl w:ilvl="2" w:tplc="3B72E786">
      <w:numFmt w:val="decimal"/>
      <w:lvlText w:val=""/>
      <w:lvlJc w:val="left"/>
    </w:lvl>
    <w:lvl w:ilvl="3" w:tplc="856E4EC8">
      <w:numFmt w:val="decimal"/>
      <w:lvlText w:val=""/>
      <w:lvlJc w:val="left"/>
    </w:lvl>
    <w:lvl w:ilvl="4" w:tplc="DC0432B6">
      <w:numFmt w:val="decimal"/>
      <w:lvlText w:val=""/>
      <w:lvlJc w:val="left"/>
    </w:lvl>
    <w:lvl w:ilvl="5" w:tplc="FFA2A3FC">
      <w:numFmt w:val="decimal"/>
      <w:lvlText w:val=""/>
      <w:lvlJc w:val="left"/>
    </w:lvl>
    <w:lvl w:ilvl="6" w:tplc="870C7E88">
      <w:numFmt w:val="decimal"/>
      <w:lvlText w:val=""/>
      <w:lvlJc w:val="left"/>
    </w:lvl>
    <w:lvl w:ilvl="7" w:tplc="C03C754A">
      <w:numFmt w:val="decimal"/>
      <w:lvlText w:val=""/>
      <w:lvlJc w:val="left"/>
    </w:lvl>
    <w:lvl w:ilvl="8" w:tplc="1E7CC3C0">
      <w:numFmt w:val="decimal"/>
      <w:lvlText w:val=""/>
      <w:lvlJc w:val="left"/>
    </w:lvl>
  </w:abstractNum>
  <w:abstractNum w:abstractNumId="301" w15:restartNumberingAfterBreak="0">
    <w:nsid w:val="37B526D2"/>
    <w:multiLevelType w:val="hybridMultilevel"/>
    <w:tmpl w:val="BD3EA84E"/>
    <w:lvl w:ilvl="0" w:tplc="4CCC9BEA">
      <w:start w:val="1"/>
      <w:numFmt w:val="bullet"/>
      <w:lvlText w:val="·"/>
      <w:lvlJc w:val="left"/>
    </w:lvl>
    <w:lvl w:ilvl="1" w:tplc="C8FE446A">
      <w:numFmt w:val="decimal"/>
      <w:lvlText w:val=""/>
      <w:lvlJc w:val="left"/>
    </w:lvl>
    <w:lvl w:ilvl="2" w:tplc="1142683A">
      <w:numFmt w:val="decimal"/>
      <w:lvlText w:val=""/>
      <w:lvlJc w:val="left"/>
    </w:lvl>
    <w:lvl w:ilvl="3" w:tplc="F5D8EBDC">
      <w:numFmt w:val="decimal"/>
      <w:lvlText w:val=""/>
      <w:lvlJc w:val="left"/>
    </w:lvl>
    <w:lvl w:ilvl="4" w:tplc="FBB87E8E">
      <w:numFmt w:val="decimal"/>
      <w:lvlText w:val=""/>
      <w:lvlJc w:val="left"/>
    </w:lvl>
    <w:lvl w:ilvl="5" w:tplc="79F4F4BE">
      <w:numFmt w:val="decimal"/>
      <w:lvlText w:val=""/>
      <w:lvlJc w:val="left"/>
    </w:lvl>
    <w:lvl w:ilvl="6" w:tplc="B82A9ACC">
      <w:numFmt w:val="decimal"/>
      <w:lvlText w:val=""/>
      <w:lvlJc w:val="left"/>
    </w:lvl>
    <w:lvl w:ilvl="7" w:tplc="214A6564">
      <w:numFmt w:val="decimal"/>
      <w:lvlText w:val=""/>
      <w:lvlJc w:val="left"/>
    </w:lvl>
    <w:lvl w:ilvl="8" w:tplc="23CCD560">
      <w:numFmt w:val="decimal"/>
      <w:lvlText w:val=""/>
      <w:lvlJc w:val="left"/>
    </w:lvl>
  </w:abstractNum>
  <w:abstractNum w:abstractNumId="302" w15:restartNumberingAfterBreak="0">
    <w:nsid w:val="382EA874"/>
    <w:multiLevelType w:val="hybridMultilevel"/>
    <w:tmpl w:val="1D80F910"/>
    <w:lvl w:ilvl="0" w:tplc="8F22AA0A">
      <w:start w:val="1"/>
      <w:numFmt w:val="bullet"/>
      <w:lvlText w:val="•"/>
      <w:lvlJc w:val="left"/>
    </w:lvl>
    <w:lvl w:ilvl="1" w:tplc="B768BC58">
      <w:numFmt w:val="decimal"/>
      <w:lvlText w:val=""/>
      <w:lvlJc w:val="left"/>
    </w:lvl>
    <w:lvl w:ilvl="2" w:tplc="FD86ACAC">
      <w:numFmt w:val="decimal"/>
      <w:lvlText w:val=""/>
      <w:lvlJc w:val="left"/>
    </w:lvl>
    <w:lvl w:ilvl="3" w:tplc="BA386C82">
      <w:numFmt w:val="decimal"/>
      <w:lvlText w:val=""/>
      <w:lvlJc w:val="left"/>
    </w:lvl>
    <w:lvl w:ilvl="4" w:tplc="53BE248E">
      <w:numFmt w:val="decimal"/>
      <w:lvlText w:val=""/>
      <w:lvlJc w:val="left"/>
    </w:lvl>
    <w:lvl w:ilvl="5" w:tplc="CD34F72E">
      <w:numFmt w:val="decimal"/>
      <w:lvlText w:val=""/>
      <w:lvlJc w:val="left"/>
    </w:lvl>
    <w:lvl w:ilvl="6" w:tplc="68AADE4C">
      <w:numFmt w:val="decimal"/>
      <w:lvlText w:val=""/>
      <w:lvlJc w:val="left"/>
    </w:lvl>
    <w:lvl w:ilvl="7" w:tplc="A1803AC6">
      <w:numFmt w:val="decimal"/>
      <w:lvlText w:val=""/>
      <w:lvlJc w:val="left"/>
    </w:lvl>
    <w:lvl w:ilvl="8" w:tplc="3CD65DD6">
      <w:numFmt w:val="decimal"/>
      <w:lvlText w:val=""/>
      <w:lvlJc w:val="left"/>
    </w:lvl>
  </w:abstractNum>
  <w:abstractNum w:abstractNumId="303" w15:restartNumberingAfterBreak="0">
    <w:nsid w:val="3837F1DF"/>
    <w:multiLevelType w:val="hybridMultilevel"/>
    <w:tmpl w:val="E7C86C76"/>
    <w:lvl w:ilvl="0" w:tplc="60C6EB8E">
      <w:start w:val="3"/>
      <w:numFmt w:val="lowerLetter"/>
      <w:lvlText w:val="%1)"/>
      <w:lvlJc w:val="left"/>
    </w:lvl>
    <w:lvl w:ilvl="1" w:tplc="61044D72">
      <w:numFmt w:val="decimal"/>
      <w:lvlText w:val=""/>
      <w:lvlJc w:val="left"/>
    </w:lvl>
    <w:lvl w:ilvl="2" w:tplc="A4000B24">
      <w:numFmt w:val="decimal"/>
      <w:lvlText w:val=""/>
      <w:lvlJc w:val="left"/>
    </w:lvl>
    <w:lvl w:ilvl="3" w:tplc="A6741A14">
      <w:numFmt w:val="decimal"/>
      <w:lvlText w:val=""/>
      <w:lvlJc w:val="left"/>
    </w:lvl>
    <w:lvl w:ilvl="4" w:tplc="E370D82E">
      <w:numFmt w:val="decimal"/>
      <w:lvlText w:val=""/>
      <w:lvlJc w:val="left"/>
    </w:lvl>
    <w:lvl w:ilvl="5" w:tplc="D3BED9E0">
      <w:numFmt w:val="decimal"/>
      <w:lvlText w:val=""/>
      <w:lvlJc w:val="left"/>
    </w:lvl>
    <w:lvl w:ilvl="6" w:tplc="F4DE79FE">
      <w:numFmt w:val="decimal"/>
      <w:lvlText w:val=""/>
      <w:lvlJc w:val="left"/>
    </w:lvl>
    <w:lvl w:ilvl="7" w:tplc="89F2ADF8">
      <w:numFmt w:val="decimal"/>
      <w:lvlText w:val=""/>
      <w:lvlJc w:val="left"/>
    </w:lvl>
    <w:lvl w:ilvl="8" w:tplc="752EFFC2">
      <w:numFmt w:val="decimal"/>
      <w:lvlText w:val=""/>
      <w:lvlJc w:val="left"/>
    </w:lvl>
  </w:abstractNum>
  <w:abstractNum w:abstractNumId="304" w15:restartNumberingAfterBreak="0">
    <w:nsid w:val="38640095"/>
    <w:multiLevelType w:val="hybridMultilevel"/>
    <w:tmpl w:val="ED8CA8EA"/>
    <w:lvl w:ilvl="0" w:tplc="53CABD30">
      <w:start w:val="1"/>
      <w:numFmt w:val="bullet"/>
      <w:lvlText w:val="-"/>
      <w:lvlJc w:val="left"/>
    </w:lvl>
    <w:lvl w:ilvl="1" w:tplc="30B878E2">
      <w:numFmt w:val="decimal"/>
      <w:lvlText w:val=""/>
      <w:lvlJc w:val="left"/>
    </w:lvl>
    <w:lvl w:ilvl="2" w:tplc="E9F02CB0">
      <w:numFmt w:val="decimal"/>
      <w:lvlText w:val=""/>
      <w:lvlJc w:val="left"/>
    </w:lvl>
    <w:lvl w:ilvl="3" w:tplc="D6401844">
      <w:numFmt w:val="decimal"/>
      <w:lvlText w:val=""/>
      <w:lvlJc w:val="left"/>
    </w:lvl>
    <w:lvl w:ilvl="4" w:tplc="474C7BAE">
      <w:numFmt w:val="decimal"/>
      <w:lvlText w:val=""/>
      <w:lvlJc w:val="left"/>
    </w:lvl>
    <w:lvl w:ilvl="5" w:tplc="32CC3E9E">
      <w:numFmt w:val="decimal"/>
      <w:lvlText w:val=""/>
      <w:lvlJc w:val="left"/>
    </w:lvl>
    <w:lvl w:ilvl="6" w:tplc="83D27824">
      <w:numFmt w:val="decimal"/>
      <w:lvlText w:val=""/>
      <w:lvlJc w:val="left"/>
    </w:lvl>
    <w:lvl w:ilvl="7" w:tplc="60AAE800">
      <w:numFmt w:val="decimal"/>
      <w:lvlText w:val=""/>
      <w:lvlJc w:val="left"/>
    </w:lvl>
    <w:lvl w:ilvl="8" w:tplc="FB8CD202">
      <w:numFmt w:val="decimal"/>
      <w:lvlText w:val=""/>
      <w:lvlJc w:val="left"/>
    </w:lvl>
  </w:abstractNum>
  <w:abstractNum w:abstractNumId="305" w15:restartNumberingAfterBreak="0">
    <w:nsid w:val="389C8F60"/>
    <w:multiLevelType w:val="hybridMultilevel"/>
    <w:tmpl w:val="501A55DE"/>
    <w:lvl w:ilvl="0" w:tplc="A07E8D72">
      <w:start w:val="1"/>
      <w:numFmt w:val="bullet"/>
      <w:lvlText w:val="-"/>
      <w:lvlJc w:val="left"/>
    </w:lvl>
    <w:lvl w:ilvl="1" w:tplc="C526E3E8">
      <w:start w:val="1"/>
      <w:numFmt w:val="bullet"/>
      <w:lvlText w:val="§"/>
      <w:lvlJc w:val="left"/>
    </w:lvl>
    <w:lvl w:ilvl="2" w:tplc="B8144A06">
      <w:numFmt w:val="decimal"/>
      <w:lvlText w:val=""/>
      <w:lvlJc w:val="left"/>
    </w:lvl>
    <w:lvl w:ilvl="3" w:tplc="188AE0DA">
      <w:numFmt w:val="decimal"/>
      <w:lvlText w:val=""/>
      <w:lvlJc w:val="left"/>
    </w:lvl>
    <w:lvl w:ilvl="4" w:tplc="97844C9E">
      <w:numFmt w:val="decimal"/>
      <w:lvlText w:val=""/>
      <w:lvlJc w:val="left"/>
    </w:lvl>
    <w:lvl w:ilvl="5" w:tplc="BD2A8E50">
      <w:numFmt w:val="decimal"/>
      <w:lvlText w:val=""/>
      <w:lvlJc w:val="left"/>
    </w:lvl>
    <w:lvl w:ilvl="6" w:tplc="FF7E41A2">
      <w:numFmt w:val="decimal"/>
      <w:lvlText w:val=""/>
      <w:lvlJc w:val="left"/>
    </w:lvl>
    <w:lvl w:ilvl="7" w:tplc="377C001E">
      <w:numFmt w:val="decimal"/>
      <w:lvlText w:val=""/>
      <w:lvlJc w:val="left"/>
    </w:lvl>
    <w:lvl w:ilvl="8" w:tplc="B8900408">
      <w:numFmt w:val="decimal"/>
      <w:lvlText w:val=""/>
      <w:lvlJc w:val="left"/>
    </w:lvl>
  </w:abstractNum>
  <w:abstractNum w:abstractNumId="306" w15:restartNumberingAfterBreak="0">
    <w:nsid w:val="38AD4C18"/>
    <w:multiLevelType w:val="hybridMultilevel"/>
    <w:tmpl w:val="042A2E28"/>
    <w:lvl w:ilvl="0" w:tplc="38B04408">
      <w:start w:val="1"/>
      <w:numFmt w:val="bullet"/>
      <w:lvlText w:val="·"/>
      <w:lvlJc w:val="left"/>
    </w:lvl>
    <w:lvl w:ilvl="1" w:tplc="7AE8A064">
      <w:numFmt w:val="decimal"/>
      <w:lvlText w:val=""/>
      <w:lvlJc w:val="left"/>
    </w:lvl>
    <w:lvl w:ilvl="2" w:tplc="8AD6BD8E">
      <w:numFmt w:val="decimal"/>
      <w:lvlText w:val=""/>
      <w:lvlJc w:val="left"/>
    </w:lvl>
    <w:lvl w:ilvl="3" w:tplc="9D18272C">
      <w:numFmt w:val="decimal"/>
      <w:lvlText w:val=""/>
      <w:lvlJc w:val="left"/>
    </w:lvl>
    <w:lvl w:ilvl="4" w:tplc="3D928DD6">
      <w:numFmt w:val="decimal"/>
      <w:lvlText w:val=""/>
      <w:lvlJc w:val="left"/>
    </w:lvl>
    <w:lvl w:ilvl="5" w:tplc="BD748286">
      <w:numFmt w:val="decimal"/>
      <w:lvlText w:val=""/>
      <w:lvlJc w:val="left"/>
    </w:lvl>
    <w:lvl w:ilvl="6" w:tplc="B48ABB0A">
      <w:numFmt w:val="decimal"/>
      <w:lvlText w:val=""/>
      <w:lvlJc w:val="left"/>
    </w:lvl>
    <w:lvl w:ilvl="7" w:tplc="19680FD6">
      <w:numFmt w:val="decimal"/>
      <w:lvlText w:val=""/>
      <w:lvlJc w:val="left"/>
    </w:lvl>
    <w:lvl w:ilvl="8" w:tplc="F7A2C8D2">
      <w:numFmt w:val="decimal"/>
      <w:lvlText w:val=""/>
      <w:lvlJc w:val="left"/>
    </w:lvl>
  </w:abstractNum>
  <w:abstractNum w:abstractNumId="307" w15:restartNumberingAfterBreak="0">
    <w:nsid w:val="38E16A98"/>
    <w:multiLevelType w:val="hybridMultilevel"/>
    <w:tmpl w:val="B4524AFC"/>
    <w:lvl w:ilvl="0" w:tplc="0B447D64">
      <w:start w:val="1"/>
      <w:numFmt w:val="bullet"/>
      <w:lvlText w:val="-"/>
      <w:lvlJc w:val="left"/>
    </w:lvl>
    <w:lvl w:ilvl="1" w:tplc="D62CECDC">
      <w:numFmt w:val="decimal"/>
      <w:lvlText w:val=""/>
      <w:lvlJc w:val="left"/>
    </w:lvl>
    <w:lvl w:ilvl="2" w:tplc="3ABC9296">
      <w:numFmt w:val="decimal"/>
      <w:lvlText w:val=""/>
      <w:lvlJc w:val="left"/>
    </w:lvl>
    <w:lvl w:ilvl="3" w:tplc="EE7A76D2">
      <w:numFmt w:val="decimal"/>
      <w:lvlText w:val=""/>
      <w:lvlJc w:val="left"/>
    </w:lvl>
    <w:lvl w:ilvl="4" w:tplc="B0682C46">
      <w:numFmt w:val="decimal"/>
      <w:lvlText w:val=""/>
      <w:lvlJc w:val="left"/>
    </w:lvl>
    <w:lvl w:ilvl="5" w:tplc="FBF2FD6A">
      <w:numFmt w:val="decimal"/>
      <w:lvlText w:val=""/>
      <w:lvlJc w:val="left"/>
    </w:lvl>
    <w:lvl w:ilvl="6" w:tplc="61D0D048">
      <w:numFmt w:val="decimal"/>
      <w:lvlText w:val=""/>
      <w:lvlJc w:val="left"/>
    </w:lvl>
    <w:lvl w:ilvl="7" w:tplc="0A48CE1A">
      <w:numFmt w:val="decimal"/>
      <w:lvlText w:val=""/>
      <w:lvlJc w:val="left"/>
    </w:lvl>
    <w:lvl w:ilvl="8" w:tplc="5F4C71BA">
      <w:numFmt w:val="decimal"/>
      <w:lvlText w:val=""/>
      <w:lvlJc w:val="left"/>
    </w:lvl>
  </w:abstractNum>
  <w:abstractNum w:abstractNumId="308" w15:restartNumberingAfterBreak="0">
    <w:nsid w:val="38F855CA"/>
    <w:multiLevelType w:val="hybridMultilevel"/>
    <w:tmpl w:val="57C2197C"/>
    <w:lvl w:ilvl="0" w:tplc="242C0F58">
      <w:start w:val="1"/>
      <w:numFmt w:val="lowerLetter"/>
      <w:lvlText w:val="%1)"/>
      <w:lvlJc w:val="left"/>
    </w:lvl>
    <w:lvl w:ilvl="1" w:tplc="F42E536A">
      <w:numFmt w:val="decimal"/>
      <w:lvlText w:val=""/>
      <w:lvlJc w:val="left"/>
    </w:lvl>
    <w:lvl w:ilvl="2" w:tplc="7E38CD90">
      <w:numFmt w:val="decimal"/>
      <w:lvlText w:val=""/>
      <w:lvlJc w:val="left"/>
    </w:lvl>
    <w:lvl w:ilvl="3" w:tplc="B8EA74E0">
      <w:numFmt w:val="decimal"/>
      <w:lvlText w:val=""/>
      <w:lvlJc w:val="left"/>
    </w:lvl>
    <w:lvl w:ilvl="4" w:tplc="356CE75E">
      <w:numFmt w:val="decimal"/>
      <w:lvlText w:val=""/>
      <w:lvlJc w:val="left"/>
    </w:lvl>
    <w:lvl w:ilvl="5" w:tplc="B2503FB4">
      <w:numFmt w:val="decimal"/>
      <w:lvlText w:val=""/>
      <w:lvlJc w:val="left"/>
    </w:lvl>
    <w:lvl w:ilvl="6" w:tplc="271233F0">
      <w:numFmt w:val="decimal"/>
      <w:lvlText w:val=""/>
      <w:lvlJc w:val="left"/>
    </w:lvl>
    <w:lvl w:ilvl="7" w:tplc="D9D8DCE4">
      <w:numFmt w:val="decimal"/>
      <w:lvlText w:val=""/>
      <w:lvlJc w:val="left"/>
    </w:lvl>
    <w:lvl w:ilvl="8" w:tplc="D5CC6BC0">
      <w:numFmt w:val="decimal"/>
      <w:lvlText w:val=""/>
      <w:lvlJc w:val="left"/>
    </w:lvl>
  </w:abstractNum>
  <w:abstractNum w:abstractNumId="309" w15:restartNumberingAfterBreak="0">
    <w:nsid w:val="38FD730E"/>
    <w:multiLevelType w:val="hybridMultilevel"/>
    <w:tmpl w:val="E8F472B4"/>
    <w:lvl w:ilvl="0" w:tplc="E6782AD8">
      <w:start w:val="1"/>
      <w:numFmt w:val="bullet"/>
      <w:lvlText w:val="•"/>
      <w:lvlJc w:val="left"/>
    </w:lvl>
    <w:lvl w:ilvl="1" w:tplc="FAAA13AC">
      <w:numFmt w:val="decimal"/>
      <w:lvlText w:val=""/>
      <w:lvlJc w:val="left"/>
    </w:lvl>
    <w:lvl w:ilvl="2" w:tplc="F58E0D32">
      <w:numFmt w:val="decimal"/>
      <w:lvlText w:val=""/>
      <w:lvlJc w:val="left"/>
    </w:lvl>
    <w:lvl w:ilvl="3" w:tplc="764EF6A4">
      <w:numFmt w:val="decimal"/>
      <w:lvlText w:val=""/>
      <w:lvlJc w:val="left"/>
    </w:lvl>
    <w:lvl w:ilvl="4" w:tplc="9B466D48">
      <w:numFmt w:val="decimal"/>
      <w:lvlText w:val=""/>
      <w:lvlJc w:val="left"/>
    </w:lvl>
    <w:lvl w:ilvl="5" w:tplc="F05241FA">
      <w:numFmt w:val="decimal"/>
      <w:lvlText w:val=""/>
      <w:lvlJc w:val="left"/>
    </w:lvl>
    <w:lvl w:ilvl="6" w:tplc="805E191C">
      <w:numFmt w:val="decimal"/>
      <w:lvlText w:val=""/>
      <w:lvlJc w:val="left"/>
    </w:lvl>
    <w:lvl w:ilvl="7" w:tplc="C40A276A">
      <w:numFmt w:val="decimal"/>
      <w:lvlText w:val=""/>
      <w:lvlJc w:val="left"/>
    </w:lvl>
    <w:lvl w:ilvl="8" w:tplc="630AFD1C">
      <w:numFmt w:val="decimal"/>
      <w:lvlText w:val=""/>
      <w:lvlJc w:val="left"/>
    </w:lvl>
  </w:abstractNum>
  <w:abstractNum w:abstractNumId="310" w15:restartNumberingAfterBreak="0">
    <w:nsid w:val="39112B90"/>
    <w:multiLevelType w:val="hybridMultilevel"/>
    <w:tmpl w:val="DDDE3AA0"/>
    <w:lvl w:ilvl="0" w:tplc="995E43A8">
      <w:start w:val="1"/>
      <w:numFmt w:val="bullet"/>
      <w:lvlText w:val="-"/>
      <w:lvlJc w:val="left"/>
    </w:lvl>
    <w:lvl w:ilvl="1" w:tplc="1228C7E4">
      <w:numFmt w:val="decimal"/>
      <w:lvlText w:val=""/>
      <w:lvlJc w:val="left"/>
    </w:lvl>
    <w:lvl w:ilvl="2" w:tplc="EE4EDE18">
      <w:numFmt w:val="decimal"/>
      <w:lvlText w:val=""/>
      <w:lvlJc w:val="left"/>
    </w:lvl>
    <w:lvl w:ilvl="3" w:tplc="F29E56D6">
      <w:numFmt w:val="decimal"/>
      <w:lvlText w:val=""/>
      <w:lvlJc w:val="left"/>
    </w:lvl>
    <w:lvl w:ilvl="4" w:tplc="D62AB514">
      <w:numFmt w:val="decimal"/>
      <w:lvlText w:val=""/>
      <w:lvlJc w:val="left"/>
    </w:lvl>
    <w:lvl w:ilvl="5" w:tplc="69F678F4">
      <w:numFmt w:val="decimal"/>
      <w:lvlText w:val=""/>
      <w:lvlJc w:val="left"/>
    </w:lvl>
    <w:lvl w:ilvl="6" w:tplc="C53070D2">
      <w:numFmt w:val="decimal"/>
      <w:lvlText w:val=""/>
      <w:lvlJc w:val="left"/>
    </w:lvl>
    <w:lvl w:ilvl="7" w:tplc="92962536">
      <w:numFmt w:val="decimal"/>
      <w:lvlText w:val=""/>
      <w:lvlJc w:val="left"/>
    </w:lvl>
    <w:lvl w:ilvl="8" w:tplc="D8C6CC9C">
      <w:numFmt w:val="decimal"/>
      <w:lvlText w:val=""/>
      <w:lvlJc w:val="left"/>
    </w:lvl>
  </w:abstractNum>
  <w:abstractNum w:abstractNumId="311" w15:restartNumberingAfterBreak="0">
    <w:nsid w:val="392AE607"/>
    <w:multiLevelType w:val="hybridMultilevel"/>
    <w:tmpl w:val="27CAE67E"/>
    <w:lvl w:ilvl="0" w:tplc="04023D12">
      <w:start w:val="2"/>
      <w:numFmt w:val="lowerLetter"/>
      <w:lvlText w:val="%1)"/>
      <w:lvlJc w:val="left"/>
    </w:lvl>
    <w:lvl w:ilvl="1" w:tplc="42CAC896">
      <w:start w:val="1"/>
      <w:numFmt w:val="bullet"/>
      <w:lvlText w:val="-"/>
      <w:lvlJc w:val="left"/>
    </w:lvl>
    <w:lvl w:ilvl="2" w:tplc="B650C1BA">
      <w:start w:val="1"/>
      <w:numFmt w:val="bullet"/>
      <w:lvlText w:val="§"/>
      <w:lvlJc w:val="left"/>
    </w:lvl>
    <w:lvl w:ilvl="3" w:tplc="A8E01774">
      <w:numFmt w:val="decimal"/>
      <w:lvlText w:val=""/>
      <w:lvlJc w:val="left"/>
    </w:lvl>
    <w:lvl w:ilvl="4" w:tplc="3AF054C8">
      <w:numFmt w:val="decimal"/>
      <w:lvlText w:val=""/>
      <w:lvlJc w:val="left"/>
    </w:lvl>
    <w:lvl w:ilvl="5" w:tplc="E62CEB64">
      <w:numFmt w:val="decimal"/>
      <w:lvlText w:val=""/>
      <w:lvlJc w:val="left"/>
    </w:lvl>
    <w:lvl w:ilvl="6" w:tplc="FA0EA3C4">
      <w:numFmt w:val="decimal"/>
      <w:lvlText w:val=""/>
      <w:lvlJc w:val="left"/>
    </w:lvl>
    <w:lvl w:ilvl="7" w:tplc="FDE4A6E6">
      <w:numFmt w:val="decimal"/>
      <w:lvlText w:val=""/>
      <w:lvlJc w:val="left"/>
    </w:lvl>
    <w:lvl w:ilvl="8" w:tplc="5248EC6E">
      <w:numFmt w:val="decimal"/>
      <w:lvlText w:val=""/>
      <w:lvlJc w:val="left"/>
    </w:lvl>
  </w:abstractNum>
  <w:abstractNum w:abstractNumId="312" w15:restartNumberingAfterBreak="0">
    <w:nsid w:val="39629FFA"/>
    <w:multiLevelType w:val="hybridMultilevel"/>
    <w:tmpl w:val="F8905508"/>
    <w:lvl w:ilvl="0" w:tplc="83A00DDA">
      <w:start w:val="22"/>
      <w:numFmt w:val="upperLetter"/>
      <w:lvlText w:val="%1"/>
      <w:lvlJc w:val="left"/>
    </w:lvl>
    <w:lvl w:ilvl="1" w:tplc="C526C7A0">
      <w:numFmt w:val="decimal"/>
      <w:lvlText w:val=""/>
      <w:lvlJc w:val="left"/>
    </w:lvl>
    <w:lvl w:ilvl="2" w:tplc="DBB42CDC">
      <w:numFmt w:val="decimal"/>
      <w:lvlText w:val=""/>
      <w:lvlJc w:val="left"/>
    </w:lvl>
    <w:lvl w:ilvl="3" w:tplc="7BA4A042">
      <w:numFmt w:val="decimal"/>
      <w:lvlText w:val=""/>
      <w:lvlJc w:val="left"/>
    </w:lvl>
    <w:lvl w:ilvl="4" w:tplc="99EC8416">
      <w:numFmt w:val="decimal"/>
      <w:lvlText w:val=""/>
      <w:lvlJc w:val="left"/>
    </w:lvl>
    <w:lvl w:ilvl="5" w:tplc="B36E0474">
      <w:numFmt w:val="decimal"/>
      <w:lvlText w:val=""/>
      <w:lvlJc w:val="left"/>
    </w:lvl>
    <w:lvl w:ilvl="6" w:tplc="3C643BCA">
      <w:numFmt w:val="decimal"/>
      <w:lvlText w:val=""/>
      <w:lvlJc w:val="left"/>
    </w:lvl>
    <w:lvl w:ilvl="7" w:tplc="44804586">
      <w:numFmt w:val="decimal"/>
      <w:lvlText w:val=""/>
      <w:lvlJc w:val="left"/>
    </w:lvl>
    <w:lvl w:ilvl="8" w:tplc="738093A2">
      <w:numFmt w:val="decimal"/>
      <w:lvlText w:val=""/>
      <w:lvlJc w:val="left"/>
    </w:lvl>
  </w:abstractNum>
  <w:abstractNum w:abstractNumId="313" w15:restartNumberingAfterBreak="0">
    <w:nsid w:val="3974ED1F"/>
    <w:multiLevelType w:val="hybridMultilevel"/>
    <w:tmpl w:val="AA562896"/>
    <w:lvl w:ilvl="0" w:tplc="7A629EAA">
      <w:start w:val="3"/>
      <w:numFmt w:val="upperLetter"/>
      <w:lvlText w:val="%1."/>
      <w:lvlJc w:val="left"/>
    </w:lvl>
    <w:lvl w:ilvl="1" w:tplc="5DFAC094">
      <w:start w:val="1"/>
      <w:numFmt w:val="bullet"/>
      <w:lvlText w:val="-"/>
      <w:lvlJc w:val="left"/>
    </w:lvl>
    <w:lvl w:ilvl="2" w:tplc="8556D858">
      <w:start w:val="1"/>
      <w:numFmt w:val="bullet"/>
      <w:lvlText w:val="§"/>
      <w:lvlJc w:val="left"/>
    </w:lvl>
    <w:lvl w:ilvl="3" w:tplc="473AE0D4">
      <w:numFmt w:val="decimal"/>
      <w:lvlText w:val=""/>
      <w:lvlJc w:val="left"/>
    </w:lvl>
    <w:lvl w:ilvl="4" w:tplc="B49C4416">
      <w:numFmt w:val="decimal"/>
      <w:lvlText w:val=""/>
      <w:lvlJc w:val="left"/>
    </w:lvl>
    <w:lvl w:ilvl="5" w:tplc="4E1864B6">
      <w:numFmt w:val="decimal"/>
      <w:lvlText w:val=""/>
      <w:lvlJc w:val="left"/>
    </w:lvl>
    <w:lvl w:ilvl="6" w:tplc="203ACA2A">
      <w:numFmt w:val="decimal"/>
      <w:lvlText w:val=""/>
      <w:lvlJc w:val="left"/>
    </w:lvl>
    <w:lvl w:ilvl="7" w:tplc="34E4613A">
      <w:numFmt w:val="decimal"/>
      <w:lvlText w:val=""/>
      <w:lvlJc w:val="left"/>
    </w:lvl>
    <w:lvl w:ilvl="8" w:tplc="79A40296">
      <w:numFmt w:val="decimal"/>
      <w:lvlText w:val=""/>
      <w:lvlJc w:val="left"/>
    </w:lvl>
  </w:abstractNum>
  <w:abstractNum w:abstractNumId="314" w15:restartNumberingAfterBreak="0">
    <w:nsid w:val="39951379"/>
    <w:multiLevelType w:val="hybridMultilevel"/>
    <w:tmpl w:val="AE1E49C4"/>
    <w:lvl w:ilvl="0" w:tplc="43A6CC1C">
      <w:start w:val="1"/>
      <w:numFmt w:val="bullet"/>
      <w:lvlText w:val="•"/>
      <w:lvlJc w:val="left"/>
    </w:lvl>
    <w:lvl w:ilvl="1" w:tplc="F8821E50">
      <w:numFmt w:val="decimal"/>
      <w:lvlText w:val=""/>
      <w:lvlJc w:val="left"/>
    </w:lvl>
    <w:lvl w:ilvl="2" w:tplc="6CFEB9FE">
      <w:numFmt w:val="decimal"/>
      <w:lvlText w:val=""/>
      <w:lvlJc w:val="left"/>
    </w:lvl>
    <w:lvl w:ilvl="3" w:tplc="C2DE2FBC">
      <w:numFmt w:val="decimal"/>
      <w:lvlText w:val=""/>
      <w:lvlJc w:val="left"/>
    </w:lvl>
    <w:lvl w:ilvl="4" w:tplc="BE7C4A48">
      <w:numFmt w:val="decimal"/>
      <w:lvlText w:val=""/>
      <w:lvlJc w:val="left"/>
    </w:lvl>
    <w:lvl w:ilvl="5" w:tplc="3E72000E">
      <w:numFmt w:val="decimal"/>
      <w:lvlText w:val=""/>
      <w:lvlJc w:val="left"/>
    </w:lvl>
    <w:lvl w:ilvl="6" w:tplc="7B0044DA">
      <w:numFmt w:val="decimal"/>
      <w:lvlText w:val=""/>
      <w:lvlJc w:val="left"/>
    </w:lvl>
    <w:lvl w:ilvl="7" w:tplc="C1928096">
      <w:numFmt w:val="decimal"/>
      <w:lvlText w:val=""/>
      <w:lvlJc w:val="left"/>
    </w:lvl>
    <w:lvl w:ilvl="8" w:tplc="8AF08FD4">
      <w:numFmt w:val="decimal"/>
      <w:lvlText w:val=""/>
      <w:lvlJc w:val="left"/>
    </w:lvl>
  </w:abstractNum>
  <w:abstractNum w:abstractNumId="315" w15:restartNumberingAfterBreak="0">
    <w:nsid w:val="399D6BA1"/>
    <w:multiLevelType w:val="hybridMultilevel"/>
    <w:tmpl w:val="A62C95FC"/>
    <w:lvl w:ilvl="0" w:tplc="88FC957E">
      <w:start w:val="1"/>
      <w:numFmt w:val="decimal"/>
      <w:lvlText w:val="%1"/>
      <w:lvlJc w:val="left"/>
    </w:lvl>
    <w:lvl w:ilvl="1" w:tplc="8C785C82">
      <w:start w:val="5"/>
      <w:numFmt w:val="lowerRoman"/>
      <w:lvlText w:val="%2"/>
      <w:lvlJc w:val="left"/>
    </w:lvl>
    <w:lvl w:ilvl="2" w:tplc="82349B1A">
      <w:numFmt w:val="decimal"/>
      <w:lvlText w:val=""/>
      <w:lvlJc w:val="left"/>
    </w:lvl>
    <w:lvl w:ilvl="3" w:tplc="A5F097AE">
      <w:numFmt w:val="decimal"/>
      <w:lvlText w:val=""/>
      <w:lvlJc w:val="left"/>
    </w:lvl>
    <w:lvl w:ilvl="4" w:tplc="7050141A">
      <w:numFmt w:val="decimal"/>
      <w:lvlText w:val=""/>
      <w:lvlJc w:val="left"/>
    </w:lvl>
    <w:lvl w:ilvl="5" w:tplc="A4EEE14A">
      <w:numFmt w:val="decimal"/>
      <w:lvlText w:val=""/>
      <w:lvlJc w:val="left"/>
    </w:lvl>
    <w:lvl w:ilvl="6" w:tplc="6828282C">
      <w:numFmt w:val="decimal"/>
      <w:lvlText w:val=""/>
      <w:lvlJc w:val="left"/>
    </w:lvl>
    <w:lvl w:ilvl="7" w:tplc="98206C00">
      <w:numFmt w:val="decimal"/>
      <w:lvlText w:val=""/>
      <w:lvlJc w:val="left"/>
    </w:lvl>
    <w:lvl w:ilvl="8" w:tplc="AD0E623E">
      <w:numFmt w:val="decimal"/>
      <w:lvlText w:val=""/>
      <w:lvlJc w:val="left"/>
    </w:lvl>
  </w:abstractNum>
  <w:abstractNum w:abstractNumId="316" w15:restartNumberingAfterBreak="0">
    <w:nsid w:val="39F174C7"/>
    <w:multiLevelType w:val="hybridMultilevel"/>
    <w:tmpl w:val="3CE0D802"/>
    <w:lvl w:ilvl="0" w:tplc="67AEF626">
      <w:start w:val="1"/>
      <w:numFmt w:val="bullet"/>
      <w:lvlText w:val="-"/>
      <w:lvlJc w:val="left"/>
    </w:lvl>
    <w:lvl w:ilvl="1" w:tplc="99783B56">
      <w:numFmt w:val="decimal"/>
      <w:lvlText w:val=""/>
      <w:lvlJc w:val="left"/>
    </w:lvl>
    <w:lvl w:ilvl="2" w:tplc="DE1C609E">
      <w:numFmt w:val="decimal"/>
      <w:lvlText w:val=""/>
      <w:lvlJc w:val="left"/>
    </w:lvl>
    <w:lvl w:ilvl="3" w:tplc="093A437E">
      <w:numFmt w:val="decimal"/>
      <w:lvlText w:val=""/>
      <w:lvlJc w:val="left"/>
    </w:lvl>
    <w:lvl w:ilvl="4" w:tplc="883034FC">
      <w:numFmt w:val="decimal"/>
      <w:lvlText w:val=""/>
      <w:lvlJc w:val="left"/>
    </w:lvl>
    <w:lvl w:ilvl="5" w:tplc="0C22DBC6">
      <w:numFmt w:val="decimal"/>
      <w:lvlText w:val=""/>
      <w:lvlJc w:val="left"/>
    </w:lvl>
    <w:lvl w:ilvl="6" w:tplc="C3F8A3A4">
      <w:numFmt w:val="decimal"/>
      <w:lvlText w:val=""/>
      <w:lvlJc w:val="left"/>
    </w:lvl>
    <w:lvl w:ilvl="7" w:tplc="4DF4FFAE">
      <w:numFmt w:val="decimal"/>
      <w:lvlText w:val=""/>
      <w:lvlJc w:val="left"/>
    </w:lvl>
    <w:lvl w:ilvl="8" w:tplc="5DD64B68">
      <w:numFmt w:val="decimal"/>
      <w:lvlText w:val=""/>
      <w:lvlJc w:val="left"/>
    </w:lvl>
  </w:abstractNum>
  <w:abstractNum w:abstractNumId="317" w15:restartNumberingAfterBreak="0">
    <w:nsid w:val="3A3B3926"/>
    <w:multiLevelType w:val="hybridMultilevel"/>
    <w:tmpl w:val="82686CB2"/>
    <w:lvl w:ilvl="0" w:tplc="53CABD30">
      <w:start w:val="1"/>
      <w:numFmt w:val="bullet"/>
      <w:lvlText w:val="-"/>
      <w:lvlJc w:val="left"/>
      <w:pPr>
        <w:ind w:left="1440" w:hanging="360"/>
      </w:p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18" w15:restartNumberingAfterBreak="0">
    <w:nsid w:val="3A63884D"/>
    <w:multiLevelType w:val="hybridMultilevel"/>
    <w:tmpl w:val="872AD058"/>
    <w:lvl w:ilvl="0" w:tplc="439E7E2C">
      <w:start w:val="15"/>
      <w:numFmt w:val="lowerLetter"/>
      <w:lvlText w:val="%1"/>
      <w:lvlJc w:val="left"/>
    </w:lvl>
    <w:lvl w:ilvl="1" w:tplc="C2F4A93A">
      <w:start w:val="1"/>
      <w:numFmt w:val="bullet"/>
      <w:lvlText w:val="•"/>
      <w:lvlJc w:val="left"/>
    </w:lvl>
    <w:lvl w:ilvl="2" w:tplc="C080A3EA">
      <w:numFmt w:val="decimal"/>
      <w:lvlText w:val=""/>
      <w:lvlJc w:val="left"/>
    </w:lvl>
    <w:lvl w:ilvl="3" w:tplc="C55848D2">
      <w:numFmt w:val="decimal"/>
      <w:lvlText w:val=""/>
      <w:lvlJc w:val="left"/>
    </w:lvl>
    <w:lvl w:ilvl="4" w:tplc="2E803C6A">
      <w:numFmt w:val="decimal"/>
      <w:lvlText w:val=""/>
      <w:lvlJc w:val="left"/>
    </w:lvl>
    <w:lvl w:ilvl="5" w:tplc="240E85EE">
      <w:numFmt w:val="decimal"/>
      <w:lvlText w:val=""/>
      <w:lvlJc w:val="left"/>
    </w:lvl>
    <w:lvl w:ilvl="6" w:tplc="59B4EACC">
      <w:numFmt w:val="decimal"/>
      <w:lvlText w:val=""/>
      <w:lvlJc w:val="left"/>
    </w:lvl>
    <w:lvl w:ilvl="7" w:tplc="356AB32C">
      <w:numFmt w:val="decimal"/>
      <w:lvlText w:val=""/>
      <w:lvlJc w:val="left"/>
    </w:lvl>
    <w:lvl w:ilvl="8" w:tplc="477001CE">
      <w:numFmt w:val="decimal"/>
      <w:lvlText w:val=""/>
      <w:lvlJc w:val="left"/>
    </w:lvl>
  </w:abstractNum>
  <w:abstractNum w:abstractNumId="319" w15:restartNumberingAfterBreak="0">
    <w:nsid w:val="3AA7650A"/>
    <w:multiLevelType w:val="hybridMultilevel"/>
    <w:tmpl w:val="1EC00094"/>
    <w:lvl w:ilvl="0" w:tplc="8DB84564">
      <w:start w:val="1"/>
      <w:numFmt w:val="lowerLetter"/>
      <w:lvlText w:val="%1)"/>
      <w:lvlJc w:val="left"/>
      <w:rPr>
        <w:rFonts w:hint="default"/>
      </w:rPr>
    </w:lvl>
    <w:lvl w:ilvl="1" w:tplc="503C830C">
      <w:start w:val="1"/>
      <w:numFmt w:val="bullet"/>
      <w:lvlText w:val="-"/>
      <w:lvlJc w:val="left"/>
    </w:lvl>
    <w:lvl w:ilvl="2" w:tplc="E1CE595C">
      <w:numFmt w:val="decimal"/>
      <w:lvlText w:val=""/>
      <w:lvlJc w:val="left"/>
    </w:lvl>
    <w:lvl w:ilvl="3" w:tplc="78F2698A">
      <w:numFmt w:val="decimal"/>
      <w:lvlText w:val=""/>
      <w:lvlJc w:val="left"/>
    </w:lvl>
    <w:lvl w:ilvl="4" w:tplc="6D40AC58">
      <w:numFmt w:val="decimal"/>
      <w:lvlText w:val=""/>
      <w:lvlJc w:val="left"/>
    </w:lvl>
    <w:lvl w:ilvl="5" w:tplc="22FECD46">
      <w:numFmt w:val="decimal"/>
      <w:lvlText w:val=""/>
      <w:lvlJc w:val="left"/>
    </w:lvl>
    <w:lvl w:ilvl="6" w:tplc="92B00B08">
      <w:numFmt w:val="decimal"/>
      <w:lvlText w:val=""/>
      <w:lvlJc w:val="left"/>
    </w:lvl>
    <w:lvl w:ilvl="7" w:tplc="955C7D7A">
      <w:numFmt w:val="decimal"/>
      <w:lvlText w:val=""/>
      <w:lvlJc w:val="left"/>
    </w:lvl>
    <w:lvl w:ilvl="8" w:tplc="50706D64">
      <w:numFmt w:val="decimal"/>
      <w:lvlText w:val=""/>
      <w:lvlJc w:val="left"/>
    </w:lvl>
  </w:abstractNum>
  <w:abstractNum w:abstractNumId="320" w15:restartNumberingAfterBreak="0">
    <w:nsid w:val="3AA88B3C"/>
    <w:multiLevelType w:val="hybridMultilevel"/>
    <w:tmpl w:val="FAECCE7C"/>
    <w:lvl w:ilvl="0" w:tplc="F0987986">
      <w:start w:val="1"/>
      <w:numFmt w:val="lowerLetter"/>
      <w:lvlText w:val="%1)"/>
      <w:lvlJc w:val="left"/>
    </w:lvl>
    <w:lvl w:ilvl="1" w:tplc="9FD88EBC">
      <w:numFmt w:val="decimal"/>
      <w:lvlText w:val=""/>
      <w:lvlJc w:val="left"/>
    </w:lvl>
    <w:lvl w:ilvl="2" w:tplc="47AE4A1E">
      <w:numFmt w:val="decimal"/>
      <w:lvlText w:val=""/>
      <w:lvlJc w:val="left"/>
    </w:lvl>
    <w:lvl w:ilvl="3" w:tplc="F70ADBF2">
      <w:numFmt w:val="decimal"/>
      <w:lvlText w:val=""/>
      <w:lvlJc w:val="left"/>
    </w:lvl>
    <w:lvl w:ilvl="4" w:tplc="7F345D38">
      <w:numFmt w:val="decimal"/>
      <w:lvlText w:val=""/>
      <w:lvlJc w:val="left"/>
    </w:lvl>
    <w:lvl w:ilvl="5" w:tplc="ADC02388">
      <w:numFmt w:val="decimal"/>
      <w:lvlText w:val=""/>
      <w:lvlJc w:val="left"/>
    </w:lvl>
    <w:lvl w:ilvl="6" w:tplc="76E4883C">
      <w:numFmt w:val="decimal"/>
      <w:lvlText w:val=""/>
      <w:lvlJc w:val="left"/>
    </w:lvl>
    <w:lvl w:ilvl="7" w:tplc="CF3815E2">
      <w:numFmt w:val="decimal"/>
      <w:lvlText w:val=""/>
      <w:lvlJc w:val="left"/>
    </w:lvl>
    <w:lvl w:ilvl="8" w:tplc="05609A5C">
      <w:numFmt w:val="decimal"/>
      <w:lvlText w:val=""/>
      <w:lvlJc w:val="left"/>
    </w:lvl>
  </w:abstractNum>
  <w:abstractNum w:abstractNumId="321" w15:restartNumberingAfterBreak="0">
    <w:nsid w:val="3AEB6B48"/>
    <w:multiLevelType w:val="hybridMultilevel"/>
    <w:tmpl w:val="733402D8"/>
    <w:lvl w:ilvl="0" w:tplc="796A6BAE">
      <w:start w:val="15"/>
      <w:numFmt w:val="lowerLetter"/>
      <w:lvlText w:val="%1"/>
      <w:lvlJc w:val="left"/>
    </w:lvl>
    <w:lvl w:ilvl="1" w:tplc="893AFA40">
      <w:numFmt w:val="decimal"/>
      <w:lvlText w:val=""/>
      <w:lvlJc w:val="left"/>
    </w:lvl>
    <w:lvl w:ilvl="2" w:tplc="1CBE06D8">
      <w:numFmt w:val="decimal"/>
      <w:lvlText w:val=""/>
      <w:lvlJc w:val="left"/>
    </w:lvl>
    <w:lvl w:ilvl="3" w:tplc="07FCA1EA">
      <w:numFmt w:val="decimal"/>
      <w:lvlText w:val=""/>
      <w:lvlJc w:val="left"/>
    </w:lvl>
    <w:lvl w:ilvl="4" w:tplc="1958BD94">
      <w:numFmt w:val="decimal"/>
      <w:lvlText w:val=""/>
      <w:lvlJc w:val="left"/>
    </w:lvl>
    <w:lvl w:ilvl="5" w:tplc="50961BFC">
      <w:numFmt w:val="decimal"/>
      <w:lvlText w:val=""/>
      <w:lvlJc w:val="left"/>
    </w:lvl>
    <w:lvl w:ilvl="6" w:tplc="0288940E">
      <w:numFmt w:val="decimal"/>
      <w:lvlText w:val=""/>
      <w:lvlJc w:val="left"/>
    </w:lvl>
    <w:lvl w:ilvl="7" w:tplc="66ECD79E">
      <w:numFmt w:val="decimal"/>
      <w:lvlText w:val=""/>
      <w:lvlJc w:val="left"/>
    </w:lvl>
    <w:lvl w:ilvl="8" w:tplc="40160FA0">
      <w:numFmt w:val="decimal"/>
      <w:lvlText w:val=""/>
      <w:lvlJc w:val="left"/>
    </w:lvl>
  </w:abstractNum>
  <w:abstractNum w:abstractNumId="322" w15:restartNumberingAfterBreak="0">
    <w:nsid w:val="3AFF7586"/>
    <w:multiLevelType w:val="hybridMultilevel"/>
    <w:tmpl w:val="E07473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3" w15:restartNumberingAfterBreak="0">
    <w:nsid w:val="3B192CFD"/>
    <w:multiLevelType w:val="hybridMultilevel"/>
    <w:tmpl w:val="8B7A5064"/>
    <w:lvl w:ilvl="0" w:tplc="6FCEC980">
      <w:start w:val="1"/>
      <w:numFmt w:val="bullet"/>
      <w:lvlText w:val="-"/>
      <w:lvlJc w:val="left"/>
    </w:lvl>
    <w:lvl w:ilvl="1" w:tplc="C69A74BE">
      <w:numFmt w:val="decimal"/>
      <w:lvlText w:val=""/>
      <w:lvlJc w:val="left"/>
    </w:lvl>
    <w:lvl w:ilvl="2" w:tplc="295E6446">
      <w:numFmt w:val="decimal"/>
      <w:lvlText w:val=""/>
      <w:lvlJc w:val="left"/>
    </w:lvl>
    <w:lvl w:ilvl="3" w:tplc="5A341502">
      <w:numFmt w:val="decimal"/>
      <w:lvlText w:val=""/>
      <w:lvlJc w:val="left"/>
    </w:lvl>
    <w:lvl w:ilvl="4" w:tplc="4E0EF7B4">
      <w:numFmt w:val="decimal"/>
      <w:lvlText w:val=""/>
      <w:lvlJc w:val="left"/>
    </w:lvl>
    <w:lvl w:ilvl="5" w:tplc="40F0C9C6">
      <w:numFmt w:val="decimal"/>
      <w:lvlText w:val=""/>
      <w:lvlJc w:val="left"/>
    </w:lvl>
    <w:lvl w:ilvl="6" w:tplc="5B9E24F2">
      <w:numFmt w:val="decimal"/>
      <w:lvlText w:val=""/>
      <w:lvlJc w:val="left"/>
    </w:lvl>
    <w:lvl w:ilvl="7" w:tplc="E078186C">
      <w:numFmt w:val="decimal"/>
      <w:lvlText w:val=""/>
      <w:lvlJc w:val="left"/>
    </w:lvl>
    <w:lvl w:ilvl="8" w:tplc="5AE6A7B0">
      <w:numFmt w:val="decimal"/>
      <w:lvlText w:val=""/>
      <w:lvlJc w:val="left"/>
    </w:lvl>
  </w:abstractNum>
  <w:abstractNum w:abstractNumId="324" w15:restartNumberingAfterBreak="0">
    <w:nsid w:val="3B3A67C5"/>
    <w:multiLevelType w:val="hybridMultilevel"/>
    <w:tmpl w:val="27C0366E"/>
    <w:lvl w:ilvl="0" w:tplc="7D243AF6">
      <w:start w:val="1"/>
      <w:numFmt w:val="bullet"/>
      <w:lvlText w:val="·"/>
      <w:lvlJc w:val="left"/>
    </w:lvl>
    <w:lvl w:ilvl="1" w:tplc="5FF6EC38">
      <w:numFmt w:val="decimal"/>
      <w:lvlText w:val=""/>
      <w:lvlJc w:val="left"/>
    </w:lvl>
    <w:lvl w:ilvl="2" w:tplc="B8C85D26">
      <w:numFmt w:val="decimal"/>
      <w:lvlText w:val=""/>
      <w:lvlJc w:val="left"/>
    </w:lvl>
    <w:lvl w:ilvl="3" w:tplc="D2C21C4A">
      <w:numFmt w:val="decimal"/>
      <w:lvlText w:val=""/>
      <w:lvlJc w:val="left"/>
    </w:lvl>
    <w:lvl w:ilvl="4" w:tplc="97D699B2">
      <w:numFmt w:val="decimal"/>
      <w:lvlText w:val=""/>
      <w:lvlJc w:val="left"/>
    </w:lvl>
    <w:lvl w:ilvl="5" w:tplc="DFFEA58A">
      <w:numFmt w:val="decimal"/>
      <w:lvlText w:val=""/>
      <w:lvlJc w:val="left"/>
    </w:lvl>
    <w:lvl w:ilvl="6" w:tplc="2E4EB2E4">
      <w:numFmt w:val="decimal"/>
      <w:lvlText w:val=""/>
      <w:lvlJc w:val="left"/>
    </w:lvl>
    <w:lvl w:ilvl="7" w:tplc="472855BE">
      <w:numFmt w:val="decimal"/>
      <w:lvlText w:val=""/>
      <w:lvlJc w:val="left"/>
    </w:lvl>
    <w:lvl w:ilvl="8" w:tplc="B4C8DEEA">
      <w:numFmt w:val="decimal"/>
      <w:lvlText w:val=""/>
      <w:lvlJc w:val="left"/>
    </w:lvl>
  </w:abstractNum>
  <w:abstractNum w:abstractNumId="325" w15:restartNumberingAfterBreak="0">
    <w:nsid w:val="3B4FF9DB"/>
    <w:multiLevelType w:val="hybridMultilevel"/>
    <w:tmpl w:val="79760ADA"/>
    <w:lvl w:ilvl="0" w:tplc="8F5435B8">
      <w:start w:val="1"/>
      <w:numFmt w:val="bullet"/>
      <w:lvlText w:val="•"/>
      <w:lvlJc w:val="left"/>
    </w:lvl>
    <w:lvl w:ilvl="1" w:tplc="20D4D2E0">
      <w:numFmt w:val="decimal"/>
      <w:lvlText w:val=""/>
      <w:lvlJc w:val="left"/>
    </w:lvl>
    <w:lvl w:ilvl="2" w:tplc="61821EF6">
      <w:numFmt w:val="decimal"/>
      <w:lvlText w:val=""/>
      <w:lvlJc w:val="left"/>
    </w:lvl>
    <w:lvl w:ilvl="3" w:tplc="10503EDA">
      <w:numFmt w:val="decimal"/>
      <w:lvlText w:val=""/>
      <w:lvlJc w:val="left"/>
    </w:lvl>
    <w:lvl w:ilvl="4" w:tplc="BA84D410">
      <w:numFmt w:val="decimal"/>
      <w:lvlText w:val=""/>
      <w:lvlJc w:val="left"/>
    </w:lvl>
    <w:lvl w:ilvl="5" w:tplc="F894E1D2">
      <w:numFmt w:val="decimal"/>
      <w:lvlText w:val=""/>
      <w:lvlJc w:val="left"/>
    </w:lvl>
    <w:lvl w:ilvl="6" w:tplc="C192B572">
      <w:numFmt w:val="decimal"/>
      <w:lvlText w:val=""/>
      <w:lvlJc w:val="left"/>
    </w:lvl>
    <w:lvl w:ilvl="7" w:tplc="593A975C">
      <w:numFmt w:val="decimal"/>
      <w:lvlText w:val=""/>
      <w:lvlJc w:val="left"/>
    </w:lvl>
    <w:lvl w:ilvl="8" w:tplc="1EB09024">
      <w:numFmt w:val="decimal"/>
      <w:lvlText w:val=""/>
      <w:lvlJc w:val="left"/>
    </w:lvl>
  </w:abstractNum>
  <w:abstractNum w:abstractNumId="326" w15:restartNumberingAfterBreak="0">
    <w:nsid w:val="3B6563FB"/>
    <w:multiLevelType w:val="hybridMultilevel"/>
    <w:tmpl w:val="CB283FD0"/>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327" w15:restartNumberingAfterBreak="0">
    <w:nsid w:val="3BAA1DBD"/>
    <w:multiLevelType w:val="hybridMultilevel"/>
    <w:tmpl w:val="230E4944"/>
    <w:lvl w:ilvl="0" w:tplc="04050011">
      <w:start w:val="1"/>
      <w:numFmt w:val="decimal"/>
      <w:lvlText w:val="%1)"/>
      <w:lvlJc w:val="left"/>
    </w:lvl>
    <w:lvl w:ilvl="1" w:tplc="B2EA3576">
      <w:numFmt w:val="decimal"/>
      <w:lvlText w:val=""/>
      <w:lvlJc w:val="left"/>
    </w:lvl>
    <w:lvl w:ilvl="2" w:tplc="368ACF7C">
      <w:numFmt w:val="decimal"/>
      <w:lvlText w:val=""/>
      <w:lvlJc w:val="left"/>
    </w:lvl>
    <w:lvl w:ilvl="3" w:tplc="5770F6CE">
      <w:numFmt w:val="decimal"/>
      <w:lvlText w:val=""/>
      <w:lvlJc w:val="left"/>
    </w:lvl>
    <w:lvl w:ilvl="4" w:tplc="BF42D8CE">
      <w:numFmt w:val="decimal"/>
      <w:lvlText w:val=""/>
      <w:lvlJc w:val="left"/>
    </w:lvl>
    <w:lvl w:ilvl="5" w:tplc="D4069B3A">
      <w:numFmt w:val="decimal"/>
      <w:lvlText w:val=""/>
      <w:lvlJc w:val="left"/>
    </w:lvl>
    <w:lvl w:ilvl="6" w:tplc="8DBA80EA">
      <w:numFmt w:val="decimal"/>
      <w:lvlText w:val=""/>
      <w:lvlJc w:val="left"/>
    </w:lvl>
    <w:lvl w:ilvl="7" w:tplc="0A781E3C">
      <w:numFmt w:val="decimal"/>
      <w:lvlText w:val=""/>
      <w:lvlJc w:val="left"/>
    </w:lvl>
    <w:lvl w:ilvl="8" w:tplc="55B0C752">
      <w:numFmt w:val="decimal"/>
      <w:lvlText w:val=""/>
      <w:lvlJc w:val="left"/>
    </w:lvl>
  </w:abstractNum>
  <w:abstractNum w:abstractNumId="328" w15:restartNumberingAfterBreak="0">
    <w:nsid w:val="3BAB4C9F"/>
    <w:multiLevelType w:val="hybridMultilevel"/>
    <w:tmpl w:val="767003B4"/>
    <w:lvl w:ilvl="0" w:tplc="53CABD30">
      <w:start w:val="1"/>
      <w:numFmt w:val="bullet"/>
      <w:lvlText w:val="-"/>
      <w:lvlJc w:val="left"/>
      <w:pPr>
        <w:ind w:left="1440" w:hanging="360"/>
      </w:p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29" w15:restartNumberingAfterBreak="0">
    <w:nsid w:val="3BCFA3D1"/>
    <w:multiLevelType w:val="hybridMultilevel"/>
    <w:tmpl w:val="D5AEF940"/>
    <w:lvl w:ilvl="0" w:tplc="B712A91A">
      <w:start w:val="1"/>
      <w:numFmt w:val="bullet"/>
      <w:lvlText w:val="o"/>
      <w:lvlJc w:val="left"/>
    </w:lvl>
    <w:lvl w:ilvl="1" w:tplc="DB1A30E8">
      <w:numFmt w:val="decimal"/>
      <w:lvlText w:val=""/>
      <w:lvlJc w:val="left"/>
    </w:lvl>
    <w:lvl w:ilvl="2" w:tplc="7A00EF3A">
      <w:numFmt w:val="decimal"/>
      <w:lvlText w:val=""/>
      <w:lvlJc w:val="left"/>
    </w:lvl>
    <w:lvl w:ilvl="3" w:tplc="1C3EB7A2">
      <w:numFmt w:val="decimal"/>
      <w:lvlText w:val=""/>
      <w:lvlJc w:val="left"/>
    </w:lvl>
    <w:lvl w:ilvl="4" w:tplc="408C9B56">
      <w:numFmt w:val="decimal"/>
      <w:lvlText w:val=""/>
      <w:lvlJc w:val="left"/>
    </w:lvl>
    <w:lvl w:ilvl="5" w:tplc="A87A02D0">
      <w:numFmt w:val="decimal"/>
      <w:lvlText w:val=""/>
      <w:lvlJc w:val="left"/>
    </w:lvl>
    <w:lvl w:ilvl="6" w:tplc="67EC2CDC">
      <w:numFmt w:val="decimal"/>
      <w:lvlText w:val=""/>
      <w:lvlJc w:val="left"/>
    </w:lvl>
    <w:lvl w:ilvl="7" w:tplc="647ECC12">
      <w:numFmt w:val="decimal"/>
      <w:lvlText w:val=""/>
      <w:lvlJc w:val="left"/>
    </w:lvl>
    <w:lvl w:ilvl="8" w:tplc="8DC2C76C">
      <w:numFmt w:val="decimal"/>
      <w:lvlText w:val=""/>
      <w:lvlJc w:val="left"/>
    </w:lvl>
  </w:abstractNum>
  <w:abstractNum w:abstractNumId="330" w15:restartNumberingAfterBreak="0">
    <w:nsid w:val="3C3F0BFD"/>
    <w:multiLevelType w:val="hybridMultilevel"/>
    <w:tmpl w:val="6AACE714"/>
    <w:lvl w:ilvl="0" w:tplc="AD980FBE">
      <w:start w:val="1"/>
      <w:numFmt w:val="bullet"/>
      <w:lvlText w:val="·"/>
      <w:lvlJc w:val="left"/>
    </w:lvl>
    <w:lvl w:ilvl="1" w:tplc="5268B942">
      <w:start w:val="15"/>
      <w:numFmt w:val="lowerLetter"/>
      <w:lvlText w:val="%2"/>
      <w:lvlJc w:val="left"/>
    </w:lvl>
    <w:lvl w:ilvl="2" w:tplc="8BC2FC96">
      <w:numFmt w:val="decimal"/>
      <w:lvlText w:val=""/>
      <w:lvlJc w:val="left"/>
    </w:lvl>
    <w:lvl w:ilvl="3" w:tplc="8884DB2C">
      <w:numFmt w:val="decimal"/>
      <w:lvlText w:val=""/>
      <w:lvlJc w:val="left"/>
    </w:lvl>
    <w:lvl w:ilvl="4" w:tplc="A0B2382C">
      <w:numFmt w:val="decimal"/>
      <w:lvlText w:val=""/>
      <w:lvlJc w:val="left"/>
    </w:lvl>
    <w:lvl w:ilvl="5" w:tplc="3B129028">
      <w:numFmt w:val="decimal"/>
      <w:lvlText w:val=""/>
      <w:lvlJc w:val="left"/>
    </w:lvl>
    <w:lvl w:ilvl="6" w:tplc="F354886A">
      <w:numFmt w:val="decimal"/>
      <w:lvlText w:val=""/>
      <w:lvlJc w:val="left"/>
    </w:lvl>
    <w:lvl w:ilvl="7" w:tplc="DF2C5F76">
      <w:numFmt w:val="decimal"/>
      <w:lvlText w:val=""/>
      <w:lvlJc w:val="left"/>
    </w:lvl>
    <w:lvl w:ilvl="8" w:tplc="8B76CF78">
      <w:numFmt w:val="decimal"/>
      <w:lvlText w:val=""/>
      <w:lvlJc w:val="left"/>
    </w:lvl>
  </w:abstractNum>
  <w:abstractNum w:abstractNumId="331" w15:restartNumberingAfterBreak="0">
    <w:nsid w:val="3C8CC138"/>
    <w:multiLevelType w:val="hybridMultilevel"/>
    <w:tmpl w:val="2CFAE702"/>
    <w:lvl w:ilvl="0" w:tplc="C8E6A874">
      <w:start w:val="1"/>
      <w:numFmt w:val="decimal"/>
      <w:lvlText w:val="%1."/>
      <w:lvlJc w:val="left"/>
    </w:lvl>
    <w:lvl w:ilvl="1" w:tplc="0F5C9A04">
      <w:numFmt w:val="decimal"/>
      <w:lvlText w:val=""/>
      <w:lvlJc w:val="left"/>
    </w:lvl>
    <w:lvl w:ilvl="2" w:tplc="0FA8E570">
      <w:numFmt w:val="decimal"/>
      <w:lvlText w:val=""/>
      <w:lvlJc w:val="left"/>
    </w:lvl>
    <w:lvl w:ilvl="3" w:tplc="98C2CF56">
      <w:numFmt w:val="decimal"/>
      <w:lvlText w:val=""/>
      <w:lvlJc w:val="left"/>
    </w:lvl>
    <w:lvl w:ilvl="4" w:tplc="9892802E">
      <w:numFmt w:val="decimal"/>
      <w:lvlText w:val=""/>
      <w:lvlJc w:val="left"/>
    </w:lvl>
    <w:lvl w:ilvl="5" w:tplc="EF10004A">
      <w:numFmt w:val="decimal"/>
      <w:lvlText w:val=""/>
      <w:lvlJc w:val="left"/>
    </w:lvl>
    <w:lvl w:ilvl="6" w:tplc="536E3112">
      <w:numFmt w:val="decimal"/>
      <w:lvlText w:val=""/>
      <w:lvlJc w:val="left"/>
    </w:lvl>
    <w:lvl w:ilvl="7" w:tplc="10B2D218">
      <w:numFmt w:val="decimal"/>
      <w:lvlText w:val=""/>
      <w:lvlJc w:val="left"/>
    </w:lvl>
    <w:lvl w:ilvl="8" w:tplc="99E6A9AC">
      <w:numFmt w:val="decimal"/>
      <w:lvlText w:val=""/>
      <w:lvlJc w:val="left"/>
    </w:lvl>
  </w:abstractNum>
  <w:abstractNum w:abstractNumId="332" w15:restartNumberingAfterBreak="0">
    <w:nsid w:val="3CA6D1B9"/>
    <w:multiLevelType w:val="hybridMultilevel"/>
    <w:tmpl w:val="717291CE"/>
    <w:lvl w:ilvl="0" w:tplc="FD822DEE">
      <w:start w:val="1"/>
      <w:numFmt w:val="bullet"/>
      <w:lvlText w:val="·"/>
      <w:lvlJc w:val="left"/>
    </w:lvl>
    <w:lvl w:ilvl="1" w:tplc="8C46C142">
      <w:numFmt w:val="decimal"/>
      <w:lvlText w:val=""/>
      <w:lvlJc w:val="left"/>
    </w:lvl>
    <w:lvl w:ilvl="2" w:tplc="A114F6E0">
      <w:numFmt w:val="decimal"/>
      <w:lvlText w:val=""/>
      <w:lvlJc w:val="left"/>
    </w:lvl>
    <w:lvl w:ilvl="3" w:tplc="99DE6568">
      <w:numFmt w:val="decimal"/>
      <w:lvlText w:val=""/>
      <w:lvlJc w:val="left"/>
    </w:lvl>
    <w:lvl w:ilvl="4" w:tplc="E138CDD0">
      <w:numFmt w:val="decimal"/>
      <w:lvlText w:val=""/>
      <w:lvlJc w:val="left"/>
    </w:lvl>
    <w:lvl w:ilvl="5" w:tplc="56BAA1B4">
      <w:numFmt w:val="decimal"/>
      <w:lvlText w:val=""/>
      <w:lvlJc w:val="left"/>
    </w:lvl>
    <w:lvl w:ilvl="6" w:tplc="105C1C3E">
      <w:numFmt w:val="decimal"/>
      <w:lvlText w:val=""/>
      <w:lvlJc w:val="left"/>
    </w:lvl>
    <w:lvl w:ilvl="7" w:tplc="D220A1AA">
      <w:numFmt w:val="decimal"/>
      <w:lvlText w:val=""/>
      <w:lvlJc w:val="left"/>
    </w:lvl>
    <w:lvl w:ilvl="8" w:tplc="5EE28052">
      <w:numFmt w:val="decimal"/>
      <w:lvlText w:val=""/>
      <w:lvlJc w:val="left"/>
    </w:lvl>
  </w:abstractNum>
  <w:abstractNum w:abstractNumId="333" w15:restartNumberingAfterBreak="0">
    <w:nsid w:val="3D4B955A"/>
    <w:multiLevelType w:val="hybridMultilevel"/>
    <w:tmpl w:val="A620CD22"/>
    <w:lvl w:ilvl="0" w:tplc="27CABB1C">
      <w:start w:val="1"/>
      <w:numFmt w:val="bullet"/>
      <w:lvlText w:val="-"/>
      <w:lvlJc w:val="left"/>
    </w:lvl>
    <w:lvl w:ilvl="1" w:tplc="A5F2DB6E">
      <w:numFmt w:val="decimal"/>
      <w:lvlText w:val=""/>
      <w:lvlJc w:val="left"/>
    </w:lvl>
    <w:lvl w:ilvl="2" w:tplc="9C0E58BA">
      <w:numFmt w:val="decimal"/>
      <w:lvlText w:val=""/>
      <w:lvlJc w:val="left"/>
    </w:lvl>
    <w:lvl w:ilvl="3" w:tplc="317A957C">
      <w:numFmt w:val="decimal"/>
      <w:lvlText w:val=""/>
      <w:lvlJc w:val="left"/>
    </w:lvl>
    <w:lvl w:ilvl="4" w:tplc="2C38E214">
      <w:numFmt w:val="decimal"/>
      <w:lvlText w:val=""/>
      <w:lvlJc w:val="left"/>
    </w:lvl>
    <w:lvl w:ilvl="5" w:tplc="945279AA">
      <w:numFmt w:val="decimal"/>
      <w:lvlText w:val=""/>
      <w:lvlJc w:val="left"/>
    </w:lvl>
    <w:lvl w:ilvl="6" w:tplc="0FCEBC32">
      <w:numFmt w:val="decimal"/>
      <w:lvlText w:val=""/>
      <w:lvlJc w:val="left"/>
    </w:lvl>
    <w:lvl w:ilvl="7" w:tplc="6C9C3220">
      <w:numFmt w:val="decimal"/>
      <w:lvlText w:val=""/>
      <w:lvlJc w:val="left"/>
    </w:lvl>
    <w:lvl w:ilvl="8" w:tplc="3E20A86A">
      <w:numFmt w:val="decimal"/>
      <w:lvlText w:val=""/>
      <w:lvlJc w:val="left"/>
    </w:lvl>
  </w:abstractNum>
  <w:abstractNum w:abstractNumId="334" w15:restartNumberingAfterBreak="0">
    <w:nsid w:val="3D76F9E2"/>
    <w:multiLevelType w:val="hybridMultilevel"/>
    <w:tmpl w:val="8F146270"/>
    <w:lvl w:ilvl="0" w:tplc="F93C2EC4">
      <w:start w:val="1"/>
      <w:numFmt w:val="bullet"/>
      <w:lvlText w:val="―"/>
      <w:lvlJc w:val="left"/>
    </w:lvl>
    <w:lvl w:ilvl="1" w:tplc="935A880E">
      <w:numFmt w:val="decimal"/>
      <w:lvlText w:val=""/>
      <w:lvlJc w:val="left"/>
    </w:lvl>
    <w:lvl w:ilvl="2" w:tplc="2A8C8012">
      <w:numFmt w:val="decimal"/>
      <w:lvlText w:val=""/>
      <w:lvlJc w:val="left"/>
    </w:lvl>
    <w:lvl w:ilvl="3" w:tplc="909C4FC2">
      <w:numFmt w:val="decimal"/>
      <w:lvlText w:val=""/>
      <w:lvlJc w:val="left"/>
    </w:lvl>
    <w:lvl w:ilvl="4" w:tplc="4CD4BC52">
      <w:numFmt w:val="decimal"/>
      <w:lvlText w:val=""/>
      <w:lvlJc w:val="left"/>
    </w:lvl>
    <w:lvl w:ilvl="5" w:tplc="26003F40">
      <w:numFmt w:val="decimal"/>
      <w:lvlText w:val=""/>
      <w:lvlJc w:val="left"/>
    </w:lvl>
    <w:lvl w:ilvl="6" w:tplc="08C0F628">
      <w:numFmt w:val="decimal"/>
      <w:lvlText w:val=""/>
      <w:lvlJc w:val="left"/>
    </w:lvl>
    <w:lvl w:ilvl="7" w:tplc="1DCC6C14">
      <w:numFmt w:val="decimal"/>
      <w:lvlText w:val=""/>
      <w:lvlJc w:val="left"/>
    </w:lvl>
    <w:lvl w:ilvl="8" w:tplc="B2E4531C">
      <w:numFmt w:val="decimal"/>
      <w:lvlText w:val=""/>
      <w:lvlJc w:val="left"/>
    </w:lvl>
  </w:abstractNum>
  <w:abstractNum w:abstractNumId="335" w15:restartNumberingAfterBreak="0">
    <w:nsid w:val="3D9579BA"/>
    <w:multiLevelType w:val="hybridMultilevel"/>
    <w:tmpl w:val="A47CD9BE"/>
    <w:lvl w:ilvl="0" w:tplc="420E85AC">
      <w:start w:val="1"/>
      <w:numFmt w:val="bullet"/>
      <w:lvlText w:val=""/>
      <w:lvlJc w:val="right"/>
      <w:rPr>
        <w:rFonts w:ascii="Symbol" w:hAnsi="Symbol" w:hint="default"/>
      </w:rPr>
    </w:lvl>
    <w:lvl w:ilvl="1" w:tplc="7AAA3002">
      <w:numFmt w:val="decimal"/>
      <w:lvlText w:val=""/>
      <w:lvlJc w:val="left"/>
    </w:lvl>
    <w:lvl w:ilvl="2" w:tplc="08A4C824">
      <w:numFmt w:val="decimal"/>
      <w:lvlText w:val=""/>
      <w:lvlJc w:val="left"/>
    </w:lvl>
    <w:lvl w:ilvl="3" w:tplc="8694709E">
      <w:numFmt w:val="decimal"/>
      <w:lvlText w:val=""/>
      <w:lvlJc w:val="left"/>
    </w:lvl>
    <w:lvl w:ilvl="4" w:tplc="D2629F18">
      <w:numFmt w:val="decimal"/>
      <w:lvlText w:val=""/>
      <w:lvlJc w:val="left"/>
    </w:lvl>
    <w:lvl w:ilvl="5" w:tplc="D0C8FE72">
      <w:numFmt w:val="decimal"/>
      <w:lvlText w:val=""/>
      <w:lvlJc w:val="left"/>
    </w:lvl>
    <w:lvl w:ilvl="6" w:tplc="FBACA16A">
      <w:numFmt w:val="decimal"/>
      <w:lvlText w:val=""/>
      <w:lvlJc w:val="left"/>
    </w:lvl>
    <w:lvl w:ilvl="7" w:tplc="D9BEC6CA">
      <w:numFmt w:val="decimal"/>
      <w:lvlText w:val=""/>
      <w:lvlJc w:val="left"/>
    </w:lvl>
    <w:lvl w:ilvl="8" w:tplc="D95418D0">
      <w:numFmt w:val="decimal"/>
      <w:lvlText w:val=""/>
      <w:lvlJc w:val="left"/>
    </w:lvl>
  </w:abstractNum>
  <w:abstractNum w:abstractNumId="336" w15:restartNumberingAfterBreak="0">
    <w:nsid w:val="3DEB451A"/>
    <w:multiLevelType w:val="hybridMultilevel"/>
    <w:tmpl w:val="D5584722"/>
    <w:lvl w:ilvl="0" w:tplc="585E7898">
      <w:start w:val="1"/>
      <w:numFmt w:val="bullet"/>
      <w:lvlText w:val="·"/>
      <w:lvlJc w:val="left"/>
    </w:lvl>
    <w:lvl w:ilvl="1" w:tplc="C4E29E72">
      <w:numFmt w:val="decimal"/>
      <w:lvlText w:val=""/>
      <w:lvlJc w:val="left"/>
    </w:lvl>
    <w:lvl w:ilvl="2" w:tplc="0CAC95F2">
      <w:numFmt w:val="decimal"/>
      <w:lvlText w:val=""/>
      <w:lvlJc w:val="left"/>
    </w:lvl>
    <w:lvl w:ilvl="3" w:tplc="09CE78E0">
      <w:numFmt w:val="decimal"/>
      <w:lvlText w:val=""/>
      <w:lvlJc w:val="left"/>
    </w:lvl>
    <w:lvl w:ilvl="4" w:tplc="CEE24398">
      <w:numFmt w:val="decimal"/>
      <w:lvlText w:val=""/>
      <w:lvlJc w:val="left"/>
    </w:lvl>
    <w:lvl w:ilvl="5" w:tplc="7D44FE16">
      <w:numFmt w:val="decimal"/>
      <w:lvlText w:val=""/>
      <w:lvlJc w:val="left"/>
    </w:lvl>
    <w:lvl w:ilvl="6" w:tplc="15361B5A">
      <w:numFmt w:val="decimal"/>
      <w:lvlText w:val=""/>
      <w:lvlJc w:val="left"/>
    </w:lvl>
    <w:lvl w:ilvl="7" w:tplc="A322E578">
      <w:numFmt w:val="decimal"/>
      <w:lvlText w:val=""/>
      <w:lvlJc w:val="left"/>
    </w:lvl>
    <w:lvl w:ilvl="8" w:tplc="C308C370">
      <w:numFmt w:val="decimal"/>
      <w:lvlText w:val=""/>
      <w:lvlJc w:val="left"/>
    </w:lvl>
  </w:abstractNum>
  <w:abstractNum w:abstractNumId="337" w15:restartNumberingAfterBreak="0">
    <w:nsid w:val="3E11D757"/>
    <w:multiLevelType w:val="hybridMultilevel"/>
    <w:tmpl w:val="E81031E8"/>
    <w:lvl w:ilvl="0" w:tplc="53CABD30">
      <w:start w:val="1"/>
      <w:numFmt w:val="bullet"/>
      <w:lvlText w:val="-"/>
      <w:lvlJc w:val="left"/>
    </w:lvl>
    <w:lvl w:ilvl="1" w:tplc="959877A6">
      <w:start w:val="1"/>
      <w:numFmt w:val="bullet"/>
      <w:lvlText w:val="§"/>
      <w:lvlJc w:val="left"/>
    </w:lvl>
    <w:lvl w:ilvl="2" w:tplc="840C353A">
      <w:numFmt w:val="decimal"/>
      <w:lvlText w:val=""/>
      <w:lvlJc w:val="left"/>
    </w:lvl>
    <w:lvl w:ilvl="3" w:tplc="657CB2C8">
      <w:numFmt w:val="decimal"/>
      <w:lvlText w:val=""/>
      <w:lvlJc w:val="left"/>
    </w:lvl>
    <w:lvl w:ilvl="4" w:tplc="27346C46">
      <w:numFmt w:val="decimal"/>
      <w:lvlText w:val=""/>
      <w:lvlJc w:val="left"/>
    </w:lvl>
    <w:lvl w:ilvl="5" w:tplc="11E28C0A">
      <w:numFmt w:val="decimal"/>
      <w:lvlText w:val=""/>
      <w:lvlJc w:val="left"/>
    </w:lvl>
    <w:lvl w:ilvl="6" w:tplc="031ED5D2">
      <w:numFmt w:val="decimal"/>
      <w:lvlText w:val=""/>
      <w:lvlJc w:val="left"/>
    </w:lvl>
    <w:lvl w:ilvl="7" w:tplc="8424B83E">
      <w:numFmt w:val="decimal"/>
      <w:lvlText w:val=""/>
      <w:lvlJc w:val="left"/>
    </w:lvl>
    <w:lvl w:ilvl="8" w:tplc="DBD63CDC">
      <w:numFmt w:val="decimal"/>
      <w:lvlText w:val=""/>
      <w:lvlJc w:val="left"/>
    </w:lvl>
  </w:abstractNum>
  <w:abstractNum w:abstractNumId="338" w15:restartNumberingAfterBreak="0">
    <w:nsid w:val="3E1857EA"/>
    <w:multiLevelType w:val="hybridMultilevel"/>
    <w:tmpl w:val="0D3276B8"/>
    <w:lvl w:ilvl="0" w:tplc="04050011">
      <w:start w:val="1"/>
      <w:numFmt w:val="decimal"/>
      <w:lvlText w:val="%1)"/>
      <w:lvlJc w:val="left"/>
    </w:lvl>
    <w:lvl w:ilvl="1" w:tplc="7CF405D2">
      <w:start w:val="1"/>
      <w:numFmt w:val="bullet"/>
      <w:lvlText w:val="•"/>
      <w:lvlJc w:val="left"/>
    </w:lvl>
    <w:lvl w:ilvl="2" w:tplc="C3984904">
      <w:numFmt w:val="decimal"/>
      <w:lvlText w:val=""/>
      <w:lvlJc w:val="left"/>
    </w:lvl>
    <w:lvl w:ilvl="3" w:tplc="883AA36C">
      <w:numFmt w:val="decimal"/>
      <w:lvlText w:val=""/>
      <w:lvlJc w:val="left"/>
    </w:lvl>
    <w:lvl w:ilvl="4" w:tplc="E7DC84D6">
      <w:numFmt w:val="decimal"/>
      <w:lvlText w:val=""/>
      <w:lvlJc w:val="left"/>
    </w:lvl>
    <w:lvl w:ilvl="5" w:tplc="74AC6B50">
      <w:numFmt w:val="decimal"/>
      <w:lvlText w:val=""/>
      <w:lvlJc w:val="left"/>
    </w:lvl>
    <w:lvl w:ilvl="6" w:tplc="3BBC03D6">
      <w:numFmt w:val="decimal"/>
      <w:lvlText w:val=""/>
      <w:lvlJc w:val="left"/>
    </w:lvl>
    <w:lvl w:ilvl="7" w:tplc="9516025C">
      <w:numFmt w:val="decimal"/>
      <w:lvlText w:val=""/>
      <w:lvlJc w:val="left"/>
    </w:lvl>
    <w:lvl w:ilvl="8" w:tplc="FD5C3660">
      <w:numFmt w:val="decimal"/>
      <w:lvlText w:val=""/>
      <w:lvlJc w:val="left"/>
    </w:lvl>
  </w:abstractNum>
  <w:abstractNum w:abstractNumId="339" w15:restartNumberingAfterBreak="0">
    <w:nsid w:val="3E2E29E1"/>
    <w:multiLevelType w:val="hybridMultilevel"/>
    <w:tmpl w:val="ADFE9E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0" w15:restartNumberingAfterBreak="0">
    <w:nsid w:val="3E8ECE6E"/>
    <w:multiLevelType w:val="hybridMultilevel"/>
    <w:tmpl w:val="1EA2A780"/>
    <w:lvl w:ilvl="0" w:tplc="865AA86A">
      <w:start w:val="1"/>
      <w:numFmt w:val="bullet"/>
      <w:lvlText w:val="•"/>
      <w:lvlJc w:val="left"/>
    </w:lvl>
    <w:lvl w:ilvl="1" w:tplc="639483B2">
      <w:start w:val="1"/>
      <w:numFmt w:val="bullet"/>
      <w:lvlText w:val="\endash "/>
      <w:lvlJc w:val="left"/>
    </w:lvl>
    <w:lvl w:ilvl="2" w:tplc="D6C82D7E">
      <w:start w:val="15"/>
      <w:numFmt w:val="lowerLetter"/>
      <w:lvlText w:val="%3"/>
      <w:lvlJc w:val="left"/>
    </w:lvl>
    <w:lvl w:ilvl="3" w:tplc="BA3C3846">
      <w:numFmt w:val="decimal"/>
      <w:lvlText w:val=""/>
      <w:lvlJc w:val="left"/>
    </w:lvl>
    <w:lvl w:ilvl="4" w:tplc="53F0A3E2">
      <w:numFmt w:val="decimal"/>
      <w:lvlText w:val=""/>
      <w:lvlJc w:val="left"/>
    </w:lvl>
    <w:lvl w:ilvl="5" w:tplc="9B94EB96">
      <w:numFmt w:val="decimal"/>
      <w:lvlText w:val=""/>
      <w:lvlJc w:val="left"/>
    </w:lvl>
    <w:lvl w:ilvl="6" w:tplc="99747318">
      <w:numFmt w:val="decimal"/>
      <w:lvlText w:val=""/>
      <w:lvlJc w:val="left"/>
    </w:lvl>
    <w:lvl w:ilvl="7" w:tplc="FF8EAF62">
      <w:numFmt w:val="decimal"/>
      <w:lvlText w:val=""/>
      <w:lvlJc w:val="left"/>
    </w:lvl>
    <w:lvl w:ilvl="8" w:tplc="D178A9B0">
      <w:numFmt w:val="decimal"/>
      <w:lvlText w:val=""/>
      <w:lvlJc w:val="left"/>
    </w:lvl>
  </w:abstractNum>
  <w:abstractNum w:abstractNumId="341" w15:restartNumberingAfterBreak="0">
    <w:nsid w:val="3ED5885B"/>
    <w:multiLevelType w:val="hybridMultilevel"/>
    <w:tmpl w:val="9F46C3D8"/>
    <w:lvl w:ilvl="0" w:tplc="B382F54E">
      <w:start w:val="1"/>
      <w:numFmt w:val="bullet"/>
      <w:lvlText w:val="="/>
      <w:lvlJc w:val="left"/>
    </w:lvl>
    <w:lvl w:ilvl="1" w:tplc="3FC03D6C">
      <w:numFmt w:val="decimal"/>
      <w:lvlText w:val=""/>
      <w:lvlJc w:val="left"/>
    </w:lvl>
    <w:lvl w:ilvl="2" w:tplc="B19E8866">
      <w:numFmt w:val="decimal"/>
      <w:lvlText w:val=""/>
      <w:lvlJc w:val="left"/>
    </w:lvl>
    <w:lvl w:ilvl="3" w:tplc="4094D7DE">
      <w:numFmt w:val="decimal"/>
      <w:lvlText w:val=""/>
      <w:lvlJc w:val="left"/>
    </w:lvl>
    <w:lvl w:ilvl="4" w:tplc="0EA0798A">
      <w:numFmt w:val="decimal"/>
      <w:lvlText w:val=""/>
      <w:lvlJc w:val="left"/>
    </w:lvl>
    <w:lvl w:ilvl="5" w:tplc="FE6659F2">
      <w:numFmt w:val="decimal"/>
      <w:lvlText w:val=""/>
      <w:lvlJc w:val="left"/>
    </w:lvl>
    <w:lvl w:ilvl="6" w:tplc="0EC4EC5E">
      <w:numFmt w:val="decimal"/>
      <w:lvlText w:val=""/>
      <w:lvlJc w:val="left"/>
    </w:lvl>
    <w:lvl w:ilvl="7" w:tplc="909AD9D6">
      <w:numFmt w:val="decimal"/>
      <w:lvlText w:val=""/>
      <w:lvlJc w:val="left"/>
    </w:lvl>
    <w:lvl w:ilvl="8" w:tplc="607E5E9E">
      <w:numFmt w:val="decimal"/>
      <w:lvlText w:val=""/>
      <w:lvlJc w:val="left"/>
    </w:lvl>
  </w:abstractNum>
  <w:abstractNum w:abstractNumId="342" w15:restartNumberingAfterBreak="0">
    <w:nsid w:val="3F277B92"/>
    <w:multiLevelType w:val="hybridMultilevel"/>
    <w:tmpl w:val="AA3649A8"/>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3" w15:restartNumberingAfterBreak="0">
    <w:nsid w:val="3F35DD67"/>
    <w:multiLevelType w:val="hybridMultilevel"/>
    <w:tmpl w:val="EFE8234A"/>
    <w:lvl w:ilvl="0" w:tplc="3A542924">
      <w:start w:val="1"/>
      <w:numFmt w:val="lowerLetter"/>
      <w:lvlText w:val="%1)"/>
      <w:lvlJc w:val="left"/>
    </w:lvl>
    <w:lvl w:ilvl="1" w:tplc="9FDC2B02">
      <w:start w:val="1"/>
      <w:numFmt w:val="bullet"/>
      <w:lvlText w:val="·"/>
      <w:lvlJc w:val="left"/>
    </w:lvl>
    <w:lvl w:ilvl="2" w:tplc="537E8E26">
      <w:numFmt w:val="decimal"/>
      <w:lvlText w:val=""/>
      <w:lvlJc w:val="left"/>
    </w:lvl>
    <w:lvl w:ilvl="3" w:tplc="B1DCE602">
      <w:numFmt w:val="decimal"/>
      <w:lvlText w:val=""/>
      <w:lvlJc w:val="left"/>
    </w:lvl>
    <w:lvl w:ilvl="4" w:tplc="643CEE0E">
      <w:numFmt w:val="decimal"/>
      <w:lvlText w:val=""/>
      <w:lvlJc w:val="left"/>
    </w:lvl>
    <w:lvl w:ilvl="5" w:tplc="18BC49DC">
      <w:numFmt w:val="decimal"/>
      <w:lvlText w:val=""/>
      <w:lvlJc w:val="left"/>
    </w:lvl>
    <w:lvl w:ilvl="6" w:tplc="CFEE636C">
      <w:numFmt w:val="decimal"/>
      <w:lvlText w:val=""/>
      <w:lvlJc w:val="left"/>
    </w:lvl>
    <w:lvl w:ilvl="7" w:tplc="9688832C">
      <w:numFmt w:val="decimal"/>
      <w:lvlText w:val=""/>
      <w:lvlJc w:val="left"/>
    </w:lvl>
    <w:lvl w:ilvl="8" w:tplc="B8120982">
      <w:numFmt w:val="decimal"/>
      <w:lvlText w:val=""/>
      <w:lvlJc w:val="left"/>
    </w:lvl>
  </w:abstractNum>
  <w:abstractNum w:abstractNumId="344" w15:restartNumberingAfterBreak="0">
    <w:nsid w:val="3F698779"/>
    <w:multiLevelType w:val="hybridMultilevel"/>
    <w:tmpl w:val="922C359A"/>
    <w:lvl w:ilvl="0" w:tplc="B56CA2A8">
      <w:start w:val="1"/>
      <w:numFmt w:val="bullet"/>
      <w:lvlText w:val="•"/>
      <w:lvlJc w:val="left"/>
    </w:lvl>
    <w:lvl w:ilvl="1" w:tplc="9E5E282A">
      <w:numFmt w:val="decimal"/>
      <w:lvlText w:val=""/>
      <w:lvlJc w:val="left"/>
    </w:lvl>
    <w:lvl w:ilvl="2" w:tplc="1A708FF6">
      <w:numFmt w:val="decimal"/>
      <w:lvlText w:val=""/>
      <w:lvlJc w:val="left"/>
    </w:lvl>
    <w:lvl w:ilvl="3" w:tplc="373ED552">
      <w:numFmt w:val="decimal"/>
      <w:lvlText w:val=""/>
      <w:lvlJc w:val="left"/>
    </w:lvl>
    <w:lvl w:ilvl="4" w:tplc="63CAA3A8">
      <w:numFmt w:val="decimal"/>
      <w:lvlText w:val=""/>
      <w:lvlJc w:val="left"/>
    </w:lvl>
    <w:lvl w:ilvl="5" w:tplc="D03AB8DE">
      <w:numFmt w:val="decimal"/>
      <w:lvlText w:val=""/>
      <w:lvlJc w:val="left"/>
    </w:lvl>
    <w:lvl w:ilvl="6" w:tplc="B9CE9890">
      <w:numFmt w:val="decimal"/>
      <w:lvlText w:val=""/>
      <w:lvlJc w:val="left"/>
    </w:lvl>
    <w:lvl w:ilvl="7" w:tplc="4E5A4AFA">
      <w:numFmt w:val="decimal"/>
      <w:lvlText w:val=""/>
      <w:lvlJc w:val="left"/>
    </w:lvl>
    <w:lvl w:ilvl="8" w:tplc="D7C40BD0">
      <w:numFmt w:val="decimal"/>
      <w:lvlText w:val=""/>
      <w:lvlJc w:val="left"/>
    </w:lvl>
  </w:abstractNum>
  <w:abstractNum w:abstractNumId="345" w15:restartNumberingAfterBreak="0">
    <w:nsid w:val="3F754C7B"/>
    <w:multiLevelType w:val="hybridMultilevel"/>
    <w:tmpl w:val="7470601C"/>
    <w:lvl w:ilvl="0" w:tplc="84AAF3CC">
      <w:start w:val="1"/>
      <w:numFmt w:val="bullet"/>
      <w:lvlText w:val="-"/>
      <w:lvlJc w:val="left"/>
    </w:lvl>
    <w:lvl w:ilvl="1" w:tplc="65307244">
      <w:numFmt w:val="decimal"/>
      <w:lvlText w:val=""/>
      <w:lvlJc w:val="left"/>
    </w:lvl>
    <w:lvl w:ilvl="2" w:tplc="1EC49288">
      <w:numFmt w:val="decimal"/>
      <w:lvlText w:val=""/>
      <w:lvlJc w:val="left"/>
    </w:lvl>
    <w:lvl w:ilvl="3" w:tplc="1532987C">
      <w:numFmt w:val="decimal"/>
      <w:lvlText w:val=""/>
      <w:lvlJc w:val="left"/>
    </w:lvl>
    <w:lvl w:ilvl="4" w:tplc="716472C4">
      <w:numFmt w:val="decimal"/>
      <w:lvlText w:val=""/>
      <w:lvlJc w:val="left"/>
    </w:lvl>
    <w:lvl w:ilvl="5" w:tplc="2A80E9CA">
      <w:numFmt w:val="decimal"/>
      <w:lvlText w:val=""/>
      <w:lvlJc w:val="left"/>
    </w:lvl>
    <w:lvl w:ilvl="6" w:tplc="8F96F46E">
      <w:numFmt w:val="decimal"/>
      <w:lvlText w:val=""/>
      <w:lvlJc w:val="left"/>
    </w:lvl>
    <w:lvl w:ilvl="7" w:tplc="CC3EEF88">
      <w:numFmt w:val="decimal"/>
      <w:lvlText w:val=""/>
      <w:lvlJc w:val="left"/>
    </w:lvl>
    <w:lvl w:ilvl="8" w:tplc="C9CC5028">
      <w:numFmt w:val="decimal"/>
      <w:lvlText w:val=""/>
      <w:lvlJc w:val="left"/>
    </w:lvl>
  </w:abstractNum>
  <w:abstractNum w:abstractNumId="346" w15:restartNumberingAfterBreak="0">
    <w:nsid w:val="40009C03"/>
    <w:multiLevelType w:val="hybridMultilevel"/>
    <w:tmpl w:val="A4C800C4"/>
    <w:lvl w:ilvl="0" w:tplc="C20CC9AC">
      <w:start w:val="1"/>
      <w:numFmt w:val="bullet"/>
      <w:lvlText w:val="-"/>
      <w:lvlJc w:val="left"/>
    </w:lvl>
    <w:lvl w:ilvl="1" w:tplc="42DA0694">
      <w:start w:val="1"/>
      <w:numFmt w:val="bullet"/>
      <w:lvlText w:val="●"/>
      <w:lvlJc w:val="left"/>
    </w:lvl>
    <w:lvl w:ilvl="2" w:tplc="9F3C6410">
      <w:numFmt w:val="decimal"/>
      <w:lvlText w:val=""/>
      <w:lvlJc w:val="left"/>
    </w:lvl>
    <w:lvl w:ilvl="3" w:tplc="4E34AD38">
      <w:numFmt w:val="decimal"/>
      <w:lvlText w:val=""/>
      <w:lvlJc w:val="left"/>
    </w:lvl>
    <w:lvl w:ilvl="4" w:tplc="D426558C">
      <w:numFmt w:val="decimal"/>
      <w:lvlText w:val=""/>
      <w:lvlJc w:val="left"/>
    </w:lvl>
    <w:lvl w:ilvl="5" w:tplc="7130C600">
      <w:numFmt w:val="decimal"/>
      <w:lvlText w:val=""/>
      <w:lvlJc w:val="left"/>
    </w:lvl>
    <w:lvl w:ilvl="6" w:tplc="AA3AEDA2">
      <w:numFmt w:val="decimal"/>
      <w:lvlText w:val=""/>
      <w:lvlJc w:val="left"/>
    </w:lvl>
    <w:lvl w:ilvl="7" w:tplc="E7462F40">
      <w:numFmt w:val="decimal"/>
      <w:lvlText w:val=""/>
      <w:lvlJc w:val="left"/>
    </w:lvl>
    <w:lvl w:ilvl="8" w:tplc="348EA552">
      <w:numFmt w:val="decimal"/>
      <w:lvlText w:val=""/>
      <w:lvlJc w:val="left"/>
    </w:lvl>
  </w:abstractNum>
  <w:abstractNum w:abstractNumId="347" w15:restartNumberingAfterBreak="0">
    <w:nsid w:val="401726FE"/>
    <w:multiLevelType w:val="hybridMultilevel"/>
    <w:tmpl w:val="AB0EC930"/>
    <w:lvl w:ilvl="0" w:tplc="E3C6A898">
      <w:start w:val="15"/>
      <w:numFmt w:val="lowerLetter"/>
      <w:lvlText w:val="%1"/>
      <w:lvlJc w:val="left"/>
    </w:lvl>
    <w:lvl w:ilvl="1" w:tplc="43440568">
      <w:start w:val="1"/>
      <w:numFmt w:val="bullet"/>
      <w:lvlText w:val="•"/>
      <w:lvlJc w:val="left"/>
    </w:lvl>
    <w:lvl w:ilvl="2" w:tplc="B6989AD8">
      <w:numFmt w:val="decimal"/>
      <w:lvlText w:val=""/>
      <w:lvlJc w:val="left"/>
    </w:lvl>
    <w:lvl w:ilvl="3" w:tplc="D2C8FA88">
      <w:numFmt w:val="decimal"/>
      <w:lvlText w:val=""/>
      <w:lvlJc w:val="left"/>
    </w:lvl>
    <w:lvl w:ilvl="4" w:tplc="DB5C04EE">
      <w:numFmt w:val="decimal"/>
      <w:lvlText w:val=""/>
      <w:lvlJc w:val="left"/>
    </w:lvl>
    <w:lvl w:ilvl="5" w:tplc="860CEEF8">
      <w:numFmt w:val="decimal"/>
      <w:lvlText w:val=""/>
      <w:lvlJc w:val="left"/>
    </w:lvl>
    <w:lvl w:ilvl="6" w:tplc="5CA0CB68">
      <w:numFmt w:val="decimal"/>
      <w:lvlText w:val=""/>
      <w:lvlJc w:val="left"/>
    </w:lvl>
    <w:lvl w:ilvl="7" w:tplc="0F384EAA">
      <w:numFmt w:val="decimal"/>
      <w:lvlText w:val=""/>
      <w:lvlJc w:val="left"/>
    </w:lvl>
    <w:lvl w:ilvl="8" w:tplc="36A60D1E">
      <w:numFmt w:val="decimal"/>
      <w:lvlText w:val=""/>
      <w:lvlJc w:val="left"/>
    </w:lvl>
  </w:abstractNum>
  <w:abstractNum w:abstractNumId="348" w15:restartNumberingAfterBreak="0">
    <w:nsid w:val="4060636B"/>
    <w:multiLevelType w:val="hybridMultilevel"/>
    <w:tmpl w:val="869A5392"/>
    <w:lvl w:ilvl="0" w:tplc="8FDEB9A2">
      <w:start w:val="1"/>
      <w:numFmt w:val="decimal"/>
      <w:lvlText w:val="%1."/>
      <w:lvlJc w:val="left"/>
      <w:pPr>
        <w:tabs>
          <w:tab w:val="num" w:pos="720"/>
        </w:tabs>
        <w:ind w:left="720" w:hanging="360"/>
      </w:pPr>
    </w:lvl>
    <w:lvl w:ilvl="1" w:tplc="09B4780C" w:tentative="1">
      <w:start w:val="1"/>
      <w:numFmt w:val="decimal"/>
      <w:lvlText w:val="%2."/>
      <w:lvlJc w:val="left"/>
      <w:pPr>
        <w:tabs>
          <w:tab w:val="num" w:pos="1440"/>
        </w:tabs>
        <w:ind w:left="1440" w:hanging="360"/>
      </w:pPr>
    </w:lvl>
    <w:lvl w:ilvl="2" w:tplc="D62C0DDE" w:tentative="1">
      <w:start w:val="1"/>
      <w:numFmt w:val="decimal"/>
      <w:lvlText w:val="%3."/>
      <w:lvlJc w:val="left"/>
      <w:pPr>
        <w:tabs>
          <w:tab w:val="num" w:pos="2160"/>
        </w:tabs>
        <w:ind w:left="2160" w:hanging="360"/>
      </w:pPr>
    </w:lvl>
    <w:lvl w:ilvl="3" w:tplc="49B4D208" w:tentative="1">
      <w:start w:val="1"/>
      <w:numFmt w:val="decimal"/>
      <w:lvlText w:val="%4."/>
      <w:lvlJc w:val="left"/>
      <w:pPr>
        <w:tabs>
          <w:tab w:val="num" w:pos="2880"/>
        </w:tabs>
        <w:ind w:left="2880" w:hanging="360"/>
      </w:pPr>
    </w:lvl>
    <w:lvl w:ilvl="4" w:tplc="F828CE94" w:tentative="1">
      <w:start w:val="1"/>
      <w:numFmt w:val="decimal"/>
      <w:lvlText w:val="%5."/>
      <w:lvlJc w:val="left"/>
      <w:pPr>
        <w:tabs>
          <w:tab w:val="num" w:pos="3600"/>
        </w:tabs>
        <w:ind w:left="3600" w:hanging="360"/>
      </w:pPr>
    </w:lvl>
    <w:lvl w:ilvl="5" w:tplc="B8D451D2" w:tentative="1">
      <w:start w:val="1"/>
      <w:numFmt w:val="decimal"/>
      <w:lvlText w:val="%6."/>
      <w:lvlJc w:val="left"/>
      <w:pPr>
        <w:tabs>
          <w:tab w:val="num" w:pos="4320"/>
        </w:tabs>
        <w:ind w:left="4320" w:hanging="360"/>
      </w:pPr>
    </w:lvl>
    <w:lvl w:ilvl="6" w:tplc="70C0DBD6" w:tentative="1">
      <w:start w:val="1"/>
      <w:numFmt w:val="decimal"/>
      <w:lvlText w:val="%7."/>
      <w:lvlJc w:val="left"/>
      <w:pPr>
        <w:tabs>
          <w:tab w:val="num" w:pos="5040"/>
        </w:tabs>
        <w:ind w:left="5040" w:hanging="360"/>
      </w:pPr>
    </w:lvl>
    <w:lvl w:ilvl="7" w:tplc="4E685A44" w:tentative="1">
      <w:start w:val="1"/>
      <w:numFmt w:val="decimal"/>
      <w:lvlText w:val="%8."/>
      <w:lvlJc w:val="left"/>
      <w:pPr>
        <w:tabs>
          <w:tab w:val="num" w:pos="5760"/>
        </w:tabs>
        <w:ind w:left="5760" w:hanging="360"/>
      </w:pPr>
    </w:lvl>
    <w:lvl w:ilvl="8" w:tplc="4F76B4BE" w:tentative="1">
      <w:start w:val="1"/>
      <w:numFmt w:val="decimal"/>
      <w:lvlText w:val="%9."/>
      <w:lvlJc w:val="left"/>
      <w:pPr>
        <w:tabs>
          <w:tab w:val="num" w:pos="6480"/>
        </w:tabs>
        <w:ind w:left="6480" w:hanging="360"/>
      </w:pPr>
    </w:lvl>
  </w:abstractNum>
  <w:abstractNum w:abstractNumId="349" w15:restartNumberingAfterBreak="0">
    <w:nsid w:val="40636A20"/>
    <w:multiLevelType w:val="hybridMultilevel"/>
    <w:tmpl w:val="154084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0" w15:restartNumberingAfterBreak="0">
    <w:nsid w:val="40831531"/>
    <w:multiLevelType w:val="hybridMultilevel"/>
    <w:tmpl w:val="664CD3C0"/>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1" w15:restartNumberingAfterBreak="0">
    <w:nsid w:val="40A2661B"/>
    <w:multiLevelType w:val="hybridMultilevel"/>
    <w:tmpl w:val="FA1CCAFC"/>
    <w:lvl w:ilvl="0" w:tplc="C5C238B8">
      <w:start w:val="1"/>
      <w:numFmt w:val="bullet"/>
      <w:lvlText w:val="•"/>
      <w:lvlJc w:val="left"/>
    </w:lvl>
    <w:lvl w:ilvl="1" w:tplc="47A030AE">
      <w:numFmt w:val="decimal"/>
      <w:lvlText w:val=""/>
      <w:lvlJc w:val="left"/>
    </w:lvl>
    <w:lvl w:ilvl="2" w:tplc="CD109DBC">
      <w:numFmt w:val="decimal"/>
      <w:lvlText w:val=""/>
      <w:lvlJc w:val="left"/>
    </w:lvl>
    <w:lvl w:ilvl="3" w:tplc="C8E49160">
      <w:numFmt w:val="decimal"/>
      <w:lvlText w:val=""/>
      <w:lvlJc w:val="left"/>
    </w:lvl>
    <w:lvl w:ilvl="4" w:tplc="AA46D360">
      <w:numFmt w:val="decimal"/>
      <w:lvlText w:val=""/>
      <w:lvlJc w:val="left"/>
    </w:lvl>
    <w:lvl w:ilvl="5" w:tplc="C0620144">
      <w:numFmt w:val="decimal"/>
      <w:lvlText w:val=""/>
      <w:lvlJc w:val="left"/>
    </w:lvl>
    <w:lvl w:ilvl="6" w:tplc="DE32B88C">
      <w:numFmt w:val="decimal"/>
      <w:lvlText w:val=""/>
      <w:lvlJc w:val="left"/>
    </w:lvl>
    <w:lvl w:ilvl="7" w:tplc="5BCADF7E">
      <w:numFmt w:val="decimal"/>
      <w:lvlText w:val=""/>
      <w:lvlJc w:val="left"/>
    </w:lvl>
    <w:lvl w:ilvl="8" w:tplc="76CAAF06">
      <w:numFmt w:val="decimal"/>
      <w:lvlText w:val=""/>
      <w:lvlJc w:val="left"/>
    </w:lvl>
  </w:abstractNum>
  <w:abstractNum w:abstractNumId="352" w15:restartNumberingAfterBreak="0">
    <w:nsid w:val="40F9991C"/>
    <w:multiLevelType w:val="hybridMultilevel"/>
    <w:tmpl w:val="92D6B2E2"/>
    <w:lvl w:ilvl="0" w:tplc="F3F828E2">
      <w:start w:val="1"/>
      <w:numFmt w:val="bullet"/>
      <w:lvlText w:val="•"/>
      <w:lvlJc w:val="left"/>
    </w:lvl>
    <w:lvl w:ilvl="1" w:tplc="BA8E5EF6">
      <w:numFmt w:val="decimal"/>
      <w:lvlText w:val=""/>
      <w:lvlJc w:val="left"/>
    </w:lvl>
    <w:lvl w:ilvl="2" w:tplc="79BC86C8">
      <w:numFmt w:val="decimal"/>
      <w:lvlText w:val=""/>
      <w:lvlJc w:val="left"/>
    </w:lvl>
    <w:lvl w:ilvl="3" w:tplc="17047878">
      <w:numFmt w:val="decimal"/>
      <w:lvlText w:val=""/>
      <w:lvlJc w:val="left"/>
    </w:lvl>
    <w:lvl w:ilvl="4" w:tplc="1F14C274">
      <w:numFmt w:val="decimal"/>
      <w:lvlText w:val=""/>
      <w:lvlJc w:val="left"/>
    </w:lvl>
    <w:lvl w:ilvl="5" w:tplc="7576BD98">
      <w:numFmt w:val="decimal"/>
      <w:lvlText w:val=""/>
      <w:lvlJc w:val="left"/>
    </w:lvl>
    <w:lvl w:ilvl="6" w:tplc="F31E5BA4">
      <w:numFmt w:val="decimal"/>
      <w:lvlText w:val=""/>
      <w:lvlJc w:val="left"/>
    </w:lvl>
    <w:lvl w:ilvl="7" w:tplc="3300FC1A">
      <w:numFmt w:val="decimal"/>
      <w:lvlText w:val=""/>
      <w:lvlJc w:val="left"/>
    </w:lvl>
    <w:lvl w:ilvl="8" w:tplc="3E325AB0">
      <w:numFmt w:val="decimal"/>
      <w:lvlText w:val=""/>
      <w:lvlJc w:val="left"/>
    </w:lvl>
  </w:abstractNum>
  <w:abstractNum w:abstractNumId="353" w15:restartNumberingAfterBreak="0">
    <w:nsid w:val="40FEC37E"/>
    <w:multiLevelType w:val="hybridMultilevel"/>
    <w:tmpl w:val="EF82CC86"/>
    <w:lvl w:ilvl="0" w:tplc="E92CF9E2">
      <w:start w:val="1"/>
      <w:numFmt w:val="bullet"/>
      <w:lvlText w:val="•"/>
      <w:lvlJc w:val="left"/>
    </w:lvl>
    <w:lvl w:ilvl="1" w:tplc="E6B088B4">
      <w:numFmt w:val="decimal"/>
      <w:lvlText w:val=""/>
      <w:lvlJc w:val="left"/>
    </w:lvl>
    <w:lvl w:ilvl="2" w:tplc="EB001E08">
      <w:numFmt w:val="decimal"/>
      <w:lvlText w:val=""/>
      <w:lvlJc w:val="left"/>
    </w:lvl>
    <w:lvl w:ilvl="3" w:tplc="6B48324C">
      <w:numFmt w:val="decimal"/>
      <w:lvlText w:val=""/>
      <w:lvlJc w:val="left"/>
    </w:lvl>
    <w:lvl w:ilvl="4" w:tplc="06485F0E">
      <w:numFmt w:val="decimal"/>
      <w:lvlText w:val=""/>
      <w:lvlJc w:val="left"/>
    </w:lvl>
    <w:lvl w:ilvl="5" w:tplc="FD101B02">
      <w:numFmt w:val="decimal"/>
      <w:lvlText w:val=""/>
      <w:lvlJc w:val="left"/>
    </w:lvl>
    <w:lvl w:ilvl="6" w:tplc="A372DEF4">
      <w:numFmt w:val="decimal"/>
      <w:lvlText w:val=""/>
      <w:lvlJc w:val="left"/>
    </w:lvl>
    <w:lvl w:ilvl="7" w:tplc="F79CE28E">
      <w:numFmt w:val="decimal"/>
      <w:lvlText w:val=""/>
      <w:lvlJc w:val="left"/>
    </w:lvl>
    <w:lvl w:ilvl="8" w:tplc="FA9A7B62">
      <w:numFmt w:val="decimal"/>
      <w:lvlText w:val=""/>
      <w:lvlJc w:val="left"/>
    </w:lvl>
  </w:abstractNum>
  <w:abstractNum w:abstractNumId="354" w15:restartNumberingAfterBreak="0">
    <w:nsid w:val="41205269"/>
    <w:multiLevelType w:val="hybridMultilevel"/>
    <w:tmpl w:val="B22CE986"/>
    <w:lvl w:ilvl="0" w:tplc="48A2BAF8">
      <w:start w:val="1"/>
      <w:numFmt w:val="bullet"/>
      <w:lvlText w:val="•"/>
      <w:lvlJc w:val="left"/>
    </w:lvl>
    <w:lvl w:ilvl="1" w:tplc="6EB6A874">
      <w:numFmt w:val="decimal"/>
      <w:lvlText w:val=""/>
      <w:lvlJc w:val="left"/>
    </w:lvl>
    <w:lvl w:ilvl="2" w:tplc="E1C8743A">
      <w:numFmt w:val="decimal"/>
      <w:lvlText w:val=""/>
      <w:lvlJc w:val="left"/>
    </w:lvl>
    <w:lvl w:ilvl="3" w:tplc="6E60D77E">
      <w:numFmt w:val="decimal"/>
      <w:lvlText w:val=""/>
      <w:lvlJc w:val="left"/>
    </w:lvl>
    <w:lvl w:ilvl="4" w:tplc="82E2C13A">
      <w:numFmt w:val="decimal"/>
      <w:lvlText w:val=""/>
      <w:lvlJc w:val="left"/>
    </w:lvl>
    <w:lvl w:ilvl="5" w:tplc="7F7E8854">
      <w:numFmt w:val="decimal"/>
      <w:lvlText w:val=""/>
      <w:lvlJc w:val="left"/>
    </w:lvl>
    <w:lvl w:ilvl="6" w:tplc="6734A240">
      <w:numFmt w:val="decimal"/>
      <w:lvlText w:val=""/>
      <w:lvlJc w:val="left"/>
    </w:lvl>
    <w:lvl w:ilvl="7" w:tplc="F00A5438">
      <w:numFmt w:val="decimal"/>
      <w:lvlText w:val=""/>
      <w:lvlJc w:val="left"/>
    </w:lvl>
    <w:lvl w:ilvl="8" w:tplc="4BDCAB9A">
      <w:numFmt w:val="decimal"/>
      <w:lvlText w:val=""/>
      <w:lvlJc w:val="left"/>
    </w:lvl>
  </w:abstractNum>
  <w:abstractNum w:abstractNumId="355" w15:restartNumberingAfterBreak="0">
    <w:nsid w:val="415F0DEE"/>
    <w:multiLevelType w:val="hybridMultilevel"/>
    <w:tmpl w:val="3998FB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6" w15:restartNumberingAfterBreak="0">
    <w:nsid w:val="41751BB2"/>
    <w:multiLevelType w:val="hybridMultilevel"/>
    <w:tmpl w:val="4844D028"/>
    <w:lvl w:ilvl="0" w:tplc="3E465A2E">
      <w:start w:val="1"/>
      <w:numFmt w:val="bullet"/>
      <w:lvlText w:val="·"/>
      <w:lvlJc w:val="left"/>
    </w:lvl>
    <w:lvl w:ilvl="1" w:tplc="2D30FADE">
      <w:numFmt w:val="decimal"/>
      <w:lvlText w:val=""/>
      <w:lvlJc w:val="left"/>
    </w:lvl>
    <w:lvl w:ilvl="2" w:tplc="B0484416">
      <w:numFmt w:val="decimal"/>
      <w:lvlText w:val=""/>
      <w:lvlJc w:val="left"/>
    </w:lvl>
    <w:lvl w:ilvl="3" w:tplc="9006C546">
      <w:numFmt w:val="decimal"/>
      <w:lvlText w:val=""/>
      <w:lvlJc w:val="left"/>
    </w:lvl>
    <w:lvl w:ilvl="4" w:tplc="82322120">
      <w:numFmt w:val="decimal"/>
      <w:lvlText w:val=""/>
      <w:lvlJc w:val="left"/>
    </w:lvl>
    <w:lvl w:ilvl="5" w:tplc="50400780">
      <w:numFmt w:val="decimal"/>
      <w:lvlText w:val=""/>
      <w:lvlJc w:val="left"/>
    </w:lvl>
    <w:lvl w:ilvl="6" w:tplc="1826D610">
      <w:numFmt w:val="decimal"/>
      <w:lvlText w:val=""/>
      <w:lvlJc w:val="left"/>
    </w:lvl>
    <w:lvl w:ilvl="7" w:tplc="9B6AB760">
      <w:numFmt w:val="decimal"/>
      <w:lvlText w:val=""/>
      <w:lvlJc w:val="left"/>
    </w:lvl>
    <w:lvl w:ilvl="8" w:tplc="6FFA56B0">
      <w:numFmt w:val="decimal"/>
      <w:lvlText w:val=""/>
      <w:lvlJc w:val="left"/>
    </w:lvl>
  </w:abstractNum>
  <w:abstractNum w:abstractNumId="357" w15:restartNumberingAfterBreak="0">
    <w:nsid w:val="41A0503C"/>
    <w:multiLevelType w:val="hybridMultilevel"/>
    <w:tmpl w:val="0CF094AA"/>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cs="Courier New" w:hint="default"/>
      </w:rPr>
    </w:lvl>
    <w:lvl w:ilvl="2" w:tplc="08090005">
      <w:start w:val="1"/>
      <w:numFmt w:val="bullet"/>
      <w:lvlText w:val=""/>
      <w:lvlJc w:val="left"/>
      <w:pPr>
        <w:ind w:left="2225" w:hanging="360"/>
      </w:pPr>
      <w:rPr>
        <w:rFonts w:ascii="Wingdings" w:hAnsi="Wingdings" w:hint="default"/>
      </w:rPr>
    </w:lvl>
    <w:lvl w:ilvl="3" w:tplc="08090001">
      <w:start w:val="1"/>
      <w:numFmt w:val="bullet"/>
      <w:lvlText w:val=""/>
      <w:lvlJc w:val="left"/>
      <w:pPr>
        <w:ind w:left="2945" w:hanging="360"/>
      </w:pPr>
      <w:rPr>
        <w:rFonts w:ascii="Symbol" w:hAnsi="Symbol" w:hint="default"/>
      </w:rPr>
    </w:lvl>
    <w:lvl w:ilvl="4" w:tplc="08090003">
      <w:start w:val="1"/>
      <w:numFmt w:val="bullet"/>
      <w:lvlText w:val="o"/>
      <w:lvlJc w:val="left"/>
      <w:pPr>
        <w:ind w:left="3665" w:hanging="360"/>
      </w:pPr>
      <w:rPr>
        <w:rFonts w:ascii="Courier New" w:hAnsi="Courier New" w:cs="Courier New" w:hint="default"/>
      </w:rPr>
    </w:lvl>
    <w:lvl w:ilvl="5" w:tplc="08090005">
      <w:start w:val="1"/>
      <w:numFmt w:val="bullet"/>
      <w:lvlText w:val=""/>
      <w:lvlJc w:val="left"/>
      <w:pPr>
        <w:ind w:left="4385" w:hanging="360"/>
      </w:pPr>
      <w:rPr>
        <w:rFonts w:ascii="Wingdings" w:hAnsi="Wingdings" w:hint="default"/>
      </w:rPr>
    </w:lvl>
    <w:lvl w:ilvl="6" w:tplc="08090001">
      <w:start w:val="1"/>
      <w:numFmt w:val="bullet"/>
      <w:lvlText w:val=""/>
      <w:lvlJc w:val="left"/>
      <w:pPr>
        <w:ind w:left="5105" w:hanging="360"/>
      </w:pPr>
      <w:rPr>
        <w:rFonts w:ascii="Symbol" w:hAnsi="Symbol" w:hint="default"/>
      </w:rPr>
    </w:lvl>
    <w:lvl w:ilvl="7" w:tplc="08090003">
      <w:start w:val="1"/>
      <w:numFmt w:val="bullet"/>
      <w:lvlText w:val="o"/>
      <w:lvlJc w:val="left"/>
      <w:pPr>
        <w:ind w:left="5825" w:hanging="360"/>
      </w:pPr>
      <w:rPr>
        <w:rFonts w:ascii="Courier New" w:hAnsi="Courier New" w:cs="Courier New" w:hint="default"/>
      </w:rPr>
    </w:lvl>
    <w:lvl w:ilvl="8" w:tplc="08090005">
      <w:start w:val="1"/>
      <w:numFmt w:val="bullet"/>
      <w:lvlText w:val=""/>
      <w:lvlJc w:val="left"/>
      <w:pPr>
        <w:ind w:left="6545" w:hanging="360"/>
      </w:pPr>
      <w:rPr>
        <w:rFonts w:ascii="Wingdings" w:hAnsi="Wingdings" w:hint="default"/>
      </w:rPr>
    </w:lvl>
  </w:abstractNum>
  <w:abstractNum w:abstractNumId="358" w15:restartNumberingAfterBreak="0">
    <w:nsid w:val="41A8106C"/>
    <w:multiLevelType w:val="hybridMultilevel"/>
    <w:tmpl w:val="E53CE31A"/>
    <w:lvl w:ilvl="0" w:tplc="F2042212">
      <w:start w:val="1"/>
      <w:numFmt w:val="bullet"/>
      <w:lvlText w:val="•"/>
      <w:lvlJc w:val="left"/>
    </w:lvl>
    <w:lvl w:ilvl="1" w:tplc="96F6F91A">
      <w:numFmt w:val="decimal"/>
      <w:lvlText w:val=""/>
      <w:lvlJc w:val="left"/>
    </w:lvl>
    <w:lvl w:ilvl="2" w:tplc="E60282F0">
      <w:numFmt w:val="decimal"/>
      <w:lvlText w:val=""/>
      <w:lvlJc w:val="left"/>
    </w:lvl>
    <w:lvl w:ilvl="3" w:tplc="97E00C8A">
      <w:numFmt w:val="decimal"/>
      <w:lvlText w:val=""/>
      <w:lvlJc w:val="left"/>
    </w:lvl>
    <w:lvl w:ilvl="4" w:tplc="67848EC6">
      <w:numFmt w:val="decimal"/>
      <w:lvlText w:val=""/>
      <w:lvlJc w:val="left"/>
    </w:lvl>
    <w:lvl w:ilvl="5" w:tplc="E8049350">
      <w:numFmt w:val="decimal"/>
      <w:lvlText w:val=""/>
      <w:lvlJc w:val="left"/>
    </w:lvl>
    <w:lvl w:ilvl="6" w:tplc="F34C5316">
      <w:numFmt w:val="decimal"/>
      <w:lvlText w:val=""/>
      <w:lvlJc w:val="left"/>
    </w:lvl>
    <w:lvl w:ilvl="7" w:tplc="DBACDA88">
      <w:numFmt w:val="decimal"/>
      <w:lvlText w:val=""/>
      <w:lvlJc w:val="left"/>
    </w:lvl>
    <w:lvl w:ilvl="8" w:tplc="4F3C3742">
      <w:numFmt w:val="decimal"/>
      <w:lvlText w:val=""/>
      <w:lvlJc w:val="left"/>
    </w:lvl>
  </w:abstractNum>
  <w:abstractNum w:abstractNumId="359" w15:restartNumberingAfterBreak="0">
    <w:nsid w:val="41B44617"/>
    <w:multiLevelType w:val="hybridMultilevel"/>
    <w:tmpl w:val="6C0EF3D4"/>
    <w:lvl w:ilvl="0" w:tplc="04050003">
      <w:start w:val="1"/>
      <w:numFmt w:val="bullet"/>
      <w:lvlText w:val="o"/>
      <w:lvlJc w:val="left"/>
      <w:rPr>
        <w:rFonts w:ascii="Courier New" w:hAnsi="Courier New" w:cs="Courier New" w:hint="default"/>
      </w:rPr>
    </w:lvl>
    <w:lvl w:ilvl="1" w:tplc="BF188840">
      <w:numFmt w:val="decimal"/>
      <w:lvlText w:val=""/>
      <w:lvlJc w:val="left"/>
    </w:lvl>
    <w:lvl w:ilvl="2" w:tplc="811EBFD0">
      <w:numFmt w:val="decimal"/>
      <w:lvlText w:val=""/>
      <w:lvlJc w:val="left"/>
    </w:lvl>
    <w:lvl w:ilvl="3" w:tplc="2E80708E">
      <w:numFmt w:val="decimal"/>
      <w:lvlText w:val=""/>
      <w:lvlJc w:val="left"/>
    </w:lvl>
    <w:lvl w:ilvl="4" w:tplc="707CA800">
      <w:numFmt w:val="decimal"/>
      <w:lvlText w:val=""/>
      <w:lvlJc w:val="left"/>
    </w:lvl>
    <w:lvl w:ilvl="5" w:tplc="A532F068">
      <w:numFmt w:val="decimal"/>
      <w:lvlText w:val=""/>
      <w:lvlJc w:val="left"/>
    </w:lvl>
    <w:lvl w:ilvl="6" w:tplc="6A38602A">
      <w:numFmt w:val="decimal"/>
      <w:lvlText w:val=""/>
      <w:lvlJc w:val="left"/>
    </w:lvl>
    <w:lvl w:ilvl="7" w:tplc="C986B6BE">
      <w:numFmt w:val="decimal"/>
      <w:lvlText w:val=""/>
      <w:lvlJc w:val="left"/>
    </w:lvl>
    <w:lvl w:ilvl="8" w:tplc="2B3021BE">
      <w:numFmt w:val="decimal"/>
      <w:lvlText w:val=""/>
      <w:lvlJc w:val="left"/>
    </w:lvl>
  </w:abstractNum>
  <w:abstractNum w:abstractNumId="360" w15:restartNumberingAfterBreak="0">
    <w:nsid w:val="41DBF358"/>
    <w:multiLevelType w:val="hybridMultilevel"/>
    <w:tmpl w:val="0180FCBC"/>
    <w:lvl w:ilvl="0" w:tplc="6082E6A8">
      <w:start w:val="1"/>
      <w:numFmt w:val="bullet"/>
      <w:lvlText w:val="•"/>
      <w:lvlJc w:val="left"/>
    </w:lvl>
    <w:lvl w:ilvl="1" w:tplc="459A9F76">
      <w:numFmt w:val="decimal"/>
      <w:lvlText w:val=""/>
      <w:lvlJc w:val="left"/>
    </w:lvl>
    <w:lvl w:ilvl="2" w:tplc="E0944DD4">
      <w:numFmt w:val="decimal"/>
      <w:lvlText w:val=""/>
      <w:lvlJc w:val="left"/>
    </w:lvl>
    <w:lvl w:ilvl="3" w:tplc="2004BE20">
      <w:numFmt w:val="decimal"/>
      <w:lvlText w:val=""/>
      <w:lvlJc w:val="left"/>
    </w:lvl>
    <w:lvl w:ilvl="4" w:tplc="8C424FF4">
      <w:numFmt w:val="decimal"/>
      <w:lvlText w:val=""/>
      <w:lvlJc w:val="left"/>
    </w:lvl>
    <w:lvl w:ilvl="5" w:tplc="B79C5E2E">
      <w:numFmt w:val="decimal"/>
      <w:lvlText w:val=""/>
      <w:lvlJc w:val="left"/>
    </w:lvl>
    <w:lvl w:ilvl="6" w:tplc="662E6EDA">
      <w:numFmt w:val="decimal"/>
      <w:lvlText w:val=""/>
      <w:lvlJc w:val="left"/>
    </w:lvl>
    <w:lvl w:ilvl="7" w:tplc="2BD016CE">
      <w:numFmt w:val="decimal"/>
      <w:lvlText w:val=""/>
      <w:lvlJc w:val="left"/>
    </w:lvl>
    <w:lvl w:ilvl="8" w:tplc="3CEEFED4">
      <w:numFmt w:val="decimal"/>
      <w:lvlText w:val=""/>
      <w:lvlJc w:val="left"/>
    </w:lvl>
  </w:abstractNum>
  <w:abstractNum w:abstractNumId="361" w15:restartNumberingAfterBreak="0">
    <w:nsid w:val="41E690CF"/>
    <w:multiLevelType w:val="hybridMultilevel"/>
    <w:tmpl w:val="337ECF0C"/>
    <w:lvl w:ilvl="0" w:tplc="A8868596">
      <w:start w:val="1"/>
      <w:numFmt w:val="lowerLetter"/>
      <w:lvlText w:val="%1)"/>
      <w:lvlJc w:val="left"/>
    </w:lvl>
    <w:lvl w:ilvl="1" w:tplc="62527336">
      <w:numFmt w:val="decimal"/>
      <w:lvlText w:val=""/>
      <w:lvlJc w:val="left"/>
    </w:lvl>
    <w:lvl w:ilvl="2" w:tplc="65B09C56">
      <w:numFmt w:val="decimal"/>
      <w:lvlText w:val=""/>
      <w:lvlJc w:val="left"/>
    </w:lvl>
    <w:lvl w:ilvl="3" w:tplc="2398D6E6">
      <w:numFmt w:val="decimal"/>
      <w:lvlText w:val=""/>
      <w:lvlJc w:val="left"/>
    </w:lvl>
    <w:lvl w:ilvl="4" w:tplc="B2CE029A">
      <w:numFmt w:val="decimal"/>
      <w:lvlText w:val=""/>
      <w:lvlJc w:val="left"/>
    </w:lvl>
    <w:lvl w:ilvl="5" w:tplc="39E093FC">
      <w:numFmt w:val="decimal"/>
      <w:lvlText w:val=""/>
      <w:lvlJc w:val="left"/>
    </w:lvl>
    <w:lvl w:ilvl="6" w:tplc="C84EF2A0">
      <w:numFmt w:val="decimal"/>
      <w:lvlText w:val=""/>
      <w:lvlJc w:val="left"/>
    </w:lvl>
    <w:lvl w:ilvl="7" w:tplc="7D3AA450">
      <w:numFmt w:val="decimal"/>
      <w:lvlText w:val=""/>
      <w:lvlJc w:val="left"/>
    </w:lvl>
    <w:lvl w:ilvl="8" w:tplc="0CCC5076">
      <w:numFmt w:val="decimal"/>
      <w:lvlText w:val=""/>
      <w:lvlJc w:val="left"/>
    </w:lvl>
  </w:abstractNum>
  <w:abstractNum w:abstractNumId="362" w15:restartNumberingAfterBreak="0">
    <w:nsid w:val="4202DE09"/>
    <w:multiLevelType w:val="hybridMultilevel"/>
    <w:tmpl w:val="7FC65BA0"/>
    <w:lvl w:ilvl="0" w:tplc="A50091D4">
      <w:start w:val="1"/>
      <w:numFmt w:val="bullet"/>
      <w:lvlText w:val="•"/>
      <w:lvlJc w:val="left"/>
    </w:lvl>
    <w:lvl w:ilvl="1" w:tplc="0B8AFA92">
      <w:numFmt w:val="decimal"/>
      <w:lvlText w:val=""/>
      <w:lvlJc w:val="left"/>
    </w:lvl>
    <w:lvl w:ilvl="2" w:tplc="581A6588">
      <w:numFmt w:val="decimal"/>
      <w:lvlText w:val=""/>
      <w:lvlJc w:val="left"/>
    </w:lvl>
    <w:lvl w:ilvl="3" w:tplc="7534CFAA">
      <w:numFmt w:val="decimal"/>
      <w:lvlText w:val=""/>
      <w:lvlJc w:val="left"/>
    </w:lvl>
    <w:lvl w:ilvl="4" w:tplc="350C76BE">
      <w:numFmt w:val="decimal"/>
      <w:lvlText w:val=""/>
      <w:lvlJc w:val="left"/>
    </w:lvl>
    <w:lvl w:ilvl="5" w:tplc="F5B82FB8">
      <w:numFmt w:val="decimal"/>
      <w:lvlText w:val=""/>
      <w:lvlJc w:val="left"/>
    </w:lvl>
    <w:lvl w:ilvl="6" w:tplc="1B169644">
      <w:numFmt w:val="decimal"/>
      <w:lvlText w:val=""/>
      <w:lvlJc w:val="left"/>
    </w:lvl>
    <w:lvl w:ilvl="7" w:tplc="498023EA">
      <w:numFmt w:val="decimal"/>
      <w:lvlText w:val=""/>
      <w:lvlJc w:val="left"/>
    </w:lvl>
    <w:lvl w:ilvl="8" w:tplc="2070A942">
      <w:numFmt w:val="decimal"/>
      <w:lvlText w:val=""/>
      <w:lvlJc w:val="left"/>
    </w:lvl>
  </w:abstractNum>
  <w:abstractNum w:abstractNumId="363" w15:restartNumberingAfterBreak="0">
    <w:nsid w:val="4244B8DE"/>
    <w:multiLevelType w:val="hybridMultilevel"/>
    <w:tmpl w:val="4C862E5A"/>
    <w:lvl w:ilvl="0" w:tplc="B5A873F8">
      <w:start w:val="1"/>
      <w:numFmt w:val="lowerLetter"/>
      <w:lvlText w:val="%1)"/>
      <w:lvlJc w:val="left"/>
    </w:lvl>
    <w:lvl w:ilvl="1" w:tplc="7B943AA4">
      <w:numFmt w:val="decimal"/>
      <w:lvlText w:val=""/>
      <w:lvlJc w:val="left"/>
    </w:lvl>
    <w:lvl w:ilvl="2" w:tplc="0B10E7FC">
      <w:numFmt w:val="decimal"/>
      <w:lvlText w:val=""/>
      <w:lvlJc w:val="left"/>
    </w:lvl>
    <w:lvl w:ilvl="3" w:tplc="71FE8C18">
      <w:numFmt w:val="decimal"/>
      <w:lvlText w:val=""/>
      <w:lvlJc w:val="left"/>
    </w:lvl>
    <w:lvl w:ilvl="4" w:tplc="1E40C99C">
      <w:numFmt w:val="decimal"/>
      <w:lvlText w:val=""/>
      <w:lvlJc w:val="left"/>
    </w:lvl>
    <w:lvl w:ilvl="5" w:tplc="F47A6FA6">
      <w:numFmt w:val="decimal"/>
      <w:lvlText w:val=""/>
      <w:lvlJc w:val="left"/>
    </w:lvl>
    <w:lvl w:ilvl="6" w:tplc="CD1C4D2C">
      <w:numFmt w:val="decimal"/>
      <w:lvlText w:val=""/>
      <w:lvlJc w:val="left"/>
    </w:lvl>
    <w:lvl w:ilvl="7" w:tplc="165C35C6">
      <w:numFmt w:val="decimal"/>
      <w:lvlText w:val=""/>
      <w:lvlJc w:val="left"/>
    </w:lvl>
    <w:lvl w:ilvl="8" w:tplc="437A292C">
      <w:numFmt w:val="decimal"/>
      <w:lvlText w:val=""/>
      <w:lvlJc w:val="left"/>
    </w:lvl>
  </w:abstractNum>
  <w:abstractNum w:abstractNumId="364" w15:restartNumberingAfterBreak="0">
    <w:nsid w:val="427028B0"/>
    <w:multiLevelType w:val="hybridMultilevel"/>
    <w:tmpl w:val="ABB61208"/>
    <w:lvl w:ilvl="0" w:tplc="F9247C94">
      <w:start w:val="1"/>
      <w:numFmt w:val="bullet"/>
      <w:lvlText w:val="·"/>
      <w:lvlJc w:val="left"/>
    </w:lvl>
    <w:lvl w:ilvl="1" w:tplc="D124CA8C">
      <w:numFmt w:val="decimal"/>
      <w:lvlText w:val=""/>
      <w:lvlJc w:val="left"/>
    </w:lvl>
    <w:lvl w:ilvl="2" w:tplc="F3047634">
      <w:numFmt w:val="decimal"/>
      <w:lvlText w:val=""/>
      <w:lvlJc w:val="left"/>
    </w:lvl>
    <w:lvl w:ilvl="3" w:tplc="0CEE43C2">
      <w:numFmt w:val="decimal"/>
      <w:lvlText w:val=""/>
      <w:lvlJc w:val="left"/>
    </w:lvl>
    <w:lvl w:ilvl="4" w:tplc="CD7CBC14">
      <w:numFmt w:val="decimal"/>
      <w:lvlText w:val=""/>
      <w:lvlJc w:val="left"/>
    </w:lvl>
    <w:lvl w:ilvl="5" w:tplc="050CE84A">
      <w:numFmt w:val="decimal"/>
      <w:lvlText w:val=""/>
      <w:lvlJc w:val="left"/>
    </w:lvl>
    <w:lvl w:ilvl="6" w:tplc="E12CFFB8">
      <w:numFmt w:val="decimal"/>
      <w:lvlText w:val=""/>
      <w:lvlJc w:val="left"/>
    </w:lvl>
    <w:lvl w:ilvl="7" w:tplc="D9146C1A">
      <w:numFmt w:val="decimal"/>
      <w:lvlText w:val=""/>
      <w:lvlJc w:val="left"/>
    </w:lvl>
    <w:lvl w:ilvl="8" w:tplc="A32EAEA8">
      <w:numFmt w:val="decimal"/>
      <w:lvlText w:val=""/>
      <w:lvlJc w:val="left"/>
    </w:lvl>
  </w:abstractNum>
  <w:abstractNum w:abstractNumId="365" w15:restartNumberingAfterBreak="0">
    <w:nsid w:val="42838D65"/>
    <w:multiLevelType w:val="hybridMultilevel"/>
    <w:tmpl w:val="52784D66"/>
    <w:lvl w:ilvl="0" w:tplc="9F2E52E0">
      <w:start w:val="1"/>
      <w:numFmt w:val="decimal"/>
      <w:lvlText w:val="%1."/>
      <w:lvlJc w:val="left"/>
    </w:lvl>
    <w:lvl w:ilvl="1" w:tplc="B86EF734">
      <w:numFmt w:val="decimal"/>
      <w:lvlText w:val=""/>
      <w:lvlJc w:val="left"/>
    </w:lvl>
    <w:lvl w:ilvl="2" w:tplc="066822DE">
      <w:numFmt w:val="decimal"/>
      <w:lvlText w:val=""/>
      <w:lvlJc w:val="left"/>
    </w:lvl>
    <w:lvl w:ilvl="3" w:tplc="1E6EDBDE">
      <w:numFmt w:val="decimal"/>
      <w:lvlText w:val=""/>
      <w:lvlJc w:val="left"/>
    </w:lvl>
    <w:lvl w:ilvl="4" w:tplc="78420596">
      <w:numFmt w:val="decimal"/>
      <w:lvlText w:val=""/>
      <w:lvlJc w:val="left"/>
    </w:lvl>
    <w:lvl w:ilvl="5" w:tplc="AA504466">
      <w:numFmt w:val="decimal"/>
      <w:lvlText w:val=""/>
      <w:lvlJc w:val="left"/>
    </w:lvl>
    <w:lvl w:ilvl="6" w:tplc="85128B60">
      <w:numFmt w:val="decimal"/>
      <w:lvlText w:val=""/>
      <w:lvlJc w:val="left"/>
    </w:lvl>
    <w:lvl w:ilvl="7" w:tplc="750CE5BC">
      <w:numFmt w:val="decimal"/>
      <w:lvlText w:val=""/>
      <w:lvlJc w:val="left"/>
    </w:lvl>
    <w:lvl w:ilvl="8" w:tplc="22D838AA">
      <w:numFmt w:val="decimal"/>
      <w:lvlText w:val=""/>
      <w:lvlJc w:val="left"/>
    </w:lvl>
  </w:abstractNum>
  <w:abstractNum w:abstractNumId="366" w15:restartNumberingAfterBreak="0">
    <w:nsid w:val="42CB78B0"/>
    <w:multiLevelType w:val="hybridMultilevel"/>
    <w:tmpl w:val="662E88D2"/>
    <w:lvl w:ilvl="0" w:tplc="8A1A9DB2">
      <w:start w:val="1"/>
      <w:numFmt w:val="bullet"/>
      <w:lvlText w:val="•"/>
      <w:lvlJc w:val="left"/>
    </w:lvl>
    <w:lvl w:ilvl="1" w:tplc="53F6961A">
      <w:numFmt w:val="decimal"/>
      <w:lvlText w:val=""/>
      <w:lvlJc w:val="left"/>
    </w:lvl>
    <w:lvl w:ilvl="2" w:tplc="FF5638EC">
      <w:numFmt w:val="decimal"/>
      <w:lvlText w:val=""/>
      <w:lvlJc w:val="left"/>
    </w:lvl>
    <w:lvl w:ilvl="3" w:tplc="342259FE">
      <w:numFmt w:val="decimal"/>
      <w:lvlText w:val=""/>
      <w:lvlJc w:val="left"/>
    </w:lvl>
    <w:lvl w:ilvl="4" w:tplc="F0BAD02C">
      <w:numFmt w:val="decimal"/>
      <w:lvlText w:val=""/>
      <w:lvlJc w:val="left"/>
    </w:lvl>
    <w:lvl w:ilvl="5" w:tplc="D1068C4C">
      <w:numFmt w:val="decimal"/>
      <w:lvlText w:val=""/>
      <w:lvlJc w:val="left"/>
    </w:lvl>
    <w:lvl w:ilvl="6" w:tplc="B4CEBC36">
      <w:numFmt w:val="decimal"/>
      <w:lvlText w:val=""/>
      <w:lvlJc w:val="left"/>
    </w:lvl>
    <w:lvl w:ilvl="7" w:tplc="1D00E49A">
      <w:numFmt w:val="decimal"/>
      <w:lvlText w:val=""/>
      <w:lvlJc w:val="left"/>
    </w:lvl>
    <w:lvl w:ilvl="8" w:tplc="9C2836D0">
      <w:numFmt w:val="decimal"/>
      <w:lvlText w:val=""/>
      <w:lvlJc w:val="left"/>
    </w:lvl>
  </w:abstractNum>
  <w:abstractNum w:abstractNumId="367" w15:restartNumberingAfterBreak="0">
    <w:nsid w:val="42E63435"/>
    <w:multiLevelType w:val="hybridMultilevel"/>
    <w:tmpl w:val="1DFCCCCC"/>
    <w:lvl w:ilvl="0" w:tplc="53CABD30">
      <w:start w:val="1"/>
      <w:numFmt w:val="bullet"/>
      <w:lvlText w:val="-"/>
      <w:lvlJc w:val="left"/>
    </w:lvl>
    <w:lvl w:ilvl="1" w:tplc="0E54F626">
      <w:numFmt w:val="decimal"/>
      <w:lvlText w:val=""/>
      <w:lvlJc w:val="left"/>
    </w:lvl>
    <w:lvl w:ilvl="2" w:tplc="99BAECF2">
      <w:numFmt w:val="decimal"/>
      <w:lvlText w:val=""/>
      <w:lvlJc w:val="left"/>
    </w:lvl>
    <w:lvl w:ilvl="3" w:tplc="8FA88DFC">
      <w:numFmt w:val="decimal"/>
      <w:lvlText w:val=""/>
      <w:lvlJc w:val="left"/>
    </w:lvl>
    <w:lvl w:ilvl="4" w:tplc="655E3D06">
      <w:numFmt w:val="decimal"/>
      <w:lvlText w:val=""/>
      <w:lvlJc w:val="left"/>
    </w:lvl>
    <w:lvl w:ilvl="5" w:tplc="9CDA0784">
      <w:numFmt w:val="decimal"/>
      <w:lvlText w:val=""/>
      <w:lvlJc w:val="left"/>
    </w:lvl>
    <w:lvl w:ilvl="6" w:tplc="8D6CEE68">
      <w:numFmt w:val="decimal"/>
      <w:lvlText w:val=""/>
      <w:lvlJc w:val="left"/>
    </w:lvl>
    <w:lvl w:ilvl="7" w:tplc="BD0607C6">
      <w:numFmt w:val="decimal"/>
      <w:lvlText w:val=""/>
      <w:lvlJc w:val="left"/>
    </w:lvl>
    <w:lvl w:ilvl="8" w:tplc="882EAD76">
      <w:numFmt w:val="decimal"/>
      <w:lvlText w:val=""/>
      <w:lvlJc w:val="left"/>
    </w:lvl>
  </w:abstractNum>
  <w:abstractNum w:abstractNumId="368" w15:restartNumberingAfterBreak="0">
    <w:nsid w:val="42E8C7BE"/>
    <w:multiLevelType w:val="hybridMultilevel"/>
    <w:tmpl w:val="CD0CBC60"/>
    <w:lvl w:ilvl="0" w:tplc="2530EB94">
      <w:start w:val="1"/>
      <w:numFmt w:val="bullet"/>
      <w:lvlText w:val="•"/>
      <w:lvlJc w:val="left"/>
    </w:lvl>
    <w:lvl w:ilvl="1" w:tplc="4782A2F2">
      <w:numFmt w:val="decimal"/>
      <w:lvlText w:val=""/>
      <w:lvlJc w:val="left"/>
    </w:lvl>
    <w:lvl w:ilvl="2" w:tplc="A440AB3A">
      <w:numFmt w:val="decimal"/>
      <w:lvlText w:val=""/>
      <w:lvlJc w:val="left"/>
    </w:lvl>
    <w:lvl w:ilvl="3" w:tplc="6E0C331A">
      <w:numFmt w:val="decimal"/>
      <w:lvlText w:val=""/>
      <w:lvlJc w:val="left"/>
    </w:lvl>
    <w:lvl w:ilvl="4" w:tplc="CF6AC12E">
      <w:numFmt w:val="decimal"/>
      <w:lvlText w:val=""/>
      <w:lvlJc w:val="left"/>
    </w:lvl>
    <w:lvl w:ilvl="5" w:tplc="A7308D94">
      <w:numFmt w:val="decimal"/>
      <w:lvlText w:val=""/>
      <w:lvlJc w:val="left"/>
    </w:lvl>
    <w:lvl w:ilvl="6" w:tplc="D116E13A">
      <w:numFmt w:val="decimal"/>
      <w:lvlText w:val=""/>
      <w:lvlJc w:val="left"/>
    </w:lvl>
    <w:lvl w:ilvl="7" w:tplc="337211C0">
      <w:numFmt w:val="decimal"/>
      <w:lvlText w:val=""/>
      <w:lvlJc w:val="left"/>
    </w:lvl>
    <w:lvl w:ilvl="8" w:tplc="3EEEAC60">
      <w:numFmt w:val="decimal"/>
      <w:lvlText w:val=""/>
      <w:lvlJc w:val="left"/>
    </w:lvl>
  </w:abstractNum>
  <w:abstractNum w:abstractNumId="369" w15:restartNumberingAfterBreak="0">
    <w:nsid w:val="42F7363A"/>
    <w:multiLevelType w:val="hybridMultilevel"/>
    <w:tmpl w:val="2FFA0C5E"/>
    <w:lvl w:ilvl="0" w:tplc="53CABD30">
      <w:start w:val="1"/>
      <w:numFmt w:val="bullet"/>
      <w:lvlText w:val="-"/>
      <w:lvlJc w:val="left"/>
      <w:pPr>
        <w:ind w:left="1440" w:hanging="360"/>
      </w:p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70" w15:restartNumberingAfterBreak="0">
    <w:nsid w:val="4355F8FF"/>
    <w:multiLevelType w:val="hybridMultilevel"/>
    <w:tmpl w:val="2F18373A"/>
    <w:lvl w:ilvl="0" w:tplc="047A0664">
      <w:start w:val="1"/>
      <w:numFmt w:val="bullet"/>
      <w:lvlText w:val="•"/>
      <w:lvlJc w:val="left"/>
    </w:lvl>
    <w:lvl w:ilvl="1" w:tplc="A8C88A78">
      <w:numFmt w:val="decimal"/>
      <w:lvlText w:val=""/>
      <w:lvlJc w:val="left"/>
    </w:lvl>
    <w:lvl w:ilvl="2" w:tplc="8D602FA0">
      <w:numFmt w:val="decimal"/>
      <w:lvlText w:val=""/>
      <w:lvlJc w:val="left"/>
    </w:lvl>
    <w:lvl w:ilvl="3" w:tplc="6842270A">
      <w:numFmt w:val="decimal"/>
      <w:lvlText w:val=""/>
      <w:lvlJc w:val="left"/>
    </w:lvl>
    <w:lvl w:ilvl="4" w:tplc="0E48447C">
      <w:numFmt w:val="decimal"/>
      <w:lvlText w:val=""/>
      <w:lvlJc w:val="left"/>
    </w:lvl>
    <w:lvl w:ilvl="5" w:tplc="A70E508E">
      <w:numFmt w:val="decimal"/>
      <w:lvlText w:val=""/>
      <w:lvlJc w:val="left"/>
    </w:lvl>
    <w:lvl w:ilvl="6" w:tplc="B6CA1AC0">
      <w:numFmt w:val="decimal"/>
      <w:lvlText w:val=""/>
      <w:lvlJc w:val="left"/>
    </w:lvl>
    <w:lvl w:ilvl="7" w:tplc="80888A82">
      <w:numFmt w:val="decimal"/>
      <w:lvlText w:val=""/>
      <w:lvlJc w:val="left"/>
    </w:lvl>
    <w:lvl w:ilvl="8" w:tplc="19FC47FA">
      <w:numFmt w:val="decimal"/>
      <w:lvlText w:val=""/>
      <w:lvlJc w:val="left"/>
    </w:lvl>
  </w:abstractNum>
  <w:abstractNum w:abstractNumId="371" w15:restartNumberingAfterBreak="0">
    <w:nsid w:val="4355FF79"/>
    <w:multiLevelType w:val="hybridMultilevel"/>
    <w:tmpl w:val="A7AE2D88"/>
    <w:lvl w:ilvl="0" w:tplc="007C0992">
      <w:start w:val="1"/>
      <w:numFmt w:val="bullet"/>
      <w:lvlText w:val="•"/>
      <w:lvlJc w:val="left"/>
    </w:lvl>
    <w:lvl w:ilvl="1" w:tplc="A2F62C28">
      <w:numFmt w:val="decimal"/>
      <w:lvlText w:val=""/>
      <w:lvlJc w:val="left"/>
    </w:lvl>
    <w:lvl w:ilvl="2" w:tplc="42C26B36">
      <w:numFmt w:val="decimal"/>
      <w:lvlText w:val=""/>
      <w:lvlJc w:val="left"/>
    </w:lvl>
    <w:lvl w:ilvl="3" w:tplc="9752A2DA">
      <w:numFmt w:val="decimal"/>
      <w:lvlText w:val=""/>
      <w:lvlJc w:val="left"/>
    </w:lvl>
    <w:lvl w:ilvl="4" w:tplc="3146DBE4">
      <w:numFmt w:val="decimal"/>
      <w:lvlText w:val=""/>
      <w:lvlJc w:val="left"/>
    </w:lvl>
    <w:lvl w:ilvl="5" w:tplc="7A324692">
      <w:numFmt w:val="decimal"/>
      <w:lvlText w:val=""/>
      <w:lvlJc w:val="left"/>
    </w:lvl>
    <w:lvl w:ilvl="6" w:tplc="BEC8A00E">
      <w:numFmt w:val="decimal"/>
      <w:lvlText w:val=""/>
      <w:lvlJc w:val="left"/>
    </w:lvl>
    <w:lvl w:ilvl="7" w:tplc="C9C2ADE8">
      <w:numFmt w:val="decimal"/>
      <w:lvlText w:val=""/>
      <w:lvlJc w:val="left"/>
    </w:lvl>
    <w:lvl w:ilvl="8" w:tplc="285228DE">
      <w:numFmt w:val="decimal"/>
      <w:lvlText w:val=""/>
      <w:lvlJc w:val="left"/>
    </w:lvl>
  </w:abstractNum>
  <w:abstractNum w:abstractNumId="372" w15:restartNumberingAfterBreak="0">
    <w:nsid w:val="436C953A"/>
    <w:multiLevelType w:val="hybridMultilevel"/>
    <w:tmpl w:val="7564003A"/>
    <w:lvl w:ilvl="0" w:tplc="EE04B2DC">
      <w:start w:val="1"/>
      <w:numFmt w:val="decimal"/>
      <w:lvlText w:val="%1."/>
      <w:lvlJc w:val="left"/>
    </w:lvl>
    <w:lvl w:ilvl="1" w:tplc="3C4C79E6">
      <w:start w:val="1"/>
      <w:numFmt w:val="bullet"/>
      <w:lvlText w:val="-"/>
      <w:lvlJc w:val="left"/>
    </w:lvl>
    <w:lvl w:ilvl="2" w:tplc="DCDC9CF0">
      <w:start w:val="1"/>
      <w:numFmt w:val="bullet"/>
      <w:lvlText w:val="§"/>
      <w:lvlJc w:val="left"/>
    </w:lvl>
    <w:lvl w:ilvl="3" w:tplc="4C92E45A">
      <w:start w:val="1"/>
      <w:numFmt w:val="bullet"/>
      <w:lvlText w:val="-"/>
      <w:lvlJc w:val="left"/>
    </w:lvl>
    <w:lvl w:ilvl="4" w:tplc="0AAA6344">
      <w:numFmt w:val="decimal"/>
      <w:lvlText w:val=""/>
      <w:lvlJc w:val="left"/>
    </w:lvl>
    <w:lvl w:ilvl="5" w:tplc="A296C7CE">
      <w:numFmt w:val="decimal"/>
      <w:lvlText w:val=""/>
      <w:lvlJc w:val="left"/>
    </w:lvl>
    <w:lvl w:ilvl="6" w:tplc="CF069770">
      <w:numFmt w:val="decimal"/>
      <w:lvlText w:val=""/>
      <w:lvlJc w:val="left"/>
    </w:lvl>
    <w:lvl w:ilvl="7" w:tplc="0E820B28">
      <w:numFmt w:val="decimal"/>
      <w:lvlText w:val=""/>
      <w:lvlJc w:val="left"/>
    </w:lvl>
    <w:lvl w:ilvl="8" w:tplc="55D0A2C0">
      <w:numFmt w:val="decimal"/>
      <w:lvlText w:val=""/>
      <w:lvlJc w:val="left"/>
    </w:lvl>
  </w:abstractNum>
  <w:abstractNum w:abstractNumId="373" w15:restartNumberingAfterBreak="0">
    <w:nsid w:val="43754DB7"/>
    <w:multiLevelType w:val="hybridMultilevel"/>
    <w:tmpl w:val="4BA466B8"/>
    <w:lvl w:ilvl="0" w:tplc="FD0C7778">
      <w:start w:val="1"/>
      <w:numFmt w:val="bullet"/>
      <w:lvlText w:val="·"/>
      <w:lvlJc w:val="left"/>
    </w:lvl>
    <w:lvl w:ilvl="1" w:tplc="A8D80216">
      <w:numFmt w:val="decimal"/>
      <w:lvlText w:val=""/>
      <w:lvlJc w:val="left"/>
    </w:lvl>
    <w:lvl w:ilvl="2" w:tplc="5A1C3F0E">
      <w:numFmt w:val="decimal"/>
      <w:lvlText w:val=""/>
      <w:lvlJc w:val="left"/>
    </w:lvl>
    <w:lvl w:ilvl="3" w:tplc="6C9897E6">
      <w:numFmt w:val="decimal"/>
      <w:lvlText w:val=""/>
      <w:lvlJc w:val="left"/>
    </w:lvl>
    <w:lvl w:ilvl="4" w:tplc="E9109F70">
      <w:numFmt w:val="decimal"/>
      <w:lvlText w:val=""/>
      <w:lvlJc w:val="left"/>
    </w:lvl>
    <w:lvl w:ilvl="5" w:tplc="0168580A">
      <w:numFmt w:val="decimal"/>
      <w:lvlText w:val=""/>
      <w:lvlJc w:val="left"/>
    </w:lvl>
    <w:lvl w:ilvl="6" w:tplc="D5CA2798">
      <w:numFmt w:val="decimal"/>
      <w:lvlText w:val=""/>
      <w:lvlJc w:val="left"/>
    </w:lvl>
    <w:lvl w:ilvl="7" w:tplc="3E94299A">
      <w:numFmt w:val="decimal"/>
      <w:lvlText w:val=""/>
      <w:lvlJc w:val="left"/>
    </w:lvl>
    <w:lvl w:ilvl="8" w:tplc="5AA62EFC">
      <w:numFmt w:val="decimal"/>
      <w:lvlText w:val=""/>
      <w:lvlJc w:val="left"/>
    </w:lvl>
  </w:abstractNum>
  <w:abstractNum w:abstractNumId="374" w15:restartNumberingAfterBreak="0">
    <w:nsid w:val="43AC525B"/>
    <w:multiLevelType w:val="hybridMultilevel"/>
    <w:tmpl w:val="5ECC3292"/>
    <w:lvl w:ilvl="0" w:tplc="8EF01236">
      <w:start w:val="1"/>
      <w:numFmt w:val="bullet"/>
      <w:lvlText w:val="•"/>
      <w:lvlJc w:val="left"/>
      <w:pPr>
        <w:tabs>
          <w:tab w:val="num" w:pos="720"/>
        </w:tabs>
        <w:ind w:left="720" w:hanging="360"/>
      </w:pPr>
      <w:rPr>
        <w:rFonts w:ascii="Arial" w:hAnsi="Arial" w:hint="default"/>
      </w:rPr>
    </w:lvl>
    <w:lvl w:ilvl="1" w:tplc="E1622A28" w:tentative="1">
      <w:start w:val="1"/>
      <w:numFmt w:val="bullet"/>
      <w:lvlText w:val="•"/>
      <w:lvlJc w:val="left"/>
      <w:pPr>
        <w:tabs>
          <w:tab w:val="num" w:pos="1440"/>
        </w:tabs>
        <w:ind w:left="1440" w:hanging="360"/>
      </w:pPr>
      <w:rPr>
        <w:rFonts w:ascii="Arial" w:hAnsi="Arial" w:hint="default"/>
      </w:rPr>
    </w:lvl>
    <w:lvl w:ilvl="2" w:tplc="C4129E42" w:tentative="1">
      <w:start w:val="1"/>
      <w:numFmt w:val="bullet"/>
      <w:lvlText w:val="•"/>
      <w:lvlJc w:val="left"/>
      <w:pPr>
        <w:tabs>
          <w:tab w:val="num" w:pos="2160"/>
        </w:tabs>
        <w:ind w:left="2160" w:hanging="360"/>
      </w:pPr>
      <w:rPr>
        <w:rFonts w:ascii="Arial" w:hAnsi="Arial" w:hint="default"/>
      </w:rPr>
    </w:lvl>
    <w:lvl w:ilvl="3" w:tplc="B0844708" w:tentative="1">
      <w:start w:val="1"/>
      <w:numFmt w:val="bullet"/>
      <w:lvlText w:val="•"/>
      <w:lvlJc w:val="left"/>
      <w:pPr>
        <w:tabs>
          <w:tab w:val="num" w:pos="2880"/>
        </w:tabs>
        <w:ind w:left="2880" w:hanging="360"/>
      </w:pPr>
      <w:rPr>
        <w:rFonts w:ascii="Arial" w:hAnsi="Arial" w:hint="default"/>
      </w:rPr>
    </w:lvl>
    <w:lvl w:ilvl="4" w:tplc="8F529EDA" w:tentative="1">
      <w:start w:val="1"/>
      <w:numFmt w:val="bullet"/>
      <w:lvlText w:val="•"/>
      <w:lvlJc w:val="left"/>
      <w:pPr>
        <w:tabs>
          <w:tab w:val="num" w:pos="3600"/>
        </w:tabs>
        <w:ind w:left="3600" w:hanging="360"/>
      </w:pPr>
      <w:rPr>
        <w:rFonts w:ascii="Arial" w:hAnsi="Arial" w:hint="default"/>
      </w:rPr>
    </w:lvl>
    <w:lvl w:ilvl="5" w:tplc="7C4628AA" w:tentative="1">
      <w:start w:val="1"/>
      <w:numFmt w:val="bullet"/>
      <w:lvlText w:val="•"/>
      <w:lvlJc w:val="left"/>
      <w:pPr>
        <w:tabs>
          <w:tab w:val="num" w:pos="4320"/>
        </w:tabs>
        <w:ind w:left="4320" w:hanging="360"/>
      </w:pPr>
      <w:rPr>
        <w:rFonts w:ascii="Arial" w:hAnsi="Arial" w:hint="default"/>
      </w:rPr>
    </w:lvl>
    <w:lvl w:ilvl="6" w:tplc="60063EAA" w:tentative="1">
      <w:start w:val="1"/>
      <w:numFmt w:val="bullet"/>
      <w:lvlText w:val="•"/>
      <w:lvlJc w:val="left"/>
      <w:pPr>
        <w:tabs>
          <w:tab w:val="num" w:pos="5040"/>
        </w:tabs>
        <w:ind w:left="5040" w:hanging="360"/>
      </w:pPr>
      <w:rPr>
        <w:rFonts w:ascii="Arial" w:hAnsi="Arial" w:hint="default"/>
      </w:rPr>
    </w:lvl>
    <w:lvl w:ilvl="7" w:tplc="718213C6" w:tentative="1">
      <w:start w:val="1"/>
      <w:numFmt w:val="bullet"/>
      <w:lvlText w:val="•"/>
      <w:lvlJc w:val="left"/>
      <w:pPr>
        <w:tabs>
          <w:tab w:val="num" w:pos="5760"/>
        </w:tabs>
        <w:ind w:left="5760" w:hanging="360"/>
      </w:pPr>
      <w:rPr>
        <w:rFonts w:ascii="Arial" w:hAnsi="Arial" w:hint="default"/>
      </w:rPr>
    </w:lvl>
    <w:lvl w:ilvl="8" w:tplc="ECD0683C" w:tentative="1">
      <w:start w:val="1"/>
      <w:numFmt w:val="bullet"/>
      <w:lvlText w:val="•"/>
      <w:lvlJc w:val="left"/>
      <w:pPr>
        <w:tabs>
          <w:tab w:val="num" w:pos="6480"/>
        </w:tabs>
        <w:ind w:left="6480" w:hanging="360"/>
      </w:pPr>
      <w:rPr>
        <w:rFonts w:ascii="Arial" w:hAnsi="Arial" w:hint="default"/>
      </w:rPr>
    </w:lvl>
  </w:abstractNum>
  <w:abstractNum w:abstractNumId="375" w15:restartNumberingAfterBreak="0">
    <w:nsid w:val="43AC9E23"/>
    <w:multiLevelType w:val="hybridMultilevel"/>
    <w:tmpl w:val="9ECC9612"/>
    <w:lvl w:ilvl="0" w:tplc="D7661C26">
      <w:start w:val="1"/>
      <w:numFmt w:val="bullet"/>
      <w:lvlText w:val="•"/>
      <w:lvlJc w:val="left"/>
    </w:lvl>
    <w:lvl w:ilvl="1" w:tplc="62665390">
      <w:numFmt w:val="decimal"/>
      <w:lvlText w:val=""/>
      <w:lvlJc w:val="left"/>
    </w:lvl>
    <w:lvl w:ilvl="2" w:tplc="15C8D9A2">
      <w:numFmt w:val="decimal"/>
      <w:lvlText w:val=""/>
      <w:lvlJc w:val="left"/>
    </w:lvl>
    <w:lvl w:ilvl="3" w:tplc="95A6887C">
      <w:numFmt w:val="decimal"/>
      <w:lvlText w:val=""/>
      <w:lvlJc w:val="left"/>
    </w:lvl>
    <w:lvl w:ilvl="4" w:tplc="6FBC0B5C">
      <w:numFmt w:val="decimal"/>
      <w:lvlText w:val=""/>
      <w:lvlJc w:val="left"/>
    </w:lvl>
    <w:lvl w:ilvl="5" w:tplc="21D8C6A4">
      <w:numFmt w:val="decimal"/>
      <w:lvlText w:val=""/>
      <w:lvlJc w:val="left"/>
    </w:lvl>
    <w:lvl w:ilvl="6" w:tplc="F684BCF2">
      <w:numFmt w:val="decimal"/>
      <w:lvlText w:val=""/>
      <w:lvlJc w:val="left"/>
    </w:lvl>
    <w:lvl w:ilvl="7" w:tplc="42E6CEC4">
      <w:numFmt w:val="decimal"/>
      <w:lvlText w:val=""/>
      <w:lvlJc w:val="left"/>
    </w:lvl>
    <w:lvl w:ilvl="8" w:tplc="ED8EE180">
      <w:numFmt w:val="decimal"/>
      <w:lvlText w:val=""/>
      <w:lvlJc w:val="left"/>
    </w:lvl>
  </w:abstractNum>
  <w:abstractNum w:abstractNumId="376" w15:restartNumberingAfterBreak="0">
    <w:nsid w:val="43B2BC58"/>
    <w:multiLevelType w:val="hybridMultilevel"/>
    <w:tmpl w:val="37ECB2AE"/>
    <w:lvl w:ilvl="0" w:tplc="57CE0524">
      <w:start w:val="1"/>
      <w:numFmt w:val="bullet"/>
      <w:lvlText w:val="-"/>
      <w:lvlJc w:val="left"/>
    </w:lvl>
    <w:lvl w:ilvl="1" w:tplc="B6767EA0">
      <w:start w:val="1"/>
      <w:numFmt w:val="bullet"/>
      <w:lvlText w:val="§"/>
      <w:lvlJc w:val="left"/>
    </w:lvl>
    <w:lvl w:ilvl="2" w:tplc="21C61BF6">
      <w:numFmt w:val="decimal"/>
      <w:lvlText w:val=""/>
      <w:lvlJc w:val="left"/>
    </w:lvl>
    <w:lvl w:ilvl="3" w:tplc="02A2784C">
      <w:numFmt w:val="decimal"/>
      <w:lvlText w:val=""/>
      <w:lvlJc w:val="left"/>
    </w:lvl>
    <w:lvl w:ilvl="4" w:tplc="728CCF16">
      <w:numFmt w:val="decimal"/>
      <w:lvlText w:val=""/>
      <w:lvlJc w:val="left"/>
    </w:lvl>
    <w:lvl w:ilvl="5" w:tplc="F45E747A">
      <w:numFmt w:val="decimal"/>
      <w:lvlText w:val=""/>
      <w:lvlJc w:val="left"/>
    </w:lvl>
    <w:lvl w:ilvl="6" w:tplc="0652FC2A">
      <w:numFmt w:val="decimal"/>
      <w:lvlText w:val=""/>
      <w:lvlJc w:val="left"/>
    </w:lvl>
    <w:lvl w:ilvl="7" w:tplc="84424CAE">
      <w:numFmt w:val="decimal"/>
      <w:lvlText w:val=""/>
      <w:lvlJc w:val="left"/>
    </w:lvl>
    <w:lvl w:ilvl="8" w:tplc="3B5ED076">
      <w:numFmt w:val="decimal"/>
      <w:lvlText w:val=""/>
      <w:lvlJc w:val="left"/>
    </w:lvl>
  </w:abstractNum>
  <w:abstractNum w:abstractNumId="377" w15:restartNumberingAfterBreak="0">
    <w:nsid w:val="43D60C21"/>
    <w:multiLevelType w:val="hybridMultilevel"/>
    <w:tmpl w:val="A126D0F6"/>
    <w:lvl w:ilvl="0" w:tplc="293401DC">
      <w:start w:val="1"/>
      <w:numFmt w:val="bullet"/>
      <w:lvlText w:val="•"/>
      <w:lvlJc w:val="left"/>
    </w:lvl>
    <w:lvl w:ilvl="1" w:tplc="8CCCD9BA">
      <w:start w:val="1"/>
      <w:numFmt w:val="bullet"/>
      <w:lvlText w:val="•"/>
      <w:lvlJc w:val="left"/>
    </w:lvl>
    <w:lvl w:ilvl="2" w:tplc="36163E42">
      <w:start w:val="1"/>
      <w:numFmt w:val="bullet"/>
      <w:lvlText w:val="\endash "/>
      <w:lvlJc w:val="left"/>
    </w:lvl>
    <w:lvl w:ilvl="3" w:tplc="E5407090">
      <w:numFmt w:val="decimal"/>
      <w:lvlText w:val=""/>
      <w:lvlJc w:val="left"/>
    </w:lvl>
    <w:lvl w:ilvl="4" w:tplc="D6EE0E4A">
      <w:numFmt w:val="decimal"/>
      <w:lvlText w:val=""/>
      <w:lvlJc w:val="left"/>
    </w:lvl>
    <w:lvl w:ilvl="5" w:tplc="9200B0F4">
      <w:numFmt w:val="decimal"/>
      <w:lvlText w:val=""/>
      <w:lvlJc w:val="left"/>
    </w:lvl>
    <w:lvl w:ilvl="6" w:tplc="2C729AF4">
      <w:numFmt w:val="decimal"/>
      <w:lvlText w:val=""/>
      <w:lvlJc w:val="left"/>
    </w:lvl>
    <w:lvl w:ilvl="7" w:tplc="103AFB6E">
      <w:numFmt w:val="decimal"/>
      <w:lvlText w:val=""/>
      <w:lvlJc w:val="left"/>
    </w:lvl>
    <w:lvl w:ilvl="8" w:tplc="4B101AC2">
      <w:numFmt w:val="decimal"/>
      <w:lvlText w:val=""/>
      <w:lvlJc w:val="left"/>
    </w:lvl>
  </w:abstractNum>
  <w:abstractNum w:abstractNumId="378" w15:restartNumberingAfterBreak="0">
    <w:nsid w:val="43E27F13"/>
    <w:multiLevelType w:val="hybridMultilevel"/>
    <w:tmpl w:val="85883DBA"/>
    <w:lvl w:ilvl="0" w:tplc="53CABD30">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9" w15:restartNumberingAfterBreak="0">
    <w:nsid w:val="440A7EF3"/>
    <w:multiLevelType w:val="hybridMultilevel"/>
    <w:tmpl w:val="E3C45E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0" w15:restartNumberingAfterBreak="0">
    <w:nsid w:val="44233A67"/>
    <w:multiLevelType w:val="hybridMultilevel"/>
    <w:tmpl w:val="6B8418A0"/>
    <w:lvl w:ilvl="0" w:tplc="CBFADD0C">
      <w:start w:val="1"/>
      <w:numFmt w:val="bullet"/>
      <w:lvlText w:val="―"/>
      <w:lvlJc w:val="left"/>
    </w:lvl>
    <w:lvl w:ilvl="1" w:tplc="42DA0694">
      <w:start w:val="1"/>
      <w:numFmt w:val="bullet"/>
      <w:lvlText w:val="●"/>
      <w:lvlJc w:val="left"/>
    </w:lvl>
    <w:lvl w:ilvl="2" w:tplc="9F3C6410">
      <w:numFmt w:val="decimal"/>
      <w:lvlText w:val=""/>
      <w:lvlJc w:val="left"/>
    </w:lvl>
    <w:lvl w:ilvl="3" w:tplc="4E34AD38">
      <w:numFmt w:val="decimal"/>
      <w:lvlText w:val=""/>
      <w:lvlJc w:val="left"/>
    </w:lvl>
    <w:lvl w:ilvl="4" w:tplc="D426558C">
      <w:numFmt w:val="decimal"/>
      <w:lvlText w:val=""/>
      <w:lvlJc w:val="left"/>
    </w:lvl>
    <w:lvl w:ilvl="5" w:tplc="7130C600">
      <w:numFmt w:val="decimal"/>
      <w:lvlText w:val=""/>
      <w:lvlJc w:val="left"/>
    </w:lvl>
    <w:lvl w:ilvl="6" w:tplc="AA3AEDA2">
      <w:numFmt w:val="decimal"/>
      <w:lvlText w:val=""/>
      <w:lvlJc w:val="left"/>
    </w:lvl>
    <w:lvl w:ilvl="7" w:tplc="E7462F40">
      <w:numFmt w:val="decimal"/>
      <w:lvlText w:val=""/>
      <w:lvlJc w:val="left"/>
    </w:lvl>
    <w:lvl w:ilvl="8" w:tplc="348EA552">
      <w:numFmt w:val="decimal"/>
      <w:lvlText w:val=""/>
      <w:lvlJc w:val="left"/>
    </w:lvl>
  </w:abstractNum>
  <w:abstractNum w:abstractNumId="381" w15:restartNumberingAfterBreak="0">
    <w:nsid w:val="44419EF9"/>
    <w:multiLevelType w:val="hybridMultilevel"/>
    <w:tmpl w:val="1402E782"/>
    <w:lvl w:ilvl="0" w:tplc="F5DCB610">
      <w:start w:val="1"/>
      <w:numFmt w:val="decimal"/>
      <w:lvlText w:val="%1)"/>
      <w:lvlJc w:val="left"/>
    </w:lvl>
    <w:lvl w:ilvl="1" w:tplc="1D34DA94">
      <w:start w:val="1"/>
      <w:numFmt w:val="lowerLetter"/>
      <w:lvlText w:val="%2)"/>
      <w:lvlJc w:val="left"/>
    </w:lvl>
    <w:lvl w:ilvl="2" w:tplc="EC343BE0">
      <w:start w:val="1"/>
      <w:numFmt w:val="bullet"/>
      <w:lvlText w:val="•"/>
      <w:lvlJc w:val="left"/>
    </w:lvl>
    <w:lvl w:ilvl="3" w:tplc="5F7C9EC0">
      <w:start w:val="1"/>
      <w:numFmt w:val="lowerLetter"/>
      <w:lvlText w:val="%4)"/>
      <w:lvlJc w:val="left"/>
    </w:lvl>
    <w:lvl w:ilvl="4" w:tplc="9F3C6AFC">
      <w:numFmt w:val="decimal"/>
      <w:lvlText w:val=""/>
      <w:lvlJc w:val="left"/>
    </w:lvl>
    <w:lvl w:ilvl="5" w:tplc="E3AE4CF2">
      <w:numFmt w:val="decimal"/>
      <w:lvlText w:val=""/>
      <w:lvlJc w:val="left"/>
    </w:lvl>
    <w:lvl w:ilvl="6" w:tplc="30881AAA">
      <w:numFmt w:val="decimal"/>
      <w:lvlText w:val=""/>
      <w:lvlJc w:val="left"/>
    </w:lvl>
    <w:lvl w:ilvl="7" w:tplc="2DA8FBF2">
      <w:numFmt w:val="decimal"/>
      <w:lvlText w:val=""/>
      <w:lvlJc w:val="left"/>
    </w:lvl>
    <w:lvl w:ilvl="8" w:tplc="2978239E">
      <w:numFmt w:val="decimal"/>
      <w:lvlText w:val=""/>
      <w:lvlJc w:val="left"/>
    </w:lvl>
  </w:abstractNum>
  <w:abstractNum w:abstractNumId="382" w15:restartNumberingAfterBreak="0">
    <w:nsid w:val="444E323E"/>
    <w:multiLevelType w:val="hybridMultilevel"/>
    <w:tmpl w:val="BEEABF6A"/>
    <w:lvl w:ilvl="0" w:tplc="B5C60908">
      <w:start w:val="1"/>
      <w:numFmt w:val="bullet"/>
      <w:lvlText w:val="-"/>
      <w:lvlJc w:val="left"/>
    </w:lvl>
    <w:lvl w:ilvl="1" w:tplc="BA246656">
      <w:numFmt w:val="decimal"/>
      <w:lvlText w:val=""/>
      <w:lvlJc w:val="left"/>
    </w:lvl>
    <w:lvl w:ilvl="2" w:tplc="4C445B10">
      <w:numFmt w:val="decimal"/>
      <w:lvlText w:val=""/>
      <w:lvlJc w:val="left"/>
    </w:lvl>
    <w:lvl w:ilvl="3" w:tplc="F3ACD5E0">
      <w:numFmt w:val="decimal"/>
      <w:lvlText w:val=""/>
      <w:lvlJc w:val="left"/>
    </w:lvl>
    <w:lvl w:ilvl="4" w:tplc="8890A0D4">
      <w:numFmt w:val="decimal"/>
      <w:lvlText w:val=""/>
      <w:lvlJc w:val="left"/>
    </w:lvl>
    <w:lvl w:ilvl="5" w:tplc="5D503FD2">
      <w:numFmt w:val="decimal"/>
      <w:lvlText w:val=""/>
      <w:lvlJc w:val="left"/>
    </w:lvl>
    <w:lvl w:ilvl="6" w:tplc="BFFE183C">
      <w:numFmt w:val="decimal"/>
      <w:lvlText w:val=""/>
      <w:lvlJc w:val="left"/>
    </w:lvl>
    <w:lvl w:ilvl="7" w:tplc="F9DAB076">
      <w:numFmt w:val="decimal"/>
      <w:lvlText w:val=""/>
      <w:lvlJc w:val="left"/>
    </w:lvl>
    <w:lvl w:ilvl="8" w:tplc="3B245EC6">
      <w:numFmt w:val="decimal"/>
      <w:lvlText w:val=""/>
      <w:lvlJc w:val="left"/>
    </w:lvl>
  </w:abstractNum>
  <w:abstractNum w:abstractNumId="383" w15:restartNumberingAfterBreak="0">
    <w:nsid w:val="4450AA00"/>
    <w:multiLevelType w:val="hybridMultilevel"/>
    <w:tmpl w:val="A51EEF88"/>
    <w:lvl w:ilvl="0" w:tplc="E7E623D2">
      <w:start w:val="1"/>
      <w:numFmt w:val="lowerLetter"/>
      <w:lvlText w:val="%1)"/>
      <w:lvlJc w:val="left"/>
    </w:lvl>
    <w:lvl w:ilvl="1" w:tplc="8C565B90">
      <w:numFmt w:val="decimal"/>
      <w:lvlText w:val=""/>
      <w:lvlJc w:val="left"/>
    </w:lvl>
    <w:lvl w:ilvl="2" w:tplc="FDFA1B9A">
      <w:numFmt w:val="decimal"/>
      <w:lvlText w:val=""/>
      <w:lvlJc w:val="left"/>
    </w:lvl>
    <w:lvl w:ilvl="3" w:tplc="61BCF394">
      <w:numFmt w:val="decimal"/>
      <w:lvlText w:val=""/>
      <w:lvlJc w:val="left"/>
    </w:lvl>
    <w:lvl w:ilvl="4" w:tplc="2272C7E8">
      <w:numFmt w:val="decimal"/>
      <w:lvlText w:val=""/>
      <w:lvlJc w:val="left"/>
    </w:lvl>
    <w:lvl w:ilvl="5" w:tplc="927E5F00">
      <w:numFmt w:val="decimal"/>
      <w:lvlText w:val=""/>
      <w:lvlJc w:val="left"/>
    </w:lvl>
    <w:lvl w:ilvl="6" w:tplc="08D053D0">
      <w:numFmt w:val="decimal"/>
      <w:lvlText w:val=""/>
      <w:lvlJc w:val="left"/>
    </w:lvl>
    <w:lvl w:ilvl="7" w:tplc="E320FFBC">
      <w:numFmt w:val="decimal"/>
      <w:lvlText w:val=""/>
      <w:lvlJc w:val="left"/>
    </w:lvl>
    <w:lvl w:ilvl="8" w:tplc="5DB2E198">
      <w:numFmt w:val="decimal"/>
      <w:lvlText w:val=""/>
      <w:lvlJc w:val="left"/>
    </w:lvl>
  </w:abstractNum>
  <w:abstractNum w:abstractNumId="384" w15:restartNumberingAfterBreak="0">
    <w:nsid w:val="44BD67E6"/>
    <w:multiLevelType w:val="hybridMultilevel"/>
    <w:tmpl w:val="E9589182"/>
    <w:lvl w:ilvl="0" w:tplc="9670CD3E">
      <w:start w:val="2"/>
      <w:numFmt w:val="lowerLetter"/>
      <w:lvlText w:val="%1)"/>
      <w:lvlJc w:val="left"/>
    </w:lvl>
    <w:lvl w:ilvl="1" w:tplc="560A0F4A">
      <w:numFmt w:val="decimal"/>
      <w:lvlText w:val=""/>
      <w:lvlJc w:val="left"/>
    </w:lvl>
    <w:lvl w:ilvl="2" w:tplc="E21259C0">
      <w:numFmt w:val="decimal"/>
      <w:lvlText w:val=""/>
      <w:lvlJc w:val="left"/>
    </w:lvl>
    <w:lvl w:ilvl="3" w:tplc="A7F878F6">
      <w:numFmt w:val="decimal"/>
      <w:lvlText w:val=""/>
      <w:lvlJc w:val="left"/>
    </w:lvl>
    <w:lvl w:ilvl="4" w:tplc="FD88FFAA">
      <w:numFmt w:val="decimal"/>
      <w:lvlText w:val=""/>
      <w:lvlJc w:val="left"/>
    </w:lvl>
    <w:lvl w:ilvl="5" w:tplc="AAE47F94">
      <w:numFmt w:val="decimal"/>
      <w:lvlText w:val=""/>
      <w:lvlJc w:val="left"/>
    </w:lvl>
    <w:lvl w:ilvl="6" w:tplc="D4A0BD2C">
      <w:numFmt w:val="decimal"/>
      <w:lvlText w:val=""/>
      <w:lvlJc w:val="left"/>
    </w:lvl>
    <w:lvl w:ilvl="7" w:tplc="B66E4086">
      <w:numFmt w:val="decimal"/>
      <w:lvlText w:val=""/>
      <w:lvlJc w:val="left"/>
    </w:lvl>
    <w:lvl w:ilvl="8" w:tplc="B7E2D3E8">
      <w:numFmt w:val="decimal"/>
      <w:lvlText w:val=""/>
      <w:lvlJc w:val="left"/>
    </w:lvl>
  </w:abstractNum>
  <w:abstractNum w:abstractNumId="385" w15:restartNumberingAfterBreak="0">
    <w:nsid w:val="44D20939"/>
    <w:multiLevelType w:val="hybridMultilevel"/>
    <w:tmpl w:val="8EE461E6"/>
    <w:lvl w:ilvl="0" w:tplc="128835AE">
      <w:start w:val="1"/>
      <w:numFmt w:val="bullet"/>
      <w:lvlText w:val="•"/>
      <w:lvlJc w:val="left"/>
    </w:lvl>
    <w:lvl w:ilvl="1" w:tplc="BE64AF0E">
      <w:numFmt w:val="decimal"/>
      <w:lvlText w:val=""/>
      <w:lvlJc w:val="left"/>
    </w:lvl>
    <w:lvl w:ilvl="2" w:tplc="3EFA50A8">
      <w:numFmt w:val="decimal"/>
      <w:lvlText w:val=""/>
      <w:lvlJc w:val="left"/>
    </w:lvl>
    <w:lvl w:ilvl="3" w:tplc="B0508102">
      <w:numFmt w:val="decimal"/>
      <w:lvlText w:val=""/>
      <w:lvlJc w:val="left"/>
    </w:lvl>
    <w:lvl w:ilvl="4" w:tplc="D18C7FB0">
      <w:numFmt w:val="decimal"/>
      <w:lvlText w:val=""/>
      <w:lvlJc w:val="left"/>
    </w:lvl>
    <w:lvl w:ilvl="5" w:tplc="F872CA02">
      <w:numFmt w:val="decimal"/>
      <w:lvlText w:val=""/>
      <w:lvlJc w:val="left"/>
    </w:lvl>
    <w:lvl w:ilvl="6" w:tplc="284692D6">
      <w:numFmt w:val="decimal"/>
      <w:lvlText w:val=""/>
      <w:lvlJc w:val="left"/>
    </w:lvl>
    <w:lvl w:ilvl="7" w:tplc="82461F74">
      <w:numFmt w:val="decimal"/>
      <w:lvlText w:val=""/>
      <w:lvlJc w:val="left"/>
    </w:lvl>
    <w:lvl w:ilvl="8" w:tplc="F1DAFDAE">
      <w:numFmt w:val="decimal"/>
      <w:lvlText w:val=""/>
      <w:lvlJc w:val="left"/>
    </w:lvl>
  </w:abstractNum>
  <w:abstractNum w:abstractNumId="386" w15:restartNumberingAfterBreak="0">
    <w:nsid w:val="44DEFF9B"/>
    <w:multiLevelType w:val="hybridMultilevel"/>
    <w:tmpl w:val="8BBC2A9C"/>
    <w:lvl w:ilvl="0" w:tplc="3110B1C2">
      <w:start w:val="1"/>
      <w:numFmt w:val="lowerLetter"/>
      <w:lvlText w:val="%1)"/>
      <w:lvlJc w:val="left"/>
    </w:lvl>
    <w:lvl w:ilvl="1" w:tplc="F58CB06E">
      <w:numFmt w:val="decimal"/>
      <w:lvlText w:val=""/>
      <w:lvlJc w:val="left"/>
    </w:lvl>
    <w:lvl w:ilvl="2" w:tplc="F99EC092">
      <w:numFmt w:val="decimal"/>
      <w:lvlText w:val=""/>
      <w:lvlJc w:val="left"/>
    </w:lvl>
    <w:lvl w:ilvl="3" w:tplc="27181CD2">
      <w:numFmt w:val="decimal"/>
      <w:lvlText w:val=""/>
      <w:lvlJc w:val="left"/>
    </w:lvl>
    <w:lvl w:ilvl="4" w:tplc="FFEEF198">
      <w:numFmt w:val="decimal"/>
      <w:lvlText w:val=""/>
      <w:lvlJc w:val="left"/>
    </w:lvl>
    <w:lvl w:ilvl="5" w:tplc="D58255B6">
      <w:numFmt w:val="decimal"/>
      <w:lvlText w:val=""/>
      <w:lvlJc w:val="left"/>
    </w:lvl>
    <w:lvl w:ilvl="6" w:tplc="B302FADA">
      <w:numFmt w:val="decimal"/>
      <w:lvlText w:val=""/>
      <w:lvlJc w:val="left"/>
    </w:lvl>
    <w:lvl w:ilvl="7" w:tplc="0324B944">
      <w:numFmt w:val="decimal"/>
      <w:lvlText w:val=""/>
      <w:lvlJc w:val="left"/>
    </w:lvl>
    <w:lvl w:ilvl="8" w:tplc="1ADE01FC">
      <w:numFmt w:val="decimal"/>
      <w:lvlText w:val=""/>
      <w:lvlJc w:val="left"/>
    </w:lvl>
  </w:abstractNum>
  <w:abstractNum w:abstractNumId="387" w15:restartNumberingAfterBreak="0">
    <w:nsid w:val="452528CB"/>
    <w:multiLevelType w:val="hybridMultilevel"/>
    <w:tmpl w:val="08F62320"/>
    <w:lvl w:ilvl="0" w:tplc="0A465F36">
      <w:start w:val="1"/>
      <w:numFmt w:val="bullet"/>
      <w:lvlText w:val="·"/>
      <w:lvlJc w:val="left"/>
    </w:lvl>
    <w:lvl w:ilvl="1" w:tplc="FD4850FC">
      <w:start w:val="5"/>
      <w:numFmt w:val="lowerLetter"/>
      <w:lvlText w:val="%2)"/>
      <w:lvlJc w:val="left"/>
    </w:lvl>
    <w:lvl w:ilvl="2" w:tplc="5C48A310">
      <w:numFmt w:val="decimal"/>
      <w:lvlText w:val=""/>
      <w:lvlJc w:val="left"/>
    </w:lvl>
    <w:lvl w:ilvl="3" w:tplc="21BCB45C">
      <w:numFmt w:val="decimal"/>
      <w:lvlText w:val=""/>
      <w:lvlJc w:val="left"/>
    </w:lvl>
    <w:lvl w:ilvl="4" w:tplc="CDC2068A">
      <w:numFmt w:val="decimal"/>
      <w:lvlText w:val=""/>
      <w:lvlJc w:val="left"/>
    </w:lvl>
    <w:lvl w:ilvl="5" w:tplc="5D32D89E">
      <w:numFmt w:val="decimal"/>
      <w:lvlText w:val=""/>
      <w:lvlJc w:val="left"/>
    </w:lvl>
    <w:lvl w:ilvl="6" w:tplc="C592250E">
      <w:numFmt w:val="decimal"/>
      <w:lvlText w:val=""/>
      <w:lvlJc w:val="left"/>
    </w:lvl>
    <w:lvl w:ilvl="7" w:tplc="13CE38C0">
      <w:numFmt w:val="decimal"/>
      <w:lvlText w:val=""/>
      <w:lvlJc w:val="left"/>
    </w:lvl>
    <w:lvl w:ilvl="8" w:tplc="7D6C308A">
      <w:numFmt w:val="decimal"/>
      <w:lvlText w:val=""/>
      <w:lvlJc w:val="left"/>
    </w:lvl>
  </w:abstractNum>
  <w:abstractNum w:abstractNumId="388" w15:restartNumberingAfterBreak="0">
    <w:nsid w:val="457C5AB3"/>
    <w:multiLevelType w:val="hybridMultilevel"/>
    <w:tmpl w:val="80B07500"/>
    <w:lvl w:ilvl="0" w:tplc="53CABD30">
      <w:start w:val="1"/>
      <w:numFmt w:val="bullet"/>
      <w:lvlText w:val="-"/>
      <w:lvlJc w:val="left"/>
      <w:pPr>
        <w:ind w:left="1440" w:hanging="360"/>
      </w:p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89" w15:restartNumberingAfterBreak="0">
    <w:nsid w:val="45866D35"/>
    <w:multiLevelType w:val="hybridMultilevel"/>
    <w:tmpl w:val="683E80D2"/>
    <w:lvl w:ilvl="0" w:tplc="736C8A5A">
      <w:start w:val="2"/>
      <w:numFmt w:val="upperLetter"/>
      <w:lvlText w:val="%1."/>
      <w:lvlJc w:val="left"/>
    </w:lvl>
    <w:lvl w:ilvl="1" w:tplc="4634904A">
      <w:start w:val="1"/>
      <w:numFmt w:val="bullet"/>
      <w:lvlText w:val="•"/>
      <w:lvlJc w:val="left"/>
    </w:lvl>
    <w:lvl w:ilvl="2" w:tplc="E5268F9C">
      <w:numFmt w:val="decimal"/>
      <w:lvlText w:val=""/>
      <w:lvlJc w:val="left"/>
    </w:lvl>
    <w:lvl w:ilvl="3" w:tplc="ED683930">
      <w:numFmt w:val="decimal"/>
      <w:lvlText w:val=""/>
      <w:lvlJc w:val="left"/>
    </w:lvl>
    <w:lvl w:ilvl="4" w:tplc="70C6E890">
      <w:numFmt w:val="decimal"/>
      <w:lvlText w:val=""/>
      <w:lvlJc w:val="left"/>
    </w:lvl>
    <w:lvl w:ilvl="5" w:tplc="845077D4">
      <w:numFmt w:val="decimal"/>
      <w:lvlText w:val=""/>
      <w:lvlJc w:val="left"/>
    </w:lvl>
    <w:lvl w:ilvl="6" w:tplc="70A284C6">
      <w:numFmt w:val="decimal"/>
      <w:lvlText w:val=""/>
      <w:lvlJc w:val="left"/>
    </w:lvl>
    <w:lvl w:ilvl="7" w:tplc="3A52DA42">
      <w:numFmt w:val="decimal"/>
      <w:lvlText w:val=""/>
      <w:lvlJc w:val="left"/>
    </w:lvl>
    <w:lvl w:ilvl="8" w:tplc="BFC2145E">
      <w:numFmt w:val="decimal"/>
      <w:lvlText w:val=""/>
      <w:lvlJc w:val="left"/>
    </w:lvl>
  </w:abstractNum>
  <w:abstractNum w:abstractNumId="390" w15:restartNumberingAfterBreak="0">
    <w:nsid w:val="45E8F53E"/>
    <w:multiLevelType w:val="hybridMultilevel"/>
    <w:tmpl w:val="2CF64ED4"/>
    <w:lvl w:ilvl="0" w:tplc="A08A3480">
      <w:start w:val="1"/>
      <w:numFmt w:val="lowerLetter"/>
      <w:lvlText w:val="%1)"/>
      <w:lvlJc w:val="left"/>
    </w:lvl>
    <w:lvl w:ilvl="1" w:tplc="86A295D6">
      <w:start w:val="1"/>
      <w:numFmt w:val="bullet"/>
      <w:lvlText w:val="-"/>
      <w:lvlJc w:val="left"/>
    </w:lvl>
    <w:lvl w:ilvl="2" w:tplc="CD0006C6">
      <w:numFmt w:val="decimal"/>
      <w:lvlText w:val=""/>
      <w:lvlJc w:val="left"/>
    </w:lvl>
    <w:lvl w:ilvl="3" w:tplc="406A6E16">
      <w:numFmt w:val="decimal"/>
      <w:lvlText w:val=""/>
      <w:lvlJc w:val="left"/>
    </w:lvl>
    <w:lvl w:ilvl="4" w:tplc="C7EC5FC8">
      <w:numFmt w:val="decimal"/>
      <w:lvlText w:val=""/>
      <w:lvlJc w:val="left"/>
    </w:lvl>
    <w:lvl w:ilvl="5" w:tplc="110AF91C">
      <w:numFmt w:val="decimal"/>
      <w:lvlText w:val=""/>
      <w:lvlJc w:val="left"/>
    </w:lvl>
    <w:lvl w:ilvl="6" w:tplc="466ADCAE">
      <w:numFmt w:val="decimal"/>
      <w:lvlText w:val=""/>
      <w:lvlJc w:val="left"/>
    </w:lvl>
    <w:lvl w:ilvl="7" w:tplc="A6FE089C">
      <w:numFmt w:val="decimal"/>
      <w:lvlText w:val=""/>
      <w:lvlJc w:val="left"/>
    </w:lvl>
    <w:lvl w:ilvl="8" w:tplc="9EA0E5DA">
      <w:numFmt w:val="decimal"/>
      <w:lvlText w:val=""/>
      <w:lvlJc w:val="left"/>
    </w:lvl>
  </w:abstractNum>
  <w:abstractNum w:abstractNumId="391" w15:restartNumberingAfterBreak="0">
    <w:nsid w:val="45EA996E"/>
    <w:multiLevelType w:val="hybridMultilevel"/>
    <w:tmpl w:val="8972439A"/>
    <w:lvl w:ilvl="0" w:tplc="C4D0E448">
      <w:start w:val="1"/>
      <w:numFmt w:val="bullet"/>
      <w:lvlText w:val="·"/>
      <w:lvlJc w:val="left"/>
    </w:lvl>
    <w:lvl w:ilvl="1" w:tplc="3CCCD322">
      <w:numFmt w:val="decimal"/>
      <w:lvlText w:val=""/>
      <w:lvlJc w:val="left"/>
    </w:lvl>
    <w:lvl w:ilvl="2" w:tplc="6AC0BBD4">
      <w:numFmt w:val="decimal"/>
      <w:lvlText w:val=""/>
      <w:lvlJc w:val="left"/>
    </w:lvl>
    <w:lvl w:ilvl="3" w:tplc="23A606C6">
      <w:numFmt w:val="decimal"/>
      <w:lvlText w:val=""/>
      <w:lvlJc w:val="left"/>
    </w:lvl>
    <w:lvl w:ilvl="4" w:tplc="33EC3386">
      <w:numFmt w:val="decimal"/>
      <w:lvlText w:val=""/>
      <w:lvlJc w:val="left"/>
    </w:lvl>
    <w:lvl w:ilvl="5" w:tplc="1B6C85BA">
      <w:numFmt w:val="decimal"/>
      <w:lvlText w:val=""/>
      <w:lvlJc w:val="left"/>
    </w:lvl>
    <w:lvl w:ilvl="6" w:tplc="D3FC25B6">
      <w:numFmt w:val="decimal"/>
      <w:lvlText w:val=""/>
      <w:lvlJc w:val="left"/>
    </w:lvl>
    <w:lvl w:ilvl="7" w:tplc="42FE55F0">
      <w:numFmt w:val="decimal"/>
      <w:lvlText w:val=""/>
      <w:lvlJc w:val="left"/>
    </w:lvl>
    <w:lvl w:ilvl="8" w:tplc="4BAC8724">
      <w:numFmt w:val="decimal"/>
      <w:lvlText w:val=""/>
      <w:lvlJc w:val="left"/>
    </w:lvl>
  </w:abstractNum>
  <w:abstractNum w:abstractNumId="392" w15:restartNumberingAfterBreak="0">
    <w:nsid w:val="464E2FA8"/>
    <w:multiLevelType w:val="hybridMultilevel"/>
    <w:tmpl w:val="DA84B40E"/>
    <w:lvl w:ilvl="0" w:tplc="E9366DF0">
      <w:start w:val="1"/>
      <w:numFmt w:val="bullet"/>
      <w:lvlText w:val="•"/>
      <w:lvlJc w:val="left"/>
    </w:lvl>
    <w:lvl w:ilvl="1" w:tplc="1966B842">
      <w:numFmt w:val="decimal"/>
      <w:lvlText w:val=""/>
      <w:lvlJc w:val="left"/>
    </w:lvl>
    <w:lvl w:ilvl="2" w:tplc="719E1A44">
      <w:numFmt w:val="decimal"/>
      <w:lvlText w:val=""/>
      <w:lvlJc w:val="left"/>
    </w:lvl>
    <w:lvl w:ilvl="3" w:tplc="02FAA986">
      <w:numFmt w:val="decimal"/>
      <w:lvlText w:val=""/>
      <w:lvlJc w:val="left"/>
    </w:lvl>
    <w:lvl w:ilvl="4" w:tplc="E4DA234C">
      <w:numFmt w:val="decimal"/>
      <w:lvlText w:val=""/>
      <w:lvlJc w:val="left"/>
    </w:lvl>
    <w:lvl w:ilvl="5" w:tplc="8A02F626">
      <w:numFmt w:val="decimal"/>
      <w:lvlText w:val=""/>
      <w:lvlJc w:val="left"/>
    </w:lvl>
    <w:lvl w:ilvl="6" w:tplc="BF687192">
      <w:numFmt w:val="decimal"/>
      <w:lvlText w:val=""/>
      <w:lvlJc w:val="left"/>
    </w:lvl>
    <w:lvl w:ilvl="7" w:tplc="92208212">
      <w:numFmt w:val="decimal"/>
      <w:lvlText w:val=""/>
      <w:lvlJc w:val="left"/>
    </w:lvl>
    <w:lvl w:ilvl="8" w:tplc="4A0AC5B8">
      <w:numFmt w:val="decimal"/>
      <w:lvlText w:val=""/>
      <w:lvlJc w:val="left"/>
    </w:lvl>
  </w:abstractNum>
  <w:abstractNum w:abstractNumId="393" w15:restartNumberingAfterBreak="0">
    <w:nsid w:val="469D7C4F"/>
    <w:multiLevelType w:val="hybridMultilevel"/>
    <w:tmpl w:val="161CB378"/>
    <w:lvl w:ilvl="0" w:tplc="A342B356">
      <w:start w:val="1"/>
      <w:numFmt w:val="bullet"/>
      <w:lvlText w:val="-"/>
      <w:lvlJc w:val="left"/>
    </w:lvl>
    <w:lvl w:ilvl="1" w:tplc="99446916">
      <w:numFmt w:val="decimal"/>
      <w:lvlText w:val=""/>
      <w:lvlJc w:val="left"/>
    </w:lvl>
    <w:lvl w:ilvl="2" w:tplc="DCB6CCA6">
      <w:numFmt w:val="decimal"/>
      <w:lvlText w:val=""/>
      <w:lvlJc w:val="left"/>
    </w:lvl>
    <w:lvl w:ilvl="3" w:tplc="869ED85A">
      <w:numFmt w:val="decimal"/>
      <w:lvlText w:val=""/>
      <w:lvlJc w:val="left"/>
    </w:lvl>
    <w:lvl w:ilvl="4" w:tplc="9F0C3DFE">
      <w:numFmt w:val="decimal"/>
      <w:lvlText w:val=""/>
      <w:lvlJc w:val="left"/>
    </w:lvl>
    <w:lvl w:ilvl="5" w:tplc="AFEC60C2">
      <w:numFmt w:val="decimal"/>
      <w:lvlText w:val=""/>
      <w:lvlJc w:val="left"/>
    </w:lvl>
    <w:lvl w:ilvl="6" w:tplc="762C12BC">
      <w:numFmt w:val="decimal"/>
      <w:lvlText w:val=""/>
      <w:lvlJc w:val="left"/>
    </w:lvl>
    <w:lvl w:ilvl="7" w:tplc="06BA8A1A">
      <w:numFmt w:val="decimal"/>
      <w:lvlText w:val=""/>
      <w:lvlJc w:val="left"/>
    </w:lvl>
    <w:lvl w:ilvl="8" w:tplc="7ADCC3F8">
      <w:numFmt w:val="decimal"/>
      <w:lvlText w:val=""/>
      <w:lvlJc w:val="left"/>
    </w:lvl>
  </w:abstractNum>
  <w:abstractNum w:abstractNumId="394" w15:restartNumberingAfterBreak="0">
    <w:nsid w:val="46E70111"/>
    <w:multiLevelType w:val="hybridMultilevel"/>
    <w:tmpl w:val="D84EDCAA"/>
    <w:lvl w:ilvl="0" w:tplc="0AA81F30">
      <w:start w:val="1"/>
      <w:numFmt w:val="bullet"/>
      <w:lvlText w:val="•"/>
      <w:lvlJc w:val="left"/>
    </w:lvl>
    <w:lvl w:ilvl="1" w:tplc="F44A5198">
      <w:numFmt w:val="decimal"/>
      <w:lvlText w:val=""/>
      <w:lvlJc w:val="left"/>
    </w:lvl>
    <w:lvl w:ilvl="2" w:tplc="C3FADF10">
      <w:numFmt w:val="decimal"/>
      <w:lvlText w:val=""/>
      <w:lvlJc w:val="left"/>
    </w:lvl>
    <w:lvl w:ilvl="3" w:tplc="2842C396">
      <w:numFmt w:val="decimal"/>
      <w:lvlText w:val=""/>
      <w:lvlJc w:val="left"/>
    </w:lvl>
    <w:lvl w:ilvl="4" w:tplc="F00CA32A">
      <w:numFmt w:val="decimal"/>
      <w:lvlText w:val=""/>
      <w:lvlJc w:val="left"/>
    </w:lvl>
    <w:lvl w:ilvl="5" w:tplc="10362B68">
      <w:numFmt w:val="decimal"/>
      <w:lvlText w:val=""/>
      <w:lvlJc w:val="left"/>
    </w:lvl>
    <w:lvl w:ilvl="6" w:tplc="A3767D7E">
      <w:numFmt w:val="decimal"/>
      <w:lvlText w:val=""/>
      <w:lvlJc w:val="left"/>
    </w:lvl>
    <w:lvl w:ilvl="7" w:tplc="BB3ED54A">
      <w:numFmt w:val="decimal"/>
      <w:lvlText w:val=""/>
      <w:lvlJc w:val="left"/>
    </w:lvl>
    <w:lvl w:ilvl="8" w:tplc="07581F26">
      <w:numFmt w:val="decimal"/>
      <w:lvlText w:val=""/>
      <w:lvlJc w:val="left"/>
    </w:lvl>
  </w:abstractNum>
  <w:abstractNum w:abstractNumId="395" w15:restartNumberingAfterBreak="0">
    <w:nsid w:val="46ECA72A"/>
    <w:multiLevelType w:val="hybridMultilevel"/>
    <w:tmpl w:val="B0508CF4"/>
    <w:lvl w:ilvl="0" w:tplc="53CABD30">
      <w:start w:val="1"/>
      <w:numFmt w:val="bullet"/>
      <w:lvlText w:val="-"/>
      <w:lvlJc w:val="left"/>
    </w:lvl>
    <w:lvl w:ilvl="1" w:tplc="10642BE6">
      <w:start w:val="1"/>
      <w:numFmt w:val="bullet"/>
      <w:lvlText w:val="§"/>
      <w:lvlJc w:val="left"/>
    </w:lvl>
    <w:lvl w:ilvl="2" w:tplc="63949F10">
      <w:numFmt w:val="decimal"/>
      <w:lvlText w:val=""/>
      <w:lvlJc w:val="left"/>
    </w:lvl>
    <w:lvl w:ilvl="3" w:tplc="D2A20DA6">
      <w:numFmt w:val="decimal"/>
      <w:lvlText w:val=""/>
      <w:lvlJc w:val="left"/>
    </w:lvl>
    <w:lvl w:ilvl="4" w:tplc="0F1283D8">
      <w:numFmt w:val="decimal"/>
      <w:lvlText w:val=""/>
      <w:lvlJc w:val="left"/>
    </w:lvl>
    <w:lvl w:ilvl="5" w:tplc="577E14E8">
      <w:numFmt w:val="decimal"/>
      <w:lvlText w:val=""/>
      <w:lvlJc w:val="left"/>
    </w:lvl>
    <w:lvl w:ilvl="6" w:tplc="6D52708C">
      <w:numFmt w:val="decimal"/>
      <w:lvlText w:val=""/>
      <w:lvlJc w:val="left"/>
    </w:lvl>
    <w:lvl w:ilvl="7" w:tplc="49605554">
      <w:numFmt w:val="decimal"/>
      <w:lvlText w:val=""/>
      <w:lvlJc w:val="left"/>
    </w:lvl>
    <w:lvl w:ilvl="8" w:tplc="E29060B0">
      <w:numFmt w:val="decimal"/>
      <w:lvlText w:val=""/>
      <w:lvlJc w:val="left"/>
    </w:lvl>
  </w:abstractNum>
  <w:abstractNum w:abstractNumId="396" w15:restartNumberingAfterBreak="0">
    <w:nsid w:val="470699E2"/>
    <w:multiLevelType w:val="hybridMultilevel"/>
    <w:tmpl w:val="4554F7CC"/>
    <w:lvl w:ilvl="0" w:tplc="05863840">
      <w:start w:val="1"/>
      <w:numFmt w:val="lowerLetter"/>
      <w:lvlText w:val="%1)"/>
      <w:lvlJc w:val="left"/>
    </w:lvl>
    <w:lvl w:ilvl="1" w:tplc="4B68693A">
      <w:numFmt w:val="decimal"/>
      <w:lvlText w:val=""/>
      <w:lvlJc w:val="left"/>
    </w:lvl>
    <w:lvl w:ilvl="2" w:tplc="4FDAAED4">
      <w:numFmt w:val="decimal"/>
      <w:lvlText w:val=""/>
      <w:lvlJc w:val="left"/>
    </w:lvl>
    <w:lvl w:ilvl="3" w:tplc="8E98EBEA">
      <w:numFmt w:val="decimal"/>
      <w:lvlText w:val=""/>
      <w:lvlJc w:val="left"/>
    </w:lvl>
    <w:lvl w:ilvl="4" w:tplc="0C9877A8">
      <w:numFmt w:val="decimal"/>
      <w:lvlText w:val=""/>
      <w:lvlJc w:val="left"/>
    </w:lvl>
    <w:lvl w:ilvl="5" w:tplc="03B6CFAA">
      <w:numFmt w:val="decimal"/>
      <w:lvlText w:val=""/>
      <w:lvlJc w:val="left"/>
    </w:lvl>
    <w:lvl w:ilvl="6" w:tplc="2E922420">
      <w:numFmt w:val="decimal"/>
      <w:lvlText w:val=""/>
      <w:lvlJc w:val="left"/>
    </w:lvl>
    <w:lvl w:ilvl="7" w:tplc="6276E124">
      <w:numFmt w:val="decimal"/>
      <w:lvlText w:val=""/>
      <w:lvlJc w:val="left"/>
    </w:lvl>
    <w:lvl w:ilvl="8" w:tplc="C5C00CA6">
      <w:numFmt w:val="decimal"/>
      <w:lvlText w:val=""/>
      <w:lvlJc w:val="left"/>
    </w:lvl>
  </w:abstractNum>
  <w:abstractNum w:abstractNumId="397" w15:restartNumberingAfterBreak="0">
    <w:nsid w:val="4748C06A"/>
    <w:multiLevelType w:val="hybridMultilevel"/>
    <w:tmpl w:val="7444EFA8"/>
    <w:lvl w:ilvl="0" w:tplc="B802C980">
      <w:start w:val="1"/>
      <w:numFmt w:val="lowerLetter"/>
      <w:lvlText w:val="%1)"/>
      <w:lvlJc w:val="left"/>
    </w:lvl>
    <w:lvl w:ilvl="1" w:tplc="B0BEDD7A">
      <w:numFmt w:val="decimal"/>
      <w:lvlText w:val=""/>
      <w:lvlJc w:val="left"/>
    </w:lvl>
    <w:lvl w:ilvl="2" w:tplc="21529D40">
      <w:numFmt w:val="decimal"/>
      <w:lvlText w:val=""/>
      <w:lvlJc w:val="left"/>
    </w:lvl>
    <w:lvl w:ilvl="3" w:tplc="481235A0">
      <w:numFmt w:val="decimal"/>
      <w:lvlText w:val=""/>
      <w:lvlJc w:val="left"/>
    </w:lvl>
    <w:lvl w:ilvl="4" w:tplc="899E17EA">
      <w:numFmt w:val="decimal"/>
      <w:lvlText w:val=""/>
      <w:lvlJc w:val="left"/>
    </w:lvl>
    <w:lvl w:ilvl="5" w:tplc="C2A4B3D0">
      <w:numFmt w:val="decimal"/>
      <w:lvlText w:val=""/>
      <w:lvlJc w:val="left"/>
    </w:lvl>
    <w:lvl w:ilvl="6" w:tplc="E8D6F12C">
      <w:numFmt w:val="decimal"/>
      <w:lvlText w:val=""/>
      <w:lvlJc w:val="left"/>
    </w:lvl>
    <w:lvl w:ilvl="7" w:tplc="B0F2A22C">
      <w:numFmt w:val="decimal"/>
      <w:lvlText w:val=""/>
      <w:lvlJc w:val="left"/>
    </w:lvl>
    <w:lvl w:ilvl="8" w:tplc="DAD00812">
      <w:numFmt w:val="decimal"/>
      <w:lvlText w:val=""/>
      <w:lvlJc w:val="left"/>
    </w:lvl>
  </w:abstractNum>
  <w:abstractNum w:abstractNumId="398" w15:restartNumberingAfterBreak="0">
    <w:nsid w:val="474BDAEB"/>
    <w:multiLevelType w:val="hybridMultilevel"/>
    <w:tmpl w:val="7340ED98"/>
    <w:lvl w:ilvl="0" w:tplc="9E22E568">
      <w:start w:val="1"/>
      <w:numFmt w:val="lowerLetter"/>
      <w:lvlText w:val="%1)"/>
      <w:lvlJc w:val="left"/>
    </w:lvl>
    <w:lvl w:ilvl="1" w:tplc="4E266048">
      <w:start w:val="1"/>
      <w:numFmt w:val="bullet"/>
      <w:lvlText w:val="-"/>
      <w:lvlJc w:val="left"/>
    </w:lvl>
    <w:lvl w:ilvl="2" w:tplc="FFCE067A">
      <w:numFmt w:val="decimal"/>
      <w:lvlText w:val=""/>
      <w:lvlJc w:val="left"/>
    </w:lvl>
    <w:lvl w:ilvl="3" w:tplc="CB4011BC">
      <w:numFmt w:val="decimal"/>
      <w:lvlText w:val=""/>
      <w:lvlJc w:val="left"/>
    </w:lvl>
    <w:lvl w:ilvl="4" w:tplc="BC42BE56">
      <w:numFmt w:val="decimal"/>
      <w:lvlText w:val=""/>
      <w:lvlJc w:val="left"/>
    </w:lvl>
    <w:lvl w:ilvl="5" w:tplc="72C0D296">
      <w:numFmt w:val="decimal"/>
      <w:lvlText w:val=""/>
      <w:lvlJc w:val="left"/>
    </w:lvl>
    <w:lvl w:ilvl="6" w:tplc="5F886292">
      <w:numFmt w:val="decimal"/>
      <w:lvlText w:val=""/>
      <w:lvlJc w:val="left"/>
    </w:lvl>
    <w:lvl w:ilvl="7" w:tplc="EB3AB758">
      <w:numFmt w:val="decimal"/>
      <w:lvlText w:val=""/>
      <w:lvlJc w:val="left"/>
    </w:lvl>
    <w:lvl w:ilvl="8" w:tplc="60F0313C">
      <w:numFmt w:val="decimal"/>
      <w:lvlText w:val=""/>
      <w:lvlJc w:val="left"/>
    </w:lvl>
  </w:abstractNum>
  <w:abstractNum w:abstractNumId="399" w15:restartNumberingAfterBreak="0">
    <w:nsid w:val="475553AB"/>
    <w:multiLevelType w:val="hybridMultilevel"/>
    <w:tmpl w:val="B0A08178"/>
    <w:lvl w:ilvl="0" w:tplc="6E9AA8E2">
      <w:start w:val="1"/>
      <w:numFmt w:val="bullet"/>
      <w:lvlText w:val="•"/>
      <w:lvlJc w:val="left"/>
    </w:lvl>
    <w:lvl w:ilvl="1" w:tplc="8A5C781A">
      <w:numFmt w:val="decimal"/>
      <w:lvlText w:val=""/>
      <w:lvlJc w:val="left"/>
    </w:lvl>
    <w:lvl w:ilvl="2" w:tplc="1D826A34">
      <w:numFmt w:val="decimal"/>
      <w:lvlText w:val=""/>
      <w:lvlJc w:val="left"/>
    </w:lvl>
    <w:lvl w:ilvl="3" w:tplc="C512BB00">
      <w:numFmt w:val="decimal"/>
      <w:lvlText w:val=""/>
      <w:lvlJc w:val="left"/>
    </w:lvl>
    <w:lvl w:ilvl="4" w:tplc="925AFE42">
      <w:numFmt w:val="decimal"/>
      <w:lvlText w:val=""/>
      <w:lvlJc w:val="left"/>
    </w:lvl>
    <w:lvl w:ilvl="5" w:tplc="C57829AA">
      <w:numFmt w:val="decimal"/>
      <w:lvlText w:val=""/>
      <w:lvlJc w:val="left"/>
    </w:lvl>
    <w:lvl w:ilvl="6" w:tplc="C150D5FE">
      <w:numFmt w:val="decimal"/>
      <w:lvlText w:val=""/>
      <w:lvlJc w:val="left"/>
    </w:lvl>
    <w:lvl w:ilvl="7" w:tplc="F8FEA952">
      <w:numFmt w:val="decimal"/>
      <w:lvlText w:val=""/>
      <w:lvlJc w:val="left"/>
    </w:lvl>
    <w:lvl w:ilvl="8" w:tplc="5E0E94FA">
      <w:numFmt w:val="decimal"/>
      <w:lvlText w:val=""/>
      <w:lvlJc w:val="left"/>
    </w:lvl>
  </w:abstractNum>
  <w:abstractNum w:abstractNumId="400" w15:restartNumberingAfterBreak="0">
    <w:nsid w:val="477304AC"/>
    <w:multiLevelType w:val="hybridMultilevel"/>
    <w:tmpl w:val="F300E64A"/>
    <w:lvl w:ilvl="0" w:tplc="2326C090">
      <w:start w:val="2"/>
      <w:numFmt w:val="decimal"/>
      <w:lvlText w:val="%1."/>
      <w:lvlJc w:val="left"/>
    </w:lvl>
    <w:lvl w:ilvl="1" w:tplc="042EB7EA">
      <w:start w:val="15"/>
      <w:numFmt w:val="lowerLetter"/>
      <w:lvlText w:val="%2"/>
      <w:lvlJc w:val="left"/>
    </w:lvl>
    <w:lvl w:ilvl="2" w:tplc="1E2E53B0">
      <w:numFmt w:val="decimal"/>
      <w:lvlText w:val=""/>
      <w:lvlJc w:val="left"/>
    </w:lvl>
    <w:lvl w:ilvl="3" w:tplc="EBB8A11A">
      <w:numFmt w:val="decimal"/>
      <w:lvlText w:val=""/>
      <w:lvlJc w:val="left"/>
    </w:lvl>
    <w:lvl w:ilvl="4" w:tplc="10A26418">
      <w:numFmt w:val="decimal"/>
      <w:lvlText w:val=""/>
      <w:lvlJc w:val="left"/>
    </w:lvl>
    <w:lvl w:ilvl="5" w:tplc="61985B1E">
      <w:numFmt w:val="decimal"/>
      <w:lvlText w:val=""/>
      <w:lvlJc w:val="left"/>
    </w:lvl>
    <w:lvl w:ilvl="6" w:tplc="2418370A">
      <w:numFmt w:val="decimal"/>
      <w:lvlText w:val=""/>
      <w:lvlJc w:val="left"/>
    </w:lvl>
    <w:lvl w:ilvl="7" w:tplc="D53C1656">
      <w:numFmt w:val="decimal"/>
      <w:lvlText w:val=""/>
      <w:lvlJc w:val="left"/>
    </w:lvl>
    <w:lvl w:ilvl="8" w:tplc="1F161398">
      <w:numFmt w:val="decimal"/>
      <w:lvlText w:val=""/>
      <w:lvlJc w:val="left"/>
    </w:lvl>
  </w:abstractNum>
  <w:abstractNum w:abstractNumId="401" w15:restartNumberingAfterBreak="0">
    <w:nsid w:val="477C0BB4"/>
    <w:multiLevelType w:val="hybridMultilevel"/>
    <w:tmpl w:val="CA78E238"/>
    <w:lvl w:ilvl="0" w:tplc="029A473A">
      <w:start w:val="1"/>
      <w:numFmt w:val="bullet"/>
      <w:lvlText w:val="-"/>
      <w:lvlJc w:val="left"/>
    </w:lvl>
    <w:lvl w:ilvl="1" w:tplc="F4E826C6">
      <w:numFmt w:val="decimal"/>
      <w:lvlText w:val=""/>
      <w:lvlJc w:val="left"/>
    </w:lvl>
    <w:lvl w:ilvl="2" w:tplc="C42C658A">
      <w:numFmt w:val="decimal"/>
      <w:lvlText w:val=""/>
      <w:lvlJc w:val="left"/>
    </w:lvl>
    <w:lvl w:ilvl="3" w:tplc="E2AEEF54">
      <w:numFmt w:val="decimal"/>
      <w:lvlText w:val=""/>
      <w:lvlJc w:val="left"/>
    </w:lvl>
    <w:lvl w:ilvl="4" w:tplc="1FD82956">
      <w:numFmt w:val="decimal"/>
      <w:lvlText w:val=""/>
      <w:lvlJc w:val="left"/>
    </w:lvl>
    <w:lvl w:ilvl="5" w:tplc="25AC90F6">
      <w:numFmt w:val="decimal"/>
      <w:lvlText w:val=""/>
      <w:lvlJc w:val="left"/>
    </w:lvl>
    <w:lvl w:ilvl="6" w:tplc="9F6EAB50">
      <w:numFmt w:val="decimal"/>
      <w:lvlText w:val=""/>
      <w:lvlJc w:val="left"/>
    </w:lvl>
    <w:lvl w:ilvl="7" w:tplc="8BF4B8EA">
      <w:numFmt w:val="decimal"/>
      <w:lvlText w:val=""/>
      <w:lvlJc w:val="left"/>
    </w:lvl>
    <w:lvl w:ilvl="8" w:tplc="68BA0A76">
      <w:numFmt w:val="decimal"/>
      <w:lvlText w:val=""/>
      <w:lvlJc w:val="left"/>
    </w:lvl>
  </w:abstractNum>
  <w:abstractNum w:abstractNumId="402" w15:restartNumberingAfterBreak="0">
    <w:nsid w:val="4781AC2F"/>
    <w:multiLevelType w:val="hybridMultilevel"/>
    <w:tmpl w:val="62609B42"/>
    <w:lvl w:ilvl="0" w:tplc="9F6C6FAA">
      <w:start w:val="22"/>
      <w:numFmt w:val="upperLetter"/>
      <w:lvlText w:val="%1"/>
      <w:lvlJc w:val="left"/>
    </w:lvl>
    <w:lvl w:ilvl="1" w:tplc="61963BD0">
      <w:numFmt w:val="decimal"/>
      <w:lvlText w:val=""/>
      <w:lvlJc w:val="left"/>
    </w:lvl>
    <w:lvl w:ilvl="2" w:tplc="29A873EC">
      <w:numFmt w:val="decimal"/>
      <w:lvlText w:val=""/>
      <w:lvlJc w:val="left"/>
    </w:lvl>
    <w:lvl w:ilvl="3" w:tplc="86305396">
      <w:numFmt w:val="decimal"/>
      <w:lvlText w:val=""/>
      <w:lvlJc w:val="left"/>
    </w:lvl>
    <w:lvl w:ilvl="4" w:tplc="3146C2EE">
      <w:numFmt w:val="decimal"/>
      <w:lvlText w:val=""/>
      <w:lvlJc w:val="left"/>
    </w:lvl>
    <w:lvl w:ilvl="5" w:tplc="DA964BFA">
      <w:numFmt w:val="decimal"/>
      <w:lvlText w:val=""/>
      <w:lvlJc w:val="left"/>
    </w:lvl>
    <w:lvl w:ilvl="6" w:tplc="074EA4F4">
      <w:numFmt w:val="decimal"/>
      <w:lvlText w:val=""/>
      <w:lvlJc w:val="left"/>
    </w:lvl>
    <w:lvl w:ilvl="7" w:tplc="C190445E">
      <w:numFmt w:val="decimal"/>
      <w:lvlText w:val=""/>
      <w:lvlJc w:val="left"/>
    </w:lvl>
    <w:lvl w:ilvl="8" w:tplc="48EE5240">
      <w:numFmt w:val="decimal"/>
      <w:lvlText w:val=""/>
      <w:lvlJc w:val="left"/>
    </w:lvl>
  </w:abstractNum>
  <w:abstractNum w:abstractNumId="403" w15:restartNumberingAfterBreak="0">
    <w:nsid w:val="47B94361"/>
    <w:multiLevelType w:val="hybridMultilevel"/>
    <w:tmpl w:val="55DC6A5E"/>
    <w:lvl w:ilvl="0" w:tplc="420E85AC">
      <w:start w:val="1"/>
      <w:numFmt w:val="bullet"/>
      <w:lvlText w:val=""/>
      <w:lvlJc w:val="righ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04" w15:restartNumberingAfterBreak="0">
    <w:nsid w:val="47D0D402"/>
    <w:multiLevelType w:val="hybridMultilevel"/>
    <w:tmpl w:val="66543A54"/>
    <w:lvl w:ilvl="0" w:tplc="3794BA62">
      <w:start w:val="1"/>
      <w:numFmt w:val="bullet"/>
      <w:lvlText w:val="·"/>
      <w:lvlJc w:val="left"/>
    </w:lvl>
    <w:lvl w:ilvl="1" w:tplc="C5FCDAA2">
      <w:start w:val="8"/>
      <w:numFmt w:val="lowerLetter"/>
      <w:lvlText w:val="%2)"/>
      <w:lvlJc w:val="left"/>
    </w:lvl>
    <w:lvl w:ilvl="2" w:tplc="1F600988">
      <w:numFmt w:val="decimal"/>
      <w:lvlText w:val=""/>
      <w:lvlJc w:val="left"/>
    </w:lvl>
    <w:lvl w:ilvl="3" w:tplc="FA74E99E">
      <w:numFmt w:val="decimal"/>
      <w:lvlText w:val=""/>
      <w:lvlJc w:val="left"/>
    </w:lvl>
    <w:lvl w:ilvl="4" w:tplc="05BA2D22">
      <w:numFmt w:val="decimal"/>
      <w:lvlText w:val=""/>
      <w:lvlJc w:val="left"/>
    </w:lvl>
    <w:lvl w:ilvl="5" w:tplc="BE66D926">
      <w:numFmt w:val="decimal"/>
      <w:lvlText w:val=""/>
      <w:lvlJc w:val="left"/>
    </w:lvl>
    <w:lvl w:ilvl="6" w:tplc="0504E8AA">
      <w:numFmt w:val="decimal"/>
      <w:lvlText w:val=""/>
      <w:lvlJc w:val="left"/>
    </w:lvl>
    <w:lvl w:ilvl="7" w:tplc="5BE8638E">
      <w:numFmt w:val="decimal"/>
      <w:lvlText w:val=""/>
      <w:lvlJc w:val="left"/>
    </w:lvl>
    <w:lvl w:ilvl="8" w:tplc="BDD41974">
      <w:numFmt w:val="decimal"/>
      <w:lvlText w:val=""/>
      <w:lvlJc w:val="left"/>
    </w:lvl>
  </w:abstractNum>
  <w:abstractNum w:abstractNumId="405" w15:restartNumberingAfterBreak="0">
    <w:nsid w:val="4815A966"/>
    <w:multiLevelType w:val="hybridMultilevel"/>
    <w:tmpl w:val="569C0872"/>
    <w:lvl w:ilvl="0" w:tplc="64046010">
      <w:start w:val="1"/>
      <w:numFmt w:val="lowerLetter"/>
      <w:lvlText w:val="%1)"/>
      <w:lvlJc w:val="left"/>
    </w:lvl>
    <w:lvl w:ilvl="1" w:tplc="C0C839EE">
      <w:numFmt w:val="decimal"/>
      <w:lvlText w:val=""/>
      <w:lvlJc w:val="left"/>
    </w:lvl>
    <w:lvl w:ilvl="2" w:tplc="C7466F1E">
      <w:numFmt w:val="decimal"/>
      <w:lvlText w:val=""/>
      <w:lvlJc w:val="left"/>
    </w:lvl>
    <w:lvl w:ilvl="3" w:tplc="3D7874E4">
      <w:numFmt w:val="decimal"/>
      <w:lvlText w:val=""/>
      <w:lvlJc w:val="left"/>
    </w:lvl>
    <w:lvl w:ilvl="4" w:tplc="DFF42DB2">
      <w:numFmt w:val="decimal"/>
      <w:lvlText w:val=""/>
      <w:lvlJc w:val="left"/>
    </w:lvl>
    <w:lvl w:ilvl="5" w:tplc="5BD21DE4">
      <w:numFmt w:val="decimal"/>
      <w:lvlText w:val=""/>
      <w:lvlJc w:val="left"/>
    </w:lvl>
    <w:lvl w:ilvl="6" w:tplc="3186352C">
      <w:numFmt w:val="decimal"/>
      <w:lvlText w:val=""/>
      <w:lvlJc w:val="left"/>
    </w:lvl>
    <w:lvl w:ilvl="7" w:tplc="567ADDFA">
      <w:numFmt w:val="decimal"/>
      <w:lvlText w:val=""/>
      <w:lvlJc w:val="left"/>
    </w:lvl>
    <w:lvl w:ilvl="8" w:tplc="6622C13A">
      <w:numFmt w:val="decimal"/>
      <w:lvlText w:val=""/>
      <w:lvlJc w:val="left"/>
    </w:lvl>
  </w:abstractNum>
  <w:abstractNum w:abstractNumId="406" w15:restartNumberingAfterBreak="0">
    <w:nsid w:val="48410413"/>
    <w:multiLevelType w:val="hybridMultilevel"/>
    <w:tmpl w:val="2460D5F6"/>
    <w:lvl w:ilvl="0" w:tplc="E522CCB2">
      <w:start w:val="15"/>
      <w:numFmt w:val="lowerLetter"/>
      <w:lvlText w:val="%1"/>
      <w:lvlJc w:val="left"/>
    </w:lvl>
    <w:lvl w:ilvl="1" w:tplc="6BE005D4">
      <w:numFmt w:val="decimal"/>
      <w:lvlText w:val=""/>
      <w:lvlJc w:val="left"/>
    </w:lvl>
    <w:lvl w:ilvl="2" w:tplc="0324E9F6">
      <w:numFmt w:val="decimal"/>
      <w:lvlText w:val=""/>
      <w:lvlJc w:val="left"/>
    </w:lvl>
    <w:lvl w:ilvl="3" w:tplc="25A2157E">
      <w:numFmt w:val="decimal"/>
      <w:lvlText w:val=""/>
      <w:lvlJc w:val="left"/>
    </w:lvl>
    <w:lvl w:ilvl="4" w:tplc="F5987036">
      <w:numFmt w:val="decimal"/>
      <w:lvlText w:val=""/>
      <w:lvlJc w:val="left"/>
    </w:lvl>
    <w:lvl w:ilvl="5" w:tplc="36805150">
      <w:numFmt w:val="decimal"/>
      <w:lvlText w:val=""/>
      <w:lvlJc w:val="left"/>
    </w:lvl>
    <w:lvl w:ilvl="6" w:tplc="F1562D48">
      <w:numFmt w:val="decimal"/>
      <w:lvlText w:val=""/>
      <w:lvlJc w:val="left"/>
    </w:lvl>
    <w:lvl w:ilvl="7" w:tplc="A4E67330">
      <w:numFmt w:val="decimal"/>
      <w:lvlText w:val=""/>
      <w:lvlJc w:val="left"/>
    </w:lvl>
    <w:lvl w:ilvl="8" w:tplc="9ADA1F52">
      <w:numFmt w:val="decimal"/>
      <w:lvlText w:val=""/>
      <w:lvlJc w:val="left"/>
    </w:lvl>
  </w:abstractNum>
  <w:abstractNum w:abstractNumId="407" w15:restartNumberingAfterBreak="0">
    <w:nsid w:val="48683BA3"/>
    <w:multiLevelType w:val="hybridMultilevel"/>
    <w:tmpl w:val="2A54422E"/>
    <w:lvl w:ilvl="0" w:tplc="33A0F878">
      <w:start w:val="1"/>
      <w:numFmt w:val="bullet"/>
      <w:lvlText w:val="•"/>
      <w:lvlJc w:val="left"/>
    </w:lvl>
    <w:lvl w:ilvl="1" w:tplc="DEDEA4B6">
      <w:numFmt w:val="decimal"/>
      <w:lvlText w:val=""/>
      <w:lvlJc w:val="left"/>
    </w:lvl>
    <w:lvl w:ilvl="2" w:tplc="78E80340">
      <w:numFmt w:val="decimal"/>
      <w:lvlText w:val=""/>
      <w:lvlJc w:val="left"/>
    </w:lvl>
    <w:lvl w:ilvl="3" w:tplc="F67E05BE">
      <w:numFmt w:val="decimal"/>
      <w:lvlText w:val=""/>
      <w:lvlJc w:val="left"/>
    </w:lvl>
    <w:lvl w:ilvl="4" w:tplc="C2826B72">
      <w:numFmt w:val="decimal"/>
      <w:lvlText w:val=""/>
      <w:lvlJc w:val="left"/>
    </w:lvl>
    <w:lvl w:ilvl="5" w:tplc="81D66792">
      <w:numFmt w:val="decimal"/>
      <w:lvlText w:val=""/>
      <w:lvlJc w:val="left"/>
    </w:lvl>
    <w:lvl w:ilvl="6" w:tplc="BE868C80">
      <w:numFmt w:val="decimal"/>
      <w:lvlText w:val=""/>
      <w:lvlJc w:val="left"/>
    </w:lvl>
    <w:lvl w:ilvl="7" w:tplc="87AEC7D0">
      <w:numFmt w:val="decimal"/>
      <w:lvlText w:val=""/>
      <w:lvlJc w:val="left"/>
    </w:lvl>
    <w:lvl w:ilvl="8" w:tplc="225C8796">
      <w:numFmt w:val="decimal"/>
      <w:lvlText w:val=""/>
      <w:lvlJc w:val="left"/>
    </w:lvl>
  </w:abstractNum>
  <w:abstractNum w:abstractNumId="408" w15:restartNumberingAfterBreak="0">
    <w:nsid w:val="48715606"/>
    <w:multiLevelType w:val="hybridMultilevel"/>
    <w:tmpl w:val="50727D86"/>
    <w:lvl w:ilvl="0" w:tplc="DF6A71CE">
      <w:start w:val="1"/>
      <w:numFmt w:val="upperLetter"/>
      <w:lvlText w:val="%1"/>
      <w:lvlJc w:val="left"/>
    </w:lvl>
    <w:lvl w:ilvl="1" w:tplc="8AA679B6">
      <w:start w:val="1"/>
      <w:numFmt w:val="bullet"/>
      <w:lvlText w:val="-"/>
      <w:lvlJc w:val="left"/>
    </w:lvl>
    <w:lvl w:ilvl="2" w:tplc="A16EA69C">
      <w:start w:val="1"/>
      <w:numFmt w:val="bullet"/>
      <w:lvlText w:val="§"/>
      <w:lvlJc w:val="left"/>
    </w:lvl>
    <w:lvl w:ilvl="3" w:tplc="5C2C9020">
      <w:start w:val="1"/>
      <w:numFmt w:val="bullet"/>
      <w:lvlText w:val="§"/>
      <w:lvlJc w:val="left"/>
    </w:lvl>
    <w:lvl w:ilvl="4" w:tplc="8E6660D6">
      <w:numFmt w:val="decimal"/>
      <w:lvlText w:val=""/>
      <w:lvlJc w:val="left"/>
    </w:lvl>
    <w:lvl w:ilvl="5" w:tplc="7AC0935E">
      <w:numFmt w:val="decimal"/>
      <w:lvlText w:val=""/>
      <w:lvlJc w:val="left"/>
    </w:lvl>
    <w:lvl w:ilvl="6" w:tplc="EF9A67C0">
      <w:numFmt w:val="decimal"/>
      <w:lvlText w:val=""/>
      <w:lvlJc w:val="left"/>
    </w:lvl>
    <w:lvl w:ilvl="7" w:tplc="CFD4AD64">
      <w:numFmt w:val="decimal"/>
      <w:lvlText w:val=""/>
      <w:lvlJc w:val="left"/>
    </w:lvl>
    <w:lvl w:ilvl="8" w:tplc="5C080D64">
      <w:numFmt w:val="decimal"/>
      <w:lvlText w:val=""/>
      <w:lvlJc w:val="left"/>
    </w:lvl>
  </w:abstractNum>
  <w:abstractNum w:abstractNumId="409" w15:restartNumberingAfterBreak="0">
    <w:nsid w:val="488A890A"/>
    <w:multiLevelType w:val="hybridMultilevel"/>
    <w:tmpl w:val="541E8514"/>
    <w:lvl w:ilvl="0" w:tplc="BB983322">
      <w:start w:val="22"/>
      <w:numFmt w:val="upperLetter"/>
      <w:lvlText w:val="%1"/>
      <w:lvlJc w:val="left"/>
    </w:lvl>
    <w:lvl w:ilvl="1" w:tplc="0A4A3BE8">
      <w:start w:val="1"/>
      <w:numFmt w:val="bullet"/>
      <w:lvlText w:val="•"/>
      <w:lvlJc w:val="left"/>
    </w:lvl>
    <w:lvl w:ilvl="2" w:tplc="977E4D10">
      <w:numFmt w:val="decimal"/>
      <w:lvlText w:val=""/>
      <w:lvlJc w:val="left"/>
    </w:lvl>
    <w:lvl w:ilvl="3" w:tplc="EBF486C6">
      <w:numFmt w:val="decimal"/>
      <w:lvlText w:val=""/>
      <w:lvlJc w:val="left"/>
    </w:lvl>
    <w:lvl w:ilvl="4" w:tplc="EF3EE244">
      <w:numFmt w:val="decimal"/>
      <w:lvlText w:val=""/>
      <w:lvlJc w:val="left"/>
    </w:lvl>
    <w:lvl w:ilvl="5" w:tplc="EFF89436">
      <w:numFmt w:val="decimal"/>
      <w:lvlText w:val=""/>
      <w:lvlJc w:val="left"/>
    </w:lvl>
    <w:lvl w:ilvl="6" w:tplc="4ABED7BC">
      <w:numFmt w:val="decimal"/>
      <w:lvlText w:val=""/>
      <w:lvlJc w:val="left"/>
    </w:lvl>
    <w:lvl w:ilvl="7" w:tplc="EF485052">
      <w:numFmt w:val="decimal"/>
      <w:lvlText w:val=""/>
      <w:lvlJc w:val="left"/>
    </w:lvl>
    <w:lvl w:ilvl="8" w:tplc="ED2C5C96">
      <w:numFmt w:val="decimal"/>
      <w:lvlText w:val=""/>
      <w:lvlJc w:val="left"/>
    </w:lvl>
  </w:abstractNum>
  <w:abstractNum w:abstractNumId="410" w15:restartNumberingAfterBreak="0">
    <w:nsid w:val="48AE393E"/>
    <w:multiLevelType w:val="hybridMultilevel"/>
    <w:tmpl w:val="DAB6FCB4"/>
    <w:lvl w:ilvl="0" w:tplc="2D624E36">
      <w:start w:val="1"/>
      <w:numFmt w:val="bullet"/>
      <w:lvlText w:val="-"/>
      <w:lvlJc w:val="left"/>
    </w:lvl>
    <w:lvl w:ilvl="1" w:tplc="D9C2A764">
      <w:start w:val="2"/>
      <w:numFmt w:val="decimal"/>
      <w:lvlText w:val="%2)"/>
      <w:lvlJc w:val="left"/>
    </w:lvl>
    <w:lvl w:ilvl="2" w:tplc="24A07A3E">
      <w:numFmt w:val="decimal"/>
      <w:lvlText w:val=""/>
      <w:lvlJc w:val="left"/>
    </w:lvl>
    <w:lvl w:ilvl="3" w:tplc="2B082BDE">
      <w:numFmt w:val="decimal"/>
      <w:lvlText w:val=""/>
      <w:lvlJc w:val="left"/>
    </w:lvl>
    <w:lvl w:ilvl="4" w:tplc="621AF248">
      <w:numFmt w:val="decimal"/>
      <w:lvlText w:val=""/>
      <w:lvlJc w:val="left"/>
    </w:lvl>
    <w:lvl w:ilvl="5" w:tplc="3B1C1338">
      <w:numFmt w:val="decimal"/>
      <w:lvlText w:val=""/>
      <w:lvlJc w:val="left"/>
    </w:lvl>
    <w:lvl w:ilvl="6" w:tplc="C97C1782">
      <w:numFmt w:val="decimal"/>
      <w:lvlText w:val=""/>
      <w:lvlJc w:val="left"/>
    </w:lvl>
    <w:lvl w:ilvl="7" w:tplc="445002F4">
      <w:numFmt w:val="decimal"/>
      <w:lvlText w:val=""/>
      <w:lvlJc w:val="left"/>
    </w:lvl>
    <w:lvl w:ilvl="8" w:tplc="9DE87D76">
      <w:numFmt w:val="decimal"/>
      <w:lvlText w:val=""/>
      <w:lvlJc w:val="left"/>
    </w:lvl>
  </w:abstractNum>
  <w:abstractNum w:abstractNumId="411" w15:restartNumberingAfterBreak="0">
    <w:nsid w:val="48B6B6EB"/>
    <w:multiLevelType w:val="hybridMultilevel"/>
    <w:tmpl w:val="FD2887FC"/>
    <w:lvl w:ilvl="0" w:tplc="3802F64E">
      <w:start w:val="1"/>
      <w:numFmt w:val="bullet"/>
      <w:lvlText w:val="•"/>
      <w:lvlJc w:val="left"/>
    </w:lvl>
    <w:lvl w:ilvl="1" w:tplc="A8483B5E">
      <w:numFmt w:val="decimal"/>
      <w:lvlText w:val=""/>
      <w:lvlJc w:val="left"/>
    </w:lvl>
    <w:lvl w:ilvl="2" w:tplc="07720B40">
      <w:numFmt w:val="decimal"/>
      <w:lvlText w:val=""/>
      <w:lvlJc w:val="left"/>
    </w:lvl>
    <w:lvl w:ilvl="3" w:tplc="FFAE84F4">
      <w:numFmt w:val="decimal"/>
      <w:lvlText w:val=""/>
      <w:lvlJc w:val="left"/>
    </w:lvl>
    <w:lvl w:ilvl="4" w:tplc="089A3AE2">
      <w:numFmt w:val="decimal"/>
      <w:lvlText w:val=""/>
      <w:lvlJc w:val="left"/>
    </w:lvl>
    <w:lvl w:ilvl="5" w:tplc="447CB54C">
      <w:numFmt w:val="decimal"/>
      <w:lvlText w:val=""/>
      <w:lvlJc w:val="left"/>
    </w:lvl>
    <w:lvl w:ilvl="6" w:tplc="C8F01928">
      <w:numFmt w:val="decimal"/>
      <w:lvlText w:val=""/>
      <w:lvlJc w:val="left"/>
    </w:lvl>
    <w:lvl w:ilvl="7" w:tplc="84900698">
      <w:numFmt w:val="decimal"/>
      <w:lvlText w:val=""/>
      <w:lvlJc w:val="left"/>
    </w:lvl>
    <w:lvl w:ilvl="8" w:tplc="42D42DC0">
      <w:numFmt w:val="decimal"/>
      <w:lvlText w:val=""/>
      <w:lvlJc w:val="left"/>
    </w:lvl>
  </w:abstractNum>
  <w:abstractNum w:abstractNumId="412" w15:restartNumberingAfterBreak="0">
    <w:nsid w:val="49492854"/>
    <w:multiLevelType w:val="hybridMultilevel"/>
    <w:tmpl w:val="58644D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3" w15:restartNumberingAfterBreak="0">
    <w:nsid w:val="494F6145"/>
    <w:multiLevelType w:val="hybridMultilevel"/>
    <w:tmpl w:val="6400C7C0"/>
    <w:lvl w:ilvl="0" w:tplc="C7024C78">
      <w:start w:val="1"/>
      <w:numFmt w:val="bullet"/>
      <w:lvlText w:val="-"/>
      <w:lvlJc w:val="left"/>
    </w:lvl>
    <w:lvl w:ilvl="1" w:tplc="13A6094E">
      <w:numFmt w:val="decimal"/>
      <w:lvlText w:val=""/>
      <w:lvlJc w:val="left"/>
    </w:lvl>
    <w:lvl w:ilvl="2" w:tplc="711A56F2">
      <w:numFmt w:val="decimal"/>
      <w:lvlText w:val=""/>
      <w:lvlJc w:val="left"/>
    </w:lvl>
    <w:lvl w:ilvl="3" w:tplc="F112F3B0">
      <w:numFmt w:val="decimal"/>
      <w:lvlText w:val=""/>
      <w:lvlJc w:val="left"/>
    </w:lvl>
    <w:lvl w:ilvl="4" w:tplc="4CEEAD7A">
      <w:numFmt w:val="decimal"/>
      <w:lvlText w:val=""/>
      <w:lvlJc w:val="left"/>
    </w:lvl>
    <w:lvl w:ilvl="5" w:tplc="A892720A">
      <w:numFmt w:val="decimal"/>
      <w:lvlText w:val=""/>
      <w:lvlJc w:val="left"/>
    </w:lvl>
    <w:lvl w:ilvl="6" w:tplc="7C88C904">
      <w:numFmt w:val="decimal"/>
      <w:lvlText w:val=""/>
      <w:lvlJc w:val="left"/>
    </w:lvl>
    <w:lvl w:ilvl="7" w:tplc="494A0A3E">
      <w:numFmt w:val="decimal"/>
      <w:lvlText w:val=""/>
      <w:lvlJc w:val="left"/>
    </w:lvl>
    <w:lvl w:ilvl="8" w:tplc="4154B89E">
      <w:numFmt w:val="decimal"/>
      <w:lvlText w:val=""/>
      <w:lvlJc w:val="left"/>
    </w:lvl>
  </w:abstractNum>
  <w:abstractNum w:abstractNumId="414" w15:restartNumberingAfterBreak="0">
    <w:nsid w:val="49504C8A"/>
    <w:multiLevelType w:val="hybridMultilevel"/>
    <w:tmpl w:val="B442DA76"/>
    <w:lvl w:ilvl="0" w:tplc="7B3E7110">
      <w:start w:val="1"/>
      <w:numFmt w:val="bullet"/>
      <w:lvlText w:val="•"/>
      <w:lvlJc w:val="left"/>
    </w:lvl>
    <w:lvl w:ilvl="1" w:tplc="EB56D300">
      <w:numFmt w:val="decimal"/>
      <w:lvlText w:val=""/>
      <w:lvlJc w:val="left"/>
    </w:lvl>
    <w:lvl w:ilvl="2" w:tplc="66229C30">
      <w:numFmt w:val="decimal"/>
      <w:lvlText w:val=""/>
      <w:lvlJc w:val="left"/>
    </w:lvl>
    <w:lvl w:ilvl="3" w:tplc="8466D548">
      <w:numFmt w:val="decimal"/>
      <w:lvlText w:val=""/>
      <w:lvlJc w:val="left"/>
    </w:lvl>
    <w:lvl w:ilvl="4" w:tplc="E1E844BC">
      <w:numFmt w:val="decimal"/>
      <w:lvlText w:val=""/>
      <w:lvlJc w:val="left"/>
    </w:lvl>
    <w:lvl w:ilvl="5" w:tplc="73D8CAFE">
      <w:numFmt w:val="decimal"/>
      <w:lvlText w:val=""/>
      <w:lvlJc w:val="left"/>
    </w:lvl>
    <w:lvl w:ilvl="6" w:tplc="F344402A">
      <w:numFmt w:val="decimal"/>
      <w:lvlText w:val=""/>
      <w:lvlJc w:val="left"/>
    </w:lvl>
    <w:lvl w:ilvl="7" w:tplc="1BD4FC78">
      <w:numFmt w:val="decimal"/>
      <w:lvlText w:val=""/>
      <w:lvlJc w:val="left"/>
    </w:lvl>
    <w:lvl w:ilvl="8" w:tplc="2D44F498">
      <w:numFmt w:val="decimal"/>
      <w:lvlText w:val=""/>
      <w:lvlJc w:val="left"/>
    </w:lvl>
  </w:abstractNum>
  <w:abstractNum w:abstractNumId="415" w15:restartNumberingAfterBreak="0">
    <w:nsid w:val="495A99DC"/>
    <w:multiLevelType w:val="hybridMultilevel"/>
    <w:tmpl w:val="83E66DD0"/>
    <w:lvl w:ilvl="0" w:tplc="4D8C69A2">
      <w:start w:val="1"/>
      <w:numFmt w:val="bullet"/>
      <w:lvlText w:val="•"/>
      <w:lvlJc w:val="left"/>
    </w:lvl>
    <w:lvl w:ilvl="1" w:tplc="E2DCC7D0">
      <w:numFmt w:val="decimal"/>
      <w:lvlText w:val=""/>
      <w:lvlJc w:val="left"/>
    </w:lvl>
    <w:lvl w:ilvl="2" w:tplc="2CB4653C">
      <w:numFmt w:val="decimal"/>
      <w:lvlText w:val=""/>
      <w:lvlJc w:val="left"/>
    </w:lvl>
    <w:lvl w:ilvl="3" w:tplc="2FD2F8B2">
      <w:numFmt w:val="decimal"/>
      <w:lvlText w:val=""/>
      <w:lvlJc w:val="left"/>
    </w:lvl>
    <w:lvl w:ilvl="4" w:tplc="86A885BE">
      <w:numFmt w:val="decimal"/>
      <w:lvlText w:val=""/>
      <w:lvlJc w:val="left"/>
    </w:lvl>
    <w:lvl w:ilvl="5" w:tplc="3EDC0064">
      <w:numFmt w:val="decimal"/>
      <w:lvlText w:val=""/>
      <w:lvlJc w:val="left"/>
    </w:lvl>
    <w:lvl w:ilvl="6" w:tplc="6E124B56">
      <w:numFmt w:val="decimal"/>
      <w:lvlText w:val=""/>
      <w:lvlJc w:val="left"/>
    </w:lvl>
    <w:lvl w:ilvl="7" w:tplc="BBA411DC">
      <w:numFmt w:val="decimal"/>
      <w:lvlText w:val=""/>
      <w:lvlJc w:val="left"/>
    </w:lvl>
    <w:lvl w:ilvl="8" w:tplc="746E26FA">
      <w:numFmt w:val="decimal"/>
      <w:lvlText w:val=""/>
      <w:lvlJc w:val="left"/>
    </w:lvl>
  </w:abstractNum>
  <w:abstractNum w:abstractNumId="416" w15:restartNumberingAfterBreak="0">
    <w:nsid w:val="49A03E66"/>
    <w:multiLevelType w:val="hybridMultilevel"/>
    <w:tmpl w:val="CEFE8744"/>
    <w:lvl w:ilvl="0" w:tplc="BBA09302">
      <w:start w:val="1"/>
      <w:numFmt w:val="bullet"/>
      <w:lvlText w:val="•"/>
      <w:lvlJc w:val="left"/>
    </w:lvl>
    <w:lvl w:ilvl="1" w:tplc="29642F02">
      <w:numFmt w:val="decimal"/>
      <w:lvlText w:val=""/>
      <w:lvlJc w:val="left"/>
    </w:lvl>
    <w:lvl w:ilvl="2" w:tplc="D9AE771E">
      <w:numFmt w:val="decimal"/>
      <w:lvlText w:val=""/>
      <w:lvlJc w:val="left"/>
    </w:lvl>
    <w:lvl w:ilvl="3" w:tplc="1DB40AA6">
      <w:numFmt w:val="decimal"/>
      <w:lvlText w:val=""/>
      <w:lvlJc w:val="left"/>
    </w:lvl>
    <w:lvl w:ilvl="4" w:tplc="ED7EA22C">
      <w:numFmt w:val="decimal"/>
      <w:lvlText w:val=""/>
      <w:lvlJc w:val="left"/>
    </w:lvl>
    <w:lvl w:ilvl="5" w:tplc="DBF02A8E">
      <w:numFmt w:val="decimal"/>
      <w:lvlText w:val=""/>
      <w:lvlJc w:val="left"/>
    </w:lvl>
    <w:lvl w:ilvl="6" w:tplc="CF220356">
      <w:numFmt w:val="decimal"/>
      <w:lvlText w:val=""/>
      <w:lvlJc w:val="left"/>
    </w:lvl>
    <w:lvl w:ilvl="7" w:tplc="4EE6470A">
      <w:numFmt w:val="decimal"/>
      <w:lvlText w:val=""/>
      <w:lvlJc w:val="left"/>
    </w:lvl>
    <w:lvl w:ilvl="8" w:tplc="A580CBD0">
      <w:numFmt w:val="decimal"/>
      <w:lvlText w:val=""/>
      <w:lvlJc w:val="left"/>
    </w:lvl>
  </w:abstractNum>
  <w:abstractNum w:abstractNumId="417" w15:restartNumberingAfterBreak="0">
    <w:nsid w:val="49CA1341"/>
    <w:multiLevelType w:val="hybridMultilevel"/>
    <w:tmpl w:val="C90ED21A"/>
    <w:lvl w:ilvl="0" w:tplc="7EB6987C">
      <w:start w:val="1"/>
      <w:numFmt w:val="decimal"/>
      <w:lvlText w:val="%1."/>
      <w:lvlJc w:val="left"/>
      <w:rPr>
        <w:rFonts w:hint="default"/>
      </w:rPr>
    </w:lvl>
    <w:lvl w:ilvl="1" w:tplc="63807D74">
      <w:numFmt w:val="decimal"/>
      <w:lvlText w:val=""/>
      <w:lvlJc w:val="left"/>
    </w:lvl>
    <w:lvl w:ilvl="2" w:tplc="70A252E0">
      <w:numFmt w:val="decimal"/>
      <w:lvlText w:val=""/>
      <w:lvlJc w:val="left"/>
    </w:lvl>
    <w:lvl w:ilvl="3" w:tplc="CC6E289E">
      <w:numFmt w:val="decimal"/>
      <w:lvlText w:val=""/>
      <w:lvlJc w:val="left"/>
    </w:lvl>
    <w:lvl w:ilvl="4" w:tplc="7C0083B0">
      <w:numFmt w:val="decimal"/>
      <w:lvlText w:val=""/>
      <w:lvlJc w:val="left"/>
    </w:lvl>
    <w:lvl w:ilvl="5" w:tplc="59F0E1F4">
      <w:numFmt w:val="decimal"/>
      <w:lvlText w:val=""/>
      <w:lvlJc w:val="left"/>
    </w:lvl>
    <w:lvl w:ilvl="6" w:tplc="0388B260">
      <w:numFmt w:val="decimal"/>
      <w:lvlText w:val=""/>
      <w:lvlJc w:val="left"/>
    </w:lvl>
    <w:lvl w:ilvl="7" w:tplc="C324C77C">
      <w:numFmt w:val="decimal"/>
      <w:lvlText w:val=""/>
      <w:lvlJc w:val="left"/>
    </w:lvl>
    <w:lvl w:ilvl="8" w:tplc="72A20E6C">
      <w:numFmt w:val="decimal"/>
      <w:lvlText w:val=""/>
      <w:lvlJc w:val="left"/>
    </w:lvl>
  </w:abstractNum>
  <w:abstractNum w:abstractNumId="418" w15:restartNumberingAfterBreak="0">
    <w:nsid w:val="49CC7C90"/>
    <w:multiLevelType w:val="hybridMultilevel"/>
    <w:tmpl w:val="BD32E17C"/>
    <w:lvl w:ilvl="0" w:tplc="05F6E75E">
      <w:start w:val="1"/>
      <w:numFmt w:val="bullet"/>
      <w:lvlText w:val="-"/>
      <w:lvlJc w:val="left"/>
    </w:lvl>
    <w:lvl w:ilvl="1" w:tplc="BD16653C">
      <w:numFmt w:val="decimal"/>
      <w:lvlText w:val=""/>
      <w:lvlJc w:val="left"/>
    </w:lvl>
    <w:lvl w:ilvl="2" w:tplc="0AD28274">
      <w:numFmt w:val="decimal"/>
      <w:lvlText w:val=""/>
      <w:lvlJc w:val="left"/>
    </w:lvl>
    <w:lvl w:ilvl="3" w:tplc="15C8EFA0">
      <w:numFmt w:val="decimal"/>
      <w:lvlText w:val=""/>
      <w:lvlJc w:val="left"/>
    </w:lvl>
    <w:lvl w:ilvl="4" w:tplc="8CA6609C">
      <w:numFmt w:val="decimal"/>
      <w:lvlText w:val=""/>
      <w:lvlJc w:val="left"/>
    </w:lvl>
    <w:lvl w:ilvl="5" w:tplc="B0648FE0">
      <w:numFmt w:val="decimal"/>
      <w:lvlText w:val=""/>
      <w:lvlJc w:val="left"/>
    </w:lvl>
    <w:lvl w:ilvl="6" w:tplc="322E5448">
      <w:numFmt w:val="decimal"/>
      <w:lvlText w:val=""/>
      <w:lvlJc w:val="left"/>
    </w:lvl>
    <w:lvl w:ilvl="7" w:tplc="CC5683A4">
      <w:numFmt w:val="decimal"/>
      <w:lvlText w:val=""/>
      <w:lvlJc w:val="left"/>
    </w:lvl>
    <w:lvl w:ilvl="8" w:tplc="A912B214">
      <w:numFmt w:val="decimal"/>
      <w:lvlText w:val=""/>
      <w:lvlJc w:val="left"/>
    </w:lvl>
  </w:abstractNum>
  <w:abstractNum w:abstractNumId="419" w15:restartNumberingAfterBreak="0">
    <w:nsid w:val="4A12EC32"/>
    <w:multiLevelType w:val="hybridMultilevel"/>
    <w:tmpl w:val="B40EEC2E"/>
    <w:lvl w:ilvl="0" w:tplc="43AEE594">
      <w:start w:val="1"/>
      <w:numFmt w:val="bullet"/>
      <w:lvlText w:val="·"/>
      <w:lvlJc w:val="left"/>
    </w:lvl>
    <w:lvl w:ilvl="1" w:tplc="F960684C">
      <w:numFmt w:val="decimal"/>
      <w:lvlText w:val=""/>
      <w:lvlJc w:val="left"/>
    </w:lvl>
    <w:lvl w:ilvl="2" w:tplc="9D4E3F46">
      <w:numFmt w:val="decimal"/>
      <w:lvlText w:val=""/>
      <w:lvlJc w:val="left"/>
    </w:lvl>
    <w:lvl w:ilvl="3" w:tplc="B71AE7C8">
      <w:numFmt w:val="decimal"/>
      <w:lvlText w:val=""/>
      <w:lvlJc w:val="left"/>
    </w:lvl>
    <w:lvl w:ilvl="4" w:tplc="8228CDC2">
      <w:numFmt w:val="decimal"/>
      <w:lvlText w:val=""/>
      <w:lvlJc w:val="left"/>
    </w:lvl>
    <w:lvl w:ilvl="5" w:tplc="0E204B44">
      <w:numFmt w:val="decimal"/>
      <w:lvlText w:val=""/>
      <w:lvlJc w:val="left"/>
    </w:lvl>
    <w:lvl w:ilvl="6" w:tplc="07B86896">
      <w:numFmt w:val="decimal"/>
      <w:lvlText w:val=""/>
      <w:lvlJc w:val="left"/>
    </w:lvl>
    <w:lvl w:ilvl="7" w:tplc="CED44B58">
      <w:numFmt w:val="decimal"/>
      <w:lvlText w:val=""/>
      <w:lvlJc w:val="left"/>
    </w:lvl>
    <w:lvl w:ilvl="8" w:tplc="EE18B9AE">
      <w:numFmt w:val="decimal"/>
      <w:lvlText w:val=""/>
      <w:lvlJc w:val="left"/>
    </w:lvl>
  </w:abstractNum>
  <w:abstractNum w:abstractNumId="420" w15:restartNumberingAfterBreak="0">
    <w:nsid w:val="4A226C56"/>
    <w:multiLevelType w:val="hybridMultilevel"/>
    <w:tmpl w:val="3ECEEB18"/>
    <w:lvl w:ilvl="0" w:tplc="7A360404">
      <w:start w:val="15"/>
      <w:numFmt w:val="lowerLetter"/>
      <w:lvlText w:val="%1"/>
      <w:lvlJc w:val="left"/>
    </w:lvl>
    <w:lvl w:ilvl="1" w:tplc="82D21752">
      <w:numFmt w:val="decimal"/>
      <w:lvlText w:val=""/>
      <w:lvlJc w:val="left"/>
    </w:lvl>
    <w:lvl w:ilvl="2" w:tplc="19F413C2">
      <w:numFmt w:val="decimal"/>
      <w:lvlText w:val=""/>
      <w:lvlJc w:val="left"/>
    </w:lvl>
    <w:lvl w:ilvl="3" w:tplc="7234BF94">
      <w:numFmt w:val="decimal"/>
      <w:lvlText w:val=""/>
      <w:lvlJc w:val="left"/>
    </w:lvl>
    <w:lvl w:ilvl="4" w:tplc="0D98F358">
      <w:numFmt w:val="decimal"/>
      <w:lvlText w:val=""/>
      <w:lvlJc w:val="left"/>
    </w:lvl>
    <w:lvl w:ilvl="5" w:tplc="FDF442F2">
      <w:numFmt w:val="decimal"/>
      <w:lvlText w:val=""/>
      <w:lvlJc w:val="left"/>
    </w:lvl>
    <w:lvl w:ilvl="6" w:tplc="C644A60C">
      <w:numFmt w:val="decimal"/>
      <w:lvlText w:val=""/>
      <w:lvlJc w:val="left"/>
    </w:lvl>
    <w:lvl w:ilvl="7" w:tplc="C408EAB2">
      <w:numFmt w:val="decimal"/>
      <w:lvlText w:val=""/>
      <w:lvlJc w:val="left"/>
    </w:lvl>
    <w:lvl w:ilvl="8" w:tplc="2EE8FED2">
      <w:numFmt w:val="decimal"/>
      <w:lvlText w:val=""/>
      <w:lvlJc w:val="left"/>
    </w:lvl>
  </w:abstractNum>
  <w:abstractNum w:abstractNumId="421" w15:restartNumberingAfterBreak="0">
    <w:nsid w:val="4A2CDADC"/>
    <w:multiLevelType w:val="hybridMultilevel"/>
    <w:tmpl w:val="8A345C9E"/>
    <w:lvl w:ilvl="0" w:tplc="918C4280">
      <w:start w:val="1"/>
      <w:numFmt w:val="bullet"/>
      <w:lvlText w:val="·"/>
      <w:lvlJc w:val="left"/>
    </w:lvl>
    <w:lvl w:ilvl="1" w:tplc="AE22C6CE">
      <w:numFmt w:val="decimal"/>
      <w:lvlText w:val=""/>
      <w:lvlJc w:val="left"/>
    </w:lvl>
    <w:lvl w:ilvl="2" w:tplc="7514F31E">
      <w:numFmt w:val="decimal"/>
      <w:lvlText w:val=""/>
      <w:lvlJc w:val="left"/>
    </w:lvl>
    <w:lvl w:ilvl="3" w:tplc="586A3C4A">
      <w:numFmt w:val="decimal"/>
      <w:lvlText w:val=""/>
      <w:lvlJc w:val="left"/>
    </w:lvl>
    <w:lvl w:ilvl="4" w:tplc="3272C23E">
      <w:numFmt w:val="decimal"/>
      <w:lvlText w:val=""/>
      <w:lvlJc w:val="left"/>
    </w:lvl>
    <w:lvl w:ilvl="5" w:tplc="6D2A56AC">
      <w:numFmt w:val="decimal"/>
      <w:lvlText w:val=""/>
      <w:lvlJc w:val="left"/>
    </w:lvl>
    <w:lvl w:ilvl="6" w:tplc="7902C670">
      <w:numFmt w:val="decimal"/>
      <w:lvlText w:val=""/>
      <w:lvlJc w:val="left"/>
    </w:lvl>
    <w:lvl w:ilvl="7" w:tplc="4DFADC84">
      <w:numFmt w:val="decimal"/>
      <w:lvlText w:val=""/>
      <w:lvlJc w:val="left"/>
    </w:lvl>
    <w:lvl w:ilvl="8" w:tplc="2D686582">
      <w:numFmt w:val="decimal"/>
      <w:lvlText w:val=""/>
      <w:lvlJc w:val="left"/>
    </w:lvl>
  </w:abstractNum>
  <w:abstractNum w:abstractNumId="422" w15:restartNumberingAfterBreak="0">
    <w:nsid w:val="4A59FF72"/>
    <w:multiLevelType w:val="hybridMultilevel"/>
    <w:tmpl w:val="99B40404"/>
    <w:lvl w:ilvl="0" w:tplc="48F2CC1A">
      <w:start w:val="1"/>
      <w:numFmt w:val="bullet"/>
      <w:lvlText w:val="•"/>
      <w:lvlJc w:val="left"/>
    </w:lvl>
    <w:lvl w:ilvl="1" w:tplc="82AC7F88">
      <w:numFmt w:val="decimal"/>
      <w:lvlText w:val=""/>
      <w:lvlJc w:val="left"/>
    </w:lvl>
    <w:lvl w:ilvl="2" w:tplc="27E6EE6C">
      <w:numFmt w:val="decimal"/>
      <w:lvlText w:val=""/>
      <w:lvlJc w:val="left"/>
    </w:lvl>
    <w:lvl w:ilvl="3" w:tplc="30A0CC0C">
      <w:numFmt w:val="decimal"/>
      <w:lvlText w:val=""/>
      <w:lvlJc w:val="left"/>
    </w:lvl>
    <w:lvl w:ilvl="4" w:tplc="6FEACDB8">
      <w:numFmt w:val="decimal"/>
      <w:lvlText w:val=""/>
      <w:lvlJc w:val="left"/>
    </w:lvl>
    <w:lvl w:ilvl="5" w:tplc="8320E340">
      <w:numFmt w:val="decimal"/>
      <w:lvlText w:val=""/>
      <w:lvlJc w:val="left"/>
    </w:lvl>
    <w:lvl w:ilvl="6" w:tplc="AA9002E0">
      <w:numFmt w:val="decimal"/>
      <w:lvlText w:val=""/>
      <w:lvlJc w:val="left"/>
    </w:lvl>
    <w:lvl w:ilvl="7" w:tplc="C4BE2300">
      <w:numFmt w:val="decimal"/>
      <w:lvlText w:val=""/>
      <w:lvlJc w:val="left"/>
    </w:lvl>
    <w:lvl w:ilvl="8" w:tplc="38603BE4">
      <w:numFmt w:val="decimal"/>
      <w:lvlText w:val=""/>
      <w:lvlJc w:val="left"/>
    </w:lvl>
  </w:abstractNum>
  <w:abstractNum w:abstractNumId="423" w15:restartNumberingAfterBreak="0">
    <w:nsid w:val="4A748FDA"/>
    <w:multiLevelType w:val="hybridMultilevel"/>
    <w:tmpl w:val="134A6C2C"/>
    <w:lvl w:ilvl="0" w:tplc="538449B2">
      <w:start w:val="1"/>
      <w:numFmt w:val="bullet"/>
      <w:lvlText w:val="•"/>
      <w:lvlJc w:val="left"/>
    </w:lvl>
    <w:lvl w:ilvl="1" w:tplc="C0A4EEFA">
      <w:numFmt w:val="decimal"/>
      <w:lvlText w:val=""/>
      <w:lvlJc w:val="left"/>
    </w:lvl>
    <w:lvl w:ilvl="2" w:tplc="7C04136E">
      <w:numFmt w:val="decimal"/>
      <w:lvlText w:val=""/>
      <w:lvlJc w:val="left"/>
    </w:lvl>
    <w:lvl w:ilvl="3" w:tplc="C784A8E4">
      <w:numFmt w:val="decimal"/>
      <w:lvlText w:val=""/>
      <w:lvlJc w:val="left"/>
    </w:lvl>
    <w:lvl w:ilvl="4" w:tplc="CDB659CE">
      <w:numFmt w:val="decimal"/>
      <w:lvlText w:val=""/>
      <w:lvlJc w:val="left"/>
    </w:lvl>
    <w:lvl w:ilvl="5" w:tplc="87821CD4">
      <w:numFmt w:val="decimal"/>
      <w:lvlText w:val=""/>
      <w:lvlJc w:val="left"/>
    </w:lvl>
    <w:lvl w:ilvl="6" w:tplc="5AE0D5DC">
      <w:numFmt w:val="decimal"/>
      <w:lvlText w:val=""/>
      <w:lvlJc w:val="left"/>
    </w:lvl>
    <w:lvl w:ilvl="7" w:tplc="10B8D65C">
      <w:numFmt w:val="decimal"/>
      <w:lvlText w:val=""/>
      <w:lvlJc w:val="left"/>
    </w:lvl>
    <w:lvl w:ilvl="8" w:tplc="38EE4EA0">
      <w:numFmt w:val="decimal"/>
      <w:lvlText w:val=""/>
      <w:lvlJc w:val="left"/>
    </w:lvl>
  </w:abstractNum>
  <w:abstractNum w:abstractNumId="424" w15:restartNumberingAfterBreak="0">
    <w:nsid w:val="4A770D3A"/>
    <w:multiLevelType w:val="hybridMultilevel"/>
    <w:tmpl w:val="28EC578C"/>
    <w:lvl w:ilvl="0" w:tplc="53CABD30">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5" w15:restartNumberingAfterBreak="0">
    <w:nsid w:val="4AC47BF1"/>
    <w:multiLevelType w:val="hybridMultilevel"/>
    <w:tmpl w:val="920C4CD8"/>
    <w:lvl w:ilvl="0" w:tplc="5FD6341C">
      <w:start w:val="1"/>
      <w:numFmt w:val="lowerLetter"/>
      <w:lvlText w:val="%1)"/>
      <w:lvlJc w:val="left"/>
    </w:lvl>
    <w:lvl w:ilvl="1" w:tplc="66FC2A40">
      <w:start w:val="1"/>
      <w:numFmt w:val="bullet"/>
      <w:lvlText w:val="-"/>
      <w:lvlJc w:val="left"/>
    </w:lvl>
    <w:lvl w:ilvl="2" w:tplc="4B4C2BA4">
      <w:start w:val="1"/>
      <w:numFmt w:val="bullet"/>
      <w:lvlText w:val="§"/>
      <w:lvlJc w:val="left"/>
    </w:lvl>
    <w:lvl w:ilvl="3" w:tplc="BA027BDA">
      <w:numFmt w:val="decimal"/>
      <w:lvlText w:val=""/>
      <w:lvlJc w:val="left"/>
    </w:lvl>
    <w:lvl w:ilvl="4" w:tplc="F4B68BE6">
      <w:numFmt w:val="decimal"/>
      <w:lvlText w:val=""/>
      <w:lvlJc w:val="left"/>
    </w:lvl>
    <w:lvl w:ilvl="5" w:tplc="940AE4AC">
      <w:numFmt w:val="decimal"/>
      <w:lvlText w:val=""/>
      <w:lvlJc w:val="left"/>
    </w:lvl>
    <w:lvl w:ilvl="6" w:tplc="25D4B0E0">
      <w:numFmt w:val="decimal"/>
      <w:lvlText w:val=""/>
      <w:lvlJc w:val="left"/>
    </w:lvl>
    <w:lvl w:ilvl="7" w:tplc="292025BE">
      <w:numFmt w:val="decimal"/>
      <w:lvlText w:val=""/>
      <w:lvlJc w:val="left"/>
    </w:lvl>
    <w:lvl w:ilvl="8" w:tplc="6E18100E">
      <w:numFmt w:val="decimal"/>
      <w:lvlText w:val=""/>
      <w:lvlJc w:val="left"/>
    </w:lvl>
  </w:abstractNum>
  <w:abstractNum w:abstractNumId="426" w15:restartNumberingAfterBreak="0">
    <w:nsid w:val="4AC9F3E2"/>
    <w:multiLevelType w:val="hybridMultilevel"/>
    <w:tmpl w:val="3CFAA456"/>
    <w:lvl w:ilvl="0" w:tplc="E446FC38">
      <w:start w:val="1"/>
      <w:numFmt w:val="lowerLetter"/>
      <w:lvlText w:val="%1)"/>
      <w:lvlJc w:val="left"/>
    </w:lvl>
    <w:lvl w:ilvl="1" w:tplc="A43C4024">
      <w:numFmt w:val="decimal"/>
      <w:lvlText w:val=""/>
      <w:lvlJc w:val="left"/>
    </w:lvl>
    <w:lvl w:ilvl="2" w:tplc="FA728646">
      <w:numFmt w:val="decimal"/>
      <w:lvlText w:val=""/>
      <w:lvlJc w:val="left"/>
    </w:lvl>
    <w:lvl w:ilvl="3" w:tplc="97123996">
      <w:numFmt w:val="decimal"/>
      <w:lvlText w:val=""/>
      <w:lvlJc w:val="left"/>
    </w:lvl>
    <w:lvl w:ilvl="4" w:tplc="C2B2BFE4">
      <w:numFmt w:val="decimal"/>
      <w:lvlText w:val=""/>
      <w:lvlJc w:val="left"/>
    </w:lvl>
    <w:lvl w:ilvl="5" w:tplc="0C90470C">
      <w:numFmt w:val="decimal"/>
      <w:lvlText w:val=""/>
      <w:lvlJc w:val="left"/>
    </w:lvl>
    <w:lvl w:ilvl="6" w:tplc="E47E4ACA">
      <w:numFmt w:val="decimal"/>
      <w:lvlText w:val=""/>
      <w:lvlJc w:val="left"/>
    </w:lvl>
    <w:lvl w:ilvl="7" w:tplc="A9B2A078">
      <w:numFmt w:val="decimal"/>
      <w:lvlText w:val=""/>
      <w:lvlJc w:val="left"/>
    </w:lvl>
    <w:lvl w:ilvl="8" w:tplc="A0F2E70C">
      <w:numFmt w:val="decimal"/>
      <w:lvlText w:val=""/>
      <w:lvlJc w:val="left"/>
    </w:lvl>
  </w:abstractNum>
  <w:abstractNum w:abstractNumId="427" w15:restartNumberingAfterBreak="0">
    <w:nsid w:val="4AE135E2"/>
    <w:multiLevelType w:val="hybridMultilevel"/>
    <w:tmpl w:val="B2A05164"/>
    <w:lvl w:ilvl="0" w:tplc="D9D2E87A">
      <w:start w:val="15"/>
      <w:numFmt w:val="lowerLetter"/>
      <w:lvlText w:val="%1"/>
      <w:lvlJc w:val="left"/>
    </w:lvl>
    <w:lvl w:ilvl="1" w:tplc="13201772">
      <w:numFmt w:val="decimal"/>
      <w:lvlText w:val=""/>
      <w:lvlJc w:val="left"/>
    </w:lvl>
    <w:lvl w:ilvl="2" w:tplc="B8F03E8C">
      <w:numFmt w:val="decimal"/>
      <w:lvlText w:val=""/>
      <w:lvlJc w:val="left"/>
    </w:lvl>
    <w:lvl w:ilvl="3" w:tplc="07BAD862">
      <w:numFmt w:val="decimal"/>
      <w:lvlText w:val=""/>
      <w:lvlJc w:val="left"/>
    </w:lvl>
    <w:lvl w:ilvl="4" w:tplc="C8B6A17E">
      <w:numFmt w:val="decimal"/>
      <w:lvlText w:val=""/>
      <w:lvlJc w:val="left"/>
    </w:lvl>
    <w:lvl w:ilvl="5" w:tplc="DEB4518C">
      <w:numFmt w:val="decimal"/>
      <w:lvlText w:val=""/>
      <w:lvlJc w:val="left"/>
    </w:lvl>
    <w:lvl w:ilvl="6" w:tplc="DAAC74FE">
      <w:numFmt w:val="decimal"/>
      <w:lvlText w:val=""/>
      <w:lvlJc w:val="left"/>
    </w:lvl>
    <w:lvl w:ilvl="7" w:tplc="960E0D48">
      <w:numFmt w:val="decimal"/>
      <w:lvlText w:val=""/>
      <w:lvlJc w:val="left"/>
    </w:lvl>
    <w:lvl w:ilvl="8" w:tplc="C3529F74">
      <w:numFmt w:val="decimal"/>
      <w:lvlText w:val=""/>
      <w:lvlJc w:val="left"/>
    </w:lvl>
  </w:abstractNum>
  <w:abstractNum w:abstractNumId="428" w15:restartNumberingAfterBreak="0">
    <w:nsid w:val="4B13A15A"/>
    <w:multiLevelType w:val="hybridMultilevel"/>
    <w:tmpl w:val="C7022834"/>
    <w:lvl w:ilvl="0" w:tplc="C61C9D2A">
      <w:start w:val="1"/>
      <w:numFmt w:val="lowerLetter"/>
      <w:lvlText w:val="%1)"/>
      <w:lvlJc w:val="left"/>
    </w:lvl>
    <w:lvl w:ilvl="1" w:tplc="E50231CE">
      <w:numFmt w:val="decimal"/>
      <w:lvlText w:val=""/>
      <w:lvlJc w:val="left"/>
    </w:lvl>
    <w:lvl w:ilvl="2" w:tplc="02F2696A">
      <w:numFmt w:val="decimal"/>
      <w:lvlText w:val=""/>
      <w:lvlJc w:val="left"/>
    </w:lvl>
    <w:lvl w:ilvl="3" w:tplc="909075FE">
      <w:numFmt w:val="decimal"/>
      <w:lvlText w:val=""/>
      <w:lvlJc w:val="left"/>
    </w:lvl>
    <w:lvl w:ilvl="4" w:tplc="FF52B686">
      <w:numFmt w:val="decimal"/>
      <w:lvlText w:val=""/>
      <w:lvlJc w:val="left"/>
    </w:lvl>
    <w:lvl w:ilvl="5" w:tplc="E0C8DDC8">
      <w:numFmt w:val="decimal"/>
      <w:lvlText w:val=""/>
      <w:lvlJc w:val="left"/>
    </w:lvl>
    <w:lvl w:ilvl="6" w:tplc="DB420D56">
      <w:numFmt w:val="decimal"/>
      <w:lvlText w:val=""/>
      <w:lvlJc w:val="left"/>
    </w:lvl>
    <w:lvl w:ilvl="7" w:tplc="FEF005F8">
      <w:numFmt w:val="decimal"/>
      <w:lvlText w:val=""/>
      <w:lvlJc w:val="left"/>
    </w:lvl>
    <w:lvl w:ilvl="8" w:tplc="71041560">
      <w:numFmt w:val="decimal"/>
      <w:lvlText w:val=""/>
      <w:lvlJc w:val="left"/>
    </w:lvl>
  </w:abstractNum>
  <w:abstractNum w:abstractNumId="429" w15:restartNumberingAfterBreak="0">
    <w:nsid w:val="4B294578"/>
    <w:multiLevelType w:val="hybridMultilevel"/>
    <w:tmpl w:val="0A92CEA0"/>
    <w:lvl w:ilvl="0" w:tplc="7C5C4C36">
      <w:start w:val="1"/>
      <w:numFmt w:val="bullet"/>
      <w:lvlText w:val="-"/>
      <w:lvlJc w:val="left"/>
    </w:lvl>
    <w:lvl w:ilvl="1" w:tplc="2D6ABC4E">
      <w:start w:val="1"/>
      <w:numFmt w:val="bullet"/>
      <w:lvlText w:val="•"/>
      <w:lvlJc w:val="left"/>
    </w:lvl>
    <w:lvl w:ilvl="2" w:tplc="A060F450">
      <w:numFmt w:val="decimal"/>
      <w:lvlText w:val=""/>
      <w:lvlJc w:val="left"/>
    </w:lvl>
    <w:lvl w:ilvl="3" w:tplc="296686F2">
      <w:numFmt w:val="decimal"/>
      <w:lvlText w:val=""/>
      <w:lvlJc w:val="left"/>
    </w:lvl>
    <w:lvl w:ilvl="4" w:tplc="61D807A4">
      <w:numFmt w:val="decimal"/>
      <w:lvlText w:val=""/>
      <w:lvlJc w:val="left"/>
    </w:lvl>
    <w:lvl w:ilvl="5" w:tplc="7784964E">
      <w:numFmt w:val="decimal"/>
      <w:lvlText w:val=""/>
      <w:lvlJc w:val="left"/>
    </w:lvl>
    <w:lvl w:ilvl="6" w:tplc="AB8CB264">
      <w:numFmt w:val="decimal"/>
      <w:lvlText w:val=""/>
      <w:lvlJc w:val="left"/>
    </w:lvl>
    <w:lvl w:ilvl="7" w:tplc="170EF54A">
      <w:numFmt w:val="decimal"/>
      <w:lvlText w:val=""/>
      <w:lvlJc w:val="left"/>
    </w:lvl>
    <w:lvl w:ilvl="8" w:tplc="A87879B4">
      <w:numFmt w:val="decimal"/>
      <w:lvlText w:val=""/>
      <w:lvlJc w:val="left"/>
    </w:lvl>
  </w:abstractNum>
  <w:abstractNum w:abstractNumId="430" w15:restartNumberingAfterBreak="0">
    <w:nsid w:val="4B9A6638"/>
    <w:multiLevelType w:val="hybridMultilevel"/>
    <w:tmpl w:val="B2D421C8"/>
    <w:lvl w:ilvl="0" w:tplc="4C5CC57E">
      <w:start w:val="1"/>
      <w:numFmt w:val="bullet"/>
      <w:lvlText w:val="−"/>
      <w:lvlJc w:val="left"/>
    </w:lvl>
    <w:lvl w:ilvl="1" w:tplc="22DE1D60">
      <w:start w:val="1"/>
      <w:numFmt w:val="bullet"/>
      <w:lvlText w:val="−"/>
      <w:lvlJc w:val="left"/>
    </w:lvl>
    <w:lvl w:ilvl="2" w:tplc="60483EE8">
      <w:numFmt w:val="decimal"/>
      <w:lvlText w:val=""/>
      <w:lvlJc w:val="left"/>
    </w:lvl>
    <w:lvl w:ilvl="3" w:tplc="B3DA66A0">
      <w:numFmt w:val="decimal"/>
      <w:lvlText w:val=""/>
      <w:lvlJc w:val="left"/>
    </w:lvl>
    <w:lvl w:ilvl="4" w:tplc="712867D4">
      <w:numFmt w:val="decimal"/>
      <w:lvlText w:val=""/>
      <w:lvlJc w:val="left"/>
    </w:lvl>
    <w:lvl w:ilvl="5" w:tplc="8BB66E5E">
      <w:numFmt w:val="decimal"/>
      <w:lvlText w:val=""/>
      <w:lvlJc w:val="left"/>
    </w:lvl>
    <w:lvl w:ilvl="6" w:tplc="7E527AF0">
      <w:numFmt w:val="decimal"/>
      <w:lvlText w:val=""/>
      <w:lvlJc w:val="left"/>
    </w:lvl>
    <w:lvl w:ilvl="7" w:tplc="DE866A8C">
      <w:numFmt w:val="decimal"/>
      <w:lvlText w:val=""/>
      <w:lvlJc w:val="left"/>
    </w:lvl>
    <w:lvl w:ilvl="8" w:tplc="EBC8F50E">
      <w:numFmt w:val="decimal"/>
      <w:lvlText w:val=""/>
      <w:lvlJc w:val="left"/>
    </w:lvl>
  </w:abstractNum>
  <w:abstractNum w:abstractNumId="431" w15:restartNumberingAfterBreak="0">
    <w:nsid w:val="4B9DCBED"/>
    <w:multiLevelType w:val="hybridMultilevel"/>
    <w:tmpl w:val="EB6C571C"/>
    <w:lvl w:ilvl="0" w:tplc="5E38EA1E">
      <w:start w:val="1"/>
      <w:numFmt w:val="bullet"/>
      <w:lvlText w:val="•"/>
      <w:lvlJc w:val="left"/>
    </w:lvl>
    <w:lvl w:ilvl="1" w:tplc="0C7422C4">
      <w:numFmt w:val="decimal"/>
      <w:lvlText w:val=""/>
      <w:lvlJc w:val="left"/>
    </w:lvl>
    <w:lvl w:ilvl="2" w:tplc="45FAD99C">
      <w:numFmt w:val="decimal"/>
      <w:lvlText w:val=""/>
      <w:lvlJc w:val="left"/>
    </w:lvl>
    <w:lvl w:ilvl="3" w:tplc="D8EEA3BC">
      <w:numFmt w:val="decimal"/>
      <w:lvlText w:val=""/>
      <w:lvlJc w:val="left"/>
    </w:lvl>
    <w:lvl w:ilvl="4" w:tplc="CE58A718">
      <w:numFmt w:val="decimal"/>
      <w:lvlText w:val=""/>
      <w:lvlJc w:val="left"/>
    </w:lvl>
    <w:lvl w:ilvl="5" w:tplc="D0E4339E">
      <w:numFmt w:val="decimal"/>
      <w:lvlText w:val=""/>
      <w:lvlJc w:val="left"/>
    </w:lvl>
    <w:lvl w:ilvl="6" w:tplc="9BF8EAF2">
      <w:numFmt w:val="decimal"/>
      <w:lvlText w:val=""/>
      <w:lvlJc w:val="left"/>
    </w:lvl>
    <w:lvl w:ilvl="7" w:tplc="0386770E">
      <w:numFmt w:val="decimal"/>
      <w:lvlText w:val=""/>
      <w:lvlJc w:val="left"/>
    </w:lvl>
    <w:lvl w:ilvl="8" w:tplc="D6925C1A">
      <w:numFmt w:val="decimal"/>
      <w:lvlText w:val=""/>
      <w:lvlJc w:val="left"/>
    </w:lvl>
  </w:abstractNum>
  <w:abstractNum w:abstractNumId="432" w15:restartNumberingAfterBreak="0">
    <w:nsid w:val="4BAA79E7"/>
    <w:multiLevelType w:val="hybridMultilevel"/>
    <w:tmpl w:val="D9540BEE"/>
    <w:lvl w:ilvl="0" w:tplc="53CABD30">
      <w:start w:val="1"/>
      <w:numFmt w:val="bullet"/>
      <w:lvlText w:val="-"/>
      <w:lvlJc w:val="left"/>
      <w:pPr>
        <w:ind w:left="1504" w:hanging="360"/>
      </w:pPr>
    </w:lvl>
    <w:lvl w:ilvl="1" w:tplc="04050003" w:tentative="1">
      <w:start w:val="1"/>
      <w:numFmt w:val="bullet"/>
      <w:lvlText w:val="o"/>
      <w:lvlJc w:val="left"/>
      <w:pPr>
        <w:ind w:left="2224" w:hanging="360"/>
      </w:pPr>
      <w:rPr>
        <w:rFonts w:ascii="Courier New" w:hAnsi="Courier New" w:cs="Courier New" w:hint="default"/>
      </w:rPr>
    </w:lvl>
    <w:lvl w:ilvl="2" w:tplc="04050005" w:tentative="1">
      <w:start w:val="1"/>
      <w:numFmt w:val="bullet"/>
      <w:lvlText w:val=""/>
      <w:lvlJc w:val="left"/>
      <w:pPr>
        <w:ind w:left="2944" w:hanging="360"/>
      </w:pPr>
      <w:rPr>
        <w:rFonts w:ascii="Wingdings" w:hAnsi="Wingdings" w:hint="default"/>
      </w:rPr>
    </w:lvl>
    <w:lvl w:ilvl="3" w:tplc="04050001" w:tentative="1">
      <w:start w:val="1"/>
      <w:numFmt w:val="bullet"/>
      <w:lvlText w:val=""/>
      <w:lvlJc w:val="left"/>
      <w:pPr>
        <w:ind w:left="3664" w:hanging="360"/>
      </w:pPr>
      <w:rPr>
        <w:rFonts w:ascii="Symbol" w:hAnsi="Symbol" w:hint="default"/>
      </w:rPr>
    </w:lvl>
    <w:lvl w:ilvl="4" w:tplc="04050003" w:tentative="1">
      <w:start w:val="1"/>
      <w:numFmt w:val="bullet"/>
      <w:lvlText w:val="o"/>
      <w:lvlJc w:val="left"/>
      <w:pPr>
        <w:ind w:left="4384" w:hanging="360"/>
      </w:pPr>
      <w:rPr>
        <w:rFonts w:ascii="Courier New" w:hAnsi="Courier New" w:cs="Courier New" w:hint="default"/>
      </w:rPr>
    </w:lvl>
    <w:lvl w:ilvl="5" w:tplc="04050005" w:tentative="1">
      <w:start w:val="1"/>
      <w:numFmt w:val="bullet"/>
      <w:lvlText w:val=""/>
      <w:lvlJc w:val="left"/>
      <w:pPr>
        <w:ind w:left="5104" w:hanging="360"/>
      </w:pPr>
      <w:rPr>
        <w:rFonts w:ascii="Wingdings" w:hAnsi="Wingdings" w:hint="default"/>
      </w:rPr>
    </w:lvl>
    <w:lvl w:ilvl="6" w:tplc="04050001" w:tentative="1">
      <w:start w:val="1"/>
      <w:numFmt w:val="bullet"/>
      <w:lvlText w:val=""/>
      <w:lvlJc w:val="left"/>
      <w:pPr>
        <w:ind w:left="5824" w:hanging="360"/>
      </w:pPr>
      <w:rPr>
        <w:rFonts w:ascii="Symbol" w:hAnsi="Symbol" w:hint="default"/>
      </w:rPr>
    </w:lvl>
    <w:lvl w:ilvl="7" w:tplc="04050003" w:tentative="1">
      <w:start w:val="1"/>
      <w:numFmt w:val="bullet"/>
      <w:lvlText w:val="o"/>
      <w:lvlJc w:val="left"/>
      <w:pPr>
        <w:ind w:left="6544" w:hanging="360"/>
      </w:pPr>
      <w:rPr>
        <w:rFonts w:ascii="Courier New" w:hAnsi="Courier New" w:cs="Courier New" w:hint="default"/>
      </w:rPr>
    </w:lvl>
    <w:lvl w:ilvl="8" w:tplc="04050005" w:tentative="1">
      <w:start w:val="1"/>
      <w:numFmt w:val="bullet"/>
      <w:lvlText w:val=""/>
      <w:lvlJc w:val="left"/>
      <w:pPr>
        <w:ind w:left="7264" w:hanging="360"/>
      </w:pPr>
      <w:rPr>
        <w:rFonts w:ascii="Wingdings" w:hAnsi="Wingdings" w:hint="default"/>
      </w:rPr>
    </w:lvl>
  </w:abstractNum>
  <w:abstractNum w:abstractNumId="433" w15:restartNumberingAfterBreak="0">
    <w:nsid w:val="4C21B9D2"/>
    <w:multiLevelType w:val="hybridMultilevel"/>
    <w:tmpl w:val="B1CA1EB2"/>
    <w:lvl w:ilvl="0" w:tplc="DA683FAE">
      <w:start w:val="1"/>
      <w:numFmt w:val="bullet"/>
      <w:lvlText w:val="-"/>
      <w:lvlJc w:val="left"/>
    </w:lvl>
    <w:lvl w:ilvl="1" w:tplc="4F9EF556">
      <w:numFmt w:val="decimal"/>
      <w:lvlText w:val=""/>
      <w:lvlJc w:val="left"/>
    </w:lvl>
    <w:lvl w:ilvl="2" w:tplc="B0704F02">
      <w:numFmt w:val="decimal"/>
      <w:lvlText w:val=""/>
      <w:lvlJc w:val="left"/>
    </w:lvl>
    <w:lvl w:ilvl="3" w:tplc="65E6924A">
      <w:numFmt w:val="decimal"/>
      <w:lvlText w:val=""/>
      <w:lvlJc w:val="left"/>
    </w:lvl>
    <w:lvl w:ilvl="4" w:tplc="CC22C0B6">
      <w:numFmt w:val="decimal"/>
      <w:lvlText w:val=""/>
      <w:lvlJc w:val="left"/>
    </w:lvl>
    <w:lvl w:ilvl="5" w:tplc="9BEE68C0">
      <w:numFmt w:val="decimal"/>
      <w:lvlText w:val=""/>
      <w:lvlJc w:val="left"/>
    </w:lvl>
    <w:lvl w:ilvl="6" w:tplc="FFE48860">
      <w:numFmt w:val="decimal"/>
      <w:lvlText w:val=""/>
      <w:lvlJc w:val="left"/>
    </w:lvl>
    <w:lvl w:ilvl="7" w:tplc="39503880">
      <w:numFmt w:val="decimal"/>
      <w:lvlText w:val=""/>
      <w:lvlJc w:val="left"/>
    </w:lvl>
    <w:lvl w:ilvl="8" w:tplc="EEB8C166">
      <w:numFmt w:val="decimal"/>
      <w:lvlText w:val=""/>
      <w:lvlJc w:val="left"/>
    </w:lvl>
  </w:abstractNum>
  <w:abstractNum w:abstractNumId="434" w15:restartNumberingAfterBreak="0">
    <w:nsid w:val="4C220379"/>
    <w:multiLevelType w:val="hybridMultilevel"/>
    <w:tmpl w:val="BF408C38"/>
    <w:lvl w:ilvl="0" w:tplc="863ADD58">
      <w:start w:val="1"/>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35" w15:restartNumberingAfterBreak="0">
    <w:nsid w:val="4C38D414"/>
    <w:multiLevelType w:val="hybridMultilevel"/>
    <w:tmpl w:val="7B4C9C0C"/>
    <w:lvl w:ilvl="0" w:tplc="1D92B6DE">
      <w:start w:val="15"/>
      <w:numFmt w:val="lowerLetter"/>
      <w:lvlText w:val="%1"/>
      <w:lvlJc w:val="left"/>
    </w:lvl>
    <w:lvl w:ilvl="1" w:tplc="0B88A890">
      <w:numFmt w:val="decimal"/>
      <w:lvlText w:val=""/>
      <w:lvlJc w:val="left"/>
    </w:lvl>
    <w:lvl w:ilvl="2" w:tplc="295E6B4A">
      <w:numFmt w:val="decimal"/>
      <w:lvlText w:val=""/>
      <w:lvlJc w:val="left"/>
    </w:lvl>
    <w:lvl w:ilvl="3" w:tplc="771CF9DA">
      <w:numFmt w:val="decimal"/>
      <w:lvlText w:val=""/>
      <w:lvlJc w:val="left"/>
    </w:lvl>
    <w:lvl w:ilvl="4" w:tplc="B5BED880">
      <w:numFmt w:val="decimal"/>
      <w:lvlText w:val=""/>
      <w:lvlJc w:val="left"/>
    </w:lvl>
    <w:lvl w:ilvl="5" w:tplc="3ED2893A">
      <w:numFmt w:val="decimal"/>
      <w:lvlText w:val=""/>
      <w:lvlJc w:val="left"/>
    </w:lvl>
    <w:lvl w:ilvl="6" w:tplc="01DA6C80">
      <w:numFmt w:val="decimal"/>
      <w:lvlText w:val=""/>
      <w:lvlJc w:val="left"/>
    </w:lvl>
    <w:lvl w:ilvl="7" w:tplc="D6E6C06E">
      <w:numFmt w:val="decimal"/>
      <w:lvlText w:val=""/>
      <w:lvlJc w:val="left"/>
    </w:lvl>
    <w:lvl w:ilvl="8" w:tplc="BB900AAC">
      <w:numFmt w:val="decimal"/>
      <w:lvlText w:val=""/>
      <w:lvlJc w:val="left"/>
    </w:lvl>
  </w:abstractNum>
  <w:abstractNum w:abstractNumId="436" w15:restartNumberingAfterBreak="0">
    <w:nsid w:val="4C68ED90"/>
    <w:multiLevelType w:val="hybridMultilevel"/>
    <w:tmpl w:val="831C5DC8"/>
    <w:lvl w:ilvl="0" w:tplc="3CD6490C">
      <w:start w:val="1"/>
      <w:numFmt w:val="bullet"/>
      <w:lvlText w:val="•"/>
      <w:lvlJc w:val="left"/>
    </w:lvl>
    <w:lvl w:ilvl="1" w:tplc="C4184D4A">
      <w:numFmt w:val="decimal"/>
      <w:lvlText w:val=""/>
      <w:lvlJc w:val="left"/>
    </w:lvl>
    <w:lvl w:ilvl="2" w:tplc="882EF0FE">
      <w:numFmt w:val="decimal"/>
      <w:lvlText w:val=""/>
      <w:lvlJc w:val="left"/>
    </w:lvl>
    <w:lvl w:ilvl="3" w:tplc="08342BC4">
      <w:numFmt w:val="decimal"/>
      <w:lvlText w:val=""/>
      <w:lvlJc w:val="left"/>
    </w:lvl>
    <w:lvl w:ilvl="4" w:tplc="5F0CB122">
      <w:numFmt w:val="decimal"/>
      <w:lvlText w:val=""/>
      <w:lvlJc w:val="left"/>
    </w:lvl>
    <w:lvl w:ilvl="5" w:tplc="01DE10EA">
      <w:numFmt w:val="decimal"/>
      <w:lvlText w:val=""/>
      <w:lvlJc w:val="left"/>
    </w:lvl>
    <w:lvl w:ilvl="6" w:tplc="4762F736">
      <w:numFmt w:val="decimal"/>
      <w:lvlText w:val=""/>
      <w:lvlJc w:val="left"/>
    </w:lvl>
    <w:lvl w:ilvl="7" w:tplc="6A442BCC">
      <w:numFmt w:val="decimal"/>
      <w:lvlText w:val=""/>
      <w:lvlJc w:val="left"/>
    </w:lvl>
    <w:lvl w:ilvl="8" w:tplc="7B9C9208">
      <w:numFmt w:val="decimal"/>
      <w:lvlText w:val=""/>
      <w:lvlJc w:val="left"/>
    </w:lvl>
  </w:abstractNum>
  <w:abstractNum w:abstractNumId="437" w15:restartNumberingAfterBreak="0">
    <w:nsid w:val="4C6E372B"/>
    <w:multiLevelType w:val="hybridMultilevel"/>
    <w:tmpl w:val="1FA8B44C"/>
    <w:lvl w:ilvl="0" w:tplc="37005520">
      <w:start w:val="11"/>
      <w:numFmt w:val="lowerLetter"/>
      <w:lvlText w:val="%1"/>
      <w:lvlJc w:val="left"/>
    </w:lvl>
    <w:lvl w:ilvl="1" w:tplc="0F22CED6">
      <w:start w:val="1"/>
      <w:numFmt w:val="decimal"/>
      <w:lvlText w:val="%2."/>
      <w:lvlJc w:val="left"/>
    </w:lvl>
    <w:lvl w:ilvl="2" w:tplc="6AE43934">
      <w:numFmt w:val="decimal"/>
      <w:lvlText w:val=""/>
      <w:lvlJc w:val="left"/>
    </w:lvl>
    <w:lvl w:ilvl="3" w:tplc="FB8253FE">
      <w:numFmt w:val="decimal"/>
      <w:lvlText w:val=""/>
      <w:lvlJc w:val="left"/>
    </w:lvl>
    <w:lvl w:ilvl="4" w:tplc="AEEE6EF8">
      <w:numFmt w:val="decimal"/>
      <w:lvlText w:val=""/>
      <w:lvlJc w:val="left"/>
    </w:lvl>
    <w:lvl w:ilvl="5" w:tplc="B9B85518">
      <w:numFmt w:val="decimal"/>
      <w:lvlText w:val=""/>
      <w:lvlJc w:val="left"/>
    </w:lvl>
    <w:lvl w:ilvl="6" w:tplc="D230106E">
      <w:numFmt w:val="decimal"/>
      <w:lvlText w:val=""/>
      <w:lvlJc w:val="left"/>
    </w:lvl>
    <w:lvl w:ilvl="7" w:tplc="C156797E">
      <w:numFmt w:val="decimal"/>
      <w:lvlText w:val=""/>
      <w:lvlJc w:val="left"/>
    </w:lvl>
    <w:lvl w:ilvl="8" w:tplc="5AD41130">
      <w:numFmt w:val="decimal"/>
      <w:lvlText w:val=""/>
      <w:lvlJc w:val="left"/>
    </w:lvl>
  </w:abstractNum>
  <w:abstractNum w:abstractNumId="438" w15:restartNumberingAfterBreak="0">
    <w:nsid w:val="4CA4AA7B"/>
    <w:multiLevelType w:val="hybridMultilevel"/>
    <w:tmpl w:val="62049D16"/>
    <w:lvl w:ilvl="0" w:tplc="FBA20F00">
      <w:start w:val="1"/>
      <w:numFmt w:val="bullet"/>
      <w:lvlText w:val="•"/>
      <w:lvlJc w:val="left"/>
    </w:lvl>
    <w:lvl w:ilvl="1" w:tplc="C97C370C">
      <w:numFmt w:val="decimal"/>
      <w:lvlText w:val=""/>
      <w:lvlJc w:val="left"/>
    </w:lvl>
    <w:lvl w:ilvl="2" w:tplc="27764656">
      <w:numFmt w:val="decimal"/>
      <w:lvlText w:val=""/>
      <w:lvlJc w:val="left"/>
    </w:lvl>
    <w:lvl w:ilvl="3" w:tplc="BC325476">
      <w:numFmt w:val="decimal"/>
      <w:lvlText w:val=""/>
      <w:lvlJc w:val="left"/>
    </w:lvl>
    <w:lvl w:ilvl="4" w:tplc="84A04F82">
      <w:numFmt w:val="decimal"/>
      <w:lvlText w:val=""/>
      <w:lvlJc w:val="left"/>
    </w:lvl>
    <w:lvl w:ilvl="5" w:tplc="8062CCB2">
      <w:numFmt w:val="decimal"/>
      <w:lvlText w:val=""/>
      <w:lvlJc w:val="left"/>
    </w:lvl>
    <w:lvl w:ilvl="6" w:tplc="84C4D06E">
      <w:numFmt w:val="decimal"/>
      <w:lvlText w:val=""/>
      <w:lvlJc w:val="left"/>
    </w:lvl>
    <w:lvl w:ilvl="7" w:tplc="8E18C9C8">
      <w:numFmt w:val="decimal"/>
      <w:lvlText w:val=""/>
      <w:lvlJc w:val="left"/>
    </w:lvl>
    <w:lvl w:ilvl="8" w:tplc="7D0A4912">
      <w:numFmt w:val="decimal"/>
      <w:lvlText w:val=""/>
      <w:lvlJc w:val="left"/>
    </w:lvl>
  </w:abstractNum>
  <w:abstractNum w:abstractNumId="439" w15:restartNumberingAfterBreak="0">
    <w:nsid w:val="4D2E2321"/>
    <w:multiLevelType w:val="hybridMultilevel"/>
    <w:tmpl w:val="D4A8B0C2"/>
    <w:lvl w:ilvl="0" w:tplc="D438FCBA">
      <w:start w:val="1"/>
      <w:numFmt w:val="bullet"/>
      <w:lvlText w:val="•"/>
      <w:lvlJc w:val="left"/>
    </w:lvl>
    <w:lvl w:ilvl="1" w:tplc="53CABD30">
      <w:start w:val="1"/>
      <w:numFmt w:val="bullet"/>
      <w:lvlText w:val="-"/>
      <w:lvlJc w:val="left"/>
    </w:lvl>
    <w:lvl w:ilvl="2" w:tplc="36B66B4C">
      <w:numFmt w:val="decimal"/>
      <w:lvlText w:val=""/>
      <w:lvlJc w:val="left"/>
    </w:lvl>
    <w:lvl w:ilvl="3" w:tplc="BE02F61A">
      <w:numFmt w:val="decimal"/>
      <w:lvlText w:val=""/>
      <w:lvlJc w:val="left"/>
    </w:lvl>
    <w:lvl w:ilvl="4" w:tplc="0F3CBA00">
      <w:numFmt w:val="decimal"/>
      <w:lvlText w:val=""/>
      <w:lvlJc w:val="left"/>
    </w:lvl>
    <w:lvl w:ilvl="5" w:tplc="271CB342">
      <w:numFmt w:val="decimal"/>
      <w:lvlText w:val=""/>
      <w:lvlJc w:val="left"/>
    </w:lvl>
    <w:lvl w:ilvl="6" w:tplc="A2AAE7AA">
      <w:numFmt w:val="decimal"/>
      <w:lvlText w:val=""/>
      <w:lvlJc w:val="left"/>
    </w:lvl>
    <w:lvl w:ilvl="7" w:tplc="246E1230">
      <w:numFmt w:val="decimal"/>
      <w:lvlText w:val=""/>
      <w:lvlJc w:val="left"/>
    </w:lvl>
    <w:lvl w:ilvl="8" w:tplc="3C4A58E2">
      <w:numFmt w:val="decimal"/>
      <w:lvlText w:val=""/>
      <w:lvlJc w:val="left"/>
    </w:lvl>
  </w:abstractNum>
  <w:abstractNum w:abstractNumId="440" w15:restartNumberingAfterBreak="0">
    <w:nsid w:val="4DBED8B5"/>
    <w:multiLevelType w:val="hybridMultilevel"/>
    <w:tmpl w:val="E42E6CDA"/>
    <w:lvl w:ilvl="0" w:tplc="79369444">
      <w:start w:val="1"/>
      <w:numFmt w:val="decimal"/>
      <w:lvlText w:val="%1."/>
      <w:lvlJc w:val="left"/>
    </w:lvl>
    <w:lvl w:ilvl="1" w:tplc="732E3B9C">
      <w:numFmt w:val="decimal"/>
      <w:lvlText w:val=""/>
      <w:lvlJc w:val="left"/>
    </w:lvl>
    <w:lvl w:ilvl="2" w:tplc="6388CAFE">
      <w:numFmt w:val="decimal"/>
      <w:lvlText w:val=""/>
      <w:lvlJc w:val="left"/>
    </w:lvl>
    <w:lvl w:ilvl="3" w:tplc="21C4D39C">
      <w:numFmt w:val="decimal"/>
      <w:lvlText w:val=""/>
      <w:lvlJc w:val="left"/>
    </w:lvl>
    <w:lvl w:ilvl="4" w:tplc="A7864394">
      <w:numFmt w:val="decimal"/>
      <w:lvlText w:val=""/>
      <w:lvlJc w:val="left"/>
    </w:lvl>
    <w:lvl w:ilvl="5" w:tplc="D11E2A3C">
      <w:numFmt w:val="decimal"/>
      <w:lvlText w:val=""/>
      <w:lvlJc w:val="left"/>
    </w:lvl>
    <w:lvl w:ilvl="6" w:tplc="CF2693A2">
      <w:numFmt w:val="decimal"/>
      <w:lvlText w:val=""/>
      <w:lvlJc w:val="left"/>
    </w:lvl>
    <w:lvl w:ilvl="7" w:tplc="3A60D06A">
      <w:numFmt w:val="decimal"/>
      <w:lvlText w:val=""/>
      <w:lvlJc w:val="left"/>
    </w:lvl>
    <w:lvl w:ilvl="8" w:tplc="205238D8">
      <w:numFmt w:val="decimal"/>
      <w:lvlText w:val=""/>
      <w:lvlJc w:val="left"/>
    </w:lvl>
  </w:abstractNum>
  <w:abstractNum w:abstractNumId="441" w15:restartNumberingAfterBreak="0">
    <w:nsid w:val="4DC02714"/>
    <w:multiLevelType w:val="hybridMultilevel"/>
    <w:tmpl w:val="5D00211C"/>
    <w:lvl w:ilvl="0" w:tplc="7B1A166E">
      <w:start w:val="1"/>
      <w:numFmt w:val="bullet"/>
      <w:lvlText w:val="•"/>
      <w:lvlJc w:val="left"/>
    </w:lvl>
    <w:lvl w:ilvl="1" w:tplc="E7AA1904">
      <w:numFmt w:val="decimal"/>
      <w:lvlText w:val=""/>
      <w:lvlJc w:val="left"/>
    </w:lvl>
    <w:lvl w:ilvl="2" w:tplc="2702CA4C">
      <w:numFmt w:val="decimal"/>
      <w:lvlText w:val=""/>
      <w:lvlJc w:val="left"/>
    </w:lvl>
    <w:lvl w:ilvl="3" w:tplc="5468AD22">
      <w:numFmt w:val="decimal"/>
      <w:lvlText w:val=""/>
      <w:lvlJc w:val="left"/>
    </w:lvl>
    <w:lvl w:ilvl="4" w:tplc="9D9C0752">
      <w:numFmt w:val="decimal"/>
      <w:lvlText w:val=""/>
      <w:lvlJc w:val="left"/>
    </w:lvl>
    <w:lvl w:ilvl="5" w:tplc="243C60E4">
      <w:numFmt w:val="decimal"/>
      <w:lvlText w:val=""/>
      <w:lvlJc w:val="left"/>
    </w:lvl>
    <w:lvl w:ilvl="6" w:tplc="74767208">
      <w:numFmt w:val="decimal"/>
      <w:lvlText w:val=""/>
      <w:lvlJc w:val="left"/>
    </w:lvl>
    <w:lvl w:ilvl="7" w:tplc="263069D4">
      <w:numFmt w:val="decimal"/>
      <w:lvlText w:val=""/>
      <w:lvlJc w:val="left"/>
    </w:lvl>
    <w:lvl w:ilvl="8" w:tplc="6DF0F830">
      <w:numFmt w:val="decimal"/>
      <w:lvlText w:val=""/>
      <w:lvlJc w:val="left"/>
    </w:lvl>
  </w:abstractNum>
  <w:abstractNum w:abstractNumId="442" w15:restartNumberingAfterBreak="0">
    <w:nsid w:val="4DF9979A"/>
    <w:multiLevelType w:val="hybridMultilevel"/>
    <w:tmpl w:val="6EF8B6C2"/>
    <w:lvl w:ilvl="0" w:tplc="B9DA51EE">
      <w:start w:val="1"/>
      <w:numFmt w:val="bullet"/>
      <w:lvlText w:val="●"/>
      <w:lvlJc w:val="left"/>
    </w:lvl>
    <w:lvl w:ilvl="1" w:tplc="6B46BC82">
      <w:numFmt w:val="decimal"/>
      <w:lvlText w:val=""/>
      <w:lvlJc w:val="left"/>
    </w:lvl>
    <w:lvl w:ilvl="2" w:tplc="46D853FA">
      <w:numFmt w:val="decimal"/>
      <w:lvlText w:val=""/>
      <w:lvlJc w:val="left"/>
    </w:lvl>
    <w:lvl w:ilvl="3" w:tplc="2D58DA4E">
      <w:numFmt w:val="decimal"/>
      <w:lvlText w:val=""/>
      <w:lvlJc w:val="left"/>
    </w:lvl>
    <w:lvl w:ilvl="4" w:tplc="65C0CDC2">
      <w:numFmt w:val="decimal"/>
      <w:lvlText w:val=""/>
      <w:lvlJc w:val="left"/>
    </w:lvl>
    <w:lvl w:ilvl="5" w:tplc="0868BDA4">
      <w:numFmt w:val="decimal"/>
      <w:lvlText w:val=""/>
      <w:lvlJc w:val="left"/>
    </w:lvl>
    <w:lvl w:ilvl="6" w:tplc="CA7EF618">
      <w:numFmt w:val="decimal"/>
      <w:lvlText w:val=""/>
      <w:lvlJc w:val="left"/>
    </w:lvl>
    <w:lvl w:ilvl="7" w:tplc="7A00D8BA">
      <w:numFmt w:val="decimal"/>
      <w:lvlText w:val=""/>
      <w:lvlJc w:val="left"/>
    </w:lvl>
    <w:lvl w:ilvl="8" w:tplc="1910C0AC">
      <w:numFmt w:val="decimal"/>
      <w:lvlText w:val=""/>
      <w:lvlJc w:val="left"/>
    </w:lvl>
  </w:abstractNum>
  <w:abstractNum w:abstractNumId="443" w15:restartNumberingAfterBreak="0">
    <w:nsid w:val="4DFF5E8B"/>
    <w:multiLevelType w:val="hybridMultilevel"/>
    <w:tmpl w:val="D4C2D14A"/>
    <w:lvl w:ilvl="0" w:tplc="799CDE2A">
      <w:start w:val="5"/>
      <w:numFmt w:val="lowerLetter"/>
      <w:lvlText w:val="%1)"/>
      <w:lvlJc w:val="left"/>
    </w:lvl>
    <w:lvl w:ilvl="1" w:tplc="ADE00936">
      <w:numFmt w:val="decimal"/>
      <w:lvlText w:val=""/>
      <w:lvlJc w:val="left"/>
    </w:lvl>
    <w:lvl w:ilvl="2" w:tplc="AB3EF562">
      <w:numFmt w:val="decimal"/>
      <w:lvlText w:val=""/>
      <w:lvlJc w:val="left"/>
    </w:lvl>
    <w:lvl w:ilvl="3" w:tplc="3FA4EEC4">
      <w:numFmt w:val="decimal"/>
      <w:lvlText w:val=""/>
      <w:lvlJc w:val="left"/>
    </w:lvl>
    <w:lvl w:ilvl="4" w:tplc="7FFEA63E">
      <w:numFmt w:val="decimal"/>
      <w:lvlText w:val=""/>
      <w:lvlJc w:val="left"/>
    </w:lvl>
    <w:lvl w:ilvl="5" w:tplc="3A449C3C">
      <w:numFmt w:val="decimal"/>
      <w:lvlText w:val=""/>
      <w:lvlJc w:val="left"/>
    </w:lvl>
    <w:lvl w:ilvl="6" w:tplc="3A38CE5E">
      <w:numFmt w:val="decimal"/>
      <w:lvlText w:val=""/>
      <w:lvlJc w:val="left"/>
    </w:lvl>
    <w:lvl w:ilvl="7" w:tplc="94C6E0B4">
      <w:numFmt w:val="decimal"/>
      <w:lvlText w:val=""/>
      <w:lvlJc w:val="left"/>
    </w:lvl>
    <w:lvl w:ilvl="8" w:tplc="069A9B3A">
      <w:numFmt w:val="decimal"/>
      <w:lvlText w:val=""/>
      <w:lvlJc w:val="left"/>
    </w:lvl>
  </w:abstractNum>
  <w:abstractNum w:abstractNumId="444" w15:restartNumberingAfterBreak="0">
    <w:nsid w:val="4E7F1C4D"/>
    <w:multiLevelType w:val="hybridMultilevel"/>
    <w:tmpl w:val="F2648F9E"/>
    <w:lvl w:ilvl="0" w:tplc="38520E8A">
      <w:start w:val="1"/>
      <w:numFmt w:val="bullet"/>
      <w:lvlText w:val="·"/>
      <w:lvlJc w:val="left"/>
    </w:lvl>
    <w:lvl w:ilvl="1" w:tplc="2FA4EBF4">
      <w:numFmt w:val="decimal"/>
      <w:lvlText w:val=""/>
      <w:lvlJc w:val="left"/>
    </w:lvl>
    <w:lvl w:ilvl="2" w:tplc="A1A6FD3C">
      <w:numFmt w:val="decimal"/>
      <w:lvlText w:val=""/>
      <w:lvlJc w:val="left"/>
    </w:lvl>
    <w:lvl w:ilvl="3" w:tplc="B23C4AE6">
      <w:numFmt w:val="decimal"/>
      <w:lvlText w:val=""/>
      <w:lvlJc w:val="left"/>
    </w:lvl>
    <w:lvl w:ilvl="4" w:tplc="D39ED702">
      <w:numFmt w:val="decimal"/>
      <w:lvlText w:val=""/>
      <w:lvlJc w:val="left"/>
    </w:lvl>
    <w:lvl w:ilvl="5" w:tplc="F0F0E8FC">
      <w:numFmt w:val="decimal"/>
      <w:lvlText w:val=""/>
      <w:lvlJc w:val="left"/>
    </w:lvl>
    <w:lvl w:ilvl="6" w:tplc="C49AFC3C">
      <w:numFmt w:val="decimal"/>
      <w:lvlText w:val=""/>
      <w:lvlJc w:val="left"/>
    </w:lvl>
    <w:lvl w:ilvl="7" w:tplc="3DC8A4D4">
      <w:numFmt w:val="decimal"/>
      <w:lvlText w:val=""/>
      <w:lvlJc w:val="left"/>
    </w:lvl>
    <w:lvl w:ilvl="8" w:tplc="DF0EE1B2">
      <w:numFmt w:val="decimal"/>
      <w:lvlText w:val=""/>
      <w:lvlJc w:val="left"/>
    </w:lvl>
  </w:abstractNum>
  <w:abstractNum w:abstractNumId="445" w15:restartNumberingAfterBreak="0">
    <w:nsid w:val="4EB7487C"/>
    <w:multiLevelType w:val="hybridMultilevel"/>
    <w:tmpl w:val="5CB0549E"/>
    <w:lvl w:ilvl="0" w:tplc="9C668D24">
      <w:start w:val="1"/>
      <w:numFmt w:val="lowerLetter"/>
      <w:lvlText w:val="%1)"/>
      <w:lvlJc w:val="left"/>
    </w:lvl>
    <w:lvl w:ilvl="1" w:tplc="42FAF866">
      <w:start w:val="1"/>
      <w:numFmt w:val="bullet"/>
      <w:lvlText w:val="•"/>
      <w:lvlJc w:val="left"/>
    </w:lvl>
    <w:lvl w:ilvl="2" w:tplc="F4503610">
      <w:start w:val="1"/>
      <w:numFmt w:val="bullet"/>
      <w:lvlText w:val="§"/>
      <w:lvlJc w:val="left"/>
    </w:lvl>
    <w:lvl w:ilvl="3" w:tplc="8392FE00">
      <w:numFmt w:val="decimal"/>
      <w:lvlText w:val=""/>
      <w:lvlJc w:val="left"/>
    </w:lvl>
    <w:lvl w:ilvl="4" w:tplc="E6280DA8">
      <w:numFmt w:val="decimal"/>
      <w:lvlText w:val=""/>
      <w:lvlJc w:val="left"/>
    </w:lvl>
    <w:lvl w:ilvl="5" w:tplc="457CFEA8">
      <w:numFmt w:val="decimal"/>
      <w:lvlText w:val=""/>
      <w:lvlJc w:val="left"/>
    </w:lvl>
    <w:lvl w:ilvl="6" w:tplc="00D8BE40">
      <w:numFmt w:val="decimal"/>
      <w:lvlText w:val=""/>
      <w:lvlJc w:val="left"/>
    </w:lvl>
    <w:lvl w:ilvl="7" w:tplc="53EE43D0">
      <w:numFmt w:val="decimal"/>
      <w:lvlText w:val=""/>
      <w:lvlJc w:val="left"/>
    </w:lvl>
    <w:lvl w:ilvl="8" w:tplc="F1EA39B0">
      <w:numFmt w:val="decimal"/>
      <w:lvlText w:val=""/>
      <w:lvlJc w:val="left"/>
    </w:lvl>
  </w:abstractNum>
  <w:abstractNum w:abstractNumId="446" w15:restartNumberingAfterBreak="0">
    <w:nsid w:val="4F5E12A4"/>
    <w:multiLevelType w:val="hybridMultilevel"/>
    <w:tmpl w:val="9FA63E74"/>
    <w:lvl w:ilvl="0" w:tplc="6C9AEBD0">
      <w:start w:val="1"/>
      <w:numFmt w:val="bullet"/>
      <w:lvlText w:val="•"/>
      <w:lvlJc w:val="left"/>
    </w:lvl>
    <w:lvl w:ilvl="1" w:tplc="44446E38">
      <w:numFmt w:val="decimal"/>
      <w:lvlText w:val=""/>
      <w:lvlJc w:val="left"/>
    </w:lvl>
    <w:lvl w:ilvl="2" w:tplc="EE0E1620">
      <w:numFmt w:val="decimal"/>
      <w:lvlText w:val=""/>
      <w:lvlJc w:val="left"/>
    </w:lvl>
    <w:lvl w:ilvl="3" w:tplc="293EBB5E">
      <w:numFmt w:val="decimal"/>
      <w:lvlText w:val=""/>
      <w:lvlJc w:val="left"/>
    </w:lvl>
    <w:lvl w:ilvl="4" w:tplc="87926CBC">
      <w:numFmt w:val="decimal"/>
      <w:lvlText w:val=""/>
      <w:lvlJc w:val="left"/>
    </w:lvl>
    <w:lvl w:ilvl="5" w:tplc="D310A2CA">
      <w:numFmt w:val="decimal"/>
      <w:lvlText w:val=""/>
      <w:lvlJc w:val="left"/>
    </w:lvl>
    <w:lvl w:ilvl="6" w:tplc="B7084DCA">
      <w:numFmt w:val="decimal"/>
      <w:lvlText w:val=""/>
      <w:lvlJc w:val="left"/>
    </w:lvl>
    <w:lvl w:ilvl="7" w:tplc="BDCCC684">
      <w:numFmt w:val="decimal"/>
      <w:lvlText w:val=""/>
      <w:lvlJc w:val="left"/>
    </w:lvl>
    <w:lvl w:ilvl="8" w:tplc="48660868">
      <w:numFmt w:val="decimal"/>
      <w:lvlText w:val=""/>
      <w:lvlJc w:val="left"/>
    </w:lvl>
  </w:abstractNum>
  <w:abstractNum w:abstractNumId="447" w15:restartNumberingAfterBreak="0">
    <w:nsid w:val="4F93AAD5"/>
    <w:multiLevelType w:val="hybridMultilevel"/>
    <w:tmpl w:val="DDB60D74"/>
    <w:lvl w:ilvl="0" w:tplc="7DC432CA">
      <w:start w:val="1"/>
      <w:numFmt w:val="bullet"/>
      <w:lvlText w:val="•"/>
      <w:lvlJc w:val="left"/>
    </w:lvl>
    <w:lvl w:ilvl="1" w:tplc="CAACDE4A">
      <w:numFmt w:val="decimal"/>
      <w:lvlText w:val=""/>
      <w:lvlJc w:val="left"/>
    </w:lvl>
    <w:lvl w:ilvl="2" w:tplc="530ED2CC">
      <w:numFmt w:val="decimal"/>
      <w:lvlText w:val=""/>
      <w:lvlJc w:val="left"/>
    </w:lvl>
    <w:lvl w:ilvl="3" w:tplc="5C4645C2">
      <w:numFmt w:val="decimal"/>
      <w:lvlText w:val=""/>
      <w:lvlJc w:val="left"/>
    </w:lvl>
    <w:lvl w:ilvl="4" w:tplc="7B829E0A">
      <w:numFmt w:val="decimal"/>
      <w:lvlText w:val=""/>
      <w:lvlJc w:val="left"/>
    </w:lvl>
    <w:lvl w:ilvl="5" w:tplc="70446936">
      <w:numFmt w:val="decimal"/>
      <w:lvlText w:val=""/>
      <w:lvlJc w:val="left"/>
    </w:lvl>
    <w:lvl w:ilvl="6" w:tplc="C83A0D0A">
      <w:numFmt w:val="decimal"/>
      <w:lvlText w:val=""/>
      <w:lvlJc w:val="left"/>
    </w:lvl>
    <w:lvl w:ilvl="7" w:tplc="794AAAAE">
      <w:numFmt w:val="decimal"/>
      <w:lvlText w:val=""/>
      <w:lvlJc w:val="left"/>
    </w:lvl>
    <w:lvl w:ilvl="8" w:tplc="8336394A">
      <w:numFmt w:val="decimal"/>
      <w:lvlText w:val=""/>
      <w:lvlJc w:val="left"/>
    </w:lvl>
  </w:abstractNum>
  <w:abstractNum w:abstractNumId="448" w15:restartNumberingAfterBreak="0">
    <w:nsid w:val="4FA4B5A1"/>
    <w:multiLevelType w:val="hybridMultilevel"/>
    <w:tmpl w:val="C02AB64E"/>
    <w:lvl w:ilvl="0" w:tplc="6CB48F6C">
      <w:start w:val="1"/>
      <w:numFmt w:val="bullet"/>
      <w:lvlText w:val="●"/>
      <w:lvlJc w:val="left"/>
    </w:lvl>
    <w:lvl w:ilvl="1" w:tplc="C5587830">
      <w:numFmt w:val="decimal"/>
      <w:lvlText w:val=""/>
      <w:lvlJc w:val="left"/>
    </w:lvl>
    <w:lvl w:ilvl="2" w:tplc="6A9A09CA">
      <w:numFmt w:val="decimal"/>
      <w:lvlText w:val=""/>
      <w:lvlJc w:val="left"/>
    </w:lvl>
    <w:lvl w:ilvl="3" w:tplc="E1C847A6">
      <w:numFmt w:val="decimal"/>
      <w:lvlText w:val=""/>
      <w:lvlJc w:val="left"/>
    </w:lvl>
    <w:lvl w:ilvl="4" w:tplc="FC889460">
      <w:numFmt w:val="decimal"/>
      <w:lvlText w:val=""/>
      <w:lvlJc w:val="left"/>
    </w:lvl>
    <w:lvl w:ilvl="5" w:tplc="A3683890">
      <w:numFmt w:val="decimal"/>
      <w:lvlText w:val=""/>
      <w:lvlJc w:val="left"/>
    </w:lvl>
    <w:lvl w:ilvl="6" w:tplc="4D2E5D9C">
      <w:numFmt w:val="decimal"/>
      <w:lvlText w:val=""/>
      <w:lvlJc w:val="left"/>
    </w:lvl>
    <w:lvl w:ilvl="7" w:tplc="8E223FFC">
      <w:numFmt w:val="decimal"/>
      <w:lvlText w:val=""/>
      <w:lvlJc w:val="left"/>
    </w:lvl>
    <w:lvl w:ilvl="8" w:tplc="292E1362">
      <w:numFmt w:val="decimal"/>
      <w:lvlText w:val=""/>
      <w:lvlJc w:val="left"/>
    </w:lvl>
  </w:abstractNum>
  <w:abstractNum w:abstractNumId="449" w15:restartNumberingAfterBreak="0">
    <w:nsid w:val="4FBE108E"/>
    <w:multiLevelType w:val="hybridMultilevel"/>
    <w:tmpl w:val="8E5A98E8"/>
    <w:lvl w:ilvl="0" w:tplc="92C652B6">
      <w:start w:val="1"/>
      <w:numFmt w:val="bullet"/>
      <w:lvlText w:val="·"/>
      <w:lvlJc w:val="left"/>
    </w:lvl>
    <w:lvl w:ilvl="1" w:tplc="87404340">
      <w:start w:val="6"/>
      <w:numFmt w:val="lowerLetter"/>
      <w:lvlText w:val="%2)"/>
      <w:lvlJc w:val="left"/>
    </w:lvl>
    <w:lvl w:ilvl="2" w:tplc="56124932">
      <w:numFmt w:val="decimal"/>
      <w:lvlText w:val=""/>
      <w:lvlJc w:val="left"/>
    </w:lvl>
    <w:lvl w:ilvl="3" w:tplc="84289042">
      <w:numFmt w:val="decimal"/>
      <w:lvlText w:val=""/>
      <w:lvlJc w:val="left"/>
    </w:lvl>
    <w:lvl w:ilvl="4" w:tplc="B7FCE85C">
      <w:numFmt w:val="decimal"/>
      <w:lvlText w:val=""/>
      <w:lvlJc w:val="left"/>
    </w:lvl>
    <w:lvl w:ilvl="5" w:tplc="A8262756">
      <w:numFmt w:val="decimal"/>
      <w:lvlText w:val=""/>
      <w:lvlJc w:val="left"/>
    </w:lvl>
    <w:lvl w:ilvl="6" w:tplc="87F650B6">
      <w:numFmt w:val="decimal"/>
      <w:lvlText w:val=""/>
      <w:lvlJc w:val="left"/>
    </w:lvl>
    <w:lvl w:ilvl="7" w:tplc="E1FE547E">
      <w:numFmt w:val="decimal"/>
      <w:lvlText w:val=""/>
      <w:lvlJc w:val="left"/>
    </w:lvl>
    <w:lvl w:ilvl="8" w:tplc="E58EF746">
      <w:numFmt w:val="decimal"/>
      <w:lvlText w:val=""/>
      <w:lvlJc w:val="left"/>
    </w:lvl>
  </w:abstractNum>
  <w:abstractNum w:abstractNumId="450" w15:restartNumberingAfterBreak="0">
    <w:nsid w:val="4FD5720B"/>
    <w:multiLevelType w:val="hybridMultilevel"/>
    <w:tmpl w:val="5790B1D4"/>
    <w:lvl w:ilvl="0" w:tplc="B1E05968">
      <w:start w:val="1"/>
      <w:numFmt w:val="bullet"/>
      <w:lvlText w:val="·"/>
      <w:lvlJc w:val="left"/>
    </w:lvl>
    <w:lvl w:ilvl="1" w:tplc="6EA4FBA8">
      <w:numFmt w:val="decimal"/>
      <w:lvlText w:val=""/>
      <w:lvlJc w:val="left"/>
    </w:lvl>
    <w:lvl w:ilvl="2" w:tplc="265C156E">
      <w:numFmt w:val="decimal"/>
      <w:lvlText w:val=""/>
      <w:lvlJc w:val="left"/>
    </w:lvl>
    <w:lvl w:ilvl="3" w:tplc="9AE6D446">
      <w:numFmt w:val="decimal"/>
      <w:lvlText w:val=""/>
      <w:lvlJc w:val="left"/>
    </w:lvl>
    <w:lvl w:ilvl="4" w:tplc="19842C62">
      <w:numFmt w:val="decimal"/>
      <w:lvlText w:val=""/>
      <w:lvlJc w:val="left"/>
    </w:lvl>
    <w:lvl w:ilvl="5" w:tplc="1A12A110">
      <w:numFmt w:val="decimal"/>
      <w:lvlText w:val=""/>
      <w:lvlJc w:val="left"/>
    </w:lvl>
    <w:lvl w:ilvl="6" w:tplc="59EC37C0">
      <w:numFmt w:val="decimal"/>
      <w:lvlText w:val=""/>
      <w:lvlJc w:val="left"/>
    </w:lvl>
    <w:lvl w:ilvl="7" w:tplc="19CE40CA">
      <w:numFmt w:val="decimal"/>
      <w:lvlText w:val=""/>
      <w:lvlJc w:val="left"/>
    </w:lvl>
    <w:lvl w:ilvl="8" w:tplc="D7ECF6B2">
      <w:numFmt w:val="decimal"/>
      <w:lvlText w:val=""/>
      <w:lvlJc w:val="left"/>
    </w:lvl>
  </w:abstractNum>
  <w:abstractNum w:abstractNumId="451" w15:restartNumberingAfterBreak="0">
    <w:nsid w:val="50241288"/>
    <w:multiLevelType w:val="hybridMultilevel"/>
    <w:tmpl w:val="4970DE9A"/>
    <w:lvl w:ilvl="0" w:tplc="44EA16AA">
      <w:start w:val="1"/>
      <w:numFmt w:val="bullet"/>
      <w:lvlText w:val="•"/>
      <w:lvlJc w:val="left"/>
    </w:lvl>
    <w:lvl w:ilvl="1" w:tplc="C1820E6A">
      <w:numFmt w:val="decimal"/>
      <w:lvlText w:val=""/>
      <w:lvlJc w:val="left"/>
    </w:lvl>
    <w:lvl w:ilvl="2" w:tplc="3B7ED250">
      <w:numFmt w:val="decimal"/>
      <w:lvlText w:val=""/>
      <w:lvlJc w:val="left"/>
    </w:lvl>
    <w:lvl w:ilvl="3" w:tplc="E69A609C">
      <w:numFmt w:val="decimal"/>
      <w:lvlText w:val=""/>
      <w:lvlJc w:val="left"/>
    </w:lvl>
    <w:lvl w:ilvl="4" w:tplc="BA829EB6">
      <w:numFmt w:val="decimal"/>
      <w:lvlText w:val=""/>
      <w:lvlJc w:val="left"/>
    </w:lvl>
    <w:lvl w:ilvl="5" w:tplc="3C92F566">
      <w:numFmt w:val="decimal"/>
      <w:lvlText w:val=""/>
      <w:lvlJc w:val="left"/>
    </w:lvl>
    <w:lvl w:ilvl="6" w:tplc="0B7E2666">
      <w:numFmt w:val="decimal"/>
      <w:lvlText w:val=""/>
      <w:lvlJc w:val="left"/>
    </w:lvl>
    <w:lvl w:ilvl="7" w:tplc="7E0E5ED8">
      <w:numFmt w:val="decimal"/>
      <w:lvlText w:val=""/>
      <w:lvlJc w:val="left"/>
    </w:lvl>
    <w:lvl w:ilvl="8" w:tplc="E6C4A48C">
      <w:numFmt w:val="decimal"/>
      <w:lvlText w:val=""/>
      <w:lvlJc w:val="left"/>
    </w:lvl>
  </w:abstractNum>
  <w:abstractNum w:abstractNumId="452" w15:restartNumberingAfterBreak="0">
    <w:nsid w:val="5026170B"/>
    <w:multiLevelType w:val="hybridMultilevel"/>
    <w:tmpl w:val="47E6920C"/>
    <w:lvl w:ilvl="0" w:tplc="04050001">
      <w:start w:val="1"/>
      <w:numFmt w:val="bullet"/>
      <w:lvlText w:val=""/>
      <w:lvlJc w:val="left"/>
      <w:pPr>
        <w:ind w:left="1200" w:hanging="360"/>
      </w:pPr>
      <w:rPr>
        <w:rFonts w:ascii="Symbol" w:hAnsi="Symbol" w:hint="default"/>
      </w:rPr>
    </w:lvl>
    <w:lvl w:ilvl="1" w:tplc="04050003" w:tentative="1">
      <w:start w:val="1"/>
      <w:numFmt w:val="bullet"/>
      <w:lvlText w:val="o"/>
      <w:lvlJc w:val="left"/>
      <w:pPr>
        <w:ind w:left="1920" w:hanging="360"/>
      </w:pPr>
      <w:rPr>
        <w:rFonts w:ascii="Courier New" w:hAnsi="Courier New" w:cs="Courier New" w:hint="default"/>
      </w:rPr>
    </w:lvl>
    <w:lvl w:ilvl="2" w:tplc="04050005" w:tentative="1">
      <w:start w:val="1"/>
      <w:numFmt w:val="bullet"/>
      <w:lvlText w:val=""/>
      <w:lvlJc w:val="left"/>
      <w:pPr>
        <w:ind w:left="2640" w:hanging="360"/>
      </w:pPr>
      <w:rPr>
        <w:rFonts w:ascii="Wingdings" w:hAnsi="Wingdings" w:hint="default"/>
      </w:rPr>
    </w:lvl>
    <w:lvl w:ilvl="3" w:tplc="04050001" w:tentative="1">
      <w:start w:val="1"/>
      <w:numFmt w:val="bullet"/>
      <w:lvlText w:val=""/>
      <w:lvlJc w:val="left"/>
      <w:pPr>
        <w:ind w:left="3360" w:hanging="360"/>
      </w:pPr>
      <w:rPr>
        <w:rFonts w:ascii="Symbol" w:hAnsi="Symbol" w:hint="default"/>
      </w:rPr>
    </w:lvl>
    <w:lvl w:ilvl="4" w:tplc="04050003" w:tentative="1">
      <w:start w:val="1"/>
      <w:numFmt w:val="bullet"/>
      <w:lvlText w:val="o"/>
      <w:lvlJc w:val="left"/>
      <w:pPr>
        <w:ind w:left="4080" w:hanging="360"/>
      </w:pPr>
      <w:rPr>
        <w:rFonts w:ascii="Courier New" w:hAnsi="Courier New" w:cs="Courier New" w:hint="default"/>
      </w:rPr>
    </w:lvl>
    <w:lvl w:ilvl="5" w:tplc="04050005" w:tentative="1">
      <w:start w:val="1"/>
      <w:numFmt w:val="bullet"/>
      <w:lvlText w:val=""/>
      <w:lvlJc w:val="left"/>
      <w:pPr>
        <w:ind w:left="4800" w:hanging="360"/>
      </w:pPr>
      <w:rPr>
        <w:rFonts w:ascii="Wingdings" w:hAnsi="Wingdings" w:hint="default"/>
      </w:rPr>
    </w:lvl>
    <w:lvl w:ilvl="6" w:tplc="04050001" w:tentative="1">
      <w:start w:val="1"/>
      <w:numFmt w:val="bullet"/>
      <w:lvlText w:val=""/>
      <w:lvlJc w:val="left"/>
      <w:pPr>
        <w:ind w:left="5520" w:hanging="360"/>
      </w:pPr>
      <w:rPr>
        <w:rFonts w:ascii="Symbol" w:hAnsi="Symbol" w:hint="default"/>
      </w:rPr>
    </w:lvl>
    <w:lvl w:ilvl="7" w:tplc="04050003" w:tentative="1">
      <w:start w:val="1"/>
      <w:numFmt w:val="bullet"/>
      <w:lvlText w:val="o"/>
      <w:lvlJc w:val="left"/>
      <w:pPr>
        <w:ind w:left="6240" w:hanging="360"/>
      </w:pPr>
      <w:rPr>
        <w:rFonts w:ascii="Courier New" w:hAnsi="Courier New" w:cs="Courier New" w:hint="default"/>
      </w:rPr>
    </w:lvl>
    <w:lvl w:ilvl="8" w:tplc="04050005" w:tentative="1">
      <w:start w:val="1"/>
      <w:numFmt w:val="bullet"/>
      <w:lvlText w:val=""/>
      <w:lvlJc w:val="left"/>
      <w:pPr>
        <w:ind w:left="6960" w:hanging="360"/>
      </w:pPr>
      <w:rPr>
        <w:rFonts w:ascii="Wingdings" w:hAnsi="Wingdings" w:hint="default"/>
      </w:rPr>
    </w:lvl>
  </w:abstractNum>
  <w:abstractNum w:abstractNumId="453" w15:restartNumberingAfterBreak="0">
    <w:nsid w:val="5048B22C"/>
    <w:multiLevelType w:val="hybridMultilevel"/>
    <w:tmpl w:val="9CBC7AEA"/>
    <w:lvl w:ilvl="0" w:tplc="E1064FD0">
      <w:start w:val="1"/>
      <w:numFmt w:val="bullet"/>
      <w:lvlText w:val="-"/>
      <w:lvlJc w:val="left"/>
    </w:lvl>
    <w:lvl w:ilvl="1" w:tplc="5A70E024">
      <w:numFmt w:val="decimal"/>
      <w:lvlText w:val=""/>
      <w:lvlJc w:val="left"/>
    </w:lvl>
    <w:lvl w:ilvl="2" w:tplc="55F862C8">
      <w:numFmt w:val="decimal"/>
      <w:lvlText w:val=""/>
      <w:lvlJc w:val="left"/>
    </w:lvl>
    <w:lvl w:ilvl="3" w:tplc="2DB624D8">
      <w:numFmt w:val="decimal"/>
      <w:lvlText w:val=""/>
      <w:lvlJc w:val="left"/>
    </w:lvl>
    <w:lvl w:ilvl="4" w:tplc="EC784CE8">
      <w:numFmt w:val="decimal"/>
      <w:lvlText w:val=""/>
      <w:lvlJc w:val="left"/>
    </w:lvl>
    <w:lvl w:ilvl="5" w:tplc="E0D86658">
      <w:numFmt w:val="decimal"/>
      <w:lvlText w:val=""/>
      <w:lvlJc w:val="left"/>
    </w:lvl>
    <w:lvl w:ilvl="6" w:tplc="DB06F826">
      <w:numFmt w:val="decimal"/>
      <w:lvlText w:val=""/>
      <w:lvlJc w:val="left"/>
    </w:lvl>
    <w:lvl w:ilvl="7" w:tplc="5D4C8E68">
      <w:numFmt w:val="decimal"/>
      <w:lvlText w:val=""/>
      <w:lvlJc w:val="left"/>
    </w:lvl>
    <w:lvl w:ilvl="8" w:tplc="B4E64B76">
      <w:numFmt w:val="decimal"/>
      <w:lvlText w:val=""/>
      <w:lvlJc w:val="left"/>
    </w:lvl>
  </w:abstractNum>
  <w:abstractNum w:abstractNumId="454" w15:restartNumberingAfterBreak="0">
    <w:nsid w:val="50528108"/>
    <w:multiLevelType w:val="hybridMultilevel"/>
    <w:tmpl w:val="D3701104"/>
    <w:lvl w:ilvl="0" w:tplc="243A4650">
      <w:start w:val="1"/>
      <w:numFmt w:val="bullet"/>
      <w:lvlText w:val="•"/>
      <w:lvlJc w:val="left"/>
    </w:lvl>
    <w:lvl w:ilvl="1" w:tplc="B994EA9C">
      <w:numFmt w:val="decimal"/>
      <w:lvlText w:val=""/>
      <w:lvlJc w:val="left"/>
    </w:lvl>
    <w:lvl w:ilvl="2" w:tplc="21FC34F4">
      <w:numFmt w:val="decimal"/>
      <w:lvlText w:val=""/>
      <w:lvlJc w:val="left"/>
    </w:lvl>
    <w:lvl w:ilvl="3" w:tplc="FBBADC70">
      <w:numFmt w:val="decimal"/>
      <w:lvlText w:val=""/>
      <w:lvlJc w:val="left"/>
    </w:lvl>
    <w:lvl w:ilvl="4" w:tplc="437EC99A">
      <w:numFmt w:val="decimal"/>
      <w:lvlText w:val=""/>
      <w:lvlJc w:val="left"/>
    </w:lvl>
    <w:lvl w:ilvl="5" w:tplc="91E45118">
      <w:numFmt w:val="decimal"/>
      <w:lvlText w:val=""/>
      <w:lvlJc w:val="left"/>
    </w:lvl>
    <w:lvl w:ilvl="6" w:tplc="7DDE4348">
      <w:numFmt w:val="decimal"/>
      <w:lvlText w:val=""/>
      <w:lvlJc w:val="left"/>
    </w:lvl>
    <w:lvl w:ilvl="7" w:tplc="A5D6B574">
      <w:numFmt w:val="decimal"/>
      <w:lvlText w:val=""/>
      <w:lvlJc w:val="left"/>
    </w:lvl>
    <w:lvl w:ilvl="8" w:tplc="D5CED0E0">
      <w:numFmt w:val="decimal"/>
      <w:lvlText w:val=""/>
      <w:lvlJc w:val="left"/>
    </w:lvl>
  </w:abstractNum>
  <w:abstractNum w:abstractNumId="455" w15:restartNumberingAfterBreak="0">
    <w:nsid w:val="514FBE5A"/>
    <w:multiLevelType w:val="hybridMultilevel"/>
    <w:tmpl w:val="B5561BBA"/>
    <w:lvl w:ilvl="0" w:tplc="167040F4">
      <w:start w:val="1"/>
      <w:numFmt w:val="bullet"/>
      <w:lvlText w:val="•"/>
      <w:lvlJc w:val="left"/>
    </w:lvl>
    <w:lvl w:ilvl="1" w:tplc="22B023D4">
      <w:numFmt w:val="decimal"/>
      <w:lvlText w:val=""/>
      <w:lvlJc w:val="left"/>
    </w:lvl>
    <w:lvl w:ilvl="2" w:tplc="C0809140">
      <w:numFmt w:val="decimal"/>
      <w:lvlText w:val=""/>
      <w:lvlJc w:val="left"/>
    </w:lvl>
    <w:lvl w:ilvl="3" w:tplc="C60409CC">
      <w:numFmt w:val="decimal"/>
      <w:lvlText w:val=""/>
      <w:lvlJc w:val="left"/>
    </w:lvl>
    <w:lvl w:ilvl="4" w:tplc="475E42B0">
      <w:numFmt w:val="decimal"/>
      <w:lvlText w:val=""/>
      <w:lvlJc w:val="left"/>
    </w:lvl>
    <w:lvl w:ilvl="5" w:tplc="EC3656D8">
      <w:numFmt w:val="decimal"/>
      <w:lvlText w:val=""/>
      <w:lvlJc w:val="left"/>
    </w:lvl>
    <w:lvl w:ilvl="6" w:tplc="2F68F1FA">
      <w:numFmt w:val="decimal"/>
      <w:lvlText w:val=""/>
      <w:lvlJc w:val="left"/>
    </w:lvl>
    <w:lvl w:ilvl="7" w:tplc="A7B2C260">
      <w:numFmt w:val="decimal"/>
      <w:lvlText w:val=""/>
      <w:lvlJc w:val="left"/>
    </w:lvl>
    <w:lvl w:ilvl="8" w:tplc="83B4FE12">
      <w:numFmt w:val="decimal"/>
      <w:lvlText w:val=""/>
      <w:lvlJc w:val="left"/>
    </w:lvl>
  </w:abstractNum>
  <w:abstractNum w:abstractNumId="456" w15:restartNumberingAfterBreak="0">
    <w:nsid w:val="517DF487"/>
    <w:multiLevelType w:val="hybridMultilevel"/>
    <w:tmpl w:val="A7C2712E"/>
    <w:lvl w:ilvl="0" w:tplc="53B4BA20">
      <w:start w:val="1"/>
      <w:numFmt w:val="lowerLetter"/>
      <w:lvlText w:val="%1)"/>
      <w:lvlJc w:val="left"/>
    </w:lvl>
    <w:lvl w:ilvl="1" w:tplc="D54C8274">
      <w:numFmt w:val="decimal"/>
      <w:lvlText w:val=""/>
      <w:lvlJc w:val="left"/>
    </w:lvl>
    <w:lvl w:ilvl="2" w:tplc="2AE4C572">
      <w:numFmt w:val="decimal"/>
      <w:lvlText w:val=""/>
      <w:lvlJc w:val="left"/>
    </w:lvl>
    <w:lvl w:ilvl="3" w:tplc="56AEE0DC">
      <w:numFmt w:val="decimal"/>
      <w:lvlText w:val=""/>
      <w:lvlJc w:val="left"/>
    </w:lvl>
    <w:lvl w:ilvl="4" w:tplc="079689D4">
      <w:numFmt w:val="decimal"/>
      <w:lvlText w:val=""/>
      <w:lvlJc w:val="left"/>
    </w:lvl>
    <w:lvl w:ilvl="5" w:tplc="3286BB84">
      <w:numFmt w:val="decimal"/>
      <w:lvlText w:val=""/>
      <w:lvlJc w:val="left"/>
    </w:lvl>
    <w:lvl w:ilvl="6" w:tplc="46E67630">
      <w:numFmt w:val="decimal"/>
      <w:lvlText w:val=""/>
      <w:lvlJc w:val="left"/>
    </w:lvl>
    <w:lvl w:ilvl="7" w:tplc="92A44A2C">
      <w:numFmt w:val="decimal"/>
      <w:lvlText w:val=""/>
      <w:lvlJc w:val="left"/>
    </w:lvl>
    <w:lvl w:ilvl="8" w:tplc="0E065EAC">
      <w:numFmt w:val="decimal"/>
      <w:lvlText w:val=""/>
      <w:lvlJc w:val="left"/>
    </w:lvl>
  </w:abstractNum>
  <w:abstractNum w:abstractNumId="457" w15:restartNumberingAfterBreak="0">
    <w:nsid w:val="518AFBEE"/>
    <w:multiLevelType w:val="hybridMultilevel"/>
    <w:tmpl w:val="7CC62012"/>
    <w:lvl w:ilvl="0" w:tplc="B5CE16E6">
      <w:start w:val="1"/>
      <w:numFmt w:val="bullet"/>
      <w:lvlText w:val="-"/>
      <w:lvlJc w:val="left"/>
    </w:lvl>
    <w:lvl w:ilvl="1" w:tplc="FC04B414">
      <w:numFmt w:val="decimal"/>
      <w:lvlText w:val=""/>
      <w:lvlJc w:val="left"/>
    </w:lvl>
    <w:lvl w:ilvl="2" w:tplc="189C61C8">
      <w:numFmt w:val="decimal"/>
      <w:lvlText w:val=""/>
      <w:lvlJc w:val="left"/>
    </w:lvl>
    <w:lvl w:ilvl="3" w:tplc="C3F05D16">
      <w:numFmt w:val="decimal"/>
      <w:lvlText w:val=""/>
      <w:lvlJc w:val="left"/>
    </w:lvl>
    <w:lvl w:ilvl="4" w:tplc="AF4A4554">
      <w:numFmt w:val="decimal"/>
      <w:lvlText w:val=""/>
      <w:lvlJc w:val="left"/>
    </w:lvl>
    <w:lvl w:ilvl="5" w:tplc="3926B544">
      <w:numFmt w:val="decimal"/>
      <w:lvlText w:val=""/>
      <w:lvlJc w:val="left"/>
    </w:lvl>
    <w:lvl w:ilvl="6" w:tplc="6576CB78">
      <w:numFmt w:val="decimal"/>
      <w:lvlText w:val=""/>
      <w:lvlJc w:val="left"/>
    </w:lvl>
    <w:lvl w:ilvl="7" w:tplc="45682702">
      <w:numFmt w:val="decimal"/>
      <w:lvlText w:val=""/>
      <w:lvlJc w:val="left"/>
    </w:lvl>
    <w:lvl w:ilvl="8" w:tplc="F8DCAA3C">
      <w:numFmt w:val="decimal"/>
      <w:lvlText w:val=""/>
      <w:lvlJc w:val="left"/>
    </w:lvl>
  </w:abstractNum>
  <w:abstractNum w:abstractNumId="458" w15:restartNumberingAfterBreak="0">
    <w:nsid w:val="519A3B38"/>
    <w:multiLevelType w:val="hybridMultilevel"/>
    <w:tmpl w:val="226C0F2E"/>
    <w:lvl w:ilvl="0" w:tplc="04050003">
      <w:start w:val="1"/>
      <w:numFmt w:val="bullet"/>
      <w:lvlText w:val="o"/>
      <w:lvlJc w:val="left"/>
      <w:pPr>
        <w:ind w:left="1778" w:hanging="360"/>
      </w:pPr>
      <w:rPr>
        <w:rFonts w:ascii="Courier New" w:hAnsi="Courier New" w:cs="Courier New" w:hint="default"/>
      </w:rPr>
    </w:lvl>
    <w:lvl w:ilvl="1" w:tplc="04050003" w:tentative="1">
      <w:start w:val="1"/>
      <w:numFmt w:val="bullet"/>
      <w:lvlText w:val="o"/>
      <w:lvlJc w:val="left"/>
      <w:pPr>
        <w:ind w:left="2498" w:hanging="360"/>
      </w:pPr>
      <w:rPr>
        <w:rFonts w:ascii="Courier New" w:hAnsi="Courier New" w:cs="Courier New" w:hint="default"/>
      </w:rPr>
    </w:lvl>
    <w:lvl w:ilvl="2" w:tplc="04050005" w:tentative="1">
      <w:start w:val="1"/>
      <w:numFmt w:val="bullet"/>
      <w:lvlText w:val=""/>
      <w:lvlJc w:val="left"/>
      <w:pPr>
        <w:ind w:left="3218" w:hanging="360"/>
      </w:pPr>
      <w:rPr>
        <w:rFonts w:ascii="Wingdings" w:hAnsi="Wingdings" w:hint="default"/>
      </w:rPr>
    </w:lvl>
    <w:lvl w:ilvl="3" w:tplc="04050001" w:tentative="1">
      <w:start w:val="1"/>
      <w:numFmt w:val="bullet"/>
      <w:lvlText w:val=""/>
      <w:lvlJc w:val="left"/>
      <w:pPr>
        <w:ind w:left="3938" w:hanging="360"/>
      </w:pPr>
      <w:rPr>
        <w:rFonts w:ascii="Symbol" w:hAnsi="Symbol" w:hint="default"/>
      </w:rPr>
    </w:lvl>
    <w:lvl w:ilvl="4" w:tplc="04050003" w:tentative="1">
      <w:start w:val="1"/>
      <w:numFmt w:val="bullet"/>
      <w:lvlText w:val="o"/>
      <w:lvlJc w:val="left"/>
      <w:pPr>
        <w:ind w:left="4658" w:hanging="360"/>
      </w:pPr>
      <w:rPr>
        <w:rFonts w:ascii="Courier New" w:hAnsi="Courier New" w:cs="Courier New" w:hint="default"/>
      </w:rPr>
    </w:lvl>
    <w:lvl w:ilvl="5" w:tplc="04050005" w:tentative="1">
      <w:start w:val="1"/>
      <w:numFmt w:val="bullet"/>
      <w:lvlText w:val=""/>
      <w:lvlJc w:val="left"/>
      <w:pPr>
        <w:ind w:left="5378" w:hanging="360"/>
      </w:pPr>
      <w:rPr>
        <w:rFonts w:ascii="Wingdings" w:hAnsi="Wingdings" w:hint="default"/>
      </w:rPr>
    </w:lvl>
    <w:lvl w:ilvl="6" w:tplc="04050001" w:tentative="1">
      <w:start w:val="1"/>
      <w:numFmt w:val="bullet"/>
      <w:lvlText w:val=""/>
      <w:lvlJc w:val="left"/>
      <w:pPr>
        <w:ind w:left="6098" w:hanging="360"/>
      </w:pPr>
      <w:rPr>
        <w:rFonts w:ascii="Symbol" w:hAnsi="Symbol" w:hint="default"/>
      </w:rPr>
    </w:lvl>
    <w:lvl w:ilvl="7" w:tplc="04050003" w:tentative="1">
      <w:start w:val="1"/>
      <w:numFmt w:val="bullet"/>
      <w:lvlText w:val="o"/>
      <w:lvlJc w:val="left"/>
      <w:pPr>
        <w:ind w:left="6818" w:hanging="360"/>
      </w:pPr>
      <w:rPr>
        <w:rFonts w:ascii="Courier New" w:hAnsi="Courier New" w:cs="Courier New" w:hint="default"/>
      </w:rPr>
    </w:lvl>
    <w:lvl w:ilvl="8" w:tplc="04050005" w:tentative="1">
      <w:start w:val="1"/>
      <w:numFmt w:val="bullet"/>
      <w:lvlText w:val=""/>
      <w:lvlJc w:val="left"/>
      <w:pPr>
        <w:ind w:left="7538" w:hanging="360"/>
      </w:pPr>
      <w:rPr>
        <w:rFonts w:ascii="Wingdings" w:hAnsi="Wingdings" w:hint="default"/>
      </w:rPr>
    </w:lvl>
  </w:abstractNum>
  <w:abstractNum w:abstractNumId="459" w15:restartNumberingAfterBreak="0">
    <w:nsid w:val="51A139F7"/>
    <w:multiLevelType w:val="hybridMultilevel"/>
    <w:tmpl w:val="0DA6FDFC"/>
    <w:lvl w:ilvl="0" w:tplc="38DEE8EE">
      <w:start w:val="1"/>
      <w:numFmt w:val="bullet"/>
      <w:lvlText w:val="-"/>
      <w:lvlJc w:val="left"/>
    </w:lvl>
    <w:lvl w:ilvl="1" w:tplc="A7889B2E">
      <w:numFmt w:val="decimal"/>
      <w:lvlText w:val=""/>
      <w:lvlJc w:val="left"/>
    </w:lvl>
    <w:lvl w:ilvl="2" w:tplc="AC62B3AA">
      <w:numFmt w:val="decimal"/>
      <w:lvlText w:val=""/>
      <w:lvlJc w:val="left"/>
    </w:lvl>
    <w:lvl w:ilvl="3" w:tplc="11FEB818">
      <w:numFmt w:val="decimal"/>
      <w:lvlText w:val=""/>
      <w:lvlJc w:val="left"/>
    </w:lvl>
    <w:lvl w:ilvl="4" w:tplc="29BEAC20">
      <w:numFmt w:val="decimal"/>
      <w:lvlText w:val=""/>
      <w:lvlJc w:val="left"/>
    </w:lvl>
    <w:lvl w:ilvl="5" w:tplc="C804BF34">
      <w:numFmt w:val="decimal"/>
      <w:lvlText w:val=""/>
      <w:lvlJc w:val="left"/>
    </w:lvl>
    <w:lvl w:ilvl="6" w:tplc="CE5C2B36">
      <w:numFmt w:val="decimal"/>
      <w:lvlText w:val=""/>
      <w:lvlJc w:val="left"/>
    </w:lvl>
    <w:lvl w:ilvl="7" w:tplc="30885D7C">
      <w:numFmt w:val="decimal"/>
      <w:lvlText w:val=""/>
      <w:lvlJc w:val="left"/>
    </w:lvl>
    <w:lvl w:ilvl="8" w:tplc="B3F07322">
      <w:numFmt w:val="decimal"/>
      <w:lvlText w:val=""/>
      <w:lvlJc w:val="left"/>
    </w:lvl>
  </w:abstractNum>
  <w:abstractNum w:abstractNumId="460" w15:restartNumberingAfterBreak="0">
    <w:nsid w:val="51C07F53"/>
    <w:multiLevelType w:val="hybridMultilevel"/>
    <w:tmpl w:val="8B2EE914"/>
    <w:lvl w:ilvl="0" w:tplc="348AF902">
      <w:start w:val="1"/>
      <w:numFmt w:val="bullet"/>
      <w:lvlText w:val="●"/>
      <w:lvlJc w:val="left"/>
    </w:lvl>
    <w:lvl w:ilvl="1" w:tplc="7A7EA612">
      <w:numFmt w:val="decimal"/>
      <w:lvlText w:val=""/>
      <w:lvlJc w:val="left"/>
    </w:lvl>
    <w:lvl w:ilvl="2" w:tplc="8BFE0A56">
      <w:numFmt w:val="decimal"/>
      <w:lvlText w:val=""/>
      <w:lvlJc w:val="left"/>
    </w:lvl>
    <w:lvl w:ilvl="3" w:tplc="C9BCE826">
      <w:numFmt w:val="decimal"/>
      <w:lvlText w:val=""/>
      <w:lvlJc w:val="left"/>
    </w:lvl>
    <w:lvl w:ilvl="4" w:tplc="BA9CA2BC">
      <w:numFmt w:val="decimal"/>
      <w:lvlText w:val=""/>
      <w:lvlJc w:val="left"/>
    </w:lvl>
    <w:lvl w:ilvl="5" w:tplc="701A136A">
      <w:numFmt w:val="decimal"/>
      <w:lvlText w:val=""/>
      <w:lvlJc w:val="left"/>
    </w:lvl>
    <w:lvl w:ilvl="6" w:tplc="4B1AB92E">
      <w:numFmt w:val="decimal"/>
      <w:lvlText w:val=""/>
      <w:lvlJc w:val="left"/>
    </w:lvl>
    <w:lvl w:ilvl="7" w:tplc="C7F6CC12">
      <w:numFmt w:val="decimal"/>
      <w:lvlText w:val=""/>
      <w:lvlJc w:val="left"/>
    </w:lvl>
    <w:lvl w:ilvl="8" w:tplc="5FF488AE">
      <w:numFmt w:val="decimal"/>
      <w:lvlText w:val=""/>
      <w:lvlJc w:val="left"/>
    </w:lvl>
  </w:abstractNum>
  <w:abstractNum w:abstractNumId="461" w15:restartNumberingAfterBreak="0">
    <w:nsid w:val="52127406"/>
    <w:multiLevelType w:val="hybridMultilevel"/>
    <w:tmpl w:val="3B14BA02"/>
    <w:lvl w:ilvl="0" w:tplc="983C9DBE">
      <w:start w:val="1"/>
      <w:numFmt w:val="bullet"/>
      <w:lvlText w:val="·"/>
      <w:lvlJc w:val="left"/>
    </w:lvl>
    <w:lvl w:ilvl="1" w:tplc="FB462F6A">
      <w:numFmt w:val="decimal"/>
      <w:lvlText w:val=""/>
      <w:lvlJc w:val="left"/>
    </w:lvl>
    <w:lvl w:ilvl="2" w:tplc="44D06464">
      <w:numFmt w:val="decimal"/>
      <w:lvlText w:val=""/>
      <w:lvlJc w:val="left"/>
    </w:lvl>
    <w:lvl w:ilvl="3" w:tplc="C256E2C4">
      <w:numFmt w:val="decimal"/>
      <w:lvlText w:val=""/>
      <w:lvlJc w:val="left"/>
    </w:lvl>
    <w:lvl w:ilvl="4" w:tplc="2D6E3F66">
      <w:numFmt w:val="decimal"/>
      <w:lvlText w:val=""/>
      <w:lvlJc w:val="left"/>
    </w:lvl>
    <w:lvl w:ilvl="5" w:tplc="86029970">
      <w:numFmt w:val="decimal"/>
      <w:lvlText w:val=""/>
      <w:lvlJc w:val="left"/>
    </w:lvl>
    <w:lvl w:ilvl="6" w:tplc="F6E8A960">
      <w:numFmt w:val="decimal"/>
      <w:lvlText w:val=""/>
      <w:lvlJc w:val="left"/>
    </w:lvl>
    <w:lvl w:ilvl="7" w:tplc="6E3A38D0">
      <w:numFmt w:val="decimal"/>
      <w:lvlText w:val=""/>
      <w:lvlJc w:val="left"/>
    </w:lvl>
    <w:lvl w:ilvl="8" w:tplc="DC3A48F2">
      <w:numFmt w:val="decimal"/>
      <w:lvlText w:val=""/>
      <w:lvlJc w:val="left"/>
    </w:lvl>
  </w:abstractNum>
  <w:abstractNum w:abstractNumId="462" w15:restartNumberingAfterBreak="0">
    <w:nsid w:val="52250A72"/>
    <w:multiLevelType w:val="hybridMultilevel"/>
    <w:tmpl w:val="D584BF7A"/>
    <w:lvl w:ilvl="0" w:tplc="04050011">
      <w:start w:val="1"/>
      <w:numFmt w:val="decimal"/>
      <w:lvlText w:val="%1)"/>
      <w:lvlJc w:val="left"/>
    </w:lvl>
    <w:lvl w:ilvl="1" w:tplc="9BA8145C">
      <w:numFmt w:val="decimal"/>
      <w:lvlText w:val=""/>
      <w:lvlJc w:val="left"/>
    </w:lvl>
    <w:lvl w:ilvl="2" w:tplc="5156E550">
      <w:numFmt w:val="decimal"/>
      <w:lvlText w:val=""/>
      <w:lvlJc w:val="left"/>
    </w:lvl>
    <w:lvl w:ilvl="3" w:tplc="AA7CFCE8">
      <w:numFmt w:val="decimal"/>
      <w:lvlText w:val=""/>
      <w:lvlJc w:val="left"/>
    </w:lvl>
    <w:lvl w:ilvl="4" w:tplc="DFC40A8A">
      <w:numFmt w:val="decimal"/>
      <w:lvlText w:val=""/>
      <w:lvlJc w:val="left"/>
    </w:lvl>
    <w:lvl w:ilvl="5" w:tplc="C40820EA">
      <w:numFmt w:val="decimal"/>
      <w:lvlText w:val=""/>
      <w:lvlJc w:val="left"/>
    </w:lvl>
    <w:lvl w:ilvl="6" w:tplc="0F347E0A">
      <w:numFmt w:val="decimal"/>
      <w:lvlText w:val=""/>
      <w:lvlJc w:val="left"/>
    </w:lvl>
    <w:lvl w:ilvl="7" w:tplc="BB508FAE">
      <w:numFmt w:val="decimal"/>
      <w:lvlText w:val=""/>
      <w:lvlJc w:val="left"/>
    </w:lvl>
    <w:lvl w:ilvl="8" w:tplc="88F83C1E">
      <w:numFmt w:val="decimal"/>
      <w:lvlText w:val=""/>
      <w:lvlJc w:val="left"/>
    </w:lvl>
  </w:abstractNum>
  <w:abstractNum w:abstractNumId="463" w15:restartNumberingAfterBreak="0">
    <w:nsid w:val="523D244B"/>
    <w:multiLevelType w:val="hybridMultilevel"/>
    <w:tmpl w:val="1F84894E"/>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64" w15:restartNumberingAfterBreak="0">
    <w:nsid w:val="527F603D"/>
    <w:multiLevelType w:val="hybridMultilevel"/>
    <w:tmpl w:val="565C6A4C"/>
    <w:lvl w:ilvl="0" w:tplc="5E009138">
      <w:start w:val="1"/>
      <w:numFmt w:val="lowerLetter"/>
      <w:lvlText w:val="%1)"/>
      <w:lvlJc w:val="left"/>
    </w:lvl>
    <w:lvl w:ilvl="1" w:tplc="A53C94F6">
      <w:start w:val="20"/>
      <w:numFmt w:val="decimal"/>
      <w:lvlText w:val="%2."/>
      <w:lvlJc w:val="left"/>
    </w:lvl>
    <w:lvl w:ilvl="2" w:tplc="2F2ACB12">
      <w:numFmt w:val="decimal"/>
      <w:lvlText w:val=""/>
      <w:lvlJc w:val="left"/>
    </w:lvl>
    <w:lvl w:ilvl="3" w:tplc="179E60EA">
      <w:numFmt w:val="decimal"/>
      <w:lvlText w:val=""/>
      <w:lvlJc w:val="left"/>
    </w:lvl>
    <w:lvl w:ilvl="4" w:tplc="88C09640">
      <w:numFmt w:val="decimal"/>
      <w:lvlText w:val=""/>
      <w:lvlJc w:val="left"/>
    </w:lvl>
    <w:lvl w:ilvl="5" w:tplc="8DAEB9EC">
      <w:numFmt w:val="decimal"/>
      <w:lvlText w:val=""/>
      <w:lvlJc w:val="left"/>
    </w:lvl>
    <w:lvl w:ilvl="6" w:tplc="2B8AAA30">
      <w:numFmt w:val="decimal"/>
      <w:lvlText w:val=""/>
      <w:lvlJc w:val="left"/>
    </w:lvl>
    <w:lvl w:ilvl="7" w:tplc="6D909E7A">
      <w:numFmt w:val="decimal"/>
      <w:lvlText w:val=""/>
      <w:lvlJc w:val="left"/>
    </w:lvl>
    <w:lvl w:ilvl="8" w:tplc="3E06BB06">
      <w:numFmt w:val="decimal"/>
      <w:lvlText w:val=""/>
      <w:lvlJc w:val="left"/>
    </w:lvl>
  </w:abstractNum>
  <w:abstractNum w:abstractNumId="465" w15:restartNumberingAfterBreak="0">
    <w:nsid w:val="5299073F"/>
    <w:multiLevelType w:val="hybridMultilevel"/>
    <w:tmpl w:val="F7E4B190"/>
    <w:lvl w:ilvl="0" w:tplc="CBFADD0C">
      <w:start w:val="1"/>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6" w15:restartNumberingAfterBreak="0">
    <w:nsid w:val="529E34BD"/>
    <w:multiLevelType w:val="hybridMultilevel"/>
    <w:tmpl w:val="4F3C361C"/>
    <w:lvl w:ilvl="0" w:tplc="31A041F8">
      <w:start w:val="1"/>
      <w:numFmt w:val="bullet"/>
      <w:lvlText w:val="•"/>
      <w:lvlJc w:val="left"/>
    </w:lvl>
    <w:lvl w:ilvl="1" w:tplc="382449CA">
      <w:numFmt w:val="decimal"/>
      <w:lvlText w:val=""/>
      <w:lvlJc w:val="left"/>
    </w:lvl>
    <w:lvl w:ilvl="2" w:tplc="4F7CD0BC">
      <w:numFmt w:val="decimal"/>
      <w:lvlText w:val=""/>
      <w:lvlJc w:val="left"/>
    </w:lvl>
    <w:lvl w:ilvl="3" w:tplc="518E0598">
      <w:numFmt w:val="decimal"/>
      <w:lvlText w:val=""/>
      <w:lvlJc w:val="left"/>
    </w:lvl>
    <w:lvl w:ilvl="4" w:tplc="122EE894">
      <w:numFmt w:val="decimal"/>
      <w:lvlText w:val=""/>
      <w:lvlJc w:val="left"/>
    </w:lvl>
    <w:lvl w:ilvl="5" w:tplc="12E68292">
      <w:numFmt w:val="decimal"/>
      <w:lvlText w:val=""/>
      <w:lvlJc w:val="left"/>
    </w:lvl>
    <w:lvl w:ilvl="6" w:tplc="8C04E2BC">
      <w:numFmt w:val="decimal"/>
      <w:lvlText w:val=""/>
      <w:lvlJc w:val="left"/>
    </w:lvl>
    <w:lvl w:ilvl="7" w:tplc="C11E2750">
      <w:numFmt w:val="decimal"/>
      <w:lvlText w:val=""/>
      <w:lvlJc w:val="left"/>
    </w:lvl>
    <w:lvl w:ilvl="8" w:tplc="6E925042">
      <w:numFmt w:val="decimal"/>
      <w:lvlText w:val=""/>
      <w:lvlJc w:val="left"/>
    </w:lvl>
  </w:abstractNum>
  <w:abstractNum w:abstractNumId="467" w15:restartNumberingAfterBreak="0">
    <w:nsid w:val="52E2D7C9"/>
    <w:multiLevelType w:val="hybridMultilevel"/>
    <w:tmpl w:val="0AEC7000"/>
    <w:lvl w:ilvl="0" w:tplc="3F0C3812">
      <w:start w:val="15"/>
      <w:numFmt w:val="lowerLetter"/>
      <w:lvlText w:val="%1"/>
      <w:lvlJc w:val="left"/>
    </w:lvl>
    <w:lvl w:ilvl="1" w:tplc="6114958C">
      <w:numFmt w:val="decimal"/>
      <w:lvlText w:val=""/>
      <w:lvlJc w:val="left"/>
    </w:lvl>
    <w:lvl w:ilvl="2" w:tplc="BA969728">
      <w:numFmt w:val="decimal"/>
      <w:lvlText w:val=""/>
      <w:lvlJc w:val="left"/>
    </w:lvl>
    <w:lvl w:ilvl="3" w:tplc="4D7C0160">
      <w:numFmt w:val="decimal"/>
      <w:lvlText w:val=""/>
      <w:lvlJc w:val="left"/>
    </w:lvl>
    <w:lvl w:ilvl="4" w:tplc="3B720176">
      <w:numFmt w:val="decimal"/>
      <w:lvlText w:val=""/>
      <w:lvlJc w:val="left"/>
    </w:lvl>
    <w:lvl w:ilvl="5" w:tplc="6F580F44">
      <w:numFmt w:val="decimal"/>
      <w:lvlText w:val=""/>
      <w:lvlJc w:val="left"/>
    </w:lvl>
    <w:lvl w:ilvl="6" w:tplc="EF52B8E8">
      <w:numFmt w:val="decimal"/>
      <w:lvlText w:val=""/>
      <w:lvlJc w:val="left"/>
    </w:lvl>
    <w:lvl w:ilvl="7" w:tplc="530446E6">
      <w:numFmt w:val="decimal"/>
      <w:lvlText w:val=""/>
      <w:lvlJc w:val="left"/>
    </w:lvl>
    <w:lvl w:ilvl="8" w:tplc="5874EEEE">
      <w:numFmt w:val="decimal"/>
      <w:lvlText w:val=""/>
      <w:lvlJc w:val="left"/>
    </w:lvl>
  </w:abstractNum>
  <w:abstractNum w:abstractNumId="468" w15:restartNumberingAfterBreak="0">
    <w:nsid w:val="5335B5BD"/>
    <w:multiLevelType w:val="hybridMultilevel"/>
    <w:tmpl w:val="26DC16B6"/>
    <w:lvl w:ilvl="0" w:tplc="8FBE024C">
      <w:start w:val="1"/>
      <w:numFmt w:val="decimal"/>
      <w:lvlText w:val="%1."/>
      <w:lvlJc w:val="left"/>
    </w:lvl>
    <w:lvl w:ilvl="1" w:tplc="80608A92">
      <w:numFmt w:val="decimal"/>
      <w:lvlText w:val=""/>
      <w:lvlJc w:val="left"/>
    </w:lvl>
    <w:lvl w:ilvl="2" w:tplc="62BC65E2">
      <w:numFmt w:val="decimal"/>
      <w:lvlText w:val=""/>
      <w:lvlJc w:val="left"/>
    </w:lvl>
    <w:lvl w:ilvl="3" w:tplc="F846578C">
      <w:numFmt w:val="decimal"/>
      <w:lvlText w:val=""/>
      <w:lvlJc w:val="left"/>
    </w:lvl>
    <w:lvl w:ilvl="4" w:tplc="1930CFFC">
      <w:numFmt w:val="decimal"/>
      <w:lvlText w:val=""/>
      <w:lvlJc w:val="left"/>
    </w:lvl>
    <w:lvl w:ilvl="5" w:tplc="8E3AB1DA">
      <w:numFmt w:val="decimal"/>
      <w:lvlText w:val=""/>
      <w:lvlJc w:val="left"/>
    </w:lvl>
    <w:lvl w:ilvl="6" w:tplc="A1140092">
      <w:numFmt w:val="decimal"/>
      <w:lvlText w:val=""/>
      <w:lvlJc w:val="left"/>
    </w:lvl>
    <w:lvl w:ilvl="7" w:tplc="197AB7A4">
      <w:numFmt w:val="decimal"/>
      <w:lvlText w:val=""/>
      <w:lvlJc w:val="left"/>
    </w:lvl>
    <w:lvl w:ilvl="8" w:tplc="8F82FC44">
      <w:numFmt w:val="decimal"/>
      <w:lvlText w:val=""/>
      <w:lvlJc w:val="left"/>
    </w:lvl>
  </w:abstractNum>
  <w:abstractNum w:abstractNumId="469" w15:restartNumberingAfterBreak="0">
    <w:nsid w:val="53859101"/>
    <w:multiLevelType w:val="hybridMultilevel"/>
    <w:tmpl w:val="06786BCC"/>
    <w:lvl w:ilvl="0" w:tplc="E0F49000">
      <w:start w:val="1"/>
      <w:numFmt w:val="bullet"/>
      <w:lvlText w:val="•"/>
      <w:lvlJc w:val="left"/>
    </w:lvl>
    <w:lvl w:ilvl="1" w:tplc="E642FD9E">
      <w:numFmt w:val="decimal"/>
      <w:lvlText w:val=""/>
      <w:lvlJc w:val="left"/>
    </w:lvl>
    <w:lvl w:ilvl="2" w:tplc="4A2CFBEC">
      <w:numFmt w:val="decimal"/>
      <w:lvlText w:val=""/>
      <w:lvlJc w:val="left"/>
    </w:lvl>
    <w:lvl w:ilvl="3" w:tplc="39784356">
      <w:numFmt w:val="decimal"/>
      <w:lvlText w:val=""/>
      <w:lvlJc w:val="left"/>
    </w:lvl>
    <w:lvl w:ilvl="4" w:tplc="90383A7C">
      <w:numFmt w:val="decimal"/>
      <w:lvlText w:val=""/>
      <w:lvlJc w:val="left"/>
    </w:lvl>
    <w:lvl w:ilvl="5" w:tplc="FA0432A6">
      <w:numFmt w:val="decimal"/>
      <w:lvlText w:val=""/>
      <w:lvlJc w:val="left"/>
    </w:lvl>
    <w:lvl w:ilvl="6" w:tplc="9A4004F0">
      <w:numFmt w:val="decimal"/>
      <w:lvlText w:val=""/>
      <w:lvlJc w:val="left"/>
    </w:lvl>
    <w:lvl w:ilvl="7" w:tplc="A90E30AE">
      <w:numFmt w:val="decimal"/>
      <w:lvlText w:val=""/>
      <w:lvlJc w:val="left"/>
    </w:lvl>
    <w:lvl w:ilvl="8" w:tplc="001EEE7E">
      <w:numFmt w:val="decimal"/>
      <w:lvlText w:val=""/>
      <w:lvlJc w:val="left"/>
    </w:lvl>
  </w:abstractNum>
  <w:abstractNum w:abstractNumId="470" w15:restartNumberingAfterBreak="0">
    <w:nsid w:val="53880228"/>
    <w:multiLevelType w:val="hybridMultilevel"/>
    <w:tmpl w:val="DD78BFDE"/>
    <w:lvl w:ilvl="0" w:tplc="4540309C">
      <w:start w:val="22"/>
      <w:numFmt w:val="upperLetter"/>
      <w:lvlText w:val="%1"/>
      <w:lvlJc w:val="left"/>
    </w:lvl>
    <w:lvl w:ilvl="1" w:tplc="558415A8">
      <w:numFmt w:val="decimal"/>
      <w:lvlText w:val=""/>
      <w:lvlJc w:val="left"/>
    </w:lvl>
    <w:lvl w:ilvl="2" w:tplc="56D0BE16">
      <w:numFmt w:val="decimal"/>
      <w:lvlText w:val=""/>
      <w:lvlJc w:val="left"/>
    </w:lvl>
    <w:lvl w:ilvl="3" w:tplc="F8DCB35C">
      <w:numFmt w:val="decimal"/>
      <w:lvlText w:val=""/>
      <w:lvlJc w:val="left"/>
    </w:lvl>
    <w:lvl w:ilvl="4" w:tplc="8418F18C">
      <w:numFmt w:val="decimal"/>
      <w:lvlText w:val=""/>
      <w:lvlJc w:val="left"/>
    </w:lvl>
    <w:lvl w:ilvl="5" w:tplc="3BB06384">
      <w:numFmt w:val="decimal"/>
      <w:lvlText w:val=""/>
      <w:lvlJc w:val="left"/>
    </w:lvl>
    <w:lvl w:ilvl="6" w:tplc="320EC824">
      <w:numFmt w:val="decimal"/>
      <w:lvlText w:val=""/>
      <w:lvlJc w:val="left"/>
    </w:lvl>
    <w:lvl w:ilvl="7" w:tplc="9AA88D9E">
      <w:numFmt w:val="decimal"/>
      <w:lvlText w:val=""/>
      <w:lvlJc w:val="left"/>
    </w:lvl>
    <w:lvl w:ilvl="8" w:tplc="6908C354">
      <w:numFmt w:val="decimal"/>
      <w:lvlText w:val=""/>
      <w:lvlJc w:val="left"/>
    </w:lvl>
  </w:abstractNum>
  <w:abstractNum w:abstractNumId="471" w15:restartNumberingAfterBreak="0">
    <w:nsid w:val="53AE65DE"/>
    <w:multiLevelType w:val="hybridMultilevel"/>
    <w:tmpl w:val="E988C608"/>
    <w:lvl w:ilvl="0" w:tplc="ADDC4758">
      <w:start w:val="1"/>
      <w:numFmt w:val="lowerLetter"/>
      <w:lvlText w:val="%1)"/>
      <w:lvlJc w:val="left"/>
    </w:lvl>
    <w:lvl w:ilvl="1" w:tplc="92F4170C">
      <w:numFmt w:val="decimal"/>
      <w:lvlText w:val=""/>
      <w:lvlJc w:val="left"/>
    </w:lvl>
    <w:lvl w:ilvl="2" w:tplc="99C0FC3A">
      <w:numFmt w:val="decimal"/>
      <w:lvlText w:val=""/>
      <w:lvlJc w:val="left"/>
    </w:lvl>
    <w:lvl w:ilvl="3" w:tplc="CE92680C">
      <w:numFmt w:val="decimal"/>
      <w:lvlText w:val=""/>
      <w:lvlJc w:val="left"/>
    </w:lvl>
    <w:lvl w:ilvl="4" w:tplc="FE8C0390">
      <w:numFmt w:val="decimal"/>
      <w:lvlText w:val=""/>
      <w:lvlJc w:val="left"/>
    </w:lvl>
    <w:lvl w:ilvl="5" w:tplc="10887FB6">
      <w:numFmt w:val="decimal"/>
      <w:lvlText w:val=""/>
      <w:lvlJc w:val="left"/>
    </w:lvl>
    <w:lvl w:ilvl="6" w:tplc="CC86C0EA">
      <w:numFmt w:val="decimal"/>
      <w:lvlText w:val=""/>
      <w:lvlJc w:val="left"/>
    </w:lvl>
    <w:lvl w:ilvl="7" w:tplc="7E504F56">
      <w:numFmt w:val="decimal"/>
      <w:lvlText w:val=""/>
      <w:lvlJc w:val="left"/>
    </w:lvl>
    <w:lvl w:ilvl="8" w:tplc="1DE08DE0">
      <w:numFmt w:val="decimal"/>
      <w:lvlText w:val=""/>
      <w:lvlJc w:val="left"/>
    </w:lvl>
  </w:abstractNum>
  <w:abstractNum w:abstractNumId="472" w15:restartNumberingAfterBreak="0">
    <w:nsid w:val="53F1AC3A"/>
    <w:multiLevelType w:val="hybridMultilevel"/>
    <w:tmpl w:val="5F84CAEE"/>
    <w:lvl w:ilvl="0" w:tplc="B7826396">
      <w:start w:val="22"/>
      <w:numFmt w:val="upperLetter"/>
      <w:lvlText w:val="%1"/>
      <w:lvlJc w:val="left"/>
    </w:lvl>
    <w:lvl w:ilvl="1" w:tplc="0CEC3276">
      <w:numFmt w:val="decimal"/>
      <w:lvlText w:val=""/>
      <w:lvlJc w:val="left"/>
    </w:lvl>
    <w:lvl w:ilvl="2" w:tplc="61CE8880">
      <w:numFmt w:val="decimal"/>
      <w:lvlText w:val=""/>
      <w:lvlJc w:val="left"/>
    </w:lvl>
    <w:lvl w:ilvl="3" w:tplc="422277D4">
      <w:numFmt w:val="decimal"/>
      <w:lvlText w:val=""/>
      <w:lvlJc w:val="left"/>
    </w:lvl>
    <w:lvl w:ilvl="4" w:tplc="99BC2C0C">
      <w:numFmt w:val="decimal"/>
      <w:lvlText w:val=""/>
      <w:lvlJc w:val="left"/>
    </w:lvl>
    <w:lvl w:ilvl="5" w:tplc="2F58A1C8">
      <w:numFmt w:val="decimal"/>
      <w:lvlText w:val=""/>
      <w:lvlJc w:val="left"/>
    </w:lvl>
    <w:lvl w:ilvl="6" w:tplc="0D222EA2">
      <w:numFmt w:val="decimal"/>
      <w:lvlText w:val=""/>
      <w:lvlJc w:val="left"/>
    </w:lvl>
    <w:lvl w:ilvl="7" w:tplc="7062FE5E">
      <w:numFmt w:val="decimal"/>
      <w:lvlText w:val=""/>
      <w:lvlJc w:val="left"/>
    </w:lvl>
    <w:lvl w:ilvl="8" w:tplc="FC46CB08">
      <w:numFmt w:val="decimal"/>
      <w:lvlText w:val=""/>
      <w:lvlJc w:val="left"/>
    </w:lvl>
  </w:abstractNum>
  <w:abstractNum w:abstractNumId="473" w15:restartNumberingAfterBreak="0">
    <w:nsid w:val="53FB0875"/>
    <w:multiLevelType w:val="hybridMultilevel"/>
    <w:tmpl w:val="0AD611F2"/>
    <w:lvl w:ilvl="0" w:tplc="C35AC86C">
      <w:start w:val="1"/>
      <w:numFmt w:val="bullet"/>
      <w:lvlText w:val="·"/>
      <w:lvlJc w:val="left"/>
    </w:lvl>
    <w:lvl w:ilvl="1" w:tplc="81DE8104">
      <w:numFmt w:val="decimal"/>
      <w:lvlText w:val=""/>
      <w:lvlJc w:val="left"/>
    </w:lvl>
    <w:lvl w:ilvl="2" w:tplc="F8600370">
      <w:numFmt w:val="decimal"/>
      <w:lvlText w:val=""/>
      <w:lvlJc w:val="left"/>
    </w:lvl>
    <w:lvl w:ilvl="3" w:tplc="6074AC44">
      <w:numFmt w:val="decimal"/>
      <w:lvlText w:val=""/>
      <w:lvlJc w:val="left"/>
    </w:lvl>
    <w:lvl w:ilvl="4" w:tplc="5DF4C1F4">
      <w:numFmt w:val="decimal"/>
      <w:lvlText w:val=""/>
      <w:lvlJc w:val="left"/>
    </w:lvl>
    <w:lvl w:ilvl="5" w:tplc="565C8F08">
      <w:numFmt w:val="decimal"/>
      <w:lvlText w:val=""/>
      <w:lvlJc w:val="left"/>
    </w:lvl>
    <w:lvl w:ilvl="6" w:tplc="C1CE6C86">
      <w:numFmt w:val="decimal"/>
      <w:lvlText w:val=""/>
      <w:lvlJc w:val="left"/>
    </w:lvl>
    <w:lvl w:ilvl="7" w:tplc="CFBAA742">
      <w:numFmt w:val="decimal"/>
      <w:lvlText w:val=""/>
      <w:lvlJc w:val="left"/>
    </w:lvl>
    <w:lvl w:ilvl="8" w:tplc="112AD6B4">
      <w:numFmt w:val="decimal"/>
      <w:lvlText w:val=""/>
      <w:lvlJc w:val="left"/>
    </w:lvl>
  </w:abstractNum>
  <w:abstractNum w:abstractNumId="474" w15:restartNumberingAfterBreak="0">
    <w:nsid w:val="54154A49"/>
    <w:multiLevelType w:val="hybridMultilevel"/>
    <w:tmpl w:val="60E812E8"/>
    <w:lvl w:ilvl="0" w:tplc="BA06277E">
      <w:start w:val="1"/>
      <w:numFmt w:val="bullet"/>
      <w:lvlText w:val="•"/>
      <w:lvlJc w:val="left"/>
    </w:lvl>
    <w:lvl w:ilvl="1" w:tplc="6F28EB4E">
      <w:numFmt w:val="decimal"/>
      <w:lvlText w:val=""/>
      <w:lvlJc w:val="left"/>
    </w:lvl>
    <w:lvl w:ilvl="2" w:tplc="BCAA4366">
      <w:numFmt w:val="decimal"/>
      <w:lvlText w:val=""/>
      <w:lvlJc w:val="left"/>
    </w:lvl>
    <w:lvl w:ilvl="3" w:tplc="F9BEB3D2">
      <w:numFmt w:val="decimal"/>
      <w:lvlText w:val=""/>
      <w:lvlJc w:val="left"/>
    </w:lvl>
    <w:lvl w:ilvl="4" w:tplc="0986A216">
      <w:numFmt w:val="decimal"/>
      <w:lvlText w:val=""/>
      <w:lvlJc w:val="left"/>
    </w:lvl>
    <w:lvl w:ilvl="5" w:tplc="B8B80C20">
      <w:numFmt w:val="decimal"/>
      <w:lvlText w:val=""/>
      <w:lvlJc w:val="left"/>
    </w:lvl>
    <w:lvl w:ilvl="6" w:tplc="9B324A40">
      <w:numFmt w:val="decimal"/>
      <w:lvlText w:val=""/>
      <w:lvlJc w:val="left"/>
    </w:lvl>
    <w:lvl w:ilvl="7" w:tplc="E00CD572">
      <w:numFmt w:val="decimal"/>
      <w:lvlText w:val=""/>
      <w:lvlJc w:val="left"/>
    </w:lvl>
    <w:lvl w:ilvl="8" w:tplc="17B82DC0">
      <w:numFmt w:val="decimal"/>
      <w:lvlText w:val=""/>
      <w:lvlJc w:val="left"/>
    </w:lvl>
  </w:abstractNum>
  <w:abstractNum w:abstractNumId="475" w15:restartNumberingAfterBreak="0">
    <w:nsid w:val="545171E9"/>
    <w:multiLevelType w:val="hybridMultilevel"/>
    <w:tmpl w:val="76B2E8DC"/>
    <w:lvl w:ilvl="0" w:tplc="E1AAD6FC">
      <w:start w:val="1"/>
      <w:numFmt w:val="bullet"/>
      <w:lvlText w:val="•"/>
      <w:lvlJc w:val="left"/>
      <w:pPr>
        <w:tabs>
          <w:tab w:val="num" w:pos="720"/>
        </w:tabs>
        <w:ind w:left="720" w:hanging="360"/>
      </w:pPr>
      <w:rPr>
        <w:rFonts w:ascii="Arial" w:hAnsi="Arial" w:hint="default"/>
      </w:rPr>
    </w:lvl>
    <w:lvl w:ilvl="1" w:tplc="0B169950" w:tentative="1">
      <w:start w:val="1"/>
      <w:numFmt w:val="bullet"/>
      <w:lvlText w:val="•"/>
      <w:lvlJc w:val="left"/>
      <w:pPr>
        <w:tabs>
          <w:tab w:val="num" w:pos="1440"/>
        </w:tabs>
        <w:ind w:left="1440" w:hanging="360"/>
      </w:pPr>
      <w:rPr>
        <w:rFonts w:ascii="Arial" w:hAnsi="Arial" w:hint="default"/>
      </w:rPr>
    </w:lvl>
    <w:lvl w:ilvl="2" w:tplc="368052CA" w:tentative="1">
      <w:start w:val="1"/>
      <w:numFmt w:val="bullet"/>
      <w:lvlText w:val="•"/>
      <w:lvlJc w:val="left"/>
      <w:pPr>
        <w:tabs>
          <w:tab w:val="num" w:pos="2160"/>
        </w:tabs>
        <w:ind w:left="2160" w:hanging="360"/>
      </w:pPr>
      <w:rPr>
        <w:rFonts w:ascii="Arial" w:hAnsi="Arial" w:hint="default"/>
      </w:rPr>
    </w:lvl>
    <w:lvl w:ilvl="3" w:tplc="7B58647E" w:tentative="1">
      <w:start w:val="1"/>
      <w:numFmt w:val="bullet"/>
      <w:lvlText w:val="•"/>
      <w:lvlJc w:val="left"/>
      <w:pPr>
        <w:tabs>
          <w:tab w:val="num" w:pos="2880"/>
        </w:tabs>
        <w:ind w:left="2880" w:hanging="360"/>
      </w:pPr>
      <w:rPr>
        <w:rFonts w:ascii="Arial" w:hAnsi="Arial" w:hint="default"/>
      </w:rPr>
    </w:lvl>
    <w:lvl w:ilvl="4" w:tplc="A0C4FE88" w:tentative="1">
      <w:start w:val="1"/>
      <w:numFmt w:val="bullet"/>
      <w:lvlText w:val="•"/>
      <w:lvlJc w:val="left"/>
      <w:pPr>
        <w:tabs>
          <w:tab w:val="num" w:pos="3600"/>
        </w:tabs>
        <w:ind w:left="3600" w:hanging="360"/>
      </w:pPr>
      <w:rPr>
        <w:rFonts w:ascii="Arial" w:hAnsi="Arial" w:hint="default"/>
      </w:rPr>
    </w:lvl>
    <w:lvl w:ilvl="5" w:tplc="586C9E0E" w:tentative="1">
      <w:start w:val="1"/>
      <w:numFmt w:val="bullet"/>
      <w:lvlText w:val="•"/>
      <w:lvlJc w:val="left"/>
      <w:pPr>
        <w:tabs>
          <w:tab w:val="num" w:pos="4320"/>
        </w:tabs>
        <w:ind w:left="4320" w:hanging="360"/>
      </w:pPr>
      <w:rPr>
        <w:rFonts w:ascii="Arial" w:hAnsi="Arial" w:hint="default"/>
      </w:rPr>
    </w:lvl>
    <w:lvl w:ilvl="6" w:tplc="243EB8A2" w:tentative="1">
      <w:start w:val="1"/>
      <w:numFmt w:val="bullet"/>
      <w:lvlText w:val="•"/>
      <w:lvlJc w:val="left"/>
      <w:pPr>
        <w:tabs>
          <w:tab w:val="num" w:pos="5040"/>
        </w:tabs>
        <w:ind w:left="5040" w:hanging="360"/>
      </w:pPr>
      <w:rPr>
        <w:rFonts w:ascii="Arial" w:hAnsi="Arial" w:hint="default"/>
      </w:rPr>
    </w:lvl>
    <w:lvl w:ilvl="7" w:tplc="9A5419E4" w:tentative="1">
      <w:start w:val="1"/>
      <w:numFmt w:val="bullet"/>
      <w:lvlText w:val="•"/>
      <w:lvlJc w:val="left"/>
      <w:pPr>
        <w:tabs>
          <w:tab w:val="num" w:pos="5760"/>
        </w:tabs>
        <w:ind w:left="5760" w:hanging="360"/>
      </w:pPr>
      <w:rPr>
        <w:rFonts w:ascii="Arial" w:hAnsi="Arial" w:hint="default"/>
      </w:rPr>
    </w:lvl>
    <w:lvl w:ilvl="8" w:tplc="A3AA22C0" w:tentative="1">
      <w:start w:val="1"/>
      <w:numFmt w:val="bullet"/>
      <w:lvlText w:val="•"/>
      <w:lvlJc w:val="left"/>
      <w:pPr>
        <w:tabs>
          <w:tab w:val="num" w:pos="6480"/>
        </w:tabs>
        <w:ind w:left="6480" w:hanging="360"/>
      </w:pPr>
      <w:rPr>
        <w:rFonts w:ascii="Arial" w:hAnsi="Arial" w:hint="default"/>
      </w:rPr>
    </w:lvl>
  </w:abstractNum>
  <w:abstractNum w:abstractNumId="476" w15:restartNumberingAfterBreak="0">
    <w:nsid w:val="545A4591"/>
    <w:multiLevelType w:val="hybridMultilevel"/>
    <w:tmpl w:val="1F22B94E"/>
    <w:lvl w:ilvl="0" w:tplc="04050001">
      <w:start w:val="1"/>
      <w:numFmt w:val="bullet"/>
      <w:lvlText w:val=""/>
      <w:lvlJc w:val="left"/>
      <w:pPr>
        <w:ind w:left="720" w:hanging="360"/>
      </w:pPr>
      <w:rPr>
        <w:rFonts w:ascii="Symbol" w:hAnsi="Symbol" w:hint="default"/>
      </w:rPr>
    </w:lvl>
    <w:lvl w:ilvl="1" w:tplc="863ADD58">
      <w:start w:val="1"/>
      <w:numFmt w:val="bullet"/>
      <w:lvlText w:val="●"/>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7" w15:restartNumberingAfterBreak="0">
    <w:nsid w:val="549A864D"/>
    <w:multiLevelType w:val="hybridMultilevel"/>
    <w:tmpl w:val="C9D6ADF2"/>
    <w:lvl w:ilvl="0" w:tplc="A5FC3F14">
      <w:start w:val="1"/>
      <w:numFmt w:val="bullet"/>
      <w:lvlText w:val="•"/>
      <w:lvlJc w:val="left"/>
    </w:lvl>
    <w:lvl w:ilvl="1" w:tplc="667C015C">
      <w:numFmt w:val="decimal"/>
      <w:lvlText w:val=""/>
      <w:lvlJc w:val="left"/>
    </w:lvl>
    <w:lvl w:ilvl="2" w:tplc="8B04A466">
      <w:numFmt w:val="decimal"/>
      <w:lvlText w:val=""/>
      <w:lvlJc w:val="left"/>
    </w:lvl>
    <w:lvl w:ilvl="3" w:tplc="6C081214">
      <w:numFmt w:val="decimal"/>
      <w:lvlText w:val=""/>
      <w:lvlJc w:val="left"/>
    </w:lvl>
    <w:lvl w:ilvl="4" w:tplc="F7DC76AA">
      <w:numFmt w:val="decimal"/>
      <w:lvlText w:val=""/>
      <w:lvlJc w:val="left"/>
    </w:lvl>
    <w:lvl w:ilvl="5" w:tplc="DAE89C58">
      <w:numFmt w:val="decimal"/>
      <w:lvlText w:val=""/>
      <w:lvlJc w:val="left"/>
    </w:lvl>
    <w:lvl w:ilvl="6" w:tplc="77FA1E2A">
      <w:numFmt w:val="decimal"/>
      <w:lvlText w:val=""/>
      <w:lvlJc w:val="left"/>
    </w:lvl>
    <w:lvl w:ilvl="7" w:tplc="B4D031D4">
      <w:numFmt w:val="decimal"/>
      <w:lvlText w:val=""/>
      <w:lvlJc w:val="left"/>
    </w:lvl>
    <w:lvl w:ilvl="8" w:tplc="0E16BF1C">
      <w:numFmt w:val="decimal"/>
      <w:lvlText w:val=""/>
      <w:lvlJc w:val="left"/>
    </w:lvl>
  </w:abstractNum>
  <w:abstractNum w:abstractNumId="478" w15:restartNumberingAfterBreak="0">
    <w:nsid w:val="55729684"/>
    <w:multiLevelType w:val="hybridMultilevel"/>
    <w:tmpl w:val="525C0B0A"/>
    <w:lvl w:ilvl="0" w:tplc="D64CE0BA">
      <w:start w:val="2"/>
      <w:numFmt w:val="decimal"/>
      <w:lvlText w:val="%1."/>
      <w:lvlJc w:val="left"/>
      <w:rPr>
        <w:b/>
        <w:bCs/>
        <w:i/>
        <w:iCs/>
        <w:sz w:val="24"/>
        <w:szCs w:val="24"/>
      </w:rPr>
    </w:lvl>
    <w:lvl w:ilvl="1" w:tplc="6C92A8AE">
      <w:numFmt w:val="decimal"/>
      <w:lvlText w:val=""/>
      <w:lvlJc w:val="left"/>
    </w:lvl>
    <w:lvl w:ilvl="2" w:tplc="9D10F08E">
      <w:numFmt w:val="decimal"/>
      <w:lvlText w:val=""/>
      <w:lvlJc w:val="left"/>
    </w:lvl>
    <w:lvl w:ilvl="3" w:tplc="1050544A">
      <w:numFmt w:val="decimal"/>
      <w:lvlText w:val=""/>
      <w:lvlJc w:val="left"/>
    </w:lvl>
    <w:lvl w:ilvl="4" w:tplc="2CE474B6">
      <w:numFmt w:val="decimal"/>
      <w:lvlText w:val=""/>
      <w:lvlJc w:val="left"/>
    </w:lvl>
    <w:lvl w:ilvl="5" w:tplc="CDC8ED6A">
      <w:numFmt w:val="decimal"/>
      <w:lvlText w:val=""/>
      <w:lvlJc w:val="left"/>
    </w:lvl>
    <w:lvl w:ilvl="6" w:tplc="C49AE438">
      <w:numFmt w:val="decimal"/>
      <w:lvlText w:val=""/>
      <w:lvlJc w:val="left"/>
    </w:lvl>
    <w:lvl w:ilvl="7" w:tplc="D5188EB6">
      <w:numFmt w:val="decimal"/>
      <w:lvlText w:val=""/>
      <w:lvlJc w:val="left"/>
    </w:lvl>
    <w:lvl w:ilvl="8" w:tplc="4BDC89F2">
      <w:numFmt w:val="decimal"/>
      <w:lvlText w:val=""/>
      <w:lvlJc w:val="left"/>
    </w:lvl>
  </w:abstractNum>
  <w:abstractNum w:abstractNumId="479" w15:restartNumberingAfterBreak="0">
    <w:nsid w:val="5604A66D"/>
    <w:multiLevelType w:val="hybridMultilevel"/>
    <w:tmpl w:val="E1AE4D5E"/>
    <w:lvl w:ilvl="0" w:tplc="A2E0FDE6">
      <w:start w:val="1"/>
      <w:numFmt w:val="upperLetter"/>
      <w:lvlText w:val="%1"/>
      <w:lvlJc w:val="left"/>
    </w:lvl>
    <w:lvl w:ilvl="1" w:tplc="19867470">
      <w:start w:val="4"/>
      <w:numFmt w:val="decimal"/>
      <w:lvlText w:val="%2."/>
      <w:lvlJc w:val="left"/>
    </w:lvl>
    <w:lvl w:ilvl="2" w:tplc="82C06972">
      <w:start w:val="1"/>
      <w:numFmt w:val="bullet"/>
      <w:lvlText w:val="§"/>
      <w:lvlJc w:val="left"/>
    </w:lvl>
    <w:lvl w:ilvl="3" w:tplc="9140BFA6">
      <w:numFmt w:val="decimal"/>
      <w:lvlText w:val=""/>
      <w:lvlJc w:val="left"/>
    </w:lvl>
    <w:lvl w:ilvl="4" w:tplc="D9F4F114">
      <w:numFmt w:val="decimal"/>
      <w:lvlText w:val=""/>
      <w:lvlJc w:val="left"/>
    </w:lvl>
    <w:lvl w:ilvl="5" w:tplc="462A1D80">
      <w:numFmt w:val="decimal"/>
      <w:lvlText w:val=""/>
      <w:lvlJc w:val="left"/>
    </w:lvl>
    <w:lvl w:ilvl="6" w:tplc="1694ABB8">
      <w:numFmt w:val="decimal"/>
      <w:lvlText w:val=""/>
      <w:lvlJc w:val="left"/>
    </w:lvl>
    <w:lvl w:ilvl="7" w:tplc="20081D86">
      <w:numFmt w:val="decimal"/>
      <w:lvlText w:val=""/>
      <w:lvlJc w:val="left"/>
    </w:lvl>
    <w:lvl w:ilvl="8" w:tplc="02444F18">
      <w:numFmt w:val="decimal"/>
      <w:lvlText w:val=""/>
      <w:lvlJc w:val="left"/>
    </w:lvl>
  </w:abstractNum>
  <w:abstractNum w:abstractNumId="480" w15:restartNumberingAfterBreak="0">
    <w:nsid w:val="562DB0C2"/>
    <w:multiLevelType w:val="hybridMultilevel"/>
    <w:tmpl w:val="B21E9E60"/>
    <w:lvl w:ilvl="0" w:tplc="61FA18DA">
      <w:start w:val="1"/>
      <w:numFmt w:val="bullet"/>
      <w:lvlText w:val="•"/>
      <w:lvlJc w:val="left"/>
    </w:lvl>
    <w:lvl w:ilvl="1" w:tplc="DBFE39C4">
      <w:numFmt w:val="decimal"/>
      <w:lvlText w:val=""/>
      <w:lvlJc w:val="left"/>
    </w:lvl>
    <w:lvl w:ilvl="2" w:tplc="6990322A">
      <w:numFmt w:val="decimal"/>
      <w:lvlText w:val=""/>
      <w:lvlJc w:val="left"/>
    </w:lvl>
    <w:lvl w:ilvl="3" w:tplc="F0B4C136">
      <w:numFmt w:val="decimal"/>
      <w:lvlText w:val=""/>
      <w:lvlJc w:val="left"/>
    </w:lvl>
    <w:lvl w:ilvl="4" w:tplc="EF705842">
      <w:numFmt w:val="decimal"/>
      <w:lvlText w:val=""/>
      <w:lvlJc w:val="left"/>
    </w:lvl>
    <w:lvl w:ilvl="5" w:tplc="2F30B43E">
      <w:numFmt w:val="decimal"/>
      <w:lvlText w:val=""/>
      <w:lvlJc w:val="left"/>
    </w:lvl>
    <w:lvl w:ilvl="6" w:tplc="1EA4C16C">
      <w:numFmt w:val="decimal"/>
      <w:lvlText w:val=""/>
      <w:lvlJc w:val="left"/>
    </w:lvl>
    <w:lvl w:ilvl="7" w:tplc="E01C4650">
      <w:numFmt w:val="decimal"/>
      <w:lvlText w:val=""/>
      <w:lvlJc w:val="left"/>
    </w:lvl>
    <w:lvl w:ilvl="8" w:tplc="D3760898">
      <w:numFmt w:val="decimal"/>
      <w:lvlText w:val=""/>
      <w:lvlJc w:val="left"/>
    </w:lvl>
  </w:abstractNum>
  <w:abstractNum w:abstractNumId="481" w15:restartNumberingAfterBreak="0">
    <w:nsid w:val="562F1354"/>
    <w:multiLevelType w:val="hybridMultilevel"/>
    <w:tmpl w:val="60503974"/>
    <w:lvl w:ilvl="0" w:tplc="53CABD30">
      <w:start w:val="1"/>
      <w:numFmt w:val="bullet"/>
      <w:lvlText w:val="-"/>
      <w:lvlJc w:val="left"/>
      <w:pPr>
        <w:ind w:left="1056" w:hanging="360"/>
      </w:pPr>
    </w:lvl>
    <w:lvl w:ilvl="1" w:tplc="04050003" w:tentative="1">
      <w:start w:val="1"/>
      <w:numFmt w:val="bullet"/>
      <w:lvlText w:val="o"/>
      <w:lvlJc w:val="left"/>
      <w:pPr>
        <w:ind w:left="1776" w:hanging="360"/>
      </w:pPr>
      <w:rPr>
        <w:rFonts w:ascii="Courier New" w:hAnsi="Courier New" w:cs="Courier New" w:hint="default"/>
      </w:rPr>
    </w:lvl>
    <w:lvl w:ilvl="2" w:tplc="04050005" w:tentative="1">
      <w:start w:val="1"/>
      <w:numFmt w:val="bullet"/>
      <w:lvlText w:val=""/>
      <w:lvlJc w:val="left"/>
      <w:pPr>
        <w:ind w:left="2496" w:hanging="360"/>
      </w:pPr>
      <w:rPr>
        <w:rFonts w:ascii="Wingdings" w:hAnsi="Wingdings" w:hint="default"/>
      </w:rPr>
    </w:lvl>
    <w:lvl w:ilvl="3" w:tplc="04050001" w:tentative="1">
      <w:start w:val="1"/>
      <w:numFmt w:val="bullet"/>
      <w:lvlText w:val=""/>
      <w:lvlJc w:val="left"/>
      <w:pPr>
        <w:ind w:left="3216" w:hanging="360"/>
      </w:pPr>
      <w:rPr>
        <w:rFonts w:ascii="Symbol" w:hAnsi="Symbol" w:hint="default"/>
      </w:rPr>
    </w:lvl>
    <w:lvl w:ilvl="4" w:tplc="04050003" w:tentative="1">
      <w:start w:val="1"/>
      <w:numFmt w:val="bullet"/>
      <w:lvlText w:val="o"/>
      <w:lvlJc w:val="left"/>
      <w:pPr>
        <w:ind w:left="3936" w:hanging="360"/>
      </w:pPr>
      <w:rPr>
        <w:rFonts w:ascii="Courier New" w:hAnsi="Courier New" w:cs="Courier New" w:hint="default"/>
      </w:rPr>
    </w:lvl>
    <w:lvl w:ilvl="5" w:tplc="04050005" w:tentative="1">
      <w:start w:val="1"/>
      <w:numFmt w:val="bullet"/>
      <w:lvlText w:val=""/>
      <w:lvlJc w:val="left"/>
      <w:pPr>
        <w:ind w:left="4656" w:hanging="360"/>
      </w:pPr>
      <w:rPr>
        <w:rFonts w:ascii="Wingdings" w:hAnsi="Wingdings" w:hint="default"/>
      </w:rPr>
    </w:lvl>
    <w:lvl w:ilvl="6" w:tplc="04050001" w:tentative="1">
      <w:start w:val="1"/>
      <w:numFmt w:val="bullet"/>
      <w:lvlText w:val=""/>
      <w:lvlJc w:val="left"/>
      <w:pPr>
        <w:ind w:left="5376" w:hanging="360"/>
      </w:pPr>
      <w:rPr>
        <w:rFonts w:ascii="Symbol" w:hAnsi="Symbol" w:hint="default"/>
      </w:rPr>
    </w:lvl>
    <w:lvl w:ilvl="7" w:tplc="04050003" w:tentative="1">
      <w:start w:val="1"/>
      <w:numFmt w:val="bullet"/>
      <w:lvlText w:val="o"/>
      <w:lvlJc w:val="left"/>
      <w:pPr>
        <w:ind w:left="6096" w:hanging="360"/>
      </w:pPr>
      <w:rPr>
        <w:rFonts w:ascii="Courier New" w:hAnsi="Courier New" w:cs="Courier New" w:hint="default"/>
      </w:rPr>
    </w:lvl>
    <w:lvl w:ilvl="8" w:tplc="04050005" w:tentative="1">
      <w:start w:val="1"/>
      <w:numFmt w:val="bullet"/>
      <w:lvlText w:val=""/>
      <w:lvlJc w:val="left"/>
      <w:pPr>
        <w:ind w:left="6816" w:hanging="360"/>
      </w:pPr>
      <w:rPr>
        <w:rFonts w:ascii="Wingdings" w:hAnsi="Wingdings" w:hint="default"/>
      </w:rPr>
    </w:lvl>
  </w:abstractNum>
  <w:abstractNum w:abstractNumId="482" w15:restartNumberingAfterBreak="0">
    <w:nsid w:val="5649DA4D"/>
    <w:multiLevelType w:val="hybridMultilevel"/>
    <w:tmpl w:val="D168FD50"/>
    <w:lvl w:ilvl="0" w:tplc="B0785DD0">
      <w:start w:val="22"/>
      <w:numFmt w:val="upperLetter"/>
      <w:lvlText w:val="%1"/>
      <w:lvlJc w:val="left"/>
    </w:lvl>
    <w:lvl w:ilvl="1" w:tplc="695671AA">
      <w:numFmt w:val="decimal"/>
      <w:lvlText w:val=""/>
      <w:lvlJc w:val="left"/>
    </w:lvl>
    <w:lvl w:ilvl="2" w:tplc="1500EF66">
      <w:numFmt w:val="decimal"/>
      <w:lvlText w:val=""/>
      <w:lvlJc w:val="left"/>
    </w:lvl>
    <w:lvl w:ilvl="3" w:tplc="D954FFB6">
      <w:numFmt w:val="decimal"/>
      <w:lvlText w:val=""/>
      <w:lvlJc w:val="left"/>
    </w:lvl>
    <w:lvl w:ilvl="4" w:tplc="8E82A512">
      <w:numFmt w:val="decimal"/>
      <w:lvlText w:val=""/>
      <w:lvlJc w:val="left"/>
    </w:lvl>
    <w:lvl w:ilvl="5" w:tplc="35C8887A">
      <w:numFmt w:val="decimal"/>
      <w:lvlText w:val=""/>
      <w:lvlJc w:val="left"/>
    </w:lvl>
    <w:lvl w:ilvl="6" w:tplc="499C6ECE">
      <w:numFmt w:val="decimal"/>
      <w:lvlText w:val=""/>
      <w:lvlJc w:val="left"/>
    </w:lvl>
    <w:lvl w:ilvl="7" w:tplc="4EB608B0">
      <w:numFmt w:val="decimal"/>
      <w:lvlText w:val=""/>
      <w:lvlJc w:val="left"/>
    </w:lvl>
    <w:lvl w:ilvl="8" w:tplc="A4A278EC">
      <w:numFmt w:val="decimal"/>
      <w:lvlText w:val=""/>
      <w:lvlJc w:val="left"/>
    </w:lvl>
  </w:abstractNum>
  <w:abstractNum w:abstractNumId="483" w15:restartNumberingAfterBreak="0">
    <w:nsid w:val="566EC29B"/>
    <w:multiLevelType w:val="hybridMultilevel"/>
    <w:tmpl w:val="2B4EA49C"/>
    <w:lvl w:ilvl="0" w:tplc="92B480BA">
      <w:start w:val="1"/>
      <w:numFmt w:val="bullet"/>
      <w:lvlText w:val="-"/>
      <w:lvlJc w:val="left"/>
    </w:lvl>
    <w:lvl w:ilvl="1" w:tplc="C34A7752">
      <w:numFmt w:val="decimal"/>
      <w:lvlText w:val=""/>
      <w:lvlJc w:val="left"/>
    </w:lvl>
    <w:lvl w:ilvl="2" w:tplc="000C3B3C">
      <w:numFmt w:val="decimal"/>
      <w:lvlText w:val=""/>
      <w:lvlJc w:val="left"/>
    </w:lvl>
    <w:lvl w:ilvl="3" w:tplc="E2321B70">
      <w:numFmt w:val="decimal"/>
      <w:lvlText w:val=""/>
      <w:lvlJc w:val="left"/>
    </w:lvl>
    <w:lvl w:ilvl="4" w:tplc="00E24A76">
      <w:numFmt w:val="decimal"/>
      <w:lvlText w:val=""/>
      <w:lvlJc w:val="left"/>
    </w:lvl>
    <w:lvl w:ilvl="5" w:tplc="0AB4DF0A">
      <w:numFmt w:val="decimal"/>
      <w:lvlText w:val=""/>
      <w:lvlJc w:val="left"/>
    </w:lvl>
    <w:lvl w:ilvl="6" w:tplc="169A8666">
      <w:numFmt w:val="decimal"/>
      <w:lvlText w:val=""/>
      <w:lvlJc w:val="left"/>
    </w:lvl>
    <w:lvl w:ilvl="7" w:tplc="9B94E958">
      <w:numFmt w:val="decimal"/>
      <w:lvlText w:val=""/>
      <w:lvlJc w:val="left"/>
    </w:lvl>
    <w:lvl w:ilvl="8" w:tplc="818EADB2">
      <w:numFmt w:val="decimal"/>
      <w:lvlText w:val=""/>
      <w:lvlJc w:val="left"/>
    </w:lvl>
  </w:abstractNum>
  <w:abstractNum w:abstractNumId="484" w15:restartNumberingAfterBreak="0">
    <w:nsid w:val="56792F53"/>
    <w:multiLevelType w:val="hybridMultilevel"/>
    <w:tmpl w:val="79A04A1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85" w15:restartNumberingAfterBreak="0">
    <w:nsid w:val="569BC2B2"/>
    <w:multiLevelType w:val="hybridMultilevel"/>
    <w:tmpl w:val="CEB8E2B6"/>
    <w:lvl w:ilvl="0" w:tplc="0ACC7A16">
      <w:start w:val="1"/>
      <w:numFmt w:val="bullet"/>
      <w:lvlText w:val="●"/>
      <w:lvlJc w:val="left"/>
    </w:lvl>
    <w:lvl w:ilvl="1" w:tplc="26E20AB4">
      <w:numFmt w:val="decimal"/>
      <w:lvlText w:val=""/>
      <w:lvlJc w:val="left"/>
    </w:lvl>
    <w:lvl w:ilvl="2" w:tplc="1AB6FA2E">
      <w:numFmt w:val="decimal"/>
      <w:lvlText w:val=""/>
      <w:lvlJc w:val="left"/>
    </w:lvl>
    <w:lvl w:ilvl="3" w:tplc="6E82DCC0">
      <w:numFmt w:val="decimal"/>
      <w:lvlText w:val=""/>
      <w:lvlJc w:val="left"/>
    </w:lvl>
    <w:lvl w:ilvl="4" w:tplc="4AB0C752">
      <w:numFmt w:val="decimal"/>
      <w:lvlText w:val=""/>
      <w:lvlJc w:val="left"/>
    </w:lvl>
    <w:lvl w:ilvl="5" w:tplc="0F08E9C6">
      <w:numFmt w:val="decimal"/>
      <w:lvlText w:val=""/>
      <w:lvlJc w:val="left"/>
    </w:lvl>
    <w:lvl w:ilvl="6" w:tplc="EA86B9C8">
      <w:numFmt w:val="decimal"/>
      <w:lvlText w:val=""/>
      <w:lvlJc w:val="left"/>
    </w:lvl>
    <w:lvl w:ilvl="7" w:tplc="D5B62718">
      <w:numFmt w:val="decimal"/>
      <w:lvlText w:val=""/>
      <w:lvlJc w:val="left"/>
    </w:lvl>
    <w:lvl w:ilvl="8" w:tplc="4CEC719A">
      <w:numFmt w:val="decimal"/>
      <w:lvlText w:val=""/>
      <w:lvlJc w:val="left"/>
    </w:lvl>
  </w:abstractNum>
  <w:abstractNum w:abstractNumId="486" w15:restartNumberingAfterBreak="0">
    <w:nsid w:val="56B3223A"/>
    <w:multiLevelType w:val="hybridMultilevel"/>
    <w:tmpl w:val="9224F51A"/>
    <w:lvl w:ilvl="0" w:tplc="6CAC5F32">
      <w:start w:val="1"/>
      <w:numFmt w:val="bullet"/>
      <w:lvlText w:val="•"/>
      <w:lvlJc w:val="left"/>
    </w:lvl>
    <w:lvl w:ilvl="1" w:tplc="6BF04A5C">
      <w:numFmt w:val="decimal"/>
      <w:lvlText w:val=""/>
      <w:lvlJc w:val="left"/>
    </w:lvl>
    <w:lvl w:ilvl="2" w:tplc="0298F774">
      <w:numFmt w:val="decimal"/>
      <w:lvlText w:val=""/>
      <w:lvlJc w:val="left"/>
    </w:lvl>
    <w:lvl w:ilvl="3" w:tplc="D2583AC6">
      <w:numFmt w:val="decimal"/>
      <w:lvlText w:val=""/>
      <w:lvlJc w:val="left"/>
    </w:lvl>
    <w:lvl w:ilvl="4" w:tplc="2958655C">
      <w:numFmt w:val="decimal"/>
      <w:lvlText w:val=""/>
      <w:lvlJc w:val="left"/>
    </w:lvl>
    <w:lvl w:ilvl="5" w:tplc="E68E78DC">
      <w:numFmt w:val="decimal"/>
      <w:lvlText w:val=""/>
      <w:lvlJc w:val="left"/>
    </w:lvl>
    <w:lvl w:ilvl="6" w:tplc="0344C4E8">
      <w:numFmt w:val="decimal"/>
      <w:lvlText w:val=""/>
      <w:lvlJc w:val="left"/>
    </w:lvl>
    <w:lvl w:ilvl="7" w:tplc="895E6A10">
      <w:numFmt w:val="decimal"/>
      <w:lvlText w:val=""/>
      <w:lvlJc w:val="left"/>
    </w:lvl>
    <w:lvl w:ilvl="8" w:tplc="5504EABE">
      <w:numFmt w:val="decimal"/>
      <w:lvlText w:val=""/>
      <w:lvlJc w:val="left"/>
    </w:lvl>
  </w:abstractNum>
  <w:abstractNum w:abstractNumId="487" w15:restartNumberingAfterBreak="0">
    <w:nsid w:val="56BF33F6"/>
    <w:multiLevelType w:val="hybridMultilevel"/>
    <w:tmpl w:val="1F0672AA"/>
    <w:lvl w:ilvl="0" w:tplc="6BE49240">
      <w:start w:val="1"/>
      <w:numFmt w:val="bullet"/>
      <w:lvlText w:val="•"/>
      <w:lvlJc w:val="left"/>
    </w:lvl>
    <w:lvl w:ilvl="1" w:tplc="1F18334A">
      <w:numFmt w:val="decimal"/>
      <w:lvlText w:val=""/>
      <w:lvlJc w:val="left"/>
    </w:lvl>
    <w:lvl w:ilvl="2" w:tplc="1A8E31C4">
      <w:numFmt w:val="decimal"/>
      <w:lvlText w:val=""/>
      <w:lvlJc w:val="left"/>
    </w:lvl>
    <w:lvl w:ilvl="3" w:tplc="A268154E">
      <w:numFmt w:val="decimal"/>
      <w:lvlText w:val=""/>
      <w:lvlJc w:val="left"/>
    </w:lvl>
    <w:lvl w:ilvl="4" w:tplc="BC5A3A6E">
      <w:numFmt w:val="decimal"/>
      <w:lvlText w:val=""/>
      <w:lvlJc w:val="left"/>
    </w:lvl>
    <w:lvl w:ilvl="5" w:tplc="D5B6259A">
      <w:numFmt w:val="decimal"/>
      <w:lvlText w:val=""/>
      <w:lvlJc w:val="left"/>
    </w:lvl>
    <w:lvl w:ilvl="6" w:tplc="FB2ED5B8">
      <w:numFmt w:val="decimal"/>
      <w:lvlText w:val=""/>
      <w:lvlJc w:val="left"/>
    </w:lvl>
    <w:lvl w:ilvl="7" w:tplc="8B5E3864">
      <w:numFmt w:val="decimal"/>
      <w:lvlText w:val=""/>
      <w:lvlJc w:val="left"/>
    </w:lvl>
    <w:lvl w:ilvl="8" w:tplc="D6DC4B10">
      <w:numFmt w:val="decimal"/>
      <w:lvlText w:val=""/>
      <w:lvlJc w:val="left"/>
    </w:lvl>
  </w:abstractNum>
  <w:abstractNum w:abstractNumId="488" w15:restartNumberingAfterBreak="0">
    <w:nsid w:val="56CDFABB"/>
    <w:multiLevelType w:val="hybridMultilevel"/>
    <w:tmpl w:val="6C429C72"/>
    <w:lvl w:ilvl="0" w:tplc="5E7C1804">
      <w:start w:val="12"/>
      <w:numFmt w:val="lowerLetter"/>
      <w:lvlText w:val="%1)"/>
      <w:lvlJc w:val="left"/>
    </w:lvl>
    <w:lvl w:ilvl="1" w:tplc="D3E6A6A4">
      <w:numFmt w:val="decimal"/>
      <w:lvlText w:val=""/>
      <w:lvlJc w:val="left"/>
    </w:lvl>
    <w:lvl w:ilvl="2" w:tplc="61E2A57C">
      <w:numFmt w:val="decimal"/>
      <w:lvlText w:val=""/>
      <w:lvlJc w:val="left"/>
    </w:lvl>
    <w:lvl w:ilvl="3" w:tplc="3600EDBC">
      <w:numFmt w:val="decimal"/>
      <w:lvlText w:val=""/>
      <w:lvlJc w:val="left"/>
    </w:lvl>
    <w:lvl w:ilvl="4" w:tplc="066CCC78">
      <w:numFmt w:val="decimal"/>
      <w:lvlText w:val=""/>
      <w:lvlJc w:val="left"/>
    </w:lvl>
    <w:lvl w:ilvl="5" w:tplc="A34C4282">
      <w:numFmt w:val="decimal"/>
      <w:lvlText w:val=""/>
      <w:lvlJc w:val="left"/>
    </w:lvl>
    <w:lvl w:ilvl="6" w:tplc="FAE24DCC">
      <w:numFmt w:val="decimal"/>
      <w:lvlText w:val=""/>
      <w:lvlJc w:val="left"/>
    </w:lvl>
    <w:lvl w:ilvl="7" w:tplc="0BCA9652">
      <w:numFmt w:val="decimal"/>
      <w:lvlText w:val=""/>
      <w:lvlJc w:val="left"/>
    </w:lvl>
    <w:lvl w:ilvl="8" w:tplc="2EA2532C">
      <w:numFmt w:val="decimal"/>
      <w:lvlText w:val=""/>
      <w:lvlJc w:val="left"/>
    </w:lvl>
  </w:abstractNum>
  <w:abstractNum w:abstractNumId="489" w15:restartNumberingAfterBreak="0">
    <w:nsid w:val="56D43898"/>
    <w:multiLevelType w:val="hybridMultilevel"/>
    <w:tmpl w:val="1C9E1D2C"/>
    <w:lvl w:ilvl="0" w:tplc="8D4401CA">
      <w:start w:val="1"/>
      <w:numFmt w:val="bullet"/>
      <w:lvlText w:val="·"/>
      <w:lvlJc w:val="left"/>
    </w:lvl>
    <w:lvl w:ilvl="1" w:tplc="E28A50F6">
      <w:numFmt w:val="decimal"/>
      <w:lvlText w:val=""/>
      <w:lvlJc w:val="left"/>
    </w:lvl>
    <w:lvl w:ilvl="2" w:tplc="5504F20E">
      <w:numFmt w:val="decimal"/>
      <w:lvlText w:val=""/>
      <w:lvlJc w:val="left"/>
    </w:lvl>
    <w:lvl w:ilvl="3" w:tplc="B600C236">
      <w:numFmt w:val="decimal"/>
      <w:lvlText w:val=""/>
      <w:lvlJc w:val="left"/>
    </w:lvl>
    <w:lvl w:ilvl="4" w:tplc="1ECA8602">
      <w:numFmt w:val="decimal"/>
      <w:lvlText w:val=""/>
      <w:lvlJc w:val="left"/>
    </w:lvl>
    <w:lvl w:ilvl="5" w:tplc="8CC285C0">
      <w:numFmt w:val="decimal"/>
      <w:lvlText w:val=""/>
      <w:lvlJc w:val="left"/>
    </w:lvl>
    <w:lvl w:ilvl="6" w:tplc="9AB6DC0A">
      <w:numFmt w:val="decimal"/>
      <w:lvlText w:val=""/>
      <w:lvlJc w:val="left"/>
    </w:lvl>
    <w:lvl w:ilvl="7" w:tplc="EE4A4EF4">
      <w:numFmt w:val="decimal"/>
      <w:lvlText w:val=""/>
      <w:lvlJc w:val="left"/>
    </w:lvl>
    <w:lvl w:ilvl="8" w:tplc="349A85D4">
      <w:numFmt w:val="decimal"/>
      <w:lvlText w:val=""/>
      <w:lvlJc w:val="left"/>
    </w:lvl>
  </w:abstractNum>
  <w:abstractNum w:abstractNumId="490" w15:restartNumberingAfterBreak="0">
    <w:nsid w:val="56E57D3D"/>
    <w:multiLevelType w:val="hybridMultilevel"/>
    <w:tmpl w:val="A0F2F01A"/>
    <w:lvl w:ilvl="0" w:tplc="BA829994">
      <w:start w:val="1"/>
      <w:numFmt w:val="bullet"/>
      <w:lvlText w:val="●"/>
      <w:lvlJc w:val="left"/>
    </w:lvl>
    <w:lvl w:ilvl="1" w:tplc="315627E0">
      <w:numFmt w:val="decimal"/>
      <w:lvlText w:val=""/>
      <w:lvlJc w:val="left"/>
    </w:lvl>
    <w:lvl w:ilvl="2" w:tplc="2D824E50">
      <w:numFmt w:val="decimal"/>
      <w:lvlText w:val=""/>
      <w:lvlJc w:val="left"/>
    </w:lvl>
    <w:lvl w:ilvl="3" w:tplc="A314D930">
      <w:numFmt w:val="decimal"/>
      <w:lvlText w:val=""/>
      <w:lvlJc w:val="left"/>
    </w:lvl>
    <w:lvl w:ilvl="4" w:tplc="BC243BD8">
      <w:numFmt w:val="decimal"/>
      <w:lvlText w:val=""/>
      <w:lvlJc w:val="left"/>
    </w:lvl>
    <w:lvl w:ilvl="5" w:tplc="2264CA6E">
      <w:numFmt w:val="decimal"/>
      <w:lvlText w:val=""/>
      <w:lvlJc w:val="left"/>
    </w:lvl>
    <w:lvl w:ilvl="6" w:tplc="77242D44">
      <w:numFmt w:val="decimal"/>
      <w:lvlText w:val=""/>
      <w:lvlJc w:val="left"/>
    </w:lvl>
    <w:lvl w:ilvl="7" w:tplc="E2CC3AE2">
      <w:numFmt w:val="decimal"/>
      <w:lvlText w:val=""/>
      <w:lvlJc w:val="left"/>
    </w:lvl>
    <w:lvl w:ilvl="8" w:tplc="4D5633CA">
      <w:numFmt w:val="decimal"/>
      <w:lvlText w:val=""/>
      <w:lvlJc w:val="left"/>
    </w:lvl>
  </w:abstractNum>
  <w:abstractNum w:abstractNumId="491" w15:restartNumberingAfterBreak="0">
    <w:nsid w:val="57034E20"/>
    <w:multiLevelType w:val="hybridMultilevel"/>
    <w:tmpl w:val="F9C46794"/>
    <w:lvl w:ilvl="0" w:tplc="32541A7E">
      <w:start w:val="1"/>
      <w:numFmt w:val="bullet"/>
      <w:lvlText w:val="→"/>
      <w:lvlJc w:val="left"/>
    </w:lvl>
    <w:lvl w:ilvl="1" w:tplc="A948B2CC">
      <w:start w:val="1"/>
      <w:numFmt w:val="bullet"/>
      <w:lvlText w:val="•"/>
      <w:lvlJc w:val="left"/>
    </w:lvl>
    <w:lvl w:ilvl="2" w:tplc="DB1A1402">
      <w:numFmt w:val="decimal"/>
      <w:lvlText w:val=""/>
      <w:lvlJc w:val="left"/>
    </w:lvl>
    <w:lvl w:ilvl="3" w:tplc="0276C062">
      <w:numFmt w:val="decimal"/>
      <w:lvlText w:val=""/>
      <w:lvlJc w:val="left"/>
    </w:lvl>
    <w:lvl w:ilvl="4" w:tplc="E60E39E0">
      <w:numFmt w:val="decimal"/>
      <w:lvlText w:val=""/>
      <w:lvlJc w:val="left"/>
    </w:lvl>
    <w:lvl w:ilvl="5" w:tplc="B9C89F42">
      <w:numFmt w:val="decimal"/>
      <w:lvlText w:val=""/>
      <w:lvlJc w:val="left"/>
    </w:lvl>
    <w:lvl w:ilvl="6" w:tplc="0E1C8DF6">
      <w:numFmt w:val="decimal"/>
      <w:lvlText w:val=""/>
      <w:lvlJc w:val="left"/>
    </w:lvl>
    <w:lvl w:ilvl="7" w:tplc="9288E3B8">
      <w:numFmt w:val="decimal"/>
      <w:lvlText w:val=""/>
      <w:lvlJc w:val="left"/>
    </w:lvl>
    <w:lvl w:ilvl="8" w:tplc="97F64A56">
      <w:numFmt w:val="decimal"/>
      <w:lvlText w:val=""/>
      <w:lvlJc w:val="left"/>
    </w:lvl>
  </w:abstractNum>
  <w:abstractNum w:abstractNumId="492" w15:restartNumberingAfterBreak="0">
    <w:nsid w:val="57102051"/>
    <w:multiLevelType w:val="hybridMultilevel"/>
    <w:tmpl w:val="EC8EA1C6"/>
    <w:lvl w:ilvl="0" w:tplc="AC92F778">
      <w:start w:val="1"/>
      <w:numFmt w:val="bullet"/>
      <w:lvlText w:val="•"/>
      <w:lvlJc w:val="left"/>
    </w:lvl>
    <w:lvl w:ilvl="1" w:tplc="7ACC584C">
      <w:numFmt w:val="decimal"/>
      <w:lvlText w:val=""/>
      <w:lvlJc w:val="left"/>
    </w:lvl>
    <w:lvl w:ilvl="2" w:tplc="D1F894BA">
      <w:numFmt w:val="decimal"/>
      <w:lvlText w:val=""/>
      <w:lvlJc w:val="left"/>
    </w:lvl>
    <w:lvl w:ilvl="3" w:tplc="51E64FFC">
      <w:numFmt w:val="decimal"/>
      <w:lvlText w:val=""/>
      <w:lvlJc w:val="left"/>
    </w:lvl>
    <w:lvl w:ilvl="4" w:tplc="E20EDD96">
      <w:numFmt w:val="decimal"/>
      <w:lvlText w:val=""/>
      <w:lvlJc w:val="left"/>
    </w:lvl>
    <w:lvl w:ilvl="5" w:tplc="6A025004">
      <w:numFmt w:val="decimal"/>
      <w:lvlText w:val=""/>
      <w:lvlJc w:val="left"/>
    </w:lvl>
    <w:lvl w:ilvl="6" w:tplc="0BAE5326">
      <w:numFmt w:val="decimal"/>
      <w:lvlText w:val=""/>
      <w:lvlJc w:val="left"/>
    </w:lvl>
    <w:lvl w:ilvl="7" w:tplc="612EA8DC">
      <w:numFmt w:val="decimal"/>
      <w:lvlText w:val=""/>
      <w:lvlJc w:val="left"/>
    </w:lvl>
    <w:lvl w:ilvl="8" w:tplc="92B0F0CE">
      <w:numFmt w:val="decimal"/>
      <w:lvlText w:val=""/>
      <w:lvlJc w:val="left"/>
    </w:lvl>
  </w:abstractNum>
  <w:abstractNum w:abstractNumId="493" w15:restartNumberingAfterBreak="0">
    <w:nsid w:val="572C05FE"/>
    <w:multiLevelType w:val="hybridMultilevel"/>
    <w:tmpl w:val="3DD4449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94" w15:restartNumberingAfterBreak="0">
    <w:nsid w:val="576761AB"/>
    <w:multiLevelType w:val="hybridMultilevel"/>
    <w:tmpl w:val="F21E07BA"/>
    <w:lvl w:ilvl="0" w:tplc="B5DAEFEC">
      <w:start w:val="1"/>
      <w:numFmt w:val="decimal"/>
      <w:lvlText w:val="%1."/>
      <w:lvlJc w:val="left"/>
      <w:pPr>
        <w:ind w:left="564" w:hanging="360"/>
      </w:pPr>
      <w:rPr>
        <w:rFonts w:hint="default"/>
        <w:b/>
        <w:sz w:val="23"/>
      </w:rPr>
    </w:lvl>
    <w:lvl w:ilvl="1" w:tplc="04050019" w:tentative="1">
      <w:start w:val="1"/>
      <w:numFmt w:val="lowerLetter"/>
      <w:lvlText w:val="%2."/>
      <w:lvlJc w:val="left"/>
      <w:pPr>
        <w:ind w:left="1284" w:hanging="360"/>
      </w:pPr>
    </w:lvl>
    <w:lvl w:ilvl="2" w:tplc="0405001B" w:tentative="1">
      <w:start w:val="1"/>
      <w:numFmt w:val="lowerRoman"/>
      <w:lvlText w:val="%3."/>
      <w:lvlJc w:val="right"/>
      <w:pPr>
        <w:ind w:left="2004" w:hanging="180"/>
      </w:pPr>
    </w:lvl>
    <w:lvl w:ilvl="3" w:tplc="0405000F" w:tentative="1">
      <w:start w:val="1"/>
      <w:numFmt w:val="decimal"/>
      <w:lvlText w:val="%4."/>
      <w:lvlJc w:val="left"/>
      <w:pPr>
        <w:ind w:left="2724" w:hanging="360"/>
      </w:pPr>
    </w:lvl>
    <w:lvl w:ilvl="4" w:tplc="04050019" w:tentative="1">
      <w:start w:val="1"/>
      <w:numFmt w:val="lowerLetter"/>
      <w:lvlText w:val="%5."/>
      <w:lvlJc w:val="left"/>
      <w:pPr>
        <w:ind w:left="3444" w:hanging="360"/>
      </w:pPr>
    </w:lvl>
    <w:lvl w:ilvl="5" w:tplc="0405001B" w:tentative="1">
      <w:start w:val="1"/>
      <w:numFmt w:val="lowerRoman"/>
      <w:lvlText w:val="%6."/>
      <w:lvlJc w:val="right"/>
      <w:pPr>
        <w:ind w:left="4164" w:hanging="180"/>
      </w:pPr>
    </w:lvl>
    <w:lvl w:ilvl="6" w:tplc="0405000F" w:tentative="1">
      <w:start w:val="1"/>
      <w:numFmt w:val="decimal"/>
      <w:lvlText w:val="%7."/>
      <w:lvlJc w:val="left"/>
      <w:pPr>
        <w:ind w:left="4884" w:hanging="360"/>
      </w:pPr>
    </w:lvl>
    <w:lvl w:ilvl="7" w:tplc="04050019" w:tentative="1">
      <w:start w:val="1"/>
      <w:numFmt w:val="lowerLetter"/>
      <w:lvlText w:val="%8."/>
      <w:lvlJc w:val="left"/>
      <w:pPr>
        <w:ind w:left="5604" w:hanging="360"/>
      </w:pPr>
    </w:lvl>
    <w:lvl w:ilvl="8" w:tplc="0405001B" w:tentative="1">
      <w:start w:val="1"/>
      <w:numFmt w:val="lowerRoman"/>
      <w:lvlText w:val="%9."/>
      <w:lvlJc w:val="right"/>
      <w:pPr>
        <w:ind w:left="6324" w:hanging="180"/>
      </w:pPr>
    </w:lvl>
  </w:abstractNum>
  <w:abstractNum w:abstractNumId="495" w15:restartNumberingAfterBreak="0">
    <w:nsid w:val="57830AB8"/>
    <w:multiLevelType w:val="hybridMultilevel"/>
    <w:tmpl w:val="D5A247D8"/>
    <w:lvl w:ilvl="0" w:tplc="04050017">
      <w:start w:val="1"/>
      <w:numFmt w:val="lowerLetter"/>
      <w:lvlText w:val="%1)"/>
      <w:lvlJc w:val="left"/>
      <w:pPr>
        <w:ind w:left="840" w:hanging="360"/>
      </w:pPr>
    </w:lvl>
    <w:lvl w:ilvl="1" w:tplc="04050019" w:tentative="1">
      <w:start w:val="1"/>
      <w:numFmt w:val="lowerLetter"/>
      <w:lvlText w:val="%2."/>
      <w:lvlJc w:val="left"/>
      <w:pPr>
        <w:ind w:left="1560" w:hanging="360"/>
      </w:pPr>
    </w:lvl>
    <w:lvl w:ilvl="2" w:tplc="0405001B" w:tentative="1">
      <w:start w:val="1"/>
      <w:numFmt w:val="lowerRoman"/>
      <w:lvlText w:val="%3."/>
      <w:lvlJc w:val="right"/>
      <w:pPr>
        <w:ind w:left="2280" w:hanging="180"/>
      </w:pPr>
    </w:lvl>
    <w:lvl w:ilvl="3" w:tplc="04050017">
      <w:start w:val="1"/>
      <w:numFmt w:val="lowerLetter"/>
      <w:lvlText w:val="%4)"/>
      <w:lvlJc w:val="left"/>
      <w:pPr>
        <w:ind w:left="3000" w:hanging="360"/>
      </w:pPr>
    </w:lvl>
    <w:lvl w:ilvl="4" w:tplc="04050019" w:tentative="1">
      <w:start w:val="1"/>
      <w:numFmt w:val="lowerLetter"/>
      <w:lvlText w:val="%5."/>
      <w:lvlJc w:val="left"/>
      <w:pPr>
        <w:ind w:left="3720" w:hanging="360"/>
      </w:pPr>
    </w:lvl>
    <w:lvl w:ilvl="5" w:tplc="0405001B" w:tentative="1">
      <w:start w:val="1"/>
      <w:numFmt w:val="lowerRoman"/>
      <w:lvlText w:val="%6."/>
      <w:lvlJc w:val="right"/>
      <w:pPr>
        <w:ind w:left="4440" w:hanging="180"/>
      </w:pPr>
    </w:lvl>
    <w:lvl w:ilvl="6" w:tplc="0405000F" w:tentative="1">
      <w:start w:val="1"/>
      <w:numFmt w:val="decimal"/>
      <w:lvlText w:val="%7."/>
      <w:lvlJc w:val="left"/>
      <w:pPr>
        <w:ind w:left="5160" w:hanging="360"/>
      </w:pPr>
    </w:lvl>
    <w:lvl w:ilvl="7" w:tplc="04050019" w:tentative="1">
      <w:start w:val="1"/>
      <w:numFmt w:val="lowerLetter"/>
      <w:lvlText w:val="%8."/>
      <w:lvlJc w:val="left"/>
      <w:pPr>
        <w:ind w:left="5880" w:hanging="360"/>
      </w:pPr>
    </w:lvl>
    <w:lvl w:ilvl="8" w:tplc="0405001B" w:tentative="1">
      <w:start w:val="1"/>
      <w:numFmt w:val="lowerRoman"/>
      <w:lvlText w:val="%9."/>
      <w:lvlJc w:val="right"/>
      <w:pPr>
        <w:ind w:left="6600" w:hanging="180"/>
      </w:pPr>
    </w:lvl>
  </w:abstractNum>
  <w:abstractNum w:abstractNumId="496" w15:restartNumberingAfterBreak="0">
    <w:nsid w:val="5787D524"/>
    <w:multiLevelType w:val="hybridMultilevel"/>
    <w:tmpl w:val="69820ED8"/>
    <w:lvl w:ilvl="0" w:tplc="BE460B94">
      <w:start w:val="1"/>
      <w:numFmt w:val="bullet"/>
      <w:lvlText w:val="●"/>
      <w:lvlJc w:val="left"/>
    </w:lvl>
    <w:lvl w:ilvl="1" w:tplc="70D2C97C">
      <w:numFmt w:val="decimal"/>
      <w:lvlText w:val=""/>
      <w:lvlJc w:val="left"/>
    </w:lvl>
    <w:lvl w:ilvl="2" w:tplc="52A4DF20">
      <w:numFmt w:val="decimal"/>
      <w:lvlText w:val=""/>
      <w:lvlJc w:val="left"/>
    </w:lvl>
    <w:lvl w:ilvl="3" w:tplc="77185E76">
      <w:numFmt w:val="decimal"/>
      <w:lvlText w:val=""/>
      <w:lvlJc w:val="left"/>
    </w:lvl>
    <w:lvl w:ilvl="4" w:tplc="307A2E8A">
      <w:numFmt w:val="decimal"/>
      <w:lvlText w:val=""/>
      <w:lvlJc w:val="left"/>
    </w:lvl>
    <w:lvl w:ilvl="5" w:tplc="D6FC17BE">
      <w:numFmt w:val="decimal"/>
      <w:lvlText w:val=""/>
      <w:lvlJc w:val="left"/>
    </w:lvl>
    <w:lvl w:ilvl="6" w:tplc="55CE4F90">
      <w:numFmt w:val="decimal"/>
      <w:lvlText w:val=""/>
      <w:lvlJc w:val="left"/>
    </w:lvl>
    <w:lvl w:ilvl="7" w:tplc="9A902CB6">
      <w:numFmt w:val="decimal"/>
      <w:lvlText w:val=""/>
      <w:lvlJc w:val="left"/>
    </w:lvl>
    <w:lvl w:ilvl="8" w:tplc="A9F0D84C">
      <w:numFmt w:val="decimal"/>
      <w:lvlText w:val=""/>
      <w:lvlJc w:val="left"/>
    </w:lvl>
  </w:abstractNum>
  <w:abstractNum w:abstractNumId="497" w15:restartNumberingAfterBreak="0">
    <w:nsid w:val="57AA92EA"/>
    <w:multiLevelType w:val="hybridMultilevel"/>
    <w:tmpl w:val="D61EBE16"/>
    <w:lvl w:ilvl="0" w:tplc="DA00D00A">
      <w:start w:val="1"/>
      <w:numFmt w:val="bullet"/>
      <w:lvlText w:val="-"/>
      <w:lvlJc w:val="left"/>
    </w:lvl>
    <w:lvl w:ilvl="1" w:tplc="8DD47EE8">
      <w:numFmt w:val="decimal"/>
      <w:lvlText w:val=""/>
      <w:lvlJc w:val="left"/>
    </w:lvl>
    <w:lvl w:ilvl="2" w:tplc="08EED446">
      <w:numFmt w:val="decimal"/>
      <w:lvlText w:val=""/>
      <w:lvlJc w:val="left"/>
    </w:lvl>
    <w:lvl w:ilvl="3" w:tplc="04C67B1A">
      <w:numFmt w:val="decimal"/>
      <w:lvlText w:val=""/>
      <w:lvlJc w:val="left"/>
    </w:lvl>
    <w:lvl w:ilvl="4" w:tplc="0CC43662">
      <w:numFmt w:val="decimal"/>
      <w:lvlText w:val=""/>
      <w:lvlJc w:val="left"/>
    </w:lvl>
    <w:lvl w:ilvl="5" w:tplc="9F82ACD8">
      <w:numFmt w:val="decimal"/>
      <w:lvlText w:val=""/>
      <w:lvlJc w:val="left"/>
    </w:lvl>
    <w:lvl w:ilvl="6" w:tplc="68BA064C">
      <w:numFmt w:val="decimal"/>
      <w:lvlText w:val=""/>
      <w:lvlJc w:val="left"/>
    </w:lvl>
    <w:lvl w:ilvl="7" w:tplc="100A9D86">
      <w:numFmt w:val="decimal"/>
      <w:lvlText w:val=""/>
      <w:lvlJc w:val="left"/>
    </w:lvl>
    <w:lvl w:ilvl="8" w:tplc="9BBE3226">
      <w:numFmt w:val="decimal"/>
      <w:lvlText w:val=""/>
      <w:lvlJc w:val="left"/>
    </w:lvl>
  </w:abstractNum>
  <w:abstractNum w:abstractNumId="498" w15:restartNumberingAfterBreak="0">
    <w:nsid w:val="58253F00"/>
    <w:multiLevelType w:val="hybridMultilevel"/>
    <w:tmpl w:val="31BC763A"/>
    <w:lvl w:ilvl="0" w:tplc="53CABD30">
      <w:start w:val="1"/>
      <w:numFmt w:val="bullet"/>
      <w:lvlText w:val="-"/>
      <w:lvlJc w:val="left"/>
      <w:pPr>
        <w:ind w:left="1146" w:hanging="360"/>
      </w:p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cs="Wingdings" w:hint="default"/>
      </w:rPr>
    </w:lvl>
    <w:lvl w:ilvl="3" w:tplc="04050001" w:tentative="1">
      <w:start w:val="1"/>
      <w:numFmt w:val="bullet"/>
      <w:lvlText w:val=""/>
      <w:lvlJc w:val="left"/>
      <w:pPr>
        <w:ind w:left="3306" w:hanging="360"/>
      </w:pPr>
      <w:rPr>
        <w:rFonts w:ascii="Symbol" w:hAnsi="Symbol" w:cs="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cs="Wingdings" w:hint="default"/>
      </w:rPr>
    </w:lvl>
    <w:lvl w:ilvl="6" w:tplc="04050001" w:tentative="1">
      <w:start w:val="1"/>
      <w:numFmt w:val="bullet"/>
      <w:lvlText w:val=""/>
      <w:lvlJc w:val="left"/>
      <w:pPr>
        <w:ind w:left="5466" w:hanging="360"/>
      </w:pPr>
      <w:rPr>
        <w:rFonts w:ascii="Symbol" w:hAnsi="Symbol" w:cs="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cs="Wingdings" w:hint="default"/>
      </w:rPr>
    </w:lvl>
  </w:abstractNum>
  <w:abstractNum w:abstractNumId="499" w15:restartNumberingAfterBreak="0">
    <w:nsid w:val="58625C6D"/>
    <w:multiLevelType w:val="hybridMultilevel"/>
    <w:tmpl w:val="6CBCF7D8"/>
    <w:lvl w:ilvl="0" w:tplc="B016DD34">
      <w:start w:val="1"/>
      <w:numFmt w:val="bullet"/>
      <w:lvlText w:val="−"/>
      <w:lvlJc w:val="left"/>
    </w:lvl>
    <w:lvl w:ilvl="1" w:tplc="AA74D0EC">
      <w:numFmt w:val="decimal"/>
      <w:lvlText w:val=""/>
      <w:lvlJc w:val="left"/>
    </w:lvl>
    <w:lvl w:ilvl="2" w:tplc="803CFBF6">
      <w:numFmt w:val="decimal"/>
      <w:lvlText w:val=""/>
      <w:lvlJc w:val="left"/>
    </w:lvl>
    <w:lvl w:ilvl="3" w:tplc="A3E65EA6">
      <w:numFmt w:val="decimal"/>
      <w:lvlText w:val=""/>
      <w:lvlJc w:val="left"/>
    </w:lvl>
    <w:lvl w:ilvl="4" w:tplc="A46C615E">
      <w:numFmt w:val="decimal"/>
      <w:lvlText w:val=""/>
      <w:lvlJc w:val="left"/>
    </w:lvl>
    <w:lvl w:ilvl="5" w:tplc="AF4A5ED4">
      <w:numFmt w:val="decimal"/>
      <w:lvlText w:val=""/>
      <w:lvlJc w:val="left"/>
    </w:lvl>
    <w:lvl w:ilvl="6" w:tplc="5BAA0E52">
      <w:numFmt w:val="decimal"/>
      <w:lvlText w:val=""/>
      <w:lvlJc w:val="left"/>
    </w:lvl>
    <w:lvl w:ilvl="7" w:tplc="D66EFB1C">
      <w:numFmt w:val="decimal"/>
      <w:lvlText w:val=""/>
      <w:lvlJc w:val="left"/>
    </w:lvl>
    <w:lvl w:ilvl="8" w:tplc="03A40030">
      <w:numFmt w:val="decimal"/>
      <w:lvlText w:val=""/>
      <w:lvlJc w:val="left"/>
    </w:lvl>
  </w:abstractNum>
  <w:abstractNum w:abstractNumId="500" w15:restartNumberingAfterBreak="0">
    <w:nsid w:val="58A36FCA"/>
    <w:multiLevelType w:val="hybridMultilevel"/>
    <w:tmpl w:val="1BB67268"/>
    <w:lvl w:ilvl="0" w:tplc="5F96736E">
      <w:start w:val="1"/>
      <w:numFmt w:val="bullet"/>
      <w:lvlText w:val="•"/>
      <w:lvlJc w:val="left"/>
    </w:lvl>
    <w:lvl w:ilvl="1" w:tplc="D442673C">
      <w:numFmt w:val="decimal"/>
      <w:lvlText w:val=""/>
      <w:lvlJc w:val="left"/>
    </w:lvl>
    <w:lvl w:ilvl="2" w:tplc="C8FE7076">
      <w:numFmt w:val="decimal"/>
      <w:lvlText w:val=""/>
      <w:lvlJc w:val="left"/>
    </w:lvl>
    <w:lvl w:ilvl="3" w:tplc="D9E84388">
      <w:numFmt w:val="decimal"/>
      <w:lvlText w:val=""/>
      <w:lvlJc w:val="left"/>
    </w:lvl>
    <w:lvl w:ilvl="4" w:tplc="10722CF4">
      <w:numFmt w:val="decimal"/>
      <w:lvlText w:val=""/>
      <w:lvlJc w:val="left"/>
    </w:lvl>
    <w:lvl w:ilvl="5" w:tplc="FC087D5E">
      <w:numFmt w:val="decimal"/>
      <w:lvlText w:val=""/>
      <w:lvlJc w:val="left"/>
    </w:lvl>
    <w:lvl w:ilvl="6" w:tplc="F44807DA">
      <w:numFmt w:val="decimal"/>
      <w:lvlText w:val=""/>
      <w:lvlJc w:val="left"/>
    </w:lvl>
    <w:lvl w:ilvl="7" w:tplc="95E4C068">
      <w:numFmt w:val="decimal"/>
      <w:lvlText w:val=""/>
      <w:lvlJc w:val="left"/>
    </w:lvl>
    <w:lvl w:ilvl="8" w:tplc="D93A3F9C">
      <w:numFmt w:val="decimal"/>
      <w:lvlText w:val=""/>
      <w:lvlJc w:val="left"/>
    </w:lvl>
  </w:abstractNum>
  <w:abstractNum w:abstractNumId="501" w15:restartNumberingAfterBreak="0">
    <w:nsid w:val="58A73747"/>
    <w:multiLevelType w:val="hybridMultilevel"/>
    <w:tmpl w:val="F7F4FBBA"/>
    <w:lvl w:ilvl="0" w:tplc="DC36C4CA">
      <w:start w:val="14"/>
      <w:numFmt w:val="bullet"/>
      <w:lvlText w:val="-"/>
      <w:lvlJc w:val="left"/>
      <w:pPr>
        <w:ind w:left="720" w:hanging="360"/>
      </w:pPr>
      <w:rPr>
        <w:rFonts w:ascii="Times New Roman" w:eastAsia="Times New Roman" w:hAnsi="Times New Roman" w:cs="Times New Roman" w:hint="default"/>
        <w:color w:val="auto"/>
        <w:sz w:val="24"/>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2" w15:restartNumberingAfterBreak="0">
    <w:nsid w:val="58CF4CF1"/>
    <w:multiLevelType w:val="hybridMultilevel"/>
    <w:tmpl w:val="0B8EC5C2"/>
    <w:lvl w:ilvl="0" w:tplc="04050013">
      <w:start w:val="1"/>
      <w:numFmt w:val="upperRoman"/>
      <w:lvlText w:val="%1."/>
      <w:lvlJc w:val="righ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503" w15:restartNumberingAfterBreak="0">
    <w:nsid w:val="594F93D1"/>
    <w:multiLevelType w:val="hybridMultilevel"/>
    <w:tmpl w:val="EEE204BA"/>
    <w:lvl w:ilvl="0" w:tplc="C210673C">
      <w:start w:val="1"/>
      <w:numFmt w:val="lowerLetter"/>
      <w:lvlText w:val="%1)"/>
      <w:lvlJc w:val="left"/>
    </w:lvl>
    <w:lvl w:ilvl="1" w:tplc="C908E0AA">
      <w:numFmt w:val="decimal"/>
      <w:lvlText w:val=""/>
      <w:lvlJc w:val="left"/>
    </w:lvl>
    <w:lvl w:ilvl="2" w:tplc="6576BAC8">
      <w:numFmt w:val="decimal"/>
      <w:lvlText w:val=""/>
      <w:lvlJc w:val="left"/>
    </w:lvl>
    <w:lvl w:ilvl="3" w:tplc="1B40D112">
      <w:numFmt w:val="decimal"/>
      <w:lvlText w:val=""/>
      <w:lvlJc w:val="left"/>
    </w:lvl>
    <w:lvl w:ilvl="4" w:tplc="16B47136">
      <w:numFmt w:val="decimal"/>
      <w:lvlText w:val=""/>
      <w:lvlJc w:val="left"/>
    </w:lvl>
    <w:lvl w:ilvl="5" w:tplc="C43CA62C">
      <w:numFmt w:val="decimal"/>
      <w:lvlText w:val=""/>
      <w:lvlJc w:val="left"/>
    </w:lvl>
    <w:lvl w:ilvl="6" w:tplc="6C30FBEC">
      <w:numFmt w:val="decimal"/>
      <w:lvlText w:val=""/>
      <w:lvlJc w:val="left"/>
    </w:lvl>
    <w:lvl w:ilvl="7" w:tplc="52424040">
      <w:numFmt w:val="decimal"/>
      <w:lvlText w:val=""/>
      <w:lvlJc w:val="left"/>
    </w:lvl>
    <w:lvl w:ilvl="8" w:tplc="27AAEC5C">
      <w:numFmt w:val="decimal"/>
      <w:lvlText w:val=""/>
      <w:lvlJc w:val="left"/>
    </w:lvl>
  </w:abstractNum>
  <w:abstractNum w:abstractNumId="504" w15:restartNumberingAfterBreak="0">
    <w:nsid w:val="598F0D04"/>
    <w:multiLevelType w:val="hybridMultilevel"/>
    <w:tmpl w:val="0CFEB824"/>
    <w:lvl w:ilvl="0" w:tplc="CFA0D900">
      <w:start w:val="1"/>
      <w:numFmt w:val="bullet"/>
      <w:lvlText w:val="•"/>
      <w:lvlJc w:val="left"/>
      <w:pPr>
        <w:tabs>
          <w:tab w:val="num" w:pos="720"/>
        </w:tabs>
        <w:ind w:left="720" w:hanging="360"/>
      </w:pPr>
      <w:rPr>
        <w:rFonts w:ascii="Arial" w:hAnsi="Arial" w:hint="default"/>
      </w:rPr>
    </w:lvl>
    <w:lvl w:ilvl="1" w:tplc="58A650B0" w:tentative="1">
      <w:start w:val="1"/>
      <w:numFmt w:val="bullet"/>
      <w:lvlText w:val="•"/>
      <w:lvlJc w:val="left"/>
      <w:pPr>
        <w:tabs>
          <w:tab w:val="num" w:pos="1440"/>
        </w:tabs>
        <w:ind w:left="1440" w:hanging="360"/>
      </w:pPr>
      <w:rPr>
        <w:rFonts w:ascii="Arial" w:hAnsi="Arial" w:hint="default"/>
      </w:rPr>
    </w:lvl>
    <w:lvl w:ilvl="2" w:tplc="C42695F8" w:tentative="1">
      <w:start w:val="1"/>
      <w:numFmt w:val="bullet"/>
      <w:lvlText w:val="•"/>
      <w:lvlJc w:val="left"/>
      <w:pPr>
        <w:tabs>
          <w:tab w:val="num" w:pos="2160"/>
        </w:tabs>
        <w:ind w:left="2160" w:hanging="360"/>
      </w:pPr>
      <w:rPr>
        <w:rFonts w:ascii="Arial" w:hAnsi="Arial" w:hint="default"/>
      </w:rPr>
    </w:lvl>
    <w:lvl w:ilvl="3" w:tplc="F4B8F80A" w:tentative="1">
      <w:start w:val="1"/>
      <w:numFmt w:val="bullet"/>
      <w:lvlText w:val="•"/>
      <w:lvlJc w:val="left"/>
      <w:pPr>
        <w:tabs>
          <w:tab w:val="num" w:pos="2880"/>
        </w:tabs>
        <w:ind w:left="2880" w:hanging="360"/>
      </w:pPr>
      <w:rPr>
        <w:rFonts w:ascii="Arial" w:hAnsi="Arial" w:hint="default"/>
      </w:rPr>
    </w:lvl>
    <w:lvl w:ilvl="4" w:tplc="45E01512" w:tentative="1">
      <w:start w:val="1"/>
      <w:numFmt w:val="bullet"/>
      <w:lvlText w:val="•"/>
      <w:lvlJc w:val="left"/>
      <w:pPr>
        <w:tabs>
          <w:tab w:val="num" w:pos="3600"/>
        </w:tabs>
        <w:ind w:left="3600" w:hanging="360"/>
      </w:pPr>
      <w:rPr>
        <w:rFonts w:ascii="Arial" w:hAnsi="Arial" w:hint="default"/>
      </w:rPr>
    </w:lvl>
    <w:lvl w:ilvl="5" w:tplc="CE38F6B8" w:tentative="1">
      <w:start w:val="1"/>
      <w:numFmt w:val="bullet"/>
      <w:lvlText w:val="•"/>
      <w:lvlJc w:val="left"/>
      <w:pPr>
        <w:tabs>
          <w:tab w:val="num" w:pos="4320"/>
        </w:tabs>
        <w:ind w:left="4320" w:hanging="360"/>
      </w:pPr>
      <w:rPr>
        <w:rFonts w:ascii="Arial" w:hAnsi="Arial" w:hint="default"/>
      </w:rPr>
    </w:lvl>
    <w:lvl w:ilvl="6" w:tplc="BB089938" w:tentative="1">
      <w:start w:val="1"/>
      <w:numFmt w:val="bullet"/>
      <w:lvlText w:val="•"/>
      <w:lvlJc w:val="left"/>
      <w:pPr>
        <w:tabs>
          <w:tab w:val="num" w:pos="5040"/>
        </w:tabs>
        <w:ind w:left="5040" w:hanging="360"/>
      </w:pPr>
      <w:rPr>
        <w:rFonts w:ascii="Arial" w:hAnsi="Arial" w:hint="default"/>
      </w:rPr>
    </w:lvl>
    <w:lvl w:ilvl="7" w:tplc="6B401692" w:tentative="1">
      <w:start w:val="1"/>
      <w:numFmt w:val="bullet"/>
      <w:lvlText w:val="•"/>
      <w:lvlJc w:val="left"/>
      <w:pPr>
        <w:tabs>
          <w:tab w:val="num" w:pos="5760"/>
        </w:tabs>
        <w:ind w:left="5760" w:hanging="360"/>
      </w:pPr>
      <w:rPr>
        <w:rFonts w:ascii="Arial" w:hAnsi="Arial" w:hint="default"/>
      </w:rPr>
    </w:lvl>
    <w:lvl w:ilvl="8" w:tplc="3050F906" w:tentative="1">
      <w:start w:val="1"/>
      <w:numFmt w:val="bullet"/>
      <w:lvlText w:val="•"/>
      <w:lvlJc w:val="left"/>
      <w:pPr>
        <w:tabs>
          <w:tab w:val="num" w:pos="6480"/>
        </w:tabs>
        <w:ind w:left="6480" w:hanging="360"/>
      </w:pPr>
      <w:rPr>
        <w:rFonts w:ascii="Arial" w:hAnsi="Arial" w:hint="default"/>
      </w:rPr>
    </w:lvl>
  </w:abstractNum>
  <w:abstractNum w:abstractNumId="505" w15:restartNumberingAfterBreak="0">
    <w:nsid w:val="59E154AB"/>
    <w:multiLevelType w:val="hybridMultilevel"/>
    <w:tmpl w:val="B3682FA0"/>
    <w:lvl w:ilvl="0" w:tplc="53CABD30">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6" w15:restartNumberingAfterBreak="0">
    <w:nsid w:val="59EB4AB7"/>
    <w:multiLevelType w:val="hybridMultilevel"/>
    <w:tmpl w:val="135E4090"/>
    <w:lvl w:ilvl="0" w:tplc="04050011">
      <w:start w:val="1"/>
      <w:numFmt w:val="decimal"/>
      <w:lvlText w:val="%1)"/>
      <w:lvlJc w:val="left"/>
      <w:pPr>
        <w:ind w:left="1540" w:hanging="360"/>
      </w:pPr>
    </w:lvl>
    <w:lvl w:ilvl="1" w:tplc="04050019" w:tentative="1">
      <w:start w:val="1"/>
      <w:numFmt w:val="lowerLetter"/>
      <w:lvlText w:val="%2."/>
      <w:lvlJc w:val="left"/>
      <w:pPr>
        <w:ind w:left="2260" w:hanging="360"/>
      </w:pPr>
    </w:lvl>
    <w:lvl w:ilvl="2" w:tplc="0405001B" w:tentative="1">
      <w:start w:val="1"/>
      <w:numFmt w:val="lowerRoman"/>
      <w:lvlText w:val="%3."/>
      <w:lvlJc w:val="right"/>
      <w:pPr>
        <w:ind w:left="2980" w:hanging="180"/>
      </w:pPr>
    </w:lvl>
    <w:lvl w:ilvl="3" w:tplc="0405000F" w:tentative="1">
      <w:start w:val="1"/>
      <w:numFmt w:val="decimal"/>
      <w:lvlText w:val="%4."/>
      <w:lvlJc w:val="left"/>
      <w:pPr>
        <w:ind w:left="3700" w:hanging="360"/>
      </w:pPr>
    </w:lvl>
    <w:lvl w:ilvl="4" w:tplc="04050019" w:tentative="1">
      <w:start w:val="1"/>
      <w:numFmt w:val="lowerLetter"/>
      <w:lvlText w:val="%5."/>
      <w:lvlJc w:val="left"/>
      <w:pPr>
        <w:ind w:left="4420" w:hanging="360"/>
      </w:pPr>
    </w:lvl>
    <w:lvl w:ilvl="5" w:tplc="0405001B" w:tentative="1">
      <w:start w:val="1"/>
      <w:numFmt w:val="lowerRoman"/>
      <w:lvlText w:val="%6."/>
      <w:lvlJc w:val="right"/>
      <w:pPr>
        <w:ind w:left="5140" w:hanging="180"/>
      </w:pPr>
    </w:lvl>
    <w:lvl w:ilvl="6" w:tplc="0405000F" w:tentative="1">
      <w:start w:val="1"/>
      <w:numFmt w:val="decimal"/>
      <w:lvlText w:val="%7."/>
      <w:lvlJc w:val="left"/>
      <w:pPr>
        <w:ind w:left="5860" w:hanging="360"/>
      </w:pPr>
    </w:lvl>
    <w:lvl w:ilvl="7" w:tplc="04050019" w:tentative="1">
      <w:start w:val="1"/>
      <w:numFmt w:val="lowerLetter"/>
      <w:lvlText w:val="%8."/>
      <w:lvlJc w:val="left"/>
      <w:pPr>
        <w:ind w:left="6580" w:hanging="360"/>
      </w:pPr>
    </w:lvl>
    <w:lvl w:ilvl="8" w:tplc="0405001B" w:tentative="1">
      <w:start w:val="1"/>
      <w:numFmt w:val="lowerRoman"/>
      <w:lvlText w:val="%9."/>
      <w:lvlJc w:val="right"/>
      <w:pPr>
        <w:ind w:left="7300" w:hanging="180"/>
      </w:pPr>
    </w:lvl>
  </w:abstractNum>
  <w:abstractNum w:abstractNumId="507" w15:restartNumberingAfterBreak="0">
    <w:nsid w:val="59F12779"/>
    <w:multiLevelType w:val="hybridMultilevel"/>
    <w:tmpl w:val="11EA9B2A"/>
    <w:lvl w:ilvl="0" w:tplc="203E7258">
      <w:start w:val="1"/>
      <w:numFmt w:val="bullet"/>
      <w:lvlText w:val="·"/>
      <w:lvlJc w:val="left"/>
    </w:lvl>
    <w:lvl w:ilvl="1" w:tplc="FDE4DD4C">
      <w:start w:val="4"/>
      <w:numFmt w:val="lowerLetter"/>
      <w:lvlText w:val="%2)"/>
      <w:lvlJc w:val="left"/>
    </w:lvl>
    <w:lvl w:ilvl="2" w:tplc="3F8C666E">
      <w:numFmt w:val="decimal"/>
      <w:lvlText w:val=""/>
      <w:lvlJc w:val="left"/>
    </w:lvl>
    <w:lvl w:ilvl="3" w:tplc="2062C61A">
      <w:numFmt w:val="decimal"/>
      <w:lvlText w:val=""/>
      <w:lvlJc w:val="left"/>
    </w:lvl>
    <w:lvl w:ilvl="4" w:tplc="55B6BEA6">
      <w:numFmt w:val="decimal"/>
      <w:lvlText w:val=""/>
      <w:lvlJc w:val="left"/>
    </w:lvl>
    <w:lvl w:ilvl="5" w:tplc="6E50933C">
      <w:numFmt w:val="decimal"/>
      <w:lvlText w:val=""/>
      <w:lvlJc w:val="left"/>
    </w:lvl>
    <w:lvl w:ilvl="6" w:tplc="E8E65710">
      <w:numFmt w:val="decimal"/>
      <w:lvlText w:val=""/>
      <w:lvlJc w:val="left"/>
    </w:lvl>
    <w:lvl w:ilvl="7" w:tplc="80829110">
      <w:numFmt w:val="decimal"/>
      <w:lvlText w:val=""/>
      <w:lvlJc w:val="left"/>
    </w:lvl>
    <w:lvl w:ilvl="8" w:tplc="9C04F04A">
      <w:numFmt w:val="decimal"/>
      <w:lvlText w:val=""/>
      <w:lvlJc w:val="left"/>
    </w:lvl>
  </w:abstractNum>
  <w:abstractNum w:abstractNumId="508" w15:restartNumberingAfterBreak="0">
    <w:nsid w:val="5A098B27"/>
    <w:multiLevelType w:val="hybridMultilevel"/>
    <w:tmpl w:val="9766CB04"/>
    <w:lvl w:ilvl="0" w:tplc="09F430D6">
      <w:start w:val="1"/>
      <w:numFmt w:val="bullet"/>
      <w:lvlText w:val="•"/>
      <w:lvlJc w:val="left"/>
    </w:lvl>
    <w:lvl w:ilvl="1" w:tplc="128CEE7A">
      <w:numFmt w:val="decimal"/>
      <w:lvlText w:val=""/>
      <w:lvlJc w:val="left"/>
    </w:lvl>
    <w:lvl w:ilvl="2" w:tplc="860CFD14">
      <w:numFmt w:val="decimal"/>
      <w:lvlText w:val=""/>
      <w:lvlJc w:val="left"/>
    </w:lvl>
    <w:lvl w:ilvl="3" w:tplc="84ECD23A">
      <w:numFmt w:val="decimal"/>
      <w:lvlText w:val=""/>
      <w:lvlJc w:val="left"/>
    </w:lvl>
    <w:lvl w:ilvl="4" w:tplc="78166DBA">
      <w:numFmt w:val="decimal"/>
      <w:lvlText w:val=""/>
      <w:lvlJc w:val="left"/>
    </w:lvl>
    <w:lvl w:ilvl="5" w:tplc="D4CA03DA">
      <w:numFmt w:val="decimal"/>
      <w:lvlText w:val=""/>
      <w:lvlJc w:val="left"/>
    </w:lvl>
    <w:lvl w:ilvl="6" w:tplc="3BBAD5C8">
      <w:numFmt w:val="decimal"/>
      <w:lvlText w:val=""/>
      <w:lvlJc w:val="left"/>
    </w:lvl>
    <w:lvl w:ilvl="7" w:tplc="D0C81B52">
      <w:numFmt w:val="decimal"/>
      <w:lvlText w:val=""/>
      <w:lvlJc w:val="left"/>
    </w:lvl>
    <w:lvl w:ilvl="8" w:tplc="7AC2E9DC">
      <w:numFmt w:val="decimal"/>
      <w:lvlText w:val=""/>
      <w:lvlJc w:val="left"/>
    </w:lvl>
  </w:abstractNum>
  <w:abstractNum w:abstractNumId="509" w15:restartNumberingAfterBreak="0">
    <w:nsid w:val="5A4744BE"/>
    <w:multiLevelType w:val="hybridMultilevel"/>
    <w:tmpl w:val="AC140BCC"/>
    <w:lvl w:ilvl="0" w:tplc="D2E42416">
      <w:start w:val="1"/>
      <w:numFmt w:val="lowerLetter"/>
      <w:lvlText w:val="%1)"/>
      <w:lvlJc w:val="left"/>
    </w:lvl>
    <w:lvl w:ilvl="1" w:tplc="AB24F5EE">
      <w:numFmt w:val="decimal"/>
      <w:lvlText w:val=""/>
      <w:lvlJc w:val="left"/>
    </w:lvl>
    <w:lvl w:ilvl="2" w:tplc="762E442E">
      <w:numFmt w:val="decimal"/>
      <w:lvlText w:val=""/>
      <w:lvlJc w:val="left"/>
    </w:lvl>
    <w:lvl w:ilvl="3" w:tplc="F9ACF5AC">
      <w:numFmt w:val="decimal"/>
      <w:lvlText w:val=""/>
      <w:lvlJc w:val="left"/>
    </w:lvl>
    <w:lvl w:ilvl="4" w:tplc="5A1E973C">
      <w:numFmt w:val="decimal"/>
      <w:lvlText w:val=""/>
      <w:lvlJc w:val="left"/>
    </w:lvl>
    <w:lvl w:ilvl="5" w:tplc="4F4EB5BC">
      <w:numFmt w:val="decimal"/>
      <w:lvlText w:val=""/>
      <w:lvlJc w:val="left"/>
    </w:lvl>
    <w:lvl w:ilvl="6" w:tplc="6FCC4868">
      <w:numFmt w:val="decimal"/>
      <w:lvlText w:val=""/>
      <w:lvlJc w:val="left"/>
    </w:lvl>
    <w:lvl w:ilvl="7" w:tplc="3DC076CC">
      <w:numFmt w:val="decimal"/>
      <w:lvlText w:val=""/>
      <w:lvlJc w:val="left"/>
    </w:lvl>
    <w:lvl w:ilvl="8" w:tplc="FB42BAFA">
      <w:numFmt w:val="decimal"/>
      <w:lvlText w:val=""/>
      <w:lvlJc w:val="left"/>
    </w:lvl>
  </w:abstractNum>
  <w:abstractNum w:abstractNumId="510" w15:restartNumberingAfterBreak="0">
    <w:nsid w:val="5A7ED215"/>
    <w:multiLevelType w:val="hybridMultilevel"/>
    <w:tmpl w:val="0ACA3700"/>
    <w:lvl w:ilvl="0" w:tplc="57F245FC">
      <w:start w:val="1"/>
      <w:numFmt w:val="bullet"/>
      <w:lvlText w:val="•"/>
      <w:lvlJc w:val="left"/>
    </w:lvl>
    <w:lvl w:ilvl="1" w:tplc="300CBDDC">
      <w:numFmt w:val="decimal"/>
      <w:lvlText w:val=""/>
      <w:lvlJc w:val="left"/>
    </w:lvl>
    <w:lvl w:ilvl="2" w:tplc="2010801C">
      <w:numFmt w:val="decimal"/>
      <w:lvlText w:val=""/>
      <w:lvlJc w:val="left"/>
    </w:lvl>
    <w:lvl w:ilvl="3" w:tplc="2B48F6E2">
      <w:numFmt w:val="decimal"/>
      <w:lvlText w:val=""/>
      <w:lvlJc w:val="left"/>
    </w:lvl>
    <w:lvl w:ilvl="4" w:tplc="F126C122">
      <w:numFmt w:val="decimal"/>
      <w:lvlText w:val=""/>
      <w:lvlJc w:val="left"/>
    </w:lvl>
    <w:lvl w:ilvl="5" w:tplc="AACCE292">
      <w:numFmt w:val="decimal"/>
      <w:lvlText w:val=""/>
      <w:lvlJc w:val="left"/>
    </w:lvl>
    <w:lvl w:ilvl="6" w:tplc="916C6406">
      <w:numFmt w:val="decimal"/>
      <w:lvlText w:val=""/>
      <w:lvlJc w:val="left"/>
    </w:lvl>
    <w:lvl w:ilvl="7" w:tplc="D88C1CD2">
      <w:numFmt w:val="decimal"/>
      <w:lvlText w:val=""/>
      <w:lvlJc w:val="left"/>
    </w:lvl>
    <w:lvl w:ilvl="8" w:tplc="13C6074E">
      <w:numFmt w:val="decimal"/>
      <w:lvlText w:val=""/>
      <w:lvlJc w:val="left"/>
    </w:lvl>
  </w:abstractNum>
  <w:abstractNum w:abstractNumId="511" w15:restartNumberingAfterBreak="0">
    <w:nsid w:val="5AB3EA93"/>
    <w:multiLevelType w:val="hybridMultilevel"/>
    <w:tmpl w:val="B8C0242E"/>
    <w:lvl w:ilvl="0" w:tplc="425E622E">
      <w:start w:val="15"/>
      <w:numFmt w:val="lowerLetter"/>
      <w:lvlText w:val="%1"/>
      <w:lvlJc w:val="left"/>
    </w:lvl>
    <w:lvl w:ilvl="1" w:tplc="F39415B4">
      <w:numFmt w:val="decimal"/>
      <w:lvlText w:val=""/>
      <w:lvlJc w:val="left"/>
    </w:lvl>
    <w:lvl w:ilvl="2" w:tplc="E8826974">
      <w:numFmt w:val="decimal"/>
      <w:lvlText w:val=""/>
      <w:lvlJc w:val="left"/>
    </w:lvl>
    <w:lvl w:ilvl="3" w:tplc="00D2E6A6">
      <w:numFmt w:val="decimal"/>
      <w:lvlText w:val=""/>
      <w:lvlJc w:val="left"/>
    </w:lvl>
    <w:lvl w:ilvl="4" w:tplc="168A1DEC">
      <w:numFmt w:val="decimal"/>
      <w:lvlText w:val=""/>
      <w:lvlJc w:val="left"/>
    </w:lvl>
    <w:lvl w:ilvl="5" w:tplc="6A662892">
      <w:numFmt w:val="decimal"/>
      <w:lvlText w:val=""/>
      <w:lvlJc w:val="left"/>
    </w:lvl>
    <w:lvl w:ilvl="6" w:tplc="E5B030DC">
      <w:numFmt w:val="decimal"/>
      <w:lvlText w:val=""/>
      <w:lvlJc w:val="left"/>
    </w:lvl>
    <w:lvl w:ilvl="7" w:tplc="F3E8CD5A">
      <w:numFmt w:val="decimal"/>
      <w:lvlText w:val=""/>
      <w:lvlJc w:val="left"/>
    </w:lvl>
    <w:lvl w:ilvl="8" w:tplc="6CD23E3E">
      <w:numFmt w:val="decimal"/>
      <w:lvlText w:val=""/>
      <w:lvlJc w:val="left"/>
    </w:lvl>
  </w:abstractNum>
  <w:abstractNum w:abstractNumId="512" w15:restartNumberingAfterBreak="0">
    <w:nsid w:val="5B33EE61"/>
    <w:multiLevelType w:val="hybridMultilevel"/>
    <w:tmpl w:val="12E08AEA"/>
    <w:lvl w:ilvl="0" w:tplc="D5188946">
      <w:start w:val="1"/>
      <w:numFmt w:val="decimal"/>
      <w:lvlText w:val="%1)"/>
      <w:lvlJc w:val="left"/>
    </w:lvl>
    <w:lvl w:ilvl="1" w:tplc="C6A427A2">
      <w:start w:val="1"/>
      <w:numFmt w:val="bullet"/>
      <w:lvlText w:val="-"/>
      <w:lvlJc w:val="left"/>
    </w:lvl>
    <w:lvl w:ilvl="2" w:tplc="CBDE9CDC">
      <w:numFmt w:val="decimal"/>
      <w:lvlText w:val=""/>
      <w:lvlJc w:val="left"/>
    </w:lvl>
    <w:lvl w:ilvl="3" w:tplc="555E5C2A">
      <w:numFmt w:val="decimal"/>
      <w:lvlText w:val=""/>
      <w:lvlJc w:val="left"/>
    </w:lvl>
    <w:lvl w:ilvl="4" w:tplc="33D02FB4">
      <w:numFmt w:val="decimal"/>
      <w:lvlText w:val=""/>
      <w:lvlJc w:val="left"/>
    </w:lvl>
    <w:lvl w:ilvl="5" w:tplc="97F2C568">
      <w:numFmt w:val="decimal"/>
      <w:lvlText w:val=""/>
      <w:lvlJc w:val="left"/>
    </w:lvl>
    <w:lvl w:ilvl="6" w:tplc="AB58B92C">
      <w:numFmt w:val="decimal"/>
      <w:lvlText w:val=""/>
      <w:lvlJc w:val="left"/>
    </w:lvl>
    <w:lvl w:ilvl="7" w:tplc="47BA395A">
      <w:numFmt w:val="decimal"/>
      <w:lvlText w:val=""/>
      <w:lvlJc w:val="left"/>
    </w:lvl>
    <w:lvl w:ilvl="8" w:tplc="8656F96E">
      <w:numFmt w:val="decimal"/>
      <w:lvlText w:val=""/>
      <w:lvlJc w:val="left"/>
    </w:lvl>
  </w:abstractNum>
  <w:abstractNum w:abstractNumId="513" w15:restartNumberingAfterBreak="0">
    <w:nsid w:val="5B4A22B5"/>
    <w:multiLevelType w:val="hybridMultilevel"/>
    <w:tmpl w:val="5CB8572E"/>
    <w:lvl w:ilvl="0" w:tplc="D53E3592">
      <w:start w:val="1"/>
      <w:numFmt w:val="bullet"/>
      <w:lvlText w:val="-"/>
      <w:lvlJc w:val="left"/>
    </w:lvl>
    <w:lvl w:ilvl="1" w:tplc="B1EAE2A2">
      <w:start w:val="1"/>
      <w:numFmt w:val="bullet"/>
      <w:lvlText w:val="•"/>
      <w:lvlJc w:val="left"/>
    </w:lvl>
    <w:lvl w:ilvl="2" w:tplc="FB627E28">
      <w:numFmt w:val="decimal"/>
      <w:lvlText w:val=""/>
      <w:lvlJc w:val="left"/>
    </w:lvl>
    <w:lvl w:ilvl="3" w:tplc="566A81DA">
      <w:numFmt w:val="decimal"/>
      <w:lvlText w:val=""/>
      <w:lvlJc w:val="left"/>
    </w:lvl>
    <w:lvl w:ilvl="4" w:tplc="EFEE38D4">
      <w:numFmt w:val="decimal"/>
      <w:lvlText w:val=""/>
      <w:lvlJc w:val="left"/>
    </w:lvl>
    <w:lvl w:ilvl="5" w:tplc="A8C885FA">
      <w:numFmt w:val="decimal"/>
      <w:lvlText w:val=""/>
      <w:lvlJc w:val="left"/>
    </w:lvl>
    <w:lvl w:ilvl="6" w:tplc="3AB0E3BE">
      <w:numFmt w:val="decimal"/>
      <w:lvlText w:val=""/>
      <w:lvlJc w:val="left"/>
    </w:lvl>
    <w:lvl w:ilvl="7" w:tplc="AAB213F4">
      <w:numFmt w:val="decimal"/>
      <w:lvlText w:val=""/>
      <w:lvlJc w:val="left"/>
    </w:lvl>
    <w:lvl w:ilvl="8" w:tplc="E33C215C">
      <w:numFmt w:val="decimal"/>
      <w:lvlText w:val=""/>
      <w:lvlJc w:val="left"/>
    </w:lvl>
  </w:abstractNum>
  <w:abstractNum w:abstractNumId="514" w15:restartNumberingAfterBreak="0">
    <w:nsid w:val="5B6BFC95"/>
    <w:multiLevelType w:val="hybridMultilevel"/>
    <w:tmpl w:val="12300F62"/>
    <w:lvl w:ilvl="0" w:tplc="A8FC61E8">
      <w:start w:val="1"/>
      <w:numFmt w:val="bullet"/>
      <w:lvlText w:val="•"/>
      <w:lvlJc w:val="left"/>
    </w:lvl>
    <w:lvl w:ilvl="1" w:tplc="5D52AA66">
      <w:numFmt w:val="decimal"/>
      <w:lvlText w:val=""/>
      <w:lvlJc w:val="left"/>
    </w:lvl>
    <w:lvl w:ilvl="2" w:tplc="9664EDA2">
      <w:numFmt w:val="decimal"/>
      <w:lvlText w:val=""/>
      <w:lvlJc w:val="left"/>
    </w:lvl>
    <w:lvl w:ilvl="3" w:tplc="0930D882">
      <w:numFmt w:val="decimal"/>
      <w:lvlText w:val=""/>
      <w:lvlJc w:val="left"/>
    </w:lvl>
    <w:lvl w:ilvl="4" w:tplc="B4D264B8">
      <w:numFmt w:val="decimal"/>
      <w:lvlText w:val=""/>
      <w:lvlJc w:val="left"/>
    </w:lvl>
    <w:lvl w:ilvl="5" w:tplc="7C123C50">
      <w:numFmt w:val="decimal"/>
      <w:lvlText w:val=""/>
      <w:lvlJc w:val="left"/>
    </w:lvl>
    <w:lvl w:ilvl="6" w:tplc="44B657E6">
      <w:numFmt w:val="decimal"/>
      <w:lvlText w:val=""/>
      <w:lvlJc w:val="left"/>
    </w:lvl>
    <w:lvl w:ilvl="7" w:tplc="AB383188">
      <w:numFmt w:val="decimal"/>
      <w:lvlText w:val=""/>
      <w:lvlJc w:val="left"/>
    </w:lvl>
    <w:lvl w:ilvl="8" w:tplc="A7FAAA16">
      <w:numFmt w:val="decimal"/>
      <w:lvlText w:val=""/>
      <w:lvlJc w:val="left"/>
    </w:lvl>
  </w:abstractNum>
  <w:abstractNum w:abstractNumId="515" w15:restartNumberingAfterBreak="0">
    <w:nsid w:val="5BA8E042"/>
    <w:multiLevelType w:val="hybridMultilevel"/>
    <w:tmpl w:val="139EE6E0"/>
    <w:lvl w:ilvl="0" w:tplc="C326382C">
      <w:start w:val="1"/>
      <w:numFmt w:val="bullet"/>
      <w:lvlText w:val="•"/>
      <w:lvlJc w:val="left"/>
    </w:lvl>
    <w:lvl w:ilvl="1" w:tplc="3852EF28">
      <w:numFmt w:val="decimal"/>
      <w:lvlText w:val=""/>
      <w:lvlJc w:val="left"/>
    </w:lvl>
    <w:lvl w:ilvl="2" w:tplc="66DC9896">
      <w:numFmt w:val="decimal"/>
      <w:lvlText w:val=""/>
      <w:lvlJc w:val="left"/>
    </w:lvl>
    <w:lvl w:ilvl="3" w:tplc="2208D482">
      <w:numFmt w:val="decimal"/>
      <w:lvlText w:val=""/>
      <w:lvlJc w:val="left"/>
    </w:lvl>
    <w:lvl w:ilvl="4" w:tplc="41745A26">
      <w:numFmt w:val="decimal"/>
      <w:lvlText w:val=""/>
      <w:lvlJc w:val="left"/>
    </w:lvl>
    <w:lvl w:ilvl="5" w:tplc="F662D7CE">
      <w:numFmt w:val="decimal"/>
      <w:lvlText w:val=""/>
      <w:lvlJc w:val="left"/>
    </w:lvl>
    <w:lvl w:ilvl="6" w:tplc="93A25170">
      <w:numFmt w:val="decimal"/>
      <w:lvlText w:val=""/>
      <w:lvlJc w:val="left"/>
    </w:lvl>
    <w:lvl w:ilvl="7" w:tplc="B680FC18">
      <w:numFmt w:val="decimal"/>
      <w:lvlText w:val=""/>
      <w:lvlJc w:val="left"/>
    </w:lvl>
    <w:lvl w:ilvl="8" w:tplc="D29C5128">
      <w:numFmt w:val="decimal"/>
      <w:lvlText w:val=""/>
      <w:lvlJc w:val="left"/>
    </w:lvl>
  </w:abstractNum>
  <w:abstractNum w:abstractNumId="516" w15:restartNumberingAfterBreak="0">
    <w:nsid w:val="5BB576B5"/>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7" w15:restartNumberingAfterBreak="0">
    <w:nsid w:val="5BE02A44"/>
    <w:multiLevelType w:val="hybridMultilevel"/>
    <w:tmpl w:val="7F0EBFD6"/>
    <w:lvl w:ilvl="0" w:tplc="E49602E6">
      <w:start w:val="3"/>
      <w:numFmt w:val="decimal"/>
      <w:lvlText w:val="%1)"/>
      <w:lvlJc w:val="left"/>
    </w:lvl>
    <w:lvl w:ilvl="1" w:tplc="9302478A">
      <w:start w:val="1"/>
      <w:numFmt w:val="lowerLetter"/>
      <w:lvlText w:val="%2)"/>
      <w:lvlJc w:val="left"/>
    </w:lvl>
    <w:lvl w:ilvl="2" w:tplc="0BD06B1C">
      <w:start w:val="1"/>
      <w:numFmt w:val="bullet"/>
      <w:lvlText w:val="•"/>
      <w:lvlJc w:val="left"/>
    </w:lvl>
    <w:lvl w:ilvl="3" w:tplc="A3F8DA12">
      <w:numFmt w:val="decimal"/>
      <w:lvlText w:val=""/>
      <w:lvlJc w:val="left"/>
    </w:lvl>
    <w:lvl w:ilvl="4" w:tplc="A4A6E30C">
      <w:numFmt w:val="decimal"/>
      <w:lvlText w:val=""/>
      <w:lvlJc w:val="left"/>
    </w:lvl>
    <w:lvl w:ilvl="5" w:tplc="C6AAE3AA">
      <w:numFmt w:val="decimal"/>
      <w:lvlText w:val=""/>
      <w:lvlJc w:val="left"/>
    </w:lvl>
    <w:lvl w:ilvl="6" w:tplc="B7420F8A">
      <w:numFmt w:val="decimal"/>
      <w:lvlText w:val=""/>
      <w:lvlJc w:val="left"/>
    </w:lvl>
    <w:lvl w:ilvl="7" w:tplc="9D3481D6">
      <w:numFmt w:val="decimal"/>
      <w:lvlText w:val=""/>
      <w:lvlJc w:val="left"/>
    </w:lvl>
    <w:lvl w:ilvl="8" w:tplc="73B0C260">
      <w:numFmt w:val="decimal"/>
      <w:lvlText w:val=""/>
      <w:lvlJc w:val="left"/>
    </w:lvl>
  </w:abstractNum>
  <w:abstractNum w:abstractNumId="518" w15:restartNumberingAfterBreak="0">
    <w:nsid w:val="5C5B6C3A"/>
    <w:multiLevelType w:val="hybridMultilevel"/>
    <w:tmpl w:val="6D6431D0"/>
    <w:lvl w:ilvl="0" w:tplc="7AA2075C">
      <w:start w:val="1"/>
      <w:numFmt w:val="bullet"/>
      <w:lvlText w:val="-"/>
      <w:lvlJc w:val="left"/>
    </w:lvl>
    <w:lvl w:ilvl="1" w:tplc="A87AD358">
      <w:numFmt w:val="decimal"/>
      <w:lvlText w:val=""/>
      <w:lvlJc w:val="left"/>
    </w:lvl>
    <w:lvl w:ilvl="2" w:tplc="967ED8BC">
      <w:numFmt w:val="decimal"/>
      <w:lvlText w:val=""/>
      <w:lvlJc w:val="left"/>
    </w:lvl>
    <w:lvl w:ilvl="3" w:tplc="2548C670">
      <w:numFmt w:val="decimal"/>
      <w:lvlText w:val=""/>
      <w:lvlJc w:val="left"/>
    </w:lvl>
    <w:lvl w:ilvl="4" w:tplc="32566B58">
      <w:numFmt w:val="decimal"/>
      <w:lvlText w:val=""/>
      <w:lvlJc w:val="left"/>
    </w:lvl>
    <w:lvl w:ilvl="5" w:tplc="6D8C3202">
      <w:numFmt w:val="decimal"/>
      <w:lvlText w:val=""/>
      <w:lvlJc w:val="left"/>
    </w:lvl>
    <w:lvl w:ilvl="6" w:tplc="C1321266">
      <w:numFmt w:val="decimal"/>
      <w:lvlText w:val=""/>
      <w:lvlJc w:val="left"/>
    </w:lvl>
    <w:lvl w:ilvl="7" w:tplc="3766D62E">
      <w:numFmt w:val="decimal"/>
      <w:lvlText w:val=""/>
      <w:lvlJc w:val="left"/>
    </w:lvl>
    <w:lvl w:ilvl="8" w:tplc="38D002E2">
      <w:numFmt w:val="decimal"/>
      <w:lvlText w:val=""/>
      <w:lvlJc w:val="left"/>
    </w:lvl>
  </w:abstractNum>
  <w:abstractNum w:abstractNumId="519" w15:restartNumberingAfterBreak="0">
    <w:nsid w:val="5C76D652"/>
    <w:multiLevelType w:val="hybridMultilevel"/>
    <w:tmpl w:val="1C764A82"/>
    <w:lvl w:ilvl="0" w:tplc="DCC654AC">
      <w:start w:val="1"/>
      <w:numFmt w:val="bullet"/>
      <w:lvlText w:val="·"/>
      <w:lvlJc w:val="left"/>
    </w:lvl>
    <w:lvl w:ilvl="1" w:tplc="C3DE8ED6">
      <w:numFmt w:val="decimal"/>
      <w:lvlText w:val=""/>
      <w:lvlJc w:val="left"/>
    </w:lvl>
    <w:lvl w:ilvl="2" w:tplc="2806F1E4">
      <w:numFmt w:val="decimal"/>
      <w:lvlText w:val=""/>
      <w:lvlJc w:val="left"/>
    </w:lvl>
    <w:lvl w:ilvl="3" w:tplc="5100DA76">
      <w:numFmt w:val="decimal"/>
      <w:lvlText w:val=""/>
      <w:lvlJc w:val="left"/>
    </w:lvl>
    <w:lvl w:ilvl="4" w:tplc="8BAA5BBA">
      <w:numFmt w:val="decimal"/>
      <w:lvlText w:val=""/>
      <w:lvlJc w:val="left"/>
    </w:lvl>
    <w:lvl w:ilvl="5" w:tplc="743A52AC">
      <w:numFmt w:val="decimal"/>
      <w:lvlText w:val=""/>
      <w:lvlJc w:val="left"/>
    </w:lvl>
    <w:lvl w:ilvl="6" w:tplc="2BC8E306">
      <w:numFmt w:val="decimal"/>
      <w:lvlText w:val=""/>
      <w:lvlJc w:val="left"/>
    </w:lvl>
    <w:lvl w:ilvl="7" w:tplc="EEBAF6CC">
      <w:numFmt w:val="decimal"/>
      <w:lvlText w:val=""/>
      <w:lvlJc w:val="left"/>
    </w:lvl>
    <w:lvl w:ilvl="8" w:tplc="7704799A">
      <w:numFmt w:val="decimal"/>
      <w:lvlText w:val=""/>
      <w:lvlJc w:val="left"/>
    </w:lvl>
  </w:abstractNum>
  <w:abstractNum w:abstractNumId="520" w15:restartNumberingAfterBreak="0">
    <w:nsid w:val="5CC82AF9"/>
    <w:multiLevelType w:val="hybridMultilevel"/>
    <w:tmpl w:val="B6CE893C"/>
    <w:lvl w:ilvl="0" w:tplc="DC36C4CA">
      <w:start w:val="14"/>
      <w:numFmt w:val="bullet"/>
      <w:lvlText w:val="-"/>
      <w:lvlJc w:val="left"/>
      <w:pPr>
        <w:ind w:left="720" w:hanging="360"/>
      </w:pPr>
      <w:rPr>
        <w:rFonts w:ascii="Times New Roman" w:eastAsia="Times New Roman" w:hAnsi="Times New Roman" w:cs="Times New Roman" w:hint="default"/>
        <w:color w:val="auto"/>
        <w:sz w:val="24"/>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1" w15:restartNumberingAfterBreak="0">
    <w:nsid w:val="5CD867D3"/>
    <w:multiLevelType w:val="hybridMultilevel"/>
    <w:tmpl w:val="63E6D90A"/>
    <w:lvl w:ilvl="0" w:tplc="ED905D78">
      <w:start w:val="1"/>
      <w:numFmt w:val="bullet"/>
      <w:lvlText w:val="§"/>
      <w:lvlJc w:val="left"/>
    </w:lvl>
    <w:lvl w:ilvl="1" w:tplc="2CB6B2C2">
      <w:numFmt w:val="decimal"/>
      <w:lvlText w:val=""/>
      <w:lvlJc w:val="left"/>
    </w:lvl>
    <w:lvl w:ilvl="2" w:tplc="63A64BA6">
      <w:numFmt w:val="decimal"/>
      <w:lvlText w:val=""/>
      <w:lvlJc w:val="left"/>
    </w:lvl>
    <w:lvl w:ilvl="3" w:tplc="85EC293E">
      <w:numFmt w:val="decimal"/>
      <w:lvlText w:val=""/>
      <w:lvlJc w:val="left"/>
    </w:lvl>
    <w:lvl w:ilvl="4" w:tplc="BD502510">
      <w:numFmt w:val="decimal"/>
      <w:lvlText w:val=""/>
      <w:lvlJc w:val="left"/>
    </w:lvl>
    <w:lvl w:ilvl="5" w:tplc="3EE43B6A">
      <w:numFmt w:val="decimal"/>
      <w:lvlText w:val=""/>
      <w:lvlJc w:val="left"/>
    </w:lvl>
    <w:lvl w:ilvl="6" w:tplc="AF84FE80">
      <w:numFmt w:val="decimal"/>
      <w:lvlText w:val=""/>
      <w:lvlJc w:val="left"/>
    </w:lvl>
    <w:lvl w:ilvl="7" w:tplc="1EF4F1F0">
      <w:numFmt w:val="decimal"/>
      <w:lvlText w:val=""/>
      <w:lvlJc w:val="left"/>
    </w:lvl>
    <w:lvl w:ilvl="8" w:tplc="1EA85996">
      <w:numFmt w:val="decimal"/>
      <w:lvlText w:val=""/>
      <w:lvlJc w:val="left"/>
    </w:lvl>
  </w:abstractNum>
  <w:abstractNum w:abstractNumId="522" w15:restartNumberingAfterBreak="0">
    <w:nsid w:val="5CE60F5E"/>
    <w:multiLevelType w:val="hybridMultilevel"/>
    <w:tmpl w:val="7346E916"/>
    <w:lvl w:ilvl="0" w:tplc="ACFA8264">
      <w:start w:val="1"/>
      <w:numFmt w:val="bullet"/>
      <w:lvlText w:val="−"/>
      <w:lvlJc w:val="left"/>
    </w:lvl>
    <w:lvl w:ilvl="1" w:tplc="DD189C88">
      <w:start w:val="1"/>
      <w:numFmt w:val="bullet"/>
      <w:lvlText w:val="−"/>
      <w:lvlJc w:val="left"/>
    </w:lvl>
    <w:lvl w:ilvl="2" w:tplc="B0BEF922">
      <w:numFmt w:val="decimal"/>
      <w:lvlText w:val=""/>
      <w:lvlJc w:val="left"/>
    </w:lvl>
    <w:lvl w:ilvl="3" w:tplc="47841B86">
      <w:numFmt w:val="decimal"/>
      <w:lvlText w:val=""/>
      <w:lvlJc w:val="left"/>
    </w:lvl>
    <w:lvl w:ilvl="4" w:tplc="2F80B27E">
      <w:numFmt w:val="decimal"/>
      <w:lvlText w:val=""/>
      <w:lvlJc w:val="left"/>
    </w:lvl>
    <w:lvl w:ilvl="5" w:tplc="069E38EA">
      <w:numFmt w:val="decimal"/>
      <w:lvlText w:val=""/>
      <w:lvlJc w:val="left"/>
    </w:lvl>
    <w:lvl w:ilvl="6" w:tplc="B7886C0A">
      <w:numFmt w:val="decimal"/>
      <w:lvlText w:val=""/>
      <w:lvlJc w:val="left"/>
    </w:lvl>
    <w:lvl w:ilvl="7" w:tplc="1FF0AD0E">
      <w:numFmt w:val="decimal"/>
      <w:lvlText w:val=""/>
      <w:lvlJc w:val="left"/>
    </w:lvl>
    <w:lvl w:ilvl="8" w:tplc="71CC2506">
      <w:numFmt w:val="decimal"/>
      <w:lvlText w:val=""/>
      <w:lvlJc w:val="left"/>
    </w:lvl>
  </w:abstractNum>
  <w:abstractNum w:abstractNumId="523" w15:restartNumberingAfterBreak="0">
    <w:nsid w:val="5CF24B45"/>
    <w:multiLevelType w:val="hybridMultilevel"/>
    <w:tmpl w:val="1D9E7738"/>
    <w:lvl w:ilvl="0" w:tplc="26201B16">
      <w:start w:val="1"/>
      <w:numFmt w:val="bullet"/>
      <w:lvlText w:val="·"/>
      <w:lvlJc w:val="left"/>
    </w:lvl>
    <w:lvl w:ilvl="1" w:tplc="72C444B2">
      <w:numFmt w:val="decimal"/>
      <w:lvlText w:val=""/>
      <w:lvlJc w:val="left"/>
    </w:lvl>
    <w:lvl w:ilvl="2" w:tplc="C7A2129C">
      <w:numFmt w:val="decimal"/>
      <w:lvlText w:val=""/>
      <w:lvlJc w:val="left"/>
    </w:lvl>
    <w:lvl w:ilvl="3" w:tplc="30B4F730">
      <w:numFmt w:val="decimal"/>
      <w:lvlText w:val=""/>
      <w:lvlJc w:val="left"/>
    </w:lvl>
    <w:lvl w:ilvl="4" w:tplc="92960AC0">
      <w:numFmt w:val="decimal"/>
      <w:lvlText w:val=""/>
      <w:lvlJc w:val="left"/>
    </w:lvl>
    <w:lvl w:ilvl="5" w:tplc="C12073AE">
      <w:numFmt w:val="decimal"/>
      <w:lvlText w:val=""/>
      <w:lvlJc w:val="left"/>
    </w:lvl>
    <w:lvl w:ilvl="6" w:tplc="3370DA24">
      <w:numFmt w:val="decimal"/>
      <w:lvlText w:val=""/>
      <w:lvlJc w:val="left"/>
    </w:lvl>
    <w:lvl w:ilvl="7" w:tplc="1B12F42E">
      <w:numFmt w:val="decimal"/>
      <w:lvlText w:val=""/>
      <w:lvlJc w:val="left"/>
    </w:lvl>
    <w:lvl w:ilvl="8" w:tplc="1B1EC144">
      <w:numFmt w:val="decimal"/>
      <w:lvlText w:val=""/>
      <w:lvlJc w:val="left"/>
    </w:lvl>
  </w:abstractNum>
  <w:abstractNum w:abstractNumId="524" w15:restartNumberingAfterBreak="0">
    <w:nsid w:val="5CF31B7D"/>
    <w:multiLevelType w:val="hybridMultilevel"/>
    <w:tmpl w:val="6F1AA9AE"/>
    <w:lvl w:ilvl="0" w:tplc="F8C2E72C">
      <w:start w:val="1"/>
      <w:numFmt w:val="bullet"/>
      <w:lvlText w:val="-"/>
      <w:lvlJc w:val="left"/>
    </w:lvl>
    <w:lvl w:ilvl="1" w:tplc="31F632B4">
      <w:numFmt w:val="decimal"/>
      <w:lvlText w:val=""/>
      <w:lvlJc w:val="left"/>
    </w:lvl>
    <w:lvl w:ilvl="2" w:tplc="8C68D908">
      <w:numFmt w:val="decimal"/>
      <w:lvlText w:val=""/>
      <w:lvlJc w:val="left"/>
    </w:lvl>
    <w:lvl w:ilvl="3" w:tplc="C9AE99D2">
      <w:numFmt w:val="decimal"/>
      <w:lvlText w:val=""/>
      <w:lvlJc w:val="left"/>
    </w:lvl>
    <w:lvl w:ilvl="4" w:tplc="8BE2CBC4">
      <w:numFmt w:val="decimal"/>
      <w:lvlText w:val=""/>
      <w:lvlJc w:val="left"/>
    </w:lvl>
    <w:lvl w:ilvl="5" w:tplc="9D8ED414">
      <w:numFmt w:val="decimal"/>
      <w:lvlText w:val=""/>
      <w:lvlJc w:val="left"/>
    </w:lvl>
    <w:lvl w:ilvl="6" w:tplc="C4961FC6">
      <w:numFmt w:val="decimal"/>
      <w:lvlText w:val=""/>
      <w:lvlJc w:val="left"/>
    </w:lvl>
    <w:lvl w:ilvl="7" w:tplc="586EE6D2">
      <w:numFmt w:val="decimal"/>
      <w:lvlText w:val=""/>
      <w:lvlJc w:val="left"/>
    </w:lvl>
    <w:lvl w:ilvl="8" w:tplc="9FF4C7B0">
      <w:numFmt w:val="decimal"/>
      <w:lvlText w:val=""/>
      <w:lvlJc w:val="left"/>
    </w:lvl>
  </w:abstractNum>
  <w:abstractNum w:abstractNumId="525" w15:restartNumberingAfterBreak="0">
    <w:nsid w:val="5CF3AF1E"/>
    <w:multiLevelType w:val="hybridMultilevel"/>
    <w:tmpl w:val="F5C646EA"/>
    <w:lvl w:ilvl="0" w:tplc="FFCCC7E4">
      <w:start w:val="1"/>
      <w:numFmt w:val="bullet"/>
      <w:lvlText w:val="-"/>
      <w:lvlJc w:val="left"/>
    </w:lvl>
    <w:lvl w:ilvl="1" w:tplc="F99EA5DA">
      <w:numFmt w:val="decimal"/>
      <w:lvlText w:val=""/>
      <w:lvlJc w:val="left"/>
    </w:lvl>
    <w:lvl w:ilvl="2" w:tplc="24CACD16">
      <w:numFmt w:val="decimal"/>
      <w:lvlText w:val=""/>
      <w:lvlJc w:val="left"/>
    </w:lvl>
    <w:lvl w:ilvl="3" w:tplc="69C082B2">
      <w:numFmt w:val="decimal"/>
      <w:lvlText w:val=""/>
      <w:lvlJc w:val="left"/>
    </w:lvl>
    <w:lvl w:ilvl="4" w:tplc="7612F5B4">
      <w:numFmt w:val="decimal"/>
      <w:lvlText w:val=""/>
      <w:lvlJc w:val="left"/>
    </w:lvl>
    <w:lvl w:ilvl="5" w:tplc="8CAC39E4">
      <w:numFmt w:val="decimal"/>
      <w:lvlText w:val=""/>
      <w:lvlJc w:val="left"/>
    </w:lvl>
    <w:lvl w:ilvl="6" w:tplc="4836BF5E">
      <w:numFmt w:val="decimal"/>
      <w:lvlText w:val=""/>
      <w:lvlJc w:val="left"/>
    </w:lvl>
    <w:lvl w:ilvl="7" w:tplc="EE8C2BC2">
      <w:numFmt w:val="decimal"/>
      <w:lvlText w:val=""/>
      <w:lvlJc w:val="left"/>
    </w:lvl>
    <w:lvl w:ilvl="8" w:tplc="2012DEDA">
      <w:numFmt w:val="decimal"/>
      <w:lvlText w:val=""/>
      <w:lvlJc w:val="left"/>
    </w:lvl>
  </w:abstractNum>
  <w:abstractNum w:abstractNumId="526" w15:restartNumberingAfterBreak="0">
    <w:nsid w:val="5D054B09"/>
    <w:multiLevelType w:val="hybridMultilevel"/>
    <w:tmpl w:val="CD6427D0"/>
    <w:lvl w:ilvl="0" w:tplc="B0A8AA00">
      <w:start w:val="22"/>
      <w:numFmt w:val="upperLetter"/>
      <w:lvlText w:val="%1"/>
      <w:lvlJc w:val="left"/>
    </w:lvl>
    <w:lvl w:ilvl="1" w:tplc="04050011">
      <w:start w:val="1"/>
      <w:numFmt w:val="decimal"/>
      <w:lvlText w:val="%2)"/>
      <w:lvlJc w:val="left"/>
    </w:lvl>
    <w:lvl w:ilvl="2" w:tplc="2CDC7E64">
      <w:numFmt w:val="decimal"/>
      <w:lvlText w:val=""/>
      <w:lvlJc w:val="left"/>
    </w:lvl>
    <w:lvl w:ilvl="3" w:tplc="3D04526E">
      <w:numFmt w:val="decimal"/>
      <w:lvlText w:val=""/>
      <w:lvlJc w:val="left"/>
    </w:lvl>
    <w:lvl w:ilvl="4" w:tplc="953CA716">
      <w:numFmt w:val="decimal"/>
      <w:lvlText w:val=""/>
      <w:lvlJc w:val="left"/>
    </w:lvl>
    <w:lvl w:ilvl="5" w:tplc="A860ED36">
      <w:numFmt w:val="decimal"/>
      <w:lvlText w:val=""/>
      <w:lvlJc w:val="left"/>
    </w:lvl>
    <w:lvl w:ilvl="6" w:tplc="D5523FD2">
      <w:numFmt w:val="decimal"/>
      <w:lvlText w:val=""/>
      <w:lvlJc w:val="left"/>
    </w:lvl>
    <w:lvl w:ilvl="7" w:tplc="E2DA5836">
      <w:numFmt w:val="decimal"/>
      <w:lvlText w:val=""/>
      <w:lvlJc w:val="left"/>
    </w:lvl>
    <w:lvl w:ilvl="8" w:tplc="A15A7F8A">
      <w:numFmt w:val="decimal"/>
      <w:lvlText w:val=""/>
      <w:lvlJc w:val="left"/>
    </w:lvl>
  </w:abstractNum>
  <w:abstractNum w:abstractNumId="527" w15:restartNumberingAfterBreak="0">
    <w:nsid w:val="5D094B84"/>
    <w:multiLevelType w:val="hybridMultilevel"/>
    <w:tmpl w:val="F93AB1DA"/>
    <w:lvl w:ilvl="0" w:tplc="68282BE4">
      <w:start w:val="1"/>
      <w:numFmt w:val="lowerLetter"/>
      <w:lvlText w:val="%1)"/>
      <w:lvlJc w:val="left"/>
    </w:lvl>
    <w:lvl w:ilvl="1" w:tplc="192046B4">
      <w:numFmt w:val="decimal"/>
      <w:lvlText w:val=""/>
      <w:lvlJc w:val="left"/>
    </w:lvl>
    <w:lvl w:ilvl="2" w:tplc="BFE8C6F8">
      <w:numFmt w:val="decimal"/>
      <w:lvlText w:val=""/>
      <w:lvlJc w:val="left"/>
    </w:lvl>
    <w:lvl w:ilvl="3" w:tplc="AC6AF7B0">
      <w:numFmt w:val="decimal"/>
      <w:lvlText w:val=""/>
      <w:lvlJc w:val="left"/>
    </w:lvl>
    <w:lvl w:ilvl="4" w:tplc="CE1EDF80">
      <w:numFmt w:val="decimal"/>
      <w:lvlText w:val=""/>
      <w:lvlJc w:val="left"/>
    </w:lvl>
    <w:lvl w:ilvl="5" w:tplc="B6660E4E">
      <w:numFmt w:val="decimal"/>
      <w:lvlText w:val=""/>
      <w:lvlJc w:val="left"/>
    </w:lvl>
    <w:lvl w:ilvl="6" w:tplc="13C86248">
      <w:numFmt w:val="decimal"/>
      <w:lvlText w:val=""/>
      <w:lvlJc w:val="left"/>
    </w:lvl>
    <w:lvl w:ilvl="7" w:tplc="D33417D2">
      <w:numFmt w:val="decimal"/>
      <w:lvlText w:val=""/>
      <w:lvlJc w:val="left"/>
    </w:lvl>
    <w:lvl w:ilvl="8" w:tplc="1826BD5A">
      <w:numFmt w:val="decimal"/>
      <w:lvlText w:val=""/>
      <w:lvlJc w:val="left"/>
    </w:lvl>
  </w:abstractNum>
  <w:abstractNum w:abstractNumId="528" w15:restartNumberingAfterBreak="0">
    <w:nsid w:val="5D27C5EC"/>
    <w:multiLevelType w:val="hybridMultilevel"/>
    <w:tmpl w:val="C928ADEA"/>
    <w:lvl w:ilvl="0" w:tplc="62C8FA84">
      <w:start w:val="1"/>
      <w:numFmt w:val="bullet"/>
      <w:lvlText w:val="•"/>
      <w:lvlJc w:val="left"/>
    </w:lvl>
    <w:lvl w:ilvl="1" w:tplc="5458255A">
      <w:numFmt w:val="decimal"/>
      <w:lvlText w:val=""/>
      <w:lvlJc w:val="left"/>
    </w:lvl>
    <w:lvl w:ilvl="2" w:tplc="53D47CA0">
      <w:numFmt w:val="decimal"/>
      <w:lvlText w:val=""/>
      <w:lvlJc w:val="left"/>
    </w:lvl>
    <w:lvl w:ilvl="3" w:tplc="9E9E95BC">
      <w:numFmt w:val="decimal"/>
      <w:lvlText w:val=""/>
      <w:lvlJc w:val="left"/>
    </w:lvl>
    <w:lvl w:ilvl="4" w:tplc="B07E6E60">
      <w:numFmt w:val="decimal"/>
      <w:lvlText w:val=""/>
      <w:lvlJc w:val="left"/>
    </w:lvl>
    <w:lvl w:ilvl="5" w:tplc="B456EDA2">
      <w:numFmt w:val="decimal"/>
      <w:lvlText w:val=""/>
      <w:lvlJc w:val="left"/>
    </w:lvl>
    <w:lvl w:ilvl="6" w:tplc="1C60E074">
      <w:numFmt w:val="decimal"/>
      <w:lvlText w:val=""/>
      <w:lvlJc w:val="left"/>
    </w:lvl>
    <w:lvl w:ilvl="7" w:tplc="766CB27A">
      <w:numFmt w:val="decimal"/>
      <w:lvlText w:val=""/>
      <w:lvlJc w:val="left"/>
    </w:lvl>
    <w:lvl w:ilvl="8" w:tplc="838C18C8">
      <w:numFmt w:val="decimal"/>
      <w:lvlText w:val=""/>
      <w:lvlJc w:val="left"/>
    </w:lvl>
  </w:abstractNum>
  <w:abstractNum w:abstractNumId="529" w15:restartNumberingAfterBreak="0">
    <w:nsid w:val="5D38CAEA"/>
    <w:multiLevelType w:val="hybridMultilevel"/>
    <w:tmpl w:val="C38C7586"/>
    <w:lvl w:ilvl="0" w:tplc="F2B8264A">
      <w:start w:val="2"/>
      <w:numFmt w:val="decimal"/>
      <w:lvlText w:val="%1."/>
      <w:lvlJc w:val="left"/>
    </w:lvl>
    <w:lvl w:ilvl="1" w:tplc="60984320">
      <w:start w:val="15"/>
      <w:numFmt w:val="lowerLetter"/>
      <w:lvlText w:val="%2"/>
      <w:lvlJc w:val="left"/>
    </w:lvl>
    <w:lvl w:ilvl="2" w:tplc="8EC45796">
      <w:numFmt w:val="decimal"/>
      <w:lvlText w:val=""/>
      <w:lvlJc w:val="left"/>
    </w:lvl>
    <w:lvl w:ilvl="3" w:tplc="7E00421A">
      <w:numFmt w:val="decimal"/>
      <w:lvlText w:val=""/>
      <w:lvlJc w:val="left"/>
    </w:lvl>
    <w:lvl w:ilvl="4" w:tplc="357C60A2">
      <w:numFmt w:val="decimal"/>
      <w:lvlText w:val=""/>
      <w:lvlJc w:val="left"/>
    </w:lvl>
    <w:lvl w:ilvl="5" w:tplc="B0D46C94">
      <w:numFmt w:val="decimal"/>
      <w:lvlText w:val=""/>
      <w:lvlJc w:val="left"/>
    </w:lvl>
    <w:lvl w:ilvl="6" w:tplc="0C684108">
      <w:numFmt w:val="decimal"/>
      <w:lvlText w:val=""/>
      <w:lvlJc w:val="left"/>
    </w:lvl>
    <w:lvl w:ilvl="7" w:tplc="2FC060EC">
      <w:numFmt w:val="decimal"/>
      <w:lvlText w:val=""/>
      <w:lvlJc w:val="left"/>
    </w:lvl>
    <w:lvl w:ilvl="8" w:tplc="D58A8ED0">
      <w:numFmt w:val="decimal"/>
      <w:lvlText w:val=""/>
      <w:lvlJc w:val="left"/>
    </w:lvl>
  </w:abstractNum>
  <w:abstractNum w:abstractNumId="530" w15:restartNumberingAfterBreak="0">
    <w:nsid w:val="5D4CAEF8"/>
    <w:multiLevelType w:val="hybridMultilevel"/>
    <w:tmpl w:val="BD7A9AE4"/>
    <w:lvl w:ilvl="0" w:tplc="8FF2E258">
      <w:start w:val="4"/>
      <w:numFmt w:val="decimal"/>
      <w:lvlText w:val="%1."/>
      <w:lvlJc w:val="left"/>
    </w:lvl>
    <w:lvl w:ilvl="1" w:tplc="D28A7BB6">
      <w:numFmt w:val="decimal"/>
      <w:lvlText w:val=""/>
      <w:lvlJc w:val="left"/>
    </w:lvl>
    <w:lvl w:ilvl="2" w:tplc="828CB40C">
      <w:numFmt w:val="decimal"/>
      <w:lvlText w:val=""/>
      <w:lvlJc w:val="left"/>
    </w:lvl>
    <w:lvl w:ilvl="3" w:tplc="D33E85F2">
      <w:numFmt w:val="decimal"/>
      <w:lvlText w:val=""/>
      <w:lvlJc w:val="left"/>
    </w:lvl>
    <w:lvl w:ilvl="4" w:tplc="1FF66A74">
      <w:numFmt w:val="decimal"/>
      <w:lvlText w:val=""/>
      <w:lvlJc w:val="left"/>
    </w:lvl>
    <w:lvl w:ilvl="5" w:tplc="43C2DF78">
      <w:numFmt w:val="decimal"/>
      <w:lvlText w:val=""/>
      <w:lvlJc w:val="left"/>
    </w:lvl>
    <w:lvl w:ilvl="6" w:tplc="89F4FF34">
      <w:numFmt w:val="decimal"/>
      <w:lvlText w:val=""/>
      <w:lvlJc w:val="left"/>
    </w:lvl>
    <w:lvl w:ilvl="7" w:tplc="323C7EC0">
      <w:numFmt w:val="decimal"/>
      <w:lvlText w:val=""/>
      <w:lvlJc w:val="left"/>
    </w:lvl>
    <w:lvl w:ilvl="8" w:tplc="FF6C7512">
      <w:numFmt w:val="decimal"/>
      <w:lvlText w:val=""/>
      <w:lvlJc w:val="left"/>
    </w:lvl>
  </w:abstractNum>
  <w:abstractNum w:abstractNumId="531" w15:restartNumberingAfterBreak="0">
    <w:nsid w:val="5D5F5FDC"/>
    <w:multiLevelType w:val="hybridMultilevel"/>
    <w:tmpl w:val="9438B3E8"/>
    <w:lvl w:ilvl="0" w:tplc="53CABD30">
      <w:start w:val="1"/>
      <w:numFmt w:val="bullet"/>
      <w:lvlText w:val="-"/>
      <w:lvlJc w:val="left"/>
    </w:lvl>
    <w:lvl w:ilvl="1" w:tplc="2B4C7A60">
      <w:numFmt w:val="decimal"/>
      <w:lvlText w:val=""/>
      <w:lvlJc w:val="left"/>
    </w:lvl>
    <w:lvl w:ilvl="2" w:tplc="1946EB7C">
      <w:numFmt w:val="decimal"/>
      <w:lvlText w:val=""/>
      <w:lvlJc w:val="left"/>
    </w:lvl>
    <w:lvl w:ilvl="3" w:tplc="A3383DB4">
      <w:numFmt w:val="decimal"/>
      <w:lvlText w:val=""/>
      <w:lvlJc w:val="left"/>
    </w:lvl>
    <w:lvl w:ilvl="4" w:tplc="B2E44190">
      <w:numFmt w:val="decimal"/>
      <w:lvlText w:val=""/>
      <w:lvlJc w:val="left"/>
    </w:lvl>
    <w:lvl w:ilvl="5" w:tplc="A2401310">
      <w:numFmt w:val="decimal"/>
      <w:lvlText w:val=""/>
      <w:lvlJc w:val="left"/>
    </w:lvl>
    <w:lvl w:ilvl="6" w:tplc="9D4E6056">
      <w:numFmt w:val="decimal"/>
      <w:lvlText w:val=""/>
      <w:lvlJc w:val="left"/>
    </w:lvl>
    <w:lvl w:ilvl="7" w:tplc="48D0D3D4">
      <w:numFmt w:val="decimal"/>
      <w:lvlText w:val=""/>
      <w:lvlJc w:val="left"/>
    </w:lvl>
    <w:lvl w:ilvl="8" w:tplc="01A21A70">
      <w:numFmt w:val="decimal"/>
      <w:lvlText w:val=""/>
      <w:lvlJc w:val="left"/>
    </w:lvl>
  </w:abstractNum>
  <w:abstractNum w:abstractNumId="532" w15:restartNumberingAfterBreak="0">
    <w:nsid w:val="5D66DC65"/>
    <w:multiLevelType w:val="hybridMultilevel"/>
    <w:tmpl w:val="9F68E7F0"/>
    <w:lvl w:ilvl="0" w:tplc="A454BDF8">
      <w:start w:val="1"/>
      <w:numFmt w:val="bullet"/>
      <w:lvlText w:val="•"/>
      <w:lvlJc w:val="left"/>
    </w:lvl>
    <w:lvl w:ilvl="1" w:tplc="7FE0391C">
      <w:start w:val="1"/>
      <w:numFmt w:val="decimal"/>
      <w:lvlText w:val="%2."/>
      <w:lvlJc w:val="left"/>
    </w:lvl>
    <w:lvl w:ilvl="2" w:tplc="6054E332">
      <w:numFmt w:val="decimal"/>
      <w:lvlText w:val=""/>
      <w:lvlJc w:val="left"/>
    </w:lvl>
    <w:lvl w:ilvl="3" w:tplc="A1941296">
      <w:numFmt w:val="decimal"/>
      <w:lvlText w:val=""/>
      <w:lvlJc w:val="left"/>
    </w:lvl>
    <w:lvl w:ilvl="4" w:tplc="45DC9556">
      <w:numFmt w:val="decimal"/>
      <w:lvlText w:val=""/>
      <w:lvlJc w:val="left"/>
    </w:lvl>
    <w:lvl w:ilvl="5" w:tplc="A69408B2">
      <w:numFmt w:val="decimal"/>
      <w:lvlText w:val=""/>
      <w:lvlJc w:val="left"/>
    </w:lvl>
    <w:lvl w:ilvl="6" w:tplc="D2162AEE">
      <w:numFmt w:val="decimal"/>
      <w:lvlText w:val=""/>
      <w:lvlJc w:val="left"/>
    </w:lvl>
    <w:lvl w:ilvl="7" w:tplc="3D2C1650">
      <w:numFmt w:val="decimal"/>
      <w:lvlText w:val=""/>
      <w:lvlJc w:val="left"/>
    </w:lvl>
    <w:lvl w:ilvl="8" w:tplc="815ADCF2">
      <w:numFmt w:val="decimal"/>
      <w:lvlText w:val=""/>
      <w:lvlJc w:val="left"/>
    </w:lvl>
  </w:abstractNum>
  <w:abstractNum w:abstractNumId="533" w15:restartNumberingAfterBreak="0">
    <w:nsid w:val="5D8F08B8"/>
    <w:multiLevelType w:val="hybridMultilevel"/>
    <w:tmpl w:val="2C983C16"/>
    <w:lvl w:ilvl="0" w:tplc="662AC63C">
      <w:start w:val="1"/>
      <w:numFmt w:val="bullet"/>
      <w:lvlText w:val="•"/>
      <w:lvlJc w:val="left"/>
    </w:lvl>
    <w:lvl w:ilvl="1" w:tplc="7EDC3792">
      <w:numFmt w:val="decimal"/>
      <w:lvlText w:val=""/>
      <w:lvlJc w:val="left"/>
    </w:lvl>
    <w:lvl w:ilvl="2" w:tplc="535A0EC2">
      <w:numFmt w:val="decimal"/>
      <w:lvlText w:val=""/>
      <w:lvlJc w:val="left"/>
    </w:lvl>
    <w:lvl w:ilvl="3" w:tplc="917A8724">
      <w:numFmt w:val="decimal"/>
      <w:lvlText w:val=""/>
      <w:lvlJc w:val="left"/>
    </w:lvl>
    <w:lvl w:ilvl="4" w:tplc="D186A73A">
      <w:numFmt w:val="decimal"/>
      <w:lvlText w:val=""/>
      <w:lvlJc w:val="left"/>
    </w:lvl>
    <w:lvl w:ilvl="5" w:tplc="D7E2A014">
      <w:numFmt w:val="decimal"/>
      <w:lvlText w:val=""/>
      <w:lvlJc w:val="left"/>
    </w:lvl>
    <w:lvl w:ilvl="6" w:tplc="C02E502E">
      <w:numFmt w:val="decimal"/>
      <w:lvlText w:val=""/>
      <w:lvlJc w:val="left"/>
    </w:lvl>
    <w:lvl w:ilvl="7" w:tplc="842856B0">
      <w:numFmt w:val="decimal"/>
      <w:lvlText w:val=""/>
      <w:lvlJc w:val="left"/>
    </w:lvl>
    <w:lvl w:ilvl="8" w:tplc="14D0E222">
      <w:numFmt w:val="decimal"/>
      <w:lvlText w:val=""/>
      <w:lvlJc w:val="left"/>
    </w:lvl>
  </w:abstractNum>
  <w:abstractNum w:abstractNumId="534" w15:restartNumberingAfterBreak="0">
    <w:nsid w:val="5DB028FC"/>
    <w:multiLevelType w:val="hybridMultilevel"/>
    <w:tmpl w:val="6590E146"/>
    <w:lvl w:ilvl="0" w:tplc="DB0AC660">
      <w:start w:val="15"/>
      <w:numFmt w:val="lowerLetter"/>
      <w:lvlText w:val="%1"/>
      <w:lvlJc w:val="left"/>
    </w:lvl>
    <w:lvl w:ilvl="1" w:tplc="C67C2D9E">
      <w:numFmt w:val="decimal"/>
      <w:lvlText w:val=""/>
      <w:lvlJc w:val="left"/>
    </w:lvl>
    <w:lvl w:ilvl="2" w:tplc="596A9012">
      <w:numFmt w:val="decimal"/>
      <w:lvlText w:val=""/>
      <w:lvlJc w:val="left"/>
    </w:lvl>
    <w:lvl w:ilvl="3" w:tplc="6CBA7440">
      <w:numFmt w:val="decimal"/>
      <w:lvlText w:val=""/>
      <w:lvlJc w:val="left"/>
    </w:lvl>
    <w:lvl w:ilvl="4" w:tplc="4798F1EE">
      <w:numFmt w:val="decimal"/>
      <w:lvlText w:val=""/>
      <w:lvlJc w:val="left"/>
    </w:lvl>
    <w:lvl w:ilvl="5" w:tplc="ED403056">
      <w:numFmt w:val="decimal"/>
      <w:lvlText w:val=""/>
      <w:lvlJc w:val="left"/>
    </w:lvl>
    <w:lvl w:ilvl="6" w:tplc="9EEC693A">
      <w:numFmt w:val="decimal"/>
      <w:lvlText w:val=""/>
      <w:lvlJc w:val="left"/>
    </w:lvl>
    <w:lvl w:ilvl="7" w:tplc="51D48914">
      <w:numFmt w:val="decimal"/>
      <w:lvlText w:val=""/>
      <w:lvlJc w:val="left"/>
    </w:lvl>
    <w:lvl w:ilvl="8" w:tplc="2C02C3A0">
      <w:numFmt w:val="decimal"/>
      <w:lvlText w:val=""/>
      <w:lvlJc w:val="left"/>
    </w:lvl>
  </w:abstractNum>
  <w:abstractNum w:abstractNumId="535" w15:restartNumberingAfterBreak="0">
    <w:nsid w:val="5DB6B5A4"/>
    <w:multiLevelType w:val="hybridMultilevel"/>
    <w:tmpl w:val="5372A5EC"/>
    <w:lvl w:ilvl="0" w:tplc="F7BEF854">
      <w:start w:val="1"/>
      <w:numFmt w:val="bullet"/>
      <w:lvlText w:val="•"/>
      <w:lvlJc w:val="left"/>
    </w:lvl>
    <w:lvl w:ilvl="1" w:tplc="55C03348">
      <w:numFmt w:val="decimal"/>
      <w:lvlText w:val=""/>
      <w:lvlJc w:val="left"/>
    </w:lvl>
    <w:lvl w:ilvl="2" w:tplc="D65295F6">
      <w:numFmt w:val="decimal"/>
      <w:lvlText w:val=""/>
      <w:lvlJc w:val="left"/>
    </w:lvl>
    <w:lvl w:ilvl="3" w:tplc="8F4CE6D2">
      <w:numFmt w:val="decimal"/>
      <w:lvlText w:val=""/>
      <w:lvlJc w:val="left"/>
    </w:lvl>
    <w:lvl w:ilvl="4" w:tplc="A8E03C36">
      <w:numFmt w:val="decimal"/>
      <w:lvlText w:val=""/>
      <w:lvlJc w:val="left"/>
    </w:lvl>
    <w:lvl w:ilvl="5" w:tplc="6622A87A">
      <w:numFmt w:val="decimal"/>
      <w:lvlText w:val=""/>
      <w:lvlJc w:val="left"/>
    </w:lvl>
    <w:lvl w:ilvl="6" w:tplc="D84EC6CC">
      <w:numFmt w:val="decimal"/>
      <w:lvlText w:val=""/>
      <w:lvlJc w:val="left"/>
    </w:lvl>
    <w:lvl w:ilvl="7" w:tplc="01A678D4">
      <w:numFmt w:val="decimal"/>
      <w:lvlText w:val=""/>
      <w:lvlJc w:val="left"/>
    </w:lvl>
    <w:lvl w:ilvl="8" w:tplc="CEF413BA">
      <w:numFmt w:val="decimal"/>
      <w:lvlText w:val=""/>
      <w:lvlJc w:val="left"/>
    </w:lvl>
  </w:abstractNum>
  <w:abstractNum w:abstractNumId="536" w15:restartNumberingAfterBreak="0">
    <w:nsid w:val="5E1E8AB7"/>
    <w:multiLevelType w:val="hybridMultilevel"/>
    <w:tmpl w:val="307EA878"/>
    <w:lvl w:ilvl="0" w:tplc="A2AC384E">
      <w:start w:val="1"/>
      <w:numFmt w:val="bullet"/>
      <w:lvlText w:val="•"/>
      <w:lvlJc w:val="left"/>
    </w:lvl>
    <w:lvl w:ilvl="1" w:tplc="9BAE0304">
      <w:numFmt w:val="decimal"/>
      <w:lvlText w:val=""/>
      <w:lvlJc w:val="left"/>
    </w:lvl>
    <w:lvl w:ilvl="2" w:tplc="F68A8DBC">
      <w:numFmt w:val="decimal"/>
      <w:lvlText w:val=""/>
      <w:lvlJc w:val="left"/>
    </w:lvl>
    <w:lvl w:ilvl="3" w:tplc="EA42680A">
      <w:numFmt w:val="decimal"/>
      <w:lvlText w:val=""/>
      <w:lvlJc w:val="left"/>
    </w:lvl>
    <w:lvl w:ilvl="4" w:tplc="B3FEA6C6">
      <w:numFmt w:val="decimal"/>
      <w:lvlText w:val=""/>
      <w:lvlJc w:val="left"/>
    </w:lvl>
    <w:lvl w:ilvl="5" w:tplc="81AC4024">
      <w:numFmt w:val="decimal"/>
      <w:lvlText w:val=""/>
      <w:lvlJc w:val="left"/>
    </w:lvl>
    <w:lvl w:ilvl="6" w:tplc="20968CE2">
      <w:numFmt w:val="decimal"/>
      <w:lvlText w:val=""/>
      <w:lvlJc w:val="left"/>
    </w:lvl>
    <w:lvl w:ilvl="7" w:tplc="645CA95C">
      <w:numFmt w:val="decimal"/>
      <w:lvlText w:val=""/>
      <w:lvlJc w:val="left"/>
    </w:lvl>
    <w:lvl w:ilvl="8" w:tplc="CAD26A9C">
      <w:numFmt w:val="decimal"/>
      <w:lvlText w:val=""/>
      <w:lvlJc w:val="left"/>
    </w:lvl>
  </w:abstractNum>
  <w:abstractNum w:abstractNumId="537" w15:restartNumberingAfterBreak="0">
    <w:nsid w:val="5E52C405"/>
    <w:multiLevelType w:val="hybridMultilevel"/>
    <w:tmpl w:val="D9985B10"/>
    <w:lvl w:ilvl="0" w:tplc="F05C8BF4">
      <w:start w:val="1"/>
      <w:numFmt w:val="lowerLetter"/>
      <w:lvlText w:val="%1)"/>
      <w:lvlJc w:val="left"/>
    </w:lvl>
    <w:lvl w:ilvl="1" w:tplc="8BA4A208">
      <w:numFmt w:val="decimal"/>
      <w:lvlText w:val=""/>
      <w:lvlJc w:val="left"/>
    </w:lvl>
    <w:lvl w:ilvl="2" w:tplc="BF7CB2CC">
      <w:numFmt w:val="decimal"/>
      <w:lvlText w:val=""/>
      <w:lvlJc w:val="left"/>
    </w:lvl>
    <w:lvl w:ilvl="3" w:tplc="EC9A575E">
      <w:numFmt w:val="decimal"/>
      <w:lvlText w:val=""/>
      <w:lvlJc w:val="left"/>
    </w:lvl>
    <w:lvl w:ilvl="4" w:tplc="4E1C0E00">
      <w:numFmt w:val="decimal"/>
      <w:lvlText w:val=""/>
      <w:lvlJc w:val="left"/>
    </w:lvl>
    <w:lvl w:ilvl="5" w:tplc="8E749E78">
      <w:numFmt w:val="decimal"/>
      <w:lvlText w:val=""/>
      <w:lvlJc w:val="left"/>
    </w:lvl>
    <w:lvl w:ilvl="6" w:tplc="07B4BDFA">
      <w:numFmt w:val="decimal"/>
      <w:lvlText w:val=""/>
      <w:lvlJc w:val="left"/>
    </w:lvl>
    <w:lvl w:ilvl="7" w:tplc="9E00DB32">
      <w:numFmt w:val="decimal"/>
      <w:lvlText w:val=""/>
      <w:lvlJc w:val="left"/>
    </w:lvl>
    <w:lvl w:ilvl="8" w:tplc="892028C6">
      <w:numFmt w:val="decimal"/>
      <w:lvlText w:val=""/>
      <w:lvlJc w:val="left"/>
    </w:lvl>
  </w:abstractNum>
  <w:abstractNum w:abstractNumId="538" w15:restartNumberingAfterBreak="0">
    <w:nsid w:val="5E6A0CEE"/>
    <w:multiLevelType w:val="hybridMultilevel"/>
    <w:tmpl w:val="005C1248"/>
    <w:lvl w:ilvl="0" w:tplc="AB1CD4AE">
      <w:start w:val="1"/>
      <w:numFmt w:val="bullet"/>
      <w:lvlText w:val="•"/>
      <w:lvlJc w:val="left"/>
    </w:lvl>
    <w:lvl w:ilvl="1" w:tplc="9970FD98">
      <w:numFmt w:val="decimal"/>
      <w:lvlText w:val=""/>
      <w:lvlJc w:val="left"/>
    </w:lvl>
    <w:lvl w:ilvl="2" w:tplc="46EE779A">
      <w:numFmt w:val="decimal"/>
      <w:lvlText w:val=""/>
      <w:lvlJc w:val="left"/>
    </w:lvl>
    <w:lvl w:ilvl="3" w:tplc="CA967D9E">
      <w:numFmt w:val="decimal"/>
      <w:lvlText w:val=""/>
      <w:lvlJc w:val="left"/>
    </w:lvl>
    <w:lvl w:ilvl="4" w:tplc="85BA99BC">
      <w:numFmt w:val="decimal"/>
      <w:lvlText w:val=""/>
      <w:lvlJc w:val="left"/>
    </w:lvl>
    <w:lvl w:ilvl="5" w:tplc="3E3E265E">
      <w:numFmt w:val="decimal"/>
      <w:lvlText w:val=""/>
      <w:lvlJc w:val="left"/>
    </w:lvl>
    <w:lvl w:ilvl="6" w:tplc="4FD05CB2">
      <w:numFmt w:val="decimal"/>
      <w:lvlText w:val=""/>
      <w:lvlJc w:val="left"/>
    </w:lvl>
    <w:lvl w:ilvl="7" w:tplc="70CA8548">
      <w:numFmt w:val="decimal"/>
      <w:lvlText w:val=""/>
      <w:lvlJc w:val="left"/>
    </w:lvl>
    <w:lvl w:ilvl="8" w:tplc="C4F45480">
      <w:numFmt w:val="decimal"/>
      <w:lvlText w:val=""/>
      <w:lvlJc w:val="left"/>
    </w:lvl>
  </w:abstractNum>
  <w:abstractNum w:abstractNumId="539" w15:restartNumberingAfterBreak="0">
    <w:nsid w:val="5EB19210"/>
    <w:multiLevelType w:val="hybridMultilevel"/>
    <w:tmpl w:val="FB30FB78"/>
    <w:lvl w:ilvl="0" w:tplc="E18AFDC8">
      <w:start w:val="1"/>
      <w:numFmt w:val="bullet"/>
      <w:lvlText w:val="•"/>
      <w:lvlJc w:val="left"/>
    </w:lvl>
    <w:lvl w:ilvl="1" w:tplc="AAC6FD6E">
      <w:numFmt w:val="decimal"/>
      <w:lvlText w:val=""/>
      <w:lvlJc w:val="left"/>
    </w:lvl>
    <w:lvl w:ilvl="2" w:tplc="007E52B0">
      <w:numFmt w:val="decimal"/>
      <w:lvlText w:val=""/>
      <w:lvlJc w:val="left"/>
    </w:lvl>
    <w:lvl w:ilvl="3" w:tplc="C5283C30">
      <w:numFmt w:val="decimal"/>
      <w:lvlText w:val=""/>
      <w:lvlJc w:val="left"/>
    </w:lvl>
    <w:lvl w:ilvl="4" w:tplc="5F3E48BA">
      <w:numFmt w:val="decimal"/>
      <w:lvlText w:val=""/>
      <w:lvlJc w:val="left"/>
    </w:lvl>
    <w:lvl w:ilvl="5" w:tplc="74903740">
      <w:numFmt w:val="decimal"/>
      <w:lvlText w:val=""/>
      <w:lvlJc w:val="left"/>
    </w:lvl>
    <w:lvl w:ilvl="6" w:tplc="025E348A">
      <w:numFmt w:val="decimal"/>
      <w:lvlText w:val=""/>
      <w:lvlJc w:val="left"/>
    </w:lvl>
    <w:lvl w:ilvl="7" w:tplc="FE56C8B6">
      <w:numFmt w:val="decimal"/>
      <w:lvlText w:val=""/>
      <w:lvlJc w:val="left"/>
    </w:lvl>
    <w:lvl w:ilvl="8" w:tplc="68DE99A2">
      <w:numFmt w:val="decimal"/>
      <w:lvlText w:val=""/>
      <w:lvlJc w:val="left"/>
    </w:lvl>
  </w:abstractNum>
  <w:abstractNum w:abstractNumId="540" w15:restartNumberingAfterBreak="0">
    <w:nsid w:val="5EBE0EAB"/>
    <w:multiLevelType w:val="hybridMultilevel"/>
    <w:tmpl w:val="78A0F418"/>
    <w:lvl w:ilvl="0" w:tplc="01DCBF4A">
      <w:start w:val="1"/>
      <w:numFmt w:val="lowerLetter"/>
      <w:lvlText w:val="%1)"/>
      <w:lvlJc w:val="left"/>
    </w:lvl>
    <w:lvl w:ilvl="1" w:tplc="27F41884">
      <w:numFmt w:val="decimal"/>
      <w:lvlText w:val=""/>
      <w:lvlJc w:val="left"/>
    </w:lvl>
    <w:lvl w:ilvl="2" w:tplc="DE6C8EE6">
      <w:numFmt w:val="decimal"/>
      <w:lvlText w:val=""/>
      <w:lvlJc w:val="left"/>
    </w:lvl>
    <w:lvl w:ilvl="3" w:tplc="783E4256">
      <w:numFmt w:val="decimal"/>
      <w:lvlText w:val=""/>
      <w:lvlJc w:val="left"/>
    </w:lvl>
    <w:lvl w:ilvl="4" w:tplc="60109C5C">
      <w:numFmt w:val="decimal"/>
      <w:lvlText w:val=""/>
      <w:lvlJc w:val="left"/>
    </w:lvl>
    <w:lvl w:ilvl="5" w:tplc="13C6F5D6">
      <w:numFmt w:val="decimal"/>
      <w:lvlText w:val=""/>
      <w:lvlJc w:val="left"/>
    </w:lvl>
    <w:lvl w:ilvl="6" w:tplc="B608094E">
      <w:numFmt w:val="decimal"/>
      <w:lvlText w:val=""/>
      <w:lvlJc w:val="left"/>
    </w:lvl>
    <w:lvl w:ilvl="7" w:tplc="4BC64646">
      <w:numFmt w:val="decimal"/>
      <w:lvlText w:val=""/>
      <w:lvlJc w:val="left"/>
    </w:lvl>
    <w:lvl w:ilvl="8" w:tplc="81D67B46">
      <w:numFmt w:val="decimal"/>
      <w:lvlText w:val=""/>
      <w:lvlJc w:val="left"/>
    </w:lvl>
  </w:abstractNum>
  <w:abstractNum w:abstractNumId="541" w15:restartNumberingAfterBreak="0">
    <w:nsid w:val="5EC714FC"/>
    <w:multiLevelType w:val="hybridMultilevel"/>
    <w:tmpl w:val="7E9A62A0"/>
    <w:lvl w:ilvl="0" w:tplc="22F42C3A">
      <w:start w:val="1"/>
      <w:numFmt w:val="decimal"/>
      <w:lvlText w:val="%1."/>
      <w:lvlJc w:val="left"/>
    </w:lvl>
    <w:lvl w:ilvl="1" w:tplc="FE127EC6">
      <w:numFmt w:val="decimal"/>
      <w:lvlText w:val=""/>
      <w:lvlJc w:val="left"/>
    </w:lvl>
    <w:lvl w:ilvl="2" w:tplc="FB22DA40">
      <w:numFmt w:val="decimal"/>
      <w:lvlText w:val=""/>
      <w:lvlJc w:val="left"/>
    </w:lvl>
    <w:lvl w:ilvl="3" w:tplc="7B1AF734">
      <w:numFmt w:val="decimal"/>
      <w:lvlText w:val=""/>
      <w:lvlJc w:val="left"/>
    </w:lvl>
    <w:lvl w:ilvl="4" w:tplc="495A8F88">
      <w:numFmt w:val="decimal"/>
      <w:lvlText w:val=""/>
      <w:lvlJc w:val="left"/>
    </w:lvl>
    <w:lvl w:ilvl="5" w:tplc="B8F41C9A">
      <w:numFmt w:val="decimal"/>
      <w:lvlText w:val=""/>
      <w:lvlJc w:val="left"/>
    </w:lvl>
    <w:lvl w:ilvl="6" w:tplc="920088F0">
      <w:numFmt w:val="decimal"/>
      <w:lvlText w:val=""/>
      <w:lvlJc w:val="left"/>
    </w:lvl>
    <w:lvl w:ilvl="7" w:tplc="CDE8DD9E">
      <w:numFmt w:val="decimal"/>
      <w:lvlText w:val=""/>
      <w:lvlJc w:val="left"/>
    </w:lvl>
    <w:lvl w:ilvl="8" w:tplc="7DD0137E">
      <w:numFmt w:val="decimal"/>
      <w:lvlText w:val=""/>
      <w:lvlJc w:val="left"/>
    </w:lvl>
  </w:abstractNum>
  <w:abstractNum w:abstractNumId="542" w15:restartNumberingAfterBreak="0">
    <w:nsid w:val="5F1421F3"/>
    <w:multiLevelType w:val="hybridMultilevel"/>
    <w:tmpl w:val="A4D04F9E"/>
    <w:lvl w:ilvl="0" w:tplc="EBF8120E">
      <w:start w:val="1"/>
      <w:numFmt w:val="bullet"/>
      <w:lvlText w:val="•"/>
      <w:lvlJc w:val="left"/>
    </w:lvl>
    <w:lvl w:ilvl="1" w:tplc="FE661B0E">
      <w:start w:val="3"/>
      <w:numFmt w:val="decimal"/>
      <w:lvlText w:val="%2)"/>
      <w:lvlJc w:val="left"/>
    </w:lvl>
    <w:lvl w:ilvl="2" w:tplc="45AE9638">
      <w:start w:val="1"/>
      <w:numFmt w:val="lowerLetter"/>
      <w:lvlText w:val="%3)"/>
      <w:lvlJc w:val="left"/>
    </w:lvl>
    <w:lvl w:ilvl="3" w:tplc="5A54E428">
      <w:numFmt w:val="decimal"/>
      <w:lvlText w:val=""/>
      <w:lvlJc w:val="left"/>
    </w:lvl>
    <w:lvl w:ilvl="4" w:tplc="694E35C8">
      <w:numFmt w:val="decimal"/>
      <w:lvlText w:val=""/>
      <w:lvlJc w:val="left"/>
    </w:lvl>
    <w:lvl w:ilvl="5" w:tplc="CB644A2E">
      <w:numFmt w:val="decimal"/>
      <w:lvlText w:val=""/>
      <w:lvlJc w:val="left"/>
    </w:lvl>
    <w:lvl w:ilvl="6" w:tplc="266A1630">
      <w:numFmt w:val="decimal"/>
      <w:lvlText w:val=""/>
      <w:lvlJc w:val="left"/>
    </w:lvl>
    <w:lvl w:ilvl="7" w:tplc="8B502186">
      <w:numFmt w:val="decimal"/>
      <w:lvlText w:val=""/>
      <w:lvlJc w:val="left"/>
    </w:lvl>
    <w:lvl w:ilvl="8" w:tplc="719E43B2">
      <w:numFmt w:val="decimal"/>
      <w:lvlText w:val=""/>
      <w:lvlJc w:val="left"/>
    </w:lvl>
  </w:abstractNum>
  <w:abstractNum w:abstractNumId="543" w15:restartNumberingAfterBreak="0">
    <w:nsid w:val="5F176EBE"/>
    <w:multiLevelType w:val="hybridMultilevel"/>
    <w:tmpl w:val="5DDE61A4"/>
    <w:lvl w:ilvl="0" w:tplc="2C1A6356">
      <w:start w:val="1"/>
      <w:numFmt w:val="bullet"/>
      <w:lvlText w:val="•"/>
      <w:lvlJc w:val="left"/>
    </w:lvl>
    <w:lvl w:ilvl="1" w:tplc="2E4A376E">
      <w:numFmt w:val="decimal"/>
      <w:lvlText w:val=""/>
      <w:lvlJc w:val="left"/>
    </w:lvl>
    <w:lvl w:ilvl="2" w:tplc="CF0A64C6">
      <w:numFmt w:val="decimal"/>
      <w:lvlText w:val=""/>
      <w:lvlJc w:val="left"/>
    </w:lvl>
    <w:lvl w:ilvl="3" w:tplc="805AA122">
      <w:numFmt w:val="decimal"/>
      <w:lvlText w:val=""/>
      <w:lvlJc w:val="left"/>
    </w:lvl>
    <w:lvl w:ilvl="4" w:tplc="1732399E">
      <w:numFmt w:val="decimal"/>
      <w:lvlText w:val=""/>
      <w:lvlJc w:val="left"/>
    </w:lvl>
    <w:lvl w:ilvl="5" w:tplc="EF9A9C38">
      <w:numFmt w:val="decimal"/>
      <w:lvlText w:val=""/>
      <w:lvlJc w:val="left"/>
    </w:lvl>
    <w:lvl w:ilvl="6" w:tplc="B054FE24">
      <w:numFmt w:val="decimal"/>
      <w:lvlText w:val=""/>
      <w:lvlJc w:val="left"/>
    </w:lvl>
    <w:lvl w:ilvl="7" w:tplc="3F1A346C">
      <w:numFmt w:val="decimal"/>
      <w:lvlText w:val=""/>
      <w:lvlJc w:val="left"/>
    </w:lvl>
    <w:lvl w:ilvl="8" w:tplc="81C255E6">
      <w:numFmt w:val="decimal"/>
      <w:lvlText w:val=""/>
      <w:lvlJc w:val="left"/>
    </w:lvl>
  </w:abstractNum>
  <w:abstractNum w:abstractNumId="544" w15:restartNumberingAfterBreak="0">
    <w:nsid w:val="5F1D2ADC"/>
    <w:multiLevelType w:val="hybridMultilevel"/>
    <w:tmpl w:val="3BD6D8D6"/>
    <w:lvl w:ilvl="0" w:tplc="412239FE">
      <w:start w:val="2"/>
      <w:numFmt w:val="decimal"/>
      <w:lvlText w:val="%1."/>
      <w:lvlJc w:val="left"/>
    </w:lvl>
    <w:lvl w:ilvl="1" w:tplc="29645C38">
      <w:start w:val="1"/>
      <w:numFmt w:val="bullet"/>
      <w:lvlText w:val="-"/>
      <w:lvlJc w:val="left"/>
    </w:lvl>
    <w:lvl w:ilvl="2" w:tplc="6C52DD0E">
      <w:numFmt w:val="decimal"/>
      <w:lvlText w:val=""/>
      <w:lvlJc w:val="left"/>
    </w:lvl>
    <w:lvl w:ilvl="3" w:tplc="E5E2A63C">
      <w:numFmt w:val="decimal"/>
      <w:lvlText w:val=""/>
      <w:lvlJc w:val="left"/>
    </w:lvl>
    <w:lvl w:ilvl="4" w:tplc="E43697D4">
      <w:numFmt w:val="decimal"/>
      <w:lvlText w:val=""/>
      <w:lvlJc w:val="left"/>
    </w:lvl>
    <w:lvl w:ilvl="5" w:tplc="4B8EE2FE">
      <w:numFmt w:val="decimal"/>
      <w:lvlText w:val=""/>
      <w:lvlJc w:val="left"/>
    </w:lvl>
    <w:lvl w:ilvl="6" w:tplc="DA50AD40">
      <w:numFmt w:val="decimal"/>
      <w:lvlText w:val=""/>
      <w:lvlJc w:val="left"/>
    </w:lvl>
    <w:lvl w:ilvl="7" w:tplc="1242D800">
      <w:numFmt w:val="decimal"/>
      <w:lvlText w:val=""/>
      <w:lvlJc w:val="left"/>
    </w:lvl>
    <w:lvl w:ilvl="8" w:tplc="342865E8">
      <w:numFmt w:val="decimal"/>
      <w:lvlText w:val=""/>
      <w:lvlJc w:val="left"/>
    </w:lvl>
  </w:abstractNum>
  <w:abstractNum w:abstractNumId="545" w15:restartNumberingAfterBreak="0">
    <w:nsid w:val="5F231DF6"/>
    <w:multiLevelType w:val="hybridMultilevel"/>
    <w:tmpl w:val="3448F87C"/>
    <w:lvl w:ilvl="0" w:tplc="53CABD30">
      <w:start w:val="1"/>
      <w:numFmt w:val="bullet"/>
      <w:lvlText w:val="-"/>
      <w:lvlJc w:val="left"/>
      <w:pPr>
        <w:ind w:left="1146" w:hanging="360"/>
      </w:p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cs="Wingdings" w:hint="default"/>
      </w:rPr>
    </w:lvl>
    <w:lvl w:ilvl="3" w:tplc="04050001" w:tentative="1">
      <w:start w:val="1"/>
      <w:numFmt w:val="bullet"/>
      <w:lvlText w:val=""/>
      <w:lvlJc w:val="left"/>
      <w:pPr>
        <w:ind w:left="3306" w:hanging="360"/>
      </w:pPr>
      <w:rPr>
        <w:rFonts w:ascii="Symbol" w:hAnsi="Symbol" w:cs="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cs="Wingdings" w:hint="default"/>
      </w:rPr>
    </w:lvl>
    <w:lvl w:ilvl="6" w:tplc="04050001" w:tentative="1">
      <w:start w:val="1"/>
      <w:numFmt w:val="bullet"/>
      <w:lvlText w:val=""/>
      <w:lvlJc w:val="left"/>
      <w:pPr>
        <w:ind w:left="5466" w:hanging="360"/>
      </w:pPr>
      <w:rPr>
        <w:rFonts w:ascii="Symbol" w:hAnsi="Symbol" w:cs="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cs="Wingdings" w:hint="default"/>
      </w:rPr>
    </w:lvl>
  </w:abstractNum>
  <w:abstractNum w:abstractNumId="546" w15:restartNumberingAfterBreak="0">
    <w:nsid w:val="5F404891"/>
    <w:multiLevelType w:val="hybridMultilevel"/>
    <w:tmpl w:val="4978EDC6"/>
    <w:lvl w:ilvl="0" w:tplc="85687B78">
      <w:start w:val="1"/>
      <w:numFmt w:val="decimal"/>
      <w:lvlText w:val="%1)"/>
      <w:lvlJc w:val="left"/>
    </w:lvl>
    <w:lvl w:ilvl="1" w:tplc="43043BB6">
      <w:start w:val="1"/>
      <w:numFmt w:val="bullet"/>
      <w:lvlText w:val="-"/>
      <w:lvlJc w:val="left"/>
    </w:lvl>
    <w:lvl w:ilvl="2" w:tplc="1A14E5C2">
      <w:numFmt w:val="decimal"/>
      <w:lvlText w:val=""/>
      <w:lvlJc w:val="left"/>
    </w:lvl>
    <w:lvl w:ilvl="3" w:tplc="F1969318">
      <w:numFmt w:val="decimal"/>
      <w:lvlText w:val=""/>
      <w:lvlJc w:val="left"/>
    </w:lvl>
    <w:lvl w:ilvl="4" w:tplc="999EF15A">
      <w:numFmt w:val="decimal"/>
      <w:lvlText w:val=""/>
      <w:lvlJc w:val="left"/>
    </w:lvl>
    <w:lvl w:ilvl="5" w:tplc="8ED0475A">
      <w:numFmt w:val="decimal"/>
      <w:lvlText w:val=""/>
      <w:lvlJc w:val="left"/>
    </w:lvl>
    <w:lvl w:ilvl="6" w:tplc="BF4C5B9E">
      <w:numFmt w:val="decimal"/>
      <w:lvlText w:val=""/>
      <w:lvlJc w:val="left"/>
    </w:lvl>
    <w:lvl w:ilvl="7" w:tplc="21283ED8">
      <w:numFmt w:val="decimal"/>
      <w:lvlText w:val=""/>
      <w:lvlJc w:val="left"/>
    </w:lvl>
    <w:lvl w:ilvl="8" w:tplc="3154A868">
      <w:numFmt w:val="decimal"/>
      <w:lvlText w:val=""/>
      <w:lvlJc w:val="left"/>
    </w:lvl>
  </w:abstractNum>
  <w:abstractNum w:abstractNumId="547" w15:restartNumberingAfterBreak="0">
    <w:nsid w:val="5F7F5E86"/>
    <w:multiLevelType w:val="hybridMultilevel"/>
    <w:tmpl w:val="FD24F4F0"/>
    <w:lvl w:ilvl="0" w:tplc="5C5A840A">
      <w:start w:val="1"/>
      <w:numFmt w:val="bullet"/>
      <w:lvlText w:val="•"/>
      <w:lvlJc w:val="left"/>
    </w:lvl>
    <w:lvl w:ilvl="1" w:tplc="D938B248">
      <w:start w:val="1"/>
      <w:numFmt w:val="bullet"/>
      <w:lvlText w:val="•"/>
      <w:lvlJc w:val="left"/>
    </w:lvl>
    <w:lvl w:ilvl="2" w:tplc="27AA333E">
      <w:numFmt w:val="decimal"/>
      <w:lvlText w:val=""/>
      <w:lvlJc w:val="left"/>
    </w:lvl>
    <w:lvl w:ilvl="3" w:tplc="3D288B8E">
      <w:numFmt w:val="decimal"/>
      <w:lvlText w:val=""/>
      <w:lvlJc w:val="left"/>
    </w:lvl>
    <w:lvl w:ilvl="4" w:tplc="27A41126">
      <w:numFmt w:val="decimal"/>
      <w:lvlText w:val=""/>
      <w:lvlJc w:val="left"/>
    </w:lvl>
    <w:lvl w:ilvl="5" w:tplc="4A9EFF3C">
      <w:numFmt w:val="decimal"/>
      <w:lvlText w:val=""/>
      <w:lvlJc w:val="left"/>
    </w:lvl>
    <w:lvl w:ilvl="6" w:tplc="2B00E78C">
      <w:numFmt w:val="decimal"/>
      <w:lvlText w:val=""/>
      <w:lvlJc w:val="left"/>
    </w:lvl>
    <w:lvl w:ilvl="7" w:tplc="975C2828">
      <w:numFmt w:val="decimal"/>
      <w:lvlText w:val=""/>
      <w:lvlJc w:val="left"/>
    </w:lvl>
    <w:lvl w:ilvl="8" w:tplc="EE2473A6">
      <w:numFmt w:val="decimal"/>
      <w:lvlText w:val=""/>
      <w:lvlJc w:val="left"/>
    </w:lvl>
  </w:abstractNum>
  <w:abstractNum w:abstractNumId="548" w15:restartNumberingAfterBreak="0">
    <w:nsid w:val="5F91BE56"/>
    <w:multiLevelType w:val="hybridMultilevel"/>
    <w:tmpl w:val="E1D0A45C"/>
    <w:lvl w:ilvl="0" w:tplc="D3169A46">
      <w:start w:val="15"/>
      <w:numFmt w:val="lowerLetter"/>
      <w:lvlText w:val="%1"/>
      <w:lvlJc w:val="left"/>
    </w:lvl>
    <w:lvl w:ilvl="1" w:tplc="FB5CA66A">
      <w:numFmt w:val="decimal"/>
      <w:lvlText w:val=""/>
      <w:lvlJc w:val="left"/>
    </w:lvl>
    <w:lvl w:ilvl="2" w:tplc="E3BEB028">
      <w:numFmt w:val="decimal"/>
      <w:lvlText w:val=""/>
      <w:lvlJc w:val="left"/>
    </w:lvl>
    <w:lvl w:ilvl="3" w:tplc="83D055A4">
      <w:numFmt w:val="decimal"/>
      <w:lvlText w:val=""/>
      <w:lvlJc w:val="left"/>
    </w:lvl>
    <w:lvl w:ilvl="4" w:tplc="084CACCA">
      <w:numFmt w:val="decimal"/>
      <w:lvlText w:val=""/>
      <w:lvlJc w:val="left"/>
    </w:lvl>
    <w:lvl w:ilvl="5" w:tplc="5A96B888">
      <w:numFmt w:val="decimal"/>
      <w:lvlText w:val=""/>
      <w:lvlJc w:val="left"/>
    </w:lvl>
    <w:lvl w:ilvl="6" w:tplc="DD20D69A">
      <w:numFmt w:val="decimal"/>
      <w:lvlText w:val=""/>
      <w:lvlJc w:val="left"/>
    </w:lvl>
    <w:lvl w:ilvl="7" w:tplc="904AD2E6">
      <w:numFmt w:val="decimal"/>
      <w:lvlText w:val=""/>
      <w:lvlJc w:val="left"/>
    </w:lvl>
    <w:lvl w:ilvl="8" w:tplc="58ECF1F2">
      <w:numFmt w:val="decimal"/>
      <w:lvlText w:val=""/>
      <w:lvlJc w:val="left"/>
    </w:lvl>
  </w:abstractNum>
  <w:abstractNum w:abstractNumId="549" w15:restartNumberingAfterBreak="0">
    <w:nsid w:val="5FA54049"/>
    <w:multiLevelType w:val="hybridMultilevel"/>
    <w:tmpl w:val="32B83BE6"/>
    <w:lvl w:ilvl="0" w:tplc="70562080">
      <w:start w:val="1"/>
      <w:numFmt w:val="bullet"/>
      <w:lvlText w:val="•"/>
      <w:lvlJc w:val="left"/>
    </w:lvl>
    <w:lvl w:ilvl="1" w:tplc="48FC3E18">
      <w:numFmt w:val="decimal"/>
      <w:lvlText w:val=""/>
      <w:lvlJc w:val="left"/>
    </w:lvl>
    <w:lvl w:ilvl="2" w:tplc="782EE9EC">
      <w:numFmt w:val="decimal"/>
      <w:lvlText w:val=""/>
      <w:lvlJc w:val="left"/>
    </w:lvl>
    <w:lvl w:ilvl="3" w:tplc="A3B84F88">
      <w:numFmt w:val="decimal"/>
      <w:lvlText w:val=""/>
      <w:lvlJc w:val="left"/>
    </w:lvl>
    <w:lvl w:ilvl="4" w:tplc="9F5C34CE">
      <w:numFmt w:val="decimal"/>
      <w:lvlText w:val=""/>
      <w:lvlJc w:val="left"/>
    </w:lvl>
    <w:lvl w:ilvl="5" w:tplc="4FC498DC">
      <w:numFmt w:val="decimal"/>
      <w:lvlText w:val=""/>
      <w:lvlJc w:val="left"/>
    </w:lvl>
    <w:lvl w:ilvl="6" w:tplc="AFF4B6B8">
      <w:numFmt w:val="decimal"/>
      <w:lvlText w:val=""/>
      <w:lvlJc w:val="left"/>
    </w:lvl>
    <w:lvl w:ilvl="7" w:tplc="37B2024A">
      <w:numFmt w:val="decimal"/>
      <w:lvlText w:val=""/>
      <w:lvlJc w:val="left"/>
    </w:lvl>
    <w:lvl w:ilvl="8" w:tplc="1C5C59DA">
      <w:numFmt w:val="decimal"/>
      <w:lvlText w:val=""/>
      <w:lvlJc w:val="left"/>
    </w:lvl>
  </w:abstractNum>
  <w:abstractNum w:abstractNumId="550" w15:restartNumberingAfterBreak="0">
    <w:nsid w:val="5FD7A3E9"/>
    <w:multiLevelType w:val="hybridMultilevel"/>
    <w:tmpl w:val="AF9A599C"/>
    <w:lvl w:ilvl="0" w:tplc="45A8B328">
      <w:start w:val="1"/>
      <w:numFmt w:val="bullet"/>
      <w:lvlText w:val="•"/>
      <w:lvlJc w:val="left"/>
    </w:lvl>
    <w:lvl w:ilvl="1" w:tplc="74B49E44">
      <w:numFmt w:val="decimal"/>
      <w:lvlText w:val=""/>
      <w:lvlJc w:val="left"/>
    </w:lvl>
    <w:lvl w:ilvl="2" w:tplc="38F8EC3C">
      <w:numFmt w:val="decimal"/>
      <w:lvlText w:val=""/>
      <w:lvlJc w:val="left"/>
    </w:lvl>
    <w:lvl w:ilvl="3" w:tplc="6F66033E">
      <w:numFmt w:val="decimal"/>
      <w:lvlText w:val=""/>
      <w:lvlJc w:val="left"/>
    </w:lvl>
    <w:lvl w:ilvl="4" w:tplc="C8B8EA22">
      <w:numFmt w:val="decimal"/>
      <w:lvlText w:val=""/>
      <w:lvlJc w:val="left"/>
    </w:lvl>
    <w:lvl w:ilvl="5" w:tplc="DEEA3EB2">
      <w:numFmt w:val="decimal"/>
      <w:lvlText w:val=""/>
      <w:lvlJc w:val="left"/>
    </w:lvl>
    <w:lvl w:ilvl="6" w:tplc="B5B801D8">
      <w:numFmt w:val="decimal"/>
      <w:lvlText w:val=""/>
      <w:lvlJc w:val="left"/>
    </w:lvl>
    <w:lvl w:ilvl="7" w:tplc="2080579A">
      <w:numFmt w:val="decimal"/>
      <w:lvlText w:val=""/>
      <w:lvlJc w:val="left"/>
    </w:lvl>
    <w:lvl w:ilvl="8" w:tplc="407AF816">
      <w:numFmt w:val="decimal"/>
      <w:lvlText w:val=""/>
      <w:lvlJc w:val="left"/>
    </w:lvl>
  </w:abstractNum>
  <w:abstractNum w:abstractNumId="551" w15:restartNumberingAfterBreak="0">
    <w:nsid w:val="5FDD549A"/>
    <w:multiLevelType w:val="hybridMultilevel"/>
    <w:tmpl w:val="6062068E"/>
    <w:lvl w:ilvl="0" w:tplc="AF58491E">
      <w:start w:val="1"/>
      <w:numFmt w:val="bullet"/>
      <w:lvlText w:val="•"/>
      <w:lvlJc w:val="left"/>
    </w:lvl>
    <w:lvl w:ilvl="1" w:tplc="6D8036D8">
      <w:numFmt w:val="decimal"/>
      <w:lvlText w:val=""/>
      <w:lvlJc w:val="left"/>
    </w:lvl>
    <w:lvl w:ilvl="2" w:tplc="5DD655A4">
      <w:numFmt w:val="decimal"/>
      <w:lvlText w:val=""/>
      <w:lvlJc w:val="left"/>
    </w:lvl>
    <w:lvl w:ilvl="3" w:tplc="0AD03A2C">
      <w:numFmt w:val="decimal"/>
      <w:lvlText w:val=""/>
      <w:lvlJc w:val="left"/>
    </w:lvl>
    <w:lvl w:ilvl="4" w:tplc="078A9BCC">
      <w:numFmt w:val="decimal"/>
      <w:lvlText w:val=""/>
      <w:lvlJc w:val="left"/>
    </w:lvl>
    <w:lvl w:ilvl="5" w:tplc="90BA999A">
      <w:numFmt w:val="decimal"/>
      <w:lvlText w:val=""/>
      <w:lvlJc w:val="left"/>
    </w:lvl>
    <w:lvl w:ilvl="6" w:tplc="43D0CE28">
      <w:numFmt w:val="decimal"/>
      <w:lvlText w:val=""/>
      <w:lvlJc w:val="left"/>
    </w:lvl>
    <w:lvl w:ilvl="7" w:tplc="56B60BCA">
      <w:numFmt w:val="decimal"/>
      <w:lvlText w:val=""/>
      <w:lvlJc w:val="left"/>
    </w:lvl>
    <w:lvl w:ilvl="8" w:tplc="A39036DC">
      <w:numFmt w:val="decimal"/>
      <w:lvlText w:val=""/>
      <w:lvlJc w:val="left"/>
    </w:lvl>
  </w:abstractNum>
  <w:abstractNum w:abstractNumId="552" w15:restartNumberingAfterBreak="0">
    <w:nsid w:val="5FF5D4A5"/>
    <w:multiLevelType w:val="hybridMultilevel"/>
    <w:tmpl w:val="2160DD96"/>
    <w:lvl w:ilvl="0" w:tplc="66BA5834">
      <w:start w:val="1"/>
      <w:numFmt w:val="bullet"/>
      <w:lvlText w:val="•"/>
      <w:lvlJc w:val="left"/>
    </w:lvl>
    <w:lvl w:ilvl="1" w:tplc="292E2148">
      <w:numFmt w:val="decimal"/>
      <w:lvlText w:val=""/>
      <w:lvlJc w:val="left"/>
    </w:lvl>
    <w:lvl w:ilvl="2" w:tplc="4D7C08BE">
      <w:numFmt w:val="decimal"/>
      <w:lvlText w:val=""/>
      <w:lvlJc w:val="left"/>
    </w:lvl>
    <w:lvl w:ilvl="3" w:tplc="CCBCD7FE">
      <w:numFmt w:val="decimal"/>
      <w:lvlText w:val=""/>
      <w:lvlJc w:val="left"/>
    </w:lvl>
    <w:lvl w:ilvl="4" w:tplc="D00851F0">
      <w:numFmt w:val="decimal"/>
      <w:lvlText w:val=""/>
      <w:lvlJc w:val="left"/>
    </w:lvl>
    <w:lvl w:ilvl="5" w:tplc="E634FA6A">
      <w:numFmt w:val="decimal"/>
      <w:lvlText w:val=""/>
      <w:lvlJc w:val="left"/>
    </w:lvl>
    <w:lvl w:ilvl="6" w:tplc="76983D66">
      <w:numFmt w:val="decimal"/>
      <w:lvlText w:val=""/>
      <w:lvlJc w:val="left"/>
    </w:lvl>
    <w:lvl w:ilvl="7" w:tplc="E36E9340">
      <w:numFmt w:val="decimal"/>
      <w:lvlText w:val=""/>
      <w:lvlJc w:val="left"/>
    </w:lvl>
    <w:lvl w:ilvl="8" w:tplc="7EF63604">
      <w:numFmt w:val="decimal"/>
      <w:lvlText w:val=""/>
      <w:lvlJc w:val="left"/>
    </w:lvl>
  </w:abstractNum>
  <w:abstractNum w:abstractNumId="553" w15:restartNumberingAfterBreak="0">
    <w:nsid w:val="60062316"/>
    <w:multiLevelType w:val="hybridMultilevel"/>
    <w:tmpl w:val="9A289538"/>
    <w:lvl w:ilvl="0" w:tplc="53CABD30">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554" w15:restartNumberingAfterBreak="0">
    <w:nsid w:val="60097E86"/>
    <w:multiLevelType w:val="hybridMultilevel"/>
    <w:tmpl w:val="79D8CA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5" w15:restartNumberingAfterBreak="0">
    <w:nsid w:val="600B0BF0"/>
    <w:multiLevelType w:val="hybridMultilevel"/>
    <w:tmpl w:val="C1EAC3C8"/>
    <w:lvl w:ilvl="0" w:tplc="4FA835BA">
      <w:start w:val="2"/>
      <w:numFmt w:val="decimal"/>
      <w:lvlText w:val="%1."/>
      <w:lvlJc w:val="left"/>
    </w:lvl>
    <w:lvl w:ilvl="1" w:tplc="708E6F50">
      <w:numFmt w:val="decimal"/>
      <w:lvlText w:val=""/>
      <w:lvlJc w:val="left"/>
    </w:lvl>
    <w:lvl w:ilvl="2" w:tplc="E90C1CAA">
      <w:numFmt w:val="decimal"/>
      <w:lvlText w:val=""/>
      <w:lvlJc w:val="left"/>
    </w:lvl>
    <w:lvl w:ilvl="3" w:tplc="E98E7CB2">
      <w:numFmt w:val="decimal"/>
      <w:lvlText w:val=""/>
      <w:lvlJc w:val="left"/>
    </w:lvl>
    <w:lvl w:ilvl="4" w:tplc="2208F44C">
      <w:numFmt w:val="decimal"/>
      <w:lvlText w:val=""/>
      <w:lvlJc w:val="left"/>
    </w:lvl>
    <w:lvl w:ilvl="5" w:tplc="8C2CDD5A">
      <w:numFmt w:val="decimal"/>
      <w:lvlText w:val=""/>
      <w:lvlJc w:val="left"/>
    </w:lvl>
    <w:lvl w:ilvl="6" w:tplc="71DA25FC">
      <w:numFmt w:val="decimal"/>
      <w:lvlText w:val=""/>
      <w:lvlJc w:val="left"/>
    </w:lvl>
    <w:lvl w:ilvl="7" w:tplc="7B84ED64">
      <w:numFmt w:val="decimal"/>
      <w:lvlText w:val=""/>
      <w:lvlJc w:val="left"/>
    </w:lvl>
    <w:lvl w:ilvl="8" w:tplc="DAA0B452">
      <w:numFmt w:val="decimal"/>
      <w:lvlText w:val=""/>
      <w:lvlJc w:val="left"/>
    </w:lvl>
  </w:abstractNum>
  <w:abstractNum w:abstractNumId="556" w15:restartNumberingAfterBreak="0">
    <w:nsid w:val="60602E62"/>
    <w:multiLevelType w:val="hybridMultilevel"/>
    <w:tmpl w:val="EAA8E95C"/>
    <w:lvl w:ilvl="0" w:tplc="F326BEA4">
      <w:start w:val="1"/>
      <w:numFmt w:val="bullet"/>
      <w:lvlText w:val="·"/>
      <w:lvlJc w:val="left"/>
    </w:lvl>
    <w:lvl w:ilvl="1" w:tplc="198C7330">
      <w:start w:val="7"/>
      <w:numFmt w:val="lowerLetter"/>
      <w:lvlText w:val="%2)"/>
      <w:lvlJc w:val="left"/>
    </w:lvl>
    <w:lvl w:ilvl="2" w:tplc="9302452E">
      <w:numFmt w:val="decimal"/>
      <w:lvlText w:val=""/>
      <w:lvlJc w:val="left"/>
    </w:lvl>
    <w:lvl w:ilvl="3" w:tplc="7924EB16">
      <w:numFmt w:val="decimal"/>
      <w:lvlText w:val=""/>
      <w:lvlJc w:val="left"/>
    </w:lvl>
    <w:lvl w:ilvl="4" w:tplc="3A8EDFC2">
      <w:numFmt w:val="decimal"/>
      <w:lvlText w:val=""/>
      <w:lvlJc w:val="left"/>
    </w:lvl>
    <w:lvl w:ilvl="5" w:tplc="CD2E17DE">
      <w:numFmt w:val="decimal"/>
      <w:lvlText w:val=""/>
      <w:lvlJc w:val="left"/>
    </w:lvl>
    <w:lvl w:ilvl="6" w:tplc="FAA2D7D4">
      <w:numFmt w:val="decimal"/>
      <w:lvlText w:val=""/>
      <w:lvlJc w:val="left"/>
    </w:lvl>
    <w:lvl w:ilvl="7" w:tplc="74D81BDC">
      <w:numFmt w:val="decimal"/>
      <w:lvlText w:val=""/>
      <w:lvlJc w:val="left"/>
    </w:lvl>
    <w:lvl w:ilvl="8" w:tplc="1E806BFE">
      <w:numFmt w:val="decimal"/>
      <w:lvlText w:val=""/>
      <w:lvlJc w:val="left"/>
    </w:lvl>
  </w:abstractNum>
  <w:abstractNum w:abstractNumId="557" w15:restartNumberingAfterBreak="0">
    <w:nsid w:val="60C94A46"/>
    <w:multiLevelType w:val="hybridMultilevel"/>
    <w:tmpl w:val="39F60ACC"/>
    <w:lvl w:ilvl="0" w:tplc="906ADFC2">
      <w:start w:val="1"/>
      <w:numFmt w:val="bullet"/>
      <w:lvlText w:val="·"/>
      <w:lvlJc w:val="left"/>
    </w:lvl>
    <w:lvl w:ilvl="1" w:tplc="93B88336">
      <w:start w:val="15"/>
      <w:numFmt w:val="upperLetter"/>
      <w:lvlText w:val="%2"/>
      <w:lvlJc w:val="left"/>
    </w:lvl>
    <w:lvl w:ilvl="2" w:tplc="20189E4E">
      <w:numFmt w:val="decimal"/>
      <w:lvlText w:val=""/>
      <w:lvlJc w:val="left"/>
    </w:lvl>
    <w:lvl w:ilvl="3" w:tplc="C794FB0E">
      <w:numFmt w:val="decimal"/>
      <w:lvlText w:val=""/>
      <w:lvlJc w:val="left"/>
    </w:lvl>
    <w:lvl w:ilvl="4" w:tplc="D550F3CA">
      <w:numFmt w:val="decimal"/>
      <w:lvlText w:val=""/>
      <w:lvlJc w:val="left"/>
    </w:lvl>
    <w:lvl w:ilvl="5" w:tplc="25429B0C">
      <w:numFmt w:val="decimal"/>
      <w:lvlText w:val=""/>
      <w:lvlJc w:val="left"/>
    </w:lvl>
    <w:lvl w:ilvl="6" w:tplc="A768D664">
      <w:numFmt w:val="decimal"/>
      <w:lvlText w:val=""/>
      <w:lvlJc w:val="left"/>
    </w:lvl>
    <w:lvl w:ilvl="7" w:tplc="369C80D2">
      <w:numFmt w:val="decimal"/>
      <w:lvlText w:val=""/>
      <w:lvlJc w:val="left"/>
    </w:lvl>
    <w:lvl w:ilvl="8" w:tplc="877877CE">
      <w:numFmt w:val="decimal"/>
      <w:lvlText w:val=""/>
      <w:lvlJc w:val="left"/>
    </w:lvl>
  </w:abstractNum>
  <w:abstractNum w:abstractNumId="558" w15:restartNumberingAfterBreak="0">
    <w:nsid w:val="60D35B19"/>
    <w:multiLevelType w:val="hybridMultilevel"/>
    <w:tmpl w:val="4B100B76"/>
    <w:lvl w:ilvl="0" w:tplc="53CABD30">
      <w:start w:val="1"/>
      <w:numFmt w:val="bullet"/>
      <w:lvlText w:val="-"/>
      <w:lvlJc w:val="left"/>
    </w:lvl>
    <w:lvl w:ilvl="1" w:tplc="2BC45FC0">
      <w:numFmt w:val="decimal"/>
      <w:lvlText w:val=""/>
      <w:lvlJc w:val="left"/>
    </w:lvl>
    <w:lvl w:ilvl="2" w:tplc="CD26E496">
      <w:numFmt w:val="decimal"/>
      <w:lvlText w:val=""/>
      <w:lvlJc w:val="left"/>
    </w:lvl>
    <w:lvl w:ilvl="3" w:tplc="CF6E3D8A">
      <w:numFmt w:val="decimal"/>
      <w:lvlText w:val=""/>
      <w:lvlJc w:val="left"/>
    </w:lvl>
    <w:lvl w:ilvl="4" w:tplc="254C3E76">
      <w:numFmt w:val="decimal"/>
      <w:lvlText w:val=""/>
      <w:lvlJc w:val="left"/>
    </w:lvl>
    <w:lvl w:ilvl="5" w:tplc="91F27332">
      <w:numFmt w:val="decimal"/>
      <w:lvlText w:val=""/>
      <w:lvlJc w:val="left"/>
    </w:lvl>
    <w:lvl w:ilvl="6" w:tplc="B75E1A24">
      <w:numFmt w:val="decimal"/>
      <w:lvlText w:val=""/>
      <w:lvlJc w:val="left"/>
    </w:lvl>
    <w:lvl w:ilvl="7" w:tplc="2384059C">
      <w:numFmt w:val="decimal"/>
      <w:lvlText w:val=""/>
      <w:lvlJc w:val="left"/>
    </w:lvl>
    <w:lvl w:ilvl="8" w:tplc="925A2986">
      <w:numFmt w:val="decimal"/>
      <w:lvlText w:val=""/>
      <w:lvlJc w:val="left"/>
    </w:lvl>
  </w:abstractNum>
  <w:abstractNum w:abstractNumId="559" w15:restartNumberingAfterBreak="0">
    <w:nsid w:val="60F812BD"/>
    <w:multiLevelType w:val="hybridMultilevel"/>
    <w:tmpl w:val="A24CC988"/>
    <w:lvl w:ilvl="0" w:tplc="0AF23490">
      <w:start w:val="1"/>
      <w:numFmt w:val="bullet"/>
      <w:lvlText w:val="-"/>
      <w:lvlJc w:val="left"/>
    </w:lvl>
    <w:lvl w:ilvl="1" w:tplc="C2CEE18A">
      <w:start w:val="1"/>
      <w:numFmt w:val="bullet"/>
      <w:lvlText w:val="§"/>
      <w:lvlJc w:val="left"/>
    </w:lvl>
    <w:lvl w:ilvl="2" w:tplc="16C034FC">
      <w:numFmt w:val="decimal"/>
      <w:lvlText w:val=""/>
      <w:lvlJc w:val="left"/>
    </w:lvl>
    <w:lvl w:ilvl="3" w:tplc="EFC04D34">
      <w:numFmt w:val="decimal"/>
      <w:lvlText w:val=""/>
      <w:lvlJc w:val="left"/>
    </w:lvl>
    <w:lvl w:ilvl="4" w:tplc="34A0629E">
      <w:numFmt w:val="decimal"/>
      <w:lvlText w:val=""/>
      <w:lvlJc w:val="left"/>
    </w:lvl>
    <w:lvl w:ilvl="5" w:tplc="CA8E5BC4">
      <w:numFmt w:val="decimal"/>
      <w:lvlText w:val=""/>
      <w:lvlJc w:val="left"/>
    </w:lvl>
    <w:lvl w:ilvl="6" w:tplc="E3F6DAE0">
      <w:numFmt w:val="decimal"/>
      <w:lvlText w:val=""/>
      <w:lvlJc w:val="left"/>
    </w:lvl>
    <w:lvl w:ilvl="7" w:tplc="779C07FC">
      <w:numFmt w:val="decimal"/>
      <w:lvlText w:val=""/>
      <w:lvlJc w:val="left"/>
    </w:lvl>
    <w:lvl w:ilvl="8" w:tplc="93EE9AFE">
      <w:numFmt w:val="decimal"/>
      <w:lvlText w:val=""/>
      <w:lvlJc w:val="left"/>
    </w:lvl>
  </w:abstractNum>
  <w:abstractNum w:abstractNumId="560" w15:restartNumberingAfterBreak="0">
    <w:nsid w:val="610FA1D6"/>
    <w:multiLevelType w:val="hybridMultilevel"/>
    <w:tmpl w:val="8424CAC2"/>
    <w:lvl w:ilvl="0" w:tplc="0CE6402E">
      <w:start w:val="1"/>
      <w:numFmt w:val="bullet"/>
      <w:lvlText w:val="-"/>
      <w:lvlJc w:val="left"/>
    </w:lvl>
    <w:lvl w:ilvl="1" w:tplc="AFFAB120">
      <w:numFmt w:val="decimal"/>
      <w:lvlText w:val=""/>
      <w:lvlJc w:val="left"/>
    </w:lvl>
    <w:lvl w:ilvl="2" w:tplc="A45CF482">
      <w:numFmt w:val="decimal"/>
      <w:lvlText w:val=""/>
      <w:lvlJc w:val="left"/>
    </w:lvl>
    <w:lvl w:ilvl="3" w:tplc="D58CEFC0">
      <w:numFmt w:val="decimal"/>
      <w:lvlText w:val=""/>
      <w:lvlJc w:val="left"/>
    </w:lvl>
    <w:lvl w:ilvl="4" w:tplc="22BCEE70">
      <w:numFmt w:val="decimal"/>
      <w:lvlText w:val=""/>
      <w:lvlJc w:val="left"/>
    </w:lvl>
    <w:lvl w:ilvl="5" w:tplc="E5FEEF86">
      <w:numFmt w:val="decimal"/>
      <w:lvlText w:val=""/>
      <w:lvlJc w:val="left"/>
    </w:lvl>
    <w:lvl w:ilvl="6" w:tplc="8660A15C">
      <w:numFmt w:val="decimal"/>
      <w:lvlText w:val=""/>
      <w:lvlJc w:val="left"/>
    </w:lvl>
    <w:lvl w:ilvl="7" w:tplc="EC1C75CE">
      <w:numFmt w:val="decimal"/>
      <w:lvlText w:val=""/>
      <w:lvlJc w:val="left"/>
    </w:lvl>
    <w:lvl w:ilvl="8" w:tplc="E39EB112">
      <w:numFmt w:val="decimal"/>
      <w:lvlText w:val=""/>
      <w:lvlJc w:val="left"/>
    </w:lvl>
  </w:abstractNum>
  <w:abstractNum w:abstractNumId="561" w15:restartNumberingAfterBreak="0">
    <w:nsid w:val="61387D77"/>
    <w:multiLevelType w:val="hybridMultilevel"/>
    <w:tmpl w:val="2A02F84A"/>
    <w:lvl w:ilvl="0" w:tplc="04050011">
      <w:start w:val="1"/>
      <w:numFmt w:val="decimal"/>
      <w:lvlText w:val="%1)"/>
      <w:lvlJc w:val="left"/>
    </w:lvl>
    <w:lvl w:ilvl="1" w:tplc="6CE29520">
      <w:numFmt w:val="decimal"/>
      <w:lvlText w:val=""/>
      <w:lvlJc w:val="left"/>
    </w:lvl>
    <w:lvl w:ilvl="2" w:tplc="552AC20E">
      <w:numFmt w:val="decimal"/>
      <w:lvlText w:val=""/>
      <w:lvlJc w:val="left"/>
    </w:lvl>
    <w:lvl w:ilvl="3" w:tplc="40D0C494">
      <w:numFmt w:val="decimal"/>
      <w:lvlText w:val=""/>
      <w:lvlJc w:val="left"/>
    </w:lvl>
    <w:lvl w:ilvl="4" w:tplc="F8AEF7D0">
      <w:numFmt w:val="decimal"/>
      <w:lvlText w:val=""/>
      <w:lvlJc w:val="left"/>
    </w:lvl>
    <w:lvl w:ilvl="5" w:tplc="81CCCCAA">
      <w:numFmt w:val="decimal"/>
      <w:lvlText w:val=""/>
      <w:lvlJc w:val="left"/>
    </w:lvl>
    <w:lvl w:ilvl="6" w:tplc="15FCBACA">
      <w:numFmt w:val="decimal"/>
      <w:lvlText w:val=""/>
      <w:lvlJc w:val="left"/>
    </w:lvl>
    <w:lvl w:ilvl="7" w:tplc="5BD43896">
      <w:numFmt w:val="decimal"/>
      <w:lvlText w:val=""/>
      <w:lvlJc w:val="left"/>
    </w:lvl>
    <w:lvl w:ilvl="8" w:tplc="2828042E">
      <w:numFmt w:val="decimal"/>
      <w:lvlText w:val=""/>
      <w:lvlJc w:val="left"/>
    </w:lvl>
  </w:abstractNum>
  <w:abstractNum w:abstractNumId="562" w15:restartNumberingAfterBreak="0">
    <w:nsid w:val="61402F4E"/>
    <w:multiLevelType w:val="hybridMultilevel"/>
    <w:tmpl w:val="16F63DB0"/>
    <w:lvl w:ilvl="0" w:tplc="E116C288">
      <w:start w:val="3"/>
      <w:numFmt w:val="lowerLetter"/>
      <w:lvlText w:val="%1)"/>
      <w:lvlJc w:val="left"/>
    </w:lvl>
    <w:lvl w:ilvl="1" w:tplc="7C681644">
      <w:numFmt w:val="decimal"/>
      <w:lvlText w:val=""/>
      <w:lvlJc w:val="left"/>
    </w:lvl>
    <w:lvl w:ilvl="2" w:tplc="97DC6A32">
      <w:numFmt w:val="decimal"/>
      <w:lvlText w:val=""/>
      <w:lvlJc w:val="left"/>
    </w:lvl>
    <w:lvl w:ilvl="3" w:tplc="869E049C">
      <w:numFmt w:val="decimal"/>
      <w:lvlText w:val=""/>
      <w:lvlJc w:val="left"/>
    </w:lvl>
    <w:lvl w:ilvl="4" w:tplc="50B46D80">
      <w:numFmt w:val="decimal"/>
      <w:lvlText w:val=""/>
      <w:lvlJc w:val="left"/>
    </w:lvl>
    <w:lvl w:ilvl="5" w:tplc="32D437D4">
      <w:numFmt w:val="decimal"/>
      <w:lvlText w:val=""/>
      <w:lvlJc w:val="left"/>
    </w:lvl>
    <w:lvl w:ilvl="6" w:tplc="3828A8E6">
      <w:numFmt w:val="decimal"/>
      <w:lvlText w:val=""/>
      <w:lvlJc w:val="left"/>
    </w:lvl>
    <w:lvl w:ilvl="7" w:tplc="F03A8220">
      <w:numFmt w:val="decimal"/>
      <w:lvlText w:val=""/>
      <w:lvlJc w:val="left"/>
    </w:lvl>
    <w:lvl w:ilvl="8" w:tplc="78B6569A">
      <w:numFmt w:val="decimal"/>
      <w:lvlText w:val=""/>
      <w:lvlJc w:val="left"/>
    </w:lvl>
  </w:abstractNum>
  <w:abstractNum w:abstractNumId="563" w15:restartNumberingAfterBreak="0">
    <w:nsid w:val="61696336"/>
    <w:multiLevelType w:val="hybridMultilevel"/>
    <w:tmpl w:val="D868982E"/>
    <w:lvl w:ilvl="0" w:tplc="993AD588">
      <w:start w:val="1"/>
      <w:numFmt w:val="upperLetter"/>
      <w:lvlText w:val="%1"/>
      <w:lvlJc w:val="left"/>
    </w:lvl>
    <w:lvl w:ilvl="1" w:tplc="7B723C54">
      <w:start w:val="1"/>
      <w:numFmt w:val="upperLetter"/>
      <w:lvlText w:val="%2."/>
      <w:lvlJc w:val="left"/>
    </w:lvl>
    <w:lvl w:ilvl="2" w:tplc="CE66BE22">
      <w:start w:val="1"/>
      <w:numFmt w:val="bullet"/>
      <w:lvlText w:val="-"/>
      <w:lvlJc w:val="left"/>
    </w:lvl>
    <w:lvl w:ilvl="3" w:tplc="978A2AFE">
      <w:start w:val="1"/>
      <w:numFmt w:val="bullet"/>
      <w:lvlText w:val="§"/>
      <w:lvlJc w:val="left"/>
    </w:lvl>
    <w:lvl w:ilvl="4" w:tplc="971A39EA">
      <w:numFmt w:val="decimal"/>
      <w:lvlText w:val=""/>
      <w:lvlJc w:val="left"/>
    </w:lvl>
    <w:lvl w:ilvl="5" w:tplc="2042E3A8">
      <w:numFmt w:val="decimal"/>
      <w:lvlText w:val=""/>
      <w:lvlJc w:val="left"/>
    </w:lvl>
    <w:lvl w:ilvl="6" w:tplc="30383E8C">
      <w:numFmt w:val="decimal"/>
      <w:lvlText w:val=""/>
      <w:lvlJc w:val="left"/>
    </w:lvl>
    <w:lvl w:ilvl="7" w:tplc="094E594A">
      <w:numFmt w:val="decimal"/>
      <w:lvlText w:val=""/>
      <w:lvlJc w:val="left"/>
    </w:lvl>
    <w:lvl w:ilvl="8" w:tplc="D8E21352">
      <w:numFmt w:val="decimal"/>
      <w:lvlText w:val=""/>
      <w:lvlJc w:val="left"/>
    </w:lvl>
  </w:abstractNum>
  <w:abstractNum w:abstractNumId="564" w15:restartNumberingAfterBreak="0">
    <w:nsid w:val="61A5C3E4"/>
    <w:multiLevelType w:val="hybridMultilevel"/>
    <w:tmpl w:val="C0040AB8"/>
    <w:lvl w:ilvl="0" w:tplc="79AC4ED2">
      <w:start w:val="1"/>
      <w:numFmt w:val="bullet"/>
      <w:lvlText w:val="·"/>
      <w:lvlJc w:val="left"/>
    </w:lvl>
    <w:lvl w:ilvl="1" w:tplc="489C0F54">
      <w:numFmt w:val="decimal"/>
      <w:lvlText w:val=""/>
      <w:lvlJc w:val="left"/>
    </w:lvl>
    <w:lvl w:ilvl="2" w:tplc="8EFCD010">
      <w:numFmt w:val="decimal"/>
      <w:lvlText w:val=""/>
      <w:lvlJc w:val="left"/>
    </w:lvl>
    <w:lvl w:ilvl="3" w:tplc="84508A58">
      <w:numFmt w:val="decimal"/>
      <w:lvlText w:val=""/>
      <w:lvlJc w:val="left"/>
    </w:lvl>
    <w:lvl w:ilvl="4" w:tplc="CACA1ECC">
      <w:numFmt w:val="decimal"/>
      <w:lvlText w:val=""/>
      <w:lvlJc w:val="left"/>
    </w:lvl>
    <w:lvl w:ilvl="5" w:tplc="FC5867C6">
      <w:numFmt w:val="decimal"/>
      <w:lvlText w:val=""/>
      <w:lvlJc w:val="left"/>
    </w:lvl>
    <w:lvl w:ilvl="6" w:tplc="92E84CF0">
      <w:numFmt w:val="decimal"/>
      <w:lvlText w:val=""/>
      <w:lvlJc w:val="left"/>
    </w:lvl>
    <w:lvl w:ilvl="7" w:tplc="10864644">
      <w:numFmt w:val="decimal"/>
      <w:lvlText w:val=""/>
      <w:lvlJc w:val="left"/>
    </w:lvl>
    <w:lvl w:ilvl="8" w:tplc="223CBC64">
      <w:numFmt w:val="decimal"/>
      <w:lvlText w:val=""/>
      <w:lvlJc w:val="left"/>
    </w:lvl>
  </w:abstractNum>
  <w:abstractNum w:abstractNumId="565" w15:restartNumberingAfterBreak="0">
    <w:nsid w:val="61BA6773"/>
    <w:multiLevelType w:val="hybridMultilevel"/>
    <w:tmpl w:val="CBA407C8"/>
    <w:lvl w:ilvl="0" w:tplc="04050001">
      <w:start w:val="1"/>
      <w:numFmt w:val="bullet"/>
      <w:lvlText w:val=""/>
      <w:lvlJc w:val="left"/>
      <w:pPr>
        <w:ind w:left="1774" w:hanging="360"/>
      </w:pPr>
      <w:rPr>
        <w:rFonts w:ascii="Symbol" w:hAnsi="Symbol" w:hint="default"/>
      </w:rPr>
    </w:lvl>
    <w:lvl w:ilvl="1" w:tplc="04050003" w:tentative="1">
      <w:start w:val="1"/>
      <w:numFmt w:val="bullet"/>
      <w:lvlText w:val="o"/>
      <w:lvlJc w:val="left"/>
      <w:pPr>
        <w:ind w:left="2494" w:hanging="360"/>
      </w:pPr>
      <w:rPr>
        <w:rFonts w:ascii="Courier New" w:hAnsi="Courier New" w:cs="Courier New" w:hint="default"/>
      </w:rPr>
    </w:lvl>
    <w:lvl w:ilvl="2" w:tplc="04050005" w:tentative="1">
      <w:start w:val="1"/>
      <w:numFmt w:val="bullet"/>
      <w:lvlText w:val=""/>
      <w:lvlJc w:val="left"/>
      <w:pPr>
        <w:ind w:left="3214" w:hanging="360"/>
      </w:pPr>
      <w:rPr>
        <w:rFonts w:ascii="Wingdings" w:hAnsi="Wingdings" w:hint="default"/>
      </w:rPr>
    </w:lvl>
    <w:lvl w:ilvl="3" w:tplc="04050001" w:tentative="1">
      <w:start w:val="1"/>
      <w:numFmt w:val="bullet"/>
      <w:lvlText w:val=""/>
      <w:lvlJc w:val="left"/>
      <w:pPr>
        <w:ind w:left="3934" w:hanging="360"/>
      </w:pPr>
      <w:rPr>
        <w:rFonts w:ascii="Symbol" w:hAnsi="Symbol" w:hint="default"/>
      </w:rPr>
    </w:lvl>
    <w:lvl w:ilvl="4" w:tplc="04050003" w:tentative="1">
      <w:start w:val="1"/>
      <w:numFmt w:val="bullet"/>
      <w:lvlText w:val="o"/>
      <w:lvlJc w:val="left"/>
      <w:pPr>
        <w:ind w:left="4654" w:hanging="360"/>
      </w:pPr>
      <w:rPr>
        <w:rFonts w:ascii="Courier New" w:hAnsi="Courier New" w:cs="Courier New" w:hint="default"/>
      </w:rPr>
    </w:lvl>
    <w:lvl w:ilvl="5" w:tplc="04050005" w:tentative="1">
      <w:start w:val="1"/>
      <w:numFmt w:val="bullet"/>
      <w:lvlText w:val=""/>
      <w:lvlJc w:val="left"/>
      <w:pPr>
        <w:ind w:left="5374" w:hanging="360"/>
      </w:pPr>
      <w:rPr>
        <w:rFonts w:ascii="Wingdings" w:hAnsi="Wingdings" w:hint="default"/>
      </w:rPr>
    </w:lvl>
    <w:lvl w:ilvl="6" w:tplc="04050001" w:tentative="1">
      <w:start w:val="1"/>
      <w:numFmt w:val="bullet"/>
      <w:lvlText w:val=""/>
      <w:lvlJc w:val="left"/>
      <w:pPr>
        <w:ind w:left="6094" w:hanging="360"/>
      </w:pPr>
      <w:rPr>
        <w:rFonts w:ascii="Symbol" w:hAnsi="Symbol" w:hint="default"/>
      </w:rPr>
    </w:lvl>
    <w:lvl w:ilvl="7" w:tplc="04050003" w:tentative="1">
      <w:start w:val="1"/>
      <w:numFmt w:val="bullet"/>
      <w:lvlText w:val="o"/>
      <w:lvlJc w:val="left"/>
      <w:pPr>
        <w:ind w:left="6814" w:hanging="360"/>
      </w:pPr>
      <w:rPr>
        <w:rFonts w:ascii="Courier New" w:hAnsi="Courier New" w:cs="Courier New" w:hint="default"/>
      </w:rPr>
    </w:lvl>
    <w:lvl w:ilvl="8" w:tplc="04050005" w:tentative="1">
      <w:start w:val="1"/>
      <w:numFmt w:val="bullet"/>
      <w:lvlText w:val=""/>
      <w:lvlJc w:val="left"/>
      <w:pPr>
        <w:ind w:left="7534" w:hanging="360"/>
      </w:pPr>
      <w:rPr>
        <w:rFonts w:ascii="Wingdings" w:hAnsi="Wingdings" w:hint="default"/>
      </w:rPr>
    </w:lvl>
  </w:abstractNum>
  <w:abstractNum w:abstractNumId="566" w15:restartNumberingAfterBreak="0">
    <w:nsid w:val="61E964F5"/>
    <w:multiLevelType w:val="hybridMultilevel"/>
    <w:tmpl w:val="9D60E1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7" w15:restartNumberingAfterBreak="0">
    <w:nsid w:val="62710862"/>
    <w:multiLevelType w:val="hybridMultilevel"/>
    <w:tmpl w:val="213E9A32"/>
    <w:lvl w:ilvl="0" w:tplc="17A6B268">
      <w:start w:val="1"/>
      <w:numFmt w:val="bullet"/>
      <w:lvlText w:val="•"/>
      <w:lvlJc w:val="left"/>
    </w:lvl>
    <w:lvl w:ilvl="1" w:tplc="CE88ADC2">
      <w:numFmt w:val="decimal"/>
      <w:lvlText w:val=""/>
      <w:lvlJc w:val="left"/>
    </w:lvl>
    <w:lvl w:ilvl="2" w:tplc="8ECA5070">
      <w:numFmt w:val="decimal"/>
      <w:lvlText w:val=""/>
      <w:lvlJc w:val="left"/>
    </w:lvl>
    <w:lvl w:ilvl="3" w:tplc="2C2E5A6E">
      <w:numFmt w:val="decimal"/>
      <w:lvlText w:val=""/>
      <w:lvlJc w:val="left"/>
    </w:lvl>
    <w:lvl w:ilvl="4" w:tplc="8C227504">
      <w:numFmt w:val="decimal"/>
      <w:lvlText w:val=""/>
      <w:lvlJc w:val="left"/>
    </w:lvl>
    <w:lvl w:ilvl="5" w:tplc="84C28C4C">
      <w:numFmt w:val="decimal"/>
      <w:lvlText w:val=""/>
      <w:lvlJc w:val="left"/>
    </w:lvl>
    <w:lvl w:ilvl="6" w:tplc="B6708464">
      <w:numFmt w:val="decimal"/>
      <w:lvlText w:val=""/>
      <w:lvlJc w:val="left"/>
    </w:lvl>
    <w:lvl w:ilvl="7" w:tplc="8916917A">
      <w:numFmt w:val="decimal"/>
      <w:lvlText w:val=""/>
      <w:lvlJc w:val="left"/>
    </w:lvl>
    <w:lvl w:ilvl="8" w:tplc="60CAA532">
      <w:numFmt w:val="decimal"/>
      <w:lvlText w:val=""/>
      <w:lvlJc w:val="left"/>
    </w:lvl>
  </w:abstractNum>
  <w:abstractNum w:abstractNumId="568" w15:restartNumberingAfterBreak="0">
    <w:nsid w:val="629CAFC0"/>
    <w:multiLevelType w:val="hybridMultilevel"/>
    <w:tmpl w:val="F9B88D08"/>
    <w:lvl w:ilvl="0" w:tplc="E7542EC4">
      <w:start w:val="1"/>
      <w:numFmt w:val="bullet"/>
      <w:lvlText w:val="-"/>
      <w:lvlJc w:val="left"/>
    </w:lvl>
    <w:lvl w:ilvl="1" w:tplc="6BFE533E">
      <w:numFmt w:val="decimal"/>
      <w:lvlText w:val=""/>
      <w:lvlJc w:val="left"/>
    </w:lvl>
    <w:lvl w:ilvl="2" w:tplc="F59CF124">
      <w:numFmt w:val="decimal"/>
      <w:lvlText w:val=""/>
      <w:lvlJc w:val="left"/>
    </w:lvl>
    <w:lvl w:ilvl="3" w:tplc="98BCD76A">
      <w:numFmt w:val="decimal"/>
      <w:lvlText w:val=""/>
      <w:lvlJc w:val="left"/>
    </w:lvl>
    <w:lvl w:ilvl="4" w:tplc="9954C56E">
      <w:numFmt w:val="decimal"/>
      <w:lvlText w:val=""/>
      <w:lvlJc w:val="left"/>
    </w:lvl>
    <w:lvl w:ilvl="5" w:tplc="B8BEDF4C">
      <w:numFmt w:val="decimal"/>
      <w:lvlText w:val=""/>
      <w:lvlJc w:val="left"/>
    </w:lvl>
    <w:lvl w:ilvl="6" w:tplc="F0161DD0">
      <w:numFmt w:val="decimal"/>
      <w:lvlText w:val=""/>
      <w:lvlJc w:val="left"/>
    </w:lvl>
    <w:lvl w:ilvl="7" w:tplc="FD46F65C">
      <w:numFmt w:val="decimal"/>
      <w:lvlText w:val=""/>
      <w:lvlJc w:val="left"/>
    </w:lvl>
    <w:lvl w:ilvl="8" w:tplc="E5660B46">
      <w:numFmt w:val="decimal"/>
      <w:lvlText w:val=""/>
      <w:lvlJc w:val="left"/>
    </w:lvl>
  </w:abstractNum>
  <w:abstractNum w:abstractNumId="569" w15:restartNumberingAfterBreak="0">
    <w:nsid w:val="62A2EA91"/>
    <w:multiLevelType w:val="hybridMultilevel"/>
    <w:tmpl w:val="6A082AA4"/>
    <w:lvl w:ilvl="0" w:tplc="5AA04096">
      <w:start w:val="1"/>
      <w:numFmt w:val="bullet"/>
      <w:lvlText w:val="•"/>
      <w:lvlJc w:val="left"/>
    </w:lvl>
    <w:lvl w:ilvl="1" w:tplc="41B89350">
      <w:numFmt w:val="decimal"/>
      <w:lvlText w:val=""/>
      <w:lvlJc w:val="left"/>
    </w:lvl>
    <w:lvl w:ilvl="2" w:tplc="0242FD9A">
      <w:numFmt w:val="decimal"/>
      <w:lvlText w:val=""/>
      <w:lvlJc w:val="left"/>
    </w:lvl>
    <w:lvl w:ilvl="3" w:tplc="BA9C6416">
      <w:numFmt w:val="decimal"/>
      <w:lvlText w:val=""/>
      <w:lvlJc w:val="left"/>
    </w:lvl>
    <w:lvl w:ilvl="4" w:tplc="178CBC98">
      <w:numFmt w:val="decimal"/>
      <w:lvlText w:val=""/>
      <w:lvlJc w:val="left"/>
    </w:lvl>
    <w:lvl w:ilvl="5" w:tplc="966A0E1C">
      <w:numFmt w:val="decimal"/>
      <w:lvlText w:val=""/>
      <w:lvlJc w:val="left"/>
    </w:lvl>
    <w:lvl w:ilvl="6" w:tplc="9F18CF32">
      <w:numFmt w:val="decimal"/>
      <w:lvlText w:val=""/>
      <w:lvlJc w:val="left"/>
    </w:lvl>
    <w:lvl w:ilvl="7" w:tplc="69BE0E50">
      <w:numFmt w:val="decimal"/>
      <w:lvlText w:val=""/>
      <w:lvlJc w:val="left"/>
    </w:lvl>
    <w:lvl w:ilvl="8" w:tplc="75BE61C0">
      <w:numFmt w:val="decimal"/>
      <w:lvlText w:val=""/>
      <w:lvlJc w:val="left"/>
    </w:lvl>
  </w:abstractNum>
  <w:abstractNum w:abstractNumId="570" w15:restartNumberingAfterBreak="0">
    <w:nsid w:val="62B83E2B"/>
    <w:multiLevelType w:val="hybridMultilevel"/>
    <w:tmpl w:val="07E64012"/>
    <w:lvl w:ilvl="0" w:tplc="40DED576">
      <w:start w:val="1"/>
      <w:numFmt w:val="bullet"/>
      <w:lvlText w:val="•"/>
      <w:lvlJc w:val="left"/>
    </w:lvl>
    <w:lvl w:ilvl="1" w:tplc="BED2380C">
      <w:numFmt w:val="decimal"/>
      <w:lvlText w:val=""/>
      <w:lvlJc w:val="left"/>
    </w:lvl>
    <w:lvl w:ilvl="2" w:tplc="9C04E81A">
      <w:numFmt w:val="decimal"/>
      <w:lvlText w:val=""/>
      <w:lvlJc w:val="left"/>
    </w:lvl>
    <w:lvl w:ilvl="3" w:tplc="E7704350">
      <w:numFmt w:val="decimal"/>
      <w:lvlText w:val=""/>
      <w:lvlJc w:val="left"/>
    </w:lvl>
    <w:lvl w:ilvl="4" w:tplc="AE56CB8C">
      <w:numFmt w:val="decimal"/>
      <w:lvlText w:val=""/>
      <w:lvlJc w:val="left"/>
    </w:lvl>
    <w:lvl w:ilvl="5" w:tplc="39A4DB42">
      <w:numFmt w:val="decimal"/>
      <w:lvlText w:val=""/>
      <w:lvlJc w:val="left"/>
    </w:lvl>
    <w:lvl w:ilvl="6" w:tplc="EF86AC5C">
      <w:numFmt w:val="decimal"/>
      <w:lvlText w:val=""/>
      <w:lvlJc w:val="left"/>
    </w:lvl>
    <w:lvl w:ilvl="7" w:tplc="D05C18DA">
      <w:numFmt w:val="decimal"/>
      <w:lvlText w:val=""/>
      <w:lvlJc w:val="left"/>
    </w:lvl>
    <w:lvl w:ilvl="8" w:tplc="E1700DD2">
      <w:numFmt w:val="decimal"/>
      <w:lvlText w:val=""/>
      <w:lvlJc w:val="left"/>
    </w:lvl>
  </w:abstractNum>
  <w:abstractNum w:abstractNumId="571" w15:restartNumberingAfterBreak="0">
    <w:nsid w:val="62F22CB0"/>
    <w:multiLevelType w:val="hybridMultilevel"/>
    <w:tmpl w:val="380A1ECA"/>
    <w:lvl w:ilvl="0" w:tplc="9F6A31AC">
      <w:start w:val="1"/>
      <w:numFmt w:val="bullet"/>
      <w:lvlText w:val="-"/>
      <w:lvlJc w:val="left"/>
    </w:lvl>
    <w:lvl w:ilvl="1" w:tplc="1CF8BFCC">
      <w:numFmt w:val="decimal"/>
      <w:lvlText w:val=""/>
      <w:lvlJc w:val="left"/>
    </w:lvl>
    <w:lvl w:ilvl="2" w:tplc="7A267E08">
      <w:numFmt w:val="decimal"/>
      <w:lvlText w:val=""/>
      <w:lvlJc w:val="left"/>
    </w:lvl>
    <w:lvl w:ilvl="3" w:tplc="55424D68">
      <w:numFmt w:val="decimal"/>
      <w:lvlText w:val=""/>
      <w:lvlJc w:val="left"/>
    </w:lvl>
    <w:lvl w:ilvl="4" w:tplc="0AE8AF7A">
      <w:numFmt w:val="decimal"/>
      <w:lvlText w:val=""/>
      <w:lvlJc w:val="left"/>
    </w:lvl>
    <w:lvl w:ilvl="5" w:tplc="81983ABE">
      <w:numFmt w:val="decimal"/>
      <w:lvlText w:val=""/>
      <w:lvlJc w:val="left"/>
    </w:lvl>
    <w:lvl w:ilvl="6" w:tplc="F8F8E178">
      <w:numFmt w:val="decimal"/>
      <w:lvlText w:val=""/>
      <w:lvlJc w:val="left"/>
    </w:lvl>
    <w:lvl w:ilvl="7" w:tplc="7180B564">
      <w:numFmt w:val="decimal"/>
      <w:lvlText w:val=""/>
      <w:lvlJc w:val="left"/>
    </w:lvl>
    <w:lvl w:ilvl="8" w:tplc="5336C130">
      <w:numFmt w:val="decimal"/>
      <w:lvlText w:val=""/>
      <w:lvlJc w:val="left"/>
    </w:lvl>
  </w:abstractNum>
  <w:abstractNum w:abstractNumId="572" w15:restartNumberingAfterBreak="0">
    <w:nsid w:val="63490122"/>
    <w:multiLevelType w:val="hybridMultilevel"/>
    <w:tmpl w:val="7548BEB0"/>
    <w:lvl w:ilvl="0" w:tplc="EC6205C2">
      <w:start w:val="1"/>
      <w:numFmt w:val="bullet"/>
      <w:lvlText w:val="•"/>
      <w:lvlJc w:val="left"/>
    </w:lvl>
    <w:lvl w:ilvl="1" w:tplc="5AE0CBBA">
      <w:numFmt w:val="decimal"/>
      <w:lvlText w:val=""/>
      <w:lvlJc w:val="left"/>
    </w:lvl>
    <w:lvl w:ilvl="2" w:tplc="2C6A2D8E">
      <w:numFmt w:val="decimal"/>
      <w:lvlText w:val=""/>
      <w:lvlJc w:val="left"/>
    </w:lvl>
    <w:lvl w:ilvl="3" w:tplc="2530FE6C">
      <w:numFmt w:val="decimal"/>
      <w:lvlText w:val=""/>
      <w:lvlJc w:val="left"/>
    </w:lvl>
    <w:lvl w:ilvl="4" w:tplc="11BA65D2">
      <w:numFmt w:val="decimal"/>
      <w:lvlText w:val=""/>
      <w:lvlJc w:val="left"/>
    </w:lvl>
    <w:lvl w:ilvl="5" w:tplc="B02C346E">
      <w:numFmt w:val="decimal"/>
      <w:lvlText w:val=""/>
      <w:lvlJc w:val="left"/>
    </w:lvl>
    <w:lvl w:ilvl="6" w:tplc="D234C840">
      <w:numFmt w:val="decimal"/>
      <w:lvlText w:val=""/>
      <w:lvlJc w:val="left"/>
    </w:lvl>
    <w:lvl w:ilvl="7" w:tplc="E534B574">
      <w:numFmt w:val="decimal"/>
      <w:lvlText w:val=""/>
      <w:lvlJc w:val="left"/>
    </w:lvl>
    <w:lvl w:ilvl="8" w:tplc="DC149BDA">
      <w:numFmt w:val="decimal"/>
      <w:lvlText w:val=""/>
      <w:lvlJc w:val="left"/>
    </w:lvl>
  </w:abstractNum>
  <w:abstractNum w:abstractNumId="573" w15:restartNumberingAfterBreak="0">
    <w:nsid w:val="6350AC35"/>
    <w:multiLevelType w:val="hybridMultilevel"/>
    <w:tmpl w:val="5BF8A236"/>
    <w:lvl w:ilvl="0" w:tplc="755A9312">
      <w:start w:val="1"/>
      <w:numFmt w:val="lowerLetter"/>
      <w:lvlText w:val="%1)"/>
      <w:lvlJc w:val="left"/>
    </w:lvl>
    <w:lvl w:ilvl="1" w:tplc="C3065D18">
      <w:numFmt w:val="decimal"/>
      <w:lvlText w:val=""/>
      <w:lvlJc w:val="left"/>
    </w:lvl>
    <w:lvl w:ilvl="2" w:tplc="E51E6228">
      <w:numFmt w:val="decimal"/>
      <w:lvlText w:val=""/>
      <w:lvlJc w:val="left"/>
    </w:lvl>
    <w:lvl w:ilvl="3" w:tplc="FA868E8A">
      <w:numFmt w:val="decimal"/>
      <w:lvlText w:val=""/>
      <w:lvlJc w:val="left"/>
    </w:lvl>
    <w:lvl w:ilvl="4" w:tplc="C034099C">
      <w:numFmt w:val="decimal"/>
      <w:lvlText w:val=""/>
      <w:lvlJc w:val="left"/>
    </w:lvl>
    <w:lvl w:ilvl="5" w:tplc="25D24194">
      <w:numFmt w:val="decimal"/>
      <w:lvlText w:val=""/>
      <w:lvlJc w:val="left"/>
    </w:lvl>
    <w:lvl w:ilvl="6" w:tplc="2FAC5AB8">
      <w:numFmt w:val="decimal"/>
      <w:lvlText w:val=""/>
      <w:lvlJc w:val="left"/>
    </w:lvl>
    <w:lvl w:ilvl="7" w:tplc="C67C10BA">
      <w:numFmt w:val="decimal"/>
      <w:lvlText w:val=""/>
      <w:lvlJc w:val="left"/>
    </w:lvl>
    <w:lvl w:ilvl="8" w:tplc="F8627D00">
      <w:numFmt w:val="decimal"/>
      <w:lvlText w:val=""/>
      <w:lvlJc w:val="left"/>
    </w:lvl>
  </w:abstractNum>
  <w:abstractNum w:abstractNumId="574" w15:restartNumberingAfterBreak="0">
    <w:nsid w:val="63603A2C"/>
    <w:multiLevelType w:val="hybridMultilevel"/>
    <w:tmpl w:val="B268E2E2"/>
    <w:lvl w:ilvl="0" w:tplc="742AE4D4">
      <w:start w:val="1"/>
      <w:numFmt w:val="bullet"/>
      <w:lvlText w:val="•"/>
      <w:lvlJc w:val="left"/>
    </w:lvl>
    <w:lvl w:ilvl="1" w:tplc="13F4DA1C">
      <w:numFmt w:val="decimal"/>
      <w:lvlText w:val=""/>
      <w:lvlJc w:val="left"/>
    </w:lvl>
    <w:lvl w:ilvl="2" w:tplc="E6A6EE9C">
      <w:numFmt w:val="decimal"/>
      <w:lvlText w:val=""/>
      <w:lvlJc w:val="left"/>
    </w:lvl>
    <w:lvl w:ilvl="3" w:tplc="6BD2B18E">
      <w:numFmt w:val="decimal"/>
      <w:lvlText w:val=""/>
      <w:lvlJc w:val="left"/>
    </w:lvl>
    <w:lvl w:ilvl="4" w:tplc="31867152">
      <w:numFmt w:val="decimal"/>
      <w:lvlText w:val=""/>
      <w:lvlJc w:val="left"/>
    </w:lvl>
    <w:lvl w:ilvl="5" w:tplc="AF32B72C">
      <w:numFmt w:val="decimal"/>
      <w:lvlText w:val=""/>
      <w:lvlJc w:val="left"/>
    </w:lvl>
    <w:lvl w:ilvl="6" w:tplc="9F621CE6">
      <w:numFmt w:val="decimal"/>
      <w:lvlText w:val=""/>
      <w:lvlJc w:val="left"/>
    </w:lvl>
    <w:lvl w:ilvl="7" w:tplc="EF1C93A2">
      <w:numFmt w:val="decimal"/>
      <w:lvlText w:val=""/>
      <w:lvlJc w:val="left"/>
    </w:lvl>
    <w:lvl w:ilvl="8" w:tplc="50A8A5D2">
      <w:numFmt w:val="decimal"/>
      <w:lvlText w:val=""/>
      <w:lvlJc w:val="left"/>
    </w:lvl>
  </w:abstractNum>
  <w:abstractNum w:abstractNumId="575" w15:restartNumberingAfterBreak="0">
    <w:nsid w:val="63F76391"/>
    <w:multiLevelType w:val="hybridMultilevel"/>
    <w:tmpl w:val="BBDEC44C"/>
    <w:lvl w:ilvl="0" w:tplc="245C43B2">
      <w:start w:val="1"/>
      <w:numFmt w:val="decimal"/>
      <w:lvlText w:val="%1."/>
      <w:lvlJc w:val="left"/>
    </w:lvl>
    <w:lvl w:ilvl="1" w:tplc="57B2A078">
      <w:numFmt w:val="decimal"/>
      <w:lvlText w:val=""/>
      <w:lvlJc w:val="left"/>
    </w:lvl>
    <w:lvl w:ilvl="2" w:tplc="AB602912">
      <w:numFmt w:val="decimal"/>
      <w:lvlText w:val=""/>
      <w:lvlJc w:val="left"/>
    </w:lvl>
    <w:lvl w:ilvl="3" w:tplc="06AE8FFA">
      <w:numFmt w:val="decimal"/>
      <w:lvlText w:val=""/>
      <w:lvlJc w:val="left"/>
    </w:lvl>
    <w:lvl w:ilvl="4" w:tplc="D4F0B3EE">
      <w:numFmt w:val="decimal"/>
      <w:lvlText w:val=""/>
      <w:lvlJc w:val="left"/>
    </w:lvl>
    <w:lvl w:ilvl="5" w:tplc="300A69EA">
      <w:numFmt w:val="decimal"/>
      <w:lvlText w:val=""/>
      <w:lvlJc w:val="left"/>
    </w:lvl>
    <w:lvl w:ilvl="6" w:tplc="9DA0AB5C">
      <w:numFmt w:val="decimal"/>
      <w:lvlText w:val=""/>
      <w:lvlJc w:val="left"/>
    </w:lvl>
    <w:lvl w:ilvl="7" w:tplc="6FFEF68A">
      <w:numFmt w:val="decimal"/>
      <w:lvlText w:val=""/>
      <w:lvlJc w:val="left"/>
    </w:lvl>
    <w:lvl w:ilvl="8" w:tplc="D8D024F2">
      <w:numFmt w:val="decimal"/>
      <w:lvlText w:val=""/>
      <w:lvlJc w:val="left"/>
    </w:lvl>
  </w:abstractNum>
  <w:abstractNum w:abstractNumId="576" w15:restartNumberingAfterBreak="0">
    <w:nsid w:val="642D3F9D"/>
    <w:multiLevelType w:val="hybridMultilevel"/>
    <w:tmpl w:val="AAC6E996"/>
    <w:lvl w:ilvl="0" w:tplc="CD302486">
      <w:start w:val="6"/>
      <w:numFmt w:val="decimal"/>
      <w:lvlText w:val="%1."/>
      <w:lvlJc w:val="left"/>
    </w:lvl>
    <w:lvl w:ilvl="1" w:tplc="92647CEA">
      <w:start w:val="1"/>
      <w:numFmt w:val="bullet"/>
      <w:lvlText w:val="•"/>
      <w:lvlJc w:val="left"/>
    </w:lvl>
    <w:lvl w:ilvl="2" w:tplc="953E1572">
      <w:start w:val="1"/>
      <w:numFmt w:val="bullet"/>
      <w:lvlText w:val="•"/>
      <w:lvlJc w:val="left"/>
    </w:lvl>
    <w:lvl w:ilvl="3" w:tplc="2C589F2A">
      <w:numFmt w:val="decimal"/>
      <w:lvlText w:val=""/>
      <w:lvlJc w:val="left"/>
    </w:lvl>
    <w:lvl w:ilvl="4" w:tplc="8FAC3380">
      <w:numFmt w:val="decimal"/>
      <w:lvlText w:val=""/>
      <w:lvlJc w:val="left"/>
    </w:lvl>
    <w:lvl w:ilvl="5" w:tplc="079EB3F2">
      <w:numFmt w:val="decimal"/>
      <w:lvlText w:val=""/>
      <w:lvlJc w:val="left"/>
    </w:lvl>
    <w:lvl w:ilvl="6" w:tplc="E1647B3C">
      <w:numFmt w:val="decimal"/>
      <w:lvlText w:val=""/>
      <w:lvlJc w:val="left"/>
    </w:lvl>
    <w:lvl w:ilvl="7" w:tplc="2CE6E420">
      <w:numFmt w:val="decimal"/>
      <w:lvlText w:val=""/>
      <w:lvlJc w:val="left"/>
    </w:lvl>
    <w:lvl w:ilvl="8" w:tplc="55D42962">
      <w:numFmt w:val="decimal"/>
      <w:lvlText w:val=""/>
      <w:lvlJc w:val="left"/>
    </w:lvl>
  </w:abstractNum>
  <w:abstractNum w:abstractNumId="577" w15:restartNumberingAfterBreak="0">
    <w:nsid w:val="643A57E6"/>
    <w:multiLevelType w:val="hybridMultilevel"/>
    <w:tmpl w:val="B70E0BB6"/>
    <w:lvl w:ilvl="0" w:tplc="8F74FD26">
      <w:start w:val="1"/>
      <w:numFmt w:val="bullet"/>
      <w:lvlText w:val="•"/>
      <w:lvlJc w:val="left"/>
    </w:lvl>
    <w:lvl w:ilvl="1" w:tplc="4B7664BA">
      <w:numFmt w:val="decimal"/>
      <w:lvlText w:val=""/>
      <w:lvlJc w:val="left"/>
    </w:lvl>
    <w:lvl w:ilvl="2" w:tplc="BD86631E">
      <w:numFmt w:val="decimal"/>
      <w:lvlText w:val=""/>
      <w:lvlJc w:val="left"/>
    </w:lvl>
    <w:lvl w:ilvl="3" w:tplc="02585A78">
      <w:numFmt w:val="decimal"/>
      <w:lvlText w:val=""/>
      <w:lvlJc w:val="left"/>
    </w:lvl>
    <w:lvl w:ilvl="4" w:tplc="080C35A6">
      <w:numFmt w:val="decimal"/>
      <w:lvlText w:val=""/>
      <w:lvlJc w:val="left"/>
    </w:lvl>
    <w:lvl w:ilvl="5" w:tplc="8076A040">
      <w:numFmt w:val="decimal"/>
      <w:lvlText w:val=""/>
      <w:lvlJc w:val="left"/>
    </w:lvl>
    <w:lvl w:ilvl="6" w:tplc="68F63E9C">
      <w:numFmt w:val="decimal"/>
      <w:lvlText w:val=""/>
      <w:lvlJc w:val="left"/>
    </w:lvl>
    <w:lvl w:ilvl="7" w:tplc="5AE43FCC">
      <w:numFmt w:val="decimal"/>
      <w:lvlText w:val=""/>
      <w:lvlJc w:val="left"/>
    </w:lvl>
    <w:lvl w:ilvl="8" w:tplc="FECEC1D4">
      <w:numFmt w:val="decimal"/>
      <w:lvlText w:val=""/>
      <w:lvlJc w:val="left"/>
    </w:lvl>
  </w:abstractNum>
  <w:abstractNum w:abstractNumId="578" w15:restartNumberingAfterBreak="0">
    <w:nsid w:val="6446E44B"/>
    <w:multiLevelType w:val="hybridMultilevel"/>
    <w:tmpl w:val="BF98AAD8"/>
    <w:lvl w:ilvl="0" w:tplc="B5984130">
      <w:start w:val="1"/>
      <w:numFmt w:val="bullet"/>
      <w:lvlText w:val="-"/>
      <w:lvlJc w:val="left"/>
    </w:lvl>
    <w:lvl w:ilvl="1" w:tplc="2BE2F2E2">
      <w:numFmt w:val="decimal"/>
      <w:lvlText w:val=""/>
      <w:lvlJc w:val="left"/>
    </w:lvl>
    <w:lvl w:ilvl="2" w:tplc="934067EA">
      <w:numFmt w:val="decimal"/>
      <w:lvlText w:val=""/>
      <w:lvlJc w:val="left"/>
    </w:lvl>
    <w:lvl w:ilvl="3" w:tplc="DB8408BE">
      <w:numFmt w:val="decimal"/>
      <w:lvlText w:val=""/>
      <w:lvlJc w:val="left"/>
    </w:lvl>
    <w:lvl w:ilvl="4" w:tplc="A4F28852">
      <w:numFmt w:val="decimal"/>
      <w:lvlText w:val=""/>
      <w:lvlJc w:val="left"/>
    </w:lvl>
    <w:lvl w:ilvl="5" w:tplc="4D9855B2">
      <w:numFmt w:val="decimal"/>
      <w:lvlText w:val=""/>
      <w:lvlJc w:val="left"/>
    </w:lvl>
    <w:lvl w:ilvl="6" w:tplc="0D70C1BC">
      <w:numFmt w:val="decimal"/>
      <w:lvlText w:val=""/>
      <w:lvlJc w:val="left"/>
    </w:lvl>
    <w:lvl w:ilvl="7" w:tplc="F2B6E8C4">
      <w:numFmt w:val="decimal"/>
      <w:lvlText w:val=""/>
      <w:lvlJc w:val="left"/>
    </w:lvl>
    <w:lvl w:ilvl="8" w:tplc="28E2F4EA">
      <w:numFmt w:val="decimal"/>
      <w:lvlText w:val=""/>
      <w:lvlJc w:val="left"/>
    </w:lvl>
  </w:abstractNum>
  <w:abstractNum w:abstractNumId="579" w15:restartNumberingAfterBreak="0">
    <w:nsid w:val="6453CCAE"/>
    <w:multiLevelType w:val="hybridMultilevel"/>
    <w:tmpl w:val="A6741A30"/>
    <w:lvl w:ilvl="0" w:tplc="F38275D0">
      <w:start w:val="1"/>
      <w:numFmt w:val="bullet"/>
      <w:lvlText w:val="•"/>
      <w:lvlJc w:val="left"/>
    </w:lvl>
    <w:lvl w:ilvl="1" w:tplc="2C0C26C8">
      <w:numFmt w:val="decimal"/>
      <w:lvlText w:val=""/>
      <w:lvlJc w:val="left"/>
    </w:lvl>
    <w:lvl w:ilvl="2" w:tplc="1DE2CD98">
      <w:numFmt w:val="decimal"/>
      <w:lvlText w:val=""/>
      <w:lvlJc w:val="left"/>
    </w:lvl>
    <w:lvl w:ilvl="3" w:tplc="C72ECDAA">
      <w:numFmt w:val="decimal"/>
      <w:lvlText w:val=""/>
      <w:lvlJc w:val="left"/>
    </w:lvl>
    <w:lvl w:ilvl="4" w:tplc="AD32E20A">
      <w:numFmt w:val="decimal"/>
      <w:lvlText w:val=""/>
      <w:lvlJc w:val="left"/>
    </w:lvl>
    <w:lvl w:ilvl="5" w:tplc="3516E448">
      <w:numFmt w:val="decimal"/>
      <w:lvlText w:val=""/>
      <w:lvlJc w:val="left"/>
    </w:lvl>
    <w:lvl w:ilvl="6" w:tplc="49940B0C">
      <w:numFmt w:val="decimal"/>
      <w:lvlText w:val=""/>
      <w:lvlJc w:val="left"/>
    </w:lvl>
    <w:lvl w:ilvl="7" w:tplc="36FE3ED4">
      <w:numFmt w:val="decimal"/>
      <w:lvlText w:val=""/>
      <w:lvlJc w:val="left"/>
    </w:lvl>
    <w:lvl w:ilvl="8" w:tplc="B5843A96">
      <w:numFmt w:val="decimal"/>
      <w:lvlText w:val=""/>
      <w:lvlJc w:val="left"/>
    </w:lvl>
  </w:abstractNum>
  <w:abstractNum w:abstractNumId="580" w15:restartNumberingAfterBreak="0">
    <w:nsid w:val="6486395B"/>
    <w:multiLevelType w:val="hybridMultilevel"/>
    <w:tmpl w:val="2A28A092"/>
    <w:lvl w:ilvl="0" w:tplc="863ADD58">
      <w:start w:val="1"/>
      <w:numFmt w:val="bullet"/>
      <w:lvlText w:val="●"/>
      <w:lvlJc w:val="left"/>
    </w:lvl>
    <w:lvl w:ilvl="1" w:tplc="2ADCC322">
      <w:numFmt w:val="decimal"/>
      <w:lvlText w:val=""/>
      <w:lvlJc w:val="left"/>
    </w:lvl>
    <w:lvl w:ilvl="2" w:tplc="7018E234">
      <w:numFmt w:val="decimal"/>
      <w:lvlText w:val=""/>
      <w:lvlJc w:val="left"/>
    </w:lvl>
    <w:lvl w:ilvl="3" w:tplc="820215BE">
      <w:numFmt w:val="decimal"/>
      <w:lvlText w:val=""/>
      <w:lvlJc w:val="left"/>
    </w:lvl>
    <w:lvl w:ilvl="4" w:tplc="77824668">
      <w:numFmt w:val="decimal"/>
      <w:lvlText w:val=""/>
      <w:lvlJc w:val="left"/>
    </w:lvl>
    <w:lvl w:ilvl="5" w:tplc="5DDE8338">
      <w:numFmt w:val="decimal"/>
      <w:lvlText w:val=""/>
      <w:lvlJc w:val="left"/>
    </w:lvl>
    <w:lvl w:ilvl="6" w:tplc="61708C20">
      <w:numFmt w:val="decimal"/>
      <w:lvlText w:val=""/>
      <w:lvlJc w:val="left"/>
    </w:lvl>
    <w:lvl w:ilvl="7" w:tplc="354AB30C">
      <w:numFmt w:val="decimal"/>
      <w:lvlText w:val=""/>
      <w:lvlJc w:val="left"/>
    </w:lvl>
    <w:lvl w:ilvl="8" w:tplc="8BC43F40">
      <w:numFmt w:val="decimal"/>
      <w:lvlText w:val=""/>
      <w:lvlJc w:val="left"/>
    </w:lvl>
  </w:abstractNum>
  <w:abstractNum w:abstractNumId="581" w15:restartNumberingAfterBreak="0">
    <w:nsid w:val="64C2DDD5"/>
    <w:multiLevelType w:val="hybridMultilevel"/>
    <w:tmpl w:val="58308D8C"/>
    <w:lvl w:ilvl="0" w:tplc="9816F884">
      <w:start w:val="1"/>
      <w:numFmt w:val="lowerLetter"/>
      <w:lvlText w:val="%1)"/>
      <w:lvlJc w:val="left"/>
    </w:lvl>
    <w:lvl w:ilvl="1" w:tplc="971A6096">
      <w:numFmt w:val="decimal"/>
      <w:lvlText w:val=""/>
      <w:lvlJc w:val="left"/>
    </w:lvl>
    <w:lvl w:ilvl="2" w:tplc="C922BF5A">
      <w:numFmt w:val="decimal"/>
      <w:lvlText w:val=""/>
      <w:lvlJc w:val="left"/>
    </w:lvl>
    <w:lvl w:ilvl="3" w:tplc="51D27E72">
      <w:numFmt w:val="decimal"/>
      <w:lvlText w:val=""/>
      <w:lvlJc w:val="left"/>
    </w:lvl>
    <w:lvl w:ilvl="4" w:tplc="597081D6">
      <w:numFmt w:val="decimal"/>
      <w:lvlText w:val=""/>
      <w:lvlJc w:val="left"/>
    </w:lvl>
    <w:lvl w:ilvl="5" w:tplc="801058DC">
      <w:numFmt w:val="decimal"/>
      <w:lvlText w:val=""/>
      <w:lvlJc w:val="left"/>
    </w:lvl>
    <w:lvl w:ilvl="6" w:tplc="445E2210">
      <w:numFmt w:val="decimal"/>
      <w:lvlText w:val=""/>
      <w:lvlJc w:val="left"/>
    </w:lvl>
    <w:lvl w:ilvl="7" w:tplc="2C7C15FA">
      <w:numFmt w:val="decimal"/>
      <w:lvlText w:val=""/>
      <w:lvlJc w:val="left"/>
    </w:lvl>
    <w:lvl w:ilvl="8" w:tplc="5874BCFA">
      <w:numFmt w:val="decimal"/>
      <w:lvlText w:val=""/>
      <w:lvlJc w:val="left"/>
    </w:lvl>
  </w:abstractNum>
  <w:abstractNum w:abstractNumId="582" w15:restartNumberingAfterBreak="0">
    <w:nsid w:val="64D45037"/>
    <w:multiLevelType w:val="hybridMultilevel"/>
    <w:tmpl w:val="89C0FCBE"/>
    <w:lvl w:ilvl="0" w:tplc="9BA0BF6C">
      <w:start w:val="1"/>
      <w:numFmt w:val="bullet"/>
      <w:lvlText w:val="•"/>
      <w:lvlJc w:val="left"/>
    </w:lvl>
    <w:lvl w:ilvl="1" w:tplc="48D20D8C">
      <w:numFmt w:val="decimal"/>
      <w:lvlText w:val=""/>
      <w:lvlJc w:val="left"/>
    </w:lvl>
    <w:lvl w:ilvl="2" w:tplc="25A6D398">
      <w:numFmt w:val="decimal"/>
      <w:lvlText w:val=""/>
      <w:lvlJc w:val="left"/>
    </w:lvl>
    <w:lvl w:ilvl="3" w:tplc="FE0CC9F4">
      <w:numFmt w:val="decimal"/>
      <w:lvlText w:val=""/>
      <w:lvlJc w:val="left"/>
    </w:lvl>
    <w:lvl w:ilvl="4" w:tplc="2D103266">
      <w:numFmt w:val="decimal"/>
      <w:lvlText w:val=""/>
      <w:lvlJc w:val="left"/>
    </w:lvl>
    <w:lvl w:ilvl="5" w:tplc="E326D9A6">
      <w:numFmt w:val="decimal"/>
      <w:lvlText w:val=""/>
      <w:lvlJc w:val="left"/>
    </w:lvl>
    <w:lvl w:ilvl="6" w:tplc="749ABDCE">
      <w:numFmt w:val="decimal"/>
      <w:lvlText w:val=""/>
      <w:lvlJc w:val="left"/>
    </w:lvl>
    <w:lvl w:ilvl="7" w:tplc="137CFF06">
      <w:numFmt w:val="decimal"/>
      <w:lvlText w:val=""/>
      <w:lvlJc w:val="left"/>
    </w:lvl>
    <w:lvl w:ilvl="8" w:tplc="4DF4DB50">
      <w:numFmt w:val="decimal"/>
      <w:lvlText w:val=""/>
      <w:lvlJc w:val="left"/>
    </w:lvl>
  </w:abstractNum>
  <w:abstractNum w:abstractNumId="583" w15:restartNumberingAfterBreak="0">
    <w:nsid w:val="64E5E036"/>
    <w:multiLevelType w:val="hybridMultilevel"/>
    <w:tmpl w:val="8EE8FE3C"/>
    <w:lvl w:ilvl="0" w:tplc="E3085664">
      <w:start w:val="1"/>
      <w:numFmt w:val="bullet"/>
      <w:lvlText w:val="-"/>
      <w:lvlJc w:val="left"/>
    </w:lvl>
    <w:lvl w:ilvl="1" w:tplc="A882207A">
      <w:numFmt w:val="decimal"/>
      <w:lvlText w:val=""/>
      <w:lvlJc w:val="left"/>
    </w:lvl>
    <w:lvl w:ilvl="2" w:tplc="4C4EA050">
      <w:numFmt w:val="decimal"/>
      <w:lvlText w:val=""/>
      <w:lvlJc w:val="left"/>
    </w:lvl>
    <w:lvl w:ilvl="3" w:tplc="C01EB4BA">
      <w:numFmt w:val="decimal"/>
      <w:lvlText w:val=""/>
      <w:lvlJc w:val="left"/>
    </w:lvl>
    <w:lvl w:ilvl="4" w:tplc="E8CA4D24">
      <w:numFmt w:val="decimal"/>
      <w:lvlText w:val=""/>
      <w:lvlJc w:val="left"/>
    </w:lvl>
    <w:lvl w:ilvl="5" w:tplc="B588B492">
      <w:numFmt w:val="decimal"/>
      <w:lvlText w:val=""/>
      <w:lvlJc w:val="left"/>
    </w:lvl>
    <w:lvl w:ilvl="6" w:tplc="B60A363E">
      <w:numFmt w:val="decimal"/>
      <w:lvlText w:val=""/>
      <w:lvlJc w:val="left"/>
    </w:lvl>
    <w:lvl w:ilvl="7" w:tplc="3ADEC866">
      <w:numFmt w:val="decimal"/>
      <w:lvlText w:val=""/>
      <w:lvlJc w:val="left"/>
    </w:lvl>
    <w:lvl w:ilvl="8" w:tplc="645EE442">
      <w:numFmt w:val="decimal"/>
      <w:lvlText w:val=""/>
      <w:lvlJc w:val="left"/>
    </w:lvl>
  </w:abstractNum>
  <w:abstractNum w:abstractNumId="584" w15:restartNumberingAfterBreak="0">
    <w:nsid w:val="64F087E2"/>
    <w:multiLevelType w:val="hybridMultilevel"/>
    <w:tmpl w:val="619C3C02"/>
    <w:lvl w:ilvl="0" w:tplc="6F8A68E6">
      <w:start w:val="22"/>
      <w:numFmt w:val="upperLetter"/>
      <w:lvlText w:val="%1"/>
      <w:lvlJc w:val="left"/>
    </w:lvl>
    <w:lvl w:ilvl="1" w:tplc="DF60288C">
      <w:start w:val="1"/>
      <w:numFmt w:val="bullet"/>
      <w:lvlText w:val="·"/>
      <w:lvlJc w:val="left"/>
    </w:lvl>
    <w:lvl w:ilvl="2" w:tplc="EB5CB668">
      <w:numFmt w:val="decimal"/>
      <w:lvlText w:val=""/>
      <w:lvlJc w:val="left"/>
    </w:lvl>
    <w:lvl w:ilvl="3" w:tplc="4904717A">
      <w:numFmt w:val="decimal"/>
      <w:lvlText w:val=""/>
      <w:lvlJc w:val="left"/>
    </w:lvl>
    <w:lvl w:ilvl="4" w:tplc="D974D4A2">
      <w:numFmt w:val="decimal"/>
      <w:lvlText w:val=""/>
      <w:lvlJc w:val="left"/>
    </w:lvl>
    <w:lvl w:ilvl="5" w:tplc="E45AF47A">
      <w:numFmt w:val="decimal"/>
      <w:lvlText w:val=""/>
      <w:lvlJc w:val="left"/>
    </w:lvl>
    <w:lvl w:ilvl="6" w:tplc="86B2C91A">
      <w:numFmt w:val="decimal"/>
      <w:lvlText w:val=""/>
      <w:lvlJc w:val="left"/>
    </w:lvl>
    <w:lvl w:ilvl="7" w:tplc="A2A4195E">
      <w:numFmt w:val="decimal"/>
      <w:lvlText w:val=""/>
      <w:lvlJc w:val="left"/>
    </w:lvl>
    <w:lvl w:ilvl="8" w:tplc="79846042">
      <w:numFmt w:val="decimal"/>
      <w:lvlText w:val=""/>
      <w:lvlJc w:val="left"/>
    </w:lvl>
  </w:abstractNum>
  <w:abstractNum w:abstractNumId="585" w15:restartNumberingAfterBreak="0">
    <w:nsid w:val="653CDC22"/>
    <w:multiLevelType w:val="hybridMultilevel"/>
    <w:tmpl w:val="620AA6D0"/>
    <w:lvl w:ilvl="0" w:tplc="EDE2B4F0">
      <w:start w:val="1"/>
      <w:numFmt w:val="bullet"/>
      <w:lvlText w:val="•"/>
      <w:lvlJc w:val="left"/>
    </w:lvl>
    <w:lvl w:ilvl="1" w:tplc="D316713A">
      <w:numFmt w:val="decimal"/>
      <w:lvlText w:val=""/>
      <w:lvlJc w:val="left"/>
    </w:lvl>
    <w:lvl w:ilvl="2" w:tplc="602836B0">
      <w:numFmt w:val="decimal"/>
      <w:lvlText w:val=""/>
      <w:lvlJc w:val="left"/>
    </w:lvl>
    <w:lvl w:ilvl="3" w:tplc="6518CE1E">
      <w:numFmt w:val="decimal"/>
      <w:lvlText w:val=""/>
      <w:lvlJc w:val="left"/>
    </w:lvl>
    <w:lvl w:ilvl="4" w:tplc="03F8B7C0">
      <w:numFmt w:val="decimal"/>
      <w:lvlText w:val=""/>
      <w:lvlJc w:val="left"/>
    </w:lvl>
    <w:lvl w:ilvl="5" w:tplc="B7FE045C">
      <w:numFmt w:val="decimal"/>
      <w:lvlText w:val=""/>
      <w:lvlJc w:val="left"/>
    </w:lvl>
    <w:lvl w:ilvl="6" w:tplc="A150F51E">
      <w:numFmt w:val="decimal"/>
      <w:lvlText w:val=""/>
      <w:lvlJc w:val="left"/>
    </w:lvl>
    <w:lvl w:ilvl="7" w:tplc="32E62504">
      <w:numFmt w:val="decimal"/>
      <w:lvlText w:val=""/>
      <w:lvlJc w:val="left"/>
    </w:lvl>
    <w:lvl w:ilvl="8" w:tplc="5E263F1E">
      <w:numFmt w:val="decimal"/>
      <w:lvlText w:val=""/>
      <w:lvlJc w:val="left"/>
    </w:lvl>
  </w:abstractNum>
  <w:abstractNum w:abstractNumId="586" w15:restartNumberingAfterBreak="0">
    <w:nsid w:val="656A762B"/>
    <w:multiLevelType w:val="hybridMultilevel"/>
    <w:tmpl w:val="47ACE288"/>
    <w:lvl w:ilvl="0" w:tplc="2C9230CE">
      <w:start w:val="1"/>
      <w:numFmt w:val="lowerLetter"/>
      <w:lvlText w:val="%1)"/>
      <w:lvlJc w:val="left"/>
    </w:lvl>
    <w:lvl w:ilvl="1" w:tplc="93BCFD3C">
      <w:numFmt w:val="decimal"/>
      <w:lvlText w:val=""/>
      <w:lvlJc w:val="left"/>
    </w:lvl>
    <w:lvl w:ilvl="2" w:tplc="6C6CCEFA">
      <w:numFmt w:val="decimal"/>
      <w:lvlText w:val=""/>
      <w:lvlJc w:val="left"/>
    </w:lvl>
    <w:lvl w:ilvl="3" w:tplc="D3D63DB4">
      <w:numFmt w:val="decimal"/>
      <w:lvlText w:val=""/>
      <w:lvlJc w:val="left"/>
    </w:lvl>
    <w:lvl w:ilvl="4" w:tplc="9830FE24">
      <w:numFmt w:val="decimal"/>
      <w:lvlText w:val=""/>
      <w:lvlJc w:val="left"/>
    </w:lvl>
    <w:lvl w:ilvl="5" w:tplc="466E808E">
      <w:numFmt w:val="decimal"/>
      <w:lvlText w:val=""/>
      <w:lvlJc w:val="left"/>
    </w:lvl>
    <w:lvl w:ilvl="6" w:tplc="575280CA">
      <w:numFmt w:val="decimal"/>
      <w:lvlText w:val=""/>
      <w:lvlJc w:val="left"/>
    </w:lvl>
    <w:lvl w:ilvl="7" w:tplc="4FF850FA">
      <w:numFmt w:val="decimal"/>
      <w:lvlText w:val=""/>
      <w:lvlJc w:val="left"/>
    </w:lvl>
    <w:lvl w:ilvl="8" w:tplc="17CE8E6C">
      <w:numFmt w:val="decimal"/>
      <w:lvlText w:val=""/>
      <w:lvlJc w:val="left"/>
    </w:lvl>
  </w:abstractNum>
  <w:abstractNum w:abstractNumId="587" w15:restartNumberingAfterBreak="0">
    <w:nsid w:val="6599B689"/>
    <w:multiLevelType w:val="hybridMultilevel"/>
    <w:tmpl w:val="3A90F072"/>
    <w:lvl w:ilvl="0" w:tplc="EE5018AA">
      <w:start w:val="1"/>
      <w:numFmt w:val="bullet"/>
      <w:lvlText w:val="−"/>
      <w:lvlJc w:val="left"/>
    </w:lvl>
    <w:lvl w:ilvl="1" w:tplc="81261C4A">
      <w:numFmt w:val="decimal"/>
      <w:lvlText w:val=""/>
      <w:lvlJc w:val="left"/>
    </w:lvl>
    <w:lvl w:ilvl="2" w:tplc="A7085C74">
      <w:numFmt w:val="decimal"/>
      <w:lvlText w:val=""/>
      <w:lvlJc w:val="left"/>
    </w:lvl>
    <w:lvl w:ilvl="3" w:tplc="3B3A83EC">
      <w:numFmt w:val="decimal"/>
      <w:lvlText w:val=""/>
      <w:lvlJc w:val="left"/>
    </w:lvl>
    <w:lvl w:ilvl="4" w:tplc="536477E2">
      <w:numFmt w:val="decimal"/>
      <w:lvlText w:val=""/>
      <w:lvlJc w:val="left"/>
    </w:lvl>
    <w:lvl w:ilvl="5" w:tplc="7854952C">
      <w:numFmt w:val="decimal"/>
      <w:lvlText w:val=""/>
      <w:lvlJc w:val="left"/>
    </w:lvl>
    <w:lvl w:ilvl="6" w:tplc="32B0F260">
      <w:numFmt w:val="decimal"/>
      <w:lvlText w:val=""/>
      <w:lvlJc w:val="left"/>
    </w:lvl>
    <w:lvl w:ilvl="7" w:tplc="DE7E24C6">
      <w:numFmt w:val="decimal"/>
      <w:lvlText w:val=""/>
      <w:lvlJc w:val="left"/>
    </w:lvl>
    <w:lvl w:ilvl="8" w:tplc="1B90CDEC">
      <w:numFmt w:val="decimal"/>
      <w:lvlText w:val=""/>
      <w:lvlJc w:val="left"/>
    </w:lvl>
  </w:abstractNum>
  <w:abstractNum w:abstractNumId="588" w15:restartNumberingAfterBreak="0">
    <w:nsid w:val="65A9E333"/>
    <w:multiLevelType w:val="hybridMultilevel"/>
    <w:tmpl w:val="33D0090A"/>
    <w:lvl w:ilvl="0" w:tplc="20EC7EF4">
      <w:start w:val="1"/>
      <w:numFmt w:val="bullet"/>
      <w:lvlText w:val="•"/>
      <w:lvlJc w:val="left"/>
    </w:lvl>
    <w:lvl w:ilvl="1" w:tplc="BD4A6EDE">
      <w:start w:val="1"/>
      <w:numFmt w:val="bullet"/>
      <w:lvlText w:val="•"/>
      <w:lvlJc w:val="left"/>
    </w:lvl>
    <w:lvl w:ilvl="2" w:tplc="A530C0B0">
      <w:start w:val="1"/>
      <w:numFmt w:val="bullet"/>
      <w:lvlText w:val="\endash "/>
      <w:lvlJc w:val="left"/>
    </w:lvl>
    <w:lvl w:ilvl="3" w:tplc="B7083F18">
      <w:numFmt w:val="decimal"/>
      <w:lvlText w:val=""/>
      <w:lvlJc w:val="left"/>
    </w:lvl>
    <w:lvl w:ilvl="4" w:tplc="FB3A7C5C">
      <w:numFmt w:val="decimal"/>
      <w:lvlText w:val=""/>
      <w:lvlJc w:val="left"/>
    </w:lvl>
    <w:lvl w:ilvl="5" w:tplc="6A6C30F4">
      <w:numFmt w:val="decimal"/>
      <w:lvlText w:val=""/>
      <w:lvlJc w:val="left"/>
    </w:lvl>
    <w:lvl w:ilvl="6" w:tplc="4D1EE236">
      <w:numFmt w:val="decimal"/>
      <w:lvlText w:val=""/>
      <w:lvlJc w:val="left"/>
    </w:lvl>
    <w:lvl w:ilvl="7" w:tplc="AFA61FC8">
      <w:numFmt w:val="decimal"/>
      <w:lvlText w:val=""/>
      <w:lvlJc w:val="left"/>
    </w:lvl>
    <w:lvl w:ilvl="8" w:tplc="81F88762">
      <w:numFmt w:val="decimal"/>
      <w:lvlText w:val=""/>
      <w:lvlJc w:val="left"/>
    </w:lvl>
  </w:abstractNum>
  <w:abstractNum w:abstractNumId="589" w15:restartNumberingAfterBreak="0">
    <w:nsid w:val="65C86CEC"/>
    <w:multiLevelType w:val="hybridMultilevel"/>
    <w:tmpl w:val="BD26E620"/>
    <w:lvl w:ilvl="0" w:tplc="53CABD30">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0" w15:restartNumberingAfterBreak="0">
    <w:nsid w:val="65FD275F"/>
    <w:multiLevelType w:val="hybridMultilevel"/>
    <w:tmpl w:val="36C6BA78"/>
    <w:lvl w:ilvl="0" w:tplc="3F40E152">
      <w:start w:val="1"/>
      <w:numFmt w:val="bullet"/>
      <w:lvlText w:val="•"/>
      <w:lvlJc w:val="left"/>
    </w:lvl>
    <w:lvl w:ilvl="1" w:tplc="C4B264F4">
      <w:numFmt w:val="decimal"/>
      <w:lvlText w:val=""/>
      <w:lvlJc w:val="left"/>
    </w:lvl>
    <w:lvl w:ilvl="2" w:tplc="41548EB8">
      <w:numFmt w:val="decimal"/>
      <w:lvlText w:val=""/>
      <w:lvlJc w:val="left"/>
    </w:lvl>
    <w:lvl w:ilvl="3" w:tplc="BBF2B72E">
      <w:numFmt w:val="decimal"/>
      <w:lvlText w:val=""/>
      <w:lvlJc w:val="left"/>
    </w:lvl>
    <w:lvl w:ilvl="4" w:tplc="0772FAD4">
      <w:numFmt w:val="decimal"/>
      <w:lvlText w:val=""/>
      <w:lvlJc w:val="left"/>
    </w:lvl>
    <w:lvl w:ilvl="5" w:tplc="58AAE506">
      <w:numFmt w:val="decimal"/>
      <w:lvlText w:val=""/>
      <w:lvlJc w:val="left"/>
    </w:lvl>
    <w:lvl w:ilvl="6" w:tplc="DDC67B34">
      <w:numFmt w:val="decimal"/>
      <w:lvlText w:val=""/>
      <w:lvlJc w:val="left"/>
    </w:lvl>
    <w:lvl w:ilvl="7" w:tplc="E1F882D6">
      <w:numFmt w:val="decimal"/>
      <w:lvlText w:val=""/>
      <w:lvlJc w:val="left"/>
    </w:lvl>
    <w:lvl w:ilvl="8" w:tplc="B2807D70">
      <w:numFmt w:val="decimal"/>
      <w:lvlText w:val=""/>
      <w:lvlJc w:val="left"/>
    </w:lvl>
  </w:abstractNum>
  <w:abstractNum w:abstractNumId="591" w15:restartNumberingAfterBreak="0">
    <w:nsid w:val="6609400E"/>
    <w:multiLevelType w:val="hybridMultilevel"/>
    <w:tmpl w:val="4B36AA0A"/>
    <w:lvl w:ilvl="0" w:tplc="04050011">
      <w:start w:val="1"/>
      <w:numFmt w:val="decimal"/>
      <w:lvlText w:val="%1)"/>
      <w:lvlJc w:val="left"/>
    </w:lvl>
    <w:lvl w:ilvl="1" w:tplc="D952D360">
      <w:numFmt w:val="decimal"/>
      <w:lvlText w:val=""/>
      <w:lvlJc w:val="left"/>
    </w:lvl>
    <w:lvl w:ilvl="2" w:tplc="B1662804">
      <w:numFmt w:val="decimal"/>
      <w:lvlText w:val=""/>
      <w:lvlJc w:val="left"/>
    </w:lvl>
    <w:lvl w:ilvl="3" w:tplc="A7D4DA36">
      <w:numFmt w:val="decimal"/>
      <w:lvlText w:val=""/>
      <w:lvlJc w:val="left"/>
    </w:lvl>
    <w:lvl w:ilvl="4" w:tplc="D3424154">
      <w:numFmt w:val="decimal"/>
      <w:lvlText w:val=""/>
      <w:lvlJc w:val="left"/>
    </w:lvl>
    <w:lvl w:ilvl="5" w:tplc="9C421570">
      <w:numFmt w:val="decimal"/>
      <w:lvlText w:val=""/>
      <w:lvlJc w:val="left"/>
    </w:lvl>
    <w:lvl w:ilvl="6" w:tplc="F068666E">
      <w:numFmt w:val="decimal"/>
      <w:lvlText w:val=""/>
      <w:lvlJc w:val="left"/>
    </w:lvl>
    <w:lvl w:ilvl="7" w:tplc="E9E47CAE">
      <w:numFmt w:val="decimal"/>
      <w:lvlText w:val=""/>
      <w:lvlJc w:val="left"/>
    </w:lvl>
    <w:lvl w:ilvl="8" w:tplc="C582959E">
      <w:numFmt w:val="decimal"/>
      <w:lvlText w:val=""/>
      <w:lvlJc w:val="left"/>
    </w:lvl>
  </w:abstractNum>
  <w:abstractNum w:abstractNumId="592" w15:restartNumberingAfterBreak="0">
    <w:nsid w:val="66346877"/>
    <w:multiLevelType w:val="hybridMultilevel"/>
    <w:tmpl w:val="B4F46BC0"/>
    <w:lvl w:ilvl="0" w:tplc="3954A67A">
      <w:start w:val="1"/>
      <w:numFmt w:val="decimal"/>
      <w:lvlText w:val="%1."/>
      <w:lvlJc w:val="left"/>
    </w:lvl>
    <w:lvl w:ilvl="1" w:tplc="151894CE">
      <w:numFmt w:val="decimal"/>
      <w:lvlText w:val=""/>
      <w:lvlJc w:val="left"/>
    </w:lvl>
    <w:lvl w:ilvl="2" w:tplc="219E0FC2">
      <w:numFmt w:val="decimal"/>
      <w:lvlText w:val=""/>
      <w:lvlJc w:val="left"/>
    </w:lvl>
    <w:lvl w:ilvl="3" w:tplc="F45E4002">
      <w:numFmt w:val="decimal"/>
      <w:lvlText w:val=""/>
      <w:lvlJc w:val="left"/>
    </w:lvl>
    <w:lvl w:ilvl="4" w:tplc="E418FD3A">
      <w:numFmt w:val="decimal"/>
      <w:lvlText w:val=""/>
      <w:lvlJc w:val="left"/>
    </w:lvl>
    <w:lvl w:ilvl="5" w:tplc="59928D1C">
      <w:numFmt w:val="decimal"/>
      <w:lvlText w:val=""/>
      <w:lvlJc w:val="left"/>
    </w:lvl>
    <w:lvl w:ilvl="6" w:tplc="DE04C5CE">
      <w:numFmt w:val="decimal"/>
      <w:lvlText w:val=""/>
      <w:lvlJc w:val="left"/>
    </w:lvl>
    <w:lvl w:ilvl="7" w:tplc="0B200D3A">
      <w:numFmt w:val="decimal"/>
      <w:lvlText w:val=""/>
      <w:lvlJc w:val="left"/>
    </w:lvl>
    <w:lvl w:ilvl="8" w:tplc="EC228BD4">
      <w:numFmt w:val="decimal"/>
      <w:lvlText w:val=""/>
      <w:lvlJc w:val="left"/>
    </w:lvl>
  </w:abstractNum>
  <w:abstractNum w:abstractNumId="593" w15:restartNumberingAfterBreak="0">
    <w:nsid w:val="663BFE95"/>
    <w:multiLevelType w:val="hybridMultilevel"/>
    <w:tmpl w:val="4ABC7D88"/>
    <w:lvl w:ilvl="0" w:tplc="647C7824">
      <w:start w:val="1"/>
      <w:numFmt w:val="lowerLetter"/>
      <w:lvlText w:val="%1."/>
      <w:lvlJc w:val="left"/>
    </w:lvl>
    <w:lvl w:ilvl="1" w:tplc="66DEF32E">
      <w:numFmt w:val="decimal"/>
      <w:lvlText w:val=""/>
      <w:lvlJc w:val="left"/>
    </w:lvl>
    <w:lvl w:ilvl="2" w:tplc="CDDE62D2">
      <w:numFmt w:val="decimal"/>
      <w:lvlText w:val=""/>
      <w:lvlJc w:val="left"/>
    </w:lvl>
    <w:lvl w:ilvl="3" w:tplc="94FE76DC">
      <w:numFmt w:val="decimal"/>
      <w:lvlText w:val=""/>
      <w:lvlJc w:val="left"/>
    </w:lvl>
    <w:lvl w:ilvl="4" w:tplc="78721D46">
      <w:numFmt w:val="decimal"/>
      <w:lvlText w:val=""/>
      <w:lvlJc w:val="left"/>
    </w:lvl>
    <w:lvl w:ilvl="5" w:tplc="5580A6DA">
      <w:numFmt w:val="decimal"/>
      <w:lvlText w:val=""/>
      <w:lvlJc w:val="left"/>
    </w:lvl>
    <w:lvl w:ilvl="6" w:tplc="90A6D82E">
      <w:numFmt w:val="decimal"/>
      <w:lvlText w:val=""/>
      <w:lvlJc w:val="left"/>
    </w:lvl>
    <w:lvl w:ilvl="7" w:tplc="F698DD9C">
      <w:numFmt w:val="decimal"/>
      <w:lvlText w:val=""/>
      <w:lvlJc w:val="left"/>
    </w:lvl>
    <w:lvl w:ilvl="8" w:tplc="24760406">
      <w:numFmt w:val="decimal"/>
      <w:lvlText w:val=""/>
      <w:lvlJc w:val="left"/>
    </w:lvl>
  </w:abstractNum>
  <w:abstractNum w:abstractNumId="594" w15:restartNumberingAfterBreak="0">
    <w:nsid w:val="665BD92F"/>
    <w:multiLevelType w:val="hybridMultilevel"/>
    <w:tmpl w:val="8C82C258"/>
    <w:lvl w:ilvl="0" w:tplc="1D080FB8">
      <w:start w:val="1"/>
      <w:numFmt w:val="bullet"/>
      <w:lvlText w:val="Ř"/>
      <w:lvlJc w:val="left"/>
    </w:lvl>
    <w:lvl w:ilvl="1" w:tplc="58F29864">
      <w:start w:val="1"/>
      <w:numFmt w:val="bullet"/>
      <w:lvlText w:val="•"/>
      <w:lvlJc w:val="left"/>
    </w:lvl>
    <w:lvl w:ilvl="2" w:tplc="B59A5E1C">
      <w:numFmt w:val="decimal"/>
      <w:lvlText w:val=""/>
      <w:lvlJc w:val="left"/>
    </w:lvl>
    <w:lvl w:ilvl="3" w:tplc="E2124B2E">
      <w:numFmt w:val="decimal"/>
      <w:lvlText w:val=""/>
      <w:lvlJc w:val="left"/>
    </w:lvl>
    <w:lvl w:ilvl="4" w:tplc="8652A09A">
      <w:numFmt w:val="decimal"/>
      <w:lvlText w:val=""/>
      <w:lvlJc w:val="left"/>
    </w:lvl>
    <w:lvl w:ilvl="5" w:tplc="CCC66F64">
      <w:numFmt w:val="decimal"/>
      <w:lvlText w:val=""/>
      <w:lvlJc w:val="left"/>
    </w:lvl>
    <w:lvl w:ilvl="6" w:tplc="B80E6CC2">
      <w:numFmt w:val="decimal"/>
      <w:lvlText w:val=""/>
      <w:lvlJc w:val="left"/>
    </w:lvl>
    <w:lvl w:ilvl="7" w:tplc="EBFE25BC">
      <w:numFmt w:val="decimal"/>
      <w:lvlText w:val=""/>
      <w:lvlJc w:val="left"/>
    </w:lvl>
    <w:lvl w:ilvl="8" w:tplc="E4AE7CF2">
      <w:numFmt w:val="decimal"/>
      <w:lvlText w:val=""/>
      <w:lvlJc w:val="left"/>
    </w:lvl>
  </w:abstractNum>
  <w:abstractNum w:abstractNumId="595" w15:restartNumberingAfterBreak="0">
    <w:nsid w:val="667D97A5"/>
    <w:multiLevelType w:val="hybridMultilevel"/>
    <w:tmpl w:val="8638A4F0"/>
    <w:lvl w:ilvl="0" w:tplc="2F7C0A4A">
      <w:start w:val="1"/>
      <w:numFmt w:val="lowerLetter"/>
      <w:lvlText w:val="%1)"/>
      <w:lvlJc w:val="left"/>
    </w:lvl>
    <w:lvl w:ilvl="1" w:tplc="1B8C4BAA">
      <w:numFmt w:val="decimal"/>
      <w:lvlText w:val=""/>
      <w:lvlJc w:val="left"/>
    </w:lvl>
    <w:lvl w:ilvl="2" w:tplc="25243250">
      <w:numFmt w:val="decimal"/>
      <w:lvlText w:val=""/>
      <w:lvlJc w:val="left"/>
    </w:lvl>
    <w:lvl w:ilvl="3" w:tplc="B680BDAC">
      <w:numFmt w:val="decimal"/>
      <w:lvlText w:val=""/>
      <w:lvlJc w:val="left"/>
    </w:lvl>
    <w:lvl w:ilvl="4" w:tplc="EAD2147C">
      <w:numFmt w:val="decimal"/>
      <w:lvlText w:val=""/>
      <w:lvlJc w:val="left"/>
    </w:lvl>
    <w:lvl w:ilvl="5" w:tplc="460CCAAE">
      <w:numFmt w:val="decimal"/>
      <w:lvlText w:val=""/>
      <w:lvlJc w:val="left"/>
    </w:lvl>
    <w:lvl w:ilvl="6" w:tplc="32A69896">
      <w:numFmt w:val="decimal"/>
      <w:lvlText w:val=""/>
      <w:lvlJc w:val="left"/>
    </w:lvl>
    <w:lvl w:ilvl="7" w:tplc="1F3ED2EA">
      <w:numFmt w:val="decimal"/>
      <w:lvlText w:val=""/>
      <w:lvlJc w:val="left"/>
    </w:lvl>
    <w:lvl w:ilvl="8" w:tplc="EBC0DB6A">
      <w:numFmt w:val="decimal"/>
      <w:lvlText w:val=""/>
      <w:lvlJc w:val="left"/>
    </w:lvl>
  </w:abstractNum>
  <w:abstractNum w:abstractNumId="596" w15:restartNumberingAfterBreak="0">
    <w:nsid w:val="66D6F079"/>
    <w:multiLevelType w:val="hybridMultilevel"/>
    <w:tmpl w:val="1B423832"/>
    <w:lvl w:ilvl="0" w:tplc="31C474B0">
      <w:start w:val="15"/>
      <w:numFmt w:val="lowerLetter"/>
      <w:lvlText w:val="%1"/>
      <w:lvlJc w:val="left"/>
    </w:lvl>
    <w:lvl w:ilvl="1" w:tplc="13EEFD28">
      <w:start w:val="1"/>
      <w:numFmt w:val="bullet"/>
      <w:lvlText w:val="§"/>
      <w:lvlJc w:val="left"/>
    </w:lvl>
    <w:lvl w:ilvl="2" w:tplc="98C4FE66">
      <w:numFmt w:val="decimal"/>
      <w:lvlText w:val=""/>
      <w:lvlJc w:val="left"/>
    </w:lvl>
    <w:lvl w:ilvl="3" w:tplc="2C74D818">
      <w:numFmt w:val="decimal"/>
      <w:lvlText w:val=""/>
      <w:lvlJc w:val="left"/>
    </w:lvl>
    <w:lvl w:ilvl="4" w:tplc="AE7C751A">
      <w:numFmt w:val="decimal"/>
      <w:lvlText w:val=""/>
      <w:lvlJc w:val="left"/>
    </w:lvl>
    <w:lvl w:ilvl="5" w:tplc="E17048FC">
      <w:numFmt w:val="decimal"/>
      <w:lvlText w:val=""/>
      <w:lvlJc w:val="left"/>
    </w:lvl>
    <w:lvl w:ilvl="6" w:tplc="80607E26">
      <w:numFmt w:val="decimal"/>
      <w:lvlText w:val=""/>
      <w:lvlJc w:val="left"/>
    </w:lvl>
    <w:lvl w:ilvl="7" w:tplc="F276332E">
      <w:numFmt w:val="decimal"/>
      <w:lvlText w:val=""/>
      <w:lvlJc w:val="left"/>
    </w:lvl>
    <w:lvl w:ilvl="8" w:tplc="DB503D22">
      <w:numFmt w:val="decimal"/>
      <w:lvlText w:val=""/>
      <w:lvlJc w:val="left"/>
    </w:lvl>
  </w:abstractNum>
  <w:abstractNum w:abstractNumId="597" w15:restartNumberingAfterBreak="0">
    <w:nsid w:val="66FE7765"/>
    <w:multiLevelType w:val="hybridMultilevel"/>
    <w:tmpl w:val="AD02C3A0"/>
    <w:lvl w:ilvl="0" w:tplc="60D0736E">
      <w:start w:val="1"/>
      <w:numFmt w:val="bullet"/>
      <w:lvlText w:val="•"/>
      <w:lvlJc w:val="left"/>
    </w:lvl>
    <w:lvl w:ilvl="1" w:tplc="D9564CDA">
      <w:numFmt w:val="decimal"/>
      <w:lvlText w:val=""/>
      <w:lvlJc w:val="left"/>
    </w:lvl>
    <w:lvl w:ilvl="2" w:tplc="A738B324">
      <w:numFmt w:val="decimal"/>
      <w:lvlText w:val=""/>
      <w:lvlJc w:val="left"/>
    </w:lvl>
    <w:lvl w:ilvl="3" w:tplc="11BE2AFC">
      <w:numFmt w:val="decimal"/>
      <w:lvlText w:val=""/>
      <w:lvlJc w:val="left"/>
    </w:lvl>
    <w:lvl w:ilvl="4" w:tplc="5878815C">
      <w:numFmt w:val="decimal"/>
      <w:lvlText w:val=""/>
      <w:lvlJc w:val="left"/>
    </w:lvl>
    <w:lvl w:ilvl="5" w:tplc="24F2C4E0">
      <w:numFmt w:val="decimal"/>
      <w:lvlText w:val=""/>
      <w:lvlJc w:val="left"/>
    </w:lvl>
    <w:lvl w:ilvl="6" w:tplc="7A3821F6">
      <w:numFmt w:val="decimal"/>
      <w:lvlText w:val=""/>
      <w:lvlJc w:val="left"/>
    </w:lvl>
    <w:lvl w:ilvl="7" w:tplc="3D7E99A2">
      <w:numFmt w:val="decimal"/>
      <w:lvlText w:val=""/>
      <w:lvlJc w:val="left"/>
    </w:lvl>
    <w:lvl w:ilvl="8" w:tplc="8194AFA2">
      <w:numFmt w:val="decimal"/>
      <w:lvlText w:val=""/>
      <w:lvlJc w:val="left"/>
    </w:lvl>
  </w:abstractNum>
  <w:abstractNum w:abstractNumId="598" w15:restartNumberingAfterBreak="0">
    <w:nsid w:val="672FE0A8"/>
    <w:multiLevelType w:val="hybridMultilevel"/>
    <w:tmpl w:val="6DF4A83C"/>
    <w:lvl w:ilvl="0" w:tplc="954601EE">
      <w:start w:val="5"/>
      <w:numFmt w:val="decimal"/>
      <w:lvlText w:val="%1."/>
      <w:lvlJc w:val="left"/>
    </w:lvl>
    <w:lvl w:ilvl="1" w:tplc="56E4C7EA">
      <w:start w:val="1"/>
      <w:numFmt w:val="bullet"/>
      <w:lvlText w:val="•"/>
      <w:lvlJc w:val="left"/>
    </w:lvl>
    <w:lvl w:ilvl="2" w:tplc="D64E1B84">
      <w:numFmt w:val="decimal"/>
      <w:lvlText w:val=""/>
      <w:lvlJc w:val="left"/>
    </w:lvl>
    <w:lvl w:ilvl="3" w:tplc="FF8E7F22">
      <w:numFmt w:val="decimal"/>
      <w:lvlText w:val=""/>
      <w:lvlJc w:val="left"/>
    </w:lvl>
    <w:lvl w:ilvl="4" w:tplc="CA048CC0">
      <w:numFmt w:val="decimal"/>
      <w:lvlText w:val=""/>
      <w:lvlJc w:val="left"/>
    </w:lvl>
    <w:lvl w:ilvl="5" w:tplc="0BE6D4D4">
      <w:numFmt w:val="decimal"/>
      <w:lvlText w:val=""/>
      <w:lvlJc w:val="left"/>
    </w:lvl>
    <w:lvl w:ilvl="6" w:tplc="42807D9A">
      <w:numFmt w:val="decimal"/>
      <w:lvlText w:val=""/>
      <w:lvlJc w:val="left"/>
    </w:lvl>
    <w:lvl w:ilvl="7" w:tplc="E930945C">
      <w:numFmt w:val="decimal"/>
      <w:lvlText w:val=""/>
      <w:lvlJc w:val="left"/>
    </w:lvl>
    <w:lvl w:ilvl="8" w:tplc="F6248C84">
      <w:numFmt w:val="decimal"/>
      <w:lvlText w:val=""/>
      <w:lvlJc w:val="left"/>
    </w:lvl>
  </w:abstractNum>
  <w:abstractNum w:abstractNumId="599" w15:restartNumberingAfterBreak="0">
    <w:nsid w:val="679936D8"/>
    <w:multiLevelType w:val="hybridMultilevel"/>
    <w:tmpl w:val="5F1892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0" w15:restartNumberingAfterBreak="0">
    <w:nsid w:val="67F5CBAC"/>
    <w:multiLevelType w:val="hybridMultilevel"/>
    <w:tmpl w:val="D38C437E"/>
    <w:lvl w:ilvl="0" w:tplc="A5006DBC">
      <w:start w:val="2"/>
      <w:numFmt w:val="decimal"/>
      <w:lvlText w:val="%1."/>
      <w:lvlJc w:val="left"/>
    </w:lvl>
    <w:lvl w:ilvl="1" w:tplc="27C4FB12">
      <w:start w:val="1"/>
      <w:numFmt w:val="bullet"/>
      <w:lvlText w:val="-"/>
      <w:lvlJc w:val="left"/>
    </w:lvl>
    <w:lvl w:ilvl="2" w:tplc="803CFCA2">
      <w:numFmt w:val="decimal"/>
      <w:lvlText w:val=""/>
      <w:lvlJc w:val="left"/>
    </w:lvl>
    <w:lvl w:ilvl="3" w:tplc="5D76F67C">
      <w:numFmt w:val="decimal"/>
      <w:lvlText w:val=""/>
      <w:lvlJc w:val="left"/>
    </w:lvl>
    <w:lvl w:ilvl="4" w:tplc="B090FDC6">
      <w:numFmt w:val="decimal"/>
      <w:lvlText w:val=""/>
      <w:lvlJc w:val="left"/>
    </w:lvl>
    <w:lvl w:ilvl="5" w:tplc="1B4CA434">
      <w:numFmt w:val="decimal"/>
      <w:lvlText w:val=""/>
      <w:lvlJc w:val="left"/>
    </w:lvl>
    <w:lvl w:ilvl="6" w:tplc="09EC015A">
      <w:numFmt w:val="decimal"/>
      <w:lvlText w:val=""/>
      <w:lvlJc w:val="left"/>
    </w:lvl>
    <w:lvl w:ilvl="7" w:tplc="2AFEC116">
      <w:numFmt w:val="decimal"/>
      <w:lvlText w:val=""/>
      <w:lvlJc w:val="left"/>
    </w:lvl>
    <w:lvl w:ilvl="8" w:tplc="13E223E8">
      <w:numFmt w:val="decimal"/>
      <w:lvlText w:val=""/>
      <w:lvlJc w:val="left"/>
    </w:lvl>
  </w:abstractNum>
  <w:abstractNum w:abstractNumId="601" w15:restartNumberingAfterBreak="0">
    <w:nsid w:val="684B2F6E"/>
    <w:multiLevelType w:val="hybridMultilevel"/>
    <w:tmpl w:val="599E9E1C"/>
    <w:lvl w:ilvl="0" w:tplc="2E4EE20C">
      <w:start w:val="1"/>
      <w:numFmt w:val="decimal"/>
      <w:lvlText w:val="%1."/>
      <w:lvlJc w:val="left"/>
    </w:lvl>
    <w:lvl w:ilvl="1" w:tplc="8E92F44C">
      <w:start w:val="1"/>
      <w:numFmt w:val="lowerRoman"/>
      <w:lvlText w:val="%2"/>
      <w:lvlJc w:val="left"/>
    </w:lvl>
    <w:lvl w:ilvl="2" w:tplc="9D9CF366">
      <w:numFmt w:val="decimal"/>
      <w:lvlText w:val=""/>
      <w:lvlJc w:val="left"/>
    </w:lvl>
    <w:lvl w:ilvl="3" w:tplc="4D88DE44">
      <w:numFmt w:val="decimal"/>
      <w:lvlText w:val=""/>
      <w:lvlJc w:val="left"/>
    </w:lvl>
    <w:lvl w:ilvl="4" w:tplc="55180872">
      <w:numFmt w:val="decimal"/>
      <w:lvlText w:val=""/>
      <w:lvlJc w:val="left"/>
    </w:lvl>
    <w:lvl w:ilvl="5" w:tplc="62503634">
      <w:numFmt w:val="decimal"/>
      <w:lvlText w:val=""/>
      <w:lvlJc w:val="left"/>
    </w:lvl>
    <w:lvl w:ilvl="6" w:tplc="D1D804E6">
      <w:numFmt w:val="decimal"/>
      <w:lvlText w:val=""/>
      <w:lvlJc w:val="left"/>
    </w:lvl>
    <w:lvl w:ilvl="7" w:tplc="23F6F6F0">
      <w:numFmt w:val="decimal"/>
      <w:lvlText w:val=""/>
      <w:lvlJc w:val="left"/>
    </w:lvl>
    <w:lvl w:ilvl="8" w:tplc="DD48A89A">
      <w:numFmt w:val="decimal"/>
      <w:lvlText w:val=""/>
      <w:lvlJc w:val="left"/>
    </w:lvl>
  </w:abstractNum>
  <w:abstractNum w:abstractNumId="602" w15:restartNumberingAfterBreak="0">
    <w:nsid w:val="68585EA6"/>
    <w:multiLevelType w:val="hybridMultilevel"/>
    <w:tmpl w:val="34FCF010"/>
    <w:lvl w:ilvl="0" w:tplc="54FA72C8">
      <w:start w:val="1"/>
      <w:numFmt w:val="upperLetter"/>
      <w:lvlText w:val="%1"/>
      <w:lvlJc w:val="left"/>
    </w:lvl>
    <w:lvl w:ilvl="1" w:tplc="03C84ABA">
      <w:start w:val="1"/>
      <w:numFmt w:val="bullet"/>
      <w:lvlText w:val="•"/>
      <w:lvlJc w:val="left"/>
    </w:lvl>
    <w:lvl w:ilvl="2" w:tplc="2E9EB7B4">
      <w:numFmt w:val="decimal"/>
      <w:lvlText w:val=""/>
      <w:lvlJc w:val="left"/>
    </w:lvl>
    <w:lvl w:ilvl="3" w:tplc="1B82A680">
      <w:numFmt w:val="decimal"/>
      <w:lvlText w:val=""/>
      <w:lvlJc w:val="left"/>
    </w:lvl>
    <w:lvl w:ilvl="4" w:tplc="EC96B706">
      <w:numFmt w:val="decimal"/>
      <w:lvlText w:val=""/>
      <w:lvlJc w:val="left"/>
    </w:lvl>
    <w:lvl w:ilvl="5" w:tplc="121E8568">
      <w:numFmt w:val="decimal"/>
      <w:lvlText w:val=""/>
      <w:lvlJc w:val="left"/>
    </w:lvl>
    <w:lvl w:ilvl="6" w:tplc="52F038A8">
      <w:numFmt w:val="decimal"/>
      <w:lvlText w:val=""/>
      <w:lvlJc w:val="left"/>
    </w:lvl>
    <w:lvl w:ilvl="7" w:tplc="CCD49886">
      <w:numFmt w:val="decimal"/>
      <w:lvlText w:val=""/>
      <w:lvlJc w:val="left"/>
    </w:lvl>
    <w:lvl w:ilvl="8" w:tplc="E8385AD8">
      <w:numFmt w:val="decimal"/>
      <w:lvlText w:val=""/>
      <w:lvlJc w:val="left"/>
    </w:lvl>
  </w:abstractNum>
  <w:abstractNum w:abstractNumId="603" w15:restartNumberingAfterBreak="0">
    <w:nsid w:val="685B4492"/>
    <w:multiLevelType w:val="hybridMultilevel"/>
    <w:tmpl w:val="BEA0A550"/>
    <w:lvl w:ilvl="0" w:tplc="53CABD30">
      <w:start w:val="1"/>
      <w:numFmt w:val="bullet"/>
      <w:lvlText w:val="-"/>
      <w:lvlJc w:val="left"/>
    </w:lvl>
    <w:lvl w:ilvl="1" w:tplc="803AD386">
      <w:numFmt w:val="decimal"/>
      <w:lvlText w:val=""/>
      <w:lvlJc w:val="left"/>
    </w:lvl>
    <w:lvl w:ilvl="2" w:tplc="4C04B890">
      <w:numFmt w:val="decimal"/>
      <w:lvlText w:val=""/>
      <w:lvlJc w:val="left"/>
    </w:lvl>
    <w:lvl w:ilvl="3" w:tplc="1638DB54">
      <w:numFmt w:val="decimal"/>
      <w:lvlText w:val=""/>
      <w:lvlJc w:val="left"/>
    </w:lvl>
    <w:lvl w:ilvl="4" w:tplc="BFB4D4E0">
      <w:numFmt w:val="decimal"/>
      <w:lvlText w:val=""/>
      <w:lvlJc w:val="left"/>
    </w:lvl>
    <w:lvl w:ilvl="5" w:tplc="53242448">
      <w:numFmt w:val="decimal"/>
      <w:lvlText w:val=""/>
      <w:lvlJc w:val="left"/>
    </w:lvl>
    <w:lvl w:ilvl="6" w:tplc="44000DD4">
      <w:numFmt w:val="decimal"/>
      <w:lvlText w:val=""/>
      <w:lvlJc w:val="left"/>
    </w:lvl>
    <w:lvl w:ilvl="7" w:tplc="BDD65D98">
      <w:numFmt w:val="decimal"/>
      <w:lvlText w:val=""/>
      <w:lvlJc w:val="left"/>
    </w:lvl>
    <w:lvl w:ilvl="8" w:tplc="F86E33FC">
      <w:numFmt w:val="decimal"/>
      <w:lvlText w:val=""/>
      <w:lvlJc w:val="left"/>
    </w:lvl>
  </w:abstractNum>
  <w:abstractNum w:abstractNumId="604" w15:restartNumberingAfterBreak="0">
    <w:nsid w:val="687266FE"/>
    <w:multiLevelType w:val="hybridMultilevel"/>
    <w:tmpl w:val="7D5A6052"/>
    <w:lvl w:ilvl="0" w:tplc="90D605B0">
      <w:start w:val="1"/>
      <w:numFmt w:val="bullet"/>
      <w:lvlText w:val="•"/>
      <w:lvlJc w:val="left"/>
    </w:lvl>
    <w:lvl w:ilvl="1" w:tplc="8FCA9ABE">
      <w:numFmt w:val="decimal"/>
      <w:lvlText w:val=""/>
      <w:lvlJc w:val="left"/>
    </w:lvl>
    <w:lvl w:ilvl="2" w:tplc="06D217F6">
      <w:numFmt w:val="decimal"/>
      <w:lvlText w:val=""/>
      <w:lvlJc w:val="left"/>
    </w:lvl>
    <w:lvl w:ilvl="3" w:tplc="B0F4225E">
      <w:numFmt w:val="decimal"/>
      <w:lvlText w:val=""/>
      <w:lvlJc w:val="left"/>
    </w:lvl>
    <w:lvl w:ilvl="4" w:tplc="D40421F2">
      <w:numFmt w:val="decimal"/>
      <w:lvlText w:val=""/>
      <w:lvlJc w:val="left"/>
    </w:lvl>
    <w:lvl w:ilvl="5" w:tplc="91642322">
      <w:numFmt w:val="decimal"/>
      <w:lvlText w:val=""/>
      <w:lvlJc w:val="left"/>
    </w:lvl>
    <w:lvl w:ilvl="6" w:tplc="18FCFA5E">
      <w:numFmt w:val="decimal"/>
      <w:lvlText w:val=""/>
      <w:lvlJc w:val="left"/>
    </w:lvl>
    <w:lvl w:ilvl="7" w:tplc="AD38B34A">
      <w:numFmt w:val="decimal"/>
      <w:lvlText w:val=""/>
      <w:lvlJc w:val="left"/>
    </w:lvl>
    <w:lvl w:ilvl="8" w:tplc="A7701554">
      <w:numFmt w:val="decimal"/>
      <w:lvlText w:val=""/>
      <w:lvlJc w:val="left"/>
    </w:lvl>
  </w:abstractNum>
  <w:abstractNum w:abstractNumId="605" w15:restartNumberingAfterBreak="0">
    <w:nsid w:val="68888ED7"/>
    <w:multiLevelType w:val="hybridMultilevel"/>
    <w:tmpl w:val="8586D09E"/>
    <w:lvl w:ilvl="0" w:tplc="CAA82E4C">
      <w:start w:val="1"/>
      <w:numFmt w:val="bullet"/>
      <w:lvlText w:val="•"/>
      <w:lvlJc w:val="left"/>
    </w:lvl>
    <w:lvl w:ilvl="1" w:tplc="8C923F88">
      <w:numFmt w:val="decimal"/>
      <w:lvlText w:val=""/>
      <w:lvlJc w:val="left"/>
    </w:lvl>
    <w:lvl w:ilvl="2" w:tplc="BED80762">
      <w:numFmt w:val="decimal"/>
      <w:lvlText w:val=""/>
      <w:lvlJc w:val="left"/>
    </w:lvl>
    <w:lvl w:ilvl="3" w:tplc="7AFC7932">
      <w:numFmt w:val="decimal"/>
      <w:lvlText w:val=""/>
      <w:lvlJc w:val="left"/>
    </w:lvl>
    <w:lvl w:ilvl="4" w:tplc="03AAF8D6">
      <w:numFmt w:val="decimal"/>
      <w:lvlText w:val=""/>
      <w:lvlJc w:val="left"/>
    </w:lvl>
    <w:lvl w:ilvl="5" w:tplc="E5D60184">
      <w:numFmt w:val="decimal"/>
      <w:lvlText w:val=""/>
      <w:lvlJc w:val="left"/>
    </w:lvl>
    <w:lvl w:ilvl="6" w:tplc="87BEF72A">
      <w:numFmt w:val="decimal"/>
      <w:lvlText w:val=""/>
      <w:lvlJc w:val="left"/>
    </w:lvl>
    <w:lvl w:ilvl="7" w:tplc="C62C1A86">
      <w:numFmt w:val="decimal"/>
      <w:lvlText w:val=""/>
      <w:lvlJc w:val="left"/>
    </w:lvl>
    <w:lvl w:ilvl="8" w:tplc="FA9CD372">
      <w:numFmt w:val="decimal"/>
      <w:lvlText w:val=""/>
      <w:lvlJc w:val="left"/>
    </w:lvl>
  </w:abstractNum>
  <w:abstractNum w:abstractNumId="606" w15:restartNumberingAfterBreak="0">
    <w:nsid w:val="68ABEFB0"/>
    <w:multiLevelType w:val="hybridMultilevel"/>
    <w:tmpl w:val="4B3CBF38"/>
    <w:lvl w:ilvl="0" w:tplc="551C7A90">
      <w:start w:val="1"/>
      <w:numFmt w:val="bullet"/>
      <w:lvlText w:val="•"/>
      <w:lvlJc w:val="left"/>
    </w:lvl>
    <w:lvl w:ilvl="1" w:tplc="680612E2">
      <w:numFmt w:val="decimal"/>
      <w:lvlText w:val=""/>
      <w:lvlJc w:val="left"/>
    </w:lvl>
    <w:lvl w:ilvl="2" w:tplc="EB70AF5C">
      <w:numFmt w:val="decimal"/>
      <w:lvlText w:val=""/>
      <w:lvlJc w:val="left"/>
    </w:lvl>
    <w:lvl w:ilvl="3" w:tplc="DC681E38">
      <w:numFmt w:val="decimal"/>
      <w:lvlText w:val=""/>
      <w:lvlJc w:val="left"/>
    </w:lvl>
    <w:lvl w:ilvl="4" w:tplc="AC666964">
      <w:numFmt w:val="decimal"/>
      <w:lvlText w:val=""/>
      <w:lvlJc w:val="left"/>
    </w:lvl>
    <w:lvl w:ilvl="5" w:tplc="B2363CE6">
      <w:numFmt w:val="decimal"/>
      <w:lvlText w:val=""/>
      <w:lvlJc w:val="left"/>
    </w:lvl>
    <w:lvl w:ilvl="6" w:tplc="8C24E14E">
      <w:numFmt w:val="decimal"/>
      <w:lvlText w:val=""/>
      <w:lvlJc w:val="left"/>
    </w:lvl>
    <w:lvl w:ilvl="7" w:tplc="18166F48">
      <w:numFmt w:val="decimal"/>
      <w:lvlText w:val=""/>
      <w:lvlJc w:val="left"/>
    </w:lvl>
    <w:lvl w:ilvl="8" w:tplc="B9544D9C">
      <w:numFmt w:val="decimal"/>
      <w:lvlText w:val=""/>
      <w:lvlJc w:val="left"/>
    </w:lvl>
  </w:abstractNum>
  <w:abstractNum w:abstractNumId="607" w15:restartNumberingAfterBreak="0">
    <w:nsid w:val="68D8526B"/>
    <w:multiLevelType w:val="hybridMultilevel"/>
    <w:tmpl w:val="D4FA2A06"/>
    <w:lvl w:ilvl="0" w:tplc="AC92023E">
      <w:start w:val="1"/>
      <w:numFmt w:val="lowerLetter"/>
      <w:lvlText w:val="%1"/>
      <w:lvlJc w:val="left"/>
    </w:lvl>
    <w:lvl w:ilvl="1" w:tplc="7730E55A">
      <w:start w:val="1"/>
      <w:numFmt w:val="lowerLetter"/>
      <w:lvlText w:val="%2)"/>
      <w:lvlJc w:val="left"/>
    </w:lvl>
    <w:lvl w:ilvl="2" w:tplc="6F5A307A">
      <w:numFmt w:val="decimal"/>
      <w:lvlText w:val=""/>
      <w:lvlJc w:val="left"/>
    </w:lvl>
    <w:lvl w:ilvl="3" w:tplc="10D88916">
      <w:numFmt w:val="decimal"/>
      <w:lvlText w:val=""/>
      <w:lvlJc w:val="left"/>
    </w:lvl>
    <w:lvl w:ilvl="4" w:tplc="B4DE45A6">
      <w:numFmt w:val="decimal"/>
      <w:lvlText w:val=""/>
      <w:lvlJc w:val="left"/>
    </w:lvl>
    <w:lvl w:ilvl="5" w:tplc="4AEA7444">
      <w:numFmt w:val="decimal"/>
      <w:lvlText w:val=""/>
      <w:lvlJc w:val="left"/>
    </w:lvl>
    <w:lvl w:ilvl="6" w:tplc="E2E63F08">
      <w:numFmt w:val="decimal"/>
      <w:lvlText w:val=""/>
      <w:lvlJc w:val="left"/>
    </w:lvl>
    <w:lvl w:ilvl="7" w:tplc="AA4EF7B6">
      <w:numFmt w:val="decimal"/>
      <w:lvlText w:val=""/>
      <w:lvlJc w:val="left"/>
    </w:lvl>
    <w:lvl w:ilvl="8" w:tplc="9C2CF066">
      <w:numFmt w:val="decimal"/>
      <w:lvlText w:val=""/>
      <w:lvlJc w:val="left"/>
    </w:lvl>
  </w:abstractNum>
  <w:abstractNum w:abstractNumId="608" w15:restartNumberingAfterBreak="0">
    <w:nsid w:val="68E13F8E"/>
    <w:multiLevelType w:val="hybridMultilevel"/>
    <w:tmpl w:val="3D1E2230"/>
    <w:lvl w:ilvl="0" w:tplc="1826C0B0">
      <w:start w:val="1"/>
      <w:numFmt w:val="bullet"/>
      <w:lvlText w:val="●"/>
      <w:lvlJc w:val="left"/>
    </w:lvl>
    <w:lvl w:ilvl="1" w:tplc="BEDA3260">
      <w:numFmt w:val="decimal"/>
      <w:lvlText w:val=""/>
      <w:lvlJc w:val="left"/>
    </w:lvl>
    <w:lvl w:ilvl="2" w:tplc="F0ACA12E">
      <w:numFmt w:val="decimal"/>
      <w:lvlText w:val=""/>
      <w:lvlJc w:val="left"/>
    </w:lvl>
    <w:lvl w:ilvl="3" w:tplc="E5EE8C70">
      <w:numFmt w:val="decimal"/>
      <w:lvlText w:val=""/>
      <w:lvlJc w:val="left"/>
    </w:lvl>
    <w:lvl w:ilvl="4" w:tplc="0A780A48">
      <w:numFmt w:val="decimal"/>
      <w:lvlText w:val=""/>
      <w:lvlJc w:val="left"/>
    </w:lvl>
    <w:lvl w:ilvl="5" w:tplc="ACA6DD2E">
      <w:numFmt w:val="decimal"/>
      <w:lvlText w:val=""/>
      <w:lvlJc w:val="left"/>
    </w:lvl>
    <w:lvl w:ilvl="6" w:tplc="DF16E230">
      <w:numFmt w:val="decimal"/>
      <w:lvlText w:val=""/>
      <w:lvlJc w:val="left"/>
    </w:lvl>
    <w:lvl w:ilvl="7" w:tplc="D13A3C86">
      <w:numFmt w:val="decimal"/>
      <w:lvlText w:val=""/>
      <w:lvlJc w:val="left"/>
    </w:lvl>
    <w:lvl w:ilvl="8" w:tplc="6C324280">
      <w:numFmt w:val="decimal"/>
      <w:lvlText w:val=""/>
      <w:lvlJc w:val="left"/>
    </w:lvl>
  </w:abstractNum>
  <w:abstractNum w:abstractNumId="609" w15:restartNumberingAfterBreak="0">
    <w:nsid w:val="68EECF6F"/>
    <w:multiLevelType w:val="hybridMultilevel"/>
    <w:tmpl w:val="FB6E3DC4"/>
    <w:lvl w:ilvl="0" w:tplc="E8162AF8">
      <w:start w:val="1"/>
      <w:numFmt w:val="decimal"/>
      <w:lvlText w:val="%1)"/>
      <w:lvlJc w:val="left"/>
    </w:lvl>
    <w:lvl w:ilvl="1" w:tplc="CD32AE08">
      <w:numFmt w:val="decimal"/>
      <w:lvlText w:val=""/>
      <w:lvlJc w:val="left"/>
    </w:lvl>
    <w:lvl w:ilvl="2" w:tplc="05A61372">
      <w:numFmt w:val="decimal"/>
      <w:lvlText w:val=""/>
      <w:lvlJc w:val="left"/>
    </w:lvl>
    <w:lvl w:ilvl="3" w:tplc="6BB8E2A8">
      <w:numFmt w:val="decimal"/>
      <w:lvlText w:val=""/>
      <w:lvlJc w:val="left"/>
    </w:lvl>
    <w:lvl w:ilvl="4" w:tplc="FB42D406">
      <w:numFmt w:val="decimal"/>
      <w:lvlText w:val=""/>
      <w:lvlJc w:val="left"/>
    </w:lvl>
    <w:lvl w:ilvl="5" w:tplc="8B34C396">
      <w:numFmt w:val="decimal"/>
      <w:lvlText w:val=""/>
      <w:lvlJc w:val="left"/>
    </w:lvl>
    <w:lvl w:ilvl="6" w:tplc="DD8A7968">
      <w:numFmt w:val="decimal"/>
      <w:lvlText w:val=""/>
      <w:lvlJc w:val="left"/>
    </w:lvl>
    <w:lvl w:ilvl="7" w:tplc="0BAAF028">
      <w:numFmt w:val="decimal"/>
      <w:lvlText w:val=""/>
      <w:lvlJc w:val="left"/>
    </w:lvl>
    <w:lvl w:ilvl="8" w:tplc="D1508D6A">
      <w:numFmt w:val="decimal"/>
      <w:lvlText w:val=""/>
      <w:lvlJc w:val="left"/>
    </w:lvl>
  </w:abstractNum>
  <w:abstractNum w:abstractNumId="610" w15:restartNumberingAfterBreak="0">
    <w:nsid w:val="69141769"/>
    <w:multiLevelType w:val="hybridMultilevel"/>
    <w:tmpl w:val="CD889042"/>
    <w:lvl w:ilvl="0" w:tplc="CE005058">
      <w:start w:val="1"/>
      <w:numFmt w:val="bullet"/>
      <w:lvlText w:val="•"/>
      <w:lvlJc w:val="left"/>
    </w:lvl>
    <w:lvl w:ilvl="1" w:tplc="D3DA097E">
      <w:numFmt w:val="decimal"/>
      <w:lvlText w:val=""/>
      <w:lvlJc w:val="left"/>
    </w:lvl>
    <w:lvl w:ilvl="2" w:tplc="6ECE51E4">
      <w:numFmt w:val="decimal"/>
      <w:lvlText w:val=""/>
      <w:lvlJc w:val="left"/>
    </w:lvl>
    <w:lvl w:ilvl="3" w:tplc="194CE2B6">
      <w:numFmt w:val="decimal"/>
      <w:lvlText w:val=""/>
      <w:lvlJc w:val="left"/>
    </w:lvl>
    <w:lvl w:ilvl="4" w:tplc="1420705A">
      <w:numFmt w:val="decimal"/>
      <w:lvlText w:val=""/>
      <w:lvlJc w:val="left"/>
    </w:lvl>
    <w:lvl w:ilvl="5" w:tplc="BA2CB5C2">
      <w:numFmt w:val="decimal"/>
      <w:lvlText w:val=""/>
      <w:lvlJc w:val="left"/>
    </w:lvl>
    <w:lvl w:ilvl="6" w:tplc="6BB0DFC2">
      <w:numFmt w:val="decimal"/>
      <w:lvlText w:val=""/>
      <w:lvlJc w:val="left"/>
    </w:lvl>
    <w:lvl w:ilvl="7" w:tplc="9B3487A8">
      <w:numFmt w:val="decimal"/>
      <w:lvlText w:val=""/>
      <w:lvlJc w:val="left"/>
    </w:lvl>
    <w:lvl w:ilvl="8" w:tplc="9F60BED0">
      <w:numFmt w:val="decimal"/>
      <w:lvlText w:val=""/>
      <w:lvlJc w:val="left"/>
    </w:lvl>
  </w:abstractNum>
  <w:abstractNum w:abstractNumId="611" w15:restartNumberingAfterBreak="0">
    <w:nsid w:val="69321F16"/>
    <w:multiLevelType w:val="hybridMultilevel"/>
    <w:tmpl w:val="995AB8BE"/>
    <w:lvl w:ilvl="0" w:tplc="CBFADD0C">
      <w:start w:val="1"/>
      <w:numFmt w:val="bullet"/>
      <w:lvlText w:val="―"/>
      <w:lvlJc w:val="left"/>
    </w:lvl>
    <w:lvl w:ilvl="1" w:tplc="A17A52EE">
      <w:numFmt w:val="decimal"/>
      <w:lvlText w:val=""/>
      <w:lvlJc w:val="left"/>
    </w:lvl>
    <w:lvl w:ilvl="2" w:tplc="CC045D9C">
      <w:numFmt w:val="decimal"/>
      <w:lvlText w:val=""/>
      <w:lvlJc w:val="left"/>
    </w:lvl>
    <w:lvl w:ilvl="3" w:tplc="8312E08A">
      <w:numFmt w:val="decimal"/>
      <w:lvlText w:val=""/>
      <w:lvlJc w:val="left"/>
    </w:lvl>
    <w:lvl w:ilvl="4" w:tplc="A4FCD3F4">
      <w:numFmt w:val="decimal"/>
      <w:lvlText w:val=""/>
      <w:lvlJc w:val="left"/>
    </w:lvl>
    <w:lvl w:ilvl="5" w:tplc="B5260AB0">
      <w:numFmt w:val="decimal"/>
      <w:lvlText w:val=""/>
      <w:lvlJc w:val="left"/>
    </w:lvl>
    <w:lvl w:ilvl="6" w:tplc="803A9B74">
      <w:numFmt w:val="decimal"/>
      <w:lvlText w:val=""/>
      <w:lvlJc w:val="left"/>
    </w:lvl>
    <w:lvl w:ilvl="7" w:tplc="3CC813EA">
      <w:numFmt w:val="decimal"/>
      <w:lvlText w:val=""/>
      <w:lvlJc w:val="left"/>
    </w:lvl>
    <w:lvl w:ilvl="8" w:tplc="67943796">
      <w:numFmt w:val="decimal"/>
      <w:lvlText w:val=""/>
      <w:lvlJc w:val="left"/>
    </w:lvl>
  </w:abstractNum>
  <w:abstractNum w:abstractNumId="612" w15:restartNumberingAfterBreak="0">
    <w:nsid w:val="69543093"/>
    <w:multiLevelType w:val="hybridMultilevel"/>
    <w:tmpl w:val="E2162638"/>
    <w:lvl w:ilvl="0" w:tplc="3A9489E6">
      <w:start w:val="1"/>
      <w:numFmt w:val="bullet"/>
      <w:lvlText w:val="-"/>
      <w:lvlJc w:val="left"/>
    </w:lvl>
    <w:lvl w:ilvl="1" w:tplc="BB5EB9D6">
      <w:start w:val="1"/>
      <w:numFmt w:val="bullet"/>
      <w:lvlText w:val="•"/>
      <w:lvlJc w:val="left"/>
    </w:lvl>
    <w:lvl w:ilvl="2" w:tplc="D71E289A">
      <w:numFmt w:val="decimal"/>
      <w:lvlText w:val=""/>
      <w:lvlJc w:val="left"/>
    </w:lvl>
    <w:lvl w:ilvl="3" w:tplc="0B1C892C">
      <w:numFmt w:val="decimal"/>
      <w:lvlText w:val=""/>
      <w:lvlJc w:val="left"/>
    </w:lvl>
    <w:lvl w:ilvl="4" w:tplc="C748BC06">
      <w:numFmt w:val="decimal"/>
      <w:lvlText w:val=""/>
      <w:lvlJc w:val="left"/>
    </w:lvl>
    <w:lvl w:ilvl="5" w:tplc="B144F370">
      <w:numFmt w:val="decimal"/>
      <w:lvlText w:val=""/>
      <w:lvlJc w:val="left"/>
    </w:lvl>
    <w:lvl w:ilvl="6" w:tplc="DA14E77C">
      <w:numFmt w:val="decimal"/>
      <w:lvlText w:val=""/>
      <w:lvlJc w:val="left"/>
    </w:lvl>
    <w:lvl w:ilvl="7" w:tplc="1EC85ABC">
      <w:numFmt w:val="decimal"/>
      <w:lvlText w:val=""/>
      <w:lvlJc w:val="left"/>
    </w:lvl>
    <w:lvl w:ilvl="8" w:tplc="3D569E8A">
      <w:numFmt w:val="decimal"/>
      <w:lvlText w:val=""/>
      <w:lvlJc w:val="left"/>
    </w:lvl>
  </w:abstractNum>
  <w:abstractNum w:abstractNumId="613" w15:restartNumberingAfterBreak="0">
    <w:nsid w:val="69594E16"/>
    <w:multiLevelType w:val="hybridMultilevel"/>
    <w:tmpl w:val="F948E322"/>
    <w:lvl w:ilvl="0" w:tplc="DC36C4CA">
      <w:start w:val="14"/>
      <w:numFmt w:val="bullet"/>
      <w:lvlText w:val="-"/>
      <w:lvlJc w:val="left"/>
      <w:pPr>
        <w:ind w:left="720" w:hanging="360"/>
      </w:pPr>
      <w:rPr>
        <w:rFonts w:ascii="Times New Roman" w:eastAsia="Times New Roman" w:hAnsi="Times New Roman" w:cs="Times New Roman" w:hint="default"/>
        <w:color w:val="auto"/>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4" w15:restartNumberingAfterBreak="0">
    <w:nsid w:val="696DA7C9"/>
    <w:multiLevelType w:val="hybridMultilevel"/>
    <w:tmpl w:val="4B7EAF7E"/>
    <w:lvl w:ilvl="0" w:tplc="0E0AF552">
      <w:start w:val="1"/>
      <w:numFmt w:val="bullet"/>
      <w:lvlText w:val="•"/>
      <w:lvlJc w:val="left"/>
    </w:lvl>
    <w:lvl w:ilvl="1" w:tplc="1040D9F0">
      <w:numFmt w:val="decimal"/>
      <w:lvlText w:val=""/>
      <w:lvlJc w:val="left"/>
    </w:lvl>
    <w:lvl w:ilvl="2" w:tplc="611E35F6">
      <w:numFmt w:val="decimal"/>
      <w:lvlText w:val=""/>
      <w:lvlJc w:val="left"/>
    </w:lvl>
    <w:lvl w:ilvl="3" w:tplc="A732C46A">
      <w:numFmt w:val="decimal"/>
      <w:lvlText w:val=""/>
      <w:lvlJc w:val="left"/>
    </w:lvl>
    <w:lvl w:ilvl="4" w:tplc="B7DACE84">
      <w:numFmt w:val="decimal"/>
      <w:lvlText w:val=""/>
      <w:lvlJc w:val="left"/>
    </w:lvl>
    <w:lvl w:ilvl="5" w:tplc="54FCD6B4">
      <w:numFmt w:val="decimal"/>
      <w:lvlText w:val=""/>
      <w:lvlJc w:val="left"/>
    </w:lvl>
    <w:lvl w:ilvl="6" w:tplc="6AD49D8A">
      <w:numFmt w:val="decimal"/>
      <w:lvlText w:val=""/>
      <w:lvlJc w:val="left"/>
    </w:lvl>
    <w:lvl w:ilvl="7" w:tplc="692C3B86">
      <w:numFmt w:val="decimal"/>
      <w:lvlText w:val=""/>
      <w:lvlJc w:val="left"/>
    </w:lvl>
    <w:lvl w:ilvl="8" w:tplc="D9E492E6">
      <w:numFmt w:val="decimal"/>
      <w:lvlText w:val=""/>
      <w:lvlJc w:val="left"/>
    </w:lvl>
  </w:abstractNum>
  <w:abstractNum w:abstractNumId="615" w15:restartNumberingAfterBreak="0">
    <w:nsid w:val="69EF4674"/>
    <w:multiLevelType w:val="hybridMultilevel"/>
    <w:tmpl w:val="6910F274"/>
    <w:lvl w:ilvl="0" w:tplc="0D6C53B2">
      <w:start w:val="1"/>
      <w:numFmt w:val="bullet"/>
      <w:lvlText w:val="•"/>
      <w:lvlJc w:val="left"/>
    </w:lvl>
    <w:lvl w:ilvl="1" w:tplc="645C7BF0">
      <w:numFmt w:val="decimal"/>
      <w:lvlText w:val=""/>
      <w:lvlJc w:val="left"/>
    </w:lvl>
    <w:lvl w:ilvl="2" w:tplc="375AC040">
      <w:numFmt w:val="decimal"/>
      <w:lvlText w:val=""/>
      <w:lvlJc w:val="left"/>
    </w:lvl>
    <w:lvl w:ilvl="3" w:tplc="D0305BE8">
      <w:numFmt w:val="decimal"/>
      <w:lvlText w:val=""/>
      <w:lvlJc w:val="left"/>
    </w:lvl>
    <w:lvl w:ilvl="4" w:tplc="5D027B60">
      <w:numFmt w:val="decimal"/>
      <w:lvlText w:val=""/>
      <w:lvlJc w:val="left"/>
    </w:lvl>
    <w:lvl w:ilvl="5" w:tplc="8A487F5E">
      <w:numFmt w:val="decimal"/>
      <w:lvlText w:val=""/>
      <w:lvlJc w:val="left"/>
    </w:lvl>
    <w:lvl w:ilvl="6" w:tplc="C53E85F0">
      <w:numFmt w:val="decimal"/>
      <w:lvlText w:val=""/>
      <w:lvlJc w:val="left"/>
    </w:lvl>
    <w:lvl w:ilvl="7" w:tplc="BECAF7E4">
      <w:numFmt w:val="decimal"/>
      <w:lvlText w:val=""/>
      <w:lvlJc w:val="left"/>
    </w:lvl>
    <w:lvl w:ilvl="8" w:tplc="A2B46168">
      <w:numFmt w:val="decimal"/>
      <w:lvlText w:val=""/>
      <w:lvlJc w:val="left"/>
    </w:lvl>
  </w:abstractNum>
  <w:abstractNum w:abstractNumId="616" w15:restartNumberingAfterBreak="0">
    <w:nsid w:val="69F23E34"/>
    <w:multiLevelType w:val="hybridMultilevel"/>
    <w:tmpl w:val="A9500C12"/>
    <w:lvl w:ilvl="0" w:tplc="8B863EE8">
      <w:start w:val="1"/>
      <w:numFmt w:val="decimal"/>
      <w:lvlText w:val="%1."/>
      <w:lvlJc w:val="left"/>
    </w:lvl>
    <w:lvl w:ilvl="1" w:tplc="A878707E">
      <w:start w:val="1"/>
      <w:numFmt w:val="bullet"/>
      <w:lvlText w:val="-"/>
      <w:lvlJc w:val="left"/>
    </w:lvl>
    <w:lvl w:ilvl="2" w:tplc="F1EC8D10">
      <w:numFmt w:val="decimal"/>
      <w:lvlText w:val=""/>
      <w:lvlJc w:val="left"/>
    </w:lvl>
    <w:lvl w:ilvl="3" w:tplc="17C4184E">
      <w:numFmt w:val="decimal"/>
      <w:lvlText w:val=""/>
      <w:lvlJc w:val="left"/>
    </w:lvl>
    <w:lvl w:ilvl="4" w:tplc="E1422E6E">
      <w:numFmt w:val="decimal"/>
      <w:lvlText w:val=""/>
      <w:lvlJc w:val="left"/>
    </w:lvl>
    <w:lvl w:ilvl="5" w:tplc="8B56FF30">
      <w:numFmt w:val="decimal"/>
      <w:lvlText w:val=""/>
      <w:lvlJc w:val="left"/>
    </w:lvl>
    <w:lvl w:ilvl="6" w:tplc="7846865E">
      <w:numFmt w:val="decimal"/>
      <w:lvlText w:val=""/>
      <w:lvlJc w:val="left"/>
    </w:lvl>
    <w:lvl w:ilvl="7" w:tplc="30AA7976">
      <w:numFmt w:val="decimal"/>
      <w:lvlText w:val=""/>
      <w:lvlJc w:val="left"/>
    </w:lvl>
    <w:lvl w:ilvl="8" w:tplc="2026B574">
      <w:numFmt w:val="decimal"/>
      <w:lvlText w:val=""/>
      <w:lvlJc w:val="left"/>
    </w:lvl>
  </w:abstractNum>
  <w:abstractNum w:abstractNumId="617" w15:restartNumberingAfterBreak="0">
    <w:nsid w:val="6A410D4E"/>
    <w:multiLevelType w:val="hybridMultilevel"/>
    <w:tmpl w:val="A422436C"/>
    <w:lvl w:ilvl="0" w:tplc="E904F558">
      <w:start w:val="26"/>
      <w:numFmt w:val="upperLetter"/>
      <w:lvlText w:val="%1"/>
      <w:lvlJc w:val="left"/>
    </w:lvl>
    <w:lvl w:ilvl="1" w:tplc="B3AAEF02">
      <w:start w:val="1"/>
      <w:numFmt w:val="bullet"/>
      <w:lvlText w:val="•"/>
      <w:lvlJc w:val="left"/>
    </w:lvl>
    <w:lvl w:ilvl="2" w:tplc="D79E6EDE">
      <w:numFmt w:val="decimal"/>
      <w:lvlText w:val=""/>
      <w:lvlJc w:val="left"/>
    </w:lvl>
    <w:lvl w:ilvl="3" w:tplc="D0ACFCF0">
      <w:numFmt w:val="decimal"/>
      <w:lvlText w:val=""/>
      <w:lvlJc w:val="left"/>
    </w:lvl>
    <w:lvl w:ilvl="4" w:tplc="448403EE">
      <w:numFmt w:val="decimal"/>
      <w:lvlText w:val=""/>
      <w:lvlJc w:val="left"/>
    </w:lvl>
    <w:lvl w:ilvl="5" w:tplc="FC10B458">
      <w:numFmt w:val="decimal"/>
      <w:lvlText w:val=""/>
      <w:lvlJc w:val="left"/>
    </w:lvl>
    <w:lvl w:ilvl="6" w:tplc="49129A20">
      <w:numFmt w:val="decimal"/>
      <w:lvlText w:val=""/>
      <w:lvlJc w:val="left"/>
    </w:lvl>
    <w:lvl w:ilvl="7" w:tplc="6D1C2306">
      <w:numFmt w:val="decimal"/>
      <w:lvlText w:val=""/>
      <w:lvlJc w:val="left"/>
    </w:lvl>
    <w:lvl w:ilvl="8" w:tplc="FE92CD76">
      <w:numFmt w:val="decimal"/>
      <w:lvlText w:val=""/>
      <w:lvlJc w:val="left"/>
    </w:lvl>
  </w:abstractNum>
  <w:abstractNum w:abstractNumId="618" w15:restartNumberingAfterBreak="0">
    <w:nsid w:val="6A4471E5"/>
    <w:multiLevelType w:val="hybridMultilevel"/>
    <w:tmpl w:val="56A450A4"/>
    <w:lvl w:ilvl="0" w:tplc="53CABD30">
      <w:start w:val="1"/>
      <w:numFmt w:val="bullet"/>
      <w:lvlText w:val="-"/>
      <w:lvlJc w:val="left"/>
    </w:lvl>
    <w:lvl w:ilvl="1" w:tplc="C16CEB84">
      <w:numFmt w:val="decimal"/>
      <w:lvlText w:val=""/>
      <w:lvlJc w:val="left"/>
    </w:lvl>
    <w:lvl w:ilvl="2" w:tplc="E7180AF4">
      <w:numFmt w:val="decimal"/>
      <w:lvlText w:val=""/>
      <w:lvlJc w:val="left"/>
    </w:lvl>
    <w:lvl w:ilvl="3" w:tplc="AFD61868">
      <w:numFmt w:val="decimal"/>
      <w:lvlText w:val=""/>
      <w:lvlJc w:val="left"/>
    </w:lvl>
    <w:lvl w:ilvl="4" w:tplc="A4249C0A">
      <w:numFmt w:val="decimal"/>
      <w:lvlText w:val=""/>
      <w:lvlJc w:val="left"/>
    </w:lvl>
    <w:lvl w:ilvl="5" w:tplc="B0B21B18">
      <w:numFmt w:val="decimal"/>
      <w:lvlText w:val=""/>
      <w:lvlJc w:val="left"/>
    </w:lvl>
    <w:lvl w:ilvl="6" w:tplc="CBEEFA88">
      <w:numFmt w:val="decimal"/>
      <w:lvlText w:val=""/>
      <w:lvlJc w:val="left"/>
    </w:lvl>
    <w:lvl w:ilvl="7" w:tplc="EF24F3D4">
      <w:numFmt w:val="decimal"/>
      <w:lvlText w:val=""/>
      <w:lvlJc w:val="left"/>
    </w:lvl>
    <w:lvl w:ilvl="8" w:tplc="9EB05678">
      <w:numFmt w:val="decimal"/>
      <w:lvlText w:val=""/>
      <w:lvlJc w:val="left"/>
    </w:lvl>
  </w:abstractNum>
  <w:abstractNum w:abstractNumId="619" w15:restartNumberingAfterBreak="0">
    <w:nsid w:val="6A6614BE"/>
    <w:multiLevelType w:val="hybridMultilevel"/>
    <w:tmpl w:val="FEF6E412"/>
    <w:lvl w:ilvl="0" w:tplc="53CABD30">
      <w:start w:val="1"/>
      <w:numFmt w:val="bullet"/>
      <w:lvlText w:val="-"/>
      <w:lvlJc w:val="left"/>
      <w:pPr>
        <w:ind w:left="1146" w:hanging="360"/>
      </w:p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cs="Wingdings" w:hint="default"/>
      </w:rPr>
    </w:lvl>
    <w:lvl w:ilvl="3" w:tplc="04050001" w:tentative="1">
      <w:start w:val="1"/>
      <w:numFmt w:val="bullet"/>
      <w:lvlText w:val=""/>
      <w:lvlJc w:val="left"/>
      <w:pPr>
        <w:ind w:left="3306" w:hanging="360"/>
      </w:pPr>
      <w:rPr>
        <w:rFonts w:ascii="Symbol" w:hAnsi="Symbol" w:cs="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cs="Wingdings" w:hint="default"/>
      </w:rPr>
    </w:lvl>
    <w:lvl w:ilvl="6" w:tplc="04050001" w:tentative="1">
      <w:start w:val="1"/>
      <w:numFmt w:val="bullet"/>
      <w:lvlText w:val=""/>
      <w:lvlJc w:val="left"/>
      <w:pPr>
        <w:ind w:left="5466" w:hanging="360"/>
      </w:pPr>
      <w:rPr>
        <w:rFonts w:ascii="Symbol" w:hAnsi="Symbol" w:cs="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cs="Wingdings" w:hint="default"/>
      </w:rPr>
    </w:lvl>
  </w:abstractNum>
  <w:abstractNum w:abstractNumId="620" w15:restartNumberingAfterBreak="0">
    <w:nsid w:val="6AA1C37E"/>
    <w:multiLevelType w:val="hybridMultilevel"/>
    <w:tmpl w:val="EA16E7CE"/>
    <w:lvl w:ilvl="0" w:tplc="900C9508">
      <w:start w:val="1"/>
      <w:numFmt w:val="decimal"/>
      <w:lvlText w:val="%1."/>
      <w:lvlJc w:val="left"/>
    </w:lvl>
    <w:lvl w:ilvl="1" w:tplc="CF822506">
      <w:numFmt w:val="decimal"/>
      <w:lvlText w:val=""/>
      <w:lvlJc w:val="left"/>
    </w:lvl>
    <w:lvl w:ilvl="2" w:tplc="A67425DE">
      <w:numFmt w:val="decimal"/>
      <w:lvlText w:val=""/>
      <w:lvlJc w:val="left"/>
    </w:lvl>
    <w:lvl w:ilvl="3" w:tplc="0A68B440">
      <w:numFmt w:val="decimal"/>
      <w:lvlText w:val=""/>
      <w:lvlJc w:val="left"/>
    </w:lvl>
    <w:lvl w:ilvl="4" w:tplc="98DA8BF6">
      <w:numFmt w:val="decimal"/>
      <w:lvlText w:val=""/>
      <w:lvlJc w:val="left"/>
    </w:lvl>
    <w:lvl w:ilvl="5" w:tplc="D93A35FA">
      <w:numFmt w:val="decimal"/>
      <w:lvlText w:val=""/>
      <w:lvlJc w:val="left"/>
    </w:lvl>
    <w:lvl w:ilvl="6" w:tplc="46C66C86">
      <w:numFmt w:val="decimal"/>
      <w:lvlText w:val=""/>
      <w:lvlJc w:val="left"/>
    </w:lvl>
    <w:lvl w:ilvl="7" w:tplc="AB624E50">
      <w:numFmt w:val="decimal"/>
      <w:lvlText w:val=""/>
      <w:lvlJc w:val="left"/>
    </w:lvl>
    <w:lvl w:ilvl="8" w:tplc="BC7A0464">
      <w:numFmt w:val="decimal"/>
      <w:lvlText w:val=""/>
      <w:lvlJc w:val="left"/>
    </w:lvl>
  </w:abstractNum>
  <w:abstractNum w:abstractNumId="621" w15:restartNumberingAfterBreak="0">
    <w:nsid w:val="6AE2EC3C"/>
    <w:multiLevelType w:val="hybridMultilevel"/>
    <w:tmpl w:val="94E2230E"/>
    <w:lvl w:ilvl="0" w:tplc="32EA8206">
      <w:start w:val="1"/>
      <w:numFmt w:val="bullet"/>
      <w:lvlText w:val="·"/>
      <w:lvlJc w:val="left"/>
    </w:lvl>
    <w:lvl w:ilvl="1" w:tplc="C2608810">
      <w:numFmt w:val="decimal"/>
      <w:lvlText w:val=""/>
      <w:lvlJc w:val="left"/>
    </w:lvl>
    <w:lvl w:ilvl="2" w:tplc="6C1256BC">
      <w:numFmt w:val="decimal"/>
      <w:lvlText w:val=""/>
      <w:lvlJc w:val="left"/>
    </w:lvl>
    <w:lvl w:ilvl="3" w:tplc="C8028BDA">
      <w:numFmt w:val="decimal"/>
      <w:lvlText w:val=""/>
      <w:lvlJc w:val="left"/>
    </w:lvl>
    <w:lvl w:ilvl="4" w:tplc="CA76B742">
      <w:numFmt w:val="decimal"/>
      <w:lvlText w:val=""/>
      <w:lvlJc w:val="left"/>
    </w:lvl>
    <w:lvl w:ilvl="5" w:tplc="E496E212">
      <w:numFmt w:val="decimal"/>
      <w:lvlText w:val=""/>
      <w:lvlJc w:val="left"/>
    </w:lvl>
    <w:lvl w:ilvl="6" w:tplc="66CE58B0">
      <w:numFmt w:val="decimal"/>
      <w:lvlText w:val=""/>
      <w:lvlJc w:val="left"/>
    </w:lvl>
    <w:lvl w:ilvl="7" w:tplc="AE1AC7F8">
      <w:numFmt w:val="decimal"/>
      <w:lvlText w:val=""/>
      <w:lvlJc w:val="left"/>
    </w:lvl>
    <w:lvl w:ilvl="8" w:tplc="251AB1A2">
      <w:numFmt w:val="decimal"/>
      <w:lvlText w:val=""/>
      <w:lvlJc w:val="left"/>
    </w:lvl>
  </w:abstractNum>
  <w:abstractNum w:abstractNumId="622" w15:restartNumberingAfterBreak="0">
    <w:nsid w:val="6B282E52"/>
    <w:multiLevelType w:val="hybridMultilevel"/>
    <w:tmpl w:val="7812CB92"/>
    <w:lvl w:ilvl="0" w:tplc="53CABD30">
      <w:start w:val="1"/>
      <w:numFmt w:val="bullet"/>
      <w:lvlText w:val="-"/>
      <w:lvlJc w:val="left"/>
      <w:pPr>
        <w:ind w:left="720" w:hanging="360"/>
      </w:pPr>
      <w:rPr>
        <w:rFonts w:hint="default"/>
        <w:color w:val="auto"/>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3" w15:restartNumberingAfterBreak="0">
    <w:nsid w:val="6B3A4B7D"/>
    <w:multiLevelType w:val="hybridMultilevel"/>
    <w:tmpl w:val="9724AC66"/>
    <w:lvl w:ilvl="0" w:tplc="04050011">
      <w:start w:val="1"/>
      <w:numFmt w:val="decimal"/>
      <w:lvlText w:val="%1)"/>
      <w:lvlJc w:val="left"/>
    </w:lvl>
    <w:lvl w:ilvl="1" w:tplc="AA785B40">
      <w:numFmt w:val="decimal"/>
      <w:lvlText w:val=""/>
      <w:lvlJc w:val="left"/>
    </w:lvl>
    <w:lvl w:ilvl="2" w:tplc="FC68ED60">
      <w:numFmt w:val="decimal"/>
      <w:lvlText w:val=""/>
      <w:lvlJc w:val="left"/>
    </w:lvl>
    <w:lvl w:ilvl="3" w:tplc="378C5720">
      <w:numFmt w:val="decimal"/>
      <w:lvlText w:val=""/>
      <w:lvlJc w:val="left"/>
    </w:lvl>
    <w:lvl w:ilvl="4" w:tplc="00786AD8">
      <w:numFmt w:val="decimal"/>
      <w:lvlText w:val=""/>
      <w:lvlJc w:val="left"/>
    </w:lvl>
    <w:lvl w:ilvl="5" w:tplc="49F835D0">
      <w:numFmt w:val="decimal"/>
      <w:lvlText w:val=""/>
      <w:lvlJc w:val="left"/>
    </w:lvl>
    <w:lvl w:ilvl="6" w:tplc="C1E8800C">
      <w:numFmt w:val="decimal"/>
      <w:lvlText w:val=""/>
      <w:lvlJc w:val="left"/>
    </w:lvl>
    <w:lvl w:ilvl="7" w:tplc="B2A4C994">
      <w:numFmt w:val="decimal"/>
      <w:lvlText w:val=""/>
      <w:lvlJc w:val="left"/>
    </w:lvl>
    <w:lvl w:ilvl="8" w:tplc="A97C9700">
      <w:numFmt w:val="decimal"/>
      <w:lvlText w:val=""/>
      <w:lvlJc w:val="left"/>
    </w:lvl>
  </w:abstractNum>
  <w:abstractNum w:abstractNumId="624" w15:restartNumberingAfterBreak="0">
    <w:nsid w:val="6B6C542F"/>
    <w:multiLevelType w:val="hybridMultilevel"/>
    <w:tmpl w:val="CDF85572"/>
    <w:lvl w:ilvl="0" w:tplc="9110A888">
      <w:start w:val="1"/>
      <w:numFmt w:val="bullet"/>
      <w:lvlText w:val="•"/>
      <w:lvlJc w:val="left"/>
      <w:pPr>
        <w:tabs>
          <w:tab w:val="num" w:pos="720"/>
        </w:tabs>
        <w:ind w:left="720" w:hanging="360"/>
      </w:pPr>
      <w:rPr>
        <w:rFonts w:ascii="Arial" w:hAnsi="Arial" w:hint="default"/>
      </w:rPr>
    </w:lvl>
    <w:lvl w:ilvl="1" w:tplc="F7E46BF0" w:tentative="1">
      <w:start w:val="1"/>
      <w:numFmt w:val="bullet"/>
      <w:lvlText w:val="•"/>
      <w:lvlJc w:val="left"/>
      <w:pPr>
        <w:tabs>
          <w:tab w:val="num" w:pos="1440"/>
        </w:tabs>
        <w:ind w:left="1440" w:hanging="360"/>
      </w:pPr>
      <w:rPr>
        <w:rFonts w:ascii="Arial" w:hAnsi="Arial" w:hint="default"/>
      </w:rPr>
    </w:lvl>
    <w:lvl w:ilvl="2" w:tplc="3C780FD8" w:tentative="1">
      <w:start w:val="1"/>
      <w:numFmt w:val="bullet"/>
      <w:lvlText w:val="•"/>
      <w:lvlJc w:val="left"/>
      <w:pPr>
        <w:tabs>
          <w:tab w:val="num" w:pos="2160"/>
        </w:tabs>
        <w:ind w:left="2160" w:hanging="360"/>
      </w:pPr>
      <w:rPr>
        <w:rFonts w:ascii="Arial" w:hAnsi="Arial" w:hint="default"/>
      </w:rPr>
    </w:lvl>
    <w:lvl w:ilvl="3" w:tplc="2D462B6A" w:tentative="1">
      <w:start w:val="1"/>
      <w:numFmt w:val="bullet"/>
      <w:lvlText w:val="•"/>
      <w:lvlJc w:val="left"/>
      <w:pPr>
        <w:tabs>
          <w:tab w:val="num" w:pos="2880"/>
        </w:tabs>
        <w:ind w:left="2880" w:hanging="360"/>
      </w:pPr>
      <w:rPr>
        <w:rFonts w:ascii="Arial" w:hAnsi="Arial" w:hint="default"/>
      </w:rPr>
    </w:lvl>
    <w:lvl w:ilvl="4" w:tplc="DF160A9A" w:tentative="1">
      <w:start w:val="1"/>
      <w:numFmt w:val="bullet"/>
      <w:lvlText w:val="•"/>
      <w:lvlJc w:val="left"/>
      <w:pPr>
        <w:tabs>
          <w:tab w:val="num" w:pos="3600"/>
        </w:tabs>
        <w:ind w:left="3600" w:hanging="360"/>
      </w:pPr>
      <w:rPr>
        <w:rFonts w:ascii="Arial" w:hAnsi="Arial" w:hint="default"/>
      </w:rPr>
    </w:lvl>
    <w:lvl w:ilvl="5" w:tplc="F7F2A33C" w:tentative="1">
      <w:start w:val="1"/>
      <w:numFmt w:val="bullet"/>
      <w:lvlText w:val="•"/>
      <w:lvlJc w:val="left"/>
      <w:pPr>
        <w:tabs>
          <w:tab w:val="num" w:pos="4320"/>
        </w:tabs>
        <w:ind w:left="4320" w:hanging="360"/>
      </w:pPr>
      <w:rPr>
        <w:rFonts w:ascii="Arial" w:hAnsi="Arial" w:hint="default"/>
      </w:rPr>
    </w:lvl>
    <w:lvl w:ilvl="6" w:tplc="B334430E" w:tentative="1">
      <w:start w:val="1"/>
      <w:numFmt w:val="bullet"/>
      <w:lvlText w:val="•"/>
      <w:lvlJc w:val="left"/>
      <w:pPr>
        <w:tabs>
          <w:tab w:val="num" w:pos="5040"/>
        </w:tabs>
        <w:ind w:left="5040" w:hanging="360"/>
      </w:pPr>
      <w:rPr>
        <w:rFonts w:ascii="Arial" w:hAnsi="Arial" w:hint="default"/>
      </w:rPr>
    </w:lvl>
    <w:lvl w:ilvl="7" w:tplc="020E3ACC" w:tentative="1">
      <w:start w:val="1"/>
      <w:numFmt w:val="bullet"/>
      <w:lvlText w:val="•"/>
      <w:lvlJc w:val="left"/>
      <w:pPr>
        <w:tabs>
          <w:tab w:val="num" w:pos="5760"/>
        </w:tabs>
        <w:ind w:left="5760" w:hanging="360"/>
      </w:pPr>
      <w:rPr>
        <w:rFonts w:ascii="Arial" w:hAnsi="Arial" w:hint="default"/>
      </w:rPr>
    </w:lvl>
    <w:lvl w:ilvl="8" w:tplc="EEC22E3A" w:tentative="1">
      <w:start w:val="1"/>
      <w:numFmt w:val="bullet"/>
      <w:lvlText w:val="•"/>
      <w:lvlJc w:val="left"/>
      <w:pPr>
        <w:tabs>
          <w:tab w:val="num" w:pos="6480"/>
        </w:tabs>
        <w:ind w:left="6480" w:hanging="360"/>
      </w:pPr>
      <w:rPr>
        <w:rFonts w:ascii="Arial" w:hAnsi="Arial" w:hint="default"/>
      </w:rPr>
    </w:lvl>
  </w:abstractNum>
  <w:abstractNum w:abstractNumId="625" w15:restartNumberingAfterBreak="0">
    <w:nsid w:val="6B863848"/>
    <w:multiLevelType w:val="hybridMultilevel"/>
    <w:tmpl w:val="A3A8D570"/>
    <w:lvl w:ilvl="0" w:tplc="420E85AC">
      <w:start w:val="1"/>
      <w:numFmt w:val="bullet"/>
      <w:lvlText w:val=""/>
      <w:lvlJc w:val="righ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626" w15:restartNumberingAfterBreak="0">
    <w:nsid w:val="6B904797"/>
    <w:multiLevelType w:val="hybridMultilevel"/>
    <w:tmpl w:val="5F9668B2"/>
    <w:lvl w:ilvl="0" w:tplc="53CABD30">
      <w:start w:val="1"/>
      <w:numFmt w:val="bullet"/>
      <w:lvlText w:val="-"/>
      <w:lvlJc w:val="left"/>
    </w:lvl>
    <w:lvl w:ilvl="1" w:tplc="BE1EF6B4">
      <w:numFmt w:val="decimal"/>
      <w:lvlText w:val=""/>
      <w:lvlJc w:val="left"/>
    </w:lvl>
    <w:lvl w:ilvl="2" w:tplc="E2D0EFAC">
      <w:numFmt w:val="decimal"/>
      <w:lvlText w:val=""/>
      <w:lvlJc w:val="left"/>
    </w:lvl>
    <w:lvl w:ilvl="3" w:tplc="3BA6A262">
      <w:numFmt w:val="decimal"/>
      <w:lvlText w:val=""/>
      <w:lvlJc w:val="left"/>
    </w:lvl>
    <w:lvl w:ilvl="4" w:tplc="0BF646B0">
      <w:numFmt w:val="decimal"/>
      <w:lvlText w:val=""/>
      <w:lvlJc w:val="left"/>
    </w:lvl>
    <w:lvl w:ilvl="5" w:tplc="5A2EE960">
      <w:numFmt w:val="decimal"/>
      <w:lvlText w:val=""/>
      <w:lvlJc w:val="left"/>
    </w:lvl>
    <w:lvl w:ilvl="6" w:tplc="8C4CA4AA">
      <w:numFmt w:val="decimal"/>
      <w:lvlText w:val=""/>
      <w:lvlJc w:val="left"/>
    </w:lvl>
    <w:lvl w:ilvl="7" w:tplc="96A495D4">
      <w:numFmt w:val="decimal"/>
      <w:lvlText w:val=""/>
      <w:lvlJc w:val="left"/>
    </w:lvl>
    <w:lvl w:ilvl="8" w:tplc="826873A2">
      <w:numFmt w:val="decimal"/>
      <w:lvlText w:val=""/>
      <w:lvlJc w:val="left"/>
    </w:lvl>
  </w:abstractNum>
  <w:abstractNum w:abstractNumId="627" w15:restartNumberingAfterBreak="0">
    <w:nsid w:val="6BA291C4"/>
    <w:multiLevelType w:val="hybridMultilevel"/>
    <w:tmpl w:val="8D2A0152"/>
    <w:lvl w:ilvl="0" w:tplc="04F200EA">
      <w:start w:val="1"/>
      <w:numFmt w:val="bullet"/>
      <w:lvlText w:val="•"/>
      <w:lvlJc w:val="left"/>
    </w:lvl>
    <w:lvl w:ilvl="1" w:tplc="649E9C18">
      <w:numFmt w:val="decimal"/>
      <w:lvlText w:val=""/>
      <w:lvlJc w:val="left"/>
    </w:lvl>
    <w:lvl w:ilvl="2" w:tplc="A9DC10E6">
      <w:numFmt w:val="decimal"/>
      <w:lvlText w:val=""/>
      <w:lvlJc w:val="left"/>
    </w:lvl>
    <w:lvl w:ilvl="3" w:tplc="C0DC39EE">
      <w:numFmt w:val="decimal"/>
      <w:lvlText w:val=""/>
      <w:lvlJc w:val="left"/>
    </w:lvl>
    <w:lvl w:ilvl="4" w:tplc="ED489F0C">
      <w:numFmt w:val="decimal"/>
      <w:lvlText w:val=""/>
      <w:lvlJc w:val="left"/>
    </w:lvl>
    <w:lvl w:ilvl="5" w:tplc="1BFAABAA">
      <w:numFmt w:val="decimal"/>
      <w:lvlText w:val=""/>
      <w:lvlJc w:val="left"/>
    </w:lvl>
    <w:lvl w:ilvl="6" w:tplc="37B4698C">
      <w:numFmt w:val="decimal"/>
      <w:lvlText w:val=""/>
      <w:lvlJc w:val="left"/>
    </w:lvl>
    <w:lvl w:ilvl="7" w:tplc="830263F4">
      <w:numFmt w:val="decimal"/>
      <w:lvlText w:val=""/>
      <w:lvlJc w:val="left"/>
    </w:lvl>
    <w:lvl w:ilvl="8" w:tplc="FF6EC966">
      <w:numFmt w:val="decimal"/>
      <w:lvlText w:val=""/>
      <w:lvlJc w:val="left"/>
    </w:lvl>
  </w:abstractNum>
  <w:abstractNum w:abstractNumId="628" w15:restartNumberingAfterBreak="0">
    <w:nsid w:val="6BED4A53"/>
    <w:multiLevelType w:val="hybridMultilevel"/>
    <w:tmpl w:val="213664FE"/>
    <w:lvl w:ilvl="0" w:tplc="EBCE0474">
      <w:start w:val="1"/>
      <w:numFmt w:val="bullet"/>
      <w:lvlText w:val="-"/>
      <w:lvlJc w:val="left"/>
    </w:lvl>
    <w:lvl w:ilvl="1" w:tplc="110E9C44">
      <w:numFmt w:val="decimal"/>
      <w:lvlText w:val=""/>
      <w:lvlJc w:val="left"/>
    </w:lvl>
    <w:lvl w:ilvl="2" w:tplc="6D2EF59E">
      <w:numFmt w:val="decimal"/>
      <w:lvlText w:val=""/>
      <w:lvlJc w:val="left"/>
    </w:lvl>
    <w:lvl w:ilvl="3" w:tplc="4ADAFCF8">
      <w:numFmt w:val="decimal"/>
      <w:lvlText w:val=""/>
      <w:lvlJc w:val="left"/>
    </w:lvl>
    <w:lvl w:ilvl="4" w:tplc="4672CF64">
      <w:numFmt w:val="decimal"/>
      <w:lvlText w:val=""/>
      <w:lvlJc w:val="left"/>
    </w:lvl>
    <w:lvl w:ilvl="5" w:tplc="B5DA16A8">
      <w:numFmt w:val="decimal"/>
      <w:lvlText w:val=""/>
      <w:lvlJc w:val="left"/>
    </w:lvl>
    <w:lvl w:ilvl="6" w:tplc="98B6E52E">
      <w:numFmt w:val="decimal"/>
      <w:lvlText w:val=""/>
      <w:lvlJc w:val="left"/>
    </w:lvl>
    <w:lvl w:ilvl="7" w:tplc="CAD4A572">
      <w:numFmt w:val="decimal"/>
      <w:lvlText w:val=""/>
      <w:lvlJc w:val="left"/>
    </w:lvl>
    <w:lvl w:ilvl="8" w:tplc="A656D7EE">
      <w:numFmt w:val="decimal"/>
      <w:lvlText w:val=""/>
      <w:lvlJc w:val="left"/>
    </w:lvl>
  </w:abstractNum>
  <w:abstractNum w:abstractNumId="629" w15:restartNumberingAfterBreak="0">
    <w:nsid w:val="6C0BE536"/>
    <w:multiLevelType w:val="hybridMultilevel"/>
    <w:tmpl w:val="E0220AC4"/>
    <w:lvl w:ilvl="0" w:tplc="3AAA1288">
      <w:start w:val="1"/>
      <w:numFmt w:val="bullet"/>
      <w:lvlText w:val="•"/>
      <w:lvlJc w:val="left"/>
    </w:lvl>
    <w:lvl w:ilvl="1" w:tplc="5114CBCC">
      <w:start w:val="15"/>
      <w:numFmt w:val="lowerLetter"/>
      <w:lvlText w:val="%2"/>
      <w:lvlJc w:val="left"/>
    </w:lvl>
    <w:lvl w:ilvl="2" w:tplc="C80E7016">
      <w:numFmt w:val="decimal"/>
      <w:lvlText w:val=""/>
      <w:lvlJc w:val="left"/>
    </w:lvl>
    <w:lvl w:ilvl="3" w:tplc="62944094">
      <w:numFmt w:val="decimal"/>
      <w:lvlText w:val=""/>
      <w:lvlJc w:val="left"/>
    </w:lvl>
    <w:lvl w:ilvl="4" w:tplc="E3EEDF8C">
      <w:numFmt w:val="decimal"/>
      <w:lvlText w:val=""/>
      <w:lvlJc w:val="left"/>
    </w:lvl>
    <w:lvl w:ilvl="5" w:tplc="9EC207AE">
      <w:numFmt w:val="decimal"/>
      <w:lvlText w:val=""/>
      <w:lvlJc w:val="left"/>
    </w:lvl>
    <w:lvl w:ilvl="6" w:tplc="0E10CBC6">
      <w:numFmt w:val="decimal"/>
      <w:lvlText w:val=""/>
      <w:lvlJc w:val="left"/>
    </w:lvl>
    <w:lvl w:ilvl="7" w:tplc="F550A146">
      <w:numFmt w:val="decimal"/>
      <w:lvlText w:val=""/>
      <w:lvlJc w:val="left"/>
    </w:lvl>
    <w:lvl w:ilvl="8" w:tplc="A348998A">
      <w:numFmt w:val="decimal"/>
      <w:lvlText w:val=""/>
      <w:lvlJc w:val="left"/>
    </w:lvl>
  </w:abstractNum>
  <w:abstractNum w:abstractNumId="630" w15:restartNumberingAfterBreak="0">
    <w:nsid w:val="6C17FCD6"/>
    <w:multiLevelType w:val="hybridMultilevel"/>
    <w:tmpl w:val="F9BE8408"/>
    <w:lvl w:ilvl="0" w:tplc="C70E1976">
      <w:start w:val="1"/>
      <w:numFmt w:val="bullet"/>
      <w:lvlText w:val="●"/>
      <w:lvlJc w:val="left"/>
    </w:lvl>
    <w:lvl w:ilvl="1" w:tplc="1400B0C2">
      <w:numFmt w:val="decimal"/>
      <w:lvlText w:val=""/>
      <w:lvlJc w:val="left"/>
    </w:lvl>
    <w:lvl w:ilvl="2" w:tplc="A170BA5C">
      <w:numFmt w:val="decimal"/>
      <w:lvlText w:val=""/>
      <w:lvlJc w:val="left"/>
    </w:lvl>
    <w:lvl w:ilvl="3" w:tplc="0FCEB9D8">
      <w:numFmt w:val="decimal"/>
      <w:lvlText w:val=""/>
      <w:lvlJc w:val="left"/>
    </w:lvl>
    <w:lvl w:ilvl="4" w:tplc="166ECAF8">
      <w:numFmt w:val="decimal"/>
      <w:lvlText w:val=""/>
      <w:lvlJc w:val="left"/>
    </w:lvl>
    <w:lvl w:ilvl="5" w:tplc="08701346">
      <w:numFmt w:val="decimal"/>
      <w:lvlText w:val=""/>
      <w:lvlJc w:val="left"/>
    </w:lvl>
    <w:lvl w:ilvl="6" w:tplc="A8F8BC40">
      <w:numFmt w:val="decimal"/>
      <w:lvlText w:val=""/>
      <w:lvlJc w:val="left"/>
    </w:lvl>
    <w:lvl w:ilvl="7" w:tplc="593A67B0">
      <w:numFmt w:val="decimal"/>
      <w:lvlText w:val=""/>
      <w:lvlJc w:val="left"/>
    </w:lvl>
    <w:lvl w:ilvl="8" w:tplc="6C264CE8">
      <w:numFmt w:val="decimal"/>
      <w:lvlText w:val=""/>
      <w:lvlJc w:val="left"/>
    </w:lvl>
  </w:abstractNum>
  <w:abstractNum w:abstractNumId="631" w15:restartNumberingAfterBreak="0">
    <w:nsid w:val="6C3A37B1"/>
    <w:multiLevelType w:val="hybridMultilevel"/>
    <w:tmpl w:val="36060D2C"/>
    <w:lvl w:ilvl="0" w:tplc="CF407792">
      <w:start w:val="1"/>
      <w:numFmt w:val="bullet"/>
      <w:lvlText w:val="•"/>
      <w:lvlJc w:val="left"/>
    </w:lvl>
    <w:lvl w:ilvl="1" w:tplc="BE78B362">
      <w:numFmt w:val="decimal"/>
      <w:lvlText w:val=""/>
      <w:lvlJc w:val="left"/>
    </w:lvl>
    <w:lvl w:ilvl="2" w:tplc="5A5AB65E">
      <w:numFmt w:val="decimal"/>
      <w:lvlText w:val=""/>
      <w:lvlJc w:val="left"/>
    </w:lvl>
    <w:lvl w:ilvl="3" w:tplc="D83890C8">
      <w:numFmt w:val="decimal"/>
      <w:lvlText w:val=""/>
      <w:lvlJc w:val="left"/>
    </w:lvl>
    <w:lvl w:ilvl="4" w:tplc="EAFA20B2">
      <w:numFmt w:val="decimal"/>
      <w:lvlText w:val=""/>
      <w:lvlJc w:val="left"/>
    </w:lvl>
    <w:lvl w:ilvl="5" w:tplc="D4902CAA">
      <w:numFmt w:val="decimal"/>
      <w:lvlText w:val=""/>
      <w:lvlJc w:val="left"/>
    </w:lvl>
    <w:lvl w:ilvl="6" w:tplc="C4882D58">
      <w:numFmt w:val="decimal"/>
      <w:lvlText w:val=""/>
      <w:lvlJc w:val="left"/>
    </w:lvl>
    <w:lvl w:ilvl="7" w:tplc="E3060966">
      <w:numFmt w:val="decimal"/>
      <w:lvlText w:val=""/>
      <w:lvlJc w:val="left"/>
    </w:lvl>
    <w:lvl w:ilvl="8" w:tplc="E4C63706">
      <w:numFmt w:val="decimal"/>
      <w:lvlText w:val=""/>
      <w:lvlJc w:val="left"/>
    </w:lvl>
  </w:abstractNum>
  <w:abstractNum w:abstractNumId="632" w15:restartNumberingAfterBreak="0">
    <w:nsid w:val="6C3DB3C4"/>
    <w:multiLevelType w:val="hybridMultilevel"/>
    <w:tmpl w:val="B2FC011A"/>
    <w:lvl w:ilvl="0" w:tplc="96B41368">
      <w:start w:val="1"/>
      <w:numFmt w:val="bullet"/>
      <w:lvlText w:val="•"/>
      <w:lvlJc w:val="left"/>
    </w:lvl>
    <w:lvl w:ilvl="1" w:tplc="CDFCBAAE">
      <w:numFmt w:val="decimal"/>
      <w:lvlText w:val=""/>
      <w:lvlJc w:val="left"/>
    </w:lvl>
    <w:lvl w:ilvl="2" w:tplc="4F82ACFC">
      <w:numFmt w:val="decimal"/>
      <w:lvlText w:val=""/>
      <w:lvlJc w:val="left"/>
    </w:lvl>
    <w:lvl w:ilvl="3" w:tplc="C25CED08">
      <w:numFmt w:val="decimal"/>
      <w:lvlText w:val=""/>
      <w:lvlJc w:val="left"/>
    </w:lvl>
    <w:lvl w:ilvl="4" w:tplc="CC24157E">
      <w:numFmt w:val="decimal"/>
      <w:lvlText w:val=""/>
      <w:lvlJc w:val="left"/>
    </w:lvl>
    <w:lvl w:ilvl="5" w:tplc="F416B15A">
      <w:numFmt w:val="decimal"/>
      <w:lvlText w:val=""/>
      <w:lvlJc w:val="left"/>
    </w:lvl>
    <w:lvl w:ilvl="6" w:tplc="75AEF7F0">
      <w:numFmt w:val="decimal"/>
      <w:lvlText w:val=""/>
      <w:lvlJc w:val="left"/>
    </w:lvl>
    <w:lvl w:ilvl="7" w:tplc="3850BB1C">
      <w:numFmt w:val="decimal"/>
      <w:lvlText w:val=""/>
      <w:lvlJc w:val="left"/>
    </w:lvl>
    <w:lvl w:ilvl="8" w:tplc="9D6EFC5E">
      <w:numFmt w:val="decimal"/>
      <w:lvlText w:val=""/>
      <w:lvlJc w:val="left"/>
    </w:lvl>
  </w:abstractNum>
  <w:abstractNum w:abstractNumId="633" w15:restartNumberingAfterBreak="0">
    <w:nsid w:val="6C5EC544"/>
    <w:multiLevelType w:val="hybridMultilevel"/>
    <w:tmpl w:val="242E436A"/>
    <w:lvl w:ilvl="0" w:tplc="AF1EC378">
      <w:start w:val="1"/>
      <w:numFmt w:val="bullet"/>
      <w:lvlText w:val="•"/>
      <w:lvlJc w:val="left"/>
    </w:lvl>
    <w:lvl w:ilvl="1" w:tplc="663EB53E">
      <w:start w:val="1"/>
      <w:numFmt w:val="bullet"/>
      <w:lvlText w:val="-"/>
      <w:lvlJc w:val="left"/>
    </w:lvl>
    <w:lvl w:ilvl="2" w:tplc="AF08437E">
      <w:numFmt w:val="decimal"/>
      <w:lvlText w:val=""/>
      <w:lvlJc w:val="left"/>
    </w:lvl>
    <w:lvl w:ilvl="3" w:tplc="A1FEFB6E">
      <w:numFmt w:val="decimal"/>
      <w:lvlText w:val=""/>
      <w:lvlJc w:val="left"/>
    </w:lvl>
    <w:lvl w:ilvl="4" w:tplc="4D925F32">
      <w:numFmt w:val="decimal"/>
      <w:lvlText w:val=""/>
      <w:lvlJc w:val="left"/>
    </w:lvl>
    <w:lvl w:ilvl="5" w:tplc="5C884AB0">
      <w:numFmt w:val="decimal"/>
      <w:lvlText w:val=""/>
      <w:lvlJc w:val="left"/>
    </w:lvl>
    <w:lvl w:ilvl="6" w:tplc="CF6866C2">
      <w:numFmt w:val="decimal"/>
      <w:lvlText w:val=""/>
      <w:lvlJc w:val="left"/>
    </w:lvl>
    <w:lvl w:ilvl="7" w:tplc="BDCA9448">
      <w:numFmt w:val="decimal"/>
      <w:lvlText w:val=""/>
      <w:lvlJc w:val="left"/>
    </w:lvl>
    <w:lvl w:ilvl="8" w:tplc="F230B812">
      <w:numFmt w:val="decimal"/>
      <w:lvlText w:val=""/>
      <w:lvlJc w:val="left"/>
    </w:lvl>
  </w:abstractNum>
  <w:abstractNum w:abstractNumId="634" w15:restartNumberingAfterBreak="0">
    <w:nsid w:val="6C7BA46C"/>
    <w:multiLevelType w:val="hybridMultilevel"/>
    <w:tmpl w:val="C3FC4C16"/>
    <w:lvl w:ilvl="0" w:tplc="711230BA">
      <w:start w:val="1"/>
      <w:numFmt w:val="bullet"/>
      <w:lvlText w:val="-"/>
      <w:lvlJc w:val="left"/>
    </w:lvl>
    <w:lvl w:ilvl="1" w:tplc="C7D48CD8">
      <w:start w:val="2"/>
      <w:numFmt w:val="upperLetter"/>
      <w:lvlText w:val="%2."/>
      <w:lvlJc w:val="left"/>
    </w:lvl>
    <w:lvl w:ilvl="2" w:tplc="DD6279D6">
      <w:start w:val="1"/>
      <w:numFmt w:val="bullet"/>
      <w:lvlText w:val="§"/>
      <w:lvlJc w:val="left"/>
    </w:lvl>
    <w:lvl w:ilvl="3" w:tplc="93E89B80">
      <w:start w:val="1"/>
      <w:numFmt w:val="bullet"/>
      <w:lvlText w:val="§"/>
      <w:lvlJc w:val="left"/>
    </w:lvl>
    <w:lvl w:ilvl="4" w:tplc="18608DB6">
      <w:start w:val="1"/>
      <w:numFmt w:val="bullet"/>
      <w:lvlText w:val="-"/>
      <w:lvlJc w:val="left"/>
    </w:lvl>
    <w:lvl w:ilvl="5" w:tplc="F8F43154">
      <w:numFmt w:val="decimal"/>
      <w:lvlText w:val=""/>
      <w:lvlJc w:val="left"/>
    </w:lvl>
    <w:lvl w:ilvl="6" w:tplc="B66E23F8">
      <w:numFmt w:val="decimal"/>
      <w:lvlText w:val=""/>
      <w:lvlJc w:val="left"/>
    </w:lvl>
    <w:lvl w:ilvl="7" w:tplc="511401F4">
      <w:numFmt w:val="decimal"/>
      <w:lvlText w:val=""/>
      <w:lvlJc w:val="left"/>
    </w:lvl>
    <w:lvl w:ilvl="8" w:tplc="6222113C">
      <w:numFmt w:val="decimal"/>
      <w:lvlText w:val=""/>
      <w:lvlJc w:val="left"/>
    </w:lvl>
  </w:abstractNum>
  <w:abstractNum w:abstractNumId="635" w15:restartNumberingAfterBreak="0">
    <w:nsid w:val="6C931BD2"/>
    <w:multiLevelType w:val="hybridMultilevel"/>
    <w:tmpl w:val="6E1CC11E"/>
    <w:lvl w:ilvl="0" w:tplc="DC36C4CA">
      <w:start w:val="14"/>
      <w:numFmt w:val="bullet"/>
      <w:lvlText w:val="-"/>
      <w:lvlJc w:val="left"/>
      <w:pPr>
        <w:ind w:left="720" w:hanging="360"/>
      </w:pPr>
      <w:rPr>
        <w:rFonts w:ascii="Times New Roman" w:eastAsia="Times New Roman" w:hAnsi="Times New Roman" w:cs="Times New Roman" w:hint="default"/>
        <w:color w:val="auto"/>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6" w15:restartNumberingAfterBreak="0">
    <w:nsid w:val="6CA92777"/>
    <w:multiLevelType w:val="hybridMultilevel"/>
    <w:tmpl w:val="7F0A46A8"/>
    <w:lvl w:ilvl="0" w:tplc="FB626D8E">
      <w:start w:val="1"/>
      <w:numFmt w:val="bullet"/>
      <w:lvlText w:val="•"/>
      <w:lvlJc w:val="left"/>
    </w:lvl>
    <w:lvl w:ilvl="1" w:tplc="7AE87B7A">
      <w:start w:val="1"/>
      <w:numFmt w:val="upperLetter"/>
      <w:lvlText w:val="%2"/>
      <w:lvlJc w:val="left"/>
    </w:lvl>
    <w:lvl w:ilvl="2" w:tplc="790649D8">
      <w:start w:val="1"/>
      <w:numFmt w:val="upperLetter"/>
      <w:lvlText w:val="%3"/>
      <w:lvlJc w:val="left"/>
    </w:lvl>
    <w:lvl w:ilvl="3" w:tplc="708AF9E6">
      <w:numFmt w:val="decimal"/>
      <w:lvlText w:val=""/>
      <w:lvlJc w:val="left"/>
    </w:lvl>
    <w:lvl w:ilvl="4" w:tplc="9940BDDC">
      <w:numFmt w:val="decimal"/>
      <w:lvlText w:val=""/>
      <w:lvlJc w:val="left"/>
    </w:lvl>
    <w:lvl w:ilvl="5" w:tplc="591CD860">
      <w:numFmt w:val="decimal"/>
      <w:lvlText w:val=""/>
      <w:lvlJc w:val="left"/>
    </w:lvl>
    <w:lvl w:ilvl="6" w:tplc="77044AF8">
      <w:numFmt w:val="decimal"/>
      <w:lvlText w:val=""/>
      <w:lvlJc w:val="left"/>
    </w:lvl>
    <w:lvl w:ilvl="7" w:tplc="6D8061E2">
      <w:numFmt w:val="decimal"/>
      <w:lvlText w:val=""/>
      <w:lvlJc w:val="left"/>
    </w:lvl>
    <w:lvl w:ilvl="8" w:tplc="B428D300">
      <w:numFmt w:val="decimal"/>
      <w:lvlText w:val=""/>
      <w:lvlJc w:val="left"/>
    </w:lvl>
  </w:abstractNum>
  <w:abstractNum w:abstractNumId="637" w15:restartNumberingAfterBreak="0">
    <w:nsid w:val="6CC81457"/>
    <w:multiLevelType w:val="hybridMultilevel"/>
    <w:tmpl w:val="41BE9A6A"/>
    <w:lvl w:ilvl="0" w:tplc="5F8047CE">
      <w:start w:val="1"/>
      <w:numFmt w:val="bullet"/>
      <w:lvlText w:val="•"/>
      <w:lvlJc w:val="left"/>
    </w:lvl>
    <w:lvl w:ilvl="1" w:tplc="38D01646">
      <w:numFmt w:val="decimal"/>
      <w:lvlText w:val=""/>
      <w:lvlJc w:val="left"/>
    </w:lvl>
    <w:lvl w:ilvl="2" w:tplc="E9AAD38E">
      <w:numFmt w:val="decimal"/>
      <w:lvlText w:val=""/>
      <w:lvlJc w:val="left"/>
    </w:lvl>
    <w:lvl w:ilvl="3" w:tplc="8D2077EC">
      <w:numFmt w:val="decimal"/>
      <w:lvlText w:val=""/>
      <w:lvlJc w:val="left"/>
    </w:lvl>
    <w:lvl w:ilvl="4" w:tplc="FF38D15A">
      <w:numFmt w:val="decimal"/>
      <w:lvlText w:val=""/>
      <w:lvlJc w:val="left"/>
    </w:lvl>
    <w:lvl w:ilvl="5" w:tplc="0EC61A66">
      <w:numFmt w:val="decimal"/>
      <w:lvlText w:val=""/>
      <w:lvlJc w:val="left"/>
    </w:lvl>
    <w:lvl w:ilvl="6" w:tplc="43B857BA">
      <w:numFmt w:val="decimal"/>
      <w:lvlText w:val=""/>
      <w:lvlJc w:val="left"/>
    </w:lvl>
    <w:lvl w:ilvl="7" w:tplc="ED3C9B0E">
      <w:numFmt w:val="decimal"/>
      <w:lvlText w:val=""/>
      <w:lvlJc w:val="left"/>
    </w:lvl>
    <w:lvl w:ilvl="8" w:tplc="0C94DE64">
      <w:numFmt w:val="decimal"/>
      <w:lvlText w:val=""/>
      <w:lvlJc w:val="left"/>
    </w:lvl>
  </w:abstractNum>
  <w:abstractNum w:abstractNumId="638" w15:restartNumberingAfterBreak="0">
    <w:nsid w:val="6D651B8D"/>
    <w:multiLevelType w:val="hybridMultilevel"/>
    <w:tmpl w:val="68109658"/>
    <w:lvl w:ilvl="0" w:tplc="15CC81B6">
      <w:start w:val="1"/>
      <w:numFmt w:val="bullet"/>
      <w:lvlText w:val="-"/>
      <w:lvlJc w:val="left"/>
    </w:lvl>
    <w:lvl w:ilvl="1" w:tplc="C0E48EF6">
      <w:start w:val="1"/>
      <w:numFmt w:val="bullet"/>
      <w:lvlText w:val="•"/>
      <w:lvlJc w:val="left"/>
    </w:lvl>
    <w:lvl w:ilvl="2" w:tplc="03FAD9B0">
      <w:numFmt w:val="decimal"/>
      <w:lvlText w:val=""/>
      <w:lvlJc w:val="left"/>
    </w:lvl>
    <w:lvl w:ilvl="3" w:tplc="C86EBB06">
      <w:numFmt w:val="decimal"/>
      <w:lvlText w:val=""/>
      <w:lvlJc w:val="left"/>
    </w:lvl>
    <w:lvl w:ilvl="4" w:tplc="7C52B1A4">
      <w:numFmt w:val="decimal"/>
      <w:lvlText w:val=""/>
      <w:lvlJc w:val="left"/>
    </w:lvl>
    <w:lvl w:ilvl="5" w:tplc="4D5408AC">
      <w:numFmt w:val="decimal"/>
      <w:lvlText w:val=""/>
      <w:lvlJc w:val="left"/>
    </w:lvl>
    <w:lvl w:ilvl="6" w:tplc="29065616">
      <w:numFmt w:val="decimal"/>
      <w:lvlText w:val=""/>
      <w:lvlJc w:val="left"/>
    </w:lvl>
    <w:lvl w:ilvl="7" w:tplc="022810F8">
      <w:numFmt w:val="decimal"/>
      <w:lvlText w:val=""/>
      <w:lvlJc w:val="left"/>
    </w:lvl>
    <w:lvl w:ilvl="8" w:tplc="52A4D400">
      <w:numFmt w:val="decimal"/>
      <w:lvlText w:val=""/>
      <w:lvlJc w:val="left"/>
    </w:lvl>
  </w:abstractNum>
  <w:abstractNum w:abstractNumId="639" w15:restartNumberingAfterBreak="0">
    <w:nsid w:val="6DD000C6"/>
    <w:multiLevelType w:val="hybridMultilevel"/>
    <w:tmpl w:val="A95C9FC8"/>
    <w:lvl w:ilvl="0" w:tplc="04050011">
      <w:start w:val="1"/>
      <w:numFmt w:val="decimal"/>
      <w:lvlText w:val="%1)"/>
      <w:lvlJc w:val="left"/>
    </w:lvl>
    <w:lvl w:ilvl="1" w:tplc="ECBC815E">
      <w:numFmt w:val="decimal"/>
      <w:lvlText w:val=""/>
      <w:lvlJc w:val="left"/>
    </w:lvl>
    <w:lvl w:ilvl="2" w:tplc="581A3BD6">
      <w:numFmt w:val="decimal"/>
      <w:lvlText w:val=""/>
      <w:lvlJc w:val="left"/>
    </w:lvl>
    <w:lvl w:ilvl="3" w:tplc="FCD8A362">
      <w:numFmt w:val="decimal"/>
      <w:lvlText w:val=""/>
      <w:lvlJc w:val="left"/>
    </w:lvl>
    <w:lvl w:ilvl="4" w:tplc="8FEE399A">
      <w:numFmt w:val="decimal"/>
      <w:lvlText w:val=""/>
      <w:lvlJc w:val="left"/>
    </w:lvl>
    <w:lvl w:ilvl="5" w:tplc="5464E3EE">
      <w:numFmt w:val="decimal"/>
      <w:lvlText w:val=""/>
      <w:lvlJc w:val="left"/>
    </w:lvl>
    <w:lvl w:ilvl="6" w:tplc="A95E208E">
      <w:numFmt w:val="decimal"/>
      <w:lvlText w:val=""/>
      <w:lvlJc w:val="left"/>
    </w:lvl>
    <w:lvl w:ilvl="7" w:tplc="2DFA2B9A">
      <w:numFmt w:val="decimal"/>
      <w:lvlText w:val=""/>
      <w:lvlJc w:val="left"/>
    </w:lvl>
    <w:lvl w:ilvl="8" w:tplc="F79EEFC8">
      <w:numFmt w:val="decimal"/>
      <w:lvlText w:val=""/>
      <w:lvlJc w:val="left"/>
    </w:lvl>
  </w:abstractNum>
  <w:abstractNum w:abstractNumId="640" w15:restartNumberingAfterBreak="0">
    <w:nsid w:val="6E022D01"/>
    <w:multiLevelType w:val="hybridMultilevel"/>
    <w:tmpl w:val="1C3C996A"/>
    <w:lvl w:ilvl="0" w:tplc="15DA8B24">
      <w:start w:val="1"/>
      <w:numFmt w:val="bullet"/>
      <w:lvlText w:val="-"/>
      <w:lvlJc w:val="left"/>
    </w:lvl>
    <w:lvl w:ilvl="1" w:tplc="76E0F802">
      <w:numFmt w:val="decimal"/>
      <w:lvlText w:val=""/>
      <w:lvlJc w:val="left"/>
    </w:lvl>
    <w:lvl w:ilvl="2" w:tplc="003C3722">
      <w:numFmt w:val="decimal"/>
      <w:lvlText w:val=""/>
      <w:lvlJc w:val="left"/>
    </w:lvl>
    <w:lvl w:ilvl="3" w:tplc="65EC9DD8">
      <w:numFmt w:val="decimal"/>
      <w:lvlText w:val=""/>
      <w:lvlJc w:val="left"/>
    </w:lvl>
    <w:lvl w:ilvl="4" w:tplc="11C86DB4">
      <w:numFmt w:val="decimal"/>
      <w:lvlText w:val=""/>
      <w:lvlJc w:val="left"/>
    </w:lvl>
    <w:lvl w:ilvl="5" w:tplc="210293CC">
      <w:numFmt w:val="decimal"/>
      <w:lvlText w:val=""/>
      <w:lvlJc w:val="left"/>
    </w:lvl>
    <w:lvl w:ilvl="6" w:tplc="A32C6D6E">
      <w:numFmt w:val="decimal"/>
      <w:lvlText w:val=""/>
      <w:lvlJc w:val="left"/>
    </w:lvl>
    <w:lvl w:ilvl="7" w:tplc="93549AB2">
      <w:numFmt w:val="decimal"/>
      <w:lvlText w:val=""/>
      <w:lvlJc w:val="left"/>
    </w:lvl>
    <w:lvl w:ilvl="8" w:tplc="31C6C150">
      <w:numFmt w:val="decimal"/>
      <w:lvlText w:val=""/>
      <w:lvlJc w:val="left"/>
    </w:lvl>
  </w:abstractNum>
  <w:abstractNum w:abstractNumId="641" w15:restartNumberingAfterBreak="0">
    <w:nsid w:val="6E27B56B"/>
    <w:multiLevelType w:val="hybridMultilevel"/>
    <w:tmpl w:val="B46056D0"/>
    <w:lvl w:ilvl="0" w:tplc="FB0E14B0">
      <w:start w:val="1"/>
      <w:numFmt w:val="bullet"/>
      <w:lvlText w:val="•"/>
      <w:lvlJc w:val="left"/>
    </w:lvl>
    <w:lvl w:ilvl="1" w:tplc="EFD214FE">
      <w:numFmt w:val="decimal"/>
      <w:lvlText w:val=""/>
      <w:lvlJc w:val="left"/>
    </w:lvl>
    <w:lvl w:ilvl="2" w:tplc="C16A9718">
      <w:numFmt w:val="decimal"/>
      <w:lvlText w:val=""/>
      <w:lvlJc w:val="left"/>
    </w:lvl>
    <w:lvl w:ilvl="3" w:tplc="E5E03ED8">
      <w:numFmt w:val="decimal"/>
      <w:lvlText w:val=""/>
      <w:lvlJc w:val="left"/>
    </w:lvl>
    <w:lvl w:ilvl="4" w:tplc="6B6A4E40">
      <w:numFmt w:val="decimal"/>
      <w:lvlText w:val=""/>
      <w:lvlJc w:val="left"/>
    </w:lvl>
    <w:lvl w:ilvl="5" w:tplc="4EA44432">
      <w:numFmt w:val="decimal"/>
      <w:lvlText w:val=""/>
      <w:lvlJc w:val="left"/>
    </w:lvl>
    <w:lvl w:ilvl="6" w:tplc="7F623BC6">
      <w:numFmt w:val="decimal"/>
      <w:lvlText w:val=""/>
      <w:lvlJc w:val="left"/>
    </w:lvl>
    <w:lvl w:ilvl="7" w:tplc="63BCA502">
      <w:numFmt w:val="decimal"/>
      <w:lvlText w:val=""/>
      <w:lvlJc w:val="left"/>
    </w:lvl>
    <w:lvl w:ilvl="8" w:tplc="F0CE912C">
      <w:numFmt w:val="decimal"/>
      <w:lvlText w:val=""/>
      <w:lvlJc w:val="left"/>
    </w:lvl>
  </w:abstractNum>
  <w:abstractNum w:abstractNumId="642" w15:restartNumberingAfterBreak="0">
    <w:nsid w:val="6E9DEAD0"/>
    <w:multiLevelType w:val="hybridMultilevel"/>
    <w:tmpl w:val="D1B49D0C"/>
    <w:lvl w:ilvl="0" w:tplc="3FD2EC10">
      <w:start w:val="1"/>
      <w:numFmt w:val="lowerLetter"/>
      <w:lvlText w:val="%1)"/>
      <w:lvlJc w:val="left"/>
    </w:lvl>
    <w:lvl w:ilvl="1" w:tplc="D0ECA93E">
      <w:numFmt w:val="decimal"/>
      <w:lvlText w:val=""/>
      <w:lvlJc w:val="left"/>
    </w:lvl>
    <w:lvl w:ilvl="2" w:tplc="35D2FFB6">
      <w:numFmt w:val="decimal"/>
      <w:lvlText w:val=""/>
      <w:lvlJc w:val="left"/>
    </w:lvl>
    <w:lvl w:ilvl="3" w:tplc="6E24B63E">
      <w:numFmt w:val="decimal"/>
      <w:lvlText w:val=""/>
      <w:lvlJc w:val="left"/>
    </w:lvl>
    <w:lvl w:ilvl="4" w:tplc="1D28EF14">
      <w:numFmt w:val="decimal"/>
      <w:lvlText w:val=""/>
      <w:lvlJc w:val="left"/>
    </w:lvl>
    <w:lvl w:ilvl="5" w:tplc="9A88E96E">
      <w:numFmt w:val="decimal"/>
      <w:lvlText w:val=""/>
      <w:lvlJc w:val="left"/>
    </w:lvl>
    <w:lvl w:ilvl="6" w:tplc="B1DCDEBC">
      <w:numFmt w:val="decimal"/>
      <w:lvlText w:val=""/>
      <w:lvlJc w:val="left"/>
    </w:lvl>
    <w:lvl w:ilvl="7" w:tplc="53684338">
      <w:numFmt w:val="decimal"/>
      <w:lvlText w:val=""/>
      <w:lvlJc w:val="left"/>
    </w:lvl>
    <w:lvl w:ilvl="8" w:tplc="49AE0568">
      <w:numFmt w:val="decimal"/>
      <w:lvlText w:val=""/>
      <w:lvlJc w:val="left"/>
    </w:lvl>
  </w:abstractNum>
  <w:abstractNum w:abstractNumId="643" w15:restartNumberingAfterBreak="0">
    <w:nsid w:val="6EBD1B3C"/>
    <w:multiLevelType w:val="hybridMultilevel"/>
    <w:tmpl w:val="1C52E2E8"/>
    <w:lvl w:ilvl="0" w:tplc="53CABD30">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4" w15:restartNumberingAfterBreak="0">
    <w:nsid w:val="6F0463F1"/>
    <w:multiLevelType w:val="hybridMultilevel"/>
    <w:tmpl w:val="134837B0"/>
    <w:lvl w:ilvl="0" w:tplc="D4A68198">
      <w:start w:val="1"/>
      <w:numFmt w:val="bullet"/>
      <w:lvlText w:val="-"/>
      <w:lvlJc w:val="left"/>
    </w:lvl>
    <w:lvl w:ilvl="1" w:tplc="29309A98">
      <w:start w:val="1"/>
      <w:numFmt w:val="bullet"/>
      <w:lvlText w:val="•"/>
      <w:lvlJc w:val="left"/>
    </w:lvl>
    <w:lvl w:ilvl="2" w:tplc="4A2AB1FE">
      <w:numFmt w:val="decimal"/>
      <w:lvlText w:val=""/>
      <w:lvlJc w:val="left"/>
    </w:lvl>
    <w:lvl w:ilvl="3" w:tplc="DDD017A2">
      <w:numFmt w:val="decimal"/>
      <w:lvlText w:val=""/>
      <w:lvlJc w:val="left"/>
    </w:lvl>
    <w:lvl w:ilvl="4" w:tplc="0824BA80">
      <w:numFmt w:val="decimal"/>
      <w:lvlText w:val=""/>
      <w:lvlJc w:val="left"/>
    </w:lvl>
    <w:lvl w:ilvl="5" w:tplc="3DE4A5A4">
      <w:numFmt w:val="decimal"/>
      <w:lvlText w:val=""/>
      <w:lvlJc w:val="left"/>
    </w:lvl>
    <w:lvl w:ilvl="6" w:tplc="30384316">
      <w:numFmt w:val="decimal"/>
      <w:lvlText w:val=""/>
      <w:lvlJc w:val="left"/>
    </w:lvl>
    <w:lvl w:ilvl="7" w:tplc="11CC1B48">
      <w:numFmt w:val="decimal"/>
      <w:lvlText w:val=""/>
      <w:lvlJc w:val="left"/>
    </w:lvl>
    <w:lvl w:ilvl="8" w:tplc="E1147D5A">
      <w:numFmt w:val="decimal"/>
      <w:lvlText w:val=""/>
      <w:lvlJc w:val="left"/>
    </w:lvl>
  </w:abstractNum>
  <w:abstractNum w:abstractNumId="645" w15:restartNumberingAfterBreak="0">
    <w:nsid w:val="6F3E6D78"/>
    <w:multiLevelType w:val="hybridMultilevel"/>
    <w:tmpl w:val="369EDBE4"/>
    <w:lvl w:ilvl="0" w:tplc="42DA0694">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6" w15:restartNumberingAfterBreak="0">
    <w:nsid w:val="6F530E95"/>
    <w:multiLevelType w:val="hybridMultilevel"/>
    <w:tmpl w:val="C09CBDF6"/>
    <w:lvl w:ilvl="0" w:tplc="04050001">
      <w:start w:val="1"/>
      <w:numFmt w:val="bullet"/>
      <w:lvlText w:val=""/>
      <w:lvlJc w:val="left"/>
      <w:pPr>
        <w:ind w:left="1540" w:hanging="360"/>
      </w:pPr>
      <w:rPr>
        <w:rFonts w:ascii="Symbol" w:hAnsi="Symbol" w:hint="default"/>
      </w:rPr>
    </w:lvl>
    <w:lvl w:ilvl="1" w:tplc="04050003" w:tentative="1">
      <w:start w:val="1"/>
      <w:numFmt w:val="bullet"/>
      <w:lvlText w:val="o"/>
      <w:lvlJc w:val="left"/>
      <w:pPr>
        <w:ind w:left="2260" w:hanging="360"/>
      </w:pPr>
      <w:rPr>
        <w:rFonts w:ascii="Courier New" w:hAnsi="Courier New" w:cs="Courier New" w:hint="default"/>
      </w:rPr>
    </w:lvl>
    <w:lvl w:ilvl="2" w:tplc="04050005" w:tentative="1">
      <w:start w:val="1"/>
      <w:numFmt w:val="bullet"/>
      <w:lvlText w:val=""/>
      <w:lvlJc w:val="left"/>
      <w:pPr>
        <w:ind w:left="2980" w:hanging="360"/>
      </w:pPr>
      <w:rPr>
        <w:rFonts w:ascii="Wingdings" w:hAnsi="Wingdings" w:hint="default"/>
      </w:rPr>
    </w:lvl>
    <w:lvl w:ilvl="3" w:tplc="04050001" w:tentative="1">
      <w:start w:val="1"/>
      <w:numFmt w:val="bullet"/>
      <w:lvlText w:val=""/>
      <w:lvlJc w:val="left"/>
      <w:pPr>
        <w:ind w:left="3700" w:hanging="360"/>
      </w:pPr>
      <w:rPr>
        <w:rFonts w:ascii="Symbol" w:hAnsi="Symbol" w:hint="default"/>
      </w:rPr>
    </w:lvl>
    <w:lvl w:ilvl="4" w:tplc="04050003" w:tentative="1">
      <w:start w:val="1"/>
      <w:numFmt w:val="bullet"/>
      <w:lvlText w:val="o"/>
      <w:lvlJc w:val="left"/>
      <w:pPr>
        <w:ind w:left="4420" w:hanging="360"/>
      </w:pPr>
      <w:rPr>
        <w:rFonts w:ascii="Courier New" w:hAnsi="Courier New" w:cs="Courier New" w:hint="default"/>
      </w:rPr>
    </w:lvl>
    <w:lvl w:ilvl="5" w:tplc="04050005" w:tentative="1">
      <w:start w:val="1"/>
      <w:numFmt w:val="bullet"/>
      <w:lvlText w:val=""/>
      <w:lvlJc w:val="left"/>
      <w:pPr>
        <w:ind w:left="5140" w:hanging="360"/>
      </w:pPr>
      <w:rPr>
        <w:rFonts w:ascii="Wingdings" w:hAnsi="Wingdings" w:hint="default"/>
      </w:rPr>
    </w:lvl>
    <w:lvl w:ilvl="6" w:tplc="04050001" w:tentative="1">
      <w:start w:val="1"/>
      <w:numFmt w:val="bullet"/>
      <w:lvlText w:val=""/>
      <w:lvlJc w:val="left"/>
      <w:pPr>
        <w:ind w:left="5860" w:hanging="360"/>
      </w:pPr>
      <w:rPr>
        <w:rFonts w:ascii="Symbol" w:hAnsi="Symbol" w:hint="default"/>
      </w:rPr>
    </w:lvl>
    <w:lvl w:ilvl="7" w:tplc="04050003" w:tentative="1">
      <w:start w:val="1"/>
      <w:numFmt w:val="bullet"/>
      <w:lvlText w:val="o"/>
      <w:lvlJc w:val="left"/>
      <w:pPr>
        <w:ind w:left="6580" w:hanging="360"/>
      </w:pPr>
      <w:rPr>
        <w:rFonts w:ascii="Courier New" w:hAnsi="Courier New" w:cs="Courier New" w:hint="default"/>
      </w:rPr>
    </w:lvl>
    <w:lvl w:ilvl="8" w:tplc="04050005" w:tentative="1">
      <w:start w:val="1"/>
      <w:numFmt w:val="bullet"/>
      <w:lvlText w:val=""/>
      <w:lvlJc w:val="left"/>
      <w:pPr>
        <w:ind w:left="7300" w:hanging="360"/>
      </w:pPr>
      <w:rPr>
        <w:rFonts w:ascii="Wingdings" w:hAnsi="Wingdings" w:hint="default"/>
      </w:rPr>
    </w:lvl>
  </w:abstractNum>
  <w:abstractNum w:abstractNumId="647" w15:restartNumberingAfterBreak="0">
    <w:nsid w:val="6F9EA0D1"/>
    <w:multiLevelType w:val="hybridMultilevel"/>
    <w:tmpl w:val="FEA20F7A"/>
    <w:lvl w:ilvl="0" w:tplc="F914F60A">
      <w:start w:val="1"/>
      <w:numFmt w:val="bullet"/>
      <w:lvlText w:val="-"/>
      <w:lvlJc w:val="left"/>
    </w:lvl>
    <w:lvl w:ilvl="1" w:tplc="A82E8EDA">
      <w:numFmt w:val="decimal"/>
      <w:lvlText w:val=""/>
      <w:lvlJc w:val="left"/>
    </w:lvl>
    <w:lvl w:ilvl="2" w:tplc="EDDE12D0">
      <w:numFmt w:val="decimal"/>
      <w:lvlText w:val=""/>
      <w:lvlJc w:val="left"/>
    </w:lvl>
    <w:lvl w:ilvl="3" w:tplc="0E1471D0">
      <w:numFmt w:val="decimal"/>
      <w:lvlText w:val=""/>
      <w:lvlJc w:val="left"/>
    </w:lvl>
    <w:lvl w:ilvl="4" w:tplc="9424D3EC">
      <w:numFmt w:val="decimal"/>
      <w:lvlText w:val=""/>
      <w:lvlJc w:val="left"/>
    </w:lvl>
    <w:lvl w:ilvl="5" w:tplc="7EE4597A">
      <w:numFmt w:val="decimal"/>
      <w:lvlText w:val=""/>
      <w:lvlJc w:val="left"/>
    </w:lvl>
    <w:lvl w:ilvl="6" w:tplc="FFF4CD30">
      <w:numFmt w:val="decimal"/>
      <w:lvlText w:val=""/>
      <w:lvlJc w:val="left"/>
    </w:lvl>
    <w:lvl w:ilvl="7" w:tplc="3CC84518">
      <w:numFmt w:val="decimal"/>
      <w:lvlText w:val=""/>
      <w:lvlJc w:val="left"/>
    </w:lvl>
    <w:lvl w:ilvl="8" w:tplc="0EEA9D02">
      <w:numFmt w:val="decimal"/>
      <w:lvlText w:val=""/>
      <w:lvlJc w:val="left"/>
    </w:lvl>
  </w:abstractNum>
  <w:abstractNum w:abstractNumId="648" w15:restartNumberingAfterBreak="0">
    <w:nsid w:val="6FB94202"/>
    <w:multiLevelType w:val="hybridMultilevel"/>
    <w:tmpl w:val="71FC520E"/>
    <w:lvl w:ilvl="0" w:tplc="04050011">
      <w:start w:val="1"/>
      <w:numFmt w:val="decimal"/>
      <w:lvlText w:val="%1)"/>
      <w:lvlJc w:val="left"/>
    </w:lvl>
    <w:lvl w:ilvl="1" w:tplc="E3E8DF48">
      <w:start w:val="1"/>
      <w:numFmt w:val="bullet"/>
      <w:lvlText w:val="-"/>
      <w:lvlJc w:val="left"/>
    </w:lvl>
    <w:lvl w:ilvl="2" w:tplc="6436E362">
      <w:numFmt w:val="decimal"/>
      <w:lvlText w:val=""/>
      <w:lvlJc w:val="left"/>
    </w:lvl>
    <w:lvl w:ilvl="3" w:tplc="AC082544">
      <w:numFmt w:val="decimal"/>
      <w:lvlText w:val=""/>
      <w:lvlJc w:val="left"/>
    </w:lvl>
    <w:lvl w:ilvl="4" w:tplc="2750ABDA">
      <w:numFmt w:val="decimal"/>
      <w:lvlText w:val=""/>
      <w:lvlJc w:val="left"/>
    </w:lvl>
    <w:lvl w:ilvl="5" w:tplc="761ED930">
      <w:numFmt w:val="decimal"/>
      <w:lvlText w:val=""/>
      <w:lvlJc w:val="left"/>
    </w:lvl>
    <w:lvl w:ilvl="6" w:tplc="9690A7FA">
      <w:numFmt w:val="decimal"/>
      <w:lvlText w:val=""/>
      <w:lvlJc w:val="left"/>
    </w:lvl>
    <w:lvl w:ilvl="7" w:tplc="C6BEFCA4">
      <w:numFmt w:val="decimal"/>
      <w:lvlText w:val=""/>
      <w:lvlJc w:val="left"/>
    </w:lvl>
    <w:lvl w:ilvl="8" w:tplc="BCE66E6C">
      <w:numFmt w:val="decimal"/>
      <w:lvlText w:val=""/>
      <w:lvlJc w:val="left"/>
    </w:lvl>
  </w:abstractNum>
  <w:abstractNum w:abstractNumId="649" w15:restartNumberingAfterBreak="0">
    <w:nsid w:val="6FC1A0D4"/>
    <w:multiLevelType w:val="hybridMultilevel"/>
    <w:tmpl w:val="87649122"/>
    <w:lvl w:ilvl="0" w:tplc="6CA4529C">
      <w:start w:val="2"/>
      <w:numFmt w:val="lowerLetter"/>
      <w:lvlText w:val="%1)"/>
      <w:lvlJc w:val="left"/>
    </w:lvl>
    <w:lvl w:ilvl="1" w:tplc="89FAB010">
      <w:numFmt w:val="decimal"/>
      <w:lvlText w:val=""/>
      <w:lvlJc w:val="left"/>
    </w:lvl>
    <w:lvl w:ilvl="2" w:tplc="D412469E">
      <w:numFmt w:val="decimal"/>
      <w:lvlText w:val=""/>
      <w:lvlJc w:val="left"/>
    </w:lvl>
    <w:lvl w:ilvl="3" w:tplc="84FAD412">
      <w:numFmt w:val="decimal"/>
      <w:lvlText w:val=""/>
      <w:lvlJc w:val="left"/>
    </w:lvl>
    <w:lvl w:ilvl="4" w:tplc="39AAB48C">
      <w:numFmt w:val="decimal"/>
      <w:lvlText w:val=""/>
      <w:lvlJc w:val="left"/>
    </w:lvl>
    <w:lvl w:ilvl="5" w:tplc="E9E81644">
      <w:numFmt w:val="decimal"/>
      <w:lvlText w:val=""/>
      <w:lvlJc w:val="left"/>
    </w:lvl>
    <w:lvl w:ilvl="6" w:tplc="A36E5AE0">
      <w:numFmt w:val="decimal"/>
      <w:lvlText w:val=""/>
      <w:lvlJc w:val="left"/>
    </w:lvl>
    <w:lvl w:ilvl="7" w:tplc="B106B146">
      <w:numFmt w:val="decimal"/>
      <w:lvlText w:val=""/>
      <w:lvlJc w:val="left"/>
    </w:lvl>
    <w:lvl w:ilvl="8" w:tplc="5A0628A2">
      <w:numFmt w:val="decimal"/>
      <w:lvlText w:val=""/>
      <w:lvlJc w:val="left"/>
    </w:lvl>
  </w:abstractNum>
  <w:abstractNum w:abstractNumId="650" w15:restartNumberingAfterBreak="0">
    <w:nsid w:val="7044C6EF"/>
    <w:multiLevelType w:val="hybridMultilevel"/>
    <w:tmpl w:val="1F4888BA"/>
    <w:lvl w:ilvl="0" w:tplc="C1325142">
      <w:start w:val="1"/>
      <w:numFmt w:val="bullet"/>
      <w:lvlText w:val="•"/>
      <w:lvlJc w:val="left"/>
    </w:lvl>
    <w:lvl w:ilvl="1" w:tplc="E398E1AA">
      <w:numFmt w:val="decimal"/>
      <w:lvlText w:val=""/>
      <w:lvlJc w:val="left"/>
    </w:lvl>
    <w:lvl w:ilvl="2" w:tplc="B32A0522">
      <w:numFmt w:val="decimal"/>
      <w:lvlText w:val=""/>
      <w:lvlJc w:val="left"/>
    </w:lvl>
    <w:lvl w:ilvl="3" w:tplc="252A2166">
      <w:numFmt w:val="decimal"/>
      <w:lvlText w:val=""/>
      <w:lvlJc w:val="left"/>
    </w:lvl>
    <w:lvl w:ilvl="4" w:tplc="A0C08826">
      <w:numFmt w:val="decimal"/>
      <w:lvlText w:val=""/>
      <w:lvlJc w:val="left"/>
    </w:lvl>
    <w:lvl w:ilvl="5" w:tplc="7F0C932E">
      <w:numFmt w:val="decimal"/>
      <w:lvlText w:val=""/>
      <w:lvlJc w:val="left"/>
    </w:lvl>
    <w:lvl w:ilvl="6" w:tplc="E0DA8BD6">
      <w:numFmt w:val="decimal"/>
      <w:lvlText w:val=""/>
      <w:lvlJc w:val="left"/>
    </w:lvl>
    <w:lvl w:ilvl="7" w:tplc="FCC4ABB4">
      <w:numFmt w:val="decimal"/>
      <w:lvlText w:val=""/>
      <w:lvlJc w:val="left"/>
    </w:lvl>
    <w:lvl w:ilvl="8" w:tplc="82A454DC">
      <w:numFmt w:val="decimal"/>
      <w:lvlText w:val=""/>
      <w:lvlJc w:val="left"/>
    </w:lvl>
  </w:abstractNum>
  <w:abstractNum w:abstractNumId="651" w15:restartNumberingAfterBreak="0">
    <w:nsid w:val="70A00F05"/>
    <w:multiLevelType w:val="hybridMultilevel"/>
    <w:tmpl w:val="140C5942"/>
    <w:lvl w:ilvl="0" w:tplc="B238AC9A">
      <w:start w:val="1"/>
      <w:numFmt w:val="bullet"/>
      <w:lvlText w:val="•"/>
      <w:lvlJc w:val="left"/>
    </w:lvl>
    <w:lvl w:ilvl="1" w:tplc="FB0EDA4E">
      <w:numFmt w:val="decimal"/>
      <w:lvlText w:val=""/>
      <w:lvlJc w:val="left"/>
    </w:lvl>
    <w:lvl w:ilvl="2" w:tplc="6804ECDE">
      <w:numFmt w:val="decimal"/>
      <w:lvlText w:val=""/>
      <w:lvlJc w:val="left"/>
    </w:lvl>
    <w:lvl w:ilvl="3" w:tplc="B9989616">
      <w:numFmt w:val="decimal"/>
      <w:lvlText w:val=""/>
      <w:lvlJc w:val="left"/>
    </w:lvl>
    <w:lvl w:ilvl="4" w:tplc="750CD1D6">
      <w:numFmt w:val="decimal"/>
      <w:lvlText w:val=""/>
      <w:lvlJc w:val="left"/>
    </w:lvl>
    <w:lvl w:ilvl="5" w:tplc="9A7AB4D0">
      <w:numFmt w:val="decimal"/>
      <w:lvlText w:val=""/>
      <w:lvlJc w:val="left"/>
    </w:lvl>
    <w:lvl w:ilvl="6" w:tplc="10909F64">
      <w:numFmt w:val="decimal"/>
      <w:lvlText w:val=""/>
      <w:lvlJc w:val="left"/>
    </w:lvl>
    <w:lvl w:ilvl="7" w:tplc="692C3078">
      <w:numFmt w:val="decimal"/>
      <w:lvlText w:val=""/>
      <w:lvlJc w:val="left"/>
    </w:lvl>
    <w:lvl w:ilvl="8" w:tplc="C700FE04">
      <w:numFmt w:val="decimal"/>
      <w:lvlText w:val=""/>
      <w:lvlJc w:val="left"/>
    </w:lvl>
  </w:abstractNum>
  <w:abstractNum w:abstractNumId="652" w15:restartNumberingAfterBreak="0">
    <w:nsid w:val="70BBEAE6"/>
    <w:multiLevelType w:val="hybridMultilevel"/>
    <w:tmpl w:val="C55AB71E"/>
    <w:lvl w:ilvl="0" w:tplc="6A8A967E">
      <w:start w:val="1"/>
      <w:numFmt w:val="bullet"/>
      <w:lvlText w:val="•"/>
      <w:lvlJc w:val="left"/>
    </w:lvl>
    <w:lvl w:ilvl="1" w:tplc="E4100034">
      <w:numFmt w:val="decimal"/>
      <w:lvlText w:val=""/>
      <w:lvlJc w:val="left"/>
    </w:lvl>
    <w:lvl w:ilvl="2" w:tplc="390E5FD2">
      <w:numFmt w:val="decimal"/>
      <w:lvlText w:val=""/>
      <w:lvlJc w:val="left"/>
    </w:lvl>
    <w:lvl w:ilvl="3" w:tplc="5C48AFC6">
      <w:numFmt w:val="decimal"/>
      <w:lvlText w:val=""/>
      <w:lvlJc w:val="left"/>
    </w:lvl>
    <w:lvl w:ilvl="4" w:tplc="B8842FAC">
      <w:numFmt w:val="decimal"/>
      <w:lvlText w:val=""/>
      <w:lvlJc w:val="left"/>
    </w:lvl>
    <w:lvl w:ilvl="5" w:tplc="453C62B8">
      <w:numFmt w:val="decimal"/>
      <w:lvlText w:val=""/>
      <w:lvlJc w:val="left"/>
    </w:lvl>
    <w:lvl w:ilvl="6" w:tplc="8BC47002">
      <w:numFmt w:val="decimal"/>
      <w:lvlText w:val=""/>
      <w:lvlJc w:val="left"/>
    </w:lvl>
    <w:lvl w:ilvl="7" w:tplc="7D94F8D6">
      <w:numFmt w:val="decimal"/>
      <w:lvlText w:val=""/>
      <w:lvlJc w:val="left"/>
    </w:lvl>
    <w:lvl w:ilvl="8" w:tplc="E9F63D1E">
      <w:numFmt w:val="decimal"/>
      <w:lvlText w:val=""/>
      <w:lvlJc w:val="left"/>
    </w:lvl>
  </w:abstractNum>
  <w:abstractNum w:abstractNumId="653" w15:restartNumberingAfterBreak="0">
    <w:nsid w:val="7103CB06"/>
    <w:multiLevelType w:val="hybridMultilevel"/>
    <w:tmpl w:val="B5BA35D8"/>
    <w:lvl w:ilvl="0" w:tplc="26C6F02C">
      <w:start w:val="1"/>
      <w:numFmt w:val="bullet"/>
      <w:lvlText w:val="-"/>
      <w:lvlJc w:val="left"/>
    </w:lvl>
    <w:lvl w:ilvl="1" w:tplc="6B60A698">
      <w:numFmt w:val="decimal"/>
      <w:lvlText w:val=""/>
      <w:lvlJc w:val="left"/>
    </w:lvl>
    <w:lvl w:ilvl="2" w:tplc="C748AFC4">
      <w:numFmt w:val="decimal"/>
      <w:lvlText w:val=""/>
      <w:lvlJc w:val="left"/>
    </w:lvl>
    <w:lvl w:ilvl="3" w:tplc="7D64E99A">
      <w:numFmt w:val="decimal"/>
      <w:lvlText w:val=""/>
      <w:lvlJc w:val="left"/>
    </w:lvl>
    <w:lvl w:ilvl="4" w:tplc="3530E038">
      <w:numFmt w:val="decimal"/>
      <w:lvlText w:val=""/>
      <w:lvlJc w:val="left"/>
    </w:lvl>
    <w:lvl w:ilvl="5" w:tplc="47261066">
      <w:numFmt w:val="decimal"/>
      <w:lvlText w:val=""/>
      <w:lvlJc w:val="left"/>
    </w:lvl>
    <w:lvl w:ilvl="6" w:tplc="8D8A7B18">
      <w:numFmt w:val="decimal"/>
      <w:lvlText w:val=""/>
      <w:lvlJc w:val="left"/>
    </w:lvl>
    <w:lvl w:ilvl="7" w:tplc="CEA8A756">
      <w:numFmt w:val="decimal"/>
      <w:lvlText w:val=""/>
      <w:lvlJc w:val="left"/>
    </w:lvl>
    <w:lvl w:ilvl="8" w:tplc="41CA373E">
      <w:numFmt w:val="decimal"/>
      <w:lvlText w:val=""/>
      <w:lvlJc w:val="left"/>
    </w:lvl>
  </w:abstractNum>
  <w:abstractNum w:abstractNumId="654" w15:restartNumberingAfterBreak="0">
    <w:nsid w:val="710FF095"/>
    <w:multiLevelType w:val="hybridMultilevel"/>
    <w:tmpl w:val="9E62BC2C"/>
    <w:lvl w:ilvl="0" w:tplc="73AAA77E">
      <w:start w:val="1"/>
      <w:numFmt w:val="bullet"/>
      <w:lvlText w:val="•"/>
      <w:lvlJc w:val="left"/>
    </w:lvl>
    <w:lvl w:ilvl="1" w:tplc="2CDA3622">
      <w:numFmt w:val="decimal"/>
      <w:lvlText w:val=""/>
      <w:lvlJc w:val="left"/>
    </w:lvl>
    <w:lvl w:ilvl="2" w:tplc="084CB6EC">
      <w:numFmt w:val="decimal"/>
      <w:lvlText w:val=""/>
      <w:lvlJc w:val="left"/>
    </w:lvl>
    <w:lvl w:ilvl="3" w:tplc="2C147340">
      <w:numFmt w:val="decimal"/>
      <w:lvlText w:val=""/>
      <w:lvlJc w:val="left"/>
    </w:lvl>
    <w:lvl w:ilvl="4" w:tplc="D618F1BA">
      <w:numFmt w:val="decimal"/>
      <w:lvlText w:val=""/>
      <w:lvlJc w:val="left"/>
    </w:lvl>
    <w:lvl w:ilvl="5" w:tplc="000E8D16">
      <w:numFmt w:val="decimal"/>
      <w:lvlText w:val=""/>
      <w:lvlJc w:val="left"/>
    </w:lvl>
    <w:lvl w:ilvl="6" w:tplc="1336739A">
      <w:numFmt w:val="decimal"/>
      <w:lvlText w:val=""/>
      <w:lvlJc w:val="left"/>
    </w:lvl>
    <w:lvl w:ilvl="7" w:tplc="4104CC3E">
      <w:numFmt w:val="decimal"/>
      <w:lvlText w:val=""/>
      <w:lvlJc w:val="left"/>
    </w:lvl>
    <w:lvl w:ilvl="8" w:tplc="20E2E5D4">
      <w:numFmt w:val="decimal"/>
      <w:lvlText w:val=""/>
      <w:lvlJc w:val="left"/>
    </w:lvl>
  </w:abstractNum>
  <w:abstractNum w:abstractNumId="655" w15:restartNumberingAfterBreak="0">
    <w:nsid w:val="712E3E59"/>
    <w:multiLevelType w:val="hybridMultilevel"/>
    <w:tmpl w:val="0C823A82"/>
    <w:lvl w:ilvl="0" w:tplc="53CABD30">
      <w:start w:val="1"/>
      <w:numFmt w:val="bullet"/>
      <w:lvlText w:val="-"/>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6" w15:restartNumberingAfterBreak="0">
    <w:nsid w:val="7141169A"/>
    <w:multiLevelType w:val="hybridMultilevel"/>
    <w:tmpl w:val="A0B01FD0"/>
    <w:lvl w:ilvl="0" w:tplc="A000C800">
      <w:start w:val="1"/>
      <w:numFmt w:val="bullet"/>
      <w:lvlText w:val="→"/>
      <w:lvlJc w:val="left"/>
    </w:lvl>
    <w:lvl w:ilvl="1" w:tplc="2A8EDB18">
      <w:numFmt w:val="decimal"/>
      <w:lvlText w:val=""/>
      <w:lvlJc w:val="left"/>
    </w:lvl>
    <w:lvl w:ilvl="2" w:tplc="CD641008">
      <w:numFmt w:val="decimal"/>
      <w:lvlText w:val=""/>
      <w:lvlJc w:val="left"/>
    </w:lvl>
    <w:lvl w:ilvl="3" w:tplc="888000FE">
      <w:numFmt w:val="decimal"/>
      <w:lvlText w:val=""/>
      <w:lvlJc w:val="left"/>
    </w:lvl>
    <w:lvl w:ilvl="4" w:tplc="7118457A">
      <w:numFmt w:val="decimal"/>
      <w:lvlText w:val=""/>
      <w:lvlJc w:val="left"/>
    </w:lvl>
    <w:lvl w:ilvl="5" w:tplc="ABB2812E">
      <w:numFmt w:val="decimal"/>
      <w:lvlText w:val=""/>
      <w:lvlJc w:val="left"/>
    </w:lvl>
    <w:lvl w:ilvl="6" w:tplc="3A845B36">
      <w:numFmt w:val="decimal"/>
      <w:lvlText w:val=""/>
      <w:lvlJc w:val="left"/>
    </w:lvl>
    <w:lvl w:ilvl="7" w:tplc="8C983FCE">
      <w:numFmt w:val="decimal"/>
      <w:lvlText w:val=""/>
      <w:lvlJc w:val="left"/>
    </w:lvl>
    <w:lvl w:ilvl="8" w:tplc="173E22BE">
      <w:numFmt w:val="decimal"/>
      <w:lvlText w:val=""/>
      <w:lvlJc w:val="left"/>
    </w:lvl>
  </w:abstractNum>
  <w:abstractNum w:abstractNumId="657" w15:restartNumberingAfterBreak="0">
    <w:nsid w:val="71809378"/>
    <w:multiLevelType w:val="hybridMultilevel"/>
    <w:tmpl w:val="ACB07BA8"/>
    <w:lvl w:ilvl="0" w:tplc="72301278">
      <w:start w:val="1"/>
      <w:numFmt w:val="bullet"/>
      <w:lvlText w:val="•"/>
      <w:lvlJc w:val="left"/>
    </w:lvl>
    <w:lvl w:ilvl="1" w:tplc="D1ECE004">
      <w:numFmt w:val="decimal"/>
      <w:lvlText w:val=""/>
      <w:lvlJc w:val="left"/>
    </w:lvl>
    <w:lvl w:ilvl="2" w:tplc="7D6C02E8">
      <w:numFmt w:val="decimal"/>
      <w:lvlText w:val=""/>
      <w:lvlJc w:val="left"/>
    </w:lvl>
    <w:lvl w:ilvl="3" w:tplc="C2968FEA">
      <w:numFmt w:val="decimal"/>
      <w:lvlText w:val=""/>
      <w:lvlJc w:val="left"/>
    </w:lvl>
    <w:lvl w:ilvl="4" w:tplc="A19A0BCE">
      <w:numFmt w:val="decimal"/>
      <w:lvlText w:val=""/>
      <w:lvlJc w:val="left"/>
    </w:lvl>
    <w:lvl w:ilvl="5" w:tplc="2B6C3BF0">
      <w:numFmt w:val="decimal"/>
      <w:lvlText w:val=""/>
      <w:lvlJc w:val="left"/>
    </w:lvl>
    <w:lvl w:ilvl="6" w:tplc="B1022538">
      <w:numFmt w:val="decimal"/>
      <w:lvlText w:val=""/>
      <w:lvlJc w:val="left"/>
    </w:lvl>
    <w:lvl w:ilvl="7" w:tplc="267A72DA">
      <w:numFmt w:val="decimal"/>
      <w:lvlText w:val=""/>
      <w:lvlJc w:val="left"/>
    </w:lvl>
    <w:lvl w:ilvl="8" w:tplc="75D60AD0">
      <w:numFmt w:val="decimal"/>
      <w:lvlText w:val=""/>
      <w:lvlJc w:val="left"/>
    </w:lvl>
  </w:abstractNum>
  <w:abstractNum w:abstractNumId="658" w15:restartNumberingAfterBreak="0">
    <w:nsid w:val="71A8D22C"/>
    <w:multiLevelType w:val="hybridMultilevel"/>
    <w:tmpl w:val="D3C6D9DC"/>
    <w:lvl w:ilvl="0" w:tplc="824ADB8C">
      <w:start w:val="1"/>
      <w:numFmt w:val="bullet"/>
      <w:lvlText w:val="•"/>
      <w:lvlJc w:val="left"/>
    </w:lvl>
    <w:lvl w:ilvl="1" w:tplc="293EB7CC">
      <w:numFmt w:val="decimal"/>
      <w:lvlText w:val=""/>
      <w:lvlJc w:val="left"/>
    </w:lvl>
    <w:lvl w:ilvl="2" w:tplc="867EF268">
      <w:numFmt w:val="decimal"/>
      <w:lvlText w:val=""/>
      <w:lvlJc w:val="left"/>
    </w:lvl>
    <w:lvl w:ilvl="3" w:tplc="263AC19E">
      <w:numFmt w:val="decimal"/>
      <w:lvlText w:val=""/>
      <w:lvlJc w:val="left"/>
    </w:lvl>
    <w:lvl w:ilvl="4" w:tplc="6B88ABCA">
      <w:numFmt w:val="decimal"/>
      <w:lvlText w:val=""/>
      <w:lvlJc w:val="left"/>
    </w:lvl>
    <w:lvl w:ilvl="5" w:tplc="DFC8A60C">
      <w:numFmt w:val="decimal"/>
      <w:lvlText w:val=""/>
      <w:lvlJc w:val="left"/>
    </w:lvl>
    <w:lvl w:ilvl="6" w:tplc="8D521CE8">
      <w:numFmt w:val="decimal"/>
      <w:lvlText w:val=""/>
      <w:lvlJc w:val="left"/>
    </w:lvl>
    <w:lvl w:ilvl="7" w:tplc="68502654">
      <w:numFmt w:val="decimal"/>
      <w:lvlText w:val=""/>
      <w:lvlJc w:val="left"/>
    </w:lvl>
    <w:lvl w:ilvl="8" w:tplc="D1A43368">
      <w:numFmt w:val="decimal"/>
      <w:lvlText w:val=""/>
      <w:lvlJc w:val="left"/>
    </w:lvl>
  </w:abstractNum>
  <w:abstractNum w:abstractNumId="659" w15:restartNumberingAfterBreak="0">
    <w:nsid w:val="71C42CFF"/>
    <w:multiLevelType w:val="hybridMultilevel"/>
    <w:tmpl w:val="D06687D2"/>
    <w:lvl w:ilvl="0" w:tplc="F37EDB34">
      <w:start w:val="4"/>
      <w:numFmt w:val="upperLetter"/>
      <w:lvlText w:val="%1."/>
      <w:lvlJc w:val="left"/>
    </w:lvl>
    <w:lvl w:ilvl="1" w:tplc="1378389C">
      <w:start w:val="1"/>
      <w:numFmt w:val="decimal"/>
      <w:lvlText w:val="%2"/>
      <w:lvlJc w:val="left"/>
    </w:lvl>
    <w:lvl w:ilvl="2" w:tplc="3184FE7E">
      <w:start w:val="1"/>
      <w:numFmt w:val="bullet"/>
      <w:lvlText w:val="§"/>
      <w:lvlJc w:val="left"/>
    </w:lvl>
    <w:lvl w:ilvl="3" w:tplc="B64C37DE">
      <w:numFmt w:val="decimal"/>
      <w:lvlText w:val=""/>
      <w:lvlJc w:val="left"/>
    </w:lvl>
    <w:lvl w:ilvl="4" w:tplc="9F3659D2">
      <w:numFmt w:val="decimal"/>
      <w:lvlText w:val=""/>
      <w:lvlJc w:val="left"/>
    </w:lvl>
    <w:lvl w:ilvl="5" w:tplc="623AAE86">
      <w:numFmt w:val="decimal"/>
      <w:lvlText w:val=""/>
      <w:lvlJc w:val="left"/>
    </w:lvl>
    <w:lvl w:ilvl="6" w:tplc="FC5279AA">
      <w:numFmt w:val="decimal"/>
      <w:lvlText w:val=""/>
      <w:lvlJc w:val="left"/>
    </w:lvl>
    <w:lvl w:ilvl="7" w:tplc="D33AF67C">
      <w:numFmt w:val="decimal"/>
      <w:lvlText w:val=""/>
      <w:lvlJc w:val="left"/>
    </w:lvl>
    <w:lvl w:ilvl="8" w:tplc="AE2C5142">
      <w:numFmt w:val="decimal"/>
      <w:lvlText w:val=""/>
      <w:lvlJc w:val="left"/>
    </w:lvl>
  </w:abstractNum>
  <w:abstractNum w:abstractNumId="660" w15:restartNumberingAfterBreak="0">
    <w:nsid w:val="72583F67"/>
    <w:multiLevelType w:val="hybridMultilevel"/>
    <w:tmpl w:val="489A9DDA"/>
    <w:lvl w:ilvl="0" w:tplc="4B904E00">
      <w:start w:val="1"/>
      <w:numFmt w:val="bullet"/>
      <w:lvlText w:val="•"/>
      <w:lvlJc w:val="left"/>
    </w:lvl>
    <w:lvl w:ilvl="1" w:tplc="C0224C2A">
      <w:numFmt w:val="decimal"/>
      <w:lvlText w:val=""/>
      <w:lvlJc w:val="left"/>
    </w:lvl>
    <w:lvl w:ilvl="2" w:tplc="716CA8C8">
      <w:numFmt w:val="decimal"/>
      <w:lvlText w:val=""/>
      <w:lvlJc w:val="left"/>
    </w:lvl>
    <w:lvl w:ilvl="3" w:tplc="A456FEC4">
      <w:numFmt w:val="decimal"/>
      <w:lvlText w:val=""/>
      <w:lvlJc w:val="left"/>
    </w:lvl>
    <w:lvl w:ilvl="4" w:tplc="4C247A68">
      <w:numFmt w:val="decimal"/>
      <w:lvlText w:val=""/>
      <w:lvlJc w:val="left"/>
    </w:lvl>
    <w:lvl w:ilvl="5" w:tplc="5B4A98B8">
      <w:numFmt w:val="decimal"/>
      <w:lvlText w:val=""/>
      <w:lvlJc w:val="left"/>
    </w:lvl>
    <w:lvl w:ilvl="6" w:tplc="648CD07E">
      <w:numFmt w:val="decimal"/>
      <w:lvlText w:val=""/>
      <w:lvlJc w:val="left"/>
    </w:lvl>
    <w:lvl w:ilvl="7" w:tplc="0D7A69A2">
      <w:numFmt w:val="decimal"/>
      <w:lvlText w:val=""/>
      <w:lvlJc w:val="left"/>
    </w:lvl>
    <w:lvl w:ilvl="8" w:tplc="DE7E2000">
      <w:numFmt w:val="decimal"/>
      <w:lvlText w:val=""/>
      <w:lvlJc w:val="left"/>
    </w:lvl>
  </w:abstractNum>
  <w:abstractNum w:abstractNumId="661" w15:restartNumberingAfterBreak="0">
    <w:nsid w:val="7285E29D"/>
    <w:multiLevelType w:val="hybridMultilevel"/>
    <w:tmpl w:val="6B54E260"/>
    <w:lvl w:ilvl="0" w:tplc="067654D6">
      <w:start w:val="1"/>
      <w:numFmt w:val="bullet"/>
      <w:lvlText w:val="-"/>
      <w:lvlJc w:val="left"/>
    </w:lvl>
    <w:lvl w:ilvl="1" w:tplc="108AD6D4">
      <w:start w:val="1"/>
      <w:numFmt w:val="bullet"/>
      <w:lvlText w:val="§"/>
      <w:lvlJc w:val="left"/>
    </w:lvl>
    <w:lvl w:ilvl="2" w:tplc="0F3E2120">
      <w:numFmt w:val="decimal"/>
      <w:lvlText w:val=""/>
      <w:lvlJc w:val="left"/>
    </w:lvl>
    <w:lvl w:ilvl="3" w:tplc="48EC0852">
      <w:numFmt w:val="decimal"/>
      <w:lvlText w:val=""/>
      <w:lvlJc w:val="left"/>
    </w:lvl>
    <w:lvl w:ilvl="4" w:tplc="B3D0D4E2">
      <w:numFmt w:val="decimal"/>
      <w:lvlText w:val=""/>
      <w:lvlJc w:val="left"/>
    </w:lvl>
    <w:lvl w:ilvl="5" w:tplc="917A8374">
      <w:numFmt w:val="decimal"/>
      <w:lvlText w:val=""/>
      <w:lvlJc w:val="left"/>
    </w:lvl>
    <w:lvl w:ilvl="6" w:tplc="9946A588">
      <w:numFmt w:val="decimal"/>
      <w:lvlText w:val=""/>
      <w:lvlJc w:val="left"/>
    </w:lvl>
    <w:lvl w:ilvl="7" w:tplc="F6C44A52">
      <w:numFmt w:val="decimal"/>
      <w:lvlText w:val=""/>
      <w:lvlJc w:val="left"/>
    </w:lvl>
    <w:lvl w:ilvl="8" w:tplc="8CBA65CA">
      <w:numFmt w:val="decimal"/>
      <w:lvlText w:val=""/>
      <w:lvlJc w:val="left"/>
    </w:lvl>
  </w:abstractNum>
  <w:abstractNum w:abstractNumId="662" w15:restartNumberingAfterBreak="0">
    <w:nsid w:val="728FACB1"/>
    <w:multiLevelType w:val="hybridMultilevel"/>
    <w:tmpl w:val="08A4FA54"/>
    <w:lvl w:ilvl="0" w:tplc="033213C0">
      <w:start w:val="1"/>
      <w:numFmt w:val="bullet"/>
      <w:lvlText w:val="•"/>
      <w:lvlJc w:val="left"/>
    </w:lvl>
    <w:lvl w:ilvl="1" w:tplc="F778688C">
      <w:numFmt w:val="decimal"/>
      <w:lvlText w:val=""/>
      <w:lvlJc w:val="left"/>
    </w:lvl>
    <w:lvl w:ilvl="2" w:tplc="39CA44B6">
      <w:numFmt w:val="decimal"/>
      <w:lvlText w:val=""/>
      <w:lvlJc w:val="left"/>
    </w:lvl>
    <w:lvl w:ilvl="3" w:tplc="7152E6C0">
      <w:numFmt w:val="decimal"/>
      <w:lvlText w:val=""/>
      <w:lvlJc w:val="left"/>
    </w:lvl>
    <w:lvl w:ilvl="4" w:tplc="06509DC2">
      <w:numFmt w:val="decimal"/>
      <w:lvlText w:val=""/>
      <w:lvlJc w:val="left"/>
    </w:lvl>
    <w:lvl w:ilvl="5" w:tplc="980C9720">
      <w:numFmt w:val="decimal"/>
      <w:lvlText w:val=""/>
      <w:lvlJc w:val="left"/>
    </w:lvl>
    <w:lvl w:ilvl="6" w:tplc="1772D756">
      <w:numFmt w:val="decimal"/>
      <w:lvlText w:val=""/>
      <w:lvlJc w:val="left"/>
    </w:lvl>
    <w:lvl w:ilvl="7" w:tplc="A2541B24">
      <w:numFmt w:val="decimal"/>
      <w:lvlText w:val=""/>
      <w:lvlJc w:val="left"/>
    </w:lvl>
    <w:lvl w:ilvl="8" w:tplc="9E547CFE">
      <w:numFmt w:val="decimal"/>
      <w:lvlText w:val=""/>
      <w:lvlJc w:val="left"/>
    </w:lvl>
  </w:abstractNum>
  <w:abstractNum w:abstractNumId="663" w15:restartNumberingAfterBreak="0">
    <w:nsid w:val="7338868F"/>
    <w:multiLevelType w:val="hybridMultilevel"/>
    <w:tmpl w:val="717619F2"/>
    <w:lvl w:ilvl="0" w:tplc="DADCB574">
      <w:start w:val="1"/>
      <w:numFmt w:val="bullet"/>
      <w:lvlText w:val="·"/>
      <w:lvlJc w:val="left"/>
    </w:lvl>
    <w:lvl w:ilvl="1" w:tplc="A44ECA40">
      <w:numFmt w:val="decimal"/>
      <w:lvlText w:val=""/>
      <w:lvlJc w:val="left"/>
    </w:lvl>
    <w:lvl w:ilvl="2" w:tplc="9EEC4378">
      <w:numFmt w:val="decimal"/>
      <w:lvlText w:val=""/>
      <w:lvlJc w:val="left"/>
    </w:lvl>
    <w:lvl w:ilvl="3" w:tplc="C38EAD82">
      <w:numFmt w:val="decimal"/>
      <w:lvlText w:val=""/>
      <w:lvlJc w:val="left"/>
    </w:lvl>
    <w:lvl w:ilvl="4" w:tplc="FACAB65E">
      <w:numFmt w:val="decimal"/>
      <w:lvlText w:val=""/>
      <w:lvlJc w:val="left"/>
    </w:lvl>
    <w:lvl w:ilvl="5" w:tplc="A7AE707E">
      <w:numFmt w:val="decimal"/>
      <w:lvlText w:val=""/>
      <w:lvlJc w:val="left"/>
    </w:lvl>
    <w:lvl w:ilvl="6" w:tplc="2D00A39C">
      <w:numFmt w:val="decimal"/>
      <w:lvlText w:val=""/>
      <w:lvlJc w:val="left"/>
    </w:lvl>
    <w:lvl w:ilvl="7" w:tplc="49E8A27E">
      <w:numFmt w:val="decimal"/>
      <w:lvlText w:val=""/>
      <w:lvlJc w:val="left"/>
    </w:lvl>
    <w:lvl w:ilvl="8" w:tplc="3D52C8EE">
      <w:numFmt w:val="decimal"/>
      <w:lvlText w:val=""/>
      <w:lvlJc w:val="left"/>
    </w:lvl>
  </w:abstractNum>
  <w:abstractNum w:abstractNumId="664" w15:restartNumberingAfterBreak="0">
    <w:nsid w:val="73E262B9"/>
    <w:multiLevelType w:val="hybridMultilevel"/>
    <w:tmpl w:val="33DC0E92"/>
    <w:lvl w:ilvl="0" w:tplc="3774CE80">
      <w:start w:val="1"/>
      <w:numFmt w:val="bullet"/>
      <w:lvlText w:val="-"/>
      <w:lvlJc w:val="left"/>
    </w:lvl>
    <w:lvl w:ilvl="1" w:tplc="A17804F2">
      <w:numFmt w:val="decimal"/>
      <w:lvlText w:val=""/>
      <w:lvlJc w:val="left"/>
    </w:lvl>
    <w:lvl w:ilvl="2" w:tplc="1D5E1356">
      <w:numFmt w:val="decimal"/>
      <w:lvlText w:val=""/>
      <w:lvlJc w:val="left"/>
    </w:lvl>
    <w:lvl w:ilvl="3" w:tplc="404AC8C6">
      <w:numFmt w:val="decimal"/>
      <w:lvlText w:val=""/>
      <w:lvlJc w:val="left"/>
    </w:lvl>
    <w:lvl w:ilvl="4" w:tplc="E9A03896">
      <w:numFmt w:val="decimal"/>
      <w:lvlText w:val=""/>
      <w:lvlJc w:val="left"/>
    </w:lvl>
    <w:lvl w:ilvl="5" w:tplc="5CE6709C">
      <w:numFmt w:val="decimal"/>
      <w:lvlText w:val=""/>
      <w:lvlJc w:val="left"/>
    </w:lvl>
    <w:lvl w:ilvl="6" w:tplc="8EFCCBE8">
      <w:numFmt w:val="decimal"/>
      <w:lvlText w:val=""/>
      <w:lvlJc w:val="left"/>
    </w:lvl>
    <w:lvl w:ilvl="7" w:tplc="10447E42">
      <w:numFmt w:val="decimal"/>
      <w:lvlText w:val=""/>
      <w:lvlJc w:val="left"/>
    </w:lvl>
    <w:lvl w:ilvl="8" w:tplc="3D045426">
      <w:numFmt w:val="decimal"/>
      <w:lvlText w:val=""/>
      <w:lvlJc w:val="left"/>
    </w:lvl>
  </w:abstractNum>
  <w:abstractNum w:abstractNumId="665" w15:restartNumberingAfterBreak="0">
    <w:nsid w:val="73FBF336"/>
    <w:multiLevelType w:val="hybridMultilevel"/>
    <w:tmpl w:val="221621C2"/>
    <w:lvl w:ilvl="0" w:tplc="7FD0B2E2">
      <w:start w:val="1"/>
      <w:numFmt w:val="bullet"/>
      <w:lvlText w:val="-"/>
      <w:lvlJc w:val="left"/>
    </w:lvl>
    <w:lvl w:ilvl="1" w:tplc="3B2C684C">
      <w:numFmt w:val="decimal"/>
      <w:lvlText w:val=""/>
      <w:lvlJc w:val="left"/>
    </w:lvl>
    <w:lvl w:ilvl="2" w:tplc="AE044BD8">
      <w:numFmt w:val="decimal"/>
      <w:lvlText w:val=""/>
      <w:lvlJc w:val="left"/>
    </w:lvl>
    <w:lvl w:ilvl="3" w:tplc="EF3690CE">
      <w:numFmt w:val="decimal"/>
      <w:lvlText w:val=""/>
      <w:lvlJc w:val="left"/>
    </w:lvl>
    <w:lvl w:ilvl="4" w:tplc="CFF214AA">
      <w:numFmt w:val="decimal"/>
      <w:lvlText w:val=""/>
      <w:lvlJc w:val="left"/>
    </w:lvl>
    <w:lvl w:ilvl="5" w:tplc="3306CC7A">
      <w:numFmt w:val="decimal"/>
      <w:lvlText w:val=""/>
      <w:lvlJc w:val="left"/>
    </w:lvl>
    <w:lvl w:ilvl="6" w:tplc="FB626BA4">
      <w:numFmt w:val="decimal"/>
      <w:lvlText w:val=""/>
      <w:lvlJc w:val="left"/>
    </w:lvl>
    <w:lvl w:ilvl="7" w:tplc="0EA87E64">
      <w:numFmt w:val="decimal"/>
      <w:lvlText w:val=""/>
      <w:lvlJc w:val="left"/>
    </w:lvl>
    <w:lvl w:ilvl="8" w:tplc="24C01B0C">
      <w:numFmt w:val="decimal"/>
      <w:lvlText w:val=""/>
      <w:lvlJc w:val="left"/>
    </w:lvl>
  </w:abstractNum>
  <w:abstractNum w:abstractNumId="666" w15:restartNumberingAfterBreak="0">
    <w:nsid w:val="74087021"/>
    <w:multiLevelType w:val="hybridMultilevel"/>
    <w:tmpl w:val="8E605A4A"/>
    <w:lvl w:ilvl="0" w:tplc="433CB3E6">
      <w:start w:val="1"/>
      <w:numFmt w:val="bullet"/>
      <w:lvlText w:val="●"/>
      <w:lvlJc w:val="left"/>
    </w:lvl>
    <w:lvl w:ilvl="1" w:tplc="F95834C4">
      <w:numFmt w:val="decimal"/>
      <w:lvlText w:val=""/>
      <w:lvlJc w:val="left"/>
    </w:lvl>
    <w:lvl w:ilvl="2" w:tplc="BDE8E02A">
      <w:numFmt w:val="decimal"/>
      <w:lvlText w:val=""/>
      <w:lvlJc w:val="left"/>
    </w:lvl>
    <w:lvl w:ilvl="3" w:tplc="439ADD34">
      <w:numFmt w:val="decimal"/>
      <w:lvlText w:val=""/>
      <w:lvlJc w:val="left"/>
    </w:lvl>
    <w:lvl w:ilvl="4" w:tplc="C62C018C">
      <w:numFmt w:val="decimal"/>
      <w:lvlText w:val=""/>
      <w:lvlJc w:val="left"/>
    </w:lvl>
    <w:lvl w:ilvl="5" w:tplc="9F9491AA">
      <w:numFmt w:val="decimal"/>
      <w:lvlText w:val=""/>
      <w:lvlJc w:val="left"/>
    </w:lvl>
    <w:lvl w:ilvl="6" w:tplc="93C8D45C">
      <w:numFmt w:val="decimal"/>
      <w:lvlText w:val=""/>
      <w:lvlJc w:val="left"/>
    </w:lvl>
    <w:lvl w:ilvl="7" w:tplc="8682B6D6">
      <w:numFmt w:val="decimal"/>
      <w:lvlText w:val=""/>
      <w:lvlJc w:val="left"/>
    </w:lvl>
    <w:lvl w:ilvl="8" w:tplc="E11A52A4">
      <w:numFmt w:val="decimal"/>
      <w:lvlText w:val=""/>
      <w:lvlJc w:val="left"/>
    </w:lvl>
  </w:abstractNum>
  <w:abstractNum w:abstractNumId="667" w15:restartNumberingAfterBreak="0">
    <w:nsid w:val="744D7F91"/>
    <w:multiLevelType w:val="hybridMultilevel"/>
    <w:tmpl w:val="4936FE2A"/>
    <w:lvl w:ilvl="0" w:tplc="420E85AC">
      <w:start w:val="1"/>
      <w:numFmt w:val="bullet"/>
      <w:lvlText w:val=""/>
      <w:lvlJc w:val="righ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668" w15:restartNumberingAfterBreak="0">
    <w:nsid w:val="746B6F6A"/>
    <w:multiLevelType w:val="hybridMultilevel"/>
    <w:tmpl w:val="B4DE2F08"/>
    <w:lvl w:ilvl="0" w:tplc="C7103172">
      <w:start w:val="2"/>
      <w:numFmt w:val="decimal"/>
      <w:lvlText w:val="%1."/>
      <w:lvlJc w:val="left"/>
    </w:lvl>
    <w:lvl w:ilvl="1" w:tplc="55D4F7FA">
      <w:numFmt w:val="decimal"/>
      <w:lvlText w:val=""/>
      <w:lvlJc w:val="left"/>
    </w:lvl>
    <w:lvl w:ilvl="2" w:tplc="E4902752">
      <w:numFmt w:val="decimal"/>
      <w:lvlText w:val=""/>
      <w:lvlJc w:val="left"/>
    </w:lvl>
    <w:lvl w:ilvl="3" w:tplc="F7EA51C6">
      <w:numFmt w:val="decimal"/>
      <w:lvlText w:val=""/>
      <w:lvlJc w:val="left"/>
    </w:lvl>
    <w:lvl w:ilvl="4" w:tplc="AD9CC6F6">
      <w:numFmt w:val="decimal"/>
      <w:lvlText w:val=""/>
      <w:lvlJc w:val="left"/>
    </w:lvl>
    <w:lvl w:ilvl="5" w:tplc="6188F87E">
      <w:numFmt w:val="decimal"/>
      <w:lvlText w:val=""/>
      <w:lvlJc w:val="left"/>
    </w:lvl>
    <w:lvl w:ilvl="6" w:tplc="8D129168">
      <w:numFmt w:val="decimal"/>
      <w:lvlText w:val=""/>
      <w:lvlJc w:val="left"/>
    </w:lvl>
    <w:lvl w:ilvl="7" w:tplc="AEA43E2A">
      <w:numFmt w:val="decimal"/>
      <w:lvlText w:val=""/>
      <w:lvlJc w:val="left"/>
    </w:lvl>
    <w:lvl w:ilvl="8" w:tplc="418AD148">
      <w:numFmt w:val="decimal"/>
      <w:lvlText w:val=""/>
      <w:lvlJc w:val="left"/>
    </w:lvl>
  </w:abstractNum>
  <w:abstractNum w:abstractNumId="669" w15:restartNumberingAfterBreak="0">
    <w:nsid w:val="74E8D1E3"/>
    <w:multiLevelType w:val="hybridMultilevel"/>
    <w:tmpl w:val="BA863B48"/>
    <w:lvl w:ilvl="0" w:tplc="8AB6F30C">
      <w:start w:val="1"/>
      <w:numFmt w:val="bullet"/>
      <w:lvlText w:val="•"/>
      <w:lvlJc w:val="left"/>
    </w:lvl>
    <w:lvl w:ilvl="1" w:tplc="DDAC8C48">
      <w:numFmt w:val="decimal"/>
      <w:lvlText w:val=""/>
      <w:lvlJc w:val="left"/>
    </w:lvl>
    <w:lvl w:ilvl="2" w:tplc="3F4A717A">
      <w:numFmt w:val="decimal"/>
      <w:lvlText w:val=""/>
      <w:lvlJc w:val="left"/>
    </w:lvl>
    <w:lvl w:ilvl="3" w:tplc="D2383ADC">
      <w:numFmt w:val="decimal"/>
      <w:lvlText w:val=""/>
      <w:lvlJc w:val="left"/>
    </w:lvl>
    <w:lvl w:ilvl="4" w:tplc="88DA7880">
      <w:numFmt w:val="decimal"/>
      <w:lvlText w:val=""/>
      <w:lvlJc w:val="left"/>
    </w:lvl>
    <w:lvl w:ilvl="5" w:tplc="3BB6066A">
      <w:numFmt w:val="decimal"/>
      <w:lvlText w:val=""/>
      <w:lvlJc w:val="left"/>
    </w:lvl>
    <w:lvl w:ilvl="6" w:tplc="52F4B8AA">
      <w:numFmt w:val="decimal"/>
      <w:lvlText w:val=""/>
      <w:lvlJc w:val="left"/>
    </w:lvl>
    <w:lvl w:ilvl="7" w:tplc="DF7ACFB6">
      <w:numFmt w:val="decimal"/>
      <w:lvlText w:val=""/>
      <w:lvlJc w:val="left"/>
    </w:lvl>
    <w:lvl w:ilvl="8" w:tplc="30CEAB36">
      <w:numFmt w:val="decimal"/>
      <w:lvlText w:val=""/>
      <w:lvlJc w:val="left"/>
    </w:lvl>
  </w:abstractNum>
  <w:abstractNum w:abstractNumId="670" w15:restartNumberingAfterBreak="0">
    <w:nsid w:val="751A2C02"/>
    <w:multiLevelType w:val="hybridMultilevel"/>
    <w:tmpl w:val="EBB4E810"/>
    <w:lvl w:ilvl="0" w:tplc="DC36C4CA">
      <w:start w:val="14"/>
      <w:numFmt w:val="bullet"/>
      <w:lvlText w:val="-"/>
      <w:lvlJc w:val="left"/>
      <w:pPr>
        <w:ind w:left="720" w:hanging="360"/>
      </w:pPr>
      <w:rPr>
        <w:rFonts w:ascii="Times New Roman" w:eastAsia="Times New Roman" w:hAnsi="Times New Roman" w:cs="Times New Roman" w:hint="default"/>
        <w:color w:val="auto"/>
        <w:sz w:val="24"/>
      </w:rPr>
    </w:lvl>
    <w:lvl w:ilvl="1" w:tplc="CAD4D55C">
      <w:start w:val="14"/>
      <w:numFmt w:val="bullet"/>
      <w:lvlText w:val="-"/>
      <w:lvlJc w:val="left"/>
      <w:pPr>
        <w:ind w:left="1440" w:hanging="360"/>
      </w:pPr>
      <w:rPr>
        <w:rFonts w:ascii="Arial" w:eastAsia="Times New Roman" w:hAnsi="Arial" w:cs="Arial" w:hint="default"/>
      </w:rPr>
    </w:lvl>
    <w:lvl w:ilvl="2" w:tplc="CAD4D55C">
      <w:start w:val="14"/>
      <w:numFmt w:val="bullet"/>
      <w:lvlText w:val="-"/>
      <w:lvlJc w:val="left"/>
      <w:pPr>
        <w:ind w:left="2160" w:hanging="360"/>
      </w:pPr>
      <w:rPr>
        <w:rFonts w:ascii="Arial" w:eastAsia="Times New Roman" w:hAnsi="Arial" w:cs="Aria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1" w15:restartNumberingAfterBreak="0">
    <w:nsid w:val="7530066B"/>
    <w:multiLevelType w:val="hybridMultilevel"/>
    <w:tmpl w:val="C0B8E3A8"/>
    <w:lvl w:ilvl="0" w:tplc="04050011">
      <w:start w:val="1"/>
      <w:numFmt w:val="decimal"/>
      <w:lvlText w:val="%1)"/>
      <w:lvlJc w:val="left"/>
    </w:lvl>
    <w:lvl w:ilvl="1" w:tplc="69C40D2C">
      <w:numFmt w:val="decimal"/>
      <w:lvlText w:val=""/>
      <w:lvlJc w:val="left"/>
    </w:lvl>
    <w:lvl w:ilvl="2" w:tplc="B2DC545C">
      <w:numFmt w:val="decimal"/>
      <w:lvlText w:val=""/>
      <w:lvlJc w:val="left"/>
    </w:lvl>
    <w:lvl w:ilvl="3" w:tplc="C1F8E61A">
      <w:numFmt w:val="decimal"/>
      <w:lvlText w:val=""/>
      <w:lvlJc w:val="left"/>
    </w:lvl>
    <w:lvl w:ilvl="4" w:tplc="392E1060">
      <w:numFmt w:val="decimal"/>
      <w:lvlText w:val=""/>
      <w:lvlJc w:val="left"/>
    </w:lvl>
    <w:lvl w:ilvl="5" w:tplc="B4AEFCAC">
      <w:numFmt w:val="decimal"/>
      <w:lvlText w:val=""/>
      <w:lvlJc w:val="left"/>
    </w:lvl>
    <w:lvl w:ilvl="6" w:tplc="ECECAB88">
      <w:numFmt w:val="decimal"/>
      <w:lvlText w:val=""/>
      <w:lvlJc w:val="left"/>
    </w:lvl>
    <w:lvl w:ilvl="7" w:tplc="ED92990A">
      <w:numFmt w:val="decimal"/>
      <w:lvlText w:val=""/>
      <w:lvlJc w:val="left"/>
    </w:lvl>
    <w:lvl w:ilvl="8" w:tplc="92B24754">
      <w:numFmt w:val="decimal"/>
      <w:lvlText w:val=""/>
      <w:lvlJc w:val="left"/>
    </w:lvl>
  </w:abstractNum>
  <w:abstractNum w:abstractNumId="672" w15:restartNumberingAfterBreak="0">
    <w:nsid w:val="755D4340"/>
    <w:multiLevelType w:val="hybridMultilevel"/>
    <w:tmpl w:val="4012883A"/>
    <w:lvl w:ilvl="0" w:tplc="420E85AC">
      <w:start w:val="1"/>
      <w:numFmt w:val="bullet"/>
      <w:lvlText w:val=""/>
      <w:lvlJc w:val="right"/>
      <w:rPr>
        <w:rFonts w:ascii="Symbol" w:hAnsi="Symbol" w:hint="default"/>
      </w:rPr>
    </w:lvl>
    <w:lvl w:ilvl="1" w:tplc="CA74597A">
      <w:start w:val="15"/>
      <w:numFmt w:val="lowerLetter"/>
      <w:lvlText w:val="%2"/>
      <w:lvlJc w:val="left"/>
    </w:lvl>
    <w:lvl w:ilvl="2" w:tplc="2520A3F8">
      <w:numFmt w:val="decimal"/>
      <w:lvlText w:val=""/>
      <w:lvlJc w:val="left"/>
    </w:lvl>
    <w:lvl w:ilvl="3" w:tplc="0436F856">
      <w:numFmt w:val="decimal"/>
      <w:lvlText w:val=""/>
      <w:lvlJc w:val="left"/>
    </w:lvl>
    <w:lvl w:ilvl="4" w:tplc="7BCCB11A">
      <w:numFmt w:val="decimal"/>
      <w:lvlText w:val=""/>
      <w:lvlJc w:val="left"/>
    </w:lvl>
    <w:lvl w:ilvl="5" w:tplc="DEB461D8">
      <w:numFmt w:val="decimal"/>
      <w:lvlText w:val=""/>
      <w:lvlJc w:val="left"/>
    </w:lvl>
    <w:lvl w:ilvl="6" w:tplc="01B4A18C">
      <w:numFmt w:val="decimal"/>
      <w:lvlText w:val=""/>
      <w:lvlJc w:val="left"/>
    </w:lvl>
    <w:lvl w:ilvl="7" w:tplc="FD206946">
      <w:numFmt w:val="decimal"/>
      <w:lvlText w:val=""/>
      <w:lvlJc w:val="left"/>
    </w:lvl>
    <w:lvl w:ilvl="8" w:tplc="15EEAC80">
      <w:numFmt w:val="decimal"/>
      <w:lvlText w:val=""/>
      <w:lvlJc w:val="left"/>
    </w:lvl>
  </w:abstractNum>
  <w:abstractNum w:abstractNumId="673" w15:restartNumberingAfterBreak="0">
    <w:nsid w:val="756C1452"/>
    <w:multiLevelType w:val="hybridMultilevel"/>
    <w:tmpl w:val="A012453E"/>
    <w:lvl w:ilvl="0" w:tplc="53CABD30">
      <w:start w:val="1"/>
      <w:numFmt w:val="bullet"/>
      <w:lvlText w:val="-"/>
      <w:lvlJc w:val="left"/>
      <w:pPr>
        <w:ind w:left="1440" w:hanging="360"/>
      </w:p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74" w15:restartNumberingAfterBreak="0">
    <w:nsid w:val="75C5A230"/>
    <w:multiLevelType w:val="hybridMultilevel"/>
    <w:tmpl w:val="B6960740"/>
    <w:lvl w:ilvl="0" w:tplc="824AF090">
      <w:start w:val="1"/>
      <w:numFmt w:val="bullet"/>
      <w:lvlText w:val="-"/>
      <w:lvlJc w:val="left"/>
    </w:lvl>
    <w:lvl w:ilvl="1" w:tplc="87F2BAF8">
      <w:numFmt w:val="decimal"/>
      <w:lvlText w:val=""/>
      <w:lvlJc w:val="left"/>
    </w:lvl>
    <w:lvl w:ilvl="2" w:tplc="2D22D2AA">
      <w:numFmt w:val="decimal"/>
      <w:lvlText w:val=""/>
      <w:lvlJc w:val="left"/>
    </w:lvl>
    <w:lvl w:ilvl="3" w:tplc="61F8C6AC">
      <w:numFmt w:val="decimal"/>
      <w:lvlText w:val=""/>
      <w:lvlJc w:val="left"/>
    </w:lvl>
    <w:lvl w:ilvl="4" w:tplc="59245530">
      <w:numFmt w:val="decimal"/>
      <w:lvlText w:val=""/>
      <w:lvlJc w:val="left"/>
    </w:lvl>
    <w:lvl w:ilvl="5" w:tplc="8E084484">
      <w:numFmt w:val="decimal"/>
      <w:lvlText w:val=""/>
      <w:lvlJc w:val="left"/>
    </w:lvl>
    <w:lvl w:ilvl="6" w:tplc="0DCC9D7E">
      <w:numFmt w:val="decimal"/>
      <w:lvlText w:val=""/>
      <w:lvlJc w:val="left"/>
    </w:lvl>
    <w:lvl w:ilvl="7" w:tplc="7FE4DA06">
      <w:numFmt w:val="decimal"/>
      <w:lvlText w:val=""/>
      <w:lvlJc w:val="left"/>
    </w:lvl>
    <w:lvl w:ilvl="8" w:tplc="C10C70FC">
      <w:numFmt w:val="decimal"/>
      <w:lvlText w:val=""/>
      <w:lvlJc w:val="left"/>
    </w:lvl>
  </w:abstractNum>
  <w:abstractNum w:abstractNumId="675" w15:restartNumberingAfterBreak="0">
    <w:nsid w:val="75D245B2"/>
    <w:multiLevelType w:val="hybridMultilevel"/>
    <w:tmpl w:val="9F02B4A4"/>
    <w:lvl w:ilvl="0" w:tplc="642425A6">
      <w:start w:val="1"/>
      <w:numFmt w:val="bullet"/>
      <w:lvlText w:val="•"/>
      <w:lvlJc w:val="left"/>
    </w:lvl>
    <w:lvl w:ilvl="1" w:tplc="ABC8899C">
      <w:numFmt w:val="decimal"/>
      <w:lvlText w:val=""/>
      <w:lvlJc w:val="left"/>
    </w:lvl>
    <w:lvl w:ilvl="2" w:tplc="97C84632">
      <w:numFmt w:val="decimal"/>
      <w:lvlText w:val=""/>
      <w:lvlJc w:val="left"/>
    </w:lvl>
    <w:lvl w:ilvl="3" w:tplc="3FAACE70">
      <w:numFmt w:val="decimal"/>
      <w:lvlText w:val=""/>
      <w:lvlJc w:val="left"/>
    </w:lvl>
    <w:lvl w:ilvl="4" w:tplc="4FB2F82A">
      <w:numFmt w:val="decimal"/>
      <w:lvlText w:val=""/>
      <w:lvlJc w:val="left"/>
    </w:lvl>
    <w:lvl w:ilvl="5" w:tplc="E9366820">
      <w:numFmt w:val="decimal"/>
      <w:lvlText w:val=""/>
      <w:lvlJc w:val="left"/>
    </w:lvl>
    <w:lvl w:ilvl="6" w:tplc="2F4A7898">
      <w:numFmt w:val="decimal"/>
      <w:lvlText w:val=""/>
      <w:lvlJc w:val="left"/>
    </w:lvl>
    <w:lvl w:ilvl="7" w:tplc="D8108EBE">
      <w:numFmt w:val="decimal"/>
      <w:lvlText w:val=""/>
      <w:lvlJc w:val="left"/>
    </w:lvl>
    <w:lvl w:ilvl="8" w:tplc="9F02C1F4">
      <w:numFmt w:val="decimal"/>
      <w:lvlText w:val=""/>
      <w:lvlJc w:val="left"/>
    </w:lvl>
  </w:abstractNum>
  <w:abstractNum w:abstractNumId="676" w15:restartNumberingAfterBreak="0">
    <w:nsid w:val="75E813D3"/>
    <w:multiLevelType w:val="hybridMultilevel"/>
    <w:tmpl w:val="C4E408C4"/>
    <w:lvl w:ilvl="0" w:tplc="04050001">
      <w:start w:val="1"/>
      <w:numFmt w:val="bullet"/>
      <w:lvlText w:val=""/>
      <w:lvlJc w:val="left"/>
      <w:pPr>
        <w:ind w:left="1200" w:hanging="360"/>
      </w:pPr>
      <w:rPr>
        <w:rFonts w:ascii="Symbol" w:hAnsi="Symbol" w:hint="default"/>
      </w:rPr>
    </w:lvl>
    <w:lvl w:ilvl="1" w:tplc="04050003" w:tentative="1">
      <w:start w:val="1"/>
      <w:numFmt w:val="bullet"/>
      <w:lvlText w:val="o"/>
      <w:lvlJc w:val="left"/>
      <w:pPr>
        <w:ind w:left="1920" w:hanging="360"/>
      </w:pPr>
      <w:rPr>
        <w:rFonts w:ascii="Courier New" w:hAnsi="Courier New" w:cs="Courier New" w:hint="default"/>
      </w:rPr>
    </w:lvl>
    <w:lvl w:ilvl="2" w:tplc="04050005" w:tentative="1">
      <w:start w:val="1"/>
      <w:numFmt w:val="bullet"/>
      <w:lvlText w:val=""/>
      <w:lvlJc w:val="left"/>
      <w:pPr>
        <w:ind w:left="2640" w:hanging="360"/>
      </w:pPr>
      <w:rPr>
        <w:rFonts w:ascii="Wingdings" w:hAnsi="Wingdings" w:hint="default"/>
      </w:rPr>
    </w:lvl>
    <w:lvl w:ilvl="3" w:tplc="04050001" w:tentative="1">
      <w:start w:val="1"/>
      <w:numFmt w:val="bullet"/>
      <w:lvlText w:val=""/>
      <w:lvlJc w:val="left"/>
      <w:pPr>
        <w:ind w:left="3360" w:hanging="360"/>
      </w:pPr>
      <w:rPr>
        <w:rFonts w:ascii="Symbol" w:hAnsi="Symbol" w:hint="default"/>
      </w:rPr>
    </w:lvl>
    <w:lvl w:ilvl="4" w:tplc="04050003" w:tentative="1">
      <w:start w:val="1"/>
      <w:numFmt w:val="bullet"/>
      <w:lvlText w:val="o"/>
      <w:lvlJc w:val="left"/>
      <w:pPr>
        <w:ind w:left="4080" w:hanging="360"/>
      </w:pPr>
      <w:rPr>
        <w:rFonts w:ascii="Courier New" w:hAnsi="Courier New" w:cs="Courier New" w:hint="default"/>
      </w:rPr>
    </w:lvl>
    <w:lvl w:ilvl="5" w:tplc="04050005" w:tentative="1">
      <w:start w:val="1"/>
      <w:numFmt w:val="bullet"/>
      <w:lvlText w:val=""/>
      <w:lvlJc w:val="left"/>
      <w:pPr>
        <w:ind w:left="4800" w:hanging="360"/>
      </w:pPr>
      <w:rPr>
        <w:rFonts w:ascii="Wingdings" w:hAnsi="Wingdings" w:hint="default"/>
      </w:rPr>
    </w:lvl>
    <w:lvl w:ilvl="6" w:tplc="04050001" w:tentative="1">
      <w:start w:val="1"/>
      <w:numFmt w:val="bullet"/>
      <w:lvlText w:val=""/>
      <w:lvlJc w:val="left"/>
      <w:pPr>
        <w:ind w:left="5520" w:hanging="360"/>
      </w:pPr>
      <w:rPr>
        <w:rFonts w:ascii="Symbol" w:hAnsi="Symbol" w:hint="default"/>
      </w:rPr>
    </w:lvl>
    <w:lvl w:ilvl="7" w:tplc="04050003" w:tentative="1">
      <w:start w:val="1"/>
      <w:numFmt w:val="bullet"/>
      <w:lvlText w:val="o"/>
      <w:lvlJc w:val="left"/>
      <w:pPr>
        <w:ind w:left="6240" w:hanging="360"/>
      </w:pPr>
      <w:rPr>
        <w:rFonts w:ascii="Courier New" w:hAnsi="Courier New" w:cs="Courier New" w:hint="default"/>
      </w:rPr>
    </w:lvl>
    <w:lvl w:ilvl="8" w:tplc="04050005" w:tentative="1">
      <w:start w:val="1"/>
      <w:numFmt w:val="bullet"/>
      <w:lvlText w:val=""/>
      <w:lvlJc w:val="left"/>
      <w:pPr>
        <w:ind w:left="6960" w:hanging="360"/>
      </w:pPr>
      <w:rPr>
        <w:rFonts w:ascii="Wingdings" w:hAnsi="Wingdings" w:hint="default"/>
      </w:rPr>
    </w:lvl>
  </w:abstractNum>
  <w:abstractNum w:abstractNumId="677" w15:restartNumberingAfterBreak="0">
    <w:nsid w:val="75F096DF"/>
    <w:multiLevelType w:val="hybridMultilevel"/>
    <w:tmpl w:val="29169A4E"/>
    <w:lvl w:ilvl="0" w:tplc="3AB6D18E">
      <w:start w:val="1"/>
      <w:numFmt w:val="decimal"/>
      <w:lvlText w:val="%1)"/>
      <w:lvlJc w:val="left"/>
      <w:rPr>
        <w:rFonts w:ascii="Times New Roman" w:eastAsia="Times New Roman" w:hAnsi="Times New Roman" w:cs="Times New Roman"/>
        <w:b/>
        <w:bCs/>
      </w:rPr>
    </w:lvl>
    <w:lvl w:ilvl="1" w:tplc="97B2F7BA">
      <w:numFmt w:val="decimal"/>
      <w:lvlText w:val=""/>
      <w:lvlJc w:val="left"/>
    </w:lvl>
    <w:lvl w:ilvl="2" w:tplc="52C6F136">
      <w:numFmt w:val="decimal"/>
      <w:lvlText w:val=""/>
      <w:lvlJc w:val="left"/>
    </w:lvl>
    <w:lvl w:ilvl="3" w:tplc="522610DA">
      <w:numFmt w:val="decimal"/>
      <w:lvlText w:val=""/>
      <w:lvlJc w:val="left"/>
    </w:lvl>
    <w:lvl w:ilvl="4" w:tplc="EF9851FE">
      <w:numFmt w:val="decimal"/>
      <w:lvlText w:val=""/>
      <w:lvlJc w:val="left"/>
    </w:lvl>
    <w:lvl w:ilvl="5" w:tplc="EBB06A1C">
      <w:numFmt w:val="decimal"/>
      <w:lvlText w:val=""/>
      <w:lvlJc w:val="left"/>
    </w:lvl>
    <w:lvl w:ilvl="6" w:tplc="2432F9BE">
      <w:numFmt w:val="decimal"/>
      <w:lvlText w:val=""/>
      <w:lvlJc w:val="left"/>
    </w:lvl>
    <w:lvl w:ilvl="7" w:tplc="94EE157A">
      <w:numFmt w:val="decimal"/>
      <w:lvlText w:val=""/>
      <w:lvlJc w:val="left"/>
    </w:lvl>
    <w:lvl w:ilvl="8" w:tplc="53565DDA">
      <w:numFmt w:val="decimal"/>
      <w:lvlText w:val=""/>
      <w:lvlJc w:val="left"/>
    </w:lvl>
  </w:abstractNum>
  <w:abstractNum w:abstractNumId="678" w15:restartNumberingAfterBreak="0">
    <w:nsid w:val="7619AB87"/>
    <w:multiLevelType w:val="hybridMultilevel"/>
    <w:tmpl w:val="C40EC684"/>
    <w:lvl w:ilvl="0" w:tplc="34B2F4E0">
      <w:start w:val="1"/>
      <w:numFmt w:val="bullet"/>
      <w:lvlText w:val="•"/>
      <w:lvlJc w:val="left"/>
    </w:lvl>
    <w:lvl w:ilvl="1" w:tplc="C3669456">
      <w:numFmt w:val="decimal"/>
      <w:lvlText w:val=""/>
      <w:lvlJc w:val="left"/>
    </w:lvl>
    <w:lvl w:ilvl="2" w:tplc="4F861872">
      <w:numFmt w:val="decimal"/>
      <w:lvlText w:val=""/>
      <w:lvlJc w:val="left"/>
    </w:lvl>
    <w:lvl w:ilvl="3" w:tplc="3A7ACE20">
      <w:numFmt w:val="decimal"/>
      <w:lvlText w:val=""/>
      <w:lvlJc w:val="left"/>
    </w:lvl>
    <w:lvl w:ilvl="4" w:tplc="5BE25B1E">
      <w:numFmt w:val="decimal"/>
      <w:lvlText w:val=""/>
      <w:lvlJc w:val="left"/>
    </w:lvl>
    <w:lvl w:ilvl="5" w:tplc="1408DC1A">
      <w:numFmt w:val="decimal"/>
      <w:lvlText w:val=""/>
      <w:lvlJc w:val="left"/>
    </w:lvl>
    <w:lvl w:ilvl="6" w:tplc="941EAAEE">
      <w:numFmt w:val="decimal"/>
      <w:lvlText w:val=""/>
      <w:lvlJc w:val="left"/>
    </w:lvl>
    <w:lvl w:ilvl="7" w:tplc="DE82C4E4">
      <w:numFmt w:val="decimal"/>
      <w:lvlText w:val=""/>
      <w:lvlJc w:val="left"/>
    </w:lvl>
    <w:lvl w:ilvl="8" w:tplc="F1D41B06">
      <w:numFmt w:val="decimal"/>
      <w:lvlText w:val=""/>
      <w:lvlJc w:val="left"/>
    </w:lvl>
  </w:abstractNum>
  <w:abstractNum w:abstractNumId="679" w15:restartNumberingAfterBreak="0">
    <w:nsid w:val="76490B01"/>
    <w:multiLevelType w:val="hybridMultilevel"/>
    <w:tmpl w:val="C026E34A"/>
    <w:lvl w:ilvl="0" w:tplc="438CA11C">
      <w:start w:val="1"/>
      <w:numFmt w:val="lowerLetter"/>
      <w:lvlText w:val="%1)"/>
      <w:lvlJc w:val="left"/>
    </w:lvl>
    <w:lvl w:ilvl="1" w:tplc="31ACE970">
      <w:numFmt w:val="decimal"/>
      <w:lvlText w:val=""/>
      <w:lvlJc w:val="left"/>
    </w:lvl>
    <w:lvl w:ilvl="2" w:tplc="17DEF208">
      <w:numFmt w:val="decimal"/>
      <w:lvlText w:val=""/>
      <w:lvlJc w:val="left"/>
    </w:lvl>
    <w:lvl w:ilvl="3" w:tplc="A0BCBCCC">
      <w:numFmt w:val="decimal"/>
      <w:lvlText w:val=""/>
      <w:lvlJc w:val="left"/>
    </w:lvl>
    <w:lvl w:ilvl="4" w:tplc="60B8D530">
      <w:numFmt w:val="decimal"/>
      <w:lvlText w:val=""/>
      <w:lvlJc w:val="left"/>
    </w:lvl>
    <w:lvl w:ilvl="5" w:tplc="1AA80B26">
      <w:numFmt w:val="decimal"/>
      <w:lvlText w:val=""/>
      <w:lvlJc w:val="left"/>
    </w:lvl>
    <w:lvl w:ilvl="6" w:tplc="00AE6FC6">
      <w:numFmt w:val="decimal"/>
      <w:lvlText w:val=""/>
      <w:lvlJc w:val="left"/>
    </w:lvl>
    <w:lvl w:ilvl="7" w:tplc="99D62B1C">
      <w:numFmt w:val="decimal"/>
      <w:lvlText w:val=""/>
      <w:lvlJc w:val="left"/>
    </w:lvl>
    <w:lvl w:ilvl="8" w:tplc="4206515C">
      <w:numFmt w:val="decimal"/>
      <w:lvlText w:val=""/>
      <w:lvlJc w:val="left"/>
    </w:lvl>
  </w:abstractNum>
  <w:abstractNum w:abstractNumId="680" w15:restartNumberingAfterBreak="0">
    <w:nsid w:val="76931B84"/>
    <w:multiLevelType w:val="hybridMultilevel"/>
    <w:tmpl w:val="94E0CA34"/>
    <w:lvl w:ilvl="0" w:tplc="C372865E">
      <w:start w:val="1"/>
      <w:numFmt w:val="bullet"/>
      <w:lvlText w:val="●"/>
      <w:lvlJc w:val="left"/>
    </w:lvl>
    <w:lvl w:ilvl="1" w:tplc="587C1D0C">
      <w:numFmt w:val="decimal"/>
      <w:lvlText w:val=""/>
      <w:lvlJc w:val="left"/>
    </w:lvl>
    <w:lvl w:ilvl="2" w:tplc="A8FEB1BE">
      <w:numFmt w:val="decimal"/>
      <w:lvlText w:val=""/>
      <w:lvlJc w:val="left"/>
    </w:lvl>
    <w:lvl w:ilvl="3" w:tplc="78084EF4">
      <w:numFmt w:val="decimal"/>
      <w:lvlText w:val=""/>
      <w:lvlJc w:val="left"/>
    </w:lvl>
    <w:lvl w:ilvl="4" w:tplc="5BEE2DCA">
      <w:numFmt w:val="decimal"/>
      <w:lvlText w:val=""/>
      <w:lvlJc w:val="left"/>
    </w:lvl>
    <w:lvl w:ilvl="5" w:tplc="F0520120">
      <w:numFmt w:val="decimal"/>
      <w:lvlText w:val=""/>
      <w:lvlJc w:val="left"/>
    </w:lvl>
    <w:lvl w:ilvl="6" w:tplc="9D2E5840">
      <w:numFmt w:val="decimal"/>
      <w:lvlText w:val=""/>
      <w:lvlJc w:val="left"/>
    </w:lvl>
    <w:lvl w:ilvl="7" w:tplc="2B20CFB8">
      <w:numFmt w:val="decimal"/>
      <w:lvlText w:val=""/>
      <w:lvlJc w:val="left"/>
    </w:lvl>
    <w:lvl w:ilvl="8" w:tplc="53600F52">
      <w:numFmt w:val="decimal"/>
      <w:lvlText w:val=""/>
      <w:lvlJc w:val="left"/>
    </w:lvl>
  </w:abstractNum>
  <w:abstractNum w:abstractNumId="681" w15:restartNumberingAfterBreak="0">
    <w:nsid w:val="76DEE918"/>
    <w:multiLevelType w:val="hybridMultilevel"/>
    <w:tmpl w:val="FD8A25EA"/>
    <w:lvl w:ilvl="0" w:tplc="CC440060">
      <w:start w:val="1"/>
      <w:numFmt w:val="bullet"/>
      <w:lvlText w:val="•"/>
      <w:lvlJc w:val="left"/>
    </w:lvl>
    <w:lvl w:ilvl="1" w:tplc="BD0ABEEC">
      <w:numFmt w:val="decimal"/>
      <w:lvlText w:val=""/>
      <w:lvlJc w:val="left"/>
    </w:lvl>
    <w:lvl w:ilvl="2" w:tplc="D3BA0C42">
      <w:numFmt w:val="decimal"/>
      <w:lvlText w:val=""/>
      <w:lvlJc w:val="left"/>
    </w:lvl>
    <w:lvl w:ilvl="3" w:tplc="98626A8E">
      <w:numFmt w:val="decimal"/>
      <w:lvlText w:val=""/>
      <w:lvlJc w:val="left"/>
    </w:lvl>
    <w:lvl w:ilvl="4" w:tplc="4F5CF22A">
      <w:numFmt w:val="decimal"/>
      <w:lvlText w:val=""/>
      <w:lvlJc w:val="left"/>
    </w:lvl>
    <w:lvl w:ilvl="5" w:tplc="C9CAC5F6">
      <w:numFmt w:val="decimal"/>
      <w:lvlText w:val=""/>
      <w:lvlJc w:val="left"/>
    </w:lvl>
    <w:lvl w:ilvl="6" w:tplc="134E0E20">
      <w:numFmt w:val="decimal"/>
      <w:lvlText w:val=""/>
      <w:lvlJc w:val="left"/>
    </w:lvl>
    <w:lvl w:ilvl="7" w:tplc="1E68FC64">
      <w:numFmt w:val="decimal"/>
      <w:lvlText w:val=""/>
      <w:lvlJc w:val="left"/>
    </w:lvl>
    <w:lvl w:ilvl="8" w:tplc="3814B83E">
      <w:numFmt w:val="decimal"/>
      <w:lvlText w:val=""/>
      <w:lvlJc w:val="left"/>
    </w:lvl>
  </w:abstractNum>
  <w:abstractNum w:abstractNumId="682" w15:restartNumberingAfterBreak="0">
    <w:nsid w:val="76F31C0F"/>
    <w:multiLevelType w:val="hybridMultilevel"/>
    <w:tmpl w:val="9CA25804"/>
    <w:lvl w:ilvl="0" w:tplc="420E85AC">
      <w:start w:val="1"/>
      <w:numFmt w:val="bullet"/>
      <w:lvlText w:val=""/>
      <w:lvlJc w:val="righ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683" w15:restartNumberingAfterBreak="0">
    <w:nsid w:val="772059BC"/>
    <w:multiLevelType w:val="hybridMultilevel"/>
    <w:tmpl w:val="B74C91E0"/>
    <w:lvl w:ilvl="0" w:tplc="53CABD30">
      <w:start w:val="1"/>
      <w:numFmt w:val="bullet"/>
      <w:lvlText w:val="-"/>
      <w:lvlJc w:val="left"/>
      <w:pPr>
        <w:ind w:left="1440" w:hanging="360"/>
      </w:p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84" w15:restartNumberingAfterBreak="0">
    <w:nsid w:val="7726E879"/>
    <w:multiLevelType w:val="hybridMultilevel"/>
    <w:tmpl w:val="B59CD824"/>
    <w:lvl w:ilvl="0" w:tplc="59DA884C">
      <w:start w:val="1"/>
      <w:numFmt w:val="bullet"/>
      <w:lvlText w:val="-"/>
      <w:lvlJc w:val="left"/>
    </w:lvl>
    <w:lvl w:ilvl="1" w:tplc="6E40F33E">
      <w:start w:val="3"/>
      <w:numFmt w:val="decimal"/>
      <w:lvlText w:val="%2)"/>
      <w:lvlJc w:val="left"/>
    </w:lvl>
    <w:lvl w:ilvl="2" w:tplc="339A2418">
      <w:numFmt w:val="decimal"/>
      <w:lvlText w:val=""/>
      <w:lvlJc w:val="left"/>
    </w:lvl>
    <w:lvl w:ilvl="3" w:tplc="13CCBD14">
      <w:numFmt w:val="decimal"/>
      <w:lvlText w:val=""/>
      <w:lvlJc w:val="left"/>
    </w:lvl>
    <w:lvl w:ilvl="4" w:tplc="5DCE1F7A">
      <w:numFmt w:val="decimal"/>
      <w:lvlText w:val=""/>
      <w:lvlJc w:val="left"/>
    </w:lvl>
    <w:lvl w:ilvl="5" w:tplc="141CEFA0">
      <w:numFmt w:val="decimal"/>
      <w:lvlText w:val=""/>
      <w:lvlJc w:val="left"/>
    </w:lvl>
    <w:lvl w:ilvl="6" w:tplc="660E9D2A">
      <w:numFmt w:val="decimal"/>
      <w:lvlText w:val=""/>
      <w:lvlJc w:val="left"/>
    </w:lvl>
    <w:lvl w:ilvl="7" w:tplc="E7042256">
      <w:numFmt w:val="decimal"/>
      <w:lvlText w:val=""/>
      <w:lvlJc w:val="left"/>
    </w:lvl>
    <w:lvl w:ilvl="8" w:tplc="A1468D36">
      <w:numFmt w:val="decimal"/>
      <w:lvlText w:val=""/>
      <w:lvlJc w:val="left"/>
    </w:lvl>
  </w:abstractNum>
  <w:abstractNum w:abstractNumId="685" w15:restartNumberingAfterBreak="0">
    <w:nsid w:val="77361526"/>
    <w:multiLevelType w:val="hybridMultilevel"/>
    <w:tmpl w:val="BA62BACA"/>
    <w:lvl w:ilvl="0" w:tplc="8C58AC7E">
      <w:start w:val="1"/>
      <w:numFmt w:val="bullet"/>
      <w:lvlText w:val="·"/>
      <w:lvlJc w:val="left"/>
    </w:lvl>
    <w:lvl w:ilvl="1" w:tplc="D786B8D8">
      <w:numFmt w:val="decimal"/>
      <w:lvlText w:val=""/>
      <w:lvlJc w:val="left"/>
    </w:lvl>
    <w:lvl w:ilvl="2" w:tplc="DDC8ED72">
      <w:numFmt w:val="decimal"/>
      <w:lvlText w:val=""/>
      <w:lvlJc w:val="left"/>
    </w:lvl>
    <w:lvl w:ilvl="3" w:tplc="C99034C6">
      <w:numFmt w:val="decimal"/>
      <w:lvlText w:val=""/>
      <w:lvlJc w:val="left"/>
    </w:lvl>
    <w:lvl w:ilvl="4" w:tplc="04241AE0">
      <w:numFmt w:val="decimal"/>
      <w:lvlText w:val=""/>
      <w:lvlJc w:val="left"/>
    </w:lvl>
    <w:lvl w:ilvl="5" w:tplc="51688654">
      <w:numFmt w:val="decimal"/>
      <w:lvlText w:val=""/>
      <w:lvlJc w:val="left"/>
    </w:lvl>
    <w:lvl w:ilvl="6" w:tplc="A98E26FE">
      <w:numFmt w:val="decimal"/>
      <w:lvlText w:val=""/>
      <w:lvlJc w:val="left"/>
    </w:lvl>
    <w:lvl w:ilvl="7" w:tplc="3E4A2C94">
      <w:numFmt w:val="decimal"/>
      <w:lvlText w:val=""/>
      <w:lvlJc w:val="left"/>
    </w:lvl>
    <w:lvl w:ilvl="8" w:tplc="9062A390">
      <w:numFmt w:val="decimal"/>
      <w:lvlText w:val=""/>
      <w:lvlJc w:val="left"/>
    </w:lvl>
  </w:abstractNum>
  <w:abstractNum w:abstractNumId="686" w15:restartNumberingAfterBreak="0">
    <w:nsid w:val="77610B59"/>
    <w:multiLevelType w:val="hybridMultilevel"/>
    <w:tmpl w:val="FBBCF1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7" w15:restartNumberingAfterBreak="0">
    <w:nsid w:val="77633E5E"/>
    <w:multiLevelType w:val="hybridMultilevel"/>
    <w:tmpl w:val="9B466066"/>
    <w:lvl w:ilvl="0" w:tplc="97089C02">
      <w:start w:val="1"/>
      <w:numFmt w:val="bullet"/>
      <w:lvlText w:val="•"/>
      <w:lvlJc w:val="left"/>
    </w:lvl>
    <w:lvl w:ilvl="1" w:tplc="80825AB0">
      <w:numFmt w:val="decimal"/>
      <w:lvlText w:val=""/>
      <w:lvlJc w:val="left"/>
    </w:lvl>
    <w:lvl w:ilvl="2" w:tplc="8D30DB12">
      <w:numFmt w:val="decimal"/>
      <w:lvlText w:val=""/>
      <w:lvlJc w:val="left"/>
    </w:lvl>
    <w:lvl w:ilvl="3" w:tplc="FEC68B12">
      <w:numFmt w:val="decimal"/>
      <w:lvlText w:val=""/>
      <w:lvlJc w:val="left"/>
    </w:lvl>
    <w:lvl w:ilvl="4" w:tplc="A866E442">
      <w:numFmt w:val="decimal"/>
      <w:lvlText w:val=""/>
      <w:lvlJc w:val="left"/>
    </w:lvl>
    <w:lvl w:ilvl="5" w:tplc="73D05256">
      <w:numFmt w:val="decimal"/>
      <w:lvlText w:val=""/>
      <w:lvlJc w:val="left"/>
    </w:lvl>
    <w:lvl w:ilvl="6" w:tplc="239EE3FC">
      <w:numFmt w:val="decimal"/>
      <w:lvlText w:val=""/>
      <w:lvlJc w:val="left"/>
    </w:lvl>
    <w:lvl w:ilvl="7" w:tplc="C2D4C5D4">
      <w:numFmt w:val="decimal"/>
      <w:lvlText w:val=""/>
      <w:lvlJc w:val="left"/>
    </w:lvl>
    <w:lvl w:ilvl="8" w:tplc="0CD83A2C">
      <w:numFmt w:val="decimal"/>
      <w:lvlText w:val=""/>
      <w:lvlJc w:val="left"/>
    </w:lvl>
  </w:abstractNum>
  <w:abstractNum w:abstractNumId="688" w15:restartNumberingAfterBreak="0">
    <w:nsid w:val="777250E7"/>
    <w:multiLevelType w:val="hybridMultilevel"/>
    <w:tmpl w:val="86A292B2"/>
    <w:lvl w:ilvl="0" w:tplc="321A6704">
      <w:start w:val="1"/>
      <w:numFmt w:val="bullet"/>
      <w:lvlText w:val="•"/>
      <w:lvlJc w:val="left"/>
    </w:lvl>
    <w:lvl w:ilvl="1" w:tplc="6C881C5C">
      <w:numFmt w:val="decimal"/>
      <w:lvlText w:val=""/>
      <w:lvlJc w:val="left"/>
    </w:lvl>
    <w:lvl w:ilvl="2" w:tplc="5454A9E0">
      <w:numFmt w:val="decimal"/>
      <w:lvlText w:val=""/>
      <w:lvlJc w:val="left"/>
    </w:lvl>
    <w:lvl w:ilvl="3" w:tplc="8AF0A4EE">
      <w:numFmt w:val="decimal"/>
      <w:lvlText w:val=""/>
      <w:lvlJc w:val="left"/>
    </w:lvl>
    <w:lvl w:ilvl="4" w:tplc="BBAA140E">
      <w:numFmt w:val="decimal"/>
      <w:lvlText w:val=""/>
      <w:lvlJc w:val="left"/>
    </w:lvl>
    <w:lvl w:ilvl="5" w:tplc="C85AC520">
      <w:numFmt w:val="decimal"/>
      <w:lvlText w:val=""/>
      <w:lvlJc w:val="left"/>
    </w:lvl>
    <w:lvl w:ilvl="6" w:tplc="0B620952">
      <w:numFmt w:val="decimal"/>
      <w:lvlText w:val=""/>
      <w:lvlJc w:val="left"/>
    </w:lvl>
    <w:lvl w:ilvl="7" w:tplc="12F21692">
      <w:numFmt w:val="decimal"/>
      <w:lvlText w:val=""/>
      <w:lvlJc w:val="left"/>
    </w:lvl>
    <w:lvl w:ilvl="8" w:tplc="63DE966A">
      <w:numFmt w:val="decimal"/>
      <w:lvlText w:val=""/>
      <w:lvlJc w:val="left"/>
    </w:lvl>
  </w:abstractNum>
  <w:abstractNum w:abstractNumId="689" w15:restartNumberingAfterBreak="0">
    <w:nsid w:val="77B7C5CC"/>
    <w:multiLevelType w:val="hybridMultilevel"/>
    <w:tmpl w:val="2D0EFFBE"/>
    <w:lvl w:ilvl="0" w:tplc="E7A64FA2">
      <w:start w:val="1"/>
      <w:numFmt w:val="bullet"/>
      <w:lvlText w:val="•"/>
      <w:lvlJc w:val="left"/>
    </w:lvl>
    <w:lvl w:ilvl="1" w:tplc="6226AF62">
      <w:numFmt w:val="decimal"/>
      <w:lvlText w:val=""/>
      <w:lvlJc w:val="left"/>
    </w:lvl>
    <w:lvl w:ilvl="2" w:tplc="CAC6AD58">
      <w:numFmt w:val="decimal"/>
      <w:lvlText w:val=""/>
      <w:lvlJc w:val="left"/>
    </w:lvl>
    <w:lvl w:ilvl="3" w:tplc="AB765ADC">
      <w:numFmt w:val="decimal"/>
      <w:lvlText w:val=""/>
      <w:lvlJc w:val="left"/>
    </w:lvl>
    <w:lvl w:ilvl="4" w:tplc="15A851B8">
      <w:numFmt w:val="decimal"/>
      <w:lvlText w:val=""/>
      <w:lvlJc w:val="left"/>
    </w:lvl>
    <w:lvl w:ilvl="5" w:tplc="8EE8C07C">
      <w:numFmt w:val="decimal"/>
      <w:lvlText w:val=""/>
      <w:lvlJc w:val="left"/>
    </w:lvl>
    <w:lvl w:ilvl="6" w:tplc="079660D4">
      <w:numFmt w:val="decimal"/>
      <w:lvlText w:val=""/>
      <w:lvlJc w:val="left"/>
    </w:lvl>
    <w:lvl w:ilvl="7" w:tplc="1E0039FC">
      <w:numFmt w:val="decimal"/>
      <w:lvlText w:val=""/>
      <w:lvlJc w:val="left"/>
    </w:lvl>
    <w:lvl w:ilvl="8" w:tplc="0A4C74CA">
      <w:numFmt w:val="decimal"/>
      <w:lvlText w:val=""/>
      <w:lvlJc w:val="left"/>
    </w:lvl>
  </w:abstractNum>
  <w:abstractNum w:abstractNumId="690" w15:restartNumberingAfterBreak="0">
    <w:nsid w:val="77BE7B2A"/>
    <w:multiLevelType w:val="hybridMultilevel"/>
    <w:tmpl w:val="C6BE0DC0"/>
    <w:lvl w:ilvl="0" w:tplc="DF8C7E8C">
      <w:start w:val="14"/>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1" w15:restartNumberingAfterBreak="0">
    <w:nsid w:val="782FF375"/>
    <w:multiLevelType w:val="hybridMultilevel"/>
    <w:tmpl w:val="5C102ACE"/>
    <w:lvl w:ilvl="0" w:tplc="90D0FF96">
      <w:start w:val="1"/>
      <w:numFmt w:val="bullet"/>
      <w:lvlText w:val="•"/>
      <w:lvlJc w:val="left"/>
    </w:lvl>
    <w:lvl w:ilvl="1" w:tplc="B8367420">
      <w:numFmt w:val="decimal"/>
      <w:lvlText w:val=""/>
      <w:lvlJc w:val="left"/>
    </w:lvl>
    <w:lvl w:ilvl="2" w:tplc="7C705D1E">
      <w:numFmt w:val="decimal"/>
      <w:lvlText w:val=""/>
      <w:lvlJc w:val="left"/>
    </w:lvl>
    <w:lvl w:ilvl="3" w:tplc="CF9AEF3A">
      <w:numFmt w:val="decimal"/>
      <w:lvlText w:val=""/>
      <w:lvlJc w:val="left"/>
    </w:lvl>
    <w:lvl w:ilvl="4" w:tplc="4BCA00B8">
      <w:numFmt w:val="decimal"/>
      <w:lvlText w:val=""/>
      <w:lvlJc w:val="left"/>
    </w:lvl>
    <w:lvl w:ilvl="5" w:tplc="08C02F00">
      <w:numFmt w:val="decimal"/>
      <w:lvlText w:val=""/>
      <w:lvlJc w:val="left"/>
    </w:lvl>
    <w:lvl w:ilvl="6" w:tplc="89D07C26">
      <w:numFmt w:val="decimal"/>
      <w:lvlText w:val=""/>
      <w:lvlJc w:val="left"/>
    </w:lvl>
    <w:lvl w:ilvl="7" w:tplc="22707872">
      <w:numFmt w:val="decimal"/>
      <w:lvlText w:val=""/>
      <w:lvlJc w:val="left"/>
    </w:lvl>
    <w:lvl w:ilvl="8" w:tplc="300C91C6">
      <w:numFmt w:val="decimal"/>
      <w:lvlText w:val=""/>
      <w:lvlJc w:val="left"/>
    </w:lvl>
  </w:abstractNum>
  <w:abstractNum w:abstractNumId="692" w15:restartNumberingAfterBreak="0">
    <w:nsid w:val="78466DAF"/>
    <w:multiLevelType w:val="hybridMultilevel"/>
    <w:tmpl w:val="4D8EC2DC"/>
    <w:lvl w:ilvl="0" w:tplc="064254A2">
      <w:start w:val="1"/>
      <w:numFmt w:val="lowerLetter"/>
      <w:lvlText w:val="%1)"/>
      <w:lvlJc w:val="left"/>
    </w:lvl>
    <w:lvl w:ilvl="1" w:tplc="30E40950">
      <w:numFmt w:val="decimal"/>
      <w:lvlText w:val=""/>
      <w:lvlJc w:val="left"/>
    </w:lvl>
    <w:lvl w:ilvl="2" w:tplc="AFF014AC">
      <w:numFmt w:val="decimal"/>
      <w:lvlText w:val=""/>
      <w:lvlJc w:val="left"/>
    </w:lvl>
    <w:lvl w:ilvl="3" w:tplc="76FAD106">
      <w:numFmt w:val="decimal"/>
      <w:lvlText w:val=""/>
      <w:lvlJc w:val="left"/>
    </w:lvl>
    <w:lvl w:ilvl="4" w:tplc="6B96CC9C">
      <w:numFmt w:val="decimal"/>
      <w:lvlText w:val=""/>
      <w:lvlJc w:val="left"/>
    </w:lvl>
    <w:lvl w:ilvl="5" w:tplc="1F6A8D20">
      <w:numFmt w:val="decimal"/>
      <w:lvlText w:val=""/>
      <w:lvlJc w:val="left"/>
    </w:lvl>
    <w:lvl w:ilvl="6" w:tplc="824E650A">
      <w:numFmt w:val="decimal"/>
      <w:lvlText w:val=""/>
      <w:lvlJc w:val="left"/>
    </w:lvl>
    <w:lvl w:ilvl="7" w:tplc="D040BF1A">
      <w:numFmt w:val="decimal"/>
      <w:lvlText w:val=""/>
      <w:lvlJc w:val="left"/>
    </w:lvl>
    <w:lvl w:ilvl="8" w:tplc="04800E00">
      <w:numFmt w:val="decimal"/>
      <w:lvlText w:val=""/>
      <w:lvlJc w:val="left"/>
    </w:lvl>
  </w:abstractNum>
  <w:abstractNum w:abstractNumId="693" w15:restartNumberingAfterBreak="0">
    <w:nsid w:val="784DF0C8"/>
    <w:multiLevelType w:val="hybridMultilevel"/>
    <w:tmpl w:val="4FF2556C"/>
    <w:lvl w:ilvl="0" w:tplc="88F45FF4">
      <w:start w:val="1"/>
      <w:numFmt w:val="bullet"/>
      <w:lvlText w:val="-"/>
      <w:lvlJc w:val="left"/>
    </w:lvl>
    <w:lvl w:ilvl="1" w:tplc="6BC854EA">
      <w:start w:val="1"/>
      <w:numFmt w:val="upperLetter"/>
      <w:lvlText w:val="%2."/>
      <w:lvlJc w:val="left"/>
    </w:lvl>
    <w:lvl w:ilvl="2" w:tplc="1F8A385C">
      <w:start w:val="1"/>
      <w:numFmt w:val="bullet"/>
      <w:lvlText w:val="§"/>
      <w:lvlJc w:val="left"/>
    </w:lvl>
    <w:lvl w:ilvl="3" w:tplc="75EA220E">
      <w:start w:val="1"/>
      <w:numFmt w:val="bullet"/>
      <w:lvlText w:val="§"/>
      <w:lvlJc w:val="left"/>
    </w:lvl>
    <w:lvl w:ilvl="4" w:tplc="B9E2A76A">
      <w:start w:val="1"/>
      <w:numFmt w:val="bullet"/>
      <w:lvlText w:val="-"/>
      <w:lvlJc w:val="left"/>
    </w:lvl>
    <w:lvl w:ilvl="5" w:tplc="39DE46C4">
      <w:numFmt w:val="decimal"/>
      <w:lvlText w:val=""/>
      <w:lvlJc w:val="left"/>
    </w:lvl>
    <w:lvl w:ilvl="6" w:tplc="4C7CB86A">
      <w:numFmt w:val="decimal"/>
      <w:lvlText w:val=""/>
      <w:lvlJc w:val="left"/>
    </w:lvl>
    <w:lvl w:ilvl="7" w:tplc="5AFAAED6">
      <w:numFmt w:val="decimal"/>
      <w:lvlText w:val=""/>
      <w:lvlJc w:val="left"/>
    </w:lvl>
    <w:lvl w:ilvl="8" w:tplc="D534ED56">
      <w:numFmt w:val="decimal"/>
      <w:lvlText w:val=""/>
      <w:lvlJc w:val="left"/>
    </w:lvl>
  </w:abstractNum>
  <w:abstractNum w:abstractNumId="694" w15:restartNumberingAfterBreak="0">
    <w:nsid w:val="785A7159"/>
    <w:multiLevelType w:val="hybridMultilevel"/>
    <w:tmpl w:val="FEB89052"/>
    <w:lvl w:ilvl="0" w:tplc="E974A568">
      <w:numFmt w:val="bullet"/>
      <w:lvlText w:val=""/>
      <w:lvlJc w:val="left"/>
      <w:pPr>
        <w:ind w:left="720" w:hanging="360"/>
      </w:pPr>
      <w:rPr>
        <w:rFonts w:ascii="Symbol" w:eastAsiaTheme="minorEastAsia"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5" w15:restartNumberingAfterBreak="0">
    <w:nsid w:val="786D58E4"/>
    <w:multiLevelType w:val="hybridMultilevel"/>
    <w:tmpl w:val="E44823FE"/>
    <w:lvl w:ilvl="0" w:tplc="21227F40">
      <w:start w:val="1"/>
      <w:numFmt w:val="bullet"/>
      <w:lvlText w:val="●"/>
      <w:lvlJc w:val="left"/>
    </w:lvl>
    <w:lvl w:ilvl="1" w:tplc="423671B6">
      <w:numFmt w:val="decimal"/>
      <w:lvlText w:val=""/>
      <w:lvlJc w:val="left"/>
    </w:lvl>
    <w:lvl w:ilvl="2" w:tplc="D144D1C8">
      <w:numFmt w:val="decimal"/>
      <w:lvlText w:val=""/>
      <w:lvlJc w:val="left"/>
    </w:lvl>
    <w:lvl w:ilvl="3" w:tplc="9A588EFA">
      <w:numFmt w:val="decimal"/>
      <w:lvlText w:val=""/>
      <w:lvlJc w:val="left"/>
    </w:lvl>
    <w:lvl w:ilvl="4" w:tplc="824068A2">
      <w:numFmt w:val="decimal"/>
      <w:lvlText w:val=""/>
      <w:lvlJc w:val="left"/>
    </w:lvl>
    <w:lvl w:ilvl="5" w:tplc="9228843E">
      <w:numFmt w:val="decimal"/>
      <w:lvlText w:val=""/>
      <w:lvlJc w:val="left"/>
    </w:lvl>
    <w:lvl w:ilvl="6" w:tplc="C2328488">
      <w:numFmt w:val="decimal"/>
      <w:lvlText w:val=""/>
      <w:lvlJc w:val="left"/>
    </w:lvl>
    <w:lvl w:ilvl="7" w:tplc="EC8682AE">
      <w:numFmt w:val="decimal"/>
      <w:lvlText w:val=""/>
      <w:lvlJc w:val="left"/>
    </w:lvl>
    <w:lvl w:ilvl="8" w:tplc="DCBE07C8">
      <w:numFmt w:val="decimal"/>
      <w:lvlText w:val=""/>
      <w:lvlJc w:val="left"/>
    </w:lvl>
  </w:abstractNum>
  <w:abstractNum w:abstractNumId="696" w15:restartNumberingAfterBreak="0">
    <w:nsid w:val="787CE04F"/>
    <w:multiLevelType w:val="hybridMultilevel"/>
    <w:tmpl w:val="A91E934C"/>
    <w:lvl w:ilvl="0" w:tplc="56429BFA">
      <w:start w:val="1"/>
      <w:numFmt w:val="decimal"/>
      <w:lvlText w:val="%1)"/>
      <w:lvlJc w:val="left"/>
    </w:lvl>
    <w:lvl w:ilvl="1" w:tplc="4D5E8AB4">
      <w:start w:val="1"/>
      <w:numFmt w:val="bullet"/>
      <w:lvlText w:val="-"/>
      <w:lvlJc w:val="left"/>
    </w:lvl>
    <w:lvl w:ilvl="2" w:tplc="9864D754">
      <w:numFmt w:val="decimal"/>
      <w:lvlText w:val=""/>
      <w:lvlJc w:val="left"/>
    </w:lvl>
    <w:lvl w:ilvl="3" w:tplc="2B2CA25A">
      <w:numFmt w:val="decimal"/>
      <w:lvlText w:val=""/>
      <w:lvlJc w:val="left"/>
    </w:lvl>
    <w:lvl w:ilvl="4" w:tplc="0828697A">
      <w:numFmt w:val="decimal"/>
      <w:lvlText w:val=""/>
      <w:lvlJc w:val="left"/>
    </w:lvl>
    <w:lvl w:ilvl="5" w:tplc="F370C61E">
      <w:numFmt w:val="decimal"/>
      <w:lvlText w:val=""/>
      <w:lvlJc w:val="left"/>
    </w:lvl>
    <w:lvl w:ilvl="6" w:tplc="12C68AB0">
      <w:numFmt w:val="decimal"/>
      <w:lvlText w:val=""/>
      <w:lvlJc w:val="left"/>
    </w:lvl>
    <w:lvl w:ilvl="7" w:tplc="0D0E300E">
      <w:numFmt w:val="decimal"/>
      <w:lvlText w:val=""/>
      <w:lvlJc w:val="left"/>
    </w:lvl>
    <w:lvl w:ilvl="8" w:tplc="1A184F4C">
      <w:numFmt w:val="decimal"/>
      <w:lvlText w:val=""/>
      <w:lvlJc w:val="left"/>
    </w:lvl>
  </w:abstractNum>
  <w:abstractNum w:abstractNumId="697" w15:restartNumberingAfterBreak="0">
    <w:nsid w:val="78B6E496"/>
    <w:multiLevelType w:val="hybridMultilevel"/>
    <w:tmpl w:val="C09A4940"/>
    <w:lvl w:ilvl="0" w:tplc="905EE27C">
      <w:start w:val="1"/>
      <w:numFmt w:val="bullet"/>
      <w:lvlText w:val="•"/>
      <w:lvlJc w:val="left"/>
    </w:lvl>
    <w:lvl w:ilvl="1" w:tplc="681A1AB6">
      <w:numFmt w:val="decimal"/>
      <w:lvlText w:val=""/>
      <w:lvlJc w:val="left"/>
    </w:lvl>
    <w:lvl w:ilvl="2" w:tplc="1D467A02">
      <w:numFmt w:val="decimal"/>
      <w:lvlText w:val=""/>
      <w:lvlJc w:val="left"/>
    </w:lvl>
    <w:lvl w:ilvl="3" w:tplc="096269DE">
      <w:numFmt w:val="decimal"/>
      <w:lvlText w:val=""/>
      <w:lvlJc w:val="left"/>
    </w:lvl>
    <w:lvl w:ilvl="4" w:tplc="03344DF4">
      <w:numFmt w:val="decimal"/>
      <w:lvlText w:val=""/>
      <w:lvlJc w:val="left"/>
    </w:lvl>
    <w:lvl w:ilvl="5" w:tplc="1466108C">
      <w:numFmt w:val="decimal"/>
      <w:lvlText w:val=""/>
      <w:lvlJc w:val="left"/>
    </w:lvl>
    <w:lvl w:ilvl="6" w:tplc="2026D5B4">
      <w:numFmt w:val="decimal"/>
      <w:lvlText w:val=""/>
      <w:lvlJc w:val="left"/>
    </w:lvl>
    <w:lvl w:ilvl="7" w:tplc="D3C2720C">
      <w:numFmt w:val="decimal"/>
      <w:lvlText w:val=""/>
      <w:lvlJc w:val="left"/>
    </w:lvl>
    <w:lvl w:ilvl="8" w:tplc="CFDEFAD4">
      <w:numFmt w:val="decimal"/>
      <w:lvlText w:val=""/>
      <w:lvlJc w:val="left"/>
    </w:lvl>
  </w:abstractNum>
  <w:abstractNum w:abstractNumId="698" w15:restartNumberingAfterBreak="0">
    <w:nsid w:val="7927D00E"/>
    <w:multiLevelType w:val="hybridMultilevel"/>
    <w:tmpl w:val="95B833B2"/>
    <w:lvl w:ilvl="0" w:tplc="7F4E41A2">
      <w:start w:val="1"/>
      <w:numFmt w:val="decimal"/>
      <w:lvlText w:val="%1."/>
      <w:lvlJc w:val="left"/>
    </w:lvl>
    <w:lvl w:ilvl="1" w:tplc="38FECAE2">
      <w:numFmt w:val="decimal"/>
      <w:lvlText w:val=""/>
      <w:lvlJc w:val="left"/>
    </w:lvl>
    <w:lvl w:ilvl="2" w:tplc="F17E0BFC">
      <w:numFmt w:val="decimal"/>
      <w:lvlText w:val=""/>
      <w:lvlJc w:val="left"/>
    </w:lvl>
    <w:lvl w:ilvl="3" w:tplc="1DF469A6">
      <w:numFmt w:val="decimal"/>
      <w:lvlText w:val=""/>
      <w:lvlJc w:val="left"/>
    </w:lvl>
    <w:lvl w:ilvl="4" w:tplc="93D0F694">
      <w:numFmt w:val="decimal"/>
      <w:lvlText w:val=""/>
      <w:lvlJc w:val="left"/>
    </w:lvl>
    <w:lvl w:ilvl="5" w:tplc="4594C948">
      <w:numFmt w:val="decimal"/>
      <w:lvlText w:val=""/>
      <w:lvlJc w:val="left"/>
    </w:lvl>
    <w:lvl w:ilvl="6" w:tplc="715C36D8">
      <w:numFmt w:val="decimal"/>
      <w:lvlText w:val=""/>
      <w:lvlJc w:val="left"/>
    </w:lvl>
    <w:lvl w:ilvl="7" w:tplc="54384F7C">
      <w:numFmt w:val="decimal"/>
      <w:lvlText w:val=""/>
      <w:lvlJc w:val="left"/>
    </w:lvl>
    <w:lvl w:ilvl="8" w:tplc="B96E56CE">
      <w:numFmt w:val="decimal"/>
      <w:lvlText w:val=""/>
      <w:lvlJc w:val="left"/>
    </w:lvl>
  </w:abstractNum>
  <w:abstractNum w:abstractNumId="699" w15:restartNumberingAfterBreak="0">
    <w:nsid w:val="797D0BCD"/>
    <w:multiLevelType w:val="hybridMultilevel"/>
    <w:tmpl w:val="C74436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0" w15:restartNumberingAfterBreak="0">
    <w:nsid w:val="79C31DD8"/>
    <w:multiLevelType w:val="hybridMultilevel"/>
    <w:tmpl w:val="0D8AA5C6"/>
    <w:lvl w:ilvl="0" w:tplc="449454E8">
      <w:start w:val="1"/>
      <w:numFmt w:val="bullet"/>
      <w:lvlText w:val="→"/>
      <w:lvlJc w:val="left"/>
    </w:lvl>
    <w:lvl w:ilvl="1" w:tplc="A4A4D4A4">
      <w:start w:val="1"/>
      <w:numFmt w:val="bullet"/>
      <w:lvlText w:val="•"/>
      <w:lvlJc w:val="left"/>
    </w:lvl>
    <w:lvl w:ilvl="2" w:tplc="36384DF6">
      <w:numFmt w:val="decimal"/>
      <w:lvlText w:val=""/>
      <w:lvlJc w:val="left"/>
    </w:lvl>
    <w:lvl w:ilvl="3" w:tplc="5626778C">
      <w:numFmt w:val="decimal"/>
      <w:lvlText w:val=""/>
      <w:lvlJc w:val="left"/>
    </w:lvl>
    <w:lvl w:ilvl="4" w:tplc="BBB23E8E">
      <w:numFmt w:val="decimal"/>
      <w:lvlText w:val=""/>
      <w:lvlJc w:val="left"/>
    </w:lvl>
    <w:lvl w:ilvl="5" w:tplc="2C88A38E">
      <w:numFmt w:val="decimal"/>
      <w:lvlText w:val=""/>
      <w:lvlJc w:val="left"/>
    </w:lvl>
    <w:lvl w:ilvl="6" w:tplc="1E0AD8FC">
      <w:numFmt w:val="decimal"/>
      <w:lvlText w:val=""/>
      <w:lvlJc w:val="left"/>
    </w:lvl>
    <w:lvl w:ilvl="7" w:tplc="E98E9E5C">
      <w:numFmt w:val="decimal"/>
      <w:lvlText w:val=""/>
      <w:lvlJc w:val="left"/>
    </w:lvl>
    <w:lvl w:ilvl="8" w:tplc="CF663688">
      <w:numFmt w:val="decimal"/>
      <w:lvlText w:val=""/>
      <w:lvlJc w:val="left"/>
    </w:lvl>
  </w:abstractNum>
  <w:abstractNum w:abstractNumId="701" w15:restartNumberingAfterBreak="0">
    <w:nsid w:val="79C42666"/>
    <w:multiLevelType w:val="hybridMultilevel"/>
    <w:tmpl w:val="C04A5CD0"/>
    <w:lvl w:ilvl="0" w:tplc="53CABD30">
      <w:start w:val="1"/>
      <w:numFmt w:val="bullet"/>
      <w:lvlText w:val="-"/>
      <w:lvlJc w:val="left"/>
    </w:lvl>
    <w:lvl w:ilvl="1" w:tplc="AF7A6F82">
      <w:numFmt w:val="decimal"/>
      <w:lvlText w:val=""/>
      <w:lvlJc w:val="left"/>
    </w:lvl>
    <w:lvl w:ilvl="2" w:tplc="447A5968">
      <w:numFmt w:val="decimal"/>
      <w:lvlText w:val=""/>
      <w:lvlJc w:val="left"/>
    </w:lvl>
    <w:lvl w:ilvl="3" w:tplc="579A2B42">
      <w:numFmt w:val="decimal"/>
      <w:lvlText w:val=""/>
      <w:lvlJc w:val="left"/>
    </w:lvl>
    <w:lvl w:ilvl="4" w:tplc="08A615A6">
      <w:numFmt w:val="decimal"/>
      <w:lvlText w:val=""/>
      <w:lvlJc w:val="left"/>
    </w:lvl>
    <w:lvl w:ilvl="5" w:tplc="DA20B9A4">
      <w:numFmt w:val="decimal"/>
      <w:lvlText w:val=""/>
      <w:lvlJc w:val="left"/>
    </w:lvl>
    <w:lvl w:ilvl="6" w:tplc="7D6C193C">
      <w:numFmt w:val="decimal"/>
      <w:lvlText w:val=""/>
      <w:lvlJc w:val="left"/>
    </w:lvl>
    <w:lvl w:ilvl="7" w:tplc="5106D13A">
      <w:numFmt w:val="decimal"/>
      <w:lvlText w:val=""/>
      <w:lvlJc w:val="left"/>
    </w:lvl>
    <w:lvl w:ilvl="8" w:tplc="574C4F5A">
      <w:numFmt w:val="decimal"/>
      <w:lvlText w:val=""/>
      <w:lvlJc w:val="left"/>
    </w:lvl>
  </w:abstractNum>
  <w:abstractNum w:abstractNumId="702" w15:restartNumberingAfterBreak="0">
    <w:nsid w:val="7A723B45"/>
    <w:multiLevelType w:val="hybridMultilevel"/>
    <w:tmpl w:val="9D4CD9F4"/>
    <w:lvl w:ilvl="0" w:tplc="0574B3CC">
      <w:start w:val="5"/>
      <w:numFmt w:val="decimal"/>
      <w:lvlText w:val="%1."/>
      <w:lvlJc w:val="left"/>
      <w:rPr>
        <w:b/>
      </w:rPr>
    </w:lvl>
    <w:lvl w:ilvl="1" w:tplc="0CF09890">
      <w:numFmt w:val="decimal"/>
      <w:lvlText w:val=""/>
      <w:lvlJc w:val="left"/>
    </w:lvl>
    <w:lvl w:ilvl="2" w:tplc="5968575A">
      <w:numFmt w:val="decimal"/>
      <w:lvlText w:val=""/>
      <w:lvlJc w:val="left"/>
    </w:lvl>
    <w:lvl w:ilvl="3" w:tplc="951CFBE6">
      <w:numFmt w:val="decimal"/>
      <w:lvlText w:val=""/>
      <w:lvlJc w:val="left"/>
    </w:lvl>
    <w:lvl w:ilvl="4" w:tplc="47FAD95E">
      <w:numFmt w:val="decimal"/>
      <w:lvlText w:val=""/>
      <w:lvlJc w:val="left"/>
    </w:lvl>
    <w:lvl w:ilvl="5" w:tplc="8E70F9D0">
      <w:numFmt w:val="decimal"/>
      <w:lvlText w:val=""/>
      <w:lvlJc w:val="left"/>
    </w:lvl>
    <w:lvl w:ilvl="6" w:tplc="6CA80A04">
      <w:numFmt w:val="decimal"/>
      <w:lvlText w:val=""/>
      <w:lvlJc w:val="left"/>
    </w:lvl>
    <w:lvl w:ilvl="7" w:tplc="9412F8EC">
      <w:numFmt w:val="decimal"/>
      <w:lvlText w:val=""/>
      <w:lvlJc w:val="left"/>
    </w:lvl>
    <w:lvl w:ilvl="8" w:tplc="24A06CAE">
      <w:numFmt w:val="decimal"/>
      <w:lvlText w:val=""/>
      <w:lvlJc w:val="left"/>
    </w:lvl>
  </w:abstractNum>
  <w:abstractNum w:abstractNumId="703" w15:restartNumberingAfterBreak="0">
    <w:nsid w:val="7AA0799A"/>
    <w:multiLevelType w:val="hybridMultilevel"/>
    <w:tmpl w:val="1A82301A"/>
    <w:lvl w:ilvl="0" w:tplc="AFC46558">
      <w:start w:val="1"/>
      <w:numFmt w:val="bullet"/>
      <w:lvlText w:val="•"/>
      <w:lvlJc w:val="left"/>
    </w:lvl>
    <w:lvl w:ilvl="1" w:tplc="6F522D1E">
      <w:numFmt w:val="decimal"/>
      <w:lvlText w:val=""/>
      <w:lvlJc w:val="left"/>
    </w:lvl>
    <w:lvl w:ilvl="2" w:tplc="638A0E88">
      <w:numFmt w:val="decimal"/>
      <w:lvlText w:val=""/>
      <w:lvlJc w:val="left"/>
    </w:lvl>
    <w:lvl w:ilvl="3" w:tplc="E038875A">
      <w:numFmt w:val="decimal"/>
      <w:lvlText w:val=""/>
      <w:lvlJc w:val="left"/>
    </w:lvl>
    <w:lvl w:ilvl="4" w:tplc="0180C48E">
      <w:numFmt w:val="decimal"/>
      <w:lvlText w:val=""/>
      <w:lvlJc w:val="left"/>
    </w:lvl>
    <w:lvl w:ilvl="5" w:tplc="2A347110">
      <w:numFmt w:val="decimal"/>
      <w:lvlText w:val=""/>
      <w:lvlJc w:val="left"/>
    </w:lvl>
    <w:lvl w:ilvl="6" w:tplc="DC1EEEFC">
      <w:numFmt w:val="decimal"/>
      <w:lvlText w:val=""/>
      <w:lvlJc w:val="left"/>
    </w:lvl>
    <w:lvl w:ilvl="7" w:tplc="C0FAD830">
      <w:numFmt w:val="decimal"/>
      <w:lvlText w:val=""/>
      <w:lvlJc w:val="left"/>
    </w:lvl>
    <w:lvl w:ilvl="8" w:tplc="596E29FA">
      <w:numFmt w:val="decimal"/>
      <w:lvlText w:val=""/>
      <w:lvlJc w:val="left"/>
    </w:lvl>
  </w:abstractNum>
  <w:abstractNum w:abstractNumId="704" w15:restartNumberingAfterBreak="0">
    <w:nsid w:val="7AC3AA45"/>
    <w:multiLevelType w:val="hybridMultilevel"/>
    <w:tmpl w:val="A5B22384"/>
    <w:lvl w:ilvl="0" w:tplc="EFDA3BE0">
      <w:start w:val="1"/>
      <w:numFmt w:val="lowerLetter"/>
      <w:lvlText w:val="%1)"/>
      <w:lvlJc w:val="left"/>
    </w:lvl>
    <w:lvl w:ilvl="1" w:tplc="644AD398">
      <w:start w:val="1"/>
      <w:numFmt w:val="bullet"/>
      <w:lvlText w:val="-"/>
      <w:lvlJc w:val="left"/>
    </w:lvl>
    <w:lvl w:ilvl="2" w:tplc="29A29AD0">
      <w:numFmt w:val="decimal"/>
      <w:lvlText w:val=""/>
      <w:lvlJc w:val="left"/>
    </w:lvl>
    <w:lvl w:ilvl="3" w:tplc="AFB0A59A">
      <w:numFmt w:val="decimal"/>
      <w:lvlText w:val=""/>
      <w:lvlJc w:val="left"/>
    </w:lvl>
    <w:lvl w:ilvl="4" w:tplc="9FB08F16">
      <w:numFmt w:val="decimal"/>
      <w:lvlText w:val=""/>
      <w:lvlJc w:val="left"/>
    </w:lvl>
    <w:lvl w:ilvl="5" w:tplc="B83EA888">
      <w:numFmt w:val="decimal"/>
      <w:lvlText w:val=""/>
      <w:lvlJc w:val="left"/>
    </w:lvl>
    <w:lvl w:ilvl="6" w:tplc="09CC4FB2">
      <w:numFmt w:val="decimal"/>
      <w:lvlText w:val=""/>
      <w:lvlJc w:val="left"/>
    </w:lvl>
    <w:lvl w:ilvl="7" w:tplc="F1E449A0">
      <w:numFmt w:val="decimal"/>
      <w:lvlText w:val=""/>
      <w:lvlJc w:val="left"/>
    </w:lvl>
    <w:lvl w:ilvl="8" w:tplc="E446E184">
      <w:numFmt w:val="decimal"/>
      <w:lvlText w:val=""/>
      <w:lvlJc w:val="left"/>
    </w:lvl>
  </w:abstractNum>
  <w:abstractNum w:abstractNumId="705" w15:restartNumberingAfterBreak="0">
    <w:nsid w:val="7B0282BF"/>
    <w:multiLevelType w:val="hybridMultilevel"/>
    <w:tmpl w:val="1162295E"/>
    <w:lvl w:ilvl="0" w:tplc="6672972C">
      <w:start w:val="1"/>
      <w:numFmt w:val="bullet"/>
      <w:lvlText w:val="•"/>
      <w:lvlJc w:val="left"/>
    </w:lvl>
    <w:lvl w:ilvl="1" w:tplc="F9887F6E">
      <w:numFmt w:val="decimal"/>
      <w:lvlText w:val=""/>
      <w:lvlJc w:val="left"/>
    </w:lvl>
    <w:lvl w:ilvl="2" w:tplc="3B00EC5A">
      <w:numFmt w:val="decimal"/>
      <w:lvlText w:val=""/>
      <w:lvlJc w:val="left"/>
    </w:lvl>
    <w:lvl w:ilvl="3" w:tplc="F2FA1858">
      <w:numFmt w:val="decimal"/>
      <w:lvlText w:val=""/>
      <w:lvlJc w:val="left"/>
    </w:lvl>
    <w:lvl w:ilvl="4" w:tplc="5E462C6A">
      <w:numFmt w:val="decimal"/>
      <w:lvlText w:val=""/>
      <w:lvlJc w:val="left"/>
    </w:lvl>
    <w:lvl w:ilvl="5" w:tplc="4F96B632">
      <w:numFmt w:val="decimal"/>
      <w:lvlText w:val=""/>
      <w:lvlJc w:val="left"/>
    </w:lvl>
    <w:lvl w:ilvl="6" w:tplc="2F8E9F52">
      <w:numFmt w:val="decimal"/>
      <w:lvlText w:val=""/>
      <w:lvlJc w:val="left"/>
    </w:lvl>
    <w:lvl w:ilvl="7" w:tplc="89BEA284">
      <w:numFmt w:val="decimal"/>
      <w:lvlText w:val=""/>
      <w:lvlJc w:val="left"/>
    </w:lvl>
    <w:lvl w:ilvl="8" w:tplc="26201E16">
      <w:numFmt w:val="decimal"/>
      <w:lvlText w:val=""/>
      <w:lvlJc w:val="left"/>
    </w:lvl>
  </w:abstractNum>
  <w:abstractNum w:abstractNumId="706" w15:restartNumberingAfterBreak="0">
    <w:nsid w:val="7B469A23"/>
    <w:multiLevelType w:val="hybridMultilevel"/>
    <w:tmpl w:val="A36CDDEE"/>
    <w:lvl w:ilvl="0" w:tplc="B2585944">
      <w:start w:val="1"/>
      <w:numFmt w:val="bullet"/>
      <w:lvlText w:val="−"/>
      <w:lvlJc w:val="left"/>
    </w:lvl>
    <w:lvl w:ilvl="1" w:tplc="1AFA2844">
      <w:numFmt w:val="decimal"/>
      <w:lvlText w:val=""/>
      <w:lvlJc w:val="left"/>
    </w:lvl>
    <w:lvl w:ilvl="2" w:tplc="11880136">
      <w:numFmt w:val="decimal"/>
      <w:lvlText w:val=""/>
      <w:lvlJc w:val="left"/>
    </w:lvl>
    <w:lvl w:ilvl="3" w:tplc="B052E334">
      <w:numFmt w:val="decimal"/>
      <w:lvlText w:val=""/>
      <w:lvlJc w:val="left"/>
    </w:lvl>
    <w:lvl w:ilvl="4" w:tplc="CCC63C22">
      <w:numFmt w:val="decimal"/>
      <w:lvlText w:val=""/>
      <w:lvlJc w:val="left"/>
    </w:lvl>
    <w:lvl w:ilvl="5" w:tplc="647A0CCA">
      <w:numFmt w:val="decimal"/>
      <w:lvlText w:val=""/>
      <w:lvlJc w:val="left"/>
    </w:lvl>
    <w:lvl w:ilvl="6" w:tplc="1A2A2932">
      <w:numFmt w:val="decimal"/>
      <w:lvlText w:val=""/>
      <w:lvlJc w:val="left"/>
    </w:lvl>
    <w:lvl w:ilvl="7" w:tplc="F2006F58">
      <w:numFmt w:val="decimal"/>
      <w:lvlText w:val=""/>
      <w:lvlJc w:val="left"/>
    </w:lvl>
    <w:lvl w:ilvl="8" w:tplc="FA4E21EE">
      <w:numFmt w:val="decimal"/>
      <w:lvlText w:val=""/>
      <w:lvlJc w:val="left"/>
    </w:lvl>
  </w:abstractNum>
  <w:abstractNum w:abstractNumId="707" w15:restartNumberingAfterBreak="0">
    <w:nsid w:val="7B6C7DC6"/>
    <w:multiLevelType w:val="hybridMultilevel"/>
    <w:tmpl w:val="3A64668A"/>
    <w:lvl w:ilvl="0" w:tplc="2E6899F2">
      <w:start w:val="1"/>
      <w:numFmt w:val="bullet"/>
      <w:lvlText w:val="•"/>
      <w:lvlJc w:val="left"/>
    </w:lvl>
    <w:lvl w:ilvl="1" w:tplc="4EBCE77C">
      <w:numFmt w:val="decimal"/>
      <w:lvlText w:val=""/>
      <w:lvlJc w:val="left"/>
    </w:lvl>
    <w:lvl w:ilvl="2" w:tplc="263656A6">
      <w:numFmt w:val="decimal"/>
      <w:lvlText w:val=""/>
      <w:lvlJc w:val="left"/>
    </w:lvl>
    <w:lvl w:ilvl="3" w:tplc="79A4EC22">
      <w:numFmt w:val="decimal"/>
      <w:lvlText w:val=""/>
      <w:lvlJc w:val="left"/>
    </w:lvl>
    <w:lvl w:ilvl="4" w:tplc="60807196">
      <w:numFmt w:val="decimal"/>
      <w:lvlText w:val=""/>
      <w:lvlJc w:val="left"/>
    </w:lvl>
    <w:lvl w:ilvl="5" w:tplc="FFD4050E">
      <w:numFmt w:val="decimal"/>
      <w:lvlText w:val=""/>
      <w:lvlJc w:val="left"/>
    </w:lvl>
    <w:lvl w:ilvl="6" w:tplc="417A3A1A">
      <w:numFmt w:val="decimal"/>
      <w:lvlText w:val=""/>
      <w:lvlJc w:val="left"/>
    </w:lvl>
    <w:lvl w:ilvl="7" w:tplc="8A1CD7E4">
      <w:numFmt w:val="decimal"/>
      <w:lvlText w:val=""/>
      <w:lvlJc w:val="left"/>
    </w:lvl>
    <w:lvl w:ilvl="8" w:tplc="E744D30C">
      <w:numFmt w:val="decimal"/>
      <w:lvlText w:val=""/>
      <w:lvlJc w:val="left"/>
    </w:lvl>
  </w:abstractNum>
  <w:abstractNum w:abstractNumId="708" w15:restartNumberingAfterBreak="0">
    <w:nsid w:val="7BA207F7"/>
    <w:multiLevelType w:val="hybridMultilevel"/>
    <w:tmpl w:val="51AA78FA"/>
    <w:lvl w:ilvl="0" w:tplc="749267A6">
      <w:start w:val="1"/>
      <w:numFmt w:val="decimal"/>
      <w:lvlText w:val="%1"/>
      <w:lvlJc w:val="left"/>
    </w:lvl>
    <w:lvl w:ilvl="1" w:tplc="B296CE84">
      <w:start w:val="1"/>
      <w:numFmt w:val="decimal"/>
      <w:lvlText w:val="%2)"/>
      <w:lvlJc w:val="left"/>
    </w:lvl>
    <w:lvl w:ilvl="2" w:tplc="46545EF4">
      <w:numFmt w:val="decimal"/>
      <w:lvlText w:val=""/>
      <w:lvlJc w:val="left"/>
    </w:lvl>
    <w:lvl w:ilvl="3" w:tplc="3C4A5028">
      <w:numFmt w:val="decimal"/>
      <w:lvlText w:val=""/>
      <w:lvlJc w:val="left"/>
    </w:lvl>
    <w:lvl w:ilvl="4" w:tplc="644414BC">
      <w:numFmt w:val="decimal"/>
      <w:lvlText w:val=""/>
      <w:lvlJc w:val="left"/>
    </w:lvl>
    <w:lvl w:ilvl="5" w:tplc="EC3078C0">
      <w:numFmt w:val="decimal"/>
      <w:lvlText w:val=""/>
      <w:lvlJc w:val="left"/>
    </w:lvl>
    <w:lvl w:ilvl="6" w:tplc="E0EE9C7C">
      <w:numFmt w:val="decimal"/>
      <w:lvlText w:val=""/>
      <w:lvlJc w:val="left"/>
    </w:lvl>
    <w:lvl w:ilvl="7" w:tplc="CD76CFE8">
      <w:numFmt w:val="decimal"/>
      <w:lvlText w:val=""/>
      <w:lvlJc w:val="left"/>
    </w:lvl>
    <w:lvl w:ilvl="8" w:tplc="8D8A7626">
      <w:numFmt w:val="decimal"/>
      <w:lvlText w:val=""/>
      <w:lvlJc w:val="left"/>
    </w:lvl>
  </w:abstractNum>
  <w:abstractNum w:abstractNumId="709" w15:restartNumberingAfterBreak="0">
    <w:nsid w:val="7BF45B8E"/>
    <w:multiLevelType w:val="hybridMultilevel"/>
    <w:tmpl w:val="DFCAF8BE"/>
    <w:lvl w:ilvl="0" w:tplc="53CABD30">
      <w:start w:val="1"/>
      <w:numFmt w:val="bullet"/>
      <w:lvlText w:val="-"/>
      <w:lvlJc w:val="left"/>
    </w:lvl>
    <w:lvl w:ilvl="1" w:tplc="5AB40746">
      <w:start w:val="1"/>
      <w:numFmt w:val="lowerLetter"/>
      <w:lvlText w:val="%2)"/>
      <w:lvlJc w:val="left"/>
    </w:lvl>
    <w:lvl w:ilvl="2" w:tplc="65FE2278">
      <w:numFmt w:val="decimal"/>
      <w:lvlText w:val=""/>
      <w:lvlJc w:val="left"/>
    </w:lvl>
    <w:lvl w:ilvl="3" w:tplc="D9A2D9B0">
      <w:numFmt w:val="decimal"/>
      <w:lvlText w:val=""/>
      <w:lvlJc w:val="left"/>
    </w:lvl>
    <w:lvl w:ilvl="4" w:tplc="C3A65AE4">
      <w:numFmt w:val="decimal"/>
      <w:lvlText w:val=""/>
      <w:lvlJc w:val="left"/>
    </w:lvl>
    <w:lvl w:ilvl="5" w:tplc="45AAF0A8">
      <w:numFmt w:val="decimal"/>
      <w:lvlText w:val=""/>
      <w:lvlJc w:val="left"/>
    </w:lvl>
    <w:lvl w:ilvl="6" w:tplc="1D2466D6">
      <w:numFmt w:val="decimal"/>
      <w:lvlText w:val=""/>
      <w:lvlJc w:val="left"/>
    </w:lvl>
    <w:lvl w:ilvl="7" w:tplc="A4FCE522">
      <w:numFmt w:val="decimal"/>
      <w:lvlText w:val=""/>
      <w:lvlJc w:val="left"/>
    </w:lvl>
    <w:lvl w:ilvl="8" w:tplc="EDB4C9EA">
      <w:numFmt w:val="decimal"/>
      <w:lvlText w:val=""/>
      <w:lvlJc w:val="left"/>
    </w:lvl>
  </w:abstractNum>
  <w:abstractNum w:abstractNumId="710" w15:restartNumberingAfterBreak="0">
    <w:nsid w:val="7C0F10CC"/>
    <w:multiLevelType w:val="hybridMultilevel"/>
    <w:tmpl w:val="50728378"/>
    <w:lvl w:ilvl="0" w:tplc="382E8ECE">
      <w:start w:val="3"/>
      <w:numFmt w:val="decimal"/>
      <w:lvlText w:val="%1."/>
      <w:lvlJc w:val="left"/>
    </w:lvl>
    <w:lvl w:ilvl="1" w:tplc="DD2EAFDC">
      <w:start w:val="15"/>
      <w:numFmt w:val="lowerLetter"/>
      <w:lvlText w:val="%2"/>
      <w:lvlJc w:val="left"/>
    </w:lvl>
    <w:lvl w:ilvl="2" w:tplc="2C843BC4">
      <w:numFmt w:val="decimal"/>
      <w:lvlText w:val=""/>
      <w:lvlJc w:val="left"/>
    </w:lvl>
    <w:lvl w:ilvl="3" w:tplc="5DAE55E0">
      <w:numFmt w:val="decimal"/>
      <w:lvlText w:val=""/>
      <w:lvlJc w:val="left"/>
    </w:lvl>
    <w:lvl w:ilvl="4" w:tplc="CB7E6064">
      <w:numFmt w:val="decimal"/>
      <w:lvlText w:val=""/>
      <w:lvlJc w:val="left"/>
    </w:lvl>
    <w:lvl w:ilvl="5" w:tplc="677444E2">
      <w:numFmt w:val="decimal"/>
      <w:lvlText w:val=""/>
      <w:lvlJc w:val="left"/>
    </w:lvl>
    <w:lvl w:ilvl="6" w:tplc="E54ACC4C">
      <w:numFmt w:val="decimal"/>
      <w:lvlText w:val=""/>
      <w:lvlJc w:val="left"/>
    </w:lvl>
    <w:lvl w:ilvl="7" w:tplc="002CDC60">
      <w:numFmt w:val="decimal"/>
      <w:lvlText w:val=""/>
      <w:lvlJc w:val="left"/>
    </w:lvl>
    <w:lvl w:ilvl="8" w:tplc="EB000FA4">
      <w:numFmt w:val="decimal"/>
      <w:lvlText w:val=""/>
      <w:lvlJc w:val="left"/>
    </w:lvl>
  </w:abstractNum>
  <w:abstractNum w:abstractNumId="711" w15:restartNumberingAfterBreak="0">
    <w:nsid w:val="7C3FA800"/>
    <w:multiLevelType w:val="hybridMultilevel"/>
    <w:tmpl w:val="F5DA3C0C"/>
    <w:lvl w:ilvl="0" w:tplc="014C1BF2">
      <w:start w:val="1"/>
      <w:numFmt w:val="bullet"/>
      <w:lvlText w:val="●"/>
      <w:lvlJc w:val="left"/>
    </w:lvl>
    <w:lvl w:ilvl="1" w:tplc="6D5A9E66">
      <w:numFmt w:val="decimal"/>
      <w:lvlText w:val=""/>
      <w:lvlJc w:val="left"/>
    </w:lvl>
    <w:lvl w:ilvl="2" w:tplc="1A801BC6">
      <w:numFmt w:val="decimal"/>
      <w:lvlText w:val=""/>
      <w:lvlJc w:val="left"/>
    </w:lvl>
    <w:lvl w:ilvl="3" w:tplc="F12484DC">
      <w:numFmt w:val="decimal"/>
      <w:lvlText w:val=""/>
      <w:lvlJc w:val="left"/>
    </w:lvl>
    <w:lvl w:ilvl="4" w:tplc="52C49B76">
      <w:numFmt w:val="decimal"/>
      <w:lvlText w:val=""/>
      <w:lvlJc w:val="left"/>
    </w:lvl>
    <w:lvl w:ilvl="5" w:tplc="82961532">
      <w:numFmt w:val="decimal"/>
      <w:lvlText w:val=""/>
      <w:lvlJc w:val="left"/>
    </w:lvl>
    <w:lvl w:ilvl="6" w:tplc="9F3061F6">
      <w:numFmt w:val="decimal"/>
      <w:lvlText w:val=""/>
      <w:lvlJc w:val="left"/>
    </w:lvl>
    <w:lvl w:ilvl="7" w:tplc="89E0FE70">
      <w:numFmt w:val="decimal"/>
      <w:lvlText w:val=""/>
      <w:lvlJc w:val="left"/>
    </w:lvl>
    <w:lvl w:ilvl="8" w:tplc="D946EC8E">
      <w:numFmt w:val="decimal"/>
      <w:lvlText w:val=""/>
      <w:lvlJc w:val="left"/>
    </w:lvl>
  </w:abstractNum>
  <w:abstractNum w:abstractNumId="712" w15:restartNumberingAfterBreak="0">
    <w:nsid w:val="7C4B4806"/>
    <w:multiLevelType w:val="hybridMultilevel"/>
    <w:tmpl w:val="E95C2920"/>
    <w:lvl w:ilvl="0" w:tplc="387C6C70">
      <w:start w:val="1"/>
      <w:numFmt w:val="bullet"/>
      <w:lvlText w:val="•"/>
      <w:lvlJc w:val="left"/>
    </w:lvl>
    <w:lvl w:ilvl="1" w:tplc="A7F61C0E">
      <w:numFmt w:val="decimal"/>
      <w:lvlText w:val=""/>
      <w:lvlJc w:val="left"/>
    </w:lvl>
    <w:lvl w:ilvl="2" w:tplc="8A7402DA">
      <w:numFmt w:val="decimal"/>
      <w:lvlText w:val=""/>
      <w:lvlJc w:val="left"/>
    </w:lvl>
    <w:lvl w:ilvl="3" w:tplc="DF2675D6">
      <w:numFmt w:val="decimal"/>
      <w:lvlText w:val=""/>
      <w:lvlJc w:val="left"/>
    </w:lvl>
    <w:lvl w:ilvl="4" w:tplc="ECC26C2A">
      <w:numFmt w:val="decimal"/>
      <w:lvlText w:val=""/>
      <w:lvlJc w:val="left"/>
    </w:lvl>
    <w:lvl w:ilvl="5" w:tplc="EDD84144">
      <w:numFmt w:val="decimal"/>
      <w:lvlText w:val=""/>
      <w:lvlJc w:val="left"/>
    </w:lvl>
    <w:lvl w:ilvl="6" w:tplc="1804A1D0">
      <w:numFmt w:val="decimal"/>
      <w:lvlText w:val=""/>
      <w:lvlJc w:val="left"/>
    </w:lvl>
    <w:lvl w:ilvl="7" w:tplc="219493AC">
      <w:numFmt w:val="decimal"/>
      <w:lvlText w:val=""/>
      <w:lvlJc w:val="left"/>
    </w:lvl>
    <w:lvl w:ilvl="8" w:tplc="B5AC09D2">
      <w:numFmt w:val="decimal"/>
      <w:lvlText w:val=""/>
      <w:lvlJc w:val="left"/>
    </w:lvl>
  </w:abstractNum>
  <w:abstractNum w:abstractNumId="713" w15:restartNumberingAfterBreak="0">
    <w:nsid w:val="7C6489B6"/>
    <w:multiLevelType w:val="hybridMultilevel"/>
    <w:tmpl w:val="3D8CB574"/>
    <w:lvl w:ilvl="0" w:tplc="A0D45DF6">
      <w:start w:val="1"/>
      <w:numFmt w:val="lowerLetter"/>
      <w:lvlText w:val="%1)"/>
      <w:lvlJc w:val="left"/>
    </w:lvl>
    <w:lvl w:ilvl="1" w:tplc="FE2479CC">
      <w:numFmt w:val="decimal"/>
      <w:lvlText w:val=""/>
      <w:lvlJc w:val="left"/>
    </w:lvl>
    <w:lvl w:ilvl="2" w:tplc="E4B44902">
      <w:numFmt w:val="decimal"/>
      <w:lvlText w:val=""/>
      <w:lvlJc w:val="left"/>
    </w:lvl>
    <w:lvl w:ilvl="3" w:tplc="5F7CB67E">
      <w:numFmt w:val="decimal"/>
      <w:lvlText w:val=""/>
      <w:lvlJc w:val="left"/>
    </w:lvl>
    <w:lvl w:ilvl="4" w:tplc="8A1CF976">
      <w:numFmt w:val="decimal"/>
      <w:lvlText w:val=""/>
      <w:lvlJc w:val="left"/>
    </w:lvl>
    <w:lvl w:ilvl="5" w:tplc="DADA7122">
      <w:numFmt w:val="decimal"/>
      <w:lvlText w:val=""/>
      <w:lvlJc w:val="left"/>
    </w:lvl>
    <w:lvl w:ilvl="6" w:tplc="95902EA0">
      <w:numFmt w:val="decimal"/>
      <w:lvlText w:val=""/>
      <w:lvlJc w:val="left"/>
    </w:lvl>
    <w:lvl w:ilvl="7" w:tplc="3E466162">
      <w:numFmt w:val="decimal"/>
      <w:lvlText w:val=""/>
      <w:lvlJc w:val="left"/>
    </w:lvl>
    <w:lvl w:ilvl="8" w:tplc="48FEAD9C">
      <w:numFmt w:val="decimal"/>
      <w:lvlText w:val=""/>
      <w:lvlJc w:val="left"/>
    </w:lvl>
  </w:abstractNum>
  <w:abstractNum w:abstractNumId="714" w15:restartNumberingAfterBreak="0">
    <w:nsid w:val="7C901113"/>
    <w:multiLevelType w:val="hybridMultilevel"/>
    <w:tmpl w:val="60984616"/>
    <w:lvl w:ilvl="0" w:tplc="411C60CE">
      <w:start w:val="1"/>
      <w:numFmt w:val="bullet"/>
      <w:lvlText w:val="·"/>
      <w:lvlJc w:val="left"/>
    </w:lvl>
    <w:lvl w:ilvl="1" w:tplc="238878F8">
      <w:numFmt w:val="decimal"/>
      <w:lvlText w:val=""/>
      <w:lvlJc w:val="left"/>
    </w:lvl>
    <w:lvl w:ilvl="2" w:tplc="53FC8192">
      <w:numFmt w:val="decimal"/>
      <w:lvlText w:val=""/>
      <w:lvlJc w:val="left"/>
    </w:lvl>
    <w:lvl w:ilvl="3" w:tplc="34784CC4">
      <w:numFmt w:val="decimal"/>
      <w:lvlText w:val=""/>
      <w:lvlJc w:val="left"/>
    </w:lvl>
    <w:lvl w:ilvl="4" w:tplc="50449398">
      <w:numFmt w:val="decimal"/>
      <w:lvlText w:val=""/>
      <w:lvlJc w:val="left"/>
    </w:lvl>
    <w:lvl w:ilvl="5" w:tplc="D52471B6">
      <w:numFmt w:val="decimal"/>
      <w:lvlText w:val=""/>
      <w:lvlJc w:val="left"/>
    </w:lvl>
    <w:lvl w:ilvl="6" w:tplc="E8C430EA">
      <w:numFmt w:val="decimal"/>
      <w:lvlText w:val=""/>
      <w:lvlJc w:val="left"/>
    </w:lvl>
    <w:lvl w:ilvl="7" w:tplc="FEC6A68A">
      <w:numFmt w:val="decimal"/>
      <w:lvlText w:val=""/>
      <w:lvlJc w:val="left"/>
    </w:lvl>
    <w:lvl w:ilvl="8" w:tplc="7C068AEA">
      <w:numFmt w:val="decimal"/>
      <w:lvlText w:val=""/>
      <w:lvlJc w:val="left"/>
    </w:lvl>
  </w:abstractNum>
  <w:abstractNum w:abstractNumId="715" w15:restartNumberingAfterBreak="0">
    <w:nsid w:val="7CA6370B"/>
    <w:multiLevelType w:val="hybridMultilevel"/>
    <w:tmpl w:val="D124E118"/>
    <w:lvl w:ilvl="0" w:tplc="53CABD30">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6" w15:restartNumberingAfterBreak="0">
    <w:nsid w:val="7CC85621"/>
    <w:multiLevelType w:val="hybridMultilevel"/>
    <w:tmpl w:val="FF284F18"/>
    <w:lvl w:ilvl="0" w:tplc="04050011">
      <w:start w:val="1"/>
      <w:numFmt w:val="decimal"/>
      <w:lvlText w:val="%1)"/>
      <w:lvlJc w:val="left"/>
    </w:lvl>
    <w:lvl w:ilvl="1" w:tplc="FD540BD8">
      <w:numFmt w:val="decimal"/>
      <w:lvlText w:val=""/>
      <w:lvlJc w:val="left"/>
    </w:lvl>
    <w:lvl w:ilvl="2" w:tplc="D2AEEA3C">
      <w:numFmt w:val="decimal"/>
      <w:lvlText w:val=""/>
      <w:lvlJc w:val="left"/>
    </w:lvl>
    <w:lvl w:ilvl="3" w:tplc="9AF4F564">
      <w:numFmt w:val="decimal"/>
      <w:lvlText w:val=""/>
      <w:lvlJc w:val="left"/>
    </w:lvl>
    <w:lvl w:ilvl="4" w:tplc="A6721616">
      <w:numFmt w:val="decimal"/>
      <w:lvlText w:val=""/>
      <w:lvlJc w:val="left"/>
    </w:lvl>
    <w:lvl w:ilvl="5" w:tplc="C000509E">
      <w:numFmt w:val="decimal"/>
      <w:lvlText w:val=""/>
      <w:lvlJc w:val="left"/>
    </w:lvl>
    <w:lvl w:ilvl="6" w:tplc="1E74CC16">
      <w:numFmt w:val="decimal"/>
      <w:lvlText w:val=""/>
      <w:lvlJc w:val="left"/>
    </w:lvl>
    <w:lvl w:ilvl="7" w:tplc="219EFA56">
      <w:numFmt w:val="decimal"/>
      <w:lvlText w:val=""/>
      <w:lvlJc w:val="left"/>
    </w:lvl>
    <w:lvl w:ilvl="8" w:tplc="3A02F2EE">
      <w:numFmt w:val="decimal"/>
      <w:lvlText w:val=""/>
      <w:lvlJc w:val="left"/>
    </w:lvl>
  </w:abstractNum>
  <w:abstractNum w:abstractNumId="717" w15:restartNumberingAfterBreak="0">
    <w:nsid w:val="7DA042A3"/>
    <w:multiLevelType w:val="hybridMultilevel"/>
    <w:tmpl w:val="21DA1A40"/>
    <w:lvl w:ilvl="0" w:tplc="75DC034E">
      <w:start w:val="15"/>
      <w:numFmt w:val="lowerLetter"/>
      <w:lvlText w:val="%1"/>
      <w:lvlJc w:val="left"/>
    </w:lvl>
    <w:lvl w:ilvl="1" w:tplc="0302A92C">
      <w:numFmt w:val="decimal"/>
      <w:lvlText w:val=""/>
      <w:lvlJc w:val="left"/>
    </w:lvl>
    <w:lvl w:ilvl="2" w:tplc="806AC3D4">
      <w:numFmt w:val="decimal"/>
      <w:lvlText w:val=""/>
      <w:lvlJc w:val="left"/>
    </w:lvl>
    <w:lvl w:ilvl="3" w:tplc="257C6E80">
      <w:numFmt w:val="decimal"/>
      <w:lvlText w:val=""/>
      <w:lvlJc w:val="left"/>
    </w:lvl>
    <w:lvl w:ilvl="4" w:tplc="8B3E677A">
      <w:numFmt w:val="decimal"/>
      <w:lvlText w:val=""/>
      <w:lvlJc w:val="left"/>
    </w:lvl>
    <w:lvl w:ilvl="5" w:tplc="47C48392">
      <w:numFmt w:val="decimal"/>
      <w:lvlText w:val=""/>
      <w:lvlJc w:val="left"/>
    </w:lvl>
    <w:lvl w:ilvl="6" w:tplc="1D6288FA">
      <w:numFmt w:val="decimal"/>
      <w:lvlText w:val=""/>
      <w:lvlJc w:val="left"/>
    </w:lvl>
    <w:lvl w:ilvl="7" w:tplc="67583984">
      <w:numFmt w:val="decimal"/>
      <w:lvlText w:val=""/>
      <w:lvlJc w:val="left"/>
    </w:lvl>
    <w:lvl w:ilvl="8" w:tplc="C734A84A">
      <w:numFmt w:val="decimal"/>
      <w:lvlText w:val=""/>
      <w:lvlJc w:val="left"/>
    </w:lvl>
  </w:abstractNum>
  <w:abstractNum w:abstractNumId="718" w15:restartNumberingAfterBreak="0">
    <w:nsid w:val="7DF918AD"/>
    <w:multiLevelType w:val="hybridMultilevel"/>
    <w:tmpl w:val="D4BE11B0"/>
    <w:lvl w:ilvl="0" w:tplc="53CABD30">
      <w:start w:val="1"/>
      <w:numFmt w:val="bullet"/>
      <w:lvlText w:val="-"/>
      <w:lvlJc w:val="left"/>
      <w:pPr>
        <w:ind w:left="360" w:hanging="360"/>
      </w:p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19" w15:restartNumberingAfterBreak="0">
    <w:nsid w:val="7E13D013"/>
    <w:multiLevelType w:val="hybridMultilevel"/>
    <w:tmpl w:val="7DA80A7C"/>
    <w:lvl w:ilvl="0" w:tplc="8162FB64">
      <w:start w:val="1"/>
      <w:numFmt w:val="bullet"/>
      <w:lvlText w:val="•"/>
      <w:lvlJc w:val="left"/>
    </w:lvl>
    <w:lvl w:ilvl="1" w:tplc="CBA86744">
      <w:numFmt w:val="decimal"/>
      <w:lvlText w:val=""/>
      <w:lvlJc w:val="left"/>
    </w:lvl>
    <w:lvl w:ilvl="2" w:tplc="1116F0D0">
      <w:numFmt w:val="decimal"/>
      <w:lvlText w:val=""/>
      <w:lvlJc w:val="left"/>
    </w:lvl>
    <w:lvl w:ilvl="3" w:tplc="ED8474F2">
      <w:numFmt w:val="decimal"/>
      <w:lvlText w:val=""/>
      <w:lvlJc w:val="left"/>
    </w:lvl>
    <w:lvl w:ilvl="4" w:tplc="057CD782">
      <w:numFmt w:val="decimal"/>
      <w:lvlText w:val=""/>
      <w:lvlJc w:val="left"/>
    </w:lvl>
    <w:lvl w:ilvl="5" w:tplc="280A8F3A">
      <w:numFmt w:val="decimal"/>
      <w:lvlText w:val=""/>
      <w:lvlJc w:val="left"/>
    </w:lvl>
    <w:lvl w:ilvl="6" w:tplc="33327508">
      <w:numFmt w:val="decimal"/>
      <w:lvlText w:val=""/>
      <w:lvlJc w:val="left"/>
    </w:lvl>
    <w:lvl w:ilvl="7" w:tplc="47BA4032">
      <w:numFmt w:val="decimal"/>
      <w:lvlText w:val=""/>
      <w:lvlJc w:val="left"/>
    </w:lvl>
    <w:lvl w:ilvl="8" w:tplc="31923002">
      <w:numFmt w:val="decimal"/>
      <w:lvlText w:val=""/>
      <w:lvlJc w:val="left"/>
    </w:lvl>
  </w:abstractNum>
  <w:abstractNum w:abstractNumId="720" w15:restartNumberingAfterBreak="0">
    <w:nsid w:val="7E8245E4"/>
    <w:multiLevelType w:val="hybridMultilevel"/>
    <w:tmpl w:val="78667D44"/>
    <w:lvl w:ilvl="0" w:tplc="0C9E6838">
      <w:start w:val="1"/>
      <w:numFmt w:val="bullet"/>
      <w:lvlText w:val="•"/>
      <w:lvlJc w:val="left"/>
    </w:lvl>
    <w:lvl w:ilvl="1" w:tplc="B2F02708">
      <w:numFmt w:val="decimal"/>
      <w:lvlText w:val=""/>
      <w:lvlJc w:val="left"/>
    </w:lvl>
    <w:lvl w:ilvl="2" w:tplc="EB6640F2">
      <w:numFmt w:val="decimal"/>
      <w:lvlText w:val=""/>
      <w:lvlJc w:val="left"/>
    </w:lvl>
    <w:lvl w:ilvl="3" w:tplc="D93A21DC">
      <w:numFmt w:val="decimal"/>
      <w:lvlText w:val=""/>
      <w:lvlJc w:val="left"/>
    </w:lvl>
    <w:lvl w:ilvl="4" w:tplc="4F640174">
      <w:numFmt w:val="decimal"/>
      <w:lvlText w:val=""/>
      <w:lvlJc w:val="left"/>
    </w:lvl>
    <w:lvl w:ilvl="5" w:tplc="19A05A42">
      <w:numFmt w:val="decimal"/>
      <w:lvlText w:val=""/>
      <w:lvlJc w:val="left"/>
    </w:lvl>
    <w:lvl w:ilvl="6" w:tplc="13621D34">
      <w:numFmt w:val="decimal"/>
      <w:lvlText w:val=""/>
      <w:lvlJc w:val="left"/>
    </w:lvl>
    <w:lvl w:ilvl="7" w:tplc="ACE8DEA4">
      <w:numFmt w:val="decimal"/>
      <w:lvlText w:val=""/>
      <w:lvlJc w:val="left"/>
    </w:lvl>
    <w:lvl w:ilvl="8" w:tplc="FE20B610">
      <w:numFmt w:val="decimal"/>
      <w:lvlText w:val=""/>
      <w:lvlJc w:val="left"/>
    </w:lvl>
  </w:abstractNum>
  <w:abstractNum w:abstractNumId="721" w15:restartNumberingAfterBreak="0">
    <w:nsid w:val="7E9BF4C3"/>
    <w:multiLevelType w:val="hybridMultilevel"/>
    <w:tmpl w:val="4ABC86B8"/>
    <w:lvl w:ilvl="0" w:tplc="CEC607A6">
      <w:start w:val="1"/>
      <w:numFmt w:val="bullet"/>
      <w:lvlText w:val="•"/>
      <w:lvlJc w:val="left"/>
    </w:lvl>
    <w:lvl w:ilvl="1" w:tplc="D5C2F1D4">
      <w:numFmt w:val="decimal"/>
      <w:lvlText w:val=""/>
      <w:lvlJc w:val="left"/>
    </w:lvl>
    <w:lvl w:ilvl="2" w:tplc="EF227AE2">
      <w:numFmt w:val="decimal"/>
      <w:lvlText w:val=""/>
      <w:lvlJc w:val="left"/>
    </w:lvl>
    <w:lvl w:ilvl="3" w:tplc="964EDC50">
      <w:numFmt w:val="decimal"/>
      <w:lvlText w:val=""/>
      <w:lvlJc w:val="left"/>
    </w:lvl>
    <w:lvl w:ilvl="4" w:tplc="690A2012">
      <w:numFmt w:val="decimal"/>
      <w:lvlText w:val=""/>
      <w:lvlJc w:val="left"/>
    </w:lvl>
    <w:lvl w:ilvl="5" w:tplc="C55E4014">
      <w:numFmt w:val="decimal"/>
      <w:lvlText w:val=""/>
      <w:lvlJc w:val="left"/>
    </w:lvl>
    <w:lvl w:ilvl="6" w:tplc="C9FC4148">
      <w:numFmt w:val="decimal"/>
      <w:lvlText w:val=""/>
      <w:lvlJc w:val="left"/>
    </w:lvl>
    <w:lvl w:ilvl="7" w:tplc="C25AA0F6">
      <w:numFmt w:val="decimal"/>
      <w:lvlText w:val=""/>
      <w:lvlJc w:val="left"/>
    </w:lvl>
    <w:lvl w:ilvl="8" w:tplc="9AF2B5B6">
      <w:numFmt w:val="decimal"/>
      <w:lvlText w:val=""/>
      <w:lvlJc w:val="left"/>
    </w:lvl>
  </w:abstractNum>
  <w:abstractNum w:abstractNumId="722" w15:restartNumberingAfterBreak="0">
    <w:nsid w:val="7EA75F5A"/>
    <w:multiLevelType w:val="hybridMultilevel"/>
    <w:tmpl w:val="E7C4E5B6"/>
    <w:lvl w:ilvl="0" w:tplc="211EE89E">
      <w:start w:val="1"/>
      <w:numFmt w:val="decimal"/>
      <w:lvlText w:val="%1)"/>
      <w:lvlJc w:val="left"/>
    </w:lvl>
    <w:lvl w:ilvl="1" w:tplc="8AEC2B70">
      <w:start w:val="1"/>
      <w:numFmt w:val="lowerLetter"/>
      <w:lvlText w:val="%2."/>
      <w:lvlJc w:val="left"/>
    </w:lvl>
    <w:lvl w:ilvl="2" w:tplc="DA1641EE">
      <w:numFmt w:val="decimal"/>
      <w:lvlText w:val=""/>
      <w:lvlJc w:val="left"/>
    </w:lvl>
    <w:lvl w:ilvl="3" w:tplc="BC1ADB7A">
      <w:numFmt w:val="decimal"/>
      <w:lvlText w:val=""/>
      <w:lvlJc w:val="left"/>
    </w:lvl>
    <w:lvl w:ilvl="4" w:tplc="8CF4CECE">
      <w:numFmt w:val="decimal"/>
      <w:lvlText w:val=""/>
      <w:lvlJc w:val="left"/>
    </w:lvl>
    <w:lvl w:ilvl="5" w:tplc="5C0A6AFE">
      <w:numFmt w:val="decimal"/>
      <w:lvlText w:val=""/>
      <w:lvlJc w:val="left"/>
    </w:lvl>
    <w:lvl w:ilvl="6" w:tplc="0A04A968">
      <w:numFmt w:val="decimal"/>
      <w:lvlText w:val=""/>
      <w:lvlJc w:val="left"/>
    </w:lvl>
    <w:lvl w:ilvl="7" w:tplc="9DB82080">
      <w:numFmt w:val="decimal"/>
      <w:lvlText w:val=""/>
      <w:lvlJc w:val="left"/>
    </w:lvl>
    <w:lvl w:ilvl="8" w:tplc="34EEE2B0">
      <w:numFmt w:val="decimal"/>
      <w:lvlText w:val=""/>
      <w:lvlJc w:val="left"/>
    </w:lvl>
  </w:abstractNum>
  <w:abstractNum w:abstractNumId="723" w15:restartNumberingAfterBreak="0">
    <w:nsid w:val="7EC473E5"/>
    <w:multiLevelType w:val="hybridMultilevel"/>
    <w:tmpl w:val="36306028"/>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4" w15:restartNumberingAfterBreak="0">
    <w:nsid w:val="7F1E3DAE"/>
    <w:multiLevelType w:val="hybridMultilevel"/>
    <w:tmpl w:val="96EC522A"/>
    <w:lvl w:ilvl="0" w:tplc="AEBCD460">
      <w:start w:val="1"/>
      <w:numFmt w:val="bullet"/>
      <w:lvlText w:val="·"/>
      <w:lvlJc w:val="left"/>
    </w:lvl>
    <w:lvl w:ilvl="1" w:tplc="0E60DCAE">
      <w:numFmt w:val="decimal"/>
      <w:lvlText w:val=""/>
      <w:lvlJc w:val="left"/>
    </w:lvl>
    <w:lvl w:ilvl="2" w:tplc="9FC49D00">
      <w:numFmt w:val="decimal"/>
      <w:lvlText w:val=""/>
      <w:lvlJc w:val="left"/>
    </w:lvl>
    <w:lvl w:ilvl="3" w:tplc="8E2463A8">
      <w:numFmt w:val="decimal"/>
      <w:lvlText w:val=""/>
      <w:lvlJc w:val="left"/>
    </w:lvl>
    <w:lvl w:ilvl="4" w:tplc="906C00F6">
      <w:numFmt w:val="decimal"/>
      <w:lvlText w:val=""/>
      <w:lvlJc w:val="left"/>
    </w:lvl>
    <w:lvl w:ilvl="5" w:tplc="544E924C">
      <w:numFmt w:val="decimal"/>
      <w:lvlText w:val=""/>
      <w:lvlJc w:val="left"/>
    </w:lvl>
    <w:lvl w:ilvl="6" w:tplc="07E88F06">
      <w:numFmt w:val="decimal"/>
      <w:lvlText w:val=""/>
      <w:lvlJc w:val="left"/>
    </w:lvl>
    <w:lvl w:ilvl="7" w:tplc="6AD4BA80">
      <w:numFmt w:val="decimal"/>
      <w:lvlText w:val=""/>
      <w:lvlJc w:val="left"/>
    </w:lvl>
    <w:lvl w:ilvl="8" w:tplc="57F020BE">
      <w:numFmt w:val="decimal"/>
      <w:lvlText w:val=""/>
      <w:lvlJc w:val="left"/>
    </w:lvl>
  </w:abstractNum>
  <w:abstractNum w:abstractNumId="725" w15:restartNumberingAfterBreak="0">
    <w:nsid w:val="7F2BEA8B"/>
    <w:multiLevelType w:val="hybridMultilevel"/>
    <w:tmpl w:val="8F541A40"/>
    <w:lvl w:ilvl="0" w:tplc="815E7E1A">
      <w:start w:val="1"/>
      <w:numFmt w:val="bullet"/>
      <w:lvlText w:val="·"/>
      <w:lvlJc w:val="left"/>
    </w:lvl>
    <w:lvl w:ilvl="1" w:tplc="2804A3B0">
      <w:numFmt w:val="decimal"/>
      <w:lvlText w:val=""/>
      <w:lvlJc w:val="left"/>
    </w:lvl>
    <w:lvl w:ilvl="2" w:tplc="1D64F37E">
      <w:numFmt w:val="decimal"/>
      <w:lvlText w:val=""/>
      <w:lvlJc w:val="left"/>
    </w:lvl>
    <w:lvl w:ilvl="3" w:tplc="EDEE51F6">
      <w:numFmt w:val="decimal"/>
      <w:lvlText w:val=""/>
      <w:lvlJc w:val="left"/>
    </w:lvl>
    <w:lvl w:ilvl="4" w:tplc="D0FCE302">
      <w:numFmt w:val="decimal"/>
      <w:lvlText w:val=""/>
      <w:lvlJc w:val="left"/>
    </w:lvl>
    <w:lvl w:ilvl="5" w:tplc="4626A942">
      <w:numFmt w:val="decimal"/>
      <w:lvlText w:val=""/>
      <w:lvlJc w:val="left"/>
    </w:lvl>
    <w:lvl w:ilvl="6" w:tplc="B7D4E4BE">
      <w:numFmt w:val="decimal"/>
      <w:lvlText w:val=""/>
      <w:lvlJc w:val="left"/>
    </w:lvl>
    <w:lvl w:ilvl="7" w:tplc="128611A4">
      <w:numFmt w:val="decimal"/>
      <w:lvlText w:val=""/>
      <w:lvlJc w:val="left"/>
    </w:lvl>
    <w:lvl w:ilvl="8" w:tplc="2E5277AE">
      <w:numFmt w:val="decimal"/>
      <w:lvlText w:val=""/>
      <w:lvlJc w:val="left"/>
    </w:lvl>
  </w:abstractNum>
  <w:abstractNum w:abstractNumId="726" w15:restartNumberingAfterBreak="0">
    <w:nsid w:val="7F33FBD4"/>
    <w:multiLevelType w:val="hybridMultilevel"/>
    <w:tmpl w:val="32D6AF36"/>
    <w:lvl w:ilvl="0" w:tplc="27961154">
      <w:start w:val="1"/>
      <w:numFmt w:val="bullet"/>
      <w:lvlText w:val="•"/>
      <w:lvlJc w:val="left"/>
    </w:lvl>
    <w:lvl w:ilvl="1" w:tplc="18585000">
      <w:numFmt w:val="decimal"/>
      <w:lvlText w:val=""/>
      <w:lvlJc w:val="left"/>
    </w:lvl>
    <w:lvl w:ilvl="2" w:tplc="64CA193E">
      <w:numFmt w:val="decimal"/>
      <w:lvlText w:val=""/>
      <w:lvlJc w:val="left"/>
    </w:lvl>
    <w:lvl w:ilvl="3" w:tplc="A858A362">
      <w:numFmt w:val="decimal"/>
      <w:lvlText w:val=""/>
      <w:lvlJc w:val="left"/>
    </w:lvl>
    <w:lvl w:ilvl="4" w:tplc="50C621F0">
      <w:numFmt w:val="decimal"/>
      <w:lvlText w:val=""/>
      <w:lvlJc w:val="left"/>
    </w:lvl>
    <w:lvl w:ilvl="5" w:tplc="3F7E1DFA">
      <w:numFmt w:val="decimal"/>
      <w:lvlText w:val=""/>
      <w:lvlJc w:val="left"/>
    </w:lvl>
    <w:lvl w:ilvl="6" w:tplc="6D4C99E6">
      <w:numFmt w:val="decimal"/>
      <w:lvlText w:val=""/>
      <w:lvlJc w:val="left"/>
    </w:lvl>
    <w:lvl w:ilvl="7" w:tplc="B0E0F5C8">
      <w:numFmt w:val="decimal"/>
      <w:lvlText w:val=""/>
      <w:lvlJc w:val="left"/>
    </w:lvl>
    <w:lvl w:ilvl="8" w:tplc="ABFA35DA">
      <w:numFmt w:val="decimal"/>
      <w:lvlText w:val=""/>
      <w:lvlJc w:val="left"/>
    </w:lvl>
  </w:abstractNum>
  <w:abstractNum w:abstractNumId="727" w15:restartNumberingAfterBreak="0">
    <w:nsid w:val="7FC31CC8"/>
    <w:multiLevelType w:val="hybridMultilevel"/>
    <w:tmpl w:val="B6682280"/>
    <w:lvl w:ilvl="0" w:tplc="F732BB22">
      <w:start w:val="2"/>
      <w:numFmt w:val="upperLetter"/>
      <w:lvlText w:val="%1."/>
      <w:lvlJc w:val="left"/>
    </w:lvl>
    <w:lvl w:ilvl="1" w:tplc="974A70FE">
      <w:start w:val="1"/>
      <w:numFmt w:val="bullet"/>
      <w:lvlText w:val="-"/>
      <w:lvlJc w:val="left"/>
    </w:lvl>
    <w:lvl w:ilvl="2" w:tplc="2FF067EC">
      <w:numFmt w:val="decimal"/>
      <w:lvlText w:val=""/>
      <w:lvlJc w:val="left"/>
    </w:lvl>
    <w:lvl w:ilvl="3" w:tplc="6576CC0C">
      <w:numFmt w:val="decimal"/>
      <w:lvlText w:val=""/>
      <w:lvlJc w:val="left"/>
    </w:lvl>
    <w:lvl w:ilvl="4" w:tplc="7C30D67C">
      <w:numFmt w:val="decimal"/>
      <w:lvlText w:val=""/>
      <w:lvlJc w:val="left"/>
    </w:lvl>
    <w:lvl w:ilvl="5" w:tplc="CBFACC1A">
      <w:numFmt w:val="decimal"/>
      <w:lvlText w:val=""/>
      <w:lvlJc w:val="left"/>
    </w:lvl>
    <w:lvl w:ilvl="6" w:tplc="9A2ACCCE">
      <w:numFmt w:val="decimal"/>
      <w:lvlText w:val=""/>
      <w:lvlJc w:val="left"/>
    </w:lvl>
    <w:lvl w:ilvl="7" w:tplc="A2FE89FC">
      <w:numFmt w:val="decimal"/>
      <w:lvlText w:val=""/>
      <w:lvlJc w:val="left"/>
    </w:lvl>
    <w:lvl w:ilvl="8" w:tplc="22E03C98">
      <w:numFmt w:val="decimal"/>
      <w:lvlText w:val=""/>
      <w:lvlJc w:val="left"/>
    </w:lvl>
  </w:abstractNum>
  <w:abstractNum w:abstractNumId="728" w15:restartNumberingAfterBreak="0">
    <w:nsid w:val="7FE72292"/>
    <w:multiLevelType w:val="hybridMultilevel"/>
    <w:tmpl w:val="9B0ED616"/>
    <w:lvl w:ilvl="0" w:tplc="C1488D46">
      <w:start w:val="15"/>
      <w:numFmt w:val="upperLetter"/>
      <w:lvlText w:val="%1"/>
      <w:lvlJc w:val="left"/>
    </w:lvl>
    <w:lvl w:ilvl="1" w:tplc="324CFB22">
      <w:numFmt w:val="decimal"/>
      <w:lvlText w:val=""/>
      <w:lvlJc w:val="left"/>
    </w:lvl>
    <w:lvl w:ilvl="2" w:tplc="0B98458C">
      <w:numFmt w:val="decimal"/>
      <w:lvlText w:val=""/>
      <w:lvlJc w:val="left"/>
    </w:lvl>
    <w:lvl w:ilvl="3" w:tplc="6E960E88">
      <w:numFmt w:val="decimal"/>
      <w:lvlText w:val=""/>
      <w:lvlJc w:val="left"/>
    </w:lvl>
    <w:lvl w:ilvl="4" w:tplc="D4F8CA7C">
      <w:numFmt w:val="decimal"/>
      <w:lvlText w:val=""/>
      <w:lvlJc w:val="left"/>
    </w:lvl>
    <w:lvl w:ilvl="5" w:tplc="88024026">
      <w:numFmt w:val="decimal"/>
      <w:lvlText w:val=""/>
      <w:lvlJc w:val="left"/>
    </w:lvl>
    <w:lvl w:ilvl="6" w:tplc="7414AA42">
      <w:numFmt w:val="decimal"/>
      <w:lvlText w:val=""/>
      <w:lvlJc w:val="left"/>
    </w:lvl>
    <w:lvl w:ilvl="7" w:tplc="12D618D8">
      <w:numFmt w:val="decimal"/>
      <w:lvlText w:val=""/>
      <w:lvlJc w:val="left"/>
    </w:lvl>
    <w:lvl w:ilvl="8" w:tplc="7DA0DF54">
      <w:numFmt w:val="decimal"/>
      <w:lvlText w:val=""/>
      <w:lvlJc w:val="left"/>
    </w:lvl>
  </w:abstractNum>
  <w:abstractNum w:abstractNumId="729" w15:restartNumberingAfterBreak="0">
    <w:nsid w:val="7FF531D0"/>
    <w:multiLevelType w:val="hybridMultilevel"/>
    <w:tmpl w:val="4F98F916"/>
    <w:lvl w:ilvl="0" w:tplc="53CABD30">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77"/>
  </w:num>
  <w:num w:numId="2">
    <w:abstractNumId w:val="681"/>
  </w:num>
  <w:num w:numId="3">
    <w:abstractNumId w:val="64"/>
  </w:num>
  <w:num w:numId="4">
    <w:abstractNumId w:val="610"/>
  </w:num>
  <w:num w:numId="5">
    <w:abstractNumId w:val="709"/>
  </w:num>
  <w:num w:numId="6">
    <w:abstractNumId w:val="354"/>
  </w:num>
  <w:num w:numId="7">
    <w:abstractNumId w:val="201"/>
  </w:num>
  <w:num w:numId="8">
    <w:abstractNumId w:val="454"/>
  </w:num>
  <w:num w:numId="9">
    <w:abstractNumId w:val="184"/>
  </w:num>
  <w:num w:numId="10">
    <w:abstractNumId w:val="647"/>
  </w:num>
  <w:num w:numId="11">
    <w:abstractNumId w:val="483"/>
  </w:num>
  <w:num w:numId="12">
    <w:abstractNumId w:val="532"/>
  </w:num>
  <w:num w:numId="13">
    <w:abstractNumId w:val="259"/>
  </w:num>
  <w:num w:numId="14">
    <w:abstractNumId w:val="4"/>
  </w:num>
  <w:num w:numId="15">
    <w:abstractNumId w:val="316"/>
  </w:num>
  <w:num w:numId="16">
    <w:abstractNumId w:val="290"/>
  </w:num>
  <w:num w:numId="17">
    <w:abstractNumId w:val="264"/>
  </w:num>
  <w:num w:numId="18">
    <w:abstractNumId w:val="629"/>
  </w:num>
  <w:num w:numId="19">
    <w:abstractNumId w:val="320"/>
  </w:num>
  <w:num w:numId="20">
    <w:abstractNumId w:val="213"/>
  </w:num>
  <w:num w:numId="21">
    <w:abstractNumId w:val="428"/>
  </w:num>
  <w:num w:numId="22">
    <w:abstractNumId w:val="361"/>
  </w:num>
  <w:num w:numId="23">
    <w:abstractNumId w:val="713"/>
  </w:num>
  <w:num w:numId="24">
    <w:abstractNumId w:val="471"/>
  </w:num>
  <w:num w:numId="25">
    <w:abstractNumId w:val="464"/>
  </w:num>
  <w:num w:numId="26">
    <w:abstractNumId w:val="719"/>
  </w:num>
  <w:num w:numId="27">
    <w:abstractNumId w:val="593"/>
  </w:num>
  <w:num w:numId="28">
    <w:abstractNumId w:val="269"/>
  </w:num>
  <w:num w:numId="29">
    <w:abstractNumId w:val="231"/>
  </w:num>
  <w:num w:numId="30">
    <w:abstractNumId w:val="456"/>
  </w:num>
  <w:num w:numId="31">
    <w:abstractNumId w:val="540"/>
  </w:num>
  <w:num w:numId="32">
    <w:abstractNumId w:val="642"/>
  </w:num>
  <w:num w:numId="33">
    <w:abstractNumId w:val="383"/>
  </w:num>
  <w:num w:numId="34">
    <w:abstractNumId w:val="426"/>
  </w:num>
  <w:num w:numId="35">
    <w:abstractNumId w:val="72"/>
  </w:num>
  <w:num w:numId="36">
    <w:abstractNumId w:val="417"/>
  </w:num>
  <w:num w:numId="37">
    <w:abstractNumId w:val="31"/>
  </w:num>
  <w:num w:numId="38">
    <w:abstractNumId w:val="581"/>
  </w:num>
  <w:num w:numId="39">
    <w:abstractNumId w:val="363"/>
  </w:num>
  <w:num w:numId="40">
    <w:abstractNumId w:val="679"/>
  </w:num>
  <w:num w:numId="41">
    <w:abstractNumId w:val="295"/>
  </w:num>
  <w:num w:numId="42">
    <w:abstractNumId w:val="107"/>
  </w:num>
  <w:num w:numId="43">
    <w:abstractNumId w:val="509"/>
  </w:num>
  <w:num w:numId="44">
    <w:abstractNumId w:val="168"/>
  </w:num>
  <w:num w:numId="45">
    <w:abstractNumId w:val="437"/>
  </w:num>
  <w:num w:numId="46">
    <w:abstractNumId w:val="5"/>
  </w:num>
  <w:num w:numId="47">
    <w:abstractNumId w:val="607"/>
  </w:num>
  <w:num w:numId="48">
    <w:abstractNumId w:val="331"/>
  </w:num>
  <w:num w:numId="49">
    <w:abstractNumId w:val="368"/>
  </w:num>
  <w:num w:numId="50">
    <w:abstractNumId w:val="585"/>
  </w:num>
  <w:num w:numId="51">
    <w:abstractNumId w:val="95"/>
  </w:num>
  <w:num w:numId="52">
    <w:abstractNumId w:val="127"/>
  </w:num>
  <w:num w:numId="53">
    <w:abstractNumId w:val="573"/>
  </w:num>
  <w:num w:numId="54">
    <w:abstractNumId w:val="397"/>
  </w:num>
  <w:num w:numId="55">
    <w:abstractNumId w:val="205"/>
  </w:num>
  <w:num w:numId="56">
    <w:abstractNumId w:val="22"/>
  </w:num>
  <w:num w:numId="57">
    <w:abstractNumId w:val="159"/>
  </w:num>
  <w:num w:numId="58">
    <w:abstractNumId w:val="488"/>
  </w:num>
  <w:num w:numId="59">
    <w:abstractNumId w:val="692"/>
  </w:num>
  <w:num w:numId="60">
    <w:abstractNumId w:val="583"/>
  </w:num>
  <w:num w:numId="61">
    <w:abstractNumId w:val="518"/>
  </w:num>
  <w:num w:numId="62">
    <w:abstractNumId w:val="527"/>
  </w:num>
  <w:num w:numId="63">
    <w:abstractNumId w:val="216"/>
  </w:num>
  <w:num w:numId="64">
    <w:abstractNumId w:val="116"/>
  </w:num>
  <w:num w:numId="65">
    <w:abstractNumId w:val="65"/>
  </w:num>
  <w:num w:numId="66">
    <w:abstractNumId w:val="640"/>
  </w:num>
  <w:num w:numId="67">
    <w:abstractNumId w:val="232"/>
  </w:num>
  <w:num w:numId="68">
    <w:abstractNumId w:val="644"/>
  </w:num>
  <w:num w:numId="69">
    <w:abstractNumId w:val="638"/>
  </w:num>
  <w:num w:numId="70">
    <w:abstractNumId w:val="270"/>
  </w:num>
  <w:num w:numId="71">
    <w:abstractNumId w:val="687"/>
  </w:num>
  <w:num w:numId="72">
    <w:abstractNumId w:val="717"/>
  </w:num>
  <w:num w:numId="73">
    <w:abstractNumId w:val="399"/>
  </w:num>
  <w:num w:numId="74">
    <w:abstractNumId w:val="511"/>
  </w:num>
  <w:num w:numId="75">
    <w:abstractNumId w:val="83"/>
  </w:num>
  <w:num w:numId="76">
    <w:abstractNumId w:val="0"/>
  </w:num>
  <w:num w:numId="77">
    <w:abstractNumId w:val="117"/>
  </w:num>
  <w:num w:numId="78">
    <w:abstractNumId w:val="218"/>
  </w:num>
  <w:num w:numId="79">
    <w:abstractNumId w:val="187"/>
  </w:num>
  <w:num w:numId="80">
    <w:abstractNumId w:val="26"/>
  </w:num>
  <w:num w:numId="81">
    <w:abstractNumId w:val="467"/>
  </w:num>
  <w:num w:numId="82">
    <w:abstractNumId w:val="333"/>
  </w:num>
  <w:num w:numId="83">
    <w:abstractNumId w:val="513"/>
  </w:num>
  <w:num w:numId="84">
    <w:abstractNumId w:val="429"/>
  </w:num>
  <w:num w:numId="85">
    <w:abstractNumId w:val="188"/>
  </w:num>
  <w:num w:numId="86">
    <w:abstractNumId w:val="300"/>
  </w:num>
  <w:num w:numId="87">
    <w:abstractNumId w:val="223"/>
  </w:num>
  <w:num w:numId="88">
    <w:abstractNumId w:val="58"/>
  </w:num>
  <w:num w:numId="89">
    <w:abstractNumId w:val="97"/>
  </w:num>
  <w:num w:numId="90">
    <w:abstractNumId w:val="73"/>
  </w:num>
  <w:num w:numId="91">
    <w:abstractNumId w:val="427"/>
  </w:num>
  <w:num w:numId="92">
    <w:abstractNumId w:val="45"/>
  </w:num>
  <w:num w:numId="93">
    <w:abstractNumId w:val="60"/>
  </w:num>
  <w:num w:numId="94">
    <w:abstractNumId w:val="567"/>
  </w:num>
  <w:num w:numId="95">
    <w:abstractNumId w:val="312"/>
  </w:num>
  <w:num w:numId="96">
    <w:abstractNumId w:val="221"/>
  </w:num>
  <w:num w:numId="97">
    <w:abstractNumId w:val="120"/>
  </w:num>
  <w:num w:numId="98">
    <w:abstractNumId w:val="549"/>
  </w:num>
  <w:num w:numId="99">
    <w:abstractNumId w:val="615"/>
  </w:num>
  <w:num w:numId="100">
    <w:abstractNumId w:val="606"/>
  </w:num>
  <w:num w:numId="101">
    <w:abstractNumId w:val="272"/>
  </w:num>
  <w:num w:numId="102">
    <w:abstractNumId w:val="500"/>
  </w:num>
  <w:num w:numId="103">
    <w:abstractNumId w:val="112"/>
  </w:num>
  <w:num w:numId="104">
    <w:abstractNumId w:val="257"/>
  </w:num>
  <w:num w:numId="105">
    <w:abstractNumId w:val="691"/>
  </w:num>
  <w:num w:numId="106">
    <w:abstractNumId w:val="242"/>
  </w:num>
  <w:num w:numId="107">
    <w:abstractNumId w:val="352"/>
  </w:num>
  <w:num w:numId="108">
    <w:abstractNumId w:val="411"/>
  </w:num>
  <w:num w:numId="109">
    <w:abstractNumId w:val="90"/>
  </w:num>
  <w:num w:numId="110">
    <w:abstractNumId w:val="53"/>
  </w:num>
  <w:num w:numId="111">
    <w:abstractNumId w:val="402"/>
  </w:num>
  <w:num w:numId="112">
    <w:abstractNumId w:val="541"/>
  </w:num>
  <w:num w:numId="113">
    <w:abstractNumId w:val="400"/>
  </w:num>
  <w:num w:numId="114">
    <w:abstractNumId w:val="52"/>
  </w:num>
  <w:num w:numId="115">
    <w:abstractNumId w:val="163"/>
  </w:num>
  <w:num w:numId="116">
    <w:abstractNumId w:val="529"/>
  </w:num>
  <w:num w:numId="117">
    <w:abstractNumId w:val="710"/>
  </w:num>
  <w:num w:numId="118">
    <w:abstractNumId w:val="539"/>
  </w:num>
  <w:num w:numId="119">
    <w:abstractNumId w:val="386"/>
  </w:num>
  <w:num w:numId="120">
    <w:abstractNumId w:val="180"/>
  </w:num>
  <w:num w:numId="121">
    <w:abstractNumId w:val="156"/>
  </w:num>
  <w:num w:numId="122">
    <w:abstractNumId w:val="537"/>
  </w:num>
  <w:num w:numId="123">
    <w:abstractNumId w:val="1"/>
  </w:num>
  <w:num w:numId="124">
    <w:abstractNumId w:val="384"/>
  </w:num>
  <w:num w:numId="125">
    <w:abstractNumId w:val="271"/>
  </w:num>
  <w:num w:numId="126">
    <w:abstractNumId w:val="335"/>
  </w:num>
  <w:num w:numId="127">
    <w:abstractNumId w:val="61"/>
  </w:num>
  <w:num w:numId="128">
    <w:abstractNumId w:val="100"/>
  </w:num>
  <w:num w:numId="129">
    <w:abstractNumId w:val="722"/>
  </w:num>
  <w:num w:numId="130">
    <w:abstractNumId w:val="381"/>
  </w:num>
  <w:num w:numId="131">
    <w:abstractNumId w:val="303"/>
  </w:num>
  <w:num w:numId="132">
    <w:abstractNumId w:val="517"/>
  </w:num>
  <w:num w:numId="133">
    <w:abstractNumId w:val="283"/>
  </w:num>
  <w:num w:numId="134">
    <w:abstractNumId w:val="9"/>
  </w:num>
  <w:num w:numId="135">
    <w:abstractNumId w:val="551"/>
  </w:num>
  <w:num w:numId="136">
    <w:abstractNumId w:val="309"/>
  </w:num>
  <w:num w:numId="137">
    <w:abstractNumId w:val="598"/>
  </w:num>
  <w:num w:numId="138">
    <w:abstractNumId w:val="267"/>
  </w:num>
  <w:num w:numId="139">
    <w:abstractNumId w:val="43"/>
  </w:num>
  <w:num w:numId="140">
    <w:abstractNumId w:val="25"/>
  </w:num>
  <w:num w:numId="141">
    <w:abstractNumId w:val="586"/>
  </w:num>
  <w:num w:numId="142">
    <w:abstractNumId w:val="27"/>
  </w:num>
  <w:num w:numId="143">
    <w:abstractNumId w:val="239"/>
  </w:num>
  <w:num w:numId="144">
    <w:abstractNumId w:val="17"/>
  </w:num>
  <w:num w:numId="145">
    <w:abstractNumId w:val="405"/>
  </w:num>
  <w:num w:numId="146">
    <w:abstractNumId w:val="649"/>
  </w:num>
  <w:num w:numId="147">
    <w:abstractNumId w:val="278"/>
  </w:num>
  <w:num w:numId="148">
    <w:abstractNumId w:val="510"/>
  </w:num>
  <w:num w:numId="149">
    <w:abstractNumId w:val="688"/>
  </w:num>
  <w:num w:numId="150">
    <w:abstractNumId w:val="63"/>
  </w:num>
  <w:num w:numId="151">
    <w:abstractNumId w:val="358"/>
  </w:num>
  <w:num w:numId="152">
    <w:abstractNumId w:val="302"/>
  </w:num>
  <w:num w:numId="153">
    <w:abstractNumId w:val="697"/>
  </w:num>
  <w:num w:numId="154">
    <w:abstractNumId w:val="206"/>
  </w:num>
  <w:num w:numId="155">
    <w:abstractNumId w:val="641"/>
  </w:num>
  <w:num w:numId="156">
    <w:abstractNumId w:val="597"/>
  </w:num>
  <w:num w:numId="157">
    <w:abstractNumId w:val="455"/>
  </w:num>
  <w:num w:numId="158">
    <w:abstractNumId w:val="436"/>
  </w:num>
  <w:num w:numId="159">
    <w:abstractNumId w:val="148"/>
  </w:num>
  <w:num w:numId="160">
    <w:abstractNumId w:val="385"/>
  </w:num>
  <w:num w:numId="161">
    <w:abstractNumId w:val="110"/>
  </w:num>
  <w:num w:numId="162">
    <w:abstractNumId w:val="306"/>
  </w:num>
  <w:num w:numId="163">
    <w:abstractNumId w:val="391"/>
  </w:num>
  <w:num w:numId="164">
    <w:abstractNumId w:val="725"/>
  </w:num>
  <w:num w:numId="165">
    <w:abstractNumId w:val="44"/>
  </w:num>
  <w:num w:numId="166">
    <w:abstractNumId w:val="21"/>
  </w:num>
  <w:num w:numId="167">
    <w:abstractNumId w:val="298"/>
  </w:num>
  <w:num w:numId="168">
    <w:abstractNumId w:val="229"/>
  </w:num>
  <w:num w:numId="169">
    <w:abstractNumId w:val="714"/>
  </w:num>
  <w:num w:numId="170">
    <w:abstractNumId w:val="364"/>
  </w:num>
  <w:num w:numId="171">
    <w:abstractNumId w:val="444"/>
  </w:num>
  <w:num w:numId="172">
    <w:abstractNumId w:val="519"/>
  </w:num>
  <w:num w:numId="173">
    <w:abstractNumId w:val="724"/>
  </w:num>
  <w:num w:numId="174">
    <w:abstractNumId w:val="332"/>
  </w:num>
  <w:num w:numId="175">
    <w:abstractNumId w:val="373"/>
  </w:num>
  <w:num w:numId="176">
    <w:abstractNumId w:val="450"/>
  </w:num>
  <w:num w:numId="177">
    <w:abstractNumId w:val="235"/>
  </w:num>
  <w:num w:numId="178">
    <w:abstractNumId w:val="35"/>
  </w:num>
  <w:num w:numId="179">
    <w:abstractNumId w:val="611"/>
  </w:num>
  <w:num w:numId="180">
    <w:abstractNumId w:val="250"/>
  </w:num>
  <w:num w:numId="181">
    <w:abstractNumId w:val="334"/>
  </w:num>
  <w:num w:numId="182">
    <w:abstractNumId w:val="728"/>
  </w:num>
  <w:num w:numId="183">
    <w:abstractNumId w:val="557"/>
  </w:num>
  <w:num w:numId="184">
    <w:abstractNumId w:val="419"/>
  </w:num>
  <w:num w:numId="185">
    <w:abstractNumId w:val="343"/>
  </w:num>
  <w:num w:numId="186">
    <w:abstractNumId w:val="507"/>
  </w:num>
  <w:num w:numId="187">
    <w:abstractNumId w:val="387"/>
  </w:num>
  <w:num w:numId="188">
    <w:abstractNumId w:val="449"/>
  </w:num>
  <w:num w:numId="189">
    <w:abstractNumId w:val="556"/>
  </w:num>
  <w:num w:numId="190">
    <w:abstractNumId w:val="404"/>
  </w:num>
  <w:num w:numId="191">
    <w:abstractNumId w:val="109"/>
  </w:num>
  <w:num w:numId="192">
    <w:abstractNumId w:val="87"/>
  </w:num>
  <w:num w:numId="193">
    <w:abstractNumId w:val="523"/>
  </w:num>
  <w:num w:numId="194">
    <w:abstractNumId w:val="548"/>
  </w:num>
  <w:num w:numId="195">
    <w:abstractNumId w:val="330"/>
  </w:num>
  <w:num w:numId="196">
    <w:abstractNumId w:val="158"/>
  </w:num>
  <w:num w:numId="197">
    <w:abstractNumId w:val="706"/>
  </w:num>
  <w:num w:numId="198">
    <w:abstractNumId w:val="185"/>
  </w:num>
  <w:num w:numId="199">
    <w:abstractNumId w:val="186"/>
  </w:num>
  <w:num w:numId="200">
    <w:abstractNumId w:val="522"/>
  </w:num>
  <w:num w:numId="201">
    <w:abstractNumId w:val="430"/>
  </w:num>
  <w:num w:numId="202">
    <w:abstractNumId w:val="222"/>
  </w:num>
  <w:num w:numId="203">
    <w:abstractNumId w:val="587"/>
  </w:num>
  <w:num w:numId="204">
    <w:abstractNumId w:val="499"/>
  </w:num>
  <w:num w:numId="205">
    <w:abstractNumId w:val="195"/>
  </w:num>
  <w:num w:numId="206">
    <w:abstractNumId w:val="580"/>
  </w:num>
  <w:num w:numId="207">
    <w:abstractNumId w:val="485"/>
  </w:num>
  <w:num w:numId="208">
    <w:abstractNumId w:val="666"/>
  </w:num>
  <w:num w:numId="209">
    <w:abstractNumId w:val="11"/>
  </w:num>
  <w:num w:numId="210">
    <w:abstractNumId w:val="442"/>
  </w:num>
  <w:num w:numId="211">
    <w:abstractNumId w:val="608"/>
  </w:num>
  <w:num w:numId="212">
    <w:abstractNumId w:val="460"/>
  </w:num>
  <w:num w:numId="213">
    <w:abstractNumId w:val="258"/>
  </w:num>
  <w:num w:numId="214">
    <w:abstractNumId w:val="346"/>
  </w:num>
  <w:num w:numId="215">
    <w:abstractNumId w:val="329"/>
  </w:num>
  <w:num w:numId="216">
    <w:abstractNumId w:val="711"/>
  </w:num>
  <w:num w:numId="217">
    <w:abstractNumId w:val="490"/>
  </w:num>
  <w:num w:numId="218">
    <w:abstractNumId w:val="160"/>
  </w:num>
  <w:num w:numId="219">
    <w:abstractNumId w:val="171"/>
  </w:num>
  <w:num w:numId="220">
    <w:abstractNumId w:val="695"/>
  </w:num>
  <w:num w:numId="221">
    <w:abstractNumId w:val="183"/>
  </w:num>
  <w:num w:numId="222">
    <w:abstractNumId w:val="136"/>
  </w:num>
  <w:num w:numId="223">
    <w:abstractNumId w:val="196"/>
  </w:num>
  <w:num w:numId="224">
    <w:abstractNumId w:val="668"/>
  </w:num>
  <w:num w:numId="225">
    <w:abstractNumId w:val="227"/>
  </w:num>
  <w:num w:numId="226">
    <w:abstractNumId w:val="530"/>
  </w:num>
  <w:num w:numId="227">
    <w:abstractNumId w:val="702"/>
  </w:num>
  <w:num w:numId="228">
    <w:abstractNumId w:val="182"/>
  </w:num>
  <w:num w:numId="229">
    <w:abstractNumId w:val="80"/>
  </w:num>
  <w:num w:numId="230">
    <w:abstractNumId w:val="503"/>
  </w:num>
  <w:num w:numId="231">
    <w:abstractNumId w:val="562"/>
  </w:num>
  <w:num w:numId="232">
    <w:abstractNumId w:val="443"/>
  </w:num>
  <w:num w:numId="233">
    <w:abstractNumId w:val="584"/>
  </w:num>
  <w:num w:numId="234">
    <w:abstractNumId w:val="128"/>
  </w:num>
  <w:num w:numId="235">
    <w:abstractNumId w:val="461"/>
  </w:num>
  <w:num w:numId="236">
    <w:abstractNumId w:val="32"/>
  </w:num>
  <w:num w:numId="237">
    <w:abstractNumId w:val="473"/>
  </w:num>
  <w:num w:numId="238">
    <w:abstractNumId w:val="285"/>
  </w:num>
  <w:num w:numId="239">
    <w:abstractNumId w:val="71"/>
  </w:num>
  <w:num w:numId="240">
    <w:abstractNumId w:val="621"/>
  </w:num>
  <w:num w:numId="241">
    <w:abstractNumId w:val="324"/>
  </w:num>
  <w:num w:numId="242">
    <w:abstractNumId w:val="564"/>
  </w:num>
  <w:num w:numId="243">
    <w:abstractNumId w:val="89"/>
  </w:num>
  <w:num w:numId="244">
    <w:abstractNumId w:val="336"/>
  </w:num>
  <w:num w:numId="245">
    <w:abstractNumId w:val="59"/>
  </w:num>
  <w:num w:numId="246">
    <w:abstractNumId w:val="685"/>
  </w:num>
  <w:num w:numId="247">
    <w:abstractNumId w:val="663"/>
  </w:num>
  <w:num w:numId="248">
    <w:abstractNumId w:val="29"/>
  </w:num>
  <w:num w:numId="249">
    <w:abstractNumId w:val="356"/>
  </w:num>
  <w:num w:numId="250">
    <w:abstractNumId w:val="189"/>
  </w:num>
  <w:num w:numId="251">
    <w:abstractNumId w:val="236"/>
  </w:num>
  <w:num w:numId="252">
    <w:abstractNumId w:val="301"/>
  </w:num>
  <w:num w:numId="253">
    <w:abstractNumId w:val="421"/>
  </w:num>
  <w:num w:numId="254">
    <w:abstractNumId w:val="66"/>
  </w:num>
  <w:num w:numId="255">
    <w:abstractNumId w:val="260"/>
  </w:num>
  <w:num w:numId="256">
    <w:abstractNumId w:val="489"/>
  </w:num>
  <w:num w:numId="257">
    <w:abstractNumId w:val="680"/>
  </w:num>
  <w:num w:numId="258">
    <w:abstractNumId w:val="630"/>
  </w:num>
  <w:num w:numId="259">
    <w:abstractNumId w:val="448"/>
  </w:num>
  <w:num w:numId="260">
    <w:abstractNumId w:val="265"/>
  </w:num>
  <w:num w:numId="261">
    <w:abstractNumId w:val="496"/>
  </w:num>
  <w:num w:numId="262">
    <w:abstractNumId w:val="149"/>
  </w:num>
  <w:num w:numId="263">
    <w:abstractNumId w:val="588"/>
  </w:num>
  <w:num w:numId="264">
    <w:abstractNumId w:val="69"/>
  </w:num>
  <w:num w:numId="265">
    <w:abstractNumId w:val="602"/>
  </w:num>
  <w:num w:numId="266">
    <w:abstractNumId w:val="657"/>
  </w:num>
  <w:num w:numId="267">
    <w:abstractNumId w:val="536"/>
  </w:num>
  <w:num w:numId="268">
    <w:abstractNumId w:val="543"/>
  </w:num>
  <w:num w:numId="269">
    <w:abstractNumId w:val="528"/>
  </w:num>
  <w:num w:numId="270">
    <w:abstractNumId w:val="533"/>
  </w:num>
  <w:num w:numId="271">
    <w:abstractNumId w:val="470"/>
  </w:num>
  <w:num w:numId="272">
    <w:abstractNumId w:val="590"/>
  </w:num>
  <w:num w:numId="273">
    <w:abstractNumId w:val="508"/>
  </w:num>
  <w:num w:numId="274">
    <w:abstractNumId w:val="487"/>
  </w:num>
  <w:num w:numId="275">
    <w:abstractNumId w:val="631"/>
  </w:num>
  <w:num w:numId="276">
    <w:abstractNumId w:val="614"/>
  </w:num>
  <w:num w:numId="277">
    <w:abstractNumId w:val="662"/>
  </w:num>
  <w:num w:numId="278">
    <w:abstractNumId w:val="85"/>
  </w:num>
  <w:num w:numId="279">
    <w:abstractNumId w:val="204"/>
  </w:num>
  <w:num w:numId="280">
    <w:abstractNumId w:val="415"/>
  </w:num>
  <w:num w:numId="281">
    <w:abstractNumId w:val="632"/>
  </w:num>
  <w:num w:numId="282">
    <w:abstractNumId w:val="142"/>
  </w:num>
  <w:num w:numId="283">
    <w:abstractNumId w:val="394"/>
  </w:num>
  <w:num w:numId="284">
    <w:abstractNumId w:val="197"/>
  </w:num>
  <w:num w:numId="285">
    <w:abstractNumId w:val="377"/>
  </w:num>
  <w:num w:numId="286">
    <w:abstractNumId w:val="131"/>
  </w:num>
  <w:num w:numId="287">
    <w:abstractNumId w:val="289"/>
  </w:num>
  <w:num w:numId="288">
    <w:abstractNumId w:val="665"/>
  </w:num>
  <w:num w:numId="289">
    <w:abstractNumId w:val="628"/>
  </w:num>
  <w:num w:numId="290">
    <w:abstractNumId w:val="457"/>
  </w:num>
  <w:num w:numId="291">
    <w:abstractNumId w:val="345"/>
  </w:num>
  <w:num w:numId="292">
    <w:abstractNumId w:val="560"/>
  </w:num>
  <w:num w:numId="293">
    <w:abstractNumId w:val="453"/>
  </w:num>
  <w:num w:numId="294">
    <w:abstractNumId w:val="207"/>
  </w:num>
  <w:num w:numId="295">
    <w:abstractNumId w:val="323"/>
  </w:num>
  <w:num w:numId="296">
    <w:abstractNumId w:val="215"/>
  </w:num>
  <w:num w:numId="297">
    <w:abstractNumId w:val="104"/>
  </w:num>
  <w:num w:numId="298">
    <w:abstractNumId w:val="198"/>
  </w:num>
  <w:num w:numId="299">
    <w:abstractNumId w:val="418"/>
  </w:num>
  <w:num w:numId="300">
    <w:abstractNumId w:val="571"/>
  </w:num>
  <w:num w:numId="301">
    <w:abstractNumId w:val="420"/>
  </w:num>
  <w:num w:numId="302">
    <w:abstractNumId w:val="321"/>
  </w:num>
  <w:num w:numId="303">
    <w:abstractNumId w:val="199"/>
  </w:num>
  <w:num w:numId="304">
    <w:abstractNumId w:val="382"/>
  </w:num>
  <w:num w:numId="305">
    <w:abstractNumId w:val="395"/>
  </w:num>
  <w:num w:numId="306">
    <w:abstractNumId w:val="337"/>
  </w:num>
  <w:num w:numId="307">
    <w:abstractNumId w:val="13"/>
  </w:num>
  <w:num w:numId="308">
    <w:abstractNumId w:val="262"/>
  </w:num>
  <w:num w:numId="309">
    <w:abstractNumId w:val="574"/>
  </w:num>
  <w:num w:numId="310">
    <w:abstractNumId w:val="620"/>
  </w:num>
  <w:num w:numId="311">
    <w:abstractNumId w:val="281"/>
  </w:num>
  <w:num w:numId="312">
    <w:abstractNumId w:val="237"/>
  </w:num>
  <w:num w:numId="313">
    <w:abstractNumId w:val="372"/>
  </w:num>
  <w:num w:numId="314">
    <w:abstractNumId w:val="10"/>
  </w:num>
  <w:num w:numId="315">
    <w:abstractNumId w:val="693"/>
  </w:num>
  <w:num w:numId="316">
    <w:abstractNumId w:val="634"/>
  </w:num>
  <w:num w:numId="317">
    <w:abstractNumId w:val="704"/>
  </w:num>
  <w:num w:numId="318">
    <w:abstractNumId w:val="512"/>
  </w:num>
  <w:num w:numId="319">
    <w:abstractNumId w:val="696"/>
  </w:num>
  <w:num w:numId="320">
    <w:abstractNumId w:val="2"/>
  </w:num>
  <w:num w:numId="321">
    <w:abstractNumId w:val="49"/>
  </w:num>
  <w:num w:numId="322">
    <w:abstractNumId w:val="344"/>
  </w:num>
  <w:num w:numId="323">
    <w:abstractNumId w:val="392"/>
  </w:num>
  <w:num w:numId="324">
    <w:abstractNumId w:val="669"/>
  </w:num>
  <w:num w:numId="325">
    <w:abstractNumId w:val="48"/>
  </w:num>
  <w:num w:numId="326">
    <w:abstractNumId w:val="410"/>
  </w:num>
  <w:num w:numId="327">
    <w:abstractNumId w:val="684"/>
  </w:num>
  <w:num w:numId="328">
    <w:abstractNumId w:val="190"/>
  </w:num>
  <w:num w:numId="329">
    <w:abstractNumId w:val="280"/>
  </w:num>
  <w:num w:numId="330">
    <w:abstractNumId w:val="57"/>
  </w:num>
  <w:num w:numId="331">
    <w:abstractNumId w:val="86"/>
  </w:num>
  <w:num w:numId="332">
    <w:abstractNumId w:val="124"/>
  </w:num>
  <w:num w:numId="333">
    <w:abstractNumId w:val="570"/>
  </w:num>
  <w:num w:numId="334">
    <w:abstractNumId w:val="491"/>
  </w:num>
  <w:num w:numId="335">
    <w:abstractNumId w:val="118"/>
  </w:num>
  <w:num w:numId="336">
    <w:abstractNumId w:val="77"/>
  </w:num>
  <w:num w:numId="337">
    <w:abstractNumId w:val="318"/>
  </w:num>
  <w:num w:numId="338">
    <w:abstractNumId w:val="720"/>
  </w:num>
  <w:num w:numId="339">
    <w:abstractNumId w:val="360"/>
  </w:num>
  <w:num w:numId="340">
    <w:abstractNumId w:val="577"/>
  </w:num>
  <w:num w:numId="341">
    <w:abstractNumId w:val="535"/>
  </w:num>
  <w:num w:numId="342">
    <w:abstractNumId w:val="30"/>
  </w:num>
  <w:num w:numId="343">
    <w:abstractNumId w:val="592"/>
  </w:num>
  <w:num w:numId="344">
    <w:abstractNumId w:val="479"/>
  </w:num>
  <w:num w:numId="345">
    <w:abstractNumId w:val="659"/>
  </w:num>
  <w:num w:numId="346">
    <w:abstractNumId w:val="559"/>
  </w:num>
  <w:num w:numId="347">
    <w:abstractNumId w:val="263"/>
  </w:num>
  <w:num w:numId="348">
    <w:abstractNumId w:val="617"/>
  </w:num>
  <w:num w:numId="349">
    <w:abstractNumId w:val="563"/>
  </w:num>
  <w:num w:numId="350">
    <w:abstractNumId w:val="313"/>
  </w:num>
  <w:num w:numId="351">
    <w:abstractNumId w:val="234"/>
  </w:num>
  <w:num w:numId="352">
    <w:abstractNumId w:val="68"/>
  </w:num>
  <w:num w:numId="353">
    <w:abstractNumId w:val="727"/>
  </w:num>
  <w:num w:numId="354">
    <w:abstractNumId w:val="175"/>
  </w:num>
  <w:num w:numId="355">
    <w:abstractNumId w:val="123"/>
  </w:num>
  <w:num w:numId="356">
    <w:abstractNumId w:val="408"/>
  </w:num>
  <w:num w:numId="357">
    <w:abstractNumId w:val="129"/>
  </w:num>
  <w:num w:numId="358">
    <w:abstractNumId w:val="712"/>
  </w:num>
  <w:num w:numId="359">
    <w:abstractNumId w:val="179"/>
  </w:num>
  <w:num w:numId="360">
    <w:abstractNumId w:val="389"/>
  </w:num>
  <w:num w:numId="361">
    <w:abstractNumId w:val="99"/>
  </w:num>
  <w:num w:numId="362">
    <w:abstractNumId w:val="15"/>
  </w:num>
  <w:num w:numId="363">
    <w:abstractNumId w:val="46"/>
  </w:num>
  <w:num w:numId="364">
    <w:abstractNumId w:val="600"/>
  </w:num>
  <w:num w:numId="365">
    <w:abstractNumId w:val="133"/>
  </w:num>
  <w:num w:numId="366">
    <w:abstractNumId w:val="130"/>
  </w:num>
  <w:num w:numId="367">
    <w:abstractNumId w:val="191"/>
  </w:num>
  <w:num w:numId="368">
    <w:abstractNumId w:val="125"/>
  </w:num>
  <w:num w:numId="369">
    <w:abstractNumId w:val="497"/>
  </w:num>
  <w:num w:numId="370">
    <w:abstractNumId w:val="39"/>
  </w:num>
  <w:num w:numId="371">
    <w:abstractNumId w:val="661"/>
  </w:num>
  <w:num w:numId="372">
    <w:abstractNumId w:val="524"/>
  </w:num>
  <w:num w:numId="373">
    <w:abstractNumId w:val="637"/>
  </w:num>
  <w:num w:numId="374">
    <w:abstractNumId w:val="409"/>
  </w:num>
  <w:num w:numId="375">
    <w:abstractNumId w:val="445"/>
  </w:num>
  <w:num w:numId="376">
    <w:abstractNumId w:val="441"/>
  </w:num>
  <w:num w:numId="377">
    <w:abstractNumId w:val="700"/>
  </w:num>
  <w:num w:numId="378">
    <w:abstractNumId w:val="308"/>
  </w:num>
  <w:num w:numId="379">
    <w:abstractNumId w:val="256"/>
  </w:num>
  <w:num w:numId="380">
    <w:abstractNumId w:val="569"/>
  </w:num>
  <w:num w:numId="381">
    <w:abstractNumId w:val="325"/>
  </w:num>
  <w:num w:numId="382">
    <w:abstractNumId w:val="275"/>
  </w:num>
  <w:num w:numId="383">
    <w:abstractNumId w:val="6"/>
  </w:num>
  <w:num w:numId="384">
    <w:abstractNumId w:val="447"/>
  </w:num>
  <w:num w:numId="385">
    <w:abstractNumId w:val="707"/>
  </w:num>
  <w:num w:numId="386">
    <w:abstractNumId w:val="138"/>
  </w:num>
  <w:num w:numId="387">
    <w:abstractNumId w:val="34"/>
  </w:num>
  <w:num w:numId="388">
    <w:abstractNumId w:val="689"/>
  </w:num>
  <w:num w:numId="389">
    <w:abstractNumId w:val="294"/>
  </w:num>
  <w:num w:numId="390">
    <w:abstractNumId w:val="431"/>
  </w:num>
  <w:num w:numId="391">
    <w:abstractNumId w:val="54"/>
  </w:num>
  <w:num w:numId="392">
    <w:abstractNumId w:val="310"/>
  </w:num>
  <w:num w:numId="393">
    <w:abstractNumId w:val="469"/>
  </w:num>
  <w:num w:numId="394">
    <w:abstractNumId w:val="651"/>
  </w:num>
  <w:num w:numId="395">
    <w:abstractNumId w:val="446"/>
  </w:num>
  <w:num w:numId="396">
    <w:abstractNumId w:val="612"/>
  </w:num>
  <w:num w:numId="397">
    <w:abstractNumId w:val="114"/>
  </w:num>
  <w:num w:numId="398">
    <w:abstractNumId w:val="576"/>
  </w:num>
  <w:num w:numId="399">
    <w:abstractNumId w:val="353"/>
  </w:num>
  <w:num w:numId="400">
    <w:abstractNumId w:val="152"/>
  </w:num>
  <w:num w:numId="401">
    <w:abstractNumId w:val="486"/>
  </w:num>
  <w:num w:numId="402">
    <w:abstractNumId w:val="169"/>
  </w:num>
  <w:num w:numId="403">
    <w:abstractNumId w:val="37"/>
  </w:num>
  <w:num w:numId="404">
    <w:abstractNumId w:val="177"/>
  </w:num>
  <w:num w:numId="405">
    <w:abstractNumId w:val="636"/>
  </w:num>
  <w:num w:numId="406">
    <w:abstractNumId w:val="474"/>
  </w:num>
  <w:num w:numId="407">
    <w:abstractNumId w:val="147"/>
  </w:num>
  <w:num w:numId="408">
    <w:abstractNumId w:val="209"/>
  </w:num>
  <w:num w:numId="409">
    <w:abstractNumId w:val="18"/>
  </w:num>
  <w:num w:numId="410">
    <w:abstractNumId w:val="435"/>
  </w:num>
  <w:num w:numId="411">
    <w:abstractNumId w:val="50"/>
  </w:num>
  <w:num w:numId="412">
    <w:abstractNumId w:val="340"/>
  </w:num>
  <w:num w:numId="413">
    <w:abstractNumId w:val="726"/>
  </w:num>
  <w:num w:numId="414">
    <w:abstractNumId w:val="56"/>
  </w:num>
  <w:num w:numId="415">
    <w:abstractNumId w:val="82"/>
  </w:num>
  <w:num w:numId="416">
    <w:abstractNumId w:val="703"/>
  </w:num>
  <w:num w:numId="417">
    <w:abstractNumId w:val="122"/>
  </w:num>
  <w:num w:numId="418">
    <w:abstractNumId w:val="660"/>
  </w:num>
  <w:num w:numId="419">
    <w:abstractNumId w:val="492"/>
  </w:num>
  <w:num w:numId="420">
    <w:abstractNumId w:val="550"/>
  </w:num>
  <w:num w:numId="421">
    <w:abstractNumId w:val="705"/>
  </w:num>
  <w:num w:numId="422">
    <w:abstractNumId w:val="93"/>
  </w:num>
  <w:num w:numId="423">
    <w:abstractNumId w:val="279"/>
  </w:num>
  <w:num w:numId="424">
    <w:abstractNumId w:val="627"/>
  </w:num>
  <w:num w:numId="425">
    <w:abstractNumId w:val="547"/>
  </w:num>
  <w:num w:numId="426">
    <w:abstractNumId w:val="165"/>
  </w:num>
  <w:num w:numId="427">
    <w:abstractNumId w:val="721"/>
  </w:num>
  <w:num w:numId="428">
    <w:abstractNumId w:val="375"/>
  </w:num>
  <w:num w:numId="429">
    <w:abstractNumId w:val="534"/>
  </w:num>
  <w:num w:numId="430">
    <w:abstractNumId w:val="144"/>
  </w:num>
  <w:num w:numId="431">
    <w:abstractNumId w:val="155"/>
  </w:num>
  <w:num w:numId="432">
    <w:abstractNumId w:val="708"/>
  </w:num>
  <w:num w:numId="433">
    <w:abstractNumId w:val="174"/>
  </w:num>
  <w:num w:numId="434">
    <w:abstractNumId w:val="315"/>
  </w:num>
  <w:num w:numId="435">
    <w:abstractNumId w:val="601"/>
  </w:num>
  <w:num w:numId="436">
    <w:abstractNumId w:val="466"/>
  </w:num>
  <w:num w:numId="437">
    <w:abstractNumId w:val="78"/>
  </w:num>
  <w:num w:numId="438">
    <w:abstractNumId w:val="675"/>
  </w:num>
  <w:num w:numId="439">
    <w:abstractNumId w:val="176"/>
  </w:num>
  <w:num w:numId="440">
    <w:abstractNumId w:val="132"/>
  </w:num>
  <w:num w:numId="441">
    <w:abstractNumId w:val="284"/>
  </w:num>
  <w:num w:numId="442">
    <w:abstractNumId w:val="170"/>
  </w:num>
  <w:num w:numId="443">
    <w:abstractNumId w:val="365"/>
  </w:num>
  <w:num w:numId="444">
    <w:abstractNumId w:val="146"/>
  </w:num>
  <w:num w:numId="445">
    <w:abstractNumId w:val="347"/>
  </w:num>
  <w:num w:numId="446">
    <w:abstractNumId w:val="293"/>
  </w:num>
  <w:num w:numId="447">
    <w:abstractNumId w:val="33"/>
  </w:num>
  <w:num w:numId="448">
    <w:abstractNumId w:val="616"/>
  </w:num>
  <w:num w:numId="449">
    <w:abstractNumId w:val="658"/>
  </w:num>
  <w:num w:numId="450">
    <w:abstractNumId w:val="41"/>
  </w:num>
  <w:num w:numId="451">
    <w:abstractNumId w:val="40"/>
  </w:num>
  <w:num w:numId="452">
    <w:abstractNumId w:val="650"/>
  </w:num>
  <w:num w:numId="453">
    <w:abstractNumId w:val="423"/>
  </w:num>
  <w:num w:numId="454">
    <w:abstractNumId w:val="579"/>
  </w:num>
  <w:num w:numId="455">
    <w:abstractNumId w:val="51"/>
  </w:num>
  <w:num w:numId="456">
    <w:abstractNumId w:val="582"/>
  </w:num>
  <w:num w:numId="457">
    <w:abstractNumId w:val="552"/>
  </w:num>
  <w:num w:numId="458">
    <w:abstractNumId w:val="214"/>
  </w:num>
  <w:num w:numId="459">
    <w:abstractNumId w:val="173"/>
  </w:num>
  <w:num w:numId="460">
    <w:abstractNumId w:val="406"/>
  </w:num>
  <w:num w:numId="461">
    <w:abstractNumId w:val="151"/>
  </w:num>
  <w:num w:numId="462">
    <w:abstractNumId w:val="654"/>
  </w:num>
  <w:num w:numId="463">
    <w:abstractNumId w:val="480"/>
  </w:num>
  <w:num w:numId="464">
    <w:abstractNumId w:val="88"/>
  </w:num>
  <w:num w:numId="465">
    <w:abstractNumId w:val="92"/>
  </w:num>
  <w:num w:numId="466">
    <w:abstractNumId w:val="633"/>
  </w:num>
  <w:num w:numId="467">
    <w:abstractNumId w:val="376"/>
  </w:num>
  <w:num w:numId="468">
    <w:abstractNumId w:val="251"/>
  </w:num>
  <w:num w:numId="469">
    <w:abstractNumId w:val="67"/>
  </w:num>
  <w:num w:numId="470">
    <w:abstractNumId w:val="36"/>
  </w:num>
  <w:num w:numId="471">
    <w:abstractNumId w:val="393"/>
  </w:num>
  <w:num w:numId="472">
    <w:abstractNumId w:val="433"/>
  </w:num>
  <w:num w:numId="473">
    <w:abstractNumId w:val="525"/>
  </w:num>
  <w:num w:numId="474">
    <w:abstractNumId w:val="459"/>
  </w:num>
  <w:num w:numId="475">
    <w:abstractNumId w:val="572"/>
  </w:num>
  <w:num w:numId="476">
    <w:abstractNumId w:val="115"/>
  </w:num>
  <w:num w:numId="477">
    <w:abstractNumId w:val="414"/>
  </w:num>
  <w:num w:numId="478">
    <w:abstractNumId w:val="102"/>
  </w:num>
  <w:num w:numId="479">
    <w:abstractNumId w:val="23"/>
  </w:num>
  <w:num w:numId="480">
    <w:abstractNumId w:val="314"/>
  </w:num>
  <w:num w:numId="481">
    <w:abstractNumId w:val="604"/>
  </w:num>
  <w:num w:numId="482">
    <w:abstractNumId w:val="362"/>
  </w:num>
  <w:num w:numId="483">
    <w:abstractNumId w:val="351"/>
  </w:num>
  <w:num w:numId="484">
    <w:abstractNumId w:val="407"/>
  </w:num>
  <w:num w:numId="485">
    <w:abstractNumId w:val="609"/>
  </w:num>
  <w:num w:numId="486">
    <w:abstractNumId w:val="542"/>
  </w:num>
  <w:num w:numId="487">
    <w:abstractNumId w:val="16"/>
  </w:num>
  <w:num w:numId="488">
    <w:abstractNumId w:val="451"/>
  </w:num>
  <w:num w:numId="489">
    <w:abstractNumId w:val="596"/>
  </w:num>
  <w:num w:numId="490">
    <w:abstractNumId w:val="105"/>
  </w:num>
  <w:num w:numId="491">
    <w:abstractNumId w:val="555"/>
  </w:num>
  <w:num w:numId="492">
    <w:abstractNumId w:val="468"/>
  </w:num>
  <w:num w:numId="493">
    <w:abstractNumId w:val="478"/>
  </w:num>
  <w:num w:numId="494">
    <w:abstractNumId w:val="79"/>
  </w:num>
  <w:num w:numId="495">
    <w:abstractNumId w:val="546"/>
  </w:num>
  <w:num w:numId="496">
    <w:abstractNumId w:val="515"/>
  </w:num>
  <w:num w:numId="497">
    <w:abstractNumId w:val="477"/>
  </w:num>
  <w:num w:numId="498">
    <w:abstractNumId w:val="241"/>
  </w:num>
  <w:num w:numId="499">
    <w:abstractNumId w:val="305"/>
  </w:num>
  <w:num w:numId="500">
    <w:abstractNumId w:val="84"/>
  </w:num>
  <w:num w:numId="501">
    <w:abstractNumId w:val="416"/>
  </w:num>
  <w:num w:numId="502">
    <w:abstractNumId w:val="240"/>
  </w:num>
  <w:num w:numId="503">
    <w:abstractNumId w:val="440"/>
  </w:num>
  <w:num w:numId="504">
    <w:abstractNumId w:val="3"/>
  </w:num>
  <w:num w:numId="505">
    <w:abstractNumId w:val="38"/>
  </w:num>
  <w:num w:numId="506">
    <w:abstractNumId w:val="292"/>
  </w:num>
  <w:num w:numId="507">
    <w:abstractNumId w:val="366"/>
  </w:num>
  <w:num w:numId="508">
    <w:abstractNumId w:val="396"/>
  </w:num>
  <w:num w:numId="509">
    <w:abstractNumId w:val="243"/>
  </w:num>
  <w:num w:numId="510">
    <w:abstractNumId w:val="210"/>
  </w:num>
  <w:num w:numId="511">
    <w:abstractNumId w:val="252"/>
  </w:num>
  <w:num w:numId="512">
    <w:abstractNumId w:val="678"/>
  </w:num>
  <w:num w:numId="513">
    <w:abstractNumId w:val="482"/>
  </w:num>
  <w:num w:numId="514">
    <w:abstractNumId w:val="413"/>
  </w:num>
  <w:num w:numId="515">
    <w:abstractNumId w:val="126"/>
  </w:num>
  <w:num w:numId="516">
    <w:abstractNumId w:val="578"/>
  </w:num>
  <w:num w:numId="517">
    <w:abstractNumId w:val="226"/>
  </w:num>
  <w:num w:numId="518">
    <w:abstractNumId w:val="653"/>
  </w:num>
  <w:num w:numId="519">
    <w:abstractNumId w:val="307"/>
  </w:num>
  <w:num w:numId="520">
    <w:abstractNumId w:val="472"/>
  </w:num>
  <w:num w:numId="521">
    <w:abstractNumId w:val="233"/>
  </w:num>
  <w:num w:numId="522">
    <w:abstractNumId w:val="544"/>
  </w:num>
  <w:num w:numId="523">
    <w:abstractNumId w:val="568"/>
  </w:num>
  <w:num w:numId="524">
    <w:abstractNumId w:val="674"/>
  </w:num>
  <w:num w:numId="525">
    <w:abstractNumId w:val="212"/>
  </w:num>
  <w:num w:numId="526">
    <w:abstractNumId w:val="76"/>
  </w:num>
  <w:num w:numId="527">
    <w:abstractNumId w:val="202"/>
  </w:num>
  <w:num w:numId="528">
    <w:abstractNumId w:val="247"/>
  </w:num>
  <w:num w:numId="529">
    <w:abstractNumId w:val="370"/>
  </w:num>
  <w:num w:numId="530">
    <w:abstractNumId w:val="94"/>
  </w:num>
  <w:num w:numId="531">
    <w:abstractNumId w:val="398"/>
  </w:num>
  <w:num w:numId="532">
    <w:abstractNumId w:val="8"/>
  </w:num>
  <w:num w:numId="533">
    <w:abstractNumId w:val="595"/>
  </w:num>
  <w:num w:numId="534">
    <w:abstractNumId w:val="98"/>
  </w:num>
  <w:num w:numId="535">
    <w:abstractNumId w:val="137"/>
  </w:num>
  <w:num w:numId="536">
    <w:abstractNumId w:val="425"/>
  </w:num>
  <w:num w:numId="537">
    <w:abstractNumId w:val="311"/>
  </w:num>
  <w:num w:numId="538">
    <w:abstractNumId w:val="47"/>
  </w:num>
  <w:num w:numId="539">
    <w:abstractNumId w:val="20"/>
  </w:num>
  <w:num w:numId="540">
    <w:abstractNumId w:val="75"/>
  </w:num>
  <w:num w:numId="541">
    <w:abstractNumId w:val="266"/>
  </w:num>
  <w:num w:numId="542">
    <w:abstractNumId w:val="648"/>
  </w:num>
  <w:num w:numId="543">
    <w:abstractNumId w:val="217"/>
  </w:num>
  <w:num w:numId="544">
    <w:abstractNumId w:val="575"/>
  </w:num>
  <w:num w:numId="545">
    <w:abstractNumId w:val="108"/>
  </w:num>
  <w:num w:numId="546">
    <w:abstractNumId w:val="664"/>
  </w:num>
  <w:num w:numId="547">
    <w:abstractNumId w:val="55"/>
  </w:num>
  <w:num w:numId="548">
    <w:abstractNumId w:val="341"/>
  </w:num>
  <w:num w:numId="549">
    <w:abstractNumId w:val="297"/>
  </w:num>
  <w:num w:numId="550">
    <w:abstractNumId w:val="652"/>
  </w:num>
  <w:num w:numId="551">
    <w:abstractNumId w:val="273"/>
  </w:num>
  <w:num w:numId="552">
    <w:abstractNumId w:val="698"/>
  </w:num>
  <w:num w:numId="553">
    <w:abstractNumId w:val="24"/>
  </w:num>
  <w:num w:numId="554">
    <w:abstractNumId w:val="438"/>
  </w:num>
  <w:num w:numId="555">
    <w:abstractNumId w:val="422"/>
  </w:num>
  <w:num w:numId="556">
    <w:abstractNumId w:val="390"/>
  </w:num>
  <w:num w:numId="557">
    <w:abstractNumId w:val="521"/>
  </w:num>
  <w:num w:numId="558">
    <w:abstractNumId w:val="103"/>
  </w:num>
  <w:num w:numId="559">
    <w:abstractNumId w:val="401"/>
  </w:num>
  <w:num w:numId="560">
    <w:abstractNumId w:val="371"/>
  </w:num>
  <w:num w:numId="561">
    <w:abstractNumId w:val="538"/>
  </w:num>
  <w:num w:numId="562">
    <w:abstractNumId w:val="81"/>
  </w:num>
  <w:num w:numId="563">
    <w:abstractNumId w:val="514"/>
  </w:num>
  <w:num w:numId="564">
    <w:abstractNumId w:val="594"/>
  </w:num>
  <w:num w:numId="565">
    <w:abstractNumId w:val="106"/>
  </w:num>
  <w:num w:numId="566">
    <w:abstractNumId w:val="605"/>
  </w:num>
  <w:num w:numId="567">
    <w:abstractNumId w:val="624"/>
  </w:num>
  <w:num w:numId="568">
    <w:abstractNumId w:val="520"/>
  </w:num>
  <w:num w:numId="569">
    <w:abstractNumId w:val="245"/>
  </w:num>
  <w:num w:numId="570">
    <w:abstractNumId w:val="501"/>
  </w:num>
  <w:num w:numId="571">
    <w:abstractNumId w:val="238"/>
  </w:num>
  <w:num w:numId="572">
    <w:abstractNumId w:val="613"/>
  </w:num>
  <w:num w:numId="573">
    <w:abstractNumId w:val="74"/>
  </w:num>
  <w:num w:numId="574">
    <w:abstractNumId w:val="635"/>
  </w:num>
  <w:num w:numId="575">
    <w:abstractNumId w:val="690"/>
  </w:num>
  <w:num w:numId="576">
    <w:abstractNumId w:val="723"/>
  </w:num>
  <w:num w:numId="577">
    <w:abstractNumId w:val="502"/>
  </w:num>
  <w:num w:numId="578">
    <w:abstractNumId w:val="670"/>
  </w:num>
  <w:num w:numId="579">
    <w:abstractNumId w:val="646"/>
  </w:num>
  <w:num w:numId="580">
    <w:abstractNumId w:val="166"/>
  </w:num>
  <w:num w:numId="581">
    <w:abstractNumId w:val="162"/>
  </w:num>
  <w:num w:numId="582">
    <w:abstractNumId w:val="676"/>
  </w:num>
  <w:num w:numId="583">
    <w:abstractNumId w:val="141"/>
  </w:num>
  <w:num w:numId="584">
    <w:abstractNumId w:val="452"/>
  </w:num>
  <w:num w:numId="585">
    <w:abstractNumId w:val="244"/>
  </w:num>
  <w:num w:numId="586">
    <w:abstractNumId w:val="554"/>
  </w:num>
  <w:num w:numId="587">
    <w:abstractNumId w:val="458"/>
  </w:num>
  <w:num w:numId="588">
    <w:abstractNumId w:val="172"/>
  </w:num>
  <w:num w:numId="589">
    <w:abstractNumId w:val="412"/>
  </w:num>
  <w:num w:numId="590">
    <w:abstractNumId w:val="277"/>
  </w:num>
  <w:num w:numId="591">
    <w:abstractNumId w:val="694"/>
  </w:num>
  <w:num w:numId="592">
    <w:abstractNumId w:val="516"/>
  </w:num>
  <w:num w:numId="593">
    <w:abstractNumId w:val="135"/>
  </w:num>
  <w:num w:numId="594">
    <w:abstractNumId w:val="101"/>
  </w:num>
  <w:num w:numId="595">
    <w:abstractNumId w:val="91"/>
  </w:num>
  <w:num w:numId="596">
    <w:abstractNumId w:val="342"/>
  </w:num>
  <w:num w:numId="597">
    <w:abstractNumId w:val="655"/>
  </w:num>
  <w:num w:numId="598">
    <w:abstractNumId w:val="319"/>
  </w:num>
  <w:num w:numId="599">
    <w:abstractNumId w:val="28"/>
  </w:num>
  <w:num w:numId="600">
    <w:abstractNumId w:val="565"/>
  </w:num>
  <w:num w:numId="601">
    <w:abstractNumId w:val="70"/>
  </w:num>
  <w:num w:numId="602">
    <w:abstractNumId w:val="715"/>
  </w:num>
  <w:num w:numId="603">
    <w:abstractNumId w:val="359"/>
  </w:num>
  <w:num w:numId="604">
    <w:abstractNumId w:val="350"/>
  </w:num>
  <w:num w:numId="605">
    <w:abstractNumId w:val="291"/>
  </w:num>
  <w:num w:numId="606">
    <w:abstractNumId w:val="645"/>
  </w:num>
  <w:num w:numId="607">
    <w:abstractNumId w:val="465"/>
  </w:num>
  <w:num w:numId="608">
    <w:abstractNumId w:val="299"/>
  </w:num>
  <w:num w:numId="609">
    <w:abstractNumId w:val="348"/>
  </w:num>
  <w:num w:numId="610">
    <w:abstractNumId w:val="671"/>
  </w:num>
  <w:num w:numId="611">
    <w:abstractNumId w:val="462"/>
  </w:num>
  <w:num w:numId="612">
    <w:abstractNumId w:val="225"/>
  </w:num>
  <w:num w:numId="613">
    <w:abstractNumId w:val="96"/>
  </w:num>
  <w:num w:numId="614">
    <w:abstractNumId w:val="119"/>
  </w:num>
  <w:num w:numId="615">
    <w:abstractNumId w:val="526"/>
  </w:num>
  <w:num w:numId="616">
    <w:abstractNumId w:val="327"/>
  </w:num>
  <w:num w:numId="617">
    <w:abstractNumId w:val="194"/>
  </w:num>
  <w:num w:numId="618">
    <w:abstractNumId w:val="591"/>
  </w:num>
  <w:num w:numId="619">
    <w:abstractNumId w:val="639"/>
  </w:num>
  <w:num w:numId="620">
    <w:abstractNumId w:val="561"/>
  </w:num>
  <w:num w:numId="621">
    <w:abstractNumId w:val="338"/>
  </w:num>
  <w:num w:numId="622">
    <w:abstractNumId w:val="157"/>
  </w:num>
  <w:num w:numId="623">
    <w:abstractNumId w:val="12"/>
  </w:num>
  <w:num w:numId="624">
    <w:abstractNumId w:val="181"/>
  </w:num>
  <w:num w:numId="625">
    <w:abstractNumId w:val="7"/>
  </w:num>
  <w:num w:numId="626">
    <w:abstractNumId w:val="716"/>
  </w:num>
  <w:num w:numId="627">
    <w:abstractNumId w:val="623"/>
  </w:num>
  <w:num w:numId="628">
    <w:abstractNumId w:val="261"/>
  </w:num>
  <w:num w:numId="629">
    <w:abstractNumId w:val="276"/>
  </w:num>
  <w:num w:numId="630">
    <w:abstractNumId w:val="154"/>
  </w:num>
  <w:num w:numId="631">
    <w:abstractNumId w:val="494"/>
  </w:num>
  <w:num w:numId="632">
    <w:abstractNumId w:val="672"/>
  </w:num>
  <w:num w:numId="633">
    <w:abstractNumId w:val="463"/>
  </w:num>
  <w:num w:numId="634">
    <w:abstractNumId w:val="434"/>
  </w:num>
  <w:num w:numId="635">
    <w:abstractNumId w:val="476"/>
  </w:num>
  <w:num w:numId="636">
    <w:abstractNumId w:val="506"/>
  </w:num>
  <w:num w:numId="637">
    <w:abstractNumId w:val="150"/>
  </w:num>
  <w:num w:numId="638">
    <w:abstractNumId w:val="403"/>
  </w:num>
  <w:num w:numId="639">
    <w:abstractNumId w:val="682"/>
  </w:num>
  <w:num w:numId="640">
    <w:abstractNumId w:val="625"/>
  </w:num>
  <w:num w:numId="641">
    <w:abstractNumId w:val="667"/>
  </w:num>
  <w:num w:numId="642">
    <w:abstractNumId w:val="495"/>
  </w:num>
  <w:num w:numId="643">
    <w:abstractNumId w:val="498"/>
  </w:num>
  <w:num w:numId="644">
    <w:abstractNumId w:val="545"/>
  </w:num>
  <w:num w:numId="645">
    <w:abstractNumId w:val="619"/>
  </w:num>
  <w:num w:numId="646">
    <w:abstractNumId w:val="113"/>
  </w:num>
  <w:num w:numId="647">
    <w:abstractNumId w:val="167"/>
  </w:num>
  <w:num w:numId="648">
    <w:abstractNumId w:val="288"/>
  </w:num>
  <w:num w:numId="649">
    <w:abstractNumId w:val="224"/>
  </w:num>
  <w:num w:numId="650">
    <w:abstractNumId w:val="246"/>
  </w:num>
  <w:num w:numId="651">
    <w:abstractNumId w:val="380"/>
  </w:num>
  <w:num w:numId="652">
    <w:abstractNumId w:val="153"/>
  </w:num>
  <w:num w:numId="653">
    <w:abstractNumId w:val="143"/>
  </w:num>
  <w:num w:numId="654">
    <w:abstractNumId w:val="553"/>
  </w:num>
  <w:num w:numId="655">
    <w:abstractNumId w:val="14"/>
  </w:num>
  <w:num w:numId="656">
    <w:abstractNumId w:val="322"/>
  </w:num>
  <w:num w:numId="657">
    <w:abstractNumId w:val="349"/>
  </w:num>
  <w:num w:numId="658">
    <w:abstractNumId w:val="699"/>
  </w:num>
  <w:num w:numId="659">
    <w:abstractNumId w:val="121"/>
  </w:num>
  <w:num w:numId="660">
    <w:abstractNumId w:val="139"/>
  </w:num>
  <w:num w:numId="661">
    <w:abstractNumId w:val="379"/>
  </w:num>
  <w:num w:numId="662">
    <w:abstractNumId w:val="475"/>
  </w:num>
  <w:num w:numId="663">
    <w:abstractNumId w:val="504"/>
  </w:num>
  <w:num w:numId="664">
    <w:abstractNumId w:val="374"/>
  </w:num>
  <w:num w:numId="665">
    <w:abstractNumId w:val="255"/>
  </w:num>
  <w:num w:numId="666">
    <w:abstractNumId w:val="230"/>
  </w:num>
  <w:num w:numId="667">
    <w:abstractNumId w:val="193"/>
  </w:num>
  <w:num w:numId="668">
    <w:abstractNumId w:val="622"/>
  </w:num>
  <w:num w:numId="669">
    <w:abstractNumId w:val="282"/>
  </w:num>
  <w:num w:numId="670">
    <w:abstractNumId w:val="134"/>
  </w:num>
  <w:num w:numId="671">
    <w:abstractNumId w:val="718"/>
  </w:num>
  <w:num w:numId="672">
    <w:abstractNumId w:val="589"/>
  </w:num>
  <w:num w:numId="673">
    <w:abstractNumId w:val="62"/>
  </w:num>
  <w:num w:numId="674">
    <w:abstractNumId w:val="729"/>
  </w:num>
  <w:num w:numId="675">
    <w:abstractNumId w:val="178"/>
  </w:num>
  <w:num w:numId="676">
    <w:abstractNumId w:val="274"/>
  </w:num>
  <w:num w:numId="677">
    <w:abstractNumId w:val="683"/>
  </w:num>
  <w:num w:numId="678">
    <w:abstractNumId w:val="673"/>
  </w:num>
  <w:num w:numId="679">
    <w:abstractNumId w:val="145"/>
  </w:num>
  <w:num w:numId="680">
    <w:abstractNumId w:val="208"/>
  </w:num>
  <w:num w:numId="681">
    <w:abstractNumId w:val="558"/>
  </w:num>
  <w:num w:numId="682">
    <w:abstractNumId w:val="618"/>
  </w:num>
  <w:num w:numId="683">
    <w:abstractNumId w:val="656"/>
  </w:num>
  <w:num w:numId="684">
    <w:abstractNumId w:val="378"/>
  </w:num>
  <w:num w:numId="685">
    <w:abstractNumId w:val="531"/>
  </w:num>
  <w:num w:numId="686">
    <w:abstractNumId w:val="248"/>
  </w:num>
  <w:num w:numId="687">
    <w:abstractNumId w:val="219"/>
  </w:num>
  <w:num w:numId="688">
    <w:abstractNumId w:val="481"/>
  </w:num>
  <w:num w:numId="689">
    <w:abstractNumId w:val="203"/>
  </w:num>
  <w:num w:numId="690">
    <w:abstractNumId w:val="19"/>
  </w:num>
  <w:num w:numId="691">
    <w:abstractNumId w:val="253"/>
  </w:num>
  <w:num w:numId="692">
    <w:abstractNumId w:val="439"/>
  </w:num>
  <w:num w:numId="693">
    <w:abstractNumId w:val="626"/>
  </w:num>
  <w:num w:numId="694">
    <w:abstractNumId w:val="228"/>
  </w:num>
  <w:num w:numId="695">
    <w:abstractNumId w:val="505"/>
  </w:num>
  <w:num w:numId="696">
    <w:abstractNumId w:val="249"/>
  </w:num>
  <w:num w:numId="697">
    <w:abstractNumId w:val="140"/>
  </w:num>
  <w:num w:numId="698">
    <w:abstractNumId w:val="643"/>
  </w:num>
  <w:num w:numId="699">
    <w:abstractNumId w:val="367"/>
  </w:num>
  <w:num w:numId="700">
    <w:abstractNumId w:val="42"/>
  </w:num>
  <w:num w:numId="701">
    <w:abstractNumId w:val="424"/>
  </w:num>
  <w:num w:numId="702">
    <w:abstractNumId w:val="369"/>
  </w:num>
  <w:num w:numId="703">
    <w:abstractNumId w:val="388"/>
  </w:num>
  <w:num w:numId="704">
    <w:abstractNumId w:val="317"/>
  </w:num>
  <w:num w:numId="705">
    <w:abstractNumId w:val="286"/>
  </w:num>
  <w:num w:numId="706">
    <w:abstractNumId w:val="200"/>
  </w:num>
  <w:num w:numId="707">
    <w:abstractNumId w:val="328"/>
  </w:num>
  <w:num w:numId="708">
    <w:abstractNumId w:val="211"/>
  </w:num>
  <w:num w:numId="709">
    <w:abstractNumId w:val="432"/>
  </w:num>
  <w:num w:numId="710">
    <w:abstractNumId w:val="161"/>
  </w:num>
  <w:num w:numId="711">
    <w:abstractNumId w:val="220"/>
  </w:num>
  <w:num w:numId="712">
    <w:abstractNumId w:val="304"/>
  </w:num>
  <w:num w:numId="713">
    <w:abstractNumId w:val="701"/>
  </w:num>
  <w:num w:numId="714">
    <w:abstractNumId w:val="603"/>
  </w:num>
  <w:num w:numId="715">
    <w:abstractNumId w:val="346"/>
  </w:num>
  <w:num w:numId="716">
    <w:abstractNumId w:val="91"/>
  </w:num>
  <w:num w:numId="71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8">
    <w:abstractNumId w:val="326"/>
  </w:num>
  <w:num w:numId="719">
    <w:abstractNumId w:val="287"/>
  </w:num>
  <w:num w:numId="720">
    <w:abstractNumId w:val="484"/>
  </w:num>
  <w:num w:numId="721">
    <w:abstractNumId w:val="493"/>
  </w:num>
  <w:num w:numId="722">
    <w:abstractNumId w:val="254"/>
  </w:num>
  <w:num w:numId="723">
    <w:abstractNumId w:val="296"/>
  </w:num>
  <w:num w:numId="724">
    <w:abstractNumId w:val="355"/>
  </w:num>
  <w:num w:numId="725">
    <w:abstractNumId w:val="339"/>
  </w:num>
  <w:num w:numId="726">
    <w:abstractNumId w:val="599"/>
  </w:num>
  <w:num w:numId="727">
    <w:abstractNumId w:val="192"/>
  </w:num>
  <w:num w:numId="728">
    <w:abstractNumId w:val="268"/>
  </w:num>
  <w:num w:numId="729">
    <w:abstractNumId w:val="357"/>
  </w:num>
  <w:num w:numId="730">
    <w:abstractNumId w:val="566"/>
  </w:num>
  <w:num w:numId="731">
    <w:abstractNumId w:val="164"/>
  </w:num>
  <w:num w:numId="732">
    <w:abstractNumId w:val="686"/>
  </w:num>
  <w:num w:numId="733">
    <w:abstractNumId w:val="111"/>
  </w:num>
  <w:numIdMacAtCleanup w:val="7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F74"/>
    <w:rsid w:val="00000FB0"/>
    <w:rsid w:val="000040D6"/>
    <w:rsid w:val="00004383"/>
    <w:rsid w:val="00004F4F"/>
    <w:rsid w:val="00006A43"/>
    <w:rsid w:val="000146D4"/>
    <w:rsid w:val="000147CE"/>
    <w:rsid w:val="00017B89"/>
    <w:rsid w:val="0002192C"/>
    <w:rsid w:val="00026E3A"/>
    <w:rsid w:val="00046A8D"/>
    <w:rsid w:val="000506FA"/>
    <w:rsid w:val="00051954"/>
    <w:rsid w:val="000529F1"/>
    <w:rsid w:val="00052E60"/>
    <w:rsid w:val="00053FF9"/>
    <w:rsid w:val="000550CE"/>
    <w:rsid w:val="00056B1B"/>
    <w:rsid w:val="000648D9"/>
    <w:rsid w:val="0007131F"/>
    <w:rsid w:val="000822F6"/>
    <w:rsid w:val="00086E26"/>
    <w:rsid w:val="00090DF8"/>
    <w:rsid w:val="00093159"/>
    <w:rsid w:val="00094CFD"/>
    <w:rsid w:val="0009724B"/>
    <w:rsid w:val="000A0DA5"/>
    <w:rsid w:val="000A6D20"/>
    <w:rsid w:val="000B13B0"/>
    <w:rsid w:val="000B30A6"/>
    <w:rsid w:val="000C1B71"/>
    <w:rsid w:val="000C22D0"/>
    <w:rsid w:val="000D0FAD"/>
    <w:rsid w:val="000D2ED5"/>
    <w:rsid w:val="000D3294"/>
    <w:rsid w:val="000D3ADE"/>
    <w:rsid w:val="000D7962"/>
    <w:rsid w:val="000E47F9"/>
    <w:rsid w:val="000F0404"/>
    <w:rsid w:val="000F76B5"/>
    <w:rsid w:val="00102348"/>
    <w:rsid w:val="001029BF"/>
    <w:rsid w:val="0011059E"/>
    <w:rsid w:val="0011590C"/>
    <w:rsid w:val="00117E87"/>
    <w:rsid w:val="0012345A"/>
    <w:rsid w:val="00124942"/>
    <w:rsid w:val="00133561"/>
    <w:rsid w:val="00137CE6"/>
    <w:rsid w:val="00141C09"/>
    <w:rsid w:val="0014241C"/>
    <w:rsid w:val="00155F00"/>
    <w:rsid w:val="0015621F"/>
    <w:rsid w:val="0016052A"/>
    <w:rsid w:val="0016451D"/>
    <w:rsid w:val="001A0DD2"/>
    <w:rsid w:val="001A11E5"/>
    <w:rsid w:val="001A38C3"/>
    <w:rsid w:val="001A56F5"/>
    <w:rsid w:val="001A7DEC"/>
    <w:rsid w:val="001B1026"/>
    <w:rsid w:val="001B2A8D"/>
    <w:rsid w:val="001B49C5"/>
    <w:rsid w:val="001B4CC8"/>
    <w:rsid w:val="001B6A8B"/>
    <w:rsid w:val="001C57B6"/>
    <w:rsid w:val="001D2E9D"/>
    <w:rsid w:val="001D6377"/>
    <w:rsid w:val="001E5CF1"/>
    <w:rsid w:val="001E7519"/>
    <w:rsid w:val="001F18D0"/>
    <w:rsid w:val="001F2774"/>
    <w:rsid w:val="001F5965"/>
    <w:rsid w:val="00201107"/>
    <w:rsid w:val="00202C71"/>
    <w:rsid w:val="00204D12"/>
    <w:rsid w:val="00214DC5"/>
    <w:rsid w:val="00217AF8"/>
    <w:rsid w:val="00223868"/>
    <w:rsid w:val="002317E7"/>
    <w:rsid w:val="0023251A"/>
    <w:rsid w:val="00232D39"/>
    <w:rsid w:val="00233143"/>
    <w:rsid w:val="00233642"/>
    <w:rsid w:val="00236AA9"/>
    <w:rsid w:val="0024139A"/>
    <w:rsid w:val="00244780"/>
    <w:rsid w:val="00244BB9"/>
    <w:rsid w:val="0025355C"/>
    <w:rsid w:val="002541B4"/>
    <w:rsid w:val="00256F29"/>
    <w:rsid w:val="00263E80"/>
    <w:rsid w:val="00266F2F"/>
    <w:rsid w:val="00270319"/>
    <w:rsid w:val="002719B7"/>
    <w:rsid w:val="00273F0C"/>
    <w:rsid w:val="002759EF"/>
    <w:rsid w:val="002779A7"/>
    <w:rsid w:val="00287A56"/>
    <w:rsid w:val="00287AD0"/>
    <w:rsid w:val="002902A0"/>
    <w:rsid w:val="00292808"/>
    <w:rsid w:val="002935F6"/>
    <w:rsid w:val="002958FA"/>
    <w:rsid w:val="002A2887"/>
    <w:rsid w:val="002A3B0C"/>
    <w:rsid w:val="002B3DF0"/>
    <w:rsid w:val="002C0B64"/>
    <w:rsid w:val="002E569F"/>
    <w:rsid w:val="002E71F5"/>
    <w:rsid w:val="003020B7"/>
    <w:rsid w:val="003026E3"/>
    <w:rsid w:val="00303480"/>
    <w:rsid w:val="00304140"/>
    <w:rsid w:val="00305C13"/>
    <w:rsid w:val="003076FA"/>
    <w:rsid w:val="0031011A"/>
    <w:rsid w:val="0031283C"/>
    <w:rsid w:val="00313FBE"/>
    <w:rsid w:val="00322B52"/>
    <w:rsid w:val="00332556"/>
    <w:rsid w:val="00332E27"/>
    <w:rsid w:val="003332D8"/>
    <w:rsid w:val="00334DBF"/>
    <w:rsid w:val="003375BB"/>
    <w:rsid w:val="003376E1"/>
    <w:rsid w:val="00344B27"/>
    <w:rsid w:val="00350763"/>
    <w:rsid w:val="00353E4B"/>
    <w:rsid w:val="003562E9"/>
    <w:rsid w:val="00357A3E"/>
    <w:rsid w:val="003631C4"/>
    <w:rsid w:val="00366D78"/>
    <w:rsid w:val="003738DA"/>
    <w:rsid w:val="00376ED4"/>
    <w:rsid w:val="00377017"/>
    <w:rsid w:val="003825F3"/>
    <w:rsid w:val="003832F9"/>
    <w:rsid w:val="0038449B"/>
    <w:rsid w:val="00386251"/>
    <w:rsid w:val="00392CAF"/>
    <w:rsid w:val="003949F2"/>
    <w:rsid w:val="003A0AC1"/>
    <w:rsid w:val="003A3ADA"/>
    <w:rsid w:val="003B103A"/>
    <w:rsid w:val="003B47BD"/>
    <w:rsid w:val="003C0305"/>
    <w:rsid w:val="003C62EA"/>
    <w:rsid w:val="003C661F"/>
    <w:rsid w:val="003D1238"/>
    <w:rsid w:val="003E4276"/>
    <w:rsid w:val="00405026"/>
    <w:rsid w:val="00410105"/>
    <w:rsid w:val="004125A7"/>
    <w:rsid w:val="004207B3"/>
    <w:rsid w:val="004216DD"/>
    <w:rsid w:val="004236C6"/>
    <w:rsid w:val="00424A62"/>
    <w:rsid w:val="004254DE"/>
    <w:rsid w:val="00430FAF"/>
    <w:rsid w:val="00436A06"/>
    <w:rsid w:val="00437200"/>
    <w:rsid w:val="004430A1"/>
    <w:rsid w:val="00453F87"/>
    <w:rsid w:val="00454536"/>
    <w:rsid w:val="00456DDE"/>
    <w:rsid w:val="00462BE7"/>
    <w:rsid w:val="00466189"/>
    <w:rsid w:val="00467016"/>
    <w:rsid w:val="00477A50"/>
    <w:rsid w:val="0048202A"/>
    <w:rsid w:val="0048530F"/>
    <w:rsid w:val="00487FA4"/>
    <w:rsid w:val="004975AA"/>
    <w:rsid w:val="004A163A"/>
    <w:rsid w:val="004A43AA"/>
    <w:rsid w:val="004A52F1"/>
    <w:rsid w:val="004A5F54"/>
    <w:rsid w:val="004B360B"/>
    <w:rsid w:val="004B4706"/>
    <w:rsid w:val="004B61A2"/>
    <w:rsid w:val="004B6CDE"/>
    <w:rsid w:val="004E174C"/>
    <w:rsid w:val="004E23ED"/>
    <w:rsid w:val="004E28A8"/>
    <w:rsid w:val="004E5F5C"/>
    <w:rsid w:val="004E75BD"/>
    <w:rsid w:val="004F3007"/>
    <w:rsid w:val="005063E5"/>
    <w:rsid w:val="005064CC"/>
    <w:rsid w:val="005079E9"/>
    <w:rsid w:val="00514E0C"/>
    <w:rsid w:val="005158D0"/>
    <w:rsid w:val="005168A1"/>
    <w:rsid w:val="00517347"/>
    <w:rsid w:val="00517A71"/>
    <w:rsid w:val="005208EE"/>
    <w:rsid w:val="00525FA8"/>
    <w:rsid w:val="00532E63"/>
    <w:rsid w:val="00537CAE"/>
    <w:rsid w:val="005412D3"/>
    <w:rsid w:val="0055133E"/>
    <w:rsid w:val="00562370"/>
    <w:rsid w:val="00562D8C"/>
    <w:rsid w:val="0056338B"/>
    <w:rsid w:val="0056759F"/>
    <w:rsid w:val="0057139A"/>
    <w:rsid w:val="005731E6"/>
    <w:rsid w:val="005771D4"/>
    <w:rsid w:val="00596FAC"/>
    <w:rsid w:val="00597735"/>
    <w:rsid w:val="005A497F"/>
    <w:rsid w:val="005A5C5D"/>
    <w:rsid w:val="005B0399"/>
    <w:rsid w:val="005B1694"/>
    <w:rsid w:val="005C08F2"/>
    <w:rsid w:val="005C0E1F"/>
    <w:rsid w:val="005C77AB"/>
    <w:rsid w:val="005C7AAF"/>
    <w:rsid w:val="005D2B2A"/>
    <w:rsid w:val="005D3036"/>
    <w:rsid w:val="005E1578"/>
    <w:rsid w:val="005E2596"/>
    <w:rsid w:val="005F2775"/>
    <w:rsid w:val="005F3124"/>
    <w:rsid w:val="005F3EF5"/>
    <w:rsid w:val="0060012B"/>
    <w:rsid w:val="00611D0C"/>
    <w:rsid w:val="00616819"/>
    <w:rsid w:val="006178B7"/>
    <w:rsid w:val="006179BC"/>
    <w:rsid w:val="00617E81"/>
    <w:rsid w:val="00621C29"/>
    <w:rsid w:val="006254C9"/>
    <w:rsid w:val="00627599"/>
    <w:rsid w:val="00627CFA"/>
    <w:rsid w:val="00627DAC"/>
    <w:rsid w:val="00631ED8"/>
    <w:rsid w:val="0063710B"/>
    <w:rsid w:val="00661EA8"/>
    <w:rsid w:val="0067182B"/>
    <w:rsid w:val="006720A8"/>
    <w:rsid w:val="0067217A"/>
    <w:rsid w:val="00672AD0"/>
    <w:rsid w:val="00684057"/>
    <w:rsid w:val="006A4B5A"/>
    <w:rsid w:val="006A5908"/>
    <w:rsid w:val="006A7A30"/>
    <w:rsid w:val="006B2031"/>
    <w:rsid w:val="006B2B41"/>
    <w:rsid w:val="006B2FB5"/>
    <w:rsid w:val="006B5787"/>
    <w:rsid w:val="006B5789"/>
    <w:rsid w:val="006C264F"/>
    <w:rsid w:val="006C387D"/>
    <w:rsid w:val="006C3D80"/>
    <w:rsid w:val="006C597C"/>
    <w:rsid w:val="006D0EB4"/>
    <w:rsid w:val="006D1FED"/>
    <w:rsid w:val="006F1D8F"/>
    <w:rsid w:val="006F3627"/>
    <w:rsid w:val="006F484C"/>
    <w:rsid w:val="006F6131"/>
    <w:rsid w:val="006F69BF"/>
    <w:rsid w:val="006F7F71"/>
    <w:rsid w:val="0070178B"/>
    <w:rsid w:val="0071085C"/>
    <w:rsid w:val="00710A04"/>
    <w:rsid w:val="00711B32"/>
    <w:rsid w:val="00711FDE"/>
    <w:rsid w:val="00712250"/>
    <w:rsid w:val="0071302E"/>
    <w:rsid w:val="007143F9"/>
    <w:rsid w:val="00714624"/>
    <w:rsid w:val="007264DF"/>
    <w:rsid w:val="0073567F"/>
    <w:rsid w:val="0073589D"/>
    <w:rsid w:val="0074023D"/>
    <w:rsid w:val="00744C77"/>
    <w:rsid w:val="00754908"/>
    <w:rsid w:val="007560EF"/>
    <w:rsid w:val="00756691"/>
    <w:rsid w:val="00762D00"/>
    <w:rsid w:val="00772FB0"/>
    <w:rsid w:val="00773AFB"/>
    <w:rsid w:val="00777E08"/>
    <w:rsid w:val="007920AC"/>
    <w:rsid w:val="00797365"/>
    <w:rsid w:val="007A1445"/>
    <w:rsid w:val="007A7FC0"/>
    <w:rsid w:val="007B3146"/>
    <w:rsid w:val="007B5E0D"/>
    <w:rsid w:val="007B743B"/>
    <w:rsid w:val="007C3934"/>
    <w:rsid w:val="007D6CCE"/>
    <w:rsid w:val="007E2AC3"/>
    <w:rsid w:val="007E5E16"/>
    <w:rsid w:val="007E750A"/>
    <w:rsid w:val="007F0449"/>
    <w:rsid w:val="007F2100"/>
    <w:rsid w:val="007F64D6"/>
    <w:rsid w:val="0080628C"/>
    <w:rsid w:val="00807152"/>
    <w:rsid w:val="00827023"/>
    <w:rsid w:val="008300B2"/>
    <w:rsid w:val="00837EF4"/>
    <w:rsid w:val="00847363"/>
    <w:rsid w:val="00850363"/>
    <w:rsid w:val="00850B5D"/>
    <w:rsid w:val="00851057"/>
    <w:rsid w:val="00860696"/>
    <w:rsid w:val="0087376E"/>
    <w:rsid w:val="00873C2F"/>
    <w:rsid w:val="00875CCD"/>
    <w:rsid w:val="00877CDA"/>
    <w:rsid w:val="00877FBE"/>
    <w:rsid w:val="0088038A"/>
    <w:rsid w:val="00882717"/>
    <w:rsid w:val="0089544B"/>
    <w:rsid w:val="008A3AA3"/>
    <w:rsid w:val="008A4E3D"/>
    <w:rsid w:val="008B0BD2"/>
    <w:rsid w:val="008B677F"/>
    <w:rsid w:val="008B72D1"/>
    <w:rsid w:val="008C4807"/>
    <w:rsid w:val="008D47D1"/>
    <w:rsid w:val="008E0F74"/>
    <w:rsid w:val="008E1408"/>
    <w:rsid w:val="008E4ABB"/>
    <w:rsid w:val="008E6302"/>
    <w:rsid w:val="008F2770"/>
    <w:rsid w:val="008F2BBE"/>
    <w:rsid w:val="009016EA"/>
    <w:rsid w:val="00901C4A"/>
    <w:rsid w:val="00901FB2"/>
    <w:rsid w:val="00906FCE"/>
    <w:rsid w:val="00907952"/>
    <w:rsid w:val="00912254"/>
    <w:rsid w:val="009123DD"/>
    <w:rsid w:val="00923392"/>
    <w:rsid w:val="00925901"/>
    <w:rsid w:val="009309DD"/>
    <w:rsid w:val="0093189D"/>
    <w:rsid w:val="00932ABC"/>
    <w:rsid w:val="00934E2E"/>
    <w:rsid w:val="00937FF4"/>
    <w:rsid w:val="00937FFE"/>
    <w:rsid w:val="00954E4D"/>
    <w:rsid w:val="00957BAD"/>
    <w:rsid w:val="0096098D"/>
    <w:rsid w:val="00962B2F"/>
    <w:rsid w:val="00973845"/>
    <w:rsid w:val="00973B68"/>
    <w:rsid w:val="0097403B"/>
    <w:rsid w:val="009748C4"/>
    <w:rsid w:val="00974E4C"/>
    <w:rsid w:val="00976F6E"/>
    <w:rsid w:val="00980D4E"/>
    <w:rsid w:val="0098176B"/>
    <w:rsid w:val="00985E93"/>
    <w:rsid w:val="00987653"/>
    <w:rsid w:val="00987E16"/>
    <w:rsid w:val="00996B5C"/>
    <w:rsid w:val="009A030D"/>
    <w:rsid w:val="009B204F"/>
    <w:rsid w:val="009B3F5C"/>
    <w:rsid w:val="009C1BD3"/>
    <w:rsid w:val="009D26AB"/>
    <w:rsid w:val="009E078D"/>
    <w:rsid w:val="009E17D6"/>
    <w:rsid w:val="009E190B"/>
    <w:rsid w:val="009E67F6"/>
    <w:rsid w:val="009F0EE9"/>
    <w:rsid w:val="00A066AA"/>
    <w:rsid w:val="00A0748E"/>
    <w:rsid w:val="00A15E2D"/>
    <w:rsid w:val="00A15FC0"/>
    <w:rsid w:val="00A175D1"/>
    <w:rsid w:val="00A20CBC"/>
    <w:rsid w:val="00A25D52"/>
    <w:rsid w:val="00A26A3B"/>
    <w:rsid w:val="00A30923"/>
    <w:rsid w:val="00A37E6A"/>
    <w:rsid w:val="00A40E2E"/>
    <w:rsid w:val="00A44047"/>
    <w:rsid w:val="00A5120F"/>
    <w:rsid w:val="00A51BC4"/>
    <w:rsid w:val="00A54229"/>
    <w:rsid w:val="00A556D7"/>
    <w:rsid w:val="00A60AA4"/>
    <w:rsid w:val="00A6715F"/>
    <w:rsid w:val="00A6765C"/>
    <w:rsid w:val="00A720D0"/>
    <w:rsid w:val="00A7560A"/>
    <w:rsid w:val="00A77A99"/>
    <w:rsid w:val="00A812C9"/>
    <w:rsid w:val="00A94E9E"/>
    <w:rsid w:val="00AA2300"/>
    <w:rsid w:val="00AA3B21"/>
    <w:rsid w:val="00AB3062"/>
    <w:rsid w:val="00AB5C63"/>
    <w:rsid w:val="00AB7366"/>
    <w:rsid w:val="00AC6666"/>
    <w:rsid w:val="00AC7F8C"/>
    <w:rsid w:val="00AD04BC"/>
    <w:rsid w:val="00AD38C3"/>
    <w:rsid w:val="00AD3D59"/>
    <w:rsid w:val="00AD4114"/>
    <w:rsid w:val="00AD46EA"/>
    <w:rsid w:val="00AE3931"/>
    <w:rsid w:val="00AE6CBA"/>
    <w:rsid w:val="00AF37B4"/>
    <w:rsid w:val="00AF4B0F"/>
    <w:rsid w:val="00B030DD"/>
    <w:rsid w:val="00B03CD3"/>
    <w:rsid w:val="00B12236"/>
    <w:rsid w:val="00B14127"/>
    <w:rsid w:val="00B147F8"/>
    <w:rsid w:val="00B2071A"/>
    <w:rsid w:val="00B2575E"/>
    <w:rsid w:val="00B27E74"/>
    <w:rsid w:val="00B329A2"/>
    <w:rsid w:val="00B33445"/>
    <w:rsid w:val="00B344B9"/>
    <w:rsid w:val="00B4055B"/>
    <w:rsid w:val="00B4589C"/>
    <w:rsid w:val="00B51342"/>
    <w:rsid w:val="00B520B0"/>
    <w:rsid w:val="00B571F4"/>
    <w:rsid w:val="00B61384"/>
    <w:rsid w:val="00B62FBB"/>
    <w:rsid w:val="00B65773"/>
    <w:rsid w:val="00B675B9"/>
    <w:rsid w:val="00B676E2"/>
    <w:rsid w:val="00B716D0"/>
    <w:rsid w:val="00B73B2D"/>
    <w:rsid w:val="00B73CCA"/>
    <w:rsid w:val="00B74383"/>
    <w:rsid w:val="00B777B3"/>
    <w:rsid w:val="00B800D1"/>
    <w:rsid w:val="00B80D64"/>
    <w:rsid w:val="00B826D2"/>
    <w:rsid w:val="00B9067A"/>
    <w:rsid w:val="00B90844"/>
    <w:rsid w:val="00BA27B0"/>
    <w:rsid w:val="00BA2AA0"/>
    <w:rsid w:val="00BA3206"/>
    <w:rsid w:val="00BA3CE7"/>
    <w:rsid w:val="00BA78AB"/>
    <w:rsid w:val="00BB06F8"/>
    <w:rsid w:val="00BB088E"/>
    <w:rsid w:val="00BB24E2"/>
    <w:rsid w:val="00BB358C"/>
    <w:rsid w:val="00BC0E9F"/>
    <w:rsid w:val="00BC50F4"/>
    <w:rsid w:val="00BC6716"/>
    <w:rsid w:val="00BD4556"/>
    <w:rsid w:val="00BD5C01"/>
    <w:rsid w:val="00BF4568"/>
    <w:rsid w:val="00BF5557"/>
    <w:rsid w:val="00C00197"/>
    <w:rsid w:val="00C11755"/>
    <w:rsid w:val="00C24093"/>
    <w:rsid w:val="00C3065D"/>
    <w:rsid w:val="00C34A74"/>
    <w:rsid w:val="00C41878"/>
    <w:rsid w:val="00C41D60"/>
    <w:rsid w:val="00C422C6"/>
    <w:rsid w:val="00C428FA"/>
    <w:rsid w:val="00C45EB9"/>
    <w:rsid w:val="00C525E0"/>
    <w:rsid w:val="00C52899"/>
    <w:rsid w:val="00C569A6"/>
    <w:rsid w:val="00C85388"/>
    <w:rsid w:val="00C90856"/>
    <w:rsid w:val="00C92C89"/>
    <w:rsid w:val="00CA0B80"/>
    <w:rsid w:val="00CA417E"/>
    <w:rsid w:val="00CB490A"/>
    <w:rsid w:val="00CC38C3"/>
    <w:rsid w:val="00CD38AB"/>
    <w:rsid w:val="00CD50FF"/>
    <w:rsid w:val="00CE28AF"/>
    <w:rsid w:val="00CE2BC3"/>
    <w:rsid w:val="00CE3382"/>
    <w:rsid w:val="00CE3961"/>
    <w:rsid w:val="00CE6695"/>
    <w:rsid w:val="00CF20A7"/>
    <w:rsid w:val="00D04EF9"/>
    <w:rsid w:val="00D0642B"/>
    <w:rsid w:val="00D11E82"/>
    <w:rsid w:val="00D20832"/>
    <w:rsid w:val="00D23426"/>
    <w:rsid w:val="00D31748"/>
    <w:rsid w:val="00D32A9F"/>
    <w:rsid w:val="00D345A7"/>
    <w:rsid w:val="00D4011F"/>
    <w:rsid w:val="00D43CA6"/>
    <w:rsid w:val="00D453CE"/>
    <w:rsid w:val="00D46B53"/>
    <w:rsid w:val="00D512F8"/>
    <w:rsid w:val="00D60285"/>
    <w:rsid w:val="00D6370C"/>
    <w:rsid w:val="00D65149"/>
    <w:rsid w:val="00D6738F"/>
    <w:rsid w:val="00D738E5"/>
    <w:rsid w:val="00D77E85"/>
    <w:rsid w:val="00D83B06"/>
    <w:rsid w:val="00D860F2"/>
    <w:rsid w:val="00D904EA"/>
    <w:rsid w:val="00D941BE"/>
    <w:rsid w:val="00D96C2F"/>
    <w:rsid w:val="00DB0686"/>
    <w:rsid w:val="00DB6E27"/>
    <w:rsid w:val="00DB7FA9"/>
    <w:rsid w:val="00DC3854"/>
    <w:rsid w:val="00DC5ED2"/>
    <w:rsid w:val="00DC5F11"/>
    <w:rsid w:val="00DC7C7B"/>
    <w:rsid w:val="00DD22F9"/>
    <w:rsid w:val="00DD3971"/>
    <w:rsid w:val="00DD5122"/>
    <w:rsid w:val="00DD5C49"/>
    <w:rsid w:val="00DD7519"/>
    <w:rsid w:val="00DE184A"/>
    <w:rsid w:val="00DF1EDE"/>
    <w:rsid w:val="00DF4624"/>
    <w:rsid w:val="00E045BA"/>
    <w:rsid w:val="00E16157"/>
    <w:rsid w:val="00E229E9"/>
    <w:rsid w:val="00E254E8"/>
    <w:rsid w:val="00E30E06"/>
    <w:rsid w:val="00E44DAC"/>
    <w:rsid w:val="00E45469"/>
    <w:rsid w:val="00E45CD4"/>
    <w:rsid w:val="00E47F3B"/>
    <w:rsid w:val="00E613CF"/>
    <w:rsid w:val="00E62502"/>
    <w:rsid w:val="00E76179"/>
    <w:rsid w:val="00E83000"/>
    <w:rsid w:val="00E85A91"/>
    <w:rsid w:val="00E85BB6"/>
    <w:rsid w:val="00E86D16"/>
    <w:rsid w:val="00E87353"/>
    <w:rsid w:val="00E8764D"/>
    <w:rsid w:val="00E94C61"/>
    <w:rsid w:val="00EA0B1C"/>
    <w:rsid w:val="00EA75A8"/>
    <w:rsid w:val="00EA7C80"/>
    <w:rsid w:val="00EB0B29"/>
    <w:rsid w:val="00EB4C7D"/>
    <w:rsid w:val="00EB7396"/>
    <w:rsid w:val="00EC04E5"/>
    <w:rsid w:val="00EC17BF"/>
    <w:rsid w:val="00EC1993"/>
    <w:rsid w:val="00EC396E"/>
    <w:rsid w:val="00EC5DF9"/>
    <w:rsid w:val="00ED17F5"/>
    <w:rsid w:val="00ED2A18"/>
    <w:rsid w:val="00EE01FF"/>
    <w:rsid w:val="00EE1A1E"/>
    <w:rsid w:val="00EE435E"/>
    <w:rsid w:val="00EF1F53"/>
    <w:rsid w:val="00EF6205"/>
    <w:rsid w:val="00F056E7"/>
    <w:rsid w:val="00F05AC7"/>
    <w:rsid w:val="00F109C5"/>
    <w:rsid w:val="00F14EC6"/>
    <w:rsid w:val="00F17517"/>
    <w:rsid w:val="00F235F0"/>
    <w:rsid w:val="00F243DA"/>
    <w:rsid w:val="00F32CA2"/>
    <w:rsid w:val="00F3596D"/>
    <w:rsid w:val="00F40907"/>
    <w:rsid w:val="00F44D52"/>
    <w:rsid w:val="00F45540"/>
    <w:rsid w:val="00F47DAD"/>
    <w:rsid w:val="00F637A9"/>
    <w:rsid w:val="00F63EE6"/>
    <w:rsid w:val="00F65E23"/>
    <w:rsid w:val="00F771DC"/>
    <w:rsid w:val="00F8058E"/>
    <w:rsid w:val="00F85EC7"/>
    <w:rsid w:val="00F862FD"/>
    <w:rsid w:val="00F8654C"/>
    <w:rsid w:val="00F8714C"/>
    <w:rsid w:val="00F90C23"/>
    <w:rsid w:val="00F90D0B"/>
    <w:rsid w:val="00F9189C"/>
    <w:rsid w:val="00F92EF4"/>
    <w:rsid w:val="00F95E07"/>
    <w:rsid w:val="00FA3E50"/>
    <w:rsid w:val="00FA44CF"/>
    <w:rsid w:val="00FA504A"/>
    <w:rsid w:val="00FB1D83"/>
    <w:rsid w:val="00FB4822"/>
    <w:rsid w:val="00FB4B26"/>
    <w:rsid w:val="00FB7A0D"/>
    <w:rsid w:val="00FC274B"/>
    <w:rsid w:val="00FC3B7C"/>
    <w:rsid w:val="00FC4AAB"/>
    <w:rsid w:val="00FD0CD6"/>
    <w:rsid w:val="00FD3305"/>
    <w:rsid w:val="00FE4A28"/>
    <w:rsid w:val="00FF0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6F28CA"/>
  <w15:docId w15:val="{07DFFD03-19E1-4645-8AE4-B3605FDA2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44780"/>
    <w:pPr>
      <w:spacing w:line="360" w:lineRule="auto"/>
      <w:jc w:val="both"/>
    </w:pPr>
    <w:rPr>
      <w:sz w:val="24"/>
    </w:rPr>
  </w:style>
  <w:style w:type="paragraph" w:styleId="Nadpis1">
    <w:name w:val="heading 1"/>
    <w:basedOn w:val="Normln"/>
    <w:link w:val="Nadpis1Char"/>
    <w:uiPriority w:val="9"/>
    <w:qFormat/>
    <w:rsid w:val="00244780"/>
    <w:pPr>
      <w:numPr>
        <w:numId w:val="593"/>
      </w:numPr>
      <w:spacing w:before="100" w:beforeAutospacing="1" w:after="100" w:afterAutospacing="1"/>
      <w:jc w:val="center"/>
      <w:outlineLvl w:val="0"/>
    </w:pPr>
    <w:rPr>
      <w:rFonts w:eastAsia="Times New Roman"/>
      <w:b/>
      <w:bCs/>
      <w:color w:val="2F5496" w:themeColor="accent1" w:themeShade="BF"/>
      <w:kern w:val="36"/>
      <w:sz w:val="32"/>
      <w:szCs w:val="48"/>
    </w:rPr>
  </w:style>
  <w:style w:type="paragraph" w:styleId="Nadpis2">
    <w:name w:val="heading 2"/>
    <w:basedOn w:val="Normln"/>
    <w:next w:val="Normln"/>
    <w:link w:val="Nadpis2Char"/>
    <w:uiPriority w:val="9"/>
    <w:unhideWhenUsed/>
    <w:qFormat/>
    <w:rsid w:val="00FC3B7C"/>
    <w:pPr>
      <w:keepNext/>
      <w:keepLines/>
      <w:numPr>
        <w:ilvl w:val="1"/>
        <w:numId w:val="593"/>
      </w:numPr>
      <w:spacing w:before="40"/>
      <w:jc w:val="left"/>
      <w:outlineLvl w:val="1"/>
    </w:pPr>
    <w:rPr>
      <w:rFonts w:eastAsiaTheme="majorEastAsia" w:cstheme="majorBidi"/>
      <w:b/>
      <w:sz w:val="28"/>
      <w:szCs w:val="26"/>
    </w:rPr>
  </w:style>
  <w:style w:type="paragraph" w:styleId="Nadpis3">
    <w:name w:val="heading 3"/>
    <w:basedOn w:val="Normln"/>
    <w:next w:val="Normln"/>
    <w:link w:val="Nadpis3Char"/>
    <w:uiPriority w:val="9"/>
    <w:unhideWhenUsed/>
    <w:qFormat/>
    <w:rsid w:val="00FC3B7C"/>
    <w:pPr>
      <w:keepNext/>
      <w:keepLines/>
      <w:numPr>
        <w:ilvl w:val="2"/>
        <w:numId w:val="593"/>
      </w:numPr>
      <w:spacing w:before="40"/>
      <w:outlineLvl w:val="2"/>
    </w:pPr>
    <w:rPr>
      <w:rFonts w:eastAsiaTheme="majorEastAsia" w:cstheme="majorBidi"/>
      <w:b/>
      <w:sz w:val="28"/>
      <w:szCs w:val="24"/>
    </w:rPr>
  </w:style>
  <w:style w:type="paragraph" w:styleId="Nadpis4">
    <w:name w:val="heading 4"/>
    <w:basedOn w:val="Normln"/>
    <w:next w:val="Normln"/>
    <w:link w:val="Nadpis4Char"/>
    <w:uiPriority w:val="9"/>
    <w:unhideWhenUsed/>
    <w:qFormat/>
    <w:rsid w:val="00C85388"/>
    <w:pPr>
      <w:keepNext/>
      <w:keepLines/>
      <w:numPr>
        <w:ilvl w:val="3"/>
        <w:numId w:val="593"/>
      </w:numPr>
      <w:spacing w:before="40"/>
      <w:jc w:val="left"/>
      <w:outlineLvl w:val="3"/>
    </w:pPr>
    <w:rPr>
      <w:rFonts w:eastAsiaTheme="majorEastAsia" w:cstheme="majorBidi"/>
      <w:b/>
      <w:i/>
      <w:iCs/>
    </w:rPr>
  </w:style>
  <w:style w:type="paragraph" w:styleId="Nadpis5">
    <w:name w:val="heading 5"/>
    <w:basedOn w:val="Normln"/>
    <w:next w:val="Normln"/>
    <w:link w:val="Nadpis5Char"/>
    <w:uiPriority w:val="9"/>
    <w:unhideWhenUsed/>
    <w:qFormat/>
    <w:rsid w:val="00F32CA2"/>
    <w:pPr>
      <w:keepNext/>
      <w:keepLines/>
      <w:numPr>
        <w:ilvl w:val="4"/>
        <w:numId w:val="593"/>
      </w:numPr>
      <w:spacing w:before="40"/>
      <w:outlineLvl w:val="4"/>
    </w:pPr>
    <w:rPr>
      <w:rFonts w:eastAsiaTheme="majorEastAsia" w:cstheme="majorBidi"/>
      <w:b/>
      <w:i/>
    </w:rPr>
  </w:style>
  <w:style w:type="paragraph" w:styleId="Nadpis6">
    <w:name w:val="heading 6"/>
    <w:basedOn w:val="Normln"/>
    <w:next w:val="Normln"/>
    <w:link w:val="Nadpis6Char"/>
    <w:uiPriority w:val="9"/>
    <w:unhideWhenUsed/>
    <w:qFormat/>
    <w:rsid w:val="00FC3B7C"/>
    <w:pPr>
      <w:keepNext/>
      <w:keepLines/>
      <w:numPr>
        <w:ilvl w:val="5"/>
        <w:numId w:val="593"/>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FC3B7C"/>
    <w:pPr>
      <w:keepNext/>
      <w:keepLines/>
      <w:numPr>
        <w:ilvl w:val="6"/>
        <w:numId w:val="593"/>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FC3B7C"/>
    <w:pPr>
      <w:keepNext/>
      <w:keepLines/>
      <w:numPr>
        <w:ilvl w:val="7"/>
        <w:numId w:val="593"/>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FC3B7C"/>
    <w:pPr>
      <w:keepNext/>
      <w:keepLines/>
      <w:numPr>
        <w:ilvl w:val="8"/>
        <w:numId w:val="59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44780"/>
    <w:rPr>
      <w:rFonts w:eastAsia="Times New Roman"/>
      <w:b/>
      <w:bCs/>
      <w:color w:val="2F5496" w:themeColor="accent1" w:themeShade="BF"/>
      <w:kern w:val="36"/>
      <w:sz w:val="32"/>
      <w:szCs w:val="48"/>
    </w:rPr>
  </w:style>
  <w:style w:type="character" w:styleId="Hypertextovodkaz">
    <w:name w:val="Hyperlink"/>
    <w:basedOn w:val="Standardnpsmoodstavce"/>
    <w:uiPriority w:val="99"/>
    <w:unhideWhenUsed/>
    <w:rsid w:val="00AD3D59"/>
    <w:rPr>
      <w:color w:val="0000FF"/>
      <w:u w:val="single"/>
    </w:rPr>
  </w:style>
  <w:style w:type="paragraph" w:styleId="Odstavecseseznamem">
    <w:name w:val="List Paragraph"/>
    <w:basedOn w:val="Normln"/>
    <w:uiPriority w:val="34"/>
    <w:qFormat/>
    <w:rsid w:val="00386251"/>
    <w:pPr>
      <w:ind w:left="720"/>
      <w:contextualSpacing/>
    </w:pPr>
  </w:style>
  <w:style w:type="character" w:customStyle="1" w:styleId="Nadpis3Char">
    <w:name w:val="Nadpis 3 Char"/>
    <w:basedOn w:val="Standardnpsmoodstavce"/>
    <w:link w:val="Nadpis3"/>
    <w:uiPriority w:val="9"/>
    <w:rsid w:val="00FC3B7C"/>
    <w:rPr>
      <w:rFonts w:eastAsiaTheme="majorEastAsia" w:cstheme="majorBidi"/>
      <w:b/>
      <w:sz w:val="28"/>
      <w:szCs w:val="24"/>
    </w:rPr>
  </w:style>
  <w:style w:type="character" w:customStyle="1" w:styleId="Nadpis2Char">
    <w:name w:val="Nadpis 2 Char"/>
    <w:basedOn w:val="Standardnpsmoodstavce"/>
    <w:link w:val="Nadpis2"/>
    <w:uiPriority w:val="9"/>
    <w:rsid w:val="00FC3B7C"/>
    <w:rPr>
      <w:rFonts w:eastAsiaTheme="majorEastAsia" w:cstheme="majorBidi"/>
      <w:b/>
      <w:sz w:val="28"/>
      <w:szCs w:val="26"/>
    </w:rPr>
  </w:style>
  <w:style w:type="character" w:customStyle="1" w:styleId="Nevyeenzmnka1">
    <w:name w:val="Nevyřešená zmínka1"/>
    <w:basedOn w:val="Standardnpsmoodstavce"/>
    <w:uiPriority w:val="99"/>
    <w:semiHidden/>
    <w:unhideWhenUsed/>
    <w:rsid w:val="0055133E"/>
    <w:rPr>
      <w:color w:val="808080"/>
      <w:shd w:val="clear" w:color="auto" w:fill="E6E6E6"/>
    </w:rPr>
  </w:style>
  <w:style w:type="paragraph" w:styleId="Textpoznpodarou">
    <w:name w:val="footnote text"/>
    <w:basedOn w:val="Normln"/>
    <w:link w:val="TextpoznpodarouChar"/>
    <w:uiPriority w:val="99"/>
    <w:semiHidden/>
    <w:unhideWhenUsed/>
    <w:rsid w:val="00DC3854"/>
    <w:rPr>
      <w:sz w:val="20"/>
      <w:szCs w:val="20"/>
    </w:rPr>
  </w:style>
  <w:style w:type="character" w:customStyle="1" w:styleId="TextpoznpodarouChar">
    <w:name w:val="Text pozn. pod čarou Char"/>
    <w:basedOn w:val="Standardnpsmoodstavce"/>
    <w:link w:val="Textpoznpodarou"/>
    <w:uiPriority w:val="99"/>
    <w:semiHidden/>
    <w:rsid w:val="00DC3854"/>
    <w:rPr>
      <w:sz w:val="20"/>
      <w:szCs w:val="20"/>
    </w:rPr>
  </w:style>
  <w:style w:type="character" w:styleId="Znakapoznpodarou">
    <w:name w:val="footnote reference"/>
    <w:basedOn w:val="Standardnpsmoodstavce"/>
    <w:uiPriority w:val="99"/>
    <w:semiHidden/>
    <w:unhideWhenUsed/>
    <w:rsid w:val="00DC3854"/>
    <w:rPr>
      <w:vertAlign w:val="superscript"/>
    </w:rPr>
  </w:style>
  <w:style w:type="paragraph" w:styleId="Zhlav">
    <w:name w:val="header"/>
    <w:basedOn w:val="Normln"/>
    <w:link w:val="ZhlavChar"/>
    <w:uiPriority w:val="99"/>
    <w:unhideWhenUsed/>
    <w:rsid w:val="001A56F5"/>
    <w:pPr>
      <w:tabs>
        <w:tab w:val="center" w:pos="4536"/>
        <w:tab w:val="right" w:pos="9072"/>
      </w:tabs>
    </w:pPr>
  </w:style>
  <w:style w:type="character" w:customStyle="1" w:styleId="ZhlavChar">
    <w:name w:val="Záhlaví Char"/>
    <w:basedOn w:val="Standardnpsmoodstavce"/>
    <w:link w:val="Zhlav"/>
    <w:uiPriority w:val="99"/>
    <w:rsid w:val="001A56F5"/>
    <w:rPr>
      <w:sz w:val="24"/>
    </w:rPr>
  </w:style>
  <w:style w:type="paragraph" w:styleId="Zpat">
    <w:name w:val="footer"/>
    <w:basedOn w:val="Normln"/>
    <w:link w:val="ZpatChar"/>
    <w:uiPriority w:val="99"/>
    <w:unhideWhenUsed/>
    <w:rsid w:val="001A56F5"/>
    <w:pPr>
      <w:tabs>
        <w:tab w:val="center" w:pos="4536"/>
        <w:tab w:val="right" w:pos="9072"/>
      </w:tabs>
    </w:pPr>
  </w:style>
  <w:style w:type="character" w:customStyle="1" w:styleId="ZpatChar">
    <w:name w:val="Zápatí Char"/>
    <w:basedOn w:val="Standardnpsmoodstavce"/>
    <w:link w:val="Zpat"/>
    <w:uiPriority w:val="99"/>
    <w:rsid w:val="001A56F5"/>
    <w:rPr>
      <w:sz w:val="24"/>
    </w:rPr>
  </w:style>
  <w:style w:type="paragraph" w:styleId="Textbubliny">
    <w:name w:val="Balloon Text"/>
    <w:basedOn w:val="Normln"/>
    <w:link w:val="TextbublinyChar"/>
    <w:uiPriority w:val="99"/>
    <w:semiHidden/>
    <w:unhideWhenUsed/>
    <w:rsid w:val="00A26A3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26A3B"/>
    <w:rPr>
      <w:rFonts w:ascii="Segoe UI" w:hAnsi="Segoe UI" w:cs="Segoe UI"/>
      <w:sz w:val="18"/>
      <w:szCs w:val="18"/>
    </w:rPr>
  </w:style>
  <w:style w:type="paragraph" w:customStyle="1" w:styleId="Default">
    <w:name w:val="Default"/>
    <w:rsid w:val="00532E63"/>
    <w:pPr>
      <w:autoSpaceDE w:val="0"/>
      <w:autoSpaceDN w:val="0"/>
      <w:adjustRightInd w:val="0"/>
    </w:pPr>
    <w:rPr>
      <w:rFonts w:eastAsiaTheme="minorHAnsi"/>
      <w:color w:val="000000"/>
      <w:sz w:val="24"/>
      <w:szCs w:val="24"/>
      <w:lang w:eastAsia="en-US"/>
    </w:rPr>
  </w:style>
  <w:style w:type="table" w:styleId="Mkatabulky">
    <w:name w:val="Table Grid"/>
    <w:basedOn w:val="Normlntabulka"/>
    <w:uiPriority w:val="39"/>
    <w:rsid w:val="00532E63"/>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E30E06"/>
    <w:rPr>
      <w:rFonts w:asciiTheme="minorHAnsi" w:eastAsiaTheme="minorHAnsi" w:hAnsiTheme="minorHAnsi" w:cstheme="minorBidi"/>
      <w:lang w:eastAsia="en-US"/>
    </w:rPr>
  </w:style>
  <w:style w:type="character" w:customStyle="1" w:styleId="apple-converted-space">
    <w:name w:val="apple-converted-space"/>
    <w:basedOn w:val="Standardnpsmoodstavce"/>
    <w:rsid w:val="00E30E06"/>
  </w:style>
  <w:style w:type="paragraph" w:styleId="Normlnweb">
    <w:name w:val="Normal (Web)"/>
    <w:basedOn w:val="Normln"/>
    <w:uiPriority w:val="99"/>
    <w:unhideWhenUsed/>
    <w:rsid w:val="00E30E06"/>
    <w:pPr>
      <w:spacing w:before="100" w:beforeAutospacing="1" w:after="100" w:afterAutospacing="1"/>
    </w:pPr>
    <w:rPr>
      <w:rFonts w:eastAsia="Times New Roman"/>
      <w:szCs w:val="24"/>
    </w:rPr>
  </w:style>
  <w:style w:type="paragraph" w:styleId="Zkladntextodsazen">
    <w:name w:val="Body Text Indent"/>
    <w:basedOn w:val="Normln"/>
    <w:link w:val="ZkladntextodsazenChar"/>
    <w:semiHidden/>
    <w:rsid w:val="00E30E06"/>
    <w:pPr>
      <w:spacing w:after="120"/>
      <w:ind w:firstLine="709"/>
    </w:pPr>
    <w:rPr>
      <w:rFonts w:eastAsia="Times New Roman"/>
      <w:szCs w:val="24"/>
    </w:rPr>
  </w:style>
  <w:style w:type="character" w:customStyle="1" w:styleId="ZkladntextodsazenChar">
    <w:name w:val="Základní text odsazený Char"/>
    <w:basedOn w:val="Standardnpsmoodstavce"/>
    <w:link w:val="Zkladntextodsazen"/>
    <w:semiHidden/>
    <w:rsid w:val="00E30E06"/>
    <w:rPr>
      <w:rFonts w:eastAsia="Times New Roman"/>
      <w:sz w:val="24"/>
      <w:szCs w:val="24"/>
    </w:rPr>
  </w:style>
  <w:style w:type="paragraph" w:styleId="Nzev">
    <w:name w:val="Title"/>
    <w:basedOn w:val="Normln"/>
    <w:link w:val="NzevChar"/>
    <w:qFormat/>
    <w:rsid w:val="00E30E06"/>
    <w:pPr>
      <w:spacing w:after="120"/>
      <w:jc w:val="center"/>
    </w:pPr>
    <w:rPr>
      <w:rFonts w:eastAsia="Times New Roman"/>
      <w:b/>
      <w:bCs/>
      <w:szCs w:val="24"/>
    </w:rPr>
  </w:style>
  <w:style w:type="character" w:customStyle="1" w:styleId="NzevChar">
    <w:name w:val="Název Char"/>
    <w:basedOn w:val="Standardnpsmoodstavce"/>
    <w:link w:val="Nzev"/>
    <w:rsid w:val="00E30E06"/>
    <w:rPr>
      <w:rFonts w:eastAsia="Times New Roman"/>
      <w:b/>
      <w:bCs/>
      <w:sz w:val="24"/>
      <w:szCs w:val="24"/>
    </w:rPr>
  </w:style>
  <w:style w:type="paragraph" w:styleId="Zkladntext">
    <w:name w:val="Body Text"/>
    <w:basedOn w:val="Normln"/>
    <w:link w:val="ZkladntextChar"/>
    <w:uiPriority w:val="99"/>
    <w:unhideWhenUsed/>
    <w:rsid w:val="00E30E06"/>
    <w:pPr>
      <w:spacing w:after="120"/>
    </w:pPr>
    <w:rPr>
      <w:rFonts w:eastAsia="Times New Roman"/>
      <w:szCs w:val="24"/>
    </w:rPr>
  </w:style>
  <w:style w:type="character" w:customStyle="1" w:styleId="ZkladntextChar">
    <w:name w:val="Základní text Char"/>
    <w:basedOn w:val="Standardnpsmoodstavce"/>
    <w:link w:val="Zkladntext"/>
    <w:uiPriority w:val="99"/>
    <w:rsid w:val="00E30E06"/>
    <w:rPr>
      <w:rFonts w:eastAsia="Times New Roman"/>
      <w:sz w:val="24"/>
      <w:szCs w:val="24"/>
    </w:rPr>
  </w:style>
  <w:style w:type="paragraph" w:styleId="Textkomente">
    <w:name w:val="annotation text"/>
    <w:basedOn w:val="Normln"/>
    <w:link w:val="TextkomenteChar"/>
    <w:uiPriority w:val="99"/>
    <w:semiHidden/>
    <w:unhideWhenUsed/>
    <w:rsid w:val="000147CE"/>
    <w:rPr>
      <w:sz w:val="20"/>
      <w:szCs w:val="20"/>
    </w:rPr>
  </w:style>
  <w:style w:type="character" w:customStyle="1" w:styleId="TextkomenteChar">
    <w:name w:val="Text komentáře Char"/>
    <w:basedOn w:val="Standardnpsmoodstavce"/>
    <w:link w:val="Textkomente"/>
    <w:uiPriority w:val="99"/>
    <w:semiHidden/>
    <w:rsid w:val="000147CE"/>
    <w:rPr>
      <w:sz w:val="20"/>
      <w:szCs w:val="20"/>
    </w:rPr>
  </w:style>
  <w:style w:type="paragraph" w:styleId="Pedmtkomente">
    <w:name w:val="annotation subject"/>
    <w:basedOn w:val="Textkomente"/>
    <w:next w:val="Textkomente"/>
    <w:link w:val="PedmtkomenteChar"/>
    <w:uiPriority w:val="99"/>
    <w:semiHidden/>
    <w:unhideWhenUsed/>
    <w:rsid w:val="000147CE"/>
    <w:rPr>
      <w:b/>
      <w:bCs/>
    </w:rPr>
  </w:style>
  <w:style w:type="character" w:customStyle="1" w:styleId="PedmtkomenteChar">
    <w:name w:val="Předmět komentáře Char"/>
    <w:basedOn w:val="TextkomenteChar"/>
    <w:link w:val="Pedmtkomente"/>
    <w:uiPriority w:val="99"/>
    <w:semiHidden/>
    <w:rsid w:val="000147CE"/>
    <w:rPr>
      <w:b/>
      <w:bCs/>
      <w:sz w:val="20"/>
      <w:szCs w:val="20"/>
    </w:rPr>
  </w:style>
  <w:style w:type="character" w:styleId="Zdraznnintenzivn">
    <w:name w:val="Intense Emphasis"/>
    <w:basedOn w:val="Standardnpsmoodstavce"/>
    <w:uiPriority w:val="21"/>
    <w:qFormat/>
    <w:rsid w:val="000147CE"/>
    <w:rPr>
      <w:i/>
      <w:iCs/>
      <w:color w:val="4472C4" w:themeColor="accent1"/>
    </w:rPr>
  </w:style>
  <w:style w:type="numbering" w:customStyle="1" w:styleId="Bezseznamu1">
    <w:name w:val="Bez seznamu1"/>
    <w:next w:val="Bezseznamu"/>
    <w:uiPriority w:val="99"/>
    <w:semiHidden/>
    <w:unhideWhenUsed/>
    <w:rsid w:val="00CE6695"/>
  </w:style>
  <w:style w:type="character" w:customStyle="1" w:styleId="Nevyeenzmnka10">
    <w:name w:val="Nevyřešená zmínka1"/>
    <w:basedOn w:val="Standardnpsmoodstavce"/>
    <w:uiPriority w:val="99"/>
    <w:semiHidden/>
    <w:unhideWhenUsed/>
    <w:rsid w:val="00CE6695"/>
    <w:rPr>
      <w:color w:val="808080"/>
      <w:shd w:val="clear" w:color="auto" w:fill="E6E6E6"/>
    </w:rPr>
  </w:style>
  <w:style w:type="character" w:customStyle="1" w:styleId="Nadpis4Char">
    <w:name w:val="Nadpis 4 Char"/>
    <w:basedOn w:val="Standardnpsmoodstavce"/>
    <w:link w:val="Nadpis4"/>
    <w:uiPriority w:val="9"/>
    <w:rsid w:val="00C85388"/>
    <w:rPr>
      <w:rFonts w:eastAsiaTheme="majorEastAsia" w:cstheme="majorBidi"/>
      <w:b/>
      <w:i/>
      <w:iCs/>
      <w:sz w:val="24"/>
    </w:rPr>
  </w:style>
  <w:style w:type="character" w:styleId="Siln">
    <w:name w:val="Strong"/>
    <w:basedOn w:val="Standardnpsmoodstavce"/>
    <w:uiPriority w:val="22"/>
    <w:qFormat/>
    <w:rsid w:val="00244780"/>
    <w:rPr>
      <w:b/>
      <w:bCs/>
    </w:rPr>
  </w:style>
  <w:style w:type="paragraph" w:customStyle="1" w:styleId="brief">
    <w:name w:val="brief"/>
    <w:basedOn w:val="Normln"/>
    <w:rsid w:val="00244780"/>
    <w:pPr>
      <w:spacing w:before="100" w:beforeAutospacing="1" w:after="100" w:afterAutospacing="1"/>
    </w:pPr>
    <w:rPr>
      <w:rFonts w:eastAsia="Times New Roman"/>
      <w:szCs w:val="24"/>
    </w:rPr>
  </w:style>
  <w:style w:type="character" w:customStyle="1" w:styleId="textexposedshow">
    <w:name w:val="text_exposed_show"/>
    <w:basedOn w:val="Standardnpsmoodstavce"/>
    <w:rsid w:val="00244780"/>
  </w:style>
  <w:style w:type="paragraph" w:customStyle="1" w:styleId="perex">
    <w:name w:val="perex"/>
    <w:basedOn w:val="Normln"/>
    <w:rsid w:val="00244780"/>
    <w:pPr>
      <w:spacing w:before="100" w:beforeAutospacing="1" w:after="100" w:afterAutospacing="1"/>
    </w:pPr>
    <w:rPr>
      <w:rFonts w:eastAsia="Times New Roman"/>
      <w:szCs w:val="24"/>
    </w:rPr>
  </w:style>
  <w:style w:type="character" w:customStyle="1" w:styleId="Nadpis5Char">
    <w:name w:val="Nadpis 5 Char"/>
    <w:basedOn w:val="Standardnpsmoodstavce"/>
    <w:link w:val="Nadpis5"/>
    <w:uiPriority w:val="9"/>
    <w:rsid w:val="00F32CA2"/>
    <w:rPr>
      <w:rFonts w:eastAsiaTheme="majorEastAsia" w:cstheme="majorBidi"/>
      <w:b/>
      <w:i/>
      <w:sz w:val="24"/>
    </w:rPr>
  </w:style>
  <w:style w:type="character" w:customStyle="1" w:styleId="Nadpis6Char">
    <w:name w:val="Nadpis 6 Char"/>
    <w:basedOn w:val="Standardnpsmoodstavce"/>
    <w:link w:val="Nadpis6"/>
    <w:uiPriority w:val="9"/>
    <w:rsid w:val="00FC3B7C"/>
    <w:rPr>
      <w:rFonts w:asciiTheme="majorHAnsi" w:eastAsiaTheme="majorEastAsia" w:hAnsiTheme="majorHAnsi" w:cstheme="majorBidi"/>
      <w:color w:val="1F3763" w:themeColor="accent1" w:themeShade="7F"/>
      <w:sz w:val="24"/>
    </w:rPr>
  </w:style>
  <w:style w:type="character" w:customStyle="1" w:styleId="Nadpis7Char">
    <w:name w:val="Nadpis 7 Char"/>
    <w:basedOn w:val="Standardnpsmoodstavce"/>
    <w:link w:val="Nadpis7"/>
    <w:uiPriority w:val="9"/>
    <w:semiHidden/>
    <w:rsid w:val="00FC3B7C"/>
    <w:rPr>
      <w:rFonts w:asciiTheme="majorHAnsi" w:eastAsiaTheme="majorEastAsia" w:hAnsiTheme="majorHAnsi" w:cstheme="majorBidi"/>
      <w:i/>
      <w:iCs/>
      <w:color w:val="1F3763" w:themeColor="accent1" w:themeShade="7F"/>
      <w:sz w:val="24"/>
    </w:rPr>
  </w:style>
  <w:style w:type="character" w:customStyle="1" w:styleId="Nadpis8Char">
    <w:name w:val="Nadpis 8 Char"/>
    <w:basedOn w:val="Standardnpsmoodstavce"/>
    <w:link w:val="Nadpis8"/>
    <w:uiPriority w:val="9"/>
    <w:semiHidden/>
    <w:rsid w:val="00FC3B7C"/>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FC3B7C"/>
    <w:rPr>
      <w:rFonts w:asciiTheme="majorHAnsi" w:eastAsiaTheme="majorEastAsia" w:hAnsiTheme="majorHAnsi" w:cstheme="majorBidi"/>
      <w:i/>
      <w:iCs/>
      <w:color w:val="272727" w:themeColor="text1" w:themeTint="D8"/>
      <w:sz w:val="21"/>
      <w:szCs w:val="21"/>
    </w:rPr>
  </w:style>
  <w:style w:type="paragraph" w:styleId="Obsah1">
    <w:name w:val="toc 1"/>
    <w:basedOn w:val="Normln"/>
    <w:next w:val="Normln"/>
    <w:autoRedefine/>
    <w:uiPriority w:val="39"/>
    <w:unhideWhenUsed/>
    <w:rsid w:val="00627DAC"/>
    <w:pPr>
      <w:spacing w:after="100"/>
    </w:pPr>
  </w:style>
  <w:style w:type="paragraph" w:styleId="Obsah2">
    <w:name w:val="toc 2"/>
    <w:basedOn w:val="Normln"/>
    <w:next w:val="Normln"/>
    <w:autoRedefine/>
    <w:uiPriority w:val="39"/>
    <w:unhideWhenUsed/>
    <w:rsid w:val="00627DAC"/>
    <w:pPr>
      <w:spacing w:after="100" w:line="276" w:lineRule="auto"/>
      <w:ind w:left="220"/>
      <w:jc w:val="left"/>
    </w:pPr>
    <w:rPr>
      <w:rFonts w:asciiTheme="minorHAnsi" w:hAnsiTheme="minorHAnsi" w:cstheme="minorBidi"/>
      <w:sz w:val="22"/>
    </w:rPr>
  </w:style>
  <w:style w:type="paragraph" w:styleId="Obsah3">
    <w:name w:val="toc 3"/>
    <w:basedOn w:val="Normln"/>
    <w:next w:val="Normln"/>
    <w:autoRedefine/>
    <w:uiPriority w:val="39"/>
    <w:unhideWhenUsed/>
    <w:rsid w:val="00627DAC"/>
    <w:pPr>
      <w:spacing w:after="100" w:line="276" w:lineRule="auto"/>
      <w:ind w:left="440"/>
      <w:jc w:val="left"/>
    </w:pPr>
    <w:rPr>
      <w:rFonts w:asciiTheme="minorHAnsi" w:hAnsiTheme="minorHAnsi" w:cstheme="minorBidi"/>
      <w:sz w:val="22"/>
    </w:rPr>
  </w:style>
  <w:style w:type="paragraph" w:styleId="Obsah4">
    <w:name w:val="toc 4"/>
    <w:basedOn w:val="Normln"/>
    <w:next w:val="Normln"/>
    <w:autoRedefine/>
    <w:uiPriority w:val="39"/>
    <w:unhideWhenUsed/>
    <w:rsid w:val="00627DAC"/>
    <w:pPr>
      <w:spacing w:after="100" w:line="276" w:lineRule="auto"/>
      <w:ind w:left="660"/>
      <w:jc w:val="left"/>
    </w:pPr>
    <w:rPr>
      <w:rFonts w:asciiTheme="minorHAnsi" w:hAnsiTheme="minorHAnsi" w:cstheme="minorBidi"/>
      <w:sz w:val="22"/>
    </w:rPr>
  </w:style>
  <w:style w:type="paragraph" w:styleId="Obsah5">
    <w:name w:val="toc 5"/>
    <w:basedOn w:val="Normln"/>
    <w:next w:val="Normln"/>
    <w:autoRedefine/>
    <w:uiPriority w:val="39"/>
    <w:unhideWhenUsed/>
    <w:rsid w:val="00627DAC"/>
    <w:pPr>
      <w:spacing w:after="100" w:line="276" w:lineRule="auto"/>
      <w:ind w:left="880"/>
      <w:jc w:val="left"/>
    </w:pPr>
    <w:rPr>
      <w:rFonts w:asciiTheme="minorHAnsi" w:hAnsiTheme="minorHAnsi" w:cstheme="minorBidi"/>
      <w:sz w:val="22"/>
    </w:rPr>
  </w:style>
  <w:style w:type="paragraph" w:styleId="Obsah6">
    <w:name w:val="toc 6"/>
    <w:basedOn w:val="Normln"/>
    <w:next w:val="Normln"/>
    <w:autoRedefine/>
    <w:uiPriority w:val="39"/>
    <w:unhideWhenUsed/>
    <w:rsid w:val="00627DAC"/>
    <w:pPr>
      <w:spacing w:after="100" w:line="276" w:lineRule="auto"/>
      <w:ind w:left="1100"/>
      <w:jc w:val="left"/>
    </w:pPr>
    <w:rPr>
      <w:rFonts w:asciiTheme="minorHAnsi" w:hAnsiTheme="minorHAnsi" w:cstheme="minorBidi"/>
      <w:sz w:val="22"/>
    </w:rPr>
  </w:style>
  <w:style w:type="paragraph" w:styleId="Obsah7">
    <w:name w:val="toc 7"/>
    <w:basedOn w:val="Normln"/>
    <w:next w:val="Normln"/>
    <w:autoRedefine/>
    <w:uiPriority w:val="39"/>
    <w:unhideWhenUsed/>
    <w:rsid w:val="00627DAC"/>
    <w:pPr>
      <w:spacing w:after="100" w:line="276" w:lineRule="auto"/>
      <w:ind w:left="1320"/>
      <w:jc w:val="left"/>
    </w:pPr>
    <w:rPr>
      <w:rFonts w:asciiTheme="minorHAnsi" w:hAnsiTheme="minorHAnsi" w:cstheme="minorBidi"/>
      <w:sz w:val="22"/>
    </w:rPr>
  </w:style>
  <w:style w:type="paragraph" w:styleId="Obsah8">
    <w:name w:val="toc 8"/>
    <w:basedOn w:val="Normln"/>
    <w:next w:val="Normln"/>
    <w:autoRedefine/>
    <w:uiPriority w:val="39"/>
    <w:unhideWhenUsed/>
    <w:rsid w:val="00627DAC"/>
    <w:pPr>
      <w:spacing w:after="100" w:line="276" w:lineRule="auto"/>
      <w:ind w:left="1540"/>
      <w:jc w:val="left"/>
    </w:pPr>
    <w:rPr>
      <w:rFonts w:asciiTheme="minorHAnsi" w:hAnsiTheme="minorHAnsi" w:cstheme="minorBidi"/>
      <w:sz w:val="22"/>
    </w:rPr>
  </w:style>
  <w:style w:type="paragraph" w:styleId="Obsah9">
    <w:name w:val="toc 9"/>
    <w:basedOn w:val="Normln"/>
    <w:next w:val="Normln"/>
    <w:autoRedefine/>
    <w:uiPriority w:val="39"/>
    <w:unhideWhenUsed/>
    <w:rsid w:val="00627DAC"/>
    <w:pPr>
      <w:spacing w:after="100" w:line="276" w:lineRule="auto"/>
      <w:ind w:left="1760"/>
      <w:jc w:val="left"/>
    </w:pPr>
    <w:rPr>
      <w:rFonts w:asciiTheme="minorHAnsi" w:hAnsiTheme="minorHAnsi" w:cstheme="minorBidi"/>
      <w:sz w:val="22"/>
    </w:rPr>
  </w:style>
  <w:style w:type="character" w:customStyle="1" w:styleId="UnresolvedMention">
    <w:name w:val="Unresolved Mention"/>
    <w:basedOn w:val="Standardnpsmoodstavce"/>
    <w:uiPriority w:val="99"/>
    <w:semiHidden/>
    <w:unhideWhenUsed/>
    <w:rsid w:val="00A54229"/>
    <w:rPr>
      <w:color w:val="605E5C"/>
      <w:shd w:val="clear" w:color="auto" w:fill="E1DFDD"/>
    </w:rPr>
  </w:style>
  <w:style w:type="character" w:styleId="Sledovanodkaz">
    <w:name w:val="FollowedHyperlink"/>
    <w:basedOn w:val="Standardnpsmoodstavce"/>
    <w:uiPriority w:val="99"/>
    <w:semiHidden/>
    <w:unhideWhenUsed/>
    <w:rsid w:val="00B2071A"/>
    <w:rPr>
      <w:color w:val="954F72" w:themeColor="followedHyperlink"/>
      <w:u w:val="single"/>
    </w:rPr>
  </w:style>
  <w:style w:type="paragraph" w:customStyle="1" w:styleId="Documenttitle">
    <w:name w:val="Document title"/>
    <w:next w:val="Normln"/>
    <w:uiPriority w:val="99"/>
    <w:semiHidden/>
    <w:qFormat/>
    <w:rsid w:val="00CF20A7"/>
    <w:pPr>
      <w:spacing w:line="440" w:lineRule="atLeast"/>
    </w:pPr>
    <w:rPr>
      <w:rFonts w:ascii="Verdana" w:eastAsia="MingLiU" w:hAnsi="Verdana"/>
      <w:b/>
      <w:bCs/>
      <w:color w:val="000000"/>
      <w:sz w:val="36"/>
      <w:szCs w:val="28"/>
      <w:lang w:val="en-GB" w:eastAsia="en-US"/>
    </w:rPr>
  </w:style>
  <w:style w:type="paragraph" w:customStyle="1" w:styleId="Contacttext">
    <w:name w:val="Contact text"/>
    <w:basedOn w:val="Normln"/>
    <w:uiPriority w:val="99"/>
    <w:semiHidden/>
    <w:qFormat/>
    <w:rsid w:val="00CF20A7"/>
    <w:pPr>
      <w:spacing w:line="240" w:lineRule="atLeast"/>
      <w:jc w:val="left"/>
    </w:pPr>
    <w:rPr>
      <w:rFonts w:ascii="Verdana" w:eastAsia="Verdana" w:hAnsi="Verdana"/>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6143">
      <w:bodyDiv w:val="1"/>
      <w:marLeft w:val="0"/>
      <w:marRight w:val="0"/>
      <w:marTop w:val="0"/>
      <w:marBottom w:val="0"/>
      <w:divBdr>
        <w:top w:val="none" w:sz="0" w:space="0" w:color="auto"/>
        <w:left w:val="none" w:sz="0" w:space="0" w:color="auto"/>
        <w:bottom w:val="none" w:sz="0" w:space="0" w:color="auto"/>
        <w:right w:val="none" w:sz="0" w:space="0" w:color="auto"/>
      </w:divBdr>
      <w:divsChild>
        <w:div w:id="902177704">
          <w:marLeft w:val="475"/>
          <w:marRight w:val="0"/>
          <w:marTop w:val="86"/>
          <w:marBottom w:val="120"/>
          <w:divBdr>
            <w:top w:val="none" w:sz="0" w:space="0" w:color="auto"/>
            <w:left w:val="none" w:sz="0" w:space="0" w:color="auto"/>
            <w:bottom w:val="none" w:sz="0" w:space="0" w:color="auto"/>
            <w:right w:val="none" w:sz="0" w:space="0" w:color="auto"/>
          </w:divBdr>
        </w:div>
        <w:div w:id="739060884">
          <w:marLeft w:val="475"/>
          <w:marRight w:val="0"/>
          <w:marTop w:val="86"/>
          <w:marBottom w:val="120"/>
          <w:divBdr>
            <w:top w:val="none" w:sz="0" w:space="0" w:color="auto"/>
            <w:left w:val="none" w:sz="0" w:space="0" w:color="auto"/>
            <w:bottom w:val="none" w:sz="0" w:space="0" w:color="auto"/>
            <w:right w:val="none" w:sz="0" w:space="0" w:color="auto"/>
          </w:divBdr>
        </w:div>
        <w:div w:id="985015952">
          <w:marLeft w:val="475"/>
          <w:marRight w:val="0"/>
          <w:marTop w:val="86"/>
          <w:marBottom w:val="120"/>
          <w:divBdr>
            <w:top w:val="none" w:sz="0" w:space="0" w:color="auto"/>
            <w:left w:val="none" w:sz="0" w:space="0" w:color="auto"/>
            <w:bottom w:val="none" w:sz="0" w:space="0" w:color="auto"/>
            <w:right w:val="none" w:sz="0" w:space="0" w:color="auto"/>
          </w:divBdr>
        </w:div>
      </w:divsChild>
    </w:div>
    <w:div w:id="32118155">
      <w:bodyDiv w:val="1"/>
      <w:marLeft w:val="0"/>
      <w:marRight w:val="0"/>
      <w:marTop w:val="0"/>
      <w:marBottom w:val="0"/>
      <w:divBdr>
        <w:top w:val="none" w:sz="0" w:space="0" w:color="auto"/>
        <w:left w:val="none" w:sz="0" w:space="0" w:color="auto"/>
        <w:bottom w:val="none" w:sz="0" w:space="0" w:color="auto"/>
        <w:right w:val="none" w:sz="0" w:space="0" w:color="auto"/>
      </w:divBdr>
      <w:divsChild>
        <w:div w:id="1138649792">
          <w:marLeft w:val="360"/>
          <w:marRight w:val="0"/>
          <w:marTop w:val="200"/>
          <w:marBottom w:val="0"/>
          <w:divBdr>
            <w:top w:val="none" w:sz="0" w:space="0" w:color="auto"/>
            <w:left w:val="none" w:sz="0" w:space="0" w:color="auto"/>
            <w:bottom w:val="none" w:sz="0" w:space="0" w:color="auto"/>
            <w:right w:val="none" w:sz="0" w:space="0" w:color="auto"/>
          </w:divBdr>
        </w:div>
      </w:divsChild>
    </w:div>
    <w:div w:id="43799991">
      <w:bodyDiv w:val="1"/>
      <w:marLeft w:val="0"/>
      <w:marRight w:val="0"/>
      <w:marTop w:val="0"/>
      <w:marBottom w:val="0"/>
      <w:divBdr>
        <w:top w:val="none" w:sz="0" w:space="0" w:color="auto"/>
        <w:left w:val="none" w:sz="0" w:space="0" w:color="auto"/>
        <w:bottom w:val="none" w:sz="0" w:space="0" w:color="auto"/>
        <w:right w:val="none" w:sz="0" w:space="0" w:color="auto"/>
      </w:divBdr>
      <w:divsChild>
        <w:div w:id="1005205761">
          <w:marLeft w:val="360"/>
          <w:marRight w:val="0"/>
          <w:marTop w:val="200"/>
          <w:marBottom w:val="0"/>
          <w:divBdr>
            <w:top w:val="none" w:sz="0" w:space="0" w:color="auto"/>
            <w:left w:val="none" w:sz="0" w:space="0" w:color="auto"/>
            <w:bottom w:val="none" w:sz="0" w:space="0" w:color="auto"/>
            <w:right w:val="none" w:sz="0" w:space="0" w:color="auto"/>
          </w:divBdr>
        </w:div>
      </w:divsChild>
    </w:div>
    <w:div w:id="68308035">
      <w:bodyDiv w:val="1"/>
      <w:marLeft w:val="0"/>
      <w:marRight w:val="0"/>
      <w:marTop w:val="0"/>
      <w:marBottom w:val="0"/>
      <w:divBdr>
        <w:top w:val="none" w:sz="0" w:space="0" w:color="auto"/>
        <w:left w:val="none" w:sz="0" w:space="0" w:color="auto"/>
        <w:bottom w:val="none" w:sz="0" w:space="0" w:color="auto"/>
        <w:right w:val="none" w:sz="0" w:space="0" w:color="auto"/>
      </w:divBdr>
      <w:divsChild>
        <w:div w:id="410201869">
          <w:marLeft w:val="475"/>
          <w:marRight w:val="0"/>
          <w:marTop w:val="86"/>
          <w:marBottom w:val="120"/>
          <w:divBdr>
            <w:top w:val="none" w:sz="0" w:space="0" w:color="auto"/>
            <w:left w:val="none" w:sz="0" w:space="0" w:color="auto"/>
            <w:bottom w:val="none" w:sz="0" w:space="0" w:color="auto"/>
            <w:right w:val="none" w:sz="0" w:space="0" w:color="auto"/>
          </w:divBdr>
        </w:div>
        <w:div w:id="1131632559">
          <w:marLeft w:val="475"/>
          <w:marRight w:val="0"/>
          <w:marTop w:val="86"/>
          <w:marBottom w:val="120"/>
          <w:divBdr>
            <w:top w:val="none" w:sz="0" w:space="0" w:color="auto"/>
            <w:left w:val="none" w:sz="0" w:space="0" w:color="auto"/>
            <w:bottom w:val="none" w:sz="0" w:space="0" w:color="auto"/>
            <w:right w:val="none" w:sz="0" w:space="0" w:color="auto"/>
          </w:divBdr>
        </w:div>
      </w:divsChild>
    </w:div>
    <w:div w:id="100731562">
      <w:bodyDiv w:val="1"/>
      <w:marLeft w:val="0"/>
      <w:marRight w:val="0"/>
      <w:marTop w:val="0"/>
      <w:marBottom w:val="0"/>
      <w:divBdr>
        <w:top w:val="none" w:sz="0" w:space="0" w:color="auto"/>
        <w:left w:val="none" w:sz="0" w:space="0" w:color="auto"/>
        <w:bottom w:val="none" w:sz="0" w:space="0" w:color="auto"/>
        <w:right w:val="none" w:sz="0" w:space="0" w:color="auto"/>
      </w:divBdr>
    </w:div>
    <w:div w:id="134955954">
      <w:bodyDiv w:val="1"/>
      <w:marLeft w:val="0"/>
      <w:marRight w:val="0"/>
      <w:marTop w:val="0"/>
      <w:marBottom w:val="0"/>
      <w:divBdr>
        <w:top w:val="none" w:sz="0" w:space="0" w:color="auto"/>
        <w:left w:val="none" w:sz="0" w:space="0" w:color="auto"/>
        <w:bottom w:val="none" w:sz="0" w:space="0" w:color="auto"/>
        <w:right w:val="none" w:sz="0" w:space="0" w:color="auto"/>
      </w:divBdr>
      <w:divsChild>
        <w:div w:id="95563122">
          <w:marLeft w:val="360"/>
          <w:marRight w:val="0"/>
          <w:marTop w:val="200"/>
          <w:marBottom w:val="0"/>
          <w:divBdr>
            <w:top w:val="none" w:sz="0" w:space="0" w:color="auto"/>
            <w:left w:val="none" w:sz="0" w:space="0" w:color="auto"/>
            <w:bottom w:val="none" w:sz="0" w:space="0" w:color="auto"/>
            <w:right w:val="none" w:sz="0" w:space="0" w:color="auto"/>
          </w:divBdr>
        </w:div>
      </w:divsChild>
    </w:div>
    <w:div w:id="162821874">
      <w:bodyDiv w:val="1"/>
      <w:marLeft w:val="0"/>
      <w:marRight w:val="0"/>
      <w:marTop w:val="0"/>
      <w:marBottom w:val="0"/>
      <w:divBdr>
        <w:top w:val="none" w:sz="0" w:space="0" w:color="auto"/>
        <w:left w:val="none" w:sz="0" w:space="0" w:color="auto"/>
        <w:bottom w:val="none" w:sz="0" w:space="0" w:color="auto"/>
        <w:right w:val="none" w:sz="0" w:space="0" w:color="auto"/>
      </w:divBdr>
    </w:div>
    <w:div w:id="179004807">
      <w:bodyDiv w:val="1"/>
      <w:marLeft w:val="0"/>
      <w:marRight w:val="0"/>
      <w:marTop w:val="0"/>
      <w:marBottom w:val="0"/>
      <w:divBdr>
        <w:top w:val="none" w:sz="0" w:space="0" w:color="auto"/>
        <w:left w:val="none" w:sz="0" w:space="0" w:color="auto"/>
        <w:bottom w:val="none" w:sz="0" w:space="0" w:color="auto"/>
        <w:right w:val="none" w:sz="0" w:space="0" w:color="auto"/>
      </w:divBdr>
      <w:divsChild>
        <w:div w:id="1523743893">
          <w:marLeft w:val="360"/>
          <w:marRight w:val="0"/>
          <w:marTop w:val="200"/>
          <w:marBottom w:val="0"/>
          <w:divBdr>
            <w:top w:val="none" w:sz="0" w:space="0" w:color="auto"/>
            <w:left w:val="none" w:sz="0" w:space="0" w:color="auto"/>
            <w:bottom w:val="none" w:sz="0" w:space="0" w:color="auto"/>
            <w:right w:val="none" w:sz="0" w:space="0" w:color="auto"/>
          </w:divBdr>
        </w:div>
        <w:div w:id="1903906568">
          <w:marLeft w:val="360"/>
          <w:marRight w:val="0"/>
          <w:marTop w:val="200"/>
          <w:marBottom w:val="0"/>
          <w:divBdr>
            <w:top w:val="none" w:sz="0" w:space="0" w:color="auto"/>
            <w:left w:val="none" w:sz="0" w:space="0" w:color="auto"/>
            <w:bottom w:val="none" w:sz="0" w:space="0" w:color="auto"/>
            <w:right w:val="none" w:sz="0" w:space="0" w:color="auto"/>
          </w:divBdr>
        </w:div>
        <w:div w:id="302080264">
          <w:marLeft w:val="360"/>
          <w:marRight w:val="0"/>
          <w:marTop w:val="200"/>
          <w:marBottom w:val="0"/>
          <w:divBdr>
            <w:top w:val="none" w:sz="0" w:space="0" w:color="auto"/>
            <w:left w:val="none" w:sz="0" w:space="0" w:color="auto"/>
            <w:bottom w:val="none" w:sz="0" w:space="0" w:color="auto"/>
            <w:right w:val="none" w:sz="0" w:space="0" w:color="auto"/>
          </w:divBdr>
        </w:div>
      </w:divsChild>
    </w:div>
    <w:div w:id="202864371">
      <w:bodyDiv w:val="1"/>
      <w:marLeft w:val="0"/>
      <w:marRight w:val="0"/>
      <w:marTop w:val="0"/>
      <w:marBottom w:val="0"/>
      <w:divBdr>
        <w:top w:val="none" w:sz="0" w:space="0" w:color="auto"/>
        <w:left w:val="none" w:sz="0" w:space="0" w:color="auto"/>
        <w:bottom w:val="none" w:sz="0" w:space="0" w:color="auto"/>
        <w:right w:val="none" w:sz="0" w:space="0" w:color="auto"/>
      </w:divBdr>
    </w:div>
    <w:div w:id="224528808">
      <w:bodyDiv w:val="1"/>
      <w:marLeft w:val="0"/>
      <w:marRight w:val="0"/>
      <w:marTop w:val="0"/>
      <w:marBottom w:val="0"/>
      <w:divBdr>
        <w:top w:val="none" w:sz="0" w:space="0" w:color="auto"/>
        <w:left w:val="none" w:sz="0" w:space="0" w:color="auto"/>
        <w:bottom w:val="none" w:sz="0" w:space="0" w:color="auto"/>
        <w:right w:val="none" w:sz="0" w:space="0" w:color="auto"/>
      </w:divBdr>
      <w:divsChild>
        <w:div w:id="601913232">
          <w:marLeft w:val="360"/>
          <w:marRight w:val="0"/>
          <w:marTop w:val="200"/>
          <w:marBottom w:val="0"/>
          <w:divBdr>
            <w:top w:val="none" w:sz="0" w:space="0" w:color="auto"/>
            <w:left w:val="none" w:sz="0" w:space="0" w:color="auto"/>
            <w:bottom w:val="none" w:sz="0" w:space="0" w:color="auto"/>
            <w:right w:val="none" w:sz="0" w:space="0" w:color="auto"/>
          </w:divBdr>
        </w:div>
      </w:divsChild>
    </w:div>
    <w:div w:id="310717365">
      <w:bodyDiv w:val="1"/>
      <w:marLeft w:val="0"/>
      <w:marRight w:val="0"/>
      <w:marTop w:val="0"/>
      <w:marBottom w:val="0"/>
      <w:divBdr>
        <w:top w:val="none" w:sz="0" w:space="0" w:color="auto"/>
        <w:left w:val="none" w:sz="0" w:space="0" w:color="auto"/>
        <w:bottom w:val="none" w:sz="0" w:space="0" w:color="auto"/>
        <w:right w:val="none" w:sz="0" w:space="0" w:color="auto"/>
      </w:divBdr>
    </w:div>
    <w:div w:id="338044794">
      <w:bodyDiv w:val="1"/>
      <w:marLeft w:val="0"/>
      <w:marRight w:val="0"/>
      <w:marTop w:val="0"/>
      <w:marBottom w:val="0"/>
      <w:divBdr>
        <w:top w:val="none" w:sz="0" w:space="0" w:color="auto"/>
        <w:left w:val="none" w:sz="0" w:space="0" w:color="auto"/>
        <w:bottom w:val="none" w:sz="0" w:space="0" w:color="auto"/>
        <w:right w:val="none" w:sz="0" w:space="0" w:color="auto"/>
      </w:divBdr>
      <w:divsChild>
        <w:div w:id="1115368011">
          <w:marLeft w:val="994"/>
          <w:marRight w:val="0"/>
          <w:marTop w:val="77"/>
          <w:marBottom w:val="120"/>
          <w:divBdr>
            <w:top w:val="none" w:sz="0" w:space="0" w:color="auto"/>
            <w:left w:val="none" w:sz="0" w:space="0" w:color="auto"/>
            <w:bottom w:val="none" w:sz="0" w:space="0" w:color="auto"/>
            <w:right w:val="none" w:sz="0" w:space="0" w:color="auto"/>
          </w:divBdr>
        </w:div>
      </w:divsChild>
    </w:div>
    <w:div w:id="345254013">
      <w:bodyDiv w:val="1"/>
      <w:marLeft w:val="0"/>
      <w:marRight w:val="0"/>
      <w:marTop w:val="0"/>
      <w:marBottom w:val="0"/>
      <w:divBdr>
        <w:top w:val="none" w:sz="0" w:space="0" w:color="auto"/>
        <w:left w:val="none" w:sz="0" w:space="0" w:color="auto"/>
        <w:bottom w:val="none" w:sz="0" w:space="0" w:color="auto"/>
        <w:right w:val="none" w:sz="0" w:space="0" w:color="auto"/>
      </w:divBdr>
      <w:divsChild>
        <w:div w:id="240914076">
          <w:marLeft w:val="0"/>
          <w:marRight w:val="0"/>
          <w:marTop w:val="0"/>
          <w:marBottom w:val="0"/>
          <w:divBdr>
            <w:top w:val="none" w:sz="0" w:space="0" w:color="auto"/>
            <w:left w:val="none" w:sz="0" w:space="0" w:color="auto"/>
            <w:bottom w:val="none" w:sz="0" w:space="0" w:color="auto"/>
            <w:right w:val="none" w:sz="0" w:space="0" w:color="auto"/>
          </w:divBdr>
        </w:div>
        <w:div w:id="2078477180">
          <w:marLeft w:val="0"/>
          <w:marRight w:val="0"/>
          <w:marTop w:val="0"/>
          <w:marBottom w:val="0"/>
          <w:divBdr>
            <w:top w:val="none" w:sz="0" w:space="0" w:color="auto"/>
            <w:left w:val="none" w:sz="0" w:space="0" w:color="auto"/>
            <w:bottom w:val="none" w:sz="0" w:space="0" w:color="auto"/>
            <w:right w:val="none" w:sz="0" w:space="0" w:color="auto"/>
          </w:divBdr>
        </w:div>
      </w:divsChild>
    </w:div>
    <w:div w:id="381636716">
      <w:bodyDiv w:val="1"/>
      <w:marLeft w:val="0"/>
      <w:marRight w:val="0"/>
      <w:marTop w:val="0"/>
      <w:marBottom w:val="0"/>
      <w:divBdr>
        <w:top w:val="none" w:sz="0" w:space="0" w:color="auto"/>
        <w:left w:val="none" w:sz="0" w:space="0" w:color="auto"/>
        <w:bottom w:val="none" w:sz="0" w:space="0" w:color="auto"/>
        <w:right w:val="none" w:sz="0" w:space="0" w:color="auto"/>
      </w:divBdr>
    </w:div>
    <w:div w:id="399451119">
      <w:bodyDiv w:val="1"/>
      <w:marLeft w:val="0"/>
      <w:marRight w:val="0"/>
      <w:marTop w:val="0"/>
      <w:marBottom w:val="0"/>
      <w:divBdr>
        <w:top w:val="none" w:sz="0" w:space="0" w:color="auto"/>
        <w:left w:val="none" w:sz="0" w:space="0" w:color="auto"/>
        <w:bottom w:val="none" w:sz="0" w:space="0" w:color="auto"/>
        <w:right w:val="none" w:sz="0" w:space="0" w:color="auto"/>
      </w:divBdr>
      <w:divsChild>
        <w:div w:id="246153440">
          <w:marLeft w:val="360"/>
          <w:marRight w:val="0"/>
          <w:marTop w:val="200"/>
          <w:marBottom w:val="0"/>
          <w:divBdr>
            <w:top w:val="none" w:sz="0" w:space="0" w:color="auto"/>
            <w:left w:val="none" w:sz="0" w:space="0" w:color="auto"/>
            <w:bottom w:val="none" w:sz="0" w:space="0" w:color="auto"/>
            <w:right w:val="none" w:sz="0" w:space="0" w:color="auto"/>
          </w:divBdr>
        </w:div>
      </w:divsChild>
    </w:div>
    <w:div w:id="427120173">
      <w:bodyDiv w:val="1"/>
      <w:marLeft w:val="0"/>
      <w:marRight w:val="0"/>
      <w:marTop w:val="0"/>
      <w:marBottom w:val="0"/>
      <w:divBdr>
        <w:top w:val="none" w:sz="0" w:space="0" w:color="auto"/>
        <w:left w:val="none" w:sz="0" w:space="0" w:color="auto"/>
        <w:bottom w:val="none" w:sz="0" w:space="0" w:color="auto"/>
        <w:right w:val="none" w:sz="0" w:space="0" w:color="auto"/>
      </w:divBdr>
    </w:div>
    <w:div w:id="482089573">
      <w:bodyDiv w:val="1"/>
      <w:marLeft w:val="0"/>
      <w:marRight w:val="0"/>
      <w:marTop w:val="0"/>
      <w:marBottom w:val="0"/>
      <w:divBdr>
        <w:top w:val="none" w:sz="0" w:space="0" w:color="auto"/>
        <w:left w:val="none" w:sz="0" w:space="0" w:color="auto"/>
        <w:bottom w:val="none" w:sz="0" w:space="0" w:color="auto"/>
        <w:right w:val="none" w:sz="0" w:space="0" w:color="auto"/>
      </w:divBdr>
      <w:divsChild>
        <w:div w:id="1736969534">
          <w:marLeft w:val="547"/>
          <w:marRight w:val="0"/>
          <w:marTop w:val="200"/>
          <w:marBottom w:val="0"/>
          <w:divBdr>
            <w:top w:val="none" w:sz="0" w:space="0" w:color="auto"/>
            <w:left w:val="none" w:sz="0" w:space="0" w:color="auto"/>
            <w:bottom w:val="none" w:sz="0" w:space="0" w:color="auto"/>
            <w:right w:val="none" w:sz="0" w:space="0" w:color="auto"/>
          </w:divBdr>
        </w:div>
      </w:divsChild>
    </w:div>
    <w:div w:id="528494428">
      <w:bodyDiv w:val="1"/>
      <w:marLeft w:val="0"/>
      <w:marRight w:val="0"/>
      <w:marTop w:val="0"/>
      <w:marBottom w:val="0"/>
      <w:divBdr>
        <w:top w:val="none" w:sz="0" w:space="0" w:color="auto"/>
        <w:left w:val="none" w:sz="0" w:space="0" w:color="auto"/>
        <w:bottom w:val="none" w:sz="0" w:space="0" w:color="auto"/>
        <w:right w:val="none" w:sz="0" w:space="0" w:color="auto"/>
      </w:divBdr>
    </w:div>
    <w:div w:id="544220163">
      <w:bodyDiv w:val="1"/>
      <w:marLeft w:val="0"/>
      <w:marRight w:val="0"/>
      <w:marTop w:val="0"/>
      <w:marBottom w:val="0"/>
      <w:divBdr>
        <w:top w:val="none" w:sz="0" w:space="0" w:color="auto"/>
        <w:left w:val="none" w:sz="0" w:space="0" w:color="auto"/>
        <w:bottom w:val="none" w:sz="0" w:space="0" w:color="auto"/>
        <w:right w:val="none" w:sz="0" w:space="0" w:color="auto"/>
      </w:divBdr>
    </w:div>
    <w:div w:id="574894784">
      <w:bodyDiv w:val="1"/>
      <w:marLeft w:val="0"/>
      <w:marRight w:val="0"/>
      <w:marTop w:val="0"/>
      <w:marBottom w:val="0"/>
      <w:divBdr>
        <w:top w:val="none" w:sz="0" w:space="0" w:color="auto"/>
        <w:left w:val="none" w:sz="0" w:space="0" w:color="auto"/>
        <w:bottom w:val="none" w:sz="0" w:space="0" w:color="auto"/>
        <w:right w:val="none" w:sz="0" w:space="0" w:color="auto"/>
      </w:divBdr>
    </w:div>
    <w:div w:id="596327784">
      <w:bodyDiv w:val="1"/>
      <w:marLeft w:val="0"/>
      <w:marRight w:val="0"/>
      <w:marTop w:val="0"/>
      <w:marBottom w:val="0"/>
      <w:divBdr>
        <w:top w:val="none" w:sz="0" w:space="0" w:color="auto"/>
        <w:left w:val="none" w:sz="0" w:space="0" w:color="auto"/>
        <w:bottom w:val="none" w:sz="0" w:space="0" w:color="auto"/>
        <w:right w:val="none" w:sz="0" w:space="0" w:color="auto"/>
      </w:divBdr>
    </w:div>
    <w:div w:id="626203051">
      <w:bodyDiv w:val="1"/>
      <w:marLeft w:val="0"/>
      <w:marRight w:val="0"/>
      <w:marTop w:val="0"/>
      <w:marBottom w:val="0"/>
      <w:divBdr>
        <w:top w:val="none" w:sz="0" w:space="0" w:color="auto"/>
        <w:left w:val="none" w:sz="0" w:space="0" w:color="auto"/>
        <w:bottom w:val="none" w:sz="0" w:space="0" w:color="auto"/>
        <w:right w:val="none" w:sz="0" w:space="0" w:color="auto"/>
      </w:divBdr>
      <w:divsChild>
        <w:div w:id="741871338">
          <w:marLeft w:val="360"/>
          <w:marRight w:val="0"/>
          <w:marTop w:val="200"/>
          <w:marBottom w:val="0"/>
          <w:divBdr>
            <w:top w:val="none" w:sz="0" w:space="0" w:color="auto"/>
            <w:left w:val="none" w:sz="0" w:space="0" w:color="auto"/>
            <w:bottom w:val="none" w:sz="0" w:space="0" w:color="auto"/>
            <w:right w:val="none" w:sz="0" w:space="0" w:color="auto"/>
          </w:divBdr>
        </w:div>
        <w:div w:id="560017935">
          <w:marLeft w:val="1080"/>
          <w:marRight w:val="0"/>
          <w:marTop w:val="100"/>
          <w:marBottom w:val="0"/>
          <w:divBdr>
            <w:top w:val="none" w:sz="0" w:space="0" w:color="auto"/>
            <w:left w:val="none" w:sz="0" w:space="0" w:color="auto"/>
            <w:bottom w:val="none" w:sz="0" w:space="0" w:color="auto"/>
            <w:right w:val="none" w:sz="0" w:space="0" w:color="auto"/>
          </w:divBdr>
        </w:div>
        <w:div w:id="508104159">
          <w:marLeft w:val="1080"/>
          <w:marRight w:val="0"/>
          <w:marTop w:val="100"/>
          <w:marBottom w:val="0"/>
          <w:divBdr>
            <w:top w:val="none" w:sz="0" w:space="0" w:color="auto"/>
            <w:left w:val="none" w:sz="0" w:space="0" w:color="auto"/>
            <w:bottom w:val="none" w:sz="0" w:space="0" w:color="auto"/>
            <w:right w:val="none" w:sz="0" w:space="0" w:color="auto"/>
          </w:divBdr>
        </w:div>
        <w:div w:id="1238249341">
          <w:marLeft w:val="1080"/>
          <w:marRight w:val="0"/>
          <w:marTop w:val="100"/>
          <w:marBottom w:val="0"/>
          <w:divBdr>
            <w:top w:val="none" w:sz="0" w:space="0" w:color="auto"/>
            <w:left w:val="none" w:sz="0" w:space="0" w:color="auto"/>
            <w:bottom w:val="none" w:sz="0" w:space="0" w:color="auto"/>
            <w:right w:val="none" w:sz="0" w:space="0" w:color="auto"/>
          </w:divBdr>
        </w:div>
        <w:div w:id="1240483892">
          <w:marLeft w:val="360"/>
          <w:marRight w:val="0"/>
          <w:marTop w:val="200"/>
          <w:marBottom w:val="0"/>
          <w:divBdr>
            <w:top w:val="none" w:sz="0" w:space="0" w:color="auto"/>
            <w:left w:val="none" w:sz="0" w:space="0" w:color="auto"/>
            <w:bottom w:val="none" w:sz="0" w:space="0" w:color="auto"/>
            <w:right w:val="none" w:sz="0" w:space="0" w:color="auto"/>
          </w:divBdr>
        </w:div>
        <w:div w:id="1348751877">
          <w:marLeft w:val="360"/>
          <w:marRight w:val="0"/>
          <w:marTop w:val="200"/>
          <w:marBottom w:val="0"/>
          <w:divBdr>
            <w:top w:val="none" w:sz="0" w:space="0" w:color="auto"/>
            <w:left w:val="none" w:sz="0" w:space="0" w:color="auto"/>
            <w:bottom w:val="none" w:sz="0" w:space="0" w:color="auto"/>
            <w:right w:val="none" w:sz="0" w:space="0" w:color="auto"/>
          </w:divBdr>
        </w:div>
        <w:div w:id="78719042">
          <w:marLeft w:val="360"/>
          <w:marRight w:val="0"/>
          <w:marTop w:val="200"/>
          <w:marBottom w:val="0"/>
          <w:divBdr>
            <w:top w:val="none" w:sz="0" w:space="0" w:color="auto"/>
            <w:left w:val="none" w:sz="0" w:space="0" w:color="auto"/>
            <w:bottom w:val="none" w:sz="0" w:space="0" w:color="auto"/>
            <w:right w:val="none" w:sz="0" w:space="0" w:color="auto"/>
          </w:divBdr>
        </w:div>
        <w:div w:id="9306318">
          <w:marLeft w:val="1080"/>
          <w:marRight w:val="0"/>
          <w:marTop w:val="100"/>
          <w:marBottom w:val="0"/>
          <w:divBdr>
            <w:top w:val="none" w:sz="0" w:space="0" w:color="auto"/>
            <w:left w:val="none" w:sz="0" w:space="0" w:color="auto"/>
            <w:bottom w:val="none" w:sz="0" w:space="0" w:color="auto"/>
            <w:right w:val="none" w:sz="0" w:space="0" w:color="auto"/>
          </w:divBdr>
        </w:div>
        <w:div w:id="1017274105">
          <w:marLeft w:val="1080"/>
          <w:marRight w:val="0"/>
          <w:marTop w:val="100"/>
          <w:marBottom w:val="0"/>
          <w:divBdr>
            <w:top w:val="none" w:sz="0" w:space="0" w:color="auto"/>
            <w:left w:val="none" w:sz="0" w:space="0" w:color="auto"/>
            <w:bottom w:val="none" w:sz="0" w:space="0" w:color="auto"/>
            <w:right w:val="none" w:sz="0" w:space="0" w:color="auto"/>
          </w:divBdr>
        </w:div>
      </w:divsChild>
    </w:div>
    <w:div w:id="635835824">
      <w:bodyDiv w:val="1"/>
      <w:marLeft w:val="0"/>
      <w:marRight w:val="0"/>
      <w:marTop w:val="0"/>
      <w:marBottom w:val="0"/>
      <w:divBdr>
        <w:top w:val="none" w:sz="0" w:space="0" w:color="auto"/>
        <w:left w:val="none" w:sz="0" w:space="0" w:color="auto"/>
        <w:bottom w:val="none" w:sz="0" w:space="0" w:color="auto"/>
        <w:right w:val="none" w:sz="0" w:space="0" w:color="auto"/>
      </w:divBdr>
    </w:div>
    <w:div w:id="644747829">
      <w:bodyDiv w:val="1"/>
      <w:marLeft w:val="0"/>
      <w:marRight w:val="0"/>
      <w:marTop w:val="0"/>
      <w:marBottom w:val="0"/>
      <w:divBdr>
        <w:top w:val="none" w:sz="0" w:space="0" w:color="auto"/>
        <w:left w:val="none" w:sz="0" w:space="0" w:color="auto"/>
        <w:bottom w:val="none" w:sz="0" w:space="0" w:color="auto"/>
        <w:right w:val="none" w:sz="0" w:space="0" w:color="auto"/>
      </w:divBdr>
    </w:div>
    <w:div w:id="695619625">
      <w:bodyDiv w:val="1"/>
      <w:marLeft w:val="0"/>
      <w:marRight w:val="0"/>
      <w:marTop w:val="0"/>
      <w:marBottom w:val="0"/>
      <w:divBdr>
        <w:top w:val="none" w:sz="0" w:space="0" w:color="auto"/>
        <w:left w:val="none" w:sz="0" w:space="0" w:color="auto"/>
        <w:bottom w:val="none" w:sz="0" w:space="0" w:color="auto"/>
        <w:right w:val="none" w:sz="0" w:space="0" w:color="auto"/>
      </w:divBdr>
    </w:div>
    <w:div w:id="705374322">
      <w:bodyDiv w:val="1"/>
      <w:marLeft w:val="0"/>
      <w:marRight w:val="0"/>
      <w:marTop w:val="0"/>
      <w:marBottom w:val="0"/>
      <w:divBdr>
        <w:top w:val="none" w:sz="0" w:space="0" w:color="auto"/>
        <w:left w:val="none" w:sz="0" w:space="0" w:color="auto"/>
        <w:bottom w:val="none" w:sz="0" w:space="0" w:color="auto"/>
        <w:right w:val="none" w:sz="0" w:space="0" w:color="auto"/>
      </w:divBdr>
    </w:div>
    <w:div w:id="760296009">
      <w:bodyDiv w:val="1"/>
      <w:marLeft w:val="0"/>
      <w:marRight w:val="0"/>
      <w:marTop w:val="0"/>
      <w:marBottom w:val="0"/>
      <w:divBdr>
        <w:top w:val="none" w:sz="0" w:space="0" w:color="auto"/>
        <w:left w:val="none" w:sz="0" w:space="0" w:color="auto"/>
        <w:bottom w:val="none" w:sz="0" w:space="0" w:color="auto"/>
        <w:right w:val="none" w:sz="0" w:space="0" w:color="auto"/>
      </w:divBdr>
      <w:divsChild>
        <w:div w:id="590546028">
          <w:marLeft w:val="0"/>
          <w:marRight w:val="0"/>
          <w:marTop w:val="0"/>
          <w:marBottom w:val="0"/>
          <w:divBdr>
            <w:top w:val="none" w:sz="0" w:space="0" w:color="auto"/>
            <w:left w:val="none" w:sz="0" w:space="0" w:color="auto"/>
            <w:bottom w:val="none" w:sz="0" w:space="0" w:color="auto"/>
            <w:right w:val="none" w:sz="0" w:space="0" w:color="auto"/>
          </w:divBdr>
        </w:div>
        <w:div w:id="1506943776">
          <w:marLeft w:val="0"/>
          <w:marRight w:val="0"/>
          <w:marTop w:val="0"/>
          <w:marBottom w:val="0"/>
          <w:divBdr>
            <w:top w:val="none" w:sz="0" w:space="0" w:color="auto"/>
            <w:left w:val="none" w:sz="0" w:space="0" w:color="auto"/>
            <w:bottom w:val="none" w:sz="0" w:space="0" w:color="auto"/>
            <w:right w:val="none" w:sz="0" w:space="0" w:color="auto"/>
          </w:divBdr>
        </w:div>
      </w:divsChild>
    </w:div>
    <w:div w:id="790898235">
      <w:bodyDiv w:val="1"/>
      <w:marLeft w:val="0"/>
      <w:marRight w:val="0"/>
      <w:marTop w:val="0"/>
      <w:marBottom w:val="0"/>
      <w:divBdr>
        <w:top w:val="none" w:sz="0" w:space="0" w:color="auto"/>
        <w:left w:val="none" w:sz="0" w:space="0" w:color="auto"/>
        <w:bottom w:val="none" w:sz="0" w:space="0" w:color="auto"/>
        <w:right w:val="none" w:sz="0" w:space="0" w:color="auto"/>
      </w:divBdr>
    </w:div>
    <w:div w:id="848984486">
      <w:bodyDiv w:val="1"/>
      <w:marLeft w:val="0"/>
      <w:marRight w:val="0"/>
      <w:marTop w:val="0"/>
      <w:marBottom w:val="0"/>
      <w:divBdr>
        <w:top w:val="none" w:sz="0" w:space="0" w:color="auto"/>
        <w:left w:val="none" w:sz="0" w:space="0" w:color="auto"/>
        <w:bottom w:val="none" w:sz="0" w:space="0" w:color="auto"/>
        <w:right w:val="none" w:sz="0" w:space="0" w:color="auto"/>
      </w:divBdr>
    </w:div>
    <w:div w:id="884561906">
      <w:bodyDiv w:val="1"/>
      <w:marLeft w:val="0"/>
      <w:marRight w:val="0"/>
      <w:marTop w:val="0"/>
      <w:marBottom w:val="0"/>
      <w:divBdr>
        <w:top w:val="none" w:sz="0" w:space="0" w:color="auto"/>
        <w:left w:val="none" w:sz="0" w:space="0" w:color="auto"/>
        <w:bottom w:val="none" w:sz="0" w:space="0" w:color="auto"/>
        <w:right w:val="none" w:sz="0" w:space="0" w:color="auto"/>
      </w:divBdr>
    </w:div>
    <w:div w:id="886793529">
      <w:bodyDiv w:val="1"/>
      <w:marLeft w:val="0"/>
      <w:marRight w:val="0"/>
      <w:marTop w:val="0"/>
      <w:marBottom w:val="0"/>
      <w:divBdr>
        <w:top w:val="none" w:sz="0" w:space="0" w:color="auto"/>
        <w:left w:val="none" w:sz="0" w:space="0" w:color="auto"/>
        <w:bottom w:val="none" w:sz="0" w:space="0" w:color="auto"/>
        <w:right w:val="none" w:sz="0" w:space="0" w:color="auto"/>
      </w:divBdr>
      <w:divsChild>
        <w:div w:id="1984894455">
          <w:marLeft w:val="475"/>
          <w:marRight w:val="0"/>
          <w:marTop w:val="86"/>
          <w:marBottom w:val="120"/>
          <w:divBdr>
            <w:top w:val="none" w:sz="0" w:space="0" w:color="auto"/>
            <w:left w:val="none" w:sz="0" w:space="0" w:color="auto"/>
            <w:bottom w:val="none" w:sz="0" w:space="0" w:color="auto"/>
            <w:right w:val="none" w:sz="0" w:space="0" w:color="auto"/>
          </w:divBdr>
        </w:div>
        <w:div w:id="1531645304">
          <w:marLeft w:val="475"/>
          <w:marRight w:val="0"/>
          <w:marTop w:val="86"/>
          <w:marBottom w:val="120"/>
          <w:divBdr>
            <w:top w:val="none" w:sz="0" w:space="0" w:color="auto"/>
            <w:left w:val="none" w:sz="0" w:space="0" w:color="auto"/>
            <w:bottom w:val="none" w:sz="0" w:space="0" w:color="auto"/>
            <w:right w:val="none" w:sz="0" w:space="0" w:color="auto"/>
          </w:divBdr>
        </w:div>
        <w:div w:id="154538383">
          <w:marLeft w:val="475"/>
          <w:marRight w:val="0"/>
          <w:marTop w:val="86"/>
          <w:marBottom w:val="120"/>
          <w:divBdr>
            <w:top w:val="none" w:sz="0" w:space="0" w:color="auto"/>
            <w:left w:val="none" w:sz="0" w:space="0" w:color="auto"/>
            <w:bottom w:val="none" w:sz="0" w:space="0" w:color="auto"/>
            <w:right w:val="none" w:sz="0" w:space="0" w:color="auto"/>
          </w:divBdr>
        </w:div>
        <w:div w:id="2146585556">
          <w:marLeft w:val="475"/>
          <w:marRight w:val="0"/>
          <w:marTop w:val="86"/>
          <w:marBottom w:val="120"/>
          <w:divBdr>
            <w:top w:val="none" w:sz="0" w:space="0" w:color="auto"/>
            <w:left w:val="none" w:sz="0" w:space="0" w:color="auto"/>
            <w:bottom w:val="none" w:sz="0" w:space="0" w:color="auto"/>
            <w:right w:val="none" w:sz="0" w:space="0" w:color="auto"/>
          </w:divBdr>
        </w:div>
      </w:divsChild>
    </w:div>
    <w:div w:id="1015421488">
      <w:bodyDiv w:val="1"/>
      <w:marLeft w:val="0"/>
      <w:marRight w:val="0"/>
      <w:marTop w:val="0"/>
      <w:marBottom w:val="0"/>
      <w:divBdr>
        <w:top w:val="none" w:sz="0" w:space="0" w:color="auto"/>
        <w:left w:val="none" w:sz="0" w:space="0" w:color="auto"/>
        <w:bottom w:val="none" w:sz="0" w:space="0" w:color="auto"/>
        <w:right w:val="none" w:sz="0" w:space="0" w:color="auto"/>
      </w:divBdr>
    </w:div>
    <w:div w:id="1041370132">
      <w:bodyDiv w:val="1"/>
      <w:marLeft w:val="0"/>
      <w:marRight w:val="0"/>
      <w:marTop w:val="0"/>
      <w:marBottom w:val="0"/>
      <w:divBdr>
        <w:top w:val="none" w:sz="0" w:space="0" w:color="auto"/>
        <w:left w:val="none" w:sz="0" w:space="0" w:color="auto"/>
        <w:bottom w:val="none" w:sz="0" w:space="0" w:color="auto"/>
        <w:right w:val="none" w:sz="0" w:space="0" w:color="auto"/>
      </w:divBdr>
      <w:divsChild>
        <w:div w:id="22679028">
          <w:marLeft w:val="475"/>
          <w:marRight w:val="0"/>
          <w:marTop w:val="86"/>
          <w:marBottom w:val="120"/>
          <w:divBdr>
            <w:top w:val="none" w:sz="0" w:space="0" w:color="auto"/>
            <w:left w:val="none" w:sz="0" w:space="0" w:color="auto"/>
            <w:bottom w:val="none" w:sz="0" w:space="0" w:color="auto"/>
            <w:right w:val="none" w:sz="0" w:space="0" w:color="auto"/>
          </w:divBdr>
        </w:div>
        <w:div w:id="862279373">
          <w:marLeft w:val="994"/>
          <w:marRight w:val="0"/>
          <w:marTop w:val="77"/>
          <w:marBottom w:val="120"/>
          <w:divBdr>
            <w:top w:val="none" w:sz="0" w:space="0" w:color="auto"/>
            <w:left w:val="none" w:sz="0" w:space="0" w:color="auto"/>
            <w:bottom w:val="none" w:sz="0" w:space="0" w:color="auto"/>
            <w:right w:val="none" w:sz="0" w:space="0" w:color="auto"/>
          </w:divBdr>
        </w:div>
        <w:div w:id="851189381">
          <w:marLeft w:val="994"/>
          <w:marRight w:val="0"/>
          <w:marTop w:val="77"/>
          <w:marBottom w:val="120"/>
          <w:divBdr>
            <w:top w:val="none" w:sz="0" w:space="0" w:color="auto"/>
            <w:left w:val="none" w:sz="0" w:space="0" w:color="auto"/>
            <w:bottom w:val="none" w:sz="0" w:space="0" w:color="auto"/>
            <w:right w:val="none" w:sz="0" w:space="0" w:color="auto"/>
          </w:divBdr>
        </w:div>
        <w:div w:id="2079208153">
          <w:marLeft w:val="994"/>
          <w:marRight w:val="0"/>
          <w:marTop w:val="77"/>
          <w:marBottom w:val="120"/>
          <w:divBdr>
            <w:top w:val="none" w:sz="0" w:space="0" w:color="auto"/>
            <w:left w:val="none" w:sz="0" w:space="0" w:color="auto"/>
            <w:bottom w:val="none" w:sz="0" w:space="0" w:color="auto"/>
            <w:right w:val="none" w:sz="0" w:space="0" w:color="auto"/>
          </w:divBdr>
        </w:div>
        <w:div w:id="649331972">
          <w:marLeft w:val="475"/>
          <w:marRight w:val="0"/>
          <w:marTop w:val="86"/>
          <w:marBottom w:val="120"/>
          <w:divBdr>
            <w:top w:val="none" w:sz="0" w:space="0" w:color="auto"/>
            <w:left w:val="none" w:sz="0" w:space="0" w:color="auto"/>
            <w:bottom w:val="none" w:sz="0" w:space="0" w:color="auto"/>
            <w:right w:val="none" w:sz="0" w:space="0" w:color="auto"/>
          </w:divBdr>
        </w:div>
        <w:div w:id="1096631089">
          <w:marLeft w:val="994"/>
          <w:marRight w:val="0"/>
          <w:marTop w:val="77"/>
          <w:marBottom w:val="120"/>
          <w:divBdr>
            <w:top w:val="none" w:sz="0" w:space="0" w:color="auto"/>
            <w:left w:val="none" w:sz="0" w:space="0" w:color="auto"/>
            <w:bottom w:val="none" w:sz="0" w:space="0" w:color="auto"/>
            <w:right w:val="none" w:sz="0" w:space="0" w:color="auto"/>
          </w:divBdr>
        </w:div>
        <w:div w:id="1172987091">
          <w:marLeft w:val="994"/>
          <w:marRight w:val="0"/>
          <w:marTop w:val="77"/>
          <w:marBottom w:val="120"/>
          <w:divBdr>
            <w:top w:val="none" w:sz="0" w:space="0" w:color="auto"/>
            <w:left w:val="none" w:sz="0" w:space="0" w:color="auto"/>
            <w:bottom w:val="none" w:sz="0" w:space="0" w:color="auto"/>
            <w:right w:val="none" w:sz="0" w:space="0" w:color="auto"/>
          </w:divBdr>
        </w:div>
      </w:divsChild>
    </w:div>
    <w:div w:id="1044136006">
      <w:bodyDiv w:val="1"/>
      <w:marLeft w:val="0"/>
      <w:marRight w:val="0"/>
      <w:marTop w:val="0"/>
      <w:marBottom w:val="0"/>
      <w:divBdr>
        <w:top w:val="none" w:sz="0" w:space="0" w:color="auto"/>
        <w:left w:val="none" w:sz="0" w:space="0" w:color="auto"/>
        <w:bottom w:val="none" w:sz="0" w:space="0" w:color="auto"/>
        <w:right w:val="none" w:sz="0" w:space="0" w:color="auto"/>
      </w:divBdr>
    </w:div>
    <w:div w:id="1084228895">
      <w:bodyDiv w:val="1"/>
      <w:marLeft w:val="0"/>
      <w:marRight w:val="0"/>
      <w:marTop w:val="0"/>
      <w:marBottom w:val="0"/>
      <w:divBdr>
        <w:top w:val="none" w:sz="0" w:space="0" w:color="auto"/>
        <w:left w:val="none" w:sz="0" w:space="0" w:color="auto"/>
        <w:bottom w:val="none" w:sz="0" w:space="0" w:color="auto"/>
        <w:right w:val="none" w:sz="0" w:space="0" w:color="auto"/>
      </w:divBdr>
    </w:div>
    <w:div w:id="1112750037">
      <w:bodyDiv w:val="1"/>
      <w:marLeft w:val="0"/>
      <w:marRight w:val="0"/>
      <w:marTop w:val="0"/>
      <w:marBottom w:val="0"/>
      <w:divBdr>
        <w:top w:val="none" w:sz="0" w:space="0" w:color="auto"/>
        <w:left w:val="none" w:sz="0" w:space="0" w:color="auto"/>
        <w:bottom w:val="none" w:sz="0" w:space="0" w:color="auto"/>
        <w:right w:val="none" w:sz="0" w:space="0" w:color="auto"/>
      </w:divBdr>
      <w:divsChild>
        <w:div w:id="1888906589">
          <w:marLeft w:val="360"/>
          <w:marRight w:val="0"/>
          <w:marTop w:val="200"/>
          <w:marBottom w:val="0"/>
          <w:divBdr>
            <w:top w:val="none" w:sz="0" w:space="0" w:color="auto"/>
            <w:left w:val="none" w:sz="0" w:space="0" w:color="auto"/>
            <w:bottom w:val="none" w:sz="0" w:space="0" w:color="auto"/>
            <w:right w:val="none" w:sz="0" w:space="0" w:color="auto"/>
          </w:divBdr>
        </w:div>
      </w:divsChild>
    </w:div>
    <w:div w:id="1167092385">
      <w:bodyDiv w:val="1"/>
      <w:marLeft w:val="0"/>
      <w:marRight w:val="0"/>
      <w:marTop w:val="0"/>
      <w:marBottom w:val="0"/>
      <w:divBdr>
        <w:top w:val="none" w:sz="0" w:space="0" w:color="auto"/>
        <w:left w:val="none" w:sz="0" w:space="0" w:color="auto"/>
        <w:bottom w:val="none" w:sz="0" w:space="0" w:color="auto"/>
        <w:right w:val="none" w:sz="0" w:space="0" w:color="auto"/>
      </w:divBdr>
    </w:div>
    <w:div w:id="1171599055">
      <w:bodyDiv w:val="1"/>
      <w:marLeft w:val="0"/>
      <w:marRight w:val="0"/>
      <w:marTop w:val="0"/>
      <w:marBottom w:val="0"/>
      <w:divBdr>
        <w:top w:val="none" w:sz="0" w:space="0" w:color="auto"/>
        <w:left w:val="none" w:sz="0" w:space="0" w:color="auto"/>
        <w:bottom w:val="none" w:sz="0" w:space="0" w:color="auto"/>
        <w:right w:val="none" w:sz="0" w:space="0" w:color="auto"/>
      </w:divBdr>
    </w:div>
    <w:div w:id="1301617325">
      <w:bodyDiv w:val="1"/>
      <w:marLeft w:val="0"/>
      <w:marRight w:val="0"/>
      <w:marTop w:val="0"/>
      <w:marBottom w:val="0"/>
      <w:divBdr>
        <w:top w:val="none" w:sz="0" w:space="0" w:color="auto"/>
        <w:left w:val="none" w:sz="0" w:space="0" w:color="auto"/>
        <w:bottom w:val="none" w:sz="0" w:space="0" w:color="auto"/>
        <w:right w:val="none" w:sz="0" w:space="0" w:color="auto"/>
      </w:divBdr>
      <w:divsChild>
        <w:div w:id="1061516495">
          <w:marLeft w:val="475"/>
          <w:marRight w:val="0"/>
          <w:marTop w:val="86"/>
          <w:marBottom w:val="120"/>
          <w:divBdr>
            <w:top w:val="none" w:sz="0" w:space="0" w:color="auto"/>
            <w:left w:val="none" w:sz="0" w:space="0" w:color="auto"/>
            <w:bottom w:val="none" w:sz="0" w:space="0" w:color="auto"/>
            <w:right w:val="none" w:sz="0" w:space="0" w:color="auto"/>
          </w:divBdr>
        </w:div>
        <w:div w:id="1162088604">
          <w:marLeft w:val="475"/>
          <w:marRight w:val="0"/>
          <w:marTop w:val="86"/>
          <w:marBottom w:val="120"/>
          <w:divBdr>
            <w:top w:val="none" w:sz="0" w:space="0" w:color="auto"/>
            <w:left w:val="none" w:sz="0" w:space="0" w:color="auto"/>
            <w:bottom w:val="none" w:sz="0" w:space="0" w:color="auto"/>
            <w:right w:val="none" w:sz="0" w:space="0" w:color="auto"/>
          </w:divBdr>
        </w:div>
      </w:divsChild>
    </w:div>
    <w:div w:id="1315641237">
      <w:bodyDiv w:val="1"/>
      <w:marLeft w:val="0"/>
      <w:marRight w:val="0"/>
      <w:marTop w:val="0"/>
      <w:marBottom w:val="0"/>
      <w:divBdr>
        <w:top w:val="none" w:sz="0" w:space="0" w:color="auto"/>
        <w:left w:val="none" w:sz="0" w:space="0" w:color="auto"/>
        <w:bottom w:val="none" w:sz="0" w:space="0" w:color="auto"/>
        <w:right w:val="none" w:sz="0" w:space="0" w:color="auto"/>
      </w:divBdr>
      <w:divsChild>
        <w:div w:id="2017533228">
          <w:marLeft w:val="446"/>
          <w:marRight w:val="0"/>
          <w:marTop w:val="0"/>
          <w:marBottom w:val="0"/>
          <w:divBdr>
            <w:top w:val="none" w:sz="0" w:space="0" w:color="auto"/>
            <w:left w:val="none" w:sz="0" w:space="0" w:color="auto"/>
            <w:bottom w:val="none" w:sz="0" w:space="0" w:color="auto"/>
            <w:right w:val="none" w:sz="0" w:space="0" w:color="auto"/>
          </w:divBdr>
        </w:div>
        <w:div w:id="360009098">
          <w:marLeft w:val="446"/>
          <w:marRight w:val="0"/>
          <w:marTop w:val="0"/>
          <w:marBottom w:val="0"/>
          <w:divBdr>
            <w:top w:val="none" w:sz="0" w:space="0" w:color="auto"/>
            <w:left w:val="none" w:sz="0" w:space="0" w:color="auto"/>
            <w:bottom w:val="none" w:sz="0" w:space="0" w:color="auto"/>
            <w:right w:val="none" w:sz="0" w:space="0" w:color="auto"/>
          </w:divBdr>
        </w:div>
      </w:divsChild>
    </w:div>
    <w:div w:id="1352149894">
      <w:bodyDiv w:val="1"/>
      <w:marLeft w:val="0"/>
      <w:marRight w:val="0"/>
      <w:marTop w:val="0"/>
      <w:marBottom w:val="0"/>
      <w:divBdr>
        <w:top w:val="none" w:sz="0" w:space="0" w:color="auto"/>
        <w:left w:val="none" w:sz="0" w:space="0" w:color="auto"/>
        <w:bottom w:val="none" w:sz="0" w:space="0" w:color="auto"/>
        <w:right w:val="none" w:sz="0" w:space="0" w:color="auto"/>
      </w:divBdr>
      <w:divsChild>
        <w:div w:id="1525360625">
          <w:marLeft w:val="360"/>
          <w:marRight w:val="0"/>
          <w:marTop w:val="200"/>
          <w:marBottom w:val="0"/>
          <w:divBdr>
            <w:top w:val="none" w:sz="0" w:space="0" w:color="auto"/>
            <w:left w:val="none" w:sz="0" w:space="0" w:color="auto"/>
            <w:bottom w:val="none" w:sz="0" w:space="0" w:color="auto"/>
            <w:right w:val="none" w:sz="0" w:space="0" w:color="auto"/>
          </w:divBdr>
        </w:div>
      </w:divsChild>
    </w:div>
    <w:div w:id="1385567175">
      <w:bodyDiv w:val="1"/>
      <w:marLeft w:val="0"/>
      <w:marRight w:val="0"/>
      <w:marTop w:val="0"/>
      <w:marBottom w:val="0"/>
      <w:divBdr>
        <w:top w:val="none" w:sz="0" w:space="0" w:color="auto"/>
        <w:left w:val="none" w:sz="0" w:space="0" w:color="auto"/>
        <w:bottom w:val="none" w:sz="0" w:space="0" w:color="auto"/>
        <w:right w:val="none" w:sz="0" w:space="0" w:color="auto"/>
      </w:divBdr>
    </w:div>
    <w:div w:id="1437096613">
      <w:bodyDiv w:val="1"/>
      <w:marLeft w:val="0"/>
      <w:marRight w:val="0"/>
      <w:marTop w:val="0"/>
      <w:marBottom w:val="0"/>
      <w:divBdr>
        <w:top w:val="none" w:sz="0" w:space="0" w:color="auto"/>
        <w:left w:val="none" w:sz="0" w:space="0" w:color="auto"/>
        <w:bottom w:val="none" w:sz="0" w:space="0" w:color="auto"/>
        <w:right w:val="none" w:sz="0" w:space="0" w:color="auto"/>
      </w:divBdr>
    </w:div>
    <w:div w:id="1442383774">
      <w:bodyDiv w:val="1"/>
      <w:marLeft w:val="0"/>
      <w:marRight w:val="0"/>
      <w:marTop w:val="0"/>
      <w:marBottom w:val="0"/>
      <w:divBdr>
        <w:top w:val="none" w:sz="0" w:space="0" w:color="auto"/>
        <w:left w:val="none" w:sz="0" w:space="0" w:color="auto"/>
        <w:bottom w:val="none" w:sz="0" w:space="0" w:color="auto"/>
        <w:right w:val="none" w:sz="0" w:space="0" w:color="auto"/>
      </w:divBdr>
      <w:divsChild>
        <w:div w:id="1685202956">
          <w:marLeft w:val="360"/>
          <w:marRight w:val="0"/>
          <w:marTop w:val="0"/>
          <w:marBottom w:val="240"/>
          <w:divBdr>
            <w:top w:val="none" w:sz="0" w:space="0" w:color="auto"/>
            <w:left w:val="none" w:sz="0" w:space="0" w:color="auto"/>
            <w:bottom w:val="none" w:sz="0" w:space="0" w:color="auto"/>
            <w:right w:val="none" w:sz="0" w:space="0" w:color="auto"/>
          </w:divBdr>
        </w:div>
      </w:divsChild>
    </w:div>
    <w:div w:id="1472400300">
      <w:bodyDiv w:val="1"/>
      <w:marLeft w:val="0"/>
      <w:marRight w:val="0"/>
      <w:marTop w:val="0"/>
      <w:marBottom w:val="0"/>
      <w:divBdr>
        <w:top w:val="none" w:sz="0" w:space="0" w:color="auto"/>
        <w:left w:val="none" w:sz="0" w:space="0" w:color="auto"/>
        <w:bottom w:val="none" w:sz="0" w:space="0" w:color="auto"/>
        <w:right w:val="none" w:sz="0" w:space="0" w:color="auto"/>
      </w:divBdr>
      <w:divsChild>
        <w:div w:id="1757553709">
          <w:marLeft w:val="475"/>
          <w:marRight w:val="0"/>
          <w:marTop w:val="86"/>
          <w:marBottom w:val="120"/>
          <w:divBdr>
            <w:top w:val="none" w:sz="0" w:space="0" w:color="auto"/>
            <w:left w:val="none" w:sz="0" w:space="0" w:color="auto"/>
            <w:bottom w:val="none" w:sz="0" w:space="0" w:color="auto"/>
            <w:right w:val="none" w:sz="0" w:space="0" w:color="auto"/>
          </w:divBdr>
        </w:div>
      </w:divsChild>
    </w:div>
    <w:div w:id="1539705029">
      <w:bodyDiv w:val="1"/>
      <w:marLeft w:val="0"/>
      <w:marRight w:val="0"/>
      <w:marTop w:val="0"/>
      <w:marBottom w:val="0"/>
      <w:divBdr>
        <w:top w:val="none" w:sz="0" w:space="0" w:color="auto"/>
        <w:left w:val="none" w:sz="0" w:space="0" w:color="auto"/>
        <w:bottom w:val="none" w:sz="0" w:space="0" w:color="auto"/>
        <w:right w:val="none" w:sz="0" w:space="0" w:color="auto"/>
      </w:divBdr>
    </w:div>
    <w:div w:id="1620648949">
      <w:bodyDiv w:val="1"/>
      <w:marLeft w:val="0"/>
      <w:marRight w:val="0"/>
      <w:marTop w:val="0"/>
      <w:marBottom w:val="0"/>
      <w:divBdr>
        <w:top w:val="none" w:sz="0" w:space="0" w:color="auto"/>
        <w:left w:val="none" w:sz="0" w:space="0" w:color="auto"/>
        <w:bottom w:val="none" w:sz="0" w:space="0" w:color="auto"/>
        <w:right w:val="none" w:sz="0" w:space="0" w:color="auto"/>
      </w:divBdr>
      <w:divsChild>
        <w:div w:id="2012443872">
          <w:marLeft w:val="475"/>
          <w:marRight w:val="0"/>
          <w:marTop w:val="86"/>
          <w:marBottom w:val="120"/>
          <w:divBdr>
            <w:top w:val="none" w:sz="0" w:space="0" w:color="auto"/>
            <w:left w:val="none" w:sz="0" w:space="0" w:color="auto"/>
            <w:bottom w:val="none" w:sz="0" w:space="0" w:color="auto"/>
            <w:right w:val="none" w:sz="0" w:space="0" w:color="auto"/>
          </w:divBdr>
        </w:div>
      </w:divsChild>
    </w:div>
    <w:div w:id="1651707827">
      <w:bodyDiv w:val="1"/>
      <w:marLeft w:val="0"/>
      <w:marRight w:val="0"/>
      <w:marTop w:val="0"/>
      <w:marBottom w:val="0"/>
      <w:divBdr>
        <w:top w:val="none" w:sz="0" w:space="0" w:color="auto"/>
        <w:left w:val="none" w:sz="0" w:space="0" w:color="auto"/>
        <w:bottom w:val="none" w:sz="0" w:space="0" w:color="auto"/>
        <w:right w:val="none" w:sz="0" w:space="0" w:color="auto"/>
      </w:divBdr>
    </w:div>
    <w:div w:id="1670864545">
      <w:bodyDiv w:val="1"/>
      <w:marLeft w:val="0"/>
      <w:marRight w:val="0"/>
      <w:marTop w:val="0"/>
      <w:marBottom w:val="0"/>
      <w:divBdr>
        <w:top w:val="none" w:sz="0" w:space="0" w:color="auto"/>
        <w:left w:val="none" w:sz="0" w:space="0" w:color="auto"/>
        <w:bottom w:val="none" w:sz="0" w:space="0" w:color="auto"/>
        <w:right w:val="none" w:sz="0" w:space="0" w:color="auto"/>
      </w:divBdr>
      <w:divsChild>
        <w:div w:id="1881890472">
          <w:marLeft w:val="806"/>
          <w:marRight w:val="0"/>
          <w:marTop w:val="86"/>
          <w:marBottom w:val="120"/>
          <w:divBdr>
            <w:top w:val="none" w:sz="0" w:space="0" w:color="auto"/>
            <w:left w:val="none" w:sz="0" w:space="0" w:color="auto"/>
            <w:bottom w:val="none" w:sz="0" w:space="0" w:color="auto"/>
            <w:right w:val="none" w:sz="0" w:space="0" w:color="auto"/>
          </w:divBdr>
        </w:div>
        <w:div w:id="209464915">
          <w:marLeft w:val="806"/>
          <w:marRight w:val="0"/>
          <w:marTop w:val="86"/>
          <w:marBottom w:val="120"/>
          <w:divBdr>
            <w:top w:val="none" w:sz="0" w:space="0" w:color="auto"/>
            <w:left w:val="none" w:sz="0" w:space="0" w:color="auto"/>
            <w:bottom w:val="none" w:sz="0" w:space="0" w:color="auto"/>
            <w:right w:val="none" w:sz="0" w:space="0" w:color="auto"/>
          </w:divBdr>
        </w:div>
        <w:div w:id="647242754">
          <w:marLeft w:val="806"/>
          <w:marRight w:val="0"/>
          <w:marTop w:val="86"/>
          <w:marBottom w:val="120"/>
          <w:divBdr>
            <w:top w:val="none" w:sz="0" w:space="0" w:color="auto"/>
            <w:left w:val="none" w:sz="0" w:space="0" w:color="auto"/>
            <w:bottom w:val="none" w:sz="0" w:space="0" w:color="auto"/>
            <w:right w:val="none" w:sz="0" w:space="0" w:color="auto"/>
          </w:divBdr>
        </w:div>
      </w:divsChild>
    </w:div>
    <w:div w:id="1673794599">
      <w:bodyDiv w:val="1"/>
      <w:marLeft w:val="0"/>
      <w:marRight w:val="0"/>
      <w:marTop w:val="0"/>
      <w:marBottom w:val="0"/>
      <w:divBdr>
        <w:top w:val="none" w:sz="0" w:space="0" w:color="auto"/>
        <w:left w:val="none" w:sz="0" w:space="0" w:color="auto"/>
        <w:bottom w:val="none" w:sz="0" w:space="0" w:color="auto"/>
        <w:right w:val="none" w:sz="0" w:space="0" w:color="auto"/>
      </w:divBdr>
      <w:divsChild>
        <w:div w:id="1753431619">
          <w:marLeft w:val="475"/>
          <w:marRight w:val="0"/>
          <w:marTop w:val="86"/>
          <w:marBottom w:val="120"/>
          <w:divBdr>
            <w:top w:val="none" w:sz="0" w:space="0" w:color="auto"/>
            <w:left w:val="none" w:sz="0" w:space="0" w:color="auto"/>
            <w:bottom w:val="none" w:sz="0" w:space="0" w:color="auto"/>
            <w:right w:val="none" w:sz="0" w:space="0" w:color="auto"/>
          </w:divBdr>
        </w:div>
        <w:div w:id="121076640">
          <w:marLeft w:val="475"/>
          <w:marRight w:val="0"/>
          <w:marTop w:val="86"/>
          <w:marBottom w:val="120"/>
          <w:divBdr>
            <w:top w:val="none" w:sz="0" w:space="0" w:color="auto"/>
            <w:left w:val="none" w:sz="0" w:space="0" w:color="auto"/>
            <w:bottom w:val="none" w:sz="0" w:space="0" w:color="auto"/>
            <w:right w:val="none" w:sz="0" w:space="0" w:color="auto"/>
          </w:divBdr>
        </w:div>
        <w:div w:id="992099356">
          <w:marLeft w:val="475"/>
          <w:marRight w:val="0"/>
          <w:marTop w:val="86"/>
          <w:marBottom w:val="120"/>
          <w:divBdr>
            <w:top w:val="none" w:sz="0" w:space="0" w:color="auto"/>
            <w:left w:val="none" w:sz="0" w:space="0" w:color="auto"/>
            <w:bottom w:val="none" w:sz="0" w:space="0" w:color="auto"/>
            <w:right w:val="none" w:sz="0" w:space="0" w:color="auto"/>
          </w:divBdr>
        </w:div>
        <w:div w:id="1780565456">
          <w:marLeft w:val="475"/>
          <w:marRight w:val="0"/>
          <w:marTop w:val="86"/>
          <w:marBottom w:val="120"/>
          <w:divBdr>
            <w:top w:val="none" w:sz="0" w:space="0" w:color="auto"/>
            <w:left w:val="none" w:sz="0" w:space="0" w:color="auto"/>
            <w:bottom w:val="none" w:sz="0" w:space="0" w:color="auto"/>
            <w:right w:val="none" w:sz="0" w:space="0" w:color="auto"/>
          </w:divBdr>
        </w:div>
      </w:divsChild>
    </w:div>
    <w:div w:id="1680741283">
      <w:bodyDiv w:val="1"/>
      <w:marLeft w:val="0"/>
      <w:marRight w:val="0"/>
      <w:marTop w:val="0"/>
      <w:marBottom w:val="0"/>
      <w:divBdr>
        <w:top w:val="none" w:sz="0" w:space="0" w:color="auto"/>
        <w:left w:val="none" w:sz="0" w:space="0" w:color="auto"/>
        <w:bottom w:val="none" w:sz="0" w:space="0" w:color="auto"/>
        <w:right w:val="none" w:sz="0" w:space="0" w:color="auto"/>
      </w:divBdr>
      <w:divsChild>
        <w:div w:id="1482651595">
          <w:marLeft w:val="475"/>
          <w:marRight w:val="0"/>
          <w:marTop w:val="82"/>
          <w:marBottom w:val="120"/>
          <w:divBdr>
            <w:top w:val="none" w:sz="0" w:space="0" w:color="auto"/>
            <w:left w:val="none" w:sz="0" w:space="0" w:color="auto"/>
            <w:bottom w:val="none" w:sz="0" w:space="0" w:color="auto"/>
            <w:right w:val="none" w:sz="0" w:space="0" w:color="auto"/>
          </w:divBdr>
        </w:div>
      </w:divsChild>
    </w:div>
    <w:div w:id="1688215306">
      <w:bodyDiv w:val="1"/>
      <w:marLeft w:val="0"/>
      <w:marRight w:val="0"/>
      <w:marTop w:val="0"/>
      <w:marBottom w:val="0"/>
      <w:divBdr>
        <w:top w:val="none" w:sz="0" w:space="0" w:color="auto"/>
        <w:left w:val="none" w:sz="0" w:space="0" w:color="auto"/>
        <w:bottom w:val="none" w:sz="0" w:space="0" w:color="auto"/>
        <w:right w:val="none" w:sz="0" w:space="0" w:color="auto"/>
      </w:divBdr>
      <w:divsChild>
        <w:div w:id="387192344">
          <w:marLeft w:val="360"/>
          <w:marRight w:val="0"/>
          <w:marTop w:val="200"/>
          <w:marBottom w:val="0"/>
          <w:divBdr>
            <w:top w:val="none" w:sz="0" w:space="0" w:color="auto"/>
            <w:left w:val="none" w:sz="0" w:space="0" w:color="auto"/>
            <w:bottom w:val="none" w:sz="0" w:space="0" w:color="auto"/>
            <w:right w:val="none" w:sz="0" w:space="0" w:color="auto"/>
          </w:divBdr>
        </w:div>
        <w:div w:id="354308751">
          <w:marLeft w:val="360"/>
          <w:marRight w:val="0"/>
          <w:marTop w:val="200"/>
          <w:marBottom w:val="0"/>
          <w:divBdr>
            <w:top w:val="none" w:sz="0" w:space="0" w:color="auto"/>
            <w:left w:val="none" w:sz="0" w:space="0" w:color="auto"/>
            <w:bottom w:val="none" w:sz="0" w:space="0" w:color="auto"/>
            <w:right w:val="none" w:sz="0" w:space="0" w:color="auto"/>
          </w:divBdr>
        </w:div>
      </w:divsChild>
    </w:div>
    <w:div w:id="1694266423">
      <w:bodyDiv w:val="1"/>
      <w:marLeft w:val="0"/>
      <w:marRight w:val="0"/>
      <w:marTop w:val="0"/>
      <w:marBottom w:val="0"/>
      <w:divBdr>
        <w:top w:val="none" w:sz="0" w:space="0" w:color="auto"/>
        <w:left w:val="none" w:sz="0" w:space="0" w:color="auto"/>
        <w:bottom w:val="none" w:sz="0" w:space="0" w:color="auto"/>
        <w:right w:val="none" w:sz="0" w:space="0" w:color="auto"/>
      </w:divBdr>
      <w:divsChild>
        <w:div w:id="381445285">
          <w:marLeft w:val="1080"/>
          <w:marRight w:val="0"/>
          <w:marTop w:val="0"/>
          <w:marBottom w:val="240"/>
          <w:divBdr>
            <w:top w:val="none" w:sz="0" w:space="0" w:color="auto"/>
            <w:left w:val="none" w:sz="0" w:space="0" w:color="auto"/>
            <w:bottom w:val="none" w:sz="0" w:space="0" w:color="auto"/>
            <w:right w:val="none" w:sz="0" w:space="0" w:color="auto"/>
          </w:divBdr>
        </w:div>
        <w:div w:id="2120832714">
          <w:marLeft w:val="1080"/>
          <w:marRight w:val="0"/>
          <w:marTop w:val="0"/>
          <w:marBottom w:val="240"/>
          <w:divBdr>
            <w:top w:val="none" w:sz="0" w:space="0" w:color="auto"/>
            <w:left w:val="none" w:sz="0" w:space="0" w:color="auto"/>
            <w:bottom w:val="none" w:sz="0" w:space="0" w:color="auto"/>
            <w:right w:val="none" w:sz="0" w:space="0" w:color="auto"/>
          </w:divBdr>
        </w:div>
        <w:div w:id="747075622">
          <w:marLeft w:val="1080"/>
          <w:marRight w:val="0"/>
          <w:marTop w:val="0"/>
          <w:marBottom w:val="240"/>
          <w:divBdr>
            <w:top w:val="none" w:sz="0" w:space="0" w:color="auto"/>
            <w:left w:val="none" w:sz="0" w:space="0" w:color="auto"/>
            <w:bottom w:val="none" w:sz="0" w:space="0" w:color="auto"/>
            <w:right w:val="none" w:sz="0" w:space="0" w:color="auto"/>
          </w:divBdr>
        </w:div>
      </w:divsChild>
    </w:div>
    <w:div w:id="1714846846">
      <w:bodyDiv w:val="1"/>
      <w:marLeft w:val="0"/>
      <w:marRight w:val="0"/>
      <w:marTop w:val="0"/>
      <w:marBottom w:val="0"/>
      <w:divBdr>
        <w:top w:val="none" w:sz="0" w:space="0" w:color="auto"/>
        <w:left w:val="none" w:sz="0" w:space="0" w:color="auto"/>
        <w:bottom w:val="none" w:sz="0" w:space="0" w:color="auto"/>
        <w:right w:val="none" w:sz="0" w:space="0" w:color="auto"/>
      </w:divBdr>
    </w:div>
    <w:div w:id="1765414766">
      <w:bodyDiv w:val="1"/>
      <w:marLeft w:val="0"/>
      <w:marRight w:val="0"/>
      <w:marTop w:val="0"/>
      <w:marBottom w:val="0"/>
      <w:divBdr>
        <w:top w:val="none" w:sz="0" w:space="0" w:color="auto"/>
        <w:left w:val="none" w:sz="0" w:space="0" w:color="auto"/>
        <w:bottom w:val="none" w:sz="0" w:space="0" w:color="auto"/>
        <w:right w:val="none" w:sz="0" w:space="0" w:color="auto"/>
      </w:divBdr>
      <w:divsChild>
        <w:div w:id="20325545">
          <w:marLeft w:val="547"/>
          <w:marRight w:val="0"/>
          <w:marTop w:val="200"/>
          <w:marBottom w:val="0"/>
          <w:divBdr>
            <w:top w:val="none" w:sz="0" w:space="0" w:color="auto"/>
            <w:left w:val="none" w:sz="0" w:space="0" w:color="auto"/>
            <w:bottom w:val="none" w:sz="0" w:space="0" w:color="auto"/>
            <w:right w:val="none" w:sz="0" w:space="0" w:color="auto"/>
          </w:divBdr>
        </w:div>
      </w:divsChild>
    </w:div>
    <w:div w:id="1866482904">
      <w:bodyDiv w:val="1"/>
      <w:marLeft w:val="0"/>
      <w:marRight w:val="0"/>
      <w:marTop w:val="0"/>
      <w:marBottom w:val="0"/>
      <w:divBdr>
        <w:top w:val="none" w:sz="0" w:space="0" w:color="auto"/>
        <w:left w:val="none" w:sz="0" w:space="0" w:color="auto"/>
        <w:bottom w:val="none" w:sz="0" w:space="0" w:color="auto"/>
        <w:right w:val="none" w:sz="0" w:space="0" w:color="auto"/>
      </w:divBdr>
    </w:div>
    <w:div w:id="1867936806">
      <w:bodyDiv w:val="1"/>
      <w:marLeft w:val="0"/>
      <w:marRight w:val="0"/>
      <w:marTop w:val="0"/>
      <w:marBottom w:val="0"/>
      <w:divBdr>
        <w:top w:val="none" w:sz="0" w:space="0" w:color="auto"/>
        <w:left w:val="none" w:sz="0" w:space="0" w:color="auto"/>
        <w:bottom w:val="none" w:sz="0" w:space="0" w:color="auto"/>
        <w:right w:val="none" w:sz="0" w:space="0" w:color="auto"/>
      </w:divBdr>
    </w:div>
    <w:div w:id="1869443588">
      <w:bodyDiv w:val="1"/>
      <w:marLeft w:val="0"/>
      <w:marRight w:val="0"/>
      <w:marTop w:val="0"/>
      <w:marBottom w:val="0"/>
      <w:divBdr>
        <w:top w:val="none" w:sz="0" w:space="0" w:color="auto"/>
        <w:left w:val="none" w:sz="0" w:space="0" w:color="auto"/>
        <w:bottom w:val="none" w:sz="0" w:space="0" w:color="auto"/>
        <w:right w:val="none" w:sz="0" w:space="0" w:color="auto"/>
      </w:divBdr>
      <w:divsChild>
        <w:div w:id="1842969177">
          <w:marLeft w:val="360"/>
          <w:marRight w:val="0"/>
          <w:marTop w:val="200"/>
          <w:marBottom w:val="0"/>
          <w:divBdr>
            <w:top w:val="none" w:sz="0" w:space="0" w:color="auto"/>
            <w:left w:val="none" w:sz="0" w:space="0" w:color="auto"/>
            <w:bottom w:val="none" w:sz="0" w:space="0" w:color="auto"/>
            <w:right w:val="none" w:sz="0" w:space="0" w:color="auto"/>
          </w:divBdr>
        </w:div>
        <w:div w:id="1297562764">
          <w:marLeft w:val="360"/>
          <w:marRight w:val="0"/>
          <w:marTop w:val="200"/>
          <w:marBottom w:val="0"/>
          <w:divBdr>
            <w:top w:val="none" w:sz="0" w:space="0" w:color="auto"/>
            <w:left w:val="none" w:sz="0" w:space="0" w:color="auto"/>
            <w:bottom w:val="none" w:sz="0" w:space="0" w:color="auto"/>
            <w:right w:val="none" w:sz="0" w:space="0" w:color="auto"/>
          </w:divBdr>
        </w:div>
      </w:divsChild>
    </w:div>
    <w:div w:id="1913663441">
      <w:bodyDiv w:val="1"/>
      <w:marLeft w:val="0"/>
      <w:marRight w:val="0"/>
      <w:marTop w:val="0"/>
      <w:marBottom w:val="0"/>
      <w:divBdr>
        <w:top w:val="none" w:sz="0" w:space="0" w:color="auto"/>
        <w:left w:val="none" w:sz="0" w:space="0" w:color="auto"/>
        <w:bottom w:val="none" w:sz="0" w:space="0" w:color="auto"/>
        <w:right w:val="none" w:sz="0" w:space="0" w:color="auto"/>
      </w:divBdr>
      <w:divsChild>
        <w:div w:id="1121725543">
          <w:marLeft w:val="360"/>
          <w:marRight w:val="0"/>
          <w:marTop w:val="0"/>
          <w:marBottom w:val="240"/>
          <w:divBdr>
            <w:top w:val="none" w:sz="0" w:space="0" w:color="auto"/>
            <w:left w:val="none" w:sz="0" w:space="0" w:color="auto"/>
            <w:bottom w:val="none" w:sz="0" w:space="0" w:color="auto"/>
            <w:right w:val="none" w:sz="0" w:space="0" w:color="auto"/>
          </w:divBdr>
        </w:div>
      </w:divsChild>
    </w:div>
    <w:div w:id="1916628922">
      <w:bodyDiv w:val="1"/>
      <w:marLeft w:val="0"/>
      <w:marRight w:val="0"/>
      <w:marTop w:val="0"/>
      <w:marBottom w:val="0"/>
      <w:divBdr>
        <w:top w:val="none" w:sz="0" w:space="0" w:color="auto"/>
        <w:left w:val="none" w:sz="0" w:space="0" w:color="auto"/>
        <w:bottom w:val="none" w:sz="0" w:space="0" w:color="auto"/>
        <w:right w:val="none" w:sz="0" w:space="0" w:color="auto"/>
      </w:divBdr>
      <w:divsChild>
        <w:div w:id="1283803536">
          <w:marLeft w:val="446"/>
          <w:marRight w:val="0"/>
          <w:marTop w:val="0"/>
          <w:marBottom w:val="0"/>
          <w:divBdr>
            <w:top w:val="none" w:sz="0" w:space="0" w:color="auto"/>
            <w:left w:val="none" w:sz="0" w:space="0" w:color="auto"/>
            <w:bottom w:val="none" w:sz="0" w:space="0" w:color="auto"/>
            <w:right w:val="none" w:sz="0" w:space="0" w:color="auto"/>
          </w:divBdr>
        </w:div>
        <w:div w:id="1145048250">
          <w:marLeft w:val="446"/>
          <w:marRight w:val="0"/>
          <w:marTop w:val="0"/>
          <w:marBottom w:val="0"/>
          <w:divBdr>
            <w:top w:val="none" w:sz="0" w:space="0" w:color="auto"/>
            <w:left w:val="none" w:sz="0" w:space="0" w:color="auto"/>
            <w:bottom w:val="none" w:sz="0" w:space="0" w:color="auto"/>
            <w:right w:val="none" w:sz="0" w:space="0" w:color="auto"/>
          </w:divBdr>
        </w:div>
        <w:div w:id="926425234">
          <w:marLeft w:val="446"/>
          <w:marRight w:val="0"/>
          <w:marTop w:val="0"/>
          <w:marBottom w:val="0"/>
          <w:divBdr>
            <w:top w:val="none" w:sz="0" w:space="0" w:color="auto"/>
            <w:left w:val="none" w:sz="0" w:space="0" w:color="auto"/>
            <w:bottom w:val="none" w:sz="0" w:space="0" w:color="auto"/>
            <w:right w:val="none" w:sz="0" w:space="0" w:color="auto"/>
          </w:divBdr>
        </w:div>
        <w:div w:id="939067145">
          <w:marLeft w:val="446"/>
          <w:marRight w:val="0"/>
          <w:marTop w:val="0"/>
          <w:marBottom w:val="0"/>
          <w:divBdr>
            <w:top w:val="none" w:sz="0" w:space="0" w:color="auto"/>
            <w:left w:val="none" w:sz="0" w:space="0" w:color="auto"/>
            <w:bottom w:val="none" w:sz="0" w:space="0" w:color="auto"/>
            <w:right w:val="none" w:sz="0" w:space="0" w:color="auto"/>
          </w:divBdr>
        </w:div>
      </w:divsChild>
    </w:div>
    <w:div w:id="1947035105">
      <w:bodyDiv w:val="1"/>
      <w:marLeft w:val="0"/>
      <w:marRight w:val="0"/>
      <w:marTop w:val="0"/>
      <w:marBottom w:val="0"/>
      <w:divBdr>
        <w:top w:val="none" w:sz="0" w:space="0" w:color="auto"/>
        <w:left w:val="none" w:sz="0" w:space="0" w:color="auto"/>
        <w:bottom w:val="none" w:sz="0" w:space="0" w:color="auto"/>
        <w:right w:val="none" w:sz="0" w:space="0" w:color="auto"/>
      </w:divBdr>
      <w:divsChild>
        <w:div w:id="133185607">
          <w:marLeft w:val="475"/>
          <w:marRight w:val="0"/>
          <w:marTop w:val="86"/>
          <w:marBottom w:val="120"/>
          <w:divBdr>
            <w:top w:val="none" w:sz="0" w:space="0" w:color="auto"/>
            <w:left w:val="none" w:sz="0" w:space="0" w:color="auto"/>
            <w:bottom w:val="none" w:sz="0" w:space="0" w:color="auto"/>
            <w:right w:val="none" w:sz="0" w:space="0" w:color="auto"/>
          </w:divBdr>
        </w:div>
        <w:div w:id="364449018">
          <w:marLeft w:val="475"/>
          <w:marRight w:val="0"/>
          <w:marTop w:val="86"/>
          <w:marBottom w:val="120"/>
          <w:divBdr>
            <w:top w:val="none" w:sz="0" w:space="0" w:color="auto"/>
            <w:left w:val="none" w:sz="0" w:space="0" w:color="auto"/>
            <w:bottom w:val="none" w:sz="0" w:space="0" w:color="auto"/>
            <w:right w:val="none" w:sz="0" w:space="0" w:color="auto"/>
          </w:divBdr>
        </w:div>
        <w:div w:id="2020349298">
          <w:marLeft w:val="475"/>
          <w:marRight w:val="0"/>
          <w:marTop w:val="86"/>
          <w:marBottom w:val="120"/>
          <w:divBdr>
            <w:top w:val="none" w:sz="0" w:space="0" w:color="auto"/>
            <w:left w:val="none" w:sz="0" w:space="0" w:color="auto"/>
            <w:bottom w:val="none" w:sz="0" w:space="0" w:color="auto"/>
            <w:right w:val="none" w:sz="0" w:space="0" w:color="auto"/>
          </w:divBdr>
        </w:div>
        <w:div w:id="1354958590">
          <w:marLeft w:val="475"/>
          <w:marRight w:val="0"/>
          <w:marTop w:val="86"/>
          <w:marBottom w:val="120"/>
          <w:divBdr>
            <w:top w:val="none" w:sz="0" w:space="0" w:color="auto"/>
            <w:left w:val="none" w:sz="0" w:space="0" w:color="auto"/>
            <w:bottom w:val="none" w:sz="0" w:space="0" w:color="auto"/>
            <w:right w:val="none" w:sz="0" w:space="0" w:color="auto"/>
          </w:divBdr>
        </w:div>
        <w:div w:id="858809420">
          <w:marLeft w:val="994"/>
          <w:marRight w:val="0"/>
          <w:marTop w:val="77"/>
          <w:marBottom w:val="120"/>
          <w:divBdr>
            <w:top w:val="none" w:sz="0" w:space="0" w:color="auto"/>
            <w:left w:val="none" w:sz="0" w:space="0" w:color="auto"/>
            <w:bottom w:val="none" w:sz="0" w:space="0" w:color="auto"/>
            <w:right w:val="none" w:sz="0" w:space="0" w:color="auto"/>
          </w:divBdr>
        </w:div>
        <w:div w:id="1520658985">
          <w:marLeft w:val="994"/>
          <w:marRight w:val="0"/>
          <w:marTop w:val="77"/>
          <w:marBottom w:val="120"/>
          <w:divBdr>
            <w:top w:val="none" w:sz="0" w:space="0" w:color="auto"/>
            <w:left w:val="none" w:sz="0" w:space="0" w:color="auto"/>
            <w:bottom w:val="none" w:sz="0" w:space="0" w:color="auto"/>
            <w:right w:val="none" w:sz="0" w:space="0" w:color="auto"/>
          </w:divBdr>
        </w:div>
        <w:div w:id="844325886">
          <w:marLeft w:val="994"/>
          <w:marRight w:val="0"/>
          <w:marTop w:val="77"/>
          <w:marBottom w:val="120"/>
          <w:divBdr>
            <w:top w:val="none" w:sz="0" w:space="0" w:color="auto"/>
            <w:left w:val="none" w:sz="0" w:space="0" w:color="auto"/>
            <w:bottom w:val="none" w:sz="0" w:space="0" w:color="auto"/>
            <w:right w:val="none" w:sz="0" w:space="0" w:color="auto"/>
          </w:divBdr>
        </w:div>
        <w:div w:id="221721219">
          <w:marLeft w:val="994"/>
          <w:marRight w:val="0"/>
          <w:marTop w:val="77"/>
          <w:marBottom w:val="120"/>
          <w:divBdr>
            <w:top w:val="none" w:sz="0" w:space="0" w:color="auto"/>
            <w:left w:val="none" w:sz="0" w:space="0" w:color="auto"/>
            <w:bottom w:val="none" w:sz="0" w:space="0" w:color="auto"/>
            <w:right w:val="none" w:sz="0" w:space="0" w:color="auto"/>
          </w:divBdr>
        </w:div>
      </w:divsChild>
    </w:div>
    <w:div w:id="1994135913">
      <w:bodyDiv w:val="1"/>
      <w:marLeft w:val="0"/>
      <w:marRight w:val="0"/>
      <w:marTop w:val="0"/>
      <w:marBottom w:val="0"/>
      <w:divBdr>
        <w:top w:val="none" w:sz="0" w:space="0" w:color="auto"/>
        <w:left w:val="none" w:sz="0" w:space="0" w:color="auto"/>
        <w:bottom w:val="none" w:sz="0" w:space="0" w:color="auto"/>
        <w:right w:val="none" w:sz="0" w:space="0" w:color="auto"/>
      </w:divBdr>
      <w:divsChild>
        <w:div w:id="46197033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jpeg"/><Relationship Id="rId21" Type="http://schemas.openxmlformats.org/officeDocument/2006/relationships/image" Target="media/image6.jpeg"/><Relationship Id="rId42" Type="http://schemas.openxmlformats.org/officeDocument/2006/relationships/image" Target="media/image24.jpeg"/><Relationship Id="rId63" Type="http://schemas.openxmlformats.org/officeDocument/2006/relationships/image" Target="media/image42.jpeg"/><Relationship Id="rId84" Type="http://schemas.microsoft.com/office/2007/relationships/hdphoto" Target="media/hdphoto1.wdp"/><Relationship Id="rId138" Type="http://schemas.openxmlformats.org/officeDocument/2006/relationships/image" Target="media/image94.jpeg"/><Relationship Id="rId159" Type="http://schemas.openxmlformats.org/officeDocument/2006/relationships/hyperlink" Target="https://www.mfcr.cz/cs/aktualne/tiskove-zpravy/2020/vlada-schvalila-novelu-zakona-o-statnim-37959" TargetMode="External"/><Relationship Id="rId170" Type="http://schemas.openxmlformats.org/officeDocument/2006/relationships/hyperlink" Target="https://www.novinky.cz/zahranicni/koronavirus/clanek/financni-injekce-proti-koronaviru-americka-centralni-banka-snizila-uroky-40315423" TargetMode="External"/><Relationship Id="rId191" Type="http://schemas.openxmlformats.org/officeDocument/2006/relationships/hyperlink" Target="https://www.cnb.cz/cs/cnb-news/tiskove-zpravy/CNB-prijima-stabilizacni-opatreni-v-souvislosti-s-epidemii-koronaviru/" TargetMode="External"/><Relationship Id="rId196" Type="http://schemas.openxmlformats.org/officeDocument/2006/relationships/hyperlink" Target="https://www.cnb.cz/cs/cnb-news/aktuality/Sdeleni-CNB-k-moznym-odkladum-splatek-uveru/" TargetMode="External"/><Relationship Id="rId200" Type="http://schemas.openxmlformats.org/officeDocument/2006/relationships/hyperlink" Target="https://www.cnb.cz/cs/menova-politika/prognoza/" TargetMode="External"/><Relationship Id="rId16" Type="http://schemas.openxmlformats.org/officeDocument/2006/relationships/image" Target="media/image2.jpeg"/><Relationship Id="rId107" Type="http://schemas.openxmlformats.org/officeDocument/2006/relationships/image" Target="media/image69.png"/><Relationship Id="rId11" Type="http://schemas.openxmlformats.org/officeDocument/2006/relationships/hyperlink" Target="https://cs.wikipedia.org/wiki/Ekonomika" TargetMode="External"/><Relationship Id="rId32" Type="http://schemas.openxmlformats.org/officeDocument/2006/relationships/image" Target="media/image16.jpeg"/><Relationship Id="rId37" Type="http://schemas.openxmlformats.org/officeDocument/2006/relationships/image" Target="media/image19.jpeg"/><Relationship Id="rId53" Type="http://schemas.openxmlformats.org/officeDocument/2006/relationships/image" Target="media/image32.png"/><Relationship Id="rId58" Type="http://schemas.openxmlformats.org/officeDocument/2006/relationships/image" Target="media/image37.jpeg"/><Relationship Id="rId74" Type="http://schemas.openxmlformats.org/officeDocument/2006/relationships/image" Target="media/image53.jpeg"/><Relationship Id="rId79" Type="http://schemas.openxmlformats.org/officeDocument/2006/relationships/hyperlink" Target="http://www.vsem.cz/data/data/sis-ukazkykapitol/uc_hp_kapitola.pdf" TargetMode="External"/><Relationship Id="rId102" Type="http://schemas.openxmlformats.org/officeDocument/2006/relationships/hyperlink" Target="https://www.strukturalni-fondy.cz/cs/Fondy-EU/Kohezni-politika-EU/Operacni-programy/Program-rozvoje-venkova" TargetMode="External"/><Relationship Id="rId123" Type="http://schemas.openxmlformats.org/officeDocument/2006/relationships/image" Target="media/image84.png"/><Relationship Id="rId128" Type="http://schemas.openxmlformats.org/officeDocument/2006/relationships/image" Target="media/image89.jpeg"/><Relationship Id="rId144" Type="http://schemas.openxmlformats.org/officeDocument/2006/relationships/hyperlink" Target="https://khp.vse.cz/5hp405-transformacni-procesy-v-cr/" TargetMode="External"/><Relationship Id="rId149" Type="http://schemas.openxmlformats.org/officeDocument/2006/relationships/image" Target="media/image102.png"/><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image" Target="media/image63.jpeg"/><Relationship Id="rId160" Type="http://schemas.openxmlformats.org/officeDocument/2006/relationships/hyperlink" Target="https://www.novinky.cz/zahranicni/koronavirus/clanek/evropske-akcie-kvuli-koronaviru-prudce-klesaji-40314499?fbclid=IwAR3huU8reNAuNDZrRKOYJcIKKzCOUvjqYH8WxVkUClMH_avJaUNGF__0mnI" TargetMode="External"/><Relationship Id="rId165" Type="http://schemas.openxmlformats.org/officeDocument/2006/relationships/hyperlink" Target="https://www.novinky.cz/ekonomika/clanek/za-skokove-zdrazovani-muze-cnb-i-vlada-soudi-analytici-40314139?fbclid=IwAR2FAn8fMCNpQsuBUrTizCrreJF18xnNrW3Q9vide0B9P01YPqBt7bPFgvc" TargetMode="External"/><Relationship Id="rId181" Type="http://schemas.openxmlformats.org/officeDocument/2006/relationships/hyperlink" Target="https://www.novinky.cz/ekonomika/clanek/prodej-aut-se-v-eu-propadl-o-vice-nez-o-polovinu-40320832" TargetMode="External"/><Relationship Id="rId186" Type="http://schemas.openxmlformats.org/officeDocument/2006/relationships/hyperlink" Target="https://www.novinky.cz/ekonomika/clanek/vlada-zmrazila-ceny-najemneho-u-bytu-40321583" TargetMode="External"/><Relationship Id="rId22" Type="http://schemas.openxmlformats.org/officeDocument/2006/relationships/image" Target="media/image7.png"/><Relationship Id="rId27" Type="http://schemas.openxmlformats.org/officeDocument/2006/relationships/image" Target="media/image11.jpeg"/><Relationship Id="rId43" Type="http://schemas.openxmlformats.org/officeDocument/2006/relationships/image" Target="media/image25.jpeg"/><Relationship Id="rId48" Type="http://schemas.openxmlformats.org/officeDocument/2006/relationships/image" Target="media/image30.jpeg"/><Relationship Id="rId64" Type="http://schemas.openxmlformats.org/officeDocument/2006/relationships/image" Target="media/image43.png"/><Relationship Id="rId69" Type="http://schemas.openxmlformats.org/officeDocument/2006/relationships/image" Target="media/image48.jpeg"/><Relationship Id="rId113" Type="http://schemas.openxmlformats.org/officeDocument/2006/relationships/image" Target="media/image75.jpeg"/><Relationship Id="rId118" Type="http://schemas.openxmlformats.org/officeDocument/2006/relationships/image" Target="media/image80.jpeg"/><Relationship Id="rId134" Type="http://schemas.openxmlformats.org/officeDocument/2006/relationships/image" Target="media/image90.jpeg"/><Relationship Id="rId139" Type="http://schemas.openxmlformats.org/officeDocument/2006/relationships/image" Target="media/image95.jpeg"/><Relationship Id="rId80" Type="http://schemas.openxmlformats.org/officeDocument/2006/relationships/image" Target="media/image56.png"/><Relationship Id="rId85" Type="http://schemas.openxmlformats.org/officeDocument/2006/relationships/image" Target="media/image60.png"/><Relationship Id="rId150" Type="http://schemas.openxmlformats.org/officeDocument/2006/relationships/image" Target="media/image103.png"/><Relationship Id="rId155" Type="http://schemas.openxmlformats.org/officeDocument/2006/relationships/image" Target="media/image108.png"/><Relationship Id="rId171" Type="http://schemas.openxmlformats.org/officeDocument/2006/relationships/hyperlink" Target="https://www.novinky.cz/ekonomika/clanek/prumerne-ceny-nafty-i-benzinu-dal-klesaji-40315623" TargetMode="External"/><Relationship Id="rId176" Type="http://schemas.openxmlformats.org/officeDocument/2006/relationships/hyperlink" Target="https://www.irozhlas.cz/zpravy-domov/korupce-index-vnimani-korupce-transparency-international-andrej-babis_2001230633_ako" TargetMode="External"/><Relationship Id="rId192" Type="http://schemas.openxmlformats.org/officeDocument/2006/relationships/hyperlink" Target="https://www.cnb.cz/cs/menova-politika/br-zapisy-z-jednani/Rozhodnuti-bankovni-rady-CNB-1584375300000/?tab=record" TargetMode="External"/><Relationship Id="rId197" Type="http://schemas.openxmlformats.org/officeDocument/2006/relationships/hyperlink" Target="https://www.cnb.cz/cs/cnb-news/tiskove-zpravy/CNB-povazuje-uverove-moratorium-za-ekonomicky-opodstatnene/" TargetMode="External"/><Relationship Id="rId201" Type="http://schemas.openxmlformats.org/officeDocument/2006/relationships/hyperlink" Target="https://www.cnb.cz/export/sites/cnb/cs/menova-politika/.galleries/zpravy_o_inflaci/2020/2020_II/download/ZOI_2020_II.pdf" TargetMode="External"/><Relationship Id="rId12" Type="http://schemas.openxmlformats.org/officeDocument/2006/relationships/hyperlink" Target="https://cs.wikipedia.org/wiki/Struktura" TargetMode="External"/><Relationship Id="rId17" Type="http://schemas.openxmlformats.org/officeDocument/2006/relationships/hyperlink" Target="http://roana.blog.cz/1205/makroekonomicka-uloha-statu" TargetMode="External"/><Relationship Id="rId33" Type="http://schemas.openxmlformats.org/officeDocument/2006/relationships/image" Target="media/image17.jpeg"/><Relationship Id="rId38" Type="http://schemas.openxmlformats.org/officeDocument/2006/relationships/image" Target="media/image20.jpeg"/><Relationship Id="rId59" Type="http://schemas.openxmlformats.org/officeDocument/2006/relationships/image" Target="media/image38.jpeg"/><Relationship Id="rId103" Type="http://schemas.openxmlformats.org/officeDocument/2006/relationships/hyperlink" Target="https://www.strukturalni-fondy.cz/cs/Fondy-EU/Kohezni-politika-EU/Operacni-programy/OP-Zamestnanost" TargetMode="External"/><Relationship Id="rId108" Type="http://schemas.openxmlformats.org/officeDocument/2006/relationships/image" Target="media/image70.jpeg"/><Relationship Id="rId124" Type="http://schemas.openxmlformats.org/officeDocument/2006/relationships/image" Target="media/image85.png"/><Relationship Id="rId129" Type="http://schemas.openxmlformats.org/officeDocument/2006/relationships/diagramData" Target="diagrams/data1.xml"/><Relationship Id="rId54" Type="http://schemas.openxmlformats.org/officeDocument/2006/relationships/image" Target="media/image33.png"/><Relationship Id="rId70" Type="http://schemas.openxmlformats.org/officeDocument/2006/relationships/image" Target="media/image49.jpeg"/><Relationship Id="rId75" Type="http://schemas.openxmlformats.org/officeDocument/2006/relationships/image" Target="media/image54.jpeg"/><Relationship Id="rId91" Type="http://schemas.openxmlformats.org/officeDocument/2006/relationships/header" Target="header2.xml"/><Relationship Id="rId96" Type="http://schemas.openxmlformats.org/officeDocument/2006/relationships/image" Target="media/image64.jpeg"/><Relationship Id="rId140" Type="http://schemas.openxmlformats.org/officeDocument/2006/relationships/image" Target="media/image96.png"/><Relationship Id="rId145" Type="http://schemas.openxmlformats.org/officeDocument/2006/relationships/image" Target="media/image98.png"/><Relationship Id="rId161" Type="http://schemas.openxmlformats.org/officeDocument/2006/relationships/hyperlink" Target="https://www.novinky.cz/zahranicni/koronavirus/clanek/koronavirus-by-mohl-zpusobit-ekonomickou-pandemii-mini-analytici-40314675?fbclid=IwAR1QzGFfE95jQult2c2M8JkFAWr8sEFBXVPiqbP1wuA2tQxu0VpAPwYOEkM" TargetMode="External"/><Relationship Id="rId166" Type="http://schemas.openxmlformats.org/officeDocument/2006/relationships/hyperlink" Target="https://www.novinky.cz/ekonomika/clanek/ochromene-cinske-podniky-nemaji-na-vyplaty-40314194?fbclid=IwAR3iIUUGPzTxdDlpEsSY2SCYvdYret6VnIMI_YWj4GvhrxD3Rk9E3FcLUnk" TargetMode="External"/><Relationship Id="rId182" Type="http://schemas.openxmlformats.org/officeDocument/2006/relationships/hyperlink" Target="https://www.mfcr.cz/cs/aktualne/tiskove-zpravy/2020/statni-zaruky-ve-vysi-150-miliard-ozivi-38247" TargetMode="External"/><Relationship Id="rId187" Type="http://schemas.openxmlformats.org/officeDocument/2006/relationships/hyperlink" Target="https://www.novinky.cz/ekonomika/clanek/v-dubnu-pribylo-temer-30-tisic-nezamestnanych-nejvice-roste-nezamestnanost-na-chebsku-4032328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2.jpeg"/><Relationship Id="rId49" Type="http://schemas.openxmlformats.org/officeDocument/2006/relationships/image" Target="media/image31.jpeg"/><Relationship Id="rId114" Type="http://schemas.openxmlformats.org/officeDocument/2006/relationships/image" Target="media/image76.jpeg"/><Relationship Id="rId119" Type="http://schemas.openxmlformats.org/officeDocument/2006/relationships/image" Target="media/image81.jpeg"/><Relationship Id="rId44" Type="http://schemas.openxmlformats.org/officeDocument/2006/relationships/image" Target="media/image26.jpeg"/><Relationship Id="rId60" Type="http://schemas.openxmlformats.org/officeDocument/2006/relationships/image" Target="media/image39.jpeg"/><Relationship Id="rId65" Type="http://schemas.openxmlformats.org/officeDocument/2006/relationships/image" Target="media/image44.jpeg"/><Relationship Id="rId81" Type="http://schemas.openxmlformats.org/officeDocument/2006/relationships/image" Target="media/image57.png"/><Relationship Id="rId86" Type="http://schemas.microsoft.com/office/2007/relationships/hdphoto" Target="media/hdphoto2.wdp"/><Relationship Id="rId130" Type="http://schemas.openxmlformats.org/officeDocument/2006/relationships/diagramLayout" Target="diagrams/layout1.xml"/><Relationship Id="rId135" Type="http://schemas.openxmlformats.org/officeDocument/2006/relationships/image" Target="media/image91.jpeg"/><Relationship Id="rId151" Type="http://schemas.openxmlformats.org/officeDocument/2006/relationships/image" Target="media/image104.png"/><Relationship Id="rId156" Type="http://schemas.openxmlformats.org/officeDocument/2006/relationships/image" Target="media/image109.png"/><Relationship Id="rId177" Type="http://schemas.openxmlformats.org/officeDocument/2006/relationships/hyperlink" Target="https://www.irozhlas.cz/ekonomika/usa-ekonomicka-krize-rust-nezamestnanosti_2004021455_wei" TargetMode="External"/><Relationship Id="rId198" Type="http://schemas.openxmlformats.org/officeDocument/2006/relationships/hyperlink" Target="https://www.cnb.cz/cs/financni-stabilita/makroobezretnostni-politika/proticyklicka-kapitalova-rezerva/opatreni-obecne-povahy-ic-2020/" TargetMode="External"/><Relationship Id="rId172" Type="http://schemas.openxmlformats.org/officeDocument/2006/relationships/hyperlink" Target="https://www.novinky.cz/zahranicni/evropa/clanek/slovenska-prezidentka-poverila-matovice-sestavenim-vlady-40315495" TargetMode="External"/><Relationship Id="rId193" Type="http://schemas.openxmlformats.org/officeDocument/2006/relationships/hyperlink" Target="https://www.cnb.cz/cs/menova-politika/br-zapisy-z-jednani/Rozhodnuti-bankovni-rady-CNB-1585238400000/" TargetMode="External"/><Relationship Id="rId202" Type="http://schemas.openxmlformats.org/officeDocument/2006/relationships/hyperlink" Target="https://www.cnb.cz/export/sites/cnb/cs/menova-politika/.galleries/zpravy_o_inflaci/2020/2020_II/download/ZOI_2020_II.pdf" TargetMode="External"/><Relationship Id="rId13" Type="http://schemas.openxmlformats.org/officeDocument/2006/relationships/hyperlink" Target="https://cs.wikipedia.org/wiki/Ve%C5%99ejn%C3%A9_v%C3%BDdaje" TargetMode="External"/><Relationship Id="rId18" Type="http://schemas.openxmlformats.org/officeDocument/2006/relationships/image" Target="media/image3.jpeg"/><Relationship Id="rId39" Type="http://schemas.openxmlformats.org/officeDocument/2006/relationships/image" Target="media/image21.jpeg"/><Relationship Id="rId109" Type="http://schemas.openxmlformats.org/officeDocument/2006/relationships/image" Target="media/image71.jpeg"/><Relationship Id="rId34" Type="http://schemas.openxmlformats.org/officeDocument/2006/relationships/image" Target="media/image18.jpeg"/><Relationship Id="rId50" Type="http://schemas.openxmlformats.org/officeDocument/2006/relationships/chart" Target="charts/chart1.xml"/><Relationship Id="rId55" Type="http://schemas.openxmlformats.org/officeDocument/2006/relationships/image" Target="media/image34.png"/><Relationship Id="rId76" Type="http://schemas.openxmlformats.org/officeDocument/2006/relationships/image" Target="media/image55.jpeg"/><Relationship Id="rId97" Type="http://schemas.openxmlformats.org/officeDocument/2006/relationships/image" Target="media/image65.jpeg"/><Relationship Id="rId104" Type="http://schemas.openxmlformats.org/officeDocument/2006/relationships/hyperlink" Target="https://www.strukturalni-fondy.cz/cs/Fondy-EU/2014-2020/Operacni-programy/OP-Technicka-pomoc" TargetMode="External"/><Relationship Id="rId120" Type="http://schemas.openxmlformats.org/officeDocument/2006/relationships/image" Target="media/image82.jpeg"/><Relationship Id="rId125" Type="http://schemas.openxmlformats.org/officeDocument/2006/relationships/image" Target="media/image86.png"/><Relationship Id="rId141" Type="http://schemas.openxmlformats.org/officeDocument/2006/relationships/image" Target="media/image97.jpeg"/><Relationship Id="rId146" Type="http://schemas.openxmlformats.org/officeDocument/2006/relationships/image" Target="media/image99.emf"/><Relationship Id="rId167" Type="http://schemas.openxmlformats.org/officeDocument/2006/relationships/hyperlink" Target="https://www.novinky.cz/ekonomika/clanek/cinane-kvuli-koronaviru-prestali-kupovat-auta-prodeje-klesly-o-92-procent-40314206?fbclid=IwAR1_KFb7f66bcTqmbKLioS_x_LLctuIvUj5bCay38tBgUfYWnH-tGVhY8cQ" TargetMode="External"/><Relationship Id="rId188" Type="http://schemas.openxmlformats.org/officeDocument/2006/relationships/hyperlink" Target="https://www.novinky.cz/ekonomika/clanek/vyrazne-pribylo-prerusenych-podnikani-40323553" TargetMode="External"/><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footer" Target="footer4.xml"/><Relationship Id="rId162" Type="http://schemas.openxmlformats.org/officeDocument/2006/relationships/hyperlink" Target="https://www.novinky.cz/ekonomika/clanek/rusko-musi-akcionarum-zbankrotovaneho-jukosu-zaplatit-pres-bilion-korun-40313844?fbclid=IwAR1Rx6mYkL2agkpv55uD9OOJQHqmsa6uaxGiqv1sDFjuUvd0RtmMUX3YCTA" TargetMode="External"/><Relationship Id="rId183" Type="http://schemas.openxmlformats.org/officeDocument/2006/relationships/hyperlink" Target="https://www.novinky.cz/ekonomika/clanek/skode-auto-o-ctvrtinu-klesl-zisk-40322256" TargetMode="Externa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9.png"/><Relationship Id="rId40" Type="http://schemas.openxmlformats.org/officeDocument/2006/relationships/image" Target="media/image22.jpeg"/><Relationship Id="rId45" Type="http://schemas.openxmlformats.org/officeDocument/2006/relationships/image" Target="media/image27.jpeg"/><Relationship Id="rId66" Type="http://schemas.openxmlformats.org/officeDocument/2006/relationships/image" Target="media/image45.jpeg"/><Relationship Id="rId87" Type="http://schemas.openxmlformats.org/officeDocument/2006/relationships/hyperlink" Target="http://www.obranaastrategie.cz/cs/aktualni-cislo-2-2009/clanky/sekuritizace-hrozby-nedostatku-vody-v-ceske-republice.html" TargetMode="External"/><Relationship Id="rId110" Type="http://schemas.openxmlformats.org/officeDocument/2006/relationships/image" Target="media/image72.jpeg"/><Relationship Id="rId115" Type="http://schemas.openxmlformats.org/officeDocument/2006/relationships/image" Target="media/image77.jpeg"/><Relationship Id="rId131" Type="http://schemas.openxmlformats.org/officeDocument/2006/relationships/diagramQuickStyle" Target="diagrams/quickStyle1.xml"/><Relationship Id="rId136" Type="http://schemas.openxmlformats.org/officeDocument/2006/relationships/image" Target="media/image92.png"/><Relationship Id="rId157" Type="http://schemas.openxmlformats.org/officeDocument/2006/relationships/hyperlink" Target="https://www.mfcr.cz/cs/verejny-sektor/uzemni-rozpocty/zadluzenost-uzemnich-rozpoctu/2018/zadluzenost-uzemnich-rozpoctu-v-roce-201-36295" TargetMode="External"/><Relationship Id="rId178" Type="http://schemas.openxmlformats.org/officeDocument/2006/relationships/hyperlink" Target="https://www.novinky.cz/ekonomika/clanek/cnb-bude-moci-kupovat-statni-dluhopisy-s-delsi-splatnosti-schvalili-poslanci-40319909" TargetMode="External"/><Relationship Id="rId61" Type="http://schemas.openxmlformats.org/officeDocument/2006/relationships/image" Target="media/image40.jpeg"/><Relationship Id="rId82" Type="http://schemas.openxmlformats.org/officeDocument/2006/relationships/image" Target="media/image58.png"/><Relationship Id="rId152" Type="http://schemas.openxmlformats.org/officeDocument/2006/relationships/image" Target="media/image105.png"/><Relationship Id="rId173" Type="http://schemas.openxmlformats.org/officeDocument/2006/relationships/hyperlink" Target="https://www.novinky.cz/zahranicni/evropa/clanek/letecke-zabery-davy-migrantu-na-turecko-recke-hranici-40315658" TargetMode="External"/><Relationship Id="rId194" Type="http://schemas.openxmlformats.org/officeDocument/2006/relationships/hyperlink" Target="https://www.cnb.cz/cs/menova-politika/br-zapisy-z-jednani/Rozhodnuti-bankovni-rady-CNB-1588863600000/?tab=statement" TargetMode="External"/><Relationship Id="rId199" Type="http://schemas.openxmlformats.org/officeDocument/2006/relationships/hyperlink" Target="https://www.cnb.cz/cs/financni-trhy/penezni-trh/parametry-dodavaci-repo-operace/" TargetMode="External"/><Relationship Id="rId203" Type="http://schemas.openxmlformats.org/officeDocument/2006/relationships/fontTable" Target="fontTable.xml"/><Relationship Id="rId19" Type="http://schemas.openxmlformats.org/officeDocument/2006/relationships/image" Target="media/image4.jpeg"/><Relationship Id="rId14" Type="http://schemas.openxmlformats.org/officeDocument/2006/relationships/hyperlink" Target="https://cs.wikipedia.org/wiki/Dan%C4%9B" TargetMode="External"/><Relationship Id="rId30" Type="http://schemas.openxmlformats.org/officeDocument/2006/relationships/image" Target="media/image14.jpeg"/><Relationship Id="rId35" Type="http://schemas.openxmlformats.org/officeDocument/2006/relationships/hyperlink" Target="https://www.vlada.cz/cz/vlada" TargetMode="External"/><Relationship Id="rId56" Type="http://schemas.openxmlformats.org/officeDocument/2006/relationships/image" Target="media/image35.jpeg"/><Relationship Id="rId77" Type="http://schemas.openxmlformats.org/officeDocument/2006/relationships/hyperlink" Target="http://www.patria.cz/ekonomika/makroprehled/cz.html" TargetMode="External"/><Relationship Id="rId100" Type="http://schemas.openxmlformats.org/officeDocument/2006/relationships/image" Target="media/image68.png"/><Relationship Id="rId105" Type="http://schemas.openxmlformats.org/officeDocument/2006/relationships/hyperlink" Target="https://www.strukturalni-fondy.cz/cs/Fondy-EU/Kohezni-politika-EU/Operacni-programy/OP-Praha" TargetMode="External"/><Relationship Id="rId126" Type="http://schemas.openxmlformats.org/officeDocument/2006/relationships/image" Target="media/image87.png"/><Relationship Id="rId147" Type="http://schemas.openxmlformats.org/officeDocument/2006/relationships/image" Target="media/image100.png"/><Relationship Id="rId168" Type="http://schemas.openxmlformats.org/officeDocument/2006/relationships/hyperlink" Target="https://www.novinky.cz/ekonomika/clanek/stat-hospodari-s-nejvetsim-deficitem-ve-sve-historii-40315252" TargetMode="External"/><Relationship Id="rId8" Type="http://schemas.openxmlformats.org/officeDocument/2006/relationships/image" Target="media/image1.jpeg"/><Relationship Id="rId51" Type="http://schemas.openxmlformats.org/officeDocument/2006/relationships/chart" Target="charts/chart2.xml"/><Relationship Id="rId72" Type="http://schemas.openxmlformats.org/officeDocument/2006/relationships/image" Target="media/image51.jpeg"/><Relationship Id="rId93" Type="http://schemas.openxmlformats.org/officeDocument/2006/relationships/header" Target="header3.xml"/><Relationship Id="rId98" Type="http://schemas.openxmlformats.org/officeDocument/2006/relationships/image" Target="media/image66.jpeg"/><Relationship Id="rId121" Type="http://schemas.openxmlformats.org/officeDocument/2006/relationships/image" Target="media/image83.jpeg"/><Relationship Id="rId142" Type="http://schemas.openxmlformats.org/officeDocument/2006/relationships/hyperlink" Target="https://www.mfcr.cz/cs/aktualne/tiskove-zpravy/2020/pokladni-plneni-sr-37026" TargetMode="External"/><Relationship Id="rId163" Type="http://schemas.openxmlformats.org/officeDocument/2006/relationships/hyperlink" Target="https://www.novinky.cz/ekonomika/clanek/ceny-benzinu-a-nafty-dal-klesaji-40314071?fbclid=IwAR0Y1_KT0_znuje8W8TexMwZE0c3rKWC-U3Uql4uV7M981-noSTWv3OQG3w" TargetMode="External"/><Relationship Id="rId184" Type="http://schemas.openxmlformats.org/officeDocument/2006/relationships/hyperlink" Target="https://www.novinky.cz/ekonomika/clanek/dubnovy-schodek-rozpoctu-je-nejhorsi-v-dejinach-ceska-40322832" TargetMode="External"/><Relationship Id="rId189" Type="http://schemas.openxmlformats.org/officeDocument/2006/relationships/hyperlink" Target="https://www.novinky.cz/ekonomika/clanek/cnb-razantne-snizila-urokove-sazby-40323326" TargetMode="External"/><Relationship Id="rId3" Type="http://schemas.openxmlformats.org/officeDocument/2006/relationships/styles" Target="styles.xml"/><Relationship Id="rId25" Type="http://schemas.openxmlformats.org/officeDocument/2006/relationships/hyperlink" Target="http://www.cnb.cz/cs/statistika/platebni_bilance_stat/platebni_bilance_q/bop_q_czk.htm" TargetMode="External"/><Relationship Id="rId46" Type="http://schemas.openxmlformats.org/officeDocument/2006/relationships/image" Target="media/image28.jpeg"/><Relationship Id="rId67" Type="http://schemas.openxmlformats.org/officeDocument/2006/relationships/image" Target="media/image46.jpeg"/><Relationship Id="rId116" Type="http://schemas.openxmlformats.org/officeDocument/2006/relationships/image" Target="media/image78.jpeg"/><Relationship Id="rId137" Type="http://schemas.openxmlformats.org/officeDocument/2006/relationships/image" Target="media/image93.jpeg"/><Relationship Id="rId158" Type="http://schemas.openxmlformats.org/officeDocument/2006/relationships/image" Target="media/image110.jpeg"/><Relationship Id="rId20" Type="http://schemas.openxmlformats.org/officeDocument/2006/relationships/image" Target="media/image5.jpeg"/><Relationship Id="rId41" Type="http://schemas.openxmlformats.org/officeDocument/2006/relationships/image" Target="media/image23.jpeg"/><Relationship Id="rId62" Type="http://schemas.openxmlformats.org/officeDocument/2006/relationships/image" Target="media/image41.jpeg"/><Relationship Id="rId83" Type="http://schemas.openxmlformats.org/officeDocument/2006/relationships/image" Target="media/image59.png"/><Relationship Id="rId88" Type="http://schemas.openxmlformats.org/officeDocument/2006/relationships/image" Target="media/image61.jpeg"/><Relationship Id="rId111" Type="http://schemas.openxmlformats.org/officeDocument/2006/relationships/image" Target="media/image73.jpeg"/><Relationship Id="rId132" Type="http://schemas.openxmlformats.org/officeDocument/2006/relationships/diagramColors" Target="diagrams/colors1.xml"/><Relationship Id="rId153" Type="http://schemas.openxmlformats.org/officeDocument/2006/relationships/image" Target="media/image106.png"/><Relationship Id="rId174" Type="http://schemas.openxmlformats.org/officeDocument/2006/relationships/hyperlink" Target="https://www.novinky.cz/zahranicni/evropa/clanek/ankara-u-hranic-presouva-migranty-sem-a-tam-aby-rekum-ztizila-praci-40315638" TargetMode="External"/><Relationship Id="rId179" Type="http://schemas.openxmlformats.org/officeDocument/2006/relationships/hyperlink" Target="https://www.novinky.cz/domaci/clanek/stat-se-bude-moct-zadluzovat-poslanci-zmenili-zakon-o-rozpoctove-odpovednosti-40319912" TargetMode="External"/><Relationship Id="rId195" Type="http://schemas.openxmlformats.org/officeDocument/2006/relationships/hyperlink" Target="https://www.cnb.cz/export/sites/cnb/cs/menova-politika/.galleries/zpravy_o_inflaci/2020/2020_II/download/ZOI_2020_II.pdf" TargetMode="External"/><Relationship Id="rId190" Type="http://schemas.openxmlformats.org/officeDocument/2006/relationships/hyperlink" Target="https://www.novinky.cz/koronavirus/clanek/stavebnictvi-v-breznu-kleslo-prispela-k-tomu-omezeni-na-uradech-i-zavrene-hranice-40323280" TargetMode="External"/><Relationship Id="rId204" Type="http://schemas.openxmlformats.org/officeDocument/2006/relationships/theme" Target="theme/theme1.xml"/><Relationship Id="rId15" Type="http://schemas.openxmlformats.org/officeDocument/2006/relationships/footer" Target="footer3.xml"/><Relationship Id="rId36" Type="http://schemas.openxmlformats.org/officeDocument/2006/relationships/hyperlink" Target="https://www.psp.cz/sqw/hp.sqw?k=182" TargetMode="External"/><Relationship Id="rId57" Type="http://schemas.openxmlformats.org/officeDocument/2006/relationships/image" Target="media/image36.jpeg"/><Relationship Id="rId106" Type="http://schemas.openxmlformats.org/officeDocument/2006/relationships/hyperlink" Target="https://www.strukturalni-fondy.cz/cs/Fondy-EU/Kohezni-politika-EU/Operacni-programy/OP-Rybarstvi-2014&#8211;2020" TargetMode="External"/><Relationship Id="rId127" Type="http://schemas.openxmlformats.org/officeDocument/2006/relationships/image" Target="media/image88.png"/><Relationship Id="rId10" Type="http://schemas.openxmlformats.org/officeDocument/2006/relationships/footer" Target="footer2.xml"/><Relationship Id="rId31" Type="http://schemas.openxmlformats.org/officeDocument/2006/relationships/image" Target="media/image15.jpeg"/><Relationship Id="rId52" Type="http://schemas.openxmlformats.org/officeDocument/2006/relationships/chart" Target="charts/chart3.xml"/><Relationship Id="rId73" Type="http://schemas.openxmlformats.org/officeDocument/2006/relationships/image" Target="media/image52.jpeg"/><Relationship Id="rId78" Type="http://schemas.openxmlformats.org/officeDocument/2006/relationships/hyperlink" Target="https://www.cnb.cz/cs/statistika/platebni_bilance_stat/platebni_bilance_q/" TargetMode="External"/><Relationship Id="rId94" Type="http://schemas.openxmlformats.org/officeDocument/2006/relationships/footer" Target="footer5.xml"/><Relationship Id="rId99" Type="http://schemas.openxmlformats.org/officeDocument/2006/relationships/image" Target="media/image67.jpeg"/><Relationship Id="rId101" Type="http://schemas.openxmlformats.org/officeDocument/2006/relationships/hyperlink" Target="https://www.strukturalni-fondy.cz/cs/Fondy-EU/2014-2020/Operacni-programy/OP-Zivotni-prostredi" TargetMode="External"/><Relationship Id="rId122" Type="http://schemas.openxmlformats.org/officeDocument/2006/relationships/hyperlink" Target="http://socialnireforma.mpsv.cz/cs/" TargetMode="External"/><Relationship Id="rId143" Type="http://schemas.openxmlformats.org/officeDocument/2006/relationships/hyperlink" Target="http://ebookcentral.proquest.com/lib/vsep/detail.action?docID=5399329" TargetMode="External"/><Relationship Id="rId148" Type="http://schemas.openxmlformats.org/officeDocument/2006/relationships/image" Target="media/image101.png"/><Relationship Id="rId164" Type="http://schemas.openxmlformats.org/officeDocument/2006/relationships/hyperlink" Target="https://www.novinky.cz/ekonomika/clanek/na-40-procent-dluhopisovych-emitentu-je-vysoce-rizikovych-tvrdi-analyza-40314114?fbclid=IwAR3_oCuHsklChxs2VHGBtWbFNLd0CyXU__W5YD504nT731Zle0OQpc4DJfQ" TargetMode="External"/><Relationship Id="rId169" Type="http://schemas.openxmlformats.org/officeDocument/2006/relationships/hyperlink" Target="https://www.novinky.cz/zahranicni/koronavirus/clanek/g7-s-akci-centralnich-bank-proti-koronaviru-nepocita-40315334" TargetMode="External"/><Relationship Id="rId185" Type="http://schemas.openxmlformats.org/officeDocument/2006/relationships/hyperlink" Target="https://www.novinky.cz/ekonomika/clanek/nakupy-statnich-dluhopisu-evropskou-centralni-bankou-jsou-v-rozporu-s-nemeckou-ustavou-40322947"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www.novinky.cz/ekonomika/clanek/statni-dluh-v-prvnim-ctvrtleti-stoupl-na-1773-bilionu-korun-40320890" TargetMode="External"/><Relationship Id="rId26" Type="http://schemas.openxmlformats.org/officeDocument/2006/relationships/image" Target="media/image10.jpeg"/><Relationship Id="rId47" Type="http://schemas.openxmlformats.org/officeDocument/2006/relationships/image" Target="media/image29.jpeg"/><Relationship Id="rId68" Type="http://schemas.openxmlformats.org/officeDocument/2006/relationships/image" Target="media/image47.jpeg"/><Relationship Id="rId89" Type="http://schemas.openxmlformats.org/officeDocument/2006/relationships/image" Target="media/image62.png"/><Relationship Id="rId112" Type="http://schemas.openxmlformats.org/officeDocument/2006/relationships/image" Target="media/image74.jpeg"/><Relationship Id="rId133" Type="http://schemas.microsoft.com/office/2007/relationships/diagramDrawing" Target="diagrams/drawing1.xml"/><Relationship Id="rId154" Type="http://schemas.openxmlformats.org/officeDocument/2006/relationships/image" Target="media/image107.png"/><Relationship Id="rId175" Type="http://schemas.openxmlformats.org/officeDocument/2006/relationships/hyperlink" Target="https://www.novinky.cz/zahranicni/koronavirus/clanek/primator-hrib-predbehl-hygieniky-ministra-i-premiera-a-ohlasil-novy-nepotvrzeny-pripad-koronaviru-40315472"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epp.eurostat.ec.europa.eu/" TargetMode="External"/><Relationship Id="rId1" Type="http://schemas.openxmlformats.org/officeDocument/2006/relationships/hyperlink" Target="http://www.euroekonom.cz/ekonomie-clanky.php?type=lekce19"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Se&#353;it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Se&#353;it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Se&#353;i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cs-CZ"/>
              <a:t>Vývoj 2t repo sazby</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cs-CZ"/>
        </a:p>
      </c:txPr>
    </c:title>
    <c:autoTitleDeleted val="0"/>
    <c:plotArea>
      <c:layout>
        <c:manualLayout>
          <c:layoutTarget val="inner"/>
          <c:xMode val="edge"/>
          <c:yMode val="edge"/>
          <c:x val="0.11063570122326767"/>
          <c:y val="0.18097222222222226"/>
          <c:w val="0.87733060443256883"/>
          <c:h val="0.57241542723826189"/>
        </c:manualLayout>
      </c:layout>
      <c:lineChart>
        <c:grouping val="standard"/>
        <c:varyColors val="0"/>
        <c:ser>
          <c:idx val="0"/>
          <c:order val="0"/>
          <c:tx>
            <c:strRef>
              <c:f>List1!$E$5</c:f>
              <c:strCache>
                <c:ptCount val="1"/>
                <c:pt idx="0">
                  <c:v> (%)</c:v>
                </c:pt>
              </c:strCache>
            </c:strRef>
          </c:tx>
          <c:spPr>
            <a:ln w="22225" cap="rnd" cmpd="sng" algn="ctr">
              <a:solidFill>
                <a:schemeClr val="accent1"/>
              </a:solidFill>
              <a:round/>
            </a:ln>
            <a:effectLst/>
          </c:spPr>
          <c:marker>
            <c:symbol val="none"/>
          </c:marker>
          <c:cat>
            <c:strRef>
              <c:f>List1!$D$6:$D$100</c:f>
              <c:strCache>
                <c:ptCount val="95"/>
                <c:pt idx="0">
                  <c:v>08.12.1995</c:v>
                </c:pt>
                <c:pt idx="1">
                  <c:v>29.03.1996</c:v>
                </c:pt>
                <c:pt idx="2">
                  <c:v>29.04.1996</c:v>
                </c:pt>
                <c:pt idx="3">
                  <c:v>09.05.1996</c:v>
                </c:pt>
                <c:pt idx="4">
                  <c:v>21.06.1996</c:v>
                </c:pt>
                <c:pt idx="5">
                  <c:v>04.06.1997</c:v>
                </c:pt>
                <c:pt idx="6">
                  <c:v>11.06.1997</c:v>
                </c:pt>
                <c:pt idx="7">
                  <c:v>18.06.1997</c:v>
                </c:pt>
                <c:pt idx="8">
                  <c:v>20.06.1997</c:v>
                </c:pt>
                <c:pt idx="9">
                  <c:v>23.06.1997</c:v>
                </c:pt>
                <c:pt idx="10">
                  <c:v>24.06.1997</c:v>
                </c:pt>
                <c:pt idx="11">
                  <c:v>30.06.1997</c:v>
                </c:pt>
                <c:pt idx="12">
                  <c:v>01.07.1997</c:v>
                </c:pt>
                <c:pt idx="13">
                  <c:v>07.07.1997</c:v>
                </c:pt>
                <c:pt idx="14">
                  <c:v>08.07.1997</c:v>
                </c:pt>
                <c:pt idx="15">
                  <c:v>09.07.1997</c:v>
                </c:pt>
                <c:pt idx="16">
                  <c:v>16.07.1997</c:v>
                </c:pt>
                <c:pt idx="17">
                  <c:v>22.07.1997</c:v>
                </c:pt>
                <c:pt idx="18">
                  <c:v>23.07.1997</c:v>
                </c:pt>
                <c:pt idx="19">
                  <c:v>24.07.1997</c:v>
                </c:pt>
                <c:pt idx="20">
                  <c:v>28.07.1997</c:v>
                </c:pt>
                <c:pt idx="21">
                  <c:v>01.08.1997</c:v>
                </c:pt>
                <c:pt idx="22">
                  <c:v>04.08.1997</c:v>
                </c:pt>
                <c:pt idx="23">
                  <c:v>31.10.1997</c:v>
                </c:pt>
                <c:pt idx="24">
                  <c:v>01.12.1997</c:v>
                </c:pt>
                <c:pt idx="25">
                  <c:v>02.12.1997</c:v>
                </c:pt>
                <c:pt idx="26">
                  <c:v>03.12.1997</c:v>
                </c:pt>
                <c:pt idx="27">
                  <c:v>04.12.1997</c:v>
                </c:pt>
                <c:pt idx="28">
                  <c:v>09.12.1997</c:v>
                </c:pt>
                <c:pt idx="29">
                  <c:v>10.12.1997</c:v>
                </c:pt>
                <c:pt idx="30">
                  <c:v>17.12.1997</c:v>
                </c:pt>
                <c:pt idx="31">
                  <c:v>20.03.1998</c:v>
                </c:pt>
                <c:pt idx="32">
                  <c:v>17.07.1998</c:v>
                </c:pt>
                <c:pt idx="33">
                  <c:v> 14.8.1998</c:v>
                </c:pt>
                <c:pt idx="34">
                  <c:v> 25.9.1998</c:v>
                </c:pt>
                <c:pt idx="35">
                  <c:v> 27.10.1998</c:v>
                </c:pt>
                <c:pt idx="36">
                  <c:v> 13.11.1998</c:v>
                </c:pt>
                <c:pt idx="37">
                  <c:v> 4.12.1998</c:v>
                </c:pt>
                <c:pt idx="38">
                  <c:v> 23.12.1998</c:v>
                </c:pt>
                <c:pt idx="39">
                  <c:v>18.01.1999</c:v>
                </c:pt>
                <c:pt idx="40">
                  <c:v>29.01.1999</c:v>
                </c:pt>
                <c:pt idx="41">
                  <c:v>12.03.1999</c:v>
                </c:pt>
                <c:pt idx="42">
                  <c:v>09.04.1999</c:v>
                </c:pt>
                <c:pt idx="43">
                  <c:v>04.05.1999</c:v>
                </c:pt>
                <c:pt idx="44">
                  <c:v>25.06.1999</c:v>
                </c:pt>
                <c:pt idx="45">
                  <c:v>30.07.1999</c:v>
                </c:pt>
                <c:pt idx="46">
                  <c:v>03.09.1999</c:v>
                </c:pt>
                <c:pt idx="47">
                  <c:v>05.10.1999</c:v>
                </c:pt>
                <c:pt idx="48">
                  <c:v>27.10.1999</c:v>
                </c:pt>
                <c:pt idx="49">
                  <c:v>26.11.1999</c:v>
                </c:pt>
                <c:pt idx="50">
                  <c:v>23.02.2001</c:v>
                </c:pt>
                <c:pt idx="51">
                  <c:v>27.07.2001</c:v>
                </c:pt>
                <c:pt idx="52">
                  <c:v>30.11.2001</c:v>
                </c:pt>
                <c:pt idx="53">
                  <c:v>22.01.2002</c:v>
                </c:pt>
                <c:pt idx="54">
                  <c:v>01.02.2002</c:v>
                </c:pt>
                <c:pt idx="55">
                  <c:v>26.04.2002</c:v>
                </c:pt>
                <c:pt idx="56">
                  <c:v>26.07.2002</c:v>
                </c:pt>
                <c:pt idx="57">
                  <c:v>01.11.2002</c:v>
                </c:pt>
                <c:pt idx="58">
                  <c:v>31.01.2003</c:v>
                </c:pt>
                <c:pt idx="59">
                  <c:v>26.06.2003</c:v>
                </c:pt>
                <c:pt idx="60">
                  <c:v>01.08.2003</c:v>
                </c:pt>
                <c:pt idx="61">
                  <c:v>25.06.2004</c:v>
                </c:pt>
                <c:pt idx="62">
                  <c:v>27.08.2004</c:v>
                </c:pt>
                <c:pt idx="63">
                  <c:v>28.01.2005</c:v>
                </c:pt>
                <c:pt idx="64">
                  <c:v>01.04.2005</c:v>
                </c:pt>
                <c:pt idx="65">
                  <c:v>29.04.2005</c:v>
                </c:pt>
                <c:pt idx="66">
                  <c:v>31.10.2005</c:v>
                </c:pt>
                <c:pt idx="67">
                  <c:v>28.07.2006</c:v>
                </c:pt>
                <c:pt idx="68">
                  <c:v>29.09.2006</c:v>
                </c:pt>
                <c:pt idx="69">
                  <c:v>01.06.2007</c:v>
                </c:pt>
                <c:pt idx="70">
                  <c:v>27.07.2007</c:v>
                </c:pt>
                <c:pt idx="71">
                  <c:v>31.08.2007</c:v>
                </c:pt>
                <c:pt idx="72">
                  <c:v>30.11.2007</c:v>
                </c:pt>
                <c:pt idx="73">
                  <c:v>08.02.2008</c:v>
                </c:pt>
                <c:pt idx="74">
                  <c:v>08.08.2008</c:v>
                </c:pt>
                <c:pt idx="75">
                  <c:v>07.11.2008</c:v>
                </c:pt>
                <c:pt idx="76">
                  <c:v>18.12.2008</c:v>
                </c:pt>
                <c:pt idx="77">
                  <c:v>06.02.2009</c:v>
                </c:pt>
                <c:pt idx="78">
                  <c:v>11.05.2009</c:v>
                </c:pt>
                <c:pt idx="79">
                  <c:v>07.08.2009</c:v>
                </c:pt>
                <c:pt idx="80">
                  <c:v>17.12.2009</c:v>
                </c:pt>
                <c:pt idx="81">
                  <c:v>07.05.2010</c:v>
                </c:pt>
                <c:pt idx="82">
                  <c:v>29.06.2012</c:v>
                </c:pt>
                <c:pt idx="83">
                  <c:v>01.10.2012</c:v>
                </c:pt>
                <c:pt idx="84">
                  <c:v>02.11.2012</c:v>
                </c:pt>
                <c:pt idx="85">
                  <c:v>04.08.2017</c:v>
                </c:pt>
                <c:pt idx="86">
                  <c:v>03.11.2017</c:v>
                </c:pt>
                <c:pt idx="87">
                  <c:v>02.02.2018</c:v>
                </c:pt>
                <c:pt idx="88">
                  <c:v>28.06.2018</c:v>
                </c:pt>
                <c:pt idx="89">
                  <c:v>03.08.2018</c:v>
                </c:pt>
                <c:pt idx="90">
                  <c:v>27.09.2018</c:v>
                </c:pt>
                <c:pt idx="91">
                  <c:v>02.11.2018</c:v>
                </c:pt>
                <c:pt idx="92">
                  <c:v>03.05.2019</c:v>
                </c:pt>
                <c:pt idx="93">
                  <c:v>07.02.2020</c:v>
                </c:pt>
                <c:pt idx="94">
                  <c:v>17.03.2020</c:v>
                </c:pt>
              </c:strCache>
            </c:strRef>
          </c:cat>
          <c:val>
            <c:numRef>
              <c:f>List1!$E$6:$E$100</c:f>
              <c:numCache>
                <c:formatCode>General</c:formatCode>
                <c:ptCount val="95"/>
                <c:pt idx="0">
                  <c:v>11.3</c:v>
                </c:pt>
                <c:pt idx="1">
                  <c:v>11.5</c:v>
                </c:pt>
                <c:pt idx="2">
                  <c:v>11.6</c:v>
                </c:pt>
                <c:pt idx="3">
                  <c:v>11.8</c:v>
                </c:pt>
                <c:pt idx="4">
                  <c:v>12.4</c:v>
                </c:pt>
                <c:pt idx="5">
                  <c:v>39</c:v>
                </c:pt>
                <c:pt idx="6">
                  <c:v>29</c:v>
                </c:pt>
                <c:pt idx="7">
                  <c:v>25</c:v>
                </c:pt>
                <c:pt idx="8">
                  <c:v>22</c:v>
                </c:pt>
                <c:pt idx="9">
                  <c:v>20</c:v>
                </c:pt>
                <c:pt idx="10">
                  <c:v>18.5</c:v>
                </c:pt>
                <c:pt idx="11">
                  <c:v>18.2</c:v>
                </c:pt>
                <c:pt idx="12">
                  <c:v>17.899999999999999</c:v>
                </c:pt>
                <c:pt idx="13">
                  <c:v>17</c:v>
                </c:pt>
                <c:pt idx="14">
                  <c:v>16.5</c:v>
                </c:pt>
                <c:pt idx="15">
                  <c:v>16.2</c:v>
                </c:pt>
                <c:pt idx="16">
                  <c:v>16</c:v>
                </c:pt>
                <c:pt idx="17">
                  <c:v>15.7</c:v>
                </c:pt>
                <c:pt idx="18">
                  <c:v>15.4</c:v>
                </c:pt>
                <c:pt idx="19">
                  <c:v>15.2</c:v>
                </c:pt>
                <c:pt idx="20">
                  <c:v>14.9</c:v>
                </c:pt>
                <c:pt idx="21">
                  <c:v>14.7</c:v>
                </c:pt>
                <c:pt idx="22">
                  <c:v>14.5</c:v>
                </c:pt>
                <c:pt idx="23">
                  <c:v>14.8</c:v>
                </c:pt>
                <c:pt idx="24">
                  <c:v>18.5</c:v>
                </c:pt>
                <c:pt idx="25">
                  <c:v>18</c:v>
                </c:pt>
                <c:pt idx="26">
                  <c:v>17.5</c:v>
                </c:pt>
                <c:pt idx="27">
                  <c:v>16.75</c:v>
                </c:pt>
                <c:pt idx="28">
                  <c:v>15.5</c:v>
                </c:pt>
                <c:pt idx="29">
                  <c:v>15</c:v>
                </c:pt>
                <c:pt idx="30">
                  <c:v>14.75</c:v>
                </c:pt>
                <c:pt idx="31">
                  <c:v>15</c:v>
                </c:pt>
                <c:pt idx="32">
                  <c:v>14.5</c:v>
                </c:pt>
                <c:pt idx="33">
                  <c:v>14</c:v>
                </c:pt>
                <c:pt idx="34">
                  <c:v>13.5</c:v>
                </c:pt>
                <c:pt idx="35">
                  <c:v>12.5</c:v>
                </c:pt>
                <c:pt idx="36">
                  <c:v>11.5</c:v>
                </c:pt>
                <c:pt idx="37">
                  <c:v>10.5</c:v>
                </c:pt>
                <c:pt idx="38">
                  <c:v>9.5</c:v>
                </c:pt>
                <c:pt idx="39">
                  <c:v>8.75</c:v>
                </c:pt>
                <c:pt idx="40">
                  <c:v>8</c:v>
                </c:pt>
                <c:pt idx="41">
                  <c:v>7.5</c:v>
                </c:pt>
                <c:pt idx="42">
                  <c:v>7.2</c:v>
                </c:pt>
                <c:pt idx="43">
                  <c:v>6.9</c:v>
                </c:pt>
                <c:pt idx="44">
                  <c:v>6.5</c:v>
                </c:pt>
                <c:pt idx="45">
                  <c:v>6.25</c:v>
                </c:pt>
                <c:pt idx="46">
                  <c:v>6</c:v>
                </c:pt>
                <c:pt idx="47">
                  <c:v>5.75</c:v>
                </c:pt>
                <c:pt idx="48">
                  <c:v>5.5</c:v>
                </c:pt>
                <c:pt idx="49">
                  <c:v>5.25</c:v>
                </c:pt>
                <c:pt idx="50">
                  <c:v>5</c:v>
                </c:pt>
                <c:pt idx="51">
                  <c:v>5.25</c:v>
                </c:pt>
                <c:pt idx="52">
                  <c:v>4.75</c:v>
                </c:pt>
                <c:pt idx="53">
                  <c:v>4.5</c:v>
                </c:pt>
                <c:pt idx="54">
                  <c:v>4.25</c:v>
                </c:pt>
                <c:pt idx="55">
                  <c:v>3.75</c:v>
                </c:pt>
                <c:pt idx="56">
                  <c:v>3</c:v>
                </c:pt>
                <c:pt idx="57">
                  <c:v>2.75</c:v>
                </c:pt>
                <c:pt idx="58">
                  <c:v>2.5</c:v>
                </c:pt>
                <c:pt idx="59">
                  <c:v>2.25</c:v>
                </c:pt>
                <c:pt idx="60">
                  <c:v>2</c:v>
                </c:pt>
                <c:pt idx="61">
                  <c:v>2.25</c:v>
                </c:pt>
                <c:pt idx="62">
                  <c:v>2.5</c:v>
                </c:pt>
                <c:pt idx="63">
                  <c:v>2.25</c:v>
                </c:pt>
                <c:pt idx="64">
                  <c:v>2</c:v>
                </c:pt>
                <c:pt idx="65">
                  <c:v>1.75</c:v>
                </c:pt>
                <c:pt idx="66">
                  <c:v>2</c:v>
                </c:pt>
                <c:pt idx="67">
                  <c:v>2.25</c:v>
                </c:pt>
                <c:pt idx="68">
                  <c:v>2.5</c:v>
                </c:pt>
                <c:pt idx="69">
                  <c:v>2.75</c:v>
                </c:pt>
                <c:pt idx="70">
                  <c:v>3</c:v>
                </c:pt>
                <c:pt idx="71">
                  <c:v>3.25</c:v>
                </c:pt>
                <c:pt idx="72">
                  <c:v>3.5</c:v>
                </c:pt>
                <c:pt idx="73">
                  <c:v>3.75</c:v>
                </c:pt>
                <c:pt idx="74">
                  <c:v>3.5</c:v>
                </c:pt>
                <c:pt idx="75">
                  <c:v>2.75</c:v>
                </c:pt>
                <c:pt idx="76">
                  <c:v>2.25</c:v>
                </c:pt>
                <c:pt idx="77">
                  <c:v>1.75</c:v>
                </c:pt>
                <c:pt idx="78">
                  <c:v>1.5</c:v>
                </c:pt>
                <c:pt idx="79">
                  <c:v>1.25</c:v>
                </c:pt>
                <c:pt idx="80">
                  <c:v>1</c:v>
                </c:pt>
                <c:pt idx="81">
                  <c:v>0.75</c:v>
                </c:pt>
                <c:pt idx="82">
                  <c:v>0.5</c:v>
                </c:pt>
                <c:pt idx="83">
                  <c:v>0.25</c:v>
                </c:pt>
                <c:pt idx="84">
                  <c:v>0.05</c:v>
                </c:pt>
                <c:pt idx="85">
                  <c:v>0.25</c:v>
                </c:pt>
                <c:pt idx="86">
                  <c:v>0.5</c:v>
                </c:pt>
                <c:pt idx="87">
                  <c:v>0.75</c:v>
                </c:pt>
                <c:pt idx="88">
                  <c:v>1</c:v>
                </c:pt>
                <c:pt idx="89">
                  <c:v>1.25</c:v>
                </c:pt>
                <c:pt idx="90">
                  <c:v>1.5</c:v>
                </c:pt>
                <c:pt idx="91">
                  <c:v>1.75</c:v>
                </c:pt>
                <c:pt idx="92">
                  <c:v>2</c:v>
                </c:pt>
                <c:pt idx="93">
                  <c:v>2.25</c:v>
                </c:pt>
                <c:pt idx="94">
                  <c:v>1.75</c:v>
                </c:pt>
              </c:numCache>
            </c:numRef>
          </c:val>
          <c:smooth val="0"/>
          <c:extLst xmlns:c16r2="http://schemas.microsoft.com/office/drawing/2015/06/chart">
            <c:ext xmlns:c16="http://schemas.microsoft.com/office/drawing/2014/chart" uri="{C3380CC4-5D6E-409C-BE32-E72D297353CC}">
              <c16:uniqueId val="{00000000-FB27-4FE3-803B-A4C61509D9E5}"/>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28886016"/>
        <c:axId val="128886408"/>
      </c:lineChart>
      <c:catAx>
        <c:axId val="12888601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cs-CZ"/>
          </a:p>
        </c:txPr>
        <c:crossAx val="128886408"/>
        <c:crosses val="autoZero"/>
        <c:auto val="1"/>
        <c:lblAlgn val="ctr"/>
        <c:lblOffset val="100"/>
        <c:noMultiLvlLbl val="0"/>
      </c:catAx>
      <c:valAx>
        <c:axId val="128886408"/>
        <c:scaling>
          <c:orientation val="minMax"/>
        </c:scaling>
        <c:delete val="0"/>
        <c:axPos val="l"/>
        <c:title>
          <c:tx>
            <c:rich>
              <a:bodyPr rot="0" spcFirstLastPara="1" vertOverflow="ellipsis"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cs-CZ" sz="1600"/>
                  <a:t>%</a:t>
                </a:r>
                <a:endParaRPr lang="cs-CZ" sz="600"/>
              </a:p>
            </c:rich>
          </c:tx>
          <c:overlay val="0"/>
          <c:spPr>
            <a:noFill/>
            <a:ln>
              <a:noFill/>
            </a:ln>
            <a:effectLst/>
          </c:spPr>
          <c:txPr>
            <a:bodyPr rot="0" spcFirstLastPara="1" vertOverflow="ellipsis"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cs-CZ"/>
          </a:p>
        </c:txPr>
        <c:crossAx val="12888601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cs-CZ"/>
              <a:t>Vývoj diskontní sazby</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cs-CZ"/>
        </a:p>
      </c:txPr>
    </c:title>
    <c:autoTitleDeleted val="0"/>
    <c:plotArea>
      <c:layout/>
      <c:lineChart>
        <c:grouping val="standard"/>
        <c:varyColors val="0"/>
        <c:ser>
          <c:idx val="0"/>
          <c:order val="0"/>
          <c:spPr>
            <a:ln w="22225" cap="rnd" cmpd="sng" algn="ctr">
              <a:solidFill>
                <a:schemeClr val="accent1"/>
              </a:solidFill>
              <a:round/>
            </a:ln>
            <a:effectLst/>
          </c:spPr>
          <c:marker>
            <c:symbol val="none"/>
          </c:marker>
          <c:cat>
            <c:numRef>
              <c:f>List2!$D$3:$D$60</c:f>
              <c:numCache>
                <c:formatCode>m/d/yyyy</c:formatCode>
                <c:ptCount val="58"/>
                <c:pt idx="0">
                  <c:v>32874</c:v>
                </c:pt>
                <c:pt idx="1">
                  <c:v>32964</c:v>
                </c:pt>
                <c:pt idx="2">
                  <c:v>33147</c:v>
                </c:pt>
                <c:pt idx="3">
                  <c:v>33188</c:v>
                </c:pt>
                <c:pt idx="4">
                  <c:v>33239</c:v>
                </c:pt>
                <c:pt idx="5">
                  <c:v>33489</c:v>
                </c:pt>
                <c:pt idx="6">
                  <c:v>33688</c:v>
                </c:pt>
                <c:pt idx="7">
                  <c:v>33842</c:v>
                </c:pt>
                <c:pt idx="8">
                  <c:v>33968</c:v>
                </c:pt>
                <c:pt idx="9">
                  <c:v>34130</c:v>
                </c:pt>
                <c:pt idx="10">
                  <c:v>34631</c:v>
                </c:pt>
                <c:pt idx="11">
                  <c:v>34876</c:v>
                </c:pt>
                <c:pt idx="12">
                  <c:v>35237</c:v>
                </c:pt>
                <c:pt idx="13">
                  <c:v>35577</c:v>
                </c:pt>
                <c:pt idx="14">
                  <c:v>36021</c:v>
                </c:pt>
                <c:pt idx="15">
                  <c:v>36095</c:v>
                </c:pt>
                <c:pt idx="16">
                  <c:v>36152</c:v>
                </c:pt>
                <c:pt idx="17">
                  <c:v>36231</c:v>
                </c:pt>
                <c:pt idx="18">
                  <c:v>36406</c:v>
                </c:pt>
                <c:pt idx="19">
                  <c:v>36460</c:v>
                </c:pt>
                <c:pt idx="20">
                  <c:v>36945</c:v>
                </c:pt>
                <c:pt idx="21">
                  <c:v>37099</c:v>
                </c:pt>
                <c:pt idx="22">
                  <c:v>37225</c:v>
                </c:pt>
                <c:pt idx="23">
                  <c:v>37278</c:v>
                </c:pt>
                <c:pt idx="24">
                  <c:v>37288</c:v>
                </c:pt>
                <c:pt idx="25">
                  <c:v>37372</c:v>
                </c:pt>
                <c:pt idx="26">
                  <c:v>37463</c:v>
                </c:pt>
                <c:pt idx="27">
                  <c:v>37561</c:v>
                </c:pt>
                <c:pt idx="28">
                  <c:v>37652</c:v>
                </c:pt>
                <c:pt idx="29">
                  <c:v>37798</c:v>
                </c:pt>
                <c:pt idx="30">
                  <c:v>37834</c:v>
                </c:pt>
                <c:pt idx="31">
                  <c:v>38163</c:v>
                </c:pt>
                <c:pt idx="32">
                  <c:v>38226</c:v>
                </c:pt>
                <c:pt idx="33">
                  <c:v>38380</c:v>
                </c:pt>
                <c:pt idx="34">
                  <c:v>38443</c:v>
                </c:pt>
                <c:pt idx="35">
                  <c:v>38471</c:v>
                </c:pt>
                <c:pt idx="36">
                  <c:v>38656</c:v>
                </c:pt>
                <c:pt idx="37">
                  <c:v>38926</c:v>
                </c:pt>
                <c:pt idx="38">
                  <c:v>38989</c:v>
                </c:pt>
                <c:pt idx="39">
                  <c:v>39234</c:v>
                </c:pt>
                <c:pt idx="40">
                  <c:v>39290</c:v>
                </c:pt>
                <c:pt idx="41">
                  <c:v>39325</c:v>
                </c:pt>
                <c:pt idx="42">
                  <c:v>39416</c:v>
                </c:pt>
                <c:pt idx="43">
                  <c:v>39486</c:v>
                </c:pt>
                <c:pt idx="44">
                  <c:v>39668</c:v>
                </c:pt>
                <c:pt idx="45">
                  <c:v>39759</c:v>
                </c:pt>
                <c:pt idx="46">
                  <c:v>39800</c:v>
                </c:pt>
                <c:pt idx="47">
                  <c:v>39850</c:v>
                </c:pt>
                <c:pt idx="48">
                  <c:v>39944</c:v>
                </c:pt>
                <c:pt idx="49">
                  <c:v>40032</c:v>
                </c:pt>
                <c:pt idx="50">
                  <c:v>41183</c:v>
                </c:pt>
                <c:pt idx="51">
                  <c:v>41215</c:v>
                </c:pt>
                <c:pt idx="52">
                  <c:v>43315</c:v>
                </c:pt>
                <c:pt idx="53">
                  <c:v>43370</c:v>
                </c:pt>
                <c:pt idx="54">
                  <c:v>43406</c:v>
                </c:pt>
                <c:pt idx="55">
                  <c:v>43588</c:v>
                </c:pt>
                <c:pt idx="56">
                  <c:v>43868</c:v>
                </c:pt>
                <c:pt idx="57">
                  <c:v>43907</c:v>
                </c:pt>
              </c:numCache>
            </c:numRef>
          </c:cat>
          <c:val>
            <c:numRef>
              <c:f>List2!$E$3:$E$60</c:f>
              <c:numCache>
                <c:formatCode>General</c:formatCode>
                <c:ptCount val="58"/>
                <c:pt idx="0">
                  <c:v>4</c:v>
                </c:pt>
                <c:pt idx="1">
                  <c:v>5</c:v>
                </c:pt>
                <c:pt idx="2">
                  <c:v>7</c:v>
                </c:pt>
                <c:pt idx="3">
                  <c:v>8.5</c:v>
                </c:pt>
                <c:pt idx="4">
                  <c:v>10</c:v>
                </c:pt>
                <c:pt idx="5">
                  <c:v>9.5</c:v>
                </c:pt>
                <c:pt idx="6">
                  <c:v>9</c:v>
                </c:pt>
                <c:pt idx="7">
                  <c:v>8</c:v>
                </c:pt>
                <c:pt idx="8">
                  <c:v>9.5</c:v>
                </c:pt>
                <c:pt idx="9">
                  <c:v>8</c:v>
                </c:pt>
                <c:pt idx="10">
                  <c:v>8.5</c:v>
                </c:pt>
                <c:pt idx="11">
                  <c:v>9.5</c:v>
                </c:pt>
                <c:pt idx="12">
                  <c:v>10.5</c:v>
                </c:pt>
                <c:pt idx="13">
                  <c:v>13</c:v>
                </c:pt>
                <c:pt idx="14">
                  <c:v>11.5</c:v>
                </c:pt>
                <c:pt idx="15">
                  <c:v>10</c:v>
                </c:pt>
                <c:pt idx="16">
                  <c:v>7.5</c:v>
                </c:pt>
                <c:pt idx="17">
                  <c:v>6</c:v>
                </c:pt>
                <c:pt idx="18">
                  <c:v>5.5</c:v>
                </c:pt>
                <c:pt idx="19">
                  <c:v>5</c:v>
                </c:pt>
                <c:pt idx="20">
                  <c:v>4</c:v>
                </c:pt>
                <c:pt idx="21">
                  <c:v>4.25</c:v>
                </c:pt>
                <c:pt idx="22">
                  <c:v>3.75</c:v>
                </c:pt>
                <c:pt idx="23">
                  <c:v>3.5</c:v>
                </c:pt>
                <c:pt idx="24">
                  <c:v>3.25</c:v>
                </c:pt>
                <c:pt idx="25">
                  <c:v>2.75</c:v>
                </c:pt>
                <c:pt idx="26">
                  <c:v>2</c:v>
                </c:pt>
                <c:pt idx="27">
                  <c:v>1.75</c:v>
                </c:pt>
                <c:pt idx="28">
                  <c:v>1.5</c:v>
                </c:pt>
                <c:pt idx="29">
                  <c:v>1.25</c:v>
                </c:pt>
                <c:pt idx="30">
                  <c:v>1</c:v>
                </c:pt>
                <c:pt idx="31">
                  <c:v>1.25</c:v>
                </c:pt>
                <c:pt idx="32">
                  <c:v>1.5</c:v>
                </c:pt>
                <c:pt idx="33">
                  <c:v>1.25</c:v>
                </c:pt>
                <c:pt idx="34">
                  <c:v>1</c:v>
                </c:pt>
                <c:pt idx="35">
                  <c:v>0.75</c:v>
                </c:pt>
                <c:pt idx="36">
                  <c:v>1</c:v>
                </c:pt>
                <c:pt idx="37">
                  <c:v>1.25</c:v>
                </c:pt>
                <c:pt idx="38">
                  <c:v>1.5</c:v>
                </c:pt>
                <c:pt idx="39">
                  <c:v>1.75</c:v>
                </c:pt>
                <c:pt idx="40">
                  <c:v>2</c:v>
                </c:pt>
                <c:pt idx="41">
                  <c:v>2.25</c:v>
                </c:pt>
                <c:pt idx="42">
                  <c:v>2.5</c:v>
                </c:pt>
                <c:pt idx="43">
                  <c:v>2.75</c:v>
                </c:pt>
                <c:pt idx="44">
                  <c:v>2.5</c:v>
                </c:pt>
                <c:pt idx="45">
                  <c:v>1.75</c:v>
                </c:pt>
                <c:pt idx="46">
                  <c:v>1.25</c:v>
                </c:pt>
                <c:pt idx="47">
                  <c:v>0.75</c:v>
                </c:pt>
                <c:pt idx="48">
                  <c:v>0.5</c:v>
                </c:pt>
                <c:pt idx="49">
                  <c:v>0.25</c:v>
                </c:pt>
                <c:pt idx="50">
                  <c:v>0.1</c:v>
                </c:pt>
                <c:pt idx="51">
                  <c:v>0.05</c:v>
                </c:pt>
                <c:pt idx="52">
                  <c:v>0.25</c:v>
                </c:pt>
                <c:pt idx="53">
                  <c:v>0.5</c:v>
                </c:pt>
                <c:pt idx="54">
                  <c:v>0.75</c:v>
                </c:pt>
                <c:pt idx="55">
                  <c:v>1</c:v>
                </c:pt>
                <c:pt idx="56">
                  <c:v>1.25</c:v>
                </c:pt>
                <c:pt idx="57">
                  <c:v>0.75</c:v>
                </c:pt>
              </c:numCache>
            </c:numRef>
          </c:val>
          <c:smooth val="0"/>
          <c:extLst xmlns:c16r2="http://schemas.microsoft.com/office/drawing/2015/06/chart">
            <c:ext xmlns:c16="http://schemas.microsoft.com/office/drawing/2014/chart" uri="{C3380CC4-5D6E-409C-BE32-E72D297353CC}">
              <c16:uniqueId val="{00000000-D3D2-4DF9-A3DC-9CEAC89A47BE}"/>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28862704"/>
        <c:axId val="128821544"/>
      </c:lineChart>
      <c:dateAx>
        <c:axId val="128862704"/>
        <c:scaling>
          <c:orientation val="minMax"/>
        </c:scaling>
        <c:delete val="0"/>
        <c:axPos val="b"/>
        <c:numFmt formatCode="m/d/yyyy"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cs-CZ"/>
          </a:p>
        </c:txPr>
        <c:crossAx val="128821544"/>
        <c:crosses val="autoZero"/>
        <c:auto val="1"/>
        <c:lblOffset val="100"/>
        <c:baseTimeUnit val="days"/>
      </c:dateAx>
      <c:valAx>
        <c:axId val="128821544"/>
        <c:scaling>
          <c:orientation val="minMax"/>
        </c:scaling>
        <c:delete val="0"/>
        <c:axPos val="l"/>
        <c:title>
          <c:tx>
            <c:rich>
              <a:bodyPr rot="0" spcFirstLastPara="1" vertOverflow="ellipsis"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cs-CZ"/>
                  <a:t>%</a:t>
                </a:r>
              </a:p>
            </c:rich>
          </c:tx>
          <c:overlay val="0"/>
          <c:spPr>
            <a:noFill/>
            <a:ln>
              <a:noFill/>
            </a:ln>
            <a:effectLst/>
          </c:spPr>
          <c:txPr>
            <a:bodyPr rot="0" spcFirstLastPara="1" vertOverflow="ellipsis"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cs-CZ"/>
          </a:p>
        </c:txPr>
        <c:crossAx val="12886270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cs-C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cs-CZ"/>
              <a:t>Vývoj lomabrdní sazby</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cs-CZ"/>
        </a:p>
      </c:txPr>
    </c:title>
    <c:autoTitleDeleted val="0"/>
    <c:plotArea>
      <c:layout/>
      <c:lineChart>
        <c:grouping val="standard"/>
        <c:varyColors val="0"/>
        <c:ser>
          <c:idx val="0"/>
          <c:order val="0"/>
          <c:spPr>
            <a:ln w="22225" cap="rnd" cmpd="sng" algn="ctr">
              <a:solidFill>
                <a:schemeClr val="accent1"/>
              </a:solidFill>
              <a:round/>
            </a:ln>
            <a:effectLst/>
          </c:spPr>
          <c:marker>
            <c:symbol val="none"/>
          </c:marker>
          <c:cat>
            <c:strRef>
              <c:f>List3!$D$3:$D$64</c:f>
              <c:strCache>
                <c:ptCount val="62"/>
                <c:pt idx="0">
                  <c:v>01.01.1993</c:v>
                </c:pt>
                <c:pt idx="1">
                  <c:v>09.08.1993</c:v>
                </c:pt>
                <c:pt idx="2">
                  <c:v>17.12.1993</c:v>
                </c:pt>
                <c:pt idx="3">
                  <c:v>08.04.1994</c:v>
                </c:pt>
                <c:pt idx="4">
                  <c:v>24.10.1994</c:v>
                </c:pt>
                <c:pt idx="5">
                  <c:v>02.12.1994</c:v>
                </c:pt>
                <c:pt idx="6">
                  <c:v>26.06.1995</c:v>
                </c:pt>
                <c:pt idx="7">
                  <c:v>21.06.1996</c:v>
                </c:pt>
                <c:pt idx="8">
                  <c:v>16.05.1997</c:v>
                </c:pt>
                <c:pt idx="9">
                  <c:v>27.06.1997</c:v>
                </c:pt>
                <c:pt idx="10">
                  <c:v>23.01.1998</c:v>
                </c:pt>
                <c:pt idx="11">
                  <c:v> 14.8.1998</c:v>
                </c:pt>
                <c:pt idx="12">
                  <c:v> 27.10.1998</c:v>
                </c:pt>
                <c:pt idx="13">
                  <c:v> 23.12.1998</c:v>
                </c:pt>
                <c:pt idx="14">
                  <c:v>12.03.1999</c:v>
                </c:pt>
                <c:pt idx="15">
                  <c:v>03.09.1999</c:v>
                </c:pt>
                <c:pt idx="16">
                  <c:v>27.10.1999</c:v>
                </c:pt>
                <c:pt idx="17">
                  <c:v>23.02.2001</c:v>
                </c:pt>
                <c:pt idx="18">
                  <c:v>27.07.2001</c:v>
                </c:pt>
                <c:pt idx="19">
                  <c:v>30.11.2001</c:v>
                </c:pt>
                <c:pt idx="20">
                  <c:v>22.01.2002</c:v>
                </c:pt>
                <c:pt idx="21">
                  <c:v>01.02.2002</c:v>
                </c:pt>
                <c:pt idx="22">
                  <c:v>26.04.2002</c:v>
                </c:pt>
                <c:pt idx="23">
                  <c:v>26.07.2002</c:v>
                </c:pt>
                <c:pt idx="24">
                  <c:v>01.11.2002</c:v>
                </c:pt>
                <c:pt idx="25">
                  <c:v>31.01.2003</c:v>
                </c:pt>
                <c:pt idx="26">
                  <c:v>26.06.2003</c:v>
                </c:pt>
                <c:pt idx="27">
                  <c:v>01.08.2003</c:v>
                </c:pt>
                <c:pt idx="28">
                  <c:v>25.06.2004</c:v>
                </c:pt>
                <c:pt idx="29">
                  <c:v>27.08.2004</c:v>
                </c:pt>
                <c:pt idx="30">
                  <c:v>28.01.2005</c:v>
                </c:pt>
                <c:pt idx="31">
                  <c:v>01.04.2005</c:v>
                </c:pt>
                <c:pt idx="32">
                  <c:v>29.04.2005</c:v>
                </c:pt>
                <c:pt idx="33">
                  <c:v>31.10.2005</c:v>
                </c:pt>
                <c:pt idx="34">
                  <c:v>28.07.2006</c:v>
                </c:pt>
                <c:pt idx="35">
                  <c:v>29.09.2006</c:v>
                </c:pt>
                <c:pt idx="36">
                  <c:v>01.06.2007</c:v>
                </c:pt>
                <c:pt idx="37">
                  <c:v>27.07.2007</c:v>
                </c:pt>
                <c:pt idx="38">
                  <c:v>31.08.2007</c:v>
                </c:pt>
                <c:pt idx="39">
                  <c:v>30.11.2007</c:v>
                </c:pt>
                <c:pt idx="40">
                  <c:v>08.02.2008</c:v>
                </c:pt>
                <c:pt idx="41">
                  <c:v>08.08.2008</c:v>
                </c:pt>
                <c:pt idx="42">
                  <c:v>07.11.2008</c:v>
                </c:pt>
                <c:pt idx="43">
                  <c:v>18.12.2008</c:v>
                </c:pt>
                <c:pt idx="44">
                  <c:v>06.02.2009</c:v>
                </c:pt>
                <c:pt idx="45">
                  <c:v>11.05.2009</c:v>
                </c:pt>
                <c:pt idx="46">
                  <c:v>07.08.2009</c:v>
                </c:pt>
                <c:pt idx="47">
                  <c:v>17.12.2009</c:v>
                </c:pt>
                <c:pt idx="48">
                  <c:v>07.05.2010</c:v>
                </c:pt>
                <c:pt idx="49">
                  <c:v>29.06.2012</c:v>
                </c:pt>
                <c:pt idx="50">
                  <c:v>01.10.2012</c:v>
                </c:pt>
                <c:pt idx="51">
                  <c:v>02.11.2012</c:v>
                </c:pt>
                <c:pt idx="52">
                  <c:v>04.08.2017</c:v>
                </c:pt>
                <c:pt idx="53">
                  <c:v>03.11.2017</c:v>
                </c:pt>
                <c:pt idx="54">
                  <c:v>02.02.2018</c:v>
                </c:pt>
                <c:pt idx="55">
                  <c:v>28.06.2018</c:v>
                </c:pt>
                <c:pt idx="56">
                  <c:v>03.08.2018</c:v>
                </c:pt>
                <c:pt idx="57">
                  <c:v>27.09.2018</c:v>
                </c:pt>
                <c:pt idx="58">
                  <c:v>02.11.2018</c:v>
                </c:pt>
                <c:pt idx="59">
                  <c:v>03.05.2019</c:v>
                </c:pt>
                <c:pt idx="60">
                  <c:v>07.02.2020</c:v>
                </c:pt>
                <c:pt idx="61">
                  <c:v>17.03.2020</c:v>
                </c:pt>
              </c:strCache>
            </c:strRef>
          </c:cat>
          <c:val>
            <c:numRef>
              <c:f>List3!$E$3:$E$64</c:f>
              <c:numCache>
                <c:formatCode>General</c:formatCode>
                <c:ptCount val="62"/>
                <c:pt idx="0">
                  <c:v>14</c:v>
                </c:pt>
                <c:pt idx="1">
                  <c:v>12.5</c:v>
                </c:pt>
                <c:pt idx="2">
                  <c:v>11.5</c:v>
                </c:pt>
                <c:pt idx="3">
                  <c:v>10.5</c:v>
                </c:pt>
                <c:pt idx="4">
                  <c:v>11</c:v>
                </c:pt>
                <c:pt idx="5">
                  <c:v>11.5</c:v>
                </c:pt>
                <c:pt idx="6">
                  <c:v>12.5</c:v>
                </c:pt>
                <c:pt idx="7">
                  <c:v>14</c:v>
                </c:pt>
                <c:pt idx="8">
                  <c:v>50</c:v>
                </c:pt>
                <c:pt idx="9">
                  <c:v>23</c:v>
                </c:pt>
                <c:pt idx="10">
                  <c:v>19</c:v>
                </c:pt>
                <c:pt idx="11">
                  <c:v>16</c:v>
                </c:pt>
                <c:pt idx="12">
                  <c:v>15</c:v>
                </c:pt>
                <c:pt idx="13">
                  <c:v>12.5</c:v>
                </c:pt>
                <c:pt idx="14">
                  <c:v>10</c:v>
                </c:pt>
                <c:pt idx="15">
                  <c:v>8</c:v>
                </c:pt>
                <c:pt idx="16">
                  <c:v>7.5</c:v>
                </c:pt>
                <c:pt idx="17">
                  <c:v>6</c:v>
                </c:pt>
                <c:pt idx="18">
                  <c:v>6.25</c:v>
                </c:pt>
                <c:pt idx="19">
                  <c:v>5.75</c:v>
                </c:pt>
                <c:pt idx="20">
                  <c:v>5.5</c:v>
                </c:pt>
                <c:pt idx="21">
                  <c:v>5.25</c:v>
                </c:pt>
                <c:pt idx="22">
                  <c:v>4.75</c:v>
                </c:pt>
                <c:pt idx="23">
                  <c:v>4</c:v>
                </c:pt>
                <c:pt idx="24">
                  <c:v>3.75</c:v>
                </c:pt>
                <c:pt idx="25">
                  <c:v>3.5</c:v>
                </c:pt>
                <c:pt idx="26">
                  <c:v>3.25</c:v>
                </c:pt>
                <c:pt idx="27">
                  <c:v>3</c:v>
                </c:pt>
                <c:pt idx="28">
                  <c:v>3.25</c:v>
                </c:pt>
                <c:pt idx="29">
                  <c:v>3.5</c:v>
                </c:pt>
                <c:pt idx="30">
                  <c:v>3.25</c:v>
                </c:pt>
                <c:pt idx="31">
                  <c:v>3</c:v>
                </c:pt>
                <c:pt idx="32">
                  <c:v>2.75</c:v>
                </c:pt>
                <c:pt idx="33">
                  <c:v>3</c:v>
                </c:pt>
                <c:pt idx="34">
                  <c:v>3.25</c:v>
                </c:pt>
                <c:pt idx="35">
                  <c:v>3.5</c:v>
                </c:pt>
                <c:pt idx="36">
                  <c:v>3.75</c:v>
                </c:pt>
                <c:pt idx="37">
                  <c:v>4</c:v>
                </c:pt>
                <c:pt idx="38">
                  <c:v>4.25</c:v>
                </c:pt>
                <c:pt idx="39">
                  <c:v>4.5</c:v>
                </c:pt>
                <c:pt idx="40">
                  <c:v>4.75</c:v>
                </c:pt>
                <c:pt idx="41">
                  <c:v>4.5</c:v>
                </c:pt>
                <c:pt idx="42">
                  <c:v>3.75</c:v>
                </c:pt>
                <c:pt idx="43">
                  <c:v>3.25</c:v>
                </c:pt>
                <c:pt idx="44">
                  <c:v>2.75</c:v>
                </c:pt>
                <c:pt idx="45">
                  <c:v>2.5</c:v>
                </c:pt>
                <c:pt idx="46">
                  <c:v>2.25</c:v>
                </c:pt>
                <c:pt idx="47">
                  <c:v>2</c:v>
                </c:pt>
                <c:pt idx="48">
                  <c:v>1.75</c:v>
                </c:pt>
                <c:pt idx="49">
                  <c:v>1.5</c:v>
                </c:pt>
                <c:pt idx="50">
                  <c:v>0.75</c:v>
                </c:pt>
                <c:pt idx="51">
                  <c:v>0.25</c:v>
                </c:pt>
                <c:pt idx="52">
                  <c:v>0.5</c:v>
                </c:pt>
                <c:pt idx="53">
                  <c:v>1</c:v>
                </c:pt>
                <c:pt idx="54">
                  <c:v>1.5</c:v>
                </c:pt>
                <c:pt idx="55">
                  <c:v>2</c:v>
                </c:pt>
                <c:pt idx="56">
                  <c:v>2.25</c:v>
                </c:pt>
                <c:pt idx="57">
                  <c:v>2.5</c:v>
                </c:pt>
                <c:pt idx="58">
                  <c:v>2.75</c:v>
                </c:pt>
                <c:pt idx="59">
                  <c:v>3</c:v>
                </c:pt>
                <c:pt idx="60">
                  <c:v>3.25</c:v>
                </c:pt>
                <c:pt idx="61">
                  <c:v>2.75</c:v>
                </c:pt>
              </c:numCache>
            </c:numRef>
          </c:val>
          <c:smooth val="0"/>
          <c:extLst xmlns:c16r2="http://schemas.microsoft.com/office/drawing/2015/06/chart">
            <c:ext xmlns:c16="http://schemas.microsoft.com/office/drawing/2014/chart" uri="{C3380CC4-5D6E-409C-BE32-E72D297353CC}">
              <c16:uniqueId val="{00000000-A83C-4F85-8828-BE1270E2BB22}"/>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28823112"/>
        <c:axId val="264523368"/>
      </c:lineChart>
      <c:catAx>
        <c:axId val="12882311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cs-CZ"/>
          </a:p>
        </c:txPr>
        <c:crossAx val="264523368"/>
        <c:crosses val="autoZero"/>
        <c:auto val="1"/>
        <c:lblAlgn val="ctr"/>
        <c:lblOffset val="100"/>
        <c:noMultiLvlLbl val="0"/>
      </c:catAx>
      <c:valAx>
        <c:axId val="264523368"/>
        <c:scaling>
          <c:orientation val="minMax"/>
        </c:scaling>
        <c:delete val="0"/>
        <c:axPos val="l"/>
        <c:title>
          <c:tx>
            <c:rich>
              <a:bodyPr rot="0" spcFirstLastPara="1" vertOverflow="ellipsis"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cs-CZ" sz="1800"/>
                  <a:t>%</a:t>
                </a:r>
              </a:p>
            </c:rich>
          </c:tx>
          <c:overlay val="0"/>
          <c:spPr>
            <a:noFill/>
            <a:ln>
              <a:noFill/>
            </a:ln>
            <a:effectLst/>
          </c:spPr>
          <c:txPr>
            <a:bodyPr rot="0" spcFirstLastPara="1" vertOverflow="ellipsis"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cs-CZ"/>
          </a:p>
        </c:txPr>
        <c:crossAx val="12882311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1F247B-4D19-49F9-853C-E555DCF3D03F}" type="doc">
      <dgm:prSet loTypeId="urn:microsoft.com/office/officeart/2005/8/layout/hierarchy3" loCatId="hierarchy" qsTypeId="urn:microsoft.com/office/officeart/2005/8/quickstyle/simple1" qsCatId="simple" csTypeId="urn:microsoft.com/office/officeart/2005/8/colors/accent2_2" csCatId="accent2" phldr="1"/>
      <dgm:spPr/>
      <dgm:t>
        <a:bodyPr/>
        <a:lstStyle/>
        <a:p>
          <a:endParaRPr lang="cs-CZ"/>
        </a:p>
      </dgm:t>
    </dgm:pt>
    <dgm:pt modelId="{EE9CE265-8537-478B-B52F-2AABBAD77118}">
      <dgm:prSet phldrT="[Text]" custT="1"/>
      <dgm:spPr/>
      <dgm:t>
        <a:bodyPr/>
        <a:lstStyle/>
        <a:p>
          <a:r>
            <a:rPr lang="cs-CZ" sz="1400" dirty="0"/>
            <a:t>-</a:t>
          </a:r>
        </a:p>
      </dgm:t>
    </dgm:pt>
    <dgm:pt modelId="{2A5E3C02-97AF-4492-84EF-AF4E71117C7A}" type="parTrans" cxnId="{C25B08C6-6D23-448F-9A29-E76675E002D3}">
      <dgm:prSet/>
      <dgm:spPr/>
      <dgm:t>
        <a:bodyPr/>
        <a:lstStyle/>
        <a:p>
          <a:endParaRPr lang="cs-CZ" sz="1400"/>
        </a:p>
      </dgm:t>
    </dgm:pt>
    <dgm:pt modelId="{DAB092A0-01CF-44C5-AD36-94B8CDB2ED1A}" type="sibTrans" cxnId="{C25B08C6-6D23-448F-9A29-E76675E002D3}">
      <dgm:prSet/>
      <dgm:spPr/>
      <dgm:t>
        <a:bodyPr/>
        <a:lstStyle/>
        <a:p>
          <a:endParaRPr lang="cs-CZ" sz="1400"/>
        </a:p>
      </dgm:t>
    </dgm:pt>
    <dgm:pt modelId="{99EC507C-62F0-4C89-B67D-19CEDBDBDDAE}">
      <dgm:prSet phldrT="[Text]" custT="1"/>
      <dgm:spPr/>
      <dgm:t>
        <a:bodyPr/>
        <a:lstStyle/>
        <a:p>
          <a:r>
            <a:rPr lang="cs-CZ" sz="1400" dirty="0"/>
            <a:t>Neexistence soukromého sektoru</a:t>
          </a:r>
        </a:p>
      </dgm:t>
    </dgm:pt>
    <dgm:pt modelId="{D8044EE4-33C7-4D67-AC0C-8C7FA5FBD757}" type="parTrans" cxnId="{115C297B-85D3-4C56-8693-61824BB3F306}">
      <dgm:prSet/>
      <dgm:spPr/>
      <dgm:t>
        <a:bodyPr/>
        <a:lstStyle/>
        <a:p>
          <a:endParaRPr lang="cs-CZ" sz="1400"/>
        </a:p>
      </dgm:t>
    </dgm:pt>
    <dgm:pt modelId="{B666E5A7-BB97-4D21-ADC2-38CEBD2D1A24}" type="sibTrans" cxnId="{115C297B-85D3-4C56-8693-61824BB3F306}">
      <dgm:prSet/>
      <dgm:spPr/>
      <dgm:t>
        <a:bodyPr/>
        <a:lstStyle/>
        <a:p>
          <a:endParaRPr lang="cs-CZ" sz="1400"/>
        </a:p>
      </dgm:t>
    </dgm:pt>
    <dgm:pt modelId="{8DDF509D-359D-442D-B315-08C7D3BCF7F8}">
      <dgm:prSet phldrT="[Text]" custT="1"/>
      <dgm:spPr/>
      <dgm:t>
        <a:bodyPr/>
        <a:lstStyle/>
        <a:p>
          <a:r>
            <a:rPr lang="cs-CZ" sz="1400" dirty="0"/>
            <a:t>Neexistence trhů a tržních cen</a:t>
          </a:r>
        </a:p>
      </dgm:t>
    </dgm:pt>
    <dgm:pt modelId="{D6034820-22EF-4930-9AC3-C883FB9D8A78}" type="parTrans" cxnId="{BDA43BD2-92C6-44BD-AAE4-74A21CF16433}">
      <dgm:prSet/>
      <dgm:spPr/>
      <dgm:t>
        <a:bodyPr/>
        <a:lstStyle/>
        <a:p>
          <a:endParaRPr lang="cs-CZ" sz="1400"/>
        </a:p>
      </dgm:t>
    </dgm:pt>
    <dgm:pt modelId="{00AB52EC-D665-4B38-A37A-A207CD6FC172}" type="sibTrans" cxnId="{BDA43BD2-92C6-44BD-AAE4-74A21CF16433}">
      <dgm:prSet/>
      <dgm:spPr/>
      <dgm:t>
        <a:bodyPr/>
        <a:lstStyle/>
        <a:p>
          <a:endParaRPr lang="cs-CZ" sz="1400"/>
        </a:p>
      </dgm:t>
    </dgm:pt>
    <dgm:pt modelId="{D4DA57E0-ECAD-4D07-A160-5C2BC0AB50FF}">
      <dgm:prSet phldrT="[Text]" custT="1"/>
      <dgm:spPr/>
      <dgm:t>
        <a:bodyPr/>
        <a:lstStyle/>
        <a:p>
          <a:r>
            <a:rPr lang="cs-CZ" sz="1400" dirty="0"/>
            <a:t>+</a:t>
          </a:r>
        </a:p>
      </dgm:t>
    </dgm:pt>
    <dgm:pt modelId="{0E98FE75-0A34-4874-92EC-163E460210A7}" type="parTrans" cxnId="{228A393C-9F5A-4EB8-9B10-CA3E0F61C879}">
      <dgm:prSet/>
      <dgm:spPr/>
      <dgm:t>
        <a:bodyPr/>
        <a:lstStyle/>
        <a:p>
          <a:endParaRPr lang="cs-CZ" sz="1400"/>
        </a:p>
      </dgm:t>
    </dgm:pt>
    <dgm:pt modelId="{1E2D340E-7957-4A28-9902-588E1803897D}" type="sibTrans" cxnId="{228A393C-9F5A-4EB8-9B10-CA3E0F61C879}">
      <dgm:prSet/>
      <dgm:spPr/>
      <dgm:t>
        <a:bodyPr/>
        <a:lstStyle/>
        <a:p>
          <a:endParaRPr lang="cs-CZ" sz="1400"/>
        </a:p>
      </dgm:t>
    </dgm:pt>
    <dgm:pt modelId="{FE973A5E-22ED-4D1D-AFBB-690935BC41CA}">
      <dgm:prSet phldrT="[Text]" custT="1"/>
      <dgm:spPr/>
      <dgm:t>
        <a:bodyPr/>
        <a:lstStyle/>
        <a:p>
          <a:r>
            <a:rPr lang="cs-CZ" sz="1400" dirty="0"/>
            <a:t>Nejvyspělejší ekonomika RVHP</a:t>
          </a:r>
        </a:p>
      </dgm:t>
    </dgm:pt>
    <dgm:pt modelId="{DDAD7343-0BA8-4244-BD1F-64D9B4517070}" type="parTrans" cxnId="{203B4B02-2BAF-489B-A13B-F14FD66874AA}">
      <dgm:prSet/>
      <dgm:spPr/>
      <dgm:t>
        <a:bodyPr/>
        <a:lstStyle/>
        <a:p>
          <a:endParaRPr lang="cs-CZ" sz="1400"/>
        </a:p>
      </dgm:t>
    </dgm:pt>
    <dgm:pt modelId="{FA1EF8CC-76EC-4E05-B1EB-0314F4748E79}" type="sibTrans" cxnId="{203B4B02-2BAF-489B-A13B-F14FD66874AA}">
      <dgm:prSet/>
      <dgm:spPr/>
      <dgm:t>
        <a:bodyPr/>
        <a:lstStyle/>
        <a:p>
          <a:endParaRPr lang="cs-CZ" sz="1400"/>
        </a:p>
      </dgm:t>
    </dgm:pt>
    <dgm:pt modelId="{2841C7B8-DB6C-41CB-A7C2-4DE6B7BCA14F}">
      <dgm:prSet phldrT="[Text]" custT="1"/>
      <dgm:spPr/>
      <dgm:t>
        <a:bodyPr/>
        <a:lstStyle/>
        <a:p>
          <a:r>
            <a:rPr lang="cs-CZ" sz="1400" dirty="0"/>
            <a:t>Nízká inflace</a:t>
          </a:r>
        </a:p>
      </dgm:t>
    </dgm:pt>
    <dgm:pt modelId="{C45A5A33-2E11-4615-B0FF-8A75426BD9F2}" type="parTrans" cxnId="{09F9B05F-8476-41D3-B19C-AA666141516E}">
      <dgm:prSet/>
      <dgm:spPr/>
      <dgm:t>
        <a:bodyPr/>
        <a:lstStyle/>
        <a:p>
          <a:endParaRPr lang="cs-CZ" sz="1400"/>
        </a:p>
      </dgm:t>
    </dgm:pt>
    <dgm:pt modelId="{61DF2908-A035-4EDC-A0A1-E73F9B161DE6}" type="sibTrans" cxnId="{09F9B05F-8476-41D3-B19C-AA666141516E}">
      <dgm:prSet/>
      <dgm:spPr/>
      <dgm:t>
        <a:bodyPr/>
        <a:lstStyle/>
        <a:p>
          <a:endParaRPr lang="cs-CZ" sz="1400"/>
        </a:p>
      </dgm:t>
    </dgm:pt>
    <dgm:pt modelId="{590E2145-14A3-4421-8B24-F2C04C8F46B1}">
      <dgm:prSet phldrT="[Text]" custT="1"/>
      <dgm:spPr/>
      <dgm:t>
        <a:bodyPr/>
        <a:lstStyle/>
        <a:p>
          <a:r>
            <a:rPr lang="cs-CZ" sz="1400" dirty="0"/>
            <a:t>Nekonkurenceschopné podniky</a:t>
          </a:r>
        </a:p>
      </dgm:t>
    </dgm:pt>
    <dgm:pt modelId="{13B4E7C7-22BF-423A-977B-474755A1B8AC}" type="parTrans" cxnId="{C095D90A-8248-40F0-8411-098650F976CF}">
      <dgm:prSet/>
      <dgm:spPr/>
      <dgm:t>
        <a:bodyPr/>
        <a:lstStyle/>
        <a:p>
          <a:endParaRPr lang="cs-CZ" sz="1400"/>
        </a:p>
      </dgm:t>
    </dgm:pt>
    <dgm:pt modelId="{3D23BCCD-571B-46F5-A923-D91FBC14B773}" type="sibTrans" cxnId="{C095D90A-8248-40F0-8411-098650F976CF}">
      <dgm:prSet/>
      <dgm:spPr/>
      <dgm:t>
        <a:bodyPr/>
        <a:lstStyle/>
        <a:p>
          <a:endParaRPr lang="cs-CZ" sz="1400"/>
        </a:p>
      </dgm:t>
    </dgm:pt>
    <dgm:pt modelId="{B95CC49C-50E7-47A0-9946-4DB3F960BD16}">
      <dgm:prSet phldrT="[Text]" custT="1"/>
      <dgm:spPr/>
      <dgm:t>
        <a:bodyPr/>
        <a:lstStyle/>
        <a:p>
          <a:r>
            <a:rPr lang="cs-CZ" sz="1400" dirty="0"/>
            <a:t>Vysoký stupeň centralizace moci</a:t>
          </a:r>
        </a:p>
      </dgm:t>
    </dgm:pt>
    <dgm:pt modelId="{289B8745-D17A-4C35-A1F3-9061EEC77AB9}" type="parTrans" cxnId="{1CCC4C93-C15C-41C4-AAB0-247A136C0EF8}">
      <dgm:prSet/>
      <dgm:spPr/>
      <dgm:t>
        <a:bodyPr/>
        <a:lstStyle/>
        <a:p>
          <a:endParaRPr lang="cs-CZ" sz="1400"/>
        </a:p>
      </dgm:t>
    </dgm:pt>
    <dgm:pt modelId="{A4F80FE9-1BB3-4BEC-8A63-3BFA2AD97698}" type="sibTrans" cxnId="{1CCC4C93-C15C-41C4-AAB0-247A136C0EF8}">
      <dgm:prSet/>
      <dgm:spPr/>
      <dgm:t>
        <a:bodyPr/>
        <a:lstStyle/>
        <a:p>
          <a:endParaRPr lang="cs-CZ" sz="1400"/>
        </a:p>
      </dgm:t>
    </dgm:pt>
    <dgm:pt modelId="{2566CE46-40F8-44EE-8E72-148E31DE2D47}">
      <dgm:prSet phldrT="[Text]" custT="1"/>
      <dgm:spPr/>
      <dgm:t>
        <a:bodyPr/>
        <a:lstStyle/>
        <a:p>
          <a:r>
            <a:rPr lang="cs-CZ" sz="1400" dirty="0"/>
            <a:t>Kvalifikovaná pracovní síla</a:t>
          </a:r>
        </a:p>
      </dgm:t>
    </dgm:pt>
    <dgm:pt modelId="{51FE9137-128F-4A6C-B5BC-42509CE9DFD6}" type="parTrans" cxnId="{794981EE-DC4D-4032-917E-B930AC4ED707}">
      <dgm:prSet/>
      <dgm:spPr/>
      <dgm:t>
        <a:bodyPr/>
        <a:lstStyle/>
        <a:p>
          <a:endParaRPr lang="cs-CZ" sz="1400"/>
        </a:p>
      </dgm:t>
    </dgm:pt>
    <dgm:pt modelId="{08856C09-FC1D-46DC-B427-107A070A1E6F}" type="sibTrans" cxnId="{794981EE-DC4D-4032-917E-B930AC4ED707}">
      <dgm:prSet/>
      <dgm:spPr/>
      <dgm:t>
        <a:bodyPr/>
        <a:lstStyle/>
        <a:p>
          <a:endParaRPr lang="cs-CZ" sz="1400"/>
        </a:p>
      </dgm:t>
    </dgm:pt>
    <dgm:pt modelId="{492BA979-E237-4750-A222-D7CE30CD2B0A}">
      <dgm:prSet phldrT="[Text]" custT="1"/>
      <dgm:spPr/>
      <dgm:t>
        <a:bodyPr/>
        <a:lstStyle/>
        <a:p>
          <a:r>
            <a:rPr lang="cs-CZ" sz="1400" dirty="0"/>
            <a:t>Rozvinutý průmysl</a:t>
          </a:r>
        </a:p>
      </dgm:t>
    </dgm:pt>
    <dgm:pt modelId="{2F8556AC-4750-4D2C-BBA4-35A90F922742}" type="parTrans" cxnId="{3163FF4D-A288-412C-901C-D43933C6330A}">
      <dgm:prSet/>
      <dgm:spPr/>
      <dgm:t>
        <a:bodyPr/>
        <a:lstStyle/>
        <a:p>
          <a:endParaRPr lang="cs-CZ" sz="1400"/>
        </a:p>
      </dgm:t>
    </dgm:pt>
    <dgm:pt modelId="{E9EE6A13-3A11-4CC8-B34F-9EB588E22FBD}" type="sibTrans" cxnId="{3163FF4D-A288-412C-901C-D43933C6330A}">
      <dgm:prSet/>
      <dgm:spPr/>
      <dgm:t>
        <a:bodyPr/>
        <a:lstStyle/>
        <a:p>
          <a:endParaRPr lang="cs-CZ" sz="1400"/>
        </a:p>
      </dgm:t>
    </dgm:pt>
    <dgm:pt modelId="{239CEF3D-390F-4A77-B32D-77ABA603D409}" type="pres">
      <dgm:prSet presAssocID="{B01F247B-4D19-49F9-853C-E555DCF3D03F}" presName="diagram" presStyleCnt="0">
        <dgm:presLayoutVars>
          <dgm:chPref val="1"/>
          <dgm:dir/>
          <dgm:animOne val="branch"/>
          <dgm:animLvl val="lvl"/>
          <dgm:resizeHandles/>
        </dgm:presLayoutVars>
      </dgm:prSet>
      <dgm:spPr/>
      <dgm:t>
        <a:bodyPr/>
        <a:lstStyle/>
        <a:p>
          <a:endParaRPr lang="cs-CZ"/>
        </a:p>
      </dgm:t>
    </dgm:pt>
    <dgm:pt modelId="{7905240C-4651-421B-A046-2141F69D3200}" type="pres">
      <dgm:prSet presAssocID="{EE9CE265-8537-478B-B52F-2AABBAD77118}" presName="root" presStyleCnt="0"/>
      <dgm:spPr/>
    </dgm:pt>
    <dgm:pt modelId="{D095B1BE-EB6F-4249-B879-115A97CBD34D}" type="pres">
      <dgm:prSet presAssocID="{EE9CE265-8537-478B-B52F-2AABBAD77118}" presName="rootComposite" presStyleCnt="0"/>
      <dgm:spPr/>
    </dgm:pt>
    <dgm:pt modelId="{C4346980-FFFD-4129-8366-C18D07BC74BA}" type="pres">
      <dgm:prSet presAssocID="{EE9CE265-8537-478B-B52F-2AABBAD77118}" presName="rootText" presStyleLbl="node1" presStyleIdx="0" presStyleCnt="2"/>
      <dgm:spPr/>
      <dgm:t>
        <a:bodyPr/>
        <a:lstStyle/>
        <a:p>
          <a:endParaRPr lang="cs-CZ"/>
        </a:p>
      </dgm:t>
    </dgm:pt>
    <dgm:pt modelId="{802685D9-FC4A-4F5D-B2B1-52B89A822FC5}" type="pres">
      <dgm:prSet presAssocID="{EE9CE265-8537-478B-B52F-2AABBAD77118}" presName="rootConnector" presStyleLbl="node1" presStyleIdx="0" presStyleCnt="2"/>
      <dgm:spPr/>
      <dgm:t>
        <a:bodyPr/>
        <a:lstStyle/>
        <a:p>
          <a:endParaRPr lang="cs-CZ"/>
        </a:p>
      </dgm:t>
    </dgm:pt>
    <dgm:pt modelId="{7DB1BF6A-8D87-4597-BCBC-68618F4BF598}" type="pres">
      <dgm:prSet presAssocID="{EE9CE265-8537-478B-B52F-2AABBAD77118}" presName="childShape" presStyleCnt="0"/>
      <dgm:spPr/>
    </dgm:pt>
    <dgm:pt modelId="{68424B3B-4F36-4B27-B9AA-E8EA0EE422EC}" type="pres">
      <dgm:prSet presAssocID="{D8044EE4-33C7-4D67-AC0C-8C7FA5FBD757}" presName="Name13" presStyleLbl="parChTrans1D2" presStyleIdx="0" presStyleCnt="8"/>
      <dgm:spPr/>
      <dgm:t>
        <a:bodyPr/>
        <a:lstStyle/>
        <a:p>
          <a:endParaRPr lang="cs-CZ"/>
        </a:p>
      </dgm:t>
    </dgm:pt>
    <dgm:pt modelId="{8B17529F-E58B-45ED-9F62-1B1A2841F678}" type="pres">
      <dgm:prSet presAssocID="{99EC507C-62F0-4C89-B67D-19CEDBDBDDAE}" presName="childText" presStyleLbl="bgAcc1" presStyleIdx="0" presStyleCnt="8" custScaleX="123440">
        <dgm:presLayoutVars>
          <dgm:bulletEnabled val="1"/>
        </dgm:presLayoutVars>
      </dgm:prSet>
      <dgm:spPr/>
      <dgm:t>
        <a:bodyPr/>
        <a:lstStyle/>
        <a:p>
          <a:endParaRPr lang="cs-CZ"/>
        </a:p>
      </dgm:t>
    </dgm:pt>
    <dgm:pt modelId="{478B6C8C-0725-4DFC-968B-2EDDCBC4BA40}" type="pres">
      <dgm:prSet presAssocID="{D6034820-22EF-4930-9AC3-C883FB9D8A78}" presName="Name13" presStyleLbl="parChTrans1D2" presStyleIdx="1" presStyleCnt="8"/>
      <dgm:spPr/>
      <dgm:t>
        <a:bodyPr/>
        <a:lstStyle/>
        <a:p>
          <a:endParaRPr lang="cs-CZ"/>
        </a:p>
      </dgm:t>
    </dgm:pt>
    <dgm:pt modelId="{000D0B1B-F480-4C5E-801E-58FCF43869BD}" type="pres">
      <dgm:prSet presAssocID="{8DDF509D-359D-442D-B315-08C7D3BCF7F8}" presName="childText" presStyleLbl="bgAcc1" presStyleIdx="1" presStyleCnt="8" custScaleX="123440" custScaleY="87709">
        <dgm:presLayoutVars>
          <dgm:bulletEnabled val="1"/>
        </dgm:presLayoutVars>
      </dgm:prSet>
      <dgm:spPr/>
      <dgm:t>
        <a:bodyPr/>
        <a:lstStyle/>
        <a:p>
          <a:endParaRPr lang="cs-CZ"/>
        </a:p>
      </dgm:t>
    </dgm:pt>
    <dgm:pt modelId="{58E56E3F-584C-4AB9-B3D7-15791FF2566B}" type="pres">
      <dgm:prSet presAssocID="{13B4E7C7-22BF-423A-977B-474755A1B8AC}" presName="Name13" presStyleLbl="parChTrans1D2" presStyleIdx="2" presStyleCnt="8"/>
      <dgm:spPr/>
      <dgm:t>
        <a:bodyPr/>
        <a:lstStyle/>
        <a:p>
          <a:endParaRPr lang="cs-CZ"/>
        </a:p>
      </dgm:t>
    </dgm:pt>
    <dgm:pt modelId="{41976EED-71BF-4AFF-A395-B88B371DCE31}" type="pres">
      <dgm:prSet presAssocID="{590E2145-14A3-4421-8B24-F2C04C8F46B1}" presName="childText" presStyleLbl="bgAcc1" presStyleIdx="2" presStyleCnt="8" custScaleX="123440" custScaleY="87709">
        <dgm:presLayoutVars>
          <dgm:bulletEnabled val="1"/>
        </dgm:presLayoutVars>
      </dgm:prSet>
      <dgm:spPr/>
      <dgm:t>
        <a:bodyPr/>
        <a:lstStyle/>
        <a:p>
          <a:endParaRPr lang="cs-CZ"/>
        </a:p>
      </dgm:t>
    </dgm:pt>
    <dgm:pt modelId="{07B22AA0-DCB6-449B-AD64-6E5F5F7B7364}" type="pres">
      <dgm:prSet presAssocID="{289B8745-D17A-4C35-A1F3-9061EEC77AB9}" presName="Name13" presStyleLbl="parChTrans1D2" presStyleIdx="3" presStyleCnt="8"/>
      <dgm:spPr/>
      <dgm:t>
        <a:bodyPr/>
        <a:lstStyle/>
        <a:p>
          <a:endParaRPr lang="cs-CZ"/>
        </a:p>
      </dgm:t>
    </dgm:pt>
    <dgm:pt modelId="{4860BC6C-673C-41D7-A4D4-2B015BBFC6E5}" type="pres">
      <dgm:prSet presAssocID="{B95CC49C-50E7-47A0-9946-4DB3F960BD16}" presName="childText" presStyleLbl="bgAcc1" presStyleIdx="3" presStyleCnt="8" custScaleX="123440" custScaleY="87709">
        <dgm:presLayoutVars>
          <dgm:bulletEnabled val="1"/>
        </dgm:presLayoutVars>
      </dgm:prSet>
      <dgm:spPr/>
      <dgm:t>
        <a:bodyPr/>
        <a:lstStyle/>
        <a:p>
          <a:endParaRPr lang="cs-CZ"/>
        </a:p>
      </dgm:t>
    </dgm:pt>
    <dgm:pt modelId="{188B0F6B-21E9-46F4-B58D-42966A11D00A}" type="pres">
      <dgm:prSet presAssocID="{D4DA57E0-ECAD-4D07-A160-5C2BC0AB50FF}" presName="root" presStyleCnt="0"/>
      <dgm:spPr/>
    </dgm:pt>
    <dgm:pt modelId="{B57D6422-F28F-4B63-BC30-4A33F27565CC}" type="pres">
      <dgm:prSet presAssocID="{D4DA57E0-ECAD-4D07-A160-5C2BC0AB50FF}" presName="rootComposite" presStyleCnt="0"/>
      <dgm:spPr/>
    </dgm:pt>
    <dgm:pt modelId="{770EC939-C127-4BB7-8BF3-980E537A710F}" type="pres">
      <dgm:prSet presAssocID="{D4DA57E0-ECAD-4D07-A160-5C2BC0AB50FF}" presName="rootText" presStyleLbl="node1" presStyleIdx="1" presStyleCnt="2"/>
      <dgm:spPr/>
      <dgm:t>
        <a:bodyPr/>
        <a:lstStyle/>
        <a:p>
          <a:endParaRPr lang="cs-CZ"/>
        </a:p>
      </dgm:t>
    </dgm:pt>
    <dgm:pt modelId="{F425371E-9917-42B5-96DD-7EE7F20C24C4}" type="pres">
      <dgm:prSet presAssocID="{D4DA57E0-ECAD-4D07-A160-5C2BC0AB50FF}" presName="rootConnector" presStyleLbl="node1" presStyleIdx="1" presStyleCnt="2"/>
      <dgm:spPr/>
      <dgm:t>
        <a:bodyPr/>
        <a:lstStyle/>
        <a:p>
          <a:endParaRPr lang="cs-CZ"/>
        </a:p>
      </dgm:t>
    </dgm:pt>
    <dgm:pt modelId="{B5CEF2D3-C63F-4D16-8A0F-5D0A78FADABF}" type="pres">
      <dgm:prSet presAssocID="{D4DA57E0-ECAD-4D07-A160-5C2BC0AB50FF}" presName="childShape" presStyleCnt="0"/>
      <dgm:spPr/>
    </dgm:pt>
    <dgm:pt modelId="{475CC54F-9F70-4EE9-B787-A7A28736DF4F}" type="pres">
      <dgm:prSet presAssocID="{DDAD7343-0BA8-4244-BD1F-64D9B4517070}" presName="Name13" presStyleLbl="parChTrans1D2" presStyleIdx="4" presStyleCnt="8"/>
      <dgm:spPr/>
      <dgm:t>
        <a:bodyPr/>
        <a:lstStyle/>
        <a:p>
          <a:endParaRPr lang="cs-CZ"/>
        </a:p>
      </dgm:t>
    </dgm:pt>
    <dgm:pt modelId="{3F7C6B49-DE7F-4ABD-BD19-85DE1EA1AE87}" type="pres">
      <dgm:prSet presAssocID="{FE973A5E-22ED-4D1D-AFBB-690935BC41CA}" presName="childText" presStyleLbl="bgAcc1" presStyleIdx="4" presStyleCnt="8" custScaleX="118516">
        <dgm:presLayoutVars>
          <dgm:bulletEnabled val="1"/>
        </dgm:presLayoutVars>
      </dgm:prSet>
      <dgm:spPr/>
      <dgm:t>
        <a:bodyPr/>
        <a:lstStyle/>
        <a:p>
          <a:endParaRPr lang="cs-CZ"/>
        </a:p>
      </dgm:t>
    </dgm:pt>
    <dgm:pt modelId="{11BD5188-ACD2-4EF5-A484-CBF7FB94E617}" type="pres">
      <dgm:prSet presAssocID="{C45A5A33-2E11-4615-B0FF-8A75426BD9F2}" presName="Name13" presStyleLbl="parChTrans1D2" presStyleIdx="5" presStyleCnt="8"/>
      <dgm:spPr/>
      <dgm:t>
        <a:bodyPr/>
        <a:lstStyle/>
        <a:p>
          <a:endParaRPr lang="cs-CZ"/>
        </a:p>
      </dgm:t>
    </dgm:pt>
    <dgm:pt modelId="{64943C86-E032-41F6-B5CF-01BBB3BCC473}" type="pres">
      <dgm:prSet presAssocID="{2841C7B8-DB6C-41CB-A7C2-4DE6B7BCA14F}" presName="childText" presStyleLbl="bgAcc1" presStyleIdx="5" presStyleCnt="8" custScaleX="115882" custScaleY="87709">
        <dgm:presLayoutVars>
          <dgm:bulletEnabled val="1"/>
        </dgm:presLayoutVars>
      </dgm:prSet>
      <dgm:spPr/>
      <dgm:t>
        <a:bodyPr/>
        <a:lstStyle/>
        <a:p>
          <a:endParaRPr lang="cs-CZ"/>
        </a:p>
      </dgm:t>
    </dgm:pt>
    <dgm:pt modelId="{96A7E889-F7EF-4B5A-8B8E-364836355EE3}" type="pres">
      <dgm:prSet presAssocID="{51FE9137-128F-4A6C-B5BC-42509CE9DFD6}" presName="Name13" presStyleLbl="parChTrans1D2" presStyleIdx="6" presStyleCnt="8"/>
      <dgm:spPr/>
      <dgm:t>
        <a:bodyPr/>
        <a:lstStyle/>
        <a:p>
          <a:endParaRPr lang="cs-CZ"/>
        </a:p>
      </dgm:t>
    </dgm:pt>
    <dgm:pt modelId="{973F2EA8-7B0D-4C87-82FC-5C75D51091AE}" type="pres">
      <dgm:prSet presAssocID="{2566CE46-40F8-44EE-8E72-148E31DE2D47}" presName="childText" presStyleLbl="bgAcc1" presStyleIdx="6" presStyleCnt="8" custScaleX="118296" custScaleY="87709">
        <dgm:presLayoutVars>
          <dgm:bulletEnabled val="1"/>
        </dgm:presLayoutVars>
      </dgm:prSet>
      <dgm:spPr/>
      <dgm:t>
        <a:bodyPr/>
        <a:lstStyle/>
        <a:p>
          <a:endParaRPr lang="cs-CZ"/>
        </a:p>
      </dgm:t>
    </dgm:pt>
    <dgm:pt modelId="{E5E16B51-E302-46D7-BCFC-8B92984C8AE8}" type="pres">
      <dgm:prSet presAssocID="{2F8556AC-4750-4D2C-BBA4-35A90F922742}" presName="Name13" presStyleLbl="parChTrans1D2" presStyleIdx="7" presStyleCnt="8"/>
      <dgm:spPr/>
      <dgm:t>
        <a:bodyPr/>
        <a:lstStyle/>
        <a:p>
          <a:endParaRPr lang="cs-CZ"/>
        </a:p>
      </dgm:t>
    </dgm:pt>
    <dgm:pt modelId="{0A379FC7-F878-46FC-8C52-DC4CCEFC3623}" type="pres">
      <dgm:prSet presAssocID="{492BA979-E237-4750-A222-D7CE30CD2B0A}" presName="childText" presStyleLbl="bgAcc1" presStyleIdx="7" presStyleCnt="8" custScaleX="120813" custScaleY="87709">
        <dgm:presLayoutVars>
          <dgm:bulletEnabled val="1"/>
        </dgm:presLayoutVars>
      </dgm:prSet>
      <dgm:spPr/>
      <dgm:t>
        <a:bodyPr/>
        <a:lstStyle/>
        <a:p>
          <a:endParaRPr lang="cs-CZ"/>
        </a:p>
      </dgm:t>
    </dgm:pt>
  </dgm:ptLst>
  <dgm:cxnLst>
    <dgm:cxn modelId="{BDA43BD2-92C6-44BD-AAE4-74A21CF16433}" srcId="{EE9CE265-8537-478B-B52F-2AABBAD77118}" destId="{8DDF509D-359D-442D-B315-08C7D3BCF7F8}" srcOrd="1" destOrd="0" parTransId="{D6034820-22EF-4930-9AC3-C883FB9D8A78}" sibTransId="{00AB52EC-D665-4B38-A37A-A207CD6FC172}"/>
    <dgm:cxn modelId="{6569C652-69E6-4F83-BF5E-64654F549C6D}" type="presOf" srcId="{13B4E7C7-22BF-423A-977B-474755A1B8AC}" destId="{58E56E3F-584C-4AB9-B3D7-15791FF2566B}" srcOrd="0" destOrd="0" presId="urn:microsoft.com/office/officeart/2005/8/layout/hierarchy3"/>
    <dgm:cxn modelId="{203B4B02-2BAF-489B-A13B-F14FD66874AA}" srcId="{D4DA57E0-ECAD-4D07-A160-5C2BC0AB50FF}" destId="{FE973A5E-22ED-4D1D-AFBB-690935BC41CA}" srcOrd="0" destOrd="0" parTransId="{DDAD7343-0BA8-4244-BD1F-64D9B4517070}" sibTransId="{FA1EF8CC-76EC-4E05-B1EB-0314F4748E79}"/>
    <dgm:cxn modelId="{00735039-9569-4861-827B-CA155D460B64}" type="presOf" srcId="{B95CC49C-50E7-47A0-9946-4DB3F960BD16}" destId="{4860BC6C-673C-41D7-A4D4-2B015BBFC6E5}" srcOrd="0" destOrd="0" presId="urn:microsoft.com/office/officeart/2005/8/layout/hierarchy3"/>
    <dgm:cxn modelId="{FA33A2BD-96BB-4CA3-9594-F0BFDBB4EA85}" type="presOf" srcId="{D6034820-22EF-4930-9AC3-C883FB9D8A78}" destId="{478B6C8C-0725-4DFC-968B-2EDDCBC4BA40}" srcOrd="0" destOrd="0" presId="urn:microsoft.com/office/officeart/2005/8/layout/hierarchy3"/>
    <dgm:cxn modelId="{DB9AA112-6F4F-4D9C-A08F-3302C5BACD22}" type="presOf" srcId="{51FE9137-128F-4A6C-B5BC-42509CE9DFD6}" destId="{96A7E889-F7EF-4B5A-8B8E-364836355EE3}" srcOrd="0" destOrd="0" presId="urn:microsoft.com/office/officeart/2005/8/layout/hierarchy3"/>
    <dgm:cxn modelId="{74F6DFD3-836D-4C48-B53E-B59FB7A4B676}" type="presOf" srcId="{8DDF509D-359D-442D-B315-08C7D3BCF7F8}" destId="{000D0B1B-F480-4C5E-801E-58FCF43869BD}" srcOrd="0" destOrd="0" presId="urn:microsoft.com/office/officeart/2005/8/layout/hierarchy3"/>
    <dgm:cxn modelId="{C370D6B9-D002-4E31-9A4F-2E8F0F1BA412}" type="presOf" srcId="{DDAD7343-0BA8-4244-BD1F-64D9B4517070}" destId="{475CC54F-9F70-4EE9-B787-A7A28736DF4F}" srcOrd="0" destOrd="0" presId="urn:microsoft.com/office/officeart/2005/8/layout/hierarchy3"/>
    <dgm:cxn modelId="{3C32CFC3-F26B-42DF-A1E5-6E10D684CE23}" type="presOf" srcId="{99EC507C-62F0-4C89-B67D-19CEDBDBDDAE}" destId="{8B17529F-E58B-45ED-9F62-1B1A2841F678}" srcOrd="0" destOrd="0" presId="urn:microsoft.com/office/officeart/2005/8/layout/hierarchy3"/>
    <dgm:cxn modelId="{3DD18CCC-5EC4-44AE-A81F-BC6FE833D0F8}" type="presOf" srcId="{2841C7B8-DB6C-41CB-A7C2-4DE6B7BCA14F}" destId="{64943C86-E032-41F6-B5CF-01BBB3BCC473}" srcOrd="0" destOrd="0" presId="urn:microsoft.com/office/officeart/2005/8/layout/hierarchy3"/>
    <dgm:cxn modelId="{115C297B-85D3-4C56-8693-61824BB3F306}" srcId="{EE9CE265-8537-478B-B52F-2AABBAD77118}" destId="{99EC507C-62F0-4C89-B67D-19CEDBDBDDAE}" srcOrd="0" destOrd="0" parTransId="{D8044EE4-33C7-4D67-AC0C-8C7FA5FBD757}" sibTransId="{B666E5A7-BB97-4D21-ADC2-38CEBD2D1A24}"/>
    <dgm:cxn modelId="{CB9CE203-94AD-4D72-B2B4-0331CFDB45B4}" type="presOf" srcId="{492BA979-E237-4750-A222-D7CE30CD2B0A}" destId="{0A379FC7-F878-46FC-8C52-DC4CCEFC3623}" srcOrd="0" destOrd="0" presId="urn:microsoft.com/office/officeart/2005/8/layout/hierarchy3"/>
    <dgm:cxn modelId="{5634E2D8-88F7-46F3-9D75-48E552647891}" type="presOf" srcId="{590E2145-14A3-4421-8B24-F2C04C8F46B1}" destId="{41976EED-71BF-4AFF-A395-B88B371DCE31}" srcOrd="0" destOrd="0" presId="urn:microsoft.com/office/officeart/2005/8/layout/hierarchy3"/>
    <dgm:cxn modelId="{794981EE-DC4D-4032-917E-B930AC4ED707}" srcId="{D4DA57E0-ECAD-4D07-A160-5C2BC0AB50FF}" destId="{2566CE46-40F8-44EE-8E72-148E31DE2D47}" srcOrd="2" destOrd="0" parTransId="{51FE9137-128F-4A6C-B5BC-42509CE9DFD6}" sibTransId="{08856C09-FC1D-46DC-B427-107A070A1E6F}"/>
    <dgm:cxn modelId="{B705D080-64D6-46C1-AD0E-5056C7655D8B}" type="presOf" srcId="{D8044EE4-33C7-4D67-AC0C-8C7FA5FBD757}" destId="{68424B3B-4F36-4B27-B9AA-E8EA0EE422EC}" srcOrd="0" destOrd="0" presId="urn:microsoft.com/office/officeart/2005/8/layout/hierarchy3"/>
    <dgm:cxn modelId="{EB48C59A-A191-4640-87AA-90D980977F6E}" type="presOf" srcId="{EE9CE265-8537-478B-B52F-2AABBAD77118}" destId="{802685D9-FC4A-4F5D-B2B1-52B89A822FC5}" srcOrd="1" destOrd="0" presId="urn:microsoft.com/office/officeart/2005/8/layout/hierarchy3"/>
    <dgm:cxn modelId="{D9A52FCB-8A89-453C-AD1F-C60CA6C2463B}" type="presOf" srcId="{2566CE46-40F8-44EE-8E72-148E31DE2D47}" destId="{973F2EA8-7B0D-4C87-82FC-5C75D51091AE}" srcOrd="0" destOrd="0" presId="urn:microsoft.com/office/officeart/2005/8/layout/hierarchy3"/>
    <dgm:cxn modelId="{1CCC4C93-C15C-41C4-AAB0-247A136C0EF8}" srcId="{EE9CE265-8537-478B-B52F-2AABBAD77118}" destId="{B95CC49C-50E7-47A0-9946-4DB3F960BD16}" srcOrd="3" destOrd="0" parTransId="{289B8745-D17A-4C35-A1F3-9061EEC77AB9}" sibTransId="{A4F80FE9-1BB3-4BEC-8A63-3BFA2AD97698}"/>
    <dgm:cxn modelId="{0DD44B2C-E03D-4E9A-B2E7-470C83435AA0}" type="presOf" srcId="{C45A5A33-2E11-4615-B0FF-8A75426BD9F2}" destId="{11BD5188-ACD2-4EF5-A484-CBF7FB94E617}" srcOrd="0" destOrd="0" presId="urn:microsoft.com/office/officeart/2005/8/layout/hierarchy3"/>
    <dgm:cxn modelId="{7E5C2067-3159-432E-8341-81410DDE77EE}" type="presOf" srcId="{2F8556AC-4750-4D2C-BBA4-35A90F922742}" destId="{E5E16B51-E302-46D7-BCFC-8B92984C8AE8}" srcOrd="0" destOrd="0" presId="urn:microsoft.com/office/officeart/2005/8/layout/hierarchy3"/>
    <dgm:cxn modelId="{917A991E-C2BD-4ED8-A8AF-6C1A2377E9B3}" type="presOf" srcId="{FE973A5E-22ED-4D1D-AFBB-690935BC41CA}" destId="{3F7C6B49-DE7F-4ABD-BD19-85DE1EA1AE87}" srcOrd="0" destOrd="0" presId="urn:microsoft.com/office/officeart/2005/8/layout/hierarchy3"/>
    <dgm:cxn modelId="{C095D90A-8248-40F0-8411-098650F976CF}" srcId="{EE9CE265-8537-478B-B52F-2AABBAD77118}" destId="{590E2145-14A3-4421-8B24-F2C04C8F46B1}" srcOrd="2" destOrd="0" parTransId="{13B4E7C7-22BF-423A-977B-474755A1B8AC}" sibTransId="{3D23BCCD-571B-46F5-A923-D91FBC14B773}"/>
    <dgm:cxn modelId="{17AE2171-CC41-4025-90CD-0255E5F5EA07}" type="presOf" srcId="{D4DA57E0-ECAD-4D07-A160-5C2BC0AB50FF}" destId="{770EC939-C127-4BB7-8BF3-980E537A710F}" srcOrd="0" destOrd="0" presId="urn:microsoft.com/office/officeart/2005/8/layout/hierarchy3"/>
    <dgm:cxn modelId="{0FCD4FD2-AE69-4744-86A0-957E114B21AD}" type="presOf" srcId="{D4DA57E0-ECAD-4D07-A160-5C2BC0AB50FF}" destId="{F425371E-9917-42B5-96DD-7EE7F20C24C4}" srcOrd="1" destOrd="0" presId="urn:microsoft.com/office/officeart/2005/8/layout/hierarchy3"/>
    <dgm:cxn modelId="{3163FF4D-A288-412C-901C-D43933C6330A}" srcId="{D4DA57E0-ECAD-4D07-A160-5C2BC0AB50FF}" destId="{492BA979-E237-4750-A222-D7CE30CD2B0A}" srcOrd="3" destOrd="0" parTransId="{2F8556AC-4750-4D2C-BBA4-35A90F922742}" sibTransId="{E9EE6A13-3A11-4CC8-B34F-9EB588E22FBD}"/>
    <dgm:cxn modelId="{4A0940E0-C11A-44E0-96C4-A1C6A41A3B1C}" type="presOf" srcId="{B01F247B-4D19-49F9-853C-E555DCF3D03F}" destId="{239CEF3D-390F-4A77-B32D-77ABA603D409}" srcOrd="0" destOrd="0" presId="urn:microsoft.com/office/officeart/2005/8/layout/hierarchy3"/>
    <dgm:cxn modelId="{F839FFA8-F97A-4CA3-8F55-6D0509BDD06F}" type="presOf" srcId="{EE9CE265-8537-478B-B52F-2AABBAD77118}" destId="{C4346980-FFFD-4129-8366-C18D07BC74BA}" srcOrd="0" destOrd="0" presId="urn:microsoft.com/office/officeart/2005/8/layout/hierarchy3"/>
    <dgm:cxn modelId="{09F9B05F-8476-41D3-B19C-AA666141516E}" srcId="{D4DA57E0-ECAD-4D07-A160-5C2BC0AB50FF}" destId="{2841C7B8-DB6C-41CB-A7C2-4DE6B7BCA14F}" srcOrd="1" destOrd="0" parTransId="{C45A5A33-2E11-4615-B0FF-8A75426BD9F2}" sibTransId="{61DF2908-A035-4EDC-A0A1-E73F9B161DE6}"/>
    <dgm:cxn modelId="{7701285E-96DB-4F2E-9425-C8550FF828A7}" type="presOf" srcId="{289B8745-D17A-4C35-A1F3-9061EEC77AB9}" destId="{07B22AA0-DCB6-449B-AD64-6E5F5F7B7364}" srcOrd="0" destOrd="0" presId="urn:microsoft.com/office/officeart/2005/8/layout/hierarchy3"/>
    <dgm:cxn modelId="{C25B08C6-6D23-448F-9A29-E76675E002D3}" srcId="{B01F247B-4D19-49F9-853C-E555DCF3D03F}" destId="{EE9CE265-8537-478B-B52F-2AABBAD77118}" srcOrd="0" destOrd="0" parTransId="{2A5E3C02-97AF-4492-84EF-AF4E71117C7A}" sibTransId="{DAB092A0-01CF-44C5-AD36-94B8CDB2ED1A}"/>
    <dgm:cxn modelId="{228A393C-9F5A-4EB8-9B10-CA3E0F61C879}" srcId="{B01F247B-4D19-49F9-853C-E555DCF3D03F}" destId="{D4DA57E0-ECAD-4D07-A160-5C2BC0AB50FF}" srcOrd="1" destOrd="0" parTransId="{0E98FE75-0A34-4874-92EC-163E460210A7}" sibTransId="{1E2D340E-7957-4A28-9902-588E1803897D}"/>
    <dgm:cxn modelId="{042CFFE8-FABC-4B35-B2AA-05F924CCF2CB}" type="presParOf" srcId="{239CEF3D-390F-4A77-B32D-77ABA603D409}" destId="{7905240C-4651-421B-A046-2141F69D3200}" srcOrd="0" destOrd="0" presId="urn:microsoft.com/office/officeart/2005/8/layout/hierarchy3"/>
    <dgm:cxn modelId="{4D4A089A-C0F7-41A9-A816-6614BD2D11B5}" type="presParOf" srcId="{7905240C-4651-421B-A046-2141F69D3200}" destId="{D095B1BE-EB6F-4249-B879-115A97CBD34D}" srcOrd="0" destOrd="0" presId="urn:microsoft.com/office/officeart/2005/8/layout/hierarchy3"/>
    <dgm:cxn modelId="{7A925084-445B-43B3-BE20-835FC3A197DC}" type="presParOf" srcId="{D095B1BE-EB6F-4249-B879-115A97CBD34D}" destId="{C4346980-FFFD-4129-8366-C18D07BC74BA}" srcOrd="0" destOrd="0" presId="urn:microsoft.com/office/officeart/2005/8/layout/hierarchy3"/>
    <dgm:cxn modelId="{2F0D5AB3-9412-4BD6-966C-C00120A8CB16}" type="presParOf" srcId="{D095B1BE-EB6F-4249-B879-115A97CBD34D}" destId="{802685D9-FC4A-4F5D-B2B1-52B89A822FC5}" srcOrd="1" destOrd="0" presId="urn:microsoft.com/office/officeart/2005/8/layout/hierarchy3"/>
    <dgm:cxn modelId="{7A4207B5-87D7-4044-BFAB-EEE48476A44C}" type="presParOf" srcId="{7905240C-4651-421B-A046-2141F69D3200}" destId="{7DB1BF6A-8D87-4597-BCBC-68618F4BF598}" srcOrd="1" destOrd="0" presId="urn:microsoft.com/office/officeart/2005/8/layout/hierarchy3"/>
    <dgm:cxn modelId="{B16CB982-FB57-46EE-AA0A-CF5F496258A8}" type="presParOf" srcId="{7DB1BF6A-8D87-4597-BCBC-68618F4BF598}" destId="{68424B3B-4F36-4B27-B9AA-E8EA0EE422EC}" srcOrd="0" destOrd="0" presId="urn:microsoft.com/office/officeart/2005/8/layout/hierarchy3"/>
    <dgm:cxn modelId="{E2231DE0-A616-444E-977D-424B9A9EB1FA}" type="presParOf" srcId="{7DB1BF6A-8D87-4597-BCBC-68618F4BF598}" destId="{8B17529F-E58B-45ED-9F62-1B1A2841F678}" srcOrd="1" destOrd="0" presId="urn:microsoft.com/office/officeart/2005/8/layout/hierarchy3"/>
    <dgm:cxn modelId="{15399EE7-A16D-4168-93D4-0A30723AF14E}" type="presParOf" srcId="{7DB1BF6A-8D87-4597-BCBC-68618F4BF598}" destId="{478B6C8C-0725-4DFC-968B-2EDDCBC4BA40}" srcOrd="2" destOrd="0" presId="urn:microsoft.com/office/officeart/2005/8/layout/hierarchy3"/>
    <dgm:cxn modelId="{D2325CE9-1E3A-407F-9971-5F559B0610D0}" type="presParOf" srcId="{7DB1BF6A-8D87-4597-BCBC-68618F4BF598}" destId="{000D0B1B-F480-4C5E-801E-58FCF43869BD}" srcOrd="3" destOrd="0" presId="urn:microsoft.com/office/officeart/2005/8/layout/hierarchy3"/>
    <dgm:cxn modelId="{7BEF53A4-601B-438D-B71B-279C1A7FEC7A}" type="presParOf" srcId="{7DB1BF6A-8D87-4597-BCBC-68618F4BF598}" destId="{58E56E3F-584C-4AB9-B3D7-15791FF2566B}" srcOrd="4" destOrd="0" presId="urn:microsoft.com/office/officeart/2005/8/layout/hierarchy3"/>
    <dgm:cxn modelId="{0B44E223-69B1-4FC4-A701-0686C1DB6B05}" type="presParOf" srcId="{7DB1BF6A-8D87-4597-BCBC-68618F4BF598}" destId="{41976EED-71BF-4AFF-A395-B88B371DCE31}" srcOrd="5" destOrd="0" presId="urn:microsoft.com/office/officeart/2005/8/layout/hierarchy3"/>
    <dgm:cxn modelId="{3C71B406-2C88-4639-8BD9-A16996A9BEDE}" type="presParOf" srcId="{7DB1BF6A-8D87-4597-BCBC-68618F4BF598}" destId="{07B22AA0-DCB6-449B-AD64-6E5F5F7B7364}" srcOrd="6" destOrd="0" presId="urn:microsoft.com/office/officeart/2005/8/layout/hierarchy3"/>
    <dgm:cxn modelId="{64B82979-8961-460C-8958-B5286DDF1876}" type="presParOf" srcId="{7DB1BF6A-8D87-4597-BCBC-68618F4BF598}" destId="{4860BC6C-673C-41D7-A4D4-2B015BBFC6E5}" srcOrd="7" destOrd="0" presId="urn:microsoft.com/office/officeart/2005/8/layout/hierarchy3"/>
    <dgm:cxn modelId="{04B96174-DBE9-4073-8DE6-360C4F0872FF}" type="presParOf" srcId="{239CEF3D-390F-4A77-B32D-77ABA603D409}" destId="{188B0F6B-21E9-46F4-B58D-42966A11D00A}" srcOrd="1" destOrd="0" presId="urn:microsoft.com/office/officeart/2005/8/layout/hierarchy3"/>
    <dgm:cxn modelId="{272BEFBF-FAA9-4F05-A88C-A90A61F20686}" type="presParOf" srcId="{188B0F6B-21E9-46F4-B58D-42966A11D00A}" destId="{B57D6422-F28F-4B63-BC30-4A33F27565CC}" srcOrd="0" destOrd="0" presId="urn:microsoft.com/office/officeart/2005/8/layout/hierarchy3"/>
    <dgm:cxn modelId="{C450C325-97BF-4BE9-BFC4-9193A355A097}" type="presParOf" srcId="{B57D6422-F28F-4B63-BC30-4A33F27565CC}" destId="{770EC939-C127-4BB7-8BF3-980E537A710F}" srcOrd="0" destOrd="0" presId="urn:microsoft.com/office/officeart/2005/8/layout/hierarchy3"/>
    <dgm:cxn modelId="{E16524FB-7342-4C61-B54D-9696F80F255A}" type="presParOf" srcId="{B57D6422-F28F-4B63-BC30-4A33F27565CC}" destId="{F425371E-9917-42B5-96DD-7EE7F20C24C4}" srcOrd="1" destOrd="0" presId="urn:microsoft.com/office/officeart/2005/8/layout/hierarchy3"/>
    <dgm:cxn modelId="{E0331D7E-3D26-414D-A4E7-E3563C3C3DD4}" type="presParOf" srcId="{188B0F6B-21E9-46F4-B58D-42966A11D00A}" destId="{B5CEF2D3-C63F-4D16-8A0F-5D0A78FADABF}" srcOrd="1" destOrd="0" presId="urn:microsoft.com/office/officeart/2005/8/layout/hierarchy3"/>
    <dgm:cxn modelId="{4E341177-769E-4F50-8950-3C92833679FF}" type="presParOf" srcId="{B5CEF2D3-C63F-4D16-8A0F-5D0A78FADABF}" destId="{475CC54F-9F70-4EE9-B787-A7A28736DF4F}" srcOrd="0" destOrd="0" presId="urn:microsoft.com/office/officeart/2005/8/layout/hierarchy3"/>
    <dgm:cxn modelId="{FC2BEE67-E28C-4018-8173-49C84876DC6B}" type="presParOf" srcId="{B5CEF2D3-C63F-4D16-8A0F-5D0A78FADABF}" destId="{3F7C6B49-DE7F-4ABD-BD19-85DE1EA1AE87}" srcOrd="1" destOrd="0" presId="urn:microsoft.com/office/officeart/2005/8/layout/hierarchy3"/>
    <dgm:cxn modelId="{3E5AC7AF-84FF-4735-8A07-ACF8038935A6}" type="presParOf" srcId="{B5CEF2D3-C63F-4D16-8A0F-5D0A78FADABF}" destId="{11BD5188-ACD2-4EF5-A484-CBF7FB94E617}" srcOrd="2" destOrd="0" presId="urn:microsoft.com/office/officeart/2005/8/layout/hierarchy3"/>
    <dgm:cxn modelId="{EC3C0728-FD44-4151-922D-65F1C4202E16}" type="presParOf" srcId="{B5CEF2D3-C63F-4D16-8A0F-5D0A78FADABF}" destId="{64943C86-E032-41F6-B5CF-01BBB3BCC473}" srcOrd="3" destOrd="0" presId="urn:microsoft.com/office/officeart/2005/8/layout/hierarchy3"/>
    <dgm:cxn modelId="{70B972B1-1CE2-4CB9-9121-BB8FD5D8A1B2}" type="presParOf" srcId="{B5CEF2D3-C63F-4D16-8A0F-5D0A78FADABF}" destId="{96A7E889-F7EF-4B5A-8B8E-364836355EE3}" srcOrd="4" destOrd="0" presId="urn:microsoft.com/office/officeart/2005/8/layout/hierarchy3"/>
    <dgm:cxn modelId="{F34077DA-6887-4445-9410-7933CE94E00F}" type="presParOf" srcId="{B5CEF2D3-C63F-4D16-8A0F-5D0A78FADABF}" destId="{973F2EA8-7B0D-4C87-82FC-5C75D51091AE}" srcOrd="5" destOrd="0" presId="urn:microsoft.com/office/officeart/2005/8/layout/hierarchy3"/>
    <dgm:cxn modelId="{A14A83D8-D279-4367-879B-5D5C8820C9B2}" type="presParOf" srcId="{B5CEF2D3-C63F-4D16-8A0F-5D0A78FADABF}" destId="{E5E16B51-E302-46D7-BCFC-8B92984C8AE8}" srcOrd="6" destOrd="0" presId="urn:microsoft.com/office/officeart/2005/8/layout/hierarchy3"/>
    <dgm:cxn modelId="{3544B8EE-EB7D-49DE-9F55-FA1808A20C06}" type="presParOf" srcId="{B5CEF2D3-C63F-4D16-8A0F-5D0A78FADABF}" destId="{0A379FC7-F878-46FC-8C52-DC4CCEFC3623}" srcOrd="7" destOrd="0" presId="urn:microsoft.com/office/officeart/2005/8/layout/hierarchy3"/>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346980-FFFD-4129-8366-C18D07BC74BA}">
      <dsp:nvSpPr>
        <dsp:cNvPr id="0" name=""/>
        <dsp:cNvSpPr/>
      </dsp:nvSpPr>
      <dsp:spPr>
        <a:xfrm>
          <a:off x="610879" y="1897"/>
          <a:ext cx="1276033" cy="638016"/>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cs-CZ" sz="1400" kern="1200" dirty="0"/>
            <a:t>-</a:t>
          </a:r>
        </a:p>
      </dsp:txBody>
      <dsp:txXfrm>
        <a:off x="629566" y="20584"/>
        <a:ext cx="1238659" cy="600642"/>
      </dsp:txXfrm>
    </dsp:sp>
    <dsp:sp modelId="{68424B3B-4F36-4B27-B9AA-E8EA0EE422EC}">
      <dsp:nvSpPr>
        <dsp:cNvPr id="0" name=""/>
        <dsp:cNvSpPr/>
      </dsp:nvSpPr>
      <dsp:spPr>
        <a:xfrm>
          <a:off x="738483" y="639914"/>
          <a:ext cx="127603" cy="478512"/>
        </a:xfrm>
        <a:custGeom>
          <a:avLst/>
          <a:gdLst/>
          <a:ahLst/>
          <a:cxnLst/>
          <a:rect l="0" t="0" r="0" b="0"/>
          <a:pathLst>
            <a:path>
              <a:moveTo>
                <a:pt x="0" y="0"/>
              </a:moveTo>
              <a:lnTo>
                <a:pt x="0" y="478512"/>
              </a:lnTo>
              <a:lnTo>
                <a:pt x="127603" y="478512"/>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17529F-E58B-45ED-9F62-1B1A2841F678}">
      <dsp:nvSpPr>
        <dsp:cNvPr id="0" name=""/>
        <dsp:cNvSpPr/>
      </dsp:nvSpPr>
      <dsp:spPr>
        <a:xfrm>
          <a:off x="866086" y="799418"/>
          <a:ext cx="1260108" cy="638016"/>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cs-CZ" sz="1400" kern="1200" dirty="0"/>
            <a:t>Neexistence soukromého sektoru</a:t>
          </a:r>
        </a:p>
      </dsp:txBody>
      <dsp:txXfrm>
        <a:off x="884773" y="818105"/>
        <a:ext cx="1222734" cy="600642"/>
      </dsp:txXfrm>
    </dsp:sp>
    <dsp:sp modelId="{478B6C8C-0725-4DFC-968B-2EDDCBC4BA40}">
      <dsp:nvSpPr>
        <dsp:cNvPr id="0" name=""/>
        <dsp:cNvSpPr/>
      </dsp:nvSpPr>
      <dsp:spPr>
        <a:xfrm>
          <a:off x="738483" y="639914"/>
          <a:ext cx="127603" cy="1236824"/>
        </a:xfrm>
        <a:custGeom>
          <a:avLst/>
          <a:gdLst/>
          <a:ahLst/>
          <a:cxnLst/>
          <a:rect l="0" t="0" r="0" b="0"/>
          <a:pathLst>
            <a:path>
              <a:moveTo>
                <a:pt x="0" y="0"/>
              </a:moveTo>
              <a:lnTo>
                <a:pt x="0" y="1236824"/>
              </a:lnTo>
              <a:lnTo>
                <a:pt x="127603" y="1236824"/>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0D0B1B-F480-4C5E-801E-58FCF43869BD}">
      <dsp:nvSpPr>
        <dsp:cNvPr id="0" name=""/>
        <dsp:cNvSpPr/>
      </dsp:nvSpPr>
      <dsp:spPr>
        <a:xfrm>
          <a:off x="866086" y="1596939"/>
          <a:ext cx="1260108" cy="559598"/>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cs-CZ" sz="1400" kern="1200" dirty="0"/>
            <a:t>Neexistence trhů a tržních cen</a:t>
          </a:r>
        </a:p>
      </dsp:txBody>
      <dsp:txXfrm>
        <a:off x="882476" y="1613329"/>
        <a:ext cx="1227328" cy="526818"/>
      </dsp:txXfrm>
    </dsp:sp>
    <dsp:sp modelId="{58E56E3F-584C-4AB9-B3D7-15791FF2566B}">
      <dsp:nvSpPr>
        <dsp:cNvPr id="0" name=""/>
        <dsp:cNvSpPr/>
      </dsp:nvSpPr>
      <dsp:spPr>
        <a:xfrm>
          <a:off x="738483" y="639914"/>
          <a:ext cx="127603" cy="1955926"/>
        </a:xfrm>
        <a:custGeom>
          <a:avLst/>
          <a:gdLst/>
          <a:ahLst/>
          <a:cxnLst/>
          <a:rect l="0" t="0" r="0" b="0"/>
          <a:pathLst>
            <a:path>
              <a:moveTo>
                <a:pt x="0" y="0"/>
              </a:moveTo>
              <a:lnTo>
                <a:pt x="0" y="1955926"/>
              </a:lnTo>
              <a:lnTo>
                <a:pt x="127603" y="1955926"/>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976EED-71BF-4AFF-A395-B88B371DCE31}">
      <dsp:nvSpPr>
        <dsp:cNvPr id="0" name=""/>
        <dsp:cNvSpPr/>
      </dsp:nvSpPr>
      <dsp:spPr>
        <a:xfrm>
          <a:off x="866086" y="2316041"/>
          <a:ext cx="1260108" cy="559598"/>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cs-CZ" sz="1400" kern="1200" dirty="0"/>
            <a:t>Nekonkurenceschopné podniky</a:t>
          </a:r>
        </a:p>
      </dsp:txBody>
      <dsp:txXfrm>
        <a:off x="882476" y="2332431"/>
        <a:ext cx="1227328" cy="526818"/>
      </dsp:txXfrm>
    </dsp:sp>
    <dsp:sp modelId="{07B22AA0-DCB6-449B-AD64-6E5F5F7B7364}">
      <dsp:nvSpPr>
        <dsp:cNvPr id="0" name=""/>
        <dsp:cNvSpPr/>
      </dsp:nvSpPr>
      <dsp:spPr>
        <a:xfrm>
          <a:off x="738483" y="639914"/>
          <a:ext cx="127603" cy="2675029"/>
        </a:xfrm>
        <a:custGeom>
          <a:avLst/>
          <a:gdLst/>
          <a:ahLst/>
          <a:cxnLst/>
          <a:rect l="0" t="0" r="0" b="0"/>
          <a:pathLst>
            <a:path>
              <a:moveTo>
                <a:pt x="0" y="0"/>
              </a:moveTo>
              <a:lnTo>
                <a:pt x="0" y="2675029"/>
              </a:lnTo>
              <a:lnTo>
                <a:pt x="127603" y="2675029"/>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60BC6C-673C-41D7-A4D4-2B015BBFC6E5}">
      <dsp:nvSpPr>
        <dsp:cNvPr id="0" name=""/>
        <dsp:cNvSpPr/>
      </dsp:nvSpPr>
      <dsp:spPr>
        <a:xfrm>
          <a:off x="866086" y="3035144"/>
          <a:ext cx="1260108" cy="559598"/>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cs-CZ" sz="1400" kern="1200" dirty="0"/>
            <a:t>Vysoký stupeň centralizace moci</a:t>
          </a:r>
        </a:p>
      </dsp:txBody>
      <dsp:txXfrm>
        <a:off x="882476" y="3051534"/>
        <a:ext cx="1227328" cy="526818"/>
      </dsp:txXfrm>
    </dsp:sp>
    <dsp:sp modelId="{770EC939-C127-4BB7-8BF3-980E537A710F}">
      <dsp:nvSpPr>
        <dsp:cNvPr id="0" name=""/>
        <dsp:cNvSpPr/>
      </dsp:nvSpPr>
      <dsp:spPr>
        <a:xfrm>
          <a:off x="2205921" y="1897"/>
          <a:ext cx="1276033" cy="638016"/>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cs-CZ" sz="1400" kern="1200" dirty="0"/>
            <a:t>+</a:t>
          </a:r>
        </a:p>
      </dsp:txBody>
      <dsp:txXfrm>
        <a:off x="2224608" y="20584"/>
        <a:ext cx="1238659" cy="600642"/>
      </dsp:txXfrm>
    </dsp:sp>
    <dsp:sp modelId="{475CC54F-9F70-4EE9-B787-A7A28736DF4F}">
      <dsp:nvSpPr>
        <dsp:cNvPr id="0" name=""/>
        <dsp:cNvSpPr/>
      </dsp:nvSpPr>
      <dsp:spPr>
        <a:xfrm>
          <a:off x="2333525" y="639914"/>
          <a:ext cx="127603" cy="478512"/>
        </a:xfrm>
        <a:custGeom>
          <a:avLst/>
          <a:gdLst/>
          <a:ahLst/>
          <a:cxnLst/>
          <a:rect l="0" t="0" r="0" b="0"/>
          <a:pathLst>
            <a:path>
              <a:moveTo>
                <a:pt x="0" y="0"/>
              </a:moveTo>
              <a:lnTo>
                <a:pt x="0" y="478512"/>
              </a:lnTo>
              <a:lnTo>
                <a:pt x="127603" y="478512"/>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7C6B49-DE7F-4ABD-BD19-85DE1EA1AE87}">
      <dsp:nvSpPr>
        <dsp:cNvPr id="0" name=""/>
        <dsp:cNvSpPr/>
      </dsp:nvSpPr>
      <dsp:spPr>
        <a:xfrm>
          <a:off x="2461128" y="799418"/>
          <a:ext cx="1209843" cy="638016"/>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cs-CZ" sz="1400" kern="1200" dirty="0"/>
            <a:t>Nejvyspělejší ekonomika RVHP</a:t>
          </a:r>
        </a:p>
      </dsp:txBody>
      <dsp:txXfrm>
        <a:off x="2479815" y="818105"/>
        <a:ext cx="1172469" cy="600642"/>
      </dsp:txXfrm>
    </dsp:sp>
    <dsp:sp modelId="{11BD5188-ACD2-4EF5-A484-CBF7FB94E617}">
      <dsp:nvSpPr>
        <dsp:cNvPr id="0" name=""/>
        <dsp:cNvSpPr/>
      </dsp:nvSpPr>
      <dsp:spPr>
        <a:xfrm>
          <a:off x="2333525" y="639914"/>
          <a:ext cx="127603" cy="1236824"/>
        </a:xfrm>
        <a:custGeom>
          <a:avLst/>
          <a:gdLst/>
          <a:ahLst/>
          <a:cxnLst/>
          <a:rect l="0" t="0" r="0" b="0"/>
          <a:pathLst>
            <a:path>
              <a:moveTo>
                <a:pt x="0" y="0"/>
              </a:moveTo>
              <a:lnTo>
                <a:pt x="0" y="1236824"/>
              </a:lnTo>
              <a:lnTo>
                <a:pt x="127603" y="1236824"/>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943C86-E032-41F6-B5CF-01BBB3BCC473}">
      <dsp:nvSpPr>
        <dsp:cNvPr id="0" name=""/>
        <dsp:cNvSpPr/>
      </dsp:nvSpPr>
      <dsp:spPr>
        <a:xfrm>
          <a:off x="2461128" y="1596939"/>
          <a:ext cx="1182954" cy="559598"/>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cs-CZ" sz="1400" kern="1200" dirty="0"/>
            <a:t>Nízká inflace</a:t>
          </a:r>
        </a:p>
      </dsp:txBody>
      <dsp:txXfrm>
        <a:off x="2477518" y="1613329"/>
        <a:ext cx="1150174" cy="526818"/>
      </dsp:txXfrm>
    </dsp:sp>
    <dsp:sp modelId="{96A7E889-F7EF-4B5A-8B8E-364836355EE3}">
      <dsp:nvSpPr>
        <dsp:cNvPr id="0" name=""/>
        <dsp:cNvSpPr/>
      </dsp:nvSpPr>
      <dsp:spPr>
        <a:xfrm>
          <a:off x="2333525" y="639914"/>
          <a:ext cx="127603" cy="1955926"/>
        </a:xfrm>
        <a:custGeom>
          <a:avLst/>
          <a:gdLst/>
          <a:ahLst/>
          <a:cxnLst/>
          <a:rect l="0" t="0" r="0" b="0"/>
          <a:pathLst>
            <a:path>
              <a:moveTo>
                <a:pt x="0" y="0"/>
              </a:moveTo>
              <a:lnTo>
                <a:pt x="0" y="1955926"/>
              </a:lnTo>
              <a:lnTo>
                <a:pt x="127603" y="1955926"/>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3F2EA8-7B0D-4C87-82FC-5C75D51091AE}">
      <dsp:nvSpPr>
        <dsp:cNvPr id="0" name=""/>
        <dsp:cNvSpPr/>
      </dsp:nvSpPr>
      <dsp:spPr>
        <a:xfrm>
          <a:off x="2461128" y="2316041"/>
          <a:ext cx="1207597" cy="559598"/>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cs-CZ" sz="1400" kern="1200" dirty="0"/>
            <a:t>Kvalifikovaná pracovní síla</a:t>
          </a:r>
        </a:p>
      </dsp:txBody>
      <dsp:txXfrm>
        <a:off x="2477518" y="2332431"/>
        <a:ext cx="1174817" cy="526818"/>
      </dsp:txXfrm>
    </dsp:sp>
    <dsp:sp modelId="{E5E16B51-E302-46D7-BCFC-8B92984C8AE8}">
      <dsp:nvSpPr>
        <dsp:cNvPr id="0" name=""/>
        <dsp:cNvSpPr/>
      </dsp:nvSpPr>
      <dsp:spPr>
        <a:xfrm>
          <a:off x="2333525" y="639914"/>
          <a:ext cx="127603" cy="2675029"/>
        </a:xfrm>
        <a:custGeom>
          <a:avLst/>
          <a:gdLst/>
          <a:ahLst/>
          <a:cxnLst/>
          <a:rect l="0" t="0" r="0" b="0"/>
          <a:pathLst>
            <a:path>
              <a:moveTo>
                <a:pt x="0" y="0"/>
              </a:moveTo>
              <a:lnTo>
                <a:pt x="0" y="2675029"/>
              </a:lnTo>
              <a:lnTo>
                <a:pt x="127603" y="2675029"/>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379FC7-F878-46FC-8C52-DC4CCEFC3623}">
      <dsp:nvSpPr>
        <dsp:cNvPr id="0" name=""/>
        <dsp:cNvSpPr/>
      </dsp:nvSpPr>
      <dsp:spPr>
        <a:xfrm>
          <a:off x="2461128" y="3035144"/>
          <a:ext cx="1233291" cy="559598"/>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cs-CZ" sz="1400" kern="1200" dirty="0"/>
            <a:t>Rozvinutý průmysl</a:t>
          </a:r>
        </a:p>
      </dsp:txBody>
      <dsp:txXfrm>
        <a:off x="2477518" y="3051534"/>
        <a:ext cx="1200511" cy="52681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Vaš31</b:Tag>
    <b:SourceType>Book</b:SourceType>
    <b:Guid>{A6932B3E-FD62-4FA5-BC0E-026880C006CD}</b:Guid>
    <b:Author>
      <b:Author>
        <b:NameList>
          <b:Person>
            <b:Last>B.</b:Last>
            <b:First>Vašek</b:First>
          </b:Person>
        </b:NameList>
      </b:Author>
    </b:Author>
    <b:Title>Spravedlnost v životě hospodářském</b:Title>
    <b:Year>1931</b:Year>
    <b:City>Praha</b:City>
    <b:RefOrder>1</b:RefOrder>
  </b:Source>
</b:Sources>
</file>

<file path=customXml/itemProps1.xml><?xml version="1.0" encoding="utf-8"?>
<ds:datastoreItem xmlns:ds="http://schemas.openxmlformats.org/officeDocument/2006/customXml" ds:itemID="{281A7F1F-4D85-4E66-B8A2-40C08AFCD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485</Pages>
  <Words>112467</Words>
  <Characters>663562</Characters>
  <Application>Microsoft Office Word</Application>
  <DocSecurity>0</DocSecurity>
  <Lines>5529</Lines>
  <Paragraphs>1548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774481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Kateřina Klemáková</cp:lastModifiedBy>
  <cp:revision>14</cp:revision>
  <cp:lastPrinted>2018-03-03T17:52:00Z</cp:lastPrinted>
  <dcterms:created xsi:type="dcterms:W3CDTF">2020-05-16T14:48:00Z</dcterms:created>
  <dcterms:modified xsi:type="dcterms:W3CDTF">2020-10-22T08:15:00Z</dcterms:modified>
</cp:coreProperties>
</file>